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odttf" ContentType="application/vnd.openxmlformats-officedocument.obfuscatedFon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header5.xml" ContentType="application/vnd.openxmlformats-officedocument.wordprocessingml.header+xml"/>
  <Override PartName="/word/footer7.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header6.xml" ContentType="application/vnd.openxmlformats-officedocument.wordprocessingml.header+xml"/>
  <Override PartName="/word/footer8.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1E3C74C" w14:textId="612BB3FD" w:rsidR="00606029" w:rsidRDefault="00462C44" w:rsidP="00462C44">
      <w:pPr>
        <w:jc w:val="center"/>
        <w:sectPr w:rsidR="00606029">
          <w:headerReference w:type="default" r:id="rId9"/>
          <w:footerReference w:type="default" r:id="rId10"/>
          <w:type w:val="nextColumn"/>
          <w:pgSz w:w="11905" w:h="16838"/>
          <w:pgMar w:top="1417" w:right="1474" w:bottom="1417" w:left="1474" w:header="850" w:footer="850" w:gutter="113"/>
          <w:pgNumType w:start="1"/>
          <w:cols w:space="0"/>
          <w:docGrid w:linePitch="312"/>
        </w:sectPr>
      </w:pPr>
      <w:r w:rsidRPr="00462C44">
        <w:rPr>
          <w:b/>
          <w:bCs/>
          <w:noProof/>
          <w:color w:val="000000"/>
          <w:sz w:val="50"/>
          <w:szCs w:val="50"/>
        </w:rPr>
        <w:drawing>
          <wp:inline distT="0" distB="0" distL="0" distR="0" wp14:anchorId="1B5E736A" wp14:editId="0396BCDF">
            <wp:extent cx="5615940" cy="7926705"/>
            <wp:effectExtent l="0" t="0" r="3810" b="0"/>
            <wp:docPr id="23503229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615940" cy="7926705"/>
                    </a:xfrm>
                    <a:prstGeom prst="rect">
                      <a:avLst/>
                    </a:prstGeom>
                    <a:noFill/>
                    <a:ln>
                      <a:noFill/>
                    </a:ln>
                  </pic:spPr>
                </pic:pic>
              </a:graphicData>
            </a:graphic>
          </wp:inline>
        </w:drawing>
      </w:r>
      <w:r w:rsidRPr="00462C44">
        <w:rPr>
          <w:rStyle w:val="a1"/>
          <w:rFonts w:eastAsia="Times New Roman"/>
          <w:snapToGrid w:val="0"/>
          <w:color w:val="000000"/>
          <w:w w:val="0"/>
          <w:kern w:val="0"/>
          <w:sz w:val="0"/>
          <w:szCs w:val="0"/>
          <w:u w:color="000000"/>
          <w:bdr w:val="none" w:sz="0" w:space="0" w:color="000000"/>
          <w:shd w:val="clear" w:color="000000" w:fill="000000"/>
          <w:lang w:val="x-none" w:eastAsia="x-none" w:bidi="x-none"/>
        </w:rPr>
        <w:t xml:space="preserve"> </w:t>
      </w:r>
      <w:r w:rsidRPr="00462C44">
        <w:rPr>
          <w:noProof/>
        </w:rPr>
        <w:lastRenderedPageBreak/>
        <w:drawing>
          <wp:inline distT="0" distB="0" distL="0" distR="0" wp14:anchorId="4F97C322" wp14:editId="488724AC">
            <wp:extent cx="5615940" cy="7926705"/>
            <wp:effectExtent l="0" t="0" r="3810" b="0"/>
            <wp:docPr id="130175858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615940" cy="7926705"/>
                    </a:xfrm>
                    <a:prstGeom prst="rect">
                      <a:avLst/>
                    </a:prstGeom>
                    <a:noFill/>
                    <a:ln>
                      <a:noFill/>
                    </a:ln>
                  </pic:spPr>
                </pic:pic>
              </a:graphicData>
            </a:graphic>
          </wp:inline>
        </w:drawing>
      </w:r>
    </w:p>
    <w:sdt>
      <w:sdtPr>
        <w:rPr>
          <w:rFonts w:ascii="宋体" w:hAnsi="宋体" w:cs="Calibri"/>
          <w:smallCaps/>
          <w:sz w:val="20"/>
          <w:szCs w:val="20"/>
        </w:rPr>
        <w:id w:val="147466094"/>
        <w15:color w:val="DBDBDB"/>
        <w:docPartObj>
          <w:docPartGallery w:val="Table of Contents"/>
          <w:docPartUnique/>
        </w:docPartObj>
      </w:sdtPr>
      <w:sdtContent>
        <w:p w14:paraId="5A618719" w14:textId="77777777" w:rsidR="00606029" w:rsidRDefault="00EA5B92">
          <w:pPr>
            <w:jc w:val="center"/>
            <w:rPr>
              <w:b/>
              <w:bCs/>
              <w:sz w:val="32"/>
              <w:szCs w:val="32"/>
            </w:rPr>
          </w:pPr>
          <w:r>
            <w:rPr>
              <w:rFonts w:ascii="宋体" w:hAnsi="宋体"/>
              <w:b/>
              <w:bCs/>
              <w:sz w:val="32"/>
              <w:szCs w:val="32"/>
            </w:rPr>
            <w:t>目</w:t>
          </w:r>
          <w:r>
            <w:rPr>
              <w:rFonts w:ascii="宋体" w:hAnsi="宋体" w:hint="eastAsia"/>
              <w:b/>
              <w:bCs/>
              <w:sz w:val="32"/>
              <w:szCs w:val="32"/>
            </w:rPr>
            <w:t xml:space="preserve">  </w:t>
          </w:r>
          <w:r>
            <w:rPr>
              <w:rFonts w:ascii="宋体" w:hAnsi="宋体"/>
              <w:b/>
              <w:bCs/>
              <w:sz w:val="32"/>
              <w:szCs w:val="32"/>
            </w:rPr>
            <w:t>录</w:t>
          </w:r>
        </w:p>
        <w:p w14:paraId="402C21C5" w14:textId="77D287C7" w:rsidR="00EB6899" w:rsidRPr="00EB6899" w:rsidRDefault="00EA5B92" w:rsidP="00EB6899">
          <w:pPr>
            <w:pStyle w:val="TOC1"/>
            <w:tabs>
              <w:tab w:val="right" w:leader="dot" w:pos="8834"/>
            </w:tabs>
            <w:spacing w:before="0" w:after="0" w:line="360" w:lineRule="auto"/>
            <w:jc w:val="both"/>
            <w:rPr>
              <w:rFonts w:ascii="Times New Roman" w:eastAsiaTheme="minorEastAsia" w:hAnsi="Times New Roman" w:cs="Times New Roman"/>
              <w:b w:val="0"/>
              <w:bCs w:val="0"/>
              <w:caps w:val="0"/>
              <w:noProof/>
              <w:sz w:val="24"/>
              <w:szCs w:val="24"/>
              <w14:ligatures w14:val="standardContextual"/>
            </w:rPr>
          </w:pPr>
          <w:r w:rsidRPr="00376259">
            <w:rPr>
              <w:rFonts w:asciiTheme="majorBidi" w:hAnsiTheme="majorBidi" w:cstheme="majorBidi"/>
              <w:sz w:val="24"/>
              <w:szCs w:val="24"/>
            </w:rPr>
            <w:fldChar w:fldCharType="begin"/>
          </w:r>
          <w:r w:rsidRPr="00376259">
            <w:rPr>
              <w:rFonts w:asciiTheme="majorBidi" w:hAnsiTheme="majorBidi" w:cstheme="majorBidi"/>
              <w:sz w:val="24"/>
              <w:szCs w:val="24"/>
            </w:rPr>
            <w:instrText xml:space="preserve">TOC \o "1-3" \h \u </w:instrText>
          </w:r>
          <w:r w:rsidRPr="00376259">
            <w:rPr>
              <w:rFonts w:asciiTheme="majorBidi" w:hAnsiTheme="majorBidi" w:cstheme="majorBidi"/>
              <w:sz w:val="24"/>
              <w:szCs w:val="24"/>
            </w:rPr>
            <w:fldChar w:fldCharType="separate"/>
          </w:r>
          <w:hyperlink w:anchor="_Toc220680437" w:history="1">
            <w:r w:rsidR="00EB6899" w:rsidRPr="00EB6899">
              <w:rPr>
                <w:rStyle w:val="aff9"/>
                <w:b w:val="0"/>
                <w:bCs w:val="0"/>
                <w:noProof/>
                <w:sz w:val="24"/>
                <w:szCs w:val="24"/>
              </w:rPr>
              <w:t>概</w:t>
            </w:r>
            <w:r w:rsidR="00EB6899" w:rsidRPr="00EB6899">
              <w:rPr>
                <w:rStyle w:val="aff9"/>
                <w:b w:val="0"/>
                <w:bCs w:val="0"/>
                <w:noProof/>
                <w:sz w:val="24"/>
                <w:szCs w:val="24"/>
              </w:rPr>
              <w:t xml:space="preserve"> </w:t>
            </w:r>
            <w:r w:rsidR="00EB6899" w:rsidRPr="00EB6899">
              <w:rPr>
                <w:rStyle w:val="aff9"/>
                <w:b w:val="0"/>
                <w:bCs w:val="0"/>
                <w:noProof/>
                <w:sz w:val="24"/>
                <w:szCs w:val="24"/>
              </w:rPr>
              <w:t>述</w:t>
            </w:r>
            <w:r w:rsidR="00EB6899" w:rsidRPr="00EB6899">
              <w:rPr>
                <w:rFonts w:ascii="Times New Roman" w:hAnsi="Times New Roman" w:cs="Times New Roman"/>
                <w:b w:val="0"/>
                <w:bCs w:val="0"/>
                <w:noProof/>
                <w:sz w:val="24"/>
                <w:szCs w:val="24"/>
              </w:rPr>
              <w:tab/>
            </w:r>
            <w:r w:rsidR="00EB6899" w:rsidRPr="00EB6899">
              <w:rPr>
                <w:rFonts w:ascii="Times New Roman" w:hAnsi="Times New Roman" w:cs="Times New Roman"/>
                <w:b w:val="0"/>
                <w:bCs w:val="0"/>
                <w:noProof/>
                <w:sz w:val="24"/>
                <w:szCs w:val="24"/>
              </w:rPr>
              <w:fldChar w:fldCharType="begin"/>
            </w:r>
            <w:r w:rsidR="00EB6899" w:rsidRPr="00EB6899">
              <w:rPr>
                <w:rFonts w:ascii="Times New Roman" w:hAnsi="Times New Roman" w:cs="Times New Roman"/>
                <w:b w:val="0"/>
                <w:bCs w:val="0"/>
                <w:noProof/>
                <w:sz w:val="24"/>
                <w:szCs w:val="24"/>
              </w:rPr>
              <w:instrText xml:space="preserve"> PAGEREF _Toc220680437 \h </w:instrText>
            </w:r>
            <w:r w:rsidR="00EB6899" w:rsidRPr="00EB6899">
              <w:rPr>
                <w:rFonts w:ascii="Times New Roman" w:hAnsi="Times New Roman" w:cs="Times New Roman"/>
                <w:b w:val="0"/>
                <w:bCs w:val="0"/>
                <w:noProof/>
                <w:sz w:val="24"/>
                <w:szCs w:val="24"/>
              </w:rPr>
            </w:r>
            <w:r w:rsidR="00EB6899" w:rsidRPr="00EB6899">
              <w:rPr>
                <w:rFonts w:ascii="Times New Roman" w:hAnsi="Times New Roman" w:cs="Times New Roman"/>
                <w:b w:val="0"/>
                <w:bCs w:val="0"/>
                <w:noProof/>
                <w:sz w:val="24"/>
                <w:szCs w:val="24"/>
              </w:rPr>
              <w:fldChar w:fldCharType="separate"/>
            </w:r>
            <w:r w:rsidR="00462C44">
              <w:rPr>
                <w:rFonts w:ascii="Times New Roman" w:hAnsi="Times New Roman" w:cs="Times New Roman"/>
                <w:b w:val="0"/>
                <w:bCs w:val="0"/>
                <w:noProof/>
                <w:sz w:val="24"/>
                <w:szCs w:val="24"/>
              </w:rPr>
              <w:t>1</w:t>
            </w:r>
            <w:r w:rsidR="00EB6899" w:rsidRPr="00EB6899">
              <w:rPr>
                <w:rFonts w:ascii="Times New Roman" w:hAnsi="Times New Roman" w:cs="Times New Roman"/>
                <w:b w:val="0"/>
                <w:bCs w:val="0"/>
                <w:noProof/>
                <w:sz w:val="24"/>
                <w:szCs w:val="24"/>
              </w:rPr>
              <w:fldChar w:fldCharType="end"/>
            </w:r>
          </w:hyperlink>
        </w:p>
        <w:p w14:paraId="7818611F" w14:textId="0590DFF1" w:rsidR="00EB6899" w:rsidRPr="00EB6899" w:rsidRDefault="00EB6899" w:rsidP="00EB6899">
          <w:pPr>
            <w:pStyle w:val="TOC1"/>
            <w:tabs>
              <w:tab w:val="right" w:leader="dot" w:pos="8834"/>
            </w:tabs>
            <w:spacing w:before="0" w:after="0" w:line="360" w:lineRule="auto"/>
            <w:jc w:val="both"/>
            <w:rPr>
              <w:rFonts w:ascii="Times New Roman" w:eastAsiaTheme="minorEastAsia" w:hAnsi="Times New Roman" w:cs="Times New Roman"/>
              <w:b w:val="0"/>
              <w:bCs w:val="0"/>
              <w:caps w:val="0"/>
              <w:noProof/>
              <w:sz w:val="24"/>
              <w:szCs w:val="24"/>
              <w14:ligatures w14:val="standardContextual"/>
            </w:rPr>
          </w:pPr>
          <w:hyperlink w:anchor="_Toc220680438" w:history="1">
            <w:r w:rsidRPr="00EB6899">
              <w:rPr>
                <w:rStyle w:val="aff9"/>
                <w:b w:val="0"/>
                <w:bCs w:val="0"/>
                <w:noProof/>
                <w:kern w:val="44"/>
                <w:sz w:val="24"/>
                <w:szCs w:val="24"/>
              </w:rPr>
              <w:t>第一章</w:t>
            </w:r>
            <w:r w:rsidRPr="00EB6899">
              <w:rPr>
                <w:rStyle w:val="aff9"/>
                <w:b w:val="0"/>
                <w:bCs w:val="0"/>
                <w:noProof/>
                <w:kern w:val="44"/>
                <w:sz w:val="24"/>
                <w:szCs w:val="24"/>
              </w:rPr>
              <w:t xml:space="preserve">  </w:t>
            </w:r>
            <w:r w:rsidRPr="00EB6899">
              <w:rPr>
                <w:rStyle w:val="aff9"/>
                <w:b w:val="0"/>
                <w:bCs w:val="0"/>
                <w:noProof/>
                <w:kern w:val="44"/>
                <w:sz w:val="24"/>
                <w:szCs w:val="24"/>
              </w:rPr>
              <w:t>总则</w:t>
            </w:r>
            <w:r w:rsidRPr="00EB6899">
              <w:rPr>
                <w:rFonts w:ascii="Times New Roman" w:hAnsi="Times New Roman" w:cs="Times New Roman"/>
                <w:b w:val="0"/>
                <w:bCs w:val="0"/>
                <w:noProof/>
                <w:sz w:val="24"/>
                <w:szCs w:val="24"/>
              </w:rPr>
              <w:tab/>
            </w:r>
            <w:r w:rsidRPr="00EB6899">
              <w:rPr>
                <w:rFonts w:ascii="Times New Roman" w:hAnsi="Times New Roman" w:cs="Times New Roman"/>
                <w:b w:val="0"/>
                <w:bCs w:val="0"/>
                <w:noProof/>
                <w:sz w:val="24"/>
                <w:szCs w:val="24"/>
              </w:rPr>
              <w:fldChar w:fldCharType="begin"/>
            </w:r>
            <w:r w:rsidRPr="00EB6899">
              <w:rPr>
                <w:rFonts w:ascii="Times New Roman" w:hAnsi="Times New Roman" w:cs="Times New Roman"/>
                <w:b w:val="0"/>
                <w:bCs w:val="0"/>
                <w:noProof/>
                <w:sz w:val="24"/>
                <w:szCs w:val="24"/>
              </w:rPr>
              <w:instrText xml:space="preserve"> PAGEREF _Toc220680438 \h </w:instrText>
            </w:r>
            <w:r w:rsidRPr="00EB6899">
              <w:rPr>
                <w:rFonts w:ascii="Times New Roman" w:hAnsi="Times New Roman" w:cs="Times New Roman"/>
                <w:b w:val="0"/>
                <w:bCs w:val="0"/>
                <w:noProof/>
                <w:sz w:val="24"/>
                <w:szCs w:val="24"/>
              </w:rPr>
            </w:r>
            <w:r w:rsidRPr="00EB6899">
              <w:rPr>
                <w:rFonts w:ascii="Times New Roman" w:hAnsi="Times New Roman" w:cs="Times New Roman"/>
                <w:b w:val="0"/>
                <w:bCs w:val="0"/>
                <w:noProof/>
                <w:sz w:val="24"/>
                <w:szCs w:val="24"/>
              </w:rPr>
              <w:fldChar w:fldCharType="separate"/>
            </w:r>
            <w:r w:rsidR="00462C44">
              <w:rPr>
                <w:rFonts w:ascii="Times New Roman" w:hAnsi="Times New Roman" w:cs="Times New Roman"/>
                <w:b w:val="0"/>
                <w:bCs w:val="0"/>
                <w:noProof/>
                <w:sz w:val="24"/>
                <w:szCs w:val="24"/>
              </w:rPr>
              <w:t>7</w:t>
            </w:r>
            <w:r w:rsidRPr="00EB6899">
              <w:rPr>
                <w:rFonts w:ascii="Times New Roman" w:hAnsi="Times New Roman" w:cs="Times New Roman"/>
                <w:b w:val="0"/>
                <w:bCs w:val="0"/>
                <w:noProof/>
                <w:sz w:val="24"/>
                <w:szCs w:val="24"/>
              </w:rPr>
              <w:fldChar w:fldCharType="end"/>
            </w:r>
          </w:hyperlink>
        </w:p>
        <w:p w14:paraId="5A52EB4E" w14:textId="28278C97" w:rsidR="00EB6899" w:rsidRPr="00EB6899" w:rsidRDefault="00EB6899" w:rsidP="00EB6899">
          <w:pPr>
            <w:pStyle w:val="TOC2"/>
            <w:tabs>
              <w:tab w:val="right" w:leader="dot" w:pos="8834"/>
            </w:tabs>
            <w:spacing w:line="360" w:lineRule="auto"/>
            <w:ind w:left="0"/>
            <w:jc w:val="both"/>
            <w:rPr>
              <w:rFonts w:ascii="Times New Roman" w:eastAsiaTheme="minorEastAsia" w:hAnsi="Times New Roman" w:cs="Times New Roman"/>
              <w:smallCaps w:val="0"/>
              <w:noProof/>
              <w:sz w:val="24"/>
              <w:szCs w:val="24"/>
              <w14:ligatures w14:val="standardContextual"/>
            </w:rPr>
          </w:pPr>
          <w:hyperlink w:anchor="_Toc220680439" w:history="1">
            <w:r w:rsidRPr="00EB6899">
              <w:rPr>
                <w:rStyle w:val="aff9"/>
                <w:noProof/>
                <w:sz w:val="24"/>
                <w:szCs w:val="24"/>
              </w:rPr>
              <w:t>1.1</w:t>
            </w:r>
            <w:r w:rsidRPr="00EB6899">
              <w:rPr>
                <w:rStyle w:val="aff9"/>
                <w:noProof/>
                <w:sz w:val="24"/>
                <w:szCs w:val="24"/>
              </w:rPr>
              <w:t>评价目的</w:t>
            </w:r>
            <w:r w:rsidRPr="00EB6899">
              <w:rPr>
                <w:rFonts w:ascii="Times New Roman" w:hAnsi="Times New Roman" w:cs="Times New Roman"/>
                <w:noProof/>
                <w:sz w:val="24"/>
                <w:szCs w:val="24"/>
              </w:rPr>
              <w:tab/>
            </w:r>
            <w:r w:rsidRPr="00EB6899">
              <w:rPr>
                <w:rFonts w:ascii="Times New Roman" w:hAnsi="Times New Roman" w:cs="Times New Roman"/>
                <w:noProof/>
                <w:sz w:val="24"/>
                <w:szCs w:val="24"/>
              </w:rPr>
              <w:fldChar w:fldCharType="begin"/>
            </w:r>
            <w:r w:rsidRPr="00EB6899">
              <w:rPr>
                <w:rFonts w:ascii="Times New Roman" w:hAnsi="Times New Roman" w:cs="Times New Roman"/>
                <w:noProof/>
                <w:sz w:val="24"/>
                <w:szCs w:val="24"/>
              </w:rPr>
              <w:instrText xml:space="preserve"> PAGEREF _Toc220680439 \h </w:instrText>
            </w:r>
            <w:r w:rsidRPr="00EB6899">
              <w:rPr>
                <w:rFonts w:ascii="Times New Roman" w:hAnsi="Times New Roman" w:cs="Times New Roman"/>
                <w:noProof/>
                <w:sz w:val="24"/>
                <w:szCs w:val="24"/>
              </w:rPr>
            </w:r>
            <w:r w:rsidRPr="00EB6899">
              <w:rPr>
                <w:rFonts w:ascii="Times New Roman" w:hAnsi="Times New Roman" w:cs="Times New Roman"/>
                <w:noProof/>
                <w:sz w:val="24"/>
                <w:szCs w:val="24"/>
              </w:rPr>
              <w:fldChar w:fldCharType="separate"/>
            </w:r>
            <w:r w:rsidR="00462C44">
              <w:rPr>
                <w:rFonts w:ascii="Times New Roman" w:hAnsi="Times New Roman" w:cs="Times New Roman"/>
                <w:noProof/>
                <w:sz w:val="24"/>
                <w:szCs w:val="24"/>
              </w:rPr>
              <w:t>7</w:t>
            </w:r>
            <w:r w:rsidRPr="00EB6899">
              <w:rPr>
                <w:rFonts w:ascii="Times New Roman" w:hAnsi="Times New Roman" w:cs="Times New Roman"/>
                <w:noProof/>
                <w:sz w:val="24"/>
                <w:szCs w:val="24"/>
              </w:rPr>
              <w:fldChar w:fldCharType="end"/>
            </w:r>
          </w:hyperlink>
        </w:p>
        <w:p w14:paraId="3A19F1B8" w14:textId="2A8DACCD" w:rsidR="00EB6899" w:rsidRPr="00EB6899" w:rsidRDefault="00EB6899" w:rsidP="00EB6899">
          <w:pPr>
            <w:pStyle w:val="TOC2"/>
            <w:tabs>
              <w:tab w:val="right" w:leader="dot" w:pos="8834"/>
            </w:tabs>
            <w:spacing w:line="360" w:lineRule="auto"/>
            <w:ind w:left="0"/>
            <w:jc w:val="both"/>
            <w:rPr>
              <w:rFonts w:ascii="Times New Roman" w:eastAsiaTheme="minorEastAsia" w:hAnsi="Times New Roman" w:cs="Times New Roman"/>
              <w:smallCaps w:val="0"/>
              <w:noProof/>
              <w:sz w:val="24"/>
              <w:szCs w:val="24"/>
              <w14:ligatures w14:val="standardContextual"/>
            </w:rPr>
          </w:pPr>
          <w:hyperlink w:anchor="_Toc220680440" w:history="1">
            <w:r w:rsidRPr="00EB6899">
              <w:rPr>
                <w:rStyle w:val="aff9"/>
                <w:noProof/>
                <w:sz w:val="24"/>
                <w:szCs w:val="24"/>
              </w:rPr>
              <w:t>1.2</w:t>
            </w:r>
            <w:r w:rsidRPr="00EB6899">
              <w:rPr>
                <w:rStyle w:val="aff9"/>
                <w:noProof/>
                <w:sz w:val="24"/>
                <w:szCs w:val="24"/>
              </w:rPr>
              <w:t>评价原则</w:t>
            </w:r>
            <w:r w:rsidRPr="00EB6899">
              <w:rPr>
                <w:rFonts w:ascii="Times New Roman" w:hAnsi="Times New Roman" w:cs="Times New Roman"/>
                <w:noProof/>
                <w:sz w:val="24"/>
                <w:szCs w:val="24"/>
              </w:rPr>
              <w:tab/>
            </w:r>
            <w:r w:rsidRPr="00EB6899">
              <w:rPr>
                <w:rFonts w:ascii="Times New Roman" w:hAnsi="Times New Roman" w:cs="Times New Roman"/>
                <w:noProof/>
                <w:sz w:val="24"/>
                <w:szCs w:val="24"/>
              </w:rPr>
              <w:fldChar w:fldCharType="begin"/>
            </w:r>
            <w:r w:rsidRPr="00EB6899">
              <w:rPr>
                <w:rFonts w:ascii="Times New Roman" w:hAnsi="Times New Roman" w:cs="Times New Roman"/>
                <w:noProof/>
                <w:sz w:val="24"/>
                <w:szCs w:val="24"/>
              </w:rPr>
              <w:instrText xml:space="preserve"> PAGEREF _Toc220680440 \h </w:instrText>
            </w:r>
            <w:r w:rsidRPr="00EB6899">
              <w:rPr>
                <w:rFonts w:ascii="Times New Roman" w:hAnsi="Times New Roman" w:cs="Times New Roman"/>
                <w:noProof/>
                <w:sz w:val="24"/>
                <w:szCs w:val="24"/>
              </w:rPr>
            </w:r>
            <w:r w:rsidRPr="00EB6899">
              <w:rPr>
                <w:rFonts w:ascii="Times New Roman" w:hAnsi="Times New Roman" w:cs="Times New Roman"/>
                <w:noProof/>
                <w:sz w:val="24"/>
                <w:szCs w:val="24"/>
              </w:rPr>
              <w:fldChar w:fldCharType="separate"/>
            </w:r>
            <w:r w:rsidR="00462C44">
              <w:rPr>
                <w:rFonts w:ascii="Times New Roman" w:hAnsi="Times New Roman" w:cs="Times New Roman"/>
                <w:noProof/>
                <w:sz w:val="24"/>
                <w:szCs w:val="24"/>
              </w:rPr>
              <w:t>7</w:t>
            </w:r>
            <w:r w:rsidRPr="00EB6899">
              <w:rPr>
                <w:rFonts w:ascii="Times New Roman" w:hAnsi="Times New Roman" w:cs="Times New Roman"/>
                <w:noProof/>
                <w:sz w:val="24"/>
                <w:szCs w:val="24"/>
              </w:rPr>
              <w:fldChar w:fldCharType="end"/>
            </w:r>
          </w:hyperlink>
        </w:p>
        <w:p w14:paraId="105AE648" w14:textId="3A4C1762" w:rsidR="00EB6899" w:rsidRPr="00EB6899" w:rsidRDefault="00EB6899" w:rsidP="00EB6899">
          <w:pPr>
            <w:pStyle w:val="TOC2"/>
            <w:tabs>
              <w:tab w:val="right" w:leader="dot" w:pos="8834"/>
            </w:tabs>
            <w:spacing w:line="360" w:lineRule="auto"/>
            <w:ind w:left="0"/>
            <w:jc w:val="both"/>
            <w:rPr>
              <w:rFonts w:ascii="Times New Roman" w:eastAsiaTheme="minorEastAsia" w:hAnsi="Times New Roman" w:cs="Times New Roman"/>
              <w:smallCaps w:val="0"/>
              <w:noProof/>
              <w:sz w:val="24"/>
              <w:szCs w:val="24"/>
              <w14:ligatures w14:val="standardContextual"/>
            </w:rPr>
          </w:pPr>
          <w:hyperlink w:anchor="_Toc220680441" w:history="1">
            <w:r w:rsidRPr="00EB6899">
              <w:rPr>
                <w:rStyle w:val="aff9"/>
                <w:noProof/>
                <w:sz w:val="24"/>
                <w:szCs w:val="24"/>
              </w:rPr>
              <w:t>1.3</w:t>
            </w:r>
            <w:r w:rsidRPr="00EB6899">
              <w:rPr>
                <w:rStyle w:val="aff9"/>
                <w:noProof/>
                <w:sz w:val="24"/>
                <w:szCs w:val="24"/>
              </w:rPr>
              <w:t>编制依据</w:t>
            </w:r>
            <w:r w:rsidRPr="00EB6899">
              <w:rPr>
                <w:rFonts w:ascii="Times New Roman" w:hAnsi="Times New Roman" w:cs="Times New Roman"/>
                <w:noProof/>
                <w:sz w:val="24"/>
                <w:szCs w:val="24"/>
              </w:rPr>
              <w:tab/>
            </w:r>
            <w:r w:rsidRPr="00EB6899">
              <w:rPr>
                <w:rFonts w:ascii="Times New Roman" w:hAnsi="Times New Roman" w:cs="Times New Roman"/>
                <w:noProof/>
                <w:sz w:val="24"/>
                <w:szCs w:val="24"/>
              </w:rPr>
              <w:fldChar w:fldCharType="begin"/>
            </w:r>
            <w:r w:rsidRPr="00EB6899">
              <w:rPr>
                <w:rFonts w:ascii="Times New Roman" w:hAnsi="Times New Roman" w:cs="Times New Roman"/>
                <w:noProof/>
                <w:sz w:val="24"/>
                <w:szCs w:val="24"/>
              </w:rPr>
              <w:instrText xml:space="preserve"> PAGEREF _Toc220680441 \h </w:instrText>
            </w:r>
            <w:r w:rsidRPr="00EB6899">
              <w:rPr>
                <w:rFonts w:ascii="Times New Roman" w:hAnsi="Times New Roman" w:cs="Times New Roman"/>
                <w:noProof/>
                <w:sz w:val="24"/>
                <w:szCs w:val="24"/>
              </w:rPr>
            </w:r>
            <w:r w:rsidRPr="00EB6899">
              <w:rPr>
                <w:rFonts w:ascii="Times New Roman" w:hAnsi="Times New Roman" w:cs="Times New Roman"/>
                <w:noProof/>
                <w:sz w:val="24"/>
                <w:szCs w:val="24"/>
              </w:rPr>
              <w:fldChar w:fldCharType="separate"/>
            </w:r>
            <w:r w:rsidR="00462C44">
              <w:rPr>
                <w:rFonts w:ascii="Times New Roman" w:hAnsi="Times New Roman" w:cs="Times New Roman"/>
                <w:noProof/>
                <w:sz w:val="24"/>
                <w:szCs w:val="24"/>
              </w:rPr>
              <w:t>8</w:t>
            </w:r>
            <w:r w:rsidRPr="00EB6899">
              <w:rPr>
                <w:rFonts w:ascii="Times New Roman" w:hAnsi="Times New Roman" w:cs="Times New Roman"/>
                <w:noProof/>
                <w:sz w:val="24"/>
                <w:szCs w:val="24"/>
              </w:rPr>
              <w:fldChar w:fldCharType="end"/>
            </w:r>
          </w:hyperlink>
        </w:p>
        <w:p w14:paraId="356406E2" w14:textId="6B7F7F80" w:rsidR="00EB6899" w:rsidRPr="00EB6899" w:rsidRDefault="00EB6899" w:rsidP="00EB6899">
          <w:pPr>
            <w:pStyle w:val="TOC2"/>
            <w:tabs>
              <w:tab w:val="right" w:leader="dot" w:pos="8834"/>
            </w:tabs>
            <w:spacing w:line="360" w:lineRule="auto"/>
            <w:ind w:left="0"/>
            <w:jc w:val="both"/>
            <w:rPr>
              <w:rFonts w:ascii="Times New Roman" w:eastAsiaTheme="minorEastAsia" w:hAnsi="Times New Roman" w:cs="Times New Roman"/>
              <w:smallCaps w:val="0"/>
              <w:noProof/>
              <w:sz w:val="24"/>
              <w:szCs w:val="24"/>
              <w14:ligatures w14:val="standardContextual"/>
            </w:rPr>
          </w:pPr>
          <w:hyperlink w:anchor="_Toc220680448" w:history="1">
            <w:r w:rsidRPr="00EB6899">
              <w:rPr>
                <w:rStyle w:val="aff9"/>
                <w:noProof/>
                <w:sz w:val="24"/>
                <w:szCs w:val="24"/>
              </w:rPr>
              <w:t>1.4</w:t>
            </w:r>
            <w:r w:rsidRPr="00EB6899">
              <w:rPr>
                <w:rStyle w:val="aff9"/>
                <w:noProof/>
                <w:sz w:val="24"/>
                <w:szCs w:val="24"/>
              </w:rPr>
              <w:t>环境影响识别与评价因子筛选</w:t>
            </w:r>
            <w:r w:rsidRPr="00EB6899">
              <w:rPr>
                <w:rFonts w:ascii="Times New Roman" w:hAnsi="Times New Roman" w:cs="Times New Roman"/>
                <w:noProof/>
                <w:sz w:val="24"/>
                <w:szCs w:val="24"/>
              </w:rPr>
              <w:tab/>
            </w:r>
            <w:r w:rsidRPr="00EB6899">
              <w:rPr>
                <w:rFonts w:ascii="Times New Roman" w:hAnsi="Times New Roman" w:cs="Times New Roman"/>
                <w:noProof/>
                <w:sz w:val="24"/>
                <w:szCs w:val="24"/>
              </w:rPr>
              <w:fldChar w:fldCharType="begin"/>
            </w:r>
            <w:r w:rsidRPr="00EB6899">
              <w:rPr>
                <w:rFonts w:ascii="Times New Roman" w:hAnsi="Times New Roman" w:cs="Times New Roman"/>
                <w:noProof/>
                <w:sz w:val="24"/>
                <w:szCs w:val="24"/>
              </w:rPr>
              <w:instrText xml:space="preserve"> PAGEREF _Toc220680448 \h </w:instrText>
            </w:r>
            <w:r w:rsidRPr="00EB6899">
              <w:rPr>
                <w:rFonts w:ascii="Times New Roman" w:hAnsi="Times New Roman" w:cs="Times New Roman"/>
                <w:noProof/>
                <w:sz w:val="24"/>
                <w:szCs w:val="24"/>
              </w:rPr>
            </w:r>
            <w:r w:rsidRPr="00EB6899">
              <w:rPr>
                <w:rFonts w:ascii="Times New Roman" w:hAnsi="Times New Roman" w:cs="Times New Roman"/>
                <w:noProof/>
                <w:sz w:val="24"/>
                <w:szCs w:val="24"/>
              </w:rPr>
              <w:fldChar w:fldCharType="separate"/>
            </w:r>
            <w:r w:rsidR="00462C44">
              <w:rPr>
                <w:rFonts w:ascii="Times New Roman" w:hAnsi="Times New Roman" w:cs="Times New Roman"/>
                <w:noProof/>
                <w:sz w:val="24"/>
                <w:szCs w:val="24"/>
              </w:rPr>
              <w:t>13</w:t>
            </w:r>
            <w:r w:rsidRPr="00EB6899">
              <w:rPr>
                <w:rFonts w:ascii="Times New Roman" w:hAnsi="Times New Roman" w:cs="Times New Roman"/>
                <w:noProof/>
                <w:sz w:val="24"/>
                <w:szCs w:val="24"/>
              </w:rPr>
              <w:fldChar w:fldCharType="end"/>
            </w:r>
          </w:hyperlink>
        </w:p>
        <w:p w14:paraId="17FE842E" w14:textId="7C78E43A" w:rsidR="00EB6899" w:rsidRPr="00EB6899" w:rsidRDefault="00EB6899" w:rsidP="00EB6899">
          <w:pPr>
            <w:pStyle w:val="TOC2"/>
            <w:tabs>
              <w:tab w:val="right" w:leader="dot" w:pos="8834"/>
            </w:tabs>
            <w:spacing w:line="360" w:lineRule="auto"/>
            <w:ind w:left="0"/>
            <w:jc w:val="both"/>
            <w:rPr>
              <w:rFonts w:ascii="Times New Roman" w:eastAsiaTheme="minorEastAsia" w:hAnsi="Times New Roman" w:cs="Times New Roman"/>
              <w:smallCaps w:val="0"/>
              <w:noProof/>
              <w:sz w:val="24"/>
              <w:szCs w:val="24"/>
              <w14:ligatures w14:val="standardContextual"/>
            </w:rPr>
          </w:pPr>
          <w:hyperlink w:anchor="_Toc220680451" w:history="1">
            <w:r w:rsidRPr="00EB6899">
              <w:rPr>
                <w:rStyle w:val="aff9"/>
                <w:noProof/>
                <w:sz w:val="24"/>
                <w:szCs w:val="24"/>
              </w:rPr>
              <w:t>1.5</w:t>
            </w:r>
            <w:r w:rsidRPr="00EB6899">
              <w:rPr>
                <w:rStyle w:val="aff9"/>
                <w:noProof/>
                <w:sz w:val="24"/>
                <w:szCs w:val="24"/>
              </w:rPr>
              <w:t>评价标准</w:t>
            </w:r>
            <w:r w:rsidRPr="00EB6899">
              <w:rPr>
                <w:rFonts w:ascii="Times New Roman" w:hAnsi="Times New Roman" w:cs="Times New Roman"/>
                <w:noProof/>
                <w:sz w:val="24"/>
                <w:szCs w:val="24"/>
              </w:rPr>
              <w:tab/>
            </w:r>
            <w:r w:rsidRPr="00EB6899">
              <w:rPr>
                <w:rFonts w:ascii="Times New Roman" w:hAnsi="Times New Roman" w:cs="Times New Roman"/>
                <w:noProof/>
                <w:sz w:val="24"/>
                <w:szCs w:val="24"/>
              </w:rPr>
              <w:fldChar w:fldCharType="begin"/>
            </w:r>
            <w:r w:rsidRPr="00EB6899">
              <w:rPr>
                <w:rFonts w:ascii="Times New Roman" w:hAnsi="Times New Roman" w:cs="Times New Roman"/>
                <w:noProof/>
                <w:sz w:val="24"/>
                <w:szCs w:val="24"/>
              </w:rPr>
              <w:instrText xml:space="preserve"> PAGEREF _Toc220680451 \h </w:instrText>
            </w:r>
            <w:r w:rsidRPr="00EB6899">
              <w:rPr>
                <w:rFonts w:ascii="Times New Roman" w:hAnsi="Times New Roman" w:cs="Times New Roman"/>
                <w:noProof/>
                <w:sz w:val="24"/>
                <w:szCs w:val="24"/>
              </w:rPr>
            </w:r>
            <w:r w:rsidRPr="00EB6899">
              <w:rPr>
                <w:rFonts w:ascii="Times New Roman" w:hAnsi="Times New Roman" w:cs="Times New Roman"/>
                <w:noProof/>
                <w:sz w:val="24"/>
                <w:szCs w:val="24"/>
              </w:rPr>
              <w:fldChar w:fldCharType="separate"/>
            </w:r>
            <w:r w:rsidR="00462C44">
              <w:rPr>
                <w:rFonts w:ascii="Times New Roman" w:hAnsi="Times New Roman" w:cs="Times New Roman"/>
                <w:noProof/>
                <w:sz w:val="24"/>
                <w:szCs w:val="24"/>
              </w:rPr>
              <w:t>15</w:t>
            </w:r>
            <w:r w:rsidRPr="00EB6899">
              <w:rPr>
                <w:rFonts w:ascii="Times New Roman" w:hAnsi="Times New Roman" w:cs="Times New Roman"/>
                <w:noProof/>
                <w:sz w:val="24"/>
                <w:szCs w:val="24"/>
              </w:rPr>
              <w:fldChar w:fldCharType="end"/>
            </w:r>
          </w:hyperlink>
        </w:p>
        <w:p w14:paraId="535191FE" w14:textId="0A8D67F1" w:rsidR="00EB6899" w:rsidRPr="00EB6899" w:rsidRDefault="00EB6899" w:rsidP="00EB6899">
          <w:pPr>
            <w:pStyle w:val="TOC2"/>
            <w:tabs>
              <w:tab w:val="right" w:leader="dot" w:pos="8834"/>
            </w:tabs>
            <w:spacing w:line="360" w:lineRule="auto"/>
            <w:ind w:left="0"/>
            <w:jc w:val="both"/>
            <w:rPr>
              <w:rFonts w:ascii="Times New Roman" w:eastAsiaTheme="minorEastAsia" w:hAnsi="Times New Roman" w:cs="Times New Roman"/>
              <w:smallCaps w:val="0"/>
              <w:noProof/>
              <w:sz w:val="24"/>
              <w:szCs w:val="24"/>
              <w14:ligatures w14:val="standardContextual"/>
            </w:rPr>
          </w:pPr>
          <w:hyperlink w:anchor="_Toc220680454" w:history="1">
            <w:r w:rsidRPr="00EB6899">
              <w:rPr>
                <w:rStyle w:val="aff9"/>
                <w:noProof/>
                <w:sz w:val="24"/>
                <w:szCs w:val="24"/>
              </w:rPr>
              <w:t>1.6</w:t>
            </w:r>
            <w:r w:rsidRPr="00EB6899">
              <w:rPr>
                <w:rStyle w:val="aff9"/>
                <w:noProof/>
                <w:sz w:val="24"/>
                <w:szCs w:val="24"/>
              </w:rPr>
              <w:t>评价工作等级及评价范围</w:t>
            </w:r>
            <w:r w:rsidRPr="00EB6899">
              <w:rPr>
                <w:rFonts w:ascii="Times New Roman" w:hAnsi="Times New Roman" w:cs="Times New Roman"/>
                <w:noProof/>
                <w:sz w:val="24"/>
                <w:szCs w:val="24"/>
              </w:rPr>
              <w:tab/>
            </w:r>
            <w:r w:rsidRPr="00EB6899">
              <w:rPr>
                <w:rFonts w:ascii="Times New Roman" w:hAnsi="Times New Roman" w:cs="Times New Roman"/>
                <w:noProof/>
                <w:sz w:val="24"/>
                <w:szCs w:val="24"/>
              </w:rPr>
              <w:fldChar w:fldCharType="begin"/>
            </w:r>
            <w:r w:rsidRPr="00EB6899">
              <w:rPr>
                <w:rFonts w:ascii="Times New Roman" w:hAnsi="Times New Roman" w:cs="Times New Roman"/>
                <w:noProof/>
                <w:sz w:val="24"/>
                <w:szCs w:val="24"/>
              </w:rPr>
              <w:instrText xml:space="preserve"> PAGEREF _Toc220680454 \h </w:instrText>
            </w:r>
            <w:r w:rsidRPr="00EB6899">
              <w:rPr>
                <w:rFonts w:ascii="Times New Roman" w:hAnsi="Times New Roman" w:cs="Times New Roman"/>
                <w:noProof/>
                <w:sz w:val="24"/>
                <w:szCs w:val="24"/>
              </w:rPr>
            </w:r>
            <w:r w:rsidRPr="00EB6899">
              <w:rPr>
                <w:rFonts w:ascii="Times New Roman" w:hAnsi="Times New Roman" w:cs="Times New Roman"/>
                <w:noProof/>
                <w:sz w:val="24"/>
                <w:szCs w:val="24"/>
              </w:rPr>
              <w:fldChar w:fldCharType="separate"/>
            </w:r>
            <w:r w:rsidR="00462C44">
              <w:rPr>
                <w:rFonts w:ascii="Times New Roman" w:hAnsi="Times New Roman" w:cs="Times New Roman"/>
                <w:noProof/>
                <w:sz w:val="24"/>
                <w:szCs w:val="24"/>
              </w:rPr>
              <w:t>20</w:t>
            </w:r>
            <w:r w:rsidRPr="00EB6899">
              <w:rPr>
                <w:rFonts w:ascii="Times New Roman" w:hAnsi="Times New Roman" w:cs="Times New Roman"/>
                <w:noProof/>
                <w:sz w:val="24"/>
                <w:szCs w:val="24"/>
              </w:rPr>
              <w:fldChar w:fldCharType="end"/>
            </w:r>
          </w:hyperlink>
        </w:p>
        <w:p w14:paraId="630F7FDB" w14:textId="1AF0407A" w:rsidR="00EB6899" w:rsidRPr="00EB6899" w:rsidRDefault="00EB6899" w:rsidP="00EB6899">
          <w:pPr>
            <w:pStyle w:val="TOC2"/>
            <w:tabs>
              <w:tab w:val="right" w:leader="dot" w:pos="8834"/>
            </w:tabs>
            <w:spacing w:line="360" w:lineRule="auto"/>
            <w:ind w:left="0"/>
            <w:jc w:val="both"/>
            <w:rPr>
              <w:rFonts w:ascii="Times New Roman" w:eastAsiaTheme="minorEastAsia" w:hAnsi="Times New Roman" w:cs="Times New Roman"/>
              <w:smallCaps w:val="0"/>
              <w:noProof/>
              <w:sz w:val="24"/>
              <w:szCs w:val="24"/>
              <w14:ligatures w14:val="standardContextual"/>
            </w:rPr>
          </w:pPr>
          <w:hyperlink w:anchor="_Toc220680457" w:history="1">
            <w:r w:rsidRPr="00EB6899">
              <w:rPr>
                <w:rStyle w:val="aff9"/>
                <w:noProof/>
                <w:sz w:val="24"/>
                <w:szCs w:val="24"/>
              </w:rPr>
              <w:t>1.7</w:t>
            </w:r>
            <w:r w:rsidRPr="00EB6899">
              <w:rPr>
                <w:rStyle w:val="aff9"/>
                <w:noProof/>
                <w:sz w:val="24"/>
                <w:szCs w:val="24"/>
              </w:rPr>
              <w:t>环境保护目标</w:t>
            </w:r>
            <w:r w:rsidRPr="00EB6899">
              <w:rPr>
                <w:rFonts w:ascii="Times New Roman" w:hAnsi="Times New Roman" w:cs="Times New Roman"/>
                <w:noProof/>
                <w:sz w:val="24"/>
                <w:szCs w:val="24"/>
              </w:rPr>
              <w:tab/>
            </w:r>
            <w:r w:rsidRPr="00EB6899">
              <w:rPr>
                <w:rFonts w:ascii="Times New Roman" w:hAnsi="Times New Roman" w:cs="Times New Roman"/>
                <w:noProof/>
                <w:sz w:val="24"/>
                <w:szCs w:val="24"/>
              </w:rPr>
              <w:fldChar w:fldCharType="begin"/>
            </w:r>
            <w:r w:rsidRPr="00EB6899">
              <w:rPr>
                <w:rFonts w:ascii="Times New Roman" w:hAnsi="Times New Roman" w:cs="Times New Roman"/>
                <w:noProof/>
                <w:sz w:val="24"/>
                <w:szCs w:val="24"/>
              </w:rPr>
              <w:instrText xml:space="preserve"> PAGEREF _Toc220680457 \h </w:instrText>
            </w:r>
            <w:r w:rsidRPr="00EB6899">
              <w:rPr>
                <w:rFonts w:ascii="Times New Roman" w:hAnsi="Times New Roman" w:cs="Times New Roman"/>
                <w:noProof/>
                <w:sz w:val="24"/>
                <w:szCs w:val="24"/>
              </w:rPr>
            </w:r>
            <w:r w:rsidRPr="00EB6899">
              <w:rPr>
                <w:rFonts w:ascii="Times New Roman" w:hAnsi="Times New Roman" w:cs="Times New Roman"/>
                <w:noProof/>
                <w:sz w:val="24"/>
                <w:szCs w:val="24"/>
              </w:rPr>
              <w:fldChar w:fldCharType="separate"/>
            </w:r>
            <w:r w:rsidR="00462C44">
              <w:rPr>
                <w:rFonts w:ascii="Times New Roman" w:hAnsi="Times New Roman" w:cs="Times New Roman"/>
                <w:noProof/>
                <w:sz w:val="24"/>
                <w:szCs w:val="24"/>
              </w:rPr>
              <w:t>31</w:t>
            </w:r>
            <w:r w:rsidRPr="00EB6899">
              <w:rPr>
                <w:rFonts w:ascii="Times New Roman" w:hAnsi="Times New Roman" w:cs="Times New Roman"/>
                <w:noProof/>
                <w:sz w:val="24"/>
                <w:szCs w:val="24"/>
              </w:rPr>
              <w:fldChar w:fldCharType="end"/>
            </w:r>
          </w:hyperlink>
        </w:p>
        <w:p w14:paraId="64A8DE35" w14:textId="7AF0505A" w:rsidR="00EB6899" w:rsidRPr="00EB6899" w:rsidRDefault="00EB6899" w:rsidP="00EB6899">
          <w:pPr>
            <w:pStyle w:val="TOC1"/>
            <w:tabs>
              <w:tab w:val="right" w:leader="dot" w:pos="8834"/>
            </w:tabs>
            <w:spacing w:before="0" w:after="0" w:line="360" w:lineRule="auto"/>
            <w:jc w:val="both"/>
            <w:rPr>
              <w:rFonts w:ascii="Times New Roman" w:eastAsiaTheme="minorEastAsia" w:hAnsi="Times New Roman" w:cs="Times New Roman"/>
              <w:b w:val="0"/>
              <w:bCs w:val="0"/>
              <w:caps w:val="0"/>
              <w:noProof/>
              <w:sz w:val="24"/>
              <w:szCs w:val="24"/>
              <w14:ligatures w14:val="standardContextual"/>
            </w:rPr>
          </w:pPr>
          <w:hyperlink w:anchor="_Toc220680458" w:history="1">
            <w:r w:rsidRPr="00EB6899">
              <w:rPr>
                <w:rStyle w:val="aff9"/>
                <w:b w:val="0"/>
                <w:bCs w:val="0"/>
                <w:noProof/>
                <w:sz w:val="24"/>
                <w:szCs w:val="24"/>
              </w:rPr>
              <w:t>第二章</w:t>
            </w:r>
            <w:r w:rsidRPr="00EB6899">
              <w:rPr>
                <w:rStyle w:val="aff9"/>
                <w:b w:val="0"/>
                <w:bCs w:val="0"/>
                <w:noProof/>
                <w:sz w:val="24"/>
                <w:szCs w:val="24"/>
              </w:rPr>
              <w:t xml:space="preserve">  </w:t>
            </w:r>
            <w:r w:rsidRPr="00EB6899">
              <w:rPr>
                <w:rStyle w:val="aff9"/>
                <w:b w:val="0"/>
                <w:bCs w:val="0"/>
                <w:noProof/>
                <w:sz w:val="24"/>
                <w:szCs w:val="24"/>
              </w:rPr>
              <w:t>概况及工程分析</w:t>
            </w:r>
            <w:r w:rsidRPr="00EB6899">
              <w:rPr>
                <w:rFonts w:ascii="Times New Roman" w:hAnsi="Times New Roman" w:cs="Times New Roman"/>
                <w:b w:val="0"/>
                <w:bCs w:val="0"/>
                <w:noProof/>
                <w:sz w:val="24"/>
                <w:szCs w:val="24"/>
              </w:rPr>
              <w:tab/>
            </w:r>
            <w:r w:rsidRPr="00EB6899">
              <w:rPr>
                <w:rFonts w:ascii="Times New Roman" w:hAnsi="Times New Roman" w:cs="Times New Roman"/>
                <w:b w:val="0"/>
                <w:bCs w:val="0"/>
                <w:noProof/>
                <w:sz w:val="24"/>
                <w:szCs w:val="24"/>
              </w:rPr>
              <w:fldChar w:fldCharType="begin"/>
            </w:r>
            <w:r w:rsidRPr="00EB6899">
              <w:rPr>
                <w:rFonts w:ascii="Times New Roman" w:hAnsi="Times New Roman" w:cs="Times New Roman"/>
                <w:b w:val="0"/>
                <w:bCs w:val="0"/>
                <w:noProof/>
                <w:sz w:val="24"/>
                <w:szCs w:val="24"/>
              </w:rPr>
              <w:instrText xml:space="preserve"> PAGEREF _Toc220680458 \h </w:instrText>
            </w:r>
            <w:r w:rsidRPr="00EB6899">
              <w:rPr>
                <w:rFonts w:ascii="Times New Roman" w:hAnsi="Times New Roman" w:cs="Times New Roman"/>
                <w:b w:val="0"/>
                <w:bCs w:val="0"/>
                <w:noProof/>
                <w:sz w:val="24"/>
                <w:szCs w:val="24"/>
              </w:rPr>
            </w:r>
            <w:r w:rsidRPr="00EB6899">
              <w:rPr>
                <w:rFonts w:ascii="Times New Roman" w:hAnsi="Times New Roman" w:cs="Times New Roman"/>
                <w:b w:val="0"/>
                <w:bCs w:val="0"/>
                <w:noProof/>
                <w:sz w:val="24"/>
                <w:szCs w:val="24"/>
              </w:rPr>
              <w:fldChar w:fldCharType="separate"/>
            </w:r>
            <w:r w:rsidR="00462C44">
              <w:rPr>
                <w:rFonts w:ascii="Times New Roman" w:hAnsi="Times New Roman" w:cs="Times New Roman"/>
                <w:b w:val="0"/>
                <w:bCs w:val="0"/>
                <w:noProof/>
                <w:sz w:val="24"/>
                <w:szCs w:val="24"/>
              </w:rPr>
              <w:t>34</w:t>
            </w:r>
            <w:r w:rsidRPr="00EB6899">
              <w:rPr>
                <w:rFonts w:ascii="Times New Roman" w:hAnsi="Times New Roman" w:cs="Times New Roman"/>
                <w:b w:val="0"/>
                <w:bCs w:val="0"/>
                <w:noProof/>
                <w:sz w:val="24"/>
                <w:szCs w:val="24"/>
              </w:rPr>
              <w:fldChar w:fldCharType="end"/>
            </w:r>
          </w:hyperlink>
        </w:p>
        <w:p w14:paraId="3D617570" w14:textId="712D790F" w:rsidR="00EB6899" w:rsidRPr="00EB6899" w:rsidRDefault="00EB6899" w:rsidP="00EB6899">
          <w:pPr>
            <w:pStyle w:val="TOC2"/>
            <w:tabs>
              <w:tab w:val="right" w:leader="dot" w:pos="8834"/>
            </w:tabs>
            <w:spacing w:line="360" w:lineRule="auto"/>
            <w:ind w:left="0"/>
            <w:jc w:val="both"/>
            <w:rPr>
              <w:rFonts w:ascii="Times New Roman" w:eastAsiaTheme="minorEastAsia" w:hAnsi="Times New Roman" w:cs="Times New Roman"/>
              <w:smallCaps w:val="0"/>
              <w:noProof/>
              <w:sz w:val="24"/>
              <w:szCs w:val="24"/>
              <w14:ligatures w14:val="standardContextual"/>
            </w:rPr>
          </w:pPr>
          <w:hyperlink w:anchor="_Toc220680459" w:history="1">
            <w:r w:rsidRPr="00EB6899">
              <w:rPr>
                <w:rStyle w:val="aff9"/>
                <w:noProof/>
                <w:sz w:val="24"/>
                <w:szCs w:val="24"/>
              </w:rPr>
              <w:t>2.1</w:t>
            </w:r>
            <w:r w:rsidRPr="00EB6899">
              <w:rPr>
                <w:rStyle w:val="aff9"/>
                <w:noProof/>
                <w:sz w:val="24"/>
                <w:szCs w:val="24"/>
              </w:rPr>
              <w:t>现有工程回顾分析</w:t>
            </w:r>
            <w:r w:rsidRPr="00EB6899">
              <w:rPr>
                <w:rFonts w:ascii="Times New Roman" w:hAnsi="Times New Roman" w:cs="Times New Roman"/>
                <w:noProof/>
                <w:sz w:val="24"/>
                <w:szCs w:val="24"/>
              </w:rPr>
              <w:tab/>
            </w:r>
            <w:r w:rsidRPr="00EB6899">
              <w:rPr>
                <w:rFonts w:ascii="Times New Roman" w:hAnsi="Times New Roman" w:cs="Times New Roman"/>
                <w:noProof/>
                <w:sz w:val="24"/>
                <w:szCs w:val="24"/>
              </w:rPr>
              <w:fldChar w:fldCharType="begin"/>
            </w:r>
            <w:r w:rsidRPr="00EB6899">
              <w:rPr>
                <w:rFonts w:ascii="Times New Roman" w:hAnsi="Times New Roman" w:cs="Times New Roman"/>
                <w:noProof/>
                <w:sz w:val="24"/>
                <w:szCs w:val="24"/>
              </w:rPr>
              <w:instrText xml:space="preserve"> PAGEREF _Toc220680459 \h </w:instrText>
            </w:r>
            <w:r w:rsidRPr="00EB6899">
              <w:rPr>
                <w:rFonts w:ascii="Times New Roman" w:hAnsi="Times New Roman" w:cs="Times New Roman"/>
                <w:noProof/>
                <w:sz w:val="24"/>
                <w:szCs w:val="24"/>
              </w:rPr>
            </w:r>
            <w:r w:rsidRPr="00EB6899">
              <w:rPr>
                <w:rFonts w:ascii="Times New Roman" w:hAnsi="Times New Roman" w:cs="Times New Roman"/>
                <w:noProof/>
                <w:sz w:val="24"/>
                <w:szCs w:val="24"/>
              </w:rPr>
              <w:fldChar w:fldCharType="separate"/>
            </w:r>
            <w:r w:rsidR="00462C44">
              <w:rPr>
                <w:rFonts w:ascii="Times New Roman" w:hAnsi="Times New Roman" w:cs="Times New Roman"/>
                <w:noProof/>
                <w:sz w:val="24"/>
                <w:szCs w:val="24"/>
              </w:rPr>
              <w:t>34</w:t>
            </w:r>
            <w:r w:rsidRPr="00EB6899">
              <w:rPr>
                <w:rFonts w:ascii="Times New Roman" w:hAnsi="Times New Roman" w:cs="Times New Roman"/>
                <w:noProof/>
                <w:sz w:val="24"/>
                <w:szCs w:val="24"/>
              </w:rPr>
              <w:fldChar w:fldCharType="end"/>
            </w:r>
          </w:hyperlink>
        </w:p>
        <w:p w14:paraId="1D1A70CD" w14:textId="5F26B027" w:rsidR="00EB6899" w:rsidRPr="00EB6899" w:rsidRDefault="00EB6899" w:rsidP="00EB6899">
          <w:pPr>
            <w:pStyle w:val="TOC2"/>
            <w:tabs>
              <w:tab w:val="right" w:leader="dot" w:pos="8834"/>
            </w:tabs>
            <w:spacing w:line="360" w:lineRule="auto"/>
            <w:ind w:left="0"/>
            <w:jc w:val="both"/>
            <w:rPr>
              <w:rFonts w:ascii="Times New Roman" w:eastAsiaTheme="minorEastAsia" w:hAnsi="Times New Roman" w:cs="Times New Roman"/>
              <w:smallCaps w:val="0"/>
              <w:noProof/>
              <w:sz w:val="24"/>
              <w:szCs w:val="24"/>
              <w14:ligatures w14:val="standardContextual"/>
            </w:rPr>
          </w:pPr>
          <w:hyperlink w:anchor="_Toc220680464" w:history="1">
            <w:r w:rsidRPr="00EB6899">
              <w:rPr>
                <w:rStyle w:val="aff9"/>
                <w:noProof/>
                <w:sz w:val="24"/>
                <w:szCs w:val="24"/>
              </w:rPr>
              <w:t>2.2</w:t>
            </w:r>
            <w:r w:rsidRPr="00EB6899">
              <w:rPr>
                <w:rStyle w:val="aff9"/>
                <w:noProof/>
                <w:sz w:val="24"/>
                <w:szCs w:val="24"/>
              </w:rPr>
              <w:t>改建项目概况</w:t>
            </w:r>
            <w:r w:rsidRPr="00EB6899">
              <w:rPr>
                <w:rFonts w:ascii="Times New Roman" w:hAnsi="Times New Roman" w:cs="Times New Roman"/>
                <w:noProof/>
                <w:sz w:val="24"/>
                <w:szCs w:val="24"/>
              </w:rPr>
              <w:tab/>
            </w:r>
            <w:r w:rsidRPr="00EB6899">
              <w:rPr>
                <w:rFonts w:ascii="Times New Roman" w:hAnsi="Times New Roman" w:cs="Times New Roman"/>
                <w:noProof/>
                <w:sz w:val="24"/>
                <w:szCs w:val="24"/>
              </w:rPr>
              <w:fldChar w:fldCharType="begin"/>
            </w:r>
            <w:r w:rsidRPr="00EB6899">
              <w:rPr>
                <w:rFonts w:ascii="Times New Roman" w:hAnsi="Times New Roman" w:cs="Times New Roman"/>
                <w:noProof/>
                <w:sz w:val="24"/>
                <w:szCs w:val="24"/>
              </w:rPr>
              <w:instrText xml:space="preserve"> PAGEREF _Toc220680464 \h </w:instrText>
            </w:r>
            <w:r w:rsidRPr="00EB6899">
              <w:rPr>
                <w:rFonts w:ascii="Times New Roman" w:hAnsi="Times New Roman" w:cs="Times New Roman"/>
                <w:noProof/>
                <w:sz w:val="24"/>
                <w:szCs w:val="24"/>
              </w:rPr>
            </w:r>
            <w:r w:rsidRPr="00EB6899">
              <w:rPr>
                <w:rFonts w:ascii="Times New Roman" w:hAnsi="Times New Roman" w:cs="Times New Roman"/>
                <w:noProof/>
                <w:sz w:val="24"/>
                <w:szCs w:val="24"/>
              </w:rPr>
              <w:fldChar w:fldCharType="separate"/>
            </w:r>
            <w:r w:rsidR="00462C44">
              <w:rPr>
                <w:rFonts w:ascii="Times New Roman" w:hAnsi="Times New Roman" w:cs="Times New Roman"/>
                <w:noProof/>
                <w:sz w:val="24"/>
                <w:szCs w:val="24"/>
              </w:rPr>
              <w:t>59</w:t>
            </w:r>
            <w:r w:rsidRPr="00EB6899">
              <w:rPr>
                <w:rFonts w:ascii="Times New Roman" w:hAnsi="Times New Roman" w:cs="Times New Roman"/>
                <w:noProof/>
                <w:sz w:val="24"/>
                <w:szCs w:val="24"/>
              </w:rPr>
              <w:fldChar w:fldCharType="end"/>
            </w:r>
          </w:hyperlink>
        </w:p>
        <w:p w14:paraId="23EF328E" w14:textId="36E98FA2" w:rsidR="00EB6899" w:rsidRPr="00EB6899" w:rsidRDefault="00EB6899" w:rsidP="00EB6899">
          <w:pPr>
            <w:pStyle w:val="TOC2"/>
            <w:tabs>
              <w:tab w:val="right" w:leader="dot" w:pos="8834"/>
            </w:tabs>
            <w:spacing w:line="360" w:lineRule="auto"/>
            <w:ind w:left="0"/>
            <w:jc w:val="both"/>
            <w:rPr>
              <w:rFonts w:ascii="Times New Roman" w:eastAsiaTheme="minorEastAsia" w:hAnsi="Times New Roman" w:cs="Times New Roman"/>
              <w:smallCaps w:val="0"/>
              <w:noProof/>
              <w:sz w:val="24"/>
              <w:szCs w:val="24"/>
              <w14:ligatures w14:val="standardContextual"/>
            </w:rPr>
          </w:pPr>
          <w:hyperlink w:anchor="_Toc220680475" w:history="1">
            <w:r w:rsidRPr="00EB6899">
              <w:rPr>
                <w:rStyle w:val="aff9"/>
                <w:noProof/>
                <w:sz w:val="24"/>
                <w:szCs w:val="24"/>
              </w:rPr>
              <w:t>2.3</w:t>
            </w:r>
            <w:r w:rsidRPr="00EB6899">
              <w:rPr>
                <w:rStyle w:val="aff9"/>
                <w:noProof/>
                <w:sz w:val="24"/>
                <w:szCs w:val="24"/>
              </w:rPr>
              <w:t>工程分析</w:t>
            </w:r>
            <w:r w:rsidRPr="00EB6899">
              <w:rPr>
                <w:rFonts w:ascii="Times New Roman" w:hAnsi="Times New Roman" w:cs="Times New Roman"/>
                <w:noProof/>
                <w:sz w:val="24"/>
                <w:szCs w:val="24"/>
              </w:rPr>
              <w:tab/>
            </w:r>
            <w:r w:rsidRPr="00EB6899">
              <w:rPr>
                <w:rFonts w:ascii="Times New Roman" w:hAnsi="Times New Roman" w:cs="Times New Roman"/>
                <w:noProof/>
                <w:sz w:val="24"/>
                <w:szCs w:val="24"/>
              </w:rPr>
              <w:fldChar w:fldCharType="begin"/>
            </w:r>
            <w:r w:rsidRPr="00EB6899">
              <w:rPr>
                <w:rFonts w:ascii="Times New Roman" w:hAnsi="Times New Roman" w:cs="Times New Roman"/>
                <w:noProof/>
                <w:sz w:val="24"/>
                <w:szCs w:val="24"/>
              </w:rPr>
              <w:instrText xml:space="preserve"> PAGEREF _Toc220680475 \h </w:instrText>
            </w:r>
            <w:r w:rsidRPr="00EB6899">
              <w:rPr>
                <w:rFonts w:ascii="Times New Roman" w:hAnsi="Times New Roman" w:cs="Times New Roman"/>
                <w:noProof/>
                <w:sz w:val="24"/>
                <w:szCs w:val="24"/>
              </w:rPr>
            </w:r>
            <w:r w:rsidRPr="00EB6899">
              <w:rPr>
                <w:rFonts w:ascii="Times New Roman" w:hAnsi="Times New Roman" w:cs="Times New Roman"/>
                <w:noProof/>
                <w:sz w:val="24"/>
                <w:szCs w:val="24"/>
              </w:rPr>
              <w:fldChar w:fldCharType="separate"/>
            </w:r>
            <w:r w:rsidR="00462C44">
              <w:rPr>
                <w:rFonts w:ascii="Times New Roman" w:hAnsi="Times New Roman" w:cs="Times New Roman"/>
                <w:noProof/>
                <w:sz w:val="24"/>
                <w:szCs w:val="24"/>
              </w:rPr>
              <w:t>73</w:t>
            </w:r>
            <w:r w:rsidRPr="00EB6899">
              <w:rPr>
                <w:rFonts w:ascii="Times New Roman" w:hAnsi="Times New Roman" w:cs="Times New Roman"/>
                <w:noProof/>
                <w:sz w:val="24"/>
                <w:szCs w:val="24"/>
              </w:rPr>
              <w:fldChar w:fldCharType="end"/>
            </w:r>
          </w:hyperlink>
        </w:p>
        <w:p w14:paraId="6E98CD65" w14:textId="31BF4594" w:rsidR="00EB6899" w:rsidRPr="00EB6899" w:rsidRDefault="00EB6899" w:rsidP="00EB6899">
          <w:pPr>
            <w:pStyle w:val="TOC1"/>
            <w:tabs>
              <w:tab w:val="right" w:leader="dot" w:pos="8834"/>
            </w:tabs>
            <w:spacing w:before="0" w:after="0" w:line="360" w:lineRule="auto"/>
            <w:jc w:val="both"/>
            <w:rPr>
              <w:rFonts w:ascii="Times New Roman" w:eastAsiaTheme="minorEastAsia" w:hAnsi="Times New Roman" w:cs="Times New Roman"/>
              <w:b w:val="0"/>
              <w:bCs w:val="0"/>
              <w:caps w:val="0"/>
              <w:noProof/>
              <w:sz w:val="24"/>
              <w:szCs w:val="24"/>
              <w14:ligatures w14:val="standardContextual"/>
            </w:rPr>
          </w:pPr>
          <w:hyperlink w:anchor="_Toc220680480" w:history="1">
            <w:r w:rsidRPr="00EB6899">
              <w:rPr>
                <w:rStyle w:val="aff9"/>
                <w:b w:val="0"/>
                <w:bCs w:val="0"/>
                <w:noProof/>
                <w:sz w:val="24"/>
                <w:szCs w:val="24"/>
              </w:rPr>
              <w:t>第三章</w:t>
            </w:r>
            <w:r w:rsidRPr="00EB6899">
              <w:rPr>
                <w:rStyle w:val="aff9"/>
                <w:b w:val="0"/>
                <w:bCs w:val="0"/>
                <w:noProof/>
                <w:sz w:val="24"/>
                <w:szCs w:val="24"/>
              </w:rPr>
              <w:t xml:space="preserve"> </w:t>
            </w:r>
            <w:r w:rsidRPr="00EB6899">
              <w:rPr>
                <w:rStyle w:val="aff9"/>
                <w:b w:val="0"/>
                <w:bCs w:val="0"/>
                <w:noProof/>
                <w:sz w:val="24"/>
                <w:szCs w:val="24"/>
              </w:rPr>
              <w:t>分析判定相关情况</w:t>
            </w:r>
            <w:r w:rsidRPr="00EB6899">
              <w:rPr>
                <w:rFonts w:ascii="Times New Roman" w:hAnsi="Times New Roman" w:cs="Times New Roman"/>
                <w:b w:val="0"/>
                <w:bCs w:val="0"/>
                <w:noProof/>
                <w:sz w:val="24"/>
                <w:szCs w:val="24"/>
              </w:rPr>
              <w:tab/>
            </w:r>
            <w:r w:rsidRPr="00EB6899">
              <w:rPr>
                <w:rFonts w:ascii="Times New Roman" w:hAnsi="Times New Roman" w:cs="Times New Roman"/>
                <w:b w:val="0"/>
                <w:bCs w:val="0"/>
                <w:noProof/>
                <w:sz w:val="24"/>
                <w:szCs w:val="24"/>
              </w:rPr>
              <w:fldChar w:fldCharType="begin"/>
            </w:r>
            <w:r w:rsidRPr="00EB6899">
              <w:rPr>
                <w:rFonts w:ascii="Times New Roman" w:hAnsi="Times New Roman" w:cs="Times New Roman"/>
                <w:b w:val="0"/>
                <w:bCs w:val="0"/>
                <w:noProof/>
                <w:sz w:val="24"/>
                <w:szCs w:val="24"/>
              </w:rPr>
              <w:instrText xml:space="preserve"> PAGEREF _Toc220680480 \h </w:instrText>
            </w:r>
            <w:r w:rsidRPr="00EB6899">
              <w:rPr>
                <w:rFonts w:ascii="Times New Roman" w:hAnsi="Times New Roman" w:cs="Times New Roman"/>
                <w:b w:val="0"/>
                <w:bCs w:val="0"/>
                <w:noProof/>
                <w:sz w:val="24"/>
                <w:szCs w:val="24"/>
              </w:rPr>
            </w:r>
            <w:r w:rsidRPr="00EB6899">
              <w:rPr>
                <w:rFonts w:ascii="Times New Roman" w:hAnsi="Times New Roman" w:cs="Times New Roman"/>
                <w:b w:val="0"/>
                <w:bCs w:val="0"/>
                <w:noProof/>
                <w:sz w:val="24"/>
                <w:szCs w:val="24"/>
              </w:rPr>
              <w:fldChar w:fldCharType="separate"/>
            </w:r>
            <w:r w:rsidR="00462C44">
              <w:rPr>
                <w:rFonts w:ascii="Times New Roman" w:hAnsi="Times New Roman" w:cs="Times New Roman"/>
                <w:b w:val="0"/>
                <w:bCs w:val="0"/>
                <w:noProof/>
                <w:sz w:val="24"/>
                <w:szCs w:val="24"/>
              </w:rPr>
              <w:t>80</w:t>
            </w:r>
            <w:r w:rsidRPr="00EB6899">
              <w:rPr>
                <w:rFonts w:ascii="Times New Roman" w:hAnsi="Times New Roman" w:cs="Times New Roman"/>
                <w:b w:val="0"/>
                <w:bCs w:val="0"/>
                <w:noProof/>
                <w:sz w:val="24"/>
                <w:szCs w:val="24"/>
              </w:rPr>
              <w:fldChar w:fldCharType="end"/>
            </w:r>
          </w:hyperlink>
        </w:p>
        <w:p w14:paraId="770C80EB" w14:textId="4DA49C61" w:rsidR="00EB6899" w:rsidRPr="00EB6899" w:rsidRDefault="00EB6899" w:rsidP="00EB6899">
          <w:pPr>
            <w:pStyle w:val="TOC2"/>
            <w:tabs>
              <w:tab w:val="right" w:leader="dot" w:pos="8834"/>
            </w:tabs>
            <w:spacing w:line="360" w:lineRule="auto"/>
            <w:ind w:left="0"/>
            <w:jc w:val="both"/>
            <w:rPr>
              <w:rFonts w:ascii="Times New Roman" w:eastAsiaTheme="minorEastAsia" w:hAnsi="Times New Roman" w:cs="Times New Roman"/>
              <w:smallCaps w:val="0"/>
              <w:noProof/>
              <w:sz w:val="24"/>
              <w:szCs w:val="24"/>
              <w14:ligatures w14:val="standardContextual"/>
            </w:rPr>
          </w:pPr>
          <w:hyperlink w:anchor="_Toc220680481" w:history="1">
            <w:r w:rsidRPr="00EB6899">
              <w:rPr>
                <w:rStyle w:val="aff9"/>
                <w:noProof/>
                <w:sz w:val="24"/>
                <w:szCs w:val="24"/>
              </w:rPr>
              <w:t>3.1</w:t>
            </w:r>
            <w:r w:rsidRPr="00EB6899">
              <w:rPr>
                <w:rStyle w:val="aff9"/>
                <w:noProof/>
                <w:sz w:val="24"/>
                <w:szCs w:val="24"/>
              </w:rPr>
              <w:t>产业政策的符合性</w:t>
            </w:r>
            <w:r w:rsidRPr="00EB6899">
              <w:rPr>
                <w:rFonts w:ascii="Times New Roman" w:hAnsi="Times New Roman" w:cs="Times New Roman"/>
                <w:noProof/>
                <w:sz w:val="24"/>
                <w:szCs w:val="24"/>
              </w:rPr>
              <w:tab/>
            </w:r>
            <w:r w:rsidRPr="00EB6899">
              <w:rPr>
                <w:rFonts w:ascii="Times New Roman" w:hAnsi="Times New Roman" w:cs="Times New Roman"/>
                <w:noProof/>
                <w:sz w:val="24"/>
                <w:szCs w:val="24"/>
              </w:rPr>
              <w:fldChar w:fldCharType="begin"/>
            </w:r>
            <w:r w:rsidRPr="00EB6899">
              <w:rPr>
                <w:rFonts w:ascii="Times New Roman" w:hAnsi="Times New Roman" w:cs="Times New Roman"/>
                <w:noProof/>
                <w:sz w:val="24"/>
                <w:szCs w:val="24"/>
              </w:rPr>
              <w:instrText xml:space="preserve"> PAGEREF _Toc220680481 \h </w:instrText>
            </w:r>
            <w:r w:rsidRPr="00EB6899">
              <w:rPr>
                <w:rFonts w:ascii="Times New Roman" w:hAnsi="Times New Roman" w:cs="Times New Roman"/>
                <w:noProof/>
                <w:sz w:val="24"/>
                <w:szCs w:val="24"/>
              </w:rPr>
            </w:r>
            <w:r w:rsidRPr="00EB6899">
              <w:rPr>
                <w:rFonts w:ascii="Times New Roman" w:hAnsi="Times New Roman" w:cs="Times New Roman"/>
                <w:noProof/>
                <w:sz w:val="24"/>
                <w:szCs w:val="24"/>
              </w:rPr>
              <w:fldChar w:fldCharType="separate"/>
            </w:r>
            <w:r w:rsidR="00462C44">
              <w:rPr>
                <w:rFonts w:ascii="Times New Roman" w:hAnsi="Times New Roman" w:cs="Times New Roman"/>
                <w:noProof/>
                <w:sz w:val="24"/>
                <w:szCs w:val="24"/>
              </w:rPr>
              <w:t>80</w:t>
            </w:r>
            <w:r w:rsidRPr="00EB6899">
              <w:rPr>
                <w:rFonts w:ascii="Times New Roman" w:hAnsi="Times New Roman" w:cs="Times New Roman"/>
                <w:noProof/>
                <w:sz w:val="24"/>
                <w:szCs w:val="24"/>
              </w:rPr>
              <w:fldChar w:fldCharType="end"/>
            </w:r>
          </w:hyperlink>
        </w:p>
        <w:p w14:paraId="35BAA07F" w14:textId="48A83C0B" w:rsidR="00EB6899" w:rsidRPr="00EB6899" w:rsidRDefault="00EB6899" w:rsidP="00EB6899">
          <w:pPr>
            <w:pStyle w:val="TOC2"/>
            <w:tabs>
              <w:tab w:val="right" w:leader="dot" w:pos="8834"/>
            </w:tabs>
            <w:spacing w:line="360" w:lineRule="auto"/>
            <w:ind w:left="0"/>
            <w:jc w:val="both"/>
            <w:rPr>
              <w:rFonts w:ascii="Times New Roman" w:eastAsiaTheme="minorEastAsia" w:hAnsi="Times New Roman" w:cs="Times New Roman"/>
              <w:smallCaps w:val="0"/>
              <w:noProof/>
              <w:sz w:val="24"/>
              <w:szCs w:val="24"/>
              <w14:ligatures w14:val="standardContextual"/>
            </w:rPr>
          </w:pPr>
          <w:hyperlink w:anchor="_Toc220680482" w:history="1">
            <w:r w:rsidRPr="00EB6899">
              <w:rPr>
                <w:rStyle w:val="aff9"/>
                <w:noProof/>
                <w:sz w:val="24"/>
                <w:szCs w:val="24"/>
              </w:rPr>
              <w:t>3.2</w:t>
            </w:r>
            <w:r w:rsidRPr="00EB6899">
              <w:rPr>
                <w:rStyle w:val="aff9"/>
                <w:noProof/>
                <w:sz w:val="24"/>
                <w:szCs w:val="24"/>
              </w:rPr>
              <w:t>选址合理性分析</w:t>
            </w:r>
            <w:r w:rsidRPr="00EB6899">
              <w:rPr>
                <w:rFonts w:ascii="Times New Roman" w:hAnsi="Times New Roman" w:cs="Times New Roman"/>
                <w:noProof/>
                <w:sz w:val="24"/>
                <w:szCs w:val="24"/>
              </w:rPr>
              <w:tab/>
            </w:r>
            <w:r w:rsidRPr="00EB6899">
              <w:rPr>
                <w:rFonts w:ascii="Times New Roman" w:hAnsi="Times New Roman" w:cs="Times New Roman"/>
                <w:noProof/>
                <w:sz w:val="24"/>
                <w:szCs w:val="24"/>
              </w:rPr>
              <w:fldChar w:fldCharType="begin"/>
            </w:r>
            <w:r w:rsidRPr="00EB6899">
              <w:rPr>
                <w:rFonts w:ascii="Times New Roman" w:hAnsi="Times New Roman" w:cs="Times New Roman"/>
                <w:noProof/>
                <w:sz w:val="24"/>
                <w:szCs w:val="24"/>
              </w:rPr>
              <w:instrText xml:space="preserve"> PAGEREF _Toc220680482 \h </w:instrText>
            </w:r>
            <w:r w:rsidRPr="00EB6899">
              <w:rPr>
                <w:rFonts w:ascii="Times New Roman" w:hAnsi="Times New Roman" w:cs="Times New Roman"/>
                <w:noProof/>
                <w:sz w:val="24"/>
                <w:szCs w:val="24"/>
              </w:rPr>
            </w:r>
            <w:r w:rsidRPr="00EB6899">
              <w:rPr>
                <w:rFonts w:ascii="Times New Roman" w:hAnsi="Times New Roman" w:cs="Times New Roman"/>
                <w:noProof/>
                <w:sz w:val="24"/>
                <w:szCs w:val="24"/>
              </w:rPr>
              <w:fldChar w:fldCharType="separate"/>
            </w:r>
            <w:r w:rsidR="00462C44">
              <w:rPr>
                <w:rFonts w:ascii="Times New Roman" w:hAnsi="Times New Roman" w:cs="Times New Roman"/>
                <w:noProof/>
                <w:sz w:val="24"/>
                <w:szCs w:val="24"/>
              </w:rPr>
              <w:t>80</w:t>
            </w:r>
            <w:r w:rsidRPr="00EB6899">
              <w:rPr>
                <w:rFonts w:ascii="Times New Roman" w:hAnsi="Times New Roman" w:cs="Times New Roman"/>
                <w:noProof/>
                <w:sz w:val="24"/>
                <w:szCs w:val="24"/>
              </w:rPr>
              <w:fldChar w:fldCharType="end"/>
            </w:r>
          </w:hyperlink>
        </w:p>
        <w:p w14:paraId="2B498543" w14:textId="639A1C32" w:rsidR="00EB6899" w:rsidRPr="00EB6899" w:rsidRDefault="00EB6899" w:rsidP="00EB6899">
          <w:pPr>
            <w:pStyle w:val="TOC2"/>
            <w:tabs>
              <w:tab w:val="right" w:leader="dot" w:pos="8834"/>
            </w:tabs>
            <w:spacing w:line="360" w:lineRule="auto"/>
            <w:ind w:left="0"/>
            <w:jc w:val="both"/>
            <w:rPr>
              <w:rFonts w:ascii="Times New Roman" w:eastAsiaTheme="minorEastAsia" w:hAnsi="Times New Roman" w:cs="Times New Roman"/>
              <w:smallCaps w:val="0"/>
              <w:noProof/>
              <w:sz w:val="24"/>
              <w:szCs w:val="24"/>
              <w14:ligatures w14:val="standardContextual"/>
            </w:rPr>
          </w:pPr>
          <w:hyperlink w:anchor="_Toc220680486" w:history="1">
            <w:r w:rsidRPr="00EB6899">
              <w:rPr>
                <w:rStyle w:val="aff9"/>
                <w:noProof/>
                <w:sz w:val="24"/>
                <w:szCs w:val="24"/>
              </w:rPr>
              <w:t>3.3</w:t>
            </w:r>
            <w:r w:rsidRPr="00EB6899">
              <w:rPr>
                <w:rStyle w:val="aff9"/>
                <w:noProof/>
                <w:sz w:val="24"/>
                <w:szCs w:val="24"/>
              </w:rPr>
              <w:t>生态环境分区管控分析</w:t>
            </w:r>
            <w:r w:rsidRPr="00EB6899">
              <w:rPr>
                <w:rFonts w:ascii="Times New Roman" w:hAnsi="Times New Roman" w:cs="Times New Roman"/>
                <w:noProof/>
                <w:sz w:val="24"/>
                <w:szCs w:val="24"/>
              </w:rPr>
              <w:tab/>
            </w:r>
            <w:r w:rsidRPr="00EB6899">
              <w:rPr>
                <w:rFonts w:ascii="Times New Roman" w:hAnsi="Times New Roman" w:cs="Times New Roman"/>
                <w:noProof/>
                <w:sz w:val="24"/>
                <w:szCs w:val="24"/>
              </w:rPr>
              <w:fldChar w:fldCharType="begin"/>
            </w:r>
            <w:r w:rsidRPr="00EB6899">
              <w:rPr>
                <w:rFonts w:ascii="Times New Roman" w:hAnsi="Times New Roman" w:cs="Times New Roman"/>
                <w:noProof/>
                <w:sz w:val="24"/>
                <w:szCs w:val="24"/>
              </w:rPr>
              <w:instrText xml:space="preserve"> PAGEREF _Toc220680486 \h </w:instrText>
            </w:r>
            <w:r w:rsidRPr="00EB6899">
              <w:rPr>
                <w:rFonts w:ascii="Times New Roman" w:hAnsi="Times New Roman" w:cs="Times New Roman"/>
                <w:noProof/>
                <w:sz w:val="24"/>
                <w:szCs w:val="24"/>
              </w:rPr>
            </w:r>
            <w:r w:rsidRPr="00EB6899">
              <w:rPr>
                <w:rFonts w:ascii="Times New Roman" w:hAnsi="Times New Roman" w:cs="Times New Roman"/>
                <w:noProof/>
                <w:sz w:val="24"/>
                <w:szCs w:val="24"/>
              </w:rPr>
              <w:fldChar w:fldCharType="separate"/>
            </w:r>
            <w:r w:rsidR="00462C44">
              <w:rPr>
                <w:rFonts w:ascii="Times New Roman" w:hAnsi="Times New Roman" w:cs="Times New Roman"/>
                <w:noProof/>
                <w:sz w:val="24"/>
                <w:szCs w:val="24"/>
              </w:rPr>
              <w:t>82</w:t>
            </w:r>
            <w:r w:rsidRPr="00EB6899">
              <w:rPr>
                <w:rFonts w:ascii="Times New Roman" w:hAnsi="Times New Roman" w:cs="Times New Roman"/>
                <w:noProof/>
                <w:sz w:val="24"/>
                <w:szCs w:val="24"/>
              </w:rPr>
              <w:fldChar w:fldCharType="end"/>
            </w:r>
          </w:hyperlink>
        </w:p>
        <w:p w14:paraId="5DC27310" w14:textId="2A25961C" w:rsidR="00EB6899" w:rsidRPr="00EB6899" w:rsidRDefault="00EB6899" w:rsidP="00EB6899">
          <w:pPr>
            <w:pStyle w:val="TOC2"/>
            <w:tabs>
              <w:tab w:val="right" w:leader="dot" w:pos="8834"/>
            </w:tabs>
            <w:spacing w:line="360" w:lineRule="auto"/>
            <w:ind w:left="0"/>
            <w:jc w:val="both"/>
            <w:rPr>
              <w:rFonts w:ascii="Times New Roman" w:eastAsiaTheme="minorEastAsia" w:hAnsi="Times New Roman" w:cs="Times New Roman"/>
              <w:smallCaps w:val="0"/>
              <w:noProof/>
              <w:sz w:val="24"/>
              <w:szCs w:val="24"/>
              <w14:ligatures w14:val="standardContextual"/>
            </w:rPr>
          </w:pPr>
          <w:hyperlink w:anchor="_Toc220680490" w:history="1">
            <w:r w:rsidRPr="00EB6899">
              <w:rPr>
                <w:rStyle w:val="aff9"/>
                <w:noProof/>
                <w:sz w:val="24"/>
                <w:szCs w:val="24"/>
              </w:rPr>
              <w:t>3.4</w:t>
            </w:r>
            <w:r w:rsidRPr="00EB6899">
              <w:rPr>
                <w:rStyle w:val="aff9"/>
                <w:noProof/>
                <w:sz w:val="24"/>
                <w:szCs w:val="24"/>
              </w:rPr>
              <w:t>与《大庆市</w:t>
            </w:r>
            <w:r w:rsidRPr="00EB6899">
              <w:rPr>
                <w:rStyle w:val="aff9"/>
                <w:noProof/>
                <w:sz w:val="24"/>
                <w:szCs w:val="24"/>
              </w:rPr>
              <w:t>“</w:t>
            </w:r>
            <w:r w:rsidRPr="00EB6899">
              <w:rPr>
                <w:rStyle w:val="aff9"/>
                <w:noProof/>
                <w:sz w:val="24"/>
                <w:szCs w:val="24"/>
              </w:rPr>
              <w:t>十四五</w:t>
            </w:r>
            <w:r w:rsidRPr="00EB6899">
              <w:rPr>
                <w:rStyle w:val="aff9"/>
                <w:noProof/>
                <w:sz w:val="24"/>
                <w:szCs w:val="24"/>
              </w:rPr>
              <w:t>”</w:t>
            </w:r>
            <w:r w:rsidRPr="00EB6899">
              <w:rPr>
                <w:rStyle w:val="aff9"/>
                <w:noProof/>
                <w:sz w:val="24"/>
                <w:szCs w:val="24"/>
              </w:rPr>
              <w:t>生态环境保护规划》符合性分析</w:t>
            </w:r>
            <w:r w:rsidRPr="00EB6899">
              <w:rPr>
                <w:rFonts w:ascii="Times New Roman" w:hAnsi="Times New Roman" w:cs="Times New Roman"/>
                <w:noProof/>
                <w:sz w:val="24"/>
                <w:szCs w:val="24"/>
              </w:rPr>
              <w:tab/>
            </w:r>
            <w:r w:rsidRPr="00EB6899">
              <w:rPr>
                <w:rFonts w:ascii="Times New Roman" w:hAnsi="Times New Roman" w:cs="Times New Roman"/>
                <w:noProof/>
                <w:sz w:val="24"/>
                <w:szCs w:val="24"/>
              </w:rPr>
              <w:fldChar w:fldCharType="begin"/>
            </w:r>
            <w:r w:rsidRPr="00EB6899">
              <w:rPr>
                <w:rFonts w:ascii="Times New Roman" w:hAnsi="Times New Roman" w:cs="Times New Roman"/>
                <w:noProof/>
                <w:sz w:val="24"/>
                <w:szCs w:val="24"/>
              </w:rPr>
              <w:instrText xml:space="preserve"> PAGEREF _Toc220680490 \h </w:instrText>
            </w:r>
            <w:r w:rsidRPr="00EB6899">
              <w:rPr>
                <w:rFonts w:ascii="Times New Roman" w:hAnsi="Times New Roman" w:cs="Times New Roman"/>
                <w:noProof/>
                <w:sz w:val="24"/>
                <w:szCs w:val="24"/>
              </w:rPr>
            </w:r>
            <w:r w:rsidRPr="00EB6899">
              <w:rPr>
                <w:rFonts w:ascii="Times New Roman" w:hAnsi="Times New Roman" w:cs="Times New Roman"/>
                <w:noProof/>
                <w:sz w:val="24"/>
                <w:szCs w:val="24"/>
              </w:rPr>
              <w:fldChar w:fldCharType="separate"/>
            </w:r>
            <w:r w:rsidR="00462C44">
              <w:rPr>
                <w:rFonts w:ascii="Times New Roman" w:hAnsi="Times New Roman" w:cs="Times New Roman"/>
                <w:noProof/>
                <w:sz w:val="24"/>
                <w:szCs w:val="24"/>
              </w:rPr>
              <w:t>86</w:t>
            </w:r>
            <w:r w:rsidRPr="00EB6899">
              <w:rPr>
                <w:rFonts w:ascii="Times New Roman" w:hAnsi="Times New Roman" w:cs="Times New Roman"/>
                <w:noProof/>
                <w:sz w:val="24"/>
                <w:szCs w:val="24"/>
              </w:rPr>
              <w:fldChar w:fldCharType="end"/>
            </w:r>
          </w:hyperlink>
        </w:p>
        <w:p w14:paraId="07C522D4" w14:textId="13F676CE" w:rsidR="00EB6899" w:rsidRPr="00EB6899" w:rsidRDefault="00EB6899" w:rsidP="00EB6899">
          <w:pPr>
            <w:pStyle w:val="TOC2"/>
            <w:tabs>
              <w:tab w:val="right" w:leader="dot" w:pos="8834"/>
            </w:tabs>
            <w:spacing w:line="360" w:lineRule="auto"/>
            <w:ind w:left="0"/>
            <w:jc w:val="both"/>
            <w:rPr>
              <w:rFonts w:ascii="Times New Roman" w:eastAsiaTheme="minorEastAsia" w:hAnsi="Times New Roman" w:cs="Times New Roman"/>
              <w:smallCaps w:val="0"/>
              <w:noProof/>
              <w:sz w:val="24"/>
              <w:szCs w:val="24"/>
              <w14:ligatures w14:val="standardContextual"/>
            </w:rPr>
          </w:pPr>
          <w:hyperlink w:anchor="_Toc220680491" w:history="1">
            <w:r w:rsidRPr="00EB6899">
              <w:rPr>
                <w:rStyle w:val="aff9"/>
                <w:noProof/>
                <w:sz w:val="24"/>
                <w:szCs w:val="24"/>
              </w:rPr>
              <w:t>3.5</w:t>
            </w:r>
            <w:r w:rsidRPr="00EB6899">
              <w:rPr>
                <w:rStyle w:val="aff9"/>
                <w:noProof/>
                <w:sz w:val="24"/>
                <w:szCs w:val="24"/>
              </w:rPr>
              <w:t>与《大庆市国土空间总体规划（</w:t>
            </w:r>
            <w:r w:rsidRPr="00EB6899">
              <w:rPr>
                <w:rStyle w:val="aff9"/>
                <w:noProof/>
                <w:sz w:val="24"/>
                <w:szCs w:val="24"/>
              </w:rPr>
              <w:t>2021-2035</w:t>
            </w:r>
            <w:r w:rsidRPr="00EB6899">
              <w:rPr>
                <w:rStyle w:val="aff9"/>
                <w:noProof/>
                <w:sz w:val="24"/>
                <w:szCs w:val="24"/>
              </w:rPr>
              <w:t>年）》符合性分析</w:t>
            </w:r>
            <w:r w:rsidRPr="00EB6899">
              <w:rPr>
                <w:rFonts w:ascii="Times New Roman" w:hAnsi="Times New Roman" w:cs="Times New Roman"/>
                <w:noProof/>
                <w:sz w:val="24"/>
                <w:szCs w:val="24"/>
              </w:rPr>
              <w:tab/>
            </w:r>
            <w:r w:rsidRPr="00EB6899">
              <w:rPr>
                <w:rFonts w:ascii="Times New Roman" w:hAnsi="Times New Roman" w:cs="Times New Roman"/>
                <w:noProof/>
                <w:sz w:val="24"/>
                <w:szCs w:val="24"/>
              </w:rPr>
              <w:fldChar w:fldCharType="begin"/>
            </w:r>
            <w:r w:rsidRPr="00EB6899">
              <w:rPr>
                <w:rFonts w:ascii="Times New Roman" w:hAnsi="Times New Roman" w:cs="Times New Roman"/>
                <w:noProof/>
                <w:sz w:val="24"/>
                <w:szCs w:val="24"/>
              </w:rPr>
              <w:instrText xml:space="preserve"> PAGEREF _Toc220680491 \h </w:instrText>
            </w:r>
            <w:r w:rsidRPr="00EB6899">
              <w:rPr>
                <w:rFonts w:ascii="Times New Roman" w:hAnsi="Times New Roman" w:cs="Times New Roman"/>
                <w:noProof/>
                <w:sz w:val="24"/>
                <w:szCs w:val="24"/>
              </w:rPr>
            </w:r>
            <w:r w:rsidRPr="00EB6899">
              <w:rPr>
                <w:rFonts w:ascii="Times New Roman" w:hAnsi="Times New Roman" w:cs="Times New Roman"/>
                <w:noProof/>
                <w:sz w:val="24"/>
                <w:szCs w:val="24"/>
              </w:rPr>
              <w:fldChar w:fldCharType="separate"/>
            </w:r>
            <w:r w:rsidR="00462C44">
              <w:rPr>
                <w:rFonts w:ascii="Times New Roman" w:hAnsi="Times New Roman" w:cs="Times New Roman"/>
                <w:noProof/>
                <w:sz w:val="24"/>
                <w:szCs w:val="24"/>
              </w:rPr>
              <w:t>86</w:t>
            </w:r>
            <w:r w:rsidRPr="00EB6899">
              <w:rPr>
                <w:rFonts w:ascii="Times New Roman" w:hAnsi="Times New Roman" w:cs="Times New Roman"/>
                <w:noProof/>
                <w:sz w:val="24"/>
                <w:szCs w:val="24"/>
              </w:rPr>
              <w:fldChar w:fldCharType="end"/>
            </w:r>
          </w:hyperlink>
        </w:p>
        <w:p w14:paraId="30D5D5B7" w14:textId="2AC0B026" w:rsidR="00EB6899" w:rsidRPr="00EB6899" w:rsidRDefault="00EB6899" w:rsidP="00EB6899">
          <w:pPr>
            <w:pStyle w:val="TOC2"/>
            <w:tabs>
              <w:tab w:val="right" w:leader="dot" w:pos="8834"/>
            </w:tabs>
            <w:spacing w:line="360" w:lineRule="auto"/>
            <w:ind w:left="0"/>
            <w:jc w:val="both"/>
            <w:rPr>
              <w:rFonts w:ascii="Times New Roman" w:eastAsiaTheme="minorEastAsia" w:hAnsi="Times New Roman" w:cs="Times New Roman"/>
              <w:smallCaps w:val="0"/>
              <w:noProof/>
              <w:sz w:val="24"/>
              <w:szCs w:val="24"/>
              <w14:ligatures w14:val="standardContextual"/>
            </w:rPr>
          </w:pPr>
          <w:hyperlink w:anchor="_Toc220680492" w:history="1">
            <w:r w:rsidRPr="00EB6899">
              <w:rPr>
                <w:rStyle w:val="aff9"/>
                <w:noProof/>
                <w:sz w:val="24"/>
                <w:szCs w:val="24"/>
              </w:rPr>
              <w:t>3.6</w:t>
            </w:r>
            <w:r w:rsidRPr="00EB6899">
              <w:rPr>
                <w:rStyle w:val="aff9"/>
                <w:noProof/>
                <w:sz w:val="24"/>
                <w:szCs w:val="24"/>
              </w:rPr>
              <w:t>与《黑龙江省固体废物污染环境防治条例》符合性分析</w:t>
            </w:r>
            <w:r w:rsidRPr="00EB6899">
              <w:rPr>
                <w:rFonts w:ascii="Times New Roman" w:hAnsi="Times New Roman" w:cs="Times New Roman"/>
                <w:noProof/>
                <w:sz w:val="24"/>
                <w:szCs w:val="24"/>
              </w:rPr>
              <w:tab/>
            </w:r>
            <w:r w:rsidRPr="00EB6899">
              <w:rPr>
                <w:rFonts w:ascii="Times New Roman" w:hAnsi="Times New Roman" w:cs="Times New Roman"/>
                <w:noProof/>
                <w:sz w:val="24"/>
                <w:szCs w:val="24"/>
              </w:rPr>
              <w:fldChar w:fldCharType="begin"/>
            </w:r>
            <w:r w:rsidRPr="00EB6899">
              <w:rPr>
                <w:rFonts w:ascii="Times New Roman" w:hAnsi="Times New Roman" w:cs="Times New Roman"/>
                <w:noProof/>
                <w:sz w:val="24"/>
                <w:szCs w:val="24"/>
              </w:rPr>
              <w:instrText xml:space="preserve"> PAGEREF _Toc220680492 \h </w:instrText>
            </w:r>
            <w:r w:rsidRPr="00EB6899">
              <w:rPr>
                <w:rFonts w:ascii="Times New Roman" w:hAnsi="Times New Roman" w:cs="Times New Roman"/>
                <w:noProof/>
                <w:sz w:val="24"/>
                <w:szCs w:val="24"/>
              </w:rPr>
            </w:r>
            <w:r w:rsidRPr="00EB6899">
              <w:rPr>
                <w:rFonts w:ascii="Times New Roman" w:hAnsi="Times New Roman" w:cs="Times New Roman"/>
                <w:noProof/>
                <w:sz w:val="24"/>
                <w:szCs w:val="24"/>
              </w:rPr>
              <w:fldChar w:fldCharType="separate"/>
            </w:r>
            <w:r w:rsidR="00462C44">
              <w:rPr>
                <w:rFonts w:ascii="Times New Roman" w:hAnsi="Times New Roman" w:cs="Times New Roman"/>
                <w:noProof/>
                <w:sz w:val="24"/>
                <w:szCs w:val="24"/>
              </w:rPr>
              <w:t>86</w:t>
            </w:r>
            <w:r w:rsidRPr="00EB6899">
              <w:rPr>
                <w:rFonts w:ascii="Times New Roman" w:hAnsi="Times New Roman" w:cs="Times New Roman"/>
                <w:noProof/>
                <w:sz w:val="24"/>
                <w:szCs w:val="24"/>
              </w:rPr>
              <w:fldChar w:fldCharType="end"/>
            </w:r>
          </w:hyperlink>
        </w:p>
        <w:p w14:paraId="167497E3" w14:textId="4801688D" w:rsidR="00EB6899" w:rsidRPr="00EB6899" w:rsidRDefault="00EB6899" w:rsidP="00EB6899">
          <w:pPr>
            <w:pStyle w:val="TOC2"/>
            <w:tabs>
              <w:tab w:val="right" w:leader="dot" w:pos="8834"/>
            </w:tabs>
            <w:spacing w:line="360" w:lineRule="auto"/>
            <w:ind w:left="0"/>
            <w:jc w:val="both"/>
            <w:rPr>
              <w:rFonts w:ascii="Times New Roman" w:eastAsiaTheme="minorEastAsia" w:hAnsi="Times New Roman" w:cs="Times New Roman"/>
              <w:smallCaps w:val="0"/>
              <w:noProof/>
              <w:sz w:val="24"/>
              <w:szCs w:val="24"/>
              <w14:ligatures w14:val="standardContextual"/>
            </w:rPr>
          </w:pPr>
          <w:hyperlink w:anchor="_Toc220680493" w:history="1">
            <w:r w:rsidRPr="00EB6899">
              <w:rPr>
                <w:rStyle w:val="aff9"/>
                <w:noProof/>
                <w:sz w:val="24"/>
                <w:szCs w:val="24"/>
              </w:rPr>
              <w:t>3.7</w:t>
            </w:r>
            <w:r w:rsidRPr="00EB6899">
              <w:rPr>
                <w:rStyle w:val="aff9"/>
                <w:noProof/>
                <w:sz w:val="24"/>
                <w:szCs w:val="24"/>
              </w:rPr>
              <w:t>与《黑龙江省城乡固体废物分类治理布局规划（</w:t>
            </w:r>
            <w:r w:rsidRPr="00EB6899">
              <w:rPr>
                <w:rStyle w:val="aff9"/>
                <w:noProof/>
                <w:sz w:val="24"/>
                <w:szCs w:val="24"/>
              </w:rPr>
              <w:t>2019-2035</w:t>
            </w:r>
            <w:r w:rsidRPr="00EB6899">
              <w:rPr>
                <w:rStyle w:val="aff9"/>
                <w:noProof/>
                <w:sz w:val="24"/>
                <w:szCs w:val="24"/>
              </w:rPr>
              <w:t>年）》符合性分析</w:t>
            </w:r>
            <w:r w:rsidRPr="00EB6899">
              <w:rPr>
                <w:rFonts w:ascii="Times New Roman" w:hAnsi="Times New Roman" w:cs="Times New Roman"/>
                <w:noProof/>
                <w:sz w:val="24"/>
                <w:szCs w:val="24"/>
              </w:rPr>
              <w:tab/>
            </w:r>
            <w:r w:rsidRPr="00EB6899">
              <w:rPr>
                <w:rFonts w:ascii="Times New Roman" w:hAnsi="Times New Roman" w:cs="Times New Roman"/>
                <w:noProof/>
                <w:sz w:val="24"/>
                <w:szCs w:val="24"/>
              </w:rPr>
              <w:fldChar w:fldCharType="begin"/>
            </w:r>
            <w:r w:rsidRPr="00EB6899">
              <w:rPr>
                <w:rFonts w:ascii="Times New Roman" w:hAnsi="Times New Roman" w:cs="Times New Roman"/>
                <w:noProof/>
                <w:sz w:val="24"/>
                <w:szCs w:val="24"/>
              </w:rPr>
              <w:instrText xml:space="preserve"> PAGEREF _Toc220680493 \h </w:instrText>
            </w:r>
            <w:r w:rsidRPr="00EB6899">
              <w:rPr>
                <w:rFonts w:ascii="Times New Roman" w:hAnsi="Times New Roman" w:cs="Times New Roman"/>
                <w:noProof/>
                <w:sz w:val="24"/>
                <w:szCs w:val="24"/>
              </w:rPr>
            </w:r>
            <w:r w:rsidRPr="00EB6899">
              <w:rPr>
                <w:rFonts w:ascii="Times New Roman" w:hAnsi="Times New Roman" w:cs="Times New Roman"/>
                <w:noProof/>
                <w:sz w:val="24"/>
                <w:szCs w:val="24"/>
              </w:rPr>
              <w:fldChar w:fldCharType="separate"/>
            </w:r>
            <w:r w:rsidR="00462C44">
              <w:rPr>
                <w:rFonts w:ascii="Times New Roman" w:hAnsi="Times New Roman" w:cs="Times New Roman"/>
                <w:noProof/>
                <w:sz w:val="24"/>
                <w:szCs w:val="24"/>
              </w:rPr>
              <w:t>87</w:t>
            </w:r>
            <w:r w:rsidRPr="00EB6899">
              <w:rPr>
                <w:rFonts w:ascii="Times New Roman" w:hAnsi="Times New Roman" w:cs="Times New Roman"/>
                <w:noProof/>
                <w:sz w:val="24"/>
                <w:szCs w:val="24"/>
              </w:rPr>
              <w:fldChar w:fldCharType="end"/>
            </w:r>
          </w:hyperlink>
        </w:p>
        <w:p w14:paraId="11F3A11B" w14:textId="19C30D17" w:rsidR="00EB6899" w:rsidRPr="00EB6899" w:rsidRDefault="00EB6899" w:rsidP="00EB6899">
          <w:pPr>
            <w:pStyle w:val="TOC2"/>
            <w:tabs>
              <w:tab w:val="right" w:leader="dot" w:pos="8834"/>
            </w:tabs>
            <w:spacing w:line="360" w:lineRule="auto"/>
            <w:ind w:left="0"/>
            <w:jc w:val="both"/>
            <w:rPr>
              <w:rFonts w:ascii="Times New Roman" w:eastAsiaTheme="minorEastAsia" w:hAnsi="Times New Roman" w:cs="Times New Roman"/>
              <w:smallCaps w:val="0"/>
              <w:noProof/>
              <w:sz w:val="24"/>
              <w:szCs w:val="24"/>
              <w14:ligatures w14:val="standardContextual"/>
            </w:rPr>
          </w:pPr>
          <w:hyperlink w:anchor="_Toc220680494" w:history="1">
            <w:r w:rsidRPr="00EB6899">
              <w:rPr>
                <w:rStyle w:val="aff9"/>
                <w:noProof/>
                <w:sz w:val="24"/>
                <w:szCs w:val="24"/>
              </w:rPr>
              <w:t>3.8</w:t>
            </w:r>
            <w:r w:rsidRPr="00EB6899">
              <w:rPr>
                <w:rStyle w:val="aff9"/>
                <w:noProof/>
                <w:sz w:val="24"/>
                <w:szCs w:val="24"/>
              </w:rPr>
              <w:t>与《固体废物处理处置工程技术导则》（</w:t>
            </w:r>
            <w:r w:rsidRPr="00EB6899">
              <w:rPr>
                <w:rStyle w:val="aff9"/>
                <w:noProof/>
                <w:sz w:val="24"/>
                <w:szCs w:val="24"/>
              </w:rPr>
              <w:t>HJ2035-2013</w:t>
            </w:r>
            <w:r w:rsidRPr="00EB6899">
              <w:rPr>
                <w:rStyle w:val="aff9"/>
                <w:noProof/>
                <w:sz w:val="24"/>
                <w:szCs w:val="24"/>
              </w:rPr>
              <w:t>）的符合性分析</w:t>
            </w:r>
            <w:r w:rsidRPr="00EB6899">
              <w:rPr>
                <w:rFonts w:ascii="Times New Roman" w:hAnsi="Times New Roman" w:cs="Times New Roman"/>
                <w:noProof/>
                <w:sz w:val="24"/>
                <w:szCs w:val="24"/>
              </w:rPr>
              <w:tab/>
            </w:r>
            <w:r w:rsidRPr="00EB6899">
              <w:rPr>
                <w:rFonts w:ascii="Times New Roman" w:hAnsi="Times New Roman" w:cs="Times New Roman"/>
                <w:noProof/>
                <w:sz w:val="24"/>
                <w:szCs w:val="24"/>
              </w:rPr>
              <w:fldChar w:fldCharType="begin"/>
            </w:r>
            <w:r w:rsidRPr="00EB6899">
              <w:rPr>
                <w:rFonts w:ascii="Times New Roman" w:hAnsi="Times New Roman" w:cs="Times New Roman"/>
                <w:noProof/>
                <w:sz w:val="24"/>
                <w:szCs w:val="24"/>
              </w:rPr>
              <w:instrText xml:space="preserve"> PAGEREF _Toc220680494 \h </w:instrText>
            </w:r>
            <w:r w:rsidRPr="00EB6899">
              <w:rPr>
                <w:rFonts w:ascii="Times New Roman" w:hAnsi="Times New Roman" w:cs="Times New Roman"/>
                <w:noProof/>
                <w:sz w:val="24"/>
                <w:szCs w:val="24"/>
              </w:rPr>
            </w:r>
            <w:r w:rsidRPr="00EB6899">
              <w:rPr>
                <w:rFonts w:ascii="Times New Roman" w:hAnsi="Times New Roman" w:cs="Times New Roman"/>
                <w:noProof/>
                <w:sz w:val="24"/>
                <w:szCs w:val="24"/>
              </w:rPr>
              <w:fldChar w:fldCharType="separate"/>
            </w:r>
            <w:r w:rsidR="00462C44">
              <w:rPr>
                <w:rFonts w:ascii="Times New Roman" w:hAnsi="Times New Roman" w:cs="Times New Roman"/>
                <w:noProof/>
                <w:sz w:val="24"/>
                <w:szCs w:val="24"/>
              </w:rPr>
              <w:t>87</w:t>
            </w:r>
            <w:r w:rsidRPr="00EB6899">
              <w:rPr>
                <w:rFonts w:ascii="Times New Roman" w:hAnsi="Times New Roman" w:cs="Times New Roman"/>
                <w:noProof/>
                <w:sz w:val="24"/>
                <w:szCs w:val="24"/>
              </w:rPr>
              <w:fldChar w:fldCharType="end"/>
            </w:r>
          </w:hyperlink>
        </w:p>
        <w:p w14:paraId="4A7840C8" w14:textId="5E5EBE9B" w:rsidR="00EB6899" w:rsidRPr="00EB6899" w:rsidRDefault="00EB6899" w:rsidP="00EB6899">
          <w:pPr>
            <w:pStyle w:val="TOC2"/>
            <w:tabs>
              <w:tab w:val="right" w:leader="dot" w:pos="8834"/>
            </w:tabs>
            <w:spacing w:line="360" w:lineRule="auto"/>
            <w:ind w:left="0"/>
            <w:jc w:val="both"/>
            <w:rPr>
              <w:rFonts w:ascii="Times New Roman" w:eastAsiaTheme="minorEastAsia" w:hAnsi="Times New Roman" w:cs="Times New Roman"/>
              <w:smallCaps w:val="0"/>
              <w:noProof/>
              <w:sz w:val="24"/>
              <w:szCs w:val="24"/>
              <w14:ligatures w14:val="standardContextual"/>
            </w:rPr>
          </w:pPr>
          <w:hyperlink w:anchor="_Toc220680495" w:history="1">
            <w:r w:rsidRPr="00EB6899">
              <w:rPr>
                <w:rStyle w:val="aff9"/>
                <w:noProof/>
                <w:sz w:val="24"/>
                <w:szCs w:val="24"/>
              </w:rPr>
              <w:t>3.9</w:t>
            </w:r>
            <w:r w:rsidRPr="00EB6899">
              <w:rPr>
                <w:rStyle w:val="aff9"/>
                <w:noProof/>
                <w:sz w:val="24"/>
                <w:szCs w:val="24"/>
              </w:rPr>
              <w:t>与《生活垃圾卫生填埋处理技术规范》（</w:t>
            </w:r>
            <w:r w:rsidRPr="00EB6899">
              <w:rPr>
                <w:rStyle w:val="aff9"/>
                <w:noProof/>
                <w:sz w:val="24"/>
                <w:szCs w:val="24"/>
              </w:rPr>
              <w:t>GB50869-2013</w:t>
            </w:r>
            <w:r w:rsidRPr="00EB6899">
              <w:rPr>
                <w:rStyle w:val="aff9"/>
                <w:noProof/>
                <w:sz w:val="24"/>
                <w:szCs w:val="24"/>
              </w:rPr>
              <w:t>）符合性分析</w:t>
            </w:r>
            <w:r w:rsidRPr="00EB6899">
              <w:rPr>
                <w:rFonts w:ascii="Times New Roman" w:hAnsi="Times New Roman" w:cs="Times New Roman"/>
                <w:noProof/>
                <w:sz w:val="24"/>
                <w:szCs w:val="24"/>
              </w:rPr>
              <w:tab/>
            </w:r>
            <w:r w:rsidRPr="00EB6899">
              <w:rPr>
                <w:rFonts w:ascii="Times New Roman" w:hAnsi="Times New Roman" w:cs="Times New Roman"/>
                <w:noProof/>
                <w:sz w:val="24"/>
                <w:szCs w:val="24"/>
              </w:rPr>
              <w:fldChar w:fldCharType="begin"/>
            </w:r>
            <w:r w:rsidRPr="00EB6899">
              <w:rPr>
                <w:rFonts w:ascii="Times New Roman" w:hAnsi="Times New Roman" w:cs="Times New Roman"/>
                <w:noProof/>
                <w:sz w:val="24"/>
                <w:szCs w:val="24"/>
              </w:rPr>
              <w:instrText xml:space="preserve"> PAGEREF _Toc220680495 \h </w:instrText>
            </w:r>
            <w:r w:rsidRPr="00EB6899">
              <w:rPr>
                <w:rFonts w:ascii="Times New Roman" w:hAnsi="Times New Roman" w:cs="Times New Roman"/>
                <w:noProof/>
                <w:sz w:val="24"/>
                <w:szCs w:val="24"/>
              </w:rPr>
            </w:r>
            <w:r w:rsidRPr="00EB6899">
              <w:rPr>
                <w:rFonts w:ascii="Times New Roman" w:hAnsi="Times New Roman" w:cs="Times New Roman"/>
                <w:noProof/>
                <w:sz w:val="24"/>
                <w:szCs w:val="24"/>
              </w:rPr>
              <w:fldChar w:fldCharType="separate"/>
            </w:r>
            <w:r w:rsidR="00462C44">
              <w:rPr>
                <w:rFonts w:ascii="Times New Roman" w:hAnsi="Times New Roman" w:cs="Times New Roman"/>
                <w:noProof/>
                <w:sz w:val="24"/>
                <w:szCs w:val="24"/>
              </w:rPr>
              <w:t>90</w:t>
            </w:r>
            <w:r w:rsidRPr="00EB6899">
              <w:rPr>
                <w:rFonts w:ascii="Times New Roman" w:hAnsi="Times New Roman" w:cs="Times New Roman"/>
                <w:noProof/>
                <w:sz w:val="24"/>
                <w:szCs w:val="24"/>
              </w:rPr>
              <w:fldChar w:fldCharType="end"/>
            </w:r>
          </w:hyperlink>
        </w:p>
        <w:p w14:paraId="025A0670" w14:textId="60FE9D6B" w:rsidR="00EB6899" w:rsidRPr="00EB6899" w:rsidRDefault="00EB6899" w:rsidP="00EB6899">
          <w:pPr>
            <w:pStyle w:val="TOC2"/>
            <w:tabs>
              <w:tab w:val="right" w:leader="dot" w:pos="8834"/>
            </w:tabs>
            <w:spacing w:line="360" w:lineRule="auto"/>
            <w:ind w:left="0"/>
            <w:jc w:val="both"/>
            <w:rPr>
              <w:rFonts w:ascii="Times New Roman" w:eastAsiaTheme="minorEastAsia" w:hAnsi="Times New Roman" w:cs="Times New Roman"/>
              <w:smallCaps w:val="0"/>
              <w:noProof/>
              <w:sz w:val="24"/>
              <w:szCs w:val="24"/>
              <w14:ligatures w14:val="standardContextual"/>
            </w:rPr>
          </w:pPr>
          <w:hyperlink w:anchor="_Toc220680496" w:history="1">
            <w:r w:rsidRPr="00EB6899">
              <w:rPr>
                <w:rStyle w:val="aff9"/>
                <w:noProof/>
                <w:sz w:val="24"/>
                <w:szCs w:val="24"/>
              </w:rPr>
              <w:t>3.10</w:t>
            </w:r>
            <w:r w:rsidRPr="00EB6899">
              <w:rPr>
                <w:rStyle w:val="aff9"/>
                <w:noProof/>
                <w:sz w:val="24"/>
                <w:szCs w:val="24"/>
              </w:rPr>
              <w:t>与《生活垃圾填埋场污染控制标准》（</w:t>
            </w:r>
            <w:r w:rsidRPr="00EB6899">
              <w:rPr>
                <w:rStyle w:val="aff9"/>
                <w:noProof/>
                <w:sz w:val="24"/>
                <w:szCs w:val="24"/>
              </w:rPr>
              <w:t>GB16889-2024</w:t>
            </w:r>
            <w:r w:rsidRPr="00EB6899">
              <w:rPr>
                <w:rStyle w:val="aff9"/>
                <w:noProof/>
                <w:sz w:val="24"/>
                <w:szCs w:val="24"/>
              </w:rPr>
              <w:t>）符合性分析</w:t>
            </w:r>
            <w:r w:rsidRPr="00EB6899">
              <w:rPr>
                <w:rFonts w:ascii="Times New Roman" w:hAnsi="Times New Roman" w:cs="Times New Roman"/>
                <w:noProof/>
                <w:sz w:val="24"/>
                <w:szCs w:val="24"/>
              </w:rPr>
              <w:tab/>
            </w:r>
            <w:r w:rsidRPr="00EB6899">
              <w:rPr>
                <w:rFonts w:ascii="Times New Roman" w:hAnsi="Times New Roman" w:cs="Times New Roman"/>
                <w:noProof/>
                <w:sz w:val="24"/>
                <w:szCs w:val="24"/>
              </w:rPr>
              <w:fldChar w:fldCharType="begin"/>
            </w:r>
            <w:r w:rsidRPr="00EB6899">
              <w:rPr>
                <w:rFonts w:ascii="Times New Roman" w:hAnsi="Times New Roman" w:cs="Times New Roman"/>
                <w:noProof/>
                <w:sz w:val="24"/>
                <w:szCs w:val="24"/>
              </w:rPr>
              <w:instrText xml:space="preserve"> PAGEREF _Toc220680496 \h </w:instrText>
            </w:r>
            <w:r w:rsidRPr="00EB6899">
              <w:rPr>
                <w:rFonts w:ascii="Times New Roman" w:hAnsi="Times New Roman" w:cs="Times New Roman"/>
                <w:noProof/>
                <w:sz w:val="24"/>
                <w:szCs w:val="24"/>
              </w:rPr>
            </w:r>
            <w:r w:rsidRPr="00EB6899">
              <w:rPr>
                <w:rFonts w:ascii="Times New Roman" w:hAnsi="Times New Roman" w:cs="Times New Roman"/>
                <w:noProof/>
                <w:sz w:val="24"/>
                <w:szCs w:val="24"/>
              </w:rPr>
              <w:fldChar w:fldCharType="separate"/>
            </w:r>
            <w:r w:rsidR="00462C44">
              <w:rPr>
                <w:rFonts w:ascii="Times New Roman" w:hAnsi="Times New Roman" w:cs="Times New Roman"/>
                <w:noProof/>
                <w:sz w:val="24"/>
                <w:szCs w:val="24"/>
              </w:rPr>
              <w:t>90</w:t>
            </w:r>
            <w:r w:rsidRPr="00EB6899">
              <w:rPr>
                <w:rFonts w:ascii="Times New Roman" w:hAnsi="Times New Roman" w:cs="Times New Roman"/>
                <w:noProof/>
                <w:sz w:val="24"/>
                <w:szCs w:val="24"/>
              </w:rPr>
              <w:fldChar w:fldCharType="end"/>
            </w:r>
          </w:hyperlink>
        </w:p>
        <w:p w14:paraId="52B598A1" w14:textId="10E47C89" w:rsidR="00EB6899" w:rsidRPr="00EB6899" w:rsidRDefault="00EB6899" w:rsidP="00EB6899">
          <w:pPr>
            <w:pStyle w:val="TOC2"/>
            <w:tabs>
              <w:tab w:val="right" w:leader="dot" w:pos="8834"/>
            </w:tabs>
            <w:spacing w:line="360" w:lineRule="auto"/>
            <w:ind w:left="0"/>
            <w:jc w:val="both"/>
            <w:rPr>
              <w:rFonts w:ascii="Times New Roman" w:eastAsiaTheme="minorEastAsia" w:hAnsi="Times New Roman" w:cs="Times New Roman"/>
              <w:smallCaps w:val="0"/>
              <w:noProof/>
              <w:sz w:val="24"/>
              <w:szCs w:val="24"/>
              <w14:ligatures w14:val="standardContextual"/>
            </w:rPr>
          </w:pPr>
          <w:hyperlink w:anchor="_Toc220680497" w:history="1">
            <w:r w:rsidRPr="00EB6899">
              <w:rPr>
                <w:rStyle w:val="aff9"/>
                <w:noProof/>
                <w:sz w:val="24"/>
                <w:szCs w:val="24"/>
              </w:rPr>
              <w:t>3.11</w:t>
            </w:r>
            <w:r w:rsidRPr="00EB6899">
              <w:rPr>
                <w:rStyle w:val="aff9"/>
                <w:noProof/>
                <w:sz w:val="24"/>
                <w:szCs w:val="24"/>
              </w:rPr>
              <w:t>与《生活垃圾焚烧飞灰污染控制技术规范（试行）》（</w:t>
            </w:r>
            <w:r w:rsidRPr="00EB6899">
              <w:rPr>
                <w:rStyle w:val="aff9"/>
                <w:noProof/>
                <w:sz w:val="24"/>
                <w:szCs w:val="24"/>
              </w:rPr>
              <w:t>HJ1134-2020</w:t>
            </w:r>
            <w:r w:rsidRPr="00EB6899">
              <w:rPr>
                <w:rStyle w:val="aff9"/>
                <w:noProof/>
                <w:sz w:val="24"/>
                <w:szCs w:val="24"/>
              </w:rPr>
              <w:t>）符合性分析</w:t>
            </w:r>
            <w:r w:rsidRPr="00EB6899">
              <w:rPr>
                <w:rFonts w:ascii="Times New Roman" w:hAnsi="Times New Roman" w:cs="Times New Roman"/>
                <w:noProof/>
                <w:sz w:val="24"/>
                <w:szCs w:val="24"/>
              </w:rPr>
              <w:tab/>
            </w:r>
            <w:r w:rsidRPr="00EB6899">
              <w:rPr>
                <w:rFonts w:ascii="Times New Roman" w:hAnsi="Times New Roman" w:cs="Times New Roman"/>
                <w:noProof/>
                <w:sz w:val="24"/>
                <w:szCs w:val="24"/>
              </w:rPr>
              <w:fldChar w:fldCharType="begin"/>
            </w:r>
            <w:r w:rsidRPr="00EB6899">
              <w:rPr>
                <w:rFonts w:ascii="Times New Roman" w:hAnsi="Times New Roman" w:cs="Times New Roman"/>
                <w:noProof/>
                <w:sz w:val="24"/>
                <w:szCs w:val="24"/>
              </w:rPr>
              <w:instrText xml:space="preserve"> PAGEREF _Toc220680497 \h </w:instrText>
            </w:r>
            <w:r w:rsidRPr="00EB6899">
              <w:rPr>
                <w:rFonts w:ascii="Times New Roman" w:hAnsi="Times New Roman" w:cs="Times New Roman"/>
                <w:noProof/>
                <w:sz w:val="24"/>
                <w:szCs w:val="24"/>
              </w:rPr>
            </w:r>
            <w:r w:rsidRPr="00EB6899">
              <w:rPr>
                <w:rFonts w:ascii="Times New Roman" w:hAnsi="Times New Roman" w:cs="Times New Roman"/>
                <w:noProof/>
                <w:sz w:val="24"/>
                <w:szCs w:val="24"/>
              </w:rPr>
              <w:fldChar w:fldCharType="separate"/>
            </w:r>
            <w:r w:rsidR="00462C44">
              <w:rPr>
                <w:rFonts w:ascii="Times New Roman" w:hAnsi="Times New Roman" w:cs="Times New Roman"/>
                <w:noProof/>
                <w:sz w:val="24"/>
                <w:szCs w:val="24"/>
              </w:rPr>
              <w:t>93</w:t>
            </w:r>
            <w:r w:rsidRPr="00EB6899">
              <w:rPr>
                <w:rFonts w:ascii="Times New Roman" w:hAnsi="Times New Roman" w:cs="Times New Roman"/>
                <w:noProof/>
                <w:sz w:val="24"/>
                <w:szCs w:val="24"/>
              </w:rPr>
              <w:fldChar w:fldCharType="end"/>
            </w:r>
          </w:hyperlink>
        </w:p>
        <w:p w14:paraId="1BAD3D32" w14:textId="4FF36E94" w:rsidR="00EB6899" w:rsidRPr="00EB6899" w:rsidRDefault="00EB6899" w:rsidP="00EB6899">
          <w:pPr>
            <w:pStyle w:val="TOC1"/>
            <w:tabs>
              <w:tab w:val="right" w:leader="dot" w:pos="8834"/>
            </w:tabs>
            <w:spacing w:before="0" w:after="0" w:line="360" w:lineRule="auto"/>
            <w:jc w:val="both"/>
            <w:rPr>
              <w:rFonts w:ascii="Times New Roman" w:eastAsiaTheme="minorEastAsia" w:hAnsi="Times New Roman" w:cs="Times New Roman"/>
              <w:b w:val="0"/>
              <w:bCs w:val="0"/>
              <w:caps w:val="0"/>
              <w:noProof/>
              <w:sz w:val="24"/>
              <w:szCs w:val="24"/>
              <w14:ligatures w14:val="standardContextual"/>
            </w:rPr>
          </w:pPr>
          <w:hyperlink w:anchor="_Toc220680498" w:history="1">
            <w:r w:rsidRPr="00EB6899">
              <w:rPr>
                <w:rStyle w:val="aff9"/>
                <w:b w:val="0"/>
                <w:bCs w:val="0"/>
                <w:noProof/>
                <w:sz w:val="24"/>
                <w:szCs w:val="24"/>
              </w:rPr>
              <w:t>第四章</w:t>
            </w:r>
            <w:r w:rsidRPr="00EB6899">
              <w:rPr>
                <w:rStyle w:val="aff9"/>
                <w:b w:val="0"/>
                <w:bCs w:val="0"/>
                <w:noProof/>
                <w:sz w:val="24"/>
                <w:szCs w:val="24"/>
              </w:rPr>
              <w:t xml:space="preserve">  </w:t>
            </w:r>
            <w:r w:rsidRPr="00EB6899">
              <w:rPr>
                <w:rStyle w:val="aff9"/>
                <w:b w:val="0"/>
                <w:bCs w:val="0"/>
                <w:noProof/>
                <w:sz w:val="24"/>
                <w:szCs w:val="24"/>
              </w:rPr>
              <w:t>自然环境概况</w:t>
            </w:r>
            <w:r w:rsidRPr="00EB6899">
              <w:rPr>
                <w:rFonts w:ascii="Times New Roman" w:hAnsi="Times New Roman" w:cs="Times New Roman"/>
                <w:b w:val="0"/>
                <w:bCs w:val="0"/>
                <w:noProof/>
                <w:sz w:val="24"/>
                <w:szCs w:val="24"/>
              </w:rPr>
              <w:tab/>
            </w:r>
            <w:r w:rsidRPr="00EB6899">
              <w:rPr>
                <w:rFonts w:ascii="Times New Roman" w:hAnsi="Times New Roman" w:cs="Times New Roman"/>
                <w:b w:val="0"/>
                <w:bCs w:val="0"/>
                <w:noProof/>
                <w:sz w:val="24"/>
                <w:szCs w:val="24"/>
              </w:rPr>
              <w:fldChar w:fldCharType="begin"/>
            </w:r>
            <w:r w:rsidRPr="00EB6899">
              <w:rPr>
                <w:rFonts w:ascii="Times New Roman" w:hAnsi="Times New Roman" w:cs="Times New Roman"/>
                <w:b w:val="0"/>
                <w:bCs w:val="0"/>
                <w:noProof/>
                <w:sz w:val="24"/>
                <w:szCs w:val="24"/>
              </w:rPr>
              <w:instrText xml:space="preserve"> PAGEREF _Toc220680498 \h </w:instrText>
            </w:r>
            <w:r w:rsidRPr="00EB6899">
              <w:rPr>
                <w:rFonts w:ascii="Times New Roman" w:hAnsi="Times New Roman" w:cs="Times New Roman"/>
                <w:b w:val="0"/>
                <w:bCs w:val="0"/>
                <w:noProof/>
                <w:sz w:val="24"/>
                <w:szCs w:val="24"/>
              </w:rPr>
            </w:r>
            <w:r w:rsidRPr="00EB6899">
              <w:rPr>
                <w:rFonts w:ascii="Times New Roman" w:hAnsi="Times New Roman" w:cs="Times New Roman"/>
                <w:b w:val="0"/>
                <w:bCs w:val="0"/>
                <w:noProof/>
                <w:sz w:val="24"/>
                <w:szCs w:val="24"/>
              </w:rPr>
              <w:fldChar w:fldCharType="separate"/>
            </w:r>
            <w:r w:rsidR="00462C44">
              <w:rPr>
                <w:rFonts w:ascii="Times New Roman" w:hAnsi="Times New Roman" w:cs="Times New Roman"/>
                <w:b w:val="0"/>
                <w:bCs w:val="0"/>
                <w:noProof/>
                <w:sz w:val="24"/>
                <w:szCs w:val="24"/>
              </w:rPr>
              <w:t>95</w:t>
            </w:r>
            <w:r w:rsidRPr="00EB6899">
              <w:rPr>
                <w:rFonts w:ascii="Times New Roman" w:hAnsi="Times New Roman" w:cs="Times New Roman"/>
                <w:b w:val="0"/>
                <w:bCs w:val="0"/>
                <w:noProof/>
                <w:sz w:val="24"/>
                <w:szCs w:val="24"/>
              </w:rPr>
              <w:fldChar w:fldCharType="end"/>
            </w:r>
          </w:hyperlink>
        </w:p>
        <w:p w14:paraId="60117670" w14:textId="40E57838" w:rsidR="00EB6899" w:rsidRPr="00EB6899" w:rsidRDefault="00EB6899" w:rsidP="00EB6899">
          <w:pPr>
            <w:pStyle w:val="TOC2"/>
            <w:tabs>
              <w:tab w:val="right" w:leader="dot" w:pos="8834"/>
            </w:tabs>
            <w:spacing w:line="360" w:lineRule="auto"/>
            <w:ind w:left="0"/>
            <w:jc w:val="both"/>
            <w:rPr>
              <w:rFonts w:ascii="Times New Roman" w:eastAsiaTheme="minorEastAsia" w:hAnsi="Times New Roman" w:cs="Times New Roman"/>
              <w:smallCaps w:val="0"/>
              <w:noProof/>
              <w:sz w:val="24"/>
              <w:szCs w:val="24"/>
              <w14:ligatures w14:val="standardContextual"/>
            </w:rPr>
          </w:pPr>
          <w:hyperlink w:anchor="_Toc220680499" w:history="1">
            <w:r w:rsidRPr="00EB6899">
              <w:rPr>
                <w:rStyle w:val="aff9"/>
                <w:noProof/>
                <w:sz w:val="24"/>
                <w:szCs w:val="24"/>
              </w:rPr>
              <w:t>4.1</w:t>
            </w:r>
            <w:r w:rsidRPr="00EB6899">
              <w:rPr>
                <w:rStyle w:val="aff9"/>
                <w:noProof/>
                <w:sz w:val="24"/>
                <w:szCs w:val="24"/>
              </w:rPr>
              <w:t>地理位置</w:t>
            </w:r>
            <w:r w:rsidRPr="00EB6899">
              <w:rPr>
                <w:rFonts w:ascii="Times New Roman" w:hAnsi="Times New Roman" w:cs="Times New Roman"/>
                <w:noProof/>
                <w:sz w:val="24"/>
                <w:szCs w:val="24"/>
              </w:rPr>
              <w:tab/>
            </w:r>
            <w:r w:rsidRPr="00EB6899">
              <w:rPr>
                <w:rFonts w:ascii="Times New Roman" w:hAnsi="Times New Roman" w:cs="Times New Roman"/>
                <w:noProof/>
                <w:sz w:val="24"/>
                <w:szCs w:val="24"/>
              </w:rPr>
              <w:fldChar w:fldCharType="begin"/>
            </w:r>
            <w:r w:rsidRPr="00EB6899">
              <w:rPr>
                <w:rFonts w:ascii="Times New Roman" w:hAnsi="Times New Roman" w:cs="Times New Roman"/>
                <w:noProof/>
                <w:sz w:val="24"/>
                <w:szCs w:val="24"/>
              </w:rPr>
              <w:instrText xml:space="preserve"> PAGEREF _Toc220680499 \h </w:instrText>
            </w:r>
            <w:r w:rsidRPr="00EB6899">
              <w:rPr>
                <w:rFonts w:ascii="Times New Roman" w:hAnsi="Times New Roman" w:cs="Times New Roman"/>
                <w:noProof/>
                <w:sz w:val="24"/>
                <w:szCs w:val="24"/>
              </w:rPr>
            </w:r>
            <w:r w:rsidRPr="00EB6899">
              <w:rPr>
                <w:rFonts w:ascii="Times New Roman" w:hAnsi="Times New Roman" w:cs="Times New Roman"/>
                <w:noProof/>
                <w:sz w:val="24"/>
                <w:szCs w:val="24"/>
              </w:rPr>
              <w:fldChar w:fldCharType="separate"/>
            </w:r>
            <w:r w:rsidR="00462C44">
              <w:rPr>
                <w:rFonts w:ascii="Times New Roman" w:hAnsi="Times New Roman" w:cs="Times New Roman"/>
                <w:noProof/>
                <w:sz w:val="24"/>
                <w:szCs w:val="24"/>
              </w:rPr>
              <w:t>95</w:t>
            </w:r>
            <w:r w:rsidRPr="00EB6899">
              <w:rPr>
                <w:rFonts w:ascii="Times New Roman" w:hAnsi="Times New Roman" w:cs="Times New Roman"/>
                <w:noProof/>
                <w:sz w:val="24"/>
                <w:szCs w:val="24"/>
              </w:rPr>
              <w:fldChar w:fldCharType="end"/>
            </w:r>
          </w:hyperlink>
        </w:p>
        <w:p w14:paraId="18F98746" w14:textId="25E97A0B" w:rsidR="00EB6899" w:rsidRPr="00EB6899" w:rsidRDefault="00EB6899" w:rsidP="00EB6899">
          <w:pPr>
            <w:pStyle w:val="TOC2"/>
            <w:tabs>
              <w:tab w:val="right" w:leader="dot" w:pos="8834"/>
            </w:tabs>
            <w:spacing w:line="360" w:lineRule="auto"/>
            <w:ind w:left="0"/>
            <w:jc w:val="both"/>
            <w:rPr>
              <w:rFonts w:ascii="Times New Roman" w:eastAsiaTheme="minorEastAsia" w:hAnsi="Times New Roman" w:cs="Times New Roman"/>
              <w:smallCaps w:val="0"/>
              <w:noProof/>
              <w:sz w:val="24"/>
              <w:szCs w:val="24"/>
              <w14:ligatures w14:val="standardContextual"/>
            </w:rPr>
          </w:pPr>
          <w:hyperlink w:anchor="_Toc220680500" w:history="1">
            <w:r w:rsidRPr="00EB6899">
              <w:rPr>
                <w:rStyle w:val="aff9"/>
                <w:noProof/>
                <w:sz w:val="24"/>
                <w:szCs w:val="24"/>
              </w:rPr>
              <w:t>4.2</w:t>
            </w:r>
            <w:r w:rsidRPr="00EB6899">
              <w:rPr>
                <w:rStyle w:val="aff9"/>
                <w:noProof/>
                <w:sz w:val="24"/>
                <w:szCs w:val="24"/>
              </w:rPr>
              <w:t>气候条件</w:t>
            </w:r>
            <w:r w:rsidRPr="00EB6899">
              <w:rPr>
                <w:rFonts w:ascii="Times New Roman" w:hAnsi="Times New Roman" w:cs="Times New Roman"/>
                <w:noProof/>
                <w:sz w:val="24"/>
                <w:szCs w:val="24"/>
              </w:rPr>
              <w:tab/>
            </w:r>
            <w:r w:rsidRPr="00EB6899">
              <w:rPr>
                <w:rFonts w:ascii="Times New Roman" w:hAnsi="Times New Roman" w:cs="Times New Roman"/>
                <w:noProof/>
                <w:sz w:val="24"/>
                <w:szCs w:val="24"/>
              </w:rPr>
              <w:fldChar w:fldCharType="begin"/>
            </w:r>
            <w:r w:rsidRPr="00EB6899">
              <w:rPr>
                <w:rFonts w:ascii="Times New Roman" w:hAnsi="Times New Roman" w:cs="Times New Roman"/>
                <w:noProof/>
                <w:sz w:val="24"/>
                <w:szCs w:val="24"/>
              </w:rPr>
              <w:instrText xml:space="preserve"> PAGEREF _Toc220680500 \h </w:instrText>
            </w:r>
            <w:r w:rsidRPr="00EB6899">
              <w:rPr>
                <w:rFonts w:ascii="Times New Roman" w:hAnsi="Times New Roman" w:cs="Times New Roman"/>
                <w:noProof/>
                <w:sz w:val="24"/>
                <w:szCs w:val="24"/>
              </w:rPr>
            </w:r>
            <w:r w:rsidRPr="00EB6899">
              <w:rPr>
                <w:rFonts w:ascii="Times New Roman" w:hAnsi="Times New Roman" w:cs="Times New Roman"/>
                <w:noProof/>
                <w:sz w:val="24"/>
                <w:szCs w:val="24"/>
              </w:rPr>
              <w:fldChar w:fldCharType="separate"/>
            </w:r>
            <w:r w:rsidR="00462C44">
              <w:rPr>
                <w:rFonts w:ascii="Times New Roman" w:hAnsi="Times New Roman" w:cs="Times New Roman"/>
                <w:noProof/>
                <w:sz w:val="24"/>
                <w:szCs w:val="24"/>
              </w:rPr>
              <w:t>95</w:t>
            </w:r>
            <w:r w:rsidRPr="00EB6899">
              <w:rPr>
                <w:rFonts w:ascii="Times New Roman" w:hAnsi="Times New Roman" w:cs="Times New Roman"/>
                <w:noProof/>
                <w:sz w:val="24"/>
                <w:szCs w:val="24"/>
              </w:rPr>
              <w:fldChar w:fldCharType="end"/>
            </w:r>
          </w:hyperlink>
        </w:p>
        <w:p w14:paraId="37C74114" w14:textId="4750FF02" w:rsidR="00EB6899" w:rsidRPr="00EB6899" w:rsidRDefault="00EB6899" w:rsidP="00EB6899">
          <w:pPr>
            <w:pStyle w:val="TOC2"/>
            <w:tabs>
              <w:tab w:val="right" w:leader="dot" w:pos="8834"/>
            </w:tabs>
            <w:spacing w:line="360" w:lineRule="auto"/>
            <w:ind w:left="0"/>
            <w:jc w:val="both"/>
            <w:rPr>
              <w:rFonts w:ascii="Times New Roman" w:eastAsiaTheme="minorEastAsia" w:hAnsi="Times New Roman" w:cs="Times New Roman"/>
              <w:smallCaps w:val="0"/>
              <w:noProof/>
              <w:sz w:val="24"/>
              <w:szCs w:val="24"/>
              <w14:ligatures w14:val="standardContextual"/>
            </w:rPr>
          </w:pPr>
          <w:hyperlink w:anchor="_Toc220680501" w:history="1">
            <w:r w:rsidRPr="00EB6899">
              <w:rPr>
                <w:rStyle w:val="aff9"/>
                <w:noProof/>
                <w:sz w:val="24"/>
                <w:szCs w:val="24"/>
              </w:rPr>
              <w:t>4.3</w:t>
            </w:r>
            <w:r w:rsidRPr="00EB6899">
              <w:rPr>
                <w:rStyle w:val="aff9"/>
                <w:noProof/>
                <w:sz w:val="24"/>
                <w:szCs w:val="24"/>
              </w:rPr>
              <w:t>地形地貌</w:t>
            </w:r>
            <w:r w:rsidRPr="00EB6899">
              <w:rPr>
                <w:rFonts w:ascii="Times New Roman" w:hAnsi="Times New Roman" w:cs="Times New Roman"/>
                <w:noProof/>
                <w:sz w:val="24"/>
                <w:szCs w:val="24"/>
              </w:rPr>
              <w:tab/>
            </w:r>
            <w:r w:rsidRPr="00EB6899">
              <w:rPr>
                <w:rFonts w:ascii="Times New Roman" w:hAnsi="Times New Roman" w:cs="Times New Roman"/>
                <w:noProof/>
                <w:sz w:val="24"/>
                <w:szCs w:val="24"/>
              </w:rPr>
              <w:fldChar w:fldCharType="begin"/>
            </w:r>
            <w:r w:rsidRPr="00EB6899">
              <w:rPr>
                <w:rFonts w:ascii="Times New Roman" w:hAnsi="Times New Roman" w:cs="Times New Roman"/>
                <w:noProof/>
                <w:sz w:val="24"/>
                <w:szCs w:val="24"/>
              </w:rPr>
              <w:instrText xml:space="preserve"> PAGEREF _Toc220680501 \h </w:instrText>
            </w:r>
            <w:r w:rsidRPr="00EB6899">
              <w:rPr>
                <w:rFonts w:ascii="Times New Roman" w:hAnsi="Times New Roman" w:cs="Times New Roman"/>
                <w:noProof/>
                <w:sz w:val="24"/>
                <w:szCs w:val="24"/>
              </w:rPr>
            </w:r>
            <w:r w:rsidRPr="00EB6899">
              <w:rPr>
                <w:rFonts w:ascii="Times New Roman" w:hAnsi="Times New Roman" w:cs="Times New Roman"/>
                <w:noProof/>
                <w:sz w:val="24"/>
                <w:szCs w:val="24"/>
              </w:rPr>
              <w:fldChar w:fldCharType="separate"/>
            </w:r>
            <w:r w:rsidR="00462C44">
              <w:rPr>
                <w:rFonts w:ascii="Times New Roman" w:hAnsi="Times New Roman" w:cs="Times New Roman"/>
                <w:noProof/>
                <w:sz w:val="24"/>
                <w:szCs w:val="24"/>
              </w:rPr>
              <w:t>95</w:t>
            </w:r>
            <w:r w:rsidRPr="00EB6899">
              <w:rPr>
                <w:rFonts w:ascii="Times New Roman" w:hAnsi="Times New Roman" w:cs="Times New Roman"/>
                <w:noProof/>
                <w:sz w:val="24"/>
                <w:szCs w:val="24"/>
              </w:rPr>
              <w:fldChar w:fldCharType="end"/>
            </w:r>
          </w:hyperlink>
        </w:p>
        <w:p w14:paraId="72185C07" w14:textId="7672B3A2" w:rsidR="00EB6899" w:rsidRPr="00EB6899" w:rsidRDefault="00EB6899" w:rsidP="00EB6899">
          <w:pPr>
            <w:pStyle w:val="TOC2"/>
            <w:tabs>
              <w:tab w:val="right" w:leader="dot" w:pos="8834"/>
            </w:tabs>
            <w:spacing w:line="360" w:lineRule="auto"/>
            <w:ind w:left="0"/>
            <w:jc w:val="both"/>
            <w:rPr>
              <w:rFonts w:ascii="Times New Roman" w:eastAsiaTheme="minorEastAsia" w:hAnsi="Times New Roman" w:cs="Times New Roman"/>
              <w:smallCaps w:val="0"/>
              <w:noProof/>
              <w:sz w:val="24"/>
              <w:szCs w:val="24"/>
              <w14:ligatures w14:val="standardContextual"/>
            </w:rPr>
          </w:pPr>
          <w:hyperlink w:anchor="_Toc220680502" w:history="1">
            <w:r w:rsidRPr="00EB6899">
              <w:rPr>
                <w:rStyle w:val="aff9"/>
                <w:noProof/>
                <w:sz w:val="24"/>
                <w:szCs w:val="24"/>
              </w:rPr>
              <w:t>4.4</w:t>
            </w:r>
            <w:r w:rsidRPr="00EB6899">
              <w:rPr>
                <w:rStyle w:val="aff9"/>
                <w:noProof/>
                <w:sz w:val="24"/>
                <w:szCs w:val="24"/>
              </w:rPr>
              <w:t>水系</w:t>
            </w:r>
            <w:r w:rsidRPr="00EB6899">
              <w:rPr>
                <w:rFonts w:ascii="Times New Roman" w:hAnsi="Times New Roman" w:cs="Times New Roman"/>
                <w:noProof/>
                <w:sz w:val="24"/>
                <w:szCs w:val="24"/>
              </w:rPr>
              <w:tab/>
            </w:r>
            <w:r w:rsidRPr="00EB6899">
              <w:rPr>
                <w:rFonts w:ascii="Times New Roman" w:hAnsi="Times New Roman" w:cs="Times New Roman"/>
                <w:noProof/>
                <w:sz w:val="24"/>
                <w:szCs w:val="24"/>
              </w:rPr>
              <w:fldChar w:fldCharType="begin"/>
            </w:r>
            <w:r w:rsidRPr="00EB6899">
              <w:rPr>
                <w:rFonts w:ascii="Times New Roman" w:hAnsi="Times New Roman" w:cs="Times New Roman"/>
                <w:noProof/>
                <w:sz w:val="24"/>
                <w:szCs w:val="24"/>
              </w:rPr>
              <w:instrText xml:space="preserve"> PAGEREF _Toc220680502 \h </w:instrText>
            </w:r>
            <w:r w:rsidRPr="00EB6899">
              <w:rPr>
                <w:rFonts w:ascii="Times New Roman" w:hAnsi="Times New Roman" w:cs="Times New Roman"/>
                <w:noProof/>
                <w:sz w:val="24"/>
                <w:szCs w:val="24"/>
              </w:rPr>
            </w:r>
            <w:r w:rsidRPr="00EB6899">
              <w:rPr>
                <w:rFonts w:ascii="Times New Roman" w:hAnsi="Times New Roman" w:cs="Times New Roman"/>
                <w:noProof/>
                <w:sz w:val="24"/>
                <w:szCs w:val="24"/>
              </w:rPr>
              <w:fldChar w:fldCharType="separate"/>
            </w:r>
            <w:r w:rsidR="00462C44">
              <w:rPr>
                <w:rFonts w:ascii="Times New Roman" w:hAnsi="Times New Roman" w:cs="Times New Roman"/>
                <w:noProof/>
                <w:sz w:val="24"/>
                <w:szCs w:val="24"/>
              </w:rPr>
              <w:t>96</w:t>
            </w:r>
            <w:r w:rsidRPr="00EB6899">
              <w:rPr>
                <w:rFonts w:ascii="Times New Roman" w:hAnsi="Times New Roman" w:cs="Times New Roman"/>
                <w:noProof/>
                <w:sz w:val="24"/>
                <w:szCs w:val="24"/>
              </w:rPr>
              <w:fldChar w:fldCharType="end"/>
            </w:r>
          </w:hyperlink>
        </w:p>
        <w:p w14:paraId="2B8F687D" w14:textId="61D50E98" w:rsidR="00EB6899" w:rsidRPr="00EB6899" w:rsidRDefault="00EB6899" w:rsidP="00EB6899">
          <w:pPr>
            <w:pStyle w:val="TOC2"/>
            <w:tabs>
              <w:tab w:val="right" w:leader="dot" w:pos="8834"/>
            </w:tabs>
            <w:spacing w:line="360" w:lineRule="auto"/>
            <w:ind w:left="0"/>
            <w:jc w:val="both"/>
            <w:rPr>
              <w:rFonts w:ascii="Times New Roman" w:eastAsiaTheme="minorEastAsia" w:hAnsi="Times New Roman" w:cs="Times New Roman"/>
              <w:smallCaps w:val="0"/>
              <w:noProof/>
              <w:sz w:val="24"/>
              <w:szCs w:val="24"/>
              <w14:ligatures w14:val="standardContextual"/>
            </w:rPr>
          </w:pPr>
          <w:hyperlink w:anchor="_Toc220680503" w:history="1">
            <w:r w:rsidRPr="00EB6899">
              <w:rPr>
                <w:rStyle w:val="aff9"/>
                <w:noProof/>
                <w:sz w:val="24"/>
                <w:szCs w:val="24"/>
              </w:rPr>
              <w:t>4.5</w:t>
            </w:r>
            <w:r w:rsidRPr="00EB6899">
              <w:rPr>
                <w:rStyle w:val="aff9"/>
                <w:noProof/>
                <w:sz w:val="24"/>
                <w:szCs w:val="24"/>
              </w:rPr>
              <w:t>水文地质</w:t>
            </w:r>
            <w:r w:rsidRPr="00EB6899">
              <w:rPr>
                <w:rFonts w:ascii="Times New Roman" w:hAnsi="Times New Roman" w:cs="Times New Roman"/>
                <w:noProof/>
                <w:sz w:val="24"/>
                <w:szCs w:val="24"/>
              </w:rPr>
              <w:tab/>
            </w:r>
            <w:r w:rsidRPr="00EB6899">
              <w:rPr>
                <w:rFonts w:ascii="Times New Roman" w:hAnsi="Times New Roman" w:cs="Times New Roman"/>
                <w:noProof/>
                <w:sz w:val="24"/>
                <w:szCs w:val="24"/>
              </w:rPr>
              <w:fldChar w:fldCharType="begin"/>
            </w:r>
            <w:r w:rsidRPr="00EB6899">
              <w:rPr>
                <w:rFonts w:ascii="Times New Roman" w:hAnsi="Times New Roman" w:cs="Times New Roman"/>
                <w:noProof/>
                <w:sz w:val="24"/>
                <w:szCs w:val="24"/>
              </w:rPr>
              <w:instrText xml:space="preserve"> PAGEREF _Toc220680503 \h </w:instrText>
            </w:r>
            <w:r w:rsidRPr="00EB6899">
              <w:rPr>
                <w:rFonts w:ascii="Times New Roman" w:hAnsi="Times New Roman" w:cs="Times New Roman"/>
                <w:noProof/>
                <w:sz w:val="24"/>
                <w:szCs w:val="24"/>
              </w:rPr>
            </w:r>
            <w:r w:rsidRPr="00EB6899">
              <w:rPr>
                <w:rFonts w:ascii="Times New Roman" w:hAnsi="Times New Roman" w:cs="Times New Roman"/>
                <w:noProof/>
                <w:sz w:val="24"/>
                <w:szCs w:val="24"/>
              </w:rPr>
              <w:fldChar w:fldCharType="separate"/>
            </w:r>
            <w:r w:rsidR="00462C44">
              <w:rPr>
                <w:rFonts w:ascii="Times New Roman" w:hAnsi="Times New Roman" w:cs="Times New Roman"/>
                <w:noProof/>
                <w:sz w:val="24"/>
                <w:szCs w:val="24"/>
              </w:rPr>
              <w:t>97</w:t>
            </w:r>
            <w:r w:rsidRPr="00EB6899">
              <w:rPr>
                <w:rFonts w:ascii="Times New Roman" w:hAnsi="Times New Roman" w:cs="Times New Roman"/>
                <w:noProof/>
                <w:sz w:val="24"/>
                <w:szCs w:val="24"/>
              </w:rPr>
              <w:fldChar w:fldCharType="end"/>
            </w:r>
          </w:hyperlink>
        </w:p>
        <w:p w14:paraId="5099A71C" w14:textId="60C87C67" w:rsidR="00EB6899" w:rsidRPr="00EB6899" w:rsidRDefault="00EB6899" w:rsidP="00EB6899">
          <w:pPr>
            <w:pStyle w:val="TOC2"/>
            <w:tabs>
              <w:tab w:val="right" w:leader="dot" w:pos="8834"/>
            </w:tabs>
            <w:spacing w:line="360" w:lineRule="auto"/>
            <w:ind w:left="0"/>
            <w:jc w:val="both"/>
            <w:rPr>
              <w:rFonts w:ascii="Times New Roman" w:eastAsiaTheme="minorEastAsia" w:hAnsi="Times New Roman" w:cs="Times New Roman"/>
              <w:smallCaps w:val="0"/>
              <w:noProof/>
              <w:sz w:val="24"/>
              <w:szCs w:val="24"/>
              <w14:ligatures w14:val="standardContextual"/>
            </w:rPr>
          </w:pPr>
          <w:hyperlink w:anchor="_Toc220680506" w:history="1">
            <w:r w:rsidRPr="00EB6899">
              <w:rPr>
                <w:rStyle w:val="aff9"/>
                <w:noProof/>
                <w:sz w:val="24"/>
                <w:szCs w:val="24"/>
              </w:rPr>
              <w:t xml:space="preserve">4.6 </w:t>
            </w:r>
            <w:r w:rsidRPr="00EB6899">
              <w:rPr>
                <w:rStyle w:val="aff9"/>
                <w:noProof/>
                <w:sz w:val="24"/>
                <w:szCs w:val="24"/>
              </w:rPr>
              <w:t>评价区水文地质特征</w:t>
            </w:r>
            <w:r w:rsidRPr="00EB6899">
              <w:rPr>
                <w:rFonts w:ascii="Times New Roman" w:hAnsi="Times New Roman" w:cs="Times New Roman"/>
                <w:noProof/>
                <w:sz w:val="24"/>
                <w:szCs w:val="24"/>
              </w:rPr>
              <w:tab/>
            </w:r>
            <w:r w:rsidRPr="00EB6899">
              <w:rPr>
                <w:rFonts w:ascii="Times New Roman" w:hAnsi="Times New Roman" w:cs="Times New Roman"/>
                <w:noProof/>
                <w:sz w:val="24"/>
                <w:szCs w:val="24"/>
              </w:rPr>
              <w:fldChar w:fldCharType="begin"/>
            </w:r>
            <w:r w:rsidRPr="00EB6899">
              <w:rPr>
                <w:rFonts w:ascii="Times New Roman" w:hAnsi="Times New Roman" w:cs="Times New Roman"/>
                <w:noProof/>
                <w:sz w:val="24"/>
                <w:szCs w:val="24"/>
              </w:rPr>
              <w:instrText xml:space="preserve"> PAGEREF _Toc220680506 \h </w:instrText>
            </w:r>
            <w:r w:rsidRPr="00EB6899">
              <w:rPr>
                <w:rFonts w:ascii="Times New Roman" w:hAnsi="Times New Roman" w:cs="Times New Roman"/>
                <w:noProof/>
                <w:sz w:val="24"/>
                <w:szCs w:val="24"/>
              </w:rPr>
            </w:r>
            <w:r w:rsidRPr="00EB6899">
              <w:rPr>
                <w:rFonts w:ascii="Times New Roman" w:hAnsi="Times New Roman" w:cs="Times New Roman"/>
                <w:noProof/>
                <w:sz w:val="24"/>
                <w:szCs w:val="24"/>
              </w:rPr>
              <w:fldChar w:fldCharType="separate"/>
            </w:r>
            <w:r w:rsidR="00462C44">
              <w:rPr>
                <w:rFonts w:ascii="Times New Roman" w:hAnsi="Times New Roman" w:cs="Times New Roman"/>
                <w:noProof/>
                <w:sz w:val="24"/>
                <w:szCs w:val="24"/>
              </w:rPr>
              <w:t>99</w:t>
            </w:r>
            <w:r w:rsidRPr="00EB6899">
              <w:rPr>
                <w:rFonts w:ascii="Times New Roman" w:hAnsi="Times New Roman" w:cs="Times New Roman"/>
                <w:noProof/>
                <w:sz w:val="24"/>
                <w:szCs w:val="24"/>
              </w:rPr>
              <w:fldChar w:fldCharType="end"/>
            </w:r>
          </w:hyperlink>
        </w:p>
        <w:p w14:paraId="7F57F211" w14:textId="6B7E199C" w:rsidR="00EB6899" w:rsidRPr="00EB6899" w:rsidRDefault="00EB6899" w:rsidP="00EB6899">
          <w:pPr>
            <w:pStyle w:val="TOC2"/>
            <w:tabs>
              <w:tab w:val="right" w:leader="dot" w:pos="8834"/>
            </w:tabs>
            <w:spacing w:line="360" w:lineRule="auto"/>
            <w:ind w:left="0"/>
            <w:jc w:val="both"/>
            <w:rPr>
              <w:rFonts w:ascii="Times New Roman" w:eastAsiaTheme="minorEastAsia" w:hAnsi="Times New Roman" w:cs="Times New Roman"/>
              <w:smallCaps w:val="0"/>
              <w:noProof/>
              <w:sz w:val="24"/>
              <w:szCs w:val="24"/>
              <w14:ligatures w14:val="standardContextual"/>
            </w:rPr>
          </w:pPr>
          <w:hyperlink w:anchor="_Toc220680510" w:history="1">
            <w:r w:rsidRPr="00EB6899">
              <w:rPr>
                <w:rStyle w:val="aff9"/>
                <w:noProof/>
                <w:sz w:val="24"/>
                <w:szCs w:val="24"/>
              </w:rPr>
              <w:t>4.7</w:t>
            </w:r>
            <w:r w:rsidRPr="00EB6899">
              <w:rPr>
                <w:rStyle w:val="aff9"/>
                <w:noProof/>
                <w:sz w:val="24"/>
                <w:szCs w:val="24"/>
              </w:rPr>
              <w:t>土壤、植被和生物多样性</w:t>
            </w:r>
            <w:r w:rsidRPr="00EB6899">
              <w:rPr>
                <w:rFonts w:ascii="Times New Roman" w:hAnsi="Times New Roman" w:cs="Times New Roman"/>
                <w:noProof/>
                <w:sz w:val="24"/>
                <w:szCs w:val="24"/>
              </w:rPr>
              <w:tab/>
            </w:r>
            <w:r w:rsidRPr="00EB6899">
              <w:rPr>
                <w:rFonts w:ascii="Times New Roman" w:hAnsi="Times New Roman" w:cs="Times New Roman"/>
                <w:noProof/>
                <w:sz w:val="24"/>
                <w:szCs w:val="24"/>
              </w:rPr>
              <w:fldChar w:fldCharType="begin"/>
            </w:r>
            <w:r w:rsidRPr="00EB6899">
              <w:rPr>
                <w:rFonts w:ascii="Times New Roman" w:hAnsi="Times New Roman" w:cs="Times New Roman"/>
                <w:noProof/>
                <w:sz w:val="24"/>
                <w:szCs w:val="24"/>
              </w:rPr>
              <w:instrText xml:space="preserve"> PAGEREF _Toc220680510 \h </w:instrText>
            </w:r>
            <w:r w:rsidRPr="00EB6899">
              <w:rPr>
                <w:rFonts w:ascii="Times New Roman" w:hAnsi="Times New Roman" w:cs="Times New Roman"/>
                <w:noProof/>
                <w:sz w:val="24"/>
                <w:szCs w:val="24"/>
              </w:rPr>
            </w:r>
            <w:r w:rsidRPr="00EB6899">
              <w:rPr>
                <w:rFonts w:ascii="Times New Roman" w:hAnsi="Times New Roman" w:cs="Times New Roman"/>
                <w:noProof/>
                <w:sz w:val="24"/>
                <w:szCs w:val="24"/>
              </w:rPr>
              <w:fldChar w:fldCharType="separate"/>
            </w:r>
            <w:r w:rsidR="00462C44">
              <w:rPr>
                <w:rFonts w:ascii="Times New Roman" w:hAnsi="Times New Roman" w:cs="Times New Roman"/>
                <w:noProof/>
                <w:sz w:val="24"/>
                <w:szCs w:val="24"/>
              </w:rPr>
              <w:t>101</w:t>
            </w:r>
            <w:r w:rsidRPr="00EB6899">
              <w:rPr>
                <w:rFonts w:ascii="Times New Roman" w:hAnsi="Times New Roman" w:cs="Times New Roman"/>
                <w:noProof/>
                <w:sz w:val="24"/>
                <w:szCs w:val="24"/>
              </w:rPr>
              <w:fldChar w:fldCharType="end"/>
            </w:r>
          </w:hyperlink>
        </w:p>
        <w:p w14:paraId="6BEE6C43" w14:textId="004D9009" w:rsidR="00EB6899" w:rsidRPr="00EB6899" w:rsidRDefault="00EB6899" w:rsidP="00EB6899">
          <w:pPr>
            <w:pStyle w:val="TOC1"/>
            <w:tabs>
              <w:tab w:val="right" w:leader="dot" w:pos="8834"/>
            </w:tabs>
            <w:spacing w:before="0" w:after="0" w:line="360" w:lineRule="auto"/>
            <w:jc w:val="both"/>
            <w:rPr>
              <w:rFonts w:ascii="Times New Roman" w:eastAsiaTheme="minorEastAsia" w:hAnsi="Times New Roman" w:cs="Times New Roman"/>
              <w:b w:val="0"/>
              <w:bCs w:val="0"/>
              <w:caps w:val="0"/>
              <w:noProof/>
              <w:sz w:val="24"/>
              <w:szCs w:val="24"/>
              <w14:ligatures w14:val="standardContextual"/>
            </w:rPr>
          </w:pPr>
          <w:hyperlink w:anchor="_Toc220680511" w:history="1">
            <w:r w:rsidRPr="00EB6899">
              <w:rPr>
                <w:rStyle w:val="aff9"/>
                <w:b w:val="0"/>
                <w:bCs w:val="0"/>
                <w:noProof/>
                <w:kern w:val="44"/>
                <w:sz w:val="24"/>
                <w:szCs w:val="24"/>
              </w:rPr>
              <w:t>第五章</w:t>
            </w:r>
            <w:r w:rsidRPr="00EB6899">
              <w:rPr>
                <w:rStyle w:val="aff9"/>
                <w:b w:val="0"/>
                <w:bCs w:val="0"/>
                <w:noProof/>
                <w:kern w:val="44"/>
                <w:sz w:val="24"/>
                <w:szCs w:val="24"/>
              </w:rPr>
              <w:t xml:space="preserve">  </w:t>
            </w:r>
            <w:r w:rsidRPr="00EB6899">
              <w:rPr>
                <w:rStyle w:val="aff9"/>
                <w:b w:val="0"/>
                <w:bCs w:val="0"/>
                <w:noProof/>
                <w:kern w:val="44"/>
                <w:sz w:val="24"/>
                <w:szCs w:val="24"/>
              </w:rPr>
              <w:t>环境质量现状</w:t>
            </w:r>
            <w:r w:rsidRPr="00EB6899">
              <w:rPr>
                <w:rFonts w:ascii="Times New Roman" w:hAnsi="Times New Roman" w:cs="Times New Roman"/>
                <w:b w:val="0"/>
                <w:bCs w:val="0"/>
                <w:noProof/>
                <w:sz w:val="24"/>
                <w:szCs w:val="24"/>
              </w:rPr>
              <w:tab/>
            </w:r>
            <w:r w:rsidRPr="00EB6899">
              <w:rPr>
                <w:rFonts w:ascii="Times New Roman" w:hAnsi="Times New Roman" w:cs="Times New Roman"/>
                <w:b w:val="0"/>
                <w:bCs w:val="0"/>
                <w:noProof/>
                <w:sz w:val="24"/>
                <w:szCs w:val="24"/>
              </w:rPr>
              <w:fldChar w:fldCharType="begin"/>
            </w:r>
            <w:r w:rsidRPr="00EB6899">
              <w:rPr>
                <w:rFonts w:ascii="Times New Roman" w:hAnsi="Times New Roman" w:cs="Times New Roman"/>
                <w:b w:val="0"/>
                <w:bCs w:val="0"/>
                <w:noProof/>
                <w:sz w:val="24"/>
                <w:szCs w:val="24"/>
              </w:rPr>
              <w:instrText xml:space="preserve"> PAGEREF _Toc220680511 \h </w:instrText>
            </w:r>
            <w:r w:rsidRPr="00EB6899">
              <w:rPr>
                <w:rFonts w:ascii="Times New Roman" w:hAnsi="Times New Roman" w:cs="Times New Roman"/>
                <w:b w:val="0"/>
                <w:bCs w:val="0"/>
                <w:noProof/>
                <w:sz w:val="24"/>
                <w:szCs w:val="24"/>
              </w:rPr>
            </w:r>
            <w:r w:rsidRPr="00EB6899">
              <w:rPr>
                <w:rFonts w:ascii="Times New Roman" w:hAnsi="Times New Roman" w:cs="Times New Roman"/>
                <w:b w:val="0"/>
                <w:bCs w:val="0"/>
                <w:noProof/>
                <w:sz w:val="24"/>
                <w:szCs w:val="24"/>
              </w:rPr>
              <w:fldChar w:fldCharType="separate"/>
            </w:r>
            <w:r w:rsidR="00462C44">
              <w:rPr>
                <w:rFonts w:ascii="Times New Roman" w:hAnsi="Times New Roman" w:cs="Times New Roman"/>
                <w:b w:val="0"/>
                <w:bCs w:val="0"/>
                <w:noProof/>
                <w:sz w:val="24"/>
                <w:szCs w:val="24"/>
              </w:rPr>
              <w:t>102</w:t>
            </w:r>
            <w:r w:rsidRPr="00EB6899">
              <w:rPr>
                <w:rFonts w:ascii="Times New Roman" w:hAnsi="Times New Roman" w:cs="Times New Roman"/>
                <w:b w:val="0"/>
                <w:bCs w:val="0"/>
                <w:noProof/>
                <w:sz w:val="24"/>
                <w:szCs w:val="24"/>
              </w:rPr>
              <w:fldChar w:fldCharType="end"/>
            </w:r>
          </w:hyperlink>
        </w:p>
        <w:p w14:paraId="34BC2A5F" w14:textId="251C5982" w:rsidR="00EB6899" w:rsidRPr="00EB6899" w:rsidRDefault="00EB6899" w:rsidP="00EB6899">
          <w:pPr>
            <w:pStyle w:val="TOC2"/>
            <w:tabs>
              <w:tab w:val="right" w:leader="dot" w:pos="8834"/>
            </w:tabs>
            <w:spacing w:line="360" w:lineRule="auto"/>
            <w:ind w:left="0"/>
            <w:jc w:val="both"/>
            <w:rPr>
              <w:rFonts w:ascii="Times New Roman" w:eastAsiaTheme="minorEastAsia" w:hAnsi="Times New Roman" w:cs="Times New Roman"/>
              <w:smallCaps w:val="0"/>
              <w:noProof/>
              <w:sz w:val="24"/>
              <w:szCs w:val="24"/>
              <w14:ligatures w14:val="standardContextual"/>
            </w:rPr>
          </w:pPr>
          <w:hyperlink w:anchor="_Toc220680512" w:history="1">
            <w:r w:rsidRPr="00EB6899">
              <w:rPr>
                <w:rStyle w:val="aff9"/>
                <w:noProof/>
                <w:sz w:val="24"/>
                <w:szCs w:val="24"/>
              </w:rPr>
              <w:t>5.1</w:t>
            </w:r>
            <w:r w:rsidRPr="00EB6899">
              <w:rPr>
                <w:rStyle w:val="aff9"/>
                <w:noProof/>
                <w:sz w:val="24"/>
                <w:szCs w:val="24"/>
              </w:rPr>
              <w:t>地表水环境现状调查与评价</w:t>
            </w:r>
            <w:r w:rsidRPr="00EB6899">
              <w:rPr>
                <w:rFonts w:ascii="Times New Roman" w:hAnsi="Times New Roman" w:cs="Times New Roman"/>
                <w:noProof/>
                <w:sz w:val="24"/>
                <w:szCs w:val="24"/>
              </w:rPr>
              <w:tab/>
            </w:r>
            <w:r w:rsidRPr="00EB6899">
              <w:rPr>
                <w:rFonts w:ascii="Times New Roman" w:hAnsi="Times New Roman" w:cs="Times New Roman"/>
                <w:noProof/>
                <w:sz w:val="24"/>
                <w:szCs w:val="24"/>
              </w:rPr>
              <w:fldChar w:fldCharType="begin"/>
            </w:r>
            <w:r w:rsidRPr="00EB6899">
              <w:rPr>
                <w:rFonts w:ascii="Times New Roman" w:hAnsi="Times New Roman" w:cs="Times New Roman"/>
                <w:noProof/>
                <w:sz w:val="24"/>
                <w:szCs w:val="24"/>
              </w:rPr>
              <w:instrText xml:space="preserve"> PAGEREF _Toc220680512 \h </w:instrText>
            </w:r>
            <w:r w:rsidRPr="00EB6899">
              <w:rPr>
                <w:rFonts w:ascii="Times New Roman" w:hAnsi="Times New Roman" w:cs="Times New Roman"/>
                <w:noProof/>
                <w:sz w:val="24"/>
                <w:szCs w:val="24"/>
              </w:rPr>
            </w:r>
            <w:r w:rsidRPr="00EB6899">
              <w:rPr>
                <w:rFonts w:ascii="Times New Roman" w:hAnsi="Times New Roman" w:cs="Times New Roman"/>
                <w:noProof/>
                <w:sz w:val="24"/>
                <w:szCs w:val="24"/>
              </w:rPr>
              <w:fldChar w:fldCharType="separate"/>
            </w:r>
            <w:r w:rsidR="00462C44">
              <w:rPr>
                <w:rFonts w:ascii="Times New Roman" w:hAnsi="Times New Roman" w:cs="Times New Roman"/>
                <w:noProof/>
                <w:sz w:val="24"/>
                <w:szCs w:val="24"/>
              </w:rPr>
              <w:t>102</w:t>
            </w:r>
            <w:r w:rsidRPr="00EB6899">
              <w:rPr>
                <w:rFonts w:ascii="Times New Roman" w:hAnsi="Times New Roman" w:cs="Times New Roman"/>
                <w:noProof/>
                <w:sz w:val="24"/>
                <w:szCs w:val="24"/>
              </w:rPr>
              <w:fldChar w:fldCharType="end"/>
            </w:r>
          </w:hyperlink>
        </w:p>
        <w:p w14:paraId="33B8D1F7" w14:textId="6F4F4816" w:rsidR="00EB6899" w:rsidRPr="00EB6899" w:rsidRDefault="00EB6899" w:rsidP="00EB6899">
          <w:pPr>
            <w:pStyle w:val="TOC2"/>
            <w:tabs>
              <w:tab w:val="right" w:leader="dot" w:pos="8834"/>
            </w:tabs>
            <w:spacing w:line="360" w:lineRule="auto"/>
            <w:ind w:left="0"/>
            <w:jc w:val="both"/>
            <w:rPr>
              <w:rFonts w:ascii="Times New Roman" w:eastAsiaTheme="minorEastAsia" w:hAnsi="Times New Roman" w:cs="Times New Roman"/>
              <w:smallCaps w:val="0"/>
              <w:noProof/>
              <w:sz w:val="24"/>
              <w:szCs w:val="24"/>
              <w14:ligatures w14:val="standardContextual"/>
            </w:rPr>
          </w:pPr>
          <w:hyperlink w:anchor="_Toc220680515" w:history="1">
            <w:r w:rsidRPr="00EB6899">
              <w:rPr>
                <w:rStyle w:val="aff9"/>
                <w:noProof/>
                <w:sz w:val="24"/>
                <w:szCs w:val="24"/>
              </w:rPr>
              <w:t>5.2</w:t>
            </w:r>
            <w:r w:rsidRPr="00EB6899">
              <w:rPr>
                <w:rStyle w:val="aff9"/>
                <w:noProof/>
                <w:sz w:val="24"/>
                <w:szCs w:val="24"/>
              </w:rPr>
              <w:t>地下水环境质量现状调查与评价</w:t>
            </w:r>
            <w:r w:rsidRPr="00EB6899">
              <w:rPr>
                <w:rFonts w:ascii="Times New Roman" w:hAnsi="Times New Roman" w:cs="Times New Roman"/>
                <w:noProof/>
                <w:sz w:val="24"/>
                <w:szCs w:val="24"/>
              </w:rPr>
              <w:tab/>
            </w:r>
            <w:r w:rsidRPr="00EB6899">
              <w:rPr>
                <w:rFonts w:ascii="Times New Roman" w:hAnsi="Times New Roman" w:cs="Times New Roman"/>
                <w:noProof/>
                <w:sz w:val="24"/>
                <w:szCs w:val="24"/>
              </w:rPr>
              <w:fldChar w:fldCharType="begin"/>
            </w:r>
            <w:r w:rsidRPr="00EB6899">
              <w:rPr>
                <w:rFonts w:ascii="Times New Roman" w:hAnsi="Times New Roman" w:cs="Times New Roman"/>
                <w:noProof/>
                <w:sz w:val="24"/>
                <w:szCs w:val="24"/>
              </w:rPr>
              <w:instrText xml:space="preserve"> PAGEREF _Toc220680515 \h </w:instrText>
            </w:r>
            <w:r w:rsidRPr="00EB6899">
              <w:rPr>
                <w:rFonts w:ascii="Times New Roman" w:hAnsi="Times New Roman" w:cs="Times New Roman"/>
                <w:noProof/>
                <w:sz w:val="24"/>
                <w:szCs w:val="24"/>
              </w:rPr>
            </w:r>
            <w:r w:rsidRPr="00EB6899">
              <w:rPr>
                <w:rFonts w:ascii="Times New Roman" w:hAnsi="Times New Roman" w:cs="Times New Roman"/>
                <w:noProof/>
                <w:sz w:val="24"/>
                <w:szCs w:val="24"/>
              </w:rPr>
              <w:fldChar w:fldCharType="separate"/>
            </w:r>
            <w:r w:rsidR="00462C44">
              <w:rPr>
                <w:rFonts w:ascii="Times New Roman" w:hAnsi="Times New Roman" w:cs="Times New Roman"/>
                <w:noProof/>
                <w:sz w:val="24"/>
                <w:szCs w:val="24"/>
              </w:rPr>
              <w:t>107</w:t>
            </w:r>
            <w:r w:rsidRPr="00EB6899">
              <w:rPr>
                <w:rFonts w:ascii="Times New Roman" w:hAnsi="Times New Roman" w:cs="Times New Roman"/>
                <w:noProof/>
                <w:sz w:val="24"/>
                <w:szCs w:val="24"/>
              </w:rPr>
              <w:fldChar w:fldCharType="end"/>
            </w:r>
          </w:hyperlink>
        </w:p>
        <w:p w14:paraId="545BD0A3" w14:textId="71232E2F" w:rsidR="00EB6899" w:rsidRPr="00EB6899" w:rsidRDefault="00EB6899" w:rsidP="00EB6899">
          <w:pPr>
            <w:pStyle w:val="TOC2"/>
            <w:tabs>
              <w:tab w:val="right" w:leader="dot" w:pos="8834"/>
            </w:tabs>
            <w:spacing w:line="360" w:lineRule="auto"/>
            <w:ind w:left="0"/>
            <w:jc w:val="both"/>
            <w:rPr>
              <w:rFonts w:ascii="Times New Roman" w:eastAsiaTheme="minorEastAsia" w:hAnsi="Times New Roman" w:cs="Times New Roman"/>
              <w:smallCaps w:val="0"/>
              <w:noProof/>
              <w:sz w:val="24"/>
              <w:szCs w:val="24"/>
              <w14:ligatures w14:val="standardContextual"/>
            </w:rPr>
          </w:pPr>
          <w:hyperlink w:anchor="_Toc220680516" w:history="1">
            <w:r w:rsidRPr="00EB6899">
              <w:rPr>
                <w:rStyle w:val="aff9"/>
                <w:noProof/>
                <w:sz w:val="24"/>
                <w:szCs w:val="24"/>
              </w:rPr>
              <w:t>5.3</w:t>
            </w:r>
            <w:r w:rsidRPr="00EB6899">
              <w:rPr>
                <w:rStyle w:val="aff9"/>
                <w:noProof/>
                <w:sz w:val="24"/>
                <w:szCs w:val="24"/>
              </w:rPr>
              <w:t>环境空气质量现状调查与评价</w:t>
            </w:r>
            <w:r w:rsidRPr="00EB6899">
              <w:rPr>
                <w:rFonts w:ascii="Times New Roman" w:hAnsi="Times New Roman" w:cs="Times New Roman"/>
                <w:noProof/>
                <w:sz w:val="24"/>
                <w:szCs w:val="24"/>
              </w:rPr>
              <w:tab/>
            </w:r>
            <w:r w:rsidRPr="00EB6899">
              <w:rPr>
                <w:rFonts w:ascii="Times New Roman" w:hAnsi="Times New Roman" w:cs="Times New Roman"/>
                <w:noProof/>
                <w:sz w:val="24"/>
                <w:szCs w:val="24"/>
              </w:rPr>
              <w:fldChar w:fldCharType="begin"/>
            </w:r>
            <w:r w:rsidRPr="00EB6899">
              <w:rPr>
                <w:rFonts w:ascii="Times New Roman" w:hAnsi="Times New Roman" w:cs="Times New Roman"/>
                <w:noProof/>
                <w:sz w:val="24"/>
                <w:szCs w:val="24"/>
              </w:rPr>
              <w:instrText xml:space="preserve"> PAGEREF _Toc220680516 \h </w:instrText>
            </w:r>
            <w:r w:rsidRPr="00EB6899">
              <w:rPr>
                <w:rFonts w:ascii="Times New Roman" w:hAnsi="Times New Roman" w:cs="Times New Roman"/>
                <w:noProof/>
                <w:sz w:val="24"/>
                <w:szCs w:val="24"/>
              </w:rPr>
            </w:r>
            <w:r w:rsidRPr="00EB6899">
              <w:rPr>
                <w:rFonts w:ascii="Times New Roman" w:hAnsi="Times New Roman" w:cs="Times New Roman"/>
                <w:noProof/>
                <w:sz w:val="24"/>
                <w:szCs w:val="24"/>
              </w:rPr>
              <w:fldChar w:fldCharType="separate"/>
            </w:r>
            <w:r w:rsidR="00462C44">
              <w:rPr>
                <w:rFonts w:ascii="Times New Roman" w:hAnsi="Times New Roman" w:cs="Times New Roman"/>
                <w:noProof/>
                <w:sz w:val="24"/>
                <w:szCs w:val="24"/>
              </w:rPr>
              <w:t>113</w:t>
            </w:r>
            <w:r w:rsidRPr="00EB6899">
              <w:rPr>
                <w:rFonts w:ascii="Times New Roman" w:hAnsi="Times New Roman" w:cs="Times New Roman"/>
                <w:noProof/>
                <w:sz w:val="24"/>
                <w:szCs w:val="24"/>
              </w:rPr>
              <w:fldChar w:fldCharType="end"/>
            </w:r>
          </w:hyperlink>
        </w:p>
        <w:p w14:paraId="615FEA3C" w14:textId="2CD4420E" w:rsidR="00EB6899" w:rsidRPr="00EB6899" w:rsidRDefault="00EB6899" w:rsidP="00EB6899">
          <w:pPr>
            <w:pStyle w:val="TOC2"/>
            <w:tabs>
              <w:tab w:val="right" w:leader="dot" w:pos="8834"/>
            </w:tabs>
            <w:spacing w:line="360" w:lineRule="auto"/>
            <w:ind w:left="0"/>
            <w:jc w:val="both"/>
            <w:rPr>
              <w:rFonts w:ascii="Times New Roman" w:eastAsiaTheme="minorEastAsia" w:hAnsi="Times New Roman" w:cs="Times New Roman"/>
              <w:smallCaps w:val="0"/>
              <w:noProof/>
              <w:sz w:val="24"/>
              <w:szCs w:val="24"/>
              <w14:ligatures w14:val="standardContextual"/>
            </w:rPr>
          </w:pPr>
          <w:hyperlink w:anchor="_Toc220680517" w:history="1">
            <w:r w:rsidRPr="00EB6899">
              <w:rPr>
                <w:rStyle w:val="aff9"/>
                <w:noProof/>
                <w:sz w:val="24"/>
                <w:szCs w:val="24"/>
              </w:rPr>
              <w:t>5.4</w:t>
            </w:r>
            <w:r w:rsidRPr="00EB6899">
              <w:rPr>
                <w:rStyle w:val="aff9"/>
                <w:noProof/>
                <w:sz w:val="24"/>
                <w:szCs w:val="24"/>
              </w:rPr>
              <w:t>声环境的现状调查与评价</w:t>
            </w:r>
            <w:r w:rsidRPr="00EB6899">
              <w:rPr>
                <w:rFonts w:ascii="Times New Roman" w:hAnsi="Times New Roman" w:cs="Times New Roman"/>
                <w:noProof/>
                <w:sz w:val="24"/>
                <w:szCs w:val="24"/>
              </w:rPr>
              <w:tab/>
            </w:r>
            <w:r w:rsidRPr="00EB6899">
              <w:rPr>
                <w:rFonts w:ascii="Times New Roman" w:hAnsi="Times New Roman" w:cs="Times New Roman"/>
                <w:noProof/>
                <w:sz w:val="24"/>
                <w:szCs w:val="24"/>
              </w:rPr>
              <w:fldChar w:fldCharType="begin"/>
            </w:r>
            <w:r w:rsidRPr="00EB6899">
              <w:rPr>
                <w:rFonts w:ascii="Times New Roman" w:hAnsi="Times New Roman" w:cs="Times New Roman"/>
                <w:noProof/>
                <w:sz w:val="24"/>
                <w:szCs w:val="24"/>
              </w:rPr>
              <w:instrText xml:space="preserve"> PAGEREF _Toc220680517 \h </w:instrText>
            </w:r>
            <w:r w:rsidRPr="00EB6899">
              <w:rPr>
                <w:rFonts w:ascii="Times New Roman" w:hAnsi="Times New Roman" w:cs="Times New Roman"/>
                <w:noProof/>
                <w:sz w:val="24"/>
                <w:szCs w:val="24"/>
              </w:rPr>
            </w:r>
            <w:r w:rsidRPr="00EB6899">
              <w:rPr>
                <w:rFonts w:ascii="Times New Roman" w:hAnsi="Times New Roman" w:cs="Times New Roman"/>
                <w:noProof/>
                <w:sz w:val="24"/>
                <w:szCs w:val="24"/>
              </w:rPr>
              <w:fldChar w:fldCharType="separate"/>
            </w:r>
            <w:r w:rsidR="00462C44">
              <w:rPr>
                <w:rFonts w:ascii="Times New Roman" w:hAnsi="Times New Roman" w:cs="Times New Roman"/>
                <w:noProof/>
                <w:sz w:val="24"/>
                <w:szCs w:val="24"/>
              </w:rPr>
              <w:t>116</w:t>
            </w:r>
            <w:r w:rsidRPr="00EB6899">
              <w:rPr>
                <w:rFonts w:ascii="Times New Roman" w:hAnsi="Times New Roman" w:cs="Times New Roman"/>
                <w:noProof/>
                <w:sz w:val="24"/>
                <w:szCs w:val="24"/>
              </w:rPr>
              <w:fldChar w:fldCharType="end"/>
            </w:r>
          </w:hyperlink>
        </w:p>
        <w:p w14:paraId="37A9E4A7" w14:textId="5C241934" w:rsidR="00EB6899" w:rsidRPr="00EB6899" w:rsidRDefault="00EB6899" w:rsidP="00EB6899">
          <w:pPr>
            <w:pStyle w:val="TOC2"/>
            <w:tabs>
              <w:tab w:val="right" w:leader="dot" w:pos="8834"/>
            </w:tabs>
            <w:spacing w:line="360" w:lineRule="auto"/>
            <w:ind w:left="0"/>
            <w:jc w:val="both"/>
            <w:rPr>
              <w:rFonts w:ascii="Times New Roman" w:eastAsiaTheme="minorEastAsia" w:hAnsi="Times New Roman" w:cs="Times New Roman"/>
              <w:smallCaps w:val="0"/>
              <w:noProof/>
              <w:sz w:val="24"/>
              <w:szCs w:val="24"/>
              <w14:ligatures w14:val="standardContextual"/>
            </w:rPr>
          </w:pPr>
          <w:hyperlink w:anchor="_Toc220680518" w:history="1">
            <w:r w:rsidRPr="00EB6899">
              <w:rPr>
                <w:rStyle w:val="aff9"/>
                <w:noProof/>
                <w:sz w:val="24"/>
                <w:szCs w:val="24"/>
              </w:rPr>
              <w:t>5.5</w:t>
            </w:r>
            <w:r w:rsidRPr="00EB6899">
              <w:rPr>
                <w:rStyle w:val="aff9"/>
                <w:noProof/>
                <w:sz w:val="24"/>
                <w:szCs w:val="24"/>
              </w:rPr>
              <w:t>土壤环境的现状调查与评价</w:t>
            </w:r>
            <w:r w:rsidRPr="00EB6899">
              <w:rPr>
                <w:rFonts w:ascii="Times New Roman" w:hAnsi="Times New Roman" w:cs="Times New Roman"/>
                <w:noProof/>
                <w:sz w:val="24"/>
                <w:szCs w:val="24"/>
              </w:rPr>
              <w:tab/>
            </w:r>
            <w:r w:rsidRPr="00EB6899">
              <w:rPr>
                <w:rFonts w:ascii="Times New Roman" w:hAnsi="Times New Roman" w:cs="Times New Roman"/>
                <w:noProof/>
                <w:sz w:val="24"/>
                <w:szCs w:val="24"/>
              </w:rPr>
              <w:fldChar w:fldCharType="begin"/>
            </w:r>
            <w:r w:rsidRPr="00EB6899">
              <w:rPr>
                <w:rFonts w:ascii="Times New Roman" w:hAnsi="Times New Roman" w:cs="Times New Roman"/>
                <w:noProof/>
                <w:sz w:val="24"/>
                <w:szCs w:val="24"/>
              </w:rPr>
              <w:instrText xml:space="preserve"> PAGEREF _Toc220680518 \h </w:instrText>
            </w:r>
            <w:r w:rsidRPr="00EB6899">
              <w:rPr>
                <w:rFonts w:ascii="Times New Roman" w:hAnsi="Times New Roman" w:cs="Times New Roman"/>
                <w:noProof/>
                <w:sz w:val="24"/>
                <w:szCs w:val="24"/>
              </w:rPr>
            </w:r>
            <w:r w:rsidRPr="00EB6899">
              <w:rPr>
                <w:rFonts w:ascii="Times New Roman" w:hAnsi="Times New Roman" w:cs="Times New Roman"/>
                <w:noProof/>
                <w:sz w:val="24"/>
                <w:szCs w:val="24"/>
              </w:rPr>
              <w:fldChar w:fldCharType="separate"/>
            </w:r>
            <w:r w:rsidR="00462C44">
              <w:rPr>
                <w:rFonts w:ascii="Times New Roman" w:hAnsi="Times New Roman" w:cs="Times New Roman"/>
                <w:noProof/>
                <w:sz w:val="24"/>
                <w:szCs w:val="24"/>
              </w:rPr>
              <w:t>117</w:t>
            </w:r>
            <w:r w:rsidRPr="00EB6899">
              <w:rPr>
                <w:rFonts w:ascii="Times New Roman" w:hAnsi="Times New Roman" w:cs="Times New Roman"/>
                <w:noProof/>
                <w:sz w:val="24"/>
                <w:szCs w:val="24"/>
              </w:rPr>
              <w:fldChar w:fldCharType="end"/>
            </w:r>
          </w:hyperlink>
        </w:p>
        <w:p w14:paraId="0BB5A0E1" w14:textId="5926D24C" w:rsidR="00EB6899" w:rsidRPr="00EB6899" w:rsidRDefault="00EB6899" w:rsidP="00EB6899">
          <w:pPr>
            <w:pStyle w:val="TOC2"/>
            <w:tabs>
              <w:tab w:val="right" w:leader="dot" w:pos="8834"/>
            </w:tabs>
            <w:spacing w:line="360" w:lineRule="auto"/>
            <w:ind w:left="0"/>
            <w:jc w:val="both"/>
            <w:rPr>
              <w:rFonts w:ascii="Times New Roman" w:eastAsiaTheme="minorEastAsia" w:hAnsi="Times New Roman" w:cs="Times New Roman"/>
              <w:smallCaps w:val="0"/>
              <w:noProof/>
              <w:sz w:val="24"/>
              <w:szCs w:val="24"/>
              <w14:ligatures w14:val="standardContextual"/>
            </w:rPr>
          </w:pPr>
          <w:hyperlink w:anchor="_Toc220680519" w:history="1">
            <w:r w:rsidRPr="00EB6899">
              <w:rPr>
                <w:rStyle w:val="aff9"/>
                <w:noProof/>
                <w:sz w:val="24"/>
                <w:szCs w:val="24"/>
              </w:rPr>
              <w:t>5.6</w:t>
            </w:r>
            <w:r w:rsidRPr="00EB6899">
              <w:rPr>
                <w:rStyle w:val="aff9"/>
                <w:noProof/>
                <w:sz w:val="24"/>
                <w:szCs w:val="24"/>
              </w:rPr>
              <w:t>包气带现状调查与评价</w:t>
            </w:r>
            <w:r w:rsidRPr="00EB6899">
              <w:rPr>
                <w:rFonts w:ascii="Times New Roman" w:hAnsi="Times New Roman" w:cs="Times New Roman"/>
                <w:noProof/>
                <w:sz w:val="24"/>
                <w:szCs w:val="24"/>
              </w:rPr>
              <w:tab/>
            </w:r>
            <w:r w:rsidRPr="00EB6899">
              <w:rPr>
                <w:rFonts w:ascii="Times New Roman" w:hAnsi="Times New Roman" w:cs="Times New Roman"/>
                <w:noProof/>
                <w:sz w:val="24"/>
                <w:szCs w:val="24"/>
              </w:rPr>
              <w:fldChar w:fldCharType="begin"/>
            </w:r>
            <w:r w:rsidRPr="00EB6899">
              <w:rPr>
                <w:rFonts w:ascii="Times New Roman" w:hAnsi="Times New Roman" w:cs="Times New Roman"/>
                <w:noProof/>
                <w:sz w:val="24"/>
                <w:szCs w:val="24"/>
              </w:rPr>
              <w:instrText xml:space="preserve"> PAGEREF _Toc220680519 \h </w:instrText>
            </w:r>
            <w:r w:rsidRPr="00EB6899">
              <w:rPr>
                <w:rFonts w:ascii="Times New Roman" w:hAnsi="Times New Roman" w:cs="Times New Roman"/>
                <w:noProof/>
                <w:sz w:val="24"/>
                <w:szCs w:val="24"/>
              </w:rPr>
            </w:r>
            <w:r w:rsidRPr="00EB6899">
              <w:rPr>
                <w:rFonts w:ascii="Times New Roman" w:hAnsi="Times New Roman" w:cs="Times New Roman"/>
                <w:noProof/>
                <w:sz w:val="24"/>
                <w:szCs w:val="24"/>
              </w:rPr>
              <w:fldChar w:fldCharType="separate"/>
            </w:r>
            <w:r w:rsidR="00462C44">
              <w:rPr>
                <w:rFonts w:ascii="Times New Roman" w:hAnsi="Times New Roman" w:cs="Times New Roman"/>
                <w:noProof/>
                <w:sz w:val="24"/>
                <w:szCs w:val="24"/>
              </w:rPr>
              <w:t>125</w:t>
            </w:r>
            <w:r w:rsidRPr="00EB6899">
              <w:rPr>
                <w:rFonts w:ascii="Times New Roman" w:hAnsi="Times New Roman" w:cs="Times New Roman"/>
                <w:noProof/>
                <w:sz w:val="24"/>
                <w:szCs w:val="24"/>
              </w:rPr>
              <w:fldChar w:fldCharType="end"/>
            </w:r>
          </w:hyperlink>
        </w:p>
        <w:p w14:paraId="51E992C8" w14:textId="137FD138" w:rsidR="00EB6899" w:rsidRPr="00EB6899" w:rsidRDefault="00EB6899" w:rsidP="00EB6899">
          <w:pPr>
            <w:pStyle w:val="TOC2"/>
            <w:tabs>
              <w:tab w:val="right" w:leader="dot" w:pos="8834"/>
            </w:tabs>
            <w:spacing w:line="360" w:lineRule="auto"/>
            <w:ind w:left="0"/>
            <w:jc w:val="both"/>
            <w:rPr>
              <w:rFonts w:ascii="Times New Roman" w:eastAsiaTheme="minorEastAsia" w:hAnsi="Times New Roman" w:cs="Times New Roman"/>
              <w:smallCaps w:val="0"/>
              <w:noProof/>
              <w:sz w:val="24"/>
              <w:szCs w:val="24"/>
              <w14:ligatures w14:val="standardContextual"/>
            </w:rPr>
          </w:pPr>
          <w:hyperlink w:anchor="_Toc220680520" w:history="1">
            <w:r w:rsidRPr="00EB6899">
              <w:rPr>
                <w:rStyle w:val="aff9"/>
                <w:noProof/>
                <w:sz w:val="24"/>
                <w:szCs w:val="24"/>
              </w:rPr>
              <w:t>5.7</w:t>
            </w:r>
            <w:r w:rsidRPr="00EB6899">
              <w:rPr>
                <w:rStyle w:val="aff9"/>
                <w:noProof/>
                <w:sz w:val="24"/>
                <w:szCs w:val="24"/>
              </w:rPr>
              <w:t>生态环境的现状调查与评价</w:t>
            </w:r>
            <w:r w:rsidRPr="00EB6899">
              <w:rPr>
                <w:rFonts w:ascii="Times New Roman" w:hAnsi="Times New Roman" w:cs="Times New Roman"/>
                <w:noProof/>
                <w:sz w:val="24"/>
                <w:szCs w:val="24"/>
              </w:rPr>
              <w:tab/>
            </w:r>
            <w:r w:rsidRPr="00EB6899">
              <w:rPr>
                <w:rFonts w:ascii="Times New Roman" w:hAnsi="Times New Roman" w:cs="Times New Roman"/>
                <w:noProof/>
                <w:sz w:val="24"/>
                <w:szCs w:val="24"/>
              </w:rPr>
              <w:fldChar w:fldCharType="begin"/>
            </w:r>
            <w:r w:rsidRPr="00EB6899">
              <w:rPr>
                <w:rFonts w:ascii="Times New Roman" w:hAnsi="Times New Roman" w:cs="Times New Roman"/>
                <w:noProof/>
                <w:sz w:val="24"/>
                <w:szCs w:val="24"/>
              </w:rPr>
              <w:instrText xml:space="preserve"> PAGEREF _Toc220680520 \h </w:instrText>
            </w:r>
            <w:r w:rsidRPr="00EB6899">
              <w:rPr>
                <w:rFonts w:ascii="Times New Roman" w:hAnsi="Times New Roman" w:cs="Times New Roman"/>
                <w:noProof/>
                <w:sz w:val="24"/>
                <w:szCs w:val="24"/>
              </w:rPr>
            </w:r>
            <w:r w:rsidRPr="00EB6899">
              <w:rPr>
                <w:rFonts w:ascii="Times New Roman" w:hAnsi="Times New Roman" w:cs="Times New Roman"/>
                <w:noProof/>
                <w:sz w:val="24"/>
                <w:szCs w:val="24"/>
              </w:rPr>
              <w:fldChar w:fldCharType="separate"/>
            </w:r>
            <w:r w:rsidR="00462C44">
              <w:rPr>
                <w:rFonts w:ascii="Times New Roman" w:hAnsi="Times New Roman" w:cs="Times New Roman"/>
                <w:noProof/>
                <w:sz w:val="24"/>
                <w:szCs w:val="24"/>
              </w:rPr>
              <w:t>125</w:t>
            </w:r>
            <w:r w:rsidRPr="00EB6899">
              <w:rPr>
                <w:rFonts w:ascii="Times New Roman" w:hAnsi="Times New Roman" w:cs="Times New Roman"/>
                <w:noProof/>
                <w:sz w:val="24"/>
                <w:szCs w:val="24"/>
              </w:rPr>
              <w:fldChar w:fldCharType="end"/>
            </w:r>
          </w:hyperlink>
        </w:p>
        <w:p w14:paraId="08B0E198" w14:textId="293C0DAE" w:rsidR="00EB6899" w:rsidRPr="00EB6899" w:rsidRDefault="00EB6899" w:rsidP="00EB6899">
          <w:pPr>
            <w:pStyle w:val="TOC1"/>
            <w:tabs>
              <w:tab w:val="right" w:leader="dot" w:pos="8834"/>
            </w:tabs>
            <w:spacing w:before="0" w:after="0" w:line="360" w:lineRule="auto"/>
            <w:jc w:val="both"/>
            <w:rPr>
              <w:rFonts w:ascii="Times New Roman" w:eastAsiaTheme="minorEastAsia" w:hAnsi="Times New Roman" w:cs="Times New Roman"/>
              <w:b w:val="0"/>
              <w:bCs w:val="0"/>
              <w:caps w:val="0"/>
              <w:noProof/>
              <w:sz w:val="24"/>
              <w:szCs w:val="24"/>
              <w14:ligatures w14:val="standardContextual"/>
            </w:rPr>
          </w:pPr>
          <w:hyperlink w:anchor="_Toc220680521" w:history="1">
            <w:r w:rsidRPr="00EB6899">
              <w:rPr>
                <w:rStyle w:val="aff9"/>
                <w:b w:val="0"/>
                <w:bCs w:val="0"/>
                <w:noProof/>
                <w:sz w:val="24"/>
                <w:szCs w:val="24"/>
              </w:rPr>
              <w:t>第六章</w:t>
            </w:r>
            <w:r w:rsidRPr="00EB6899">
              <w:rPr>
                <w:rStyle w:val="aff9"/>
                <w:b w:val="0"/>
                <w:bCs w:val="0"/>
                <w:noProof/>
                <w:sz w:val="24"/>
                <w:szCs w:val="24"/>
              </w:rPr>
              <w:t xml:space="preserve">  </w:t>
            </w:r>
            <w:r w:rsidRPr="00EB6899">
              <w:rPr>
                <w:rStyle w:val="aff9"/>
                <w:b w:val="0"/>
                <w:bCs w:val="0"/>
                <w:noProof/>
                <w:sz w:val="24"/>
                <w:szCs w:val="24"/>
              </w:rPr>
              <w:t>环境影响预测与评价</w:t>
            </w:r>
            <w:r w:rsidRPr="00EB6899">
              <w:rPr>
                <w:rFonts w:ascii="Times New Roman" w:hAnsi="Times New Roman" w:cs="Times New Roman"/>
                <w:b w:val="0"/>
                <w:bCs w:val="0"/>
                <w:noProof/>
                <w:sz w:val="24"/>
                <w:szCs w:val="24"/>
              </w:rPr>
              <w:tab/>
            </w:r>
            <w:r w:rsidRPr="00EB6899">
              <w:rPr>
                <w:rFonts w:ascii="Times New Roman" w:hAnsi="Times New Roman" w:cs="Times New Roman"/>
                <w:b w:val="0"/>
                <w:bCs w:val="0"/>
                <w:noProof/>
                <w:sz w:val="24"/>
                <w:szCs w:val="24"/>
              </w:rPr>
              <w:fldChar w:fldCharType="begin"/>
            </w:r>
            <w:r w:rsidRPr="00EB6899">
              <w:rPr>
                <w:rFonts w:ascii="Times New Roman" w:hAnsi="Times New Roman" w:cs="Times New Roman"/>
                <w:b w:val="0"/>
                <w:bCs w:val="0"/>
                <w:noProof/>
                <w:sz w:val="24"/>
                <w:szCs w:val="24"/>
              </w:rPr>
              <w:instrText xml:space="preserve"> PAGEREF _Toc220680521 \h </w:instrText>
            </w:r>
            <w:r w:rsidRPr="00EB6899">
              <w:rPr>
                <w:rFonts w:ascii="Times New Roman" w:hAnsi="Times New Roman" w:cs="Times New Roman"/>
                <w:b w:val="0"/>
                <w:bCs w:val="0"/>
                <w:noProof/>
                <w:sz w:val="24"/>
                <w:szCs w:val="24"/>
              </w:rPr>
            </w:r>
            <w:r w:rsidRPr="00EB6899">
              <w:rPr>
                <w:rFonts w:ascii="Times New Roman" w:hAnsi="Times New Roman" w:cs="Times New Roman"/>
                <w:b w:val="0"/>
                <w:bCs w:val="0"/>
                <w:noProof/>
                <w:sz w:val="24"/>
                <w:szCs w:val="24"/>
              </w:rPr>
              <w:fldChar w:fldCharType="separate"/>
            </w:r>
            <w:r w:rsidR="00462C44">
              <w:rPr>
                <w:rFonts w:ascii="Times New Roman" w:hAnsi="Times New Roman" w:cs="Times New Roman"/>
                <w:b w:val="0"/>
                <w:bCs w:val="0"/>
                <w:noProof/>
                <w:sz w:val="24"/>
                <w:szCs w:val="24"/>
              </w:rPr>
              <w:t>127</w:t>
            </w:r>
            <w:r w:rsidRPr="00EB6899">
              <w:rPr>
                <w:rFonts w:ascii="Times New Roman" w:hAnsi="Times New Roman" w:cs="Times New Roman"/>
                <w:b w:val="0"/>
                <w:bCs w:val="0"/>
                <w:noProof/>
                <w:sz w:val="24"/>
                <w:szCs w:val="24"/>
              </w:rPr>
              <w:fldChar w:fldCharType="end"/>
            </w:r>
          </w:hyperlink>
        </w:p>
        <w:p w14:paraId="04CB3D05" w14:textId="333F35D1" w:rsidR="00EB6899" w:rsidRPr="00EB6899" w:rsidRDefault="00EB6899" w:rsidP="00EB6899">
          <w:pPr>
            <w:pStyle w:val="TOC2"/>
            <w:tabs>
              <w:tab w:val="right" w:leader="dot" w:pos="8834"/>
            </w:tabs>
            <w:spacing w:line="360" w:lineRule="auto"/>
            <w:ind w:left="0"/>
            <w:jc w:val="both"/>
            <w:rPr>
              <w:rFonts w:ascii="Times New Roman" w:eastAsiaTheme="minorEastAsia" w:hAnsi="Times New Roman" w:cs="Times New Roman"/>
              <w:smallCaps w:val="0"/>
              <w:noProof/>
              <w:sz w:val="24"/>
              <w:szCs w:val="24"/>
              <w14:ligatures w14:val="standardContextual"/>
            </w:rPr>
          </w:pPr>
          <w:hyperlink w:anchor="_Toc220680522" w:history="1">
            <w:r w:rsidRPr="00EB6899">
              <w:rPr>
                <w:rStyle w:val="aff9"/>
                <w:noProof/>
                <w:sz w:val="24"/>
                <w:szCs w:val="24"/>
              </w:rPr>
              <w:t>6.1</w:t>
            </w:r>
            <w:r w:rsidRPr="00EB6899">
              <w:rPr>
                <w:rStyle w:val="aff9"/>
                <w:noProof/>
                <w:sz w:val="24"/>
                <w:szCs w:val="24"/>
              </w:rPr>
              <w:t>施工期环境影响评价</w:t>
            </w:r>
            <w:r w:rsidRPr="00EB6899">
              <w:rPr>
                <w:rFonts w:ascii="Times New Roman" w:hAnsi="Times New Roman" w:cs="Times New Roman"/>
                <w:noProof/>
                <w:sz w:val="24"/>
                <w:szCs w:val="24"/>
              </w:rPr>
              <w:tab/>
            </w:r>
            <w:r w:rsidRPr="00EB6899">
              <w:rPr>
                <w:rFonts w:ascii="Times New Roman" w:hAnsi="Times New Roman" w:cs="Times New Roman"/>
                <w:noProof/>
                <w:sz w:val="24"/>
                <w:szCs w:val="24"/>
              </w:rPr>
              <w:fldChar w:fldCharType="begin"/>
            </w:r>
            <w:r w:rsidRPr="00EB6899">
              <w:rPr>
                <w:rFonts w:ascii="Times New Roman" w:hAnsi="Times New Roman" w:cs="Times New Roman"/>
                <w:noProof/>
                <w:sz w:val="24"/>
                <w:szCs w:val="24"/>
              </w:rPr>
              <w:instrText xml:space="preserve"> PAGEREF _Toc220680522 \h </w:instrText>
            </w:r>
            <w:r w:rsidRPr="00EB6899">
              <w:rPr>
                <w:rFonts w:ascii="Times New Roman" w:hAnsi="Times New Roman" w:cs="Times New Roman"/>
                <w:noProof/>
                <w:sz w:val="24"/>
                <w:szCs w:val="24"/>
              </w:rPr>
            </w:r>
            <w:r w:rsidRPr="00EB6899">
              <w:rPr>
                <w:rFonts w:ascii="Times New Roman" w:hAnsi="Times New Roman" w:cs="Times New Roman"/>
                <w:noProof/>
                <w:sz w:val="24"/>
                <w:szCs w:val="24"/>
              </w:rPr>
              <w:fldChar w:fldCharType="separate"/>
            </w:r>
            <w:r w:rsidR="00462C44">
              <w:rPr>
                <w:rFonts w:ascii="Times New Roman" w:hAnsi="Times New Roman" w:cs="Times New Roman"/>
                <w:noProof/>
                <w:sz w:val="24"/>
                <w:szCs w:val="24"/>
              </w:rPr>
              <w:t>127</w:t>
            </w:r>
            <w:r w:rsidRPr="00EB6899">
              <w:rPr>
                <w:rFonts w:ascii="Times New Roman" w:hAnsi="Times New Roman" w:cs="Times New Roman"/>
                <w:noProof/>
                <w:sz w:val="24"/>
                <w:szCs w:val="24"/>
              </w:rPr>
              <w:fldChar w:fldCharType="end"/>
            </w:r>
          </w:hyperlink>
        </w:p>
        <w:p w14:paraId="2B276399" w14:textId="542FE813" w:rsidR="00EB6899" w:rsidRPr="00EB6899" w:rsidRDefault="00EB6899" w:rsidP="00EB6899">
          <w:pPr>
            <w:pStyle w:val="TOC2"/>
            <w:tabs>
              <w:tab w:val="right" w:leader="dot" w:pos="8834"/>
            </w:tabs>
            <w:spacing w:line="360" w:lineRule="auto"/>
            <w:ind w:left="0"/>
            <w:jc w:val="both"/>
            <w:rPr>
              <w:rFonts w:ascii="Times New Roman" w:eastAsiaTheme="minorEastAsia" w:hAnsi="Times New Roman" w:cs="Times New Roman"/>
              <w:smallCaps w:val="0"/>
              <w:noProof/>
              <w:sz w:val="24"/>
              <w:szCs w:val="24"/>
              <w14:ligatures w14:val="standardContextual"/>
            </w:rPr>
          </w:pPr>
          <w:hyperlink w:anchor="_Toc220680528" w:history="1">
            <w:r w:rsidRPr="00EB6899">
              <w:rPr>
                <w:rStyle w:val="aff9"/>
                <w:noProof/>
                <w:sz w:val="24"/>
                <w:szCs w:val="24"/>
              </w:rPr>
              <w:t>6.2</w:t>
            </w:r>
            <w:r w:rsidR="00C40CEF">
              <w:rPr>
                <w:rStyle w:val="aff9"/>
                <w:noProof/>
                <w:sz w:val="24"/>
                <w:szCs w:val="24"/>
              </w:rPr>
              <w:t>运营期</w:t>
            </w:r>
            <w:r w:rsidRPr="00EB6899">
              <w:rPr>
                <w:rStyle w:val="aff9"/>
                <w:noProof/>
                <w:sz w:val="24"/>
                <w:szCs w:val="24"/>
              </w:rPr>
              <w:t>环境影响评价</w:t>
            </w:r>
            <w:r w:rsidRPr="00EB6899">
              <w:rPr>
                <w:rFonts w:ascii="Times New Roman" w:hAnsi="Times New Roman" w:cs="Times New Roman"/>
                <w:noProof/>
                <w:sz w:val="24"/>
                <w:szCs w:val="24"/>
              </w:rPr>
              <w:tab/>
            </w:r>
            <w:r w:rsidRPr="00EB6899">
              <w:rPr>
                <w:rFonts w:ascii="Times New Roman" w:hAnsi="Times New Roman" w:cs="Times New Roman"/>
                <w:noProof/>
                <w:sz w:val="24"/>
                <w:szCs w:val="24"/>
              </w:rPr>
              <w:fldChar w:fldCharType="begin"/>
            </w:r>
            <w:r w:rsidRPr="00EB6899">
              <w:rPr>
                <w:rFonts w:ascii="Times New Roman" w:hAnsi="Times New Roman" w:cs="Times New Roman"/>
                <w:noProof/>
                <w:sz w:val="24"/>
                <w:szCs w:val="24"/>
              </w:rPr>
              <w:instrText xml:space="preserve"> PAGEREF _Toc220680528 \h </w:instrText>
            </w:r>
            <w:r w:rsidRPr="00EB6899">
              <w:rPr>
                <w:rFonts w:ascii="Times New Roman" w:hAnsi="Times New Roman" w:cs="Times New Roman"/>
                <w:noProof/>
                <w:sz w:val="24"/>
                <w:szCs w:val="24"/>
              </w:rPr>
            </w:r>
            <w:r w:rsidRPr="00EB6899">
              <w:rPr>
                <w:rFonts w:ascii="Times New Roman" w:hAnsi="Times New Roman" w:cs="Times New Roman"/>
                <w:noProof/>
                <w:sz w:val="24"/>
                <w:szCs w:val="24"/>
              </w:rPr>
              <w:fldChar w:fldCharType="separate"/>
            </w:r>
            <w:r w:rsidR="00462C44">
              <w:rPr>
                <w:rFonts w:ascii="Times New Roman" w:hAnsi="Times New Roman" w:cs="Times New Roman"/>
                <w:noProof/>
                <w:sz w:val="24"/>
                <w:szCs w:val="24"/>
              </w:rPr>
              <w:t>131</w:t>
            </w:r>
            <w:r w:rsidRPr="00EB6899">
              <w:rPr>
                <w:rFonts w:ascii="Times New Roman" w:hAnsi="Times New Roman" w:cs="Times New Roman"/>
                <w:noProof/>
                <w:sz w:val="24"/>
                <w:szCs w:val="24"/>
              </w:rPr>
              <w:fldChar w:fldCharType="end"/>
            </w:r>
          </w:hyperlink>
        </w:p>
        <w:p w14:paraId="57F5989C" w14:textId="2CF64E16" w:rsidR="00EB6899" w:rsidRPr="00EB6899" w:rsidRDefault="00EB6899" w:rsidP="00EB6899">
          <w:pPr>
            <w:pStyle w:val="TOC1"/>
            <w:tabs>
              <w:tab w:val="right" w:leader="dot" w:pos="8834"/>
            </w:tabs>
            <w:spacing w:before="0" w:after="0" w:line="360" w:lineRule="auto"/>
            <w:jc w:val="both"/>
            <w:rPr>
              <w:rFonts w:ascii="Times New Roman" w:eastAsiaTheme="minorEastAsia" w:hAnsi="Times New Roman" w:cs="Times New Roman"/>
              <w:b w:val="0"/>
              <w:bCs w:val="0"/>
              <w:caps w:val="0"/>
              <w:noProof/>
              <w:sz w:val="24"/>
              <w:szCs w:val="24"/>
              <w14:ligatures w14:val="standardContextual"/>
            </w:rPr>
          </w:pPr>
          <w:hyperlink w:anchor="_Toc220680536" w:history="1">
            <w:r w:rsidRPr="00EB6899">
              <w:rPr>
                <w:rStyle w:val="aff9"/>
                <w:b w:val="0"/>
                <w:bCs w:val="0"/>
                <w:noProof/>
                <w:sz w:val="24"/>
                <w:szCs w:val="24"/>
              </w:rPr>
              <w:t>第七章</w:t>
            </w:r>
            <w:r w:rsidRPr="00EB6899">
              <w:rPr>
                <w:rStyle w:val="aff9"/>
                <w:b w:val="0"/>
                <w:bCs w:val="0"/>
                <w:noProof/>
                <w:sz w:val="24"/>
                <w:szCs w:val="24"/>
              </w:rPr>
              <w:t xml:space="preserve">  </w:t>
            </w:r>
            <w:r w:rsidRPr="00EB6899">
              <w:rPr>
                <w:rStyle w:val="aff9"/>
                <w:b w:val="0"/>
                <w:bCs w:val="0"/>
                <w:noProof/>
                <w:sz w:val="24"/>
                <w:szCs w:val="24"/>
              </w:rPr>
              <w:t>环境保护措施及其技术经济论证</w:t>
            </w:r>
            <w:r w:rsidRPr="00EB6899">
              <w:rPr>
                <w:rFonts w:ascii="Times New Roman" w:hAnsi="Times New Roman" w:cs="Times New Roman"/>
                <w:b w:val="0"/>
                <w:bCs w:val="0"/>
                <w:noProof/>
                <w:sz w:val="24"/>
                <w:szCs w:val="24"/>
              </w:rPr>
              <w:tab/>
            </w:r>
            <w:r w:rsidRPr="00EB6899">
              <w:rPr>
                <w:rFonts w:ascii="Times New Roman" w:hAnsi="Times New Roman" w:cs="Times New Roman"/>
                <w:b w:val="0"/>
                <w:bCs w:val="0"/>
                <w:noProof/>
                <w:sz w:val="24"/>
                <w:szCs w:val="24"/>
              </w:rPr>
              <w:fldChar w:fldCharType="begin"/>
            </w:r>
            <w:r w:rsidRPr="00EB6899">
              <w:rPr>
                <w:rFonts w:ascii="Times New Roman" w:hAnsi="Times New Roman" w:cs="Times New Roman"/>
                <w:b w:val="0"/>
                <w:bCs w:val="0"/>
                <w:noProof/>
                <w:sz w:val="24"/>
                <w:szCs w:val="24"/>
              </w:rPr>
              <w:instrText xml:space="preserve"> PAGEREF _Toc220680536 \h </w:instrText>
            </w:r>
            <w:r w:rsidRPr="00EB6899">
              <w:rPr>
                <w:rFonts w:ascii="Times New Roman" w:hAnsi="Times New Roman" w:cs="Times New Roman"/>
                <w:b w:val="0"/>
                <w:bCs w:val="0"/>
                <w:noProof/>
                <w:sz w:val="24"/>
                <w:szCs w:val="24"/>
              </w:rPr>
            </w:r>
            <w:r w:rsidRPr="00EB6899">
              <w:rPr>
                <w:rFonts w:ascii="Times New Roman" w:hAnsi="Times New Roman" w:cs="Times New Roman"/>
                <w:b w:val="0"/>
                <w:bCs w:val="0"/>
                <w:noProof/>
                <w:sz w:val="24"/>
                <w:szCs w:val="24"/>
              </w:rPr>
              <w:fldChar w:fldCharType="separate"/>
            </w:r>
            <w:r w:rsidR="00462C44">
              <w:rPr>
                <w:rFonts w:ascii="Times New Roman" w:hAnsi="Times New Roman" w:cs="Times New Roman"/>
                <w:b w:val="0"/>
                <w:bCs w:val="0"/>
                <w:noProof/>
                <w:sz w:val="24"/>
                <w:szCs w:val="24"/>
              </w:rPr>
              <w:t>172</w:t>
            </w:r>
            <w:r w:rsidRPr="00EB6899">
              <w:rPr>
                <w:rFonts w:ascii="Times New Roman" w:hAnsi="Times New Roman" w:cs="Times New Roman"/>
                <w:b w:val="0"/>
                <w:bCs w:val="0"/>
                <w:noProof/>
                <w:sz w:val="24"/>
                <w:szCs w:val="24"/>
              </w:rPr>
              <w:fldChar w:fldCharType="end"/>
            </w:r>
          </w:hyperlink>
        </w:p>
        <w:p w14:paraId="03EC8D57" w14:textId="361EFD89" w:rsidR="00EB6899" w:rsidRPr="00EB6899" w:rsidRDefault="00EB6899" w:rsidP="00EB6899">
          <w:pPr>
            <w:pStyle w:val="TOC2"/>
            <w:tabs>
              <w:tab w:val="right" w:leader="dot" w:pos="8834"/>
            </w:tabs>
            <w:spacing w:line="360" w:lineRule="auto"/>
            <w:ind w:left="0"/>
            <w:jc w:val="both"/>
            <w:rPr>
              <w:rFonts w:ascii="Times New Roman" w:eastAsiaTheme="minorEastAsia" w:hAnsi="Times New Roman" w:cs="Times New Roman"/>
              <w:smallCaps w:val="0"/>
              <w:noProof/>
              <w:sz w:val="24"/>
              <w:szCs w:val="24"/>
              <w14:ligatures w14:val="standardContextual"/>
            </w:rPr>
          </w:pPr>
          <w:hyperlink w:anchor="_Toc220680537" w:history="1">
            <w:r w:rsidRPr="00EB6899">
              <w:rPr>
                <w:rStyle w:val="aff9"/>
                <w:noProof/>
                <w:sz w:val="24"/>
                <w:szCs w:val="24"/>
              </w:rPr>
              <w:t>7.1</w:t>
            </w:r>
            <w:r w:rsidRPr="00EB6899">
              <w:rPr>
                <w:rStyle w:val="aff9"/>
                <w:noProof/>
                <w:sz w:val="24"/>
                <w:szCs w:val="24"/>
              </w:rPr>
              <w:t>施工期污染防治措施</w:t>
            </w:r>
            <w:r w:rsidRPr="00EB6899">
              <w:rPr>
                <w:rFonts w:ascii="Times New Roman" w:hAnsi="Times New Roman" w:cs="Times New Roman"/>
                <w:noProof/>
                <w:sz w:val="24"/>
                <w:szCs w:val="24"/>
              </w:rPr>
              <w:tab/>
            </w:r>
            <w:r w:rsidRPr="00EB6899">
              <w:rPr>
                <w:rFonts w:ascii="Times New Roman" w:hAnsi="Times New Roman" w:cs="Times New Roman"/>
                <w:noProof/>
                <w:sz w:val="24"/>
                <w:szCs w:val="24"/>
              </w:rPr>
              <w:fldChar w:fldCharType="begin"/>
            </w:r>
            <w:r w:rsidRPr="00EB6899">
              <w:rPr>
                <w:rFonts w:ascii="Times New Roman" w:hAnsi="Times New Roman" w:cs="Times New Roman"/>
                <w:noProof/>
                <w:sz w:val="24"/>
                <w:szCs w:val="24"/>
              </w:rPr>
              <w:instrText xml:space="preserve"> PAGEREF _Toc220680537 \h </w:instrText>
            </w:r>
            <w:r w:rsidRPr="00EB6899">
              <w:rPr>
                <w:rFonts w:ascii="Times New Roman" w:hAnsi="Times New Roman" w:cs="Times New Roman"/>
                <w:noProof/>
                <w:sz w:val="24"/>
                <w:szCs w:val="24"/>
              </w:rPr>
            </w:r>
            <w:r w:rsidRPr="00EB6899">
              <w:rPr>
                <w:rFonts w:ascii="Times New Roman" w:hAnsi="Times New Roman" w:cs="Times New Roman"/>
                <w:noProof/>
                <w:sz w:val="24"/>
                <w:szCs w:val="24"/>
              </w:rPr>
              <w:fldChar w:fldCharType="separate"/>
            </w:r>
            <w:r w:rsidR="00462C44">
              <w:rPr>
                <w:rFonts w:ascii="Times New Roman" w:hAnsi="Times New Roman" w:cs="Times New Roman"/>
                <w:noProof/>
                <w:sz w:val="24"/>
                <w:szCs w:val="24"/>
              </w:rPr>
              <w:t>172</w:t>
            </w:r>
            <w:r w:rsidRPr="00EB6899">
              <w:rPr>
                <w:rFonts w:ascii="Times New Roman" w:hAnsi="Times New Roman" w:cs="Times New Roman"/>
                <w:noProof/>
                <w:sz w:val="24"/>
                <w:szCs w:val="24"/>
              </w:rPr>
              <w:fldChar w:fldCharType="end"/>
            </w:r>
          </w:hyperlink>
        </w:p>
        <w:p w14:paraId="2C085E56" w14:textId="311194A6" w:rsidR="00EB6899" w:rsidRPr="00EB6899" w:rsidRDefault="00EB6899" w:rsidP="00EB6899">
          <w:pPr>
            <w:pStyle w:val="TOC2"/>
            <w:tabs>
              <w:tab w:val="right" w:leader="dot" w:pos="8834"/>
            </w:tabs>
            <w:spacing w:line="360" w:lineRule="auto"/>
            <w:ind w:left="0"/>
            <w:jc w:val="both"/>
            <w:rPr>
              <w:rFonts w:ascii="Times New Roman" w:eastAsiaTheme="minorEastAsia" w:hAnsi="Times New Roman" w:cs="Times New Roman"/>
              <w:smallCaps w:val="0"/>
              <w:noProof/>
              <w:sz w:val="24"/>
              <w:szCs w:val="24"/>
              <w14:ligatures w14:val="standardContextual"/>
            </w:rPr>
          </w:pPr>
          <w:hyperlink w:anchor="_Toc220680543" w:history="1">
            <w:r w:rsidRPr="00EB6899">
              <w:rPr>
                <w:rStyle w:val="aff9"/>
                <w:noProof/>
                <w:sz w:val="24"/>
                <w:szCs w:val="24"/>
              </w:rPr>
              <w:t>7.2</w:t>
            </w:r>
            <w:r w:rsidR="00C40CEF">
              <w:rPr>
                <w:rStyle w:val="aff9"/>
                <w:noProof/>
                <w:sz w:val="24"/>
                <w:szCs w:val="24"/>
              </w:rPr>
              <w:t>运营期</w:t>
            </w:r>
            <w:r w:rsidRPr="00EB6899">
              <w:rPr>
                <w:rStyle w:val="aff9"/>
                <w:noProof/>
                <w:sz w:val="24"/>
                <w:szCs w:val="24"/>
              </w:rPr>
              <w:t>污染防治措施</w:t>
            </w:r>
            <w:r w:rsidRPr="00EB6899">
              <w:rPr>
                <w:rFonts w:ascii="Times New Roman" w:hAnsi="Times New Roman" w:cs="Times New Roman"/>
                <w:noProof/>
                <w:sz w:val="24"/>
                <w:szCs w:val="24"/>
              </w:rPr>
              <w:tab/>
            </w:r>
            <w:r w:rsidRPr="00EB6899">
              <w:rPr>
                <w:rFonts w:ascii="Times New Roman" w:hAnsi="Times New Roman" w:cs="Times New Roman"/>
                <w:noProof/>
                <w:sz w:val="24"/>
                <w:szCs w:val="24"/>
              </w:rPr>
              <w:fldChar w:fldCharType="begin"/>
            </w:r>
            <w:r w:rsidRPr="00EB6899">
              <w:rPr>
                <w:rFonts w:ascii="Times New Roman" w:hAnsi="Times New Roman" w:cs="Times New Roman"/>
                <w:noProof/>
                <w:sz w:val="24"/>
                <w:szCs w:val="24"/>
              </w:rPr>
              <w:instrText xml:space="preserve"> PAGEREF _Toc220680543 \h </w:instrText>
            </w:r>
            <w:r w:rsidRPr="00EB6899">
              <w:rPr>
                <w:rFonts w:ascii="Times New Roman" w:hAnsi="Times New Roman" w:cs="Times New Roman"/>
                <w:noProof/>
                <w:sz w:val="24"/>
                <w:szCs w:val="24"/>
              </w:rPr>
            </w:r>
            <w:r w:rsidRPr="00EB6899">
              <w:rPr>
                <w:rFonts w:ascii="Times New Roman" w:hAnsi="Times New Roman" w:cs="Times New Roman"/>
                <w:noProof/>
                <w:sz w:val="24"/>
                <w:szCs w:val="24"/>
              </w:rPr>
              <w:fldChar w:fldCharType="separate"/>
            </w:r>
            <w:r w:rsidR="00462C44">
              <w:rPr>
                <w:rFonts w:ascii="Times New Roman" w:hAnsi="Times New Roman" w:cs="Times New Roman"/>
                <w:noProof/>
                <w:sz w:val="24"/>
                <w:szCs w:val="24"/>
              </w:rPr>
              <w:t>174</w:t>
            </w:r>
            <w:r w:rsidRPr="00EB6899">
              <w:rPr>
                <w:rFonts w:ascii="Times New Roman" w:hAnsi="Times New Roman" w:cs="Times New Roman"/>
                <w:noProof/>
                <w:sz w:val="24"/>
                <w:szCs w:val="24"/>
              </w:rPr>
              <w:fldChar w:fldCharType="end"/>
            </w:r>
          </w:hyperlink>
        </w:p>
        <w:p w14:paraId="544492F8" w14:textId="31C42C2B" w:rsidR="00EB6899" w:rsidRPr="00EB6899" w:rsidRDefault="00EB6899" w:rsidP="00EB6899">
          <w:pPr>
            <w:pStyle w:val="TOC1"/>
            <w:tabs>
              <w:tab w:val="right" w:leader="dot" w:pos="8834"/>
            </w:tabs>
            <w:spacing w:before="0" w:after="0" w:line="360" w:lineRule="auto"/>
            <w:jc w:val="both"/>
            <w:rPr>
              <w:rFonts w:ascii="Times New Roman" w:eastAsiaTheme="minorEastAsia" w:hAnsi="Times New Roman" w:cs="Times New Roman"/>
              <w:b w:val="0"/>
              <w:bCs w:val="0"/>
              <w:caps w:val="0"/>
              <w:noProof/>
              <w:sz w:val="24"/>
              <w:szCs w:val="24"/>
              <w14:ligatures w14:val="standardContextual"/>
            </w:rPr>
          </w:pPr>
          <w:hyperlink w:anchor="_Toc220680551" w:history="1">
            <w:r w:rsidRPr="00EB6899">
              <w:rPr>
                <w:rStyle w:val="aff9"/>
                <w:b w:val="0"/>
                <w:bCs w:val="0"/>
                <w:noProof/>
                <w:kern w:val="44"/>
                <w:sz w:val="24"/>
                <w:szCs w:val="24"/>
              </w:rPr>
              <w:t>第八章</w:t>
            </w:r>
            <w:r w:rsidRPr="00EB6899">
              <w:rPr>
                <w:rStyle w:val="aff9"/>
                <w:b w:val="0"/>
                <w:bCs w:val="0"/>
                <w:noProof/>
                <w:kern w:val="44"/>
                <w:sz w:val="24"/>
                <w:szCs w:val="24"/>
              </w:rPr>
              <w:t xml:space="preserve">  </w:t>
            </w:r>
            <w:r w:rsidRPr="00EB6899">
              <w:rPr>
                <w:rStyle w:val="aff9"/>
                <w:b w:val="0"/>
                <w:bCs w:val="0"/>
                <w:noProof/>
                <w:kern w:val="44"/>
                <w:sz w:val="24"/>
                <w:szCs w:val="24"/>
              </w:rPr>
              <w:t>环境经济损益分析</w:t>
            </w:r>
            <w:r w:rsidRPr="00EB6899">
              <w:rPr>
                <w:rFonts w:ascii="Times New Roman" w:hAnsi="Times New Roman" w:cs="Times New Roman"/>
                <w:b w:val="0"/>
                <w:bCs w:val="0"/>
                <w:noProof/>
                <w:sz w:val="24"/>
                <w:szCs w:val="24"/>
              </w:rPr>
              <w:tab/>
            </w:r>
            <w:r w:rsidRPr="00EB6899">
              <w:rPr>
                <w:rFonts w:ascii="Times New Roman" w:hAnsi="Times New Roman" w:cs="Times New Roman"/>
                <w:b w:val="0"/>
                <w:bCs w:val="0"/>
                <w:noProof/>
                <w:sz w:val="24"/>
                <w:szCs w:val="24"/>
              </w:rPr>
              <w:fldChar w:fldCharType="begin"/>
            </w:r>
            <w:r w:rsidRPr="00EB6899">
              <w:rPr>
                <w:rFonts w:ascii="Times New Roman" w:hAnsi="Times New Roman" w:cs="Times New Roman"/>
                <w:b w:val="0"/>
                <w:bCs w:val="0"/>
                <w:noProof/>
                <w:sz w:val="24"/>
                <w:szCs w:val="24"/>
              </w:rPr>
              <w:instrText xml:space="preserve"> PAGEREF _Toc220680551 \h </w:instrText>
            </w:r>
            <w:r w:rsidRPr="00EB6899">
              <w:rPr>
                <w:rFonts w:ascii="Times New Roman" w:hAnsi="Times New Roman" w:cs="Times New Roman"/>
                <w:b w:val="0"/>
                <w:bCs w:val="0"/>
                <w:noProof/>
                <w:sz w:val="24"/>
                <w:szCs w:val="24"/>
              </w:rPr>
            </w:r>
            <w:r w:rsidRPr="00EB6899">
              <w:rPr>
                <w:rFonts w:ascii="Times New Roman" w:hAnsi="Times New Roman" w:cs="Times New Roman"/>
                <w:b w:val="0"/>
                <w:bCs w:val="0"/>
                <w:noProof/>
                <w:sz w:val="24"/>
                <w:szCs w:val="24"/>
              </w:rPr>
              <w:fldChar w:fldCharType="separate"/>
            </w:r>
            <w:r w:rsidR="00462C44">
              <w:rPr>
                <w:rFonts w:ascii="Times New Roman" w:hAnsi="Times New Roman" w:cs="Times New Roman"/>
                <w:b w:val="0"/>
                <w:bCs w:val="0"/>
                <w:noProof/>
                <w:sz w:val="24"/>
                <w:szCs w:val="24"/>
              </w:rPr>
              <w:t>183</w:t>
            </w:r>
            <w:r w:rsidRPr="00EB6899">
              <w:rPr>
                <w:rFonts w:ascii="Times New Roman" w:hAnsi="Times New Roman" w:cs="Times New Roman"/>
                <w:b w:val="0"/>
                <w:bCs w:val="0"/>
                <w:noProof/>
                <w:sz w:val="24"/>
                <w:szCs w:val="24"/>
              </w:rPr>
              <w:fldChar w:fldCharType="end"/>
            </w:r>
          </w:hyperlink>
        </w:p>
        <w:p w14:paraId="65C70B88" w14:textId="0992C659" w:rsidR="00EB6899" w:rsidRPr="00EB6899" w:rsidRDefault="00EB6899" w:rsidP="00EB6899">
          <w:pPr>
            <w:pStyle w:val="TOC2"/>
            <w:tabs>
              <w:tab w:val="right" w:leader="dot" w:pos="8834"/>
            </w:tabs>
            <w:spacing w:line="360" w:lineRule="auto"/>
            <w:ind w:left="0"/>
            <w:jc w:val="both"/>
            <w:rPr>
              <w:rFonts w:ascii="Times New Roman" w:eastAsiaTheme="minorEastAsia" w:hAnsi="Times New Roman" w:cs="Times New Roman"/>
              <w:smallCaps w:val="0"/>
              <w:noProof/>
              <w:sz w:val="24"/>
              <w:szCs w:val="24"/>
              <w14:ligatures w14:val="standardContextual"/>
            </w:rPr>
          </w:pPr>
          <w:hyperlink w:anchor="_Toc220680552" w:history="1">
            <w:r w:rsidRPr="00EB6899">
              <w:rPr>
                <w:rStyle w:val="aff9"/>
                <w:noProof/>
                <w:sz w:val="24"/>
                <w:szCs w:val="24"/>
              </w:rPr>
              <w:t>8.1</w:t>
            </w:r>
            <w:r w:rsidRPr="00EB6899">
              <w:rPr>
                <w:rStyle w:val="aff9"/>
                <w:noProof/>
                <w:sz w:val="24"/>
                <w:szCs w:val="24"/>
              </w:rPr>
              <w:t>经济效益分析</w:t>
            </w:r>
            <w:r w:rsidRPr="00EB6899">
              <w:rPr>
                <w:rFonts w:ascii="Times New Roman" w:hAnsi="Times New Roman" w:cs="Times New Roman"/>
                <w:noProof/>
                <w:sz w:val="24"/>
                <w:szCs w:val="24"/>
              </w:rPr>
              <w:tab/>
            </w:r>
            <w:r w:rsidRPr="00EB6899">
              <w:rPr>
                <w:rFonts w:ascii="Times New Roman" w:hAnsi="Times New Roman" w:cs="Times New Roman"/>
                <w:noProof/>
                <w:sz w:val="24"/>
                <w:szCs w:val="24"/>
              </w:rPr>
              <w:fldChar w:fldCharType="begin"/>
            </w:r>
            <w:r w:rsidRPr="00EB6899">
              <w:rPr>
                <w:rFonts w:ascii="Times New Roman" w:hAnsi="Times New Roman" w:cs="Times New Roman"/>
                <w:noProof/>
                <w:sz w:val="24"/>
                <w:szCs w:val="24"/>
              </w:rPr>
              <w:instrText xml:space="preserve"> PAGEREF _Toc220680552 \h </w:instrText>
            </w:r>
            <w:r w:rsidRPr="00EB6899">
              <w:rPr>
                <w:rFonts w:ascii="Times New Roman" w:hAnsi="Times New Roman" w:cs="Times New Roman"/>
                <w:noProof/>
                <w:sz w:val="24"/>
                <w:szCs w:val="24"/>
              </w:rPr>
            </w:r>
            <w:r w:rsidRPr="00EB6899">
              <w:rPr>
                <w:rFonts w:ascii="Times New Roman" w:hAnsi="Times New Roman" w:cs="Times New Roman"/>
                <w:noProof/>
                <w:sz w:val="24"/>
                <w:szCs w:val="24"/>
              </w:rPr>
              <w:fldChar w:fldCharType="separate"/>
            </w:r>
            <w:r w:rsidR="00462C44">
              <w:rPr>
                <w:rFonts w:ascii="Times New Roman" w:hAnsi="Times New Roman" w:cs="Times New Roman"/>
                <w:noProof/>
                <w:sz w:val="24"/>
                <w:szCs w:val="24"/>
              </w:rPr>
              <w:t>183</w:t>
            </w:r>
            <w:r w:rsidRPr="00EB6899">
              <w:rPr>
                <w:rFonts w:ascii="Times New Roman" w:hAnsi="Times New Roman" w:cs="Times New Roman"/>
                <w:noProof/>
                <w:sz w:val="24"/>
                <w:szCs w:val="24"/>
              </w:rPr>
              <w:fldChar w:fldCharType="end"/>
            </w:r>
          </w:hyperlink>
        </w:p>
        <w:p w14:paraId="20125FA3" w14:textId="0CF01268" w:rsidR="00EB6899" w:rsidRPr="00EB6899" w:rsidRDefault="00EB6899" w:rsidP="00EB6899">
          <w:pPr>
            <w:pStyle w:val="TOC2"/>
            <w:tabs>
              <w:tab w:val="right" w:leader="dot" w:pos="8834"/>
            </w:tabs>
            <w:spacing w:line="360" w:lineRule="auto"/>
            <w:ind w:left="0"/>
            <w:jc w:val="both"/>
            <w:rPr>
              <w:rFonts w:ascii="Times New Roman" w:eastAsiaTheme="minorEastAsia" w:hAnsi="Times New Roman" w:cs="Times New Roman"/>
              <w:smallCaps w:val="0"/>
              <w:noProof/>
              <w:sz w:val="24"/>
              <w:szCs w:val="24"/>
              <w14:ligatures w14:val="standardContextual"/>
            </w:rPr>
          </w:pPr>
          <w:hyperlink w:anchor="_Toc220680553" w:history="1">
            <w:r w:rsidRPr="00EB6899">
              <w:rPr>
                <w:rStyle w:val="aff9"/>
                <w:noProof/>
                <w:sz w:val="24"/>
                <w:szCs w:val="24"/>
              </w:rPr>
              <w:t xml:space="preserve">8.2 </w:t>
            </w:r>
            <w:r w:rsidRPr="00EB6899">
              <w:rPr>
                <w:rStyle w:val="aff9"/>
                <w:noProof/>
                <w:sz w:val="24"/>
                <w:szCs w:val="24"/>
              </w:rPr>
              <w:t>社会效益分析</w:t>
            </w:r>
            <w:r w:rsidRPr="00EB6899">
              <w:rPr>
                <w:rFonts w:ascii="Times New Roman" w:hAnsi="Times New Roman" w:cs="Times New Roman"/>
                <w:noProof/>
                <w:sz w:val="24"/>
                <w:szCs w:val="24"/>
              </w:rPr>
              <w:tab/>
            </w:r>
            <w:r w:rsidRPr="00EB6899">
              <w:rPr>
                <w:rFonts w:ascii="Times New Roman" w:hAnsi="Times New Roman" w:cs="Times New Roman"/>
                <w:noProof/>
                <w:sz w:val="24"/>
                <w:szCs w:val="24"/>
              </w:rPr>
              <w:fldChar w:fldCharType="begin"/>
            </w:r>
            <w:r w:rsidRPr="00EB6899">
              <w:rPr>
                <w:rFonts w:ascii="Times New Roman" w:hAnsi="Times New Roman" w:cs="Times New Roman"/>
                <w:noProof/>
                <w:sz w:val="24"/>
                <w:szCs w:val="24"/>
              </w:rPr>
              <w:instrText xml:space="preserve"> PAGEREF _Toc220680553 \h </w:instrText>
            </w:r>
            <w:r w:rsidRPr="00EB6899">
              <w:rPr>
                <w:rFonts w:ascii="Times New Roman" w:hAnsi="Times New Roman" w:cs="Times New Roman"/>
                <w:noProof/>
                <w:sz w:val="24"/>
                <w:szCs w:val="24"/>
              </w:rPr>
            </w:r>
            <w:r w:rsidRPr="00EB6899">
              <w:rPr>
                <w:rFonts w:ascii="Times New Roman" w:hAnsi="Times New Roman" w:cs="Times New Roman"/>
                <w:noProof/>
                <w:sz w:val="24"/>
                <w:szCs w:val="24"/>
              </w:rPr>
              <w:fldChar w:fldCharType="separate"/>
            </w:r>
            <w:r w:rsidR="00462C44">
              <w:rPr>
                <w:rFonts w:ascii="Times New Roman" w:hAnsi="Times New Roman" w:cs="Times New Roman"/>
                <w:noProof/>
                <w:sz w:val="24"/>
                <w:szCs w:val="24"/>
              </w:rPr>
              <w:t>183</w:t>
            </w:r>
            <w:r w:rsidRPr="00EB6899">
              <w:rPr>
                <w:rFonts w:ascii="Times New Roman" w:hAnsi="Times New Roman" w:cs="Times New Roman"/>
                <w:noProof/>
                <w:sz w:val="24"/>
                <w:szCs w:val="24"/>
              </w:rPr>
              <w:fldChar w:fldCharType="end"/>
            </w:r>
          </w:hyperlink>
        </w:p>
        <w:p w14:paraId="7BEBB406" w14:textId="5CA06AF8" w:rsidR="00EB6899" w:rsidRPr="00EB6899" w:rsidRDefault="00EB6899" w:rsidP="00EB6899">
          <w:pPr>
            <w:pStyle w:val="TOC2"/>
            <w:tabs>
              <w:tab w:val="right" w:leader="dot" w:pos="8834"/>
            </w:tabs>
            <w:spacing w:line="360" w:lineRule="auto"/>
            <w:ind w:left="0"/>
            <w:jc w:val="both"/>
            <w:rPr>
              <w:rFonts w:ascii="Times New Roman" w:eastAsiaTheme="minorEastAsia" w:hAnsi="Times New Roman" w:cs="Times New Roman"/>
              <w:smallCaps w:val="0"/>
              <w:noProof/>
              <w:sz w:val="24"/>
              <w:szCs w:val="24"/>
              <w14:ligatures w14:val="standardContextual"/>
            </w:rPr>
          </w:pPr>
          <w:hyperlink w:anchor="_Toc220680554" w:history="1">
            <w:r w:rsidRPr="00EB6899">
              <w:rPr>
                <w:rStyle w:val="aff9"/>
                <w:noProof/>
                <w:sz w:val="24"/>
                <w:szCs w:val="24"/>
              </w:rPr>
              <w:t xml:space="preserve">8.3 </w:t>
            </w:r>
            <w:r w:rsidRPr="00EB6899">
              <w:rPr>
                <w:rStyle w:val="aff9"/>
                <w:noProof/>
                <w:sz w:val="24"/>
                <w:szCs w:val="24"/>
              </w:rPr>
              <w:t>环境效益分析</w:t>
            </w:r>
            <w:r w:rsidRPr="00EB6899">
              <w:rPr>
                <w:rFonts w:ascii="Times New Roman" w:hAnsi="Times New Roman" w:cs="Times New Roman"/>
                <w:noProof/>
                <w:sz w:val="24"/>
                <w:szCs w:val="24"/>
              </w:rPr>
              <w:tab/>
            </w:r>
            <w:r w:rsidRPr="00EB6899">
              <w:rPr>
                <w:rFonts w:ascii="Times New Roman" w:hAnsi="Times New Roman" w:cs="Times New Roman"/>
                <w:noProof/>
                <w:sz w:val="24"/>
                <w:szCs w:val="24"/>
              </w:rPr>
              <w:fldChar w:fldCharType="begin"/>
            </w:r>
            <w:r w:rsidRPr="00EB6899">
              <w:rPr>
                <w:rFonts w:ascii="Times New Roman" w:hAnsi="Times New Roman" w:cs="Times New Roman"/>
                <w:noProof/>
                <w:sz w:val="24"/>
                <w:szCs w:val="24"/>
              </w:rPr>
              <w:instrText xml:space="preserve"> PAGEREF _Toc220680554 \h </w:instrText>
            </w:r>
            <w:r w:rsidRPr="00EB6899">
              <w:rPr>
                <w:rFonts w:ascii="Times New Roman" w:hAnsi="Times New Roman" w:cs="Times New Roman"/>
                <w:noProof/>
                <w:sz w:val="24"/>
                <w:szCs w:val="24"/>
              </w:rPr>
            </w:r>
            <w:r w:rsidRPr="00EB6899">
              <w:rPr>
                <w:rFonts w:ascii="Times New Roman" w:hAnsi="Times New Roman" w:cs="Times New Roman"/>
                <w:noProof/>
                <w:sz w:val="24"/>
                <w:szCs w:val="24"/>
              </w:rPr>
              <w:fldChar w:fldCharType="separate"/>
            </w:r>
            <w:r w:rsidR="00462C44">
              <w:rPr>
                <w:rFonts w:ascii="Times New Roman" w:hAnsi="Times New Roman" w:cs="Times New Roman"/>
                <w:noProof/>
                <w:sz w:val="24"/>
                <w:szCs w:val="24"/>
              </w:rPr>
              <w:t>183</w:t>
            </w:r>
            <w:r w:rsidRPr="00EB6899">
              <w:rPr>
                <w:rFonts w:ascii="Times New Roman" w:hAnsi="Times New Roman" w:cs="Times New Roman"/>
                <w:noProof/>
                <w:sz w:val="24"/>
                <w:szCs w:val="24"/>
              </w:rPr>
              <w:fldChar w:fldCharType="end"/>
            </w:r>
          </w:hyperlink>
        </w:p>
        <w:p w14:paraId="5F890242" w14:textId="0ADD4D37" w:rsidR="00EB6899" w:rsidRPr="00EB6899" w:rsidRDefault="00EB6899" w:rsidP="00EB6899">
          <w:pPr>
            <w:pStyle w:val="TOC2"/>
            <w:tabs>
              <w:tab w:val="right" w:leader="dot" w:pos="8834"/>
            </w:tabs>
            <w:spacing w:line="360" w:lineRule="auto"/>
            <w:ind w:left="0"/>
            <w:jc w:val="both"/>
            <w:rPr>
              <w:rFonts w:ascii="Times New Roman" w:eastAsiaTheme="minorEastAsia" w:hAnsi="Times New Roman" w:cs="Times New Roman"/>
              <w:smallCaps w:val="0"/>
              <w:noProof/>
              <w:sz w:val="24"/>
              <w:szCs w:val="24"/>
              <w14:ligatures w14:val="standardContextual"/>
            </w:rPr>
          </w:pPr>
          <w:hyperlink w:anchor="_Toc220680557" w:history="1">
            <w:r w:rsidRPr="00EB6899">
              <w:rPr>
                <w:rStyle w:val="aff9"/>
                <w:noProof/>
                <w:sz w:val="24"/>
                <w:szCs w:val="24"/>
              </w:rPr>
              <w:t xml:space="preserve">8.4 </w:t>
            </w:r>
            <w:r w:rsidRPr="00EB6899">
              <w:rPr>
                <w:rStyle w:val="aff9"/>
                <w:noProof/>
                <w:sz w:val="24"/>
                <w:szCs w:val="24"/>
              </w:rPr>
              <w:t>小结</w:t>
            </w:r>
            <w:r w:rsidRPr="00EB6899">
              <w:rPr>
                <w:rFonts w:ascii="Times New Roman" w:hAnsi="Times New Roman" w:cs="Times New Roman"/>
                <w:noProof/>
                <w:sz w:val="24"/>
                <w:szCs w:val="24"/>
              </w:rPr>
              <w:tab/>
            </w:r>
            <w:r w:rsidRPr="00EB6899">
              <w:rPr>
                <w:rFonts w:ascii="Times New Roman" w:hAnsi="Times New Roman" w:cs="Times New Roman"/>
                <w:noProof/>
                <w:sz w:val="24"/>
                <w:szCs w:val="24"/>
              </w:rPr>
              <w:fldChar w:fldCharType="begin"/>
            </w:r>
            <w:r w:rsidRPr="00EB6899">
              <w:rPr>
                <w:rFonts w:ascii="Times New Roman" w:hAnsi="Times New Roman" w:cs="Times New Roman"/>
                <w:noProof/>
                <w:sz w:val="24"/>
                <w:szCs w:val="24"/>
              </w:rPr>
              <w:instrText xml:space="preserve"> PAGEREF _Toc220680557 \h </w:instrText>
            </w:r>
            <w:r w:rsidRPr="00EB6899">
              <w:rPr>
                <w:rFonts w:ascii="Times New Roman" w:hAnsi="Times New Roman" w:cs="Times New Roman"/>
                <w:noProof/>
                <w:sz w:val="24"/>
                <w:szCs w:val="24"/>
              </w:rPr>
            </w:r>
            <w:r w:rsidRPr="00EB6899">
              <w:rPr>
                <w:rFonts w:ascii="Times New Roman" w:hAnsi="Times New Roman" w:cs="Times New Roman"/>
                <w:noProof/>
                <w:sz w:val="24"/>
                <w:szCs w:val="24"/>
              </w:rPr>
              <w:fldChar w:fldCharType="separate"/>
            </w:r>
            <w:r w:rsidR="00462C44">
              <w:rPr>
                <w:rFonts w:ascii="Times New Roman" w:hAnsi="Times New Roman" w:cs="Times New Roman"/>
                <w:noProof/>
                <w:sz w:val="24"/>
                <w:szCs w:val="24"/>
              </w:rPr>
              <w:t>185</w:t>
            </w:r>
            <w:r w:rsidRPr="00EB6899">
              <w:rPr>
                <w:rFonts w:ascii="Times New Roman" w:hAnsi="Times New Roman" w:cs="Times New Roman"/>
                <w:noProof/>
                <w:sz w:val="24"/>
                <w:szCs w:val="24"/>
              </w:rPr>
              <w:fldChar w:fldCharType="end"/>
            </w:r>
          </w:hyperlink>
        </w:p>
        <w:p w14:paraId="26288FA5" w14:textId="59DA689F" w:rsidR="00EB6899" w:rsidRPr="00EB6899" w:rsidRDefault="00EB6899" w:rsidP="00EB6899">
          <w:pPr>
            <w:pStyle w:val="TOC1"/>
            <w:tabs>
              <w:tab w:val="right" w:leader="dot" w:pos="8834"/>
            </w:tabs>
            <w:spacing w:before="0" w:after="0" w:line="360" w:lineRule="auto"/>
            <w:jc w:val="both"/>
            <w:rPr>
              <w:rFonts w:ascii="Times New Roman" w:eastAsiaTheme="minorEastAsia" w:hAnsi="Times New Roman" w:cs="Times New Roman"/>
              <w:b w:val="0"/>
              <w:bCs w:val="0"/>
              <w:caps w:val="0"/>
              <w:noProof/>
              <w:sz w:val="24"/>
              <w:szCs w:val="24"/>
              <w14:ligatures w14:val="standardContextual"/>
            </w:rPr>
          </w:pPr>
          <w:hyperlink w:anchor="_Toc220680558" w:history="1">
            <w:r w:rsidRPr="00EB6899">
              <w:rPr>
                <w:rStyle w:val="aff9"/>
                <w:b w:val="0"/>
                <w:bCs w:val="0"/>
                <w:noProof/>
                <w:sz w:val="24"/>
                <w:szCs w:val="24"/>
              </w:rPr>
              <w:t>第九章</w:t>
            </w:r>
            <w:r w:rsidRPr="00EB6899">
              <w:rPr>
                <w:rStyle w:val="aff9"/>
                <w:b w:val="0"/>
                <w:bCs w:val="0"/>
                <w:noProof/>
                <w:sz w:val="24"/>
                <w:szCs w:val="24"/>
              </w:rPr>
              <w:t xml:space="preserve">  </w:t>
            </w:r>
            <w:r w:rsidRPr="00EB6899">
              <w:rPr>
                <w:rStyle w:val="aff9"/>
                <w:b w:val="0"/>
                <w:bCs w:val="0"/>
                <w:noProof/>
                <w:sz w:val="24"/>
                <w:szCs w:val="24"/>
              </w:rPr>
              <w:t>环境管理、监测计划及总量控制</w:t>
            </w:r>
            <w:r w:rsidRPr="00EB6899">
              <w:rPr>
                <w:rFonts w:ascii="Times New Roman" w:hAnsi="Times New Roman" w:cs="Times New Roman"/>
                <w:b w:val="0"/>
                <w:bCs w:val="0"/>
                <w:noProof/>
                <w:sz w:val="24"/>
                <w:szCs w:val="24"/>
              </w:rPr>
              <w:tab/>
            </w:r>
            <w:r w:rsidRPr="00EB6899">
              <w:rPr>
                <w:rFonts w:ascii="Times New Roman" w:hAnsi="Times New Roman" w:cs="Times New Roman"/>
                <w:b w:val="0"/>
                <w:bCs w:val="0"/>
                <w:noProof/>
                <w:sz w:val="24"/>
                <w:szCs w:val="24"/>
              </w:rPr>
              <w:fldChar w:fldCharType="begin"/>
            </w:r>
            <w:r w:rsidRPr="00EB6899">
              <w:rPr>
                <w:rFonts w:ascii="Times New Roman" w:hAnsi="Times New Roman" w:cs="Times New Roman"/>
                <w:b w:val="0"/>
                <w:bCs w:val="0"/>
                <w:noProof/>
                <w:sz w:val="24"/>
                <w:szCs w:val="24"/>
              </w:rPr>
              <w:instrText xml:space="preserve"> PAGEREF _Toc220680558 \h </w:instrText>
            </w:r>
            <w:r w:rsidRPr="00EB6899">
              <w:rPr>
                <w:rFonts w:ascii="Times New Roman" w:hAnsi="Times New Roman" w:cs="Times New Roman"/>
                <w:b w:val="0"/>
                <w:bCs w:val="0"/>
                <w:noProof/>
                <w:sz w:val="24"/>
                <w:szCs w:val="24"/>
              </w:rPr>
            </w:r>
            <w:r w:rsidRPr="00EB6899">
              <w:rPr>
                <w:rFonts w:ascii="Times New Roman" w:hAnsi="Times New Roman" w:cs="Times New Roman"/>
                <w:b w:val="0"/>
                <w:bCs w:val="0"/>
                <w:noProof/>
                <w:sz w:val="24"/>
                <w:szCs w:val="24"/>
              </w:rPr>
              <w:fldChar w:fldCharType="separate"/>
            </w:r>
            <w:r w:rsidR="00462C44">
              <w:rPr>
                <w:rFonts w:ascii="Times New Roman" w:hAnsi="Times New Roman" w:cs="Times New Roman"/>
                <w:b w:val="0"/>
                <w:bCs w:val="0"/>
                <w:noProof/>
                <w:sz w:val="24"/>
                <w:szCs w:val="24"/>
              </w:rPr>
              <w:t>186</w:t>
            </w:r>
            <w:r w:rsidRPr="00EB6899">
              <w:rPr>
                <w:rFonts w:ascii="Times New Roman" w:hAnsi="Times New Roman" w:cs="Times New Roman"/>
                <w:b w:val="0"/>
                <w:bCs w:val="0"/>
                <w:noProof/>
                <w:sz w:val="24"/>
                <w:szCs w:val="24"/>
              </w:rPr>
              <w:fldChar w:fldCharType="end"/>
            </w:r>
          </w:hyperlink>
        </w:p>
        <w:p w14:paraId="7D1B7578" w14:textId="3C6FC91F" w:rsidR="00EB6899" w:rsidRPr="00EB6899" w:rsidRDefault="00EB6899" w:rsidP="00EB6899">
          <w:pPr>
            <w:pStyle w:val="TOC2"/>
            <w:tabs>
              <w:tab w:val="right" w:leader="dot" w:pos="8834"/>
            </w:tabs>
            <w:spacing w:line="360" w:lineRule="auto"/>
            <w:ind w:left="0"/>
            <w:jc w:val="both"/>
            <w:rPr>
              <w:rFonts w:ascii="Times New Roman" w:eastAsiaTheme="minorEastAsia" w:hAnsi="Times New Roman" w:cs="Times New Roman"/>
              <w:smallCaps w:val="0"/>
              <w:noProof/>
              <w:sz w:val="24"/>
              <w:szCs w:val="24"/>
              <w14:ligatures w14:val="standardContextual"/>
            </w:rPr>
          </w:pPr>
          <w:hyperlink w:anchor="_Toc220680559" w:history="1">
            <w:r w:rsidRPr="00EB6899">
              <w:rPr>
                <w:rStyle w:val="aff9"/>
                <w:noProof/>
                <w:sz w:val="24"/>
                <w:szCs w:val="24"/>
              </w:rPr>
              <w:t>9.1</w:t>
            </w:r>
            <w:r w:rsidRPr="00EB6899">
              <w:rPr>
                <w:rStyle w:val="aff9"/>
                <w:noProof/>
                <w:sz w:val="24"/>
                <w:szCs w:val="24"/>
              </w:rPr>
              <w:t>环境管理</w:t>
            </w:r>
            <w:r w:rsidRPr="00EB6899">
              <w:rPr>
                <w:rFonts w:ascii="Times New Roman" w:hAnsi="Times New Roman" w:cs="Times New Roman"/>
                <w:noProof/>
                <w:sz w:val="24"/>
                <w:szCs w:val="24"/>
              </w:rPr>
              <w:tab/>
            </w:r>
            <w:r w:rsidRPr="00EB6899">
              <w:rPr>
                <w:rFonts w:ascii="Times New Roman" w:hAnsi="Times New Roman" w:cs="Times New Roman"/>
                <w:noProof/>
                <w:sz w:val="24"/>
                <w:szCs w:val="24"/>
              </w:rPr>
              <w:fldChar w:fldCharType="begin"/>
            </w:r>
            <w:r w:rsidRPr="00EB6899">
              <w:rPr>
                <w:rFonts w:ascii="Times New Roman" w:hAnsi="Times New Roman" w:cs="Times New Roman"/>
                <w:noProof/>
                <w:sz w:val="24"/>
                <w:szCs w:val="24"/>
              </w:rPr>
              <w:instrText xml:space="preserve"> PAGEREF _Toc220680559 \h </w:instrText>
            </w:r>
            <w:r w:rsidRPr="00EB6899">
              <w:rPr>
                <w:rFonts w:ascii="Times New Roman" w:hAnsi="Times New Roman" w:cs="Times New Roman"/>
                <w:noProof/>
                <w:sz w:val="24"/>
                <w:szCs w:val="24"/>
              </w:rPr>
            </w:r>
            <w:r w:rsidRPr="00EB6899">
              <w:rPr>
                <w:rFonts w:ascii="Times New Roman" w:hAnsi="Times New Roman" w:cs="Times New Roman"/>
                <w:noProof/>
                <w:sz w:val="24"/>
                <w:szCs w:val="24"/>
              </w:rPr>
              <w:fldChar w:fldCharType="separate"/>
            </w:r>
            <w:r w:rsidR="00462C44">
              <w:rPr>
                <w:rFonts w:ascii="Times New Roman" w:hAnsi="Times New Roman" w:cs="Times New Roman"/>
                <w:noProof/>
                <w:sz w:val="24"/>
                <w:szCs w:val="24"/>
              </w:rPr>
              <w:t>186</w:t>
            </w:r>
            <w:r w:rsidRPr="00EB6899">
              <w:rPr>
                <w:rFonts w:ascii="Times New Roman" w:hAnsi="Times New Roman" w:cs="Times New Roman"/>
                <w:noProof/>
                <w:sz w:val="24"/>
                <w:szCs w:val="24"/>
              </w:rPr>
              <w:fldChar w:fldCharType="end"/>
            </w:r>
          </w:hyperlink>
        </w:p>
        <w:p w14:paraId="472BE3A2" w14:textId="2D3DE434" w:rsidR="00EB6899" w:rsidRPr="00EB6899" w:rsidRDefault="00EB6899" w:rsidP="00EB6899">
          <w:pPr>
            <w:pStyle w:val="TOC2"/>
            <w:tabs>
              <w:tab w:val="right" w:leader="dot" w:pos="8834"/>
            </w:tabs>
            <w:spacing w:line="360" w:lineRule="auto"/>
            <w:ind w:left="0"/>
            <w:jc w:val="both"/>
            <w:rPr>
              <w:rFonts w:ascii="Times New Roman" w:eastAsiaTheme="minorEastAsia" w:hAnsi="Times New Roman" w:cs="Times New Roman"/>
              <w:smallCaps w:val="0"/>
              <w:noProof/>
              <w:sz w:val="24"/>
              <w:szCs w:val="24"/>
              <w14:ligatures w14:val="standardContextual"/>
            </w:rPr>
          </w:pPr>
          <w:hyperlink w:anchor="_Toc220680563" w:history="1">
            <w:r w:rsidRPr="00EB6899">
              <w:rPr>
                <w:rStyle w:val="aff9"/>
                <w:noProof/>
                <w:sz w:val="24"/>
                <w:szCs w:val="24"/>
              </w:rPr>
              <w:t>9.2</w:t>
            </w:r>
            <w:r w:rsidRPr="00EB6899">
              <w:rPr>
                <w:rStyle w:val="aff9"/>
                <w:noProof/>
                <w:sz w:val="24"/>
                <w:szCs w:val="24"/>
              </w:rPr>
              <w:t>环境监测计划</w:t>
            </w:r>
            <w:r w:rsidRPr="00EB6899">
              <w:rPr>
                <w:rFonts w:ascii="Times New Roman" w:hAnsi="Times New Roman" w:cs="Times New Roman"/>
                <w:noProof/>
                <w:sz w:val="24"/>
                <w:szCs w:val="24"/>
              </w:rPr>
              <w:tab/>
            </w:r>
            <w:r w:rsidRPr="00EB6899">
              <w:rPr>
                <w:rFonts w:ascii="Times New Roman" w:hAnsi="Times New Roman" w:cs="Times New Roman"/>
                <w:noProof/>
                <w:sz w:val="24"/>
                <w:szCs w:val="24"/>
              </w:rPr>
              <w:fldChar w:fldCharType="begin"/>
            </w:r>
            <w:r w:rsidRPr="00EB6899">
              <w:rPr>
                <w:rFonts w:ascii="Times New Roman" w:hAnsi="Times New Roman" w:cs="Times New Roman"/>
                <w:noProof/>
                <w:sz w:val="24"/>
                <w:szCs w:val="24"/>
              </w:rPr>
              <w:instrText xml:space="preserve"> PAGEREF _Toc220680563 \h </w:instrText>
            </w:r>
            <w:r w:rsidRPr="00EB6899">
              <w:rPr>
                <w:rFonts w:ascii="Times New Roman" w:hAnsi="Times New Roman" w:cs="Times New Roman"/>
                <w:noProof/>
                <w:sz w:val="24"/>
                <w:szCs w:val="24"/>
              </w:rPr>
            </w:r>
            <w:r w:rsidRPr="00EB6899">
              <w:rPr>
                <w:rFonts w:ascii="Times New Roman" w:hAnsi="Times New Roman" w:cs="Times New Roman"/>
                <w:noProof/>
                <w:sz w:val="24"/>
                <w:szCs w:val="24"/>
              </w:rPr>
              <w:fldChar w:fldCharType="separate"/>
            </w:r>
            <w:r w:rsidR="00462C44">
              <w:rPr>
                <w:rFonts w:ascii="Times New Roman" w:hAnsi="Times New Roman" w:cs="Times New Roman"/>
                <w:noProof/>
                <w:sz w:val="24"/>
                <w:szCs w:val="24"/>
              </w:rPr>
              <w:t>189</w:t>
            </w:r>
            <w:r w:rsidRPr="00EB6899">
              <w:rPr>
                <w:rFonts w:ascii="Times New Roman" w:hAnsi="Times New Roman" w:cs="Times New Roman"/>
                <w:noProof/>
                <w:sz w:val="24"/>
                <w:szCs w:val="24"/>
              </w:rPr>
              <w:fldChar w:fldCharType="end"/>
            </w:r>
          </w:hyperlink>
        </w:p>
        <w:p w14:paraId="150B2D8F" w14:textId="74ABA984" w:rsidR="00EB6899" w:rsidRPr="00EB6899" w:rsidRDefault="00EB6899" w:rsidP="00EB6899">
          <w:pPr>
            <w:pStyle w:val="TOC2"/>
            <w:tabs>
              <w:tab w:val="right" w:leader="dot" w:pos="8834"/>
            </w:tabs>
            <w:spacing w:line="360" w:lineRule="auto"/>
            <w:ind w:left="0"/>
            <w:jc w:val="both"/>
            <w:rPr>
              <w:rFonts w:ascii="Times New Roman" w:eastAsiaTheme="minorEastAsia" w:hAnsi="Times New Roman" w:cs="Times New Roman"/>
              <w:smallCaps w:val="0"/>
              <w:noProof/>
              <w:sz w:val="24"/>
              <w:szCs w:val="24"/>
              <w14:ligatures w14:val="standardContextual"/>
            </w:rPr>
          </w:pPr>
          <w:hyperlink w:anchor="_Toc220680566" w:history="1">
            <w:r w:rsidRPr="00EB6899">
              <w:rPr>
                <w:rStyle w:val="aff9"/>
                <w:noProof/>
                <w:sz w:val="24"/>
                <w:szCs w:val="24"/>
              </w:rPr>
              <w:t>9.3</w:t>
            </w:r>
            <w:r w:rsidRPr="00EB6899">
              <w:rPr>
                <w:rStyle w:val="aff9"/>
                <w:noProof/>
                <w:sz w:val="24"/>
                <w:szCs w:val="24"/>
              </w:rPr>
              <w:t>环保竣工验收</w:t>
            </w:r>
            <w:r w:rsidRPr="00EB6899">
              <w:rPr>
                <w:rFonts w:ascii="Times New Roman" w:hAnsi="Times New Roman" w:cs="Times New Roman"/>
                <w:noProof/>
                <w:sz w:val="24"/>
                <w:szCs w:val="24"/>
              </w:rPr>
              <w:tab/>
            </w:r>
            <w:r w:rsidRPr="00EB6899">
              <w:rPr>
                <w:rFonts w:ascii="Times New Roman" w:hAnsi="Times New Roman" w:cs="Times New Roman"/>
                <w:noProof/>
                <w:sz w:val="24"/>
                <w:szCs w:val="24"/>
              </w:rPr>
              <w:fldChar w:fldCharType="begin"/>
            </w:r>
            <w:r w:rsidRPr="00EB6899">
              <w:rPr>
                <w:rFonts w:ascii="Times New Roman" w:hAnsi="Times New Roman" w:cs="Times New Roman"/>
                <w:noProof/>
                <w:sz w:val="24"/>
                <w:szCs w:val="24"/>
              </w:rPr>
              <w:instrText xml:space="preserve"> PAGEREF _Toc220680566 \h </w:instrText>
            </w:r>
            <w:r w:rsidRPr="00EB6899">
              <w:rPr>
                <w:rFonts w:ascii="Times New Roman" w:hAnsi="Times New Roman" w:cs="Times New Roman"/>
                <w:noProof/>
                <w:sz w:val="24"/>
                <w:szCs w:val="24"/>
              </w:rPr>
            </w:r>
            <w:r w:rsidRPr="00EB6899">
              <w:rPr>
                <w:rFonts w:ascii="Times New Roman" w:hAnsi="Times New Roman" w:cs="Times New Roman"/>
                <w:noProof/>
                <w:sz w:val="24"/>
                <w:szCs w:val="24"/>
              </w:rPr>
              <w:fldChar w:fldCharType="separate"/>
            </w:r>
            <w:r w:rsidR="00462C44">
              <w:rPr>
                <w:rFonts w:ascii="Times New Roman" w:hAnsi="Times New Roman" w:cs="Times New Roman"/>
                <w:noProof/>
                <w:sz w:val="24"/>
                <w:szCs w:val="24"/>
              </w:rPr>
              <w:t>194</w:t>
            </w:r>
            <w:r w:rsidRPr="00EB6899">
              <w:rPr>
                <w:rFonts w:ascii="Times New Roman" w:hAnsi="Times New Roman" w:cs="Times New Roman"/>
                <w:noProof/>
                <w:sz w:val="24"/>
                <w:szCs w:val="24"/>
              </w:rPr>
              <w:fldChar w:fldCharType="end"/>
            </w:r>
          </w:hyperlink>
        </w:p>
        <w:p w14:paraId="68DF8CEE" w14:textId="5B997CC6" w:rsidR="00EB6899" w:rsidRPr="00EB6899" w:rsidRDefault="00EB6899" w:rsidP="00EB6899">
          <w:pPr>
            <w:pStyle w:val="TOC2"/>
            <w:tabs>
              <w:tab w:val="right" w:leader="dot" w:pos="8834"/>
            </w:tabs>
            <w:spacing w:line="360" w:lineRule="auto"/>
            <w:ind w:left="0"/>
            <w:jc w:val="both"/>
            <w:rPr>
              <w:rFonts w:ascii="Times New Roman" w:eastAsiaTheme="minorEastAsia" w:hAnsi="Times New Roman" w:cs="Times New Roman"/>
              <w:smallCaps w:val="0"/>
              <w:noProof/>
              <w:sz w:val="24"/>
              <w:szCs w:val="24"/>
              <w14:ligatures w14:val="standardContextual"/>
            </w:rPr>
          </w:pPr>
          <w:hyperlink w:anchor="_Toc220680567" w:history="1">
            <w:r w:rsidRPr="00EB6899">
              <w:rPr>
                <w:rStyle w:val="aff9"/>
                <w:noProof/>
                <w:sz w:val="24"/>
                <w:szCs w:val="24"/>
              </w:rPr>
              <w:t>9.4</w:t>
            </w:r>
            <w:r w:rsidRPr="00EB6899">
              <w:rPr>
                <w:rStyle w:val="aff9"/>
                <w:noProof/>
                <w:sz w:val="24"/>
                <w:szCs w:val="24"/>
              </w:rPr>
              <w:t>总量控制指标分析</w:t>
            </w:r>
            <w:r w:rsidRPr="00EB6899">
              <w:rPr>
                <w:rFonts w:ascii="Times New Roman" w:hAnsi="Times New Roman" w:cs="Times New Roman"/>
                <w:noProof/>
                <w:sz w:val="24"/>
                <w:szCs w:val="24"/>
              </w:rPr>
              <w:tab/>
            </w:r>
            <w:r w:rsidRPr="00EB6899">
              <w:rPr>
                <w:rFonts w:ascii="Times New Roman" w:hAnsi="Times New Roman" w:cs="Times New Roman"/>
                <w:noProof/>
                <w:sz w:val="24"/>
                <w:szCs w:val="24"/>
              </w:rPr>
              <w:fldChar w:fldCharType="begin"/>
            </w:r>
            <w:r w:rsidRPr="00EB6899">
              <w:rPr>
                <w:rFonts w:ascii="Times New Roman" w:hAnsi="Times New Roman" w:cs="Times New Roman"/>
                <w:noProof/>
                <w:sz w:val="24"/>
                <w:szCs w:val="24"/>
              </w:rPr>
              <w:instrText xml:space="preserve"> PAGEREF _Toc220680567 \h </w:instrText>
            </w:r>
            <w:r w:rsidRPr="00EB6899">
              <w:rPr>
                <w:rFonts w:ascii="Times New Roman" w:hAnsi="Times New Roman" w:cs="Times New Roman"/>
                <w:noProof/>
                <w:sz w:val="24"/>
                <w:szCs w:val="24"/>
              </w:rPr>
            </w:r>
            <w:r w:rsidRPr="00EB6899">
              <w:rPr>
                <w:rFonts w:ascii="Times New Roman" w:hAnsi="Times New Roman" w:cs="Times New Roman"/>
                <w:noProof/>
                <w:sz w:val="24"/>
                <w:szCs w:val="24"/>
              </w:rPr>
              <w:fldChar w:fldCharType="separate"/>
            </w:r>
            <w:r w:rsidR="00462C44">
              <w:rPr>
                <w:rFonts w:ascii="Times New Roman" w:hAnsi="Times New Roman" w:cs="Times New Roman"/>
                <w:noProof/>
                <w:sz w:val="24"/>
                <w:szCs w:val="24"/>
              </w:rPr>
              <w:t>195</w:t>
            </w:r>
            <w:r w:rsidRPr="00EB6899">
              <w:rPr>
                <w:rFonts w:ascii="Times New Roman" w:hAnsi="Times New Roman" w:cs="Times New Roman"/>
                <w:noProof/>
                <w:sz w:val="24"/>
                <w:szCs w:val="24"/>
              </w:rPr>
              <w:fldChar w:fldCharType="end"/>
            </w:r>
          </w:hyperlink>
        </w:p>
        <w:p w14:paraId="4A58E8D4" w14:textId="3B38CD85" w:rsidR="00EB6899" w:rsidRPr="00EB6899" w:rsidRDefault="00EB6899" w:rsidP="00EB6899">
          <w:pPr>
            <w:pStyle w:val="TOC2"/>
            <w:tabs>
              <w:tab w:val="right" w:leader="dot" w:pos="8834"/>
            </w:tabs>
            <w:spacing w:line="360" w:lineRule="auto"/>
            <w:ind w:left="0"/>
            <w:jc w:val="both"/>
            <w:rPr>
              <w:rFonts w:ascii="Times New Roman" w:eastAsiaTheme="minorEastAsia" w:hAnsi="Times New Roman" w:cs="Times New Roman"/>
              <w:smallCaps w:val="0"/>
              <w:noProof/>
              <w:sz w:val="24"/>
              <w:szCs w:val="24"/>
              <w14:ligatures w14:val="standardContextual"/>
            </w:rPr>
          </w:pPr>
          <w:hyperlink w:anchor="_Toc220680571" w:history="1">
            <w:r w:rsidRPr="00EB6899">
              <w:rPr>
                <w:rStyle w:val="aff9"/>
                <w:noProof/>
                <w:sz w:val="24"/>
                <w:szCs w:val="24"/>
              </w:rPr>
              <w:t>9.5</w:t>
            </w:r>
            <w:r w:rsidRPr="00EB6899">
              <w:rPr>
                <w:rStyle w:val="aff9"/>
                <w:noProof/>
                <w:sz w:val="24"/>
                <w:szCs w:val="24"/>
              </w:rPr>
              <w:t>污染物排放清单</w:t>
            </w:r>
            <w:r w:rsidRPr="00EB6899">
              <w:rPr>
                <w:rFonts w:ascii="Times New Roman" w:hAnsi="Times New Roman" w:cs="Times New Roman"/>
                <w:noProof/>
                <w:sz w:val="24"/>
                <w:szCs w:val="24"/>
              </w:rPr>
              <w:tab/>
            </w:r>
            <w:r w:rsidRPr="00EB6899">
              <w:rPr>
                <w:rFonts w:ascii="Times New Roman" w:hAnsi="Times New Roman" w:cs="Times New Roman"/>
                <w:noProof/>
                <w:sz w:val="24"/>
                <w:szCs w:val="24"/>
              </w:rPr>
              <w:fldChar w:fldCharType="begin"/>
            </w:r>
            <w:r w:rsidRPr="00EB6899">
              <w:rPr>
                <w:rFonts w:ascii="Times New Roman" w:hAnsi="Times New Roman" w:cs="Times New Roman"/>
                <w:noProof/>
                <w:sz w:val="24"/>
                <w:szCs w:val="24"/>
              </w:rPr>
              <w:instrText xml:space="preserve"> PAGEREF _Toc220680571 \h </w:instrText>
            </w:r>
            <w:r w:rsidRPr="00EB6899">
              <w:rPr>
                <w:rFonts w:ascii="Times New Roman" w:hAnsi="Times New Roman" w:cs="Times New Roman"/>
                <w:noProof/>
                <w:sz w:val="24"/>
                <w:szCs w:val="24"/>
              </w:rPr>
            </w:r>
            <w:r w:rsidRPr="00EB6899">
              <w:rPr>
                <w:rFonts w:ascii="Times New Roman" w:hAnsi="Times New Roman" w:cs="Times New Roman"/>
                <w:noProof/>
                <w:sz w:val="24"/>
                <w:szCs w:val="24"/>
              </w:rPr>
              <w:fldChar w:fldCharType="separate"/>
            </w:r>
            <w:r w:rsidR="00462C44">
              <w:rPr>
                <w:rFonts w:ascii="Times New Roman" w:hAnsi="Times New Roman" w:cs="Times New Roman"/>
                <w:noProof/>
                <w:sz w:val="24"/>
                <w:szCs w:val="24"/>
              </w:rPr>
              <w:t>196</w:t>
            </w:r>
            <w:r w:rsidRPr="00EB6899">
              <w:rPr>
                <w:rFonts w:ascii="Times New Roman" w:hAnsi="Times New Roman" w:cs="Times New Roman"/>
                <w:noProof/>
                <w:sz w:val="24"/>
                <w:szCs w:val="24"/>
              </w:rPr>
              <w:fldChar w:fldCharType="end"/>
            </w:r>
          </w:hyperlink>
        </w:p>
        <w:p w14:paraId="4FE8E5CE" w14:textId="502D64F5" w:rsidR="00EB6899" w:rsidRPr="00EB6899" w:rsidRDefault="00EB6899" w:rsidP="00EB6899">
          <w:pPr>
            <w:pStyle w:val="TOC2"/>
            <w:tabs>
              <w:tab w:val="right" w:leader="dot" w:pos="8834"/>
            </w:tabs>
            <w:spacing w:line="360" w:lineRule="auto"/>
            <w:ind w:left="0"/>
            <w:jc w:val="both"/>
            <w:rPr>
              <w:rFonts w:ascii="Times New Roman" w:eastAsiaTheme="minorEastAsia" w:hAnsi="Times New Roman" w:cs="Times New Roman"/>
              <w:smallCaps w:val="0"/>
              <w:noProof/>
              <w:sz w:val="24"/>
              <w:szCs w:val="24"/>
              <w14:ligatures w14:val="standardContextual"/>
            </w:rPr>
          </w:pPr>
          <w:hyperlink w:anchor="_Toc220680572" w:history="1">
            <w:r w:rsidRPr="00EB6899">
              <w:rPr>
                <w:rStyle w:val="aff9"/>
                <w:noProof/>
                <w:sz w:val="24"/>
                <w:szCs w:val="24"/>
              </w:rPr>
              <w:t>9.6</w:t>
            </w:r>
            <w:r w:rsidRPr="00EB6899">
              <w:rPr>
                <w:rStyle w:val="aff9"/>
                <w:noProof/>
                <w:sz w:val="24"/>
                <w:szCs w:val="24"/>
              </w:rPr>
              <w:t>排污许可</w:t>
            </w:r>
            <w:r w:rsidRPr="00EB6899">
              <w:rPr>
                <w:rFonts w:ascii="Times New Roman" w:hAnsi="Times New Roman" w:cs="Times New Roman"/>
                <w:noProof/>
                <w:sz w:val="24"/>
                <w:szCs w:val="24"/>
              </w:rPr>
              <w:tab/>
            </w:r>
            <w:r w:rsidRPr="00EB6899">
              <w:rPr>
                <w:rFonts w:ascii="Times New Roman" w:hAnsi="Times New Roman" w:cs="Times New Roman"/>
                <w:noProof/>
                <w:sz w:val="24"/>
                <w:szCs w:val="24"/>
              </w:rPr>
              <w:fldChar w:fldCharType="begin"/>
            </w:r>
            <w:r w:rsidRPr="00EB6899">
              <w:rPr>
                <w:rFonts w:ascii="Times New Roman" w:hAnsi="Times New Roman" w:cs="Times New Roman"/>
                <w:noProof/>
                <w:sz w:val="24"/>
                <w:szCs w:val="24"/>
              </w:rPr>
              <w:instrText xml:space="preserve"> PAGEREF _Toc220680572 \h </w:instrText>
            </w:r>
            <w:r w:rsidRPr="00EB6899">
              <w:rPr>
                <w:rFonts w:ascii="Times New Roman" w:hAnsi="Times New Roman" w:cs="Times New Roman"/>
                <w:noProof/>
                <w:sz w:val="24"/>
                <w:szCs w:val="24"/>
              </w:rPr>
            </w:r>
            <w:r w:rsidRPr="00EB6899">
              <w:rPr>
                <w:rFonts w:ascii="Times New Roman" w:hAnsi="Times New Roman" w:cs="Times New Roman"/>
                <w:noProof/>
                <w:sz w:val="24"/>
                <w:szCs w:val="24"/>
              </w:rPr>
              <w:fldChar w:fldCharType="separate"/>
            </w:r>
            <w:r w:rsidR="00462C44">
              <w:rPr>
                <w:rFonts w:ascii="Times New Roman" w:hAnsi="Times New Roman" w:cs="Times New Roman"/>
                <w:noProof/>
                <w:sz w:val="24"/>
                <w:szCs w:val="24"/>
              </w:rPr>
              <w:t>197</w:t>
            </w:r>
            <w:r w:rsidRPr="00EB6899">
              <w:rPr>
                <w:rFonts w:ascii="Times New Roman" w:hAnsi="Times New Roman" w:cs="Times New Roman"/>
                <w:noProof/>
                <w:sz w:val="24"/>
                <w:szCs w:val="24"/>
              </w:rPr>
              <w:fldChar w:fldCharType="end"/>
            </w:r>
          </w:hyperlink>
        </w:p>
        <w:p w14:paraId="34C4F30B" w14:textId="3DD6929A" w:rsidR="00EB6899" w:rsidRPr="00EB6899" w:rsidRDefault="00EB6899" w:rsidP="00EB6899">
          <w:pPr>
            <w:pStyle w:val="TOC1"/>
            <w:tabs>
              <w:tab w:val="right" w:leader="dot" w:pos="8834"/>
            </w:tabs>
            <w:spacing w:before="0" w:after="0" w:line="360" w:lineRule="auto"/>
            <w:jc w:val="both"/>
            <w:rPr>
              <w:rFonts w:ascii="Times New Roman" w:eastAsiaTheme="minorEastAsia" w:hAnsi="Times New Roman" w:cs="Times New Roman"/>
              <w:b w:val="0"/>
              <w:bCs w:val="0"/>
              <w:caps w:val="0"/>
              <w:noProof/>
              <w:sz w:val="24"/>
              <w:szCs w:val="24"/>
              <w14:ligatures w14:val="standardContextual"/>
            </w:rPr>
          </w:pPr>
          <w:hyperlink w:anchor="_Toc220680573" w:history="1">
            <w:r w:rsidRPr="00EB6899">
              <w:rPr>
                <w:rStyle w:val="aff9"/>
                <w:b w:val="0"/>
                <w:bCs w:val="0"/>
                <w:noProof/>
                <w:sz w:val="24"/>
                <w:szCs w:val="24"/>
              </w:rPr>
              <w:t>第十章</w:t>
            </w:r>
            <w:r w:rsidRPr="00EB6899">
              <w:rPr>
                <w:rStyle w:val="aff9"/>
                <w:b w:val="0"/>
                <w:bCs w:val="0"/>
                <w:noProof/>
                <w:sz w:val="24"/>
                <w:szCs w:val="24"/>
              </w:rPr>
              <w:t xml:space="preserve">  </w:t>
            </w:r>
            <w:r w:rsidRPr="00EB6899">
              <w:rPr>
                <w:rStyle w:val="aff9"/>
                <w:b w:val="0"/>
                <w:bCs w:val="0"/>
                <w:noProof/>
                <w:sz w:val="24"/>
                <w:szCs w:val="24"/>
              </w:rPr>
              <w:t>结论与建议</w:t>
            </w:r>
            <w:r w:rsidRPr="00EB6899">
              <w:rPr>
                <w:rFonts w:ascii="Times New Roman" w:hAnsi="Times New Roman" w:cs="Times New Roman"/>
                <w:b w:val="0"/>
                <w:bCs w:val="0"/>
                <w:noProof/>
                <w:sz w:val="24"/>
                <w:szCs w:val="24"/>
              </w:rPr>
              <w:tab/>
            </w:r>
            <w:r w:rsidRPr="00EB6899">
              <w:rPr>
                <w:rFonts w:ascii="Times New Roman" w:hAnsi="Times New Roman" w:cs="Times New Roman"/>
                <w:b w:val="0"/>
                <w:bCs w:val="0"/>
                <w:noProof/>
                <w:sz w:val="24"/>
                <w:szCs w:val="24"/>
              </w:rPr>
              <w:fldChar w:fldCharType="begin"/>
            </w:r>
            <w:r w:rsidRPr="00EB6899">
              <w:rPr>
                <w:rFonts w:ascii="Times New Roman" w:hAnsi="Times New Roman" w:cs="Times New Roman"/>
                <w:b w:val="0"/>
                <w:bCs w:val="0"/>
                <w:noProof/>
                <w:sz w:val="24"/>
                <w:szCs w:val="24"/>
              </w:rPr>
              <w:instrText xml:space="preserve"> PAGEREF _Toc220680573 \h </w:instrText>
            </w:r>
            <w:r w:rsidRPr="00EB6899">
              <w:rPr>
                <w:rFonts w:ascii="Times New Roman" w:hAnsi="Times New Roman" w:cs="Times New Roman"/>
                <w:b w:val="0"/>
                <w:bCs w:val="0"/>
                <w:noProof/>
                <w:sz w:val="24"/>
                <w:szCs w:val="24"/>
              </w:rPr>
            </w:r>
            <w:r w:rsidRPr="00EB6899">
              <w:rPr>
                <w:rFonts w:ascii="Times New Roman" w:hAnsi="Times New Roman" w:cs="Times New Roman"/>
                <w:b w:val="0"/>
                <w:bCs w:val="0"/>
                <w:noProof/>
                <w:sz w:val="24"/>
                <w:szCs w:val="24"/>
              </w:rPr>
              <w:fldChar w:fldCharType="separate"/>
            </w:r>
            <w:r w:rsidR="00462C44">
              <w:rPr>
                <w:rFonts w:ascii="Times New Roman" w:hAnsi="Times New Roman" w:cs="Times New Roman"/>
                <w:b w:val="0"/>
                <w:bCs w:val="0"/>
                <w:noProof/>
                <w:sz w:val="24"/>
                <w:szCs w:val="24"/>
              </w:rPr>
              <w:t>198</w:t>
            </w:r>
            <w:r w:rsidRPr="00EB6899">
              <w:rPr>
                <w:rFonts w:ascii="Times New Roman" w:hAnsi="Times New Roman" w:cs="Times New Roman"/>
                <w:b w:val="0"/>
                <w:bCs w:val="0"/>
                <w:noProof/>
                <w:sz w:val="24"/>
                <w:szCs w:val="24"/>
              </w:rPr>
              <w:fldChar w:fldCharType="end"/>
            </w:r>
          </w:hyperlink>
        </w:p>
        <w:p w14:paraId="02ACB35C" w14:textId="25DFEDBC" w:rsidR="00EB6899" w:rsidRPr="00EB6899" w:rsidRDefault="00EB6899" w:rsidP="00EB6899">
          <w:pPr>
            <w:pStyle w:val="TOC2"/>
            <w:tabs>
              <w:tab w:val="right" w:leader="dot" w:pos="8834"/>
            </w:tabs>
            <w:spacing w:line="360" w:lineRule="auto"/>
            <w:ind w:left="0"/>
            <w:jc w:val="both"/>
            <w:rPr>
              <w:rFonts w:ascii="Times New Roman" w:eastAsiaTheme="minorEastAsia" w:hAnsi="Times New Roman" w:cs="Times New Roman"/>
              <w:smallCaps w:val="0"/>
              <w:noProof/>
              <w:sz w:val="24"/>
              <w:szCs w:val="24"/>
              <w14:ligatures w14:val="standardContextual"/>
            </w:rPr>
          </w:pPr>
          <w:hyperlink w:anchor="_Toc220680574" w:history="1">
            <w:r w:rsidRPr="00EB6899">
              <w:rPr>
                <w:rStyle w:val="aff9"/>
                <w:noProof/>
                <w:sz w:val="24"/>
                <w:szCs w:val="24"/>
              </w:rPr>
              <w:t>10.1</w:t>
            </w:r>
            <w:r w:rsidRPr="00EB6899">
              <w:rPr>
                <w:rStyle w:val="aff9"/>
                <w:noProof/>
                <w:sz w:val="24"/>
                <w:szCs w:val="24"/>
              </w:rPr>
              <w:t>项目概况</w:t>
            </w:r>
            <w:r w:rsidRPr="00EB6899">
              <w:rPr>
                <w:rFonts w:ascii="Times New Roman" w:hAnsi="Times New Roman" w:cs="Times New Roman"/>
                <w:noProof/>
                <w:sz w:val="24"/>
                <w:szCs w:val="24"/>
              </w:rPr>
              <w:tab/>
            </w:r>
            <w:r w:rsidRPr="00EB6899">
              <w:rPr>
                <w:rFonts w:ascii="Times New Roman" w:hAnsi="Times New Roman" w:cs="Times New Roman"/>
                <w:noProof/>
                <w:sz w:val="24"/>
                <w:szCs w:val="24"/>
              </w:rPr>
              <w:fldChar w:fldCharType="begin"/>
            </w:r>
            <w:r w:rsidRPr="00EB6899">
              <w:rPr>
                <w:rFonts w:ascii="Times New Roman" w:hAnsi="Times New Roman" w:cs="Times New Roman"/>
                <w:noProof/>
                <w:sz w:val="24"/>
                <w:szCs w:val="24"/>
              </w:rPr>
              <w:instrText xml:space="preserve"> PAGEREF _Toc220680574 \h </w:instrText>
            </w:r>
            <w:r w:rsidRPr="00EB6899">
              <w:rPr>
                <w:rFonts w:ascii="Times New Roman" w:hAnsi="Times New Roman" w:cs="Times New Roman"/>
                <w:noProof/>
                <w:sz w:val="24"/>
                <w:szCs w:val="24"/>
              </w:rPr>
            </w:r>
            <w:r w:rsidRPr="00EB6899">
              <w:rPr>
                <w:rFonts w:ascii="Times New Roman" w:hAnsi="Times New Roman" w:cs="Times New Roman"/>
                <w:noProof/>
                <w:sz w:val="24"/>
                <w:szCs w:val="24"/>
              </w:rPr>
              <w:fldChar w:fldCharType="separate"/>
            </w:r>
            <w:r w:rsidR="00462C44">
              <w:rPr>
                <w:rFonts w:ascii="Times New Roman" w:hAnsi="Times New Roman" w:cs="Times New Roman"/>
                <w:noProof/>
                <w:sz w:val="24"/>
                <w:szCs w:val="24"/>
              </w:rPr>
              <w:t>198</w:t>
            </w:r>
            <w:r w:rsidRPr="00EB6899">
              <w:rPr>
                <w:rFonts w:ascii="Times New Roman" w:hAnsi="Times New Roman" w:cs="Times New Roman"/>
                <w:noProof/>
                <w:sz w:val="24"/>
                <w:szCs w:val="24"/>
              </w:rPr>
              <w:fldChar w:fldCharType="end"/>
            </w:r>
          </w:hyperlink>
        </w:p>
        <w:p w14:paraId="3669730A" w14:textId="2792E667" w:rsidR="00EB6899" w:rsidRPr="00EB6899" w:rsidRDefault="00EB6899" w:rsidP="00EB6899">
          <w:pPr>
            <w:pStyle w:val="TOC2"/>
            <w:tabs>
              <w:tab w:val="right" w:leader="dot" w:pos="8834"/>
            </w:tabs>
            <w:spacing w:line="360" w:lineRule="auto"/>
            <w:ind w:left="0"/>
            <w:jc w:val="both"/>
            <w:rPr>
              <w:rFonts w:ascii="Times New Roman" w:eastAsiaTheme="minorEastAsia" w:hAnsi="Times New Roman" w:cs="Times New Roman"/>
              <w:smallCaps w:val="0"/>
              <w:noProof/>
              <w:sz w:val="24"/>
              <w:szCs w:val="24"/>
              <w14:ligatures w14:val="standardContextual"/>
            </w:rPr>
          </w:pPr>
          <w:hyperlink w:anchor="_Toc220680575" w:history="1">
            <w:r w:rsidRPr="00EB6899">
              <w:rPr>
                <w:rStyle w:val="aff9"/>
                <w:noProof/>
                <w:sz w:val="24"/>
                <w:szCs w:val="24"/>
              </w:rPr>
              <w:t>10.2</w:t>
            </w:r>
            <w:r w:rsidRPr="00EB6899">
              <w:rPr>
                <w:rStyle w:val="aff9"/>
                <w:noProof/>
                <w:sz w:val="24"/>
                <w:szCs w:val="24"/>
              </w:rPr>
              <w:t>产业政策</w:t>
            </w:r>
            <w:r w:rsidRPr="00EB6899">
              <w:rPr>
                <w:rFonts w:ascii="Times New Roman" w:hAnsi="Times New Roman" w:cs="Times New Roman"/>
                <w:noProof/>
                <w:sz w:val="24"/>
                <w:szCs w:val="24"/>
              </w:rPr>
              <w:tab/>
            </w:r>
            <w:r w:rsidRPr="00EB6899">
              <w:rPr>
                <w:rFonts w:ascii="Times New Roman" w:hAnsi="Times New Roman" w:cs="Times New Roman"/>
                <w:noProof/>
                <w:sz w:val="24"/>
                <w:szCs w:val="24"/>
              </w:rPr>
              <w:fldChar w:fldCharType="begin"/>
            </w:r>
            <w:r w:rsidRPr="00EB6899">
              <w:rPr>
                <w:rFonts w:ascii="Times New Roman" w:hAnsi="Times New Roman" w:cs="Times New Roman"/>
                <w:noProof/>
                <w:sz w:val="24"/>
                <w:szCs w:val="24"/>
              </w:rPr>
              <w:instrText xml:space="preserve"> PAGEREF _Toc220680575 \h </w:instrText>
            </w:r>
            <w:r w:rsidRPr="00EB6899">
              <w:rPr>
                <w:rFonts w:ascii="Times New Roman" w:hAnsi="Times New Roman" w:cs="Times New Roman"/>
                <w:noProof/>
                <w:sz w:val="24"/>
                <w:szCs w:val="24"/>
              </w:rPr>
            </w:r>
            <w:r w:rsidRPr="00EB6899">
              <w:rPr>
                <w:rFonts w:ascii="Times New Roman" w:hAnsi="Times New Roman" w:cs="Times New Roman"/>
                <w:noProof/>
                <w:sz w:val="24"/>
                <w:szCs w:val="24"/>
              </w:rPr>
              <w:fldChar w:fldCharType="separate"/>
            </w:r>
            <w:r w:rsidR="00462C44">
              <w:rPr>
                <w:rFonts w:ascii="Times New Roman" w:hAnsi="Times New Roman" w:cs="Times New Roman"/>
                <w:noProof/>
                <w:sz w:val="24"/>
                <w:szCs w:val="24"/>
              </w:rPr>
              <w:t>198</w:t>
            </w:r>
            <w:r w:rsidRPr="00EB6899">
              <w:rPr>
                <w:rFonts w:ascii="Times New Roman" w:hAnsi="Times New Roman" w:cs="Times New Roman"/>
                <w:noProof/>
                <w:sz w:val="24"/>
                <w:szCs w:val="24"/>
              </w:rPr>
              <w:fldChar w:fldCharType="end"/>
            </w:r>
          </w:hyperlink>
        </w:p>
        <w:p w14:paraId="066F1D55" w14:textId="5CC0ED2D" w:rsidR="00EB6899" w:rsidRPr="00EB6899" w:rsidRDefault="00EB6899" w:rsidP="00EB6899">
          <w:pPr>
            <w:pStyle w:val="TOC2"/>
            <w:tabs>
              <w:tab w:val="right" w:leader="dot" w:pos="8834"/>
            </w:tabs>
            <w:spacing w:line="360" w:lineRule="auto"/>
            <w:ind w:left="0"/>
            <w:jc w:val="both"/>
            <w:rPr>
              <w:rFonts w:ascii="Times New Roman" w:eastAsiaTheme="minorEastAsia" w:hAnsi="Times New Roman" w:cs="Times New Roman"/>
              <w:smallCaps w:val="0"/>
              <w:noProof/>
              <w:sz w:val="24"/>
              <w:szCs w:val="24"/>
              <w14:ligatures w14:val="standardContextual"/>
            </w:rPr>
          </w:pPr>
          <w:hyperlink w:anchor="_Toc220680576" w:history="1">
            <w:r w:rsidRPr="00EB6899">
              <w:rPr>
                <w:rStyle w:val="aff9"/>
                <w:noProof/>
                <w:sz w:val="24"/>
                <w:szCs w:val="24"/>
              </w:rPr>
              <w:t>10.3</w:t>
            </w:r>
            <w:r w:rsidRPr="00EB6899">
              <w:rPr>
                <w:rStyle w:val="aff9"/>
                <w:noProof/>
                <w:sz w:val="24"/>
                <w:szCs w:val="24"/>
              </w:rPr>
              <w:t>环境质量现状</w:t>
            </w:r>
            <w:r w:rsidRPr="00EB6899">
              <w:rPr>
                <w:rFonts w:ascii="Times New Roman" w:hAnsi="Times New Roman" w:cs="Times New Roman"/>
                <w:noProof/>
                <w:sz w:val="24"/>
                <w:szCs w:val="24"/>
              </w:rPr>
              <w:tab/>
            </w:r>
            <w:r w:rsidRPr="00EB6899">
              <w:rPr>
                <w:rFonts w:ascii="Times New Roman" w:hAnsi="Times New Roman" w:cs="Times New Roman"/>
                <w:noProof/>
                <w:sz w:val="24"/>
                <w:szCs w:val="24"/>
              </w:rPr>
              <w:fldChar w:fldCharType="begin"/>
            </w:r>
            <w:r w:rsidRPr="00EB6899">
              <w:rPr>
                <w:rFonts w:ascii="Times New Roman" w:hAnsi="Times New Roman" w:cs="Times New Roman"/>
                <w:noProof/>
                <w:sz w:val="24"/>
                <w:szCs w:val="24"/>
              </w:rPr>
              <w:instrText xml:space="preserve"> PAGEREF _Toc220680576 \h </w:instrText>
            </w:r>
            <w:r w:rsidRPr="00EB6899">
              <w:rPr>
                <w:rFonts w:ascii="Times New Roman" w:hAnsi="Times New Roman" w:cs="Times New Roman"/>
                <w:noProof/>
                <w:sz w:val="24"/>
                <w:szCs w:val="24"/>
              </w:rPr>
            </w:r>
            <w:r w:rsidRPr="00EB6899">
              <w:rPr>
                <w:rFonts w:ascii="Times New Roman" w:hAnsi="Times New Roman" w:cs="Times New Roman"/>
                <w:noProof/>
                <w:sz w:val="24"/>
                <w:szCs w:val="24"/>
              </w:rPr>
              <w:fldChar w:fldCharType="separate"/>
            </w:r>
            <w:r w:rsidR="00462C44">
              <w:rPr>
                <w:rFonts w:ascii="Times New Roman" w:hAnsi="Times New Roman" w:cs="Times New Roman"/>
                <w:noProof/>
                <w:sz w:val="24"/>
                <w:szCs w:val="24"/>
              </w:rPr>
              <w:t>198</w:t>
            </w:r>
            <w:r w:rsidRPr="00EB6899">
              <w:rPr>
                <w:rFonts w:ascii="Times New Roman" w:hAnsi="Times New Roman" w:cs="Times New Roman"/>
                <w:noProof/>
                <w:sz w:val="24"/>
                <w:szCs w:val="24"/>
              </w:rPr>
              <w:fldChar w:fldCharType="end"/>
            </w:r>
          </w:hyperlink>
        </w:p>
        <w:p w14:paraId="6FC4F010" w14:textId="552DD810" w:rsidR="00EB6899" w:rsidRPr="00EB6899" w:rsidRDefault="00EB6899" w:rsidP="00EB6899">
          <w:pPr>
            <w:pStyle w:val="TOC2"/>
            <w:tabs>
              <w:tab w:val="right" w:leader="dot" w:pos="8834"/>
            </w:tabs>
            <w:spacing w:line="360" w:lineRule="auto"/>
            <w:ind w:left="0"/>
            <w:jc w:val="both"/>
            <w:rPr>
              <w:rFonts w:ascii="Times New Roman" w:eastAsiaTheme="minorEastAsia" w:hAnsi="Times New Roman" w:cs="Times New Roman"/>
              <w:smallCaps w:val="0"/>
              <w:noProof/>
              <w:sz w:val="24"/>
              <w:szCs w:val="24"/>
              <w14:ligatures w14:val="standardContextual"/>
            </w:rPr>
          </w:pPr>
          <w:hyperlink w:anchor="_Toc220680577" w:history="1">
            <w:r w:rsidRPr="00EB6899">
              <w:rPr>
                <w:rStyle w:val="aff9"/>
                <w:noProof/>
                <w:sz w:val="24"/>
                <w:szCs w:val="24"/>
              </w:rPr>
              <w:t>10.4</w:t>
            </w:r>
            <w:r w:rsidRPr="00EB6899">
              <w:rPr>
                <w:rStyle w:val="aff9"/>
                <w:noProof/>
                <w:sz w:val="24"/>
                <w:szCs w:val="24"/>
              </w:rPr>
              <w:t>主要污染防治措施与环境影响结论</w:t>
            </w:r>
            <w:r w:rsidRPr="00EB6899">
              <w:rPr>
                <w:rFonts w:ascii="Times New Roman" w:hAnsi="Times New Roman" w:cs="Times New Roman"/>
                <w:noProof/>
                <w:sz w:val="24"/>
                <w:szCs w:val="24"/>
              </w:rPr>
              <w:tab/>
            </w:r>
            <w:r w:rsidRPr="00EB6899">
              <w:rPr>
                <w:rFonts w:ascii="Times New Roman" w:hAnsi="Times New Roman" w:cs="Times New Roman"/>
                <w:noProof/>
                <w:sz w:val="24"/>
                <w:szCs w:val="24"/>
              </w:rPr>
              <w:fldChar w:fldCharType="begin"/>
            </w:r>
            <w:r w:rsidRPr="00EB6899">
              <w:rPr>
                <w:rFonts w:ascii="Times New Roman" w:hAnsi="Times New Roman" w:cs="Times New Roman"/>
                <w:noProof/>
                <w:sz w:val="24"/>
                <w:szCs w:val="24"/>
              </w:rPr>
              <w:instrText xml:space="preserve"> PAGEREF _Toc220680577 \h </w:instrText>
            </w:r>
            <w:r w:rsidRPr="00EB6899">
              <w:rPr>
                <w:rFonts w:ascii="Times New Roman" w:hAnsi="Times New Roman" w:cs="Times New Roman"/>
                <w:noProof/>
                <w:sz w:val="24"/>
                <w:szCs w:val="24"/>
              </w:rPr>
            </w:r>
            <w:r w:rsidRPr="00EB6899">
              <w:rPr>
                <w:rFonts w:ascii="Times New Roman" w:hAnsi="Times New Roman" w:cs="Times New Roman"/>
                <w:noProof/>
                <w:sz w:val="24"/>
                <w:szCs w:val="24"/>
              </w:rPr>
              <w:fldChar w:fldCharType="separate"/>
            </w:r>
            <w:r w:rsidR="00462C44">
              <w:rPr>
                <w:rFonts w:ascii="Times New Roman" w:hAnsi="Times New Roman" w:cs="Times New Roman"/>
                <w:noProof/>
                <w:sz w:val="24"/>
                <w:szCs w:val="24"/>
              </w:rPr>
              <w:t>199</w:t>
            </w:r>
            <w:r w:rsidRPr="00EB6899">
              <w:rPr>
                <w:rFonts w:ascii="Times New Roman" w:hAnsi="Times New Roman" w:cs="Times New Roman"/>
                <w:noProof/>
                <w:sz w:val="24"/>
                <w:szCs w:val="24"/>
              </w:rPr>
              <w:fldChar w:fldCharType="end"/>
            </w:r>
          </w:hyperlink>
        </w:p>
        <w:p w14:paraId="11B7A7D0" w14:textId="6AFC0EC8" w:rsidR="00EB6899" w:rsidRPr="00EB6899" w:rsidRDefault="00EB6899" w:rsidP="00EB6899">
          <w:pPr>
            <w:pStyle w:val="TOC2"/>
            <w:tabs>
              <w:tab w:val="right" w:leader="dot" w:pos="8834"/>
            </w:tabs>
            <w:spacing w:line="360" w:lineRule="auto"/>
            <w:ind w:left="0"/>
            <w:jc w:val="both"/>
            <w:rPr>
              <w:rFonts w:ascii="Times New Roman" w:eastAsiaTheme="minorEastAsia" w:hAnsi="Times New Roman" w:cs="Times New Roman"/>
              <w:smallCaps w:val="0"/>
              <w:noProof/>
              <w:sz w:val="24"/>
              <w:szCs w:val="24"/>
              <w14:ligatures w14:val="standardContextual"/>
            </w:rPr>
          </w:pPr>
          <w:hyperlink w:anchor="_Toc220680583" w:history="1">
            <w:r w:rsidRPr="00EB6899">
              <w:rPr>
                <w:rStyle w:val="aff9"/>
                <w:noProof/>
                <w:sz w:val="24"/>
                <w:szCs w:val="24"/>
              </w:rPr>
              <w:t>10.5</w:t>
            </w:r>
            <w:r w:rsidRPr="00EB6899">
              <w:rPr>
                <w:rStyle w:val="aff9"/>
                <w:noProof/>
                <w:sz w:val="24"/>
                <w:szCs w:val="24"/>
              </w:rPr>
              <w:t>公众意见采纳情况说明</w:t>
            </w:r>
            <w:r w:rsidRPr="00EB6899">
              <w:rPr>
                <w:rFonts w:ascii="Times New Roman" w:hAnsi="Times New Roman" w:cs="Times New Roman"/>
                <w:noProof/>
                <w:sz w:val="24"/>
                <w:szCs w:val="24"/>
              </w:rPr>
              <w:tab/>
            </w:r>
            <w:r w:rsidRPr="00EB6899">
              <w:rPr>
                <w:rFonts w:ascii="Times New Roman" w:hAnsi="Times New Roman" w:cs="Times New Roman"/>
                <w:noProof/>
                <w:sz w:val="24"/>
                <w:szCs w:val="24"/>
              </w:rPr>
              <w:fldChar w:fldCharType="begin"/>
            </w:r>
            <w:r w:rsidRPr="00EB6899">
              <w:rPr>
                <w:rFonts w:ascii="Times New Roman" w:hAnsi="Times New Roman" w:cs="Times New Roman"/>
                <w:noProof/>
                <w:sz w:val="24"/>
                <w:szCs w:val="24"/>
              </w:rPr>
              <w:instrText xml:space="preserve"> PAGEREF _Toc220680583 \h </w:instrText>
            </w:r>
            <w:r w:rsidRPr="00EB6899">
              <w:rPr>
                <w:rFonts w:ascii="Times New Roman" w:hAnsi="Times New Roman" w:cs="Times New Roman"/>
                <w:noProof/>
                <w:sz w:val="24"/>
                <w:szCs w:val="24"/>
              </w:rPr>
            </w:r>
            <w:r w:rsidRPr="00EB6899">
              <w:rPr>
                <w:rFonts w:ascii="Times New Roman" w:hAnsi="Times New Roman" w:cs="Times New Roman"/>
                <w:noProof/>
                <w:sz w:val="24"/>
                <w:szCs w:val="24"/>
              </w:rPr>
              <w:fldChar w:fldCharType="separate"/>
            </w:r>
            <w:r w:rsidR="00462C44">
              <w:rPr>
                <w:rFonts w:ascii="Times New Roman" w:hAnsi="Times New Roman" w:cs="Times New Roman"/>
                <w:noProof/>
                <w:sz w:val="24"/>
                <w:szCs w:val="24"/>
              </w:rPr>
              <w:t>201</w:t>
            </w:r>
            <w:r w:rsidRPr="00EB6899">
              <w:rPr>
                <w:rFonts w:ascii="Times New Roman" w:hAnsi="Times New Roman" w:cs="Times New Roman"/>
                <w:noProof/>
                <w:sz w:val="24"/>
                <w:szCs w:val="24"/>
              </w:rPr>
              <w:fldChar w:fldCharType="end"/>
            </w:r>
          </w:hyperlink>
        </w:p>
        <w:p w14:paraId="4DADA1DD" w14:textId="38651409" w:rsidR="00EB6899" w:rsidRPr="00EB6899" w:rsidRDefault="00EB6899" w:rsidP="00EB6899">
          <w:pPr>
            <w:pStyle w:val="TOC2"/>
            <w:tabs>
              <w:tab w:val="right" w:leader="dot" w:pos="8834"/>
            </w:tabs>
            <w:spacing w:line="360" w:lineRule="auto"/>
            <w:ind w:left="0"/>
            <w:jc w:val="both"/>
            <w:rPr>
              <w:rFonts w:ascii="Times New Roman" w:eastAsiaTheme="minorEastAsia" w:hAnsi="Times New Roman" w:cs="Times New Roman"/>
              <w:smallCaps w:val="0"/>
              <w:noProof/>
              <w:sz w:val="24"/>
              <w:szCs w:val="24"/>
              <w14:ligatures w14:val="standardContextual"/>
            </w:rPr>
          </w:pPr>
          <w:hyperlink w:anchor="_Toc220680584" w:history="1">
            <w:r w:rsidRPr="00EB6899">
              <w:rPr>
                <w:rStyle w:val="aff9"/>
                <w:noProof/>
                <w:sz w:val="24"/>
                <w:szCs w:val="24"/>
              </w:rPr>
              <w:t xml:space="preserve">10.6 </w:t>
            </w:r>
            <w:r w:rsidRPr="00EB6899">
              <w:rPr>
                <w:rStyle w:val="aff9"/>
                <w:noProof/>
                <w:sz w:val="24"/>
                <w:szCs w:val="24"/>
              </w:rPr>
              <w:t>环境影响经济损益分析结论</w:t>
            </w:r>
            <w:r w:rsidRPr="00EB6899">
              <w:rPr>
                <w:rFonts w:ascii="Times New Roman" w:hAnsi="Times New Roman" w:cs="Times New Roman"/>
                <w:noProof/>
                <w:sz w:val="24"/>
                <w:szCs w:val="24"/>
              </w:rPr>
              <w:tab/>
            </w:r>
            <w:r w:rsidRPr="00EB6899">
              <w:rPr>
                <w:rFonts w:ascii="Times New Roman" w:hAnsi="Times New Roman" w:cs="Times New Roman"/>
                <w:noProof/>
                <w:sz w:val="24"/>
                <w:szCs w:val="24"/>
              </w:rPr>
              <w:fldChar w:fldCharType="begin"/>
            </w:r>
            <w:r w:rsidRPr="00EB6899">
              <w:rPr>
                <w:rFonts w:ascii="Times New Roman" w:hAnsi="Times New Roman" w:cs="Times New Roman"/>
                <w:noProof/>
                <w:sz w:val="24"/>
                <w:szCs w:val="24"/>
              </w:rPr>
              <w:instrText xml:space="preserve"> PAGEREF _Toc220680584 \h </w:instrText>
            </w:r>
            <w:r w:rsidRPr="00EB6899">
              <w:rPr>
                <w:rFonts w:ascii="Times New Roman" w:hAnsi="Times New Roman" w:cs="Times New Roman"/>
                <w:noProof/>
                <w:sz w:val="24"/>
                <w:szCs w:val="24"/>
              </w:rPr>
            </w:r>
            <w:r w:rsidRPr="00EB6899">
              <w:rPr>
                <w:rFonts w:ascii="Times New Roman" w:hAnsi="Times New Roman" w:cs="Times New Roman"/>
                <w:noProof/>
                <w:sz w:val="24"/>
                <w:szCs w:val="24"/>
              </w:rPr>
              <w:fldChar w:fldCharType="separate"/>
            </w:r>
            <w:r w:rsidR="00462C44">
              <w:rPr>
                <w:rFonts w:ascii="Times New Roman" w:hAnsi="Times New Roman" w:cs="Times New Roman"/>
                <w:noProof/>
                <w:sz w:val="24"/>
                <w:szCs w:val="24"/>
              </w:rPr>
              <w:t>201</w:t>
            </w:r>
            <w:r w:rsidRPr="00EB6899">
              <w:rPr>
                <w:rFonts w:ascii="Times New Roman" w:hAnsi="Times New Roman" w:cs="Times New Roman"/>
                <w:noProof/>
                <w:sz w:val="24"/>
                <w:szCs w:val="24"/>
              </w:rPr>
              <w:fldChar w:fldCharType="end"/>
            </w:r>
          </w:hyperlink>
        </w:p>
        <w:p w14:paraId="19278A2F" w14:textId="5FA9CB7F" w:rsidR="00EB6899" w:rsidRPr="00EB6899" w:rsidRDefault="00EB6899" w:rsidP="00EB6899">
          <w:pPr>
            <w:pStyle w:val="TOC2"/>
            <w:tabs>
              <w:tab w:val="right" w:leader="dot" w:pos="8834"/>
            </w:tabs>
            <w:spacing w:line="360" w:lineRule="auto"/>
            <w:ind w:left="0"/>
            <w:jc w:val="both"/>
            <w:rPr>
              <w:rFonts w:ascii="Times New Roman" w:eastAsiaTheme="minorEastAsia" w:hAnsi="Times New Roman" w:cs="Times New Roman"/>
              <w:smallCaps w:val="0"/>
              <w:noProof/>
              <w:sz w:val="24"/>
              <w:szCs w:val="24"/>
              <w14:ligatures w14:val="standardContextual"/>
            </w:rPr>
          </w:pPr>
          <w:hyperlink w:anchor="_Toc220680585" w:history="1">
            <w:r w:rsidRPr="00EB6899">
              <w:rPr>
                <w:rStyle w:val="aff9"/>
                <w:noProof/>
                <w:sz w:val="24"/>
                <w:szCs w:val="24"/>
              </w:rPr>
              <w:t xml:space="preserve">10.7 </w:t>
            </w:r>
            <w:r w:rsidRPr="00EB6899">
              <w:rPr>
                <w:rStyle w:val="aff9"/>
                <w:noProof/>
                <w:sz w:val="24"/>
                <w:szCs w:val="24"/>
              </w:rPr>
              <w:t>环境管理与监测计划结论</w:t>
            </w:r>
            <w:r w:rsidRPr="00EB6899">
              <w:rPr>
                <w:rFonts w:ascii="Times New Roman" w:hAnsi="Times New Roman" w:cs="Times New Roman"/>
                <w:noProof/>
                <w:sz w:val="24"/>
                <w:szCs w:val="24"/>
              </w:rPr>
              <w:tab/>
            </w:r>
            <w:r w:rsidRPr="00EB6899">
              <w:rPr>
                <w:rFonts w:ascii="Times New Roman" w:hAnsi="Times New Roman" w:cs="Times New Roman"/>
                <w:noProof/>
                <w:sz w:val="24"/>
                <w:szCs w:val="24"/>
              </w:rPr>
              <w:fldChar w:fldCharType="begin"/>
            </w:r>
            <w:r w:rsidRPr="00EB6899">
              <w:rPr>
                <w:rFonts w:ascii="Times New Roman" w:hAnsi="Times New Roman" w:cs="Times New Roman"/>
                <w:noProof/>
                <w:sz w:val="24"/>
                <w:szCs w:val="24"/>
              </w:rPr>
              <w:instrText xml:space="preserve"> PAGEREF _Toc220680585 \h </w:instrText>
            </w:r>
            <w:r w:rsidRPr="00EB6899">
              <w:rPr>
                <w:rFonts w:ascii="Times New Roman" w:hAnsi="Times New Roman" w:cs="Times New Roman"/>
                <w:noProof/>
                <w:sz w:val="24"/>
                <w:szCs w:val="24"/>
              </w:rPr>
            </w:r>
            <w:r w:rsidRPr="00EB6899">
              <w:rPr>
                <w:rFonts w:ascii="Times New Roman" w:hAnsi="Times New Roman" w:cs="Times New Roman"/>
                <w:noProof/>
                <w:sz w:val="24"/>
                <w:szCs w:val="24"/>
              </w:rPr>
              <w:fldChar w:fldCharType="separate"/>
            </w:r>
            <w:r w:rsidR="00462C44">
              <w:rPr>
                <w:rFonts w:ascii="Times New Roman" w:hAnsi="Times New Roman" w:cs="Times New Roman"/>
                <w:noProof/>
                <w:sz w:val="24"/>
                <w:szCs w:val="24"/>
              </w:rPr>
              <w:t>201</w:t>
            </w:r>
            <w:r w:rsidRPr="00EB6899">
              <w:rPr>
                <w:rFonts w:ascii="Times New Roman" w:hAnsi="Times New Roman" w:cs="Times New Roman"/>
                <w:noProof/>
                <w:sz w:val="24"/>
                <w:szCs w:val="24"/>
              </w:rPr>
              <w:fldChar w:fldCharType="end"/>
            </w:r>
          </w:hyperlink>
        </w:p>
        <w:p w14:paraId="5A6E9650" w14:textId="6B376E16" w:rsidR="00606029" w:rsidRDefault="00EB6899" w:rsidP="0080700E">
          <w:pPr>
            <w:pStyle w:val="TOC2"/>
            <w:tabs>
              <w:tab w:val="right" w:leader="dot" w:pos="8834"/>
            </w:tabs>
            <w:spacing w:line="360" w:lineRule="auto"/>
            <w:ind w:left="0"/>
            <w:jc w:val="both"/>
          </w:pPr>
          <w:hyperlink w:anchor="_Toc220680586" w:history="1">
            <w:r w:rsidRPr="00EB6899">
              <w:rPr>
                <w:rStyle w:val="aff9"/>
                <w:noProof/>
                <w:sz w:val="24"/>
                <w:szCs w:val="24"/>
              </w:rPr>
              <w:t>10.8</w:t>
            </w:r>
            <w:r w:rsidRPr="00EB6899">
              <w:rPr>
                <w:rStyle w:val="aff9"/>
                <w:noProof/>
                <w:sz w:val="24"/>
                <w:szCs w:val="24"/>
              </w:rPr>
              <w:t>环境影响结论</w:t>
            </w:r>
            <w:r w:rsidRPr="00EB6899">
              <w:rPr>
                <w:rFonts w:ascii="Times New Roman" w:hAnsi="Times New Roman" w:cs="Times New Roman"/>
                <w:noProof/>
                <w:sz w:val="24"/>
                <w:szCs w:val="24"/>
              </w:rPr>
              <w:tab/>
            </w:r>
            <w:r w:rsidRPr="00EB6899">
              <w:rPr>
                <w:rFonts w:ascii="Times New Roman" w:hAnsi="Times New Roman" w:cs="Times New Roman"/>
                <w:noProof/>
                <w:sz w:val="24"/>
                <w:szCs w:val="24"/>
              </w:rPr>
              <w:fldChar w:fldCharType="begin"/>
            </w:r>
            <w:r w:rsidRPr="00EB6899">
              <w:rPr>
                <w:rFonts w:ascii="Times New Roman" w:hAnsi="Times New Roman" w:cs="Times New Roman"/>
                <w:noProof/>
                <w:sz w:val="24"/>
                <w:szCs w:val="24"/>
              </w:rPr>
              <w:instrText xml:space="preserve"> PAGEREF _Toc220680586 \h </w:instrText>
            </w:r>
            <w:r w:rsidRPr="00EB6899">
              <w:rPr>
                <w:rFonts w:ascii="Times New Roman" w:hAnsi="Times New Roman" w:cs="Times New Roman"/>
                <w:noProof/>
                <w:sz w:val="24"/>
                <w:szCs w:val="24"/>
              </w:rPr>
            </w:r>
            <w:r w:rsidRPr="00EB6899">
              <w:rPr>
                <w:rFonts w:ascii="Times New Roman" w:hAnsi="Times New Roman" w:cs="Times New Roman"/>
                <w:noProof/>
                <w:sz w:val="24"/>
                <w:szCs w:val="24"/>
              </w:rPr>
              <w:fldChar w:fldCharType="separate"/>
            </w:r>
            <w:r w:rsidR="00462C44">
              <w:rPr>
                <w:rFonts w:ascii="Times New Roman" w:hAnsi="Times New Roman" w:cs="Times New Roman"/>
                <w:noProof/>
                <w:sz w:val="24"/>
                <w:szCs w:val="24"/>
              </w:rPr>
              <w:t>202</w:t>
            </w:r>
            <w:r w:rsidRPr="00EB6899">
              <w:rPr>
                <w:rFonts w:ascii="Times New Roman" w:hAnsi="Times New Roman" w:cs="Times New Roman"/>
                <w:noProof/>
                <w:sz w:val="24"/>
                <w:szCs w:val="24"/>
              </w:rPr>
              <w:fldChar w:fldCharType="end"/>
            </w:r>
          </w:hyperlink>
          <w:r w:rsidR="00EA5B92" w:rsidRPr="00376259">
            <w:rPr>
              <w:rFonts w:asciiTheme="majorBidi" w:hAnsiTheme="majorBidi" w:cstheme="majorBidi"/>
              <w:sz w:val="24"/>
              <w:szCs w:val="24"/>
            </w:rPr>
            <w:fldChar w:fldCharType="end"/>
          </w:r>
        </w:p>
      </w:sdtContent>
    </w:sdt>
    <w:p w14:paraId="6D19FEEE" w14:textId="3BF030A6" w:rsidR="00606029" w:rsidRDefault="00EA5B92" w:rsidP="007E0939">
      <w:pPr>
        <w:jc w:val="center"/>
        <w:rPr>
          <w:b/>
          <w:bCs/>
          <w:iCs/>
          <w:sz w:val="24"/>
        </w:rPr>
      </w:pPr>
      <w:r>
        <w:rPr>
          <w:b/>
          <w:bCs/>
          <w:iCs/>
          <w:sz w:val="24"/>
        </w:rPr>
        <w:br w:type="page"/>
      </w:r>
    </w:p>
    <w:p w14:paraId="09C537DB" w14:textId="77777777" w:rsidR="00606029" w:rsidRDefault="00606029">
      <w:pPr>
        <w:pStyle w:val="1"/>
        <w:jc w:val="center"/>
        <w:rPr>
          <w:color w:val="FF0000"/>
        </w:rPr>
        <w:sectPr w:rsidR="00606029">
          <w:headerReference w:type="default" r:id="rId13"/>
          <w:footerReference w:type="default" r:id="rId14"/>
          <w:pgSz w:w="11905" w:h="16838"/>
          <w:pgMar w:top="1417" w:right="1474" w:bottom="1417" w:left="1474" w:header="850" w:footer="850" w:gutter="113"/>
          <w:pgNumType w:fmt="upperRoman" w:start="1"/>
          <w:cols w:space="0"/>
          <w:docGrid w:linePitch="312"/>
        </w:sectPr>
      </w:pPr>
      <w:bookmarkStart w:id="0" w:name="_Toc32087"/>
      <w:bookmarkStart w:id="1" w:name="_Toc25403"/>
    </w:p>
    <w:p w14:paraId="6DFC8E1E" w14:textId="77777777" w:rsidR="00606029" w:rsidRPr="004C47D8" w:rsidRDefault="00EA5B92">
      <w:pPr>
        <w:pStyle w:val="1"/>
        <w:jc w:val="center"/>
      </w:pPr>
      <w:bookmarkStart w:id="2" w:name="_Toc220680437"/>
      <w:r w:rsidRPr="004C47D8">
        <w:lastRenderedPageBreak/>
        <w:t>概</w:t>
      </w:r>
      <w:r w:rsidRPr="004C47D8">
        <w:t xml:space="preserve"> </w:t>
      </w:r>
      <w:r w:rsidRPr="004C47D8">
        <w:t>述</w:t>
      </w:r>
      <w:bookmarkEnd w:id="0"/>
      <w:bookmarkEnd w:id="1"/>
      <w:bookmarkEnd w:id="2"/>
    </w:p>
    <w:p w14:paraId="0CE512A2" w14:textId="77777777" w:rsidR="00606029" w:rsidRPr="004C47D8" w:rsidRDefault="00EA5B92" w:rsidP="00ED0795">
      <w:pPr>
        <w:pStyle w:val="0"/>
        <w:ind w:firstLine="482"/>
        <w:rPr>
          <w:rFonts w:ascii="Times New Roman" w:hAnsi="Times New Roman"/>
          <w:b/>
          <w:bCs/>
        </w:rPr>
      </w:pPr>
      <w:bookmarkStart w:id="3" w:name="_Toc1729"/>
      <w:r w:rsidRPr="004C47D8">
        <w:rPr>
          <w:rFonts w:ascii="Times New Roman" w:hAnsi="Times New Roman"/>
          <w:b/>
          <w:bCs/>
        </w:rPr>
        <w:t>1</w:t>
      </w:r>
      <w:r w:rsidRPr="004C47D8">
        <w:rPr>
          <w:rFonts w:ascii="Times New Roman" w:hAnsi="Times New Roman"/>
          <w:b/>
          <w:bCs/>
        </w:rPr>
        <w:t>、项目由来</w:t>
      </w:r>
      <w:bookmarkEnd w:id="3"/>
    </w:p>
    <w:p w14:paraId="4B087C89" w14:textId="697BA34E" w:rsidR="00606029" w:rsidRPr="004C47D8" w:rsidRDefault="00EA5B92" w:rsidP="00241DB6">
      <w:pPr>
        <w:pStyle w:val="affffff4"/>
      </w:pPr>
      <w:r w:rsidRPr="004C47D8">
        <w:t>随着</w:t>
      </w:r>
      <w:r w:rsidR="009E7DF7" w:rsidRPr="004C47D8">
        <w:t>大庆市</w:t>
      </w:r>
      <w:r w:rsidRPr="004C47D8">
        <w:t>经济和城市建设的快速发展，城区规模不断扩大，生活垃圾产量也随着迅速增加，它不仅对城市环境造成巨大压力，而且还限制了城市经济和居民生活的可持续发展，生活垃圾焚烧发电不仅减少了生活垃圾对环境的影响，而且能够提供清洁的电力资源。因此，</w:t>
      </w:r>
      <w:r w:rsidR="001C52F7" w:rsidRPr="004C47D8">
        <w:t>大庆城控电力</w:t>
      </w:r>
      <w:r w:rsidRPr="004C47D8">
        <w:t>有限公司在</w:t>
      </w:r>
      <w:r w:rsidRPr="004C47D8">
        <w:t>20</w:t>
      </w:r>
      <w:r w:rsidR="001C52F7" w:rsidRPr="004C47D8">
        <w:t>21</w:t>
      </w:r>
      <w:r w:rsidRPr="004C47D8">
        <w:t>年投资</w:t>
      </w:r>
      <w:r w:rsidR="001C52F7" w:rsidRPr="004C47D8">
        <w:t>79981</w:t>
      </w:r>
      <w:r w:rsidR="001C52F7" w:rsidRPr="004C47D8">
        <w:t>万</w:t>
      </w:r>
      <w:r w:rsidRPr="004C47D8">
        <w:t>元在</w:t>
      </w:r>
      <w:r w:rsidR="001C52F7" w:rsidRPr="004C47D8">
        <w:t>大庆市龙凤区红旗二村南侧（原</w:t>
      </w:r>
      <w:r w:rsidR="000E17CA" w:rsidRPr="004C47D8">
        <w:t>大庆市生活垃圾综合处理厂</w:t>
      </w:r>
      <w:r w:rsidR="001C52F7" w:rsidRPr="004C47D8">
        <w:t>）</w:t>
      </w:r>
      <w:r w:rsidRPr="004C47D8">
        <w:t>建设了</w:t>
      </w:r>
      <w:r w:rsidR="001C52F7" w:rsidRPr="004C47D8">
        <w:rPr>
          <w:szCs w:val="22"/>
        </w:rPr>
        <w:t>大庆市生活垃圾焚烧发电项目</w:t>
      </w:r>
      <w:r w:rsidRPr="004C47D8">
        <w:t>，占地面积为</w:t>
      </w:r>
      <w:r w:rsidR="001C52F7" w:rsidRPr="004C47D8">
        <w:t>99051.05m</w:t>
      </w:r>
      <w:r w:rsidR="001C52F7" w:rsidRPr="004C47D8">
        <w:rPr>
          <w:vertAlign w:val="superscript"/>
        </w:rPr>
        <w:t>2</w:t>
      </w:r>
      <w:r w:rsidRPr="004C47D8">
        <w:t>，服务范围包括</w:t>
      </w:r>
      <w:r w:rsidR="001C52F7" w:rsidRPr="004C47D8">
        <w:t>服务范围为萨尔图区、让胡路区、龙凤区、红岗区、大同区、经开区、高新区、杜尔伯特县南部（江湾乡、胡吉吐莫镇、敖林西伯乡、巴彦查干乡、他拉哈镇、腰新乡）</w:t>
      </w:r>
      <w:r w:rsidR="00241DB6" w:rsidRPr="004C47D8">
        <w:t>的</w:t>
      </w:r>
      <w:r w:rsidRPr="004C47D8">
        <w:t>生活垃圾，建设规模为</w:t>
      </w:r>
      <w:r w:rsidR="001C52F7" w:rsidRPr="004C47D8">
        <w:t>建设</w:t>
      </w:r>
      <w:r w:rsidR="001C52F7" w:rsidRPr="004C47D8">
        <w:t>3×500t/d</w:t>
      </w:r>
      <w:r w:rsidR="001C52F7" w:rsidRPr="004C47D8">
        <w:t>机械炉排炉（机械炉排型焚烧炉），垃圾焚烧量</w:t>
      </w:r>
      <w:r w:rsidR="001C52F7" w:rsidRPr="004C47D8">
        <w:t>54.75</w:t>
      </w:r>
      <w:r w:rsidR="001C52F7" w:rsidRPr="004C47D8">
        <w:t>万吨</w:t>
      </w:r>
      <w:r w:rsidR="001C52F7" w:rsidRPr="004C47D8">
        <w:t>/</w:t>
      </w:r>
      <w:r w:rsidR="001C52F7" w:rsidRPr="004C47D8">
        <w:t>年</w:t>
      </w:r>
      <w:r w:rsidRPr="004C47D8">
        <w:t>。该项目环评于</w:t>
      </w:r>
      <w:r w:rsidR="001C52F7" w:rsidRPr="004C47D8">
        <w:t>2022</w:t>
      </w:r>
      <w:r w:rsidRPr="004C47D8">
        <w:t>年</w:t>
      </w:r>
      <w:r w:rsidR="001C52F7" w:rsidRPr="004C47D8">
        <w:t>6</w:t>
      </w:r>
      <w:r w:rsidRPr="004C47D8">
        <w:t>月</w:t>
      </w:r>
      <w:r w:rsidR="001C52F7" w:rsidRPr="004C47D8">
        <w:t>2</w:t>
      </w:r>
      <w:r w:rsidRPr="004C47D8">
        <w:t>5</w:t>
      </w:r>
      <w:r w:rsidRPr="004C47D8">
        <w:t>日取得了</w:t>
      </w:r>
      <w:r w:rsidR="001C52F7" w:rsidRPr="004C47D8">
        <w:t>黑龙江</w:t>
      </w:r>
      <w:r w:rsidRPr="004C47D8">
        <w:t>省</w:t>
      </w:r>
      <w:r w:rsidR="00062985" w:rsidRPr="004C47D8">
        <w:t>生态环境</w:t>
      </w:r>
      <w:r w:rsidRPr="004C47D8">
        <w:t>厅《</w:t>
      </w:r>
      <w:bookmarkStart w:id="4" w:name="_Hlk219388670"/>
      <w:r w:rsidRPr="004C47D8">
        <w:t>关于</w:t>
      </w:r>
      <w:bookmarkEnd w:id="4"/>
      <w:r w:rsidR="00062985" w:rsidRPr="004C47D8">
        <w:t>大庆市生活垃圾焚烧发电项目</w:t>
      </w:r>
      <w:r w:rsidRPr="004C47D8">
        <w:t>环境影响报告书的批复》（</w:t>
      </w:r>
      <w:r w:rsidR="00062985" w:rsidRPr="004C47D8">
        <w:t>黑</w:t>
      </w:r>
      <w:r w:rsidRPr="004C47D8">
        <w:t>环审</w:t>
      </w:r>
      <w:r w:rsidRPr="004C47D8">
        <w:t>[20</w:t>
      </w:r>
      <w:r w:rsidR="00062985" w:rsidRPr="004C47D8">
        <w:t>22</w:t>
      </w:r>
      <w:r w:rsidRPr="004C47D8">
        <w:t>]1</w:t>
      </w:r>
      <w:r w:rsidR="00062985" w:rsidRPr="004C47D8">
        <w:t>8</w:t>
      </w:r>
      <w:r w:rsidRPr="004C47D8">
        <w:t>号），于</w:t>
      </w:r>
      <w:r w:rsidR="00062985" w:rsidRPr="004C47D8">
        <w:t>2022</w:t>
      </w:r>
      <w:r w:rsidR="00062985" w:rsidRPr="004C47D8">
        <w:t>年</w:t>
      </w:r>
      <w:r w:rsidR="00062985" w:rsidRPr="004C47D8">
        <w:t>8</w:t>
      </w:r>
      <w:r w:rsidR="00062985" w:rsidRPr="004C47D8">
        <w:t>月开工建设，</w:t>
      </w:r>
      <w:r w:rsidR="00062985" w:rsidRPr="004C47D8">
        <w:t>2023</w:t>
      </w:r>
      <w:r w:rsidR="00062985" w:rsidRPr="004C47D8">
        <w:t>年</w:t>
      </w:r>
      <w:r w:rsidR="00062985" w:rsidRPr="004C47D8">
        <w:t>11</w:t>
      </w:r>
      <w:r w:rsidR="00062985" w:rsidRPr="004C47D8">
        <w:t>月竣工；</w:t>
      </w:r>
      <w:r w:rsidR="00062985" w:rsidRPr="004C47D8">
        <w:t>2024</w:t>
      </w:r>
      <w:r w:rsidR="00062985" w:rsidRPr="004C47D8">
        <w:t>年</w:t>
      </w:r>
      <w:r w:rsidR="00062985" w:rsidRPr="004C47D8">
        <w:t>1</w:t>
      </w:r>
      <w:r w:rsidR="00062985" w:rsidRPr="004C47D8">
        <w:t>月黑龙江冰众环保科技开发有限公司完成了</w:t>
      </w:r>
      <w:bookmarkStart w:id="5" w:name="OLE_LINK2"/>
      <w:r w:rsidR="00062985" w:rsidRPr="004C47D8">
        <w:t>《大庆市生活垃圾焚烧发电项目变更环境影响报告书》</w:t>
      </w:r>
      <w:bookmarkEnd w:id="5"/>
      <w:r w:rsidR="00062985" w:rsidRPr="004C47D8">
        <w:t>，于</w:t>
      </w:r>
      <w:r w:rsidR="00062985" w:rsidRPr="004C47D8">
        <w:t>2024</w:t>
      </w:r>
      <w:r w:rsidR="00062985" w:rsidRPr="004C47D8">
        <w:t>年</w:t>
      </w:r>
      <w:r w:rsidR="00062985" w:rsidRPr="004C47D8">
        <w:t>3</w:t>
      </w:r>
      <w:r w:rsidR="00062985" w:rsidRPr="004C47D8">
        <w:t>月</w:t>
      </w:r>
      <w:r w:rsidR="00062985" w:rsidRPr="004C47D8">
        <w:t>11</w:t>
      </w:r>
      <w:r w:rsidR="00062985" w:rsidRPr="004C47D8">
        <w:t>日取得了黑龙江省生态环境厅</w:t>
      </w:r>
      <w:bookmarkStart w:id="6" w:name="OLE_LINK3"/>
      <w:r w:rsidR="00062985" w:rsidRPr="004C47D8">
        <w:t>《关于大庆市生活垃圾焚烧发电项目变更环境影响报告书的批复》</w:t>
      </w:r>
      <w:r w:rsidR="00241DB6" w:rsidRPr="004C47D8">
        <w:t>（黑环审</w:t>
      </w:r>
      <w:r w:rsidR="00241DB6" w:rsidRPr="004C47D8">
        <w:t>[2024]5</w:t>
      </w:r>
      <w:r w:rsidR="00241DB6" w:rsidRPr="004C47D8">
        <w:t>号）</w:t>
      </w:r>
      <w:bookmarkEnd w:id="6"/>
      <w:r w:rsidR="00062985" w:rsidRPr="004C47D8">
        <w:t>，</w:t>
      </w:r>
      <w:r w:rsidR="00241DB6" w:rsidRPr="004C47D8">
        <w:t>改建规模为</w:t>
      </w:r>
      <w:r w:rsidR="00241DB6" w:rsidRPr="004C47D8">
        <w:t>3×500t/d</w:t>
      </w:r>
      <w:r w:rsidR="00241DB6" w:rsidRPr="004C47D8">
        <w:t>机械炉排炉，配</w:t>
      </w:r>
      <w:r w:rsidR="00241DB6" w:rsidRPr="004C47D8">
        <w:t>2×15MW</w:t>
      </w:r>
      <w:r w:rsidR="00241DB6" w:rsidRPr="004C47D8">
        <w:t>凝汽式汽轮发电机组。该项目</w:t>
      </w:r>
      <w:r w:rsidR="00062985" w:rsidRPr="004C47D8">
        <w:t>于</w:t>
      </w:r>
      <w:r w:rsidR="00062985" w:rsidRPr="004C47D8">
        <w:t>2024</w:t>
      </w:r>
      <w:r w:rsidR="00062985" w:rsidRPr="004C47D8">
        <w:t>年</w:t>
      </w:r>
      <w:r w:rsidR="00062985" w:rsidRPr="004C47D8">
        <w:t>3</w:t>
      </w:r>
      <w:r w:rsidR="00062985" w:rsidRPr="004C47D8">
        <w:t>月全部完成在线系统验收工作，并与监管部门联网</w:t>
      </w:r>
      <w:r w:rsidR="00241DB6" w:rsidRPr="004C47D8">
        <w:t>，</w:t>
      </w:r>
      <w:r w:rsidRPr="004C47D8">
        <w:t>已申领排污许可证，证书编号：</w:t>
      </w:r>
      <w:r w:rsidR="00241DB6" w:rsidRPr="004C47D8">
        <w:t>91230603MA1C2890X6001V</w:t>
      </w:r>
      <w:r w:rsidRPr="004C47D8">
        <w:t>。</w:t>
      </w:r>
    </w:p>
    <w:p w14:paraId="70F8F87F" w14:textId="686050ED" w:rsidR="00606029" w:rsidRPr="004C47D8" w:rsidRDefault="00EA5B92" w:rsidP="007F2033">
      <w:pPr>
        <w:pStyle w:val="affffff4"/>
        <w:rPr>
          <w:szCs w:val="22"/>
        </w:rPr>
      </w:pPr>
      <w:r w:rsidRPr="004C47D8">
        <w:rPr>
          <w:szCs w:val="22"/>
        </w:rPr>
        <w:t>随着</w:t>
      </w:r>
      <w:r w:rsidR="00241DB6" w:rsidRPr="004C47D8">
        <w:rPr>
          <w:szCs w:val="22"/>
        </w:rPr>
        <w:t>大庆</w:t>
      </w:r>
      <w:r w:rsidRPr="004C47D8">
        <w:rPr>
          <w:szCs w:val="22"/>
        </w:rPr>
        <w:t>市生活垃圾焚烧发电厂的建成及运行，原先由</w:t>
      </w:r>
      <w:r w:rsidR="000E17CA" w:rsidRPr="004C47D8">
        <w:rPr>
          <w:szCs w:val="22"/>
        </w:rPr>
        <w:t>大庆市生活垃圾综合处理厂</w:t>
      </w:r>
      <w:r w:rsidRPr="004C47D8">
        <w:rPr>
          <w:szCs w:val="22"/>
        </w:rPr>
        <w:t>负责处理的生活垃圾已逐步转运至焚烧发电厂进行焚烧处理，自</w:t>
      </w:r>
      <w:r w:rsidRPr="004C47D8">
        <w:rPr>
          <w:szCs w:val="22"/>
        </w:rPr>
        <w:t>20</w:t>
      </w:r>
      <w:r w:rsidR="00333BBE" w:rsidRPr="004C47D8">
        <w:rPr>
          <w:szCs w:val="22"/>
        </w:rPr>
        <w:t>23</w:t>
      </w:r>
      <w:r w:rsidRPr="004C47D8">
        <w:rPr>
          <w:szCs w:val="22"/>
        </w:rPr>
        <w:t>年</w:t>
      </w:r>
      <w:r w:rsidR="00333BBE" w:rsidRPr="004C47D8">
        <w:rPr>
          <w:szCs w:val="22"/>
        </w:rPr>
        <w:t>12</w:t>
      </w:r>
      <w:r w:rsidRPr="004C47D8">
        <w:rPr>
          <w:szCs w:val="22"/>
        </w:rPr>
        <w:t>月起，填埋场停止处理生活垃圾，生活垃圾填埋区域已闭库。</w:t>
      </w:r>
      <w:r w:rsidR="004E5FFD" w:rsidRPr="004C47D8">
        <w:rPr>
          <w:szCs w:val="22"/>
        </w:rPr>
        <w:t>大庆城控电力有限公司</w:t>
      </w:r>
      <w:r w:rsidRPr="004C47D8">
        <w:rPr>
          <w:szCs w:val="22"/>
        </w:rPr>
        <w:t>生活垃圾经焚烧后，会产生占垃圾总量约</w:t>
      </w:r>
      <w:r w:rsidRPr="004C47D8">
        <w:rPr>
          <w:szCs w:val="22"/>
        </w:rPr>
        <w:t>3%~5%</w:t>
      </w:r>
      <w:r w:rsidRPr="004C47D8">
        <w:rPr>
          <w:szCs w:val="22"/>
        </w:rPr>
        <w:t>的飞灰，为解决飞灰去向问题，保证</w:t>
      </w:r>
      <w:r w:rsidR="00333BBE" w:rsidRPr="004C47D8">
        <w:rPr>
          <w:szCs w:val="22"/>
        </w:rPr>
        <w:t>大庆</w:t>
      </w:r>
      <w:r w:rsidRPr="004C47D8">
        <w:rPr>
          <w:szCs w:val="22"/>
        </w:rPr>
        <w:t>市</w:t>
      </w:r>
      <w:r w:rsidR="00333BBE" w:rsidRPr="004C47D8">
        <w:rPr>
          <w:szCs w:val="22"/>
        </w:rPr>
        <w:t>城控电力有限公司</w:t>
      </w:r>
      <w:r w:rsidRPr="004C47D8">
        <w:rPr>
          <w:szCs w:val="22"/>
        </w:rPr>
        <w:t>正常运转的需要，</w:t>
      </w:r>
      <w:r w:rsidR="00BE533B" w:rsidRPr="004C47D8">
        <w:rPr>
          <w:szCs w:val="22"/>
        </w:rPr>
        <w:t>大庆城控电力有限公司</w:t>
      </w:r>
      <w:r w:rsidRPr="004C47D8">
        <w:rPr>
          <w:szCs w:val="22"/>
        </w:rPr>
        <w:t>计划实施</w:t>
      </w:r>
      <w:r w:rsidR="00333BBE" w:rsidRPr="004C47D8">
        <w:rPr>
          <w:szCs w:val="22"/>
        </w:rPr>
        <w:t>《大庆市生活垃圾焚烧发电飞灰填埋项目》</w:t>
      </w:r>
      <w:r w:rsidRPr="004C47D8">
        <w:rPr>
          <w:szCs w:val="22"/>
        </w:rPr>
        <w:t>，工程主要建设内容</w:t>
      </w:r>
      <w:r w:rsidR="007F2033" w:rsidRPr="004C47D8">
        <w:rPr>
          <w:szCs w:val="22"/>
        </w:rPr>
        <w:t>为将</w:t>
      </w:r>
      <w:r w:rsidR="007F2033" w:rsidRPr="004C47D8">
        <w:rPr>
          <w:szCs w:val="22"/>
        </w:rPr>
        <w:t>7356m³</w:t>
      </w:r>
      <w:r w:rsidR="007F2033" w:rsidRPr="004C47D8">
        <w:rPr>
          <w:szCs w:val="22"/>
        </w:rPr>
        <w:t>的渗滤液调节池改建为飞灰填埋场</w:t>
      </w:r>
      <w:r w:rsidRPr="004C47D8">
        <w:rPr>
          <w:szCs w:val="22"/>
        </w:rPr>
        <w:t>，满足垃圾焚烧厂</w:t>
      </w:r>
      <w:r w:rsidR="007F2033" w:rsidRPr="004C47D8">
        <w:rPr>
          <w:szCs w:val="22"/>
        </w:rPr>
        <w:t>近</w:t>
      </w:r>
      <w:r w:rsidRPr="004C47D8">
        <w:rPr>
          <w:szCs w:val="22"/>
        </w:rPr>
        <w:t>期运行飞灰填埋要求。</w:t>
      </w:r>
    </w:p>
    <w:p w14:paraId="1A622463" w14:textId="0EF7DA57" w:rsidR="00606029" w:rsidRPr="004C47D8" w:rsidRDefault="00EA5B92">
      <w:pPr>
        <w:pStyle w:val="affffff4"/>
        <w:rPr>
          <w:szCs w:val="22"/>
        </w:rPr>
      </w:pPr>
      <w:r w:rsidRPr="004C47D8">
        <w:rPr>
          <w:szCs w:val="22"/>
        </w:rPr>
        <w:t>根据</w:t>
      </w:r>
      <w:r w:rsidRPr="004C47D8">
        <w:t>《关于</w:t>
      </w:r>
      <w:r w:rsidR="00062985" w:rsidRPr="004C47D8">
        <w:t>大庆市生活垃圾焚烧发电项目</w:t>
      </w:r>
      <w:r w:rsidRPr="004C47D8">
        <w:t>环境影响报告书的批复》（</w:t>
      </w:r>
      <w:r w:rsidR="007F2033" w:rsidRPr="004C47D8">
        <w:t>黑</w:t>
      </w:r>
      <w:r w:rsidRPr="004C47D8">
        <w:t>环审</w:t>
      </w:r>
      <w:r w:rsidRPr="004C47D8">
        <w:t>[20</w:t>
      </w:r>
      <w:r w:rsidR="007F2033" w:rsidRPr="004C47D8">
        <w:t>22</w:t>
      </w:r>
      <w:r w:rsidRPr="004C47D8">
        <w:t>]1</w:t>
      </w:r>
      <w:r w:rsidR="007F2033" w:rsidRPr="004C47D8">
        <w:t>8</w:t>
      </w:r>
      <w:r w:rsidRPr="004C47D8">
        <w:t>号）</w:t>
      </w:r>
      <w:r w:rsidRPr="004C47D8">
        <w:rPr>
          <w:szCs w:val="22"/>
        </w:rPr>
        <w:t>中</w:t>
      </w:r>
      <w:r w:rsidR="00E42487" w:rsidRPr="004C47D8">
        <w:rPr>
          <w:szCs w:val="22"/>
        </w:rPr>
        <w:t>“</w:t>
      </w:r>
      <w:r w:rsidR="00E42487" w:rsidRPr="004C47D8">
        <w:rPr>
          <w:szCs w:val="22"/>
        </w:rPr>
        <w:t>飞灰采用螯合固化工艺处理，符合《危险废物鉴别标准</w:t>
      </w:r>
      <w:r w:rsidR="00E42487" w:rsidRPr="004C47D8">
        <w:rPr>
          <w:szCs w:val="22"/>
        </w:rPr>
        <w:t>-</w:t>
      </w:r>
      <w:r w:rsidR="00E42487" w:rsidRPr="004C47D8">
        <w:rPr>
          <w:szCs w:val="22"/>
        </w:rPr>
        <w:t>浸出毒性鉴别》（</w:t>
      </w:r>
      <w:r w:rsidR="00E42487" w:rsidRPr="004C47D8">
        <w:rPr>
          <w:szCs w:val="22"/>
        </w:rPr>
        <w:t>GB5085.3-2007</w:t>
      </w:r>
      <w:r w:rsidR="00E42487" w:rsidRPr="004C47D8">
        <w:rPr>
          <w:szCs w:val="22"/>
        </w:rPr>
        <w:t>）浸出毒性标准限值要求和《生活垃圾填埋场污染控制标准》</w:t>
      </w:r>
      <w:r w:rsidR="00E42487" w:rsidRPr="004C47D8">
        <w:rPr>
          <w:szCs w:val="22"/>
        </w:rPr>
        <w:lastRenderedPageBreak/>
        <w:t>（</w:t>
      </w:r>
      <w:r w:rsidR="00E42487" w:rsidRPr="004C47D8">
        <w:rPr>
          <w:szCs w:val="22"/>
        </w:rPr>
        <w:t>GB16889-2008</w:t>
      </w:r>
      <w:r w:rsidR="00E42487" w:rsidRPr="004C47D8">
        <w:rPr>
          <w:szCs w:val="22"/>
        </w:rPr>
        <w:t>）要求后填埋场进行处理</w:t>
      </w:r>
      <w:r w:rsidR="00E42487" w:rsidRPr="004C47D8">
        <w:rPr>
          <w:szCs w:val="22"/>
        </w:rPr>
        <w:t>”</w:t>
      </w:r>
      <w:r w:rsidRPr="004C47D8">
        <w:rPr>
          <w:szCs w:val="22"/>
        </w:rPr>
        <w:t>，故本项目只接收</w:t>
      </w:r>
      <w:r w:rsidR="00E42487" w:rsidRPr="004C47D8">
        <w:rPr>
          <w:szCs w:val="22"/>
        </w:rPr>
        <w:t>大庆城控电力有限公司</w:t>
      </w:r>
      <w:r w:rsidRPr="004C47D8">
        <w:rPr>
          <w:szCs w:val="22"/>
        </w:rPr>
        <w:t>满足《生活垃圾填埋场污染控制标准》（</w:t>
      </w:r>
      <w:r w:rsidRPr="004C47D8">
        <w:rPr>
          <w:szCs w:val="22"/>
        </w:rPr>
        <w:t>GB16889-2024</w:t>
      </w:r>
      <w:r w:rsidRPr="004C47D8">
        <w:rPr>
          <w:szCs w:val="22"/>
        </w:rPr>
        <w:t>）要求的固化飞灰，不接收其他任何形式和种类的固体废物。</w:t>
      </w:r>
    </w:p>
    <w:p w14:paraId="5F702A23" w14:textId="3E7979C5" w:rsidR="00606029" w:rsidRPr="004C47D8" w:rsidRDefault="00EA5B92">
      <w:pPr>
        <w:pStyle w:val="affffff4"/>
        <w:rPr>
          <w:color w:val="auto"/>
        </w:rPr>
      </w:pPr>
      <w:r w:rsidRPr="004C47D8">
        <w:t>根据《中华人民共和国环境影响评价法》（</w:t>
      </w:r>
      <w:r w:rsidRPr="004C47D8">
        <w:t>2018</w:t>
      </w:r>
      <w:r w:rsidRPr="004C47D8">
        <w:t>年修正）、《建设项目环境保护管理条例》（国务院第</w:t>
      </w:r>
      <w:r w:rsidRPr="004C47D8">
        <w:t>682</w:t>
      </w:r>
      <w:r w:rsidRPr="004C47D8">
        <w:t>号令）、《建设项目环境影响评价分类管理名录（</w:t>
      </w:r>
      <w:r w:rsidRPr="004C47D8">
        <w:t>2021</w:t>
      </w:r>
      <w:r w:rsidRPr="004C47D8">
        <w:t>版本）》（生态环境部令第</w:t>
      </w:r>
      <w:r w:rsidRPr="004C47D8">
        <w:t>16</w:t>
      </w:r>
      <w:r w:rsidRPr="004C47D8">
        <w:t>号）及《国家危险废物名录（</w:t>
      </w:r>
      <w:r w:rsidRPr="004C47D8">
        <w:t>2025</w:t>
      </w:r>
      <w:r w:rsidRPr="004C47D8">
        <w:t>年版）》，</w:t>
      </w:r>
      <w:r w:rsidRPr="004C47D8">
        <w:t>“</w:t>
      </w:r>
      <w:r w:rsidRPr="004C47D8">
        <w:t>生活垃圾焚烧飞灰满足《生活垃圾填埋场污染控制标准》（</w:t>
      </w:r>
      <w:r w:rsidRPr="004C47D8">
        <w:t>GB16889-2024</w:t>
      </w:r>
      <w:r w:rsidRPr="004C47D8">
        <w:t>）中</w:t>
      </w:r>
      <w:r w:rsidRPr="004C47D8">
        <w:t>6.3</w:t>
      </w:r>
      <w:r w:rsidRPr="004C47D8">
        <w:t>条要求，进入生活垃圾填埋场填埋时，填埋过程不按照危险废物管理</w:t>
      </w:r>
      <w:r w:rsidRPr="004C47D8">
        <w:t>”</w:t>
      </w:r>
      <w:r w:rsidRPr="004C47D8">
        <w:t>。因此项目属于分类管理名录里面的</w:t>
      </w:r>
      <w:bookmarkStart w:id="7" w:name="OLE_LINK11"/>
      <w:r w:rsidRPr="004C47D8">
        <w:t>“</w:t>
      </w:r>
      <w:r w:rsidRPr="004C47D8">
        <w:t>四十八、公共设施管理业</w:t>
      </w:r>
      <w:r w:rsidRPr="004C47D8">
        <w:t>—106</w:t>
      </w:r>
      <w:r w:rsidRPr="004C47D8">
        <w:t>生活垃圾（含餐厨废弃物）集中处置（生活垃圾发电除外）</w:t>
      </w:r>
      <w:r w:rsidRPr="004C47D8">
        <w:t>—</w:t>
      </w:r>
      <w:r w:rsidRPr="004C47D8">
        <w:rPr>
          <w:b/>
          <w:bCs/>
        </w:rPr>
        <w:t>采取填埋方式的</w:t>
      </w:r>
      <w:r w:rsidRPr="004C47D8">
        <w:t>；其他处置方式日处置能力</w:t>
      </w:r>
      <w:r w:rsidRPr="004C47D8">
        <w:t>50</w:t>
      </w:r>
      <w:r w:rsidRPr="004C47D8">
        <w:t>吨及以上的</w:t>
      </w:r>
      <w:r w:rsidRPr="004C47D8">
        <w:t>”</w:t>
      </w:r>
      <w:r w:rsidRPr="004C47D8">
        <w:t>类别</w:t>
      </w:r>
      <w:bookmarkEnd w:id="7"/>
      <w:r w:rsidRPr="004C47D8">
        <w:t>，应编制环境影响报告书。受</w:t>
      </w:r>
      <w:r w:rsidR="00BE533B" w:rsidRPr="004C47D8">
        <w:t>大庆城控电力有限公司</w:t>
      </w:r>
      <w:r w:rsidRPr="004C47D8">
        <w:t>委托，</w:t>
      </w:r>
      <w:r w:rsidR="00773354" w:rsidRPr="004C47D8">
        <w:t>黑龙江省久恒环保有限责任公司</w:t>
      </w:r>
      <w:r w:rsidRPr="004C47D8">
        <w:t>承担该项目环境影响报告的编制工作，我公司接受委托后，立即开展了详细的现场调查、资料收集工作，在对本项目的环境现状和造成的环境影响进行分析后，按照相关技术规范和有关规定编制本环境影响报告书，供建设单位上报生态环境主管部门审查，经审查批准后的环境影响报告书可作为本项目环境管理和环保工程设计的科学依据。</w:t>
      </w:r>
    </w:p>
    <w:p w14:paraId="6D0D74DA" w14:textId="77777777" w:rsidR="00606029" w:rsidRPr="004C47D8" w:rsidRDefault="00EA5B92" w:rsidP="00ED0795">
      <w:pPr>
        <w:pStyle w:val="0"/>
        <w:ind w:firstLine="482"/>
        <w:rPr>
          <w:rFonts w:ascii="Times New Roman" w:hAnsi="Times New Roman"/>
          <w:b/>
          <w:bCs/>
        </w:rPr>
      </w:pPr>
      <w:bookmarkStart w:id="8" w:name="_Toc8402"/>
      <w:r w:rsidRPr="004C47D8">
        <w:rPr>
          <w:rFonts w:ascii="Times New Roman" w:hAnsi="Times New Roman"/>
          <w:b/>
          <w:bCs/>
        </w:rPr>
        <w:t>2</w:t>
      </w:r>
      <w:r w:rsidRPr="004C47D8">
        <w:rPr>
          <w:rFonts w:ascii="Times New Roman" w:hAnsi="Times New Roman"/>
          <w:b/>
          <w:bCs/>
        </w:rPr>
        <w:t>、项目特点</w:t>
      </w:r>
      <w:bookmarkEnd w:id="8"/>
    </w:p>
    <w:p w14:paraId="3848BDDD" w14:textId="0670F245" w:rsidR="00606029" w:rsidRPr="004C47D8" w:rsidRDefault="00EA5B92">
      <w:pPr>
        <w:pStyle w:val="affffff4"/>
      </w:pPr>
      <w:r w:rsidRPr="004C47D8">
        <w:t>（</w:t>
      </w:r>
      <w:r w:rsidRPr="004C47D8">
        <w:t>1</w:t>
      </w:r>
      <w:r w:rsidRPr="004C47D8">
        <w:t>）本项目飞灰填埋场区淋溶水送至现有</w:t>
      </w:r>
      <w:r w:rsidR="003E43E2" w:rsidRPr="004C47D8">
        <w:t>渗滤液</w:t>
      </w:r>
      <w:r w:rsidRPr="004C47D8">
        <w:t>处理站处理，出水水质</w:t>
      </w:r>
      <w:bookmarkStart w:id="9" w:name="OLE_LINK8"/>
      <w:r w:rsidR="00535A47">
        <w:rPr>
          <w:rFonts w:hint="eastAsia"/>
        </w:rPr>
        <w:t>满足</w:t>
      </w:r>
      <w:r w:rsidR="00535A47" w:rsidRPr="00535A47">
        <w:t>《生活垃圾填埋场污染控制标准》（</w:t>
      </w:r>
      <w:r w:rsidR="00535A47" w:rsidRPr="00535A47">
        <w:t>GB16889-2024</w:t>
      </w:r>
      <w:r w:rsidR="00535A47" w:rsidRPr="00535A47">
        <w:t>）表</w:t>
      </w:r>
      <w:r w:rsidR="00535A47" w:rsidRPr="00535A47">
        <w:t>4</w:t>
      </w:r>
      <w:r w:rsidR="00535A47" w:rsidRPr="00535A47">
        <w:t>要求和</w:t>
      </w:r>
      <w:bookmarkEnd w:id="9"/>
      <w:r w:rsidR="00AD3344" w:rsidRPr="004C47D8">
        <w:rPr>
          <w:szCs w:val="22"/>
        </w:rPr>
        <w:t>《城市污水再生利用</w:t>
      </w:r>
      <w:r w:rsidR="00AD3344" w:rsidRPr="004C47D8">
        <w:rPr>
          <w:szCs w:val="22"/>
        </w:rPr>
        <w:t xml:space="preserve"> </w:t>
      </w:r>
      <w:r w:rsidR="00AD3344" w:rsidRPr="004C47D8">
        <w:rPr>
          <w:szCs w:val="22"/>
        </w:rPr>
        <w:t>工业用水水质》（</w:t>
      </w:r>
      <w:r w:rsidR="00AD3344" w:rsidRPr="004C47D8">
        <w:rPr>
          <w:szCs w:val="22"/>
        </w:rPr>
        <w:t>GB/T19923-20</w:t>
      </w:r>
      <w:r w:rsidR="00CD78D9" w:rsidRPr="004C47D8">
        <w:rPr>
          <w:szCs w:val="22"/>
        </w:rPr>
        <w:t>24</w:t>
      </w:r>
      <w:r w:rsidR="00AD3344" w:rsidRPr="004C47D8">
        <w:rPr>
          <w:szCs w:val="22"/>
        </w:rPr>
        <w:t>）</w:t>
      </w:r>
      <w:r w:rsidR="00F32134">
        <w:rPr>
          <w:rFonts w:hint="eastAsia"/>
          <w:szCs w:val="22"/>
        </w:rPr>
        <w:t>表</w:t>
      </w:r>
      <w:r w:rsidR="00F32134">
        <w:rPr>
          <w:rFonts w:hint="eastAsia"/>
          <w:szCs w:val="22"/>
        </w:rPr>
        <w:t>1</w:t>
      </w:r>
      <w:r w:rsidR="00535A47">
        <w:rPr>
          <w:szCs w:val="22"/>
        </w:rPr>
        <w:t>间冷开式循环冷却水补充水标准</w:t>
      </w:r>
      <w:r w:rsidR="00AD3344" w:rsidRPr="004C47D8">
        <w:rPr>
          <w:szCs w:val="22"/>
        </w:rPr>
        <w:t>后全部回用至厂区冷却塔补水，不外排</w:t>
      </w:r>
      <w:r w:rsidRPr="004C47D8">
        <w:rPr>
          <w:szCs w:val="22"/>
        </w:rPr>
        <w:t>。</w:t>
      </w:r>
      <w:r w:rsidRPr="004C47D8">
        <w:t>项目废污水主要着重关注的问题为飞灰填埋场区内的防渗问题以及淋溶水依托处理可行性问题。</w:t>
      </w:r>
    </w:p>
    <w:p w14:paraId="59A8AC10" w14:textId="216375CA" w:rsidR="00606029" w:rsidRPr="004C47D8" w:rsidRDefault="00EA5B92">
      <w:pPr>
        <w:pStyle w:val="affffff4"/>
      </w:pPr>
      <w:r w:rsidRPr="004C47D8">
        <w:t>（</w:t>
      </w:r>
      <w:r w:rsidRPr="004C47D8">
        <w:t>2</w:t>
      </w:r>
      <w:r w:rsidRPr="004C47D8">
        <w:t>）本项目废气主要为工程机械施工作业废气、</w:t>
      </w:r>
      <w:r w:rsidR="00893DA5">
        <w:rPr>
          <w:rFonts w:hint="eastAsia"/>
        </w:rPr>
        <w:t>填埋作业产生的</w:t>
      </w:r>
      <w:r w:rsidRPr="004C47D8">
        <w:t>扬尘</w:t>
      </w:r>
      <w:r w:rsidR="00893DA5">
        <w:rPr>
          <w:rFonts w:hint="eastAsia"/>
        </w:rPr>
        <w:t>等，</w:t>
      </w:r>
      <w:r w:rsidRPr="004C47D8">
        <w:t>采取洒水</w:t>
      </w:r>
      <w:r w:rsidR="00893DA5">
        <w:rPr>
          <w:rFonts w:hint="eastAsia"/>
        </w:rPr>
        <w:t>等措施</w:t>
      </w:r>
      <w:r w:rsidRPr="004C47D8">
        <w:t>，项目废气排放对周围环境空气质量影响较小。</w:t>
      </w:r>
    </w:p>
    <w:p w14:paraId="36DDC76B" w14:textId="77777777" w:rsidR="00606029" w:rsidRPr="004C47D8" w:rsidRDefault="00EA5B92">
      <w:pPr>
        <w:pStyle w:val="affffff4"/>
      </w:pPr>
      <w:r w:rsidRPr="004C47D8">
        <w:t>（</w:t>
      </w:r>
      <w:r w:rsidRPr="004C47D8">
        <w:t>3</w:t>
      </w:r>
      <w:r w:rsidRPr="004C47D8">
        <w:t>）本项目过程中的高噪声设备较少，且主要作业范围集中在飞灰填埋场区，经距离衰减后对周边环境影响很小。</w:t>
      </w:r>
    </w:p>
    <w:p w14:paraId="75381308" w14:textId="77777777" w:rsidR="00606029" w:rsidRPr="004C47D8" w:rsidRDefault="00EA5B92" w:rsidP="00ED0795">
      <w:pPr>
        <w:pStyle w:val="0"/>
        <w:ind w:firstLine="482"/>
        <w:rPr>
          <w:rFonts w:ascii="Times New Roman" w:hAnsi="Times New Roman"/>
          <w:b/>
          <w:bCs/>
        </w:rPr>
      </w:pPr>
      <w:bookmarkStart w:id="10" w:name="_Toc20575"/>
      <w:r w:rsidRPr="004C47D8">
        <w:rPr>
          <w:rFonts w:ascii="Times New Roman" w:hAnsi="Times New Roman"/>
          <w:b/>
          <w:bCs/>
        </w:rPr>
        <w:t>3</w:t>
      </w:r>
      <w:r w:rsidRPr="004C47D8">
        <w:rPr>
          <w:rFonts w:ascii="Times New Roman" w:hAnsi="Times New Roman"/>
          <w:b/>
          <w:bCs/>
        </w:rPr>
        <w:t>、评价工作过程</w:t>
      </w:r>
      <w:bookmarkEnd w:id="10"/>
    </w:p>
    <w:p w14:paraId="033F1ED5" w14:textId="734D9424" w:rsidR="00606029" w:rsidRPr="004C47D8" w:rsidRDefault="00EA5B92">
      <w:pPr>
        <w:pStyle w:val="affffff4"/>
      </w:pPr>
      <w:r w:rsidRPr="004C47D8">
        <w:t>根据《建设项目环境影响评价分类管理名录》（生态环境部令第</w:t>
      </w:r>
      <w:r w:rsidRPr="004C47D8">
        <w:t>16</w:t>
      </w:r>
      <w:r w:rsidRPr="004C47D8">
        <w:t>号）要求，本项目应该编制建设项目环境影响报告书，其环境影响评价工作大体分为三个阶段，具体环境影响评价的工作程序见图</w:t>
      </w:r>
      <w:r w:rsidR="00AD3344" w:rsidRPr="004C47D8">
        <w:t>1</w:t>
      </w:r>
      <w:r w:rsidRPr="004C47D8">
        <w:t>。</w:t>
      </w:r>
    </w:p>
    <w:p w14:paraId="278E8DD9" w14:textId="77777777" w:rsidR="00606029" w:rsidRPr="004C47D8" w:rsidRDefault="00EA5B92">
      <w:pPr>
        <w:pStyle w:val="affffff4"/>
      </w:pPr>
      <w:r w:rsidRPr="004C47D8">
        <w:lastRenderedPageBreak/>
        <w:t>第一阶段为准备阶段，主要工作为研究有关文件，进行初步的工程分析和环境现状调查，识别环境影响因素，筛选评价因子，明确评价重点，确定各专项评价的范围和工作等级；</w:t>
      </w:r>
    </w:p>
    <w:p w14:paraId="22E487B7" w14:textId="77777777" w:rsidR="00606029" w:rsidRPr="004C47D8" w:rsidRDefault="00EA5B92">
      <w:pPr>
        <w:pStyle w:val="affffff4"/>
      </w:pPr>
      <w:r w:rsidRPr="004C47D8">
        <w:t>第二阶段为正式工作阶段，其主要工作为进一步做好工程分析和环境现状调查与评价，开展清洁生产分析，进行环境影响预测与评价，分析环境保护措施的经济、技术可行性，论证项目选址环境可行性；</w:t>
      </w:r>
    </w:p>
    <w:p w14:paraId="343745B5" w14:textId="77777777" w:rsidR="00606029" w:rsidRPr="004C47D8" w:rsidRDefault="00EA5B92">
      <w:pPr>
        <w:pStyle w:val="affffff4"/>
        <w:rPr>
          <w:color w:val="auto"/>
          <w:szCs w:val="24"/>
        </w:rPr>
      </w:pPr>
      <w:r w:rsidRPr="004C47D8">
        <w:t>第三阶段为环境影响报告书编制阶段，其主要工作为汇总、分析第二阶段工作所得的各种资料、数据，给出评价结论，完成环境影响报告书的编制。</w:t>
      </w:r>
    </w:p>
    <w:p w14:paraId="4779FC82" w14:textId="5A1430A7" w:rsidR="00606029" w:rsidRDefault="00D12FBE">
      <w:pPr>
        <w:pStyle w:val="aff2"/>
        <w:spacing w:after="0"/>
        <w:ind w:firstLineChars="0" w:firstLine="0"/>
        <w:jc w:val="center"/>
        <w:rPr>
          <w:szCs w:val="20"/>
        </w:rPr>
      </w:pPr>
      <w:r>
        <w:rPr>
          <w:noProof/>
          <w:szCs w:val="20"/>
        </w:rPr>
        <w:lastRenderedPageBreak/>
        <w:drawing>
          <wp:inline distT="0" distB="0" distL="0" distR="0" wp14:anchorId="36FEC659" wp14:editId="4F891C6C">
            <wp:extent cx="5532120" cy="7223760"/>
            <wp:effectExtent l="0" t="0" r="0" b="0"/>
            <wp:docPr id="1287456978"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a:picLocks noChangeArrowheads="1"/>
                    </pic:cNvPicPr>
                  </pic:nvPicPr>
                  <pic:blipFill>
                    <a:blip r:embed="rId15">
                      <a:extLst>
                        <a:ext uri="{28A0092B-C50C-407E-A947-70E740481C1C}">
                          <a14:useLocalDpi xmlns:a14="http://schemas.microsoft.com/office/drawing/2010/main" val="0"/>
                        </a:ext>
                      </a:extLst>
                    </a:blip>
                    <a:srcRect l="7230" t="5225" r="7231" b="10362"/>
                    <a:stretch>
                      <a:fillRect/>
                    </a:stretch>
                  </pic:blipFill>
                  <pic:spPr bwMode="auto">
                    <a:xfrm>
                      <a:off x="0" y="0"/>
                      <a:ext cx="5532120" cy="7223760"/>
                    </a:xfrm>
                    <a:prstGeom prst="rect">
                      <a:avLst/>
                    </a:prstGeom>
                    <a:noFill/>
                    <a:ln>
                      <a:noFill/>
                    </a:ln>
                  </pic:spPr>
                </pic:pic>
              </a:graphicData>
            </a:graphic>
          </wp:inline>
        </w:drawing>
      </w:r>
    </w:p>
    <w:p w14:paraId="2DD8D335" w14:textId="6BB1AF66" w:rsidR="00606029" w:rsidRDefault="00EA5B92">
      <w:pPr>
        <w:pStyle w:val="aff2"/>
        <w:spacing w:after="0"/>
        <w:ind w:firstLineChars="0" w:firstLine="0"/>
        <w:jc w:val="center"/>
        <w:rPr>
          <w:b/>
          <w:kern w:val="24"/>
          <w:sz w:val="24"/>
        </w:rPr>
      </w:pPr>
      <w:r>
        <w:rPr>
          <w:rStyle w:val="Charf"/>
        </w:rPr>
        <w:t>图</w:t>
      </w:r>
      <w:r w:rsidR="00AD3344">
        <w:rPr>
          <w:rStyle w:val="Charf"/>
          <w:rFonts w:hint="eastAsia"/>
        </w:rPr>
        <w:t>1</w:t>
      </w:r>
      <w:r>
        <w:rPr>
          <w:rStyle w:val="Charf"/>
        </w:rPr>
        <w:t xml:space="preserve">  </w:t>
      </w:r>
      <w:r>
        <w:rPr>
          <w:rStyle w:val="Charf"/>
        </w:rPr>
        <w:t>建设项目环境影响评价工作程序图</w:t>
      </w:r>
    </w:p>
    <w:p w14:paraId="722B52C5" w14:textId="77777777" w:rsidR="00606029" w:rsidRDefault="00606029">
      <w:pPr>
        <w:pStyle w:val="aff2"/>
        <w:spacing w:line="360" w:lineRule="auto"/>
        <w:ind w:firstLineChars="0" w:firstLine="0"/>
        <w:rPr>
          <w:sz w:val="24"/>
        </w:rPr>
        <w:sectPr w:rsidR="00606029" w:rsidSect="00E53ECE">
          <w:footerReference w:type="default" r:id="rId16"/>
          <w:pgSz w:w="11905" w:h="16838"/>
          <w:pgMar w:top="1417" w:right="1474" w:bottom="1417" w:left="1474" w:header="850" w:footer="850" w:gutter="113"/>
          <w:pgNumType w:start="1"/>
          <w:cols w:space="0"/>
          <w:docGrid w:linePitch="312"/>
        </w:sectPr>
      </w:pPr>
    </w:p>
    <w:p w14:paraId="03134A74" w14:textId="77777777" w:rsidR="00606029" w:rsidRPr="004C47D8" w:rsidRDefault="00EA5B92" w:rsidP="00ED0795">
      <w:pPr>
        <w:pStyle w:val="0"/>
        <w:ind w:firstLine="482"/>
        <w:rPr>
          <w:rFonts w:ascii="Times New Roman" w:hAnsi="Times New Roman"/>
          <w:b/>
          <w:bCs/>
        </w:rPr>
      </w:pPr>
      <w:bookmarkStart w:id="11" w:name="_Toc9835"/>
      <w:r w:rsidRPr="004C47D8">
        <w:rPr>
          <w:rFonts w:ascii="Times New Roman" w:hAnsi="Times New Roman"/>
          <w:b/>
          <w:bCs/>
        </w:rPr>
        <w:lastRenderedPageBreak/>
        <w:t>4</w:t>
      </w:r>
      <w:r w:rsidRPr="004C47D8">
        <w:rPr>
          <w:rFonts w:ascii="Times New Roman" w:hAnsi="Times New Roman"/>
          <w:b/>
          <w:bCs/>
        </w:rPr>
        <w:t>、分析判定相关情况</w:t>
      </w:r>
      <w:bookmarkEnd w:id="11"/>
    </w:p>
    <w:p w14:paraId="161BF36C" w14:textId="188423D2" w:rsidR="00606029" w:rsidRPr="004C47D8" w:rsidRDefault="00EA5B92">
      <w:pPr>
        <w:pStyle w:val="affffff4"/>
      </w:pPr>
      <w:r w:rsidRPr="004C47D8">
        <w:t>（</w:t>
      </w:r>
      <w:r w:rsidRPr="004C47D8">
        <w:t>1</w:t>
      </w:r>
      <w:r w:rsidRPr="004C47D8">
        <w:t>）根据《中华人民共和国固体废物污染环境防治法》规定：</w:t>
      </w:r>
      <w:r w:rsidRPr="004C47D8">
        <w:t>“</w:t>
      </w:r>
      <w:r w:rsidRPr="004C47D8">
        <w:t>城市人民政府应当配套建设城市生活垃圾清扫、收集、贮存、运输、处置设施</w:t>
      </w:r>
      <w:r w:rsidRPr="004C47D8">
        <w:t>”</w:t>
      </w:r>
      <w:r w:rsidRPr="004C47D8">
        <w:t>，现目前，</w:t>
      </w:r>
      <w:r w:rsidR="004E5FFD" w:rsidRPr="004C47D8">
        <w:t>大庆</w:t>
      </w:r>
      <w:r w:rsidRPr="004C47D8">
        <w:t>市的生活垃圾均送</w:t>
      </w:r>
      <w:r w:rsidR="004E5FFD" w:rsidRPr="004C47D8">
        <w:t>大庆城控电力有限公司</w:t>
      </w:r>
      <w:r w:rsidRPr="004C47D8">
        <w:t>进行焚烧处置，实现了生活垃圾资源化、减量化、无害化处理。本项目为</w:t>
      </w:r>
      <w:r w:rsidR="004E5FFD" w:rsidRPr="004C47D8">
        <w:t>大庆城控电力有限公司</w:t>
      </w:r>
      <w:r w:rsidRPr="004C47D8">
        <w:t>产生的固化飞灰最终处置填埋服务，根据《产业结构调整指导目录（</w:t>
      </w:r>
      <w:r w:rsidRPr="004C47D8">
        <w:t>2024</w:t>
      </w:r>
      <w:r w:rsidRPr="004C47D8">
        <w:t>年本）》</w:t>
      </w:r>
      <w:r w:rsidRPr="004C47D8">
        <w:rPr>
          <w:bCs/>
        </w:rPr>
        <w:t>《市场准入负面清单（</w:t>
      </w:r>
      <w:r w:rsidRPr="004C47D8">
        <w:rPr>
          <w:bCs/>
        </w:rPr>
        <w:t>2022</w:t>
      </w:r>
      <w:r w:rsidRPr="004C47D8">
        <w:rPr>
          <w:bCs/>
        </w:rPr>
        <w:t>年版）》</w:t>
      </w:r>
      <w:r w:rsidRPr="004C47D8">
        <w:t>，本项目属于鼓励类</w:t>
      </w:r>
      <w:r w:rsidRPr="004C47D8">
        <w:t>“</w:t>
      </w:r>
      <w:r w:rsidRPr="004C47D8">
        <w:t>四十二环境保护与资源节约综合利用</w:t>
      </w:r>
      <w:r w:rsidRPr="004C47D8">
        <w:t>—3</w:t>
      </w:r>
      <w:r w:rsidRPr="004C47D8">
        <w:t>、城镇污水垃圾处理：高效、低能耗污水处理与再生技术开发，城镇垃圾、农村生活垃圾、城镇生活污水、农村生活污水、</w:t>
      </w:r>
      <w:r w:rsidRPr="004C47D8">
        <w:rPr>
          <w:b/>
          <w:bCs/>
        </w:rPr>
        <w:t>污泥及其他固体废弃物减量化、资源化、无害化处理和综合利用工程</w:t>
      </w:r>
      <w:r w:rsidRPr="004C47D8">
        <w:t>，餐厨废弃物资源化利用技术开发及设施建设，垃圾分类技术、设备、设施，城镇、农村分布式小型化有机垃圾处理技术开发，污水处理厂污泥协同处置工程</w:t>
      </w:r>
      <w:r w:rsidRPr="004C47D8">
        <w:t>”</w:t>
      </w:r>
      <w:r w:rsidRPr="004C47D8">
        <w:t>。因此，建设项目符合国家相关产业政策。</w:t>
      </w:r>
    </w:p>
    <w:p w14:paraId="49564151" w14:textId="444DC170" w:rsidR="00606029" w:rsidRPr="004C47D8" w:rsidRDefault="00EA5B92">
      <w:pPr>
        <w:pStyle w:val="affffff4"/>
      </w:pPr>
      <w:r w:rsidRPr="004C47D8">
        <w:t>（</w:t>
      </w:r>
      <w:r w:rsidRPr="004C47D8">
        <w:t>2</w:t>
      </w:r>
      <w:r w:rsidRPr="004C47D8">
        <w:t>）项目符合《</w:t>
      </w:r>
      <w:r w:rsidR="004E5FFD" w:rsidRPr="004C47D8">
        <w:t>大庆市</w:t>
      </w:r>
      <w:r w:rsidRPr="004C47D8">
        <w:t>“</w:t>
      </w:r>
      <w:r w:rsidRPr="004C47D8">
        <w:t>十四五</w:t>
      </w:r>
      <w:r w:rsidRPr="004C47D8">
        <w:t>”</w:t>
      </w:r>
      <w:r w:rsidRPr="004C47D8">
        <w:t>生态环境保护规划》《</w:t>
      </w:r>
      <w:r w:rsidR="004E5FFD" w:rsidRPr="004C47D8">
        <w:t>大庆市</w:t>
      </w:r>
      <w:r w:rsidRPr="004C47D8">
        <w:t>国土空间总体规划》（</w:t>
      </w:r>
      <w:r w:rsidRPr="004C47D8">
        <w:t>2021-2035</w:t>
      </w:r>
      <w:r w:rsidRPr="004C47D8">
        <w:t>年）、《生活垃圾卫生填埋处理技术规范》（</w:t>
      </w:r>
      <w:r w:rsidRPr="004C47D8">
        <w:t>GB50869-2013</w:t>
      </w:r>
      <w:r w:rsidRPr="004C47D8">
        <w:t>）及《生活垃圾填埋场污染控制标准》（</w:t>
      </w:r>
      <w:r w:rsidRPr="004C47D8">
        <w:t>GB16889-2024</w:t>
      </w:r>
      <w:r w:rsidRPr="004C47D8">
        <w:t>）相关要求。</w:t>
      </w:r>
    </w:p>
    <w:p w14:paraId="0D148B0F" w14:textId="69E19D9F" w:rsidR="00606029" w:rsidRPr="004C47D8" w:rsidRDefault="00EA5B92">
      <w:pPr>
        <w:pStyle w:val="affffff4"/>
        <w:rPr>
          <w:color w:val="auto"/>
        </w:rPr>
      </w:pPr>
      <w:r w:rsidRPr="004C47D8">
        <w:t>（</w:t>
      </w:r>
      <w:r w:rsidRPr="004C47D8">
        <w:t>3</w:t>
      </w:r>
      <w:r w:rsidRPr="004C47D8">
        <w:t>）项目选址位于</w:t>
      </w:r>
      <w:r w:rsidR="00F06EE8">
        <w:rPr>
          <w:rFonts w:hint="eastAsia"/>
        </w:rPr>
        <w:t>大庆城控电力有限公司西侧（</w:t>
      </w:r>
      <w:r w:rsidR="00F06EE8" w:rsidRPr="004C47D8">
        <w:t>原大庆市生活垃圾综合处理厂</w:t>
      </w:r>
      <w:r w:rsidR="00F06EE8">
        <w:rPr>
          <w:rFonts w:hint="eastAsia"/>
        </w:rPr>
        <w:t>）</w:t>
      </w:r>
      <w:r w:rsidRPr="004C47D8">
        <w:t>用地范围内，</w:t>
      </w:r>
      <w:r w:rsidR="004E5FFD" w:rsidRPr="004C47D8">
        <w:t>不新增</w:t>
      </w:r>
      <w:r w:rsidR="00F06EE8">
        <w:rPr>
          <w:rFonts w:hint="eastAsia"/>
        </w:rPr>
        <w:t>永久</w:t>
      </w:r>
      <w:r w:rsidR="004E5FFD" w:rsidRPr="004C47D8">
        <w:t>占地，</w:t>
      </w:r>
      <w:r w:rsidR="00743293" w:rsidRPr="004C47D8">
        <w:t>且</w:t>
      </w:r>
      <w:r w:rsidRPr="004C47D8">
        <w:t>不涉及自然保护区、森林公园、饮用水源、风景名胜区、基本农田及其他需特殊保护的区域，场地内无珍稀动植物及文物古迹分布，选址基本合理。</w:t>
      </w:r>
    </w:p>
    <w:p w14:paraId="68276EA0" w14:textId="77777777" w:rsidR="00606029" w:rsidRPr="004C47D8" w:rsidRDefault="00EA5B92" w:rsidP="00ED0795">
      <w:pPr>
        <w:pStyle w:val="0"/>
        <w:ind w:firstLine="482"/>
        <w:rPr>
          <w:rFonts w:ascii="Times New Roman" w:hAnsi="Times New Roman"/>
          <w:b/>
          <w:bCs/>
        </w:rPr>
      </w:pPr>
      <w:bookmarkStart w:id="12" w:name="_Toc427097324"/>
      <w:bookmarkStart w:id="13" w:name="_Toc7259"/>
      <w:bookmarkStart w:id="14" w:name="_Toc393206208"/>
      <w:bookmarkStart w:id="15" w:name="_Toc321846800"/>
      <w:bookmarkStart w:id="16" w:name="_Toc393273022"/>
      <w:r w:rsidRPr="004C47D8">
        <w:rPr>
          <w:rFonts w:ascii="Times New Roman" w:hAnsi="Times New Roman"/>
          <w:b/>
          <w:bCs/>
        </w:rPr>
        <w:t>5</w:t>
      </w:r>
      <w:r w:rsidRPr="004C47D8">
        <w:rPr>
          <w:rFonts w:ascii="Times New Roman" w:hAnsi="Times New Roman"/>
          <w:b/>
          <w:bCs/>
        </w:rPr>
        <w:t>、评价关注的主要环境问题</w:t>
      </w:r>
      <w:bookmarkEnd w:id="12"/>
      <w:bookmarkEnd w:id="13"/>
      <w:bookmarkEnd w:id="14"/>
      <w:bookmarkEnd w:id="15"/>
      <w:bookmarkEnd w:id="16"/>
    </w:p>
    <w:p w14:paraId="4BCBE876" w14:textId="77777777" w:rsidR="00606029" w:rsidRPr="004C47D8" w:rsidRDefault="00EA5B92">
      <w:pPr>
        <w:pStyle w:val="affffff4"/>
      </w:pPr>
      <w:r w:rsidRPr="004C47D8">
        <w:t>通过对现有项目工程分析、所在区域环境特点、环境质量现状监测数据等基础资料进行分析，确定此次环评关注的主要环境问题为：</w:t>
      </w:r>
    </w:p>
    <w:p w14:paraId="68A1C5C4" w14:textId="77777777" w:rsidR="00606029" w:rsidRPr="004C47D8" w:rsidRDefault="00EA5B92">
      <w:pPr>
        <w:pStyle w:val="affffff4"/>
      </w:pPr>
      <w:bookmarkStart w:id="17" w:name="_Toc393206209"/>
      <w:bookmarkStart w:id="18" w:name="_Toc321846801"/>
      <w:bookmarkStart w:id="19" w:name="_Toc427097325"/>
      <w:bookmarkStart w:id="20" w:name="_Toc393273023"/>
      <w:r w:rsidRPr="004C47D8">
        <w:t>（</w:t>
      </w:r>
      <w:r w:rsidRPr="004C47D8">
        <w:t>1</w:t>
      </w:r>
      <w:r w:rsidRPr="004C47D8">
        <w:t>）分析项目建设与国家和地方产业政策的相符性，选址可行性；</w:t>
      </w:r>
    </w:p>
    <w:p w14:paraId="212CD44F" w14:textId="79DB6329" w:rsidR="00606029" w:rsidRPr="004C47D8" w:rsidRDefault="00EA5B92">
      <w:pPr>
        <w:pStyle w:val="affffff4"/>
      </w:pPr>
      <w:r w:rsidRPr="004C47D8">
        <w:t>（</w:t>
      </w:r>
      <w:r w:rsidRPr="004C47D8">
        <w:t>2</w:t>
      </w:r>
      <w:r w:rsidRPr="004C47D8">
        <w:t>）本项目需详细分析现有</w:t>
      </w:r>
      <w:r w:rsidR="004E5FFD" w:rsidRPr="004C47D8">
        <w:t>工程</w:t>
      </w:r>
      <w:r w:rsidRPr="004C47D8">
        <w:t>的运营流程、产排污环节、污染防治措施、污染物达标情况及对周边环境的实际影响情况；</w:t>
      </w:r>
    </w:p>
    <w:p w14:paraId="4FD9A7F3" w14:textId="0F68DB05" w:rsidR="00606029" w:rsidRPr="004C47D8" w:rsidRDefault="00EA5B92">
      <w:pPr>
        <w:pStyle w:val="affffff4"/>
      </w:pPr>
      <w:r w:rsidRPr="004C47D8">
        <w:t>（</w:t>
      </w:r>
      <w:r w:rsidRPr="004C47D8">
        <w:t>3</w:t>
      </w:r>
      <w:r w:rsidRPr="004C47D8">
        <w:t>）需重点详细分析依托</w:t>
      </w:r>
      <w:r w:rsidR="004E5FFD" w:rsidRPr="004C47D8">
        <w:t>工程</w:t>
      </w:r>
      <w:r w:rsidRPr="004C47D8">
        <w:t>现有污染防治措施的可行性分析，包括渗滤液处理站、固体废物处置措施等；</w:t>
      </w:r>
    </w:p>
    <w:p w14:paraId="6C0CF987" w14:textId="44A704C4" w:rsidR="00606029" w:rsidRPr="004C47D8" w:rsidRDefault="00EA5B92">
      <w:pPr>
        <w:pStyle w:val="affffff4"/>
      </w:pPr>
      <w:r w:rsidRPr="004C47D8">
        <w:t>（</w:t>
      </w:r>
      <w:r w:rsidRPr="004C47D8">
        <w:t>4</w:t>
      </w:r>
      <w:r w:rsidRPr="004C47D8">
        <w:t>）生活垃圾焚烧飞灰固化后，自身无废气产生，分析其在吊车卸料、码放过程产生少量的粉尘</w:t>
      </w:r>
      <w:r w:rsidRPr="00F06EE8">
        <w:t>，对大气环境的影响分析；</w:t>
      </w:r>
    </w:p>
    <w:p w14:paraId="48CDB198" w14:textId="77777777" w:rsidR="00606029" w:rsidRPr="004C47D8" w:rsidRDefault="00EA5B92">
      <w:pPr>
        <w:pStyle w:val="affffff4"/>
      </w:pPr>
      <w:r w:rsidRPr="004C47D8">
        <w:t>（</w:t>
      </w:r>
      <w:r w:rsidRPr="004C47D8">
        <w:t>5</w:t>
      </w:r>
      <w:r w:rsidRPr="004C47D8">
        <w:t>）重点关注飞灰填埋场区的防渗措施，以及项目对土壤和地下水的影响；</w:t>
      </w:r>
    </w:p>
    <w:p w14:paraId="1622F04F" w14:textId="77777777" w:rsidR="00606029" w:rsidRPr="004C47D8" w:rsidRDefault="00EA5B92">
      <w:pPr>
        <w:pStyle w:val="affffff4"/>
      </w:pPr>
      <w:r w:rsidRPr="004C47D8">
        <w:lastRenderedPageBreak/>
        <w:t>（</w:t>
      </w:r>
      <w:r w:rsidRPr="004C47D8">
        <w:t>6</w:t>
      </w:r>
      <w:r w:rsidRPr="004C47D8">
        <w:t>）调查影响范围内公众对现有项目及扩建项目的环保意见，公众提出的意见给予以积极回应，实现经济、环境、社会协调发展。</w:t>
      </w:r>
    </w:p>
    <w:p w14:paraId="5569C33E" w14:textId="77777777" w:rsidR="00606029" w:rsidRPr="004C47D8" w:rsidRDefault="00EA5B92" w:rsidP="00ED0795">
      <w:pPr>
        <w:pStyle w:val="0"/>
        <w:ind w:firstLine="482"/>
        <w:rPr>
          <w:rFonts w:ascii="Times New Roman" w:hAnsi="Times New Roman"/>
          <w:b/>
          <w:bCs/>
        </w:rPr>
      </w:pPr>
      <w:bookmarkStart w:id="21" w:name="_Toc8127"/>
      <w:r w:rsidRPr="004C47D8">
        <w:rPr>
          <w:rFonts w:ascii="Times New Roman" w:hAnsi="Times New Roman"/>
          <w:b/>
          <w:bCs/>
        </w:rPr>
        <w:t>6</w:t>
      </w:r>
      <w:r w:rsidRPr="004C47D8">
        <w:rPr>
          <w:rFonts w:ascii="Times New Roman" w:hAnsi="Times New Roman"/>
          <w:b/>
          <w:bCs/>
        </w:rPr>
        <w:t>、</w:t>
      </w:r>
      <w:bookmarkEnd w:id="17"/>
      <w:bookmarkEnd w:id="18"/>
      <w:bookmarkEnd w:id="19"/>
      <w:bookmarkEnd w:id="20"/>
      <w:r w:rsidRPr="004C47D8">
        <w:rPr>
          <w:rFonts w:ascii="Times New Roman" w:hAnsi="Times New Roman"/>
          <w:b/>
          <w:bCs/>
        </w:rPr>
        <w:t>环境影响报告主要结论</w:t>
      </w:r>
      <w:bookmarkEnd w:id="21"/>
    </w:p>
    <w:p w14:paraId="5573F25F" w14:textId="23328454" w:rsidR="00606029" w:rsidRPr="004C47D8" w:rsidRDefault="00ED0795">
      <w:pPr>
        <w:pStyle w:val="affffff4"/>
        <w:rPr>
          <w:color w:val="auto"/>
        </w:rPr>
      </w:pPr>
      <w:r w:rsidRPr="004C47D8">
        <w:t>本项目建设符合国家产业政策及相关规划的要求，通过采取各项污染防治措施，能够实现污染物达标排放，总量控制指标能够落实；采取严格的风险防范措施，并制定了详细的应急预案；综合各环境要素影响预测与分析、公众参与、项目建设环境合理性分析等章节结论。项目建成运营后具有良好的社会、经济和环境效益，从环保角度考虑，项目建设是可行的。</w:t>
      </w:r>
    </w:p>
    <w:p w14:paraId="1BB33416" w14:textId="77777777" w:rsidR="00606029" w:rsidRDefault="00EA5B92">
      <w:pPr>
        <w:jc w:val="center"/>
        <w:outlineLvl w:val="0"/>
        <w:rPr>
          <w:sz w:val="36"/>
          <w:szCs w:val="36"/>
        </w:rPr>
      </w:pPr>
      <w:r w:rsidRPr="004C47D8">
        <w:rPr>
          <w:sz w:val="24"/>
        </w:rPr>
        <w:br w:type="page"/>
      </w:r>
      <w:bookmarkStart w:id="22" w:name="_Toc9351"/>
      <w:bookmarkStart w:id="23" w:name="_Toc13086"/>
      <w:bookmarkStart w:id="24" w:name="_Toc220680438"/>
      <w:r>
        <w:rPr>
          <w:rStyle w:val="10"/>
        </w:rPr>
        <w:lastRenderedPageBreak/>
        <w:t>第一章</w:t>
      </w:r>
      <w:r>
        <w:rPr>
          <w:rStyle w:val="10"/>
        </w:rPr>
        <w:t xml:space="preserve">  </w:t>
      </w:r>
      <w:r>
        <w:rPr>
          <w:rStyle w:val="10"/>
        </w:rPr>
        <w:t>总则</w:t>
      </w:r>
      <w:bookmarkEnd w:id="22"/>
      <w:bookmarkEnd w:id="23"/>
      <w:bookmarkEnd w:id="24"/>
    </w:p>
    <w:p w14:paraId="44E1FC58" w14:textId="77777777" w:rsidR="00606029" w:rsidRDefault="00EA5B92">
      <w:pPr>
        <w:pStyle w:val="2"/>
      </w:pPr>
      <w:bookmarkStart w:id="25" w:name="_Toc17214"/>
      <w:bookmarkStart w:id="26" w:name="_Toc27346"/>
      <w:bookmarkStart w:id="27" w:name="_Toc220680439"/>
      <w:r>
        <w:t>1.1</w:t>
      </w:r>
      <w:r>
        <w:t>评价目的</w:t>
      </w:r>
      <w:bookmarkEnd w:id="25"/>
      <w:bookmarkEnd w:id="26"/>
      <w:bookmarkEnd w:id="27"/>
    </w:p>
    <w:p w14:paraId="2C9A9955" w14:textId="77777777" w:rsidR="00606029" w:rsidRDefault="00EA5B92">
      <w:pPr>
        <w:pStyle w:val="affffff4"/>
      </w:pPr>
      <w:r>
        <w:t>根据项目工程特性和环境特点，以及国家有关法律法规要求，确定报告书的编制目的如下：</w:t>
      </w:r>
    </w:p>
    <w:p w14:paraId="41F911CB" w14:textId="77777777" w:rsidR="00606029" w:rsidRDefault="00EA5B92">
      <w:pPr>
        <w:pStyle w:val="affffff4"/>
      </w:pPr>
      <w:r>
        <w:t>（</w:t>
      </w:r>
      <w:r>
        <w:t>1</w:t>
      </w:r>
      <w:r>
        <w:t>）全面调查了解项目区域环境，并对环境质量现状进行评价。</w:t>
      </w:r>
    </w:p>
    <w:p w14:paraId="0B2C7044" w14:textId="77777777" w:rsidR="00606029" w:rsidRDefault="00EA5B92">
      <w:pPr>
        <w:pStyle w:val="affffff4"/>
      </w:pPr>
      <w:r>
        <w:t>（</w:t>
      </w:r>
      <w:r>
        <w:t>2</w:t>
      </w:r>
      <w:r>
        <w:t>）调查依托工程设施运行情况，分析拟建工程依托设施的是否能够满足相关环保要求。</w:t>
      </w:r>
    </w:p>
    <w:p w14:paraId="42DB9A2C" w14:textId="77777777" w:rsidR="00606029" w:rsidRDefault="00EA5B92">
      <w:pPr>
        <w:pStyle w:val="affffff4"/>
      </w:pPr>
      <w:r>
        <w:t>（</w:t>
      </w:r>
      <w:r>
        <w:t>3</w:t>
      </w:r>
      <w:r>
        <w:t>）依据本项目建设内容和目前工程建设情况，进行工程分析，确定污染源强和生态破坏源强，为环境影响评价提供基础数据。</w:t>
      </w:r>
    </w:p>
    <w:p w14:paraId="7DB67009" w14:textId="77777777" w:rsidR="00606029" w:rsidRDefault="00EA5B92">
      <w:pPr>
        <w:pStyle w:val="affffff4"/>
      </w:pPr>
      <w:r>
        <w:t>（</w:t>
      </w:r>
      <w:r>
        <w:t>4</w:t>
      </w:r>
      <w:r>
        <w:t>）在掌握本项目工程特征和环境特征的基础上，进行环境影响识别，确定各环境要素的评价工作等级、评价范围、评价因子、评价重点。</w:t>
      </w:r>
    </w:p>
    <w:p w14:paraId="5AF4F23E" w14:textId="77777777" w:rsidR="00606029" w:rsidRDefault="00EA5B92">
      <w:pPr>
        <w:pStyle w:val="affffff4"/>
      </w:pPr>
      <w:r>
        <w:t>（</w:t>
      </w:r>
      <w:r>
        <w:t>5</w:t>
      </w:r>
      <w:r>
        <w:t>）分析施工期、运行期的主要环境影响源对环境保护目标的影响，工程建设对环境可能产生的影响进行预测和评价，并针对不利影响提出可行的保护对策和减缓措施，制定环境监测、监督管理计划。</w:t>
      </w:r>
    </w:p>
    <w:p w14:paraId="01FE20CD" w14:textId="77777777" w:rsidR="00606029" w:rsidRDefault="00EA5B92">
      <w:pPr>
        <w:pStyle w:val="affffff4"/>
      </w:pPr>
      <w:r>
        <w:t>（</w:t>
      </w:r>
      <w:r>
        <w:t>6</w:t>
      </w:r>
      <w:r>
        <w:t>）从环境保护角度论证工程建设的可行性，工程选址及总图布局的合理性，提出优化建议。</w:t>
      </w:r>
    </w:p>
    <w:p w14:paraId="0D3CF7A5" w14:textId="77777777" w:rsidR="00606029" w:rsidRDefault="00EA5B92">
      <w:pPr>
        <w:pStyle w:val="affffff4"/>
      </w:pPr>
      <w:r>
        <w:t>（</w:t>
      </w:r>
      <w:r>
        <w:t>7</w:t>
      </w:r>
      <w:r>
        <w:t>）审查报批后的环境影响报告书，作为工程竣工环境保护验收的主要依据之一，促使项目建设单位明确和履行自己的环保职责。</w:t>
      </w:r>
    </w:p>
    <w:p w14:paraId="76F53DFF" w14:textId="77777777" w:rsidR="00606029" w:rsidRDefault="00EA5B92">
      <w:pPr>
        <w:pStyle w:val="2"/>
      </w:pPr>
      <w:bookmarkStart w:id="28" w:name="_Toc28088"/>
      <w:bookmarkStart w:id="29" w:name="_Toc2443"/>
      <w:bookmarkStart w:id="30" w:name="_Toc220680440"/>
      <w:r>
        <w:t>1.2</w:t>
      </w:r>
      <w:r>
        <w:t>评价原则</w:t>
      </w:r>
      <w:bookmarkEnd w:id="28"/>
      <w:bookmarkEnd w:id="29"/>
      <w:bookmarkEnd w:id="30"/>
    </w:p>
    <w:p w14:paraId="3958544B" w14:textId="6B4923D6" w:rsidR="00606029" w:rsidRDefault="00EA5B92">
      <w:pPr>
        <w:pStyle w:val="affffff4"/>
      </w:pPr>
      <w:r>
        <w:t>（</w:t>
      </w:r>
      <w:r>
        <w:t>1</w:t>
      </w:r>
      <w:r>
        <w:t>）依据国家和</w:t>
      </w:r>
      <w:r w:rsidR="00335BF9">
        <w:rPr>
          <w:rFonts w:hint="eastAsia"/>
        </w:rPr>
        <w:t>黑龙江</w:t>
      </w:r>
      <w:r>
        <w:t>省有关环保法规、产业政策、环境影响评价技术规定以及评价执行标准，以预防为主，防治结合，清洁生产，全过程控制的现代环境管理思想和循环经济理念为指导，以建设绿色生态企业为目标，密切结合项目特征和环境特点，在区域总体发展规划和环境功能区划的总原则下，以科学、客观、求实、严谨的工作作风开展评价工作。</w:t>
      </w:r>
    </w:p>
    <w:p w14:paraId="0CA684C3" w14:textId="77777777" w:rsidR="00606029" w:rsidRDefault="00EA5B92">
      <w:pPr>
        <w:pStyle w:val="affffff4"/>
      </w:pPr>
      <w:r>
        <w:t>（</w:t>
      </w:r>
      <w:r>
        <w:t>2</w:t>
      </w:r>
      <w:r>
        <w:t>）根据评价技术规定和环境质量标准的要求，制定周密的现场调研计划，以取得可靠的自然资源、社会资源、污染源的背景资料，同时进行相应的环境监测，以确保评价所需。</w:t>
      </w:r>
    </w:p>
    <w:p w14:paraId="6B3FD333" w14:textId="77777777" w:rsidR="00606029" w:rsidRDefault="00EA5B92">
      <w:pPr>
        <w:pStyle w:val="affffff4"/>
      </w:pPr>
      <w:r>
        <w:t>（</w:t>
      </w:r>
      <w:r>
        <w:t>3</w:t>
      </w:r>
      <w:r>
        <w:t>）根据评价项目的特点，评价工作以工程分析为龙头，以控制污染排放、生态保护、风险防控、危险废物有效处置为重点，对工程在建设期、运营期各环境要素的</w:t>
      </w:r>
      <w:r>
        <w:lastRenderedPageBreak/>
        <w:t>环境影响进行分析、预测评价，并提出相应的防治措施。现状评价以监测数据为依据，预测模式选取以实用可行为准绳，治理措施以可操作性强为原则，结论力求准确。报告书编写力求简洁、明了、重点突出。</w:t>
      </w:r>
    </w:p>
    <w:p w14:paraId="0A964BBC" w14:textId="77777777" w:rsidR="00606029" w:rsidRDefault="00EA5B92">
      <w:pPr>
        <w:pStyle w:val="affffff4"/>
      </w:pPr>
      <w:r>
        <w:t>（</w:t>
      </w:r>
      <w:r>
        <w:t>4</w:t>
      </w:r>
      <w:r>
        <w:t>）针对项目的污染特征，预测和分析项目的环境影响，提出项目建成后污染防治对策，降低项目造成的环境风险，提出节能降耗和节水措施，为项目的设计、运行、环境监督检查和管理提供科学依据。</w:t>
      </w:r>
    </w:p>
    <w:p w14:paraId="42E416AE" w14:textId="77777777" w:rsidR="00606029" w:rsidRDefault="00EA5B92">
      <w:pPr>
        <w:pStyle w:val="2"/>
      </w:pPr>
      <w:bookmarkStart w:id="31" w:name="_Toc26640"/>
      <w:bookmarkStart w:id="32" w:name="_Toc6427"/>
      <w:bookmarkStart w:id="33" w:name="_Toc220680441"/>
      <w:r>
        <w:t>1.3</w:t>
      </w:r>
      <w:r>
        <w:t>编制依据</w:t>
      </w:r>
      <w:bookmarkEnd w:id="31"/>
      <w:bookmarkEnd w:id="32"/>
      <w:bookmarkEnd w:id="33"/>
    </w:p>
    <w:p w14:paraId="4346F192" w14:textId="77777777" w:rsidR="00606029" w:rsidRDefault="00EA5B92">
      <w:pPr>
        <w:pStyle w:val="3"/>
        <w:numPr>
          <w:ilvl w:val="0"/>
          <w:numId w:val="0"/>
        </w:numPr>
        <w:tabs>
          <w:tab w:val="left" w:pos="720"/>
        </w:tabs>
        <w:ind w:left="720" w:hanging="720"/>
        <w:jc w:val="left"/>
        <w:rPr>
          <w:szCs w:val="28"/>
        </w:rPr>
      </w:pPr>
      <w:bookmarkStart w:id="34" w:name="_Toc220680442"/>
      <w:r>
        <w:rPr>
          <w:szCs w:val="28"/>
        </w:rPr>
        <w:t>1.3.1</w:t>
      </w:r>
      <w:r>
        <w:rPr>
          <w:szCs w:val="28"/>
        </w:rPr>
        <w:t>法律</w:t>
      </w:r>
      <w:bookmarkEnd w:id="34"/>
    </w:p>
    <w:p w14:paraId="13AE3825" w14:textId="77777777" w:rsidR="00606029" w:rsidRDefault="00EA5B92">
      <w:pPr>
        <w:pStyle w:val="affffff4"/>
      </w:pPr>
      <w:r>
        <w:t>（</w:t>
      </w:r>
      <w:r>
        <w:t>1</w:t>
      </w:r>
      <w:r>
        <w:t>）《中华人民共和国环境保护法》（</w:t>
      </w:r>
      <w:r>
        <w:t>2015</w:t>
      </w:r>
      <w:r>
        <w:t>年</w:t>
      </w:r>
      <w:r>
        <w:t>1</w:t>
      </w:r>
      <w:r>
        <w:t>月</w:t>
      </w:r>
      <w:r>
        <w:t>1</w:t>
      </w:r>
      <w:r>
        <w:t>日施行）；</w:t>
      </w:r>
    </w:p>
    <w:p w14:paraId="1DACAF92" w14:textId="77777777" w:rsidR="00606029" w:rsidRDefault="00EA5B92">
      <w:pPr>
        <w:pStyle w:val="affffff4"/>
      </w:pPr>
      <w:r>
        <w:t>（</w:t>
      </w:r>
      <w:r>
        <w:t>2</w:t>
      </w:r>
      <w:r>
        <w:t>）《中华人民共和国大气污染防治法》（</w:t>
      </w:r>
      <w:r>
        <w:t>2018</w:t>
      </w:r>
      <w:r>
        <w:t>年</w:t>
      </w:r>
      <w:r>
        <w:t>10</w:t>
      </w:r>
      <w:r>
        <w:t>月</w:t>
      </w:r>
      <w:r>
        <w:t>26</w:t>
      </w:r>
      <w:r>
        <w:t>日修订）；</w:t>
      </w:r>
    </w:p>
    <w:p w14:paraId="04D83C80" w14:textId="77777777" w:rsidR="00606029" w:rsidRDefault="00EA5B92">
      <w:pPr>
        <w:pStyle w:val="affffff4"/>
      </w:pPr>
      <w:r>
        <w:t>（</w:t>
      </w:r>
      <w:r>
        <w:t>3</w:t>
      </w:r>
      <w:r>
        <w:t>）《中华人民共和国水污染防治法》（</w:t>
      </w:r>
      <w:r>
        <w:t>2018</w:t>
      </w:r>
      <w:r>
        <w:t>年</w:t>
      </w:r>
      <w:r>
        <w:t>1</w:t>
      </w:r>
      <w:r>
        <w:t>月</w:t>
      </w:r>
      <w:r>
        <w:t>1</w:t>
      </w:r>
      <w:r>
        <w:t>日起施行）；</w:t>
      </w:r>
    </w:p>
    <w:p w14:paraId="7695A069" w14:textId="77777777" w:rsidR="00606029" w:rsidRDefault="00EA5B92">
      <w:pPr>
        <w:pStyle w:val="affffff4"/>
      </w:pPr>
      <w:r>
        <w:t>（</w:t>
      </w:r>
      <w:r>
        <w:t>4</w:t>
      </w:r>
      <w:r>
        <w:t>）《中华人民共和国固体废物污染环境防治法》（</w:t>
      </w:r>
      <w:r>
        <w:t>2020</w:t>
      </w:r>
      <w:r>
        <w:t>年</w:t>
      </w:r>
      <w:r>
        <w:t>9</w:t>
      </w:r>
      <w:r>
        <w:t>月</w:t>
      </w:r>
      <w:r>
        <w:t>1</w:t>
      </w:r>
      <w:r>
        <w:t>日起施行）；</w:t>
      </w:r>
    </w:p>
    <w:p w14:paraId="6537D8E6" w14:textId="77777777" w:rsidR="00606029" w:rsidRDefault="00EA5B92">
      <w:pPr>
        <w:pStyle w:val="affffff4"/>
      </w:pPr>
      <w:r>
        <w:t>（</w:t>
      </w:r>
      <w:r>
        <w:t>5</w:t>
      </w:r>
      <w:r>
        <w:t>）《中华人民共和国环境噪声污染防治法》（</w:t>
      </w:r>
      <w:r>
        <w:t>2021</w:t>
      </w:r>
      <w:r>
        <w:t>年</w:t>
      </w:r>
      <w:r>
        <w:t>12</w:t>
      </w:r>
      <w:r>
        <w:t>月</w:t>
      </w:r>
      <w:r>
        <w:t>24</w:t>
      </w:r>
      <w:r>
        <w:t>日修订）；</w:t>
      </w:r>
    </w:p>
    <w:p w14:paraId="2A88DA08" w14:textId="77777777" w:rsidR="00606029" w:rsidRDefault="00EA5B92">
      <w:pPr>
        <w:pStyle w:val="affffff4"/>
      </w:pPr>
      <w:r>
        <w:t>（</w:t>
      </w:r>
      <w:r>
        <w:t>6</w:t>
      </w:r>
      <w:r>
        <w:t>）《中华人民共和国土壤污染防治法》（</w:t>
      </w:r>
      <w:r>
        <w:t>2019</w:t>
      </w:r>
      <w:r>
        <w:t>年</w:t>
      </w:r>
      <w:r>
        <w:t>1</w:t>
      </w:r>
      <w:r>
        <w:t>月</w:t>
      </w:r>
      <w:r>
        <w:t>1</w:t>
      </w:r>
      <w:r>
        <w:t>日施行）；</w:t>
      </w:r>
    </w:p>
    <w:p w14:paraId="5F211CA7" w14:textId="77777777" w:rsidR="00606029" w:rsidRDefault="00EA5B92">
      <w:pPr>
        <w:pStyle w:val="affffff4"/>
      </w:pPr>
      <w:r>
        <w:t>（</w:t>
      </w:r>
      <w:r>
        <w:t>7</w:t>
      </w:r>
      <w:r>
        <w:t>）《中华人民共和国环境影响评价法》（</w:t>
      </w:r>
      <w:r>
        <w:t>2018</w:t>
      </w:r>
      <w:r>
        <w:t>年</w:t>
      </w:r>
      <w:r>
        <w:t>12</w:t>
      </w:r>
      <w:r>
        <w:t>月</w:t>
      </w:r>
      <w:r>
        <w:t>29</w:t>
      </w:r>
      <w:r>
        <w:t>日修订）；</w:t>
      </w:r>
    </w:p>
    <w:p w14:paraId="145511E8" w14:textId="77777777" w:rsidR="00606029" w:rsidRDefault="00EA5B92">
      <w:pPr>
        <w:pStyle w:val="affffff4"/>
      </w:pPr>
      <w:r>
        <w:t>（</w:t>
      </w:r>
      <w:r>
        <w:t>8</w:t>
      </w:r>
      <w:r>
        <w:t>）《中华人民共和国环境保护税法》（</w:t>
      </w:r>
      <w:r>
        <w:t>2018</w:t>
      </w:r>
      <w:r>
        <w:t>年</w:t>
      </w:r>
      <w:r>
        <w:t>1</w:t>
      </w:r>
      <w:r>
        <w:t>月</w:t>
      </w:r>
      <w:r>
        <w:t>1</w:t>
      </w:r>
      <w:r>
        <w:t>日施行）</w:t>
      </w:r>
    </w:p>
    <w:p w14:paraId="1E9C9F97" w14:textId="77777777" w:rsidR="00606029" w:rsidRDefault="00EA5B92">
      <w:pPr>
        <w:pStyle w:val="affffff4"/>
      </w:pPr>
      <w:r>
        <w:t>（</w:t>
      </w:r>
      <w:r>
        <w:t>9</w:t>
      </w:r>
      <w:r>
        <w:t>）《中华人民共和国清洁生产促进法》（</w:t>
      </w:r>
      <w:r>
        <w:t>2012</w:t>
      </w:r>
      <w:r>
        <w:t>年</w:t>
      </w:r>
      <w:r>
        <w:t>7</w:t>
      </w:r>
      <w:r>
        <w:t>月</w:t>
      </w:r>
      <w:r>
        <w:t>1</w:t>
      </w:r>
      <w:r>
        <w:t>日施行）；</w:t>
      </w:r>
    </w:p>
    <w:p w14:paraId="79A32112" w14:textId="77777777" w:rsidR="00606029" w:rsidRDefault="00EA5B92">
      <w:pPr>
        <w:pStyle w:val="affffff4"/>
      </w:pPr>
      <w:r>
        <w:t>（</w:t>
      </w:r>
      <w:r>
        <w:t>10</w:t>
      </w:r>
      <w:r>
        <w:t>）《中华人民共和国节约能源法》（</w:t>
      </w:r>
      <w:r>
        <w:t>2018</w:t>
      </w:r>
      <w:r>
        <w:t>年</w:t>
      </w:r>
      <w:r>
        <w:t>10</w:t>
      </w:r>
      <w:r>
        <w:t>月</w:t>
      </w:r>
      <w:r>
        <w:t>26</w:t>
      </w:r>
      <w:r>
        <w:t>日修订）；</w:t>
      </w:r>
    </w:p>
    <w:p w14:paraId="023898BE" w14:textId="77777777" w:rsidR="00606029" w:rsidRDefault="00EA5B92">
      <w:pPr>
        <w:pStyle w:val="affffff4"/>
      </w:pPr>
      <w:r>
        <w:t>（</w:t>
      </w:r>
      <w:r>
        <w:t>11</w:t>
      </w:r>
      <w:r>
        <w:t>）《中华人民共和国水法》（</w:t>
      </w:r>
      <w:r>
        <w:t>2016</w:t>
      </w:r>
      <w:r>
        <w:t>年</w:t>
      </w:r>
      <w:r>
        <w:t>7</w:t>
      </w:r>
      <w:r>
        <w:t>月修订）；</w:t>
      </w:r>
    </w:p>
    <w:p w14:paraId="50486566" w14:textId="77777777" w:rsidR="00606029" w:rsidRDefault="00EA5B92">
      <w:pPr>
        <w:pStyle w:val="affffff4"/>
      </w:pPr>
      <w:r>
        <w:t>（</w:t>
      </w:r>
      <w:r>
        <w:t>12</w:t>
      </w:r>
      <w:r>
        <w:t>）《中华人民共和国土地管理法》（</w:t>
      </w:r>
      <w:r>
        <w:t>2022</w:t>
      </w:r>
      <w:r>
        <w:t>年</w:t>
      </w:r>
      <w:r>
        <w:t>1</w:t>
      </w:r>
      <w:r>
        <w:t>月</w:t>
      </w:r>
      <w:r>
        <w:t>1</w:t>
      </w:r>
      <w:r>
        <w:t>日）；</w:t>
      </w:r>
    </w:p>
    <w:p w14:paraId="0466D2A0" w14:textId="77777777" w:rsidR="00606029" w:rsidRDefault="00EA5B92">
      <w:pPr>
        <w:pStyle w:val="affffff4"/>
      </w:pPr>
      <w:r>
        <w:t>（</w:t>
      </w:r>
      <w:r>
        <w:t>13</w:t>
      </w:r>
      <w:r>
        <w:t>）《中华人民共和国城乡规划法》（</w:t>
      </w:r>
      <w:r>
        <w:t>2019</w:t>
      </w:r>
      <w:r>
        <w:t>年</w:t>
      </w:r>
      <w:r>
        <w:t>4</w:t>
      </w:r>
      <w:r>
        <w:t>月</w:t>
      </w:r>
      <w:r>
        <w:t>23</w:t>
      </w:r>
      <w:r>
        <w:t>日）；</w:t>
      </w:r>
    </w:p>
    <w:p w14:paraId="77AB0310" w14:textId="77777777" w:rsidR="00606029" w:rsidRDefault="00EA5B92">
      <w:pPr>
        <w:pStyle w:val="affffff4"/>
      </w:pPr>
      <w:r>
        <w:t>（</w:t>
      </w:r>
      <w:r>
        <w:t>14</w:t>
      </w:r>
      <w:r>
        <w:t>）《中华人民共和国安全生产法》（</w:t>
      </w:r>
      <w:r>
        <w:t>2021</w:t>
      </w:r>
      <w:r>
        <w:t>年</w:t>
      </w:r>
      <w:r>
        <w:t>9</w:t>
      </w:r>
      <w:r>
        <w:t>月</w:t>
      </w:r>
      <w:r>
        <w:t>1</w:t>
      </w:r>
      <w:r>
        <w:t>日施行）；</w:t>
      </w:r>
    </w:p>
    <w:p w14:paraId="76A16CD4" w14:textId="77777777" w:rsidR="00606029" w:rsidRDefault="00EA5B92">
      <w:pPr>
        <w:pStyle w:val="affffff4"/>
      </w:pPr>
      <w:r>
        <w:t>（</w:t>
      </w:r>
      <w:r>
        <w:t>15</w:t>
      </w:r>
      <w:r>
        <w:t>）《中华人民共和国突发事件应对法》（</w:t>
      </w:r>
      <w:r>
        <w:t>2007</w:t>
      </w:r>
      <w:r>
        <w:t>年</w:t>
      </w:r>
      <w:r>
        <w:t>11</w:t>
      </w:r>
      <w:r>
        <w:t>月</w:t>
      </w:r>
      <w:r>
        <w:t>1</w:t>
      </w:r>
      <w:r>
        <w:t>日施行）；</w:t>
      </w:r>
    </w:p>
    <w:p w14:paraId="29D8F023" w14:textId="77777777" w:rsidR="00606029" w:rsidRDefault="00EA5B92">
      <w:pPr>
        <w:pStyle w:val="affffff4"/>
      </w:pPr>
      <w:r>
        <w:t>（</w:t>
      </w:r>
      <w:r>
        <w:t>16</w:t>
      </w:r>
      <w:r>
        <w:t>）《中华人民共和国循环经济促进法》（</w:t>
      </w:r>
      <w:r>
        <w:t>2018</w:t>
      </w:r>
      <w:r>
        <w:t>年</w:t>
      </w:r>
      <w:r>
        <w:t>10</w:t>
      </w:r>
      <w:r>
        <w:t>月</w:t>
      </w:r>
      <w:r>
        <w:t>26</w:t>
      </w:r>
      <w:r>
        <w:t>日修订）；</w:t>
      </w:r>
    </w:p>
    <w:p w14:paraId="02813095" w14:textId="77777777" w:rsidR="00606029" w:rsidRDefault="00EA5B92">
      <w:pPr>
        <w:pStyle w:val="affffff4"/>
      </w:pPr>
      <w:r>
        <w:t>（</w:t>
      </w:r>
      <w:r>
        <w:t>17</w:t>
      </w:r>
      <w:r>
        <w:t>）《中华人民共和国长江保护法》（</w:t>
      </w:r>
      <w:r>
        <w:t>2021</w:t>
      </w:r>
      <w:r>
        <w:t>年</w:t>
      </w:r>
      <w:r>
        <w:t>3</w:t>
      </w:r>
      <w:r>
        <w:t>月</w:t>
      </w:r>
      <w:r>
        <w:t>1</w:t>
      </w:r>
      <w:r>
        <w:t>日施行）。</w:t>
      </w:r>
    </w:p>
    <w:p w14:paraId="31316AA5" w14:textId="77777777" w:rsidR="00606029" w:rsidRDefault="00EA5B92">
      <w:pPr>
        <w:pStyle w:val="3"/>
      </w:pPr>
      <w:bookmarkStart w:id="35" w:name="_Toc220680443"/>
      <w:r>
        <w:t>1.3.2</w:t>
      </w:r>
      <w:r>
        <w:t>行政法规与国务院发布的规范性文件</w:t>
      </w:r>
      <w:bookmarkEnd w:id="35"/>
    </w:p>
    <w:p w14:paraId="4FD4FD5B" w14:textId="77777777" w:rsidR="00606029" w:rsidRDefault="00EA5B92">
      <w:pPr>
        <w:pStyle w:val="affffff4"/>
      </w:pPr>
      <w:r>
        <w:t>（</w:t>
      </w:r>
      <w:r>
        <w:t>1</w:t>
      </w:r>
      <w:r>
        <w:t>）《建设项目环境保护管理条例》（国务院令第</w:t>
      </w:r>
      <w:r>
        <w:t>682</w:t>
      </w:r>
      <w:r>
        <w:t>号，</w:t>
      </w:r>
      <w:r>
        <w:t>2017</w:t>
      </w:r>
      <w:r>
        <w:t>年</w:t>
      </w:r>
      <w:r>
        <w:t>10</w:t>
      </w:r>
      <w:r>
        <w:t>月</w:t>
      </w:r>
      <w:r>
        <w:t>1</w:t>
      </w:r>
      <w:r>
        <w:t>日）；</w:t>
      </w:r>
    </w:p>
    <w:p w14:paraId="39086C7E" w14:textId="77777777" w:rsidR="00606029" w:rsidRDefault="00EA5B92">
      <w:pPr>
        <w:pStyle w:val="affffff4"/>
      </w:pPr>
      <w:r>
        <w:t>（</w:t>
      </w:r>
      <w:r>
        <w:t>2</w:t>
      </w:r>
      <w:r>
        <w:t>）《排污许可管理条例》（国务院令第</w:t>
      </w:r>
      <w:r>
        <w:t>736</w:t>
      </w:r>
      <w:r>
        <w:t>号，</w:t>
      </w:r>
      <w:r>
        <w:t>2021</w:t>
      </w:r>
      <w:r>
        <w:t>年</w:t>
      </w:r>
      <w:r>
        <w:t>1</w:t>
      </w:r>
      <w:r>
        <w:t>月</w:t>
      </w:r>
      <w:r>
        <w:t>24</w:t>
      </w:r>
      <w:r>
        <w:t>日）；</w:t>
      </w:r>
    </w:p>
    <w:p w14:paraId="1336EED9" w14:textId="77777777" w:rsidR="00606029" w:rsidRDefault="00EA5B92">
      <w:pPr>
        <w:pStyle w:val="affffff4"/>
      </w:pPr>
      <w:r>
        <w:t>（</w:t>
      </w:r>
      <w:r>
        <w:t>3</w:t>
      </w:r>
      <w:r>
        <w:t>）《危险化学品安全管理条例》（国务院令第</w:t>
      </w:r>
      <w:r>
        <w:t>645</w:t>
      </w:r>
      <w:r>
        <w:t>号，</w:t>
      </w:r>
      <w:r>
        <w:t>2013</w:t>
      </w:r>
      <w:r>
        <w:t>年</w:t>
      </w:r>
      <w:r>
        <w:t>12</w:t>
      </w:r>
      <w:r>
        <w:t>月</w:t>
      </w:r>
      <w:r>
        <w:t>7</w:t>
      </w:r>
      <w:r>
        <w:t>日）；</w:t>
      </w:r>
    </w:p>
    <w:p w14:paraId="3D75C2D7" w14:textId="77777777" w:rsidR="00606029" w:rsidRDefault="00EA5B92">
      <w:pPr>
        <w:pStyle w:val="affffff4"/>
      </w:pPr>
      <w:r>
        <w:lastRenderedPageBreak/>
        <w:t>（</w:t>
      </w:r>
      <w:r>
        <w:t>4</w:t>
      </w:r>
      <w:r>
        <w:t>）《中华人民共和国土地管理法实施条例》（</w:t>
      </w:r>
      <w:r>
        <w:t>2021</w:t>
      </w:r>
      <w:r>
        <w:t>年</w:t>
      </w:r>
      <w:r>
        <w:t>4</w:t>
      </w:r>
      <w:r>
        <w:t>月</w:t>
      </w:r>
      <w:r>
        <w:t>21</w:t>
      </w:r>
      <w:r>
        <w:t>日）；</w:t>
      </w:r>
    </w:p>
    <w:p w14:paraId="69C07AEF" w14:textId="77777777" w:rsidR="00606029" w:rsidRDefault="00EA5B92">
      <w:pPr>
        <w:pStyle w:val="affffff4"/>
      </w:pPr>
      <w:r>
        <w:t>（</w:t>
      </w:r>
      <w:r>
        <w:t>5</w:t>
      </w:r>
      <w:r>
        <w:t>）《中华人民共和国环境保护税法实施条例》（国务院令第</w:t>
      </w:r>
      <w:r>
        <w:t>693</w:t>
      </w:r>
      <w:r>
        <w:t>号，</w:t>
      </w:r>
      <w:r>
        <w:t>2018</w:t>
      </w:r>
      <w:r>
        <w:t>年</w:t>
      </w:r>
      <w:r>
        <w:t>1</w:t>
      </w:r>
      <w:r>
        <w:t>月</w:t>
      </w:r>
      <w:r>
        <w:t>1</w:t>
      </w:r>
      <w:r>
        <w:t>日）；</w:t>
      </w:r>
    </w:p>
    <w:p w14:paraId="183911F2" w14:textId="77777777" w:rsidR="00606029" w:rsidRDefault="00EA5B92">
      <w:pPr>
        <w:pStyle w:val="affffff4"/>
      </w:pPr>
      <w:r>
        <w:t>（</w:t>
      </w:r>
      <w:r>
        <w:t>6</w:t>
      </w:r>
      <w:r>
        <w:t>）《地下水管理条例》（国令第</w:t>
      </w:r>
      <w:r>
        <w:t>748</w:t>
      </w:r>
      <w:r>
        <w:t>号，</w:t>
      </w:r>
      <w:r>
        <w:t>2021</w:t>
      </w:r>
      <w:r>
        <w:t>年</w:t>
      </w:r>
      <w:r>
        <w:t>11</w:t>
      </w:r>
      <w:r>
        <w:t>月</w:t>
      </w:r>
      <w:r>
        <w:t>9</w:t>
      </w:r>
      <w:r>
        <w:t>日）；）</w:t>
      </w:r>
    </w:p>
    <w:p w14:paraId="607232B3" w14:textId="77777777" w:rsidR="00606029" w:rsidRDefault="00EA5B92">
      <w:pPr>
        <w:pStyle w:val="affffff4"/>
      </w:pPr>
      <w:r>
        <w:t>（</w:t>
      </w:r>
      <w:r>
        <w:t>7</w:t>
      </w:r>
      <w:r>
        <w:t>）《突发事件应急预案管理办法》（国办发〔</w:t>
      </w:r>
      <w:r>
        <w:t>2013</w:t>
      </w:r>
      <w:r>
        <w:t>〕</w:t>
      </w:r>
      <w:r>
        <w:t>101</w:t>
      </w:r>
      <w:r>
        <w:t>号）；</w:t>
      </w:r>
    </w:p>
    <w:p w14:paraId="180FE94D" w14:textId="77777777" w:rsidR="00606029" w:rsidRDefault="00EA5B92">
      <w:pPr>
        <w:pStyle w:val="affffff4"/>
      </w:pPr>
      <w:r>
        <w:t>（</w:t>
      </w:r>
      <w:r>
        <w:t>8</w:t>
      </w:r>
      <w:r>
        <w:t>）《关于划定并严守生态保护红线的若干意见》（</w:t>
      </w:r>
      <w:r>
        <w:t>2017</w:t>
      </w:r>
      <w:r>
        <w:t>年</w:t>
      </w:r>
      <w:r>
        <w:t>2</w:t>
      </w:r>
      <w:r>
        <w:t>月</w:t>
      </w:r>
      <w:r>
        <w:t>7</w:t>
      </w:r>
      <w:r>
        <w:t>日）</w:t>
      </w:r>
    </w:p>
    <w:p w14:paraId="3575F482" w14:textId="77777777" w:rsidR="00606029" w:rsidRDefault="00EA5B92">
      <w:pPr>
        <w:pStyle w:val="affffff4"/>
      </w:pPr>
      <w:r>
        <w:t>（</w:t>
      </w:r>
      <w:r>
        <w:t>9</w:t>
      </w:r>
      <w:r>
        <w:t>）《城镇排水与污水处理条例》（国务院令第</w:t>
      </w:r>
      <w:r>
        <w:t>641</w:t>
      </w:r>
      <w:r>
        <w:t>号，</w:t>
      </w:r>
      <w:r>
        <w:t>2014</w:t>
      </w:r>
      <w:r>
        <w:t>年</w:t>
      </w:r>
      <w:r>
        <w:t>1</w:t>
      </w:r>
      <w:r>
        <w:t>月</w:t>
      </w:r>
      <w:r>
        <w:t>1</w:t>
      </w:r>
      <w:r>
        <w:t>日）</w:t>
      </w:r>
    </w:p>
    <w:p w14:paraId="0931E849" w14:textId="77777777" w:rsidR="00606029" w:rsidRDefault="00EA5B92">
      <w:pPr>
        <w:pStyle w:val="affffff4"/>
      </w:pPr>
      <w:r>
        <w:t>（</w:t>
      </w:r>
      <w:r>
        <w:t>10</w:t>
      </w:r>
      <w:r>
        <w:t>）《国务院关于印发打赢蓝天保卫战三年行动计划的通知》（国发</w:t>
      </w:r>
      <w:r>
        <w:t>[2018]22</w:t>
      </w:r>
      <w:r>
        <w:t>）</w:t>
      </w:r>
    </w:p>
    <w:p w14:paraId="5AA8EFD1" w14:textId="77777777" w:rsidR="00606029" w:rsidRDefault="00EA5B92">
      <w:pPr>
        <w:pStyle w:val="affffff4"/>
      </w:pPr>
      <w:r>
        <w:t>（</w:t>
      </w:r>
      <w:r>
        <w:t>11</w:t>
      </w:r>
      <w:r>
        <w:t>）《国务院关于加强环境保护重点工作的意见》（国发</w:t>
      </w:r>
      <w:r>
        <w:t>[2011]35</w:t>
      </w:r>
      <w:r>
        <w:t>号）；</w:t>
      </w:r>
    </w:p>
    <w:p w14:paraId="1E0500B7" w14:textId="77777777" w:rsidR="00606029" w:rsidRDefault="00EA5B92">
      <w:pPr>
        <w:pStyle w:val="affffff4"/>
      </w:pPr>
      <w:r>
        <w:t>（</w:t>
      </w:r>
      <w:r>
        <w:t>12</w:t>
      </w:r>
      <w:r>
        <w:t>）《国务院关于印发大气污染防治行动计划的通知》（国发〔</w:t>
      </w:r>
      <w:r>
        <w:t>2013</w:t>
      </w:r>
      <w:r>
        <w:t>〕</w:t>
      </w:r>
      <w:r>
        <w:t>37</w:t>
      </w:r>
      <w:r>
        <w:t>号）；</w:t>
      </w:r>
    </w:p>
    <w:p w14:paraId="40F93383" w14:textId="77777777" w:rsidR="00606029" w:rsidRDefault="00EA5B92">
      <w:pPr>
        <w:pStyle w:val="affffff4"/>
      </w:pPr>
      <w:r>
        <w:t>（</w:t>
      </w:r>
      <w:r>
        <w:t>13</w:t>
      </w:r>
      <w:r>
        <w:t>）《国务院关于印发水污染防治行动计划的通知》（国发</w:t>
      </w:r>
      <w:r>
        <w:t>[2015]17</w:t>
      </w:r>
      <w:r>
        <w:t>号）；</w:t>
      </w:r>
    </w:p>
    <w:p w14:paraId="333A09EC" w14:textId="77777777" w:rsidR="00606029" w:rsidRDefault="00EA5B92">
      <w:pPr>
        <w:pStyle w:val="affffff4"/>
      </w:pPr>
      <w:r>
        <w:t>（</w:t>
      </w:r>
      <w:r>
        <w:t>14</w:t>
      </w:r>
      <w:r>
        <w:t>）《国务院关于印发土壤污染防治行动计划的通知》（国发〔</w:t>
      </w:r>
      <w:r>
        <w:t>2016</w:t>
      </w:r>
      <w:r>
        <w:t>〕</w:t>
      </w:r>
      <w:r>
        <w:t>31</w:t>
      </w:r>
      <w:r>
        <w:t>号）；</w:t>
      </w:r>
    </w:p>
    <w:p w14:paraId="549B7AB3" w14:textId="77777777" w:rsidR="00606029" w:rsidRDefault="00EA5B92">
      <w:pPr>
        <w:pStyle w:val="affffff4"/>
      </w:pPr>
      <w:r>
        <w:t>（</w:t>
      </w:r>
      <w:r>
        <w:t>15</w:t>
      </w:r>
      <w:r>
        <w:t>）《关于在国土空间规划中统筹划定落实三条控制线的指导意见》；</w:t>
      </w:r>
    </w:p>
    <w:p w14:paraId="6BBF084E" w14:textId="77777777" w:rsidR="00606029" w:rsidRDefault="00EA5B92">
      <w:pPr>
        <w:pStyle w:val="affffff4"/>
      </w:pPr>
      <w:r>
        <w:t>（</w:t>
      </w:r>
      <w:r>
        <w:t>16</w:t>
      </w:r>
      <w:r>
        <w:t>）《中共中央、国务院关于深入打好污染防治攻坚战的意见》（</w:t>
      </w:r>
      <w:r>
        <w:t>2021.11</w:t>
      </w:r>
      <w:r>
        <w:t>）；</w:t>
      </w:r>
    </w:p>
    <w:p w14:paraId="353EAD67" w14:textId="77777777" w:rsidR="00606029" w:rsidRDefault="00EA5B92">
      <w:pPr>
        <w:pStyle w:val="3"/>
      </w:pPr>
      <w:bookmarkStart w:id="36" w:name="_Toc220680444"/>
      <w:r>
        <w:t>1.3.3</w:t>
      </w:r>
      <w:r>
        <w:t>部门规章</w:t>
      </w:r>
      <w:bookmarkEnd w:id="36"/>
    </w:p>
    <w:p w14:paraId="408F1F7C" w14:textId="77777777" w:rsidR="00606029" w:rsidRDefault="00EA5B92">
      <w:pPr>
        <w:pStyle w:val="affffff4"/>
      </w:pPr>
      <w:r>
        <w:t>（</w:t>
      </w:r>
      <w:r>
        <w:t>1</w:t>
      </w:r>
      <w:r>
        <w:t>）《建设项目环境影响评价分类管理名录（</w:t>
      </w:r>
      <w:r>
        <w:t>2021</w:t>
      </w:r>
      <w:r>
        <w:t>年版）》（部令第</w:t>
      </w:r>
      <w:r>
        <w:t>16</w:t>
      </w:r>
      <w:r>
        <w:t>号）；</w:t>
      </w:r>
    </w:p>
    <w:p w14:paraId="4DB7B46F" w14:textId="77777777" w:rsidR="00606029" w:rsidRDefault="00EA5B92">
      <w:pPr>
        <w:pStyle w:val="affffff4"/>
      </w:pPr>
      <w:r>
        <w:t>（</w:t>
      </w:r>
      <w:r>
        <w:t>2</w:t>
      </w:r>
      <w:r>
        <w:t>）《关于加强生态保护监管工作的意见》（环生态〔</w:t>
      </w:r>
      <w:r>
        <w:t>2020</w:t>
      </w:r>
      <w:r>
        <w:t>〕</w:t>
      </w:r>
      <w:r>
        <w:t>73</w:t>
      </w:r>
      <w:r>
        <w:t>号）；</w:t>
      </w:r>
    </w:p>
    <w:p w14:paraId="1B91DEBE" w14:textId="77777777" w:rsidR="00606029" w:rsidRDefault="00EA5B92">
      <w:pPr>
        <w:pStyle w:val="affffff4"/>
      </w:pPr>
      <w:r>
        <w:t>（</w:t>
      </w:r>
      <w:r>
        <w:t>3</w:t>
      </w:r>
      <w:r>
        <w:t>）《关于印发《建设项目环境影响评价政府信息公开指南（试行）》的通知》（环办〔</w:t>
      </w:r>
      <w:r>
        <w:t>2013</w:t>
      </w:r>
      <w:r>
        <w:t>〕</w:t>
      </w:r>
      <w:r>
        <w:t>103</w:t>
      </w:r>
      <w:r>
        <w:t>号）；</w:t>
      </w:r>
    </w:p>
    <w:p w14:paraId="461ADF63" w14:textId="77777777" w:rsidR="00606029" w:rsidRDefault="00EA5B92">
      <w:pPr>
        <w:pStyle w:val="affffff4"/>
      </w:pPr>
      <w:r>
        <w:t>（</w:t>
      </w:r>
      <w:r>
        <w:t>4</w:t>
      </w:r>
      <w:r>
        <w:t>）《突发环境事件应急管理办法》（环保部部令</w:t>
      </w:r>
      <w:r>
        <w:t>2015</w:t>
      </w:r>
      <w:r>
        <w:t>年第</w:t>
      </w:r>
      <w:r>
        <w:t>34</w:t>
      </w:r>
      <w:r>
        <w:t>号）；</w:t>
      </w:r>
    </w:p>
    <w:p w14:paraId="0FF8B3EE" w14:textId="77777777" w:rsidR="00606029" w:rsidRDefault="00EA5B92">
      <w:pPr>
        <w:pStyle w:val="affffff4"/>
      </w:pPr>
      <w:r>
        <w:t>（</w:t>
      </w:r>
      <w:r>
        <w:t>5</w:t>
      </w:r>
      <w:r>
        <w:t>）《环境影响评价公众参与办法》（生态环境部令部令第</w:t>
      </w:r>
      <w:r>
        <w:t>4</w:t>
      </w:r>
      <w:r>
        <w:t>号）；</w:t>
      </w:r>
    </w:p>
    <w:p w14:paraId="531B7891" w14:textId="77777777" w:rsidR="00606029" w:rsidRDefault="00EA5B92">
      <w:pPr>
        <w:pStyle w:val="affffff4"/>
      </w:pPr>
      <w:r>
        <w:t>（</w:t>
      </w:r>
      <w:r>
        <w:t>6</w:t>
      </w:r>
      <w:r>
        <w:t>）《全国生态功能区划（修编版）》（环境保护部、中国科学院公告</w:t>
      </w:r>
      <w:r>
        <w:t>2015</w:t>
      </w:r>
      <w:r>
        <w:t>年第</w:t>
      </w:r>
      <w:r>
        <w:t>61</w:t>
      </w:r>
      <w:r>
        <w:t>号）；</w:t>
      </w:r>
    </w:p>
    <w:p w14:paraId="5FED3AF9" w14:textId="77777777" w:rsidR="00606029" w:rsidRDefault="00EA5B92">
      <w:pPr>
        <w:pStyle w:val="affffff4"/>
      </w:pPr>
      <w:r>
        <w:t>（</w:t>
      </w:r>
      <w:r>
        <w:t>7</w:t>
      </w:r>
      <w:r>
        <w:t>）《关于进一步加强环境影响评价管理防范环境风险的通知》（环发〔</w:t>
      </w:r>
      <w:r>
        <w:t>2012</w:t>
      </w:r>
      <w:r>
        <w:t>〕</w:t>
      </w:r>
      <w:r>
        <w:t>77</w:t>
      </w:r>
      <w:r>
        <w:t>号）；</w:t>
      </w:r>
    </w:p>
    <w:p w14:paraId="2AFC5CAB" w14:textId="77777777" w:rsidR="00606029" w:rsidRDefault="00EA5B92">
      <w:pPr>
        <w:pStyle w:val="affffff4"/>
      </w:pPr>
      <w:r>
        <w:t>（</w:t>
      </w:r>
      <w:r>
        <w:t>8</w:t>
      </w:r>
      <w:r>
        <w:t>）《关于强化建设项目环境影响评价事中事后监管的实施意见》（环环评〔</w:t>
      </w:r>
      <w:r>
        <w:t>2018</w:t>
      </w:r>
      <w:r>
        <w:t>〕</w:t>
      </w:r>
      <w:r>
        <w:t>11</w:t>
      </w:r>
      <w:r>
        <w:t>号）；</w:t>
      </w:r>
    </w:p>
    <w:p w14:paraId="2E7BC96A" w14:textId="77777777" w:rsidR="00606029" w:rsidRDefault="00EA5B92">
      <w:pPr>
        <w:pStyle w:val="affffff4"/>
      </w:pPr>
      <w:r>
        <w:t>（</w:t>
      </w:r>
      <w:r>
        <w:t>9</w:t>
      </w:r>
      <w:r>
        <w:t>）《关于以改善环境质量为核心加强环境影响评价管理的通知》（环环评〔</w:t>
      </w:r>
      <w:r>
        <w:t>2016</w:t>
      </w:r>
      <w:r>
        <w:t>〕</w:t>
      </w:r>
      <w:r>
        <w:t>150</w:t>
      </w:r>
      <w:r>
        <w:t>号）；</w:t>
      </w:r>
    </w:p>
    <w:p w14:paraId="5DEAB150" w14:textId="77777777" w:rsidR="00606029" w:rsidRDefault="00EA5B92">
      <w:pPr>
        <w:pStyle w:val="affffff4"/>
      </w:pPr>
      <w:r>
        <w:t>（</w:t>
      </w:r>
      <w:r>
        <w:t>10</w:t>
      </w:r>
      <w:r>
        <w:t>）《企业事业单位环境信息公开办法》（环境保护部部令第</w:t>
      </w:r>
      <w:r>
        <w:t>31</w:t>
      </w:r>
      <w:r>
        <w:t>号）；</w:t>
      </w:r>
    </w:p>
    <w:p w14:paraId="0FA120AF" w14:textId="77777777" w:rsidR="00606029" w:rsidRDefault="00EA5B92">
      <w:pPr>
        <w:pStyle w:val="affffff4"/>
      </w:pPr>
      <w:r>
        <w:lastRenderedPageBreak/>
        <w:t>（</w:t>
      </w:r>
      <w:r>
        <w:t>11</w:t>
      </w:r>
      <w:r>
        <w:t>）《关于加强规划环境影响评价与建设项目环境影响评价联动工作的意见》（环发〔</w:t>
      </w:r>
      <w:r>
        <w:t>2015</w:t>
      </w:r>
      <w:r>
        <w:t>〕</w:t>
      </w:r>
      <w:r>
        <w:t>178</w:t>
      </w:r>
      <w:r>
        <w:t>号）；</w:t>
      </w:r>
    </w:p>
    <w:p w14:paraId="336F8C27" w14:textId="77777777" w:rsidR="00606029" w:rsidRDefault="00EA5B92">
      <w:pPr>
        <w:pStyle w:val="affffff4"/>
      </w:pPr>
      <w:r>
        <w:t>（</w:t>
      </w:r>
      <w:r>
        <w:t>12</w:t>
      </w:r>
      <w:r>
        <w:t>）《关于落实大气污染防治行动计划严格环境影响评价准入的通知》（环办〔</w:t>
      </w:r>
      <w:r>
        <w:t>2014</w:t>
      </w:r>
      <w:r>
        <w:t>〕</w:t>
      </w:r>
      <w:r>
        <w:t>30</w:t>
      </w:r>
      <w:r>
        <w:t>号）；</w:t>
      </w:r>
    </w:p>
    <w:p w14:paraId="59607EF2" w14:textId="77777777" w:rsidR="00606029" w:rsidRDefault="00EA5B92">
      <w:pPr>
        <w:pStyle w:val="affffff4"/>
      </w:pPr>
      <w:r>
        <w:t>（</w:t>
      </w:r>
      <w:r>
        <w:t>13</w:t>
      </w:r>
      <w:r>
        <w:t>）《企业突发环境事件风险评估指南（试行）》（环办〔</w:t>
      </w:r>
      <w:r>
        <w:t>2014</w:t>
      </w:r>
      <w:r>
        <w:t>〕</w:t>
      </w:r>
      <w:r>
        <w:t>34</w:t>
      </w:r>
      <w:r>
        <w:t>号）；</w:t>
      </w:r>
    </w:p>
    <w:p w14:paraId="65F2EE64" w14:textId="77777777" w:rsidR="00606029" w:rsidRDefault="00EA5B92">
      <w:pPr>
        <w:pStyle w:val="affffff4"/>
      </w:pPr>
      <w:r>
        <w:t>（</w:t>
      </w:r>
      <w:r>
        <w:t>14</w:t>
      </w:r>
      <w:r>
        <w:t>）《关于加强污染源环境监管信息公开工作的通知》（环发〔</w:t>
      </w:r>
      <w:r>
        <w:t>2013</w:t>
      </w:r>
      <w:r>
        <w:t>〕</w:t>
      </w:r>
      <w:r>
        <w:t>74</w:t>
      </w:r>
      <w:r>
        <w:t>号）；</w:t>
      </w:r>
    </w:p>
    <w:p w14:paraId="33B0626C" w14:textId="77777777" w:rsidR="00606029" w:rsidRDefault="00EA5B92">
      <w:pPr>
        <w:pStyle w:val="affffff4"/>
      </w:pPr>
      <w:r>
        <w:t>（</w:t>
      </w:r>
      <w:r>
        <w:t>15</w:t>
      </w:r>
      <w:r>
        <w:t>）《关于切实加强环境影响评价监督管理工作的通知》（环办〔</w:t>
      </w:r>
      <w:r>
        <w:t>2013</w:t>
      </w:r>
      <w:r>
        <w:t>〕</w:t>
      </w:r>
      <w:r>
        <w:t>104</w:t>
      </w:r>
      <w:r>
        <w:t>号）；</w:t>
      </w:r>
    </w:p>
    <w:p w14:paraId="10BC98E3" w14:textId="77777777" w:rsidR="00606029" w:rsidRDefault="00EA5B92">
      <w:pPr>
        <w:pStyle w:val="affffff4"/>
      </w:pPr>
      <w:r>
        <w:t>（</w:t>
      </w:r>
      <w:r>
        <w:t>16</w:t>
      </w:r>
      <w:r>
        <w:t>）《关于贯彻实施国家主体功能区环境政策的若干意见》（环发〔</w:t>
      </w:r>
      <w:r>
        <w:t>2015</w:t>
      </w:r>
      <w:r>
        <w:t>〕</w:t>
      </w:r>
      <w:r>
        <w:t>92</w:t>
      </w:r>
      <w:r>
        <w:t>号）；</w:t>
      </w:r>
    </w:p>
    <w:p w14:paraId="2E41F32A" w14:textId="77777777" w:rsidR="00606029" w:rsidRDefault="00EA5B92">
      <w:pPr>
        <w:pStyle w:val="affffff4"/>
      </w:pPr>
      <w:r>
        <w:t>（</w:t>
      </w:r>
      <w:r>
        <w:t>17</w:t>
      </w:r>
      <w:r>
        <w:t>）《国务院办公厅关于印发控制污染物排放许可制实施方案的通知》（国办发〔</w:t>
      </w:r>
      <w:r>
        <w:t>2016</w:t>
      </w:r>
      <w:r>
        <w:t>〕</w:t>
      </w:r>
      <w:r>
        <w:t>81</w:t>
      </w:r>
      <w:r>
        <w:t>号）；</w:t>
      </w:r>
    </w:p>
    <w:p w14:paraId="331A5CAA" w14:textId="77777777" w:rsidR="00606029" w:rsidRDefault="00EA5B92">
      <w:pPr>
        <w:pStyle w:val="affffff4"/>
      </w:pPr>
      <w:r>
        <w:t>（</w:t>
      </w:r>
      <w:r>
        <w:t>18</w:t>
      </w:r>
      <w:r>
        <w:t>）《关于加强西部地区环境影响评价工作的通知》（环发〔</w:t>
      </w:r>
      <w:r>
        <w:t>2011</w:t>
      </w:r>
      <w:r>
        <w:t>〕</w:t>
      </w:r>
      <w:r>
        <w:t>150</w:t>
      </w:r>
      <w:r>
        <w:t>号）；</w:t>
      </w:r>
    </w:p>
    <w:p w14:paraId="1561A766" w14:textId="77777777" w:rsidR="00606029" w:rsidRDefault="00EA5B92">
      <w:pPr>
        <w:pStyle w:val="affffff4"/>
      </w:pPr>
      <w:r>
        <w:t>（</w:t>
      </w:r>
      <w:r>
        <w:t>19</w:t>
      </w:r>
      <w:r>
        <w:t>）《建设项目环境影响评价文件分级审批规定》（国家环境保护部令第</w:t>
      </w:r>
      <w:r>
        <w:t>5</w:t>
      </w:r>
      <w:r>
        <w:t>号）；</w:t>
      </w:r>
    </w:p>
    <w:p w14:paraId="5E5FAC06" w14:textId="77777777" w:rsidR="00606029" w:rsidRDefault="00EA5B92">
      <w:pPr>
        <w:pStyle w:val="affffff4"/>
      </w:pPr>
      <w:r>
        <w:t>（</w:t>
      </w:r>
      <w:r>
        <w:t>20</w:t>
      </w:r>
      <w:r>
        <w:t>）《关于加强资源环境生态红线管控的指导意见》（发改环资〔</w:t>
      </w:r>
      <w:r>
        <w:t>2016</w:t>
      </w:r>
      <w:r>
        <w:t>〕</w:t>
      </w:r>
      <w:r>
        <w:t>1162</w:t>
      </w:r>
      <w:r>
        <w:t>号）；</w:t>
      </w:r>
    </w:p>
    <w:p w14:paraId="17575652" w14:textId="77777777" w:rsidR="00606029" w:rsidRDefault="00EA5B92">
      <w:pPr>
        <w:pStyle w:val="affffff4"/>
      </w:pPr>
      <w:r>
        <w:t>（</w:t>
      </w:r>
      <w:r>
        <w:t>21</w:t>
      </w:r>
      <w:r>
        <w:t>）《关于切实加强风险防范严格环境影响评价管理的通知》（环发〔</w:t>
      </w:r>
      <w:r>
        <w:t>2012</w:t>
      </w:r>
      <w:r>
        <w:t>〕</w:t>
      </w:r>
      <w:r>
        <w:t>98</w:t>
      </w:r>
      <w:r>
        <w:t>号）；</w:t>
      </w:r>
    </w:p>
    <w:p w14:paraId="0C975019" w14:textId="77777777" w:rsidR="00606029" w:rsidRDefault="00EA5B92">
      <w:pPr>
        <w:pStyle w:val="affffff4"/>
      </w:pPr>
      <w:r>
        <w:t>（</w:t>
      </w:r>
      <w:r>
        <w:t>22</w:t>
      </w:r>
      <w:r>
        <w:t>）《关于以改善环境质量为核心加强环境影响评价管理的通知》（环环评〔</w:t>
      </w:r>
      <w:r>
        <w:t>2016</w:t>
      </w:r>
      <w:r>
        <w:t>〕</w:t>
      </w:r>
      <w:r>
        <w:t>150</w:t>
      </w:r>
      <w:r>
        <w:t>号）；</w:t>
      </w:r>
    </w:p>
    <w:p w14:paraId="23E88D6D" w14:textId="77777777" w:rsidR="00606029" w:rsidRDefault="00EA5B92">
      <w:pPr>
        <w:pStyle w:val="affffff4"/>
      </w:pPr>
      <w:r>
        <w:t>（</w:t>
      </w:r>
      <w:r>
        <w:t>23</w:t>
      </w:r>
      <w:r>
        <w:t>）《国务院办公厅关于印发控制污染物排放许可制实施方案的通知》（国办发〔</w:t>
      </w:r>
      <w:r>
        <w:t>2016</w:t>
      </w:r>
      <w:r>
        <w:t>〕</w:t>
      </w:r>
      <w:r>
        <w:t>81</w:t>
      </w:r>
      <w:r>
        <w:t>号）；</w:t>
      </w:r>
    </w:p>
    <w:p w14:paraId="2B8646DF" w14:textId="77777777" w:rsidR="00606029" w:rsidRDefault="00EA5B92">
      <w:pPr>
        <w:pStyle w:val="affffff4"/>
      </w:pPr>
      <w:r>
        <w:t>（</w:t>
      </w:r>
      <w:r>
        <w:t>24</w:t>
      </w:r>
      <w:r>
        <w:t>）《排污许可管理办法》（</w:t>
      </w:r>
      <w:r>
        <w:t>2024</w:t>
      </w:r>
      <w:r>
        <w:t>年，生态环境部令第</w:t>
      </w:r>
      <w:r>
        <w:t>32</w:t>
      </w:r>
      <w:r>
        <w:t>号）；</w:t>
      </w:r>
    </w:p>
    <w:p w14:paraId="59599C4C" w14:textId="77777777" w:rsidR="00606029" w:rsidRDefault="00EA5B92">
      <w:pPr>
        <w:pStyle w:val="affffff4"/>
      </w:pPr>
      <w:r>
        <w:t>（</w:t>
      </w:r>
      <w:r>
        <w:t>25</w:t>
      </w:r>
      <w:r>
        <w:t>）《固定污染源排污许可分类管理目录》（</w:t>
      </w:r>
      <w:r>
        <w:t>2019</w:t>
      </w:r>
      <w:r>
        <w:t>年版）；</w:t>
      </w:r>
    </w:p>
    <w:p w14:paraId="5DCDEDCB" w14:textId="77777777" w:rsidR="00606029" w:rsidRDefault="00EA5B92">
      <w:pPr>
        <w:pStyle w:val="affffff4"/>
      </w:pPr>
      <w:r>
        <w:t>（</w:t>
      </w:r>
      <w:r>
        <w:t>26</w:t>
      </w:r>
      <w:r>
        <w:t>）《国家危险废物名录》（</w:t>
      </w:r>
      <w:r>
        <w:t>2025</w:t>
      </w:r>
      <w:r>
        <w:t>年版）（</w:t>
      </w:r>
      <w:r>
        <w:t>2025</w:t>
      </w:r>
      <w:r>
        <w:t>年</w:t>
      </w:r>
      <w:r>
        <w:t>1</w:t>
      </w:r>
      <w:r>
        <w:t>月</w:t>
      </w:r>
      <w:r>
        <w:t>1</w:t>
      </w:r>
      <w:r>
        <w:t>日施行）；</w:t>
      </w:r>
    </w:p>
    <w:p w14:paraId="40286AF3" w14:textId="77777777" w:rsidR="00606029" w:rsidRDefault="00EA5B92">
      <w:pPr>
        <w:pStyle w:val="affffff4"/>
      </w:pPr>
      <w:r>
        <w:t>（</w:t>
      </w:r>
      <w:r>
        <w:t>27</w:t>
      </w:r>
      <w:r>
        <w:t>）《环境保护综合名录（</w:t>
      </w:r>
      <w:r>
        <w:t>2021</w:t>
      </w:r>
      <w:r>
        <w:t>年版）》（环办综合函〔</w:t>
      </w:r>
      <w:r>
        <w:t>2021</w:t>
      </w:r>
      <w:r>
        <w:t>〕</w:t>
      </w:r>
      <w:r>
        <w:t>495</w:t>
      </w:r>
      <w:r>
        <w:t>号）；</w:t>
      </w:r>
    </w:p>
    <w:p w14:paraId="699BBCD3" w14:textId="77777777" w:rsidR="00606029" w:rsidRDefault="00EA5B92">
      <w:pPr>
        <w:pStyle w:val="affffff4"/>
      </w:pPr>
      <w:r>
        <w:t>（</w:t>
      </w:r>
      <w:r>
        <w:t>28</w:t>
      </w:r>
      <w:r>
        <w:t>）《产业结构调整指导目录（</w:t>
      </w:r>
      <w:r>
        <w:t>2024</w:t>
      </w:r>
      <w:r>
        <w:t>年本）》（</w:t>
      </w:r>
      <w:r>
        <w:t>2023</w:t>
      </w:r>
      <w:r>
        <w:t>年</w:t>
      </w:r>
      <w:r>
        <w:t>12</w:t>
      </w:r>
      <w:r>
        <w:t>月</w:t>
      </w:r>
      <w:r>
        <w:t>27</w:t>
      </w:r>
      <w:r>
        <w:t>日国家发展改革委令第</w:t>
      </w:r>
      <w:r>
        <w:t>7</w:t>
      </w:r>
      <w:r>
        <w:t>号公布）；</w:t>
      </w:r>
    </w:p>
    <w:p w14:paraId="16A7CE9C" w14:textId="77777777" w:rsidR="00606029" w:rsidRDefault="00EA5B92">
      <w:pPr>
        <w:pStyle w:val="affffff4"/>
      </w:pPr>
      <w:r>
        <w:t>（</w:t>
      </w:r>
      <w:r>
        <w:t>29</w:t>
      </w:r>
      <w:r>
        <w:t>）《固体废物分类与代码目录》（生态环境部</w:t>
      </w:r>
      <w:r>
        <w:t>2024</w:t>
      </w:r>
      <w:r>
        <w:t>年</w:t>
      </w:r>
      <w:r>
        <w:t>4</w:t>
      </w:r>
      <w:r>
        <w:t>号）；</w:t>
      </w:r>
    </w:p>
    <w:p w14:paraId="3EADF5FD" w14:textId="77777777" w:rsidR="00606029" w:rsidRDefault="00EA5B92">
      <w:pPr>
        <w:pStyle w:val="affffff4"/>
      </w:pPr>
      <w:r>
        <w:t>（</w:t>
      </w:r>
      <w:r>
        <w:t>30</w:t>
      </w:r>
      <w:r>
        <w:t>）《固体废物污染环境防治信息发布指南》环办固体函〔</w:t>
      </w:r>
      <w:r>
        <w:t>2024</w:t>
      </w:r>
      <w:r>
        <w:t>〕</w:t>
      </w:r>
      <w:r>
        <w:t>37</w:t>
      </w:r>
      <w:r>
        <w:t>号。</w:t>
      </w:r>
    </w:p>
    <w:p w14:paraId="32C2B10B" w14:textId="77777777" w:rsidR="00606029" w:rsidRDefault="00EA5B92">
      <w:pPr>
        <w:pStyle w:val="affffff4"/>
      </w:pPr>
      <w:r>
        <w:t>（</w:t>
      </w:r>
      <w:r>
        <w:t>31</w:t>
      </w:r>
      <w:r>
        <w:t>）《</w:t>
      </w:r>
      <w:r>
        <w:rPr>
          <w:color w:val="333333"/>
          <w:szCs w:val="24"/>
          <w:shd w:val="clear" w:color="auto" w:fill="FFFFFF"/>
        </w:rPr>
        <w:t>生活垃圾焚烧飞灰固化稳定化处理技术标准</w:t>
      </w:r>
      <w:r>
        <w:t>》（</w:t>
      </w:r>
      <w:r>
        <w:t>CJJ/T316-2023</w:t>
      </w:r>
      <w:r>
        <w:t>）；</w:t>
      </w:r>
    </w:p>
    <w:p w14:paraId="3CEBFE61" w14:textId="77777777" w:rsidR="00606029" w:rsidRDefault="00EA5B92">
      <w:pPr>
        <w:pStyle w:val="3"/>
      </w:pPr>
      <w:bookmarkStart w:id="37" w:name="_Toc220680445"/>
      <w:r>
        <w:lastRenderedPageBreak/>
        <w:t>1.3.4</w:t>
      </w:r>
      <w:r>
        <w:t>地方性法规和规章</w:t>
      </w:r>
      <w:bookmarkEnd w:id="37"/>
    </w:p>
    <w:p w14:paraId="68C25867" w14:textId="396ACC28" w:rsidR="009C75F2" w:rsidRDefault="00B3182E" w:rsidP="009C75F2">
      <w:pPr>
        <w:pStyle w:val="affffff4"/>
      </w:pPr>
      <w:r>
        <w:t>（</w:t>
      </w:r>
      <w:r w:rsidR="005B5626">
        <w:rPr>
          <w:rFonts w:hint="eastAsia"/>
        </w:rPr>
        <w:t>1</w:t>
      </w:r>
      <w:r>
        <w:t>）</w:t>
      </w:r>
      <w:r w:rsidR="009C75F2">
        <w:rPr>
          <w:rFonts w:hint="eastAsia"/>
        </w:rPr>
        <w:t>《黑龙江省水污染防治工作方案》（黑政发</w:t>
      </w:r>
      <w:r w:rsidR="009C75F2">
        <w:rPr>
          <w:rFonts w:hint="eastAsia"/>
        </w:rPr>
        <w:t>[2016]3</w:t>
      </w:r>
      <w:r w:rsidR="009C75F2">
        <w:rPr>
          <w:rFonts w:hint="eastAsia"/>
        </w:rPr>
        <w:t>号）；</w:t>
      </w:r>
    </w:p>
    <w:p w14:paraId="02C65498" w14:textId="7FF9C9D8" w:rsidR="009C75F2" w:rsidRDefault="005B5626" w:rsidP="009C75F2">
      <w:pPr>
        <w:pStyle w:val="affffff4"/>
      </w:pPr>
      <w:r>
        <w:rPr>
          <w:rFonts w:hint="eastAsia"/>
        </w:rPr>
        <w:t>（</w:t>
      </w:r>
      <w:r>
        <w:rPr>
          <w:rFonts w:hint="eastAsia"/>
        </w:rPr>
        <w:t>2</w:t>
      </w:r>
      <w:r>
        <w:rPr>
          <w:rFonts w:hint="eastAsia"/>
        </w:rPr>
        <w:t>）</w:t>
      </w:r>
      <w:r w:rsidR="009C75F2">
        <w:rPr>
          <w:rFonts w:hint="eastAsia"/>
        </w:rPr>
        <w:t>《黑龙江省建设项目环境保护管理办法》（黑龙江省人民政府令第</w:t>
      </w:r>
      <w:r w:rsidR="009C75F2">
        <w:rPr>
          <w:rFonts w:hint="eastAsia"/>
        </w:rPr>
        <w:t>23</w:t>
      </w:r>
      <w:r w:rsidR="009C75F2">
        <w:rPr>
          <w:rFonts w:hint="eastAsia"/>
        </w:rPr>
        <w:t>号）；</w:t>
      </w:r>
    </w:p>
    <w:p w14:paraId="0DA7F149" w14:textId="529B73A1" w:rsidR="009C75F2" w:rsidRDefault="005B5626" w:rsidP="009C75F2">
      <w:pPr>
        <w:pStyle w:val="affffff4"/>
      </w:pPr>
      <w:r>
        <w:rPr>
          <w:rFonts w:hint="eastAsia"/>
        </w:rPr>
        <w:t>（</w:t>
      </w:r>
      <w:r>
        <w:rPr>
          <w:rFonts w:hint="eastAsia"/>
        </w:rPr>
        <w:t>3</w:t>
      </w:r>
      <w:r>
        <w:rPr>
          <w:rFonts w:hint="eastAsia"/>
        </w:rPr>
        <w:t>）</w:t>
      </w:r>
      <w:r w:rsidR="009C75F2">
        <w:rPr>
          <w:rFonts w:hint="eastAsia"/>
        </w:rPr>
        <w:t>《黑龙江省环境保护条例》（</w:t>
      </w:r>
      <w:r w:rsidR="009C75F2">
        <w:rPr>
          <w:rFonts w:hint="eastAsia"/>
        </w:rPr>
        <w:t>1995</w:t>
      </w:r>
      <w:r w:rsidR="009C75F2">
        <w:rPr>
          <w:rFonts w:hint="eastAsia"/>
        </w:rPr>
        <w:t>年</w:t>
      </w:r>
      <w:r w:rsidR="009C75F2">
        <w:rPr>
          <w:rFonts w:hint="eastAsia"/>
        </w:rPr>
        <w:t>4</w:t>
      </w:r>
      <w:r w:rsidR="009C75F2">
        <w:rPr>
          <w:rFonts w:hint="eastAsia"/>
        </w:rPr>
        <w:t>月</w:t>
      </w:r>
      <w:r w:rsidR="009C75F2">
        <w:rPr>
          <w:rFonts w:hint="eastAsia"/>
        </w:rPr>
        <w:t>1</w:t>
      </w:r>
      <w:r w:rsidR="009C75F2">
        <w:rPr>
          <w:rFonts w:hint="eastAsia"/>
        </w:rPr>
        <w:t>日起施行）</w:t>
      </w:r>
    </w:p>
    <w:p w14:paraId="7EE03B7C" w14:textId="01FA50F8" w:rsidR="009C75F2" w:rsidRDefault="005B5626" w:rsidP="009C75F2">
      <w:pPr>
        <w:pStyle w:val="affffff4"/>
      </w:pPr>
      <w:r>
        <w:rPr>
          <w:rFonts w:hint="eastAsia"/>
        </w:rPr>
        <w:t>（</w:t>
      </w:r>
      <w:r>
        <w:rPr>
          <w:rFonts w:hint="eastAsia"/>
        </w:rPr>
        <w:t>4</w:t>
      </w:r>
      <w:r>
        <w:rPr>
          <w:rFonts w:hint="eastAsia"/>
        </w:rPr>
        <w:t>）</w:t>
      </w:r>
      <w:r w:rsidR="009C75F2">
        <w:rPr>
          <w:rFonts w:hint="eastAsia"/>
        </w:rPr>
        <w:t>《黑龙江省“十四五”生态环境保护规划》；</w:t>
      </w:r>
    </w:p>
    <w:p w14:paraId="7B56FD34" w14:textId="270420A4" w:rsidR="009C75F2" w:rsidRDefault="005B5626" w:rsidP="009C75F2">
      <w:pPr>
        <w:pStyle w:val="affffff4"/>
      </w:pPr>
      <w:r>
        <w:rPr>
          <w:rFonts w:hint="eastAsia"/>
        </w:rPr>
        <w:t>（</w:t>
      </w:r>
      <w:r>
        <w:rPr>
          <w:rFonts w:hint="eastAsia"/>
        </w:rPr>
        <w:t>5</w:t>
      </w:r>
      <w:r>
        <w:rPr>
          <w:rFonts w:hint="eastAsia"/>
        </w:rPr>
        <w:t>）</w:t>
      </w:r>
      <w:r w:rsidR="009C75F2">
        <w:rPr>
          <w:rFonts w:hint="eastAsia"/>
        </w:rPr>
        <w:t>《黑龙江省水污染防治条例》（</w:t>
      </w:r>
      <w:r w:rsidR="009C75F2">
        <w:rPr>
          <w:rFonts w:hint="eastAsia"/>
        </w:rPr>
        <w:t>2023</w:t>
      </w:r>
      <w:r w:rsidR="009C75F2">
        <w:rPr>
          <w:rFonts w:hint="eastAsia"/>
        </w:rPr>
        <w:t>年</w:t>
      </w:r>
      <w:r w:rsidR="009C75F2">
        <w:rPr>
          <w:rFonts w:hint="eastAsia"/>
        </w:rPr>
        <w:t>11</w:t>
      </w:r>
      <w:r w:rsidR="009C75F2">
        <w:rPr>
          <w:rFonts w:hint="eastAsia"/>
        </w:rPr>
        <w:t>月</w:t>
      </w:r>
      <w:r w:rsidR="009C75F2">
        <w:rPr>
          <w:rFonts w:hint="eastAsia"/>
        </w:rPr>
        <w:t>2</w:t>
      </w:r>
      <w:r w:rsidR="009C75F2">
        <w:rPr>
          <w:rFonts w:hint="eastAsia"/>
        </w:rPr>
        <w:t>日黑龙江省第十四届人民代表大会常务委员会第八次会议通过）；</w:t>
      </w:r>
    </w:p>
    <w:p w14:paraId="533CA927" w14:textId="6464F750" w:rsidR="009C75F2" w:rsidRDefault="005B5626" w:rsidP="009C75F2">
      <w:pPr>
        <w:pStyle w:val="affffff4"/>
      </w:pPr>
      <w:r>
        <w:rPr>
          <w:rFonts w:hint="eastAsia"/>
        </w:rPr>
        <w:t>（</w:t>
      </w:r>
      <w:r>
        <w:rPr>
          <w:rFonts w:hint="eastAsia"/>
        </w:rPr>
        <w:t>6</w:t>
      </w:r>
      <w:r>
        <w:rPr>
          <w:rFonts w:hint="eastAsia"/>
        </w:rPr>
        <w:t>）</w:t>
      </w:r>
      <w:r w:rsidR="009C75F2">
        <w:rPr>
          <w:rFonts w:hint="eastAsia"/>
        </w:rPr>
        <w:t>《黑龙江省空气质量持续改善行动计划实施方案》（黑政发〔</w:t>
      </w:r>
      <w:r w:rsidR="009C75F2">
        <w:rPr>
          <w:rFonts w:hint="eastAsia"/>
        </w:rPr>
        <w:t>2023</w:t>
      </w:r>
      <w:r w:rsidR="009C75F2">
        <w:rPr>
          <w:rFonts w:hint="eastAsia"/>
        </w:rPr>
        <w:t>〕</w:t>
      </w:r>
      <w:r w:rsidR="009C75F2">
        <w:rPr>
          <w:rFonts w:hint="eastAsia"/>
        </w:rPr>
        <w:t>19</w:t>
      </w:r>
      <w:r w:rsidR="009C75F2">
        <w:rPr>
          <w:rFonts w:hint="eastAsia"/>
        </w:rPr>
        <w:t>号）；</w:t>
      </w:r>
    </w:p>
    <w:p w14:paraId="59322159" w14:textId="4AC50F24" w:rsidR="009C75F2" w:rsidRDefault="005B5626" w:rsidP="009C75F2">
      <w:pPr>
        <w:pStyle w:val="affffff4"/>
      </w:pPr>
      <w:r>
        <w:rPr>
          <w:rFonts w:hint="eastAsia"/>
        </w:rPr>
        <w:t>（</w:t>
      </w:r>
      <w:r>
        <w:rPr>
          <w:rFonts w:hint="eastAsia"/>
        </w:rPr>
        <w:t>7</w:t>
      </w:r>
      <w:r>
        <w:rPr>
          <w:rFonts w:hint="eastAsia"/>
        </w:rPr>
        <w:t>）</w:t>
      </w:r>
      <w:r w:rsidR="009C75F2">
        <w:rPr>
          <w:rFonts w:hint="eastAsia"/>
        </w:rPr>
        <w:t>《关于生活垃圾焚烧厂安装污染物排放自动监控设备和联网有关事宜的通知》（环办环监</w:t>
      </w:r>
      <w:r w:rsidR="009C75F2">
        <w:rPr>
          <w:rFonts w:hint="eastAsia"/>
        </w:rPr>
        <w:t>[2017]33</w:t>
      </w:r>
      <w:r w:rsidR="009C75F2">
        <w:rPr>
          <w:rFonts w:hint="eastAsia"/>
        </w:rPr>
        <w:t>号）；</w:t>
      </w:r>
    </w:p>
    <w:p w14:paraId="7336278C" w14:textId="60A6DBA9" w:rsidR="009C75F2" w:rsidRDefault="005B5626" w:rsidP="009C75F2">
      <w:pPr>
        <w:pStyle w:val="affffff4"/>
      </w:pPr>
      <w:r>
        <w:rPr>
          <w:rFonts w:hint="eastAsia"/>
        </w:rPr>
        <w:t>（</w:t>
      </w:r>
      <w:r>
        <w:rPr>
          <w:rFonts w:hint="eastAsia"/>
        </w:rPr>
        <w:t>8</w:t>
      </w:r>
      <w:r>
        <w:rPr>
          <w:rFonts w:hint="eastAsia"/>
        </w:rPr>
        <w:t>）</w:t>
      </w:r>
      <w:r w:rsidR="009C75F2">
        <w:rPr>
          <w:rFonts w:hint="eastAsia"/>
        </w:rPr>
        <w:t>《生活垃圾焚烧发电厂自动监测数据应用管理规定》（部令第</w:t>
      </w:r>
      <w:r w:rsidR="009C75F2">
        <w:rPr>
          <w:rFonts w:hint="eastAsia"/>
        </w:rPr>
        <w:t>10</w:t>
      </w:r>
      <w:r w:rsidR="009C75F2">
        <w:rPr>
          <w:rFonts w:hint="eastAsia"/>
        </w:rPr>
        <w:t>号）；</w:t>
      </w:r>
    </w:p>
    <w:p w14:paraId="337AED3E" w14:textId="7C45DA20" w:rsidR="009C75F2" w:rsidRDefault="005B5626" w:rsidP="009C75F2">
      <w:pPr>
        <w:pStyle w:val="affffff4"/>
      </w:pPr>
      <w:r>
        <w:rPr>
          <w:rFonts w:hint="eastAsia"/>
        </w:rPr>
        <w:t>（</w:t>
      </w:r>
      <w:r>
        <w:rPr>
          <w:rFonts w:hint="eastAsia"/>
        </w:rPr>
        <w:t>9</w:t>
      </w:r>
      <w:r>
        <w:rPr>
          <w:rFonts w:hint="eastAsia"/>
        </w:rPr>
        <w:t>）</w:t>
      </w:r>
      <w:r w:rsidR="009C75F2">
        <w:rPr>
          <w:rFonts w:hint="eastAsia"/>
        </w:rPr>
        <w:t>《大庆市加强水污染防治工作实施方案》（大庆市人民政府办公室，庆政办发〔</w:t>
      </w:r>
      <w:r w:rsidR="009C75F2">
        <w:rPr>
          <w:rFonts w:hint="eastAsia"/>
        </w:rPr>
        <w:t>2015</w:t>
      </w:r>
      <w:r w:rsidR="009C75F2">
        <w:rPr>
          <w:rFonts w:hint="eastAsia"/>
        </w:rPr>
        <w:t>〕</w:t>
      </w:r>
      <w:r w:rsidR="009C75F2">
        <w:rPr>
          <w:rFonts w:hint="eastAsia"/>
        </w:rPr>
        <w:t>55</w:t>
      </w:r>
      <w:r w:rsidR="009C75F2">
        <w:rPr>
          <w:rFonts w:hint="eastAsia"/>
        </w:rPr>
        <w:t>号）；</w:t>
      </w:r>
    </w:p>
    <w:p w14:paraId="0DEC37E5" w14:textId="1ECE07DF" w:rsidR="009C75F2" w:rsidRDefault="005B5626" w:rsidP="009C75F2">
      <w:pPr>
        <w:pStyle w:val="affffff4"/>
      </w:pPr>
      <w:r>
        <w:rPr>
          <w:rFonts w:hint="eastAsia"/>
        </w:rPr>
        <w:t>（</w:t>
      </w:r>
      <w:r>
        <w:rPr>
          <w:rFonts w:hint="eastAsia"/>
        </w:rPr>
        <w:t>10</w:t>
      </w:r>
      <w:r>
        <w:rPr>
          <w:rFonts w:hint="eastAsia"/>
        </w:rPr>
        <w:t>）</w:t>
      </w:r>
      <w:r w:rsidR="009C75F2">
        <w:rPr>
          <w:rFonts w:hint="eastAsia"/>
        </w:rPr>
        <w:t>《大庆市土壤污染防治实施方案》（大庆市人民政府，庆政规〔</w:t>
      </w:r>
      <w:r w:rsidR="009C75F2">
        <w:rPr>
          <w:rFonts w:hint="eastAsia"/>
        </w:rPr>
        <w:t>2017</w:t>
      </w:r>
      <w:r w:rsidR="009C75F2">
        <w:rPr>
          <w:rFonts w:hint="eastAsia"/>
        </w:rPr>
        <w:t>〕</w:t>
      </w:r>
      <w:r w:rsidR="009C75F2">
        <w:rPr>
          <w:rFonts w:hint="eastAsia"/>
        </w:rPr>
        <w:t>2</w:t>
      </w:r>
      <w:r w:rsidR="009C75F2">
        <w:rPr>
          <w:rFonts w:hint="eastAsia"/>
        </w:rPr>
        <w:t>号）；</w:t>
      </w:r>
    </w:p>
    <w:p w14:paraId="3A2913E6" w14:textId="6110AE6E" w:rsidR="009C75F2" w:rsidRDefault="005B5626" w:rsidP="009C75F2">
      <w:pPr>
        <w:pStyle w:val="affffff4"/>
      </w:pPr>
      <w:r>
        <w:rPr>
          <w:rFonts w:hint="eastAsia"/>
        </w:rPr>
        <w:t>（</w:t>
      </w:r>
      <w:r>
        <w:rPr>
          <w:rFonts w:hint="eastAsia"/>
        </w:rPr>
        <w:t>11</w:t>
      </w:r>
      <w:r>
        <w:rPr>
          <w:rFonts w:hint="eastAsia"/>
        </w:rPr>
        <w:t>）</w:t>
      </w:r>
      <w:r w:rsidR="009C75F2">
        <w:rPr>
          <w:rFonts w:hint="eastAsia"/>
        </w:rPr>
        <w:t>《大庆市人民政府关于全面加强生态环境保护坚决打好污染防治攻坚战的具体实施意见》（中共大庆市委，庆发</w:t>
      </w:r>
      <w:r w:rsidR="009C75F2">
        <w:rPr>
          <w:rFonts w:hint="eastAsia"/>
        </w:rPr>
        <w:t>[2018]17</w:t>
      </w:r>
      <w:r w:rsidR="009C75F2">
        <w:rPr>
          <w:rFonts w:hint="eastAsia"/>
        </w:rPr>
        <w:t>号）；</w:t>
      </w:r>
    </w:p>
    <w:p w14:paraId="5C39535F" w14:textId="6DA3D589" w:rsidR="00606029" w:rsidRDefault="005B5626" w:rsidP="009C75F2">
      <w:pPr>
        <w:pStyle w:val="affffff4"/>
      </w:pPr>
      <w:r>
        <w:rPr>
          <w:rFonts w:hint="eastAsia"/>
        </w:rPr>
        <w:t>（</w:t>
      </w:r>
      <w:r>
        <w:rPr>
          <w:rFonts w:hint="eastAsia"/>
        </w:rPr>
        <w:t>12</w:t>
      </w:r>
      <w:r>
        <w:rPr>
          <w:rFonts w:hint="eastAsia"/>
        </w:rPr>
        <w:t>）</w:t>
      </w:r>
      <w:r w:rsidR="009C75F2">
        <w:rPr>
          <w:rFonts w:hint="eastAsia"/>
        </w:rPr>
        <w:t>《大庆市“十四五”生态环境保护规划》</w:t>
      </w:r>
      <w:r w:rsidR="009C75F2">
        <w:t>。</w:t>
      </w:r>
    </w:p>
    <w:p w14:paraId="1E40436C" w14:textId="77777777" w:rsidR="00606029" w:rsidRDefault="00EA5B92">
      <w:pPr>
        <w:pStyle w:val="3"/>
      </w:pPr>
      <w:bookmarkStart w:id="38" w:name="_Toc220680446"/>
      <w:r>
        <w:t>1.3.5</w:t>
      </w:r>
      <w:r>
        <w:t>技术导则及规范</w:t>
      </w:r>
      <w:bookmarkEnd w:id="38"/>
    </w:p>
    <w:p w14:paraId="22674CE5" w14:textId="77777777" w:rsidR="00606029" w:rsidRDefault="00EA5B92">
      <w:pPr>
        <w:pStyle w:val="affffff4"/>
      </w:pPr>
      <w:r>
        <w:t>（</w:t>
      </w:r>
      <w:r>
        <w:t>1</w:t>
      </w:r>
      <w:r>
        <w:t>）《建设项目环境影响评价技术导则总纲》（</w:t>
      </w:r>
      <w:r>
        <w:t>HJ2.1-2016</w:t>
      </w:r>
      <w:r>
        <w:t>）；</w:t>
      </w:r>
    </w:p>
    <w:p w14:paraId="6FFDABAE" w14:textId="77777777" w:rsidR="00606029" w:rsidRDefault="00EA5B92">
      <w:pPr>
        <w:pStyle w:val="affffff4"/>
      </w:pPr>
      <w:r>
        <w:t>（</w:t>
      </w:r>
      <w:r>
        <w:t>2</w:t>
      </w:r>
      <w:r>
        <w:t>）《环境影响评价技术导则</w:t>
      </w:r>
      <w:r>
        <w:t xml:space="preserve"> </w:t>
      </w:r>
      <w:r>
        <w:t>大气环境》（</w:t>
      </w:r>
      <w:r>
        <w:t>HJT2.2-2018</w:t>
      </w:r>
      <w:r>
        <w:t>）；</w:t>
      </w:r>
    </w:p>
    <w:p w14:paraId="71B01EC8" w14:textId="77777777" w:rsidR="00606029" w:rsidRDefault="00EA5B92">
      <w:pPr>
        <w:pStyle w:val="affffff4"/>
      </w:pPr>
      <w:r>
        <w:t>（</w:t>
      </w:r>
      <w:r>
        <w:t>3</w:t>
      </w:r>
      <w:r>
        <w:t>）《环境影响评价技术导则</w:t>
      </w:r>
      <w:r>
        <w:t xml:space="preserve"> </w:t>
      </w:r>
      <w:r>
        <w:t>地表水环境》（</w:t>
      </w:r>
      <w:r>
        <w:t>HJ2.3-2018</w:t>
      </w:r>
      <w:r>
        <w:t>）；</w:t>
      </w:r>
    </w:p>
    <w:p w14:paraId="0C99C024" w14:textId="77777777" w:rsidR="00606029" w:rsidRDefault="00EA5B92">
      <w:pPr>
        <w:pStyle w:val="affffff4"/>
      </w:pPr>
      <w:r>
        <w:t>（</w:t>
      </w:r>
      <w:r>
        <w:t>4</w:t>
      </w:r>
      <w:r>
        <w:t>）《环境影响评价技术导则</w:t>
      </w:r>
      <w:r>
        <w:t xml:space="preserve"> </w:t>
      </w:r>
      <w:r>
        <w:t>地下水环境》（</w:t>
      </w:r>
      <w:r>
        <w:t>HJ610-2016</w:t>
      </w:r>
      <w:r>
        <w:t>）；</w:t>
      </w:r>
    </w:p>
    <w:p w14:paraId="016CE4B2" w14:textId="77777777" w:rsidR="00606029" w:rsidRDefault="00EA5B92">
      <w:pPr>
        <w:pStyle w:val="affffff4"/>
      </w:pPr>
      <w:r>
        <w:t>（</w:t>
      </w:r>
      <w:r>
        <w:t>5</w:t>
      </w:r>
      <w:r>
        <w:t>）《环境影响评价技术导则</w:t>
      </w:r>
      <w:r>
        <w:t xml:space="preserve"> </w:t>
      </w:r>
      <w:r>
        <w:t>声环境》（</w:t>
      </w:r>
      <w:r>
        <w:t>HJ2.4-2021</w:t>
      </w:r>
      <w:r>
        <w:t>）；</w:t>
      </w:r>
    </w:p>
    <w:p w14:paraId="498E3C4F" w14:textId="77777777" w:rsidR="00606029" w:rsidRDefault="00EA5B92">
      <w:pPr>
        <w:pStyle w:val="affffff4"/>
      </w:pPr>
      <w:r>
        <w:t>（</w:t>
      </w:r>
      <w:r>
        <w:t>6</w:t>
      </w:r>
      <w:r>
        <w:t>）《环境影响评价技术导则</w:t>
      </w:r>
      <w:r>
        <w:t xml:space="preserve"> </w:t>
      </w:r>
      <w:r>
        <w:t>生态影响》（</w:t>
      </w:r>
      <w:r>
        <w:t>HJ19-2022</w:t>
      </w:r>
      <w:r>
        <w:t>）；</w:t>
      </w:r>
    </w:p>
    <w:p w14:paraId="70AC6CA7" w14:textId="77777777" w:rsidR="00606029" w:rsidRDefault="00EA5B92">
      <w:pPr>
        <w:pStyle w:val="affffff4"/>
      </w:pPr>
      <w:r>
        <w:t>（</w:t>
      </w:r>
      <w:r>
        <w:t>7</w:t>
      </w:r>
      <w:r>
        <w:t>）《建设项目环境风险评价技术导则》（</w:t>
      </w:r>
      <w:r>
        <w:t>HJ169-2018</w:t>
      </w:r>
      <w:r>
        <w:t>）；</w:t>
      </w:r>
    </w:p>
    <w:p w14:paraId="21D132B0" w14:textId="77777777" w:rsidR="00606029" w:rsidRDefault="00EA5B92">
      <w:pPr>
        <w:pStyle w:val="affffff4"/>
      </w:pPr>
      <w:r>
        <w:t>（</w:t>
      </w:r>
      <w:r>
        <w:t>8</w:t>
      </w:r>
      <w:r>
        <w:t>）《环境影响评价技术导则</w:t>
      </w:r>
      <w:r>
        <w:t xml:space="preserve"> </w:t>
      </w:r>
      <w:r>
        <w:t>土壤环境（试行）》（</w:t>
      </w:r>
      <w:r>
        <w:t>HJ964-2018</w:t>
      </w:r>
      <w:r>
        <w:t>）；</w:t>
      </w:r>
    </w:p>
    <w:p w14:paraId="719252B1" w14:textId="77777777" w:rsidR="00606029" w:rsidRDefault="00EA5B92">
      <w:pPr>
        <w:pStyle w:val="affffff4"/>
      </w:pPr>
      <w:r>
        <w:t>（</w:t>
      </w:r>
      <w:r>
        <w:t>9</w:t>
      </w:r>
      <w:r>
        <w:t>）《建设用地土壤污染状况调查技术导则》（</w:t>
      </w:r>
      <w:r>
        <w:t>HJ25.1-2019</w:t>
      </w:r>
      <w:r>
        <w:t>）；</w:t>
      </w:r>
    </w:p>
    <w:p w14:paraId="157B3874" w14:textId="77777777" w:rsidR="00606029" w:rsidRDefault="00EA5B92">
      <w:pPr>
        <w:pStyle w:val="affffff4"/>
      </w:pPr>
      <w:r>
        <w:t>（</w:t>
      </w:r>
      <w:r>
        <w:t>10</w:t>
      </w:r>
      <w:r>
        <w:t>）《建设用地土壤污染风险管控和修复监测技术导则》（</w:t>
      </w:r>
      <w:r>
        <w:t>HJ25.2-2019</w:t>
      </w:r>
      <w:r>
        <w:t>）；</w:t>
      </w:r>
    </w:p>
    <w:p w14:paraId="33318033" w14:textId="77777777" w:rsidR="00606029" w:rsidRDefault="00EA5B92">
      <w:pPr>
        <w:pStyle w:val="affffff4"/>
      </w:pPr>
      <w:r>
        <w:t>（</w:t>
      </w:r>
      <w:r>
        <w:t>11</w:t>
      </w:r>
      <w:r>
        <w:t>）《建设用地土壤污染风险评估技术导则》（</w:t>
      </w:r>
      <w:r>
        <w:t>HJ25.3-2019</w:t>
      </w:r>
      <w:r>
        <w:t>）；</w:t>
      </w:r>
    </w:p>
    <w:p w14:paraId="0D0FF800" w14:textId="77777777" w:rsidR="00606029" w:rsidRDefault="00EA5B92">
      <w:pPr>
        <w:pStyle w:val="affffff4"/>
      </w:pPr>
      <w:r>
        <w:lastRenderedPageBreak/>
        <w:t>（</w:t>
      </w:r>
      <w:r>
        <w:t>12</w:t>
      </w:r>
      <w:r>
        <w:t>）《建设用地土壤修复技术导则》（</w:t>
      </w:r>
      <w:r>
        <w:t>HJ25.4-2019</w:t>
      </w:r>
      <w:r>
        <w:t>）；</w:t>
      </w:r>
    </w:p>
    <w:p w14:paraId="38A9D8D0" w14:textId="77777777" w:rsidR="00606029" w:rsidRDefault="00EA5B92">
      <w:pPr>
        <w:pStyle w:val="affffff4"/>
      </w:pPr>
      <w:r>
        <w:t>（</w:t>
      </w:r>
      <w:r>
        <w:t>13</w:t>
      </w:r>
      <w:r>
        <w:t>）《建设用地土壤污染风险管控和修复术语》（</w:t>
      </w:r>
      <w:r>
        <w:t>HJ682-2019</w:t>
      </w:r>
      <w:r>
        <w:t>）。</w:t>
      </w:r>
    </w:p>
    <w:p w14:paraId="66EF81F8" w14:textId="77777777" w:rsidR="00606029" w:rsidRDefault="00EA5B92">
      <w:pPr>
        <w:pStyle w:val="affffff4"/>
      </w:pPr>
      <w:r>
        <w:t>（</w:t>
      </w:r>
      <w:r>
        <w:t>14</w:t>
      </w:r>
      <w:r>
        <w:t>）《土壤环境监测技术规范》（</w:t>
      </w:r>
      <w:r>
        <w:t>HJ/T166-2004</w:t>
      </w:r>
      <w:r>
        <w:t>）；</w:t>
      </w:r>
    </w:p>
    <w:p w14:paraId="0D5A0234" w14:textId="77777777" w:rsidR="00606029" w:rsidRDefault="00EA5B92">
      <w:pPr>
        <w:pStyle w:val="affffff4"/>
      </w:pPr>
      <w:r>
        <w:t>（</w:t>
      </w:r>
      <w:r>
        <w:t>15</w:t>
      </w:r>
      <w:r>
        <w:t>）《地下水环境监测技术规范》（</w:t>
      </w:r>
      <w:r>
        <w:t>HJ/T164-2004</w:t>
      </w:r>
      <w:r>
        <w:t>）；</w:t>
      </w:r>
    </w:p>
    <w:p w14:paraId="51134913" w14:textId="77777777" w:rsidR="00606029" w:rsidRDefault="00EA5B92">
      <w:pPr>
        <w:pStyle w:val="affffff4"/>
      </w:pPr>
      <w:r>
        <w:t>（</w:t>
      </w:r>
      <w:r>
        <w:t>19</w:t>
      </w:r>
      <w:r>
        <w:t>）《地表水和污水监测技术规范》（</w:t>
      </w:r>
      <w:r>
        <w:t>HJ/T91-2002</w:t>
      </w:r>
      <w:r>
        <w:t>）；</w:t>
      </w:r>
    </w:p>
    <w:p w14:paraId="6BE742FA" w14:textId="77777777" w:rsidR="00606029" w:rsidRDefault="00EA5B92">
      <w:pPr>
        <w:pStyle w:val="affffff4"/>
      </w:pPr>
      <w:r>
        <w:t>（</w:t>
      </w:r>
      <w:r>
        <w:t>17</w:t>
      </w:r>
      <w:r>
        <w:t>）《污水监测技术规范》（</w:t>
      </w:r>
      <w:r>
        <w:t>HJ91.1-2019</w:t>
      </w:r>
      <w:r>
        <w:t>）</w:t>
      </w:r>
    </w:p>
    <w:p w14:paraId="2201724C" w14:textId="77777777" w:rsidR="00606029" w:rsidRDefault="00EA5B92">
      <w:pPr>
        <w:pStyle w:val="affffff4"/>
      </w:pPr>
      <w:r>
        <w:t>（</w:t>
      </w:r>
      <w:r>
        <w:t>18</w:t>
      </w:r>
      <w:r>
        <w:t>）《环境空气质量监测点位布设技术规范（试行）》（</w:t>
      </w:r>
      <w:r>
        <w:t>HJ664-2013</w:t>
      </w:r>
      <w:r>
        <w:t>）</w:t>
      </w:r>
    </w:p>
    <w:p w14:paraId="2C8AA2A8" w14:textId="77777777" w:rsidR="00606029" w:rsidRDefault="00EA5B92">
      <w:pPr>
        <w:pStyle w:val="affffff4"/>
      </w:pPr>
      <w:r>
        <w:t>（</w:t>
      </w:r>
      <w:r>
        <w:t>19</w:t>
      </w:r>
      <w:r>
        <w:t>）《固定源废气监测技术规范》（</w:t>
      </w:r>
      <w:r>
        <w:t>HJ/T397-2007</w:t>
      </w:r>
      <w:r>
        <w:t>）</w:t>
      </w:r>
    </w:p>
    <w:p w14:paraId="5D8EC0B9" w14:textId="77777777" w:rsidR="00606029" w:rsidRDefault="00EA5B92">
      <w:pPr>
        <w:pStyle w:val="affffff4"/>
      </w:pPr>
      <w:r>
        <w:t>（</w:t>
      </w:r>
      <w:r>
        <w:t>20</w:t>
      </w:r>
      <w:r>
        <w:t>）《固体废物鉴别标准</w:t>
      </w:r>
      <w:r>
        <w:t xml:space="preserve"> </w:t>
      </w:r>
      <w:r>
        <w:t>通则》（</w:t>
      </w:r>
      <w:r>
        <w:t>GB34330-2017</w:t>
      </w:r>
      <w:r>
        <w:t>）；</w:t>
      </w:r>
    </w:p>
    <w:p w14:paraId="4884742A" w14:textId="77777777" w:rsidR="00606029" w:rsidRDefault="00EA5B92">
      <w:pPr>
        <w:pStyle w:val="affffff4"/>
      </w:pPr>
      <w:r>
        <w:t>（</w:t>
      </w:r>
      <w:r>
        <w:t>21</w:t>
      </w:r>
      <w:r>
        <w:t>）《危险废物鉴别标准</w:t>
      </w:r>
      <w:r>
        <w:t xml:space="preserve"> </w:t>
      </w:r>
      <w:r>
        <w:t>通则》（</w:t>
      </w:r>
      <w:r>
        <w:t>GB5085.7-2019</w:t>
      </w:r>
      <w:r>
        <w:t>）；</w:t>
      </w:r>
    </w:p>
    <w:p w14:paraId="1C694BDF" w14:textId="77777777" w:rsidR="00606029" w:rsidRDefault="00EA5B92">
      <w:pPr>
        <w:pStyle w:val="affffff4"/>
      </w:pPr>
      <w:r>
        <w:t>（</w:t>
      </w:r>
      <w:r>
        <w:t>22</w:t>
      </w:r>
      <w:r>
        <w:t>）《危险化学品重大危险源辨识》（</w:t>
      </w:r>
      <w:r>
        <w:t>GB18218-2018</w:t>
      </w:r>
      <w:r>
        <w:t>）；</w:t>
      </w:r>
    </w:p>
    <w:p w14:paraId="0E9070F9" w14:textId="77777777" w:rsidR="00606029" w:rsidRDefault="00EA5B92">
      <w:pPr>
        <w:pStyle w:val="affffff4"/>
      </w:pPr>
      <w:r>
        <w:t>（</w:t>
      </w:r>
      <w:r>
        <w:t>23</w:t>
      </w:r>
      <w:r>
        <w:t>）《危险废物收集贮存运输技术规范》（</w:t>
      </w:r>
      <w:r>
        <w:t>HJ2025-2012</w:t>
      </w:r>
      <w:r>
        <w:t>）；</w:t>
      </w:r>
    </w:p>
    <w:p w14:paraId="564AB475" w14:textId="77777777" w:rsidR="00606029" w:rsidRDefault="00EA5B92">
      <w:pPr>
        <w:pStyle w:val="affffff4"/>
      </w:pPr>
      <w:r>
        <w:t>（</w:t>
      </w:r>
      <w:r>
        <w:t>24</w:t>
      </w:r>
      <w:r>
        <w:t>）《一般固体废物分类与代码》（</w:t>
      </w:r>
      <w:r>
        <w:t>GB/T39198-2020</w:t>
      </w:r>
      <w:r>
        <w:t>）；</w:t>
      </w:r>
    </w:p>
    <w:p w14:paraId="0AF9C898" w14:textId="77777777" w:rsidR="00606029" w:rsidRDefault="00EA5B92">
      <w:pPr>
        <w:pStyle w:val="affffff4"/>
      </w:pPr>
      <w:r>
        <w:t>（</w:t>
      </w:r>
      <w:r>
        <w:t>25</w:t>
      </w:r>
      <w:r>
        <w:t>）《一般工业固体废物管理台账制定指南（试行）》（公告</w:t>
      </w:r>
      <w:r>
        <w:t>2021</w:t>
      </w:r>
      <w:r>
        <w:t>年第</w:t>
      </w:r>
      <w:r>
        <w:t>82</w:t>
      </w:r>
      <w:r>
        <w:t>号）；</w:t>
      </w:r>
    </w:p>
    <w:p w14:paraId="2B912BC3" w14:textId="77777777" w:rsidR="00606029" w:rsidRDefault="00EA5B92">
      <w:pPr>
        <w:pStyle w:val="affffff4"/>
      </w:pPr>
      <w:r>
        <w:t>（</w:t>
      </w:r>
      <w:r>
        <w:t>26</w:t>
      </w:r>
      <w:r>
        <w:t>）《环境噪声与振动控制工程技术导则》（</w:t>
      </w:r>
      <w:r>
        <w:t>HJ2034-2013</w:t>
      </w:r>
      <w:r>
        <w:t>）；</w:t>
      </w:r>
    </w:p>
    <w:p w14:paraId="7B48A8AF" w14:textId="77777777" w:rsidR="00606029" w:rsidRDefault="00EA5B92">
      <w:pPr>
        <w:pStyle w:val="affffff4"/>
      </w:pPr>
      <w:r>
        <w:t>（</w:t>
      </w:r>
      <w:r>
        <w:t>27</w:t>
      </w:r>
      <w:r>
        <w:t>）《固体废物处理处置工程技术导则》（</w:t>
      </w:r>
      <w:r>
        <w:t>HJ2035-2013</w:t>
      </w:r>
      <w:r>
        <w:t>）；</w:t>
      </w:r>
    </w:p>
    <w:p w14:paraId="2D7C4167" w14:textId="77777777" w:rsidR="00606029" w:rsidRDefault="00EA5B92">
      <w:pPr>
        <w:pStyle w:val="affffff4"/>
      </w:pPr>
      <w:r>
        <w:t>（</w:t>
      </w:r>
      <w:r>
        <w:t>28</w:t>
      </w:r>
      <w:r>
        <w:t>）《水污染治理工程技术导则》（</w:t>
      </w:r>
      <w:r>
        <w:t>HJ2015-2012</w:t>
      </w:r>
      <w:r>
        <w:t>）；</w:t>
      </w:r>
    </w:p>
    <w:p w14:paraId="12E5E1C4" w14:textId="77777777" w:rsidR="00606029" w:rsidRDefault="00EA5B92">
      <w:pPr>
        <w:pStyle w:val="affffff4"/>
      </w:pPr>
      <w:r>
        <w:t>（</w:t>
      </w:r>
      <w:r>
        <w:t>29</w:t>
      </w:r>
      <w:r>
        <w:t>）《大气污染治理工程技术导则》（</w:t>
      </w:r>
      <w:r>
        <w:t>HJ2000-2010</w:t>
      </w:r>
      <w:r>
        <w:t>）；</w:t>
      </w:r>
    </w:p>
    <w:p w14:paraId="1812CB69" w14:textId="77777777" w:rsidR="00606029" w:rsidRDefault="00EA5B92">
      <w:pPr>
        <w:pStyle w:val="affffff4"/>
      </w:pPr>
      <w:r>
        <w:t>（</w:t>
      </w:r>
      <w:r>
        <w:t>32</w:t>
      </w:r>
      <w:r>
        <w:t>）《建筑给水排水设计标准》（</w:t>
      </w:r>
      <w:r>
        <w:t>GB50015-2019</w:t>
      </w:r>
      <w:r>
        <w:t>）；</w:t>
      </w:r>
    </w:p>
    <w:p w14:paraId="24123F42" w14:textId="7C6BA88E" w:rsidR="00606029" w:rsidRDefault="00EA5B92">
      <w:pPr>
        <w:pStyle w:val="affffff4"/>
      </w:pPr>
      <w:r>
        <w:t>（</w:t>
      </w:r>
      <w:r>
        <w:t>31</w:t>
      </w:r>
      <w:r>
        <w:t>）《用水定额》</w:t>
      </w:r>
      <w:r w:rsidR="0092263B" w:rsidRPr="0092263B">
        <w:rPr>
          <w:rFonts w:hint="eastAsia"/>
        </w:rPr>
        <w:t>（</w:t>
      </w:r>
      <w:r w:rsidR="0092263B" w:rsidRPr="0092263B">
        <w:rPr>
          <w:rFonts w:hint="eastAsia"/>
        </w:rPr>
        <w:t>DB23/T727-2025</w:t>
      </w:r>
      <w:r w:rsidR="0092263B" w:rsidRPr="0092263B">
        <w:rPr>
          <w:rFonts w:hint="eastAsia"/>
        </w:rPr>
        <w:t>）</w:t>
      </w:r>
      <w:r>
        <w:t>；</w:t>
      </w:r>
    </w:p>
    <w:p w14:paraId="6B117EB9" w14:textId="77777777" w:rsidR="00606029" w:rsidRDefault="00EA5B92">
      <w:pPr>
        <w:pStyle w:val="affffff4"/>
      </w:pPr>
      <w:r>
        <w:t>（</w:t>
      </w:r>
      <w:r>
        <w:t>32</w:t>
      </w:r>
      <w:r>
        <w:t>）《土地利用现状分类》（</w:t>
      </w:r>
      <w:r>
        <w:t>GB/T21010-2017</w:t>
      </w:r>
      <w:r>
        <w:t>）；</w:t>
      </w:r>
    </w:p>
    <w:p w14:paraId="19375E72" w14:textId="77777777" w:rsidR="00606029" w:rsidRDefault="00EA5B92">
      <w:pPr>
        <w:pStyle w:val="affffff4"/>
      </w:pPr>
      <w:r>
        <w:t>（</w:t>
      </w:r>
      <w:r>
        <w:t>33</w:t>
      </w:r>
      <w:r>
        <w:t>）《排污许可证申请与核发技术规范</w:t>
      </w:r>
      <w:r>
        <w:t xml:space="preserve"> </w:t>
      </w:r>
      <w:r>
        <w:t>总则》（</w:t>
      </w:r>
      <w:r>
        <w:t>HJ942-2018</w:t>
      </w:r>
      <w:r>
        <w:t>）；</w:t>
      </w:r>
    </w:p>
    <w:p w14:paraId="7C2EE9CB" w14:textId="77777777" w:rsidR="00606029" w:rsidRDefault="00EA5B92">
      <w:pPr>
        <w:pStyle w:val="affffff4"/>
      </w:pPr>
      <w:r>
        <w:t>（</w:t>
      </w:r>
      <w:r>
        <w:t>34</w:t>
      </w:r>
      <w:r>
        <w:t>）《排污许可证申请与核发技术规范</w:t>
      </w:r>
      <w:r>
        <w:t xml:space="preserve"> </w:t>
      </w:r>
      <w:r>
        <w:t>工业固体废物和危险废物治理》（</w:t>
      </w:r>
      <w:r>
        <w:t>HJ1033-2019</w:t>
      </w:r>
      <w:r>
        <w:t>）；</w:t>
      </w:r>
    </w:p>
    <w:p w14:paraId="2ECBFB4C" w14:textId="77777777" w:rsidR="00606029" w:rsidRDefault="00EA5B92">
      <w:pPr>
        <w:pStyle w:val="affffff4"/>
      </w:pPr>
      <w:r>
        <w:t>（</w:t>
      </w:r>
      <w:r>
        <w:t>35</w:t>
      </w:r>
      <w:r>
        <w:t>）《排污许可证申请与核发技术规范</w:t>
      </w:r>
      <w:r>
        <w:t xml:space="preserve"> </w:t>
      </w:r>
      <w:r>
        <w:t>环境卫生管理业》（</w:t>
      </w:r>
      <w:r>
        <w:t>HJ1106-2020</w:t>
      </w:r>
      <w:r>
        <w:t>）；</w:t>
      </w:r>
    </w:p>
    <w:p w14:paraId="62745179" w14:textId="77777777" w:rsidR="00606029" w:rsidRDefault="00EA5B92">
      <w:pPr>
        <w:pStyle w:val="affffff4"/>
      </w:pPr>
      <w:r>
        <w:t>（</w:t>
      </w:r>
      <w:r>
        <w:t>36</w:t>
      </w:r>
      <w:r>
        <w:t>）《排污许可证申请与核发技术规范</w:t>
      </w:r>
      <w:r>
        <w:t xml:space="preserve"> </w:t>
      </w:r>
      <w:r>
        <w:t>工业噪声》（</w:t>
      </w:r>
      <w:r>
        <w:t>HJ1301-2023</w:t>
      </w:r>
      <w:r>
        <w:t>）</w:t>
      </w:r>
    </w:p>
    <w:p w14:paraId="23667802" w14:textId="77777777" w:rsidR="00606029" w:rsidRDefault="00EA5B92">
      <w:pPr>
        <w:pStyle w:val="affffff4"/>
      </w:pPr>
      <w:r>
        <w:t>（</w:t>
      </w:r>
      <w:r>
        <w:t>37</w:t>
      </w:r>
      <w:r>
        <w:t>）《排污单位自行监测技术指南</w:t>
      </w:r>
      <w:r>
        <w:t xml:space="preserve"> </w:t>
      </w:r>
      <w:r>
        <w:t>工业固体废物和危险废物治理》（</w:t>
      </w:r>
      <w:r>
        <w:t>HJ1250-2022</w:t>
      </w:r>
      <w:r>
        <w:t>）；</w:t>
      </w:r>
    </w:p>
    <w:p w14:paraId="2D16B188" w14:textId="77777777" w:rsidR="00606029" w:rsidRDefault="00EA5B92">
      <w:pPr>
        <w:pStyle w:val="affffff4"/>
      </w:pPr>
      <w:r>
        <w:t>（</w:t>
      </w:r>
      <w:r>
        <w:t>38</w:t>
      </w:r>
      <w:r>
        <w:t>）《污染源源强核算技术指南</w:t>
      </w:r>
      <w:r>
        <w:t xml:space="preserve"> </w:t>
      </w:r>
      <w:r>
        <w:t>准则》（</w:t>
      </w:r>
      <w:r>
        <w:t>HJ884-2018</w:t>
      </w:r>
      <w:r>
        <w:t>）；</w:t>
      </w:r>
    </w:p>
    <w:p w14:paraId="5AA568D9" w14:textId="77777777" w:rsidR="00606029" w:rsidRDefault="00EA5B92">
      <w:pPr>
        <w:pStyle w:val="affffff4"/>
      </w:pPr>
      <w:r>
        <w:t>（</w:t>
      </w:r>
      <w:r>
        <w:t>39</w:t>
      </w:r>
      <w:r>
        <w:t>）《生活垃圾焚烧飞灰污染控制技术规范（试行）》（</w:t>
      </w:r>
      <w:r>
        <w:t>HJ1134-2020</w:t>
      </w:r>
      <w:r>
        <w:t>）；</w:t>
      </w:r>
    </w:p>
    <w:p w14:paraId="16B440C0" w14:textId="77777777" w:rsidR="00606029" w:rsidRDefault="00EA5B92">
      <w:pPr>
        <w:pStyle w:val="affffff4"/>
      </w:pPr>
      <w:r>
        <w:lastRenderedPageBreak/>
        <w:t>（</w:t>
      </w:r>
      <w:r>
        <w:t>40</w:t>
      </w:r>
      <w:r>
        <w:t>）《生活垃圾焚烧飞灰固化固化稳定化处理技术标准》（</w:t>
      </w:r>
      <w:r>
        <w:t>CJJ/T316-2023</w:t>
      </w:r>
      <w:r>
        <w:t>）；</w:t>
      </w:r>
    </w:p>
    <w:p w14:paraId="1C24B927" w14:textId="77777777" w:rsidR="00606029" w:rsidRDefault="00EA5B92">
      <w:pPr>
        <w:pStyle w:val="affffff4"/>
      </w:pPr>
      <w:r>
        <w:t>（</w:t>
      </w:r>
      <w:r>
        <w:t>41</w:t>
      </w:r>
      <w:r>
        <w:t>）《生活垃圾填埋场污染控制标准》（</w:t>
      </w:r>
      <w:r>
        <w:t>GB16889-2024</w:t>
      </w:r>
      <w:r>
        <w:t>）</w:t>
      </w:r>
    </w:p>
    <w:p w14:paraId="47DFD7DF" w14:textId="77777777" w:rsidR="00606029" w:rsidRDefault="00EA5B92">
      <w:pPr>
        <w:pStyle w:val="affffff4"/>
      </w:pPr>
      <w:r>
        <w:t>（</w:t>
      </w:r>
      <w:r>
        <w:t>42</w:t>
      </w:r>
      <w:r>
        <w:t>）《生活垃圾卫生填埋处理技术导则》（</w:t>
      </w:r>
      <w:r>
        <w:t>GB50869-2013</w:t>
      </w:r>
      <w:r>
        <w:t>）</w:t>
      </w:r>
    </w:p>
    <w:p w14:paraId="71696385" w14:textId="77777777" w:rsidR="00606029" w:rsidRDefault="00EA5B92">
      <w:pPr>
        <w:pStyle w:val="affffff4"/>
      </w:pPr>
      <w:r>
        <w:t>（</w:t>
      </w:r>
      <w:r>
        <w:t>43</w:t>
      </w:r>
      <w:r>
        <w:t>）《生活垃圾卫生填埋场封场技术规范》（</w:t>
      </w:r>
      <w:r>
        <w:t>GB51220-2017</w:t>
      </w:r>
      <w:r>
        <w:t>）</w:t>
      </w:r>
    </w:p>
    <w:p w14:paraId="731BD987" w14:textId="77777777" w:rsidR="00606029" w:rsidRDefault="00EA5B92">
      <w:pPr>
        <w:pStyle w:val="affffff4"/>
      </w:pPr>
      <w:r>
        <w:t>（</w:t>
      </w:r>
      <w:r>
        <w:t>44</w:t>
      </w:r>
      <w:r>
        <w:t>）《生活垃圾填埋场渗滤液处理工程技术规范（试行）》（</w:t>
      </w:r>
      <w:r>
        <w:t>HJ564-2010</w:t>
      </w:r>
      <w:r>
        <w:t>）；</w:t>
      </w:r>
    </w:p>
    <w:p w14:paraId="0E7505C2" w14:textId="77777777" w:rsidR="00606029" w:rsidRDefault="00EA5B92">
      <w:pPr>
        <w:pStyle w:val="affffff4"/>
      </w:pPr>
      <w:r>
        <w:t>（</w:t>
      </w:r>
      <w:r>
        <w:t>45</w:t>
      </w:r>
      <w:r>
        <w:t>）《生活垃圾卫生填埋场防渗系统工程技术标准》（</w:t>
      </w:r>
      <w:r>
        <w:t>GB/T51403-2021</w:t>
      </w:r>
      <w:r>
        <w:t>）；</w:t>
      </w:r>
    </w:p>
    <w:p w14:paraId="3A6AA4BD" w14:textId="77777777" w:rsidR="00606029" w:rsidRDefault="00EA5B92">
      <w:pPr>
        <w:pStyle w:val="affffff4"/>
      </w:pPr>
      <w:r>
        <w:t>（</w:t>
      </w:r>
      <w:r>
        <w:t>46</w:t>
      </w:r>
      <w:r>
        <w:t>）《生活垃圾卫生填埋场环境监测技术要求》（</w:t>
      </w:r>
      <w:r>
        <w:t>GB/T18772-2008</w:t>
      </w:r>
      <w:r>
        <w:t>）；</w:t>
      </w:r>
    </w:p>
    <w:p w14:paraId="283EC885" w14:textId="5DC317F7" w:rsidR="00606029" w:rsidRDefault="00EA5B92">
      <w:pPr>
        <w:pStyle w:val="affffff4"/>
      </w:pPr>
      <w:r>
        <w:t>（</w:t>
      </w:r>
      <w:r>
        <w:t>47</w:t>
      </w:r>
      <w:r>
        <w:t>）</w:t>
      </w:r>
      <w:bookmarkStart w:id="39" w:name="OLE_LINK27"/>
      <w:r>
        <w:t>《</w:t>
      </w:r>
      <w:bookmarkStart w:id="40" w:name="OLE_LINK24"/>
      <w:r>
        <w:t>生活垃圾焚烧飞灰污染控制技术规范</w:t>
      </w:r>
      <w:bookmarkEnd w:id="40"/>
      <w:r w:rsidR="007E0B6C">
        <w:rPr>
          <w:rFonts w:hint="eastAsia"/>
        </w:rPr>
        <w:t>（试行）</w:t>
      </w:r>
      <w:r>
        <w:t>》（</w:t>
      </w:r>
      <w:r>
        <w:t>HJ1134-2020</w:t>
      </w:r>
      <w:r>
        <w:t>）</w:t>
      </w:r>
      <w:bookmarkEnd w:id="39"/>
      <w:r>
        <w:t>；</w:t>
      </w:r>
    </w:p>
    <w:p w14:paraId="0B9F5256" w14:textId="77777777" w:rsidR="00606029" w:rsidRDefault="00EA5B92">
      <w:pPr>
        <w:pStyle w:val="3"/>
      </w:pPr>
      <w:bookmarkStart w:id="41" w:name="_Toc220680447"/>
      <w:r>
        <w:t>1.3.6</w:t>
      </w:r>
      <w:r>
        <w:t>相关资料及文件</w:t>
      </w:r>
      <w:bookmarkEnd w:id="41"/>
    </w:p>
    <w:p w14:paraId="1C6C3B63" w14:textId="71938751" w:rsidR="004A44B7" w:rsidRDefault="004A44B7" w:rsidP="009C75F2">
      <w:pPr>
        <w:pStyle w:val="affffff4"/>
      </w:pPr>
      <w:r>
        <w:rPr>
          <w:rFonts w:hint="eastAsia"/>
        </w:rPr>
        <w:t>（</w:t>
      </w:r>
      <w:r>
        <w:rPr>
          <w:rFonts w:hint="eastAsia"/>
        </w:rPr>
        <w:t>1</w:t>
      </w:r>
      <w:r>
        <w:rPr>
          <w:rFonts w:hint="eastAsia"/>
        </w:rPr>
        <w:t>）《黑龙江省城乡固体废物分类治理布局规划（</w:t>
      </w:r>
      <w:r>
        <w:rPr>
          <w:rFonts w:hint="eastAsia"/>
        </w:rPr>
        <w:t>2019-2035</w:t>
      </w:r>
      <w:r>
        <w:rPr>
          <w:rFonts w:hint="eastAsia"/>
        </w:rPr>
        <w:t>年）》（黑龙江省城市规划勘测设计研究院）</w:t>
      </w:r>
    </w:p>
    <w:p w14:paraId="0F9D37A5" w14:textId="56E6ED0A" w:rsidR="004A44B7" w:rsidRDefault="004A44B7" w:rsidP="00D94F94">
      <w:pPr>
        <w:pStyle w:val="affffff4"/>
      </w:pPr>
      <w:r>
        <w:rPr>
          <w:rFonts w:hint="eastAsia"/>
        </w:rPr>
        <w:t>（</w:t>
      </w:r>
      <w:r>
        <w:rPr>
          <w:rFonts w:hint="eastAsia"/>
        </w:rPr>
        <w:t>2</w:t>
      </w:r>
      <w:r>
        <w:rPr>
          <w:rFonts w:hint="eastAsia"/>
        </w:rPr>
        <w:t>）</w:t>
      </w:r>
      <w:bookmarkStart w:id="42" w:name="OLE_LINK72"/>
      <w:r>
        <w:rPr>
          <w:rFonts w:hint="eastAsia"/>
        </w:rPr>
        <w:t>《</w:t>
      </w:r>
      <w:r w:rsidR="004B2C08" w:rsidRPr="004B2C08">
        <w:rPr>
          <w:rFonts w:hint="eastAsia"/>
        </w:rPr>
        <w:t>大庆市生活垃圾综合处理厂环境综合评估报告</w:t>
      </w:r>
      <w:r>
        <w:rPr>
          <w:rFonts w:hint="eastAsia"/>
        </w:rPr>
        <w:t>》</w:t>
      </w:r>
      <w:bookmarkEnd w:id="42"/>
      <w:r>
        <w:rPr>
          <w:rFonts w:hint="eastAsia"/>
        </w:rPr>
        <w:t>（中国</w:t>
      </w:r>
      <w:r w:rsidR="004B2C08">
        <w:rPr>
          <w:rFonts w:hint="eastAsia"/>
        </w:rPr>
        <w:t>环境科学研究院</w:t>
      </w:r>
      <w:r>
        <w:rPr>
          <w:rFonts w:hint="eastAsia"/>
        </w:rPr>
        <w:t>，</w:t>
      </w:r>
      <w:r>
        <w:rPr>
          <w:rFonts w:hint="eastAsia"/>
        </w:rPr>
        <w:t>202</w:t>
      </w:r>
      <w:r w:rsidR="004B2C08">
        <w:rPr>
          <w:rFonts w:hint="eastAsia"/>
        </w:rPr>
        <w:t>4</w:t>
      </w:r>
      <w:r w:rsidR="004B2C08">
        <w:rPr>
          <w:rFonts w:hint="eastAsia"/>
        </w:rPr>
        <w:t>年</w:t>
      </w:r>
      <w:r w:rsidR="004B2C08">
        <w:rPr>
          <w:rFonts w:hint="eastAsia"/>
        </w:rPr>
        <w:t>2</w:t>
      </w:r>
      <w:r w:rsidR="004B2C08">
        <w:rPr>
          <w:rFonts w:hint="eastAsia"/>
        </w:rPr>
        <w:t>月</w:t>
      </w:r>
      <w:r>
        <w:rPr>
          <w:rFonts w:hint="eastAsia"/>
        </w:rPr>
        <w:t>）</w:t>
      </w:r>
    </w:p>
    <w:p w14:paraId="1FB30D67" w14:textId="1F32A64D" w:rsidR="004A44B7" w:rsidRDefault="004A44B7" w:rsidP="009C75F2">
      <w:pPr>
        <w:pStyle w:val="affffff4"/>
      </w:pPr>
      <w:r>
        <w:rPr>
          <w:rFonts w:hint="eastAsia"/>
        </w:rPr>
        <w:t>（</w:t>
      </w:r>
      <w:r w:rsidR="00D94F94">
        <w:rPr>
          <w:rFonts w:hint="eastAsia"/>
        </w:rPr>
        <w:t>3</w:t>
      </w:r>
      <w:r>
        <w:rPr>
          <w:rFonts w:hint="eastAsia"/>
        </w:rPr>
        <w:t>）《大庆市生活垃圾焚烧发电项目环境影响报告书》（</w:t>
      </w:r>
      <w:r w:rsidR="00661665" w:rsidRPr="00661665">
        <w:t>哈尔滨博诚工大环保科技有限公司</w:t>
      </w:r>
      <w:r w:rsidR="00661665">
        <w:rPr>
          <w:rFonts w:hint="eastAsia"/>
        </w:rPr>
        <w:t>，</w:t>
      </w:r>
      <w:r>
        <w:rPr>
          <w:rFonts w:hint="eastAsia"/>
        </w:rPr>
        <w:t>2022</w:t>
      </w:r>
      <w:r>
        <w:rPr>
          <w:rFonts w:hint="eastAsia"/>
        </w:rPr>
        <w:t>年</w:t>
      </w:r>
      <w:r>
        <w:rPr>
          <w:rFonts w:hint="eastAsia"/>
        </w:rPr>
        <w:t>6</w:t>
      </w:r>
      <w:r>
        <w:rPr>
          <w:rFonts w:hint="eastAsia"/>
        </w:rPr>
        <w:t>月）</w:t>
      </w:r>
    </w:p>
    <w:p w14:paraId="3315F8D1" w14:textId="3AFB7AA8" w:rsidR="004A44B7" w:rsidRDefault="004A44B7" w:rsidP="009C75F2">
      <w:pPr>
        <w:pStyle w:val="affffff4"/>
      </w:pPr>
      <w:r>
        <w:rPr>
          <w:rFonts w:hint="eastAsia"/>
        </w:rPr>
        <w:t>（</w:t>
      </w:r>
      <w:r w:rsidR="00D94F94">
        <w:rPr>
          <w:rFonts w:hint="eastAsia"/>
        </w:rPr>
        <w:t>4</w:t>
      </w:r>
      <w:r>
        <w:rPr>
          <w:rFonts w:hint="eastAsia"/>
        </w:rPr>
        <w:t>）《关于大庆市生活垃圾焚烧发电项目环境影响报告书的批复》（黑环审</w:t>
      </w:r>
      <w:r>
        <w:rPr>
          <w:rFonts w:hint="eastAsia"/>
        </w:rPr>
        <w:t>[2022]18</w:t>
      </w:r>
      <w:r>
        <w:rPr>
          <w:rFonts w:hint="eastAsia"/>
        </w:rPr>
        <w:t>号）</w:t>
      </w:r>
    </w:p>
    <w:p w14:paraId="6DF5C030" w14:textId="1C0BF97D" w:rsidR="004A44B7" w:rsidRDefault="005F387E" w:rsidP="009C75F2">
      <w:pPr>
        <w:pStyle w:val="affffff4"/>
      </w:pPr>
      <w:r>
        <w:rPr>
          <w:rFonts w:hint="eastAsia"/>
        </w:rPr>
        <w:t>（</w:t>
      </w:r>
      <w:r w:rsidR="00D94F94">
        <w:rPr>
          <w:rFonts w:hint="eastAsia"/>
        </w:rPr>
        <w:t>5</w:t>
      </w:r>
      <w:r>
        <w:rPr>
          <w:rFonts w:hint="eastAsia"/>
        </w:rPr>
        <w:t>）</w:t>
      </w:r>
      <w:r w:rsidRPr="005F387E">
        <w:rPr>
          <w:rFonts w:hint="eastAsia"/>
        </w:rPr>
        <w:t>《大庆市生活垃圾焚烧发电项目变更环境影响报告书》</w:t>
      </w:r>
      <w:r w:rsidR="00941B59">
        <w:rPr>
          <w:rFonts w:hint="eastAsia"/>
        </w:rPr>
        <w:t>（</w:t>
      </w:r>
      <w:r w:rsidR="00941B59" w:rsidRPr="00941B59">
        <w:t>黑龙江冰众环保科技开发有限公司</w:t>
      </w:r>
      <w:r w:rsidR="00941B59">
        <w:rPr>
          <w:rFonts w:hint="eastAsia"/>
        </w:rPr>
        <w:t>）</w:t>
      </w:r>
    </w:p>
    <w:p w14:paraId="27570EE2" w14:textId="07D8F7CD" w:rsidR="00606029" w:rsidRDefault="009C75F2" w:rsidP="009C75F2">
      <w:pPr>
        <w:pStyle w:val="affffff4"/>
      </w:pPr>
      <w:r>
        <w:rPr>
          <w:rFonts w:hint="eastAsia"/>
        </w:rPr>
        <w:t>（</w:t>
      </w:r>
      <w:r w:rsidR="00D94F94">
        <w:rPr>
          <w:rFonts w:hint="eastAsia"/>
        </w:rPr>
        <w:t>6</w:t>
      </w:r>
      <w:r>
        <w:rPr>
          <w:rFonts w:hint="eastAsia"/>
        </w:rPr>
        <w:t>）</w:t>
      </w:r>
      <w:r w:rsidRPr="009C75F2">
        <w:rPr>
          <w:rFonts w:hint="eastAsia"/>
        </w:rPr>
        <w:t>《关于大庆市生活垃圾焚烧发电项目变更环境影响报告书的批复》（黑环审</w:t>
      </w:r>
      <w:r w:rsidRPr="009C75F2">
        <w:rPr>
          <w:rFonts w:hint="eastAsia"/>
        </w:rPr>
        <w:t>[2024]5</w:t>
      </w:r>
      <w:r w:rsidRPr="009C75F2">
        <w:rPr>
          <w:rFonts w:hint="eastAsia"/>
        </w:rPr>
        <w:t>号）</w:t>
      </w:r>
    </w:p>
    <w:p w14:paraId="0B58CC50" w14:textId="09EA8858" w:rsidR="00D94F94" w:rsidRDefault="00D94F94" w:rsidP="00D94F94">
      <w:pPr>
        <w:pStyle w:val="affffff4"/>
      </w:pPr>
      <w:r>
        <w:rPr>
          <w:rFonts w:hint="eastAsia"/>
        </w:rPr>
        <w:t>（</w:t>
      </w:r>
      <w:r>
        <w:rPr>
          <w:rFonts w:hint="eastAsia"/>
        </w:rPr>
        <w:t>7</w:t>
      </w:r>
      <w:r>
        <w:rPr>
          <w:rFonts w:hint="eastAsia"/>
        </w:rPr>
        <w:t>）《大庆市生活垃圾焚烧发电项目（一期）竣工环境保护验收监测报告》</w:t>
      </w:r>
    </w:p>
    <w:p w14:paraId="341A36B2" w14:textId="1AB76457" w:rsidR="00D94F94" w:rsidRPr="00D94F94" w:rsidRDefault="00D94F94" w:rsidP="00D94F94">
      <w:pPr>
        <w:pStyle w:val="affffff4"/>
      </w:pPr>
      <w:r>
        <w:rPr>
          <w:rFonts w:hint="eastAsia"/>
        </w:rPr>
        <w:t>（</w:t>
      </w:r>
      <w:r>
        <w:rPr>
          <w:rFonts w:hint="eastAsia"/>
        </w:rPr>
        <w:t>8</w:t>
      </w:r>
      <w:r>
        <w:rPr>
          <w:rFonts w:hint="eastAsia"/>
        </w:rPr>
        <w:t>）《</w:t>
      </w:r>
      <w:r w:rsidRPr="00D94F94">
        <w:rPr>
          <w:rFonts w:hint="eastAsia"/>
        </w:rPr>
        <w:t>大庆市生活垃圾焚烧发电项目（污泥干化系统）竣工环境保护验收监测报告</w:t>
      </w:r>
      <w:r>
        <w:rPr>
          <w:rFonts w:hint="eastAsia"/>
        </w:rPr>
        <w:t>》</w:t>
      </w:r>
    </w:p>
    <w:p w14:paraId="51E2B8A9" w14:textId="77777777" w:rsidR="00606029" w:rsidRDefault="00EA5B92">
      <w:pPr>
        <w:pStyle w:val="2"/>
      </w:pPr>
      <w:bookmarkStart w:id="43" w:name="_Toc14307"/>
      <w:bookmarkStart w:id="44" w:name="_Toc6768"/>
      <w:bookmarkStart w:id="45" w:name="_Toc220680448"/>
      <w:r>
        <w:t>1.4</w:t>
      </w:r>
      <w:r>
        <w:t>环境影响识别与评价因子筛选</w:t>
      </w:r>
      <w:bookmarkEnd w:id="43"/>
      <w:bookmarkEnd w:id="44"/>
      <w:bookmarkEnd w:id="45"/>
    </w:p>
    <w:p w14:paraId="01D30CF5" w14:textId="77777777" w:rsidR="00606029" w:rsidRDefault="00EA5B92">
      <w:pPr>
        <w:pStyle w:val="3"/>
      </w:pPr>
      <w:bookmarkStart w:id="46" w:name="_Toc220680449"/>
      <w:r>
        <w:t>1.4.1</w:t>
      </w:r>
      <w:r>
        <w:t>环境影响因素识别</w:t>
      </w:r>
      <w:bookmarkEnd w:id="46"/>
    </w:p>
    <w:p w14:paraId="18A4B327" w14:textId="1EF11736" w:rsidR="00606029" w:rsidRDefault="00EA5B92">
      <w:pPr>
        <w:pStyle w:val="affffff4"/>
      </w:pPr>
      <w:r>
        <w:t>环境影响要素的识别按照施工期、运营期和封场期三个阶段进行，根据</w:t>
      </w:r>
      <w:r w:rsidR="00661665">
        <w:rPr>
          <w:rFonts w:hint="eastAsia"/>
        </w:rPr>
        <w:t>改建</w:t>
      </w:r>
      <w:r>
        <w:t>项目的工艺特点和污染物排放特征以及建设地区的环境状况，对该项目影响的环境要素进行识别：在施工期主要是</w:t>
      </w:r>
      <w:r w:rsidR="00941B59">
        <w:rPr>
          <w:rFonts w:hint="eastAsia"/>
        </w:rPr>
        <w:t>项目施工</w:t>
      </w:r>
      <w:r>
        <w:t>对自然环境和生态环境要素方面产生影响；在运营</w:t>
      </w:r>
      <w:r>
        <w:lastRenderedPageBreak/>
        <w:t>期主要是固化飞灰填埋过程中对大气环境、地表水环境、地下水环境</w:t>
      </w:r>
      <w:r w:rsidR="00941B59">
        <w:rPr>
          <w:rFonts w:hint="eastAsia"/>
        </w:rPr>
        <w:t>、土壤环境</w:t>
      </w:r>
      <w:r>
        <w:t>和声环境造成的负面影响；在封场期主要是对生态环境的影响。建设项目对环境的影响，按其不同阶段分为施工期、</w:t>
      </w:r>
      <w:r w:rsidR="00C40CEF">
        <w:t>运营期</w:t>
      </w:r>
      <w:r>
        <w:t>和封场期后对各环境要素产生有利和不利的影响，而且其影响程度也不同，</w:t>
      </w:r>
      <w:r w:rsidR="00661665">
        <w:rPr>
          <w:rFonts w:hint="eastAsia"/>
        </w:rPr>
        <w:t>改建</w:t>
      </w:r>
      <w:r>
        <w:t>项目不同阶段的环境影响类型及程度定性分析见下表。</w:t>
      </w:r>
    </w:p>
    <w:p w14:paraId="01798FBA" w14:textId="77777777" w:rsidR="00606029" w:rsidRDefault="00EA5B92">
      <w:pPr>
        <w:pStyle w:val="affffff5"/>
        <w:rPr>
          <w:lang w:eastAsia="en-US"/>
        </w:rPr>
      </w:pPr>
      <w:r>
        <w:rPr>
          <w:lang w:eastAsia="en-US"/>
        </w:rPr>
        <w:t>表</w:t>
      </w:r>
      <w:r>
        <w:rPr>
          <w:lang w:eastAsia="en-US"/>
        </w:rPr>
        <w:t xml:space="preserve"> </w:t>
      </w:r>
      <w:r>
        <w:t>1.4-1</w:t>
      </w:r>
      <w:r>
        <w:rPr>
          <w:lang w:eastAsia="en-US"/>
        </w:rPr>
        <w:t xml:space="preserve"> </w:t>
      </w:r>
      <w:r>
        <w:t>环境影响因素识别</w:t>
      </w:r>
      <w:r>
        <w:rPr>
          <w:lang w:eastAsia="en-US"/>
        </w:rPr>
        <w:t>表</w:t>
      </w:r>
    </w:p>
    <w:p w14:paraId="2F8B91A9" w14:textId="77777777" w:rsidR="00606029" w:rsidRDefault="00606029">
      <w:pPr>
        <w:widowControl/>
        <w:kinsoku w:val="0"/>
        <w:autoSpaceDE w:val="0"/>
        <w:autoSpaceDN w:val="0"/>
        <w:adjustRightInd w:val="0"/>
        <w:snapToGrid w:val="0"/>
        <w:spacing w:line="14" w:lineRule="exact"/>
        <w:jc w:val="left"/>
        <w:textAlignment w:val="baseline"/>
        <w:rPr>
          <w:rFonts w:eastAsia="Arial"/>
          <w:snapToGrid w:val="0"/>
          <w:color w:val="000000"/>
          <w:kern w:val="0"/>
          <w:lang w:eastAsia="en-US"/>
        </w:rPr>
      </w:pPr>
    </w:p>
    <w:tbl>
      <w:tblPr>
        <w:tblStyle w:val="TableNormal"/>
        <w:tblW w:w="5005" w:type="pct"/>
        <w:tblInd w:w="0" w:type="dxa"/>
        <w:tblBorders>
          <w:top w:val="single" w:sz="4" w:space="0" w:color="auto"/>
          <w:left w:val="single" w:sz="4" w:space="0" w:color="auto"/>
          <w:bottom w:val="single" w:sz="4" w:space="0" w:color="auto"/>
          <w:right w:val="single" w:sz="4" w:space="0" w:color="auto"/>
          <w:insideH w:val="single" w:sz="2" w:space="0" w:color="000000"/>
          <w:insideV w:val="single" w:sz="2" w:space="0" w:color="000000"/>
        </w:tblBorders>
        <w:tblLook w:val="04A0" w:firstRow="1" w:lastRow="0" w:firstColumn="1" w:lastColumn="0" w:noHBand="0" w:noVBand="1"/>
      </w:tblPr>
      <w:tblGrid>
        <w:gridCol w:w="484"/>
        <w:gridCol w:w="673"/>
        <w:gridCol w:w="494"/>
        <w:gridCol w:w="499"/>
        <w:gridCol w:w="490"/>
        <w:gridCol w:w="490"/>
        <w:gridCol w:w="511"/>
        <w:gridCol w:w="499"/>
        <w:gridCol w:w="398"/>
        <w:gridCol w:w="398"/>
        <w:gridCol w:w="398"/>
        <w:gridCol w:w="502"/>
        <w:gridCol w:w="499"/>
        <w:gridCol w:w="499"/>
        <w:gridCol w:w="499"/>
        <w:gridCol w:w="501"/>
        <w:gridCol w:w="501"/>
        <w:gridCol w:w="508"/>
      </w:tblGrid>
      <w:tr w:rsidR="00606029" w14:paraId="1E4676E8" w14:textId="77777777" w:rsidTr="00661665">
        <w:trPr>
          <w:trHeight w:val="57"/>
        </w:trPr>
        <w:tc>
          <w:tcPr>
            <w:tcW w:w="274" w:type="pct"/>
            <w:vMerge w:val="restart"/>
            <w:tcBorders>
              <w:bottom w:val="nil"/>
            </w:tcBorders>
            <w:vAlign w:val="center"/>
          </w:tcPr>
          <w:p w14:paraId="185FD7FD" w14:textId="77777777" w:rsidR="00606029" w:rsidRDefault="00EA5B92">
            <w:pPr>
              <w:pStyle w:val="afff0"/>
              <w:adjustRightInd w:val="0"/>
              <w:snapToGrid w:val="0"/>
              <w:spacing w:line="240" w:lineRule="auto"/>
              <w:rPr>
                <w:rFonts w:ascii="Times New Roman" w:hAnsi="Times New Roman"/>
                <w:b w:val="0"/>
                <w:sz w:val="21"/>
                <w:szCs w:val="21"/>
                <w:lang w:eastAsia="en-US"/>
              </w:rPr>
            </w:pPr>
            <w:r>
              <w:rPr>
                <w:rFonts w:ascii="Times New Roman" w:hAnsi="Times New Roman"/>
                <w:b w:val="0"/>
                <w:sz w:val="21"/>
                <w:szCs w:val="21"/>
                <w:lang w:eastAsia="en-US"/>
              </w:rPr>
              <w:t>评价时段</w:t>
            </w:r>
          </w:p>
        </w:tc>
        <w:tc>
          <w:tcPr>
            <w:tcW w:w="381" w:type="pct"/>
            <w:vMerge w:val="restart"/>
            <w:tcBorders>
              <w:bottom w:val="nil"/>
            </w:tcBorders>
            <w:vAlign w:val="center"/>
          </w:tcPr>
          <w:p w14:paraId="2FEDD0DA" w14:textId="77777777" w:rsidR="00606029" w:rsidRDefault="00EA5B92">
            <w:pPr>
              <w:pStyle w:val="afff0"/>
              <w:adjustRightInd w:val="0"/>
              <w:snapToGrid w:val="0"/>
              <w:spacing w:line="240" w:lineRule="auto"/>
              <w:rPr>
                <w:rFonts w:ascii="Times New Roman" w:hAnsi="Times New Roman"/>
                <w:b w:val="0"/>
                <w:sz w:val="21"/>
                <w:szCs w:val="21"/>
                <w:lang w:eastAsia="en-US"/>
              </w:rPr>
            </w:pPr>
            <w:r>
              <w:rPr>
                <w:rFonts w:ascii="Times New Roman" w:hAnsi="Times New Roman"/>
                <w:b w:val="0"/>
                <w:sz w:val="21"/>
                <w:szCs w:val="21"/>
                <w:lang w:eastAsia="en-US"/>
              </w:rPr>
              <w:t>建设生产活动</w:t>
            </w:r>
          </w:p>
        </w:tc>
        <w:tc>
          <w:tcPr>
            <w:tcW w:w="4346" w:type="pct"/>
            <w:gridSpan w:val="16"/>
            <w:vAlign w:val="center"/>
          </w:tcPr>
          <w:p w14:paraId="51720569" w14:textId="77777777" w:rsidR="00606029" w:rsidRDefault="00EA5B92">
            <w:pPr>
              <w:pStyle w:val="afff0"/>
              <w:adjustRightInd w:val="0"/>
              <w:snapToGrid w:val="0"/>
              <w:spacing w:line="240" w:lineRule="auto"/>
              <w:rPr>
                <w:rFonts w:ascii="Times New Roman" w:hAnsi="Times New Roman"/>
                <w:b w:val="0"/>
                <w:sz w:val="21"/>
                <w:szCs w:val="21"/>
              </w:rPr>
            </w:pPr>
            <w:r>
              <w:rPr>
                <w:rFonts w:ascii="Times New Roman" w:hAnsi="Times New Roman"/>
                <w:b w:val="0"/>
                <w:sz w:val="21"/>
                <w:szCs w:val="21"/>
              </w:rPr>
              <w:t>可能受到环境影响的领域（环境受体）</w:t>
            </w:r>
          </w:p>
        </w:tc>
      </w:tr>
      <w:tr w:rsidR="00606029" w14:paraId="2BD2363A" w14:textId="77777777" w:rsidTr="00661665">
        <w:trPr>
          <w:trHeight w:val="57"/>
        </w:trPr>
        <w:tc>
          <w:tcPr>
            <w:tcW w:w="274" w:type="pct"/>
            <w:vMerge/>
            <w:tcBorders>
              <w:top w:val="nil"/>
              <w:bottom w:val="nil"/>
            </w:tcBorders>
            <w:vAlign w:val="center"/>
          </w:tcPr>
          <w:p w14:paraId="104C77B4" w14:textId="77777777" w:rsidR="00606029" w:rsidRDefault="00606029">
            <w:pPr>
              <w:pStyle w:val="afff0"/>
              <w:adjustRightInd w:val="0"/>
              <w:snapToGrid w:val="0"/>
              <w:spacing w:line="240" w:lineRule="auto"/>
              <w:rPr>
                <w:rFonts w:ascii="Times New Roman" w:hAnsi="Times New Roman"/>
                <w:b w:val="0"/>
                <w:sz w:val="21"/>
                <w:szCs w:val="21"/>
              </w:rPr>
            </w:pPr>
          </w:p>
        </w:tc>
        <w:tc>
          <w:tcPr>
            <w:tcW w:w="381" w:type="pct"/>
            <w:vMerge/>
            <w:tcBorders>
              <w:top w:val="nil"/>
              <w:bottom w:val="nil"/>
            </w:tcBorders>
            <w:vAlign w:val="center"/>
          </w:tcPr>
          <w:p w14:paraId="6098EA90" w14:textId="77777777" w:rsidR="00606029" w:rsidRDefault="00606029">
            <w:pPr>
              <w:pStyle w:val="afff0"/>
              <w:adjustRightInd w:val="0"/>
              <w:snapToGrid w:val="0"/>
              <w:spacing w:line="240" w:lineRule="auto"/>
              <w:rPr>
                <w:rFonts w:ascii="Times New Roman" w:hAnsi="Times New Roman"/>
                <w:b w:val="0"/>
                <w:sz w:val="21"/>
                <w:szCs w:val="21"/>
              </w:rPr>
            </w:pPr>
          </w:p>
        </w:tc>
        <w:tc>
          <w:tcPr>
            <w:tcW w:w="1405" w:type="pct"/>
            <w:gridSpan w:val="5"/>
            <w:vAlign w:val="center"/>
          </w:tcPr>
          <w:p w14:paraId="656B7CAA" w14:textId="77777777" w:rsidR="00606029" w:rsidRDefault="00EA5B92">
            <w:pPr>
              <w:pStyle w:val="afff0"/>
              <w:adjustRightInd w:val="0"/>
              <w:snapToGrid w:val="0"/>
              <w:spacing w:line="240" w:lineRule="auto"/>
              <w:rPr>
                <w:rFonts w:ascii="Times New Roman" w:hAnsi="Times New Roman"/>
                <w:b w:val="0"/>
                <w:sz w:val="21"/>
                <w:szCs w:val="21"/>
                <w:lang w:eastAsia="en-US"/>
              </w:rPr>
            </w:pPr>
            <w:r>
              <w:rPr>
                <w:rFonts w:ascii="Times New Roman" w:hAnsi="Times New Roman"/>
                <w:b w:val="0"/>
                <w:sz w:val="21"/>
                <w:szCs w:val="21"/>
                <w:lang w:eastAsia="en-US"/>
              </w:rPr>
              <w:t>自然环境</w:t>
            </w:r>
          </w:p>
        </w:tc>
        <w:tc>
          <w:tcPr>
            <w:tcW w:w="1241" w:type="pct"/>
            <w:gridSpan w:val="5"/>
            <w:vAlign w:val="center"/>
          </w:tcPr>
          <w:p w14:paraId="679A643E" w14:textId="77777777" w:rsidR="00606029" w:rsidRDefault="00EA5B92">
            <w:pPr>
              <w:pStyle w:val="afff0"/>
              <w:adjustRightInd w:val="0"/>
              <w:snapToGrid w:val="0"/>
              <w:spacing w:line="240" w:lineRule="auto"/>
              <w:rPr>
                <w:rFonts w:ascii="Times New Roman" w:hAnsi="Times New Roman"/>
                <w:b w:val="0"/>
                <w:sz w:val="21"/>
                <w:szCs w:val="21"/>
                <w:lang w:eastAsia="en-US"/>
              </w:rPr>
            </w:pPr>
            <w:r>
              <w:rPr>
                <w:rFonts w:ascii="Times New Roman" w:hAnsi="Times New Roman"/>
                <w:b w:val="0"/>
                <w:sz w:val="21"/>
                <w:szCs w:val="21"/>
                <w:lang w:eastAsia="en-US"/>
              </w:rPr>
              <w:t>环境质量</w:t>
            </w:r>
          </w:p>
        </w:tc>
        <w:tc>
          <w:tcPr>
            <w:tcW w:w="1700" w:type="pct"/>
            <w:gridSpan w:val="6"/>
            <w:vAlign w:val="center"/>
          </w:tcPr>
          <w:p w14:paraId="29047A3D" w14:textId="77777777" w:rsidR="00606029" w:rsidRDefault="00EA5B92">
            <w:pPr>
              <w:pStyle w:val="afff0"/>
              <w:adjustRightInd w:val="0"/>
              <w:snapToGrid w:val="0"/>
              <w:spacing w:line="240" w:lineRule="auto"/>
              <w:rPr>
                <w:rFonts w:ascii="Times New Roman" w:hAnsi="Times New Roman"/>
                <w:b w:val="0"/>
                <w:sz w:val="21"/>
                <w:szCs w:val="21"/>
                <w:lang w:eastAsia="en-US"/>
              </w:rPr>
            </w:pPr>
            <w:r>
              <w:rPr>
                <w:rFonts w:ascii="Times New Roman" w:hAnsi="Times New Roman"/>
                <w:b w:val="0"/>
                <w:sz w:val="21"/>
                <w:szCs w:val="21"/>
                <w:lang w:eastAsia="en-US"/>
              </w:rPr>
              <w:t>生态环境</w:t>
            </w:r>
          </w:p>
        </w:tc>
      </w:tr>
      <w:tr w:rsidR="00606029" w14:paraId="1DAEF7AA" w14:textId="77777777" w:rsidTr="00661665">
        <w:trPr>
          <w:trHeight w:val="57"/>
        </w:trPr>
        <w:tc>
          <w:tcPr>
            <w:tcW w:w="274" w:type="pct"/>
            <w:vMerge/>
            <w:tcBorders>
              <w:top w:val="nil"/>
            </w:tcBorders>
            <w:vAlign w:val="center"/>
          </w:tcPr>
          <w:p w14:paraId="3A770E29" w14:textId="77777777" w:rsidR="00606029" w:rsidRDefault="00606029">
            <w:pPr>
              <w:pStyle w:val="afff0"/>
              <w:adjustRightInd w:val="0"/>
              <w:snapToGrid w:val="0"/>
              <w:spacing w:line="240" w:lineRule="auto"/>
              <w:rPr>
                <w:rFonts w:ascii="Times New Roman" w:hAnsi="Times New Roman"/>
                <w:b w:val="0"/>
                <w:sz w:val="21"/>
                <w:szCs w:val="21"/>
                <w:lang w:eastAsia="en-US"/>
              </w:rPr>
            </w:pPr>
          </w:p>
        </w:tc>
        <w:tc>
          <w:tcPr>
            <w:tcW w:w="381" w:type="pct"/>
            <w:vMerge/>
            <w:tcBorders>
              <w:top w:val="nil"/>
            </w:tcBorders>
            <w:vAlign w:val="center"/>
          </w:tcPr>
          <w:p w14:paraId="0467127D" w14:textId="77777777" w:rsidR="00606029" w:rsidRDefault="00606029">
            <w:pPr>
              <w:pStyle w:val="afff0"/>
              <w:adjustRightInd w:val="0"/>
              <w:snapToGrid w:val="0"/>
              <w:spacing w:line="240" w:lineRule="auto"/>
              <w:rPr>
                <w:rFonts w:ascii="Times New Roman" w:hAnsi="Times New Roman"/>
                <w:b w:val="0"/>
                <w:sz w:val="21"/>
                <w:szCs w:val="21"/>
                <w:lang w:eastAsia="en-US"/>
              </w:rPr>
            </w:pPr>
          </w:p>
        </w:tc>
        <w:tc>
          <w:tcPr>
            <w:tcW w:w="280" w:type="pct"/>
            <w:vAlign w:val="center"/>
          </w:tcPr>
          <w:p w14:paraId="013D05DA" w14:textId="77777777" w:rsidR="00606029" w:rsidRDefault="00EA5B92">
            <w:pPr>
              <w:pStyle w:val="afff0"/>
              <w:adjustRightInd w:val="0"/>
              <w:snapToGrid w:val="0"/>
              <w:spacing w:line="240" w:lineRule="auto"/>
              <w:rPr>
                <w:rFonts w:ascii="Times New Roman" w:hAnsi="Times New Roman"/>
                <w:b w:val="0"/>
                <w:sz w:val="21"/>
                <w:szCs w:val="21"/>
                <w:lang w:eastAsia="en-US"/>
              </w:rPr>
            </w:pPr>
            <w:r>
              <w:rPr>
                <w:rFonts w:ascii="Times New Roman" w:hAnsi="Times New Roman"/>
                <w:b w:val="0"/>
                <w:sz w:val="21"/>
                <w:szCs w:val="21"/>
                <w:lang w:eastAsia="en-US"/>
              </w:rPr>
              <w:t>地形地貌</w:t>
            </w:r>
          </w:p>
        </w:tc>
        <w:tc>
          <w:tcPr>
            <w:tcW w:w="282" w:type="pct"/>
            <w:vAlign w:val="center"/>
          </w:tcPr>
          <w:p w14:paraId="1D1637C4" w14:textId="77777777" w:rsidR="00606029" w:rsidRDefault="00EA5B92">
            <w:pPr>
              <w:pStyle w:val="afff0"/>
              <w:adjustRightInd w:val="0"/>
              <w:snapToGrid w:val="0"/>
              <w:spacing w:line="240" w:lineRule="auto"/>
              <w:rPr>
                <w:rFonts w:ascii="Times New Roman" w:hAnsi="Times New Roman"/>
                <w:b w:val="0"/>
                <w:sz w:val="21"/>
                <w:szCs w:val="21"/>
                <w:lang w:eastAsia="en-US"/>
              </w:rPr>
            </w:pPr>
            <w:r>
              <w:rPr>
                <w:rFonts w:ascii="Times New Roman" w:hAnsi="Times New Roman"/>
                <w:b w:val="0"/>
                <w:sz w:val="21"/>
                <w:szCs w:val="21"/>
                <w:lang w:eastAsia="en-US"/>
              </w:rPr>
              <w:t>气候气象</w:t>
            </w:r>
          </w:p>
        </w:tc>
        <w:tc>
          <w:tcPr>
            <w:tcW w:w="277" w:type="pct"/>
            <w:vAlign w:val="center"/>
          </w:tcPr>
          <w:p w14:paraId="78661D30" w14:textId="77777777" w:rsidR="00606029" w:rsidRDefault="00EA5B92">
            <w:pPr>
              <w:pStyle w:val="afff0"/>
              <w:adjustRightInd w:val="0"/>
              <w:snapToGrid w:val="0"/>
              <w:spacing w:line="240" w:lineRule="auto"/>
              <w:rPr>
                <w:rFonts w:ascii="Times New Roman" w:hAnsi="Times New Roman"/>
                <w:b w:val="0"/>
                <w:sz w:val="21"/>
                <w:szCs w:val="21"/>
                <w:lang w:eastAsia="en-US"/>
              </w:rPr>
            </w:pPr>
            <w:r>
              <w:rPr>
                <w:rFonts w:ascii="Times New Roman" w:hAnsi="Times New Roman"/>
                <w:b w:val="0"/>
                <w:sz w:val="21"/>
                <w:szCs w:val="21"/>
                <w:lang w:eastAsia="en-US"/>
              </w:rPr>
              <w:t>河流水系</w:t>
            </w:r>
          </w:p>
        </w:tc>
        <w:tc>
          <w:tcPr>
            <w:tcW w:w="277" w:type="pct"/>
            <w:vAlign w:val="center"/>
          </w:tcPr>
          <w:p w14:paraId="007AAE9E" w14:textId="77777777" w:rsidR="00606029" w:rsidRDefault="00EA5B92">
            <w:pPr>
              <w:pStyle w:val="afff0"/>
              <w:adjustRightInd w:val="0"/>
              <w:snapToGrid w:val="0"/>
              <w:spacing w:line="240" w:lineRule="auto"/>
              <w:rPr>
                <w:rFonts w:ascii="Times New Roman" w:hAnsi="Times New Roman"/>
                <w:b w:val="0"/>
                <w:sz w:val="21"/>
                <w:szCs w:val="21"/>
                <w:lang w:eastAsia="en-US"/>
              </w:rPr>
            </w:pPr>
            <w:r>
              <w:rPr>
                <w:rFonts w:ascii="Times New Roman" w:hAnsi="Times New Roman"/>
                <w:b w:val="0"/>
                <w:sz w:val="21"/>
                <w:szCs w:val="21"/>
                <w:lang w:eastAsia="en-US"/>
              </w:rPr>
              <w:t>水文地质</w:t>
            </w:r>
          </w:p>
        </w:tc>
        <w:tc>
          <w:tcPr>
            <w:tcW w:w="288" w:type="pct"/>
            <w:vAlign w:val="center"/>
          </w:tcPr>
          <w:p w14:paraId="7D899C1E" w14:textId="77777777" w:rsidR="00606029" w:rsidRDefault="00EA5B92">
            <w:pPr>
              <w:pStyle w:val="afff0"/>
              <w:adjustRightInd w:val="0"/>
              <w:snapToGrid w:val="0"/>
              <w:spacing w:line="240" w:lineRule="auto"/>
              <w:rPr>
                <w:rFonts w:ascii="Times New Roman" w:hAnsi="Times New Roman"/>
                <w:b w:val="0"/>
                <w:sz w:val="21"/>
                <w:szCs w:val="21"/>
                <w:lang w:eastAsia="en-US"/>
              </w:rPr>
            </w:pPr>
            <w:r>
              <w:rPr>
                <w:rFonts w:ascii="Times New Roman" w:hAnsi="Times New Roman"/>
                <w:b w:val="0"/>
                <w:sz w:val="21"/>
                <w:szCs w:val="21"/>
                <w:lang w:eastAsia="en-US"/>
              </w:rPr>
              <w:t>土壤类型</w:t>
            </w:r>
          </w:p>
        </w:tc>
        <w:tc>
          <w:tcPr>
            <w:tcW w:w="282" w:type="pct"/>
            <w:vAlign w:val="center"/>
          </w:tcPr>
          <w:p w14:paraId="233717FF" w14:textId="77777777" w:rsidR="00606029" w:rsidRDefault="00EA5B92">
            <w:pPr>
              <w:pStyle w:val="afff0"/>
              <w:adjustRightInd w:val="0"/>
              <w:snapToGrid w:val="0"/>
              <w:spacing w:line="240" w:lineRule="auto"/>
              <w:rPr>
                <w:rFonts w:ascii="Times New Roman" w:hAnsi="Times New Roman"/>
                <w:b w:val="0"/>
                <w:sz w:val="21"/>
                <w:szCs w:val="21"/>
                <w:lang w:eastAsia="en-US"/>
              </w:rPr>
            </w:pPr>
            <w:r>
              <w:rPr>
                <w:rFonts w:ascii="Times New Roman" w:hAnsi="Times New Roman"/>
                <w:b w:val="0"/>
                <w:sz w:val="21"/>
                <w:szCs w:val="21"/>
                <w:lang w:eastAsia="en-US"/>
              </w:rPr>
              <w:t>环境空气</w:t>
            </w:r>
          </w:p>
        </w:tc>
        <w:tc>
          <w:tcPr>
            <w:tcW w:w="225" w:type="pct"/>
            <w:vAlign w:val="center"/>
          </w:tcPr>
          <w:p w14:paraId="13A062A3" w14:textId="77777777" w:rsidR="00606029" w:rsidRDefault="00EA5B92">
            <w:pPr>
              <w:pStyle w:val="afff0"/>
              <w:adjustRightInd w:val="0"/>
              <w:snapToGrid w:val="0"/>
              <w:spacing w:line="240" w:lineRule="auto"/>
              <w:rPr>
                <w:rFonts w:ascii="Times New Roman" w:hAnsi="Times New Roman"/>
                <w:b w:val="0"/>
                <w:sz w:val="21"/>
                <w:szCs w:val="21"/>
                <w:lang w:eastAsia="en-US"/>
              </w:rPr>
            </w:pPr>
            <w:r>
              <w:rPr>
                <w:rFonts w:ascii="Times New Roman" w:hAnsi="Times New Roman"/>
                <w:b w:val="0"/>
                <w:sz w:val="21"/>
                <w:szCs w:val="21"/>
                <w:lang w:eastAsia="en-US"/>
              </w:rPr>
              <w:t>地表水</w:t>
            </w:r>
          </w:p>
        </w:tc>
        <w:tc>
          <w:tcPr>
            <w:tcW w:w="225" w:type="pct"/>
            <w:vAlign w:val="center"/>
          </w:tcPr>
          <w:p w14:paraId="0AF4C842" w14:textId="77777777" w:rsidR="00606029" w:rsidRDefault="00EA5B92">
            <w:pPr>
              <w:pStyle w:val="afff0"/>
              <w:adjustRightInd w:val="0"/>
              <w:snapToGrid w:val="0"/>
              <w:spacing w:line="240" w:lineRule="auto"/>
              <w:rPr>
                <w:rFonts w:ascii="Times New Roman" w:hAnsi="Times New Roman"/>
                <w:b w:val="0"/>
                <w:sz w:val="21"/>
                <w:szCs w:val="21"/>
                <w:lang w:eastAsia="en-US"/>
              </w:rPr>
            </w:pPr>
            <w:r>
              <w:rPr>
                <w:rFonts w:ascii="Times New Roman" w:hAnsi="Times New Roman"/>
                <w:b w:val="0"/>
                <w:sz w:val="21"/>
                <w:szCs w:val="21"/>
                <w:lang w:eastAsia="en-US"/>
              </w:rPr>
              <w:t>地下水</w:t>
            </w:r>
          </w:p>
        </w:tc>
        <w:tc>
          <w:tcPr>
            <w:tcW w:w="225" w:type="pct"/>
            <w:vAlign w:val="center"/>
          </w:tcPr>
          <w:p w14:paraId="6BB33290" w14:textId="77777777" w:rsidR="00606029" w:rsidRDefault="00EA5B92">
            <w:pPr>
              <w:pStyle w:val="afff0"/>
              <w:adjustRightInd w:val="0"/>
              <w:snapToGrid w:val="0"/>
              <w:spacing w:line="240" w:lineRule="auto"/>
              <w:rPr>
                <w:rFonts w:ascii="Times New Roman" w:hAnsi="Times New Roman"/>
                <w:b w:val="0"/>
                <w:sz w:val="21"/>
                <w:szCs w:val="21"/>
                <w:lang w:eastAsia="en-US"/>
              </w:rPr>
            </w:pPr>
            <w:r>
              <w:rPr>
                <w:rFonts w:ascii="Times New Roman" w:hAnsi="Times New Roman"/>
                <w:b w:val="0"/>
                <w:sz w:val="21"/>
                <w:szCs w:val="21"/>
                <w:lang w:eastAsia="en-US"/>
              </w:rPr>
              <w:t>声环境</w:t>
            </w:r>
          </w:p>
        </w:tc>
        <w:tc>
          <w:tcPr>
            <w:tcW w:w="284" w:type="pct"/>
            <w:vAlign w:val="center"/>
          </w:tcPr>
          <w:p w14:paraId="54A7AD0E" w14:textId="77777777" w:rsidR="00606029" w:rsidRDefault="00EA5B92">
            <w:pPr>
              <w:pStyle w:val="afff0"/>
              <w:adjustRightInd w:val="0"/>
              <w:snapToGrid w:val="0"/>
              <w:spacing w:line="240" w:lineRule="auto"/>
              <w:rPr>
                <w:rFonts w:ascii="Times New Roman" w:hAnsi="Times New Roman"/>
                <w:b w:val="0"/>
                <w:sz w:val="21"/>
                <w:szCs w:val="21"/>
                <w:lang w:eastAsia="en-US"/>
              </w:rPr>
            </w:pPr>
            <w:r>
              <w:rPr>
                <w:rFonts w:ascii="Times New Roman" w:hAnsi="Times New Roman"/>
                <w:b w:val="0"/>
                <w:sz w:val="21"/>
                <w:szCs w:val="21"/>
                <w:lang w:eastAsia="en-US"/>
              </w:rPr>
              <w:t>土壤环境</w:t>
            </w:r>
          </w:p>
        </w:tc>
        <w:tc>
          <w:tcPr>
            <w:tcW w:w="282" w:type="pct"/>
            <w:vAlign w:val="center"/>
          </w:tcPr>
          <w:p w14:paraId="3FA6DDE8" w14:textId="77777777" w:rsidR="00606029" w:rsidRDefault="00EA5B92">
            <w:pPr>
              <w:pStyle w:val="afff0"/>
              <w:adjustRightInd w:val="0"/>
              <w:snapToGrid w:val="0"/>
              <w:spacing w:line="240" w:lineRule="auto"/>
              <w:rPr>
                <w:rFonts w:ascii="Times New Roman" w:hAnsi="Times New Roman"/>
                <w:b w:val="0"/>
                <w:sz w:val="21"/>
                <w:szCs w:val="21"/>
                <w:lang w:eastAsia="en-US"/>
              </w:rPr>
            </w:pPr>
            <w:r>
              <w:rPr>
                <w:rFonts w:ascii="Times New Roman" w:hAnsi="Times New Roman"/>
                <w:b w:val="0"/>
                <w:sz w:val="21"/>
                <w:szCs w:val="21"/>
                <w:lang w:eastAsia="en-US"/>
              </w:rPr>
              <w:t>生态系统</w:t>
            </w:r>
          </w:p>
        </w:tc>
        <w:tc>
          <w:tcPr>
            <w:tcW w:w="282" w:type="pct"/>
            <w:vAlign w:val="center"/>
          </w:tcPr>
          <w:p w14:paraId="7F9BF5BA" w14:textId="77777777" w:rsidR="00606029" w:rsidRDefault="00EA5B92">
            <w:pPr>
              <w:pStyle w:val="afff0"/>
              <w:adjustRightInd w:val="0"/>
              <w:snapToGrid w:val="0"/>
              <w:spacing w:line="240" w:lineRule="auto"/>
              <w:rPr>
                <w:rFonts w:ascii="Times New Roman" w:hAnsi="Times New Roman"/>
                <w:b w:val="0"/>
                <w:sz w:val="21"/>
                <w:szCs w:val="21"/>
                <w:lang w:eastAsia="en-US"/>
              </w:rPr>
            </w:pPr>
            <w:r>
              <w:rPr>
                <w:rFonts w:ascii="Times New Roman" w:hAnsi="Times New Roman"/>
                <w:b w:val="0"/>
                <w:sz w:val="21"/>
                <w:szCs w:val="21"/>
                <w:lang w:eastAsia="en-US"/>
              </w:rPr>
              <w:t>植被类型</w:t>
            </w:r>
          </w:p>
        </w:tc>
        <w:tc>
          <w:tcPr>
            <w:tcW w:w="282" w:type="pct"/>
            <w:vAlign w:val="center"/>
          </w:tcPr>
          <w:p w14:paraId="1D2EE8B8" w14:textId="77777777" w:rsidR="00606029" w:rsidRDefault="00EA5B92">
            <w:pPr>
              <w:pStyle w:val="afff0"/>
              <w:adjustRightInd w:val="0"/>
              <w:snapToGrid w:val="0"/>
              <w:spacing w:line="240" w:lineRule="auto"/>
              <w:rPr>
                <w:rFonts w:ascii="Times New Roman" w:hAnsi="Times New Roman"/>
                <w:b w:val="0"/>
                <w:sz w:val="21"/>
                <w:szCs w:val="21"/>
                <w:lang w:eastAsia="en-US"/>
              </w:rPr>
            </w:pPr>
            <w:r>
              <w:rPr>
                <w:rFonts w:ascii="Times New Roman" w:hAnsi="Times New Roman"/>
                <w:b w:val="0"/>
                <w:sz w:val="21"/>
                <w:szCs w:val="21"/>
                <w:lang w:eastAsia="en-US"/>
              </w:rPr>
              <w:t>水土流失</w:t>
            </w:r>
          </w:p>
        </w:tc>
        <w:tc>
          <w:tcPr>
            <w:tcW w:w="283" w:type="pct"/>
            <w:vAlign w:val="center"/>
          </w:tcPr>
          <w:p w14:paraId="2BA28FF8" w14:textId="77777777" w:rsidR="00606029" w:rsidRDefault="00EA5B92">
            <w:pPr>
              <w:pStyle w:val="afff0"/>
              <w:adjustRightInd w:val="0"/>
              <w:snapToGrid w:val="0"/>
              <w:spacing w:line="240" w:lineRule="auto"/>
              <w:rPr>
                <w:rFonts w:ascii="Times New Roman" w:hAnsi="Times New Roman"/>
                <w:b w:val="0"/>
                <w:sz w:val="21"/>
                <w:szCs w:val="21"/>
                <w:lang w:eastAsia="en-US"/>
              </w:rPr>
            </w:pPr>
            <w:r>
              <w:rPr>
                <w:rFonts w:ascii="Times New Roman" w:hAnsi="Times New Roman"/>
                <w:b w:val="0"/>
                <w:sz w:val="21"/>
                <w:szCs w:val="21"/>
                <w:lang w:eastAsia="en-US"/>
              </w:rPr>
              <w:t>土地利用</w:t>
            </w:r>
          </w:p>
        </w:tc>
        <w:tc>
          <w:tcPr>
            <w:tcW w:w="283" w:type="pct"/>
            <w:vAlign w:val="center"/>
          </w:tcPr>
          <w:p w14:paraId="1679EE9E" w14:textId="77777777" w:rsidR="00606029" w:rsidRDefault="00EA5B92">
            <w:pPr>
              <w:pStyle w:val="afff0"/>
              <w:adjustRightInd w:val="0"/>
              <w:snapToGrid w:val="0"/>
              <w:spacing w:line="240" w:lineRule="auto"/>
              <w:rPr>
                <w:rFonts w:ascii="Times New Roman" w:hAnsi="Times New Roman"/>
                <w:b w:val="0"/>
                <w:sz w:val="21"/>
                <w:szCs w:val="21"/>
                <w:lang w:eastAsia="en-US"/>
              </w:rPr>
            </w:pPr>
            <w:r>
              <w:rPr>
                <w:rFonts w:ascii="Times New Roman" w:hAnsi="Times New Roman"/>
                <w:b w:val="0"/>
                <w:sz w:val="21"/>
                <w:szCs w:val="21"/>
                <w:lang w:eastAsia="en-US"/>
              </w:rPr>
              <w:t>野生动物</w:t>
            </w:r>
          </w:p>
        </w:tc>
        <w:tc>
          <w:tcPr>
            <w:tcW w:w="287" w:type="pct"/>
            <w:vAlign w:val="center"/>
          </w:tcPr>
          <w:p w14:paraId="5EC3EEDA" w14:textId="77777777" w:rsidR="00606029" w:rsidRDefault="00EA5B92">
            <w:pPr>
              <w:pStyle w:val="afff0"/>
              <w:adjustRightInd w:val="0"/>
              <w:snapToGrid w:val="0"/>
              <w:spacing w:line="240" w:lineRule="auto"/>
              <w:rPr>
                <w:rFonts w:ascii="Times New Roman" w:hAnsi="Times New Roman"/>
                <w:b w:val="0"/>
                <w:sz w:val="21"/>
                <w:szCs w:val="21"/>
                <w:lang w:eastAsia="en-US"/>
              </w:rPr>
            </w:pPr>
            <w:r>
              <w:rPr>
                <w:rFonts w:ascii="Times New Roman" w:hAnsi="Times New Roman"/>
                <w:b w:val="0"/>
                <w:sz w:val="21"/>
                <w:szCs w:val="21"/>
                <w:lang w:eastAsia="en-US"/>
              </w:rPr>
              <w:t>水生生物</w:t>
            </w:r>
          </w:p>
        </w:tc>
      </w:tr>
      <w:tr w:rsidR="00606029" w14:paraId="66D84993" w14:textId="77777777" w:rsidTr="00661665">
        <w:trPr>
          <w:trHeight w:val="57"/>
        </w:trPr>
        <w:tc>
          <w:tcPr>
            <w:tcW w:w="274" w:type="pct"/>
            <w:tcBorders>
              <w:bottom w:val="nil"/>
            </w:tcBorders>
            <w:vAlign w:val="center"/>
          </w:tcPr>
          <w:p w14:paraId="5C5FFFC2" w14:textId="77777777" w:rsidR="00606029" w:rsidRDefault="00EA5B92">
            <w:pPr>
              <w:pStyle w:val="afff0"/>
              <w:adjustRightInd w:val="0"/>
              <w:snapToGrid w:val="0"/>
              <w:spacing w:line="240" w:lineRule="auto"/>
              <w:rPr>
                <w:rFonts w:ascii="Times New Roman" w:hAnsi="Times New Roman"/>
                <w:b w:val="0"/>
                <w:sz w:val="21"/>
                <w:szCs w:val="21"/>
                <w:lang w:eastAsia="en-US"/>
              </w:rPr>
            </w:pPr>
            <w:r>
              <w:rPr>
                <w:rFonts w:ascii="Times New Roman" w:hAnsi="Times New Roman"/>
                <w:b w:val="0"/>
                <w:sz w:val="21"/>
                <w:szCs w:val="21"/>
                <w:lang w:eastAsia="en-US"/>
              </w:rPr>
              <w:t>施工期</w:t>
            </w:r>
          </w:p>
        </w:tc>
        <w:tc>
          <w:tcPr>
            <w:tcW w:w="381" w:type="pct"/>
            <w:vAlign w:val="center"/>
          </w:tcPr>
          <w:p w14:paraId="69E3AEDC" w14:textId="7789B337" w:rsidR="00606029" w:rsidRDefault="004532C4">
            <w:pPr>
              <w:pStyle w:val="afff0"/>
              <w:adjustRightInd w:val="0"/>
              <w:snapToGrid w:val="0"/>
              <w:spacing w:line="240" w:lineRule="auto"/>
              <w:rPr>
                <w:rFonts w:ascii="Times New Roman" w:hAnsi="Times New Roman"/>
                <w:b w:val="0"/>
                <w:sz w:val="21"/>
                <w:szCs w:val="21"/>
                <w:lang w:eastAsia="en-US"/>
              </w:rPr>
            </w:pPr>
            <w:r>
              <w:rPr>
                <w:rFonts w:ascii="Times New Roman" w:hAnsi="Times New Roman" w:hint="eastAsia"/>
                <w:b w:val="0"/>
                <w:sz w:val="21"/>
                <w:szCs w:val="21"/>
              </w:rPr>
              <w:t>渗滤液调节池清理</w:t>
            </w:r>
          </w:p>
        </w:tc>
        <w:tc>
          <w:tcPr>
            <w:tcW w:w="280" w:type="pct"/>
            <w:vAlign w:val="center"/>
          </w:tcPr>
          <w:p w14:paraId="5EB811A6" w14:textId="20DEA3B7" w:rsidR="00606029" w:rsidRDefault="00661665">
            <w:pPr>
              <w:pStyle w:val="afff0"/>
              <w:adjustRightInd w:val="0"/>
              <w:snapToGrid w:val="0"/>
              <w:spacing w:line="240" w:lineRule="auto"/>
              <w:rPr>
                <w:rFonts w:ascii="Times New Roman" w:hAnsi="Times New Roman"/>
                <w:b w:val="0"/>
                <w:sz w:val="21"/>
                <w:szCs w:val="21"/>
              </w:rPr>
            </w:pPr>
            <w:r>
              <w:rPr>
                <w:rFonts w:ascii="Times New Roman" w:hAnsi="Times New Roman" w:hint="eastAsia"/>
                <w:b w:val="0"/>
                <w:sz w:val="21"/>
                <w:szCs w:val="21"/>
              </w:rPr>
              <w:t>-1</w:t>
            </w:r>
          </w:p>
        </w:tc>
        <w:tc>
          <w:tcPr>
            <w:tcW w:w="282" w:type="pct"/>
            <w:vAlign w:val="center"/>
          </w:tcPr>
          <w:p w14:paraId="568A0471" w14:textId="77777777" w:rsidR="00606029" w:rsidRDefault="00EA5B92">
            <w:pPr>
              <w:pStyle w:val="afff0"/>
              <w:adjustRightInd w:val="0"/>
              <w:snapToGrid w:val="0"/>
              <w:spacing w:line="240" w:lineRule="auto"/>
              <w:rPr>
                <w:rFonts w:ascii="Times New Roman" w:hAnsi="Times New Roman"/>
                <w:b w:val="0"/>
                <w:sz w:val="21"/>
                <w:szCs w:val="21"/>
              </w:rPr>
            </w:pPr>
            <w:r>
              <w:rPr>
                <w:rFonts w:ascii="Times New Roman" w:hAnsi="Times New Roman"/>
                <w:b w:val="0"/>
                <w:sz w:val="21"/>
                <w:szCs w:val="21"/>
              </w:rPr>
              <w:t>/</w:t>
            </w:r>
          </w:p>
        </w:tc>
        <w:tc>
          <w:tcPr>
            <w:tcW w:w="277" w:type="pct"/>
            <w:vAlign w:val="center"/>
          </w:tcPr>
          <w:p w14:paraId="07D9358D" w14:textId="77777777" w:rsidR="00606029" w:rsidRDefault="00EA5B92">
            <w:pPr>
              <w:pStyle w:val="afff0"/>
              <w:adjustRightInd w:val="0"/>
              <w:snapToGrid w:val="0"/>
              <w:spacing w:line="240" w:lineRule="auto"/>
              <w:rPr>
                <w:rFonts w:ascii="Times New Roman" w:hAnsi="Times New Roman"/>
                <w:b w:val="0"/>
                <w:sz w:val="21"/>
                <w:szCs w:val="21"/>
              </w:rPr>
            </w:pPr>
            <w:r>
              <w:rPr>
                <w:rFonts w:ascii="Times New Roman" w:hAnsi="Times New Roman"/>
                <w:b w:val="0"/>
                <w:sz w:val="21"/>
                <w:szCs w:val="21"/>
              </w:rPr>
              <w:t>/</w:t>
            </w:r>
          </w:p>
        </w:tc>
        <w:tc>
          <w:tcPr>
            <w:tcW w:w="277" w:type="pct"/>
            <w:vAlign w:val="center"/>
          </w:tcPr>
          <w:p w14:paraId="32E8152D" w14:textId="77777777" w:rsidR="00606029" w:rsidRDefault="00EA5B92">
            <w:pPr>
              <w:pStyle w:val="afff0"/>
              <w:adjustRightInd w:val="0"/>
              <w:snapToGrid w:val="0"/>
              <w:spacing w:line="240" w:lineRule="auto"/>
              <w:rPr>
                <w:rFonts w:ascii="Times New Roman" w:hAnsi="Times New Roman"/>
                <w:b w:val="0"/>
                <w:sz w:val="21"/>
                <w:szCs w:val="21"/>
              </w:rPr>
            </w:pPr>
            <w:r>
              <w:rPr>
                <w:rFonts w:ascii="Times New Roman" w:hAnsi="Times New Roman"/>
                <w:b w:val="0"/>
                <w:sz w:val="21"/>
                <w:szCs w:val="21"/>
              </w:rPr>
              <w:t>/</w:t>
            </w:r>
          </w:p>
        </w:tc>
        <w:tc>
          <w:tcPr>
            <w:tcW w:w="288" w:type="pct"/>
            <w:vAlign w:val="center"/>
          </w:tcPr>
          <w:p w14:paraId="0C81269C" w14:textId="77777777" w:rsidR="00606029" w:rsidRDefault="00EA5B92">
            <w:pPr>
              <w:pStyle w:val="afff0"/>
              <w:adjustRightInd w:val="0"/>
              <w:snapToGrid w:val="0"/>
              <w:spacing w:line="240" w:lineRule="auto"/>
              <w:rPr>
                <w:rFonts w:ascii="Times New Roman" w:hAnsi="Times New Roman"/>
                <w:b w:val="0"/>
                <w:sz w:val="21"/>
                <w:szCs w:val="21"/>
                <w:lang w:eastAsia="en-US"/>
              </w:rPr>
            </w:pPr>
            <w:r>
              <w:rPr>
                <w:rFonts w:ascii="Times New Roman" w:hAnsi="Times New Roman"/>
                <w:b w:val="0"/>
                <w:sz w:val="21"/>
                <w:szCs w:val="21"/>
                <w:lang w:eastAsia="en-US"/>
              </w:rPr>
              <w:t>-1</w:t>
            </w:r>
          </w:p>
        </w:tc>
        <w:tc>
          <w:tcPr>
            <w:tcW w:w="282" w:type="pct"/>
            <w:vAlign w:val="center"/>
          </w:tcPr>
          <w:p w14:paraId="51B2D82E" w14:textId="4BD951E9" w:rsidR="00606029" w:rsidRDefault="004E475B">
            <w:pPr>
              <w:pStyle w:val="afff0"/>
              <w:adjustRightInd w:val="0"/>
              <w:snapToGrid w:val="0"/>
              <w:spacing w:line="240" w:lineRule="auto"/>
              <w:rPr>
                <w:rFonts w:ascii="Times New Roman" w:hAnsi="Times New Roman"/>
                <w:b w:val="0"/>
                <w:sz w:val="21"/>
                <w:szCs w:val="21"/>
              </w:rPr>
            </w:pPr>
            <w:r>
              <w:rPr>
                <w:rFonts w:ascii="Times New Roman" w:hAnsi="Times New Roman"/>
                <w:b w:val="0"/>
                <w:sz w:val="21"/>
                <w:szCs w:val="21"/>
                <w:lang w:eastAsia="en-US"/>
              </w:rPr>
              <w:t>-1</w:t>
            </w:r>
          </w:p>
        </w:tc>
        <w:tc>
          <w:tcPr>
            <w:tcW w:w="225" w:type="pct"/>
            <w:vAlign w:val="center"/>
          </w:tcPr>
          <w:p w14:paraId="551C4EAD" w14:textId="77777777" w:rsidR="00606029" w:rsidRDefault="00EA5B92">
            <w:pPr>
              <w:pStyle w:val="afff0"/>
              <w:adjustRightInd w:val="0"/>
              <w:snapToGrid w:val="0"/>
              <w:spacing w:line="240" w:lineRule="auto"/>
              <w:rPr>
                <w:rFonts w:ascii="Times New Roman" w:hAnsi="Times New Roman"/>
                <w:b w:val="0"/>
                <w:sz w:val="21"/>
                <w:szCs w:val="21"/>
              </w:rPr>
            </w:pPr>
            <w:r>
              <w:rPr>
                <w:rFonts w:ascii="Times New Roman" w:hAnsi="Times New Roman"/>
                <w:b w:val="0"/>
                <w:sz w:val="21"/>
                <w:szCs w:val="21"/>
              </w:rPr>
              <w:t>/</w:t>
            </w:r>
          </w:p>
        </w:tc>
        <w:tc>
          <w:tcPr>
            <w:tcW w:w="225" w:type="pct"/>
            <w:vAlign w:val="center"/>
          </w:tcPr>
          <w:p w14:paraId="3A032741" w14:textId="77777777" w:rsidR="00606029" w:rsidRDefault="00EA5B92">
            <w:pPr>
              <w:pStyle w:val="afff0"/>
              <w:adjustRightInd w:val="0"/>
              <w:snapToGrid w:val="0"/>
              <w:spacing w:line="240" w:lineRule="auto"/>
              <w:rPr>
                <w:rFonts w:ascii="Times New Roman" w:hAnsi="Times New Roman"/>
                <w:b w:val="0"/>
                <w:sz w:val="21"/>
                <w:szCs w:val="21"/>
              </w:rPr>
            </w:pPr>
            <w:r>
              <w:rPr>
                <w:rFonts w:ascii="Times New Roman" w:hAnsi="Times New Roman"/>
                <w:b w:val="0"/>
                <w:sz w:val="21"/>
                <w:szCs w:val="21"/>
              </w:rPr>
              <w:t>/</w:t>
            </w:r>
          </w:p>
        </w:tc>
        <w:tc>
          <w:tcPr>
            <w:tcW w:w="225" w:type="pct"/>
            <w:vAlign w:val="center"/>
          </w:tcPr>
          <w:p w14:paraId="2605AB60" w14:textId="522F0853" w:rsidR="00606029" w:rsidRDefault="004E475B">
            <w:pPr>
              <w:pStyle w:val="afff0"/>
              <w:adjustRightInd w:val="0"/>
              <w:snapToGrid w:val="0"/>
              <w:spacing w:line="240" w:lineRule="auto"/>
              <w:rPr>
                <w:rFonts w:ascii="Times New Roman" w:hAnsi="Times New Roman"/>
                <w:b w:val="0"/>
                <w:sz w:val="21"/>
                <w:szCs w:val="21"/>
              </w:rPr>
            </w:pPr>
            <w:r>
              <w:rPr>
                <w:rFonts w:ascii="Times New Roman" w:hAnsi="Times New Roman"/>
                <w:b w:val="0"/>
                <w:sz w:val="21"/>
                <w:szCs w:val="21"/>
                <w:lang w:eastAsia="en-US"/>
              </w:rPr>
              <w:t>-1</w:t>
            </w:r>
          </w:p>
        </w:tc>
        <w:tc>
          <w:tcPr>
            <w:tcW w:w="284" w:type="pct"/>
            <w:vAlign w:val="center"/>
          </w:tcPr>
          <w:p w14:paraId="428C55A5" w14:textId="77777777" w:rsidR="00606029" w:rsidRDefault="00EA5B92">
            <w:pPr>
              <w:pStyle w:val="afff0"/>
              <w:adjustRightInd w:val="0"/>
              <w:snapToGrid w:val="0"/>
              <w:spacing w:line="240" w:lineRule="auto"/>
              <w:rPr>
                <w:rFonts w:ascii="Times New Roman" w:hAnsi="Times New Roman"/>
                <w:b w:val="0"/>
                <w:sz w:val="21"/>
                <w:szCs w:val="21"/>
              </w:rPr>
            </w:pPr>
            <w:r>
              <w:rPr>
                <w:rFonts w:ascii="Times New Roman" w:hAnsi="Times New Roman"/>
                <w:b w:val="0"/>
                <w:sz w:val="21"/>
                <w:szCs w:val="21"/>
              </w:rPr>
              <w:t>/</w:t>
            </w:r>
          </w:p>
        </w:tc>
        <w:tc>
          <w:tcPr>
            <w:tcW w:w="282" w:type="pct"/>
            <w:vAlign w:val="center"/>
          </w:tcPr>
          <w:p w14:paraId="1CBE77A1" w14:textId="77777777" w:rsidR="00606029" w:rsidRDefault="00EA5B92">
            <w:pPr>
              <w:pStyle w:val="afff0"/>
              <w:adjustRightInd w:val="0"/>
              <w:snapToGrid w:val="0"/>
              <w:spacing w:line="240" w:lineRule="auto"/>
              <w:rPr>
                <w:rFonts w:ascii="Times New Roman" w:hAnsi="Times New Roman"/>
                <w:b w:val="0"/>
                <w:sz w:val="21"/>
                <w:szCs w:val="21"/>
              </w:rPr>
            </w:pPr>
            <w:r>
              <w:rPr>
                <w:rFonts w:ascii="Times New Roman" w:hAnsi="Times New Roman"/>
                <w:b w:val="0"/>
                <w:sz w:val="21"/>
                <w:szCs w:val="21"/>
              </w:rPr>
              <w:t>/</w:t>
            </w:r>
          </w:p>
        </w:tc>
        <w:tc>
          <w:tcPr>
            <w:tcW w:w="282" w:type="pct"/>
            <w:vAlign w:val="center"/>
          </w:tcPr>
          <w:p w14:paraId="5200296A" w14:textId="1C7EBD05" w:rsidR="00606029" w:rsidRDefault="004E475B">
            <w:pPr>
              <w:pStyle w:val="afff0"/>
              <w:adjustRightInd w:val="0"/>
              <w:snapToGrid w:val="0"/>
              <w:spacing w:line="240" w:lineRule="auto"/>
              <w:rPr>
                <w:rFonts w:ascii="Times New Roman" w:hAnsi="Times New Roman"/>
                <w:b w:val="0"/>
                <w:sz w:val="21"/>
                <w:szCs w:val="21"/>
              </w:rPr>
            </w:pPr>
            <w:r>
              <w:rPr>
                <w:rFonts w:ascii="Times New Roman" w:hAnsi="Times New Roman" w:hint="eastAsia"/>
                <w:b w:val="0"/>
                <w:sz w:val="21"/>
                <w:szCs w:val="21"/>
              </w:rPr>
              <w:t>/</w:t>
            </w:r>
          </w:p>
        </w:tc>
        <w:tc>
          <w:tcPr>
            <w:tcW w:w="282" w:type="pct"/>
            <w:vAlign w:val="center"/>
          </w:tcPr>
          <w:p w14:paraId="6B419DBF" w14:textId="77777777" w:rsidR="00606029" w:rsidRDefault="00EA5B92">
            <w:pPr>
              <w:pStyle w:val="afff0"/>
              <w:adjustRightInd w:val="0"/>
              <w:snapToGrid w:val="0"/>
              <w:spacing w:line="240" w:lineRule="auto"/>
              <w:rPr>
                <w:rFonts w:ascii="Times New Roman" w:hAnsi="Times New Roman"/>
                <w:b w:val="0"/>
                <w:sz w:val="21"/>
                <w:szCs w:val="21"/>
                <w:lang w:eastAsia="en-US"/>
              </w:rPr>
            </w:pPr>
            <w:r>
              <w:rPr>
                <w:rFonts w:ascii="Times New Roman" w:hAnsi="Times New Roman"/>
                <w:b w:val="0"/>
                <w:sz w:val="21"/>
                <w:szCs w:val="21"/>
                <w:lang w:eastAsia="en-US"/>
              </w:rPr>
              <w:t>-1</w:t>
            </w:r>
          </w:p>
        </w:tc>
        <w:tc>
          <w:tcPr>
            <w:tcW w:w="283" w:type="pct"/>
            <w:vAlign w:val="center"/>
          </w:tcPr>
          <w:p w14:paraId="4F4DAB36" w14:textId="77777777" w:rsidR="00606029" w:rsidRDefault="00EA5B92">
            <w:pPr>
              <w:pStyle w:val="afff0"/>
              <w:adjustRightInd w:val="0"/>
              <w:snapToGrid w:val="0"/>
              <w:spacing w:line="240" w:lineRule="auto"/>
              <w:rPr>
                <w:rFonts w:ascii="Times New Roman" w:hAnsi="Times New Roman"/>
                <w:b w:val="0"/>
                <w:sz w:val="21"/>
                <w:szCs w:val="21"/>
              </w:rPr>
            </w:pPr>
            <w:r>
              <w:rPr>
                <w:rFonts w:ascii="Times New Roman" w:hAnsi="Times New Roman"/>
                <w:b w:val="0"/>
                <w:sz w:val="21"/>
                <w:szCs w:val="21"/>
              </w:rPr>
              <w:t>/</w:t>
            </w:r>
          </w:p>
        </w:tc>
        <w:tc>
          <w:tcPr>
            <w:tcW w:w="283" w:type="pct"/>
            <w:vAlign w:val="center"/>
          </w:tcPr>
          <w:p w14:paraId="71AE1626" w14:textId="77777777" w:rsidR="00606029" w:rsidRDefault="00EA5B92">
            <w:pPr>
              <w:pStyle w:val="afff0"/>
              <w:adjustRightInd w:val="0"/>
              <w:snapToGrid w:val="0"/>
              <w:spacing w:line="240" w:lineRule="auto"/>
              <w:rPr>
                <w:rFonts w:ascii="Times New Roman" w:hAnsi="Times New Roman"/>
                <w:b w:val="0"/>
                <w:sz w:val="21"/>
                <w:szCs w:val="21"/>
              </w:rPr>
            </w:pPr>
            <w:r>
              <w:rPr>
                <w:rFonts w:ascii="Times New Roman" w:hAnsi="Times New Roman"/>
                <w:b w:val="0"/>
                <w:sz w:val="21"/>
                <w:szCs w:val="21"/>
              </w:rPr>
              <w:t>/</w:t>
            </w:r>
          </w:p>
        </w:tc>
        <w:tc>
          <w:tcPr>
            <w:tcW w:w="287" w:type="pct"/>
            <w:vAlign w:val="center"/>
          </w:tcPr>
          <w:p w14:paraId="3E94A059" w14:textId="77777777" w:rsidR="00606029" w:rsidRDefault="00EA5B92">
            <w:pPr>
              <w:pStyle w:val="afff0"/>
              <w:adjustRightInd w:val="0"/>
              <w:snapToGrid w:val="0"/>
              <w:spacing w:line="240" w:lineRule="auto"/>
              <w:rPr>
                <w:rFonts w:ascii="Times New Roman" w:hAnsi="Times New Roman"/>
                <w:b w:val="0"/>
                <w:sz w:val="21"/>
                <w:szCs w:val="21"/>
              </w:rPr>
            </w:pPr>
            <w:r>
              <w:rPr>
                <w:rFonts w:ascii="Times New Roman" w:hAnsi="Times New Roman"/>
                <w:b w:val="0"/>
                <w:sz w:val="21"/>
                <w:szCs w:val="21"/>
              </w:rPr>
              <w:t>/</w:t>
            </w:r>
          </w:p>
        </w:tc>
      </w:tr>
      <w:tr w:rsidR="00661665" w14:paraId="7C5FB67B" w14:textId="77777777" w:rsidTr="00661665">
        <w:trPr>
          <w:trHeight w:val="57"/>
        </w:trPr>
        <w:tc>
          <w:tcPr>
            <w:tcW w:w="274" w:type="pct"/>
            <w:tcBorders>
              <w:bottom w:val="nil"/>
            </w:tcBorders>
            <w:vAlign w:val="center"/>
          </w:tcPr>
          <w:p w14:paraId="4C45D96A" w14:textId="77777777" w:rsidR="00661665" w:rsidRDefault="00661665" w:rsidP="00661665">
            <w:pPr>
              <w:pStyle w:val="afff0"/>
              <w:adjustRightInd w:val="0"/>
              <w:snapToGrid w:val="0"/>
              <w:spacing w:line="240" w:lineRule="auto"/>
              <w:rPr>
                <w:rFonts w:ascii="Times New Roman" w:hAnsi="Times New Roman"/>
                <w:b w:val="0"/>
                <w:sz w:val="21"/>
                <w:szCs w:val="21"/>
                <w:lang w:eastAsia="en-US"/>
              </w:rPr>
            </w:pPr>
            <w:r>
              <w:rPr>
                <w:rFonts w:ascii="Times New Roman" w:hAnsi="Times New Roman"/>
                <w:b w:val="0"/>
                <w:sz w:val="21"/>
                <w:szCs w:val="21"/>
                <w:lang w:eastAsia="en-US"/>
              </w:rPr>
              <w:t>运营期</w:t>
            </w:r>
          </w:p>
        </w:tc>
        <w:tc>
          <w:tcPr>
            <w:tcW w:w="381" w:type="pct"/>
            <w:vAlign w:val="center"/>
          </w:tcPr>
          <w:p w14:paraId="42F164D2" w14:textId="77777777" w:rsidR="00661665" w:rsidRDefault="00661665" w:rsidP="00661665">
            <w:pPr>
              <w:pStyle w:val="afff0"/>
              <w:adjustRightInd w:val="0"/>
              <w:snapToGrid w:val="0"/>
              <w:spacing w:line="240" w:lineRule="auto"/>
              <w:rPr>
                <w:rFonts w:ascii="Times New Roman" w:hAnsi="Times New Roman"/>
                <w:b w:val="0"/>
                <w:sz w:val="21"/>
                <w:szCs w:val="21"/>
              </w:rPr>
            </w:pPr>
            <w:r>
              <w:rPr>
                <w:rFonts w:ascii="Times New Roman" w:hAnsi="Times New Roman" w:hint="eastAsia"/>
                <w:b w:val="0"/>
                <w:sz w:val="21"/>
                <w:szCs w:val="21"/>
              </w:rPr>
              <w:t>飞灰</w:t>
            </w:r>
          </w:p>
          <w:p w14:paraId="2EB2A009" w14:textId="71D99336" w:rsidR="00661665" w:rsidRDefault="00661665" w:rsidP="00661665">
            <w:pPr>
              <w:pStyle w:val="afff0"/>
              <w:adjustRightInd w:val="0"/>
              <w:snapToGrid w:val="0"/>
              <w:spacing w:line="240" w:lineRule="auto"/>
              <w:rPr>
                <w:rFonts w:ascii="Times New Roman" w:hAnsi="Times New Roman"/>
                <w:b w:val="0"/>
                <w:sz w:val="21"/>
                <w:szCs w:val="21"/>
              </w:rPr>
            </w:pPr>
            <w:r>
              <w:rPr>
                <w:rFonts w:ascii="Times New Roman" w:hAnsi="Times New Roman" w:hint="eastAsia"/>
                <w:b w:val="0"/>
                <w:sz w:val="21"/>
                <w:szCs w:val="21"/>
              </w:rPr>
              <w:t>填埋</w:t>
            </w:r>
          </w:p>
        </w:tc>
        <w:tc>
          <w:tcPr>
            <w:tcW w:w="280" w:type="pct"/>
            <w:vAlign w:val="center"/>
          </w:tcPr>
          <w:p w14:paraId="15B23BA9" w14:textId="77777777" w:rsidR="00661665" w:rsidRDefault="00661665" w:rsidP="00661665">
            <w:pPr>
              <w:pStyle w:val="afff0"/>
              <w:adjustRightInd w:val="0"/>
              <w:snapToGrid w:val="0"/>
              <w:spacing w:line="240" w:lineRule="auto"/>
              <w:rPr>
                <w:rFonts w:ascii="Times New Roman" w:hAnsi="Times New Roman"/>
                <w:b w:val="0"/>
                <w:sz w:val="21"/>
                <w:szCs w:val="21"/>
              </w:rPr>
            </w:pPr>
            <w:r>
              <w:rPr>
                <w:rFonts w:ascii="Times New Roman" w:hAnsi="Times New Roman"/>
                <w:b w:val="0"/>
                <w:sz w:val="21"/>
                <w:szCs w:val="21"/>
              </w:rPr>
              <w:t>/</w:t>
            </w:r>
          </w:p>
        </w:tc>
        <w:tc>
          <w:tcPr>
            <w:tcW w:w="282" w:type="pct"/>
            <w:vAlign w:val="center"/>
          </w:tcPr>
          <w:p w14:paraId="71A77352" w14:textId="77777777" w:rsidR="00661665" w:rsidRDefault="00661665" w:rsidP="00661665">
            <w:pPr>
              <w:pStyle w:val="afff0"/>
              <w:adjustRightInd w:val="0"/>
              <w:snapToGrid w:val="0"/>
              <w:spacing w:line="240" w:lineRule="auto"/>
              <w:rPr>
                <w:rFonts w:ascii="Times New Roman" w:hAnsi="Times New Roman"/>
                <w:b w:val="0"/>
                <w:sz w:val="21"/>
                <w:szCs w:val="21"/>
              </w:rPr>
            </w:pPr>
            <w:r>
              <w:rPr>
                <w:rFonts w:ascii="Times New Roman" w:hAnsi="Times New Roman"/>
                <w:b w:val="0"/>
                <w:sz w:val="21"/>
                <w:szCs w:val="21"/>
              </w:rPr>
              <w:t>/</w:t>
            </w:r>
          </w:p>
        </w:tc>
        <w:tc>
          <w:tcPr>
            <w:tcW w:w="277" w:type="pct"/>
            <w:vAlign w:val="center"/>
          </w:tcPr>
          <w:p w14:paraId="40000215" w14:textId="77777777" w:rsidR="00661665" w:rsidRDefault="00661665" w:rsidP="00661665">
            <w:pPr>
              <w:pStyle w:val="afff0"/>
              <w:adjustRightInd w:val="0"/>
              <w:snapToGrid w:val="0"/>
              <w:spacing w:line="240" w:lineRule="auto"/>
              <w:rPr>
                <w:rFonts w:ascii="Times New Roman" w:hAnsi="Times New Roman"/>
                <w:b w:val="0"/>
                <w:sz w:val="21"/>
                <w:szCs w:val="21"/>
              </w:rPr>
            </w:pPr>
            <w:r>
              <w:rPr>
                <w:rFonts w:ascii="Times New Roman" w:hAnsi="Times New Roman"/>
                <w:b w:val="0"/>
                <w:sz w:val="21"/>
                <w:szCs w:val="21"/>
              </w:rPr>
              <w:t>/</w:t>
            </w:r>
          </w:p>
        </w:tc>
        <w:tc>
          <w:tcPr>
            <w:tcW w:w="277" w:type="pct"/>
            <w:vAlign w:val="center"/>
          </w:tcPr>
          <w:p w14:paraId="5B5CABAE" w14:textId="77777777" w:rsidR="00661665" w:rsidRDefault="00661665" w:rsidP="00661665">
            <w:pPr>
              <w:pStyle w:val="afff0"/>
              <w:adjustRightInd w:val="0"/>
              <w:snapToGrid w:val="0"/>
              <w:spacing w:line="240" w:lineRule="auto"/>
              <w:rPr>
                <w:rFonts w:ascii="Times New Roman" w:hAnsi="Times New Roman"/>
                <w:b w:val="0"/>
                <w:sz w:val="21"/>
                <w:szCs w:val="21"/>
              </w:rPr>
            </w:pPr>
            <w:r>
              <w:rPr>
                <w:rFonts w:ascii="Times New Roman" w:hAnsi="Times New Roman"/>
                <w:b w:val="0"/>
                <w:sz w:val="21"/>
                <w:szCs w:val="21"/>
              </w:rPr>
              <w:t>/</w:t>
            </w:r>
          </w:p>
        </w:tc>
        <w:tc>
          <w:tcPr>
            <w:tcW w:w="288" w:type="pct"/>
            <w:vAlign w:val="center"/>
          </w:tcPr>
          <w:p w14:paraId="0D331A11" w14:textId="77777777" w:rsidR="00661665" w:rsidRDefault="00661665" w:rsidP="00661665">
            <w:pPr>
              <w:pStyle w:val="afff0"/>
              <w:adjustRightInd w:val="0"/>
              <w:snapToGrid w:val="0"/>
              <w:spacing w:line="240" w:lineRule="auto"/>
              <w:rPr>
                <w:rFonts w:ascii="Times New Roman" w:hAnsi="Times New Roman"/>
                <w:b w:val="0"/>
                <w:sz w:val="21"/>
                <w:szCs w:val="21"/>
              </w:rPr>
            </w:pPr>
            <w:r>
              <w:rPr>
                <w:rFonts w:ascii="Times New Roman" w:hAnsi="Times New Roman"/>
                <w:b w:val="0"/>
                <w:sz w:val="21"/>
                <w:szCs w:val="21"/>
              </w:rPr>
              <w:t>/</w:t>
            </w:r>
          </w:p>
        </w:tc>
        <w:tc>
          <w:tcPr>
            <w:tcW w:w="282" w:type="pct"/>
            <w:vAlign w:val="center"/>
          </w:tcPr>
          <w:p w14:paraId="7C7BA835" w14:textId="77777777" w:rsidR="00661665" w:rsidRDefault="00661665" w:rsidP="00661665">
            <w:pPr>
              <w:pStyle w:val="afff0"/>
              <w:adjustRightInd w:val="0"/>
              <w:snapToGrid w:val="0"/>
              <w:spacing w:line="240" w:lineRule="auto"/>
              <w:rPr>
                <w:rFonts w:ascii="Times New Roman" w:hAnsi="Times New Roman"/>
                <w:b w:val="0"/>
                <w:sz w:val="21"/>
                <w:szCs w:val="21"/>
                <w:lang w:eastAsia="en-US"/>
              </w:rPr>
            </w:pPr>
            <w:r>
              <w:rPr>
                <w:rFonts w:ascii="Times New Roman" w:hAnsi="Times New Roman"/>
                <w:b w:val="0"/>
                <w:sz w:val="21"/>
                <w:szCs w:val="21"/>
                <w:lang w:eastAsia="en-US"/>
              </w:rPr>
              <w:t>-1</w:t>
            </w:r>
          </w:p>
        </w:tc>
        <w:tc>
          <w:tcPr>
            <w:tcW w:w="225" w:type="pct"/>
            <w:vAlign w:val="center"/>
          </w:tcPr>
          <w:p w14:paraId="2EF0F5A3" w14:textId="68BF692D" w:rsidR="00661665" w:rsidRDefault="00661665" w:rsidP="00661665">
            <w:pPr>
              <w:pStyle w:val="afff0"/>
              <w:adjustRightInd w:val="0"/>
              <w:snapToGrid w:val="0"/>
              <w:spacing w:line="240" w:lineRule="auto"/>
              <w:rPr>
                <w:rFonts w:ascii="Times New Roman" w:hAnsi="Times New Roman"/>
                <w:b w:val="0"/>
                <w:sz w:val="21"/>
                <w:szCs w:val="21"/>
              </w:rPr>
            </w:pPr>
            <w:r>
              <w:rPr>
                <w:rFonts w:ascii="Times New Roman" w:hAnsi="Times New Roman" w:hint="eastAsia"/>
                <w:b w:val="0"/>
                <w:sz w:val="21"/>
                <w:szCs w:val="21"/>
              </w:rPr>
              <w:t>/</w:t>
            </w:r>
          </w:p>
        </w:tc>
        <w:tc>
          <w:tcPr>
            <w:tcW w:w="225" w:type="pct"/>
            <w:vAlign w:val="center"/>
          </w:tcPr>
          <w:p w14:paraId="6D0C35C5" w14:textId="51D78F50" w:rsidR="00661665" w:rsidRDefault="00661665" w:rsidP="00661665">
            <w:pPr>
              <w:pStyle w:val="afff0"/>
              <w:adjustRightInd w:val="0"/>
              <w:snapToGrid w:val="0"/>
              <w:spacing w:line="240" w:lineRule="auto"/>
              <w:rPr>
                <w:rFonts w:ascii="Times New Roman" w:hAnsi="Times New Roman"/>
                <w:b w:val="0"/>
                <w:sz w:val="21"/>
                <w:szCs w:val="21"/>
              </w:rPr>
            </w:pPr>
            <w:r>
              <w:rPr>
                <w:rFonts w:ascii="Times New Roman" w:hAnsi="Times New Roman"/>
                <w:b w:val="0"/>
                <w:sz w:val="21"/>
                <w:szCs w:val="21"/>
                <w:lang w:eastAsia="en-US"/>
              </w:rPr>
              <w:t>-1</w:t>
            </w:r>
          </w:p>
        </w:tc>
        <w:tc>
          <w:tcPr>
            <w:tcW w:w="225" w:type="pct"/>
            <w:vAlign w:val="center"/>
          </w:tcPr>
          <w:p w14:paraId="0877B251" w14:textId="457FAE2A" w:rsidR="00661665" w:rsidRDefault="00661665" w:rsidP="00661665">
            <w:pPr>
              <w:pStyle w:val="afff0"/>
              <w:adjustRightInd w:val="0"/>
              <w:snapToGrid w:val="0"/>
              <w:spacing w:line="240" w:lineRule="auto"/>
              <w:rPr>
                <w:rFonts w:ascii="Times New Roman" w:hAnsi="Times New Roman"/>
                <w:b w:val="0"/>
                <w:sz w:val="21"/>
                <w:szCs w:val="21"/>
              </w:rPr>
            </w:pPr>
            <w:r w:rsidRPr="00661665">
              <w:rPr>
                <w:rFonts w:ascii="Times New Roman" w:hAnsi="Times New Roman"/>
                <w:b w:val="0"/>
                <w:sz w:val="21"/>
                <w:szCs w:val="21"/>
              </w:rPr>
              <w:t>-1</w:t>
            </w:r>
          </w:p>
        </w:tc>
        <w:tc>
          <w:tcPr>
            <w:tcW w:w="284" w:type="pct"/>
            <w:vAlign w:val="center"/>
          </w:tcPr>
          <w:p w14:paraId="730088B1" w14:textId="520D26CF" w:rsidR="00661665" w:rsidRDefault="00661665" w:rsidP="00661665">
            <w:pPr>
              <w:pStyle w:val="afff0"/>
              <w:adjustRightInd w:val="0"/>
              <w:snapToGrid w:val="0"/>
              <w:spacing w:line="240" w:lineRule="auto"/>
              <w:rPr>
                <w:rFonts w:ascii="Times New Roman" w:hAnsi="Times New Roman"/>
                <w:b w:val="0"/>
                <w:sz w:val="21"/>
                <w:szCs w:val="21"/>
              </w:rPr>
            </w:pPr>
            <w:r w:rsidRPr="00661665">
              <w:rPr>
                <w:rFonts w:ascii="Times New Roman" w:hAnsi="Times New Roman"/>
                <w:b w:val="0"/>
                <w:sz w:val="21"/>
                <w:szCs w:val="21"/>
              </w:rPr>
              <w:t>-1</w:t>
            </w:r>
          </w:p>
        </w:tc>
        <w:tc>
          <w:tcPr>
            <w:tcW w:w="282" w:type="pct"/>
            <w:vAlign w:val="center"/>
          </w:tcPr>
          <w:p w14:paraId="7688E223" w14:textId="77D8318B" w:rsidR="00661665" w:rsidRDefault="00661665" w:rsidP="00661665">
            <w:pPr>
              <w:pStyle w:val="afff0"/>
              <w:adjustRightInd w:val="0"/>
              <w:snapToGrid w:val="0"/>
              <w:spacing w:line="240" w:lineRule="auto"/>
              <w:rPr>
                <w:rFonts w:ascii="Times New Roman" w:hAnsi="Times New Roman"/>
                <w:b w:val="0"/>
                <w:sz w:val="21"/>
                <w:szCs w:val="21"/>
              </w:rPr>
            </w:pPr>
            <w:r>
              <w:rPr>
                <w:rFonts w:ascii="Times New Roman" w:hAnsi="Times New Roman"/>
                <w:b w:val="0"/>
                <w:sz w:val="21"/>
                <w:szCs w:val="21"/>
              </w:rPr>
              <w:t>/</w:t>
            </w:r>
          </w:p>
        </w:tc>
        <w:tc>
          <w:tcPr>
            <w:tcW w:w="282" w:type="pct"/>
            <w:vAlign w:val="center"/>
          </w:tcPr>
          <w:p w14:paraId="7C585205" w14:textId="3FDAE184" w:rsidR="00661665" w:rsidRDefault="00661665" w:rsidP="00661665">
            <w:pPr>
              <w:pStyle w:val="afff0"/>
              <w:adjustRightInd w:val="0"/>
              <w:snapToGrid w:val="0"/>
              <w:spacing w:line="240" w:lineRule="auto"/>
              <w:rPr>
                <w:rFonts w:ascii="Times New Roman" w:hAnsi="Times New Roman"/>
                <w:b w:val="0"/>
                <w:sz w:val="21"/>
                <w:szCs w:val="21"/>
              </w:rPr>
            </w:pPr>
            <w:r>
              <w:rPr>
                <w:rFonts w:ascii="Times New Roman" w:hAnsi="Times New Roman"/>
                <w:b w:val="0"/>
                <w:sz w:val="21"/>
                <w:szCs w:val="21"/>
              </w:rPr>
              <w:t>/</w:t>
            </w:r>
          </w:p>
        </w:tc>
        <w:tc>
          <w:tcPr>
            <w:tcW w:w="282" w:type="pct"/>
            <w:vAlign w:val="center"/>
          </w:tcPr>
          <w:p w14:paraId="634F8D04" w14:textId="67A14664" w:rsidR="00661665" w:rsidRDefault="00661665" w:rsidP="00661665">
            <w:pPr>
              <w:pStyle w:val="afff0"/>
              <w:adjustRightInd w:val="0"/>
              <w:snapToGrid w:val="0"/>
              <w:spacing w:line="240" w:lineRule="auto"/>
              <w:rPr>
                <w:rFonts w:ascii="Times New Roman" w:hAnsi="Times New Roman"/>
                <w:b w:val="0"/>
                <w:sz w:val="21"/>
                <w:szCs w:val="21"/>
              </w:rPr>
            </w:pPr>
            <w:r>
              <w:rPr>
                <w:rFonts w:ascii="Times New Roman" w:hAnsi="Times New Roman"/>
                <w:b w:val="0"/>
                <w:sz w:val="21"/>
                <w:szCs w:val="21"/>
                <w:lang w:eastAsia="en-US"/>
              </w:rPr>
              <w:t>-1</w:t>
            </w:r>
          </w:p>
        </w:tc>
        <w:tc>
          <w:tcPr>
            <w:tcW w:w="283" w:type="pct"/>
            <w:vAlign w:val="center"/>
          </w:tcPr>
          <w:p w14:paraId="7DE1AE63" w14:textId="77777777" w:rsidR="00661665" w:rsidRDefault="00661665" w:rsidP="00661665">
            <w:pPr>
              <w:pStyle w:val="afff0"/>
              <w:adjustRightInd w:val="0"/>
              <w:snapToGrid w:val="0"/>
              <w:spacing w:line="240" w:lineRule="auto"/>
              <w:rPr>
                <w:rFonts w:ascii="Times New Roman" w:hAnsi="Times New Roman"/>
                <w:b w:val="0"/>
                <w:sz w:val="21"/>
                <w:szCs w:val="21"/>
              </w:rPr>
            </w:pPr>
            <w:r>
              <w:rPr>
                <w:rFonts w:ascii="Times New Roman" w:hAnsi="Times New Roman"/>
                <w:b w:val="0"/>
                <w:sz w:val="21"/>
                <w:szCs w:val="21"/>
              </w:rPr>
              <w:t>/</w:t>
            </w:r>
          </w:p>
        </w:tc>
        <w:tc>
          <w:tcPr>
            <w:tcW w:w="283" w:type="pct"/>
            <w:vAlign w:val="center"/>
          </w:tcPr>
          <w:p w14:paraId="55EC074C" w14:textId="59CCF6CA" w:rsidR="00661665" w:rsidRDefault="00661665" w:rsidP="00661665">
            <w:pPr>
              <w:pStyle w:val="afff0"/>
              <w:adjustRightInd w:val="0"/>
              <w:snapToGrid w:val="0"/>
              <w:spacing w:line="240" w:lineRule="auto"/>
              <w:rPr>
                <w:rFonts w:ascii="Times New Roman" w:hAnsi="Times New Roman"/>
                <w:b w:val="0"/>
                <w:sz w:val="21"/>
                <w:szCs w:val="21"/>
              </w:rPr>
            </w:pPr>
            <w:r>
              <w:rPr>
                <w:rFonts w:ascii="Times New Roman" w:hAnsi="Times New Roman" w:hint="eastAsia"/>
                <w:b w:val="0"/>
                <w:sz w:val="21"/>
                <w:szCs w:val="21"/>
              </w:rPr>
              <w:t>/</w:t>
            </w:r>
          </w:p>
        </w:tc>
        <w:tc>
          <w:tcPr>
            <w:tcW w:w="287" w:type="pct"/>
            <w:vAlign w:val="center"/>
          </w:tcPr>
          <w:p w14:paraId="5AE0C7D9" w14:textId="77777777" w:rsidR="00661665" w:rsidRDefault="00661665" w:rsidP="00661665">
            <w:pPr>
              <w:pStyle w:val="afff0"/>
              <w:adjustRightInd w:val="0"/>
              <w:snapToGrid w:val="0"/>
              <w:spacing w:line="240" w:lineRule="auto"/>
              <w:rPr>
                <w:rFonts w:ascii="Times New Roman" w:hAnsi="Times New Roman"/>
                <w:b w:val="0"/>
                <w:sz w:val="21"/>
                <w:szCs w:val="21"/>
              </w:rPr>
            </w:pPr>
            <w:r>
              <w:rPr>
                <w:rFonts w:ascii="Times New Roman" w:hAnsi="Times New Roman"/>
                <w:b w:val="0"/>
                <w:sz w:val="21"/>
                <w:szCs w:val="21"/>
              </w:rPr>
              <w:t>/</w:t>
            </w:r>
          </w:p>
        </w:tc>
      </w:tr>
      <w:tr w:rsidR="00606029" w14:paraId="618504E3" w14:textId="77777777" w:rsidTr="00661665">
        <w:trPr>
          <w:trHeight w:val="57"/>
        </w:trPr>
        <w:tc>
          <w:tcPr>
            <w:tcW w:w="274" w:type="pct"/>
            <w:vAlign w:val="center"/>
          </w:tcPr>
          <w:p w14:paraId="6CD9A9E0" w14:textId="77777777" w:rsidR="00606029" w:rsidRDefault="00EA5B92">
            <w:pPr>
              <w:pStyle w:val="afff0"/>
              <w:adjustRightInd w:val="0"/>
              <w:snapToGrid w:val="0"/>
              <w:spacing w:line="240" w:lineRule="auto"/>
              <w:rPr>
                <w:rFonts w:ascii="Times New Roman" w:hAnsi="Times New Roman"/>
                <w:b w:val="0"/>
                <w:sz w:val="21"/>
                <w:szCs w:val="21"/>
                <w:lang w:eastAsia="en-US"/>
              </w:rPr>
            </w:pPr>
            <w:r>
              <w:rPr>
                <w:rFonts w:ascii="Times New Roman" w:hAnsi="Times New Roman"/>
                <w:b w:val="0"/>
                <w:sz w:val="21"/>
                <w:szCs w:val="21"/>
                <w:lang w:eastAsia="en-US"/>
              </w:rPr>
              <w:t>封场期</w:t>
            </w:r>
          </w:p>
        </w:tc>
        <w:tc>
          <w:tcPr>
            <w:tcW w:w="381" w:type="pct"/>
            <w:vAlign w:val="center"/>
          </w:tcPr>
          <w:p w14:paraId="6F4EA1B2" w14:textId="77777777" w:rsidR="00661665" w:rsidRDefault="00EA5B92">
            <w:pPr>
              <w:pStyle w:val="afff0"/>
              <w:adjustRightInd w:val="0"/>
              <w:snapToGrid w:val="0"/>
              <w:spacing w:line="240" w:lineRule="auto"/>
              <w:rPr>
                <w:rFonts w:ascii="Times New Roman" w:hAnsi="Times New Roman"/>
                <w:b w:val="0"/>
                <w:sz w:val="21"/>
                <w:szCs w:val="21"/>
              </w:rPr>
            </w:pPr>
            <w:r>
              <w:rPr>
                <w:rFonts w:ascii="Times New Roman" w:hAnsi="Times New Roman"/>
                <w:b w:val="0"/>
                <w:sz w:val="21"/>
                <w:szCs w:val="21"/>
                <w:lang w:eastAsia="en-US"/>
              </w:rPr>
              <w:t>生态</w:t>
            </w:r>
          </w:p>
          <w:p w14:paraId="7556F680" w14:textId="41B59CD6" w:rsidR="00606029" w:rsidRDefault="00EA5B92">
            <w:pPr>
              <w:pStyle w:val="afff0"/>
              <w:adjustRightInd w:val="0"/>
              <w:snapToGrid w:val="0"/>
              <w:spacing w:line="240" w:lineRule="auto"/>
              <w:rPr>
                <w:rFonts w:ascii="Times New Roman" w:hAnsi="Times New Roman"/>
                <w:b w:val="0"/>
                <w:sz w:val="21"/>
                <w:szCs w:val="21"/>
                <w:lang w:eastAsia="en-US"/>
              </w:rPr>
            </w:pPr>
            <w:r>
              <w:rPr>
                <w:rFonts w:ascii="Times New Roman" w:hAnsi="Times New Roman"/>
                <w:b w:val="0"/>
                <w:sz w:val="21"/>
                <w:szCs w:val="21"/>
                <w:lang w:eastAsia="en-US"/>
              </w:rPr>
              <w:t>修复</w:t>
            </w:r>
          </w:p>
        </w:tc>
        <w:tc>
          <w:tcPr>
            <w:tcW w:w="280" w:type="pct"/>
            <w:vAlign w:val="center"/>
          </w:tcPr>
          <w:p w14:paraId="243B7DB8" w14:textId="77777777" w:rsidR="00606029" w:rsidRDefault="00EA5B92">
            <w:pPr>
              <w:pStyle w:val="afff0"/>
              <w:adjustRightInd w:val="0"/>
              <w:snapToGrid w:val="0"/>
              <w:spacing w:line="240" w:lineRule="auto"/>
              <w:rPr>
                <w:rFonts w:ascii="Times New Roman" w:hAnsi="Times New Roman"/>
                <w:b w:val="0"/>
                <w:sz w:val="21"/>
                <w:szCs w:val="21"/>
                <w:lang w:eastAsia="en-US"/>
              </w:rPr>
            </w:pPr>
            <w:r>
              <w:rPr>
                <w:rFonts w:ascii="Times New Roman" w:hAnsi="Times New Roman"/>
                <w:b w:val="0"/>
                <w:sz w:val="21"/>
                <w:szCs w:val="21"/>
                <w:lang w:eastAsia="en-US"/>
              </w:rPr>
              <w:t>+1</w:t>
            </w:r>
          </w:p>
        </w:tc>
        <w:tc>
          <w:tcPr>
            <w:tcW w:w="282" w:type="pct"/>
            <w:vAlign w:val="center"/>
          </w:tcPr>
          <w:p w14:paraId="1952C101" w14:textId="77777777" w:rsidR="00606029" w:rsidRDefault="00EA5B92">
            <w:pPr>
              <w:pStyle w:val="afff0"/>
              <w:adjustRightInd w:val="0"/>
              <w:snapToGrid w:val="0"/>
              <w:spacing w:line="240" w:lineRule="auto"/>
              <w:rPr>
                <w:rFonts w:ascii="Times New Roman" w:hAnsi="Times New Roman"/>
                <w:b w:val="0"/>
                <w:sz w:val="21"/>
                <w:szCs w:val="21"/>
                <w:lang w:eastAsia="en-US"/>
              </w:rPr>
            </w:pPr>
            <w:r>
              <w:rPr>
                <w:rFonts w:ascii="Times New Roman" w:hAnsi="Times New Roman"/>
                <w:b w:val="0"/>
                <w:sz w:val="21"/>
                <w:szCs w:val="21"/>
                <w:lang w:eastAsia="en-US"/>
              </w:rPr>
              <w:t>+1</w:t>
            </w:r>
          </w:p>
        </w:tc>
        <w:tc>
          <w:tcPr>
            <w:tcW w:w="277" w:type="pct"/>
            <w:vAlign w:val="center"/>
          </w:tcPr>
          <w:p w14:paraId="16C30FF1" w14:textId="77777777" w:rsidR="00606029" w:rsidRDefault="00EA5B92">
            <w:pPr>
              <w:pStyle w:val="afff0"/>
              <w:adjustRightInd w:val="0"/>
              <w:snapToGrid w:val="0"/>
              <w:spacing w:line="240" w:lineRule="auto"/>
              <w:rPr>
                <w:rFonts w:ascii="Times New Roman" w:hAnsi="Times New Roman"/>
                <w:b w:val="0"/>
                <w:sz w:val="21"/>
                <w:szCs w:val="21"/>
              </w:rPr>
            </w:pPr>
            <w:r>
              <w:rPr>
                <w:rFonts w:ascii="Times New Roman" w:hAnsi="Times New Roman"/>
                <w:b w:val="0"/>
                <w:sz w:val="21"/>
                <w:szCs w:val="21"/>
              </w:rPr>
              <w:t>/</w:t>
            </w:r>
          </w:p>
        </w:tc>
        <w:tc>
          <w:tcPr>
            <w:tcW w:w="277" w:type="pct"/>
            <w:vAlign w:val="center"/>
          </w:tcPr>
          <w:p w14:paraId="54475C74" w14:textId="77777777" w:rsidR="00606029" w:rsidRDefault="00EA5B92">
            <w:pPr>
              <w:pStyle w:val="afff0"/>
              <w:adjustRightInd w:val="0"/>
              <w:snapToGrid w:val="0"/>
              <w:spacing w:line="240" w:lineRule="auto"/>
              <w:rPr>
                <w:rFonts w:ascii="Times New Roman" w:hAnsi="Times New Roman"/>
                <w:b w:val="0"/>
                <w:sz w:val="21"/>
                <w:szCs w:val="21"/>
              </w:rPr>
            </w:pPr>
            <w:r>
              <w:rPr>
                <w:rFonts w:ascii="Times New Roman" w:hAnsi="Times New Roman"/>
                <w:b w:val="0"/>
                <w:sz w:val="21"/>
                <w:szCs w:val="21"/>
              </w:rPr>
              <w:t>/</w:t>
            </w:r>
          </w:p>
        </w:tc>
        <w:tc>
          <w:tcPr>
            <w:tcW w:w="288" w:type="pct"/>
            <w:vAlign w:val="center"/>
          </w:tcPr>
          <w:p w14:paraId="50B2A80E" w14:textId="77777777" w:rsidR="00606029" w:rsidRDefault="00EA5B92">
            <w:pPr>
              <w:pStyle w:val="afff0"/>
              <w:adjustRightInd w:val="0"/>
              <w:snapToGrid w:val="0"/>
              <w:spacing w:line="240" w:lineRule="auto"/>
              <w:rPr>
                <w:rFonts w:ascii="Times New Roman" w:hAnsi="Times New Roman"/>
                <w:b w:val="0"/>
                <w:sz w:val="21"/>
                <w:szCs w:val="21"/>
                <w:lang w:eastAsia="en-US"/>
              </w:rPr>
            </w:pPr>
            <w:r>
              <w:rPr>
                <w:rFonts w:ascii="Times New Roman" w:hAnsi="Times New Roman"/>
                <w:b w:val="0"/>
                <w:sz w:val="21"/>
                <w:szCs w:val="21"/>
                <w:lang w:eastAsia="en-US"/>
              </w:rPr>
              <w:t>+1</w:t>
            </w:r>
          </w:p>
        </w:tc>
        <w:tc>
          <w:tcPr>
            <w:tcW w:w="282" w:type="pct"/>
            <w:vAlign w:val="center"/>
          </w:tcPr>
          <w:p w14:paraId="70E5F9B9" w14:textId="77777777" w:rsidR="00606029" w:rsidRDefault="00EA5B92">
            <w:pPr>
              <w:pStyle w:val="afff0"/>
              <w:adjustRightInd w:val="0"/>
              <w:snapToGrid w:val="0"/>
              <w:spacing w:line="240" w:lineRule="auto"/>
              <w:rPr>
                <w:rFonts w:ascii="Times New Roman" w:hAnsi="Times New Roman"/>
                <w:b w:val="0"/>
                <w:sz w:val="21"/>
                <w:szCs w:val="21"/>
                <w:lang w:eastAsia="en-US"/>
              </w:rPr>
            </w:pPr>
            <w:r>
              <w:rPr>
                <w:rFonts w:ascii="Times New Roman" w:hAnsi="Times New Roman"/>
                <w:b w:val="0"/>
                <w:sz w:val="21"/>
                <w:szCs w:val="21"/>
                <w:lang w:eastAsia="en-US"/>
              </w:rPr>
              <w:t>+1</w:t>
            </w:r>
          </w:p>
        </w:tc>
        <w:tc>
          <w:tcPr>
            <w:tcW w:w="225" w:type="pct"/>
            <w:vAlign w:val="center"/>
          </w:tcPr>
          <w:p w14:paraId="41AA29D7" w14:textId="77777777" w:rsidR="00606029" w:rsidRDefault="00EA5B92">
            <w:pPr>
              <w:pStyle w:val="afff0"/>
              <w:adjustRightInd w:val="0"/>
              <w:snapToGrid w:val="0"/>
              <w:spacing w:line="240" w:lineRule="auto"/>
              <w:rPr>
                <w:rFonts w:ascii="Times New Roman" w:hAnsi="Times New Roman"/>
                <w:b w:val="0"/>
                <w:sz w:val="21"/>
                <w:szCs w:val="21"/>
              </w:rPr>
            </w:pPr>
            <w:r>
              <w:rPr>
                <w:rFonts w:ascii="Times New Roman" w:hAnsi="Times New Roman"/>
                <w:b w:val="0"/>
                <w:sz w:val="21"/>
                <w:szCs w:val="21"/>
              </w:rPr>
              <w:t>/</w:t>
            </w:r>
          </w:p>
        </w:tc>
        <w:tc>
          <w:tcPr>
            <w:tcW w:w="225" w:type="pct"/>
            <w:vAlign w:val="center"/>
          </w:tcPr>
          <w:p w14:paraId="3813EBDB" w14:textId="77777777" w:rsidR="00606029" w:rsidRDefault="00EA5B92">
            <w:pPr>
              <w:pStyle w:val="afff0"/>
              <w:adjustRightInd w:val="0"/>
              <w:snapToGrid w:val="0"/>
              <w:spacing w:line="240" w:lineRule="auto"/>
              <w:rPr>
                <w:rFonts w:ascii="Times New Roman" w:hAnsi="Times New Roman"/>
                <w:b w:val="0"/>
                <w:sz w:val="21"/>
                <w:szCs w:val="21"/>
              </w:rPr>
            </w:pPr>
            <w:r>
              <w:rPr>
                <w:rFonts w:ascii="Times New Roman" w:hAnsi="Times New Roman"/>
                <w:b w:val="0"/>
                <w:sz w:val="21"/>
                <w:szCs w:val="21"/>
              </w:rPr>
              <w:t>/</w:t>
            </w:r>
          </w:p>
        </w:tc>
        <w:tc>
          <w:tcPr>
            <w:tcW w:w="225" w:type="pct"/>
            <w:vAlign w:val="center"/>
          </w:tcPr>
          <w:p w14:paraId="6F4C06B9" w14:textId="77777777" w:rsidR="00606029" w:rsidRDefault="00EA5B92">
            <w:pPr>
              <w:pStyle w:val="afff0"/>
              <w:adjustRightInd w:val="0"/>
              <w:snapToGrid w:val="0"/>
              <w:spacing w:line="240" w:lineRule="auto"/>
              <w:rPr>
                <w:rFonts w:ascii="Times New Roman" w:hAnsi="Times New Roman"/>
                <w:b w:val="0"/>
                <w:sz w:val="21"/>
                <w:szCs w:val="21"/>
              </w:rPr>
            </w:pPr>
            <w:r>
              <w:rPr>
                <w:rFonts w:ascii="Times New Roman" w:hAnsi="Times New Roman"/>
                <w:b w:val="0"/>
                <w:sz w:val="21"/>
                <w:szCs w:val="21"/>
              </w:rPr>
              <w:t>/</w:t>
            </w:r>
          </w:p>
        </w:tc>
        <w:tc>
          <w:tcPr>
            <w:tcW w:w="284" w:type="pct"/>
            <w:vAlign w:val="center"/>
          </w:tcPr>
          <w:p w14:paraId="52AAE310" w14:textId="77777777" w:rsidR="00606029" w:rsidRDefault="00EA5B92">
            <w:pPr>
              <w:pStyle w:val="afff0"/>
              <w:adjustRightInd w:val="0"/>
              <w:snapToGrid w:val="0"/>
              <w:spacing w:line="240" w:lineRule="auto"/>
              <w:rPr>
                <w:rFonts w:ascii="Times New Roman" w:hAnsi="Times New Roman"/>
                <w:b w:val="0"/>
                <w:sz w:val="21"/>
                <w:szCs w:val="21"/>
              </w:rPr>
            </w:pPr>
            <w:r>
              <w:rPr>
                <w:rFonts w:ascii="Times New Roman" w:hAnsi="Times New Roman"/>
                <w:b w:val="0"/>
                <w:sz w:val="21"/>
                <w:szCs w:val="21"/>
              </w:rPr>
              <w:t>/</w:t>
            </w:r>
          </w:p>
        </w:tc>
        <w:tc>
          <w:tcPr>
            <w:tcW w:w="282" w:type="pct"/>
            <w:vAlign w:val="center"/>
          </w:tcPr>
          <w:p w14:paraId="00D5C065" w14:textId="77777777" w:rsidR="00606029" w:rsidRDefault="00EA5B92">
            <w:pPr>
              <w:pStyle w:val="afff0"/>
              <w:adjustRightInd w:val="0"/>
              <w:snapToGrid w:val="0"/>
              <w:spacing w:line="240" w:lineRule="auto"/>
              <w:rPr>
                <w:rFonts w:ascii="Times New Roman" w:hAnsi="Times New Roman"/>
                <w:b w:val="0"/>
                <w:sz w:val="21"/>
                <w:szCs w:val="21"/>
                <w:lang w:eastAsia="en-US"/>
              </w:rPr>
            </w:pPr>
            <w:r>
              <w:rPr>
                <w:rFonts w:ascii="Times New Roman" w:hAnsi="Times New Roman"/>
                <w:b w:val="0"/>
                <w:sz w:val="21"/>
                <w:szCs w:val="21"/>
                <w:lang w:eastAsia="en-US"/>
              </w:rPr>
              <w:t>+2</w:t>
            </w:r>
          </w:p>
        </w:tc>
        <w:tc>
          <w:tcPr>
            <w:tcW w:w="282" w:type="pct"/>
            <w:vAlign w:val="center"/>
          </w:tcPr>
          <w:p w14:paraId="2342A588" w14:textId="77777777" w:rsidR="00606029" w:rsidRDefault="00EA5B92">
            <w:pPr>
              <w:pStyle w:val="afff0"/>
              <w:adjustRightInd w:val="0"/>
              <w:snapToGrid w:val="0"/>
              <w:spacing w:line="240" w:lineRule="auto"/>
              <w:rPr>
                <w:rFonts w:ascii="Times New Roman" w:hAnsi="Times New Roman"/>
                <w:b w:val="0"/>
                <w:sz w:val="21"/>
                <w:szCs w:val="21"/>
                <w:lang w:eastAsia="en-US"/>
              </w:rPr>
            </w:pPr>
            <w:r>
              <w:rPr>
                <w:rFonts w:ascii="Times New Roman" w:hAnsi="Times New Roman"/>
                <w:b w:val="0"/>
                <w:sz w:val="21"/>
                <w:szCs w:val="21"/>
                <w:lang w:eastAsia="en-US"/>
              </w:rPr>
              <w:t>+2</w:t>
            </w:r>
          </w:p>
        </w:tc>
        <w:tc>
          <w:tcPr>
            <w:tcW w:w="282" w:type="pct"/>
            <w:vAlign w:val="center"/>
          </w:tcPr>
          <w:p w14:paraId="4ED506C8" w14:textId="77777777" w:rsidR="00606029" w:rsidRDefault="00EA5B92">
            <w:pPr>
              <w:pStyle w:val="afff0"/>
              <w:adjustRightInd w:val="0"/>
              <w:snapToGrid w:val="0"/>
              <w:spacing w:line="240" w:lineRule="auto"/>
              <w:rPr>
                <w:rFonts w:ascii="Times New Roman" w:hAnsi="Times New Roman"/>
                <w:b w:val="0"/>
                <w:sz w:val="21"/>
                <w:szCs w:val="21"/>
                <w:lang w:eastAsia="en-US"/>
              </w:rPr>
            </w:pPr>
            <w:r>
              <w:rPr>
                <w:rFonts w:ascii="Times New Roman" w:hAnsi="Times New Roman"/>
                <w:b w:val="0"/>
                <w:sz w:val="21"/>
                <w:szCs w:val="21"/>
                <w:lang w:eastAsia="en-US"/>
              </w:rPr>
              <w:t>+2</w:t>
            </w:r>
          </w:p>
        </w:tc>
        <w:tc>
          <w:tcPr>
            <w:tcW w:w="283" w:type="pct"/>
            <w:vAlign w:val="center"/>
          </w:tcPr>
          <w:p w14:paraId="5D720AB9" w14:textId="77777777" w:rsidR="00606029" w:rsidRDefault="00EA5B92">
            <w:pPr>
              <w:pStyle w:val="afff0"/>
              <w:adjustRightInd w:val="0"/>
              <w:snapToGrid w:val="0"/>
              <w:spacing w:line="240" w:lineRule="auto"/>
              <w:rPr>
                <w:rFonts w:ascii="Times New Roman" w:hAnsi="Times New Roman"/>
                <w:b w:val="0"/>
                <w:sz w:val="21"/>
                <w:szCs w:val="21"/>
                <w:lang w:eastAsia="en-US"/>
              </w:rPr>
            </w:pPr>
            <w:r>
              <w:rPr>
                <w:rFonts w:ascii="Times New Roman" w:hAnsi="Times New Roman"/>
                <w:b w:val="0"/>
                <w:sz w:val="21"/>
                <w:szCs w:val="21"/>
                <w:lang w:eastAsia="en-US"/>
              </w:rPr>
              <w:t>+2</w:t>
            </w:r>
          </w:p>
        </w:tc>
        <w:tc>
          <w:tcPr>
            <w:tcW w:w="283" w:type="pct"/>
            <w:vAlign w:val="center"/>
          </w:tcPr>
          <w:p w14:paraId="7B12381D" w14:textId="77777777" w:rsidR="00606029" w:rsidRDefault="00EA5B92">
            <w:pPr>
              <w:pStyle w:val="afff0"/>
              <w:adjustRightInd w:val="0"/>
              <w:snapToGrid w:val="0"/>
              <w:spacing w:line="240" w:lineRule="auto"/>
              <w:rPr>
                <w:rFonts w:ascii="Times New Roman" w:hAnsi="Times New Roman"/>
                <w:b w:val="0"/>
                <w:sz w:val="21"/>
                <w:szCs w:val="21"/>
                <w:lang w:eastAsia="en-US"/>
              </w:rPr>
            </w:pPr>
            <w:r>
              <w:rPr>
                <w:rFonts w:ascii="Times New Roman" w:hAnsi="Times New Roman"/>
                <w:b w:val="0"/>
                <w:sz w:val="21"/>
                <w:szCs w:val="21"/>
                <w:lang w:eastAsia="en-US"/>
              </w:rPr>
              <w:t>+2</w:t>
            </w:r>
          </w:p>
        </w:tc>
        <w:tc>
          <w:tcPr>
            <w:tcW w:w="287" w:type="pct"/>
            <w:vAlign w:val="center"/>
          </w:tcPr>
          <w:p w14:paraId="04FFB9BC" w14:textId="77777777" w:rsidR="00606029" w:rsidRDefault="00EA5B92">
            <w:pPr>
              <w:pStyle w:val="afff0"/>
              <w:adjustRightInd w:val="0"/>
              <w:snapToGrid w:val="0"/>
              <w:spacing w:line="240" w:lineRule="auto"/>
              <w:rPr>
                <w:rFonts w:ascii="Times New Roman" w:hAnsi="Times New Roman"/>
                <w:b w:val="0"/>
                <w:sz w:val="21"/>
                <w:szCs w:val="21"/>
              </w:rPr>
            </w:pPr>
            <w:r>
              <w:rPr>
                <w:rFonts w:ascii="Times New Roman" w:hAnsi="Times New Roman"/>
                <w:b w:val="0"/>
                <w:sz w:val="21"/>
                <w:szCs w:val="21"/>
              </w:rPr>
              <w:t>/</w:t>
            </w:r>
          </w:p>
        </w:tc>
      </w:tr>
      <w:tr w:rsidR="00606029" w14:paraId="33125984" w14:textId="77777777">
        <w:trPr>
          <w:trHeight w:val="57"/>
        </w:trPr>
        <w:tc>
          <w:tcPr>
            <w:tcW w:w="5000" w:type="pct"/>
            <w:gridSpan w:val="18"/>
            <w:vAlign w:val="center"/>
          </w:tcPr>
          <w:p w14:paraId="47195D05" w14:textId="77777777" w:rsidR="00606029" w:rsidRDefault="00EA5B92">
            <w:pPr>
              <w:pStyle w:val="afff0"/>
              <w:adjustRightInd w:val="0"/>
              <w:snapToGrid w:val="0"/>
              <w:spacing w:line="240" w:lineRule="auto"/>
              <w:rPr>
                <w:rFonts w:ascii="Times New Roman" w:hAnsi="Times New Roman"/>
                <w:b w:val="0"/>
                <w:sz w:val="21"/>
                <w:szCs w:val="21"/>
              </w:rPr>
            </w:pPr>
            <w:r>
              <w:rPr>
                <w:rFonts w:ascii="Times New Roman" w:hAnsi="Times New Roman"/>
                <w:b w:val="0"/>
                <w:sz w:val="21"/>
                <w:szCs w:val="21"/>
              </w:rPr>
              <w:t>注：</w:t>
            </w:r>
            <w:r>
              <w:rPr>
                <w:rFonts w:ascii="Times New Roman" w:hAnsi="Times New Roman"/>
                <w:b w:val="0"/>
                <w:sz w:val="21"/>
                <w:szCs w:val="21"/>
              </w:rPr>
              <w:t>3-</w:t>
            </w:r>
            <w:r>
              <w:rPr>
                <w:rFonts w:ascii="Times New Roman" w:hAnsi="Times New Roman"/>
                <w:b w:val="0"/>
                <w:sz w:val="21"/>
                <w:szCs w:val="21"/>
              </w:rPr>
              <w:t>重大影响；</w:t>
            </w:r>
            <w:r>
              <w:rPr>
                <w:rFonts w:ascii="Times New Roman" w:hAnsi="Times New Roman"/>
                <w:b w:val="0"/>
                <w:sz w:val="21"/>
                <w:szCs w:val="21"/>
              </w:rPr>
              <w:t>2-</w:t>
            </w:r>
            <w:r>
              <w:rPr>
                <w:rFonts w:ascii="Times New Roman" w:hAnsi="Times New Roman"/>
                <w:b w:val="0"/>
                <w:sz w:val="21"/>
                <w:szCs w:val="21"/>
              </w:rPr>
              <w:t>中等影响；</w:t>
            </w:r>
            <w:r>
              <w:rPr>
                <w:rFonts w:ascii="Times New Roman" w:hAnsi="Times New Roman"/>
                <w:b w:val="0"/>
                <w:sz w:val="21"/>
                <w:szCs w:val="21"/>
              </w:rPr>
              <w:t>1-</w:t>
            </w:r>
            <w:r>
              <w:rPr>
                <w:rFonts w:ascii="Times New Roman" w:hAnsi="Times New Roman"/>
                <w:b w:val="0"/>
                <w:sz w:val="21"/>
                <w:szCs w:val="21"/>
              </w:rPr>
              <w:t>轻微影响；</w:t>
            </w:r>
            <w:r>
              <w:rPr>
                <w:rFonts w:ascii="Times New Roman" w:hAnsi="Times New Roman"/>
                <w:b w:val="0"/>
                <w:sz w:val="21"/>
                <w:szCs w:val="21"/>
              </w:rPr>
              <w:t>“+”---</w:t>
            </w:r>
            <w:r>
              <w:rPr>
                <w:rFonts w:ascii="Times New Roman" w:hAnsi="Times New Roman"/>
                <w:b w:val="0"/>
                <w:sz w:val="21"/>
                <w:szCs w:val="21"/>
              </w:rPr>
              <w:t>表示有利影响；</w:t>
            </w:r>
            <w:r>
              <w:rPr>
                <w:rFonts w:ascii="Times New Roman" w:hAnsi="Times New Roman"/>
                <w:b w:val="0"/>
                <w:sz w:val="21"/>
                <w:szCs w:val="21"/>
              </w:rPr>
              <w:t>“-”---</w:t>
            </w:r>
            <w:r>
              <w:rPr>
                <w:rFonts w:ascii="Times New Roman" w:hAnsi="Times New Roman"/>
                <w:b w:val="0"/>
                <w:sz w:val="21"/>
                <w:szCs w:val="21"/>
              </w:rPr>
              <w:t>表示不利影响</w:t>
            </w:r>
          </w:p>
        </w:tc>
      </w:tr>
    </w:tbl>
    <w:p w14:paraId="6200E87B" w14:textId="77777777" w:rsidR="00606029" w:rsidRDefault="00EA5B92">
      <w:pPr>
        <w:pStyle w:val="3"/>
        <w:spacing w:beforeLines="50" w:before="120"/>
      </w:pPr>
      <w:bookmarkStart w:id="47" w:name="_Toc220680450"/>
      <w:r>
        <w:t>1.4.2</w:t>
      </w:r>
      <w:r>
        <w:t>评价因子筛选</w:t>
      </w:r>
      <w:bookmarkEnd w:id="47"/>
    </w:p>
    <w:p w14:paraId="57E3941E" w14:textId="41540B27" w:rsidR="00606029" w:rsidRDefault="00EA5B92">
      <w:pPr>
        <w:pStyle w:val="affffff4"/>
      </w:pPr>
      <w:r>
        <w:t>本项目可能对环境产生的污染因素包括废气、废水、噪声、固体废物，这些因素可能导致的环境影响涉及环境空气、地表水、地下水环境、声环境</w:t>
      </w:r>
      <w:r w:rsidR="00661665">
        <w:rPr>
          <w:rFonts w:hint="eastAsia"/>
        </w:rPr>
        <w:t>、土壤环境</w:t>
      </w:r>
      <w:r>
        <w:t>等。根据初步工程分析及项目所在地环境状况调查，本项目评价因子筛选结果见下表。</w:t>
      </w:r>
    </w:p>
    <w:p w14:paraId="50B63025" w14:textId="77777777" w:rsidR="00606029" w:rsidRDefault="00EA5B92">
      <w:pPr>
        <w:pStyle w:val="affffff5"/>
      </w:pPr>
      <w:r>
        <w:t>表</w:t>
      </w:r>
      <w:r>
        <w:t xml:space="preserve"> 1.4-2 </w:t>
      </w:r>
      <w:r>
        <w:t>评价因子筛选表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9"/>
        <w:gridCol w:w="7215"/>
      </w:tblGrid>
      <w:tr w:rsidR="00606029" w14:paraId="122B97D0" w14:textId="77777777">
        <w:trPr>
          <w:trHeight w:val="340"/>
          <w:jc w:val="center"/>
        </w:trPr>
        <w:tc>
          <w:tcPr>
            <w:tcW w:w="1655" w:type="dxa"/>
            <w:tcBorders>
              <w:tl2br w:val="nil"/>
              <w:tr2bl w:val="nil"/>
            </w:tcBorders>
            <w:vAlign w:val="center"/>
          </w:tcPr>
          <w:p w14:paraId="7861CED5" w14:textId="77777777" w:rsidR="00606029" w:rsidRDefault="00EA5B92">
            <w:pPr>
              <w:pStyle w:val="afff0"/>
              <w:adjustRightInd w:val="0"/>
              <w:snapToGrid w:val="0"/>
              <w:spacing w:line="280" w:lineRule="exact"/>
              <w:rPr>
                <w:rFonts w:ascii="Times New Roman" w:hAnsi="Times New Roman"/>
                <w:b w:val="0"/>
                <w:sz w:val="21"/>
                <w:szCs w:val="21"/>
              </w:rPr>
            </w:pPr>
            <w:r>
              <w:rPr>
                <w:rFonts w:ascii="Times New Roman" w:hAnsi="Times New Roman"/>
                <w:b w:val="0"/>
                <w:sz w:val="21"/>
                <w:szCs w:val="21"/>
              </w:rPr>
              <w:t>评价要素</w:t>
            </w:r>
          </w:p>
        </w:tc>
        <w:tc>
          <w:tcPr>
            <w:tcW w:w="7407" w:type="dxa"/>
            <w:tcBorders>
              <w:tl2br w:val="nil"/>
              <w:tr2bl w:val="nil"/>
            </w:tcBorders>
            <w:vAlign w:val="center"/>
          </w:tcPr>
          <w:p w14:paraId="5B48C7F3" w14:textId="77777777" w:rsidR="00606029" w:rsidRDefault="00EA5B92">
            <w:pPr>
              <w:pStyle w:val="afff0"/>
              <w:adjustRightInd w:val="0"/>
              <w:snapToGrid w:val="0"/>
              <w:spacing w:line="280" w:lineRule="exact"/>
              <w:rPr>
                <w:rFonts w:ascii="Times New Roman" w:hAnsi="Times New Roman"/>
                <w:b w:val="0"/>
                <w:sz w:val="21"/>
                <w:szCs w:val="21"/>
              </w:rPr>
            </w:pPr>
            <w:r>
              <w:rPr>
                <w:rFonts w:ascii="Times New Roman" w:hAnsi="Times New Roman"/>
                <w:b w:val="0"/>
                <w:sz w:val="21"/>
                <w:szCs w:val="21"/>
              </w:rPr>
              <w:t>评价因子</w:t>
            </w:r>
          </w:p>
        </w:tc>
      </w:tr>
      <w:tr w:rsidR="00606029" w14:paraId="1524CEB6" w14:textId="77777777">
        <w:trPr>
          <w:trHeight w:val="340"/>
          <w:jc w:val="center"/>
        </w:trPr>
        <w:tc>
          <w:tcPr>
            <w:tcW w:w="1655" w:type="dxa"/>
            <w:vMerge w:val="restart"/>
            <w:tcBorders>
              <w:tl2br w:val="nil"/>
              <w:tr2bl w:val="nil"/>
            </w:tcBorders>
            <w:vAlign w:val="center"/>
          </w:tcPr>
          <w:p w14:paraId="2D6BB492" w14:textId="77777777" w:rsidR="00606029" w:rsidRDefault="00EA5B92">
            <w:pPr>
              <w:pStyle w:val="afff0"/>
              <w:adjustRightInd w:val="0"/>
              <w:snapToGrid w:val="0"/>
              <w:spacing w:line="280" w:lineRule="exact"/>
              <w:rPr>
                <w:rFonts w:ascii="Times New Roman" w:hAnsi="Times New Roman"/>
                <w:b w:val="0"/>
                <w:sz w:val="21"/>
                <w:szCs w:val="21"/>
              </w:rPr>
            </w:pPr>
            <w:r>
              <w:rPr>
                <w:rFonts w:ascii="Times New Roman" w:hAnsi="Times New Roman"/>
                <w:b w:val="0"/>
                <w:sz w:val="21"/>
                <w:szCs w:val="21"/>
              </w:rPr>
              <w:t>大气环境</w:t>
            </w:r>
          </w:p>
        </w:tc>
        <w:tc>
          <w:tcPr>
            <w:tcW w:w="7407" w:type="dxa"/>
            <w:tcBorders>
              <w:tl2br w:val="nil"/>
              <w:tr2bl w:val="nil"/>
            </w:tcBorders>
            <w:vAlign w:val="center"/>
          </w:tcPr>
          <w:p w14:paraId="17FB0CC0" w14:textId="459BDF32" w:rsidR="00606029" w:rsidRDefault="00EA5B92">
            <w:pPr>
              <w:pStyle w:val="afff0"/>
              <w:adjustRightInd w:val="0"/>
              <w:snapToGrid w:val="0"/>
              <w:spacing w:line="280" w:lineRule="exact"/>
              <w:rPr>
                <w:rFonts w:ascii="Times New Roman" w:hAnsi="Times New Roman"/>
                <w:b w:val="0"/>
                <w:sz w:val="21"/>
                <w:szCs w:val="21"/>
              </w:rPr>
            </w:pPr>
            <w:r>
              <w:rPr>
                <w:rFonts w:ascii="Times New Roman" w:hAnsi="Times New Roman"/>
                <w:b w:val="0"/>
                <w:sz w:val="21"/>
                <w:szCs w:val="21"/>
                <w:lang w:val="pt-BR"/>
              </w:rPr>
              <w:t>现状评价因子：</w:t>
            </w:r>
            <w:r>
              <w:rPr>
                <w:rFonts w:ascii="Times New Roman" w:hAnsi="Times New Roman"/>
                <w:b w:val="0"/>
                <w:sz w:val="21"/>
                <w:szCs w:val="21"/>
              </w:rPr>
              <w:t>SO</w:t>
            </w:r>
            <w:r>
              <w:rPr>
                <w:rFonts w:ascii="Times New Roman" w:hAnsi="Times New Roman"/>
                <w:b w:val="0"/>
                <w:sz w:val="21"/>
                <w:szCs w:val="21"/>
                <w:vertAlign w:val="subscript"/>
              </w:rPr>
              <w:t>2</w:t>
            </w:r>
            <w:r>
              <w:rPr>
                <w:rFonts w:ascii="Times New Roman" w:hAnsi="Times New Roman"/>
                <w:b w:val="0"/>
                <w:sz w:val="21"/>
                <w:szCs w:val="21"/>
                <w:lang w:val="pt-BR"/>
              </w:rPr>
              <w:t>、</w:t>
            </w:r>
            <w:r>
              <w:rPr>
                <w:rFonts w:ascii="Times New Roman" w:hAnsi="Times New Roman"/>
                <w:b w:val="0"/>
                <w:sz w:val="21"/>
                <w:szCs w:val="21"/>
              </w:rPr>
              <w:t>NO</w:t>
            </w:r>
            <w:r>
              <w:rPr>
                <w:rFonts w:ascii="Times New Roman" w:hAnsi="Times New Roman"/>
                <w:b w:val="0"/>
                <w:sz w:val="21"/>
                <w:szCs w:val="21"/>
                <w:vertAlign w:val="subscript"/>
              </w:rPr>
              <w:t>2</w:t>
            </w:r>
            <w:r>
              <w:rPr>
                <w:rFonts w:ascii="Times New Roman" w:hAnsi="Times New Roman"/>
                <w:b w:val="0"/>
                <w:sz w:val="21"/>
                <w:szCs w:val="21"/>
                <w:lang w:val="pt-BR"/>
              </w:rPr>
              <w:t>、</w:t>
            </w:r>
            <w:r>
              <w:rPr>
                <w:rFonts w:ascii="Times New Roman" w:hAnsi="Times New Roman"/>
                <w:b w:val="0"/>
                <w:sz w:val="21"/>
                <w:szCs w:val="21"/>
              </w:rPr>
              <w:t>PM</w:t>
            </w:r>
            <w:r>
              <w:rPr>
                <w:rFonts w:ascii="Times New Roman" w:hAnsi="Times New Roman"/>
                <w:b w:val="0"/>
                <w:sz w:val="21"/>
                <w:szCs w:val="21"/>
                <w:vertAlign w:val="subscript"/>
              </w:rPr>
              <w:t>10</w:t>
            </w:r>
            <w:r>
              <w:rPr>
                <w:rFonts w:ascii="Times New Roman" w:hAnsi="Times New Roman"/>
                <w:b w:val="0"/>
                <w:sz w:val="21"/>
                <w:szCs w:val="21"/>
                <w:lang w:val="pt-BR"/>
              </w:rPr>
              <w:t>、</w:t>
            </w:r>
            <w:r>
              <w:rPr>
                <w:rFonts w:ascii="Times New Roman" w:hAnsi="Times New Roman"/>
                <w:b w:val="0"/>
                <w:sz w:val="21"/>
                <w:szCs w:val="21"/>
              </w:rPr>
              <w:t>PM</w:t>
            </w:r>
            <w:r>
              <w:rPr>
                <w:rFonts w:ascii="Times New Roman" w:hAnsi="Times New Roman"/>
                <w:b w:val="0"/>
                <w:sz w:val="21"/>
                <w:szCs w:val="21"/>
                <w:vertAlign w:val="subscript"/>
              </w:rPr>
              <w:t>2.5</w:t>
            </w:r>
            <w:r>
              <w:rPr>
                <w:rFonts w:ascii="Times New Roman" w:hAnsi="Times New Roman"/>
                <w:b w:val="0"/>
                <w:sz w:val="21"/>
                <w:szCs w:val="21"/>
              </w:rPr>
              <w:t>、</w:t>
            </w:r>
            <w:r>
              <w:rPr>
                <w:rFonts w:ascii="Times New Roman" w:hAnsi="Times New Roman"/>
                <w:b w:val="0"/>
                <w:sz w:val="21"/>
                <w:szCs w:val="21"/>
              </w:rPr>
              <w:t>O</w:t>
            </w:r>
            <w:r>
              <w:rPr>
                <w:rFonts w:ascii="Times New Roman" w:hAnsi="Times New Roman"/>
                <w:b w:val="0"/>
                <w:sz w:val="21"/>
                <w:szCs w:val="21"/>
                <w:vertAlign w:val="subscript"/>
              </w:rPr>
              <w:t>3</w:t>
            </w:r>
            <w:r>
              <w:rPr>
                <w:rFonts w:ascii="Times New Roman" w:hAnsi="Times New Roman"/>
                <w:b w:val="0"/>
                <w:sz w:val="21"/>
                <w:szCs w:val="21"/>
              </w:rPr>
              <w:t>、</w:t>
            </w:r>
            <w:r>
              <w:rPr>
                <w:rFonts w:ascii="Times New Roman" w:hAnsi="Times New Roman"/>
                <w:b w:val="0"/>
                <w:sz w:val="21"/>
                <w:szCs w:val="21"/>
              </w:rPr>
              <w:t>CO</w:t>
            </w:r>
            <w:r>
              <w:rPr>
                <w:rFonts w:ascii="Times New Roman" w:hAnsi="Times New Roman"/>
                <w:b w:val="0"/>
                <w:sz w:val="21"/>
                <w:szCs w:val="21"/>
              </w:rPr>
              <w:t>、氨气、硫化氢、</w:t>
            </w:r>
            <w:r w:rsidR="001F491B">
              <w:rPr>
                <w:rFonts w:ascii="Times New Roman" w:hAnsi="Times New Roman" w:hint="eastAsia"/>
                <w:b w:val="0"/>
                <w:sz w:val="21"/>
                <w:szCs w:val="21"/>
              </w:rPr>
              <w:t>TSP</w:t>
            </w:r>
            <w:r>
              <w:rPr>
                <w:rFonts w:ascii="Times New Roman" w:hAnsi="Times New Roman"/>
                <w:b w:val="0"/>
                <w:sz w:val="21"/>
                <w:szCs w:val="21"/>
              </w:rPr>
              <w:t>、非甲烷总烃</w:t>
            </w:r>
          </w:p>
        </w:tc>
      </w:tr>
      <w:tr w:rsidR="00606029" w14:paraId="5E597417" w14:textId="77777777">
        <w:trPr>
          <w:trHeight w:val="345"/>
          <w:jc w:val="center"/>
        </w:trPr>
        <w:tc>
          <w:tcPr>
            <w:tcW w:w="1655" w:type="dxa"/>
            <w:vMerge/>
            <w:tcBorders>
              <w:tl2br w:val="nil"/>
              <w:tr2bl w:val="nil"/>
            </w:tcBorders>
            <w:vAlign w:val="center"/>
          </w:tcPr>
          <w:p w14:paraId="401ACEFE" w14:textId="77777777" w:rsidR="00606029" w:rsidRDefault="00606029">
            <w:pPr>
              <w:pStyle w:val="afff0"/>
              <w:adjustRightInd w:val="0"/>
              <w:snapToGrid w:val="0"/>
              <w:spacing w:line="280" w:lineRule="exact"/>
              <w:rPr>
                <w:rFonts w:ascii="Times New Roman" w:hAnsi="Times New Roman"/>
                <w:b w:val="0"/>
                <w:sz w:val="21"/>
                <w:szCs w:val="21"/>
              </w:rPr>
            </w:pPr>
          </w:p>
        </w:tc>
        <w:tc>
          <w:tcPr>
            <w:tcW w:w="7407" w:type="dxa"/>
            <w:tcBorders>
              <w:tl2br w:val="nil"/>
              <w:tr2bl w:val="nil"/>
            </w:tcBorders>
            <w:vAlign w:val="center"/>
          </w:tcPr>
          <w:p w14:paraId="5F83CCEC" w14:textId="69BFAB49" w:rsidR="00606029" w:rsidRDefault="00EA5B92">
            <w:pPr>
              <w:pStyle w:val="afff0"/>
              <w:adjustRightInd w:val="0"/>
              <w:snapToGrid w:val="0"/>
              <w:spacing w:line="280" w:lineRule="exact"/>
              <w:rPr>
                <w:rFonts w:ascii="Times New Roman" w:hAnsi="Times New Roman"/>
                <w:b w:val="0"/>
                <w:sz w:val="21"/>
                <w:szCs w:val="21"/>
              </w:rPr>
            </w:pPr>
            <w:r>
              <w:rPr>
                <w:rFonts w:ascii="Times New Roman" w:hAnsi="Times New Roman"/>
                <w:b w:val="0"/>
                <w:sz w:val="21"/>
                <w:szCs w:val="21"/>
                <w:lang w:val="pt-BR"/>
              </w:rPr>
              <w:t>影响评价因子：</w:t>
            </w:r>
            <w:r w:rsidR="001F491B">
              <w:rPr>
                <w:rFonts w:ascii="Times New Roman" w:hAnsi="Times New Roman" w:hint="eastAsia"/>
                <w:b w:val="0"/>
                <w:sz w:val="21"/>
                <w:szCs w:val="21"/>
              </w:rPr>
              <w:t>TSP</w:t>
            </w:r>
          </w:p>
        </w:tc>
      </w:tr>
      <w:tr w:rsidR="00606029" w14:paraId="54BFAD79" w14:textId="77777777">
        <w:trPr>
          <w:trHeight w:val="90"/>
          <w:jc w:val="center"/>
        </w:trPr>
        <w:tc>
          <w:tcPr>
            <w:tcW w:w="1655" w:type="dxa"/>
            <w:vMerge w:val="restart"/>
            <w:tcBorders>
              <w:tl2br w:val="nil"/>
              <w:tr2bl w:val="nil"/>
            </w:tcBorders>
            <w:vAlign w:val="center"/>
          </w:tcPr>
          <w:p w14:paraId="28C787F3" w14:textId="77777777" w:rsidR="00606029" w:rsidRDefault="00EA5B92">
            <w:pPr>
              <w:pStyle w:val="afff0"/>
              <w:adjustRightInd w:val="0"/>
              <w:snapToGrid w:val="0"/>
              <w:spacing w:line="280" w:lineRule="exact"/>
              <w:rPr>
                <w:rFonts w:ascii="Times New Roman" w:hAnsi="Times New Roman"/>
                <w:b w:val="0"/>
                <w:sz w:val="21"/>
                <w:szCs w:val="21"/>
              </w:rPr>
            </w:pPr>
            <w:r>
              <w:rPr>
                <w:rFonts w:ascii="Times New Roman" w:hAnsi="Times New Roman"/>
                <w:b w:val="0"/>
                <w:sz w:val="21"/>
                <w:szCs w:val="21"/>
              </w:rPr>
              <w:t>地表水环境</w:t>
            </w:r>
          </w:p>
        </w:tc>
        <w:tc>
          <w:tcPr>
            <w:tcW w:w="7407" w:type="dxa"/>
            <w:tcBorders>
              <w:tl2br w:val="nil"/>
              <w:tr2bl w:val="nil"/>
            </w:tcBorders>
            <w:vAlign w:val="center"/>
          </w:tcPr>
          <w:p w14:paraId="09B736D8" w14:textId="05BF9731" w:rsidR="00606029" w:rsidRDefault="00EA5B92">
            <w:pPr>
              <w:pStyle w:val="afff0"/>
              <w:adjustRightInd w:val="0"/>
              <w:snapToGrid w:val="0"/>
              <w:spacing w:line="280" w:lineRule="exact"/>
              <w:rPr>
                <w:rFonts w:ascii="Times New Roman" w:hAnsi="Times New Roman"/>
                <w:b w:val="0"/>
                <w:sz w:val="21"/>
                <w:szCs w:val="21"/>
              </w:rPr>
            </w:pPr>
            <w:r>
              <w:rPr>
                <w:rFonts w:ascii="Times New Roman" w:hAnsi="Times New Roman"/>
                <w:b w:val="0"/>
                <w:sz w:val="21"/>
                <w:szCs w:val="21"/>
                <w:lang w:val="pt-BR"/>
              </w:rPr>
              <w:t>现状评价因子：</w:t>
            </w:r>
            <w:r>
              <w:rPr>
                <w:rFonts w:ascii="Times New Roman" w:hAnsi="Times New Roman"/>
                <w:b w:val="0"/>
                <w:sz w:val="21"/>
                <w:szCs w:val="21"/>
                <w:lang w:val="pt-BR"/>
              </w:rPr>
              <w:t>pH</w:t>
            </w:r>
            <w:r>
              <w:rPr>
                <w:rFonts w:ascii="Times New Roman" w:hAnsi="Times New Roman"/>
                <w:b w:val="0"/>
                <w:sz w:val="21"/>
                <w:szCs w:val="21"/>
                <w:lang w:val="pt-BR"/>
              </w:rPr>
              <w:t>、化学需氧量、五日生化需氧量、氨氮、溶解氧、总氮、总磷、铜、锌、汞、砷、铅、镉、六价铬、镉、铬、锰、钡、铍、锑、铊、镍、硒、钴、硫酸盐、硝酸盐氮、氯化物、氰化物、挥发酚、阴离子表面活性剂、硫化物、石油类、氟化物、高锰酸盐指数、粪大肠菌群、悬浮物、水温</w:t>
            </w:r>
          </w:p>
        </w:tc>
      </w:tr>
      <w:tr w:rsidR="00606029" w14:paraId="2F0064A3" w14:textId="77777777">
        <w:trPr>
          <w:trHeight w:val="340"/>
          <w:jc w:val="center"/>
        </w:trPr>
        <w:tc>
          <w:tcPr>
            <w:tcW w:w="1655" w:type="dxa"/>
            <w:vMerge/>
            <w:tcBorders>
              <w:tl2br w:val="nil"/>
              <w:tr2bl w:val="nil"/>
            </w:tcBorders>
            <w:vAlign w:val="center"/>
          </w:tcPr>
          <w:p w14:paraId="586ECCDA" w14:textId="77777777" w:rsidR="00606029" w:rsidRDefault="00606029">
            <w:pPr>
              <w:pStyle w:val="afff0"/>
              <w:adjustRightInd w:val="0"/>
              <w:snapToGrid w:val="0"/>
              <w:spacing w:line="280" w:lineRule="exact"/>
              <w:rPr>
                <w:rFonts w:ascii="Times New Roman" w:hAnsi="Times New Roman"/>
                <w:b w:val="0"/>
                <w:sz w:val="21"/>
                <w:szCs w:val="21"/>
              </w:rPr>
            </w:pPr>
          </w:p>
        </w:tc>
        <w:tc>
          <w:tcPr>
            <w:tcW w:w="7407" w:type="dxa"/>
            <w:tcBorders>
              <w:tl2br w:val="nil"/>
              <w:tr2bl w:val="nil"/>
            </w:tcBorders>
            <w:vAlign w:val="center"/>
          </w:tcPr>
          <w:p w14:paraId="2DB5B57E" w14:textId="029CE5CF" w:rsidR="00606029" w:rsidRDefault="00661665">
            <w:pPr>
              <w:pStyle w:val="afff0"/>
              <w:adjustRightInd w:val="0"/>
              <w:snapToGrid w:val="0"/>
              <w:spacing w:line="280" w:lineRule="exact"/>
              <w:rPr>
                <w:rFonts w:ascii="Times New Roman" w:hAnsi="Times New Roman"/>
                <w:b w:val="0"/>
                <w:szCs w:val="21"/>
              </w:rPr>
            </w:pPr>
            <w:r w:rsidRPr="00661665">
              <w:rPr>
                <w:rFonts w:ascii="Times New Roman" w:hAnsi="Times New Roman" w:hint="eastAsia"/>
                <w:b w:val="0"/>
                <w:sz w:val="21"/>
                <w:szCs w:val="21"/>
                <w:lang w:val="pt-BR"/>
              </w:rPr>
              <w:t>/</w:t>
            </w:r>
          </w:p>
        </w:tc>
      </w:tr>
      <w:tr w:rsidR="00606029" w14:paraId="148D11C9" w14:textId="77777777">
        <w:trPr>
          <w:trHeight w:val="340"/>
          <w:jc w:val="center"/>
        </w:trPr>
        <w:tc>
          <w:tcPr>
            <w:tcW w:w="1655" w:type="dxa"/>
            <w:vMerge w:val="restart"/>
            <w:tcBorders>
              <w:tl2br w:val="nil"/>
              <w:tr2bl w:val="nil"/>
            </w:tcBorders>
            <w:vAlign w:val="center"/>
          </w:tcPr>
          <w:p w14:paraId="3D218E17" w14:textId="77777777" w:rsidR="00606029" w:rsidRDefault="00EA5B92">
            <w:pPr>
              <w:pStyle w:val="afff0"/>
              <w:adjustRightInd w:val="0"/>
              <w:snapToGrid w:val="0"/>
              <w:spacing w:line="280" w:lineRule="exact"/>
              <w:rPr>
                <w:rFonts w:ascii="Times New Roman" w:hAnsi="Times New Roman"/>
                <w:b w:val="0"/>
                <w:sz w:val="21"/>
                <w:szCs w:val="21"/>
              </w:rPr>
            </w:pPr>
            <w:r>
              <w:rPr>
                <w:rFonts w:ascii="Times New Roman" w:hAnsi="Times New Roman"/>
                <w:b w:val="0"/>
                <w:sz w:val="21"/>
                <w:szCs w:val="21"/>
              </w:rPr>
              <w:t>地下水环境</w:t>
            </w:r>
          </w:p>
        </w:tc>
        <w:tc>
          <w:tcPr>
            <w:tcW w:w="7407" w:type="dxa"/>
            <w:tcBorders>
              <w:tl2br w:val="nil"/>
              <w:tr2bl w:val="nil"/>
            </w:tcBorders>
            <w:vAlign w:val="center"/>
          </w:tcPr>
          <w:p w14:paraId="4B54F021" w14:textId="2217DCB0" w:rsidR="00606029" w:rsidRDefault="00EA5B92">
            <w:pPr>
              <w:pStyle w:val="afff0"/>
              <w:adjustRightInd w:val="0"/>
              <w:snapToGrid w:val="0"/>
              <w:spacing w:line="280" w:lineRule="exact"/>
              <w:rPr>
                <w:rFonts w:ascii="Times New Roman" w:hAnsi="Times New Roman"/>
                <w:b w:val="0"/>
                <w:sz w:val="21"/>
                <w:szCs w:val="21"/>
              </w:rPr>
            </w:pPr>
            <w:r>
              <w:rPr>
                <w:rFonts w:ascii="Times New Roman" w:hAnsi="Times New Roman"/>
                <w:b w:val="0"/>
                <w:sz w:val="21"/>
                <w:szCs w:val="21"/>
                <w:lang w:val="pt-BR"/>
              </w:rPr>
              <w:t>现状评价因子：</w:t>
            </w:r>
            <w:r>
              <w:rPr>
                <w:rFonts w:ascii="Times New Roman" w:hAnsi="Times New Roman"/>
                <w:b w:val="0"/>
                <w:sz w:val="21"/>
                <w:szCs w:val="21"/>
                <w:lang w:val="pt-BR"/>
              </w:rPr>
              <w:t>pH</w:t>
            </w:r>
            <w:r>
              <w:rPr>
                <w:rFonts w:ascii="Times New Roman" w:hAnsi="Times New Roman"/>
                <w:b w:val="0"/>
                <w:sz w:val="21"/>
                <w:szCs w:val="21"/>
                <w:lang w:val="pt-BR"/>
              </w:rPr>
              <w:t>、钾离子、钠离子、钙离子、镁离子、碱度（碳酸根离子）、碱度（碳酸氢根离子）、氯离子、硫酸根离子、氨氮、硝酸盐氮、亚硝酸盐氮、挥发酚、氰化物、砷、汞、六价铬、总硬度、铅、氟化物、镉、铁、锰、溶解性总固体、高锰酸盐指数、硫酸盐、氯化物、总大肠菌群、细菌总数、铜、锌、铍、钡、镍、硒、铝、锑、钴、铊、水温、总氮、总磷、铬、</w:t>
            </w:r>
            <w:r>
              <w:rPr>
                <w:rFonts w:ascii="Times New Roman" w:hAnsi="Times New Roman"/>
                <w:b w:val="0"/>
                <w:sz w:val="21"/>
                <w:szCs w:val="21"/>
              </w:rPr>
              <w:t>石油类</w:t>
            </w:r>
          </w:p>
        </w:tc>
      </w:tr>
      <w:tr w:rsidR="00606029" w14:paraId="27BF9228" w14:textId="77777777">
        <w:trPr>
          <w:trHeight w:val="340"/>
          <w:jc w:val="center"/>
        </w:trPr>
        <w:tc>
          <w:tcPr>
            <w:tcW w:w="1655" w:type="dxa"/>
            <w:vMerge/>
            <w:tcBorders>
              <w:tl2br w:val="nil"/>
              <w:tr2bl w:val="nil"/>
            </w:tcBorders>
            <w:vAlign w:val="center"/>
          </w:tcPr>
          <w:p w14:paraId="02EFFFCD" w14:textId="77777777" w:rsidR="00606029" w:rsidRDefault="00606029">
            <w:pPr>
              <w:pStyle w:val="afff0"/>
              <w:adjustRightInd w:val="0"/>
              <w:snapToGrid w:val="0"/>
              <w:spacing w:line="280" w:lineRule="exact"/>
              <w:rPr>
                <w:rFonts w:ascii="Times New Roman" w:hAnsi="Times New Roman"/>
                <w:b w:val="0"/>
                <w:sz w:val="21"/>
                <w:szCs w:val="21"/>
              </w:rPr>
            </w:pPr>
          </w:p>
        </w:tc>
        <w:tc>
          <w:tcPr>
            <w:tcW w:w="7407" w:type="dxa"/>
            <w:tcBorders>
              <w:tl2br w:val="nil"/>
              <w:tr2bl w:val="nil"/>
            </w:tcBorders>
            <w:vAlign w:val="center"/>
          </w:tcPr>
          <w:p w14:paraId="4C34FC4A" w14:textId="65AABB93" w:rsidR="00606029" w:rsidRDefault="00EA5B92">
            <w:pPr>
              <w:pStyle w:val="afff0"/>
              <w:adjustRightInd w:val="0"/>
              <w:snapToGrid w:val="0"/>
              <w:spacing w:line="280" w:lineRule="exact"/>
              <w:rPr>
                <w:rFonts w:ascii="Times New Roman" w:hAnsi="Times New Roman"/>
                <w:b w:val="0"/>
                <w:sz w:val="21"/>
                <w:szCs w:val="21"/>
              </w:rPr>
            </w:pPr>
            <w:r>
              <w:rPr>
                <w:rFonts w:ascii="Times New Roman" w:hAnsi="Times New Roman"/>
                <w:b w:val="0"/>
                <w:sz w:val="21"/>
                <w:szCs w:val="21"/>
                <w:lang w:val="pt-BR"/>
              </w:rPr>
              <w:t>影响评价因子：铅</w:t>
            </w:r>
          </w:p>
        </w:tc>
      </w:tr>
      <w:tr w:rsidR="00606029" w14:paraId="1C88C9CA" w14:textId="77777777">
        <w:trPr>
          <w:trHeight w:val="340"/>
          <w:jc w:val="center"/>
        </w:trPr>
        <w:tc>
          <w:tcPr>
            <w:tcW w:w="1655" w:type="dxa"/>
            <w:tcBorders>
              <w:tl2br w:val="nil"/>
              <w:tr2bl w:val="nil"/>
            </w:tcBorders>
            <w:vAlign w:val="center"/>
          </w:tcPr>
          <w:p w14:paraId="7B56C8E4" w14:textId="77777777" w:rsidR="00606029" w:rsidRDefault="00EA5B92">
            <w:pPr>
              <w:pStyle w:val="afff0"/>
              <w:adjustRightInd w:val="0"/>
              <w:snapToGrid w:val="0"/>
              <w:spacing w:line="280" w:lineRule="exact"/>
              <w:rPr>
                <w:rFonts w:ascii="Times New Roman" w:hAnsi="Times New Roman"/>
                <w:b w:val="0"/>
                <w:sz w:val="21"/>
                <w:szCs w:val="21"/>
              </w:rPr>
            </w:pPr>
            <w:r>
              <w:rPr>
                <w:rFonts w:ascii="Times New Roman" w:hAnsi="Times New Roman"/>
                <w:b w:val="0"/>
                <w:sz w:val="21"/>
                <w:szCs w:val="21"/>
              </w:rPr>
              <w:t>包气带</w:t>
            </w:r>
          </w:p>
        </w:tc>
        <w:tc>
          <w:tcPr>
            <w:tcW w:w="7407" w:type="dxa"/>
            <w:tcBorders>
              <w:tl2br w:val="nil"/>
              <w:tr2bl w:val="nil"/>
            </w:tcBorders>
            <w:vAlign w:val="center"/>
          </w:tcPr>
          <w:p w14:paraId="4B65D427" w14:textId="77777777" w:rsidR="00606029" w:rsidRDefault="00EA5B92">
            <w:pPr>
              <w:pStyle w:val="afff0"/>
              <w:adjustRightInd w:val="0"/>
              <w:snapToGrid w:val="0"/>
              <w:spacing w:line="280" w:lineRule="exact"/>
              <w:rPr>
                <w:rFonts w:ascii="Times New Roman" w:hAnsi="Times New Roman"/>
                <w:b w:val="0"/>
                <w:sz w:val="21"/>
                <w:szCs w:val="21"/>
                <w:lang w:val="pt-BR"/>
              </w:rPr>
            </w:pPr>
            <w:r>
              <w:rPr>
                <w:rFonts w:ascii="Times New Roman" w:hAnsi="Times New Roman"/>
                <w:b w:val="0"/>
                <w:sz w:val="21"/>
                <w:szCs w:val="21"/>
                <w:lang w:val="pt-BR"/>
              </w:rPr>
              <w:t>pH</w:t>
            </w:r>
            <w:r>
              <w:rPr>
                <w:rFonts w:ascii="Times New Roman" w:hAnsi="Times New Roman"/>
                <w:b w:val="0"/>
                <w:sz w:val="21"/>
                <w:szCs w:val="21"/>
                <w:lang w:val="pt-BR"/>
              </w:rPr>
              <w:t>、铜、汞、锌、铅、镉、铍、钡、镍、砷、铬、六价铬、硒</w:t>
            </w:r>
          </w:p>
        </w:tc>
      </w:tr>
      <w:tr w:rsidR="00606029" w14:paraId="35630F2C" w14:textId="77777777">
        <w:trPr>
          <w:trHeight w:val="565"/>
          <w:jc w:val="center"/>
        </w:trPr>
        <w:tc>
          <w:tcPr>
            <w:tcW w:w="1655" w:type="dxa"/>
            <w:vMerge w:val="restart"/>
            <w:tcBorders>
              <w:tl2br w:val="nil"/>
              <w:tr2bl w:val="nil"/>
            </w:tcBorders>
            <w:vAlign w:val="center"/>
          </w:tcPr>
          <w:p w14:paraId="46B21A42" w14:textId="77777777" w:rsidR="00606029" w:rsidRDefault="00EA5B92">
            <w:pPr>
              <w:pStyle w:val="afff0"/>
              <w:adjustRightInd w:val="0"/>
              <w:snapToGrid w:val="0"/>
              <w:spacing w:line="280" w:lineRule="exact"/>
              <w:rPr>
                <w:rFonts w:ascii="Times New Roman" w:hAnsi="Times New Roman"/>
                <w:b w:val="0"/>
                <w:sz w:val="21"/>
                <w:szCs w:val="21"/>
              </w:rPr>
            </w:pPr>
            <w:r>
              <w:rPr>
                <w:rFonts w:ascii="Times New Roman" w:hAnsi="Times New Roman"/>
                <w:b w:val="0"/>
                <w:sz w:val="21"/>
                <w:szCs w:val="21"/>
              </w:rPr>
              <w:lastRenderedPageBreak/>
              <w:t>土壤环境</w:t>
            </w:r>
          </w:p>
        </w:tc>
        <w:tc>
          <w:tcPr>
            <w:tcW w:w="7407" w:type="dxa"/>
            <w:tcBorders>
              <w:tl2br w:val="nil"/>
              <w:tr2bl w:val="nil"/>
            </w:tcBorders>
            <w:vAlign w:val="center"/>
          </w:tcPr>
          <w:p w14:paraId="39A62194" w14:textId="77777777" w:rsidR="00606029" w:rsidRDefault="00EA5B92">
            <w:pPr>
              <w:pStyle w:val="afff0"/>
              <w:adjustRightInd w:val="0"/>
              <w:snapToGrid w:val="0"/>
              <w:spacing w:line="280" w:lineRule="exact"/>
              <w:rPr>
                <w:rFonts w:ascii="Times New Roman" w:hAnsi="Times New Roman"/>
                <w:b w:val="0"/>
                <w:sz w:val="21"/>
                <w:szCs w:val="21"/>
                <w:lang w:val="pt-BR"/>
              </w:rPr>
            </w:pPr>
            <w:r>
              <w:rPr>
                <w:rFonts w:ascii="Times New Roman" w:hAnsi="Times New Roman"/>
                <w:b w:val="0"/>
                <w:sz w:val="21"/>
                <w:szCs w:val="21"/>
              </w:rPr>
              <w:t>建设用地</w:t>
            </w:r>
            <w:r>
              <w:rPr>
                <w:rFonts w:ascii="Times New Roman" w:hAnsi="Times New Roman"/>
                <w:b w:val="0"/>
                <w:sz w:val="21"/>
                <w:szCs w:val="21"/>
                <w:lang w:val="pt-BR"/>
              </w:rPr>
              <w:t>现状评价因子：二噁英、铬、锌、铍、</w:t>
            </w:r>
            <w:r>
              <w:rPr>
                <w:rFonts w:ascii="Times New Roman" w:hAnsi="Times New Roman"/>
                <w:b w:val="0"/>
                <w:sz w:val="21"/>
                <w:szCs w:val="21"/>
                <w:lang w:val="pt-BR"/>
              </w:rPr>
              <w:t>pH</w:t>
            </w:r>
            <w:r>
              <w:rPr>
                <w:rFonts w:ascii="Times New Roman" w:hAnsi="Times New Roman"/>
                <w:b w:val="0"/>
                <w:sz w:val="21"/>
                <w:szCs w:val="21"/>
                <w:lang w:val="pt-BR"/>
              </w:rPr>
              <w:t>、砷、镉、铬（六价）、铜、铅、汞、镍、钡、硒、锑、钴、锰、四氯化碳、氯仿、氯甲烷、</w:t>
            </w:r>
            <w:r>
              <w:rPr>
                <w:rFonts w:ascii="Times New Roman" w:hAnsi="Times New Roman"/>
                <w:b w:val="0"/>
                <w:sz w:val="21"/>
                <w:szCs w:val="21"/>
                <w:lang w:val="pt-BR"/>
              </w:rPr>
              <w:t>1</w:t>
            </w:r>
            <w:r>
              <w:rPr>
                <w:rFonts w:ascii="Times New Roman" w:hAnsi="Times New Roman"/>
                <w:b w:val="0"/>
                <w:sz w:val="21"/>
                <w:szCs w:val="21"/>
                <w:lang w:val="pt-BR"/>
              </w:rPr>
              <w:t>，</w:t>
            </w:r>
            <w:r>
              <w:rPr>
                <w:rFonts w:ascii="Times New Roman" w:hAnsi="Times New Roman"/>
                <w:b w:val="0"/>
                <w:sz w:val="21"/>
                <w:szCs w:val="21"/>
                <w:lang w:val="pt-BR"/>
              </w:rPr>
              <w:t>1-</w:t>
            </w:r>
            <w:r>
              <w:rPr>
                <w:rFonts w:ascii="Times New Roman" w:hAnsi="Times New Roman"/>
                <w:b w:val="0"/>
                <w:sz w:val="21"/>
                <w:szCs w:val="21"/>
                <w:lang w:val="pt-BR"/>
              </w:rPr>
              <w:t>二氯乙烷、</w:t>
            </w:r>
            <w:r>
              <w:rPr>
                <w:rFonts w:ascii="Times New Roman" w:hAnsi="Times New Roman"/>
                <w:b w:val="0"/>
                <w:sz w:val="21"/>
                <w:szCs w:val="21"/>
                <w:lang w:val="pt-BR"/>
              </w:rPr>
              <w:t>1</w:t>
            </w:r>
            <w:r>
              <w:rPr>
                <w:rFonts w:ascii="Times New Roman" w:hAnsi="Times New Roman"/>
                <w:b w:val="0"/>
                <w:sz w:val="21"/>
                <w:szCs w:val="21"/>
                <w:lang w:val="pt-BR"/>
              </w:rPr>
              <w:t>，</w:t>
            </w:r>
            <w:r>
              <w:rPr>
                <w:rFonts w:ascii="Times New Roman" w:hAnsi="Times New Roman"/>
                <w:b w:val="0"/>
                <w:sz w:val="21"/>
                <w:szCs w:val="21"/>
                <w:lang w:val="pt-BR"/>
              </w:rPr>
              <w:t>2-</w:t>
            </w:r>
            <w:r>
              <w:rPr>
                <w:rFonts w:ascii="Times New Roman" w:hAnsi="Times New Roman"/>
                <w:b w:val="0"/>
                <w:sz w:val="21"/>
                <w:szCs w:val="21"/>
                <w:lang w:val="pt-BR"/>
              </w:rPr>
              <w:t>二氯乙烷、</w:t>
            </w:r>
            <w:r>
              <w:rPr>
                <w:rFonts w:ascii="Times New Roman" w:hAnsi="Times New Roman"/>
                <w:b w:val="0"/>
                <w:sz w:val="21"/>
                <w:szCs w:val="21"/>
                <w:lang w:val="pt-BR"/>
              </w:rPr>
              <w:t>1</w:t>
            </w:r>
            <w:r>
              <w:rPr>
                <w:rFonts w:ascii="Times New Roman" w:hAnsi="Times New Roman"/>
                <w:b w:val="0"/>
                <w:sz w:val="21"/>
                <w:szCs w:val="21"/>
                <w:lang w:val="pt-BR"/>
              </w:rPr>
              <w:t>，</w:t>
            </w:r>
            <w:r>
              <w:rPr>
                <w:rFonts w:ascii="Times New Roman" w:hAnsi="Times New Roman"/>
                <w:b w:val="0"/>
                <w:sz w:val="21"/>
                <w:szCs w:val="21"/>
                <w:lang w:val="pt-BR"/>
              </w:rPr>
              <w:t>1-</w:t>
            </w:r>
            <w:r>
              <w:rPr>
                <w:rFonts w:ascii="Times New Roman" w:hAnsi="Times New Roman"/>
                <w:b w:val="0"/>
                <w:sz w:val="21"/>
                <w:szCs w:val="21"/>
                <w:lang w:val="pt-BR"/>
              </w:rPr>
              <w:t>二氯乙烯、顺</w:t>
            </w:r>
            <w:r>
              <w:rPr>
                <w:rFonts w:ascii="Times New Roman" w:hAnsi="Times New Roman"/>
                <w:b w:val="0"/>
                <w:sz w:val="21"/>
                <w:szCs w:val="21"/>
                <w:lang w:val="pt-BR"/>
              </w:rPr>
              <w:t>-1</w:t>
            </w:r>
            <w:r>
              <w:rPr>
                <w:rFonts w:ascii="Times New Roman" w:hAnsi="Times New Roman"/>
                <w:b w:val="0"/>
                <w:sz w:val="21"/>
                <w:szCs w:val="21"/>
                <w:lang w:val="pt-BR"/>
              </w:rPr>
              <w:t>，</w:t>
            </w:r>
            <w:r>
              <w:rPr>
                <w:rFonts w:ascii="Times New Roman" w:hAnsi="Times New Roman"/>
                <w:b w:val="0"/>
                <w:sz w:val="21"/>
                <w:szCs w:val="21"/>
                <w:lang w:val="pt-BR"/>
              </w:rPr>
              <w:t>2-</w:t>
            </w:r>
            <w:r>
              <w:rPr>
                <w:rFonts w:ascii="Times New Roman" w:hAnsi="Times New Roman"/>
                <w:b w:val="0"/>
                <w:sz w:val="21"/>
                <w:szCs w:val="21"/>
                <w:lang w:val="pt-BR"/>
              </w:rPr>
              <w:t>二氯乙烯、反</w:t>
            </w:r>
            <w:r>
              <w:rPr>
                <w:rFonts w:ascii="Times New Roman" w:hAnsi="Times New Roman"/>
                <w:b w:val="0"/>
                <w:sz w:val="21"/>
                <w:szCs w:val="21"/>
                <w:lang w:val="pt-BR"/>
              </w:rPr>
              <w:t>-1</w:t>
            </w:r>
            <w:r>
              <w:rPr>
                <w:rFonts w:ascii="Times New Roman" w:hAnsi="Times New Roman"/>
                <w:b w:val="0"/>
                <w:sz w:val="21"/>
                <w:szCs w:val="21"/>
                <w:lang w:val="pt-BR"/>
              </w:rPr>
              <w:t>，</w:t>
            </w:r>
            <w:r>
              <w:rPr>
                <w:rFonts w:ascii="Times New Roman" w:hAnsi="Times New Roman"/>
                <w:b w:val="0"/>
                <w:sz w:val="21"/>
                <w:szCs w:val="21"/>
                <w:lang w:val="pt-BR"/>
              </w:rPr>
              <w:t>2-</w:t>
            </w:r>
            <w:r>
              <w:rPr>
                <w:rFonts w:ascii="Times New Roman" w:hAnsi="Times New Roman"/>
                <w:b w:val="0"/>
                <w:sz w:val="21"/>
                <w:szCs w:val="21"/>
                <w:lang w:val="pt-BR"/>
              </w:rPr>
              <w:t>二氯乙烯、二氯甲烷、</w:t>
            </w:r>
            <w:r>
              <w:rPr>
                <w:rFonts w:ascii="Times New Roman" w:hAnsi="Times New Roman"/>
                <w:b w:val="0"/>
                <w:sz w:val="21"/>
                <w:szCs w:val="21"/>
                <w:lang w:val="pt-BR"/>
              </w:rPr>
              <w:t>1</w:t>
            </w:r>
            <w:r>
              <w:rPr>
                <w:rFonts w:ascii="Times New Roman" w:hAnsi="Times New Roman"/>
                <w:b w:val="0"/>
                <w:sz w:val="21"/>
                <w:szCs w:val="21"/>
                <w:lang w:val="pt-BR"/>
              </w:rPr>
              <w:t>，</w:t>
            </w:r>
            <w:r>
              <w:rPr>
                <w:rFonts w:ascii="Times New Roman" w:hAnsi="Times New Roman"/>
                <w:b w:val="0"/>
                <w:sz w:val="21"/>
                <w:szCs w:val="21"/>
                <w:lang w:val="pt-BR"/>
              </w:rPr>
              <w:t>2-</w:t>
            </w:r>
            <w:r>
              <w:rPr>
                <w:rFonts w:ascii="Times New Roman" w:hAnsi="Times New Roman"/>
                <w:b w:val="0"/>
                <w:sz w:val="21"/>
                <w:szCs w:val="21"/>
                <w:lang w:val="pt-BR"/>
              </w:rPr>
              <w:t>二氯丙烷、</w:t>
            </w:r>
            <w:r>
              <w:rPr>
                <w:rFonts w:ascii="Times New Roman" w:hAnsi="Times New Roman"/>
                <w:b w:val="0"/>
                <w:sz w:val="21"/>
                <w:szCs w:val="21"/>
                <w:lang w:val="pt-BR"/>
              </w:rPr>
              <w:t>1</w:t>
            </w:r>
            <w:r>
              <w:rPr>
                <w:rFonts w:ascii="Times New Roman" w:hAnsi="Times New Roman"/>
                <w:b w:val="0"/>
                <w:sz w:val="21"/>
                <w:szCs w:val="21"/>
                <w:lang w:val="pt-BR"/>
              </w:rPr>
              <w:t>，</w:t>
            </w:r>
            <w:r>
              <w:rPr>
                <w:rFonts w:ascii="Times New Roman" w:hAnsi="Times New Roman"/>
                <w:b w:val="0"/>
                <w:sz w:val="21"/>
                <w:szCs w:val="21"/>
                <w:lang w:val="pt-BR"/>
              </w:rPr>
              <w:t>1</w:t>
            </w:r>
            <w:r>
              <w:rPr>
                <w:rFonts w:ascii="Times New Roman" w:hAnsi="Times New Roman"/>
                <w:b w:val="0"/>
                <w:sz w:val="21"/>
                <w:szCs w:val="21"/>
                <w:lang w:val="pt-BR"/>
              </w:rPr>
              <w:t>，</w:t>
            </w:r>
            <w:r>
              <w:rPr>
                <w:rFonts w:ascii="Times New Roman" w:hAnsi="Times New Roman"/>
                <w:b w:val="0"/>
                <w:sz w:val="21"/>
                <w:szCs w:val="21"/>
                <w:lang w:val="pt-BR"/>
              </w:rPr>
              <w:t>1</w:t>
            </w:r>
            <w:r>
              <w:rPr>
                <w:rFonts w:ascii="Times New Roman" w:hAnsi="Times New Roman"/>
                <w:b w:val="0"/>
                <w:sz w:val="21"/>
                <w:szCs w:val="21"/>
                <w:lang w:val="pt-BR"/>
              </w:rPr>
              <w:t>，</w:t>
            </w:r>
            <w:r>
              <w:rPr>
                <w:rFonts w:ascii="Times New Roman" w:hAnsi="Times New Roman"/>
                <w:b w:val="0"/>
                <w:sz w:val="21"/>
                <w:szCs w:val="21"/>
                <w:lang w:val="pt-BR"/>
              </w:rPr>
              <w:t>2-</w:t>
            </w:r>
            <w:r>
              <w:rPr>
                <w:rFonts w:ascii="Times New Roman" w:hAnsi="Times New Roman"/>
                <w:b w:val="0"/>
                <w:sz w:val="21"/>
                <w:szCs w:val="21"/>
                <w:lang w:val="pt-BR"/>
              </w:rPr>
              <w:t>四氯乙烷、</w:t>
            </w:r>
            <w:r>
              <w:rPr>
                <w:rFonts w:ascii="Times New Roman" w:hAnsi="Times New Roman"/>
                <w:b w:val="0"/>
                <w:sz w:val="21"/>
                <w:szCs w:val="21"/>
                <w:lang w:val="pt-BR"/>
              </w:rPr>
              <w:t>1</w:t>
            </w:r>
            <w:r>
              <w:rPr>
                <w:rFonts w:ascii="Times New Roman" w:hAnsi="Times New Roman"/>
                <w:b w:val="0"/>
                <w:sz w:val="21"/>
                <w:szCs w:val="21"/>
                <w:lang w:val="pt-BR"/>
              </w:rPr>
              <w:t>，</w:t>
            </w:r>
            <w:r>
              <w:rPr>
                <w:rFonts w:ascii="Times New Roman" w:hAnsi="Times New Roman"/>
                <w:b w:val="0"/>
                <w:sz w:val="21"/>
                <w:szCs w:val="21"/>
                <w:lang w:val="pt-BR"/>
              </w:rPr>
              <w:t>1</w:t>
            </w:r>
            <w:r>
              <w:rPr>
                <w:rFonts w:ascii="Times New Roman" w:hAnsi="Times New Roman"/>
                <w:b w:val="0"/>
                <w:sz w:val="21"/>
                <w:szCs w:val="21"/>
                <w:lang w:val="pt-BR"/>
              </w:rPr>
              <w:t>，</w:t>
            </w:r>
            <w:r>
              <w:rPr>
                <w:rFonts w:ascii="Times New Roman" w:hAnsi="Times New Roman"/>
                <w:b w:val="0"/>
                <w:sz w:val="21"/>
                <w:szCs w:val="21"/>
                <w:lang w:val="pt-BR"/>
              </w:rPr>
              <w:t>2</w:t>
            </w:r>
            <w:r>
              <w:rPr>
                <w:rFonts w:ascii="Times New Roman" w:hAnsi="Times New Roman"/>
                <w:b w:val="0"/>
                <w:sz w:val="21"/>
                <w:szCs w:val="21"/>
                <w:lang w:val="pt-BR"/>
              </w:rPr>
              <w:t>，</w:t>
            </w:r>
            <w:r>
              <w:rPr>
                <w:rFonts w:ascii="Times New Roman" w:hAnsi="Times New Roman"/>
                <w:b w:val="0"/>
                <w:sz w:val="21"/>
                <w:szCs w:val="21"/>
                <w:lang w:val="pt-BR"/>
              </w:rPr>
              <w:t>2-</w:t>
            </w:r>
            <w:r>
              <w:rPr>
                <w:rFonts w:ascii="Times New Roman" w:hAnsi="Times New Roman"/>
                <w:b w:val="0"/>
                <w:sz w:val="21"/>
                <w:szCs w:val="21"/>
                <w:lang w:val="pt-BR"/>
              </w:rPr>
              <w:t>四氯乙烷、四氯乙烯、</w:t>
            </w:r>
            <w:r>
              <w:rPr>
                <w:rFonts w:ascii="Times New Roman" w:hAnsi="Times New Roman"/>
                <w:b w:val="0"/>
                <w:sz w:val="21"/>
                <w:szCs w:val="21"/>
                <w:lang w:val="pt-BR"/>
              </w:rPr>
              <w:t>1</w:t>
            </w:r>
            <w:r>
              <w:rPr>
                <w:rFonts w:ascii="Times New Roman" w:hAnsi="Times New Roman"/>
                <w:b w:val="0"/>
                <w:sz w:val="21"/>
                <w:szCs w:val="21"/>
                <w:lang w:val="pt-BR"/>
              </w:rPr>
              <w:t>，</w:t>
            </w:r>
            <w:r>
              <w:rPr>
                <w:rFonts w:ascii="Times New Roman" w:hAnsi="Times New Roman"/>
                <w:b w:val="0"/>
                <w:sz w:val="21"/>
                <w:szCs w:val="21"/>
                <w:lang w:val="pt-BR"/>
              </w:rPr>
              <w:t>1</w:t>
            </w:r>
            <w:r>
              <w:rPr>
                <w:rFonts w:ascii="Times New Roman" w:hAnsi="Times New Roman"/>
                <w:b w:val="0"/>
                <w:sz w:val="21"/>
                <w:szCs w:val="21"/>
                <w:lang w:val="pt-BR"/>
              </w:rPr>
              <w:t>，</w:t>
            </w:r>
            <w:r>
              <w:rPr>
                <w:rFonts w:ascii="Times New Roman" w:hAnsi="Times New Roman"/>
                <w:b w:val="0"/>
                <w:sz w:val="21"/>
                <w:szCs w:val="21"/>
                <w:lang w:val="pt-BR"/>
              </w:rPr>
              <w:t>1-</w:t>
            </w:r>
            <w:r>
              <w:rPr>
                <w:rFonts w:ascii="Times New Roman" w:hAnsi="Times New Roman"/>
                <w:b w:val="0"/>
                <w:sz w:val="21"/>
                <w:szCs w:val="21"/>
                <w:lang w:val="pt-BR"/>
              </w:rPr>
              <w:t>三氯乙烷、</w:t>
            </w:r>
            <w:r>
              <w:rPr>
                <w:rFonts w:ascii="Times New Roman" w:hAnsi="Times New Roman"/>
                <w:b w:val="0"/>
                <w:sz w:val="21"/>
                <w:szCs w:val="21"/>
                <w:lang w:val="pt-BR"/>
              </w:rPr>
              <w:t>1</w:t>
            </w:r>
            <w:r>
              <w:rPr>
                <w:rFonts w:ascii="Times New Roman" w:hAnsi="Times New Roman"/>
                <w:b w:val="0"/>
                <w:sz w:val="21"/>
                <w:szCs w:val="21"/>
                <w:lang w:val="pt-BR"/>
              </w:rPr>
              <w:t>，</w:t>
            </w:r>
            <w:r>
              <w:rPr>
                <w:rFonts w:ascii="Times New Roman" w:hAnsi="Times New Roman"/>
                <w:b w:val="0"/>
                <w:sz w:val="21"/>
                <w:szCs w:val="21"/>
                <w:lang w:val="pt-BR"/>
              </w:rPr>
              <w:t>1</w:t>
            </w:r>
            <w:r>
              <w:rPr>
                <w:rFonts w:ascii="Times New Roman" w:hAnsi="Times New Roman"/>
                <w:b w:val="0"/>
                <w:sz w:val="21"/>
                <w:szCs w:val="21"/>
                <w:lang w:val="pt-BR"/>
              </w:rPr>
              <w:t>，</w:t>
            </w:r>
            <w:r>
              <w:rPr>
                <w:rFonts w:ascii="Times New Roman" w:hAnsi="Times New Roman"/>
                <w:b w:val="0"/>
                <w:sz w:val="21"/>
                <w:szCs w:val="21"/>
                <w:lang w:val="pt-BR"/>
              </w:rPr>
              <w:t>2-</w:t>
            </w:r>
            <w:r>
              <w:rPr>
                <w:rFonts w:ascii="Times New Roman" w:hAnsi="Times New Roman"/>
                <w:b w:val="0"/>
                <w:sz w:val="21"/>
                <w:szCs w:val="21"/>
                <w:lang w:val="pt-BR"/>
              </w:rPr>
              <w:t>三氯乙烷、三氯乙烯、</w:t>
            </w:r>
            <w:r>
              <w:rPr>
                <w:rFonts w:ascii="Times New Roman" w:hAnsi="Times New Roman"/>
                <w:b w:val="0"/>
                <w:sz w:val="21"/>
                <w:szCs w:val="21"/>
                <w:lang w:val="pt-BR"/>
              </w:rPr>
              <w:t>1</w:t>
            </w:r>
            <w:r>
              <w:rPr>
                <w:rFonts w:ascii="Times New Roman" w:hAnsi="Times New Roman"/>
                <w:b w:val="0"/>
                <w:sz w:val="21"/>
                <w:szCs w:val="21"/>
                <w:lang w:val="pt-BR"/>
              </w:rPr>
              <w:t>，</w:t>
            </w:r>
            <w:r>
              <w:rPr>
                <w:rFonts w:ascii="Times New Roman" w:hAnsi="Times New Roman"/>
                <w:b w:val="0"/>
                <w:sz w:val="21"/>
                <w:szCs w:val="21"/>
                <w:lang w:val="pt-BR"/>
              </w:rPr>
              <w:t>2</w:t>
            </w:r>
            <w:r>
              <w:rPr>
                <w:rFonts w:ascii="Times New Roman" w:hAnsi="Times New Roman"/>
                <w:b w:val="0"/>
                <w:sz w:val="21"/>
                <w:szCs w:val="21"/>
                <w:lang w:val="pt-BR"/>
              </w:rPr>
              <w:t>，</w:t>
            </w:r>
            <w:r>
              <w:rPr>
                <w:rFonts w:ascii="Times New Roman" w:hAnsi="Times New Roman"/>
                <w:b w:val="0"/>
                <w:sz w:val="21"/>
                <w:szCs w:val="21"/>
                <w:lang w:val="pt-BR"/>
              </w:rPr>
              <w:t>3-</w:t>
            </w:r>
            <w:r>
              <w:rPr>
                <w:rFonts w:ascii="Times New Roman" w:hAnsi="Times New Roman"/>
                <w:b w:val="0"/>
                <w:sz w:val="21"/>
                <w:szCs w:val="21"/>
                <w:lang w:val="pt-BR"/>
              </w:rPr>
              <w:t>三氯丙烷、氯乙烯、苯、氯苯、</w:t>
            </w:r>
            <w:r>
              <w:rPr>
                <w:rFonts w:ascii="Times New Roman" w:hAnsi="Times New Roman"/>
                <w:b w:val="0"/>
                <w:sz w:val="21"/>
                <w:szCs w:val="21"/>
                <w:lang w:val="pt-BR"/>
              </w:rPr>
              <w:t>1</w:t>
            </w:r>
            <w:r>
              <w:rPr>
                <w:rFonts w:ascii="Times New Roman" w:hAnsi="Times New Roman"/>
                <w:b w:val="0"/>
                <w:sz w:val="21"/>
                <w:szCs w:val="21"/>
                <w:lang w:val="pt-BR"/>
              </w:rPr>
              <w:t>，</w:t>
            </w:r>
            <w:r>
              <w:rPr>
                <w:rFonts w:ascii="Times New Roman" w:hAnsi="Times New Roman"/>
                <w:b w:val="0"/>
                <w:sz w:val="21"/>
                <w:szCs w:val="21"/>
                <w:lang w:val="pt-BR"/>
              </w:rPr>
              <w:t>2-</w:t>
            </w:r>
            <w:r>
              <w:rPr>
                <w:rFonts w:ascii="Times New Roman" w:hAnsi="Times New Roman"/>
                <w:b w:val="0"/>
                <w:sz w:val="21"/>
                <w:szCs w:val="21"/>
                <w:lang w:val="pt-BR"/>
              </w:rPr>
              <w:t>二氯苯、</w:t>
            </w:r>
            <w:r>
              <w:rPr>
                <w:rFonts w:ascii="Times New Roman" w:hAnsi="Times New Roman"/>
                <w:b w:val="0"/>
                <w:sz w:val="21"/>
                <w:szCs w:val="21"/>
                <w:lang w:val="pt-BR"/>
              </w:rPr>
              <w:t>1</w:t>
            </w:r>
            <w:r>
              <w:rPr>
                <w:rFonts w:ascii="Times New Roman" w:hAnsi="Times New Roman"/>
                <w:b w:val="0"/>
                <w:sz w:val="21"/>
                <w:szCs w:val="21"/>
                <w:lang w:val="pt-BR"/>
              </w:rPr>
              <w:t>，</w:t>
            </w:r>
            <w:r>
              <w:rPr>
                <w:rFonts w:ascii="Times New Roman" w:hAnsi="Times New Roman"/>
                <w:b w:val="0"/>
                <w:sz w:val="21"/>
                <w:szCs w:val="21"/>
                <w:lang w:val="pt-BR"/>
              </w:rPr>
              <w:t>4-</w:t>
            </w:r>
            <w:r>
              <w:rPr>
                <w:rFonts w:ascii="Times New Roman" w:hAnsi="Times New Roman"/>
                <w:b w:val="0"/>
                <w:sz w:val="21"/>
                <w:szCs w:val="21"/>
                <w:lang w:val="pt-BR"/>
              </w:rPr>
              <w:t>二氯苯、乙苯、苯乙烯、甲苯、间二甲苯</w:t>
            </w:r>
            <w:r>
              <w:rPr>
                <w:rFonts w:ascii="Times New Roman" w:hAnsi="Times New Roman"/>
                <w:b w:val="0"/>
                <w:sz w:val="21"/>
                <w:szCs w:val="21"/>
                <w:lang w:val="pt-BR"/>
              </w:rPr>
              <w:t>+</w:t>
            </w:r>
            <w:r>
              <w:rPr>
                <w:rFonts w:ascii="Times New Roman" w:hAnsi="Times New Roman"/>
                <w:b w:val="0"/>
                <w:sz w:val="21"/>
                <w:szCs w:val="21"/>
                <w:lang w:val="pt-BR"/>
              </w:rPr>
              <w:t>对二甲苯、邻二甲苯、硝基苯、苯胺、</w:t>
            </w:r>
            <w:r>
              <w:rPr>
                <w:rFonts w:ascii="Times New Roman" w:hAnsi="Times New Roman"/>
                <w:b w:val="0"/>
                <w:sz w:val="21"/>
                <w:szCs w:val="21"/>
                <w:lang w:val="pt-BR"/>
              </w:rPr>
              <w:t>2-</w:t>
            </w:r>
            <w:r>
              <w:rPr>
                <w:rFonts w:ascii="Times New Roman" w:hAnsi="Times New Roman"/>
                <w:b w:val="0"/>
                <w:sz w:val="21"/>
                <w:szCs w:val="21"/>
                <w:lang w:val="pt-BR"/>
              </w:rPr>
              <w:t>氯酚、苯并</w:t>
            </w:r>
            <w:r>
              <w:rPr>
                <w:rFonts w:ascii="Times New Roman" w:hAnsi="Times New Roman"/>
                <w:b w:val="0"/>
                <w:sz w:val="21"/>
                <w:szCs w:val="21"/>
                <w:lang w:val="pt-BR"/>
              </w:rPr>
              <w:t>[a]</w:t>
            </w:r>
            <w:r>
              <w:rPr>
                <w:rFonts w:ascii="Times New Roman" w:hAnsi="Times New Roman"/>
                <w:b w:val="0"/>
                <w:sz w:val="21"/>
                <w:szCs w:val="21"/>
                <w:lang w:val="pt-BR"/>
              </w:rPr>
              <w:t>蒽、苯并</w:t>
            </w:r>
            <w:r>
              <w:rPr>
                <w:rFonts w:ascii="Times New Roman" w:hAnsi="Times New Roman"/>
                <w:b w:val="0"/>
                <w:sz w:val="21"/>
                <w:szCs w:val="21"/>
                <w:lang w:val="pt-BR"/>
              </w:rPr>
              <w:t>[a]</w:t>
            </w:r>
            <w:r>
              <w:rPr>
                <w:rFonts w:ascii="Times New Roman" w:hAnsi="Times New Roman"/>
                <w:b w:val="0"/>
                <w:sz w:val="21"/>
                <w:szCs w:val="21"/>
                <w:lang w:val="pt-BR"/>
              </w:rPr>
              <w:t>芘、苯并荧</w:t>
            </w:r>
            <w:r>
              <w:rPr>
                <w:rFonts w:ascii="Times New Roman" w:hAnsi="Times New Roman"/>
                <w:b w:val="0"/>
                <w:sz w:val="21"/>
                <w:szCs w:val="21"/>
                <w:lang w:val="pt-BR"/>
              </w:rPr>
              <w:t>[b]</w:t>
            </w:r>
            <w:r>
              <w:rPr>
                <w:rFonts w:ascii="Times New Roman" w:hAnsi="Times New Roman"/>
                <w:b w:val="0"/>
                <w:sz w:val="21"/>
                <w:szCs w:val="21"/>
                <w:lang w:val="pt-BR"/>
              </w:rPr>
              <w:t>蒽、苯并荧</w:t>
            </w:r>
            <w:r>
              <w:rPr>
                <w:rFonts w:ascii="Times New Roman" w:hAnsi="Times New Roman"/>
                <w:b w:val="0"/>
                <w:sz w:val="21"/>
                <w:szCs w:val="21"/>
                <w:lang w:val="pt-BR"/>
              </w:rPr>
              <w:t>[k]</w:t>
            </w:r>
            <w:r>
              <w:rPr>
                <w:rFonts w:ascii="Times New Roman" w:hAnsi="Times New Roman"/>
                <w:b w:val="0"/>
                <w:sz w:val="21"/>
                <w:szCs w:val="21"/>
                <w:lang w:val="pt-BR"/>
              </w:rPr>
              <w:t>蒽、䓛、二苯并</w:t>
            </w:r>
            <w:r>
              <w:rPr>
                <w:rFonts w:ascii="Times New Roman" w:hAnsi="Times New Roman"/>
                <w:b w:val="0"/>
                <w:sz w:val="21"/>
                <w:szCs w:val="21"/>
                <w:lang w:val="pt-BR"/>
              </w:rPr>
              <w:t>[a</w:t>
            </w:r>
            <w:r>
              <w:rPr>
                <w:rFonts w:ascii="Times New Roman" w:hAnsi="Times New Roman"/>
                <w:b w:val="0"/>
                <w:sz w:val="21"/>
                <w:szCs w:val="21"/>
                <w:lang w:val="pt-BR"/>
              </w:rPr>
              <w:t>，</w:t>
            </w:r>
            <w:r>
              <w:rPr>
                <w:rFonts w:ascii="Times New Roman" w:hAnsi="Times New Roman"/>
                <w:b w:val="0"/>
                <w:sz w:val="21"/>
                <w:szCs w:val="21"/>
                <w:lang w:val="pt-BR"/>
              </w:rPr>
              <w:t>h]</w:t>
            </w:r>
            <w:r>
              <w:rPr>
                <w:rFonts w:ascii="Times New Roman" w:hAnsi="Times New Roman"/>
                <w:b w:val="0"/>
                <w:sz w:val="21"/>
                <w:szCs w:val="21"/>
                <w:lang w:val="pt-BR"/>
              </w:rPr>
              <w:t>蒽、茚并</w:t>
            </w:r>
            <w:r>
              <w:rPr>
                <w:rFonts w:ascii="Times New Roman" w:hAnsi="Times New Roman"/>
                <w:b w:val="0"/>
                <w:sz w:val="21"/>
                <w:szCs w:val="21"/>
                <w:lang w:val="pt-BR"/>
              </w:rPr>
              <w:t>[1</w:t>
            </w:r>
            <w:r>
              <w:rPr>
                <w:rFonts w:ascii="Times New Roman" w:hAnsi="Times New Roman"/>
                <w:b w:val="0"/>
                <w:sz w:val="21"/>
                <w:szCs w:val="21"/>
                <w:lang w:val="pt-BR"/>
              </w:rPr>
              <w:t>，</w:t>
            </w:r>
            <w:r>
              <w:rPr>
                <w:rFonts w:ascii="Times New Roman" w:hAnsi="Times New Roman"/>
                <w:b w:val="0"/>
                <w:sz w:val="21"/>
                <w:szCs w:val="21"/>
                <w:lang w:val="pt-BR"/>
              </w:rPr>
              <w:t>2</w:t>
            </w:r>
            <w:r>
              <w:rPr>
                <w:rFonts w:ascii="Times New Roman" w:hAnsi="Times New Roman"/>
                <w:b w:val="0"/>
                <w:sz w:val="21"/>
                <w:szCs w:val="21"/>
                <w:lang w:val="pt-BR"/>
              </w:rPr>
              <w:t>，</w:t>
            </w:r>
            <w:r>
              <w:rPr>
                <w:rFonts w:ascii="Times New Roman" w:hAnsi="Times New Roman"/>
                <w:b w:val="0"/>
                <w:sz w:val="21"/>
                <w:szCs w:val="21"/>
                <w:lang w:val="pt-BR"/>
              </w:rPr>
              <w:t>3-cd]</w:t>
            </w:r>
            <w:r>
              <w:rPr>
                <w:rFonts w:ascii="Times New Roman" w:hAnsi="Times New Roman"/>
                <w:b w:val="0"/>
                <w:sz w:val="21"/>
                <w:szCs w:val="21"/>
                <w:lang w:val="pt-BR"/>
              </w:rPr>
              <w:t>芘、萘</w:t>
            </w:r>
          </w:p>
        </w:tc>
      </w:tr>
      <w:tr w:rsidR="00606029" w14:paraId="1D7E9738" w14:textId="77777777">
        <w:trPr>
          <w:trHeight w:val="565"/>
          <w:jc w:val="center"/>
        </w:trPr>
        <w:tc>
          <w:tcPr>
            <w:tcW w:w="1655" w:type="dxa"/>
            <w:vMerge/>
            <w:tcBorders>
              <w:tl2br w:val="nil"/>
              <w:tr2bl w:val="nil"/>
            </w:tcBorders>
            <w:vAlign w:val="center"/>
          </w:tcPr>
          <w:p w14:paraId="3449CDBF" w14:textId="77777777" w:rsidR="00606029" w:rsidRDefault="00606029">
            <w:pPr>
              <w:pStyle w:val="afff0"/>
              <w:adjustRightInd w:val="0"/>
              <w:snapToGrid w:val="0"/>
              <w:spacing w:line="280" w:lineRule="exact"/>
              <w:rPr>
                <w:rFonts w:ascii="Times New Roman" w:hAnsi="Times New Roman"/>
                <w:b w:val="0"/>
                <w:sz w:val="21"/>
                <w:szCs w:val="21"/>
              </w:rPr>
            </w:pPr>
          </w:p>
        </w:tc>
        <w:tc>
          <w:tcPr>
            <w:tcW w:w="7407" w:type="dxa"/>
            <w:tcBorders>
              <w:tl2br w:val="nil"/>
              <w:tr2bl w:val="nil"/>
            </w:tcBorders>
            <w:vAlign w:val="center"/>
          </w:tcPr>
          <w:p w14:paraId="0E66EC29" w14:textId="07D21056" w:rsidR="00606029" w:rsidRPr="00661665" w:rsidRDefault="00EA5B92">
            <w:pPr>
              <w:pStyle w:val="afff0"/>
              <w:adjustRightInd w:val="0"/>
              <w:snapToGrid w:val="0"/>
              <w:spacing w:line="280" w:lineRule="exact"/>
              <w:rPr>
                <w:rFonts w:ascii="Times New Roman" w:hAnsi="Times New Roman"/>
                <w:b w:val="0"/>
                <w:sz w:val="21"/>
                <w:szCs w:val="21"/>
                <w:lang w:val="pt-BR"/>
              </w:rPr>
            </w:pPr>
            <w:r w:rsidRPr="00661665">
              <w:rPr>
                <w:rFonts w:ascii="Times New Roman" w:hAnsi="Times New Roman"/>
                <w:b w:val="0"/>
                <w:sz w:val="21"/>
                <w:szCs w:val="21"/>
              </w:rPr>
              <w:t>农用地</w:t>
            </w:r>
            <w:r w:rsidRPr="00661665">
              <w:rPr>
                <w:rFonts w:ascii="Times New Roman" w:hAnsi="Times New Roman"/>
                <w:b w:val="0"/>
                <w:sz w:val="21"/>
                <w:szCs w:val="21"/>
                <w:lang w:val="pt-BR"/>
              </w:rPr>
              <w:t>现状评价因子：</w:t>
            </w:r>
            <w:r w:rsidRPr="00661665">
              <w:rPr>
                <w:rFonts w:ascii="Times New Roman" w:hAnsi="Times New Roman"/>
                <w:b w:val="0"/>
                <w:sz w:val="21"/>
                <w:szCs w:val="21"/>
                <w:lang w:val="pt-BR"/>
              </w:rPr>
              <w:t>pH</w:t>
            </w:r>
            <w:r w:rsidRPr="00661665">
              <w:rPr>
                <w:rFonts w:ascii="Times New Roman" w:hAnsi="Times New Roman"/>
                <w:b w:val="0"/>
                <w:sz w:val="21"/>
                <w:szCs w:val="21"/>
                <w:lang w:val="pt-BR"/>
              </w:rPr>
              <w:t>、铍、汞、砷、镉、铜、铅、铬、锌、镍、钡、硒、锑、钴、锰</w:t>
            </w:r>
          </w:p>
        </w:tc>
      </w:tr>
      <w:tr w:rsidR="00606029" w14:paraId="0931412A" w14:textId="77777777">
        <w:trPr>
          <w:trHeight w:val="340"/>
          <w:jc w:val="center"/>
        </w:trPr>
        <w:tc>
          <w:tcPr>
            <w:tcW w:w="1655" w:type="dxa"/>
            <w:vMerge/>
            <w:tcBorders>
              <w:tl2br w:val="nil"/>
              <w:tr2bl w:val="nil"/>
            </w:tcBorders>
            <w:vAlign w:val="center"/>
          </w:tcPr>
          <w:p w14:paraId="1C7C0D46" w14:textId="77777777" w:rsidR="00606029" w:rsidRDefault="00606029">
            <w:pPr>
              <w:pStyle w:val="afff0"/>
              <w:adjustRightInd w:val="0"/>
              <w:snapToGrid w:val="0"/>
              <w:spacing w:line="280" w:lineRule="exact"/>
              <w:rPr>
                <w:rFonts w:ascii="Times New Roman" w:hAnsi="Times New Roman"/>
                <w:b w:val="0"/>
                <w:sz w:val="21"/>
                <w:szCs w:val="21"/>
              </w:rPr>
            </w:pPr>
          </w:p>
        </w:tc>
        <w:tc>
          <w:tcPr>
            <w:tcW w:w="7407" w:type="dxa"/>
            <w:tcBorders>
              <w:tl2br w:val="nil"/>
              <w:tr2bl w:val="nil"/>
            </w:tcBorders>
            <w:vAlign w:val="center"/>
          </w:tcPr>
          <w:p w14:paraId="5E15E64F" w14:textId="0C00E122" w:rsidR="00606029" w:rsidRPr="00661665" w:rsidRDefault="00EA5B92">
            <w:pPr>
              <w:pStyle w:val="afff0"/>
              <w:adjustRightInd w:val="0"/>
              <w:snapToGrid w:val="0"/>
              <w:spacing w:line="280" w:lineRule="exact"/>
              <w:rPr>
                <w:rFonts w:ascii="Times New Roman" w:hAnsi="Times New Roman"/>
                <w:b w:val="0"/>
                <w:sz w:val="21"/>
                <w:szCs w:val="21"/>
              </w:rPr>
            </w:pPr>
            <w:r w:rsidRPr="00661665">
              <w:rPr>
                <w:rFonts w:ascii="Times New Roman" w:hAnsi="Times New Roman"/>
                <w:b w:val="0"/>
                <w:sz w:val="21"/>
                <w:szCs w:val="21"/>
                <w:lang w:val="pt-BR"/>
              </w:rPr>
              <w:t>影响评价因子：</w:t>
            </w:r>
            <w:r w:rsidR="00661665" w:rsidRPr="00661665">
              <w:rPr>
                <w:rFonts w:ascii="Times New Roman" w:hAnsi="Times New Roman" w:hint="eastAsia"/>
                <w:b w:val="0"/>
                <w:sz w:val="21"/>
                <w:szCs w:val="21"/>
                <w:lang w:val="pt-BR"/>
              </w:rPr>
              <w:t>铅</w:t>
            </w:r>
          </w:p>
        </w:tc>
      </w:tr>
      <w:tr w:rsidR="00606029" w14:paraId="742C3B64" w14:textId="77777777">
        <w:trPr>
          <w:trHeight w:val="340"/>
          <w:jc w:val="center"/>
        </w:trPr>
        <w:tc>
          <w:tcPr>
            <w:tcW w:w="1655" w:type="dxa"/>
            <w:vMerge w:val="restart"/>
            <w:tcBorders>
              <w:tl2br w:val="nil"/>
              <w:tr2bl w:val="nil"/>
            </w:tcBorders>
            <w:vAlign w:val="center"/>
          </w:tcPr>
          <w:p w14:paraId="419DA147" w14:textId="77777777" w:rsidR="00606029" w:rsidRDefault="00EA5B92">
            <w:pPr>
              <w:pStyle w:val="afff0"/>
              <w:adjustRightInd w:val="0"/>
              <w:snapToGrid w:val="0"/>
              <w:spacing w:line="280" w:lineRule="exact"/>
              <w:rPr>
                <w:rFonts w:ascii="Times New Roman" w:hAnsi="Times New Roman"/>
                <w:b w:val="0"/>
                <w:sz w:val="21"/>
                <w:szCs w:val="21"/>
              </w:rPr>
            </w:pPr>
            <w:r>
              <w:rPr>
                <w:rFonts w:ascii="Times New Roman" w:hAnsi="Times New Roman"/>
                <w:b w:val="0"/>
                <w:sz w:val="21"/>
                <w:szCs w:val="21"/>
              </w:rPr>
              <w:t>声环境</w:t>
            </w:r>
          </w:p>
        </w:tc>
        <w:tc>
          <w:tcPr>
            <w:tcW w:w="7407" w:type="dxa"/>
            <w:tcBorders>
              <w:tl2br w:val="nil"/>
              <w:tr2bl w:val="nil"/>
            </w:tcBorders>
            <w:vAlign w:val="center"/>
          </w:tcPr>
          <w:p w14:paraId="57410366" w14:textId="77777777" w:rsidR="00606029" w:rsidRPr="00661665" w:rsidRDefault="00EA5B92">
            <w:pPr>
              <w:pStyle w:val="afff0"/>
              <w:adjustRightInd w:val="0"/>
              <w:snapToGrid w:val="0"/>
              <w:spacing w:line="280" w:lineRule="exact"/>
              <w:rPr>
                <w:rFonts w:ascii="Times New Roman" w:hAnsi="Times New Roman"/>
                <w:b w:val="0"/>
                <w:sz w:val="21"/>
                <w:szCs w:val="21"/>
              </w:rPr>
            </w:pPr>
            <w:r w:rsidRPr="00661665">
              <w:rPr>
                <w:rFonts w:ascii="Times New Roman" w:hAnsi="Times New Roman"/>
                <w:b w:val="0"/>
                <w:sz w:val="21"/>
                <w:szCs w:val="21"/>
              </w:rPr>
              <w:t>现状评价因子：等效连续</w:t>
            </w:r>
            <w:r w:rsidRPr="00661665">
              <w:rPr>
                <w:rFonts w:ascii="Times New Roman" w:hAnsi="Times New Roman"/>
                <w:b w:val="0"/>
                <w:sz w:val="21"/>
                <w:szCs w:val="21"/>
              </w:rPr>
              <w:t>A</w:t>
            </w:r>
            <w:r w:rsidRPr="00661665">
              <w:rPr>
                <w:rFonts w:ascii="Times New Roman" w:hAnsi="Times New Roman"/>
                <w:b w:val="0"/>
                <w:sz w:val="21"/>
                <w:szCs w:val="21"/>
              </w:rPr>
              <w:t>声级</w:t>
            </w:r>
          </w:p>
        </w:tc>
      </w:tr>
      <w:tr w:rsidR="00606029" w14:paraId="5E0048DE" w14:textId="77777777">
        <w:trPr>
          <w:trHeight w:val="340"/>
          <w:jc w:val="center"/>
        </w:trPr>
        <w:tc>
          <w:tcPr>
            <w:tcW w:w="1655" w:type="dxa"/>
            <w:vMerge/>
            <w:tcBorders>
              <w:tl2br w:val="nil"/>
              <w:tr2bl w:val="nil"/>
            </w:tcBorders>
            <w:vAlign w:val="center"/>
          </w:tcPr>
          <w:p w14:paraId="5FEF5546" w14:textId="77777777" w:rsidR="00606029" w:rsidRDefault="00606029">
            <w:pPr>
              <w:pStyle w:val="afff0"/>
              <w:adjustRightInd w:val="0"/>
              <w:snapToGrid w:val="0"/>
              <w:spacing w:line="280" w:lineRule="exact"/>
              <w:rPr>
                <w:rFonts w:ascii="Times New Roman" w:hAnsi="Times New Roman"/>
                <w:b w:val="0"/>
                <w:sz w:val="21"/>
                <w:szCs w:val="21"/>
              </w:rPr>
            </w:pPr>
          </w:p>
        </w:tc>
        <w:tc>
          <w:tcPr>
            <w:tcW w:w="7407" w:type="dxa"/>
            <w:tcBorders>
              <w:tl2br w:val="nil"/>
              <w:tr2bl w:val="nil"/>
            </w:tcBorders>
            <w:vAlign w:val="center"/>
          </w:tcPr>
          <w:p w14:paraId="7BA758A2" w14:textId="77777777" w:rsidR="00606029" w:rsidRPr="00661665" w:rsidRDefault="00EA5B92">
            <w:pPr>
              <w:pStyle w:val="afff0"/>
              <w:adjustRightInd w:val="0"/>
              <w:snapToGrid w:val="0"/>
              <w:spacing w:line="280" w:lineRule="exact"/>
              <w:rPr>
                <w:rFonts w:ascii="Times New Roman" w:hAnsi="Times New Roman"/>
                <w:b w:val="0"/>
                <w:sz w:val="21"/>
                <w:szCs w:val="21"/>
                <w:lang w:val="pt-BR"/>
              </w:rPr>
            </w:pPr>
            <w:r w:rsidRPr="00661665">
              <w:rPr>
                <w:rFonts w:ascii="Times New Roman" w:hAnsi="Times New Roman"/>
                <w:b w:val="0"/>
                <w:sz w:val="21"/>
                <w:szCs w:val="21"/>
                <w:lang w:val="pt-BR"/>
              </w:rPr>
              <w:t>影响评价因子：</w:t>
            </w:r>
            <w:r w:rsidRPr="00661665">
              <w:rPr>
                <w:rFonts w:ascii="Times New Roman" w:hAnsi="Times New Roman"/>
                <w:b w:val="0"/>
                <w:sz w:val="21"/>
                <w:szCs w:val="21"/>
              </w:rPr>
              <w:t>等效连续</w:t>
            </w:r>
            <w:r w:rsidRPr="00661665">
              <w:rPr>
                <w:rFonts w:ascii="Times New Roman" w:hAnsi="Times New Roman"/>
                <w:b w:val="0"/>
                <w:sz w:val="21"/>
                <w:szCs w:val="21"/>
              </w:rPr>
              <w:t>A</w:t>
            </w:r>
            <w:r w:rsidRPr="00661665">
              <w:rPr>
                <w:rFonts w:ascii="Times New Roman" w:hAnsi="Times New Roman"/>
                <w:b w:val="0"/>
                <w:sz w:val="21"/>
                <w:szCs w:val="21"/>
              </w:rPr>
              <w:t>声级</w:t>
            </w:r>
          </w:p>
        </w:tc>
      </w:tr>
      <w:tr w:rsidR="00606029" w14:paraId="0A954539" w14:textId="77777777">
        <w:trPr>
          <w:trHeight w:val="340"/>
          <w:jc w:val="center"/>
        </w:trPr>
        <w:tc>
          <w:tcPr>
            <w:tcW w:w="1655" w:type="dxa"/>
            <w:tcBorders>
              <w:tl2br w:val="nil"/>
              <w:tr2bl w:val="nil"/>
            </w:tcBorders>
            <w:vAlign w:val="center"/>
          </w:tcPr>
          <w:p w14:paraId="4BF85CF7" w14:textId="77777777" w:rsidR="00606029" w:rsidRDefault="00EA5B92">
            <w:pPr>
              <w:pStyle w:val="afff0"/>
              <w:adjustRightInd w:val="0"/>
              <w:snapToGrid w:val="0"/>
              <w:spacing w:line="280" w:lineRule="exact"/>
              <w:rPr>
                <w:rFonts w:ascii="Times New Roman" w:hAnsi="Times New Roman"/>
                <w:b w:val="0"/>
                <w:sz w:val="21"/>
                <w:szCs w:val="21"/>
              </w:rPr>
            </w:pPr>
            <w:r>
              <w:rPr>
                <w:rFonts w:ascii="Times New Roman" w:hAnsi="Times New Roman"/>
                <w:b w:val="0"/>
                <w:sz w:val="21"/>
                <w:szCs w:val="21"/>
              </w:rPr>
              <w:t>固体废物</w:t>
            </w:r>
          </w:p>
        </w:tc>
        <w:tc>
          <w:tcPr>
            <w:tcW w:w="7407" w:type="dxa"/>
            <w:tcBorders>
              <w:tl2br w:val="nil"/>
              <w:tr2bl w:val="nil"/>
            </w:tcBorders>
            <w:vAlign w:val="center"/>
          </w:tcPr>
          <w:p w14:paraId="1213544A" w14:textId="20C96931" w:rsidR="00606029" w:rsidRPr="00661665" w:rsidRDefault="00EA5B92">
            <w:pPr>
              <w:pStyle w:val="afff0"/>
              <w:adjustRightInd w:val="0"/>
              <w:snapToGrid w:val="0"/>
              <w:spacing w:line="280" w:lineRule="exact"/>
              <w:rPr>
                <w:rFonts w:ascii="Times New Roman" w:hAnsi="Times New Roman"/>
                <w:b w:val="0"/>
                <w:sz w:val="21"/>
                <w:szCs w:val="21"/>
              </w:rPr>
            </w:pPr>
            <w:r w:rsidRPr="00661665">
              <w:rPr>
                <w:rFonts w:ascii="Times New Roman" w:hAnsi="Times New Roman"/>
                <w:b w:val="0"/>
                <w:sz w:val="21"/>
                <w:szCs w:val="21"/>
                <w:lang w:val="pt-BR"/>
              </w:rPr>
              <w:t>影响评价因子：</w:t>
            </w:r>
            <w:r w:rsidRPr="00661665">
              <w:rPr>
                <w:rFonts w:ascii="Times New Roman" w:hAnsi="Times New Roman"/>
                <w:b w:val="0"/>
                <w:sz w:val="21"/>
                <w:szCs w:val="21"/>
              </w:rPr>
              <w:t>危险废物</w:t>
            </w:r>
          </w:p>
        </w:tc>
      </w:tr>
      <w:tr w:rsidR="00606029" w14:paraId="03C56AAA" w14:textId="77777777">
        <w:trPr>
          <w:trHeight w:val="340"/>
          <w:jc w:val="center"/>
        </w:trPr>
        <w:tc>
          <w:tcPr>
            <w:tcW w:w="1655" w:type="dxa"/>
            <w:tcBorders>
              <w:tl2br w:val="nil"/>
              <w:tr2bl w:val="nil"/>
            </w:tcBorders>
            <w:vAlign w:val="center"/>
          </w:tcPr>
          <w:p w14:paraId="1B8D40E0" w14:textId="26E91909" w:rsidR="00606029" w:rsidRDefault="003914A1">
            <w:pPr>
              <w:pStyle w:val="afff0"/>
              <w:adjustRightInd w:val="0"/>
              <w:snapToGrid w:val="0"/>
              <w:spacing w:line="280" w:lineRule="exact"/>
              <w:rPr>
                <w:rFonts w:ascii="Times New Roman" w:hAnsi="Times New Roman"/>
                <w:b w:val="0"/>
                <w:sz w:val="21"/>
                <w:szCs w:val="21"/>
              </w:rPr>
            </w:pPr>
            <w:r>
              <w:rPr>
                <w:rFonts w:ascii="Times New Roman" w:hAnsi="Times New Roman" w:hint="eastAsia"/>
                <w:b w:val="0"/>
                <w:sz w:val="21"/>
                <w:szCs w:val="21"/>
              </w:rPr>
              <w:t>环境风险</w:t>
            </w:r>
          </w:p>
        </w:tc>
        <w:tc>
          <w:tcPr>
            <w:tcW w:w="7407" w:type="dxa"/>
            <w:tcBorders>
              <w:tl2br w:val="nil"/>
              <w:tr2bl w:val="nil"/>
            </w:tcBorders>
            <w:vAlign w:val="center"/>
          </w:tcPr>
          <w:p w14:paraId="14FE8873" w14:textId="30CB5F4E" w:rsidR="00606029" w:rsidRDefault="001F491B">
            <w:pPr>
              <w:widowControl/>
              <w:adjustRightInd w:val="0"/>
              <w:snapToGrid w:val="0"/>
              <w:spacing w:line="280" w:lineRule="exact"/>
              <w:jc w:val="center"/>
              <w:textAlignment w:val="center"/>
            </w:pPr>
            <w:r>
              <w:rPr>
                <w:rFonts w:hint="eastAsia"/>
              </w:rPr>
              <w:t>淋溶水</w:t>
            </w:r>
          </w:p>
        </w:tc>
      </w:tr>
    </w:tbl>
    <w:p w14:paraId="4799A8CA" w14:textId="77777777" w:rsidR="00606029" w:rsidRDefault="00EA5B92">
      <w:pPr>
        <w:pStyle w:val="2"/>
        <w:spacing w:beforeLines="50" w:before="120"/>
        <w:rPr>
          <w:bCs/>
        </w:rPr>
      </w:pPr>
      <w:bookmarkStart w:id="48" w:name="_Toc29690"/>
      <w:bookmarkStart w:id="49" w:name="_Toc16419"/>
      <w:bookmarkStart w:id="50" w:name="_Toc220680451"/>
      <w:r>
        <w:rPr>
          <w:bCs/>
        </w:rPr>
        <w:t>1.5</w:t>
      </w:r>
      <w:r>
        <w:rPr>
          <w:bCs/>
        </w:rPr>
        <w:t>评价标准</w:t>
      </w:r>
      <w:bookmarkEnd w:id="48"/>
      <w:bookmarkEnd w:id="49"/>
      <w:bookmarkEnd w:id="50"/>
    </w:p>
    <w:p w14:paraId="6CED2D97" w14:textId="77777777" w:rsidR="00606029" w:rsidRDefault="00EA5B92">
      <w:pPr>
        <w:pStyle w:val="3"/>
      </w:pPr>
      <w:bookmarkStart w:id="51" w:name="_Toc220680452"/>
      <w:r>
        <w:t>1.5.1</w:t>
      </w:r>
      <w:r>
        <w:t>环境质量标准</w:t>
      </w:r>
      <w:bookmarkEnd w:id="51"/>
    </w:p>
    <w:p w14:paraId="61FADC62" w14:textId="77777777" w:rsidR="00606029" w:rsidRDefault="00EA5B92">
      <w:pPr>
        <w:pStyle w:val="affffff4"/>
        <w:ind w:firstLine="482"/>
        <w:rPr>
          <w:b/>
          <w:bCs/>
        </w:rPr>
      </w:pPr>
      <w:r>
        <w:rPr>
          <w:b/>
          <w:bCs/>
        </w:rPr>
        <w:t>1</w:t>
      </w:r>
      <w:r>
        <w:rPr>
          <w:b/>
          <w:bCs/>
        </w:rPr>
        <w:t>、环境空气</w:t>
      </w:r>
    </w:p>
    <w:p w14:paraId="6FE59668" w14:textId="77777777" w:rsidR="00606029" w:rsidRDefault="00EA5B92">
      <w:pPr>
        <w:pStyle w:val="affffff4"/>
        <w:rPr>
          <w:szCs w:val="24"/>
        </w:rPr>
      </w:pPr>
      <w:r>
        <w:t>项目区属于二类功能区，</w:t>
      </w:r>
      <w:r>
        <w:rPr>
          <w:szCs w:val="24"/>
        </w:rPr>
        <w:t>区域环境空气中</w:t>
      </w:r>
      <w:r>
        <w:rPr>
          <w:szCs w:val="24"/>
        </w:rPr>
        <w:t>SO</w:t>
      </w:r>
      <w:r>
        <w:rPr>
          <w:szCs w:val="24"/>
          <w:vertAlign w:val="subscript"/>
        </w:rPr>
        <w:t>2</w:t>
      </w:r>
      <w:r>
        <w:rPr>
          <w:szCs w:val="24"/>
        </w:rPr>
        <w:t>、</w:t>
      </w:r>
      <w:r>
        <w:rPr>
          <w:szCs w:val="24"/>
        </w:rPr>
        <w:t>NO</w:t>
      </w:r>
      <w:r>
        <w:rPr>
          <w:szCs w:val="24"/>
          <w:vertAlign w:val="subscript"/>
        </w:rPr>
        <w:t>2</w:t>
      </w:r>
      <w:r>
        <w:rPr>
          <w:szCs w:val="24"/>
        </w:rPr>
        <w:t>、</w:t>
      </w:r>
      <w:r>
        <w:rPr>
          <w:szCs w:val="24"/>
        </w:rPr>
        <w:t>PM</w:t>
      </w:r>
      <w:r>
        <w:rPr>
          <w:szCs w:val="24"/>
          <w:vertAlign w:val="subscript"/>
        </w:rPr>
        <w:t>10</w:t>
      </w:r>
      <w:r>
        <w:rPr>
          <w:szCs w:val="24"/>
        </w:rPr>
        <w:t>、</w:t>
      </w:r>
      <w:r>
        <w:rPr>
          <w:szCs w:val="24"/>
        </w:rPr>
        <w:t>PM</w:t>
      </w:r>
      <w:r>
        <w:rPr>
          <w:szCs w:val="24"/>
          <w:vertAlign w:val="subscript"/>
        </w:rPr>
        <w:t>2.5</w:t>
      </w:r>
      <w:r>
        <w:rPr>
          <w:szCs w:val="24"/>
        </w:rPr>
        <w:t>、</w:t>
      </w:r>
      <w:r>
        <w:rPr>
          <w:szCs w:val="24"/>
        </w:rPr>
        <w:t>CO</w:t>
      </w:r>
      <w:r>
        <w:rPr>
          <w:szCs w:val="24"/>
        </w:rPr>
        <w:t>、</w:t>
      </w:r>
      <w:r>
        <w:rPr>
          <w:szCs w:val="24"/>
        </w:rPr>
        <w:t>TSP</w:t>
      </w:r>
      <w:r>
        <w:t>执行《环境空气质量标准》（</w:t>
      </w:r>
      <w:r>
        <w:t>GB3095-2012</w:t>
      </w:r>
      <w:r>
        <w:t>）二级标准及</w:t>
      </w:r>
      <w:r>
        <w:t>2018</w:t>
      </w:r>
      <w:r>
        <w:t>年修改单；</w:t>
      </w:r>
      <w:r>
        <w:rPr>
          <w:szCs w:val="24"/>
        </w:rPr>
        <w:t>H</w:t>
      </w:r>
      <w:r>
        <w:rPr>
          <w:szCs w:val="24"/>
          <w:vertAlign w:val="subscript"/>
        </w:rPr>
        <w:t>2</w:t>
      </w:r>
      <w:r>
        <w:rPr>
          <w:szCs w:val="24"/>
        </w:rPr>
        <w:t>S</w:t>
      </w:r>
      <w:r>
        <w:rPr>
          <w:szCs w:val="24"/>
        </w:rPr>
        <w:t>、</w:t>
      </w:r>
      <w:r>
        <w:rPr>
          <w:szCs w:val="24"/>
        </w:rPr>
        <w:t>NH</w:t>
      </w:r>
      <w:r>
        <w:rPr>
          <w:szCs w:val="24"/>
          <w:vertAlign w:val="subscript"/>
        </w:rPr>
        <w:t>3</w:t>
      </w:r>
      <w:r>
        <w:rPr>
          <w:szCs w:val="24"/>
        </w:rPr>
        <w:t>执行</w:t>
      </w:r>
      <w:r>
        <w:t>《环境影响评价技术导则</w:t>
      </w:r>
      <w:r>
        <w:t xml:space="preserve"> </w:t>
      </w:r>
      <w:r>
        <w:t>大气环境》（</w:t>
      </w:r>
      <w:r>
        <w:t>HJ2.2-2018</w:t>
      </w:r>
      <w:r>
        <w:t>）表</w:t>
      </w:r>
      <w:r>
        <w:t>D.1</w:t>
      </w:r>
      <w:r>
        <w:t>中其他污染物空气质量浓度参考限值；非甲烷总烃执行《大气污染物综合排放标准详解》中的环境背景浓度取值。具体标准限值见下表。</w:t>
      </w:r>
    </w:p>
    <w:p w14:paraId="55C808D1" w14:textId="77777777" w:rsidR="00606029" w:rsidRDefault="00EA5B92">
      <w:pPr>
        <w:pStyle w:val="affffff5"/>
      </w:pPr>
      <w:r>
        <w:t>表</w:t>
      </w:r>
      <w:r>
        <w:t xml:space="preserve"> 1.5-1 </w:t>
      </w:r>
      <w:r>
        <w:t>环境空气质量标准</w:t>
      </w:r>
    </w:p>
    <w:tbl>
      <w:tblPr>
        <w:tblW w:w="4998" w:type="pct"/>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4A0" w:firstRow="1" w:lastRow="0" w:firstColumn="1" w:lastColumn="0" w:noHBand="0" w:noVBand="1"/>
      </w:tblPr>
      <w:tblGrid>
        <w:gridCol w:w="2257"/>
        <w:gridCol w:w="1598"/>
        <w:gridCol w:w="1632"/>
        <w:gridCol w:w="1876"/>
        <w:gridCol w:w="1451"/>
      </w:tblGrid>
      <w:tr w:rsidR="00606029" w14:paraId="42D70B22" w14:textId="77777777">
        <w:trPr>
          <w:trHeight w:val="665"/>
        </w:trPr>
        <w:tc>
          <w:tcPr>
            <w:tcW w:w="1279" w:type="pct"/>
            <w:vMerge w:val="restart"/>
            <w:tcBorders>
              <w:top w:val="single" w:sz="10" w:space="0" w:color="000000"/>
              <w:left w:val="single" w:sz="10" w:space="0" w:color="000000"/>
              <w:bottom w:val="nil"/>
              <w:right w:val="single" w:sz="2" w:space="0" w:color="000000"/>
            </w:tcBorders>
            <w:vAlign w:val="center"/>
          </w:tcPr>
          <w:p w14:paraId="76072FA3" w14:textId="77777777" w:rsidR="00606029" w:rsidRDefault="00EA5B92">
            <w:pPr>
              <w:pStyle w:val="afff0"/>
              <w:adjustRightInd w:val="0"/>
              <w:snapToGrid w:val="0"/>
              <w:spacing w:line="280" w:lineRule="exact"/>
              <w:rPr>
                <w:rFonts w:ascii="Times New Roman" w:hAnsi="Times New Roman"/>
                <w:b w:val="0"/>
                <w:bCs/>
                <w:sz w:val="21"/>
                <w:szCs w:val="21"/>
              </w:rPr>
            </w:pPr>
            <w:r>
              <w:rPr>
                <w:rFonts w:ascii="Times New Roman" w:hAnsi="Times New Roman"/>
                <w:b w:val="0"/>
                <w:bCs/>
                <w:sz w:val="21"/>
                <w:szCs w:val="21"/>
              </w:rPr>
              <w:t>标准名称及代号</w:t>
            </w:r>
          </w:p>
        </w:tc>
        <w:tc>
          <w:tcPr>
            <w:tcW w:w="906" w:type="pct"/>
            <w:vMerge w:val="restart"/>
            <w:tcBorders>
              <w:top w:val="single" w:sz="10" w:space="0" w:color="000000"/>
              <w:left w:val="single" w:sz="2" w:space="0" w:color="000000"/>
              <w:bottom w:val="nil"/>
              <w:right w:val="single" w:sz="2" w:space="0" w:color="000000"/>
            </w:tcBorders>
            <w:vAlign w:val="center"/>
          </w:tcPr>
          <w:p w14:paraId="0CBB67C5" w14:textId="77777777" w:rsidR="00606029" w:rsidRDefault="00EA5B92">
            <w:pPr>
              <w:pStyle w:val="afff0"/>
              <w:adjustRightInd w:val="0"/>
              <w:snapToGrid w:val="0"/>
              <w:spacing w:line="280" w:lineRule="exact"/>
              <w:rPr>
                <w:rFonts w:ascii="Times New Roman" w:hAnsi="Times New Roman"/>
                <w:b w:val="0"/>
                <w:bCs/>
                <w:sz w:val="21"/>
                <w:szCs w:val="21"/>
              </w:rPr>
            </w:pPr>
            <w:r>
              <w:rPr>
                <w:rFonts w:ascii="Times New Roman" w:hAnsi="Times New Roman"/>
                <w:b w:val="0"/>
                <w:bCs/>
                <w:sz w:val="21"/>
                <w:szCs w:val="21"/>
              </w:rPr>
              <w:t>污染物</w:t>
            </w:r>
          </w:p>
        </w:tc>
        <w:tc>
          <w:tcPr>
            <w:tcW w:w="926" w:type="pct"/>
            <w:tcBorders>
              <w:top w:val="single" w:sz="10" w:space="0" w:color="000000"/>
              <w:left w:val="single" w:sz="2" w:space="0" w:color="000000"/>
              <w:bottom w:val="single" w:sz="2" w:space="0" w:color="000000"/>
              <w:right w:val="single" w:sz="2" w:space="0" w:color="000000"/>
            </w:tcBorders>
            <w:vAlign w:val="center"/>
          </w:tcPr>
          <w:p w14:paraId="0C88A53F" w14:textId="77777777" w:rsidR="00606029" w:rsidRDefault="00EA5B92">
            <w:pPr>
              <w:pStyle w:val="afff0"/>
              <w:adjustRightInd w:val="0"/>
              <w:snapToGrid w:val="0"/>
              <w:spacing w:line="280" w:lineRule="exact"/>
              <w:rPr>
                <w:rFonts w:ascii="Times New Roman" w:hAnsi="Times New Roman"/>
                <w:b w:val="0"/>
                <w:bCs/>
                <w:sz w:val="21"/>
                <w:szCs w:val="21"/>
              </w:rPr>
            </w:pPr>
            <w:r>
              <w:rPr>
                <w:rFonts w:ascii="Times New Roman" w:hAnsi="Times New Roman"/>
                <w:b w:val="0"/>
                <w:bCs/>
                <w:sz w:val="21"/>
                <w:szCs w:val="21"/>
              </w:rPr>
              <w:t>1</w:t>
            </w:r>
            <w:r>
              <w:rPr>
                <w:rFonts w:ascii="Times New Roman" w:hAnsi="Times New Roman"/>
                <w:b w:val="0"/>
                <w:bCs/>
                <w:sz w:val="21"/>
                <w:szCs w:val="21"/>
              </w:rPr>
              <w:t>小时（</w:t>
            </w:r>
            <w:r>
              <w:rPr>
                <w:rFonts w:ascii="Times New Roman" w:hAnsi="Times New Roman"/>
                <w:b w:val="0"/>
                <w:bCs/>
                <w:sz w:val="21"/>
                <w:szCs w:val="21"/>
              </w:rPr>
              <w:t>mg/m</w:t>
            </w:r>
            <w:r>
              <w:rPr>
                <w:rFonts w:ascii="Times New Roman" w:hAnsi="Times New Roman"/>
                <w:b w:val="0"/>
                <w:bCs/>
                <w:sz w:val="21"/>
                <w:szCs w:val="21"/>
                <w:vertAlign w:val="superscript"/>
              </w:rPr>
              <w:t>3</w:t>
            </w:r>
            <w:r>
              <w:rPr>
                <w:rFonts w:ascii="Times New Roman" w:hAnsi="Times New Roman"/>
                <w:b w:val="0"/>
                <w:bCs/>
                <w:sz w:val="21"/>
                <w:szCs w:val="21"/>
              </w:rPr>
              <w:t>）</w:t>
            </w:r>
          </w:p>
        </w:tc>
        <w:tc>
          <w:tcPr>
            <w:tcW w:w="1064" w:type="pct"/>
            <w:tcBorders>
              <w:top w:val="single" w:sz="10" w:space="0" w:color="000000"/>
              <w:left w:val="single" w:sz="2" w:space="0" w:color="000000"/>
              <w:bottom w:val="single" w:sz="2" w:space="0" w:color="000000"/>
              <w:right w:val="single" w:sz="2" w:space="0" w:color="000000"/>
            </w:tcBorders>
            <w:vAlign w:val="center"/>
          </w:tcPr>
          <w:p w14:paraId="71380999" w14:textId="77777777" w:rsidR="00606029" w:rsidRDefault="00EA5B92">
            <w:pPr>
              <w:pStyle w:val="afff0"/>
              <w:adjustRightInd w:val="0"/>
              <w:snapToGrid w:val="0"/>
              <w:spacing w:line="280" w:lineRule="exact"/>
              <w:rPr>
                <w:rFonts w:ascii="Times New Roman" w:hAnsi="Times New Roman"/>
                <w:b w:val="0"/>
                <w:bCs/>
                <w:sz w:val="21"/>
                <w:szCs w:val="21"/>
              </w:rPr>
            </w:pPr>
            <w:r>
              <w:rPr>
                <w:rFonts w:ascii="Times New Roman" w:hAnsi="Times New Roman"/>
                <w:b w:val="0"/>
                <w:bCs/>
                <w:sz w:val="21"/>
                <w:szCs w:val="21"/>
              </w:rPr>
              <w:t>日平均（</w:t>
            </w:r>
            <w:r>
              <w:rPr>
                <w:rFonts w:ascii="Times New Roman" w:hAnsi="Times New Roman"/>
                <w:b w:val="0"/>
                <w:bCs/>
                <w:sz w:val="21"/>
                <w:szCs w:val="21"/>
              </w:rPr>
              <w:t>mg/m</w:t>
            </w:r>
            <w:r>
              <w:rPr>
                <w:rFonts w:ascii="Times New Roman" w:hAnsi="Times New Roman"/>
                <w:b w:val="0"/>
                <w:bCs/>
                <w:sz w:val="21"/>
                <w:szCs w:val="21"/>
                <w:vertAlign w:val="superscript"/>
              </w:rPr>
              <w:t>3</w:t>
            </w:r>
            <w:r>
              <w:rPr>
                <w:rFonts w:ascii="Times New Roman" w:hAnsi="Times New Roman"/>
                <w:b w:val="0"/>
                <w:bCs/>
                <w:sz w:val="21"/>
                <w:szCs w:val="21"/>
              </w:rPr>
              <w:t>）（</w:t>
            </w:r>
            <w:r>
              <w:rPr>
                <w:rFonts w:ascii="Times New Roman" w:hAnsi="Times New Roman"/>
                <w:b w:val="0"/>
                <w:bCs/>
                <w:sz w:val="21"/>
                <w:szCs w:val="21"/>
              </w:rPr>
              <w:t>Pb</w:t>
            </w:r>
            <w:r>
              <w:rPr>
                <w:rFonts w:ascii="Times New Roman" w:hAnsi="Times New Roman"/>
                <w:b w:val="0"/>
                <w:bCs/>
                <w:sz w:val="21"/>
                <w:szCs w:val="21"/>
              </w:rPr>
              <w:t>为季平均值）</w:t>
            </w:r>
          </w:p>
        </w:tc>
        <w:tc>
          <w:tcPr>
            <w:tcW w:w="823" w:type="pct"/>
            <w:tcBorders>
              <w:top w:val="single" w:sz="10" w:space="0" w:color="000000"/>
              <w:left w:val="single" w:sz="2" w:space="0" w:color="000000"/>
              <w:bottom w:val="single" w:sz="2" w:space="0" w:color="000000"/>
              <w:right w:val="single" w:sz="10" w:space="0" w:color="000000"/>
            </w:tcBorders>
            <w:vAlign w:val="center"/>
          </w:tcPr>
          <w:p w14:paraId="0DD516C4" w14:textId="77777777" w:rsidR="00606029" w:rsidRDefault="00EA5B92">
            <w:pPr>
              <w:pStyle w:val="afff0"/>
              <w:adjustRightInd w:val="0"/>
              <w:snapToGrid w:val="0"/>
              <w:spacing w:line="280" w:lineRule="exact"/>
              <w:rPr>
                <w:rFonts w:ascii="Times New Roman" w:hAnsi="Times New Roman"/>
                <w:b w:val="0"/>
                <w:bCs/>
                <w:sz w:val="21"/>
                <w:szCs w:val="21"/>
              </w:rPr>
            </w:pPr>
            <w:r>
              <w:rPr>
                <w:rFonts w:ascii="Times New Roman" w:hAnsi="Times New Roman"/>
                <w:b w:val="0"/>
                <w:bCs/>
                <w:sz w:val="21"/>
                <w:szCs w:val="21"/>
              </w:rPr>
              <w:t>年平均（</w:t>
            </w:r>
            <w:r>
              <w:rPr>
                <w:rFonts w:ascii="Times New Roman" w:hAnsi="Times New Roman"/>
                <w:b w:val="0"/>
                <w:bCs/>
                <w:sz w:val="21"/>
                <w:szCs w:val="21"/>
              </w:rPr>
              <w:t>mg/m</w:t>
            </w:r>
            <w:r>
              <w:rPr>
                <w:rFonts w:ascii="Times New Roman" w:hAnsi="Times New Roman"/>
                <w:b w:val="0"/>
                <w:bCs/>
                <w:sz w:val="21"/>
                <w:szCs w:val="21"/>
                <w:vertAlign w:val="superscript"/>
              </w:rPr>
              <w:t>3</w:t>
            </w:r>
            <w:r>
              <w:rPr>
                <w:rFonts w:ascii="Times New Roman" w:hAnsi="Times New Roman"/>
                <w:b w:val="0"/>
                <w:bCs/>
                <w:sz w:val="21"/>
                <w:szCs w:val="21"/>
              </w:rPr>
              <w:t>，铬单位为</w:t>
            </w:r>
            <w:r>
              <w:rPr>
                <w:rFonts w:ascii="Times New Roman" w:hAnsi="Times New Roman"/>
                <w:b w:val="0"/>
                <w:bCs/>
                <w:sz w:val="21"/>
                <w:szCs w:val="21"/>
              </w:rPr>
              <w:t>μg/m</w:t>
            </w:r>
            <w:r>
              <w:rPr>
                <w:rFonts w:ascii="Times New Roman" w:hAnsi="Times New Roman"/>
                <w:b w:val="0"/>
                <w:bCs/>
                <w:sz w:val="21"/>
                <w:szCs w:val="21"/>
                <w:vertAlign w:val="superscript"/>
              </w:rPr>
              <w:t>3</w:t>
            </w:r>
            <w:r>
              <w:rPr>
                <w:rFonts w:ascii="Times New Roman" w:hAnsi="Times New Roman"/>
                <w:b w:val="0"/>
                <w:bCs/>
                <w:sz w:val="21"/>
                <w:szCs w:val="21"/>
              </w:rPr>
              <w:t>）</w:t>
            </w:r>
          </w:p>
        </w:tc>
      </w:tr>
      <w:tr w:rsidR="00606029" w14:paraId="2EC77DCF" w14:textId="77777777">
        <w:trPr>
          <w:trHeight w:val="224"/>
        </w:trPr>
        <w:tc>
          <w:tcPr>
            <w:tcW w:w="1279" w:type="pct"/>
            <w:vMerge/>
            <w:tcBorders>
              <w:top w:val="nil"/>
              <w:left w:val="single" w:sz="10" w:space="0" w:color="000000"/>
              <w:bottom w:val="single" w:sz="2" w:space="0" w:color="000000"/>
              <w:right w:val="single" w:sz="2" w:space="0" w:color="000000"/>
            </w:tcBorders>
            <w:vAlign w:val="center"/>
          </w:tcPr>
          <w:p w14:paraId="4ED2FE74" w14:textId="77777777" w:rsidR="00606029" w:rsidRDefault="00606029">
            <w:pPr>
              <w:pStyle w:val="afff0"/>
              <w:adjustRightInd w:val="0"/>
              <w:snapToGrid w:val="0"/>
              <w:spacing w:line="280" w:lineRule="exact"/>
              <w:rPr>
                <w:rFonts w:ascii="Times New Roman" w:hAnsi="Times New Roman"/>
                <w:b w:val="0"/>
                <w:bCs/>
                <w:sz w:val="21"/>
                <w:szCs w:val="21"/>
              </w:rPr>
            </w:pPr>
          </w:p>
        </w:tc>
        <w:tc>
          <w:tcPr>
            <w:tcW w:w="906" w:type="pct"/>
            <w:vMerge/>
            <w:tcBorders>
              <w:top w:val="nil"/>
              <w:left w:val="single" w:sz="2" w:space="0" w:color="000000"/>
              <w:bottom w:val="single" w:sz="2" w:space="0" w:color="000000"/>
              <w:right w:val="single" w:sz="2" w:space="0" w:color="000000"/>
            </w:tcBorders>
            <w:vAlign w:val="center"/>
          </w:tcPr>
          <w:p w14:paraId="0F787F96" w14:textId="77777777" w:rsidR="00606029" w:rsidRDefault="00606029">
            <w:pPr>
              <w:pStyle w:val="afff0"/>
              <w:adjustRightInd w:val="0"/>
              <w:snapToGrid w:val="0"/>
              <w:spacing w:line="280" w:lineRule="exact"/>
              <w:rPr>
                <w:rFonts w:ascii="Times New Roman" w:hAnsi="Times New Roman"/>
                <w:b w:val="0"/>
                <w:bCs/>
                <w:sz w:val="21"/>
                <w:szCs w:val="21"/>
              </w:rPr>
            </w:pPr>
          </w:p>
        </w:tc>
        <w:tc>
          <w:tcPr>
            <w:tcW w:w="926" w:type="pct"/>
            <w:tcBorders>
              <w:top w:val="single" w:sz="2" w:space="0" w:color="000000"/>
              <w:left w:val="single" w:sz="2" w:space="0" w:color="000000"/>
              <w:bottom w:val="single" w:sz="2" w:space="0" w:color="000000"/>
              <w:right w:val="single" w:sz="2" w:space="0" w:color="000000"/>
            </w:tcBorders>
            <w:vAlign w:val="center"/>
          </w:tcPr>
          <w:p w14:paraId="1CC34FFF" w14:textId="77777777" w:rsidR="00606029" w:rsidRDefault="00EA5B92">
            <w:pPr>
              <w:pStyle w:val="afff0"/>
              <w:adjustRightInd w:val="0"/>
              <w:snapToGrid w:val="0"/>
              <w:spacing w:line="280" w:lineRule="exact"/>
              <w:rPr>
                <w:rFonts w:ascii="Times New Roman" w:hAnsi="Times New Roman"/>
                <w:b w:val="0"/>
                <w:bCs/>
                <w:sz w:val="21"/>
                <w:szCs w:val="21"/>
              </w:rPr>
            </w:pPr>
            <w:r>
              <w:rPr>
                <w:rFonts w:ascii="Times New Roman" w:hAnsi="Times New Roman"/>
                <w:b w:val="0"/>
                <w:bCs/>
                <w:sz w:val="21"/>
                <w:szCs w:val="21"/>
              </w:rPr>
              <w:t>二级</w:t>
            </w:r>
          </w:p>
        </w:tc>
        <w:tc>
          <w:tcPr>
            <w:tcW w:w="1064" w:type="pct"/>
            <w:tcBorders>
              <w:top w:val="single" w:sz="2" w:space="0" w:color="000000"/>
              <w:left w:val="single" w:sz="2" w:space="0" w:color="000000"/>
              <w:bottom w:val="single" w:sz="2" w:space="0" w:color="000000"/>
              <w:right w:val="single" w:sz="2" w:space="0" w:color="000000"/>
            </w:tcBorders>
            <w:vAlign w:val="center"/>
          </w:tcPr>
          <w:p w14:paraId="0BE0AD73" w14:textId="77777777" w:rsidR="00606029" w:rsidRDefault="00EA5B92">
            <w:pPr>
              <w:pStyle w:val="afff0"/>
              <w:adjustRightInd w:val="0"/>
              <w:snapToGrid w:val="0"/>
              <w:spacing w:line="280" w:lineRule="exact"/>
              <w:rPr>
                <w:rFonts w:ascii="Times New Roman" w:hAnsi="Times New Roman"/>
                <w:b w:val="0"/>
                <w:bCs/>
                <w:sz w:val="21"/>
                <w:szCs w:val="21"/>
              </w:rPr>
            </w:pPr>
            <w:r>
              <w:rPr>
                <w:rFonts w:ascii="Times New Roman" w:hAnsi="Times New Roman"/>
                <w:b w:val="0"/>
                <w:bCs/>
                <w:sz w:val="21"/>
                <w:szCs w:val="21"/>
              </w:rPr>
              <w:t>二级</w:t>
            </w:r>
          </w:p>
        </w:tc>
        <w:tc>
          <w:tcPr>
            <w:tcW w:w="823" w:type="pct"/>
            <w:tcBorders>
              <w:top w:val="single" w:sz="2" w:space="0" w:color="000000"/>
              <w:left w:val="single" w:sz="2" w:space="0" w:color="000000"/>
              <w:bottom w:val="single" w:sz="2" w:space="0" w:color="000000"/>
              <w:right w:val="single" w:sz="10" w:space="0" w:color="000000"/>
            </w:tcBorders>
            <w:vAlign w:val="center"/>
          </w:tcPr>
          <w:p w14:paraId="456AD704" w14:textId="77777777" w:rsidR="00606029" w:rsidRDefault="00EA5B92">
            <w:pPr>
              <w:pStyle w:val="afff0"/>
              <w:adjustRightInd w:val="0"/>
              <w:snapToGrid w:val="0"/>
              <w:spacing w:line="280" w:lineRule="exact"/>
              <w:rPr>
                <w:rFonts w:ascii="Times New Roman" w:hAnsi="Times New Roman"/>
                <w:b w:val="0"/>
                <w:bCs/>
                <w:sz w:val="21"/>
                <w:szCs w:val="21"/>
              </w:rPr>
            </w:pPr>
            <w:r>
              <w:rPr>
                <w:rFonts w:ascii="Times New Roman" w:hAnsi="Times New Roman"/>
                <w:b w:val="0"/>
                <w:bCs/>
                <w:sz w:val="21"/>
                <w:szCs w:val="21"/>
              </w:rPr>
              <w:t>二级</w:t>
            </w:r>
          </w:p>
        </w:tc>
      </w:tr>
      <w:tr w:rsidR="00606029" w14:paraId="4C0EBB97" w14:textId="77777777">
        <w:trPr>
          <w:trHeight w:val="224"/>
        </w:trPr>
        <w:tc>
          <w:tcPr>
            <w:tcW w:w="1279" w:type="pct"/>
            <w:vMerge w:val="restart"/>
            <w:tcBorders>
              <w:top w:val="single" w:sz="2" w:space="0" w:color="000000"/>
              <w:left w:val="single" w:sz="10" w:space="0" w:color="000000"/>
              <w:bottom w:val="nil"/>
              <w:right w:val="single" w:sz="2" w:space="0" w:color="000000"/>
            </w:tcBorders>
            <w:vAlign w:val="center"/>
          </w:tcPr>
          <w:p w14:paraId="3632415F" w14:textId="77777777" w:rsidR="00606029" w:rsidRDefault="00EA5B92">
            <w:pPr>
              <w:pStyle w:val="afff0"/>
              <w:adjustRightInd w:val="0"/>
              <w:snapToGrid w:val="0"/>
              <w:spacing w:line="280" w:lineRule="exact"/>
              <w:rPr>
                <w:rFonts w:ascii="Times New Roman" w:hAnsi="Times New Roman"/>
                <w:b w:val="0"/>
                <w:bCs/>
                <w:sz w:val="21"/>
                <w:szCs w:val="21"/>
              </w:rPr>
            </w:pPr>
            <w:bookmarkStart w:id="52" w:name="OLE_LINK59"/>
            <w:r>
              <w:rPr>
                <w:rFonts w:ascii="Times New Roman" w:hAnsi="Times New Roman"/>
                <w:b w:val="0"/>
                <w:bCs/>
                <w:sz w:val="21"/>
                <w:szCs w:val="21"/>
              </w:rPr>
              <w:t>《环境空气质量标准》（</w:t>
            </w:r>
            <w:r>
              <w:rPr>
                <w:rFonts w:ascii="Times New Roman" w:hAnsi="Times New Roman"/>
                <w:b w:val="0"/>
                <w:bCs/>
                <w:sz w:val="21"/>
                <w:szCs w:val="21"/>
              </w:rPr>
              <w:t>GB3095-2012</w:t>
            </w:r>
            <w:r>
              <w:rPr>
                <w:rFonts w:ascii="Times New Roman" w:hAnsi="Times New Roman"/>
                <w:b w:val="0"/>
                <w:bCs/>
                <w:sz w:val="21"/>
                <w:szCs w:val="21"/>
              </w:rPr>
              <w:t>）二级标准及</w:t>
            </w:r>
            <w:r>
              <w:rPr>
                <w:rFonts w:ascii="Times New Roman" w:hAnsi="Times New Roman"/>
                <w:b w:val="0"/>
                <w:bCs/>
                <w:sz w:val="21"/>
                <w:szCs w:val="21"/>
              </w:rPr>
              <w:t>2018</w:t>
            </w:r>
            <w:r>
              <w:rPr>
                <w:rFonts w:ascii="Times New Roman" w:hAnsi="Times New Roman"/>
                <w:b w:val="0"/>
                <w:bCs/>
                <w:sz w:val="21"/>
                <w:szCs w:val="21"/>
              </w:rPr>
              <w:t>年修改单</w:t>
            </w:r>
            <w:bookmarkEnd w:id="52"/>
          </w:p>
        </w:tc>
        <w:tc>
          <w:tcPr>
            <w:tcW w:w="906" w:type="pct"/>
            <w:tcBorders>
              <w:top w:val="single" w:sz="2" w:space="0" w:color="000000"/>
              <w:left w:val="single" w:sz="2" w:space="0" w:color="000000"/>
              <w:bottom w:val="single" w:sz="2" w:space="0" w:color="000000"/>
              <w:right w:val="single" w:sz="2" w:space="0" w:color="000000"/>
            </w:tcBorders>
            <w:vAlign w:val="center"/>
          </w:tcPr>
          <w:p w14:paraId="4102A4D1" w14:textId="77777777" w:rsidR="00606029" w:rsidRDefault="00EA5B92">
            <w:pPr>
              <w:pStyle w:val="afff0"/>
              <w:adjustRightInd w:val="0"/>
              <w:snapToGrid w:val="0"/>
              <w:spacing w:line="280" w:lineRule="exact"/>
              <w:rPr>
                <w:rFonts w:ascii="Times New Roman" w:hAnsi="Times New Roman"/>
                <w:b w:val="0"/>
                <w:bCs/>
                <w:sz w:val="21"/>
                <w:szCs w:val="21"/>
              </w:rPr>
            </w:pPr>
            <w:r>
              <w:rPr>
                <w:rFonts w:ascii="Times New Roman" w:hAnsi="Times New Roman"/>
                <w:b w:val="0"/>
                <w:bCs/>
                <w:sz w:val="21"/>
                <w:szCs w:val="21"/>
              </w:rPr>
              <w:t>SO</w:t>
            </w:r>
            <w:r>
              <w:rPr>
                <w:rFonts w:ascii="Times New Roman" w:hAnsi="Times New Roman"/>
                <w:b w:val="0"/>
                <w:bCs/>
                <w:sz w:val="21"/>
                <w:szCs w:val="21"/>
                <w:vertAlign w:val="subscript"/>
              </w:rPr>
              <w:t>2</w:t>
            </w:r>
          </w:p>
        </w:tc>
        <w:tc>
          <w:tcPr>
            <w:tcW w:w="926" w:type="pct"/>
            <w:tcBorders>
              <w:top w:val="single" w:sz="2" w:space="0" w:color="000000"/>
              <w:left w:val="single" w:sz="2" w:space="0" w:color="000000"/>
              <w:bottom w:val="single" w:sz="2" w:space="0" w:color="000000"/>
              <w:right w:val="single" w:sz="2" w:space="0" w:color="000000"/>
            </w:tcBorders>
            <w:vAlign w:val="center"/>
          </w:tcPr>
          <w:p w14:paraId="1D79AE75" w14:textId="77777777" w:rsidR="00606029" w:rsidRDefault="00EA5B92">
            <w:pPr>
              <w:pStyle w:val="afff0"/>
              <w:adjustRightInd w:val="0"/>
              <w:snapToGrid w:val="0"/>
              <w:spacing w:line="280" w:lineRule="exact"/>
              <w:rPr>
                <w:rFonts w:ascii="Times New Roman" w:hAnsi="Times New Roman"/>
                <w:b w:val="0"/>
                <w:bCs/>
                <w:sz w:val="21"/>
                <w:szCs w:val="21"/>
              </w:rPr>
            </w:pPr>
            <w:r>
              <w:rPr>
                <w:rFonts w:ascii="Times New Roman" w:hAnsi="Times New Roman"/>
                <w:b w:val="0"/>
                <w:bCs/>
                <w:sz w:val="21"/>
                <w:szCs w:val="21"/>
              </w:rPr>
              <w:t>0.5</w:t>
            </w:r>
          </w:p>
        </w:tc>
        <w:tc>
          <w:tcPr>
            <w:tcW w:w="1064" w:type="pct"/>
            <w:tcBorders>
              <w:top w:val="single" w:sz="2" w:space="0" w:color="000000"/>
              <w:left w:val="single" w:sz="2" w:space="0" w:color="000000"/>
              <w:bottom w:val="single" w:sz="2" w:space="0" w:color="000000"/>
              <w:right w:val="single" w:sz="2" w:space="0" w:color="000000"/>
            </w:tcBorders>
            <w:vAlign w:val="center"/>
          </w:tcPr>
          <w:p w14:paraId="602691BF" w14:textId="77777777" w:rsidR="00606029" w:rsidRDefault="00EA5B92">
            <w:pPr>
              <w:pStyle w:val="afff0"/>
              <w:adjustRightInd w:val="0"/>
              <w:snapToGrid w:val="0"/>
              <w:spacing w:line="280" w:lineRule="exact"/>
              <w:rPr>
                <w:rFonts w:ascii="Times New Roman" w:hAnsi="Times New Roman"/>
                <w:b w:val="0"/>
                <w:bCs/>
                <w:sz w:val="21"/>
                <w:szCs w:val="21"/>
              </w:rPr>
            </w:pPr>
            <w:r>
              <w:rPr>
                <w:rFonts w:ascii="Times New Roman" w:hAnsi="Times New Roman"/>
                <w:b w:val="0"/>
                <w:bCs/>
                <w:sz w:val="21"/>
                <w:szCs w:val="21"/>
              </w:rPr>
              <w:t>0.15</w:t>
            </w:r>
          </w:p>
        </w:tc>
        <w:tc>
          <w:tcPr>
            <w:tcW w:w="823" w:type="pct"/>
            <w:tcBorders>
              <w:top w:val="single" w:sz="2" w:space="0" w:color="000000"/>
              <w:left w:val="single" w:sz="2" w:space="0" w:color="000000"/>
              <w:bottom w:val="single" w:sz="2" w:space="0" w:color="000000"/>
              <w:right w:val="single" w:sz="10" w:space="0" w:color="000000"/>
            </w:tcBorders>
            <w:vAlign w:val="center"/>
          </w:tcPr>
          <w:p w14:paraId="42B24505" w14:textId="77777777" w:rsidR="00606029" w:rsidRDefault="00EA5B92">
            <w:pPr>
              <w:pStyle w:val="afff0"/>
              <w:adjustRightInd w:val="0"/>
              <w:snapToGrid w:val="0"/>
              <w:spacing w:line="280" w:lineRule="exact"/>
              <w:rPr>
                <w:rFonts w:ascii="Times New Roman" w:hAnsi="Times New Roman"/>
                <w:b w:val="0"/>
                <w:bCs/>
                <w:sz w:val="21"/>
                <w:szCs w:val="21"/>
              </w:rPr>
            </w:pPr>
            <w:r>
              <w:rPr>
                <w:rFonts w:ascii="Times New Roman" w:hAnsi="Times New Roman"/>
                <w:b w:val="0"/>
                <w:bCs/>
                <w:sz w:val="21"/>
                <w:szCs w:val="21"/>
              </w:rPr>
              <w:t>0.06</w:t>
            </w:r>
          </w:p>
        </w:tc>
      </w:tr>
      <w:tr w:rsidR="00606029" w14:paraId="38D025C3" w14:textId="77777777">
        <w:trPr>
          <w:trHeight w:val="224"/>
        </w:trPr>
        <w:tc>
          <w:tcPr>
            <w:tcW w:w="1279" w:type="pct"/>
            <w:vMerge/>
            <w:tcBorders>
              <w:top w:val="nil"/>
              <w:left w:val="single" w:sz="10" w:space="0" w:color="000000"/>
              <w:bottom w:val="nil"/>
              <w:right w:val="single" w:sz="2" w:space="0" w:color="000000"/>
            </w:tcBorders>
            <w:vAlign w:val="center"/>
          </w:tcPr>
          <w:p w14:paraId="6C3F6379" w14:textId="77777777" w:rsidR="00606029" w:rsidRDefault="00606029">
            <w:pPr>
              <w:pStyle w:val="afff0"/>
              <w:adjustRightInd w:val="0"/>
              <w:snapToGrid w:val="0"/>
              <w:spacing w:line="280" w:lineRule="exact"/>
              <w:rPr>
                <w:rFonts w:ascii="Times New Roman" w:hAnsi="Times New Roman"/>
                <w:b w:val="0"/>
                <w:bCs/>
                <w:sz w:val="21"/>
                <w:szCs w:val="21"/>
              </w:rPr>
            </w:pPr>
          </w:p>
        </w:tc>
        <w:tc>
          <w:tcPr>
            <w:tcW w:w="906" w:type="pct"/>
            <w:tcBorders>
              <w:top w:val="single" w:sz="2" w:space="0" w:color="000000"/>
              <w:left w:val="single" w:sz="2" w:space="0" w:color="000000"/>
              <w:bottom w:val="single" w:sz="2" w:space="0" w:color="000000"/>
              <w:right w:val="single" w:sz="2" w:space="0" w:color="000000"/>
            </w:tcBorders>
            <w:vAlign w:val="center"/>
          </w:tcPr>
          <w:p w14:paraId="56D80E12" w14:textId="77777777" w:rsidR="00606029" w:rsidRDefault="00EA5B92">
            <w:pPr>
              <w:pStyle w:val="afff0"/>
              <w:adjustRightInd w:val="0"/>
              <w:snapToGrid w:val="0"/>
              <w:spacing w:line="280" w:lineRule="exact"/>
              <w:rPr>
                <w:rFonts w:ascii="Times New Roman" w:hAnsi="Times New Roman"/>
                <w:b w:val="0"/>
                <w:bCs/>
                <w:sz w:val="21"/>
                <w:szCs w:val="21"/>
              </w:rPr>
            </w:pPr>
            <w:r>
              <w:rPr>
                <w:rFonts w:ascii="Times New Roman" w:hAnsi="Times New Roman"/>
                <w:b w:val="0"/>
                <w:bCs/>
                <w:sz w:val="21"/>
                <w:szCs w:val="21"/>
              </w:rPr>
              <w:t>NO</w:t>
            </w:r>
            <w:r>
              <w:rPr>
                <w:rFonts w:ascii="Times New Roman" w:hAnsi="Times New Roman"/>
                <w:b w:val="0"/>
                <w:bCs/>
                <w:sz w:val="21"/>
                <w:szCs w:val="21"/>
                <w:vertAlign w:val="subscript"/>
              </w:rPr>
              <w:t>2</w:t>
            </w:r>
          </w:p>
        </w:tc>
        <w:tc>
          <w:tcPr>
            <w:tcW w:w="926" w:type="pct"/>
            <w:tcBorders>
              <w:top w:val="single" w:sz="2" w:space="0" w:color="000000"/>
              <w:left w:val="single" w:sz="2" w:space="0" w:color="000000"/>
              <w:bottom w:val="single" w:sz="2" w:space="0" w:color="000000"/>
              <w:right w:val="single" w:sz="2" w:space="0" w:color="000000"/>
            </w:tcBorders>
            <w:vAlign w:val="center"/>
          </w:tcPr>
          <w:p w14:paraId="39A09EC8" w14:textId="77777777" w:rsidR="00606029" w:rsidRDefault="00EA5B92">
            <w:pPr>
              <w:pStyle w:val="afff0"/>
              <w:adjustRightInd w:val="0"/>
              <w:snapToGrid w:val="0"/>
              <w:spacing w:line="280" w:lineRule="exact"/>
              <w:rPr>
                <w:rFonts w:ascii="Times New Roman" w:hAnsi="Times New Roman"/>
                <w:b w:val="0"/>
                <w:bCs/>
                <w:sz w:val="21"/>
                <w:szCs w:val="21"/>
              </w:rPr>
            </w:pPr>
            <w:r>
              <w:rPr>
                <w:rFonts w:ascii="Times New Roman" w:hAnsi="Times New Roman"/>
                <w:b w:val="0"/>
                <w:bCs/>
                <w:sz w:val="21"/>
                <w:szCs w:val="21"/>
              </w:rPr>
              <w:t>0.2</w:t>
            </w:r>
          </w:p>
        </w:tc>
        <w:tc>
          <w:tcPr>
            <w:tcW w:w="1064" w:type="pct"/>
            <w:tcBorders>
              <w:top w:val="single" w:sz="2" w:space="0" w:color="000000"/>
              <w:left w:val="single" w:sz="2" w:space="0" w:color="000000"/>
              <w:bottom w:val="single" w:sz="2" w:space="0" w:color="000000"/>
              <w:right w:val="single" w:sz="2" w:space="0" w:color="000000"/>
            </w:tcBorders>
            <w:vAlign w:val="center"/>
          </w:tcPr>
          <w:p w14:paraId="61F83B1E" w14:textId="77777777" w:rsidR="00606029" w:rsidRDefault="00EA5B92">
            <w:pPr>
              <w:pStyle w:val="afff0"/>
              <w:adjustRightInd w:val="0"/>
              <w:snapToGrid w:val="0"/>
              <w:spacing w:line="280" w:lineRule="exact"/>
              <w:rPr>
                <w:rFonts w:ascii="Times New Roman" w:hAnsi="Times New Roman"/>
                <w:b w:val="0"/>
                <w:bCs/>
                <w:sz w:val="21"/>
                <w:szCs w:val="21"/>
              </w:rPr>
            </w:pPr>
            <w:r>
              <w:rPr>
                <w:rFonts w:ascii="Times New Roman" w:hAnsi="Times New Roman"/>
                <w:b w:val="0"/>
                <w:bCs/>
                <w:sz w:val="21"/>
                <w:szCs w:val="21"/>
              </w:rPr>
              <w:t>0.08</w:t>
            </w:r>
          </w:p>
        </w:tc>
        <w:tc>
          <w:tcPr>
            <w:tcW w:w="823" w:type="pct"/>
            <w:tcBorders>
              <w:top w:val="single" w:sz="2" w:space="0" w:color="000000"/>
              <w:left w:val="single" w:sz="2" w:space="0" w:color="000000"/>
              <w:bottom w:val="single" w:sz="2" w:space="0" w:color="000000"/>
              <w:right w:val="single" w:sz="10" w:space="0" w:color="000000"/>
            </w:tcBorders>
            <w:vAlign w:val="center"/>
          </w:tcPr>
          <w:p w14:paraId="0B00CD49" w14:textId="77777777" w:rsidR="00606029" w:rsidRDefault="00EA5B92">
            <w:pPr>
              <w:pStyle w:val="afff0"/>
              <w:adjustRightInd w:val="0"/>
              <w:snapToGrid w:val="0"/>
              <w:spacing w:line="280" w:lineRule="exact"/>
              <w:rPr>
                <w:rFonts w:ascii="Times New Roman" w:hAnsi="Times New Roman"/>
                <w:b w:val="0"/>
                <w:bCs/>
                <w:sz w:val="21"/>
                <w:szCs w:val="21"/>
              </w:rPr>
            </w:pPr>
            <w:r>
              <w:rPr>
                <w:rFonts w:ascii="Times New Roman" w:hAnsi="Times New Roman"/>
                <w:b w:val="0"/>
                <w:bCs/>
                <w:sz w:val="21"/>
                <w:szCs w:val="21"/>
              </w:rPr>
              <w:t>0.04</w:t>
            </w:r>
          </w:p>
        </w:tc>
      </w:tr>
      <w:tr w:rsidR="00606029" w14:paraId="54ABDF38" w14:textId="77777777">
        <w:trPr>
          <w:trHeight w:val="224"/>
        </w:trPr>
        <w:tc>
          <w:tcPr>
            <w:tcW w:w="1279" w:type="pct"/>
            <w:vMerge/>
            <w:tcBorders>
              <w:top w:val="nil"/>
              <w:left w:val="single" w:sz="10" w:space="0" w:color="000000"/>
              <w:bottom w:val="nil"/>
              <w:right w:val="single" w:sz="2" w:space="0" w:color="000000"/>
            </w:tcBorders>
            <w:vAlign w:val="center"/>
          </w:tcPr>
          <w:p w14:paraId="2445852E" w14:textId="77777777" w:rsidR="00606029" w:rsidRDefault="00606029">
            <w:pPr>
              <w:pStyle w:val="afff0"/>
              <w:adjustRightInd w:val="0"/>
              <w:snapToGrid w:val="0"/>
              <w:spacing w:line="280" w:lineRule="exact"/>
              <w:rPr>
                <w:rFonts w:ascii="Times New Roman" w:hAnsi="Times New Roman"/>
                <w:b w:val="0"/>
                <w:bCs/>
                <w:sz w:val="21"/>
                <w:szCs w:val="21"/>
              </w:rPr>
            </w:pPr>
          </w:p>
        </w:tc>
        <w:tc>
          <w:tcPr>
            <w:tcW w:w="906" w:type="pct"/>
            <w:tcBorders>
              <w:top w:val="single" w:sz="2" w:space="0" w:color="000000"/>
              <w:left w:val="single" w:sz="2" w:space="0" w:color="000000"/>
              <w:bottom w:val="single" w:sz="2" w:space="0" w:color="000000"/>
              <w:right w:val="single" w:sz="2" w:space="0" w:color="000000"/>
            </w:tcBorders>
            <w:vAlign w:val="center"/>
          </w:tcPr>
          <w:p w14:paraId="1A12F94D" w14:textId="77777777" w:rsidR="00606029" w:rsidRDefault="00EA5B92">
            <w:pPr>
              <w:pStyle w:val="afff0"/>
              <w:adjustRightInd w:val="0"/>
              <w:snapToGrid w:val="0"/>
              <w:spacing w:line="280" w:lineRule="exact"/>
              <w:rPr>
                <w:rFonts w:ascii="Times New Roman" w:hAnsi="Times New Roman"/>
                <w:b w:val="0"/>
                <w:bCs/>
                <w:sz w:val="21"/>
                <w:szCs w:val="21"/>
              </w:rPr>
            </w:pPr>
            <w:r>
              <w:rPr>
                <w:rFonts w:ascii="Times New Roman" w:hAnsi="Times New Roman"/>
                <w:b w:val="0"/>
                <w:bCs/>
                <w:sz w:val="21"/>
                <w:szCs w:val="21"/>
              </w:rPr>
              <w:t>CO</w:t>
            </w:r>
          </w:p>
        </w:tc>
        <w:tc>
          <w:tcPr>
            <w:tcW w:w="926" w:type="pct"/>
            <w:tcBorders>
              <w:top w:val="single" w:sz="2" w:space="0" w:color="000000"/>
              <w:left w:val="single" w:sz="2" w:space="0" w:color="000000"/>
              <w:bottom w:val="single" w:sz="2" w:space="0" w:color="000000"/>
              <w:right w:val="single" w:sz="2" w:space="0" w:color="000000"/>
            </w:tcBorders>
            <w:vAlign w:val="center"/>
          </w:tcPr>
          <w:p w14:paraId="64F2AC4D" w14:textId="77777777" w:rsidR="00606029" w:rsidRDefault="00EA5B92">
            <w:pPr>
              <w:pStyle w:val="afff0"/>
              <w:adjustRightInd w:val="0"/>
              <w:snapToGrid w:val="0"/>
              <w:spacing w:line="280" w:lineRule="exact"/>
              <w:rPr>
                <w:rFonts w:ascii="Times New Roman" w:hAnsi="Times New Roman"/>
                <w:b w:val="0"/>
                <w:bCs/>
                <w:sz w:val="21"/>
                <w:szCs w:val="21"/>
              </w:rPr>
            </w:pPr>
            <w:r>
              <w:rPr>
                <w:rFonts w:ascii="Times New Roman" w:hAnsi="Times New Roman"/>
                <w:b w:val="0"/>
                <w:bCs/>
                <w:sz w:val="21"/>
                <w:szCs w:val="21"/>
              </w:rPr>
              <w:t>10</w:t>
            </w:r>
          </w:p>
        </w:tc>
        <w:tc>
          <w:tcPr>
            <w:tcW w:w="1064" w:type="pct"/>
            <w:tcBorders>
              <w:top w:val="single" w:sz="2" w:space="0" w:color="000000"/>
              <w:left w:val="single" w:sz="2" w:space="0" w:color="000000"/>
              <w:bottom w:val="single" w:sz="2" w:space="0" w:color="000000"/>
              <w:right w:val="single" w:sz="2" w:space="0" w:color="000000"/>
            </w:tcBorders>
            <w:vAlign w:val="center"/>
          </w:tcPr>
          <w:p w14:paraId="4CC9020E" w14:textId="77777777" w:rsidR="00606029" w:rsidRDefault="00EA5B92">
            <w:pPr>
              <w:pStyle w:val="afff0"/>
              <w:adjustRightInd w:val="0"/>
              <w:snapToGrid w:val="0"/>
              <w:spacing w:line="280" w:lineRule="exact"/>
              <w:rPr>
                <w:rFonts w:ascii="Times New Roman" w:hAnsi="Times New Roman"/>
                <w:b w:val="0"/>
                <w:bCs/>
                <w:sz w:val="21"/>
                <w:szCs w:val="21"/>
              </w:rPr>
            </w:pPr>
            <w:r>
              <w:rPr>
                <w:rFonts w:ascii="Times New Roman" w:hAnsi="Times New Roman"/>
                <w:b w:val="0"/>
                <w:bCs/>
                <w:sz w:val="21"/>
                <w:szCs w:val="21"/>
              </w:rPr>
              <w:t>4</w:t>
            </w:r>
          </w:p>
        </w:tc>
        <w:tc>
          <w:tcPr>
            <w:tcW w:w="823" w:type="pct"/>
            <w:tcBorders>
              <w:top w:val="single" w:sz="2" w:space="0" w:color="000000"/>
              <w:left w:val="single" w:sz="2" w:space="0" w:color="000000"/>
              <w:bottom w:val="single" w:sz="2" w:space="0" w:color="000000"/>
              <w:right w:val="single" w:sz="10" w:space="0" w:color="000000"/>
            </w:tcBorders>
            <w:vAlign w:val="center"/>
          </w:tcPr>
          <w:p w14:paraId="5660A522" w14:textId="77777777" w:rsidR="00606029" w:rsidRDefault="00EA5B92">
            <w:pPr>
              <w:pStyle w:val="afff0"/>
              <w:adjustRightInd w:val="0"/>
              <w:snapToGrid w:val="0"/>
              <w:spacing w:line="280" w:lineRule="exact"/>
              <w:rPr>
                <w:rFonts w:ascii="Times New Roman" w:hAnsi="Times New Roman"/>
                <w:b w:val="0"/>
                <w:bCs/>
                <w:sz w:val="21"/>
                <w:szCs w:val="21"/>
              </w:rPr>
            </w:pPr>
            <w:r>
              <w:rPr>
                <w:rFonts w:ascii="Times New Roman" w:hAnsi="Times New Roman"/>
                <w:b w:val="0"/>
                <w:bCs/>
                <w:sz w:val="21"/>
                <w:szCs w:val="21"/>
              </w:rPr>
              <w:t>/</w:t>
            </w:r>
          </w:p>
        </w:tc>
      </w:tr>
      <w:tr w:rsidR="00606029" w14:paraId="325D3FD8" w14:textId="77777777">
        <w:trPr>
          <w:trHeight w:val="224"/>
        </w:trPr>
        <w:tc>
          <w:tcPr>
            <w:tcW w:w="1279" w:type="pct"/>
            <w:vMerge/>
            <w:tcBorders>
              <w:top w:val="nil"/>
              <w:left w:val="single" w:sz="10" w:space="0" w:color="000000"/>
              <w:bottom w:val="nil"/>
              <w:right w:val="single" w:sz="2" w:space="0" w:color="000000"/>
            </w:tcBorders>
            <w:vAlign w:val="center"/>
          </w:tcPr>
          <w:p w14:paraId="609F4753" w14:textId="77777777" w:rsidR="00606029" w:rsidRDefault="00606029">
            <w:pPr>
              <w:pStyle w:val="afff0"/>
              <w:adjustRightInd w:val="0"/>
              <w:snapToGrid w:val="0"/>
              <w:spacing w:line="280" w:lineRule="exact"/>
              <w:rPr>
                <w:rFonts w:ascii="Times New Roman" w:hAnsi="Times New Roman"/>
                <w:b w:val="0"/>
                <w:bCs/>
                <w:sz w:val="21"/>
                <w:szCs w:val="21"/>
              </w:rPr>
            </w:pPr>
          </w:p>
        </w:tc>
        <w:tc>
          <w:tcPr>
            <w:tcW w:w="906" w:type="pct"/>
            <w:tcBorders>
              <w:top w:val="single" w:sz="2" w:space="0" w:color="000000"/>
              <w:left w:val="single" w:sz="2" w:space="0" w:color="000000"/>
              <w:bottom w:val="single" w:sz="2" w:space="0" w:color="000000"/>
              <w:right w:val="single" w:sz="2" w:space="0" w:color="000000"/>
            </w:tcBorders>
            <w:vAlign w:val="center"/>
          </w:tcPr>
          <w:p w14:paraId="59802F24" w14:textId="77777777" w:rsidR="00606029" w:rsidRDefault="00EA5B92">
            <w:pPr>
              <w:pStyle w:val="afff0"/>
              <w:adjustRightInd w:val="0"/>
              <w:snapToGrid w:val="0"/>
              <w:spacing w:line="280" w:lineRule="exact"/>
              <w:rPr>
                <w:rFonts w:ascii="Times New Roman" w:hAnsi="Times New Roman"/>
                <w:b w:val="0"/>
                <w:bCs/>
                <w:sz w:val="21"/>
                <w:szCs w:val="21"/>
              </w:rPr>
            </w:pPr>
            <w:r>
              <w:rPr>
                <w:rFonts w:ascii="Times New Roman" w:hAnsi="Times New Roman"/>
                <w:b w:val="0"/>
                <w:bCs/>
                <w:sz w:val="21"/>
                <w:szCs w:val="21"/>
              </w:rPr>
              <w:t>PM</w:t>
            </w:r>
            <w:r>
              <w:rPr>
                <w:rFonts w:ascii="Times New Roman" w:hAnsi="Times New Roman"/>
                <w:b w:val="0"/>
                <w:bCs/>
                <w:sz w:val="21"/>
                <w:szCs w:val="21"/>
                <w:vertAlign w:val="subscript"/>
              </w:rPr>
              <w:t>10</w:t>
            </w:r>
          </w:p>
        </w:tc>
        <w:tc>
          <w:tcPr>
            <w:tcW w:w="926" w:type="pct"/>
            <w:tcBorders>
              <w:top w:val="single" w:sz="2" w:space="0" w:color="000000"/>
              <w:left w:val="single" w:sz="2" w:space="0" w:color="000000"/>
              <w:bottom w:val="single" w:sz="2" w:space="0" w:color="000000"/>
              <w:right w:val="single" w:sz="2" w:space="0" w:color="000000"/>
            </w:tcBorders>
            <w:vAlign w:val="center"/>
          </w:tcPr>
          <w:p w14:paraId="259D58D0" w14:textId="77777777" w:rsidR="00606029" w:rsidRDefault="00EA5B92">
            <w:pPr>
              <w:pStyle w:val="afff0"/>
              <w:adjustRightInd w:val="0"/>
              <w:snapToGrid w:val="0"/>
              <w:spacing w:line="280" w:lineRule="exact"/>
              <w:rPr>
                <w:rFonts w:ascii="Times New Roman" w:hAnsi="Times New Roman"/>
                <w:b w:val="0"/>
                <w:bCs/>
                <w:sz w:val="21"/>
                <w:szCs w:val="21"/>
              </w:rPr>
            </w:pPr>
            <w:r>
              <w:rPr>
                <w:rFonts w:ascii="Times New Roman" w:hAnsi="Times New Roman"/>
                <w:b w:val="0"/>
                <w:bCs/>
                <w:sz w:val="21"/>
                <w:szCs w:val="21"/>
              </w:rPr>
              <w:t>/</w:t>
            </w:r>
          </w:p>
        </w:tc>
        <w:tc>
          <w:tcPr>
            <w:tcW w:w="1064" w:type="pct"/>
            <w:tcBorders>
              <w:top w:val="single" w:sz="2" w:space="0" w:color="000000"/>
              <w:left w:val="single" w:sz="2" w:space="0" w:color="000000"/>
              <w:bottom w:val="single" w:sz="2" w:space="0" w:color="000000"/>
              <w:right w:val="single" w:sz="2" w:space="0" w:color="000000"/>
            </w:tcBorders>
            <w:vAlign w:val="center"/>
          </w:tcPr>
          <w:p w14:paraId="2064EA26" w14:textId="77777777" w:rsidR="00606029" w:rsidRDefault="00EA5B92">
            <w:pPr>
              <w:pStyle w:val="afff0"/>
              <w:adjustRightInd w:val="0"/>
              <w:snapToGrid w:val="0"/>
              <w:spacing w:line="280" w:lineRule="exact"/>
              <w:rPr>
                <w:rFonts w:ascii="Times New Roman" w:hAnsi="Times New Roman"/>
                <w:b w:val="0"/>
                <w:bCs/>
                <w:sz w:val="21"/>
                <w:szCs w:val="21"/>
              </w:rPr>
            </w:pPr>
            <w:r>
              <w:rPr>
                <w:rFonts w:ascii="Times New Roman" w:hAnsi="Times New Roman"/>
                <w:b w:val="0"/>
                <w:bCs/>
                <w:sz w:val="21"/>
                <w:szCs w:val="21"/>
              </w:rPr>
              <w:t>0.15</w:t>
            </w:r>
          </w:p>
        </w:tc>
        <w:tc>
          <w:tcPr>
            <w:tcW w:w="823" w:type="pct"/>
            <w:tcBorders>
              <w:top w:val="single" w:sz="2" w:space="0" w:color="000000"/>
              <w:left w:val="single" w:sz="2" w:space="0" w:color="000000"/>
              <w:bottom w:val="single" w:sz="2" w:space="0" w:color="000000"/>
              <w:right w:val="single" w:sz="10" w:space="0" w:color="000000"/>
            </w:tcBorders>
            <w:vAlign w:val="center"/>
          </w:tcPr>
          <w:p w14:paraId="5A776B53" w14:textId="77777777" w:rsidR="00606029" w:rsidRDefault="00EA5B92">
            <w:pPr>
              <w:pStyle w:val="afff0"/>
              <w:adjustRightInd w:val="0"/>
              <w:snapToGrid w:val="0"/>
              <w:spacing w:line="280" w:lineRule="exact"/>
              <w:rPr>
                <w:rFonts w:ascii="Times New Roman" w:hAnsi="Times New Roman"/>
                <w:b w:val="0"/>
                <w:bCs/>
                <w:sz w:val="21"/>
                <w:szCs w:val="21"/>
              </w:rPr>
            </w:pPr>
            <w:r>
              <w:rPr>
                <w:rFonts w:ascii="Times New Roman" w:hAnsi="Times New Roman"/>
                <w:b w:val="0"/>
                <w:bCs/>
                <w:sz w:val="21"/>
                <w:szCs w:val="21"/>
              </w:rPr>
              <w:t>0.07</w:t>
            </w:r>
          </w:p>
        </w:tc>
      </w:tr>
      <w:tr w:rsidR="00606029" w14:paraId="1FE95829" w14:textId="77777777">
        <w:trPr>
          <w:trHeight w:val="222"/>
        </w:trPr>
        <w:tc>
          <w:tcPr>
            <w:tcW w:w="1279" w:type="pct"/>
            <w:vMerge/>
            <w:tcBorders>
              <w:top w:val="nil"/>
              <w:left w:val="single" w:sz="10" w:space="0" w:color="000000"/>
              <w:bottom w:val="nil"/>
              <w:right w:val="single" w:sz="2" w:space="0" w:color="000000"/>
            </w:tcBorders>
            <w:vAlign w:val="center"/>
          </w:tcPr>
          <w:p w14:paraId="3E672280" w14:textId="77777777" w:rsidR="00606029" w:rsidRDefault="00606029">
            <w:pPr>
              <w:pStyle w:val="afff0"/>
              <w:adjustRightInd w:val="0"/>
              <w:snapToGrid w:val="0"/>
              <w:spacing w:line="280" w:lineRule="exact"/>
              <w:rPr>
                <w:rFonts w:ascii="Times New Roman" w:hAnsi="Times New Roman"/>
                <w:b w:val="0"/>
                <w:bCs/>
                <w:sz w:val="21"/>
                <w:szCs w:val="21"/>
              </w:rPr>
            </w:pPr>
          </w:p>
        </w:tc>
        <w:tc>
          <w:tcPr>
            <w:tcW w:w="906" w:type="pct"/>
            <w:tcBorders>
              <w:top w:val="single" w:sz="2" w:space="0" w:color="000000"/>
              <w:left w:val="single" w:sz="2" w:space="0" w:color="000000"/>
              <w:bottom w:val="single" w:sz="2" w:space="0" w:color="000000"/>
              <w:right w:val="single" w:sz="2" w:space="0" w:color="000000"/>
            </w:tcBorders>
            <w:vAlign w:val="center"/>
          </w:tcPr>
          <w:p w14:paraId="15A36AF5" w14:textId="77777777" w:rsidR="00606029" w:rsidRDefault="00EA5B92">
            <w:pPr>
              <w:pStyle w:val="afff0"/>
              <w:adjustRightInd w:val="0"/>
              <w:snapToGrid w:val="0"/>
              <w:spacing w:line="280" w:lineRule="exact"/>
              <w:rPr>
                <w:rFonts w:ascii="Times New Roman" w:hAnsi="Times New Roman"/>
                <w:b w:val="0"/>
                <w:bCs/>
                <w:sz w:val="21"/>
                <w:szCs w:val="21"/>
              </w:rPr>
            </w:pPr>
            <w:r>
              <w:rPr>
                <w:rFonts w:ascii="Times New Roman" w:hAnsi="Times New Roman"/>
                <w:b w:val="0"/>
                <w:bCs/>
                <w:sz w:val="21"/>
                <w:szCs w:val="21"/>
              </w:rPr>
              <w:t>PM</w:t>
            </w:r>
            <w:r>
              <w:rPr>
                <w:rFonts w:ascii="Times New Roman" w:hAnsi="Times New Roman"/>
                <w:b w:val="0"/>
                <w:bCs/>
                <w:sz w:val="21"/>
                <w:szCs w:val="21"/>
                <w:vertAlign w:val="subscript"/>
              </w:rPr>
              <w:t>2.5</w:t>
            </w:r>
          </w:p>
        </w:tc>
        <w:tc>
          <w:tcPr>
            <w:tcW w:w="926" w:type="pct"/>
            <w:tcBorders>
              <w:top w:val="single" w:sz="2" w:space="0" w:color="000000"/>
              <w:left w:val="single" w:sz="2" w:space="0" w:color="000000"/>
              <w:bottom w:val="single" w:sz="2" w:space="0" w:color="000000"/>
              <w:right w:val="single" w:sz="2" w:space="0" w:color="000000"/>
            </w:tcBorders>
            <w:vAlign w:val="center"/>
          </w:tcPr>
          <w:p w14:paraId="394B0668" w14:textId="77777777" w:rsidR="00606029" w:rsidRDefault="00EA5B92">
            <w:pPr>
              <w:pStyle w:val="afff0"/>
              <w:adjustRightInd w:val="0"/>
              <w:snapToGrid w:val="0"/>
              <w:spacing w:line="280" w:lineRule="exact"/>
              <w:rPr>
                <w:rFonts w:ascii="Times New Roman" w:hAnsi="Times New Roman"/>
                <w:b w:val="0"/>
                <w:bCs/>
                <w:sz w:val="21"/>
                <w:szCs w:val="21"/>
              </w:rPr>
            </w:pPr>
            <w:r>
              <w:rPr>
                <w:rFonts w:ascii="Times New Roman" w:hAnsi="Times New Roman"/>
                <w:b w:val="0"/>
                <w:bCs/>
                <w:sz w:val="21"/>
                <w:szCs w:val="21"/>
              </w:rPr>
              <w:t>/</w:t>
            </w:r>
          </w:p>
        </w:tc>
        <w:tc>
          <w:tcPr>
            <w:tcW w:w="1064" w:type="pct"/>
            <w:tcBorders>
              <w:top w:val="single" w:sz="2" w:space="0" w:color="000000"/>
              <w:left w:val="single" w:sz="2" w:space="0" w:color="000000"/>
              <w:bottom w:val="single" w:sz="2" w:space="0" w:color="000000"/>
              <w:right w:val="single" w:sz="2" w:space="0" w:color="000000"/>
            </w:tcBorders>
            <w:vAlign w:val="center"/>
          </w:tcPr>
          <w:p w14:paraId="0E418F9D" w14:textId="77777777" w:rsidR="00606029" w:rsidRDefault="00EA5B92">
            <w:pPr>
              <w:pStyle w:val="afff0"/>
              <w:adjustRightInd w:val="0"/>
              <w:snapToGrid w:val="0"/>
              <w:spacing w:line="280" w:lineRule="exact"/>
              <w:rPr>
                <w:rFonts w:ascii="Times New Roman" w:hAnsi="Times New Roman"/>
                <w:b w:val="0"/>
                <w:bCs/>
                <w:sz w:val="21"/>
                <w:szCs w:val="21"/>
              </w:rPr>
            </w:pPr>
            <w:r>
              <w:rPr>
                <w:rFonts w:ascii="Times New Roman" w:hAnsi="Times New Roman"/>
                <w:b w:val="0"/>
                <w:bCs/>
                <w:sz w:val="21"/>
                <w:szCs w:val="21"/>
              </w:rPr>
              <w:t>0.075</w:t>
            </w:r>
          </w:p>
        </w:tc>
        <w:tc>
          <w:tcPr>
            <w:tcW w:w="823" w:type="pct"/>
            <w:tcBorders>
              <w:top w:val="single" w:sz="2" w:space="0" w:color="000000"/>
              <w:left w:val="single" w:sz="2" w:space="0" w:color="000000"/>
              <w:bottom w:val="single" w:sz="2" w:space="0" w:color="000000"/>
              <w:right w:val="single" w:sz="10" w:space="0" w:color="000000"/>
            </w:tcBorders>
            <w:vAlign w:val="center"/>
          </w:tcPr>
          <w:p w14:paraId="042F269F" w14:textId="77777777" w:rsidR="00606029" w:rsidRDefault="00EA5B92">
            <w:pPr>
              <w:pStyle w:val="afff0"/>
              <w:adjustRightInd w:val="0"/>
              <w:snapToGrid w:val="0"/>
              <w:spacing w:line="280" w:lineRule="exact"/>
              <w:rPr>
                <w:rFonts w:ascii="Times New Roman" w:hAnsi="Times New Roman"/>
                <w:b w:val="0"/>
                <w:bCs/>
                <w:sz w:val="21"/>
                <w:szCs w:val="21"/>
              </w:rPr>
            </w:pPr>
            <w:r>
              <w:rPr>
                <w:rFonts w:ascii="Times New Roman" w:hAnsi="Times New Roman"/>
                <w:b w:val="0"/>
                <w:bCs/>
                <w:sz w:val="21"/>
                <w:szCs w:val="21"/>
              </w:rPr>
              <w:t>0.035</w:t>
            </w:r>
          </w:p>
        </w:tc>
      </w:tr>
      <w:tr w:rsidR="00606029" w14:paraId="03B8313B" w14:textId="77777777">
        <w:trPr>
          <w:trHeight w:val="225"/>
        </w:trPr>
        <w:tc>
          <w:tcPr>
            <w:tcW w:w="1279" w:type="pct"/>
            <w:vMerge/>
            <w:tcBorders>
              <w:top w:val="nil"/>
              <w:left w:val="single" w:sz="10" w:space="0" w:color="000000"/>
              <w:bottom w:val="nil"/>
              <w:right w:val="single" w:sz="2" w:space="0" w:color="000000"/>
            </w:tcBorders>
            <w:vAlign w:val="center"/>
          </w:tcPr>
          <w:p w14:paraId="55E7F1CA" w14:textId="77777777" w:rsidR="00606029" w:rsidRDefault="00606029">
            <w:pPr>
              <w:pStyle w:val="afff0"/>
              <w:adjustRightInd w:val="0"/>
              <w:snapToGrid w:val="0"/>
              <w:spacing w:line="280" w:lineRule="exact"/>
              <w:rPr>
                <w:rFonts w:ascii="Times New Roman" w:hAnsi="Times New Roman"/>
                <w:b w:val="0"/>
                <w:bCs/>
                <w:sz w:val="21"/>
                <w:szCs w:val="21"/>
              </w:rPr>
            </w:pPr>
          </w:p>
        </w:tc>
        <w:tc>
          <w:tcPr>
            <w:tcW w:w="906" w:type="pct"/>
            <w:tcBorders>
              <w:top w:val="single" w:sz="2" w:space="0" w:color="000000"/>
              <w:left w:val="single" w:sz="2" w:space="0" w:color="000000"/>
              <w:bottom w:val="single" w:sz="2" w:space="0" w:color="000000"/>
              <w:right w:val="single" w:sz="2" w:space="0" w:color="000000"/>
            </w:tcBorders>
            <w:vAlign w:val="center"/>
          </w:tcPr>
          <w:p w14:paraId="3E33A481" w14:textId="77777777" w:rsidR="00606029" w:rsidRDefault="00EA5B92">
            <w:pPr>
              <w:pStyle w:val="afff0"/>
              <w:adjustRightInd w:val="0"/>
              <w:snapToGrid w:val="0"/>
              <w:spacing w:line="280" w:lineRule="exact"/>
              <w:rPr>
                <w:rFonts w:ascii="Times New Roman" w:hAnsi="Times New Roman"/>
                <w:b w:val="0"/>
                <w:bCs/>
                <w:sz w:val="21"/>
                <w:szCs w:val="21"/>
              </w:rPr>
            </w:pPr>
            <w:r>
              <w:rPr>
                <w:rFonts w:ascii="Times New Roman" w:hAnsi="Times New Roman"/>
                <w:b w:val="0"/>
                <w:bCs/>
                <w:sz w:val="21"/>
                <w:szCs w:val="21"/>
              </w:rPr>
              <w:t>TSP</w:t>
            </w:r>
          </w:p>
        </w:tc>
        <w:tc>
          <w:tcPr>
            <w:tcW w:w="926" w:type="pct"/>
            <w:tcBorders>
              <w:top w:val="single" w:sz="2" w:space="0" w:color="000000"/>
              <w:left w:val="single" w:sz="2" w:space="0" w:color="000000"/>
              <w:bottom w:val="single" w:sz="2" w:space="0" w:color="000000"/>
              <w:right w:val="single" w:sz="2" w:space="0" w:color="000000"/>
            </w:tcBorders>
            <w:vAlign w:val="center"/>
          </w:tcPr>
          <w:p w14:paraId="5E3AC5B3" w14:textId="77777777" w:rsidR="00606029" w:rsidRDefault="00EA5B92">
            <w:pPr>
              <w:pStyle w:val="afff0"/>
              <w:adjustRightInd w:val="0"/>
              <w:snapToGrid w:val="0"/>
              <w:spacing w:line="280" w:lineRule="exact"/>
              <w:rPr>
                <w:rFonts w:ascii="Times New Roman" w:hAnsi="Times New Roman"/>
                <w:b w:val="0"/>
                <w:bCs/>
                <w:sz w:val="21"/>
                <w:szCs w:val="21"/>
              </w:rPr>
            </w:pPr>
            <w:r>
              <w:rPr>
                <w:rFonts w:ascii="Times New Roman" w:hAnsi="Times New Roman"/>
                <w:b w:val="0"/>
                <w:bCs/>
                <w:sz w:val="21"/>
                <w:szCs w:val="21"/>
              </w:rPr>
              <w:t>/</w:t>
            </w:r>
          </w:p>
        </w:tc>
        <w:tc>
          <w:tcPr>
            <w:tcW w:w="1064" w:type="pct"/>
            <w:tcBorders>
              <w:top w:val="single" w:sz="2" w:space="0" w:color="000000"/>
              <w:left w:val="single" w:sz="2" w:space="0" w:color="000000"/>
              <w:bottom w:val="single" w:sz="2" w:space="0" w:color="000000"/>
              <w:right w:val="single" w:sz="2" w:space="0" w:color="000000"/>
            </w:tcBorders>
            <w:vAlign w:val="center"/>
          </w:tcPr>
          <w:p w14:paraId="0FBF3FE5" w14:textId="77777777" w:rsidR="00606029" w:rsidRDefault="00EA5B92">
            <w:pPr>
              <w:pStyle w:val="afff0"/>
              <w:adjustRightInd w:val="0"/>
              <w:snapToGrid w:val="0"/>
              <w:spacing w:line="280" w:lineRule="exact"/>
              <w:rPr>
                <w:rFonts w:ascii="Times New Roman" w:hAnsi="Times New Roman"/>
                <w:b w:val="0"/>
                <w:bCs/>
                <w:sz w:val="21"/>
                <w:szCs w:val="21"/>
              </w:rPr>
            </w:pPr>
            <w:r>
              <w:rPr>
                <w:rFonts w:ascii="Times New Roman" w:hAnsi="Times New Roman"/>
                <w:b w:val="0"/>
                <w:bCs/>
                <w:sz w:val="21"/>
                <w:szCs w:val="21"/>
              </w:rPr>
              <w:t>0.3</w:t>
            </w:r>
          </w:p>
        </w:tc>
        <w:tc>
          <w:tcPr>
            <w:tcW w:w="823" w:type="pct"/>
            <w:tcBorders>
              <w:top w:val="single" w:sz="2" w:space="0" w:color="000000"/>
              <w:left w:val="single" w:sz="2" w:space="0" w:color="000000"/>
              <w:bottom w:val="single" w:sz="2" w:space="0" w:color="000000"/>
              <w:right w:val="single" w:sz="10" w:space="0" w:color="000000"/>
            </w:tcBorders>
            <w:vAlign w:val="center"/>
          </w:tcPr>
          <w:p w14:paraId="3702DBD4" w14:textId="77777777" w:rsidR="00606029" w:rsidRDefault="00EA5B92">
            <w:pPr>
              <w:pStyle w:val="afff0"/>
              <w:adjustRightInd w:val="0"/>
              <w:snapToGrid w:val="0"/>
              <w:spacing w:line="280" w:lineRule="exact"/>
              <w:rPr>
                <w:rFonts w:ascii="Times New Roman" w:hAnsi="Times New Roman"/>
                <w:b w:val="0"/>
                <w:bCs/>
                <w:sz w:val="21"/>
                <w:szCs w:val="21"/>
              </w:rPr>
            </w:pPr>
            <w:r>
              <w:rPr>
                <w:rFonts w:ascii="Times New Roman" w:hAnsi="Times New Roman"/>
                <w:b w:val="0"/>
                <w:bCs/>
                <w:sz w:val="21"/>
                <w:szCs w:val="21"/>
              </w:rPr>
              <w:t>0.2</w:t>
            </w:r>
          </w:p>
        </w:tc>
      </w:tr>
      <w:tr w:rsidR="00606029" w14:paraId="277E3996" w14:textId="77777777">
        <w:trPr>
          <w:trHeight w:val="224"/>
        </w:trPr>
        <w:tc>
          <w:tcPr>
            <w:tcW w:w="1279" w:type="pct"/>
            <w:vMerge/>
            <w:tcBorders>
              <w:top w:val="nil"/>
              <w:left w:val="single" w:sz="10" w:space="0" w:color="000000"/>
              <w:bottom w:val="nil"/>
              <w:right w:val="single" w:sz="2" w:space="0" w:color="000000"/>
            </w:tcBorders>
            <w:vAlign w:val="center"/>
          </w:tcPr>
          <w:p w14:paraId="4C455669" w14:textId="77777777" w:rsidR="00606029" w:rsidRDefault="00606029">
            <w:pPr>
              <w:pStyle w:val="afff0"/>
              <w:adjustRightInd w:val="0"/>
              <w:snapToGrid w:val="0"/>
              <w:spacing w:line="280" w:lineRule="exact"/>
              <w:rPr>
                <w:rFonts w:ascii="Times New Roman" w:hAnsi="Times New Roman"/>
                <w:b w:val="0"/>
                <w:bCs/>
                <w:sz w:val="21"/>
                <w:szCs w:val="21"/>
              </w:rPr>
            </w:pPr>
          </w:p>
        </w:tc>
        <w:tc>
          <w:tcPr>
            <w:tcW w:w="906" w:type="pct"/>
            <w:tcBorders>
              <w:top w:val="single" w:sz="2" w:space="0" w:color="000000"/>
              <w:left w:val="single" w:sz="2" w:space="0" w:color="000000"/>
              <w:bottom w:val="single" w:sz="2" w:space="0" w:color="000000"/>
              <w:right w:val="single" w:sz="2" w:space="0" w:color="000000"/>
            </w:tcBorders>
            <w:vAlign w:val="center"/>
          </w:tcPr>
          <w:p w14:paraId="1B10D9E8" w14:textId="77777777" w:rsidR="00606029" w:rsidRDefault="00EA5B92">
            <w:pPr>
              <w:pStyle w:val="afff0"/>
              <w:adjustRightInd w:val="0"/>
              <w:snapToGrid w:val="0"/>
              <w:spacing w:line="280" w:lineRule="exact"/>
              <w:rPr>
                <w:rFonts w:ascii="Times New Roman" w:hAnsi="Times New Roman"/>
                <w:b w:val="0"/>
                <w:bCs/>
                <w:sz w:val="21"/>
                <w:szCs w:val="21"/>
              </w:rPr>
            </w:pPr>
            <w:r>
              <w:rPr>
                <w:rFonts w:ascii="Times New Roman" w:hAnsi="Times New Roman"/>
                <w:b w:val="0"/>
                <w:bCs/>
                <w:sz w:val="21"/>
                <w:szCs w:val="21"/>
              </w:rPr>
              <w:t>O</w:t>
            </w:r>
            <w:r>
              <w:rPr>
                <w:rFonts w:ascii="Times New Roman" w:hAnsi="Times New Roman"/>
                <w:b w:val="0"/>
                <w:bCs/>
                <w:sz w:val="21"/>
                <w:szCs w:val="21"/>
                <w:vertAlign w:val="subscript"/>
              </w:rPr>
              <w:t>3</w:t>
            </w:r>
          </w:p>
        </w:tc>
        <w:tc>
          <w:tcPr>
            <w:tcW w:w="926" w:type="pct"/>
            <w:tcBorders>
              <w:top w:val="single" w:sz="2" w:space="0" w:color="000000"/>
              <w:left w:val="single" w:sz="2" w:space="0" w:color="000000"/>
              <w:bottom w:val="single" w:sz="2" w:space="0" w:color="000000"/>
              <w:right w:val="single" w:sz="2" w:space="0" w:color="000000"/>
            </w:tcBorders>
            <w:vAlign w:val="center"/>
          </w:tcPr>
          <w:p w14:paraId="70845200" w14:textId="77777777" w:rsidR="00606029" w:rsidRDefault="00EA5B92">
            <w:pPr>
              <w:pStyle w:val="afff0"/>
              <w:adjustRightInd w:val="0"/>
              <w:snapToGrid w:val="0"/>
              <w:spacing w:line="280" w:lineRule="exact"/>
              <w:rPr>
                <w:rFonts w:ascii="Times New Roman" w:hAnsi="Times New Roman"/>
                <w:b w:val="0"/>
                <w:bCs/>
                <w:sz w:val="21"/>
                <w:szCs w:val="21"/>
              </w:rPr>
            </w:pPr>
            <w:r>
              <w:rPr>
                <w:rFonts w:ascii="Times New Roman" w:hAnsi="Times New Roman"/>
                <w:b w:val="0"/>
                <w:bCs/>
                <w:sz w:val="21"/>
                <w:szCs w:val="21"/>
              </w:rPr>
              <w:t>0.2</w:t>
            </w:r>
          </w:p>
        </w:tc>
        <w:tc>
          <w:tcPr>
            <w:tcW w:w="1064" w:type="pct"/>
            <w:tcBorders>
              <w:top w:val="single" w:sz="2" w:space="0" w:color="000000"/>
              <w:left w:val="single" w:sz="2" w:space="0" w:color="000000"/>
              <w:bottom w:val="single" w:sz="2" w:space="0" w:color="000000"/>
              <w:right w:val="single" w:sz="2" w:space="0" w:color="000000"/>
            </w:tcBorders>
            <w:vAlign w:val="center"/>
          </w:tcPr>
          <w:p w14:paraId="1F4AB719" w14:textId="77777777" w:rsidR="00606029" w:rsidRDefault="00EA5B92">
            <w:pPr>
              <w:pStyle w:val="afff0"/>
              <w:adjustRightInd w:val="0"/>
              <w:snapToGrid w:val="0"/>
              <w:spacing w:line="280" w:lineRule="exact"/>
              <w:rPr>
                <w:rFonts w:ascii="Times New Roman" w:hAnsi="Times New Roman"/>
                <w:b w:val="0"/>
                <w:bCs/>
                <w:sz w:val="21"/>
                <w:szCs w:val="21"/>
              </w:rPr>
            </w:pPr>
            <w:r>
              <w:rPr>
                <w:rFonts w:ascii="Times New Roman" w:hAnsi="Times New Roman"/>
                <w:b w:val="0"/>
                <w:bCs/>
                <w:sz w:val="21"/>
                <w:szCs w:val="21"/>
              </w:rPr>
              <w:t>/</w:t>
            </w:r>
          </w:p>
        </w:tc>
        <w:tc>
          <w:tcPr>
            <w:tcW w:w="823" w:type="pct"/>
            <w:tcBorders>
              <w:top w:val="single" w:sz="2" w:space="0" w:color="000000"/>
              <w:left w:val="single" w:sz="2" w:space="0" w:color="000000"/>
              <w:bottom w:val="single" w:sz="2" w:space="0" w:color="000000"/>
              <w:right w:val="single" w:sz="10" w:space="0" w:color="000000"/>
            </w:tcBorders>
            <w:vAlign w:val="center"/>
          </w:tcPr>
          <w:p w14:paraId="105EFF8B" w14:textId="77777777" w:rsidR="00606029" w:rsidRDefault="00EA5B92">
            <w:pPr>
              <w:pStyle w:val="afff0"/>
              <w:adjustRightInd w:val="0"/>
              <w:snapToGrid w:val="0"/>
              <w:spacing w:line="280" w:lineRule="exact"/>
              <w:rPr>
                <w:rFonts w:ascii="Times New Roman" w:hAnsi="Times New Roman"/>
                <w:b w:val="0"/>
                <w:bCs/>
                <w:sz w:val="21"/>
                <w:szCs w:val="21"/>
              </w:rPr>
            </w:pPr>
            <w:r>
              <w:rPr>
                <w:rFonts w:ascii="Times New Roman" w:hAnsi="Times New Roman"/>
                <w:b w:val="0"/>
                <w:bCs/>
                <w:sz w:val="21"/>
                <w:szCs w:val="21"/>
              </w:rPr>
              <w:t>/</w:t>
            </w:r>
          </w:p>
        </w:tc>
      </w:tr>
      <w:tr w:rsidR="00606029" w14:paraId="0A3AE8AF" w14:textId="77777777">
        <w:trPr>
          <w:trHeight w:val="224"/>
        </w:trPr>
        <w:tc>
          <w:tcPr>
            <w:tcW w:w="1279" w:type="pct"/>
            <w:vMerge w:val="restart"/>
            <w:tcBorders>
              <w:top w:val="single" w:sz="4" w:space="0" w:color="auto"/>
              <w:left w:val="single" w:sz="10" w:space="0" w:color="000000"/>
              <w:right w:val="single" w:sz="2" w:space="0" w:color="000000"/>
            </w:tcBorders>
            <w:vAlign w:val="center"/>
          </w:tcPr>
          <w:p w14:paraId="3073EAE9" w14:textId="77777777" w:rsidR="00606029" w:rsidRDefault="00EA5B92">
            <w:pPr>
              <w:pStyle w:val="afff0"/>
              <w:adjustRightInd w:val="0"/>
              <w:snapToGrid w:val="0"/>
              <w:spacing w:line="280" w:lineRule="exact"/>
              <w:rPr>
                <w:rFonts w:ascii="Times New Roman" w:hAnsi="Times New Roman"/>
                <w:b w:val="0"/>
                <w:bCs/>
                <w:sz w:val="21"/>
                <w:szCs w:val="21"/>
              </w:rPr>
            </w:pPr>
            <w:r>
              <w:rPr>
                <w:rFonts w:ascii="Times New Roman" w:hAnsi="Times New Roman"/>
                <w:b w:val="0"/>
                <w:bCs/>
                <w:sz w:val="21"/>
                <w:szCs w:val="21"/>
              </w:rPr>
              <w:t>《环境影响评价技术导则</w:t>
            </w:r>
            <w:r>
              <w:rPr>
                <w:rFonts w:ascii="Times New Roman" w:hAnsi="Times New Roman"/>
                <w:b w:val="0"/>
                <w:bCs/>
                <w:sz w:val="21"/>
                <w:szCs w:val="21"/>
              </w:rPr>
              <w:t xml:space="preserve"> </w:t>
            </w:r>
            <w:r>
              <w:rPr>
                <w:rFonts w:ascii="Times New Roman" w:hAnsi="Times New Roman"/>
                <w:b w:val="0"/>
                <w:bCs/>
                <w:sz w:val="21"/>
                <w:szCs w:val="21"/>
              </w:rPr>
              <w:t>大气环境》（</w:t>
            </w:r>
            <w:r>
              <w:rPr>
                <w:rFonts w:ascii="Times New Roman" w:hAnsi="Times New Roman"/>
                <w:b w:val="0"/>
                <w:bCs/>
                <w:sz w:val="21"/>
                <w:szCs w:val="21"/>
              </w:rPr>
              <w:t>HJ2.2-2018</w:t>
            </w:r>
            <w:r>
              <w:rPr>
                <w:rFonts w:ascii="Times New Roman" w:hAnsi="Times New Roman"/>
                <w:b w:val="0"/>
                <w:bCs/>
                <w:sz w:val="21"/>
                <w:szCs w:val="21"/>
              </w:rPr>
              <w:t>）表</w:t>
            </w:r>
            <w:r>
              <w:rPr>
                <w:rFonts w:ascii="Times New Roman" w:hAnsi="Times New Roman"/>
                <w:b w:val="0"/>
                <w:bCs/>
                <w:sz w:val="21"/>
                <w:szCs w:val="21"/>
              </w:rPr>
              <w:t>D.1</w:t>
            </w:r>
          </w:p>
        </w:tc>
        <w:tc>
          <w:tcPr>
            <w:tcW w:w="906" w:type="pct"/>
            <w:tcBorders>
              <w:top w:val="single" w:sz="4" w:space="0" w:color="auto"/>
              <w:left w:val="single" w:sz="2" w:space="0" w:color="000000"/>
              <w:bottom w:val="single" w:sz="2" w:space="0" w:color="000000"/>
              <w:right w:val="single" w:sz="2" w:space="0" w:color="000000"/>
            </w:tcBorders>
            <w:vAlign w:val="center"/>
          </w:tcPr>
          <w:p w14:paraId="6A07C80E" w14:textId="77777777" w:rsidR="00606029" w:rsidRDefault="00EA5B92">
            <w:pPr>
              <w:pStyle w:val="afff0"/>
              <w:adjustRightInd w:val="0"/>
              <w:snapToGrid w:val="0"/>
              <w:spacing w:line="280" w:lineRule="exact"/>
              <w:rPr>
                <w:rFonts w:ascii="Times New Roman" w:hAnsi="Times New Roman"/>
                <w:b w:val="0"/>
                <w:bCs/>
                <w:sz w:val="21"/>
                <w:szCs w:val="21"/>
              </w:rPr>
            </w:pPr>
            <w:r>
              <w:rPr>
                <w:rFonts w:ascii="Times New Roman" w:hAnsi="Times New Roman"/>
                <w:b w:val="0"/>
                <w:bCs/>
                <w:sz w:val="21"/>
                <w:szCs w:val="21"/>
              </w:rPr>
              <w:t>H</w:t>
            </w:r>
            <w:r>
              <w:rPr>
                <w:rFonts w:ascii="Times New Roman" w:hAnsi="Times New Roman"/>
                <w:b w:val="0"/>
                <w:bCs/>
                <w:sz w:val="21"/>
                <w:szCs w:val="21"/>
                <w:vertAlign w:val="subscript"/>
              </w:rPr>
              <w:t>2</w:t>
            </w:r>
            <w:r>
              <w:rPr>
                <w:rFonts w:ascii="Times New Roman" w:hAnsi="Times New Roman"/>
                <w:b w:val="0"/>
                <w:bCs/>
                <w:sz w:val="21"/>
                <w:szCs w:val="21"/>
              </w:rPr>
              <w:t>S</w:t>
            </w:r>
          </w:p>
        </w:tc>
        <w:tc>
          <w:tcPr>
            <w:tcW w:w="926" w:type="pct"/>
            <w:tcBorders>
              <w:top w:val="single" w:sz="2" w:space="0" w:color="000000"/>
              <w:left w:val="single" w:sz="2" w:space="0" w:color="000000"/>
              <w:bottom w:val="single" w:sz="2" w:space="0" w:color="000000"/>
              <w:right w:val="single" w:sz="2" w:space="0" w:color="000000"/>
            </w:tcBorders>
            <w:vAlign w:val="center"/>
          </w:tcPr>
          <w:p w14:paraId="4792B201" w14:textId="77777777" w:rsidR="00606029" w:rsidRDefault="00EA5B92">
            <w:pPr>
              <w:pStyle w:val="afff0"/>
              <w:adjustRightInd w:val="0"/>
              <w:snapToGrid w:val="0"/>
              <w:spacing w:line="280" w:lineRule="exact"/>
              <w:rPr>
                <w:rFonts w:ascii="Times New Roman" w:hAnsi="Times New Roman"/>
                <w:b w:val="0"/>
                <w:bCs/>
                <w:sz w:val="21"/>
                <w:szCs w:val="21"/>
              </w:rPr>
            </w:pPr>
            <w:r>
              <w:rPr>
                <w:rFonts w:ascii="Times New Roman" w:hAnsi="Times New Roman"/>
                <w:b w:val="0"/>
                <w:bCs/>
                <w:sz w:val="21"/>
                <w:szCs w:val="21"/>
              </w:rPr>
              <w:t>0.01</w:t>
            </w:r>
          </w:p>
        </w:tc>
        <w:tc>
          <w:tcPr>
            <w:tcW w:w="1064" w:type="pct"/>
            <w:tcBorders>
              <w:top w:val="single" w:sz="2" w:space="0" w:color="000000"/>
              <w:left w:val="single" w:sz="2" w:space="0" w:color="000000"/>
              <w:bottom w:val="single" w:sz="2" w:space="0" w:color="000000"/>
              <w:right w:val="single" w:sz="2" w:space="0" w:color="000000"/>
            </w:tcBorders>
            <w:vAlign w:val="center"/>
          </w:tcPr>
          <w:p w14:paraId="61C39FEF" w14:textId="77777777" w:rsidR="00606029" w:rsidRDefault="00EA5B92">
            <w:pPr>
              <w:pStyle w:val="afff0"/>
              <w:adjustRightInd w:val="0"/>
              <w:snapToGrid w:val="0"/>
              <w:spacing w:line="280" w:lineRule="exact"/>
              <w:rPr>
                <w:rFonts w:ascii="Times New Roman" w:hAnsi="Times New Roman"/>
                <w:b w:val="0"/>
                <w:bCs/>
                <w:sz w:val="21"/>
                <w:szCs w:val="21"/>
              </w:rPr>
            </w:pPr>
            <w:r>
              <w:rPr>
                <w:rFonts w:ascii="Times New Roman" w:hAnsi="Times New Roman"/>
                <w:b w:val="0"/>
                <w:bCs/>
                <w:sz w:val="21"/>
                <w:szCs w:val="21"/>
              </w:rPr>
              <w:t>/</w:t>
            </w:r>
          </w:p>
        </w:tc>
        <w:tc>
          <w:tcPr>
            <w:tcW w:w="823" w:type="pct"/>
            <w:tcBorders>
              <w:top w:val="single" w:sz="2" w:space="0" w:color="000000"/>
              <w:left w:val="single" w:sz="2" w:space="0" w:color="000000"/>
              <w:bottom w:val="single" w:sz="2" w:space="0" w:color="000000"/>
              <w:right w:val="single" w:sz="10" w:space="0" w:color="000000"/>
            </w:tcBorders>
            <w:vAlign w:val="center"/>
          </w:tcPr>
          <w:p w14:paraId="28DB9048" w14:textId="77777777" w:rsidR="00606029" w:rsidRDefault="00EA5B92">
            <w:pPr>
              <w:pStyle w:val="afff0"/>
              <w:adjustRightInd w:val="0"/>
              <w:snapToGrid w:val="0"/>
              <w:spacing w:line="280" w:lineRule="exact"/>
              <w:rPr>
                <w:rFonts w:ascii="Times New Roman" w:hAnsi="Times New Roman"/>
                <w:b w:val="0"/>
                <w:bCs/>
                <w:sz w:val="21"/>
                <w:szCs w:val="21"/>
              </w:rPr>
            </w:pPr>
            <w:r>
              <w:rPr>
                <w:rFonts w:ascii="Times New Roman" w:hAnsi="Times New Roman"/>
                <w:b w:val="0"/>
                <w:bCs/>
                <w:sz w:val="21"/>
                <w:szCs w:val="21"/>
              </w:rPr>
              <w:t>/</w:t>
            </w:r>
          </w:p>
        </w:tc>
      </w:tr>
      <w:tr w:rsidR="00606029" w14:paraId="7011B4D3" w14:textId="77777777">
        <w:trPr>
          <w:trHeight w:val="224"/>
        </w:trPr>
        <w:tc>
          <w:tcPr>
            <w:tcW w:w="1279" w:type="pct"/>
            <w:vMerge/>
            <w:tcBorders>
              <w:left w:val="single" w:sz="10" w:space="0" w:color="000000"/>
              <w:bottom w:val="single" w:sz="2" w:space="0" w:color="000000"/>
              <w:right w:val="single" w:sz="2" w:space="0" w:color="000000"/>
            </w:tcBorders>
            <w:vAlign w:val="center"/>
          </w:tcPr>
          <w:p w14:paraId="10FD42D7" w14:textId="77777777" w:rsidR="00606029" w:rsidRDefault="00606029">
            <w:pPr>
              <w:pStyle w:val="afff0"/>
              <w:adjustRightInd w:val="0"/>
              <w:snapToGrid w:val="0"/>
              <w:spacing w:line="280" w:lineRule="exact"/>
              <w:rPr>
                <w:rFonts w:ascii="Times New Roman" w:hAnsi="Times New Roman"/>
                <w:b w:val="0"/>
                <w:bCs/>
                <w:sz w:val="21"/>
                <w:szCs w:val="21"/>
              </w:rPr>
            </w:pPr>
          </w:p>
        </w:tc>
        <w:tc>
          <w:tcPr>
            <w:tcW w:w="906" w:type="pct"/>
            <w:tcBorders>
              <w:top w:val="single" w:sz="2" w:space="0" w:color="000000"/>
              <w:left w:val="single" w:sz="2" w:space="0" w:color="000000"/>
              <w:bottom w:val="single" w:sz="2" w:space="0" w:color="000000"/>
              <w:right w:val="single" w:sz="2" w:space="0" w:color="000000"/>
            </w:tcBorders>
            <w:vAlign w:val="center"/>
          </w:tcPr>
          <w:p w14:paraId="5EF9ED99" w14:textId="77777777" w:rsidR="00606029" w:rsidRDefault="00EA5B92">
            <w:pPr>
              <w:pStyle w:val="afff0"/>
              <w:adjustRightInd w:val="0"/>
              <w:snapToGrid w:val="0"/>
              <w:spacing w:line="280" w:lineRule="exact"/>
              <w:rPr>
                <w:rFonts w:ascii="Times New Roman" w:hAnsi="Times New Roman"/>
                <w:b w:val="0"/>
                <w:bCs/>
                <w:sz w:val="21"/>
                <w:szCs w:val="21"/>
              </w:rPr>
            </w:pPr>
            <w:r>
              <w:rPr>
                <w:rFonts w:ascii="Times New Roman" w:hAnsi="Times New Roman"/>
                <w:b w:val="0"/>
                <w:bCs/>
                <w:sz w:val="21"/>
                <w:szCs w:val="21"/>
              </w:rPr>
              <w:t>NH</w:t>
            </w:r>
            <w:r>
              <w:rPr>
                <w:rFonts w:ascii="Times New Roman" w:hAnsi="Times New Roman"/>
                <w:b w:val="0"/>
                <w:bCs/>
                <w:sz w:val="21"/>
                <w:szCs w:val="21"/>
                <w:vertAlign w:val="subscript"/>
              </w:rPr>
              <w:t>3</w:t>
            </w:r>
          </w:p>
        </w:tc>
        <w:tc>
          <w:tcPr>
            <w:tcW w:w="926" w:type="pct"/>
            <w:tcBorders>
              <w:top w:val="single" w:sz="2" w:space="0" w:color="000000"/>
              <w:left w:val="single" w:sz="2" w:space="0" w:color="000000"/>
              <w:bottom w:val="single" w:sz="2" w:space="0" w:color="000000"/>
              <w:right w:val="single" w:sz="2" w:space="0" w:color="000000"/>
            </w:tcBorders>
            <w:vAlign w:val="center"/>
          </w:tcPr>
          <w:p w14:paraId="351CE8F7" w14:textId="77777777" w:rsidR="00606029" w:rsidRDefault="00EA5B92">
            <w:pPr>
              <w:pStyle w:val="afff0"/>
              <w:adjustRightInd w:val="0"/>
              <w:snapToGrid w:val="0"/>
              <w:spacing w:line="280" w:lineRule="exact"/>
              <w:rPr>
                <w:rFonts w:ascii="Times New Roman" w:hAnsi="Times New Roman"/>
                <w:b w:val="0"/>
                <w:bCs/>
                <w:sz w:val="21"/>
                <w:szCs w:val="21"/>
              </w:rPr>
            </w:pPr>
            <w:r>
              <w:rPr>
                <w:rFonts w:ascii="Times New Roman" w:hAnsi="Times New Roman"/>
                <w:b w:val="0"/>
                <w:bCs/>
                <w:sz w:val="21"/>
                <w:szCs w:val="21"/>
              </w:rPr>
              <w:t>0.2</w:t>
            </w:r>
          </w:p>
        </w:tc>
        <w:tc>
          <w:tcPr>
            <w:tcW w:w="1064" w:type="pct"/>
            <w:tcBorders>
              <w:top w:val="single" w:sz="2" w:space="0" w:color="000000"/>
              <w:left w:val="single" w:sz="2" w:space="0" w:color="000000"/>
              <w:bottom w:val="single" w:sz="2" w:space="0" w:color="000000"/>
              <w:right w:val="single" w:sz="2" w:space="0" w:color="000000"/>
            </w:tcBorders>
            <w:vAlign w:val="center"/>
          </w:tcPr>
          <w:p w14:paraId="3122122A" w14:textId="77777777" w:rsidR="00606029" w:rsidRDefault="00EA5B92">
            <w:pPr>
              <w:pStyle w:val="afff0"/>
              <w:adjustRightInd w:val="0"/>
              <w:snapToGrid w:val="0"/>
              <w:spacing w:line="280" w:lineRule="exact"/>
              <w:rPr>
                <w:rFonts w:ascii="Times New Roman" w:hAnsi="Times New Roman"/>
                <w:b w:val="0"/>
                <w:bCs/>
                <w:sz w:val="21"/>
                <w:szCs w:val="21"/>
              </w:rPr>
            </w:pPr>
            <w:r>
              <w:rPr>
                <w:rFonts w:ascii="Times New Roman" w:hAnsi="Times New Roman"/>
                <w:b w:val="0"/>
                <w:bCs/>
                <w:sz w:val="21"/>
                <w:szCs w:val="21"/>
              </w:rPr>
              <w:t>/</w:t>
            </w:r>
          </w:p>
        </w:tc>
        <w:tc>
          <w:tcPr>
            <w:tcW w:w="823" w:type="pct"/>
            <w:tcBorders>
              <w:top w:val="single" w:sz="2" w:space="0" w:color="000000"/>
              <w:left w:val="single" w:sz="2" w:space="0" w:color="000000"/>
              <w:bottom w:val="single" w:sz="2" w:space="0" w:color="000000"/>
              <w:right w:val="single" w:sz="10" w:space="0" w:color="000000"/>
            </w:tcBorders>
            <w:vAlign w:val="center"/>
          </w:tcPr>
          <w:p w14:paraId="031FA536" w14:textId="77777777" w:rsidR="00606029" w:rsidRDefault="00EA5B92">
            <w:pPr>
              <w:pStyle w:val="afff0"/>
              <w:adjustRightInd w:val="0"/>
              <w:snapToGrid w:val="0"/>
              <w:spacing w:line="280" w:lineRule="exact"/>
              <w:rPr>
                <w:rFonts w:ascii="Times New Roman" w:hAnsi="Times New Roman"/>
                <w:b w:val="0"/>
                <w:bCs/>
                <w:sz w:val="21"/>
                <w:szCs w:val="21"/>
              </w:rPr>
            </w:pPr>
            <w:r>
              <w:rPr>
                <w:rFonts w:ascii="Times New Roman" w:hAnsi="Times New Roman"/>
                <w:b w:val="0"/>
                <w:bCs/>
                <w:sz w:val="21"/>
                <w:szCs w:val="21"/>
              </w:rPr>
              <w:t>/</w:t>
            </w:r>
          </w:p>
        </w:tc>
      </w:tr>
      <w:tr w:rsidR="00606029" w14:paraId="207217FC" w14:textId="77777777">
        <w:trPr>
          <w:trHeight w:val="678"/>
        </w:trPr>
        <w:tc>
          <w:tcPr>
            <w:tcW w:w="1279" w:type="pct"/>
            <w:tcBorders>
              <w:top w:val="single" w:sz="2" w:space="0" w:color="000000"/>
              <w:left w:val="single" w:sz="10" w:space="0" w:color="000000"/>
              <w:bottom w:val="single" w:sz="10" w:space="0" w:color="000000"/>
              <w:right w:val="single" w:sz="2" w:space="0" w:color="000000"/>
            </w:tcBorders>
            <w:vAlign w:val="center"/>
          </w:tcPr>
          <w:p w14:paraId="7252E2EF" w14:textId="77777777" w:rsidR="00606029" w:rsidRDefault="00EA5B92">
            <w:pPr>
              <w:pStyle w:val="afff0"/>
              <w:adjustRightInd w:val="0"/>
              <w:snapToGrid w:val="0"/>
              <w:spacing w:line="280" w:lineRule="exact"/>
              <w:rPr>
                <w:rFonts w:ascii="Times New Roman" w:hAnsi="Times New Roman"/>
                <w:b w:val="0"/>
                <w:bCs/>
                <w:sz w:val="21"/>
                <w:szCs w:val="21"/>
              </w:rPr>
            </w:pPr>
            <w:r>
              <w:rPr>
                <w:rFonts w:ascii="Times New Roman" w:hAnsi="Times New Roman"/>
                <w:b w:val="0"/>
                <w:bCs/>
                <w:sz w:val="21"/>
                <w:szCs w:val="21"/>
              </w:rPr>
              <w:t>《大气污染物综合排放标准详解》中的环境背</w:t>
            </w:r>
            <w:r>
              <w:rPr>
                <w:rFonts w:ascii="Times New Roman" w:hAnsi="Times New Roman"/>
                <w:b w:val="0"/>
                <w:bCs/>
                <w:sz w:val="21"/>
                <w:szCs w:val="21"/>
              </w:rPr>
              <w:lastRenderedPageBreak/>
              <w:t>景浓度取值</w:t>
            </w:r>
          </w:p>
        </w:tc>
        <w:tc>
          <w:tcPr>
            <w:tcW w:w="906" w:type="pct"/>
            <w:tcBorders>
              <w:top w:val="single" w:sz="2" w:space="0" w:color="000000"/>
              <w:left w:val="single" w:sz="2" w:space="0" w:color="000000"/>
              <w:bottom w:val="single" w:sz="10" w:space="0" w:color="000000"/>
              <w:right w:val="single" w:sz="2" w:space="0" w:color="000000"/>
            </w:tcBorders>
            <w:vAlign w:val="center"/>
          </w:tcPr>
          <w:p w14:paraId="70D8EB53" w14:textId="77777777" w:rsidR="00606029" w:rsidRDefault="00EA5B92">
            <w:pPr>
              <w:pStyle w:val="afff0"/>
              <w:adjustRightInd w:val="0"/>
              <w:snapToGrid w:val="0"/>
              <w:spacing w:line="280" w:lineRule="exact"/>
              <w:rPr>
                <w:rFonts w:ascii="Times New Roman" w:hAnsi="Times New Roman"/>
                <w:b w:val="0"/>
                <w:bCs/>
                <w:sz w:val="21"/>
                <w:szCs w:val="21"/>
              </w:rPr>
            </w:pPr>
            <w:r>
              <w:rPr>
                <w:rFonts w:ascii="Times New Roman" w:hAnsi="Times New Roman"/>
                <w:b w:val="0"/>
                <w:bCs/>
                <w:sz w:val="21"/>
                <w:szCs w:val="21"/>
              </w:rPr>
              <w:lastRenderedPageBreak/>
              <w:t>非甲烷总烃</w:t>
            </w:r>
          </w:p>
        </w:tc>
        <w:tc>
          <w:tcPr>
            <w:tcW w:w="926" w:type="pct"/>
            <w:tcBorders>
              <w:top w:val="single" w:sz="2" w:space="0" w:color="000000"/>
              <w:left w:val="single" w:sz="2" w:space="0" w:color="000000"/>
              <w:bottom w:val="single" w:sz="10" w:space="0" w:color="000000"/>
              <w:right w:val="single" w:sz="2" w:space="0" w:color="000000"/>
            </w:tcBorders>
            <w:vAlign w:val="center"/>
          </w:tcPr>
          <w:p w14:paraId="4CC8BCC6" w14:textId="77777777" w:rsidR="00606029" w:rsidRDefault="00EA5B92">
            <w:pPr>
              <w:pStyle w:val="afff0"/>
              <w:adjustRightInd w:val="0"/>
              <w:snapToGrid w:val="0"/>
              <w:spacing w:line="280" w:lineRule="exact"/>
              <w:rPr>
                <w:rFonts w:ascii="Times New Roman" w:hAnsi="Times New Roman"/>
                <w:b w:val="0"/>
                <w:bCs/>
                <w:sz w:val="21"/>
                <w:szCs w:val="21"/>
              </w:rPr>
            </w:pPr>
            <w:r>
              <w:rPr>
                <w:rFonts w:ascii="Times New Roman" w:hAnsi="Times New Roman"/>
                <w:b w:val="0"/>
                <w:bCs/>
                <w:sz w:val="21"/>
                <w:szCs w:val="21"/>
              </w:rPr>
              <w:t>2.0</w:t>
            </w:r>
            <w:r>
              <w:rPr>
                <w:rFonts w:ascii="Times New Roman" w:hAnsi="Times New Roman"/>
                <w:b w:val="0"/>
                <w:bCs/>
                <w:sz w:val="21"/>
                <w:szCs w:val="21"/>
              </w:rPr>
              <w:t>（一次值）</w:t>
            </w:r>
          </w:p>
        </w:tc>
        <w:tc>
          <w:tcPr>
            <w:tcW w:w="1064" w:type="pct"/>
            <w:tcBorders>
              <w:top w:val="single" w:sz="2" w:space="0" w:color="000000"/>
              <w:left w:val="single" w:sz="2" w:space="0" w:color="000000"/>
              <w:bottom w:val="single" w:sz="10" w:space="0" w:color="000000"/>
              <w:right w:val="single" w:sz="2" w:space="0" w:color="000000"/>
            </w:tcBorders>
            <w:vAlign w:val="center"/>
          </w:tcPr>
          <w:p w14:paraId="4BFEC7E1" w14:textId="77777777" w:rsidR="00606029" w:rsidRDefault="00EA5B92">
            <w:pPr>
              <w:pStyle w:val="afff0"/>
              <w:adjustRightInd w:val="0"/>
              <w:snapToGrid w:val="0"/>
              <w:spacing w:line="280" w:lineRule="exact"/>
              <w:rPr>
                <w:rFonts w:ascii="Times New Roman" w:hAnsi="Times New Roman"/>
                <w:b w:val="0"/>
                <w:bCs/>
                <w:sz w:val="21"/>
                <w:szCs w:val="21"/>
              </w:rPr>
            </w:pPr>
            <w:r>
              <w:rPr>
                <w:rFonts w:ascii="Times New Roman" w:hAnsi="Times New Roman"/>
                <w:b w:val="0"/>
                <w:bCs/>
                <w:sz w:val="21"/>
                <w:szCs w:val="21"/>
              </w:rPr>
              <w:t>/</w:t>
            </w:r>
          </w:p>
        </w:tc>
        <w:tc>
          <w:tcPr>
            <w:tcW w:w="823" w:type="pct"/>
            <w:tcBorders>
              <w:top w:val="single" w:sz="2" w:space="0" w:color="000000"/>
              <w:left w:val="single" w:sz="2" w:space="0" w:color="000000"/>
              <w:bottom w:val="single" w:sz="10" w:space="0" w:color="000000"/>
              <w:right w:val="single" w:sz="10" w:space="0" w:color="000000"/>
            </w:tcBorders>
            <w:vAlign w:val="center"/>
          </w:tcPr>
          <w:p w14:paraId="0846D550" w14:textId="77777777" w:rsidR="00606029" w:rsidRDefault="00EA5B92">
            <w:pPr>
              <w:pStyle w:val="afff0"/>
              <w:adjustRightInd w:val="0"/>
              <w:snapToGrid w:val="0"/>
              <w:spacing w:line="280" w:lineRule="exact"/>
              <w:rPr>
                <w:rFonts w:ascii="Times New Roman" w:hAnsi="Times New Roman"/>
                <w:b w:val="0"/>
                <w:bCs/>
                <w:sz w:val="21"/>
                <w:szCs w:val="21"/>
              </w:rPr>
            </w:pPr>
            <w:r>
              <w:rPr>
                <w:rFonts w:ascii="Times New Roman" w:hAnsi="Times New Roman"/>
                <w:b w:val="0"/>
                <w:bCs/>
                <w:sz w:val="21"/>
                <w:szCs w:val="21"/>
              </w:rPr>
              <w:t>/</w:t>
            </w:r>
          </w:p>
        </w:tc>
      </w:tr>
    </w:tbl>
    <w:p w14:paraId="540EE1AF" w14:textId="77777777" w:rsidR="00606029" w:rsidRDefault="00EA5B92">
      <w:pPr>
        <w:pStyle w:val="affffff4"/>
        <w:adjustRightInd/>
        <w:snapToGrid/>
        <w:spacing w:beforeLines="50" w:before="120"/>
        <w:ind w:firstLine="482"/>
        <w:rPr>
          <w:b/>
          <w:bCs/>
        </w:rPr>
      </w:pPr>
      <w:r>
        <w:rPr>
          <w:b/>
          <w:bCs/>
        </w:rPr>
        <w:t>2</w:t>
      </w:r>
      <w:r>
        <w:rPr>
          <w:b/>
          <w:bCs/>
        </w:rPr>
        <w:t>、地表水环境</w:t>
      </w:r>
    </w:p>
    <w:p w14:paraId="2075EB0B" w14:textId="69A17B66" w:rsidR="00DD0D01" w:rsidRPr="00DD0D01" w:rsidRDefault="00DD0D01" w:rsidP="00DD0D01">
      <w:pPr>
        <w:pStyle w:val="affffff4"/>
      </w:pPr>
      <w:r w:rsidRPr="00DD0D01">
        <w:t>本项目区域内地表水为</w:t>
      </w:r>
      <w:r w:rsidRPr="00DD0D01">
        <w:rPr>
          <w:rFonts w:hint="eastAsia"/>
        </w:rPr>
        <w:t>中央排干、三胜屯西泡、南伊哈旗泡、厂区南侧无名水泡</w:t>
      </w:r>
      <w:r w:rsidRPr="00DD0D01">
        <w:t>。根据《大庆市声环境功能区划分、大庆市环境空气质量功能区划分、大庆市地表水环境功能区划分的通知》（庆政发</w:t>
      </w:r>
      <w:r w:rsidRPr="00DD0D01">
        <w:t>[2019]11</w:t>
      </w:r>
      <w:r w:rsidRPr="00DD0D01">
        <w:t>号），中央排干主导功能为混合区</w:t>
      </w:r>
      <w:r w:rsidR="006B7786">
        <w:rPr>
          <w:rFonts w:hint="eastAsia"/>
        </w:rPr>
        <w:t>，不执行地表水质量标准</w:t>
      </w:r>
      <w:r w:rsidRPr="00DD0D01">
        <w:t>；根据《全国重要江河湖泊水功能区划（</w:t>
      </w:r>
      <w:r w:rsidRPr="00DD0D01">
        <w:t>2011-2030</w:t>
      </w:r>
      <w:r w:rsidRPr="00DD0D01">
        <w:t>年）》，</w:t>
      </w:r>
      <w:bookmarkStart w:id="53" w:name="OLE_LINK1"/>
      <w:r w:rsidRPr="00DD0D01">
        <w:rPr>
          <w:rFonts w:hint="eastAsia"/>
        </w:rPr>
        <w:t>三胜屯西泡</w:t>
      </w:r>
      <w:bookmarkEnd w:id="53"/>
      <w:r w:rsidRPr="00DD0D01">
        <w:rPr>
          <w:rFonts w:hint="eastAsia"/>
        </w:rPr>
        <w:t>、南伊哈旗泡、厂区南侧无名水泡</w:t>
      </w:r>
      <w:r w:rsidRPr="00DD0D01">
        <w:t>，</w:t>
      </w:r>
      <w:r w:rsidR="00A2524D">
        <w:rPr>
          <w:rFonts w:hint="eastAsia"/>
        </w:rPr>
        <w:t>均未进行划分，参照</w:t>
      </w:r>
      <w:r w:rsidRPr="00DD0D01">
        <w:t>执行</w:t>
      </w:r>
      <w:r w:rsidR="00A2524D">
        <w:rPr>
          <w:rFonts w:hint="eastAsia"/>
        </w:rPr>
        <w:t>《</w:t>
      </w:r>
      <w:r w:rsidR="00844321">
        <w:t>地表水环境质量标准</w:t>
      </w:r>
      <w:r w:rsidR="00A2524D">
        <w:rPr>
          <w:rFonts w:hint="eastAsia"/>
        </w:rPr>
        <w:t>》</w:t>
      </w:r>
      <w:r w:rsidR="006B7786" w:rsidRPr="006B7786">
        <w:t>（</w:t>
      </w:r>
      <w:r w:rsidR="006B7786" w:rsidRPr="006B7786">
        <w:t>GB3838-2002</w:t>
      </w:r>
      <w:r w:rsidR="006B7786" w:rsidRPr="006B7786">
        <w:t>）</w:t>
      </w:r>
      <w:r w:rsidR="00A2524D">
        <w:rPr>
          <w:rFonts w:hint="eastAsia"/>
        </w:rPr>
        <w:t>V</w:t>
      </w:r>
      <w:r w:rsidR="00A2524D">
        <w:rPr>
          <w:rFonts w:hint="eastAsia"/>
        </w:rPr>
        <w:t>类</w:t>
      </w:r>
      <w:r w:rsidRPr="00DD0D01">
        <w:t>标准。</w:t>
      </w:r>
      <w:r>
        <w:rPr>
          <w:rFonts w:hint="eastAsia"/>
        </w:rPr>
        <w:t>具体</w:t>
      </w:r>
      <w:r w:rsidRPr="00DD0D01">
        <w:t>标准值见</w:t>
      </w:r>
      <w:r>
        <w:rPr>
          <w:rFonts w:hint="eastAsia"/>
        </w:rPr>
        <w:t>下</w:t>
      </w:r>
      <w:r w:rsidRPr="00DD0D01">
        <w:t>表。</w:t>
      </w:r>
    </w:p>
    <w:p w14:paraId="66C6D791" w14:textId="5A9F1D49" w:rsidR="00DD0D01" w:rsidRPr="00AD37EF" w:rsidRDefault="00DD0D01" w:rsidP="00DD0D01">
      <w:pPr>
        <w:pStyle w:val="affffff5"/>
      </w:pPr>
      <w:r w:rsidRPr="00AD37EF">
        <w:t>表</w:t>
      </w:r>
      <w:r w:rsidRPr="00AD37EF">
        <w:rPr>
          <w:rFonts w:hint="eastAsia"/>
        </w:rPr>
        <w:t>1.5-2</w:t>
      </w:r>
      <w:r w:rsidRPr="00AD37EF">
        <w:t xml:space="preserve"> </w:t>
      </w:r>
      <w:r w:rsidR="00844321">
        <w:t>地表水环境质量标准</w:t>
      </w:r>
      <w:r w:rsidRPr="00AD37EF">
        <w:t>表</w:t>
      </w:r>
      <w:r w:rsidR="00AC7169">
        <w:rPr>
          <w:rFonts w:hint="eastAsia"/>
        </w:rPr>
        <w:t xml:space="preserve"> </w:t>
      </w:r>
      <w:r w:rsidR="00AC7169">
        <w:rPr>
          <w:rFonts w:hint="eastAsia"/>
        </w:rPr>
        <w:t>单位</w:t>
      </w:r>
      <w:r w:rsidR="00AC7169">
        <w:rPr>
          <w:rFonts w:hint="eastAsia"/>
        </w:rPr>
        <w:t>mg/L</w:t>
      </w:r>
    </w:p>
    <w:tbl>
      <w:tblPr>
        <w:tblW w:w="5000" w:type="pct"/>
        <w:jc w:val="center"/>
        <w:tblBorders>
          <w:top w:val="single" w:sz="4" w:space="0" w:color="auto"/>
          <w:left w:val="single" w:sz="8" w:space="0" w:color="auto"/>
          <w:bottom w:val="single" w:sz="8" w:space="0" w:color="auto"/>
          <w:right w:val="single" w:sz="8" w:space="0" w:color="auto"/>
          <w:insideH w:val="single" w:sz="4" w:space="0" w:color="auto"/>
          <w:insideV w:val="single" w:sz="4" w:space="0" w:color="auto"/>
        </w:tblBorders>
        <w:tblLook w:val="0000" w:firstRow="0" w:lastRow="0" w:firstColumn="0" w:lastColumn="0" w:noHBand="0" w:noVBand="0"/>
      </w:tblPr>
      <w:tblGrid>
        <w:gridCol w:w="1995"/>
        <w:gridCol w:w="2370"/>
        <w:gridCol w:w="2737"/>
        <w:gridCol w:w="1722"/>
      </w:tblGrid>
      <w:tr w:rsidR="00AC7169" w:rsidRPr="00AC7169" w14:paraId="07974036" w14:textId="77777777" w:rsidTr="00AC7169">
        <w:trPr>
          <w:trHeight w:val="284"/>
          <w:tblHeader/>
          <w:jc w:val="center"/>
        </w:trPr>
        <w:tc>
          <w:tcPr>
            <w:tcW w:w="1130" w:type="pct"/>
            <w:vAlign w:val="center"/>
          </w:tcPr>
          <w:p w14:paraId="7548CCF5" w14:textId="77777777" w:rsidR="00AC7169" w:rsidRPr="00AC7169" w:rsidRDefault="00AC7169" w:rsidP="00AC7169">
            <w:pPr>
              <w:pStyle w:val="a5"/>
              <w:spacing w:line="280" w:lineRule="exact"/>
              <w:ind w:left="-105" w:firstLine="0"/>
              <w:jc w:val="center"/>
              <w:rPr>
                <w:b/>
                <w:bCs/>
                <w:sz w:val="21"/>
                <w:szCs w:val="21"/>
              </w:rPr>
            </w:pPr>
            <w:r w:rsidRPr="00AC7169">
              <w:rPr>
                <w:b/>
                <w:bCs/>
                <w:sz w:val="21"/>
                <w:szCs w:val="21"/>
              </w:rPr>
              <w:t>项目</w:t>
            </w:r>
          </w:p>
        </w:tc>
        <w:tc>
          <w:tcPr>
            <w:tcW w:w="1343" w:type="pct"/>
            <w:vAlign w:val="center"/>
          </w:tcPr>
          <w:p w14:paraId="04EBD9CE" w14:textId="6C219E3B" w:rsidR="00AC7169" w:rsidRPr="00AC7169" w:rsidRDefault="00AC7169" w:rsidP="00AC7169">
            <w:pPr>
              <w:pStyle w:val="a5"/>
              <w:spacing w:line="280" w:lineRule="exact"/>
              <w:ind w:left="-105" w:firstLine="0"/>
              <w:jc w:val="center"/>
              <w:rPr>
                <w:b/>
                <w:bCs/>
                <w:sz w:val="21"/>
                <w:szCs w:val="21"/>
              </w:rPr>
            </w:pPr>
            <w:r w:rsidRPr="00AC7169">
              <w:rPr>
                <w:b/>
                <w:bCs/>
                <w:sz w:val="21"/>
                <w:szCs w:val="21"/>
              </w:rPr>
              <w:t>V</w:t>
            </w:r>
            <w:r w:rsidRPr="00AC7169">
              <w:rPr>
                <w:b/>
                <w:bCs/>
                <w:sz w:val="21"/>
                <w:szCs w:val="21"/>
              </w:rPr>
              <w:t>类</w:t>
            </w:r>
          </w:p>
        </w:tc>
        <w:tc>
          <w:tcPr>
            <w:tcW w:w="1551" w:type="pct"/>
            <w:vAlign w:val="center"/>
          </w:tcPr>
          <w:p w14:paraId="670F5E9E" w14:textId="4902541A" w:rsidR="00AC7169" w:rsidRPr="00AC7169" w:rsidRDefault="00AC7169" w:rsidP="00AC7169">
            <w:pPr>
              <w:pStyle w:val="a5"/>
              <w:spacing w:line="280" w:lineRule="exact"/>
              <w:ind w:left="-105" w:firstLine="0"/>
              <w:jc w:val="center"/>
              <w:rPr>
                <w:b/>
                <w:bCs/>
                <w:sz w:val="21"/>
                <w:szCs w:val="21"/>
              </w:rPr>
            </w:pPr>
            <w:r w:rsidRPr="00AC7169">
              <w:rPr>
                <w:rFonts w:hint="eastAsia"/>
                <w:b/>
                <w:bCs/>
                <w:sz w:val="21"/>
                <w:szCs w:val="21"/>
              </w:rPr>
              <w:t>项目</w:t>
            </w:r>
          </w:p>
        </w:tc>
        <w:tc>
          <w:tcPr>
            <w:tcW w:w="976" w:type="pct"/>
            <w:vAlign w:val="center"/>
          </w:tcPr>
          <w:p w14:paraId="53ADC8BC" w14:textId="5B0D4ED1" w:rsidR="00AC7169" w:rsidRPr="00AC7169" w:rsidRDefault="00AC7169" w:rsidP="00AC7169">
            <w:pPr>
              <w:pStyle w:val="a5"/>
              <w:spacing w:line="280" w:lineRule="exact"/>
              <w:ind w:left="-105" w:firstLine="0"/>
              <w:jc w:val="center"/>
              <w:rPr>
                <w:b/>
                <w:bCs/>
                <w:sz w:val="21"/>
                <w:szCs w:val="21"/>
              </w:rPr>
            </w:pPr>
            <w:r w:rsidRPr="00AC7169">
              <w:rPr>
                <w:rFonts w:hint="eastAsia"/>
                <w:b/>
                <w:bCs/>
                <w:sz w:val="21"/>
                <w:szCs w:val="21"/>
              </w:rPr>
              <w:t>V</w:t>
            </w:r>
            <w:r w:rsidRPr="00AC7169">
              <w:rPr>
                <w:b/>
                <w:bCs/>
                <w:sz w:val="21"/>
                <w:szCs w:val="21"/>
              </w:rPr>
              <w:t>类</w:t>
            </w:r>
          </w:p>
        </w:tc>
      </w:tr>
      <w:tr w:rsidR="00AC7169" w:rsidRPr="00AC7169" w14:paraId="054145F1" w14:textId="77777777" w:rsidTr="00AC7169">
        <w:trPr>
          <w:trHeight w:val="284"/>
          <w:jc w:val="center"/>
        </w:trPr>
        <w:tc>
          <w:tcPr>
            <w:tcW w:w="1130" w:type="pct"/>
            <w:vAlign w:val="center"/>
          </w:tcPr>
          <w:p w14:paraId="508708EB" w14:textId="377FC35D" w:rsidR="00AC7169" w:rsidRPr="00AC7169" w:rsidRDefault="00AC7169" w:rsidP="00AC7169">
            <w:pPr>
              <w:pStyle w:val="a5"/>
              <w:spacing w:line="280" w:lineRule="exact"/>
              <w:ind w:left="-105" w:firstLine="0"/>
              <w:jc w:val="center"/>
              <w:rPr>
                <w:sz w:val="21"/>
                <w:szCs w:val="21"/>
              </w:rPr>
            </w:pPr>
            <w:r w:rsidRPr="00AC7169">
              <w:rPr>
                <w:sz w:val="21"/>
                <w:szCs w:val="21"/>
              </w:rPr>
              <w:t>pH</w:t>
            </w:r>
            <w:r w:rsidRPr="00AC7169">
              <w:rPr>
                <w:sz w:val="21"/>
                <w:szCs w:val="21"/>
              </w:rPr>
              <w:t>值</w:t>
            </w:r>
            <w:r>
              <w:rPr>
                <w:rFonts w:hint="eastAsia"/>
                <w:sz w:val="21"/>
                <w:szCs w:val="21"/>
              </w:rPr>
              <w:t>（无量纲）</w:t>
            </w:r>
          </w:p>
        </w:tc>
        <w:tc>
          <w:tcPr>
            <w:tcW w:w="1343" w:type="pct"/>
            <w:vAlign w:val="center"/>
          </w:tcPr>
          <w:p w14:paraId="1A6E4EE6" w14:textId="462C9473" w:rsidR="00AC7169" w:rsidRPr="00AC7169" w:rsidRDefault="00AC7169" w:rsidP="00AC7169">
            <w:pPr>
              <w:pStyle w:val="a5"/>
              <w:spacing w:line="280" w:lineRule="exact"/>
              <w:ind w:left="-105" w:firstLine="0"/>
              <w:jc w:val="center"/>
              <w:rPr>
                <w:sz w:val="21"/>
                <w:szCs w:val="21"/>
              </w:rPr>
            </w:pPr>
            <w:r>
              <w:rPr>
                <w:rFonts w:hint="eastAsia"/>
                <w:sz w:val="21"/>
                <w:szCs w:val="21"/>
              </w:rPr>
              <w:t>6~9</w:t>
            </w:r>
          </w:p>
        </w:tc>
        <w:tc>
          <w:tcPr>
            <w:tcW w:w="1551" w:type="pct"/>
            <w:vAlign w:val="center"/>
          </w:tcPr>
          <w:p w14:paraId="14D5938A" w14:textId="771A554D" w:rsidR="00AC7169" w:rsidRPr="00AC7169" w:rsidRDefault="00AC7169" w:rsidP="00AC7169">
            <w:pPr>
              <w:pStyle w:val="a5"/>
              <w:spacing w:line="280" w:lineRule="exact"/>
              <w:ind w:left="-105" w:firstLine="0"/>
              <w:jc w:val="center"/>
              <w:rPr>
                <w:sz w:val="21"/>
                <w:szCs w:val="21"/>
              </w:rPr>
            </w:pPr>
            <w:r>
              <w:rPr>
                <w:rFonts w:hint="eastAsia"/>
                <w:sz w:val="21"/>
                <w:szCs w:val="21"/>
              </w:rPr>
              <w:t>砷</w:t>
            </w:r>
          </w:p>
        </w:tc>
        <w:tc>
          <w:tcPr>
            <w:tcW w:w="976" w:type="pct"/>
            <w:vAlign w:val="center"/>
          </w:tcPr>
          <w:p w14:paraId="676E0D24" w14:textId="0A6F3014" w:rsidR="00AC7169" w:rsidRPr="00AC7169" w:rsidRDefault="00AC7169" w:rsidP="00AC7169">
            <w:pPr>
              <w:pStyle w:val="a5"/>
              <w:spacing w:line="280" w:lineRule="exact"/>
              <w:ind w:left="-105" w:firstLine="0"/>
              <w:jc w:val="center"/>
              <w:rPr>
                <w:sz w:val="21"/>
                <w:szCs w:val="21"/>
              </w:rPr>
            </w:pPr>
            <w:r>
              <w:rPr>
                <w:rFonts w:hint="eastAsia"/>
                <w:sz w:val="21"/>
                <w:szCs w:val="21"/>
              </w:rPr>
              <w:t>0.1</w:t>
            </w:r>
          </w:p>
        </w:tc>
      </w:tr>
      <w:tr w:rsidR="00AC7169" w:rsidRPr="00AC7169" w14:paraId="0610788D" w14:textId="77777777" w:rsidTr="00AC7169">
        <w:trPr>
          <w:trHeight w:val="284"/>
          <w:jc w:val="center"/>
        </w:trPr>
        <w:tc>
          <w:tcPr>
            <w:tcW w:w="1130" w:type="pct"/>
            <w:vAlign w:val="center"/>
          </w:tcPr>
          <w:p w14:paraId="3424D91C" w14:textId="5BCCD0BD" w:rsidR="00AC7169" w:rsidRPr="00AC7169" w:rsidRDefault="00AC7169" w:rsidP="00AC7169">
            <w:pPr>
              <w:pStyle w:val="a5"/>
              <w:spacing w:line="280" w:lineRule="exact"/>
              <w:ind w:left="-105" w:firstLine="0"/>
              <w:jc w:val="center"/>
              <w:rPr>
                <w:sz w:val="21"/>
                <w:szCs w:val="21"/>
              </w:rPr>
            </w:pPr>
            <w:r>
              <w:rPr>
                <w:rFonts w:hint="eastAsia"/>
                <w:sz w:val="21"/>
                <w:szCs w:val="21"/>
              </w:rPr>
              <w:t>溶解氧</w:t>
            </w:r>
          </w:p>
        </w:tc>
        <w:tc>
          <w:tcPr>
            <w:tcW w:w="1343" w:type="pct"/>
            <w:vAlign w:val="center"/>
          </w:tcPr>
          <w:p w14:paraId="04A9E79C" w14:textId="5B296BEC" w:rsidR="00AC7169" w:rsidRPr="00AC7169" w:rsidRDefault="00AC7169" w:rsidP="00AC7169">
            <w:pPr>
              <w:pStyle w:val="a5"/>
              <w:spacing w:line="280" w:lineRule="exact"/>
              <w:ind w:left="-105" w:firstLine="0"/>
              <w:jc w:val="center"/>
              <w:rPr>
                <w:sz w:val="21"/>
                <w:szCs w:val="21"/>
              </w:rPr>
            </w:pPr>
            <w:r>
              <w:rPr>
                <w:rFonts w:hint="eastAsia"/>
                <w:sz w:val="21"/>
                <w:szCs w:val="21"/>
              </w:rPr>
              <w:t>2</w:t>
            </w:r>
          </w:p>
        </w:tc>
        <w:tc>
          <w:tcPr>
            <w:tcW w:w="1551" w:type="pct"/>
            <w:vAlign w:val="center"/>
          </w:tcPr>
          <w:p w14:paraId="0526F663" w14:textId="11FE37FE" w:rsidR="00AC7169" w:rsidRPr="00AC7169" w:rsidRDefault="00AC7169" w:rsidP="00AC7169">
            <w:pPr>
              <w:pStyle w:val="a5"/>
              <w:spacing w:line="280" w:lineRule="exact"/>
              <w:ind w:left="-105" w:firstLine="0"/>
              <w:jc w:val="center"/>
              <w:rPr>
                <w:sz w:val="21"/>
                <w:szCs w:val="21"/>
              </w:rPr>
            </w:pPr>
            <w:r>
              <w:rPr>
                <w:rFonts w:hint="eastAsia"/>
                <w:sz w:val="21"/>
                <w:szCs w:val="21"/>
              </w:rPr>
              <w:t>汞</w:t>
            </w:r>
          </w:p>
        </w:tc>
        <w:tc>
          <w:tcPr>
            <w:tcW w:w="976" w:type="pct"/>
            <w:vAlign w:val="center"/>
          </w:tcPr>
          <w:p w14:paraId="42C6D59C" w14:textId="5AF490FB" w:rsidR="00AC7169" w:rsidRPr="00AC7169" w:rsidRDefault="00AC7169" w:rsidP="00AC7169">
            <w:pPr>
              <w:pStyle w:val="a5"/>
              <w:spacing w:line="280" w:lineRule="exact"/>
              <w:ind w:left="-105" w:firstLine="0"/>
              <w:jc w:val="center"/>
              <w:rPr>
                <w:sz w:val="21"/>
                <w:szCs w:val="21"/>
              </w:rPr>
            </w:pPr>
            <w:r w:rsidRPr="00AC7169">
              <w:rPr>
                <w:sz w:val="21"/>
                <w:szCs w:val="21"/>
              </w:rPr>
              <w:t>0.001</w:t>
            </w:r>
          </w:p>
        </w:tc>
      </w:tr>
      <w:tr w:rsidR="00AC7169" w:rsidRPr="00AC7169" w14:paraId="47B98C3C" w14:textId="77777777" w:rsidTr="00AC7169">
        <w:trPr>
          <w:trHeight w:val="284"/>
          <w:jc w:val="center"/>
        </w:trPr>
        <w:tc>
          <w:tcPr>
            <w:tcW w:w="1130" w:type="pct"/>
            <w:vAlign w:val="center"/>
          </w:tcPr>
          <w:p w14:paraId="40ED7F48" w14:textId="68E59F53" w:rsidR="00AC7169" w:rsidRPr="00AC7169" w:rsidRDefault="00AC7169" w:rsidP="00AC7169">
            <w:pPr>
              <w:pStyle w:val="a5"/>
              <w:spacing w:line="280" w:lineRule="exact"/>
              <w:ind w:left="-105" w:firstLine="0"/>
              <w:jc w:val="center"/>
              <w:rPr>
                <w:sz w:val="21"/>
                <w:szCs w:val="21"/>
              </w:rPr>
            </w:pPr>
            <w:r>
              <w:rPr>
                <w:rFonts w:hint="eastAsia"/>
                <w:sz w:val="21"/>
                <w:szCs w:val="21"/>
              </w:rPr>
              <w:t>高锰酸盐指数</w:t>
            </w:r>
          </w:p>
        </w:tc>
        <w:tc>
          <w:tcPr>
            <w:tcW w:w="1343" w:type="pct"/>
            <w:vAlign w:val="center"/>
          </w:tcPr>
          <w:p w14:paraId="7238C0A0" w14:textId="2199A876" w:rsidR="00AC7169" w:rsidRPr="00AC7169" w:rsidRDefault="00AC7169" w:rsidP="00AC7169">
            <w:pPr>
              <w:pStyle w:val="a5"/>
              <w:spacing w:line="280" w:lineRule="exact"/>
              <w:ind w:left="-105" w:firstLine="0"/>
              <w:jc w:val="center"/>
              <w:rPr>
                <w:sz w:val="21"/>
                <w:szCs w:val="21"/>
              </w:rPr>
            </w:pPr>
            <w:r>
              <w:rPr>
                <w:rFonts w:hint="eastAsia"/>
                <w:sz w:val="21"/>
                <w:szCs w:val="21"/>
              </w:rPr>
              <w:t>15</w:t>
            </w:r>
          </w:p>
        </w:tc>
        <w:tc>
          <w:tcPr>
            <w:tcW w:w="1551" w:type="pct"/>
            <w:vAlign w:val="center"/>
          </w:tcPr>
          <w:p w14:paraId="0642A14E" w14:textId="3E690654" w:rsidR="00AC7169" w:rsidRPr="00AC7169" w:rsidRDefault="00AC7169" w:rsidP="00AC7169">
            <w:pPr>
              <w:pStyle w:val="a5"/>
              <w:spacing w:line="280" w:lineRule="exact"/>
              <w:ind w:left="-105" w:firstLine="0"/>
              <w:jc w:val="center"/>
              <w:rPr>
                <w:sz w:val="21"/>
                <w:szCs w:val="21"/>
              </w:rPr>
            </w:pPr>
            <w:r>
              <w:rPr>
                <w:rFonts w:hint="eastAsia"/>
                <w:sz w:val="21"/>
                <w:szCs w:val="21"/>
              </w:rPr>
              <w:t>镉</w:t>
            </w:r>
          </w:p>
        </w:tc>
        <w:tc>
          <w:tcPr>
            <w:tcW w:w="976" w:type="pct"/>
            <w:vAlign w:val="center"/>
          </w:tcPr>
          <w:p w14:paraId="4532E575" w14:textId="637E960C" w:rsidR="00AC7169" w:rsidRPr="00AC7169" w:rsidRDefault="00AC7169" w:rsidP="00AC7169">
            <w:pPr>
              <w:pStyle w:val="a5"/>
              <w:spacing w:line="280" w:lineRule="exact"/>
              <w:ind w:left="-105" w:firstLine="0"/>
              <w:jc w:val="center"/>
              <w:rPr>
                <w:sz w:val="21"/>
                <w:szCs w:val="21"/>
              </w:rPr>
            </w:pPr>
            <w:r>
              <w:rPr>
                <w:rFonts w:hint="eastAsia"/>
                <w:sz w:val="21"/>
                <w:szCs w:val="21"/>
              </w:rPr>
              <w:t>0.01</w:t>
            </w:r>
          </w:p>
        </w:tc>
      </w:tr>
      <w:tr w:rsidR="00AC7169" w:rsidRPr="00AC7169" w14:paraId="3722CEBC" w14:textId="77777777" w:rsidTr="00AC7169">
        <w:trPr>
          <w:trHeight w:val="284"/>
          <w:jc w:val="center"/>
        </w:trPr>
        <w:tc>
          <w:tcPr>
            <w:tcW w:w="1130" w:type="pct"/>
            <w:vAlign w:val="center"/>
          </w:tcPr>
          <w:p w14:paraId="3445B164" w14:textId="5B442BEA" w:rsidR="00AC7169" w:rsidRPr="00AC7169" w:rsidRDefault="00AC7169" w:rsidP="00AC7169">
            <w:pPr>
              <w:pStyle w:val="a5"/>
              <w:spacing w:line="280" w:lineRule="exact"/>
              <w:ind w:left="-105" w:firstLine="0"/>
              <w:jc w:val="center"/>
              <w:rPr>
                <w:sz w:val="21"/>
                <w:szCs w:val="21"/>
              </w:rPr>
            </w:pPr>
            <w:r>
              <w:rPr>
                <w:rFonts w:hint="eastAsia"/>
                <w:sz w:val="21"/>
                <w:szCs w:val="21"/>
              </w:rPr>
              <w:t>COD</w:t>
            </w:r>
          </w:p>
        </w:tc>
        <w:tc>
          <w:tcPr>
            <w:tcW w:w="1343" w:type="pct"/>
            <w:vAlign w:val="center"/>
          </w:tcPr>
          <w:p w14:paraId="70B309C4" w14:textId="273EEB63" w:rsidR="00AC7169" w:rsidRPr="00AC7169" w:rsidRDefault="00AC7169" w:rsidP="00AC7169">
            <w:pPr>
              <w:pStyle w:val="a5"/>
              <w:spacing w:line="280" w:lineRule="exact"/>
              <w:ind w:left="-105" w:firstLine="0"/>
              <w:jc w:val="center"/>
              <w:rPr>
                <w:sz w:val="21"/>
                <w:szCs w:val="21"/>
              </w:rPr>
            </w:pPr>
            <w:r>
              <w:rPr>
                <w:rFonts w:hint="eastAsia"/>
                <w:sz w:val="21"/>
                <w:szCs w:val="21"/>
              </w:rPr>
              <w:t>40</w:t>
            </w:r>
          </w:p>
        </w:tc>
        <w:tc>
          <w:tcPr>
            <w:tcW w:w="1551" w:type="pct"/>
            <w:vAlign w:val="center"/>
          </w:tcPr>
          <w:p w14:paraId="1F8A8623" w14:textId="716CB9EB" w:rsidR="00AC7169" w:rsidRPr="00AC7169" w:rsidRDefault="00AC7169" w:rsidP="00AC7169">
            <w:pPr>
              <w:pStyle w:val="a5"/>
              <w:spacing w:line="280" w:lineRule="exact"/>
              <w:ind w:left="-105" w:firstLine="0"/>
              <w:jc w:val="center"/>
              <w:rPr>
                <w:sz w:val="21"/>
                <w:szCs w:val="21"/>
              </w:rPr>
            </w:pPr>
            <w:r>
              <w:rPr>
                <w:rFonts w:hint="eastAsia"/>
                <w:sz w:val="21"/>
                <w:szCs w:val="21"/>
              </w:rPr>
              <w:t>铬（六价）</w:t>
            </w:r>
          </w:p>
        </w:tc>
        <w:tc>
          <w:tcPr>
            <w:tcW w:w="976" w:type="pct"/>
            <w:vAlign w:val="center"/>
          </w:tcPr>
          <w:p w14:paraId="2048AFC7" w14:textId="1B37B2AA" w:rsidR="00AC7169" w:rsidRPr="00AC7169" w:rsidRDefault="00AC7169" w:rsidP="00AC7169">
            <w:pPr>
              <w:pStyle w:val="a5"/>
              <w:spacing w:line="280" w:lineRule="exact"/>
              <w:ind w:left="-105" w:firstLine="0"/>
              <w:jc w:val="center"/>
              <w:rPr>
                <w:sz w:val="21"/>
                <w:szCs w:val="21"/>
              </w:rPr>
            </w:pPr>
            <w:r>
              <w:rPr>
                <w:rFonts w:hint="eastAsia"/>
                <w:sz w:val="21"/>
                <w:szCs w:val="21"/>
              </w:rPr>
              <w:t>0.1</w:t>
            </w:r>
          </w:p>
        </w:tc>
      </w:tr>
      <w:tr w:rsidR="00AC7169" w:rsidRPr="00AC7169" w14:paraId="084BD35E" w14:textId="77777777" w:rsidTr="00AC7169">
        <w:trPr>
          <w:trHeight w:val="284"/>
          <w:jc w:val="center"/>
        </w:trPr>
        <w:tc>
          <w:tcPr>
            <w:tcW w:w="1130" w:type="pct"/>
            <w:vAlign w:val="center"/>
          </w:tcPr>
          <w:p w14:paraId="4D61CA74" w14:textId="3AD7B631" w:rsidR="00AC7169" w:rsidRPr="00AC7169" w:rsidRDefault="00AC7169" w:rsidP="00AC7169">
            <w:pPr>
              <w:pStyle w:val="a5"/>
              <w:spacing w:line="280" w:lineRule="exact"/>
              <w:ind w:left="-105" w:firstLine="0"/>
              <w:jc w:val="center"/>
              <w:rPr>
                <w:sz w:val="21"/>
                <w:szCs w:val="21"/>
              </w:rPr>
            </w:pPr>
            <w:r>
              <w:rPr>
                <w:rFonts w:hint="eastAsia"/>
                <w:sz w:val="21"/>
                <w:szCs w:val="21"/>
              </w:rPr>
              <w:t>BOD</w:t>
            </w:r>
            <w:r w:rsidRPr="00AC7169">
              <w:rPr>
                <w:rFonts w:hint="eastAsia"/>
                <w:sz w:val="21"/>
                <w:szCs w:val="21"/>
                <w:vertAlign w:val="subscript"/>
              </w:rPr>
              <w:t>5</w:t>
            </w:r>
          </w:p>
        </w:tc>
        <w:tc>
          <w:tcPr>
            <w:tcW w:w="1343" w:type="pct"/>
            <w:vAlign w:val="center"/>
          </w:tcPr>
          <w:p w14:paraId="3BA09AE8" w14:textId="24D85786" w:rsidR="00AC7169" w:rsidRPr="00AC7169" w:rsidRDefault="00AC7169" w:rsidP="00AC7169">
            <w:pPr>
              <w:pStyle w:val="a5"/>
              <w:spacing w:line="280" w:lineRule="exact"/>
              <w:ind w:left="-105" w:firstLine="0"/>
              <w:jc w:val="center"/>
              <w:rPr>
                <w:sz w:val="21"/>
                <w:szCs w:val="21"/>
              </w:rPr>
            </w:pPr>
            <w:r>
              <w:rPr>
                <w:rFonts w:hint="eastAsia"/>
                <w:sz w:val="21"/>
                <w:szCs w:val="21"/>
              </w:rPr>
              <w:t>10</w:t>
            </w:r>
          </w:p>
        </w:tc>
        <w:tc>
          <w:tcPr>
            <w:tcW w:w="1551" w:type="pct"/>
            <w:vAlign w:val="center"/>
          </w:tcPr>
          <w:p w14:paraId="1B639D29" w14:textId="1BC47F4A" w:rsidR="00AC7169" w:rsidRPr="00AC7169" w:rsidRDefault="00AC7169" w:rsidP="00AC7169">
            <w:pPr>
              <w:pStyle w:val="a5"/>
              <w:spacing w:line="280" w:lineRule="exact"/>
              <w:ind w:left="-105" w:firstLine="0"/>
              <w:jc w:val="center"/>
              <w:rPr>
                <w:sz w:val="21"/>
                <w:szCs w:val="21"/>
              </w:rPr>
            </w:pPr>
            <w:r>
              <w:rPr>
                <w:rFonts w:hint="eastAsia"/>
                <w:sz w:val="21"/>
                <w:szCs w:val="21"/>
              </w:rPr>
              <w:t>铅</w:t>
            </w:r>
          </w:p>
        </w:tc>
        <w:tc>
          <w:tcPr>
            <w:tcW w:w="976" w:type="pct"/>
            <w:vAlign w:val="center"/>
          </w:tcPr>
          <w:p w14:paraId="5790F06E" w14:textId="704ACD7F" w:rsidR="00AC7169" w:rsidRPr="00AC7169" w:rsidRDefault="00AC7169" w:rsidP="00AC7169">
            <w:pPr>
              <w:pStyle w:val="a5"/>
              <w:spacing w:line="280" w:lineRule="exact"/>
              <w:ind w:left="-105" w:firstLine="0"/>
              <w:jc w:val="center"/>
              <w:rPr>
                <w:sz w:val="21"/>
                <w:szCs w:val="21"/>
              </w:rPr>
            </w:pPr>
            <w:r>
              <w:rPr>
                <w:rFonts w:hint="eastAsia"/>
                <w:sz w:val="21"/>
                <w:szCs w:val="21"/>
              </w:rPr>
              <w:t>0.1</w:t>
            </w:r>
          </w:p>
        </w:tc>
      </w:tr>
      <w:tr w:rsidR="00AC7169" w:rsidRPr="00AC7169" w14:paraId="63D523E1" w14:textId="77777777" w:rsidTr="00AC7169">
        <w:trPr>
          <w:trHeight w:val="284"/>
          <w:jc w:val="center"/>
        </w:trPr>
        <w:tc>
          <w:tcPr>
            <w:tcW w:w="1130" w:type="pct"/>
            <w:vAlign w:val="center"/>
          </w:tcPr>
          <w:p w14:paraId="5FF85F2A" w14:textId="004C8135" w:rsidR="00AC7169" w:rsidRPr="00AC7169" w:rsidRDefault="00AC7169" w:rsidP="00AC7169">
            <w:pPr>
              <w:pStyle w:val="a5"/>
              <w:spacing w:line="280" w:lineRule="exact"/>
              <w:ind w:left="-105" w:firstLine="0"/>
              <w:jc w:val="center"/>
              <w:rPr>
                <w:sz w:val="21"/>
                <w:szCs w:val="21"/>
              </w:rPr>
            </w:pPr>
            <w:r>
              <w:rPr>
                <w:rFonts w:hint="eastAsia"/>
                <w:sz w:val="21"/>
                <w:szCs w:val="21"/>
              </w:rPr>
              <w:t>氨氮</w:t>
            </w:r>
          </w:p>
        </w:tc>
        <w:tc>
          <w:tcPr>
            <w:tcW w:w="1343" w:type="pct"/>
            <w:vAlign w:val="center"/>
          </w:tcPr>
          <w:p w14:paraId="5667B9EE" w14:textId="66CAB8C6" w:rsidR="00AC7169" w:rsidRPr="00AC7169" w:rsidRDefault="00AC7169" w:rsidP="00AC7169">
            <w:pPr>
              <w:pStyle w:val="a5"/>
              <w:spacing w:line="280" w:lineRule="exact"/>
              <w:ind w:left="-105" w:firstLine="0"/>
              <w:jc w:val="center"/>
              <w:rPr>
                <w:sz w:val="21"/>
                <w:szCs w:val="21"/>
              </w:rPr>
            </w:pPr>
            <w:r>
              <w:rPr>
                <w:rFonts w:hint="eastAsia"/>
                <w:sz w:val="21"/>
                <w:szCs w:val="21"/>
              </w:rPr>
              <w:t>2.0</w:t>
            </w:r>
          </w:p>
        </w:tc>
        <w:tc>
          <w:tcPr>
            <w:tcW w:w="1551" w:type="pct"/>
            <w:vAlign w:val="center"/>
          </w:tcPr>
          <w:p w14:paraId="6454B9F9" w14:textId="5048B8BD" w:rsidR="00AC7169" w:rsidRPr="00AC7169" w:rsidRDefault="00AC7169" w:rsidP="00AC7169">
            <w:pPr>
              <w:pStyle w:val="a5"/>
              <w:spacing w:line="280" w:lineRule="exact"/>
              <w:ind w:left="-105" w:firstLine="0"/>
              <w:jc w:val="center"/>
              <w:rPr>
                <w:sz w:val="21"/>
                <w:szCs w:val="21"/>
              </w:rPr>
            </w:pPr>
            <w:r>
              <w:rPr>
                <w:rFonts w:hint="eastAsia"/>
                <w:sz w:val="21"/>
                <w:szCs w:val="21"/>
              </w:rPr>
              <w:t>氰化物</w:t>
            </w:r>
          </w:p>
        </w:tc>
        <w:tc>
          <w:tcPr>
            <w:tcW w:w="976" w:type="pct"/>
            <w:vAlign w:val="center"/>
          </w:tcPr>
          <w:p w14:paraId="216F6F7C" w14:textId="0D937D45" w:rsidR="00AC7169" w:rsidRPr="00AC7169" w:rsidRDefault="00AC7169" w:rsidP="00AC7169">
            <w:pPr>
              <w:pStyle w:val="a5"/>
              <w:spacing w:line="280" w:lineRule="exact"/>
              <w:ind w:left="-105" w:firstLine="0"/>
              <w:jc w:val="center"/>
              <w:rPr>
                <w:sz w:val="21"/>
                <w:szCs w:val="21"/>
              </w:rPr>
            </w:pPr>
            <w:r>
              <w:rPr>
                <w:rFonts w:hint="eastAsia"/>
                <w:sz w:val="21"/>
                <w:szCs w:val="21"/>
              </w:rPr>
              <w:t>0.2</w:t>
            </w:r>
          </w:p>
        </w:tc>
      </w:tr>
      <w:tr w:rsidR="00AC7169" w:rsidRPr="00AC7169" w14:paraId="3BBDCC96" w14:textId="77777777" w:rsidTr="00AC7169">
        <w:trPr>
          <w:trHeight w:val="284"/>
          <w:jc w:val="center"/>
        </w:trPr>
        <w:tc>
          <w:tcPr>
            <w:tcW w:w="1130" w:type="pct"/>
            <w:vAlign w:val="center"/>
          </w:tcPr>
          <w:p w14:paraId="02CE6774" w14:textId="5A9777FD" w:rsidR="00AC7169" w:rsidRPr="00AC7169" w:rsidRDefault="00AC7169" w:rsidP="00AC7169">
            <w:pPr>
              <w:pStyle w:val="a5"/>
              <w:spacing w:line="280" w:lineRule="exact"/>
              <w:ind w:left="-105" w:firstLine="0"/>
              <w:jc w:val="center"/>
              <w:rPr>
                <w:sz w:val="21"/>
                <w:szCs w:val="21"/>
              </w:rPr>
            </w:pPr>
            <w:r>
              <w:rPr>
                <w:rFonts w:hint="eastAsia"/>
                <w:sz w:val="21"/>
                <w:szCs w:val="21"/>
              </w:rPr>
              <w:t>总磷</w:t>
            </w:r>
          </w:p>
        </w:tc>
        <w:tc>
          <w:tcPr>
            <w:tcW w:w="1343" w:type="pct"/>
            <w:vAlign w:val="center"/>
          </w:tcPr>
          <w:p w14:paraId="43637228" w14:textId="72CCE42C" w:rsidR="00AC7169" w:rsidRPr="00AC7169" w:rsidRDefault="00AC7169" w:rsidP="00AC7169">
            <w:pPr>
              <w:pStyle w:val="a5"/>
              <w:spacing w:line="280" w:lineRule="exact"/>
              <w:ind w:left="-105" w:firstLine="0"/>
              <w:jc w:val="center"/>
              <w:rPr>
                <w:sz w:val="21"/>
                <w:szCs w:val="21"/>
              </w:rPr>
            </w:pPr>
            <w:r>
              <w:rPr>
                <w:rFonts w:hint="eastAsia"/>
                <w:sz w:val="21"/>
                <w:szCs w:val="21"/>
              </w:rPr>
              <w:t>0.4</w:t>
            </w:r>
            <w:r>
              <w:rPr>
                <w:rFonts w:hint="eastAsia"/>
                <w:sz w:val="21"/>
                <w:szCs w:val="21"/>
              </w:rPr>
              <w:t>（湖、库</w:t>
            </w:r>
            <w:r>
              <w:rPr>
                <w:rFonts w:hint="eastAsia"/>
                <w:sz w:val="21"/>
                <w:szCs w:val="21"/>
              </w:rPr>
              <w:t>0.2</w:t>
            </w:r>
            <w:r>
              <w:rPr>
                <w:rFonts w:hint="eastAsia"/>
                <w:sz w:val="21"/>
                <w:szCs w:val="21"/>
              </w:rPr>
              <w:t>）</w:t>
            </w:r>
          </w:p>
        </w:tc>
        <w:tc>
          <w:tcPr>
            <w:tcW w:w="1551" w:type="pct"/>
            <w:vAlign w:val="center"/>
          </w:tcPr>
          <w:p w14:paraId="591F3808" w14:textId="31317D08" w:rsidR="00AC7169" w:rsidRPr="00AC7169" w:rsidRDefault="00AC7169" w:rsidP="00AC7169">
            <w:pPr>
              <w:pStyle w:val="a5"/>
              <w:spacing w:line="280" w:lineRule="exact"/>
              <w:ind w:left="-105" w:firstLine="0"/>
              <w:jc w:val="center"/>
              <w:rPr>
                <w:sz w:val="21"/>
                <w:szCs w:val="21"/>
              </w:rPr>
            </w:pPr>
            <w:r>
              <w:rPr>
                <w:rFonts w:hint="eastAsia"/>
                <w:sz w:val="21"/>
                <w:szCs w:val="21"/>
              </w:rPr>
              <w:t>挥发酚</w:t>
            </w:r>
          </w:p>
        </w:tc>
        <w:tc>
          <w:tcPr>
            <w:tcW w:w="976" w:type="pct"/>
            <w:vAlign w:val="center"/>
          </w:tcPr>
          <w:p w14:paraId="1DB57109" w14:textId="2E8547FD" w:rsidR="00AC7169" w:rsidRPr="00AC7169" w:rsidRDefault="00AC7169" w:rsidP="00AC7169">
            <w:pPr>
              <w:pStyle w:val="a5"/>
              <w:spacing w:line="280" w:lineRule="exact"/>
              <w:ind w:left="-105" w:firstLine="0"/>
              <w:jc w:val="center"/>
              <w:rPr>
                <w:sz w:val="21"/>
                <w:szCs w:val="21"/>
              </w:rPr>
            </w:pPr>
            <w:r>
              <w:rPr>
                <w:rFonts w:hint="eastAsia"/>
                <w:sz w:val="21"/>
                <w:szCs w:val="21"/>
              </w:rPr>
              <w:t>0.1</w:t>
            </w:r>
          </w:p>
        </w:tc>
      </w:tr>
      <w:tr w:rsidR="00AC7169" w:rsidRPr="00AC7169" w14:paraId="4285EE20" w14:textId="77777777" w:rsidTr="00AC7169">
        <w:trPr>
          <w:trHeight w:val="284"/>
          <w:jc w:val="center"/>
        </w:trPr>
        <w:tc>
          <w:tcPr>
            <w:tcW w:w="1130" w:type="pct"/>
            <w:vAlign w:val="center"/>
          </w:tcPr>
          <w:p w14:paraId="7B5E6025" w14:textId="3FF69E76" w:rsidR="00AC7169" w:rsidRPr="00AC7169" w:rsidRDefault="00AC7169" w:rsidP="00AC7169">
            <w:pPr>
              <w:pStyle w:val="a5"/>
              <w:spacing w:line="280" w:lineRule="exact"/>
              <w:ind w:left="-105" w:firstLine="0"/>
              <w:jc w:val="center"/>
              <w:rPr>
                <w:sz w:val="21"/>
                <w:szCs w:val="21"/>
              </w:rPr>
            </w:pPr>
            <w:r>
              <w:rPr>
                <w:rFonts w:hint="eastAsia"/>
                <w:sz w:val="21"/>
                <w:szCs w:val="21"/>
              </w:rPr>
              <w:t>总氮</w:t>
            </w:r>
          </w:p>
        </w:tc>
        <w:tc>
          <w:tcPr>
            <w:tcW w:w="1343" w:type="pct"/>
            <w:vAlign w:val="center"/>
          </w:tcPr>
          <w:p w14:paraId="6E9B5A7C" w14:textId="5B1AF499" w:rsidR="00AC7169" w:rsidRPr="00AC7169" w:rsidRDefault="00AC7169" w:rsidP="00AC7169">
            <w:pPr>
              <w:pStyle w:val="a5"/>
              <w:spacing w:line="280" w:lineRule="exact"/>
              <w:ind w:left="-105" w:firstLine="0"/>
              <w:jc w:val="center"/>
              <w:rPr>
                <w:sz w:val="21"/>
                <w:szCs w:val="21"/>
              </w:rPr>
            </w:pPr>
            <w:r>
              <w:rPr>
                <w:rFonts w:hint="eastAsia"/>
                <w:sz w:val="21"/>
                <w:szCs w:val="21"/>
              </w:rPr>
              <w:t>2.0</w:t>
            </w:r>
          </w:p>
        </w:tc>
        <w:tc>
          <w:tcPr>
            <w:tcW w:w="1551" w:type="pct"/>
            <w:vAlign w:val="center"/>
          </w:tcPr>
          <w:p w14:paraId="58EB2861" w14:textId="058028D5" w:rsidR="00AC7169" w:rsidRPr="00AC7169" w:rsidRDefault="00AC7169" w:rsidP="00AC7169">
            <w:pPr>
              <w:pStyle w:val="a5"/>
              <w:spacing w:line="280" w:lineRule="exact"/>
              <w:ind w:left="-105" w:firstLine="0"/>
              <w:jc w:val="center"/>
              <w:rPr>
                <w:sz w:val="21"/>
                <w:szCs w:val="21"/>
              </w:rPr>
            </w:pPr>
            <w:r>
              <w:rPr>
                <w:rFonts w:hint="eastAsia"/>
                <w:sz w:val="21"/>
                <w:szCs w:val="21"/>
              </w:rPr>
              <w:t>石油类</w:t>
            </w:r>
          </w:p>
        </w:tc>
        <w:tc>
          <w:tcPr>
            <w:tcW w:w="976" w:type="pct"/>
            <w:vAlign w:val="center"/>
          </w:tcPr>
          <w:p w14:paraId="5078E947" w14:textId="67D34D7E" w:rsidR="00AC7169" w:rsidRPr="00AC7169" w:rsidRDefault="00AC7169" w:rsidP="00AC7169">
            <w:pPr>
              <w:pStyle w:val="a5"/>
              <w:spacing w:line="280" w:lineRule="exact"/>
              <w:ind w:left="-105" w:firstLine="0"/>
              <w:jc w:val="center"/>
              <w:rPr>
                <w:sz w:val="21"/>
                <w:szCs w:val="21"/>
              </w:rPr>
            </w:pPr>
            <w:r>
              <w:rPr>
                <w:rFonts w:hint="eastAsia"/>
                <w:sz w:val="21"/>
                <w:szCs w:val="21"/>
              </w:rPr>
              <w:t>1.0</w:t>
            </w:r>
          </w:p>
        </w:tc>
      </w:tr>
      <w:tr w:rsidR="00AC7169" w:rsidRPr="00AC7169" w14:paraId="587239D6" w14:textId="77777777" w:rsidTr="00AC7169">
        <w:trPr>
          <w:trHeight w:val="284"/>
          <w:jc w:val="center"/>
        </w:trPr>
        <w:tc>
          <w:tcPr>
            <w:tcW w:w="1130" w:type="pct"/>
            <w:vAlign w:val="center"/>
          </w:tcPr>
          <w:p w14:paraId="270D152C" w14:textId="3EE702BA" w:rsidR="00AC7169" w:rsidRPr="00AC7169" w:rsidRDefault="00AC7169" w:rsidP="00AC7169">
            <w:pPr>
              <w:pStyle w:val="a5"/>
              <w:spacing w:line="280" w:lineRule="exact"/>
              <w:ind w:left="-105" w:firstLine="0"/>
              <w:jc w:val="center"/>
              <w:rPr>
                <w:sz w:val="21"/>
                <w:szCs w:val="21"/>
              </w:rPr>
            </w:pPr>
            <w:r>
              <w:rPr>
                <w:rFonts w:hint="eastAsia"/>
                <w:sz w:val="21"/>
                <w:szCs w:val="21"/>
              </w:rPr>
              <w:t>铜</w:t>
            </w:r>
          </w:p>
        </w:tc>
        <w:tc>
          <w:tcPr>
            <w:tcW w:w="1343" w:type="pct"/>
            <w:vAlign w:val="center"/>
          </w:tcPr>
          <w:p w14:paraId="3BF200C4" w14:textId="4163FADD" w:rsidR="00AC7169" w:rsidRPr="00AC7169" w:rsidRDefault="00AC7169" w:rsidP="00AC7169">
            <w:pPr>
              <w:pStyle w:val="a5"/>
              <w:spacing w:line="280" w:lineRule="exact"/>
              <w:ind w:left="-105" w:firstLine="0"/>
              <w:jc w:val="center"/>
              <w:rPr>
                <w:sz w:val="21"/>
                <w:szCs w:val="21"/>
              </w:rPr>
            </w:pPr>
            <w:r>
              <w:rPr>
                <w:rFonts w:hint="eastAsia"/>
                <w:sz w:val="21"/>
                <w:szCs w:val="21"/>
              </w:rPr>
              <w:t>1</w:t>
            </w:r>
          </w:p>
        </w:tc>
        <w:tc>
          <w:tcPr>
            <w:tcW w:w="1551" w:type="pct"/>
            <w:vAlign w:val="center"/>
          </w:tcPr>
          <w:p w14:paraId="4E14397E" w14:textId="2BD9C8EC" w:rsidR="00AC7169" w:rsidRPr="00AC7169" w:rsidRDefault="00AC7169" w:rsidP="00AC7169">
            <w:pPr>
              <w:pStyle w:val="a5"/>
              <w:spacing w:line="280" w:lineRule="exact"/>
              <w:ind w:left="-105" w:firstLine="0"/>
              <w:jc w:val="center"/>
              <w:rPr>
                <w:sz w:val="21"/>
                <w:szCs w:val="21"/>
              </w:rPr>
            </w:pPr>
            <w:r>
              <w:rPr>
                <w:rFonts w:hint="eastAsia"/>
                <w:sz w:val="21"/>
                <w:szCs w:val="21"/>
              </w:rPr>
              <w:t>阴离子表面活性剂</w:t>
            </w:r>
          </w:p>
        </w:tc>
        <w:tc>
          <w:tcPr>
            <w:tcW w:w="976" w:type="pct"/>
            <w:vAlign w:val="center"/>
          </w:tcPr>
          <w:p w14:paraId="78EE6BE4" w14:textId="26CB5311" w:rsidR="00AC7169" w:rsidRPr="00AC7169" w:rsidRDefault="00AC7169" w:rsidP="00AC7169">
            <w:pPr>
              <w:pStyle w:val="a5"/>
              <w:spacing w:line="280" w:lineRule="exact"/>
              <w:ind w:left="-105" w:firstLine="0"/>
              <w:jc w:val="center"/>
              <w:rPr>
                <w:sz w:val="21"/>
                <w:szCs w:val="21"/>
              </w:rPr>
            </w:pPr>
            <w:r>
              <w:rPr>
                <w:rFonts w:hint="eastAsia"/>
                <w:sz w:val="21"/>
                <w:szCs w:val="21"/>
              </w:rPr>
              <w:t>0.3</w:t>
            </w:r>
          </w:p>
        </w:tc>
      </w:tr>
      <w:tr w:rsidR="00AC7169" w:rsidRPr="00AC7169" w14:paraId="21562D91" w14:textId="77777777" w:rsidTr="00AC7169">
        <w:trPr>
          <w:trHeight w:val="284"/>
          <w:jc w:val="center"/>
        </w:trPr>
        <w:tc>
          <w:tcPr>
            <w:tcW w:w="1130" w:type="pct"/>
            <w:vAlign w:val="center"/>
          </w:tcPr>
          <w:p w14:paraId="3121B364" w14:textId="59AA0A58" w:rsidR="00AC7169" w:rsidRPr="00AC7169" w:rsidRDefault="00AC7169" w:rsidP="00AC7169">
            <w:pPr>
              <w:pStyle w:val="a5"/>
              <w:spacing w:line="280" w:lineRule="exact"/>
              <w:ind w:left="-105" w:firstLine="0"/>
              <w:jc w:val="center"/>
              <w:rPr>
                <w:sz w:val="21"/>
                <w:szCs w:val="21"/>
              </w:rPr>
            </w:pPr>
            <w:r>
              <w:rPr>
                <w:rFonts w:hint="eastAsia"/>
                <w:sz w:val="21"/>
                <w:szCs w:val="21"/>
              </w:rPr>
              <w:t>锌</w:t>
            </w:r>
          </w:p>
        </w:tc>
        <w:tc>
          <w:tcPr>
            <w:tcW w:w="1343" w:type="pct"/>
            <w:vAlign w:val="center"/>
          </w:tcPr>
          <w:p w14:paraId="74EBC556" w14:textId="797DEC9D" w:rsidR="00AC7169" w:rsidRPr="00AC7169" w:rsidRDefault="00AC7169" w:rsidP="00AC7169">
            <w:pPr>
              <w:pStyle w:val="a5"/>
              <w:spacing w:line="280" w:lineRule="exact"/>
              <w:ind w:left="-105" w:firstLine="0"/>
              <w:jc w:val="center"/>
              <w:rPr>
                <w:sz w:val="21"/>
                <w:szCs w:val="21"/>
              </w:rPr>
            </w:pPr>
            <w:r>
              <w:rPr>
                <w:rFonts w:hint="eastAsia"/>
                <w:sz w:val="21"/>
                <w:szCs w:val="21"/>
              </w:rPr>
              <w:t>2</w:t>
            </w:r>
          </w:p>
        </w:tc>
        <w:tc>
          <w:tcPr>
            <w:tcW w:w="1551" w:type="pct"/>
            <w:vAlign w:val="center"/>
          </w:tcPr>
          <w:p w14:paraId="13FE756C" w14:textId="3F631438" w:rsidR="00AC7169" w:rsidRPr="00AC7169" w:rsidRDefault="00AC7169" w:rsidP="00AC7169">
            <w:pPr>
              <w:pStyle w:val="a5"/>
              <w:spacing w:line="280" w:lineRule="exact"/>
              <w:ind w:left="-105" w:firstLine="0"/>
              <w:jc w:val="center"/>
              <w:rPr>
                <w:sz w:val="21"/>
                <w:szCs w:val="21"/>
              </w:rPr>
            </w:pPr>
            <w:r>
              <w:rPr>
                <w:rFonts w:hint="eastAsia"/>
                <w:sz w:val="21"/>
                <w:szCs w:val="21"/>
              </w:rPr>
              <w:t>硫化物</w:t>
            </w:r>
          </w:p>
        </w:tc>
        <w:tc>
          <w:tcPr>
            <w:tcW w:w="976" w:type="pct"/>
            <w:vAlign w:val="center"/>
          </w:tcPr>
          <w:p w14:paraId="23EB6968" w14:textId="343F4BF5" w:rsidR="00AC7169" w:rsidRPr="00AC7169" w:rsidRDefault="00AC7169" w:rsidP="00AC7169">
            <w:pPr>
              <w:pStyle w:val="a5"/>
              <w:spacing w:line="280" w:lineRule="exact"/>
              <w:ind w:left="-105" w:firstLine="0"/>
              <w:jc w:val="center"/>
              <w:rPr>
                <w:sz w:val="21"/>
                <w:szCs w:val="21"/>
              </w:rPr>
            </w:pPr>
            <w:r>
              <w:rPr>
                <w:rFonts w:hint="eastAsia"/>
                <w:sz w:val="21"/>
                <w:szCs w:val="21"/>
              </w:rPr>
              <w:t>1.0</w:t>
            </w:r>
          </w:p>
        </w:tc>
      </w:tr>
      <w:tr w:rsidR="00AC7169" w:rsidRPr="00AC7169" w14:paraId="439BD96C" w14:textId="77777777" w:rsidTr="00AC7169">
        <w:trPr>
          <w:trHeight w:val="284"/>
          <w:jc w:val="center"/>
        </w:trPr>
        <w:tc>
          <w:tcPr>
            <w:tcW w:w="1130" w:type="pct"/>
            <w:vAlign w:val="center"/>
          </w:tcPr>
          <w:p w14:paraId="021EE055" w14:textId="358732AA" w:rsidR="00AC7169" w:rsidRPr="00AC7169" w:rsidRDefault="00AC7169" w:rsidP="00AC7169">
            <w:pPr>
              <w:pStyle w:val="a5"/>
              <w:spacing w:line="280" w:lineRule="exact"/>
              <w:ind w:left="-105" w:firstLine="0"/>
              <w:jc w:val="center"/>
              <w:rPr>
                <w:sz w:val="21"/>
                <w:szCs w:val="21"/>
              </w:rPr>
            </w:pPr>
            <w:r>
              <w:rPr>
                <w:rFonts w:hint="eastAsia"/>
                <w:sz w:val="21"/>
                <w:szCs w:val="21"/>
              </w:rPr>
              <w:t>氟化物</w:t>
            </w:r>
          </w:p>
        </w:tc>
        <w:tc>
          <w:tcPr>
            <w:tcW w:w="1343" w:type="pct"/>
            <w:vAlign w:val="center"/>
          </w:tcPr>
          <w:p w14:paraId="7590E063" w14:textId="52CCE97D" w:rsidR="00AC7169" w:rsidRPr="00AC7169" w:rsidRDefault="00AC7169" w:rsidP="00AC7169">
            <w:pPr>
              <w:pStyle w:val="a5"/>
              <w:spacing w:line="280" w:lineRule="exact"/>
              <w:ind w:left="-105" w:firstLine="0"/>
              <w:jc w:val="center"/>
              <w:rPr>
                <w:sz w:val="21"/>
                <w:szCs w:val="21"/>
              </w:rPr>
            </w:pPr>
            <w:r>
              <w:rPr>
                <w:rFonts w:hint="eastAsia"/>
                <w:sz w:val="21"/>
                <w:szCs w:val="21"/>
              </w:rPr>
              <w:t>1.5</w:t>
            </w:r>
          </w:p>
        </w:tc>
        <w:tc>
          <w:tcPr>
            <w:tcW w:w="1551" w:type="pct"/>
            <w:vAlign w:val="center"/>
          </w:tcPr>
          <w:p w14:paraId="51FD290E" w14:textId="1398A417" w:rsidR="00AC7169" w:rsidRPr="00AC7169" w:rsidRDefault="00AC7169" w:rsidP="00AC7169">
            <w:pPr>
              <w:pStyle w:val="a5"/>
              <w:spacing w:line="280" w:lineRule="exact"/>
              <w:ind w:left="-105" w:firstLine="0"/>
              <w:jc w:val="center"/>
              <w:rPr>
                <w:sz w:val="21"/>
                <w:szCs w:val="21"/>
              </w:rPr>
            </w:pPr>
            <w:r>
              <w:rPr>
                <w:rFonts w:hint="eastAsia"/>
                <w:sz w:val="21"/>
                <w:szCs w:val="21"/>
              </w:rPr>
              <w:t>粪大肠菌群（</w:t>
            </w:r>
            <w:r>
              <w:rPr>
                <w:rFonts w:hint="eastAsia"/>
                <w:szCs w:val="21"/>
              </w:rPr>
              <w:t>个</w:t>
            </w:r>
            <w:r>
              <w:rPr>
                <w:rFonts w:hint="eastAsia"/>
                <w:szCs w:val="21"/>
              </w:rPr>
              <w:t>/L</w:t>
            </w:r>
            <w:r>
              <w:rPr>
                <w:rFonts w:hint="eastAsia"/>
                <w:sz w:val="21"/>
                <w:szCs w:val="21"/>
              </w:rPr>
              <w:t>）</w:t>
            </w:r>
          </w:p>
        </w:tc>
        <w:tc>
          <w:tcPr>
            <w:tcW w:w="976" w:type="pct"/>
            <w:vAlign w:val="center"/>
          </w:tcPr>
          <w:p w14:paraId="781CEF00" w14:textId="0D0C9E3B" w:rsidR="00AC7169" w:rsidRPr="00AC7169" w:rsidRDefault="00AC7169" w:rsidP="00AC7169">
            <w:pPr>
              <w:pStyle w:val="a5"/>
              <w:spacing w:line="280" w:lineRule="exact"/>
              <w:ind w:left="-105" w:firstLine="0"/>
              <w:jc w:val="center"/>
              <w:rPr>
                <w:sz w:val="21"/>
                <w:szCs w:val="21"/>
              </w:rPr>
            </w:pPr>
            <w:r>
              <w:rPr>
                <w:rFonts w:hint="eastAsia"/>
                <w:sz w:val="21"/>
                <w:szCs w:val="21"/>
              </w:rPr>
              <w:t>40000</w:t>
            </w:r>
          </w:p>
        </w:tc>
      </w:tr>
      <w:tr w:rsidR="00AC7169" w:rsidRPr="00AC7169" w14:paraId="2C0EACDA" w14:textId="77777777" w:rsidTr="00AC7169">
        <w:trPr>
          <w:trHeight w:val="284"/>
          <w:jc w:val="center"/>
        </w:trPr>
        <w:tc>
          <w:tcPr>
            <w:tcW w:w="1130" w:type="pct"/>
            <w:vAlign w:val="center"/>
          </w:tcPr>
          <w:p w14:paraId="3523F29B" w14:textId="79098EA2" w:rsidR="00AC7169" w:rsidRDefault="00AC7169" w:rsidP="00AC7169">
            <w:pPr>
              <w:pStyle w:val="a5"/>
              <w:spacing w:line="280" w:lineRule="exact"/>
              <w:ind w:left="-105" w:firstLine="0"/>
              <w:jc w:val="center"/>
              <w:rPr>
                <w:sz w:val="21"/>
                <w:szCs w:val="21"/>
              </w:rPr>
            </w:pPr>
            <w:r>
              <w:rPr>
                <w:rFonts w:hint="eastAsia"/>
                <w:sz w:val="21"/>
                <w:szCs w:val="21"/>
              </w:rPr>
              <w:t>硒</w:t>
            </w:r>
          </w:p>
        </w:tc>
        <w:tc>
          <w:tcPr>
            <w:tcW w:w="1343" w:type="pct"/>
            <w:vAlign w:val="center"/>
          </w:tcPr>
          <w:p w14:paraId="3F1EF635" w14:textId="4A305CEB" w:rsidR="00AC7169" w:rsidRDefault="00AC7169" w:rsidP="00AC7169">
            <w:pPr>
              <w:pStyle w:val="a5"/>
              <w:spacing w:line="280" w:lineRule="exact"/>
              <w:ind w:left="-105" w:firstLine="0"/>
              <w:jc w:val="center"/>
              <w:rPr>
                <w:sz w:val="21"/>
                <w:szCs w:val="21"/>
              </w:rPr>
            </w:pPr>
            <w:r>
              <w:rPr>
                <w:rFonts w:hint="eastAsia"/>
                <w:sz w:val="21"/>
                <w:szCs w:val="21"/>
              </w:rPr>
              <w:t>0.02</w:t>
            </w:r>
          </w:p>
        </w:tc>
        <w:tc>
          <w:tcPr>
            <w:tcW w:w="1551" w:type="pct"/>
            <w:vAlign w:val="center"/>
          </w:tcPr>
          <w:p w14:paraId="21D81730" w14:textId="22994BE5" w:rsidR="00AC7169" w:rsidRDefault="00AC7169" w:rsidP="00AC7169">
            <w:pPr>
              <w:pStyle w:val="a5"/>
              <w:spacing w:line="280" w:lineRule="exact"/>
              <w:ind w:left="-105" w:firstLine="0"/>
              <w:jc w:val="center"/>
              <w:rPr>
                <w:sz w:val="21"/>
                <w:szCs w:val="21"/>
              </w:rPr>
            </w:pPr>
            <w:r>
              <w:rPr>
                <w:rFonts w:hint="eastAsia"/>
                <w:sz w:val="21"/>
                <w:szCs w:val="21"/>
              </w:rPr>
              <w:t>/</w:t>
            </w:r>
          </w:p>
        </w:tc>
        <w:tc>
          <w:tcPr>
            <w:tcW w:w="976" w:type="pct"/>
            <w:vAlign w:val="center"/>
          </w:tcPr>
          <w:p w14:paraId="79FE4E4C" w14:textId="1582F287" w:rsidR="00AC7169" w:rsidRDefault="00AC7169" w:rsidP="00AC7169">
            <w:pPr>
              <w:pStyle w:val="a5"/>
              <w:spacing w:line="280" w:lineRule="exact"/>
              <w:ind w:left="-105" w:firstLine="0"/>
              <w:jc w:val="center"/>
              <w:rPr>
                <w:sz w:val="21"/>
                <w:szCs w:val="21"/>
              </w:rPr>
            </w:pPr>
            <w:r>
              <w:rPr>
                <w:rFonts w:hint="eastAsia"/>
                <w:sz w:val="21"/>
                <w:szCs w:val="21"/>
              </w:rPr>
              <w:t>/</w:t>
            </w:r>
          </w:p>
        </w:tc>
      </w:tr>
    </w:tbl>
    <w:p w14:paraId="3E5B217A" w14:textId="77777777" w:rsidR="00606029" w:rsidRDefault="00EA5B92">
      <w:pPr>
        <w:pStyle w:val="affffff4"/>
        <w:adjustRightInd/>
        <w:snapToGrid/>
        <w:spacing w:beforeLines="50" w:before="120"/>
        <w:ind w:firstLine="482"/>
        <w:rPr>
          <w:b/>
          <w:bCs/>
        </w:rPr>
      </w:pPr>
      <w:r>
        <w:rPr>
          <w:b/>
          <w:bCs/>
        </w:rPr>
        <w:t>3</w:t>
      </w:r>
      <w:r>
        <w:rPr>
          <w:b/>
          <w:bCs/>
        </w:rPr>
        <w:t>、地下水环境质量标准</w:t>
      </w:r>
    </w:p>
    <w:p w14:paraId="49202BF9" w14:textId="0BA802CB" w:rsidR="00606029" w:rsidRDefault="00AC7169">
      <w:pPr>
        <w:pStyle w:val="affffff4"/>
      </w:pPr>
      <w:r>
        <w:rPr>
          <w:rFonts w:hint="eastAsia"/>
        </w:rPr>
        <w:t>本</w:t>
      </w:r>
      <w:r w:rsidR="00EA5B92">
        <w:t>项目</w:t>
      </w:r>
      <w:r>
        <w:rPr>
          <w:rFonts w:hint="eastAsia"/>
        </w:rPr>
        <w:t>区域</w:t>
      </w:r>
      <w:r w:rsidR="00EA5B92">
        <w:t>地下水执行《地下水质量标准》（</w:t>
      </w:r>
      <w:r w:rsidR="00EA5B92">
        <w:t>GB/T14848-2017</w:t>
      </w:r>
      <w:r w:rsidR="00EA5B92">
        <w:t>）中</w:t>
      </w:r>
      <w:r w:rsidR="00EA5B92">
        <w:t>Ⅲ</w:t>
      </w:r>
      <w:r w:rsidR="00EA5B92">
        <w:t>类标准，详见下表。</w:t>
      </w:r>
    </w:p>
    <w:p w14:paraId="7243C373" w14:textId="77777777" w:rsidR="00606029" w:rsidRDefault="00EA5B92">
      <w:pPr>
        <w:pStyle w:val="affffff5"/>
      </w:pPr>
      <w:r>
        <w:t>表</w:t>
      </w:r>
      <w:r>
        <w:t xml:space="preserve"> 1.5-3 </w:t>
      </w:r>
      <w:r>
        <w:t>地下水质量标准</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1"/>
        <w:gridCol w:w="2064"/>
        <w:gridCol w:w="1316"/>
        <w:gridCol w:w="1756"/>
        <w:gridCol w:w="3057"/>
      </w:tblGrid>
      <w:tr w:rsidR="00606029" w14:paraId="0C2BC47E" w14:textId="77777777">
        <w:trPr>
          <w:trHeight w:val="340"/>
        </w:trPr>
        <w:tc>
          <w:tcPr>
            <w:tcW w:w="362" w:type="pct"/>
            <w:tcBorders>
              <w:tl2br w:val="nil"/>
              <w:tr2bl w:val="nil"/>
            </w:tcBorders>
            <w:vAlign w:val="center"/>
          </w:tcPr>
          <w:p w14:paraId="2CAE045F" w14:textId="77777777" w:rsidR="00606029" w:rsidRDefault="00EA5B92">
            <w:pPr>
              <w:pStyle w:val="a5"/>
              <w:spacing w:line="280" w:lineRule="exact"/>
              <w:ind w:left="-105" w:firstLine="0"/>
              <w:jc w:val="center"/>
              <w:rPr>
                <w:b/>
                <w:bCs/>
                <w:sz w:val="21"/>
                <w:szCs w:val="21"/>
              </w:rPr>
            </w:pPr>
            <w:r>
              <w:rPr>
                <w:b/>
                <w:bCs/>
                <w:sz w:val="21"/>
                <w:szCs w:val="21"/>
              </w:rPr>
              <w:t>序号</w:t>
            </w:r>
          </w:p>
        </w:tc>
        <w:tc>
          <w:tcPr>
            <w:tcW w:w="1168" w:type="pct"/>
            <w:tcBorders>
              <w:tl2br w:val="nil"/>
              <w:tr2bl w:val="nil"/>
            </w:tcBorders>
            <w:vAlign w:val="center"/>
          </w:tcPr>
          <w:p w14:paraId="2AEA7213" w14:textId="77777777" w:rsidR="00606029" w:rsidRDefault="00EA5B92">
            <w:pPr>
              <w:pStyle w:val="a5"/>
              <w:spacing w:line="280" w:lineRule="exact"/>
              <w:ind w:left="-105" w:firstLine="0"/>
              <w:jc w:val="center"/>
              <w:rPr>
                <w:b/>
                <w:bCs/>
              </w:rPr>
            </w:pPr>
            <w:r>
              <w:rPr>
                <w:b/>
                <w:bCs/>
                <w:sz w:val="21"/>
                <w:szCs w:val="21"/>
              </w:rPr>
              <w:t>污染物名称</w:t>
            </w:r>
          </w:p>
        </w:tc>
        <w:tc>
          <w:tcPr>
            <w:tcW w:w="745" w:type="pct"/>
            <w:tcBorders>
              <w:tl2br w:val="nil"/>
              <w:tr2bl w:val="nil"/>
            </w:tcBorders>
            <w:vAlign w:val="center"/>
          </w:tcPr>
          <w:p w14:paraId="7F271A44" w14:textId="77777777" w:rsidR="00606029" w:rsidRDefault="00EA5B92">
            <w:pPr>
              <w:pStyle w:val="a5"/>
              <w:spacing w:line="280" w:lineRule="exact"/>
              <w:ind w:left="-105" w:firstLine="0"/>
              <w:jc w:val="center"/>
              <w:rPr>
                <w:b/>
                <w:bCs/>
                <w:sz w:val="21"/>
                <w:szCs w:val="21"/>
              </w:rPr>
            </w:pPr>
            <w:r>
              <w:rPr>
                <w:b/>
                <w:bCs/>
                <w:sz w:val="21"/>
                <w:szCs w:val="21"/>
              </w:rPr>
              <w:t>单位</w:t>
            </w:r>
          </w:p>
        </w:tc>
        <w:tc>
          <w:tcPr>
            <w:tcW w:w="994" w:type="pct"/>
            <w:tcBorders>
              <w:tl2br w:val="nil"/>
              <w:tr2bl w:val="nil"/>
            </w:tcBorders>
            <w:vAlign w:val="center"/>
          </w:tcPr>
          <w:p w14:paraId="1A279AF7" w14:textId="77777777" w:rsidR="00606029" w:rsidRDefault="00EA5B92">
            <w:pPr>
              <w:pStyle w:val="a5"/>
              <w:spacing w:line="280" w:lineRule="exact"/>
              <w:ind w:left="-105" w:firstLine="0"/>
              <w:jc w:val="center"/>
              <w:rPr>
                <w:b/>
                <w:bCs/>
                <w:sz w:val="21"/>
                <w:szCs w:val="21"/>
              </w:rPr>
            </w:pPr>
            <w:r>
              <w:rPr>
                <w:b/>
                <w:bCs/>
                <w:sz w:val="21"/>
                <w:szCs w:val="21"/>
              </w:rPr>
              <w:t>标准限值</w:t>
            </w:r>
          </w:p>
        </w:tc>
        <w:tc>
          <w:tcPr>
            <w:tcW w:w="1729" w:type="pct"/>
            <w:tcBorders>
              <w:tl2br w:val="nil"/>
              <w:tr2bl w:val="nil"/>
            </w:tcBorders>
            <w:vAlign w:val="center"/>
          </w:tcPr>
          <w:p w14:paraId="7C70BDBC" w14:textId="77777777" w:rsidR="00606029" w:rsidRDefault="00EA5B92">
            <w:pPr>
              <w:pStyle w:val="a5"/>
              <w:spacing w:line="280" w:lineRule="exact"/>
              <w:ind w:left="-105" w:firstLine="0"/>
              <w:jc w:val="center"/>
              <w:rPr>
                <w:b/>
                <w:bCs/>
                <w:sz w:val="21"/>
                <w:szCs w:val="21"/>
              </w:rPr>
            </w:pPr>
            <w:r>
              <w:rPr>
                <w:b/>
                <w:bCs/>
                <w:sz w:val="21"/>
                <w:szCs w:val="21"/>
              </w:rPr>
              <w:t>执行质量标准</w:t>
            </w:r>
          </w:p>
        </w:tc>
      </w:tr>
      <w:tr w:rsidR="00606029" w14:paraId="41AC7EAF" w14:textId="77777777">
        <w:trPr>
          <w:trHeight w:val="340"/>
        </w:trPr>
        <w:tc>
          <w:tcPr>
            <w:tcW w:w="362" w:type="pct"/>
            <w:tcBorders>
              <w:tl2br w:val="nil"/>
              <w:tr2bl w:val="nil"/>
            </w:tcBorders>
            <w:vAlign w:val="center"/>
          </w:tcPr>
          <w:p w14:paraId="061DDE88" w14:textId="77777777" w:rsidR="00606029" w:rsidRDefault="00EA5B92">
            <w:pPr>
              <w:pStyle w:val="a5"/>
              <w:spacing w:line="280" w:lineRule="exact"/>
              <w:ind w:leftChars="0" w:left="0" w:firstLine="0"/>
              <w:jc w:val="center"/>
              <w:rPr>
                <w:sz w:val="21"/>
                <w:szCs w:val="21"/>
              </w:rPr>
            </w:pPr>
            <w:r>
              <w:rPr>
                <w:sz w:val="21"/>
                <w:szCs w:val="21"/>
              </w:rPr>
              <w:t>1</w:t>
            </w:r>
          </w:p>
        </w:tc>
        <w:tc>
          <w:tcPr>
            <w:tcW w:w="1168" w:type="pct"/>
            <w:tcBorders>
              <w:tl2br w:val="nil"/>
              <w:tr2bl w:val="nil"/>
            </w:tcBorders>
            <w:vAlign w:val="center"/>
          </w:tcPr>
          <w:p w14:paraId="42EEC932" w14:textId="77777777" w:rsidR="00606029" w:rsidRDefault="00EA5B92">
            <w:pPr>
              <w:pStyle w:val="a5"/>
              <w:spacing w:line="280" w:lineRule="exact"/>
              <w:ind w:left="-105" w:firstLine="0"/>
              <w:jc w:val="center"/>
            </w:pPr>
            <w:r>
              <w:rPr>
                <w:sz w:val="21"/>
                <w:szCs w:val="21"/>
              </w:rPr>
              <w:t>pH</w:t>
            </w:r>
            <w:r>
              <w:rPr>
                <w:sz w:val="21"/>
                <w:szCs w:val="21"/>
              </w:rPr>
              <w:t>值</w:t>
            </w:r>
          </w:p>
        </w:tc>
        <w:tc>
          <w:tcPr>
            <w:tcW w:w="745" w:type="pct"/>
            <w:tcBorders>
              <w:tl2br w:val="nil"/>
              <w:tr2bl w:val="nil"/>
            </w:tcBorders>
            <w:vAlign w:val="center"/>
          </w:tcPr>
          <w:p w14:paraId="5DA94912" w14:textId="3C6549DB" w:rsidR="00606029" w:rsidRDefault="00AC7169">
            <w:pPr>
              <w:pStyle w:val="a5"/>
              <w:spacing w:line="280" w:lineRule="exact"/>
              <w:ind w:left="-105" w:firstLine="0"/>
              <w:jc w:val="center"/>
              <w:rPr>
                <w:sz w:val="21"/>
                <w:szCs w:val="21"/>
              </w:rPr>
            </w:pPr>
            <w:r>
              <w:rPr>
                <w:rFonts w:hint="eastAsia"/>
                <w:sz w:val="21"/>
                <w:szCs w:val="21"/>
              </w:rPr>
              <w:t>无量纲</w:t>
            </w:r>
          </w:p>
        </w:tc>
        <w:tc>
          <w:tcPr>
            <w:tcW w:w="994" w:type="pct"/>
            <w:tcBorders>
              <w:tl2br w:val="nil"/>
              <w:tr2bl w:val="nil"/>
            </w:tcBorders>
            <w:vAlign w:val="center"/>
          </w:tcPr>
          <w:p w14:paraId="42652370" w14:textId="77777777" w:rsidR="00606029" w:rsidRDefault="00EA5B92">
            <w:pPr>
              <w:pStyle w:val="a5"/>
              <w:spacing w:line="280" w:lineRule="exact"/>
              <w:ind w:left="-105" w:firstLine="0"/>
              <w:jc w:val="center"/>
              <w:rPr>
                <w:sz w:val="21"/>
                <w:szCs w:val="21"/>
              </w:rPr>
            </w:pPr>
            <w:r>
              <w:rPr>
                <w:sz w:val="21"/>
                <w:szCs w:val="21"/>
              </w:rPr>
              <w:t>6.5~8.5</w:t>
            </w:r>
          </w:p>
        </w:tc>
        <w:tc>
          <w:tcPr>
            <w:tcW w:w="1729" w:type="pct"/>
            <w:vMerge w:val="restart"/>
            <w:tcBorders>
              <w:tl2br w:val="nil"/>
              <w:tr2bl w:val="nil"/>
            </w:tcBorders>
            <w:vAlign w:val="center"/>
          </w:tcPr>
          <w:p w14:paraId="3D0D48BE" w14:textId="77777777" w:rsidR="00606029" w:rsidRDefault="00EA5B92">
            <w:pPr>
              <w:pStyle w:val="a5"/>
              <w:spacing w:line="280" w:lineRule="exact"/>
              <w:ind w:left="-105" w:firstLine="0"/>
              <w:jc w:val="center"/>
              <w:rPr>
                <w:sz w:val="21"/>
                <w:szCs w:val="21"/>
              </w:rPr>
            </w:pPr>
            <w:r>
              <w:rPr>
                <w:sz w:val="21"/>
                <w:szCs w:val="21"/>
              </w:rPr>
              <w:t>《地下水质量标准》（</w:t>
            </w:r>
            <w:r>
              <w:rPr>
                <w:sz w:val="21"/>
                <w:szCs w:val="21"/>
              </w:rPr>
              <w:t>GB/T14848-2017</w:t>
            </w:r>
            <w:r>
              <w:rPr>
                <w:sz w:val="21"/>
                <w:szCs w:val="21"/>
              </w:rPr>
              <w:t>）中</w:t>
            </w:r>
            <w:r>
              <w:rPr>
                <w:sz w:val="21"/>
                <w:szCs w:val="21"/>
              </w:rPr>
              <w:t>Ⅲ</w:t>
            </w:r>
            <w:r>
              <w:rPr>
                <w:sz w:val="21"/>
                <w:szCs w:val="21"/>
              </w:rPr>
              <w:t>类标准</w:t>
            </w:r>
          </w:p>
        </w:tc>
      </w:tr>
      <w:tr w:rsidR="00606029" w14:paraId="2F71DFC8" w14:textId="77777777">
        <w:trPr>
          <w:trHeight w:val="340"/>
        </w:trPr>
        <w:tc>
          <w:tcPr>
            <w:tcW w:w="362" w:type="pct"/>
            <w:tcBorders>
              <w:tl2br w:val="nil"/>
              <w:tr2bl w:val="nil"/>
            </w:tcBorders>
            <w:vAlign w:val="center"/>
          </w:tcPr>
          <w:p w14:paraId="1184DB5D" w14:textId="77777777" w:rsidR="00606029" w:rsidRDefault="00EA5B92">
            <w:pPr>
              <w:pStyle w:val="a5"/>
              <w:spacing w:line="280" w:lineRule="exact"/>
              <w:ind w:leftChars="0" w:left="0" w:firstLine="0"/>
              <w:jc w:val="center"/>
              <w:rPr>
                <w:sz w:val="21"/>
                <w:szCs w:val="21"/>
              </w:rPr>
            </w:pPr>
            <w:r>
              <w:rPr>
                <w:sz w:val="21"/>
                <w:szCs w:val="21"/>
              </w:rPr>
              <w:t>2</w:t>
            </w:r>
          </w:p>
        </w:tc>
        <w:tc>
          <w:tcPr>
            <w:tcW w:w="1168" w:type="pct"/>
            <w:tcBorders>
              <w:tl2br w:val="nil"/>
              <w:tr2bl w:val="nil"/>
            </w:tcBorders>
            <w:vAlign w:val="center"/>
          </w:tcPr>
          <w:p w14:paraId="30E045D2" w14:textId="77777777" w:rsidR="00606029" w:rsidRDefault="00EA5B92">
            <w:pPr>
              <w:pStyle w:val="a5"/>
              <w:spacing w:line="280" w:lineRule="exact"/>
              <w:ind w:left="-105" w:firstLine="0"/>
              <w:jc w:val="center"/>
              <w:rPr>
                <w:sz w:val="21"/>
                <w:szCs w:val="21"/>
              </w:rPr>
            </w:pPr>
            <w:r>
              <w:rPr>
                <w:sz w:val="21"/>
                <w:szCs w:val="21"/>
              </w:rPr>
              <w:t>氯化物</w:t>
            </w:r>
          </w:p>
        </w:tc>
        <w:tc>
          <w:tcPr>
            <w:tcW w:w="745" w:type="pct"/>
            <w:tcBorders>
              <w:tl2br w:val="nil"/>
              <w:tr2bl w:val="nil"/>
            </w:tcBorders>
            <w:vAlign w:val="center"/>
          </w:tcPr>
          <w:p w14:paraId="26E34442" w14:textId="77777777" w:rsidR="00606029" w:rsidRDefault="00EA5B92">
            <w:pPr>
              <w:pStyle w:val="a5"/>
              <w:spacing w:line="280" w:lineRule="exact"/>
              <w:ind w:left="-105" w:firstLine="0"/>
              <w:jc w:val="center"/>
              <w:rPr>
                <w:sz w:val="21"/>
                <w:szCs w:val="21"/>
              </w:rPr>
            </w:pPr>
            <w:r>
              <w:rPr>
                <w:sz w:val="21"/>
                <w:szCs w:val="21"/>
              </w:rPr>
              <w:t>mg/L</w:t>
            </w:r>
          </w:p>
        </w:tc>
        <w:tc>
          <w:tcPr>
            <w:tcW w:w="994" w:type="pct"/>
            <w:tcBorders>
              <w:tl2br w:val="nil"/>
              <w:tr2bl w:val="nil"/>
            </w:tcBorders>
            <w:vAlign w:val="center"/>
          </w:tcPr>
          <w:p w14:paraId="77BE6FF0" w14:textId="77777777" w:rsidR="00606029" w:rsidRDefault="00EA5B92">
            <w:pPr>
              <w:pStyle w:val="a5"/>
              <w:spacing w:line="280" w:lineRule="exact"/>
              <w:ind w:left="-105" w:firstLine="0"/>
              <w:jc w:val="center"/>
              <w:rPr>
                <w:sz w:val="21"/>
                <w:szCs w:val="21"/>
              </w:rPr>
            </w:pPr>
            <w:r>
              <w:rPr>
                <w:sz w:val="21"/>
                <w:szCs w:val="21"/>
              </w:rPr>
              <w:t>250</w:t>
            </w:r>
          </w:p>
        </w:tc>
        <w:tc>
          <w:tcPr>
            <w:tcW w:w="1729" w:type="pct"/>
            <w:vMerge/>
            <w:tcBorders>
              <w:tl2br w:val="nil"/>
              <w:tr2bl w:val="nil"/>
            </w:tcBorders>
            <w:vAlign w:val="center"/>
          </w:tcPr>
          <w:p w14:paraId="5FD953D4" w14:textId="77777777" w:rsidR="00606029" w:rsidRDefault="00606029">
            <w:pPr>
              <w:pStyle w:val="a5"/>
              <w:spacing w:line="280" w:lineRule="exact"/>
              <w:ind w:left="-105" w:firstLine="0"/>
              <w:jc w:val="center"/>
              <w:rPr>
                <w:sz w:val="21"/>
                <w:szCs w:val="21"/>
              </w:rPr>
            </w:pPr>
          </w:p>
        </w:tc>
      </w:tr>
      <w:tr w:rsidR="00606029" w14:paraId="6786DFF1" w14:textId="77777777">
        <w:trPr>
          <w:trHeight w:val="340"/>
        </w:trPr>
        <w:tc>
          <w:tcPr>
            <w:tcW w:w="362" w:type="pct"/>
            <w:tcBorders>
              <w:tl2br w:val="nil"/>
              <w:tr2bl w:val="nil"/>
            </w:tcBorders>
            <w:vAlign w:val="center"/>
          </w:tcPr>
          <w:p w14:paraId="3EA2C77C" w14:textId="77777777" w:rsidR="00606029" w:rsidRDefault="00EA5B92">
            <w:pPr>
              <w:pStyle w:val="a5"/>
              <w:spacing w:line="280" w:lineRule="exact"/>
              <w:ind w:leftChars="0" w:left="0" w:firstLine="0"/>
              <w:jc w:val="center"/>
              <w:rPr>
                <w:sz w:val="21"/>
                <w:szCs w:val="21"/>
              </w:rPr>
            </w:pPr>
            <w:r>
              <w:rPr>
                <w:sz w:val="21"/>
                <w:szCs w:val="21"/>
              </w:rPr>
              <w:t>3</w:t>
            </w:r>
          </w:p>
        </w:tc>
        <w:tc>
          <w:tcPr>
            <w:tcW w:w="1168" w:type="pct"/>
            <w:tcBorders>
              <w:tl2br w:val="nil"/>
              <w:tr2bl w:val="nil"/>
            </w:tcBorders>
            <w:vAlign w:val="center"/>
          </w:tcPr>
          <w:p w14:paraId="05CBB2FF" w14:textId="77777777" w:rsidR="00606029" w:rsidRDefault="00EA5B92">
            <w:pPr>
              <w:pStyle w:val="a5"/>
              <w:spacing w:line="280" w:lineRule="exact"/>
              <w:ind w:left="-105" w:firstLine="0"/>
              <w:jc w:val="center"/>
              <w:rPr>
                <w:sz w:val="21"/>
                <w:szCs w:val="21"/>
              </w:rPr>
            </w:pPr>
            <w:r>
              <w:rPr>
                <w:sz w:val="21"/>
                <w:szCs w:val="21"/>
              </w:rPr>
              <w:t>硫酸盐</w:t>
            </w:r>
          </w:p>
        </w:tc>
        <w:tc>
          <w:tcPr>
            <w:tcW w:w="745" w:type="pct"/>
            <w:tcBorders>
              <w:tl2br w:val="nil"/>
              <w:tr2bl w:val="nil"/>
            </w:tcBorders>
            <w:vAlign w:val="center"/>
          </w:tcPr>
          <w:p w14:paraId="729E9708" w14:textId="77777777" w:rsidR="00606029" w:rsidRDefault="00EA5B92">
            <w:pPr>
              <w:pStyle w:val="a5"/>
              <w:spacing w:line="280" w:lineRule="exact"/>
              <w:ind w:left="-105" w:firstLine="0"/>
              <w:jc w:val="center"/>
              <w:rPr>
                <w:sz w:val="21"/>
                <w:szCs w:val="21"/>
              </w:rPr>
            </w:pPr>
            <w:r>
              <w:rPr>
                <w:sz w:val="21"/>
                <w:szCs w:val="21"/>
              </w:rPr>
              <w:t>mg/L</w:t>
            </w:r>
          </w:p>
        </w:tc>
        <w:tc>
          <w:tcPr>
            <w:tcW w:w="994" w:type="pct"/>
            <w:tcBorders>
              <w:tl2br w:val="nil"/>
              <w:tr2bl w:val="nil"/>
            </w:tcBorders>
            <w:vAlign w:val="center"/>
          </w:tcPr>
          <w:p w14:paraId="4915092A" w14:textId="77777777" w:rsidR="00606029" w:rsidRDefault="00EA5B92">
            <w:pPr>
              <w:pStyle w:val="a5"/>
              <w:spacing w:line="280" w:lineRule="exact"/>
              <w:ind w:left="-105" w:firstLine="0"/>
              <w:jc w:val="center"/>
              <w:rPr>
                <w:sz w:val="21"/>
                <w:szCs w:val="21"/>
              </w:rPr>
            </w:pPr>
            <w:r>
              <w:rPr>
                <w:sz w:val="21"/>
                <w:szCs w:val="21"/>
              </w:rPr>
              <w:t>250</w:t>
            </w:r>
          </w:p>
        </w:tc>
        <w:tc>
          <w:tcPr>
            <w:tcW w:w="1729" w:type="pct"/>
            <w:vMerge/>
            <w:tcBorders>
              <w:tl2br w:val="nil"/>
              <w:tr2bl w:val="nil"/>
            </w:tcBorders>
            <w:vAlign w:val="center"/>
          </w:tcPr>
          <w:p w14:paraId="470D6274" w14:textId="77777777" w:rsidR="00606029" w:rsidRDefault="00606029">
            <w:pPr>
              <w:pStyle w:val="a5"/>
              <w:spacing w:line="280" w:lineRule="exact"/>
              <w:ind w:left="-105" w:firstLine="0"/>
              <w:jc w:val="center"/>
              <w:rPr>
                <w:sz w:val="21"/>
                <w:szCs w:val="21"/>
              </w:rPr>
            </w:pPr>
          </w:p>
        </w:tc>
      </w:tr>
      <w:tr w:rsidR="00606029" w14:paraId="7A7ACE9F" w14:textId="77777777">
        <w:trPr>
          <w:trHeight w:val="340"/>
        </w:trPr>
        <w:tc>
          <w:tcPr>
            <w:tcW w:w="362" w:type="pct"/>
            <w:tcBorders>
              <w:tl2br w:val="nil"/>
              <w:tr2bl w:val="nil"/>
            </w:tcBorders>
            <w:vAlign w:val="center"/>
          </w:tcPr>
          <w:p w14:paraId="3C4A1EA8" w14:textId="77777777" w:rsidR="00606029" w:rsidRDefault="00EA5B92">
            <w:pPr>
              <w:pStyle w:val="a5"/>
              <w:spacing w:line="280" w:lineRule="exact"/>
              <w:ind w:leftChars="0" w:left="0" w:firstLine="0"/>
              <w:jc w:val="center"/>
              <w:rPr>
                <w:sz w:val="21"/>
                <w:szCs w:val="21"/>
              </w:rPr>
            </w:pPr>
            <w:r>
              <w:rPr>
                <w:sz w:val="21"/>
                <w:szCs w:val="21"/>
              </w:rPr>
              <w:t>4</w:t>
            </w:r>
          </w:p>
        </w:tc>
        <w:tc>
          <w:tcPr>
            <w:tcW w:w="1168" w:type="pct"/>
            <w:tcBorders>
              <w:tl2br w:val="nil"/>
              <w:tr2bl w:val="nil"/>
            </w:tcBorders>
            <w:vAlign w:val="center"/>
          </w:tcPr>
          <w:p w14:paraId="0286E169" w14:textId="77777777" w:rsidR="00606029" w:rsidRDefault="00EA5B92">
            <w:pPr>
              <w:pStyle w:val="a5"/>
              <w:spacing w:line="280" w:lineRule="exact"/>
              <w:ind w:left="-105" w:firstLine="0"/>
              <w:jc w:val="center"/>
              <w:rPr>
                <w:sz w:val="21"/>
                <w:szCs w:val="21"/>
              </w:rPr>
            </w:pPr>
            <w:r>
              <w:rPr>
                <w:sz w:val="21"/>
                <w:szCs w:val="21"/>
              </w:rPr>
              <w:t>氨氮</w:t>
            </w:r>
          </w:p>
        </w:tc>
        <w:tc>
          <w:tcPr>
            <w:tcW w:w="745" w:type="pct"/>
            <w:tcBorders>
              <w:tl2br w:val="nil"/>
              <w:tr2bl w:val="nil"/>
            </w:tcBorders>
            <w:vAlign w:val="center"/>
          </w:tcPr>
          <w:p w14:paraId="0B822C79" w14:textId="77777777" w:rsidR="00606029" w:rsidRDefault="00EA5B92">
            <w:pPr>
              <w:pStyle w:val="a5"/>
              <w:spacing w:line="280" w:lineRule="exact"/>
              <w:ind w:left="-105" w:firstLine="0"/>
              <w:jc w:val="center"/>
              <w:rPr>
                <w:sz w:val="21"/>
                <w:szCs w:val="21"/>
              </w:rPr>
            </w:pPr>
            <w:r>
              <w:rPr>
                <w:sz w:val="21"/>
                <w:szCs w:val="21"/>
              </w:rPr>
              <w:t>mg/L</w:t>
            </w:r>
          </w:p>
        </w:tc>
        <w:tc>
          <w:tcPr>
            <w:tcW w:w="994" w:type="pct"/>
            <w:tcBorders>
              <w:tl2br w:val="nil"/>
              <w:tr2bl w:val="nil"/>
            </w:tcBorders>
            <w:vAlign w:val="center"/>
          </w:tcPr>
          <w:p w14:paraId="1BF0E1B2" w14:textId="77777777" w:rsidR="00606029" w:rsidRDefault="00EA5B92">
            <w:pPr>
              <w:pStyle w:val="a5"/>
              <w:spacing w:line="280" w:lineRule="exact"/>
              <w:ind w:left="-105" w:firstLine="0"/>
              <w:jc w:val="center"/>
              <w:rPr>
                <w:sz w:val="21"/>
                <w:szCs w:val="21"/>
              </w:rPr>
            </w:pPr>
            <w:r>
              <w:rPr>
                <w:sz w:val="21"/>
                <w:szCs w:val="21"/>
              </w:rPr>
              <w:t>0.5</w:t>
            </w:r>
          </w:p>
        </w:tc>
        <w:tc>
          <w:tcPr>
            <w:tcW w:w="1729" w:type="pct"/>
            <w:vMerge/>
            <w:tcBorders>
              <w:tl2br w:val="nil"/>
              <w:tr2bl w:val="nil"/>
            </w:tcBorders>
            <w:vAlign w:val="center"/>
          </w:tcPr>
          <w:p w14:paraId="030F3BEE" w14:textId="77777777" w:rsidR="00606029" w:rsidRDefault="00606029">
            <w:pPr>
              <w:pStyle w:val="a5"/>
              <w:spacing w:line="280" w:lineRule="exact"/>
              <w:ind w:left="-105" w:firstLine="0"/>
              <w:jc w:val="center"/>
              <w:rPr>
                <w:sz w:val="21"/>
                <w:szCs w:val="21"/>
              </w:rPr>
            </w:pPr>
          </w:p>
        </w:tc>
      </w:tr>
      <w:tr w:rsidR="00606029" w14:paraId="451674E8" w14:textId="77777777">
        <w:trPr>
          <w:trHeight w:val="340"/>
        </w:trPr>
        <w:tc>
          <w:tcPr>
            <w:tcW w:w="362" w:type="pct"/>
            <w:tcBorders>
              <w:tl2br w:val="nil"/>
              <w:tr2bl w:val="nil"/>
            </w:tcBorders>
            <w:vAlign w:val="center"/>
          </w:tcPr>
          <w:p w14:paraId="545591F3" w14:textId="77777777" w:rsidR="00606029" w:rsidRDefault="00EA5B92">
            <w:pPr>
              <w:pStyle w:val="a5"/>
              <w:spacing w:line="280" w:lineRule="exact"/>
              <w:ind w:leftChars="0" w:left="0" w:firstLine="0"/>
              <w:jc w:val="center"/>
              <w:rPr>
                <w:sz w:val="21"/>
                <w:szCs w:val="21"/>
              </w:rPr>
            </w:pPr>
            <w:r>
              <w:rPr>
                <w:sz w:val="21"/>
                <w:szCs w:val="21"/>
              </w:rPr>
              <w:t>5</w:t>
            </w:r>
          </w:p>
        </w:tc>
        <w:tc>
          <w:tcPr>
            <w:tcW w:w="1168" w:type="pct"/>
            <w:tcBorders>
              <w:tl2br w:val="nil"/>
              <w:tr2bl w:val="nil"/>
            </w:tcBorders>
            <w:vAlign w:val="center"/>
          </w:tcPr>
          <w:p w14:paraId="71CD0AE4" w14:textId="77777777" w:rsidR="00606029" w:rsidRDefault="00EA5B92">
            <w:pPr>
              <w:pStyle w:val="a5"/>
              <w:spacing w:line="280" w:lineRule="exact"/>
              <w:ind w:left="-105" w:firstLine="0"/>
              <w:jc w:val="center"/>
              <w:rPr>
                <w:sz w:val="21"/>
                <w:szCs w:val="21"/>
              </w:rPr>
            </w:pPr>
            <w:r>
              <w:rPr>
                <w:sz w:val="21"/>
                <w:szCs w:val="21"/>
              </w:rPr>
              <w:t>硝酸盐</w:t>
            </w:r>
          </w:p>
        </w:tc>
        <w:tc>
          <w:tcPr>
            <w:tcW w:w="745" w:type="pct"/>
            <w:tcBorders>
              <w:tl2br w:val="nil"/>
              <w:tr2bl w:val="nil"/>
            </w:tcBorders>
            <w:vAlign w:val="center"/>
          </w:tcPr>
          <w:p w14:paraId="6227B115" w14:textId="77777777" w:rsidR="00606029" w:rsidRDefault="00EA5B92">
            <w:pPr>
              <w:pStyle w:val="a5"/>
              <w:spacing w:line="280" w:lineRule="exact"/>
              <w:ind w:left="-105" w:firstLine="0"/>
              <w:jc w:val="center"/>
              <w:rPr>
                <w:sz w:val="21"/>
                <w:szCs w:val="21"/>
              </w:rPr>
            </w:pPr>
            <w:r>
              <w:rPr>
                <w:sz w:val="21"/>
                <w:szCs w:val="21"/>
              </w:rPr>
              <w:t>mg/L</w:t>
            </w:r>
          </w:p>
        </w:tc>
        <w:tc>
          <w:tcPr>
            <w:tcW w:w="994" w:type="pct"/>
            <w:tcBorders>
              <w:tl2br w:val="nil"/>
              <w:tr2bl w:val="nil"/>
            </w:tcBorders>
            <w:vAlign w:val="center"/>
          </w:tcPr>
          <w:p w14:paraId="27C14DF8" w14:textId="77777777" w:rsidR="00606029" w:rsidRDefault="00EA5B92">
            <w:pPr>
              <w:pStyle w:val="a5"/>
              <w:spacing w:line="280" w:lineRule="exact"/>
              <w:ind w:left="-105" w:firstLine="0"/>
              <w:jc w:val="center"/>
              <w:rPr>
                <w:sz w:val="21"/>
                <w:szCs w:val="21"/>
              </w:rPr>
            </w:pPr>
            <w:r>
              <w:rPr>
                <w:sz w:val="21"/>
                <w:szCs w:val="21"/>
              </w:rPr>
              <w:t>20</w:t>
            </w:r>
          </w:p>
        </w:tc>
        <w:tc>
          <w:tcPr>
            <w:tcW w:w="1729" w:type="pct"/>
            <w:vMerge/>
            <w:tcBorders>
              <w:tl2br w:val="nil"/>
              <w:tr2bl w:val="nil"/>
            </w:tcBorders>
            <w:vAlign w:val="center"/>
          </w:tcPr>
          <w:p w14:paraId="3DD8E6AE" w14:textId="77777777" w:rsidR="00606029" w:rsidRDefault="00606029">
            <w:pPr>
              <w:pStyle w:val="a5"/>
              <w:spacing w:line="280" w:lineRule="exact"/>
              <w:ind w:left="-105" w:firstLine="0"/>
              <w:jc w:val="center"/>
              <w:rPr>
                <w:sz w:val="21"/>
                <w:szCs w:val="21"/>
              </w:rPr>
            </w:pPr>
          </w:p>
        </w:tc>
      </w:tr>
      <w:tr w:rsidR="00606029" w14:paraId="0C1B0FDA" w14:textId="77777777">
        <w:trPr>
          <w:trHeight w:val="340"/>
        </w:trPr>
        <w:tc>
          <w:tcPr>
            <w:tcW w:w="362" w:type="pct"/>
            <w:tcBorders>
              <w:tl2br w:val="nil"/>
              <w:tr2bl w:val="nil"/>
            </w:tcBorders>
            <w:vAlign w:val="center"/>
          </w:tcPr>
          <w:p w14:paraId="098FBE01" w14:textId="77777777" w:rsidR="00606029" w:rsidRDefault="00EA5B92">
            <w:pPr>
              <w:pStyle w:val="a5"/>
              <w:spacing w:line="280" w:lineRule="exact"/>
              <w:ind w:leftChars="0" w:left="0" w:firstLine="0"/>
              <w:jc w:val="center"/>
              <w:rPr>
                <w:sz w:val="21"/>
                <w:szCs w:val="21"/>
              </w:rPr>
            </w:pPr>
            <w:r>
              <w:rPr>
                <w:sz w:val="21"/>
                <w:szCs w:val="21"/>
              </w:rPr>
              <w:t>6</w:t>
            </w:r>
          </w:p>
        </w:tc>
        <w:tc>
          <w:tcPr>
            <w:tcW w:w="1168" w:type="pct"/>
            <w:tcBorders>
              <w:tl2br w:val="nil"/>
              <w:tr2bl w:val="nil"/>
            </w:tcBorders>
            <w:vAlign w:val="center"/>
          </w:tcPr>
          <w:p w14:paraId="6A78D80B" w14:textId="77777777" w:rsidR="00606029" w:rsidRDefault="00EA5B92">
            <w:pPr>
              <w:pStyle w:val="a5"/>
              <w:spacing w:line="280" w:lineRule="exact"/>
              <w:ind w:left="-105" w:firstLine="0"/>
              <w:jc w:val="center"/>
              <w:rPr>
                <w:sz w:val="21"/>
                <w:szCs w:val="21"/>
              </w:rPr>
            </w:pPr>
            <w:r>
              <w:rPr>
                <w:sz w:val="21"/>
                <w:szCs w:val="21"/>
              </w:rPr>
              <w:t>亚硝酸盐</w:t>
            </w:r>
          </w:p>
        </w:tc>
        <w:tc>
          <w:tcPr>
            <w:tcW w:w="745" w:type="pct"/>
            <w:tcBorders>
              <w:tl2br w:val="nil"/>
              <w:tr2bl w:val="nil"/>
            </w:tcBorders>
            <w:vAlign w:val="center"/>
          </w:tcPr>
          <w:p w14:paraId="39051A3A" w14:textId="77777777" w:rsidR="00606029" w:rsidRDefault="00EA5B92">
            <w:pPr>
              <w:pStyle w:val="a5"/>
              <w:spacing w:line="280" w:lineRule="exact"/>
              <w:ind w:left="-105" w:firstLine="0"/>
              <w:jc w:val="center"/>
              <w:rPr>
                <w:sz w:val="21"/>
                <w:szCs w:val="21"/>
              </w:rPr>
            </w:pPr>
            <w:r>
              <w:rPr>
                <w:sz w:val="21"/>
                <w:szCs w:val="21"/>
              </w:rPr>
              <w:t>mg/L</w:t>
            </w:r>
          </w:p>
        </w:tc>
        <w:tc>
          <w:tcPr>
            <w:tcW w:w="994" w:type="pct"/>
            <w:tcBorders>
              <w:tl2br w:val="nil"/>
              <w:tr2bl w:val="nil"/>
            </w:tcBorders>
            <w:vAlign w:val="center"/>
          </w:tcPr>
          <w:p w14:paraId="13CC030E" w14:textId="77777777" w:rsidR="00606029" w:rsidRDefault="00EA5B92">
            <w:pPr>
              <w:pStyle w:val="a5"/>
              <w:spacing w:line="280" w:lineRule="exact"/>
              <w:ind w:left="-105" w:firstLine="0"/>
              <w:jc w:val="center"/>
              <w:rPr>
                <w:sz w:val="21"/>
                <w:szCs w:val="21"/>
              </w:rPr>
            </w:pPr>
            <w:r>
              <w:rPr>
                <w:sz w:val="21"/>
                <w:szCs w:val="21"/>
              </w:rPr>
              <w:t>1.0</w:t>
            </w:r>
          </w:p>
        </w:tc>
        <w:tc>
          <w:tcPr>
            <w:tcW w:w="1729" w:type="pct"/>
            <w:vMerge/>
            <w:tcBorders>
              <w:tl2br w:val="nil"/>
              <w:tr2bl w:val="nil"/>
            </w:tcBorders>
            <w:vAlign w:val="center"/>
          </w:tcPr>
          <w:p w14:paraId="149DFDB7" w14:textId="77777777" w:rsidR="00606029" w:rsidRDefault="00606029">
            <w:pPr>
              <w:pStyle w:val="a5"/>
              <w:spacing w:line="280" w:lineRule="exact"/>
              <w:ind w:left="-105" w:firstLine="0"/>
              <w:jc w:val="center"/>
              <w:rPr>
                <w:sz w:val="21"/>
                <w:szCs w:val="21"/>
              </w:rPr>
            </w:pPr>
          </w:p>
        </w:tc>
      </w:tr>
      <w:tr w:rsidR="00606029" w14:paraId="707C0661" w14:textId="77777777">
        <w:trPr>
          <w:trHeight w:val="340"/>
        </w:trPr>
        <w:tc>
          <w:tcPr>
            <w:tcW w:w="362" w:type="pct"/>
            <w:tcBorders>
              <w:tl2br w:val="nil"/>
              <w:tr2bl w:val="nil"/>
            </w:tcBorders>
            <w:vAlign w:val="center"/>
          </w:tcPr>
          <w:p w14:paraId="053BE4C8" w14:textId="77777777" w:rsidR="00606029" w:rsidRDefault="00EA5B92">
            <w:pPr>
              <w:pStyle w:val="a5"/>
              <w:spacing w:line="280" w:lineRule="exact"/>
              <w:ind w:leftChars="0" w:left="0" w:firstLine="0"/>
              <w:jc w:val="center"/>
              <w:rPr>
                <w:sz w:val="21"/>
                <w:szCs w:val="21"/>
              </w:rPr>
            </w:pPr>
            <w:r>
              <w:rPr>
                <w:sz w:val="21"/>
                <w:szCs w:val="21"/>
              </w:rPr>
              <w:t>7</w:t>
            </w:r>
          </w:p>
        </w:tc>
        <w:tc>
          <w:tcPr>
            <w:tcW w:w="1168" w:type="pct"/>
            <w:tcBorders>
              <w:tl2br w:val="nil"/>
              <w:tr2bl w:val="nil"/>
            </w:tcBorders>
            <w:vAlign w:val="center"/>
          </w:tcPr>
          <w:p w14:paraId="65C4842D" w14:textId="77777777" w:rsidR="00606029" w:rsidRDefault="00EA5B92">
            <w:pPr>
              <w:pStyle w:val="a5"/>
              <w:spacing w:line="280" w:lineRule="exact"/>
              <w:ind w:left="-105" w:firstLine="0"/>
              <w:jc w:val="center"/>
              <w:rPr>
                <w:sz w:val="21"/>
                <w:szCs w:val="21"/>
              </w:rPr>
            </w:pPr>
            <w:r>
              <w:rPr>
                <w:sz w:val="21"/>
                <w:szCs w:val="21"/>
              </w:rPr>
              <w:t>挥发性酚类</w:t>
            </w:r>
          </w:p>
        </w:tc>
        <w:tc>
          <w:tcPr>
            <w:tcW w:w="745" w:type="pct"/>
            <w:tcBorders>
              <w:tl2br w:val="nil"/>
              <w:tr2bl w:val="nil"/>
            </w:tcBorders>
            <w:vAlign w:val="center"/>
          </w:tcPr>
          <w:p w14:paraId="3F0FA30A" w14:textId="77777777" w:rsidR="00606029" w:rsidRDefault="00EA5B92">
            <w:pPr>
              <w:pStyle w:val="a5"/>
              <w:spacing w:line="280" w:lineRule="exact"/>
              <w:ind w:left="-105" w:firstLine="0"/>
              <w:jc w:val="center"/>
              <w:rPr>
                <w:sz w:val="21"/>
                <w:szCs w:val="21"/>
              </w:rPr>
            </w:pPr>
            <w:r>
              <w:rPr>
                <w:sz w:val="21"/>
                <w:szCs w:val="21"/>
              </w:rPr>
              <w:t>mg/L</w:t>
            </w:r>
          </w:p>
        </w:tc>
        <w:tc>
          <w:tcPr>
            <w:tcW w:w="994" w:type="pct"/>
            <w:tcBorders>
              <w:tl2br w:val="nil"/>
              <w:tr2bl w:val="nil"/>
            </w:tcBorders>
            <w:vAlign w:val="center"/>
          </w:tcPr>
          <w:p w14:paraId="55EE97AA" w14:textId="77777777" w:rsidR="00606029" w:rsidRDefault="00EA5B92">
            <w:pPr>
              <w:pStyle w:val="a5"/>
              <w:spacing w:line="280" w:lineRule="exact"/>
              <w:ind w:left="-105" w:firstLine="0"/>
              <w:jc w:val="center"/>
              <w:rPr>
                <w:sz w:val="21"/>
                <w:szCs w:val="21"/>
              </w:rPr>
            </w:pPr>
            <w:r>
              <w:rPr>
                <w:sz w:val="21"/>
                <w:szCs w:val="21"/>
              </w:rPr>
              <w:t>0.002</w:t>
            </w:r>
          </w:p>
        </w:tc>
        <w:tc>
          <w:tcPr>
            <w:tcW w:w="1729" w:type="pct"/>
            <w:vMerge/>
            <w:tcBorders>
              <w:tl2br w:val="nil"/>
              <w:tr2bl w:val="nil"/>
            </w:tcBorders>
            <w:vAlign w:val="center"/>
          </w:tcPr>
          <w:p w14:paraId="3D3D3737" w14:textId="77777777" w:rsidR="00606029" w:rsidRDefault="00606029">
            <w:pPr>
              <w:pStyle w:val="a5"/>
              <w:spacing w:line="280" w:lineRule="exact"/>
              <w:ind w:left="-105" w:firstLine="0"/>
              <w:jc w:val="center"/>
              <w:rPr>
                <w:sz w:val="21"/>
                <w:szCs w:val="21"/>
              </w:rPr>
            </w:pPr>
          </w:p>
        </w:tc>
      </w:tr>
      <w:tr w:rsidR="00606029" w14:paraId="46E0E51D" w14:textId="77777777">
        <w:trPr>
          <w:trHeight w:val="340"/>
        </w:trPr>
        <w:tc>
          <w:tcPr>
            <w:tcW w:w="362" w:type="pct"/>
            <w:tcBorders>
              <w:tl2br w:val="nil"/>
              <w:tr2bl w:val="nil"/>
            </w:tcBorders>
            <w:vAlign w:val="center"/>
          </w:tcPr>
          <w:p w14:paraId="610DA96D" w14:textId="77777777" w:rsidR="00606029" w:rsidRDefault="00EA5B92">
            <w:pPr>
              <w:pStyle w:val="a5"/>
              <w:spacing w:line="280" w:lineRule="exact"/>
              <w:ind w:leftChars="0" w:left="0" w:firstLine="0"/>
              <w:jc w:val="center"/>
              <w:rPr>
                <w:sz w:val="21"/>
                <w:szCs w:val="21"/>
              </w:rPr>
            </w:pPr>
            <w:r>
              <w:rPr>
                <w:sz w:val="21"/>
                <w:szCs w:val="21"/>
              </w:rPr>
              <w:t>8</w:t>
            </w:r>
          </w:p>
        </w:tc>
        <w:tc>
          <w:tcPr>
            <w:tcW w:w="1168" w:type="pct"/>
            <w:tcBorders>
              <w:tl2br w:val="nil"/>
              <w:tr2bl w:val="nil"/>
            </w:tcBorders>
            <w:vAlign w:val="center"/>
          </w:tcPr>
          <w:p w14:paraId="6429B3E8" w14:textId="77777777" w:rsidR="00606029" w:rsidRDefault="00EA5B92">
            <w:pPr>
              <w:pStyle w:val="a5"/>
              <w:spacing w:line="280" w:lineRule="exact"/>
              <w:ind w:left="-105" w:firstLine="0"/>
              <w:jc w:val="center"/>
              <w:rPr>
                <w:sz w:val="21"/>
                <w:szCs w:val="21"/>
              </w:rPr>
            </w:pPr>
            <w:r>
              <w:rPr>
                <w:sz w:val="21"/>
                <w:szCs w:val="21"/>
              </w:rPr>
              <w:t>氰化物</w:t>
            </w:r>
          </w:p>
        </w:tc>
        <w:tc>
          <w:tcPr>
            <w:tcW w:w="745" w:type="pct"/>
            <w:tcBorders>
              <w:tl2br w:val="nil"/>
              <w:tr2bl w:val="nil"/>
            </w:tcBorders>
            <w:vAlign w:val="center"/>
          </w:tcPr>
          <w:p w14:paraId="2EE7A80B" w14:textId="77777777" w:rsidR="00606029" w:rsidRDefault="00EA5B92">
            <w:pPr>
              <w:pStyle w:val="a5"/>
              <w:spacing w:line="280" w:lineRule="exact"/>
              <w:ind w:left="-105" w:firstLine="0"/>
              <w:jc w:val="center"/>
              <w:rPr>
                <w:sz w:val="21"/>
                <w:szCs w:val="21"/>
              </w:rPr>
            </w:pPr>
            <w:r>
              <w:rPr>
                <w:sz w:val="21"/>
                <w:szCs w:val="21"/>
              </w:rPr>
              <w:t>mg/L</w:t>
            </w:r>
          </w:p>
        </w:tc>
        <w:tc>
          <w:tcPr>
            <w:tcW w:w="994" w:type="pct"/>
            <w:tcBorders>
              <w:tl2br w:val="nil"/>
              <w:tr2bl w:val="nil"/>
            </w:tcBorders>
            <w:vAlign w:val="center"/>
          </w:tcPr>
          <w:p w14:paraId="082682E5" w14:textId="77777777" w:rsidR="00606029" w:rsidRDefault="00EA5B92">
            <w:pPr>
              <w:pStyle w:val="a5"/>
              <w:spacing w:line="280" w:lineRule="exact"/>
              <w:ind w:left="-105" w:firstLine="0"/>
              <w:jc w:val="center"/>
              <w:rPr>
                <w:sz w:val="21"/>
                <w:szCs w:val="21"/>
              </w:rPr>
            </w:pPr>
            <w:r>
              <w:rPr>
                <w:sz w:val="21"/>
                <w:szCs w:val="21"/>
              </w:rPr>
              <w:t>0.05</w:t>
            </w:r>
          </w:p>
        </w:tc>
        <w:tc>
          <w:tcPr>
            <w:tcW w:w="1729" w:type="pct"/>
            <w:vMerge/>
            <w:tcBorders>
              <w:tl2br w:val="nil"/>
              <w:tr2bl w:val="nil"/>
            </w:tcBorders>
            <w:vAlign w:val="center"/>
          </w:tcPr>
          <w:p w14:paraId="487836F3" w14:textId="77777777" w:rsidR="00606029" w:rsidRDefault="00606029">
            <w:pPr>
              <w:pStyle w:val="a5"/>
              <w:spacing w:line="280" w:lineRule="exact"/>
              <w:ind w:left="-105" w:firstLine="0"/>
              <w:jc w:val="center"/>
              <w:rPr>
                <w:sz w:val="21"/>
                <w:szCs w:val="21"/>
              </w:rPr>
            </w:pPr>
          </w:p>
        </w:tc>
      </w:tr>
      <w:tr w:rsidR="00606029" w14:paraId="6C55835A" w14:textId="77777777">
        <w:trPr>
          <w:trHeight w:val="340"/>
        </w:trPr>
        <w:tc>
          <w:tcPr>
            <w:tcW w:w="362" w:type="pct"/>
            <w:tcBorders>
              <w:tl2br w:val="nil"/>
              <w:tr2bl w:val="nil"/>
            </w:tcBorders>
            <w:vAlign w:val="center"/>
          </w:tcPr>
          <w:p w14:paraId="3CC26566" w14:textId="77777777" w:rsidR="00606029" w:rsidRDefault="00EA5B92">
            <w:pPr>
              <w:pStyle w:val="a5"/>
              <w:spacing w:line="280" w:lineRule="exact"/>
              <w:ind w:leftChars="0" w:left="0" w:firstLine="0"/>
              <w:jc w:val="center"/>
              <w:rPr>
                <w:sz w:val="21"/>
                <w:szCs w:val="21"/>
              </w:rPr>
            </w:pPr>
            <w:r>
              <w:rPr>
                <w:sz w:val="21"/>
                <w:szCs w:val="21"/>
              </w:rPr>
              <w:t>9</w:t>
            </w:r>
          </w:p>
        </w:tc>
        <w:tc>
          <w:tcPr>
            <w:tcW w:w="1168" w:type="pct"/>
            <w:tcBorders>
              <w:tl2br w:val="nil"/>
              <w:tr2bl w:val="nil"/>
            </w:tcBorders>
            <w:vAlign w:val="center"/>
          </w:tcPr>
          <w:p w14:paraId="08B8C80F" w14:textId="77777777" w:rsidR="00606029" w:rsidRDefault="00EA5B92">
            <w:pPr>
              <w:pStyle w:val="a5"/>
              <w:spacing w:line="280" w:lineRule="exact"/>
              <w:ind w:left="-105" w:firstLine="0"/>
              <w:jc w:val="center"/>
              <w:rPr>
                <w:sz w:val="21"/>
                <w:szCs w:val="21"/>
              </w:rPr>
            </w:pPr>
            <w:r>
              <w:rPr>
                <w:sz w:val="21"/>
                <w:szCs w:val="21"/>
              </w:rPr>
              <w:t>铅</w:t>
            </w:r>
          </w:p>
        </w:tc>
        <w:tc>
          <w:tcPr>
            <w:tcW w:w="745" w:type="pct"/>
            <w:tcBorders>
              <w:tl2br w:val="nil"/>
              <w:tr2bl w:val="nil"/>
            </w:tcBorders>
            <w:vAlign w:val="center"/>
          </w:tcPr>
          <w:p w14:paraId="33DF9E4C" w14:textId="77777777" w:rsidR="00606029" w:rsidRDefault="00EA5B92">
            <w:pPr>
              <w:pStyle w:val="a5"/>
              <w:spacing w:line="280" w:lineRule="exact"/>
              <w:ind w:left="-105" w:firstLine="0"/>
              <w:jc w:val="center"/>
              <w:rPr>
                <w:sz w:val="21"/>
                <w:szCs w:val="21"/>
              </w:rPr>
            </w:pPr>
            <w:r>
              <w:rPr>
                <w:sz w:val="21"/>
                <w:szCs w:val="21"/>
              </w:rPr>
              <w:t>mg/L</w:t>
            </w:r>
          </w:p>
        </w:tc>
        <w:tc>
          <w:tcPr>
            <w:tcW w:w="994" w:type="pct"/>
            <w:tcBorders>
              <w:tl2br w:val="nil"/>
              <w:tr2bl w:val="nil"/>
            </w:tcBorders>
            <w:vAlign w:val="center"/>
          </w:tcPr>
          <w:p w14:paraId="24C8A1F4" w14:textId="77777777" w:rsidR="00606029" w:rsidRDefault="00EA5B92">
            <w:pPr>
              <w:pStyle w:val="a5"/>
              <w:spacing w:line="280" w:lineRule="exact"/>
              <w:ind w:left="-105" w:firstLine="0"/>
              <w:jc w:val="center"/>
              <w:rPr>
                <w:sz w:val="21"/>
                <w:szCs w:val="21"/>
              </w:rPr>
            </w:pPr>
            <w:r>
              <w:rPr>
                <w:sz w:val="21"/>
                <w:szCs w:val="21"/>
              </w:rPr>
              <w:t>0.01</w:t>
            </w:r>
          </w:p>
        </w:tc>
        <w:tc>
          <w:tcPr>
            <w:tcW w:w="1729" w:type="pct"/>
            <w:vMerge/>
            <w:tcBorders>
              <w:tl2br w:val="nil"/>
              <w:tr2bl w:val="nil"/>
            </w:tcBorders>
            <w:vAlign w:val="center"/>
          </w:tcPr>
          <w:p w14:paraId="3FF9C709" w14:textId="77777777" w:rsidR="00606029" w:rsidRDefault="00606029">
            <w:pPr>
              <w:pStyle w:val="a5"/>
              <w:spacing w:line="280" w:lineRule="exact"/>
              <w:ind w:left="-105" w:firstLine="0"/>
              <w:jc w:val="center"/>
              <w:rPr>
                <w:sz w:val="21"/>
                <w:szCs w:val="21"/>
              </w:rPr>
            </w:pPr>
          </w:p>
        </w:tc>
      </w:tr>
      <w:tr w:rsidR="00606029" w14:paraId="32DBA3CB" w14:textId="77777777">
        <w:trPr>
          <w:trHeight w:val="340"/>
        </w:trPr>
        <w:tc>
          <w:tcPr>
            <w:tcW w:w="362" w:type="pct"/>
            <w:tcBorders>
              <w:tl2br w:val="nil"/>
              <w:tr2bl w:val="nil"/>
            </w:tcBorders>
            <w:vAlign w:val="center"/>
          </w:tcPr>
          <w:p w14:paraId="279D00CB" w14:textId="77777777" w:rsidR="00606029" w:rsidRDefault="00EA5B92">
            <w:pPr>
              <w:pStyle w:val="a5"/>
              <w:spacing w:line="280" w:lineRule="exact"/>
              <w:ind w:leftChars="0" w:left="0" w:firstLine="0"/>
              <w:jc w:val="center"/>
              <w:rPr>
                <w:sz w:val="21"/>
                <w:szCs w:val="21"/>
              </w:rPr>
            </w:pPr>
            <w:r>
              <w:rPr>
                <w:sz w:val="21"/>
                <w:szCs w:val="21"/>
              </w:rPr>
              <w:t>10</w:t>
            </w:r>
          </w:p>
        </w:tc>
        <w:tc>
          <w:tcPr>
            <w:tcW w:w="1168" w:type="pct"/>
            <w:tcBorders>
              <w:tl2br w:val="nil"/>
              <w:tr2bl w:val="nil"/>
            </w:tcBorders>
            <w:vAlign w:val="center"/>
          </w:tcPr>
          <w:p w14:paraId="4D343134" w14:textId="77777777" w:rsidR="00606029" w:rsidRDefault="00EA5B92">
            <w:pPr>
              <w:pStyle w:val="a5"/>
              <w:spacing w:line="280" w:lineRule="exact"/>
              <w:ind w:left="-105" w:firstLine="0"/>
              <w:jc w:val="center"/>
              <w:rPr>
                <w:sz w:val="21"/>
                <w:szCs w:val="21"/>
              </w:rPr>
            </w:pPr>
            <w:r>
              <w:rPr>
                <w:sz w:val="21"/>
                <w:szCs w:val="21"/>
              </w:rPr>
              <w:t>氟化物</w:t>
            </w:r>
          </w:p>
        </w:tc>
        <w:tc>
          <w:tcPr>
            <w:tcW w:w="745" w:type="pct"/>
            <w:tcBorders>
              <w:tl2br w:val="nil"/>
              <w:tr2bl w:val="nil"/>
            </w:tcBorders>
            <w:vAlign w:val="center"/>
          </w:tcPr>
          <w:p w14:paraId="66508057" w14:textId="77777777" w:rsidR="00606029" w:rsidRDefault="00EA5B92">
            <w:pPr>
              <w:pStyle w:val="a5"/>
              <w:spacing w:line="280" w:lineRule="exact"/>
              <w:ind w:left="-105" w:firstLine="0"/>
              <w:jc w:val="center"/>
              <w:rPr>
                <w:sz w:val="21"/>
                <w:szCs w:val="21"/>
              </w:rPr>
            </w:pPr>
            <w:r>
              <w:rPr>
                <w:sz w:val="21"/>
                <w:szCs w:val="21"/>
              </w:rPr>
              <w:t>mg/L</w:t>
            </w:r>
          </w:p>
        </w:tc>
        <w:tc>
          <w:tcPr>
            <w:tcW w:w="994" w:type="pct"/>
            <w:tcBorders>
              <w:tl2br w:val="nil"/>
              <w:tr2bl w:val="nil"/>
            </w:tcBorders>
            <w:vAlign w:val="center"/>
          </w:tcPr>
          <w:p w14:paraId="39586B63" w14:textId="77777777" w:rsidR="00606029" w:rsidRDefault="00EA5B92">
            <w:pPr>
              <w:pStyle w:val="a5"/>
              <w:spacing w:line="280" w:lineRule="exact"/>
              <w:ind w:left="-105" w:firstLine="0"/>
              <w:jc w:val="center"/>
              <w:rPr>
                <w:sz w:val="21"/>
                <w:szCs w:val="21"/>
              </w:rPr>
            </w:pPr>
            <w:r>
              <w:rPr>
                <w:sz w:val="21"/>
                <w:szCs w:val="21"/>
              </w:rPr>
              <w:t>1.0</w:t>
            </w:r>
          </w:p>
        </w:tc>
        <w:tc>
          <w:tcPr>
            <w:tcW w:w="1729" w:type="pct"/>
            <w:vMerge/>
            <w:tcBorders>
              <w:tl2br w:val="nil"/>
              <w:tr2bl w:val="nil"/>
            </w:tcBorders>
            <w:vAlign w:val="center"/>
          </w:tcPr>
          <w:p w14:paraId="101C9061" w14:textId="77777777" w:rsidR="00606029" w:rsidRDefault="00606029">
            <w:pPr>
              <w:pStyle w:val="a5"/>
              <w:spacing w:line="280" w:lineRule="exact"/>
              <w:ind w:left="-105" w:firstLine="0"/>
              <w:jc w:val="center"/>
              <w:rPr>
                <w:sz w:val="21"/>
                <w:szCs w:val="21"/>
              </w:rPr>
            </w:pPr>
          </w:p>
        </w:tc>
      </w:tr>
      <w:tr w:rsidR="00606029" w14:paraId="09A2A5B1" w14:textId="77777777">
        <w:trPr>
          <w:trHeight w:val="340"/>
        </w:trPr>
        <w:tc>
          <w:tcPr>
            <w:tcW w:w="362" w:type="pct"/>
            <w:tcBorders>
              <w:tl2br w:val="nil"/>
              <w:tr2bl w:val="nil"/>
            </w:tcBorders>
            <w:vAlign w:val="center"/>
          </w:tcPr>
          <w:p w14:paraId="2F277252" w14:textId="77777777" w:rsidR="00606029" w:rsidRDefault="00EA5B92">
            <w:pPr>
              <w:pStyle w:val="a5"/>
              <w:spacing w:line="280" w:lineRule="exact"/>
              <w:ind w:leftChars="0" w:left="0" w:firstLine="0"/>
              <w:jc w:val="center"/>
              <w:rPr>
                <w:sz w:val="21"/>
                <w:szCs w:val="21"/>
              </w:rPr>
            </w:pPr>
            <w:r>
              <w:rPr>
                <w:sz w:val="21"/>
                <w:szCs w:val="21"/>
              </w:rPr>
              <w:lastRenderedPageBreak/>
              <w:t>11</w:t>
            </w:r>
          </w:p>
        </w:tc>
        <w:tc>
          <w:tcPr>
            <w:tcW w:w="1168" w:type="pct"/>
            <w:tcBorders>
              <w:tl2br w:val="nil"/>
              <w:tr2bl w:val="nil"/>
            </w:tcBorders>
            <w:vAlign w:val="center"/>
          </w:tcPr>
          <w:p w14:paraId="175989E2" w14:textId="77777777" w:rsidR="00606029" w:rsidRDefault="00EA5B92">
            <w:pPr>
              <w:pStyle w:val="a5"/>
              <w:spacing w:line="280" w:lineRule="exact"/>
              <w:ind w:left="-105" w:firstLine="0"/>
              <w:jc w:val="center"/>
              <w:rPr>
                <w:sz w:val="21"/>
                <w:szCs w:val="21"/>
              </w:rPr>
            </w:pPr>
            <w:r>
              <w:rPr>
                <w:sz w:val="21"/>
                <w:szCs w:val="21"/>
              </w:rPr>
              <w:t>镉</w:t>
            </w:r>
          </w:p>
        </w:tc>
        <w:tc>
          <w:tcPr>
            <w:tcW w:w="745" w:type="pct"/>
            <w:tcBorders>
              <w:tl2br w:val="nil"/>
              <w:tr2bl w:val="nil"/>
            </w:tcBorders>
            <w:vAlign w:val="center"/>
          </w:tcPr>
          <w:p w14:paraId="610B71A0" w14:textId="77777777" w:rsidR="00606029" w:rsidRDefault="00EA5B92">
            <w:pPr>
              <w:pStyle w:val="a5"/>
              <w:spacing w:line="280" w:lineRule="exact"/>
              <w:ind w:left="-105" w:firstLine="0"/>
              <w:jc w:val="center"/>
              <w:rPr>
                <w:sz w:val="21"/>
                <w:szCs w:val="21"/>
              </w:rPr>
            </w:pPr>
            <w:r>
              <w:rPr>
                <w:sz w:val="21"/>
                <w:szCs w:val="21"/>
              </w:rPr>
              <w:t>mg/L</w:t>
            </w:r>
          </w:p>
        </w:tc>
        <w:tc>
          <w:tcPr>
            <w:tcW w:w="994" w:type="pct"/>
            <w:tcBorders>
              <w:tl2br w:val="nil"/>
              <w:tr2bl w:val="nil"/>
            </w:tcBorders>
            <w:vAlign w:val="center"/>
          </w:tcPr>
          <w:p w14:paraId="0F12EEC1" w14:textId="77777777" w:rsidR="00606029" w:rsidRDefault="00EA5B92">
            <w:pPr>
              <w:pStyle w:val="a5"/>
              <w:spacing w:line="280" w:lineRule="exact"/>
              <w:ind w:left="-105" w:firstLine="0"/>
              <w:jc w:val="center"/>
              <w:rPr>
                <w:sz w:val="21"/>
                <w:szCs w:val="21"/>
              </w:rPr>
            </w:pPr>
            <w:r>
              <w:rPr>
                <w:sz w:val="21"/>
                <w:szCs w:val="21"/>
              </w:rPr>
              <w:t>0.005</w:t>
            </w:r>
          </w:p>
        </w:tc>
        <w:tc>
          <w:tcPr>
            <w:tcW w:w="1729" w:type="pct"/>
            <w:vMerge/>
            <w:tcBorders>
              <w:tl2br w:val="nil"/>
              <w:tr2bl w:val="nil"/>
            </w:tcBorders>
            <w:vAlign w:val="center"/>
          </w:tcPr>
          <w:p w14:paraId="645E1D9B" w14:textId="77777777" w:rsidR="00606029" w:rsidRDefault="00606029">
            <w:pPr>
              <w:pStyle w:val="a5"/>
              <w:spacing w:line="280" w:lineRule="exact"/>
              <w:ind w:left="-105" w:firstLine="0"/>
              <w:jc w:val="center"/>
              <w:rPr>
                <w:sz w:val="21"/>
                <w:szCs w:val="21"/>
              </w:rPr>
            </w:pPr>
          </w:p>
        </w:tc>
      </w:tr>
      <w:tr w:rsidR="00606029" w14:paraId="785ED290" w14:textId="77777777">
        <w:trPr>
          <w:trHeight w:val="340"/>
        </w:trPr>
        <w:tc>
          <w:tcPr>
            <w:tcW w:w="362" w:type="pct"/>
            <w:tcBorders>
              <w:tl2br w:val="nil"/>
              <w:tr2bl w:val="nil"/>
            </w:tcBorders>
            <w:vAlign w:val="center"/>
          </w:tcPr>
          <w:p w14:paraId="3FBB3DBC" w14:textId="77777777" w:rsidR="00606029" w:rsidRDefault="00EA5B92">
            <w:pPr>
              <w:pStyle w:val="a5"/>
              <w:spacing w:line="280" w:lineRule="exact"/>
              <w:ind w:leftChars="0" w:left="0" w:firstLine="0"/>
              <w:jc w:val="center"/>
              <w:rPr>
                <w:sz w:val="21"/>
                <w:szCs w:val="21"/>
              </w:rPr>
            </w:pPr>
            <w:r>
              <w:rPr>
                <w:sz w:val="21"/>
                <w:szCs w:val="21"/>
              </w:rPr>
              <w:t>12</w:t>
            </w:r>
          </w:p>
        </w:tc>
        <w:tc>
          <w:tcPr>
            <w:tcW w:w="1168" w:type="pct"/>
            <w:tcBorders>
              <w:tl2br w:val="nil"/>
              <w:tr2bl w:val="nil"/>
            </w:tcBorders>
            <w:vAlign w:val="center"/>
          </w:tcPr>
          <w:p w14:paraId="0D3C2540" w14:textId="77777777" w:rsidR="00606029" w:rsidRDefault="00EA5B92">
            <w:pPr>
              <w:pStyle w:val="a5"/>
              <w:spacing w:line="280" w:lineRule="exact"/>
              <w:ind w:left="-105" w:firstLine="0"/>
              <w:jc w:val="center"/>
              <w:rPr>
                <w:sz w:val="21"/>
                <w:szCs w:val="21"/>
              </w:rPr>
            </w:pPr>
            <w:r>
              <w:rPr>
                <w:sz w:val="21"/>
                <w:szCs w:val="21"/>
              </w:rPr>
              <w:t>总硬度</w:t>
            </w:r>
          </w:p>
        </w:tc>
        <w:tc>
          <w:tcPr>
            <w:tcW w:w="745" w:type="pct"/>
            <w:tcBorders>
              <w:tl2br w:val="nil"/>
              <w:tr2bl w:val="nil"/>
            </w:tcBorders>
            <w:vAlign w:val="center"/>
          </w:tcPr>
          <w:p w14:paraId="576DB475" w14:textId="77777777" w:rsidR="00606029" w:rsidRDefault="00EA5B92">
            <w:pPr>
              <w:pStyle w:val="a5"/>
              <w:spacing w:line="280" w:lineRule="exact"/>
              <w:ind w:left="-105" w:firstLine="0"/>
              <w:jc w:val="center"/>
              <w:rPr>
                <w:sz w:val="21"/>
                <w:szCs w:val="21"/>
              </w:rPr>
            </w:pPr>
            <w:r>
              <w:rPr>
                <w:sz w:val="21"/>
                <w:szCs w:val="21"/>
              </w:rPr>
              <w:t>mg/L</w:t>
            </w:r>
          </w:p>
        </w:tc>
        <w:tc>
          <w:tcPr>
            <w:tcW w:w="994" w:type="pct"/>
            <w:tcBorders>
              <w:tl2br w:val="nil"/>
              <w:tr2bl w:val="nil"/>
            </w:tcBorders>
            <w:vAlign w:val="center"/>
          </w:tcPr>
          <w:p w14:paraId="26B0CCCA" w14:textId="77777777" w:rsidR="00606029" w:rsidRDefault="00EA5B92">
            <w:pPr>
              <w:pStyle w:val="a5"/>
              <w:spacing w:line="280" w:lineRule="exact"/>
              <w:ind w:left="-105" w:firstLine="0"/>
              <w:jc w:val="center"/>
              <w:rPr>
                <w:sz w:val="21"/>
                <w:szCs w:val="21"/>
              </w:rPr>
            </w:pPr>
            <w:r>
              <w:rPr>
                <w:sz w:val="21"/>
                <w:szCs w:val="21"/>
              </w:rPr>
              <w:t>450</w:t>
            </w:r>
          </w:p>
        </w:tc>
        <w:tc>
          <w:tcPr>
            <w:tcW w:w="1729" w:type="pct"/>
            <w:vMerge/>
            <w:tcBorders>
              <w:tl2br w:val="nil"/>
              <w:tr2bl w:val="nil"/>
            </w:tcBorders>
            <w:vAlign w:val="center"/>
          </w:tcPr>
          <w:p w14:paraId="67AD2484" w14:textId="77777777" w:rsidR="00606029" w:rsidRDefault="00606029">
            <w:pPr>
              <w:pStyle w:val="a5"/>
              <w:spacing w:line="280" w:lineRule="exact"/>
              <w:ind w:left="-105" w:firstLine="0"/>
              <w:jc w:val="center"/>
              <w:rPr>
                <w:sz w:val="21"/>
                <w:szCs w:val="21"/>
              </w:rPr>
            </w:pPr>
          </w:p>
        </w:tc>
      </w:tr>
      <w:tr w:rsidR="00606029" w14:paraId="43A38311" w14:textId="77777777">
        <w:trPr>
          <w:trHeight w:val="340"/>
        </w:trPr>
        <w:tc>
          <w:tcPr>
            <w:tcW w:w="362" w:type="pct"/>
            <w:tcBorders>
              <w:tl2br w:val="nil"/>
              <w:tr2bl w:val="nil"/>
            </w:tcBorders>
            <w:vAlign w:val="center"/>
          </w:tcPr>
          <w:p w14:paraId="68C0CCC1" w14:textId="77777777" w:rsidR="00606029" w:rsidRDefault="00EA5B92">
            <w:pPr>
              <w:pStyle w:val="a5"/>
              <w:spacing w:line="280" w:lineRule="exact"/>
              <w:ind w:leftChars="0" w:left="0" w:firstLine="0"/>
              <w:jc w:val="center"/>
              <w:rPr>
                <w:sz w:val="21"/>
                <w:szCs w:val="21"/>
              </w:rPr>
            </w:pPr>
            <w:r>
              <w:rPr>
                <w:sz w:val="21"/>
                <w:szCs w:val="21"/>
              </w:rPr>
              <w:t>13</w:t>
            </w:r>
          </w:p>
        </w:tc>
        <w:tc>
          <w:tcPr>
            <w:tcW w:w="1168" w:type="pct"/>
            <w:tcBorders>
              <w:tl2br w:val="nil"/>
              <w:tr2bl w:val="nil"/>
            </w:tcBorders>
            <w:vAlign w:val="center"/>
          </w:tcPr>
          <w:p w14:paraId="477BFE6D" w14:textId="77777777" w:rsidR="00606029" w:rsidRDefault="00EA5B92">
            <w:pPr>
              <w:pStyle w:val="a5"/>
              <w:spacing w:line="280" w:lineRule="exact"/>
              <w:ind w:left="-105" w:firstLine="0"/>
              <w:jc w:val="center"/>
              <w:rPr>
                <w:sz w:val="21"/>
                <w:szCs w:val="21"/>
              </w:rPr>
            </w:pPr>
            <w:r>
              <w:rPr>
                <w:sz w:val="21"/>
                <w:szCs w:val="21"/>
              </w:rPr>
              <w:t>铁</w:t>
            </w:r>
          </w:p>
        </w:tc>
        <w:tc>
          <w:tcPr>
            <w:tcW w:w="745" w:type="pct"/>
            <w:tcBorders>
              <w:tl2br w:val="nil"/>
              <w:tr2bl w:val="nil"/>
            </w:tcBorders>
            <w:vAlign w:val="center"/>
          </w:tcPr>
          <w:p w14:paraId="7ADC6E2A" w14:textId="77777777" w:rsidR="00606029" w:rsidRDefault="00EA5B92">
            <w:pPr>
              <w:pStyle w:val="a5"/>
              <w:spacing w:line="280" w:lineRule="exact"/>
              <w:ind w:left="-105" w:firstLine="0"/>
              <w:jc w:val="center"/>
              <w:rPr>
                <w:sz w:val="21"/>
                <w:szCs w:val="21"/>
              </w:rPr>
            </w:pPr>
            <w:r>
              <w:rPr>
                <w:sz w:val="21"/>
                <w:szCs w:val="21"/>
              </w:rPr>
              <w:t>mg/L</w:t>
            </w:r>
          </w:p>
        </w:tc>
        <w:tc>
          <w:tcPr>
            <w:tcW w:w="994" w:type="pct"/>
            <w:tcBorders>
              <w:tl2br w:val="nil"/>
              <w:tr2bl w:val="nil"/>
            </w:tcBorders>
            <w:vAlign w:val="center"/>
          </w:tcPr>
          <w:p w14:paraId="757B47E7" w14:textId="77777777" w:rsidR="00606029" w:rsidRDefault="00EA5B92">
            <w:pPr>
              <w:pStyle w:val="a5"/>
              <w:spacing w:line="280" w:lineRule="exact"/>
              <w:ind w:left="-105" w:firstLine="0"/>
              <w:jc w:val="center"/>
              <w:rPr>
                <w:sz w:val="21"/>
                <w:szCs w:val="21"/>
              </w:rPr>
            </w:pPr>
            <w:r>
              <w:rPr>
                <w:sz w:val="21"/>
                <w:szCs w:val="21"/>
              </w:rPr>
              <w:t>0.3</w:t>
            </w:r>
          </w:p>
        </w:tc>
        <w:tc>
          <w:tcPr>
            <w:tcW w:w="1729" w:type="pct"/>
            <w:vMerge/>
            <w:tcBorders>
              <w:tl2br w:val="nil"/>
              <w:tr2bl w:val="nil"/>
            </w:tcBorders>
            <w:vAlign w:val="center"/>
          </w:tcPr>
          <w:p w14:paraId="1582527F" w14:textId="77777777" w:rsidR="00606029" w:rsidRDefault="00606029">
            <w:pPr>
              <w:pStyle w:val="a5"/>
              <w:spacing w:line="280" w:lineRule="exact"/>
              <w:ind w:left="-105" w:firstLine="0"/>
              <w:jc w:val="center"/>
              <w:rPr>
                <w:sz w:val="21"/>
                <w:szCs w:val="21"/>
              </w:rPr>
            </w:pPr>
          </w:p>
        </w:tc>
      </w:tr>
      <w:tr w:rsidR="00606029" w14:paraId="547C2F58" w14:textId="77777777">
        <w:trPr>
          <w:trHeight w:val="340"/>
        </w:trPr>
        <w:tc>
          <w:tcPr>
            <w:tcW w:w="362" w:type="pct"/>
            <w:tcBorders>
              <w:tl2br w:val="nil"/>
              <w:tr2bl w:val="nil"/>
            </w:tcBorders>
            <w:vAlign w:val="center"/>
          </w:tcPr>
          <w:p w14:paraId="72E7EE1A" w14:textId="77777777" w:rsidR="00606029" w:rsidRDefault="00EA5B92">
            <w:pPr>
              <w:pStyle w:val="a5"/>
              <w:spacing w:line="280" w:lineRule="exact"/>
              <w:ind w:leftChars="0" w:left="0" w:firstLine="0"/>
              <w:jc w:val="center"/>
              <w:rPr>
                <w:sz w:val="21"/>
                <w:szCs w:val="21"/>
              </w:rPr>
            </w:pPr>
            <w:r>
              <w:rPr>
                <w:sz w:val="21"/>
                <w:szCs w:val="21"/>
              </w:rPr>
              <w:t>14</w:t>
            </w:r>
          </w:p>
        </w:tc>
        <w:tc>
          <w:tcPr>
            <w:tcW w:w="1168" w:type="pct"/>
            <w:tcBorders>
              <w:tl2br w:val="nil"/>
              <w:tr2bl w:val="nil"/>
            </w:tcBorders>
            <w:vAlign w:val="center"/>
          </w:tcPr>
          <w:p w14:paraId="46A64DDC" w14:textId="77777777" w:rsidR="00606029" w:rsidRDefault="00EA5B92">
            <w:pPr>
              <w:pStyle w:val="a5"/>
              <w:spacing w:line="280" w:lineRule="exact"/>
              <w:ind w:left="-105" w:firstLine="0"/>
              <w:jc w:val="center"/>
              <w:rPr>
                <w:sz w:val="21"/>
                <w:szCs w:val="21"/>
              </w:rPr>
            </w:pPr>
            <w:r>
              <w:rPr>
                <w:sz w:val="21"/>
                <w:szCs w:val="21"/>
              </w:rPr>
              <w:t>锰</w:t>
            </w:r>
          </w:p>
        </w:tc>
        <w:tc>
          <w:tcPr>
            <w:tcW w:w="745" w:type="pct"/>
            <w:tcBorders>
              <w:tl2br w:val="nil"/>
              <w:tr2bl w:val="nil"/>
            </w:tcBorders>
            <w:vAlign w:val="center"/>
          </w:tcPr>
          <w:p w14:paraId="7505D8D8" w14:textId="77777777" w:rsidR="00606029" w:rsidRDefault="00EA5B92">
            <w:pPr>
              <w:pStyle w:val="a5"/>
              <w:spacing w:line="280" w:lineRule="exact"/>
              <w:ind w:left="-105" w:firstLine="0"/>
              <w:jc w:val="center"/>
              <w:rPr>
                <w:sz w:val="21"/>
                <w:szCs w:val="21"/>
              </w:rPr>
            </w:pPr>
            <w:r>
              <w:rPr>
                <w:sz w:val="21"/>
                <w:szCs w:val="21"/>
              </w:rPr>
              <w:t>mg/L</w:t>
            </w:r>
          </w:p>
        </w:tc>
        <w:tc>
          <w:tcPr>
            <w:tcW w:w="994" w:type="pct"/>
            <w:tcBorders>
              <w:tl2br w:val="nil"/>
              <w:tr2bl w:val="nil"/>
            </w:tcBorders>
            <w:vAlign w:val="center"/>
          </w:tcPr>
          <w:p w14:paraId="7C5CD432" w14:textId="77777777" w:rsidR="00606029" w:rsidRDefault="00EA5B92">
            <w:pPr>
              <w:pStyle w:val="a5"/>
              <w:spacing w:line="280" w:lineRule="exact"/>
              <w:ind w:left="-105" w:firstLine="0"/>
              <w:jc w:val="center"/>
              <w:rPr>
                <w:sz w:val="21"/>
                <w:szCs w:val="21"/>
              </w:rPr>
            </w:pPr>
            <w:r>
              <w:rPr>
                <w:sz w:val="21"/>
                <w:szCs w:val="21"/>
              </w:rPr>
              <w:t>0.1</w:t>
            </w:r>
          </w:p>
        </w:tc>
        <w:tc>
          <w:tcPr>
            <w:tcW w:w="1729" w:type="pct"/>
            <w:vMerge/>
            <w:tcBorders>
              <w:tl2br w:val="nil"/>
              <w:tr2bl w:val="nil"/>
            </w:tcBorders>
            <w:vAlign w:val="center"/>
          </w:tcPr>
          <w:p w14:paraId="10457A94" w14:textId="77777777" w:rsidR="00606029" w:rsidRDefault="00606029">
            <w:pPr>
              <w:pStyle w:val="a5"/>
              <w:spacing w:line="280" w:lineRule="exact"/>
              <w:ind w:left="-105" w:firstLine="0"/>
              <w:jc w:val="center"/>
              <w:rPr>
                <w:sz w:val="21"/>
                <w:szCs w:val="21"/>
              </w:rPr>
            </w:pPr>
          </w:p>
        </w:tc>
      </w:tr>
      <w:tr w:rsidR="00606029" w14:paraId="5C984123" w14:textId="77777777">
        <w:trPr>
          <w:trHeight w:val="340"/>
        </w:trPr>
        <w:tc>
          <w:tcPr>
            <w:tcW w:w="362" w:type="pct"/>
            <w:tcBorders>
              <w:tl2br w:val="nil"/>
              <w:tr2bl w:val="nil"/>
            </w:tcBorders>
            <w:vAlign w:val="center"/>
          </w:tcPr>
          <w:p w14:paraId="3B3129EC" w14:textId="77777777" w:rsidR="00606029" w:rsidRDefault="00EA5B92">
            <w:pPr>
              <w:pStyle w:val="a5"/>
              <w:spacing w:line="280" w:lineRule="exact"/>
              <w:ind w:leftChars="0" w:left="0" w:firstLine="0"/>
              <w:jc w:val="center"/>
              <w:rPr>
                <w:sz w:val="21"/>
                <w:szCs w:val="21"/>
              </w:rPr>
            </w:pPr>
            <w:r>
              <w:rPr>
                <w:sz w:val="21"/>
                <w:szCs w:val="21"/>
              </w:rPr>
              <w:t>15</w:t>
            </w:r>
          </w:p>
        </w:tc>
        <w:tc>
          <w:tcPr>
            <w:tcW w:w="1168" w:type="pct"/>
            <w:tcBorders>
              <w:tl2br w:val="nil"/>
              <w:tr2bl w:val="nil"/>
            </w:tcBorders>
            <w:vAlign w:val="center"/>
          </w:tcPr>
          <w:p w14:paraId="68220C3D" w14:textId="77777777" w:rsidR="00606029" w:rsidRDefault="00EA5B92">
            <w:pPr>
              <w:pStyle w:val="a5"/>
              <w:spacing w:line="280" w:lineRule="exact"/>
              <w:ind w:left="-105" w:firstLine="0"/>
              <w:jc w:val="center"/>
              <w:rPr>
                <w:sz w:val="21"/>
                <w:szCs w:val="21"/>
              </w:rPr>
            </w:pPr>
            <w:r>
              <w:rPr>
                <w:sz w:val="21"/>
                <w:szCs w:val="21"/>
              </w:rPr>
              <w:t>溶解性总固体</w:t>
            </w:r>
          </w:p>
        </w:tc>
        <w:tc>
          <w:tcPr>
            <w:tcW w:w="745" w:type="pct"/>
            <w:tcBorders>
              <w:tl2br w:val="nil"/>
              <w:tr2bl w:val="nil"/>
            </w:tcBorders>
            <w:vAlign w:val="center"/>
          </w:tcPr>
          <w:p w14:paraId="7D3C6144" w14:textId="77777777" w:rsidR="00606029" w:rsidRDefault="00EA5B92">
            <w:pPr>
              <w:pStyle w:val="a5"/>
              <w:spacing w:line="280" w:lineRule="exact"/>
              <w:ind w:left="-105" w:firstLine="0"/>
              <w:jc w:val="center"/>
              <w:rPr>
                <w:sz w:val="21"/>
                <w:szCs w:val="21"/>
              </w:rPr>
            </w:pPr>
            <w:r>
              <w:rPr>
                <w:sz w:val="21"/>
                <w:szCs w:val="21"/>
              </w:rPr>
              <w:t>mg/L</w:t>
            </w:r>
          </w:p>
        </w:tc>
        <w:tc>
          <w:tcPr>
            <w:tcW w:w="994" w:type="pct"/>
            <w:tcBorders>
              <w:tl2br w:val="nil"/>
              <w:tr2bl w:val="nil"/>
            </w:tcBorders>
            <w:vAlign w:val="center"/>
          </w:tcPr>
          <w:p w14:paraId="106C5721" w14:textId="77777777" w:rsidR="00606029" w:rsidRDefault="00EA5B92">
            <w:pPr>
              <w:pStyle w:val="a5"/>
              <w:spacing w:line="280" w:lineRule="exact"/>
              <w:ind w:left="-105" w:firstLine="0"/>
              <w:jc w:val="center"/>
              <w:rPr>
                <w:sz w:val="21"/>
                <w:szCs w:val="21"/>
              </w:rPr>
            </w:pPr>
            <w:r>
              <w:rPr>
                <w:sz w:val="21"/>
                <w:szCs w:val="21"/>
              </w:rPr>
              <w:t>1000</w:t>
            </w:r>
          </w:p>
        </w:tc>
        <w:tc>
          <w:tcPr>
            <w:tcW w:w="1729" w:type="pct"/>
            <w:vMerge/>
            <w:tcBorders>
              <w:tl2br w:val="nil"/>
              <w:tr2bl w:val="nil"/>
            </w:tcBorders>
            <w:vAlign w:val="center"/>
          </w:tcPr>
          <w:p w14:paraId="27575658" w14:textId="77777777" w:rsidR="00606029" w:rsidRDefault="00606029">
            <w:pPr>
              <w:pStyle w:val="a5"/>
              <w:spacing w:line="280" w:lineRule="exact"/>
              <w:ind w:left="-105" w:firstLine="0"/>
              <w:jc w:val="center"/>
              <w:rPr>
                <w:sz w:val="21"/>
                <w:szCs w:val="21"/>
              </w:rPr>
            </w:pPr>
          </w:p>
        </w:tc>
      </w:tr>
      <w:tr w:rsidR="00606029" w14:paraId="695E6DC9" w14:textId="77777777">
        <w:trPr>
          <w:trHeight w:val="340"/>
        </w:trPr>
        <w:tc>
          <w:tcPr>
            <w:tcW w:w="362" w:type="pct"/>
            <w:tcBorders>
              <w:tl2br w:val="nil"/>
              <w:tr2bl w:val="nil"/>
            </w:tcBorders>
            <w:vAlign w:val="center"/>
          </w:tcPr>
          <w:p w14:paraId="5807CD61" w14:textId="77777777" w:rsidR="00606029" w:rsidRDefault="00EA5B92">
            <w:pPr>
              <w:pStyle w:val="a5"/>
              <w:spacing w:line="280" w:lineRule="exact"/>
              <w:ind w:leftChars="0" w:left="0" w:firstLine="0"/>
              <w:jc w:val="center"/>
              <w:rPr>
                <w:sz w:val="21"/>
                <w:szCs w:val="21"/>
              </w:rPr>
            </w:pPr>
            <w:r>
              <w:rPr>
                <w:sz w:val="21"/>
                <w:szCs w:val="21"/>
              </w:rPr>
              <w:t>16</w:t>
            </w:r>
          </w:p>
        </w:tc>
        <w:tc>
          <w:tcPr>
            <w:tcW w:w="1168" w:type="pct"/>
            <w:tcBorders>
              <w:tl2br w:val="nil"/>
              <w:tr2bl w:val="nil"/>
            </w:tcBorders>
            <w:vAlign w:val="center"/>
          </w:tcPr>
          <w:p w14:paraId="3E5EF122" w14:textId="77777777" w:rsidR="00606029" w:rsidRDefault="00EA5B92">
            <w:pPr>
              <w:pStyle w:val="a5"/>
              <w:spacing w:line="280" w:lineRule="exact"/>
              <w:ind w:left="-105" w:firstLine="0"/>
              <w:jc w:val="center"/>
              <w:rPr>
                <w:sz w:val="21"/>
                <w:szCs w:val="21"/>
              </w:rPr>
            </w:pPr>
            <w:r>
              <w:rPr>
                <w:sz w:val="21"/>
                <w:szCs w:val="21"/>
              </w:rPr>
              <w:t>耗氧量</w:t>
            </w:r>
          </w:p>
        </w:tc>
        <w:tc>
          <w:tcPr>
            <w:tcW w:w="745" w:type="pct"/>
            <w:tcBorders>
              <w:tl2br w:val="nil"/>
              <w:tr2bl w:val="nil"/>
            </w:tcBorders>
            <w:vAlign w:val="center"/>
          </w:tcPr>
          <w:p w14:paraId="5B557898" w14:textId="77777777" w:rsidR="00606029" w:rsidRDefault="00EA5B92">
            <w:pPr>
              <w:pStyle w:val="a5"/>
              <w:spacing w:line="280" w:lineRule="exact"/>
              <w:ind w:left="-105" w:firstLine="0"/>
              <w:jc w:val="center"/>
              <w:rPr>
                <w:sz w:val="21"/>
                <w:szCs w:val="21"/>
              </w:rPr>
            </w:pPr>
            <w:r>
              <w:rPr>
                <w:sz w:val="21"/>
                <w:szCs w:val="21"/>
              </w:rPr>
              <w:t>mg/L</w:t>
            </w:r>
          </w:p>
        </w:tc>
        <w:tc>
          <w:tcPr>
            <w:tcW w:w="994" w:type="pct"/>
            <w:tcBorders>
              <w:tl2br w:val="nil"/>
              <w:tr2bl w:val="nil"/>
            </w:tcBorders>
            <w:vAlign w:val="center"/>
          </w:tcPr>
          <w:p w14:paraId="790057DA" w14:textId="77777777" w:rsidR="00606029" w:rsidRDefault="00EA5B92">
            <w:pPr>
              <w:pStyle w:val="a5"/>
              <w:spacing w:line="280" w:lineRule="exact"/>
              <w:ind w:left="-105" w:firstLine="0"/>
              <w:jc w:val="center"/>
              <w:rPr>
                <w:sz w:val="21"/>
                <w:szCs w:val="21"/>
              </w:rPr>
            </w:pPr>
            <w:r>
              <w:rPr>
                <w:sz w:val="21"/>
                <w:szCs w:val="21"/>
              </w:rPr>
              <w:t>3.0</w:t>
            </w:r>
          </w:p>
        </w:tc>
        <w:tc>
          <w:tcPr>
            <w:tcW w:w="1729" w:type="pct"/>
            <w:vMerge/>
            <w:tcBorders>
              <w:tl2br w:val="nil"/>
              <w:tr2bl w:val="nil"/>
            </w:tcBorders>
            <w:vAlign w:val="center"/>
          </w:tcPr>
          <w:p w14:paraId="1D3730F8" w14:textId="77777777" w:rsidR="00606029" w:rsidRDefault="00606029">
            <w:pPr>
              <w:pStyle w:val="a5"/>
              <w:spacing w:line="280" w:lineRule="exact"/>
              <w:ind w:left="-105" w:firstLine="0"/>
              <w:jc w:val="center"/>
              <w:rPr>
                <w:sz w:val="21"/>
                <w:szCs w:val="21"/>
              </w:rPr>
            </w:pPr>
          </w:p>
        </w:tc>
      </w:tr>
      <w:tr w:rsidR="00606029" w14:paraId="76C3FDEB" w14:textId="77777777">
        <w:trPr>
          <w:trHeight w:val="340"/>
        </w:trPr>
        <w:tc>
          <w:tcPr>
            <w:tcW w:w="362" w:type="pct"/>
            <w:tcBorders>
              <w:tl2br w:val="nil"/>
              <w:tr2bl w:val="nil"/>
            </w:tcBorders>
            <w:vAlign w:val="center"/>
          </w:tcPr>
          <w:p w14:paraId="66A6B419" w14:textId="77777777" w:rsidR="00606029" w:rsidRDefault="00EA5B92">
            <w:pPr>
              <w:pStyle w:val="a5"/>
              <w:spacing w:line="280" w:lineRule="exact"/>
              <w:ind w:leftChars="0" w:left="0" w:firstLine="0"/>
              <w:jc w:val="center"/>
              <w:rPr>
                <w:sz w:val="21"/>
                <w:szCs w:val="21"/>
              </w:rPr>
            </w:pPr>
            <w:r>
              <w:rPr>
                <w:sz w:val="21"/>
                <w:szCs w:val="21"/>
              </w:rPr>
              <w:t>17</w:t>
            </w:r>
          </w:p>
        </w:tc>
        <w:tc>
          <w:tcPr>
            <w:tcW w:w="1168" w:type="pct"/>
            <w:tcBorders>
              <w:tl2br w:val="nil"/>
              <w:tr2bl w:val="nil"/>
            </w:tcBorders>
            <w:vAlign w:val="center"/>
          </w:tcPr>
          <w:p w14:paraId="24581B7E" w14:textId="77777777" w:rsidR="00606029" w:rsidRDefault="00EA5B92">
            <w:pPr>
              <w:pStyle w:val="a5"/>
              <w:spacing w:line="280" w:lineRule="exact"/>
              <w:ind w:left="-105" w:firstLine="0"/>
              <w:jc w:val="center"/>
              <w:rPr>
                <w:sz w:val="21"/>
                <w:szCs w:val="21"/>
              </w:rPr>
            </w:pPr>
            <w:r>
              <w:rPr>
                <w:sz w:val="21"/>
                <w:szCs w:val="21"/>
              </w:rPr>
              <w:t>砷</w:t>
            </w:r>
          </w:p>
        </w:tc>
        <w:tc>
          <w:tcPr>
            <w:tcW w:w="745" w:type="pct"/>
            <w:tcBorders>
              <w:tl2br w:val="nil"/>
              <w:tr2bl w:val="nil"/>
            </w:tcBorders>
            <w:vAlign w:val="center"/>
          </w:tcPr>
          <w:p w14:paraId="632386A4" w14:textId="77777777" w:rsidR="00606029" w:rsidRDefault="00EA5B92">
            <w:pPr>
              <w:pStyle w:val="a5"/>
              <w:spacing w:line="280" w:lineRule="exact"/>
              <w:ind w:left="-105" w:firstLine="0"/>
              <w:jc w:val="center"/>
              <w:rPr>
                <w:sz w:val="21"/>
                <w:szCs w:val="21"/>
              </w:rPr>
            </w:pPr>
            <w:r>
              <w:rPr>
                <w:sz w:val="21"/>
                <w:szCs w:val="21"/>
              </w:rPr>
              <w:t>mg/L</w:t>
            </w:r>
          </w:p>
        </w:tc>
        <w:tc>
          <w:tcPr>
            <w:tcW w:w="994" w:type="pct"/>
            <w:tcBorders>
              <w:tl2br w:val="nil"/>
              <w:tr2bl w:val="nil"/>
            </w:tcBorders>
            <w:vAlign w:val="center"/>
          </w:tcPr>
          <w:p w14:paraId="64F1218F" w14:textId="77777777" w:rsidR="00606029" w:rsidRDefault="00EA5B92">
            <w:pPr>
              <w:pStyle w:val="a5"/>
              <w:spacing w:line="280" w:lineRule="exact"/>
              <w:ind w:left="-105" w:firstLine="0"/>
              <w:jc w:val="center"/>
              <w:rPr>
                <w:sz w:val="21"/>
                <w:szCs w:val="21"/>
              </w:rPr>
            </w:pPr>
            <w:r>
              <w:rPr>
                <w:sz w:val="21"/>
                <w:szCs w:val="21"/>
              </w:rPr>
              <w:t>0.01</w:t>
            </w:r>
          </w:p>
        </w:tc>
        <w:tc>
          <w:tcPr>
            <w:tcW w:w="1729" w:type="pct"/>
            <w:vMerge/>
            <w:tcBorders>
              <w:tl2br w:val="nil"/>
              <w:tr2bl w:val="nil"/>
            </w:tcBorders>
            <w:vAlign w:val="center"/>
          </w:tcPr>
          <w:p w14:paraId="11A15EF1" w14:textId="77777777" w:rsidR="00606029" w:rsidRDefault="00606029">
            <w:pPr>
              <w:pStyle w:val="a5"/>
              <w:spacing w:line="280" w:lineRule="exact"/>
              <w:ind w:left="-105" w:firstLine="0"/>
              <w:jc w:val="center"/>
              <w:rPr>
                <w:sz w:val="21"/>
                <w:szCs w:val="21"/>
              </w:rPr>
            </w:pPr>
          </w:p>
        </w:tc>
      </w:tr>
      <w:tr w:rsidR="00606029" w14:paraId="310594E1" w14:textId="77777777">
        <w:trPr>
          <w:trHeight w:val="340"/>
        </w:trPr>
        <w:tc>
          <w:tcPr>
            <w:tcW w:w="362" w:type="pct"/>
            <w:tcBorders>
              <w:tl2br w:val="nil"/>
              <w:tr2bl w:val="nil"/>
            </w:tcBorders>
            <w:vAlign w:val="center"/>
          </w:tcPr>
          <w:p w14:paraId="57F10D51" w14:textId="77777777" w:rsidR="00606029" w:rsidRDefault="00EA5B92">
            <w:pPr>
              <w:pStyle w:val="a5"/>
              <w:spacing w:line="280" w:lineRule="exact"/>
              <w:ind w:leftChars="0" w:left="0" w:firstLine="0"/>
              <w:jc w:val="center"/>
              <w:rPr>
                <w:sz w:val="21"/>
                <w:szCs w:val="21"/>
              </w:rPr>
            </w:pPr>
            <w:r>
              <w:rPr>
                <w:sz w:val="21"/>
                <w:szCs w:val="21"/>
              </w:rPr>
              <w:t>18</w:t>
            </w:r>
          </w:p>
        </w:tc>
        <w:tc>
          <w:tcPr>
            <w:tcW w:w="1168" w:type="pct"/>
            <w:tcBorders>
              <w:tl2br w:val="nil"/>
              <w:tr2bl w:val="nil"/>
            </w:tcBorders>
            <w:vAlign w:val="center"/>
          </w:tcPr>
          <w:p w14:paraId="5598BA76" w14:textId="77777777" w:rsidR="00606029" w:rsidRDefault="00EA5B92">
            <w:pPr>
              <w:pStyle w:val="a5"/>
              <w:spacing w:line="280" w:lineRule="exact"/>
              <w:ind w:left="-105" w:firstLine="0"/>
              <w:jc w:val="center"/>
              <w:rPr>
                <w:sz w:val="21"/>
                <w:szCs w:val="21"/>
              </w:rPr>
            </w:pPr>
            <w:r>
              <w:rPr>
                <w:sz w:val="21"/>
                <w:szCs w:val="21"/>
              </w:rPr>
              <w:t>汞</w:t>
            </w:r>
          </w:p>
        </w:tc>
        <w:tc>
          <w:tcPr>
            <w:tcW w:w="745" w:type="pct"/>
            <w:tcBorders>
              <w:tl2br w:val="nil"/>
              <w:tr2bl w:val="nil"/>
            </w:tcBorders>
            <w:vAlign w:val="center"/>
          </w:tcPr>
          <w:p w14:paraId="5F361922" w14:textId="77777777" w:rsidR="00606029" w:rsidRDefault="00EA5B92">
            <w:pPr>
              <w:pStyle w:val="a5"/>
              <w:spacing w:line="280" w:lineRule="exact"/>
              <w:ind w:left="-105" w:firstLine="0"/>
              <w:jc w:val="center"/>
              <w:rPr>
                <w:sz w:val="21"/>
                <w:szCs w:val="21"/>
              </w:rPr>
            </w:pPr>
            <w:r>
              <w:rPr>
                <w:sz w:val="21"/>
                <w:szCs w:val="21"/>
              </w:rPr>
              <w:t>mg/L</w:t>
            </w:r>
          </w:p>
        </w:tc>
        <w:tc>
          <w:tcPr>
            <w:tcW w:w="994" w:type="pct"/>
            <w:tcBorders>
              <w:tl2br w:val="nil"/>
              <w:tr2bl w:val="nil"/>
            </w:tcBorders>
            <w:vAlign w:val="center"/>
          </w:tcPr>
          <w:p w14:paraId="396F0624" w14:textId="77777777" w:rsidR="00606029" w:rsidRDefault="00EA5B92">
            <w:pPr>
              <w:pStyle w:val="a5"/>
              <w:spacing w:line="280" w:lineRule="exact"/>
              <w:ind w:left="-105" w:firstLine="0"/>
              <w:jc w:val="center"/>
              <w:rPr>
                <w:sz w:val="21"/>
                <w:szCs w:val="21"/>
              </w:rPr>
            </w:pPr>
            <w:r>
              <w:rPr>
                <w:sz w:val="21"/>
                <w:szCs w:val="21"/>
              </w:rPr>
              <w:t>0.001</w:t>
            </w:r>
          </w:p>
        </w:tc>
        <w:tc>
          <w:tcPr>
            <w:tcW w:w="1729" w:type="pct"/>
            <w:vMerge/>
            <w:tcBorders>
              <w:tl2br w:val="nil"/>
              <w:tr2bl w:val="nil"/>
            </w:tcBorders>
            <w:vAlign w:val="center"/>
          </w:tcPr>
          <w:p w14:paraId="734B7648" w14:textId="77777777" w:rsidR="00606029" w:rsidRDefault="00606029">
            <w:pPr>
              <w:pStyle w:val="a5"/>
              <w:spacing w:line="280" w:lineRule="exact"/>
              <w:ind w:left="-105" w:firstLine="0"/>
              <w:jc w:val="center"/>
              <w:rPr>
                <w:sz w:val="21"/>
                <w:szCs w:val="21"/>
              </w:rPr>
            </w:pPr>
          </w:p>
        </w:tc>
      </w:tr>
      <w:tr w:rsidR="00606029" w14:paraId="1D4A53FB" w14:textId="77777777">
        <w:trPr>
          <w:trHeight w:val="340"/>
        </w:trPr>
        <w:tc>
          <w:tcPr>
            <w:tcW w:w="362" w:type="pct"/>
            <w:tcBorders>
              <w:tl2br w:val="nil"/>
              <w:tr2bl w:val="nil"/>
            </w:tcBorders>
            <w:vAlign w:val="center"/>
          </w:tcPr>
          <w:p w14:paraId="3E2D44CB" w14:textId="77777777" w:rsidR="00606029" w:rsidRDefault="00EA5B92">
            <w:pPr>
              <w:pStyle w:val="a5"/>
              <w:spacing w:line="280" w:lineRule="exact"/>
              <w:ind w:leftChars="0" w:left="0" w:firstLine="0"/>
              <w:jc w:val="center"/>
              <w:rPr>
                <w:sz w:val="21"/>
                <w:szCs w:val="21"/>
              </w:rPr>
            </w:pPr>
            <w:r>
              <w:rPr>
                <w:sz w:val="21"/>
                <w:szCs w:val="21"/>
              </w:rPr>
              <w:t>19</w:t>
            </w:r>
          </w:p>
        </w:tc>
        <w:tc>
          <w:tcPr>
            <w:tcW w:w="1168" w:type="pct"/>
            <w:tcBorders>
              <w:tl2br w:val="nil"/>
              <w:tr2bl w:val="nil"/>
            </w:tcBorders>
            <w:vAlign w:val="center"/>
          </w:tcPr>
          <w:p w14:paraId="69B4FD67" w14:textId="77777777" w:rsidR="00606029" w:rsidRDefault="00EA5B92">
            <w:pPr>
              <w:pStyle w:val="a5"/>
              <w:spacing w:line="280" w:lineRule="exact"/>
              <w:ind w:left="-105" w:firstLine="0"/>
              <w:jc w:val="center"/>
              <w:rPr>
                <w:sz w:val="21"/>
                <w:szCs w:val="21"/>
              </w:rPr>
            </w:pPr>
            <w:r>
              <w:rPr>
                <w:sz w:val="21"/>
                <w:szCs w:val="21"/>
              </w:rPr>
              <w:t>六价铬</w:t>
            </w:r>
          </w:p>
        </w:tc>
        <w:tc>
          <w:tcPr>
            <w:tcW w:w="745" w:type="pct"/>
            <w:tcBorders>
              <w:tl2br w:val="nil"/>
              <w:tr2bl w:val="nil"/>
            </w:tcBorders>
            <w:vAlign w:val="center"/>
          </w:tcPr>
          <w:p w14:paraId="5F6A5A91" w14:textId="77777777" w:rsidR="00606029" w:rsidRDefault="00EA5B92">
            <w:pPr>
              <w:pStyle w:val="a5"/>
              <w:spacing w:line="280" w:lineRule="exact"/>
              <w:ind w:left="-105" w:firstLine="0"/>
              <w:jc w:val="center"/>
              <w:rPr>
                <w:sz w:val="21"/>
                <w:szCs w:val="21"/>
              </w:rPr>
            </w:pPr>
            <w:r>
              <w:rPr>
                <w:sz w:val="21"/>
                <w:szCs w:val="21"/>
              </w:rPr>
              <w:t>mg/L</w:t>
            </w:r>
          </w:p>
        </w:tc>
        <w:tc>
          <w:tcPr>
            <w:tcW w:w="994" w:type="pct"/>
            <w:tcBorders>
              <w:tl2br w:val="nil"/>
              <w:tr2bl w:val="nil"/>
            </w:tcBorders>
            <w:vAlign w:val="center"/>
          </w:tcPr>
          <w:p w14:paraId="0E215A13" w14:textId="77777777" w:rsidR="00606029" w:rsidRDefault="00EA5B92">
            <w:pPr>
              <w:pStyle w:val="a5"/>
              <w:spacing w:line="280" w:lineRule="exact"/>
              <w:ind w:left="-105" w:firstLine="0"/>
              <w:jc w:val="center"/>
              <w:rPr>
                <w:sz w:val="21"/>
                <w:szCs w:val="21"/>
              </w:rPr>
            </w:pPr>
            <w:r>
              <w:rPr>
                <w:sz w:val="21"/>
                <w:szCs w:val="21"/>
              </w:rPr>
              <w:t>0.05</w:t>
            </w:r>
          </w:p>
        </w:tc>
        <w:tc>
          <w:tcPr>
            <w:tcW w:w="1729" w:type="pct"/>
            <w:vMerge/>
            <w:tcBorders>
              <w:tl2br w:val="nil"/>
              <w:tr2bl w:val="nil"/>
            </w:tcBorders>
            <w:vAlign w:val="center"/>
          </w:tcPr>
          <w:p w14:paraId="308945DF" w14:textId="77777777" w:rsidR="00606029" w:rsidRDefault="00606029">
            <w:pPr>
              <w:pStyle w:val="a5"/>
              <w:spacing w:line="280" w:lineRule="exact"/>
              <w:ind w:left="-105" w:firstLine="0"/>
              <w:jc w:val="center"/>
              <w:rPr>
                <w:sz w:val="21"/>
                <w:szCs w:val="21"/>
              </w:rPr>
            </w:pPr>
          </w:p>
        </w:tc>
      </w:tr>
      <w:tr w:rsidR="00606029" w14:paraId="3B11C6AC" w14:textId="77777777">
        <w:trPr>
          <w:trHeight w:val="340"/>
        </w:trPr>
        <w:tc>
          <w:tcPr>
            <w:tcW w:w="362" w:type="pct"/>
            <w:tcBorders>
              <w:tl2br w:val="nil"/>
              <w:tr2bl w:val="nil"/>
            </w:tcBorders>
            <w:vAlign w:val="center"/>
          </w:tcPr>
          <w:p w14:paraId="4784811A" w14:textId="77777777" w:rsidR="00606029" w:rsidRDefault="00EA5B92">
            <w:pPr>
              <w:pStyle w:val="a5"/>
              <w:spacing w:line="280" w:lineRule="exact"/>
              <w:ind w:leftChars="0" w:left="0" w:firstLine="0"/>
              <w:jc w:val="center"/>
              <w:rPr>
                <w:sz w:val="21"/>
                <w:szCs w:val="21"/>
              </w:rPr>
            </w:pPr>
            <w:r>
              <w:rPr>
                <w:sz w:val="21"/>
                <w:szCs w:val="21"/>
              </w:rPr>
              <w:t>20</w:t>
            </w:r>
          </w:p>
        </w:tc>
        <w:tc>
          <w:tcPr>
            <w:tcW w:w="1168" w:type="pct"/>
            <w:tcBorders>
              <w:tl2br w:val="nil"/>
              <w:tr2bl w:val="nil"/>
            </w:tcBorders>
            <w:vAlign w:val="center"/>
          </w:tcPr>
          <w:p w14:paraId="41598FC6" w14:textId="77777777" w:rsidR="00606029" w:rsidRDefault="00EA5B92">
            <w:pPr>
              <w:pStyle w:val="a5"/>
              <w:spacing w:line="280" w:lineRule="exact"/>
              <w:ind w:left="-105" w:firstLine="0"/>
              <w:jc w:val="center"/>
              <w:rPr>
                <w:sz w:val="21"/>
                <w:szCs w:val="21"/>
              </w:rPr>
            </w:pPr>
            <w:r>
              <w:rPr>
                <w:sz w:val="21"/>
                <w:szCs w:val="21"/>
              </w:rPr>
              <w:t>铜</w:t>
            </w:r>
          </w:p>
        </w:tc>
        <w:tc>
          <w:tcPr>
            <w:tcW w:w="745" w:type="pct"/>
            <w:tcBorders>
              <w:tl2br w:val="nil"/>
              <w:tr2bl w:val="nil"/>
            </w:tcBorders>
            <w:vAlign w:val="center"/>
          </w:tcPr>
          <w:p w14:paraId="23ED63CA" w14:textId="77777777" w:rsidR="00606029" w:rsidRDefault="00EA5B92">
            <w:pPr>
              <w:pStyle w:val="a5"/>
              <w:spacing w:line="280" w:lineRule="exact"/>
              <w:ind w:left="-105" w:firstLine="0"/>
              <w:jc w:val="center"/>
              <w:rPr>
                <w:sz w:val="21"/>
                <w:szCs w:val="21"/>
              </w:rPr>
            </w:pPr>
            <w:r>
              <w:rPr>
                <w:sz w:val="21"/>
                <w:szCs w:val="21"/>
              </w:rPr>
              <w:t>mg/L</w:t>
            </w:r>
          </w:p>
        </w:tc>
        <w:tc>
          <w:tcPr>
            <w:tcW w:w="994" w:type="pct"/>
            <w:tcBorders>
              <w:tl2br w:val="nil"/>
              <w:tr2bl w:val="nil"/>
            </w:tcBorders>
            <w:vAlign w:val="center"/>
          </w:tcPr>
          <w:p w14:paraId="651A1373" w14:textId="77777777" w:rsidR="00606029" w:rsidRDefault="00EA5B92">
            <w:pPr>
              <w:pStyle w:val="a5"/>
              <w:spacing w:line="280" w:lineRule="exact"/>
              <w:ind w:left="-105" w:firstLine="0"/>
              <w:jc w:val="center"/>
              <w:rPr>
                <w:sz w:val="21"/>
                <w:szCs w:val="21"/>
              </w:rPr>
            </w:pPr>
            <w:r>
              <w:rPr>
                <w:sz w:val="21"/>
                <w:szCs w:val="21"/>
              </w:rPr>
              <w:t>1.00</w:t>
            </w:r>
          </w:p>
        </w:tc>
        <w:tc>
          <w:tcPr>
            <w:tcW w:w="1729" w:type="pct"/>
            <w:vMerge/>
            <w:tcBorders>
              <w:tl2br w:val="nil"/>
              <w:tr2bl w:val="nil"/>
            </w:tcBorders>
            <w:vAlign w:val="center"/>
          </w:tcPr>
          <w:p w14:paraId="3468FF2A" w14:textId="77777777" w:rsidR="00606029" w:rsidRDefault="00606029">
            <w:pPr>
              <w:pStyle w:val="a5"/>
              <w:spacing w:line="280" w:lineRule="exact"/>
              <w:ind w:left="-105" w:firstLine="0"/>
              <w:jc w:val="center"/>
              <w:rPr>
                <w:sz w:val="21"/>
                <w:szCs w:val="21"/>
              </w:rPr>
            </w:pPr>
          </w:p>
        </w:tc>
      </w:tr>
      <w:tr w:rsidR="00606029" w14:paraId="0FDD09A5" w14:textId="77777777">
        <w:trPr>
          <w:trHeight w:val="340"/>
        </w:trPr>
        <w:tc>
          <w:tcPr>
            <w:tcW w:w="362" w:type="pct"/>
            <w:tcBorders>
              <w:tl2br w:val="nil"/>
              <w:tr2bl w:val="nil"/>
            </w:tcBorders>
            <w:vAlign w:val="center"/>
          </w:tcPr>
          <w:p w14:paraId="33FF9B36" w14:textId="77777777" w:rsidR="00606029" w:rsidRDefault="00EA5B92">
            <w:pPr>
              <w:pStyle w:val="a5"/>
              <w:spacing w:line="280" w:lineRule="exact"/>
              <w:ind w:leftChars="0" w:left="0" w:firstLine="0"/>
              <w:jc w:val="center"/>
              <w:rPr>
                <w:sz w:val="21"/>
                <w:szCs w:val="21"/>
              </w:rPr>
            </w:pPr>
            <w:r>
              <w:rPr>
                <w:sz w:val="21"/>
                <w:szCs w:val="21"/>
              </w:rPr>
              <w:t>21</w:t>
            </w:r>
          </w:p>
        </w:tc>
        <w:tc>
          <w:tcPr>
            <w:tcW w:w="1168" w:type="pct"/>
            <w:tcBorders>
              <w:tl2br w:val="nil"/>
              <w:tr2bl w:val="nil"/>
            </w:tcBorders>
            <w:vAlign w:val="center"/>
          </w:tcPr>
          <w:p w14:paraId="6FF24194" w14:textId="77777777" w:rsidR="00606029" w:rsidRDefault="00EA5B92">
            <w:pPr>
              <w:pStyle w:val="a5"/>
              <w:spacing w:line="280" w:lineRule="exact"/>
              <w:ind w:left="-105" w:firstLine="0"/>
              <w:jc w:val="center"/>
              <w:rPr>
                <w:sz w:val="21"/>
                <w:szCs w:val="21"/>
              </w:rPr>
            </w:pPr>
            <w:r>
              <w:rPr>
                <w:sz w:val="21"/>
                <w:szCs w:val="21"/>
              </w:rPr>
              <w:t>锌</w:t>
            </w:r>
          </w:p>
        </w:tc>
        <w:tc>
          <w:tcPr>
            <w:tcW w:w="745" w:type="pct"/>
            <w:tcBorders>
              <w:tl2br w:val="nil"/>
              <w:tr2bl w:val="nil"/>
            </w:tcBorders>
            <w:vAlign w:val="center"/>
          </w:tcPr>
          <w:p w14:paraId="3BCAB83D" w14:textId="77777777" w:rsidR="00606029" w:rsidRDefault="00EA5B92">
            <w:pPr>
              <w:pStyle w:val="a5"/>
              <w:spacing w:line="280" w:lineRule="exact"/>
              <w:ind w:left="-105" w:firstLine="0"/>
              <w:jc w:val="center"/>
              <w:rPr>
                <w:sz w:val="21"/>
                <w:szCs w:val="21"/>
              </w:rPr>
            </w:pPr>
            <w:r>
              <w:rPr>
                <w:sz w:val="21"/>
                <w:szCs w:val="21"/>
              </w:rPr>
              <w:t>mg/L</w:t>
            </w:r>
          </w:p>
        </w:tc>
        <w:tc>
          <w:tcPr>
            <w:tcW w:w="994" w:type="pct"/>
            <w:tcBorders>
              <w:tl2br w:val="nil"/>
              <w:tr2bl w:val="nil"/>
            </w:tcBorders>
            <w:vAlign w:val="center"/>
          </w:tcPr>
          <w:p w14:paraId="6B0ABE2B" w14:textId="77777777" w:rsidR="00606029" w:rsidRDefault="00EA5B92">
            <w:pPr>
              <w:pStyle w:val="a5"/>
              <w:spacing w:line="280" w:lineRule="exact"/>
              <w:ind w:left="-105" w:firstLine="0"/>
              <w:jc w:val="center"/>
              <w:rPr>
                <w:sz w:val="21"/>
                <w:szCs w:val="21"/>
              </w:rPr>
            </w:pPr>
            <w:r>
              <w:rPr>
                <w:sz w:val="21"/>
                <w:szCs w:val="21"/>
              </w:rPr>
              <w:t>1.00</w:t>
            </w:r>
          </w:p>
        </w:tc>
        <w:tc>
          <w:tcPr>
            <w:tcW w:w="1729" w:type="pct"/>
            <w:vMerge/>
            <w:tcBorders>
              <w:tl2br w:val="nil"/>
              <w:tr2bl w:val="nil"/>
            </w:tcBorders>
            <w:vAlign w:val="center"/>
          </w:tcPr>
          <w:p w14:paraId="162E78CD" w14:textId="77777777" w:rsidR="00606029" w:rsidRDefault="00606029">
            <w:pPr>
              <w:pStyle w:val="a5"/>
              <w:spacing w:line="280" w:lineRule="exact"/>
              <w:ind w:left="-105" w:firstLine="0"/>
              <w:jc w:val="center"/>
              <w:rPr>
                <w:sz w:val="21"/>
                <w:szCs w:val="21"/>
              </w:rPr>
            </w:pPr>
          </w:p>
        </w:tc>
      </w:tr>
      <w:tr w:rsidR="00606029" w14:paraId="0708C697" w14:textId="77777777">
        <w:trPr>
          <w:trHeight w:val="340"/>
        </w:trPr>
        <w:tc>
          <w:tcPr>
            <w:tcW w:w="362" w:type="pct"/>
            <w:tcBorders>
              <w:tl2br w:val="nil"/>
              <w:tr2bl w:val="nil"/>
            </w:tcBorders>
            <w:vAlign w:val="center"/>
          </w:tcPr>
          <w:p w14:paraId="2DC7C91F" w14:textId="77777777" w:rsidR="00606029" w:rsidRDefault="00EA5B92">
            <w:pPr>
              <w:pStyle w:val="a5"/>
              <w:spacing w:line="280" w:lineRule="exact"/>
              <w:ind w:leftChars="0" w:left="0" w:firstLine="0"/>
              <w:jc w:val="center"/>
              <w:rPr>
                <w:sz w:val="21"/>
                <w:szCs w:val="21"/>
              </w:rPr>
            </w:pPr>
            <w:r>
              <w:rPr>
                <w:sz w:val="21"/>
                <w:szCs w:val="21"/>
              </w:rPr>
              <w:t>22</w:t>
            </w:r>
          </w:p>
        </w:tc>
        <w:tc>
          <w:tcPr>
            <w:tcW w:w="1168" w:type="pct"/>
            <w:tcBorders>
              <w:tl2br w:val="nil"/>
              <w:tr2bl w:val="nil"/>
            </w:tcBorders>
            <w:vAlign w:val="center"/>
          </w:tcPr>
          <w:p w14:paraId="647B7D5B" w14:textId="77777777" w:rsidR="00606029" w:rsidRDefault="00EA5B92">
            <w:pPr>
              <w:pStyle w:val="a5"/>
              <w:spacing w:line="280" w:lineRule="exact"/>
              <w:ind w:left="-105" w:firstLine="0"/>
              <w:jc w:val="center"/>
              <w:rPr>
                <w:sz w:val="21"/>
                <w:szCs w:val="21"/>
              </w:rPr>
            </w:pPr>
            <w:r>
              <w:rPr>
                <w:sz w:val="21"/>
                <w:szCs w:val="21"/>
              </w:rPr>
              <w:t>镍</w:t>
            </w:r>
          </w:p>
        </w:tc>
        <w:tc>
          <w:tcPr>
            <w:tcW w:w="745" w:type="pct"/>
            <w:tcBorders>
              <w:tl2br w:val="nil"/>
              <w:tr2bl w:val="nil"/>
            </w:tcBorders>
            <w:vAlign w:val="center"/>
          </w:tcPr>
          <w:p w14:paraId="7084F6C1" w14:textId="77777777" w:rsidR="00606029" w:rsidRDefault="00EA5B92">
            <w:pPr>
              <w:pStyle w:val="a5"/>
              <w:spacing w:line="280" w:lineRule="exact"/>
              <w:ind w:left="-105" w:firstLine="0"/>
              <w:jc w:val="center"/>
              <w:rPr>
                <w:sz w:val="21"/>
                <w:szCs w:val="21"/>
              </w:rPr>
            </w:pPr>
            <w:r>
              <w:rPr>
                <w:sz w:val="21"/>
                <w:szCs w:val="21"/>
              </w:rPr>
              <w:t>mg/L</w:t>
            </w:r>
          </w:p>
        </w:tc>
        <w:tc>
          <w:tcPr>
            <w:tcW w:w="994" w:type="pct"/>
            <w:tcBorders>
              <w:tl2br w:val="nil"/>
              <w:tr2bl w:val="nil"/>
            </w:tcBorders>
            <w:vAlign w:val="center"/>
          </w:tcPr>
          <w:p w14:paraId="37FB3D21" w14:textId="77777777" w:rsidR="00606029" w:rsidRDefault="00EA5B92">
            <w:pPr>
              <w:pStyle w:val="a5"/>
              <w:spacing w:line="280" w:lineRule="exact"/>
              <w:ind w:left="-105" w:firstLine="0"/>
              <w:jc w:val="center"/>
              <w:rPr>
                <w:sz w:val="21"/>
                <w:szCs w:val="21"/>
              </w:rPr>
            </w:pPr>
            <w:r>
              <w:rPr>
                <w:sz w:val="21"/>
                <w:szCs w:val="21"/>
              </w:rPr>
              <w:t>0.02</w:t>
            </w:r>
          </w:p>
        </w:tc>
        <w:tc>
          <w:tcPr>
            <w:tcW w:w="1729" w:type="pct"/>
            <w:vMerge/>
            <w:tcBorders>
              <w:tl2br w:val="nil"/>
              <w:tr2bl w:val="nil"/>
            </w:tcBorders>
            <w:vAlign w:val="center"/>
          </w:tcPr>
          <w:p w14:paraId="3C64EDEF" w14:textId="77777777" w:rsidR="00606029" w:rsidRDefault="00606029">
            <w:pPr>
              <w:pStyle w:val="a5"/>
              <w:spacing w:line="280" w:lineRule="exact"/>
              <w:ind w:left="-105" w:firstLine="0"/>
              <w:jc w:val="center"/>
              <w:rPr>
                <w:sz w:val="21"/>
                <w:szCs w:val="21"/>
              </w:rPr>
            </w:pPr>
          </w:p>
        </w:tc>
      </w:tr>
      <w:tr w:rsidR="00606029" w14:paraId="4869F3C3" w14:textId="77777777">
        <w:trPr>
          <w:trHeight w:val="340"/>
        </w:trPr>
        <w:tc>
          <w:tcPr>
            <w:tcW w:w="362" w:type="pct"/>
            <w:tcBorders>
              <w:tl2br w:val="nil"/>
              <w:tr2bl w:val="nil"/>
            </w:tcBorders>
            <w:vAlign w:val="center"/>
          </w:tcPr>
          <w:p w14:paraId="76B73D62" w14:textId="77777777" w:rsidR="00606029" w:rsidRDefault="00EA5B92">
            <w:pPr>
              <w:pStyle w:val="a5"/>
              <w:spacing w:line="280" w:lineRule="exact"/>
              <w:ind w:leftChars="0" w:left="0" w:firstLine="0"/>
              <w:jc w:val="center"/>
              <w:rPr>
                <w:sz w:val="21"/>
                <w:szCs w:val="21"/>
              </w:rPr>
            </w:pPr>
            <w:r>
              <w:rPr>
                <w:sz w:val="21"/>
                <w:szCs w:val="21"/>
              </w:rPr>
              <w:t>23</w:t>
            </w:r>
          </w:p>
        </w:tc>
        <w:tc>
          <w:tcPr>
            <w:tcW w:w="1168" w:type="pct"/>
            <w:tcBorders>
              <w:tl2br w:val="nil"/>
              <w:tr2bl w:val="nil"/>
            </w:tcBorders>
            <w:vAlign w:val="center"/>
          </w:tcPr>
          <w:p w14:paraId="6EBAD115" w14:textId="77777777" w:rsidR="00606029" w:rsidRDefault="00EA5B92">
            <w:pPr>
              <w:pStyle w:val="a5"/>
              <w:spacing w:line="280" w:lineRule="exact"/>
              <w:ind w:left="-105" w:firstLine="0"/>
              <w:jc w:val="center"/>
              <w:rPr>
                <w:sz w:val="21"/>
                <w:szCs w:val="21"/>
              </w:rPr>
            </w:pPr>
            <w:r>
              <w:rPr>
                <w:sz w:val="21"/>
                <w:szCs w:val="21"/>
              </w:rPr>
              <w:t>钴</w:t>
            </w:r>
          </w:p>
        </w:tc>
        <w:tc>
          <w:tcPr>
            <w:tcW w:w="745" w:type="pct"/>
            <w:tcBorders>
              <w:tl2br w:val="nil"/>
              <w:tr2bl w:val="nil"/>
            </w:tcBorders>
            <w:vAlign w:val="center"/>
          </w:tcPr>
          <w:p w14:paraId="0FF415D5" w14:textId="77777777" w:rsidR="00606029" w:rsidRDefault="00EA5B92">
            <w:pPr>
              <w:pStyle w:val="a5"/>
              <w:spacing w:line="280" w:lineRule="exact"/>
              <w:ind w:left="-105" w:firstLine="0"/>
              <w:jc w:val="center"/>
              <w:rPr>
                <w:sz w:val="21"/>
                <w:szCs w:val="21"/>
              </w:rPr>
            </w:pPr>
            <w:r>
              <w:rPr>
                <w:sz w:val="21"/>
                <w:szCs w:val="21"/>
              </w:rPr>
              <w:t>mg/L</w:t>
            </w:r>
          </w:p>
        </w:tc>
        <w:tc>
          <w:tcPr>
            <w:tcW w:w="994" w:type="pct"/>
            <w:tcBorders>
              <w:tl2br w:val="nil"/>
              <w:tr2bl w:val="nil"/>
            </w:tcBorders>
            <w:vAlign w:val="center"/>
          </w:tcPr>
          <w:p w14:paraId="21F641F4" w14:textId="77777777" w:rsidR="00606029" w:rsidRDefault="00EA5B92">
            <w:pPr>
              <w:pStyle w:val="a5"/>
              <w:spacing w:line="280" w:lineRule="exact"/>
              <w:ind w:left="-105" w:firstLine="0"/>
              <w:jc w:val="center"/>
              <w:rPr>
                <w:sz w:val="21"/>
                <w:szCs w:val="21"/>
              </w:rPr>
            </w:pPr>
            <w:r>
              <w:rPr>
                <w:sz w:val="21"/>
                <w:szCs w:val="21"/>
              </w:rPr>
              <w:t>0.05</w:t>
            </w:r>
          </w:p>
        </w:tc>
        <w:tc>
          <w:tcPr>
            <w:tcW w:w="1729" w:type="pct"/>
            <w:vMerge/>
            <w:tcBorders>
              <w:tl2br w:val="nil"/>
              <w:tr2bl w:val="nil"/>
            </w:tcBorders>
            <w:vAlign w:val="center"/>
          </w:tcPr>
          <w:p w14:paraId="7F4D029B" w14:textId="77777777" w:rsidR="00606029" w:rsidRDefault="00606029">
            <w:pPr>
              <w:pStyle w:val="a5"/>
              <w:spacing w:line="280" w:lineRule="exact"/>
              <w:ind w:left="-105" w:firstLine="0"/>
              <w:jc w:val="center"/>
              <w:rPr>
                <w:sz w:val="21"/>
                <w:szCs w:val="21"/>
              </w:rPr>
            </w:pPr>
          </w:p>
        </w:tc>
      </w:tr>
      <w:tr w:rsidR="00606029" w14:paraId="3A7C25DD" w14:textId="77777777">
        <w:trPr>
          <w:trHeight w:val="340"/>
        </w:trPr>
        <w:tc>
          <w:tcPr>
            <w:tcW w:w="362" w:type="pct"/>
            <w:tcBorders>
              <w:tl2br w:val="nil"/>
              <w:tr2bl w:val="nil"/>
            </w:tcBorders>
            <w:vAlign w:val="center"/>
          </w:tcPr>
          <w:p w14:paraId="23B958A2" w14:textId="77777777" w:rsidR="00606029" w:rsidRDefault="00EA5B92">
            <w:pPr>
              <w:pStyle w:val="a5"/>
              <w:spacing w:line="280" w:lineRule="exact"/>
              <w:ind w:leftChars="0" w:left="0" w:firstLine="0"/>
              <w:jc w:val="center"/>
              <w:rPr>
                <w:sz w:val="21"/>
                <w:szCs w:val="21"/>
              </w:rPr>
            </w:pPr>
            <w:r>
              <w:rPr>
                <w:sz w:val="21"/>
                <w:szCs w:val="21"/>
              </w:rPr>
              <w:t>24</w:t>
            </w:r>
          </w:p>
        </w:tc>
        <w:tc>
          <w:tcPr>
            <w:tcW w:w="1168" w:type="pct"/>
            <w:tcBorders>
              <w:tl2br w:val="nil"/>
              <w:tr2bl w:val="nil"/>
            </w:tcBorders>
            <w:vAlign w:val="center"/>
          </w:tcPr>
          <w:p w14:paraId="1889FBB2" w14:textId="77777777" w:rsidR="00606029" w:rsidRDefault="00EA5B92">
            <w:pPr>
              <w:pStyle w:val="a5"/>
              <w:spacing w:line="280" w:lineRule="exact"/>
              <w:ind w:left="-105" w:firstLine="0"/>
              <w:jc w:val="center"/>
              <w:rPr>
                <w:sz w:val="21"/>
                <w:szCs w:val="21"/>
              </w:rPr>
            </w:pPr>
            <w:r>
              <w:rPr>
                <w:sz w:val="21"/>
                <w:szCs w:val="21"/>
              </w:rPr>
              <w:t>总大肠菌群</w:t>
            </w:r>
          </w:p>
        </w:tc>
        <w:tc>
          <w:tcPr>
            <w:tcW w:w="745" w:type="pct"/>
            <w:tcBorders>
              <w:tl2br w:val="nil"/>
              <w:tr2bl w:val="nil"/>
            </w:tcBorders>
            <w:vAlign w:val="center"/>
          </w:tcPr>
          <w:p w14:paraId="0089A207" w14:textId="77777777" w:rsidR="00606029" w:rsidRDefault="00EA5B92">
            <w:pPr>
              <w:pStyle w:val="a5"/>
              <w:spacing w:line="280" w:lineRule="exact"/>
              <w:ind w:left="-105" w:firstLine="0"/>
              <w:jc w:val="center"/>
              <w:rPr>
                <w:sz w:val="21"/>
                <w:szCs w:val="21"/>
              </w:rPr>
            </w:pPr>
            <w:r>
              <w:rPr>
                <w:sz w:val="21"/>
                <w:szCs w:val="21"/>
              </w:rPr>
              <w:t>MPN/100L</w:t>
            </w:r>
          </w:p>
        </w:tc>
        <w:tc>
          <w:tcPr>
            <w:tcW w:w="994" w:type="pct"/>
            <w:tcBorders>
              <w:tl2br w:val="nil"/>
              <w:tr2bl w:val="nil"/>
            </w:tcBorders>
            <w:vAlign w:val="center"/>
          </w:tcPr>
          <w:p w14:paraId="3B198929" w14:textId="77777777" w:rsidR="00606029" w:rsidRDefault="00EA5B92">
            <w:pPr>
              <w:pStyle w:val="a5"/>
              <w:spacing w:line="280" w:lineRule="exact"/>
              <w:ind w:left="-105" w:firstLine="0"/>
              <w:jc w:val="center"/>
              <w:rPr>
                <w:sz w:val="21"/>
                <w:szCs w:val="21"/>
              </w:rPr>
            </w:pPr>
            <w:r>
              <w:rPr>
                <w:sz w:val="21"/>
                <w:szCs w:val="21"/>
              </w:rPr>
              <w:t>3.0</w:t>
            </w:r>
          </w:p>
        </w:tc>
        <w:tc>
          <w:tcPr>
            <w:tcW w:w="1729" w:type="pct"/>
            <w:vMerge/>
            <w:tcBorders>
              <w:tl2br w:val="nil"/>
              <w:tr2bl w:val="nil"/>
            </w:tcBorders>
            <w:vAlign w:val="center"/>
          </w:tcPr>
          <w:p w14:paraId="5DAFC096" w14:textId="77777777" w:rsidR="00606029" w:rsidRDefault="00606029">
            <w:pPr>
              <w:pStyle w:val="a5"/>
              <w:spacing w:line="280" w:lineRule="exact"/>
              <w:ind w:left="-105" w:firstLine="0"/>
              <w:jc w:val="center"/>
              <w:rPr>
                <w:sz w:val="21"/>
                <w:szCs w:val="21"/>
              </w:rPr>
            </w:pPr>
          </w:p>
        </w:tc>
      </w:tr>
    </w:tbl>
    <w:p w14:paraId="47C5744A" w14:textId="77777777" w:rsidR="00606029" w:rsidRDefault="00EA5B92">
      <w:pPr>
        <w:pStyle w:val="affffff4"/>
        <w:adjustRightInd/>
        <w:snapToGrid/>
        <w:spacing w:beforeLines="50" w:before="120"/>
        <w:ind w:firstLine="482"/>
        <w:rPr>
          <w:b/>
          <w:bCs/>
        </w:rPr>
      </w:pPr>
      <w:r>
        <w:rPr>
          <w:b/>
          <w:bCs/>
        </w:rPr>
        <w:t>4</w:t>
      </w:r>
      <w:r>
        <w:rPr>
          <w:b/>
          <w:bCs/>
        </w:rPr>
        <w:t>、声环境</w:t>
      </w:r>
    </w:p>
    <w:p w14:paraId="7D0B0F06" w14:textId="477FE2F6" w:rsidR="00606029" w:rsidRDefault="00AC7169">
      <w:pPr>
        <w:pStyle w:val="affffff4"/>
      </w:pPr>
      <w:r>
        <w:rPr>
          <w:rFonts w:hint="eastAsia"/>
        </w:rPr>
        <w:t>本</w:t>
      </w:r>
      <w:r w:rsidR="00EA5B92">
        <w:t>项目位于</w:t>
      </w:r>
      <w:r w:rsidR="00BE533B">
        <w:t>黑龙江省大庆市龙凤区红旗二村西南侧</w:t>
      </w:r>
      <w:r w:rsidR="00EA5B92">
        <w:t>，属于</w:t>
      </w:r>
      <w:r w:rsidR="00EA5B92">
        <w:t>2</w:t>
      </w:r>
      <w:r w:rsidR="00EA5B92">
        <w:t>类声环境功能区，执行《声环境质量标准》（</w:t>
      </w:r>
      <w:r w:rsidR="00EA5B92">
        <w:t>GB3096-2008</w:t>
      </w:r>
      <w:r w:rsidR="00EA5B92">
        <w:t>）</w:t>
      </w:r>
      <w:r w:rsidR="00EA5B92">
        <w:t>2</w:t>
      </w:r>
      <w:r w:rsidR="00EA5B92">
        <w:t>类标准。</w:t>
      </w:r>
    </w:p>
    <w:p w14:paraId="2C4C58B6" w14:textId="77777777" w:rsidR="00606029" w:rsidRDefault="00EA5B92">
      <w:pPr>
        <w:pStyle w:val="affffff5"/>
      </w:pPr>
      <w:r>
        <w:t>表</w:t>
      </w:r>
      <w:r>
        <w:t xml:space="preserve"> 1.5-4 </w:t>
      </w:r>
      <w:r>
        <w:t>声环境质量标准</w:t>
      </w:r>
      <w:r>
        <w:t xml:space="preserve">   </w:t>
      </w:r>
      <w:r>
        <w:t>等效声级</w:t>
      </w:r>
      <w:r>
        <w:t>LAeq</w:t>
      </w:r>
      <w:r>
        <w:t>：</w:t>
      </w:r>
      <w:r>
        <w:t>dB</w:t>
      </w:r>
    </w:p>
    <w:tbl>
      <w:tblPr>
        <w:tblW w:w="50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40"/>
        <w:gridCol w:w="1677"/>
        <w:gridCol w:w="1631"/>
        <w:gridCol w:w="4209"/>
      </w:tblGrid>
      <w:tr w:rsidR="00606029" w14:paraId="5AD0C3CA" w14:textId="77777777">
        <w:trPr>
          <w:cantSplit/>
          <w:trHeight w:val="340"/>
          <w:jc w:val="center"/>
        </w:trPr>
        <w:tc>
          <w:tcPr>
            <w:tcW w:w="756" w:type="pct"/>
            <w:vMerge w:val="restart"/>
            <w:vAlign w:val="center"/>
          </w:tcPr>
          <w:p w14:paraId="07F3F797" w14:textId="77777777" w:rsidR="00606029" w:rsidRDefault="00EA5B92">
            <w:pPr>
              <w:overflowPunct w:val="0"/>
              <w:adjustRightInd w:val="0"/>
              <w:snapToGrid w:val="0"/>
              <w:ind w:left="-57" w:right="-57"/>
              <w:jc w:val="center"/>
              <w:textAlignment w:val="baseline"/>
              <w:rPr>
                <w:b/>
              </w:rPr>
            </w:pPr>
            <w:r>
              <w:rPr>
                <w:b/>
              </w:rPr>
              <w:t>类别</w:t>
            </w:r>
          </w:p>
        </w:tc>
        <w:tc>
          <w:tcPr>
            <w:tcW w:w="1867" w:type="pct"/>
            <w:gridSpan w:val="2"/>
            <w:vAlign w:val="center"/>
          </w:tcPr>
          <w:p w14:paraId="356E1B8C" w14:textId="77777777" w:rsidR="00606029" w:rsidRDefault="00EA5B92">
            <w:pPr>
              <w:overflowPunct w:val="0"/>
              <w:adjustRightInd w:val="0"/>
              <w:snapToGrid w:val="0"/>
              <w:ind w:left="-57" w:right="-57"/>
              <w:jc w:val="center"/>
              <w:textAlignment w:val="baseline"/>
              <w:rPr>
                <w:b/>
              </w:rPr>
            </w:pPr>
            <w:r>
              <w:rPr>
                <w:b/>
              </w:rPr>
              <w:t>标准值</w:t>
            </w:r>
          </w:p>
        </w:tc>
        <w:tc>
          <w:tcPr>
            <w:tcW w:w="2375" w:type="pct"/>
            <w:vMerge w:val="restart"/>
            <w:vAlign w:val="center"/>
          </w:tcPr>
          <w:p w14:paraId="5C238C78" w14:textId="77777777" w:rsidR="00606029" w:rsidRDefault="00EA5B92">
            <w:pPr>
              <w:overflowPunct w:val="0"/>
              <w:adjustRightInd w:val="0"/>
              <w:snapToGrid w:val="0"/>
              <w:ind w:left="-57" w:right="-57"/>
              <w:jc w:val="center"/>
              <w:textAlignment w:val="baseline"/>
              <w:rPr>
                <w:b/>
              </w:rPr>
            </w:pPr>
            <w:r>
              <w:rPr>
                <w:b/>
              </w:rPr>
              <w:t>标准来源</w:t>
            </w:r>
          </w:p>
        </w:tc>
      </w:tr>
      <w:tr w:rsidR="00606029" w14:paraId="452DC4D8" w14:textId="77777777">
        <w:trPr>
          <w:cantSplit/>
          <w:trHeight w:val="340"/>
          <w:jc w:val="center"/>
        </w:trPr>
        <w:tc>
          <w:tcPr>
            <w:tcW w:w="756" w:type="pct"/>
            <w:vMerge/>
            <w:vAlign w:val="center"/>
          </w:tcPr>
          <w:p w14:paraId="15F40150" w14:textId="77777777" w:rsidR="00606029" w:rsidRDefault="00606029">
            <w:pPr>
              <w:overflowPunct w:val="0"/>
              <w:adjustRightInd w:val="0"/>
              <w:snapToGrid w:val="0"/>
              <w:ind w:left="-57" w:right="-57"/>
              <w:jc w:val="center"/>
              <w:textAlignment w:val="baseline"/>
            </w:pPr>
          </w:p>
        </w:tc>
        <w:tc>
          <w:tcPr>
            <w:tcW w:w="946" w:type="pct"/>
            <w:vAlign w:val="center"/>
          </w:tcPr>
          <w:p w14:paraId="4CE3273D" w14:textId="77777777" w:rsidR="00606029" w:rsidRDefault="00EA5B92">
            <w:pPr>
              <w:overflowPunct w:val="0"/>
              <w:adjustRightInd w:val="0"/>
              <w:snapToGrid w:val="0"/>
              <w:ind w:left="-57" w:right="-57"/>
              <w:jc w:val="center"/>
              <w:textAlignment w:val="baseline"/>
              <w:rPr>
                <w:b/>
              </w:rPr>
            </w:pPr>
            <w:r>
              <w:rPr>
                <w:b/>
              </w:rPr>
              <w:t>昼间</w:t>
            </w:r>
          </w:p>
        </w:tc>
        <w:tc>
          <w:tcPr>
            <w:tcW w:w="921" w:type="pct"/>
            <w:vAlign w:val="center"/>
          </w:tcPr>
          <w:p w14:paraId="41652C72" w14:textId="77777777" w:rsidR="00606029" w:rsidRDefault="00EA5B92">
            <w:pPr>
              <w:overflowPunct w:val="0"/>
              <w:adjustRightInd w:val="0"/>
              <w:snapToGrid w:val="0"/>
              <w:ind w:left="-57" w:right="-57"/>
              <w:jc w:val="center"/>
              <w:textAlignment w:val="baseline"/>
              <w:rPr>
                <w:b/>
              </w:rPr>
            </w:pPr>
            <w:r>
              <w:rPr>
                <w:b/>
              </w:rPr>
              <w:t>夜间</w:t>
            </w:r>
          </w:p>
        </w:tc>
        <w:tc>
          <w:tcPr>
            <w:tcW w:w="2375" w:type="pct"/>
            <w:vMerge/>
            <w:vAlign w:val="center"/>
          </w:tcPr>
          <w:p w14:paraId="6166F0B9" w14:textId="77777777" w:rsidR="00606029" w:rsidRDefault="00606029">
            <w:pPr>
              <w:overflowPunct w:val="0"/>
              <w:adjustRightInd w:val="0"/>
              <w:snapToGrid w:val="0"/>
              <w:ind w:left="-57" w:right="-57"/>
              <w:jc w:val="center"/>
              <w:textAlignment w:val="baseline"/>
            </w:pPr>
          </w:p>
        </w:tc>
      </w:tr>
      <w:tr w:rsidR="00606029" w14:paraId="6BB49CDE" w14:textId="77777777">
        <w:trPr>
          <w:cantSplit/>
          <w:trHeight w:val="340"/>
          <w:jc w:val="center"/>
        </w:trPr>
        <w:tc>
          <w:tcPr>
            <w:tcW w:w="756" w:type="pct"/>
            <w:vAlign w:val="center"/>
          </w:tcPr>
          <w:p w14:paraId="07E571EE" w14:textId="77777777" w:rsidR="00606029" w:rsidRDefault="00EA5B92">
            <w:pPr>
              <w:overflowPunct w:val="0"/>
              <w:adjustRightInd w:val="0"/>
              <w:ind w:left="-57" w:right="-57"/>
              <w:jc w:val="center"/>
              <w:textAlignment w:val="baseline"/>
            </w:pPr>
            <w:r>
              <w:t>2</w:t>
            </w:r>
            <w:r>
              <w:t>类</w:t>
            </w:r>
          </w:p>
        </w:tc>
        <w:tc>
          <w:tcPr>
            <w:tcW w:w="946" w:type="pct"/>
            <w:vAlign w:val="center"/>
          </w:tcPr>
          <w:p w14:paraId="08507AAD" w14:textId="77777777" w:rsidR="00606029" w:rsidRDefault="00EA5B92">
            <w:pPr>
              <w:overflowPunct w:val="0"/>
              <w:adjustRightInd w:val="0"/>
              <w:ind w:left="-57" w:right="-57"/>
              <w:jc w:val="center"/>
              <w:textAlignment w:val="baseline"/>
            </w:pPr>
            <w:r>
              <w:t>60</w:t>
            </w:r>
          </w:p>
        </w:tc>
        <w:tc>
          <w:tcPr>
            <w:tcW w:w="921" w:type="pct"/>
            <w:vAlign w:val="center"/>
          </w:tcPr>
          <w:p w14:paraId="127EEFB4" w14:textId="77777777" w:rsidR="00606029" w:rsidRDefault="00EA5B92">
            <w:pPr>
              <w:overflowPunct w:val="0"/>
              <w:adjustRightInd w:val="0"/>
              <w:ind w:left="-57" w:right="-57"/>
              <w:jc w:val="center"/>
              <w:textAlignment w:val="baseline"/>
            </w:pPr>
            <w:r>
              <w:t>50</w:t>
            </w:r>
          </w:p>
        </w:tc>
        <w:tc>
          <w:tcPr>
            <w:tcW w:w="2375" w:type="pct"/>
            <w:vAlign w:val="center"/>
          </w:tcPr>
          <w:p w14:paraId="2ABE905A" w14:textId="77777777" w:rsidR="00606029" w:rsidRDefault="00EA5B92">
            <w:pPr>
              <w:overflowPunct w:val="0"/>
              <w:adjustRightInd w:val="0"/>
              <w:snapToGrid w:val="0"/>
              <w:ind w:left="-57" w:right="-57"/>
              <w:jc w:val="center"/>
              <w:textAlignment w:val="baseline"/>
            </w:pPr>
            <w:r>
              <w:t>《声环境质量标准》（</w:t>
            </w:r>
            <w:r>
              <w:t>GB 3096-2008</w:t>
            </w:r>
            <w:r>
              <w:t>）</w:t>
            </w:r>
          </w:p>
        </w:tc>
      </w:tr>
    </w:tbl>
    <w:p w14:paraId="0AF2D821" w14:textId="77777777" w:rsidR="00606029" w:rsidRDefault="00EA5B92">
      <w:pPr>
        <w:pStyle w:val="affffff4"/>
        <w:adjustRightInd/>
        <w:snapToGrid/>
        <w:spacing w:beforeLines="50" w:before="120"/>
        <w:ind w:firstLine="482"/>
        <w:rPr>
          <w:b/>
          <w:bCs/>
        </w:rPr>
      </w:pPr>
      <w:r>
        <w:rPr>
          <w:b/>
          <w:bCs/>
        </w:rPr>
        <w:t>5</w:t>
      </w:r>
      <w:r>
        <w:rPr>
          <w:b/>
          <w:bCs/>
        </w:rPr>
        <w:t>、土壤环境质量标准</w:t>
      </w:r>
    </w:p>
    <w:p w14:paraId="215A179F" w14:textId="4EF43147" w:rsidR="00606029" w:rsidRDefault="00AC7169">
      <w:pPr>
        <w:pStyle w:val="affffff4"/>
        <w:rPr>
          <w:szCs w:val="24"/>
        </w:rPr>
      </w:pPr>
      <w:r>
        <w:rPr>
          <w:rFonts w:hint="eastAsia"/>
          <w:szCs w:val="24"/>
        </w:rPr>
        <w:t>本项目占地范围内</w:t>
      </w:r>
      <w:r w:rsidR="00EA5B92">
        <w:rPr>
          <w:szCs w:val="24"/>
        </w:rPr>
        <w:t>土壤执行《土壤环境质量</w:t>
      </w:r>
      <w:r w:rsidR="00EA5B92">
        <w:rPr>
          <w:szCs w:val="24"/>
        </w:rPr>
        <w:t xml:space="preserve"> </w:t>
      </w:r>
      <w:r w:rsidR="00EA5B92">
        <w:rPr>
          <w:szCs w:val="24"/>
        </w:rPr>
        <w:t>建设用地土壤污染风险管控标准（试行）》（</w:t>
      </w:r>
      <w:r w:rsidR="00EA5B92">
        <w:rPr>
          <w:szCs w:val="24"/>
        </w:rPr>
        <w:t>GB36600-2018</w:t>
      </w:r>
      <w:r w:rsidR="00EA5B92">
        <w:rPr>
          <w:szCs w:val="24"/>
        </w:rPr>
        <w:t>）表</w:t>
      </w:r>
      <w:r w:rsidR="00EA5B92">
        <w:rPr>
          <w:szCs w:val="24"/>
        </w:rPr>
        <w:t>1</w:t>
      </w:r>
      <w:r w:rsidR="00EA5B92">
        <w:rPr>
          <w:szCs w:val="24"/>
        </w:rPr>
        <w:t>中第二类用地的筛选值</w:t>
      </w:r>
      <w:r w:rsidR="001E6EF7">
        <w:rPr>
          <w:rFonts w:hint="eastAsia"/>
          <w:szCs w:val="24"/>
        </w:rPr>
        <w:t>；</w:t>
      </w:r>
      <w:r w:rsidR="00EA5B92">
        <w:rPr>
          <w:szCs w:val="24"/>
        </w:rPr>
        <w:t>周边农用地执行《土壤环境质量</w:t>
      </w:r>
      <w:r w:rsidR="00EA5B92">
        <w:rPr>
          <w:szCs w:val="24"/>
        </w:rPr>
        <w:t xml:space="preserve"> </w:t>
      </w:r>
      <w:r w:rsidR="00EA5B92">
        <w:rPr>
          <w:szCs w:val="24"/>
        </w:rPr>
        <w:t>农用地土壤污染风险管控标准（试行）》（</w:t>
      </w:r>
      <w:r w:rsidR="00EA5B92">
        <w:rPr>
          <w:szCs w:val="24"/>
        </w:rPr>
        <w:t>GB15618-2018</w:t>
      </w:r>
      <w:r w:rsidR="00EA5B92">
        <w:rPr>
          <w:szCs w:val="24"/>
        </w:rPr>
        <w:t>）中表</w:t>
      </w:r>
      <w:r w:rsidR="00EA5B92">
        <w:rPr>
          <w:szCs w:val="24"/>
        </w:rPr>
        <w:t>1</w:t>
      </w:r>
      <w:r w:rsidR="00EA5B92">
        <w:rPr>
          <w:szCs w:val="24"/>
        </w:rPr>
        <w:t>筛选值。</w:t>
      </w:r>
    </w:p>
    <w:p w14:paraId="1848F9FE" w14:textId="77777777" w:rsidR="00606029" w:rsidRDefault="00EA5B92">
      <w:pPr>
        <w:jc w:val="center"/>
        <w:rPr>
          <w:b/>
          <w:szCs w:val="22"/>
        </w:rPr>
      </w:pPr>
      <w:bookmarkStart w:id="54" w:name="_Ref361303846"/>
      <w:r>
        <w:rPr>
          <w:b/>
          <w:szCs w:val="22"/>
        </w:rPr>
        <w:t>表</w:t>
      </w:r>
      <w:bookmarkEnd w:id="54"/>
      <w:r>
        <w:rPr>
          <w:b/>
          <w:szCs w:val="22"/>
        </w:rPr>
        <w:t xml:space="preserve"> 1.5-5 </w:t>
      </w:r>
      <w:r>
        <w:rPr>
          <w:b/>
          <w:szCs w:val="22"/>
        </w:rPr>
        <w:t>建设用地土壤污染风险管控标准（单位：</w:t>
      </w:r>
      <w:r>
        <w:rPr>
          <w:b/>
          <w:szCs w:val="22"/>
        </w:rPr>
        <w:t>mg/kg</w:t>
      </w:r>
      <w:r>
        <w:rPr>
          <w:b/>
          <w:szCs w:val="22"/>
        </w:rPr>
        <w:t>）</w:t>
      </w:r>
    </w:p>
    <w:tbl>
      <w:tblPr>
        <w:tblW w:w="49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3"/>
        <w:gridCol w:w="2787"/>
        <w:gridCol w:w="2020"/>
        <w:gridCol w:w="2010"/>
      </w:tblGrid>
      <w:tr w:rsidR="00606029" w14:paraId="48110CD2" w14:textId="77777777" w:rsidTr="00AD37EF">
        <w:trPr>
          <w:trHeight w:val="329"/>
          <w:tblHeader/>
        </w:trPr>
        <w:tc>
          <w:tcPr>
            <w:tcW w:w="1140" w:type="pct"/>
            <w:vAlign w:val="center"/>
          </w:tcPr>
          <w:p w14:paraId="42AB46D6" w14:textId="77777777" w:rsidR="00606029" w:rsidRDefault="00EA5B92">
            <w:pPr>
              <w:adjustRightInd w:val="0"/>
              <w:snapToGrid w:val="0"/>
              <w:jc w:val="center"/>
              <w:rPr>
                <w:b/>
              </w:rPr>
            </w:pPr>
            <w:r>
              <w:rPr>
                <w:b/>
              </w:rPr>
              <w:t>序号</w:t>
            </w:r>
          </w:p>
        </w:tc>
        <w:tc>
          <w:tcPr>
            <w:tcW w:w="1578" w:type="pct"/>
            <w:vAlign w:val="center"/>
          </w:tcPr>
          <w:p w14:paraId="3FC9571C" w14:textId="77777777" w:rsidR="00606029" w:rsidRDefault="00EA5B92">
            <w:pPr>
              <w:adjustRightInd w:val="0"/>
              <w:snapToGrid w:val="0"/>
              <w:jc w:val="center"/>
              <w:rPr>
                <w:b/>
              </w:rPr>
            </w:pPr>
            <w:r>
              <w:rPr>
                <w:b/>
              </w:rPr>
              <w:t>污染物项目</w:t>
            </w:r>
          </w:p>
        </w:tc>
        <w:tc>
          <w:tcPr>
            <w:tcW w:w="1144" w:type="pct"/>
            <w:vAlign w:val="center"/>
          </w:tcPr>
          <w:p w14:paraId="2A1F9F12" w14:textId="77777777" w:rsidR="00606029" w:rsidRDefault="00EA5B92">
            <w:pPr>
              <w:adjustRightInd w:val="0"/>
              <w:snapToGrid w:val="0"/>
              <w:jc w:val="center"/>
              <w:rPr>
                <w:b/>
              </w:rPr>
            </w:pPr>
            <w:r>
              <w:rPr>
                <w:b/>
              </w:rPr>
              <w:t>筛选值</w:t>
            </w:r>
          </w:p>
        </w:tc>
        <w:tc>
          <w:tcPr>
            <w:tcW w:w="1138" w:type="pct"/>
            <w:vAlign w:val="center"/>
          </w:tcPr>
          <w:p w14:paraId="1A263D79" w14:textId="77777777" w:rsidR="00606029" w:rsidRDefault="00EA5B92">
            <w:pPr>
              <w:adjustRightInd w:val="0"/>
              <w:snapToGrid w:val="0"/>
              <w:jc w:val="center"/>
              <w:rPr>
                <w:b/>
              </w:rPr>
            </w:pPr>
            <w:r>
              <w:rPr>
                <w:b/>
              </w:rPr>
              <w:t>管控值</w:t>
            </w:r>
          </w:p>
        </w:tc>
      </w:tr>
      <w:tr w:rsidR="00606029" w14:paraId="2BA4B009" w14:textId="77777777">
        <w:trPr>
          <w:trHeight w:val="329"/>
        </w:trPr>
        <w:tc>
          <w:tcPr>
            <w:tcW w:w="5000" w:type="pct"/>
            <w:gridSpan w:val="4"/>
            <w:vAlign w:val="center"/>
          </w:tcPr>
          <w:p w14:paraId="5125A12A" w14:textId="77777777" w:rsidR="00606029" w:rsidRDefault="00EA5B92">
            <w:pPr>
              <w:adjustRightInd w:val="0"/>
              <w:snapToGrid w:val="0"/>
              <w:jc w:val="left"/>
            </w:pPr>
            <w:r>
              <w:t>重金属和无机物</w:t>
            </w:r>
          </w:p>
        </w:tc>
      </w:tr>
      <w:tr w:rsidR="00606029" w14:paraId="4C1AFED2" w14:textId="77777777" w:rsidTr="00AD37EF">
        <w:trPr>
          <w:trHeight w:val="329"/>
        </w:trPr>
        <w:tc>
          <w:tcPr>
            <w:tcW w:w="1140" w:type="pct"/>
            <w:vAlign w:val="center"/>
          </w:tcPr>
          <w:p w14:paraId="680212B2" w14:textId="77777777" w:rsidR="00606029" w:rsidRDefault="00EA5B92">
            <w:pPr>
              <w:adjustRightInd w:val="0"/>
              <w:snapToGrid w:val="0"/>
              <w:jc w:val="center"/>
            </w:pPr>
            <w:r>
              <w:t>1</w:t>
            </w:r>
          </w:p>
        </w:tc>
        <w:tc>
          <w:tcPr>
            <w:tcW w:w="1578" w:type="pct"/>
            <w:vAlign w:val="center"/>
          </w:tcPr>
          <w:p w14:paraId="3294372B" w14:textId="77777777" w:rsidR="00606029" w:rsidRDefault="00EA5B92">
            <w:pPr>
              <w:adjustRightInd w:val="0"/>
              <w:snapToGrid w:val="0"/>
              <w:jc w:val="center"/>
            </w:pPr>
            <w:r>
              <w:t>铬（六价）</w:t>
            </w:r>
          </w:p>
        </w:tc>
        <w:tc>
          <w:tcPr>
            <w:tcW w:w="1144" w:type="pct"/>
            <w:vAlign w:val="center"/>
          </w:tcPr>
          <w:p w14:paraId="7B1533CD" w14:textId="77777777" w:rsidR="00606029" w:rsidRDefault="00EA5B92">
            <w:pPr>
              <w:adjustRightInd w:val="0"/>
              <w:snapToGrid w:val="0"/>
              <w:jc w:val="center"/>
            </w:pPr>
            <w:r>
              <w:t>5.7</w:t>
            </w:r>
          </w:p>
        </w:tc>
        <w:tc>
          <w:tcPr>
            <w:tcW w:w="1138" w:type="pct"/>
            <w:vAlign w:val="center"/>
          </w:tcPr>
          <w:p w14:paraId="77712EBD" w14:textId="77777777" w:rsidR="00606029" w:rsidRDefault="00EA5B92">
            <w:pPr>
              <w:adjustRightInd w:val="0"/>
              <w:snapToGrid w:val="0"/>
              <w:jc w:val="center"/>
            </w:pPr>
            <w:r>
              <w:t>78</w:t>
            </w:r>
          </w:p>
        </w:tc>
      </w:tr>
      <w:tr w:rsidR="00606029" w14:paraId="71354781" w14:textId="77777777" w:rsidTr="00AD37EF">
        <w:trPr>
          <w:trHeight w:val="329"/>
        </w:trPr>
        <w:tc>
          <w:tcPr>
            <w:tcW w:w="1140" w:type="pct"/>
            <w:vAlign w:val="center"/>
          </w:tcPr>
          <w:p w14:paraId="42AEA95D" w14:textId="77777777" w:rsidR="00606029" w:rsidRDefault="00EA5B92">
            <w:pPr>
              <w:adjustRightInd w:val="0"/>
              <w:snapToGrid w:val="0"/>
              <w:jc w:val="center"/>
            </w:pPr>
            <w:r>
              <w:t>2</w:t>
            </w:r>
          </w:p>
        </w:tc>
        <w:tc>
          <w:tcPr>
            <w:tcW w:w="1578" w:type="pct"/>
            <w:vAlign w:val="center"/>
          </w:tcPr>
          <w:p w14:paraId="41A41DEA" w14:textId="77777777" w:rsidR="00606029" w:rsidRDefault="00EA5B92">
            <w:pPr>
              <w:adjustRightInd w:val="0"/>
              <w:snapToGrid w:val="0"/>
              <w:jc w:val="center"/>
            </w:pPr>
            <w:r>
              <w:t>镉</w:t>
            </w:r>
          </w:p>
        </w:tc>
        <w:tc>
          <w:tcPr>
            <w:tcW w:w="1144" w:type="pct"/>
            <w:vAlign w:val="center"/>
          </w:tcPr>
          <w:p w14:paraId="501C7EA3" w14:textId="77777777" w:rsidR="00606029" w:rsidRDefault="00EA5B92">
            <w:pPr>
              <w:adjustRightInd w:val="0"/>
              <w:snapToGrid w:val="0"/>
              <w:jc w:val="center"/>
            </w:pPr>
            <w:r>
              <w:t>65</w:t>
            </w:r>
          </w:p>
        </w:tc>
        <w:tc>
          <w:tcPr>
            <w:tcW w:w="1138" w:type="pct"/>
            <w:vAlign w:val="center"/>
          </w:tcPr>
          <w:p w14:paraId="70330AE1" w14:textId="77777777" w:rsidR="00606029" w:rsidRDefault="00EA5B92">
            <w:pPr>
              <w:adjustRightInd w:val="0"/>
              <w:snapToGrid w:val="0"/>
              <w:jc w:val="center"/>
            </w:pPr>
            <w:r>
              <w:t>172</w:t>
            </w:r>
          </w:p>
        </w:tc>
      </w:tr>
      <w:tr w:rsidR="00606029" w14:paraId="244411C8" w14:textId="77777777" w:rsidTr="00AD37EF">
        <w:trPr>
          <w:trHeight w:val="329"/>
        </w:trPr>
        <w:tc>
          <w:tcPr>
            <w:tcW w:w="1140" w:type="pct"/>
            <w:vAlign w:val="center"/>
          </w:tcPr>
          <w:p w14:paraId="2405241D" w14:textId="77777777" w:rsidR="00606029" w:rsidRDefault="00EA5B92">
            <w:pPr>
              <w:adjustRightInd w:val="0"/>
              <w:snapToGrid w:val="0"/>
              <w:jc w:val="center"/>
            </w:pPr>
            <w:r>
              <w:t>3</w:t>
            </w:r>
          </w:p>
        </w:tc>
        <w:tc>
          <w:tcPr>
            <w:tcW w:w="1578" w:type="pct"/>
            <w:vAlign w:val="center"/>
          </w:tcPr>
          <w:p w14:paraId="744736F0" w14:textId="77777777" w:rsidR="00606029" w:rsidRDefault="00EA5B92">
            <w:pPr>
              <w:adjustRightInd w:val="0"/>
              <w:snapToGrid w:val="0"/>
              <w:jc w:val="center"/>
            </w:pPr>
            <w:r>
              <w:t>铜</w:t>
            </w:r>
          </w:p>
        </w:tc>
        <w:tc>
          <w:tcPr>
            <w:tcW w:w="1144" w:type="pct"/>
            <w:vAlign w:val="center"/>
          </w:tcPr>
          <w:p w14:paraId="6B137D30" w14:textId="77777777" w:rsidR="00606029" w:rsidRDefault="00EA5B92">
            <w:pPr>
              <w:adjustRightInd w:val="0"/>
              <w:snapToGrid w:val="0"/>
              <w:jc w:val="center"/>
            </w:pPr>
            <w:r>
              <w:t>18000</w:t>
            </w:r>
          </w:p>
        </w:tc>
        <w:tc>
          <w:tcPr>
            <w:tcW w:w="1138" w:type="pct"/>
            <w:vAlign w:val="center"/>
          </w:tcPr>
          <w:p w14:paraId="65B678C5" w14:textId="77777777" w:rsidR="00606029" w:rsidRDefault="00EA5B92">
            <w:pPr>
              <w:adjustRightInd w:val="0"/>
              <w:snapToGrid w:val="0"/>
              <w:jc w:val="center"/>
            </w:pPr>
            <w:r>
              <w:t>36000</w:t>
            </w:r>
          </w:p>
        </w:tc>
      </w:tr>
      <w:tr w:rsidR="00606029" w14:paraId="77445F6D" w14:textId="77777777" w:rsidTr="00AD37EF">
        <w:trPr>
          <w:trHeight w:val="329"/>
        </w:trPr>
        <w:tc>
          <w:tcPr>
            <w:tcW w:w="1140" w:type="pct"/>
            <w:vAlign w:val="center"/>
          </w:tcPr>
          <w:p w14:paraId="626AF4EE" w14:textId="77777777" w:rsidR="00606029" w:rsidRDefault="00EA5B92">
            <w:pPr>
              <w:adjustRightInd w:val="0"/>
              <w:snapToGrid w:val="0"/>
              <w:jc w:val="center"/>
            </w:pPr>
            <w:r>
              <w:t>4</w:t>
            </w:r>
          </w:p>
        </w:tc>
        <w:tc>
          <w:tcPr>
            <w:tcW w:w="1578" w:type="pct"/>
            <w:vAlign w:val="center"/>
          </w:tcPr>
          <w:p w14:paraId="3C432F0B" w14:textId="77777777" w:rsidR="00606029" w:rsidRDefault="00EA5B92">
            <w:pPr>
              <w:adjustRightInd w:val="0"/>
              <w:snapToGrid w:val="0"/>
              <w:jc w:val="center"/>
            </w:pPr>
            <w:r>
              <w:t>铅</w:t>
            </w:r>
          </w:p>
        </w:tc>
        <w:tc>
          <w:tcPr>
            <w:tcW w:w="1144" w:type="pct"/>
            <w:vAlign w:val="center"/>
          </w:tcPr>
          <w:p w14:paraId="78709801" w14:textId="77777777" w:rsidR="00606029" w:rsidRDefault="00EA5B92">
            <w:pPr>
              <w:adjustRightInd w:val="0"/>
              <w:snapToGrid w:val="0"/>
              <w:jc w:val="center"/>
            </w:pPr>
            <w:r>
              <w:t>800</w:t>
            </w:r>
          </w:p>
        </w:tc>
        <w:tc>
          <w:tcPr>
            <w:tcW w:w="1138" w:type="pct"/>
            <w:vAlign w:val="center"/>
          </w:tcPr>
          <w:p w14:paraId="1284447E" w14:textId="77777777" w:rsidR="00606029" w:rsidRDefault="00EA5B92">
            <w:pPr>
              <w:adjustRightInd w:val="0"/>
              <w:snapToGrid w:val="0"/>
              <w:jc w:val="center"/>
            </w:pPr>
            <w:r>
              <w:t>2500</w:t>
            </w:r>
          </w:p>
        </w:tc>
      </w:tr>
      <w:tr w:rsidR="00606029" w14:paraId="33B4C1F8" w14:textId="77777777" w:rsidTr="00AD37EF">
        <w:trPr>
          <w:trHeight w:val="329"/>
        </w:trPr>
        <w:tc>
          <w:tcPr>
            <w:tcW w:w="1140" w:type="pct"/>
            <w:vAlign w:val="center"/>
          </w:tcPr>
          <w:p w14:paraId="150DC7A5" w14:textId="77777777" w:rsidR="00606029" w:rsidRDefault="00EA5B92">
            <w:pPr>
              <w:adjustRightInd w:val="0"/>
              <w:snapToGrid w:val="0"/>
              <w:jc w:val="center"/>
            </w:pPr>
            <w:r>
              <w:t>5</w:t>
            </w:r>
          </w:p>
        </w:tc>
        <w:tc>
          <w:tcPr>
            <w:tcW w:w="1578" w:type="pct"/>
            <w:vAlign w:val="center"/>
          </w:tcPr>
          <w:p w14:paraId="4CB0BFE9" w14:textId="77777777" w:rsidR="00606029" w:rsidRDefault="00EA5B92">
            <w:pPr>
              <w:adjustRightInd w:val="0"/>
              <w:snapToGrid w:val="0"/>
              <w:jc w:val="center"/>
            </w:pPr>
            <w:r>
              <w:t>砷</w:t>
            </w:r>
          </w:p>
        </w:tc>
        <w:tc>
          <w:tcPr>
            <w:tcW w:w="1144" w:type="pct"/>
            <w:vAlign w:val="center"/>
          </w:tcPr>
          <w:p w14:paraId="33BF259D" w14:textId="77777777" w:rsidR="00606029" w:rsidRDefault="00EA5B92">
            <w:pPr>
              <w:adjustRightInd w:val="0"/>
              <w:snapToGrid w:val="0"/>
              <w:jc w:val="center"/>
            </w:pPr>
            <w:r>
              <w:t>60</w:t>
            </w:r>
          </w:p>
        </w:tc>
        <w:tc>
          <w:tcPr>
            <w:tcW w:w="1138" w:type="pct"/>
            <w:vAlign w:val="center"/>
          </w:tcPr>
          <w:p w14:paraId="4712B4F4" w14:textId="77777777" w:rsidR="00606029" w:rsidRDefault="00EA5B92">
            <w:pPr>
              <w:adjustRightInd w:val="0"/>
              <w:snapToGrid w:val="0"/>
              <w:jc w:val="center"/>
            </w:pPr>
            <w:r>
              <w:t>140</w:t>
            </w:r>
          </w:p>
        </w:tc>
      </w:tr>
      <w:tr w:rsidR="00606029" w14:paraId="5B48AB5F" w14:textId="77777777" w:rsidTr="00AD37EF">
        <w:trPr>
          <w:trHeight w:val="329"/>
        </w:trPr>
        <w:tc>
          <w:tcPr>
            <w:tcW w:w="1140" w:type="pct"/>
            <w:vAlign w:val="center"/>
          </w:tcPr>
          <w:p w14:paraId="38820BF4" w14:textId="77777777" w:rsidR="00606029" w:rsidRDefault="00EA5B92">
            <w:pPr>
              <w:adjustRightInd w:val="0"/>
              <w:snapToGrid w:val="0"/>
              <w:jc w:val="center"/>
            </w:pPr>
            <w:r>
              <w:t>6</w:t>
            </w:r>
          </w:p>
        </w:tc>
        <w:tc>
          <w:tcPr>
            <w:tcW w:w="1578" w:type="pct"/>
            <w:vAlign w:val="center"/>
          </w:tcPr>
          <w:p w14:paraId="701166B4" w14:textId="77777777" w:rsidR="00606029" w:rsidRDefault="00EA5B92">
            <w:pPr>
              <w:adjustRightInd w:val="0"/>
              <w:snapToGrid w:val="0"/>
              <w:jc w:val="center"/>
            </w:pPr>
            <w:r>
              <w:t>汞</w:t>
            </w:r>
          </w:p>
        </w:tc>
        <w:tc>
          <w:tcPr>
            <w:tcW w:w="1144" w:type="pct"/>
            <w:vAlign w:val="center"/>
          </w:tcPr>
          <w:p w14:paraId="669E0A23" w14:textId="77777777" w:rsidR="00606029" w:rsidRDefault="00EA5B92">
            <w:pPr>
              <w:adjustRightInd w:val="0"/>
              <w:snapToGrid w:val="0"/>
              <w:jc w:val="center"/>
            </w:pPr>
            <w:r>
              <w:t>38</w:t>
            </w:r>
          </w:p>
        </w:tc>
        <w:tc>
          <w:tcPr>
            <w:tcW w:w="1138" w:type="pct"/>
            <w:vAlign w:val="center"/>
          </w:tcPr>
          <w:p w14:paraId="57F7DF91" w14:textId="77777777" w:rsidR="00606029" w:rsidRDefault="00EA5B92">
            <w:pPr>
              <w:adjustRightInd w:val="0"/>
              <w:snapToGrid w:val="0"/>
              <w:jc w:val="center"/>
            </w:pPr>
            <w:r>
              <w:t>82</w:t>
            </w:r>
          </w:p>
        </w:tc>
      </w:tr>
      <w:tr w:rsidR="00606029" w14:paraId="20686C6B" w14:textId="77777777" w:rsidTr="00AD37EF">
        <w:trPr>
          <w:trHeight w:val="329"/>
        </w:trPr>
        <w:tc>
          <w:tcPr>
            <w:tcW w:w="1140" w:type="pct"/>
            <w:vAlign w:val="center"/>
          </w:tcPr>
          <w:p w14:paraId="0DE3325B" w14:textId="77777777" w:rsidR="00606029" w:rsidRDefault="00EA5B92">
            <w:pPr>
              <w:adjustRightInd w:val="0"/>
              <w:snapToGrid w:val="0"/>
              <w:jc w:val="center"/>
            </w:pPr>
            <w:r>
              <w:t>7</w:t>
            </w:r>
          </w:p>
        </w:tc>
        <w:tc>
          <w:tcPr>
            <w:tcW w:w="1578" w:type="pct"/>
            <w:vAlign w:val="center"/>
          </w:tcPr>
          <w:p w14:paraId="600F948A" w14:textId="77777777" w:rsidR="00606029" w:rsidRDefault="00EA5B92">
            <w:pPr>
              <w:adjustRightInd w:val="0"/>
              <w:snapToGrid w:val="0"/>
              <w:jc w:val="center"/>
            </w:pPr>
            <w:r>
              <w:t>镍</w:t>
            </w:r>
          </w:p>
        </w:tc>
        <w:tc>
          <w:tcPr>
            <w:tcW w:w="1144" w:type="pct"/>
            <w:vAlign w:val="center"/>
          </w:tcPr>
          <w:p w14:paraId="50C256E9" w14:textId="77777777" w:rsidR="00606029" w:rsidRDefault="00EA5B92">
            <w:pPr>
              <w:adjustRightInd w:val="0"/>
              <w:snapToGrid w:val="0"/>
              <w:jc w:val="center"/>
            </w:pPr>
            <w:r>
              <w:t>900</w:t>
            </w:r>
          </w:p>
        </w:tc>
        <w:tc>
          <w:tcPr>
            <w:tcW w:w="1138" w:type="pct"/>
            <w:vAlign w:val="center"/>
          </w:tcPr>
          <w:p w14:paraId="4A8D0E3F" w14:textId="77777777" w:rsidR="00606029" w:rsidRDefault="00EA5B92">
            <w:pPr>
              <w:adjustRightInd w:val="0"/>
              <w:snapToGrid w:val="0"/>
              <w:jc w:val="center"/>
            </w:pPr>
            <w:r>
              <w:t>2000</w:t>
            </w:r>
          </w:p>
        </w:tc>
      </w:tr>
      <w:tr w:rsidR="00606029" w14:paraId="56E057DB" w14:textId="77777777">
        <w:trPr>
          <w:trHeight w:val="329"/>
        </w:trPr>
        <w:tc>
          <w:tcPr>
            <w:tcW w:w="5000" w:type="pct"/>
            <w:gridSpan w:val="4"/>
            <w:vAlign w:val="center"/>
          </w:tcPr>
          <w:p w14:paraId="6113FD11" w14:textId="77777777" w:rsidR="00606029" w:rsidRDefault="00EA5B92">
            <w:pPr>
              <w:adjustRightInd w:val="0"/>
              <w:snapToGrid w:val="0"/>
              <w:jc w:val="left"/>
            </w:pPr>
            <w:r>
              <w:t>挥发性有机物</w:t>
            </w:r>
          </w:p>
        </w:tc>
      </w:tr>
      <w:tr w:rsidR="00606029" w14:paraId="0B2D6391" w14:textId="77777777" w:rsidTr="00AD37EF">
        <w:trPr>
          <w:trHeight w:val="329"/>
        </w:trPr>
        <w:tc>
          <w:tcPr>
            <w:tcW w:w="1140" w:type="pct"/>
            <w:vAlign w:val="center"/>
          </w:tcPr>
          <w:p w14:paraId="77974EDD" w14:textId="77777777" w:rsidR="00606029" w:rsidRDefault="00EA5B92">
            <w:pPr>
              <w:adjustRightInd w:val="0"/>
              <w:snapToGrid w:val="0"/>
              <w:jc w:val="center"/>
            </w:pPr>
            <w:r>
              <w:t>8</w:t>
            </w:r>
          </w:p>
        </w:tc>
        <w:tc>
          <w:tcPr>
            <w:tcW w:w="1578" w:type="pct"/>
            <w:vAlign w:val="center"/>
          </w:tcPr>
          <w:p w14:paraId="02B95A1E" w14:textId="77777777" w:rsidR="00606029" w:rsidRDefault="00EA5B92">
            <w:pPr>
              <w:adjustRightInd w:val="0"/>
              <w:snapToGrid w:val="0"/>
              <w:jc w:val="center"/>
            </w:pPr>
            <w:r>
              <w:t>四氯化碳</w:t>
            </w:r>
          </w:p>
        </w:tc>
        <w:tc>
          <w:tcPr>
            <w:tcW w:w="1144" w:type="pct"/>
            <w:vAlign w:val="center"/>
          </w:tcPr>
          <w:p w14:paraId="1BC2DEAF" w14:textId="77777777" w:rsidR="00606029" w:rsidRDefault="00EA5B92">
            <w:pPr>
              <w:adjustRightInd w:val="0"/>
              <w:snapToGrid w:val="0"/>
              <w:jc w:val="center"/>
            </w:pPr>
            <w:r>
              <w:t>2.8</w:t>
            </w:r>
          </w:p>
        </w:tc>
        <w:tc>
          <w:tcPr>
            <w:tcW w:w="1138" w:type="pct"/>
            <w:vAlign w:val="center"/>
          </w:tcPr>
          <w:p w14:paraId="1DE59261" w14:textId="77777777" w:rsidR="00606029" w:rsidRDefault="00EA5B92">
            <w:pPr>
              <w:adjustRightInd w:val="0"/>
              <w:snapToGrid w:val="0"/>
              <w:jc w:val="center"/>
            </w:pPr>
            <w:r>
              <w:t>36</w:t>
            </w:r>
          </w:p>
        </w:tc>
      </w:tr>
      <w:tr w:rsidR="00606029" w14:paraId="5F616F67" w14:textId="77777777" w:rsidTr="00AD37EF">
        <w:trPr>
          <w:trHeight w:val="329"/>
        </w:trPr>
        <w:tc>
          <w:tcPr>
            <w:tcW w:w="1140" w:type="pct"/>
            <w:vAlign w:val="center"/>
          </w:tcPr>
          <w:p w14:paraId="67515A5C" w14:textId="77777777" w:rsidR="00606029" w:rsidRDefault="00EA5B92">
            <w:pPr>
              <w:adjustRightInd w:val="0"/>
              <w:snapToGrid w:val="0"/>
              <w:jc w:val="center"/>
            </w:pPr>
            <w:r>
              <w:lastRenderedPageBreak/>
              <w:t>9</w:t>
            </w:r>
          </w:p>
        </w:tc>
        <w:tc>
          <w:tcPr>
            <w:tcW w:w="1578" w:type="pct"/>
            <w:vAlign w:val="center"/>
          </w:tcPr>
          <w:p w14:paraId="37046D77" w14:textId="77777777" w:rsidR="00606029" w:rsidRDefault="00EA5B92">
            <w:pPr>
              <w:adjustRightInd w:val="0"/>
              <w:snapToGrid w:val="0"/>
              <w:jc w:val="center"/>
            </w:pPr>
            <w:r>
              <w:t>氯仿</w:t>
            </w:r>
          </w:p>
        </w:tc>
        <w:tc>
          <w:tcPr>
            <w:tcW w:w="1144" w:type="pct"/>
            <w:vAlign w:val="center"/>
          </w:tcPr>
          <w:p w14:paraId="3FE8333D" w14:textId="77777777" w:rsidR="00606029" w:rsidRDefault="00EA5B92">
            <w:pPr>
              <w:adjustRightInd w:val="0"/>
              <w:snapToGrid w:val="0"/>
              <w:jc w:val="center"/>
            </w:pPr>
            <w:r>
              <w:t>0.9</w:t>
            </w:r>
          </w:p>
        </w:tc>
        <w:tc>
          <w:tcPr>
            <w:tcW w:w="1138" w:type="pct"/>
            <w:vAlign w:val="center"/>
          </w:tcPr>
          <w:p w14:paraId="4A02902A" w14:textId="77777777" w:rsidR="00606029" w:rsidRDefault="00EA5B92">
            <w:pPr>
              <w:adjustRightInd w:val="0"/>
              <w:snapToGrid w:val="0"/>
              <w:jc w:val="center"/>
            </w:pPr>
            <w:r>
              <w:t>10</w:t>
            </w:r>
          </w:p>
        </w:tc>
      </w:tr>
      <w:tr w:rsidR="00606029" w14:paraId="2E35DC43" w14:textId="77777777" w:rsidTr="00AD37EF">
        <w:trPr>
          <w:trHeight w:val="329"/>
        </w:trPr>
        <w:tc>
          <w:tcPr>
            <w:tcW w:w="1140" w:type="pct"/>
            <w:vAlign w:val="center"/>
          </w:tcPr>
          <w:p w14:paraId="37FB9B95" w14:textId="77777777" w:rsidR="00606029" w:rsidRDefault="00EA5B92">
            <w:pPr>
              <w:adjustRightInd w:val="0"/>
              <w:snapToGrid w:val="0"/>
              <w:jc w:val="center"/>
            </w:pPr>
            <w:r>
              <w:t>10</w:t>
            </w:r>
          </w:p>
        </w:tc>
        <w:tc>
          <w:tcPr>
            <w:tcW w:w="1578" w:type="pct"/>
            <w:vAlign w:val="center"/>
          </w:tcPr>
          <w:p w14:paraId="4A8C82D0" w14:textId="77777777" w:rsidR="00606029" w:rsidRDefault="00EA5B92">
            <w:pPr>
              <w:adjustRightInd w:val="0"/>
              <w:snapToGrid w:val="0"/>
              <w:jc w:val="center"/>
            </w:pPr>
            <w:r>
              <w:t>氯甲烷</w:t>
            </w:r>
          </w:p>
        </w:tc>
        <w:tc>
          <w:tcPr>
            <w:tcW w:w="1144" w:type="pct"/>
            <w:vAlign w:val="center"/>
          </w:tcPr>
          <w:p w14:paraId="0B833DAF" w14:textId="77777777" w:rsidR="00606029" w:rsidRDefault="00EA5B92">
            <w:pPr>
              <w:adjustRightInd w:val="0"/>
              <w:snapToGrid w:val="0"/>
              <w:jc w:val="center"/>
            </w:pPr>
            <w:r>
              <w:t>37</w:t>
            </w:r>
          </w:p>
        </w:tc>
        <w:tc>
          <w:tcPr>
            <w:tcW w:w="1138" w:type="pct"/>
            <w:vAlign w:val="center"/>
          </w:tcPr>
          <w:p w14:paraId="44E20710" w14:textId="77777777" w:rsidR="00606029" w:rsidRDefault="00EA5B92">
            <w:pPr>
              <w:adjustRightInd w:val="0"/>
              <w:snapToGrid w:val="0"/>
              <w:jc w:val="center"/>
            </w:pPr>
            <w:r>
              <w:t>120</w:t>
            </w:r>
          </w:p>
        </w:tc>
      </w:tr>
      <w:tr w:rsidR="00606029" w14:paraId="405CA0A0" w14:textId="77777777" w:rsidTr="00AD37EF">
        <w:trPr>
          <w:trHeight w:val="329"/>
        </w:trPr>
        <w:tc>
          <w:tcPr>
            <w:tcW w:w="1140" w:type="pct"/>
            <w:vAlign w:val="center"/>
          </w:tcPr>
          <w:p w14:paraId="634FBBF2" w14:textId="77777777" w:rsidR="00606029" w:rsidRDefault="00EA5B92">
            <w:pPr>
              <w:adjustRightInd w:val="0"/>
              <w:snapToGrid w:val="0"/>
              <w:jc w:val="center"/>
            </w:pPr>
            <w:r>
              <w:t>11</w:t>
            </w:r>
          </w:p>
        </w:tc>
        <w:tc>
          <w:tcPr>
            <w:tcW w:w="1578" w:type="pct"/>
            <w:vAlign w:val="center"/>
          </w:tcPr>
          <w:p w14:paraId="04EA294E" w14:textId="77777777" w:rsidR="00606029" w:rsidRDefault="00EA5B92">
            <w:pPr>
              <w:adjustRightInd w:val="0"/>
              <w:snapToGrid w:val="0"/>
              <w:jc w:val="center"/>
            </w:pPr>
            <w:r>
              <w:t>1</w:t>
            </w:r>
            <w:r>
              <w:t>，</w:t>
            </w:r>
            <w:r>
              <w:t>1</w:t>
            </w:r>
            <w:r>
              <w:t>－二氯乙烷</w:t>
            </w:r>
          </w:p>
        </w:tc>
        <w:tc>
          <w:tcPr>
            <w:tcW w:w="1144" w:type="pct"/>
            <w:vAlign w:val="center"/>
          </w:tcPr>
          <w:p w14:paraId="263F4884" w14:textId="77777777" w:rsidR="00606029" w:rsidRDefault="00EA5B92">
            <w:pPr>
              <w:adjustRightInd w:val="0"/>
              <w:snapToGrid w:val="0"/>
              <w:jc w:val="center"/>
            </w:pPr>
            <w:r>
              <w:t>9</w:t>
            </w:r>
          </w:p>
        </w:tc>
        <w:tc>
          <w:tcPr>
            <w:tcW w:w="1138" w:type="pct"/>
            <w:vAlign w:val="center"/>
          </w:tcPr>
          <w:p w14:paraId="64CDA5C0" w14:textId="77777777" w:rsidR="00606029" w:rsidRDefault="00EA5B92">
            <w:pPr>
              <w:adjustRightInd w:val="0"/>
              <w:snapToGrid w:val="0"/>
              <w:jc w:val="center"/>
            </w:pPr>
            <w:r>
              <w:t>100</w:t>
            </w:r>
          </w:p>
        </w:tc>
      </w:tr>
      <w:tr w:rsidR="00606029" w14:paraId="105AA2DB" w14:textId="77777777" w:rsidTr="00AD37EF">
        <w:trPr>
          <w:trHeight w:val="329"/>
        </w:trPr>
        <w:tc>
          <w:tcPr>
            <w:tcW w:w="1140" w:type="pct"/>
            <w:vAlign w:val="center"/>
          </w:tcPr>
          <w:p w14:paraId="3C8AE6DA" w14:textId="77777777" w:rsidR="00606029" w:rsidRDefault="00EA5B92">
            <w:pPr>
              <w:adjustRightInd w:val="0"/>
              <w:snapToGrid w:val="0"/>
              <w:jc w:val="center"/>
            </w:pPr>
            <w:r>
              <w:t>12</w:t>
            </w:r>
          </w:p>
        </w:tc>
        <w:tc>
          <w:tcPr>
            <w:tcW w:w="1578" w:type="pct"/>
            <w:vAlign w:val="center"/>
          </w:tcPr>
          <w:p w14:paraId="37C71309" w14:textId="77777777" w:rsidR="00606029" w:rsidRDefault="00EA5B92">
            <w:pPr>
              <w:adjustRightInd w:val="0"/>
              <w:snapToGrid w:val="0"/>
              <w:jc w:val="center"/>
            </w:pPr>
            <w:r>
              <w:t>1</w:t>
            </w:r>
            <w:r>
              <w:t>，</w:t>
            </w:r>
            <w:r>
              <w:t>2</w:t>
            </w:r>
            <w:r>
              <w:t>－二氯乙烷</w:t>
            </w:r>
          </w:p>
        </w:tc>
        <w:tc>
          <w:tcPr>
            <w:tcW w:w="1144" w:type="pct"/>
            <w:vAlign w:val="center"/>
          </w:tcPr>
          <w:p w14:paraId="6B3211F0" w14:textId="77777777" w:rsidR="00606029" w:rsidRDefault="00EA5B92">
            <w:pPr>
              <w:adjustRightInd w:val="0"/>
              <w:snapToGrid w:val="0"/>
              <w:jc w:val="center"/>
            </w:pPr>
            <w:r>
              <w:t>5</w:t>
            </w:r>
          </w:p>
        </w:tc>
        <w:tc>
          <w:tcPr>
            <w:tcW w:w="1138" w:type="pct"/>
            <w:vAlign w:val="center"/>
          </w:tcPr>
          <w:p w14:paraId="7AE723F0" w14:textId="77777777" w:rsidR="00606029" w:rsidRDefault="00EA5B92">
            <w:pPr>
              <w:adjustRightInd w:val="0"/>
              <w:snapToGrid w:val="0"/>
              <w:jc w:val="center"/>
            </w:pPr>
            <w:r>
              <w:t>21</w:t>
            </w:r>
          </w:p>
        </w:tc>
      </w:tr>
      <w:tr w:rsidR="00606029" w14:paraId="009D5689" w14:textId="77777777" w:rsidTr="00AD37EF">
        <w:trPr>
          <w:trHeight w:val="329"/>
        </w:trPr>
        <w:tc>
          <w:tcPr>
            <w:tcW w:w="1140" w:type="pct"/>
            <w:vAlign w:val="center"/>
          </w:tcPr>
          <w:p w14:paraId="002657FF" w14:textId="77777777" w:rsidR="00606029" w:rsidRDefault="00EA5B92">
            <w:pPr>
              <w:adjustRightInd w:val="0"/>
              <w:snapToGrid w:val="0"/>
              <w:jc w:val="center"/>
            </w:pPr>
            <w:r>
              <w:t>13</w:t>
            </w:r>
          </w:p>
        </w:tc>
        <w:tc>
          <w:tcPr>
            <w:tcW w:w="1578" w:type="pct"/>
            <w:vAlign w:val="center"/>
          </w:tcPr>
          <w:p w14:paraId="5A0A7A19" w14:textId="77777777" w:rsidR="00606029" w:rsidRDefault="00EA5B92">
            <w:pPr>
              <w:adjustRightInd w:val="0"/>
              <w:snapToGrid w:val="0"/>
              <w:jc w:val="center"/>
            </w:pPr>
            <w:r>
              <w:t>1</w:t>
            </w:r>
            <w:r>
              <w:t>，</w:t>
            </w:r>
            <w:r>
              <w:t>1</w:t>
            </w:r>
            <w:r>
              <w:t>－二氯乙烯</w:t>
            </w:r>
          </w:p>
        </w:tc>
        <w:tc>
          <w:tcPr>
            <w:tcW w:w="1144" w:type="pct"/>
            <w:vAlign w:val="center"/>
          </w:tcPr>
          <w:p w14:paraId="5EFAEE38" w14:textId="77777777" w:rsidR="00606029" w:rsidRDefault="00EA5B92">
            <w:pPr>
              <w:adjustRightInd w:val="0"/>
              <w:snapToGrid w:val="0"/>
              <w:jc w:val="center"/>
            </w:pPr>
            <w:r>
              <w:t>66</w:t>
            </w:r>
          </w:p>
        </w:tc>
        <w:tc>
          <w:tcPr>
            <w:tcW w:w="1138" w:type="pct"/>
            <w:vAlign w:val="center"/>
          </w:tcPr>
          <w:p w14:paraId="5B91BA1A" w14:textId="77777777" w:rsidR="00606029" w:rsidRDefault="00EA5B92">
            <w:pPr>
              <w:adjustRightInd w:val="0"/>
              <w:snapToGrid w:val="0"/>
              <w:jc w:val="center"/>
            </w:pPr>
            <w:r>
              <w:t>200</w:t>
            </w:r>
          </w:p>
        </w:tc>
      </w:tr>
      <w:tr w:rsidR="00606029" w14:paraId="2A7E9B42" w14:textId="77777777" w:rsidTr="00AD37EF">
        <w:trPr>
          <w:trHeight w:val="329"/>
        </w:trPr>
        <w:tc>
          <w:tcPr>
            <w:tcW w:w="1140" w:type="pct"/>
            <w:vAlign w:val="center"/>
          </w:tcPr>
          <w:p w14:paraId="2F0D6624" w14:textId="77777777" w:rsidR="00606029" w:rsidRDefault="00EA5B92">
            <w:pPr>
              <w:adjustRightInd w:val="0"/>
              <w:snapToGrid w:val="0"/>
              <w:jc w:val="center"/>
            </w:pPr>
            <w:r>
              <w:t>14</w:t>
            </w:r>
          </w:p>
        </w:tc>
        <w:tc>
          <w:tcPr>
            <w:tcW w:w="1578" w:type="pct"/>
            <w:vAlign w:val="center"/>
          </w:tcPr>
          <w:p w14:paraId="3014388A" w14:textId="77777777" w:rsidR="00606029" w:rsidRDefault="00EA5B92">
            <w:pPr>
              <w:adjustRightInd w:val="0"/>
              <w:snapToGrid w:val="0"/>
              <w:jc w:val="center"/>
            </w:pPr>
            <w:r>
              <w:t>顺</w:t>
            </w:r>
            <w:r>
              <w:t>-1</w:t>
            </w:r>
            <w:r>
              <w:t>，</w:t>
            </w:r>
            <w:r>
              <w:t>2</w:t>
            </w:r>
            <w:r>
              <w:t>－二氯乙烯</w:t>
            </w:r>
          </w:p>
        </w:tc>
        <w:tc>
          <w:tcPr>
            <w:tcW w:w="1144" w:type="pct"/>
            <w:vAlign w:val="center"/>
          </w:tcPr>
          <w:p w14:paraId="12C9D3B9" w14:textId="77777777" w:rsidR="00606029" w:rsidRDefault="00EA5B92">
            <w:pPr>
              <w:adjustRightInd w:val="0"/>
              <w:snapToGrid w:val="0"/>
              <w:jc w:val="center"/>
            </w:pPr>
            <w:r>
              <w:t>596</w:t>
            </w:r>
          </w:p>
        </w:tc>
        <w:tc>
          <w:tcPr>
            <w:tcW w:w="1138" w:type="pct"/>
            <w:vAlign w:val="center"/>
          </w:tcPr>
          <w:p w14:paraId="63CC2A46" w14:textId="77777777" w:rsidR="00606029" w:rsidRDefault="00EA5B92">
            <w:pPr>
              <w:adjustRightInd w:val="0"/>
              <w:snapToGrid w:val="0"/>
              <w:jc w:val="center"/>
            </w:pPr>
            <w:r>
              <w:t>2000</w:t>
            </w:r>
          </w:p>
        </w:tc>
      </w:tr>
      <w:tr w:rsidR="00606029" w14:paraId="5A4A0739" w14:textId="77777777" w:rsidTr="00AD37EF">
        <w:trPr>
          <w:trHeight w:val="329"/>
        </w:trPr>
        <w:tc>
          <w:tcPr>
            <w:tcW w:w="1140" w:type="pct"/>
            <w:vAlign w:val="center"/>
          </w:tcPr>
          <w:p w14:paraId="5616EA46" w14:textId="77777777" w:rsidR="00606029" w:rsidRDefault="00EA5B92">
            <w:pPr>
              <w:adjustRightInd w:val="0"/>
              <w:snapToGrid w:val="0"/>
              <w:jc w:val="center"/>
            </w:pPr>
            <w:r>
              <w:t>15</w:t>
            </w:r>
          </w:p>
        </w:tc>
        <w:tc>
          <w:tcPr>
            <w:tcW w:w="1578" w:type="pct"/>
            <w:vAlign w:val="center"/>
          </w:tcPr>
          <w:p w14:paraId="48265B37" w14:textId="77777777" w:rsidR="00606029" w:rsidRDefault="00EA5B92">
            <w:pPr>
              <w:adjustRightInd w:val="0"/>
              <w:snapToGrid w:val="0"/>
              <w:jc w:val="center"/>
            </w:pPr>
            <w:r>
              <w:t>反</w:t>
            </w:r>
            <w:r>
              <w:t>-1</w:t>
            </w:r>
            <w:r>
              <w:t>，</w:t>
            </w:r>
            <w:r>
              <w:t>2</w:t>
            </w:r>
            <w:r>
              <w:t>－二氯乙烯</w:t>
            </w:r>
          </w:p>
        </w:tc>
        <w:tc>
          <w:tcPr>
            <w:tcW w:w="1144" w:type="pct"/>
            <w:vAlign w:val="center"/>
          </w:tcPr>
          <w:p w14:paraId="02863A61" w14:textId="77777777" w:rsidR="00606029" w:rsidRDefault="00EA5B92">
            <w:pPr>
              <w:adjustRightInd w:val="0"/>
              <w:snapToGrid w:val="0"/>
              <w:jc w:val="center"/>
            </w:pPr>
            <w:r>
              <w:t>54</w:t>
            </w:r>
          </w:p>
        </w:tc>
        <w:tc>
          <w:tcPr>
            <w:tcW w:w="1138" w:type="pct"/>
            <w:vAlign w:val="center"/>
          </w:tcPr>
          <w:p w14:paraId="727A5634" w14:textId="77777777" w:rsidR="00606029" w:rsidRDefault="00EA5B92">
            <w:pPr>
              <w:adjustRightInd w:val="0"/>
              <w:snapToGrid w:val="0"/>
              <w:jc w:val="center"/>
            </w:pPr>
            <w:r>
              <w:t>163</w:t>
            </w:r>
          </w:p>
        </w:tc>
      </w:tr>
      <w:tr w:rsidR="00606029" w14:paraId="006A9538" w14:textId="77777777" w:rsidTr="00AD37EF">
        <w:trPr>
          <w:trHeight w:val="329"/>
        </w:trPr>
        <w:tc>
          <w:tcPr>
            <w:tcW w:w="1140" w:type="pct"/>
            <w:vAlign w:val="center"/>
          </w:tcPr>
          <w:p w14:paraId="6503E9B3" w14:textId="77777777" w:rsidR="00606029" w:rsidRDefault="00EA5B92">
            <w:pPr>
              <w:adjustRightInd w:val="0"/>
              <w:snapToGrid w:val="0"/>
              <w:jc w:val="center"/>
            </w:pPr>
            <w:r>
              <w:t>16</w:t>
            </w:r>
          </w:p>
        </w:tc>
        <w:tc>
          <w:tcPr>
            <w:tcW w:w="1578" w:type="pct"/>
            <w:vAlign w:val="center"/>
          </w:tcPr>
          <w:p w14:paraId="6229699E" w14:textId="77777777" w:rsidR="00606029" w:rsidRDefault="00EA5B92">
            <w:pPr>
              <w:adjustRightInd w:val="0"/>
              <w:snapToGrid w:val="0"/>
              <w:jc w:val="center"/>
            </w:pPr>
            <w:r>
              <w:t>二氯甲烷</w:t>
            </w:r>
          </w:p>
        </w:tc>
        <w:tc>
          <w:tcPr>
            <w:tcW w:w="1144" w:type="pct"/>
            <w:vAlign w:val="center"/>
          </w:tcPr>
          <w:p w14:paraId="69C5BA52" w14:textId="77777777" w:rsidR="00606029" w:rsidRDefault="00EA5B92">
            <w:pPr>
              <w:adjustRightInd w:val="0"/>
              <w:snapToGrid w:val="0"/>
              <w:jc w:val="center"/>
            </w:pPr>
            <w:r>
              <w:t>616</w:t>
            </w:r>
          </w:p>
        </w:tc>
        <w:tc>
          <w:tcPr>
            <w:tcW w:w="1138" w:type="pct"/>
            <w:vAlign w:val="center"/>
          </w:tcPr>
          <w:p w14:paraId="6189D984" w14:textId="77777777" w:rsidR="00606029" w:rsidRDefault="00EA5B92">
            <w:pPr>
              <w:adjustRightInd w:val="0"/>
              <w:snapToGrid w:val="0"/>
              <w:jc w:val="center"/>
            </w:pPr>
            <w:r>
              <w:t>2000</w:t>
            </w:r>
          </w:p>
        </w:tc>
      </w:tr>
      <w:tr w:rsidR="00606029" w14:paraId="29882D3C" w14:textId="77777777" w:rsidTr="00AD37EF">
        <w:trPr>
          <w:trHeight w:val="329"/>
        </w:trPr>
        <w:tc>
          <w:tcPr>
            <w:tcW w:w="1140" w:type="pct"/>
            <w:vAlign w:val="center"/>
          </w:tcPr>
          <w:p w14:paraId="13EB26EA" w14:textId="77777777" w:rsidR="00606029" w:rsidRDefault="00EA5B92">
            <w:pPr>
              <w:adjustRightInd w:val="0"/>
              <w:snapToGrid w:val="0"/>
              <w:jc w:val="center"/>
            </w:pPr>
            <w:r>
              <w:t>17</w:t>
            </w:r>
          </w:p>
        </w:tc>
        <w:tc>
          <w:tcPr>
            <w:tcW w:w="1578" w:type="pct"/>
            <w:vAlign w:val="center"/>
          </w:tcPr>
          <w:p w14:paraId="3F40A0DF" w14:textId="77777777" w:rsidR="00606029" w:rsidRDefault="00EA5B92">
            <w:pPr>
              <w:adjustRightInd w:val="0"/>
              <w:snapToGrid w:val="0"/>
              <w:jc w:val="center"/>
            </w:pPr>
            <w:r>
              <w:t>1</w:t>
            </w:r>
            <w:r>
              <w:t>，</w:t>
            </w:r>
            <w:r>
              <w:t>2</w:t>
            </w:r>
            <w:r>
              <w:t>－二氯丙烷</w:t>
            </w:r>
          </w:p>
        </w:tc>
        <w:tc>
          <w:tcPr>
            <w:tcW w:w="1144" w:type="pct"/>
            <w:vAlign w:val="center"/>
          </w:tcPr>
          <w:p w14:paraId="2D686364" w14:textId="77777777" w:rsidR="00606029" w:rsidRDefault="00EA5B92">
            <w:pPr>
              <w:adjustRightInd w:val="0"/>
              <w:snapToGrid w:val="0"/>
              <w:jc w:val="center"/>
            </w:pPr>
            <w:r>
              <w:t>5</w:t>
            </w:r>
          </w:p>
        </w:tc>
        <w:tc>
          <w:tcPr>
            <w:tcW w:w="1138" w:type="pct"/>
            <w:vAlign w:val="center"/>
          </w:tcPr>
          <w:p w14:paraId="18B9C35B" w14:textId="77777777" w:rsidR="00606029" w:rsidRDefault="00EA5B92">
            <w:pPr>
              <w:adjustRightInd w:val="0"/>
              <w:snapToGrid w:val="0"/>
              <w:jc w:val="center"/>
            </w:pPr>
            <w:r>
              <w:t>47</w:t>
            </w:r>
          </w:p>
        </w:tc>
      </w:tr>
      <w:tr w:rsidR="00606029" w14:paraId="6C63AD49" w14:textId="77777777" w:rsidTr="00AD37EF">
        <w:trPr>
          <w:trHeight w:val="329"/>
        </w:trPr>
        <w:tc>
          <w:tcPr>
            <w:tcW w:w="1140" w:type="pct"/>
            <w:vAlign w:val="center"/>
          </w:tcPr>
          <w:p w14:paraId="683C32F5" w14:textId="77777777" w:rsidR="00606029" w:rsidRDefault="00EA5B92">
            <w:pPr>
              <w:adjustRightInd w:val="0"/>
              <w:snapToGrid w:val="0"/>
              <w:jc w:val="center"/>
            </w:pPr>
            <w:r>
              <w:t>18</w:t>
            </w:r>
          </w:p>
        </w:tc>
        <w:tc>
          <w:tcPr>
            <w:tcW w:w="1578" w:type="pct"/>
            <w:vAlign w:val="center"/>
          </w:tcPr>
          <w:p w14:paraId="687BCAE0" w14:textId="77777777" w:rsidR="00606029" w:rsidRDefault="00EA5B92">
            <w:pPr>
              <w:adjustRightInd w:val="0"/>
              <w:snapToGrid w:val="0"/>
              <w:jc w:val="center"/>
            </w:pPr>
            <w:r>
              <w:t>1</w:t>
            </w:r>
            <w:r>
              <w:t>，</w:t>
            </w:r>
            <w:r>
              <w:t>1</w:t>
            </w:r>
            <w:r>
              <w:t>，</w:t>
            </w:r>
            <w:r>
              <w:t>1</w:t>
            </w:r>
            <w:r>
              <w:t>，</w:t>
            </w:r>
            <w:r>
              <w:t>2</w:t>
            </w:r>
            <w:r>
              <w:t>－四氯乙烷</w:t>
            </w:r>
          </w:p>
        </w:tc>
        <w:tc>
          <w:tcPr>
            <w:tcW w:w="1144" w:type="pct"/>
            <w:vAlign w:val="center"/>
          </w:tcPr>
          <w:p w14:paraId="7022E676" w14:textId="77777777" w:rsidR="00606029" w:rsidRDefault="00EA5B92">
            <w:pPr>
              <w:adjustRightInd w:val="0"/>
              <w:snapToGrid w:val="0"/>
              <w:jc w:val="center"/>
            </w:pPr>
            <w:r>
              <w:t>10</w:t>
            </w:r>
          </w:p>
        </w:tc>
        <w:tc>
          <w:tcPr>
            <w:tcW w:w="1138" w:type="pct"/>
            <w:vAlign w:val="center"/>
          </w:tcPr>
          <w:p w14:paraId="05F03D13" w14:textId="77777777" w:rsidR="00606029" w:rsidRDefault="00EA5B92">
            <w:pPr>
              <w:adjustRightInd w:val="0"/>
              <w:snapToGrid w:val="0"/>
              <w:jc w:val="center"/>
            </w:pPr>
            <w:r>
              <w:t>100</w:t>
            </w:r>
          </w:p>
        </w:tc>
      </w:tr>
      <w:tr w:rsidR="00606029" w14:paraId="53408251" w14:textId="77777777" w:rsidTr="00AD37EF">
        <w:trPr>
          <w:trHeight w:val="329"/>
        </w:trPr>
        <w:tc>
          <w:tcPr>
            <w:tcW w:w="1140" w:type="pct"/>
            <w:vAlign w:val="center"/>
          </w:tcPr>
          <w:p w14:paraId="46FBA9E1" w14:textId="77777777" w:rsidR="00606029" w:rsidRDefault="00EA5B92">
            <w:pPr>
              <w:adjustRightInd w:val="0"/>
              <w:snapToGrid w:val="0"/>
              <w:jc w:val="center"/>
            </w:pPr>
            <w:r>
              <w:t>19</w:t>
            </w:r>
          </w:p>
        </w:tc>
        <w:tc>
          <w:tcPr>
            <w:tcW w:w="1578" w:type="pct"/>
            <w:vAlign w:val="center"/>
          </w:tcPr>
          <w:p w14:paraId="3FB0E6FE" w14:textId="77777777" w:rsidR="00606029" w:rsidRDefault="00EA5B92">
            <w:pPr>
              <w:adjustRightInd w:val="0"/>
              <w:snapToGrid w:val="0"/>
              <w:jc w:val="center"/>
            </w:pPr>
            <w:r>
              <w:t>1</w:t>
            </w:r>
            <w:r>
              <w:t>，</w:t>
            </w:r>
            <w:r>
              <w:t>1</w:t>
            </w:r>
            <w:r>
              <w:t>，</w:t>
            </w:r>
            <w:r>
              <w:t>2</w:t>
            </w:r>
            <w:r>
              <w:t>，</w:t>
            </w:r>
            <w:r>
              <w:t>2</w:t>
            </w:r>
            <w:r>
              <w:t>－四氯乙烷</w:t>
            </w:r>
          </w:p>
        </w:tc>
        <w:tc>
          <w:tcPr>
            <w:tcW w:w="1144" w:type="pct"/>
            <w:vAlign w:val="center"/>
          </w:tcPr>
          <w:p w14:paraId="009A7857" w14:textId="77777777" w:rsidR="00606029" w:rsidRDefault="00EA5B92">
            <w:pPr>
              <w:adjustRightInd w:val="0"/>
              <w:snapToGrid w:val="0"/>
              <w:jc w:val="center"/>
            </w:pPr>
            <w:r>
              <w:t>6.8</w:t>
            </w:r>
          </w:p>
        </w:tc>
        <w:tc>
          <w:tcPr>
            <w:tcW w:w="1138" w:type="pct"/>
            <w:vAlign w:val="center"/>
          </w:tcPr>
          <w:p w14:paraId="410761D2" w14:textId="77777777" w:rsidR="00606029" w:rsidRDefault="00EA5B92">
            <w:pPr>
              <w:adjustRightInd w:val="0"/>
              <w:snapToGrid w:val="0"/>
              <w:jc w:val="center"/>
            </w:pPr>
            <w:r>
              <w:t>50</w:t>
            </w:r>
          </w:p>
        </w:tc>
      </w:tr>
      <w:tr w:rsidR="00606029" w14:paraId="0AC322E8" w14:textId="77777777" w:rsidTr="00AD37EF">
        <w:trPr>
          <w:trHeight w:val="329"/>
        </w:trPr>
        <w:tc>
          <w:tcPr>
            <w:tcW w:w="1140" w:type="pct"/>
            <w:vAlign w:val="center"/>
          </w:tcPr>
          <w:p w14:paraId="6CD4383D" w14:textId="77777777" w:rsidR="00606029" w:rsidRDefault="00EA5B92">
            <w:pPr>
              <w:adjustRightInd w:val="0"/>
              <w:snapToGrid w:val="0"/>
              <w:jc w:val="center"/>
            </w:pPr>
            <w:r>
              <w:t>20</w:t>
            </w:r>
          </w:p>
        </w:tc>
        <w:tc>
          <w:tcPr>
            <w:tcW w:w="1578" w:type="pct"/>
            <w:vAlign w:val="center"/>
          </w:tcPr>
          <w:p w14:paraId="247E5BB2" w14:textId="77777777" w:rsidR="00606029" w:rsidRDefault="00EA5B92">
            <w:pPr>
              <w:adjustRightInd w:val="0"/>
              <w:snapToGrid w:val="0"/>
              <w:jc w:val="center"/>
            </w:pPr>
            <w:r>
              <w:t>四氯乙烯</w:t>
            </w:r>
          </w:p>
        </w:tc>
        <w:tc>
          <w:tcPr>
            <w:tcW w:w="1144" w:type="pct"/>
            <w:vAlign w:val="center"/>
          </w:tcPr>
          <w:p w14:paraId="1E9085EC" w14:textId="77777777" w:rsidR="00606029" w:rsidRDefault="00EA5B92">
            <w:pPr>
              <w:adjustRightInd w:val="0"/>
              <w:snapToGrid w:val="0"/>
              <w:jc w:val="center"/>
            </w:pPr>
            <w:r>
              <w:t>53</w:t>
            </w:r>
          </w:p>
        </w:tc>
        <w:tc>
          <w:tcPr>
            <w:tcW w:w="1138" w:type="pct"/>
            <w:vAlign w:val="center"/>
          </w:tcPr>
          <w:p w14:paraId="296E6270" w14:textId="77777777" w:rsidR="00606029" w:rsidRDefault="00EA5B92">
            <w:pPr>
              <w:adjustRightInd w:val="0"/>
              <w:snapToGrid w:val="0"/>
              <w:jc w:val="center"/>
            </w:pPr>
            <w:r>
              <w:t>183</w:t>
            </w:r>
          </w:p>
        </w:tc>
      </w:tr>
      <w:tr w:rsidR="00606029" w14:paraId="54F929DF" w14:textId="77777777" w:rsidTr="00AD37EF">
        <w:trPr>
          <w:trHeight w:val="329"/>
        </w:trPr>
        <w:tc>
          <w:tcPr>
            <w:tcW w:w="1140" w:type="pct"/>
            <w:vAlign w:val="center"/>
          </w:tcPr>
          <w:p w14:paraId="7B1EC4F1" w14:textId="77777777" w:rsidR="00606029" w:rsidRDefault="00EA5B92">
            <w:pPr>
              <w:adjustRightInd w:val="0"/>
              <w:snapToGrid w:val="0"/>
              <w:jc w:val="center"/>
            </w:pPr>
            <w:r>
              <w:t>21</w:t>
            </w:r>
          </w:p>
        </w:tc>
        <w:tc>
          <w:tcPr>
            <w:tcW w:w="1578" w:type="pct"/>
            <w:vAlign w:val="center"/>
          </w:tcPr>
          <w:p w14:paraId="66764743" w14:textId="77777777" w:rsidR="00606029" w:rsidRDefault="00EA5B92">
            <w:pPr>
              <w:adjustRightInd w:val="0"/>
              <w:snapToGrid w:val="0"/>
              <w:jc w:val="center"/>
            </w:pPr>
            <w:r>
              <w:t>1</w:t>
            </w:r>
            <w:r>
              <w:t>，</w:t>
            </w:r>
            <w:r>
              <w:t>1</w:t>
            </w:r>
            <w:r>
              <w:t>，</w:t>
            </w:r>
            <w:r>
              <w:t>1</w:t>
            </w:r>
            <w:r>
              <w:t>－三氯乙烷</w:t>
            </w:r>
          </w:p>
        </w:tc>
        <w:tc>
          <w:tcPr>
            <w:tcW w:w="1144" w:type="pct"/>
            <w:vAlign w:val="center"/>
          </w:tcPr>
          <w:p w14:paraId="6298BCF7" w14:textId="77777777" w:rsidR="00606029" w:rsidRDefault="00EA5B92">
            <w:pPr>
              <w:adjustRightInd w:val="0"/>
              <w:snapToGrid w:val="0"/>
              <w:jc w:val="center"/>
            </w:pPr>
            <w:r>
              <w:t>840</w:t>
            </w:r>
          </w:p>
        </w:tc>
        <w:tc>
          <w:tcPr>
            <w:tcW w:w="1138" w:type="pct"/>
            <w:vAlign w:val="center"/>
          </w:tcPr>
          <w:p w14:paraId="18963197" w14:textId="77777777" w:rsidR="00606029" w:rsidRDefault="00EA5B92">
            <w:pPr>
              <w:adjustRightInd w:val="0"/>
              <w:snapToGrid w:val="0"/>
              <w:jc w:val="center"/>
            </w:pPr>
            <w:r>
              <w:t>840</w:t>
            </w:r>
          </w:p>
        </w:tc>
      </w:tr>
      <w:tr w:rsidR="00606029" w14:paraId="651071EB" w14:textId="77777777" w:rsidTr="00AD37EF">
        <w:trPr>
          <w:trHeight w:val="329"/>
        </w:trPr>
        <w:tc>
          <w:tcPr>
            <w:tcW w:w="1140" w:type="pct"/>
            <w:vAlign w:val="center"/>
          </w:tcPr>
          <w:p w14:paraId="75C83CCE" w14:textId="77777777" w:rsidR="00606029" w:rsidRDefault="00EA5B92">
            <w:pPr>
              <w:adjustRightInd w:val="0"/>
              <w:snapToGrid w:val="0"/>
              <w:jc w:val="center"/>
            </w:pPr>
            <w:r>
              <w:t>22</w:t>
            </w:r>
          </w:p>
        </w:tc>
        <w:tc>
          <w:tcPr>
            <w:tcW w:w="1578" w:type="pct"/>
            <w:vAlign w:val="center"/>
          </w:tcPr>
          <w:p w14:paraId="1DD1A126" w14:textId="77777777" w:rsidR="00606029" w:rsidRDefault="00EA5B92">
            <w:pPr>
              <w:adjustRightInd w:val="0"/>
              <w:snapToGrid w:val="0"/>
              <w:jc w:val="center"/>
            </w:pPr>
            <w:r>
              <w:t>1</w:t>
            </w:r>
            <w:r>
              <w:t>，</w:t>
            </w:r>
            <w:r>
              <w:t>1</w:t>
            </w:r>
            <w:r>
              <w:t>，</w:t>
            </w:r>
            <w:r>
              <w:t>2</w:t>
            </w:r>
            <w:r>
              <w:t>－三氯乙烷</w:t>
            </w:r>
          </w:p>
        </w:tc>
        <w:tc>
          <w:tcPr>
            <w:tcW w:w="1144" w:type="pct"/>
            <w:vAlign w:val="center"/>
          </w:tcPr>
          <w:p w14:paraId="0E200174" w14:textId="77777777" w:rsidR="00606029" w:rsidRDefault="00EA5B92">
            <w:pPr>
              <w:adjustRightInd w:val="0"/>
              <w:snapToGrid w:val="0"/>
              <w:jc w:val="center"/>
            </w:pPr>
            <w:r>
              <w:t>2.8</w:t>
            </w:r>
          </w:p>
        </w:tc>
        <w:tc>
          <w:tcPr>
            <w:tcW w:w="1138" w:type="pct"/>
            <w:vAlign w:val="center"/>
          </w:tcPr>
          <w:p w14:paraId="7CE48006" w14:textId="77777777" w:rsidR="00606029" w:rsidRDefault="00EA5B92">
            <w:pPr>
              <w:adjustRightInd w:val="0"/>
              <w:snapToGrid w:val="0"/>
              <w:jc w:val="center"/>
            </w:pPr>
            <w:r>
              <w:t>15</w:t>
            </w:r>
          </w:p>
        </w:tc>
      </w:tr>
      <w:tr w:rsidR="00606029" w14:paraId="057EAC91" w14:textId="77777777" w:rsidTr="00AD37EF">
        <w:trPr>
          <w:trHeight w:val="329"/>
        </w:trPr>
        <w:tc>
          <w:tcPr>
            <w:tcW w:w="1140" w:type="pct"/>
            <w:vAlign w:val="center"/>
          </w:tcPr>
          <w:p w14:paraId="42EF3B6F" w14:textId="77777777" w:rsidR="00606029" w:rsidRDefault="00EA5B92">
            <w:pPr>
              <w:adjustRightInd w:val="0"/>
              <w:snapToGrid w:val="0"/>
              <w:jc w:val="center"/>
            </w:pPr>
            <w:r>
              <w:t>23</w:t>
            </w:r>
          </w:p>
        </w:tc>
        <w:tc>
          <w:tcPr>
            <w:tcW w:w="1578" w:type="pct"/>
            <w:vAlign w:val="center"/>
          </w:tcPr>
          <w:p w14:paraId="6EC7DCD9" w14:textId="77777777" w:rsidR="00606029" w:rsidRDefault="00EA5B92">
            <w:pPr>
              <w:adjustRightInd w:val="0"/>
              <w:snapToGrid w:val="0"/>
              <w:jc w:val="center"/>
            </w:pPr>
            <w:r>
              <w:t>三氯乙烯</w:t>
            </w:r>
          </w:p>
        </w:tc>
        <w:tc>
          <w:tcPr>
            <w:tcW w:w="1144" w:type="pct"/>
            <w:vAlign w:val="center"/>
          </w:tcPr>
          <w:p w14:paraId="047074A3" w14:textId="77777777" w:rsidR="00606029" w:rsidRDefault="00EA5B92">
            <w:pPr>
              <w:adjustRightInd w:val="0"/>
              <w:snapToGrid w:val="0"/>
              <w:jc w:val="center"/>
            </w:pPr>
            <w:r>
              <w:t>2.8</w:t>
            </w:r>
          </w:p>
        </w:tc>
        <w:tc>
          <w:tcPr>
            <w:tcW w:w="1138" w:type="pct"/>
            <w:vAlign w:val="center"/>
          </w:tcPr>
          <w:p w14:paraId="693731CE" w14:textId="77777777" w:rsidR="00606029" w:rsidRDefault="00EA5B92">
            <w:pPr>
              <w:adjustRightInd w:val="0"/>
              <w:snapToGrid w:val="0"/>
              <w:jc w:val="center"/>
            </w:pPr>
            <w:r>
              <w:t>20</w:t>
            </w:r>
          </w:p>
        </w:tc>
      </w:tr>
      <w:tr w:rsidR="00606029" w14:paraId="6D90669B" w14:textId="77777777" w:rsidTr="00AD37EF">
        <w:trPr>
          <w:trHeight w:val="329"/>
        </w:trPr>
        <w:tc>
          <w:tcPr>
            <w:tcW w:w="1140" w:type="pct"/>
            <w:vAlign w:val="center"/>
          </w:tcPr>
          <w:p w14:paraId="67AEEC66" w14:textId="77777777" w:rsidR="00606029" w:rsidRDefault="00EA5B92">
            <w:pPr>
              <w:adjustRightInd w:val="0"/>
              <w:snapToGrid w:val="0"/>
              <w:jc w:val="center"/>
            </w:pPr>
            <w:r>
              <w:t>24</w:t>
            </w:r>
          </w:p>
        </w:tc>
        <w:tc>
          <w:tcPr>
            <w:tcW w:w="1578" w:type="pct"/>
            <w:vAlign w:val="center"/>
          </w:tcPr>
          <w:p w14:paraId="3CAFE7F6" w14:textId="77777777" w:rsidR="00606029" w:rsidRDefault="00EA5B92">
            <w:pPr>
              <w:adjustRightInd w:val="0"/>
              <w:snapToGrid w:val="0"/>
              <w:jc w:val="center"/>
            </w:pPr>
            <w:r>
              <w:t>1</w:t>
            </w:r>
            <w:r>
              <w:t>，</w:t>
            </w:r>
            <w:r>
              <w:t>2</w:t>
            </w:r>
            <w:r>
              <w:t>，</w:t>
            </w:r>
            <w:r>
              <w:t>3</w:t>
            </w:r>
            <w:r>
              <w:t>－三氯丙烷</w:t>
            </w:r>
          </w:p>
        </w:tc>
        <w:tc>
          <w:tcPr>
            <w:tcW w:w="1144" w:type="pct"/>
            <w:vAlign w:val="center"/>
          </w:tcPr>
          <w:p w14:paraId="43629937" w14:textId="77777777" w:rsidR="00606029" w:rsidRDefault="00EA5B92">
            <w:pPr>
              <w:adjustRightInd w:val="0"/>
              <w:snapToGrid w:val="0"/>
              <w:jc w:val="center"/>
            </w:pPr>
            <w:r>
              <w:t>0.5</w:t>
            </w:r>
          </w:p>
        </w:tc>
        <w:tc>
          <w:tcPr>
            <w:tcW w:w="1138" w:type="pct"/>
            <w:vAlign w:val="center"/>
          </w:tcPr>
          <w:p w14:paraId="389CAC72" w14:textId="77777777" w:rsidR="00606029" w:rsidRDefault="00EA5B92">
            <w:pPr>
              <w:adjustRightInd w:val="0"/>
              <w:snapToGrid w:val="0"/>
              <w:jc w:val="center"/>
            </w:pPr>
            <w:r>
              <w:t>5</w:t>
            </w:r>
          </w:p>
        </w:tc>
      </w:tr>
      <w:tr w:rsidR="00606029" w14:paraId="393CC80F" w14:textId="77777777" w:rsidTr="00AD37EF">
        <w:trPr>
          <w:trHeight w:val="329"/>
        </w:trPr>
        <w:tc>
          <w:tcPr>
            <w:tcW w:w="1140" w:type="pct"/>
            <w:vAlign w:val="center"/>
          </w:tcPr>
          <w:p w14:paraId="57BD364D" w14:textId="77777777" w:rsidR="00606029" w:rsidRDefault="00EA5B92">
            <w:pPr>
              <w:adjustRightInd w:val="0"/>
              <w:snapToGrid w:val="0"/>
              <w:jc w:val="center"/>
            </w:pPr>
            <w:r>
              <w:t>25</w:t>
            </w:r>
          </w:p>
        </w:tc>
        <w:tc>
          <w:tcPr>
            <w:tcW w:w="1578" w:type="pct"/>
            <w:vAlign w:val="center"/>
          </w:tcPr>
          <w:p w14:paraId="10D91AB1" w14:textId="77777777" w:rsidR="00606029" w:rsidRDefault="00EA5B92">
            <w:pPr>
              <w:adjustRightInd w:val="0"/>
              <w:snapToGrid w:val="0"/>
              <w:jc w:val="center"/>
            </w:pPr>
            <w:r>
              <w:t>氯乙烯</w:t>
            </w:r>
          </w:p>
        </w:tc>
        <w:tc>
          <w:tcPr>
            <w:tcW w:w="1144" w:type="pct"/>
            <w:vAlign w:val="center"/>
          </w:tcPr>
          <w:p w14:paraId="73E1AF4C" w14:textId="77777777" w:rsidR="00606029" w:rsidRDefault="00EA5B92">
            <w:pPr>
              <w:adjustRightInd w:val="0"/>
              <w:snapToGrid w:val="0"/>
              <w:jc w:val="center"/>
            </w:pPr>
            <w:r>
              <w:t>0.43</w:t>
            </w:r>
          </w:p>
        </w:tc>
        <w:tc>
          <w:tcPr>
            <w:tcW w:w="1138" w:type="pct"/>
            <w:vAlign w:val="center"/>
          </w:tcPr>
          <w:p w14:paraId="340EDCE3" w14:textId="77777777" w:rsidR="00606029" w:rsidRDefault="00EA5B92">
            <w:pPr>
              <w:adjustRightInd w:val="0"/>
              <w:snapToGrid w:val="0"/>
              <w:jc w:val="center"/>
            </w:pPr>
            <w:r>
              <w:t>4.3</w:t>
            </w:r>
          </w:p>
        </w:tc>
      </w:tr>
      <w:tr w:rsidR="00606029" w14:paraId="40831A10" w14:textId="77777777" w:rsidTr="00AD37EF">
        <w:trPr>
          <w:trHeight w:val="329"/>
        </w:trPr>
        <w:tc>
          <w:tcPr>
            <w:tcW w:w="1140" w:type="pct"/>
            <w:vAlign w:val="center"/>
          </w:tcPr>
          <w:p w14:paraId="6BD3A7E3" w14:textId="77777777" w:rsidR="00606029" w:rsidRDefault="00EA5B92">
            <w:pPr>
              <w:adjustRightInd w:val="0"/>
              <w:snapToGrid w:val="0"/>
              <w:jc w:val="center"/>
            </w:pPr>
            <w:r>
              <w:t>26</w:t>
            </w:r>
          </w:p>
        </w:tc>
        <w:tc>
          <w:tcPr>
            <w:tcW w:w="1578" w:type="pct"/>
            <w:vAlign w:val="center"/>
          </w:tcPr>
          <w:p w14:paraId="31DC9166" w14:textId="77777777" w:rsidR="00606029" w:rsidRDefault="00EA5B92">
            <w:pPr>
              <w:adjustRightInd w:val="0"/>
              <w:snapToGrid w:val="0"/>
              <w:jc w:val="center"/>
            </w:pPr>
            <w:r>
              <w:t>苯</w:t>
            </w:r>
          </w:p>
        </w:tc>
        <w:tc>
          <w:tcPr>
            <w:tcW w:w="1144" w:type="pct"/>
            <w:vAlign w:val="center"/>
          </w:tcPr>
          <w:p w14:paraId="75C2B91D" w14:textId="77777777" w:rsidR="00606029" w:rsidRDefault="00EA5B92">
            <w:pPr>
              <w:adjustRightInd w:val="0"/>
              <w:snapToGrid w:val="0"/>
              <w:jc w:val="center"/>
            </w:pPr>
            <w:r>
              <w:t>4</w:t>
            </w:r>
          </w:p>
        </w:tc>
        <w:tc>
          <w:tcPr>
            <w:tcW w:w="1138" w:type="pct"/>
            <w:vAlign w:val="center"/>
          </w:tcPr>
          <w:p w14:paraId="4A447D2E" w14:textId="77777777" w:rsidR="00606029" w:rsidRDefault="00EA5B92">
            <w:pPr>
              <w:adjustRightInd w:val="0"/>
              <w:snapToGrid w:val="0"/>
              <w:jc w:val="center"/>
            </w:pPr>
            <w:r>
              <w:t>40</w:t>
            </w:r>
          </w:p>
        </w:tc>
      </w:tr>
      <w:tr w:rsidR="00606029" w14:paraId="307B4FA5" w14:textId="77777777" w:rsidTr="00AD37EF">
        <w:trPr>
          <w:trHeight w:val="329"/>
        </w:trPr>
        <w:tc>
          <w:tcPr>
            <w:tcW w:w="1140" w:type="pct"/>
            <w:vAlign w:val="center"/>
          </w:tcPr>
          <w:p w14:paraId="008BB52D" w14:textId="77777777" w:rsidR="00606029" w:rsidRDefault="00EA5B92">
            <w:pPr>
              <w:adjustRightInd w:val="0"/>
              <w:snapToGrid w:val="0"/>
              <w:jc w:val="center"/>
            </w:pPr>
            <w:r>
              <w:t>27</w:t>
            </w:r>
          </w:p>
        </w:tc>
        <w:tc>
          <w:tcPr>
            <w:tcW w:w="1578" w:type="pct"/>
            <w:vAlign w:val="center"/>
          </w:tcPr>
          <w:p w14:paraId="0AB23F44" w14:textId="77777777" w:rsidR="00606029" w:rsidRDefault="00EA5B92">
            <w:pPr>
              <w:adjustRightInd w:val="0"/>
              <w:snapToGrid w:val="0"/>
              <w:jc w:val="center"/>
            </w:pPr>
            <w:r>
              <w:t>氯苯</w:t>
            </w:r>
          </w:p>
        </w:tc>
        <w:tc>
          <w:tcPr>
            <w:tcW w:w="1144" w:type="pct"/>
            <w:vAlign w:val="center"/>
          </w:tcPr>
          <w:p w14:paraId="7331C4DB" w14:textId="77777777" w:rsidR="00606029" w:rsidRDefault="00EA5B92">
            <w:pPr>
              <w:adjustRightInd w:val="0"/>
              <w:snapToGrid w:val="0"/>
              <w:jc w:val="center"/>
            </w:pPr>
            <w:r>
              <w:t>270</w:t>
            </w:r>
          </w:p>
        </w:tc>
        <w:tc>
          <w:tcPr>
            <w:tcW w:w="1138" w:type="pct"/>
            <w:vAlign w:val="center"/>
          </w:tcPr>
          <w:p w14:paraId="5759F0E4" w14:textId="77777777" w:rsidR="00606029" w:rsidRDefault="00EA5B92">
            <w:pPr>
              <w:adjustRightInd w:val="0"/>
              <w:snapToGrid w:val="0"/>
              <w:jc w:val="center"/>
            </w:pPr>
            <w:r>
              <w:t>1000</w:t>
            </w:r>
          </w:p>
        </w:tc>
      </w:tr>
      <w:tr w:rsidR="00606029" w14:paraId="412161A2" w14:textId="77777777" w:rsidTr="00AD37EF">
        <w:trPr>
          <w:trHeight w:val="329"/>
        </w:trPr>
        <w:tc>
          <w:tcPr>
            <w:tcW w:w="1140" w:type="pct"/>
            <w:vAlign w:val="center"/>
          </w:tcPr>
          <w:p w14:paraId="05AB273D" w14:textId="77777777" w:rsidR="00606029" w:rsidRDefault="00EA5B92">
            <w:pPr>
              <w:adjustRightInd w:val="0"/>
              <w:snapToGrid w:val="0"/>
              <w:jc w:val="center"/>
            </w:pPr>
            <w:r>
              <w:t>28</w:t>
            </w:r>
          </w:p>
        </w:tc>
        <w:tc>
          <w:tcPr>
            <w:tcW w:w="1578" w:type="pct"/>
            <w:vAlign w:val="center"/>
          </w:tcPr>
          <w:p w14:paraId="120D0EC7" w14:textId="77777777" w:rsidR="00606029" w:rsidRDefault="00EA5B92">
            <w:pPr>
              <w:adjustRightInd w:val="0"/>
              <w:snapToGrid w:val="0"/>
              <w:jc w:val="center"/>
            </w:pPr>
            <w:r>
              <w:t>1</w:t>
            </w:r>
            <w:r>
              <w:t>，</w:t>
            </w:r>
            <w:r>
              <w:t>2</w:t>
            </w:r>
            <w:r>
              <w:t>－二氯苯</w:t>
            </w:r>
          </w:p>
        </w:tc>
        <w:tc>
          <w:tcPr>
            <w:tcW w:w="1144" w:type="pct"/>
            <w:vAlign w:val="center"/>
          </w:tcPr>
          <w:p w14:paraId="19FCA3F0" w14:textId="77777777" w:rsidR="00606029" w:rsidRDefault="00EA5B92">
            <w:pPr>
              <w:adjustRightInd w:val="0"/>
              <w:snapToGrid w:val="0"/>
              <w:jc w:val="center"/>
            </w:pPr>
            <w:r>
              <w:t>560</w:t>
            </w:r>
          </w:p>
        </w:tc>
        <w:tc>
          <w:tcPr>
            <w:tcW w:w="1138" w:type="pct"/>
            <w:vAlign w:val="center"/>
          </w:tcPr>
          <w:p w14:paraId="0C29F825" w14:textId="77777777" w:rsidR="00606029" w:rsidRDefault="00EA5B92">
            <w:pPr>
              <w:adjustRightInd w:val="0"/>
              <w:snapToGrid w:val="0"/>
              <w:jc w:val="center"/>
            </w:pPr>
            <w:r>
              <w:t>560</w:t>
            </w:r>
          </w:p>
        </w:tc>
      </w:tr>
      <w:tr w:rsidR="00606029" w14:paraId="54E7602F" w14:textId="77777777" w:rsidTr="00AD37EF">
        <w:trPr>
          <w:trHeight w:val="329"/>
        </w:trPr>
        <w:tc>
          <w:tcPr>
            <w:tcW w:w="1140" w:type="pct"/>
            <w:vAlign w:val="center"/>
          </w:tcPr>
          <w:p w14:paraId="38AB548D" w14:textId="77777777" w:rsidR="00606029" w:rsidRDefault="00EA5B92">
            <w:pPr>
              <w:adjustRightInd w:val="0"/>
              <w:snapToGrid w:val="0"/>
              <w:jc w:val="center"/>
            </w:pPr>
            <w:r>
              <w:t>29</w:t>
            </w:r>
          </w:p>
        </w:tc>
        <w:tc>
          <w:tcPr>
            <w:tcW w:w="1578" w:type="pct"/>
            <w:vAlign w:val="center"/>
          </w:tcPr>
          <w:p w14:paraId="1FD770C1" w14:textId="77777777" w:rsidR="00606029" w:rsidRDefault="00EA5B92">
            <w:pPr>
              <w:adjustRightInd w:val="0"/>
              <w:snapToGrid w:val="0"/>
              <w:jc w:val="center"/>
            </w:pPr>
            <w:r>
              <w:t>1</w:t>
            </w:r>
            <w:r>
              <w:t>，</w:t>
            </w:r>
            <w:r>
              <w:t>4</w:t>
            </w:r>
            <w:r>
              <w:t>－二氯苯</w:t>
            </w:r>
          </w:p>
        </w:tc>
        <w:tc>
          <w:tcPr>
            <w:tcW w:w="1144" w:type="pct"/>
            <w:vAlign w:val="center"/>
          </w:tcPr>
          <w:p w14:paraId="270D5330" w14:textId="77777777" w:rsidR="00606029" w:rsidRDefault="00EA5B92">
            <w:pPr>
              <w:adjustRightInd w:val="0"/>
              <w:snapToGrid w:val="0"/>
              <w:jc w:val="center"/>
            </w:pPr>
            <w:r>
              <w:t>20</w:t>
            </w:r>
          </w:p>
        </w:tc>
        <w:tc>
          <w:tcPr>
            <w:tcW w:w="1138" w:type="pct"/>
            <w:vAlign w:val="center"/>
          </w:tcPr>
          <w:p w14:paraId="453D1F52" w14:textId="77777777" w:rsidR="00606029" w:rsidRDefault="00EA5B92">
            <w:pPr>
              <w:adjustRightInd w:val="0"/>
              <w:snapToGrid w:val="0"/>
              <w:jc w:val="center"/>
            </w:pPr>
            <w:r>
              <w:t>200</w:t>
            </w:r>
          </w:p>
        </w:tc>
      </w:tr>
      <w:tr w:rsidR="00606029" w14:paraId="3707D11B" w14:textId="77777777" w:rsidTr="00AD37EF">
        <w:trPr>
          <w:trHeight w:val="329"/>
        </w:trPr>
        <w:tc>
          <w:tcPr>
            <w:tcW w:w="1140" w:type="pct"/>
            <w:vAlign w:val="center"/>
          </w:tcPr>
          <w:p w14:paraId="4B61CB48" w14:textId="77777777" w:rsidR="00606029" w:rsidRDefault="00EA5B92">
            <w:pPr>
              <w:adjustRightInd w:val="0"/>
              <w:snapToGrid w:val="0"/>
              <w:jc w:val="center"/>
            </w:pPr>
            <w:r>
              <w:t>30</w:t>
            </w:r>
          </w:p>
        </w:tc>
        <w:tc>
          <w:tcPr>
            <w:tcW w:w="1578" w:type="pct"/>
            <w:vAlign w:val="center"/>
          </w:tcPr>
          <w:p w14:paraId="01C06BB1" w14:textId="77777777" w:rsidR="00606029" w:rsidRDefault="00EA5B92">
            <w:pPr>
              <w:adjustRightInd w:val="0"/>
              <w:snapToGrid w:val="0"/>
              <w:jc w:val="center"/>
            </w:pPr>
            <w:r>
              <w:t>乙苯</w:t>
            </w:r>
          </w:p>
        </w:tc>
        <w:tc>
          <w:tcPr>
            <w:tcW w:w="1144" w:type="pct"/>
            <w:vAlign w:val="center"/>
          </w:tcPr>
          <w:p w14:paraId="4DF0134E" w14:textId="77777777" w:rsidR="00606029" w:rsidRDefault="00EA5B92">
            <w:pPr>
              <w:adjustRightInd w:val="0"/>
              <w:snapToGrid w:val="0"/>
              <w:jc w:val="center"/>
            </w:pPr>
            <w:r>
              <w:t>28</w:t>
            </w:r>
          </w:p>
        </w:tc>
        <w:tc>
          <w:tcPr>
            <w:tcW w:w="1138" w:type="pct"/>
            <w:vAlign w:val="center"/>
          </w:tcPr>
          <w:p w14:paraId="0E218569" w14:textId="77777777" w:rsidR="00606029" w:rsidRDefault="00EA5B92">
            <w:pPr>
              <w:adjustRightInd w:val="0"/>
              <w:snapToGrid w:val="0"/>
              <w:jc w:val="center"/>
            </w:pPr>
            <w:r>
              <w:t>280</w:t>
            </w:r>
          </w:p>
        </w:tc>
      </w:tr>
      <w:tr w:rsidR="00606029" w14:paraId="03F18BA0" w14:textId="77777777" w:rsidTr="00AD37EF">
        <w:trPr>
          <w:trHeight w:val="329"/>
        </w:trPr>
        <w:tc>
          <w:tcPr>
            <w:tcW w:w="1140" w:type="pct"/>
            <w:vAlign w:val="center"/>
          </w:tcPr>
          <w:p w14:paraId="41EDC8FB" w14:textId="77777777" w:rsidR="00606029" w:rsidRDefault="00EA5B92">
            <w:pPr>
              <w:adjustRightInd w:val="0"/>
              <w:snapToGrid w:val="0"/>
              <w:jc w:val="center"/>
            </w:pPr>
            <w:r>
              <w:t>31</w:t>
            </w:r>
          </w:p>
        </w:tc>
        <w:tc>
          <w:tcPr>
            <w:tcW w:w="1578" w:type="pct"/>
            <w:vAlign w:val="center"/>
          </w:tcPr>
          <w:p w14:paraId="5A442CA9" w14:textId="77777777" w:rsidR="00606029" w:rsidRDefault="00EA5B92">
            <w:pPr>
              <w:adjustRightInd w:val="0"/>
              <w:snapToGrid w:val="0"/>
              <w:jc w:val="center"/>
            </w:pPr>
            <w:r>
              <w:t>苯乙烯</w:t>
            </w:r>
          </w:p>
        </w:tc>
        <w:tc>
          <w:tcPr>
            <w:tcW w:w="1144" w:type="pct"/>
            <w:vAlign w:val="center"/>
          </w:tcPr>
          <w:p w14:paraId="04722351" w14:textId="77777777" w:rsidR="00606029" w:rsidRDefault="00EA5B92">
            <w:pPr>
              <w:adjustRightInd w:val="0"/>
              <w:snapToGrid w:val="0"/>
              <w:jc w:val="center"/>
            </w:pPr>
            <w:r>
              <w:t>1290</w:t>
            </w:r>
          </w:p>
        </w:tc>
        <w:tc>
          <w:tcPr>
            <w:tcW w:w="1138" w:type="pct"/>
            <w:vAlign w:val="center"/>
          </w:tcPr>
          <w:p w14:paraId="29C19EB0" w14:textId="77777777" w:rsidR="00606029" w:rsidRDefault="00EA5B92">
            <w:pPr>
              <w:adjustRightInd w:val="0"/>
              <w:snapToGrid w:val="0"/>
              <w:jc w:val="center"/>
            </w:pPr>
            <w:r>
              <w:t>1290</w:t>
            </w:r>
          </w:p>
        </w:tc>
      </w:tr>
      <w:tr w:rsidR="00606029" w14:paraId="0230B668" w14:textId="77777777" w:rsidTr="00AD37EF">
        <w:trPr>
          <w:trHeight w:val="329"/>
        </w:trPr>
        <w:tc>
          <w:tcPr>
            <w:tcW w:w="1140" w:type="pct"/>
            <w:vAlign w:val="center"/>
          </w:tcPr>
          <w:p w14:paraId="648629C0" w14:textId="77777777" w:rsidR="00606029" w:rsidRDefault="00EA5B92">
            <w:pPr>
              <w:adjustRightInd w:val="0"/>
              <w:snapToGrid w:val="0"/>
              <w:jc w:val="center"/>
            </w:pPr>
            <w:r>
              <w:t>32</w:t>
            </w:r>
          </w:p>
        </w:tc>
        <w:tc>
          <w:tcPr>
            <w:tcW w:w="1578" w:type="pct"/>
            <w:vAlign w:val="center"/>
          </w:tcPr>
          <w:p w14:paraId="09FCA689" w14:textId="77777777" w:rsidR="00606029" w:rsidRDefault="00EA5B92">
            <w:pPr>
              <w:adjustRightInd w:val="0"/>
              <w:snapToGrid w:val="0"/>
              <w:jc w:val="center"/>
            </w:pPr>
            <w:r>
              <w:t>甲苯</w:t>
            </w:r>
          </w:p>
        </w:tc>
        <w:tc>
          <w:tcPr>
            <w:tcW w:w="1144" w:type="pct"/>
            <w:vAlign w:val="center"/>
          </w:tcPr>
          <w:p w14:paraId="3C8D8BF1" w14:textId="77777777" w:rsidR="00606029" w:rsidRDefault="00EA5B92">
            <w:pPr>
              <w:adjustRightInd w:val="0"/>
              <w:snapToGrid w:val="0"/>
              <w:jc w:val="center"/>
            </w:pPr>
            <w:r>
              <w:t>1200</w:t>
            </w:r>
          </w:p>
        </w:tc>
        <w:tc>
          <w:tcPr>
            <w:tcW w:w="1138" w:type="pct"/>
            <w:vAlign w:val="center"/>
          </w:tcPr>
          <w:p w14:paraId="1D3E82E8" w14:textId="77777777" w:rsidR="00606029" w:rsidRDefault="00EA5B92">
            <w:pPr>
              <w:adjustRightInd w:val="0"/>
              <w:snapToGrid w:val="0"/>
              <w:jc w:val="center"/>
            </w:pPr>
            <w:r>
              <w:t>1200</w:t>
            </w:r>
          </w:p>
        </w:tc>
      </w:tr>
      <w:tr w:rsidR="00606029" w14:paraId="020C2E3E" w14:textId="77777777" w:rsidTr="00AD37EF">
        <w:trPr>
          <w:trHeight w:val="329"/>
        </w:trPr>
        <w:tc>
          <w:tcPr>
            <w:tcW w:w="1140" w:type="pct"/>
            <w:vAlign w:val="center"/>
          </w:tcPr>
          <w:p w14:paraId="21D26922" w14:textId="77777777" w:rsidR="00606029" w:rsidRDefault="00EA5B92">
            <w:pPr>
              <w:adjustRightInd w:val="0"/>
              <w:snapToGrid w:val="0"/>
              <w:jc w:val="center"/>
            </w:pPr>
            <w:r>
              <w:t>33</w:t>
            </w:r>
          </w:p>
        </w:tc>
        <w:tc>
          <w:tcPr>
            <w:tcW w:w="1578" w:type="pct"/>
            <w:vAlign w:val="center"/>
          </w:tcPr>
          <w:p w14:paraId="2017FD6B" w14:textId="77777777" w:rsidR="00606029" w:rsidRDefault="00EA5B92">
            <w:pPr>
              <w:adjustRightInd w:val="0"/>
              <w:snapToGrid w:val="0"/>
              <w:jc w:val="center"/>
            </w:pPr>
            <w:r>
              <w:t>间二甲苯</w:t>
            </w:r>
            <w:r>
              <w:t>+</w:t>
            </w:r>
            <w:r>
              <w:t>对二甲苯</w:t>
            </w:r>
          </w:p>
        </w:tc>
        <w:tc>
          <w:tcPr>
            <w:tcW w:w="1144" w:type="pct"/>
            <w:vAlign w:val="center"/>
          </w:tcPr>
          <w:p w14:paraId="5361C7F6" w14:textId="77777777" w:rsidR="00606029" w:rsidRDefault="00EA5B92">
            <w:pPr>
              <w:adjustRightInd w:val="0"/>
              <w:snapToGrid w:val="0"/>
              <w:jc w:val="center"/>
            </w:pPr>
            <w:r>
              <w:t>570</w:t>
            </w:r>
          </w:p>
        </w:tc>
        <w:tc>
          <w:tcPr>
            <w:tcW w:w="1138" w:type="pct"/>
            <w:vAlign w:val="center"/>
          </w:tcPr>
          <w:p w14:paraId="69411D41" w14:textId="77777777" w:rsidR="00606029" w:rsidRDefault="00EA5B92">
            <w:pPr>
              <w:adjustRightInd w:val="0"/>
              <w:snapToGrid w:val="0"/>
              <w:jc w:val="center"/>
            </w:pPr>
            <w:r>
              <w:t>570</w:t>
            </w:r>
          </w:p>
        </w:tc>
      </w:tr>
      <w:tr w:rsidR="00606029" w14:paraId="7534439C" w14:textId="77777777" w:rsidTr="00AD37EF">
        <w:trPr>
          <w:trHeight w:val="329"/>
        </w:trPr>
        <w:tc>
          <w:tcPr>
            <w:tcW w:w="1140" w:type="pct"/>
            <w:vAlign w:val="center"/>
          </w:tcPr>
          <w:p w14:paraId="2856BC05" w14:textId="77777777" w:rsidR="00606029" w:rsidRDefault="00EA5B92">
            <w:pPr>
              <w:adjustRightInd w:val="0"/>
              <w:snapToGrid w:val="0"/>
              <w:jc w:val="center"/>
            </w:pPr>
            <w:r>
              <w:t>34</w:t>
            </w:r>
          </w:p>
        </w:tc>
        <w:tc>
          <w:tcPr>
            <w:tcW w:w="1578" w:type="pct"/>
            <w:vAlign w:val="center"/>
          </w:tcPr>
          <w:p w14:paraId="2277C7D7" w14:textId="77777777" w:rsidR="00606029" w:rsidRDefault="00EA5B92">
            <w:pPr>
              <w:adjustRightInd w:val="0"/>
              <w:snapToGrid w:val="0"/>
              <w:jc w:val="center"/>
            </w:pPr>
            <w:r>
              <w:t>邻二甲苯</w:t>
            </w:r>
          </w:p>
        </w:tc>
        <w:tc>
          <w:tcPr>
            <w:tcW w:w="1144" w:type="pct"/>
            <w:vAlign w:val="center"/>
          </w:tcPr>
          <w:p w14:paraId="683A3A2D" w14:textId="77777777" w:rsidR="00606029" w:rsidRDefault="00EA5B92">
            <w:pPr>
              <w:adjustRightInd w:val="0"/>
              <w:snapToGrid w:val="0"/>
              <w:jc w:val="center"/>
            </w:pPr>
            <w:r>
              <w:t>640</w:t>
            </w:r>
          </w:p>
        </w:tc>
        <w:tc>
          <w:tcPr>
            <w:tcW w:w="1138" w:type="pct"/>
            <w:vAlign w:val="center"/>
          </w:tcPr>
          <w:p w14:paraId="1CD6BD98" w14:textId="77777777" w:rsidR="00606029" w:rsidRDefault="00EA5B92">
            <w:pPr>
              <w:adjustRightInd w:val="0"/>
              <w:snapToGrid w:val="0"/>
              <w:jc w:val="center"/>
            </w:pPr>
            <w:r>
              <w:t>640</w:t>
            </w:r>
          </w:p>
        </w:tc>
      </w:tr>
      <w:tr w:rsidR="00606029" w14:paraId="7719330D" w14:textId="77777777">
        <w:trPr>
          <w:trHeight w:val="329"/>
        </w:trPr>
        <w:tc>
          <w:tcPr>
            <w:tcW w:w="5000" w:type="pct"/>
            <w:gridSpan w:val="4"/>
            <w:vAlign w:val="center"/>
          </w:tcPr>
          <w:p w14:paraId="7112BE3E" w14:textId="77777777" w:rsidR="00606029" w:rsidRDefault="00EA5B92">
            <w:pPr>
              <w:adjustRightInd w:val="0"/>
              <w:snapToGrid w:val="0"/>
              <w:jc w:val="left"/>
            </w:pPr>
            <w:r>
              <w:t>半挥发性有机物</w:t>
            </w:r>
          </w:p>
        </w:tc>
      </w:tr>
      <w:tr w:rsidR="00606029" w14:paraId="5B3DF1D2" w14:textId="77777777" w:rsidTr="00AD37EF">
        <w:trPr>
          <w:trHeight w:val="329"/>
        </w:trPr>
        <w:tc>
          <w:tcPr>
            <w:tcW w:w="1140" w:type="pct"/>
            <w:vAlign w:val="center"/>
          </w:tcPr>
          <w:p w14:paraId="1CC87488" w14:textId="77777777" w:rsidR="00606029" w:rsidRDefault="00EA5B92">
            <w:pPr>
              <w:adjustRightInd w:val="0"/>
              <w:snapToGrid w:val="0"/>
              <w:jc w:val="center"/>
            </w:pPr>
            <w:r>
              <w:t>35</w:t>
            </w:r>
          </w:p>
        </w:tc>
        <w:tc>
          <w:tcPr>
            <w:tcW w:w="1578" w:type="pct"/>
            <w:vAlign w:val="center"/>
          </w:tcPr>
          <w:p w14:paraId="512B5428" w14:textId="77777777" w:rsidR="00606029" w:rsidRDefault="00EA5B92">
            <w:pPr>
              <w:adjustRightInd w:val="0"/>
              <w:snapToGrid w:val="0"/>
              <w:jc w:val="center"/>
            </w:pPr>
            <w:r>
              <w:t>硝基苯</w:t>
            </w:r>
          </w:p>
        </w:tc>
        <w:tc>
          <w:tcPr>
            <w:tcW w:w="1144" w:type="pct"/>
            <w:vAlign w:val="center"/>
          </w:tcPr>
          <w:p w14:paraId="064858B4" w14:textId="77777777" w:rsidR="00606029" w:rsidRDefault="00EA5B92">
            <w:pPr>
              <w:adjustRightInd w:val="0"/>
              <w:snapToGrid w:val="0"/>
              <w:jc w:val="center"/>
            </w:pPr>
            <w:r>
              <w:t>76</w:t>
            </w:r>
          </w:p>
        </w:tc>
        <w:tc>
          <w:tcPr>
            <w:tcW w:w="1138" w:type="pct"/>
            <w:vAlign w:val="center"/>
          </w:tcPr>
          <w:p w14:paraId="207FA086" w14:textId="77777777" w:rsidR="00606029" w:rsidRDefault="00EA5B92">
            <w:pPr>
              <w:adjustRightInd w:val="0"/>
              <w:snapToGrid w:val="0"/>
              <w:jc w:val="center"/>
            </w:pPr>
            <w:r>
              <w:t>760</w:t>
            </w:r>
          </w:p>
        </w:tc>
      </w:tr>
      <w:tr w:rsidR="00606029" w14:paraId="176DCCC0" w14:textId="77777777" w:rsidTr="00AD37EF">
        <w:trPr>
          <w:trHeight w:val="329"/>
        </w:trPr>
        <w:tc>
          <w:tcPr>
            <w:tcW w:w="1140" w:type="pct"/>
            <w:vAlign w:val="center"/>
          </w:tcPr>
          <w:p w14:paraId="7272E784" w14:textId="77777777" w:rsidR="00606029" w:rsidRDefault="00EA5B92">
            <w:pPr>
              <w:adjustRightInd w:val="0"/>
              <w:snapToGrid w:val="0"/>
              <w:jc w:val="center"/>
            </w:pPr>
            <w:r>
              <w:t>36</w:t>
            </w:r>
          </w:p>
        </w:tc>
        <w:tc>
          <w:tcPr>
            <w:tcW w:w="1578" w:type="pct"/>
            <w:vAlign w:val="center"/>
          </w:tcPr>
          <w:p w14:paraId="3D28B82D" w14:textId="77777777" w:rsidR="00606029" w:rsidRDefault="00EA5B92">
            <w:pPr>
              <w:adjustRightInd w:val="0"/>
              <w:snapToGrid w:val="0"/>
              <w:jc w:val="center"/>
            </w:pPr>
            <w:r>
              <w:t>苯胺</w:t>
            </w:r>
          </w:p>
        </w:tc>
        <w:tc>
          <w:tcPr>
            <w:tcW w:w="1144" w:type="pct"/>
            <w:vAlign w:val="center"/>
          </w:tcPr>
          <w:p w14:paraId="5E2E6EB0" w14:textId="77777777" w:rsidR="00606029" w:rsidRDefault="00EA5B92">
            <w:pPr>
              <w:adjustRightInd w:val="0"/>
              <w:snapToGrid w:val="0"/>
              <w:jc w:val="center"/>
            </w:pPr>
            <w:r>
              <w:t>260</w:t>
            </w:r>
          </w:p>
        </w:tc>
        <w:tc>
          <w:tcPr>
            <w:tcW w:w="1138" w:type="pct"/>
            <w:vAlign w:val="center"/>
          </w:tcPr>
          <w:p w14:paraId="365935B2" w14:textId="77777777" w:rsidR="00606029" w:rsidRDefault="00EA5B92">
            <w:pPr>
              <w:adjustRightInd w:val="0"/>
              <w:snapToGrid w:val="0"/>
              <w:jc w:val="center"/>
            </w:pPr>
            <w:r>
              <w:t>663</w:t>
            </w:r>
          </w:p>
        </w:tc>
      </w:tr>
      <w:tr w:rsidR="00606029" w14:paraId="5324AEF5" w14:textId="77777777" w:rsidTr="00AD37EF">
        <w:trPr>
          <w:trHeight w:val="329"/>
        </w:trPr>
        <w:tc>
          <w:tcPr>
            <w:tcW w:w="1140" w:type="pct"/>
            <w:vAlign w:val="center"/>
          </w:tcPr>
          <w:p w14:paraId="6A54A87B" w14:textId="77777777" w:rsidR="00606029" w:rsidRDefault="00EA5B92">
            <w:pPr>
              <w:adjustRightInd w:val="0"/>
              <w:snapToGrid w:val="0"/>
              <w:jc w:val="center"/>
            </w:pPr>
            <w:r>
              <w:t>37</w:t>
            </w:r>
          </w:p>
        </w:tc>
        <w:tc>
          <w:tcPr>
            <w:tcW w:w="1578" w:type="pct"/>
            <w:vAlign w:val="center"/>
          </w:tcPr>
          <w:p w14:paraId="4CD06281" w14:textId="77777777" w:rsidR="00606029" w:rsidRDefault="00EA5B92">
            <w:pPr>
              <w:adjustRightInd w:val="0"/>
              <w:snapToGrid w:val="0"/>
              <w:jc w:val="center"/>
            </w:pPr>
            <w:r>
              <w:t>2</w:t>
            </w:r>
            <w:r>
              <w:t>－氯酚</w:t>
            </w:r>
          </w:p>
        </w:tc>
        <w:tc>
          <w:tcPr>
            <w:tcW w:w="1144" w:type="pct"/>
            <w:vAlign w:val="center"/>
          </w:tcPr>
          <w:p w14:paraId="715FD750" w14:textId="77777777" w:rsidR="00606029" w:rsidRDefault="00EA5B92">
            <w:pPr>
              <w:adjustRightInd w:val="0"/>
              <w:snapToGrid w:val="0"/>
              <w:jc w:val="center"/>
            </w:pPr>
            <w:r>
              <w:t>2256</w:t>
            </w:r>
          </w:p>
        </w:tc>
        <w:tc>
          <w:tcPr>
            <w:tcW w:w="1138" w:type="pct"/>
            <w:vAlign w:val="center"/>
          </w:tcPr>
          <w:p w14:paraId="04D3F9D9" w14:textId="77777777" w:rsidR="00606029" w:rsidRDefault="00EA5B92">
            <w:pPr>
              <w:adjustRightInd w:val="0"/>
              <w:snapToGrid w:val="0"/>
              <w:jc w:val="center"/>
            </w:pPr>
            <w:r>
              <w:t>4500</w:t>
            </w:r>
          </w:p>
        </w:tc>
      </w:tr>
      <w:tr w:rsidR="00606029" w14:paraId="59122B28" w14:textId="77777777" w:rsidTr="00AD37EF">
        <w:trPr>
          <w:trHeight w:val="329"/>
        </w:trPr>
        <w:tc>
          <w:tcPr>
            <w:tcW w:w="1140" w:type="pct"/>
            <w:vAlign w:val="center"/>
          </w:tcPr>
          <w:p w14:paraId="4158BE87" w14:textId="77777777" w:rsidR="00606029" w:rsidRDefault="00EA5B92">
            <w:pPr>
              <w:adjustRightInd w:val="0"/>
              <w:snapToGrid w:val="0"/>
              <w:jc w:val="center"/>
            </w:pPr>
            <w:r>
              <w:t>38</w:t>
            </w:r>
          </w:p>
        </w:tc>
        <w:tc>
          <w:tcPr>
            <w:tcW w:w="1578" w:type="pct"/>
            <w:vAlign w:val="center"/>
          </w:tcPr>
          <w:p w14:paraId="04920C80" w14:textId="77777777" w:rsidR="00606029" w:rsidRDefault="00EA5B92">
            <w:pPr>
              <w:adjustRightInd w:val="0"/>
              <w:snapToGrid w:val="0"/>
              <w:jc w:val="center"/>
            </w:pPr>
            <w:r>
              <w:t>苯并</w:t>
            </w:r>
            <w:r>
              <w:t xml:space="preserve">[a] </w:t>
            </w:r>
            <w:r>
              <w:t>蒽</w:t>
            </w:r>
          </w:p>
        </w:tc>
        <w:tc>
          <w:tcPr>
            <w:tcW w:w="1144" w:type="pct"/>
            <w:vAlign w:val="center"/>
          </w:tcPr>
          <w:p w14:paraId="71F63A9A" w14:textId="77777777" w:rsidR="00606029" w:rsidRDefault="00EA5B92">
            <w:pPr>
              <w:adjustRightInd w:val="0"/>
              <w:snapToGrid w:val="0"/>
              <w:jc w:val="center"/>
            </w:pPr>
            <w:r>
              <w:t>15</w:t>
            </w:r>
          </w:p>
        </w:tc>
        <w:tc>
          <w:tcPr>
            <w:tcW w:w="1138" w:type="pct"/>
            <w:vAlign w:val="center"/>
          </w:tcPr>
          <w:p w14:paraId="0E331751" w14:textId="77777777" w:rsidR="00606029" w:rsidRDefault="00EA5B92">
            <w:pPr>
              <w:adjustRightInd w:val="0"/>
              <w:snapToGrid w:val="0"/>
              <w:jc w:val="center"/>
            </w:pPr>
            <w:r>
              <w:t>151</w:t>
            </w:r>
          </w:p>
        </w:tc>
      </w:tr>
      <w:tr w:rsidR="00606029" w14:paraId="4DE84648" w14:textId="77777777" w:rsidTr="00AD37EF">
        <w:trPr>
          <w:trHeight w:val="329"/>
        </w:trPr>
        <w:tc>
          <w:tcPr>
            <w:tcW w:w="1140" w:type="pct"/>
            <w:vAlign w:val="center"/>
          </w:tcPr>
          <w:p w14:paraId="290E883B" w14:textId="77777777" w:rsidR="00606029" w:rsidRDefault="00EA5B92">
            <w:pPr>
              <w:adjustRightInd w:val="0"/>
              <w:snapToGrid w:val="0"/>
              <w:jc w:val="center"/>
            </w:pPr>
            <w:r>
              <w:t>39</w:t>
            </w:r>
          </w:p>
        </w:tc>
        <w:tc>
          <w:tcPr>
            <w:tcW w:w="1578" w:type="pct"/>
            <w:vAlign w:val="center"/>
          </w:tcPr>
          <w:p w14:paraId="2D8D0C16" w14:textId="77777777" w:rsidR="00606029" w:rsidRDefault="00EA5B92">
            <w:pPr>
              <w:adjustRightInd w:val="0"/>
              <w:snapToGrid w:val="0"/>
              <w:jc w:val="center"/>
            </w:pPr>
            <w:r>
              <w:t>苯并</w:t>
            </w:r>
            <w:r>
              <w:t xml:space="preserve">[a] </w:t>
            </w:r>
            <w:r>
              <w:t>芘</w:t>
            </w:r>
          </w:p>
        </w:tc>
        <w:tc>
          <w:tcPr>
            <w:tcW w:w="1144" w:type="pct"/>
            <w:vAlign w:val="center"/>
          </w:tcPr>
          <w:p w14:paraId="17157ADE" w14:textId="77777777" w:rsidR="00606029" w:rsidRDefault="00EA5B92">
            <w:pPr>
              <w:adjustRightInd w:val="0"/>
              <w:snapToGrid w:val="0"/>
              <w:jc w:val="center"/>
            </w:pPr>
            <w:r>
              <w:t>1.5</w:t>
            </w:r>
          </w:p>
        </w:tc>
        <w:tc>
          <w:tcPr>
            <w:tcW w:w="1138" w:type="pct"/>
            <w:vAlign w:val="center"/>
          </w:tcPr>
          <w:p w14:paraId="2E174614" w14:textId="77777777" w:rsidR="00606029" w:rsidRDefault="00EA5B92">
            <w:pPr>
              <w:adjustRightInd w:val="0"/>
              <w:snapToGrid w:val="0"/>
              <w:jc w:val="center"/>
            </w:pPr>
            <w:r>
              <w:t>15</w:t>
            </w:r>
          </w:p>
        </w:tc>
      </w:tr>
      <w:tr w:rsidR="00606029" w14:paraId="2492BD08" w14:textId="77777777" w:rsidTr="00AD37EF">
        <w:trPr>
          <w:trHeight w:val="329"/>
        </w:trPr>
        <w:tc>
          <w:tcPr>
            <w:tcW w:w="1140" w:type="pct"/>
            <w:vAlign w:val="center"/>
          </w:tcPr>
          <w:p w14:paraId="62DD09E7" w14:textId="77777777" w:rsidR="00606029" w:rsidRDefault="00EA5B92">
            <w:pPr>
              <w:adjustRightInd w:val="0"/>
              <w:snapToGrid w:val="0"/>
              <w:jc w:val="center"/>
            </w:pPr>
            <w:r>
              <w:t>40</w:t>
            </w:r>
          </w:p>
        </w:tc>
        <w:tc>
          <w:tcPr>
            <w:tcW w:w="1578" w:type="pct"/>
            <w:vAlign w:val="center"/>
          </w:tcPr>
          <w:p w14:paraId="54D1C346" w14:textId="77777777" w:rsidR="00606029" w:rsidRDefault="00EA5B92">
            <w:pPr>
              <w:adjustRightInd w:val="0"/>
              <w:snapToGrid w:val="0"/>
              <w:jc w:val="center"/>
            </w:pPr>
            <w:r>
              <w:t>苯并</w:t>
            </w:r>
            <w:r>
              <w:t xml:space="preserve">[b] </w:t>
            </w:r>
            <w:r>
              <w:t>荧蒽</w:t>
            </w:r>
          </w:p>
        </w:tc>
        <w:tc>
          <w:tcPr>
            <w:tcW w:w="1144" w:type="pct"/>
            <w:vAlign w:val="center"/>
          </w:tcPr>
          <w:p w14:paraId="0E3D44E7" w14:textId="77777777" w:rsidR="00606029" w:rsidRDefault="00EA5B92">
            <w:pPr>
              <w:adjustRightInd w:val="0"/>
              <w:snapToGrid w:val="0"/>
              <w:jc w:val="center"/>
            </w:pPr>
            <w:r>
              <w:t>15</w:t>
            </w:r>
          </w:p>
        </w:tc>
        <w:tc>
          <w:tcPr>
            <w:tcW w:w="1138" w:type="pct"/>
            <w:vAlign w:val="center"/>
          </w:tcPr>
          <w:p w14:paraId="5F88F7AE" w14:textId="77777777" w:rsidR="00606029" w:rsidRDefault="00EA5B92">
            <w:pPr>
              <w:adjustRightInd w:val="0"/>
              <w:snapToGrid w:val="0"/>
              <w:jc w:val="center"/>
            </w:pPr>
            <w:r>
              <w:t>151</w:t>
            </w:r>
          </w:p>
        </w:tc>
      </w:tr>
      <w:tr w:rsidR="00606029" w14:paraId="223A42D8" w14:textId="77777777" w:rsidTr="00AD37EF">
        <w:trPr>
          <w:trHeight w:val="329"/>
        </w:trPr>
        <w:tc>
          <w:tcPr>
            <w:tcW w:w="1140" w:type="pct"/>
            <w:vAlign w:val="center"/>
          </w:tcPr>
          <w:p w14:paraId="2C6AA82F" w14:textId="77777777" w:rsidR="00606029" w:rsidRDefault="00EA5B92">
            <w:pPr>
              <w:adjustRightInd w:val="0"/>
              <w:snapToGrid w:val="0"/>
              <w:jc w:val="center"/>
            </w:pPr>
            <w:r>
              <w:t>41</w:t>
            </w:r>
          </w:p>
        </w:tc>
        <w:tc>
          <w:tcPr>
            <w:tcW w:w="1578" w:type="pct"/>
            <w:vAlign w:val="center"/>
          </w:tcPr>
          <w:p w14:paraId="12C2E978" w14:textId="77777777" w:rsidR="00606029" w:rsidRDefault="00EA5B92">
            <w:pPr>
              <w:adjustRightInd w:val="0"/>
              <w:snapToGrid w:val="0"/>
              <w:jc w:val="center"/>
            </w:pPr>
            <w:r>
              <w:t>苯并</w:t>
            </w:r>
            <w:r>
              <w:t xml:space="preserve">[k] </w:t>
            </w:r>
            <w:r>
              <w:t>荧蒽</w:t>
            </w:r>
          </w:p>
        </w:tc>
        <w:tc>
          <w:tcPr>
            <w:tcW w:w="1144" w:type="pct"/>
            <w:vAlign w:val="center"/>
          </w:tcPr>
          <w:p w14:paraId="5A8364A1" w14:textId="77777777" w:rsidR="00606029" w:rsidRDefault="00EA5B92">
            <w:pPr>
              <w:adjustRightInd w:val="0"/>
              <w:snapToGrid w:val="0"/>
              <w:jc w:val="center"/>
            </w:pPr>
            <w:r>
              <w:t>151</w:t>
            </w:r>
          </w:p>
        </w:tc>
        <w:tc>
          <w:tcPr>
            <w:tcW w:w="1138" w:type="pct"/>
            <w:vAlign w:val="center"/>
          </w:tcPr>
          <w:p w14:paraId="7DB84BA0" w14:textId="77777777" w:rsidR="00606029" w:rsidRDefault="00EA5B92">
            <w:pPr>
              <w:adjustRightInd w:val="0"/>
              <w:snapToGrid w:val="0"/>
              <w:jc w:val="center"/>
            </w:pPr>
            <w:r>
              <w:t>1500</w:t>
            </w:r>
          </w:p>
        </w:tc>
      </w:tr>
      <w:tr w:rsidR="00606029" w14:paraId="127197A1" w14:textId="77777777" w:rsidTr="00AD37EF">
        <w:trPr>
          <w:trHeight w:val="329"/>
        </w:trPr>
        <w:tc>
          <w:tcPr>
            <w:tcW w:w="1140" w:type="pct"/>
            <w:vAlign w:val="center"/>
          </w:tcPr>
          <w:p w14:paraId="30232CEA" w14:textId="77777777" w:rsidR="00606029" w:rsidRDefault="00EA5B92">
            <w:pPr>
              <w:adjustRightInd w:val="0"/>
              <w:snapToGrid w:val="0"/>
              <w:jc w:val="center"/>
            </w:pPr>
            <w:r>
              <w:t>42</w:t>
            </w:r>
          </w:p>
        </w:tc>
        <w:tc>
          <w:tcPr>
            <w:tcW w:w="1578" w:type="pct"/>
            <w:vAlign w:val="center"/>
          </w:tcPr>
          <w:p w14:paraId="507EDBAF" w14:textId="77777777" w:rsidR="00606029" w:rsidRDefault="00EA5B92">
            <w:pPr>
              <w:adjustRightInd w:val="0"/>
              <w:snapToGrid w:val="0"/>
              <w:jc w:val="center"/>
            </w:pPr>
            <w:r>
              <w:t>䓛</w:t>
            </w:r>
          </w:p>
        </w:tc>
        <w:tc>
          <w:tcPr>
            <w:tcW w:w="1144" w:type="pct"/>
            <w:vAlign w:val="center"/>
          </w:tcPr>
          <w:p w14:paraId="2DBE97C6" w14:textId="77777777" w:rsidR="00606029" w:rsidRDefault="00EA5B92">
            <w:pPr>
              <w:adjustRightInd w:val="0"/>
              <w:snapToGrid w:val="0"/>
              <w:jc w:val="center"/>
            </w:pPr>
            <w:r>
              <w:t>1293</w:t>
            </w:r>
          </w:p>
        </w:tc>
        <w:tc>
          <w:tcPr>
            <w:tcW w:w="1138" w:type="pct"/>
            <w:vAlign w:val="center"/>
          </w:tcPr>
          <w:p w14:paraId="03D1608C" w14:textId="77777777" w:rsidR="00606029" w:rsidRDefault="00EA5B92">
            <w:pPr>
              <w:adjustRightInd w:val="0"/>
              <w:snapToGrid w:val="0"/>
              <w:jc w:val="center"/>
            </w:pPr>
            <w:r>
              <w:t>12900</w:t>
            </w:r>
          </w:p>
        </w:tc>
      </w:tr>
      <w:tr w:rsidR="00606029" w14:paraId="7B004B04" w14:textId="77777777" w:rsidTr="00AD37EF">
        <w:trPr>
          <w:trHeight w:val="329"/>
        </w:trPr>
        <w:tc>
          <w:tcPr>
            <w:tcW w:w="1140" w:type="pct"/>
            <w:vAlign w:val="center"/>
          </w:tcPr>
          <w:p w14:paraId="2AD2BAE1" w14:textId="77777777" w:rsidR="00606029" w:rsidRDefault="00EA5B92">
            <w:pPr>
              <w:adjustRightInd w:val="0"/>
              <w:snapToGrid w:val="0"/>
              <w:jc w:val="center"/>
            </w:pPr>
            <w:r>
              <w:t>43</w:t>
            </w:r>
          </w:p>
        </w:tc>
        <w:tc>
          <w:tcPr>
            <w:tcW w:w="1578" w:type="pct"/>
            <w:vAlign w:val="center"/>
          </w:tcPr>
          <w:p w14:paraId="715816D6" w14:textId="77777777" w:rsidR="00606029" w:rsidRDefault="00EA5B92">
            <w:pPr>
              <w:adjustRightInd w:val="0"/>
              <w:snapToGrid w:val="0"/>
              <w:jc w:val="center"/>
            </w:pPr>
            <w:r>
              <w:t>二苯并</w:t>
            </w:r>
            <w:r>
              <w:t>[a</w:t>
            </w:r>
            <w:r>
              <w:t>，</w:t>
            </w:r>
            <w:r>
              <w:t xml:space="preserve">h] </w:t>
            </w:r>
            <w:r>
              <w:t>蒽</w:t>
            </w:r>
          </w:p>
        </w:tc>
        <w:tc>
          <w:tcPr>
            <w:tcW w:w="1144" w:type="pct"/>
            <w:vAlign w:val="center"/>
          </w:tcPr>
          <w:p w14:paraId="5B710C6C" w14:textId="77777777" w:rsidR="00606029" w:rsidRDefault="00EA5B92">
            <w:pPr>
              <w:adjustRightInd w:val="0"/>
              <w:snapToGrid w:val="0"/>
              <w:jc w:val="center"/>
            </w:pPr>
            <w:r>
              <w:t>1.5</w:t>
            </w:r>
          </w:p>
        </w:tc>
        <w:tc>
          <w:tcPr>
            <w:tcW w:w="1138" w:type="pct"/>
            <w:vAlign w:val="center"/>
          </w:tcPr>
          <w:p w14:paraId="1AF66EAB" w14:textId="77777777" w:rsidR="00606029" w:rsidRDefault="00EA5B92">
            <w:pPr>
              <w:adjustRightInd w:val="0"/>
              <w:snapToGrid w:val="0"/>
              <w:jc w:val="center"/>
            </w:pPr>
            <w:r>
              <w:t>15</w:t>
            </w:r>
          </w:p>
        </w:tc>
      </w:tr>
      <w:tr w:rsidR="00606029" w14:paraId="348DBB13" w14:textId="77777777" w:rsidTr="00AD37EF">
        <w:trPr>
          <w:trHeight w:val="329"/>
        </w:trPr>
        <w:tc>
          <w:tcPr>
            <w:tcW w:w="1140" w:type="pct"/>
            <w:vAlign w:val="center"/>
          </w:tcPr>
          <w:p w14:paraId="554AE1CC" w14:textId="77777777" w:rsidR="00606029" w:rsidRDefault="00EA5B92">
            <w:pPr>
              <w:adjustRightInd w:val="0"/>
              <w:snapToGrid w:val="0"/>
              <w:jc w:val="center"/>
            </w:pPr>
            <w:r>
              <w:t>44</w:t>
            </w:r>
          </w:p>
        </w:tc>
        <w:tc>
          <w:tcPr>
            <w:tcW w:w="1578" w:type="pct"/>
            <w:vAlign w:val="center"/>
          </w:tcPr>
          <w:p w14:paraId="34C52700" w14:textId="77777777" w:rsidR="00606029" w:rsidRDefault="00EA5B92">
            <w:pPr>
              <w:adjustRightInd w:val="0"/>
              <w:snapToGrid w:val="0"/>
              <w:jc w:val="center"/>
            </w:pPr>
            <w:r>
              <w:t>茚并</w:t>
            </w:r>
            <w:r>
              <w:t>[1</w:t>
            </w:r>
            <w:r>
              <w:t>，</w:t>
            </w:r>
            <w:r>
              <w:t>2</w:t>
            </w:r>
            <w:r>
              <w:t>，</w:t>
            </w:r>
            <w:r>
              <w:t xml:space="preserve">3-cd] </w:t>
            </w:r>
            <w:r>
              <w:t>芘</w:t>
            </w:r>
          </w:p>
        </w:tc>
        <w:tc>
          <w:tcPr>
            <w:tcW w:w="1144" w:type="pct"/>
            <w:vAlign w:val="center"/>
          </w:tcPr>
          <w:p w14:paraId="0A760751" w14:textId="77777777" w:rsidR="00606029" w:rsidRDefault="00EA5B92">
            <w:pPr>
              <w:adjustRightInd w:val="0"/>
              <w:snapToGrid w:val="0"/>
              <w:jc w:val="center"/>
            </w:pPr>
            <w:r>
              <w:t>15</w:t>
            </w:r>
          </w:p>
        </w:tc>
        <w:tc>
          <w:tcPr>
            <w:tcW w:w="1138" w:type="pct"/>
            <w:vAlign w:val="center"/>
          </w:tcPr>
          <w:p w14:paraId="6D035982" w14:textId="77777777" w:rsidR="00606029" w:rsidRDefault="00EA5B92">
            <w:pPr>
              <w:adjustRightInd w:val="0"/>
              <w:snapToGrid w:val="0"/>
              <w:jc w:val="center"/>
            </w:pPr>
            <w:r>
              <w:t>151</w:t>
            </w:r>
          </w:p>
        </w:tc>
      </w:tr>
      <w:tr w:rsidR="00606029" w14:paraId="35E3E53E" w14:textId="77777777" w:rsidTr="00AD37EF">
        <w:trPr>
          <w:trHeight w:val="329"/>
        </w:trPr>
        <w:tc>
          <w:tcPr>
            <w:tcW w:w="1140" w:type="pct"/>
            <w:vAlign w:val="center"/>
          </w:tcPr>
          <w:p w14:paraId="3C4EA2A4" w14:textId="77777777" w:rsidR="00606029" w:rsidRDefault="00EA5B92">
            <w:pPr>
              <w:adjustRightInd w:val="0"/>
              <w:snapToGrid w:val="0"/>
              <w:jc w:val="center"/>
            </w:pPr>
            <w:r>
              <w:t>45</w:t>
            </w:r>
          </w:p>
        </w:tc>
        <w:tc>
          <w:tcPr>
            <w:tcW w:w="1578" w:type="pct"/>
            <w:vAlign w:val="center"/>
          </w:tcPr>
          <w:p w14:paraId="2FC24625" w14:textId="77777777" w:rsidR="00606029" w:rsidRDefault="00EA5B92">
            <w:pPr>
              <w:adjustRightInd w:val="0"/>
              <w:snapToGrid w:val="0"/>
              <w:jc w:val="center"/>
            </w:pPr>
            <w:r>
              <w:t>萘</w:t>
            </w:r>
          </w:p>
        </w:tc>
        <w:tc>
          <w:tcPr>
            <w:tcW w:w="1144" w:type="pct"/>
            <w:vAlign w:val="center"/>
          </w:tcPr>
          <w:p w14:paraId="4B09C7BE" w14:textId="77777777" w:rsidR="00606029" w:rsidRDefault="00EA5B92">
            <w:pPr>
              <w:adjustRightInd w:val="0"/>
              <w:snapToGrid w:val="0"/>
              <w:jc w:val="center"/>
            </w:pPr>
            <w:r>
              <w:t>70</w:t>
            </w:r>
          </w:p>
        </w:tc>
        <w:tc>
          <w:tcPr>
            <w:tcW w:w="1138" w:type="pct"/>
            <w:vAlign w:val="center"/>
          </w:tcPr>
          <w:p w14:paraId="514096BE" w14:textId="77777777" w:rsidR="00606029" w:rsidRDefault="00EA5B92">
            <w:pPr>
              <w:adjustRightInd w:val="0"/>
              <w:snapToGrid w:val="0"/>
              <w:jc w:val="center"/>
            </w:pPr>
            <w:r>
              <w:t>700</w:t>
            </w:r>
          </w:p>
        </w:tc>
      </w:tr>
    </w:tbl>
    <w:p w14:paraId="2C142446" w14:textId="77777777" w:rsidR="00606029" w:rsidRDefault="00EA5B92">
      <w:pPr>
        <w:spacing w:beforeLines="50" w:before="120"/>
        <w:jc w:val="center"/>
        <w:rPr>
          <w:b/>
          <w:szCs w:val="22"/>
        </w:rPr>
      </w:pPr>
      <w:r>
        <w:rPr>
          <w:b/>
          <w:szCs w:val="22"/>
        </w:rPr>
        <w:t>表</w:t>
      </w:r>
      <w:r>
        <w:rPr>
          <w:b/>
          <w:szCs w:val="22"/>
        </w:rPr>
        <w:t xml:space="preserve"> 1.5-6 </w:t>
      </w:r>
      <w:r>
        <w:rPr>
          <w:b/>
          <w:szCs w:val="22"/>
        </w:rPr>
        <w:t>农用地土壤污染风险筛选值</w:t>
      </w:r>
      <w:r>
        <w:rPr>
          <w:b/>
          <w:szCs w:val="22"/>
        </w:rPr>
        <w:t xml:space="preserve"> </w:t>
      </w:r>
      <w:r>
        <w:rPr>
          <w:b/>
          <w:szCs w:val="22"/>
        </w:rPr>
        <w:t>（单位：</w:t>
      </w:r>
      <w:r>
        <w:rPr>
          <w:b/>
          <w:szCs w:val="22"/>
        </w:rPr>
        <w:t>mg/kg</w:t>
      </w:r>
      <w:r>
        <w:rPr>
          <w:b/>
          <w:szCs w:val="22"/>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5"/>
        <w:gridCol w:w="1687"/>
        <w:gridCol w:w="2362"/>
        <w:gridCol w:w="3110"/>
      </w:tblGrid>
      <w:tr w:rsidR="00AC7169" w14:paraId="74FEBD91" w14:textId="77777777" w:rsidTr="00AC7169">
        <w:trPr>
          <w:trHeight w:val="329"/>
          <w:tblHeader/>
          <w:jc w:val="center"/>
        </w:trPr>
        <w:tc>
          <w:tcPr>
            <w:tcW w:w="948" w:type="pct"/>
            <w:vMerge w:val="restart"/>
            <w:vAlign w:val="center"/>
          </w:tcPr>
          <w:p w14:paraId="1BC06BDF" w14:textId="77777777" w:rsidR="00AC7169" w:rsidRDefault="00AC7169">
            <w:pPr>
              <w:adjustRightInd w:val="0"/>
              <w:snapToGrid w:val="0"/>
              <w:jc w:val="center"/>
              <w:textAlignment w:val="baseline"/>
              <w:rPr>
                <w:b/>
              </w:rPr>
            </w:pPr>
            <w:r>
              <w:rPr>
                <w:b/>
              </w:rPr>
              <w:lastRenderedPageBreak/>
              <w:t>序号</w:t>
            </w:r>
          </w:p>
        </w:tc>
        <w:tc>
          <w:tcPr>
            <w:tcW w:w="2292" w:type="pct"/>
            <w:gridSpan w:val="2"/>
            <w:vMerge w:val="restart"/>
            <w:vAlign w:val="center"/>
          </w:tcPr>
          <w:p w14:paraId="3FF706B4" w14:textId="77777777" w:rsidR="00AC7169" w:rsidRDefault="00AC7169">
            <w:pPr>
              <w:adjustRightInd w:val="0"/>
              <w:snapToGrid w:val="0"/>
              <w:jc w:val="center"/>
              <w:textAlignment w:val="baseline"/>
              <w:rPr>
                <w:b/>
              </w:rPr>
            </w:pPr>
            <w:r>
              <w:rPr>
                <w:b/>
              </w:rPr>
              <w:t>污染物项目</w:t>
            </w:r>
          </w:p>
        </w:tc>
        <w:tc>
          <w:tcPr>
            <w:tcW w:w="1760" w:type="pct"/>
            <w:vAlign w:val="center"/>
          </w:tcPr>
          <w:p w14:paraId="02C9062E" w14:textId="41EB7C63" w:rsidR="00AC7169" w:rsidRDefault="00AC7169">
            <w:pPr>
              <w:adjustRightInd w:val="0"/>
              <w:snapToGrid w:val="0"/>
              <w:jc w:val="center"/>
              <w:textAlignment w:val="baseline"/>
              <w:rPr>
                <w:b/>
              </w:rPr>
            </w:pPr>
            <w:r w:rsidRPr="00AC7169">
              <w:rPr>
                <w:b/>
              </w:rPr>
              <w:t>风险筛选值</w:t>
            </w:r>
          </w:p>
        </w:tc>
      </w:tr>
      <w:tr w:rsidR="00AC7169" w14:paraId="7B37A4D4" w14:textId="77777777" w:rsidTr="00AC7169">
        <w:trPr>
          <w:trHeight w:val="329"/>
          <w:tblHeader/>
          <w:jc w:val="center"/>
        </w:trPr>
        <w:tc>
          <w:tcPr>
            <w:tcW w:w="948" w:type="pct"/>
            <w:vMerge/>
            <w:vAlign w:val="center"/>
          </w:tcPr>
          <w:p w14:paraId="6BBB5FFB" w14:textId="77777777" w:rsidR="00AC7169" w:rsidRDefault="00AC7169">
            <w:pPr>
              <w:adjustRightInd w:val="0"/>
              <w:snapToGrid w:val="0"/>
              <w:jc w:val="center"/>
              <w:textAlignment w:val="baseline"/>
              <w:rPr>
                <w:b/>
              </w:rPr>
            </w:pPr>
          </w:p>
        </w:tc>
        <w:tc>
          <w:tcPr>
            <w:tcW w:w="2292" w:type="pct"/>
            <w:gridSpan w:val="2"/>
            <w:vMerge/>
            <w:vAlign w:val="center"/>
          </w:tcPr>
          <w:p w14:paraId="0E5E1E24" w14:textId="77777777" w:rsidR="00AC7169" w:rsidRDefault="00AC7169">
            <w:pPr>
              <w:adjustRightInd w:val="0"/>
              <w:snapToGrid w:val="0"/>
              <w:jc w:val="center"/>
              <w:textAlignment w:val="baseline"/>
              <w:rPr>
                <w:b/>
              </w:rPr>
            </w:pPr>
          </w:p>
        </w:tc>
        <w:tc>
          <w:tcPr>
            <w:tcW w:w="1760" w:type="pct"/>
            <w:vAlign w:val="center"/>
          </w:tcPr>
          <w:p w14:paraId="7C87A7A7" w14:textId="77777777" w:rsidR="00AC7169" w:rsidRDefault="00AC7169">
            <w:pPr>
              <w:adjustRightInd w:val="0"/>
              <w:snapToGrid w:val="0"/>
              <w:jc w:val="center"/>
              <w:textAlignment w:val="baseline"/>
              <w:rPr>
                <w:b/>
              </w:rPr>
            </w:pPr>
            <w:r>
              <w:rPr>
                <w:b/>
              </w:rPr>
              <w:t>pH&gt;7.5</w:t>
            </w:r>
          </w:p>
        </w:tc>
      </w:tr>
      <w:tr w:rsidR="00AC7169" w14:paraId="05BA2207" w14:textId="77777777" w:rsidTr="00AC7169">
        <w:trPr>
          <w:trHeight w:val="329"/>
          <w:jc w:val="center"/>
        </w:trPr>
        <w:tc>
          <w:tcPr>
            <w:tcW w:w="948" w:type="pct"/>
            <w:vAlign w:val="center"/>
          </w:tcPr>
          <w:p w14:paraId="5B09D5C0" w14:textId="47CE71D0" w:rsidR="00AC7169" w:rsidRDefault="00AC7169" w:rsidP="00AC7169">
            <w:pPr>
              <w:adjustRightInd w:val="0"/>
              <w:snapToGrid w:val="0"/>
              <w:jc w:val="center"/>
              <w:textAlignment w:val="baseline"/>
            </w:pPr>
            <w:r>
              <w:t>1</w:t>
            </w:r>
          </w:p>
        </w:tc>
        <w:tc>
          <w:tcPr>
            <w:tcW w:w="955" w:type="pct"/>
            <w:vAlign w:val="center"/>
          </w:tcPr>
          <w:p w14:paraId="235A0DB4" w14:textId="55F1207D" w:rsidR="00AC7169" w:rsidRDefault="00AC7169" w:rsidP="00AC7169">
            <w:pPr>
              <w:adjustRightInd w:val="0"/>
              <w:snapToGrid w:val="0"/>
              <w:jc w:val="center"/>
              <w:textAlignment w:val="baseline"/>
            </w:pPr>
            <w:r>
              <w:t>镉</w:t>
            </w:r>
          </w:p>
        </w:tc>
        <w:tc>
          <w:tcPr>
            <w:tcW w:w="1337" w:type="pct"/>
            <w:vAlign w:val="center"/>
          </w:tcPr>
          <w:p w14:paraId="50CC7BE5" w14:textId="77777777" w:rsidR="00AC7169" w:rsidRDefault="00AC7169" w:rsidP="00AC7169">
            <w:pPr>
              <w:adjustRightInd w:val="0"/>
              <w:snapToGrid w:val="0"/>
              <w:jc w:val="center"/>
              <w:textAlignment w:val="baseline"/>
            </w:pPr>
            <w:r>
              <w:t>其他</w:t>
            </w:r>
          </w:p>
        </w:tc>
        <w:tc>
          <w:tcPr>
            <w:tcW w:w="1760" w:type="pct"/>
            <w:vAlign w:val="center"/>
          </w:tcPr>
          <w:p w14:paraId="6BA7216C" w14:textId="77777777" w:rsidR="00AC7169" w:rsidRDefault="00AC7169" w:rsidP="00AC7169">
            <w:pPr>
              <w:adjustRightInd w:val="0"/>
              <w:snapToGrid w:val="0"/>
              <w:jc w:val="center"/>
              <w:textAlignment w:val="baseline"/>
            </w:pPr>
            <w:r>
              <w:t>0.6</w:t>
            </w:r>
          </w:p>
        </w:tc>
      </w:tr>
      <w:tr w:rsidR="00AC7169" w14:paraId="6471A0C4" w14:textId="77777777" w:rsidTr="00AC7169">
        <w:trPr>
          <w:trHeight w:val="329"/>
          <w:jc w:val="center"/>
        </w:trPr>
        <w:tc>
          <w:tcPr>
            <w:tcW w:w="948" w:type="pct"/>
            <w:vAlign w:val="center"/>
          </w:tcPr>
          <w:p w14:paraId="38E08CC9" w14:textId="4532F5BB" w:rsidR="00AC7169" w:rsidRDefault="00AC7169" w:rsidP="00AC7169">
            <w:pPr>
              <w:adjustRightInd w:val="0"/>
              <w:snapToGrid w:val="0"/>
              <w:jc w:val="center"/>
              <w:textAlignment w:val="baseline"/>
            </w:pPr>
            <w:r>
              <w:t>2</w:t>
            </w:r>
          </w:p>
        </w:tc>
        <w:tc>
          <w:tcPr>
            <w:tcW w:w="955" w:type="pct"/>
            <w:vAlign w:val="center"/>
          </w:tcPr>
          <w:p w14:paraId="1985BD1C" w14:textId="4F09EF29" w:rsidR="00AC7169" w:rsidRDefault="00AC7169" w:rsidP="00AC7169">
            <w:pPr>
              <w:adjustRightInd w:val="0"/>
              <w:snapToGrid w:val="0"/>
              <w:jc w:val="center"/>
              <w:textAlignment w:val="baseline"/>
            </w:pPr>
            <w:r>
              <w:t>汞</w:t>
            </w:r>
          </w:p>
        </w:tc>
        <w:tc>
          <w:tcPr>
            <w:tcW w:w="1337" w:type="pct"/>
            <w:vAlign w:val="center"/>
          </w:tcPr>
          <w:p w14:paraId="3AB49697" w14:textId="77777777" w:rsidR="00AC7169" w:rsidRDefault="00AC7169" w:rsidP="00AC7169">
            <w:pPr>
              <w:adjustRightInd w:val="0"/>
              <w:snapToGrid w:val="0"/>
              <w:jc w:val="center"/>
              <w:textAlignment w:val="baseline"/>
            </w:pPr>
            <w:r>
              <w:t>其他</w:t>
            </w:r>
          </w:p>
        </w:tc>
        <w:tc>
          <w:tcPr>
            <w:tcW w:w="1760" w:type="pct"/>
            <w:vAlign w:val="center"/>
          </w:tcPr>
          <w:p w14:paraId="297ABB56" w14:textId="77777777" w:rsidR="00AC7169" w:rsidRDefault="00AC7169" w:rsidP="00AC7169">
            <w:pPr>
              <w:adjustRightInd w:val="0"/>
              <w:snapToGrid w:val="0"/>
              <w:jc w:val="center"/>
              <w:textAlignment w:val="baseline"/>
            </w:pPr>
            <w:r>
              <w:t>3.4</w:t>
            </w:r>
          </w:p>
        </w:tc>
      </w:tr>
      <w:tr w:rsidR="00AC7169" w14:paraId="2EBFF448" w14:textId="77777777" w:rsidTr="00AC7169">
        <w:trPr>
          <w:trHeight w:val="329"/>
          <w:jc w:val="center"/>
        </w:trPr>
        <w:tc>
          <w:tcPr>
            <w:tcW w:w="948" w:type="pct"/>
            <w:vAlign w:val="center"/>
          </w:tcPr>
          <w:p w14:paraId="3984B665" w14:textId="1D677667" w:rsidR="00AC7169" w:rsidRDefault="00AC7169" w:rsidP="00AC7169">
            <w:pPr>
              <w:adjustRightInd w:val="0"/>
              <w:snapToGrid w:val="0"/>
              <w:jc w:val="center"/>
              <w:textAlignment w:val="baseline"/>
            </w:pPr>
            <w:r>
              <w:t>3</w:t>
            </w:r>
          </w:p>
        </w:tc>
        <w:tc>
          <w:tcPr>
            <w:tcW w:w="955" w:type="pct"/>
            <w:vAlign w:val="center"/>
          </w:tcPr>
          <w:p w14:paraId="3356058D" w14:textId="25360132" w:rsidR="00AC7169" w:rsidRDefault="00AC7169" w:rsidP="00AC7169">
            <w:pPr>
              <w:adjustRightInd w:val="0"/>
              <w:snapToGrid w:val="0"/>
              <w:jc w:val="center"/>
              <w:textAlignment w:val="baseline"/>
            </w:pPr>
            <w:r>
              <w:t>砷</w:t>
            </w:r>
          </w:p>
        </w:tc>
        <w:tc>
          <w:tcPr>
            <w:tcW w:w="1337" w:type="pct"/>
            <w:vAlign w:val="center"/>
          </w:tcPr>
          <w:p w14:paraId="061FC94B" w14:textId="77777777" w:rsidR="00AC7169" w:rsidRDefault="00AC7169" w:rsidP="00AC7169">
            <w:pPr>
              <w:adjustRightInd w:val="0"/>
              <w:snapToGrid w:val="0"/>
              <w:jc w:val="center"/>
              <w:textAlignment w:val="baseline"/>
            </w:pPr>
            <w:r>
              <w:t>其他</w:t>
            </w:r>
          </w:p>
        </w:tc>
        <w:tc>
          <w:tcPr>
            <w:tcW w:w="1760" w:type="pct"/>
            <w:vAlign w:val="center"/>
          </w:tcPr>
          <w:p w14:paraId="0025371D" w14:textId="77777777" w:rsidR="00AC7169" w:rsidRDefault="00AC7169" w:rsidP="00AC7169">
            <w:pPr>
              <w:adjustRightInd w:val="0"/>
              <w:snapToGrid w:val="0"/>
              <w:jc w:val="center"/>
              <w:textAlignment w:val="baseline"/>
            </w:pPr>
            <w:r>
              <w:t>25</w:t>
            </w:r>
          </w:p>
        </w:tc>
      </w:tr>
      <w:tr w:rsidR="00AC7169" w14:paraId="67EBE6DD" w14:textId="77777777" w:rsidTr="00AC7169">
        <w:trPr>
          <w:trHeight w:val="329"/>
          <w:jc w:val="center"/>
        </w:trPr>
        <w:tc>
          <w:tcPr>
            <w:tcW w:w="948" w:type="pct"/>
            <w:vAlign w:val="center"/>
          </w:tcPr>
          <w:p w14:paraId="7FBC1CFC" w14:textId="46DE68E2" w:rsidR="00AC7169" w:rsidRDefault="00AC7169" w:rsidP="00AC7169">
            <w:pPr>
              <w:adjustRightInd w:val="0"/>
              <w:snapToGrid w:val="0"/>
              <w:jc w:val="center"/>
              <w:textAlignment w:val="baseline"/>
            </w:pPr>
            <w:r>
              <w:t>4</w:t>
            </w:r>
          </w:p>
        </w:tc>
        <w:tc>
          <w:tcPr>
            <w:tcW w:w="955" w:type="pct"/>
            <w:vAlign w:val="center"/>
          </w:tcPr>
          <w:p w14:paraId="6EB0DC31" w14:textId="5D6A8A21" w:rsidR="00AC7169" w:rsidRDefault="00AC7169" w:rsidP="00AC7169">
            <w:pPr>
              <w:adjustRightInd w:val="0"/>
              <w:snapToGrid w:val="0"/>
              <w:jc w:val="center"/>
              <w:textAlignment w:val="baseline"/>
            </w:pPr>
            <w:r>
              <w:t>铅</w:t>
            </w:r>
          </w:p>
        </w:tc>
        <w:tc>
          <w:tcPr>
            <w:tcW w:w="1337" w:type="pct"/>
            <w:vAlign w:val="center"/>
          </w:tcPr>
          <w:p w14:paraId="11FC2C54" w14:textId="77777777" w:rsidR="00AC7169" w:rsidRDefault="00AC7169" w:rsidP="00AC7169">
            <w:pPr>
              <w:adjustRightInd w:val="0"/>
              <w:snapToGrid w:val="0"/>
              <w:jc w:val="center"/>
              <w:textAlignment w:val="baseline"/>
            </w:pPr>
            <w:r>
              <w:t>其他</w:t>
            </w:r>
          </w:p>
        </w:tc>
        <w:tc>
          <w:tcPr>
            <w:tcW w:w="1760" w:type="pct"/>
            <w:vAlign w:val="center"/>
          </w:tcPr>
          <w:p w14:paraId="3C06B21D" w14:textId="77777777" w:rsidR="00AC7169" w:rsidRDefault="00AC7169" w:rsidP="00AC7169">
            <w:pPr>
              <w:adjustRightInd w:val="0"/>
              <w:snapToGrid w:val="0"/>
              <w:jc w:val="center"/>
              <w:textAlignment w:val="baseline"/>
            </w:pPr>
            <w:r>
              <w:t>170</w:t>
            </w:r>
          </w:p>
        </w:tc>
      </w:tr>
      <w:tr w:rsidR="00AC7169" w14:paraId="2982D7DC" w14:textId="77777777" w:rsidTr="00AC7169">
        <w:trPr>
          <w:trHeight w:val="329"/>
          <w:jc w:val="center"/>
        </w:trPr>
        <w:tc>
          <w:tcPr>
            <w:tcW w:w="948" w:type="pct"/>
            <w:vAlign w:val="center"/>
          </w:tcPr>
          <w:p w14:paraId="3375C21C" w14:textId="5D639EE2" w:rsidR="00AC7169" w:rsidRDefault="00AC7169" w:rsidP="00AC7169">
            <w:pPr>
              <w:adjustRightInd w:val="0"/>
              <w:snapToGrid w:val="0"/>
              <w:jc w:val="center"/>
              <w:textAlignment w:val="baseline"/>
            </w:pPr>
            <w:r>
              <w:t>5</w:t>
            </w:r>
          </w:p>
        </w:tc>
        <w:tc>
          <w:tcPr>
            <w:tcW w:w="955" w:type="pct"/>
            <w:vAlign w:val="center"/>
          </w:tcPr>
          <w:p w14:paraId="47A47B12" w14:textId="51D323A2" w:rsidR="00AC7169" w:rsidRDefault="00AC7169" w:rsidP="00AC7169">
            <w:pPr>
              <w:adjustRightInd w:val="0"/>
              <w:snapToGrid w:val="0"/>
              <w:jc w:val="center"/>
              <w:textAlignment w:val="baseline"/>
            </w:pPr>
            <w:r>
              <w:t>铬</w:t>
            </w:r>
          </w:p>
        </w:tc>
        <w:tc>
          <w:tcPr>
            <w:tcW w:w="1337" w:type="pct"/>
            <w:vAlign w:val="center"/>
          </w:tcPr>
          <w:p w14:paraId="0C1245A6" w14:textId="77777777" w:rsidR="00AC7169" w:rsidRDefault="00AC7169" w:rsidP="00AC7169">
            <w:pPr>
              <w:adjustRightInd w:val="0"/>
              <w:snapToGrid w:val="0"/>
              <w:jc w:val="center"/>
              <w:textAlignment w:val="baseline"/>
            </w:pPr>
            <w:r>
              <w:t>其他</w:t>
            </w:r>
          </w:p>
        </w:tc>
        <w:tc>
          <w:tcPr>
            <w:tcW w:w="1760" w:type="pct"/>
            <w:vAlign w:val="center"/>
          </w:tcPr>
          <w:p w14:paraId="11CE1185" w14:textId="77777777" w:rsidR="00AC7169" w:rsidRDefault="00AC7169" w:rsidP="00AC7169">
            <w:pPr>
              <w:adjustRightInd w:val="0"/>
              <w:snapToGrid w:val="0"/>
              <w:jc w:val="center"/>
              <w:textAlignment w:val="baseline"/>
            </w:pPr>
            <w:r>
              <w:t>250</w:t>
            </w:r>
          </w:p>
        </w:tc>
      </w:tr>
      <w:tr w:rsidR="00AC7169" w14:paraId="4C413290" w14:textId="77777777" w:rsidTr="00AC7169">
        <w:trPr>
          <w:trHeight w:val="329"/>
          <w:jc w:val="center"/>
        </w:trPr>
        <w:tc>
          <w:tcPr>
            <w:tcW w:w="948" w:type="pct"/>
            <w:vAlign w:val="center"/>
          </w:tcPr>
          <w:p w14:paraId="3EA27B53" w14:textId="52FBE8B7" w:rsidR="00AC7169" w:rsidRDefault="00AC7169" w:rsidP="00AC7169">
            <w:pPr>
              <w:adjustRightInd w:val="0"/>
              <w:snapToGrid w:val="0"/>
              <w:jc w:val="center"/>
              <w:textAlignment w:val="baseline"/>
            </w:pPr>
            <w:r>
              <w:t>6</w:t>
            </w:r>
          </w:p>
        </w:tc>
        <w:tc>
          <w:tcPr>
            <w:tcW w:w="955" w:type="pct"/>
            <w:vAlign w:val="center"/>
          </w:tcPr>
          <w:p w14:paraId="7A61F5D7" w14:textId="251BA77F" w:rsidR="00AC7169" w:rsidRDefault="00AC7169" w:rsidP="00AC7169">
            <w:pPr>
              <w:adjustRightInd w:val="0"/>
              <w:snapToGrid w:val="0"/>
              <w:jc w:val="center"/>
              <w:textAlignment w:val="baseline"/>
            </w:pPr>
            <w:r>
              <w:t>铜</w:t>
            </w:r>
          </w:p>
        </w:tc>
        <w:tc>
          <w:tcPr>
            <w:tcW w:w="1337" w:type="pct"/>
            <w:vAlign w:val="center"/>
          </w:tcPr>
          <w:p w14:paraId="1B213F61" w14:textId="77777777" w:rsidR="00AC7169" w:rsidRDefault="00AC7169" w:rsidP="00AC7169">
            <w:pPr>
              <w:adjustRightInd w:val="0"/>
              <w:snapToGrid w:val="0"/>
              <w:jc w:val="center"/>
              <w:textAlignment w:val="baseline"/>
            </w:pPr>
            <w:r>
              <w:t>其他</w:t>
            </w:r>
          </w:p>
        </w:tc>
        <w:tc>
          <w:tcPr>
            <w:tcW w:w="1760" w:type="pct"/>
            <w:vAlign w:val="center"/>
          </w:tcPr>
          <w:p w14:paraId="76C70614" w14:textId="77777777" w:rsidR="00AC7169" w:rsidRDefault="00AC7169" w:rsidP="00AC7169">
            <w:pPr>
              <w:adjustRightInd w:val="0"/>
              <w:snapToGrid w:val="0"/>
              <w:jc w:val="center"/>
              <w:textAlignment w:val="baseline"/>
            </w:pPr>
            <w:r>
              <w:t>100</w:t>
            </w:r>
          </w:p>
        </w:tc>
      </w:tr>
      <w:tr w:rsidR="00AC7169" w14:paraId="24D14DEA" w14:textId="77777777" w:rsidTr="00AC7169">
        <w:trPr>
          <w:trHeight w:val="329"/>
          <w:jc w:val="center"/>
        </w:trPr>
        <w:tc>
          <w:tcPr>
            <w:tcW w:w="948" w:type="pct"/>
            <w:vAlign w:val="center"/>
          </w:tcPr>
          <w:p w14:paraId="7C3D9D8B" w14:textId="77777777" w:rsidR="00AC7169" w:rsidRDefault="00AC7169">
            <w:pPr>
              <w:adjustRightInd w:val="0"/>
              <w:snapToGrid w:val="0"/>
              <w:jc w:val="center"/>
              <w:textAlignment w:val="baseline"/>
            </w:pPr>
            <w:r>
              <w:t>7</w:t>
            </w:r>
          </w:p>
        </w:tc>
        <w:tc>
          <w:tcPr>
            <w:tcW w:w="2292" w:type="pct"/>
            <w:gridSpan w:val="2"/>
            <w:vAlign w:val="center"/>
          </w:tcPr>
          <w:p w14:paraId="62D1D887" w14:textId="77777777" w:rsidR="00AC7169" w:rsidRDefault="00AC7169">
            <w:pPr>
              <w:adjustRightInd w:val="0"/>
              <w:snapToGrid w:val="0"/>
              <w:jc w:val="center"/>
              <w:textAlignment w:val="baseline"/>
            </w:pPr>
            <w:r>
              <w:t>镍</w:t>
            </w:r>
          </w:p>
        </w:tc>
        <w:tc>
          <w:tcPr>
            <w:tcW w:w="1760" w:type="pct"/>
            <w:vAlign w:val="center"/>
          </w:tcPr>
          <w:p w14:paraId="52FBE6C7" w14:textId="77777777" w:rsidR="00AC7169" w:rsidRDefault="00AC7169">
            <w:pPr>
              <w:adjustRightInd w:val="0"/>
              <w:snapToGrid w:val="0"/>
              <w:jc w:val="center"/>
              <w:textAlignment w:val="baseline"/>
            </w:pPr>
            <w:r>
              <w:t>190</w:t>
            </w:r>
          </w:p>
        </w:tc>
      </w:tr>
      <w:tr w:rsidR="00AC7169" w14:paraId="497B2DC9" w14:textId="77777777" w:rsidTr="00AC7169">
        <w:trPr>
          <w:trHeight w:val="329"/>
          <w:jc w:val="center"/>
        </w:trPr>
        <w:tc>
          <w:tcPr>
            <w:tcW w:w="948" w:type="pct"/>
            <w:vAlign w:val="center"/>
          </w:tcPr>
          <w:p w14:paraId="0CA6D9E3" w14:textId="77777777" w:rsidR="00AC7169" w:rsidRDefault="00AC7169">
            <w:pPr>
              <w:adjustRightInd w:val="0"/>
              <w:snapToGrid w:val="0"/>
              <w:jc w:val="center"/>
              <w:textAlignment w:val="baseline"/>
            </w:pPr>
            <w:r>
              <w:t>8</w:t>
            </w:r>
          </w:p>
        </w:tc>
        <w:tc>
          <w:tcPr>
            <w:tcW w:w="2292" w:type="pct"/>
            <w:gridSpan w:val="2"/>
            <w:vAlign w:val="center"/>
          </w:tcPr>
          <w:p w14:paraId="78017EB3" w14:textId="77777777" w:rsidR="00AC7169" w:rsidRDefault="00AC7169">
            <w:pPr>
              <w:adjustRightInd w:val="0"/>
              <w:snapToGrid w:val="0"/>
              <w:jc w:val="center"/>
              <w:textAlignment w:val="baseline"/>
            </w:pPr>
            <w:r>
              <w:t>锌</w:t>
            </w:r>
          </w:p>
        </w:tc>
        <w:tc>
          <w:tcPr>
            <w:tcW w:w="1760" w:type="pct"/>
            <w:vAlign w:val="center"/>
          </w:tcPr>
          <w:p w14:paraId="7C905E36" w14:textId="77777777" w:rsidR="00AC7169" w:rsidRDefault="00AC7169">
            <w:pPr>
              <w:adjustRightInd w:val="0"/>
              <w:snapToGrid w:val="0"/>
              <w:jc w:val="center"/>
              <w:textAlignment w:val="baseline"/>
            </w:pPr>
            <w:r>
              <w:t>300</w:t>
            </w:r>
          </w:p>
        </w:tc>
      </w:tr>
    </w:tbl>
    <w:p w14:paraId="1A836C6A" w14:textId="77777777" w:rsidR="00606029" w:rsidRDefault="00EA5B92">
      <w:pPr>
        <w:pStyle w:val="3"/>
        <w:spacing w:beforeLines="50" w:before="120"/>
      </w:pPr>
      <w:bookmarkStart w:id="55" w:name="_Toc220680453"/>
      <w:r>
        <w:t>1.5.2</w:t>
      </w:r>
      <w:r>
        <w:t>污染物排放标准</w:t>
      </w:r>
      <w:bookmarkEnd w:id="55"/>
    </w:p>
    <w:p w14:paraId="3EE2E3E4" w14:textId="77777777" w:rsidR="00606029" w:rsidRDefault="00EA5B92">
      <w:pPr>
        <w:pStyle w:val="affffff4"/>
        <w:ind w:firstLine="482"/>
        <w:rPr>
          <w:b/>
          <w:bCs/>
        </w:rPr>
      </w:pPr>
      <w:r>
        <w:rPr>
          <w:b/>
          <w:bCs/>
        </w:rPr>
        <w:t>1</w:t>
      </w:r>
      <w:r>
        <w:rPr>
          <w:b/>
          <w:bCs/>
        </w:rPr>
        <w:t>、废气</w:t>
      </w:r>
    </w:p>
    <w:p w14:paraId="35B3539A" w14:textId="16247B46" w:rsidR="00606029" w:rsidRDefault="00851B13" w:rsidP="00E53345">
      <w:pPr>
        <w:pStyle w:val="affffff4"/>
        <w:rPr>
          <w:szCs w:val="24"/>
        </w:rPr>
      </w:pPr>
      <w:r>
        <w:rPr>
          <w:rFonts w:hint="eastAsia"/>
        </w:rPr>
        <w:t>本</w:t>
      </w:r>
      <w:r w:rsidR="00EA5B92">
        <w:t>项目</w:t>
      </w:r>
      <w:r w:rsidR="00360B58" w:rsidRPr="00360B58">
        <w:rPr>
          <w:rFonts w:hint="eastAsia"/>
        </w:rPr>
        <w:t>施工期</w:t>
      </w:r>
      <w:r w:rsidR="00360B58">
        <w:rPr>
          <w:rFonts w:hint="eastAsia"/>
        </w:rPr>
        <w:t>、</w:t>
      </w:r>
      <w:r w:rsidR="00EA5B92">
        <w:rPr>
          <w:szCs w:val="24"/>
        </w:rPr>
        <w:t>运营期及封场期</w:t>
      </w:r>
      <w:r>
        <w:rPr>
          <w:rFonts w:hint="eastAsia"/>
          <w:szCs w:val="24"/>
        </w:rPr>
        <w:t>厂界</w:t>
      </w:r>
      <w:r w:rsidR="00EA5B92">
        <w:rPr>
          <w:szCs w:val="24"/>
        </w:rPr>
        <w:t>颗粒物</w:t>
      </w:r>
      <w:r w:rsidR="00E53345">
        <w:rPr>
          <w:rFonts w:hint="eastAsia"/>
          <w:szCs w:val="24"/>
        </w:rPr>
        <w:t>、非甲烷总烃</w:t>
      </w:r>
      <w:r w:rsidR="00EA5B92">
        <w:rPr>
          <w:szCs w:val="24"/>
        </w:rPr>
        <w:t>排放执行</w:t>
      </w:r>
      <w:bookmarkStart w:id="56" w:name="_Hlk219398999"/>
      <w:r w:rsidR="00EA5B92">
        <w:rPr>
          <w:szCs w:val="24"/>
        </w:rPr>
        <w:t>《大气污染物综合排放标准》（</w:t>
      </w:r>
      <w:r w:rsidR="00EA5B92">
        <w:rPr>
          <w:szCs w:val="24"/>
        </w:rPr>
        <w:t>GB16297-1996</w:t>
      </w:r>
      <w:r w:rsidR="00EA5B92">
        <w:rPr>
          <w:szCs w:val="24"/>
        </w:rPr>
        <w:t>）</w:t>
      </w:r>
      <w:bookmarkEnd w:id="56"/>
      <w:r w:rsidR="00EA5B92">
        <w:rPr>
          <w:szCs w:val="24"/>
        </w:rPr>
        <w:t>表</w:t>
      </w:r>
      <w:r w:rsidR="00EA5B92">
        <w:rPr>
          <w:szCs w:val="24"/>
        </w:rPr>
        <w:t>2</w:t>
      </w:r>
      <w:r w:rsidR="00EA5B92">
        <w:rPr>
          <w:szCs w:val="24"/>
        </w:rPr>
        <w:t>无组织排放</w:t>
      </w:r>
      <w:r>
        <w:rPr>
          <w:rFonts w:hint="eastAsia"/>
          <w:szCs w:val="24"/>
        </w:rPr>
        <w:t>限值</w:t>
      </w:r>
      <w:r w:rsidR="00E53345">
        <w:rPr>
          <w:rFonts w:hint="eastAsia"/>
          <w:szCs w:val="24"/>
        </w:rPr>
        <w:t>；</w:t>
      </w:r>
      <w:r w:rsidR="00EA5B92">
        <w:rPr>
          <w:szCs w:val="24"/>
        </w:rPr>
        <w:t>氨、硫化氢</w:t>
      </w:r>
      <w:r w:rsidR="00360B58">
        <w:rPr>
          <w:rFonts w:hint="eastAsia"/>
          <w:szCs w:val="24"/>
        </w:rPr>
        <w:t>、臭气</w:t>
      </w:r>
      <w:r w:rsidR="00516524">
        <w:rPr>
          <w:rFonts w:hint="eastAsia"/>
          <w:szCs w:val="24"/>
        </w:rPr>
        <w:t>浓度</w:t>
      </w:r>
      <w:r w:rsidR="00360B58" w:rsidRPr="00360B58">
        <w:rPr>
          <w:rFonts w:hint="eastAsia"/>
          <w:szCs w:val="24"/>
        </w:rPr>
        <w:t>执行《恶臭污染物排放标准》（</w:t>
      </w:r>
      <w:r w:rsidR="00360B58" w:rsidRPr="00360B58">
        <w:rPr>
          <w:rFonts w:hint="eastAsia"/>
          <w:szCs w:val="24"/>
        </w:rPr>
        <w:t>GB14554-93</w:t>
      </w:r>
      <w:r w:rsidR="00360B58" w:rsidRPr="00360B58">
        <w:rPr>
          <w:rFonts w:hint="eastAsia"/>
          <w:szCs w:val="24"/>
        </w:rPr>
        <w:t>）</w:t>
      </w:r>
      <w:r>
        <w:rPr>
          <w:rFonts w:hint="eastAsia"/>
          <w:szCs w:val="24"/>
        </w:rPr>
        <w:t>表</w:t>
      </w:r>
      <w:r>
        <w:rPr>
          <w:rFonts w:hint="eastAsia"/>
          <w:szCs w:val="24"/>
        </w:rPr>
        <w:t>1</w:t>
      </w:r>
      <w:r w:rsidR="00360B58" w:rsidRPr="00360B58">
        <w:rPr>
          <w:rFonts w:hint="eastAsia"/>
          <w:szCs w:val="24"/>
        </w:rPr>
        <w:t>二级</w:t>
      </w:r>
      <w:r>
        <w:rPr>
          <w:rFonts w:hint="eastAsia"/>
          <w:szCs w:val="24"/>
        </w:rPr>
        <w:t>新改扩建标准要求</w:t>
      </w:r>
      <w:r w:rsidR="0009453C">
        <w:rPr>
          <w:rFonts w:hint="eastAsia"/>
          <w:szCs w:val="24"/>
        </w:rPr>
        <w:t>；</w:t>
      </w:r>
      <w:r w:rsidR="00960000" w:rsidRPr="00960000">
        <w:rPr>
          <w:rFonts w:hint="eastAsia"/>
          <w:szCs w:val="24"/>
        </w:rPr>
        <w:t>厂区内非甲烷总烃无组织排放浓度执行《挥发性有机物无组织排放控制标准》（</w:t>
      </w:r>
      <w:r w:rsidR="00960000" w:rsidRPr="00960000">
        <w:rPr>
          <w:rFonts w:hint="eastAsia"/>
          <w:szCs w:val="24"/>
        </w:rPr>
        <w:t>GB37822-2019</w:t>
      </w:r>
      <w:r w:rsidR="00960000" w:rsidRPr="00960000">
        <w:rPr>
          <w:rFonts w:hint="eastAsia"/>
          <w:szCs w:val="24"/>
        </w:rPr>
        <w:t>）表</w:t>
      </w:r>
      <w:r w:rsidR="00960000" w:rsidRPr="00960000">
        <w:rPr>
          <w:rFonts w:hint="eastAsia"/>
          <w:szCs w:val="24"/>
        </w:rPr>
        <w:t>A.1</w:t>
      </w:r>
      <w:r w:rsidR="00960000" w:rsidRPr="00960000">
        <w:rPr>
          <w:rFonts w:hint="eastAsia"/>
          <w:szCs w:val="24"/>
        </w:rPr>
        <w:t>排放限值</w:t>
      </w:r>
      <w:r w:rsidR="00E53345" w:rsidRPr="00E53345">
        <w:rPr>
          <w:rFonts w:hint="eastAsia"/>
          <w:szCs w:val="24"/>
        </w:rPr>
        <w:t>（监控点处</w:t>
      </w:r>
      <w:r w:rsidR="00E53345" w:rsidRPr="00E53345">
        <w:rPr>
          <w:rFonts w:hint="eastAsia"/>
          <w:szCs w:val="24"/>
        </w:rPr>
        <w:t>1h</w:t>
      </w:r>
      <w:r w:rsidR="00E53345" w:rsidRPr="00E53345">
        <w:rPr>
          <w:rFonts w:hint="eastAsia"/>
          <w:szCs w:val="24"/>
        </w:rPr>
        <w:t>平均浓度值</w:t>
      </w:r>
      <w:r w:rsidR="00E53345" w:rsidRPr="00E53345">
        <w:rPr>
          <w:rFonts w:hint="eastAsia"/>
          <w:szCs w:val="24"/>
        </w:rPr>
        <w:t>10mg/m</w:t>
      </w:r>
      <w:r w:rsidR="00E53345" w:rsidRPr="00E53345">
        <w:rPr>
          <w:rFonts w:hint="eastAsia"/>
          <w:szCs w:val="24"/>
          <w:vertAlign w:val="superscript"/>
        </w:rPr>
        <w:t>3</w:t>
      </w:r>
      <w:r w:rsidR="00E53345" w:rsidRPr="00E53345">
        <w:rPr>
          <w:rFonts w:hint="eastAsia"/>
          <w:szCs w:val="24"/>
        </w:rPr>
        <w:t>，监控点处任意一次浓度值</w:t>
      </w:r>
      <w:r w:rsidR="00E53345" w:rsidRPr="00E53345">
        <w:rPr>
          <w:rFonts w:hint="eastAsia"/>
          <w:szCs w:val="24"/>
        </w:rPr>
        <w:t>30mg/m</w:t>
      </w:r>
      <w:r w:rsidR="00E53345" w:rsidRPr="00E53345">
        <w:rPr>
          <w:rFonts w:hint="eastAsia"/>
          <w:szCs w:val="24"/>
          <w:vertAlign w:val="superscript"/>
        </w:rPr>
        <w:t>3</w:t>
      </w:r>
      <w:r w:rsidR="00E53345" w:rsidRPr="00E53345">
        <w:rPr>
          <w:rFonts w:hint="eastAsia"/>
          <w:szCs w:val="24"/>
        </w:rPr>
        <w:t>）</w:t>
      </w:r>
      <w:r w:rsidR="00AD37EF">
        <w:rPr>
          <w:rFonts w:hint="eastAsia"/>
          <w:szCs w:val="24"/>
        </w:rPr>
        <w:t>。</w:t>
      </w:r>
    </w:p>
    <w:p w14:paraId="0AAFC138" w14:textId="71BB40CF" w:rsidR="00606029" w:rsidRDefault="00EA5B92">
      <w:pPr>
        <w:wordWrap w:val="0"/>
        <w:adjustRightInd w:val="0"/>
        <w:snapToGrid w:val="0"/>
        <w:jc w:val="center"/>
        <w:rPr>
          <w:b/>
          <w:bCs/>
        </w:rPr>
      </w:pPr>
      <w:r>
        <w:rPr>
          <w:b/>
          <w:bCs/>
        </w:rPr>
        <w:t>表</w:t>
      </w:r>
      <w:r>
        <w:rPr>
          <w:b/>
          <w:bCs/>
        </w:rPr>
        <w:t xml:space="preserve"> 1.5-</w:t>
      </w:r>
      <w:r w:rsidR="00851B13">
        <w:rPr>
          <w:rFonts w:hint="eastAsia"/>
          <w:b/>
          <w:bCs/>
        </w:rPr>
        <w:t>7</w:t>
      </w:r>
      <w:r>
        <w:rPr>
          <w:b/>
          <w:bCs/>
        </w:rPr>
        <w:t xml:space="preserve"> </w:t>
      </w:r>
      <w:r>
        <w:rPr>
          <w:b/>
          <w:bCs/>
        </w:rPr>
        <w:t>《大气污染物综合排放标准》（</w:t>
      </w:r>
      <w:r>
        <w:rPr>
          <w:b/>
          <w:bCs/>
        </w:rPr>
        <w:t>GB16297-1996</w:t>
      </w:r>
      <w:r>
        <w:rPr>
          <w:b/>
          <w:bCs/>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1590"/>
        <w:gridCol w:w="740"/>
        <w:gridCol w:w="5800"/>
      </w:tblGrid>
      <w:tr w:rsidR="00606029" w14:paraId="2116478E" w14:textId="77777777" w:rsidTr="00960000">
        <w:trPr>
          <w:trHeight w:val="340"/>
          <w:tblHeader/>
          <w:jc w:val="center"/>
        </w:trPr>
        <w:tc>
          <w:tcPr>
            <w:tcW w:w="398" w:type="pct"/>
            <w:vMerge w:val="restart"/>
            <w:tcBorders>
              <w:tl2br w:val="nil"/>
              <w:tr2bl w:val="nil"/>
            </w:tcBorders>
            <w:vAlign w:val="center"/>
          </w:tcPr>
          <w:p w14:paraId="1394363F" w14:textId="77777777" w:rsidR="00606029" w:rsidRDefault="00EA5B92">
            <w:pPr>
              <w:pStyle w:val="afffffc"/>
              <w:spacing w:line="280" w:lineRule="exact"/>
              <w:rPr>
                <w:bCs/>
              </w:rPr>
            </w:pPr>
            <w:r>
              <w:rPr>
                <w:bCs/>
              </w:rPr>
              <w:t>污染物</w:t>
            </w:r>
          </w:p>
        </w:tc>
        <w:tc>
          <w:tcPr>
            <w:tcW w:w="1319" w:type="pct"/>
            <w:gridSpan w:val="2"/>
            <w:tcBorders>
              <w:tl2br w:val="nil"/>
              <w:tr2bl w:val="nil"/>
            </w:tcBorders>
            <w:vAlign w:val="center"/>
          </w:tcPr>
          <w:p w14:paraId="37F1CB81" w14:textId="77777777" w:rsidR="00606029" w:rsidRDefault="00EA5B92">
            <w:pPr>
              <w:pStyle w:val="afffffc"/>
              <w:spacing w:line="280" w:lineRule="exact"/>
            </w:pPr>
            <w:r>
              <w:t>无组织排放监控点位浓度限值（</w:t>
            </w:r>
            <w:r>
              <w:t>mg/</w:t>
            </w:r>
            <w:r>
              <w:rPr>
                <w:szCs w:val="21"/>
              </w:rPr>
              <w:t>m</w:t>
            </w:r>
            <w:r>
              <w:rPr>
                <w:szCs w:val="21"/>
                <w:vertAlign w:val="superscript"/>
              </w:rPr>
              <w:t>3</w:t>
            </w:r>
            <w:r>
              <w:t>）</w:t>
            </w:r>
          </w:p>
        </w:tc>
        <w:tc>
          <w:tcPr>
            <w:tcW w:w="3283" w:type="pct"/>
            <w:vMerge w:val="restart"/>
            <w:tcBorders>
              <w:tl2br w:val="nil"/>
              <w:tr2bl w:val="nil"/>
            </w:tcBorders>
            <w:vAlign w:val="center"/>
          </w:tcPr>
          <w:p w14:paraId="5218EBAE" w14:textId="77777777" w:rsidR="00606029" w:rsidRDefault="00EA5B92">
            <w:pPr>
              <w:pStyle w:val="afffffc"/>
              <w:spacing w:line="280" w:lineRule="exact"/>
            </w:pPr>
            <w:r>
              <w:t>执行标准</w:t>
            </w:r>
          </w:p>
        </w:tc>
      </w:tr>
      <w:tr w:rsidR="00606029" w14:paraId="5301847D" w14:textId="77777777" w:rsidTr="00960000">
        <w:trPr>
          <w:trHeight w:val="340"/>
          <w:tblHeader/>
          <w:jc w:val="center"/>
        </w:trPr>
        <w:tc>
          <w:tcPr>
            <w:tcW w:w="398" w:type="pct"/>
            <w:vMerge/>
            <w:tcBorders>
              <w:tl2br w:val="nil"/>
              <w:tr2bl w:val="nil"/>
            </w:tcBorders>
            <w:vAlign w:val="center"/>
          </w:tcPr>
          <w:p w14:paraId="6EC3E827" w14:textId="77777777" w:rsidR="00606029" w:rsidRDefault="00606029">
            <w:pPr>
              <w:pStyle w:val="afffffc"/>
              <w:spacing w:line="280" w:lineRule="exact"/>
              <w:rPr>
                <w:bCs/>
              </w:rPr>
            </w:pPr>
          </w:p>
        </w:tc>
        <w:tc>
          <w:tcPr>
            <w:tcW w:w="900" w:type="pct"/>
            <w:tcBorders>
              <w:tl2br w:val="nil"/>
              <w:tr2bl w:val="nil"/>
            </w:tcBorders>
            <w:vAlign w:val="center"/>
          </w:tcPr>
          <w:p w14:paraId="6CAE0AA4" w14:textId="77777777" w:rsidR="00606029" w:rsidRDefault="00EA5B92">
            <w:pPr>
              <w:pStyle w:val="afffffc"/>
              <w:spacing w:line="280" w:lineRule="exact"/>
            </w:pPr>
            <w:r>
              <w:t>监控点</w:t>
            </w:r>
          </w:p>
        </w:tc>
        <w:tc>
          <w:tcPr>
            <w:tcW w:w="419" w:type="pct"/>
            <w:tcBorders>
              <w:tl2br w:val="nil"/>
              <w:tr2bl w:val="nil"/>
            </w:tcBorders>
            <w:vAlign w:val="center"/>
          </w:tcPr>
          <w:p w14:paraId="6BDB13C3" w14:textId="77777777" w:rsidR="00606029" w:rsidRDefault="00EA5B92">
            <w:pPr>
              <w:pStyle w:val="afffffc"/>
              <w:spacing w:line="280" w:lineRule="exact"/>
            </w:pPr>
            <w:r>
              <w:t>限值</w:t>
            </w:r>
          </w:p>
        </w:tc>
        <w:tc>
          <w:tcPr>
            <w:tcW w:w="3283" w:type="pct"/>
            <w:vMerge/>
            <w:tcBorders>
              <w:tl2br w:val="nil"/>
              <w:tr2bl w:val="nil"/>
            </w:tcBorders>
            <w:vAlign w:val="center"/>
          </w:tcPr>
          <w:p w14:paraId="4E92061E" w14:textId="77777777" w:rsidR="00606029" w:rsidRDefault="00606029">
            <w:pPr>
              <w:pStyle w:val="afffffc"/>
              <w:spacing w:line="280" w:lineRule="exact"/>
            </w:pPr>
          </w:p>
        </w:tc>
      </w:tr>
      <w:tr w:rsidR="00960000" w14:paraId="587BF08B" w14:textId="77777777" w:rsidTr="00960000">
        <w:trPr>
          <w:trHeight w:val="340"/>
          <w:jc w:val="center"/>
        </w:trPr>
        <w:tc>
          <w:tcPr>
            <w:tcW w:w="398" w:type="pct"/>
            <w:tcBorders>
              <w:tl2br w:val="nil"/>
              <w:tr2bl w:val="nil"/>
            </w:tcBorders>
            <w:vAlign w:val="center"/>
          </w:tcPr>
          <w:p w14:paraId="7C449635" w14:textId="77777777" w:rsidR="00960000" w:rsidRDefault="00960000">
            <w:pPr>
              <w:pStyle w:val="a5"/>
              <w:spacing w:line="280" w:lineRule="exact"/>
              <w:ind w:leftChars="0" w:left="0" w:firstLine="0"/>
              <w:jc w:val="center"/>
            </w:pPr>
            <w:r>
              <w:rPr>
                <w:bCs/>
                <w:sz w:val="21"/>
                <w:szCs w:val="21"/>
              </w:rPr>
              <w:t>颗粒物</w:t>
            </w:r>
          </w:p>
        </w:tc>
        <w:tc>
          <w:tcPr>
            <w:tcW w:w="900" w:type="pct"/>
            <w:tcBorders>
              <w:tl2br w:val="nil"/>
              <w:tr2bl w:val="nil"/>
            </w:tcBorders>
            <w:vAlign w:val="center"/>
          </w:tcPr>
          <w:p w14:paraId="6E43778C" w14:textId="77777777" w:rsidR="00960000" w:rsidRDefault="00960000">
            <w:pPr>
              <w:pStyle w:val="afffffc"/>
              <w:spacing w:line="280" w:lineRule="exact"/>
              <w:rPr>
                <w:b w:val="0"/>
              </w:rPr>
            </w:pPr>
            <w:r>
              <w:rPr>
                <w:b w:val="0"/>
              </w:rPr>
              <w:t>周界外浓度最高点</w:t>
            </w:r>
          </w:p>
        </w:tc>
        <w:tc>
          <w:tcPr>
            <w:tcW w:w="419" w:type="pct"/>
            <w:tcBorders>
              <w:tl2br w:val="nil"/>
              <w:tr2bl w:val="nil"/>
            </w:tcBorders>
            <w:vAlign w:val="center"/>
          </w:tcPr>
          <w:p w14:paraId="2D4E1F49" w14:textId="77777777" w:rsidR="00960000" w:rsidRDefault="00960000">
            <w:pPr>
              <w:pStyle w:val="afffffc"/>
              <w:spacing w:line="280" w:lineRule="exact"/>
              <w:rPr>
                <w:b w:val="0"/>
              </w:rPr>
            </w:pPr>
            <w:r>
              <w:rPr>
                <w:b w:val="0"/>
              </w:rPr>
              <w:t>1.0</w:t>
            </w:r>
          </w:p>
        </w:tc>
        <w:tc>
          <w:tcPr>
            <w:tcW w:w="3283" w:type="pct"/>
            <w:vMerge w:val="restart"/>
            <w:tcBorders>
              <w:tl2br w:val="nil"/>
              <w:tr2bl w:val="nil"/>
            </w:tcBorders>
            <w:vAlign w:val="center"/>
          </w:tcPr>
          <w:p w14:paraId="2912FCE0" w14:textId="77777777" w:rsidR="00960000" w:rsidRDefault="00960000">
            <w:pPr>
              <w:pStyle w:val="afffffc"/>
              <w:spacing w:line="280" w:lineRule="exact"/>
              <w:rPr>
                <w:b w:val="0"/>
              </w:rPr>
            </w:pPr>
            <w:r>
              <w:rPr>
                <w:b w:val="0"/>
              </w:rPr>
              <w:t>《大气污染物综合排放标准》（</w:t>
            </w:r>
            <w:r>
              <w:rPr>
                <w:b w:val="0"/>
              </w:rPr>
              <w:t>GB16297-1996</w:t>
            </w:r>
            <w:r>
              <w:rPr>
                <w:b w:val="0"/>
              </w:rPr>
              <w:t>）中表</w:t>
            </w:r>
            <w:r>
              <w:rPr>
                <w:b w:val="0"/>
              </w:rPr>
              <w:t>2</w:t>
            </w:r>
            <w:r>
              <w:rPr>
                <w:b w:val="0"/>
              </w:rPr>
              <w:t>新污染源大气污染物排放限值中无组织排放监控浓度限值</w:t>
            </w:r>
          </w:p>
        </w:tc>
      </w:tr>
      <w:tr w:rsidR="00960000" w14:paraId="7511A1EF" w14:textId="77777777" w:rsidTr="00960000">
        <w:trPr>
          <w:trHeight w:val="340"/>
          <w:jc w:val="center"/>
        </w:trPr>
        <w:tc>
          <w:tcPr>
            <w:tcW w:w="398" w:type="pct"/>
            <w:tcBorders>
              <w:tl2br w:val="nil"/>
              <w:tr2bl w:val="nil"/>
            </w:tcBorders>
            <w:vAlign w:val="center"/>
          </w:tcPr>
          <w:p w14:paraId="45F8D5B6" w14:textId="443D05A3" w:rsidR="00960000" w:rsidRDefault="00960000">
            <w:pPr>
              <w:pStyle w:val="a5"/>
              <w:spacing w:line="280" w:lineRule="exact"/>
              <w:ind w:leftChars="0" w:left="0" w:firstLine="0"/>
              <w:jc w:val="center"/>
              <w:rPr>
                <w:bCs/>
                <w:sz w:val="21"/>
                <w:szCs w:val="21"/>
              </w:rPr>
            </w:pPr>
            <w:r>
              <w:rPr>
                <w:rFonts w:hint="eastAsia"/>
                <w:bCs/>
                <w:sz w:val="21"/>
                <w:szCs w:val="21"/>
              </w:rPr>
              <w:t>非甲烷总烃</w:t>
            </w:r>
          </w:p>
        </w:tc>
        <w:tc>
          <w:tcPr>
            <w:tcW w:w="900" w:type="pct"/>
            <w:tcBorders>
              <w:tl2br w:val="nil"/>
              <w:tr2bl w:val="nil"/>
            </w:tcBorders>
            <w:vAlign w:val="center"/>
          </w:tcPr>
          <w:p w14:paraId="762B72B8" w14:textId="77363317" w:rsidR="00960000" w:rsidRDefault="00960000">
            <w:pPr>
              <w:pStyle w:val="afffffc"/>
              <w:spacing w:line="280" w:lineRule="exact"/>
              <w:rPr>
                <w:b w:val="0"/>
              </w:rPr>
            </w:pPr>
            <w:r>
              <w:rPr>
                <w:b w:val="0"/>
              </w:rPr>
              <w:t>周界外浓度最高点</w:t>
            </w:r>
          </w:p>
        </w:tc>
        <w:tc>
          <w:tcPr>
            <w:tcW w:w="419" w:type="pct"/>
            <w:tcBorders>
              <w:tl2br w:val="nil"/>
              <w:tr2bl w:val="nil"/>
            </w:tcBorders>
            <w:vAlign w:val="center"/>
          </w:tcPr>
          <w:p w14:paraId="7BDCE13F" w14:textId="7C5A57C2" w:rsidR="00960000" w:rsidRDefault="00960000">
            <w:pPr>
              <w:pStyle w:val="afffffc"/>
              <w:spacing w:line="280" w:lineRule="exact"/>
              <w:rPr>
                <w:b w:val="0"/>
              </w:rPr>
            </w:pPr>
            <w:r>
              <w:rPr>
                <w:rFonts w:hint="eastAsia"/>
                <w:b w:val="0"/>
              </w:rPr>
              <w:t>4.0</w:t>
            </w:r>
          </w:p>
        </w:tc>
        <w:tc>
          <w:tcPr>
            <w:tcW w:w="3283" w:type="pct"/>
            <w:vMerge/>
            <w:tcBorders>
              <w:tl2br w:val="nil"/>
              <w:tr2bl w:val="nil"/>
            </w:tcBorders>
            <w:vAlign w:val="center"/>
          </w:tcPr>
          <w:p w14:paraId="63BA1702" w14:textId="77777777" w:rsidR="00960000" w:rsidRDefault="00960000">
            <w:pPr>
              <w:pStyle w:val="afffffc"/>
              <w:spacing w:line="280" w:lineRule="exact"/>
              <w:rPr>
                <w:b w:val="0"/>
              </w:rPr>
            </w:pPr>
          </w:p>
        </w:tc>
      </w:tr>
    </w:tbl>
    <w:p w14:paraId="25C7F62A" w14:textId="6FACF3A2" w:rsidR="00606029" w:rsidRDefault="00EA5B92">
      <w:pPr>
        <w:wordWrap w:val="0"/>
        <w:adjustRightInd w:val="0"/>
        <w:snapToGrid w:val="0"/>
        <w:jc w:val="center"/>
        <w:rPr>
          <w:b/>
          <w:bCs/>
        </w:rPr>
      </w:pPr>
      <w:r>
        <w:rPr>
          <w:b/>
          <w:bCs/>
        </w:rPr>
        <w:t>表</w:t>
      </w:r>
      <w:r>
        <w:rPr>
          <w:b/>
          <w:bCs/>
        </w:rPr>
        <w:t xml:space="preserve"> 1.5-</w:t>
      </w:r>
      <w:r w:rsidR="00851B13">
        <w:rPr>
          <w:rFonts w:hint="eastAsia"/>
          <w:b/>
          <w:bCs/>
        </w:rPr>
        <w:t>8</w:t>
      </w:r>
      <w:r>
        <w:rPr>
          <w:b/>
          <w:bCs/>
        </w:rPr>
        <w:t xml:space="preserve"> </w:t>
      </w:r>
      <w:r>
        <w:rPr>
          <w:b/>
          <w:bCs/>
        </w:rPr>
        <w:t>恶臭污染物控制标准</w:t>
      </w:r>
    </w:p>
    <w:p w14:paraId="033B71CB" w14:textId="77777777" w:rsidR="00606029" w:rsidRDefault="00606029">
      <w:pPr>
        <w:widowControl/>
        <w:kinsoku w:val="0"/>
        <w:autoSpaceDE w:val="0"/>
        <w:autoSpaceDN w:val="0"/>
        <w:adjustRightInd w:val="0"/>
        <w:snapToGrid w:val="0"/>
        <w:spacing w:line="20" w:lineRule="exact"/>
        <w:jc w:val="left"/>
        <w:textAlignment w:val="baseline"/>
        <w:rPr>
          <w:rFonts w:eastAsia="Arial"/>
          <w:snapToGrid w:val="0"/>
          <w:color w:val="000000"/>
          <w:kern w:val="0"/>
        </w:rPr>
      </w:pPr>
    </w:p>
    <w:tbl>
      <w:tblPr>
        <w:tblStyle w:val="TableNormal"/>
        <w:tblW w:w="4998" w:type="pct"/>
        <w:tblInd w:w="0" w:type="dxa"/>
        <w:tblBorders>
          <w:top w:val="single" w:sz="4" w:space="0" w:color="auto"/>
          <w:left w:val="single" w:sz="4" w:space="0" w:color="auto"/>
          <w:bottom w:val="single" w:sz="4" w:space="0" w:color="auto"/>
          <w:right w:val="single" w:sz="4" w:space="0" w:color="auto"/>
          <w:insideH w:val="single" w:sz="2" w:space="0" w:color="000000"/>
          <w:insideV w:val="single" w:sz="2" w:space="0" w:color="000000"/>
        </w:tblBorders>
        <w:tblLook w:val="04A0" w:firstRow="1" w:lastRow="0" w:firstColumn="1" w:lastColumn="0" w:noHBand="0" w:noVBand="1"/>
      </w:tblPr>
      <w:tblGrid>
        <w:gridCol w:w="980"/>
        <w:gridCol w:w="2008"/>
        <w:gridCol w:w="5842"/>
      </w:tblGrid>
      <w:tr w:rsidR="00606029" w14:paraId="0599872C" w14:textId="77777777" w:rsidTr="00360B58">
        <w:trPr>
          <w:trHeight w:val="57"/>
        </w:trPr>
        <w:tc>
          <w:tcPr>
            <w:tcW w:w="555" w:type="pct"/>
            <w:vAlign w:val="center"/>
          </w:tcPr>
          <w:p w14:paraId="1A8925A1" w14:textId="77777777" w:rsidR="00606029" w:rsidRDefault="00EA5B92">
            <w:pPr>
              <w:pStyle w:val="a5"/>
              <w:spacing w:line="240" w:lineRule="auto"/>
              <w:ind w:leftChars="0" w:left="0" w:firstLine="0"/>
              <w:jc w:val="center"/>
              <w:rPr>
                <w:b/>
                <w:sz w:val="21"/>
                <w:szCs w:val="21"/>
                <w:lang w:eastAsia="en-US"/>
              </w:rPr>
            </w:pPr>
            <w:r>
              <w:rPr>
                <w:b/>
                <w:sz w:val="21"/>
                <w:szCs w:val="21"/>
                <w:lang w:eastAsia="en-US"/>
              </w:rPr>
              <w:t>污染物名称</w:t>
            </w:r>
          </w:p>
        </w:tc>
        <w:tc>
          <w:tcPr>
            <w:tcW w:w="1137" w:type="pct"/>
            <w:vAlign w:val="center"/>
          </w:tcPr>
          <w:p w14:paraId="1A7563C4" w14:textId="77777777" w:rsidR="00606029" w:rsidRDefault="00EA5B92">
            <w:pPr>
              <w:pStyle w:val="a5"/>
              <w:spacing w:line="240" w:lineRule="auto"/>
              <w:ind w:leftChars="0" w:left="0" w:firstLine="0"/>
              <w:jc w:val="center"/>
              <w:rPr>
                <w:b/>
                <w:sz w:val="21"/>
                <w:szCs w:val="21"/>
              </w:rPr>
            </w:pPr>
            <w:r>
              <w:rPr>
                <w:b/>
                <w:sz w:val="21"/>
                <w:szCs w:val="21"/>
              </w:rPr>
              <w:t>无组织排放厂界监控浓度限值（</w:t>
            </w:r>
            <w:r>
              <w:rPr>
                <w:b/>
                <w:sz w:val="21"/>
                <w:szCs w:val="21"/>
              </w:rPr>
              <w:t>mg/m</w:t>
            </w:r>
            <w:r>
              <w:rPr>
                <w:b/>
                <w:sz w:val="21"/>
                <w:szCs w:val="21"/>
                <w:vertAlign w:val="superscript"/>
              </w:rPr>
              <w:t>3</w:t>
            </w:r>
            <w:r>
              <w:rPr>
                <w:b/>
                <w:sz w:val="21"/>
                <w:szCs w:val="21"/>
              </w:rPr>
              <w:t>）</w:t>
            </w:r>
          </w:p>
        </w:tc>
        <w:tc>
          <w:tcPr>
            <w:tcW w:w="3308" w:type="pct"/>
            <w:vAlign w:val="center"/>
          </w:tcPr>
          <w:p w14:paraId="24810B41" w14:textId="77777777" w:rsidR="00606029" w:rsidRDefault="00EA5B92">
            <w:pPr>
              <w:pStyle w:val="a5"/>
              <w:spacing w:line="240" w:lineRule="auto"/>
              <w:ind w:leftChars="0" w:left="0" w:firstLine="0"/>
              <w:jc w:val="center"/>
              <w:rPr>
                <w:b/>
                <w:sz w:val="21"/>
                <w:szCs w:val="21"/>
                <w:lang w:eastAsia="en-US"/>
              </w:rPr>
            </w:pPr>
            <w:r>
              <w:rPr>
                <w:b/>
                <w:sz w:val="21"/>
                <w:szCs w:val="21"/>
                <w:lang w:eastAsia="en-US"/>
              </w:rPr>
              <w:t>执行标准</w:t>
            </w:r>
          </w:p>
        </w:tc>
      </w:tr>
      <w:tr w:rsidR="00360B58" w14:paraId="1E981000" w14:textId="77777777" w:rsidTr="00360B58">
        <w:trPr>
          <w:trHeight w:val="57"/>
        </w:trPr>
        <w:tc>
          <w:tcPr>
            <w:tcW w:w="555" w:type="pct"/>
            <w:vAlign w:val="center"/>
          </w:tcPr>
          <w:p w14:paraId="6DE34C31" w14:textId="77777777" w:rsidR="00360B58" w:rsidRDefault="00360B58">
            <w:pPr>
              <w:pStyle w:val="a5"/>
              <w:spacing w:line="240" w:lineRule="auto"/>
              <w:ind w:leftChars="0" w:left="0" w:firstLine="0"/>
              <w:jc w:val="center"/>
              <w:rPr>
                <w:bCs/>
                <w:sz w:val="21"/>
                <w:szCs w:val="21"/>
                <w:lang w:eastAsia="en-US"/>
              </w:rPr>
            </w:pPr>
            <w:r>
              <w:rPr>
                <w:bCs/>
                <w:sz w:val="21"/>
                <w:szCs w:val="21"/>
                <w:lang w:eastAsia="en-US"/>
              </w:rPr>
              <w:t>氨</w:t>
            </w:r>
          </w:p>
        </w:tc>
        <w:tc>
          <w:tcPr>
            <w:tcW w:w="1137" w:type="pct"/>
            <w:vAlign w:val="center"/>
          </w:tcPr>
          <w:p w14:paraId="43EEF042" w14:textId="73A9A800" w:rsidR="00360B58" w:rsidRDefault="00360B58">
            <w:pPr>
              <w:pStyle w:val="a5"/>
              <w:spacing w:line="240" w:lineRule="auto"/>
              <w:ind w:leftChars="0" w:left="0" w:firstLine="0"/>
              <w:jc w:val="center"/>
              <w:rPr>
                <w:bCs/>
                <w:sz w:val="21"/>
                <w:szCs w:val="21"/>
              </w:rPr>
            </w:pPr>
            <w:r>
              <w:rPr>
                <w:rFonts w:hint="eastAsia"/>
                <w:bCs/>
                <w:sz w:val="21"/>
                <w:szCs w:val="21"/>
              </w:rPr>
              <w:t>1.5</w:t>
            </w:r>
          </w:p>
        </w:tc>
        <w:tc>
          <w:tcPr>
            <w:tcW w:w="3308" w:type="pct"/>
            <w:vMerge w:val="restart"/>
            <w:vAlign w:val="center"/>
          </w:tcPr>
          <w:p w14:paraId="4083E294" w14:textId="2CDF4FF6" w:rsidR="00360B58" w:rsidRDefault="00360B58" w:rsidP="00EA5B92">
            <w:pPr>
              <w:kinsoku w:val="0"/>
              <w:autoSpaceDE w:val="0"/>
              <w:autoSpaceDN w:val="0"/>
              <w:adjustRightInd w:val="0"/>
              <w:snapToGrid w:val="0"/>
              <w:jc w:val="center"/>
              <w:textAlignment w:val="baseline"/>
              <w:rPr>
                <w:bCs/>
              </w:rPr>
            </w:pPr>
            <w:r>
              <w:rPr>
                <w:bCs/>
              </w:rPr>
              <w:t>《恶臭污染物排放标准》（</w:t>
            </w:r>
            <w:r>
              <w:rPr>
                <w:bCs/>
              </w:rPr>
              <w:t>GB14554-93</w:t>
            </w:r>
            <w:r>
              <w:rPr>
                <w:bCs/>
              </w:rPr>
              <w:t>）表</w:t>
            </w:r>
            <w:r>
              <w:rPr>
                <w:bCs/>
              </w:rPr>
              <w:t>1</w:t>
            </w:r>
            <w:r>
              <w:rPr>
                <w:bCs/>
              </w:rPr>
              <w:t>中二级新扩改建厂界浓度标准</w:t>
            </w:r>
          </w:p>
        </w:tc>
      </w:tr>
      <w:tr w:rsidR="00360B58" w14:paraId="43476787" w14:textId="77777777" w:rsidTr="00360B58">
        <w:trPr>
          <w:trHeight w:val="57"/>
        </w:trPr>
        <w:tc>
          <w:tcPr>
            <w:tcW w:w="555" w:type="pct"/>
            <w:vAlign w:val="center"/>
          </w:tcPr>
          <w:p w14:paraId="4AAA875F" w14:textId="77777777" w:rsidR="00360B58" w:rsidRDefault="00360B58">
            <w:pPr>
              <w:pStyle w:val="a5"/>
              <w:spacing w:line="240" w:lineRule="auto"/>
              <w:ind w:leftChars="0" w:left="0" w:firstLine="0"/>
              <w:jc w:val="center"/>
              <w:rPr>
                <w:bCs/>
                <w:sz w:val="21"/>
                <w:szCs w:val="21"/>
                <w:lang w:eastAsia="en-US"/>
              </w:rPr>
            </w:pPr>
            <w:r>
              <w:rPr>
                <w:bCs/>
                <w:sz w:val="21"/>
                <w:szCs w:val="21"/>
                <w:lang w:eastAsia="en-US"/>
              </w:rPr>
              <w:t>硫化氢</w:t>
            </w:r>
          </w:p>
        </w:tc>
        <w:tc>
          <w:tcPr>
            <w:tcW w:w="1137" w:type="pct"/>
            <w:tcBorders>
              <w:bottom w:val="single" w:sz="4" w:space="0" w:color="auto"/>
            </w:tcBorders>
            <w:vAlign w:val="center"/>
          </w:tcPr>
          <w:p w14:paraId="0B182A45" w14:textId="47357730" w:rsidR="00360B58" w:rsidRDefault="00360B58">
            <w:pPr>
              <w:pStyle w:val="a5"/>
              <w:spacing w:line="240" w:lineRule="auto"/>
              <w:ind w:leftChars="0" w:left="0" w:firstLine="0"/>
              <w:jc w:val="center"/>
              <w:rPr>
                <w:bCs/>
                <w:sz w:val="21"/>
                <w:szCs w:val="21"/>
              </w:rPr>
            </w:pPr>
            <w:r>
              <w:rPr>
                <w:bCs/>
                <w:sz w:val="21"/>
                <w:szCs w:val="21"/>
                <w:lang w:eastAsia="en-US"/>
              </w:rPr>
              <w:t>0.0</w:t>
            </w:r>
            <w:r>
              <w:rPr>
                <w:rFonts w:hint="eastAsia"/>
                <w:bCs/>
                <w:sz w:val="21"/>
                <w:szCs w:val="21"/>
              </w:rPr>
              <w:t>6</w:t>
            </w:r>
          </w:p>
        </w:tc>
        <w:tc>
          <w:tcPr>
            <w:tcW w:w="3308" w:type="pct"/>
            <w:vMerge/>
            <w:vAlign w:val="center"/>
          </w:tcPr>
          <w:p w14:paraId="391A5BFA" w14:textId="3735FAB2" w:rsidR="00360B58" w:rsidRDefault="00360B58" w:rsidP="00EA5B92">
            <w:pPr>
              <w:kinsoku w:val="0"/>
              <w:autoSpaceDE w:val="0"/>
              <w:autoSpaceDN w:val="0"/>
              <w:adjustRightInd w:val="0"/>
              <w:snapToGrid w:val="0"/>
              <w:jc w:val="center"/>
              <w:textAlignment w:val="baseline"/>
              <w:rPr>
                <w:rFonts w:eastAsia="Arial"/>
                <w:snapToGrid w:val="0"/>
                <w:color w:val="000000"/>
                <w:kern w:val="0"/>
                <w:lang w:eastAsia="en-US"/>
              </w:rPr>
            </w:pPr>
          </w:p>
        </w:tc>
      </w:tr>
      <w:tr w:rsidR="00360B58" w14:paraId="1EAEBC6B" w14:textId="77777777" w:rsidTr="00360B58">
        <w:trPr>
          <w:trHeight w:val="57"/>
        </w:trPr>
        <w:tc>
          <w:tcPr>
            <w:tcW w:w="555" w:type="pct"/>
            <w:vAlign w:val="center"/>
          </w:tcPr>
          <w:p w14:paraId="255B7A7D" w14:textId="77777777" w:rsidR="00360B58" w:rsidRDefault="00360B58">
            <w:pPr>
              <w:pStyle w:val="a5"/>
              <w:spacing w:line="240" w:lineRule="auto"/>
              <w:ind w:leftChars="0" w:left="0" w:firstLine="0"/>
              <w:jc w:val="center"/>
              <w:rPr>
                <w:bCs/>
                <w:sz w:val="21"/>
                <w:szCs w:val="21"/>
                <w:lang w:eastAsia="en-US"/>
              </w:rPr>
            </w:pPr>
            <w:r>
              <w:rPr>
                <w:bCs/>
                <w:sz w:val="21"/>
                <w:szCs w:val="21"/>
                <w:lang w:eastAsia="en-US"/>
              </w:rPr>
              <w:t>臭气浓度</w:t>
            </w:r>
          </w:p>
        </w:tc>
        <w:tc>
          <w:tcPr>
            <w:tcW w:w="1137" w:type="pct"/>
            <w:tcBorders>
              <w:top w:val="single" w:sz="4" w:space="0" w:color="auto"/>
            </w:tcBorders>
            <w:vAlign w:val="center"/>
          </w:tcPr>
          <w:p w14:paraId="4176DC16" w14:textId="77777777" w:rsidR="00360B58" w:rsidRDefault="00360B58">
            <w:pPr>
              <w:pStyle w:val="a5"/>
              <w:spacing w:line="240" w:lineRule="auto"/>
              <w:ind w:leftChars="0" w:left="0" w:firstLine="0"/>
              <w:jc w:val="center"/>
              <w:rPr>
                <w:bCs/>
                <w:sz w:val="21"/>
                <w:szCs w:val="21"/>
                <w:lang w:eastAsia="en-US"/>
              </w:rPr>
            </w:pPr>
            <w:r>
              <w:rPr>
                <w:bCs/>
                <w:sz w:val="21"/>
                <w:szCs w:val="21"/>
                <w:lang w:eastAsia="en-US"/>
              </w:rPr>
              <w:t>20</w:t>
            </w:r>
            <w:r>
              <w:rPr>
                <w:bCs/>
                <w:sz w:val="21"/>
                <w:szCs w:val="21"/>
                <w:lang w:eastAsia="en-US"/>
              </w:rPr>
              <w:t>（无量纲）</w:t>
            </w:r>
          </w:p>
        </w:tc>
        <w:tc>
          <w:tcPr>
            <w:tcW w:w="3308" w:type="pct"/>
            <w:vMerge/>
            <w:vAlign w:val="center"/>
          </w:tcPr>
          <w:p w14:paraId="07E60732" w14:textId="633E9091" w:rsidR="00360B58" w:rsidRDefault="00360B58">
            <w:pPr>
              <w:kinsoku w:val="0"/>
              <w:autoSpaceDE w:val="0"/>
              <w:autoSpaceDN w:val="0"/>
              <w:adjustRightInd w:val="0"/>
              <w:snapToGrid w:val="0"/>
              <w:jc w:val="center"/>
              <w:textAlignment w:val="baseline"/>
              <w:rPr>
                <w:rFonts w:eastAsia="Arial"/>
                <w:snapToGrid w:val="0"/>
                <w:color w:val="000000"/>
                <w:kern w:val="0"/>
              </w:rPr>
            </w:pPr>
          </w:p>
        </w:tc>
      </w:tr>
    </w:tbl>
    <w:p w14:paraId="307F11A4" w14:textId="23F38337" w:rsidR="00606029" w:rsidRDefault="00EA5B92">
      <w:pPr>
        <w:pStyle w:val="affffff4"/>
        <w:adjustRightInd/>
        <w:snapToGrid/>
        <w:spacing w:beforeLines="50" w:before="120"/>
        <w:ind w:firstLine="482"/>
        <w:rPr>
          <w:b/>
          <w:bCs/>
        </w:rPr>
      </w:pPr>
      <w:r>
        <w:rPr>
          <w:b/>
          <w:bCs/>
        </w:rPr>
        <w:t>2</w:t>
      </w:r>
      <w:r>
        <w:rPr>
          <w:b/>
          <w:bCs/>
        </w:rPr>
        <w:t>、废水</w:t>
      </w:r>
    </w:p>
    <w:p w14:paraId="15D47FF8" w14:textId="2F5DE78F" w:rsidR="00606029" w:rsidRDefault="00851B13">
      <w:pPr>
        <w:pStyle w:val="affffff4"/>
      </w:pPr>
      <w:r>
        <w:rPr>
          <w:rFonts w:hint="eastAsia"/>
        </w:rPr>
        <w:t>本</w:t>
      </w:r>
      <w:r w:rsidR="00EA5B92">
        <w:t>项目</w:t>
      </w:r>
      <w:r w:rsidR="0020120C">
        <w:t>不设置施工营地，</w:t>
      </w:r>
      <w:r w:rsidR="00AA5633" w:rsidRPr="00AA5633">
        <w:t>调节池改造清理过程中残留的渗滤液</w:t>
      </w:r>
      <w:r w:rsidR="00AA5633">
        <w:rPr>
          <w:rFonts w:hint="eastAsia"/>
        </w:rPr>
        <w:t>、</w:t>
      </w:r>
      <w:r w:rsidR="00EA5B92">
        <w:t>施工废水</w:t>
      </w:r>
      <w:r w:rsidR="00AA5633" w:rsidRPr="00AA5633">
        <w:t>经管道进入渗滤液处理站处理后满足《生活垃圾填埋场污染控制标准》（</w:t>
      </w:r>
      <w:r w:rsidR="00AA5633" w:rsidRPr="00AA5633">
        <w:t>GB16889-2024</w:t>
      </w:r>
      <w:r w:rsidR="00AA5633" w:rsidRPr="00AA5633">
        <w:t>）表</w:t>
      </w:r>
      <w:r w:rsidR="00AA5633" w:rsidRPr="00AA5633">
        <w:t>4</w:t>
      </w:r>
      <w:r w:rsidR="00AA5633" w:rsidRPr="00AA5633">
        <w:t>要求和《城市污水再生利用</w:t>
      </w:r>
      <w:r w:rsidR="00AA5633" w:rsidRPr="00AA5633">
        <w:t xml:space="preserve"> </w:t>
      </w:r>
      <w:r w:rsidR="00AA5633" w:rsidRPr="00AA5633">
        <w:t>工业用水水质》（</w:t>
      </w:r>
      <w:r w:rsidR="00AA5633" w:rsidRPr="00AA5633">
        <w:t>GB/T19923-2024</w:t>
      </w:r>
      <w:r w:rsidR="00AA5633" w:rsidRPr="00AA5633">
        <w:t>）表</w:t>
      </w:r>
      <w:r w:rsidR="00AA5633" w:rsidRPr="00AA5633">
        <w:t>1</w:t>
      </w:r>
      <w:r w:rsidR="00AA5633" w:rsidRPr="00AA5633">
        <w:t>间冷开式循环冷却水补充水标准后全部回用至厂区冷却塔补水，不外排。</w:t>
      </w:r>
      <w:r w:rsidR="0020120C" w:rsidRPr="0020120C">
        <w:t>生活污水</w:t>
      </w:r>
      <w:r>
        <w:rPr>
          <w:rFonts w:hint="eastAsia"/>
        </w:rPr>
        <w:t>依托</w:t>
      </w:r>
      <w:r w:rsidR="0020120C" w:rsidRPr="0020120C">
        <w:t>厂区内生活污水处理站处理</w:t>
      </w:r>
      <w:r w:rsidR="001044C1">
        <w:rPr>
          <w:rFonts w:hint="eastAsia"/>
        </w:rPr>
        <w:t>后，</w:t>
      </w:r>
      <w:r w:rsidR="001044C1" w:rsidRPr="001044C1">
        <w:t>进入工业废水处理站的</w:t>
      </w:r>
      <w:r w:rsidR="001044C1" w:rsidRPr="001044C1">
        <w:t>“</w:t>
      </w:r>
      <w:r w:rsidR="001044C1" w:rsidRPr="001044C1">
        <w:t>超滤</w:t>
      </w:r>
      <w:r w:rsidR="001044C1" w:rsidRPr="001044C1">
        <w:t>+</w:t>
      </w:r>
      <w:r w:rsidR="001044C1" w:rsidRPr="001044C1">
        <w:t>反渗透</w:t>
      </w:r>
      <w:r w:rsidR="001044C1" w:rsidRPr="001044C1">
        <w:t>”</w:t>
      </w:r>
      <w:r w:rsidR="001044C1" w:rsidRPr="001044C1">
        <w:t>进行深度处理后</w:t>
      </w:r>
      <w:r w:rsidR="001044C1">
        <w:rPr>
          <w:rFonts w:hint="eastAsia"/>
        </w:rPr>
        <w:t>满足</w:t>
      </w:r>
      <w:r w:rsidR="001044C1" w:rsidRPr="001044C1">
        <w:t>《城市</w:t>
      </w:r>
      <w:r w:rsidR="001044C1" w:rsidRPr="001044C1">
        <w:lastRenderedPageBreak/>
        <w:t>污水再生利用</w:t>
      </w:r>
      <w:r w:rsidR="001044C1" w:rsidRPr="001044C1">
        <w:t xml:space="preserve"> </w:t>
      </w:r>
      <w:r w:rsidR="001044C1" w:rsidRPr="001044C1">
        <w:t>工业用水水质》（</w:t>
      </w:r>
      <w:r w:rsidR="001044C1" w:rsidRPr="001044C1">
        <w:t>GB/T19923-2024</w:t>
      </w:r>
      <w:r w:rsidR="001044C1" w:rsidRPr="001044C1">
        <w:t>）表</w:t>
      </w:r>
      <w:r w:rsidR="001044C1" w:rsidRPr="001044C1">
        <w:t>1</w:t>
      </w:r>
      <w:r w:rsidR="001044C1" w:rsidRPr="001044C1">
        <w:t>间冷开式循环冷却水补充水标准后全部回用至厂区冷却塔补水，不外排</w:t>
      </w:r>
      <w:r w:rsidR="00163840" w:rsidRPr="00163840">
        <w:t>。</w:t>
      </w:r>
    </w:p>
    <w:p w14:paraId="143E1A33" w14:textId="26E2BF05" w:rsidR="00606029" w:rsidRDefault="00851B13" w:rsidP="00CD78D9">
      <w:pPr>
        <w:pStyle w:val="affffff4"/>
      </w:pPr>
      <w:r>
        <w:rPr>
          <w:rFonts w:hint="eastAsia"/>
        </w:rPr>
        <w:t>本</w:t>
      </w:r>
      <w:r w:rsidR="00EA5B92" w:rsidRPr="00AD37EF">
        <w:t>项目运营期及封场期排水采用雨污分流，</w:t>
      </w:r>
      <w:r w:rsidR="0034685A" w:rsidRPr="00AD37EF">
        <w:rPr>
          <w:rFonts w:hint="eastAsia"/>
        </w:rPr>
        <w:t>初级雨水进入初期雨水收集池后，进入渗滤液处理站处理，后期</w:t>
      </w:r>
      <w:r w:rsidR="00EA5B92" w:rsidRPr="00AD37EF">
        <w:t>雨水</w:t>
      </w:r>
      <w:r w:rsidR="0034685A" w:rsidRPr="00AD37EF">
        <w:rPr>
          <w:rFonts w:hint="eastAsia"/>
        </w:rPr>
        <w:t>进入</w:t>
      </w:r>
      <w:r w:rsidR="00EA5B92" w:rsidRPr="00AD37EF">
        <w:t>排水沟收集后，排入周边</w:t>
      </w:r>
      <w:r w:rsidR="0034685A" w:rsidRPr="00AD37EF">
        <w:rPr>
          <w:rFonts w:hint="eastAsia"/>
        </w:rPr>
        <w:t>中央排水干渠</w:t>
      </w:r>
      <w:r w:rsidR="00EA5B92" w:rsidRPr="00AD37EF">
        <w:t>；</w:t>
      </w:r>
      <w:r w:rsidR="00EA5B92">
        <w:t>项目废水主要是填埋场</w:t>
      </w:r>
      <w:bookmarkStart w:id="57" w:name="OLE_LINK4"/>
      <w:r w:rsidR="00EA5B92">
        <w:t>淋溶水</w:t>
      </w:r>
      <w:bookmarkEnd w:id="57"/>
      <w:r w:rsidR="00EA5B92">
        <w:t>，依托已建设的渗滤液处理站处理，</w:t>
      </w:r>
      <w:r w:rsidR="00CD78D9">
        <w:rPr>
          <w:rFonts w:hint="eastAsia"/>
        </w:rPr>
        <w:t>处理工艺为“</w:t>
      </w:r>
      <w:bookmarkStart w:id="58" w:name="OLE_LINK60"/>
      <w:r w:rsidR="00CD78D9">
        <w:rPr>
          <w:rFonts w:hint="eastAsia"/>
        </w:rPr>
        <w:t>调节池＋</w:t>
      </w:r>
      <w:r w:rsidR="00CD78D9">
        <w:rPr>
          <w:rFonts w:hint="eastAsia"/>
        </w:rPr>
        <w:t xml:space="preserve">UASB </w:t>
      </w:r>
      <w:r w:rsidR="00CD78D9">
        <w:rPr>
          <w:rFonts w:hint="eastAsia"/>
        </w:rPr>
        <w:t>厌氧反应器＋</w:t>
      </w:r>
      <w:r w:rsidR="00CD78D9">
        <w:rPr>
          <w:rFonts w:hint="eastAsia"/>
        </w:rPr>
        <w:t xml:space="preserve">MBR </w:t>
      </w:r>
      <w:r w:rsidR="00CD78D9">
        <w:rPr>
          <w:rFonts w:hint="eastAsia"/>
        </w:rPr>
        <w:t>生化处理系统＋</w:t>
      </w:r>
      <w:r w:rsidR="00CD78D9">
        <w:rPr>
          <w:rFonts w:hint="eastAsia"/>
        </w:rPr>
        <w:t xml:space="preserve">NF </w:t>
      </w:r>
      <w:r w:rsidR="00CD78D9">
        <w:rPr>
          <w:rFonts w:hint="eastAsia"/>
        </w:rPr>
        <w:t>纳滤＋</w:t>
      </w:r>
      <w:r w:rsidR="00CD78D9">
        <w:rPr>
          <w:rFonts w:hint="eastAsia"/>
        </w:rPr>
        <w:t xml:space="preserve">RO </w:t>
      </w:r>
      <w:r w:rsidR="00CD78D9">
        <w:rPr>
          <w:rFonts w:hint="eastAsia"/>
        </w:rPr>
        <w:t>反渗透</w:t>
      </w:r>
      <w:bookmarkEnd w:id="58"/>
      <w:r w:rsidR="00CD78D9">
        <w:rPr>
          <w:rFonts w:hint="eastAsia"/>
        </w:rPr>
        <w:t>”</w:t>
      </w:r>
      <w:r w:rsidR="0020120C">
        <w:rPr>
          <w:rFonts w:hint="eastAsia"/>
        </w:rPr>
        <w:t>，</w:t>
      </w:r>
      <w:r w:rsidR="00CD78D9">
        <w:rPr>
          <w:rFonts w:hint="eastAsia"/>
          <w:szCs w:val="22"/>
        </w:rPr>
        <w:t>出水</w:t>
      </w:r>
      <w:r w:rsidR="00535A47" w:rsidRPr="00535A47">
        <w:rPr>
          <w:szCs w:val="22"/>
        </w:rPr>
        <w:t>满足《生活垃圾填埋场污染控制标准》（</w:t>
      </w:r>
      <w:r w:rsidR="00535A47" w:rsidRPr="00535A47">
        <w:rPr>
          <w:szCs w:val="22"/>
        </w:rPr>
        <w:t>GB16889-2024</w:t>
      </w:r>
      <w:r w:rsidR="00535A47" w:rsidRPr="00535A47">
        <w:rPr>
          <w:szCs w:val="22"/>
        </w:rPr>
        <w:t>）表</w:t>
      </w:r>
      <w:r w:rsidR="00535A47" w:rsidRPr="00535A47">
        <w:rPr>
          <w:szCs w:val="22"/>
        </w:rPr>
        <w:t>4</w:t>
      </w:r>
      <w:r w:rsidR="00535A47" w:rsidRPr="00535A47">
        <w:rPr>
          <w:szCs w:val="22"/>
        </w:rPr>
        <w:t>要求和</w:t>
      </w:r>
      <w:r w:rsidR="00CD78D9" w:rsidRPr="00CD78D9">
        <w:rPr>
          <w:rFonts w:hint="eastAsia"/>
          <w:szCs w:val="22"/>
        </w:rPr>
        <w:t>《城市污水再生利用</w:t>
      </w:r>
      <w:r w:rsidR="00CD78D9" w:rsidRPr="00CD78D9">
        <w:rPr>
          <w:rFonts w:hint="eastAsia"/>
          <w:szCs w:val="22"/>
        </w:rPr>
        <w:t xml:space="preserve"> </w:t>
      </w:r>
      <w:r w:rsidR="00CD78D9" w:rsidRPr="00CD78D9">
        <w:rPr>
          <w:rFonts w:hint="eastAsia"/>
          <w:szCs w:val="22"/>
        </w:rPr>
        <w:t>工业用水水质》（</w:t>
      </w:r>
      <w:r w:rsidR="00CD78D9" w:rsidRPr="00CD78D9">
        <w:rPr>
          <w:rFonts w:hint="eastAsia"/>
          <w:szCs w:val="22"/>
        </w:rPr>
        <w:t>GB/T19923-20</w:t>
      </w:r>
      <w:r w:rsidR="00CD78D9">
        <w:rPr>
          <w:rFonts w:hint="eastAsia"/>
          <w:szCs w:val="22"/>
        </w:rPr>
        <w:t>24</w:t>
      </w:r>
      <w:r w:rsidR="00CD78D9" w:rsidRPr="00CD78D9">
        <w:rPr>
          <w:rFonts w:hint="eastAsia"/>
          <w:szCs w:val="22"/>
        </w:rPr>
        <w:t>）</w:t>
      </w:r>
      <w:r w:rsidR="00F32134">
        <w:rPr>
          <w:rFonts w:hint="eastAsia"/>
          <w:szCs w:val="22"/>
        </w:rPr>
        <w:t>表</w:t>
      </w:r>
      <w:r w:rsidR="00F32134">
        <w:rPr>
          <w:rFonts w:hint="eastAsia"/>
          <w:szCs w:val="22"/>
        </w:rPr>
        <w:t>1</w:t>
      </w:r>
      <w:r w:rsidR="00535A47">
        <w:rPr>
          <w:rFonts w:hint="eastAsia"/>
          <w:szCs w:val="22"/>
        </w:rPr>
        <w:t>间冷开式循环冷却水补充水标准</w:t>
      </w:r>
      <w:r w:rsidR="00CD78D9" w:rsidRPr="00CD78D9">
        <w:rPr>
          <w:rFonts w:hint="eastAsia"/>
          <w:szCs w:val="22"/>
        </w:rPr>
        <w:t>后全部回用至厂区冷却塔补水，不外排。</w:t>
      </w:r>
    </w:p>
    <w:p w14:paraId="5226B8D4" w14:textId="77777777" w:rsidR="00606029" w:rsidRDefault="00EA5B92">
      <w:pPr>
        <w:pStyle w:val="affffff4"/>
        <w:adjustRightInd/>
        <w:snapToGrid/>
        <w:spacing w:beforeLines="50" w:before="120"/>
        <w:ind w:firstLine="482"/>
        <w:rPr>
          <w:b/>
          <w:bCs/>
        </w:rPr>
      </w:pPr>
      <w:r>
        <w:rPr>
          <w:b/>
          <w:bCs/>
        </w:rPr>
        <w:t>3</w:t>
      </w:r>
      <w:r>
        <w:rPr>
          <w:b/>
          <w:bCs/>
        </w:rPr>
        <w:t>、噪声</w:t>
      </w:r>
    </w:p>
    <w:p w14:paraId="328D7894" w14:textId="7B6D8839" w:rsidR="00606029" w:rsidRDefault="00EA5B92">
      <w:pPr>
        <w:pStyle w:val="affffff4"/>
      </w:pPr>
      <w:r>
        <w:t>项目施工期执行《建筑施工场界环境噪声排放标准》（</w:t>
      </w:r>
      <w:r>
        <w:t>GB12523-20</w:t>
      </w:r>
      <w:r w:rsidR="00CD78D9">
        <w:rPr>
          <w:rFonts w:hint="eastAsia"/>
        </w:rPr>
        <w:t>25</w:t>
      </w:r>
      <w:r>
        <w:t>），项目</w:t>
      </w:r>
      <w:r w:rsidR="00C40CEF">
        <w:t>运营期</w:t>
      </w:r>
      <w:r>
        <w:t>及封场期执行《工业企业厂界环境噪声排放标准》（</w:t>
      </w:r>
      <w:r>
        <w:t>GB12348-2008</w:t>
      </w:r>
      <w:r>
        <w:t>）</w:t>
      </w:r>
      <w:r>
        <w:t>2</w:t>
      </w:r>
      <w:r>
        <w:t>类标准。</w:t>
      </w:r>
    </w:p>
    <w:p w14:paraId="78579E41" w14:textId="460EA37E" w:rsidR="00606029" w:rsidRDefault="00EA5B92">
      <w:pPr>
        <w:pStyle w:val="affffff5"/>
      </w:pPr>
      <w:r>
        <w:t>表</w:t>
      </w:r>
      <w:r>
        <w:t xml:space="preserve"> 1.5-</w:t>
      </w:r>
      <w:r w:rsidR="0066182B">
        <w:rPr>
          <w:rFonts w:hint="eastAsia"/>
        </w:rPr>
        <w:t>9</w:t>
      </w:r>
      <w:r>
        <w:t xml:space="preserve"> </w:t>
      </w:r>
      <w:r>
        <w:t>厂界环境噪声排放标准</w:t>
      </w:r>
    </w:p>
    <w:tbl>
      <w:tblPr>
        <w:tblW w:w="8945" w:type="dxa"/>
        <w:tblInd w:w="-108"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0" w:type="dxa"/>
        </w:tblCellMar>
        <w:tblLook w:val="04A0" w:firstRow="1" w:lastRow="0" w:firstColumn="1" w:lastColumn="0" w:noHBand="0" w:noVBand="1"/>
      </w:tblPr>
      <w:tblGrid>
        <w:gridCol w:w="3986"/>
        <w:gridCol w:w="1384"/>
        <w:gridCol w:w="3575"/>
      </w:tblGrid>
      <w:tr w:rsidR="00606029" w14:paraId="39F7CDFA" w14:textId="77777777">
        <w:trPr>
          <w:trHeight w:val="240"/>
        </w:trPr>
        <w:tc>
          <w:tcPr>
            <w:tcW w:w="5370" w:type="dxa"/>
            <w:gridSpan w:val="2"/>
            <w:tcBorders>
              <w:top w:val="single" w:sz="4" w:space="0" w:color="auto"/>
              <w:left w:val="single" w:sz="4" w:space="0" w:color="auto"/>
              <w:bottom w:val="single" w:sz="4" w:space="0" w:color="auto"/>
              <w:right w:val="single" w:sz="4" w:space="0" w:color="auto"/>
            </w:tcBorders>
            <w:vAlign w:val="center"/>
          </w:tcPr>
          <w:p w14:paraId="545F114F" w14:textId="77777777" w:rsidR="00606029" w:rsidRDefault="00EA5B92">
            <w:pPr>
              <w:pStyle w:val="TableText"/>
              <w:spacing w:before="36" w:line="203" w:lineRule="auto"/>
              <w:ind w:right="14"/>
              <w:jc w:val="center"/>
              <w:rPr>
                <w:rFonts w:ascii="Times New Roman" w:hAnsi="Times New Roman" w:cs="Times New Roman"/>
                <w:b/>
                <w:bCs/>
              </w:rPr>
            </w:pPr>
            <w:r>
              <w:rPr>
                <w:rFonts w:ascii="Times New Roman" w:hAnsi="Times New Roman" w:cs="Times New Roman"/>
                <w:b/>
                <w:bCs/>
              </w:rPr>
              <w:t>标准名称及代号</w:t>
            </w:r>
          </w:p>
        </w:tc>
        <w:tc>
          <w:tcPr>
            <w:tcW w:w="3575" w:type="dxa"/>
            <w:tcBorders>
              <w:top w:val="single" w:sz="4" w:space="0" w:color="auto"/>
              <w:left w:val="single" w:sz="4" w:space="0" w:color="auto"/>
              <w:bottom w:val="single" w:sz="4" w:space="0" w:color="auto"/>
              <w:right w:val="single" w:sz="4" w:space="0" w:color="auto"/>
            </w:tcBorders>
            <w:vAlign w:val="center"/>
          </w:tcPr>
          <w:p w14:paraId="5E27DA8A" w14:textId="77777777" w:rsidR="00606029" w:rsidRDefault="00EA5B92">
            <w:pPr>
              <w:pStyle w:val="TableText"/>
              <w:spacing w:before="36" w:line="203" w:lineRule="auto"/>
              <w:ind w:right="14"/>
              <w:jc w:val="center"/>
              <w:rPr>
                <w:rFonts w:ascii="Times New Roman" w:hAnsi="Times New Roman" w:cs="Times New Roman"/>
                <w:b/>
                <w:bCs/>
              </w:rPr>
            </w:pPr>
            <w:r>
              <w:rPr>
                <w:rFonts w:ascii="Times New Roman" w:hAnsi="Times New Roman" w:cs="Times New Roman"/>
                <w:b/>
                <w:bCs/>
              </w:rPr>
              <w:t>排放限值（</w:t>
            </w:r>
            <w:r>
              <w:rPr>
                <w:rFonts w:ascii="Times New Roman" w:hAnsi="Times New Roman" w:cs="Times New Roman"/>
                <w:b/>
                <w:bCs/>
              </w:rPr>
              <w:t>dB</w:t>
            </w:r>
            <w:r>
              <w:rPr>
                <w:rFonts w:ascii="Times New Roman" w:hAnsi="Times New Roman" w:cs="Times New Roman"/>
                <w:b/>
                <w:bCs/>
                <w:lang w:eastAsia="zh-CN"/>
              </w:rPr>
              <w:t>（</w:t>
            </w:r>
            <w:r>
              <w:rPr>
                <w:rFonts w:ascii="Times New Roman" w:hAnsi="Times New Roman" w:cs="Times New Roman"/>
                <w:b/>
                <w:bCs/>
              </w:rPr>
              <w:t>A</w:t>
            </w:r>
            <w:r>
              <w:rPr>
                <w:rFonts w:ascii="Times New Roman" w:hAnsi="Times New Roman" w:cs="Times New Roman"/>
                <w:b/>
                <w:bCs/>
                <w:lang w:eastAsia="zh-CN"/>
              </w:rPr>
              <w:t>）</w:t>
            </w:r>
            <w:r>
              <w:rPr>
                <w:rFonts w:ascii="Times New Roman" w:hAnsi="Times New Roman" w:cs="Times New Roman"/>
                <w:b/>
                <w:bCs/>
              </w:rPr>
              <w:t>）</w:t>
            </w:r>
          </w:p>
        </w:tc>
      </w:tr>
      <w:tr w:rsidR="00606029" w14:paraId="1CC6F182" w14:textId="77777777">
        <w:trPr>
          <w:trHeight w:val="236"/>
        </w:trPr>
        <w:tc>
          <w:tcPr>
            <w:tcW w:w="3986" w:type="dxa"/>
            <w:vMerge w:val="restart"/>
            <w:tcBorders>
              <w:top w:val="single" w:sz="4" w:space="0" w:color="auto"/>
              <w:left w:val="single" w:sz="4" w:space="0" w:color="auto"/>
              <w:bottom w:val="single" w:sz="4" w:space="0" w:color="auto"/>
              <w:right w:val="single" w:sz="4" w:space="0" w:color="auto"/>
            </w:tcBorders>
            <w:vAlign w:val="center"/>
          </w:tcPr>
          <w:p w14:paraId="72A5D499" w14:textId="795FEF62" w:rsidR="00606029" w:rsidRDefault="00EA5B92">
            <w:pPr>
              <w:pStyle w:val="TableText"/>
              <w:spacing w:before="36" w:line="203" w:lineRule="auto"/>
              <w:ind w:right="14"/>
              <w:jc w:val="center"/>
              <w:rPr>
                <w:rFonts w:ascii="Times New Roman" w:hAnsi="Times New Roman" w:cs="Times New Roman"/>
                <w:lang w:eastAsia="zh-CN"/>
              </w:rPr>
            </w:pPr>
            <w:r>
              <w:rPr>
                <w:rFonts w:ascii="Times New Roman" w:hAnsi="Times New Roman" w:cs="Times New Roman"/>
                <w:lang w:eastAsia="zh-CN"/>
              </w:rPr>
              <w:t>《建筑施工场界环境噪声排放标准》（</w:t>
            </w:r>
            <w:r>
              <w:rPr>
                <w:rFonts w:ascii="Times New Roman" w:hAnsi="Times New Roman" w:cs="Times New Roman"/>
                <w:lang w:eastAsia="zh-CN"/>
              </w:rPr>
              <w:t>GB12523-20</w:t>
            </w:r>
            <w:r w:rsidR="00CD78D9">
              <w:rPr>
                <w:rFonts w:ascii="Times New Roman" w:hAnsi="Times New Roman" w:cs="Times New Roman" w:hint="eastAsia"/>
                <w:lang w:eastAsia="zh-CN"/>
              </w:rPr>
              <w:t>25</w:t>
            </w:r>
            <w:r>
              <w:rPr>
                <w:rFonts w:ascii="Times New Roman" w:hAnsi="Times New Roman" w:cs="Times New Roman"/>
                <w:lang w:eastAsia="zh-CN"/>
              </w:rPr>
              <w:t>）</w:t>
            </w:r>
          </w:p>
        </w:tc>
        <w:tc>
          <w:tcPr>
            <w:tcW w:w="1384" w:type="dxa"/>
            <w:tcBorders>
              <w:top w:val="single" w:sz="4" w:space="0" w:color="auto"/>
              <w:left w:val="single" w:sz="4" w:space="0" w:color="auto"/>
              <w:bottom w:val="single" w:sz="4" w:space="0" w:color="auto"/>
              <w:right w:val="single" w:sz="4" w:space="0" w:color="auto"/>
            </w:tcBorders>
            <w:vAlign w:val="center"/>
          </w:tcPr>
          <w:p w14:paraId="5ED9D72F" w14:textId="77777777" w:rsidR="00606029" w:rsidRDefault="00EA5B92">
            <w:pPr>
              <w:pStyle w:val="TableText"/>
              <w:spacing w:before="36" w:line="203" w:lineRule="auto"/>
              <w:ind w:right="14"/>
              <w:jc w:val="center"/>
              <w:rPr>
                <w:rFonts w:ascii="Times New Roman" w:hAnsi="Times New Roman" w:cs="Times New Roman"/>
              </w:rPr>
            </w:pPr>
            <w:r>
              <w:rPr>
                <w:rFonts w:ascii="Times New Roman" w:hAnsi="Times New Roman" w:cs="Times New Roman"/>
              </w:rPr>
              <w:t>昼间</w:t>
            </w:r>
          </w:p>
        </w:tc>
        <w:tc>
          <w:tcPr>
            <w:tcW w:w="3575" w:type="dxa"/>
            <w:tcBorders>
              <w:top w:val="single" w:sz="4" w:space="0" w:color="auto"/>
              <w:left w:val="single" w:sz="4" w:space="0" w:color="auto"/>
              <w:bottom w:val="single" w:sz="4" w:space="0" w:color="auto"/>
              <w:right w:val="single" w:sz="4" w:space="0" w:color="auto"/>
            </w:tcBorders>
            <w:vAlign w:val="center"/>
          </w:tcPr>
          <w:p w14:paraId="66210B9A" w14:textId="77777777" w:rsidR="00606029" w:rsidRDefault="00EA5B92">
            <w:pPr>
              <w:pStyle w:val="TableText"/>
              <w:spacing w:before="36" w:line="203" w:lineRule="auto"/>
              <w:ind w:right="14"/>
              <w:jc w:val="center"/>
              <w:rPr>
                <w:rFonts w:ascii="Times New Roman" w:hAnsi="Times New Roman" w:cs="Times New Roman"/>
              </w:rPr>
            </w:pPr>
            <w:r>
              <w:rPr>
                <w:rFonts w:ascii="Times New Roman" w:hAnsi="Times New Roman" w:cs="Times New Roman"/>
              </w:rPr>
              <w:t>70</w:t>
            </w:r>
          </w:p>
        </w:tc>
      </w:tr>
      <w:tr w:rsidR="00606029" w14:paraId="1F357E0B" w14:textId="77777777">
        <w:trPr>
          <w:trHeight w:val="260"/>
        </w:trPr>
        <w:tc>
          <w:tcPr>
            <w:tcW w:w="3986" w:type="dxa"/>
            <w:vMerge/>
            <w:tcBorders>
              <w:top w:val="single" w:sz="4" w:space="0" w:color="auto"/>
              <w:left w:val="single" w:sz="4" w:space="0" w:color="auto"/>
              <w:bottom w:val="single" w:sz="4" w:space="0" w:color="auto"/>
              <w:right w:val="single" w:sz="4" w:space="0" w:color="auto"/>
            </w:tcBorders>
            <w:vAlign w:val="center"/>
          </w:tcPr>
          <w:p w14:paraId="172BC48C" w14:textId="77777777" w:rsidR="00606029" w:rsidRDefault="00606029">
            <w:pPr>
              <w:pStyle w:val="TableText"/>
              <w:spacing w:before="36" w:line="203" w:lineRule="auto"/>
              <w:ind w:right="14"/>
              <w:jc w:val="center"/>
              <w:rPr>
                <w:rFonts w:ascii="Times New Roman" w:hAnsi="Times New Roman" w:cs="Times New Roman"/>
              </w:rPr>
            </w:pPr>
          </w:p>
        </w:tc>
        <w:tc>
          <w:tcPr>
            <w:tcW w:w="1384" w:type="dxa"/>
            <w:tcBorders>
              <w:top w:val="single" w:sz="4" w:space="0" w:color="auto"/>
              <w:left w:val="single" w:sz="4" w:space="0" w:color="auto"/>
              <w:bottom w:val="single" w:sz="4" w:space="0" w:color="auto"/>
              <w:right w:val="single" w:sz="4" w:space="0" w:color="auto"/>
            </w:tcBorders>
            <w:vAlign w:val="center"/>
          </w:tcPr>
          <w:p w14:paraId="051FEACE" w14:textId="77777777" w:rsidR="00606029" w:rsidRDefault="00EA5B92">
            <w:pPr>
              <w:pStyle w:val="TableText"/>
              <w:spacing w:before="36" w:line="203" w:lineRule="auto"/>
              <w:ind w:right="14"/>
              <w:jc w:val="center"/>
              <w:rPr>
                <w:rFonts w:ascii="Times New Roman" w:hAnsi="Times New Roman" w:cs="Times New Roman"/>
              </w:rPr>
            </w:pPr>
            <w:r>
              <w:rPr>
                <w:rFonts w:ascii="Times New Roman" w:hAnsi="Times New Roman" w:cs="Times New Roman"/>
              </w:rPr>
              <w:t>夜间</w:t>
            </w:r>
          </w:p>
        </w:tc>
        <w:tc>
          <w:tcPr>
            <w:tcW w:w="3575" w:type="dxa"/>
            <w:tcBorders>
              <w:top w:val="single" w:sz="4" w:space="0" w:color="auto"/>
              <w:left w:val="single" w:sz="4" w:space="0" w:color="auto"/>
              <w:bottom w:val="single" w:sz="4" w:space="0" w:color="auto"/>
              <w:right w:val="single" w:sz="4" w:space="0" w:color="auto"/>
            </w:tcBorders>
            <w:vAlign w:val="center"/>
          </w:tcPr>
          <w:p w14:paraId="347FA04D" w14:textId="77777777" w:rsidR="00606029" w:rsidRDefault="00EA5B92">
            <w:pPr>
              <w:pStyle w:val="TableText"/>
              <w:spacing w:before="36" w:line="203" w:lineRule="auto"/>
              <w:ind w:right="14"/>
              <w:jc w:val="center"/>
              <w:rPr>
                <w:rFonts w:ascii="Times New Roman" w:hAnsi="Times New Roman" w:cs="Times New Roman"/>
              </w:rPr>
            </w:pPr>
            <w:r>
              <w:rPr>
                <w:rFonts w:ascii="Times New Roman" w:hAnsi="Times New Roman" w:cs="Times New Roman"/>
              </w:rPr>
              <w:t>55</w:t>
            </w:r>
          </w:p>
        </w:tc>
      </w:tr>
      <w:tr w:rsidR="00606029" w14:paraId="06ACD41A" w14:textId="77777777">
        <w:trPr>
          <w:trHeight w:val="260"/>
        </w:trPr>
        <w:tc>
          <w:tcPr>
            <w:tcW w:w="3986" w:type="dxa"/>
            <w:vMerge w:val="restart"/>
            <w:tcBorders>
              <w:top w:val="single" w:sz="4" w:space="0" w:color="auto"/>
              <w:left w:val="single" w:sz="4" w:space="0" w:color="auto"/>
              <w:bottom w:val="single" w:sz="2" w:space="0" w:color="000000"/>
              <w:right w:val="single" w:sz="4" w:space="0" w:color="auto"/>
            </w:tcBorders>
            <w:vAlign w:val="center"/>
          </w:tcPr>
          <w:p w14:paraId="62313E31" w14:textId="77777777" w:rsidR="00606029" w:rsidRDefault="00EA5B92">
            <w:pPr>
              <w:pStyle w:val="TableText"/>
              <w:spacing w:before="36" w:line="203" w:lineRule="auto"/>
              <w:ind w:right="14"/>
              <w:jc w:val="center"/>
              <w:rPr>
                <w:rFonts w:ascii="Times New Roman" w:hAnsi="Times New Roman" w:cs="Times New Roman"/>
                <w:lang w:eastAsia="zh-CN"/>
              </w:rPr>
            </w:pPr>
            <w:r>
              <w:rPr>
                <w:rFonts w:ascii="Times New Roman" w:hAnsi="Times New Roman" w:cs="Times New Roman"/>
                <w:lang w:eastAsia="zh-CN"/>
              </w:rPr>
              <w:t>《工业企业厂界环境噪声排放标准》（</w:t>
            </w:r>
            <w:r>
              <w:rPr>
                <w:rFonts w:ascii="Times New Roman" w:hAnsi="Times New Roman" w:cs="Times New Roman"/>
                <w:lang w:eastAsia="zh-CN"/>
              </w:rPr>
              <w:t>GB12348-2008</w:t>
            </w:r>
            <w:r>
              <w:rPr>
                <w:rFonts w:ascii="Times New Roman" w:hAnsi="Times New Roman" w:cs="Times New Roman"/>
                <w:lang w:eastAsia="zh-CN"/>
              </w:rPr>
              <w:t>）</w:t>
            </w:r>
            <w:r>
              <w:rPr>
                <w:rFonts w:ascii="Times New Roman" w:hAnsi="Times New Roman" w:cs="Times New Roman"/>
                <w:lang w:eastAsia="zh-CN"/>
              </w:rPr>
              <w:t>2</w:t>
            </w:r>
            <w:r>
              <w:rPr>
                <w:rFonts w:ascii="Times New Roman" w:hAnsi="Times New Roman" w:cs="Times New Roman"/>
                <w:lang w:eastAsia="zh-CN"/>
              </w:rPr>
              <w:t>类</w:t>
            </w:r>
          </w:p>
        </w:tc>
        <w:tc>
          <w:tcPr>
            <w:tcW w:w="1384" w:type="dxa"/>
            <w:tcBorders>
              <w:top w:val="single" w:sz="4" w:space="0" w:color="auto"/>
              <w:left w:val="single" w:sz="4" w:space="0" w:color="auto"/>
              <w:bottom w:val="single" w:sz="4" w:space="0" w:color="auto"/>
              <w:right w:val="single" w:sz="4" w:space="0" w:color="auto"/>
            </w:tcBorders>
            <w:vAlign w:val="center"/>
          </w:tcPr>
          <w:p w14:paraId="162BC19C" w14:textId="77777777" w:rsidR="00606029" w:rsidRDefault="00EA5B92">
            <w:pPr>
              <w:pStyle w:val="TableText"/>
              <w:spacing w:before="36" w:line="203" w:lineRule="auto"/>
              <w:ind w:right="14"/>
              <w:jc w:val="center"/>
              <w:rPr>
                <w:rFonts w:ascii="Times New Roman" w:hAnsi="Times New Roman" w:cs="Times New Roman"/>
              </w:rPr>
            </w:pPr>
            <w:r>
              <w:rPr>
                <w:rFonts w:ascii="Times New Roman" w:hAnsi="Times New Roman" w:cs="Times New Roman"/>
              </w:rPr>
              <w:t>昼间</w:t>
            </w:r>
          </w:p>
        </w:tc>
        <w:tc>
          <w:tcPr>
            <w:tcW w:w="3575" w:type="dxa"/>
            <w:tcBorders>
              <w:top w:val="single" w:sz="4" w:space="0" w:color="auto"/>
              <w:left w:val="single" w:sz="4" w:space="0" w:color="auto"/>
              <w:bottom w:val="single" w:sz="4" w:space="0" w:color="auto"/>
              <w:right w:val="single" w:sz="4" w:space="0" w:color="auto"/>
            </w:tcBorders>
            <w:vAlign w:val="center"/>
          </w:tcPr>
          <w:p w14:paraId="27AF2F0D" w14:textId="77777777" w:rsidR="00606029" w:rsidRDefault="00EA5B92">
            <w:pPr>
              <w:pStyle w:val="TableText"/>
              <w:spacing w:before="36" w:line="203" w:lineRule="auto"/>
              <w:ind w:right="14"/>
              <w:jc w:val="center"/>
              <w:rPr>
                <w:rFonts w:ascii="Times New Roman" w:hAnsi="Times New Roman" w:cs="Times New Roman"/>
                <w:lang w:eastAsia="zh-CN"/>
              </w:rPr>
            </w:pPr>
            <w:r>
              <w:rPr>
                <w:rFonts w:ascii="Times New Roman" w:hAnsi="Times New Roman" w:cs="Times New Roman"/>
              </w:rPr>
              <w:t>6</w:t>
            </w:r>
            <w:r>
              <w:rPr>
                <w:rFonts w:ascii="Times New Roman" w:hAnsi="Times New Roman" w:cs="Times New Roman"/>
                <w:lang w:eastAsia="zh-CN"/>
              </w:rPr>
              <w:t>0</w:t>
            </w:r>
          </w:p>
        </w:tc>
      </w:tr>
      <w:tr w:rsidR="00606029" w14:paraId="65490BCD" w14:textId="77777777">
        <w:trPr>
          <w:trHeight w:val="260"/>
        </w:trPr>
        <w:tc>
          <w:tcPr>
            <w:tcW w:w="3986" w:type="dxa"/>
            <w:vMerge/>
            <w:tcBorders>
              <w:top w:val="single" w:sz="2" w:space="0" w:color="000000"/>
              <w:left w:val="single" w:sz="4" w:space="0" w:color="auto"/>
              <w:bottom w:val="single" w:sz="4" w:space="0" w:color="auto"/>
              <w:right w:val="single" w:sz="4" w:space="0" w:color="auto"/>
            </w:tcBorders>
            <w:vAlign w:val="center"/>
          </w:tcPr>
          <w:p w14:paraId="2F519CC6" w14:textId="77777777" w:rsidR="00606029" w:rsidRDefault="00606029">
            <w:pPr>
              <w:pStyle w:val="TableText"/>
              <w:spacing w:before="36" w:line="203" w:lineRule="auto"/>
              <w:ind w:right="14"/>
              <w:jc w:val="center"/>
              <w:rPr>
                <w:rFonts w:ascii="Times New Roman" w:hAnsi="Times New Roman" w:cs="Times New Roman"/>
              </w:rPr>
            </w:pPr>
          </w:p>
        </w:tc>
        <w:tc>
          <w:tcPr>
            <w:tcW w:w="1384" w:type="dxa"/>
            <w:tcBorders>
              <w:top w:val="single" w:sz="4" w:space="0" w:color="auto"/>
              <w:left w:val="single" w:sz="4" w:space="0" w:color="auto"/>
              <w:bottom w:val="single" w:sz="4" w:space="0" w:color="auto"/>
              <w:right w:val="single" w:sz="4" w:space="0" w:color="auto"/>
            </w:tcBorders>
            <w:vAlign w:val="center"/>
          </w:tcPr>
          <w:p w14:paraId="68F81BAA" w14:textId="77777777" w:rsidR="00606029" w:rsidRDefault="00EA5B92">
            <w:pPr>
              <w:pStyle w:val="TableText"/>
              <w:spacing w:before="36" w:line="203" w:lineRule="auto"/>
              <w:ind w:right="14"/>
              <w:jc w:val="center"/>
              <w:rPr>
                <w:rFonts w:ascii="Times New Roman" w:hAnsi="Times New Roman" w:cs="Times New Roman"/>
              </w:rPr>
            </w:pPr>
            <w:r>
              <w:rPr>
                <w:rFonts w:ascii="Times New Roman" w:hAnsi="Times New Roman" w:cs="Times New Roman"/>
              </w:rPr>
              <w:t>夜间</w:t>
            </w:r>
          </w:p>
        </w:tc>
        <w:tc>
          <w:tcPr>
            <w:tcW w:w="3575" w:type="dxa"/>
            <w:tcBorders>
              <w:top w:val="single" w:sz="4" w:space="0" w:color="auto"/>
              <w:left w:val="single" w:sz="4" w:space="0" w:color="auto"/>
              <w:bottom w:val="single" w:sz="4" w:space="0" w:color="auto"/>
              <w:right w:val="single" w:sz="4" w:space="0" w:color="auto"/>
            </w:tcBorders>
            <w:vAlign w:val="center"/>
          </w:tcPr>
          <w:p w14:paraId="114A2A64" w14:textId="77777777" w:rsidR="00606029" w:rsidRDefault="00EA5B92">
            <w:pPr>
              <w:pStyle w:val="TableText"/>
              <w:spacing w:before="36" w:line="203" w:lineRule="auto"/>
              <w:ind w:right="14"/>
              <w:jc w:val="center"/>
              <w:rPr>
                <w:rFonts w:ascii="Times New Roman" w:hAnsi="Times New Roman" w:cs="Times New Roman"/>
                <w:lang w:eastAsia="zh-CN"/>
              </w:rPr>
            </w:pPr>
            <w:r>
              <w:rPr>
                <w:rFonts w:ascii="Times New Roman" w:hAnsi="Times New Roman" w:cs="Times New Roman"/>
              </w:rPr>
              <w:t>5</w:t>
            </w:r>
            <w:r>
              <w:rPr>
                <w:rFonts w:ascii="Times New Roman" w:hAnsi="Times New Roman" w:cs="Times New Roman"/>
                <w:lang w:eastAsia="zh-CN"/>
              </w:rPr>
              <w:t>0</w:t>
            </w:r>
          </w:p>
        </w:tc>
      </w:tr>
    </w:tbl>
    <w:p w14:paraId="3E56B0A2" w14:textId="77777777" w:rsidR="00606029" w:rsidRDefault="00EA5B92">
      <w:pPr>
        <w:pStyle w:val="affffff4"/>
        <w:adjustRightInd/>
        <w:snapToGrid/>
        <w:spacing w:beforeLines="50" w:before="120"/>
        <w:ind w:firstLine="482"/>
        <w:rPr>
          <w:b/>
          <w:bCs/>
        </w:rPr>
      </w:pPr>
      <w:r>
        <w:rPr>
          <w:b/>
          <w:bCs/>
        </w:rPr>
        <w:t>4</w:t>
      </w:r>
      <w:r>
        <w:rPr>
          <w:b/>
          <w:bCs/>
        </w:rPr>
        <w:t>、固废</w:t>
      </w:r>
    </w:p>
    <w:p w14:paraId="1EC305AE" w14:textId="2A874378" w:rsidR="00606029" w:rsidRDefault="00EA5B92">
      <w:pPr>
        <w:pStyle w:val="affffff4"/>
      </w:pPr>
      <w:r w:rsidRPr="0020120C">
        <w:t>项目施工期</w:t>
      </w:r>
      <w:r w:rsidR="0020120C" w:rsidRPr="0020120C">
        <w:t>建筑垃圾及时清运至建筑垃圾调配场，生活垃圾送厂区焚烧发电厂焚烧</w:t>
      </w:r>
      <w:r w:rsidR="001044C1">
        <w:rPr>
          <w:rFonts w:hint="eastAsia"/>
        </w:rPr>
        <w:t>，</w:t>
      </w:r>
      <w:bookmarkStart w:id="59" w:name="OLE_LINK56"/>
      <w:r w:rsidR="00163840">
        <w:rPr>
          <w:rFonts w:hint="eastAsia"/>
        </w:rPr>
        <w:t>调节池改造</w:t>
      </w:r>
      <w:r w:rsidR="00163840" w:rsidRPr="00163840">
        <w:t>清理</w:t>
      </w:r>
      <w:r w:rsidR="00163840">
        <w:rPr>
          <w:rFonts w:hint="eastAsia"/>
        </w:rPr>
        <w:t>过程中产生的</w:t>
      </w:r>
      <w:bookmarkEnd w:id="59"/>
      <w:r w:rsidR="00163840">
        <w:rPr>
          <w:rFonts w:hint="eastAsia"/>
        </w:rPr>
        <w:t>污泥</w:t>
      </w:r>
      <w:r w:rsidR="00163840" w:rsidRPr="00163840">
        <w:t>送焚烧发电厂污泥焚烧车间焚烧处理</w:t>
      </w:r>
      <w:r w:rsidRPr="0020120C">
        <w:rPr>
          <w:szCs w:val="24"/>
        </w:rPr>
        <w:t>。</w:t>
      </w:r>
    </w:p>
    <w:p w14:paraId="3ABD9AFC" w14:textId="605FE390" w:rsidR="00606029" w:rsidRDefault="00EA5B92">
      <w:pPr>
        <w:pStyle w:val="affffff4"/>
      </w:pPr>
      <w:r>
        <w:t>项目</w:t>
      </w:r>
      <w:r w:rsidR="00C40CEF">
        <w:t>运营期</w:t>
      </w:r>
      <w:r>
        <w:t>及封场期产生的一般工业固体废物执行《一般工业固体废物贮存和填埋污染控制标准》（</w:t>
      </w:r>
      <w:r>
        <w:t>GB18599-2020</w:t>
      </w:r>
      <w:r>
        <w:t>）</w:t>
      </w:r>
      <w:r w:rsidR="00CD78D9">
        <w:rPr>
          <w:rFonts w:hint="eastAsia"/>
        </w:rPr>
        <w:t>，</w:t>
      </w:r>
      <w:r>
        <w:t>危险废物执行《危险废物贮存污染控制标准》（</w:t>
      </w:r>
      <w:r>
        <w:t>GB18597-2023</w:t>
      </w:r>
      <w:r>
        <w:t>）；危险废物转移按照《危险废物转移管理办法》（生态环境部公安部交通运输部部令第</w:t>
      </w:r>
      <w:r>
        <w:t>23</w:t>
      </w:r>
      <w:r>
        <w:t>号）执行。</w:t>
      </w:r>
    </w:p>
    <w:p w14:paraId="16EF86EC" w14:textId="77777777" w:rsidR="00606029" w:rsidRDefault="00EA5B92">
      <w:pPr>
        <w:pStyle w:val="2"/>
      </w:pPr>
      <w:bookmarkStart w:id="60" w:name="_Toc30053"/>
      <w:bookmarkStart w:id="61" w:name="_Toc13298"/>
      <w:bookmarkStart w:id="62" w:name="_Toc220680454"/>
      <w:r>
        <w:t>1.6</w:t>
      </w:r>
      <w:r>
        <w:t>评价工作等级及评价范围</w:t>
      </w:r>
      <w:bookmarkEnd w:id="60"/>
      <w:bookmarkEnd w:id="61"/>
      <w:bookmarkEnd w:id="62"/>
    </w:p>
    <w:p w14:paraId="7E17C93F" w14:textId="77777777" w:rsidR="00606029" w:rsidRDefault="00EA5B92">
      <w:pPr>
        <w:pStyle w:val="3"/>
      </w:pPr>
      <w:bookmarkStart w:id="63" w:name="_Toc220680455"/>
      <w:r>
        <w:t>1.6.1</w:t>
      </w:r>
      <w:r>
        <w:t>评价工作等级</w:t>
      </w:r>
      <w:bookmarkEnd w:id="63"/>
    </w:p>
    <w:p w14:paraId="71907AF5" w14:textId="77777777" w:rsidR="00606029" w:rsidRDefault="00EA5B92">
      <w:pPr>
        <w:pStyle w:val="4"/>
      </w:pPr>
      <w:r>
        <w:t>1.6.1.1</w:t>
      </w:r>
      <w:r>
        <w:t>大气环境影响评价等级</w:t>
      </w:r>
    </w:p>
    <w:p w14:paraId="4EC9F99F" w14:textId="77777777" w:rsidR="00606029" w:rsidRDefault="00EA5B92">
      <w:pPr>
        <w:spacing w:line="360" w:lineRule="auto"/>
        <w:ind w:firstLineChars="200" w:firstLine="480"/>
        <w:rPr>
          <w:sz w:val="24"/>
          <w:szCs w:val="24"/>
        </w:rPr>
      </w:pPr>
      <w:r>
        <w:rPr>
          <w:sz w:val="24"/>
          <w:szCs w:val="24"/>
        </w:rPr>
        <w:t>（</w:t>
      </w:r>
      <w:r>
        <w:rPr>
          <w:sz w:val="24"/>
          <w:szCs w:val="24"/>
        </w:rPr>
        <w:t>1</w:t>
      </w:r>
      <w:r>
        <w:rPr>
          <w:sz w:val="24"/>
          <w:szCs w:val="24"/>
        </w:rPr>
        <w:t>）环境空气评价等级</w:t>
      </w:r>
    </w:p>
    <w:p w14:paraId="357A22E7" w14:textId="77777777" w:rsidR="00606029" w:rsidRDefault="00EA5B92">
      <w:pPr>
        <w:spacing w:line="360" w:lineRule="auto"/>
        <w:ind w:firstLineChars="200" w:firstLine="480"/>
        <w:rPr>
          <w:sz w:val="24"/>
          <w:szCs w:val="24"/>
        </w:rPr>
      </w:pPr>
      <w:r>
        <w:rPr>
          <w:sz w:val="24"/>
          <w:szCs w:val="24"/>
        </w:rPr>
        <w:t>根据《环境影响评价技术导则</w:t>
      </w:r>
      <w:r>
        <w:rPr>
          <w:sz w:val="24"/>
          <w:szCs w:val="24"/>
        </w:rPr>
        <w:t xml:space="preserve"> </w:t>
      </w:r>
      <w:r>
        <w:rPr>
          <w:sz w:val="24"/>
          <w:szCs w:val="24"/>
        </w:rPr>
        <w:t>大气环境》（</w:t>
      </w:r>
      <w:r>
        <w:rPr>
          <w:sz w:val="24"/>
          <w:szCs w:val="24"/>
        </w:rPr>
        <w:t>HJ2.2-2018</w:t>
      </w:r>
      <w:r>
        <w:rPr>
          <w:sz w:val="24"/>
          <w:szCs w:val="24"/>
        </w:rPr>
        <w:t>）</w:t>
      </w:r>
      <w:r>
        <w:rPr>
          <w:sz w:val="24"/>
          <w:szCs w:val="24"/>
        </w:rPr>
        <w:t>5.3</w:t>
      </w:r>
      <w:r>
        <w:rPr>
          <w:sz w:val="24"/>
          <w:szCs w:val="24"/>
        </w:rPr>
        <w:t>评价等级判定，采用导则附录</w:t>
      </w:r>
      <w:r>
        <w:rPr>
          <w:sz w:val="24"/>
          <w:szCs w:val="24"/>
        </w:rPr>
        <w:t>A</w:t>
      </w:r>
      <w:r>
        <w:rPr>
          <w:sz w:val="24"/>
          <w:szCs w:val="24"/>
        </w:rPr>
        <w:t>推荐模型中估算模型计算项目排放主要污染物的最大地面空气质量浓</w:t>
      </w:r>
      <w:r>
        <w:rPr>
          <w:sz w:val="24"/>
          <w:szCs w:val="24"/>
        </w:rPr>
        <w:lastRenderedPageBreak/>
        <w:t>度占标率</w:t>
      </w:r>
      <w:r>
        <w:rPr>
          <w:sz w:val="24"/>
          <w:szCs w:val="24"/>
        </w:rPr>
        <w:t>Pi</w:t>
      </w:r>
      <w:r>
        <w:rPr>
          <w:sz w:val="24"/>
          <w:szCs w:val="24"/>
        </w:rPr>
        <w:t>（第</w:t>
      </w:r>
      <w:r>
        <w:rPr>
          <w:sz w:val="24"/>
          <w:szCs w:val="24"/>
        </w:rPr>
        <w:t>i</w:t>
      </w:r>
      <w:r>
        <w:rPr>
          <w:sz w:val="24"/>
          <w:szCs w:val="24"/>
        </w:rPr>
        <w:t>个污染物，简称</w:t>
      </w:r>
      <w:r>
        <w:rPr>
          <w:sz w:val="24"/>
          <w:szCs w:val="24"/>
        </w:rPr>
        <w:t>“</w:t>
      </w:r>
      <w:r>
        <w:rPr>
          <w:sz w:val="24"/>
          <w:szCs w:val="24"/>
        </w:rPr>
        <w:t>最大浓度占标率</w:t>
      </w:r>
      <w:r>
        <w:rPr>
          <w:sz w:val="24"/>
          <w:szCs w:val="24"/>
        </w:rPr>
        <w:t>”</w:t>
      </w:r>
      <w:r>
        <w:rPr>
          <w:sz w:val="24"/>
          <w:szCs w:val="24"/>
        </w:rPr>
        <w:t>），占标率</w:t>
      </w:r>
      <w:r>
        <w:rPr>
          <w:sz w:val="24"/>
          <w:szCs w:val="24"/>
        </w:rPr>
        <w:t>Pi</w:t>
      </w:r>
      <w:r>
        <w:rPr>
          <w:sz w:val="24"/>
          <w:szCs w:val="24"/>
        </w:rPr>
        <w:t>计算公式如下：</w:t>
      </w:r>
    </w:p>
    <w:p w14:paraId="2999BF1A" w14:textId="77777777" w:rsidR="00606029" w:rsidRDefault="00EA5B92">
      <w:pPr>
        <w:ind w:firstLine="480"/>
        <w:jc w:val="center"/>
      </w:pPr>
      <w:r>
        <w:rPr>
          <w:noProof/>
        </w:rPr>
        <w:drawing>
          <wp:inline distT="0" distB="0" distL="114300" distR="114300" wp14:anchorId="670C048B" wp14:editId="53173BE3">
            <wp:extent cx="1524000" cy="568325"/>
            <wp:effectExtent l="0" t="0" r="0" b="3175"/>
            <wp:docPr id="1640"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0" name="图片 27"/>
                    <pic:cNvPicPr preferRelativeResize="0">
                      <a:picLocks noChangeAspect="1"/>
                    </pic:cNvPicPr>
                  </pic:nvPicPr>
                  <pic:blipFill>
                    <a:blip r:embed="rId17"/>
                    <a:stretch>
                      <a:fillRect/>
                    </a:stretch>
                  </pic:blipFill>
                  <pic:spPr>
                    <a:xfrm>
                      <a:off x="0" y="0"/>
                      <a:ext cx="1524000" cy="568325"/>
                    </a:xfrm>
                    <a:prstGeom prst="rect">
                      <a:avLst/>
                    </a:prstGeom>
                    <a:noFill/>
                    <a:ln>
                      <a:noFill/>
                    </a:ln>
                  </pic:spPr>
                </pic:pic>
              </a:graphicData>
            </a:graphic>
          </wp:inline>
        </w:drawing>
      </w:r>
    </w:p>
    <w:p w14:paraId="0A45115B" w14:textId="77777777" w:rsidR="00606029" w:rsidRDefault="00EA5B92">
      <w:pPr>
        <w:spacing w:line="360" w:lineRule="auto"/>
        <w:ind w:firstLineChars="200" w:firstLine="480"/>
        <w:rPr>
          <w:sz w:val="24"/>
          <w:szCs w:val="24"/>
        </w:rPr>
      </w:pPr>
      <w:r>
        <w:rPr>
          <w:sz w:val="24"/>
          <w:szCs w:val="24"/>
        </w:rPr>
        <w:t>式中：</w:t>
      </w:r>
      <w:r>
        <w:rPr>
          <w:sz w:val="24"/>
          <w:szCs w:val="24"/>
        </w:rPr>
        <w:t>Pi—</w:t>
      </w:r>
      <w:r>
        <w:rPr>
          <w:sz w:val="24"/>
          <w:szCs w:val="24"/>
        </w:rPr>
        <w:t>第</w:t>
      </w:r>
      <w:r>
        <w:rPr>
          <w:sz w:val="24"/>
          <w:szCs w:val="24"/>
        </w:rPr>
        <w:t>i</w:t>
      </w:r>
      <w:r>
        <w:rPr>
          <w:sz w:val="24"/>
          <w:szCs w:val="24"/>
        </w:rPr>
        <w:t>个污染物的最大地面浓度占标率，</w:t>
      </w:r>
      <w:r>
        <w:rPr>
          <w:sz w:val="24"/>
          <w:szCs w:val="24"/>
        </w:rPr>
        <w:t>100%</w:t>
      </w:r>
      <w:r>
        <w:rPr>
          <w:sz w:val="24"/>
          <w:szCs w:val="24"/>
        </w:rPr>
        <w:t>；</w:t>
      </w:r>
    </w:p>
    <w:p w14:paraId="16B7796C" w14:textId="77777777" w:rsidR="00606029" w:rsidRDefault="00EA5B92">
      <w:pPr>
        <w:spacing w:line="360" w:lineRule="auto"/>
        <w:ind w:firstLineChars="200" w:firstLine="480"/>
        <w:rPr>
          <w:sz w:val="24"/>
          <w:szCs w:val="24"/>
        </w:rPr>
      </w:pPr>
      <w:r>
        <w:rPr>
          <w:sz w:val="24"/>
          <w:szCs w:val="24"/>
        </w:rPr>
        <w:t xml:space="preserve">      Ci—</w:t>
      </w:r>
      <w:r>
        <w:rPr>
          <w:sz w:val="24"/>
          <w:szCs w:val="24"/>
        </w:rPr>
        <w:t>采用估算模式计算出的第</w:t>
      </w:r>
      <w:r>
        <w:rPr>
          <w:sz w:val="24"/>
          <w:szCs w:val="24"/>
        </w:rPr>
        <w:t>i</w:t>
      </w:r>
      <w:r>
        <w:rPr>
          <w:sz w:val="24"/>
          <w:szCs w:val="24"/>
        </w:rPr>
        <w:t>个污染物的最大地面浓度，</w:t>
      </w:r>
      <w:r>
        <w:rPr>
          <w:sz w:val="24"/>
          <w:szCs w:val="24"/>
        </w:rPr>
        <w:t>mg/m</w:t>
      </w:r>
      <w:r>
        <w:rPr>
          <w:sz w:val="24"/>
          <w:szCs w:val="24"/>
          <w:vertAlign w:val="superscript"/>
        </w:rPr>
        <w:t>3</w:t>
      </w:r>
      <w:r>
        <w:rPr>
          <w:sz w:val="24"/>
          <w:szCs w:val="24"/>
        </w:rPr>
        <w:t>；</w:t>
      </w:r>
    </w:p>
    <w:p w14:paraId="17B9E1E7" w14:textId="77777777" w:rsidR="00606029" w:rsidRDefault="00EA5B92">
      <w:pPr>
        <w:spacing w:line="360" w:lineRule="auto"/>
        <w:ind w:firstLineChars="200" w:firstLine="480"/>
        <w:rPr>
          <w:sz w:val="24"/>
          <w:szCs w:val="24"/>
        </w:rPr>
      </w:pPr>
      <w:r>
        <w:rPr>
          <w:sz w:val="24"/>
          <w:szCs w:val="24"/>
        </w:rPr>
        <w:t xml:space="preserve">      C</w:t>
      </w:r>
      <w:r>
        <w:rPr>
          <w:sz w:val="24"/>
          <w:szCs w:val="24"/>
          <w:vertAlign w:val="subscript"/>
        </w:rPr>
        <w:t>0i</w:t>
      </w:r>
      <w:r>
        <w:rPr>
          <w:sz w:val="24"/>
          <w:szCs w:val="24"/>
        </w:rPr>
        <w:t>—</w:t>
      </w:r>
      <w:r>
        <w:rPr>
          <w:sz w:val="24"/>
          <w:szCs w:val="24"/>
        </w:rPr>
        <w:t>第</w:t>
      </w:r>
      <w:r>
        <w:rPr>
          <w:sz w:val="24"/>
          <w:szCs w:val="24"/>
        </w:rPr>
        <w:t>i</w:t>
      </w:r>
      <w:r>
        <w:rPr>
          <w:sz w:val="24"/>
          <w:szCs w:val="24"/>
        </w:rPr>
        <w:t>个污染物的环境空气质量标准，</w:t>
      </w:r>
      <w:r>
        <w:rPr>
          <w:sz w:val="24"/>
          <w:szCs w:val="24"/>
        </w:rPr>
        <w:t>mg/m</w:t>
      </w:r>
      <w:r>
        <w:rPr>
          <w:sz w:val="24"/>
          <w:szCs w:val="24"/>
          <w:vertAlign w:val="superscript"/>
        </w:rPr>
        <w:t>3</w:t>
      </w:r>
      <w:r>
        <w:rPr>
          <w:sz w:val="24"/>
          <w:szCs w:val="24"/>
        </w:rPr>
        <w:t>。</w:t>
      </w:r>
    </w:p>
    <w:p w14:paraId="511C2133" w14:textId="77777777" w:rsidR="00606029" w:rsidRDefault="00EA5B92">
      <w:pPr>
        <w:pStyle w:val="affffff5"/>
      </w:pPr>
      <w:r>
        <w:t>表</w:t>
      </w:r>
      <w:r>
        <w:t xml:space="preserve">1.6-1  </w:t>
      </w:r>
      <w:r>
        <w:t>环境空气评价等级判定结果</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29"/>
        <w:gridCol w:w="6605"/>
      </w:tblGrid>
      <w:tr w:rsidR="00606029" w14:paraId="2C0A0E78" w14:textId="77777777">
        <w:trPr>
          <w:trHeight w:val="340"/>
          <w:jc w:val="center"/>
        </w:trPr>
        <w:tc>
          <w:tcPr>
            <w:tcW w:w="2283" w:type="dxa"/>
            <w:tcBorders>
              <w:tl2br w:val="nil"/>
              <w:tr2bl w:val="nil"/>
            </w:tcBorders>
            <w:vAlign w:val="center"/>
          </w:tcPr>
          <w:p w14:paraId="3F3289E7" w14:textId="77777777" w:rsidR="00606029" w:rsidRDefault="00EA5B92">
            <w:pPr>
              <w:spacing w:line="280" w:lineRule="exact"/>
              <w:jc w:val="center"/>
              <w:rPr>
                <w:b/>
                <w:bCs/>
              </w:rPr>
            </w:pPr>
            <w:r>
              <w:rPr>
                <w:b/>
                <w:bCs/>
              </w:rPr>
              <w:t>评价工作等级</w:t>
            </w:r>
          </w:p>
        </w:tc>
        <w:tc>
          <w:tcPr>
            <w:tcW w:w="6779" w:type="dxa"/>
            <w:tcBorders>
              <w:tl2br w:val="nil"/>
              <w:tr2bl w:val="nil"/>
            </w:tcBorders>
            <w:vAlign w:val="center"/>
          </w:tcPr>
          <w:p w14:paraId="10E13DBC" w14:textId="77777777" w:rsidR="00606029" w:rsidRDefault="00EA5B92">
            <w:pPr>
              <w:spacing w:line="280" w:lineRule="exact"/>
              <w:jc w:val="center"/>
              <w:rPr>
                <w:b/>
                <w:bCs/>
              </w:rPr>
            </w:pPr>
            <w:r>
              <w:rPr>
                <w:b/>
                <w:bCs/>
              </w:rPr>
              <w:t>评价工作分级判据</w:t>
            </w:r>
          </w:p>
        </w:tc>
      </w:tr>
      <w:tr w:rsidR="00606029" w14:paraId="0713E6E2" w14:textId="77777777">
        <w:trPr>
          <w:trHeight w:val="340"/>
          <w:jc w:val="center"/>
        </w:trPr>
        <w:tc>
          <w:tcPr>
            <w:tcW w:w="2283" w:type="dxa"/>
            <w:tcBorders>
              <w:tl2br w:val="nil"/>
              <w:tr2bl w:val="nil"/>
            </w:tcBorders>
            <w:vAlign w:val="center"/>
          </w:tcPr>
          <w:p w14:paraId="18D9DBC7" w14:textId="77777777" w:rsidR="00606029" w:rsidRDefault="00EA5B92">
            <w:pPr>
              <w:spacing w:line="280" w:lineRule="exact"/>
              <w:jc w:val="center"/>
            </w:pPr>
            <w:r>
              <w:t>一级</w:t>
            </w:r>
          </w:p>
        </w:tc>
        <w:tc>
          <w:tcPr>
            <w:tcW w:w="6779" w:type="dxa"/>
            <w:tcBorders>
              <w:tl2br w:val="nil"/>
              <w:tr2bl w:val="nil"/>
            </w:tcBorders>
            <w:vAlign w:val="center"/>
          </w:tcPr>
          <w:p w14:paraId="78D10E06" w14:textId="77777777" w:rsidR="00606029" w:rsidRDefault="00EA5B92">
            <w:pPr>
              <w:spacing w:line="280" w:lineRule="exact"/>
              <w:jc w:val="center"/>
            </w:pPr>
            <w:r>
              <w:t>Pmax≥10%</w:t>
            </w:r>
          </w:p>
        </w:tc>
      </w:tr>
      <w:tr w:rsidR="00606029" w14:paraId="00F5CF53" w14:textId="77777777">
        <w:trPr>
          <w:trHeight w:val="340"/>
          <w:jc w:val="center"/>
        </w:trPr>
        <w:tc>
          <w:tcPr>
            <w:tcW w:w="2283" w:type="dxa"/>
            <w:tcBorders>
              <w:tl2br w:val="nil"/>
              <w:tr2bl w:val="nil"/>
            </w:tcBorders>
            <w:vAlign w:val="center"/>
          </w:tcPr>
          <w:p w14:paraId="218D1264" w14:textId="77777777" w:rsidR="00606029" w:rsidRDefault="00EA5B92">
            <w:pPr>
              <w:spacing w:line="280" w:lineRule="exact"/>
              <w:jc w:val="center"/>
            </w:pPr>
            <w:r>
              <w:t>二级</w:t>
            </w:r>
          </w:p>
        </w:tc>
        <w:tc>
          <w:tcPr>
            <w:tcW w:w="6779" w:type="dxa"/>
            <w:tcBorders>
              <w:tl2br w:val="nil"/>
              <w:tr2bl w:val="nil"/>
            </w:tcBorders>
            <w:vAlign w:val="center"/>
          </w:tcPr>
          <w:p w14:paraId="3C075933" w14:textId="77777777" w:rsidR="00606029" w:rsidRDefault="00EA5B92">
            <w:pPr>
              <w:spacing w:line="280" w:lineRule="exact"/>
              <w:jc w:val="center"/>
            </w:pPr>
            <w:r>
              <w:t>1%≤Pmax</w:t>
            </w:r>
            <w:r>
              <w:t>＜</w:t>
            </w:r>
            <w:r>
              <w:t>10%</w:t>
            </w:r>
          </w:p>
        </w:tc>
      </w:tr>
      <w:tr w:rsidR="00606029" w14:paraId="547CED1A" w14:textId="77777777">
        <w:trPr>
          <w:trHeight w:val="340"/>
          <w:jc w:val="center"/>
        </w:trPr>
        <w:tc>
          <w:tcPr>
            <w:tcW w:w="2283" w:type="dxa"/>
            <w:tcBorders>
              <w:tl2br w:val="nil"/>
              <w:tr2bl w:val="nil"/>
            </w:tcBorders>
            <w:vAlign w:val="center"/>
          </w:tcPr>
          <w:p w14:paraId="711F55CD" w14:textId="77777777" w:rsidR="00606029" w:rsidRDefault="00EA5B92">
            <w:pPr>
              <w:spacing w:line="280" w:lineRule="exact"/>
              <w:jc w:val="center"/>
            </w:pPr>
            <w:r>
              <w:t>三级</w:t>
            </w:r>
          </w:p>
        </w:tc>
        <w:tc>
          <w:tcPr>
            <w:tcW w:w="6779" w:type="dxa"/>
            <w:tcBorders>
              <w:tl2br w:val="nil"/>
              <w:tr2bl w:val="nil"/>
            </w:tcBorders>
            <w:vAlign w:val="center"/>
          </w:tcPr>
          <w:p w14:paraId="5A2B9195" w14:textId="77777777" w:rsidR="00606029" w:rsidRDefault="00EA5B92">
            <w:pPr>
              <w:spacing w:line="280" w:lineRule="exact"/>
              <w:jc w:val="center"/>
            </w:pPr>
            <w:r>
              <w:t>Pmax</w:t>
            </w:r>
            <w:r>
              <w:t>＜</w:t>
            </w:r>
            <w:r>
              <w:t xml:space="preserve">1% </w:t>
            </w:r>
          </w:p>
        </w:tc>
      </w:tr>
    </w:tbl>
    <w:p w14:paraId="57A0CE78" w14:textId="77777777" w:rsidR="00606029" w:rsidRDefault="00EA5B92">
      <w:pPr>
        <w:widowControl/>
        <w:adjustRightInd w:val="0"/>
        <w:snapToGrid w:val="0"/>
        <w:spacing w:beforeLines="25" w:before="60" w:afterLines="25" w:after="60" w:line="360" w:lineRule="auto"/>
        <w:ind w:firstLineChars="200" w:firstLine="480"/>
        <w:rPr>
          <w:kern w:val="0"/>
          <w:sz w:val="24"/>
          <w:szCs w:val="24"/>
        </w:rPr>
      </w:pPr>
      <w:r>
        <w:rPr>
          <w:kern w:val="0"/>
          <w:sz w:val="24"/>
          <w:szCs w:val="24"/>
        </w:rPr>
        <w:t>本项目大气估算模型参数选定详见表</w:t>
      </w:r>
      <w:r>
        <w:rPr>
          <w:kern w:val="0"/>
          <w:sz w:val="24"/>
          <w:szCs w:val="24"/>
        </w:rPr>
        <w:t>1.6-2</w:t>
      </w:r>
      <w:r>
        <w:rPr>
          <w:kern w:val="0"/>
          <w:sz w:val="24"/>
          <w:szCs w:val="24"/>
        </w:rPr>
        <w:t>，主要污染源估算模型计算结果详见下述。</w:t>
      </w:r>
    </w:p>
    <w:p w14:paraId="4F1DAB22" w14:textId="77777777" w:rsidR="00606029" w:rsidRDefault="00EA5B92">
      <w:pPr>
        <w:adjustRightInd w:val="0"/>
        <w:snapToGrid w:val="0"/>
        <w:jc w:val="center"/>
        <w:rPr>
          <w:b/>
          <w:bCs/>
          <w:color w:val="000000"/>
          <w:sz w:val="22"/>
          <w:szCs w:val="22"/>
        </w:rPr>
      </w:pPr>
      <w:r>
        <w:rPr>
          <w:b/>
          <w:bCs/>
          <w:color w:val="000000"/>
          <w:sz w:val="22"/>
          <w:szCs w:val="22"/>
        </w:rPr>
        <w:t>表</w:t>
      </w:r>
      <w:r>
        <w:rPr>
          <w:b/>
          <w:bCs/>
          <w:color w:val="000000"/>
          <w:sz w:val="22"/>
          <w:szCs w:val="22"/>
        </w:rPr>
        <w:t xml:space="preserve">1.6-2  </w:t>
      </w:r>
      <w:r>
        <w:rPr>
          <w:b/>
          <w:bCs/>
          <w:color w:val="000000"/>
          <w:sz w:val="22"/>
          <w:szCs w:val="22"/>
        </w:rPr>
        <w:t>估算模型参数表</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923"/>
        <w:gridCol w:w="2500"/>
        <w:gridCol w:w="4411"/>
      </w:tblGrid>
      <w:tr w:rsidR="00606029" w14:paraId="02FC0BF6" w14:textId="77777777" w:rsidTr="002023A7">
        <w:trPr>
          <w:trHeight w:val="340"/>
          <w:jc w:val="center"/>
        </w:trPr>
        <w:tc>
          <w:tcPr>
            <w:tcW w:w="4533" w:type="dxa"/>
            <w:gridSpan w:val="2"/>
            <w:tcBorders>
              <w:top w:val="single" w:sz="4" w:space="0" w:color="auto"/>
              <w:left w:val="single" w:sz="4" w:space="0" w:color="auto"/>
            </w:tcBorders>
            <w:vAlign w:val="center"/>
          </w:tcPr>
          <w:p w14:paraId="403B1384" w14:textId="77777777" w:rsidR="00606029" w:rsidRDefault="00EA5B92">
            <w:pPr>
              <w:autoSpaceDE w:val="0"/>
              <w:autoSpaceDN w:val="0"/>
              <w:adjustRightInd w:val="0"/>
              <w:snapToGrid w:val="0"/>
              <w:spacing w:before="20"/>
              <w:jc w:val="center"/>
              <w:textAlignment w:val="baseline"/>
            </w:pPr>
            <w:r>
              <w:t>参数</w:t>
            </w:r>
          </w:p>
        </w:tc>
        <w:tc>
          <w:tcPr>
            <w:tcW w:w="4527" w:type="dxa"/>
            <w:tcBorders>
              <w:top w:val="single" w:sz="4" w:space="0" w:color="auto"/>
              <w:right w:val="single" w:sz="4" w:space="0" w:color="auto"/>
            </w:tcBorders>
            <w:vAlign w:val="center"/>
          </w:tcPr>
          <w:p w14:paraId="35687277" w14:textId="77777777" w:rsidR="00606029" w:rsidRDefault="00EA5B92">
            <w:pPr>
              <w:autoSpaceDE w:val="0"/>
              <w:autoSpaceDN w:val="0"/>
              <w:adjustRightInd w:val="0"/>
              <w:snapToGrid w:val="0"/>
              <w:spacing w:before="20"/>
              <w:jc w:val="center"/>
              <w:textAlignment w:val="baseline"/>
            </w:pPr>
            <w:r>
              <w:t>取值</w:t>
            </w:r>
          </w:p>
        </w:tc>
      </w:tr>
      <w:tr w:rsidR="00606029" w14:paraId="54FA431D" w14:textId="77777777" w:rsidTr="002023A7">
        <w:trPr>
          <w:trHeight w:val="340"/>
          <w:jc w:val="center"/>
        </w:trPr>
        <w:tc>
          <w:tcPr>
            <w:tcW w:w="1970" w:type="dxa"/>
            <w:vMerge w:val="restart"/>
            <w:tcBorders>
              <w:left w:val="single" w:sz="4" w:space="0" w:color="auto"/>
            </w:tcBorders>
            <w:vAlign w:val="center"/>
          </w:tcPr>
          <w:p w14:paraId="1A638FD8" w14:textId="77777777" w:rsidR="00606029" w:rsidRDefault="00EA5B92">
            <w:pPr>
              <w:autoSpaceDE w:val="0"/>
              <w:autoSpaceDN w:val="0"/>
              <w:adjustRightInd w:val="0"/>
              <w:snapToGrid w:val="0"/>
              <w:spacing w:before="20"/>
              <w:jc w:val="center"/>
              <w:textAlignment w:val="baseline"/>
            </w:pPr>
            <w:r>
              <w:t>城市</w:t>
            </w:r>
            <w:r>
              <w:t>/</w:t>
            </w:r>
            <w:r>
              <w:t>农村</w:t>
            </w:r>
          </w:p>
        </w:tc>
        <w:tc>
          <w:tcPr>
            <w:tcW w:w="2563" w:type="dxa"/>
            <w:vAlign w:val="center"/>
          </w:tcPr>
          <w:p w14:paraId="78922324" w14:textId="77777777" w:rsidR="00606029" w:rsidRDefault="00EA5B92">
            <w:pPr>
              <w:autoSpaceDE w:val="0"/>
              <w:autoSpaceDN w:val="0"/>
              <w:adjustRightInd w:val="0"/>
              <w:snapToGrid w:val="0"/>
              <w:spacing w:before="20"/>
              <w:jc w:val="center"/>
              <w:textAlignment w:val="baseline"/>
            </w:pPr>
            <w:r>
              <w:t>城市</w:t>
            </w:r>
            <w:r>
              <w:t>/</w:t>
            </w:r>
            <w:r>
              <w:t>农村</w:t>
            </w:r>
          </w:p>
        </w:tc>
        <w:tc>
          <w:tcPr>
            <w:tcW w:w="4527" w:type="dxa"/>
            <w:tcBorders>
              <w:right w:val="single" w:sz="4" w:space="0" w:color="auto"/>
            </w:tcBorders>
            <w:vAlign w:val="center"/>
          </w:tcPr>
          <w:p w14:paraId="195B0C79" w14:textId="77777777" w:rsidR="00606029" w:rsidRDefault="00EA5B92">
            <w:pPr>
              <w:spacing w:line="240" w:lineRule="atLeast"/>
              <w:jc w:val="center"/>
            </w:pPr>
            <w:r>
              <w:rPr>
                <w:szCs w:val="24"/>
              </w:rPr>
              <w:t>农村</w:t>
            </w:r>
          </w:p>
        </w:tc>
      </w:tr>
      <w:tr w:rsidR="00606029" w14:paraId="1420DE68" w14:textId="77777777" w:rsidTr="002023A7">
        <w:trPr>
          <w:trHeight w:val="340"/>
          <w:jc w:val="center"/>
        </w:trPr>
        <w:tc>
          <w:tcPr>
            <w:tcW w:w="1970" w:type="dxa"/>
            <w:vMerge/>
            <w:tcBorders>
              <w:left w:val="single" w:sz="4" w:space="0" w:color="auto"/>
            </w:tcBorders>
            <w:vAlign w:val="center"/>
          </w:tcPr>
          <w:p w14:paraId="1FEDA27A" w14:textId="77777777" w:rsidR="00606029" w:rsidRDefault="00606029">
            <w:pPr>
              <w:autoSpaceDE w:val="0"/>
              <w:autoSpaceDN w:val="0"/>
              <w:adjustRightInd w:val="0"/>
              <w:snapToGrid w:val="0"/>
              <w:spacing w:before="20"/>
              <w:jc w:val="center"/>
              <w:textAlignment w:val="baseline"/>
            </w:pPr>
          </w:p>
        </w:tc>
        <w:tc>
          <w:tcPr>
            <w:tcW w:w="2563" w:type="dxa"/>
            <w:vAlign w:val="center"/>
          </w:tcPr>
          <w:p w14:paraId="7A7EEE38" w14:textId="77777777" w:rsidR="00606029" w:rsidRDefault="00EA5B92">
            <w:pPr>
              <w:autoSpaceDE w:val="0"/>
              <w:autoSpaceDN w:val="0"/>
              <w:adjustRightInd w:val="0"/>
              <w:snapToGrid w:val="0"/>
              <w:spacing w:before="20"/>
              <w:jc w:val="center"/>
              <w:textAlignment w:val="baseline"/>
            </w:pPr>
            <w:r>
              <w:t>人口数（城市选项时）</w:t>
            </w:r>
          </w:p>
        </w:tc>
        <w:tc>
          <w:tcPr>
            <w:tcW w:w="4527" w:type="dxa"/>
            <w:tcBorders>
              <w:right w:val="single" w:sz="4" w:space="0" w:color="auto"/>
            </w:tcBorders>
            <w:vAlign w:val="center"/>
          </w:tcPr>
          <w:p w14:paraId="7285DA9E" w14:textId="77777777" w:rsidR="00606029" w:rsidRDefault="00EA5B92">
            <w:pPr>
              <w:spacing w:line="240" w:lineRule="atLeast"/>
              <w:jc w:val="center"/>
            </w:pPr>
            <w:r>
              <w:rPr>
                <w:szCs w:val="24"/>
              </w:rPr>
              <w:t>/</w:t>
            </w:r>
          </w:p>
        </w:tc>
      </w:tr>
      <w:tr w:rsidR="00606029" w14:paraId="26F15042" w14:textId="77777777" w:rsidTr="002023A7">
        <w:trPr>
          <w:trHeight w:val="340"/>
          <w:jc w:val="center"/>
        </w:trPr>
        <w:tc>
          <w:tcPr>
            <w:tcW w:w="4533" w:type="dxa"/>
            <w:gridSpan w:val="2"/>
            <w:tcBorders>
              <w:left w:val="single" w:sz="4" w:space="0" w:color="auto"/>
            </w:tcBorders>
            <w:vAlign w:val="center"/>
          </w:tcPr>
          <w:p w14:paraId="4C00EAC3" w14:textId="77777777" w:rsidR="00606029" w:rsidRDefault="00EA5B92">
            <w:pPr>
              <w:autoSpaceDE w:val="0"/>
              <w:autoSpaceDN w:val="0"/>
              <w:adjustRightInd w:val="0"/>
              <w:snapToGrid w:val="0"/>
              <w:spacing w:before="20"/>
              <w:jc w:val="center"/>
              <w:textAlignment w:val="baseline"/>
            </w:pPr>
            <w:r>
              <w:t>最高环境温度</w:t>
            </w:r>
            <w:r>
              <w:t>/℃</w:t>
            </w:r>
          </w:p>
        </w:tc>
        <w:tc>
          <w:tcPr>
            <w:tcW w:w="4527" w:type="dxa"/>
            <w:tcBorders>
              <w:right w:val="single" w:sz="4" w:space="0" w:color="auto"/>
            </w:tcBorders>
            <w:vAlign w:val="center"/>
          </w:tcPr>
          <w:p w14:paraId="5A3B1068" w14:textId="37E518A9" w:rsidR="00606029" w:rsidRDefault="002023A7">
            <w:pPr>
              <w:spacing w:line="240" w:lineRule="atLeast"/>
              <w:jc w:val="center"/>
            </w:pPr>
            <w:r>
              <w:rPr>
                <w:rFonts w:hint="eastAsia"/>
                <w:szCs w:val="24"/>
              </w:rPr>
              <w:t>38.8</w:t>
            </w:r>
          </w:p>
        </w:tc>
      </w:tr>
      <w:tr w:rsidR="00606029" w14:paraId="52D23EB8" w14:textId="77777777" w:rsidTr="002023A7">
        <w:trPr>
          <w:trHeight w:val="340"/>
          <w:jc w:val="center"/>
        </w:trPr>
        <w:tc>
          <w:tcPr>
            <w:tcW w:w="4533" w:type="dxa"/>
            <w:gridSpan w:val="2"/>
            <w:tcBorders>
              <w:left w:val="single" w:sz="4" w:space="0" w:color="auto"/>
            </w:tcBorders>
            <w:vAlign w:val="center"/>
          </w:tcPr>
          <w:p w14:paraId="12A0ABBA" w14:textId="77777777" w:rsidR="00606029" w:rsidRDefault="00EA5B92">
            <w:pPr>
              <w:autoSpaceDE w:val="0"/>
              <w:autoSpaceDN w:val="0"/>
              <w:adjustRightInd w:val="0"/>
              <w:snapToGrid w:val="0"/>
              <w:spacing w:before="20"/>
              <w:jc w:val="center"/>
              <w:textAlignment w:val="baseline"/>
            </w:pPr>
            <w:r>
              <w:t>最低环境温度</w:t>
            </w:r>
            <w:r>
              <w:t>/℃</w:t>
            </w:r>
          </w:p>
        </w:tc>
        <w:tc>
          <w:tcPr>
            <w:tcW w:w="4527" w:type="dxa"/>
            <w:tcBorders>
              <w:right w:val="single" w:sz="4" w:space="0" w:color="auto"/>
            </w:tcBorders>
            <w:vAlign w:val="center"/>
          </w:tcPr>
          <w:p w14:paraId="38E8B771" w14:textId="732819C0" w:rsidR="00606029" w:rsidRDefault="00EA5B92">
            <w:pPr>
              <w:spacing w:line="240" w:lineRule="atLeast"/>
              <w:jc w:val="center"/>
            </w:pPr>
            <w:r>
              <w:rPr>
                <w:szCs w:val="24"/>
              </w:rPr>
              <w:t>-</w:t>
            </w:r>
            <w:r w:rsidR="002023A7">
              <w:rPr>
                <w:rFonts w:hint="eastAsia"/>
                <w:szCs w:val="24"/>
              </w:rPr>
              <w:t>3</w:t>
            </w:r>
            <w:r>
              <w:rPr>
                <w:szCs w:val="24"/>
              </w:rPr>
              <w:t>6.</w:t>
            </w:r>
            <w:r w:rsidR="002023A7">
              <w:rPr>
                <w:rFonts w:hint="eastAsia"/>
                <w:szCs w:val="24"/>
              </w:rPr>
              <w:t>9</w:t>
            </w:r>
          </w:p>
        </w:tc>
      </w:tr>
      <w:tr w:rsidR="00606029" w14:paraId="7AAD110F" w14:textId="77777777" w:rsidTr="002023A7">
        <w:trPr>
          <w:trHeight w:val="340"/>
          <w:jc w:val="center"/>
        </w:trPr>
        <w:tc>
          <w:tcPr>
            <w:tcW w:w="4533" w:type="dxa"/>
            <w:gridSpan w:val="2"/>
            <w:tcBorders>
              <w:left w:val="single" w:sz="4" w:space="0" w:color="auto"/>
            </w:tcBorders>
            <w:vAlign w:val="center"/>
          </w:tcPr>
          <w:p w14:paraId="66BCFC6C" w14:textId="77777777" w:rsidR="00606029" w:rsidRDefault="00EA5B92">
            <w:pPr>
              <w:autoSpaceDE w:val="0"/>
              <w:autoSpaceDN w:val="0"/>
              <w:adjustRightInd w:val="0"/>
              <w:snapToGrid w:val="0"/>
              <w:spacing w:before="20"/>
              <w:jc w:val="center"/>
              <w:textAlignment w:val="baseline"/>
            </w:pPr>
            <w:r>
              <w:t>土地利用类型</w:t>
            </w:r>
          </w:p>
        </w:tc>
        <w:tc>
          <w:tcPr>
            <w:tcW w:w="4527" w:type="dxa"/>
            <w:tcBorders>
              <w:right w:val="single" w:sz="4" w:space="0" w:color="auto"/>
            </w:tcBorders>
            <w:vAlign w:val="center"/>
          </w:tcPr>
          <w:p w14:paraId="7B2CA46E" w14:textId="59C026A0" w:rsidR="00606029" w:rsidRDefault="002023A7">
            <w:pPr>
              <w:spacing w:line="240" w:lineRule="atLeast"/>
              <w:jc w:val="center"/>
            </w:pPr>
            <w:r>
              <w:rPr>
                <w:rFonts w:hint="eastAsia"/>
                <w:szCs w:val="24"/>
              </w:rPr>
              <w:t>农用地</w:t>
            </w:r>
          </w:p>
        </w:tc>
      </w:tr>
      <w:tr w:rsidR="00606029" w14:paraId="50AA689D" w14:textId="77777777" w:rsidTr="002023A7">
        <w:trPr>
          <w:trHeight w:val="340"/>
          <w:jc w:val="center"/>
        </w:trPr>
        <w:tc>
          <w:tcPr>
            <w:tcW w:w="4533" w:type="dxa"/>
            <w:gridSpan w:val="2"/>
            <w:tcBorders>
              <w:left w:val="single" w:sz="4" w:space="0" w:color="auto"/>
            </w:tcBorders>
            <w:vAlign w:val="center"/>
          </w:tcPr>
          <w:p w14:paraId="5C746B74" w14:textId="77777777" w:rsidR="00606029" w:rsidRDefault="00EA5B92">
            <w:pPr>
              <w:autoSpaceDE w:val="0"/>
              <w:autoSpaceDN w:val="0"/>
              <w:adjustRightInd w:val="0"/>
              <w:snapToGrid w:val="0"/>
              <w:spacing w:before="20"/>
              <w:jc w:val="center"/>
              <w:textAlignment w:val="baseline"/>
            </w:pPr>
            <w:r>
              <w:t>区域湿度条件</w:t>
            </w:r>
          </w:p>
        </w:tc>
        <w:tc>
          <w:tcPr>
            <w:tcW w:w="4527" w:type="dxa"/>
            <w:tcBorders>
              <w:right w:val="single" w:sz="4" w:space="0" w:color="auto"/>
            </w:tcBorders>
            <w:vAlign w:val="center"/>
          </w:tcPr>
          <w:p w14:paraId="794B167B" w14:textId="076465BB" w:rsidR="00606029" w:rsidRDefault="002023A7">
            <w:pPr>
              <w:spacing w:line="240" w:lineRule="atLeast"/>
              <w:jc w:val="center"/>
            </w:pPr>
            <w:r w:rsidRPr="002023A7">
              <w:rPr>
                <w:rFonts w:hint="eastAsia"/>
                <w:szCs w:val="24"/>
              </w:rPr>
              <w:t>中等湿度气候</w:t>
            </w:r>
          </w:p>
        </w:tc>
      </w:tr>
      <w:tr w:rsidR="00606029" w14:paraId="6FEF3564" w14:textId="77777777" w:rsidTr="002023A7">
        <w:trPr>
          <w:trHeight w:val="340"/>
          <w:jc w:val="center"/>
        </w:trPr>
        <w:tc>
          <w:tcPr>
            <w:tcW w:w="1970" w:type="dxa"/>
            <w:vMerge w:val="restart"/>
            <w:tcBorders>
              <w:left w:val="single" w:sz="4" w:space="0" w:color="auto"/>
            </w:tcBorders>
            <w:vAlign w:val="center"/>
          </w:tcPr>
          <w:p w14:paraId="347C39A9" w14:textId="77777777" w:rsidR="00606029" w:rsidRDefault="00EA5B92">
            <w:pPr>
              <w:autoSpaceDE w:val="0"/>
              <w:autoSpaceDN w:val="0"/>
              <w:adjustRightInd w:val="0"/>
              <w:snapToGrid w:val="0"/>
              <w:spacing w:before="20"/>
              <w:jc w:val="center"/>
              <w:textAlignment w:val="baseline"/>
            </w:pPr>
            <w:r>
              <w:t>是否考虑地形</w:t>
            </w:r>
          </w:p>
        </w:tc>
        <w:tc>
          <w:tcPr>
            <w:tcW w:w="2563" w:type="dxa"/>
            <w:vAlign w:val="center"/>
          </w:tcPr>
          <w:p w14:paraId="1CBCCE15" w14:textId="77777777" w:rsidR="00606029" w:rsidRDefault="00EA5B92">
            <w:pPr>
              <w:autoSpaceDE w:val="0"/>
              <w:autoSpaceDN w:val="0"/>
              <w:adjustRightInd w:val="0"/>
              <w:snapToGrid w:val="0"/>
              <w:spacing w:before="20"/>
              <w:jc w:val="center"/>
              <w:textAlignment w:val="baseline"/>
            </w:pPr>
            <w:r>
              <w:t>考虑地形</w:t>
            </w:r>
          </w:p>
        </w:tc>
        <w:tc>
          <w:tcPr>
            <w:tcW w:w="4527" w:type="dxa"/>
            <w:tcBorders>
              <w:right w:val="single" w:sz="4" w:space="0" w:color="auto"/>
            </w:tcBorders>
            <w:vAlign w:val="center"/>
          </w:tcPr>
          <w:p w14:paraId="123AAC43" w14:textId="77777777" w:rsidR="00606029" w:rsidRDefault="00EA5B92">
            <w:pPr>
              <w:spacing w:line="240" w:lineRule="atLeast"/>
              <w:jc w:val="center"/>
            </w:pPr>
            <w:r>
              <w:rPr>
                <w:szCs w:val="24"/>
              </w:rPr>
              <w:t>是</w:t>
            </w:r>
          </w:p>
        </w:tc>
      </w:tr>
      <w:tr w:rsidR="00606029" w14:paraId="64BA6072" w14:textId="77777777" w:rsidTr="002023A7">
        <w:trPr>
          <w:trHeight w:val="340"/>
          <w:jc w:val="center"/>
        </w:trPr>
        <w:tc>
          <w:tcPr>
            <w:tcW w:w="1970" w:type="dxa"/>
            <w:vMerge/>
            <w:tcBorders>
              <w:left w:val="single" w:sz="4" w:space="0" w:color="auto"/>
            </w:tcBorders>
            <w:vAlign w:val="center"/>
          </w:tcPr>
          <w:p w14:paraId="46E0403A" w14:textId="77777777" w:rsidR="00606029" w:rsidRDefault="00606029">
            <w:pPr>
              <w:autoSpaceDE w:val="0"/>
              <w:autoSpaceDN w:val="0"/>
              <w:adjustRightInd w:val="0"/>
              <w:snapToGrid w:val="0"/>
              <w:spacing w:before="20"/>
              <w:jc w:val="center"/>
              <w:textAlignment w:val="baseline"/>
            </w:pPr>
          </w:p>
        </w:tc>
        <w:tc>
          <w:tcPr>
            <w:tcW w:w="2563" w:type="dxa"/>
            <w:vAlign w:val="center"/>
          </w:tcPr>
          <w:p w14:paraId="240CD780" w14:textId="77777777" w:rsidR="00606029" w:rsidRDefault="00EA5B92">
            <w:pPr>
              <w:autoSpaceDE w:val="0"/>
              <w:autoSpaceDN w:val="0"/>
              <w:adjustRightInd w:val="0"/>
              <w:snapToGrid w:val="0"/>
              <w:spacing w:before="20"/>
              <w:jc w:val="center"/>
              <w:textAlignment w:val="baseline"/>
            </w:pPr>
            <w:r>
              <w:t>地形数据分辨率</w:t>
            </w:r>
            <w:r>
              <w:t>/m</w:t>
            </w:r>
          </w:p>
        </w:tc>
        <w:tc>
          <w:tcPr>
            <w:tcW w:w="4527" w:type="dxa"/>
            <w:tcBorders>
              <w:right w:val="single" w:sz="4" w:space="0" w:color="auto"/>
            </w:tcBorders>
            <w:vAlign w:val="center"/>
          </w:tcPr>
          <w:p w14:paraId="1BB40898" w14:textId="77777777" w:rsidR="00606029" w:rsidRDefault="00EA5B92">
            <w:pPr>
              <w:spacing w:line="240" w:lineRule="atLeast"/>
              <w:jc w:val="center"/>
            </w:pPr>
            <w:r>
              <w:rPr>
                <w:szCs w:val="24"/>
              </w:rPr>
              <w:t>90</w:t>
            </w:r>
          </w:p>
        </w:tc>
      </w:tr>
      <w:tr w:rsidR="00606029" w14:paraId="729B42F2" w14:textId="77777777" w:rsidTr="002023A7">
        <w:trPr>
          <w:trHeight w:val="340"/>
          <w:jc w:val="center"/>
        </w:trPr>
        <w:tc>
          <w:tcPr>
            <w:tcW w:w="1970" w:type="dxa"/>
            <w:vMerge w:val="restart"/>
            <w:tcBorders>
              <w:left w:val="single" w:sz="4" w:space="0" w:color="auto"/>
            </w:tcBorders>
            <w:vAlign w:val="center"/>
          </w:tcPr>
          <w:p w14:paraId="5D12DC37" w14:textId="77777777" w:rsidR="00606029" w:rsidRDefault="00EA5B92">
            <w:pPr>
              <w:autoSpaceDE w:val="0"/>
              <w:autoSpaceDN w:val="0"/>
              <w:adjustRightInd w:val="0"/>
              <w:snapToGrid w:val="0"/>
              <w:spacing w:before="20"/>
              <w:jc w:val="center"/>
              <w:textAlignment w:val="baseline"/>
            </w:pPr>
            <w:r>
              <w:t>是否考虑岸线熏烟</w:t>
            </w:r>
          </w:p>
        </w:tc>
        <w:tc>
          <w:tcPr>
            <w:tcW w:w="2563" w:type="dxa"/>
            <w:vAlign w:val="center"/>
          </w:tcPr>
          <w:p w14:paraId="37970BEA" w14:textId="77777777" w:rsidR="00606029" w:rsidRDefault="00EA5B92">
            <w:pPr>
              <w:autoSpaceDE w:val="0"/>
              <w:autoSpaceDN w:val="0"/>
              <w:adjustRightInd w:val="0"/>
              <w:snapToGrid w:val="0"/>
              <w:spacing w:before="20"/>
              <w:jc w:val="center"/>
              <w:textAlignment w:val="baseline"/>
            </w:pPr>
            <w:r>
              <w:t>考虑岸线熏烟</w:t>
            </w:r>
          </w:p>
        </w:tc>
        <w:tc>
          <w:tcPr>
            <w:tcW w:w="4527" w:type="dxa"/>
            <w:tcBorders>
              <w:right w:val="single" w:sz="4" w:space="0" w:color="auto"/>
            </w:tcBorders>
            <w:vAlign w:val="center"/>
          </w:tcPr>
          <w:p w14:paraId="38B0D2FF" w14:textId="77777777" w:rsidR="00606029" w:rsidRDefault="00EA5B92">
            <w:pPr>
              <w:spacing w:line="240" w:lineRule="atLeast"/>
              <w:jc w:val="center"/>
            </w:pPr>
            <w:r>
              <w:rPr>
                <w:szCs w:val="24"/>
              </w:rPr>
              <w:t>否</w:t>
            </w:r>
          </w:p>
        </w:tc>
      </w:tr>
      <w:tr w:rsidR="00606029" w14:paraId="0D881870" w14:textId="77777777" w:rsidTr="002023A7">
        <w:trPr>
          <w:trHeight w:val="340"/>
          <w:jc w:val="center"/>
        </w:trPr>
        <w:tc>
          <w:tcPr>
            <w:tcW w:w="1970" w:type="dxa"/>
            <w:vMerge/>
            <w:tcBorders>
              <w:left w:val="single" w:sz="4" w:space="0" w:color="auto"/>
            </w:tcBorders>
            <w:vAlign w:val="center"/>
          </w:tcPr>
          <w:p w14:paraId="4964349A" w14:textId="77777777" w:rsidR="00606029" w:rsidRDefault="00606029">
            <w:pPr>
              <w:autoSpaceDE w:val="0"/>
              <w:autoSpaceDN w:val="0"/>
              <w:adjustRightInd w:val="0"/>
              <w:snapToGrid w:val="0"/>
              <w:spacing w:before="20"/>
              <w:jc w:val="center"/>
              <w:textAlignment w:val="baseline"/>
            </w:pPr>
          </w:p>
        </w:tc>
        <w:tc>
          <w:tcPr>
            <w:tcW w:w="2563" w:type="dxa"/>
            <w:vAlign w:val="center"/>
          </w:tcPr>
          <w:p w14:paraId="2442C6FF" w14:textId="77777777" w:rsidR="00606029" w:rsidRDefault="00EA5B92">
            <w:pPr>
              <w:autoSpaceDE w:val="0"/>
              <w:autoSpaceDN w:val="0"/>
              <w:adjustRightInd w:val="0"/>
              <w:snapToGrid w:val="0"/>
              <w:spacing w:before="20"/>
              <w:jc w:val="center"/>
              <w:textAlignment w:val="baseline"/>
            </w:pPr>
            <w:r>
              <w:t>岸线距离</w:t>
            </w:r>
            <w:r>
              <w:t>/km</w:t>
            </w:r>
          </w:p>
        </w:tc>
        <w:tc>
          <w:tcPr>
            <w:tcW w:w="4527" w:type="dxa"/>
            <w:tcBorders>
              <w:right w:val="single" w:sz="4" w:space="0" w:color="auto"/>
            </w:tcBorders>
            <w:vAlign w:val="center"/>
          </w:tcPr>
          <w:p w14:paraId="30D8F051" w14:textId="77777777" w:rsidR="00606029" w:rsidRDefault="00EA5B92">
            <w:pPr>
              <w:spacing w:line="240" w:lineRule="atLeast"/>
              <w:jc w:val="center"/>
            </w:pPr>
            <w:r>
              <w:rPr>
                <w:szCs w:val="24"/>
              </w:rPr>
              <w:t>/</w:t>
            </w:r>
          </w:p>
        </w:tc>
      </w:tr>
      <w:tr w:rsidR="00606029" w14:paraId="6E8DBEA1" w14:textId="77777777" w:rsidTr="002023A7">
        <w:trPr>
          <w:trHeight w:val="340"/>
          <w:jc w:val="center"/>
        </w:trPr>
        <w:tc>
          <w:tcPr>
            <w:tcW w:w="1970" w:type="dxa"/>
            <w:vMerge/>
            <w:tcBorders>
              <w:left w:val="single" w:sz="4" w:space="0" w:color="auto"/>
              <w:bottom w:val="single" w:sz="4" w:space="0" w:color="auto"/>
            </w:tcBorders>
            <w:vAlign w:val="center"/>
          </w:tcPr>
          <w:p w14:paraId="391E3F54" w14:textId="77777777" w:rsidR="00606029" w:rsidRDefault="00606029">
            <w:pPr>
              <w:autoSpaceDE w:val="0"/>
              <w:autoSpaceDN w:val="0"/>
              <w:adjustRightInd w:val="0"/>
              <w:snapToGrid w:val="0"/>
              <w:spacing w:before="20"/>
              <w:jc w:val="center"/>
              <w:textAlignment w:val="baseline"/>
            </w:pPr>
          </w:p>
        </w:tc>
        <w:tc>
          <w:tcPr>
            <w:tcW w:w="2563" w:type="dxa"/>
            <w:tcBorders>
              <w:bottom w:val="single" w:sz="4" w:space="0" w:color="auto"/>
            </w:tcBorders>
            <w:vAlign w:val="center"/>
          </w:tcPr>
          <w:p w14:paraId="58704DA9" w14:textId="77777777" w:rsidR="00606029" w:rsidRDefault="00EA5B92">
            <w:pPr>
              <w:autoSpaceDE w:val="0"/>
              <w:autoSpaceDN w:val="0"/>
              <w:adjustRightInd w:val="0"/>
              <w:snapToGrid w:val="0"/>
              <w:spacing w:before="20"/>
              <w:jc w:val="center"/>
              <w:textAlignment w:val="baseline"/>
            </w:pPr>
            <w:r>
              <w:t>岸线方向</w:t>
            </w:r>
            <w:r>
              <w:t>/°</w:t>
            </w:r>
          </w:p>
        </w:tc>
        <w:tc>
          <w:tcPr>
            <w:tcW w:w="4527" w:type="dxa"/>
            <w:tcBorders>
              <w:bottom w:val="single" w:sz="4" w:space="0" w:color="auto"/>
              <w:right w:val="single" w:sz="4" w:space="0" w:color="auto"/>
            </w:tcBorders>
            <w:vAlign w:val="center"/>
          </w:tcPr>
          <w:p w14:paraId="6760258F" w14:textId="77777777" w:rsidR="00606029" w:rsidRDefault="00EA5B92">
            <w:pPr>
              <w:spacing w:line="240" w:lineRule="atLeast"/>
              <w:jc w:val="center"/>
            </w:pPr>
            <w:r>
              <w:rPr>
                <w:szCs w:val="24"/>
              </w:rPr>
              <w:t>/</w:t>
            </w:r>
          </w:p>
        </w:tc>
      </w:tr>
    </w:tbl>
    <w:p w14:paraId="417494AC" w14:textId="77777777" w:rsidR="002023A7" w:rsidRPr="002023A7" w:rsidRDefault="002023A7" w:rsidP="002023A7">
      <w:pPr>
        <w:widowControl/>
        <w:adjustRightInd w:val="0"/>
        <w:snapToGrid w:val="0"/>
        <w:spacing w:beforeLines="25" w:before="60" w:afterLines="25" w:after="60" w:line="360" w:lineRule="auto"/>
        <w:ind w:firstLineChars="200" w:firstLine="480"/>
        <w:rPr>
          <w:kern w:val="0"/>
          <w:sz w:val="24"/>
          <w:szCs w:val="24"/>
        </w:rPr>
      </w:pPr>
      <w:r w:rsidRPr="002023A7">
        <w:rPr>
          <w:kern w:val="0"/>
          <w:sz w:val="24"/>
          <w:szCs w:val="24"/>
        </w:rPr>
        <w:t>估算模型参数选取如下：</w:t>
      </w:r>
    </w:p>
    <w:p w14:paraId="30785438" w14:textId="52F18E8F" w:rsidR="002023A7" w:rsidRPr="002023A7" w:rsidRDefault="002023A7" w:rsidP="002023A7">
      <w:pPr>
        <w:widowControl/>
        <w:adjustRightInd w:val="0"/>
        <w:snapToGrid w:val="0"/>
        <w:spacing w:beforeLines="25" w:before="60" w:afterLines="25" w:after="60" w:line="360" w:lineRule="auto"/>
        <w:ind w:firstLineChars="200" w:firstLine="480"/>
        <w:rPr>
          <w:kern w:val="0"/>
          <w:sz w:val="24"/>
          <w:szCs w:val="24"/>
        </w:rPr>
      </w:pPr>
      <w:r w:rsidRPr="002023A7">
        <w:rPr>
          <w:kern w:val="0"/>
          <w:sz w:val="24"/>
          <w:szCs w:val="24"/>
        </w:rPr>
        <w:t>（</w:t>
      </w:r>
      <w:r w:rsidRPr="002023A7">
        <w:rPr>
          <w:kern w:val="0"/>
          <w:sz w:val="24"/>
          <w:szCs w:val="24"/>
        </w:rPr>
        <w:t>1</w:t>
      </w:r>
      <w:r w:rsidRPr="002023A7">
        <w:rPr>
          <w:kern w:val="0"/>
          <w:sz w:val="24"/>
          <w:szCs w:val="24"/>
        </w:rPr>
        <w:t>）根据《环境影响评价技术导则</w:t>
      </w:r>
      <w:r w:rsidRPr="002023A7">
        <w:rPr>
          <w:kern w:val="0"/>
          <w:sz w:val="24"/>
          <w:szCs w:val="24"/>
        </w:rPr>
        <w:t xml:space="preserve"> </w:t>
      </w:r>
      <w:r w:rsidRPr="002023A7">
        <w:rPr>
          <w:kern w:val="0"/>
          <w:sz w:val="24"/>
          <w:szCs w:val="24"/>
        </w:rPr>
        <w:t>大气环境》</w:t>
      </w:r>
      <w:r w:rsidRPr="002023A7">
        <w:rPr>
          <w:kern w:val="0"/>
          <w:sz w:val="24"/>
          <w:szCs w:val="24"/>
        </w:rPr>
        <w:t>(HJ2.2-2018)</w:t>
      </w:r>
      <w:r w:rsidRPr="002023A7">
        <w:rPr>
          <w:kern w:val="0"/>
          <w:sz w:val="24"/>
          <w:szCs w:val="24"/>
        </w:rPr>
        <w:t>附录</w:t>
      </w:r>
      <w:r w:rsidRPr="002023A7">
        <w:rPr>
          <w:kern w:val="0"/>
          <w:sz w:val="24"/>
          <w:szCs w:val="24"/>
        </w:rPr>
        <w:t>B</w:t>
      </w:r>
      <w:r w:rsidRPr="002023A7">
        <w:rPr>
          <w:kern w:val="0"/>
          <w:sz w:val="24"/>
          <w:szCs w:val="24"/>
        </w:rPr>
        <w:t>的</w:t>
      </w:r>
      <w:r w:rsidRPr="002023A7">
        <w:rPr>
          <w:kern w:val="0"/>
          <w:sz w:val="24"/>
          <w:szCs w:val="24"/>
        </w:rPr>
        <w:t>B.6.1</w:t>
      </w:r>
      <w:r w:rsidRPr="002023A7">
        <w:rPr>
          <w:kern w:val="0"/>
          <w:sz w:val="24"/>
          <w:szCs w:val="24"/>
        </w:rPr>
        <w:t>城市</w:t>
      </w:r>
      <w:r w:rsidRPr="002023A7">
        <w:rPr>
          <w:kern w:val="0"/>
          <w:sz w:val="24"/>
          <w:szCs w:val="24"/>
        </w:rPr>
        <w:t>/</w:t>
      </w:r>
      <w:r w:rsidRPr="002023A7">
        <w:rPr>
          <w:kern w:val="0"/>
          <w:sz w:val="24"/>
          <w:szCs w:val="24"/>
        </w:rPr>
        <w:t>农村选项，</w:t>
      </w:r>
      <w:r w:rsidRPr="002023A7">
        <w:rPr>
          <w:kern w:val="0"/>
          <w:sz w:val="24"/>
          <w:szCs w:val="24"/>
        </w:rPr>
        <w:t>“</w:t>
      </w:r>
      <w:r w:rsidRPr="002023A7">
        <w:rPr>
          <w:kern w:val="0"/>
          <w:sz w:val="24"/>
          <w:szCs w:val="24"/>
        </w:rPr>
        <w:t>当项目周边</w:t>
      </w:r>
      <w:r w:rsidRPr="002023A7">
        <w:rPr>
          <w:kern w:val="0"/>
          <w:sz w:val="24"/>
          <w:szCs w:val="24"/>
        </w:rPr>
        <w:t>3km</w:t>
      </w:r>
      <w:r w:rsidRPr="002023A7">
        <w:rPr>
          <w:kern w:val="0"/>
          <w:sz w:val="24"/>
          <w:szCs w:val="24"/>
        </w:rPr>
        <w:t>半径范围内一半以上属于城市建成区或者规划区时选择城市，否则选择农村</w:t>
      </w:r>
      <w:r w:rsidRPr="002023A7">
        <w:rPr>
          <w:kern w:val="0"/>
          <w:sz w:val="24"/>
          <w:szCs w:val="24"/>
        </w:rPr>
        <w:t>”</w:t>
      </w:r>
      <w:r w:rsidRPr="002023A7">
        <w:rPr>
          <w:kern w:val="0"/>
          <w:sz w:val="24"/>
          <w:szCs w:val="24"/>
        </w:rPr>
        <w:t>。根据本次评价对厂址周边</w:t>
      </w:r>
      <w:r w:rsidRPr="002023A7">
        <w:rPr>
          <w:kern w:val="0"/>
          <w:sz w:val="24"/>
          <w:szCs w:val="24"/>
        </w:rPr>
        <w:t>3km</w:t>
      </w:r>
      <w:r w:rsidRPr="002023A7">
        <w:rPr>
          <w:kern w:val="0"/>
          <w:sz w:val="24"/>
          <w:szCs w:val="24"/>
        </w:rPr>
        <w:t>半径范围内的用地性质调查结果可知，本次评价选取农村选项。</w:t>
      </w:r>
    </w:p>
    <w:p w14:paraId="1343A8A3" w14:textId="77777777" w:rsidR="002023A7" w:rsidRPr="002023A7" w:rsidRDefault="002023A7" w:rsidP="002023A7">
      <w:pPr>
        <w:widowControl/>
        <w:adjustRightInd w:val="0"/>
        <w:snapToGrid w:val="0"/>
        <w:spacing w:beforeLines="25" w:before="60" w:afterLines="25" w:after="60" w:line="360" w:lineRule="auto"/>
        <w:ind w:firstLineChars="200" w:firstLine="480"/>
        <w:rPr>
          <w:kern w:val="0"/>
          <w:sz w:val="24"/>
          <w:szCs w:val="24"/>
        </w:rPr>
      </w:pPr>
      <w:r w:rsidRPr="002023A7">
        <w:rPr>
          <w:kern w:val="0"/>
          <w:sz w:val="24"/>
          <w:szCs w:val="24"/>
        </w:rPr>
        <w:t>（</w:t>
      </w:r>
      <w:r w:rsidRPr="002023A7">
        <w:rPr>
          <w:kern w:val="0"/>
          <w:sz w:val="24"/>
          <w:szCs w:val="24"/>
        </w:rPr>
        <w:t>2</w:t>
      </w:r>
      <w:r w:rsidRPr="002023A7">
        <w:rPr>
          <w:kern w:val="0"/>
          <w:sz w:val="24"/>
          <w:szCs w:val="24"/>
        </w:rPr>
        <w:t>）环境温度取值来源于大庆市气象站（</w:t>
      </w:r>
      <w:r w:rsidRPr="002023A7">
        <w:rPr>
          <w:kern w:val="0"/>
          <w:sz w:val="24"/>
          <w:szCs w:val="24"/>
        </w:rPr>
        <w:t>50850</w:t>
      </w:r>
      <w:r w:rsidRPr="002023A7">
        <w:rPr>
          <w:kern w:val="0"/>
          <w:sz w:val="24"/>
          <w:szCs w:val="24"/>
        </w:rPr>
        <w:t>）近二十年气象数据统计。</w:t>
      </w:r>
    </w:p>
    <w:p w14:paraId="25A922D9" w14:textId="77777777" w:rsidR="002023A7" w:rsidRPr="002023A7" w:rsidRDefault="002023A7" w:rsidP="002023A7">
      <w:pPr>
        <w:widowControl/>
        <w:adjustRightInd w:val="0"/>
        <w:snapToGrid w:val="0"/>
        <w:spacing w:beforeLines="25" w:before="60" w:afterLines="25" w:after="60" w:line="360" w:lineRule="auto"/>
        <w:ind w:firstLineChars="200" w:firstLine="480"/>
        <w:rPr>
          <w:kern w:val="0"/>
          <w:sz w:val="24"/>
          <w:szCs w:val="24"/>
        </w:rPr>
      </w:pPr>
      <w:r w:rsidRPr="002023A7">
        <w:rPr>
          <w:kern w:val="0"/>
          <w:sz w:val="24"/>
          <w:szCs w:val="24"/>
        </w:rPr>
        <w:t>（</w:t>
      </w:r>
      <w:r w:rsidRPr="002023A7">
        <w:rPr>
          <w:kern w:val="0"/>
          <w:sz w:val="24"/>
          <w:szCs w:val="24"/>
        </w:rPr>
        <w:t>3</w:t>
      </w:r>
      <w:r w:rsidRPr="002023A7">
        <w:rPr>
          <w:kern w:val="0"/>
          <w:sz w:val="24"/>
          <w:szCs w:val="24"/>
        </w:rPr>
        <w:t>）</w:t>
      </w:r>
      <w:bookmarkStart w:id="64" w:name="OLE_LINK57"/>
      <w:r w:rsidRPr="002023A7">
        <w:rPr>
          <w:kern w:val="0"/>
          <w:sz w:val="24"/>
          <w:szCs w:val="24"/>
        </w:rPr>
        <w:t>根据《环境影响评价技术导则</w:t>
      </w:r>
      <w:r w:rsidRPr="002023A7">
        <w:rPr>
          <w:kern w:val="0"/>
          <w:sz w:val="24"/>
          <w:szCs w:val="24"/>
        </w:rPr>
        <w:t xml:space="preserve"> </w:t>
      </w:r>
      <w:r w:rsidRPr="002023A7">
        <w:rPr>
          <w:kern w:val="0"/>
          <w:sz w:val="24"/>
          <w:szCs w:val="24"/>
        </w:rPr>
        <w:t>大气环境》</w:t>
      </w:r>
      <w:r w:rsidRPr="002023A7">
        <w:rPr>
          <w:kern w:val="0"/>
          <w:sz w:val="24"/>
          <w:szCs w:val="24"/>
        </w:rPr>
        <w:t>(HJ2.2-2018)</w:t>
      </w:r>
      <w:r w:rsidRPr="002023A7">
        <w:rPr>
          <w:kern w:val="0"/>
          <w:sz w:val="24"/>
          <w:szCs w:val="24"/>
        </w:rPr>
        <w:t>附录</w:t>
      </w:r>
      <w:r w:rsidRPr="002023A7">
        <w:rPr>
          <w:kern w:val="0"/>
          <w:sz w:val="24"/>
          <w:szCs w:val="24"/>
        </w:rPr>
        <w:t>B</w:t>
      </w:r>
      <w:r w:rsidRPr="002023A7">
        <w:rPr>
          <w:kern w:val="0"/>
          <w:sz w:val="24"/>
          <w:szCs w:val="24"/>
        </w:rPr>
        <w:t>的</w:t>
      </w:r>
      <w:r w:rsidRPr="002023A7">
        <w:rPr>
          <w:kern w:val="0"/>
          <w:sz w:val="24"/>
          <w:szCs w:val="24"/>
        </w:rPr>
        <w:t>B.5</w:t>
      </w:r>
      <w:r w:rsidRPr="002023A7">
        <w:rPr>
          <w:kern w:val="0"/>
          <w:sz w:val="24"/>
          <w:szCs w:val="24"/>
        </w:rPr>
        <w:t>地表参数，</w:t>
      </w:r>
      <w:r w:rsidRPr="002023A7">
        <w:rPr>
          <w:kern w:val="0"/>
          <w:sz w:val="24"/>
          <w:szCs w:val="24"/>
        </w:rPr>
        <w:t>AERMOD</w:t>
      </w:r>
      <w:r w:rsidRPr="002023A7">
        <w:rPr>
          <w:kern w:val="0"/>
          <w:sz w:val="24"/>
          <w:szCs w:val="24"/>
        </w:rPr>
        <w:t>地表参数一般根据项目周边</w:t>
      </w:r>
      <w:r w:rsidRPr="002023A7">
        <w:rPr>
          <w:kern w:val="0"/>
          <w:sz w:val="24"/>
          <w:szCs w:val="24"/>
        </w:rPr>
        <w:t>3km</w:t>
      </w:r>
      <w:r w:rsidRPr="002023A7">
        <w:rPr>
          <w:kern w:val="0"/>
          <w:sz w:val="24"/>
          <w:szCs w:val="24"/>
        </w:rPr>
        <w:t>范围内的土地利用类型进行合理划</w:t>
      </w:r>
      <w:r w:rsidRPr="002023A7">
        <w:rPr>
          <w:kern w:val="0"/>
          <w:sz w:val="24"/>
          <w:szCs w:val="24"/>
        </w:rPr>
        <w:lastRenderedPageBreak/>
        <w:t>分，本项目周边</w:t>
      </w:r>
      <w:r w:rsidRPr="002023A7">
        <w:rPr>
          <w:kern w:val="0"/>
          <w:sz w:val="24"/>
          <w:szCs w:val="24"/>
        </w:rPr>
        <w:t>3km</w:t>
      </w:r>
      <w:r w:rsidRPr="002023A7">
        <w:rPr>
          <w:kern w:val="0"/>
          <w:sz w:val="24"/>
          <w:szCs w:val="24"/>
        </w:rPr>
        <w:t>范围内的土地利用类型为农用地，本次评价的土地利用利类型选取农作地。</w:t>
      </w:r>
      <w:bookmarkEnd w:id="64"/>
    </w:p>
    <w:p w14:paraId="64AAAA0F" w14:textId="77777777" w:rsidR="002023A7" w:rsidRPr="002023A7" w:rsidRDefault="002023A7" w:rsidP="002023A7">
      <w:pPr>
        <w:widowControl/>
        <w:adjustRightInd w:val="0"/>
        <w:snapToGrid w:val="0"/>
        <w:spacing w:beforeLines="25" w:before="60" w:afterLines="25" w:after="60" w:line="360" w:lineRule="auto"/>
        <w:ind w:firstLineChars="200" w:firstLine="480"/>
        <w:rPr>
          <w:kern w:val="0"/>
          <w:sz w:val="24"/>
          <w:szCs w:val="24"/>
        </w:rPr>
      </w:pPr>
      <w:r w:rsidRPr="002023A7">
        <w:rPr>
          <w:kern w:val="0"/>
          <w:sz w:val="24"/>
          <w:szCs w:val="24"/>
        </w:rPr>
        <w:t>（</w:t>
      </w:r>
      <w:r w:rsidRPr="002023A7">
        <w:rPr>
          <w:kern w:val="0"/>
          <w:sz w:val="24"/>
          <w:szCs w:val="24"/>
        </w:rPr>
        <w:t>4</w:t>
      </w:r>
      <w:r w:rsidRPr="002023A7">
        <w:rPr>
          <w:kern w:val="0"/>
          <w:sz w:val="24"/>
          <w:szCs w:val="24"/>
        </w:rPr>
        <w:t>）区域湿度条件根据中国干湿度分布图判断，大庆市地区属于中等湿度气候。</w:t>
      </w:r>
    </w:p>
    <w:p w14:paraId="3CB8C2CA" w14:textId="2649A739" w:rsidR="00606029" w:rsidRDefault="002023A7" w:rsidP="002023A7">
      <w:pPr>
        <w:widowControl/>
        <w:adjustRightInd w:val="0"/>
        <w:snapToGrid w:val="0"/>
        <w:spacing w:beforeLines="25" w:before="60" w:afterLines="25" w:after="60" w:line="360" w:lineRule="auto"/>
        <w:ind w:firstLineChars="200" w:firstLine="480"/>
        <w:rPr>
          <w:color w:val="000000"/>
          <w:kern w:val="0"/>
          <w:sz w:val="24"/>
          <w:szCs w:val="24"/>
        </w:rPr>
      </w:pPr>
      <w:r w:rsidRPr="002023A7">
        <w:rPr>
          <w:kern w:val="0"/>
          <w:sz w:val="24"/>
          <w:szCs w:val="24"/>
        </w:rPr>
        <w:t>（</w:t>
      </w:r>
      <w:r w:rsidRPr="002023A7">
        <w:rPr>
          <w:kern w:val="0"/>
          <w:sz w:val="24"/>
          <w:szCs w:val="24"/>
        </w:rPr>
        <w:t>5</w:t>
      </w:r>
      <w:r w:rsidRPr="002023A7">
        <w:rPr>
          <w:kern w:val="0"/>
          <w:sz w:val="24"/>
          <w:szCs w:val="24"/>
        </w:rPr>
        <w:t>）根据《环境影响评价技术导则</w:t>
      </w:r>
      <w:r w:rsidRPr="002023A7">
        <w:rPr>
          <w:kern w:val="0"/>
          <w:sz w:val="24"/>
          <w:szCs w:val="24"/>
        </w:rPr>
        <w:t xml:space="preserve">  </w:t>
      </w:r>
      <w:r w:rsidRPr="002023A7">
        <w:rPr>
          <w:kern w:val="0"/>
          <w:sz w:val="24"/>
          <w:szCs w:val="24"/>
        </w:rPr>
        <w:t>大气环境》</w:t>
      </w:r>
      <w:r w:rsidRPr="002023A7">
        <w:rPr>
          <w:kern w:val="0"/>
          <w:sz w:val="24"/>
          <w:szCs w:val="24"/>
        </w:rPr>
        <w:t>(HJ2.2-2018)</w:t>
      </w:r>
      <w:r w:rsidRPr="002023A7">
        <w:rPr>
          <w:kern w:val="0"/>
          <w:sz w:val="24"/>
          <w:szCs w:val="24"/>
        </w:rPr>
        <w:t>附录</w:t>
      </w:r>
      <w:r w:rsidRPr="002023A7">
        <w:rPr>
          <w:kern w:val="0"/>
          <w:sz w:val="24"/>
          <w:szCs w:val="24"/>
        </w:rPr>
        <w:t>B</w:t>
      </w:r>
      <w:r w:rsidRPr="002023A7">
        <w:rPr>
          <w:kern w:val="0"/>
          <w:sz w:val="24"/>
          <w:szCs w:val="24"/>
        </w:rPr>
        <w:t>的</w:t>
      </w:r>
      <w:r w:rsidRPr="002023A7">
        <w:rPr>
          <w:kern w:val="0"/>
          <w:sz w:val="24"/>
          <w:szCs w:val="24"/>
        </w:rPr>
        <w:t>B.4</w:t>
      </w:r>
      <w:r w:rsidRPr="002023A7">
        <w:rPr>
          <w:kern w:val="0"/>
          <w:sz w:val="24"/>
          <w:szCs w:val="24"/>
        </w:rPr>
        <w:t>地形数据可知，原始地形数据分辨率不得小于</w:t>
      </w:r>
      <w:r w:rsidRPr="002023A7">
        <w:rPr>
          <w:kern w:val="0"/>
          <w:sz w:val="24"/>
          <w:szCs w:val="24"/>
        </w:rPr>
        <w:t>90m</w:t>
      </w:r>
      <w:r w:rsidRPr="002023A7">
        <w:rPr>
          <w:kern w:val="0"/>
          <w:sz w:val="24"/>
          <w:szCs w:val="24"/>
        </w:rPr>
        <w:t>，根据</w:t>
      </w:r>
      <w:r w:rsidRPr="002023A7">
        <w:rPr>
          <w:kern w:val="0"/>
          <w:sz w:val="24"/>
          <w:szCs w:val="24"/>
        </w:rPr>
        <w:t>EIA2018</w:t>
      </w:r>
      <w:r w:rsidRPr="002023A7">
        <w:rPr>
          <w:kern w:val="0"/>
          <w:sz w:val="24"/>
          <w:szCs w:val="24"/>
        </w:rPr>
        <w:t>大气预测软件的</w:t>
      </w:r>
      <w:r w:rsidRPr="002023A7">
        <w:rPr>
          <w:kern w:val="0"/>
          <w:sz w:val="24"/>
          <w:szCs w:val="24"/>
        </w:rPr>
        <w:t>DEM</w:t>
      </w:r>
      <w:r w:rsidRPr="002023A7">
        <w:rPr>
          <w:kern w:val="0"/>
          <w:sz w:val="24"/>
          <w:szCs w:val="24"/>
        </w:rPr>
        <w:t>地形文件，本项目地形数据分辨率为</w:t>
      </w:r>
      <w:r w:rsidRPr="002023A7">
        <w:rPr>
          <w:kern w:val="0"/>
          <w:sz w:val="24"/>
          <w:szCs w:val="24"/>
        </w:rPr>
        <w:t>90m</w:t>
      </w:r>
      <w:r w:rsidRPr="002023A7">
        <w:rPr>
          <w:kern w:val="0"/>
          <w:sz w:val="24"/>
          <w:szCs w:val="24"/>
        </w:rPr>
        <w:t>。</w:t>
      </w:r>
    </w:p>
    <w:p w14:paraId="6F89DCE5" w14:textId="31CC8685" w:rsidR="00606029" w:rsidRDefault="00EA5B92">
      <w:pPr>
        <w:snapToGrid w:val="0"/>
        <w:jc w:val="center"/>
        <w:rPr>
          <w:b/>
          <w:sz w:val="22"/>
          <w:szCs w:val="22"/>
        </w:rPr>
      </w:pPr>
      <w:r>
        <w:rPr>
          <w:b/>
          <w:sz w:val="22"/>
          <w:szCs w:val="22"/>
        </w:rPr>
        <w:t>表</w:t>
      </w:r>
      <w:r>
        <w:rPr>
          <w:b/>
          <w:sz w:val="22"/>
          <w:szCs w:val="22"/>
        </w:rPr>
        <w:t>1.6-</w:t>
      </w:r>
      <w:r w:rsidR="007A6B7F">
        <w:rPr>
          <w:rFonts w:hint="eastAsia"/>
          <w:b/>
          <w:sz w:val="22"/>
          <w:szCs w:val="22"/>
        </w:rPr>
        <w:t>3</w:t>
      </w:r>
      <w:r>
        <w:rPr>
          <w:b/>
          <w:sz w:val="22"/>
          <w:szCs w:val="22"/>
        </w:rPr>
        <w:t xml:space="preserve">  </w:t>
      </w:r>
      <w:r>
        <w:rPr>
          <w:b/>
          <w:sz w:val="22"/>
          <w:szCs w:val="22"/>
        </w:rPr>
        <w:t>项目面源污染源排放参数一览表</w:t>
      </w:r>
    </w:p>
    <w:tbl>
      <w:tblPr>
        <w:tblW w:w="5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1"/>
        <w:gridCol w:w="1428"/>
        <w:gridCol w:w="656"/>
        <w:gridCol w:w="656"/>
        <w:gridCol w:w="1138"/>
        <w:gridCol w:w="1443"/>
        <w:gridCol w:w="1146"/>
        <w:gridCol w:w="670"/>
        <w:gridCol w:w="1321"/>
      </w:tblGrid>
      <w:tr w:rsidR="00606029" w14:paraId="2F2A3F41" w14:textId="77777777" w:rsidTr="00733F50">
        <w:trPr>
          <w:trHeight w:val="57"/>
          <w:jc w:val="center"/>
        </w:trPr>
        <w:tc>
          <w:tcPr>
            <w:tcW w:w="216" w:type="pct"/>
            <w:vMerge w:val="restart"/>
            <w:tcBorders>
              <w:tl2br w:val="nil"/>
              <w:tr2bl w:val="nil"/>
            </w:tcBorders>
            <w:vAlign w:val="center"/>
          </w:tcPr>
          <w:p w14:paraId="16EC2E43" w14:textId="77777777" w:rsidR="00606029" w:rsidRDefault="00EA5B92">
            <w:pPr>
              <w:widowControl/>
              <w:tabs>
                <w:tab w:val="center" w:pos="0"/>
              </w:tabs>
              <w:adjustRightInd w:val="0"/>
              <w:snapToGrid w:val="0"/>
              <w:jc w:val="center"/>
              <w:rPr>
                <w:color w:val="000000"/>
              </w:rPr>
            </w:pPr>
            <w:r>
              <w:rPr>
                <w:color w:val="000000"/>
              </w:rPr>
              <w:t>编号</w:t>
            </w:r>
          </w:p>
        </w:tc>
        <w:tc>
          <w:tcPr>
            <w:tcW w:w="808" w:type="pct"/>
            <w:vMerge w:val="restart"/>
            <w:tcBorders>
              <w:tl2br w:val="nil"/>
              <w:tr2bl w:val="nil"/>
            </w:tcBorders>
            <w:vAlign w:val="center"/>
          </w:tcPr>
          <w:p w14:paraId="7DB7778F" w14:textId="77777777" w:rsidR="00606029" w:rsidRDefault="00EA5B92">
            <w:pPr>
              <w:widowControl/>
              <w:tabs>
                <w:tab w:val="center" w:pos="0"/>
              </w:tabs>
              <w:adjustRightInd w:val="0"/>
              <w:snapToGrid w:val="0"/>
              <w:jc w:val="center"/>
              <w:rPr>
                <w:color w:val="000000"/>
              </w:rPr>
            </w:pPr>
            <w:r>
              <w:rPr>
                <w:color w:val="000000"/>
              </w:rPr>
              <w:t>名称</w:t>
            </w:r>
          </w:p>
        </w:tc>
        <w:tc>
          <w:tcPr>
            <w:tcW w:w="742" w:type="pct"/>
            <w:gridSpan w:val="2"/>
            <w:tcBorders>
              <w:tl2br w:val="nil"/>
              <w:tr2bl w:val="nil"/>
            </w:tcBorders>
            <w:vAlign w:val="center"/>
          </w:tcPr>
          <w:p w14:paraId="0272A423" w14:textId="519BA405" w:rsidR="00606029" w:rsidRDefault="00EA5B92">
            <w:pPr>
              <w:widowControl/>
              <w:tabs>
                <w:tab w:val="center" w:pos="0"/>
              </w:tabs>
              <w:adjustRightInd w:val="0"/>
              <w:snapToGrid w:val="0"/>
              <w:jc w:val="center"/>
              <w:rPr>
                <w:color w:val="000000"/>
              </w:rPr>
            </w:pPr>
            <w:r>
              <w:rPr>
                <w:color w:val="000000"/>
              </w:rPr>
              <w:t>面源各</w:t>
            </w:r>
            <w:r w:rsidR="007A6B7F">
              <w:rPr>
                <w:rFonts w:hint="eastAsia"/>
                <w:color w:val="000000"/>
              </w:rPr>
              <w:t>起点</w:t>
            </w:r>
            <w:r>
              <w:rPr>
                <w:color w:val="000000"/>
              </w:rPr>
              <w:t>坐标</w:t>
            </w:r>
            <w:r>
              <w:rPr>
                <w:color w:val="000000"/>
              </w:rPr>
              <w:t>/m</w:t>
            </w:r>
          </w:p>
        </w:tc>
        <w:tc>
          <w:tcPr>
            <w:tcW w:w="644" w:type="pct"/>
            <w:vMerge w:val="restart"/>
            <w:tcBorders>
              <w:tl2br w:val="nil"/>
              <w:tr2bl w:val="nil"/>
            </w:tcBorders>
            <w:vAlign w:val="center"/>
          </w:tcPr>
          <w:p w14:paraId="030F7782" w14:textId="77777777" w:rsidR="00606029" w:rsidRDefault="00EA5B92">
            <w:pPr>
              <w:widowControl/>
              <w:tabs>
                <w:tab w:val="center" w:pos="0"/>
              </w:tabs>
              <w:adjustRightInd w:val="0"/>
              <w:snapToGrid w:val="0"/>
              <w:jc w:val="center"/>
              <w:rPr>
                <w:color w:val="000000"/>
              </w:rPr>
            </w:pPr>
            <w:r>
              <w:rPr>
                <w:color w:val="000000"/>
              </w:rPr>
              <w:t>面源海拔</w:t>
            </w:r>
            <w:r>
              <w:rPr>
                <w:color w:val="000000"/>
              </w:rPr>
              <w:t>/m</w:t>
            </w:r>
          </w:p>
        </w:tc>
        <w:tc>
          <w:tcPr>
            <w:tcW w:w="816" w:type="pct"/>
            <w:vMerge w:val="restart"/>
            <w:tcBorders>
              <w:tl2br w:val="nil"/>
              <w:tr2bl w:val="nil"/>
            </w:tcBorders>
            <w:vAlign w:val="center"/>
          </w:tcPr>
          <w:p w14:paraId="036870D4" w14:textId="77777777" w:rsidR="00606029" w:rsidRDefault="00EA5B92">
            <w:pPr>
              <w:widowControl/>
              <w:tabs>
                <w:tab w:val="center" w:pos="0"/>
              </w:tabs>
              <w:adjustRightInd w:val="0"/>
              <w:snapToGrid w:val="0"/>
              <w:jc w:val="center"/>
              <w:rPr>
                <w:color w:val="000000"/>
              </w:rPr>
            </w:pPr>
            <w:r>
              <w:rPr>
                <w:color w:val="000000"/>
              </w:rPr>
              <w:t>面源有效排放高度</w:t>
            </w:r>
            <w:r>
              <w:rPr>
                <w:color w:val="000000"/>
              </w:rPr>
              <w:t>/m</w:t>
            </w:r>
          </w:p>
        </w:tc>
        <w:tc>
          <w:tcPr>
            <w:tcW w:w="648" w:type="pct"/>
            <w:vMerge w:val="restart"/>
            <w:tcBorders>
              <w:tl2br w:val="nil"/>
              <w:tr2bl w:val="nil"/>
            </w:tcBorders>
            <w:vAlign w:val="center"/>
          </w:tcPr>
          <w:p w14:paraId="58BD1AC6" w14:textId="77777777" w:rsidR="00606029" w:rsidRDefault="00EA5B92">
            <w:pPr>
              <w:widowControl/>
              <w:tabs>
                <w:tab w:val="center" w:pos="0"/>
              </w:tabs>
              <w:adjustRightInd w:val="0"/>
              <w:snapToGrid w:val="0"/>
              <w:jc w:val="center"/>
              <w:rPr>
                <w:color w:val="000000"/>
              </w:rPr>
            </w:pPr>
            <w:r>
              <w:rPr>
                <w:color w:val="000000"/>
              </w:rPr>
              <w:t>年排放小时数</w:t>
            </w:r>
            <w:r>
              <w:rPr>
                <w:color w:val="000000"/>
              </w:rPr>
              <w:t>/h</w:t>
            </w:r>
          </w:p>
        </w:tc>
        <w:tc>
          <w:tcPr>
            <w:tcW w:w="379" w:type="pct"/>
            <w:vMerge w:val="restart"/>
            <w:tcBorders>
              <w:tl2br w:val="nil"/>
              <w:tr2bl w:val="nil"/>
            </w:tcBorders>
            <w:vAlign w:val="center"/>
          </w:tcPr>
          <w:p w14:paraId="69B9051E" w14:textId="77777777" w:rsidR="00606029" w:rsidRDefault="00EA5B92">
            <w:pPr>
              <w:widowControl/>
              <w:tabs>
                <w:tab w:val="center" w:pos="0"/>
              </w:tabs>
              <w:adjustRightInd w:val="0"/>
              <w:snapToGrid w:val="0"/>
              <w:jc w:val="center"/>
              <w:rPr>
                <w:color w:val="000000"/>
              </w:rPr>
            </w:pPr>
            <w:r>
              <w:rPr>
                <w:color w:val="000000"/>
              </w:rPr>
              <w:t>排放工况</w:t>
            </w:r>
          </w:p>
        </w:tc>
        <w:tc>
          <w:tcPr>
            <w:tcW w:w="747" w:type="pct"/>
            <w:vMerge w:val="restart"/>
            <w:tcBorders>
              <w:tl2br w:val="nil"/>
              <w:tr2bl w:val="nil"/>
            </w:tcBorders>
            <w:vAlign w:val="center"/>
          </w:tcPr>
          <w:p w14:paraId="7A064528" w14:textId="77777777" w:rsidR="00606029" w:rsidRDefault="00EA5B92">
            <w:pPr>
              <w:widowControl/>
              <w:tabs>
                <w:tab w:val="center" w:pos="0"/>
              </w:tabs>
              <w:adjustRightInd w:val="0"/>
              <w:snapToGrid w:val="0"/>
              <w:jc w:val="center"/>
              <w:rPr>
                <w:color w:val="000000"/>
              </w:rPr>
            </w:pPr>
            <w:r>
              <w:rPr>
                <w:color w:val="000000"/>
              </w:rPr>
              <w:t>污染物排放速率</w:t>
            </w:r>
            <w:r>
              <w:rPr>
                <w:color w:val="000000"/>
              </w:rPr>
              <w:t>/</w:t>
            </w:r>
          </w:p>
          <w:p w14:paraId="5D9819FF" w14:textId="77777777" w:rsidR="00606029" w:rsidRDefault="00EA5B92">
            <w:pPr>
              <w:widowControl/>
              <w:tabs>
                <w:tab w:val="center" w:pos="0"/>
              </w:tabs>
              <w:adjustRightInd w:val="0"/>
              <w:snapToGrid w:val="0"/>
              <w:jc w:val="center"/>
              <w:rPr>
                <w:color w:val="000000"/>
              </w:rPr>
            </w:pPr>
            <w:r>
              <w:rPr>
                <w:color w:val="000000"/>
              </w:rPr>
              <w:t>（</w:t>
            </w:r>
            <w:r>
              <w:rPr>
                <w:color w:val="000000"/>
              </w:rPr>
              <w:t>kg/h</w:t>
            </w:r>
            <w:r>
              <w:rPr>
                <w:color w:val="000000"/>
              </w:rPr>
              <w:t>）</w:t>
            </w:r>
          </w:p>
        </w:tc>
      </w:tr>
      <w:tr w:rsidR="00606029" w14:paraId="4E8D08DA" w14:textId="77777777" w:rsidTr="00733F50">
        <w:trPr>
          <w:trHeight w:val="57"/>
          <w:jc w:val="center"/>
        </w:trPr>
        <w:tc>
          <w:tcPr>
            <w:tcW w:w="216" w:type="pct"/>
            <w:vMerge/>
            <w:tcBorders>
              <w:tl2br w:val="nil"/>
              <w:tr2bl w:val="nil"/>
            </w:tcBorders>
            <w:vAlign w:val="center"/>
          </w:tcPr>
          <w:p w14:paraId="02C95E82" w14:textId="77777777" w:rsidR="00606029" w:rsidRDefault="00606029">
            <w:pPr>
              <w:widowControl/>
              <w:tabs>
                <w:tab w:val="center" w:pos="0"/>
              </w:tabs>
              <w:adjustRightInd w:val="0"/>
              <w:snapToGrid w:val="0"/>
              <w:jc w:val="center"/>
              <w:rPr>
                <w:color w:val="000000"/>
                <w:sz w:val="24"/>
                <w:szCs w:val="22"/>
              </w:rPr>
            </w:pPr>
          </w:p>
        </w:tc>
        <w:tc>
          <w:tcPr>
            <w:tcW w:w="808" w:type="pct"/>
            <w:vMerge/>
            <w:tcBorders>
              <w:tl2br w:val="nil"/>
              <w:tr2bl w:val="nil"/>
            </w:tcBorders>
            <w:vAlign w:val="center"/>
          </w:tcPr>
          <w:p w14:paraId="023B560E" w14:textId="77777777" w:rsidR="00606029" w:rsidRDefault="00606029">
            <w:pPr>
              <w:widowControl/>
              <w:tabs>
                <w:tab w:val="center" w:pos="0"/>
              </w:tabs>
              <w:adjustRightInd w:val="0"/>
              <w:snapToGrid w:val="0"/>
              <w:jc w:val="center"/>
              <w:rPr>
                <w:color w:val="000000"/>
                <w:sz w:val="24"/>
                <w:szCs w:val="22"/>
              </w:rPr>
            </w:pPr>
          </w:p>
        </w:tc>
        <w:tc>
          <w:tcPr>
            <w:tcW w:w="371" w:type="pct"/>
            <w:tcBorders>
              <w:tl2br w:val="nil"/>
              <w:tr2bl w:val="nil"/>
            </w:tcBorders>
            <w:vAlign w:val="center"/>
          </w:tcPr>
          <w:p w14:paraId="39610CBD" w14:textId="77777777" w:rsidR="00606029" w:rsidRDefault="00EA5B92">
            <w:pPr>
              <w:widowControl/>
              <w:tabs>
                <w:tab w:val="center" w:pos="0"/>
              </w:tabs>
              <w:adjustRightInd w:val="0"/>
              <w:snapToGrid w:val="0"/>
              <w:jc w:val="center"/>
              <w:rPr>
                <w:color w:val="000000"/>
              </w:rPr>
            </w:pPr>
            <w:r>
              <w:rPr>
                <w:color w:val="000000"/>
              </w:rPr>
              <w:t>X</w:t>
            </w:r>
          </w:p>
        </w:tc>
        <w:tc>
          <w:tcPr>
            <w:tcW w:w="371" w:type="pct"/>
            <w:tcBorders>
              <w:tl2br w:val="nil"/>
              <w:tr2bl w:val="nil"/>
            </w:tcBorders>
            <w:vAlign w:val="center"/>
          </w:tcPr>
          <w:p w14:paraId="5B327B3B" w14:textId="77777777" w:rsidR="00606029" w:rsidRDefault="00EA5B92">
            <w:pPr>
              <w:widowControl/>
              <w:tabs>
                <w:tab w:val="center" w:pos="0"/>
              </w:tabs>
              <w:adjustRightInd w:val="0"/>
              <w:snapToGrid w:val="0"/>
              <w:jc w:val="center"/>
              <w:rPr>
                <w:color w:val="000000"/>
              </w:rPr>
            </w:pPr>
            <w:r>
              <w:rPr>
                <w:color w:val="000000"/>
              </w:rPr>
              <w:t>Y</w:t>
            </w:r>
          </w:p>
        </w:tc>
        <w:tc>
          <w:tcPr>
            <w:tcW w:w="644" w:type="pct"/>
            <w:vMerge/>
            <w:tcBorders>
              <w:tl2br w:val="nil"/>
              <w:tr2bl w:val="nil"/>
            </w:tcBorders>
            <w:vAlign w:val="center"/>
          </w:tcPr>
          <w:p w14:paraId="3AAE710F" w14:textId="77777777" w:rsidR="00606029" w:rsidRDefault="00606029">
            <w:pPr>
              <w:widowControl/>
              <w:tabs>
                <w:tab w:val="center" w:pos="0"/>
              </w:tabs>
              <w:adjustRightInd w:val="0"/>
              <w:snapToGrid w:val="0"/>
              <w:jc w:val="center"/>
              <w:rPr>
                <w:color w:val="000000"/>
                <w:sz w:val="24"/>
                <w:szCs w:val="22"/>
              </w:rPr>
            </w:pPr>
          </w:p>
        </w:tc>
        <w:tc>
          <w:tcPr>
            <w:tcW w:w="816" w:type="pct"/>
            <w:vMerge/>
            <w:tcBorders>
              <w:tl2br w:val="nil"/>
              <w:tr2bl w:val="nil"/>
            </w:tcBorders>
            <w:vAlign w:val="center"/>
          </w:tcPr>
          <w:p w14:paraId="51341222" w14:textId="77777777" w:rsidR="00606029" w:rsidRDefault="00606029">
            <w:pPr>
              <w:widowControl/>
              <w:tabs>
                <w:tab w:val="center" w:pos="0"/>
              </w:tabs>
              <w:adjustRightInd w:val="0"/>
              <w:snapToGrid w:val="0"/>
              <w:jc w:val="center"/>
              <w:rPr>
                <w:color w:val="000000"/>
                <w:sz w:val="24"/>
                <w:szCs w:val="22"/>
              </w:rPr>
            </w:pPr>
          </w:p>
        </w:tc>
        <w:tc>
          <w:tcPr>
            <w:tcW w:w="648" w:type="pct"/>
            <w:vMerge/>
            <w:tcBorders>
              <w:tl2br w:val="nil"/>
              <w:tr2bl w:val="nil"/>
            </w:tcBorders>
            <w:vAlign w:val="center"/>
          </w:tcPr>
          <w:p w14:paraId="55A87958" w14:textId="77777777" w:rsidR="00606029" w:rsidRDefault="00606029">
            <w:pPr>
              <w:widowControl/>
              <w:tabs>
                <w:tab w:val="center" w:pos="0"/>
              </w:tabs>
              <w:adjustRightInd w:val="0"/>
              <w:snapToGrid w:val="0"/>
              <w:jc w:val="center"/>
              <w:rPr>
                <w:color w:val="000000"/>
                <w:sz w:val="24"/>
                <w:szCs w:val="22"/>
              </w:rPr>
            </w:pPr>
          </w:p>
        </w:tc>
        <w:tc>
          <w:tcPr>
            <w:tcW w:w="379" w:type="pct"/>
            <w:vMerge/>
            <w:tcBorders>
              <w:tl2br w:val="nil"/>
              <w:tr2bl w:val="nil"/>
            </w:tcBorders>
            <w:vAlign w:val="center"/>
          </w:tcPr>
          <w:p w14:paraId="3B43FA63" w14:textId="77777777" w:rsidR="00606029" w:rsidRDefault="00606029">
            <w:pPr>
              <w:widowControl/>
              <w:tabs>
                <w:tab w:val="center" w:pos="0"/>
              </w:tabs>
              <w:adjustRightInd w:val="0"/>
              <w:snapToGrid w:val="0"/>
              <w:jc w:val="center"/>
              <w:rPr>
                <w:color w:val="000000"/>
                <w:sz w:val="24"/>
                <w:szCs w:val="22"/>
              </w:rPr>
            </w:pPr>
          </w:p>
        </w:tc>
        <w:tc>
          <w:tcPr>
            <w:tcW w:w="747" w:type="pct"/>
            <w:vMerge/>
            <w:tcBorders>
              <w:tl2br w:val="nil"/>
              <w:tr2bl w:val="nil"/>
            </w:tcBorders>
            <w:vAlign w:val="center"/>
          </w:tcPr>
          <w:p w14:paraId="39E98481" w14:textId="77777777" w:rsidR="00606029" w:rsidRDefault="00606029">
            <w:pPr>
              <w:widowControl/>
              <w:tabs>
                <w:tab w:val="center" w:pos="0"/>
              </w:tabs>
              <w:adjustRightInd w:val="0"/>
              <w:snapToGrid w:val="0"/>
              <w:jc w:val="center"/>
              <w:rPr>
                <w:color w:val="000000"/>
                <w:sz w:val="24"/>
                <w:szCs w:val="22"/>
              </w:rPr>
            </w:pPr>
          </w:p>
        </w:tc>
      </w:tr>
      <w:tr w:rsidR="00606029" w14:paraId="49DFCC0F" w14:textId="77777777" w:rsidTr="00733F50">
        <w:trPr>
          <w:trHeight w:val="57"/>
          <w:jc w:val="center"/>
        </w:trPr>
        <w:tc>
          <w:tcPr>
            <w:tcW w:w="216" w:type="pct"/>
            <w:tcBorders>
              <w:tl2br w:val="nil"/>
              <w:tr2bl w:val="nil"/>
            </w:tcBorders>
            <w:vAlign w:val="center"/>
          </w:tcPr>
          <w:p w14:paraId="139971AF" w14:textId="77777777" w:rsidR="00606029" w:rsidRDefault="00EA5B92">
            <w:pPr>
              <w:widowControl/>
              <w:tabs>
                <w:tab w:val="center" w:pos="0"/>
              </w:tabs>
              <w:adjustRightInd w:val="0"/>
              <w:snapToGrid w:val="0"/>
              <w:jc w:val="center"/>
              <w:rPr>
                <w:color w:val="000000"/>
              </w:rPr>
            </w:pPr>
            <w:r>
              <w:rPr>
                <w:color w:val="000000"/>
              </w:rPr>
              <w:t>M1</w:t>
            </w:r>
          </w:p>
        </w:tc>
        <w:tc>
          <w:tcPr>
            <w:tcW w:w="808" w:type="pct"/>
            <w:tcBorders>
              <w:tl2br w:val="nil"/>
              <w:tr2bl w:val="nil"/>
            </w:tcBorders>
            <w:vAlign w:val="center"/>
          </w:tcPr>
          <w:p w14:paraId="00AAFBED" w14:textId="77777777" w:rsidR="00606029" w:rsidRDefault="00EA5B92">
            <w:pPr>
              <w:widowControl/>
              <w:tabs>
                <w:tab w:val="center" w:pos="0"/>
              </w:tabs>
              <w:adjustRightInd w:val="0"/>
              <w:snapToGrid w:val="0"/>
              <w:jc w:val="center"/>
              <w:rPr>
                <w:color w:val="000000"/>
              </w:rPr>
            </w:pPr>
            <w:r>
              <w:rPr>
                <w:color w:val="000000"/>
              </w:rPr>
              <w:t>场界无组织</w:t>
            </w:r>
          </w:p>
        </w:tc>
        <w:tc>
          <w:tcPr>
            <w:tcW w:w="371" w:type="pct"/>
            <w:tcBorders>
              <w:tl2br w:val="nil"/>
              <w:tr2bl w:val="nil"/>
            </w:tcBorders>
            <w:vAlign w:val="center"/>
          </w:tcPr>
          <w:p w14:paraId="3A8F7329" w14:textId="12948D3B" w:rsidR="00606029" w:rsidRDefault="007A6B7F">
            <w:pPr>
              <w:widowControl/>
              <w:adjustRightInd w:val="0"/>
              <w:snapToGrid w:val="0"/>
              <w:jc w:val="center"/>
              <w:rPr>
                <w:color w:val="000000"/>
              </w:rPr>
            </w:pPr>
            <w:r>
              <w:rPr>
                <w:rFonts w:hint="eastAsia"/>
              </w:rPr>
              <w:t>260</w:t>
            </w:r>
          </w:p>
        </w:tc>
        <w:tc>
          <w:tcPr>
            <w:tcW w:w="371" w:type="pct"/>
            <w:tcBorders>
              <w:tl2br w:val="nil"/>
              <w:tr2bl w:val="nil"/>
            </w:tcBorders>
            <w:vAlign w:val="center"/>
          </w:tcPr>
          <w:p w14:paraId="2C41D15A" w14:textId="0F32EF72" w:rsidR="00606029" w:rsidRDefault="007A6B7F">
            <w:pPr>
              <w:widowControl/>
              <w:adjustRightInd w:val="0"/>
              <w:snapToGrid w:val="0"/>
              <w:jc w:val="center"/>
              <w:rPr>
                <w:color w:val="000000"/>
              </w:rPr>
            </w:pPr>
            <w:r>
              <w:rPr>
                <w:rFonts w:hint="eastAsia"/>
              </w:rPr>
              <w:t>20</w:t>
            </w:r>
          </w:p>
        </w:tc>
        <w:tc>
          <w:tcPr>
            <w:tcW w:w="644" w:type="pct"/>
            <w:tcBorders>
              <w:tl2br w:val="nil"/>
              <w:tr2bl w:val="nil"/>
            </w:tcBorders>
            <w:vAlign w:val="center"/>
          </w:tcPr>
          <w:p w14:paraId="74092662" w14:textId="099179E0" w:rsidR="00606029" w:rsidRDefault="007A6B7F">
            <w:pPr>
              <w:widowControl/>
              <w:tabs>
                <w:tab w:val="center" w:pos="0"/>
              </w:tabs>
              <w:adjustRightInd w:val="0"/>
              <w:snapToGrid w:val="0"/>
              <w:jc w:val="center"/>
              <w:rPr>
                <w:color w:val="000000"/>
              </w:rPr>
            </w:pPr>
            <w:r>
              <w:rPr>
                <w:rFonts w:hint="eastAsia"/>
                <w:color w:val="000000"/>
              </w:rPr>
              <w:t>143</w:t>
            </w:r>
          </w:p>
        </w:tc>
        <w:tc>
          <w:tcPr>
            <w:tcW w:w="816" w:type="pct"/>
            <w:tcBorders>
              <w:tl2br w:val="nil"/>
              <w:tr2bl w:val="nil"/>
            </w:tcBorders>
            <w:vAlign w:val="center"/>
          </w:tcPr>
          <w:p w14:paraId="1E1282C0" w14:textId="77777777" w:rsidR="00606029" w:rsidRDefault="00EA5B92">
            <w:pPr>
              <w:widowControl/>
              <w:tabs>
                <w:tab w:val="center" w:pos="0"/>
              </w:tabs>
              <w:adjustRightInd w:val="0"/>
              <w:snapToGrid w:val="0"/>
              <w:jc w:val="center"/>
              <w:rPr>
                <w:color w:val="000000"/>
              </w:rPr>
            </w:pPr>
            <w:r>
              <w:rPr>
                <w:color w:val="000000"/>
              </w:rPr>
              <w:t>1</w:t>
            </w:r>
          </w:p>
        </w:tc>
        <w:tc>
          <w:tcPr>
            <w:tcW w:w="648" w:type="pct"/>
            <w:tcBorders>
              <w:tl2br w:val="nil"/>
              <w:tr2bl w:val="nil"/>
            </w:tcBorders>
            <w:vAlign w:val="center"/>
          </w:tcPr>
          <w:p w14:paraId="472ED10C" w14:textId="0208E32E" w:rsidR="00606029" w:rsidRDefault="00F305DB">
            <w:pPr>
              <w:widowControl/>
              <w:tabs>
                <w:tab w:val="center" w:pos="0"/>
              </w:tabs>
              <w:adjustRightInd w:val="0"/>
              <w:snapToGrid w:val="0"/>
              <w:jc w:val="center"/>
              <w:rPr>
                <w:color w:val="000000"/>
              </w:rPr>
            </w:pPr>
            <w:r>
              <w:rPr>
                <w:rFonts w:hint="eastAsia"/>
                <w:color w:val="000000"/>
              </w:rPr>
              <w:t>1440</w:t>
            </w:r>
          </w:p>
        </w:tc>
        <w:tc>
          <w:tcPr>
            <w:tcW w:w="379" w:type="pct"/>
            <w:tcBorders>
              <w:tl2br w:val="nil"/>
              <w:tr2bl w:val="nil"/>
            </w:tcBorders>
            <w:vAlign w:val="center"/>
          </w:tcPr>
          <w:p w14:paraId="6A169645" w14:textId="77777777" w:rsidR="00606029" w:rsidRDefault="00EA5B92">
            <w:pPr>
              <w:widowControl/>
              <w:tabs>
                <w:tab w:val="center" w:pos="0"/>
              </w:tabs>
              <w:adjustRightInd w:val="0"/>
              <w:snapToGrid w:val="0"/>
              <w:jc w:val="center"/>
              <w:rPr>
                <w:color w:val="000000"/>
              </w:rPr>
            </w:pPr>
            <w:r>
              <w:rPr>
                <w:color w:val="000000"/>
              </w:rPr>
              <w:t>正常</w:t>
            </w:r>
          </w:p>
        </w:tc>
        <w:tc>
          <w:tcPr>
            <w:tcW w:w="747" w:type="pct"/>
            <w:tcBorders>
              <w:tl2br w:val="nil"/>
              <w:tr2bl w:val="nil"/>
            </w:tcBorders>
            <w:vAlign w:val="center"/>
          </w:tcPr>
          <w:p w14:paraId="478EBC6F" w14:textId="23CBC6C7" w:rsidR="00606029" w:rsidRDefault="00F305DB">
            <w:pPr>
              <w:widowControl/>
              <w:tabs>
                <w:tab w:val="center" w:pos="0"/>
              </w:tabs>
              <w:adjustRightInd w:val="0"/>
              <w:snapToGrid w:val="0"/>
              <w:jc w:val="center"/>
              <w:rPr>
                <w:color w:val="000000"/>
              </w:rPr>
            </w:pPr>
            <w:r>
              <w:rPr>
                <w:rFonts w:hint="eastAsia"/>
                <w:color w:val="000000"/>
              </w:rPr>
              <w:t>TSP</w:t>
            </w:r>
            <w:r>
              <w:rPr>
                <w:rFonts w:hint="eastAsia"/>
                <w:color w:val="000000"/>
              </w:rPr>
              <w:t>：</w:t>
            </w:r>
            <w:r>
              <w:rPr>
                <w:rFonts w:hint="eastAsia"/>
                <w:color w:val="000000"/>
              </w:rPr>
              <w:t>0.01</w:t>
            </w:r>
          </w:p>
        </w:tc>
      </w:tr>
    </w:tbl>
    <w:p w14:paraId="2FE5D409" w14:textId="4A04980F" w:rsidR="00606029" w:rsidRDefault="00EA5B92">
      <w:pPr>
        <w:widowControl/>
        <w:adjustRightInd w:val="0"/>
        <w:snapToGrid w:val="0"/>
        <w:spacing w:beforeLines="50" w:before="120" w:line="360" w:lineRule="auto"/>
        <w:ind w:firstLineChars="200" w:firstLine="480"/>
        <w:rPr>
          <w:color w:val="000000"/>
          <w:kern w:val="0"/>
          <w:sz w:val="24"/>
          <w:szCs w:val="24"/>
        </w:rPr>
      </w:pPr>
      <w:r>
        <w:rPr>
          <w:color w:val="000000"/>
          <w:kern w:val="0"/>
          <w:sz w:val="24"/>
          <w:szCs w:val="24"/>
        </w:rPr>
        <w:t>（</w:t>
      </w:r>
      <w:r w:rsidR="007A6B7F">
        <w:rPr>
          <w:rFonts w:hint="eastAsia"/>
          <w:color w:val="000000"/>
          <w:kern w:val="0"/>
          <w:sz w:val="24"/>
          <w:szCs w:val="24"/>
        </w:rPr>
        <w:t>6</w:t>
      </w:r>
      <w:r>
        <w:rPr>
          <w:color w:val="000000"/>
          <w:kern w:val="0"/>
          <w:sz w:val="24"/>
          <w:szCs w:val="24"/>
        </w:rPr>
        <w:t>）</w:t>
      </w:r>
      <w:r>
        <w:rPr>
          <w:color w:val="000000"/>
          <w:kern w:val="0"/>
          <w:sz w:val="24"/>
          <w:szCs w:val="24"/>
        </w:rPr>
        <w:t>AERSCREEN</w:t>
      </w:r>
      <w:r>
        <w:rPr>
          <w:color w:val="000000"/>
          <w:kern w:val="0"/>
          <w:sz w:val="24"/>
          <w:szCs w:val="24"/>
        </w:rPr>
        <w:t>计算结果及评价等级</w:t>
      </w:r>
    </w:p>
    <w:p w14:paraId="1F041F22" w14:textId="77777777" w:rsidR="00606029" w:rsidRDefault="00EA5B92">
      <w:pPr>
        <w:pStyle w:val="affffff4"/>
        <w:adjustRightInd/>
        <w:snapToGrid/>
      </w:pPr>
      <w:r>
        <w:t>污染源正常排放时预测结果统计表如下：</w:t>
      </w:r>
    </w:p>
    <w:p w14:paraId="7C2B283A" w14:textId="619FA2B5" w:rsidR="00606029" w:rsidRPr="00247725" w:rsidRDefault="00EA5B92">
      <w:pPr>
        <w:pStyle w:val="affffff5"/>
      </w:pPr>
      <w:r w:rsidRPr="00247725">
        <w:t>表</w:t>
      </w:r>
      <w:r w:rsidRPr="00247725">
        <w:t>1.6-</w:t>
      </w:r>
      <w:r w:rsidR="007A6B7F" w:rsidRPr="00247725">
        <w:rPr>
          <w:rFonts w:hint="eastAsia"/>
        </w:rPr>
        <w:t>4</w:t>
      </w:r>
      <w:r w:rsidRPr="00247725">
        <w:t xml:space="preserve">   </w:t>
      </w:r>
      <w:r w:rsidRPr="00247725">
        <w:t>污染物预测结果统计表</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bottom w:w="28" w:type="dxa"/>
        </w:tblCellMar>
        <w:tblLook w:val="04A0" w:firstRow="1" w:lastRow="0" w:firstColumn="1" w:lastColumn="0" w:noHBand="0" w:noVBand="1"/>
      </w:tblPr>
      <w:tblGrid>
        <w:gridCol w:w="1873"/>
        <w:gridCol w:w="1482"/>
        <w:gridCol w:w="1358"/>
        <w:gridCol w:w="1630"/>
        <w:gridCol w:w="2487"/>
      </w:tblGrid>
      <w:tr w:rsidR="00606029" w:rsidRPr="00247725" w14:paraId="6EBB55A5" w14:textId="77777777" w:rsidTr="00F305DB">
        <w:trPr>
          <w:trHeight w:val="57"/>
          <w:jc w:val="center"/>
        </w:trPr>
        <w:tc>
          <w:tcPr>
            <w:tcW w:w="1061" w:type="pct"/>
            <w:tcBorders>
              <w:tl2br w:val="nil"/>
              <w:tr2bl w:val="nil"/>
            </w:tcBorders>
            <w:vAlign w:val="center"/>
          </w:tcPr>
          <w:p w14:paraId="1EB320D9" w14:textId="77777777" w:rsidR="00606029" w:rsidRPr="00247725" w:rsidRDefault="00EA5B92">
            <w:pPr>
              <w:spacing w:line="280" w:lineRule="exact"/>
              <w:jc w:val="center"/>
            </w:pPr>
            <w:r w:rsidRPr="00247725">
              <w:t>污染源</w:t>
            </w:r>
          </w:p>
        </w:tc>
        <w:tc>
          <w:tcPr>
            <w:tcW w:w="839" w:type="pct"/>
            <w:tcBorders>
              <w:tl2br w:val="nil"/>
              <w:tr2bl w:val="nil"/>
            </w:tcBorders>
            <w:vAlign w:val="center"/>
          </w:tcPr>
          <w:p w14:paraId="58FFEE56" w14:textId="77777777" w:rsidR="00606029" w:rsidRPr="00247725" w:rsidRDefault="00EA5B92">
            <w:pPr>
              <w:spacing w:line="280" w:lineRule="exact"/>
              <w:jc w:val="center"/>
            </w:pPr>
            <w:r w:rsidRPr="00247725">
              <w:t>污染物</w:t>
            </w:r>
          </w:p>
          <w:p w14:paraId="6D673A59" w14:textId="77777777" w:rsidR="00606029" w:rsidRPr="00247725" w:rsidRDefault="00EA5B92">
            <w:pPr>
              <w:spacing w:line="280" w:lineRule="exact"/>
              <w:jc w:val="center"/>
            </w:pPr>
            <w:r w:rsidRPr="00247725">
              <w:t>名称</w:t>
            </w:r>
          </w:p>
        </w:tc>
        <w:tc>
          <w:tcPr>
            <w:tcW w:w="769" w:type="pct"/>
            <w:tcBorders>
              <w:tl2br w:val="nil"/>
              <w:tr2bl w:val="nil"/>
            </w:tcBorders>
            <w:vAlign w:val="center"/>
          </w:tcPr>
          <w:p w14:paraId="2C3651C2" w14:textId="77777777" w:rsidR="00606029" w:rsidRPr="00247725" w:rsidRDefault="00EA5B92">
            <w:pPr>
              <w:spacing w:line="280" w:lineRule="exact"/>
              <w:jc w:val="center"/>
            </w:pPr>
            <w:r w:rsidRPr="00247725">
              <w:t>最大占标率（</w:t>
            </w:r>
            <w:r w:rsidRPr="00247725">
              <w:t>%</w:t>
            </w:r>
            <w:r w:rsidRPr="00247725">
              <w:t>）</w:t>
            </w:r>
          </w:p>
        </w:tc>
        <w:tc>
          <w:tcPr>
            <w:tcW w:w="923" w:type="pct"/>
            <w:tcBorders>
              <w:tl2br w:val="nil"/>
              <w:tr2bl w:val="nil"/>
            </w:tcBorders>
            <w:vAlign w:val="center"/>
          </w:tcPr>
          <w:p w14:paraId="3AEB48D5" w14:textId="77777777" w:rsidR="00606029" w:rsidRPr="00247725" w:rsidRDefault="00EA5B92">
            <w:pPr>
              <w:spacing w:line="280" w:lineRule="exact"/>
              <w:jc w:val="center"/>
            </w:pPr>
            <w:r w:rsidRPr="00247725">
              <w:t>最大落地浓度（</w:t>
            </w:r>
            <w:r w:rsidRPr="00247725">
              <w:t>mg/m</w:t>
            </w:r>
            <w:r w:rsidRPr="00247725">
              <w:rPr>
                <w:vertAlign w:val="superscript"/>
              </w:rPr>
              <w:t>3</w:t>
            </w:r>
            <w:r w:rsidRPr="00247725">
              <w:t>）</w:t>
            </w:r>
          </w:p>
        </w:tc>
        <w:tc>
          <w:tcPr>
            <w:tcW w:w="1408" w:type="pct"/>
            <w:tcBorders>
              <w:tl2br w:val="nil"/>
              <w:tr2bl w:val="nil"/>
            </w:tcBorders>
            <w:vAlign w:val="center"/>
          </w:tcPr>
          <w:p w14:paraId="6F55E68C" w14:textId="77777777" w:rsidR="00606029" w:rsidRPr="00247725" w:rsidRDefault="00EA5B92">
            <w:pPr>
              <w:spacing w:line="280" w:lineRule="exact"/>
              <w:jc w:val="center"/>
            </w:pPr>
            <w:r w:rsidRPr="00247725">
              <w:t>最大落地浓度对应距离</w:t>
            </w:r>
          </w:p>
          <w:p w14:paraId="4D7A7A86" w14:textId="77777777" w:rsidR="00606029" w:rsidRPr="00247725" w:rsidRDefault="00EA5B92">
            <w:pPr>
              <w:spacing w:line="280" w:lineRule="exact"/>
              <w:jc w:val="center"/>
            </w:pPr>
            <w:r w:rsidRPr="00247725">
              <w:t>（下风向</w:t>
            </w:r>
            <w:r w:rsidRPr="00247725">
              <w:t>m</w:t>
            </w:r>
            <w:r w:rsidRPr="00247725">
              <w:t>）</w:t>
            </w:r>
          </w:p>
        </w:tc>
      </w:tr>
      <w:tr w:rsidR="00606029" w:rsidRPr="00247725" w14:paraId="367D10CB" w14:textId="77777777" w:rsidTr="00F305DB">
        <w:trPr>
          <w:trHeight w:val="57"/>
          <w:jc w:val="center"/>
        </w:trPr>
        <w:tc>
          <w:tcPr>
            <w:tcW w:w="1061" w:type="pct"/>
            <w:tcBorders>
              <w:tl2br w:val="nil"/>
              <w:tr2bl w:val="nil"/>
            </w:tcBorders>
            <w:vAlign w:val="center"/>
          </w:tcPr>
          <w:p w14:paraId="23D19B85" w14:textId="77777777" w:rsidR="00606029" w:rsidRPr="00247725" w:rsidRDefault="00EA5B92">
            <w:pPr>
              <w:spacing w:line="280" w:lineRule="exact"/>
              <w:jc w:val="center"/>
            </w:pPr>
            <w:r w:rsidRPr="00247725">
              <w:t>场界无组织</w:t>
            </w:r>
          </w:p>
        </w:tc>
        <w:tc>
          <w:tcPr>
            <w:tcW w:w="839" w:type="pct"/>
            <w:tcBorders>
              <w:tl2br w:val="nil"/>
              <w:tr2bl w:val="nil"/>
            </w:tcBorders>
            <w:vAlign w:val="center"/>
          </w:tcPr>
          <w:p w14:paraId="3B480B78" w14:textId="17BADF2B" w:rsidR="00606029" w:rsidRPr="00247725" w:rsidRDefault="00F305DB">
            <w:pPr>
              <w:spacing w:line="280" w:lineRule="exact"/>
              <w:jc w:val="center"/>
            </w:pPr>
            <w:r w:rsidRPr="00247725">
              <w:rPr>
                <w:rFonts w:hint="eastAsia"/>
              </w:rPr>
              <w:t>TSP</w:t>
            </w:r>
          </w:p>
        </w:tc>
        <w:tc>
          <w:tcPr>
            <w:tcW w:w="769" w:type="pct"/>
            <w:tcBorders>
              <w:tl2br w:val="nil"/>
              <w:tr2bl w:val="nil"/>
            </w:tcBorders>
            <w:vAlign w:val="center"/>
          </w:tcPr>
          <w:p w14:paraId="55ECBF60" w14:textId="77777777" w:rsidR="00606029" w:rsidRPr="00247725" w:rsidRDefault="00EA5B92">
            <w:pPr>
              <w:spacing w:line="280" w:lineRule="exact"/>
              <w:jc w:val="center"/>
            </w:pPr>
            <w:r w:rsidRPr="00247725">
              <w:t>0.17</w:t>
            </w:r>
          </w:p>
        </w:tc>
        <w:tc>
          <w:tcPr>
            <w:tcW w:w="923" w:type="pct"/>
            <w:tcBorders>
              <w:tl2br w:val="nil"/>
              <w:tr2bl w:val="nil"/>
            </w:tcBorders>
            <w:vAlign w:val="center"/>
          </w:tcPr>
          <w:p w14:paraId="7676BC55" w14:textId="77777777" w:rsidR="00606029" w:rsidRPr="00247725" w:rsidRDefault="00EA5B92">
            <w:pPr>
              <w:spacing w:line="280" w:lineRule="exact"/>
              <w:jc w:val="center"/>
            </w:pPr>
            <w:r w:rsidRPr="00247725">
              <w:t>0.14</w:t>
            </w:r>
          </w:p>
        </w:tc>
        <w:tc>
          <w:tcPr>
            <w:tcW w:w="1408" w:type="pct"/>
            <w:tcBorders>
              <w:tl2br w:val="nil"/>
              <w:tr2bl w:val="nil"/>
            </w:tcBorders>
            <w:vAlign w:val="center"/>
          </w:tcPr>
          <w:p w14:paraId="44240FC0" w14:textId="77777777" w:rsidR="00606029" w:rsidRPr="00247725" w:rsidRDefault="00EA5B92">
            <w:pPr>
              <w:spacing w:line="280" w:lineRule="exact"/>
              <w:jc w:val="center"/>
            </w:pPr>
            <w:r w:rsidRPr="00247725">
              <w:t>1874</w:t>
            </w:r>
          </w:p>
        </w:tc>
      </w:tr>
    </w:tbl>
    <w:p w14:paraId="4FD6F385" w14:textId="2F4DA3A5" w:rsidR="00606029" w:rsidRDefault="00EA5B92">
      <w:pPr>
        <w:pStyle w:val="affffff4"/>
        <w:adjustRightInd/>
        <w:snapToGrid/>
        <w:spacing w:beforeLines="50" w:before="120"/>
      </w:pPr>
      <w:r>
        <w:t>由上表估算模式预测结果可知本项目正常情况下场界无组织排放的</w:t>
      </w:r>
      <w:r w:rsidR="00F305DB">
        <w:rPr>
          <w:rFonts w:hint="eastAsia"/>
          <w:bCs/>
          <w:color w:val="auto"/>
          <w:szCs w:val="24"/>
        </w:rPr>
        <w:t>TSP</w:t>
      </w:r>
      <w:r>
        <w:t>占标率最大，为</w:t>
      </w:r>
      <w:r w:rsidR="00256054">
        <w:t>0.21%</w:t>
      </w:r>
      <w:r>
        <w:t>，小于</w:t>
      </w:r>
      <w:r>
        <w:t>1%</w:t>
      </w:r>
      <w:r>
        <w:t>。根据导则评价等级判断要求，本项目大气环境影响为三级评价。</w:t>
      </w:r>
    </w:p>
    <w:p w14:paraId="044920EB" w14:textId="77777777" w:rsidR="00606029" w:rsidRDefault="00EA5B92">
      <w:pPr>
        <w:pStyle w:val="4"/>
      </w:pPr>
      <w:r>
        <w:t>1.6.1.2</w:t>
      </w:r>
      <w:r>
        <w:t>地表水环境影响评价等级</w:t>
      </w:r>
    </w:p>
    <w:p w14:paraId="048092F1" w14:textId="5C461653" w:rsidR="00606029" w:rsidRDefault="00EA5B92">
      <w:pPr>
        <w:pStyle w:val="affffff4"/>
      </w:pPr>
      <w:r>
        <w:t>根据《环境影响评价技术导则</w:t>
      </w:r>
      <w:r>
        <w:t xml:space="preserve"> </w:t>
      </w:r>
      <w:r>
        <w:t>地表水环境》（</w:t>
      </w:r>
      <w:r>
        <w:t>HJ2.3-2018</w:t>
      </w:r>
      <w:r>
        <w:t>）中的规定，地表水环境影响评价工作等级判定依据：本项目属于水污染影响型建设项目，项目废水主要是填埋场淋溶水，依托</w:t>
      </w:r>
      <w:r w:rsidR="007A6B7F">
        <w:rPr>
          <w:rFonts w:hint="eastAsia"/>
        </w:rPr>
        <w:t>厂区</w:t>
      </w:r>
      <w:r>
        <w:t>已建设的渗滤液处理站处理达</w:t>
      </w:r>
      <w:r w:rsidR="003147C6" w:rsidRPr="003147C6">
        <w:rPr>
          <w:rFonts w:hint="eastAsia"/>
        </w:rPr>
        <w:t>出水</w:t>
      </w:r>
      <w:r w:rsidR="00347823" w:rsidRPr="00347823">
        <w:t>满足《生活垃圾填埋场污染控制标准》（</w:t>
      </w:r>
      <w:r w:rsidR="00347823" w:rsidRPr="00347823">
        <w:t>GB16889-2024</w:t>
      </w:r>
      <w:r w:rsidR="00347823" w:rsidRPr="00347823">
        <w:t>）表</w:t>
      </w:r>
      <w:r w:rsidR="00347823" w:rsidRPr="00347823">
        <w:t>4</w:t>
      </w:r>
      <w:r w:rsidR="00347823" w:rsidRPr="00347823">
        <w:t>要求和</w:t>
      </w:r>
      <w:r w:rsidR="003147C6" w:rsidRPr="003147C6">
        <w:rPr>
          <w:rFonts w:hint="eastAsia"/>
        </w:rPr>
        <w:t>《城市污水再生利用</w:t>
      </w:r>
      <w:r w:rsidR="003147C6" w:rsidRPr="003147C6">
        <w:rPr>
          <w:rFonts w:hint="eastAsia"/>
        </w:rPr>
        <w:t xml:space="preserve"> </w:t>
      </w:r>
      <w:r w:rsidR="003147C6" w:rsidRPr="003147C6">
        <w:rPr>
          <w:rFonts w:hint="eastAsia"/>
        </w:rPr>
        <w:t>工业用水水质》（</w:t>
      </w:r>
      <w:r w:rsidR="003147C6" w:rsidRPr="003147C6">
        <w:rPr>
          <w:rFonts w:hint="eastAsia"/>
        </w:rPr>
        <w:t>GB/T19923-2024</w:t>
      </w:r>
      <w:r w:rsidR="003147C6" w:rsidRPr="003147C6">
        <w:rPr>
          <w:rFonts w:hint="eastAsia"/>
        </w:rPr>
        <w:t>）</w:t>
      </w:r>
      <w:r w:rsidR="00F32134">
        <w:rPr>
          <w:rFonts w:hint="eastAsia"/>
        </w:rPr>
        <w:t>表</w:t>
      </w:r>
      <w:r w:rsidR="00F32134">
        <w:rPr>
          <w:rFonts w:hint="eastAsia"/>
        </w:rPr>
        <w:t>1</w:t>
      </w:r>
      <w:r w:rsidR="00535A47">
        <w:rPr>
          <w:rFonts w:hint="eastAsia"/>
        </w:rPr>
        <w:t>间冷开式循环冷却水补充水标准</w:t>
      </w:r>
      <w:r w:rsidR="003147C6" w:rsidRPr="003147C6">
        <w:rPr>
          <w:rFonts w:hint="eastAsia"/>
        </w:rPr>
        <w:t>后全部回用至厂区冷却塔补水，不外排。</w:t>
      </w:r>
      <w:r>
        <w:t>地表水评价等级按三级</w:t>
      </w:r>
      <w:r>
        <w:t>B</w:t>
      </w:r>
      <w:r>
        <w:t>进行。</w:t>
      </w:r>
    </w:p>
    <w:p w14:paraId="5391EA89" w14:textId="738B61A9" w:rsidR="00606029" w:rsidRDefault="00EA5B92">
      <w:pPr>
        <w:pStyle w:val="affffff5"/>
      </w:pPr>
      <w:r>
        <w:t>表</w:t>
      </w:r>
      <w:r>
        <w:t xml:space="preserve"> 1.6-</w:t>
      </w:r>
      <w:r w:rsidR="007A6B7F">
        <w:rPr>
          <w:rFonts w:hint="eastAsia"/>
        </w:rPr>
        <w:t>5</w:t>
      </w:r>
      <w:r>
        <w:t xml:space="preserve"> </w:t>
      </w:r>
      <w:r>
        <w:t>地表水环境影响评价工作等级的判定</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04"/>
        <w:gridCol w:w="1115"/>
        <w:gridCol w:w="3084"/>
        <w:gridCol w:w="2727"/>
      </w:tblGrid>
      <w:tr w:rsidR="00606029" w14:paraId="71F615CB" w14:textId="77777777">
        <w:trPr>
          <w:trHeight w:val="302"/>
          <w:jc w:val="center"/>
        </w:trPr>
        <w:tc>
          <w:tcPr>
            <w:tcW w:w="1908" w:type="dxa"/>
            <w:vMerge w:val="restart"/>
            <w:vAlign w:val="center"/>
          </w:tcPr>
          <w:p w14:paraId="1FDF7272" w14:textId="77777777" w:rsidR="00606029" w:rsidRDefault="00EA5B92">
            <w:pPr>
              <w:pStyle w:val="TableParagraph"/>
              <w:jc w:val="center"/>
              <w:rPr>
                <w:rFonts w:ascii="Times New Roman" w:hAnsi="Times New Roman" w:cs="Times New Roman"/>
                <w:b/>
                <w:bCs/>
                <w:sz w:val="21"/>
                <w:szCs w:val="21"/>
              </w:rPr>
            </w:pPr>
            <w:r>
              <w:rPr>
                <w:rFonts w:ascii="Times New Roman" w:hAnsi="Times New Roman" w:cs="Times New Roman"/>
                <w:b/>
                <w:bCs/>
                <w:sz w:val="21"/>
                <w:szCs w:val="21"/>
              </w:rPr>
              <w:t>判定依据</w:t>
            </w:r>
          </w:p>
        </w:tc>
        <w:tc>
          <w:tcPr>
            <w:tcW w:w="1118" w:type="dxa"/>
            <w:vMerge w:val="restart"/>
            <w:vAlign w:val="center"/>
          </w:tcPr>
          <w:p w14:paraId="5A364FBC" w14:textId="77777777" w:rsidR="00606029" w:rsidRDefault="00EA5B92">
            <w:pPr>
              <w:pStyle w:val="TableParagraph"/>
              <w:jc w:val="center"/>
              <w:rPr>
                <w:rFonts w:ascii="Times New Roman" w:hAnsi="Times New Roman" w:cs="Times New Roman"/>
                <w:b/>
                <w:bCs/>
                <w:sz w:val="21"/>
                <w:szCs w:val="21"/>
              </w:rPr>
            </w:pPr>
            <w:r>
              <w:rPr>
                <w:rFonts w:ascii="Times New Roman" w:hAnsi="Times New Roman" w:cs="Times New Roman"/>
                <w:b/>
                <w:bCs/>
                <w:sz w:val="21"/>
                <w:szCs w:val="21"/>
              </w:rPr>
              <w:t>评价等级</w:t>
            </w:r>
          </w:p>
        </w:tc>
        <w:tc>
          <w:tcPr>
            <w:tcW w:w="5826" w:type="dxa"/>
            <w:gridSpan w:val="2"/>
            <w:vAlign w:val="center"/>
          </w:tcPr>
          <w:p w14:paraId="709DD4B5" w14:textId="77777777" w:rsidR="00606029" w:rsidRDefault="00EA5B92">
            <w:pPr>
              <w:pStyle w:val="TableParagraph"/>
              <w:jc w:val="center"/>
              <w:rPr>
                <w:rFonts w:ascii="Times New Roman" w:hAnsi="Times New Roman" w:cs="Times New Roman"/>
                <w:b/>
                <w:bCs/>
                <w:sz w:val="21"/>
                <w:szCs w:val="21"/>
              </w:rPr>
            </w:pPr>
            <w:r>
              <w:rPr>
                <w:rFonts w:ascii="Times New Roman" w:hAnsi="Times New Roman" w:cs="Times New Roman"/>
                <w:b/>
                <w:bCs/>
                <w:sz w:val="21"/>
                <w:szCs w:val="21"/>
              </w:rPr>
              <w:t>判定依据</w:t>
            </w:r>
          </w:p>
        </w:tc>
      </w:tr>
      <w:tr w:rsidR="00606029" w14:paraId="6D781B29" w14:textId="77777777">
        <w:trPr>
          <w:trHeight w:val="270"/>
          <w:jc w:val="center"/>
        </w:trPr>
        <w:tc>
          <w:tcPr>
            <w:tcW w:w="1908" w:type="dxa"/>
            <w:vMerge/>
            <w:vAlign w:val="center"/>
          </w:tcPr>
          <w:p w14:paraId="08AEF846" w14:textId="77777777" w:rsidR="00606029" w:rsidRDefault="00606029">
            <w:pPr>
              <w:pStyle w:val="TableParagraph"/>
              <w:jc w:val="center"/>
              <w:rPr>
                <w:rFonts w:ascii="Times New Roman" w:hAnsi="Times New Roman" w:cs="Times New Roman"/>
                <w:b/>
                <w:bCs/>
                <w:sz w:val="21"/>
                <w:szCs w:val="21"/>
              </w:rPr>
            </w:pPr>
          </w:p>
        </w:tc>
        <w:tc>
          <w:tcPr>
            <w:tcW w:w="1118" w:type="dxa"/>
            <w:vMerge/>
            <w:vAlign w:val="center"/>
          </w:tcPr>
          <w:p w14:paraId="3B773BB8" w14:textId="77777777" w:rsidR="00606029" w:rsidRDefault="00606029">
            <w:pPr>
              <w:pStyle w:val="TableParagraph"/>
              <w:jc w:val="center"/>
              <w:rPr>
                <w:rFonts w:ascii="Times New Roman" w:hAnsi="Times New Roman" w:cs="Times New Roman"/>
                <w:b/>
                <w:bCs/>
                <w:sz w:val="21"/>
                <w:szCs w:val="21"/>
              </w:rPr>
            </w:pPr>
          </w:p>
        </w:tc>
        <w:tc>
          <w:tcPr>
            <w:tcW w:w="3093" w:type="dxa"/>
            <w:vAlign w:val="center"/>
          </w:tcPr>
          <w:p w14:paraId="683AD4B6" w14:textId="77777777" w:rsidR="00606029" w:rsidRDefault="00EA5B92">
            <w:pPr>
              <w:pStyle w:val="TableParagraph"/>
              <w:jc w:val="center"/>
              <w:rPr>
                <w:rFonts w:ascii="Times New Roman" w:hAnsi="Times New Roman" w:cs="Times New Roman"/>
                <w:b/>
                <w:bCs/>
                <w:sz w:val="21"/>
                <w:szCs w:val="21"/>
              </w:rPr>
            </w:pPr>
            <w:r>
              <w:rPr>
                <w:rFonts w:ascii="Times New Roman" w:hAnsi="Times New Roman" w:cs="Times New Roman"/>
                <w:b/>
                <w:bCs/>
                <w:sz w:val="21"/>
                <w:szCs w:val="21"/>
              </w:rPr>
              <w:t>排放方式</w:t>
            </w:r>
          </w:p>
        </w:tc>
        <w:tc>
          <w:tcPr>
            <w:tcW w:w="2733" w:type="dxa"/>
            <w:vAlign w:val="center"/>
          </w:tcPr>
          <w:p w14:paraId="33FF4646" w14:textId="77777777" w:rsidR="00606029" w:rsidRDefault="00EA5B92">
            <w:pPr>
              <w:pStyle w:val="TableParagraph"/>
              <w:jc w:val="center"/>
              <w:rPr>
                <w:rFonts w:ascii="Times New Roman" w:hAnsi="Times New Roman" w:cs="Times New Roman"/>
                <w:b/>
                <w:bCs/>
                <w:sz w:val="21"/>
                <w:szCs w:val="21"/>
              </w:rPr>
            </w:pPr>
            <w:r>
              <w:rPr>
                <w:rFonts w:ascii="Times New Roman" w:hAnsi="Times New Roman" w:cs="Times New Roman"/>
                <w:b/>
                <w:bCs/>
                <w:sz w:val="21"/>
                <w:szCs w:val="21"/>
              </w:rPr>
              <w:t>废水排放量</w:t>
            </w:r>
            <w:r>
              <w:rPr>
                <w:rFonts w:ascii="Times New Roman" w:hAnsi="Times New Roman" w:cs="Times New Roman"/>
                <w:b/>
                <w:bCs/>
                <w:sz w:val="21"/>
                <w:szCs w:val="21"/>
              </w:rPr>
              <w:t>Q/</w:t>
            </w:r>
            <w:r>
              <w:rPr>
                <w:rFonts w:ascii="Times New Roman" w:hAnsi="Times New Roman" w:cs="Times New Roman"/>
                <w:b/>
                <w:bCs/>
                <w:sz w:val="21"/>
                <w:szCs w:val="21"/>
              </w:rPr>
              <w:t>（</w:t>
            </w:r>
            <w:r>
              <w:rPr>
                <w:rFonts w:ascii="Times New Roman" w:hAnsi="Times New Roman" w:cs="Times New Roman"/>
                <w:b/>
                <w:bCs/>
                <w:sz w:val="21"/>
                <w:szCs w:val="21"/>
              </w:rPr>
              <w:t>m</w:t>
            </w:r>
            <w:r>
              <w:rPr>
                <w:rFonts w:ascii="Times New Roman" w:hAnsi="Times New Roman" w:cs="Times New Roman"/>
                <w:b/>
                <w:bCs/>
                <w:sz w:val="21"/>
                <w:szCs w:val="21"/>
                <w:vertAlign w:val="superscript"/>
              </w:rPr>
              <w:t>3</w:t>
            </w:r>
            <w:r>
              <w:rPr>
                <w:rFonts w:ascii="Times New Roman" w:hAnsi="Times New Roman" w:cs="Times New Roman"/>
                <w:b/>
                <w:bCs/>
                <w:sz w:val="21"/>
                <w:szCs w:val="21"/>
              </w:rPr>
              <w:t>/d</w:t>
            </w:r>
            <w:r>
              <w:rPr>
                <w:rFonts w:ascii="Times New Roman" w:hAnsi="Times New Roman" w:cs="Times New Roman"/>
                <w:b/>
                <w:bCs/>
                <w:sz w:val="21"/>
                <w:szCs w:val="21"/>
              </w:rPr>
              <w:t>）</w:t>
            </w:r>
          </w:p>
          <w:p w14:paraId="6337C471" w14:textId="77777777" w:rsidR="00606029" w:rsidRDefault="00EA5B92">
            <w:pPr>
              <w:pStyle w:val="TableParagraph"/>
              <w:jc w:val="center"/>
              <w:rPr>
                <w:rFonts w:ascii="Times New Roman" w:hAnsi="Times New Roman" w:cs="Times New Roman"/>
                <w:b/>
                <w:bCs/>
                <w:sz w:val="21"/>
                <w:szCs w:val="21"/>
              </w:rPr>
            </w:pPr>
            <w:r>
              <w:rPr>
                <w:rFonts w:ascii="Times New Roman" w:hAnsi="Times New Roman" w:cs="Times New Roman"/>
                <w:b/>
                <w:bCs/>
                <w:sz w:val="21"/>
                <w:szCs w:val="21"/>
              </w:rPr>
              <w:t>水污染物当量数</w:t>
            </w:r>
            <w:r>
              <w:rPr>
                <w:rFonts w:ascii="Times New Roman" w:hAnsi="Times New Roman" w:cs="Times New Roman"/>
                <w:b/>
                <w:bCs/>
                <w:sz w:val="21"/>
                <w:szCs w:val="21"/>
              </w:rPr>
              <w:t>W/</w:t>
            </w:r>
            <w:r>
              <w:rPr>
                <w:rFonts w:ascii="Times New Roman" w:hAnsi="Times New Roman" w:cs="Times New Roman"/>
                <w:b/>
                <w:bCs/>
                <w:sz w:val="21"/>
                <w:szCs w:val="21"/>
              </w:rPr>
              <w:t>（无量纲）</w:t>
            </w:r>
          </w:p>
        </w:tc>
      </w:tr>
      <w:tr w:rsidR="00606029" w14:paraId="621ABAB0" w14:textId="77777777">
        <w:trPr>
          <w:trHeight w:val="282"/>
          <w:jc w:val="center"/>
        </w:trPr>
        <w:tc>
          <w:tcPr>
            <w:tcW w:w="1908" w:type="dxa"/>
            <w:vMerge w:val="restart"/>
            <w:vAlign w:val="center"/>
          </w:tcPr>
          <w:p w14:paraId="33B6D441" w14:textId="77777777" w:rsidR="00606029" w:rsidRDefault="00EA5B92">
            <w:pPr>
              <w:pStyle w:val="TableParagraph"/>
              <w:jc w:val="center"/>
              <w:rPr>
                <w:rFonts w:ascii="Times New Roman" w:hAnsi="Times New Roman" w:cs="Times New Roman"/>
                <w:sz w:val="21"/>
                <w:szCs w:val="21"/>
              </w:rPr>
            </w:pPr>
            <w:r>
              <w:rPr>
                <w:rFonts w:ascii="Times New Roman" w:hAnsi="Times New Roman" w:cs="Times New Roman"/>
                <w:sz w:val="21"/>
                <w:szCs w:val="21"/>
              </w:rPr>
              <w:t>《环境影响评价技术导则</w:t>
            </w:r>
            <w:r>
              <w:rPr>
                <w:rFonts w:ascii="Times New Roman" w:hAnsi="Times New Roman" w:cs="Times New Roman"/>
                <w:sz w:val="21"/>
                <w:szCs w:val="21"/>
              </w:rPr>
              <w:t xml:space="preserve"> </w:t>
            </w:r>
            <w:r>
              <w:rPr>
                <w:rFonts w:ascii="Times New Roman" w:hAnsi="Times New Roman" w:cs="Times New Roman"/>
                <w:sz w:val="21"/>
                <w:szCs w:val="21"/>
              </w:rPr>
              <w:t>地表水环境》（</w:t>
            </w:r>
            <w:r>
              <w:rPr>
                <w:rFonts w:ascii="Times New Roman" w:hAnsi="Times New Roman" w:cs="Times New Roman"/>
                <w:sz w:val="21"/>
                <w:szCs w:val="21"/>
              </w:rPr>
              <w:t>HJ 2.3-2018</w:t>
            </w:r>
            <w:r>
              <w:rPr>
                <w:rFonts w:ascii="Times New Roman" w:hAnsi="Times New Roman" w:cs="Times New Roman"/>
                <w:sz w:val="21"/>
                <w:szCs w:val="21"/>
              </w:rPr>
              <w:t>）</w:t>
            </w:r>
          </w:p>
        </w:tc>
        <w:tc>
          <w:tcPr>
            <w:tcW w:w="1118" w:type="dxa"/>
            <w:vAlign w:val="center"/>
          </w:tcPr>
          <w:p w14:paraId="07F98BDF" w14:textId="77777777" w:rsidR="00606029" w:rsidRDefault="00EA5B92">
            <w:pPr>
              <w:pStyle w:val="TableParagraph"/>
              <w:jc w:val="center"/>
              <w:rPr>
                <w:rFonts w:ascii="Times New Roman" w:hAnsi="Times New Roman" w:cs="Times New Roman"/>
                <w:sz w:val="21"/>
                <w:szCs w:val="21"/>
              </w:rPr>
            </w:pPr>
            <w:r>
              <w:rPr>
                <w:rFonts w:ascii="Times New Roman" w:hAnsi="Times New Roman" w:cs="Times New Roman"/>
                <w:sz w:val="21"/>
                <w:szCs w:val="21"/>
              </w:rPr>
              <w:t>一级</w:t>
            </w:r>
          </w:p>
        </w:tc>
        <w:tc>
          <w:tcPr>
            <w:tcW w:w="3093" w:type="dxa"/>
            <w:vAlign w:val="center"/>
          </w:tcPr>
          <w:p w14:paraId="0B779DB7" w14:textId="77777777" w:rsidR="00606029" w:rsidRDefault="00EA5B92">
            <w:pPr>
              <w:pStyle w:val="TableParagraph"/>
              <w:jc w:val="center"/>
              <w:rPr>
                <w:rFonts w:ascii="Times New Roman" w:hAnsi="Times New Roman" w:cs="Times New Roman"/>
                <w:sz w:val="21"/>
                <w:szCs w:val="21"/>
              </w:rPr>
            </w:pPr>
            <w:r>
              <w:rPr>
                <w:rFonts w:ascii="Times New Roman" w:hAnsi="Times New Roman" w:cs="Times New Roman"/>
                <w:sz w:val="21"/>
                <w:szCs w:val="21"/>
              </w:rPr>
              <w:t>直接排放</w:t>
            </w:r>
          </w:p>
        </w:tc>
        <w:tc>
          <w:tcPr>
            <w:tcW w:w="2733" w:type="dxa"/>
            <w:vAlign w:val="center"/>
          </w:tcPr>
          <w:p w14:paraId="06EA35B3" w14:textId="77777777" w:rsidR="00606029" w:rsidRDefault="00EA5B92">
            <w:pPr>
              <w:pStyle w:val="TableParagraph"/>
              <w:jc w:val="center"/>
              <w:rPr>
                <w:rFonts w:ascii="Times New Roman" w:hAnsi="Times New Roman" w:cs="Times New Roman"/>
                <w:sz w:val="21"/>
                <w:szCs w:val="21"/>
              </w:rPr>
            </w:pPr>
            <w:r>
              <w:rPr>
                <w:rFonts w:ascii="Times New Roman" w:hAnsi="Times New Roman" w:cs="Times New Roman"/>
                <w:sz w:val="21"/>
                <w:szCs w:val="21"/>
              </w:rPr>
              <w:t>Q≥20000</w:t>
            </w:r>
            <w:r>
              <w:rPr>
                <w:rFonts w:ascii="Times New Roman" w:hAnsi="Times New Roman" w:cs="Times New Roman"/>
                <w:sz w:val="21"/>
                <w:szCs w:val="21"/>
              </w:rPr>
              <w:t>或</w:t>
            </w:r>
            <w:r>
              <w:rPr>
                <w:rFonts w:ascii="Times New Roman" w:hAnsi="Times New Roman" w:cs="Times New Roman"/>
                <w:sz w:val="21"/>
                <w:szCs w:val="21"/>
              </w:rPr>
              <w:t>W≥600000</w:t>
            </w:r>
          </w:p>
        </w:tc>
      </w:tr>
      <w:tr w:rsidR="00606029" w14:paraId="5908B26E" w14:textId="77777777">
        <w:trPr>
          <w:trHeight w:val="282"/>
          <w:jc w:val="center"/>
        </w:trPr>
        <w:tc>
          <w:tcPr>
            <w:tcW w:w="1908" w:type="dxa"/>
            <w:vMerge/>
            <w:vAlign w:val="center"/>
          </w:tcPr>
          <w:p w14:paraId="3678E7A7" w14:textId="77777777" w:rsidR="00606029" w:rsidRDefault="00606029">
            <w:pPr>
              <w:pStyle w:val="TableParagraph"/>
              <w:jc w:val="center"/>
              <w:rPr>
                <w:rFonts w:ascii="Times New Roman" w:hAnsi="Times New Roman" w:cs="Times New Roman"/>
                <w:sz w:val="21"/>
                <w:szCs w:val="21"/>
              </w:rPr>
            </w:pPr>
          </w:p>
        </w:tc>
        <w:tc>
          <w:tcPr>
            <w:tcW w:w="1118" w:type="dxa"/>
            <w:vAlign w:val="center"/>
          </w:tcPr>
          <w:p w14:paraId="575BB2DB" w14:textId="77777777" w:rsidR="00606029" w:rsidRDefault="00EA5B92">
            <w:pPr>
              <w:pStyle w:val="TableParagraph"/>
              <w:jc w:val="center"/>
              <w:rPr>
                <w:rFonts w:ascii="Times New Roman" w:hAnsi="Times New Roman" w:cs="Times New Roman"/>
                <w:sz w:val="21"/>
                <w:szCs w:val="21"/>
              </w:rPr>
            </w:pPr>
            <w:r>
              <w:rPr>
                <w:rFonts w:ascii="Times New Roman" w:hAnsi="Times New Roman" w:cs="Times New Roman"/>
                <w:sz w:val="21"/>
                <w:szCs w:val="21"/>
              </w:rPr>
              <w:t>二级</w:t>
            </w:r>
          </w:p>
        </w:tc>
        <w:tc>
          <w:tcPr>
            <w:tcW w:w="3093" w:type="dxa"/>
            <w:vAlign w:val="center"/>
          </w:tcPr>
          <w:p w14:paraId="73E95672" w14:textId="77777777" w:rsidR="00606029" w:rsidRDefault="00EA5B92">
            <w:pPr>
              <w:jc w:val="center"/>
            </w:pPr>
            <w:r>
              <w:t>直接排放</w:t>
            </w:r>
          </w:p>
        </w:tc>
        <w:tc>
          <w:tcPr>
            <w:tcW w:w="2733" w:type="dxa"/>
            <w:vAlign w:val="center"/>
          </w:tcPr>
          <w:p w14:paraId="59A639EA" w14:textId="77777777" w:rsidR="00606029" w:rsidRDefault="00EA5B92">
            <w:pPr>
              <w:pStyle w:val="TableParagraph"/>
              <w:jc w:val="center"/>
              <w:rPr>
                <w:rFonts w:ascii="Times New Roman" w:hAnsi="Times New Roman" w:cs="Times New Roman"/>
                <w:sz w:val="21"/>
                <w:szCs w:val="21"/>
              </w:rPr>
            </w:pPr>
            <w:r>
              <w:rPr>
                <w:rFonts w:ascii="Times New Roman" w:hAnsi="Times New Roman" w:cs="Times New Roman"/>
                <w:sz w:val="21"/>
                <w:szCs w:val="21"/>
              </w:rPr>
              <w:t>其他</w:t>
            </w:r>
          </w:p>
        </w:tc>
      </w:tr>
      <w:tr w:rsidR="00606029" w14:paraId="014A1DC7" w14:textId="77777777">
        <w:trPr>
          <w:trHeight w:val="369"/>
          <w:jc w:val="center"/>
        </w:trPr>
        <w:tc>
          <w:tcPr>
            <w:tcW w:w="1908" w:type="dxa"/>
            <w:vMerge/>
            <w:vAlign w:val="center"/>
          </w:tcPr>
          <w:p w14:paraId="3DB1F96E" w14:textId="77777777" w:rsidR="00606029" w:rsidRDefault="00606029">
            <w:pPr>
              <w:pStyle w:val="TableParagraph"/>
              <w:jc w:val="center"/>
              <w:rPr>
                <w:rFonts w:ascii="Times New Roman" w:hAnsi="Times New Roman" w:cs="Times New Roman"/>
                <w:sz w:val="21"/>
                <w:szCs w:val="21"/>
              </w:rPr>
            </w:pPr>
          </w:p>
        </w:tc>
        <w:tc>
          <w:tcPr>
            <w:tcW w:w="1118" w:type="dxa"/>
            <w:vAlign w:val="center"/>
          </w:tcPr>
          <w:p w14:paraId="6FBAD822" w14:textId="77777777" w:rsidR="00606029" w:rsidRDefault="00EA5B92">
            <w:pPr>
              <w:pStyle w:val="TableParagraph"/>
              <w:jc w:val="center"/>
              <w:rPr>
                <w:rFonts w:ascii="Times New Roman" w:hAnsi="Times New Roman" w:cs="Times New Roman"/>
                <w:sz w:val="21"/>
                <w:szCs w:val="21"/>
              </w:rPr>
            </w:pPr>
            <w:r>
              <w:rPr>
                <w:rFonts w:ascii="Times New Roman" w:hAnsi="Times New Roman" w:cs="Times New Roman"/>
                <w:sz w:val="21"/>
                <w:szCs w:val="21"/>
              </w:rPr>
              <w:t>三级</w:t>
            </w:r>
            <w:r>
              <w:rPr>
                <w:rFonts w:ascii="Times New Roman" w:hAnsi="Times New Roman" w:cs="Times New Roman"/>
                <w:sz w:val="21"/>
                <w:szCs w:val="21"/>
              </w:rPr>
              <w:t>A</w:t>
            </w:r>
          </w:p>
        </w:tc>
        <w:tc>
          <w:tcPr>
            <w:tcW w:w="3093" w:type="dxa"/>
            <w:vAlign w:val="center"/>
          </w:tcPr>
          <w:p w14:paraId="6E02951F" w14:textId="77777777" w:rsidR="00606029" w:rsidRDefault="00EA5B92">
            <w:pPr>
              <w:jc w:val="center"/>
            </w:pPr>
            <w:r>
              <w:t>直接排放</w:t>
            </w:r>
          </w:p>
        </w:tc>
        <w:tc>
          <w:tcPr>
            <w:tcW w:w="2733" w:type="dxa"/>
            <w:vAlign w:val="center"/>
          </w:tcPr>
          <w:p w14:paraId="741FC15E" w14:textId="77777777" w:rsidR="00606029" w:rsidRDefault="00EA5B92">
            <w:pPr>
              <w:pStyle w:val="TableParagraph"/>
              <w:jc w:val="center"/>
              <w:rPr>
                <w:rFonts w:ascii="Times New Roman" w:hAnsi="Times New Roman" w:cs="Times New Roman"/>
                <w:sz w:val="21"/>
                <w:szCs w:val="21"/>
              </w:rPr>
            </w:pPr>
            <w:r>
              <w:rPr>
                <w:rFonts w:ascii="Times New Roman" w:hAnsi="Times New Roman" w:cs="Times New Roman"/>
                <w:sz w:val="21"/>
                <w:szCs w:val="21"/>
              </w:rPr>
              <w:t>Q</w:t>
            </w:r>
            <w:r>
              <w:rPr>
                <w:rFonts w:ascii="Times New Roman" w:hAnsi="Times New Roman" w:cs="Times New Roman"/>
                <w:sz w:val="21"/>
                <w:szCs w:val="21"/>
              </w:rPr>
              <w:t>＜</w:t>
            </w:r>
            <w:r>
              <w:rPr>
                <w:rFonts w:ascii="Times New Roman" w:hAnsi="Times New Roman" w:cs="Times New Roman"/>
                <w:sz w:val="21"/>
                <w:szCs w:val="21"/>
              </w:rPr>
              <w:t>200</w:t>
            </w:r>
            <w:r>
              <w:rPr>
                <w:rFonts w:ascii="Times New Roman" w:hAnsi="Times New Roman" w:cs="Times New Roman"/>
                <w:sz w:val="21"/>
                <w:szCs w:val="21"/>
              </w:rPr>
              <w:t>且</w:t>
            </w:r>
            <w:r>
              <w:rPr>
                <w:rFonts w:ascii="Times New Roman" w:hAnsi="Times New Roman" w:cs="Times New Roman"/>
                <w:sz w:val="21"/>
                <w:szCs w:val="21"/>
              </w:rPr>
              <w:t>W</w:t>
            </w:r>
            <w:r>
              <w:rPr>
                <w:rFonts w:ascii="Times New Roman" w:hAnsi="Times New Roman" w:cs="Times New Roman"/>
                <w:sz w:val="21"/>
                <w:szCs w:val="21"/>
              </w:rPr>
              <w:t>＜</w:t>
            </w:r>
            <w:r>
              <w:rPr>
                <w:rFonts w:ascii="Times New Roman" w:hAnsi="Times New Roman" w:cs="Times New Roman"/>
                <w:sz w:val="21"/>
                <w:szCs w:val="21"/>
              </w:rPr>
              <w:t>6000</w:t>
            </w:r>
          </w:p>
        </w:tc>
      </w:tr>
      <w:tr w:rsidR="00606029" w14:paraId="00BDA7DC" w14:textId="77777777">
        <w:trPr>
          <w:trHeight w:val="354"/>
          <w:jc w:val="center"/>
        </w:trPr>
        <w:tc>
          <w:tcPr>
            <w:tcW w:w="1908" w:type="dxa"/>
            <w:vMerge/>
            <w:vAlign w:val="center"/>
          </w:tcPr>
          <w:p w14:paraId="1364FAB1" w14:textId="77777777" w:rsidR="00606029" w:rsidRDefault="00606029">
            <w:pPr>
              <w:pStyle w:val="TableParagraph"/>
              <w:jc w:val="center"/>
              <w:rPr>
                <w:rFonts w:ascii="Times New Roman" w:hAnsi="Times New Roman" w:cs="Times New Roman"/>
                <w:sz w:val="21"/>
                <w:szCs w:val="21"/>
              </w:rPr>
            </w:pPr>
          </w:p>
        </w:tc>
        <w:tc>
          <w:tcPr>
            <w:tcW w:w="1118" w:type="dxa"/>
            <w:vAlign w:val="center"/>
          </w:tcPr>
          <w:p w14:paraId="23F20FE7" w14:textId="77777777" w:rsidR="00606029" w:rsidRDefault="00EA5B92">
            <w:pPr>
              <w:pStyle w:val="TableParagraph"/>
              <w:jc w:val="center"/>
              <w:rPr>
                <w:rFonts w:ascii="Times New Roman" w:hAnsi="Times New Roman" w:cs="Times New Roman"/>
                <w:b/>
                <w:bCs/>
                <w:sz w:val="21"/>
                <w:szCs w:val="21"/>
              </w:rPr>
            </w:pPr>
            <w:r>
              <w:rPr>
                <w:rFonts w:ascii="Times New Roman" w:hAnsi="Times New Roman" w:cs="Times New Roman"/>
                <w:b/>
                <w:bCs/>
                <w:sz w:val="21"/>
                <w:szCs w:val="21"/>
              </w:rPr>
              <w:t>三级</w:t>
            </w:r>
            <w:r>
              <w:rPr>
                <w:rFonts w:ascii="Times New Roman" w:hAnsi="Times New Roman" w:cs="Times New Roman"/>
                <w:b/>
                <w:bCs/>
                <w:sz w:val="21"/>
                <w:szCs w:val="21"/>
              </w:rPr>
              <w:t>B</w:t>
            </w:r>
          </w:p>
        </w:tc>
        <w:tc>
          <w:tcPr>
            <w:tcW w:w="3093" w:type="dxa"/>
            <w:vAlign w:val="center"/>
          </w:tcPr>
          <w:p w14:paraId="1858C75B" w14:textId="77777777" w:rsidR="00606029" w:rsidRDefault="00EA5B92">
            <w:pPr>
              <w:jc w:val="center"/>
              <w:rPr>
                <w:b/>
                <w:bCs/>
              </w:rPr>
            </w:pPr>
            <w:r>
              <w:rPr>
                <w:b/>
                <w:bCs/>
              </w:rPr>
              <w:t>间接排放</w:t>
            </w:r>
          </w:p>
        </w:tc>
        <w:tc>
          <w:tcPr>
            <w:tcW w:w="2733" w:type="dxa"/>
            <w:vAlign w:val="center"/>
          </w:tcPr>
          <w:p w14:paraId="20E4B342" w14:textId="51A75371" w:rsidR="00606029" w:rsidRDefault="007A6B7F">
            <w:pPr>
              <w:pStyle w:val="TableParagraph"/>
              <w:jc w:val="center"/>
              <w:rPr>
                <w:rFonts w:ascii="Times New Roman" w:hAnsi="Times New Roman" w:cs="Times New Roman"/>
                <w:sz w:val="21"/>
                <w:szCs w:val="21"/>
              </w:rPr>
            </w:pPr>
            <w:r>
              <w:rPr>
                <w:rFonts w:ascii="Times New Roman" w:hAnsi="Times New Roman" w:cs="Times New Roman" w:hint="eastAsia"/>
                <w:sz w:val="21"/>
                <w:szCs w:val="21"/>
              </w:rPr>
              <w:t>/</w:t>
            </w:r>
          </w:p>
        </w:tc>
      </w:tr>
    </w:tbl>
    <w:p w14:paraId="06DD5996" w14:textId="77777777" w:rsidR="00606029" w:rsidRDefault="00EA5B92">
      <w:pPr>
        <w:pStyle w:val="4"/>
        <w:adjustRightInd/>
        <w:snapToGrid/>
        <w:spacing w:beforeLines="50" w:before="120"/>
      </w:pPr>
      <w:r>
        <w:t>1.6.1.3</w:t>
      </w:r>
      <w:r>
        <w:t>地下水环境评价等级</w:t>
      </w:r>
    </w:p>
    <w:p w14:paraId="74C2833A" w14:textId="77777777" w:rsidR="00606029" w:rsidRDefault="00EA5B92">
      <w:pPr>
        <w:pStyle w:val="affffff4"/>
      </w:pPr>
      <w:r>
        <w:t>根据《环境影响评价技术导则</w:t>
      </w:r>
      <w:r>
        <w:t xml:space="preserve"> </w:t>
      </w:r>
      <w:r>
        <w:t>地下水环境》（</w:t>
      </w:r>
      <w:r>
        <w:t>HJ610-2016</w:t>
      </w:r>
      <w:r>
        <w:t>）附录</w:t>
      </w:r>
      <w:r>
        <w:t>A</w:t>
      </w:r>
      <w:r>
        <w:t>（地下水环境影响评价行业分类表），本项目属于</w:t>
      </w:r>
      <w:r>
        <w:t>“U</w:t>
      </w:r>
      <w:r>
        <w:t>城镇基础设施及房地产</w:t>
      </w:r>
      <w:r>
        <w:t>”</w:t>
      </w:r>
      <w:r>
        <w:t>中</w:t>
      </w:r>
      <w:r>
        <w:t>“149</w:t>
      </w:r>
      <w:r>
        <w:t>、生活垃圾（含餐厨废弃物）集中处置</w:t>
      </w:r>
      <w:r>
        <w:t>”</w:t>
      </w:r>
      <w:r>
        <w:t>，地下水环境影响评价项目类别为</w:t>
      </w:r>
      <w:r>
        <w:t>Ⅰ</w:t>
      </w:r>
      <w:r>
        <w:t>类。</w:t>
      </w:r>
    </w:p>
    <w:p w14:paraId="678C262E" w14:textId="0E1FC6BC" w:rsidR="003147C6" w:rsidRPr="003147C6" w:rsidRDefault="00F305DB" w:rsidP="003147C6">
      <w:pPr>
        <w:widowControl/>
        <w:spacing w:line="360" w:lineRule="auto"/>
        <w:ind w:firstLineChars="200" w:firstLine="480"/>
        <w:rPr>
          <w:color w:val="000000"/>
          <w:kern w:val="0"/>
          <w:sz w:val="24"/>
          <w:szCs w:val="24"/>
        </w:rPr>
      </w:pPr>
      <w:r>
        <w:rPr>
          <w:rFonts w:hint="eastAsia"/>
          <w:color w:val="000000"/>
          <w:kern w:val="0"/>
          <w:sz w:val="24"/>
          <w:szCs w:val="24"/>
        </w:rPr>
        <w:t>本</w:t>
      </w:r>
      <w:r w:rsidR="003147C6" w:rsidRPr="003147C6">
        <w:rPr>
          <w:color w:val="000000"/>
          <w:kern w:val="0"/>
          <w:sz w:val="24"/>
          <w:szCs w:val="24"/>
        </w:rPr>
        <w:t>项目所在区域不属于生活供水水源地准保护区、不属于热水、矿泉水、温泉等特殊地下水源保护区、也不属于补给径流区，根据现场调查，项目区周边居民区主要有红旗二村、双发屯、前进村和开荒村居民区，其中前进村分布有以村为单位的供水机井，管线供水，供前进村和双发屯居民饮用水使用，供水人数小于</w:t>
      </w:r>
      <w:r w:rsidR="003147C6" w:rsidRPr="003147C6">
        <w:rPr>
          <w:color w:val="000000"/>
          <w:kern w:val="0"/>
          <w:sz w:val="24"/>
          <w:szCs w:val="24"/>
        </w:rPr>
        <w:t>1000</w:t>
      </w:r>
      <w:r w:rsidR="003147C6" w:rsidRPr="003147C6">
        <w:rPr>
          <w:color w:val="000000"/>
          <w:kern w:val="0"/>
          <w:sz w:val="24"/>
          <w:szCs w:val="24"/>
        </w:rPr>
        <w:t>人，属分散式饮用水水源；开荒村居民区分布有以村为单位的供水机井，管线供水，供开荒户居民区饮用水使用，供水人数小于</w:t>
      </w:r>
      <w:r w:rsidR="003147C6" w:rsidRPr="003147C6">
        <w:rPr>
          <w:color w:val="000000"/>
          <w:kern w:val="0"/>
          <w:sz w:val="24"/>
          <w:szCs w:val="24"/>
        </w:rPr>
        <w:t>1000</w:t>
      </w:r>
      <w:r w:rsidR="003147C6" w:rsidRPr="003147C6">
        <w:rPr>
          <w:color w:val="000000"/>
          <w:kern w:val="0"/>
          <w:sz w:val="24"/>
          <w:szCs w:val="24"/>
        </w:rPr>
        <w:t>人，属分散式饮用水水源；红旗二村绝大部分居民区已搬迁，未搬迁零星散户分布有以家庭为单位的供水机井，供水人数小于</w:t>
      </w:r>
      <w:r w:rsidR="003147C6" w:rsidRPr="003147C6">
        <w:rPr>
          <w:color w:val="000000"/>
          <w:kern w:val="0"/>
          <w:sz w:val="24"/>
          <w:szCs w:val="24"/>
        </w:rPr>
        <w:t>1000</w:t>
      </w:r>
      <w:r w:rsidR="003147C6" w:rsidRPr="003147C6">
        <w:rPr>
          <w:color w:val="000000"/>
          <w:kern w:val="0"/>
          <w:sz w:val="24"/>
          <w:szCs w:val="24"/>
        </w:rPr>
        <w:t>人，属分散式饮用水水源。参照《饮用水水源保护区划分技术规范》（</w:t>
      </w:r>
      <w:r w:rsidR="003147C6" w:rsidRPr="003147C6">
        <w:rPr>
          <w:color w:val="000000"/>
          <w:kern w:val="0"/>
          <w:sz w:val="24"/>
          <w:szCs w:val="24"/>
        </w:rPr>
        <w:t>HJ/T338</w:t>
      </w:r>
      <w:r w:rsidR="003147C6" w:rsidRPr="003147C6">
        <w:rPr>
          <w:color w:val="000000"/>
          <w:kern w:val="0"/>
          <w:sz w:val="24"/>
          <w:szCs w:val="24"/>
        </w:rPr>
        <w:t>）计算公式法确定地下水饮用水水源环境敏感程度。</w:t>
      </w:r>
    </w:p>
    <w:p w14:paraId="06A1965F" w14:textId="77777777" w:rsidR="003147C6" w:rsidRPr="003147C6" w:rsidRDefault="003147C6" w:rsidP="003147C6">
      <w:pPr>
        <w:widowControl/>
        <w:spacing w:line="360" w:lineRule="auto"/>
        <w:ind w:firstLineChars="200" w:firstLine="480"/>
        <w:rPr>
          <w:color w:val="000000"/>
          <w:kern w:val="0"/>
          <w:sz w:val="24"/>
          <w:szCs w:val="24"/>
        </w:rPr>
      </w:pPr>
      <w:r w:rsidRPr="003147C6">
        <w:rPr>
          <w:color w:val="000000"/>
          <w:kern w:val="0"/>
          <w:sz w:val="24"/>
          <w:szCs w:val="24"/>
        </w:rPr>
        <w:t>计算公式：</w:t>
      </w:r>
    </w:p>
    <w:p w14:paraId="00125DF5" w14:textId="77777777" w:rsidR="003147C6" w:rsidRPr="003147C6" w:rsidRDefault="003147C6" w:rsidP="00064EB9">
      <w:pPr>
        <w:widowControl/>
        <w:spacing w:line="360" w:lineRule="auto"/>
        <w:ind w:firstLineChars="200" w:firstLine="480"/>
        <w:jc w:val="center"/>
        <w:rPr>
          <w:color w:val="000000"/>
          <w:kern w:val="0"/>
          <w:sz w:val="24"/>
          <w:szCs w:val="24"/>
        </w:rPr>
      </w:pPr>
      <w:r w:rsidRPr="003147C6">
        <w:rPr>
          <w:color w:val="000000"/>
          <w:kern w:val="0"/>
          <w:sz w:val="24"/>
          <w:szCs w:val="24"/>
        </w:rPr>
        <w:t>L=a×K×I×T/ne</w:t>
      </w:r>
    </w:p>
    <w:p w14:paraId="5BAB3042" w14:textId="77777777" w:rsidR="003147C6" w:rsidRPr="003147C6" w:rsidRDefault="003147C6" w:rsidP="003147C6">
      <w:pPr>
        <w:widowControl/>
        <w:spacing w:line="360" w:lineRule="auto"/>
        <w:ind w:firstLineChars="200" w:firstLine="480"/>
        <w:rPr>
          <w:color w:val="000000"/>
          <w:kern w:val="0"/>
          <w:sz w:val="24"/>
          <w:szCs w:val="24"/>
        </w:rPr>
      </w:pPr>
      <w:r w:rsidRPr="003147C6">
        <w:rPr>
          <w:color w:val="000000"/>
          <w:kern w:val="0"/>
          <w:sz w:val="24"/>
          <w:szCs w:val="24"/>
        </w:rPr>
        <w:t>L-</w:t>
      </w:r>
      <w:r w:rsidRPr="003147C6">
        <w:rPr>
          <w:color w:val="000000"/>
          <w:kern w:val="0"/>
          <w:sz w:val="24"/>
          <w:szCs w:val="24"/>
        </w:rPr>
        <w:t>水源地敏感性外扩范围，</w:t>
      </w:r>
      <w:r w:rsidRPr="003147C6">
        <w:rPr>
          <w:color w:val="000000"/>
          <w:kern w:val="0"/>
          <w:sz w:val="24"/>
          <w:szCs w:val="24"/>
        </w:rPr>
        <w:t>m</w:t>
      </w:r>
      <w:r w:rsidRPr="003147C6">
        <w:rPr>
          <w:color w:val="000000"/>
          <w:kern w:val="0"/>
          <w:sz w:val="24"/>
          <w:szCs w:val="24"/>
        </w:rPr>
        <w:t>；</w:t>
      </w:r>
    </w:p>
    <w:p w14:paraId="51672CEB" w14:textId="77777777" w:rsidR="003147C6" w:rsidRPr="003147C6" w:rsidRDefault="003147C6" w:rsidP="003147C6">
      <w:pPr>
        <w:widowControl/>
        <w:spacing w:line="360" w:lineRule="auto"/>
        <w:ind w:firstLineChars="200" w:firstLine="480"/>
        <w:rPr>
          <w:color w:val="000000"/>
          <w:kern w:val="0"/>
          <w:sz w:val="24"/>
          <w:szCs w:val="24"/>
        </w:rPr>
      </w:pPr>
      <w:r w:rsidRPr="003147C6">
        <w:rPr>
          <w:color w:val="000000"/>
          <w:kern w:val="0"/>
          <w:sz w:val="24"/>
          <w:szCs w:val="24"/>
        </w:rPr>
        <w:t>a-</w:t>
      </w:r>
      <w:r w:rsidRPr="003147C6">
        <w:rPr>
          <w:color w:val="000000"/>
          <w:kern w:val="0"/>
          <w:sz w:val="24"/>
          <w:szCs w:val="24"/>
        </w:rPr>
        <w:t>安全系数，</w:t>
      </w:r>
      <w:r w:rsidRPr="003147C6">
        <w:rPr>
          <w:color w:val="000000"/>
          <w:kern w:val="0"/>
          <w:sz w:val="24"/>
          <w:szCs w:val="24"/>
        </w:rPr>
        <w:t>a≥1</w:t>
      </w:r>
      <w:r w:rsidRPr="003147C6">
        <w:rPr>
          <w:color w:val="000000"/>
          <w:kern w:val="0"/>
          <w:sz w:val="24"/>
          <w:szCs w:val="24"/>
        </w:rPr>
        <w:t>，取</w:t>
      </w:r>
      <w:r w:rsidRPr="003147C6">
        <w:rPr>
          <w:color w:val="000000"/>
          <w:kern w:val="0"/>
          <w:sz w:val="24"/>
          <w:szCs w:val="24"/>
        </w:rPr>
        <w:t>1.5</w:t>
      </w:r>
      <w:r w:rsidRPr="003147C6">
        <w:rPr>
          <w:color w:val="000000"/>
          <w:kern w:val="0"/>
          <w:sz w:val="24"/>
          <w:szCs w:val="24"/>
        </w:rPr>
        <w:t>；</w:t>
      </w:r>
    </w:p>
    <w:p w14:paraId="7E330BC8" w14:textId="77777777" w:rsidR="003147C6" w:rsidRPr="003147C6" w:rsidRDefault="003147C6" w:rsidP="003147C6">
      <w:pPr>
        <w:widowControl/>
        <w:spacing w:line="360" w:lineRule="auto"/>
        <w:ind w:firstLineChars="200" w:firstLine="480"/>
        <w:rPr>
          <w:color w:val="000000"/>
          <w:kern w:val="0"/>
          <w:sz w:val="24"/>
          <w:szCs w:val="24"/>
        </w:rPr>
      </w:pPr>
      <w:r w:rsidRPr="003147C6">
        <w:rPr>
          <w:color w:val="000000"/>
          <w:kern w:val="0"/>
          <w:sz w:val="24"/>
          <w:szCs w:val="24"/>
        </w:rPr>
        <w:t>K-</w:t>
      </w:r>
      <w:r w:rsidRPr="003147C6">
        <w:rPr>
          <w:color w:val="000000"/>
          <w:kern w:val="0"/>
          <w:sz w:val="24"/>
          <w:szCs w:val="24"/>
        </w:rPr>
        <w:t>渗透系数，</w:t>
      </w:r>
      <w:r w:rsidRPr="003147C6">
        <w:rPr>
          <w:color w:val="000000"/>
          <w:kern w:val="0"/>
          <w:sz w:val="24"/>
          <w:szCs w:val="24"/>
        </w:rPr>
        <w:t>m/d</w:t>
      </w:r>
      <w:r w:rsidRPr="003147C6">
        <w:rPr>
          <w:color w:val="000000"/>
          <w:kern w:val="0"/>
          <w:sz w:val="24"/>
          <w:szCs w:val="24"/>
        </w:rPr>
        <w:t>；</w:t>
      </w:r>
    </w:p>
    <w:p w14:paraId="075804C0" w14:textId="77777777" w:rsidR="003147C6" w:rsidRPr="003147C6" w:rsidRDefault="003147C6" w:rsidP="003147C6">
      <w:pPr>
        <w:widowControl/>
        <w:spacing w:line="360" w:lineRule="auto"/>
        <w:ind w:firstLineChars="200" w:firstLine="480"/>
        <w:rPr>
          <w:color w:val="000000"/>
          <w:kern w:val="0"/>
          <w:sz w:val="24"/>
          <w:szCs w:val="24"/>
        </w:rPr>
      </w:pPr>
      <w:r w:rsidRPr="003147C6">
        <w:rPr>
          <w:color w:val="000000"/>
          <w:kern w:val="0"/>
          <w:sz w:val="24"/>
          <w:szCs w:val="24"/>
        </w:rPr>
        <w:t>I-</w:t>
      </w:r>
      <w:r w:rsidRPr="003147C6">
        <w:rPr>
          <w:color w:val="000000"/>
          <w:kern w:val="0"/>
          <w:sz w:val="24"/>
          <w:szCs w:val="24"/>
        </w:rPr>
        <w:t>水力坡度，无量纲；</w:t>
      </w:r>
    </w:p>
    <w:p w14:paraId="56BAEE6C" w14:textId="77777777" w:rsidR="003147C6" w:rsidRPr="003147C6" w:rsidRDefault="003147C6" w:rsidP="003147C6">
      <w:pPr>
        <w:widowControl/>
        <w:spacing w:line="360" w:lineRule="auto"/>
        <w:ind w:firstLineChars="200" w:firstLine="480"/>
        <w:rPr>
          <w:color w:val="000000"/>
          <w:kern w:val="0"/>
          <w:sz w:val="24"/>
          <w:szCs w:val="24"/>
        </w:rPr>
      </w:pPr>
      <w:r w:rsidRPr="003147C6">
        <w:rPr>
          <w:color w:val="000000"/>
          <w:kern w:val="0"/>
          <w:sz w:val="24"/>
          <w:szCs w:val="24"/>
        </w:rPr>
        <w:t>T-</w:t>
      </w:r>
      <w:r w:rsidRPr="003147C6">
        <w:rPr>
          <w:color w:val="000000"/>
          <w:kern w:val="0"/>
          <w:sz w:val="24"/>
          <w:szCs w:val="24"/>
        </w:rPr>
        <w:t>质点运移天数：前进村和开荒户单井分散式饮用水水源，以单井为起点质点迁移</w:t>
      </w:r>
      <w:r w:rsidRPr="003147C6">
        <w:rPr>
          <w:color w:val="000000"/>
          <w:kern w:val="0"/>
          <w:sz w:val="24"/>
          <w:szCs w:val="24"/>
        </w:rPr>
        <w:t>2000d</w:t>
      </w:r>
      <w:r w:rsidRPr="003147C6">
        <w:rPr>
          <w:color w:val="000000"/>
          <w:kern w:val="0"/>
          <w:sz w:val="24"/>
          <w:szCs w:val="24"/>
        </w:rPr>
        <w:t>范围作为较敏感区，不设置敏感区；红旗二村家庭式分散式饮用水水源，以村为起点质点迁移</w:t>
      </w:r>
      <w:r w:rsidRPr="003147C6">
        <w:rPr>
          <w:color w:val="000000"/>
          <w:kern w:val="0"/>
          <w:sz w:val="24"/>
          <w:szCs w:val="24"/>
        </w:rPr>
        <w:t>3000d</w:t>
      </w:r>
      <w:r w:rsidRPr="003147C6">
        <w:rPr>
          <w:color w:val="000000"/>
          <w:kern w:val="0"/>
          <w:sz w:val="24"/>
          <w:szCs w:val="24"/>
        </w:rPr>
        <w:t>范围作为较敏感区，不设置敏感区。</w:t>
      </w:r>
    </w:p>
    <w:p w14:paraId="49D74E8C" w14:textId="77777777" w:rsidR="0087466A" w:rsidRPr="0087466A" w:rsidRDefault="0087466A" w:rsidP="0087466A">
      <w:pPr>
        <w:widowControl/>
        <w:spacing w:line="360" w:lineRule="auto"/>
        <w:ind w:firstLineChars="200" w:firstLine="480"/>
        <w:rPr>
          <w:color w:val="000000"/>
          <w:kern w:val="0"/>
          <w:sz w:val="24"/>
          <w:szCs w:val="24"/>
        </w:rPr>
      </w:pPr>
      <w:r w:rsidRPr="0087466A">
        <w:rPr>
          <w:rFonts w:hint="eastAsia"/>
          <w:color w:val="000000"/>
          <w:kern w:val="0"/>
          <w:sz w:val="24"/>
          <w:szCs w:val="24"/>
        </w:rPr>
        <w:t>ne-</w:t>
      </w:r>
      <w:r w:rsidRPr="0087466A">
        <w:rPr>
          <w:rFonts w:hint="eastAsia"/>
          <w:color w:val="000000"/>
          <w:kern w:val="0"/>
          <w:sz w:val="24"/>
          <w:szCs w:val="24"/>
        </w:rPr>
        <w:t>有效孔隙度，无量纲。</w:t>
      </w:r>
    </w:p>
    <w:p w14:paraId="63ED1CFC" w14:textId="77777777" w:rsidR="0087466A" w:rsidRPr="0087466A" w:rsidRDefault="0087466A" w:rsidP="0087466A">
      <w:pPr>
        <w:widowControl/>
        <w:spacing w:line="360" w:lineRule="auto"/>
        <w:ind w:firstLineChars="200" w:firstLine="480"/>
        <w:rPr>
          <w:color w:val="000000"/>
          <w:kern w:val="0"/>
          <w:sz w:val="24"/>
          <w:szCs w:val="24"/>
        </w:rPr>
      </w:pPr>
      <w:r w:rsidRPr="0087466A">
        <w:rPr>
          <w:rFonts w:hint="eastAsia"/>
          <w:color w:val="000000"/>
          <w:kern w:val="0"/>
          <w:sz w:val="24"/>
          <w:szCs w:val="24"/>
        </w:rPr>
        <w:t>根据本项目实际情况：</w:t>
      </w:r>
    </w:p>
    <w:p w14:paraId="1A7DDE5E" w14:textId="77777777" w:rsidR="0087466A" w:rsidRPr="0087466A" w:rsidRDefault="0087466A" w:rsidP="0087466A">
      <w:pPr>
        <w:widowControl/>
        <w:spacing w:line="360" w:lineRule="auto"/>
        <w:ind w:firstLineChars="200" w:firstLine="480"/>
        <w:rPr>
          <w:color w:val="000000"/>
          <w:kern w:val="0"/>
          <w:sz w:val="24"/>
          <w:szCs w:val="24"/>
        </w:rPr>
      </w:pPr>
      <w:r w:rsidRPr="0087466A">
        <w:rPr>
          <w:rFonts w:hint="eastAsia"/>
          <w:color w:val="000000"/>
          <w:kern w:val="0"/>
          <w:sz w:val="24"/>
          <w:szCs w:val="24"/>
        </w:rPr>
        <w:t>渗透系数</w:t>
      </w:r>
      <w:r w:rsidRPr="0087466A">
        <w:rPr>
          <w:rFonts w:hint="eastAsia"/>
          <w:color w:val="000000"/>
          <w:kern w:val="0"/>
          <w:sz w:val="24"/>
          <w:szCs w:val="24"/>
        </w:rPr>
        <w:t xml:space="preserve"> K </w:t>
      </w:r>
      <w:r w:rsidRPr="0087466A">
        <w:rPr>
          <w:rFonts w:hint="eastAsia"/>
          <w:color w:val="000000"/>
          <w:kern w:val="0"/>
          <w:sz w:val="24"/>
          <w:szCs w:val="24"/>
        </w:rPr>
        <w:t>由《黑龙江省大庆市地下水资源调查评价报告》收集钻孔抽水试</w:t>
      </w:r>
    </w:p>
    <w:p w14:paraId="69C8886C" w14:textId="77777777" w:rsidR="0087466A" w:rsidRPr="0087466A" w:rsidRDefault="0087466A" w:rsidP="0087466A">
      <w:pPr>
        <w:widowControl/>
        <w:spacing w:line="360" w:lineRule="auto"/>
        <w:ind w:firstLineChars="200" w:firstLine="480"/>
        <w:rPr>
          <w:color w:val="000000"/>
          <w:kern w:val="0"/>
          <w:sz w:val="24"/>
          <w:szCs w:val="24"/>
        </w:rPr>
      </w:pPr>
      <w:r w:rsidRPr="0087466A">
        <w:rPr>
          <w:rFonts w:hint="eastAsia"/>
          <w:color w:val="000000"/>
          <w:kern w:val="0"/>
          <w:sz w:val="24"/>
          <w:szCs w:val="24"/>
        </w:rPr>
        <w:t>验资料确定，项目区所在位置第四系孔隙承压水含水层渗透系数为</w:t>
      </w:r>
      <w:r w:rsidRPr="0087466A">
        <w:rPr>
          <w:rFonts w:hint="eastAsia"/>
          <w:color w:val="000000"/>
          <w:kern w:val="0"/>
          <w:sz w:val="24"/>
          <w:szCs w:val="24"/>
        </w:rPr>
        <w:t xml:space="preserve"> 19.46-27.69m/d</w:t>
      </w:r>
      <w:r w:rsidRPr="0087466A">
        <w:rPr>
          <w:rFonts w:hint="eastAsia"/>
          <w:color w:val="000000"/>
          <w:kern w:val="0"/>
          <w:sz w:val="24"/>
          <w:szCs w:val="24"/>
        </w:rPr>
        <w:t>，取最大值为</w:t>
      </w:r>
      <w:r w:rsidRPr="0087466A">
        <w:rPr>
          <w:rFonts w:hint="eastAsia"/>
          <w:color w:val="000000"/>
          <w:kern w:val="0"/>
          <w:sz w:val="24"/>
          <w:szCs w:val="24"/>
        </w:rPr>
        <w:t xml:space="preserve"> 27.69</w:t>
      </w:r>
      <w:r w:rsidRPr="0087466A">
        <w:rPr>
          <w:rFonts w:hint="eastAsia"/>
          <w:color w:val="000000"/>
          <w:kern w:val="0"/>
          <w:sz w:val="24"/>
          <w:szCs w:val="24"/>
        </w:rPr>
        <w:t>，水力梯度</w:t>
      </w:r>
      <w:r w:rsidRPr="0087466A">
        <w:rPr>
          <w:rFonts w:hint="eastAsia"/>
          <w:color w:val="000000"/>
          <w:kern w:val="0"/>
          <w:sz w:val="24"/>
          <w:szCs w:val="24"/>
        </w:rPr>
        <w:t xml:space="preserve"> I </w:t>
      </w:r>
      <w:r w:rsidRPr="0087466A">
        <w:rPr>
          <w:rFonts w:hint="eastAsia"/>
          <w:color w:val="000000"/>
          <w:kern w:val="0"/>
          <w:sz w:val="24"/>
          <w:szCs w:val="24"/>
        </w:rPr>
        <w:t>由</w:t>
      </w:r>
      <w:r w:rsidRPr="0087466A">
        <w:rPr>
          <w:rFonts w:hint="eastAsia"/>
          <w:color w:val="000000"/>
          <w:kern w:val="0"/>
          <w:sz w:val="24"/>
          <w:szCs w:val="24"/>
        </w:rPr>
        <w:t xml:space="preserve"> 1:5 </w:t>
      </w:r>
      <w:r w:rsidRPr="0087466A">
        <w:rPr>
          <w:rFonts w:hint="eastAsia"/>
          <w:color w:val="000000"/>
          <w:kern w:val="0"/>
          <w:sz w:val="24"/>
          <w:szCs w:val="24"/>
        </w:rPr>
        <w:t>万等水位线图上量取，第四系孔隙承压水水</w:t>
      </w:r>
    </w:p>
    <w:p w14:paraId="5C083B4F" w14:textId="5F1B2AF2" w:rsidR="0087466A" w:rsidRPr="0087466A" w:rsidRDefault="0087466A" w:rsidP="0087466A">
      <w:pPr>
        <w:widowControl/>
        <w:spacing w:line="360" w:lineRule="auto"/>
        <w:ind w:firstLineChars="200" w:firstLine="480"/>
        <w:rPr>
          <w:color w:val="000000"/>
          <w:kern w:val="0"/>
          <w:sz w:val="24"/>
          <w:szCs w:val="24"/>
        </w:rPr>
      </w:pPr>
      <w:r w:rsidRPr="0087466A">
        <w:rPr>
          <w:rFonts w:hint="eastAsia"/>
          <w:color w:val="000000"/>
          <w:kern w:val="0"/>
          <w:sz w:val="24"/>
          <w:szCs w:val="24"/>
        </w:rPr>
        <w:lastRenderedPageBreak/>
        <w:t>力梯度为</w:t>
      </w:r>
      <w:r w:rsidRPr="0087466A">
        <w:rPr>
          <w:rFonts w:hint="eastAsia"/>
          <w:color w:val="000000"/>
          <w:kern w:val="0"/>
          <w:sz w:val="24"/>
          <w:szCs w:val="24"/>
        </w:rPr>
        <w:t xml:space="preserve"> 0.00071</w:t>
      </w:r>
      <w:r w:rsidRPr="0087466A">
        <w:rPr>
          <w:rFonts w:hint="eastAsia"/>
          <w:color w:val="000000"/>
          <w:kern w:val="0"/>
          <w:sz w:val="24"/>
          <w:szCs w:val="24"/>
        </w:rPr>
        <w:t>；有效孔隙度</w:t>
      </w:r>
      <w:r w:rsidRPr="0087466A">
        <w:rPr>
          <w:rFonts w:hint="eastAsia"/>
          <w:color w:val="000000"/>
          <w:kern w:val="0"/>
          <w:sz w:val="24"/>
          <w:szCs w:val="24"/>
        </w:rPr>
        <w:t xml:space="preserve"> ne </w:t>
      </w:r>
      <w:r w:rsidRPr="0087466A">
        <w:rPr>
          <w:rFonts w:hint="eastAsia"/>
          <w:color w:val="000000"/>
          <w:kern w:val="0"/>
          <w:sz w:val="24"/>
          <w:szCs w:val="24"/>
        </w:rPr>
        <w:t>取值为</w:t>
      </w:r>
      <w:r w:rsidRPr="0087466A">
        <w:rPr>
          <w:rFonts w:hint="eastAsia"/>
          <w:color w:val="000000"/>
          <w:kern w:val="0"/>
          <w:sz w:val="24"/>
          <w:szCs w:val="24"/>
        </w:rPr>
        <w:t xml:space="preserve"> 0.27</w:t>
      </w:r>
      <w:r w:rsidRPr="0087466A">
        <w:rPr>
          <w:rFonts w:hint="eastAsia"/>
          <w:color w:val="000000"/>
          <w:kern w:val="0"/>
          <w:sz w:val="24"/>
          <w:szCs w:val="24"/>
        </w:rPr>
        <w:t>；</w:t>
      </w:r>
      <w:r w:rsidRPr="0087466A">
        <w:rPr>
          <w:rFonts w:hint="eastAsia"/>
          <w:color w:val="000000"/>
          <w:kern w:val="0"/>
          <w:sz w:val="24"/>
          <w:szCs w:val="24"/>
        </w:rPr>
        <w:t xml:space="preserve">a </w:t>
      </w:r>
      <w:r w:rsidRPr="0087466A">
        <w:rPr>
          <w:rFonts w:hint="eastAsia"/>
          <w:color w:val="000000"/>
          <w:kern w:val="0"/>
          <w:sz w:val="24"/>
          <w:szCs w:val="24"/>
        </w:rPr>
        <w:t>取</w:t>
      </w:r>
      <w:r w:rsidRPr="0087466A">
        <w:rPr>
          <w:rFonts w:hint="eastAsia"/>
          <w:color w:val="000000"/>
          <w:kern w:val="0"/>
          <w:sz w:val="24"/>
          <w:szCs w:val="24"/>
        </w:rPr>
        <w:t xml:space="preserve"> 1.5</w:t>
      </w:r>
      <w:r w:rsidRPr="0087466A">
        <w:rPr>
          <w:rFonts w:hint="eastAsia"/>
          <w:color w:val="000000"/>
          <w:kern w:val="0"/>
          <w:sz w:val="24"/>
          <w:szCs w:val="24"/>
        </w:rPr>
        <w:t>。分散式饮用水水源，不划定敏感区，只划定较敏感区，经计算其较敏感区范围为：</w:t>
      </w:r>
    </w:p>
    <w:p w14:paraId="42D81CD7" w14:textId="77777777" w:rsidR="0087466A" w:rsidRPr="0087466A" w:rsidRDefault="0087466A" w:rsidP="0087466A">
      <w:pPr>
        <w:widowControl/>
        <w:spacing w:line="360" w:lineRule="auto"/>
        <w:ind w:firstLineChars="200" w:firstLine="480"/>
        <w:rPr>
          <w:color w:val="000000"/>
          <w:kern w:val="0"/>
          <w:sz w:val="24"/>
          <w:szCs w:val="24"/>
        </w:rPr>
      </w:pPr>
      <w:r w:rsidRPr="0087466A">
        <w:rPr>
          <w:rFonts w:hint="eastAsia"/>
          <w:color w:val="000000"/>
          <w:kern w:val="0"/>
          <w:sz w:val="24"/>
          <w:szCs w:val="24"/>
        </w:rPr>
        <w:t>单井分散式饮用水水源：</w:t>
      </w:r>
    </w:p>
    <w:p w14:paraId="77D74775" w14:textId="77777777" w:rsidR="0087466A" w:rsidRPr="0087466A" w:rsidRDefault="0087466A" w:rsidP="0087466A">
      <w:pPr>
        <w:widowControl/>
        <w:spacing w:line="360" w:lineRule="auto"/>
        <w:ind w:firstLineChars="200" w:firstLine="480"/>
        <w:rPr>
          <w:color w:val="000000"/>
          <w:kern w:val="0"/>
          <w:sz w:val="24"/>
          <w:szCs w:val="24"/>
        </w:rPr>
      </w:pPr>
      <w:r w:rsidRPr="0087466A">
        <w:rPr>
          <w:rFonts w:hint="eastAsia"/>
          <w:color w:val="000000"/>
          <w:kern w:val="0"/>
          <w:sz w:val="24"/>
          <w:szCs w:val="24"/>
        </w:rPr>
        <w:t>L=a</w:t>
      </w:r>
      <w:r w:rsidRPr="0087466A">
        <w:rPr>
          <w:rFonts w:hint="eastAsia"/>
          <w:color w:val="000000"/>
          <w:kern w:val="0"/>
          <w:sz w:val="24"/>
          <w:szCs w:val="24"/>
        </w:rPr>
        <w:t>×</w:t>
      </w:r>
      <w:r w:rsidRPr="0087466A">
        <w:rPr>
          <w:rFonts w:hint="eastAsia"/>
          <w:color w:val="000000"/>
          <w:kern w:val="0"/>
          <w:sz w:val="24"/>
          <w:szCs w:val="24"/>
        </w:rPr>
        <w:t>K</w:t>
      </w:r>
      <w:r w:rsidRPr="0087466A">
        <w:rPr>
          <w:rFonts w:hint="eastAsia"/>
          <w:color w:val="000000"/>
          <w:kern w:val="0"/>
          <w:sz w:val="24"/>
          <w:szCs w:val="24"/>
        </w:rPr>
        <w:t>×</w:t>
      </w:r>
      <w:r w:rsidRPr="0087466A">
        <w:rPr>
          <w:rFonts w:hint="eastAsia"/>
          <w:color w:val="000000"/>
          <w:kern w:val="0"/>
          <w:sz w:val="24"/>
          <w:szCs w:val="24"/>
        </w:rPr>
        <w:t>I</w:t>
      </w:r>
      <w:r w:rsidRPr="0087466A">
        <w:rPr>
          <w:rFonts w:hint="eastAsia"/>
          <w:color w:val="000000"/>
          <w:kern w:val="0"/>
          <w:sz w:val="24"/>
          <w:szCs w:val="24"/>
        </w:rPr>
        <w:t>×</w:t>
      </w:r>
      <w:r w:rsidRPr="0087466A">
        <w:rPr>
          <w:rFonts w:hint="eastAsia"/>
          <w:color w:val="000000"/>
          <w:kern w:val="0"/>
          <w:sz w:val="24"/>
          <w:szCs w:val="24"/>
        </w:rPr>
        <w:t>T/ne=1.5</w:t>
      </w:r>
      <w:r w:rsidRPr="0087466A">
        <w:rPr>
          <w:rFonts w:hint="eastAsia"/>
          <w:color w:val="000000"/>
          <w:kern w:val="0"/>
          <w:sz w:val="24"/>
          <w:szCs w:val="24"/>
        </w:rPr>
        <w:t>×</w:t>
      </w:r>
      <w:r w:rsidRPr="0087466A">
        <w:rPr>
          <w:rFonts w:hint="eastAsia"/>
          <w:color w:val="000000"/>
          <w:kern w:val="0"/>
          <w:sz w:val="24"/>
          <w:szCs w:val="24"/>
        </w:rPr>
        <w:t>27.69</w:t>
      </w:r>
      <w:r w:rsidRPr="0087466A">
        <w:rPr>
          <w:rFonts w:hint="eastAsia"/>
          <w:color w:val="000000"/>
          <w:kern w:val="0"/>
          <w:sz w:val="24"/>
          <w:szCs w:val="24"/>
        </w:rPr>
        <w:t>×</w:t>
      </w:r>
      <w:r w:rsidRPr="0087466A">
        <w:rPr>
          <w:rFonts w:hint="eastAsia"/>
          <w:color w:val="000000"/>
          <w:kern w:val="0"/>
          <w:sz w:val="24"/>
          <w:szCs w:val="24"/>
        </w:rPr>
        <w:t>0.00071</w:t>
      </w:r>
      <w:r w:rsidRPr="0087466A">
        <w:rPr>
          <w:rFonts w:hint="eastAsia"/>
          <w:color w:val="000000"/>
          <w:kern w:val="0"/>
          <w:sz w:val="24"/>
          <w:szCs w:val="24"/>
        </w:rPr>
        <w:t>×</w:t>
      </w:r>
      <w:r w:rsidRPr="0087466A">
        <w:rPr>
          <w:rFonts w:hint="eastAsia"/>
          <w:color w:val="000000"/>
          <w:kern w:val="0"/>
          <w:sz w:val="24"/>
          <w:szCs w:val="24"/>
        </w:rPr>
        <w:t>2000/0.27=218.44m</w:t>
      </w:r>
      <w:r w:rsidRPr="0087466A">
        <w:rPr>
          <w:rFonts w:hint="eastAsia"/>
          <w:color w:val="000000"/>
          <w:kern w:val="0"/>
          <w:sz w:val="24"/>
          <w:szCs w:val="24"/>
        </w:rPr>
        <w:t>。</w:t>
      </w:r>
    </w:p>
    <w:p w14:paraId="18DD4E2A" w14:textId="77777777" w:rsidR="0087466A" w:rsidRPr="0087466A" w:rsidRDefault="0087466A" w:rsidP="0087466A">
      <w:pPr>
        <w:widowControl/>
        <w:spacing w:line="360" w:lineRule="auto"/>
        <w:ind w:firstLineChars="200" w:firstLine="480"/>
        <w:rPr>
          <w:color w:val="000000"/>
          <w:kern w:val="0"/>
          <w:sz w:val="24"/>
          <w:szCs w:val="24"/>
        </w:rPr>
      </w:pPr>
      <w:r w:rsidRPr="0087466A">
        <w:rPr>
          <w:rFonts w:hint="eastAsia"/>
          <w:color w:val="000000"/>
          <w:kern w:val="0"/>
          <w:sz w:val="24"/>
          <w:szCs w:val="24"/>
        </w:rPr>
        <w:t>单村分散式饮用水水源：</w:t>
      </w:r>
    </w:p>
    <w:p w14:paraId="331F0145" w14:textId="7D0C6211" w:rsidR="0087466A" w:rsidRDefault="0087466A" w:rsidP="0087466A">
      <w:pPr>
        <w:widowControl/>
        <w:spacing w:line="360" w:lineRule="auto"/>
        <w:ind w:firstLineChars="200" w:firstLine="480"/>
        <w:rPr>
          <w:color w:val="000000"/>
          <w:kern w:val="0"/>
          <w:sz w:val="24"/>
          <w:szCs w:val="24"/>
        </w:rPr>
      </w:pPr>
      <w:r w:rsidRPr="0087466A">
        <w:rPr>
          <w:rFonts w:hint="eastAsia"/>
          <w:color w:val="000000"/>
          <w:kern w:val="0"/>
          <w:sz w:val="24"/>
          <w:szCs w:val="24"/>
        </w:rPr>
        <w:t>L=a</w:t>
      </w:r>
      <w:r w:rsidRPr="0087466A">
        <w:rPr>
          <w:rFonts w:hint="eastAsia"/>
          <w:color w:val="000000"/>
          <w:kern w:val="0"/>
          <w:sz w:val="24"/>
          <w:szCs w:val="24"/>
        </w:rPr>
        <w:t>×</w:t>
      </w:r>
      <w:r w:rsidRPr="0087466A">
        <w:rPr>
          <w:rFonts w:hint="eastAsia"/>
          <w:color w:val="000000"/>
          <w:kern w:val="0"/>
          <w:sz w:val="24"/>
          <w:szCs w:val="24"/>
        </w:rPr>
        <w:t>K</w:t>
      </w:r>
      <w:r w:rsidRPr="0087466A">
        <w:rPr>
          <w:rFonts w:hint="eastAsia"/>
          <w:color w:val="000000"/>
          <w:kern w:val="0"/>
          <w:sz w:val="24"/>
          <w:szCs w:val="24"/>
        </w:rPr>
        <w:t>×</w:t>
      </w:r>
      <w:r w:rsidRPr="0087466A">
        <w:rPr>
          <w:rFonts w:hint="eastAsia"/>
          <w:color w:val="000000"/>
          <w:kern w:val="0"/>
          <w:sz w:val="24"/>
          <w:szCs w:val="24"/>
        </w:rPr>
        <w:t>I</w:t>
      </w:r>
      <w:r w:rsidRPr="0087466A">
        <w:rPr>
          <w:rFonts w:hint="eastAsia"/>
          <w:color w:val="000000"/>
          <w:kern w:val="0"/>
          <w:sz w:val="24"/>
          <w:szCs w:val="24"/>
        </w:rPr>
        <w:t>×</w:t>
      </w:r>
      <w:r w:rsidRPr="0087466A">
        <w:rPr>
          <w:rFonts w:hint="eastAsia"/>
          <w:color w:val="000000"/>
          <w:kern w:val="0"/>
          <w:sz w:val="24"/>
          <w:szCs w:val="24"/>
        </w:rPr>
        <w:t>T/ne=1.5</w:t>
      </w:r>
      <w:r w:rsidRPr="0087466A">
        <w:rPr>
          <w:rFonts w:hint="eastAsia"/>
          <w:color w:val="000000"/>
          <w:kern w:val="0"/>
          <w:sz w:val="24"/>
          <w:szCs w:val="24"/>
        </w:rPr>
        <w:t>×</w:t>
      </w:r>
      <w:r w:rsidRPr="0087466A">
        <w:rPr>
          <w:rFonts w:hint="eastAsia"/>
          <w:color w:val="000000"/>
          <w:kern w:val="0"/>
          <w:sz w:val="24"/>
          <w:szCs w:val="24"/>
        </w:rPr>
        <w:t>27.69</w:t>
      </w:r>
      <w:r w:rsidRPr="0087466A">
        <w:rPr>
          <w:rFonts w:hint="eastAsia"/>
          <w:color w:val="000000"/>
          <w:kern w:val="0"/>
          <w:sz w:val="24"/>
          <w:szCs w:val="24"/>
        </w:rPr>
        <w:t>×</w:t>
      </w:r>
      <w:r w:rsidRPr="0087466A">
        <w:rPr>
          <w:rFonts w:hint="eastAsia"/>
          <w:color w:val="000000"/>
          <w:kern w:val="0"/>
          <w:sz w:val="24"/>
          <w:szCs w:val="24"/>
        </w:rPr>
        <w:t>0.00071</w:t>
      </w:r>
      <w:r w:rsidRPr="0087466A">
        <w:rPr>
          <w:rFonts w:hint="eastAsia"/>
          <w:color w:val="000000"/>
          <w:kern w:val="0"/>
          <w:sz w:val="24"/>
          <w:szCs w:val="24"/>
        </w:rPr>
        <w:t>×</w:t>
      </w:r>
      <w:r w:rsidRPr="0087466A">
        <w:rPr>
          <w:rFonts w:hint="eastAsia"/>
          <w:color w:val="000000"/>
          <w:kern w:val="0"/>
          <w:sz w:val="24"/>
          <w:szCs w:val="24"/>
        </w:rPr>
        <w:t>3000/0.27=327.67m</w:t>
      </w:r>
      <w:r w:rsidRPr="0087466A">
        <w:rPr>
          <w:rFonts w:hint="eastAsia"/>
          <w:color w:val="000000"/>
          <w:kern w:val="0"/>
          <w:sz w:val="24"/>
          <w:szCs w:val="24"/>
        </w:rPr>
        <w:t>。</w:t>
      </w:r>
    </w:p>
    <w:p w14:paraId="72A9E835" w14:textId="7D307DE1" w:rsidR="00064EB9" w:rsidRPr="00064EB9" w:rsidRDefault="00064EB9" w:rsidP="00064EB9">
      <w:pPr>
        <w:pStyle w:val="affffff5"/>
      </w:pPr>
      <w:r w:rsidRPr="007A6B7F">
        <w:t>表</w:t>
      </w:r>
      <w:r w:rsidR="007A6B7F" w:rsidRPr="007A6B7F">
        <w:rPr>
          <w:rFonts w:hint="eastAsia"/>
        </w:rPr>
        <w:t>1.6</w:t>
      </w:r>
      <w:r w:rsidRPr="007A6B7F">
        <w:t>-</w:t>
      </w:r>
      <w:r w:rsidR="007A6B7F" w:rsidRPr="007A6B7F">
        <w:rPr>
          <w:rFonts w:hint="eastAsia"/>
        </w:rPr>
        <w:t>6</w:t>
      </w:r>
      <w:r w:rsidRPr="00064EB9">
        <w:t xml:space="preserve">  </w:t>
      </w:r>
      <w:r w:rsidRPr="00064EB9">
        <w:t>厂区周边饮用水水源敏感程度分级表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5"/>
        <w:gridCol w:w="1569"/>
        <w:gridCol w:w="1134"/>
        <w:gridCol w:w="966"/>
        <w:gridCol w:w="1106"/>
        <w:gridCol w:w="1244"/>
        <w:gridCol w:w="1405"/>
        <w:gridCol w:w="965"/>
      </w:tblGrid>
      <w:tr w:rsidR="00064EB9" w:rsidRPr="00064EB9" w14:paraId="5E991EF5" w14:textId="77777777" w:rsidTr="00064EB9">
        <w:trPr>
          <w:trHeight w:val="893"/>
          <w:jc w:val="center"/>
        </w:trPr>
        <w:tc>
          <w:tcPr>
            <w:tcW w:w="252" w:type="pct"/>
            <w:vAlign w:val="center"/>
          </w:tcPr>
          <w:p w14:paraId="7B3E3316" w14:textId="77777777" w:rsidR="00064EB9" w:rsidRPr="00064EB9" w:rsidRDefault="00064EB9" w:rsidP="00064EB9">
            <w:pPr>
              <w:widowControl/>
              <w:jc w:val="center"/>
              <w:rPr>
                <w:b/>
                <w:kern w:val="0"/>
              </w:rPr>
            </w:pPr>
            <w:r w:rsidRPr="00064EB9">
              <w:rPr>
                <w:b/>
                <w:kern w:val="0"/>
              </w:rPr>
              <w:t>序号</w:t>
            </w:r>
          </w:p>
        </w:tc>
        <w:tc>
          <w:tcPr>
            <w:tcW w:w="888" w:type="pct"/>
            <w:vAlign w:val="center"/>
          </w:tcPr>
          <w:p w14:paraId="1C3ABA52" w14:textId="77777777" w:rsidR="00064EB9" w:rsidRPr="00064EB9" w:rsidRDefault="00064EB9" w:rsidP="00064EB9">
            <w:pPr>
              <w:widowControl/>
              <w:jc w:val="center"/>
              <w:rPr>
                <w:b/>
                <w:kern w:val="0"/>
              </w:rPr>
            </w:pPr>
            <w:r w:rsidRPr="00064EB9">
              <w:rPr>
                <w:b/>
                <w:kern w:val="0"/>
              </w:rPr>
              <w:t>位置</w:t>
            </w:r>
          </w:p>
        </w:tc>
        <w:tc>
          <w:tcPr>
            <w:tcW w:w="642" w:type="pct"/>
            <w:vAlign w:val="center"/>
          </w:tcPr>
          <w:p w14:paraId="140AA1DA" w14:textId="77777777" w:rsidR="00064EB9" w:rsidRPr="00064EB9" w:rsidRDefault="00064EB9" w:rsidP="00064EB9">
            <w:pPr>
              <w:widowControl/>
              <w:jc w:val="center"/>
              <w:rPr>
                <w:b/>
                <w:kern w:val="0"/>
              </w:rPr>
            </w:pPr>
            <w:r w:rsidRPr="00064EB9">
              <w:rPr>
                <w:b/>
                <w:kern w:val="0"/>
              </w:rPr>
              <w:t>主要取水层位</w:t>
            </w:r>
          </w:p>
        </w:tc>
        <w:tc>
          <w:tcPr>
            <w:tcW w:w="547" w:type="pct"/>
            <w:vAlign w:val="center"/>
          </w:tcPr>
          <w:p w14:paraId="76EFD54D" w14:textId="77777777" w:rsidR="00064EB9" w:rsidRPr="00064EB9" w:rsidRDefault="00064EB9" w:rsidP="00064EB9">
            <w:pPr>
              <w:widowControl/>
              <w:jc w:val="center"/>
              <w:rPr>
                <w:b/>
                <w:kern w:val="0"/>
              </w:rPr>
            </w:pPr>
            <w:r w:rsidRPr="00064EB9">
              <w:rPr>
                <w:b/>
                <w:kern w:val="0"/>
              </w:rPr>
              <w:t>敏感区</w:t>
            </w:r>
          </w:p>
          <w:p w14:paraId="69D6D226" w14:textId="77777777" w:rsidR="00064EB9" w:rsidRPr="00064EB9" w:rsidRDefault="00064EB9" w:rsidP="00064EB9">
            <w:pPr>
              <w:widowControl/>
              <w:jc w:val="center"/>
              <w:rPr>
                <w:b/>
                <w:kern w:val="0"/>
              </w:rPr>
            </w:pPr>
            <w:r w:rsidRPr="00064EB9">
              <w:rPr>
                <w:b/>
                <w:kern w:val="0"/>
              </w:rPr>
              <w:t>范围（</w:t>
            </w:r>
            <w:r w:rsidRPr="00064EB9">
              <w:rPr>
                <w:b/>
                <w:kern w:val="0"/>
              </w:rPr>
              <w:t>m</w:t>
            </w:r>
            <w:r w:rsidRPr="00064EB9">
              <w:rPr>
                <w:b/>
                <w:kern w:val="0"/>
              </w:rPr>
              <w:t>）</w:t>
            </w:r>
          </w:p>
        </w:tc>
        <w:tc>
          <w:tcPr>
            <w:tcW w:w="626" w:type="pct"/>
            <w:vAlign w:val="center"/>
          </w:tcPr>
          <w:p w14:paraId="7148DA49" w14:textId="77777777" w:rsidR="00064EB9" w:rsidRPr="00064EB9" w:rsidRDefault="00064EB9" w:rsidP="00064EB9">
            <w:pPr>
              <w:widowControl/>
              <w:jc w:val="center"/>
              <w:rPr>
                <w:b/>
                <w:kern w:val="0"/>
              </w:rPr>
            </w:pPr>
            <w:r w:rsidRPr="00064EB9">
              <w:rPr>
                <w:b/>
                <w:kern w:val="0"/>
              </w:rPr>
              <w:t>较敏感区</w:t>
            </w:r>
          </w:p>
          <w:p w14:paraId="12EB2499" w14:textId="77777777" w:rsidR="00064EB9" w:rsidRPr="00064EB9" w:rsidRDefault="00064EB9" w:rsidP="00064EB9">
            <w:pPr>
              <w:widowControl/>
              <w:jc w:val="center"/>
              <w:rPr>
                <w:b/>
                <w:kern w:val="0"/>
              </w:rPr>
            </w:pPr>
            <w:r w:rsidRPr="00064EB9">
              <w:rPr>
                <w:b/>
                <w:kern w:val="0"/>
              </w:rPr>
              <w:t>范围（</w:t>
            </w:r>
            <w:r w:rsidRPr="00064EB9">
              <w:rPr>
                <w:b/>
                <w:kern w:val="0"/>
              </w:rPr>
              <w:t>m</w:t>
            </w:r>
            <w:r w:rsidRPr="00064EB9">
              <w:rPr>
                <w:b/>
                <w:kern w:val="0"/>
              </w:rPr>
              <w:t>）</w:t>
            </w:r>
          </w:p>
        </w:tc>
        <w:tc>
          <w:tcPr>
            <w:tcW w:w="704" w:type="pct"/>
            <w:vAlign w:val="center"/>
          </w:tcPr>
          <w:p w14:paraId="61E7C1A5" w14:textId="77777777" w:rsidR="00064EB9" w:rsidRPr="00064EB9" w:rsidRDefault="00064EB9" w:rsidP="00064EB9">
            <w:pPr>
              <w:widowControl/>
              <w:jc w:val="center"/>
              <w:rPr>
                <w:b/>
                <w:kern w:val="0"/>
              </w:rPr>
            </w:pPr>
            <w:r w:rsidRPr="00064EB9">
              <w:rPr>
                <w:b/>
                <w:kern w:val="0"/>
              </w:rPr>
              <w:t>取水井（村边界）距厂区距离（</w:t>
            </w:r>
            <w:r w:rsidRPr="00064EB9">
              <w:rPr>
                <w:b/>
                <w:kern w:val="0"/>
              </w:rPr>
              <w:t>m</w:t>
            </w:r>
            <w:r w:rsidRPr="00064EB9">
              <w:rPr>
                <w:b/>
                <w:kern w:val="0"/>
              </w:rPr>
              <w:t>）</w:t>
            </w:r>
          </w:p>
        </w:tc>
        <w:tc>
          <w:tcPr>
            <w:tcW w:w="795" w:type="pct"/>
            <w:vAlign w:val="center"/>
          </w:tcPr>
          <w:p w14:paraId="12FCBC66" w14:textId="77777777" w:rsidR="00064EB9" w:rsidRPr="00064EB9" w:rsidRDefault="00064EB9" w:rsidP="00064EB9">
            <w:pPr>
              <w:widowControl/>
              <w:jc w:val="center"/>
              <w:rPr>
                <w:b/>
                <w:kern w:val="0"/>
              </w:rPr>
            </w:pPr>
            <w:r w:rsidRPr="00064EB9">
              <w:rPr>
                <w:b/>
                <w:kern w:val="0"/>
              </w:rPr>
              <w:t>较敏感区边界距厂区距离（</w:t>
            </w:r>
            <w:r w:rsidRPr="00064EB9">
              <w:rPr>
                <w:b/>
                <w:kern w:val="0"/>
              </w:rPr>
              <w:t>m</w:t>
            </w:r>
            <w:r w:rsidRPr="00064EB9">
              <w:rPr>
                <w:b/>
                <w:kern w:val="0"/>
              </w:rPr>
              <w:t>）</w:t>
            </w:r>
          </w:p>
        </w:tc>
        <w:tc>
          <w:tcPr>
            <w:tcW w:w="546" w:type="pct"/>
            <w:vAlign w:val="center"/>
          </w:tcPr>
          <w:p w14:paraId="04D44649" w14:textId="77777777" w:rsidR="00064EB9" w:rsidRPr="00064EB9" w:rsidRDefault="00064EB9" w:rsidP="00064EB9">
            <w:pPr>
              <w:widowControl/>
              <w:jc w:val="center"/>
              <w:rPr>
                <w:b/>
                <w:kern w:val="0"/>
              </w:rPr>
            </w:pPr>
            <w:r w:rsidRPr="00064EB9">
              <w:rPr>
                <w:b/>
                <w:kern w:val="0"/>
              </w:rPr>
              <w:t>敏感程度分级</w:t>
            </w:r>
          </w:p>
        </w:tc>
      </w:tr>
      <w:tr w:rsidR="00064EB9" w:rsidRPr="00064EB9" w14:paraId="0949CB71" w14:textId="77777777" w:rsidTr="00064EB9">
        <w:trPr>
          <w:jc w:val="center"/>
        </w:trPr>
        <w:tc>
          <w:tcPr>
            <w:tcW w:w="252" w:type="pct"/>
            <w:vAlign w:val="center"/>
          </w:tcPr>
          <w:p w14:paraId="33457EF0" w14:textId="77777777" w:rsidR="00064EB9" w:rsidRPr="00064EB9" w:rsidRDefault="00064EB9" w:rsidP="00064EB9">
            <w:pPr>
              <w:widowControl/>
              <w:jc w:val="center"/>
              <w:rPr>
                <w:bCs/>
                <w:kern w:val="0"/>
              </w:rPr>
            </w:pPr>
            <w:r w:rsidRPr="00064EB9">
              <w:rPr>
                <w:bCs/>
                <w:kern w:val="0"/>
              </w:rPr>
              <w:t>1</w:t>
            </w:r>
          </w:p>
        </w:tc>
        <w:tc>
          <w:tcPr>
            <w:tcW w:w="888" w:type="pct"/>
            <w:vAlign w:val="center"/>
          </w:tcPr>
          <w:p w14:paraId="0C23802D" w14:textId="77777777" w:rsidR="00064EB9" w:rsidRPr="00064EB9" w:rsidRDefault="00064EB9" w:rsidP="00064EB9">
            <w:pPr>
              <w:widowControl/>
              <w:jc w:val="center"/>
              <w:rPr>
                <w:bCs/>
                <w:kern w:val="0"/>
              </w:rPr>
            </w:pPr>
            <w:r w:rsidRPr="00064EB9">
              <w:rPr>
                <w:bCs/>
                <w:kern w:val="0"/>
              </w:rPr>
              <w:t>前进村分散式饮用水水源</w:t>
            </w:r>
          </w:p>
        </w:tc>
        <w:tc>
          <w:tcPr>
            <w:tcW w:w="642" w:type="pct"/>
            <w:vAlign w:val="center"/>
          </w:tcPr>
          <w:p w14:paraId="48F900A9" w14:textId="77777777" w:rsidR="00064EB9" w:rsidRPr="00064EB9" w:rsidRDefault="00064EB9" w:rsidP="00064EB9">
            <w:pPr>
              <w:widowControl/>
              <w:jc w:val="center"/>
              <w:rPr>
                <w:bCs/>
                <w:kern w:val="0"/>
              </w:rPr>
            </w:pPr>
            <w:r w:rsidRPr="00064EB9">
              <w:rPr>
                <w:bCs/>
                <w:kern w:val="0"/>
              </w:rPr>
              <w:t>第四系</w:t>
            </w:r>
            <w:r w:rsidRPr="00064EB9">
              <w:rPr>
                <w:rFonts w:hint="eastAsia"/>
                <w:bCs/>
                <w:kern w:val="0"/>
              </w:rPr>
              <w:t>承压水</w:t>
            </w:r>
          </w:p>
        </w:tc>
        <w:tc>
          <w:tcPr>
            <w:tcW w:w="547" w:type="pct"/>
            <w:vAlign w:val="center"/>
          </w:tcPr>
          <w:p w14:paraId="139B23B8" w14:textId="0B8F4709" w:rsidR="00064EB9" w:rsidRPr="00064EB9" w:rsidRDefault="00064EB9" w:rsidP="00064EB9">
            <w:pPr>
              <w:widowControl/>
              <w:jc w:val="center"/>
              <w:rPr>
                <w:bCs/>
                <w:kern w:val="0"/>
              </w:rPr>
            </w:pPr>
            <w:r>
              <w:rPr>
                <w:rFonts w:hint="eastAsia"/>
                <w:bCs/>
                <w:kern w:val="0"/>
              </w:rPr>
              <w:t>/</w:t>
            </w:r>
          </w:p>
        </w:tc>
        <w:tc>
          <w:tcPr>
            <w:tcW w:w="626" w:type="pct"/>
            <w:vAlign w:val="center"/>
          </w:tcPr>
          <w:p w14:paraId="41B618E5" w14:textId="77777777" w:rsidR="00064EB9" w:rsidRPr="00064EB9" w:rsidRDefault="00064EB9" w:rsidP="00064EB9">
            <w:pPr>
              <w:widowControl/>
              <w:jc w:val="center"/>
              <w:rPr>
                <w:bCs/>
                <w:kern w:val="0"/>
              </w:rPr>
            </w:pPr>
            <w:r w:rsidRPr="00064EB9">
              <w:rPr>
                <w:bCs/>
                <w:kern w:val="0"/>
              </w:rPr>
              <w:t>218.44</w:t>
            </w:r>
          </w:p>
        </w:tc>
        <w:tc>
          <w:tcPr>
            <w:tcW w:w="704" w:type="pct"/>
            <w:vAlign w:val="center"/>
          </w:tcPr>
          <w:p w14:paraId="01E5D4E0" w14:textId="77777777" w:rsidR="00064EB9" w:rsidRPr="00064EB9" w:rsidRDefault="00064EB9" w:rsidP="00064EB9">
            <w:pPr>
              <w:widowControl/>
              <w:jc w:val="center"/>
              <w:rPr>
                <w:bCs/>
                <w:kern w:val="0"/>
              </w:rPr>
            </w:pPr>
            <w:r w:rsidRPr="00064EB9">
              <w:rPr>
                <w:bCs/>
                <w:kern w:val="0"/>
              </w:rPr>
              <w:t>2745</w:t>
            </w:r>
          </w:p>
        </w:tc>
        <w:tc>
          <w:tcPr>
            <w:tcW w:w="795" w:type="pct"/>
            <w:vAlign w:val="center"/>
          </w:tcPr>
          <w:p w14:paraId="69243405" w14:textId="77777777" w:rsidR="00064EB9" w:rsidRPr="00064EB9" w:rsidRDefault="00064EB9" w:rsidP="00064EB9">
            <w:pPr>
              <w:widowControl/>
              <w:jc w:val="center"/>
              <w:textAlignment w:val="center"/>
              <w:rPr>
                <w:bCs/>
                <w:kern w:val="0"/>
              </w:rPr>
            </w:pPr>
            <w:r w:rsidRPr="00064EB9">
              <w:rPr>
                <w:bCs/>
                <w:kern w:val="0"/>
              </w:rPr>
              <w:t>2526.56</w:t>
            </w:r>
          </w:p>
        </w:tc>
        <w:tc>
          <w:tcPr>
            <w:tcW w:w="546" w:type="pct"/>
            <w:vAlign w:val="center"/>
          </w:tcPr>
          <w:p w14:paraId="2CEC88D3" w14:textId="77777777" w:rsidR="00064EB9" w:rsidRPr="00064EB9" w:rsidRDefault="00064EB9" w:rsidP="00064EB9">
            <w:pPr>
              <w:widowControl/>
              <w:jc w:val="center"/>
              <w:rPr>
                <w:bCs/>
                <w:kern w:val="0"/>
              </w:rPr>
            </w:pPr>
            <w:r w:rsidRPr="00064EB9">
              <w:rPr>
                <w:bCs/>
                <w:kern w:val="0"/>
              </w:rPr>
              <w:t>不敏感</w:t>
            </w:r>
          </w:p>
        </w:tc>
      </w:tr>
      <w:tr w:rsidR="00064EB9" w:rsidRPr="00064EB9" w14:paraId="4A2250C2" w14:textId="77777777" w:rsidTr="00064EB9">
        <w:trPr>
          <w:jc w:val="center"/>
        </w:trPr>
        <w:tc>
          <w:tcPr>
            <w:tcW w:w="252" w:type="pct"/>
            <w:vAlign w:val="center"/>
          </w:tcPr>
          <w:p w14:paraId="6F0E57C9" w14:textId="77777777" w:rsidR="00064EB9" w:rsidRPr="00064EB9" w:rsidRDefault="00064EB9" w:rsidP="00064EB9">
            <w:pPr>
              <w:widowControl/>
              <w:jc w:val="center"/>
              <w:rPr>
                <w:bCs/>
                <w:kern w:val="0"/>
              </w:rPr>
            </w:pPr>
            <w:r w:rsidRPr="00064EB9">
              <w:rPr>
                <w:bCs/>
                <w:kern w:val="0"/>
              </w:rPr>
              <w:t>2</w:t>
            </w:r>
          </w:p>
        </w:tc>
        <w:tc>
          <w:tcPr>
            <w:tcW w:w="888" w:type="pct"/>
            <w:vAlign w:val="center"/>
          </w:tcPr>
          <w:p w14:paraId="144A9A88" w14:textId="77777777" w:rsidR="00064EB9" w:rsidRPr="00064EB9" w:rsidRDefault="00064EB9" w:rsidP="00064EB9">
            <w:pPr>
              <w:widowControl/>
              <w:jc w:val="center"/>
              <w:rPr>
                <w:bCs/>
                <w:kern w:val="0"/>
              </w:rPr>
            </w:pPr>
            <w:r w:rsidRPr="00064EB9">
              <w:rPr>
                <w:bCs/>
                <w:kern w:val="0"/>
              </w:rPr>
              <w:t>开荒村分散式饮用水水源</w:t>
            </w:r>
          </w:p>
        </w:tc>
        <w:tc>
          <w:tcPr>
            <w:tcW w:w="642" w:type="pct"/>
            <w:vAlign w:val="center"/>
          </w:tcPr>
          <w:p w14:paraId="0D170516" w14:textId="77777777" w:rsidR="00064EB9" w:rsidRPr="00064EB9" w:rsidRDefault="00064EB9" w:rsidP="00064EB9">
            <w:pPr>
              <w:widowControl/>
              <w:jc w:val="center"/>
              <w:rPr>
                <w:bCs/>
                <w:kern w:val="0"/>
              </w:rPr>
            </w:pPr>
            <w:r w:rsidRPr="00064EB9">
              <w:rPr>
                <w:bCs/>
                <w:kern w:val="0"/>
              </w:rPr>
              <w:t>第四系孔隙</w:t>
            </w:r>
            <w:r w:rsidRPr="00064EB9">
              <w:rPr>
                <w:rFonts w:hint="eastAsia"/>
                <w:bCs/>
                <w:kern w:val="0"/>
              </w:rPr>
              <w:t>承压水</w:t>
            </w:r>
          </w:p>
        </w:tc>
        <w:tc>
          <w:tcPr>
            <w:tcW w:w="547" w:type="pct"/>
            <w:vAlign w:val="center"/>
          </w:tcPr>
          <w:p w14:paraId="472AE0E1" w14:textId="005FDD81" w:rsidR="00064EB9" w:rsidRPr="00064EB9" w:rsidRDefault="00064EB9" w:rsidP="00064EB9">
            <w:pPr>
              <w:widowControl/>
              <w:jc w:val="center"/>
              <w:rPr>
                <w:bCs/>
                <w:kern w:val="0"/>
              </w:rPr>
            </w:pPr>
            <w:r w:rsidRPr="00092394">
              <w:rPr>
                <w:rFonts w:hint="eastAsia"/>
                <w:bCs/>
                <w:kern w:val="0"/>
              </w:rPr>
              <w:t>/</w:t>
            </w:r>
          </w:p>
        </w:tc>
        <w:tc>
          <w:tcPr>
            <w:tcW w:w="626" w:type="pct"/>
            <w:vAlign w:val="center"/>
          </w:tcPr>
          <w:p w14:paraId="5301E0F1" w14:textId="77777777" w:rsidR="00064EB9" w:rsidRPr="00064EB9" w:rsidRDefault="00064EB9" w:rsidP="00064EB9">
            <w:pPr>
              <w:widowControl/>
              <w:jc w:val="center"/>
              <w:rPr>
                <w:bCs/>
                <w:kern w:val="0"/>
              </w:rPr>
            </w:pPr>
            <w:r w:rsidRPr="00064EB9">
              <w:rPr>
                <w:bCs/>
                <w:kern w:val="0"/>
              </w:rPr>
              <w:t>218.44</w:t>
            </w:r>
          </w:p>
        </w:tc>
        <w:tc>
          <w:tcPr>
            <w:tcW w:w="704" w:type="pct"/>
            <w:vAlign w:val="center"/>
          </w:tcPr>
          <w:p w14:paraId="0A1F6927" w14:textId="77777777" w:rsidR="00064EB9" w:rsidRPr="00064EB9" w:rsidRDefault="00064EB9" w:rsidP="00064EB9">
            <w:pPr>
              <w:widowControl/>
              <w:jc w:val="center"/>
              <w:rPr>
                <w:bCs/>
                <w:kern w:val="0"/>
              </w:rPr>
            </w:pPr>
            <w:r w:rsidRPr="00064EB9">
              <w:rPr>
                <w:bCs/>
                <w:kern w:val="0"/>
              </w:rPr>
              <w:t>3570</w:t>
            </w:r>
          </w:p>
        </w:tc>
        <w:tc>
          <w:tcPr>
            <w:tcW w:w="795" w:type="pct"/>
            <w:vAlign w:val="center"/>
          </w:tcPr>
          <w:p w14:paraId="7211AA59" w14:textId="77777777" w:rsidR="00064EB9" w:rsidRPr="00064EB9" w:rsidRDefault="00064EB9" w:rsidP="00064EB9">
            <w:pPr>
              <w:widowControl/>
              <w:jc w:val="center"/>
              <w:textAlignment w:val="center"/>
              <w:rPr>
                <w:bCs/>
                <w:kern w:val="0"/>
              </w:rPr>
            </w:pPr>
            <w:r w:rsidRPr="00064EB9">
              <w:rPr>
                <w:bCs/>
                <w:kern w:val="0"/>
              </w:rPr>
              <w:t>3351.56</w:t>
            </w:r>
          </w:p>
        </w:tc>
        <w:tc>
          <w:tcPr>
            <w:tcW w:w="546" w:type="pct"/>
            <w:vAlign w:val="center"/>
          </w:tcPr>
          <w:p w14:paraId="2AC1067A" w14:textId="77777777" w:rsidR="00064EB9" w:rsidRPr="00064EB9" w:rsidRDefault="00064EB9" w:rsidP="00064EB9">
            <w:pPr>
              <w:widowControl/>
              <w:jc w:val="center"/>
              <w:rPr>
                <w:bCs/>
                <w:kern w:val="0"/>
              </w:rPr>
            </w:pPr>
            <w:r w:rsidRPr="00064EB9">
              <w:rPr>
                <w:bCs/>
                <w:kern w:val="0"/>
              </w:rPr>
              <w:t>不敏感</w:t>
            </w:r>
          </w:p>
        </w:tc>
      </w:tr>
      <w:tr w:rsidR="00064EB9" w:rsidRPr="00064EB9" w14:paraId="10D93480" w14:textId="77777777" w:rsidTr="00064EB9">
        <w:trPr>
          <w:jc w:val="center"/>
        </w:trPr>
        <w:tc>
          <w:tcPr>
            <w:tcW w:w="252" w:type="pct"/>
            <w:vAlign w:val="center"/>
          </w:tcPr>
          <w:p w14:paraId="21810589" w14:textId="77777777" w:rsidR="00064EB9" w:rsidRPr="00064EB9" w:rsidRDefault="00064EB9" w:rsidP="00064EB9">
            <w:pPr>
              <w:widowControl/>
              <w:jc w:val="center"/>
              <w:rPr>
                <w:bCs/>
                <w:kern w:val="0"/>
              </w:rPr>
            </w:pPr>
            <w:r w:rsidRPr="00064EB9">
              <w:rPr>
                <w:bCs/>
                <w:kern w:val="0"/>
              </w:rPr>
              <w:t>3</w:t>
            </w:r>
          </w:p>
        </w:tc>
        <w:tc>
          <w:tcPr>
            <w:tcW w:w="888" w:type="pct"/>
            <w:vAlign w:val="center"/>
          </w:tcPr>
          <w:p w14:paraId="6DBE1130" w14:textId="77777777" w:rsidR="00064EB9" w:rsidRPr="00064EB9" w:rsidRDefault="00064EB9" w:rsidP="00064EB9">
            <w:pPr>
              <w:widowControl/>
              <w:jc w:val="center"/>
              <w:rPr>
                <w:bCs/>
                <w:kern w:val="0"/>
              </w:rPr>
            </w:pPr>
            <w:r w:rsidRPr="00064EB9">
              <w:rPr>
                <w:bCs/>
                <w:kern w:val="0"/>
              </w:rPr>
              <w:t>红旗二村分散式饮用水水源</w:t>
            </w:r>
          </w:p>
        </w:tc>
        <w:tc>
          <w:tcPr>
            <w:tcW w:w="642" w:type="pct"/>
            <w:vAlign w:val="center"/>
          </w:tcPr>
          <w:p w14:paraId="2FA65606" w14:textId="77777777" w:rsidR="00064EB9" w:rsidRPr="00064EB9" w:rsidRDefault="00064EB9" w:rsidP="00064EB9">
            <w:pPr>
              <w:widowControl/>
              <w:jc w:val="center"/>
              <w:rPr>
                <w:bCs/>
                <w:kern w:val="0"/>
              </w:rPr>
            </w:pPr>
            <w:r w:rsidRPr="00064EB9">
              <w:rPr>
                <w:bCs/>
                <w:kern w:val="0"/>
              </w:rPr>
              <w:t>第四系孔隙</w:t>
            </w:r>
            <w:r w:rsidRPr="00064EB9">
              <w:rPr>
                <w:rFonts w:hint="eastAsia"/>
                <w:bCs/>
                <w:kern w:val="0"/>
              </w:rPr>
              <w:t>承压水</w:t>
            </w:r>
          </w:p>
        </w:tc>
        <w:tc>
          <w:tcPr>
            <w:tcW w:w="547" w:type="pct"/>
            <w:vAlign w:val="center"/>
          </w:tcPr>
          <w:p w14:paraId="1B3EFA20" w14:textId="2BF5814C" w:rsidR="00064EB9" w:rsidRPr="00064EB9" w:rsidRDefault="00064EB9" w:rsidP="00064EB9">
            <w:pPr>
              <w:widowControl/>
              <w:jc w:val="center"/>
              <w:rPr>
                <w:bCs/>
                <w:kern w:val="0"/>
              </w:rPr>
            </w:pPr>
            <w:r w:rsidRPr="00092394">
              <w:rPr>
                <w:rFonts w:hint="eastAsia"/>
                <w:bCs/>
                <w:kern w:val="0"/>
              </w:rPr>
              <w:t>/</w:t>
            </w:r>
          </w:p>
        </w:tc>
        <w:tc>
          <w:tcPr>
            <w:tcW w:w="626" w:type="pct"/>
            <w:vAlign w:val="center"/>
          </w:tcPr>
          <w:p w14:paraId="5A0E5E36" w14:textId="77777777" w:rsidR="00064EB9" w:rsidRPr="00064EB9" w:rsidRDefault="00064EB9" w:rsidP="00064EB9">
            <w:pPr>
              <w:widowControl/>
              <w:jc w:val="center"/>
              <w:rPr>
                <w:bCs/>
                <w:kern w:val="0"/>
              </w:rPr>
            </w:pPr>
            <w:r w:rsidRPr="00064EB9">
              <w:rPr>
                <w:bCs/>
                <w:kern w:val="0"/>
              </w:rPr>
              <w:t>327.67</w:t>
            </w:r>
          </w:p>
        </w:tc>
        <w:tc>
          <w:tcPr>
            <w:tcW w:w="704" w:type="pct"/>
            <w:vAlign w:val="center"/>
          </w:tcPr>
          <w:p w14:paraId="74412D7B" w14:textId="77777777" w:rsidR="00064EB9" w:rsidRPr="00064EB9" w:rsidRDefault="00064EB9" w:rsidP="00064EB9">
            <w:pPr>
              <w:widowControl/>
              <w:jc w:val="center"/>
              <w:rPr>
                <w:bCs/>
                <w:kern w:val="0"/>
              </w:rPr>
            </w:pPr>
            <w:r w:rsidRPr="00064EB9">
              <w:rPr>
                <w:bCs/>
                <w:kern w:val="0"/>
              </w:rPr>
              <w:t>875</w:t>
            </w:r>
          </w:p>
        </w:tc>
        <w:tc>
          <w:tcPr>
            <w:tcW w:w="795" w:type="pct"/>
            <w:vAlign w:val="center"/>
          </w:tcPr>
          <w:p w14:paraId="037ACF28" w14:textId="77777777" w:rsidR="00064EB9" w:rsidRPr="00064EB9" w:rsidRDefault="00064EB9" w:rsidP="00064EB9">
            <w:pPr>
              <w:widowControl/>
              <w:jc w:val="center"/>
              <w:textAlignment w:val="center"/>
              <w:rPr>
                <w:bCs/>
                <w:kern w:val="0"/>
              </w:rPr>
            </w:pPr>
            <w:r w:rsidRPr="00064EB9">
              <w:rPr>
                <w:bCs/>
                <w:kern w:val="0"/>
              </w:rPr>
              <w:t>547.33</w:t>
            </w:r>
          </w:p>
        </w:tc>
        <w:tc>
          <w:tcPr>
            <w:tcW w:w="546" w:type="pct"/>
            <w:vAlign w:val="center"/>
          </w:tcPr>
          <w:p w14:paraId="1969F498" w14:textId="77777777" w:rsidR="00064EB9" w:rsidRPr="00064EB9" w:rsidRDefault="00064EB9" w:rsidP="00064EB9">
            <w:pPr>
              <w:widowControl/>
              <w:jc w:val="center"/>
              <w:rPr>
                <w:bCs/>
                <w:kern w:val="0"/>
              </w:rPr>
            </w:pPr>
            <w:r w:rsidRPr="00064EB9">
              <w:rPr>
                <w:bCs/>
                <w:kern w:val="0"/>
              </w:rPr>
              <w:t>不敏感</w:t>
            </w:r>
          </w:p>
        </w:tc>
      </w:tr>
    </w:tbl>
    <w:p w14:paraId="2FF6286F" w14:textId="3EA031B0" w:rsidR="00606029" w:rsidRPr="003147C6" w:rsidRDefault="00EA5B92" w:rsidP="003147C6">
      <w:pPr>
        <w:widowControl/>
        <w:spacing w:line="360" w:lineRule="auto"/>
        <w:ind w:firstLineChars="200" w:firstLine="480"/>
        <w:rPr>
          <w:color w:val="000000"/>
          <w:kern w:val="0"/>
          <w:sz w:val="24"/>
          <w:szCs w:val="24"/>
        </w:rPr>
      </w:pPr>
      <w:r w:rsidRPr="003147C6">
        <w:rPr>
          <w:color w:val="000000"/>
          <w:kern w:val="0"/>
          <w:sz w:val="24"/>
          <w:szCs w:val="24"/>
        </w:rPr>
        <w:t>因此，根据地下水环境敏感程度分级表，判定本项目地下水环境敏感程度为</w:t>
      </w:r>
      <w:r w:rsidRPr="003147C6">
        <w:rPr>
          <w:color w:val="000000"/>
          <w:kern w:val="0"/>
          <w:sz w:val="24"/>
          <w:szCs w:val="24"/>
        </w:rPr>
        <w:t>“</w:t>
      </w:r>
      <w:r w:rsidRPr="003147C6">
        <w:rPr>
          <w:color w:val="000000"/>
          <w:kern w:val="0"/>
          <w:sz w:val="24"/>
          <w:szCs w:val="24"/>
        </w:rPr>
        <w:t>不敏感</w:t>
      </w:r>
      <w:r w:rsidRPr="003147C6">
        <w:rPr>
          <w:color w:val="000000"/>
          <w:kern w:val="0"/>
          <w:sz w:val="24"/>
          <w:szCs w:val="24"/>
        </w:rPr>
        <w:t>”</w:t>
      </w:r>
      <w:r w:rsidRPr="003147C6">
        <w:rPr>
          <w:color w:val="000000"/>
          <w:kern w:val="0"/>
          <w:sz w:val="24"/>
          <w:szCs w:val="24"/>
        </w:rPr>
        <w:t>。根据地下水工作等级分级表判定本项目地下水评价等级见下表</w:t>
      </w:r>
      <w:r w:rsidR="00F305DB">
        <w:rPr>
          <w:rFonts w:hint="eastAsia"/>
          <w:color w:val="000000"/>
          <w:kern w:val="0"/>
          <w:sz w:val="24"/>
          <w:szCs w:val="24"/>
        </w:rPr>
        <w:t>。</w:t>
      </w:r>
    </w:p>
    <w:p w14:paraId="117A013F" w14:textId="77777777" w:rsidR="00606029" w:rsidRDefault="00EA5B92">
      <w:pPr>
        <w:pStyle w:val="affffff5"/>
      </w:pPr>
      <w:r>
        <w:t>表</w:t>
      </w:r>
      <w:r>
        <w:t xml:space="preserve"> 1.6-7 </w:t>
      </w:r>
      <w:r>
        <w:t>地下水环境敏感程度分级表</w:t>
      </w:r>
    </w:p>
    <w:tbl>
      <w:tblPr>
        <w:tblW w:w="49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1"/>
        <w:gridCol w:w="7679"/>
      </w:tblGrid>
      <w:tr w:rsidR="00606029" w14:paraId="66CDE883" w14:textId="77777777">
        <w:tc>
          <w:tcPr>
            <w:tcW w:w="1172" w:type="dxa"/>
            <w:tcBorders>
              <w:top w:val="single" w:sz="4" w:space="0" w:color="auto"/>
              <w:left w:val="single" w:sz="4" w:space="0" w:color="auto"/>
              <w:bottom w:val="single" w:sz="4" w:space="0" w:color="auto"/>
              <w:right w:val="single" w:sz="4" w:space="0" w:color="auto"/>
            </w:tcBorders>
            <w:vAlign w:val="center"/>
          </w:tcPr>
          <w:p w14:paraId="108E75FA" w14:textId="77777777" w:rsidR="00606029" w:rsidRDefault="00EA5B92">
            <w:pPr>
              <w:widowControl/>
              <w:jc w:val="center"/>
              <w:rPr>
                <w:b/>
                <w:kern w:val="0"/>
              </w:rPr>
            </w:pPr>
            <w:r>
              <w:rPr>
                <w:b/>
                <w:kern w:val="0"/>
              </w:rPr>
              <w:t>敏感程度</w:t>
            </w:r>
          </w:p>
        </w:tc>
        <w:tc>
          <w:tcPr>
            <w:tcW w:w="7886" w:type="dxa"/>
            <w:tcBorders>
              <w:top w:val="single" w:sz="4" w:space="0" w:color="auto"/>
              <w:left w:val="single" w:sz="4" w:space="0" w:color="auto"/>
              <w:bottom w:val="single" w:sz="4" w:space="0" w:color="auto"/>
              <w:right w:val="single" w:sz="4" w:space="0" w:color="auto"/>
            </w:tcBorders>
            <w:vAlign w:val="center"/>
          </w:tcPr>
          <w:p w14:paraId="4450B21D" w14:textId="77777777" w:rsidR="00606029" w:rsidRDefault="00EA5B92">
            <w:pPr>
              <w:widowControl/>
              <w:jc w:val="center"/>
              <w:rPr>
                <w:b/>
                <w:kern w:val="0"/>
              </w:rPr>
            </w:pPr>
            <w:r>
              <w:rPr>
                <w:b/>
                <w:kern w:val="0"/>
              </w:rPr>
              <w:t>地下水环境敏感特征</w:t>
            </w:r>
          </w:p>
        </w:tc>
      </w:tr>
      <w:tr w:rsidR="00606029" w14:paraId="65C84A52" w14:textId="77777777">
        <w:tc>
          <w:tcPr>
            <w:tcW w:w="1172" w:type="dxa"/>
            <w:tcBorders>
              <w:top w:val="single" w:sz="4" w:space="0" w:color="auto"/>
              <w:left w:val="single" w:sz="4" w:space="0" w:color="auto"/>
              <w:bottom w:val="single" w:sz="4" w:space="0" w:color="auto"/>
              <w:right w:val="single" w:sz="4" w:space="0" w:color="auto"/>
            </w:tcBorders>
            <w:vAlign w:val="center"/>
          </w:tcPr>
          <w:p w14:paraId="045DCB9A" w14:textId="77777777" w:rsidR="00606029" w:rsidRDefault="00EA5B92">
            <w:pPr>
              <w:widowControl/>
              <w:jc w:val="center"/>
              <w:rPr>
                <w:bCs/>
                <w:kern w:val="0"/>
              </w:rPr>
            </w:pPr>
            <w:r>
              <w:rPr>
                <w:bCs/>
                <w:kern w:val="0"/>
              </w:rPr>
              <w:t>敏感</w:t>
            </w:r>
          </w:p>
        </w:tc>
        <w:tc>
          <w:tcPr>
            <w:tcW w:w="7886" w:type="dxa"/>
            <w:tcBorders>
              <w:top w:val="single" w:sz="4" w:space="0" w:color="auto"/>
              <w:left w:val="single" w:sz="4" w:space="0" w:color="auto"/>
              <w:bottom w:val="single" w:sz="4" w:space="0" w:color="auto"/>
              <w:right w:val="single" w:sz="4" w:space="0" w:color="auto"/>
            </w:tcBorders>
            <w:vAlign w:val="center"/>
          </w:tcPr>
          <w:p w14:paraId="1D58768A" w14:textId="77777777" w:rsidR="00606029" w:rsidRDefault="00EA5B92">
            <w:pPr>
              <w:widowControl/>
              <w:rPr>
                <w:b/>
                <w:kern w:val="0"/>
              </w:rPr>
            </w:pPr>
            <w:r>
              <w:rPr>
                <w:kern w:val="0"/>
              </w:rPr>
              <w:t>集中式饮用水水源（包括已建成的在用、备用、应急水源，在建和规划的饮用水水源）准保护区；除集中式饮用水源以外的国家或地方政府设定的与地下水环境相关的其他保护区，如热水、矿泉水、温泉等特殊地下水资源保护区。</w:t>
            </w:r>
          </w:p>
        </w:tc>
      </w:tr>
      <w:tr w:rsidR="00606029" w14:paraId="59FD26A4" w14:textId="77777777">
        <w:trPr>
          <w:trHeight w:val="90"/>
        </w:trPr>
        <w:tc>
          <w:tcPr>
            <w:tcW w:w="1172" w:type="dxa"/>
            <w:tcBorders>
              <w:top w:val="single" w:sz="4" w:space="0" w:color="auto"/>
              <w:left w:val="single" w:sz="4" w:space="0" w:color="auto"/>
              <w:bottom w:val="single" w:sz="4" w:space="0" w:color="auto"/>
              <w:right w:val="single" w:sz="4" w:space="0" w:color="auto"/>
            </w:tcBorders>
            <w:vAlign w:val="center"/>
          </w:tcPr>
          <w:p w14:paraId="4FD822D9" w14:textId="77777777" w:rsidR="00606029" w:rsidRDefault="00EA5B92">
            <w:pPr>
              <w:widowControl/>
              <w:jc w:val="center"/>
              <w:rPr>
                <w:bCs/>
                <w:kern w:val="0"/>
              </w:rPr>
            </w:pPr>
            <w:r>
              <w:rPr>
                <w:bCs/>
                <w:kern w:val="0"/>
              </w:rPr>
              <w:t>较敏感</w:t>
            </w:r>
          </w:p>
        </w:tc>
        <w:tc>
          <w:tcPr>
            <w:tcW w:w="7886" w:type="dxa"/>
            <w:tcBorders>
              <w:top w:val="single" w:sz="4" w:space="0" w:color="auto"/>
              <w:left w:val="single" w:sz="4" w:space="0" w:color="auto"/>
              <w:bottom w:val="single" w:sz="4" w:space="0" w:color="auto"/>
              <w:right w:val="single" w:sz="4" w:space="0" w:color="auto"/>
            </w:tcBorders>
            <w:vAlign w:val="center"/>
          </w:tcPr>
          <w:p w14:paraId="31BDD0B9" w14:textId="77777777" w:rsidR="00606029" w:rsidRDefault="00EA5B92">
            <w:pPr>
              <w:widowControl/>
              <w:rPr>
                <w:b/>
                <w:kern w:val="0"/>
              </w:rPr>
            </w:pPr>
            <w:r>
              <w:rPr>
                <w:kern w:val="0"/>
              </w:rPr>
              <w:t>集中式饮用水水源（包括已建成的在用、备用、应急水源，在建和规划的饮用水水源）准保护区以外的补给径流区；未划定准保护区的集中式饮用水水源，除保护区以外的补给径流区；分散式饮用水水源地；特殊地下水资源（如矿泉水、温泉等）保护区以外的分布区等其他未列入上述敏感分级的环境敏感区</w:t>
            </w:r>
            <w:r>
              <w:rPr>
                <w:kern w:val="0"/>
                <w:vertAlign w:val="superscript"/>
              </w:rPr>
              <w:t>a</w:t>
            </w:r>
            <w:r>
              <w:rPr>
                <w:kern w:val="0"/>
              </w:rPr>
              <w:t>。</w:t>
            </w:r>
          </w:p>
        </w:tc>
      </w:tr>
      <w:tr w:rsidR="00606029" w14:paraId="6CB35491" w14:textId="77777777">
        <w:tc>
          <w:tcPr>
            <w:tcW w:w="1172" w:type="dxa"/>
            <w:tcBorders>
              <w:top w:val="single" w:sz="4" w:space="0" w:color="auto"/>
              <w:left w:val="single" w:sz="4" w:space="0" w:color="auto"/>
              <w:bottom w:val="single" w:sz="4" w:space="0" w:color="auto"/>
              <w:right w:val="single" w:sz="4" w:space="0" w:color="auto"/>
            </w:tcBorders>
            <w:vAlign w:val="center"/>
          </w:tcPr>
          <w:p w14:paraId="5FC04ED2" w14:textId="77777777" w:rsidR="00606029" w:rsidRDefault="00EA5B92">
            <w:pPr>
              <w:widowControl/>
              <w:jc w:val="center"/>
              <w:rPr>
                <w:bCs/>
                <w:kern w:val="0"/>
              </w:rPr>
            </w:pPr>
            <w:r>
              <w:rPr>
                <w:b/>
                <w:kern w:val="0"/>
              </w:rPr>
              <w:t>不敏感</w:t>
            </w:r>
          </w:p>
        </w:tc>
        <w:tc>
          <w:tcPr>
            <w:tcW w:w="7886" w:type="dxa"/>
            <w:tcBorders>
              <w:top w:val="single" w:sz="4" w:space="0" w:color="auto"/>
              <w:left w:val="single" w:sz="4" w:space="0" w:color="auto"/>
              <w:bottom w:val="single" w:sz="4" w:space="0" w:color="auto"/>
              <w:right w:val="single" w:sz="4" w:space="0" w:color="auto"/>
            </w:tcBorders>
            <w:vAlign w:val="center"/>
          </w:tcPr>
          <w:p w14:paraId="6F9CC80C" w14:textId="77777777" w:rsidR="00606029" w:rsidRDefault="00EA5B92">
            <w:pPr>
              <w:widowControl/>
              <w:jc w:val="center"/>
              <w:rPr>
                <w:b/>
                <w:kern w:val="0"/>
              </w:rPr>
            </w:pPr>
            <w:r>
              <w:rPr>
                <w:kern w:val="0"/>
              </w:rPr>
              <w:t>上述地区之外的其他地区。</w:t>
            </w:r>
          </w:p>
        </w:tc>
      </w:tr>
    </w:tbl>
    <w:p w14:paraId="36C02135" w14:textId="77777777" w:rsidR="00606029" w:rsidRDefault="00EA5B92">
      <w:pPr>
        <w:widowControl/>
        <w:jc w:val="left"/>
      </w:pPr>
      <w:r>
        <w:rPr>
          <w:b/>
          <w:kern w:val="0"/>
          <w:sz w:val="20"/>
          <w:szCs w:val="20"/>
        </w:rPr>
        <w:t>注：</w:t>
      </w:r>
      <w:r>
        <w:rPr>
          <w:b/>
          <w:kern w:val="0"/>
          <w:sz w:val="20"/>
          <w:szCs w:val="20"/>
        </w:rPr>
        <w:t>a“</w:t>
      </w:r>
      <w:r>
        <w:rPr>
          <w:b/>
          <w:kern w:val="0"/>
          <w:sz w:val="20"/>
          <w:szCs w:val="20"/>
        </w:rPr>
        <w:t>环境敏感区</w:t>
      </w:r>
      <w:r>
        <w:rPr>
          <w:b/>
          <w:kern w:val="0"/>
          <w:sz w:val="20"/>
          <w:szCs w:val="20"/>
        </w:rPr>
        <w:t>”</w:t>
      </w:r>
      <w:r>
        <w:rPr>
          <w:b/>
          <w:kern w:val="0"/>
          <w:sz w:val="20"/>
          <w:szCs w:val="20"/>
        </w:rPr>
        <w:t>是指《建设项目环境影响评价分类管理名录》中所界定的涉及地下水的环境敏感区。</w:t>
      </w:r>
    </w:p>
    <w:p w14:paraId="03C6C2B4" w14:textId="77777777" w:rsidR="00606029" w:rsidRDefault="00EA5B92">
      <w:pPr>
        <w:pStyle w:val="affffff5"/>
      </w:pPr>
      <w:r>
        <w:t>表</w:t>
      </w:r>
      <w:r>
        <w:t xml:space="preserve"> 1.6-8 </w:t>
      </w:r>
      <w:r>
        <w:t>地下水环境敏感程度分级表</w:t>
      </w:r>
    </w:p>
    <w:tbl>
      <w:tblPr>
        <w:tblW w:w="49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2206"/>
        <w:gridCol w:w="2208"/>
        <w:gridCol w:w="2209"/>
      </w:tblGrid>
      <w:tr w:rsidR="00606029" w14:paraId="06BE57AD" w14:textId="77777777">
        <w:tc>
          <w:tcPr>
            <w:tcW w:w="2262" w:type="dxa"/>
            <w:tcBorders>
              <w:top w:val="single" w:sz="4" w:space="0" w:color="auto"/>
              <w:left w:val="single" w:sz="4" w:space="0" w:color="auto"/>
              <w:bottom w:val="single" w:sz="4" w:space="0" w:color="auto"/>
              <w:right w:val="single" w:sz="4" w:space="0" w:color="auto"/>
            </w:tcBorders>
            <w:vAlign w:val="center"/>
          </w:tcPr>
          <w:p w14:paraId="7B281BB3" w14:textId="77777777" w:rsidR="00606029" w:rsidRDefault="00EA5B92">
            <w:pPr>
              <w:widowControl/>
              <w:jc w:val="center"/>
              <w:rPr>
                <w:b/>
                <w:bCs/>
              </w:rPr>
            </w:pPr>
            <w:r>
              <w:rPr>
                <w:b/>
                <w:bCs/>
              </w:rPr>
              <w:t>项目类别</w:t>
            </w:r>
          </w:p>
          <w:p w14:paraId="4CBB9797" w14:textId="77777777" w:rsidR="00606029" w:rsidRDefault="00EA5B92">
            <w:pPr>
              <w:widowControl/>
              <w:jc w:val="center"/>
              <w:rPr>
                <w:b/>
                <w:bCs/>
              </w:rPr>
            </w:pPr>
            <w:r>
              <w:rPr>
                <w:b/>
                <w:bCs/>
              </w:rPr>
              <w:t>环境敏感程度</w:t>
            </w:r>
          </w:p>
        </w:tc>
        <w:tc>
          <w:tcPr>
            <w:tcW w:w="2262" w:type="dxa"/>
            <w:tcBorders>
              <w:top w:val="single" w:sz="4" w:space="0" w:color="auto"/>
              <w:left w:val="single" w:sz="4" w:space="0" w:color="auto"/>
              <w:bottom w:val="single" w:sz="4" w:space="0" w:color="auto"/>
              <w:right w:val="single" w:sz="4" w:space="0" w:color="auto"/>
            </w:tcBorders>
            <w:vAlign w:val="center"/>
          </w:tcPr>
          <w:p w14:paraId="53B3558B" w14:textId="77777777" w:rsidR="00606029" w:rsidRDefault="00EA5B92">
            <w:pPr>
              <w:widowControl/>
              <w:jc w:val="center"/>
              <w:rPr>
                <w:b/>
                <w:bCs/>
              </w:rPr>
            </w:pPr>
            <w:r>
              <w:rPr>
                <w:b/>
                <w:bCs/>
              </w:rPr>
              <w:t>Ⅰ</w:t>
            </w:r>
            <w:r>
              <w:rPr>
                <w:b/>
                <w:bCs/>
              </w:rPr>
              <w:t>类项目</w:t>
            </w:r>
          </w:p>
        </w:tc>
        <w:tc>
          <w:tcPr>
            <w:tcW w:w="2264" w:type="dxa"/>
            <w:tcBorders>
              <w:top w:val="single" w:sz="4" w:space="0" w:color="auto"/>
              <w:left w:val="single" w:sz="4" w:space="0" w:color="auto"/>
              <w:bottom w:val="single" w:sz="4" w:space="0" w:color="auto"/>
              <w:right w:val="single" w:sz="4" w:space="0" w:color="auto"/>
            </w:tcBorders>
            <w:vAlign w:val="center"/>
          </w:tcPr>
          <w:p w14:paraId="21E59F99" w14:textId="77777777" w:rsidR="00606029" w:rsidRDefault="00EA5B92">
            <w:pPr>
              <w:widowControl/>
              <w:jc w:val="center"/>
              <w:rPr>
                <w:b/>
                <w:bCs/>
              </w:rPr>
            </w:pPr>
            <w:r>
              <w:rPr>
                <w:b/>
                <w:bCs/>
              </w:rPr>
              <w:t>Ⅱ</w:t>
            </w:r>
            <w:r>
              <w:rPr>
                <w:b/>
                <w:bCs/>
              </w:rPr>
              <w:t>类项目</w:t>
            </w:r>
          </w:p>
        </w:tc>
        <w:tc>
          <w:tcPr>
            <w:tcW w:w="2264" w:type="dxa"/>
            <w:tcBorders>
              <w:top w:val="single" w:sz="4" w:space="0" w:color="auto"/>
              <w:left w:val="single" w:sz="4" w:space="0" w:color="auto"/>
              <w:bottom w:val="single" w:sz="4" w:space="0" w:color="auto"/>
              <w:right w:val="single" w:sz="4" w:space="0" w:color="auto"/>
            </w:tcBorders>
            <w:vAlign w:val="center"/>
          </w:tcPr>
          <w:p w14:paraId="01286BDB" w14:textId="77777777" w:rsidR="00606029" w:rsidRDefault="00EA5B92">
            <w:pPr>
              <w:widowControl/>
              <w:jc w:val="center"/>
              <w:rPr>
                <w:b/>
                <w:bCs/>
              </w:rPr>
            </w:pPr>
            <w:r>
              <w:rPr>
                <w:b/>
                <w:bCs/>
              </w:rPr>
              <w:t>Ⅲ</w:t>
            </w:r>
            <w:r>
              <w:rPr>
                <w:b/>
                <w:bCs/>
              </w:rPr>
              <w:t>类项目</w:t>
            </w:r>
          </w:p>
        </w:tc>
      </w:tr>
      <w:tr w:rsidR="00606029" w14:paraId="0D6EAFC6" w14:textId="77777777">
        <w:tc>
          <w:tcPr>
            <w:tcW w:w="2262" w:type="dxa"/>
            <w:tcBorders>
              <w:top w:val="single" w:sz="4" w:space="0" w:color="auto"/>
              <w:left w:val="single" w:sz="4" w:space="0" w:color="auto"/>
              <w:bottom w:val="single" w:sz="4" w:space="0" w:color="auto"/>
              <w:right w:val="single" w:sz="4" w:space="0" w:color="auto"/>
            </w:tcBorders>
            <w:vAlign w:val="center"/>
          </w:tcPr>
          <w:p w14:paraId="4F363448" w14:textId="77777777" w:rsidR="00606029" w:rsidRDefault="00EA5B92">
            <w:pPr>
              <w:widowControl/>
              <w:jc w:val="center"/>
            </w:pPr>
            <w:r>
              <w:t>敏感</w:t>
            </w:r>
          </w:p>
        </w:tc>
        <w:tc>
          <w:tcPr>
            <w:tcW w:w="2262" w:type="dxa"/>
            <w:tcBorders>
              <w:top w:val="single" w:sz="4" w:space="0" w:color="auto"/>
              <w:left w:val="single" w:sz="4" w:space="0" w:color="auto"/>
              <w:bottom w:val="single" w:sz="4" w:space="0" w:color="auto"/>
              <w:right w:val="single" w:sz="4" w:space="0" w:color="auto"/>
            </w:tcBorders>
            <w:vAlign w:val="center"/>
          </w:tcPr>
          <w:p w14:paraId="6D80887B" w14:textId="77777777" w:rsidR="00606029" w:rsidRDefault="00EA5B92">
            <w:pPr>
              <w:widowControl/>
              <w:jc w:val="center"/>
            </w:pPr>
            <w:r>
              <w:t>一</w:t>
            </w:r>
          </w:p>
        </w:tc>
        <w:tc>
          <w:tcPr>
            <w:tcW w:w="2264" w:type="dxa"/>
            <w:tcBorders>
              <w:top w:val="single" w:sz="4" w:space="0" w:color="auto"/>
              <w:left w:val="single" w:sz="4" w:space="0" w:color="auto"/>
              <w:bottom w:val="single" w:sz="4" w:space="0" w:color="auto"/>
              <w:right w:val="single" w:sz="4" w:space="0" w:color="auto"/>
            </w:tcBorders>
            <w:vAlign w:val="center"/>
          </w:tcPr>
          <w:p w14:paraId="7700C26D" w14:textId="77777777" w:rsidR="00606029" w:rsidRDefault="00EA5B92">
            <w:pPr>
              <w:widowControl/>
              <w:jc w:val="center"/>
            </w:pPr>
            <w:r>
              <w:t>一</w:t>
            </w:r>
          </w:p>
        </w:tc>
        <w:tc>
          <w:tcPr>
            <w:tcW w:w="2264" w:type="dxa"/>
            <w:tcBorders>
              <w:top w:val="single" w:sz="4" w:space="0" w:color="auto"/>
              <w:left w:val="single" w:sz="4" w:space="0" w:color="auto"/>
              <w:bottom w:val="single" w:sz="4" w:space="0" w:color="auto"/>
              <w:right w:val="single" w:sz="4" w:space="0" w:color="auto"/>
            </w:tcBorders>
            <w:vAlign w:val="center"/>
          </w:tcPr>
          <w:p w14:paraId="732FD797" w14:textId="77777777" w:rsidR="00606029" w:rsidRDefault="00EA5B92">
            <w:pPr>
              <w:widowControl/>
              <w:jc w:val="center"/>
            </w:pPr>
            <w:r>
              <w:rPr>
                <w:b/>
                <w:bCs/>
              </w:rPr>
              <w:t>二</w:t>
            </w:r>
          </w:p>
        </w:tc>
      </w:tr>
      <w:tr w:rsidR="00606029" w14:paraId="654B0D9A" w14:textId="77777777">
        <w:tc>
          <w:tcPr>
            <w:tcW w:w="2262" w:type="dxa"/>
            <w:tcBorders>
              <w:top w:val="single" w:sz="4" w:space="0" w:color="auto"/>
              <w:left w:val="single" w:sz="4" w:space="0" w:color="auto"/>
              <w:bottom w:val="single" w:sz="4" w:space="0" w:color="auto"/>
              <w:right w:val="single" w:sz="4" w:space="0" w:color="auto"/>
            </w:tcBorders>
            <w:vAlign w:val="center"/>
          </w:tcPr>
          <w:p w14:paraId="6A59F267" w14:textId="77777777" w:rsidR="00606029" w:rsidRDefault="00EA5B92">
            <w:pPr>
              <w:widowControl/>
              <w:jc w:val="center"/>
            </w:pPr>
            <w:r>
              <w:t>较敏感</w:t>
            </w:r>
          </w:p>
        </w:tc>
        <w:tc>
          <w:tcPr>
            <w:tcW w:w="2262" w:type="dxa"/>
            <w:tcBorders>
              <w:top w:val="single" w:sz="4" w:space="0" w:color="auto"/>
              <w:left w:val="single" w:sz="4" w:space="0" w:color="auto"/>
              <w:bottom w:val="single" w:sz="4" w:space="0" w:color="auto"/>
              <w:right w:val="single" w:sz="4" w:space="0" w:color="auto"/>
            </w:tcBorders>
            <w:vAlign w:val="center"/>
          </w:tcPr>
          <w:p w14:paraId="17B55175" w14:textId="77777777" w:rsidR="00606029" w:rsidRDefault="00EA5B92">
            <w:pPr>
              <w:widowControl/>
              <w:jc w:val="center"/>
            </w:pPr>
            <w:r>
              <w:t>一</w:t>
            </w:r>
          </w:p>
        </w:tc>
        <w:tc>
          <w:tcPr>
            <w:tcW w:w="2264" w:type="dxa"/>
            <w:tcBorders>
              <w:top w:val="single" w:sz="4" w:space="0" w:color="auto"/>
              <w:left w:val="single" w:sz="4" w:space="0" w:color="auto"/>
              <w:bottom w:val="single" w:sz="4" w:space="0" w:color="auto"/>
              <w:right w:val="single" w:sz="4" w:space="0" w:color="auto"/>
            </w:tcBorders>
            <w:vAlign w:val="center"/>
          </w:tcPr>
          <w:p w14:paraId="2202A888" w14:textId="77777777" w:rsidR="00606029" w:rsidRDefault="00EA5B92">
            <w:pPr>
              <w:widowControl/>
              <w:jc w:val="center"/>
            </w:pPr>
            <w:r>
              <w:t>二</w:t>
            </w:r>
          </w:p>
        </w:tc>
        <w:tc>
          <w:tcPr>
            <w:tcW w:w="2264" w:type="dxa"/>
            <w:tcBorders>
              <w:top w:val="single" w:sz="4" w:space="0" w:color="auto"/>
              <w:left w:val="single" w:sz="4" w:space="0" w:color="auto"/>
              <w:bottom w:val="single" w:sz="4" w:space="0" w:color="auto"/>
              <w:right w:val="single" w:sz="4" w:space="0" w:color="auto"/>
            </w:tcBorders>
            <w:vAlign w:val="center"/>
          </w:tcPr>
          <w:p w14:paraId="5B0837A1" w14:textId="77777777" w:rsidR="00606029" w:rsidRDefault="00EA5B92">
            <w:pPr>
              <w:widowControl/>
              <w:jc w:val="center"/>
            </w:pPr>
            <w:r>
              <w:rPr>
                <w:b/>
                <w:bCs/>
              </w:rPr>
              <w:t>三</w:t>
            </w:r>
          </w:p>
        </w:tc>
      </w:tr>
      <w:tr w:rsidR="00606029" w14:paraId="646F7175" w14:textId="77777777">
        <w:tc>
          <w:tcPr>
            <w:tcW w:w="2262" w:type="dxa"/>
            <w:tcBorders>
              <w:top w:val="single" w:sz="4" w:space="0" w:color="auto"/>
              <w:left w:val="single" w:sz="4" w:space="0" w:color="auto"/>
              <w:bottom w:val="single" w:sz="4" w:space="0" w:color="auto"/>
              <w:right w:val="single" w:sz="4" w:space="0" w:color="auto"/>
            </w:tcBorders>
            <w:vAlign w:val="center"/>
          </w:tcPr>
          <w:p w14:paraId="0B55BF4A" w14:textId="77777777" w:rsidR="00606029" w:rsidRDefault="00EA5B92">
            <w:pPr>
              <w:widowControl/>
              <w:jc w:val="center"/>
            </w:pPr>
            <w:r>
              <w:t>不敏感</w:t>
            </w:r>
          </w:p>
        </w:tc>
        <w:tc>
          <w:tcPr>
            <w:tcW w:w="2262" w:type="dxa"/>
            <w:tcBorders>
              <w:top w:val="single" w:sz="4" w:space="0" w:color="auto"/>
              <w:left w:val="single" w:sz="4" w:space="0" w:color="auto"/>
              <w:bottom w:val="single" w:sz="4" w:space="0" w:color="auto"/>
              <w:right w:val="single" w:sz="4" w:space="0" w:color="auto"/>
            </w:tcBorders>
            <w:vAlign w:val="center"/>
          </w:tcPr>
          <w:p w14:paraId="73983466" w14:textId="77777777" w:rsidR="00606029" w:rsidRDefault="00EA5B92">
            <w:pPr>
              <w:widowControl/>
              <w:jc w:val="center"/>
            </w:pPr>
            <w:r>
              <w:rPr>
                <w:b/>
                <w:bCs/>
              </w:rPr>
              <w:t>二</w:t>
            </w:r>
          </w:p>
        </w:tc>
        <w:tc>
          <w:tcPr>
            <w:tcW w:w="2264" w:type="dxa"/>
            <w:tcBorders>
              <w:top w:val="single" w:sz="4" w:space="0" w:color="auto"/>
              <w:left w:val="single" w:sz="4" w:space="0" w:color="auto"/>
              <w:bottom w:val="single" w:sz="4" w:space="0" w:color="auto"/>
              <w:right w:val="single" w:sz="4" w:space="0" w:color="auto"/>
            </w:tcBorders>
            <w:vAlign w:val="center"/>
          </w:tcPr>
          <w:p w14:paraId="311F27F0" w14:textId="77777777" w:rsidR="00606029" w:rsidRDefault="00EA5B92">
            <w:pPr>
              <w:widowControl/>
              <w:jc w:val="center"/>
            </w:pPr>
            <w:r>
              <w:rPr>
                <w:b/>
                <w:bCs/>
              </w:rPr>
              <w:t>三</w:t>
            </w:r>
          </w:p>
        </w:tc>
        <w:tc>
          <w:tcPr>
            <w:tcW w:w="2264" w:type="dxa"/>
            <w:tcBorders>
              <w:top w:val="single" w:sz="4" w:space="0" w:color="auto"/>
              <w:left w:val="single" w:sz="4" w:space="0" w:color="auto"/>
              <w:bottom w:val="single" w:sz="4" w:space="0" w:color="auto"/>
              <w:right w:val="single" w:sz="4" w:space="0" w:color="auto"/>
            </w:tcBorders>
            <w:vAlign w:val="center"/>
          </w:tcPr>
          <w:p w14:paraId="134BF7D5" w14:textId="77777777" w:rsidR="00606029" w:rsidRDefault="00EA5B92">
            <w:pPr>
              <w:widowControl/>
              <w:jc w:val="center"/>
            </w:pPr>
            <w:r>
              <w:t>三</w:t>
            </w:r>
          </w:p>
        </w:tc>
      </w:tr>
      <w:tr w:rsidR="00606029" w14:paraId="2CF4C4C0" w14:textId="77777777">
        <w:trPr>
          <w:trHeight w:val="348"/>
        </w:trPr>
        <w:tc>
          <w:tcPr>
            <w:tcW w:w="2262" w:type="dxa"/>
            <w:tcBorders>
              <w:top w:val="single" w:sz="4" w:space="0" w:color="auto"/>
              <w:left w:val="single" w:sz="4" w:space="0" w:color="auto"/>
              <w:bottom w:val="single" w:sz="4" w:space="0" w:color="auto"/>
              <w:right w:val="single" w:sz="4" w:space="0" w:color="auto"/>
            </w:tcBorders>
            <w:vAlign w:val="center"/>
          </w:tcPr>
          <w:p w14:paraId="22606F7F" w14:textId="77777777" w:rsidR="00606029" w:rsidRDefault="00EA5B92">
            <w:pPr>
              <w:widowControl/>
              <w:jc w:val="center"/>
            </w:pPr>
            <w:r>
              <w:t>评价等级</w:t>
            </w:r>
          </w:p>
        </w:tc>
        <w:tc>
          <w:tcPr>
            <w:tcW w:w="6790" w:type="dxa"/>
            <w:gridSpan w:val="3"/>
            <w:tcBorders>
              <w:top w:val="single" w:sz="4" w:space="0" w:color="auto"/>
              <w:left w:val="single" w:sz="4" w:space="0" w:color="auto"/>
              <w:bottom w:val="single" w:sz="4" w:space="0" w:color="auto"/>
              <w:right w:val="single" w:sz="4" w:space="0" w:color="auto"/>
            </w:tcBorders>
            <w:vAlign w:val="center"/>
          </w:tcPr>
          <w:p w14:paraId="68A21461" w14:textId="77777777" w:rsidR="00606029" w:rsidRDefault="00EA5B92">
            <w:pPr>
              <w:widowControl/>
              <w:jc w:val="center"/>
            </w:pPr>
            <w:r>
              <w:rPr>
                <w:b/>
                <w:bCs/>
              </w:rPr>
              <w:t>二级评价</w:t>
            </w:r>
          </w:p>
        </w:tc>
      </w:tr>
    </w:tbl>
    <w:p w14:paraId="452CC8B9" w14:textId="229EF89E" w:rsidR="00606029" w:rsidRDefault="00EA5B92">
      <w:pPr>
        <w:pStyle w:val="affffff4"/>
        <w:adjustRightInd/>
        <w:snapToGrid/>
        <w:spacing w:beforeLines="50" w:before="120"/>
      </w:pPr>
      <w:r>
        <w:t>根据上述分析，本项目地下水评价等级为</w:t>
      </w:r>
      <w:r w:rsidR="003147C6">
        <w:rPr>
          <w:rFonts w:hint="eastAsia"/>
        </w:rPr>
        <w:t>二</w:t>
      </w:r>
      <w:r>
        <w:t>级评价。</w:t>
      </w:r>
    </w:p>
    <w:p w14:paraId="621D4C47" w14:textId="77777777" w:rsidR="00606029" w:rsidRDefault="00EA5B92">
      <w:pPr>
        <w:pStyle w:val="4"/>
      </w:pPr>
      <w:r>
        <w:lastRenderedPageBreak/>
        <w:t>1.6.1.4</w:t>
      </w:r>
      <w:r>
        <w:t>噪声影响评价等级</w:t>
      </w:r>
    </w:p>
    <w:p w14:paraId="19042F4A" w14:textId="77777777" w:rsidR="00606029" w:rsidRDefault="00EA5B92">
      <w:pPr>
        <w:widowControl/>
        <w:spacing w:line="360" w:lineRule="auto"/>
        <w:ind w:firstLineChars="200" w:firstLine="480"/>
        <w:rPr>
          <w:color w:val="000000"/>
          <w:kern w:val="0"/>
          <w:sz w:val="24"/>
          <w:szCs w:val="24"/>
        </w:rPr>
      </w:pPr>
      <w:r>
        <w:rPr>
          <w:color w:val="000000"/>
          <w:kern w:val="0"/>
          <w:sz w:val="24"/>
          <w:szCs w:val="24"/>
        </w:rPr>
        <w:t>根据《环境影响评价技术导则</w:t>
      </w:r>
      <w:r>
        <w:rPr>
          <w:color w:val="000000"/>
          <w:kern w:val="0"/>
          <w:sz w:val="24"/>
          <w:szCs w:val="24"/>
        </w:rPr>
        <w:t xml:space="preserve"> </w:t>
      </w:r>
      <w:r>
        <w:rPr>
          <w:color w:val="000000"/>
          <w:kern w:val="0"/>
          <w:sz w:val="24"/>
          <w:szCs w:val="24"/>
        </w:rPr>
        <w:t>声环境》（</w:t>
      </w:r>
      <w:r>
        <w:rPr>
          <w:color w:val="000000"/>
          <w:kern w:val="0"/>
          <w:sz w:val="24"/>
          <w:szCs w:val="24"/>
        </w:rPr>
        <w:t>HJ2.4-2021</w:t>
      </w:r>
      <w:r>
        <w:rPr>
          <w:color w:val="000000"/>
          <w:kern w:val="0"/>
          <w:sz w:val="24"/>
          <w:szCs w:val="24"/>
        </w:rPr>
        <w:t>），评价工作等级一般分为三级，一级评价为详细评价，二级为一般性评价，三级为简要评价。</w:t>
      </w:r>
    </w:p>
    <w:p w14:paraId="5096E826" w14:textId="77777777" w:rsidR="00606029" w:rsidRDefault="00EA5B92">
      <w:pPr>
        <w:widowControl/>
        <w:spacing w:line="360" w:lineRule="auto"/>
        <w:ind w:firstLineChars="200" w:firstLine="480"/>
        <w:rPr>
          <w:color w:val="000000"/>
          <w:kern w:val="0"/>
          <w:sz w:val="24"/>
          <w:szCs w:val="24"/>
        </w:rPr>
      </w:pPr>
      <w:r>
        <w:rPr>
          <w:color w:val="000000"/>
          <w:kern w:val="0"/>
          <w:sz w:val="24"/>
          <w:szCs w:val="24"/>
        </w:rPr>
        <w:t>（</w:t>
      </w:r>
      <w:r>
        <w:rPr>
          <w:color w:val="000000"/>
          <w:kern w:val="0"/>
          <w:sz w:val="24"/>
          <w:szCs w:val="24"/>
        </w:rPr>
        <w:t>1</w:t>
      </w:r>
      <w:r>
        <w:rPr>
          <w:color w:val="000000"/>
          <w:kern w:val="0"/>
          <w:sz w:val="24"/>
          <w:szCs w:val="24"/>
        </w:rPr>
        <w:t>）评价范围内有适用于</w:t>
      </w:r>
      <w:r>
        <w:rPr>
          <w:color w:val="000000"/>
          <w:kern w:val="0"/>
          <w:sz w:val="24"/>
          <w:szCs w:val="24"/>
        </w:rPr>
        <w:t>GB3096</w:t>
      </w:r>
      <w:r>
        <w:rPr>
          <w:color w:val="000000"/>
          <w:kern w:val="0"/>
          <w:sz w:val="24"/>
          <w:szCs w:val="24"/>
        </w:rPr>
        <w:t>规定的</w:t>
      </w:r>
      <w:r>
        <w:rPr>
          <w:color w:val="000000"/>
          <w:kern w:val="0"/>
          <w:sz w:val="24"/>
          <w:szCs w:val="24"/>
        </w:rPr>
        <w:t>0</w:t>
      </w:r>
      <w:r>
        <w:rPr>
          <w:color w:val="000000"/>
          <w:kern w:val="0"/>
          <w:sz w:val="24"/>
          <w:szCs w:val="24"/>
        </w:rPr>
        <w:t>类声环境功能区域，或建设项目建设前后评价范围内声环境保护目标噪声级增量达</w:t>
      </w:r>
      <w:r>
        <w:rPr>
          <w:color w:val="000000"/>
          <w:kern w:val="0"/>
          <w:sz w:val="24"/>
          <w:szCs w:val="24"/>
        </w:rPr>
        <w:t>5dB</w:t>
      </w:r>
      <w:r>
        <w:rPr>
          <w:color w:val="000000"/>
          <w:kern w:val="0"/>
          <w:sz w:val="24"/>
          <w:szCs w:val="24"/>
        </w:rPr>
        <w:t>（</w:t>
      </w:r>
      <w:r>
        <w:rPr>
          <w:color w:val="000000"/>
          <w:kern w:val="0"/>
          <w:sz w:val="24"/>
          <w:szCs w:val="24"/>
        </w:rPr>
        <w:t>A</w:t>
      </w:r>
      <w:r>
        <w:rPr>
          <w:color w:val="000000"/>
          <w:kern w:val="0"/>
          <w:sz w:val="24"/>
          <w:szCs w:val="24"/>
        </w:rPr>
        <w:t>）以上（不含</w:t>
      </w:r>
      <w:r>
        <w:rPr>
          <w:color w:val="000000"/>
          <w:kern w:val="0"/>
          <w:sz w:val="24"/>
          <w:szCs w:val="24"/>
        </w:rPr>
        <w:t>5dB</w:t>
      </w:r>
      <w:r>
        <w:rPr>
          <w:color w:val="000000"/>
          <w:kern w:val="0"/>
          <w:sz w:val="24"/>
          <w:szCs w:val="24"/>
        </w:rPr>
        <w:t>（</w:t>
      </w:r>
      <w:r>
        <w:rPr>
          <w:color w:val="000000"/>
          <w:kern w:val="0"/>
          <w:sz w:val="24"/>
          <w:szCs w:val="24"/>
        </w:rPr>
        <w:t>A</w:t>
      </w:r>
      <w:r>
        <w:rPr>
          <w:color w:val="000000"/>
          <w:kern w:val="0"/>
          <w:sz w:val="24"/>
          <w:szCs w:val="24"/>
        </w:rPr>
        <w:t>）），或受影响人口数量显著增加时，按一级评价。</w:t>
      </w:r>
    </w:p>
    <w:p w14:paraId="4854D178" w14:textId="77777777" w:rsidR="00606029" w:rsidRDefault="00EA5B92">
      <w:pPr>
        <w:widowControl/>
        <w:spacing w:line="360" w:lineRule="auto"/>
        <w:ind w:firstLineChars="200" w:firstLine="480"/>
        <w:rPr>
          <w:color w:val="000000"/>
          <w:kern w:val="0"/>
          <w:sz w:val="24"/>
          <w:szCs w:val="24"/>
        </w:rPr>
      </w:pPr>
      <w:r>
        <w:rPr>
          <w:color w:val="000000"/>
          <w:kern w:val="0"/>
          <w:sz w:val="24"/>
          <w:szCs w:val="24"/>
        </w:rPr>
        <w:t>（</w:t>
      </w:r>
      <w:r>
        <w:rPr>
          <w:color w:val="000000"/>
          <w:kern w:val="0"/>
          <w:sz w:val="24"/>
          <w:szCs w:val="24"/>
        </w:rPr>
        <w:t>2</w:t>
      </w:r>
      <w:r>
        <w:rPr>
          <w:color w:val="000000"/>
          <w:kern w:val="0"/>
          <w:sz w:val="24"/>
          <w:szCs w:val="24"/>
        </w:rPr>
        <w:t>）建设项目所处的声环境功能区为</w:t>
      </w:r>
      <w:r>
        <w:rPr>
          <w:color w:val="000000"/>
          <w:kern w:val="0"/>
          <w:sz w:val="24"/>
          <w:szCs w:val="24"/>
        </w:rPr>
        <w:t>GB3096</w:t>
      </w:r>
      <w:r>
        <w:rPr>
          <w:color w:val="000000"/>
          <w:kern w:val="0"/>
          <w:sz w:val="24"/>
          <w:szCs w:val="24"/>
        </w:rPr>
        <w:t>规定的</w:t>
      </w:r>
      <w:r>
        <w:rPr>
          <w:color w:val="000000"/>
          <w:kern w:val="0"/>
          <w:sz w:val="24"/>
          <w:szCs w:val="24"/>
        </w:rPr>
        <w:t>1</w:t>
      </w:r>
      <w:r>
        <w:rPr>
          <w:color w:val="000000"/>
          <w:kern w:val="0"/>
          <w:sz w:val="24"/>
          <w:szCs w:val="24"/>
        </w:rPr>
        <w:t>类、</w:t>
      </w:r>
      <w:r>
        <w:rPr>
          <w:color w:val="000000"/>
          <w:kern w:val="0"/>
          <w:sz w:val="24"/>
          <w:szCs w:val="24"/>
        </w:rPr>
        <w:t>2</w:t>
      </w:r>
      <w:r>
        <w:rPr>
          <w:color w:val="000000"/>
          <w:kern w:val="0"/>
          <w:sz w:val="24"/>
          <w:szCs w:val="24"/>
        </w:rPr>
        <w:t>类地区，或建设项目建设前后评价范围内声环境保护目标噪声级增量达</w:t>
      </w:r>
      <w:r>
        <w:rPr>
          <w:color w:val="000000"/>
          <w:kern w:val="0"/>
          <w:sz w:val="24"/>
          <w:szCs w:val="24"/>
        </w:rPr>
        <w:t>3dB</w:t>
      </w:r>
      <w:r>
        <w:rPr>
          <w:color w:val="000000"/>
          <w:kern w:val="0"/>
          <w:sz w:val="24"/>
          <w:szCs w:val="24"/>
        </w:rPr>
        <w:t>（</w:t>
      </w:r>
      <w:r>
        <w:rPr>
          <w:color w:val="000000"/>
          <w:kern w:val="0"/>
          <w:sz w:val="24"/>
          <w:szCs w:val="24"/>
        </w:rPr>
        <w:t>A</w:t>
      </w:r>
      <w:r>
        <w:rPr>
          <w:color w:val="000000"/>
          <w:kern w:val="0"/>
          <w:sz w:val="24"/>
          <w:szCs w:val="24"/>
        </w:rPr>
        <w:t>）～</w:t>
      </w:r>
      <w:r>
        <w:rPr>
          <w:color w:val="000000"/>
          <w:kern w:val="0"/>
          <w:sz w:val="24"/>
          <w:szCs w:val="24"/>
        </w:rPr>
        <w:t>5dB</w:t>
      </w:r>
      <w:r>
        <w:rPr>
          <w:color w:val="000000"/>
          <w:kern w:val="0"/>
          <w:sz w:val="24"/>
          <w:szCs w:val="24"/>
        </w:rPr>
        <w:t>（</w:t>
      </w:r>
      <w:r>
        <w:rPr>
          <w:color w:val="000000"/>
          <w:kern w:val="0"/>
          <w:sz w:val="24"/>
          <w:szCs w:val="24"/>
        </w:rPr>
        <w:t>A</w:t>
      </w:r>
      <w:r>
        <w:rPr>
          <w:color w:val="000000"/>
          <w:kern w:val="0"/>
          <w:sz w:val="24"/>
          <w:szCs w:val="24"/>
        </w:rPr>
        <w:t>），或受噪声影响人口数量增加较多时，按二级评价。</w:t>
      </w:r>
    </w:p>
    <w:p w14:paraId="78F4D65C" w14:textId="77777777" w:rsidR="00606029" w:rsidRDefault="00EA5B92">
      <w:pPr>
        <w:widowControl/>
        <w:spacing w:line="360" w:lineRule="auto"/>
        <w:ind w:firstLineChars="200" w:firstLine="480"/>
        <w:rPr>
          <w:color w:val="000000"/>
          <w:kern w:val="0"/>
          <w:sz w:val="24"/>
          <w:szCs w:val="24"/>
        </w:rPr>
      </w:pPr>
      <w:r>
        <w:rPr>
          <w:color w:val="000000"/>
          <w:kern w:val="0"/>
          <w:sz w:val="24"/>
          <w:szCs w:val="24"/>
        </w:rPr>
        <w:t>（</w:t>
      </w:r>
      <w:r>
        <w:rPr>
          <w:color w:val="000000"/>
          <w:kern w:val="0"/>
          <w:sz w:val="24"/>
          <w:szCs w:val="24"/>
        </w:rPr>
        <w:t>3</w:t>
      </w:r>
      <w:r>
        <w:rPr>
          <w:color w:val="000000"/>
          <w:kern w:val="0"/>
          <w:sz w:val="24"/>
          <w:szCs w:val="24"/>
        </w:rPr>
        <w:t>）建设项目所处的声环境功能区为</w:t>
      </w:r>
      <w:r>
        <w:rPr>
          <w:color w:val="000000"/>
          <w:kern w:val="0"/>
          <w:sz w:val="24"/>
          <w:szCs w:val="24"/>
        </w:rPr>
        <w:t>GB3096</w:t>
      </w:r>
      <w:r>
        <w:rPr>
          <w:color w:val="000000"/>
          <w:kern w:val="0"/>
          <w:sz w:val="24"/>
          <w:szCs w:val="24"/>
        </w:rPr>
        <w:t>规定的</w:t>
      </w:r>
      <w:r>
        <w:rPr>
          <w:color w:val="000000"/>
          <w:kern w:val="0"/>
          <w:sz w:val="24"/>
          <w:szCs w:val="24"/>
        </w:rPr>
        <w:t>3</w:t>
      </w:r>
      <w:r>
        <w:rPr>
          <w:color w:val="000000"/>
          <w:kern w:val="0"/>
          <w:sz w:val="24"/>
          <w:szCs w:val="24"/>
        </w:rPr>
        <w:t>类、</w:t>
      </w:r>
      <w:r>
        <w:rPr>
          <w:color w:val="000000"/>
          <w:kern w:val="0"/>
          <w:sz w:val="24"/>
          <w:szCs w:val="24"/>
        </w:rPr>
        <w:t>4</w:t>
      </w:r>
      <w:r>
        <w:rPr>
          <w:color w:val="000000"/>
          <w:kern w:val="0"/>
          <w:sz w:val="24"/>
          <w:szCs w:val="24"/>
        </w:rPr>
        <w:t>类地区，或建设项目建设前后评价范围内声环境保护目标噪声级增量在</w:t>
      </w:r>
      <w:r>
        <w:rPr>
          <w:color w:val="000000"/>
          <w:kern w:val="0"/>
          <w:sz w:val="24"/>
          <w:szCs w:val="24"/>
        </w:rPr>
        <w:t>3dB</w:t>
      </w:r>
      <w:r>
        <w:rPr>
          <w:color w:val="000000"/>
          <w:kern w:val="0"/>
          <w:sz w:val="24"/>
          <w:szCs w:val="24"/>
        </w:rPr>
        <w:t>（</w:t>
      </w:r>
      <w:r>
        <w:rPr>
          <w:color w:val="000000"/>
          <w:kern w:val="0"/>
          <w:sz w:val="24"/>
          <w:szCs w:val="24"/>
        </w:rPr>
        <w:t>A</w:t>
      </w:r>
      <w:r>
        <w:rPr>
          <w:color w:val="000000"/>
          <w:kern w:val="0"/>
          <w:sz w:val="24"/>
          <w:szCs w:val="24"/>
        </w:rPr>
        <w:t>）以下（不含</w:t>
      </w:r>
      <w:r>
        <w:rPr>
          <w:color w:val="000000"/>
          <w:kern w:val="0"/>
          <w:sz w:val="24"/>
          <w:szCs w:val="24"/>
        </w:rPr>
        <w:t>3dB</w:t>
      </w:r>
      <w:r>
        <w:rPr>
          <w:color w:val="000000"/>
          <w:kern w:val="0"/>
          <w:sz w:val="24"/>
          <w:szCs w:val="24"/>
        </w:rPr>
        <w:t>（</w:t>
      </w:r>
      <w:r>
        <w:rPr>
          <w:color w:val="000000"/>
          <w:kern w:val="0"/>
          <w:sz w:val="24"/>
          <w:szCs w:val="24"/>
        </w:rPr>
        <w:t>A</w:t>
      </w:r>
      <w:r>
        <w:rPr>
          <w:color w:val="000000"/>
          <w:kern w:val="0"/>
          <w:sz w:val="24"/>
          <w:szCs w:val="24"/>
        </w:rPr>
        <w:t>）），且受影响人口数量变化不大时，按三级评价。</w:t>
      </w:r>
    </w:p>
    <w:p w14:paraId="63D08B98" w14:textId="77777777" w:rsidR="00606029" w:rsidRDefault="00EA5B92">
      <w:pPr>
        <w:pStyle w:val="affffff5"/>
      </w:pPr>
      <w:r>
        <w:t>表</w:t>
      </w:r>
      <w:r>
        <w:t xml:space="preserve">1.6-9  </w:t>
      </w:r>
      <w:r>
        <w:t>声环境影响评价分级判定</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6" w:type="dxa"/>
          <w:right w:w="6" w:type="dxa"/>
        </w:tblCellMar>
        <w:tblLook w:val="04A0" w:firstRow="1" w:lastRow="0" w:firstColumn="1" w:lastColumn="0" w:noHBand="0" w:noVBand="1"/>
      </w:tblPr>
      <w:tblGrid>
        <w:gridCol w:w="2774"/>
        <w:gridCol w:w="1567"/>
        <w:gridCol w:w="1507"/>
        <w:gridCol w:w="1550"/>
        <w:gridCol w:w="1436"/>
      </w:tblGrid>
      <w:tr w:rsidR="00606029" w14:paraId="4ACE0F0E" w14:textId="77777777" w:rsidTr="009651FF">
        <w:trPr>
          <w:tblHeader/>
          <w:jc w:val="center"/>
        </w:trPr>
        <w:tc>
          <w:tcPr>
            <w:tcW w:w="2774" w:type="dxa"/>
            <w:vAlign w:val="center"/>
          </w:tcPr>
          <w:p w14:paraId="52882FF1" w14:textId="77777777" w:rsidR="00606029" w:rsidRDefault="00EA5B92">
            <w:pPr>
              <w:adjustRightInd w:val="0"/>
              <w:snapToGrid w:val="0"/>
              <w:jc w:val="center"/>
              <w:textAlignment w:val="center"/>
              <w:rPr>
                <w:b/>
                <w:bCs/>
                <w:szCs w:val="24"/>
              </w:rPr>
            </w:pPr>
            <w:r>
              <w:rPr>
                <w:b/>
                <w:bCs/>
                <w:szCs w:val="24"/>
              </w:rPr>
              <w:t>项目</w:t>
            </w:r>
          </w:p>
        </w:tc>
        <w:tc>
          <w:tcPr>
            <w:tcW w:w="1567" w:type="dxa"/>
            <w:vAlign w:val="center"/>
          </w:tcPr>
          <w:p w14:paraId="4DA415B4" w14:textId="77777777" w:rsidR="00606029" w:rsidRDefault="00EA5B92">
            <w:pPr>
              <w:adjustRightInd w:val="0"/>
              <w:snapToGrid w:val="0"/>
              <w:jc w:val="center"/>
              <w:textAlignment w:val="center"/>
              <w:rPr>
                <w:b/>
                <w:bCs/>
                <w:szCs w:val="24"/>
              </w:rPr>
            </w:pPr>
            <w:r>
              <w:rPr>
                <w:b/>
                <w:bCs/>
                <w:szCs w:val="24"/>
              </w:rPr>
              <w:t>一级评价</w:t>
            </w:r>
          </w:p>
        </w:tc>
        <w:tc>
          <w:tcPr>
            <w:tcW w:w="1507" w:type="dxa"/>
            <w:vAlign w:val="center"/>
          </w:tcPr>
          <w:p w14:paraId="2AE17C79" w14:textId="77777777" w:rsidR="00606029" w:rsidRDefault="00EA5B92">
            <w:pPr>
              <w:adjustRightInd w:val="0"/>
              <w:snapToGrid w:val="0"/>
              <w:jc w:val="center"/>
              <w:textAlignment w:val="center"/>
              <w:rPr>
                <w:b/>
                <w:bCs/>
                <w:szCs w:val="24"/>
              </w:rPr>
            </w:pPr>
            <w:r>
              <w:rPr>
                <w:b/>
                <w:bCs/>
                <w:szCs w:val="24"/>
              </w:rPr>
              <w:t>二级评价</w:t>
            </w:r>
          </w:p>
        </w:tc>
        <w:tc>
          <w:tcPr>
            <w:tcW w:w="1550" w:type="dxa"/>
            <w:vAlign w:val="center"/>
          </w:tcPr>
          <w:p w14:paraId="2770FEE2" w14:textId="77777777" w:rsidR="00606029" w:rsidRDefault="00EA5B92">
            <w:pPr>
              <w:adjustRightInd w:val="0"/>
              <w:snapToGrid w:val="0"/>
              <w:jc w:val="center"/>
              <w:textAlignment w:val="center"/>
              <w:rPr>
                <w:b/>
                <w:bCs/>
                <w:szCs w:val="24"/>
              </w:rPr>
            </w:pPr>
            <w:r>
              <w:rPr>
                <w:b/>
                <w:bCs/>
                <w:szCs w:val="24"/>
              </w:rPr>
              <w:t>三级评价</w:t>
            </w:r>
          </w:p>
        </w:tc>
        <w:tc>
          <w:tcPr>
            <w:tcW w:w="1436" w:type="dxa"/>
            <w:vAlign w:val="center"/>
          </w:tcPr>
          <w:p w14:paraId="34EEDE2C" w14:textId="77777777" w:rsidR="00606029" w:rsidRDefault="00EA5B92">
            <w:pPr>
              <w:adjustRightInd w:val="0"/>
              <w:snapToGrid w:val="0"/>
              <w:jc w:val="center"/>
              <w:textAlignment w:val="center"/>
              <w:rPr>
                <w:b/>
                <w:bCs/>
                <w:szCs w:val="24"/>
              </w:rPr>
            </w:pPr>
            <w:r>
              <w:rPr>
                <w:b/>
                <w:bCs/>
                <w:szCs w:val="24"/>
              </w:rPr>
              <w:t>本项目</w:t>
            </w:r>
          </w:p>
        </w:tc>
      </w:tr>
      <w:tr w:rsidR="00606029" w14:paraId="3171F9C8" w14:textId="77777777" w:rsidTr="009651FF">
        <w:trPr>
          <w:jc w:val="center"/>
        </w:trPr>
        <w:tc>
          <w:tcPr>
            <w:tcW w:w="2774" w:type="dxa"/>
            <w:vAlign w:val="center"/>
          </w:tcPr>
          <w:p w14:paraId="5E247A74" w14:textId="77777777" w:rsidR="00606029" w:rsidRDefault="00EA5B92">
            <w:pPr>
              <w:adjustRightInd w:val="0"/>
              <w:snapToGrid w:val="0"/>
              <w:jc w:val="center"/>
              <w:textAlignment w:val="center"/>
              <w:rPr>
                <w:szCs w:val="24"/>
              </w:rPr>
            </w:pPr>
            <w:r>
              <w:rPr>
                <w:szCs w:val="24"/>
              </w:rPr>
              <w:t>项目所在地声环境功能</w:t>
            </w:r>
          </w:p>
        </w:tc>
        <w:tc>
          <w:tcPr>
            <w:tcW w:w="1567" w:type="dxa"/>
            <w:vAlign w:val="center"/>
          </w:tcPr>
          <w:p w14:paraId="387AA356" w14:textId="77777777" w:rsidR="00606029" w:rsidRDefault="00EA5B92">
            <w:pPr>
              <w:adjustRightInd w:val="0"/>
              <w:snapToGrid w:val="0"/>
              <w:jc w:val="center"/>
              <w:textAlignment w:val="center"/>
              <w:rPr>
                <w:szCs w:val="24"/>
              </w:rPr>
            </w:pPr>
            <w:r>
              <w:rPr>
                <w:szCs w:val="24"/>
              </w:rPr>
              <w:t>0</w:t>
            </w:r>
            <w:r>
              <w:rPr>
                <w:szCs w:val="24"/>
              </w:rPr>
              <w:t>类</w:t>
            </w:r>
          </w:p>
        </w:tc>
        <w:tc>
          <w:tcPr>
            <w:tcW w:w="1507" w:type="dxa"/>
            <w:vAlign w:val="center"/>
          </w:tcPr>
          <w:p w14:paraId="53D8E2FF" w14:textId="77777777" w:rsidR="00606029" w:rsidRDefault="00EA5B92">
            <w:pPr>
              <w:adjustRightInd w:val="0"/>
              <w:snapToGrid w:val="0"/>
              <w:jc w:val="center"/>
              <w:textAlignment w:val="center"/>
              <w:rPr>
                <w:szCs w:val="24"/>
              </w:rPr>
            </w:pPr>
            <w:r>
              <w:rPr>
                <w:szCs w:val="24"/>
              </w:rPr>
              <w:t>1</w:t>
            </w:r>
            <w:r>
              <w:rPr>
                <w:szCs w:val="24"/>
              </w:rPr>
              <w:t>类、</w:t>
            </w:r>
            <w:r>
              <w:rPr>
                <w:szCs w:val="24"/>
              </w:rPr>
              <w:t>2</w:t>
            </w:r>
            <w:r>
              <w:rPr>
                <w:szCs w:val="24"/>
              </w:rPr>
              <w:t>类</w:t>
            </w:r>
          </w:p>
        </w:tc>
        <w:tc>
          <w:tcPr>
            <w:tcW w:w="1550" w:type="dxa"/>
            <w:vAlign w:val="center"/>
          </w:tcPr>
          <w:p w14:paraId="428938CA" w14:textId="77777777" w:rsidR="00606029" w:rsidRDefault="00EA5B92">
            <w:pPr>
              <w:adjustRightInd w:val="0"/>
              <w:snapToGrid w:val="0"/>
              <w:jc w:val="center"/>
              <w:textAlignment w:val="center"/>
              <w:rPr>
                <w:szCs w:val="24"/>
              </w:rPr>
            </w:pPr>
            <w:r>
              <w:rPr>
                <w:szCs w:val="24"/>
              </w:rPr>
              <w:t>3</w:t>
            </w:r>
            <w:r>
              <w:rPr>
                <w:szCs w:val="24"/>
              </w:rPr>
              <w:t>类、</w:t>
            </w:r>
            <w:r>
              <w:rPr>
                <w:szCs w:val="24"/>
              </w:rPr>
              <w:t>4</w:t>
            </w:r>
            <w:r>
              <w:rPr>
                <w:szCs w:val="24"/>
              </w:rPr>
              <w:t>类</w:t>
            </w:r>
          </w:p>
        </w:tc>
        <w:tc>
          <w:tcPr>
            <w:tcW w:w="1436" w:type="dxa"/>
            <w:vAlign w:val="center"/>
          </w:tcPr>
          <w:p w14:paraId="2554634B" w14:textId="77777777" w:rsidR="00606029" w:rsidRDefault="00EA5B92">
            <w:pPr>
              <w:adjustRightInd w:val="0"/>
              <w:snapToGrid w:val="0"/>
              <w:jc w:val="center"/>
              <w:textAlignment w:val="center"/>
              <w:rPr>
                <w:szCs w:val="24"/>
              </w:rPr>
            </w:pPr>
            <w:r>
              <w:rPr>
                <w:szCs w:val="24"/>
              </w:rPr>
              <w:t>3</w:t>
            </w:r>
            <w:r>
              <w:rPr>
                <w:szCs w:val="24"/>
              </w:rPr>
              <w:t>类</w:t>
            </w:r>
          </w:p>
        </w:tc>
      </w:tr>
      <w:tr w:rsidR="00606029" w14:paraId="40777EF1" w14:textId="77777777" w:rsidTr="009651FF">
        <w:trPr>
          <w:jc w:val="center"/>
        </w:trPr>
        <w:tc>
          <w:tcPr>
            <w:tcW w:w="2774" w:type="dxa"/>
            <w:vAlign w:val="center"/>
          </w:tcPr>
          <w:p w14:paraId="7C8836B5" w14:textId="77777777" w:rsidR="00606029" w:rsidRDefault="00EA5B92">
            <w:pPr>
              <w:adjustRightInd w:val="0"/>
              <w:snapToGrid w:val="0"/>
              <w:jc w:val="center"/>
              <w:textAlignment w:val="center"/>
              <w:rPr>
                <w:szCs w:val="24"/>
              </w:rPr>
            </w:pPr>
            <w:r>
              <w:rPr>
                <w:szCs w:val="24"/>
              </w:rPr>
              <w:t>建设前后敏感点噪声增量</w:t>
            </w:r>
          </w:p>
        </w:tc>
        <w:tc>
          <w:tcPr>
            <w:tcW w:w="1567" w:type="dxa"/>
            <w:vAlign w:val="center"/>
          </w:tcPr>
          <w:p w14:paraId="10A7C1C8" w14:textId="77777777" w:rsidR="00606029" w:rsidRDefault="00EA5B92">
            <w:pPr>
              <w:adjustRightInd w:val="0"/>
              <w:snapToGrid w:val="0"/>
              <w:jc w:val="center"/>
              <w:textAlignment w:val="center"/>
              <w:rPr>
                <w:szCs w:val="24"/>
              </w:rPr>
            </w:pPr>
            <w:r>
              <w:rPr>
                <w:szCs w:val="24"/>
              </w:rPr>
              <w:t>＞</w:t>
            </w:r>
            <w:r>
              <w:rPr>
                <w:szCs w:val="24"/>
              </w:rPr>
              <w:t>5dB</w:t>
            </w:r>
            <w:r>
              <w:rPr>
                <w:szCs w:val="24"/>
              </w:rPr>
              <w:t>（</w:t>
            </w:r>
            <w:r>
              <w:rPr>
                <w:szCs w:val="24"/>
              </w:rPr>
              <w:t>A</w:t>
            </w:r>
            <w:r>
              <w:rPr>
                <w:szCs w:val="24"/>
              </w:rPr>
              <w:t>）</w:t>
            </w:r>
          </w:p>
        </w:tc>
        <w:tc>
          <w:tcPr>
            <w:tcW w:w="1507" w:type="dxa"/>
            <w:vAlign w:val="center"/>
          </w:tcPr>
          <w:p w14:paraId="0EC1CB3C" w14:textId="77777777" w:rsidR="00606029" w:rsidRDefault="00EA5B92">
            <w:pPr>
              <w:adjustRightInd w:val="0"/>
              <w:snapToGrid w:val="0"/>
              <w:jc w:val="center"/>
              <w:textAlignment w:val="center"/>
              <w:rPr>
                <w:szCs w:val="24"/>
              </w:rPr>
            </w:pPr>
            <w:r>
              <w:rPr>
                <w:szCs w:val="24"/>
              </w:rPr>
              <w:t>3-5dB</w:t>
            </w:r>
            <w:r>
              <w:rPr>
                <w:szCs w:val="24"/>
              </w:rPr>
              <w:t>（</w:t>
            </w:r>
            <w:r>
              <w:rPr>
                <w:szCs w:val="24"/>
              </w:rPr>
              <w:t>A</w:t>
            </w:r>
            <w:r>
              <w:rPr>
                <w:szCs w:val="24"/>
              </w:rPr>
              <w:t>）</w:t>
            </w:r>
          </w:p>
        </w:tc>
        <w:tc>
          <w:tcPr>
            <w:tcW w:w="1550" w:type="dxa"/>
            <w:vAlign w:val="center"/>
          </w:tcPr>
          <w:p w14:paraId="3B9E6B67" w14:textId="77777777" w:rsidR="00606029" w:rsidRDefault="00EA5B92">
            <w:pPr>
              <w:adjustRightInd w:val="0"/>
              <w:snapToGrid w:val="0"/>
              <w:jc w:val="center"/>
              <w:textAlignment w:val="center"/>
              <w:rPr>
                <w:szCs w:val="24"/>
              </w:rPr>
            </w:pPr>
            <w:r>
              <w:rPr>
                <w:szCs w:val="24"/>
              </w:rPr>
              <w:t>＜</w:t>
            </w:r>
            <w:r>
              <w:rPr>
                <w:szCs w:val="24"/>
              </w:rPr>
              <w:t>3dB</w:t>
            </w:r>
            <w:r>
              <w:rPr>
                <w:szCs w:val="24"/>
              </w:rPr>
              <w:t>（</w:t>
            </w:r>
            <w:r>
              <w:rPr>
                <w:szCs w:val="24"/>
              </w:rPr>
              <w:t>A</w:t>
            </w:r>
            <w:r>
              <w:rPr>
                <w:szCs w:val="24"/>
              </w:rPr>
              <w:t>）</w:t>
            </w:r>
          </w:p>
        </w:tc>
        <w:tc>
          <w:tcPr>
            <w:tcW w:w="1436" w:type="dxa"/>
            <w:vAlign w:val="center"/>
          </w:tcPr>
          <w:p w14:paraId="478B2782" w14:textId="77777777" w:rsidR="00606029" w:rsidRDefault="00EA5B92">
            <w:pPr>
              <w:adjustRightInd w:val="0"/>
              <w:snapToGrid w:val="0"/>
              <w:jc w:val="center"/>
              <w:textAlignment w:val="center"/>
              <w:rPr>
                <w:szCs w:val="24"/>
              </w:rPr>
            </w:pPr>
            <w:r>
              <w:rPr>
                <w:szCs w:val="24"/>
              </w:rPr>
              <w:t>＜</w:t>
            </w:r>
            <w:r>
              <w:rPr>
                <w:szCs w:val="24"/>
              </w:rPr>
              <w:t>3dB</w:t>
            </w:r>
            <w:r>
              <w:rPr>
                <w:szCs w:val="24"/>
              </w:rPr>
              <w:t>（</w:t>
            </w:r>
            <w:r>
              <w:rPr>
                <w:szCs w:val="24"/>
              </w:rPr>
              <w:t>A</w:t>
            </w:r>
            <w:r>
              <w:rPr>
                <w:szCs w:val="24"/>
              </w:rPr>
              <w:t>）</w:t>
            </w:r>
          </w:p>
        </w:tc>
      </w:tr>
      <w:tr w:rsidR="00606029" w14:paraId="6E2A1796" w14:textId="77777777" w:rsidTr="009651FF">
        <w:trPr>
          <w:jc w:val="center"/>
        </w:trPr>
        <w:tc>
          <w:tcPr>
            <w:tcW w:w="2774" w:type="dxa"/>
            <w:vAlign w:val="center"/>
          </w:tcPr>
          <w:p w14:paraId="434DBFCA" w14:textId="77777777" w:rsidR="00606029" w:rsidRDefault="00EA5B92">
            <w:pPr>
              <w:adjustRightInd w:val="0"/>
              <w:snapToGrid w:val="0"/>
              <w:jc w:val="center"/>
              <w:textAlignment w:val="center"/>
              <w:rPr>
                <w:szCs w:val="24"/>
              </w:rPr>
            </w:pPr>
            <w:r>
              <w:rPr>
                <w:szCs w:val="24"/>
              </w:rPr>
              <w:t>建设前后受影响人口变化情况</w:t>
            </w:r>
          </w:p>
        </w:tc>
        <w:tc>
          <w:tcPr>
            <w:tcW w:w="1567" w:type="dxa"/>
            <w:vAlign w:val="center"/>
          </w:tcPr>
          <w:p w14:paraId="18C372DD" w14:textId="77777777" w:rsidR="00606029" w:rsidRDefault="00EA5B92">
            <w:pPr>
              <w:adjustRightInd w:val="0"/>
              <w:snapToGrid w:val="0"/>
              <w:jc w:val="center"/>
              <w:textAlignment w:val="center"/>
              <w:rPr>
                <w:szCs w:val="24"/>
              </w:rPr>
            </w:pPr>
            <w:r>
              <w:rPr>
                <w:szCs w:val="24"/>
              </w:rPr>
              <w:t>显著增多</w:t>
            </w:r>
          </w:p>
        </w:tc>
        <w:tc>
          <w:tcPr>
            <w:tcW w:w="1507" w:type="dxa"/>
            <w:vAlign w:val="center"/>
          </w:tcPr>
          <w:p w14:paraId="1D1A50E5" w14:textId="77777777" w:rsidR="00606029" w:rsidRDefault="00EA5B92">
            <w:pPr>
              <w:adjustRightInd w:val="0"/>
              <w:snapToGrid w:val="0"/>
              <w:jc w:val="center"/>
              <w:textAlignment w:val="center"/>
              <w:rPr>
                <w:szCs w:val="24"/>
              </w:rPr>
            </w:pPr>
            <w:r>
              <w:rPr>
                <w:szCs w:val="24"/>
              </w:rPr>
              <w:t>增加较多</w:t>
            </w:r>
          </w:p>
        </w:tc>
        <w:tc>
          <w:tcPr>
            <w:tcW w:w="1550" w:type="dxa"/>
            <w:vAlign w:val="center"/>
          </w:tcPr>
          <w:p w14:paraId="159E150B" w14:textId="77777777" w:rsidR="00606029" w:rsidRDefault="00EA5B92">
            <w:pPr>
              <w:adjustRightInd w:val="0"/>
              <w:snapToGrid w:val="0"/>
              <w:jc w:val="center"/>
              <w:textAlignment w:val="center"/>
              <w:rPr>
                <w:szCs w:val="24"/>
              </w:rPr>
            </w:pPr>
            <w:r>
              <w:rPr>
                <w:szCs w:val="24"/>
              </w:rPr>
              <w:t>变化不大</w:t>
            </w:r>
          </w:p>
        </w:tc>
        <w:tc>
          <w:tcPr>
            <w:tcW w:w="1436" w:type="dxa"/>
            <w:vAlign w:val="center"/>
          </w:tcPr>
          <w:p w14:paraId="6C9A1525" w14:textId="77777777" w:rsidR="00606029" w:rsidRDefault="00EA5B92">
            <w:pPr>
              <w:adjustRightInd w:val="0"/>
              <w:snapToGrid w:val="0"/>
              <w:jc w:val="center"/>
              <w:textAlignment w:val="center"/>
              <w:rPr>
                <w:szCs w:val="24"/>
              </w:rPr>
            </w:pPr>
            <w:r>
              <w:rPr>
                <w:szCs w:val="24"/>
              </w:rPr>
              <w:t>不变</w:t>
            </w:r>
          </w:p>
        </w:tc>
      </w:tr>
    </w:tbl>
    <w:p w14:paraId="5761A5FB" w14:textId="77777777" w:rsidR="00606029" w:rsidRDefault="00EA5B92">
      <w:pPr>
        <w:pStyle w:val="affffff4"/>
        <w:adjustRightInd/>
        <w:snapToGrid/>
        <w:spacing w:beforeLines="50" w:before="120"/>
      </w:pPr>
      <w:r>
        <w:t>根据《环境影响评价技术导则</w:t>
      </w:r>
      <w:r>
        <w:t xml:space="preserve"> </w:t>
      </w:r>
      <w:r>
        <w:t>声环境》（</w:t>
      </w:r>
      <w:r>
        <w:t>HJ2.4-2021</w:t>
      </w:r>
      <w:r>
        <w:t>）中有关声环境影响评价工作等级划分的基本原则，本项目所处声环境功能区为</w:t>
      </w:r>
      <w:r>
        <w:t>2</w:t>
      </w:r>
      <w:r>
        <w:t>类区，建设前后受影响人口不变。按照《环境影响评价技术导则</w:t>
      </w:r>
      <w:r>
        <w:t xml:space="preserve"> </w:t>
      </w:r>
      <w:r>
        <w:t>声环境》（</w:t>
      </w:r>
      <w:r>
        <w:t>HJ2.4-2021</w:t>
      </w:r>
      <w:r>
        <w:t>）要求，本项目声环境影响评价工作等级应为二级。</w:t>
      </w:r>
    </w:p>
    <w:p w14:paraId="582985D8" w14:textId="77777777" w:rsidR="00606029" w:rsidRDefault="00EA5B92">
      <w:pPr>
        <w:pStyle w:val="4"/>
        <w:adjustRightInd/>
        <w:snapToGrid/>
      </w:pPr>
      <w:r>
        <w:t>1.6.1.5</w:t>
      </w:r>
      <w:r>
        <w:t>生态环境影响评价等级</w:t>
      </w:r>
    </w:p>
    <w:p w14:paraId="4C008C61" w14:textId="77777777" w:rsidR="00606029" w:rsidRDefault="00EA5B92">
      <w:pPr>
        <w:widowControl/>
        <w:snapToGrid w:val="0"/>
        <w:spacing w:line="360" w:lineRule="auto"/>
        <w:ind w:firstLineChars="200" w:firstLine="480"/>
        <w:rPr>
          <w:kern w:val="0"/>
          <w:sz w:val="24"/>
          <w:szCs w:val="24"/>
        </w:rPr>
      </w:pPr>
      <w:r>
        <w:rPr>
          <w:kern w:val="0"/>
          <w:sz w:val="24"/>
          <w:szCs w:val="24"/>
        </w:rPr>
        <w:t>根据《环境影响评价技术导则</w:t>
      </w:r>
      <w:r>
        <w:rPr>
          <w:kern w:val="0"/>
          <w:sz w:val="24"/>
          <w:szCs w:val="24"/>
        </w:rPr>
        <w:t xml:space="preserve"> </w:t>
      </w:r>
      <w:r>
        <w:rPr>
          <w:kern w:val="0"/>
          <w:sz w:val="24"/>
          <w:szCs w:val="24"/>
        </w:rPr>
        <w:t>生态影响》（</w:t>
      </w:r>
      <w:r>
        <w:rPr>
          <w:kern w:val="0"/>
          <w:sz w:val="24"/>
          <w:szCs w:val="24"/>
        </w:rPr>
        <w:t>HJ19-2022</w:t>
      </w:r>
      <w:r>
        <w:rPr>
          <w:kern w:val="0"/>
          <w:sz w:val="24"/>
          <w:szCs w:val="24"/>
        </w:rPr>
        <w:t>）中评价等级划分原则，按以下原则确定评价等级：</w:t>
      </w:r>
    </w:p>
    <w:p w14:paraId="4C164811" w14:textId="77777777" w:rsidR="00606029" w:rsidRDefault="00EA5B92">
      <w:pPr>
        <w:widowControl/>
        <w:snapToGrid w:val="0"/>
        <w:spacing w:line="360" w:lineRule="auto"/>
        <w:ind w:firstLineChars="200" w:firstLine="480"/>
        <w:rPr>
          <w:kern w:val="0"/>
          <w:sz w:val="24"/>
          <w:szCs w:val="24"/>
        </w:rPr>
      </w:pPr>
      <w:r>
        <w:rPr>
          <w:kern w:val="0"/>
          <w:sz w:val="24"/>
          <w:szCs w:val="24"/>
        </w:rPr>
        <w:t>a</w:t>
      </w:r>
      <w:r>
        <w:rPr>
          <w:kern w:val="0"/>
          <w:sz w:val="24"/>
          <w:szCs w:val="24"/>
        </w:rPr>
        <w:t>）涉及国家公园、自然保护区、世界自然遗产、重要生境时，评价等级为一级；</w:t>
      </w:r>
    </w:p>
    <w:p w14:paraId="0DD7A46C" w14:textId="77777777" w:rsidR="00606029" w:rsidRDefault="00EA5B92">
      <w:pPr>
        <w:widowControl/>
        <w:snapToGrid w:val="0"/>
        <w:spacing w:line="360" w:lineRule="auto"/>
        <w:ind w:firstLineChars="200" w:firstLine="480"/>
        <w:rPr>
          <w:kern w:val="0"/>
          <w:sz w:val="24"/>
          <w:szCs w:val="24"/>
        </w:rPr>
      </w:pPr>
      <w:r>
        <w:rPr>
          <w:kern w:val="0"/>
          <w:sz w:val="24"/>
          <w:szCs w:val="24"/>
        </w:rPr>
        <w:t>b</w:t>
      </w:r>
      <w:r>
        <w:rPr>
          <w:kern w:val="0"/>
          <w:sz w:val="24"/>
          <w:szCs w:val="24"/>
        </w:rPr>
        <w:t>）涉及自然公园时，评价等级为二级；</w:t>
      </w:r>
    </w:p>
    <w:p w14:paraId="24CB7A75" w14:textId="77777777" w:rsidR="00606029" w:rsidRDefault="00EA5B92">
      <w:pPr>
        <w:widowControl/>
        <w:snapToGrid w:val="0"/>
        <w:spacing w:line="360" w:lineRule="auto"/>
        <w:ind w:firstLineChars="200" w:firstLine="480"/>
        <w:rPr>
          <w:kern w:val="0"/>
          <w:sz w:val="24"/>
          <w:szCs w:val="24"/>
        </w:rPr>
      </w:pPr>
      <w:r>
        <w:rPr>
          <w:kern w:val="0"/>
          <w:sz w:val="24"/>
          <w:szCs w:val="24"/>
        </w:rPr>
        <w:t>c</w:t>
      </w:r>
      <w:r>
        <w:rPr>
          <w:kern w:val="0"/>
          <w:sz w:val="24"/>
          <w:szCs w:val="24"/>
        </w:rPr>
        <w:t>）涉及生态保护红线时，评价等级不低于二级；</w:t>
      </w:r>
    </w:p>
    <w:p w14:paraId="2D25AF53" w14:textId="77777777" w:rsidR="00606029" w:rsidRDefault="00EA5B92">
      <w:pPr>
        <w:widowControl/>
        <w:snapToGrid w:val="0"/>
        <w:spacing w:line="360" w:lineRule="auto"/>
        <w:ind w:firstLineChars="200" w:firstLine="480"/>
        <w:rPr>
          <w:kern w:val="0"/>
          <w:sz w:val="24"/>
          <w:szCs w:val="24"/>
        </w:rPr>
      </w:pPr>
      <w:r>
        <w:rPr>
          <w:kern w:val="0"/>
          <w:sz w:val="24"/>
          <w:szCs w:val="24"/>
        </w:rPr>
        <w:t>d</w:t>
      </w:r>
      <w:r>
        <w:rPr>
          <w:kern w:val="0"/>
          <w:sz w:val="24"/>
          <w:szCs w:val="24"/>
        </w:rPr>
        <w:t>）根据</w:t>
      </w:r>
      <w:r>
        <w:rPr>
          <w:kern w:val="0"/>
          <w:sz w:val="24"/>
          <w:szCs w:val="24"/>
        </w:rPr>
        <w:t>HJ2.3</w:t>
      </w:r>
      <w:r>
        <w:rPr>
          <w:kern w:val="0"/>
          <w:sz w:val="24"/>
          <w:szCs w:val="24"/>
        </w:rPr>
        <w:t>判断属于水文要素影响型且地表水评价等级不低于二级的建设项目，生态影响评价等级不低于二级；</w:t>
      </w:r>
    </w:p>
    <w:p w14:paraId="19C3CE4F" w14:textId="77777777" w:rsidR="00606029" w:rsidRDefault="00EA5B92">
      <w:pPr>
        <w:widowControl/>
        <w:snapToGrid w:val="0"/>
        <w:spacing w:line="360" w:lineRule="auto"/>
        <w:ind w:firstLineChars="200" w:firstLine="480"/>
        <w:rPr>
          <w:kern w:val="0"/>
          <w:sz w:val="24"/>
          <w:szCs w:val="24"/>
        </w:rPr>
      </w:pPr>
      <w:r>
        <w:rPr>
          <w:kern w:val="0"/>
          <w:sz w:val="24"/>
          <w:szCs w:val="24"/>
        </w:rPr>
        <w:t>e</w:t>
      </w:r>
      <w:r>
        <w:rPr>
          <w:kern w:val="0"/>
          <w:sz w:val="24"/>
          <w:szCs w:val="24"/>
        </w:rPr>
        <w:t>）根据</w:t>
      </w:r>
      <w:r>
        <w:rPr>
          <w:kern w:val="0"/>
          <w:sz w:val="24"/>
          <w:szCs w:val="24"/>
        </w:rPr>
        <w:t>HJ610</w:t>
      </w:r>
      <w:r>
        <w:rPr>
          <w:kern w:val="0"/>
          <w:sz w:val="24"/>
          <w:szCs w:val="24"/>
        </w:rPr>
        <w:t>、</w:t>
      </w:r>
      <w:r>
        <w:rPr>
          <w:kern w:val="0"/>
          <w:sz w:val="24"/>
          <w:szCs w:val="24"/>
        </w:rPr>
        <w:t>HJ964</w:t>
      </w:r>
      <w:r>
        <w:rPr>
          <w:kern w:val="0"/>
          <w:sz w:val="24"/>
          <w:szCs w:val="24"/>
        </w:rPr>
        <w:t>判断地下水水位或土壤影响范围内分布有天然林、公益林、湿地等生态保护目标的建设项目，生态影响评价等级不低于二级；</w:t>
      </w:r>
    </w:p>
    <w:p w14:paraId="07CE674C" w14:textId="77777777" w:rsidR="00606029" w:rsidRDefault="00EA5B92">
      <w:pPr>
        <w:widowControl/>
        <w:snapToGrid w:val="0"/>
        <w:spacing w:line="360" w:lineRule="auto"/>
        <w:ind w:firstLineChars="200" w:firstLine="480"/>
        <w:rPr>
          <w:kern w:val="0"/>
          <w:sz w:val="24"/>
          <w:szCs w:val="24"/>
        </w:rPr>
      </w:pPr>
      <w:r>
        <w:rPr>
          <w:kern w:val="0"/>
          <w:sz w:val="24"/>
          <w:szCs w:val="24"/>
        </w:rPr>
        <w:lastRenderedPageBreak/>
        <w:t>f</w:t>
      </w:r>
      <w:r>
        <w:rPr>
          <w:kern w:val="0"/>
          <w:sz w:val="24"/>
          <w:szCs w:val="24"/>
        </w:rPr>
        <w:t>）当工程占地规模大于</w:t>
      </w:r>
      <w:r>
        <w:rPr>
          <w:kern w:val="0"/>
          <w:sz w:val="24"/>
          <w:szCs w:val="24"/>
        </w:rPr>
        <w:t>20km</w:t>
      </w:r>
      <w:r>
        <w:rPr>
          <w:kern w:val="0"/>
          <w:sz w:val="24"/>
          <w:szCs w:val="24"/>
          <w:vertAlign w:val="superscript"/>
        </w:rPr>
        <w:t>2</w:t>
      </w:r>
      <w:r>
        <w:rPr>
          <w:kern w:val="0"/>
          <w:sz w:val="24"/>
          <w:szCs w:val="24"/>
        </w:rPr>
        <w:t>时（包括永久和临时占用陆域和水域），评价等级不低于二级；改扩建项目的占地范围以新增占地（包括陆域和水域）确定；</w:t>
      </w:r>
    </w:p>
    <w:p w14:paraId="145D83BD" w14:textId="77777777" w:rsidR="00606029" w:rsidRDefault="00EA5B92">
      <w:pPr>
        <w:widowControl/>
        <w:snapToGrid w:val="0"/>
        <w:spacing w:line="360" w:lineRule="auto"/>
        <w:ind w:firstLineChars="200" w:firstLine="480"/>
        <w:rPr>
          <w:kern w:val="0"/>
          <w:sz w:val="24"/>
          <w:szCs w:val="24"/>
        </w:rPr>
      </w:pPr>
      <w:r>
        <w:rPr>
          <w:kern w:val="0"/>
          <w:sz w:val="24"/>
          <w:szCs w:val="24"/>
        </w:rPr>
        <w:t>g</w:t>
      </w:r>
      <w:r>
        <w:rPr>
          <w:kern w:val="0"/>
          <w:sz w:val="24"/>
          <w:szCs w:val="24"/>
        </w:rPr>
        <w:t>）除本条</w:t>
      </w:r>
      <w:r>
        <w:rPr>
          <w:kern w:val="0"/>
          <w:sz w:val="24"/>
          <w:szCs w:val="24"/>
        </w:rPr>
        <w:t>a</w:t>
      </w:r>
      <w:r>
        <w:rPr>
          <w:kern w:val="0"/>
          <w:sz w:val="24"/>
          <w:szCs w:val="24"/>
        </w:rPr>
        <w:t>）、</w:t>
      </w:r>
      <w:r>
        <w:rPr>
          <w:kern w:val="0"/>
          <w:sz w:val="24"/>
          <w:szCs w:val="24"/>
        </w:rPr>
        <w:t>b</w:t>
      </w:r>
      <w:r>
        <w:rPr>
          <w:kern w:val="0"/>
          <w:sz w:val="24"/>
          <w:szCs w:val="24"/>
        </w:rPr>
        <w:t>）、</w:t>
      </w:r>
      <w:r>
        <w:rPr>
          <w:kern w:val="0"/>
          <w:sz w:val="24"/>
          <w:szCs w:val="24"/>
        </w:rPr>
        <w:t>c</w:t>
      </w:r>
      <w:r>
        <w:rPr>
          <w:kern w:val="0"/>
          <w:sz w:val="24"/>
          <w:szCs w:val="24"/>
        </w:rPr>
        <w:t>）、</w:t>
      </w:r>
      <w:r>
        <w:rPr>
          <w:kern w:val="0"/>
          <w:sz w:val="24"/>
          <w:szCs w:val="24"/>
        </w:rPr>
        <w:t>d</w:t>
      </w:r>
      <w:r>
        <w:rPr>
          <w:kern w:val="0"/>
          <w:sz w:val="24"/>
          <w:szCs w:val="24"/>
        </w:rPr>
        <w:t>）、</w:t>
      </w:r>
      <w:r>
        <w:rPr>
          <w:kern w:val="0"/>
          <w:sz w:val="24"/>
          <w:szCs w:val="24"/>
        </w:rPr>
        <w:t>e</w:t>
      </w:r>
      <w:r>
        <w:rPr>
          <w:kern w:val="0"/>
          <w:sz w:val="24"/>
          <w:szCs w:val="24"/>
        </w:rPr>
        <w:t>）、</w:t>
      </w:r>
      <w:r>
        <w:rPr>
          <w:kern w:val="0"/>
          <w:sz w:val="24"/>
          <w:szCs w:val="24"/>
        </w:rPr>
        <w:t>f</w:t>
      </w:r>
      <w:r>
        <w:rPr>
          <w:kern w:val="0"/>
          <w:sz w:val="24"/>
          <w:szCs w:val="24"/>
        </w:rPr>
        <w:t>）以外的情况，评价等级为三级；</w:t>
      </w:r>
    </w:p>
    <w:p w14:paraId="629394D1" w14:textId="77777777" w:rsidR="00606029" w:rsidRDefault="00EA5B92">
      <w:pPr>
        <w:widowControl/>
        <w:snapToGrid w:val="0"/>
        <w:spacing w:line="360" w:lineRule="auto"/>
        <w:ind w:firstLineChars="200" w:firstLine="480"/>
        <w:rPr>
          <w:kern w:val="0"/>
          <w:sz w:val="24"/>
          <w:szCs w:val="24"/>
        </w:rPr>
      </w:pPr>
      <w:r>
        <w:rPr>
          <w:kern w:val="0"/>
          <w:sz w:val="24"/>
          <w:szCs w:val="24"/>
        </w:rPr>
        <w:t>h</w:t>
      </w:r>
      <w:r>
        <w:rPr>
          <w:kern w:val="0"/>
          <w:sz w:val="24"/>
          <w:szCs w:val="24"/>
        </w:rPr>
        <w:t>）当评价等级判定同时符合上述多种情况时，应采用其中最高的评价等级。</w:t>
      </w:r>
    </w:p>
    <w:p w14:paraId="52C107BE" w14:textId="30C4B266" w:rsidR="00606029" w:rsidRDefault="009651FF">
      <w:pPr>
        <w:widowControl/>
        <w:snapToGrid w:val="0"/>
        <w:spacing w:line="360" w:lineRule="auto"/>
        <w:ind w:firstLineChars="200" w:firstLine="480"/>
        <w:rPr>
          <w:kern w:val="0"/>
          <w:sz w:val="24"/>
          <w:szCs w:val="24"/>
        </w:rPr>
      </w:pPr>
      <w:r w:rsidRPr="009651FF">
        <w:rPr>
          <w:kern w:val="0"/>
          <w:sz w:val="24"/>
          <w:szCs w:val="24"/>
        </w:rPr>
        <w:t>本项目建设地点位于大庆市龙凤区红旗二村南侧，</w:t>
      </w:r>
      <w:r>
        <w:rPr>
          <w:rFonts w:hint="eastAsia"/>
          <w:kern w:val="0"/>
          <w:sz w:val="24"/>
          <w:szCs w:val="24"/>
        </w:rPr>
        <w:t>原</w:t>
      </w:r>
      <w:r w:rsidRPr="009651FF">
        <w:rPr>
          <w:kern w:val="0"/>
          <w:sz w:val="24"/>
          <w:szCs w:val="24"/>
        </w:rPr>
        <w:t>大庆市生活垃圾综合处理厂厂界（永久占地）范围内，占地面积为</w:t>
      </w:r>
      <w:r>
        <w:rPr>
          <w:rFonts w:hint="eastAsia"/>
          <w:kern w:val="0"/>
          <w:sz w:val="24"/>
          <w:szCs w:val="24"/>
        </w:rPr>
        <w:t>5136.95</w:t>
      </w:r>
      <w:r w:rsidRPr="009651FF">
        <w:rPr>
          <w:kern w:val="0"/>
          <w:sz w:val="24"/>
          <w:szCs w:val="24"/>
        </w:rPr>
        <w:t>m</w:t>
      </w:r>
      <w:r w:rsidRPr="009651FF">
        <w:rPr>
          <w:kern w:val="0"/>
          <w:sz w:val="24"/>
          <w:szCs w:val="24"/>
          <w:vertAlign w:val="superscript"/>
        </w:rPr>
        <w:t>2</w:t>
      </w:r>
      <w:r w:rsidRPr="009651FF">
        <w:rPr>
          <w:kern w:val="0"/>
          <w:sz w:val="24"/>
          <w:szCs w:val="24"/>
        </w:rPr>
        <w:t>，占地类型属于建设用地，为一般区域</w:t>
      </w:r>
      <w:r>
        <w:rPr>
          <w:rFonts w:hint="eastAsia"/>
          <w:kern w:val="0"/>
          <w:sz w:val="24"/>
          <w:szCs w:val="24"/>
        </w:rPr>
        <w:t>，</w:t>
      </w:r>
      <w:r w:rsidR="00EA5B92">
        <w:rPr>
          <w:kern w:val="0"/>
          <w:sz w:val="24"/>
          <w:szCs w:val="24"/>
        </w:rPr>
        <w:t>根据《环境影响评价技术导则</w:t>
      </w:r>
      <w:r w:rsidR="00EA5B92">
        <w:rPr>
          <w:kern w:val="0"/>
          <w:sz w:val="24"/>
          <w:szCs w:val="24"/>
        </w:rPr>
        <w:t xml:space="preserve"> </w:t>
      </w:r>
      <w:r w:rsidR="00EA5B92">
        <w:rPr>
          <w:kern w:val="0"/>
          <w:sz w:val="24"/>
          <w:szCs w:val="24"/>
        </w:rPr>
        <w:t>生态影响》（</w:t>
      </w:r>
      <w:r w:rsidR="00EA5B92">
        <w:rPr>
          <w:kern w:val="0"/>
          <w:sz w:val="24"/>
          <w:szCs w:val="24"/>
        </w:rPr>
        <w:t>HJ19-2022</w:t>
      </w:r>
      <w:r w:rsidR="00EA5B92">
        <w:rPr>
          <w:kern w:val="0"/>
          <w:sz w:val="24"/>
          <w:szCs w:val="24"/>
        </w:rPr>
        <w:t>），本项目生态环境影响评级等级为</w:t>
      </w:r>
      <w:r>
        <w:rPr>
          <w:rFonts w:hint="eastAsia"/>
          <w:kern w:val="0"/>
          <w:sz w:val="24"/>
          <w:szCs w:val="24"/>
        </w:rPr>
        <w:t>三</w:t>
      </w:r>
      <w:r w:rsidR="00EA5B92">
        <w:rPr>
          <w:kern w:val="0"/>
          <w:sz w:val="24"/>
          <w:szCs w:val="24"/>
        </w:rPr>
        <w:t>级。</w:t>
      </w:r>
    </w:p>
    <w:p w14:paraId="5252DA7D" w14:textId="77777777" w:rsidR="00606029" w:rsidRDefault="00EA5B92">
      <w:pPr>
        <w:pStyle w:val="4"/>
      </w:pPr>
      <w:bookmarkStart w:id="65" w:name="_Ref259959392"/>
      <w:r>
        <w:t>1.6.1.6</w:t>
      </w:r>
      <w:r>
        <w:t>土壤环境影响评价等级</w:t>
      </w:r>
    </w:p>
    <w:p w14:paraId="4F94DEC7" w14:textId="77777777" w:rsidR="00606029" w:rsidRDefault="00EA5B92">
      <w:pPr>
        <w:pStyle w:val="affffff4"/>
        <w:rPr>
          <w:kern w:val="0"/>
          <w:szCs w:val="24"/>
        </w:rPr>
      </w:pPr>
      <w:r>
        <w:rPr>
          <w:kern w:val="0"/>
          <w:szCs w:val="24"/>
        </w:rPr>
        <w:t>依据《环境影响评价技术导则</w:t>
      </w:r>
      <w:r>
        <w:rPr>
          <w:kern w:val="0"/>
          <w:szCs w:val="24"/>
        </w:rPr>
        <w:t xml:space="preserve"> </w:t>
      </w:r>
      <w:r>
        <w:rPr>
          <w:kern w:val="0"/>
          <w:szCs w:val="24"/>
        </w:rPr>
        <w:t>土壤环境（试行）》（</w:t>
      </w:r>
      <w:r>
        <w:rPr>
          <w:kern w:val="0"/>
          <w:szCs w:val="24"/>
        </w:rPr>
        <w:t>HJ964-2018</w:t>
      </w:r>
      <w:r>
        <w:rPr>
          <w:kern w:val="0"/>
          <w:szCs w:val="24"/>
        </w:rPr>
        <w:t>），本项目属于污染影响型，按照</w:t>
      </w:r>
      <w:r>
        <w:rPr>
          <w:kern w:val="0"/>
          <w:szCs w:val="24"/>
        </w:rPr>
        <w:t>“</w:t>
      </w:r>
      <w:r>
        <w:rPr>
          <w:kern w:val="0"/>
          <w:szCs w:val="24"/>
        </w:rPr>
        <w:t>第</w:t>
      </w:r>
      <w:r>
        <w:rPr>
          <w:kern w:val="0"/>
          <w:szCs w:val="24"/>
        </w:rPr>
        <w:t>6.2.2</w:t>
      </w:r>
      <w:r>
        <w:rPr>
          <w:kern w:val="0"/>
          <w:szCs w:val="24"/>
        </w:rPr>
        <w:t>污染影响型</w:t>
      </w:r>
      <w:r>
        <w:rPr>
          <w:kern w:val="0"/>
          <w:szCs w:val="24"/>
        </w:rPr>
        <w:t>”</w:t>
      </w:r>
      <w:r>
        <w:rPr>
          <w:kern w:val="0"/>
          <w:szCs w:val="24"/>
        </w:rPr>
        <w:t>中有关规定，根据土壤环境影响评价项目类别、占地规模与敏感程度划分评价工作等级。</w:t>
      </w:r>
    </w:p>
    <w:p w14:paraId="1D334B51" w14:textId="77777777" w:rsidR="00606029" w:rsidRDefault="00EA5B92">
      <w:pPr>
        <w:pStyle w:val="affffff5"/>
        <w:rPr>
          <w:lang w:eastAsia="en-US"/>
        </w:rPr>
      </w:pPr>
      <w:r>
        <w:rPr>
          <w:lang w:eastAsia="en-US"/>
        </w:rPr>
        <w:t>表</w:t>
      </w:r>
      <w:r>
        <w:rPr>
          <w:lang w:eastAsia="en-US"/>
        </w:rPr>
        <w:t xml:space="preserve"> </w:t>
      </w:r>
      <w:r>
        <w:t>1.6-10</w:t>
      </w:r>
      <w:r>
        <w:rPr>
          <w:lang w:eastAsia="en-US"/>
        </w:rPr>
        <w:t xml:space="preserve"> </w:t>
      </w:r>
      <w:r>
        <w:rPr>
          <w:lang w:eastAsia="en-US"/>
        </w:rPr>
        <w:t>项目类别判定</w:t>
      </w:r>
    </w:p>
    <w:tbl>
      <w:tblPr>
        <w:tblStyle w:val="TableNormal"/>
        <w:tblW w:w="4999" w:type="pct"/>
        <w:tblInd w:w="0" w:type="dxa"/>
        <w:tblBorders>
          <w:top w:val="single" w:sz="4" w:space="0" w:color="auto"/>
          <w:left w:val="single" w:sz="4" w:space="0" w:color="auto"/>
          <w:bottom w:val="single" w:sz="4" w:space="0" w:color="auto"/>
          <w:right w:val="single" w:sz="4" w:space="0" w:color="auto"/>
          <w:insideH w:val="single" w:sz="2" w:space="0" w:color="000000"/>
          <w:insideV w:val="single" w:sz="2" w:space="0" w:color="000000"/>
        </w:tblBorders>
        <w:tblLook w:val="04A0" w:firstRow="1" w:lastRow="0" w:firstColumn="1" w:lastColumn="0" w:noHBand="0" w:noVBand="1"/>
      </w:tblPr>
      <w:tblGrid>
        <w:gridCol w:w="1089"/>
        <w:gridCol w:w="1456"/>
        <w:gridCol w:w="2650"/>
        <w:gridCol w:w="2487"/>
        <w:gridCol w:w="1150"/>
      </w:tblGrid>
      <w:tr w:rsidR="00606029" w14:paraId="1E3DE3D1" w14:textId="77777777">
        <w:trPr>
          <w:trHeight w:val="275"/>
        </w:trPr>
        <w:tc>
          <w:tcPr>
            <w:tcW w:w="616" w:type="pct"/>
            <w:vMerge w:val="restart"/>
            <w:tcBorders>
              <w:bottom w:val="nil"/>
            </w:tcBorders>
            <w:vAlign w:val="center"/>
          </w:tcPr>
          <w:p w14:paraId="53DD1FCB" w14:textId="77777777" w:rsidR="00606029" w:rsidRDefault="00EA5B92">
            <w:pPr>
              <w:spacing w:line="280" w:lineRule="exact"/>
              <w:jc w:val="center"/>
              <w:rPr>
                <w:b/>
                <w:bCs/>
                <w:lang w:eastAsia="en-US"/>
              </w:rPr>
            </w:pPr>
            <w:r>
              <w:rPr>
                <w:b/>
                <w:bCs/>
                <w:lang w:eastAsia="en-US"/>
              </w:rPr>
              <w:t>行业类别</w:t>
            </w:r>
          </w:p>
        </w:tc>
        <w:tc>
          <w:tcPr>
            <w:tcW w:w="4383" w:type="pct"/>
            <w:gridSpan w:val="4"/>
            <w:vAlign w:val="center"/>
          </w:tcPr>
          <w:p w14:paraId="65197F84" w14:textId="77777777" w:rsidR="00606029" w:rsidRDefault="00EA5B92">
            <w:pPr>
              <w:spacing w:line="280" w:lineRule="exact"/>
              <w:jc w:val="center"/>
              <w:rPr>
                <w:b/>
                <w:bCs/>
                <w:lang w:eastAsia="en-US"/>
              </w:rPr>
            </w:pPr>
            <w:r>
              <w:rPr>
                <w:b/>
                <w:bCs/>
                <w:lang w:eastAsia="en-US"/>
              </w:rPr>
              <w:t>项目类别</w:t>
            </w:r>
          </w:p>
        </w:tc>
      </w:tr>
      <w:tr w:rsidR="00606029" w14:paraId="5CC5F003" w14:textId="77777777">
        <w:trPr>
          <w:trHeight w:val="268"/>
        </w:trPr>
        <w:tc>
          <w:tcPr>
            <w:tcW w:w="616" w:type="pct"/>
            <w:vMerge/>
            <w:tcBorders>
              <w:top w:val="nil"/>
            </w:tcBorders>
            <w:vAlign w:val="center"/>
          </w:tcPr>
          <w:p w14:paraId="47597BE0" w14:textId="77777777" w:rsidR="00606029" w:rsidRDefault="00606029">
            <w:pPr>
              <w:spacing w:line="280" w:lineRule="exact"/>
              <w:jc w:val="center"/>
              <w:rPr>
                <w:b/>
                <w:bCs/>
                <w:lang w:eastAsia="en-US"/>
              </w:rPr>
            </w:pPr>
          </w:p>
        </w:tc>
        <w:tc>
          <w:tcPr>
            <w:tcW w:w="824" w:type="pct"/>
            <w:vAlign w:val="center"/>
          </w:tcPr>
          <w:p w14:paraId="4EF22DFF" w14:textId="77777777" w:rsidR="00606029" w:rsidRDefault="00EA5B92">
            <w:pPr>
              <w:spacing w:line="280" w:lineRule="exact"/>
              <w:jc w:val="center"/>
              <w:rPr>
                <w:lang w:eastAsia="en-US"/>
              </w:rPr>
            </w:pPr>
            <w:r>
              <w:rPr>
                <w:lang w:eastAsia="en-US"/>
              </w:rPr>
              <w:t>I</w:t>
            </w:r>
            <w:r>
              <w:rPr>
                <w:lang w:eastAsia="en-US"/>
              </w:rPr>
              <w:t>类</w:t>
            </w:r>
          </w:p>
        </w:tc>
        <w:tc>
          <w:tcPr>
            <w:tcW w:w="1500" w:type="pct"/>
            <w:vAlign w:val="center"/>
          </w:tcPr>
          <w:p w14:paraId="3BDB5F83" w14:textId="77777777" w:rsidR="00606029" w:rsidRDefault="00EA5B92">
            <w:pPr>
              <w:spacing w:line="280" w:lineRule="exact"/>
              <w:jc w:val="center"/>
              <w:rPr>
                <w:lang w:eastAsia="en-US"/>
              </w:rPr>
            </w:pPr>
            <w:r>
              <w:rPr>
                <w:b/>
                <w:bCs/>
                <w:lang w:eastAsia="en-US"/>
              </w:rPr>
              <w:t>II</w:t>
            </w:r>
            <w:r>
              <w:rPr>
                <w:b/>
                <w:bCs/>
                <w:lang w:eastAsia="en-US"/>
              </w:rPr>
              <w:t>类</w:t>
            </w:r>
          </w:p>
        </w:tc>
        <w:tc>
          <w:tcPr>
            <w:tcW w:w="1408" w:type="pct"/>
            <w:vAlign w:val="center"/>
          </w:tcPr>
          <w:p w14:paraId="69EBF031" w14:textId="77777777" w:rsidR="00606029" w:rsidRDefault="00EA5B92">
            <w:pPr>
              <w:spacing w:line="280" w:lineRule="exact"/>
              <w:jc w:val="center"/>
              <w:rPr>
                <w:lang w:eastAsia="en-US"/>
              </w:rPr>
            </w:pPr>
            <w:r>
              <w:rPr>
                <w:lang w:eastAsia="en-US"/>
              </w:rPr>
              <w:t>III</w:t>
            </w:r>
            <w:r>
              <w:rPr>
                <w:lang w:eastAsia="en-US"/>
              </w:rPr>
              <w:t>类</w:t>
            </w:r>
          </w:p>
        </w:tc>
        <w:tc>
          <w:tcPr>
            <w:tcW w:w="649" w:type="pct"/>
            <w:vAlign w:val="center"/>
          </w:tcPr>
          <w:p w14:paraId="1B6A6C35" w14:textId="77777777" w:rsidR="00606029" w:rsidRDefault="00EA5B92">
            <w:pPr>
              <w:spacing w:line="280" w:lineRule="exact"/>
              <w:jc w:val="center"/>
              <w:rPr>
                <w:lang w:eastAsia="en-US"/>
              </w:rPr>
            </w:pPr>
            <w:r>
              <w:rPr>
                <w:lang w:eastAsia="en-US"/>
              </w:rPr>
              <w:t>IV</w:t>
            </w:r>
            <w:r>
              <w:rPr>
                <w:lang w:eastAsia="en-US"/>
              </w:rPr>
              <w:t>类</w:t>
            </w:r>
          </w:p>
        </w:tc>
      </w:tr>
      <w:tr w:rsidR="00606029" w14:paraId="5B6E0A04" w14:textId="77777777">
        <w:trPr>
          <w:trHeight w:val="1099"/>
        </w:trPr>
        <w:tc>
          <w:tcPr>
            <w:tcW w:w="616" w:type="pct"/>
            <w:vAlign w:val="center"/>
          </w:tcPr>
          <w:p w14:paraId="30959D39" w14:textId="77777777" w:rsidR="00606029" w:rsidRDefault="00EA5B92">
            <w:pPr>
              <w:spacing w:line="280" w:lineRule="exact"/>
              <w:jc w:val="center"/>
            </w:pPr>
            <w:r>
              <w:t>环境和公共设施管理业</w:t>
            </w:r>
          </w:p>
        </w:tc>
        <w:tc>
          <w:tcPr>
            <w:tcW w:w="824" w:type="pct"/>
            <w:vAlign w:val="center"/>
          </w:tcPr>
          <w:p w14:paraId="76BD7064" w14:textId="77777777" w:rsidR="00606029" w:rsidRDefault="00EA5B92">
            <w:pPr>
              <w:spacing w:line="280" w:lineRule="exact"/>
              <w:jc w:val="center"/>
              <w:rPr>
                <w:lang w:eastAsia="en-US"/>
              </w:rPr>
            </w:pPr>
            <w:r>
              <w:rPr>
                <w:lang w:eastAsia="en-US"/>
              </w:rPr>
              <w:t>危险废物利用及处置</w:t>
            </w:r>
          </w:p>
        </w:tc>
        <w:tc>
          <w:tcPr>
            <w:tcW w:w="1500" w:type="pct"/>
            <w:vAlign w:val="center"/>
          </w:tcPr>
          <w:p w14:paraId="5C8DA09E" w14:textId="77777777" w:rsidR="00606029" w:rsidRDefault="00EA5B92">
            <w:pPr>
              <w:spacing w:line="280" w:lineRule="exact"/>
              <w:jc w:val="center"/>
              <w:rPr>
                <w:b/>
                <w:bCs/>
              </w:rPr>
            </w:pPr>
            <w:r>
              <w:t>采取填埋和焚烧方式的一般工业固体废物处置及综合利用；城镇生活垃圾（不含餐厨废弃物）集中处置</w:t>
            </w:r>
          </w:p>
        </w:tc>
        <w:tc>
          <w:tcPr>
            <w:tcW w:w="1408" w:type="pct"/>
            <w:vAlign w:val="center"/>
          </w:tcPr>
          <w:p w14:paraId="4057A3A4" w14:textId="77777777" w:rsidR="00606029" w:rsidRDefault="00EA5B92">
            <w:pPr>
              <w:spacing w:line="280" w:lineRule="exact"/>
              <w:jc w:val="center"/>
            </w:pPr>
            <w:r>
              <w:t>一般工业固体废弃物处置及综合利用（除采取填埋和焚烧方式以外的）；废旧资源加工、再生利用</w:t>
            </w:r>
          </w:p>
        </w:tc>
        <w:tc>
          <w:tcPr>
            <w:tcW w:w="649" w:type="pct"/>
            <w:vAlign w:val="center"/>
          </w:tcPr>
          <w:p w14:paraId="7D2DA709" w14:textId="77777777" w:rsidR="00606029" w:rsidRDefault="00EA5B92">
            <w:pPr>
              <w:spacing w:line="280" w:lineRule="exact"/>
              <w:jc w:val="center"/>
              <w:rPr>
                <w:lang w:eastAsia="en-US"/>
              </w:rPr>
            </w:pPr>
            <w:r>
              <w:rPr>
                <w:lang w:eastAsia="en-US"/>
              </w:rPr>
              <w:t>其他</w:t>
            </w:r>
          </w:p>
        </w:tc>
      </w:tr>
    </w:tbl>
    <w:p w14:paraId="27831E23" w14:textId="77777777" w:rsidR="00606029" w:rsidRDefault="00EA5B92">
      <w:pPr>
        <w:pStyle w:val="affffff5"/>
      </w:pPr>
      <w:r>
        <w:t>表</w:t>
      </w:r>
      <w:r>
        <w:t xml:space="preserve"> 1.6-11 </w:t>
      </w:r>
      <w:r>
        <w:t>污染影响型敏感程度分级表</w:t>
      </w:r>
    </w:p>
    <w:p w14:paraId="6C27E0A8" w14:textId="77777777" w:rsidR="00606029" w:rsidRDefault="00606029">
      <w:pPr>
        <w:widowControl/>
        <w:kinsoku w:val="0"/>
        <w:autoSpaceDE w:val="0"/>
        <w:autoSpaceDN w:val="0"/>
        <w:adjustRightInd w:val="0"/>
        <w:snapToGrid w:val="0"/>
        <w:spacing w:line="15" w:lineRule="exact"/>
        <w:jc w:val="left"/>
        <w:textAlignment w:val="baseline"/>
        <w:rPr>
          <w:rFonts w:eastAsia="Arial"/>
          <w:snapToGrid w:val="0"/>
          <w:color w:val="000000"/>
          <w:kern w:val="0"/>
        </w:rPr>
      </w:pPr>
    </w:p>
    <w:tbl>
      <w:tblPr>
        <w:tblStyle w:val="TableNormal"/>
        <w:tblW w:w="4999" w:type="pct"/>
        <w:tblInd w:w="0" w:type="dxa"/>
        <w:tblBorders>
          <w:top w:val="single" w:sz="4" w:space="0" w:color="auto"/>
          <w:left w:val="single" w:sz="4" w:space="0" w:color="auto"/>
          <w:bottom w:val="single" w:sz="4" w:space="0" w:color="auto"/>
          <w:right w:val="single" w:sz="4" w:space="0" w:color="auto"/>
          <w:insideH w:val="single" w:sz="2" w:space="0" w:color="000000"/>
          <w:insideV w:val="single" w:sz="2" w:space="0" w:color="000000"/>
        </w:tblBorders>
        <w:tblLook w:val="04A0" w:firstRow="1" w:lastRow="0" w:firstColumn="1" w:lastColumn="0" w:noHBand="0" w:noVBand="1"/>
      </w:tblPr>
      <w:tblGrid>
        <w:gridCol w:w="1719"/>
        <w:gridCol w:w="7113"/>
      </w:tblGrid>
      <w:tr w:rsidR="00606029" w14:paraId="04F00358" w14:textId="77777777">
        <w:trPr>
          <w:trHeight w:val="277"/>
        </w:trPr>
        <w:tc>
          <w:tcPr>
            <w:tcW w:w="973" w:type="pct"/>
            <w:vAlign w:val="center"/>
          </w:tcPr>
          <w:p w14:paraId="50E272DC" w14:textId="77777777" w:rsidR="00606029" w:rsidRDefault="00EA5B92">
            <w:pPr>
              <w:spacing w:line="280" w:lineRule="exact"/>
              <w:jc w:val="center"/>
              <w:rPr>
                <w:b/>
                <w:bCs/>
                <w:lang w:eastAsia="en-US"/>
              </w:rPr>
            </w:pPr>
            <w:r>
              <w:rPr>
                <w:b/>
                <w:bCs/>
                <w:lang w:eastAsia="en-US"/>
              </w:rPr>
              <w:t>敏感程度</w:t>
            </w:r>
          </w:p>
        </w:tc>
        <w:tc>
          <w:tcPr>
            <w:tcW w:w="4026" w:type="pct"/>
            <w:vAlign w:val="center"/>
          </w:tcPr>
          <w:p w14:paraId="1A5D3612" w14:textId="77777777" w:rsidR="00606029" w:rsidRDefault="00EA5B92">
            <w:pPr>
              <w:spacing w:line="280" w:lineRule="exact"/>
              <w:jc w:val="center"/>
              <w:rPr>
                <w:b/>
                <w:bCs/>
                <w:lang w:eastAsia="en-US"/>
              </w:rPr>
            </w:pPr>
            <w:r>
              <w:rPr>
                <w:b/>
                <w:bCs/>
                <w:lang w:eastAsia="en-US"/>
              </w:rPr>
              <w:t>判别依据</w:t>
            </w:r>
          </w:p>
        </w:tc>
      </w:tr>
      <w:tr w:rsidR="00606029" w14:paraId="539D9DDA" w14:textId="77777777">
        <w:trPr>
          <w:trHeight w:val="539"/>
        </w:trPr>
        <w:tc>
          <w:tcPr>
            <w:tcW w:w="973" w:type="pct"/>
            <w:vAlign w:val="center"/>
          </w:tcPr>
          <w:p w14:paraId="06BD004B" w14:textId="77777777" w:rsidR="00606029" w:rsidRDefault="00EA5B92">
            <w:pPr>
              <w:spacing w:line="280" w:lineRule="exact"/>
              <w:jc w:val="center"/>
              <w:rPr>
                <w:lang w:eastAsia="en-US"/>
              </w:rPr>
            </w:pPr>
            <w:r>
              <w:rPr>
                <w:b/>
                <w:bCs/>
                <w:lang w:eastAsia="en-US"/>
              </w:rPr>
              <w:t>敏感</w:t>
            </w:r>
          </w:p>
        </w:tc>
        <w:tc>
          <w:tcPr>
            <w:tcW w:w="4026" w:type="pct"/>
            <w:vAlign w:val="center"/>
          </w:tcPr>
          <w:p w14:paraId="1BC0EF00" w14:textId="77777777" w:rsidR="00606029" w:rsidRDefault="00EA5B92">
            <w:pPr>
              <w:spacing w:line="280" w:lineRule="exact"/>
              <w:jc w:val="center"/>
            </w:pPr>
            <w:r>
              <w:t>建设项目周边存在耕地、园地、牧草地、饮用水水源地或居民区、学校、医院、</w:t>
            </w:r>
            <w:r>
              <w:t xml:space="preserve"> </w:t>
            </w:r>
            <w:r>
              <w:t>疗养院、养老院等突然环境敏感目标</w:t>
            </w:r>
          </w:p>
        </w:tc>
      </w:tr>
      <w:tr w:rsidR="00606029" w14:paraId="1CDFEB40" w14:textId="77777777">
        <w:trPr>
          <w:trHeight w:val="273"/>
        </w:trPr>
        <w:tc>
          <w:tcPr>
            <w:tcW w:w="973" w:type="pct"/>
            <w:vAlign w:val="center"/>
          </w:tcPr>
          <w:p w14:paraId="60BD9FA4" w14:textId="77777777" w:rsidR="00606029" w:rsidRDefault="00EA5B92">
            <w:pPr>
              <w:spacing w:line="280" w:lineRule="exact"/>
              <w:jc w:val="center"/>
              <w:rPr>
                <w:lang w:eastAsia="en-US"/>
              </w:rPr>
            </w:pPr>
            <w:r>
              <w:rPr>
                <w:lang w:eastAsia="en-US"/>
              </w:rPr>
              <w:t>较敏感</w:t>
            </w:r>
          </w:p>
        </w:tc>
        <w:tc>
          <w:tcPr>
            <w:tcW w:w="4026" w:type="pct"/>
            <w:vAlign w:val="center"/>
          </w:tcPr>
          <w:p w14:paraId="65A2428C" w14:textId="77777777" w:rsidR="00606029" w:rsidRDefault="00EA5B92">
            <w:pPr>
              <w:spacing w:line="280" w:lineRule="exact"/>
              <w:jc w:val="center"/>
            </w:pPr>
            <w:r>
              <w:t>建设项目周边存在其他土壤环境敏感目标</w:t>
            </w:r>
          </w:p>
        </w:tc>
      </w:tr>
      <w:tr w:rsidR="00606029" w14:paraId="6A247A59" w14:textId="77777777">
        <w:trPr>
          <w:trHeight w:val="296"/>
        </w:trPr>
        <w:tc>
          <w:tcPr>
            <w:tcW w:w="973" w:type="pct"/>
            <w:vAlign w:val="center"/>
          </w:tcPr>
          <w:p w14:paraId="5550A96D" w14:textId="77777777" w:rsidR="00606029" w:rsidRDefault="00EA5B92">
            <w:pPr>
              <w:spacing w:line="280" w:lineRule="exact"/>
              <w:jc w:val="center"/>
              <w:rPr>
                <w:lang w:eastAsia="en-US"/>
              </w:rPr>
            </w:pPr>
            <w:r>
              <w:rPr>
                <w:lang w:eastAsia="en-US"/>
              </w:rPr>
              <w:t>不敏感</w:t>
            </w:r>
          </w:p>
        </w:tc>
        <w:tc>
          <w:tcPr>
            <w:tcW w:w="4026" w:type="pct"/>
            <w:vAlign w:val="center"/>
          </w:tcPr>
          <w:p w14:paraId="128096C3" w14:textId="77777777" w:rsidR="00606029" w:rsidRDefault="00EA5B92">
            <w:pPr>
              <w:spacing w:line="280" w:lineRule="exact"/>
              <w:jc w:val="center"/>
              <w:rPr>
                <w:lang w:eastAsia="en-US"/>
              </w:rPr>
            </w:pPr>
            <w:r>
              <w:rPr>
                <w:lang w:eastAsia="en-US"/>
              </w:rPr>
              <w:t>其他情况</w:t>
            </w:r>
          </w:p>
        </w:tc>
      </w:tr>
    </w:tbl>
    <w:p w14:paraId="14769B6D" w14:textId="5AD46AD7" w:rsidR="00606029" w:rsidRDefault="00EA5B92">
      <w:pPr>
        <w:pStyle w:val="affffff4"/>
        <w:adjustRightInd/>
        <w:snapToGrid/>
        <w:spacing w:beforeLines="50" w:before="120"/>
      </w:pPr>
      <w:r>
        <w:t>飞灰经</w:t>
      </w:r>
      <w:r w:rsidR="002F6E1F" w:rsidRPr="002F6E1F">
        <w:rPr>
          <w:rFonts w:hint="eastAsia"/>
        </w:rPr>
        <w:t>采用螯合固化工艺</w:t>
      </w:r>
      <w:r>
        <w:t>处理后，以吨袋包装形式运至本项目飞灰填埋区填埋，根据《国家危险废物名录》（</w:t>
      </w:r>
      <w:r>
        <w:t>2025</w:t>
      </w:r>
      <w:r>
        <w:t>年版）附录危险废物豁免管理清单，满足《生活垃圾填埋场污染控制标准》（</w:t>
      </w:r>
      <w:r>
        <w:t>GB16889-2024</w:t>
      </w:r>
      <w:r>
        <w:t>）中</w:t>
      </w:r>
      <w:r>
        <w:t>6.3</w:t>
      </w:r>
      <w:r>
        <w:t>条要求，进入生活垃圾填埋场填埋的生活垃圾焚烧飞灰可不按危险废物管理。</w:t>
      </w:r>
    </w:p>
    <w:p w14:paraId="25355813" w14:textId="77777777" w:rsidR="00606029" w:rsidRDefault="00EA5B92">
      <w:pPr>
        <w:pStyle w:val="affffff4"/>
      </w:pPr>
      <w:r>
        <w:t>本项目属于环境和公共设施管理业中的</w:t>
      </w:r>
      <w:r>
        <w:t>“</w:t>
      </w:r>
      <w:r>
        <w:t>采取填埋和焚烧方式的一般工业固体废物处置及综合利用；城镇生活垃圾（不含餐厨废弃物）集中处置</w:t>
      </w:r>
      <w:r>
        <w:t>”</w:t>
      </w:r>
      <w:r>
        <w:t>为</w:t>
      </w:r>
      <w:r>
        <w:t>II</w:t>
      </w:r>
      <w:r>
        <w:t>类项目。</w:t>
      </w:r>
    </w:p>
    <w:p w14:paraId="0A80A294" w14:textId="335CBB56" w:rsidR="00606029" w:rsidRDefault="00EA5B92">
      <w:pPr>
        <w:pStyle w:val="affffff4"/>
      </w:pPr>
      <w:r>
        <w:t>本项目</w:t>
      </w:r>
      <w:r w:rsidR="002F6E1F">
        <w:rPr>
          <w:rFonts w:hint="eastAsia"/>
        </w:rPr>
        <w:t>不新增</w:t>
      </w:r>
      <w:r w:rsidR="00136955">
        <w:rPr>
          <w:rFonts w:hint="eastAsia"/>
        </w:rPr>
        <w:t>永久占地</w:t>
      </w:r>
      <w:r w:rsidR="002F6E1F">
        <w:rPr>
          <w:rFonts w:hint="eastAsia"/>
        </w:rPr>
        <w:t>，</w:t>
      </w:r>
      <w:r>
        <w:t>占地面积为</w:t>
      </w:r>
      <w:r w:rsidR="002F6E1F">
        <w:rPr>
          <w:rFonts w:hint="eastAsia"/>
        </w:rPr>
        <w:t>0</w:t>
      </w:r>
      <w:r>
        <w:t>，小于</w:t>
      </w:r>
      <w:r>
        <w:t>5hm</w:t>
      </w:r>
      <w:r>
        <w:rPr>
          <w:vertAlign w:val="superscript"/>
        </w:rPr>
        <w:t>2</w:t>
      </w:r>
      <w:r>
        <w:t>，占地规模属于小型，项目周边存在耕地，环境敏感程度为敏感，评价等级为二级。具体判定详见下表。</w:t>
      </w:r>
    </w:p>
    <w:p w14:paraId="03E9BACC" w14:textId="77777777" w:rsidR="00606029" w:rsidRDefault="00EA5B92">
      <w:pPr>
        <w:pStyle w:val="affffff5"/>
        <w:adjustRightInd w:val="0"/>
        <w:snapToGrid w:val="0"/>
      </w:pPr>
      <w:r>
        <w:t>表</w:t>
      </w:r>
      <w:r>
        <w:t xml:space="preserve"> 1.6-12 </w:t>
      </w:r>
      <w:r>
        <w:t>污染影响型敏感程度分级表</w:t>
      </w:r>
    </w:p>
    <w:tbl>
      <w:tblPr>
        <w:tblStyle w:val="TableNormal"/>
        <w:tblW w:w="4998" w:type="pct"/>
        <w:tblInd w:w="0" w:type="dxa"/>
        <w:tblBorders>
          <w:top w:val="single" w:sz="4" w:space="0" w:color="auto"/>
          <w:left w:val="single" w:sz="4" w:space="0" w:color="auto"/>
          <w:bottom w:val="single" w:sz="4" w:space="0" w:color="auto"/>
          <w:right w:val="single" w:sz="4" w:space="0" w:color="auto"/>
          <w:insideH w:val="single" w:sz="2" w:space="0" w:color="000000"/>
          <w:insideV w:val="single" w:sz="2" w:space="0" w:color="000000"/>
        </w:tblBorders>
        <w:tblLook w:val="04A0" w:firstRow="1" w:lastRow="0" w:firstColumn="1" w:lastColumn="0" w:noHBand="0" w:noVBand="1"/>
      </w:tblPr>
      <w:tblGrid>
        <w:gridCol w:w="2318"/>
        <w:gridCol w:w="723"/>
        <w:gridCol w:w="723"/>
        <w:gridCol w:w="726"/>
        <w:gridCol w:w="722"/>
        <w:gridCol w:w="722"/>
        <w:gridCol w:w="726"/>
        <w:gridCol w:w="722"/>
        <w:gridCol w:w="722"/>
        <w:gridCol w:w="726"/>
      </w:tblGrid>
      <w:tr w:rsidR="00606029" w14:paraId="42823060" w14:textId="77777777">
        <w:trPr>
          <w:trHeight w:val="278"/>
        </w:trPr>
        <w:tc>
          <w:tcPr>
            <w:tcW w:w="1311" w:type="pct"/>
            <w:vMerge w:val="restart"/>
            <w:tcBorders>
              <w:bottom w:val="nil"/>
              <w:tl2br w:val="single" w:sz="4" w:space="0" w:color="000000"/>
            </w:tcBorders>
            <w:vAlign w:val="center"/>
          </w:tcPr>
          <w:p w14:paraId="38AFCBF9" w14:textId="77777777" w:rsidR="00606029" w:rsidRDefault="00EA5B92">
            <w:pPr>
              <w:spacing w:line="280" w:lineRule="exact"/>
              <w:jc w:val="center"/>
            </w:pPr>
            <w:r>
              <w:t xml:space="preserve">            </w:t>
            </w:r>
            <w:r>
              <w:t>项目类别</w:t>
            </w:r>
          </w:p>
          <w:p w14:paraId="4B30DB36" w14:textId="77777777" w:rsidR="00606029" w:rsidRDefault="00EA5B92">
            <w:pPr>
              <w:spacing w:line="280" w:lineRule="exact"/>
            </w:pPr>
            <w:r>
              <w:lastRenderedPageBreak/>
              <w:t>环境敏感程度</w:t>
            </w:r>
          </w:p>
        </w:tc>
        <w:tc>
          <w:tcPr>
            <w:tcW w:w="1229" w:type="pct"/>
            <w:gridSpan w:val="3"/>
            <w:vAlign w:val="center"/>
          </w:tcPr>
          <w:p w14:paraId="2C567299" w14:textId="77777777" w:rsidR="00606029" w:rsidRDefault="00EA5B92">
            <w:pPr>
              <w:spacing w:line="280" w:lineRule="exact"/>
              <w:jc w:val="center"/>
              <w:rPr>
                <w:lang w:eastAsia="en-US"/>
              </w:rPr>
            </w:pPr>
            <w:r>
              <w:rPr>
                <w:lang w:eastAsia="en-US"/>
              </w:rPr>
              <w:lastRenderedPageBreak/>
              <w:t>Ⅰ</w:t>
            </w:r>
            <w:r>
              <w:rPr>
                <w:lang w:eastAsia="en-US"/>
              </w:rPr>
              <w:t>类项目</w:t>
            </w:r>
          </w:p>
        </w:tc>
        <w:tc>
          <w:tcPr>
            <w:tcW w:w="1229" w:type="pct"/>
            <w:gridSpan w:val="3"/>
            <w:vAlign w:val="center"/>
          </w:tcPr>
          <w:p w14:paraId="0B77121B" w14:textId="77777777" w:rsidR="00606029" w:rsidRDefault="00EA5B92">
            <w:pPr>
              <w:spacing w:line="280" w:lineRule="exact"/>
              <w:jc w:val="center"/>
              <w:rPr>
                <w:lang w:eastAsia="en-US"/>
              </w:rPr>
            </w:pPr>
            <w:r>
              <w:rPr>
                <w:lang w:eastAsia="en-US"/>
              </w:rPr>
              <w:t>Ⅱ</w:t>
            </w:r>
            <w:r>
              <w:rPr>
                <w:lang w:eastAsia="en-US"/>
              </w:rPr>
              <w:t>类项目</w:t>
            </w:r>
          </w:p>
        </w:tc>
        <w:tc>
          <w:tcPr>
            <w:tcW w:w="1229" w:type="pct"/>
            <w:gridSpan w:val="3"/>
            <w:vAlign w:val="center"/>
          </w:tcPr>
          <w:p w14:paraId="71FE43F6" w14:textId="77777777" w:rsidR="00606029" w:rsidRDefault="00EA5B92">
            <w:pPr>
              <w:spacing w:line="280" w:lineRule="exact"/>
              <w:jc w:val="center"/>
              <w:rPr>
                <w:lang w:eastAsia="en-US"/>
              </w:rPr>
            </w:pPr>
            <w:r>
              <w:rPr>
                <w:lang w:eastAsia="en-US"/>
              </w:rPr>
              <w:t>Ⅲ</w:t>
            </w:r>
            <w:r>
              <w:rPr>
                <w:lang w:eastAsia="en-US"/>
              </w:rPr>
              <w:t>类项目</w:t>
            </w:r>
          </w:p>
        </w:tc>
      </w:tr>
      <w:tr w:rsidR="00606029" w14:paraId="022E54D3" w14:textId="77777777">
        <w:trPr>
          <w:trHeight w:val="267"/>
        </w:trPr>
        <w:tc>
          <w:tcPr>
            <w:tcW w:w="1311" w:type="pct"/>
            <w:vMerge/>
            <w:tcBorders>
              <w:top w:val="nil"/>
              <w:tl2br w:val="single" w:sz="4" w:space="0" w:color="000000"/>
            </w:tcBorders>
            <w:vAlign w:val="center"/>
          </w:tcPr>
          <w:p w14:paraId="17869E08" w14:textId="77777777" w:rsidR="00606029" w:rsidRDefault="00606029">
            <w:pPr>
              <w:spacing w:line="280" w:lineRule="exact"/>
              <w:jc w:val="center"/>
              <w:rPr>
                <w:lang w:eastAsia="en-US"/>
              </w:rPr>
            </w:pPr>
          </w:p>
        </w:tc>
        <w:tc>
          <w:tcPr>
            <w:tcW w:w="409" w:type="pct"/>
            <w:vAlign w:val="center"/>
          </w:tcPr>
          <w:p w14:paraId="22695381" w14:textId="77777777" w:rsidR="00606029" w:rsidRDefault="00EA5B92">
            <w:pPr>
              <w:spacing w:line="280" w:lineRule="exact"/>
              <w:jc w:val="center"/>
              <w:rPr>
                <w:lang w:eastAsia="en-US"/>
              </w:rPr>
            </w:pPr>
            <w:r>
              <w:rPr>
                <w:lang w:eastAsia="en-US"/>
              </w:rPr>
              <w:t>大</w:t>
            </w:r>
          </w:p>
        </w:tc>
        <w:tc>
          <w:tcPr>
            <w:tcW w:w="409" w:type="pct"/>
            <w:vAlign w:val="center"/>
          </w:tcPr>
          <w:p w14:paraId="3DB530FD" w14:textId="77777777" w:rsidR="00606029" w:rsidRDefault="00EA5B92">
            <w:pPr>
              <w:spacing w:line="280" w:lineRule="exact"/>
              <w:jc w:val="center"/>
              <w:rPr>
                <w:lang w:eastAsia="en-US"/>
              </w:rPr>
            </w:pPr>
            <w:r>
              <w:rPr>
                <w:lang w:eastAsia="en-US"/>
              </w:rPr>
              <w:t>中</w:t>
            </w:r>
          </w:p>
        </w:tc>
        <w:tc>
          <w:tcPr>
            <w:tcW w:w="410" w:type="pct"/>
            <w:vAlign w:val="center"/>
          </w:tcPr>
          <w:p w14:paraId="6B252B6E" w14:textId="77777777" w:rsidR="00606029" w:rsidRDefault="00EA5B92">
            <w:pPr>
              <w:spacing w:line="280" w:lineRule="exact"/>
              <w:jc w:val="center"/>
              <w:rPr>
                <w:lang w:eastAsia="en-US"/>
              </w:rPr>
            </w:pPr>
            <w:r>
              <w:rPr>
                <w:lang w:eastAsia="en-US"/>
              </w:rPr>
              <w:t>小</w:t>
            </w:r>
          </w:p>
        </w:tc>
        <w:tc>
          <w:tcPr>
            <w:tcW w:w="409" w:type="pct"/>
            <w:vAlign w:val="center"/>
          </w:tcPr>
          <w:p w14:paraId="0C000CC8" w14:textId="77777777" w:rsidR="00606029" w:rsidRDefault="00EA5B92">
            <w:pPr>
              <w:spacing w:line="280" w:lineRule="exact"/>
              <w:jc w:val="center"/>
              <w:rPr>
                <w:lang w:eastAsia="en-US"/>
              </w:rPr>
            </w:pPr>
            <w:r>
              <w:rPr>
                <w:lang w:eastAsia="en-US"/>
              </w:rPr>
              <w:t>大</w:t>
            </w:r>
          </w:p>
        </w:tc>
        <w:tc>
          <w:tcPr>
            <w:tcW w:w="409" w:type="pct"/>
            <w:vAlign w:val="center"/>
          </w:tcPr>
          <w:p w14:paraId="78F704D5" w14:textId="77777777" w:rsidR="00606029" w:rsidRDefault="00EA5B92">
            <w:pPr>
              <w:spacing w:line="280" w:lineRule="exact"/>
              <w:jc w:val="center"/>
              <w:rPr>
                <w:lang w:eastAsia="en-US"/>
              </w:rPr>
            </w:pPr>
            <w:r>
              <w:rPr>
                <w:lang w:eastAsia="en-US"/>
              </w:rPr>
              <w:t>中</w:t>
            </w:r>
          </w:p>
        </w:tc>
        <w:tc>
          <w:tcPr>
            <w:tcW w:w="410" w:type="pct"/>
            <w:vAlign w:val="center"/>
          </w:tcPr>
          <w:p w14:paraId="378157B7" w14:textId="77777777" w:rsidR="00606029" w:rsidRDefault="00EA5B92">
            <w:pPr>
              <w:spacing w:line="280" w:lineRule="exact"/>
              <w:jc w:val="center"/>
              <w:rPr>
                <w:lang w:eastAsia="en-US"/>
              </w:rPr>
            </w:pPr>
            <w:r>
              <w:rPr>
                <w:lang w:eastAsia="en-US"/>
              </w:rPr>
              <w:t>小</w:t>
            </w:r>
          </w:p>
        </w:tc>
        <w:tc>
          <w:tcPr>
            <w:tcW w:w="409" w:type="pct"/>
            <w:vAlign w:val="center"/>
          </w:tcPr>
          <w:p w14:paraId="780ED687" w14:textId="77777777" w:rsidR="00606029" w:rsidRDefault="00EA5B92">
            <w:pPr>
              <w:spacing w:line="280" w:lineRule="exact"/>
              <w:jc w:val="center"/>
              <w:rPr>
                <w:lang w:eastAsia="en-US"/>
              </w:rPr>
            </w:pPr>
            <w:r>
              <w:rPr>
                <w:lang w:eastAsia="en-US"/>
              </w:rPr>
              <w:t>大</w:t>
            </w:r>
          </w:p>
        </w:tc>
        <w:tc>
          <w:tcPr>
            <w:tcW w:w="409" w:type="pct"/>
            <w:vAlign w:val="center"/>
          </w:tcPr>
          <w:p w14:paraId="6C48EB15" w14:textId="77777777" w:rsidR="00606029" w:rsidRDefault="00EA5B92">
            <w:pPr>
              <w:spacing w:line="280" w:lineRule="exact"/>
              <w:jc w:val="center"/>
              <w:rPr>
                <w:lang w:eastAsia="en-US"/>
              </w:rPr>
            </w:pPr>
            <w:r>
              <w:rPr>
                <w:lang w:eastAsia="en-US"/>
              </w:rPr>
              <w:t>中</w:t>
            </w:r>
          </w:p>
        </w:tc>
        <w:tc>
          <w:tcPr>
            <w:tcW w:w="411" w:type="pct"/>
            <w:vAlign w:val="center"/>
          </w:tcPr>
          <w:p w14:paraId="446F7027" w14:textId="77777777" w:rsidR="00606029" w:rsidRDefault="00EA5B92">
            <w:pPr>
              <w:spacing w:line="280" w:lineRule="exact"/>
              <w:jc w:val="center"/>
              <w:rPr>
                <w:lang w:eastAsia="en-US"/>
              </w:rPr>
            </w:pPr>
            <w:r>
              <w:rPr>
                <w:lang w:eastAsia="en-US"/>
              </w:rPr>
              <w:t>小</w:t>
            </w:r>
          </w:p>
        </w:tc>
      </w:tr>
      <w:tr w:rsidR="00606029" w14:paraId="77A56AEF" w14:textId="77777777">
        <w:trPr>
          <w:trHeight w:val="276"/>
        </w:trPr>
        <w:tc>
          <w:tcPr>
            <w:tcW w:w="1311" w:type="pct"/>
            <w:vAlign w:val="center"/>
          </w:tcPr>
          <w:p w14:paraId="4678CF29" w14:textId="77777777" w:rsidR="00606029" w:rsidRDefault="00EA5B92">
            <w:pPr>
              <w:spacing w:line="280" w:lineRule="exact"/>
              <w:jc w:val="center"/>
              <w:rPr>
                <w:lang w:eastAsia="en-US"/>
              </w:rPr>
            </w:pPr>
            <w:r>
              <w:rPr>
                <w:lang w:eastAsia="en-US"/>
              </w:rPr>
              <w:t>敏感</w:t>
            </w:r>
          </w:p>
        </w:tc>
        <w:tc>
          <w:tcPr>
            <w:tcW w:w="409" w:type="pct"/>
            <w:vAlign w:val="center"/>
          </w:tcPr>
          <w:p w14:paraId="23B02DB1" w14:textId="77777777" w:rsidR="00606029" w:rsidRDefault="00EA5B92">
            <w:pPr>
              <w:spacing w:line="280" w:lineRule="exact"/>
              <w:jc w:val="center"/>
              <w:rPr>
                <w:lang w:eastAsia="en-US"/>
              </w:rPr>
            </w:pPr>
            <w:r>
              <w:rPr>
                <w:lang w:eastAsia="en-US"/>
              </w:rPr>
              <w:t>一级</w:t>
            </w:r>
          </w:p>
        </w:tc>
        <w:tc>
          <w:tcPr>
            <w:tcW w:w="409" w:type="pct"/>
            <w:vAlign w:val="center"/>
          </w:tcPr>
          <w:p w14:paraId="38D5A8F5" w14:textId="77777777" w:rsidR="00606029" w:rsidRDefault="00EA5B92">
            <w:pPr>
              <w:spacing w:line="280" w:lineRule="exact"/>
              <w:jc w:val="center"/>
              <w:rPr>
                <w:lang w:eastAsia="en-US"/>
              </w:rPr>
            </w:pPr>
            <w:r>
              <w:rPr>
                <w:lang w:eastAsia="en-US"/>
              </w:rPr>
              <w:t>一级</w:t>
            </w:r>
          </w:p>
        </w:tc>
        <w:tc>
          <w:tcPr>
            <w:tcW w:w="410" w:type="pct"/>
            <w:vAlign w:val="center"/>
          </w:tcPr>
          <w:p w14:paraId="77BF87AE" w14:textId="77777777" w:rsidR="00606029" w:rsidRDefault="00EA5B92">
            <w:pPr>
              <w:spacing w:line="280" w:lineRule="exact"/>
              <w:jc w:val="center"/>
              <w:rPr>
                <w:lang w:eastAsia="en-US"/>
              </w:rPr>
            </w:pPr>
            <w:r>
              <w:rPr>
                <w:lang w:eastAsia="en-US"/>
              </w:rPr>
              <w:t>一级</w:t>
            </w:r>
          </w:p>
        </w:tc>
        <w:tc>
          <w:tcPr>
            <w:tcW w:w="409" w:type="pct"/>
            <w:vAlign w:val="center"/>
          </w:tcPr>
          <w:p w14:paraId="09C525C3" w14:textId="77777777" w:rsidR="00606029" w:rsidRDefault="00EA5B92">
            <w:pPr>
              <w:spacing w:line="280" w:lineRule="exact"/>
              <w:jc w:val="center"/>
              <w:rPr>
                <w:lang w:eastAsia="en-US"/>
              </w:rPr>
            </w:pPr>
            <w:r>
              <w:rPr>
                <w:lang w:eastAsia="en-US"/>
              </w:rPr>
              <w:t>二级</w:t>
            </w:r>
          </w:p>
        </w:tc>
        <w:tc>
          <w:tcPr>
            <w:tcW w:w="409" w:type="pct"/>
            <w:vAlign w:val="center"/>
          </w:tcPr>
          <w:p w14:paraId="6B464D94" w14:textId="77777777" w:rsidR="00606029" w:rsidRDefault="00EA5B92">
            <w:pPr>
              <w:spacing w:line="280" w:lineRule="exact"/>
              <w:jc w:val="center"/>
              <w:rPr>
                <w:lang w:eastAsia="en-US"/>
              </w:rPr>
            </w:pPr>
            <w:r>
              <w:rPr>
                <w:lang w:eastAsia="en-US"/>
              </w:rPr>
              <w:t>二级</w:t>
            </w:r>
          </w:p>
        </w:tc>
        <w:tc>
          <w:tcPr>
            <w:tcW w:w="410" w:type="pct"/>
            <w:vAlign w:val="center"/>
          </w:tcPr>
          <w:p w14:paraId="031B1943" w14:textId="77777777" w:rsidR="00606029" w:rsidRDefault="00EA5B92">
            <w:pPr>
              <w:spacing w:line="280" w:lineRule="exact"/>
              <w:jc w:val="center"/>
              <w:rPr>
                <w:lang w:eastAsia="en-US"/>
              </w:rPr>
            </w:pPr>
            <w:r>
              <w:rPr>
                <w:b/>
                <w:bCs/>
                <w:lang w:eastAsia="en-US"/>
              </w:rPr>
              <w:t>二级</w:t>
            </w:r>
          </w:p>
        </w:tc>
        <w:tc>
          <w:tcPr>
            <w:tcW w:w="409" w:type="pct"/>
            <w:vAlign w:val="center"/>
          </w:tcPr>
          <w:p w14:paraId="41A4C16F" w14:textId="77777777" w:rsidR="00606029" w:rsidRDefault="00EA5B92">
            <w:pPr>
              <w:spacing w:line="280" w:lineRule="exact"/>
              <w:jc w:val="center"/>
              <w:rPr>
                <w:lang w:eastAsia="en-US"/>
              </w:rPr>
            </w:pPr>
            <w:r>
              <w:rPr>
                <w:lang w:eastAsia="en-US"/>
              </w:rPr>
              <w:t>三级</w:t>
            </w:r>
          </w:p>
        </w:tc>
        <w:tc>
          <w:tcPr>
            <w:tcW w:w="409" w:type="pct"/>
            <w:vAlign w:val="center"/>
          </w:tcPr>
          <w:p w14:paraId="689D8B9A" w14:textId="77777777" w:rsidR="00606029" w:rsidRDefault="00EA5B92">
            <w:pPr>
              <w:spacing w:line="280" w:lineRule="exact"/>
              <w:jc w:val="center"/>
              <w:rPr>
                <w:lang w:eastAsia="en-US"/>
              </w:rPr>
            </w:pPr>
            <w:r>
              <w:rPr>
                <w:lang w:eastAsia="en-US"/>
              </w:rPr>
              <w:t>三级</w:t>
            </w:r>
          </w:p>
        </w:tc>
        <w:tc>
          <w:tcPr>
            <w:tcW w:w="411" w:type="pct"/>
            <w:vAlign w:val="center"/>
          </w:tcPr>
          <w:p w14:paraId="7F018056" w14:textId="77777777" w:rsidR="00606029" w:rsidRDefault="00EA5B92">
            <w:pPr>
              <w:spacing w:line="280" w:lineRule="exact"/>
              <w:jc w:val="center"/>
              <w:rPr>
                <w:lang w:eastAsia="en-US"/>
              </w:rPr>
            </w:pPr>
            <w:r>
              <w:rPr>
                <w:lang w:eastAsia="en-US"/>
              </w:rPr>
              <w:t>三级</w:t>
            </w:r>
          </w:p>
        </w:tc>
      </w:tr>
      <w:tr w:rsidR="00606029" w14:paraId="640D4967" w14:textId="77777777">
        <w:trPr>
          <w:trHeight w:val="276"/>
        </w:trPr>
        <w:tc>
          <w:tcPr>
            <w:tcW w:w="1311" w:type="pct"/>
            <w:vAlign w:val="center"/>
          </w:tcPr>
          <w:p w14:paraId="2004513B" w14:textId="77777777" w:rsidR="00606029" w:rsidRDefault="00EA5B92">
            <w:pPr>
              <w:spacing w:line="280" w:lineRule="exact"/>
              <w:jc w:val="center"/>
              <w:rPr>
                <w:lang w:eastAsia="en-US"/>
              </w:rPr>
            </w:pPr>
            <w:r>
              <w:rPr>
                <w:lang w:eastAsia="en-US"/>
              </w:rPr>
              <w:t>较敏感</w:t>
            </w:r>
          </w:p>
        </w:tc>
        <w:tc>
          <w:tcPr>
            <w:tcW w:w="409" w:type="pct"/>
            <w:vAlign w:val="center"/>
          </w:tcPr>
          <w:p w14:paraId="60AD0864" w14:textId="77777777" w:rsidR="00606029" w:rsidRDefault="00EA5B92">
            <w:pPr>
              <w:spacing w:line="280" w:lineRule="exact"/>
              <w:jc w:val="center"/>
              <w:rPr>
                <w:lang w:eastAsia="en-US"/>
              </w:rPr>
            </w:pPr>
            <w:r>
              <w:rPr>
                <w:lang w:eastAsia="en-US"/>
              </w:rPr>
              <w:t>一级</w:t>
            </w:r>
          </w:p>
        </w:tc>
        <w:tc>
          <w:tcPr>
            <w:tcW w:w="409" w:type="pct"/>
            <w:vAlign w:val="center"/>
          </w:tcPr>
          <w:p w14:paraId="6927DADD" w14:textId="77777777" w:rsidR="00606029" w:rsidRDefault="00EA5B92">
            <w:pPr>
              <w:spacing w:line="280" w:lineRule="exact"/>
              <w:jc w:val="center"/>
              <w:rPr>
                <w:lang w:eastAsia="en-US"/>
              </w:rPr>
            </w:pPr>
            <w:r>
              <w:rPr>
                <w:lang w:eastAsia="en-US"/>
              </w:rPr>
              <w:t>一级</w:t>
            </w:r>
          </w:p>
        </w:tc>
        <w:tc>
          <w:tcPr>
            <w:tcW w:w="410" w:type="pct"/>
            <w:vAlign w:val="center"/>
          </w:tcPr>
          <w:p w14:paraId="390437C3" w14:textId="77777777" w:rsidR="00606029" w:rsidRDefault="00EA5B92">
            <w:pPr>
              <w:spacing w:line="280" w:lineRule="exact"/>
              <w:jc w:val="center"/>
              <w:rPr>
                <w:lang w:eastAsia="en-US"/>
              </w:rPr>
            </w:pPr>
            <w:r>
              <w:rPr>
                <w:lang w:eastAsia="en-US"/>
              </w:rPr>
              <w:t>二级</w:t>
            </w:r>
          </w:p>
        </w:tc>
        <w:tc>
          <w:tcPr>
            <w:tcW w:w="409" w:type="pct"/>
            <w:vAlign w:val="center"/>
          </w:tcPr>
          <w:p w14:paraId="71DC07C2" w14:textId="77777777" w:rsidR="00606029" w:rsidRDefault="00EA5B92">
            <w:pPr>
              <w:spacing w:line="280" w:lineRule="exact"/>
              <w:jc w:val="center"/>
              <w:rPr>
                <w:lang w:eastAsia="en-US"/>
              </w:rPr>
            </w:pPr>
            <w:r>
              <w:rPr>
                <w:lang w:eastAsia="en-US"/>
              </w:rPr>
              <w:t>二级</w:t>
            </w:r>
          </w:p>
        </w:tc>
        <w:tc>
          <w:tcPr>
            <w:tcW w:w="409" w:type="pct"/>
            <w:vAlign w:val="center"/>
          </w:tcPr>
          <w:p w14:paraId="2122881A" w14:textId="77777777" w:rsidR="00606029" w:rsidRDefault="00EA5B92">
            <w:pPr>
              <w:spacing w:line="280" w:lineRule="exact"/>
              <w:jc w:val="center"/>
              <w:rPr>
                <w:lang w:eastAsia="en-US"/>
              </w:rPr>
            </w:pPr>
            <w:r>
              <w:rPr>
                <w:lang w:eastAsia="en-US"/>
              </w:rPr>
              <w:t>二级</w:t>
            </w:r>
          </w:p>
        </w:tc>
        <w:tc>
          <w:tcPr>
            <w:tcW w:w="410" w:type="pct"/>
            <w:vAlign w:val="center"/>
          </w:tcPr>
          <w:p w14:paraId="44CC1334" w14:textId="77777777" w:rsidR="00606029" w:rsidRDefault="00EA5B92">
            <w:pPr>
              <w:spacing w:line="280" w:lineRule="exact"/>
              <w:jc w:val="center"/>
              <w:rPr>
                <w:lang w:eastAsia="en-US"/>
              </w:rPr>
            </w:pPr>
            <w:r>
              <w:rPr>
                <w:lang w:eastAsia="en-US"/>
              </w:rPr>
              <w:t>三级</w:t>
            </w:r>
          </w:p>
        </w:tc>
        <w:tc>
          <w:tcPr>
            <w:tcW w:w="409" w:type="pct"/>
            <w:vAlign w:val="center"/>
          </w:tcPr>
          <w:p w14:paraId="64098FD9" w14:textId="77777777" w:rsidR="00606029" w:rsidRDefault="00EA5B92">
            <w:pPr>
              <w:spacing w:line="280" w:lineRule="exact"/>
              <w:jc w:val="center"/>
              <w:rPr>
                <w:lang w:eastAsia="en-US"/>
              </w:rPr>
            </w:pPr>
            <w:r>
              <w:rPr>
                <w:lang w:eastAsia="en-US"/>
              </w:rPr>
              <w:t>三级</w:t>
            </w:r>
          </w:p>
        </w:tc>
        <w:tc>
          <w:tcPr>
            <w:tcW w:w="409" w:type="pct"/>
            <w:vAlign w:val="center"/>
          </w:tcPr>
          <w:p w14:paraId="5DE06F7E" w14:textId="77777777" w:rsidR="00606029" w:rsidRDefault="00EA5B92">
            <w:pPr>
              <w:spacing w:line="280" w:lineRule="exact"/>
              <w:jc w:val="center"/>
              <w:rPr>
                <w:lang w:eastAsia="en-US"/>
              </w:rPr>
            </w:pPr>
            <w:r>
              <w:rPr>
                <w:lang w:eastAsia="en-US"/>
              </w:rPr>
              <w:t>三级</w:t>
            </w:r>
          </w:p>
        </w:tc>
        <w:tc>
          <w:tcPr>
            <w:tcW w:w="411" w:type="pct"/>
            <w:vAlign w:val="center"/>
          </w:tcPr>
          <w:p w14:paraId="062211B0" w14:textId="77777777" w:rsidR="00606029" w:rsidRDefault="00EA5B92">
            <w:pPr>
              <w:spacing w:line="280" w:lineRule="exact"/>
              <w:jc w:val="center"/>
              <w:rPr>
                <w:lang w:eastAsia="en-US"/>
              </w:rPr>
            </w:pPr>
            <w:r>
              <w:rPr>
                <w:lang w:eastAsia="en-US"/>
              </w:rPr>
              <w:t>-</w:t>
            </w:r>
          </w:p>
        </w:tc>
      </w:tr>
      <w:tr w:rsidR="00606029" w14:paraId="0E231178" w14:textId="77777777">
        <w:trPr>
          <w:trHeight w:val="279"/>
        </w:trPr>
        <w:tc>
          <w:tcPr>
            <w:tcW w:w="1311" w:type="pct"/>
            <w:vAlign w:val="center"/>
          </w:tcPr>
          <w:p w14:paraId="6CC5E4A8" w14:textId="77777777" w:rsidR="00606029" w:rsidRDefault="00EA5B92">
            <w:pPr>
              <w:spacing w:line="280" w:lineRule="exact"/>
              <w:jc w:val="center"/>
              <w:rPr>
                <w:lang w:eastAsia="en-US"/>
              </w:rPr>
            </w:pPr>
            <w:r>
              <w:rPr>
                <w:lang w:eastAsia="en-US"/>
              </w:rPr>
              <w:t>不敏感</w:t>
            </w:r>
          </w:p>
        </w:tc>
        <w:tc>
          <w:tcPr>
            <w:tcW w:w="409" w:type="pct"/>
            <w:vAlign w:val="center"/>
          </w:tcPr>
          <w:p w14:paraId="7EE204FA" w14:textId="77777777" w:rsidR="00606029" w:rsidRDefault="00EA5B92">
            <w:pPr>
              <w:spacing w:line="280" w:lineRule="exact"/>
              <w:jc w:val="center"/>
              <w:rPr>
                <w:lang w:eastAsia="en-US"/>
              </w:rPr>
            </w:pPr>
            <w:r>
              <w:rPr>
                <w:lang w:eastAsia="en-US"/>
              </w:rPr>
              <w:t>一级</w:t>
            </w:r>
          </w:p>
        </w:tc>
        <w:tc>
          <w:tcPr>
            <w:tcW w:w="409" w:type="pct"/>
            <w:vAlign w:val="center"/>
          </w:tcPr>
          <w:p w14:paraId="3FE5E614" w14:textId="77777777" w:rsidR="00606029" w:rsidRDefault="00EA5B92">
            <w:pPr>
              <w:spacing w:line="280" w:lineRule="exact"/>
              <w:jc w:val="center"/>
              <w:rPr>
                <w:lang w:eastAsia="en-US"/>
              </w:rPr>
            </w:pPr>
            <w:r>
              <w:rPr>
                <w:lang w:eastAsia="en-US"/>
              </w:rPr>
              <w:t>二级</w:t>
            </w:r>
          </w:p>
        </w:tc>
        <w:tc>
          <w:tcPr>
            <w:tcW w:w="410" w:type="pct"/>
            <w:vAlign w:val="center"/>
          </w:tcPr>
          <w:p w14:paraId="71B85F76" w14:textId="77777777" w:rsidR="00606029" w:rsidRDefault="00EA5B92">
            <w:pPr>
              <w:spacing w:line="280" w:lineRule="exact"/>
              <w:jc w:val="center"/>
              <w:rPr>
                <w:lang w:eastAsia="en-US"/>
              </w:rPr>
            </w:pPr>
            <w:r>
              <w:rPr>
                <w:lang w:eastAsia="en-US"/>
              </w:rPr>
              <w:t>二级</w:t>
            </w:r>
          </w:p>
        </w:tc>
        <w:tc>
          <w:tcPr>
            <w:tcW w:w="409" w:type="pct"/>
            <w:vAlign w:val="center"/>
          </w:tcPr>
          <w:p w14:paraId="493315AC" w14:textId="77777777" w:rsidR="00606029" w:rsidRDefault="00EA5B92">
            <w:pPr>
              <w:spacing w:line="280" w:lineRule="exact"/>
              <w:jc w:val="center"/>
              <w:rPr>
                <w:lang w:eastAsia="en-US"/>
              </w:rPr>
            </w:pPr>
            <w:r>
              <w:rPr>
                <w:lang w:eastAsia="en-US"/>
              </w:rPr>
              <w:t>二级</w:t>
            </w:r>
          </w:p>
        </w:tc>
        <w:tc>
          <w:tcPr>
            <w:tcW w:w="409" w:type="pct"/>
            <w:vAlign w:val="center"/>
          </w:tcPr>
          <w:p w14:paraId="47D33F3A" w14:textId="77777777" w:rsidR="00606029" w:rsidRDefault="00EA5B92">
            <w:pPr>
              <w:spacing w:line="280" w:lineRule="exact"/>
              <w:jc w:val="center"/>
              <w:rPr>
                <w:lang w:eastAsia="en-US"/>
              </w:rPr>
            </w:pPr>
            <w:r>
              <w:rPr>
                <w:lang w:eastAsia="en-US"/>
              </w:rPr>
              <w:t>三级</w:t>
            </w:r>
          </w:p>
        </w:tc>
        <w:tc>
          <w:tcPr>
            <w:tcW w:w="410" w:type="pct"/>
            <w:vAlign w:val="center"/>
          </w:tcPr>
          <w:p w14:paraId="0E2D6273" w14:textId="77777777" w:rsidR="00606029" w:rsidRDefault="00EA5B92">
            <w:pPr>
              <w:spacing w:line="280" w:lineRule="exact"/>
              <w:jc w:val="center"/>
              <w:rPr>
                <w:lang w:eastAsia="en-US"/>
              </w:rPr>
            </w:pPr>
            <w:r>
              <w:rPr>
                <w:lang w:eastAsia="en-US"/>
              </w:rPr>
              <w:t>三级</w:t>
            </w:r>
          </w:p>
        </w:tc>
        <w:tc>
          <w:tcPr>
            <w:tcW w:w="409" w:type="pct"/>
            <w:vAlign w:val="center"/>
          </w:tcPr>
          <w:p w14:paraId="7E26891A" w14:textId="77777777" w:rsidR="00606029" w:rsidRDefault="00EA5B92">
            <w:pPr>
              <w:spacing w:line="280" w:lineRule="exact"/>
              <w:jc w:val="center"/>
              <w:rPr>
                <w:lang w:eastAsia="en-US"/>
              </w:rPr>
            </w:pPr>
            <w:r>
              <w:rPr>
                <w:lang w:eastAsia="en-US"/>
              </w:rPr>
              <w:t>三级</w:t>
            </w:r>
          </w:p>
        </w:tc>
        <w:tc>
          <w:tcPr>
            <w:tcW w:w="409" w:type="pct"/>
            <w:vAlign w:val="center"/>
          </w:tcPr>
          <w:p w14:paraId="2766948C" w14:textId="77777777" w:rsidR="00606029" w:rsidRDefault="00EA5B92">
            <w:pPr>
              <w:spacing w:line="280" w:lineRule="exact"/>
              <w:jc w:val="center"/>
              <w:rPr>
                <w:lang w:eastAsia="en-US"/>
              </w:rPr>
            </w:pPr>
            <w:r>
              <w:rPr>
                <w:lang w:eastAsia="en-US"/>
              </w:rPr>
              <w:t>-</w:t>
            </w:r>
          </w:p>
        </w:tc>
        <w:tc>
          <w:tcPr>
            <w:tcW w:w="411" w:type="pct"/>
            <w:vAlign w:val="center"/>
          </w:tcPr>
          <w:p w14:paraId="255D7A21" w14:textId="77777777" w:rsidR="00606029" w:rsidRDefault="00EA5B92">
            <w:pPr>
              <w:spacing w:line="280" w:lineRule="exact"/>
              <w:jc w:val="center"/>
              <w:rPr>
                <w:lang w:eastAsia="en-US"/>
              </w:rPr>
            </w:pPr>
            <w:r>
              <w:rPr>
                <w:lang w:eastAsia="en-US"/>
              </w:rPr>
              <w:t>-</w:t>
            </w:r>
          </w:p>
        </w:tc>
      </w:tr>
    </w:tbl>
    <w:p w14:paraId="7261D506" w14:textId="77777777" w:rsidR="00606029" w:rsidRDefault="00EA5B92">
      <w:pPr>
        <w:widowControl/>
        <w:kinsoku w:val="0"/>
        <w:autoSpaceDE w:val="0"/>
        <w:autoSpaceDN w:val="0"/>
        <w:adjustRightInd w:val="0"/>
        <w:snapToGrid w:val="0"/>
        <w:spacing w:before="30" w:line="223" w:lineRule="auto"/>
        <w:ind w:left="119"/>
        <w:jc w:val="left"/>
        <w:textAlignment w:val="baseline"/>
        <w:rPr>
          <w:snapToGrid w:val="0"/>
          <w:color w:val="000000"/>
          <w:kern w:val="0"/>
          <w:sz w:val="20"/>
          <w:szCs w:val="20"/>
        </w:rPr>
      </w:pPr>
      <w:r>
        <w:rPr>
          <w:snapToGrid w:val="0"/>
          <w:color w:val="000000"/>
          <w:kern w:val="0"/>
          <w:sz w:val="20"/>
          <w:szCs w:val="20"/>
        </w:rPr>
        <w:t>注：</w:t>
      </w:r>
      <w:r>
        <w:rPr>
          <w:rFonts w:eastAsia="Times New Roman"/>
          <w:snapToGrid w:val="0"/>
          <w:color w:val="000000"/>
          <w:kern w:val="0"/>
          <w:sz w:val="20"/>
          <w:szCs w:val="20"/>
        </w:rPr>
        <w:t>“-”</w:t>
      </w:r>
      <w:r>
        <w:rPr>
          <w:snapToGrid w:val="0"/>
          <w:color w:val="000000"/>
          <w:kern w:val="0"/>
          <w:sz w:val="20"/>
          <w:szCs w:val="20"/>
        </w:rPr>
        <w:t>表示可不开展土壤环境影响评价工作。</w:t>
      </w:r>
    </w:p>
    <w:p w14:paraId="2E363C5E" w14:textId="77777777" w:rsidR="00606029" w:rsidRDefault="00EA5B92">
      <w:pPr>
        <w:pStyle w:val="4"/>
        <w:adjustRightInd/>
        <w:snapToGrid/>
        <w:spacing w:beforeLines="50" w:before="120"/>
      </w:pPr>
      <w:r>
        <w:t>1.6.1.7</w:t>
      </w:r>
      <w:r>
        <w:t>风险评价工作等级</w:t>
      </w:r>
    </w:p>
    <w:p w14:paraId="71B6BF48" w14:textId="77777777" w:rsidR="00606029" w:rsidRDefault="00EA5B92">
      <w:pPr>
        <w:pStyle w:val="affffff4"/>
      </w:pPr>
      <w:bookmarkStart w:id="66" w:name="_Toc31890"/>
      <w:r>
        <w:t>（</w:t>
      </w:r>
      <w:r>
        <w:t>1</w:t>
      </w:r>
      <w:r>
        <w:t>）危险物质数量与临界量比值（</w:t>
      </w:r>
      <w:r>
        <w:t>Q</w:t>
      </w:r>
      <w:r>
        <w:t>）</w:t>
      </w:r>
    </w:p>
    <w:p w14:paraId="0AD524E5" w14:textId="77777777" w:rsidR="00606029" w:rsidRDefault="00EA5B92">
      <w:pPr>
        <w:pStyle w:val="affffff4"/>
      </w:pPr>
      <w:r>
        <w:t>根据《建设项目环境风险评价技术导则》（</w:t>
      </w:r>
      <w:r>
        <w:t>HJ169-2018</w:t>
      </w:r>
      <w:r>
        <w:t>）附录</w:t>
      </w:r>
      <w:r>
        <w:t>B</w:t>
      </w:r>
      <w:r>
        <w:t>，本项目涉及的危险物质数量与临界量比值（</w:t>
      </w:r>
      <w:r>
        <w:t>Q</w:t>
      </w:r>
      <w:r>
        <w:t>）计算结果，见下表：</w:t>
      </w:r>
    </w:p>
    <w:p w14:paraId="2DF522DC" w14:textId="77777777" w:rsidR="00606029" w:rsidRPr="00155832" w:rsidRDefault="00EA5B92">
      <w:pPr>
        <w:pStyle w:val="affffff5"/>
      </w:pPr>
      <w:r w:rsidRPr="00155832">
        <w:t>表</w:t>
      </w:r>
      <w:r w:rsidRPr="00155832">
        <w:t xml:space="preserve"> 1.6-13 </w:t>
      </w:r>
      <w:r w:rsidRPr="00155832">
        <w:t>本项目涉及的危险物质总量情况一览表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12"/>
        <w:gridCol w:w="1396"/>
        <w:gridCol w:w="921"/>
        <w:gridCol w:w="1277"/>
        <w:gridCol w:w="2009"/>
        <w:gridCol w:w="1323"/>
        <w:gridCol w:w="1396"/>
      </w:tblGrid>
      <w:tr w:rsidR="00B04764" w:rsidRPr="00155832" w14:paraId="54CE88D4" w14:textId="77777777" w:rsidTr="00B04764">
        <w:trPr>
          <w:trHeight w:val="340"/>
        </w:trPr>
        <w:tc>
          <w:tcPr>
            <w:tcW w:w="290" w:type="pct"/>
            <w:tcBorders>
              <w:tl2br w:val="nil"/>
              <w:tr2bl w:val="nil"/>
            </w:tcBorders>
            <w:vAlign w:val="center"/>
          </w:tcPr>
          <w:p w14:paraId="30471835" w14:textId="77777777" w:rsidR="00B04764" w:rsidRPr="00155832" w:rsidRDefault="00B04764">
            <w:pPr>
              <w:spacing w:line="280" w:lineRule="exact"/>
              <w:jc w:val="center"/>
            </w:pPr>
            <w:r w:rsidRPr="00155832">
              <w:t>序号</w:t>
            </w:r>
          </w:p>
        </w:tc>
        <w:tc>
          <w:tcPr>
            <w:tcW w:w="790" w:type="pct"/>
            <w:tcBorders>
              <w:tl2br w:val="nil"/>
              <w:tr2bl w:val="nil"/>
            </w:tcBorders>
            <w:vAlign w:val="center"/>
          </w:tcPr>
          <w:p w14:paraId="32786B44" w14:textId="77777777" w:rsidR="00B04764" w:rsidRPr="00155832" w:rsidRDefault="00B04764">
            <w:pPr>
              <w:spacing w:line="280" w:lineRule="exact"/>
              <w:jc w:val="center"/>
            </w:pPr>
            <w:r w:rsidRPr="00155832">
              <w:t>物料名称</w:t>
            </w:r>
          </w:p>
        </w:tc>
        <w:tc>
          <w:tcPr>
            <w:tcW w:w="521" w:type="pct"/>
            <w:tcBorders>
              <w:tl2br w:val="nil"/>
              <w:tr2bl w:val="nil"/>
            </w:tcBorders>
            <w:vAlign w:val="center"/>
          </w:tcPr>
          <w:p w14:paraId="50B7EA84" w14:textId="77777777" w:rsidR="00B04764" w:rsidRPr="00155832" w:rsidRDefault="00B04764">
            <w:pPr>
              <w:spacing w:line="280" w:lineRule="exact"/>
              <w:jc w:val="center"/>
            </w:pPr>
            <w:r w:rsidRPr="00155832">
              <w:t>CAS</w:t>
            </w:r>
            <w:r w:rsidRPr="00155832">
              <w:t>号</w:t>
            </w:r>
          </w:p>
        </w:tc>
        <w:tc>
          <w:tcPr>
            <w:tcW w:w="723" w:type="pct"/>
            <w:tcBorders>
              <w:tl2br w:val="nil"/>
              <w:tr2bl w:val="nil"/>
            </w:tcBorders>
            <w:vAlign w:val="center"/>
          </w:tcPr>
          <w:p w14:paraId="3AACA97D" w14:textId="77777777" w:rsidR="00B04764" w:rsidRPr="00155832" w:rsidRDefault="00B04764">
            <w:pPr>
              <w:spacing w:line="280" w:lineRule="exact"/>
              <w:jc w:val="center"/>
            </w:pPr>
            <w:r w:rsidRPr="00155832">
              <w:t>贮存场所</w:t>
            </w:r>
          </w:p>
        </w:tc>
        <w:tc>
          <w:tcPr>
            <w:tcW w:w="1137" w:type="pct"/>
            <w:tcBorders>
              <w:tl2br w:val="nil"/>
              <w:tr2bl w:val="nil"/>
            </w:tcBorders>
            <w:vAlign w:val="center"/>
          </w:tcPr>
          <w:p w14:paraId="0CEEEA98" w14:textId="77777777" w:rsidR="00B04764" w:rsidRPr="00155832" w:rsidRDefault="00B04764">
            <w:pPr>
              <w:spacing w:line="280" w:lineRule="exact"/>
              <w:jc w:val="center"/>
            </w:pPr>
            <w:r w:rsidRPr="00155832">
              <w:t>最大存放量（</w:t>
            </w:r>
            <w:r w:rsidRPr="00155832">
              <w:t>t</w:t>
            </w:r>
            <w:r w:rsidRPr="00155832">
              <w:t>）</w:t>
            </w:r>
          </w:p>
        </w:tc>
        <w:tc>
          <w:tcPr>
            <w:tcW w:w="749" w:type="pct"/>
            <w:tcBorders>
              <w:tl2br w:val="nil"/>
              <w:tr2bl w:val="nil"/>
            </w:tcBorders>
            <w:vAlign w:val="center"/>
          </w:tcPr>
          <w:p w14:paraId="5A7BD5F9" w14:textId="77777777" w:rsidR="00B04764" w:rsidRPr="00155832" w:rsidRDefault="00B04764">
            <w:pPr>
              <w:spacing w:line="280" w:lineRule="exact"/>
              <w:jc w:val="center"/>
            </w:pPr>
            <w:r w:rsidRPr="00155832">
              <w:t>临界值</w:t>
            </w:r>
            <w:r w:rsidRPr="00155832">
              <w:t>t</w:t>
            </w:r>
          </w:p>
        </w:tc>
        <w:tc>
          <w:tcPr>
            <w:tcW w:w="790" w:type="pct"/>
            <w:tcBorders>
              <w:tl2br w:val="nil"/>
              <w:tr2bl w:val="nil"/>
            </w:tcBorders>
            <w:vAlign w:val="center"/>
          </w:tcPr>
          <w:p w14:paraId="5BCCA478" w14:textId="77777777" w:rsidR="00B04764" w:rsidRPr="00155832" w:rsidRDefault="00B04764">
            <w:pPr>
              <w:spacing w:line="280" w:lineRule="exact"/>
              <w:jc w:val="center"/>
            </w:pPr>
            <w:r w:rsidRPr="00155832">
              <w:t>q/Q</w:t>
            </w:r>
          </w:p>
        </w:tc>
      </w:tr>
      <w:tr w:rsidR="00B04764" w:rsidRPr="00155832" w14:paraId="3F732B63" w14:textId="77777777" w:rsidTr="00B04764">
        <w:trPr>
          <w:trHeight w:val="340"/>
        </w:trPr>
        <w:tc>
          <w:tcPr>
            <w:tcW w:w="290" w:type="pct"/>
            <w:tcBorders>
              <w:tl2br w:val="nil"/>
              <w:tr2bl w:val="nil"/>
            </w:tcBorders>
            <w:vAlign w:val="center"/>
          </w:tcPr>
          <w:p w14:paraId="60072EFD" w14:textId="27806CA8" w:rsidR="00B04764" w:rsidRPr="00155832" w:rsidRDefault="00247725">
            <w:pPr>
              <w:spacing w:line="280" w:lineRule="exact"/>
              <w:jc w:val="center"/>
            </w:pPr>
            <w:r>
              <w:rPr>
                <w:rFonts w:hint="eastAsia"/>
              </w:rPr>
              <w:t>1</w:t>
            </w:r>
          </w:p>
        </w:tc>
        <w:tc>
          <w:tcPr>
            <w:tcW w:w="790" w:type="pct"/>
            <w:tcBorders>
              <w:tl2br w:val="nil"/>
              <w:tr2bl w:val="nil"/>
            </w:tcBorders>
            <w:vAlign w:val="center"/>
          </w:tcPr>
          <w:p w14:paraId="0EA27A80" w14:textId="1E5DB87D" w:rsidR="00B04764" w:rsidRPr="00155832" w:rsidRDefault="00B04764">
            <w:pPr>
              <w:widowControl/>
              <w:jc w:val="center"/>
              <w:textAlignment w:val="center"/>
            </w:pPr>
            <w:r w:rsidRPr="00155832">
              <w:rPr>
                <w:rFonts w:hint="eastAsia"/>
              </w:rPr>
              <w:t>淋溶水</w:t>
            </w:r>
          </w:p>
        </w:tc>
        <w:tc>
          <w:tcPr>
            <w:tcW w:w="521" w:type="pct"/>
            <w:tcBorders>
              <w:tl2br w:val="nil"/>
              <w:tr2bl w:val="nil"/>
            </w:tcBorders>
            <w:vAlign w:val="center"/>
          </w:tcPr>
          <w:p w14:paraId="0A424B22" w14:textId="77777777" w:rsidR="00B04764" w:rsidRPr="00155832" w:rsidRDefault="00B04764">
            <w:pPr>
              <w:spacing w:line="280" w:lineRule="exact"/>
              <w:jc w:val="center"/>
            </w:pPr>
            <w:r w:rsidRPr="00155832">
              <w:t>/</w:t>
            </w:r>
          </w:p>
        </w:tc>
        <w:tc>
          <w:tcPr>
            <w:tcW w:w="723" w:type="pct"/>
            <w:tcBorders>
              <w:tl2br w:val="nil"/>
              <w:tr2bl w:val="nil"/>
            </w:tcBorders>
            <w:vAlign w:val="center"/>
          </w:tcPr>
          <w:p w14:paraId="2C490788" w14:textId="0C7B561A" w:rsidR="00B04764" w:rsidRPr="00155832" w:rsidRDefault="00B04764">
            <w:pPr>
              <w:spacing w:line="280" w:lineRule="exact"/>
              <w:jc w:val="center"/>
            </w:pPr>
            <w:r w:rsidRPr="00155832">
              <w:rPr>
                <w:rFonts w:hint="eastAsia"/>
              </w:rPr>
              <w:t>渗滤液</w:t>
            </w:r>
            <w:r w:rsidRPr="00155832">
              <w:t>调节池</w:t>
            </w:r>
          </w:p>
        </w:tc>
        <w:tc>
          <w:tcPr>
            <w:tcW w:w="1137" w:type="pct"/>
            <w:tcBorders>
              <w:tl2br w:val="nil"/>
              <w:tr2bl w:val="nil"/>
            </w:tcBorders>
            <w:vAlign w:val="center"/>
          </w:tcPr>
          <w:p w14:paraId="08B2BE62" w14:textId="544DC785" w:rsidR="00B04764" w:rsidRPr="00155832" w:rsidRDefault="00155832">
            <w:pPr>
              <w:spacing w:line="280" w:lineRule="exact"/>
              <w:jc w:val="center"/>
            </w:pPr>
            <w:r w:rsidRPr="00155832">
              <w:rPr>
                <w:rFonts w:hint="eastAsia"/>
              </w:rPr>
              <w:t>3120</w:t>
            </w:r>
          </w:p>
        </w:tc>
        <w:tc>
          <w:tcPr>
            <w:tcW w:w="749" w:type="pct"/>
            <w:tcBorders>
              <w:tl2br w:val="nil"/>
              <w:tr2bl w:val="nil"/>
            </w:tcBorders>
            <w:vAlign w:val="center"/>
          </w:tcPr>
          <w:p w14:paraId="0FAE48D3" w14:textId="0A194015" w:rsidR="00B04764" w:rsidRPr="00155832" w:rsidRDefault="00B04764">
            <w:pPr>
              <w:spacing w:line="280" w:lineRule="exact"/>
              <w:jc w:val="center"/>
            </w:pPr>
            <w:r w:rsidRPr="00155832">
              <w:rPr>
                <w:rFonts w:hint="eastAsia"/>
              </w:rPr>
              <w:t>10</w:t>
            </w:r>
          </w:p>
        </w:tc>
        <w:tc>
          <w:tcPr>
            <w:tcW w:w="790" w:type="pct"/>
            <w:tcBorders>
              <w:tl2br w:val="nil"/>
              <w:tr2bl w:val="nil"/>
            </w:tcBorders>
            <w:vAlign w:val="center"/>
          </w:tcPr>
          <w:p w14:paraId="2C2C6D8B" w14:textId="31D2F095" w:rsidR="00B04764" w:rsidRPr="00155832" w:rsidRDefault="00155832">
            <w:pPr>
              <w:spacing w:line="280" w:lineRule="exact"/>
              <w:jc w:val="center"/>
            </w:pPr>
            <w:r w:rsidRPr="00155832">
              <w:rPr>
                <w:rFonts w:hint="eastAsia"/>
              </w:rPr>
              <w:t>312</w:t>
            </w:r>
          </w:p>
        </w:tc>
      </w:tr>
      <w:tr w:rsidR="00B04764" w:rsidRPr="00155832" w14:paraId="28D9F4A6" w14:textId="77777777" w:rsidTr="00B04764">
        <w:trPr>
          <w:trHeight w:val="340"/>
        </w:trPr>
        <w:tc>
          <w:tcPr>
            <w:tcW w:w="4210" w:type="pct"/>
            <w:gridSpan w:val="6"/>
            <w:tcBorders>
              <w:tl2br w:val="nil"/>
              <w:tr2bl w:val="nil"/>
            </w:tcBorders>
            <w:vAlign w:val="center"/>
          </w:tcPr>
          <w:p w14:paraId="40545027" w14:textId="4921A80D" w:rsidR="00B04764" w:rsidRPr="00155832" w:rsidRDefault="00B04764">
            <w:pPr>
              <w:spacing w:line="280" w:lineRule="exact"/>
              <w:jc w:val="center"/>
            </w:pPr>
            <w:r w:rsidRPr="00155832">
              <w:t>合计</w:t>
            </w:r>
          </w:p>
        </w:tc>
        <w:tc>
          <w:tcPr>
            <w:tcW w:w="790" w:type="pct"/>
            <w:tcBorders>
              <w:tl2br w:val="nil"/>
              <w:tr2bl w:val="nil"/>
            </w:tcBorders>
            <w:vAlign w:val="center"/>
          </w:tcPr>
          <w:p w14:paraId="7D93C42D" w14:textId="04D53EE7" w:rsidR="00B04764" w:rsidRPr="00155832" w:rsidRDefault="00155832">
            <w:pPr>
              <w:spacing w:line="280" w:lineRule="exact"/>
              <w:jc w:val="center"/>
            </w:pPr>
            <w:r w:rsidRPr="00155832">
              <w:rPr>
                <w:rFonts w:hint="eastAsia"/>
              </w:rPr>
              <w:t>312</w:t>
            </w:r>
          </w:p>
        </w:tc>
      </w:tr>
    </w:tbl>
    <w:p w14:paraId="4C8B5959" w14:textId="03DADD8B" w:rsidR="00606029" w:rsidRDefault="00EA5B92">
      <w:pPr>
        <w:pStyle w:val="affffff4"/>
        <w:adjustRightInd/>
        <w:snapToGrid/>
        <w:spacing w:beforeLines="50" w:before="120"/>
      </w:pPr>
      <w:r w:rsidRPr="00155832">
        <w:t>项目危险物质数量与临界量比值</w:t>
      </w:r>
      <w:r w:rsidRPr="00155832">
        <w:t>Q=</w:t>
      </w:r>
      <w:r w:rsidR="00155832" w:rsidRPr="00155832">
        <w:rPr>
          <w:rFonts w:hint="eastAsia"/>
        </w:rPr>
        <w:t>312</w:t>
      </w:r>
      <w:r w:rsidRPr="00155832">
        <w:t>，</w:t>
      </w:r>
      <w:r w:rsidR="00155832" w:rsidRPr="00155832">
        <w:t>Q≥100</w:t>
      </w:r>
      <w:r w:rsidRPr="00155832">
        <w:t>。</w:t>
      </w:r>
    </w:p>
    <w:bookmarkEnd w:id="66"/>
    <w:p w14:paraId="18EF8B65" w14:textId="77777777" w:rsidR="00606029" w:rsidRDefault="00EA5B92">
      <w:pPr>
        <w:pStyle w:val="affffff4"/>
      </w:pPr>
      <w:r>
        <w:t>（</w:t>
      </w:r>
      <w:r>
        <w:t>2</w:t>
      </w:r>
      <w:r>
        <w:t>）行业及生产工艺（</w:t>
      </w:r>
      <w:r>
        <w:t>M</w:t>
      </w:r>
      <w:r>
        <w:t>）</w:t>
      </w:r>
    </w:p>
    <w:p w14:paraId="38C34FEC" w14:textId="77777777" w:rsidR="00606029" w:rsidRDefault="00EA5B92">
      <w:pPr>
        <w:pStyle w:val="affffff4"/>
      </w:pPr>
      <w:r>
        <w:t>分析项目所属行业及生产工艺特点，按照附表</w:t>
      </w:r>
      <w:r>
        <w:t>C.1</w:t>
      </w:r>
      <w:r>
        <w:t>评估生产工艺情况。具有多套工艺单元的项目，对每套生产工艺分别评分并求和。将</w:t>
      </w:r>
      <w:r>
        <w:t>M</w:t>
      </w:r>
      <w:r>
        <w:t>划分为（</w:t>
      </w:r>
      <w:r>
        <w:t>1</w:t>
      </w:r>
      <w:r>
        <w:t>）</w:t>
      </w:r>
      <w:r>
        <w:t>M&gt;20</w:t>
      </w:r>
      <w:r>
        <w:t>；（</w:t>
      </w:r>
      <w:r>
        <w:t>2</w:t>
      </w:r>
      <w:r>
        <w:t>）</w:t>
      </w:r>
      <w:r>
        <w:t>10&lt;M&lt;20</w:t>
      </w:r>
      <w:r>
        <w:t>；（</w:t>
      </w:r>
      <w:r>
        <w:t>3</w:t>
      </w:r>
      <w:r>
        <w:t>）</w:t>
      </w:r>
      <w:r>
        <w:t>5&lt;M&lt;10</w:t>
      </w:r>
      <w:r>
        <w:t>；（</w:t>
      </w:r>
      <w:r>
        <w:t>4</w:t>
      </w:r>
      <w:r>
        <w:t>）</w:t>
      </w:r>
      <w:r>
        <w:t>M=5</w:t>
      </w:r>
      <w:r>
        <w:t>，分别以</w:t>
      </w:r>
      <w:r>
        <w:t>M1</w:t>
      </w:r>
      <w:r>
        <w:t>、</w:t>
      </w:r>
      <w:r>
        <w:t>M2</w:t>
      </w:r>
      <w:r>
        <w:t>、</w:t>
      </w:r>
      <w:r>
        <w:t>M3</w:t>
      </w:r>
      <w:r>
        <w:t>和</w:t>
      </w:r>
      <w:r>
        <w:t>M4</w:t>
      </w:r>
      <w:r>
        <w:t>表示。</w:t>
      </w:r>
    </w:p>
    <w:p w14:paraId="37DDED59" w14:textId="77777777" w:rsidR="00606029" w:rsidRDefault="00EA5B92">
      <w:pPr>
        <w:pStyle w:val="affffff4"/>
      </w:pPr>
      <w:r>
        <w:t>企业生产工艺过程评估分值详见下表。</w:t>
      </w:r>
    </w:p>
    <w:p w14:paraId="57E7364A" w14:textId="77777777" w:rsidR="00606029" w:rsidRDefault="00EA5B92">
      <w:pPr>
        <w:pStyle w:val="affffff5"/>
      </w:pPr>
      <w:r>
        <w:t>表</w:t>
      </w:r>
      <w:r>
        <w:t xml:space="preserve"> 1.6-14 </w:t>
      </w:r>
      <w:r>
        <w:t>项目</w:t>
      </w:r>
      <w:r>
        <w:t>M</w:t>
      </w:r>
      <w:r>
        <w:t>值确定表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77"/>
        <w:gridCol w:w="4169"/>
        <w:gridCol w:w="1244"/>
        <w:gridCol w:w="1486"/>
        <w:gridCol w:w="858"/>
      </w:tblGrid>
      <w:tr w:rsidR="00606029" w14:paraId="1BBE3EEB" w14:textId="77777777">
        <w:trPr>
          <w:trHeight w:val="340"/>
          <w:jc w:val="center"/>
        </w:trPr>
        <w:tc>
          <w:tcPr>
            <w:tcW w:w="1080" w:type="dxa"/>
            <w:tcBorders>
              <w:tl2br w:val="nil"/>
              <w:tr2bl w:val="nil"/>
            </w:tcBorders>
            <w:vAlign w:val="center"/>
          </w:tcPr>
          <w:p w14:paraId="5C1A8F3F" w14:textId="77777777" w:rsidR="00606029" w:rsidRDefault="00EA5B92">
            <w:pPr>
              <w:spacing w:line="280" w:lineRule="exact"/>
              <w:jc w:val="center"/>
            </w:pPr>
            <w:r>
              <w:t>行业</w:t>
            </w:r>
          </w:p>
        </w:tc>
        <w:tc>
          <w:tcPr>
            <w:tcW w:w="4179" w:type="dxa"/>
            <w:tcBorders>
              <w:tl2br w:val="nil"/>
              <w:tr2bl w:val="nil"/>
            </w:tcBorders>
            <w:vAlign w:val="center"/>
          </w:tcPr>
          <w:p w14:paraId="01F63FFA" w14:textId="77777777" w:rsidR="00606029" w:rsidRDefault="00EA5B92">
            <w:pPr>
              <w:spacing w:line="280" w:lineRule="exact"/>
              <w:jc w:val="center"/>
            </w:pPr>
            <w:r>
              <w:t>评估依据</w:t>
            </w:r>
          </w:p>
        </w:tc>
        <w:tc>
          <w:tcPr>
            <w:tcW w:w="1247" w:type="dxa"/>
            <w:tcBorders>
              <w:tl2br w:val="nil"/>
              <w:tr2bl w:val="nil"/>
            </w:tcBorders>
            <w:vAlign w:val="center"/>
          </w:tcPr>
          <w:p w14:paraId="5F01165C" w14:textId="77777777" w:rsidR="00606029" w:rsidRDefault="00EA5B92">
            <w:pPr>
              <w:spacing w:line="280" w:lineRule="exact"/>
              <w:jc w:val="center"/>
            </w:pPr>
            <w:r>
              <w:t>分值</w:t>
            </w:r>
          </w:p>
        </w:tc>
        <w:tc>
          <w:tcPr>
            <w:tcW w:w="1490" w:type="dxa"/>
            <w:tcBorders>
              <w:tl2br w:val="nil"/>
              <w:tr2bl w:val="nil"/>
            </w:tcBorders>
            <w:vAlign w:val="center"/>
          </w:tcPr>
          <w:p w14:paraId="47C3BEA3" w14:textId="77777777" w:rsidR="00606029" w:rsidRDefault="00EA5B92">
            <w:pPr>
              <w:spacing w:line="280" w:lineRule="exact"/>
              <w:jc w:val="center"/>
            </w:pPr>
            <w:r>
              <w:t>本项目涉及类别</w:t>
            </w:r>
          </w:p>
        </w:tc>
        <w:tc>
          <w:tcPr>
            <w:tcW w:w="860" w:type="dxa"/>
            <w:tcBorders>
              <w:tl2br w:val="nil"/>
              <w:tr2bl w:val="nil"/>
            </w:tcBorders>
            <w:vAlign w:val="center"/>
          </w:tcPr>
          <w:p w14:paraId="3B753D52" w14:textId="77777777" w:rsidR="00606029" w:rsidRDefault="00EA5B92">
            <w:pPr>
              <w:spacing w:line="280" w:lineRule="exact"/>
              <w:jc w:val="center"/>
            </w:pPr>
            <w:r>
              <w:t>本项目分值</w:t>
            </w:r>
          </w:p>
        </w:tc>
      </w:tr>
      <w:tr w:rsidR="00606029" w14:paraId="58BF376C" w14:textId="77777777">
        <w:trPr>
          <w:trHeight w:val="340"/>
          <w:jc w:val="center"/>
        </w:trPr>
        <w:tc>
          <w:tcPr>
            <w:tcW w:w="1080" w:type="dxa"/>
            <w:vMerge w:val="restart"/>
            <w:tcBorders>
              <w:tl2br w:val="nil"/>
              <w:tr2bl w:val="nil"/>
            </w:tcBorders>
            <w:vAlign w:val="center"/>
          </w:tcPr>
          <w:p w14:paraId="6C8085D3" w14:textId="77777777" w:rsidR="00606029" w:rsidRDefault="00EA5B92">
            <w:pPr>
              <w:spacing w:line="280" w:lineRule="exact"/>
              <w:jc w:val="center"/>
            </w:pPr>
            <w:r>
              <w:t>石化、化工、医药、轻工、化纤、有色冶炼等</w:t>
            </w:r>
          </w:p>
        </w:tc>
        <w:tc>
          <w:tcPr>
            <w:tcW w:w="4179" w:type="dxa"/>
            <w:tcBorders>
              <w:tl2br w:val="nil"/>
              <w:tr2bl w:val="nil"/>
            </w:tcBorders>
            <w:vAlign w:val="center"/>
          </w:tcPr>
          <w:p w14:paraId="199AE24C" w14:textId="77777777" w:rsidR="00606029" w:rsidRDefault="00EA5B92">
            <w:pPr>
              <w:spacing w:line="280" w:lineRule="exact"/>
              <w:jc w:val="center"/>
            </w:pPr>
            <w:r>
              <w:t>涉及光气和光气化工艺、电解工艺（氯碱氯））、化工艺、硝化工艺、合成氨工艺、裂解（裂化）工艺、氟化工艺、加氢工艺、重氮化工艺、氧化工艺、过氧化工艺、胺基化工艺、磺化工艺、聚合工艺、烷基化工艺、新型煤化工工</w:t>
            </w:r>
          </w:p>
          <w:p w14:paraId="65E82DC9" w14:textId="77777777" w:rsidR="00606029" w:rsidRDefault="00EA5B92">
            <w:pPr>
              <w:spacing w:line="280" w:lineRule="exact"/>
              <w:jc w:val="center"/>
            </w:pPr>
            <w:r>
              <w:t>艺、电石生产工艺、偶氮化工艺</w:t>
            </w:r>
          </w:p>
        </w:tc>
        <w:tc>
          <w:tcPr>
            <w:tcW w:w="1247" w:type="dxa"/>
            <w:tcBorders>
              <w:tl2br w:val="nil"/>
              <w:tr2bl w:val="nil"/>
            </w:tcBorders>
            <w:vAlign w:val="center"/>
          </w:tcPr>
          <w:p w14:paraId="1731705B" w14:textId="77777777" w:rsidR="00606029" w:rsidRDefault="00EA5B92">
            <w:pPr>
              <w:spacing w:line="280" w:lineRule="exact"/>
              <w:jc w:val="center"/>
            </w:pPr>
            <w:r>
              <w:t>10/</w:t>
            </w:r>
            <w:r>
              <w:t>每套</w:t>
            </w:r>
          </w:p>
        </w:tc>
        <w:tc>
          <w:tcPr>
            <w:tcW w:w="1490" w:type="dxa"/>
            <w:tcBorders>
              <w:tl2br w:val="nil"/>
              <w:tr2bl w:val="nil"/>
            </w:tcBorders>
            <w:vAlign w:val="center"/>
          </w:tcPr>
          <w:p w14:paraId="5EB021F5" w14:textId="77777777" w:rsidR="00606029" w:rsidRDefault="00EA5B92">
            <w:pPr>
              <w:spacing w:line="280" w:lineRule="exact"/>
              <w:jc w:val="center"/>
            </w:pPr>
            <w:r>
              <w:t>不涉及</w:t>
            </w:r>
          </w:p>
        </w:tc>
        <w:tc>
          <w:tcPr>
            <w:tcW w:w="860" w:type="dxa"/>
            <w:tcBorders>
              <w:tl2br w:val="nil"/>
              <w:tr2bl w:val="nil"/>
            </w:tcBorders>
            <w:vAlign w:val="center"/>
          </w:tcPr>
          <w:p w14:paraId="2613981C" w14:textId="77777777" w:rsidR="00606029" w:rsidRDefault="00EA5B92">
            <w:pPr>
              <w:spacing w:line="280" w:lineRule="exact"/>
              <w:jc w:val="center"/>
            </w:pPr>
            <w:r>
              <w:t>0</w:t>
            </w:r>
          </w:p>
        </w:tc>
      </w:tr>
      <w:tr w:rsidR="00606029" w14:paraId="31B402BE" w14:textId="77777777">
        <w:trPr>
          <w:trHeight w:val="340"/>
          <w:jc w:val="center"/>
        </w:trPr>
        <w:tc>
          <w:tcPr>
            <w:tcW w:w="1080" w:type="dxa"/>
            <w:vMerge/>
            <w:tcBorders>
              <w:tl2br w:val="nil"/>
              <w:tr2bl w:val="nil"/>
            </w:tcBorders>
            <w:vAlign w:val="center"/>
          </w:tcPr>
          <w:p w14:paraId="3ABE0E7D" w14:textId="77777777" w:rsidR="00606029" w:rsidRDefault="00606029">
            <w:pPr>
              <w:spacing w:line="280" w:lineRule="exact"/>
              <w:jc w:val="center"/>
            </w:pPr>
          </w:p>
        </w:tc>
        <w:tc>
          <w:tcPr>
            <w:tcW w:w="4179" w:type="dxa"/>
            <w:tcBorders>
              <w:tl2br w:val="nil"/>
              <w:tr2bl w:val="nil"/>
            </w:tcBorders>
            <w:vAlign w:val="center"/>
          </w:tcPr>
          <w:p w14:paraId="283EAC9A" w14:textId="77777777" w:rsidR="00606029" w:rsidRDefault="00EA5B92">
            <w:pPr>
              <w:spacing w:line="280" w:lineRule="exact"/>
              <w:jc w:val="center"/>
            </w:pPr>
            <w:r>
              <w:t>无机酸制酸工艺、焦化工艺</w:t>
            </w:r>
          </w:p>
        </w:tc>
        <w:tc>
          <w:tcPr>
            <w:tcW w:w="1247" w:type="dxa"/>
            <w:tcBorders>
              <w:tl2br w:val="nil"/>
              <w:tr2bl w:val="nil"/>
            </w:tcBorders>
            <w:vAlign w:val="center"/>
          </w:tcPr>
          <w:p w14:paraId="07704599" w14:textId="77777777" w:rsidR="00606029" w:rsidRDefault="00EA5B92">
            <w:pPr>
              <w:spacing w:line="280" w:lineRule="exact"/>
              <w:jc w:val="center"/>
            </w:pPr>
            <w:r>
              <w:t>5/</w:t>
            </w:r>
            <w:r>
              <w:t>每套</w:t>
            </w:r>
          </w:p>
        </w:tc>
        <w:tc>
          <w:tcPr>
            <w:tcW w:w="1490" w:type="dxa"/>
            <w:tcBorders>
              <w:tl2br w:val="nil"/>
              <w:tr2bl w:val="nil"/>
            </w:tcBorders>
            <w:vAlign w:val="center"/>
          </w:tcPr>
          <w:p w14:paraId="792AB427" w14:textId="77777777" w:rsidR="00606029" w:rsidRDefault="00EA5B92">
            <w:pPr>
              <w:spacing w:line="280" w:lineRule="exact"/>
              <w:jc w:val="center"/>
            </w:pPr>
            <w:r>
              <w:t>不涉及</w:t>
            </w:r>
          </w:p>
        </w:tc>
        <w:tc>
          <w:tcPr>
            <w:tcW w:w="860" w:type="dxa"/>
            <w:tcBorders>
              <w:tl2br w:val="nil"/>
              <w:tr2bl w:val="nil"/>
            </w:tcBorders>
            <w:vAlign w:val="center"/>
          </w:tcPr>
          <w:p w14:paraId="764E377F" w14:textId="77777777" w:rsidR="00606029" w:rsidRDefault="00EA5B92">
            <w:pPr>
              <w:spacing w:line="280" w:lineRule="exact"/>
              <w:jc w:val="center"/>
            </w:pPr>
            <w:r>
              <w:t>0</w:t>
            </w:r>
          </w:p>
        </w:tc>
      </w:tr>
      <w:tr w:rsidR="00606029" w14:paraId="07BBDBD8" w14:textId="77777777">
        <w:trPr>
          <w:trHeight w:val="340"/>
          <w:jc w:val="center"/>
        </w:trPr>
        <w:tc>
          <w:tcPr>
            <w:tcW w:w="1080" w:type="dxa"/>
            <w:vMerge/>
            <w:tcBorders>
              <w:tl2br w:val="nil"/>
              <w:tr2bl w:val="nil"/>
            </w:tcBorders>
            <w:vAlign w:val="center"/>
          </w:tcPr>
          <w:p w14:paraId="61D9F363" w14:textId="77777777" w:rsidR="00606029" w:rsidRDefault="00606029">
            <w:pPr>
              <w:spacing w:line="280" w:lineRule="exact"/>
              <w:jc w:val="center"/>
            </w:pPr>
          </w:p>
        </w:tc>
        <w:tc>
          <w:tcPr>
            <w:tcW w:w="4179" w:type="dxa"/>
            <w:tcBorders>
              <w:tl2br w:val="nil"/>
              <w:tr2bl w:val="nil"/>
            </w:tcBorders>
            <w:vAlign w:val="center"/>
          </w:tcPr>
          <w:p w14:paraId="015AF7EF" w14:textId="77777777" w:rsidR="00606029" w:rsidRDefault="00EA5B92">
            <w:pPr>
              <w:spacing w:line="280" w:lineRule="exact"/>
              <w:jc w:val="center"/>
            </w:pPr>
            <w:r>
              <w:t>其他高温或高压，且涉及危险物质的工艺过程</w:t>
            </w:r>
          </w:p>
          <w:p w14:paraId="19E62C92" w14:textId="77777777" w:rsidR="00606029" w:rsidRDefault="00EA5B92">
            <w:pPr>
              <w:spacing w:line="280" w:lineRule="exact"/>
              <w:jc w:val="center"/>
            </w:pPr>
            <w:r>
              <w:t>a.</w:t>
            </w:r>
            <w:r>
              <w:t>危险物质储存罐区</w:t>
            </w:r>
          </w:p>
        </w:tc>
        <w:tc>
          <w:tcPr>
            <w:tcW w:w="1247" w:type="dxa"/>
            <w:tcBorders>
              <w:tl2br w:val="nil"/>
              <w:tr2bl w:val="nil"/>
            </w:tcBorders>
            <w:vAlign w:val="center"/>
          </w:tcPr>
          <w:p w14:paraId="2E489EFB" w14:textId="77777777" w:rsidR="00606029" w:rsidRDefault="00EA5B92">
            <w:pPr>
              <w:spacing w:line="280" w:lineRule="exact"/>
              <w:jc w:val="center"/>
            </w:pPr>
            <w:r>
              <w:t>5/</w:t>
            </w:r>
            <w:r>
              <w:t>每套（罐</w:t>
            </w:r>
          </w:p>
          <w:p w14:paraId="3307BC2B" w14:textId="77777777" w:rsidR="00606029" w:rsidRDefault="00EA5B92">
            <w:pPr>
              <w:spacing w:line="280" w:lineRule="exact"/>
              <w:jc w:val="center"/>
            </w:pPr>
            <w:r>
              <w:t>区）</w:t>
            </w:r>
          </w:p>
        </w:tc>
        <w:tc>
          <w:tcPr>
            <w:tcW w:w="1490" w:type="dxa"/>
            <w:tcBorders>
              <w:tl2br w:val="nil"/>
              <w:tr2bl w:val="nil"/>
            </w:tcBorders>
            <w:vAlign w:val="center"/>
          </w:tcPr>
          <w:p w14:paraId="4ACA8990" w14:textId="77777777" w:rsidR="00606029" w:rsidRDefault="00EA5B92">
            <w:pPr>
              <w:spacing w:line="280" w:lineRule="exact"/>
              <w:jc w:val="center"/>
            </w:pPr>
            <w:r>
              <w:t>不涉及</w:t>
            </w:r>
          </w:p>
        </w:tc>
        <w:tc>
          <w:tcPr>
            <w:tcW w:w="860" w:type="dxa"/>
            <w:tcBorders>
              <w:tl2br w:val="nil"/>
              <w:tr2bl w:val="nil"/>
            </w:tcBorders>
            <w:vAlign w:val="center"/>
          </w:tcPr>
          <w:p w14:paraId="570C2387" w14:textId="77777777" w:rsidR="00606029" w:rsidRDefault="00EA5B92">
            <w:pPr>
              <w:spacing w:line="280" w:lineRule="exact"/>
              <w:jc w:val="center"/>
            </w:pPr>
            <w:r>
              <w:t>0</w:t>
            </w:r>
          </w:p>
        </w:tc>
      </w:tr>
      <w:tr w:rsidR="00606029" w14:paraId="074D8592" w14:textId="77777777">
        <w:trPr>
          <w:trHeight w:val="340"/>
          <w:jc w:val="center"/>
        </w:trPr>
        <w:tc>
          <w:tcPr>
            <w:tcW w:w="1080" w:type="dxa"/>
            <w:tcBorders>
              <w:tl2br w:val="nil"/>
              <w:tr2bl w:val="nil"/>
            </w:tcBorders>
            <w:vAlign w:val="center"/>
          </w:tcPr>
          <w:p w14:paraId="4CEDB33A" w14:textId="77777777" w:rsidR="00606029" w:rsidRDefault="00EA5B92">
            <w:pPr>
              <w:spacing w:line="280" w:lineRule="exact"/>
              <w:jc w:val="center"/>
            </w:pPr>
            <w:r>
              <w:t>管道、港口</w:t>
            </w:r>
            <w:r>
              <w:t>/</w:t>
            </w:r>
          </w:p>
          <w:p w14:paraId="56019608" w14:textId="77777777" w:rsidR="00606029" w:rsidRDefault="00EA5B92">
            <w:pPr>
              <w:spacing w:line="280" w:lineRule="exact"/>
              <w:jc w:val="center"/>
            </w:pPr>
            <w:r>
              <w:t>码头等</w:t>
            </w:r>
          </w:p>
        </w:tc>
        <w:tc>
          <w:tcPr>
            <w:tcW w:w="4179" w:type="dxa"/>
            <w:tcBorders>
              <w:tl2br w:val="nil"/>
              <w:tr2bl w:val="nil"/>
            </w:tcBorders>
            <w:vAlign w:val="center"/>
          </w:tcPr>
          <w:p w14:paraId="15E58235" w14:textId="77777777" w:rsidR="00606029" w:rsidRDefault="00EA5B92">
            <w:pPr>
              <w:spacing w:line="280" w:lineRule="exact"/>
              <w:jc w:val="center"/>
            </w:pPr>
            <w:r>
              <w:t>涉及危险物质管道运输项目、港口</w:t>
            </w:r>
            <w:r>
              <w:t>/</w:t>
            </w:r>
            <w:r>
              <w:t>码头等</w:t>
            </w:r>
          </w:p>
        </w:tc>
        <w:tc>
          <w:tcPr>
            <w:tcW w:w="1247" w:type="dxa"/>
            <w:tcBorders>
              <w:tl2br w:val="nil"/>
              <w:tr2bl w:val="nil"/>
            </w:tcBorders>
            <w:vAlign w:val="center"/>
          </w:tcPr>
          <w:p w14:paraId="20C0E1CE" w14:textId="77777777" w:rsidR="00606029" w:rsidRDefault="00EA5B92">
            <w:pPr>
              <w:spacing w:line="280" w:lineRule="exact"/>
              <w:jc w:val="center"/>
            </w:pPr>
            <w:r>
              <w:t>10</w:t>
            </w:r>
          </w:p>
        </w:tc>
        <w:tc>
          <w:tcPr>
            <w:tcW w:w="1490" w:type="dxa"/>
            <w:tcBorders>
              <w:tl2br w:val="nil"/>
              <w:tr2bl w:val="nil"/>
            </w:tcBorders>
            <w:vAlign w:val="center"/>
          </w:tcPr>
          <w:p w14:paraId="22A3584E" w14:textId="77777777" w:rsidR="00606029" w:rsidRDefault="00EA5B92">
            <w:pPr>
              <w:spacing w:line="280" w:lineRule="exact"/>
              <w:jc w:val="center"/>
            </w:pPr>
            <w:r>
              <w:t>不涉及</w:t>
            </w:r>
          </w:p>
        </w:tc>
        <w:tc>
          <w:tcPr>
            <w:tcW w:w="860" w:type="dxa"/>
            <w:tcBorders>
              <w:tl2br w:val="nil"/>
              <w:tr2bl w:val="nil"/>
            </w:tcBorders>
            <w:vAlign w:val="center"/>
          </w:tcPr>
          <w:p w14:paraId="6F7F7236" w14:textId="77777777" w:rsidR="00606029" w:rsidRDefault="00EA5B92">
            <w:pPr>
              <w:spacing w:line="280" w:lineRule="exact"/>
              <w:jc w:val="center"/>
            </w:pPr>
            <w:r>
              <w:t>0</w:t>
            </w:r>
          </w:p>
        </w:tc>
      </w:tr>
      <w:tr w:rsidR="00606029" w14:paraId="6A0CFBB9" w14:textId="77777777">
        <w:trPr>
          <w:trHeight w:val="340"/>
          <w:jc w:val="center"/>
        </w:trPr>
        <w:tc>
          <w:tcPr>
            <w:tcW w:w="1080" w:type="dxa"/>
            <w:tcBorders>
              <w:tl2br w:val="nil"/>
              <w:tr2bl w:val="nil"/>
            </w:tcBorders>
            <w:vAlign w:val="center"/>
          </w:tcPr>
          <w:p w14:paraId="4409E092" w14:textId="77777777" w:rsidR="00606029" w:rsidRDefault="00EA5B92">
            <w:pPr>
              <w:spacing w:line="280" w:lineRule="exact"/>
              <w:jc w:val="center"/>
            </w:pPr>
            <w:r>
              <w:t>石油天然气</w:t>
            </w:r>
          </w:p>
        </w:tc>
        <w:tc>
          <w:tcPr>
            <w:tcW w:w="4179" w:type="dxa"/>
            <w:tcBorders>
              <w:tl2br w:val="nil"/>
              <w:tr2bl w:val="nil"/>
            </w:tcBorders>
            <w:vAlign w:val="center"/>
          </w:tcPr>
          <w:p w14:paraId="49F91329" w14:textId="77777777" w:rsidR="00606029" w:rsidRDefault="00EA5B92">
            <w:pPr>
              <w:spacing w:line="280" w:lineRule="exact"/>
              <w:jc w:val="center"/>
            </w:pPr>
            <w:r>
              <w:t>石油、天然气、页岩气开采（含净化），气库</w:t>
            </w:r>
          </w:p>
          <w:p w14:paraId="7360E8BA" w14:textId="77777777" w:rsidR="00606029" w:rsidRDefault="00EA5B92">
            <w:pPr>
              <w:spacing w:line="280" w:lineRule="exact"/>
              <w:jc w:val="center"/>
            </w:pPr>
            <w:r>
              <w:t>（不含加气站的气库，）油库（不含加气站的油库、）油气管线</w:t>
            </w:r>
            <w:r>
              <w:t>b</w:t>
            </w:r>
            <w:r>
              <w:t>（不含城镇燃气管线）</w:t>
            </w:r>
          </w:p>
        </w:tc>
        <w:tc>
          <w:tcPr>
            <w:tcW w:w="1247" w:type="dxa"/>
            <w:tcBorders>
              <w:tl2br w:val="nil"/>
              <w:tr2bl w:val="nil"/>
            </w:tcBorders>
            <w:vAlign w:val="center"/>
          </w:tcPr>
          <w:p w14:paraId="67CD29CB" w14:textId="77777777" w:rsidR="00606029" w:rsidRDefault="00EA5B92">
            <w:pPr>
              <w:spacing w:line="280" w:lineRule="exact"/>
              <w:jc w:val="center"/>
            </w:pPr>
            <w:r>
              <w:t>10</w:t>
            </w:r>
          </w:p>
        </w:tc>
        <w:tc>
          <w:tcPr>
            <w:tcW w:w="1490" w:type="dxa"/>
            <w:tcBorders>
              <w:tl2br w:val="nil"/>
              <w:tr2bl w:val="nil"/>
            </w:tcBorders>
            <w:vAlign w:val="center"/>
          </w:tcPr>
          <w:p w14:paraId="44C94542" w14:textId="77777777" w:rsidR="00606029" w:rsidRDefault="00EA5B92">
            <w:pPr>
              <w:spacing w:line="280" w:lineRule="exact"/>
              <w:jc w:val="center"/>
            </w:pPr>
            <w:r>
              <w:t>不涉及</w:t>
            </w:r>
          </w:p>
        </w:tc>
        <w:tc>
          <w:tcPr>
            <w:tcW w:w="860" w:type="dxa"/>
            <w:tcBorders>
              <w:tl2br w:val="nil"/>
              <w:tr2bl w:val="nil"/>
            </w:tcBorders>
            <w:vAlign w:val="center"/>
          </w:tcPr>
          <w:p w14:paraId="7872E01F" w14:textId="77777777" w:rsidR="00606029" w:rsidRDefault="00EA5B92">
            <w:pPr>
              <w:spacing w:line="280" w:lineRule="exact"/>
              <w:jc w:val="center"/>
            </w:pPr>
            <w:r>
              <w:t>0</w:t>
            </w:r>
          </w:p>
        </w:tc>
      </w:tr>
      <w:tr w:rsidR="00606029" w14:paraId="0E3EAF70" w14:textId="77777777">
        <w:trPr>
          <w:trHeight w:val="340"/>
          <w:jc w:val="center"/>
        </w:trPr>
        <w:tc>
          <w:tcPr>
            <w:tcW w:w="1080" w:type="dxa"/>
            <w:tcBorders>
              <w:tl2br w:val="nil"/>
              <w:tr2bl w:val="nil"/>
            </w:tcBorders>
            <w:vAlign w:val="center"/>
          </w:tcPr>
          <w:p w14:paraId="0F21C8CB" w14:textId="77777777" w:rsidR="00606029" w:rsidRDefault="00EA5B92">
            <w:pPr>
              <w:spacing w:line="280" w:lineRule="exact"/>
              <w:jc w:val="center"/>
            </w:pPr>
            <w:r>
              <w:lastRenderedPageBreak/>
              <w:t>其它</w:t>
            </w:r>
          </w:p>
        </w:tc>
        <w:tc>
          <w:tcPr>
            <w:tcW w:w="4179" w:type="dxa"/>
            <w:tcBorders>
              <w:tl2br w:val="nil"/>
              <w:tr2bl w:val="nil"/>
            </w:tcBorders>
            <w:vAlign w:val="center"/>
          </w:tcPr>
          <w:p w14:paraId="1E20CC65" w14:textId="77777777" w:rsidR="00606029" w:rsidRDefault="00EA5B92">
            <w:pPr>
              <w:spacing w:line="280" w:lineRule="exact"/>
              <w:jc w:val="center"/>
            </w:pPr>
            <w:r>
              <w:t>涉及危险物质储存、使用的项目</w:t>
            </w:r>
          </w:p>
        </w:tc>
        <w:tc>
          <w:tcPr>
            <w:tcW w:w="1247" w:type="dxa"/>
            <w:tcBorders>
              <w:tl2br w:val="nil"/>
              <w:tr2bl w:val="nil"/>
            </w:tcBorders>
            <w:vAlign w:val="center"/>
          </w:tcPr>
          <w:p w14:paraId="6B4DFE74" w14:textId="77777777" w:rsidR="00606029" w:rsidRDefault="00EA5B92">
            <w:pPr>
              <w:spacing w:line="280" w:lineRule="exact"/>
              <w:jc w:val="center"/>
            </w:pPr>
            <w:r>
              <w:t>5</w:t>
            </w:r>
          </w:p>
        </w:tc>
        <w:tc>
          <w:tcPr>
            <w:tcW w:w="1490" w:type="dxa"/>
            <w:tcBorders>
              <w:tl2br w:val="nil"/>
              <w:tr2bl w:val="nil"/>
            </w:tcBorders>
            <w:vAlign w:val="center"/>
          </w:tcPr>
          <w:p w14:paraId="2A279816" w14:textId="77777777" w:rsidR="00606029" w:rsidRDefault="00EA5B92">
            <w:pPr>
              <w:spacing w:line="280" w:lineRule="exact"/>
              <w:jc w:val="center"/>
            </w:pPr>
            <w:r>
              <w:t>涉及</w:t>
            </w:r>
          </w:p>
        </w:tc>
        <w:tc>
          <w:tcPr>
            <w:tcW w:w="860" w:type="dxa"/>
            <w:tcBorders>
              <w:tl2br w:val="nil"/>
              <w:tr2bl w:val="nil"/>
            </w:tcBorders>
            <w:vAlign w:val="center"/>
          </w:tcPr>
          <w:p w14:paraId="4C0245DB" w14:textId="77777777" w:rsidR="00606029" w:rsidRDefault="00EA5B92">
            <w:pPr>
              <w:spacing w:line="280" w:lineRule="exact"/>
              <w:jc w:val="center"/>
            </w:pPr>
            <w:r>
              <w:t>5</w:t>
            </w:r>
          </w:p>
        </w:tc>
      </w:tr>
      <w:tr w:rsidR="00606029" w14:paraId="76166683" w14:textId="77777777">
        <w:trPr>
          <w:trHeight w:val="340"/>
          <w:jc w:val="center"/>
        </w:trPr>
        <w:tc>
          <w:tcPr>
            <w:tcW w:w="7996" w:type="dxa"/>
            <w:gridSpan w:val="4"/>
            <w:tcBorders>
              <w:tl2br w:val="nil"/>
              <w:tr2bl w:val="nil"/>
            </w:tcBorders>
            <w:vAlign w:val="center"/>
          </w:tcPr>
          <w:p w14:paraId="15DD1D1A" w14:textId="77777777" w:rsidR="00606029" w:rsidRDefault="00EA5B92">
            <w:pPr>
              <w:spacing w:line="280" w:lineRule="exact"/>
              <w:jc w:val="center"/>
            </w:pPr>
            <w:r>
              <w:t>合计</w:t>
            </w:r>
          </w:p>
        </w:tc>
        <w:tc>
          <w:tcPr>
            <w:tcW w:w="860" w:type="dxa"/>
            <w:tcBorders>
              <w:tl2br w:val="nil"/>
              <w:tr2bl w:val="nil"/>
            </w:tcBorders>
            <w:vAlign w:val="center"/>
          </w:tcPr>
          <w:p w14:paraId="5EB237E0" w14:textId="77777777" w:rsidR="00606029" w:rsidRDefault="00EA5B92">
            <w:pPr>
              <w:spacing w:line="280" w:lineRule="exact"/>
              <w:jc w:val="center"/>
            </w:pPr>
            <w:r>
              <w:t>5</w:t>
            </w:r>
          </w:p>
        </w:tc>
      </w:tr>
      <w:tr w:rsidR="00606029" w14:paraId="0504333B" w14:textId="77777777">
        <w:trPr>
          <w:trHeight w:val="340"/>
          <w:jc w:val="center"/>
        </w:trPr>
        <w:tc>
          <w:tcPr>
            <w:tcW w:w="8856" w:type="dxa"/>
            <w:gridSpan w:val="5"/>
            <w:tcBorders>
              <w:tl2br w:val="nil"/>
              <w:tr2bl w:val="nil"/>
            </w:tcBorders>
            <w:vAlign w:val="center"/>
          </w:tcPr>
          <w:p w14:paraId="54679D22" w14:textId="77777777" w:rsidR="00606029" w:rsidRDefault="00EA5B92">
            <w:pPr>
              <w:spacing w:line="280" w:lineRule="exact"/>
              <w:jc w:val="center"/>
            </w:pPr>
            <w:r>
              <w:t>高温指工艺温度</w:t>
            </w:r>
            <w:r>
              <w:t>≥300℃</w:t>
            </w:r>
            <w:r>
              <w:t>，高压指压力容器的设计压力（</w:t>
            </w:r>
            <w:r>
              <w:t>p</w:t>
            </w:r>
            <w:r>
              <w:t>）</w:t>
            </w:r>
            <w:r>
              <w:t>≥10.0Mpa</w:t>
            </w:r>
            <w:r>
              <w:t>；</w:t>
            </w:r>
          </w:p>
          <w:p w14:paraId="260410C6" w14:textId="77777777" w:rsidR="00606029" w:rsidRDefault="00EA5B92">
            <w:pPr>
              <w:spacing w:line="280" w:lineRule="exact"/>
              <w:jc w:val="center"/>
            </w:pPr>
            <w:r>
              <w:t>长输管道运输项目应按站场、管线分段进行评价。</w:t>
            </w:r>
          </w:p>
        </w:tc>
      </w:tr>
    </w:tbl>
    <w:p w14:paraId="0D2E13DC" w14:textId="77777777" w:rsidR="00606029" w:rsidRDefault="00EA5B92">
      <w:pPr>
        <w:pStyle w:val="affffff4"/>
        <w:adjustRightInd/>
        <w:snapToGrid/>
        <w:spacing w:beforeLines="50" w:before="120"/>
      </w:pPr>
      <w:r>
        <w:t>本项目所属其他行业，涉及危险物质使用、贮存，故</w:t>
      </w:r>
      <w:r>
        <w:t>M=5</w:t>
      </w:r>
      <w:r>
        <w:t>，为</w:t>
      </w:r>
      <w:r>
        <w:t>M4</w:t>
      </w:r>
      <w:r>
        <w:t>类项目。</w:t>
      </w:r>
    </w:p>
    <w:p w14:paraId="3BBCA5F4" w14:textId="77777777" w:rsidR="00606029" w:rsidRPr="00155832" w:rsidRDefault="00EA5B92">
      <w:pPr>
        <w:pStyle w:val="affffff4"/>
      </w:pPr>
      <w:r w:rsidRPr="00155832">
        <w:t>（</w:t>
      </w:r>
      <w:r w:rsidRPr="00155832">
        <w:t>3</w:t>
      </w:r>
      <w:r w:rsidRPr="00155832">
        <w:t>）危险物质及工艺系统危险性（</w:t>
      </w:r>
      <w:r w:rsidRPr="00155832">
        <w:t>P</w:t>
      </w:r>
      <w:r w:rsidRPr="00155832">
        <w:t>）</w:t>
      </w:r>
    </w:p>
    <w:p w14:paraId="4F3762F9" w14:textId="77777777" w:rsidR="00606029" w:rsidRPr="00155832" w:rsidRDefault="00EA5B92">
      <w:pPr>
        <w:pStyle w:val="affffff4"/>
      </w:pPr>
      <w:r w:rsidRPr="00155832">
        <w:t>根据危险物质数量与临界量比值（</w:t>
      </w:r>
      <w:r w:rsidRPr="00155832">
        <w:t>Q</w:t>
      </w:r>
      <w:r w:rsidRPr="00155832">
        <w:t>）和行业及生产工艺（</w:t>
      </w:r>
      <w:r w:rsidRPr="00155832">
        <w:t>M</w:t>
      </w:r>
      <w:r w:rsidRPr="00155832">
        <w:t>），按照表</w:t>
      </w:r>
      <w:r w:rsidRPr="00155832">
        <w:t>1.6-15</w:t>
      </w:r>
      <w:r w:rsidRPr="00155832">
        <w:t>确定危险物质及工艺系统危险性等级（</w:t>
      </w:r>
      <w:r w:rsidRPr="00155832">
        <w:t>P</w:t>
      </w:r>
      <w:r w:rsidRPr="00155832">
        <w:t>），分别以</w:t>
      </w:r>
      <w:r w:rsidRPr="00155832">
        <w:t>P1</w:t>
      </w:r>
      <w:r w:rsidRPr="00155832">
        <w:t>、</w:t>
      </w:r>
      <w:r w:rsidRPr="00155832">
        <w:t>P2</w:t>
      </w:r>
      <w:r w:rsidRPr="00155832">
        <w:t>、</w:t>
      </w:r>
      <w:r w:rsidRPr="00155832">
        <w:t>P3</w:t>
      </w:r>
      <w:r w:rsidRPr="00155832">
        <w:t>、</w:t>
      </w:r>
      <w:r w:rsidRPr="00155832">
        <w:t>P4</w:t>
      </w:r>
      <w:r w:rsidRPr="00155832">
        <w:t>表示。</w:t>
      </w:r>
    </w:p>
    <w:p w14:paraId="1ADCC26D" w14:textId="77777777" w:rsidR="00606029" w:rsidRPr="00155832" w:rsidRDefault="00EA5B92">
      <w:pPr>
        <w:pStyle w:val="affffff5"/>
      </w:pPr>
      <w:r w:rsidRPr="00155832">
        <w:t>表</w:t>
      </w:r>
      <w:r w:rsidRPr="00155832">
        <w:t xml:space="preserve"> 1.6-15 </w:t>
      </w:r>
      <w:r w:rsidRPr="00155832">
        <w:t>危险物质及工艺系统危险性等级判定（</w:t>
      </w:r>
      <w:r w:rsidRPr="00155832">
        <w:t>P</w:t>
      </w:r>
      <w:r w:rsidRPr="00155832">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765"/>
        <w:gridCol w:w="1766"/>
        <w:gridCol w:w="1766"/>
        <w:gridCol w:w="1768"/>
        <w:gridCol w:w="1769"/>
      </w:tblGrid>
      <w:tr w:rsidR="00606029" w:rsidRPr="00155832" w14:paraId="5E089C04" w14:textId="77777777">
        <w:trPr>
          <w:trHeight w:val="340"/>
          <w:jc w:val="center"/>
        </w:trPr>
        <w:tc>
          <w:tcPr>
            <w:tcW w:w="1769" w:type="dxa"/>
            <w:vMerge w:val="restart"/>
            <w:tcBorders>
              <w:tl2br w:val="nil"/>
              <w:tr2bl w:val="nil"/>
            </w:tcBorders>
          </w:tcPr>
          <w:p w14:paraId="221B8C84" w14:textId="77777777" w:rsidR="00606029" w:rsidRPr="00155832" w:rsidRDefault="00EA5B92">
            <w:pPr>
              <w:spacing w:line="280" w:lineRule="exact"/>
              <w:jc w:val="center"/>
            </w:pPr>
            <w:r w:rsidRPr="00155832">
              <w:t>危险物质数量与临界量比值（</w:t>
            </w:r>
            <w:r w:rsidRPr="00155832">
              <w:t>Q</w:t>
            </w:r>
            <w:r w:rsidRPr="00155832">
              <w:t>）</w:t>
            </w:r>
          </w:p>
        </w:tc>
        <w:tc>
          <w:tcPr>
            <w:tcW w:w="7088" w:type="dxa"/>
            <w:gridSpan w:val="4"/>
            <w:tcBorders>
              <w:tl2br w:val="nil"/>
              <w:tr2bl w:val="nil"/>
            </w:tcBorders>
          </w:tcPr>
          <w:p w14:paraId="15EA7148" w14:textId="77777777" w:rsidR="00606029" w:rsidRPr="00155832" w:rsidRDefault="00EA5B92">
            <w:pPr>
              <w:spacing w:line="280" w:lineRule="exact"/>
              <w:jc w:val="center"/>
            </w:pPr>
            <w:r w:rsidRPr="00155832">
              <w:t>所属行业及生产工艺特点（</w:t>
            </w:r>
            <w:r w:rsidRPr="00155832">
              <w:t>M</w:t>
            </w:r>
            <w:r w:rsidRPr="00155832">
              <w:t>）</w:t>
            </w:r>
          </w:p>
        </w:tc>
      </w:tr>
      <w:tr w:rsidR="00606029" w:rsidRPr="00155832" w14:paraId="75FD920C" w14:textId="77777777">
        <w:trPr>
          <w:trHeight w:val="340"/>
          <w:jc w:val="center"/>
        </w:trPr>
        <w:tc>
          <w:tcPr>
            <w:tcW w:w="1769" w:type="dxa"/>
            <w:vMerge/>
            <w:tcBorders>
              <w:tl2br w:val="nil"/>
              <w:tr2bl w:val="nil"/>
            </w:tcBorders>
          </w:tcPr>
          <w:p w14:paraId="0B561C86" w14:textId="77777777" w:rsidR="00606029" w:rsidRPr="00155832" w:rsidRDefault="00606029">
            <w:pPr>
              <w:spacing w:line="280" w:lineRule="exact"/>
              <w:jc w:val="center"/>
            </w:pPr>
          </w:p>
        </w:tc>
        <w:tc>
          <w:tcPr>
            <w:tcW w:w="1770" w:type="dxa"/>
            <w:tcBorders>
              <w:tl2br w:val="nil"/>
              <w:tr2bl w:val="nil"/>
            </w:tcBorders>
          </w:tcPr>
          <w:p w14:paraId="0190F6B5" w14:textId="77777777" w:rsidR="00606029" w:rsidRPr="00155832" w:rsidRDefault="00EA5B92">
            <w:pPr>
              <w:spacing w:line="280" w:lineRule="exact"/>
              <w:jc w:val="center"/>
            </w:pPr>
            <w:r w:rsidRPr="00155832">
              <w:t>M1</w:t>
            </w:r>
          </w:p>
        </w:tc>
        <w:tc>
          <w:tcPr>
            <w:tcW w:w="1771" w:type="dxa"/>
            <w:tcBorders>
              <w:tl2br w:val="nil"/>
              <w:tr2bl w:val="nil"/>
            </w:tcBorders>
          </w:tcPr>
          <w:p w14:paraId="31552FCF" w14:textId="77777777" w:rsidR="00606029" w:rsidRPr="00155832" w:rsidRDefault="00EA5B92">
            <w:pPr>
              <w:spacing w:line="280" w:lineRule="exact"/>
              <w:jc w:val="center"/>
            </w:pPr>
            <w:r w:rsidRPr="00155832">
              <w:t>M2</w:t>
            </w:r>
          </w:p>
        </w:tc>
        <w:tc>
          <w:tcPr>
            <w:tcW w:w="1773" w:type="dxa"/>
            <w:tcBorders>
              <w:tl2br w:val="nil"/>
              <w:tr2bl w:val="nil"/>
            </w:tcBorders>
          </w:tcPr>
          <w:p w14:paraId="2C17D891" w14:textId="77777777" w:rsidR="00606029" w:rsidRPr="00155832" w:rsidRDefault="00EA5B92">
            <w:pPr>
              <w:spacing w:line="280" w:lineRule="exact"/>
              <w:jc w:val="center"/>
            </w:pPr>
            <w:r w:rsidRPr="00155832">
              <w:t>M3</w:t>
            </w:r>
          </w:p>
        </w:tc>
        <w:tc>
          <w:tcPr>
            <w:tcW w:w="1774" w:type="dxa"/>
            <w:tcBorders>
              <w:tl2br w:val="nil"/>
              <w:tr2bl w:val="nil"/>
            </w:tcBorders>
          </w:tcPr>
          <w:p w14:paraId="29DBF2C7" w14:textId="77777777" w:rsidR="00606029" w:rsidRPr="00155832" w:rsidRDefault="00EA5B92">
            <w:pPr>
              <w:spacing w:line="280" w:lineRule="exact"/>
              <w:jc w:val="center"/>
            </w:pPr>
            <w:r w:rsidRPr="00155832">
              <w:t>M4</w:t>
            </w:r>
          </w:p>
        </w:tc>
      </w:tr>
      <w:tr w:rsidR="00606029" w:rsidRPr="00155832" w14:paraId="22A1D4D6" w14:textId="77777777">
        <w:trPr>
          <w:trHeight w:val="340"/>
          <w:jc w:val="center"/>
        </w:trPr>
        <w:tc>
          <w:tcPr>
            <w:tcW w:w="1769" w:type="dxa"/>
            <w:tcBorders>
              <w:tl2br w:val="nil"/>
              <w:tr2bl w:val="nil"/>
            </w:tcBorders>
          </w:tcPr>
          <w:p w14:paraId="1BD8BF13" w14:textId="77777777" w:rsidR="00606029" w:rsidRPr="00155832" w:rsidRDefault="00EA5B92">
            <w:pPr>
              <w:spacing w:line="280" w:lineRule="exact"/>
              <w:jc w:val="center"/>
            </w:pPr>
            <w:r w:rsidRPr="00155832">
              <w:t>Q≥100</w:t>
            </w:r>
          </w:p>
        </w:tc>
        <w:tc>
          <w:tcPr>
            <w:tcW w:w="1770" w:type="dxa"/>
            <w:tcBorders>
              <w:tl2br w:val="nil"/>
              <w:tr2bl w:val="nil"/>
            </w:tcBorders>
          </w:tcPr>
          <w:p w14:paraId="6526FC90" w14:textId="77777777" w:rsidR="00606029" w:rsidRPr="00155832" w:rsidRDefault="00EA5B92">
            <w:pPr>
              <w:spacing w:line="280" w:lineRule="exact"/>
              <w:jc w:val="center"/>
            </w:pPr>
            <w:r w:rsidRPr="00155832">
              <w:t>P1</w:t>
            </w:r>
          </w:p>
        </w:tc>
        <w:tc>
          <w:tcPr>
            <w:tcW w:w="1771" w:type="dxa"/>
            <w:tcBorders>
              <w:tl2br w:val="nil"/>
              <w:tr2bl w:val="nil"/>
            </w:tcBorders>
          </w:tcPr>
          <w:p w14:paraId="23B41727" w14:textId="77777777" w:rsidR="00606029" w:rsidRPr="00155832" w:rsidRDefault="00EA5B92">
            <w:pPr>
              <w:spacing w:line="280" w:lineRule="exact"/>
              <w:jc w:val="center"/>
            </w:pPr>
            <w:r w:rsidRPr="00155832">
              <w:t>P1</w:t>
            </w:r>
          </w:p>
        </w:tc>
        <w:tc>
          <w:tcPr>
            <w:tcW w:w="1773" w:type="dxa"/>
            <w:tcBorders>
              <w:tl2br w:val="nil"/>
              <w:tr2bl w:val="nil"/>
            </w:tcBorders>
          </w:tcPr>
          <w:p w14:paraId="4EE8E9CA" w14:textId="77777777" w:rsidR="00606029" w:rsidRPr="00155832" w:rsidRDefault="00EA5B92">
            <w:pPr>
              <w:spacing w:line="280" w:lineRule="exact"/>
              <w:jc w:val="center"/>
            </w:pPr>
            <w:r w:rsidRPr="00155832">
              <w:t>P2</w:t>
            </w:r>
          </w:p>
        </w:tc>
        <w:tc>
          <w:tcPr>
            <w:tcW w:w="1774" w:type="dxa"/>
            <w:tcBorders>
              <w:tl2br w:val="nil"/>
              <w:tr2bl w:val="nil"/>
            </w:tcBorders>
          </w:tcPr>
          <w:p w14:paraId="585DD42E" w14:textId="77777777" w:rsidR="00606029" w:rsidRPr="00155832" w:rsidRDefault="00EA5B92">
            <w:pPr>
              <w:spacing w:line="280" w:lineRule="exact"/>
              <w:jc w:val="center"/>
              <w:rPr>
                <w:b/>
                <w:bCs/>
              </w:rPr>
            </w:pPr>
            <w:r w:rsidRPr="00155832">
              <w:rPr>
                <w:b/>
                <w:bCs/>
              </w:rPr>
              <w:t>P3</w:t>
            </w:r>
          </w:p>
        </w:tc>
      </w:tr>
      <w:tr w:rsidR="00606029" w:rsidRPr="00155832" w14:paraId="3ABC9D93" w14:textId="77777777">
        <w:trPr>
          <w:trHeight w:val="340"/>
          <w:jc w:val="center"/>
        </w:trPr>
        <w:tc>
          <w:tcPr>
            <w:tcW w:w="1769" w:type="dxa"/>
            <w:tcBorders>
              <w:tl2br w:val="nil"/>
              <w:tr2bl w:val="nil"/>
            </w:tcBorders>
          </w:tcPr>
          <w:p w14:paraId="356ECD57" w14:textId="77777777" w:rsidR="00606029" w:rsidRPr="00155832" w:rsidRDefault="00EA5B92">
            <w:pPr>
              <w:spacing w:line="280" w:lineRule="exact"/>
              <w:jc w:val="center"/>
            </w:pPr>
            <w:r w:rsidRPr="00155832">
              <w:t>10≤Q&lt;100</w:t>
            </w:r>
          </w:p>
        </w:tc>
        <w:tc>
          <w:tcPr>
            <w:tcW w:w="1770" w:type="dxa"/>
            <w:tcBorders>
              <w:tl2br w:val="nil"/>
              <w:tr2bl w:val="nil"/>
            </w:tcBorders>
          </w:tcPr>
          <w:p w14:paraId="76C853E6" w14:textId="77777777" w:rsidR="00606029" w:rsidRPr="00155832" w:rsidRDefault="00EA5B92">
            <w:pPr>
              <w:spacing w:line="280" w:lineRule="exact"/>
              <w:jc w:val="center"/>
            </w:pPr>
            <w:r w:rsidRPr="00155832">
              <w:t>P1</w:t>
            </w:r>
          </w:p>
        </w:tc>
        <w:tc>
          <w:tcPr>
            <w:tcW w:w="1771" w:type="dxa"/>
            <w:tcBorders>
              <w:tl2br w:val="nil"/>
              <w:tr2bl w:val="nil"/>
            </w:tcBorders>
          </w:tcPr>
          <w:p w14:paraId="7E47A1D3" w14:textId="77777777" w:rsidR="00606029" w:rsidRPr="00155832" w:rsidRDefault="00EA5B92">
            <w:pPr>
              <w:spacing w:line="280" w:lineRule="exact"/>
              <w:jc w:val="center"/>
            </w:pPr>
            <w:r w:rsidRPr="00155832">
              <w:t>P2</w:t>
            </w:r>
          </w:p>
        </w:tc>
        <w:tc>
          <w:tcPr>
            <w:tcW w:w="1773" w:type="dxa"/>
            <w:tcBorders>
              <w:tl2br w:val="nil"/>
              <w:tr2bl w:val="nil"/>
            </w:tcBorders>
          </w:tcPr>
          <w:p w14:paraId="1D1824D9" w14:textId="77777777" w:rsidR="00606029" w:rsidRPr="00155832" w:rsidRDefault="00EA5B92">
            <w:pPr>
              <w:spacing w:line="280" w:lineRule="exact"/>
              <w:jc w:val="center"/>
            </w:pPr>
            <w:r w:rsidRPr="00155832">
              <w:t>P3</w:t>
            </w:r>
          </w:p>
        </w:tc>
        <w:tc>
          <w:tcPr>
            <w:tcW w:w="1774" w:type="dxa"/>
            <w:tcBorders>
              <w:tl2br w:val="nil"/>
              <w:tr2bl w:val="nil"/>
            </w:tcBorders>
          </w:tcPr>
          <w:p w14:paraId="424A62C9" w14:textId="77777777" w:rsidR="00606029" w:rsidRPr="00155832" w:rsidRDefault="00EA5B92">
            <w:pPr>
              <w:spacing w:line="280" w:lineRule="exact"/>
              <w:jc w:val="center"/>
            </w:pPr>
            <w:r w:rsidRPr="00155832">
              <w:t>P4</w:t>
            </w:r>
          </w:p>
        </w:tc>
      </w:tr>
      <w:tr w:rsidR="00606029" w:rsidRPr="00155832" w14:paraId="7C738151" w14:textId="77777777">
        <w:trPr>
          <w:trHeight w:val="340"/>
          <w:jc w:val="center"/>
        </w:trPr>
        <w:tc>
          <w:tcPr>
            <w:tcW w:w="1769" w:type="dxa"/>
            <w:tcBorders>
              <w:tl2br w:val="nil"/>
              <w:tr2bl w:val="nil"/>
            </w:tcBorders>
          </w:tcPr>
          <w:p w14:paraId="70F5E119" w14:textId="77777777" w:rsidR="00606029" w:rsidRPr="00155832" w:rsidRDefault="00EA5B92">
            <w:pPr>
              <w:spacing w:line="280" w:lineRule="exact"/>
              <w:jc w:val="center"/>
            </w:pPr>
            <w:r w:rsidRPr="00155832">
              <w:t>1≤Q&lt;10</w:t>
            </w:r>
          </w:p>
        </w:tc>
        <w:tc>
          <w:tcPr>
            <w:tcW w:w="1770" w:type="dxa"/>
            <w:tcBorders>
              <w:tl2br w:val="nil"/>
              <w:tr2bl w:val="nil"/>
            </w:tcBorders>
          </w:tcPr>
          <w:p w14:paraId="23C96DFA" w14:textId="77777777" w:rsidR="00606029" w:rsidRPr="00155832" w:rsidRDefault="00EA5B92">
            <w:pPr>
              <w:spacing w:line="280" w:lineRule="exact"/>
              <w:jc w:val="center"/>
            </w:pPr>
            <w:r w:rsidRPr="00155832">
              <w:t>P2</w:t>
            </w:r>
          </w:p>
        </w:tc>
        <w:tc>
          <w:tcPr>
            <w:tcW w:w="1771" w:type="dxa"/>
            <w:tcBorders>
              <w:tl2br w:val="nil"/>
              <w:tr2bl w:val="nil"/>
            </w:tcBorders>
          </w:tcPr>
          <w:p w14:paraId="018CC6E6" w14:textId="77777777" w:rsidR="00606029" w:rsidRPr="00155832" w:rsidRDefault="00EA5B92">
            <w:pPr>
              <w:spacing w:line="280" w:lineRule="exact"/>
              <w:jc w:val="center"/>
            </w:pPr>
            <w:r w:rsidRPr="00155832">
              <w:t>P3</w:t>
            </w:r>
          </w:p>
        </w:tc>
        <w:tc>
          <w:tcPr>
            <w:tcW w:w="1773" w:type="dxa"/>
            <w:tcBorders>
              <w:tl2br w:val="nil"/>
              <w:tr2bl w:val="nil"/>
            </w:tcBorders>
          </w:tcPr>
          <w:p w14:paraId="10B70614" w14:textId="77777777" w:rsidR="00606029" w:rsidRPr="00155832" w:rsidRDefault="00EA5B92">
            <w:pPr>
              <w:spacing w:line="280" w:lineRule="exact"/>
              <w:jc w:val="center"/>
            </w:pPr>
            <w:r w:rsidRPr="00155832">
              <w:t>P4</w:t>
            </w:r>
          </w:p>
        </w:tc>
        <w:tc>
          <w:tcPr>
            <w:tcW w:w="1774" w:type="dxa"/>
            <w:tcBorders>
              <w:tl2br w:val="nil"/>
              <w:tr2bl w:val="nil"/>
            </w:tcBorders>
          </w:tcPr>
          <w:p w14:paraId="5870DA4C" w14:textId="77777777" w:rsidR="00606029" w:rsidRPr="00155832" w:rsidRDefault="00EA5B92">
            <w:pPr>
              <w:spacing w:line="280" w:lineRule="exact"/>
              <w:jc w:val="center"/>
            </w:pPr>
            <w:r w:rsidRPr="00155832">
              <w:t>P4</w:t>
            </w:r>
          </w:p>
        </w:tc>
      </w:tr>
    </w:tbl>
    <w:p w14:paraId="7634F191" w14:textId="0C6B43D0" w:rsidR="00606029" w:rsidRPr="00155832" w:rsidRDefault="00EA5B92" w:rsidP="00925EAF">
      <w:pPr>
        <w:pStyle w:val="affffff4"/>
      </w:pPr>
      <w:r w:rsidRPr="00155832">
        <w:t>根据上表，本项目</w:t>
      </w:r>
      <w:r w:rsidR="00155832" w:rsidRPr="00155832">
        <w:t>Q≥100</w:t>
      </w:r>
      <w:r w:rsidRPr="00155832">
        <w:t>，所属行业及生产工艺特点为</w:t>
      </w:r>
      <w:r w:rsidRPr="00155832">
        <w:t>M4</w:t>
      </w:r>
      <w:r w:rsidRPr="00155832">
        <w:t>类，危险物质及工艺系统危险性为</w:t>
      </w:r>
      <w:r w:rsidRPr="00155832">
        <w:t>P</w:t>
      </w:r>
      <w:r w:rsidR="00155832" w:rsidRPr="00155832">
        <w:rPr>
          <w:rFonts w:hint="eastAsia"/>
        </w:rPr>
        <w:t>3</w:t>
      </w:r>
      <w:r w:rsidRPr="00155832">
        <w:t>。</w:t>
      </w:r>
    </w:p>
    <w:p w14:paraId="68242C4D" w14:textId="77777777" w:rsidR="00606029" w:rsidRPr="00155832" w:rsidRDefault="00EA5B92" w:rsidP="00925EAF">
      <w:pPr>
        <w:pStyle w:val="affffff4"/>
      </w:pPr>
      <w:r w:rsidRPr="00155832">
        <w:t>（</w:t>
      </w:r>
      <w:r w:rsidRPr="00155832">
        <w:t>4</w:t>
      </w:r>
      <w:r w:rsidRPr="00155832">
        <w:t>）</w:t>
      </w:r>
      <w:r w:rsidRPr="00155832">
        <w:t>E</w:t>
      </w:r>
      <w:r w:rsidRPr="00155832">
        <w:t>的分级确定</w:t>
      </w:r>
    </w:p>
    <w:p w14:paraId="340D4C74" w14:textId="77E532A6" w:rsidR="00925EAF" w:rsidRPr="00155832" w:rsidRDefault="00925EAF" w:rsidP="00925EAF">
      <w:pPr>
        <w:pStyle w:val="affffff4"/>
      </w:pPr>
      <w:r w:rsidRPr="00155832">
        <w:t>本项目环境敏感程度（</w:t>
      </w:r>
      <w:r w:rsidRPr="00155832">
        <w:t>E</w:t>
      </w:r>
      <w:r w:rsidRPr="00155832">
        <w:t>）见</w:t>
      </w:r>
      <w:r w:rsidR="00155832">
        <w:rPr>
          <w:rFonts w:hint="eastAsia"/>
        </w:rPr>
        <w:t>下</w:t>
      </w:r>
      <w:r w:rsidRPr="00155832">
        <w:t>表。</w:t>
      </w:r>
    </w:p>
    <w:p w14:paraId="7D3AC58B" w14:textId="2891AEA2" w:rsidR="00925EAF" w:rsidRPr="00925EAF" w:rsidRDefault="00925EAF" w:rsidP="00925EAF">
      <w:pPr>
        <w:pStyle w:val="affffff5"/>
      </w:pPr>
      <w:r w:rsidRPr="00925EAF">
        <w:t>表</w:t>
      </w:r>
      <w:r w:rsidR="00155832">
        <w:rPr>
          <w:rFonts w:hint="eastAsia"/>
        </w:rPr>
        <w:t>1.6-16</w:t>
      </w:r>
      <w:r w:rsidRPr="00925EAF">
        <w:t xml:space="preserve">  </w:t>
      </w:r>
      <w:r w:rsidRPr="00925EAF">
        <w:t>环境风险敏感特征表</w:t>
      </w:r>
    </w:p>
    <w:tbl>
      <w:tblPr>
        <w:tblW w:w="5000"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firstRow="1" w:lastRow="0" w:firstColumn="1" w:lastColumn="0" w:noHBand="0" w:noVBand="1"/>
      </w:tblPr>
      <w:tblGrid>
        <w:gridCol w:w="638"/>
        <w:gridCol w:w="618"/>
        <w:gridCol w:w="1708"/>
        <w:gridCol w:w="1325"/>
        <w:gridCol w:w="607"/>
        <w:gridCol w:w="485"/>
        <w:gridCol w:w="1447"/>
        <w:gridCol w:w="215"/>
        <w:gridCol w:w="1781"/>
      </w:tblGrid>
      <w:tr w:rsidR="00925EAF" w:rsidRPr="00925EAF" w14:paraId="5D9B799F" w14:textId="77777777" w:rsidTr="00925EAF">
        <w:trPr>
          <w:trHeight w:val="284"/>
          <w:tblHeader/>
          <w:jc w:val="center"/>
        </w:trPr>
        <w:tc>
          <w:tcPr>
            <w:tcW w:w="361" w:type="pct"/>
            <w:vAlign w:val="center"/>
          </w:tcPr>
          <w:p w14:paraId="52B969AB" w14:textId="77777777" w:rsidR="00925EAF" w:rsidRPr="00925EAF" w:rsidRDefault="00925EAF" w:rsidP="00925EAF">
            <w:pPr>
              <w:adjustRightInd w:val="0"/>
              <w:snapToGrid w:val="0"/>
              <w:jc w:val="center"/>
              <w:textAlignment w:val="center"/>
              <w:rPr>
                <w:sz w:val="18"/>
                <w:szCs w:val="18"/>
              </w:rPr>
            </w:pPr>
            <w:r w:rsidRPr="00925EAF">
              <w:rPr>
                <w:sz w:val="18"/>
                <w:szCs w:val="18"/>
              </w:rPr>
              <w:t>类别</w:t>
            </w:r>
          </w:p>
        </w:tc>
        <w:tc>
          <w:tcPr>
            <w:tcW w:w="4639" w:type="pct"/>
            <w:gridSpan w:val="8"/>
            <w:vAlign w:val="center"/>
          </w:tcPr>
          <w:p w14:paraId="2E17AED9" w14:textId="77777777" w:rsidR="00925EAF" w:rsidRPr="00925EAF" w:rsidRDefault="00925EAF" w:rsidP="00925EAF">
            <w:pPr>
              <w:adjustRightInd w:val="0"/>
              <w:snapToGrid w:val="0"/>
              <w:jc w:val="center"/>
              <w:textAlignment w:val="center"/>
              <w:rPr>
                <w:sz w:val="18"/>
                <w:szCs w:val="18"/>
              </w:rPr>
            </w:pPr>
            <w:r w:rsidRPr="00925EAF">
              <w:rPr>
                <w:sz w:val="18"/>
                <w:szCs w:val="18"/>
              </w:rPr>
              <w:t>环境敏感特征</w:t>
            </w:r>
          </w:p>
        </w:tc>
      </w:tr>
      <w:tr w:rsidR="00925EAF" w:rsidRPr="00925EAF" w14:paraId="642FBF2C" w14:textId="77777777" w:rsidTr="00925EAF">
        <w:trPr>
          <w:trHeight w:val="284"/>
          <w:jc w:val="center"/>
        </w:trPr>
        <w:tc>
          <w:tcPr>
            <w:tcW w:w="361" w:type="pct"/>
            <w:vMerge w:val="restart"/>
            <w:vAlign w:val="center"/>
          </w:tcPr>
          <w:p w14:paraId="3095AAD8" w14:textId="77777777" w:rsidR="00925EAF" w:rsidRPr="00925EAF" w:rsidRDefault="00925EAF" w:rsidP="00925EAF">
            <w:pPr>
              <w:adjustRightInd w:val="0"/>
              <w:snapToGrid w:val="0"/>
              <w:jc w:val="center"/>
              <w:textAlignment w:val="center"/>
              <w:rPr>
                <w:sz w:val="18"/>
                <w:szCs w:val="18"/>
              </w:rPr>
            </w:pPr>
            <w:r w:rsidRPr="00925EAF">
              <w:rPr>
                <w:sz w:val="18"/>
                <w:szCs w:val="18"/>
              </w:rPr>
              <w:t>环</w:t>
            </w:r>
          </w:p>
          <w:p w14:paraId="78C7F163" w14:textId="77777777" w:rsidR="00925EAF" w:rsidRPr="00925EAF" w:rsidRDefault="00925EAF" w:rsidP="00925EAF">
            <w:pPr>
              <w:adjustRightInd w:val="0"/>
              <w:snapToGrid w:val="0"/>
              <w:jc w:val="center"/>
              <w:textAlignment w:val="center"/>
              <w:rPr>
                <w:sz w:val="18"/>
                <w:szCs w:val="18"/>
              </w:rPr>
            </w:pPr>
            <w:r w:rsidRPr="00925EAF">
              <w:rPr>
                <w:sz w:val="18"/>
                <w:szCs w:val="18"/>
              </w:rPr>
              <w:t>境</w:t>
            </w:r>
          </w:p>
          <w:p w14:paraId="298469C3" w14:textId="77777777" w:rsidR="00925EAF" w:rsidRPr="00925EAF" w:rsidRDefault="00925EAF" w:rsidP="00925EAF">
            <w:pPr>
              <w:adjustRightInd w:val="0"/>
              <w:snapToGrid w:val="0"/>
              <w:jc w:val="center"/>
              <w:textAlignment w:val="center"/>
              <w:rPr>
                <w:sz w:val="18"/>
                <w:szCs w:val="18"/>
              </w:rPr>
            </w:pPr>
            <w:r w:rsidRPr="00925EAF">
              <w:rPr>
                <w:sz w:val="18"/>
                <w:szCs w:val="18"/>
              </w:rPr>
              <w:t>空</w:t>
            </w:r>
          </w:p>
          <w:p w14:paraId="57DA2EFC" w14:textId="77777777" w:rsidR="00925EAF" w:rsidRPr="00925EAF" w:rsidRDefault="00925EAF" w:rsidP="00925EAF">
            <w:pPr>
              <w:adjustRightInd w:val="0"/>
              <w:snapToGrid w:val="0"/>
              <w:jc w:val="center"/>
              <w:textAlignment w:val="center"/>
              <w:rPr>
                <w:sz w:val="18"/>
                <w:szCs w:val="18"/>
              </w:rPr>
            </w:pPr>
            <w:r w:rsidRPr="00925EAF">
              <w:rPr>
                <w:sz w:val="18"/>
                <w:szCs w:val="18"/>
              </w:rPr>
              <w:t>气</w:t>
            </w:r>
          </w:p>
        </w:tc>
        <w:tc>
          <w:tcPr>
            <w:tcW w:w="4639" w:type="pct"/>
            <w:gridSpan w:val="8"/>
            <w:vAlign w:val="center"/>
          </w:tcPr>
          <w:p w14:paraId="68496EE2" w14:textId="77777777" w:rsidR="00925EAF" w:rsidRPr="00925EAF" w:rsidRDefault="00925EAF" w:rsidP="00925EAF">
            <w:pPr>
              <w:adjustRightInd w:val="0"/>
              <w:snapToGrid w:val="0"/>
              <w:jc w:val="center"/>
              <w:textAlignment w:val="center"/>
              <w:rPr>
                <w:sz w:val="18"/>
                <w:szCs w:val="18"/>
              </w:rPr>
            </w:pPr>
            <w:r w:rsidRPr="00925EAF">
              <w:rPr>
                <w:sz w:val="18"/>
                <w:szCs w:val="18"/>
              </w:rPr>
              <w:t>厂址周边</w:t>
            </w:r>
            <w:r w:rsidRPr="00925EAF">
              <w:rPr>
                <w:sz w:val="18"/>
                <w:szCs w:val="18"/>
              </w:rPr>
              <w:t>5km</w:t>
            </w:r>
            <w:r w:rsidRPr="00925EAF">
              <w:rPr>
                <w:sz w:val="18"/>
                <w:szCs w:val="18"/>
              </w:rPr>
              <w:t>范围内</w:t>
            </w:r>
          </w:p>
        </w:tc>
      </w:tr>
      <w:tr w:rsidR="00925EAF" w:rsidRPr="00925EAF" w14:paraId="3609F67E" w14:textId="77777777" w:rsidTr="00925EAF">
        <w:trPr>
          <w:trHeight w:val="284"/>
          <w:jc w:val="center"/>
        </w:trPr>
        <w:tc>
          <w:tcPr>
            <w:tcW w:w="361" w:type="pct"/>
            <w:vMerge/>
            <w:vAlign w:val="center"/>
          </w:tcPr>
          <w:p w14:paraId="16C5EA7B" w14:textId="77777777" w:rsidR="00925EAF" w:rsidRPr="00925EAF" w:rsidRDefault="00925EAF" w:rsidP="00925EAF">
            <w:pPr>
              <w:widowControl/>
              <w:adjustRightInd w:val="0"/>
              <w:snapToGrid w:val="0"/>
              <w:jc w:val="center"/>
              <w:rPr>
                <w:sz w:val="18"/>
                <w:szCs w:val="18"/>
              </w:rPr>
            </w:pPr>
          </w:p>
        </w:tc>
        <w:tc>
          <w:tcPr>
            <w:tcW w:w="350" w:type="pct"/>
            <w:vAlign w:val="center"/>
          </w:tcPr>
          <w:p w14:paraId="41C12EF3" w14:textId="77777777" w:rsidR="00925EAF" w:rsidRPr="00925EAF" w:rsidRDefault="00925EAF" w:rsidP="00925EAF">
            <w:pPr>
              <w:adjustRightInd w:val="0"/>
              <w:snapToGrid w:val="0"/>
              <w:jc w:val="center"/>
              <w:textAlignment w:val="center"/>
              <w:rPr>
                <w:sz w:val="18"/>
                <w:szCs w:val="18"/>
              </w:rPr>
            </w:pPr>
            <w:r w:rsidRPr="00925EAF">
              <w:rPr>
                <w:sz w:val="18"/>
                <w:szCs w:val="18"/>
              </w:rPr>
              <w:t>序号</w:t>
            </w:r>
          </w:p>
        </w:tc>
        <w:tc>
          <w:tcPr>
            <w:tcW w:w="968" w:type="pct"/>
            <w:vAlign w:val="center"/>
          </w:tcPr>
          <w:p w14:paraId="2B32F7F2" w14:textId="77777777" w:rsidR="00925EAF" w:rsidRPr="00925EAF" w:rsidRDefault="00925EAF" w:rsidP="00925EAF">
            <w:pPr>
              <w:adjustRightInd w:val="0"/>
              <w:snapToGrid w:val="0"/>
              <w:jc w:val="center"/>
              <w:textAlignment w:val="center"/>
              <w:rPr>
                <w:sz w:val="18"/>
                <w:szCs w:val="18"/>
              </w:rPr>
            </w:pPr>
            <w:r w:rsidRPr="00925EAF">
              <w:rPr>
                <w:sz w:val="18"/>
                <w:szCs w:val="18"/>
              </w:rPr>
              <w:t>敏感目标名称</w:t>
            </w:r>
          </w:p>
        </w:tc>
        <w:tc>
          <w:tcPr>
            <w:tcW w:w="751" w:type="pct"/>
            <w:vAlign w:val="center"/>
          </w:tcPr>
          <w:p w14:paraId="5D5EC652" w14:textId="77777777" w:rsidR="00925EAF" w:rsidRPr="00925EAF" w:rsidRDefault="00925EAF" w:rsidP="00925EAF">
            <w:pPr>
              <w:adjustRightInd w:val="0"/>
              <w:snapToGrid w:val="0"/>
              <w:jc w:val="center"/>
              <w:textAlignment w:val="center"/>
              <w:rPr>
                <w:sz w:val="18"/>
                <w:szCs w:val="18"/>
              </w:rPr>
            </w:pPr>
            <w:r w:rsidRPr="00925EAF">
              <w:rPr>
                <w:sz w:val="18"/>
                <w:szCs w:val="18"/>
              </w:rPr>
              <w:t>相对方位</w:t>
            </w:r>
          </w:p>
        </w:tc>
        <w:tc>
          <w:tcPr>
            <w:tcW w:w="619" w:type="pct"/>
            <w:gridSpan w:val="2"/>
            <w:vAlign w:val="center"/>
          </w:tcPr>
          <w:p w14:paraId="17EB159A" w14:textId="77777777" w:rsidR="00925EAF" w:rsidRPr="00925EAF" w:rsidRDefault="00925EAF" w:rsidP="00925EAF">
            <w:pPr>
              <w:adjustRightInd w:val="0"/>
              <w:snapToGrid w:val="0"/>
              <w:jc w:val="center"/>
              <w:textAlignment w:val="center"/>
              <w:rPr>
                <w:sz w:val="18"/>
                <w:szCs w:val="18"/>
              </w:rPr>
            </w:pPr>
            <w:r w:rsidRPr="00925EAF">
              <w:rPr>
                <w:sz w:val="18"/>
                <w:szCs w:val="18"/>
              </w:rPr>
              <w:t>距离</w:t>
            </w:r>
            <w:r w:rsidRPr="00925EAF">
              <w:rPr>
                <w:sz w:val="18"/>
                <w:szCs w:val="18"/>
              </w:rPr>
              <w:t>/</w:t>
            </w:r>
            <w:r w:rsidRPr="00925EAF">
              <w:rPr>
                <w:sz w:val="18"/>
                <w:szCs w:val="18"/>
              </w:rPr>
              <w:t>约</w:t>
            </w:r>
            <w:r w:rsidRPr="00925EAF">
              <w:rPr>
                <w:sz w:val="18"/>
                <w:szCs w:val="18"/>
              </w:rPr>
              <w:t>m</w:t>
            </w:r>
          </w:p>
        </w:tc>
        <w:tc>
          <w:tcPr>
            <w:tcW w:w="942" w:type="pct"/>
            <w:gridSpan w:val="2"/>
            <w:vAlign w:val="center"/>
          </w:tcPr>
          <w:p w14:paraId="30A8784F" w14:textId="77777777" w:rsidR="00925EAF" w:rsidRPr="00925EAF" w:rsidRDefault="00925EAF" w:rsidP="00925EAF">
            <w:pPr>
              <w:adjustRightInd w:val="0"/>
              <w:snapToGrid w:val="0"/>
              <w:jc w:val="center"/>
              <w:textAlignment w:val="center"/>
              <w:rPr>
                <w:sz w:val="18"/>
                <w:szCs w:val="18"/>
              </w:rPr>
            </w:pPr>
            <w:r w:rsidRPr="00925EAF">
              <w:rPr>
                <w:sz w:val="18"/>
                <w:szCs w:val="18"/>
              </w:rPr>
              <w:t>属性</w:t>
            </w:r>
          </w:p>
        </w:tc>
        <w:tc>
          <w:tcPr>
            <w:tcW w:w="1009" w:type="pct"/>
            <w:vAlign w:val="center"/>
          </w:tcPr>
          <w:p w14:paraId="4A1C2D7D" w14:textId="77777777" w:rsidR="00925EAF" w:rsidRPr="00925EAF" w:rsidRDefault="00925EAF" w:rsidP="00925EAF">
            <w:pPr>
              <w:adjustRightInd w:val="0"/>
              <w:snapToGrid w:val="0"/>
              <w:jc w:val="center"/>
              <w:textAlignment w:val="center"/>
              <w:rPr>
                <w:sz w:val="18"/>
                <w:szCs w:val="18"/>
              </w:rPr>
            </w:pPr>
            <w:r w:rsidRPr="00925EAF">
              <w:rPr>
                <w:sz w:val="18"/>
                <w:szCs w:val="18"/>
              </w:rPr>
              <w:t>人口数</w:t>
            </w:r>
          </w:p>
        </w:tc>
      </w:tr>
      <w:tr w:rsidR="00925EAF" w:rsidRPr="00925EAF" w14:paraId="5651A123" w14:textId="77777777" w:rsidTr="00925EAF">
        <w:trPr>
          <w:trHeight w:val="284"/>
          <w:jc w:val="center"/>
        </w:trPr>
        <w:tc>
          <w:tcPr>
            <w:tcW w:w="361" w:type="pct"/>
            <w:vMerge/>
            <w:vAlign w:val="center"/>
          </w:tcPr>
          <w:p w14:paraId="374210B2" w14:textId="77777777" w:rsidR="00925EAF" w:rsidRPr="00925EAF" w:rsidRDefault="00925EAF" w:rsidP="00925EAF">
            <w:pPr>
              <w:widowControl/>
              <w:adjustRightInd w:val="0"/>
              <w:snapToGrid w:val="0"/>
              <w:jc w:val="center"/>
              <w:rPr>
                <w:sz w:val="18"/>
                <w:szCs w:val="18"/>
              </w:rPr>
            </w:pPr>
          </w:p>
        </w:tc>
        <w:tc>
          <w:tcPr>
            <w:tcW w:w="350" w:type="pct"/>
            <w:vAlign w:val="center"/>
          </w:tcPr>
          <w:p w14:paraId="7C875D18" w14:textId="77777777" w:rsidR="00925EAF" w:rsidRPr="00925EAF" w:rsidRDefault="00925EAF" w:rsidP="00925EAF">
            <w:pPr>
              <w:adjustRightInd w:val="0"/>
              <w:snapToGrid w:val="0"/>
              <w:jc w:val="center"/>
              <w:textAlignment w:val="center"/>
              <w:rPr>
                <w:sz w:val="18"/>
                <w:szCs w:val="18"/>
              </w:rPr>
            </w:pPr>
            <w:r w:rsidRPr="00925EAF">
              <w:rPr>
                <w:sz w:val="18"/>
                <w:szCs w:val="18"/>
              </w:rPr>
              <w:t>1</w:t>
            </w:r>
          </w:p>
        </w:tc>
        <w:tc>
          <w:tcPr>
            <w:tcW w:w="968" w:type="pct"/>
            <w:vAlign w:val="center"/>
          </w:tcPr>
          <w:p w14:paraId="700B5927" w14:textId="77777777" w:rsidR="00925EAF" w:rsidRPr="00925EAF" w:rsidRDefault="00925EAF" w:rsidP="00925EAF">
            <w:pPr>
              <w:adjustRightInd w:val="0"/>
              <w:snapToGrid w:val="0"/>
              <w:jc w:val="center"/>
              <w:textAlignment w:val="center"/>
              <w:rPr>
                <w:sz w:val="18"/>
                <w:szCs w:val="18"/>
              </w:rPr>
            </w:pPr>
            <w:r w:rsidRPr="00925EAF">
              <w:rPr>
                <w:sz w:val="18"/>
                <w:szCs w:val="18"/>
              </w:rPr>
              <w:t>农牧场村</w:t>
            </w:r>
          </w:p>
        </w:tc>
        <w:tc>
          <w:tcPr>
            <w:tcW w:w="751" w:type="pct"/>
            <w:vAlign w:val="center"/>
          </w:tcPr>
          <w:p w14:paraId="7E681BAF" w14:textId="77777777" w:rsidR="00925EAF" w:rsidRPr="00925EAF" w:rsidRDefault="00925EAF" w:rsidP="00925EAF">
            <w:pPr>
              <w:adjustRightInd w:val="0"/>
              <w:snapToGrid w:val="0"/>
              <w:jc w:val="center"/>
              <w:textAlignment w:val="center"/>
              <w:rPr>
                <w:sz w:val="18"/>
                <w:szCs w:val="18"/>
              </w:rPr>
            </w:pPr>
            <w:r w:rsidRPr="00925EAF">
              <w:rPr>
                <w:sz w:val="18"/>
                <w:szCs w:val="18"/>
              </w:rPr>
              <w:t>NE</w:t>
            </w:r>
          </w:p>
        </w:tc>
        <w:tc>
          <w:tcPr>
            <w:tcW w:w="619" w:type="pct"/>
            <w:gridSpan w:val="2"/>
            <w:vAlign w:val="center"/>
          </w:tcPr>
          <w:p w14:paraId="7AFB05C7" w14:textId="77777777" w:rsidR="00925EAF" w:rsidRPr="00925EAF" w:rsidRDefault="00925EAF" w:rsidP="00925EAF">
            <w:pPr>
              <w:adjustRightInd w:val="0"/>
              <w:snapToGrid w:val="0"/>
              <w:jc w:val="center"/>
              <w:textAlignment w:val="center"/>
              <w:rPr>
                <w:sz w:val="18"/>
                <w:szCs w:val="18"/>
              </w:rPr>
            </w:pPr>
            <w:r w:rsidRPr="00925EAF">
              <w:rPr>
                <w:sz w:val="18"/>
                <w:szCs w:val="18"/>
              </w:rPr>
              <w:t>4340</w:t>
            </w:r>
          </w:p>
        </w:tc>
        <w:tc>
          <w:tcPr>
            <w:tcW w:w="942" w:type="pct"/>
            <w:gridSpan w:val="2"/>
            <w:vAlign w:val="center"/>
          </w:tcPr>
          <w:p w14:paraId="0B199137" w14:textId="77777777" w:rsidR="00925EAF" w:rsidRPr="00925EAF" w:rsidRDefault="00925EAF" w:rsidP="00925EAF">
            <w:pPr>
              <w:adjustRightInd w:val="0"/>
              <w:snapToGrid w:val="0"/>
              <w:jc w:val="center"/>
              <w:textAlignment w:val="center"/>
              <w:rPr>
                <w:sz w:val="18"/>
                <w:szCs w:val="18"/>
              </w:rPr>
            </w:pPr>
            <w:r w:rsidRPr="00925EAF">
              <w:rPr>
                <w:sz w:val="18"/>
                <w:szCs w:val="18"/>
              </w:rPr>
              <w:t>居住区</w:t>
            </w:r>
          </w:p>
        </w:tc>
        <w:tc>
          <w:tcPr>
            <w:tcW w:w="1009" w:type="pct"/>
            <w:vAlign w:val="center"/>
          </w:tcPr>
          <w:p w14:paraId="6EE4B070" w14:textId="77777777" w:rsidR="00925EAF" w:rsidRPr="00925EAF" w:rsidRDefault="00925EAF" w:rsidP="00925EAF">
            <w:pPr>
              <w:adjustRightInd w:val="0"/>
              <w:snapToGrid w:val="0"/>
              <w:jc w:val="center"/>
              <w:textAlignment w:val="center"/>
              <w:rPr>
                <w:sz w:val="18"/>
                <w:szCs w:val="18"/>
              </w:rPr>
            </w:pPr>
            <w:r w:rsidRPr="00925EAF">
              <w:rPr>
                <w:sz w:val="18"/>
                <w:szCs w:val="18"/>
              </w:rPr>
              <w:t>420</w:t>
            </w:r>
          </w:p>
        </w:tc>
      </w:tr>
      <w:tr w:rsidR="00925EAF" w:rsidRPr="00925EAF" w14:paraId="79CB37BF" w14:textId="77777777" w:rsidTr="00925EAF">
        <w:trPr>
          <w:trHeight w:val="284"/>
          <w:jc w:val="center"/>
        </w:trPr>
        <w:tc>
          <w:tcPr>
            <w:tcW w:w="361" w:type="pct"/>
            <w:vMerge/>
            <w:vAlign w:val="center"/>
          </w:tcPr>
          <w:p w14:paraId="149F9DA6" w14:textId="77777777" w:rsidR="00925EAF" w:rsidRPr="00925EAF" w:rsidRDefault="00925EAF" w:rsidP="00925EAF">
            <w:pPr>
              <w:widowControl/>
              <w:adjustRightInd w:val="0"/>
              <w:snapToGrid w:val="0"/>
              <w:jc w:val="center"/>
              <w:rPr>
                <w:sz w:val="18"/>
                <w:szCs w:val="18"/>
              </w:rPr>
            </w:pPr>
          </w:p>
        </w:tc>
        <w:tc>
          <w:tcPr>
            <w:tcW w:w="350" w:type="pct"/>
            <w:vAlign w:val="center"/>
          </w:tcPr>
          <w:p w14:paraId="4A6FAC4A" w14:textId="77777777" w:rsidR="00925EAF" w:rsidRPr="00925EAF" w:rsidRDefault="00925EAF" w:rsidP="00925EAF">
            <w:pPr>
              <w:adjustRightInd w:val="0"/>
              <w:snapToGrid w:val="0"/>
              <w:jc w:val="center"/>
              <w:textAlignment w:val="center"/>
              <w:rPr>
                <w:sz w:val="18"/>
                <w:szCs w:val="18"/>
              </w:rPr>
            </w:pPr>
            <w:r w:rsidRPr="00925EAF">
              <w:rPr>
                <w:sz w:val="18"/>
                <w:szCs w:val="18"/>
              </w:rPr>
              <w:t>2</w:t>
            </w:r>
          </w:p>
        </w:tc>
        <w:tc>
          <w:tcPr>
            <w:tcW w:w="968" w:type="pct"/>
            <w:vAlign w:val="center"/>
          </w:tcPr>
          <w:p w14:paraId="39317B8F" w14:textId="77777777" w:rsidR="00925EAF" w:rsidRPr="00925EAF" w:rsidRDefault="00925EAF" w:rsidP="00925EAF">
            <w:pPr>
              <w:adjustRightInd w:val="0"/>
              <w:snapToGrid w:val="0"/>
              <w:jc w:val="center"/>
              <w:textAlignment w:val="center"/>
              <w:rPr>
                <w:sz w:val="18"/>
                <w:szCs w:val="18"/>
              </w:rPr>
            </w:pPr>
            <w:r w:rsidRPr="00925EAF">
              <w:rPr>
                <w:sz w:val="18"/>
                <w:szCs w:val="18"/>
              </w:rPr>
              <w:t>刘高手村</w:t>
            </w:r>
          </w:p>
        </w:tc>
        <w:tc>
          <w:tcPr>
            <w:tcW w:w="751" w:type="pct"/>
            <w:vAlign w:val="center"/>
          </w:tcPr>
          <w:p w14:paraId="3A5DED46" w14:textId="77777777" w:rsidR="00925EAF" w:rsidRPr="00925EAF" w:rsidRDefault="00925EAF" w:rsidP="00925EAF">
            <w:pPr>
              <w:adjustRightInd w:val="0"/>
              <w:snapToGrid w:val="0"/>
              <w:jc w:val="center"/>
              <w:textAlignment w:val="center"/>
              <w:rPr>
                <w:sz w:val="18"/>
                <w:szCs w:val="18"/>
              </w:rPr>
            </w:pPr>
            <w:r w:rsidRPr="00925EAF">
              <w:rPr>
                <w:sz w:val="18"/>
                <w:szCs w:val="18"/>
              </w:rPr>
              <w:t>NE</w:t>
            </w:r>
          </w:p>
        </w:tc>
        <w:tc>
          <w:tcPr>
            <w:tcW w:w="619" w:type="pct"/>
            <w:gridSpan w:val="2"/>
            <w:vAlign w:val="center"/>
          </w:tcPr>
          <w:p w14:paraId="4064657B" w14:textId="77777777" w:rsidR="00925EAF" w:rsidRPr="00925EAF" w:rsidRDefault="00925EAF" w:rsidP="00925EAF">
            <w:pPr>
              <w:adjustRightInd w:val="0"/>
              <w:snapToGrid w:val="0"/>
              <w:jc w:val="center"/>
              <w:textAlignment w:val="center"/>
              <w:rPr>
                <w:sz w:val="18"/>
                <w:szCs w:val="18"/>
              </w:rPr>
            </w:pPr>
            <w:r w:rsidRPr="00925EAF">
              <w:rPr>
                <w:sz w:val="18"/>
                <w:szCs w:val="18"/>
              </w:rPr>
              <w:t>3230</w:t>
            </w:r>
          </w:p>
        </w:tc>
        <w:tc>
          <w:tcPr>
            <w:tcW w:w="942" w:type="pct"/>
            <w:gridSpan w:val="2"/>
            <w:vAlign w:val="center"/>
          </w:tcPr>
          <w:p w14:paraId="6695EB5C" w14:textId="77777777" w:rsidR="00925EAF" w:rsidRPr="00925EAF" w:rsidRDefault="00925EAF" w:rsidP="00925EAF">
            <w:pPr>
              <w:adjustRightInd w:val="0"/>
              <w:snapToGrid w:val="0"/>
              <w:jc w:val="center"/>
              <w:textAlignment w:val="center"/>
              <w:rPr>
                <w:sz w:val="18"/>
                <w:szCs w:val="18"/>
              </w:rPr>
            </w:pPr>
            <w:r w:rsidRPr="00925EAF">
              <w:rPr>
                <w:sz w:val="18"/>
                <w:szCs w:val="18"/>
              </w:rPr>
              <w:t>居住区</w:t>
            </w:r>
          </w:p>
        </w:tc>
        <w:tc>
          <w:tcPr>
            <w:tcW w:w="1009" w:type="pct"/>
            <w:vAlign w:val="center"/>
          </w:tcPr>
          <w:p w14:paraId="207313CC" w14:textId="77777777" w:rsidR="00925EAF" w:rsidRPr="00925EAF" w:rsidRDefault="00925EAF" w:rsidP="00925EAF">
            <w:pPr>
              <w:adjustRightInd w:val="0"/>
              <w:snapToGrid w:val="0"/>
              <w:jc w:val="center"/>
              <w:textAlignment w:val="center"/>
              <w:rPr>
                <w:sz w:val="18"/>
                <w:szCs w:val="18"/>
              </w:rPr>
            </w:pPr>
            <w:r w:rsidRPr="00925EAF">
              <w:rPr>
                <w:sz w:val="18"/>
                <w:szCs w:val="18"/>
              </w:rPr>
              <w:t>180</w:t>
            </w:r>
          </w:p>
        </w:tc>
      </w:tr>
      <w:tr w:rsidR="00925EAF" w:rsidRPr="00925EAF" w14:paraId="47BCDECB" w14:textId="77777777" w:rsidTr="00925EAF">
        <w:trPr>
          <w:trHeight w:val="284"/>
          <w:jc w:val="center"/>
        </w:trPr>
        <w:tc>
          <w:tcPr>
            <w:tcW w:w="361" w:type="pct"/>
            <w:vMerge/>
            <w:vAlign w:val="center"/>
          </w:tcPr>
          <w:p w14:paraId="042694E6" w14:textId="77777777" w:rsidR="00925EAF" w:rsidRPr="00925EAF" w:rsidRDefault="00925EAF" w:rsidP="00925EAF">
            <w:pPr>
              <w:widowControl/>
              <w:adjustRightInd w:val="0"/>
              <w:snapToGrid w:val="0"/>
              <w:jc w:val="center"/>
              <w:rPr>
                <w:sz w:val="18"/>
                <w:szCs w:val="18"/>
              </w:rPr>
            </w:pPr>
          </w:p>
        </w:tc>
        <w:tc>
          <w:tcPr>
            <w:tcW w:w="350" w:type="pct"/>
            <w:vAlign w:val="center"/>
          </w:tcPr>
          <w:p w14:paraId="572AEE6E" w14:textId="77777777" w:rsidR="00925EAF" w:rsidRPr="00925EAF" w:rsidRDefault="00925EAF" w:rsidP="00925EAF">
            <w:pPr>
              <w:adjustRightInd w:val="0"/>
              <w:snapToGrid w:val="0"/>
              <w:jc w:val="center"/>
              <w:textAlignment w:val="center"/>
              <w:rPr>
                <w:sz w:val="18"/>
                <w:szCs w:val="18"/>
              </w:rPr>
            </w:pPr>
            <w:r w:rsidRPr="00925EAF">
              <w:rPr>
                <w:sz w:val="18"/>
                <w:szCs w:val="18"/>
              </w:rPr>
              <w:t>3</w:t>
            </w:r>
          </w:p>
        </w:tc>
        <w:tc>
          <w:tcPr>
            <w:tcW w:w="968" w:type="pct"/>
            <w:vAlign w:val="center"/>
          </w:tcPr>
          <w:p w14:paraId="2509D89D" w14:textId="77777777" w:rsidR="00925EAF" w:rsidRPr="00925EAF" w:rsidRDefault="00925EAF" w:rsidP="00925EAF">
            <w:pPr>
              <w:adjustRightInd w:val="0"/>
              <w:snapToGrid w:val="0"/>
              <w:jc w:val="center"/>
              <w:textAlignment w:val="center"/>
              <w:rPr>
                <w:sz w:val="18"/>
                <w:szCs w:val="18"/>
              </w:rPr>
            </w:pPr>
            <w:r w:rsidRPr="00925EAF">
              <w:rPr>
                <w:sz w:val="18"/>
                <w:szCs w:val="18"/>
              </w:rPr>
              <w:t>刘高手屯</w:t>
            </w:r>
          </w:p>
        </w:tc>
        <w:tc>
          <w:tcPr>
            <w:tcW w:w="751" w:type="pct"/>
            <w:vAlign w:val="center"/>
          </w:tcPr>
          <w:p w14:paraId="05C7D309" w14:textId="77777777" w:rsidR="00925EAF" w:rsidRPr="00925EAF" w:rsidRDefault="00925EAF" w:rsidP="00925EAF">
            <w:pPr>
              <w:adjustRightInd w:val="0"/>
              <w:snapToGrid w:val="0"/>
              <w:jc w:val="center"/>
              <w:textAlignment w:val="center"/>
              <w:rPr>
                <w:sz w:val="18"/>
                <w:szCs w:val="18"/>
              </w:rPr>
            </w:pPr>
            <w:r w:rsidRPr="00925EAF">
              <w:rPr>
                <w:sz w:val="18"/>
                <w:szCs w:val="18"/>
              </w:rPr>
              <w:t>N</w:t>
            </w:r>
          </w:p>
        </w:tc>
        <w:tc>
          <w:tcPr>
            <w:tcW w:w="619" w:type="pct"/>
            <w:gridSpan w:val="2"/>
            <w:vAlign w:val="center"/>
          </w:tcPr>
          <w:p w14:paraId="5DF7A522" w14:textId="77777777" w:rsidR="00925EAF" w:rsidRPr="00925EAF" w:rsidRDefault="00925EAF" w:rsidP="00925EAF">
            <w:pPr>
              <w:adjustRightInd w:val="0"/>
              <w:snapToGrid w:val="0"/>
              <w:jc w:val="center"/>
              <w:textAlignment w:val="center"/>
              <w:rPr>
                <w:sz w:val="18"/>
                <w:szCs w:val="18"/>
              </w:rPr>
            </w:pPr>
            <w:r w:rsidRPr="00925EAF">
              <w:rPr>
                <w:sz w:val="18"/>
                <w:szCs w:val="18"/>
              </w:rPr>
              <w:t>3330</w:t>
            </w:r>
          </w:p>
        </w:tc>
        <w:tc>
          <w:tcPr>
            <w:tcW w:w="942" w:type="pct"/>
            <w:gridSpan w:val="2"/>
            <w:vAlign w:val="center"/>
          </w:tcPr>
          <w:p w14:paraId="0086F148" w14:textId="77777777" w:rsidR="00925EAF" w:rsidRPr="00925EAF" w:rsidRDefault="00925EAF" w:rsidP="00925EAF">
            <w:pPr>
              <w:adjustRightInd w:val="0"/>
              <w:snapToGrid w:val="0"/>
              <w:jc w:val="center"/>
              <w:textAlignment w:val="center"/>
              <w:rPr>
                <w:sz w:val="18"/>
                <w:szCs w:val="18"/>
              </w:rPr>
            </w:pPr>
            <w:r w:rsidRPr="00925EAF">
              <w:rPr>
                <w:sz w:val="18"/>
                <w:szCs w:val="18"/>
              </w:rPr>
              <w:t>居住区</w:t>
            </w:r>
          </w:p>
        </w:tc>
        <w:tc>
          <w:tcPr>
            <w:tcW w:w="1009" w:type="pct"/>
            <w:vAlign w:val="center"/>
          </w:tcPr>
          <w:p w14:paraId="53E30829" w14:textId="77777777" w:rsidR="00925EAF" w:rsidRPr="00925EAF" w:rsidRDefault="00925EAF" w:rsidP="00925EAF">
            <w:pPr>
              <w:adjustRightInd w:val="0"/>
              <w:snapToGrid w:val="0"/>
              <w:jc w:val="center"/>
              <w:textAlignment w:val="center"/>
              <w:rPr>
                <w:sz w:val="18"/>
                <w:szCs w:val="18"/>
              </w:rPr>
            </w:pPr>
            <w:r w:rsidRPr="00925EAF">
              <w:rPr>
                <w:sz w:val="18"/>
                <w:szCs w:val="18"/>
              </w:rPr>
              <w:t>500</w:t>
            </w:r>
          </w:p>
        </w:tc>
      </w:tr>
      <w:tr w:rsidR="00925EAF" w:rsidRPr="00925EAF" w14:paraId="2FC9B353" w14:textId="77777777" w:rsidTr="00925EAF">
        <w:trPr>
          <w:trHeight w:val="284"/>
          <w:jc w:val="center"/>
        </w:trPr>
        <w:tc>
          <w:tcPr>
            <w:tcW w:w="361" w:type="pct"/>
            <w:vMerge/>
            <w:vAlign w:val="center"/>
          </w:tcPr>
          <w:p w14:paraId="33BBE524" w14:textId="77777777" w:rsidR="00925EAF" w:rsidRPr="00925EAF" w:rsidRDefault="00925EAF" w:rsidP="00925EAF">
            <w:pPr>
              <w:widowControl/>
              <w:adjustRightInd w:val="0"/>
              <w:snapToGrid w:val="0"/>
              <w:jc w:val="center"/>
              <w:rPr>
                <w:sz w:val="18"/>
                <w:szCs w:val="18"/>
              </w:rPr>
            </w:pPr>
          </w:p>
        </w:tc>
        <w:tc>
          <w:tcPr>
            <w:tcW w:w="350" w:type="pct"/>
            <w:vAlign w:val="center"/>
          </w:tcPr>
          <w:p w14:paraId="4A527649" w14:textId="77777777" w:rsidR="00925EAF" w:rsidRPr="00925EAF" w:rsidRDefault="00925EAF" w:rsidP="00925EAF">
            <w:pPr>
              <w:adjustRightInd w:val="0"/>
              <w:snapToGrid w:val="0"/>
              <w:jc w:val="center"/>
              <w:textAlignment w:val="center"/>
              <w:rPr>
                <w:sz w:val="18"/>
                <w:szCs w:val="18"/>
              </w:rPr>
            </w:pPr>
            <w:r w:rsidRPr="00925EAF">
              <w:rPr>
                <w:sz w:val="18"/>
                <w:szCs w:val="18"/>
              </w:rPr>
              <w:t>4</w:t>
            </w:r>
          </w:p>
        </w:tc>
        <w:tc>
          <w:tcPr>
            <w:tcW w:w="968" w:type="pct"/>
            <w:vAlign w:val="center"/>
          </w:tcPr>
          <w:p w14:paraId="5890B10D" w14:textId="77777777" w:rsidR="00925EAF" w:rsidRPr="00925EAF" w:rsidRDefault="00925EAF" w:rsidP="00925EAF">
            <w:pPr>
              <w:adjustRightInd w:val="0"/>
              <w:snapToGrid w:val="0"/>
              <w:jc w:val="center"/>
              <w:textAlignment w:val="center"/>
              <w:rPr>
                <w:sz w:val="18"/>
                <w:szCs w:val="18"/>
              </w:rPr>
            </w:pPr>
            <w:r w:rsidRPr="00925EAF">
              <w:rPr>
                <w:sz w:val="18"/>
                <w:szCs w:val="18"/>
              </w:rPr>
              <w:t>萨东村</w:t>
            </w:r>
          </w:p>
        </w:tc>
        <w:tc>
          <w:tcPr>
            <w:tcW w:w="751" w:type="pct"/>
            <w:vAlign w:val="center"/>
          </w:tcPr>
          <w:p w14:paraId="41E51418" w14:textId="77777777" w:rsidR="00925EAF" w:rsidRPr="00925EAF" w:rsidRDefault="00925EAF" w:rsidP="00925EAF">
            <w:pPr>
              <w:adjustRightInd w:val="0"/>
              <w:snapToGrid w:val="0"/>
              <w:jc w:val="center"/>
              <w:textAlignment w:val="center"/>
              <w:rPr>
                <w:sz w:val="18"/>
                <w:szCs w:val="18"/>
              </w:rPr>
            </w:pPr>
            <w:r w:rsidRPr="00925EAF">
              <w:rPr>
                <w:sz w:val="18"/>
                <w:szCs w:val="18"/>
              </w:rPr>
              <w:t>N</w:t>
            </w:r>
          </w:p>
        </w:tc>
        <w:tc>
          <w:tcPr>
            <w:tcW w:w="619" w:type="pct"/>
            <w:gridSpan w:val="2"/>
            <w:vAlign w:val="center"/>
          </w:tcPr>
          <w:p w14:paraId="0C40A46E" w14:textId="77777777" w:rsidR="00925EAF" w:rsidRPr="00925EAF" w:rsidRDefault="00925EAF" w:rsidP="00925EAF">
            <w:pPr>
              <w:adjustRightInd w:val="0"/>
              <w:snapToGrid w:val="0"/>
              <w:jc w:val="center"/>
              <w:textAlignment w:val="center"/>
              <w:rPr>
                <w:sz w:val="18"/>
                <w:szCs w:val="18"/>
              </w:rPr>
            </w:pPr>
            <w:r w:rsidRPr="00925EAF">
              <w:rPr>
                <w:sz w:val="18"/>
                <w:szCs w:val="18"/>
              </w:rPr>
              <w:t>2760</w:t>
            </w:r>
          </w:p>
        </w:tc>
        <w:tc>
          <w:tcPr>
            <w:tcW w:w="942" w:type="pct"/>
            <w:gridSpan w:val="2"/>
            <w:vAlign w:val="center"/>
          </w:tcPr>
          <w:p w14:paraId="26F0BCEB" w14:textId="77777777" w:rsidR="00925EAF" w:rsidRPr="00925EAF" w:rsidRDefault="00925EAF" w:rsidP="00925EAF">
            <w:pPr>
              <w:adjustRightInd w:val="0"/>
              <w:snapToGrid w:val="0"/>
              <w:jc w:val="center"/>
              <w:textAlignment w:val="center"/>
              <w:rPr>
                <w:sz w:val="18"/>
                <w:szCs w:val="18"/>
              </w:rPr>
            </w:pPr>
            <w:r w:rsidRPr="00925EAF">
              <w:rPr>
                <w:sz w:val="18"/>
                <w:szCs w:val="18"/>
              </w:rPr>
              <w:t>居住区</w:t>
            </w:r>
          </w:p>
        </w:tc>
        <w:tc>
          <w:tcPr>
            <w:tcW w:w="1009" w:type="pct"/>
            <w:vAlign w:val="center"/>
          </w:tcPr>
          <w:p w14:paraId="7C8C5C9B" w14:textId="77777777" w:rsidR="00925EAF" w:rsidRPr="00925EAF" w:rsidRDefault="00925EAF" w:rsidP="00925EAF">
            <w:pPr>
              <w:adjustRightInd w:val="0"/>
              <w:snapToGrid w:val="0"/>
              <w:jc w:val="center"/>
              <w:textAlignment w:val="center"/>
              <w:rPr>
                <w:sz w:val="18"/>
                <w:szCs w:val="18"/>
              </w:rPr>
            </w:pPr>
            <w:r w:rsidRPr="00925EAF">
              <w:rPr>
                <w:sz w:val="18"/>
                <w:szCs w:val="18"/>
              </w:rPr>
              <w:t>320</w:t>
            </w:r>
          </w:p>
        </w:tc>
      </w:tr>
      <w:tr w:rsidR="00925EAF" w:rsidRPr="00925EAF" w14:paraId="3D12DE16" w14:textId="77777777" w:rsidTr="00925EAF">
        <w:trPr>
          <w:trHeight w:val="284"/>
          <w:jc w:val="center"/>
        </w:trPr>
        <w:tc>
          <w:tcPr>
            <w:tcW w:w="361" w:type="pct"/>
            <w:vMerge/>
            <w:vAlign w:val="center"/>
          </w:tcPr>
          <w:p w14:paraId="67F14B4B" w14:textId="77777777" w:rsidR="00925EAF" w:rsidRPr="00925EAF" w:rsidRDefault="00925EAF" w:rsidP="00925EAF">
            <w:pPr>
              <w:widowControl/>
              <w:adjustRightInd w:val="0"/>
              <w:snapToGrid w:val="0"/>
              <w:jc w:val="center"/>
              <w:rPr>
                <w:sz w:val="18"/>
                <w:szCs w:val="18"/>
              </w:rPr>
            </w:pPr>
          </w:p>
        </w:tc>
        <w:tc>
          <w:tcPr>
            <w:tcW w:w="350" w:type="pct"/>
            <w:vAlign w:val="center"/>
          </w:tcPr>
          <w:p w14:paraId="2EE27BC7" w14:textId="77777777" w:rsidR="00925EAF" w:rsidRPr="00925EAF" w:rsidRDefault="00925EAF" w:rsidP="00925EAF">
            <w:pPr>
              <w:adjustRightInd w:val="0"/>
              <w:snapToGrid w:val="0"/>
              <w:jc w:val="center"/>
              <w:textAlignment w:val="center"/>
              <w:rPr>
                <w:sz w:val="18"/>
                <w:szCs w:val="18"/>
              </w:rPr>
            </w:pPr>
            <w:r w:rsidRPr="00925EAF">
              <w:rPr>
                <w:sz w:val="18"/>
                <w:szCs w:val="18"/>
              </w:rPr>
              <w:t>5</w:t>
            </w:r>
          </w:p>
        </w:tc>
        <w:tc>
          <w:tcPr>
            <w:tcW w:w="968" w:type="pct"/>
            <w:vAlign w:val="center"/>
          </w:tcPr>
          <w:p w14:paraId="41B33A9D" w14:textId="77777777" w:rsidR="00925EAF" w:rsidRPr="00925EAF" w:rsidRDefault="00925EAF" w:rsidP="00925EAF">
            <w:pPr>
              <w:adjustRightInd w:val="0"/>
              <w:snapToGrid w:val="0"/>
              <w:jc w:val="center"/>
              <w:textAlignment w:val="center"/>
              <w:rPr>
                <w:sz w:val="18"/>
                <w:szCs w:val="18"/>
              </w:rPr>
            </w:pPr>
            <w:r w:rsidRPr="00925EAF">
              <w:rPr>
                <w:sz w:val="18"/>
                <w:szCs w:val="18"/>
              </w:rPr>
              <w:t>农牧场二屯</w:t>
            </w:r>
          </w:p>
        </w:tc>
        <w:tc>
          <w:tcPr>
            <w:tcW w:w="751" w:type="pct"/>
            <w:vAlign w:val="center"/>
          </w:tcPr>
          <w:p w14:paraId="13DC7127" w14:textId="77777777" w:rsidR="00925EAF" w:rsidRPr="00925EAF" w:rsidRDefault="00925EAF" w:rsidP="00925EAF">
            <w:pPr>
              <w:adjustRightInd w:val="0"/>
              <w:snapToGrid w:val="0"/>
              <w:jc w:val="center"/>
              <w:textAlignment w:val="center"/>
              <w:rPr>
                <w:sz w:val="18"/>
                <w:szCs w:val="18"/>
              </w:rPr>
            </w:pPr>
            <w:r w:rsidRPr="00925EAF">
              <w:rPr>
                <w:sz w:val="18"/>
                <w:szCs w:val="18"/>
              </w:rPr>
              <w:t>NE</w:t>
            </w:r>
          </w:p>
        </w:tc>
        <w:tc>
          <w:tcPr>
            <w:tcW w:w="619" w:type="pct"/>
            <w:gridSpan w:val="2"/>
            <w:vAlign w:val="center"/>
          </w:tcPr>
          <w:p w14:paraId="0AEDB006" w14:textId="77777777" w:rsidR="00925EAF" w:rsidRPr="00925EAF" w:rsidRDefault="00925EAF" w:rsidP="00925EAF">
            <w:pPr>
              <w:adjustRightInd w:val="0"/>
              <w:snapToGrid w:val="0"/>
              <w:jc w:val="center"/>
              <w:textAlignment w:val="center"/>
              <w:rPr>
                <w:sz w:val="18"/>
                <w:szCs w:val="18"/>
              </w:rPr>
            </w:pPr>
            <w:r w:rsidRPr="00925EAF">
              <w:rPr>
                <w:sz w:val="18"/>
                <w:szCs w:val="18"/>
              </w:rPr>
              <w:t>2060</w:t>
            </w:r>
          </w:p>
        </w:tc>
        <w:tc>
          <w:tcPr>
            <w:tcW w:w="942" w:type="pct"/>
            <w:gridSpan w:val="2"/>
            <w:vAlign w:val="center"/>
          </w:tcPr>
          <w:p w14:paraId="5B869B43" w14:textId="77777777" w:rsidR="00925EAF" w:rsidRPr="00925EAF" w:rsidRDefault="00925EAF" w:rsidP="00925EAF">
            <w:pPr>
              <w:adjustRightInd w:val="0"/>
              <w:snapToGrid w:val="0"/>
              <w:jc w:val="center"/>
              <w:textAlignment w:val="center"/>
              <w:rPr>
                <w:sz w:val="18"/>
                <w:szCs w:val="18"/>
              </w:rPr>
            </w:pPr>
            <w:r w:rsidRPr="00925EAF">
              <w:rPr>
                <w:sz w:val="18"/>
                <w:szCs w:val="18"/>
              </w:rPr>
              <w:t>居住区</w:t>
            </w:r>
          </w:p>
        </w:tc>
        <w:tc>
          <w:tcPr>
            <w:tcW w:w="1009" w:type="pct"/>
            <w:vAlign w:val="center"/>
          </w:tcPr>
          <w:p w14:paraId="55FF454F" w14:textId="77777777" w:rsidR="00925EAF" w:rsidRPr="00925EAF" w:rsidRDefault="00925EAF" w:rsidP="00925EAF">
            <w:pPr>
              <w:adjustRightInd w:val="0"/>
              <w:snapToGrid w:val="0"/>
              <w:jc w:val="center"/>
              <w:textAlignment w:val="center"/>
              <w:rPr>
                <w:sz w:val="18"/>
                <w:szCs w:val="18"/>
              </w:rPr>
            </w:pPr>
            <w:r w:rsidRPr="00925EAF">
              <w:rPr>
                <w:sz w:val="18"/>
                <w:szCs w:val="18"/>
              </w:rPr>
              <w:t>220</w:t>
            </w:r>
          </w:p>
        </w:tc>
      </w:tr>
      <w:tr w:rsidR="00925EAF" w:rsidRPr="00925EAF" w14:paraId="6B5EED2F" w14:textId="77777777" w:rsidTr="00925EAF">
        <w:trPr>
          <w:trHeight w:val="284"/>
          <w:jc w:val="center"/>
        </w:trPr>
        <w:tc>
          <w:tcPr>
            <w:tcW w:w="361" w:type="pct"/>
            <w:vMerge/>
            <w:vAlign w:val="center"/>
          </w:tcPr>
          <w:p w14:paraId="17DECB89" w14:textId="77777777" w:rsidR="00925EAF" w:rsidRPr="00925EAF" w:rsidRDefault="00925EAF" w:rsidP="00925EAF">
            <w:pPr>
              <w:widowControl/>
              <w:adjustRightInd w:val="0"/>
              <w:snapToGrid w:val="0"/>
              <w:jc w:val="center"/>
              <w:rPr>
                <w:sz w:val="18"/>
                <w:szCs w:val="18"/>
              </w:rPr>
            </w:pPr>
          </w:p>
        </w:tc>
        <w:tc>
          <w:tcPr>
            <w:tcW w:w="350" w:type="pct"/>
            <w:vAlign w:val="center"/>
          </w:tcPr>
          <w:p w14:paraId="5932FC91" w14:textId="77777777" w:rsidR="00925EAF" w:rsidRPr="00925EAF" w:rsidRDefault="00925EAF" w:rsidP="00925EAF">
            <w:pPr>
              <w:adjustRightInd w:val="0"/>
              <w:snapToGrid w:val="0"/>
              <w:jc w:val="center"/>
              <w:textAlignment w:val="center"/>
              <w:rPr>
                <w:sz w:val="18"/>
                <w:szCs w:val="18"/>
              </w:rPr>
            </w:pPr>
            <w:r w:rsidRPr="00925EAF">
              <w:rPr>
                <w:sz w:val="18"/>
                <w:szCs w:val="18"/>
              </w:rPr>
              <w:t>6</w:t>
            </w:r>
          </w:p>
        </w:tc>
        <w:tc>
          <w:tcPr>
            <w:tcW w:w="968" w:type="pct"/>
            <w:vAlign w:val="center"/>
          </w:tcPr>
          <w:p w14:paraId="1410308D" w14:textId="77777777" w:rsidR="00925EAF" w:rsidRPr="00925EAF" w:rsidRDefault="00925EAF" w:rsidP="00925EAF">
            <w:pPr>
              <w:adjustRightInd w:val="0"/>
              <w:snapToGrid w:val="0"/>
              <w:jc w:val="center"/>
              <w:textAlignment w:val="center"/>
              <w:rPr>
                <w:sz w:val="18"/>
                <w:szCs w:val="18"/>
              </w:rPr>
            </w:pPr>
            <w:r w:rsidRPr="00925EAF">
              <w:rPr>
                <w:sz w:val="18"/>
                <w:szCs w:val="18"/>
              </w:rPr>
              <w:t>红旗二村</w:t>
            </w:r>
          </w:p>
        </w:tc>
        <w:tc>
          <w:tcPr>
            <w:tcW w:w="751" w:type="pct"/>
            <w:vAlign w:val="center"/>
          </w:tcPr>
          <w:p w14:paraId="4C235DF3" w14:textId="77777777" w:rsidR="00925EAF" w:rsidRPr="00925EAF" w:rsidRDefault="00925EAF" w:rsidP="00925EAF">
            <w:pPr>
              <w:adjustRightInd w:val="0"/>
              <w:snapToGrid w:val="0"/>
              <w:jc w:val="center"/>
              <w:textAlignment w:val="center"/>
              <w:rPr>
                <w:sz w:val="18"/>
                <w:szCs w:val="18"/>
              </w:rPr>
            </w:pPr>
            <w:r w:rsidRPr="00925EAF">
              <w:rPr>
                <w:sz w:val="18"/>
                <w:szCs w:val="18"/>
              </w:rPr>
              <w:t>NE</w:t>
            </w:r>
          </w:p>
        </w:tc>
        <w:tc>
          <w:tcPr>
            <w:tcW w:w="619" w:type="pct"/>
            <w:gridSpan w:val="2"/>
            <w:vAlign w:val="center"/>
          </w:tcPr>
          <w:p w14:paraId="03D80D1F" w14:textId="77777777" w:rsidR="00925EAF" w:rsidRPr="00925EAF" w:rsidRDefault="00925EAF" w:rsidP="00925EAF">
            <w:pPr>
              <w:adjustRightInd w:val="0"/>
              <w:snapToGrid w:val="0"/>
              <w:jc w:val="center"/>
              <w:textAlignment w:val="center"/>
              <w:rPr>
                <w:sz w:val="18"/>
                <w:szCs w:val="18"/>
              </w:rPr>
            </w:pPr>
            <w:r w:rsidRPr="00925EAF">
              <w:rPr>
                <w:sz w:val="18"/>
                <w:szCs w:val="18"/>
              </w:rPr>
              <w:t>790</w:t>
            </w:r>
          </w:p>
        </w:tc>
        <w:tc>
          <w:tcPr>
            <w:tcW w:w="942" w:type="pct"/>
            <w:gridSpan w:val="2"/>
            <w:vAlign w:val="center"/>
          </w:tcPr>
          <w:p w14:paraId="127C0993" w14:textId="77777777" w:rsidR="00925EAF" w:rsidRPr="00925EAF" w:rsidRDefault="00925EAF" w:rsidP="00925EAF">
            <w:pPr>
              <w:adjustRightInd w:val="0"/>
              <w:snapToGrid w:val="0"/>
              <w:jc w:val="center"/>
              <w:textAlignment w:val="center"/>
              <w:rPr>
                <w:sz w:val="18"/>
                <w:szCs w:val="18"/>
              </w:rPr>
            </w:pPr>
            <w:r w:rsidRPr="00925EAF">
              <w:rPr>
                <w:sz w:val="18"/>
                <w:szCs w:val="18"/>
              </w:rPr>
              <w:t>居住区</w:t>
            </w:r>
          </w:p>
        </w:tc>
        <w:tc>
          <w:tcPr>
            <w:tcW w:w="1009" w:type="pct"/>
            <w:vAlign w:val="center"/>
          </w:tcPr>
          <w:p w14:paraId="3B87FF6E" w14:textId="77777777" w:rsidR="00925EAF" w:rsidRPr="00925EAF" w:rsidRDefault="00925EAF" w:rsidP="00925EAF">
            <w:pPr>
              <w:adjustRightInd w:val="0"/>
              <w:snapToGrid w:val="0"/>
              <w:jc w:val="center"/>
              <w:textAlignment w:val="center"/>
              <w:rPr>
                <w:sz w:val="18"/>
                <w:szCs w:val="18"/>
              </w:rPr>
            </w:pPr>
            <w:r w:rsidRPr="00925EAF">
              <w:rPr>
                <w:sz w:val="18"/>
                <w:szCs w:val="18"/>
              </w:rPr>
              <w:t>180</w:t>
            </w:r>
          </w:p>
        </w:tc>
      </w:tr>
      <w:tr w:rsidR="00925EAF" w:rsidRPr="00925EAF" w14:paraId="23CCD2FE" w14:textId="77777777" w:rsidTr="00925EAF">
        <w:trPr>
          <w:trHeight w:val="284"/>
          <w:jc w:val="center"/>
        </w:trPr>
        <w:tc>
          <w:tcPr>
            <w:tcW w:w="361" w:type="pct"/>
            <w:vMerge/>
            <w:vAlign w:val="center"/>
          </w:tcPr>
          <w:p w14:paraId="33BE1631" w14:textId="77777777" w:rsidR="00925EAF" w:rsidRPr="00925EAF" w:rsidRDefault="00925EAF" w:rsidP="00925EAF">
            <w:pPr>
              <w:widowControl/>
              <w:adjustRightInd w:val="0"/>
              <w:snapToGrid w:val="0"/>
              <w:jc w:val="center"/>
              <w:rPr>
                <w:sz w:val="18"/>
                <w:szCs w:val="18"/>
              </w:rPr>
            </w:pPr>
          </w:p>
        </w:tc>
        <w:tc>
          <w:tcPr>
            <w:tcW w:w="350" w:type="pct"/>
            <w:vAlign w:val="center"/>
          </w:tcPr>
          <w:p w14:paraId="1E6621DB" w14:textId="77777777" w:rsidR="00925EAF" w:rsidRPr="00925EAF" w:rsidRDefault="00925EAF" w:rsidP="00925EAF">
            <w:pPr>
              <w:adjustRightInd w:val="0"/>
              <w:snapToGrid w:val="0"/>
              <w:jc w:val="center"/>
              <w:textAlignment w:val="center"/>
              <w:rPr>
                <w:sz w:val="18"/>
                <w:szCs w:val="18"/>
              </w:rPr>
            </w:pPr>
            <w:r w:rsidRPr="00925EAF">
              <w:rPr>
                <w:sz w:val="18"/>
                <w:szCs w:val="18"/>
              </w:rPr>
              <w:t>7</w:t>
            </w:r>
          </w:p>
        </w:tc>
        <w:tc>
          <w:tcPr>
            <w:tcW w:w="968" w:type="pct"/>
            <w:vAlign w:val="center"/>
          </w:tcPr>
          <w:p w14:paraId="4F2D900C" w14:textId="77777777" w:rsidR="00925EAF" w:rsidRPr="00925EAF" w:rsidRDefault="00925EAF" w:rsidP="00925EAF">
            <w:pPr>
              <w:adjustRightInd w:val="0"/>
              <w:snapToGrid w:val="0"/>
              <w:jc w:val="center"/>
              <w:textAlignment w:val="center"/>
              <w:rPr>
                <w:sz w:val="18"/>
                <w:szCs w:val="18"/>
              </w:rPr>
            </w:pPr>
            <w:r w:rsidRPr="00925EAF">
              <w:rPr>
                <w:sz w:val="18"/>
                <w:szCs w:val="18"/>
              </w:rPr>
              <w:t>开荒村</w:t>
            </w:r>
          </w:p>
        </w:tc>
        <w:tc>
          <w:tcPr>
            <w:tcW w:w="751" w:type="pct"/>
            <w:vAlign w:val="center"/>
          </w:tcPr>
          <w:p w14:paraId="21FBECC2" w14:textId="77777777" w:rsidR="00925EAF" w:rsidRPr="00925EAF" w:rsidRDefault="00925EAF" w:rsidP="00925EAF">
            <w:pPr>
              <w:adjustRightInd w:val="0"/>
              <w:snapToGrid w:val="0"/>
              <w:jc w:val="center"/>
              <w:textAlignment w:val="center"/>
              <w:rPr>
                <w:sz w:val="18"/>
                <w:szCs w:val="18"/>
              </w:rPr>
            </w:pPr>
            <w:r w:rsidRPr="00925EAF">
              <w:rPr>
                <w:sz w:val="18"/>
                <w:szCs w:val="18"/>
              </w:rPr>
              <w:t>E</w:t>
            </w:r>
          </w:p>
        </w:tc>
        <w:tc>
          <w:tcPr>
            <w:tcW w:w="619" w:type="pct"/>
            <w:gridSpan w:val="2"/>
            <w:vAlign w:val="center"/>
          </w:tcPr>
          <w:p w14:paraId="58B6A47E" w14:textId="77777777" w:rsidR="00925EAF" w:rsidRPr="00925EAF" w:rsidRDefault="00925EAF" w:rsidP="00925EAF">
            <w:pPr>
              <w:adjustRightInd w:val="0"/>
              <w:snapToGrid w:val="0"/>
              <w:jc w:val="center"/>
              <w:textAlignment w:val="center"/>
              <w:rPr>
                <w:sz w:val="18"/>
                <w:szCs w:val="18"/>
              </w:rPr>
            </w:pPr>
            <w:r w:rsidRPr="00925EAF">
              <w:rPr>
                <w:sz w:val="18"/>
                <w:szCs w:val="18"/>
              </w:rPr>
              <w:t>2150</w:t>
            </w:r>
          </w:p>
        </w:tc>
        <w:tc>
          <w:tcPr>
            <w:tcW w:w="942" w:type="pct"/>
            <w:gridSpan w:val="2"/>
            <w:vAlign w:val="center"/>
          </w:tcPr>
          <w:p w14:paraId="71D163B1" w14:textId="77777777" w:rsidR="00925EAF" w:rsidRPr="00925EAF" w:rsidRDefault="00925EAF" w:rsidP="00925EAF">
            <w:pPr>
              <w:adjustRightInd w:val="0"/>
              <w:snapToGrid w:val="0"/>
              <w:jc w:val="center"/>
              <w:textAlignment w:val="center"/>
              <w:rPr>
                <w:sz w:val="18"/>
                <w:szCs w:val="18"/>
              </w:rPr>
            </w:pPr>
            <w:r w:rsidRPr="00925EAF">
              <w:rPr>
                <w:sz w:val="18"/>
                <w:szCs w:val="18"/>
              </w:rPr>
              <w:t>居住区</w:t>
            </w:r>
          </w:p>
        </w:tc>
        <w:tc>
          <w:tcPr>
            <w:tcW w:w="1009" w:type="pct"/>
            <w:vAlign w:val="center"/>
          </w:tcPr>
          <w:p w14:paraId="08EA690D" w14:textId="77777777" w:rsidR="00925EAF" w:rsidRPr="00925EAF" w:rsidRDefault="00925EAF" w:rsidP="00925EAF">
            <w:pPr>
              <w:adjustRightInd w:val="0"/>
              <w:snapToGrid w:val="0"/>
              <w:jc w:val="center"/>
              <w:textAlignment w:val="center"/>
              <w:rPr>
                <w:sz w:val="18"/>
                <w:szCs w:val="18"/>
              </w:rPr>
            </w:pPr>
            <w:r w:rsidRPr="00925EAF">
              <w:rPr>
                <w:sz w:val="18"/>
                <w:szCs w:val="18"/>
              </w:rPr>
              <w:t>510</w:t>
            </w:r>
          </w:p>
        </w:tc>
      </w:tr>
      <w:tr w:rsidR="00925EAF" w:rsidRPr="00925EAF" w14:paraId="74C1F278" w14:textId="77777777" w:rsidTr="00925EAF">
        <w:trPr>
          <w:trHeight w:val="284"/>
          <w:jc w:val="center"/>
        </w:trPr>
        <w:tc>
          <w:tcPr>
            <w:tcW w:w="361" w:type="pct"/>
            <w:vMerge/>
            <w:vAlign w:val="center"/>
          </w:tcPr>
          <w:p w14:paraId="03C727C1" w14:textId="77777777" w:rsidR="00925EAF" w:rsidRPr="00925EAF" w:rsidRDefault="00925EAF" w:rsidP="00925EAF">
            <w:pPr>
              <w:widowControl/>
              <w:adjustRightInd w:val="0"/>
              <w:snapToGrid w:val="0"/>
              <w:jc w:val="center"/>
              <w:rPr>
                <w:sz w:val="18"/>
                <w:szCs w:val="18"/>
              </w:rPr>
            </w:pPr>
          </w:p>
        </w:tc>
        <w:tc>
          <w:tcPr>
            <w:tcW w:w="350" w:type="pct"/>
            <w:vAlign w:val="center"/>
          </w:tcPr>
          <w:p w14:paraId="0A4CC38D" w14:textId="77777777" w:rsidR="00925EAF" w:rsidRPr="00925EAF" w:rsidRDefault="00925EAF" w:rsidP="00925EAF">
            <w:pPr>
              <w:adjustRightInd w:val="0"/>
              <w:snapToGrid w:val="0"/>
              <w:jc w:val="center"/>
              <w:textAlignment w:val="center"/>
              <w:rPr>
                <w:sz w:val="18"/>
                <w:szCs w:val="18"/>
              </w:rPr>
            </w:pPr>
            <w:r w:rsidRPr="00925EAF">
              <w:rPr>
                <w:sz w:val="18"/>
                <w:szCs w:val="18"/>
              </w:rPr>
              <w:t>8</w:t>
            </w:r>
          </w:p>
        </w:tc>
        <w:tc>
          <w:tcPr>
            <w:tcW w:w="968" w:type="pct"/>
            <w:vAlign w:val="center"/>
          </w:tcPr>
          <w:p w14:paraId="3DF6A0AF" w14:textId="77777777" w:rsidR="00925EAF" w:rsidRPr="00925EAF" w:rsidRDefault="00925EAF" w:rsidP="00925EAF">
            <w:pPr>
              <w:adjustRightInd w:val="0"/>
              <w:snapToGrid w:val="0"/>
              <w:jc w:val="center"/>
              <w:textAlignment w:val="center"/>
              <w:rPr>
                <w:sz w:val="18"/>
                <w:szCs w:val="18"/>
              </w:rPr>
            </w:pPr>
            <w:r w:rsidRPr="00925EAF">
              <w:rPr>
                <w:sz w:val="18"/>
                <w:szCs w:val="18"/>
              </w:rPr>
              <w:t>长山村</w:t>
            </w:r>
          </w:p>
        </w:tc>
        <w:tc>
          <w:tcPr>
            <w:tcW w:w="751" w:type="pct"/>
            <w:vAlign w:val="center"/>
          </w:tcPr>
          <w:p w14:paraId="397F36B6" w14:textId="77777777" w:rsidR="00925EAF" w:rsidRPr="00925EAF" w:rsidRDefault="00925EAF" w:rsidP="00925EAF">
            <w:pPr>
              <w:adjustRightInd w:val="0"/>
              <w:snapToGrid w:val="0"/>
              <w:jc w:val="center"/>
              <w:textAlignment w:val="center"/>
              <w:rPr>
                <w:sz w:val="18"/>
                <w:szCs w:val="18"/>
              </w:rPr>
            </w:pPr>
            <w:r w:rsidRPr="00925EAF">
              <w:rPr>
                <w:sz w:val="18"/>
                <w:szCs w:val="18"/>
              </w:rPr>
              <w:t>SE</w:t>
            </w:r>
          </w:p>
        </w:tc>
        <w:tc>
          <w:tcPr>
            <w:tcW w:w="619" w:type="pct"/>
            <w:gridSpan w:val="2"/>
            <w:vAlign w:val="center"/>
          </w:tcPr>
          <w:p w14:paraId="6062B57D" w14:textId="77777777" w:rsidR="00925EAF" w:rsidRPr="00925EAF" w:rsidRDefault="00925EAF" w:rsidP="00925EAF">
            <w:pPr>
              <w:adjustRightInd w:val="0"/>
              <w:snapToGrid w:val="0"/>
              <w:jc w:val="center"/>
              <w:textAlignment w:val="center"/>
              <w:rPr>
                <w:sz w:val="18"/>
                <w:szCs w:val="18"/>
              </w:rPr>
            </w:pPr>
            <w:r w:rsidRPr="00925EAF">
              <w:rPr>
                <w:sz w:val="18"/>
                <w:szCs w:val="18"/>
              </w:rPr>
              <w:t>3920</w:t>
            </w:r>
          </w:p>
        </w:tc>
        <w:tc>
          <w:tcPr>
            <w:tcW w:w="942" w:type="pct"/>
            <w:gridSpan w:val="2"/>
            <w:vAlign w:val="center"/>
          </w:tcPr>
          <w:p w14:paraId="45D9604A" w14:textId="77777777" w:rsidR="00925EAF" w:rsidRPr="00925EAF" w:rsidRDefault="00925EAF" w:rsidP="00925EAF">
            <w:pPr>
              <w:adjustRightInd w:val="0"/>
              <w:snapToGrid w:val="0"/>
              <w:jc w:val="center"/>
              <w:textAlignment w:val="center"/>
              <w:rPr>
                <w:sz w:val="18"/>
                <w:szCs w:val="18"/>
              </w:rPr>
            </w:pPr>
            <w:r w:rsidRPr="00925EAF">
              <w:rPr>
                <w:sz w:val="18"/>
                <w:szCs w:val="18"/>
              </w:rPr>
              <w:t>居住区</w:t>
            </w:r>
          </w:p>
        </w:tc>
        <w:tc>
          <w:tcPr>
            <w:tcW w:w="1009" w:type="pct"/>
            <w:vAlign w:val="center"/>
          </w:tcPr>
          <w:p w14:paraId="3F4FD598" w14:textId="77777777" w:rsidR="00925EAF" w:rsidRPr="00925EAF" w:rsidRDefault="00925EAF" w:rsidP="00925EAF">
            <w:pPr>
              <w:adjustRightInd w:val="0"/>
              <w:snapToGrid w:val="0"/>
              <w:jc w:val="center"/>
              <w:textAlignment w:val="center"/>
              <w:rPr>
                <w:sz w:val="18"/>
                <w:szCs w:val="18"/>
              </w:rPr>
            </w:pPr>
            <w:r w:rsidRPr="00925EAF">
              <w:rPr>
                <w:sz w:val="18"/>
                <w:szCs w:val="18"/>
              </w:rPr>
              <w:t>440</w:t>
            </w:r>
          </w:p>
        </w:tc>
      </w:tr>
      <w:tr w:rsidR="00925EAF" w:rsidRPr="00925EAF" w14:paraId="4DF230F5" w14:textId="77777777" w:rsidTr="00925EAF">
        <w:trPr>
          <w:trHeight w:val="284"/>
          <w:jc w:val="center"/>
        </w:trPr>
        <w:tc>
          <w:tcPr>
            <w:tcW w:w="361" w:type="pct"/>
            <w:vMerge/>
            <w:vAlign w:val="center"/>
          </w:tcPr>
          <w:p w14:paraId="4F7FE605" w14:textId="77777777" w:rsidR="00925EAF" w:rsidRPr="00925EAF" w:rsidRDefault="00925EAF" w:rsidP="00925EAF">
            <w:pPr>
              <w:widowControl/>
              <w:adjustRightInd w:val="0"/>
              <w:snapToGrid w:val="0"/>
              <w:jc w:val="center"/>
              <w:rPr>
                <w:sz w:val="18"/>
                <w:szCs w:val="18"/>
              </w:rPr>
            </w:pPr>
          </w:p>
        </w:tc>
        <w:tc>
          <w:tcPr>
            <w:tcW w:w="350" w:type="pct"/>
            <w:vAlign w:val="center"/>
          </w:tcPr>
          <w:p w14:paraId="78A8348A" w14:textId="77777777" w:rsidR="00925EAF" w:rsidRPr="00925EAF" w:rsidRDefault="00925EAF" w:rsidP="00925EAF">
            <w:pPr>
              <w:adjustRightInd w:val="0"/>
              <w:snapToGrid w:val="0"/>
              <w:jc w:val="center"/>
              <w:textAlignment w:val="center"/>
              <w:rPr>
                <w:sz w:val="18"/>
                <w:szCs w:val="18"/>
              </w:rPr>
            </w:pPr>
            <w:r w:rsidRPr="00925EAF">
              <w:rPr>
                <w:sz w:val="18"/>
                <w:szCs w:val="18"/>
              </w:rPr>
              <w:t>9</w:t>
            </w:r>
          </w:p>
        </w:tc>
        <w:tc>
          <w:tcPr>
            <w:tcW w:w="968" w:type="pct"/>
            <w:vAlign w:val="center"/>
          </w:tcPr>
          <w:p w14:paraId="67F49375" w14:textId="77777777" w:rsidR="00925EAF" w:rsidRPr="00925EAF" w:rsidRDefault="00925EAF" w:rsidP="00925EAF">
            <w:pPr>
              <w:adjustRightInd w:val="0"/>
              <w:snapToGrid w:val="0"/>
              <w:jc w:val="center"/>
              <w:textAlignment w:val="center"/>
              <w:rPr>
                <w:sz w:val="18"/>
                <w:szCs w:val="18"/>
              </w:rPr>
            </w:pPr>
            <w:r w:rsidRPr="00925EAF">
              <w:rPr>
                <w:sz w:val="18"/>
                <w:szCs w:val="18"/>
              </w:rPr>
              <w:t>二龙山村</w:t>
            </w:r>
          </w:p>
        </w:tc>
        <w:tc>
          <w:tcPr>
            <w:tcW w:w="751" w:type="pct"/>
            <w:vAlign w:val="center"/>
          </w:tcPr>
          <w:p w14:paraId="2CC9DD20" w14:textId="77777777" w:rsidR="00925EAF" w:rsidRPr="00925EAF" w:rsidRDefault="00925EAF" w:rsidP="00925EAF">
            <w:pPr>
              <w:adjustRightInd w:val="0"/>
              <w:snapToGrid w:val="0"/>
              <w:jc w:val="center"/>
              <w:textAlignment w:val="center"/>
              <w:rPr>
                <w:sz w:val="18"/>
                <w:szCs w:val="18"/>
              </w:rPr>
            </w:pPr>
            <w:r w:rsidRPr="00925EAF">
              <w:rPr>
                <w:sz w:val="18"/>
                <w:szCs w:val="18"/>
              </w:rPr>
              <w:t>SE</w:t>
            </w:r>
          </w:p>
        </w:tc>
        <w:tc>
          <w:tcPr>
            <w:tcW w:w="619" w:type="pct"/>
            <w:gridSpan w:val="2"/>
            <w:vAlign w:val="center"/>
          </w:tcPr>
          <w:p w14:paraId="5734E47F" w14:textId="77777777" w:rsidR="00925EAF" w:rsidRPr="00925EAF" w:rsidRDefault="00925EAF" w:rsidP="00925EAF">
            <w:pPr>
              <w:adjustRightInd w:val="0"/>
              <w:snapToGrid w:val="0"/>
              <w:jc w:val="center"/>
              <w:textAlignment w:val="center"/>
              <w:rPr>
                <w:sz w:val="18"/>
                <w:szCs w:val="18"/>
              </w:rPr>
            </w:pPr>
            <w:r w:rsidRPr="00925EAF">
              <w:rPr>
                <w:sz w:val="18"/>
                <w:szCs w:val="18"/>
              </w:rPr>
              <w:t>5130</w:t>
            </w:r>
          </w:p>
        </w:tc>
        <w:tc>
          <w:tcPr>
            <w:tcW w:w="942" w:type="pct"/>
            <w:gridSpan w:val="2"/>
            <w:vAlign w:val="center"/>
          </w:tcPr>
          <w:p w14:paraId="232ECE1B" w14:textId="77777777" w:rsidR="00925EAF" w:rsidRPr="00925EAF" w:rsidRDefault="00925EAF" w:rsidP="00925EAF">
            <w:pPr>
              <w:adjustRightInd w:val="0"/>
              <w:snapToGrid w:val="0"/>
              <w:jc w:val="center"/>
              <w:textAlignment w:val="center"/>
              <w:rPr>
                <w:sz w:val="18"/>
                <w:szCs w:val="18"/>
              </w:rPr>
            </w:pPr>
            <w:r w:rsidRPr="00925EAF">
              <w:rPr>
                <w:sz w:val="18"/>
                <w:szCs w:val="18"/>
              </w:rPr>
              <w:t>居住区</w:t>
            </w:r>
          </w:p>
        </w:tc>
        <w:tc>
          <w:tcPr>
            <w:tcW w:w="1009" w:type="pct"/>
            <w:vAlign w:val="center"/>
          </w:tcPr>
          <w:p w14:paraId="55A59FD9" w14:textId="77777777" w:rsidR="00925EAF" w:rsidRPr="00925EAF" w:rsidRDefault="00925EAF" w:rsidP="00925EAF">
            <w:pPr>
              <w:adjustRightInd w:val="0"/>
              <w:snapToGrid w:val="0"/>
              <w:jc w:val="center"/>
              <w:textAlignment w:val="center"/>
              <w:rPr>
                <w:sz w:val="18"/>
                <w:szCs w:val="18"/>
              </w:rPr>
            </w:pPr>
            <w:r w:rsidRPr="00925EAF">
              <w:rPr>
                <w:sz w:val="18"/>
                <w:szCs w:val="18"/>
              </w:rPr>
              <w:t>170</w:t>
            </w:r>
          </w:p>
        </w:tc>
      </w:tr>
      <w:tr w:rsidR="00925EAF" w:rsidRPr="00925EAF" w14:paraId="35DA808F" w14:textId="77777777" w:rsidTr="00925EAF">
        <w:trPr>
          <w:trHeight w:val="90"/>
          <w:jc w:val="center"/>
        </w:trPr>
        <w:tc>
          <w:tcPr>
            <w:tcW w:w="361" w:type="pct"/>
            <w:vMerge/>
            <w:vAlign w:val="center"/>
          </w:tcPr>
          <w:p w14:paraId="5F4CFAC6" w14:textId="77777777" w:rsidR="00925EAF" w:rsidRPr="00925EAF" w:rsidRDefault="00925EAF" w:rsidP="00925EAF">
            <w:pPr>
              <w:widowControl/>
              <w:adjustRightInd w:val="0"/>
              <w:snapToGrid w:val="0"/>
              <w:jc w:val="center"/>
              <w:rPr>
                <w:sz w:val="18"/>
                <w:szCs w:val="18"/>
              </w:rPr>
            </w:pPr>
          </w:p>
        </w:tc>
        <w:tc>
          <w:tcPr>
            <w:tcW w:w="350" w:type="pct"/>
            <w:vAlign w:val="center"/>
          </w:tcPr>
          <w:p w14:paraId="273D5A9E" w14:textId="77777777" w:rsidR="00925EAF" w:rsidRPr="00925EAF" w:rsidRDefault="00925EAF" w:rsidP="00925EAF">
            <w:pPr>
              <w:adjustRightInd w:val="0"/>
              <w:snapToGrid w:val="0"/>
              <w:jc w:val="center"/>
              <w:textAlignment w:val="center"/>
              <w:rPr>
                <w:sz w:val="18"/>
                <w:szCs w:val="18"/>
              </w:rPr>
            </w:pPr>
            <w:r w:rsidRPr="00925EAF">
              <w:rPr>
                <w:sz w:val="18"/>
                <w:szCs w:val="18"/>
              </w:rPr>
              <w:t>10</w:t>
            </w:r>
          </w:p>
        </w:tc>
        <w:tc>
          <w:tcPr>
            <w:tcW w:w="968" w:type="pct"/>
            <w:vAlign w:val="center"/>
          </w:tcPr>
          <w:p w14:paraId="77CA2D52" w14:textId="77777777" w:rsidR="00925EAF" w:rsidRPr="00925EAF" w:rsidRDefault="00925EAF" w:rsidP="00925EAF">
            <w:pPr>
              <w:adjustRightInd w:val="0"/>
              <w:snapToGrid w:val="0"/>
              <w:jc w:val="center"/>
              <w:textAlignment w:val="center"/>
              <w:rPr>
                <w:sz w:val="18"/>
                <w:szCs w:val="18"/>
              </w:rPr>
            </w:pPr>
            <w:r w:rsidRPr="00925EAF">
              <w:rPr>
                <w:sz w:val="18"/>
                <w:szCs w:val="18"/>
              </w:rPr>
              <w:t>汪家围子</w:t>
            </w:r>
          </w:p>
        </w:tc>
        <w:tc>
          <w:tcPr>
            <w:tcW w:w="751" w:type="pct"/>
            <w:vAlign w:val="center"/>
          </w:tcPr>
          <w:p w14:paraId="22399F66" w14:textId="77777777" w:rsidR="00925EAF" w:rsidRPr="00925EAF" w:rsidRDefault="00925EAF" w:rsidP="00925EAF">
            <w:pPr>
              <w:adjustRightInd w:val="0"/>
              <w:snapToGrid w:val="0"/>
              <w:jc w:val="center"/>
              <w:textAlignment w:val="center"/>
              <w:rPr>
                <w:sz w:val="18"/>
                <w:szCs w:val="18"/>
              </w:rPr>
            </w:pPr>
            <w:r w:rsidRPr="00925EAF">
              <w:rPr>
                <w:sz w:val="18"/>
                <w:szCs w:val="18"/>
              </w:rPr>
              <w:t>SE</w:t>
            </w:r>
          </w:p>
        </w:tc>
        <w:tc>
          <w:tcPr>
            <w:tcW w:w="619" w:type="pct"/>
            <w:gridSpan w:val="2"/>
            <w:vAlign w:val="center"/>
          </w:tcPr>
          <w:p w14:paraId="17A4C23B" w14:textId="77777777" w:rsidR="00925EAF" w:rsidRPr="00925EAF" w:rsidRDefault="00925EAF" w:rsidP="00925EAF">
            <w:pPr>
              <w:adjustRightInd w:val="0"/>
              <w:snapToGrid w:val="0"/>
              <w:jc w:val="center"/>
              <w:textAlignment w:val="center"/>
              <w:rPr>
                <w:sz w:val="18"/>
                <w:szCs w:val="18"/>
              </w:rPr>
            </w:pPr>
            <w:r w:rsidRPr="00925EAF">
              <w:rPr>
                <w:sz w:val="18"/>
                <w:szCs w:val="18"/>
              </w:rPr>
              <w:t>3840</w:t>
            </w:r>
          </w:p>
        </w:tc>
        <w:tc>
          <w:tcPr>
            <w:tcW w:w="942" w:type="pct"/>
            <w:gridSpan w:val="2"/>
            <w:vAlign w:val="center"/>
          </w:tcPr>
          <w:p w14:paraId="26BC116D" w14:textId="77777777" w:rsidR="00925EAF" w:rsidRPr="00925EAF" w:rsidRDefault="00925EAF" w:rsidP="00925EAF">
            <w:pPr>
              <w:adjustRightInd w:val="0"/>
              <w:snapToGrid w:val="0"/>
              <w:jc w:val="center"/>
              <w:textAlignment w:val="center"/>
              <w:rPr>
                <w:sz w:val="18"/>
                <w:szCs w:val="18"/>
              </w:rPr>
            </w:pPr>
            <w:r w:rsidRPr="00925EAF">
              <w:rPr>
                <w:sz w:val="18"/>
                <w:szCs w:val="18"/>
              </w:rPr>
              <w:t>居住区</w:t>
            </w:r>
          </w:p>
        </w:tc>
        <w:tc>
          <w:tcPr>
            <w:tcW w:w="1009" w:type="pct"/>
            <w:vAlign w:val="center"/>
          </w:tcPr>
          <w:p w14:paraId="17F53AB9" w14:textId="77777777" w:rsidR="00925EAF" w:rsidRPr="00925EAF" w:rsidRDefault="00925EAF" w:rsidP="00925EAF">
            <w:pPr>
              <w:adjustRightInd w:val="0"/>
              <w:snapToGrid w:val="0"/>
              <w:jc w:val="center"/>
              <w:textAlignment w:val="center"/>
              <w:rPr>
                <w:sz w:val="18"/>
                <w:szCs w:val="18"/>
              </w:rPr>
            </w:pPr>
            <w:r w:rsidRPr="00925EAF">
              <w:rPr>
                <w:sz w:val="18"/>
                <w:szCs w:val="18"/>
              </w:rPr>
              <w:t>200</w:t>
            </w:r>
          </w:p>
        </w:tc>
      </w:tr>
      <w:tr w:rsidR="00925EAF" w:rsidRPr="00925EAF" w14:paraId="4441896E" w14:textId="77777777" w:rsidTr="00925EAF">
        <w:trPr>
          <w:trHeight w:val="221"/>
          <w:jc w:val="center"/>
        </w:trPr>
        <w:tc>
          <w:tcPr>
            <w:tcW w:w="361" w:type="pct"/>
            <w:vMerge/>
            <w:vAlign w:val="center"/>
          </w:tcPr>
          <w:p w14:paraId="1A82AE04" w14:textId="77777777" w:rsidR="00925EAF" w:rsidRPr="00925EAF" w:rsidRDefault="00925EAF" w:rsidP="00925EAF">
            <w:pPr>
              <w:widowControl/>
              <w:adjustRightInd w:val="0"/>
              <w:snapToGrid w:val="0"/>
              <w:jc w:val="center"/>
              <w:rPr>
                <w:sz w:val="18"/>
                <w:szCs w:val="18"/>
              </w:rPr>
            </w:pPr>
          </w:p>
        </w:tc>
        <w:tc>
          <w:tcPr>
            <w:tcW w:w="350" w:type="pct"/>
            <w:vAlign w:val="center"/>
          </w:tcPr>
          <w:p w14:paraId="225A8E8B" w14:textId="77777777" w:rsidR="00925EAF" w:rsidRPr="00925EAF" w:rsidRDefault="00925EAF" w:rsidP="00925EAF">
            <w:pPr>
              <w:adjustRightInd w:val="0"/>
              <w:snapToGrid w:val="0"/>
              <w:jc w:val="center"/>
              <w:textAlignment w:val="center"/>
              <w:rPr>
                <w:sz w:val="18"/>
                <w:szCs w:val="18"/>
              </w:rPr>
            </w:pPr>
            <w:r w:rsidRPr="00925EAF">
              <w:rPr>
                <w:sz w:val="18"/>
                <w:szCs w:val="18"/>
              </w:rPr>
              <w:t>11</w:t>
            </w:r>
          </w:p>
        </w:tc>
        <w:tc>
          <w:tcPr>
            <w:tcW w:w="968" w:type="pct"/>
            <w:vAlign w:val="center"/>
          </w:tcPr>
          <w:p w14:paraId="071B4217" w14:textId="77777777" w:rsidR="00925EAF" w:rsidRPr="00925EAF" w:rsidRDefault="00925EAF" w:rsidP="00925EAF">
            <w:pPr>
              <w:adjustRightInd w:val="0"/>
              <w:snapToGrid w:val="0"/>
              <w:jc w:val="center"/>
              <w:textAlignment w:val="center"/>
              <w:rPr>
                <w:sz w:val="18"/>
                <w:szCs w:val="18"/>
              </w:rPr>
            </w:pPr>
            <w:r w:rsidRPr="00925EAF">
              <w:rPr>
                <w:sz w:val="18"/>
                <w:szCs w:val="18"/>
              </w:rPr>
              <w:t>前进村</w:t>
            </w:r>
          </w:p>
        </w:tc>
        <w:tc>
          <w:tcPr>
            <w:tcW w:w="751" w:type="pct"/>
            <w:vAlign w:val="center"/>
          </w:tcPr>
          <w:p w14:paraId="3BC32CCB" w14:textId="77777777" w:rsidR="00925EAF" w:rsidRPr="00925EAF" w:rsidRDefault="00925EAF" w:rsidP="00925EAF">
            <w:pPr>
              <w:adjustRightInd w:val="0"/>
              <w:snapToGrid w:val="0"/>
              <w:jc w:val="center"/>
              <w:textAlignment w:val="center"/>
              <w:rPr>
                <w:sz w:val="18"/>
                <w:szCs w:val="18"/>
              </w:rPr>
            </w:pPr>
            <w:r w:rsidRPr="00925EAF">
              <w:rPr>
                <w:sz w:val="18"/>
                <w:szCs w:val="18"/>
              </w:rPr>
              <w:t>SE</w:t>
            </w:r>
          </w:p>
        </w:tc>
        <w:tc>
          <w:tcPr>
            <w:tcW w:w="619" w:type="pct"/>
            <w:gridSpan w:val="2"/>
            <w:vAlign w:val="center"/>
          </w:tcPr>
          <w:p w14:paraId="499A49AD" w14:textId="77777777" w:rsidR="00925EAF" w:rsidRPr="00925EAF" w:rsidRDefault="00925EAF" w:rsidP="00925EAF">
            <w:pPr>
              <w:adjustRightInd w:val="0"/>
              <w:snapToGrid w:val="0"/>
              <w:jc w:val="center"/>
              <w:textAlignment w:val="center"/>
              <w:rPr>
                <w:sz w:val="18"/>
                <w:szCs w:val="18"/>
              </w:rPr>
            </w:pPr>
            <w:r w:rsidRPr="00925EAF">
              <w:rPr>
                <w:sz w:val="18"/>
                <w:szCs w:val="18"/>
              </w:rPr>
              <w:t>1870</w:t>
            </w:r>
          </w:p>
        </w:tc>
        <w:tc>
          <w:tcPr>
            <w:tcW w:w="942" w:type="pct"/>
            <w:gridSpan w:val="2"/>
            <w:vAlign w:val="center"/>
          </w:tcPr>
          <w:p w14:paraId="3F095B32" w14:textId="77777777" w:rsidR="00925EAF" w:rsidRPr="00925EAF" w:rsidRDefault="00925EAF" w:rsidP="00925EAF">
            <w:pPr>
              <w:adjustRightInd w:val="0"/>
              <w:snapToGrid w:val="0"/>
              <w:jc w:val="center"/>
              <w:textAlignment w:val="center"/>
              <w:rPr>
                <w:sz w:val="18"/>
                <w:szCs w:val="18"/>
              </w:rPr>
            </w:pPr>
            <w:r w:rsidRPr="00925EAF">
              <w:rPr>
                <w:sz w:val="18"/>
                <w:szCs w:val="18"/>
              </w:rPr>
              <w:t>居住区</w:t>
            </w:r>
          </w:p>
        </w:tc>
        <w:tc>
          <w:tcPr>
            <w:tcW w:w="1009" w:type="pct"/>
            <w:vAlign w:val="center"/>
          </w:tcPr>
          <w:p w14:paraId="64FC75D6" w14:textId="77777777" w:rsidR="00925EAF" w:rsidRPr="00925EAF" w:rsidRDefault="00925EAF" w:rsidP="00925EAF">
            <w:pPr>
              <w:adjustRightInd w:val="0"/>
              <w:snapToGrid w:val="0"/>
              <w:jc w:val="center"/>
              <w:textAlignment w:val="center"/>
              <w:rPr>
                <w:sz w:val="18"/>
                <w:szCs w:val="18"/>
              </w:rPr>
            </w:pPr>
            <w:r w:rsidRPr="00925EAF">
              <w:rPr>
                <w:sz w:val="18"/>
                <w:szCs w:val="18"/>
              </w:rPr>
              <w:t>200</w:t>
            </w:r>
          </w:p>
        </w:tc>
      </w:tr>
      <w:tr w:rsidR="00925EAF" w:rsidRPr="00925EAF" w14:paraId="03F135AB" w14:textId="77777777" w:rsidTr="00925EAF">
        <w:trPr>
          <w:trHeight w:val="139"/>
          <w:jc w:val="center"/>
        </w:trPr>
        <w:tc>
          <w:tcPr>
            <w:tcW w:w="361" w:type="pct"/>
            <w:vMerge/>
            <w:vAlign w:val="center"/>
          </w:tcPr>
          <w:p w14:paraId="21421003" w14:textId="77777777" w:rsidR="00925EAF" w:rsidRPr="00925EAF" w:rsidRDefault="00925EAF" w:rsidP="00925EAF">
            <w:pPr>
              <w:widowControl/>
              <w:adjustRightInd w:val="0"/>
              <w:snapToGrid w:val="0"/>
              <w:jc w:val="center"/>
              <w:rPr>
                <w:sz w:val="18"/>
                <w:szCs w:val="18"/>
              </w:rPr>
            </w:pPr>
          </w:p>
        </w:tc>
        <w:tc>
          <w:tcPr>
            <w:tcW w:w="350" w:type="pct"/>
            <w:vAlign w:val="center"/>
          </w:tcPr>
          <w:p w14:paraId="7E6D0EC4" w14:textId="77777777" w:rsidR="00925EAF" w:rsidRPr="00925EAF" w:rsidRDefault="00925EAF" w:rsidP="00925EAF">
            <w:pPr>
              <w:adjustRightInd w:val="0"/>
              <w:snapToGrid w:val="0"/>
              <w:jc w:val="center"/>
              <w:textAlignment w:val="center"/>
              <w:rPr>
                <w:sz w:val="18"/>
                <w:szCs w:val="18"/>
              </w:rPr>
            </w:pPr>
            <w:r w:rsidRPr="00925EAF">
              <w:rPr>
                <w:sz w:val="18"/>
                <w:szCs w:val="18"/>
              </w:rPr>
              <w:t>12</w:t>
            </w:r>
          </w:p>
        </w:tc>
        <w:tc>
          <w:tcPr>
            <w:tcW w:w="968" w:type="pct"/>
            <w:vAlign w:val="center"/>
          </w:tcPr>
          <w:p w14:paraId="38DC6093" w14:textId="77777777" w:rsidR="00925EAF" w:rsidRPr="00925EAF" w:rsidRDefault="00925EAF" w:rsidP="00925EAF">
            <w:pPr>
              <w:adjustRightInd w:val="0"/>
              <w:snapToGrid w:val="0"/>
              <w:jc w:val="center"/>
              <w:textAlignment w:val="center"/>
              <w:rPr>
                <w:sz w:val="18"/>
                <w:szCs w:val="18"/>
              </w:rPr>
            </w:pPr>
            <w:r w:rsidRPr="00925EAF">
              <w:rPr>
                <w:sz w:val="18"/>
                <w:szCs w:val="18"/>
              </w:rPr>
              <w:t>双发屯</w:t>
            </w:r>
          </w:p>
        </w:tc>
        <w:tc>
          <w:tcPr>
            <w:tcW w:w="751" w:type="pct"/>
            <w:vAlign w:val="center"/>
          </w:tcPr>
          <w:p w14:paraId="7971CC7A" w14:textId="77777777" w:rsidR="00925EAF" w:rsidRPr="00925EAF" w:rsidRDefault="00925EAF" w:rsidP="00925EAF">
            <w:pPr>
              <w:adjustRightInd w:val="0"/>
              <w:snapToGrid w:val="0"/>
              <w:jc w:val="center"/>
              <w:textAlignment w:val="center"/>
              <w:rPr>
                <w:sz w:val="18"/>
                <w:szCs w:val="18"/>
              </w:rPr>
            </w:pPr>
            <w:r w:rsidRPr="00925EAF">
              <w:rPr>
                <w:sz w:val="18"/>
                <w:szCs w:val="18"/>
              </w:rPr>
              <w:t>SW</w:t>
            </w:r>
          </w:p>
        </w:tc>
        <w:tc>
          <w:tcPr>
            <w:tcW w:w="619" w:type="pct"/>
            <w:gridSpan w:val="2"/>
            <w:vAlign w:val="center"/>
          </w:tcPr>
          <w:p w14:paraId="1DBE65CC" w14:textId="77777777" w:rsidR="00925EAF" w:rsidRPr="00925EAF" w:rsidRDefault="00925EAF" w:rsidP="00925EAF">
            <w:pPr>
              <w:adjustRightInd w:val="0"/>
              <w:snapToGrid w:val="0"/>
              <w:jc w:val="center"/>
              <w:textAlignment w:val="center"/>
              <w:rPr>
                <w:sz w:val="18"/>
                <w:szCs w:val="18"/>
              </w:rPr>
            </w:pPr>
            <w:r w:rsidRPr="00925EAF">
              <w:rPr>
                <w:sz w:val="18"/>
                <w:szCs w:val="18"/>
              </w:rPr>
              <w:t>2090</w:t>
            </w:r>
          </w:p>
        </w:tc>
        <w:tc>
          <w:tcPr>
            <w:tcW w:w="942" w:type="pct"/>
            <w:gridSpan w:val="2"/>
            <w:vAlign w:val="center"/>
          </w:tcPr>
          <w:p w14:paraId="2C541828" w14:textId="77777777" w:rsidR="00925EAF" w:rsidRPr="00925EAF" w:rsidRDefault="00925EAF" w:rsidP="00925EAF">
            <w:pPr>
              <w:adjustRightInd w:val="0"/>
              <w:snapToGrid w:val="0"/>
              <w:jc w:val="center"/>
              <w:textAlignment w:val="center"/>
              <w:rPr>
                <w:sz w:val="18"/>
                <w:szCs w:val="18"/>
              </w:rPr>
            </w:pPr>
            <w:r w:rsidRPr="00925EAF">
              <w:rPr>
                <w:sz w:val="18"/>
                <w:szCs w:val="18"/>
              </w:rPr>
              <w:t>居住区</w:t>
            </w:r>
          </w:p>
        </w:tc>
        <w:tc>
          <w:tcPr>
            <w:tcW w:w="1009" w:type="pct"/>
            <w:vAlign w:val="center"/>
          </w:tcPr>
          <w:p w14:paraId="312F703A" w14:textId="77777777" w:rsidR="00925EAF" w:rsidRPr="00925EAF" w:rsidRDefault="00925EAF" w:rsidP="00925EAF">
            <w:pPr>
              <w:adjustRightInd w:val="0"/>
              <w:snapToGrid w:val="0"/>
              <w:jc w:val="center"/>
              <w:textAlignment w:val="center"/>
              <w:rPr>
                <w:sz w:val="18"/>
                <w:szCs w:val="18"/>
              </w:rPr>
            </w:pPr>
            <w:r w:rsidRPr="00925EAF">
              <w:rPr>
                <w:sz w:val="18"/>
                <w:szCs w:val="18"/>
              </w:rPr>
              <w:t>740</w:t>
            </w:r>
          </w:p>
        </w:tc>
      </w:tr>
      <w:tr w:rsidR="00925EAF" w:rsidRPr="00925EAF" w14:paraId="7E5BE350" w14:textId="77777777" w:rsidTr="00925EAF">
        <w:trPr>
          <w:trHeight w:val="145"/>
          <w:jc w:val="center"/>
        </w:trPr>
        <w:tc>
          <w:tcPr>
            <w:tcW w:w="361" w:type="pct"/>
            <w:vMerge/>
            <w:vAlign w:val="center"/>
          </w:tcPr>
          <w:p w14:paraId="57A4975E" w14:textId="77777777" w:rsidR="00925EAF" w:rsidRPr="00925EAF" w:rsidRDefault="00925EAF" w:rsidP="00925EAF">
            <w:pPr>
              <w:widowControl/>
              <w:adjustRightInd w:val="0"/>
              <w:snapToGrid w:val="0"/>
              <w:jc w:val="center"/>
              <w:rPr>
                <w:sz w:val="18"/>
                <w:szCs w:val="18"/>
              </w:rPr>
            </w:pPr>
          </w:p>
        </w:tc>
        <w:tc>
          <w:tcPr>
            <w:tcW w:w="350" w:type="pct"/>
            <w:vAlign w:val="center"/>
          </w:tcPr>
          <w:p w14:paraId="604FDE78" w14:textId="77777777" w:rsidR="00925EAF" w:rsidRPr="00925EAF" w:rsidRDefault="00925EAF" w:rsidP="00925EAF">
            <w:pPr>
              <w:adjustRightInd w:val="0"/>
              <w:snapToGrid w:val="0"/>
              <w:jc w:val="center"/>
              <w:textAlignment w:val="center"/>
              <w:rPr>
                <w:sz w:val="18"/>
                <w:szCs w:val="18"/>
              </w:rPr>
            </w:pPr>
            <w:r w:rsidRPr="00925EAF">
              <w:rPr>
                <w:sz w:val="18"/>
                <w:szCs w:val="18"/>
              </w:rPr>
              <w:t>13</w:t>
            </w:r>
          </w:p>
        </w:tc>
        <w:tc>
          <w:tcPr>
            <w:tcW w:w="968" w:type="pct"/>
            <w:vAlign w:val="center"/>
          </w:tcPr>
          <w:p w14:paraId="73167BF4" w14:textId="77777777" w:rsidR="00925EAF" w:rsidRPr="00925EAF" w:rsidRDefault="00925EAF" w:rsidP="00925EAF">
            <w:pPr>
              <w:adjustRightInd w:val="0"/>
              <w:snapToGrid w:val="0"/>
              <w:jc w:val="center"/>
              <w:textAlignment w:val="center"/>
              <w:rPr>
                <w:sz w:val="18"/>
                <w:szCs w:val="18"/>
              </w:rPr>
            </w:pPr>
            <w:r w:rsidRPr="00925EAF">
              <w:rPr>
                <w:sz w:val="18"/>
                <w:szCs w:val="18"/>
              </w:rPr>
              <w:t>农牧场三屯</w:t>
            </w:r>
          </w:p>
        </w:tc>
        <w:tc>
          <w:tcPr>
            <w:tcW w:w="751" w:type="pct"/>
            <w:vAlign w:val="center"/>
          </w:tcPr>
          <w:p w14:paraId="409E4217" w14:textId="77777777" w:rsidR="00925EAF" w:rsidRPr="00925EAF" w:rsidRDefault="00925EAF" w:rsidP="00925EAF">
            <w:pPr>
              <w:adjustRightInd w:val="0"/>
              <w:snapToGrid w:val="0"/>
              <w:jc w:val="center"/>
              <w:textAlignment w:val="center"/>
              <w:rPr>
                <w:sz w:val="18"/>
                <w:szCs w:val="18"/>
              </w:rPr>
            </w:pPr>
            <w:r w:rsidRPr="00925EAF">
              <w:rPr>
                <w:sz w:val="18"/>
                <w:szCs w:val="18"/>
              </w:rPr>
              <w:t>SW</w:t>
            </w:r>
          </w:p>
        </w:tc>
        <w:tc>
          <w:tcPr>
            <w:tcW w:w="619" w:type="pct"/>
            <w:gridSpan w:val="2"/>
            <w:vAlign w:val="center"/>
          </w:tcPr>
          <w:p w14:paraId="125A4F57" w14:textId="77777777" w:rsidR="00925EAF" w:rsidRPr="00925EAF" w:rsidRDefault="00925EAF" w:rsidP="00925EAF">
            <w:pPr>
              <w:adjustRightInd w:val="0"/>
              <w:snapToGrid w:val="0"/>
              <w:jc w:val="center"/>
              <w:textAlignment w:val="center"/>
              <w:rPr>
                <w:sz w:val="18"/>
                <w:szCs w:val="18"/>
              </w:rPr>
            </w:pPr>
            <w:r w:rsidRPr="00925EAF">
              <w:rPr>
                <w:sz w:val="18"/>
                <w:szCs w:val="18"/>
              </w:rPr>
              <w:t>2360</w:t>
            </w:r>
          </w:p>
        </w:tc>
        <w:tc>
          <w:tcPr>
            <w:tcW w:w="942" w:type="pct"/>
            <w:gridSpan w:val="2"/>
            <w:vAlign w:val="center"/>
          </w:tcPr>
          <w:p w14:paraId="2DA26E0F" w14:textId="77777777" w:rsidR="00925EAF" w:rsidRPr="00925EAF" w:rsidRDefault="00925EAF" w:rsidP="00925EAF">
            <w:pPr>
              <w:adjustRightInd w:val="0"/>
              <w:snapToGrid w:val="0"/>
              <w:jc w:val="center"/>
              <w:textAlignment w:val="center"/>
              <w:rPr>
                <w:sz w:val="18"/>
                <w:szCs w:val="18"/>
              </w:rPr>
            </w:pPr>
            <w:r w:rsidRPr="00925EAF">
              <w:rPr>
                <w:sz w:val="18"/>
                <w:szCs w:val="18"/>
              </w:rPr>
              <w:t>居住区</w:t>
            </w:r>
          </w:p>
        </w:tc>
        <w:tc>
          <w:tcPr>
            <w:tcW w:w="1009" w:type="pct"/>
            <w:vAlign w:val="center"/>
          </w:tcPr>
          <w:p w14:paraId="4B650ACB" w14:textId="77777777" w:rsidR="00925EAF" w:rsidRPr="00925EAF" w:rsidRDefault="00925EAF" w:rsidP="00925EAF">
            <w:pPr>
              <w:adjustRightInd w:val="0"/>
              <w:snapToGrid w:val="0"/>
              <w:jc w:val="center"/>
              <w:textAlignment w:val="center"/>
              <w:rPr>
                <w:sz w:val="18"/>
                <w:szCs w:val="18"/>
              </w:rPr>
            </w:pPr>
            <w:r w:rsidRPr="00925EAF">
              <w:rPr>
                <w:sz w:val="18"/>
                <w:szCs w:val="18"/>
              </w:rPr>
              <w:t>120</w:t>
            </w:r>
          </w:p>
        </w:tc>
      </w:tr>
      <w:tr w:rsidR="00925EAF" w:rsidRPr="00925EAF" w14:paraId="2CC98F71" w14:textId="77777777" w:rsidTr="00925EAF">
        <w:trPr>
          <w:trHeight w:val="136"/>
          <w:jc w:val="center"/>
        </w:trPr>
        <w:tc>
          <w:tcPr>
            <w:tcW w:w="361" w:type="pct"/>
            <w:vMerge/>
            <w:vAlign w:val="center"/>
          </w:tcPr>
          <w:p w14:paraId="262C5E8A" w14:textId="77777777" w:rsidR="00925EAF" w:rsidRPr="00925EAF" w:rsidRDefault="00925EAF" w:rsidP="00925EAF">
            <w:pPr>
              <w:widowControl/>
              <w:adjustRightInd w:val="0"/>
              <w:snapToGrid w:val="0"/>
              <w:jc w:val="center"/>
              <w:rPr>
                <w:sz w:val="18"/>
                <w:szCs w:val="18"/>
              </w:rPr>
            </w:pPr>
          </w:p>
        </w:tc>
        <w:tc>
          <w:tcPr>
            <w:tcW w:w="350" w:type="pct"/>
            <w:vAlign w:val="center"/>
          </w:tcPr>
          <w:p w14:paraId="0F338BF5" w14:textId="77777777" w:rsidR="00925EAF" w:rsidRPr="00925EAF" w:rsidRDefault="00925EAF" w:rsidP="00925EAF">
            <w:pPr>
              <w:adjustRightInd w:val="0"/>
              <w:snapToGrid w:val="0"/>
              <w:jc w:val="center"/>
              <w:textAlignment w:val="center"/>
              <w:rPr>
                <w:sz w:val="18"/>
                <w:szCs w:val="18"/>
              </w:rPr>
            </w:pPr>
            <w:r w:rsidRPr="00925EAF">
              <w:rPr>
                <w:sz w:val="18"/>
                <w:szCs w:val="18"/>
              </w:rPr>
              <w:t>14</w:t>
            </w:r>
          </w:p>
        </w:tc>
        <w:tc>
          <w:tcPr>
            <w:tcW w:w="968" w:type="pct"/>
            <w:vAlign w:val="center"/>
          </w:tcPr>
          <w:p w14:paraId="478CF5D8" w14:textId="77777777" w:rsidR="00925EAF" w:rsidRPr="00925EAF" w:rsidRDefault="00925EAF" w:rsidP="00925EAF">
            <w:pPr>
              <w:adjustRightInd w:val="0"/>
              <w:snapToGrid w:val="0"/>
              <w:jc w:val="center"/>
              <w:textAlignment w:val="center"/>
              <w:rPr>
                <w:sz w:val="18"/>
                <w:szCs w:val="18"/>
              </w:rPr>
            </w:pPr>
            <w:r w:rsidRPr="00925EAF">
              <w:rPr>
                <w:sz w:val="18"/>
                <w:szCs w:val="18"/>
              </w:rPr>
              <w:t>建工新村</w:t>
            </w:r>
          </w:p>
        </w:tc>
        <w:tc>
          <w:tcPr>
            <w:tcW w:w="751" w:type="pct"/>
            <w:vAlign w:val="center"/>
          </w:tcPr>
          <w:p w14:paraId="05C03005" w14:textId="77777777" w:rsidR="00925EAF" w:rsidRPr="00925EAF" w:rsidRDefault="00925EAF" w:rsidP="00925EAF">
            <w:pPr>
              <w:adjustRightInd w:val="0"/>
              <w:snapToGrid w:val="0"/>
              <w:jc w:val="center"/>
              <w:textAlignment w:val="center"/>
              <w:rPr>
                <w:sz w:val="18"/>
                <w:szCs w:val="18"/>
              </w:rPr>
            </w:pPr>
            <w:r w:rsidRPr="00925EAF">
              <w:rPr>
                <w:sz w:val="18"/>
                <w:szCs w:val="18"/>
              </w:rPr>
              <w:t>SW</w:t>
            </w:r>
          </w:p>
        </w:tc>
        <w:tc>
          <w:tcPr>
            <w:tcW w:w="619" w:type="pct"/>
            <w:gridSpan w:val="2"/>
            <w:vAlign w:val="center"/>
          </w:tcPr>
          <w:p w14:paraId="38FEED69" w14:textId="77777777" w:rsidR="00925EAF" w:rsidRPr="00925EAF" w:rsidRDefault="00925EAF" w:rsidP="00925EAF">
            <w:pPr>
              <w:adjustRightInd w:val="0"/>
              <w:snapToGrid w:val="0"/>
              <w:jc w:val="center"/>
              <w:textAlignment w:val="center"/>
              <w:rPr>
                <w:sz w:val="18"/>
                <w:szCs w:val="18"/>
              </w:rPr>
            </w:pPr>
            <w:r w:rsidRPr="00925EAF">
              <w:rPr>
                <w:sz w:val="18"/>
                <w:szCs w:val="18"/>
              </w:rPr>
              <w:t>4420</w:t>
            </w:r>
          </w:p>
        </w:tc>
        <w:tc>
          <w:tcPr>
            <w:tcW w:w="942" w:type="pct"/>
            <w:gridSpan w:val="2"/>
            <w:vAlign w:val="center"/>
          </w:tcPr>
          <w:p w14:paraId="26E69476" w14:textId="77777777" w:rsidR="00925EAF" w:rsidRPr="00925EAF" w:rsidRDefault="00925EAF" w:rsidP="00925EAF">
            <w:pPr>
              <w:adjustRightInd w:val="0"/>
              <w:snapToGrid w:val="0"/>
              <w:jc w:val="center"/>
              <w:textAlignment w:val="center"/>
              <w:rPr>
                <w:sz w:val="18"/>
                <w:szCs w:val="18"/>
              </w:rPr>
            </w:pPr>
            <w:r w:rsidRPr="00925EAF">
              <w:rPr>
                <w:sz w:val="18"/>
                <w:szCs w:val="18"/>
              </w:rPr>
              <w:t>居住区</w:t>
            </w:r>
          </w:p>
        </w:tc>
        <w:tc>
          <w:tcPr>
            <w:tcW w:w="1009" w:type="pct"/>
            <w:vAlign w:val="center"/>
          </w:tcPr>
          <w:p w14:paraId="76DA38FF" w14:textId="77777777" w:rsidR="00925EAF" w:rsidRPr="00925EAF" w:rsidRDefault="00925EAF" w:rsidP="00925EAF">
            <w:pPr>
              <w:adjustRightInd w:val="0"/>
              <w:snapToGrid w:val="0"/>
              <w:jc w:val="center"/>
              <w:textAlignment w:val="center"/>
              <w:rPr>
                <w:sz w:val="18"/>
                <w:szCs w:val="18"/>
              </w:rPr>
            </w:pPr>
            <w:r w:rsidRPr="00925EAF">
              <w:rPr>
                <w:sz w:val="18"/>
                <w:szCs w:val="18"/>
              </w:rPr>
              <w:t>20</w:t>
            </w:r>
          </w:p>
        </w:tc>
      </w:tr>
      <w:tr w:rsidR="00925EAF" w:rsidRPr="00925EAF" w14:paraId="574F46FC" w14:textId="77777777" w:rsidTr="00925EAF">
        <w:trPr>
          <w:trHeight w:val="138"/>
          <w:jc w:val="center"/>
        </w:trPr>
        <w:tc>
          <w:tcPr>
            <w:tcW w:w="361" w:type="pct"/>
            <w:vMerge/>
            <w:vAlign w:val="center"/>
          </w:tcPr>
          <w:p w14:paraId="4B909ED1" w14:textId="77777777" w:rsidR="00925EAF" w:rsidRPr="00925EAF" w:rsidRDefault="00925EAF" w:rsidP="00925EAF">
            <w:pPr>
              <w:widowControl/>
              <w:adjustRightInd w:val="0"/>
              <w:snapToGrid w:val="0"/>
              <w:jc w:val="center"/>
              <w:rPr>
                <w:sz w:val="18"/>
                <w:szCs w:val="18"/>
              </w:rPr>
            </w:pPr>
          </w:p>
        </w:tc>
        <w:tc>
          <w:tcPr>
            <w:tcW w:w="350" w:type="pct"/>
            <w:vAlign w:val="center"/>
          </w:tcPr>
          <w:p w14:paraId="06299DAF" w14:textId="77777777" w:rsidR="00925EAF" w:rsidRPr="00925EAF" w:rsidRDefault="00925EAF" w:rsidP="00925EAF">
            <w:pPr>
              <w:adjustRightInd w:val="0"/>
              <w:snapToGrid w:val="0"/>
              <w:jc w:val="center"/>
              <w:textAlignment w:val="center"/>
              <w:rPr>
                <w:sz w:val="18"/>
                <w:szCs w:val="18"/>
              </w:rPr>
            </w:pPr>
            <w:r w:rsidRPr="00925EAF">
              <w:rPr>
                <w:sz w:val="18"/>
                <w:szCs w:val="18"/>
              </w:rPr>
              <w:t>15</w:t>
            </w:r>
          </w:p>
        </w:tc>
        <w:tc>
          <w:tcPr>
            <w:tcW w:w="968" w:type="pct"/>
            <w:vAlign w:val="center"/>
          </w:tcPr>
          <w:p w14:paraId="0592E951" w14:textId="77777777" w:rsidR="00925EAF" w:rsidRPr="00925EAF" w:rsidRDefault="00925EAF" w:rsidP="00925EAF">
            <w:pPr>
              <w:adjustRightInd w:val="0"/>
              <w:snapToGrid w:val="0"/>
              <w:jc w:val="center"/>
              <w:textAlignment w:val="center"/>
              <w:rPr>
                <w:sz w:val="18"/>
                <w:szCs w:val="18"/>
              </w:rPr>
            </w:pPr>
            <w:r w:rsidRPr="00925EAF">
              <w:rPr>
                <w:sz w:val="18"/>
                <w:szCs w:val="18"/>
              </w:rPr>
              <w:t>建工一村</w:t>
            </w:r>
          </w:p>
        </w:tc>
        <w:tc>
          <w:tcPr>
            <w:tcW w:w="751" w:type="pct"/>
            <w:vAlign w:val="center"/>
          </w:tcPr>
          <w:p w14:paraId="700D7861" w14:textId="77777777" w:rsidR="00925EAF" w:rsidRPr="00925EAF" w:rsidRDefault="00925EAF" w:rsidP="00925EAF">
            <w:pPr>
              <w:adjustRightInd w:val="0"/>
              <w:snapToGrid w:val="0"/>
              <w:jc w:val="center"/>
              <w:textAlignment w:val="center"/>
              <w:rPr>
                <w:sz w:val="18"/>
                <w:szCs w:val="18"/>
              </w:rPr>
            </w:pPr>
            <w:r w:rsidRPr="00925EAF">
              <w:rPr>
                <w:sz w:val="18"/>
                <w:szCs w:val="18"/>
              </w:rPr>
              <w:t>SW</w:t>
            </w:r>
          </w:p>
        </w:tc>
        <w:tc>
          <w:tcPr>
            <w:tcW w:w="619" w:type="pct"/>
            <w:gridSpan w:val="2"/>
            <w:vAlign w:val="center"/>
          </w:tcPr>
          <w:p w14:paraId="4FD004AB" w14:textId="77777777" w:rsidR="00925EAF" w:rsidRPr="00925EAF" w:rsidRDefault="00925EAF" w:rsidP="00925EAF">
            <w:pPr>
              <w:adjustRightInd w:val="0"/>
              <w:snapToGrid w:val="0"/>
              <w:jc w:val="center"/>
              <w:textAlignment w:val="center"/>
              <w:rPr>
                <w:sz w:val="18"/>
                <w:szCs w:val="18"/>
              </w:rPr>
            </w:pPr>
            <w:r w:rsidRPr="00925EAF">
              <w:rPr>
                <w:sz w:val="18"/>
                <w:szCs w:val="18"/>
              </w:rPr>
              <w:t>4670</w:t>
            </w:r>
          </w:p>
        </w:tc>
        <w:tc>
          <w:tcPr>
            <w:tcW w:w="942" w:type="pct"/>
            <w:gridSpan w:val="2"/>
            <w:vAlign w:val="center"/>
          </w:tcPr>
          <w:p w14:paraId="7A4FEF75" w14:textId="77777777" w:rsidR="00925EAF" w:rsidRPr="00925EAF" w:rsidRDefault="00925EAF" w:rsidP="00925EAF">
            <w:pPr>
              <w:adjustRightInd w:val="0"/>
              <w:snapToGrid w:val="0"/>
              <w:jc w:val="center"/>
              <w:textAlignment w:val="center"/>
              <w:rPr>
                <w:sz w:val="18"/>
                <w:szCs w:val="18"/>
              </w:rPr>
            </w:pPr>
            <w:r w:rsidRPr="00925EAF">
              <w:rPr>
                <w:sz w:val="18"/>
                <w:szCs w:val="18"/>
              </w:rPr>
              <w:t>居住区</w:t>
            </w:r>
          </w:p>
        </w:tc>
        <w:tc>
          <w:tcPr>
            <w:tcW w:w="1009" w:type="pct"/>
            <w:vAlign w:val="center"/>
          </w:tcPr>
          <w:p w14:paraId="67A24573" w14:textId="77777777" w:rsidR="00925EAF" w:rsidRPr="00925EAF" w:rsidRDefault="00925EAF" w:rsidP="00925EAF">
            <w:pPr>
              <w:adjustRightInd w:val="0"/>
              <w:snapToGrid w:val="0"/>
              <w:jc w:val="center"/>
              <w:textAlignment w:val="center"/>
              <w:rPr>
                <w:sz w:val="18"/>
                <w:szCs w:val="18"/>
              </w:rPr>
            </w:pPr>
            <w:r w:rsidRPr="00925EAF">
              <w:rPr>
                <w:sz w:val="18"/>
                <w:szCs w:val="18"/>
              </w:rPr>
              <w:t>20</w:t>
            </w:r>
          </w:p>
        </w:tc>
      </w:tr>
      <w:tr w:rsidR="00925EAF" w:rsidRPr="00925EAF" w14:paraId="4B192674" w14:textId="77777777" w:rsidTr="00925EAF">
        <w:trPr>
          <w:trHeight w:val="189"/>
          <w:jc w:val="center"/>
        </w:trPr>
        <w:tc>
          <w:tcPr>
            <w:tcW w:w="361" w:type="pct"/>
            <w:vMerge/>
            <w:vAlign w:val="center"/>
          </w:tcPr>
          <w:p w14:paraId="17631534" w14:textId="77777777" w:rsidR="00925EAF" w:rsidRPr="00925EAF" w:rsidRDefault="00925EAF" w:rsidP="00925EAF">
            <w:pPr>
              <w:widowControl/>
              <w:adjustRightInd w:val="0"/>
              <w:snapToGrid w:val="0"/>
              <w:jc w:val="center"/>
              <w:rPr>
                <w:sz w:val="18"/>
                <w:szCs w:val="18"/>
              </w:rPr>
            </w:pPr>
          </w:p>
        </w:tc>
        <w:tc>
          <w:tcPr>
            <w:tcW w:w="350" w:type="pct"/>
            <w:vAlign w:val="center"/>
          </w:tcPr>
          <w:p w14:paraId="4F3135B2" w14:textId="77777777" w:rsidR="00925EAF" w:rsidRPr="00925EAF" w:rsidRDefault="00925EAF" w:rsidP="00925EAF">
            <w:pPr>
              <w:adjustRightInd w:val="0"/>
              <w:snapToGrid w:val="0"/>
              <w:jc w:val="center"/>
              <w:textAlignment w:val="center"/>
              <w:rPr>
                <w:sz w:val="18"/>
                <w:szCs w:val="18"/>
              </w:rPr>
            </w:pPr>
            <w:r w:rsidRPr="00925EAF">
              <w:rPr>
                <w:sz w:val="18"/>
                <w:szCs w:val="18"/>
              </w:rPr>
              <w:t>16</w:t>
            </w:r>
          </w:p>
        </w:tc>
        <w:tc>
          <w:tcPr>
            <w:tcW w:w="968" w:type="pct"/>
            <w:vAlign w:val="center"/>
          </w:tcPr>
          <w:p w14:paraId="2DE5C448" w14:textId="77777777" w:rsidR="00925EAF" w:rsidRPr="00925EAF" w:rsidRDefault="00925EAF" w:rsidP="00925EAF">
            <w:pPr>
              <w:adjustRightInd w:val="0"/>
              <w:snapToGrid w:val="0"/>
              <w:jc w:val="center"/>
              <w:textAlignment w:val="center"/>
              <w:rPr>
                <w:sz w:val="18"/>
                <w:szCs w:val="18"/>
              </w:rPr>
            </w:pPr>
            <w:r w:rsidRPr="00925EAF">
              <w:rPr>
                <w:sz w:val="18"/>
                <w:szCs w:val="18"/>
              </w:rPr>
              <w:t>龙华新村</w:t>
            </w:r>
          </w:p>
        </w:tc>
        <w:tc>
          <w:tcPr>
            <w:tcW w:w="751" w:type="pct"/>
            <w:vAlign w:val="center"/>
          </w:tcPr>
          <w:p w14:paraId="62A7D718" w14:textId="77777777" w:rsidR="00925EAF" w:rsidRPr="00925EAF" w:rsidRDefault="00925EAF" w:rsidP="00925EAF">
            <w:pPr>
              <w:adjustRightInd w:val="0"/>
              <w:snapToGrid w:val="0"/>
              <w:jc w:val="center"/>
              <w:textAlignment w:val="center"/>
              <w:rPr>
                <w:sz w:val="18"/>
                <w:szCs w:val="18"/>
              </w:rPr>
            </w:pPr>
            <w:r w:rsidRPr="00925EAF">
              <w:rPr>
                <w:sz w:val="18"/>
                <w:szCs w:val="18"/>
              </w:rPr>
              <w:t>SW</w:t>
            </w:r>
          </w:p>
        </w:tc>
        <w:tc>
          <w:tcPr>
            <w:tcW w:w="619" w:type="pct"/>
            <w:gridSpan w:val="2"/>
            <w:vAlign w:val="center"/>
          </w:tcPr>
          <w:p w14:paraId="5BF3A4DC" w14:textId="77777777" w:rsidR="00925EAF" w:rsidRPr="00925EAF" w:rsidRDefault="00925EAF" w:rsidP="00925EAF">
            <w:pPr>
              <w:adjustRightInd w:val="0"/>
              <w:snapToGrid w:val="0"/>
              <w:jc w:val="center"/>
              <w:textAlignment w:val="center"/>
              <w:rPr>
                <w:sz w:val="18"/>
                <w:szCs w:val="18"/>
              </w:rPr>
            </w:pPr>
            <w:r w:rsidRPr="00925EAF">
              <w:rPr>
                <w:sz w:val="18"/>
                <w:szCs w:val="18"/>
              </w:rPr>
              <w:t>5590</w:t>
            </w:r>
          </w:p>
        </w:tc>
        <w:tc>
          <w:tcPr>
            <w:tcW w:w="942" w:type="pct"/>
            <w:gridSpan w:val="2"/>
            <w:vAlign w:val="center"/>
          </w:tcPr>
          <w:p w14:paraId="2D087067" w14:textId="77777777" w:rsidR="00925EAF" w:rsidRPr="00925EAF" w:rsidRDefault="00925EAF" w:rsidP="00925EAF">
            <w:pPr>
              <w:adjustRightInd w:val="0"/>
              <w:snapToGrid w:val="0"/>
              <w:jc w:val="center"/>
              <w:textAlignment w:val="center"/>
              <w:rPr>
                <w:sz w:val="18"/>
                <w:szCs w:val="18"/>
              </w:rPr>
            </w:pPr>
            <w:r w:rsidRPr="00925EAF">
              <w:rPr>
                <w:sz w:val="18"/>
                <w:szCs w:val="18"/>
              </w:rPr>
              <w:t>居住区</w:t>
            </w:r>
          </w:p>
        </w:tc>
        <w:tc>
          <w:tcPr>
            <w:tcW w:w="1009" w:type="pct"/>
            <w:vAlign w:val="center"/>
          </w:tcPr>
          <w:p w14:paraId="37CCE926" w14:textId="77777777" w:rsidR="00925EAF" w:rsidRPr="00925EAF" w:rsidRDefault="00925EAF" w:rsidP="00925EAF">
            <w:pPr>
              <w:adjustRightInd w:val="0"/>
              <w:snapToGrid w:val="0"/>
              <w:jc w:val="center"/>
              <w:textAlignment w:val="center"/>
              <w:rPr>
                <w:sz w:val="18"/>
                <w:szCs w:val="18"/>
              </w:rPr>
            </w:pPr>
            <w:r w:rsidRPr="00925EAF">
              <w:rPr>
                <w:sz w:val="18"/>
                <w:szCs w:val="18"/>
              </w:rPr>
              <w:t>280</w:t>
            </w:r>
          </w:p>
        </w:tc>
      </w:tr>
      <w:tr w:rsidR="00925EAF" w:rsidRPr="00925EAF" w14:paraId="6C24FE38" w14:textId="77777777" w:rsidTr="00925EAF">
        <w:trPr>
          <w:trHeight w:val="284"/>
          <w:jc w:val="center"/>
        </w:trPr>
        <w:tc>
          <w:tcPr>
            <w:tcW w:w="361" w:type="pct"/>
            <w:vMerge/>
            <w:vAlign w:val="center"/>
          </w:tcPr>
          <w:p w14:paraId="1EE50D34" w14:textId="77777777" w:rsidR="00925EAF" w:rsidRPr="00925EAF" w:rsidRDefault="00925EAF" w:rsidP="00925EAF">
            <w:pPr>
              <w:widowControl/>
              <w:adjustRightInd w:val="0"/>
              <w:snapToGrid w:val="0"/>
              <w:jc w:val="center"/>
              <w:rPr>
                <w:sz w:val="18"/>
                <w:szCs w:val="18"/>
              </w:rPr>
            </w:pPr>
          </w:p>
        </w:tc>
        <w:tc>
          <w:tcPr>
            <w:tcW w:w="3630" w:type="pct"/>
            <w:gridSpan w:val="7"/>
            <w:vAlign w:val="center"/>
          </w:tcPr>
          <w:p w14:paraId="54384E4B" w14:textId="77777777" w:rsidR="00925EAF" w:rsidRPr="00925EAF" w:rsidRDefault="00925EAF" w:rsidP="00925EAF">
            <w:pPr>
              <w:adjustRightInd w:val="0"/>
              <w:snapToGrid w:val="0"/>
              <w:jc w:val="center"/>
              <w:textAlignment w:val="center"/>
              <w:rPr>
                <w:sz w:val="18"/>
                <w:szCs w:val="18"/>
              </w:rPr>
            </w:pPr>
            <w:r w:rsidRPr="00925EAF">
              <w:rPr>
                <w:sz w:val="18"/>
                <w:szCs w:val="18"/>
              </w:rPr>
              <w:t>厂址周边</w:t>
            </w:r>
            <w:r w:rsidRPr="00925EAF">
              <w:rPr>
                <w:sz w:val="18"/>
                <w:szCs w:val="18"/>
              </w:rPr>
              <w:t>500m</w:t>
            </w:r>
            <w:r w:rsidRPr="00925EAF">
              <w:rPr>
                <w:sz w:val="18"/>
                <w:szCs w:val="18"/>
              </w:rPr>
              <w:t>范围内人口数小计</w:t>
            </w:r>
          </w:p>
        </w:tc>
        <w:tc>
          <w:tcPr>
            <w:tcW w:w="1009" w:type="pct"/>
            <w:vAlign w:val="center"/>
          </w:tcPr>
          <w:p w14:paraId="0F207B40" w14:textId="77777777" w:rsidR="00925EAF" w:rsidRPr="00925EAF" w:rsidRDefault="00925EAF" w:rsidP="00925EAF">
            <w:pPr>
              <w:adjustRightInd w:val="0"/>
              <w:snapToGrid w:val="0"/>
              <w:jc w:val="center"/>
              <w:textAlignment w:val="center"/>
              <w:rPr>
                <w:sz w:val="18"/>
                <w:szCs w:val="18"/>
              </w:rPr>
            </w:pPr>
            <w:r w:rsidRPr="00925EAF">
              <w:rPr>
                <w:sz w:val="18"/>
                <w:szCs w:val="18"/>
              </w:rPr>
              <w:t>0</w:t>
            </w:r>
          </w:p>
        </w:tc>
      </w:tr>
      <w:tr w:rsidR="00925EAF" w:rsidRPr="00925EAF" w14:paraId="397D5379" w14:textId="77777777" w:rsidTr="00925EAF">
        <w:trPr>
          <w:trHeight w:val="284"/>
          <w:jc w:val="center"/>
        </w:trPr>
        <w:tc>
          <w:tcPr>
            <w:tcW w:w="361" w:type="pct"/>
            <w:vMerge/>
            <w:vAlign w:val="center"/>
          </w:tcPr>
          <w:p w14:paraId="62399E7B" w14:textId="77777777" w:rsidR="00925EAF" w:rsidRPr="00925EAF" w:rsidRDefault="00925EAF" w:rsidP="00925EAF">
            <w:pPr>
              <w:widowControl/>
              <w:adjustRightInd w:val="0"/>
              <w:snapToGrid w:val="0"/>
              <w:jc w:val="center"/>
              <w:rPr>
                <w:sz w:val="18"/>
                <w:szCs w:val="18"/>
              </w:rPr>
            </w:pPr>
          </w:p>
        </w:tc>
        <w:tc>
          <w:tcPr>
            <w:tcW w:w="3630" w:type="pct"/>
            <w:gridSpan w:val="7"/>
            <w:vAlign w:val="center"/>
          </w:tcPr>
          <w:p w14:paraId="5781C380" w14:textId="77777777" w:rsidR="00925EAF" w:rsidRPr="00925EAF" w:rsidRDefault="00925EAF" w:rsidP="00925EAF">
            <w:pPr>
              <w:adjustRightInd w:val="0"/>
              <w:snapToGrid w:val="0"/>
              <w:jc w:val="center"/>
              <w:textAlignment w:val="center"/>
              <w:rPr>
                <w:sz w:val="18"/>
                <w:szCs w:val="18"/>
              </w:rPr>
            </w:pPr>
            <w:r w:rsidRPr="00925EAF">
              <w:rPr>
                <w:sz w:val="18"/>
                <w:szCs w:val="18"/>
              </w:rPr>
              <w:t>厂址周边</w:t>
            </w:r>
            <w:r w:rsidRPr="00925EAF">
              <w:rPr>
                <w:sz w:val="18"/>
                <w:szCs w:val="18"/>
              </w:rPr>
              <w:t>5km</w:t>
            </w:r>
            <w:r w:rsidRPr="00925EAF">
              <w:rPr>
                <w:sz w:val="18"/>
                <w:szCs w:val="18"/>
              </w:rPr>
              <w:t>范围内人口数小计</w:t>
            </w:r>
          </w:p>
        </w:tc>
        <w:tc>
          <w:tcPr>
            <w:tcW w:w="1009" w:type="pct"/>
            <w:vAlign w:val="center"/>
          </w:tcPr>
          <w:p w14:paraId="2835F824" w14:textId="77777777" w:rsidR="00925EAF" w:rsidRPr="00925EAF" w:rsidRDefault="00925EAF" w:rsidP="00925EAF">
            <w:pPr>
              <w:adjustRightInd w:val="0"/>
              <w:snapToGrid w:val="0"/>
              <w:jc w:val="center"/>
              <w:textAlignment w:val="center"/>
              <w:rPr>
                <w:sz w:val="18"/>
                <w:szCs w:val="18"/>
              </w:rPr>
            </w:pPr>
            <w:r w:rsidRPr="00925EAF">
              <w:rPr>
                <w:sz w:val="18"/>
                <w:szCs w:val="18"/>
              </w:rPr>
              <w:t>4520</w:t>
            </w:r>
          </w:p>
        </w:tc>
      </w:tr>
      <w:tr w:rsidR="00925EAF" w:rsidRPr="00925EAF" w14:paraId="279A1E95" w14:textId="77777777" w:rsidTr="00925EAF">
        <w:trPr>
          <w:trHeight w:val="284"/>
          <w:jc w:val="center"/>
        </w:trPr>
        <w:tc>
          <w:tcPr>
            <w:tcW w:w="361" w:type="pct"/>
            <w:vMerge/>
            <w:vAlign w:val="center"/>
          </w:tcPr>
          <w:p w14:paraId="17F80CFF" w14:textId="77777777" w:rsidR="00925EAF" w:rsidRPr="00925EAF" w:rsidRDefault="00925EAF" w:rsidP="00925EAF">
            <w:pPr>
              <w:widowControl/>
              <w:adjustRightInd w:val="0"/>
              <w:snapToGrid w:val="0"/>
              <w:jc w:val="center"/>
              <w:rPr>
                <w:sz w:val="18"/>
                <w:szCs w:val="18"/>
              </w:rPr>
            </w:pPr>
          </w:p>
        </w:tc>
        <w:tc>
          <w:tcPr>
            <w:tcW w:w="3630" w:type="pct"/>
            <w:gridSpan w:val="7"/>
            <w:vAlign w:val="center"/>
          </w:tcPr>
          <w:p w14:paraId="2217436B" w14:textId="77777777" w:rsidR="00925EAF" w:rsidRPr="00925EAF" w:rsidRDefault="00925EAF" w:rsidP="00925EAF">
            <w:pPr>
              <w:adjustRightInd w:val="0"/>
              <w:snapToGrid w:val="0"/>
              <w:jc w:val="center"/>
              <w:textAlignment w:val="center"/>
              <w:rPr>
                <w:sz w:val="18"/>
                <w:szCs w:val="18"/>
              </w:rPr>
            </w:pPr>
            <w:r w:rsidRPr="00925EAF">
              <w:rPr>
                <w:sz w:val="18"/>
                <w:szCs w:val="18"/>
              </w:rPr>
              <w:t>大气环境敏感程度</w:t>
            </w:r>
            <w:r w:rsidRPr="00925EAF">
              <w:rPr>
                <w:sz w:val="18"/>
                <w:szCs w:val="18"/>
              </w:rPr>
              <w:t>E</w:t>
            </w:r>
            <w:r w:rsidRPr="00925EAF">
              <w:rPr>
                <w:sz w:val="18"/>
                <w:szCs w:val="18"/>
              </w:rPr>
              <w:t>值</w:t>
            </w:r>
          </w:p>
        </w:tc>
        <w:tc>
          <w:tcPr>
            <w:tcW w:w="1009" w:type="pct"/>
            <w:vAlign w:val="center"/>
          </w:tcPr>
          <w:p w14:paraId="71821CDC" w14:textId="77777777" w:rsidR="00925EAF" w:rsidRPr="00925EAF" w:rsidRDefault="00925EAF" w:rsidP="00925EAF">
            <w:pPr>
              <w:adjustRightInd w:val="0"/>
              <w:snapToGrid w:val="0"/>
              <w:jc w:val="center"/>
              <w:textAlignment w:val="center"/>
              <w:rPr>
                <w:b/>
                <w:sz w:val="18"/>
                <w:szCs w:val="18"/>
              </w:rPr>
            </w:pPr>
            <w:r w:rsidRPr="00925EAF">
              <w:rPr>
                <w:b/>
                <w:sz w:val="18"/>
                <w:szCs w:val="18"/>
              </w:rPr>
              <w:t>E3</w:t>
            </w:r>
          </w:p>
        </w:tc>
      </w:tr>
      <w:tr w:rsidR="00925EAF" w:rsidRPr="00925EAF" w14:paraId="006B46CC" w14:textId="77777777" w:rsidTr="00925EAF">
        <w:trPr>
          <w:trHeight w:val="284"/>
          <w:jc w:val="center"/>
        </w:trPr>
        <w:tc>
          <w:tcPr>
            <w:tcW w:w="361" w:type="pct"/>
            <w:vMerge w:val="restart"/>
            <w:vAlign w:val="center"/>
          </w:tcPr>
          <w:p w14:paraId="5E93FAF1" w14:textId="77777777" w:rsidR="00925EAF" w:rsidRPr="00925EAF" w:rsidRDefault="00925EAF" w:rsidP="00925EAF">
            <w:pPr>
              <w:adjustRightInd w:val="0"/>
              <w:snapToGrid w:val="0"/>
              <w:jc w:val="center"/>
              <w:textAlignment w:val="center"/>
              <w:rPr>
                <w:sz w:val="18"/>
                <w:szCs w:val="18"/>
              </w:rPr>
            </w:pPr>
            <w:r w:rsidRPr="00925EAF">
              <w:rPr>
                <w:sz w:val="18"/>
                <w:szCs w:val="18"/>
              </w:rPr>
              <w:t>地</w:t>
            </w:r>
          </w:p>
          <w:p w14:paraId="6E0ECDF5" w14:textId="77777777" w:rsidR="00925EAF" w:rsidRPr="00925EAF" w:rsidRDefault="00925EAF" w:rsidP="00925EAF">
            <w:pPr>
              <w:adjustRightInd w:val="0"/>
              <w:snapToGrid w:val="0"/>
              <w:jc w:val="center"/>
              <w:textAlignment w:val="center"/>
              <w:rPr>
                <w:sz w:val="18"/>
                <w:szCs w:val="18"/>
              </w:rPr>
            </w:pPr>
            <w:r w:rsidRPr="00925EAF">
              <w:rPr>
                <w:sz w:val="18"/>
                <w:szCs w:val="18"/>
              </w:rPr>
              <w:lastRenderedPageBreak/>
              <w:t>表</w:t>
            </w:r>
          </w:p>
          <w:p w14:paraId="49002B1C" w14:textId="77777777" w:rsidR="00925EAF" w:rsidRPr="00925EAF" w:rsidRDefault="00925EAF" w:rsidP="00925EAF">
            <w:pPr>
              <w:adjustRightInd w:val="0"/>
              <w:snapToGrid w:val="0"/>
              <w:jc w:val="center"/>
              <w:textAlignment w:val="center"/>
              <w:rPr>
                <w:sz w:val="18"/>
                <w:szCs w:val="18"/>
              </w:rPr>
            </w:pPr>
            <w:r w:rsidRPr="00925EAF">
              <w:rPr>
                <w:sz w:val="18"/>
                <w:szCs w:val="18"/>
              </w:rPr>
              <w:t>水</w:t>
            </w:r>
          </w:p>
        </w:tc>
        <w:tc>
          <w:tcPr>
            <w:tcW w:w="4639" w:type="pct"/>
            <w:gridSpan w:val="8"/>
            <w:vAlign w:val="center"/>
          </w:tcPr>
          <w:p w14:paraId="2682BBCC" w14:textId="77777777" w:rsidR="00925EAF" w:rsidRPr="00925EAF" w:rsidRDefault="00925EAF" w:rsidP="00925EAF">
            <w:pPr>
              <w:adjustRightInd w:val="0"/>
              <w:snapToGrid w:val="0"/>
              <w:jc w:val="center"/>
              <w:textAlignment w:val="center"/>
              <w:rPr>
                <w:sz w:val="18"/>
                <w:szCs w:val="18"/>
              </w:rPr>
            </w:pPr>
            <w:r w:rsidRPr="00925EAF">
              <w:rPr>
                <w:sz w:val="18"/>
                <w:szCs w:val="18"/>
              </w:rPr>
              <w:lastRenderedPageBreak/>
              <w:t>受纳水体</w:t>
            </w:r>
          </w:p>
        </w:tc>
      </w:tr>
      <w:tr w:rsidR="00925EAF" w:rsidRPr="00925EAF" w14:paraId="39E78797" w14:textId="77777777" w:rsidTr="00925EAF">
        <w:trPr>
          <w:trHeight w:val="284"/>
          <w:jc w:val="center"/>
        </w:trPr>
        <w:tc>
          <w:tcPr>
            <w:tcW w:w="361" w:type="pct"/>
            <w:vMerge/>
            <w:vAlign w:val="center"/>
          </w:tcPr>
          <w:p w14:paraId="2E87B0BD" w14:textId="77777777" w:rsidR="00925EAF" w:rsidRPr="00925EAF" w:rsidRDefault="00925EAF" w:rsidP="00925EAF">
            <w:pPr>
              <w:widowControl/>
              <w:adjustRightInd w:val="0"/>
              <w:snapToGrid w:val="0"/>
              <w:jc w:val="center"/>
              <w:rPr>
                <w:sz w:val="18"/>
                <w:szCs w:val="18"/>
              </w:rPr>
            </w:pPr>
          </w:p>
        </w:tc>
        <w:tc>
          <w:tcPr>
            <w:tcW w:w="350" w:type="pct"/>
            <w:vAlign w:val="center"/>
          </w:tcPr>
          <w:p w14:paraId="26941815" w14:textId="77777777" w:rsidR="00925EAF" w:rsidRPr="00925EAF" w:rsidRDefault="00925EAF" w:rsidP="00925EAF">
            <w:pPr>
              <w:adjustRightInd w:val="0"/>
              <w:snapToGrid w:val="0"/>
              <w:jc w:val="center"/>
              <w:textAlignment w:val="center"/>
              <w:rPr>
                <w:sz w:val="18"/>
                <w:szCs w:val="18"/>
              </w:rPr>
            </w:pPr>
            <w:r w:rsidRPr="00925EAF">
              <w:rPr>
                <w:sz w:val="18"/>
                <w:szCs w:val="18"/>
              </w:rPr>
              <w:t>序号</w:t>
            </w:r>
          </w:p>
        </w:tc>
        <w:tc>
          <w:tcPr>
            <w:tcW w:w="968" w:type="pct"/>
            <w:vAlign w:val="center"/>
          </w:tcPr>
          <w:p w14:paraId="1A6C9F4E" w14:textId="77777777" w:rsidR="00925EAF" w:rsidRPr="00925EAF" w:rsidRDefault="00925EAF" w:rsidP="00925EAF">
            <w:pPr>
              <w:adjustRightInd w:val="0"/>
              <w:snapToGrid w:val="0"/>
              <w:jc w:val="center"/>
              <w:textAlignment w:val="center"/>
              <w:rPr>
                <w:sz w:val="18"/>
                <w:szCs w:val="18"/>
              </w:rPr>
            </w:pPr>
            <w:r w:rsidRPr="00925EAF">
              <w:rPr>
                <w:sz w:val="18"/>
                <w:szCs w:val="18"/>
              </w:rPr>
              <w:t>受纳水体名称</w:t>
            </w:r>
          </w:p>
        </w:tc>
        <w:tc>
          <w:tcPr>
            <w:tcW w:w="1370" w:type="pct"/>
            <w:gridSpan w:val="3"/>
            <w:vAlign w:val="center"/>
          </w:tcPr>
          <w:p w14:paraId="542841F9" w14:textId="77777777" w:rsidR="00925EAF" w:rsidRPr="00925EAF" w:rsidRDefault="00925EAF" w:rsidP="00925EAF">
            <w:pPr>
              <w:adjustRightInd w:val="0"/>
              <w:snapToGrid w:val="0"/>
              <w:jc w:val="center"/>
              <w:textAlignment w:val="center"/>
              <w:rPr>
                <w:sz w:val="18"/>
                <w:szCs w:val="18"/>
              </w:rPr>
            </w:pPr>
            <w:r w:rsidRPr="00925EAF">
              <w:rPr>
                <w:sz w:val="18"/>
                <w:szCs w:val="18"/>
              </w:rPr>
              <w:t>排放点水域环境功能</w:t>
            </w:r>
          </w:p>
        </w:tc>
        <w:tc>
          <w:tcPr>
            <w:tcW w:w="1951" w:type="pct"/>
            <w:gridSpan w:val="3"/>
            <w:vAlign w:val="center"/>
          </w:tcPr>
          <w:p w14:paraId="2777CC5B" w14:textId="77777777" w:rsidR="00925EAF" w:rsidRPr="00925EAF" w:rsidRDefault="00925EAF" w:rsidP="00925EAF">
            <w:pPr>
              <w:adjustRightInd w:val="0"/>
              <w:snapToGrid w:val="0"/>
              <w:jc w:val="center"/>
              <w:textAlignment w:val="center"/>
              <w:rPr>
                <w:sz w:val="18"/>
                <w:szCs w:val="18"/>
              </w:rPr>
            </w:pPr>
            <w:r w:rsidRPr="00925EAF">
              <w:rPr>
                <w:sz w:val="18"/>
                <w:szCs w:val="18"/>
              </w:rPr>
              <w:t>24h</w:t>
            </w:r>
            <w:r w:rsidRPr="00925EAF">
              <w:rPr>
                <w:sz w:val="18"/>
                <w:szCs w:val="18"/>
              </w:rPr>
              <w:t>内流经范围</w:t>
            </w:r>
            <w:r w:rsidRPr="00925EAF">
              <w:rPr>
                <w:sz w:val="18"/>
                <w:szCs w:val="18"/>
              </w:rPr>
              <w:t>/km</w:t>
            </w:r>
          </w:p>
        </w:tc>
      </w:tr>
      <w:tr w:rsidR="00925EAF" w:rsidRPr="00925EAF" w14:paraId="65E16F75" w14:textId="77777777" w:rsidTr="00925EAF">
        <w:trPr>
          <w:trHeight w:val="284"/>
          <w:jc w:val="center"/>
        </w:trPr>
        <w:tc>
          <w:tcPr>
            <w:tcW w:w="361" w:type="pct"/>
            <w:vMerge/>
            <w:vAlign w:val="center"/>
          </w:tcPr>
          <w:p w14:paraId="02497F1B" w14:textId="77777777" w:rsidR="00925EAF" w:rsidRPr="00925EAF" w:rsidRDefault="00925EAF" w:rsidP="00925EAF">
            <w:pPr>
              <w:widowControl/>
              <w:adjustRightInd w:val="0"/>
              <w:snapToGrid w:val="0"/>
              <w:jc w:val="center"/>
              <w:rPr>
                <w:sz w:val="18"/>
                <w:szCs w:val="18"/>
              </w:rPr>
            </w:pPr>
          </w:p>
        </w:tc>
        <w:tc>
          <w:tcPr>
            <w:tcW w:w="350" w:type="pct"/>
            <w:vAlign w:val="center"/>
          </w:tcPr>
          <w:p w14:paraId="589DDAB7" w14:textId="77777777" w:rsidR="00925EAF" w:rsidRPr="00925EAF" w:rsidRDefault="00925EAF" w:rsidP="00925EAF">
            <w:pPr>
              <w:adjustRightInd w:val="0"/>
              <w:snapToGrid w:val="0"/>
              <w:jc w:val="center"/>
              <w:textAlignment w:val="center"/>
              <w:rPr>
                <w:sz w:val="18"/>
                <w:szCs w:val="18"/>
              </w:rPr>
            </w:pPr>
            <w:r w:rsidRPr="00925EAF">
              <w:rPr>
                <w:sz w:val="18"/>
                <w:szCs w:val="18"/>
              </w:rPr>
              <w:t>1</w:t>
            </w:r>
          </w:p>
        </w:tc>
        <w:tc>
          <w:tcPr>
            <w:tcW w:w="968" w:type="pct"/>
            <w:vAlign w:val="center"/>
          </w:tcPr>
          <w:p w14:paraId="3ADC8942" w14:textId="77777777" w:rsidR="00925EAF" w:rsidRPr="00925EAF" w:rsidRDefault="00925EAF" w:rsidP="00925EAF">
            <w:pPr>
              <w:adjustRightInd w:val="0"/>
              <w:snapToGrid w:val="0"/>
              <w:ind w:firstLineChars="200" w:firstLine="480"/>
              <w:jc w:val="center"/>
              <w:textAlignment w:val="center"/>
              <w:rPr>
                <w:sz w:val="18"/>
                <w:szCs w:val="18"/>
              </w:rPr>
            </w:pPr>
            <w:r w:rsidRPr="00925EAF">
              <w:rPr>
                <w:sz w:val="24"/>
              </w:rPr>
              <w:t>/</w:t>
            </w:r>
          </w:p>
        </w:tc>
        <w:tc>
          <w:tcPr>
            <w:tcW w:w="1370" w:type="pct"/>
            <w:gridSpan w:val="3"/>
            <w:vAlign w:val="center"/>
          </w:tcPr>
          <w:p w14:paraId="398A6D3D" w14:textId="77777777" w:rsidR="00925EAF" w:rsidRPr="00925EAF" w:rsidRDefault="00925EAF" w:rsidP="00925EAF">
            <w:pPr>
              <w:adjustRightInd w:val="0"/>
              <w:snapToGrid w:val="0"/>
              <w:ind w:firstLineChars="200" w:firstLine="480"/>
              <w:jc w:val="center"/>
              <w:textAlignment w:val="center"/>
              <w:rPr>
                <w:sz w:val="18"/>
                <w:szCs w:val="18"/>
              </w:rPr>
            </w:pPr>
            <w:r w:rsidRPr="00925EAF">
              <w:rPr>
                <w:sz w:val="24"/>
              </w:rPr>
              <w:t>/</w:t>
            </w:r>
          </w:p>
        </w:tc>
        <w:tc>
          <w:tcPr>
            <w:tcW w:w="1951" w:type="pct"/>
            <w:gridSpan w:val="3"/>
            <w:vAlign w:val="center"/>
          </w:tcPr>
          <w:p w14:paraId="0E8D82D9" w14:textId="77777777" w:rsidR="00925EAF" w:rsidRPr="00925EAF" w:rsidRDefault="00925EAF" w:rsidP="00925EAF">
            <w:pPr>
              <w:adjustRightInd w:val="0"/>
              <w:snapToGrid w:val="0"/>
              <w:jc w:val="center"/>
              <w:textAlignment w:val="center"/>
              <w:rPr>
                <w:sz w:val="18"/>
                <w:szCs w:val="18"/>
              </w:rPr>
            </w:pPr>
            <w:r w:rsidRPr="00925EAF">
              <w:rPr>
                <w:sz w:val="18"/>
                <w:szCs w:val="18"/>
              </w:rPr>
              <w:t>其他</w:t>
            </w:r>
          </w:p>
        </w:tc>
      </w:tr>
      <w:tr w:rsidR="00925EAF" w:rsidRPr="00925EAF" w14:paraId="62AB4770" w14:textId="77777777" w:rsidTr="00925EAF">
        <w:trPr>
          <w:trHeight w:val="284"/>
          <w:jc w:val="center"/>
        </w:trPr>
        <w:tc>
          <w:tcPr>
            <w:tcW w:w="361" w:type="pct"/>
            <w:vMerge/>
            <w:vAlign w:val="center"/>
          </w:tcPr>
          <w:p w14:paraId="147DD74A" w14:textId="77777777" w:rsidR="00925EAF" w:rsidRPr="00925EAF" w:rsidRDefault="00925EAF" w:rsidP="00925EAF">
            <w:pPr>
              <w:widowControl/>
              <w:adjustRightInd w:val="0"/>
              <w:snapToGrid w:val="0"/>
              <w:jc w:val="center"/>
              <w:rPr>
                <w:sz w:val="18"/>
                <w:szCs w:val="18"/>
              </w:rPr>
            </w:pPr>
          </w:p>
        </w:tc>
        <w:tc>
          <w:tcPr>
            <w:tcW w:w="4639" w:type="pct"/>
            <w:gridSpan w:val="8"/>
            <w:vAlign w:val="center"/>
          </w:tcPr>
          <w:p w14:paraId="3AB8E80E" w14:textId="77777777" w:rsidR="00925EAF" w:rsidRPr="00925EAF" w:rsidRDefault="00925EAF" w:rsidP="00925EAF">
            <w:pPr>
              <w:adjustRightInd w:val="0"/>
              <w:snapToGrid w:val="0"/>
              <w:jc w:val="center"/>
              <w:textAlignment w:val="center"/>
              <w:rPr>
                <w:sz w:val="18"/>
                <w:szCs w:val="18"/>
              </w:rPr>
            </w:pPr>
            <w:r w:rsidRPr="00925EAF">
              <w:rPr>
                <w:sz w:val="18"/>
                <w:szCs w:val="18"/>
              </w:rPr>
              <w:t>内陆水体排放点下游</w:t>
            </w:r>
            <w:r w:rsidRPr="00925EAF">
              <w:rPr>
                <w:sz w:val="18"/>
                <w:szCs w:val="18"/>
              </w:rPr>
              <w:t>10km</w:t>
            </w:r>
            <w:r w:rsidRPr="00925EAF">
              <w:rPr>
                <w:sz w:val="18"/>
                <w:szCs w:val="18"/>
              </w:rPr>
              <w:t>（近岸海域一个潮周期最大水平距离两倍）范围内敏感目标</w:t>
            </w:r>
          </w:p>
        </w:tc>
      </w:tr>
      <w:tr w:rsidR="00925EAF" w:rsidRPr="00925EAF" w14:paraId="2BE7D3E1" w14:textId="77777777" w:rsidTr="00925EAF">
        <w:trPr>
          <w:trHeight w:val="284"/>
          <w:jc w:val="center"/>
        </w:trPr>
        <w:tc>
          <w:tcPr>
            <w:tcW w:w="361" w:type="pct"/>
            <w:vMerge/>
            <w:vAlign w:val="center"/>
          </w:tcPr>
          <w:p w14:paraId="5FE0722C" w14:textId="77777777" w:rsidR="00925EAF" w:rsidRPr="00925EAF" w:rsidRDefault="00925EAF" w:rsidP="00925EAF">
            <w:pPr>
              <w:widowControl/>
              <w:adjustRightInd w:val="0"/>
              <w:snapToGrid w:val="0"/>
              <w:jc w:val="center"/>
              <w:rPr>
                <w:sz w:val="18"/>
                <w:szCs w:val="18"/>
              </w:rPr>
            </w:pPr>
          </w:p>
        </w:tc>
        <w:tc>
          <w:tcPr>
            <w:tcW w:w="350" w:type="pct"/>
            <w:vAlign w:val="center"/>
          </w:tcPr>
          <w:p w14:paraId="4088DDB2" w14:textId="77777777" w:rsidR="00925EAF" w:rsidRPr="00925EAF" w:rsidRDefault="00925EAF" w:rsidP="00925EAF">
            <w:pPr>
              <w:adjustRightInd w:val="0"/>
              <w:snapToGrid w:val="0"/>
              <w:jc w:val="center"/>
              <w:textAlignment w:val="center"/>
              <w:rPr>
                <w:sz w:val="18"/>
                <w:szCs w:val="18"/>
              </w:rPr>
            </w:pPr>
            <w:r w:rsidRPr="00925EAF">
              <w:rPr>
                <w:sz w:val="18"/>
                <w:szCs w:val="18"/>
              </w:rPr>
              <w:t>序号</w:t>
            </w:r>
          </w:p>
        </w:tc>
        <w:tc>
          <w:tcPr>
            <w:tcW w:w="968" w:type="pct"/>
            <w:vAlign w:val="center"/>
          </w:tcPr>
          <w:p w14:paraId="5DADDC17" w14:textId="77777777" w:rsidR="00925EAF" w:rsidRPr="00925EAF" w:rsidRDefault="00925EAF" w:rsidP="00925EAF">
            <w:pPr>
              <w:adjustRightInd w:val="0"/>
              <w:snapToGrid w:val="0"/>
              <w:jc w:val="center"/>
              <w:textAlignment w:val="center"/>
              <w:rPr>
                <w:sz w:val="18"/>
                <w:szCs w:val="18"/>
              </w:rPr>
            </w:pPr>
            <w:r w:rsidRPr="00925EAF">
              <w:rPr>
                <w:sz w:val="18"/>
                <w:szCs w:val="18"/>
              </w:rPr>
              <w:t>敏感目标名称</w:t>
            </w:r>
          </w:p>
        </w:tc>
        <w:tc>
          <w:tcPr>
            <w:tcW w:w="1095" w:type="pct"/>
            <w:gridSpan w:val="2"/>
            <w:vAlign w:val="center"/>
          </w:tcPr>
          <w:p w14:paraId="71E143CE" w14:textId="77777777" w:rsidR="00925EAF" w:rsidRPr="00925EAF" w:rsidRDefault="00925EAF" w:rsidP="00925EAF">
            <w:pPr>
              <w:adjustRightInd w:val="0"/>
              <w:snapToGrid w:val="0"/>
              <w:jc w:val="center"/>
              <w:textAlignment w:val="center"/>
              <w:rPr>
                <w:sz w:val="18"/>
                <w:szCs w:val="18"/>
              </w:rPr>
            </w:pPr>
            <w:r w:rsidRPr="00925EAF">
              <w:rPr>
                <w:sz w:val="18"/>
                <w:szCs w:val="18"/>
              </w:rPr>
              <w:t>环境敏感特征</w:t>
            </w:r>
          </w:p>
        </w:tc>
        <w:tc>
          <w:tcPr>
            <w:tcW w:w="1095" w:type="pct"/>
            <w:gridSpan w:val="2"/>
            <w:vAlign w:val="center"/>
          </w:tcPr>
          <w:p w14:paraId="69F333CA" w14:textId="77777777" w:rsidR="00925EAF" w:rsidRPr="00925EAF" w:rsidRDefault="00925EAF" w:rsidP="00925EAF">
            <w:pPr>
              <w:adjustRightInd w:val="0"/>
              <w:snapToGrid w:val="0"/>
              <w:jc w:val="center"/>
              <w:textAlignment w:val="center"/>
              <w:rPr>
                <w:sz w:val="18"/>
                <w:szCs w:val="18"/>
              </w:rPr>
            </w:pPr>
            <w:r w:rsidRPr="00925EAF">
              <w:rPr>
                <w:sz w:val="18"/>
                <w:szCs w:val="18"/>
              </w:rPr>
              <w:t>水质目标</w:t>
            </w:r>
          </w:p>
        </w:tc>
        <w:tc>
          <w:tcPr>
            <w:tcW w:w="1131" w:type="pct"/>
            <w:gridSpan w:val="2"/>
            <w:vAlign w:val="center"/>
          </w:tcPr>
          <w:p w14:paraId="3216B343" w14:textId="77777777" w:rsidR="00925EAF" w:rsidRPr="00925EAF" w:rsidRDefault="00925EAF" w:rsidP="00925EAF">
            <w:pPr>
              <w:adjustRightInd w:val="0"/>
              <w:snapToGrid w:val="0"/>
              <w:jc w:val="center"/>
              <w:textAlignment w:val="center"/>
              <w:rPr>
                <w:sz w:val="18"/>
                <w:szCs w:val="18"/>
              </w:rPr>
            </w:pPr>
            <w:r w:rsidRPr="00925EAF">
              <w:rPr>
                <w:sz w:val="18"/>
                <w:szCs w:val="18"/>
              </w:rPr>
              <w:t>与排放点距离</w:t>
            </w:r>
            <w:r w:rsidRPr="00925EAF">
              <w:rPr>
                <w:sz w:val="18"/>
                <w:szCs w:val="18"/>
              </w:rPr>
              <w:t>/m</w:t>
            </w:r>
          </w:p>
        </w:tc>
      </w:tr>
      <w:tr w:rsidR="00925EAF" w:rsidRPr="00925EAF" w14:paraId="5B0C9609" w14:textId="77777777" w:rsidTr="00925EAF">
        <w:trPr>
          <w:trHeight w:val="284"/>
          <w:jc w:val="center"/>
        </w:trPr>
        <w:tc>
          <w:tcPr>
            <w:tcW w:w="361" w:type="pct"/>
            <w:vMerge/>
            <w:vAlign w:val="center"/>
          </w:tcPr>
          <w:p w14:paraId="77B81D9A" w14:textId="77777777" w:rsidR="00925EAF" w:rsidRPr="00925EAF" w:rsidRDefault="00925EAF" w:rsidP="00925EAF">
            <w:pPr>
              <w:widowControl/>
              <w:adjustRightInd w:val="0"/>
              <w:snapToGrid w:val="0"/>
              <w:jc w:val="center"/>
              <w:rPr>
                <w:sz w:val="18"/>
                <w:szCs w:val="18"/>
              </w:rPr>
            </w:pPr>
          </w:p>
        </w:tc>
        <w:tc>
          <w:tcPr>
            <w:tcW w:w="350" w:type="pct"/>
            <w:vAlign w:val="center"/>
          </w:tcPr>
          <w:p w14:paraId="6D5485FE" w14:textId="77777777" w:rsidR="00925EAF" w:rsidRPr="00925EAF" w:rsidRDefault="00925EAF" w:rsidP="00925EAF">
            <w:pPr>
              <w:adjustRightInd w:val="0"/>
              <w:snapToGrid w:val="0"/>
              <w:jc w:val="center"/>
              <w:textAlignment w:val="center"/>
              <w:rPr>
                <w:sz w:val="18"/>
                <w:szCs w:val="18"/>
              </w:rPr>
            </w:pPr>
            <w:r w:rsidRPr="00925EAF">
              <w:rPr>
                <w:sz w:val="18"/>
                <w:szCs w:val="18"/>
              </w:rPr>
              <w:t>/</w:t>
            </w:r>
          </w:p>
        </w:tc>
        <w:tc>
          <w:tcPr>
            <w:tcW w:w="968" w:type="pct"/>
            <w:vAlign w:val="center"/>
          </w:tcPr>
          <w:p w14:paraId="5EA55496" w14:textId="77777777" w:rsidR="00925EAF" w:rsidRPr="00925EAF" w:rsidRDefault="00925EAF" w:rsidP="00925EAF">
            <w:pPr>
              <w:adjustRightInd w:val="0"/>
              <w:snapToGrid w:val="0"/>
              <w:jc w:val="center"/>
              <w:textAlignment w:val="center"/>
              <w:rPr>
                <w:sz w:val="18"/>
                <w:szCs w:val="18"/>
              </w:rPr>
            </w:pPr>
            <w:r w:rsidRPr="00925EAF">
              <w:rPr>
                <w:sz w:val="18"/>
                <w:szCs w:val="18"/>
              </w:rPr>
              <w:t>/</w:t>
            </w:r>
          </w:p>
        </w:tc>
        <w:tc>
          <w:tcPr>
            <w:tcW w:w="1095" w:type="pct"/>
            <w:gridSpan w:val="2"/>
            <w:vAlign w:val="center"/>
          </w:tcPr>
          <w:p w14:paraId="07AAED51" w14:textId="77777777" w:rsidR="00925EAF" w:rsidRPr="00925EAF" w:rsidRDefault="00925EAF" w:rsidP="00925EAF">
            <w:pPr>
              <w:adjustRightInd w:val="0"/>
              <w:snapToGrid w:val="0"/>
              <w:jc w:val="center"/>
              <w:textAlignment w:val="center"/>
              <w:rPr>
                <w:sz w:val="18"/>
                <w:szCs w:val="18"/>
              </w:rPr>
            </w:pPr>
            <w:r w:rsidRPr="00925EAF">
              <w:rPr>
                <w:sz w:val="18"/>
                <w:szCs w:val="18"/>
              </w:rPr>
              <w:t>/</w:t>
            </w:r>
          </w:p>
        </w:tc>
        <w:tc>
          <w:tcPr>
            <w:tcW w:w="1095" w:type="pct"/>
            <w:gridSpan w:val="2"/>
            <w:vAlign w:val="center"/>
          </w:tcPr>
          <w:p w14:paraId="435EE257" w14:textId="77777777" w:rsidR="00925EAF" w:rsidRPr="00925EAF" w:rsidRDefault="00925EAF" w:rsidP="00925EAF">
            <w:pPr>
              <w:adjustRightInd w:val="0"/>
              <w:snapToGrid w:val="0"/>
              <w:jc w:val="center"/>
              <w:textAlignment w:val="center"/>
              <w:rPr>
                <w:sz w:val="18"/>
                <w:szCs w:val="18"/>
              </w:rPr>
            </w:pPr>
            <w:r w:rsidRPr="00925EAF">
              <w:rPr>
                <w:sz w:val="18"/>
                <w:szCs w:val="18"/>
              </w:rPr>
              <w:t>/</w:t>
            </w:r>
          </w:p>
        </w:tc>
        <w:tc>
          <w:tcPr>
            <w:tcW w:w="1131" w:type="pct"/>
            <w:gridSpan w:val="2"/>
            <w:vAlign w:val="center"/>
          </w:tcPr>
          <w:p w14:paraId="2A1DFA00" w14:textId="77777777" w:rsidR="00925EAF" w:rsidRPr="00925EAF" w:rsidRDefault="00925EAF" w:rsidP="00925EAF">
            <w:pPr>
              <w:adjustRightInd w:val="0"/>
              <w:snapToGrid w:val="0"/>
              <w:jc w:val="center"/>
              <w:textAlignment w:val="center"/>
              <w:rPr>
                <w:sz w:val="18"/>
                <w:szCs w:val="18"/>
              </w:rPr>
            </w:pPr>
            <w:r w:rsidRPr="00925EAF">
              <w:rPr>
                <w:sz w:val="18"/>
                <w:szCs w:val="18"/>
              </w:rPr>
              <w:t>/</w:t>
            </w:r>
          </w:p>
        </w:tc>
      </w:tr>
      <w:tr w:rsidR="00925EAF" w:rsidRPr="00925EAF" w14:paraId="145B49DA" w14:textId="77777777" w:rsidTr="00925EAF">
        <w:trPr>
          <w:trHeight w:val="284"/>
          <w:jc w:val="center"/>
        </w:trPr>
        <w:tc>
          <w:tcPr>
            <w:tcW w:w="361" w:type="pct"/>
            <w:vMerge/>
            <w:vAlign w:val="center"/>
          </w:tcPr>
          <w:p w14:paraId="0CE4AE6A" w14:textId="77777777" w:rsidR="00925EAF" w:rsidRPr="00925EAF" w:rsidRDefault="00925EAF" w:rsidP="00925EAF">
            <w:pPr>
              <w:widowControl/>
              <w:adjustRightInd w:val="0"/>
              <w:snapToGrid w:val="0"/>
              <w:jc w:val="center"/>
              <w:rPr>
                <w:sz w:val="18"/>
                <w:szCs w:val="18"/>
              </w:rPr>
            </w:pPr>
          </w:p>
        </w:tc>
        <w:tc>
          <w:tcPr>
            <w:tcW w:w="3508" w:type="pct"/>
            <w:gridSpan w:val="6"/>
            <w:vAlign w:val="center"/>
          </w:tcPr>
          <w:p w14:paraId="3C03D580" w14:textId="77777777" w:rsidR="00925EAF" w:rsidRPr="00925EAF" w:rsidRDefault="00925EAF" w:rsidP="00925EAF">
            <w:pPr>
              <w:adjustRightInd w:val="0"/>
              <w:snapToGrid w:val="0"/>
              <w:jc w:val="center"/>
              <w:textAlignment w:val="center"/>
              <w:rPr>
                <w:sz w:val="18"/>
                <w:szCs w:val="18"/>
              </w:rPr>
            </w:pPr>
            <w:r w:rsidRPr="00925EAF">
              <w:rPr>
                <w:sz w:val="18"/>
                <w:szCs w:val="18"/>
              </w:rPr>
              <w:t>地表水环境敏感程度</w:t>
            </w:r>
            <w:r w:rsidRPr="00925EAF">
              <w:rPr>
                <w:sz w:val="18"/>
                <w:szCs w:val="18"/>
              </w:rPr>
              <w:t>E</w:t>
            </w:r>
            <w:r w:rsidRPr="00925EAF">
              <w:rPr>
                <w:sz w:val="18"/>
                <w:szCs w:val="18"/>
              </w:rPr>
              <w:t>值</w:t>
            </w:r>
          </w:p>
        </w:tc>
        <w:tc>
          <w:tcPr>
            <w:tcW w:w="1131" w:type="pct"/>
            <w:gridSpan w:val="2"/>
            <w:vAlign w:val="center"/>
          </w:tcPr>
          <w:p w14:paraId="7A2263CB" w14:textId="77777777" w:rsidR="00925EAF" w:rsidRPr="00925EAF" w:rsidRDefault="00925EAF" w:rsidP="00925EAF">
            <w:pPr>
              <w:adjustRightInd w:val="0"/>
              <w:snapToGrid w:val="0"/>
              <w:jc w:val="center"/>
              <w:textAlignment w:val="center"/>
              <w:rPr>
                <w:sz w:val="18"/>
                <w:szCs w:val="18"/>
              </w:rPr>
            </w:pPr>
            <w:r w:rsidRPr="00925EAF">
              <w:rPr>
                <w:b/>
                <w:sz w:val="18"/>
                <w:szCs w:val="18"/>
              </w:rPr>
              <w:t>E3</w:t>
            </w:r>
          </w:p>
        </w:tc>
      </w:tr>
      <w:tr w:rsidR="00925EAF" w:rsidRPr="00925EAF" w14:paraId="653CAE4E" w14:textId="77777777" w:rsidTr="00925EAF">
        <w:trPr>
          <w:trHeight w:val="284"/>
          <w:jc w:val="center"/>
        </w:trPr>
        <w:tc>
          <w:tcPr>
            <w:tcW w:w="361" w:type="pct"/>
            <w:vMerge/>
            <w:vAlign w:val="center"/>
          </w:tcPr>
          <w:p w14:paraId="0D2CE147" w14:textId="77777777" w:rsidR="00925EAF" w:rsidRPr="00925EAF" w:rsidRDefault="00925EAF" w:rsidP="00925EAF">
            <w:pPr>
              <w:widowControl/>
              <w:adjustRightInd w:val="0"/>
              <w:snapToGrid w:val="0"/>
              <w:jc w:val="center"/>
              <w:rPr>
                <w:sz w:val="18"/>
                <w:szCs w:val="18"/>
              </w:rPr>
            </w:pPr>
          </w:p>
        </w:tc>
        <w:tc>
          <w:tcPr>
            <w:tcW w:w="4639" w:type="pct"/>
            <w:gridSpan w:val="8"/>
            <w:vAlign w:val="center"/>
          </w:tcPr>
          <w:p w14:paraId="0DCB134C" w14:textId="1629ADDE" w:rsidR="00925EAF" w:rsidRPr="00925EAF" w:rsidRDefault="00925EAF" w:rsidP="00925EAF">
            <w:pPr>
              <w:adjustRightInd w:val="0"/>
              <w:snapToGrid w:val="0"/>
              <w:jc w:val="left"/>
              <w:textAlignment w:val="center"/>
              <w:rPr>
                <w:sz w:val="18"/>
                <w:szCs w:val="18"/>
              </w:rPr>
            </w:pPr>
            <w:r w:rsidRPr="00925EAF">
              <w:rPr>
                <w:sz w:val="18"/>
                <w:szCs w:val="18"/>
              </w:rPr>
              <w:t>（</w:t>
            </w:r>
            <w:r w:rsidRPr="00925EAF">
              <w:rPr>
                <w:sz w:val="18"/>
                <w:szCs w:val="18"/>
              </w:rPr>
              <w:t>1</w:t>
            </w:r>
            <w:r w:rsidRPr="00925EAF">
              <w:rPr>
                <w:sz w:val="18"/>
                <w:szCs w:val="18"/>
              </w:rPr>
              <w:t>）</w:t>
            </w:r>
            <w:r w:rsidR="00136955">
              <w:rPr>
                <w:rFonts w:hint="eastAsia"/>
                <w:sz w:val="18"/>
                <w:szCs w:val="18"/>
              </w:rPr>
              <w:t>本</w:t>
            </w:r>
            <w:r w:rsidRPr="00925EAF">
              <w:rPr>
                <w:sz w:val="18"/>
                <w:szCs w:val="18"/>
              </w:rPr>
              <w:t>项目</w:t>
            </w:r>
            <w:r w:rsidR="00136955">
              <w:rPr>
                <w:rFonts w:hint="eastAsia"/>
                <w:sz w:val="18"/>
                <w:szCs w:val="18"/>
              </w:rPr>
              <w:t>淋溶水</w:t>
            </w:r>
            <w:r w:rsidRPr="00925EAF">
              <w:rPr>
                <w:sz w:val="18"/>
                <w:szCs w:val="18"/>
              </w:rPr>
              <w:t>经厂内渗滤液处理站处理后回用于生产，本项目设置</w:t>
            </w:r>
            <w:r w:rsidRPr="00925EAF">
              <w:rPr>
                <w:sz w:val="18"/>
                <w:szCs w:val="18"/>
              </w:rPr>
              <w:t>1</w:t>
            </w:r>
            <w:r w:rsidRPr="00925EAF">
              <w:rPr>
                <w:sz w:val="18"/>
                <w:szCs w:val="18"/>
              </w:rPr>
              <w:t>座</w:t>
            </w:r>
            <w:r w:rsidRPr="00925EAF">
              <w:rPr>
                <w:sz w:val="18"/>
                <w:szCs w:val="18"/>
              </w:rPr>
              <w:t>576m</w:t>
            </w:r>
            <w:r w:rsidRPr="00925EAF">
              <w:rPr>
                <w:sz w:val="18"/>
                <w:szCs w:val="18"/>
                <w:vertAlign w:val="superscript"/>
              </w:rPr>
              <w:t>3</w:t>
            </w:r>
            <w:r w:rsidRPr="00925EAF">
              <w:rPr>
                <w:sz w:val="18"/>
                <w:szCs w:val="18"/>
              </w:rPr>
              <w:t>全厂事故池，事故废水全部进入事故池。</w:t>
            </w:r>
          </w:p>
          <w:p w14:paraId="42B00E6B" w14:textId="3990D7C0" w:rsidR="00925EAF" w:rsidRPr="00925EAF" w:rsidRDefault="00925EAF" w:rsidP="00925EAF">
            <w:pPr>
              <w:adjustRightInd w:val="0"/>
              <w:snapToGrid w:val="0"/>
              <w:jc w:val="left"/>
              <w:textAlignment w:val="center"/>
              <w:rPr>
                <w:sz w:val="18"/>
                <w:szCs w:val="18"/>
              </w:rPr>
            </w:pPr>
            <w:r w:rsidRPr="00925EAF">
              <w:rPr>
                <w:sz w:val="18"/>
                <w:szCs w:val="18"/>
              </w:rPr>
              <w:t>（</w:t>
            </w:r>
            <w:r w:rsidRPr="00925EAF">
              <w:rPr>
                <w:sz w:val="18"/>
                <w:szCs w:val="18"/>
              </w:rPr>
              <w:t>2</w:t>
            </w:r>
            <w:r w:rsidRPr="00925EAF">
              <w:rPr>
                <w:sz w:val="18"/>
                <w:szCs w:val="18"/>
              </w:rPr>
              <w:t>）本项目若</w:t>
            </w:r>
            <w:r w:rsidR="00136955">
              <w:rPr>
                <w:rFonts w:hint="eastAsia"/>
                <w:sz w:val="18"/>
                <w:szCs w:val="18"/>
              </w:rPr>
              <w:t>废水</w:t>
            </w:r>
            <w:r w:rsidRPr="00925EAF">
              <w:rPr>
                <w:sz w:val="18"/>
                <w:szCs w:val="18"/>
              </w:rPr>
              <w:t>泄漏事故时</w:t>
            </w:r>
            <w:r w:rsidR="00136955">
              <w:rPr>
                <w:rFonts w:hint="eastAsia"/>
                <w:sz w:val="18"/>
                <w:szCs w:val="18"/>
              </w:rPr>
              <w:t>废水</w:t>
            </w:r>
            <w:r w:rsidRPr="00925EAF">
              <w:rPr>
                <w:sz w:val="18"/>
                <w:szCs w:val="18"/>
              </w:rPr>
              <w:t>泄漏到雨水管网，由雨水管网泄漏到外水体。</w:t>
            </w:r>
          </w:p>
          <w:p w14:paraId="77260778" w14:textId="77777777" w:rsidR="00925EAF" w:rsidRPr="00925EAF" w:rsidRDefault="00925EAF" w:rsidP="00925EAF">
            <w:pPr>
              <w:adjustRightInd w:val="0"/>
              <w:snapToGrid w:val="0"/>
              <w:jc w:val="left"/>
              <w:textAlignment w:val="center"/>
              <w:rPr>
                <w:sz w:val="18"/>
                <w:szCs w:val="18"/>
              </w:rPr>
            </w:pPr>
            <w:r w:rsidRPr="00925EAF">
              <w:rPr>
                <w:sz w:val="18"/>
                <w:szCs w:val="18"/>
              </w:rPr>
              <w:t>本项目雨水经</w:t>
            </w:r>
            <w:r w:rsidRPr="00925EAF">
              <w:rPr>
                <w:snapToGrid w:val="0"/>
                <w:sz w:val="18"/>
                <w:szCs w:val="18"/>
              </w:rPr>
              <w:t>中央排干</w:t>
            </w:r>
            <w:r w:rsidRPr="00925EAF">
              <w:rPr>
                <w:sz w:val="18"/>
                <w:szCs w:val="18"/>
              </w:rPr>
              <w:t>约</w:t>
            </w:r>
            <w:r w:rsidRPr="00925EAF">
              <w:rPr>
                <w:sz w:val="18"/>
                <w:szCs w:val="18"/>
              </w:rPr>
              <w:t>1.8km</w:t>
            </w:r>
            <w:r w:rsidRPr="00925EAF">
              <w:rPr>
                <w:sz w:val="18"/>
                <w:szCs w:val="18"/>
              </w:rPr>
              <w:t>进入三胜屯西泡，南行约</w:t>
            </w:r>
            <w:r w:rsidRPr="00925EAF">
              <w:rPr>
                <w:sz w:val="18"/>
                <w:szCs w:val="18"/>
              </w:rPr>
              <w:t>12km</w:t>
            </w:r>
            <w:r w:rsidRPr="00925EAF">
              <w:rPr>
                <w:sz w:val="18"/>
                <w:szCs w:val="18"/>
              </w:rPr>
              <w:t>汇入中内泡，</w:t>
            </w:r>
            <w:r w:rsidRPr="00925EAF">
              <w:rPr>
                <w:snapToGrid w:val="0"/>
                <w:sz w:val="18"/>
                <w:szCs w:val="18"/>
              </w:rPr>
              <w:t>中央排干、</w:t>
            </w:r>
            <w:r w:rsidRPr="00925EAF">
              <w:rPr>
                <w:sz w:val="18"/>
                <w:szCs w:val="18"/>
              </w:rPr>
              <w:t>三胜屯西泡及中内泡均无地表水环境质量标准要求，因此本项目环境风险地表水功能敏感性为低敏感</w:t>
            </w:r>
            <w:r w:rsidRPr="00925EAF">
              <w:rPr>
                <w:sz w:val="18"/>
                <w:szCs w:val="18"/>
              </w:rPr>
              <w:t>F3</w:t>
            </w:r>
            <w:r w:rsidRPr="00925EAF">
              <w:rPr>
                <w:sz w:val="18"/>
                <w:szCs w:val="18"/>
              </w:rPr>
              <w:t>。</w:t>
            </w:r>
          </w:p>
          <w:p w14:paraId="08F97651" w14:textId="77777777" w:rsidR="00925EAF" w:rsidRPr="00925EAF" w:rsidRDefault="00925EAF" w:rsidP="00925EAF">
            <w:pPr>
              <w:adjustRightInd w:val="0"/>
              <w:snapToGrid w:val="0"/>
              <w:jc w:val="left"/>
              <w:textAlignment w:val="center"/>
              <w:rPr>
                <w:b/>
                <w:sz w:val="18"/>
                <w:szCs w:val="18"/>
              </w:rPr>
            </w:pPr>
            <w:r w:rsidRPr="00925EAF">
              <w:rPr>
                <w:sz w:val="18"/>
                <w:szCs w:val="18"/>
              </w:rPr>
              <w:t>（</w:t>
            </w:r>
            <w:r w:rsidRPr="00925EAF">
              <w:rPr>
                <w:sz w:val="18"/>
                <w:szCs w:val="18"/>
              </w:rPr>
              <w:t>3</w:t>
            </w:r>
            <w:r w:rsidRPr="00925EAF">
              <w:rPr>
                <w:sz w:val="18"/>
                <w:szCs w:val="18"/>
              </w:rPr>
              <w:t>）发生事故时，危险物质泄漏到内陆水体的排放点下游（顺水）流向</w:t>
            </w:r>
            <w:r w:rsidRPr="00925EAF">
              <w:rPr>
                <w:sz w:val="18"/>
                <w:szCs w:val="18"/>
              </w:rPr>
              <w:t>10</w:t>
            </w:r>
            <w:r w:rsidRPr="00925EAF">
              <w:rPr>
                <w:sz w:val="18"/>
                <w:szCs w:val="18"/>
              </w:rPr>
              <w:t>公里范围内无</w:t>
            </w:r>
            <w:r w:rsidRPr="00925EAF">
              <w:rPr>
                <w:sz w:val="18"/>
                <w:szCs w:val="18"/>
              </w:rPr>
              <w:t>HJ169-2018</w:t>
            </w:r>
            <w:r w:rsidRPr="00925EAF">
              <w:rPr>
                <w:sz w:val="18"/>
                <w:szCs w:val="18"/>
              </w:rPr>
              <w:t>附录</w:t>
            </w:r>
            <w:r w:rsidRPr="00925EAF">
              <w:rPr>
                <w:sz w:val="18"/>
                <w:szCs w:val="18"/>
              </w:rPr>
              <w:t xml:space="preserve"> D </w:t>
            </w:r>
            <w:r w:rsidRPr="00925EAF">
              <w:rPr>
                <w:sz w:val="18"/>
                <w:szCs w:val="18"/>
              </w:rPr>
              <w:t>表</w:t>
            </w:r>
            <w:r w:rsidRPr="00925EAF">
              <w:rPr>
                <w:sz w:val="18"/>
                <w:szCs w:val="18"/>
              </w:rPr>
              <w:t xml:space="preserve"> D.4 </w:t>
            </w:r>
            <w:r w:rsidRPr="00925EAF">
              <w:rPr>
                <w:sz w:val="18"/>
                <w:szCs w:val="18"/>
              </w:rPr>
              <w:t>中</w:t>
            </w:r>
            <w:r w:rsidRPr="00925EAF">
              <w:rPr>
                <w:sz w:val="18"/>
                <w:szCs w:val="18"/>
              </w:rPr>
              <w:t xml:space="preserve"> S1 </w:t>
            </w:r>
            <w:r w:rsidRPr="00925EAF">
              <w:rPr>
                <w:sz w:val="18"/>
                <w:szCs w:val="18"/>
              </w:rPr>
              <w:t>和</w:t>
            </w:r>
            <w:r w:rsidRPr="00925EAF">
              <w:rPr>
                <w:sz w:val="18"/>
                <w:szCs w:val="18"/>
              </w:rPr>
              <w:t xml:space="preserve"> S2 </w:t>
            </w:r>
            <w:r w:rsidRPr="00925EAF">
              <w:rPr>
                <w:sz w:val="18"/>
                <w:szCs w:val="18"/>
              </w:rPr>
              <w:t>所列环境敏感目标。所以，本项目环境风险地表水环境敏感目标分级为</w:t>
            </w:r>
            <w:r w:rsidRPr="00925EAF">
              <w:rPr>
                <w:sz w:val="18"/>
                <w:szCs w:val="18"/>
              </w:rPr>
              <w:t>S3</w:t>
            </w:r>
            <w:r w:rsidRPr="00925EAF">
              <w:rPr>
                <w:sz w:val="18"/>
                <w:szCs w:val="18"/>
              </w:rPr>
              <w:t>。</w:t>
            </w:r>
          </w:p>
        </w:tc>
      </w:tr>
      <w:tr w:rsidR="00925EAF" w:rsidRPr="00925EAF" w14:paraId="12C22A0C" w14:textId="77777777" w:rsidTr="00925EAF">
        <w:trPr>
          <w:trHeight w:val="284"/>
          <w:jc w:val="center"/>
        </w:trPr>
        <w:tc>
          <w:tcPr>
            <w:tcW w:w="361" w:type="pct"/>
            <w:vMerge w:val="restart"/>
            <w:vAlign w:val="center"/>
          </w:tcPr>
          <w:p w14:paraId="63F7DEF8" w14:textId="77777777" w:rsidR="00925EAF" w:rsidRPr="00925EAF" w:rsidRDefault="00925EAF" w:rsidP="00925EAF">
            <w:pPr>
              <w:adjustRightInd w:val="0"/>
              <w:snapToGrid w:val="0"/>
              <w:jc w:val="center"/>
              <w:textAlignment w:val="center"/>
              <w:rPr>
                <w:sz w:val="18"/>
                <w:szCs w:val="18"/>
              </w:rPr>
            </w:pPr>
            <w:r w:rsidRPr="00925EAF">
              <w:rPr>
                <w:sz w:val="18"/>
                <w:szCs w:val="18"/>
              </w:rPr>
              <w:t>地</w:t>
            </w:r>
          </w:p>
          <w:p w14:paraId="3731BADE" w14:textId="77777777" w:rsidR="00925EAF" w:rsidRPr="00925EAF" w:rsidRDefault="00925EAF" w:rsidP="00925EAF">
            <w:pPr>
              <w:adjustRightInd w:val="0"/>
              <w:snapToGrid w:val="0"/>
              <w:jc w:val="center"/>
              <w:textAlignment w:val="center"/>
              <w:rPr>
                <w:sz w:val="18"/>
                <w:szCs w:val="18"/>
              </w:rPr>
            </w:pPr>
            <w:r w:rsidRPr="00925EAF">
              <w:rPr>
                <w:sz w:val="18"/>
                <w:szCs w:val="18"/>
              </w:rPr>
              <w:t>下</w:t>
            </w:r>
          </w:p>
          <w:p w14:paraId="09DAAA46" w14:textId="77777777" w:rsidR="00925EAF" w:rsidRPr="00925EAF" w:rsidRDefault="00925EAF" w:rsidP="00925EAF">
            <w:pPr>
              <w:adjustRightInd w:val="0"/>
              <w:snapToGrid w:val="0"/>
              <w:jc w:val="center"/>
              <w:textAlignment w:val="center"/>
              <w:rPr>
                <w:sz w:val="18"/>
                <w:szCs w:val="18"/>
              </w:rPr>
            </w:pPr>
            <w:r w:rsidRPr="00925EAF">
              <w:rPr>
                <w:sz w:val="18"/>
                <w:szCs w:val="18"/>
              </w:rPr>
              <w:t>水</w:t>
            </w:r>
          </w:p>
        </w:tc>
        <w:tc>
          <w:tcPr>
            <w:tcW w:w="350" w:type="pct"/>
            <w:vAlign w:val="center"/>
          </w:tcPr>
          <w:p w14:paraId="24C2E7D1" w14:textId="77777777" w:rsidR="00925EAF" w:rsidRPr="00925EAF" w:rsidRDefault="00925EAF" w:rsidP="00925EAF">
            <w:pPr>
              <w:adjustRightInd w:val="0"/>
              <w:snapToGrid w:val="0"/>
              <w:jc w:val="center"/>
              <w:textAlignment w:val="center"/>
              <w:rPr>
                <w:sz w:val="18"/>
                <w:szCs w:val="18"/>
              </w:rPr>
            </w:pPr>
            <w:r w:rsidRPr="00925EAF">
              <w:rPr>
                <w:sz w:val="18"/>
                <w:szCs w:val="18"/>
              </w:rPr>
              <w:t>序号</w:t>
            </w:r>
          </w:p>
        </w:tc>
        <w:tc>
          <w:tcPr>
            <w:tcW w:w="968" w:type="pct"/>
            <w:vAlign w:val="center"/>
          </w:tcPr>
          <w:p w14:paraId="64441317" w14:textId="77777777" w:rsidR="00925EAF" w:rsidRPr="00925EAF" w:rsidRDefault="00925EAF" w:rsidP="00925EAF">
            <w:pPr>
              <w:adjustRightInd w:val="0"/>
              <w:snapToGrid w:val="0"/>
              <w:jc w:val="center"/>
              <w:textAlignment w:val="center"/>
              <w:rPr>
                <w:sz w:val="18"/>
                <w:szCs w:val="18"/>
              </w:rPr>
            </w:pPr>
            <w:r w:rsidRPr="00925EAF">
              <w:rPr>
                <w:sz w:val="18"/>
                <w:szCs w:val="18"/>
              </w:rPr>
              <w:t>环境敏感区名称</w:t>
            </w:r>
          </w:p>
        </w:tc>
        <w:tc>
          <w:tcPr>
            <w:tcW w:w="751" w:type="pct"/>
            <w:vAlign w:val="center"/>
          </w:tcPr>
          <w:p w14:paraId="229D5537" w14:textId="77777777" w:rsidR="00925EAF" w:rsidRPr="00925EAF" w:rsidRDefault="00925EAF" w:rsidP="00925EAF">
            <w:pPr>
              <w:adjustRightInd w:val="0"/>
              <w:snapToGrid w:val="0"/>
              <w:jc w:val="center"/>
              <w:textAlignment w:val="center"/>
              <w:rPr>
                <w:sz w:val="18"/>
                <w:szCs w:val="18"/>
              </w:rPr>
            </w:pPr>
            <w:r w:rsidRPr="00925EAF">
              <w:rPr>
                <w:sz w:val="18"/>
                <w:szCs w:val="18"/>
              </w:rPr>
              <w:t>环境敏感特性</w:t>
            </w:r>
          </w:p>
        </w:tc>
        <w:tc>
          <w:tcPr>
            <w:tcW w:w="619" w:type="pct"/>
            <w:gridSpan w:val="2"/>
            <w:vAlign w:val="center"/>
          </w:tcPr>
          <w:p w14:paraId="08DADC20" w14:textId="77777777" w:rsidR="00925EAF" w:rsidRPr="00925EAF" w:rsidRDefault="00925EAF" w:rsidP="00925EAF">
            <w:pPr>
              <w:adjustRightInd w:val="0"/>
              <w:snapToGrid w:val="0"/>
              <w:jc w:val="center"/>
              <w:textAlignment w:val="center"/>
              <w:rPr>
                <w:sz w:val="18"/>
                <w:szCs w:val="18"/>
              </w:rPr>
            </w:pPr>
            <w:r w:rsidRPr="00925EAF">
              <w:rPr>
                <w:sz w:val="18"/>
                <w:szCs w:val="18"/>
              </w:rPr>
              <w:t>水质目标</w:t>
            </w:r>
          </w:p>
        </w:tc>
        <w:tc>
          <w:tcPr>
            <w:tcW w:w="942" w:type="pct"/>
            <w:gridSpan w:val="2"/>
            <w:vAlign w:val="center"/>
          </w:tcPr>
          <w:p w14:paraId="4F3B737E" w14:textId="77777777" w:rsidR="00925EAF" w:rsidRPr="00925EAF" w:rsidRDefault="00925EAF" w:rsidP="00925EAF">
            <w:pPr>
              <w:adjustRightInd w:val="0"/>
              <w:snapToGrid w:val="0"/>
              <w:jc w:val="center"/>
              <w:textAlignment w:val="center"/>
              <w:rPr>
                <w:sz w:val="18"/>
                <w:szCs w:val="18"/>
              </w:rPr>
            </w:pPr>
            <w:r w:rsidRPr="00925EAF">
              <w:rPr>
                <w:sz w:val="18"/>
                <w:szCs w:val="18"/>
              </w:rPr>
              <w:t>包气带防污性能</w:t>
            </w:r>
          </w:p>
        </w:tc>
        <w:tc>
          <w:tcPr>
            <w:tcW w:w="1009" w:type="pct"/>
            <w:vAlign w:val="center"/>
          </w:tcPr>
          <w:p w14:paraId="36CA87A2" w14:textId="77777777" w:rsidR="00925EAF" w:rsidRPr="00925EAF" w:rsidRDefault="00925EAF" w:rsidP="00925EAF">
            <w:pPr>
              <w:adjustRightInd w:val="0"/>
              <w:snapToGrid w:val="0"/>
              <w:jc w:val="center"/>
              <w:textAlignment w:val="center"/>
              <w:rPr>
                <w:sz w:val="18"/>
                <w:szCs w:val="18"/>
              </w:rPr>
            </w:pPr>
            <w:r w:rsidRPr="00925EAF">
              <w:rPr>
                <w:sz w:val="18"/>
                <w:szCs w:val="18"/>
              </w:rPr>
              <w:t>与下游厂界距离</w:t>
            </w:r>
            <w:r w:rsidRPr="00925EAF">
              <w:rPr>
                <w:sz w:val="18"/>
                <w:szCs w:val="18"/>
              </w:rPr>
              <w:t>/m</w:t>
            </w:r>
          </w:p>
        </w:tc>
      </w:tr>
      <w:tr w:rsidR="00925EAF" w:rsidRPr="00925EAF" w14:paraId="2720D622" w14:textId="77777777" w:rsidTr="00925EAF">
        <w:trPr>
          <w:trHeight w:val="284"/>
          <w:jc w:val="center"/>
        </w:trPr>
        <w:tc>
          <w:tcPr>
            <w:tcW w:w="361" w:type="pct"/>
            <w:vMerge/>
            <w:vAlign w:val="center"/>
          </w:tcPr>
          <w:p w14:paraId="3DD3B9D1" w14:textId="77777777" w:rsidR="00925EAF" w:rsidRPr="00925EAF" w:rsidRDefault="00925EAF" w:rsidP="00925EAF">
            <w:pPr>
              <w:adjustRightInd w:val="0"/>
              <w:snapToGrid w:val="0"/>
              <w:jc w:val="center"/>
              <w:textAlignment w:val="center"/>
              <w:rPr>
                <w:sz w:val="18"/>
                <w:szCs w:val="18"/>
              </w:rPr>
            </w:pPr>
          </w:p>
        </w:tc>
        <w:tc>
          <w:tcPr>
            <w:tcW w:w="350" w:type="pct"/>
            <w:vAlign w:val="center"/>
          </w:tcPr>
          <w:p w14:paraId="7E8C6E40" w14:textId="77777777" w:rsidR="00925EAF" w:rsidRPr="00925EAF" w:rsidRDefault="00925EAF" w:rsidP="00925EAF">
            <w:pPr>
              <w:adjustRightInd w:val="0"/>
              <w:snapToGrid w:val="0"/>
              <w:jc w:val="center"/>
              <w:textAlignment w:val="center"/>
              <w:rPr>
                <w:sz w:val="18"/>
                <w:szCs w:val="18"/>
              </w:rPr>
            </w:pPr>
            <w:r w:rsidRPr="00925EAF">
              <w:rPr>
                <w:sz w:val="18"/>
                <w:szCs w:val="18"/>
              </w:rPr>
              <w:t>1</w:t>
            </w:r>
          </w:p>
        </w:tc>
        <w:tc>
          <w:tcPr>
            <w:tcW w:w="968" w:type="pct"/>
            <w:vAlign w:val="center"/>
          </w:tcPr>
          <w:p w14:paraId="6C6E7998" w14:textId="77777777" w:rsidR="00925EAF" w:rsidRPr="00925EAF" w:rsidRDefault="00925EAF" w:rsidP="00925EAF">
            <w:pPr>
              <w:adjustRightInd w:val="0"/>
              <w:snapToGrid w:val="0"/>
              <w:jc w:val="center"/>
              <w:textAlignment w:val="center"/>
              <w:rPr>
                <w:sz w:val="18"/>
                <w:szCs w:val="18"/>
              </w:rPr>
            </w:pPr>
            <w:r w:rsidRPr="00925EAF">
              <w:rPr>
                <w:sz w:val="18"/>
                <w:szCs w:val="18"/>
              </w:rPr>
              <w:t>前进村</w:t>
            </w:r>
          </w:p>
        </w:tc>
        <w:tc>
          <w:tcPr>
            <w:tcW w:w="751" w:type="pct"/>
            <w:vAlign w:val="center"/>
          </w:tcPr>
          <w:p w14:paraId="653BAF3B" w14:textId="77777777" w:rsidR="00925EAF" w:rsidRPr="00925EAF" w:rsidRDefault="00925EAF" w:rsidP="00925EAF">
            <w:pPr>
              <w:adjustRightInd w:val="0"/>
              <w:snapToGrid w:val="0"/>
              <w:jc w:val="center"/>
              <w:textAlignment w:val="center"/>
              <w:rPr>
                <w:sz w:val="18"/>
                <w:szCs w:val="18"/>
              </w:rPr>
            </w:pPr>
            <w:r w:rsidRPr="00925EAF">
              <w:rPr>
                <w:sz w:val="18"/>
                <w:szCs w:val="18"/>
              </w:rPr>
              <w:t>分散式饮用水水源（</w:t>
            </w:r>
            <w:r w:rsidRPr="00925EAF">
              <w:rPr>
                <w:sz w:val="18"/>
                <w:szCs w:val="18"/>
              </w:rPr>
              <w:t>G2</w:t>
            </w:r>
            <w:r w:rsidRPr="00925EAF">
              <w:rPr>
                <w:sz w:val="18"/>
                <w:szCs w:val="18"/>
              </w:rPr>
              <w:t>）</w:t>
            </w:r>
          </w:p>
        </w:tc>
        <w:tc>
          <w:tcPr>
            <w:tcW w:w="619" w:type="pct"/>
            <w:gridSpan w:val="2"/>
            <w:vAlign w:val="center"/>
          </w:tcPr>
          <w:p w14:paraId="3DBE63BE" w14:textId="77777777" w:rsidR="00925EAF" w:rsidRPr="00925EAF" w:rsidRDefault="00925EAF" w:rsidP="00925EAF">
            <w:pPr>
              <w:adjustRightInd w:val="0"/>
              <w:snapToGrid w:val="0"/>
              <w:jc w:val="center"/>
              <w:textAlignment w:val="center"/>
              <w:rPr>
                <w:sz w:val="18"/>
                <w:szCs w:val="18"/>
              </w:rPr>
            </w:pPr>
            <w:r w:rsidRPr="00925EAF">
              <w:rPr>
                <w:sz w:val="18"/>
                <w:szCs w:val="18"/>
              </w:rPr>
              <w:t>Ⅲ</w:t>
            </w:r>
          </w:p>
        </w:tc>
        <w:tc>
          <w:tcPr>
            <w:tcW w:w="942" w:type="pct"/>
            <w:gridSpan w:val="2"/>
            <w:vAlign w:val="center"/>
          </w:tcPr>
          <w:p w14:paraId="4C054CC9" w14:textId="77777777" w:rsidR="00925EAF" w:rsidRPr="00925EAF" w:rsidRDefault="00925EAF" w:rsidP="00925EAF">
            <w:pPr>
              <w:adjustRightInd w:val="0"/>
              <w:snapToGrid w:val="0"/>
              <w:jc w:val="center"/>
              <w:textAlignment w:val="center"/>
              <w:rPr>
                <w:sz w:val="18"/>
                <w:szCs w:val="18"/>
              </w:rPr>
            </w:pPr>
            <w:r w:rsidRPr="00925EAF">
              <w:rPr>
                <w:sz w:val="18"/>
                <w:szCs w:val="18"/>
              </w:rPr>
              <w:t>D1</w:t>
            </w:r>
          </w:p>
        </w:tc>
        <w:tc>
          <w:tcPr>
            <w:tcW w:w="1009" w:type="pct"/>
            <w:vAlign w:val="center"/>
          </w:tcPr>
          <w:p w14:paraId="025F8FEB" w14:textId="77777777" w:rsidR="00925EAF" w:rsidRPr="00925EAF" w:rsidRDefault="00925EAF" w:rsidP="00925EAF">
            <w:pPr>
              <w:adjustRightInd w:val="0"/>
              <w:snapToGrid w:val="0"/>
              <w:jc w:val="center"/>
              <w:textAlignment w:val="center"/>
              <w:rPr>
                <w:sz w:val="18"/>
                <w:szCs w:val="18"/>
              </w:rPr>
            </w:pPr>
            <w:r w:rsidRPr="00925EAF">
              <w:rPr>
                <w:sz w:val="18"/>
                <w:szCs w:val="18"/>
              </w:rPr>
              <w:t>2745</w:t>
            </w:r>
          </w:p>
        </w:tc>
      </w:tr>
      <w:tr w:rsidR="00925EAF" w:rsidRPr="00925EAF" w14:paraId="7C2A6C14" w14:textId="77777777" w:rsidTr="00925EAF">
        <w:trPr>
          <w:trHeight w:val="284"/>
          <w:jc w:val="center"/>
        </w:trPr>
        <w:tc>
          <w:tcPr>
            <w:tcW w:w="361" w:type="pct"/>
            <w:vMerge/>
            <w:vAlign w:val="center"/>
          </w:tcPr>
          <w:p w14:paraId="31C38CD4" w14:textId="77777777" w:rsidR="00925EAF" w:rsidRPr="00925EAF" w:rsidRDefault="00925EAF" w:rsidP="00925EAF">
            <w:pPr>
              <w:adjustRightInd w:val="0"/>
              <w:snapToGrid w:val="0"/>
              <w:jc w:val="center"/>
              <w:textAlignment w:val="center"/>
              <w:rPr>
                <w:sz w:val="18"/>
                <w:szCs w:val="18"/>
              </w:rPr>
            </w:pPr>
          </w:p>
        </w:tc>
        <w:tc>
          <w:tcPr>
            <w:tcW w:w="350" w:type="pct"/>
            <w:vAlign w:val="center"/>
          </w:tcPr>
          <w:p w14:paraId="35FE6D85" w14:textId="77777777" w:rsidR="00925EAF" w:rsidRPr="00925EAF" w:rsidRDefault="00925EAF" w:rsidP="00925EAF">
            <w:pPr>
              <w:adjustRightInd w:val="0"/>
              <w:snapToGrid w:val="0"/>
              <w:jc w:val="center"/>
              <w:textAlignment w:val="center"/>
              <w:rPr>
                <w:sz w:val="18"/>
                <w:szCs w:val="18"/>
              </w:rPr>
            </w:pPr>
            <w:r w:rsidRPr="00925EAF">
              <w:rPr>
                <w:sz w:val="18"/>
                <w:szCs w:val="18"/>
              </w:rPr>
              <w:t>2</w:t>
            </w:r>
          </w:p>
        </w:tc>
        <w:tc>
          <w:tcPr>
            <w:tcW w:w="968" w:type="pct"/>
            <w:vAlign w:val="center"/>
          </w:tcPr>
          <w:p w14:paraId="7CBC4C3F" w14:textId="77777777" w:rsidR="00925EAF" w:rsidRPr="00925EAF" w:rsidRDefault="00925EAF" w:rsidP="00925EAF">
            <w:pPr>
              <w:adjustRightInd w:val="0"/>
              <w:snapToGrid w:val="0"/>
              <w:jc w:val="center"/>
              <w:textAlignment w:val="center"/>
              <w:rPr>
                <w:sz w:val="18"/>
                <w:szCs w:val="18"/>
              </w:rPr>
            </w:pPr>
            <w:r w:rsidRPr="00925EAF">
              <w:rPr>
                <w:sz w:val="18"/>
                <w:szCs w:val="18"/>
              </w:rPr>
              <w:t>开荒户</w:t>
            </w:r>
          </w:p>
        </w:tc>
        <w:tc>
          <w:tcPr>
            <w:tcW w:w="751" w:type="pct"/>
            <w:vAlign w:val="center"/>
          </w:tcPr>
          <w:p w14:paraId="5EC61149" w14:textId="77777777" w:rsidR="00925EAF" w:rsidRPr="00925EAF" w:rsidRDefault="00925EAF" w:rsidP="00925EAF">
            <w:pPr>
              <w:adjustRightInd w:val="0"/>
              <w:snapToGrid w:val="0"/>
              <w:jc w:val="center"/>
              <w:textAlignment w:val="center"/>
              <w:rPr>
                <w:sz w:val="18"/>
                <w:szCs w:val="18"/>
              </w:rPr>
            </w:pPr>
            <w:r w:rsidRPr="00925EAF">
              <w:rPr>
                <w:sz w:val="18"/>
                <w:szCs w:val="18"/>
              </w:rPr>
              <w:t>分散式饮用水水源（</w:t>
            </w:r>
            <w:r w:rsidRPr="00925EAF">
              <w:rPr>
                <w:sz w:val="18"/>
                <w:szCs w:val="18"/>
              </w:rPr>
              <w:t>G2</w:t>
            </w:r>
            <w:r w:rsidRPr="00925EAF">
              <w:rPr>
                <w:sz w:val="18"/>
                <w:szCs w:val="18"/>
              </w:rPr>
              <w:t>）</w:t>
            </w:r>
          </w:p>
        </w:tc>
        <w:tc>
          <w:tcPr>
            <w:tcW w:w="619" w:type="pct"/>
            <w:gridSpan w:val="2"/>
            <w:vAlign w:val="center"/>
          </w:tcPr>
          <w:p w14:paraId="6F91F5DB" w14:textId="77777777" w:rsidR="00925EAF" w:rsidRPr="00925EAF" w:rsidRDefault="00925EAF" w:rsidP="00925EAF">
            <w:pPr>
              <w:adjustRightInd w:val="0"/>
              <w:snapToGrid w:val="0"/>
              <w:jc w:val="center"/>
              <w:textAlignment w:val="center"/>
              <w:rPr>
                <w:sz w:val="18"/>
                <w:szCs w:val="18"/>
              </w:rPr>
            </w:pPr>
            <w:r w:rsidRPr="00925EAF">
              <w:rPr>
                <w:sz w:val="18"/>
                <w:szCs w:val="18"/>
              </w:rPr>
              <w:t>Ⅲ</w:t>
            </w:r>
          </w:p>
        </w:tc>
        <w:tc>
          <w:tcPr>
            <w:tcW w:w="942" w:type="pct"/>
            <w:gridSpan w:val="2"/>
            <w:vAlign w:val="center"/>
          </w:tcPr>
          <w:p w14:paraId="4D91D8AE" w14:textId="77777777" w:rsidR="00925EAF" w:rsidRPr="00925EAF" w:rsidRDefault="00925EAF" w:rsidP="00925EAF">
            <w:pPr>
              <w:adjustRightInd w:val="0"/>
              <w:snapToGrid w:val="0"/>
              <w:jc w:val="center"/>
              <w:textAlignment w:val="center"/>
              <w:rPr>
                <w:sz w:val="18"/>
                <w:szCs w:val="18"/>
              </w:rPr>
            </w:pPr>
            <w:r w:rsidRPr="00925EAF">
              <w:rPr>
                <w:sz w:val="18"/>
                <w:szCs w:val="18"/>
              </w:rPr>
              <w:t>D1</w:t>
            </w:r>
          </w:p>
        </w:tc>
        <w:tc>
          <w:tcPr>
            <w:tcW w:w="1009" w:type="pct"/>
            <w:vAlign w:val="center"/>
          </w:tcPr>
          <w:p w14:paraId="6F326A71" w14:textId="77777777" w:rsidR="00925EAF" w:rsidRPr="00925EAF" w:rsidRDefault="00925EAF" w:rsidP="00925EAF">
            <w:pPr>
              <w:adjustRightInd w:val="0"/>
              <w:snapToGrid w:val="0"/>
              <w:jc w:val="center"/>
              <w:textAlignment w:val="center"/>
              <w:rPr>
                <w:sz w:val="18"/>
                <w:szCs w:val="18"/>
              </w:rPr>
            </w:pPr>
            <w:r w:rsidRPr="00925EAF">
              <w:rPr>
                <w:sz w:val="18"/>
                <w:szCs w:val="18"/>
              </w:rPr>
              <w:t>3570</w:t>
            </w:r>
          </w:p>
        </w:tc>
      </w:tr>
      <w:tr w:rsidR="00925EAF" w:rsidRPr="00925EAF" w14:paraId="05F0468A" w14:textId="77777777" w:rsidTr="00925EAF">
        <w:trPr>
          <w:trHeight w:val="284"/>
          <w:jc w:val="center"/>
        </w:trPr>
        <w:tc>
          <w:tcPr>
            <w:tcW w:w="361" w:type="pct"/>
            <w:vMerge/>
            <w:vAlign w:val="center"/>
          </w:tcPr>
          <w:p w14:paraId="0281455D" w14:textId="77777777" w:rsidR="00925EAF" w:rsidRPr="00925EAF" w:rsidRDefault="00925EAF" w:rsidP="00925EAF">
            <w:pPr>
              <w:widowControl/>
              <w:adjustRightInd w:val="0"/>
              <w:snapToGrid w:val="0"/>
              <w:jc w:val="center"/>
              <w:rPr>
                <w:sz w:val="18"/>
                <w:szCs w:val="18"/>
              </w:rPr>
            </w:pPr>
          </w:p>
        </w:tc>
        <w:tc>
          <w:tcPr>
            <w:tcW w:w="350" w:type="pct"/>
            <w:vAlign w:val="center"/>
          </w:tcPr>
          <w:p w14:paraId="344EAB45" w14:textId="77777777" w:rsidR="00925EAF" w:rsidRPr="00925EAF" w:rsidRDefault="00925EAF" w:rsidP="00925EAF">
            <w:pPr>
              <w:adjustRightInd w:val="0"/>
              <w:snapToGrid w:val="0"/>
              <w:jc w:val="center"/>
              <w:textAlignment w:val="center"/>
              <w:rPr>
                <w:sz w:val="18"/>
                <w:szCs w:val="18"/>
              </w:rPr>
            </w:pPr>
            <w:r w:rsidRPr="00925EAF">
              <w:rPr>
                <w:sz w:val="18"/>
                <w:szCs w:val="18"/>
              </w:rPr>
              <w:t>3</w:t>
            </w:r>
          </w:p>
        </w:tc>
        <w:tc>
          <w:tcPr>
            <w:tcW w:w="968" w:type="pct"/>
            <w:vAlign w:val="center"/>
          </w:tcPr>
          <w:p w14:paraId="490D4F88" w14:textId="77777777" w:rsidR="00925EAF" w:rsidRPr="00925EAF" w:rsidRDefault="00925EAF" w:rsidP="00925EAF">
            <w:pPr>
              <w:jc w:val="center"/>
              <w:rPr>
                <w:sz w:val="18"/>
                <w:szCs w:val="18"/>
              </w:rPr>
            </w:pPr>
            <w:r w:rsidRPr="00925EAF">
              <w:rPr>
                <w:sz w:val="18"/>
                <w:szCs w:val="18"/>
              </w:rPr>
              <w:t>红旗二村</w:t>
            </w:r>
          </w:p>
        </w:tc>
        <w:tc>
          <w:tcPr>
            <w:tcW w:w="751" w:type="pct"/>
            <w:vAlign w:val="center"/>
          </w:tcPr>
          <w:p w14:paraId="1EB1009B" w14:textId="77777777" w:rsidR="00925EAF" w:rsidRPr="00925EAF" w:rsidRDefault="00925EAF" w:rsidP="00925EAF">
            <w:pPr>
              <w:jc w:val="center"/>
              <w:rPr>
                <w:sz w:val="18"/>
                <w:szCs w:val="18"/>
              </w:rPr>
            </w:pPr>
            <w:r w:rsidRPr="00925EAF">
              <w:rPr>
                <w:sz w:val="18"/>
                <w:szCs w:val="18"/>
              </w:rPr>
              <w:t>分散式饮用水水源（</w:t>
            </w:r>
            <w:r w:rsidRPr="00925EAF">
              <w:rPr>
                <w:sz w:val="18"/>
                <w:szCs w:val="18"/>
              </w:rPr>
              <w:t>G2</w:t>
            </w:r>
            <w:r w:rsidRPr="00925EAF">
              <w:rPr>
                <w:sz w:val="18"/>
                <w:szCs w:val="18"/>
              </w:rPr>
              <w:t>）</w:t>
            </w:r>
          </w:p>
        </w:tc>
        <w:tc>
          <w:tcPr>
            <w:tcW w:w="619" w:type="pct"/>
            <w:gridSpan w:val="2"/>
            <w:vAlign w:val="center"/>
          </w:tcPr>
          <w:p w14:paraId="0770F8E1" w14:textId="77777777" w:rsidR="00925EAF" w:rsidRPr="00925EAF" w:rsidRDefault="00925EAF" w:rsidP="00925EAF">
            <w:pPr>
              <w:adjustRightInd w:val="0"/>
              <w:snapToGrid w:val="0"/>
              <w:jc w:val="center"/>
              <w:textAlignment w:val="center"/>
              <w:rPr>
                <w:sz w:val="18"/>
                <w:szCs w:val="18"/>
              </w:rPr>
            </w:pPr>
            <w:r w:rsidRPr="00925EAF">
              <w:rPr>
                <w:sz w:val="18"/>
                <w:szCs w:val="18"/>
              </w:rPr>
              <w:t>Ⅲ</w:t>
            </w:r>
          </w:p>
        </w:tc>
        <w:tc>
          <w:tcPr>
            <w:tcW w:w="942" w:type="pct"/>
            <w:gridSpan w:val="2"/>
            <w:vAlign w:val="center"/>
          </w:tcPr>
          <w:p w14:paraId="1408768E" w14:textId="77777777" w:rsidR="00925EAF" w:rsidRPr="00925EAF" w:rsidRDefault="00925EAF" w:rsidP="00925EAF">
            <w:pPr>
              <w:adjustRightInd w:val="0"/>
              <w:snapToGrid w:val="0"/>
              <w:jc w:val="center"/>
              <w:textAlignment w:val="center"/>
              <w:rPr>
                <w:sz w:val="18"/>
                <w:szCs w:val="18"/>
              </w:rPr>
            </w:pPr>
            <w:r w:rsidRPr="00925EAF">
              <w:rPr>
                <w:sz w:val="18"/>
                <w:szCs w:val="18"/>
              </w:rPr>
              <w:t>D1</w:t>
            </w:r>
          </w:p>
        </w:tc>
        <w:tc>
          <w:tcPr>
            <w:tcW w:w="1009" w:type="pct"/>
            <w:vAlign w:val="center"/>
          </w:tcPr>
          <w:p w14:paraId="23B8DC83" w14:textId="77777777" w:rsidR="00925EAF" w:rsidRPr="00925EAF" w:rsidRDefault="00925EAF" w:rsidP="00925EAF">
            <w:pPr>
              <w:adjustRightInd w:val="0"/>
              <w:snapToGrid w:val="0"/>
              <w:jc w:val="center"/>
              <w:textAlignment w:val="center"/>
              <w:rPr>
                <w:sz w:val="18"/>
                <w:szCs w:val="18"/>
              </w:rPr>
            </w:pPr>
            <w:r w:rsidRPr="00925EAF">
              <w:rPr>
                <w:sz w:val="18"/>
                <w:szCs w:val="18"/>
              </w:rPr>
              <w:t>875</w:t>
            </w:r>
          </w:p>
        </w:tc>
      </w:tr>
      <w:tr w:rsidR="00925EAF" w:rsidRPr="00925EAF" w14:paraId="4A2A6E41" w14:textId="77777777" w:rsidTr="00925EAF">
        <w:trPr>
          <w:trHeight w:val="284"/>
          <w:jc w:val="center"/>
        </w:trPr>
        <w:tc>
          <w:tcPr>
            <w:tcW w:w="361" w:type="pct"/>
            <w:vMerge/>
            <w:vAlign w:val="center"/>
          </w:tcPr>
          <w:p w14:paraId="6DCED168" w14:textId="77777777" w:rsidR="00925EAF" w:rsidRPr="00925EAF" w:rsidRDefault="00925EAF" w:rsidP="00925EAF">
            <w:pPr>
              <w:widowControl/>
              <w:adjustRightInd w:val="0"/>
              <w:snapToGrid w:val="0"/>
              <w:jc w:val="center"/>
              <w:rPr>
                <w:sz w:val="18"/>
                <w:szCs w:val="18"/>
              </w:rPr>
            </w:pPr>
          </w:p>
        </w:tc>
        <w:tc>
          <w:tcPr>
            <w:tcW w:w="3630" w:type="pct"/>
            <w:gridSpan w:val="7"/>
            <w:vAlign w:val="center"/>
          </w:tcPr>
          <w:p w14:paraId="3244623E" w14:textId="77777777" w:rsidR="00925EAF" w:rsidRPr="00925EAF" w:rsidRDefault="00925EAF" w:rsidP="00925EAF">
            <w:pPr>
              <w:adjustRightInd w:val="0"/>
              <w:snapToGrid w:val="0"/>
              <w:jc w:val="center"/>
              <w:textAlignment w:val="center"/>
              <w:rPr>
                <w:sz w:val="18"/>
                <w:szCs w:val="18"/>
              </w:rPr>
            </w:pPr>
            <w:r w:rsidRPr="00925EAF">
              <w:rPr>
                <w:sz w:val="18"/>
                <w:szCs w:val="18"/>
              </w:rPr>
              <w:t>地下水环境敏感程度</w:t>
            </w:r>
            <w:r w:rsidRPr="00925EAF">
              <w:rPr>
                <w:sz w:val="18"/>
                <w:szCs w:val="18"/>
              </w:rPr>
              <w:t>E</w:t>
            </w:r>
            <w:r w:rsidRPr="00925EAF">
              <w:rPr>
                <w:sz w:val="18"/>
                <w:szCs w:val="18"/>
              </w:rPr>
              <w:t>值</w:t>
            </w:r>
          </w:p>
        </w:tc>
        <w:tc>
          <w:tcPr>
            <w:tcW w:w="1009" w:type="pct"/>
            <w:vAlign w:val="center"/>
          </w:tcPr>
          <w:p w14:paraId="0479A7E3" w14:textId="77777777" w:rsidR="00925EAF" w:rsidRPr="00925EAF" w:rsidRDefault="00925EAF" w:rsidP="00925EAF">
            <w:pPr>
              <w:adjustRightInd w:val="0"/>
              <w:snapToGrid w:val="0"/>
              <w:jc w:val="center"/>
              <w:textAlignment w:val="center"/>
              <w:rPr>
                <w:b/>
                <w:sz w:val="18"/>
                <w:szCs w:val="18"/>
              </w:rPr>
            </w:pPr>
            <w:r w:rsidRPr="00925EAF">
              <w:rPr>
                <w:b/>
                <w:sz w:val="18"/>
                <w:szCs w:val="18"/>
              </w:rPr>
              <w:t>E1</w:t>
            </w:r>
          </w:p>
        </w:tc>
      </w:tr>
    </w:tbl>
    <w:p w14:paraId="4B5C2BE5" w14:textId="727308E8" w:rsidR="00606029" w:rsidRPr="003845E7" w:rsidRDefault="00EA5B92">
      <w:pPr>
        <w:pStyle w:val="affffff4"/>
      </w:pPr>
      <w:r w:rsidRPr="003845E7">
        <w:t>（</w:t>
      </w:r>
      <w:r w:rsidR="00925EAF" w:rsidRPr="003845E7">
        <w:rPr>
          <w:rFonts w:hint="eastAsia"/>
        </w:rPr>
        <w:t>3</w:t>
      </w:r>
      <w:r w:rsidRPr="003845E7">
        <w:t>）环境风险潜势判断</w:t>
      </w:r>
    </w:p>
    <w:p w14:paraId="2A0CDD4A" w14:textId="77777777" w:rsidR="00606029" w:rsidRPr="003845E7" w:rsidRDefault="00EA5B92">
      <w:pPr>
        <w:pStyle w:val="affffff4"/>
      </w:pPr>
      <w:r w:rsidRPr="003845E7">
        <w:t>根据《建设项目环境风险评价技术导则》（</w:t>
      </w:r>
      <w:r w:rsidRPr="003845E7">
        <w:t>HJ169-2018</w:t>
      </w:r>
      <w:r w:rsidRPr="003845E7">
        <w:t>）环境风险潜势划分，详见下表。</w:t>
      </w:r>
    </w:p>
    <w:p w14:paraId="4A922557" w14:textId="66E56365" w:rsidR="00606029" w:rsidRPr="003845E7" w:rsidRDefault="00EA5B92">
      <w:pPr>
        <w:pStyle w:val="affffff5"/>
      </w:pPr>
      <w:r w:rsidRPr="003845E7">
        <w:t>表</w:t>
      </w:r>
      <w:r w:rsidRPr="003845E7">
        <w:t xml:space="preserve"> 1.6-</w:t>
      </w:r>
      <w:r w:rsidR="00155832">
        <w:rPr>
          <w:rFonts w:hint="eastAsia"/>
        </w:rPr>
        <w:t>17</w:t>
      </w:r>
      <w:r w:rsidRPr="003845E7">
        <w:t xml:space="preserve"> </w:t>
      </w:r>
      <w:r w:rsidRPr="003845E7">
        <w:t>建设项目环境风险潜势划分</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348"/>
        <w:gridCol w:w="1518"/>
        <w:gridCol w:w="1524"/>
        <w:gridCol w:w="1655"/>
        <w:gridCol w:w="1789"/>
      </w:tblGrid>
      <w:tr w:rsidR="00606029" w:rsidRPr="003845E7" w14:paraId="4686AD10" w14:textId="77777777">
        <w:trPr>
          <w:trHeight w:val="340"/>
          <w:jc w:val="center"/>
        </w:trPr>
        <w:tc>
          <w:tcPr>
            <w:tcW w:w="2353" w:type="dxa"/>
            <w:vMerge w:val="restart"/>
            <w:tcBorders>
              <w:tl2br w:val="nil"/>
              <w:tr2bl w:val="nil"/>
            </w:tcBorders>
            <w:vAlign w:val="center"/>
          </w:tcPr>
          <w:p w14:paraId="63AF630E" w14:textId="77777777" w:rsidR="00606029" w:rsidRPr="003845E7" w:rsidRDefault="00EA5B92">
            <w:pPr>
              <w:spacing w:line="280" w:lineRule="exact"/>
              <w:jc w:val="center"/>
            </w:pPr>
            <w:r w:rsidRPr="003845E7">
              <w:t>环境敏感程度（</w:t>
            </w:r>
            <w:r w:rsidRPr="003845E7">
              <w:t>E</w:t>
            </w:r>
            <w:r w:rsidRPr="003845E7">
              <w:t>）</w:t>
            </w:r>
          </w:p>
        </w:tc>
        <w:tc>
          <w:tcPr>
            <w:tcW w:w="6502" w:type="dxa"/>
            <w:gridSpan w:val="4"/>
            <w:tcBorders>
              <w:tl2br w:val="nil"/>
              <w:tr2bl w:val="nil"/>
            </w:tcBorders>
            <w:vAlign w:val="center"/>
          </w:tcPr>
          <w:p w14:paraId="5A77F1DE" w14:textId="77777777" w:rsidR="00606029" w:rsidRPr="003845E7" w:rsidRDefault="00EA5B92">
            <w:pPr>
              <w:spacing w:line="280" w:lineRule="exact"/>
              <w:jc w:val="center"/>
            </w:pPr>
            <w:r w:rsidRPr="003845E7">
              <w:t>危险物质及工艺系统危险性（</w:t>
            </w:r>
            <w:r w:rsidRPr="003845E7">
              <w:t>P</w:t>
            </w:r>
            <w:r w:rsidRPr="003845E7">
              <w:t>）</w:t>
            </w:r>
          </w:p>
        </w:tc>
      </w:tr>
      <w:tr w:rsidR="00606029" w:rsidRPr="003845E7" w14:paraId="46F41AB2" w14:textId="77777777">
        <w:trPr>
          <w:trHeight w:val="340"/>
          <w:jc w:val="center"/>
        </w:trPr>
        <w:tc>
          <w:tcPr>
            <w:tcW w:w="2353" w:type="dxa"/>
            <w:vMerge/>
            <w:tcBorders>
              <w:tl2br w:val="nil"/>
              <w:tr2bl w:val="nil"/>
            </w:tcBorders>
            <w:vAlign w:val="center"/>
          </w:tcPr>
          <w:p w14:paraId="37AA095E" w14:textId="77777777" w:rsidR="00606029" w:rsidRPr="003845E7" w:rsidRDefault="00606029">
            <w:pPr>
              <w:spacing w:line="280" w:lineRule="exact"/>
              <w:jc w:val="center"/>
            </w:pPr>
          </w:p>
        </w:tc>
        <w:tc>
          <w:tcPr>
            <w:tcW w:w="1522" w:type="dxa"/>
            <w:tcBorders>
              <w:tl2br w:val="nil"/>
              <w:tr2bl w:val="nil"/>
            </w:tcBorders>
            <w:vAlign w:val="center"/>
          </w:tcPr>
          <w:p w14:paraId="11362ABA" w14:textId="77777777" w:rsidR="00606029" w:rsidRPr="003845E7" w:rsidRDefault="00EA5B92">
            <w:pPr>
              <w:spacing w:line="280" w:lineRule="exact"/>
              <w:jc w:val="center"/>
            </w:pPr>
            <w:r w:rsidRPr="003845E7">
              <w:t>极高危害（</w:t>
            </w:r>
            <w:r w:rsidRPr="003845E7">
              <w:t>P1</w:t>
            </w:r>
            <w:r w:rsidRPr="003845E7">
              <w:t>）</w:t>
            </w:r>
          </w:p>
        </w:tc>
        <w:tc>
          <w:tcPr>
            <w:tcW w:w="1528" w:type="dxa"/>
            <w:tcBorders>
              <w:tl2br w:val="nil"/>
              <w:tr2bl w:val="nil"/>
            </w:tcBorders>
            <w:vAlign w:val="center"/>
          </w:tcPr>
          <w:p w14:paraId="6611D14C" w14:textId="77777777" w:rsidR="00606029" w:rsidRPr="003845E7" w:rsidRDefault="00EA5B92">
            <w:pPr>
              <w:spacing w:line="280" w:lineRule="exact"/>
              <w:jc w:val="center"/>
            </w:pPr>
            <w:r w:rsidRPr="003845E7">
              <w:t>高度危害（</w:t>
            </w:r>
            <w:r w:rsidRPr="003845E7">
              <w:t>P2</w:t>
            </w:r>
            <w:r w:rsidRPr="003845E7">
              <w:t>）</w:t>
            </w:r>
          </w:p>
        </w:tc>
        <w:tc>
          <w:tcPr>
            <w:tcW w:w="1659" w:type="dxa"/>
            <w:tcBorders>
              <w:tl2br w:val="nil"/>
              <w:tr2bl w:val="nil"/>
            </w:tcBorders>
            <w:vAlign w:val="center"/>
          </w:tcPr>
          <w:p w14:paraId="5497457F" w14:textId="77777777" w:rsidR="00606029" w:rsidRPr="003845E7" w:rsidRDefault="00EA5B92">
            <w:pPr>
              <w:spacing w:line="280" w:lineRule="exact"/>
              <w:jc w:val="center"/>
            </w:pPr>
            <w:r w:rsidRPr="003845E7">
              <w:t>中度危害（</w:t>
            </w:r>
            <w:r w:rsidRPr="003845E7">
              <w:t>P3</w:t>
            </w:r>
            <w:r w:rsidRPr="003845E7">
              <w:t>）</w:t>
            </w:r>
          </w:p>
        </w:tc>
        <w:tc>
          <w:tcPr>
            <w:tcW w:w="1793" w:type="dxa"/>
            <w:tcBorders>
              <w:tl2br w:val="nil"/>
              <w:tr2bl w:val="nil"/>
            </w:tcBorders>
            <w:vAlign w:val="center"/>
          </w:tcPr>
          <w:p w14:paraId="4A5200C3" w14:textId="77777777" w:rsidR="00606029" w:rsidRPr="003845E7" w:rsidRDefault="00EA5B92">
            <w:pPr>
              <w:spacing w:line="280" w:lineRule="exact"/>
              <w:jc w:val="center"/>
            </w:pPr>
            <w:r w:rsidRPr="003845E7">
              <w:t>轻度危害（</w:t>
            </w:r>
            <w:r w:rsidRPr="003845E7">
              <w:t>P4</w:t>
            </w:r>
            <w:r w:rsidRPr="003845E7">
              <w:t>）</w:t>
            </w:r>
          </w:p>
        </w:tc>
      </w:tr>
      <w:tr w:rsidR="00606029" w:rsidRPr="003845E7" w14:paraId="36E88BC5" w14:textId="77777777">
        <w:trPr>
          <w:trHeight w:val="340"/>
          <w:jc w:val="center"/>
        </w:trPr>
        <w:tc>
          <w:tcPr>
            <w:tcW w:w="2353" w:type="dxa"/>
            <w:tcBorders>
              <w:tl2br w:val="nil"/>
              <w:tr2bl w:val="nil"/>
            </w:tcBorders>
            <w:vAlign w:val="center"/>
          </w:tcPr>
          <w:p w14:paraId="1DB1010C" w14:textId="77777777" w:rsidR="00606029" w:rsidRPr="003845E7" w:rsidRDefault="00EA5B92">
            <w:pPr>
              <w:spacing w:line="280" w:lineRule="exact"/>
              <w:jc w:val="center"/>
            </w:pPr>
            <w:r w:rsidRPr="003845E7">
              <w:t>环境高度敏感区（</w:t>
            </w:r>
            <w:r w:rsidRPr="003845E7">
              <w:t>E1</w:t>
            </w:r>
            <w:r w:rsidRPr="003845E7">
              <w:t>）</w:t>
            </w:r>
          </w:p>
        </w:tc>
        <w:tc>
          <w:tcPr>
            <w:tcW w:w="1522" w:type="dxa"/>
            <w:tcBorders>
              <w:tl2br w:val="nil"/>
              <w:tr2bl w:val="nil"/>
            </w:tcBorders>
            <w:vAlign w:val="center"/>
          </w:tcPr>
          <w:p w14:paraId="2A81EFCB" w14:textId="77777777" w:rsidR="00606029" w:rsidRPr="003845E7" w:rsidRDefault="00EA5B92">
            <w:pPr>
              <w:spacing w:line="280" w:lineRule="exact"/>
              <w:jc w:val="center"/>
            </w:pPr>
            <w:r w:rsidRPr="003845E7">
              <w:t>Ⅳ+</w:t>
            </w:r>
          </w:p>
        </w:tc>
        <w:tc>
          <w:tcPr>
            <w:tcW w:w="1528" w:type="dxa"/>
            <w:tcBorders>
              <w:tl2br w:val="nil"/>
              <w:tr2bl w:val="nil"/>
            </w:tcBorders>
            <w:vAlign w:val="center"/>
          </w:tcPr>
          <w:p w14:paraId="55D90EB2" w14:textId="77777777" w:rsidR="00606029" w:rsidRPr="003845E7" w:rsidRDefault="00EA5B92">
            <w:pPr>
              <w:spacing w:line="280" w:lineRule="exact"/>
              <w:jc w:val="center"/>
            </w:pPr>
            <w:r w:rsidRPr="003845E7">
              <w:t>Ⅳ</w:t>
            </w:r>
          </w:p>
        </w:tc>
        <w:tc>
          <w:tcPr>
            <w:tcW w:w="1659" w:type="dxa"/>
            <w:tcBorders>
              <w:tl2br w:val="nil"/>
              <w:tr2bl w:val="nil"/>
            </w:tcBorders>
            <w:vAlign w:val="center"/>
          </w:tcPr>
          <w:p w14:paraId="0315953D" w14:textId="77777777" w:rsidR="00606029" w:rsidRPr="003845E7" w:rsidRDefault="00EA5B92">
            <w:pPr>
              <w:spacing w:line="280" w:lineRule="exact"/>
              <w:jc w:val="center"/>
            </w:pPr>
            <w:r w:rsidRPr="003845E7">
              <w:t>Ⅲ</w:t>
            </w:r>
          </w:p>
        </w:tc>
        <w:tc>
          <w:tcPr>
            <w:tcW w:w="1793" w:type="dxa"/>
            <w:tcBorders>
              <w:tl2br w:val="nil"/>
              <w:tr2bl w:val="nil"/>
            </w:tcBorders>
            <w:vAlign w:val="center"/>
          </w:tcPr>
          <w:p w14:paraId="6E0AFF14" w14:textId="77777777" w:rsidR="00606029" w:rsidRPr="003845E7" w:rsidRDefault="00EA5B92">
            <w:pPr>
              <w:spacing w:line="280" w:lineRule="exact"/>
              <w:jc w:val="center"/>
            </w:pPr>
            <w:r w:rsidRPr="003845E7">
              <w:t>Ⅲ</w:t>
            </w:r>
          </w:p>
        </w:tc>
      </w:tr>
      <w:tr w:rsidR="00606029" w:rsidRPr="003845E7" w14:paraId="025D766D" w14:textId="77777777">
        <w:trPr>
          <w:trHeight w:val="340"/>
          <w:jc w:val="center"/>
        </w:trPr>
        <w:tc>
          <w:tcPr>
            <w:tcW w:w="2353" w:type="dxa"/>
            <w:tcBorders>
              <w:tl2br w:val="nil"/>
              <w:tr2bl w:val="nil"/>
            </w:tcBorders>
            <w:vAlign w:val="center"/>
          </w:tcPr>
          <w:p w14:paraId="1246C588" w14:textId="77777777" w:rsidR="00606029" w:rsidRPr="003845E7" w:rsidRDefault="00EA5B92">
            <w:pPr>
              <w:spacing w:line="280" w:lineRule="exact"/>
              <w:jc w:val="center"/>
            </w:pPr>
            <w:r w:rsidRPr="003845E7">
              <w:t>环境中度敏感区（</w:t>
            </w:r>
            <w:r w:rsidRPr="003845E7">
              <w:t>E2</w:t>
            </w:r>
            <w:r w:rsidRPr="003845E7">
              <w:t>）</w:t>
            </w:r>
          </w:p>
        </w:tc>
        <w:tc>
          <w:tcPr>
            <w:tcW w:w="1522" w:type="dxa"/>
            <w:tcBorders>
              <w:tl2br w:val="nil"/>
              <w:tr2bl w:val="nil"/>
            </w:tcBorders>
            <w:vAlign w:val="center"/>
          </w:tcPr>
          <w:p w14:paraId="4014B864" w14:textId="77777777" w:rsidR="00606029" w:rsidRPr="003845E7" w:rsidRDefault="00EA5B92">
            <w:pPr>
              <w:spacing w:line="280" w:lineRule="exact"/>
              <w:jc w:val="center"/>
            </w:pPr>
            <w:r w:rsidRPr="003845E7">
              <w:t>Ⅳ</w:t>
            </w:r>
          </w:p>
        </w:tc>
        <w:tc>
          <w:tcPr>
            <w:tcW w:w="1528" w:type="dxa"/>
            <w:tcBorders>
              <w:tl2br w:val="nil"/>
              <w:tr2bl w:val="nil"/>
            </w:tcBorders>
            <w:vAlign w:val="center"/>
          </w:tcPr>
          <w:p w14:paraId="75F2A0D4" w14:textId="77777777" w:rsidR="00606029" w:rsidRPr="003845E7" w:rsidRDefault="00EA5B92">
            <w:pPr>
              <w:spacing w:line="280" w:lineRule="exact"/>
              <w:jc w:val="center"/>
            </w:pPr>
            <w:r w:rsidRPr="003845E7">
              <w:t>Ⅲ</w:t>
            </w:r>
          </w:p>
        </w:tc>
        <w:tc>
          <w:tcPr>
            <w:tcW w:w="1659" w:type="dxa"/>
            <w:tcBorders>
              <w:tl2br w:val="nil"/>
              <w:tr2bl w:val="nil"/>
            </w:tcBorders>
            <w:vAlign w:val="center"/>
          </w:tcPr>
          <w:p w14:paraId="7810D04F" w14:textId="77777777" w:rsidR="00606029" w:rsidRPr="003845E7" w:rsidRDefault="00EA5B92">
            <w:pPr>
              <w:spacing w:line="280" w:lineRule="exact"/>
              <w:jc w:val="center"/>
            </w:pPr>
            <w:r w:rsidRPr="003845E7">
              <w:t>Ⅲ</w:t>
            </w:r>
          </w:p>
        </w:tc>
        <w:tc>
          <w:tcPr>
            <w:tcW w:w="1793" w:type="dxa"/>
            <w:tcBorders>
              <w:tl2br w:val="nil"/>
              <w:tr2bl w:val="nil"/>
            </w:tcBorders>
            <w:vAlign w:val="center"/>
          </w:tcPr>
          <w:p w14:paraId="38146B19" w14:textId="77777777" w:rsidR="00606029" w:rsidRPr="003845E7" w:rsidRDefault="00EA5B92">
            <w:pPr>
              <w:spacing w:line="280" w:lineRule="exact"/>
              <w:jc w:val="center"/>
            </w:pPr>
            <w:r w:rsidRPr="003845E7">
              <w:t>Ⅱ</w:t>
            </w:r>
          </w:p>
        </w:tc>
      </w:tr>
      <w:tr w:rsidR="00606029" w:rsidRPr="003845E7" w14:paraId="0CE4A975" w14:textId="77777777">
        <w:trPr>
          <w:trHeight w:val="340"/>
          <w:jc w:val="center"/>
        </w:trPr>
        <w:tc>
          <w:tcPr>
            <w:tcW w:w="2353" w:type="dxa"/>
            <w:tcBorders>
              <w:tl2br w:val="nil"/>
              <w:tr2bl w:val="nil"/>
            </w:tcBorders>
            <w:vAlign w:val="center"/>
          </w:tcPr>
          <w:p w14:paraId="5694ECFE" w14:textId="77777777" w:rsidR="00606029" w:rsidRPr="003845E7" w:rsidRDefault="00EA5B92">
            <w:pPr>
              <w:spacing w:line="280" w:lineRule="exact"/>
              <w:jc w:val="center"/>
            </w:pPr>
            <w:r w:rsidRPr="003845E7">
              <w:t>环境低度敏感区（</w:t>
            </w:r>
            <w:r w:rsidRPr="003845E7">
              <w:t>E3</w:t>
            </w:r>
            <w:r w:rsidRPr="003845E7">
              <w:t>）</w:t>
            </w:r>
          </w:p>
        </w:tc>
        <w:tc>
          <w:tcPr>
            <w:tcW w:w="1522" w:type="dxa"/>
            <w:tcBorders>
              <w:tl2br w:val="nil"/>
              <w:tr2bl w:val="nil"/>
            </w:tcBorders>
            <w:vAlign w:val="center"/>
          </w:tcPr>
          <w:p w14:paraId="2A54AB5D" w14:textId="77777777" w:rsidR="00606029" w:rsidRPr="003845E7" w:rsidRDefault="00EA5B92">
            <w:pPr>
              <w:spacing w:line="280" w:lineRule="exact"/>
              <w:jc w:val="center"/>
            </w:pPr>
            <w:r w:rsidRPr="003845E7">
              <w:t>Ⅲ</w:t>
            </w:r>
          </w:p>
        </w:tc>
        <w:tc>
          <w:tcPr>
            <w:tcW w:w="1528" w:type="dxa"/>
            <w:tcBorders>
              <w:tl2br w:val="nil"/>
              <w:tr2bl w:val="nil"/>
            </w:tcBorders>
            <w:vAlign w:val="center"/>
          </w:tcPr>
          <w:p w14:paraId="0D3EC629" w14:textId="77777777" w:rsidR="00606029" w:rsidRPr="003845E7" w:rsidRDefault="00EA5B92">
            <w:pPr>
              <w:spacing w:line="280" w:lineRule="exact"/>
              <w:jc w:val="center"/>
            </w:pPr>
            <w:r w:rsidRPr="003845E7">
              <w:t>Ⅲ</w:t>
            </w:r>
          </w:p>
        </w:tc>
        <w:tc>
          <w:tcPr>
            <w:tcW w:w="1659" w:type="dxa"/>
            <w:tcBorders>
              <w:tl2br w:val="nil"/>
              <w:tr2bl w:val="nil"/>
            </w:tcBorders>
            <w:vAlign w:val="center"/>
          </w:tcPr>
          <w:p w14:paraId="3C44CF4A" w14:textId="77777777" w:rsidR="00606029" w:rsidRPr="003845E7" w:rsidRDefault="00EA5B92">
            <w:pPr>
              <w:spacing w:line="280" w:lineRule="exact"/>
              <w:jc w:val="center"/>
            </w:pPr>
            <w:r w:rsidRPr="003845E7">
              <w:t>Ⅱ</w:t>
            </w:r>
          </w:p>
        </w:tc>
        <w:tc>
          <w:tcPr>
            <w:tcW w:w="1793" w:type="dxa"/>
            <w:tcBorders>
              <w:tl2br w:val="nil"/>
              <w:tr2bl w:val="nil"/>
            </w:tcBorders>
            <w:vAlign w:val="center"/>
          </w:tcPr>
          <w:p w14:paraId="36D10CCB" w14:textId="77777777" w:rsidR="00606029" w:rsidRPr="003845E7" w:rsidRDefault="00EA5B92">
            <w:pPr>
              <w:spacing w:line="280" w:lineRule="exact"/>
              <w:jc w:val="center"/>
            </w:pPr>
            <w:r w:rsidRPr="003845E7">
              <w:t>Ⅰ</w:t>
            </w:r>
          </w:p>
        </w:tc>
      </w:tr>
      <w:tr w:rsidR="00606029" w:rsidRPr="003845E7" w14:paraId="786E982A" w14:textId="77777777">
        <w:trPr>
          <w:trHeight w:val="340"/>
          <w:jc w:val="center"/>
        </w:trPr>
        <w:tc>
          <w:tcPr>
            <w:tcW w:w="8855" w:type="dxa"/>
            <w:gridSpan w:val="5"/>
            <w:tcBorders>
              <w:tl2br w:val="nil"/>
              <w:tr2bl w:val="nil"/>
            </w:tcBorders>
            <w:vAlign w:val="center"/>
          </w:tcPr>
          <w:p w14:paraId="3B459B96" w14:textId="77777777" w:rsidR="00606029" w:rsidRPr="003845E7" w:rsidRDefault="00EA5B92">
            <w:pPr>
              <w:spacing w:line="280" w:lineRule="exact"/>
              <w:jc w:val="center"/>
            </w:pPr>
            <w:r w:rsidRPr="003845E7">
              <w:t>注：</w:t>
            </w:r>
            <w:r w:rsidRPr="003845E7">
              <w:t>Ⅳ+</w:t>
            </w:r>
            <w:r w:rsidRPr="003845E7">
              <w:t>为极高环境风险。</w:t>
            </w:r>
          </w:p>
        </w:tc>
      </w:tr>
    </w:tbl>
    <w:p w14:paraId="45D078D2" w14:textId="1D7D9D24" w:rsidR="00606029" w:rsidRPr="003845E7" w:rsidRDefault="00EA5B92">
      <w:pPr>
        <w:pStyle w:val="affffff4"/>
        <w:adjustRightInd/>
        <w:snapToGrid/>
        <w:spacing w:beforeLines="50" w:before="120"/>
      </w:pPr>
      <w:r w:rsidRPr="003845E7">
        <w:t>综上判定，大气环境风险潜势为</w:t>
      </w:r>
      <w:r w:rsidR="00155832" w:rsidRPr="003845E7">
        <w:t>Ⅱ</w:t>
      </w:r>
      <w:r w:rsidRPr="003845E7">
        <w:t>级，地表水环境风险潜势为</w:t>
      </w:r>
      <w:r w:rsidR="00155832" w:rsidRPr="003845E7">
        <w:t>Ⅱ</w:t>
      </w:r>
      <w:r w:rsidRPr="003845E7">
        <w:t>级，地下水环境风险潜势为</w:t>
      </w:r>
      <w:r w:rsidR="00995D43" w:rsidRPr="003845E7">
        <w:t>Ⅲ</w:t>
      </w:r>
      <w:r w:rsidRPr="003845E7">
        <w:t>级，综合环境风险潜势</w:t>
      </w:r>
      <w:r w:rsidR="00995D43" w:rsidRPr="003845E7">
        <w:t>Ⅲ</w:t>
      </w:r>
      <w:r w:rsidRPr="003845E7">
        <w:t>级。</w:t>
      </w:r>
    </w:p>
    <w:p w14:paraId="69B7E9FA" w14:textId="51669E6A" w:rsidR="00606029" w:rsidRPr="003845E7" w:rsidRDefault="00EA5B92">
      <w:pPr>
        <w:pStyle w:val="affffff4"/>
      </w:pPr>
      <w:r w:rsidRPr="003845E7">
        <w:t>（</w:t>
      </w:r>
      <w:r w:rsidR="00925EAF" w:rsidRPr="003845E7">
        <w:rPr>
          <w:rFonts w:hint="eastAsia"/>
        </w:rPr>
        <w:t>4</w:t>
      </w:r>
      <w:r w:rsidRPr="003845E7">
        <w:t>）风险等级</w:t>
      </w:r>
    </w:p>
    <w:p w14:paraId="4F9805EB" w14:textId="77777777" w:rsidR="00606029" w:rsidRPr="003845E7" w:rsidRDefault="00EA5B92">
      <w:pPr>
        <w:pStyle w:val="affffff4"/>
      </w:pPr>
      <w:r w:rsidRPr="003845E7">
        <w:t>依据《建设项目环境风险评价技术导则》（</w:t>
      </w:r>
      <w:r w:rsidRPr="003845E7">
        <w:t>HJ169-2018</w:t>
      </w:r>
      <w:r w:rsidRPr="003845E7">
        <w:t>），建设项目涉及的物质及工艺系统危险性和所在地的环境敏感性确定环境风险潜势，按照下表确定评价工作等级。</w:t>
      </w:r>
    </w:p>
    <w:p w14:paraId="1627EA01" w14:textId="02C7DFBC" w:rsidR="00606029" w:rsidRPr="003845E7" w:rsidRDefault="00EA5B92">
      <w:pPr>
        <w:pStyle w:val="affffff5"/>
      </w:pPr>
      <w:r w:rsidRPr="003845E7">
        <w:t>表</w:t>
      </w:r>
      <w:r w:rsidRPr="003845E7">
        <w:t xml:space="preserve"> 1.6-</w:t>
      </w:r>
      <w:r w:rsidR="00155832">
        <w:rPr>
          <w:rFonts w:hint="eastAsia"/>
        </w:rPr>
        <w:t>18</w:t>
      </w:r>
      <w:r w:rsidRPr="003845E7">
        <w:t xml:space="preserve"> </w:t>
      </w:r>
      <w:r w:rsidRPr="003845E7">
        <w:t>环境风险评价等级划分</w:t>
      </w:r>
    </w:p>
    <w:tbl>
      <w:tblPr>
        <w:tblW w:w="5000" w:type="pct"/>
        <w:jc w:val="center"/>
        <w:tblBorders>
          <w:top w:val="single" w:sz="12" w:space="0" w:color="auto"/>
          <w:bottom w:val="single" w:sz="12"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764"/>
        <w:gridCol w:w="1763"/>
        <w:gridCol w:w="1765"/>
        <w:gridCol w:w="1763"/>
        <w:gridCol w:w="1779"/>
      </w:tblGrid>
      <w:tr w:rsidR="00606029" w:rsidRPr="003845E7" w14:paraId="4C000F95" w14:textId="77777777">
        <w:trPr>
          <w:trHeight w:val="340"/>
          <w:jc w:val="center"/>
        </w:trPr>
        <w:tc>
          <w:tcPr>
            <w:tcW w:w="1769" w:type="dxa"/>
            <w:tcBorders>
              <w:top w:val="single" w:sz="4" w:space="0" w:color="auto"/>
              <w:left w:val="single" w:sz="4" w:space="0" w:color="auto"/>
              <w:tl2br w:val="nil"/>
              <w:tr2bl w:val="nil"/>
            </w:tcBorders>
          </w:tcPr>
          <w:p w14:paraId="1448F5D8" w14:textId="77777777" w:rsidR="00606029" w:rsidRPr="003845E7" w:rsidRDefault="00EA5B92">
            <w:pPr>
              <w:spacing w:line="280" w:lineRule="exact"/>
              <w:jc w:val="center"/>
            </w:pPr>
            <w:r w:rsidRPr="003845E7">
              <w:t>环境风险潜势</w:t>
            </w:r>
          </w:p>
        </w:tc>
        <w:tc>
          <w:tcPr>
            <w:tcW w:w="1767" w:type="dxa"/>
            <w:tcBorders>
              <w:top w:val="single" w:sz="4" w:space="0" w:color="auto"/>
              <w:tl2br w:val="nil"/>
              <w:tr2bl w:val="nil"/>
            </w:tcBorders>
          </w:tcPr>
          <w:p w14:paraId="4E0C0BE7" w14:textId="77777777" w:rsidR="00606029" w:rsidRPr="003845E7" w:rsidRDefault="00EA5B92">
            <w:pPr>
              <w:spacing w:line="280" w:lineRule="exact"/>
              <w:jc w:val="center"/>
            </w:pPr>
            <w:r w:rsidRPr="003845E7">
              <w:t>Ⅳ</w:t>
            </w:r>
            <w:r w:rsidRPr="003845E7">
              <w:t>、</w:t>
            </w:r>
            <w:r w:rsidRPr="003845E7">
              <w:t>Ⅳ+</w:t>
            </w:r>
          </w:p>
        </w:tc>
        <w:tc>
          <w:tcPr>
            <w:tcW w:w="1769" w:type="dxa"/>
            <w:tcBorders>
              <w:top w:val="single" w:sz="4" w:space="0" w:color="auto"/>
              <w:tl2br w:val="nil"/>
              <w:tr2bl w:val="nil"/>
            </w:tcBorders>
          </w:tcPr>
          <w:p w14:paraId="3F316BBE" w14:textId="77777777" w:rsidR="00606029" w:rsidRPr="003845E7" w:rsidRDefault="00EA5B92">
            <w:pPr>
              <w:spacing w:line="280" w:lineRule="exact"/>
              <w:jc w:val="center"/>
            </w:pPr>
            <w:r w:rsidRPr="003845E7">
              <w:t>Ⅲ</w:t>
            </w:r>
          </w:p>
        </w:tc>
        <w:tc>
          <w:tcPr>
            <w:tcW w:w="1767" w:type="dxa"/>
            <w:tcBorders>
              <w:top w:val="single" w:sz="4" w:space="0" w:color="auto"/>
              <w:tl2br w:val="nil"/>
              <w:tr2bl w:val="nil"/>
            </w:tcBorders>
          </w:tcPr>
          <w:p w14:paraId="65FF3528" w14:textId="77777777" w:rsidR="00606029" w:rsidRPr="003845E7" w:rsidRDefault="00EA5B92">
            <w:pPr>
              <w:spacing w:line="280" w:lineRule="exact"/>
              <w:jc w:val="center"/>
            </w:pPr>
            <w:r w:rsidRPr="003845E7">
              <w:t>Ⅱ</w:t>
            </w:r>
          </w:p>
        </w:tc>
        <w:tc>
          <w:tcPr>
            <w:tcW w:w="1783" w:type="dxa"/>
            <w:tcBorders>
              <w:top w:val="single" w:sz="4" w:space="0" w:color="auto"/>
              <w:right w:val="single" w:sz="4" w:space="0" w:color="auto"/>
              <w:tl2br w:val="nil"/>
              <w:tr2bl w:val="nil"/>
            </w:tcBorders>
          </w:tcPr>
          <w:p w14:paraId="0AA73745" w14:textId="77777777" w:rsidR="00606029" w:rsidRPr="003845E7" w:rsidRDefault="00EA5B92">
            <w:pPr>
              <w:spacing w:line="280" w:lineRule="exact"/>
              <w:jc w:val="center"/>
            </w:pPr>
            <w:r w:rsidRPr="003845E7">
              <w:t>Ⅰ</w:t>
            </w:r>
          </w:p>
        </w:tc>
      </w:tr>
      <w:tr w:rsidR="00606029" w:rsidRPr="003845E7" w14:paraId="2E681785" w14:textId="77777777">
        <w:trPr>
          <w:trHeight w:val="340"/>
          <w:jc w:val="center"/>
        </w:trPr>
        <w:tc>
          <w:tcPr>
            <w:tcW w:w="1769" w:type="dxa"/>
            <w:tcBorders>
              <w:left w:val="single" w:sz="4" w:space="0" w:color="auto"/>
              <w:tl2br w:val="nil"/>
              <w:tr2bl w:val="nil"/>
            </w:tcBorders>
          </w:tcPr>
          <w:p w14:paraId="3962A5D7" w14:textId="77777777" w:rsidR="00606029" w:rsidRPr="003845E7" w:rsidRDefault="00EA5B92">
            <w:pPr>
              <w:spacing w:line="280" w:lineRule="exact"/>
              <w:jc w:val="center"/>
            </w:pPr>
            <w:r w:rsidRPr="003845E7">
              <w:t>评价工作等级</w:t>
            </w:r>
          </w:p>
        </w:tc>
        <w:tc>
          <w:tcPr>
            <w:tcW w:w="1767" w:type="dxa"/>
            <w:tcBorders>
              <w:tl2br w:val="nil"/>
              <w:tr2bl w:val="nil"/>
            </w:tcBorders>
          </w:tcPr>
          <w:p w14:paraId="1880F35D" w14:textId="77777777" w:rsidR="00606029" w:rsidRPr="003845E7" w:rsidRDefault="00EA5B92">
            <w:pPr>
              <w:spacing w:line="280" w:lineRule="exact"/>
              <w:jc w:val="center"/>
            </w:pPr>
            <w:r w:rsidRPr="003845E7">
              <w:t>一</w:t>
            </w:r>
          </w:p>
        </w:tc>
        <w:tc>
          <w:tcPr>
            <w:tcW w:w="1769" w:type="dxa"/>
            <w:tcBorders>
              <w:tl2br w:val="nil"/>
              <w:tr2bl w:val="nil"/>
            </w:tcBorders>
          </w:tcPr>
          <w:p w14:paraId="2604EA7D" w14:textId="77777777" w:rsidR="00606029" w:rsidRPr="003845E7" w:rsidRDefault="00EA5B92">
            <w:pPr>
              <w:spacing w:line="280" w:lineRule="exact"/>
              <w:jc w:val="center"/>
            </w:pPr>
            <w:r w:rsidRPr="003845E7">
              <w:t>二</w:t>
            </w:r>
          </w:p>
        </w:tc>
        <w:tc>
          <w:tcPr>
            <w:tcW w:w="1767" w:type="dxa"/>
            <w:tcBorders>
              <w:tl2br w:val="nil"/>
              <w:tr2bl w:val="nil"/>
            </w:tcBorders>
          </w:tcPr>
          <w:p w14:paraId="25A47DA0" w14:textId="77777777" w:rsidR="00606029" w:rsidRPr="003845E7" w:rsidRDefault="00EA5B92">
            <w:pPr>
              <w:spacing w:line="280" w:lineRule="exact"/>
              <w:jc w:val="center"/>
            </w:pPr>
            <w:r w:rsidRPr="003845E7">
              <w:t>三</w:t>
            </w:r>
          </w:p>
        </w:tc>
        <w:tc>
          <w:tcPr>
            <w:tcW w:w="1783" w:type="dxa"/>
            <w:tcBorders>
              <w:right w:val="single" w:sz="4" w:space="0" w:color="auto"/>
              <w:tl2br w:val="nil"/>
              <w:tr2bl w:val="nil"/>
            </w:tcBorders>
          </w:tcPr>
          <w:p w14:paraId="32743027" w14:textId="77777777" w:rsidR="00606029" w:rsidRPr="003845E7" w:rsidRDefault="00EA5B92">
            <w:pPr>
              <w:spacing w:line="280" w:lineRule="exact"/>
              <w:jc w:val="center"/>
            </w:pPr>
            <w:r w:rsidRPr="003845E7">
              <w:t>简单分析</w:t>
            </w:r>
            <w:r w:rsidRPr="003845E7">
              <w:t>a</w:t>
            </w:r>
          </w:p>
        </w:tc>
      </w:tr>
      <w:tr w:rsidR="00606029" w:rsidRPr="003845E7" w14:paraId="41AED1C0" w14:textId="77777777">
        <w:trPr>
          <w:trHeight w:val="340"/>
          <w:jc w:val="center"/>
        </w:trPr>
        <w:tc>
          <w:tcPr>
            <w:tcW w:w="8855" w:type="dxa"/>
            <w:gridSpan w:val="5"/>
            <w:tcBorders>
              <w:left w:val="single" w:sz="4" w:space="0" w:color="auto"/>
              <w:bottom w:val="single" w:sz="4" w:space="0" w:color="auto"/>
              <w:right w:val="single" w:sz="4" w:space="0" w:color="auto"/>
              <w:tl2br w:val="nil"/>
              <w:tr2bl w:val="nil"/>
            </w:tcBorders>
          </w:tcPr>
          <w:p w14:paraId="6A5B0A80" w14:textId="77777777" w:rsidR="00606029" w:rsidRPr="003845E7" w:rsidRDefault="00EA5B92">
            <w:pPr>
              <w:spacing w:line="280" w:lineRule="exact"/>
              <w:jc w:val="left"/>
            </w:pPr>
            <w:r w:rsidRPr="003845E7">
              <w:lastRenderedPageBreak/>
              <w:t>a</w:t>
            </w:r>
            <w:r w:rsidRPr="003845E7">
              <w:t>是相对于详细评价工作内容而言，在描述危险物质、环境影响途径、环境危害后果、风险防范措施等方面给出定性的说明。见附录</w:t>
            </w:r>
            <w:r w:rsidRPr="003845E7">
              <w:t>A</w:t>
            </w:r>
            <w:r w:rsidRPr="003845E7">
              <w:t>。</w:t>
            </w:r>
          </w:p>
        </w:tc>
      </w:tr>
    </w:tbl>
    <w:p w14:paraId="6AB19940" w14:textId="60853BF2" w:rsidR="00606029" w:rsidRPr="003845E7" w:rsidRDefault="00EA5B92">
      <w:pPr>
        <w:pStyle w:val="affffff4"/>
        <w:adjustRightInd/>
        <w:snapToGrid/>
        <w:spacing w:beforeLines="50" w:before="120"/>
      </w:pPr>
      <w:r w:rsidRPr="003845E7">
        <w:t>根据项目环境风险潜势划分，项目大气环境风险评价等级为</w:t>
      </w:r>
      <w:r w:rsidR="00155832">
        <w:rPr>
          <w:rFonts w:hint="eastAsia"/>
        </w:rPr>
        <w:t>三级</w:t>
      </w:r>
      <w:r w:rsidRPr="003845E7">
        <w:t>，地表水环境风险评价等级为</w:t>
      </w:r>
      <w:r w:rsidR="00155832">
        <w:rPr>
          <w:rFonts w:hint="eastAsia"/>
        </w:rPr>
        <w:t>三级</w:t>
      </w:r>
      <w:r w:rsidRPr="003845E7">
        <w:t>，地下水环境风险评价等级为</w:t>
      </w:r>
      <w:r w:rsidR="00995D43" w:rsidRPr="003845E7">
        <w:rPr>
          <w:rFonts w:hint="eastAsia"/>
        </w:rPr>
        <w:t>二级</w:t>
      </w:r>
      <w:r w:rsidR="00155832">
        <w:rPr>
          <w:rFonts w:hint="eastAsia"/>
        </w:rPr>
        <w:t>，综合评价等级为二级</w:t>
      </w:r>
      <w:r w:rsidRPr="003845E7">
        <w:t>。</w:t>
      </w:r>
    </w:p>
    <w:p w14:paraId="3A5118AC" w14:textId="77777777" w:rsidR="00606029" w:rsidRDefault="00EA5B92">
      <w:pPr>
        <w:pStyle w:val="3"/>
      </w:pPr>
      <w:bookmarkStart w:id="67" w:name="_Toc220680456"/>
      <w:r w:rsidRPr="003845E7">
        <w:t>1.6.2</w:t>
      </w:r>
      <w:r w:rsidRPr="003845E7">
        <w:t>评价范围</w:t>
      </w:r>
      <w:bookmarkEnd w:id="67"/>
    </w:p>
    <w:p w14:paraId="542C51F4" w14:textId="77777777" w:rsidR="00606029" w:rsidRDefault="00EA5B92">
      <w:pPr>
        <w:pStyle w:val="affffff4"/>
      </w:pPr>
      <w:r>
        <w:t>根据本项目污染源排放情况结合项目所在地地形地貌、气象条件，敏感点分布以及相关环境影响评价技术导则中关于评价范围的确定原则，确定本次评价的具体范围详见下表。</w:t>
      </w:r>
    </w:p>
    <w:p w14:paraId="4350E4D1" w14:textId="143546E4" w:rsidR="00606029" w:rsidRDefault="00EA5B92">
      <w:pPr>
        <w:pStyle w:val="affffff5"/>
      </w:pPr>
      <w:r>
        <w:t>表</w:t>
      </w:r>
      <w:r>
        <w:t xml:space="preserve"> 1.6-</w:t>
      </w:r>
      <w:r w:rsidR="00155832">
        <w:rPr>
          <w:rFonts w:hint="eastAsia"/>
        </w:rPr>
        <w:t>19</w:t>
      </w:r>
      <w:r>
        <w:t xml:space="preserve"> </w:t>
      </w:r>
      <w:r>
        <w:t>本项目环境影响评价范围一览表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4"/>
        <w:gridCol w:w="1256"/>
        <w:gridCol w:w="6454"/>
      </w:tblGrid>
      <w:tr w:rsidR="00606029" w14:paraId="788A4D17" w14:textId="77777777">
        <w:trPr>
          <w:trHeight w:val="340"/>
        </w:trPr>
        <w:tc>
          <w:tcPr>
            <w:tcW w:w="1145" w:type="dxa"/>
            <w:tcBorders>
              <w:tl2br w:val="nil"/>
              <w:tr2bl w:val="nil"/>
            </w:tcBorders>
            <w:vAlign w:val="center"/>
          </w:tcPr>
          <w:p w14:paraId="11670457" w14:textId="77777777" w:rsidR="00606029" w:rsidRDefault="00EA5B92">
            <w:pPr>
              <w:spacing w:line="280" w:lineRule="exact"/>
              <w:jc w:val="center"/>
              <w:rPr>
                <w:b/>
                <w:bCs/>
              </w:rPr>
            </w:pPr>
            <w:r>
              <w:rPr>
                <w:b/>
                <w:bCs/>
              </w:rPr>
              <w:t>环境要素</w:t>
            </w:r>
          </w:p>
        </w:tc>
        <w:tc>
          <w:tcPr>
            <w:tcW w:w="7917" w:type="dxa"/>
            <w:gridSpan w:val="2"/>
            <w:tcBorders>
              <w:tl2br w:val="nil"/>
              <w:tr2bl w:val="nil"/>
            </w:tcBorders>
            <w:vAlign w:val="center"/>
          </w:tcPr>
          <w:p w14:paraId="381E2BFD" w14:textId="77777777" w:rsidR="00606029" w:rsidRDefault="00EA5B92">
            <w:pPr>
              <w:spacing w:line="280" w:lineRule="exact"/>
              <w:jc w:val="center"/>
              <w:rPr>
                <w:b/>
                <w:bCs/>
              </w:rPr>
            </w:pPr>
            <w:r>
              <w:rPr>
                <w:b/>
                <w:bCs/>
              </w:rPr>
              <w:t>评价范围</w:t>
            </w:r>
          </w:p>
        </w:tc>
      </w:tr>
      <w:tr w:rsidR="00606029" w14:paraId="79237EB1" w14:textId="77777777">
        <w:trPr>
          <w:trHeight w:val="340"/>
        </w:trPr>
        <w:tc>
          <w:tcPr>
            <w:tcW w:w="1145" w:type="dxa"/>
            <w:tcBorders>
              <w:tl2br w:val="nil"/>
              <w:tr2bl w:val="nil"/>
            </w:tcBorders>
            <w:vAlign w:val="center"/>
          </w:tcPr>
          <w:p w14:paraId="6CBC76CB" w14:textId="77777777" w:rsidR="00606029" w:rsidRDefault="00EA5B92">
            <w:pPr>
              <w:spacing w:line="280" w:lineRule="exact"/>
              <w:jc w:val="center"/>
            </w:pPr>
            <w:r>
              <w:t>大气</w:t>
            </w:r>
          </w:p>
        </w:tc>
        <w:tc>
          <w:tcPr>
            <w:tcW w:w="7917" w:type="dxa"/>
            <w:gridSpan w:val="2"/>
            <w:tcBorders>
              <w:tl2br w:val="nil"/>
              <w:tr2bl w:val="nil"/>
            </w:tcBorders>
            <w:vAlign w:val="center"/>
          </w:tcPr>
          <w:p w14:paraId="15264B4D" w14:textId="77777777" w:rsidR="00606029" w:rsidRDefault="00EA5B92">
            <w:pPr>
              <w:spacing w:line="280" w:lineRule="exact"/>
              <w:jc w:val="center"/>
            </w:pPr>
            <w:r>
              <w:t>以项目为中心，边长</w:t>
            </w:r>
            <w:r>
              <w:t>5km</w:t>
            </w:r>
            <w:r>
              <w:t>的矩形区域</w:t>
            </w:r>
          </w:p>
        </w:tc>
      </w:tr>
      <w:tr w:rsidR="00606029" w14:paraId="46D2E7EE" w14:textId="77777777">
        <w:trPr>
          <w:trHeight w:val="340"/>
        </w:trPr>
        <w:tc>
          <w:tcPr>
            <w:tcW w:w="1145" w:type="dxa"/>
            <w:tcBorders>
              <w:tl2br w:val="nil"/>
              <w:tr2bl w:val="nil"/>
            </w:tcBorders>
            <w:vAlign w:val="center"/>
          </w:tcPr>
          <w:p w14:paraId="61C05591" w14:textId="77777777" w:rsidR="00606029" w:rsidRDefault="00EA5B92">
            <w:pPr>
              <w:spacing w:line="280" w:lineRule="exact"/>
              <w:jc w:val="center"/>
            </w:pPr>
            <w:r>
              <w:t>地表水</w:t>
            </w:r>
          </w:p>
        </w:tc>
        <w:tc>
          <w:tcPr>
            <w:tcW w:w="7917" w:type="dxa"/>
            <w:gridSpan w:val="2"/>
            <w:tcBorders>
              <w:tl2br w:val="nil"/>
              <w:tr2bl w:val="nil"/>
            </w:tcBorders>
            <w:vAlign w:val="center"/>
          </w:tcPr>
          <w:p w14:paraId="2A9F92E3" w14:textId="6A4BC91B" w:rsidR="00606029" w:rsidRDefault="00925EAF">
            <w:pPr>
              <w:spacing w:line="280" w:lineRule="exact"/>
              <w:jc w:val="center"/>
            </w:pPr>
            <w:r>
              <w:rPr>
                <w:rFonts w:hint="eastAsia"/>
              </w:rPr>
              <w:t>不设置评价范围</w:t>
            </w:r>
          </w:p>
        </w:tc>
      </w:tr>
      <w:tr w:rsidR="00606029" w14:paraId="0D95241D" w14:textId="77777777">
        <w:trPr>
          <w:trHeight w:val="340"/>
        </w:trPr>
        <w:tc>
          <w:tcPr>
            <w:tcW w:w="1145" w:type="dxa"/>
            <w:tcBorders>
              <w:tl2br w:val="nil"/>
              <w:tr2bl w:val="nil"/>
            </w:tcBorders>
            <w:vAlign w:val="center"/>
          </w:tcPr>
          <w:p w14:paraId="24186AA8" w14:textId="77777777" w:rsidR="00606029" w:rsidRDefault="00EA5B92">
            <w:pPr>
              <w:spacing w:line="280" w:lineRule="exact"/>
              <w:jc w:val="center"/>
            </w:pPr>
            <w:r>
              <w:t>地下水</w:t>
            </w:r>
          </w:p>
        </w:tc>
        <w:tc>
          <w:tcPr>
            <w:tcW w:w="7917" w:type="dxa"/>
            <w:gridSpan w:val="2"/>
            <w:tcBorders>
              <w:tl2br w:val="nil"/>
              <w:tr2bl w:val="nil"/>
            </w:tcBorders>
            <w:vAlign w:val="center"/>
          </w:tcPr>
          <w:p w14:paraId="57C076A9" w14:textId="4D31D7D4" w:rsidR="00606029" w:rsidRDefault="00F50C57">
            <w:pPr>
              <w:spacing w:line="280" w:lineRule="exact"/>
              <w:jc w:val="center"/>
            </w:pPr>
            <w:r w:rsidRPr="00F50C57">
              <w:rPr>
                <w:rFonts w:hint="eastAsia"/>
              </w:rPr>
              <w:t>评价区下游边界以项目区为中心向地下水流向下游方向外延</w:t>
            </w:r>
            <w:r w:rsidRPr="00F50C57">
              <w:rPr>
                <w:rFonts w:hint="eastAsia"/>
              </w:rPr>
              <w:t>3320m</w:t>
            </w:r>
            <w:r w:rsidRPr="00F50C57">
              <w:rPr>
                <w:rFonts w:hint="eastAsia"/>
              </w:rPr>
              <w:t>，包含评价区下游方向前进村和双发屯居民区，评价区上游边界以项目区为中心向地下水流向上游方向外延</w:t>
            </w:r>
            <w:r w:rsidRPr="00F50C57">
              <w:rPr>
                <w:rFonts w:hint="eastAsia"/>
              </w:rPr>
              <w:t>2020m</w:t>
            </w:r>
            <w:r w:rsidRPr="00F50C57">
              <w:rPr>
                <w:rFonts w:hint="eastAsia"/>
              </w:rPr>
              <w:t>，包含评价区上游红旗二村和开荒村居民区，评价区东侧侧向边界以项目区为中心向地下水流向侧向方向外延</w:t>
            </w:r>
            <w:r w:rsidRPr="00F50C57">
              <w:rPr>
                <w:rFonts w:hint="eastAsia"/>
              </w:rPr>
              <w:t>2360m</w:t>
            </w:r>
            <w:r w:rsidRPr="00F50C57">
              <w:rPr>
                <w:rFonts w:hint="eastAsia"/>
              </w:rPr>
              <w:t>，包含前进村和开荒村居民区，评价区西侧侧向边界以项目区为中心向地下水流向侧向方向外延</w:t>
            </w:r>
            <w:r w:rsidRPr="00F50C57">
              <w:rPr>
                <w:rFonts w:hint="eastAsia"/>
              </w:rPr>
              <w:t>1090m</w:t>
            </w:r>
            <w:r w:rsidRPr="00F50C57">
              <w:rPr>
                <w:rFonts w:hint="eastAsia"/>
              </w:rPr>
              <w:t>，地下水评价区面积为</w:t>
            </w:r>
            <w:r w:rsidRPr="00F50C57">
              <w:rPr>
                <w:rFonts w:hint="eastAsia"/>
              </w:rPr>
              <w:t>28.10km</w:t>
            </w:r>
            <w:r w:rsidRPr="00F50C57">
              <w:rPr>
                <w:rFonts w:hint="eastAsia"/>
                <w:vertAlign w:val="superscript"/>
              </w:rPr>
              <w:t>2</w:t>
            </w:r>
          </w:p>
        </w:tc>
      </w:tr>
      <w:tr w:rsidR="00606029" w14:paraId="64495717" w14:textId="77777777">
        <w:trPr>
          <w:trHeight w:val="340"/>
        </w:trPr>
        <w:tc>
          <w:tcPr>
            <w:tcW w:w="1145" w:type="dxa"/>
            <w:tcBorders>
              <w:tl2br w:val="nil"/>
              <w:tr2bl w:val="nil"/>
            </w:tcBorders>
            <w:vAlign w:val="center"/>
          </w:tcPr>
          <w:p w14:paraId="2D972389" w14:textId="77777777" w:rsidR="00606029" w:rsidRDefault="00EA5B92">
            <w:pPr>
              <w:spacing w:line="280" w:lineRule="exact"/>
              <w:jc w:val="center"/>
            </w:pPr>
            <w:r>
              <w:t>声环境</w:t>
            </w:r>
          </w:p>
        </w:tc>
        <w:tc>
          <w:tcPr>
            <w:tcW w:w="7917" w:type="dxa"/>
            <w:gridSpan w:val="2"/>
            <w:tcBorders>
              <w:tl2br w:val="nil"/>
              <w:tr2bl w:val="nil"/>
            </w:tcBorders>
            <w:vAlign w:val="center"/>
          </w:tcPr>
          <w:p w14:paraId="1A3AFEB0" w14:textId="77777777" w:rsidR="00606029" w:rsidRDefault="00EA5B92">
            <w:pPr>
              <w:spacing w:line="280" w:lineRule="exact"/>
              <w:jc w:val="center"/>
            </w:pPr>
            <w:r>
              <w:t>项目厂界外外延</w:t>
            </w:r>
            <w:r>
              <w:t>200m</w:t>
            </w:r>
            <w:r>
              <w:t>的范围</w:t>
            </w:r>
          </w:p>
        </w:tc>
      </w:tr>
      <w:tr w:rsidR="00606029" w14:paraId="5D971488" w14:textId="77777777">
        <w:trPr>
          <w:trHeight w:val="340"/>
        </w:trPr>
        <w:tc>
          <w:tcPr>
            <w:tcW w:w="1145" w:type="dxa"/>
            <w:tcBorders>
              <w:tl2br w:val="nil"/>
              <w:tr2bl w:val="nil"/>
            </w:tcBorders>
            <w:vAlign w:val="center"/>
          </w:tcPr>
          <w:p w14:paraId="6C9EED30" w14:textId="77777777" w:rsidR="00606029" w:rsidRDefault="00EA5B92">
            <w:pPr>
              <w:spacing w:line="280" w:lineRule="exact"/>
              <w:jc w:val="center"/>
            </w:pPr>
            <w:r>
              <w:t>土壤环境</w:t>
            </w:r>
          </w:p>
        </w:tc>
        <w:tc>
          <w:tcPr>
            <w:tcW w:w="7917" w:type="dxa"/>
            <w:gridSpan w:val="2"/>
            <w:tcBorders>
              <w:tl2br w:val="nil"/>
              <w:tr2bl w:val="nil"/>
            </w:tcBorders>
            <w:vAlign w:val="center"/>
          </w:tcPr>
          <w:p w14:paraId="27FE307E" w14:textId="764A5548" w:rsidR="00606029" w:rsidRDefault="008114B5">
            <w:pPr>
              <w:spacing w:line="280" w:lineRule="exact"/>
              <w:jc w:val="center"/>
            </w:pPr>
            <w:r w:rsidRPr="008114B5">
              <w:t>项目厂界外外延</w:t>
            </w:r>
            <w:r w:rsidRPr="008114B5">
              <w:t>200m</w:t>
            </w:r>
            <w:r w:rsidRPr="008114B5">
              <w:t>的范围</w:t>
            </w:r>
          </w:p>
        </w:tc>
      </w:tr>
      <w:tr w:rsidR="00606029" w14:paraId="1ACA3F38" w14:textId="77777777">
        <w:trPr>
          <w:trHeight w:val="340"/>
        </w:trPr>
        <w:tc>
          <w:tcPr>
            <w:tcW w:w="1145" w:type="dxa"/>
            <w:tcBorders>
              <w:tl2br w:val="nil"/>
              <w:tr2bl w:val="nil"/>
            </w:tcBorders>
            <w:vAlign w:val="center"/>
          </w:tcPr>
          <w:p w14:paraId="07FB9F8B" w14:textId="77777777" w:rsidR="00606029" w:rsidRDefault="00EA5B92">
            <w:pPr>
              <w:spacing w:line="280" w:lineRule="exact"/>
              <w:jc w:val="center"/>
            </w:pPr>
            <w:r>
              <w:t>生态</w:t>
            </w:r>
          </w:p>
        </w:tc>
        <w:tc>
          <w:tcPr>
            <w:tcW w:w="7917" w:type="dxa"/>
            <w:gridSpan w:val="2"/>
            <w:tcBorders>
              <w:tl2br w:val="nil"/>
              <w:tr2bl w:val="nil"/>
            </w:tcBorders>
            <w:vAlign w:val="center"/>
          </w:tcPr>
          <w:p w14:paraId="5B244DD1" w14:textId="77777777" w:rsidR="00606029" w:rsidRDefault="00EA5B92">
            <w:pPr>
              <w:spacing w:line="280" w:lineRule="exact"/>
              <w:jc w:val="center"/>
            </w:pPr>
            <w:r>
              <w:t>项目厂界外外延</w:t>
            </w:r>
            <w:r>
              <w:t>200m</w:t>
            </w:r>
            <w:r>
              <w:t>的范围</w:t>
            </w:r>
          </w:p>
        </w:tc>
      </w:tr>
      <w:tr w:rsidR="00606029" w14:paraId="5270280B" w14:textId="77777777">
        <w:trPr>
          <w:trHeight w:val="340"/>
        </w:trPr>
        <w:tc>
          <w:tcPr>
            <w:tcW w:w="1145" w:type="dxa"/>
            <w:vMerge w:val="restart"/>
            <w:tcBorders>
              <w:tl2br w:val="nil"/>
              <w:tr2bl w:val="nil"/>
            </w:tcBorders>
            <w:vAlign w:val="center"/>
          </w:tcPr>
          <w:p w14:paraId="5BE7F739" w14:textId="77777777" w:rsidR="00606029" w:rsidRDefault="00EA5B92">
            <w:pPr>
              <w:spacing w:line="280" w:lineRule="exact"/>
              <w:jc w:val="center"/>
            </w:pPr>
            <w:r>
              <w:t>环境风险</w:t>
            </w:r>
          </w:p>
        </w:tc>
        <w:tc>
          <w:tcPr>
            <w:tcW w:w="1282" w:type="dxa"/>
            <w:tcBorders>
              <w:tl2br w:val="nil"/>
              <w:tr2bl w:val="nil"/>
            </w:tcBorders>
            <w:vAlign w:val="center"/>
          </w:tcPr>
          <w:p w14:paraId="6D04222B" w14:textId="77777777" w:rsidR="00606029" w:rsidRDefault="00EA5B92">
            <w:pPr>
              <w:spacing w:line="280" w:lineRule="exact"/>
              <w:jc w:val="center"/>
            </w:pPr>
            <w:r>
              <w:t>大气环境</w:t>
            </w:r>
          </w:p>
        </w:tc>
        <w:tc>
          <w:tcPr>
            <w:tcW w:w="6635" w:type="dxa"/>
            <w:tcBorders>
              <w:tl2br w:val="nil"/>
              <w:tr2bl w:val="nil"/>
            </w:tcBorders>
            <w:vAlign w:val="center"/>
          </w:tcPr>
          <w:p w14:paraId="529FAB01" w14:textId="32AF24A6" w:rsidR="00606029" w:rsidRDefault="00EA5B92">
            <w:pPr>
              <w:spacing w:line="280" w:lineRule="exact"/>
              <w:jc w:val="center"/>
            </w:pPr>
            <w:r>
              <w:t>项目边界外半径</w:t>
            </w:r>
            <w:r w:rsidR="008114B5">
              <w:rPr>
                <w:rFonts w:hint="eastAsia"/>
              </w:rPr>
              <w:t>3</w:t>
            </w:r>
            <w:r>
              <w:t>km</w:t>
            </w:r>
            <w:r>
              <w:t>的范围</w:t>
            </w:r>
          </w:p>
        </w:tc>
      </w:tr>
      <w:tr w:rsidR="00606029" w14:paraId="790EF9D7" w14:textId="77777777">
        <w:trPr>
          <w:trHeight w:val="340"/>
        </w:trPr>
        <w:tc>
          <w:tcPr>
            <w:tcW w:w="1145" w:type="dxa"/>
            <w:vMerge/>
            <w:tcBorders>
              <w:tl2br w:val="nil"/>
              <w:tr2bl w:val="nil"/>
            </w:tcBorders>
            <w:vAlign w:val="center"/>
          </w:tcPr>
          <w:p w14:paraId="33BD104E" w14:textId="77777777" w:rsidR="00606029" w:rsidRDefault="00606029">
            <w:pPr>
              <w:spacing w:line="280" w:lineRule="exact"/>
              <w:jc w:val="center"/>
            </w:pPr>
          </w:p>
        </w:tc>
        <w:tc>
          <w:tcPr>
            <w:tcW w:w="1282" w:type="dxa"/>
            <w:tcBorders>
              <w:tl2br w:val="nil"/>
              <w:tr2bl w:val="nil"/>
            </w:tcBorders>
            <w:vAlign w:val="center"/>
          </w:tcPr>
          <w:p w14:paraId="77273FCC" w14:textId="77777777" w:rsidR="00606029" w:rsidRDefault="00EA5B92">
            <w:pPr>
              <w:spacing w:line="280" w:lineRule="exact"/>
              <w:jc w:val="center"/>
            </w:pPr>
            <w:r>
              <w:t>地表水环境</w:t>
            </w:r>
          </w:p>
        </w:tc>
        <w:tc>
          <w:tcPr>
            <w:tcW w:w="6635" w:type="dxa"/>
            <w:tcBorders>
              <w:tl2br w:val="nil"/>
              <w:tr2bl w:val="nil"/>
            </w:tcBorders>
            <w:vAlign w:val="center"/>
          </w:tcPr>
          <w:p w14:paraId="37C76F8B" w14:textId="1E35707C" w:rsidR="00606029" w:rsidRDefault="00F50C57">
            <w:pPr>
              <w:autoSpaceDE w:val="0"/>
              <w:autoSpaceDN w:val="0"/>
              <w:adjustRightInd w:val="0"/>
              <w:snapToGrid w:val="0"/>
              <w:spacing w:line="280" w:lineRule="exact"/>
              <w:jc w:val="center"/>
            </w:pPr>
            <w:r w:rsidRPr="00F50C57">
              <w:rPr>
                <w:rFonts w:hint="eastAsia"/>
                <w:color w:val="000000"/>
                <w:sz w:val="23"/>
                <w:szCs w:val="24"/>
              </w:rPr>
              <w:t>不设置评价范围</w:t>
            </w:r>
          </w:p>
        </w:tc>
      </w:tr>
      <w:tr w:rsidR="00606029" w14:paraId="2A96B2CB" w14:textId="77777777">
        <w:trPr>
          <w:trHeight w:val="340"/>
        </w:trPr>
        <w:tc>
          <w:tcPr>
            <w:tcW w:w="1145" w:type="dxa"/>
            <w:vMerge/>
            <w:tcBorders>
              <w:tl2br w:val="nil"/>
              <w:tr2bl w:val="nil"/>
            </w:tcBorders>
            <w:vAlign w:val="center"/>
          </w:tcPr>
          <w:p w14:paraId="4E939ED9" w14:textId="77777777" w:rsidR="00606029" w:rsidRDefault="00606029">
            <w:pPr>
              <w:spacing w:line="280" w:lineRule="exact"/>
              <w:jc w:val="center"/>
            </w:pPr>
          </w:p>
        </w:tc>
        <w:tc>
          <w:tcPr>
            <w:tcW w:w="1282" w:type="dxa"/>
            <w:tcBorders>
              <w:tl2br w:val="nil"/>
              <w:tr2bl w:val="nil"/>
            </w:tcBorders>
            <w:vAlign w:val="center"/>
          </w:tcPr>
          <w:p w14:paraId="1041BA7C" w14:textId="77777777" w:rsidR="00606029" w:rsidRDefault="00EA5B92">
            <w:pPr>
              <w:spacing w:line="280" w:lineRule="exact"/>
              <w:jc w:val="center"/>
            </w:pPr>
            <w:r>
              <w:t>地下水环境</w:t>
            </w:r>
          </w:p>
        </w:tc>
        <w:tc>
          <w:tcPr>
            <w:tcW w:w="6635" w:type="dxa"/>
            <w:tcBorders>
              <w:tl2br w:val="nil"/>
              <w:tr2bl w:val="nil"/>
            </w:tcBorders>
            <w:vAlign w:val="center"/>
          </w:tcPr>
          <w:p w14:paraId="449BDDBF" w14:textId="0079E86D" w:rsidR="00606029" w:rsidRDefault="00EA5B92">
            <w:pPr>
              <w:spacing w:line="280" w:lineRule="exact"/>
              <w:jc w:val="center"/>
            </w:pPr>
            <w:r>
              <w:t>与地下水环境评价范围一致</w:t>
            </w:r>
          </w:p>
        </w:tc>
      </w:tr>
      <w:bookmarkEnd w:id="65"/>
    </w:tbl>
    <w:p w14:paraId="6234A8EF" w14:textId="77777777" w:rsidR="00606029" w:rsidRDefault="00606029">
      <w:pPr>
        <w:pStyle w:val="affffff5"/>
        <w:sectPr w:rsidR="00606029" w:rsidSect="002D43B5">
          <w:headerReference w:type="default" r:id="rId18"/>
          <w:footerReference w:type="default" r:id="rId19"/>
          <w:pgSz w:w="11905" w:h="16838"/>
          <w:pgMar w:top="1417" w:right="1474" w:bottom="1417" w:left="1474" w:header="850" w:footer="850" w:gutter="113"/>
          <w:cols w:space="0"/>
          <w:docGrid w:linePitch="312"/>
        </w:sectPr>
      </w:pPr>
    </w:p>
    <w:p w14:paraId="1941CD0A" w14:textId="77777777" w:rsidR="00606029" w:rsidRDefault="00EA5B92">
      <w:pPr>
        <w:keepNext/>
        <w:keepLines/>
        <w:tabs>
          <w:tab w:val="left" w:pos="891"/>
        </w:tabs>
        <w:adjustRightInd w:val="0"/>
        <w:snapToGrid w:val="0"/>
        <w:spacing w:beforeLines="50" w:before="120" w:afterLines="50" w:after="120" w:line="470" w:lineRule="exact"/>
        <w:ind w:left="576" w:hanging="576"/>
        <w:outlineLvl w:val="1"/>
        <w:rPr>
          <w:b/>
          <w:sz w:val="30"/>
          <w:szCs w:val="30"/>
        </w:rPr>
      </w:pPr>
      <w:bookmarkStart w:id="68" w:name="_Toc29314"/>
      <w:bookmarkStart w:id="69" w:name="_Toc14402"/>
      <w:bookmarkStart w:id="70" w:name="_Toc220680457"/>
      <w:r>
        <w:rPr>
          <w:b/>
          <w:sz w:val="30"/>
          <w:szCs w:val="30"/>
        </w:rPr>
        <w:lastRenderedPageBreak/>
        <w:t>1.7</w:t>
      </w:r>
      <w:r>
        <w:rPr>
          <w:b/>
          <w:sz w:val="30"/>
          <w:szCs w:val="30"/>
        </w:rPr>
        <w:t>环境保护目标</w:t>
      </w:r>
      <w:bookmarkEnd w:id="68"/>
      <w:bookmarkEnd w:id="69"/>
      <w:bookmarkEnd w:id="70"/>
    </w:p>
    <w:p w14:paraId="0C63C7E9" w14:textId="77777777" w:rsidR="00606029" w:rsidRDefault="00EA5B92">
      <w:pPr>
        <w:adjustRightInd w:val="0"/>
        <w:snapToGrid w:val="0"/>
        <w:ind w:firstLineChars="200" w:firstLine="480"/>
        <w:rPr>
          <w:b/>
        </w:rPr>
      </w:pPr>
      <w:r>
        <w:rPr>
          <w:color w:val="000000"/>
          <w:kern w:val="21"/>
          <w:sz w:val="24"/>
          <w:szCs w:val="30"/>
        </w:rPr>
        <w:t>经现场踏勘和调查，本项目评价范围内无自然保护区和风景名胜区，本项目具体的环境保护目标见下表。</w:t>
      </w:r>
    </w:p>
    <w:p w14:paraId="6AF8EFDD" w14:textId="52E064CC" w:rsidR="00606029" w:rsidRDefault="00EA5B92">
      <w:pPr>
        <w:adjustRightInd w:val="0"/>
        <w:snapToGrid w:val="0"/>
        <w:spacing w:beforeLines="50" w:before="120"/>
        <w:ind w:firstLineChars="200" w:firstLine="422"/>
        <w:jc w:val="center"/>
        <w:rPr>
          <w:b/>
        </w:rPr>
      </w:pPr>
      <w:r>
        <w:rPr>
          <w:b/>
        </w:rPr>
        <w:t>表</w:t>
      </w:r>
      <w:r>
        <w:rPr>
          <w:b/>
        </w:rPr>
        <w:t xml:space="preserve">1.7-1 </w:t>
      </w:r>
      <w:r>
        <w:rPr>
          <w:b/>
        </w:rPr>
        <w:t>环境空气</w:t>
      </w:r>
      <w:r w:rsidR="00675E98">
        <w:rPr>
          <w:rFonts w:hint="eastAsia"/>
          <w:b/>
        </w:rPr>
        <w:t>、</w:t>
      </w:r>
      <w:r>
        <w:rPr>
          <w:b/>
        </w:rPr>
        <w:t>地表水</w:t>
      </w:r>
      <w:r w:rsidR="00675E98">
        <w:rPr>
          <w:rFonts w:hint="eastAsia"/>
          <w:b/>
        </w:rPr>
        <w:t>、生态</w:t>
      </w:r>
      <w:r>
        <w:rPr>
          <w:b/>
        </w:rPr>
        <w:t>环境保护目标表</w:t>
      </w:r>
    </w:p>
    <w:tbl>
      <w:tblPr>
        <w:tblW w:w="5000" w:type="pct"/>
        <w:tblBorders>
          <w:top w:val="single" w:sz="8" w:space="0" w:color="000000"/>
          <w:left w:val="single" w:sz="8" w:space="0" w:color="000000"/>
          <w:bottom w:val="single" w:sz="8" w:space="0" w:color="000000"/>
          <w:right w:val="single" w:sz="8" w:space="0" w:color="000000"/>
          <w:insideH w:val="single" w:sz="4" w:space="0" w:color="000000"/>
          <w:insideV w:val="single" w:sz="4" w:space="0" w:color="000000"/>
        </w:tblBorders>
        <w:tblCellMar>
          <w:top w:w="15" w:type="dxa"/>
          <w:left w:w="15" w:type="dxa"/>
          <w:bottom w:w="15" w:type="dxa"/>
          <w:right w:w="15" w:type="dxa"/>
        </w:tblCellMar>
        <w:tblLook w:val="04A0" w:firstRow="1" w:lastRow="0" w:firstColumn="1" w:lastColumn="0" w:noHBand="0" w:noVBand="1"/>
      </w:tblPr>
      <w:tblGrid>
        <w:gridCol w:w="1181"/>
        <w:gridCol w:w="859"/>
        <w:gridCol w:w="1426"/>
        <w:gridCol w:w="1354"/>
        <w:gridCol w:w="2030"/>
        <w:gridCol w:w="1356"/>
        <w:gridCol w:w="1345"/>
        <w:gridCol w:w="1356"/>
        <w:gridCol w:w="1365"/>
        <w:gridCol w:w="1712"/>
      </w:tblGrid>
      <w:tr w:rsidR="00F50C57" w:rsidRPr="00F50C57" w14:paraId="3A11B2FF" w14:textId="77777777" w:rsidTr="00F50C57">
        <w:trPr>
          <w:trHeight w:val="345"/>
          <w:tblHeader/>
        </w:trPr>
        <w:tc>
          <w:tcPr>
            <w:tcW w:w="422" w:type="pct"/>
            <w:vMerge w:val="restart"/>
            <w:vAlign w:val="center"/>
          </w:tcPr>
          <w:p w14:paraId="7A4055C7" w14:textId="77777777" w:rsidR="00F50C57" w:rsidRPr="00F50C57" w:rsidRDefault="00F50C57" w:rsidP="00F50C57">
            <w:pPr>
              <w:jc w:val="center"/>
            </w:pPr>
            <w:r w:rsidRPr="00F50C57">
              <w:t>环境要素</w:t>
            </w:r>
          </w:p>
        </w:tc>
        <w:tc>
          <w:tcPr>
            <w:tcW w:w="307" w:type="pct"/>
            <w:vMerge w:val="restart"/>
            <w:vAlign w:val="center"/>
          </w:tcPr>
          <w:p w14:paraId="1127BE23" w14:textId="77777777" w:rsidR="00F50C57" w:rsidRPr="00F50C57" w:rsidRDefault="00F50C57" w:rsidP="00F50C57">
            <w:pPr>
              <w:jc w:val="center"/>
            </w:pPr>
            <w:r w:rsidRPr="00F50C57">
              <w:t>序号</w:t>
            </w:r>
          </w:p>
        </w:tc>
        <w:tc>
          <w:tcPr>
            <w:tcW w:w="994" w:type="pct"/>
            <w:gridSpan w:val="2"/>
            <w:vAlign w:val="center"/>
          </w:tcPr>
          <w:p w14:paraId="3CB60E85" w14:textId="77777777" w:rsidR="00F50C57" w:rsidRPr="00F50C57" w:rsidRDefault="00F50C57" w:rsidP="00F50C57">
            <w:pPr>
              <w:jc w:val="center"/>
            </w:pPr>
            <w:r w:rsidRPr="00F50C57">
              <w:t>坐标</w:t>
            </w:r>
          </w:p>
        </w:tc>
        <w:tc>
          <w:tcPr>
            <w:tcW w:w="726" w:type="pct"/>
            <w:vMerge w:val="restart"/>
            <w:vAlign w:val="center"/>
          </w:tcPr>
          <w:p w14:paraId="2F57DAEF" w14:textId="77777777" w:rsidR="00F50C57" w:rsidRPr="00F50C57" w:rsidRDefault="00F50C57" w:rsidP="00F50C57">
            <w:pPr>
              <w:jc w:val="center"/>
            </w:pPr>
            <w:r w:rsidRPr="00F50C57">
              <w:t>保护对象</w:t>
            </w:r>
          </w:p>
        </w:tc>
        <w:tc>
          <w:tcPr>
            <w:tcW w:w="485" w:type="pct"/>
            <w:vMerge w:val="restart"/>
            <w:vAlign w:val="center"/>
          </w:tcPr>
          <w:p w14:paraId="5876DBC3" w14:textId="77777777" w:rsidR="00F50C57" w:rsidRPr="00F50C57" w:rsidRDefault="00F50C57" w:rsidP="00F50C57">
            <w:pPr>
              <w:jc w:val="center"/>
            </w:pPr>
            <w:r w:rsidRPr="00F50C57">
              <w:t>保护</w:t>
            </w:r>
          </w:p>
          <w:p w14:paraId="62D9B8FB" w14:textId="77777777" w:rsidR="00F50C57" w:rsidRPr="00F50C57" w:rsidRDefault="00F50C57" w:rsidP="00F50C57">
            <w:pPr>
              <w:jc w:val="center"/>
            </w:pPr>
            <w:r w:rsidRPr="00F50C57">
              <w:t>内容</w:t>
            </w:r>
          </w:p>
        </w:tc>
        <w:tc>
          <w:tcPr>
            <w:tcW w:w="481" w:type="pct"/>
            <w:vMerge w:val="restart"/>
            <w:vAlign w:val="center"/>
          </w:tcPr>
          <w:p w14:paraId="559A59A9" w14:textId="77777777" w:rsidR="00F50C57" w:rsidRPr="00F50C57" w:rsidRDefault="00F50C57" w:rsidP="00F50C57">
            <w:pPr>
              <w:jc w:val="center"/>
            </w:pPr>
            <w:r w:rsidRPr="00F50C57">
              <w:t>环境功能区</w:t>
            </w:r>
          </w:p>
        </w:tc>
        <w:tc>
          <w:tcPr>
            <w:tcW w:w="485" w:type="pct"/>
            <w:vMerge w:val="restart"/>
            <w:vAlign w:val="center"/>
          </w:tcPr>
          <w:p w14:paraId="1D6E987D" w14:textId="77777777" w:rsidR="00F50C57" w:rsidRPr="00F50C57" w:rsidRDefault="00F50C57" w:rsidP="00F50C57">
            <w:pPr>
              <w:jc w:val="center"/>
            </w:pPr>
            <w:r w:rsidRPr="00F50C57">
              <w:t>相对厂址方位</w:t>
            </w:r>
          </w:p>
        </w:tc>
        <w:tc>
          <w:tcPr>
            <w:tcW w:w="488" w:type="pct"/>
            <w:vMerge w:val="restart"/>
            <w:vAlign w:val="center"/>
          </w:tcPr>
          <w:p w14:paraId="36DCC30F" w14:textId="77777777" w:rsidR="00F50C57" w:rsidRPr="00F50C57" w:rsidRDefault="00F50C57" w:rsidP="00F50C57">
            <w:pPr>
              <w:jc w:val="center"/>
            </w:pPr>
            <w:r w:rsidRPr="00F50C57">
              <w:t>相对厂界距离</w:t>
            </w:r>
            <w:r w:rsidRPr="00F50C57">
              <w:t>/</w:t>
            </w:r>
            <w:r w:rsidRPr="00F50C57">
              <w:t>（约）</w:t>
            </w:r>
            <w:r w:rsidRPr="00F50C57">
              <w:t>m</w:t>
            </w:r>
          </w:p>
        </w:tc>
        <w:tc>
          <w:tcPr>
            <w:tcW w:w="612" w:type="pct"/>
            <w:vMerge w:val="restart"/>
            <w:vAlign w:val="center"/>
          </w:tcPr>
          <w:p w14:paraId="4E33F382" w14:textId="77777777" w:rsidR="00F50C57" w:rsidRPr="00F50C57" w:rsidRDefault="00F50C57" w:rsidP="00F50C57">
            <w:pPr>
              <w:jc w:val="center"/>
            </w:pPr>
            <w:r w:rsidRPr="00F50C57">
              <w:t>规模（人）</w:t>
            </w:r>
          </w:p>
        </w:tc>
      </w:tr>
      <w:tr w:rsidR="00F50C57" w:rsidRPr="00F50C57" w14:paraId="6A251F42" w14:textId="77777777" w:rsidTr="00F50C57">
        <w:trPr>
          <w:trHeight w:val="286"/>
          <w:tblHeader/>
        </w:trPr>
        <w:tc>
          <w:tcPr>
            <w:tcW w:w="422" w:type="pct"/>
            <w:vMerge/>
            <w:vAlign w:val="center"/>
          </w:tcPr>
          <w:p w14:paraId="540CA246" w14:textId="77777777" w:rsidR="00F50C57" w:rsidRPr="00F50C57" w:rsidRDefault="00F50C57" w:rsidP="00F50C57">
            <w:pPr>
              <w:jc w:val="center"/>
            </w:pPr>
          </w:p>
        </w:tc>
        <w:tc>
          <w:tcPr>
            <w:tcW w:w="307" w:type="pct"/>
            <w:vMerge/>
            <w:vAlign w:val="center"/>
          </w:tcPr>
          <w:p w14:paraId="03BA35C5" w14:textId="77777777" w:rsidR="00F50C57" w:rsidRPr="00F50C57" w:rsidRDefault="00F50C57" w:rsidP="00F50C57">
            <w:pPr>
              <w:jc w:val="center"/>
            </w:pPr>
          </w:p>
        </w:tc>
        <w:tc>
          <w:tcPr>
            <w:tcW w:w="510" w:type="pct"/>
            <w:vAlign w:val="center"/>
          </w:tcPr>
          <w:p w14:paraId="19AD6DFB" w14:textId="77777777" w:rsidR="00F50C57" w:rsidRPr="00F50C57" w:rsidRDefault="00F50C57" w:rsidP="00F50C57">
            <w:pPr>
              <w:jc w:val="center"/>
            </w:pPr>
            <w:r w:rsidRPr="00F50C57">
              <w:t>经度</w:t>
            </w:r>
          </w:p>
        </w:tc>
        <w:tc>
          <w:tcPr>
            <w:tcW w:w="484" w:type="pct"/>
            <w:vAlign w:val="center"/>
          </w:tcPr>
          <w:p w14:paraId="2D60FE7E" w14:textId="77777777" w:rsidR="00F50C57" w:rsidRPr="00F50C57" w:rsidRDefault="00F50C57" w:rsidP="00F50C57">
            <w:pPr>
              <w:jc w:val="center"/>
            </w:pPr>
            <w:r w:rsidRPr="00F50C57">
              <w:t>纬度</w:t>
            </w:r>
          </w:p>
        </w:tc>
        <w:tc>
          <w:tcPr>
            <w:tcW w:w="726" w:type="pct"/>
            <w:vMerge/>
            <w:vAlign w:val="center"/>
          </w:tcPr>
          <w:p w14:paraId="7D0FE61C" w14:textId="77777777" w:rsidR="00F50C57" w:rsidRPr="00F50C57" w:rsidRDefault="00F50C57" w:rsidP="00F50C57">
            <w:pPr>
              <w:jc w:val="center"/>
            </w:pPr>
          </w:p>
        </w:tc>
        <w:tc>
          <w:tcPr>
            <w:tcW w:w="485" w:type="pct"/>
            <w:vMerge/>
            <w:vAlign w:val="center"/>
          </w:tcPr>
          <w:p w14:paraId="65FBC52B" w14:textId="77777777" w:rsidR="00F50C57" w:rsidRPr="00F50C57" w:rsidRDefault="00F50C57" w:rsidP="00F50C57">
            <w:pPr>
              <w:jc w:val="center"/>
            </w:pPr>
          </w:p>
        </w:tc>
        <w:tc>
          <w:tcPr>
            <w:tcW w:w="481" w:type="pct"/>
            <w:vMerge/>
            <w:vAlign w:val="center"/>
          </w:tcPr>
          <w:p w14:paraId="06C7EC59" w14:textId="77777777" w:rsidR="00F50C57" w:rsidRPr="00F50C57" w:rsidRDefault="00F50C57" w:rsidP="00F50C57">
            <w:pPr>
              <w:jc w:val="center"/>
            </w:pPr>
          </w:p>
        </w:tc>
        <w:tc>
          <w:tcPr>
            <w:tcW w:w="485" w:type="pct"/>
            <w:vMerge/>
            <w:vAlign w:val="center"/>
          </w:tcPr>
          <w:p w14:paraId="3EC2D11F" w14:textId="77777777" w:rsidR="00F50C57" w:rsidRPr="00F50C57" w:rsidRDefault="00F50C57" w:rsidP="00F50C57">
            <w:pPr>
              <w:jc w:val="center"/>
            </w:pPr>
          </w:p>
        </w:tc>
        <w:tc>
          <w:tcPr>
            <w:tcW w:w="488" w:type="pct"/>
            <w:vMerge/>
            <w:vAlign w:val="center"/>
          </w:tcPr>
          <w:p w14:paraId="52DD7458" w14:textId="77777777" w:rsidR="00F50C57" w:rsidRPr="00F50C57" w:rsidRDefault="00F50C57" w:rsidP="00F50C57">
            <w:pPr>
              <w:jc w:val="center"/>
            </w:pPr>
          </w:p>
        </w:tc>
        <w:tc>
          <w:tcPr>
            <w:tcW w:w="612" w:type="pct"/>
            <w:vMerge/>
            <w:vAlign w:val="center"/>
          </w:tcPr>
          <w:p w14:paraId="14C524E5" w14:textId="77777777" w:rsidR="00F50C57" w:rsidRPr="00F50C57" w:rsidRDefault="00F50C57" w:rsidP="00F50C57">
            <w:pPr>
              <w:jc w:val="center"/>
            </w:pPr>
          </w:p>
        </w:tc>
      </w:tr>
      <w:tr w:rsidR="00F50C57" w:rsidRPr="00F50C57" w14:paraId="6F7A0C2D" w14:textId="77777777" w:rsidTr="00F50C57">
        <w:trPr>
          <w:trHeight w:val="316"/>
        </w:trPr>
        <w:tc>
          <w:tcPr>
            <w:tcW w:w="422" w:type="pct"/>
            <w:vMerge w:val="restart"/>
            <w:vAlign w:val="center"/>
          </w:tcPr>
          <w:p w14:paraId="2D2D1E6A" w14:textId="77777777" w:rsidR="00F50C57" w:rsidRPr="00F50C57" w:rsidRDefault="00F50C57" w:rsidP="00F50C57">
            <w:pPr>
              <w:jc w:val="center"/>
            </w:pPr>
            <w:r w:rsidRPr="00F50C57">
              <w:t>环境空气</w:t>
            </w:r>
          </w:p>
        </w:tc>
        <w:tc>
          <w:tcPr>
            <w:tcW w:w="307" w:type="pct"/>
            <w:vAlign w:val="center"/>
          </w:tcPr>
          <w:p w14:paraId="36F49084" w14:textId="77777777" w:rsidR="00F50C57" w:rsidRPr="00F50C57" w:rsidRDefault="00F50C57" w:rsidP="00F50C57">
            <w:pPr>
              <w:jc w:val="center"/>
            </w:pPr>
            <w:r w:rsidRPr="00F50C57">
              <w:t>1</w:t>
            </w:r>
          </w:p>
        </w:tc>
        <w:tc>
          <w:tcPr>
            <w:tcW w:w="510" w:type="pct"/>
            <w:vAlign w:val="center"/>
          </w:tcPr>
          <w:p w14:paraId="5F58E0C8" w14:textId="77777777" w:rsidR="00F50C57" w:rsidRPr="00F50C57" w:rsidRDefault="00F50C57" w:rsidP="00F50C57">
            <w:pPr>
              <w:jc w:val="center"/>
            </w:pPr>
            <w:r w:rsidRPr="00F50C57">
              <w:t>E 125.026538</w:t>
            </w:r>
          </w:p>
        </w:tc>
        <w:tc>
          <w:tcPr>
            <w:tcW w:w="484" w:type="pct"/>
            <w:vAlign w:val="center"/>
          </w:tcPr>
          <w:p w14:paraId="6FB447C6" w14:textId="77777777" w:rsidR="00F50C57" w:rsidRPr="00F50C57" w:rsidRDefault="00F50C57" w:rsidP="00F50C57">
            <w:pPr>
              <w:jc w:val="center"/>
            </w:pPr>
            <w:r w:rsidRPr="00F50C57">
              <w:t>N 46.472892</w:t>
            </w:r>
          </w:p>
        </w:tc>
        <w:tc>
          <w:tcPr>
            <w:tcW w:w="726" w:type="pct"/>
            <w:vAlign w:val="center"/>
          </w:tcPr>
          <w:p w14:paraId="72325F14" w14:textId="77777777" w:rsidR="00F50C57" w:rsidRPr="00F50C57" w:rsidRDefault="00F50C57" w:rsidP="00F50C57">
            <w:pPr>
              <w:jc w:val="center"/>
            </w:pPr>
            <w:r w:rsidRPr="00F50C57">
              <w:t>农牧场村</w:t>
            </w:r>
          </w:p>
        </w:tc>
        <w:tc>
          <w:tcPr>
            <w:tcW w:w="485" w:type="pct"/>
            <w:vAlign w:val="center"/>
          </w:tcPr>
          <w:p w14:paraId="11766EB1" w14:textId="77777777" w:rsidR="00F50C57" w:rsidRPr="00F50C57" w:rsidRDefault="00F50C57" w:rsidP="00F50C57">
            <w:pPr>
              <w:jc w:val="center"/>
            </w:pPr>
            <w:r w:rsidRPr="00F50C57">
              <w:t>居住区</w:t>
            </w:r>
          </w:p>
        </w:tc>
        <w:tc>
          <w:tcPr>
            <w:tcW w:w="481" w:type="pct"/>
            <w:vMerge w:val="restart"/>
            <w:vAlign w:val="center"/>
          </w:tcPr>
          <w:p w14:paraId="0781297C" w14:textId="77777777" w:rsidR="00F50C57" w:rsidRPr="00F50C57" w:rsidRDefault="00F50C57" w:rsidP="00F50C57">
            <w:pPr>
              <w:jc w:val="center"/>
            </w:pPr>
            <w:r w:rsidRPr="00F50C57">
              <w:t>环境空气</w:t>
            </w:r>
          </w:p>
          <w:p w14:paraId="012141D5" w14:textId="77777777" w:rsidR="00F50C57" w:rsidRPr="00F50C57" w:rsidRDefault="00F50C57" w:rsidP="00F50C57">
            <w:pPr>
              <w:jc w:val="center"/>
            </w:pPr>
            <w:r w:rsidRPr="00F50C57">
              <w:t>二类区</w:t>
            </w:r>
          </w:p>
        </w:tc>
        <w:tc>
          <w:tcPr>
            <w:tcW w:w="485" w:type="pct"/>
            <w:vAlign w:val="center"/>
          </w:tcPr>
          <w:p w14:paraId="73E73C4D" w14:textId="77777777" w:rsidR="00F50C57" w:rsidRPr="00F50C57" w:rsidRDefault="00F50C57" w:rsidP="00F50C57">
            <w:pPr>
              <w:jc w:val="center"/>
            </w:pPr>
            <w:r w:rsidRPr="00F50C57">
              <w:t>NE</w:t>
            </w:r>
          </w:p>
        </w:tc>
        <w:tc>
          <w:tcPr>
            <w:tcW w:w="488" w:type="pct"/>
            <w:vAlign w:val="center"/>
          </w:tcPr>
          <w:p w14:paraId="09015176" w14:textId="77777777" w:rsidR="00F50C57" w:rsidRPr="00F50C57" w:rsidRDefault="00F50C57" w:rsidP="00F50C57">
            <w:pPr>
              <w:jc w:val="center"/>
            </w:pPr>
            <w:r w:rsidRPr="00F50C57">
              <w:t>4340</w:t>
            </w:r>
          </w:p>
        </w:tc>
        <w:tc>
          <w:tcPr>
            <w:tcW w:w="612" w:type="pct"/>
            <w:vAlign w:val="center"/>
          </w:tcPr>
          <w:p w14:paraId="129EC1B6" w14:textId="77777777" w:rsidR="00F50C57" w:rsidRPr="00F50C57" w:rsidRDefault="00F50C57" w:rsidP="00F50C57">
            <w:pPr>
              <w:jc w:val="center"/>
            </w:pPr>
            <w:r w:rsidRPr="00F50C57">
              <w:t>420</w:t>
            </w:r>
          </w:p>
        </w:tc>
      </w:tr>
      <w:tr w:rsidR="00F50C57" w:rsidRPr="00F50C57" w14:paraId="2E8DA45B" w14:textId="77777777" w:rsidTr="00F50C57">
        <w:trPr>
          <w:trHeight w:val="286"/>
        </w:trPr>
        <w:tc>
          <w:tcPr>
            <w:tcW w:w="422" w:type="pct"/>
            <w:vMerge/>
            <w:vAlign w:val="center"/>
          </w:tcPr>
          <w:p w14:paraId="383208DE" w14:textId="77777777" w:rsidR="00F50C57" w:rsidRPr="00F50C57" w:rsidRDefault="00F50C57" w:rsidP="00F50C57">
            <w:pPr>
              <w:jc w:val="center"/>
            </w:pPr>
          </w:p>
        </w:tc>
        <w:tc>
          <w:tcPr>
            <w:tcW w:w="307" w:type="pct"/>
            <w:vAlign w:val="center"/>
          </w:tcPr>
          <w:p w14:paraId="728B037D" w14:textId="77777777" w:rsidR="00F50C57" w:rsidRPr="00F50C57" w:rsidRDefault="00F50C57" w:rsidP="00F50C57">
            <w:pPr>
              <w:jc w:val="center"/>
            </w:pPr>
            <w:r w:rsidRPr="00F50C57">
              <w:t>2</w:t>
            </w:r>
          </w:p>
        </w:tc>
        <w:tc>
          <w:tcPr>
            <w:tcW w:w="510" w:type="pct"/>
            <w:vAlign w:val="center"/>
          </w:tcPr>
          <w:p w14:paraId="5A11C041" w14:textId="77777777" w:rsidR="00F50C57" w:rsidRPr="00F50C57" w:rsidRDefault="00F50C57" w:rsidP="00F50C57">
            <w:pPr>
              <w:jc w:val="center"/>
            </w:pPr>
            <w:r w:rsidRPr="00F50C57">
              <w:t>E 125.012741</w:t>
            </w:r>
          </w:p>
        </w:tc>
        <w:tc>
          <w:tcPr>
            <w:tcW w:w="484" w:type="pct"/>
            <w:vAlign w:val="center"/>
          </w:tcPr>
          <w:p w14:paraId="7609628A" w14:textId="77777777" w:rsidR="00F50C57" w:rsidRPr="00F50C57" w:rsidRDefault="00F50C57" w:rsidP="00F50C57">
            <w:pPr>
              <w:jc w:val="center"/>
            </w:pPr>
            <w:r w:rsidRPr="00F50C57">
              <w:t>N 46.467837</w:t>
            </w:r>
          </w:p>
        </w:tc>
        <w:tc>
          <w:tcPr>
            <w:tcW w:w="726" w:type="pct"/>
            <w:vAlign w:val="center"/>
          </w:tcPr>
          <w:p w14:paraId="61163BAC" w14:textId="77777777" w:rsidR="00F50C57" w:rsidRPr="00F50C57" w:rsidRDefault="00F50C57" w:rsidP="00F50C57">
            <w:pPr>
              <w:jc w:val="center"/>
            </w:pPr>
            <w:r w:rsidRPr="00F50C57">
              <w:t>刘高手村</w:t>
            </w:r>
          </w:p>
        </w:tc>
        <w:tc>
          <w:tcPr>
            <w:tcW w:w="485" w:type="pct"/>
            <w:vAlign w:val="center"/>
          </w:tcPr>
          <w:p w14:paraId="2CFC12EC" w14:textId="77777777" w:rsidR="00F50C57" w:rsidRPr="00F50C57" w:rsidRDefault="00F50C57" w:rsidP="00F50C57">
            <w:pPr>
              <w:jc w:val="center"/>
            </w:pPr>
            <w:r w:rsidRPr="00F50C57">
              <w:t>居住区</w:t>
            </w:r>
          </w:p>
        </w:tc>
        <w:tc>
          <w:tcPr>
            <w:tcW w:w="481" w:type="pct"/>
            <w:vMerge/>
            <w:vAlign w:val="center"/>
          </w:tcPr>
          <w:p w14:paraId="5D6EAE9D" w14:textId="77777777" w:rsidR="00F50C57" w:rsidRPr="00F50C57" w:rsidRDefault="00F50C57" w:rsidP="00F50C57">
            <w:pPr>
              <w:jc w:val="center"/>
            </w:pPr>
          </w:p>
        </w:tc>
        <w:tc>
          <w:tcPr>
            <w:tcW w:w="485" w:type="pct"/>
            <w:vAlign w:val="center"/>
          </w:tcPr>
          <w:p w14:paraId="7A2DB6CA" w14:textId="77777777" w:rsidR="00F50C57" w:rsidRPr="00F50C57" w:rsidRDefault="00F50C57" w:rsidP="00F50C57">
            <w:pPr>
              <w:jc w:val="center"/>
            </w:pPr>
            <w:r w:rsidRPr="00F50C57">
              <w:t>NE</w:t>
            </w:r>
          </w:p>
        </w:tc>
        <w:tc>
          <w:tcPr>
            <w:tcW w:w="488" w:type="pct"/>
            <w:vAlign w:val="center"/>
          </w:tcPr>
          <w:p w14:paraId="46CA69F4" w14:textId="77777777" w:rsidR="00F50C57" w:rsidRPr="00F50C57" w:rsidRDefault="00F50C57" w:rsidP="00F50C57">
            <w:pPr>
              <w:jc w:val="center"/>
            </w:pPr>
            <w:r w:rsidRPr="00F50C57">
              <w:t>3230</w:t>
            </w:r>
          </w:p>
        </w:tc>
        <w:tc>
          <w:tcPr>
            <w:tcW w:w="612" w:type="pct"/>
            <w:vAlign w:val="center"/>
          </w:tcPr>
          <w:p w14:paraId="5E4F982B" w14:textId="77777777" w:rsidR="00F50C57" w:rsidRPr="00F50C57" w:rsidRDefault="00F50C57" w:rsidP="00F50C57">
            <w:pPr>
              <w:jc w:val="center"/>
            </w:pPr>
            <w:r w:rsidRPr="00F50C57">
              <w:t>180</w:t>
            </w:r>
          </w:p>
        </w:tc>
      </w:tr>
      <w:tr w:rsidR="00F50C57" w:rsidRPr="00F50C57" w14:paraId="0E7967B1" w14:textId="77777777" w:rsidTr="00F50C57">
        <w:trPr>
          <w:trHeight w:val="286"/>
        </w:trPr>
        <w:tc>
          <w:tcPr>
            <w:tcW w:w="422" w:type="pct"/>
            <w:vMerge/>
            <w:vAlign w:val="center"/>
          </w:tcPr>
          <w:p w14:paraId="0AE6FEC5" w14:textId="77777777" w:rsidR="00F50C57" w:rsidRPr="00F50C57" w:rsidRDefault="00F50C57" w:rsidP="00F50C57">
            <w:pPr>
              <w:jc w:val="center"/>
            </w:pPr>
          </w:p>
        </w:tc>
        <w:tc>
          <w:tcPr>
            <w:tcW w:w="307" w:type="pct"/>
            <w:vAlign w:val="center"/>
          </w:tcPr>
          <w:p w14:paraId="5AC87886" w14:textId="77777777" w:rsidR="00F50C57" w:rsidRPr="00F50C57" w:rsidRDefault="00F50C57" w:rsidP="00F50C57">
            <w:pPr>
              <w:jc w:val="center"/>
            </w:pPr>
            <w:r w:rsidRPr="00F50C57">
              <w:t>3</w:t>
            </w:r>
          </w:p>
        </w:tc>
        <w:tc>
          <w:tcPr>
            <w:tcW w:w="510" w:type="pct"/>
            <w:vAlign w:val="center"/>
          </w:tcPr>
          <w:p w14:paraId="57C485EB" w14:textId="77777777" w:rsidR="00F50C57" w:rsidRPr="00F50C57" w:rsidRDefault="00F50C57" w:rsidP="00F50C57">
            <w:pPr>
              <w:jc w:val="center"/>
            </w:pPr>
            <w:r w:rsidRPr="00F50C57">
              <w:t>E 124.989481</w:t>
            </w:r>
          </w:p>
        </w:tc>
        <w:tc>
          <w:tcPr>
            <w:tcW w:w="484" w:type="pct"/>
            <w:vAlign w:val="center"/>
          </w:tcPr>
          <w:p w14:paraId="29526F06" w14:textId="77777777" w:rsidR="00F50C57" w:rsidRPr="00F50C57" w:rsidRDefault="00F50C57" w:rsidP="00F50C57">
            <w:pPr>
              <w:jc w:val="center"/>
            </w:pPr>
            <w:r w:rsidRPr="00F50C57">
              <w:t>N 46.469404</w:t>
            </w:r>
          </w:p>
        </w:tc>
        <w:tc>
          <w:tcPr>
            <w:tcW w:w="726" w:type="pct"/>
            <w:vAlign w:val="center"/>
          </w:tcPr>
          <w:p w14:paraId="5A7A0D2C" w14:textId="77777777" w:rsidR="00F50C57" w:rsidRPr="00F50C57" w:rsidRDefault="00F50C57" w:rsidP="00F50C57">
            <w:pPr>
              <w:jc w:val="center"/>
            </w:pPr>
            <w:r w:rsidRPr="00F50C57">
              <w:t>刘高手屯</w:t>
            </w:r>
          </w:p>
        </w:tc>
        <w:tc>
          <w:tcPr>
            <w:tcW w:w="485" w:type="pct"/>
            <w:vAlign w:val="center"/>
          </w:tcPr>
          <w:p w14:paraId="17584294" w14:textId="77777777" w:rsidR="00F50C57" w:rsidRPr="00F50C57" w:rsidRDefault="00F50C57" w:rsidP="00F50C57">
            <w:pPr>
              <w:jc w:val="center"/>
            </w:pPr>
            <w:r w:rsidRPr="00F50C57">
              <w:t>居住区</w:t>
            </w:r>
          </w:p>
        </w:tc>
        <w:tc>
          <w:tcPr>
            <w:tcW w:w="481" w:type="pct"/>
            <w:vMerge/>
            <w:vAlign w:val="center"/>
          </w:tcPr>
          <w:p w14:paraId="2FFEE954" w14:textId="77777777" w:rsidR="00F50C57" w:rsidRPr="00F50C57" w:rsidRDefault="00F50C57" w:rsidP="00F50C57">
            <w:pPr>
              <w:jc w:val="center"/>
            </w:pPr>
          </w:p>
        </w:tc>
        <w:tc>
          <w:tcPr>
            <w:tcW w:w="485" w:type="pct"/>
            <w:vAlign w:val="center"/>
          </w:tcPr>
          <w:p w14:paraId="614A12E1" w14:textId="77777777" w:rsidR="00F50C57" w:rsidRPr="00F50C57" w:rsidRDefault="00F50C57" w:rsidP="00F50C57">
            <w:pPr>
              <w:jc w:val="center"/>
            </w:pPr>
            <w:r w:rsidRPr="00F50C57">
              <w:t>N</w:t>
            </w:r>
          </w:p>
        </w:tc>
        <w:tc>
          <w:tcPr>
            <w:tcW w:w="488" w:type="pct"/>
            <w:vAlign w:val="center"/>
          </w:tcPr>
          <w:p w14:paraId="71C339FF" w14:textId="77777777" w:rsidR="00F50C57" w:rsidRPr="00F50C57" w:rsidRDefault="00F50C57" w:rsidP="00F50C57">
            <w:pPr>
              <w:jc w:val="center"/>
            </w:pPr>
            <w:r w:rsidRPr="00F50C57">
              <w:t>3330</w:t>
            </w:r>
          </w:p>
        </w:tc>
        <w:tc>
          <w:tcPr>
            <w:tcW w:w="612" w:type="pct"/>
            <w:vAlign w:val="center"/>
          </w:tcPr>
          <w:p w14:paraId="6994D9EE" w14:textId="77777777" w:rsidR="00F50C57" w:rsidRPr="00F50C57" w:rsidRDefault="00F50C57" w:rsidP="00F50C57">
            <w:pPr>
              <w:jc w:val="center"/>
            </w:pPr>
            <w:r w:rsidRPr="00F50C57">
              <w:t>500</w:t>
            </w:r>
          </w:p>
        </w:tc>
      </w:tr>
      <w:tr w:rsidR="00F50C57" w:rsidRPr="00F50C57" w14:paraId="756876C3" w14:textId="77777777" w:rsidTr="00F50C57">
        <w:trPr>
          <w:trHeight w:val="90"/>
        </w:trPr>
        <w:tc>
          <w:tcPr>
            <w:tcW w:w="422" w:type="pct"/>
            <w:vMerge/>
            <w:vAlign w:val="center"/>
          </w:tcPr>
          <w:p w14:paraId="628B97D0" w14:textId="77777777" w:rsidR="00F50C57" w:rsidRPr="00F50C57" w:rsidRDefault="00F50C57" w:rsidP="00F50C57">
            <w:pPr>
              <w:jc w:val="center"/>
            </w:pPr>
          </w:p>
        </w:tc>
        <w:tc>
          <w:tcPr>
            <w:tcW w:w="307" w:type="pct"/>
            <w:vAlign w:val="center"/>
          </w:tcPr>
          <w:p w14:paraId="204BEE57" w14:textId="77777777" w:rsidR="00F50C57" w:rsidRPr="00F50C57" w:rsidRDefault="00F50C57" w:rsidP="00F50C57">
            <w:pPr>
              <w:jc w:val="center"/>
            </w:pPr>
            <w:r w:rsidRPr="00F50C57">
              <w:t>4</w:t>
            </w:r>
          </w:p>
        </w:tc>
        <w:tc>
          <w:tcPr>
            <w:tcW w:w="510" w:type="pct"/>
            <w:vAlign w:val="center"/>
          </w:tcPr>
          <w:p w14:paraId="1C03490A" w14:textId="77777777" w:rsidR="00F50C57" w:rsidRPr="00F50C57" w:rsidRDefault="00F50C57" w:rsidP="00F50C57">
            <w:pPr>
              <w:jc w:val="center"/>
            </w:pPr>
            <w:r w:rsidRPr="00F50C57">
              <w:t>E 124.992657</w:t>
            </w:r>
          </w:p>
        </w:tc>
        <w:tc>
          <w:tcPr>
            <w:tcW w:w="484" w:type="pct"/>
            <w:vAlign w:val="center"/>
          </w:tcPr>
          <w:p w14:paraId="4515B869" w14:textId="77777777" w:rsidR="00F50C57" w:rsidRPr="00F50C57" w:rsidRDefault="00F50C57" w:rsidP="00F50C57">
            <w:pPr>
              <w:jc w:val="center"/>
            </w:pPr>
            <w:r w:rsidRPr="00F50C57">
              <w:t>N 46.465340</w:t>
            </w:r>
          </w:p>
        </w:tc>
        <w:tc>
          <w:tcPr>
            <w:tcW w:w="726" w:type="pct"/>
            <w:vAlign w:val="center"/>
          </w:tcPr>
          <w:p w14:paraId="6D505B53" w14:textId="77777777" w:rsidR="00F50C57" w:rsidRPr="00F50C57" w:rsidRDefault="00F50C57" w:rsidP="00F50C57">
            <w:pPr>
              <w:jc w:val="center"/>
            </w:pPr>
            <w:r w:rsidRPr="00F50C57">
              <w:t>萨东村</w:t>
            </w:r>
          </w:p>
        </w:tc>
        <w:tc>
          <w:tcPr>
            <w:tcW w:w="485" w:type="pct"/>
            <w:vAlign w:val="center"/>
          </w:tcPr>
          <w:p w14:paraId="3ECC6E6C" w14:textId="77777777" w:rsidR="00F50C57" w:rsidRPr="00F50C57" w:rsidRDefault="00F50C57" w:rsidP="00F50C57">
            <w:pPr>
              <w:jc w:val="center"/>
            </w:pPr>
            <w:r w:rsidRPr="00F50C57">
              <w:t>居住区</w:t>
            </w:r>
          </w:p>
        </w:tc>
        <w:tc>
          <w:tcPr>
            <w:tcW w:w="481" w:type="pct"/>
            <w:vMerge/>
            <w:vAlign w:val="center"/>
          </w:tcPr>
          <w:p w14:paraId="43B4F508" w14:textId="77777777" w:rsidR="00F50C57" w:rsidRPr="00F50C57" w:rsidRDefault="00F50C57" w:rsidP="00F50C57">
            <w:pPr>
              <w:jc w:val="center"/>
            </w:pPr>
          </w:p>
        </w:tc>
        <w:tc>
          <w:tcPr>
            <w:tcW w:w="485" w:type="pct"/>
            <w:vAlign w:val="center"/>
          </w:tcPr>
          <w:p w14:paraId="10291EE8" w14:textId="77777777" w:rsidR="00F50C57" w:rsidRPr="00F50C57" w:rsidRDefault="00F50C57" w:rsidP="00F50C57">
            <w:pPr>
              <w:jc w:val="center"/>
            </w:pPr>
            <w:r w:rsidRPr="00F50C57">
              <w:t>N</w:t>
            </w:r>
          </w:p>
        </w:tc>
        <w:tc>
          <w:tcPr>
            <w:tcW w:w="488" w:type="pct"/>
            <w:vAlign w:val="center"/>
          </w:tcPr>
          <w:p w14:paraId="14936C72" w14:textId="77777777" w:rsidR="00F50C57" w:rsidRPr="00F50C57" w:rsidRDefault="00F50C57" w:rsidP="00F50C57">
            <w:pPr>
              <w:jc w:val="center"/>
            </w:pPr>
            <w:r w:rsidRPr="00F50C57">
              <w:t>2760</w:t>
            </w:r>
          </w:p>
        </w:tc>
        <w:tc>
          <w:tcPr>
            <w:tcW w:w="612" w:type="pct"/>
            <w:vAlign w:val="center"/>
          </w:tcPr>
          <w:p w14:paraId="76B413CC" w14:textId="77777777" w:rsidR="00F50C57" w:rsidRPr="00F50C57" w:rsidRDefault="00F50C57" w:rsidP="00F50C57">
            <w:pPr>
              <w:jc w:val="center"/>
            </w:pPr>
            <w:r w:rsidRPr="00F50C57">
              <w:t>320</w:t>
            </w:r>
          </w:p>
        </w:tc>
      </w:tr>
      <w:tr w:rsidR="00F50C57" w:rsidRPr="00F50C57" w14:paraId="6898937F" w14:textId="77777777" w:rsidTr="00F50C57">
        <w:trPr>
          <w:trHeight w:val="286"/>
        </w:trPr>
        <w:tc>
          <w:tcPr>
            <w:tcW w:w="422" w:type="pct"/>
            <w:vMerge/>
            <w:vAlign w:val="center"/>
          </w:tcPr>
          <w:p w14:paraId="43A10835" w14:textId="77777777" w:rsidR="00F50C57" w:rsidRPr="00F50C57" w:rsidRDefault="00F50C57" w:rsidP="00F50C57">
            <w:pPr>
              <w:jc w:val="center"/>
            </w:pPr>
          </w:p>
        </w:tc>
        <w:tc>
          <w:tcPr>
            <w:tcW w:w="307" w:type="pct"/>
            <w:vAlign w:val="center"/>
          </w:tcPr>
          <w:p w14:paraId="13C4AC5A" w14:textId="77777777" w:rsidR="00F50C57" w:rsidRPr="00F50C57" w:rsidRDefault="00F50C57" w:rsidP="00F50C57">
            <w:pPr>
              <w:jc w:val="center"/>
            </w:pPr>
            <w:r w:rsidRPr="00F50C57">
              <w:t>5</w:t>
            </w:r>
          </w:p>
        </w:tc>
        <w:tc>
          <w:tcPr>
            <w:tcW w:w="510" w:type="pct"/>
            <w:vAlign w:val="center"/>
          </w:tcPr>
          <w:p w14:paraId="7B14BD07" w14:textId="77777777" w:rsidR="00F50C57" w:rsidRPr="00F50C57" w:rsidRDefault="00F50C57" w:rsidP="00F50C57">
            <w:pPr>
              <w:jc w:val="center"/>
            </w:pPr>
            <w:r w:rsidRPr="00F50C57">
              <w:t>E 125.017376</w:t>
            </w:r>
          </w:p>
        </w:tc>
        <w:tc>
          <w:tcPr>
            <w:tcW w:w="484" w:type="pct"/>
            <w:vAlign w:val="center"/>
          </w:tcPr>
          <w:p w14:paraId="65A4A88E" w14:textId="77777777" w:rsidR="00F50C57" w:rsidRPr="00F50C57" w:rsidRDefault="00F50C57" w:rsidP="00F50C57">
            <w:pPr>
              <w:jc w:val="center"/>
            </w:pPr>
            <w:r w:rsidRPr="00F50C57">
              <w:t>N 46.452761</w:t>
            </w:r>
          </w:p>
        </w:tc>
        <w:tc>
          <w:tcPr>
            <w:tcW w:w="726" w:type="pct"/>
            <w:vAlign w:val="center"/>
          </w:tcPr>
          <w:p w14:paraId="78E348E4" w14:textId="77777777" w:rsidR="00F50C57" w:rsidRPr="00F50C57" w:rsidRDefault="00F50C57" w:rsidP="00F50C57">
            <w:pPr>
              <w:jc w:val="center"/>
            </w:pPr>
            <w:r w:rsidRPr="00F50C57">
              <w:t>农牧场二屯</w:t>
            </w:r>
          </w:p>
        </w:tc>
        <w:tc>
          <w:tcPr>
            <w:tcW w:w="485" w:type="pct"/>
            <w:vAlign w:val="center"/>
          </w:tcPr>
          <w:p w14:paraId="427055F4" w14:textId="77777777" w:rsidR="00F50C57" w:rsidRPr="00F50C57" w:rsidRDefault="00F50C57" w:rsidP="00F50C57">
            <w:pPr>
              <w:jc w:val="center"/>
            </w:pPr>
            <w:r w:rsidRPr="00F50C57">
              <w:t>居住区</w:t>
            </w:r>
          </w:p>
        </w:tc>
        <w:tc>
          <w:tcPr>
            <w:tcW w:w="481" w:type="pct"/>
            <w:vMerge/>
            <w:vAlign w:val="center"/>
          </w:tcPr>
          <w:p w14:paraId="6A9E46AF" w14:textId="77777777" w:rsidR="00F50C57" w:rsidRPr="00F50C57" w:rsidRDefault="00F50C57" w:rsidP="00F50C57">
            <w:pPr>
              <w:jc w:val="center"/>
            </w:pPr>
          </w:p>
        </w:tc>
        <w:tc>
          <w:tcPr>
            <w:tcW w:w="485" w:type="pct"/>
            <w:vAlign w:val="center"/>
          </w:tcPr>
          <w:p w14:paraId="550A87A2" w14:textId="77777777" w:rsidR="00F50C57" w:rsidRPr="00F50C57" w:rsidRDefault="00F50C57" w:rsidP="00F50C57">
            <w:pPr>
              <w:jc w:val="center"/>
            </w:pPr>
            <w:r w:rsidRPr="00F50C57">
              <w:t>NE</w:t>
            </w:r>
          </w:p>
        </w:tc>
        <w:tc>
          <w:tcPr>
            <w:tcW w:w="488" w:type="pct"/>
            <w:vAlign w:val="center"/>
          </w:tcPr>
          <w:p w14:paraId="10022673" w14:textId="77777777" w:rsidR="00F50C57" w:rsidRPr="00F50C57" w:rsidRDefault="00F50C57" w:rsidP="00F50C57">
            <w:pPr>
              <w:jc w:val="center"/>
            </w:pPr>
            <w:r w:rsidRPr="00F50C57">
              <w:t>2060</w:t>
            </w:r>
          </w:p>
        </w:tc>
        <w:tc>
          <w:tcPr>
            <w:tcW w:w="612" w:type="pct"/>
            <w:vAlign w:val="center"/>
          </w:tcPr>
          <w:p w14:paraId="3D89C007" w14:textId="77777777" w:rsidR="00F50C57" w:rsidRPr="00F50C57" w:rsidRDefault="00F50C57" w:rsidP="00F50C57">
            <w:pPr>
              <w:jc w:val="center"/>
            </w:pPr>
            <w:r w:rsidRPr="00F50C57">
              <w:t>220</w:t>
            </w:r>
          </w:p>
        </w:tc>
      </w:tr>
      <w:tr w:rsidR="00F50C57" w:rsidRPr="00F50C57" w14:paraId="3222E896" w14:textId="77777777" w:rsidTr="00F50C57">
        <w:trPr>
          <w:trHeight w:val="220"/>
        </w:trPr>
        <w:tc>
          <w:tcPr>
            <w:tcW w:w="422" w:type="pct"/>
            <w:vMerge/>
            <w:vAlign w:val="center"/>
          </w:tcPr>
          <w:p w14:paraId="405F6FDD" w14:textId="77777777" w:rsidR="00F50C57" w:rsidRPr="00F50C57" w:rsidRDefault="00F50C57" w:rsidP="00F50C57">
            <w:pPr>
              <w:jc w:val="center"/>
            </w:pPr>
          </w:p>
        </w:tc>
        <w:tc>
          <w:tcPr>
            <w:tcW w:w="307" w:type="pct"/>
            <w:vAlign w:val="center"/>
          </w:tcPr>
          <w:p w14:paraId="28534D60" w14:textId="77777777" w:rsidR="00F50C57" w:rsidRPr="00F50C57" w:rsidRDefault="00F50C57" w:rsidP="00F50C57">
            <w:pPr>
              <w:jc w:val="center"/>
            </w:pPr>
            <w:r w:rsidRPr="00F50C57">
              <w:t>6</w:t>
            </w:r>
          </w:p>
        </w:tc>
        <w:tc>
          <w:tcPr>
            <w:tcW w:w="510" w:type="pct"/>
            <w:vAlign w:val="center"/>
          </w:tcPr>
          <w:p w14:paraId="1ECC186B" w14:textId="77777777" w:rsidR="00F50C57" w:rsidRPr="00F50C57" w:rsidRDefault="00F50C57" w:rsidP="00F50C57">
            <w:pPr>
              <w:jc w:val="center"/>
            </w:pPr>
            <w:r w:rsidRPr="00F50C57">
              <w:t>E 124.996090</w:t>
            </w:r>
          </w:p>
        </w:tc>
        <w:tc>
          <w:tcPr>
            <w:tcW w:w="484" w:type="pct"/>
            <w:vAlign w:val="center"/>
          </w:tcPr>
          <w:p w14:paraId="16D191B9" w14:textId="77777777" w:rsidR="00F50C57" w:rsidRPr="00F50C57" w:rsidRDefault="00F50C57" w:rsidP="00F50C57">
            <w:pPr>
              <w:jc w:val="center"/>
            </w:pPr>
            <w:r w:rsidRPr="00F50C57">
              <w:t>N 46.444008</w:t>
            </w:r>
          </w:p>
        </w:tc>
        <w:tc>
          <w:tcPr>
            <w:tcW w:w="726" w:type="pct"/>
            <w:vAlign w:val="center"/>
          </w:tcPr>
          <w:p w14:paraId="00D01950" w14:textId="77777777" w:rsidR="00F50C57" w:rsidRPr="00F50C57" w:rsidRDefault="00F50C57" w:rsidP="00F50C57">
            <w:pPr>
              <w:jc w:val="center"/>
            </w:pPr>
            <w:r w:rsidRPr="00F50C57">
              <w:t>红旗二村</w:t>
            </w:r>
          </w:p>
        </w:tc>
        <w:tc>
          <w:tcPr>
            <w:tcW w:w="485" w:type="pct"/>
            <w:vAlign w:val="center"/>
          </w:tcPr>
          <w:p w14:paraId="4A67C0E4" w14:textId="77777777" w:rsidR="00F50C57" w:rsidRPr="00F50C57" w:rsidRDefault="00F50C57" w:rsidP="00F50C57">
            <w:pPr>
              <w:jc w:val="center"/>
            </w:pPr>
            <w:r w:rsidRPr="00F50C57">
              <w:t>居住区</w:t>
            </w:r>
          </w:p>
        </w:tc>
        <w:tc>
          <w:tcPr>
            <w:tcW w:w="481" w:type="pct"/>
            <w:vMerge/>
            <w:vAlign w:val="center"/>
          </w:tcPr>
          <w:p w14:paraId="095FD8D4" w14:textId="77777777" w:rsidR="00F50C57" w:rsidRPr="00F50C57" w:rsidRDefault="00F50C57" w:rsidP="00F50C57">
            <w:pPr>
              <w:jc w:val="center"/>
            </w:pPr>
          </w:p>
        </w:tc>
        <w:tc>
          <w:tcPr>
            <w:tcW w:w="485" w:type="pct"/>
            <w:vAlign w:val="center"/>
          </w:tcPr>
          <w:p w14:paraId="3D0DEE78" w14:textId="77777777" w:rsidR="00F50C57" w:rsidRPr="00F50C57" w:rsidRDefault="00F50C57" w:rsidP="00F50C57">
            <w:pPr>
              <w:jc w:val="center"/>
            </w:pPr>
            <w:r w:rsidRPr="00F50C57">
              <w:t>NE</w:t>
            </w:r>
          </w:p>
        </w:tc>
        <w:tc>
          <w:tcPr>
            <w:tcW w:w="488" w:type="pct"/>
            <w:vAlign w:val="center"/>
          </w:tcPr>
          <w:p w14:paraId="5A8246F0" w14:textId="77777777" w:rsidR="00F50C57" w:rsidRPr="00F50C57" w:rsidRDefault="00F50C57" w:rsidP="00F50C57">
            <w:pPr>
              <w:jc w:val="center"/>
            </w:pPr>
            <w:r w:rsidRPr="00F50C57">
              <w:t>790</w:t>
            </w:r>
          </w:p>
        </w:tc>
        <w:tc>
          <w:tcPr>
            <w:tcW w:w="612" w:type="pct"/>
            <w:vAlign w:val="center"/>
          </w:tcPr>
          <w:p w14:paraId="52E83AC1" w14:textId="77777777" w:rsidR="00F50C57" w:rsidRPr="00F50C57" w:rsidRDefault="00F50C57" w:rsidP="00F50C57">
            <w:pPr>
              <w:jc w:val="center"/>
            </w:pPr>
            <w:r w:rsidRPr="00F50C57">
              <w:t>180</w:t>
            </w:r>
          </w:p>
        </w:tc>
      </w:tr>
      <w:tr w:rsidR="00F50C57" w:rsidRPr="00F50C57" w14:paraId="61323BB1" w14:textId="77777777" w:rsidTr="00F50C57">
        <w:trPr>
          <w:trHeight w:val="191"/>
        </w:trPr>
        <w:tc>
          <w:tcPr>
            <w:tcW w:w="422" w:type="pct"/>
            <w:vMerge/>
            <w:vAlign w:val="center"/>
          </w:tcPr>
          <w:p w14:paraId="0041A09B" w14:textId="77777777" w:rsidR="00F50C57" w:rsidRPr="00F50C57" w:rsidRDefault="00F50C57" w:rsidP="00F50C57">
            <w:pPr>
              <w:jc w:val="center"/>
            </w:pPr>
          </w:p>
        </w:tc>
        <w:tc>
          <w:tcPr>
            <w:tcW w:w="307" w:type="pct"/>
            <w:vAlign w:val="center"/>
          </w:tcPr>
          <w:p w14:paraId="70BB132D" w14:textId="77777777" w:rsidR="00F50C57" w:rsidRPr="00F50C57" w:rsidRDefault="00F50C57" w:rsidP="00F50C57">
            <w:pPr>
              <w:jc w:val="center"/>
            </w:pPr>
            <w:r w:rsidRPr="00F50C57">
              <w:t>7</w:t>
            </w:r>
          </w:p>
        </w:tc>
        <w:tc>
          <w:tcPr>
            <w:tcW w:w="510" w:type="pct"/>
            <w:vAlign w:val="center"/>
          </w:tcPr>
          <w:p w14:paraId="53DBA061" w14:textId="77777777" w:rsidR="00F50C57" w:rsidRPr="00F50C57" w:rsidRDefault="00F50C57" w:rsidP="00F50C57">
            <w:pPr>
              <w:jc w:val="center"/>
            </w:pPr>
            <w:r w:rsidRPr="00F50C57">
              <w:t>E 125.029564</w:t>
            </w:r>
          </w:p>
        </w:tc>
        <w:tc>
          <w:tcPr>
            <w:tcW w:w="484" w:type="pct"/>
            <w:vAlign w:val="center"/>
          </w:tcPr>
          <w:p w14:paraId="2BA49B35" w14:textId="77777777" w:rsidR="00F50C57" w:rsidRPr="00F50C57" w:rsidRDefault="00F50C57" w:rsidP="00F50C57">
            <w:pPr>
              <w:jc w:val="center"/>
            </w:pPr>
            <w:r w:rsidRPr="00F50C57">
              <w:t>N 46.438833</w:t>
            </w:r>
          </w:p>
        </w:tc>
        <w:tc>
          <w:tcPr>
            <w:tcW w:w="726" w:type="pct"/>
            <w:vAlign w:val="center"/>
          </w:tcPr>
          <w:p w14:paraId="64E2FE4B" w14:textId="77777777" w:rsidR="00F50C57" w:rsidRPr="00F50C57" w:rsidRDefault="00F50C57" w:rsidP="00F50C57">
            <w:pPr>
              <w:jc w:val="center"/>
            </w:pPr>
            <w:r w:rsidRPr="00F50C57">
              <w:t>开荒村</w:t>
            </w:r>
          </w:p>
        </w:tc>
        <w:tc>
          <w:tcPr>
            <w:tcW w:w="485" w:type="pct"/>
            <w:vAlign w:val="center"/>
          </w:tcPr>
          <w:p w14:paraId="73426C5E" w14:textId="77777777" w:rsidR="00F50C57" w:rsidRPr="00F50C57" w:rsidRDefault="00F50C57" w:rsidP="00F50C57">
            <w:pPr>
              <w:jc w:val="center"/>
            </w:pPr>
            <w:r w:rsidRPr="00F50C57">
              <w:t>居住区</w:t>
            </w:r>
          </w:p>
        </w:tc>
        <w:tc>
          <w:tcPr>
            <w:tcW w:w="481" w:type="pct"/>
            <w:vMerge/>
            <w:vAlign w:val="center"/>
          </w:tcPr>
          <w:p w14:paraId="56444C48" w14:textId="77777777" w:rsidR="00F50C57" w:rsidRPr="00F50C57" w:rsidRDefault="00F50C57" w:rsidP="00F50C57">
            <w:pPr>
              <w:jc w:val="center"/>
            </w:pPr>
          </w:p>
        </w:tc>
        <w:tc>
          <w:tcPr>
            <w:tcW w:w="485" w:type="pct"/>
            <w:vAlign w:val="center"/>
          </w:tcPr>
          <w:p w14:paraId="152F42FF" w14:textId="77777777" w:rsidR="00F50C57" w:rsidRPr="00F50C57" w:rsidRDefault="00F50C57" w:rsidP="00F50C57">
            <w:pPr>
              <w:jc w:val="center"/>
            </w:pPr>
            <w:r w:rsidRPr="00F50C57">
              <w:t>E</w:t>
            </w:r>
          </w:p>
        </w:tc>
        <w:tc>
          <w:tcPr>
            <w:tcW w:w="488" w:type="pct"/>
            <w:vAlign w:val="center"/>
          </w:tcPr>
          <w:p w14:paraId="5129E623" w14:textId="77777777" w:rsidR="00F50C57" w:rsidRPr="00F50C57" w:rsidRDefault="00F50C57" w:rsidP="00F50C57">
            <w:pPr>
              <w:jc w:val="center"/>
            </w:pPr>
            <w:r w:rsidRPr="00F50C57">
              <w:t>2150</w:t>
            </w:r>
          </w:p>
        </w:tc>
        <w:tc>
          <w:tcPr>
            <w:tcW w:w="612" w:type="pct"/>
            <w:vAlign w:val="center"/>
          </w:tcPr>
          <w:p w14:paraId="4F6E9AB7" w14:textId="77777777" w:rsidR="00F50C57" w:rsidRPr="00F50C57" w:rsidRDefault="00F50C57" w:rsidP="00F50C57">
            <w:pPr>
              <w:jc w:val="center"/>
            </w:pPr>
            <w:r w:rsidRPr="00F50C57">
              <w:t>510</w:t>
            </w:r>
          </w:p>
        </w:tc>
      </w:tr>
      <w:tr w:rsidR="00F50C57" w:rsidRPr="00F50C57" w14:paraId="4A5C787B" w14:textId="77777777" w:rsidTr="00F50C57">
        <w:trPr>
          <w:trHeight w:val="55"/>
        </w:trPr>
        <w:tc>
          <w:tcPr>
            <w:tcW w:w="422" w:type="pct"/>
            <w:vMerge/>
            <w:vAlign w:val="center"/>
          </w:tcPr>
          <w:p w14:paraId="5F28CDA4" w14:textId="77777777" w:rsidR="00F50C57" w:rsidRPr="00F50C57" w:rsidRDefault="00F50C57" w:rsidP="00F50C57">
            <w:pPr>
              <w:jc w:val="center"/>
            </w:pPr>
          </w:p>
        </w:tc>
        <w:tc>
          <w:tcPr>
            <w:tcW w:w="307" w:type="pct"/>
            <w:vAlign w:val="center"/>
          </w:tcPr>
          <w:p w14:paraId="3B65EC56" w14:textId="77777777" w:rsidR="00F50C57" w:rsidRPr="00F50C57" w:rsidRDefault="00F50C57" w:rsidP="00F50C57">
            <w:pPr>
              <w:jc w:val="center"/>
            </w:pPr>
            <w:r w:rsidRPr="00F50C57">
              <w:t>8</w:t>
            </w:r>
          </w:p>
        </w:tc>
        <w:tc>
          <w:tcPr>
            <w:tcW w:w="510" w:type="pct"/>
            <w:vAlign w:val="center"/>
          </w:tcPr>
          <w:p w14:paraId="50287E53" w14:textId="77777777" w:rsidR="00F50C57" w:rsidRPr="00F50C57" w:rsidRDefault="00F50C57" w:rsidP="00F50C57">
            <w:pPr>
              <w:jc w:val="center"/>
            </w:pPr>
            <w:r w:rsidRPr="00F50C57">
              <w:t>E 125.053854</w:t>
            </w:r>
          </w:p>
        </w:tc>
        <w:tc>
          <w:tcPr>
            <w:tcW w:w="484" w:type="pct"/>
            <w:vAlign w:val="center"/>
          </w:tcPr>
          <w:p w14:paraId="3C832340" w14:textId="77777777" w:rsidR="00F50C57" w:rsidRPr="00F50C57" w:rsidRDefault="00F50C57" w:rsidP="00F50C57">
            <w:pPr>
              <w:jc w:val="center"/>
            </w:pPr>
            <w:r w:rsidRPr="00F50C57">
              <w:t>N 46.428215</w:t>
            </w:r>
          </w:p>
        </w:tc>
        <w:tc>
          <w:tcPr>
            <w:tcW w:w="726" w:type="pct"/>
            <w:vAlign w:val="center"/>
          </w:tcPr>
          <w:p w14:paraId="0DEC13B6" w14:textId="77777777" w:rsidR="00F50C57" w:rsidRPr="00F50C57" w:rsidRDefault="00F50C57" w:rsidP="00F50C57">
            <w:pPr>
              <w:jc w:val="center"/>
            </w:pPr>
            <w:r w:rsidRPr="00F50C57">
              <w:t>长山村</w:t>
            </w:r>
          </w:p>
        </w:tc>
        <w:tc>
          <w:tcPr>
            <w:tcW w:w="485" w:type="pct"/>
            <w:vAlign w:val="center"/>
          </w:tcPr>
          <w:p w14:paraId="34BCEF34" w14:textId="77777777" w:rsidR="00F50C57" w:rsidRPr="00F50C57" w:rsidRDefault="00F50C57" w:rsidP="00F50C57">
            <w:pPr>
              <w:jc w:val="center"/>
            </w:pPr>
            <w:r w:rsidRPr="00F50C57">
              <w:t>居住区</w:t>
            </w:r>
          </w:p>
        </w:tc>
        <w:tc>
          <w:tcPr>
            <w:tcW w:w="481" w:type="pct"/>
            <w:vMerge/>
            <w:vAlign w:val="center"/>
          </w:tcPr>
          <w:p w14:paraId="4F317FAC" w14:textId="77777777" w:rsidR="00F50C57" w:rsidRPr="00F50C57" w:rsidRDefault="00F50C57" w:rsidP="00F50C57">
            <w:pPr>
              <w:jc w:val="center"/>
            </w:pPr>
          </w:p>
        </w:tc>
        <w:tc>
          <w:tcPr>
            <w:tcW w:w="485" w:type="pct"/>
            <w:vAlign w:val="center"/>
          </w:tcPr>
          <w:p w14:paraId="38FBC4E6" w14:textId="77777777" w:rsidR="00F50C57" w:rsidRPr="00F50C57" w:rsidRDefault="00F50C57" w:rsidP="00F50C57">
            <w:pPr>
              <w:jc w:val="center"/>
            </w:pPr>
            <w:r w:rsidRPr="00F50C57">
              <w:t>SE</w:t>
            </w:r>
          </w:p>
        </w:tc>
        <w:tc>
          <w:tcPr>
            <w:tcW w:w="488" w:type="pct"/>
            <w:vAlign w:val="center"/>
          </w:tcPr>
          <w:p w14:paraId="2DBD761C" w14:textId="77777777" w:rsidR="00F50C57" w:rsidRPr="00F50C57" w:rsidRDefault="00F50C57" w:rsidP="00F50C57">
            <w:pPr>
              <w:jc w:val="center"/>
            </w:pPr>
            <w:r w:rsidRPr="00F50C57">
              <w:t>3920</w:t>
            </w:r>
          </w:p>
        </w:tc>
        <w:tc>
          <w:tcPr>
            <w:tcW w:w="612" w:type="pct"/>
            <w:vAlign w:val="center"/>
          </w:tcPr>
          <w:p w14:paraId="5868DFBF" w14:textId="77777777" w:rsidR="00F50C57" w:rsidRPr="00F50C57" w:rsidRDefault="00F50C57" w:rsidP="00F50C57">
            <w:pPr>
              <w:jc w:val="center"/>
            </w:pPr>
            <w:r w:rsidRPr="00F50C57">
              <w:t>440</w:t>
            </w:r>
          </w:p>
        </w:tc>
      </w:tr>
      <w:tr w:rsidR="00F50C57" w:rsidRPr="00F50C57" w14:paraId="00003006" w14:textId="77777777" w:rsidTr="00F50C57">
        <w:trPr>
          <w:trHeight w:val="55"/>
        </w:trPr>
        <w:tc>
          <w:tcPr>
            <w:tcW w:w="422" w:type="pct"/>
            <w:vMerge/>
            <w:vAlign w:val="center"/>
          </w:tcPr>
          <w:p w14:paraId="5886D535" w14:textId="77777777" w:rsidR="00F50C57" w:rsidRPr="00F50C57" w:rsidRDefault="00F50C57" w:rsidP="00F50C57">
            <w:pPr>
              <w:jc w:val="center"/>
            </w:pPr>
          </w:p>
        </w:tc>
        <w:tc>
          <w:tcPr>
            <w:tcW w:w="307" w:type="pct"/>
            <w:vAlign w:val="center"/>
          </w:tcPr>
          <w:p w14:paraId="47AE39E1" w14:textId="77777777" w:rsidR="00F50C57" w:rsidRPr="00F50C57" w:rsidRDefault="00F50C57" w:rsidP="00F50C57">
            <w:pPr>
              <w:jc w:val="center"/>
            </w:pPr>
            <w:r w:rsidRPr="00F50C57">
              <w:t>9</w:t>
            </w:r>
          </w:p>
        </w:tc>
        <w:tc>
          <w:tcPr>
            <w:tcW w:w="510" w:type="pct"/>
            <w:vAlign w:val="center"/>
          </w:tcPr>
          <w:p w14:paraId="01EF4E99" w14:textId="77777777" w:rsidR="00F50C57" w:rsidRPr="00F50C57" w:rsidRDefault="00F50C57" w:rsidP="00F50C57">
            <w:pPr>
              <w:jc w:val="center"/>
            </w:pPr>
            <w:r w:rsidRPr="00F50C57">
              <w:t>E 125.031152</w:t>
            </w:r>
          </w:p>
        </w:tc>
        <w:tc>
          <w:tcPr>
            <w:tcW w:w="484" w:type="pct"/>
            <w:vAlign w:val="center"/>
          </w:tcPr>
          <w:p w14:paraId="54A6FF99" w14:textId="77777777" w:rsidR="00F50C57" w:rsidRPr="00F50C57" w:rsidRDefault="00F50C57" w:rsidP="00F50C57">
            <w:pPr>
              <w:jc w:val="center"/>
            </w:pPr>
            <w:r w:rsidRPr="00F50C57">
              <w:t>N 46.395312</w:t>
            </w:r>
          </w:p>
        </w:tc>
        <w:tc>
          <w:tcPr>
            <w:tcW w:w="726" w:type="pct"/>
            <w:vAlign w:val="center"/>
          </w:tcPr>
          <w:p w14:paraId="25A87D62" w14:textId="77777777" w:rsidR="00F50C57" w:rsidRPr="00F50C57" w:rsidRDefault="00F50C57" w:rsidP="00F50C57">
            <w:pPr>
              <w:jc w:val="center"/>
            </w:pPr>
            <w:r w:rsidRPr="00F50C57">
              <w:t>二龙山村</w:t>
            </w:r>
          </w:p>
        </w:tc>
        <w:tc>
          <w:tcPr>
            <w:tcW w:w="485" w:type="pct"/>
            <w:vAlign w:val="center"/>
          </w:tcPr>
          <w:p w14:paraId="4BDED930" w14:textId="77777777" w:rsidR="00F50C57" w:rsidRPr="00F50C57" w:rsidRDefault="00F50C57" w:rsidP="00F50C57">
            <w:pPr>
              <w:jc w:val="center"/>
            </w:pPr>
            <w:r w:rsidRPr="00F50C57">
              <w:t>居住区</w:t>
            </w:r>
          </w:p>
        </w:tc>
        <w:tc>
          <w:tcPr>
            <w:tcW w:w="481" w:type="pct"/>
            <w:vMerge/>
            <w:vAlign w:val="center"/>
          </w:tcPr>
          <w:p w14:paraId="3F3EF64E" w14:textId="77777777" w:rsidR="00F50C57" w:rsidRPr="00F50C57" w:rsidRDefault="00F50C57" w:rsidP="00F50C57">
            <w:pPr>
              <w:jc w:val="center"/>
            </w:pPr>
          </w:p>
        </w:tc>
        <w:tc>
          <w:tcPr>
            <w:tcW w:w="485" w:type="pct"/>
            <w:vAlign w:val="center"/>
          </w:tcPr>
          <w:p w14:paraId="6D7BEF71" w14:textId="77777777" w:rsidR="00F50C57" w:rsidRPr="00F50C57" w:rsidRDefault="00F50C57" w:rsidP="00F50C57">
            <w:pPr>
              <w:jc w:val="center"/>
            </w:pPr>
            <w:r w:rsidRPr="00F50C57">
              <w:t>SE</w:t>
            </w:r>
          </w:p>
        </w:tc>
        <w:tc>
          <w:tcPr>
            <w:tcW w:w="488" w:type="pct"/>
            <w:vAlign w:val="center"/>
          </w:tcPr>
          <w:p w14:paraId="469DAB7A" w14:textId="77777777" w:rsidR="00F50C57" w:rsidRPr="00F50C57" w:rsidRDefault="00F50C57" w:rsidP="00F50C57">
            <w:pPr>
              <w:jc w:val="center"/>
            </w:pPr>
            <w:r w:rsidRPr="00F50C57">
              <w:t>5130</w:t>
            </w:r>
          </w:p>
        </w:tc>
        <w:tc>
          <w:tcPr>
            <w:tcW w:w="612" w:type="pct"/>
            <w:vAlign w:val="center"/>
          </w:tcPr>
          <w:p w14:paraId="29C830AD" w14:textId="77777777" w:rsidR="00F50C57" w:rsidRPr="00F50C57" w:rsidRDefault="00F50C57" w:rsidP="00F50C57">
            <w:pPr>
              <w:jc w:val="center"/>
            </w:pPr>
            <w:r w:rsidRPr="00F50C57">
              <w:t>170</w:t>
            </w:r>
          </w:p>
        </w:tc>
      </w:tr>
      <w:tr w:rsidR="00F50C57" w:rsidRPr="00F50C57" w14:paraId="60447BD0" w14:textId="77777777" w:rsidTr="00F50C57">
        <w:trPr>
          <w:trHeight w:val="356"/>
        </w:trPr>
        <w:tc>
          <w:tcPr>
            <w:tcW w:w="422" w:type="pct"/>
            <w:vMerge/>
            <w:vAlign w:val="center"/>
          </w:tcPr>
          <w:p w14:paraId="223EFB1F" w14:textId="77777777" w:rsidR="00F50C57" w:rsidRPr="00F50C57" w:rsidRDefault="00F50C57" w:rsidP="00F50C57">
            <w:pPr>
              <w:jc w:val="center"/>
            </w:pPr>
          </w:p>
        </w:tc>
        <w:tc>
          <w:tcPr>
            <w:tcW w:w="307" w:type="pct"/>
            <w:vAlign w:val="center"/>
          </w:tcPr>
          <w:p w14:paraId="65349CCB" w14:textId="77777777" w:rsidR="00F50C57" w:rsidRPr="00F50C57" w:rsidRDefault="00F50C57" w:rsidP="00F50C57">
            <w:pPr>
              <w:jc w:val="center"/>
            </w:pPr>
            <w:r w:rsidRPr="00F50C57">
              <w:t>10</w:t>
            </w:r>
          </w:p>
        </w:tc>
        <w:tc>
          <w:tcPr>
            <w:tcW w:w="510" w:type="pct"/>
            <w:vAlign w:val="center"/>
          </w:tcPr>
          <w:p w14:paraId="2E6FF8C8" w14:textId="77777777" w:rsidR="00F50C57" w:rsidRPr="00F50C57" w:rsidRDefault="00F50C57" w:rsidP="00F50C57">
            <w:pPr>
              <w:jc w:val="center"/>
            </w:pPr>
            <w:r w:rsidRPr="00F50C57">
              <w:t>E 125.019307</w:t>
            </w:r>
          </w:p>
        </w:tc>
        <w:tc>
          <w:tcPr>
            <w:tcW w:w="484" w:type="pct"/>
            <w:vAlign w:val="center"/>
          </w:tcPr>
          <w:p w14:paraId="18A7CCC0" w14:textId="77777777" w:rsidR="00F50C57" w:rsidRPr="00F50C57" w:rsidRDefault="00F50C57" w:rsidP="00F50C57">
            <w:pPr>
              <w:jc w:val="center"/>
            </w:pPr>
            <w:r w:rsidRPr="00F50C57">
              <w:t>N 46.404398</w:t>
            </w:r>
          </w:p>
        </w:tc>
        <w:tc>
          <w:tcPr>
            <w:tcW w:w="726" w:type="pct"/>
            <w:vAlign w:val="center"/>
          </w:tcPr>
          <w:p w14:paraId="7866AF26" w14:textId="77777777" w:rsidR="00F50C57" w:rsidRPr="00F50C57" w:rsidRDefault="00F50C57" w:rsidP="00F50C57">
            <w:pPr>
              <w:jc w:val="center"/>
            </w:pPr>
            <w:r w:rsidRPr="00F50C57">
              <w:t>汪家围子</w:t>
            </w:r>
          </w:p>
        </w:tc>
        <w:tc>
          <w:tcPr>
            <w:tcW w:w="485" w:type="pct"/>
            <w:vAlign w:val="center"/>
          </w:tcPr>
          <w:p w14:paraId="165A3700" w14:textId="77777777" w:rsidR="00F50C57" w:rsidRPr="00F50C57" w:rsidRDefault="00F50C57" w:rsidP="00F50C57">
            <w:pPr>
              <w:jc w:val="center"/>
            </w:pPr>
            <w:r w:rsidRPr="00F50C57">
              <w:t>居住区</w:t>
            </w:r>
          </w:p>
        </w:tc>
        <w:tc>
          <w:tcPr>
            <w:tcW w:w="481" w:type="pct"/>
            <w:vMerge/>
            <w:vAlign w:val="center"/>
          </w:tcPr>
          <w:p w14:paraId="1DFCA796" w14:textId="77777777" w:rsidR="00F50C57" w:rsidRPr="00F50C57" w:rsidRDefault="00F50C57" w:rsidP="00F50C57">
            <w:pPr>
              <w:jc w:val="center"/>
            </w:pPr>
          </w:p>
        </w:tc>
        <w:tc>
          <w:tcPr>
            <w:tcW w:w="485" w:type="pct"/>
            <w:vAlign w:val="center"/>
          </w:tcPr>
          <w:p w14:paraId="00B5DBE5" w14:textId="77777777" w:rsidR="00F50C57" w:rsidRPr="00F50C57" w:rsidRDefault="00F50C57" w:rsidP="00F50C57">
            <w:pPr>
              <w:jc w:val="center"/>
            </w:pPr>
            <w:r w:rsidRPr="00F50C57">
              <w:t>SE</w:t>
            </w:r>
          </w:p>
        </w:tc>
        <w:tc>
          <w:tcPr>
            <w:tcW w:w="488" w:type="pct"/>
            <w:vAlign w:val="center"/>
          </w:tcPr>
          <w:p w14:paraId="5BC18EB8" w14:textId="77777777" w:rsidR="00F50C57" w:rsidRPr="00F50C57" w:rsidRDefault="00F50C57" w:rsidP="00F50C57">
            <w:pPr>
              <w:jc w:val="center"/>
            </w:pPr>
            <w:r w:rsidRPr="00F50C57">
              <w:t>3840</w:t>
            </w:r>
          </w:p>
        </w:tc>
        <w:tc>
          <w:tcPr>
            <w:tcW w:w="612" w:type="pct"/>
            <w:vAlign w:val="center"/>
          </w:tcPr>
          <w:p w14:paraId="2B8D2155" w14:textId="77777777" w:rsidR="00F50C57" w:rsidRPr="00F50C57" w:rsidRDefault="00F50C57" w:rsidP="00F50C57">
            <w:pPr>
              <w:jc w:val="center"/>
            </w:pPr>
            <w:r w:rsidRPr="00F50C57">
              <w:t>200</w:t>
            </w:r>
          </w:p>
        </w:tc>
      </w:tr>
      <w:tr w:rsidR="00F50C57" w:rsidRPr="00F50C57" w14:paraId="5006EDA9" w14:textId="77777777" w:rsidTr="00F50C57">
        <w:trPr>
          <w:trHeight w:val="187"/>
        </w:trPr>
        <w:tc>
          <w:tcPr>
            <w:tcW w:w="422" w:type="pct"/>
            <w:vMerge/>
            <w:vAlign w:val="center"/>
          </w:tcPr>
          <w:p w14:paraId="3E4ED4C5" w14:textId="77777777" w:rsidR="00F50C57" w:rsidRPr="00F50C57" w:rsidRDefault="00F50C57" w:rsidP="00F50C57">
            <w:pPr>
              <w:jc w:val="center"/>
            </w:pPr>
          </w:p>
        </w:tc>
        <w:tc>
          <w:tcPr>
            <w:tcW w:w="307" w:type="pct"/>
            <w:vAlign w:val="center"/>
          </w:tcPr>
          <w:p w14:paraId="71456D38" w14:textId="77777777" w:rsidR="00F50C57" w:rsidRPr="00F50C57" w:rsidRDefault="00F50C57" w:rsidP="00F50C57">
            <w:pPr>
              <w:jc w:val="center"/>
            </w:pPr>
            <w:r w:rsidRPr="00F50C57">
              <w:t>11</w:t>
            </w:r>
          </w:p>
        </w:tc>
        <w:tc>
          <w:tcPr>
            <w:tcW w:w="510" w:type="pct"/>
            <w:vAlign w:val="center"/>
          </w:tcPr>
          <w:p w14:paraId="0F7BED84" w14:textId="77777777" w:rsidR="00F50C57" w:rsidRPr="00F50C57" w:rsidRDefault="00F50C57" w:rsidP="00F50C57">
            <w:pPr>
              <w:jc w:val="center"/>
            </w:pPr>
            <w:r w:rsidRPr="00F50C57">
              <w:t>E 125.000124</w:t>
            </w:r>
          </w:p>
        </w:tc>
        <w:tc>
          <w:tcPr>
            <w:tcW w:w="484" w:type="pct"/>
            <w:vAlign w:val="center"/>
          </w:tcPr>
          <w:p w14:paraId="20539149" w14:textId="77777777" w:rsidR="00F50C57" w:rsidRPr="00F50C57" w:rsidRDefault="00F50C57" w:rsidP="00F50C57">
            <w:pPr>
              <w:jc w:val="center"/>
            </w:pPr>
            <w:r w:rsidRPr="00F50C57">
              <w:t>N 46.414606</w:t>
            </w:r>
          </w:p>
        </w:tc>
        <w:tc>
          <w:tcPr>
            <w:tcW w:w="726" w:type="pct"/>
            <w:vAlign w:val="center"/>
          </w:tcPr>
          <w:p w14:paraId="40F95711" w14:textId="77777777" w:rsidR="00F50C57" w:rsidRPr="00F50C57" w:rsidRDefault="00F50C57" w:rsidP="00F50C57">
            <w:pPr>
              <w:jc w:val="center"/>
            </w:pPr>
            <w:r w:rsidRPr="00F50C57">
              <w:t>前进村</w:t>
            </w:r>
          </w:p>
        </w:tc>
        <w:tc>
          <w:tcPr>
            <w:tcW w:w="485" w:type="pct"/>
            <w:vAlign w:val="center"/>
          </w:tcPr>
          <w:p w14:paraId="388DEDD5" w14:textId="77777777" w:rsidR="00F50C57" w:rsidRPr="00F50C57" w:rsidRDefault="00F50C57" w:rsidP="00F50C57">
            <w:pPr>
              <w:jc w:val="center"/>
            </w:pPr>
            <w:r w:rsidRPr="00F50C57">
              <w:t>居住区</w:t>
            </w:r>
          </w:p>
        </w:tc>
        <w:tc>
          <w:tcPr>
            <w:tcW w:w="481" w:type="pct"/>
            <w:vMerge/>
            <w:vAlign w:val="center"/>
          </w:tcPr>
          <w:p w14:paraId="37E9E93C" w14:textId="77777777" w:rsidR="00F50C57" w:rsidRPr="00F50C57" w:rsidRDefault="00F50C57" w:rsidP="00F50C57">
            <w:pPr>
              <w:jc w:val="center"/>
            </w:pPr>
          </w:p>
        </w:tc>
        <w:tc>
          <w:tcPr>
            <w:tcW w:w="485" w:type="pct"/>
            <w:vAlign w:val="center"/>
          </w:tcPr>
          <w:p w14:paraId="23A56902" w14:textId="77777777" w:rsidR="00F50C57" w:rsidRPr="00F50C57" w:rsidRDefault="00F50C57" w:rsidP="00F50C57">
            <w:pPr>
              <w:jc w:val="center"/>
            </w:pPr>
            <w:r w:rsidRPr="00F50C57">
              <w:t>SE</w:t>
            </w:r>
          </w:p>
        </w:tc>
        <w:tc>
          <w:tcPr>
            <w:tcW w:w="488" w:type="pct"/>
            <w:vAlign w:val="center"/>
          </w:tcPr>
          <w:p w14:paraId="1BBA2CC6" w14:textId="77777777" w:rsidR="00F50C57" w:rsidRPr="00F50C57" w:rsidRDefault="00F50C57" w:rsidP="00F50C57">
            <w:pPr>
              <w:jc w:val="center"/>
            </w:pPr>
            <w:r w:rsidRPr="00F50C57">
              <w:t>1870</w:t>
            </w:r>
          </w:p>
        </w:tc>
        <w:tc>
          <w:tcPr>
            <w:tcW w:w="612" w:type="pct"/>
            <w:vAlign w:val="center"/>
          </w:tcPr>
          <w:p w14:paraId="50546080" w14:textId="77777777" w:rsidR="00F50C57" w:rsidRPr="00F50C57" w:rsidRDefault="00F50C57" w:rsidP="00F50C57">
            <w:pPr>
              <w:jc w:val="center"/>
            </w:pPr>
            <w:r w:rsidRPr="00F50C57">
              <w:t>200</w:t>
            </w:r>
          </w:p>
        </w:tc>
      </w:tr>
      <w:tr w:rsidR="00F50C57" w:rsidRPr="00F50C57" w14:paraId="53D16766" w14:textId="77777777" w:rsidTr="00F50C57">
        <w:trPr>
          <w:trHeight w:val="203"/>
        </w:trPr>
        <w:tc>
          <w:tcPr>
            <w:tcW w:w="422" w:type="pct"/>
            <w:vMerge/>
            <w:vAlign w:val="center"/>
          </w:tcPr>
          <w:p w14:paraId="34D83A19" w14:textId="77777777" w:rsidR="00F50C57" w:rsidRPr="00F50C57" w:rsidRDefault="00F50C57" w:rsidP="00F50C57">
            <w:pPr>
              <w:jc w:val="center"/>
            </w:pPr>
          </w:p>
        </w:tc>
        <w:tc>
          <w:tcPr>
            <w:tcW w:w="307" w:type="pct"/>
            <w:vAlign w:val="center"/>
          </w:tcPr>
          <w:p w14:paraId="6639926B" w14:textId="77777777" w:rsidR="00F50C57" w:rsidRPr="00F50C57" w:rsidRDefault="00F50C57" w:rsidP="00F50C57">
            <w:pPr>
              <w:jc w:val="center"/>
            </w:pPr>
            <w:r w:rsidRPr="00F50C57">
              <w:t>12</w:t>
            </w:r>
          </w:p>
        </w:tc>
        <w:tc>
          <w:tcPr>
            <w:tcW w:w="510" w:type="pct"/>
            <w:vAlign w:val="center"/>
          </w:tcPr>
          <w:p w14:paraId="49B2FBB2" w14:textId="77777777" w:rsidR="00F50C57" w:rsidRPr="00F50C57" w:rsidRDefault="00F50C57" w:rsidP="00F50C57">
            <w:pPr>
              <w:jc w:val="center"/>
            </w:pPr>
            <w:r w:rsidRPr="00F50C57">
              <w:t>E 124.968495</w:t>
            </w:r>
          </w:p>
        </w:tc>
        <w:tc>
          <w:tcPr>
            <w:tcW w:w="484" w:type="pct"/>
            <w:vAlign w:val="center"/>
          </w:tcPr>
          <w:p w14:paraId="726EB9EC" w14:textId="77777777" w:rsidR="00F50C57" w:rsidRPr="00F50C57" w:rsidRDefault="00F50C57" w:rsidP="00F50C57">
            <w:pPr>
              <w:jc w:val="center"/>
            </w:pPr>
            <w:r w:rsidRPr="00F50C57">
              <w:t>N 46.413807</w:t>
            </w:r>
          </w:p>
        </w:tc>
        <w:tc>
          <w:tcPr>
            <w:tcW w:w="726" w:type="pct"/>
            <w:vAlign w:val="center"/>
          </w:tcPr>
          <w:p w14:paraId="1CDF7FE8" w14:textId="77777777" w:rsidR="00F50C57" w:rsidRPr="00F50C57" w:rsidRDefault="00F50C57" w:rsidP="00F50C57">
            <w:pPr>
              <w:jc w:val="center"/>
            </w:pPr>
            <w:r w:rsidRPr="00F50C57">
              <w:t>双发屯</w:t>
            </w:r>
          </w:p>
        </w:tc>
        <w:tc>
          <w:tcPr>
            <w:tcW w:w="485" w:type="pct"/>
            <w:vAlign w:val="center"/>
          </w:tcPr>
          <w:p w14:paraId="453AB3C8" w14:textId="77777777" w:rsidR="00F50C57" w:rsidRPr="00F50C57" w:rsidRDefault="00F50C57" w:rsidP="00F50C57">
            <w:pPr>
              <w:jc w:val="center"/>
            </w:pPr>
            <w:r w:rsidRPr="00F50C57">
              <w:t>居住区</w:t>
            </w:r>
          </w:p>
        </w:tc>
        <w:tc>
          <w:tcPr>
            <w:tcW w:w="481" w:type="pct"/>
            <w:vMerge/>
            <w:vAlign w:val="center"/>
          </w:tcPr>
          <w:p w14:paraId="780FEAF3" w14:textId="77777777" w:rsidR="00F50C57" w:rsidRPr="00F50C57" w:rsidRDefault="00F50C57" w:rsidP="00F50C57">
            <w:pPr>
              <w:jc w:val="center"/>
            </w:pPr>
          </w:p>
        </w:tc>
        <w:tc>
          <w:tcPr>
            <w:tcW w:w="485" w:type="pct"/>
            <w:vAlign w:val="center"/>
          </w:tcPr>
          <w:p w14:paraId="15B570AE" w14:textId="77777777" w:rsidR="00F50C57" w:rsidRPr="00F50C57" w:rsidRDefault="00F50C57" w:rsidP="00F50C57">
            <w:pPr>
              <w:jc w:val="center"/>
            </w:pPr>
            <w:r w:rsidRPr="00F50C57">
              <w:t>SW</w:t>
            </w:r>
          </w:p>
        </w:tc>
        <w:tc>
          <w:tcPr>
            <w:tcW w:w="488" w:type="pct"/>
            <w:vAlign w:val="center"/>
          </w:tcPr>
          <w:p w14:paraId="6CB07530" w14:textId="77777777" w:rsidR="00F50C57" w:rsidRPr="00F50C57" w:rsidRDefault="00F50C57" w:rsidP="00F50C57">
            <w:pPr>
              <w:jc w:val="center"/>
            </w:pPr>
            <w:r w:rsidRPr="00F50C57">
              <w:t>2090</w:t>
            </w:r>
          </w:p>
        </w:tc>
        <w:tc>
          <w:tcPr>
            <w:tcW w:w="612" w:type="pct"/>
            <w:vAlign w:val="center"/>
          </w:tcPr>
          <w:p w14:paraId="488C9232" w14:textId="77777777" w:rsidR="00F50C57" w:rsidRPr="00F50C57" w:rsidRDefault="00F50C57" w:rsidP="00F50C57">
            <w:pPr>
              <w:jc w:val="center"/>
            </w:pPr>
            <w:r w:rsidRPr="00F50C57">
              <w:t>740</w:t>
            </w:r>
          </w:p>
        </w:tc>
      </w:tr>
      <w:tr w:rsidR="00F50C57" w:rsidRPr="00F50C57" w14:paraId="2CC9259F" w14:textId="77777777" w:rsidTr="00F50C57">
        <w:trPr>
          <w:trHeight w:val="55"/>
        </w:trPr>
        <w:tc>
          <w:tcPr>
            <w:tcW w:w="422" w:type="pct"/>
            <w:vMerge/>
            <w:vAlign w:val="center"/>
          </w:tcPr>
          <w:p w14:paraId="237888BA" w14:textId="77777777" w:rsidR="00F50C57" w:rsidRPr="00F50C57" w:rsidRDefault="00F50C57" w:rsidP="00F50C57">
            <w:pPr>
              <w:jc w:val="center"/>
            </w:pPr>
          </w:p>
        </w:tc>
        <w:tc>
          <w:tcPr>
            <w:tcW w:w="307" w:type="pct"/>
            <w:vAlign w:val="center"/>
          </w:tcPr>
          <w:p w14:paraId="622204C9" w14:textId="77777777" w:rsidR="00F50C57" w:rsidRPr="00F50C57" w:rsidRDefault="00F50C57" w:rsidP="00F50C57">
            <w:pPr>
              <w:jc w:val="center"/>
            </w:pPr>
            <w:r w:rsidRPr="00F50C57">
              <w:t>13</w:t>
            </w:r>
          </w:p>
        </w:tc>
        <w:tc>
          <w:tcPr>
            <w:tcW w:w="510" w:type="pct"/>
            <w:vAlign w:val="center"/>
          </w:tcPr>
          <w:p w14:paraId="4E1E7C38" w14:textId="77777777" w:rsidR="00F50C57" w:rsidRPr="00F50C57" w:rsidRDefault="00F50C57" w:rsidP="00F50C57">
            <w:pPr>
              <w:jc w:val="center"/>
            </w:pPr>
            <w:r w:rsidRPr="00F50C57">
              <w:t>E 124.951072</w:t>
            </w:r>
          </w:p>
        </w:tc>
        <w:tc>
          <w:tcPr>
            <w:tcW w:w="484" w:type="pct"/>
            <w:vAlign w:val="center"/>
          </w:tcPr>
          <w:p w14:paraId="02904B16" w14:textId="77777777" w:rsidR="00F50C57" w:rsidRPr="00F50C57" w:rsidRDefault="00F50C57" w:rsidP="00F50C57">
            <w:pPr>
              <w:jc w:val="center"/>
            </w:pPr>
            <w:r w:rsidRPr="00F50C57">
              <w:t>N 46.428644</w:t>
            </w:r>
          </w:p>
        </w:tc>
        <w:tc>
          <w:tcPr>
            <w:tcW w:w="726" w:type="pct"/>
            <w:vAlign w:val="center"/>
          </w:tcPr>
          <w:p w14:paraId="749D3D31" w14:textId="77777777" w:rsidR="00F50C57" w:rsidRPr="00F50C57" w:rsidRDefault="00F50C57" w:rsidP="00F50C57">
            <w:pPr>
              <w:jc w:val="center"/>
            </w:pPr>
            <w:r w:rsidRPr="00F50C57">
              <w:t>农牧场三屯</w:t>
            </w:r>
          </w:p>
        </w:tc>
        <w:tc>
          <w:tcPr>
            <w:tcW w:w="485" w:type="pct"/>
            <w:vAlign w:val="center"/>
          </w:tcPr>
          <w:p w14:paraId="4F417577" w14:textId="77777777" w:rsidR="00F50C57" w:rsidRPr="00F50C57" w:rsidRDefault="00F50C57" w:rsidP="00F50C57">
            <w:pPr>
              <w:jc w:val="center"/>
            </w:pPr>
            <w:r w:rsidRPr="00F50C57">
              <w:t>居住区</w:t>
            </w:r>
          </w:p>
        </w:tc>
        <w:tc>
          <w:tcPr>
            <w:tcW w:w="481" w:type="pct"/>
            <w:vMerge/>
            <w:vAlign w:val="center"/>
          </w:tcPr>
          <w:p w14:paraId="1D443FF5" w14:textId="77777777" w:rsidR="00F50C57" w:rsidRPr="00F50C57" w:rsidRDefault="00F50C57" w:rsidP="00F50C57">
            <w:pPr>
              <w:jc w:val="center"/>
            </w:pPr>
          </w:p>
        </w:tc>
        <w:tc>
          <w:tcPr>
            <w:tcW w:w="485" w:type="pct"/>
            <w:vAlign w:val="center"/>
          </w:tcPr>
          <w:p w14:paraId="5E5658CB" w14:textId="77777777" w:rsidR="00F50C57" w:rsidRPr="00F50C57" w:rsidRDefault="00F50C57" w:rsidP="00F50C57">
            <w:pPr>
              <w:jc w:val="center"/>
            </w:pPr>
            <w:r w:rsidRPr="00F50C57">
              <w:t>SW</w:t>
            </w:r>
          </w:p>
        </w:tc>
        <w:tc>
          <w:tcPr>
            <w:tcW w:w="488" w:type="pct"/>
            <w:vAlign w:val="center"/>
          </w:tcPr>
          <w:p w14:paraId="319945D4" w14:textId="77777777" w:rsidR="00F50C57" w:rsidRPr="00F50C57" w:rsidRDefault="00F50C57" w:rsidP="00F50C57">
            <w:pPr>
              <w:jc w:val="center"/>
            </w:pPr>
            <w:r w:rsidRPr="00F50C57">
              <w:t>2360</w:t>
            </w:r>
          </w:p>
        </w:tc>
        <w:tc>
          <w:tcPr>
            <w:tcW w:w="612" w:type="pct"/>
            <w:vAlign w:val="center"/>
          </w:tcPr>
          <w:p w14:paraId="6018A6F0" w14:textId="77777777" w:rsidR="00F50C57" w:rsidRPr="00F50C57" w:rsidRDefault="00F50C57" w:rsidP="00F50C57">
            <w:pPr>
              <w:jc w:val="center"/>
            </w:pPr>
            <w:r w:rsidRPr="00F50C57">
              <w:t>120</w:t>
            </w:r>
          </w:p>
        </w:tc>
      </w:tr>
      <w:tr w:rsidR="00F50C57" w:rsidRPr="00F50C57" w14:paraId="34567E94" w14:textId="77777777" w:rsidTr="00F50C57">
        <w:trPr>
          <w:trHeight w:val="55"/>
        </w:trPr>
        <w:tc>
          <w:tcPr>
            <w:tcW w:w="422" w:type="pct"/>
            <w:vMerge/>
            <w:vAlign w:val="center"/>
          </w:tcPr>
          <w:p w14:paraId="3BB515D6" w14:textId="77777777" w:rsidR="00F50C57" w:rsidRPr="00F50C57" w:rsidRDefault="00F50C57" w:rsidP="00F50C57">
            <w:pPr>
              <w:jc w:val="center"/>
            </w:pPr>
          </w:p>
        </w:tc>
        <w:tc>
          <w:tcPr>
            <w:tcW w:w="307" w:type="pct"/>
            <w:vAlign w:val="center"/>
          </w:tcPr>
          <w:p w14:paraId="2D137AC0" w14:textId="77777777" w:rsidR="00F50C57" w:rsidRPr="00F50C57" w:rsidRDefault="00F50C57" w:rsidP="00F50C57">
            <w:pPr>
              <w:jc w:val="center"/>
            </w:pPr>
            <w:r w:rsidRPr="00F50C57">
              <w:t>14</w:t>
            </w:r>
          </w:p>
        </w:tc>
        <w:tc>
          <w:tcPr>
            <w:tcW w:w="510" w:type="pct"/>
            <w:vAlign w:val="center"/>
          </w:tcPr>
          <w:p w14:paraId="5F58E094" w14:textId="77777777" w:rsidR="00F50C57" w:rsidRPr="00F50C57" w:rsidRDefault="00F50C57" w:rsidP="00F50C57">
            <w:pPr>
              <w:jc w:val="center"/>
            </w:pPr>
            <w:r w:rsidRPr="00F50C57">
              <w:t>E 124.928756</w:t>
            </w:r>
          </w:p>
        </w:tc>
        <w:tc>
          <w:tcPr>
            <w:tcW w:w="484" w:type="pct"/>
            <w:vAlign w:val="center"/>
          </w:tcPr>
          <w:p w14:paraId="6FAC7CE2" w14:textId="77777777" w:rsidR="00F50C57" w:rsidRPr="00F50C57" w:rsidRDefault="00F50C57" w:rsidP="00F50C57">
            <w:pPr>
              <w:jc w:val="center"/>
            </w:pPr>
            <w:r w:rsidRPr="00F50C57">
              <w:t>N 46.420020</w:t>
            </w:r>
          </w:p>
        </w:tc>
        <w:tc>
          <w:tcPr>
            <w:tcW w:w="726" w:type="pct"/>
            <w:vAlign w:val="center"/>
          </w:tcPr>
          <w:p w14:paraId="473FD240" w14:textId="77777777" w:rsidR="00F50C57" w:rsidRPr="00F50C57" w:rsidRDefault="00F50C57" w:rsidP="00F50C57">
            <w:pPr>
              <w:jc w:val="center"/>
            </w:pPr>
            <w:r w:rsidRPr="00F50C57">
              <w:t>建工新村</w:t>
            </w:r>
          </w:p>
        </w:tc>
        <w:tc>
          <w:tcPr>
            <w:tcW w:w="485" w:type="pct"/>
            <w:vAlign w:val="center"/>
          </w:tcPr>
          <w:p w14:paraId="7671CDAB" w14:textId="77777777" w:rsidR="00F50C57" w:rsidRPr="00F50C57" w:rsidRDefault="00F50C57" w:rsidP="00F50C57">
            <w:pPr>
              <w:jc w:val="center"/>
            </w:pPr>
            <w:r w:rsidRPr="00F50C57">
              <w:t>居住区</w:t>
            </w:r>
          </w:p>
        </w:tc>
        <w:tc>
          <w:tcPr>
            <w:tcW w:w="481" w:type="pct"/>
            <w:vMerge/>
            <w:vAlign w:val="center"/>
          </w:tcPr>
          <w:p w14:paraId="06EC12F5" w14:textId="77777777" w:rsidR="00F50C57" w:rsidRPr="00F50C57" w:rsidRDefault="00F50C57" w:rsidP="00F50C57">
            <w:pPr>
              <w:jc w:val="center"/>
            </w:pPr>
          </w:p>
        </w:tc>
        <w:tc>
          <w:tcPr>
            <w:tcW w:w="485" w:type="pct"/>
            <w:vAlign w:val="center"/>
          </w:tcPr>
          <w:p w14:paraId="29A001F8" w14:textId="77777777" w:rsidR="00F50C57" w:rsidRPr="00F50C57" w:rsidRDefault="00F50C57" w:rsidP="00F50C57">
            <w:pPr>
              <w:jc w:val="center"/>
            </w:pPr>
            <w:r w:rsidRPr="00F50C57">
              <w:t>SW</w:t>
            </w:r>
          </w:p>
        </w:tc>
        <w:tc>
          <w:tcPr>
            <w:tcW w:w="488" w:type="pct"/>
            <w:vAlign w:val="center"/>
          </w:tcPr>
          <w:p w14:paraId="7A784D13" w14:textId="77777777" w:rsidR="00F50C57" w:rsidRPr="00F50C57" w:rsidRDefault="00F50C57" w:rsidP="00F50C57">
            <w:pPr>
              <w:jc w:val="center"/>
            </w:pPr>
            <w:r w:rsidRPr="00F50C57">
              <w:t>4420</w:t>
            </w:r>
          </w:p>
        </w:tc>
        <w:tc>
          <w:tcPr>
            <w:tcW w:w="612" w:type="pct"/>
            <w:vAlign w:val="center"/>
          </w:tcPr>
          <w:p w14:paraId="7431C4C4" w14:textId="77777777" w:rsidR="00F50C57" w:rsidRPr="00F50C57" w:rsidRDefault="00F50C57" w:rsidP="00F50C57">
            <w:pPr>
              <w:jc w:val="center"/>
            </w:pPr>
            <w:r w:rsidRPr="00F50C57">
              <w:t>20</w:t>
            </w:r>
          </w:p>
        </w:tc>
      </w:tr>
      <w:tr w:rsidR="00F50C57" w:rsidRPr="00F50C57" w14:paraId="509FE430" w14:textId="77777777" w:rsidTr="00F50C57">
        <w:trPr>
          <w:trHeight w:val="249"/>
        </w:trPr>
        <w:tc>
          <w:tcPr>
            <w:tcW w:w="422" w:type="pct"/>
            <w:vMerge/>
            <w:vAlign w:val="center"/>
          </w:tcPr>
          <w:p w14:paraId="7542B27A" w14:textId="77777777" w:rsidR="00F50C57" w:rsidRPr="00F50C57" w:rsidRDefault="00F50C57" w:rsidP="00F50C57">
            <w:pPr>
              <w:jc w:val="center"/>
            </w:pPr>
          </w:p>
        </w:tc>
        <w:tc>
          <w:tcPr>
            <w:tcW w:w="307" w:type="pct"/>
            <w:vAlign w:val="center"/>
          </w:tcPr>
          <w:p w14:paraId="1AC5F3CD" w14:textId="77777777" w:rsidR="00F50C57" w:rsidRPr="00F50C57" w:rsidRDefault="00F50C57" w:rsidP="00F50C57">
            <w:pPr>
              <w:jc w:val="center"/>
            </w:pPr>
            <w:r w:rsidRPr="00F50C57">
              <w:rPr>
                <w:rFonts w:hint="eastAsia"/>
              </w:rPr>
              <w:t>15</w:t>
            </w:r>
          </w:p>
        </w:tc>
        <w:tc>
          <w:tcPr>
            <w:tcW w:w="510" w:type="pct"/>
            <w:vAlign w:val="center"/>
          </w:tcPr>
          <w:p w14:paraId="3726AE27" w14:textId="77777777" w:rsidR="00F50C57" w:rsidRPr="00F50C57" w:rsidRDefault="00F50C57" w:rsidP="00F50C57">
            <w:pPr>
              <w:jc w:val="center"/>
            </w:pPr>
            <w:r w:rsidRPr="00F50C57">
              <w:t>E 124.926095</w:t>
            </w:r>
          </w:p>
        </w:tc>
        <w:tc>
          <w:tcPr>
            <w:tcW w:w="484" w:type="pct"/>
            <w:vAlign w:val="center"/>
          </w:tcPr>
          <w:p w14:paraId="61F3EE39" w14:textId="77777777" w:rsidR="00F50C57" w:rsidRPr="00F50C57" w:rsidRDefault="00F50C57" w:rsidP="00F50C57">
            <w:pPr>
              <w:jc w:val="center"/>
            </w:pPr>
            <w:r w:rsidRPr="00F50C57">
              <w:t>N 46.403362</w:t>
            </w:r>
          </w:p>
        </w:tc>
        <w:tc>
          <w:tcPr>
            <w:tcW w:w="726" w:type="pct"/>
            <w:vAlign w:val="center"/>
          </w:tcPr>
          <w:p w14:paraId="6606FBAA" w14:textId="77777777" w:rsidR="00F50C57" w:rsidRPr="00F50C57" w:rsidRDefault="00F50C57" w:rsidP="00F50C57">
            <w:pPr>
              <w:jc w:val="center"/>
            </w:pPr>
            <w:r w:rsidRPr="00F50C57">
              <w:t>龙华新村</w:t>
            </w:r>
          </w:p>
        </w:tc>
        <w:tc>
          <w:tcPr>
            <w:tcW w:w="485" w:type="pct"/>
            <w:vAlign w:val="center"/>
          </w:tcPr>
          <w:p w14:paraId="34F1855F" w14:textId="77777777" w:rsidR="00F50C57" w:rsidRPr="00F50C57" w:rsidRDefault="00F50C57" w:rsidP="00F50C57">
            <w:pPr>
              <w:jc w:val="center"/>
            </w:pPr>
            <w:r w:rsidRPr="00F50C57">
              <w:t>居住区</w:t>
            </w:r>
          </w:p>
        </w:tc>
        <w:tc>
          <w:tcPr>
            <w:tcW w:w="481" w:type="pct"/>
            <w:vMerge/>
            <w:vAlign w:val="center"/>
          </w:tcPr>
          <w:p w14:paraId="30965478" w14:textId="77777777" w:rsidR="00F50C57" w:rsidRPr="00F50C57" w:rsidRDefault="00F50C57" w:rsidP="00F50C57">
            <w:pPr>
              <w:jc w:val="center"/>
            </w:pPr>
          </w:p>
        </w:tc>
        <w:tc>
          <w:tcPr>
            <w:tcW w:w="485" w:type="pct"/>
            <w:vAlign w:val="center"/>
          </w:tcPr>
          <w:p w14:paraId="123359F6" w14:textId="77777777" w:rsidR="00F50C57" w:rsidRPr="00F50C57" w:rsidRDefault="00F50C57" w:rsidP="00F50C57">
            <w:pPr>
              <w:jc w:val="center"/>
            </w:pPr>
            <w:r w:rsidRPr="00F50C57">
              <w:t>SW</w:t>
            </w:r>
          </w:p>
        </w:tc>
        <w:tc>
          <w:tcPr>
            <w:tcW w:w="488" w:type="pct"/>
            <w:vAlign w:val="center"/>
          </w:tcPr>
          <w:p w14:paraId="570EE817" w14:textId="77777777" w:rsidR="00F50C57" w:rsidRPr="00F50C57" w:rsidRDefault="00F50C57" w:rsidP="00F50C57">
            <w:pPr>
              <w:jc w:val="center"/>
            </w:pPr>
            <w:r w:rsidRPr="00F50C57">
              <w:t>5590</w:t>
            </w:r>
          </w:p>
        </w:tc>
        <w:tc>
          <w:tcPr>
            <w:tcW w:w="612" w:type="pct"/>
            <w:vAlign w:val="center"/>
          </w:tcPr>
          <w:p w14:paraId="71EA9D42" w14:textId="77777777" w:rsidR="00F50C57" w:rsidRPr="00F50C57" w:rsidRDefault="00F50C57" w:rsidP="00F50C57">
            <w:pPr>
              <w:jc w:val="center"/>
            </w:pPr>
            <w:r w:rsidRPr="00F50C57">
              <w:t>280</w:t>
            </w:r>
          </w:p>
        </w:tc>
      </w:tr>
      <w:tr w:rsidR="00F50C57" w:rsidRPr="00F50C57" w14:paraId="74469EB0" w14:textId="77777777" w:rsidTr="00F50C57">
        <w:trPr>
          <w:trHeight w:val="199"/>
        </w:trPr>
        <w:tc>
          <w:tcPr>
            <w:tcW w:w="422" w:type="pct"/>
            <w:vMerge/>
            <w:vAlign w:val="center"/>
          </w:tcPr>
          <w:p w14:paraId="2101DEFB" w14:textId="77777777" w:rsidR="00F50C57" w:rsidRPr="00F50C57" w:rsidRDefault="00F50C57" w:rsidP="00F50C57">
            <w:pPr>
              <w:jc w:val="center"/>
            </w:pPr>
          </w:p>
        </w:tc>
        <w:tc>
          <w:tcPr>
            <w:tcW w:w="307" w:type="pct"/>
            <w:vAlign w:val="center"/>
          </w:tcPr>
          <w:p w14:paraId="5FD3F8FB" w14:textId="77777777" w:rsidR="00F50C57" w:rsidRPr="00F50C57" w:rsidRDefault="00F50C57" w:rsidP="00F50C57">
            <w:pPr>
              <w:jc w:val="center"/>
            </w:pPr>
            <w:r w:rsidRPr="00F50C57">
              <w:rPr>
                <w:rFonts w:hint="eastAsia"/>
              </w:rPr>
              <w:t>16</w:t>
            </w:r>
          </w:p>
        </w:tc>
        <w:tc>
          <w:tcPr>
            <w:tcW w:w="510" w:type="pct"/>
            <w:vAlign w:val="center"/>
          </w:tcPr>
          <w:p w14:paraId="62039F0E" w14:textId="77777777" w:rsidR="00F50C57" w:rsidRPr="00F50C57" w:rsidRDefault="00F50C57" w:rsidP="00F50C57">
            <w:pPr>
              <w:jc w:val="center"/>
            </w:pPr>
            <w:r w:rsidRPr="00F50C57">
              <w:t>E 125.069266</w:t>
            </w:r>
          </w:p>
        </w:tc>
        <w:tc>
          <w:tcPr>
            <w:tcW w:w="484" w:type="pct"/>
            <w:vAlign w:val="center"/>
          </w:tcPr>
          <w:p w14:paraId="3FF9CF2D" w14:textId="77777777" w:rsidR="00F50C57" w:rsidRPr="00F50C57" w:rsidRDefault="00F50C57" w:rsidP="00F50C57">
            <w:pPr>
              <w:jc w:val="center"/>
            </w:pPr>
            <w:r w:rsidRPr="00F50C57">
              <w:t>N 46.394254</w:t>
            </w:r>
          </w:p>
        </w:tc>
        <w:tc>
          <w:tcPr>
            <w:tcW w:w="726" w:type="pct"/>
            <w:vAlign w:val="center"/>
          </w:tcPr>
          <w:p w14:paraId="6D8DCB2F" w14:textId="77777777" w:rsidR="00F50C57" w:rsidRPr="00F50C57" w:rsidRDefault="00F50C57" w:rsidP="00F50C57">
            <w:pPr>
              <w:jc w:val="center"/>
            </w:pPr>
            <w:r w:rsidRPr="00F50C57">
              <w:t>小西北屯</w:t>
            </w:r>
          </w:p>
        </w:tc>
        <w:tc>
          <w:tcPr>
            <w:tcW w:w="485" w:type="pct"/>
            <w:vAlign w:val="center"/>
          </w:tcPr>
          <w:p w14:paraId="73B8C21B" w14:textId="77777777" w:rsidR="00F50C57" w:rsidRPr="00F50C57" w:rsidRDefault="00F50C57" w:rsidP="00F50C57">
            <w:pPr>
              <w:jc w:val="center"/>
            </w:pPr>
            <w:r w:rsidRPr="00F50C57">
              <w:t>居住区</w:t>
            </w:r>
          </w:p>
        </w:tc>
        <w:tc>
          <w:tcPr>
            <w:tcW w:w="481" w:type="pct"/>
            <w:vMerge/>
            <w:vAlign w:val="center"/>
          </w:tcPr>
          <w:p w14:paraId="11FB85B7" w14:textId="77777777" w:rsidR="00F50C57" w:rsidRPr="00F50C57" w:rsidRDefault="00F50C57" w:rsidP="00F50C57">
            <w:pPr>
              <w:jc w:val="center"/>
            </w:pPr>
          </w:p>
        </w:tc>
        <w:tc>
          <w:tcPr>
            <w:tcW w:w="485" w:type="pct"/>
            <w:vAlign w:val="center"/>
          </w:tcPr>
          <w:p w14:paraId="7945735A" w14:textId="77777777" w:rsidR="00F50C57" w:rsidRPr="00F50C57" w:rsidRDefault="00F50C57" w:rsidP="00F50C57">
            <w:pPr>
              <w:jc w:val="center"/>
            </w:pPr>
            <w:r w:rsidRPr="00F50C57">
              <w:t>SE</w:t>
            </w:r>
          </w:p>
        </w:tc>
        <w:tc>
          <w:tcPr>
            <w:tcW w:w="488" w:type="pct"/>
            <w:vAlign w:val="center"/>
          </w:tcPr>
          <w:p w14:paraId="78673489" w14:textId="77777777" w:rsidR="00F50C57" w:rsidRPr="00F50C57" w:rsidRDefault="00F50C57" w:rsidP="00F50C57">
            <w:pPr>
              <w:jc w:val="center"/>
            </w:pPr>
            <w:r w:rsidRPr="00F50C57">
              <w:t>7270</w:t>
            </w:r>
          </w:p>
        </w:tc>
        <w:tc>
          <w:tcPr>
            <w:tcW w:w="612" w:type="pct"/>
            <w:vAlign w:val="center"/>
          </w:tcPr>
          <w:p w14:paraId="2A575AE4" w14:textId="77777777" w:rsidR="00F50C57" w:rsidRPr="00F50C57" w:rsidRDefault="00F50C57" w:rsidP="00F50C57">
            <w:pPr>
              <w:jc w:val="center"/>
            </w:pPr>
            <w:r w:rsidRPr="00F50C57">
              <w:t>160</w:t>
            </w:r>
          </w:p>
        </w:tc>
      </w:tr>
      <w:tr w:rsidR="00F50C57" w:rsidRPr="00F50C57" w14:paraId="797F2E7D" w14:textId="77777777" w:rsidTr="00F50C57">
        <w:trPr>
          <w:trHeight w:val="189"/>
        </w:trPr>
        <w:tc>
          <w:tcPr>
            <w:tcW w:w="422" w:type="pct"/>
            <w:vMerge/>
            <w:vAlign w:val="center"/>
          </w:tcPr>
          <w:p w14:paraId="5442B92D" w14:textId="77777777" w:rsidR="00F50C57" w:rsidRPr="00F50C57" w:rsidRDefault="00F50C57" w:rsidP="00F50C57">
            <w:pPr>
              <w:jc w:val="center"/>
            </w:pPr>
          </w:p>
        </w:tc>
        <w:tc>
          <w:tcPr>
            <w:tcW w:w="307" w:type="pct"/>
            <w:vAlign w:val="center"/>
          </w:tcPr>
          <w:p w14:paraId="1EC6DB47" w14:textId="77777777" w:rsidR="00F50C57" w:rsidRPr="00F50C57" w:rsidRDefault="00F50C57" w:rsidP="00F50C57">
            <w:pPr>
              <w:jc w:val="center"/>
            </w:pPr>
            <w:r w:rsidRPr="00F50C57">
              <w:rPr>
                <w:rFonts w:hint="eastAsia"/>
              </w:rPr>
              <w:t>17</w:t>
            </w:r>
          </w:p>
        </w:tc>
        <w:tc>
          <w:tcPr>
            <w:tcW w:w="510" w:type="pct"/>
            <w:vAlign w:val="center"/>
          </w:tcPr>
          <w:p w14:paraId="4DD6E3CC" w14:textId="77777777" w:rsidR="00F50C57" w:rsidRPr="00F50C57" w:rsidRDefault="00F50C57" w:rsidP="00F50C57">
            <w:pPr>
              <w:jc w:val="center"/>
            </w:pPr>
            <w:r w:rsidRPr="00F50C57">
              <w:t>E 125.071409</w:t>
            </w:r>
          </w:p>
        </w:tc>
        <w:tc>
          <w:tcPr>
            <w:tcW w:w="484" w:type="pct"/>
            <w:vAlign w:val="center"/>
          </w:tcPr>
          <w:p w14:paraId="47EDDB01" w14:textId="77777777" w:rsidR="00F50C57" w:rsidRPr="00F50C57" w:rsidRDefault="00F50C57" w:rsidP="00F50C57">
            <w:pPr>
              <w:jc w:val="center"/>
            </w:pPr>
            <w:r w:rsidRPr="00F50C57">
              <w:t>N 46.421338</w:t>
            </w:r>
          </w:p>
        </w:tc>
        <w:tc>
          <w:tcPr>
            <w:tcW w:w="726" w:type="pct"/>
            <w:vAlign w:val="center"/>
          </w:tcPr>
          <w:p w14:paraId="0AF7A3A9" w14:textId="77777777" w:rsidR="00F50C57" w:rsidRPr="00F50C57" w:rsidRDefault="00F50C57" w:rsidP="00F50C57">
            <w:pPr>
              <w:jc w:val="center"/>
            </w:pPr>
            <w:r w:rsidRPr="00F50C57">
              <w:t>前郭家窑子</w:t>
            </w:r>
          </w:p>
        </w:tc>
        <w:tc>
          <w:tcPr>
            <w:tcW w:w="485" w:type="pct"/>
            <w:vAlign w:val="center"/>
          </w:tcPr>
          <w:p w14:paraId="594E4C41" w14:textId="77777777" w:rsidR="00F50C57" w:rsidRPr="00F50C57" w:rsidRDefault="00F50C57" w:rsidP="00F50C57">
            <w:pPr>
              <w:jc w:val="center"/>
            </w:pPr>
            <w:r w:rsidRPr="00F50C57">
              <w:t>居住区</w:t>
            </w:r>
          </w:p>
        </w:tc>
        <w:tc>
          <w:tcPr>
            <w:tcW w:w="481" w:type="pct"/>
            <w:vMerge/>
            <w:vAlign w:val="center"/>
          </w:tcPr>
          <w:p w14:paraId="2BD04CDB" w14:textId="77777777" w:rsidR="00F50C57" w:rsidRPr="00F50C57" w:rsidRDefault="00F50C57" w:rsidP="00F50C57">
            <w:pPr>
              <w:jc w:val="center"/>
            </w:pPr>
          </w:p>
        </w:tc>
        <w:tc>
          <w:tcPr>
            <w:tcW w:w="485" w:type="pct"/>
            <w:vAlign w:val="center"/>
          </w:tcPr>
          <w:p w14:paraId="71212EF8" w14:textId="77777777" w:rsidR="00F50C57" w:rsidRPr="00F50C57" w:rsidRDefault="00F50C57" w:rsidP="00F50C57">
            <w:pPr>
              <w:jc w:val="center"/>
            </w:pPr>
            <w:r w:rsidRPr="00F50C57">
              <w:t>SE</w:t>
            </w:r>
          </w:p>
        </w:tc>
        <w:tc>
          <w:tcPr>
            <w:tcW w:w="488" w:type="pct"/>
            <w:vAlign w:val="center"/>
          </w:tcPr>
          <w:p w14:paraId="2113CFE4" w14:textId="77777777" w:rsidR="00F50C57" w:rsidRPr="00F50C57" w:rsidRDefault="00F50C57" w:rsidP="00F50C57">
            <w:pPr>
              <w:jc w:val="center"/>
            </w:pPr>
            <w:r w:rsidRPr="00F50C57">
              <w:t>5940</w:t>
            </w:r>
          </w:p>
        </w:tc>
        <w:tc>
          <w:tcPr>
            <w:tcW w:w="612" w:type="pct"/>
            <w:vAlign w:val="center"/>
          </w:tcPr>
          <w:p w14:paraId="101B119B" w14:textId="77777777" w:rsidR="00F50C57" w:rsidRPr="00F50C57" w:rsidRDefault="00F50C57" w:rsidP="00F50C57">
            <w:pPr>
              <w:jc w:val="center"/>
            </w:pPr>
            <w:r w:rsidRPr="00F50C57">
              <w:t>180</w:t>
            </w:r>
          </w:p>
        </w:tc>
      </w:tr>
      <w:tr w:rsidR="00F50C57" w:rsidRPr="00F50C57" w14:paraId="4D682451" w14:textId="77777777" w:rsidTr="00F50C57">
        <w:trPr>
          <w:trHeight w:val="189"/>
        </w:trPr>
        <w:tc>
          <w:tcPr>
            <w:tcW w:w="422" w:type="pct"/>
            <w:vMerge/>
            <w:vAlign w:val="center"/>
          </w:tcPr>
          <w:p w14:paraId="1F2760AE" w14:textId="77777777" w:rsidR="00F50C57" w:rsidRPr="00F50C57" w:rsidRDefault="00F50C57" w:rsidP="00F50C57">
            <w:pPr>
              <w:jc w:val="center"/>
            </w:pPr>
          </w:p>
        </w:tc>
        <w:tc>
          <w:tcPr>
            <w:tcW w:w="307" w:type="pct"/>
            <w:vAlign w:val="center"/>
          </w:tcPr>
          <w:p w14:paraId="44B4C302" w14:textId="77777777" w:rsidR="00F50C57" w:rsidRPr="00F50C57" w:rsidRDefault="00F50C57" w:rsidP="00F50C57">
            <w:pPr>
              <w:jc w:val="center"/>
            </w:pPr>
            <w:r w:rsidRPr="00F50C57">
              <w:rPr>
                <w:rFonts w:hint="eastAsia"/>
              </w:rPr>
              <w:t>18</w:t>
            </w:r>
          </w:p>
        </w:tc>
        <w:tc>
          <w:tcPr>
            <w:tcW w:w="510" w:type="pct"/>
            <w:vAlign w:val="center"/>
          </w:tcPr>
          <w:p w14:paraId="65AA0EB9" w14:textId="77777777" w:rsidR="00F50C57" w:rsidRPr="00F50C57" w:rsidRDefault="00F50C57" w:rsidP="00F50C57">
            <w:pPr>
              <w:jc w:val="center"/>
            </w:pPr>
            <w:r w:rsidRPr="00F50C57">
              <w:t>E 125.073295</w:t>
            </w:r>
          </w:p>
        </w:tc>
        <w:tc>
          <w:tcPr>
            <w:tcW w:w="484" w:type="pct"/>
            <w:vAlign w:val="center"/>
          </w:tcPr>
          <w:p w14:paraId="4803B7BB" w14:textId="77777777" w:rsidR="00F50C57" w:rsidRPr="00F50C57" w:rsidRDefault="00F50C57" w:rsidP="00F50C57">
            <w:pPr>
              <w:jc w:val="center"/>
            </w:pPr>
            <w:r w:rsidRPr="00F50C57">
              <w:t>N 46.487402</w:t>
            </w:r>
          </w:p>
        </w:tc>
        <w:tc>
          <w:tcPr>
            <w:tcW w:w="726" w:type="pct"/>
            <w:vAlign w:val="center"/>
          </w:tcPr>
          <w:p w14:paraId="51AC69AF" w14:textId="77777777" w:rsidR="00F50C57" w:rsidRPr="00F50C57" w:rsidRDefault="00F50C57" w:rsidP="00F50C57">
            <w:pPr>
              <w:jc w:val="center"/>
            </w:pPr>
            <w:r w:rsidRPr="00F50C57">
              <w:t>省建五公司农场</w:t>
            </w:r>
          </w:p>
        </w:tc>
        <w:tc>
          <w:tcPr>
            <w:tcW w:w="485" w:type="pct"/>
            <w:vAlign w:val="center"/>
          </w:tcPr>
          <w:p w14:paraId="5E5F35DD" w14:textId="77777777" w:rsidR="00F50C57" w:rsidRPr="00F50C57" w:rsidRDefault="00F50C57" w:rsidP="00F50C57">
            <w:pPr>
              <w:snapToGrid w:val="0"/>
              <w:jc w:val="center"/>
            </w:pPr>
            <w:r w:rsidRPr="00F50C57">
              <w:t>居住区</w:t>
            </w:r>
          </w:p>
        </w:tc>
        <w:tc>
          <w:tcPr>
            <w:tcW w:w="481" w:type="pct"/>
            <w:vMerge/>
            <w:vAlign w:val="center"/>
          </w:tcPr>
          <w:p w14:paraId="05A25095" w14:textId="77777777" w:rsidR="00F50C57" w:rsidRPr="00F50C57" w:rsidRDefault="00F50C57" w:rsidP="00F50C57">
            <w:pPr>
              <w:jc w:val="center"/>
            </w:pPr>
          </w:p>
        </w:tc>
        <w:tc>
          <w:tcPr>
            <w:tcW w:w="485" w:type="pct"/>
            <w:vAlign w:val="center"/>
          </w:tcPr>
          <w:p w14:paraId="3EFA09D1" w14:textId="77777777" w:rsidR="00F50C57" w:rsidRPr="00F50C57" w:rsidRDefault="00F50C57" w:rsidP="00F50C57">
            <w:pPr>
              <w:jc w:val="center"/>
            </w:pPr>
            <w:r w:rsidRPr="00F50C57">
              <w:t>NE</w:t>
            </w:r>
          </w:p>
        </w:tc>
        <w:tc>
          <w:tcPr>
            <w:tcW w:w="488" w:type="pct"/>
            <w:vAlign w:val="center"/>
          </w:tcPr>
          <w:p w14:paraId="19577EC7" w14:textId="77777777" w:rsidR="00F50C57" w:rsidRPr="00F50C57" w:rsidRDefault="00F50C57" w:rsidP="00F50C57">
            <w:pPr>
              <w:jc w:val="center"/>
            </w:pPr>
            <w:r w:rsidRPr="00F50C57">
              <w:t>8220</w:t>
            </w:r>
          </w:p>
        </w:tc>
        <w:tc>
          <w:tcPr>
            <w:tcW w:w="612" w:type="pct"/>
            <w:vAlign w:val="center"/>
          </w:tcPr>
          <w:p w14:paraId="4CA768B1" w14:textId="77777777" w:rsidR="00F50C57" w:rsidRPr="00F50C57" w:rsidRDefault="00F50C57" w:rsidP="00F50C57">
            <w:pPr>
              <w:jc w:val="center"/>
            </w:pPr>
            <w:r w:rsidRPr="00F50C57">
              <w:t>150</w:t>
            </w:r>
          </w:p>
        </w:tc>
      </w:tr>
      <w:tr w:rsidR="00F50C57" w:rsidRPr="00F50C57" w14:paraId="28E7F93F" w14:textId="77777777" w:rsidTr="00F50C57">
        <w:trPr>
          <w:trHeight w:val="189"/>
        </w:trPr>
        <w:tc>
          <w:tcPr>
            <w:tcW w:w="422" w:type="pct"/>
            <w:vMerge/>
            <w:vAlign w:val="center"/>
          </w:tcPr>
          <w:p w14:paraId="2F462559" w14:textId="77777777" w:rsidR="00F50C57" w:rsidRPr="00F50C57" w:rsidRDefault="00F50C57" w:rsidP="00F50C57">
            <w:pPr>
              <w:jc w:val="center"/>
            </w:pPr>
          </w:p>
        </w:tc>
        <w:tc>
          <w:tcPr>
            <w:tcW w:w="307" w:type="pct"/>
            <w:vAlign w:val="center"/>
          </w:tcPr>
          <w:p w14:paraId="31138CB8" w14:textId="77777777" w:rsidR="00F50C57" w:rsidRPr="00F50C57" w:rsidRDefault="00F50C57" w:rsidP="00F50C57">
            <w:pPr>
              <w:jc w:val="center"/>
            </w:pPr>
            <w:r w:rsidRPr="00F50C57">
              <w:rPr>
                <w:rFonts w:hint="eastAsia"/>
              </w:rPr>
              <w:t>19</w:t>
            </w:r>
          </w:p>
        </w:tc>
        <w:tc>
          <w:tcPr>
            <w:tcW w:w="510" w:type="pct"/>
            <w:vAlign w:val="center"/>
          </w:tcPr>
          <w:p w14:paraId="560A29F6" w14:textId="77777777" w:rsidR="00F50C57" w:rsidRPr="00F50C57" w:rsidRDefault="00F50C57" w:rsidP="00F50C57">
            <w:pPr>
              <w:jc w:val="center"/>
            </w:pPr>
            <w:r w:rsidRPr="00F50C57">
              <w:t>E 125.078058</w:t>
            </w:r>
          </w:p>
        </w:tc>
        <w:tc>
          <w:tcPr>
            <w:tcW w:w="484" w:type="pct"/>
            <w:vAlign w:val="center"/>
          </w:tcPr>
          <w:p w14:paraId="5EF8A845" w14:textId="77777777" w:rsidR="00F50C57" w:rsidRPr="00F50C57" w:rsidRDefault="00F50C57" w:rsidP="00F50C57">
            <w:pPr>
              <w:jc w:val="center"/>
            </w:pPr>
            <w:r w:rsidRPr="00F50C57">
              <w:t>N 46.455244</w:t>
            </w:r>
          </w:p>
        </w:tc>
        <w:tc>
          <w:tcPr>
            <w:tcW w:w="726" w:type="pct"/>
            <w:vAlign w:val="center"/>
          </w:tcPr>
          <w:p w14:paraId="045C3A1C" w14:textId="77777777" w:rsidR="00F50C57" w:rsidRPr="00F50C57" w:rsidRDefault="00F50C57" w:rsidP="00F50C57">
            <w:pPr>
              <w:jc w:val="center"/>
            </w:pPr>
            <w:r w:rsidRPr="00F50C57">
              <w:t>巨宝村</w:t>
            </w:r>
          </w:p>
        </w:tc>
        <w:tc>
          <w:tcPr>
            <w:tcW w:w="485" w:type="pct"/>
            <w:vAlign w:val="center"/>
          </w:tcPr>
          <w:p w14:paraId="612DEBE2" w14:textId="77777777" w:rsidR="00F50C57" w:rsidRPr="00F50C57" w:rsidRDefault="00F50C57" w:rsidP="00F50C57">
            <w:pPr>
              <w:snapToGrid w:val="0"/>
              <w:jc w:val="center"/>
            </w:pPr>
            <w:r w:rsidRPr="00F50C57">
              <w:t>居住区</w:t>
            </w:r>
          </w:p>
        </w:tc>
        <w:tc>
          <w:tcPr>
            <w:tcW w:w="481" w:type="pct"/>
            <w:vMerge/>
            <w:vAlign w:val="center"/>
          </w:tcPr>
          <w:p w14:paraId="39BF2148" w14:textId="77777777" w:rsidR="00F50C57" w:rsidRPr="00F50C57" w:rsidRDefault="00F50C57" w:rsidP="00F50C57">
            <w:pPr>
              <w:jc w:val="center"/>
            </w:pPr>
          </w:p>
        </w:tc>
        <w:tc>
          <w:tcPr>
            <w:tcW w:w="485" w:type="pct"/>
            <w:vAlign w:val="center"/>
          </w:tcPr>
          <w:p w14:paraId="746C9B5F" w14:textId="77777777" w:rsidR="00F50C57" w:rsidRPr="00F50C57" w:rsidRDefault="00F50C57" w:rsidP="00F50C57">
            <w:pPr>
              <w:jc w:val="center"/>
            </w:pPr>
            <w:r w:rsidRPr="00F50C57">
              <w:t>ENE</w:t>
            </w:r>
          </w:p>
        </w:tc>
        <w:tc>
          <w:tcPr>
            <w:tcW w:w="488" w:type="pct"/>
            <w:vAlign w:val="center"/>
          </w:tcPr>
          <w:p w14:paraId="05919203" w14:textId="77777777" w:rsidR="00F50C57" w:rsidRPr="00F50C57" w:rsidRDefault="00F50C57" w:rsidP="00F50C57">
            <w:pPr>
              <w:jc w:val="center"/>
            </w:pPr>
            <w:r w:rsidRPr="00F50C57">
              <w:t>6930</w:t>
            </w:r>
          </w:p>
        </w:tc>
        <w:tc>
          <w:tcPr>
            <w:tcW w:w="612" w:type="pct"/>
            <w:vAlign w:val="center"/>
          </w:tcPr>
          <w:p w14:paraId="3C9B325D" w14:textId="77777777" w:rsidR="00F50C57" w:rsidRPr="00F50C57" w:rsidRDefault="00F50C57" w:rsidP="00F50C57">
            <w:pPr>
              <w:jc w:val="center"/>
            </w:pPr>
            <w:r w:rsidRPr="00F50C57">
              <w:t>200</w:t>
            </w:r>
          </w:p>
        </w:tc>
      </w:tr>
      <w:tr w:rsidR="00F50C57" w:rsidRPr="00F50C57" w14:paraId="7B057C44" w14:textId="77777777" w:rsidTr="00F50C57">
        <w:trPr>
          <w:trHeight w:val="189"/>
        </w:trPr>
        <w:tc>
          <w:tcPr>
            <w:tcW w:w="422" w:type="pct"/>
            <w:vMerge/>
            <w:vAlign w:val="center"/>
          </w:tcPr>
          <w:p w14:paraId="6651A918" w14:textId="77777777" w:rsidR="00F50C57" w:rsidRPr="00F50C57" w:rsidRDefault="00F50C57" w:rsidP="00F50C57">
            <w:pPr>
              <w:jc w:val="center"/>
            </w:pPr>
          </w:p>
        </w:tc>
        <w:tc>
          <w:tcPr>
            <w:tcW w:w="307" w:type="pct"/>
            <w:vAlign w:val="center"/>
          </w:tcPr>
          <w:p w14:paraId="65D0FB4C" w14:textId="77777777" w:rsidR="00F50C57" w:rsidRPr="00F50C57" w:rsidRDefault="00F50C57" w:rsidP="00F50C57">
            <w:pPr>
              <w:jc w:val="center"/>
            </w:pPr>
            <w:r w:rsidRPr="00F50C57">
              <w:rPr>
                <w:rFonts w:hint="eastAsia"/>
              </w:rPr>
              <w:t>20</w:t>
            </w:r>
          </w:p>
        </w:tc>
        <w:tc>
          <w:tcPr>
            <w:tcW w:w="510" w:type="pct"/>
            <w:vAlign w:val="center"/>
          </w:tcPr>
          <w:p w14:paraId="1D457CEF" w14:textId="77777777" w:rsidR="00F50C57" w:rsidRPr="00F50C57" w:rsidRDefault="00F50C57" w:rsidP="00F50C57">
            <w:pPr>
              <w:jc w:val="center"/>
            </w:pPr>
            <w:r w:rsidRPr="00F50C57">
              <w:t>E 125.078230</w:t>
            </w:r>
          </w:p>
        </w:tc>
        <w:tc>
          <w:tcPr>
            <w:tcW w:w="484" w:type="pct"/>
            <w:vAlign w:val="center"/>
          </w:tcPr>
          <w:p w14:paraId="0DD6AD00" w14:textId="77777777" w:rsidR="00F50C57" w:rsidRPr="00F50C57" w:rsidRDefault="00F50C57" w:rsidP="00F50C57">
            <w:pPr>
              <w:jc w:val="center"/>
            </w:pPr>
            <w:r w:rsidRPr="00F50C57">
              <w:t>N 46.388800</w:t>
            </w:r>
          </w:p>
        </w:tc>
        <w:tc>
          <w:tcPr>
            <w:tcW w:w="726" w:type="pct"/>
            <w:vAlign w:val="center"/>
          </w:tcPr>
          <w:p w14:paraId="7FB79A1C" w14:textId="77777777" w:rsidR="00F50C57" w:rsidRPr="00F50C57" w:rsidRDefault="00F50C57" w:rsidP="00F50C57">
            <w:pPr>
              <w:jc w:val="center"/>
            </w:pPr>
            <w:r w:rsidRPr="00F50C57">
              <w:t>曙光村</w:t>
            </w:r>
          </w:p>
        </w:tc>
        <w:tc>
          <w:tcPr>
            <w:tcW w:w="485" w:type="pct"/>
            <w:vAlign w:val="center"/>
          </w:tcPr>
          <w:p w14:paraId="41A01E74" w14:textId="77777777" w:rsidR="00F50C57" w:rsidRPr="00F50C57" w:rsidRDefault="00F50C57" w:rsidP="00F50C57">
            <w:pPr>
              <w:snapToGrid w:val="0"/>
              <w:jc w:val="center"/>
            </w:pPr>
            <w:r w:rsidRPr="00F50C57">
              <w:t>居住区</w:t>
            </w:r>
          </w:p>
        </w:tc>
        <w:tc>
          <w:tcPr>
            <w:tcW w:w="481" w:type="pct"/>
            <w:vMerge/>
            <w:vAlign w:val="center"/>
          </w:tcPr>
          <w:p w14:paraId="36BD32C4" w14:textId="77777777" w:rsidR="00F50C57" w:rsidRPr="00F50C57" w:rsidRDefault="00F50C57" w:rsidP="00F50C57">
            <w:pPr>
              <w:jc w:val="center"/>
            </w:pPr>
          </w:p>
        </w:tc>
        <w:tc>
          <w:tcPr>
            <w:tcW w:w="485" w:type="pct"/>
            <w:vAlign w:val="center"/>
          </w:tcPr>
          <w:p w14:paraId="13514EE4" w14:textId="77777777" w:rsidR="00F50C57" w:rsidRPr="00F50C57" w:rsidRDefault="00F50C57" w:rsidP="00F50C57">
            <w:pPr>
              <w:jc w:val="center"/>
            </w:pPr>
            <w:r w:rsidRPr="00F50C57">
              <w:t>SE</w:t>
            </w:r>
          </w:p>
        </w:tc>
        <w:tc>
          <w:tcPr>
            <w:tcW w:w="488" w:type="pct"/>
            <w:vAlign w:val="center"/>
          </w:tcPr>
          <w:p w14:paraId="314C3175" w14:textId="77777777" w:rsidR="00F50C57" w:rsidRPr="00F50C57" w:rsidRDefault="00F50C57" w:rsidP="00F50C57">
            <w:pPr>
              <w:jc w:val="center"/>
            </w:pPr>
            <w:r w:rsidRPr="00F50C57">
              <w:t>8220</w:t>
            </w:r>
          </w:p>
        </w:tc>
        <w:tc>
          <w:tcPr>
            <w:tcW w:w="612" w:type="pct"/>
            <w:vAlign w:val="center"/>
          </w:tcPr>
          <w:p w14:paraId="53122AEC" w14:textId="77777777" w:rsidR="00F50C57" w:rsidRPr="00F50C57" w:rsidRDefault="00F50C57" w:rsidP="00F50C57">
            <w:pPr>
              <w:jc w:val="center"/>
            </w:pPr>
            <w:r w:rsidRPr="00F50C57">
              <w:t>210</w:t>
            </w:r>
          </w:p>
        </w:tc>
      </w:tr>
      <w:tr w:rsidR="00F50C57" w:rsidRPr="00F50C57" w14:paraId="4F68FE56" w14:textId="77777777" w:rsidTr="00F50C57">
        <w:trPr>
          <w:trHeight w:val="189"/>
        </w:trPr>
        <w:tc>
          <w:tcPr>
            <w:tcW w:w="422" w:type="pct"/>
            <w:vMerge/>
            <w:vAlign w:val="center"/>
          </w:tcPr>
          <w:p w14:paraId="1C7D496C" w14:textId="77777777" w:rsidR="00F50C57" w:rsidRPr="00F50C57" w:rsidRDefault="00F50C57" w:rsidP="00F50C57">
            <w:pPr>
              <w:jc w:val="center"/>
            </w:pPr>
          </w:p>
        </w:tc>
        <w:tc>
          <w:tcPr>
            <w:tcW w:w="307" w:type="pct"/>
            <w:vAlign w:val="center"/>
          </w:tcPr>
          <w:p w14:paraId="0D766C82" w14:textId="77777777" w:rsidR="00F50C57" w:rsidRPr="00F50C57" w:rsidRDefault="00F50C57" w:rsidP="00F50C57">
            <w:pPr>
              <w:jc w:val="center"/>
            </w:pPr>
            <w:r w:rsidRPr="00F50C57">
              <w:rPr>
                <w:rFonts w:hint="eastAsia"/>
              </w:rPr>
              <w:t>21</w:t>
            </w:r>
          </w:p>
        </w:tc>
        <w:tc>
          <w:tcPr>
            <w:tcW w:w="510" w:type="pct"/>
            <w:vAlign w:val="center"/>
          </w:tcPr>
          <w:p w14:paraId="132D7A84" w14:textId="77777777" w:rsidR="00F50C57" w:rsidRPr="00F50C57" w:rsidRDefault="00F50C57" w:rsidP="00F50C57">
            <w:pPr>
              <w:jc w:val="center"/>
            </w:pPr>
            <w:r w:rsidRPr="00F50C57">
              <w:t>E 124.906912</w:t>
            </w:r>
          </w:p>
        </w:tc>
        <w:tc>
          <w:tcPr>
            <w:tcW w:w="484" w:type="pct"/>
            <w:vAlign w:val="center"/>
          </w:tcPr>
          <w:p w14:paraId="52C1D1C6" w14:textId="77777777" w:rsidR="00F50C57" w:rsidRPr="00F50C57" w:rsidRDefault="00F50C57" w:rsidP="00F50C57">
            <w:pPr>
              <w:jc w:val="center"/>
            </w:pPr>
            <w:r w:rsidRPr="00F50C57">
              <w:t>N 46.371095</w:t>
            </w:r>
          </w:p>
        </w:tc>
        <w:tc>
          <w:tcPr>
            <w:tcW w:w="726" w:type="pct"/>
            <w:vAlign w:val="center"/>
          </w:tcPr>
          <w:p w14:paraId="70997F21" w14:textId="77777777" w:rsidR="00F50C57" w:rsidRPr="00F50C57" w:rsidRDefault="00F50C57" w:rsidP="00F50C57">
            <w:pPr>
              <w:jc w:val="center"/>
            </w:pPr>
            <w:r w:rsidRPr="00F50C57">
              <w:t>金杏村</w:t>
            </w:r>
          </w:p>
        </w:tc>
        <w:tc>
          <w:tcPr>
            <w:tcW w:w="485" w:type="pct"/>
            <w:vAlign w:val="center"/>
          </w:tcPr>
          <w:p w14:paraId="4BAF0BE6" w14:textId="77777777" w:rsidR="00F50C57" w:rsidRPr="00F50C57" w:rsidRDefault="00F50C57" w:rsidP="00F50C57">
            <w:pPr>
              <w:snapToGrid w:val="0"/>
              <w:jc w:val="center"/>
            </w:pPr>
            <w:r w:rsidRPr="00F50C57">
              <w:t>居住区</w:t>
            </w:r>
          </w:p>
        </w:tc>
        <w:tc>
          <w:tcPr>
            <w:tcW w:w="481" w:type="pct"/>
            <w:vMerge/>
            <w:vAlign w:val="center"/>
          </w:tcPr>
          <w:p w14:paraId="15685A96" w14:textId="77777777" w:rsidR="00F50C57" w:rsidRPr="00F50C57" w:rsidRDefault="00F50C57" w:rsidP="00F50C57">
            <w:pPr>
              <w:jc w:val="center"/>
            </w:pPr>
          </w:p>
        </w:tc>
        <w:tc>
          <w:tcPr>
            <w:tcW w:w="485" w:type="pct"/>
            <w:vAlign w:val="center"/>
          </w:tcPr>
          <w:p w14:paraId="5F67F2C6" w14:textId="77777777" w:rsidR="00F50C57" w:rsidRPr="00F50C57" w:rsidRDefault="00F50C57" w:rsidP="00F50C57">
            <w:pPr>
              <w:jc w:val="center"/>
            </w:pPr>
            <w:r w:rsidRPr="00F50C57">
              <w:t>SW</w:t>
            </w:r>
          </w:p>
        </w:tc>
        <w:tc>
          <w:tcPr>
            <w:tcW w:w="488" w:type="pct"/>
            <w:vAlign w:val="center"/>
          </w:tcPr>
          <w:p w14:paraId="31D97E4E" w14:textId="77777777" w:rsidR="00F50C57" w:rsidRPr="00F50C57" w:rsidRDefault="00F50C57" w:rsidP="00F50C57">
            <w:pPr>
              <w:jc w:val="center"/>
            </w:pPr>
            <w:r w:rsidRPr="00F50C57">
              <w:t>8820</w:t>
            </w:r>
          </w:p>
        </w:tc>
        <w:tc>
          <w:tcPr>
            <w:tcW w:w="612" w:type="pct"/>
            <w:vAlign w:val="center"/>
          </w:tcPr>
          <w:p w14:paraId="7FCF5125" w14:textId="77777777" w:rsidR="00F50C57" w:rsidRPr="00F50C57" w:rsidRDefault="00F50C57" w:rsidP="00F50C57">
            <w:pPr>
              <w:jc w:val="center"/>
            </w:pPr>
            <w:r w:rsidRPr="00F50C57">
              <w:t>80</w:t>
            </w:r>
          </w:p>
        </w:tc>
      </w:tr>
      <w:tr w:rsidR="00F50C57" w:rsidRPr="00F50C57" w14:paraId="0E452F78" w14:textId="77777777" w:rsidTr="00F50C57">
        <w:trPr>
          <w:trHeight w:val="189"/>
        </w:trPr>
        <w:tc>
          <w:tcPr>
            <w:tcW w:w="422" w:type="pct"/>
            <w:vMerge/>
            <w:vAlign w:val="center"/>
          </w:tcPr>
          <w:p w14:paraId="09F219DD" w14:textId="77777777" w:rsidR="00F50C57" w:rsidRPr="00F50C57" w:rsidRDefault="00F50C57" w:rsidP="00F50C57">
            <w:pPr>
              <w:jc w:val="center"/>
            </w:pPr>
          </w:p>
        </w:tc>
        <w:tc>
          <w:tcPr>
            <w:tcW w:w="307" w:type="pct"/>
            <w:vAlign w:val="center"/>
          </w:tcPr>
          <w:p w14:paraId="27D6E6FD" w14:textId="77777777" w:rsidR="00F50C57" w:rsidRPr="00F50C57" w:rsidRDefault="00F50C57" w:rsidP="00F50C57">
            <w:pPr>
              <w:jc w:val="center"/>
            </w:pPr>
            <w:r w:rsidRPr="00F50C57">
              <w:rPr>
                <w:rFonts w:hint="eastAsia"/>
              </w:rPr>
              <w:t>22</w:t>
            </w:r>
          </w:p>
        </w:tc>
        <w:tc>
          <w:tcPr>
            <w:tcW w:w="510" w:type="pct"/>
            <w:vAlign w:val="center"/>
          </w:tcPr>
          <w:p w14:paraId="7A68381F" w14:textId="77777777" w:rsidR="00F50C57" w:rsidRPr="00F50C57" w:rsidRDefault="00F50C57" w:rsidP="00F50C57">
            <w:pPr>
              <w:jc w:val="center"/>
            </w:pPr>
            <w:r w:rsidRPr="00F50C57">
              <w:t>E 124.898157</w:t>
            </w:r>
          </w:p>
        </w:tc>
        <w:tc>
          <w:tcPr>
            <w:tcW w:w="484" w:type="pct"/>
            <w:vAlign w:val="center"/>
          </w:tcPr>
          <w:p w14:paraId="0B3DF0A8" w14:textId="77777777" w:rsidR="00F50C57" w:rsidRPr="00F50C57" w:rsidRDefault="00F50C57" w:rsidP="00F50C57">
            <w:pPr>
              <w:jc w:val="center"/>
            </w:pPr>
            <w:r w:rsidRPr="00F50C57">
              <w:t>N 46.454061</w:t>
            </w:r>
          </w:p>
        </w:tc>
        <w:tc>
          <w:tcPr>
            <w:tcW w:w="726" w:type="pct"/>
            <w:vAlign w:val="center"/>
          </w:tcPr>
          <w:p w14:paraId="62460604" w14:textId="77777777" w:rsidR="00F50C57" w:rsidRPr="00F50C57" w:rsidRDefault="00F50C57" w:rsidP="00F50C57">
            <w:pPr>
              <w:jc w:val="center"/>
            </w:pPr>
            <w:r w:rsidRPr="00F50C57">
              <w:t>杏五井</w:t>
            </w:r>
          </w:p>
        </w:tc>
        <w:tc>
          <w:tcPr>
            <w:tcW w:w="485" w:type="pct"/>
            <w:vAlign w:val="center"/>
          </w:tcPr>
          <w:p w14:paraId="3361AF01" w14:textId="77777777" w:rsidR="00F50C57" w:rsidRPr="00F50C57" w:rsidRDefault="00F50C57" w:rsidP="00F50C57">
            <w:pPr>
              <w:snapToGrid w:val="0"/>
              <w:jc w:val="center"/>
            </w:pPr>
            <w:r w:rsidRPr="00F50C57">
              <w:t>居住区</w:t>
            </w:r>
          </w:p>
        </w:tc>
        <w:tc>
          <w:tcPr>
            <w:tcW w:w="481" w:type="pct"/>
            <w:vMerge/>
            <w:vAlign w:val="center"/>
          </w:tcPr>
          <w:p w14:paraId="45839440" w14:textId="77777777" w:rsidR="00F50C57" w:rsidRPr="00F50C57" w:rsidRDefault="00F50C57" w:rsidP="00F50C57">
            <w:pPr>
              <w:jc w:val="center"/>
            </w:pPr>
          </w:p>
        </w:tc>
        <w:tc>
          <w:tcPr>
            <w:tcW w:w="485" w:type="pct"/>
            <w:vAlign w:val="center"/>
          </w:tcPr>
          <w:p w14:paraId="63DB41C0" w14:textId="77777777" w:rsidR="00F50C57" w:rsidRPr="00F50C57" w:rsidRDefault="00F50C57" w:rsidP="00F50C57">
            <w:pPr>
              <w:jc w:val="center"/>
            </w:pPr>
            <w:r w:rsidRPr="00F50C57">
              <w:t>SSW</w:t>
            </w:r>
          </w:p>
        </w:tc>
        <w:tc>
          <w:tcPr>
            <w:tcW w:w="488" w:type="pct"/>
            <w:vAlign w:val="center"/>
          </w:tcPr>
          <w:p w14:paraId="6D764F2B" w14:textId="77777777" w:rsidR="00F50C57" w:rsidRPr="00F50C57" w:rsidRDefault="00F50C57" w:rsidP="00F50C57">
            <w:pPr>
              <w:jc w:val="center"/>
            </w:pPr>
            <w:r w:rsidRPr="00F50C57">
              <w:t>6290</w:t>
            </w:r>
          </w:p>
        </w:tc>
        <w:tc>
          <w:tcPr>
            <w:tcW w:w="612" w:type="pct"/>
            <w:vAlign w:val="center"/>
          </w:tcPr>
          <w:p w14:paraId="6EC81E74" w14:textId="77777777" w:rsidR="00F50C57" w:rsidRPr="00F50C57" w:rsidRDefault="00F50C57" w:rsidP="00F50C57">
            <w:pPr>
              <w:jc w:val="center"/>
            </w:pPr>
            <w:r w:rsidRPr="00F50C57">
              <w:t>300</w:t>
            </w:r>
          </w:p>
        </w:tc>
      </w:tr>
      <w:tr w:rsidR="00F50C57" w:rsidRPr="00F50C57" w14:paraId="746233BD" w14:textId="77777777" w:rsidTr="00F50C57">
        <w:trPr>
          <w:trHeight w:val="161"/>
        </w:trPr>
        <w:tc>
          <w:tcPr>
            <w:tcW w:w="422" w:type="pct"/>
            <w:vMerge/>
            <w:vAlign w:val="center"/>
          </w:tcPr>
          <w:p w14:paraId="0F3AD4A8" w14:textId="77777777" w:rsidR="00F50C57" w:rsidRPr="00F50C57" w:rsidRDefault="00F50C57" w:rsidP="00F50C57">
            <w:pPr>
              <w:jc w:val="center"/>
            </w:pPr>
          </w:p>
        </w:tc>
        <w:tc>
          <w:tcPr>
            <w:tcW w:w="307" w:type="pct"/>
            <w:vAlign w:val="center"/>
          </w:tcPr>
          <w:p w14:paraId="5EFCDE23" w14:textId="77777777" w:rsidR="00F50C57" w:rsidRPr="00F50C57" w:rsidRDefault="00F50C57" w:rsidP="00F50C57">
            <w:pPr>
              <w:jc w:val="center"/>
            </w:pPr>
            <w:r w:rsidRPr="00F50C57">
              <w:rPr>
                <w:rFonts w:hint="eastAsia"/>
              </w:rPr>
              <w:t>23</w:t>
            </w:r>
          </w:p>
        </w:tc>
        <w:tc>
          <w:tcPr>
            <w:tcW w:w="510" w:type="pct"/>
            <w:vAlign w:val="center"/>
          </w:tcPr>
          <w:p w14:paraId="25E2CBE5" w14:textId="77777777" w:rsidR="00F50C57" w:rsidRPr="00F50C57" w:rsidRDefault="00F50C57" w:rsidP="00F50C57">
            <w:pPr>
              <w:jc w:val="center"/>
            </w:pPr>
            <w:r w:rsidRPr="00F50C57">
              <w:t>E 124.892406</w:t>
            </w:r>
          </w:p>
        </w:tc>
        <w:tc>
          <w:tcPr>
            <w:tcW w:w="484" w:type="pct"/>
            <w:vAlign w:val="center"/>
          </w:tcPr>
          <w:p w14:paraId="08B4C83E" w14:textId="77777777" w:rsidR="00F50C57" w:rsidRPr="00F50C57" w:rsidRDefault="00F50C57" w:rsidP="00F50C57">
            <w:pPr>
              <w:jc w:val="center"/>
            </w:pPr>
            <w:r w:rsidRPr="00F50C57">
              <w:t>N 46.397502</w:t>
            </w:r>
          </w:p>
        </w:tc>
        <w:tc>
          <w:tcPr>
            <w:tcW w:w="726" w:type="pct"/>
            <w:vAlign w:val="center"/>
          </w:tcPr>
          <w:p w14:paraId="1A72A0E8" w14:textId="77777777" w:rsidR="00F50C57" w:rsidRPr="00F50C57" w:rsidRDefault="00F50C57" w:rsidP="00F50C57">
            <w:pPr>
              <w:jc w:val="center"/>
            </w:pPr>
            <w:r w:rsidRPr="00F50C57">
              <w:t>红岗区</w:t>
            </w:r>
          </w:p>
        </w:tc>
        <w:tc>
          <w:tcPr>
            <w:tcW w:w="485" w:type="pct"/>
            <w:vAlign w:val="center"/>
          </w:tcPr>
          <w:p w14:paraId="3A93A877" w14:textId="77777777" w:rsidR="00F50C57" w:rsidRPr="00F50C57" w:rsidRDefault="00F50C57" w:rsidP="00F50C57">
            <w:pPr>
              <w:snapToGrid w:val="0"/>
              <w:jc w:val="center"/>
            </w:pPr>
            <w:r w:rsidRPr="00F50C57">
              <w:t>居住区</w:t>
            </w:r>
          </w:p>
        </w:tc>
        <w:tc>
          <w:tcPr>
            <w:tcW w:w="481" w:type="pct"/>
            <w:vMerge/>
            <w:vAlign w:val="center"/>
          </w:tcPr>
          <w:p w14:paraId="4DB2C24F" w14:textId="77777777" w:rsidR="00F50C57" w:rsidRPr="00F50C57" w:rsidRDefault="00F50C57" w:rsidP="00F50C57">
            <w:pPr>
              <w:jc w:val="center"/>
            </w:pPr>
          </w:p>
        </w:tc>
        <w:tc>
          <w:tcPr>
            <w:tcW w:w="485" w:type="pct"/>
            <w:vAlign w:val="center"/>
          </w:tcPr>
          <w:p w14:paraId="5DD52BCF" w14:textId="77777777" w:rsidR="00F50C57" w:rsidRPr="00F50C57" w:rsidRDefault="00F50C57" w:rsidP="00F50C57">
            <w:pPr>
              <w:jc w:val="center"/>
            </w:pPr>
            <w:r w:rsidRPr="00F50C57">
              <w:t>SW</w:t>
            </w:r>
          </w:p>
        </w:tc>
        <w:tc>
          <w:tcPr>
            <w:tcW w:w="488" w:type="pct"/>
            <w:vAlign w:val="center"/>
          </w:tcPr>
          <w:p w14:paraId="55FE9F9B" w14:textId="77777777" w:rsidR="00F50C57" w:rsidRPr="00F50C57" w:rsidRDefault="00F50C57" w:rsidP="00F50C57">
            <w:pPr>
              <w:jc w:val="center"/>
            </w:pPr>
            <w:r w:rsidRPr="00F50C57">
              <w:t>7350</w:t>
            </w:r>
          </w:p>
        </w:tc>
        <w:tc>
          <w:tcPr>
            <w:tcW w:w="612" w:type="pct"/>
            <w:vAlign w:val="center"/>
          </w:tcPr>
          <w:p w14:paraId="243DDD5E" w14:textId="77777777" w:rsidR="00F50C57" w:rsidRPr="00F50C57" w:rsidRDefault="00F50C57" w:rsidP="00F50C57">
            <w:pPr>
              <w:jc w:val="center"/>
            </w:pPr>
            <w:r w:rsidRPr="00F50C57">
              <w:t>1200</w:t>
            </w:r>
          </w:p>
        </w:tc>
      </w:tr>
      <w:tr w:rsidR="00F50C57" w:rsidRPr="00F50C57" w14:paraId="1D5580B6" w14:textId="77777777" w:rsidTr="00F50C57">
        <w:trPr>
          <w:trHeight w:val="161"/>
        </w:trPr>
        <w:tc>
          <w:tcPr>
            <w:tcW w:w="422" w:type="pct"/>
            <w:vMerge/>
            <w:vAlign w:val="center"/>
          </w:tcPr>
          <w:p w14:paraId="7667DCA2" w14:textId="77777777" w:rsidR="00F50C57" w:rsidRPr="00F50C57" w:rsidRDefault="00F50C57" w:rsidP="00F50C57">
            <w:pPr>
              <w:jc w:val="center"/>
            </w:pPr>
          </w:p>
        </w:tc>
        <w:tc>
          <w:tcPr>
            <w:tcW w:w="307" w:type="pct"/>
            <w:vAlign w:val="center"/>
          </w:tcPr>
          <w:p w14:paraId="0988202D" w14:textId="77777777" w:rsidR="00F50C57" w:rsidRPr="00F50C57" w:rsidRDefault="00F50C57" w:rsidP="00F50C57">
            <w:pPr>
              <w:jc w:val="center"/>
            </w:pPr>
            <w:r w:rsidRPr="00F50C57">
              <w:rPr>
                <w:rFonts w:hint="eastAsia"/>
              </w:rPr>
              <w:t>24</w:t>
            </w:r>
          </w:p>
        </w:tc>
        <w:tc>
          <w:tcPr>
            <w:tcW w:w="510" w:type="pct"/>
            <w:vAlign w:val="center"/>
          </w:tcPr>
          <w:p w14:paraId="4647126C" w14:textId="77777777" w:rsidR="00F50C57" w:rsidRPr="00F50C57" w:rsidRDefault="00F50C57" w:rsidP="00F50C57">
            <w:pPr>
              <w:jc w:val="center"/>
            </w:pPr>
            <w:r w:rsidRPr="00F50C57">
              <w:rPr>
                <w:rFonts w:hint="eastAsia"/>
              </w:rPr>
              <w:t>124.89961624</w:t>
            </w:r>
          </w:p>
        </w:tc>
        <w:tc>
          <w:tcPr>
            <w:tcW w:w="484" w:type="pct"/>
            <w:vAlign w:val="center"/>
          </w:tcPr>
          <w:p w14:paraId="2F9A9C4A" w14:textId="77777777" w:rsidR="00F50C57" w:rsidRPr="00F50C57" w:rsidRDefault="00F50C57" w:rsidP="00F50C57">
            <w:pPr>
              <w:jc w:val="center"/>
            </w:pPr>
            <w:r w:rsidRPr="00F50C57">
              <w:rPr>
                <w:rFonts w:hint="eastAsia"/>
              </w:rPr>
              <w:t>46.37601067</w:t>
            </w:r>
          </w:p>
        </w:tc>
        <w:tc>
          <w:tcPr>
            <w:tcW w:w="726" w:type="pct"/>
            <w:vAlign w:val="center"/>
          </w:tcPr>
          <w:p w14:paraId="596AA1AA" w14:textId="77777777" w:rsidR="00F50C57" w:rsidRPr="00F50C57" w:rsidRDefault="00F50C57" w:rsidP="00F50C57">
            <w:pPr>
              <w:jc w:val="center"/>
            </w:pPr>
            <w:r w:rsidRPr="00F50C57">
              <w:rPr>
                <w:rFonts w:hint="eastAsia"/>
              </w:rPr>
              <w:t>金山堡村</w:t>
            </w:r>
          </w:p>
        </w:tc>
        <w:tc>
          <w:tcPr>
            <w:tcW w:w="485" w:type="pct"/>
            <w:vAlign w:val="center"/>
          </w:tcPr>
          <w:p w14:paraId="6AC8EE57" w14:textId="77777777" w:rsidR="00F50C57" w:rsidRPr="00F50C57" w:rsidRDefault="00F50C57" w:rsidP="00F50C57">
            <w:pPr>
              <w:snapToGrid w:val="0"/>
              <w:jc w:val="center"/>
            </w:pPr>
            <w:r w:rsidRPr="00F50C57">
              <w:t>居住区</w:t>
            </w:r>
          </w:p>
        </w:tc>
        <w:tc>
          <w:tcPr>
            <w:tcW w:w="481" w:type="pct"/>
            <w:vMerge/>
            <w:vAlign w:val="center"/>
          </w:tcPr>
          <w:p w14:paraId="396C7BEA" w14:textId="77777777" w:rsidR="00F50C57" w:rsidRPr="00F50C57" w:rsidRDefault="00F50C57" w:rsidP="00F50C57">
            <w:pPr>
              <w:jc w:val="center"/>
            </w:pPr>
          </w:p>
        </w:tc>
        <w:tc>
          <w:tcPr>
            <w:tcW w:w="485" w:type="pct"/>
            <w:vAlign w:val="center"/>
          </w:tcPr>
          <w:p w14:paraId="11DA80AD" w14:textId="77777777" w:rsidR="00F50C57" w:rsidRPr="00F50C57" w:rsidRDefault="00F50C57" w:rsidP="00F50C57">
            <w:pPr>
              <w:jc w:val="center"/>
            </w:pPr>
            <w:r w:rsidRPr="00F50C57">
              <w:t>SW</w:t>
            </w:r>
          </w:p>
        </w:tc>
        <w:tc>
          <w:tcPr>
            <w:tcW w:w="488" w:type="pct"/>
            <w:vAlign w:val="center"/>
          </w:tcPr>
          <w:p w14:paraId="068716F6" w14:textId="77777777" w:rsidR="00F50C57" w:rsidRPr="00F50C57" w:rsidRDefault="00F50C57" w:rsidP="00F50C57">
            <w:pPr>
              <w:jc w:val="center"/>
            </w:pPr>
            <w:r w:rsidRPr="00F50C57">
              <w:rPr>
                <w:rFonts w:hint="eastAsia"/>
              </w:rPr>
              <w:t>9000</w:t>
            </w:r>
          </w:p>
        </w:tc>
        <w:tc>
          <w:tcPr>
            <w:tcW w:w="612" w:type="pct"/>
            <w:vAlign w:val="center"/>
          </w:tcPr>
          <w:p w14:paraId="078891FE" w14:textId="77777777" w:rsidR="00F50C57" w:rsidRPr="00F50C57" w:rsidRDefault="00F50C57" w:rsidP="00F50C57">
            <w:pPr>
              <w:jc w:val="center"/>
            </w:pPr>
            <w:r w:rsidRPr="00F50C57">
              <w:rPr>
                <w:rFonts w:hint="eastAsia"/>
              </w:rPr>
              <w:t>370</w:t>
            </w:r>
          </w:p>
        </w:tc>
      </w:tr>
      <w:tr w:rsidR="00F50C57" w:rsidRPr="00F50C57" w14:paraId="6020562E" w14:textId="77777777" w:rsidTr="00F50C57">
        <w:trPr>
          <w:trHeight w:val="161"/>
        </w:trPr>
        <w:tc>
          <w:tcPr>
            <w:tcW w:w="422" w:type="pct"/>
            <w:vMerge/>
            <w:vAlign w:val="center"/>
          </w:tcPr>
          <w:p w14:paraId="74378BDF" w14:textId="77777777" w:rsidR="00F50C57" w:rsidRPr="00F50C57" w:rsidRDefault="00F50C57" w:rsidP="00F50C57">
            <w:pPr>
              <w:jc w:val="center"/>
            </w:pPr>
          </w:p>
        </w:tc>
        <w:tc>
          <w:tcPr>
            <w:tcW w:w="307" w:type="pct"/>
            <w:vAlign w:val="center"/>
          </w:tcPr>
          <w:p w14:paraId="11FDEE57" w14:textId="77777777" w:rsidR="00F50C57" w:rsidRPr="00F50C57" w:rsidRDefault="00F50C57" w:rsidP="00F50C57">
            <w:pPr>
              <w:jc w:val="center"/>
            </w:pPr>
            <w:r w:rsidRPr="00F50C57">
              <w:rPr>
                <w:rFonts w:hint="eastAsia"/>
              </w:rPr>
              <w:t>25</w:t>
            </w:r>
          </w:p>
        </w:tc>
        <w:tc>
          <w:tcPr>
            <w:tcW w:w="510" w:type="pct"/>
            <w:vAlign w:val="center"/>
          </w:tcPr>
          <w:p w14:paraId="55AD2AB0" w14:textId="77777777" w:rsidR="00F50C57" w:rsidRPr="00F50C57" w:rsidRDefault="00F50C57" w:rsidP="00F50C57">
            <w:pPr>
              <w:jc w:val="center"/>
            </w:pPr>
            <w:r w:rsidRPr="00F50C57">
              <w:rPr>
                <w:rFonts w:hint="eastAsia"/>
              </w:rPr>
              <w:t>124.88854408</w:t>
            </w:r>
          </w:p>
        </w:tc>
        <w:tc>
          <w:tcPr>
            <w:tcW w:w="484" w:type="pct"/>
            <w:vAlign w:val="center"/>
          </w:tcPr>
          <w:p w14:paraId="6F4B8CC8" w14:textId="77777777" w:rsidR="00F50C57" w:rsidRPr="00F50C57" w:rsidRDefault="00F50C57" w:rsidP="00F50C57">
            <w:pPr>
              <w:jc w:val="center"/>
            </w:pPr>
            <w:r w:rsidRPr="00F50C57">
              <w:rPr>
                <w:rFonts w:hint="eastAsia"/>
              </w:rPr>
              <w:t>46.37458946</w:t>
            </w:r>
          </w:p>
        </w:tc>
        <w:tc>
          <w:tcPr>
            <w:tcW w:w="726" w:type="pct"/>
            <w:vAlign w:val="center"/>
          </w:tcPr>
          <w:p w14:paraId="4064D59C" w14:textId="77777777" w:rsidR="00F50C57" w:rsidRPr="00F50C57" w:rsidRDefault="00F50C57" w:rsidP="00F50C57">
            <w:pPr>
              <w:jc w:val="center"/>
            </w:pPr>
            <w:r w:rsidRPr="00F50C57">
              <w:rPr>
                <w:rFonts w:hint="eastAsia"/>
              </w:rPr>
              <w:t>红色村</w:t>
            </w:r>
          </w:p>
        </w:tc>
        <w:tc>
          <w:tcPr>
            <w:tcW w:w="485" w:type="pct"/>
            <w:vAlign w:val="center"/>
          </w:tcPr>
          <w:p w14:paraId="77638C5F" w14:textId="77777777" w:rsidR="00F50C57" w:rsidRPr="00F50C57" w:rsidRDefault="00F50C57" w:rsidP="00F50C57">
            <w:pPr>
              <w:snapToGrid w:val="0"/>
              <w:jc w:val="center"/>
            </w:pPr>
            <w:r w:rsidRPr="00F50C57">
              <w:t>居住区</w:t>
            </w:r>
          </w:p>
        </w:tc>
        <w:tc>
          <w:tcPr>
            <w:tcW w:w="481" w:type="pct"/>
            <w:vMerge/>
            <w:vAlign w:val="center"/>
          </w:tcPr>
          <w:p w14:paraId="410D1C63" w14:textId="77777777" w:rsidR="00F50C57" w:rsidRPr="00F50C57" w:rsidRDefault="00F50C57" w:rsidP="00F50C57">
            <w:pPr>
              <w:jc w:val="center"/>
            </w:pPr>
          </w:p>
        </w:tc>
        <w:tc>
          <w:tcPr>
            <w:tcW w:w="485" w:type="pct"/>
            <w:vAlign w:val="center"/>
          </w:tcPr>
          <w:p w14:paraId="2F06CFD1" w14:textId="77777777" w:rsidR="00F50C57" w:rsidRPr="00F50C57" w:rsidRDefault="00F50C57" w:rsidP="00F50C57">
            <w:pPr>
              <w:jc w:val="center"/>
            </w:pPr>
            <w:r w:rsidRPr="00F50C57">
              <w:t>SW</w:t>
            </w:r>
          </w:p>
        </w:tc>
        <w:tc>
          <w:tcPr>
            <w:tcW w:w="488" w:type="pct"/>
            <w:vAlign w:val="center"/>
          </w:tcPr>
          <w:p w14:paraId="335F5433" w14:textId="77777777" w:rsidR="00F50C57" w:rsidRPr="00F50C57" w:rsidRDefault="00F50C57" w:rsidP="00F50C57">
            <w:pPr>
              <w:jc w:val="center"/>
            </w:pPr>
            <w:r w:rsidRPr="00F50C57">
              <w:rPr>
                <w:rFonts w:hint="eastAsia"/>
              </w:rPr>
              <w:t>9730</w:t>
            </w:r>
          </w:p>
        </w:tc>
        <w:tc>
          <w:tcPr>
            <w:tcW w:w="612" w:type="pct"/>
            <w:vAlign w:val="center"/>
          </w:tcPr>
          <w:p w14:paraId="6B2E091C" w14:textId="77777777" w:rsidR="00F50C57" w:rsidRPr="00F50C57" w:rsidRDefault="00F50C57" w:rsidP="00F50C57">
            <w:pPr>
              <w:jc w:val="center"/>
            </w:pPr>
            <w:r w:rsidRPr="00F50C57">
              <w:rPr>
                <w:rFonts w:hint="eastAsia"/>
              </w:rPr>
              <w:t>230</w:t>
            </w:r>
          </w:p>
        </w:tc>
      </w:tr>
      <w:tr w:rsidR="00F50C57" w:rsidRPr="00F50C57" w14:paraId="51BC2582" w14:textId="77777777" w:rsidTr="00F50C57">
        <w:trPr>
          <w:trHeight w:val="208"/>
        </w:trPr>
        <w:tc>
          <w:tcPr>
            <w:tcW w:w="422" w:type="pct"/>
            <w:vMerge/>
            <w:vAlign w:val="center"/>
          </w:tcPr>
          <w:p w14:paraId="539708D6" w14:textId="77777777" w:rsidR="00F50C57" w:rsidRPr="00F50C57" w:rsidRDefault="00F50C57" w:rsidP="00F50C57">
            <w:pPr>
              <w:jc w:val="center"/>
            </w:pPr>
          </w:p>
        </w:tc>
        <w:tc>
          <w:tcPr>
            <w:tcW w:w="307" w:type="pct"/>
            <w:vAlign w:val="center"/>
          </w:tcPr>
          <w:p w14:paraId="643AE9AF" w14:textId="77777777" w:rsidR="00F50C57" w:rsidRPr="00F50C57" w:rsidRDefault="00F50C57" w:rsidP="00F50C57">
            <w:pPr>
              <w:jc w:val="center"/>
            </w:pPr>
            <w:r w:rsidRPr="00F50C57">
              <w:rPr>
                <w:rFonts w:hint="eastAsia"/>
              </w:rPr>
              <w:t>26</w:t>
            </w:r>
          </w:p>
        </w:tc>
        <w:tc>
          <w:tcPr>
            <w:tcW w:w="510" w:type="pct"/>
            <w:vAlign w:val="center"/>
          </w:tcPr>
          <w:p w14:paraId="4323C6A6" w14:textId="77777777" w:rsidR="00F50C57" w:rsidRPr="00F50C57" w:rsidRDefault="00F50C57" w:rsidP="00F50C57">
            <w:pPr>
              <w:jc w:val="center"/>
            </w:pPr>
            <w:r w:rsidRPr="00F50C57">
              <w:rPr>
                <w:rFonts w:hint="eastAsia"/>
              </w:rPr>
              <w:t>124.90382195</w:t>
            </w:r>
          </w:p>
        </w:tc>
        <w:tc>
          <w:tcPr>
            <w:tcW w:w="484" w:type="pct"/>
            <w:vAlign w:val="center"/>
          </w:tcPr>
          <w:p w14:paraId="4E88B39B" w14:textId="77777777" w:rsidR="00F50C57" w:rsidRPr="00F50C57" w:rsidRDefault="00F50C57" w:rsidP="00F50C57">
            <w:pPr>
              <w:jc w:val="center"/>
            </w:pPr>
            <w:r w:rsidRPr="00F50C57">
              <w:rPr>
                <w:rFonts w:hint="eastAsia"/>
              </w:rPr>
              <w:t>46.36037527</w:t>
            </w:r>
          </w:p>
        </w:tc>
        <w:tc>
          <w:tcPr>
            <w:tcW w:w="726" w:type="pct"/>
            <w:vAlign w:val="center"/>
          </w:tcPr>
          <w:p w14:paraId="6D5F3153" w14:textId="77777777" w:rsidR="00F50C57" w:rsidRPr="00F50C57" w:rsidRDefault="00F50C57" w:rsidP="00F50C57">
            <w:pPr>
              <w:jc w:val="center"/>
            </w:pPr>
            <w:r w:rsidRPr="00F50C57">
              <w:rPr>
                <w:rFonts w:hint="eastAsia"/>
              </w:rPr>
              <w:t>红岗四村</w:t>
            </w:r>
          </w:p>
        </w:tc>
        <w:tc>
          <w:tcPr>
            <w:tcW w:w="485" w:type="pct"/>
            <w:vAlign w:val="center"/>
          </w:tcPr>
          <w:p w14:paraId="77F42C31" w14:textId="77777777" w:rsidR="00F50C57" w:rsidRPr="00F50C57" w:rsidRDefault="00F50C57" w:rsidP="00F50C57">
            <w:pPr>
              <w:snapToGrid w:val="0"/>
              <w:jc w:val="center"/>
            </w:pPr>
            <w:r w:rsidRPr="00F50C57">
              <w:t>居住区</w:t>
            </w:r>
          </w:p>
        </w:tc>
        <w:tc>
          <w:tcPr>
            <w:tcW w:w="481" w:type="pct"/>
            <w:vMerge/>
            <w:vAlign w:val="center"/>
          </w:tcPr>
          <w:p w14:paraId="6D505B7E" w14:textId="77777777" w:rsidR="00F50C57" w:rsidRPr="00F50C57" w:rsidRDefault="00F50C57" w:rsidP="00F50C57">
            <w:pPr>
              <w:jc w:val="center"/>
            </w:pPr>
          </w:p>
        </w:tc>
        <w:tc>
          <w:tcPr>
            <w:tcW w:w="485" w:type="pct"/>
            <w:vAlign w:val="center"/>
          </w:tcPr>
          <w:p w14:paraId="3ED2EF2E" w14:textId="77777777" w:rsidR="00F50C57" w:rsidRPr="00F50C57" w:rsidRDefault="00F50C57" w:rsidP="00F50C57">
            <w:pPr>
              <w:jc w:val="center"/>
            </w:pPr>
            <w:r w:rsidRPr="00F50C57">
              <w:t>SW</w:t>
            </w:r>
          </w:p>
        </w:tc>
        <w:tc>
          <w:tcPr>
            <w:tcW w:w="488" w:type="pct"/>
            <w:vAlign w:val="center"/>
          </w:tcPr>
          <w:p w14:paraId="3D2E7BAC" w14:textId="77777777" w:rsidR="00F50C57" w:rsidRPr="00F50C57" w:rsidRDefault="00F50C57" w:rsidP="00F50C57">
            <w:pPr>
              <w:jc w:val="center"/>
            </w:pPr>
            <w:r w:rsidRPr="00F50C57">
              <w:rPr>
                <w:rFonts w:hint="eastAsia"/>
              </w:rPr>
              <w:t>10140</w:t>
            </w:r>
          </w:p>
        </w:tc>
        <w:tc>
          <w:tcPr>
            <w:tcW w:w="612" w:type="pct"/>
            <w:vAlign w:val="center"/>
          </w:tcPr>
          <w:p w14:paraId="3B4B45A9" w14:textId="77777777" w:rsidR="00F50C57" w:rsidRPr="00F50C57" w:rsidRDefault="00F50C57" w:rsidP="00F50C57">
            <w:pPr>
              <w:jc w:val="center"/>
            </w:pPr>
            <w:r w:rsidRPr="00F50C57">
              <w:rPr>
                <w:rFonts w:hint="eastAsia"/>
              </w:rPr>
              <w:t>410</w:t>
            </w:r>
          </w:p>
        </w:tc>
      </w:tr>
      <w:tr w:rsidR="00F50C57" w:rsidRPr="00F50C57" w14:paraId="1C91B4BF" w14:textId="77777777" w:rsidTr="00F50C57">
        <w:trPr>
          <w:trHeight w:val="161"/>
        </w:trPr>
        <w:tc>
          <w:tcPr>
            <w:tcW w:w="422" w:type="pct"/>
            <w:vMerge/>
            <w:vAlign w:val="center"/>
          </w:tcPr>
          <w:p w14:paraId="39F7C026" w14:textId="77777777" w:rsidR="00F50C57" w:rsidRPr="00F50C57" w:rsidRDefault="00F50C57" w:rsidP="00F50C57">
            <w:pPr>
              <w:jc w:val="center"/>
            </w:pPr>
          </w:p>
        </w:tc>
        <w:tc>
          <w:tcPr>
            <w:tcW w:w="307" w:type="pct"/>
            <w:vAlign w:val="center"/>
          </w:tcPr>
          <w:p w14:paraId="70933610" w14:textId="77777777" w:rsidR="00F50C57" w:rsidRPr="00F50C57" w:rsidRDefault="00F50C57" w:rsidP="00F50C57">
            <w:pPr>
              <w:jc w:val="center"/>
            </w:pPr>
            <w:r w:rsidRPr="00F50C57">
              <w:rPr>
                <w:rFonts w:hint="eastAsia"/>
              </w:rPr>
              <w:t>27</w:t>
            </w:r>
          </w:p>
        </w:tc>
        <w:tc>
          <w:tcPr>
            <w:tcW w:w="510" w:type="pct"/>
            <w:vAlign w:val="center"/>
          </w:tcPr>
          <w:p w14:paraId="5A8DEFDC" w14:textId="77777777" w:rsidR="00F50C57" w:rsidRPr="00F50C57" w:rsidRDefault="00F50C57" w:rsidP="00F50C57">
            <w:pPr>
              <w:jc w:val="center"/>
            </w:pPr>
            <w:r w:rsidRPr="00F50C57">
              <w:rPr>
                <w:rFonts w:hint="eastAsia"/>
              </w:rPr>
              <w:t>124.93600845</w:t>
            </w:r>
          </w:p>
        </w:tc>
        <w:tc>
          <w:tcPr>
            <w:tcW w:w="484" w:type="pct"/>
            <w:vAlign w:val="center"/>
          </w:tcPr>
          <w:p w14:paraId="1237A211" w14:textId="77777777" w:rsidR="00F50C57" w:rsidRPr="00F50C57" w:rsidRDefault="00F50C57" w:rsidP="00F50C57">
            <w:pPr>
              <w:jc w:val="center"/>
            </w:pPr>
            <w:r w:rsidRPr="00F50C57">
              <w:rPr>
                <w:rFonts w:hint="eastAsia"/>
              </w:rPr>
              <w:t>46.36292225</w:t>
            </w:r>
          </w:p>
        </w:tc>
        <w:tc>
          <w:tcPr>
            <w:tcW w:w="726" w:type="pct"/>
            <w:vAlign w:val="center"/>
          </w:tcPr>
          <w:p w14:paraId="7B51232A" w14:textId="77777777" w:rsidR="00F50C57" w:rsidRPr="00F50C57" w:rsidRDefault="00F50C57" w:rsidP="00F50C57">
            <w:pPr>
              <w:jc w:val="center"/>
            </w:pPr>
            <w:r w:rsidRPr="00F50C57">
              <w:rPr>
                <w:rFonts w:hint="eastAsia"/>
              </w:rPr>
              <w:t>杏树岗屯</w:t>
            </w:r>
          </w:p>
        </w:tc>
        <w:tc>
          <w:tcPr>
            <w:tcW w:w="485" w:type="pct"/>
            <w:vAlign w:val="center"/>
          </w:tcPr>
          <w:p w14:paraId="72BEFCEA" w14:textId="77777777" w:rsidR="00F50C57" w:rsidRPr="00F50C57" w:rsidRDefault="00F50C57" w:rsidP="00F50C57">
            <w:pPr>
              <w:snapToGrid w:val="0"/>
              <w:jc w:val="center"/>
            </w:pPr>
            <w:r w:rsidRPr="00F50C57">
              <w:t>居住区</w:t>
            </w:r>
          </w:p>
        </w:tc>
        <w:tc>
          <w:tcPr>
            <w:tcW w:w="481" w:type="pct"/>
            <w:vMerge/>
            <w:vAlign w:val="center"/>
          </w:tcPr>
          <w:p w14:paraId="23F98430" w14:textId="77777777" w:rsidR="00F50C57" w:rsidRPr="00F50C57" w:rsidRDefault="00F50C57" w:rsidP="00F50C57">
            <w:pPr>
              <w:jc w:val="center"/>
            </w:pPr>
          </w:p>
        </w:tc>
        <w:tc>
          <w:tcPr>
            <w:tcW w:w="485" w:type="pct"/>
            <w:vAlign w:val="center"/>
          </w:tcPr>
          <w:p w14:paraId="3650DD8F" w14:textId="77777777" w:rsidR="00F50C57" w:rsidRPr="00F50C57" w:rsidRDefault="00F50C57" w:rsidP="00F50C57">
            <w:pPr>
              <w:jc w:val="center"/>
            </w:pPr>
            <w:r w:rsidRPr="00F50C57">
              <w:t>SW</w:t>
            </w:r>
          </w:p>
        </w:tc>
        <w:tc>
          <w:tcPr>
            <w:tcW w:w="488" w:type="pct"/>
            <w:vAlign w:val="center"/>
          </w:tcPr>
          <w:p w14:paraId="575092A9" w14:textId="77777777" w:rsidR="00F50C57" w:rsidRPr="00F50C57" w:rsidRDefault="00F50C57" w:rsidP="00F50C57">
            <w:pPr>
              <w:jc w:val="center"/>
            </w:pPr>
            <w:r w:rsidRPr="00F50C57">
              <w:rPr>
                <w:rFonts w:hint="eastAsia"/>
              </w:rPr>
              <w:t>8640</w:t>
            </w:r>
          </w:p>
        </w:tc>
        <w:tc>
          <w:tcPr>
            <w:tcW w:w="612" w:type="pct"/>
            <w:vAlign w:val="center"/>
          </w:tcPr>
          <w:p w14:paraId="491743D2" w14:textId="77777777" w:rsidR="00F50C57" w:rsidRPr="00F50C57" w:rsidRDefault="00F50C57" w:rsidP="00F50C57">
            <w:pPr>
              <w:jc w:val="center"/>
            </w:pPr>
            <w:r w:rsidRPr="00F50C57">
              <w:rPr>
                <w:rFonts w:hint="eastAsia"/>
              </w:rPr>
              <w:t>180</w:t>
            </w:r>
          </w:p>
        </w:tc>
      </w:tr>
      <w:tr w:rsidR="00F50C57" w:rsidRPr="00F50C57" w14:paraId="402F5E64" w14:textId="77777777" w:rsidTr="00F50C57">
        <w:trPr>
          <w:trHeight w:val="161"/>
        </w:trPr>
        <w:tc>
          <w:tcPr>
            <w:tcW w:w="422" w:type="pct"/>
            <w:vMerge/>
            <w:vAlign w:val="center"/>
          </w:tcPr>
          <w:p w14:paraId="1CCFB49E" w14:textId="77777777" w:rsidR="00F50C57" w:rsidRPr="00F50C57" w:rsidRDefault="00F50C57" w:rsidP="00F50C57">
            <w:pPr>
              <w:jc w:val="center"/>
            </w:pPr>
          </w:p>
        </w:tc>
        <w:tc>
          <w:tcPr>
            <w:tcW w:w="307" w:type="pct"/>
            <w:vAlign w:val="center"/>
          </w:tcPr>
          <w:p w14:paraId="6750D1D6" w14:textId="77777777" w:rsidR="00F50C57" w:rsidRPr="00F50C57" w:rsidRDefault="00F50C57" w:rsidP="00F50C57">
            <w:pPr>
              <w:jc w:val="center"/>
            </w:pPr>
            <w:r w:rsidRPr="00F50C57">
              <w:rPr>
                <w:rFonts w:hint="eastAsia"/>
              </w:rPr>
              <w:t>28</w:t>
            </w:r>
          </w:p>
        </w:tc>
        <w:tc>
          <w:tcPr>
            <w:tcW w:w="510" w:type="pct"/>
            <w:vAlign w:val="center"/>
          </w:tcPr>
          <w:p w14:paraId="228EE0AD" w14:textId="77777777" w:rsidR="00F50C57" w:rsidRPr="00F50C57" w:rsidRDefault="00F50C57" w:rsidP="00F50C57">
            <w:pPr>
              <w:jc w:val="center"/>
            </w:pPr>
            <w:r w:rsidRPr="00F50C57">
              <w:rPr>
                <w:rFonts w:hint="eastAsia"/>
              </w:rPr>
              <w:t>125.09127617</w:t>
            </w:r>
          </w:p>
        </w:tc>
        <w:tc>
          <w:tcPr>
            <w:tcW w:w="484" w:type="pct"/>
            <w:vAlign w:val="center"/>
          </w:tcPr>
          <w:p w14:paraId="5E4E0FD5" w14:textId="77777777" w:rsidR="00F50C57" w:rsidRPr="00F50C57" w:rsidRDefault="00F50C57" w:rsidP="00F50C57">
            <w:pPr>
              <w:jc w:val="center"/>
            </w:pPr>
            <w:r w:rsidRPr="00F50C57">
              <w:rPr>
                <w:rFonts w:hint="eastAsia"/>
              </w:rPr>
              <w:t>46.42277170</w:t>
            </w:r>
          </w:p>
        </w:tc>
        <w:tc>
          <w:tcPr>
            <w:tcW w:w="726" w:type="pct"/>
            <w:vAlign w:val="center"/>
          </w:tcPr>
          <w:p w14:paraId="73C2470D" w14:textId="77777777" w:rsidR="00F50C57" w:rsidRPr="00F50C57" w:rsidRDefault="00F50C57" w:rsidP="00F50C57">
            <w:pPr>
              <w:jc w:val="center"/>
            </w:pPr>
            <w:r w:rsidRPr="00F50C57">
              <w:rPr>
                <w:rFonts w:hint="eastAsia"/>
              </w:rPr>
              <w:t>王车铺</w:t>
            </w:r>
          </w:p>
        </w:tc>
        <w:tc>
          <w:tcPr>
            <w:tcW w:w="485" w:type="pct"/>
            <w:vAlign w:val="center"/>
          </w:tcPr>
          <w:p w14:paraId="7F2CB468" w14:textId="77777777" w:rsidR="00F50C57" w:rsidRPr="00F50C57" w:rsidRDefault="00F50C57" w:rsidP="00F50C57">
            <w:pPr>
              <w:snapToGrid w:val="0"/>
              <w:jc w:val="center"/>
            </w:pPr>
            <w:r w:rsidRPr="00F50C57">
              <w:t>居住区</w:t>
            </w:r>
          </w:p>
        </w:tc>
        <w:tc>
          <w:tcPr>
            <w:tcW w:w="481" w:type="pct"/>
            <w:vMerge/>
            <w:vAlign w:val="center"/>
          </w:tcPr>
          <w:p w14:paraId="7111EF31" w14:textId="77777777" w:rsidR="00F50C57" w:rsidRPr="00F50C57" w:rsidRDefault="00F50C57" w:rsidP="00F50C57">
            <w:pPr>
              <w:jc w:val="center"/>
            </w:pPr>
          </w:p>
        </w:tc>
        <w:tc>
          <w:tcPr>
            <w:tcW w:w="485" w:type="pct"/>
            <w:vAlign w:val="center"/>
          </w:tcPr>
          <w:p w14:paraId="58121CEA" w14:textId="77777777" w:rsidR="00F50C57" w:rsidRPr="00F50C57" w:rsidRDefault="00F50C57" w:rsidP="00F50C57">
            <w:pPr>
              <w:jc w:val="center"/>
            </w:pPr>
            <w:r w:rsidRPr="00F50C57">
              <w:rPr>
                <w:rFonts w:hint="eastAsia"/>
              </w:rPr>
              <w:t>E</w:t>
            </w:r>
          </w:p>
        </w:tc>
        <w:tc>
          <w:tcPr>
            <w:tcW w:w="488" w:type="pct"/>
            <w:vAlign w:val="center"/>
          </w:tcPr>
          <w:p w14:paraId="49EC2F6C" w14:textId="77777777" w:rsidR="00F50C57" w:rsidRPr="00F50C57" w:rsidRDefault="00F50C57" w:rsidP="00F50C57">
            <w:pPr>
              <w:jc w:val="center"/>
            </w:pPr>
            <w:r w:rsidRPr="00F50C57">
              <w:rPr>
                <w:rFonts w:hint="eastAsia"/>
              </w:rPr>
              <w:t>7760</w:t>
            </w:r>
          </w:p>
        </w:tc>
        <w:tc>
          <w:tcPr>
            <w:tcW w:w="612" w:type="pct"/>
            <w:vAlign w:val="center"/>
          </w:tcPr>
          <w:p w14:paraId="04E42A17" w14:textId="77777777" w:rsidR="00F50C57" w:rsidRPr="00F50C57" w:rsidRDefault="00F50C57" w:rsidP="00F50C57">
            <w:pPr>
              <w:jc w:val="center"/>
            </w:pPr>
            <w:r w:rsidRPr="00F50C57">
              <w:rPr>
                <w:rFonts w:hint="eastAsia"/>
              </w:rPr>
              <w:t>90</w:t>
            </w:r>
          </w:p>
        </w:tc>
      </w:tr>
      <w:tr w:rsidR="00F50C57" w:rsidRPr="00F50C57" w14:paraId="47F893D4" w14:textId="77777777" w:rsidTr="00F50C57">
        <w:trPr>
          <w:trHeight w:val="161"/>
        </w:trPr>
        <w:tc>
          <w:tcPr>
            <w:tcW w:w="422" w:type="pct"/>
            <w:vMerge/>
            <w:vAlign w:val="center"/>
          </w:tcPr>
          <w:p w14:paraId="7444F858" w14:textId="77777777" w:rsidR="00F50C57" w:rsidRPr="00F50C57" w:rsidRDefault="00F50C57" w:rsidP="00F50C57">
            <w:pPr>
              <w:jc w:val="center"/>
            </w:pPr>
          </w:p>
        </w:tc>
        <w:tc>
          <w:tcPr>
            <w:tcW w:w="307" w:type="pct"/>
            <w:vAlign w:val="center"/>
          </w:tcPr>
          <w:p w14:paraId="14F835E4" w14:textId="77777777" w:rsidR="00F50C57" w:rsidRPr="00F50C57" w:rsidRDefault="00F50C57" w:rsidP="00F50C57">
            <w:pPr>
              <w:jc w:val="center"/>
            </w:pPr>
            <w:r w:rsidRPr="00F50C57">
              <w:rPr>
                <w:rFonts w:hint="eastAsia"/>
              </w:rPr>
              <w:t>29</w:t>
            </w:r>
          </w:p>
        </w:tc>
        <w:tc>
          <w:tcPr>
            <w:tcW w:w="510" w:type="pct"/>
            <w:vAlign w:val="center"/>
          </w:tcPr>
          <w:p w14:paraId="1138314A" w14:textId="77777777" w:rsidR="00F50C57" w:rsidRPr="00F50C57" w:rsidRDefault="00F50C57" w:rsidP="00F50C57">
            <w:pPr>
              <w:jc w:val="center"/>
            </w:pPr>
            <w:r w:rsidRPr="00F50C57">
              <w:rPr>
                <w:rFonts w:hint="eastAsia"/>
              </w:rPr>
              <w:t>125.08904457</w:t>
            </w:r>
          </w:p>
        </w:tc>
        <w:tc>
          <w:tcPr>
            <w:tcW w:w="484" w:type="pct"/>
            <w:vAlign w:val="center"/>
          </w:tcPr>
          <w:p w14:paraId="33C7A5F8" w14:textId="77777777" w:rsidR="00F50C57" w:rsidRPr="00F50C57" w:rsidRDefault="00F50C57" w:rsidP="00F50C57">
            <w:pPr>
              <w:jc w:val="center"/>
            </w:pPr>
            <w:r w:rsidRPr="00F50C57">
              <w:rPr>
                <w:rFonts w:hint="eastAsia"/>
              </w:rPr>
              <w:t>46.40999039</w:t>
            </w:r>
          </w:p>
        </w:tc>
        <w:tc>
          <w:tcPr>
            <w:tcW w:w="726" w:type="pct"/>
            <w:vAlign w:val="center"/>
          </w:tcPr>
          <w:p w14:paraId="0D36FCE1" w14:textId="77777777" w:rsidR="00F50C57" w:rsidRPr="00F50C57" w:rsidRDefault="00F50C57" w:rsidP="00F50C57">
            <w:pPr>
              <w:jc w:val="center"/>
            </w:pPr>
            <w:r w:rsidRPr="00F50C57">
              <w:rPr>
                <w:rFonts w:hint="eastAsia"/>
              </w:rPr>
              <w:t>刘相林屯</w:t>
            </w:r>
          </w:p>
        </w:tc>
        <w:tc>
          <w:tcPr>
            <w:tcW w:w="485" w:type="pct"/>
            <w:vAlign w:val="center"/>
          </w:tcPr>
          <w:p w14:paraId="118FF8CA" w14:textId="77777777" w:rsidR="00F50C57" w:rsidRPr="00F50C57" w:rsidRDefault="00F50C57" w:rsidP="00F50C57">
            <w:pPr>
              <w:snapToGrid w:val="0"/>
              <w:jc w:val="center"/>
            </w:pPr>
            <w:r w:rsidRPr="00F50C57">
              <w:t>居住区</w:t>
            </w:r>
          </w:p>
        </w:tc>
        <w:tc>
          <w:tcPr>
            <w:tcW w:w="481" w:type="pct"/>
            <w:vMerge/>
            <w:vAlign w:val="center"/>
          </w:tcPr>
          <w:p w14:paraId="5B4827EF" w14:textId="77777777" w:rsidR="00F50C57" w:rsidRPr="00F50C57" w:rsidRDefault="00F50C57" w:rsidP="00F50C57">
            <w:pPr>
              <w:jc w:val="center"/>
            </w:pPr>
          </w:p>
        </w:tc>
        <w:tc>
          <w:tcPr>
            <w:tcW w:w="485" w:type="pct"/>
            <w:vAlign w:val="center"/>
          </w:tcPr>
          <w:p w14:paraId="7A30F1C2" w14:textId="77777777" w:rsidR="00F50C57" w:rsidRPr="00F50C57" w:rsidRDefault="00F50C57" w:rsidP="00F50C57">
            <w:pPr>
              <w:jc w:val="center"/>
            </w:pPr>
            <w:r w:rsidRPr="00F50C57">
              <w:rPr>
                <w:rFonts w:hint="eastAsia"/>
              </w:rPr>
              <w:t>SE</w:t>
            </w:r>
          </w:p>
        </w:tc>
        <w:tc>
          <w:tcPr>
            <w:tcW w:w="488" w:type="pct"/>
            <w:vAlign w:val="center"/>
          </w:tcPr>
          <w:p w14:paraId="42B79BEF" w14:textId="77777777" w:rsidR="00F50C57" w:rsidRPr="00F50C57" w:rsidRDefault="00F50C57" w:rsidP="00F50C57">
            <w:pPr>
              <w:jc w:val="center"/>
            </w:pPr>
            <w:r w:rsidRPr="00F50C57">
              <w:rPr>
                <w:rFonts w:hint="eastAsia"/>
              </w:rPr>
              <w:t>7930</w:t>
            </w:r>
          </w:p>
        </w:tc>
        <w:tc>
          <w:tcPr>
            <w:tcW w:w="612" w:type="pct"/>
            <w:vAlign w:val="center"/>
          </w:tcPr>
          <w:p w14:paraId="18E5EE6D" w14:textId="77777777" w:rsidR="00F50C57" w:rsidRPr="00F50C57" w:rsidRDefault="00F50C57" w:rsidP="00F50C57">
            <w:pPr>
              <w:jc w:val="center"/>
            </w:pPr>
            <w:r w:rsidRPr="00F50C57">
              <w:rPr>
                <w:rFonts w:hint="eastAsia"/>
              </w:rPr>
              <w:t>120</w:t>
            </w:r>
          </w:p>
        </w:tc>
      </w:tr>
      <w:tr w:rsidR="00F50C57" w:rsidRPr="00F50C57" w14:paraId="247198DF" w14:textId="77777777" w:rsidTr="00F50C57">
        <w:trPr>
          <w:trHeight w:val="199"/>
        </w:trPr>
        <w:tc>
          <w:tcPr>
            <w:tcW w:w="422" w:type="pct"/>
            <w:vMerge w:val="restart"/>
            <w:vAlign w:val="center"/>
          </w:tcPr>
          <w:p w14:paraId="264C09C1" w14:textId="77777777" w:rsidR="00F50C57" w:rsidRPr="00F50C57" w:rsidRDefault="00F50C57" w:rsidP="00F50C57">
            <w:pPr>
              <w:jc w:val="center"/>
            </w:pPr>
            <w:r w:rsidRPr="00F50C57">
              <w:t>环境风险</w:t>
            </w:r>
          </w:p>
          <w:p w14:paraId="4E1EED81" w14:textId="77777777" w:rsidR="00F50C57" w:rsidRPr="00F50C57" w:rsidRDefault="00F50C57" w:rsidP="00F50C57">
            <w:pPr>
              <w:jc w:val="center"/>
            </w:pPr>
            <w:r w:rsidRPr="00F50C57">
              <w:t>（厂界外</w:t>
            </w:r>
            <w:r w:rsidRPr="00F50C57">
              <w:t>3km</w:t>
            </w:r>
            <w:r w:rsidRPr="00F50C57">
              <w:t>范围内）</w:t>
            </w:r>
          </w:p>
        </w:tc>
        <w:tc>
          <w:tcPr>
            <w:tcW w:w="307" w:type="pct"/>
            <w:vAlign w:val="center"/>
          </w:tcPr>
          <w:p w14:paraId="138A5724" w14:textId="77777777" w:rsidR="00F50C57" w:rsidRPr="00F50C57" w:rsidRDefault="00F50C57" w:rsidP="00F50C57">
            <w:pPr>
              <w:jc w:val="center"/>
            </w:pPr>
            <w:r w:rsidRPr="00F50C57">
              <w:t>1</w:t>
            </w:r>
          </w:p>
        </w:tc>
        <w:tc>
          <w:tcPr>
            <w:tcW w:w="510" w:type="pct"/>
            <w:vAlign w:val="center"/>
          </w:tcPr>
          <w:p w14:paraId="3D3DBB6C" w14:textId="77777777" w:rsidR="00F50C57" w:rsidRPr="00F50C57" w:rsidRDefault="00F50C57" w:rsidP="00F50C57">
            <w:pPr>
              <w:jc w:val="center"/>
            </w:pPr>
            <w:r w:rsidRPr="00F50C57">
              <w:t>E 125.017376</w:t>
            </w:r>
          </w:p>
        </w:tc>
        <w:tc>
          <w:tcPr>
            <w:tcW w:w="484" w:type="pct"/>
            <w:vAlign w:val="center"/>
          </w:tcPr>
          <w:p w14:paraId="044BF2AF" w14:textId="77777777" w:rsidR="00F50C57" w:rsidRPr="00F50C57" w:rsidRDefault="00F50C57" w:rsidP="00F50C57">
            <w:pPr>
              <w:jc w:val="center"/>
            </w:pPr>
            <w:r w:rsidRPr="00F50C57">
              <w:t>N 46.452761</w:t>
            </w:r>
          </w:p>
        </w:tc>
        <w:tc>
          <w:tcPr>
            <w:tcW w:w="726" w:type="pct"/>
            <w:vAlign w:val="center"/>
          </w:tcPr>
          <w:p w14:paraId="70A9CBE2" w14:textId="77777777" w:rsidR="00F50C57" w:rsidRPr="00F50C57" w:rsidRDefault="00F50C57" w:rsidP="00F50C57">
            <w:pPr>
              <w:jc w:val="center"/>
            </w:pPr>
            <w:r w:rsidRPr="00F50C57">
              <w:t>农牧场二屯</w:t>
            </w:r>
          </w:p>
        </w:tc>
        <w:tc>
          <w:tcPr>
            <w:tcW w:w="485" w:type="pct"/>
            <w:vAlign w:val="center"/>
          </w:tcPr>
          <w:p w14:paraId="3CFF92AA" w14:textId="77777777" w:rsidR="00F50C57" w:rsidRPr="00F50C57" w:rsidRDefault="00F50C57" w:rsidP="00F50C57">
            <w:pPr>
              <w:snapToGrid w:val="0"/>
              <w:jc w:val="center"/>
            </w:pPr>
            <w:r w:rsidRPr="00F50C57">
              <w:t>居住区</w:t>
            </w:r>
          </w:p>
        </w:tc>
        <w:tc>
          <w:tcPr>
            <w:tcW w:w="481" w:type="pct"/>
            <w:vMerge w:val="restart"/>
            <w:vAlign w:val="center"/>
          </w:tcPr>
          <w:p w14:paraId="33AA5D73" w14:textId="77777777" w:rsidR="00F50C57" w:rsidRPr="00F50C57" w:rsidRDefault="00F50C57" w:rsidP="00F50C57">
            <w:pPr>
              <w:jc w:val="center"/>
            </w:pPr>
            <w:r w:rsidRPr="00F50C57">
              <w:t>/</w:t>
            </w:r>
          </w:p>
        </w:tc>
        <w:tc>
          <w:tcPr>
            <w:tcW w:w="485" w:type="pct"/>
            <w:vAlign w:val="center"/>
          </w:tcPr>
          <w:p w14:paraId="29CFC884" w14:textId="77777777" w:rsidR="00F50C57" w:rsidRPr="00F50C57" w:rsidRDefault="00F50C57" w:rsidP="00F50C57">
            <w:pPr>
              <w:jc w:val="center"/>
            </w:pPr>
            <w:r w:rsidRPr="00F50C57">
              <w:t>NE</w:t>
            </w:r>
          </w:p>
        </w:tc>
        <w:tc>
          <w:tcPr>
            <w:tcW w:w="488" w:type="pct"/>
            <w:vAlign w:val="center"/>
          </w:tcPr>
          <w:p w14:paraId="234C2B39" w14:textId="77777777" w:rsidR="00F50C57" w:rsidRPr="00F50C57" w:rsidRDefault="00F50C57" w:rsidP="00F50C57">
            <w:pPr>
              <w:jc w:val="center"/>
            </w:pPr>
            <w:r w:rsidRPr="00F50C57">
              <w:t>2060</w:t>
            </w:r>
          </w:p>
        </w:tc>
        <w:tc>
          <w:tcPr>
            <w:tcW w:w="612" w:type="pct"/>
            <w:vAlign w:val="center"/>
          </w:tcPr>
          <w:p w14:paraId="3C22F72F" w14:textId="77777777" w:rsidR="00F50C57" w:rsidRPr="00F50C57" w:rsidRDefault="00F50C57" w:rsidP="00F50C57">
            <w:pPr>
              <w:jc w:val="center"/>
            </w:pPr>
            <w:r w:rsidRPr="00F50C57">
              <w:t>220</w:t>
            </w:r>
          </w:p>
        </w:tc>
      </w:tr>
      <w:tr w:rsidR="00F50C57" w:rsidRPr="00F50C57" w14:paraId="6C1F5258" w14:textId="77777777" w:rsidTr="00F50C57">
        <w:trPr>
          <w:trHeight w:val="212"/>
        </w:trPr>
        <w:tc>
          <w:tcPr>
            <w:tcW w:w="422" w:type="pct"/>
            <w:vMerge/>
            <w:vAlign w:val="center"/>
          </w:tcPr>
          <w:p w14:paraId="350271D6" w14:textId="77777777" w:rsidR="00F50C57" w:rsidRPr="00F50C57" w:rsidRDefault="00F50C57" w:rsidP="00F50C57">
            <w:pPr>
              <w:jc w:val="center"/>
            </w:pPr>
          </w:p>
        </w:tc>
        <w:tc>
          <w:tcPr>
            <w:tcW w:w="307" w:type="pct"/>
            <w:vAlign w:val="center"/>
          </w:tcPr>
          <w:p w14:paraId="39D5FBE1" w14:textId="77777777" w:rsidR="00F50C57" w:rsidRPr="00F50C57" w:rsidRDefault="00F50C57" w:rsidP="00F50C57">
            <w:pPr>
              <w:jc w:val="center"/>
            </w:pPr>
            <w:r w:rsidRPr="00F50C57">
              <w:t>2</w:t>
            </w:r>
          </w:p>
        </w:tc>
        <w:tc>
          <w:tcPr>
            <w:tcW w:w="510" w:type="pct"/>
            <w:vAlign w:val="center"/>
          </w:tcPr>
          <w:p w14:paraId="612CB81C" w14:textId="77777777" w:rsidR="00F50C57" w:rsidRPr="00F50C57" w:rsidRDefault="00F50C57" w:rsidP="00F50C57">
            <w:pPr>
              <w:jc w:val="center"/>
            </w:pPr>
            <w:r w:rsidRPr="00F50C57">
              <w:t>E 124.996090</w:t>
            </w:r>
          </w:p>
        </w:tc>
        <w:tc>
          <w:tcPr>
            <w:tcW w:w="484" w:type="pct"/>
            <w:vAlign w:val="center"/>
          </w:tcPr>
          <w:p w14:paraId="0B9FEE0E" w14:textId="77777777" w:rsidR="00F50C57" w:rsidRPr="00F50C57" w:rsidRDefault="00F50C57" w:rsidP="00F50C57">
            <w:pPr>
              <w:jc w:val="center"/>
            </w:pPr>
            <w:r w:rsidRPr="00F50C57">
              <w:t>N 46.444008</w:t>
            </w:r>
          </w:p>
        </w:tc>
        <w:tc>
          <w:tcPr>
            <w:tcW w:w="726" w:type="pct"/>
            <w:vAlign w:val="center"/>
          </w:tcPr>
          <w:p w14:paraId="117C476F" w14:textId="77777777" w:rsidR="00F50C57" w:rsidRPr="00F50C57" w:rsidRDefault="00F50C57" w:rsidP="00F50C57">
            <w:pPr>
              <w:jc w:val="center"/>
            </w:pPr>
            <w:r w:rsidRPr="00F50C57">
              <w:t>红旗二村</w:t>
            </w:r>
          </w:p>
        </w:tc>
        <w:tc>
          <w:tcPr>
            <w:tcW w:w="485" w:type="pct"/>
            <w:vAlign w:val="center"/>
          </w:tcPr>
          <w:p w14:paraId="67CD3793" w14:textId="77777777" w:rsidR="00F50C57" w:rsidRPr="00F50C57" w:rsidRDefault="00F50C57" w:rsidP="00F50C57">
            <w:pPr>
              <w:snapToGrid w:val="0"/>
              <w:jc w:val="center"/>
            </w:pPr>
            <w:r w:rsidRPr="00F50C57">
              <w:t>居住区</w:t>
            </w:r>
          </w:p>
        </w:tc>
        <w:tc>
          <w:tcPr>
            <w:tcW w:w="481" w:type="pct"/>
            <w:vMerge/>
            <w:vAlign w:val="center"/>
          </w:tcPr>
          <w:p w14:paraId="46DA02D4" w14:textId="77777777" w:rsidR="00F50C57" w:rsidRPr="00F50C57" w:rsidRDefault="00F50C57" w:rsidP="00F50C57">
            <w:pPr>
              <w:jc w:val="center"/>
            </w:pPr>
          </w:p>
        </w:tc>
        <w:tc>
          <w:tcPr>
            <w:tcW w:w="485" w:type="pct"/>
            <w:vAlign w:val="center"/>
          </w:tcPr>
          <w:p w14:paraId="34AB6598" w14:textId="77777777" w:rsidR="00F50C57" w:rsidRPr="00F50C57" w:rsidRDefault="00F50C57" w:rsidP="00F50C57">
            <w:pPr>
              <w:jc w:val="center"/>
            </w:pPr>
            <w:r w:rsidRPr="00F50C57">
              <w:t>NE</w:t>
            </w:r>
          </w:p>
        </w:tc>
        <w:tc>
          <w:tcPr>
            <w:tcW w:w="488" w:type="pct"/>
            <w:vAlign w:val="center"/>
          </w:tcPr>
          <w:p w14:paraId="2E65453F" w14:textId="77777777" w:rsidR="00F50C57" w:rsidRPr="00F50C57" w:rsidRDefault="00F50C57" w:rsidP="00F50C57">
            <w:pPr>
              <w:jc w:val="center"/>
            </w:pPr>
            <w:r w:rsidRPr="00F50C57">
              <w:t>790</w:t>
            </w:r>
          </w:p>
        </w:tc>
        <w:tc>
          <w:tcPr>
            <w:tcW w:w="612" w:type="pct"/>
            <w:vAlign w:val="center"/>
          </w:tcPr>
          <w:p w14:paraId="7E1E513B" w14:textId="77777777" w:rsidR="00F50C57" w:rsidRPr="00F50C57" w:rsidRDefault="00F50C57" w:rsidP="00F50C57">
            <w:pPr>
              <w:jc w:val="center"/>
            </w:pPr>
            <w:r w:rsidRPr="00F50C57">
              <w:t>180</w:t>
            </w:r>
          </w:p>
        </w:tc>
      </w:tr>
      <w:tr w:rsidR="00F50C57" w:rsidRPr="00F50C57" w14:paraId="7DC90774" w14:textId="77777777" w:rsidTr="00F50C57">
        <w:trPr>
          <w:trHeight w:val="110"/>
        </w:trPr>
        <w:tc>
          <w:tcPr>
            <w:tcW w:w="422" w:type="pct"/>
            <w:vMerge/>
            <w:vAlign w:val="center"/>
          </w:tcPr>
          <w:p w14:paraId="08A6FB60" w14:textId="77777777" w:rsidR="00F50C57" w:rsidRPr="00F50C57" w:rsidRDefault="00F50C57" w:rsidP="00F50C57">
            <w:pPr>
              <w:jc w:val="center"/>
            </w:pPr>
          </w:p>
        </w:tc>
        <w:tc>
          <w:tcPr>
            <w:tcW w:w="307" w:type="pct"/>
            <w:vAlign w:val="center"/>
          </w:tcPr>
          <w:p w14:paraId="090639AA" w14:textId="77777777" w:rsidR="00F50C57" w:rsidRPr="00F50C57" w:rsidRDefault="00F50C57" w:rsidP="00F50C57">
            <w:pPr>
              <w:jc w:val="center"/>
            </w:pPr>
            <w:r w:rsidRPr="00F50C57">
              <w:t>3</w:t>
            </w:r>
          </w:p>
        </w:tc>
        <w:tc>
          <w:tcPr>
            <w:tcW w:w="510" w:type="pct"/>
            <w:vAlign w:val="center"/>
          </w:tcPr>
          <w:p w14:paraId="4EDEF38B" w14:textId="77777777" w:rsidR="00F50C57" w:rsidRPr="00F50C57" w:rsidRDefault="00F50C57" w:rsidP="00F50C57">
            <w:pPr>
              <w:jc w:val="center"/>
            </w:pPr>
            <w:r w:rsidRPr="00F50C57">
              <w:t>E 125.029564</w:t>
            </w:r>
          </w:p>
        </w:tc>
        <w:tc>
          <w:tcPr>
            <w:tcW w:w="484" w:type="pct"/>
            <w:vAlign w:val="center"/>
          </w:tcPr>
          <w:p w14:paraId="5A31EB98" w14:textId="77777777" w:rsidR="00F50C57" w:rsidRPr="00F50C57" w:rsidRDefault="00F50C57" w:rsidP="00F50C57">
            <w:pPr>
              <w:jc w:val="center"/>
            </w:pPr>
            <w:r w:rsidRPr="00F50C57">
              <w:t>N 46.438833</w:t>
            </w:r>
          </w:p>
        </w:tc>
        <w:tc>
          <w:tcPr>
            <w:tcW w:w="726" w:type="pct"/>
            <w:vAlign w:val="center"/>
          </w:tcPr>
          <w:p w14:paraId="482806BA" w14:textId="77777777" w:rsidR="00F50C57" w:rsidRPr="00F50C57" w:rsidRDefault="00F50C57" w:rsidP="00F50C57">
            <w:pPr>
              <w:jc w:val="center"/>
            </w:pPr>
            <w:r w:rsidRPr="00F50C57">
              <w:t>开荒村</w:t>
            </w:r>
          </w:p>
        </w:tc>
        <w:tc>
          <w:tcPr>
            <w:tcW w:w="485" w:type="pct"/>
            <w:vAlign w:val="center"/>
          </w:tcPr>
          <w:p w14:paraId="4296E59C" w14:textId="77777777" w:rsidR="00F50C57" w:rsidRPr="00F50C57" w:rsidRDefault="00F50C57" w:rsidP="00F50C57">
            <w:pPr>
              <w:snapToGrid w:val="0"/>
              <w:jc w:val="center"/>
            </w:pPr>
            <w:r w:rsidRPr="00F50C57">
              <w:t>居住区</w:t>
            </w:r>
          </w:p>
        </w:tc>
        <w:tc>
          <w:tcPr>
            <w:tcW w:w="481" w:type="pct"/>
            <w:vMerge/>
            <w:vAlign w:val="center"/>
          </w:tcPr>
          <w:p w14:paraId="31F37BEC" w14:textId="77777777" w:rsidR="00F50C57" w:rsidRPr="00F50C57" w:rsidRDefault="00F50C57" w:rsidP="00F50C57">
            <w:pPr>
              <w:jc w:val="center"/>
            </w:pPr>
          </w:p>
        </w:tc>
        <w:tc>
          <w:tcPr>
            <w:tcW w:w="485" w:type="pct"/>
            <w:vAlign w:val="center"/>
          </w:tcPr>
          <w:p w14:paraId="64E5D5F0" w14:textId="77777777" w:rsidR="00F50C57" w:rsidRPr="00F50C57" w:rsidRDefault="00F50C57" w:rsidP="00F50C57">
            <w:pPr>
              <w:jc w:val="center"/>
            </w:pPr>
            <w:r w:rsidRPr="00F50C57">
              <w:t>E</w:t>
            </w:r>
          </w:p>
        </w:tc>
        <w:tc>
          <w:tcPr>
            <w:tcW w:w="488" w:type="pct"/>
            <w:vAlign w:val="center"/>
          </w:tcPr>
          <w:p w14:paraId="604D43C8" w14:textId="77777777" w:rsidR="00F50C57" w:rsidRPr="00F50C57" w:rsidRDefault="00F50C57" w:rsidP="00F50C57">
            <w:pPr>
              <w:jc w:val="center"/>
            </w:pPr>
            <w:r w:rsidRPr="00F50C57">
              <w:t>2150</w:t>
            </w:r>
          </w:p>
        </w:tc>
        <w:tc>
          <w:tcPr>
            <w:tcW w:w="612" w:type="pct"/>
            <w:vAlign w:val="center"/>
          </w:tcPr>
          <w:p w14:paraId="0F2E4991" w14:textId="77777777" w:rsidR="00F50C57" w:rsidRPr="00F50C57" w:rsidRDefault="00F50C57" w:rsidP="00F50C57">
            <w:pPr>
              <w:jc w:val="center"/>
            </w:pPr>
            <w:r w:rsidRPr="00F50C57">
              <w:t>510</w:t>
            </w:r>
          </w:p>
        </w:tc>
      </w:tr>
      <w:tr w:rsidR="00F50C57" w:rsidRPr="00F50C57" w14:paraId="15E60E72" w14:textId="77777777" w:rsidTr="00F50C57">
        <w:trPr>
          <w:trHeight w:val="110"/>
        </w:trPr>
        <w:tc>
          <w:tcPr>
            <w:tcW w:w="422" w:type="pct"/>
            <w:vMerge/>
            <w:vAlign w:val="center"/>
          </w:tcPr>
          <w:p w14:paraId="242FEDCB" w14:textId="77777777" w:rsidR="00F50C57" w:rsidRPr="00F50C57" w:rsidRDefault="00F50C57" w:rsidP="00F50C57">
            <w:pPr>
              <w:jc w:val="center"/>
            </w:pPr>
          </w:p>
        </w:tc>
        <w:tc>
          <w:tcPr>
            <w:tcW w:w="307" w:type="pct"/>
            <w:vAlign w:val="center"/>
          </w:tcPr>
          <w:p w14:paraId="5DC259F0" w14:textId="77777777" w:rsidR="00F50C57" w:rsidRPr="00F50C57" w:rsidRDefault="00F50C57" w:rsidP="00F50C57">
            <w:pPr>
              <w:jc w:val="center"/>
            </w:pPr>
            <w:r w:rsidRPr="00F50C57">
              <w:t>4</w:t>
            </w:r>
          </w:p>
        </w:tc>
        <w:tc>
          <w:tcPr>
            <w:tcW w:w="510" w:type="pct"/>
            <w:vAlign w:val="center"/>
          </w:tcPr>
          <w:p w14:paraId="04013A30" w14:textId="77777777" w:rsidR="00F50C57" w:rsidRPr="00F50C57" w:rsidRDefault="00F50C57" w:rsidP="00F50C57">
            <w:pPr>
              <w:jc w:val="center"/>
            </w:pPr>
            <w:r w:rsidRPr="00F50C57">
              <w:t>E 125.000124</w:t>
            </w:r>
          </w:p>
        </w:tc>
        <w:tc>
          <w:tcPr>
            <w:tcW w:w="484" w:type="pct"/>
            <w:vAlign w:val="center"/>
          </w:tcPr>
          <w:p w14:paraId="3E21E96D" w14:textId="77777777" w:rsidR="00F50C57" w:rsidRPr="00F50C57" w:rsidRDefault="00F50C57" w:rsidP="00F50C57">
            <w:pPr>
              <w:jc w:val="center"/>
            </w:pPr>
            <w:r w:rsidRPr="00F50C57">
              <w:t>N 46.414606</w:t>
            </w:r>
          </w:p>
        </w:tc>
        <w:tc>
          <w:tcPr>
            <w:tcW w:w="726" w:type="pct"/>
            <w:vAlign w:val="center"/>
          </w:tcPr>
          <w:p w14:paraId="3604D7F6" w14:textId="77777777" w:rsidR="00F50C57" w:rsidRPr="00F50C57" w:rsidRDefault="00F50C57" w:rsidP="00F50C57">
            <w:pPr>
              <w:jc w:val="center"/>
            </w:pPr>
            <w:r w:rsidRPr="00F50C57">
              <w:t>前进村</w:t>
            </w:r>
          </w:p>
        </w:tc>
        <w:tc>
          <w:tcPr>
            <w:tcW w:w="485" w:type="pct"/>
            <w:vAlign w:val="center"/>
          </w:tcPr>
          <w:p w14:paraId="72DDB847" w14:textId="77777777" w:rsidR="00F50C57" w:rsidRPr="00F50C57" w:rsidRDefault="00F50C57" w:rsidP="00F50C57">
            <w:pPr>
              <w:snapToGrid w:val="0"/>
              <w:jc w:val="center"/>
            </w:pPr>
            <w:r w:rsidRPr="00F50C57">
              <w:t>居住区</w:t>
            </w:r>
          </w:p>
        </w:tc>
        <w:tc>
          <w:tcPr>
            <w:tcW w:w="481" w:type="pct"/>
            <w:vMerge/>
            <w:vAlign w:val="center"/>
          </w:tcPr>
          <w:p w14:paraId="3EF379AC" w14:textId="77777777" w:rsidR="00F50C57" w:rsidRPr="00F50C57" w:rsidRDefault="00F50C57" w:rsidP="00F50C57">
            <w:pPr>
              <w:jc w:val="center"/>
            </w:pPr>
          </w:p>
        </w:tc>
        <w:tc>
          <w:tcPr>
            <w:tcW w:w="485" w:type="pct"/>
            <w:vAlign w:val="center"/>
          </w:tcPr>
          <w:p w14:paraId="1D8F9B52" w14:textId="77777777" w:rsidR="00F50C57" w:rsidRPr="00F50C57" w:rsidRDefault="00F50C57" w:rsidP="00F50C57">
            <w:pPr>
              <w:jc w:val="center"/>
            </w:pPr>
            <w:r w:rsidRPr="00F50C57">
              <w:t>SE</w:t>
            </w:r>
          </w:p>
        </w:tc>
        <w:tc>
          <w:tcPr>
            <w:tcW w:w="488" w:type="pct"/>
            <w:vAlign w:val="center"/>
          </w:tcPr>
          <w:p w14:paraId="2946587B" w14:textId="77777777" w:rsidR="00F50C57" w:rsidRPr="00F50C57" w:rsidRDefault="00F50C57" w:rsidP="00F50C57">
            <w:pPr>
              <w:jc w:val="center"/>
            </w:pPr>
            <w:r w:rsidRPr="00F50C57">
              <w:t>1870</w:t>
            </w:r>
          </w:p>
        </w:tc>
        <w:tc>
          <w:tcPr>
            <w:tcW w:w="612" w:type="pct"/>
            <w:vAlign w:val="center"/>
          </w:tcPr>
          <w:p w14:paraId="0ABD294C" w14:textId="77777777" w:rsidR="00F50C57" w:rsidRPr="00F50C57" w:rsidRDefault="00F50C57" w:rsidP="00F50C57">
            <w:pPr>
              <w:jc w:val="center"/>
            </w:pPr>
            <w:r w:rsidRPr="00F50C57">
              <w:t>700</w:t>
            </w:r>
          </w:p>
        </w:tc>
      </w:tr>
      <w:tr w:rsidR="00F50C57" w:rsidRPr="00F50C57" w14:paraId="16037A93" w14:textId="77777777" w:rsidTr="00F50C57">
        <w:trPr>
          <w:trHeight w:val="110"/>
        </w:trPr>
        <w:tc>
          <w:tcPr>
            <w:tcW w:w="422" w:type="pct"/>
            <w:vMerge/>
            <w:vAlign w:val="center"/>
          </w:tcPr>
          <w:p w14:paraId="35C4E9FB" w14:textId="77777777" w:rsidR="00F50C57" w:rsidRPr="00F50C57" w:rsidRDefault="00F50C57" w:rsidP="00F50C57">
            <w:pPr>
              <w:jc w:val="center"/>
            </w:pPr>
          </w:p>
        </w:tc>
        <w:tc>
          <w:tcPr>
            <w:tcW w:w="307" w:type="pct"/>
            <w:vAlign w:val="center"/>
          </w:tcPr>
          <w:p w14:paraId="5E510F5C" w14:textId="77777777" w:rsidR="00F50C57" w:rsidRPr="00F50C57" w:rsidRDefault="00F50C57" w:rsidP="00F50C57">
            <w:pPr>
              <w:jc w:val="center"/>
            </w:pPr>
            <w:r w:rsidRPr="00F50C57">
              <w:t>5</w:t>
            </w:r>
          </w:p>
        </w:tc>
        <w:tc>
          <w:tcPr>
            <w:tcW w:w="510" w:type="pct"/>
            <w:vAlign w:val="center"/>
          </w:tcPr>
          <w:p w14:paraId="66C719B5" w14:textId="77777777" w:rsidR="00F50C57" w:rsidRPr="00F50C57" w:rsidRDefault="00F50C57" w:rsidP="00F50C57">
            <w:pPr>
              <w:jc w:val="center"/>
            </w:pPr>
            <w:r w:rsidRPr="00F50C57">
              <w:t>E 124.968495</w:t>
            </w:r>
          </w:p>
        </w:tc>
        <w:tc>
          <w:tcPr>
            <w:tcW w:w="484" w:type="pct"/>
            <w:vAlign w:val="center"/>
          </w:tcPr>
          <w:p w14:paraId="7F32140F" w14:textId="77777777" w:rsidR="00F50C57" w:rsidRPr="00F50C57" w:rsidRDefault="00F50C57" w:rsidP="00F50C57">
            <w:pPr>
              <w:jc w:val="center"/>
            </w:pPr>
            <w:r w:rsidRPr="00F50C57">
              <w:t>N 46.413807</w:t>
            </w:r>
          </w:p>
        </w:tc>
        <w:tc>
          <w:tcPr>
            <w:tcW w:w="726" w:type="pct"/>
            <w:vAlign w:val="center"/>
          </w:tcPr>
          <w:p w14:paraId="3F388573" w14:textId="77777777" w:rsidR="00F50C57" w:rsidRPr="00F50C57" w:rsidRDefault="00F50C57" w:rsidP="00F50C57">
            <w:pPr>
              <w:jc w:val="center"/>
            </w:pPr>
            <w:r w:rsidRPr="00F50C57">
              <w:t>双发屯</w:t>
            </w:r>
          </w:p>
        </w:tc>
        <w:tc>
          <w:tcPr>
            <w:tcW w:w="485" w:type="pct"/>
            <w:vAlign w:val="center"/>
          </w:tcPr>
          <w:p w14:paraId="76646C4F" w14:textId="77777777" w:rsidR="00F50C57" w:rsidRPr="00F50C57" w:rsidRDefault="00F50C57" w:rsidP="00F50C57">
            <w:pPr>
              <w:snapToGrid w:val="0"/>
              <w:jc w:val="center"/>
            </w:pPr>
            <w:r w:rsidRPr="00F50C57">
              <w:t>居住区</w:t>
            </w:r>
          </w:p>
        </w:tc>
        <w:tc>
          <w:tcPr>
            <w:tcW w:w="481" w:type="pct"/>
            <w:vMerge/>
            <w:vAlign w:val="center"/>
          </w:tcPr>
          <w:p w14:paraId="059C033F" w14:textId="77777777" w:rsidR="00F50C57" w:rsidRPr="00F50C57" w:rsidRDefault="00F50C57" w:rsidP="00F50C57">
            <w:pPr>
              <w:jc w:val="center"/>
            </w:pPr>
          </w:p>
        </w:tc>
        <w:tc>
          <w:tcPr>
            <w:tcW w:w="485" w:type="pct"/>
            <w:vAlign w:val="center"/>
          </w:tcPr>
          <w:p w14:paraId="4D3534C5" w14:textId="77777777" w:rsidR="00F50C57" w:rsidRPr="00F50C57" w:rsidRDefault="00F50C57" w:rsidP="00F50C57">
            <w:pPr>
              <w:jc w:val="center"/>
            </w:pPr>
            <w:r w:rsidRPr="00F50C57">
              <w:t>SW</w:t>
            </w:r>
          </w:p>
        </w:tc>
        <w:tc>
          <w:tcPr>
            <w:tcW w:w="488" w:type="pct"/>
            <w:vAlign w:val="center"/>
          </w:tcPr>
          <w:p w14:paraId="0D363BD7" w14:textId="77777777" w:rsidR="00F50C57" w:rsidRPr="00F50C57" w:rsidRDefault="00F50C57" w:rsidP="00F50C57">
            <w:pPr>
              <w:jc w:val="center"/>
            </w:pPr>
            <w:r w:rsidRPr="00F50C57">
              <w:t>2090</w:t>
            </w:r>
          </w:p>
        </w:tc>
        <w:tc>
          <w:tcPr>
            <w:tcW w:w="612" w:type="pct"/>
            <w:vAlign w:val="center"/>
          </w:tcPr>
          <w:p w14:paraId="74A26B83" w14:textId="77777777" w:rsidR="00F50C57" w:rsidRPr="00F50C57" w:rsidRDefault="00F50C57" w:rsidP="00F50C57">
            <w:pPr>
              <w:jc w:val="center"/>
            </w:pPr>
            <w:r w:rsidRPr="00F50C57">
              <w:t>740</w:t>
            </w:r>
          </w:p>
        </w:tc>
      </w:tr>
      <w:tr w:rsidR="00F50C57" w:rsidRPr="00F50C57" w14:paraId="2F9E4B59" w14:textId="77777777" w:rsidTr="00F50C57">
        <w:trPr>
          <w:trHeight w:val="110"/>
        </w:trPr>
        <w:tc>
          <w:tcPr>
            <w:tcW w:w="422" w:type="pct"/>
            <w:vMerge/>
            <w:vAlign w:val="center"/>
          </w:tcPr>
          <w:p w14:paraId="1E822828" w14:textId="77777777" w:rsidR="00F50C57" w:rsidRPr="00F50C57" w:rsidRDefault="00F50C57" w:rsidP="00F50C57">
            <w:pPr>
              <w:jc w:val="center"/>
            </w:pPr>
          </w:p>
        </w:tc>
        <w:tc>
          <w:tcPr>
            <w:tcW w:w="307" w:type="pct"/>
            <w:vAlign w:val="center"/>
          </w:tcPr>
          <w:p w14:paraId="024B3657" w14:textId="77777777" w:rsidR="00F50C57" w:rsidRPr="00F50C57" w:rsidRDefault="00F50C57" w:rsidP="00F50C57">
            <w:pPr>
              <w:jc w:val="center"/>
            </w:pPr>
            <w:r w:rsidRPr="00F50C57">
              <w:t>6</w:t>
            </w:r>
          </w:p>
        </w:tc>
        <w:tc>
          <w:tcPr>
            <w:tcW w:w="510" w:type="pct"/>
            <w:vAlign w:val="center"/>
          </w:tcPr>
          <w:p w14:paraId="1A7056BD" w14:textId="77777777" w:rsidR="00F50C57" w:rsidRPr="00F50C57" w:rsidRDefault="00F50C57" w:rsidP="00F50C57">
            <w:pPr>
              <w:jc w:val="center"/>
            </w:pPr>
            <w:r w:rsidRPr="00F50C57">
              <w:t>E 124.951072</w:t>
            </w:r>
          </w:p>
        </w:tc>
        <w:tc>
          <w:tcPr>
            <w:tcW w:w="484" w:type="pct"/>
            <w:vAlign w:val="center"/>
          </w:tcPr>
          <w:p w14:paraId="62BC4DCD" w14:textId="77777777" w:rsidR="00F50C57" w:rsidRPr="00F50C57" w:rsidRDefault="00F50C57" w:rsidP="00F50C57">
            <w:pPr>
              <w:jc w:val="center"/>
            </w:pPr>
            <w:r w:rsidRPr="00F50C57">
              <w:t>N 46.428644</w:t>
            </w:r>
          </w:p>
        </w:tc>
        <w:tc>
          <w:tcPr>
            <w:tcW w:w="726" w:type="pct"/>
            <w:vAlign w:val="center"/>
          </w:tcPr>
          <w:p w14:paraId="6D01AAB4" w14:textId="77777777" w:rsidR="00F50C57" w:rsidRPr="00F50C57" w:rsidRDefault="00F50C57" w:rsidP="00F50C57">
            <w:pPr>
              <w:jc w:val="center"/>
            </w:pPr>
            <w:r w:rsidRPr="00F50C57">
              <w:t>农牧场三屯</w:t>
            </w:r>
          </w:p>
        </w:tc>
        <w:tc>
          <w:tcPr>
            <w:tcW w:w="485" w:type="pct"/>
            <w:vAlign w:val="center"/>
          </w:tcPr>
          <w:p w14:paraId="73FEB78B" w14:textId="77777777" w:rsidR="00F50C57" w:rsidRPr="00F50C57" w:rsidRDefault="00F50C57" w:rsidP="00F50C57">
            <w:pPr>
              <w:snapToGrid w:val="0"/>
              <w:jc w:val="center"/>
            </w:pPr>
            <w:r w:rsidRPr="00F50C57">
              <w:t>居住区</w:t>
            </w:r>
          </w:p>
        </w:tc>
        <w:tc>
          <w:tcPr>
            <w:tcW w:w="481" w:type="pct"/>
            <w:vMerge/>
            <w:vAlign w:val="center"/>
          </w:tcPr>
          <w:p w14:paraId="0DD44EF4" w14:textId="77777777" w:rsidR="00F50C57" w:rsidRPr="00F50C57" w:rsidRDefault="00F50C57" w:rsidP="00F50C57">
            <w:pPr>
              <w:jc w:val="center"/>
            </w:pPr>
          </w:p>
        </w:tc>
        <w:tc>
          <w:tcPr>
            <w:tcW w:w="485" w:type="pct"/>
            <w:vAlign w:val="center"/>
          </w:tcPr>
          <w:p w14:paraId="24E59912" w14:textId="77777777" w:rsidR="00F50C57" w:rsidRPr="00F50C57" w:rsidRDefault="00F50C57" w:rsidP="00F50C57">
            <w:pPr>
              <w:jc w:val="center"/>
            </w:pPr>
            <w:r w:rsidRPr="00F50C57">
              <w:t>SW</w:t>
            </w:r>
          </w:p>
        </w:tc>
        <w:tc>
          <w:tcPr>
            <w:tcW w:w="488" w:type="pct"/>
            <w:vAlign w:val="center"/>
          </w:tcPr>
          <w:p w14:paraId="172E0462" w14:textId="77777777" w:rsidR="00F50C57" w:rsidRPr="00F50C57" w:rsidRDefault="00F50C57" w:rsidP="00F50C57">
            <w:pPr>
              <w:jc w:val="center"/>
            </w:pPr>
            <w:r w:rsidRPr="00F50C57">
              <w:t>2360</w:t>
            </w:r>
          </w:p>
        </w:tc>
        <w:tc>
          <w:tcPr>
            <w:tcW w:w="612" w:type="pct"/>
            <w:vAlign w:val="center"/>
          </w:tcPr>
          <w:p w14:paraId="5B6AE9F5" w14:textId="77777777" w:rsidR="00F50C57" w:rsidRPr="00F50C57" w:rsidRDefault="00F50C57" w:rsidP="00F50C57">
            <w:pPr>
              <w:jc w:val="center"/>
            </w:pPr>
            <w:r w:rsidRPr="00F50C57">
              <w:t>120</w:t>
            </w:r>
          </w:p>
        </w:tc>
      </w:tr>
      <w:tr w:rsidR="00F50C57" w:rsidRPr="00F50C57" w14:paraId="20FC1047" w14:textId="77777777" w:rsidTr="00F50C57">
        <w:trPr>
          <w:trHeight w:val="244"/>
        </w:trPr>
        <w:tc>
          <w:tcPr>
            <w:tcW w:w="422" w:type="pct"/>
            <w:vMerge/>
            <w:vAlign w:val="center"/>
          </w:tcPr>
          <w:p w14:paraId="66BD6C06" w14:textId="77777777" w:rsidR="00F50C57" w:rsidRPr="00F50C57" w:rsidRDefault="00F50C57" w:rsidP="00F50C57">
            <w:pPr>
              <w:jc w:val="center"/>
            </w:pPr>
          </w:p>
        </w:tc>
        <w:tc>
          <w:tcPr>
            <w:tcW w:w="307" w:type="pct"/>
            <w:vAlign w:val="center"/>
          </w:tcPr>
          <w:p w14:paraId="0BE60217" w14:textId="77777777" w:rsidR="00F50C57" w:rsidRPr="00F50C57" w:rsidRDefault="00F50C57" w:rsidP="00F50C57">
            <w:pPr>
              <w:jc w:val="center"/>
            </w:pPr>
            <w:r w:rsidRPr="00F50C57">
              <w:t>7</w:t>
            </w:r>
          </w:p>
        </w:tc>
        <w:tc>
          <w:tcPr>
            <w:tcW w:w="510" w:type="pct"/>
            <w:vAlign w:val="center"/>
          </w:tcPr>
          <w:p w14:paraId="11EAF304" w14:textId="77777777" w:rsidR="00F50C57" w:rsidRPr="00F50C57" w:rsidRDefault="00F50C57" w:rsidP="00F50C57">
            <w:pPr>
              <w:jc w:val="center"/>
            </w:pPr>
            <w:r w:rsidRPr="00F50C57">
              <w:t>E 124.992657</w:t>
            </w:r>
          </w:p>
        </w:tc>
        <w:tc>
          <w:tcPr>
            <w:tcW w:w="484" w:type="pct"/>
            <w:vAlign w:val="center"/>
          </w:tcPr>
          <w:p w14:paraId="7D799EF1" w14:textId="77777777" w:rsidR="00F50C57" w:rsidRPr="00F50C57" w:rsidRDefault="00F50C57" w:rsidP="00F50C57">
            <w:pPr>
              <w:jc w:val="center"/>
            </w:pPr>
            <w:r w:rsidRPr="00F50C57">
              <w:t>N 46.465340</w:t>
            </w:r>
          </w:p>
        </w:tc>
        <w:tc>
          <w:tcPr>
            <w:tcW w:w="726" w:type="pct"/>
            <w:vAlign w:val="center"/>
          </w:tcPr>
          <w:p w14:paraId="3DD3701F" w14:textId="77777777" w:rsidR="00F50C57" w:rsidRPr="00F50C57" w:rsidRDefault="00F50C57" w:rsidP="00F50C57">
            <w:pPr>
              <w:jc w:val="center"/>
            </w:pPr>
            <w:r w:rsidRPr="00F50C57">
              <w:t>萨东村</w:t>
            </w:r>
          </w:p>
        </w:tc>
        <w:tc>
          <w:tcPr>
            <w:tcW w:w="485" w:type="pct"/>
            <w:vAlign w:val="center"/>
          </w:tcPr>
          <w:p w14:paraId="738136BE" w14:textId="77777777" w:rsidR="00F50C57" w:rsidRPr="00F50C57" w:rsidRDefault="00F50C57" w:rsidP="00F50C57">
            <w:pPr>
              <w:snapToGrid w:val="0"/>
              <w:jc w:val="center"/>
            </w:pPr>
            <w:r w:rsidRPr="00F50C57">
              <w:t>居住区</w:t>
            </w:r>
          </w:p>
        </w:tc>
        <w:tc>
          <w:tcPr>
            <w:tcW w:w="481" w:type="pct"/>
            <w:vMerge/>
            <w:vAlign w:val="center"/>
          </w:tcPr>
          <w:p w14:paraId="3F1DFCED" w14:textId="77777777" w:rsidR="00F50C57" w:rsidRPr="00F50C57" w:rsidRDefault="00F50C57" w:rsidP="00F50C57">
            <w:pPr>
              <w:jc w:val="center"/>
            </w:pPr>
          </w:p>
        </w:tc>
        <w:tc>
          <w:tcPr>
            <w:tcW w:w="485" w:type="pct"/>
            <w:vAlign w:val="center"/>
          </w:tcPr>
          <w:p w14:paraId="7C7CEB22" w14:textId="77777777" w:rsidR="00F50C57" w:rsidRPr="00F50C57" w:rsidRDefault="00F50C57" w:rsidP="00F50C57">
            <w:pPr>
              <w:jc w:val="center"/>
            </w:pPr>
            <w:r w:rsidRPr="00F50C57">
              <w:t>N</w:t>
            </w:r>
          </w:p>
        </w:tc>
        <w:tc>
          <w:tcPr>
            <w:tcW w:w="488" w:type="pct"/>
            <w:vAlign w:val="center"/>
          </w:tcPr>
          <w:p w14:paraId="5F556BCA" w14:textId="77777777" w:rsidR="00F50C57" w:rsidRPr="00F50C57" w:rsidRDefault="00F50C57" w:rsidP="00F50C57">
            <w:pPr>
              <w:jc w:val="center"/>
            </w:pPr>
            <w:r w:rsidRPr="00F50C57">
              <w:t>2760</w:t>
            </w:r>
          </w:p>
        </w:tc>
        <w:tc>
          <w:tcPr>
            <w:tcW w:w="612" w:type="pct"/>
            <w:vAlign w:val="center"/>
          </w:tcPr>
          <w:p w14:paraId="6B1508B6" w14:textId="77777777" w:rsidR="00F50C57" w:rsidRPr="00F50C57" w:rsidRDefault="00F50C57" w:rsidP="00F50C57">
            <w:pPr>
              <w:jc w:val="center"/>
            </w:pPr>
            <w:r w:rsidRPr="00F50C57">
              <w:t>320</w:t>
            </w:r>
          </w:p>
        </w:tc>
      </w:tr>
      <w:tr w:rsidR="00F50C57" w:rsidRPr="00F50C57" w14:paraId="4D30E639" w14:textId="77777777" w:rsidTr="00F50C57">
        <w:trPr>
          <w:trHeight w:val="351"/>
        </w:trPr>
        <w:tc>
          <w:tcPr>
            <w:tcW w:w="422" w:type="pct"/>
            <w:vMerge w:val="restart"/>
            <w:vAlign w:val="center"/>
          </w:tcPr>
          <w:p w14:paraId="01092579" w14:textId="77777777" w:rsidR="00F50C57" w:rsidRPr="00F50C57" w:rsidRDefault="00F50C57" w:rsidP="00F50C57">
            <w:pPr>
              <w:jc w:val="center"/>
            </w:pPr>
            <w:r w:rsidRPr="00F50C57">
              <w:t>地表水</w:t>
            </w:r>
          </w:p>
        </w:tc>
        <w:tc>
          <w:tcPr>
            <w:tcW w:w="307" w:type="pct"/>
            <w:vAlign w:val="center"/>
          </w:tcPr>
          <w:p w14:paraId="56EF56D7" w14:textId="77777777" w:rsidR="00F50C57" w:rsidRPr="00F50C57" w:rsidRDefault="00F50C57" w:rsidP="00F50C57">
            <w:pPr>
              <w:jc w:val="center"/>
            </w:pPr>
            <w:r w:rsidRPr="00F50C57">
              <w:t>1</w:t>
            </w:r>
          </w:p>
        </w:tc>
        <w:tc>
          <w:tcPr>
            <w:tcW w:w="510" w:type="pct"/>
            <w:vAlign w:val="center"/>
          </w:tcPr>
          <w:p w14:paraId="36E365AD" w14:textId="77777777" w:rsidR="00F50C57" w:rsidRPr="00F50C57" w:rsidRDefault="00F50C57" w:rsidP="00F50C57">
            <w:pPr>
              <w:jc w:val="center"/>
            </w:pPr>
            <w:r w:rsidRPr="00F50C57">
              <w:t>/</w:t>
            </w:r>
          </w:p>
        </w:tc>
        <w:tc>
          <w:tcPr>
            <w:tcW w:w="484" w:type="pct"/>
            <w:vAlign w:val="center"/>
          </w:tcPr>
          <w:p w14:paraId="4CC06E8C" w14:textId="77777777" w:rsidR="00F50C57" w:rsidRPr="00F50C57" w:rsidRDefault="00F50C57" w:rsidP="00F50C57">
            <w:pPr>
              <w:jc w:val="center"/>
            </w:pPr>
            <w:r w:rsidRPr="00F50C57">
              <w:t>/</w:t>
            </w:r>
          </w:p>
        </w:tc>
        <w:tc>
          <w:tcPr>
            <w:tcW w:w="726" w:type="pct"/>
            <w:vAlign w:val="center"/>
          </w:tcPr>
          <w:p w14:paraId="0D5DBC64" w14:textId="77777777" w:rsidR="00F50C57" w:rsidRPr="00F50C57" w:rsidRDefault="00F50C57" w:rsidP="00F50C57">
            <w:pPr>
              <w:jc w:val="center"/>
            </w:pPr>
            <w:r w:rsidRPr="00F50C57">
              <w:t>中央排干</w:t>
            </w:r>
          </w:p>
        </w:tc>
        <w:tc>
          <w:tcPr>
            <w:tcW w:w="485" w:type="pct"/>
            <w:vAlign w:val="center"/>
          </w:tcPr>
          <w:p w14:paraId="6010FF66" w14:textId="77777777" w:rsidR="00F50C57" w:rsidRPr="00F50C57" w:rsidRDefault="00F50C57" w:rsidP="00F50C57">
            <w:pPr>
              <w:jc w:val="center"/>
            </w:pPr>
            <w:r w:rsidRPr="00F50C57">
              <w:t>/</w:t>
            </w:r>
          </w:p>
        </w:tc>
        <w:tc>
          <w:tcPr>
            <w:tcW w:w="481" w:type="pct"/>
            <w:vAlign w:val="center"/>
          </w:tcPr>
          <w:p w14:paraId="0722D94E" w14:textId="77777777" w:rsidR="00F50C57" w:rsidRPr="00F50C57" w:rsidRDefault="00F50C57" w:rsidP="00F50C57">
            <w:pPr>
              <w:jc w:val="center"/>
            </w:pPr>
            <w:r w:rsidRPr="00F50C57">
              <w:t>/</w:t>
            </w:r>
          </w:p>
        </w:tc>
        <w:tc>
          <w:tcPr>
            <w:tcW w:w="485" w:type="pct"/>
            <w:vAlign w:val="center"/>
          </w:tcPr>
          <w:p w14:paraId="5EF7325E" w14:textId="77777777" w:rsidR="00F50C57" w:rsidRPr="00F50C57" w:rsidRDefault="00F50C57" w:rsidP="00F50C57">
            <w:pPr>
              <w:jc w:val="center"/>
            </w:pPr>
            <w:r w:rsidRPr="00F50C57">
              <w:t>W</w:t>
            </w:r>
          </w:p>
        </w:tc>
        <w:tc>
          <w:tcPr>
            <w:tcW w:w="488" w:type="pct"/>
            <w:vAlign w:val="center"/>
          </w:tcPr>
          <w:p w14:paraId="4C54205B" w14:textId="4E737520" w:rsidR="00F50C57" w:rsidRPr="00F50C57" w:rsidRDefault="00014A73" w:rsidP="00F50C57">
            <w:pPr>
              <w:jc w:val="center"/>
            </w:pPr>
            <w:r>
              <w:rPr>
                <w:rFonts w:hint="eastAsia"/>
              </w:rPr>
              <w:t>40</w:t>
            </w:r>
          </w:p>
        </w:tc>
        <w:tc>
          <w:tcPr>
            <w:tcW w:w="612" w:type="pct"/>
            <w:vAlign w:val="center"/>
          </w:tcPr>
          <w:p w14:paraId="526A2597" w14:textId="77777777" w:rsidR="00F50C57" w:rsidRPr="00F50C57" w:rsidRDefault="00F50C57" w:rsidP="00F50C57">
            <w:pPr>
              <w:jc w:val="center"/>
            </w:pPr>
            <w:r w:rsidRPr="00F50C57">
              <w:t>/</w:t>
            </w:r>
          </w:p>
        </w:tc>
      </w:tr>
      <w:tr w:rsidR="00F50C57" w:rsidRPr="00F50C57" w14:paraId="5A2708B9" w14:textId="77777777" w:rsidTr="00F50C57">
        <w:trPr>
          <w:trHeight w:val="351"/>
        </w:trPr>
        <w:tc>
          <w:tcPr>
            <w:tcW w:w="422" w:type="pct"/>
            <w:vMerge/>
            <w:vAlign w:val="center"/>
          </w:tcPr>
          <w:p w14:paraId="67FD06C6" w14:textId="77777777" w:rsidR="00F50C57" w:rsidRPr="00F50C57" w:rsidRDefault="00F50C57" w:rsidP="00F50C57">
            <w:pPr>
              <w:jc w:val="center"/>
            </w:pPr>
          </w:p>
        </w:tc>
        <w:tc>
          <w:tcPr>
            <w:tcW w:w="307" w:type="pct"/>
            <w:vAlign w:val="center"/>
          </w:tcPr>
          <w:p w14:paraId="70F9D39C" w14:textId="77777777" w:rsidR="00F50C57" w:rsidRPr="00F50C57" w:rsidRDefault="00F50C57" w:rsidP="00F50C57">
            <w:pPr>
              <w:jc w:val="center"/>
            </w:pPr>
            <w:r w:rsidRPr="00F50C57">
              <w:t>2</w:t>
            </w:r>
          </w:p>
        </w:tc>
        <w:tc>
          <w:tcPr>
            <w:tcW w:w="510" w:type="pct"/>
            <w:vAlign w:val="center"/>
          </w:tcPr>
          <w:p w14:paraId="3B380746" w14:textId="77777777" w:rsidR="00F50C57" w:rsidRPr="00F50C57" w:rsidRDefault="00F50C57" w:rsidP="00F50C57">
            <w:pPr>
              <w:jc w:val="center"/>
            </w:pPr>
            <w:r w:rsidRPr="00F50C57">
              <w:t>/</w:t>
            </w:r>
          </w:p>
        </w:tc>
        <w:tc>
          <w:tcPr>
            <w:tcW w:w="484" w:type="pct"/>
            <w:vAlign w:val="center"/>
          </w:tcPr>
          <w:p w14:paraId="6F7BEF27" w14:textId="77777777" w:rsidR="00F50C57" w:rsidRPr="00F50C57" w:rsidRDefault="00F50C57" w:rsidP="00F50C57">
            <w:pPr>
              <w:jc w:val="center"/>
            </w:pPr>
            <w:r w:rsidRPr="00F50C57">
              <w:t>/</w:t>
            </w:r>
          </w:p>
        </w:tc>
        <w:tc>
          <w:tcPr>
            <w:tcW w:w="726" w:type="pct"/>
            <w:vAlign w:val="center"/>
          </w:tcPr>
          <w:p w14:paraId="0092AC80" w14:textId="77777777" w:rsidR="00F50C57" w:rsidRPr="00F50C57" w:rsidRDefault="00F50C57" w:rsidP="00F50C57">
            <w:pPr>
              <w:jc w:val="center"/>
            </w:pPr>
            <w:r w:rsidRPr="00F50C57">
              <w:t>三胜屯西泡</w:t>
            </w:r>
          </w:p>
        </w:tc>
        <w:tc>
          <w:tcPr>
            <w:tcW w:w="485" w:type="pct"/>
            <w:vAlign w:val="center"/>
          </w:tcPr>
          <w:p w14:paraId="15F04B65" w14:textId="77777777" w:rsidR="00F50C57" w:rsidRPr="00F50C57" w:rsidRDefault="00F50C57" w:rsidP="00F50C57">
            <w:pPr>
              <w:jc w:val="center"/>
            </w:pPr>
            <w:r w:rsidRPr="00F50C57">
              <w:t>/</w:t>
            </w:r>
          </w:p>
        </w:tc>
        <w:tc>
          <w:tcPr>
            <w:tcW w:w="481" w:type="pct"/>
            <w:vAlign w:val="center"/>
          </w:tcPr>
          <w:p w14:paraId="3E893191" w14:textId="77777777" w:rsidR="00F50C57" w:rsidRPr="00F50C57" w:rsidRDefault="00F50C57" w:rsidP="00F50C57">
            <w:pPr>
              <w:jc w:val="center"/>
            </w:pPr>
            <w:r w:rsidRPr="00F50C57">
              <w:t>/</w:t>
            </w:r>
          </w:p>
        </w:tc>
        <w:tc>
          <w:tcPr>
            <w:tcW w:w="485" w:type="pct"/>
            <w:vAlign w:val="center"/>
          </w:tcPr>
          <w:p w14:paraId="303F5EC8" w14:textId="77777777" w:rsidR="00F50C57" w:rsidRPr="00F50C57" w:rsidRDefault="00F50C57" w:rsidP="00F50C57">
            <w:pPr>
              <w:jc w:val="center"/>
            </w:pPr>
            <w:r w:rsidRPr="00F50C57">
              <w:t>S</w:t>
            </w:r>
          </w:p>
        </w:tc>
        <w:tc>
          <w:tcPr>
            <w:tcW w:w="488" w:type="pct"/>
            <w:vAlign w:val="center"/>
          </w:tcPr>
          <w:p w14:paraId="0A23EB63" w14:textId="77777777" w:rsidR="00F50C57" w:rsidRPr="00F50C57" w:rsidRDefault="00F50C57" w:rsidP="00F50C57">
            <w:pPr>
              <w:jc w:val="center"/>
            </w:pPr>
            <w:r w:rsidRPr="00F50C57">
              <w:t>1600</w:t>
            </w:r>
          </w:p>
        </w:tc>
        <w:tc>
          <w:tcPr>
            <w:tcW w:w="612" w:type="pct"/>
            <w:vAlign w:val="center"/>
          </w:tcPr>
          <w:p w14:paraId="1F09E871" w14:textId="77777777" w:rsidR="00F50C57" w:rsidRPr="00F50C57" w:rsidRDefault="00F50C57" w:rsidP="00F50C57">
            <w:pPr>
              <w:jc w:val="center"/>
            </w:pPr>
            <w:r w:rsidRPr="00F50C57">
              <w:t>/</w:t>
            </w:r>
          </w:p>
        </w:tc>
      </w:tr>
      <w:tr w:rsidR="00F50C57" w:rsidRPr="00F50C57" w14:paraId="088410BA" w14:textId="77777777" w:rsidTr="00F50C57">
        <w:trPr>
          <w:trHeight w:val="351"/>
        </w:trPr>
        <w:tc>
          <w:tcPr>
            <w:tcW w:w="422" w:type="pct"/>
            <w:vMerge/>
            <w:vAlign w:val="center"/>
          </w:tcPr>
          <w:p w14:paraId="26867A99" w14:textId="77777777" w:rsidR="00F50C57" w:rsidRPr="00F50C57" w:rsidRDefault="00F50C57" w:rsidP="00F50C57">
            <w:pPr>
              <w:jc w:val="center"/>
            </w:pPr>
          </w:p>
        </w:tc>
        <w:tc>
          <w:tcPr>
            <w:tcW w:w="307" w:type="pct"/>
            <w:vAlign w:val="center"/>
          </w:tcPr>
          <w:p w14:paraId="101A0DCF" w14:textId="77777777" w:rsidR="00F50C57" w:rsidRPr="00F50C57" w:rsidRDefault="00F50C57" w:rsidP="00F50C57">
            <w:pPr>
              <w:jc w:val="center"/>
            </w:pPr>
            <w:r w:rsidRPr="00F50C57">
              <w:t>3</w:t>
            </w:r>
          </w:p>
        </w:tc>
        <w:tc>
          <w:tcPr>
            <w:tcW w:w="510" w:type="pct"/>
            <w:vAlign w:val="center"/>
          </w:tcPr>
          <w:p w14:paraId="529089F3" w14:textId="77777777" w:rsidR="00F50C57" w:rsidRPr="00F50C57" w:rsidRDefault="00F50C57" w:rsidP="00F50C57">
            <w:pPr>
              <w:jc w:val="center"/>
            </w:pPr>
            <w:r w:rsidRPr="00F50C57">
              <w:t>/</w:t>
            </w:r>
          </w:p>
        </w:tc>
        <w:tc>
          <w:tcPr>
            <w:tcW w:w="484" w:type="pct"/>
            <w:vAlign w:val="center"/>
          </w:tcPr>
          <w:p w14:paraId="0E09219F" w14:textId="77777777" w:rsidR="00F50C57" w:rsidRPr="00F50C57" w:rsidRDefault="00F50C57" w:rsidP="00F50C57">
            <w:pPr>
              <w:jc w:val="center"/>
            </w:pPr>
            <w:r w:rsidRPr="00F50C57">
              <w:t>/</w:t>
            </w:r>
          </w:p>
        </w:tc>
        <w:tc>
          <w:tcPr>
            <w:tcW w:w="726" w:type="pct"/>
            <w:vAlign w:val="center"/>
          </w:tcPr>
          <w:p w14:paraId="0F5B8B49" w14:textId="00CAD490" w:rsidR="00F50C57" w:rsidRPr="00F50C57" w:rsidRDefault="00005351" w:rsidP="00F50C57">
            <w:pPr>
              <w:jc w:val="center"/>
            </w:pPr>
            <w:r>
              <w:rPr>
                <w:rFonts w:hint="eastAsia"/>
              </w:rPr>
              <w:t>南伊哈旗泡</w:t>
            </w:r>
          </w:p>
        </w:tc>
        <w:tc>
          <w:tcPr>
            <w:tcW w:w="485" w:type="pct"/>
            <w:vAlign w:val="center"/>
          </w:tcPr>
          <w:p w14:paraId="45FB1DAD" w14:textId="77777777" w:rsidR="00F50C57" w:rsidRPr="00F50C57" w:rsidRDefault="00F50C57" w:rsidP="00F50C57">
            <w:pPr>
              <w:jc w:val="center"/>
            </w:pPr>
            <w:bookmarkStart w:id="71" w:name="OLE_LINK6"/>
            <w:r w:rsidRPr="00F50C57">
              <w:t>/</w:t>
            </w:r>
            <w:bookmarkEnd w:id="71"/>
          </w:p>
        </w:tc>
        <w:tc>
          <w:tcPr>
            <w:tcW w:w="481" w:type="pct"/>
            <w:vAlign w:val="center"/>
          </w:tcPr>
          <w:p w14:paraId="4DAE4B7D" w14:textId="77777777" w:rsidR="00F50C57" w:rsidRPr="00F50C57" w:rsidRDefault="00F50C57" w:rsidP="00F50C57">
            <w:pPr>
              <w:jc w:val="center"/>
            </w:pPr>
            <w:r w:rsidRPr="00F50C57">
              <w:t>/</w:t>
            </w:r>
          </w:p>
        </w:tc>
        <w:tc>
          <w:tcPr>
            <w:tcW w:w="485" w:type="pct"/>
            <w:vAlign w:val="center"/>
          </w:tcPr>
          <w:p w14:paraId="3292EBDA" w14:textId="2BA7C69B" w:rsidR="00F50C57" w:rsidRPr="00F50C57" w:rsidRDefault="00005351" w:rsidP="00F50C57">
            <w:pPr>
              <w:jc w:val="center"/>
            </w:pPr>
            <w:r>
              <w:rPr>
                <w:rFonts w:hint="eastAsia"/>
              </w:rPr>
              <w:t>N</w:t>
            </w:r>
          </w:p>
        </w:tc>
        <w:tc>
          <w:tcPr>
            <w:tcW w:w="488" w:type="pct"/>
            <w:vAlign w:val="center"/>
          </w:tcPr>
          <w:p w14:paraId="496EE42F" w14:textId="46544D40" w:rsidR="00F50C57" w:rsidRPr="00F50C57" w:rsidRDefault="00005351" w:rsidP="00F50C57">
            <w:pPr>
              <w:jc w:val="center"/>
            </w:pPr>
            <w:r>
              <w:rPr>
                <w:rFonts w:hint="eastAsia"/>
              </w:rPr>
              <w:t>1700</w:t>
            </w:r>
          </w:p>
        </w:tc>
        <w:tc>
          <w:tcPr>
            <w:tcW w:w="612" w:type="pct"/>
            <w:vAlign w:val="center"/>
          </w:tcPr>
          <w:p w14:paraId="3E34BEAF" w14:textId="77777777" w:rsidR="00F50C57" w:rsidRPr="00F50C57" w:rsidRDefault="00F50C57" w:rsidP="00F50C57">
            <w:pPr>
              <w:jc w:val="center"/>
            </w:pPr>
            <w:r w:rsidRPr="00F50C57">
              <w:t>/</w:t>
            </w:r>
          </w:p>
        </w:tc>
      </w:tr>
      <w:tr w:rsidR="00F50C57" w:rsidRPr="00F50C57" w14:paraId="08734EC3" w14:textId="77777777" w:rsidTr="00F50C57">
        <w:trPr>
          <w:trHeight w:val="196"/>
        </w:trPr>
        <w:tc>
          <w:tcPr>
            <w:tcW w:w="422" w:type="pct"/>
            <w:vMerge/>
            <w:vAlign w:val="center"/>
          </w:tcPr>
          <w:p w14:paraId="4D82582E" w14:textId="77777777" w:rsidR="00F50C57" w:rsidRPr="00F50C57" w:rsidRDefault="00F50C57" w:rsidP="00F50C57">
            <w:pPr>
              <w:jc w:val="center"/>
            </w:pPr>
          </w:p>
        </w:tc>
        <w:tc>
          <w:tcPr>
            <w:tcW w:w="307" w:type="pct"/>
            <w:vAlign w:val="center"/>
          </w:tcPr>
          <w:p w14:paraId="1C7DC7C9" w14:textId="77777777" w:rsidR="00F50C57" w:rsidRPr="00F50C57" w:rsidRDefault="00F50C57" w:rsidP="00F50C57">
            <w:pPr>
              <w:jc w:val="center"/>
            </w:pPr>
            <w:r w:rsidRPr="00F50C57">
              <w:t>4</w:t>
            </w:r>
          </w:p>
        </w:tc>
        <w:tc>
          <w:tcPr>
            <w:tcW w:w="510" w:type="pct"/>
            <w:vAlign w:val="center"/>
          </w:tcPr>
          <w:p w14:paraId="20663327" w14:textId="77777777" w:rsidR="00F50C57" w:rsidRPr="00F50C57" w:rsidRDefault="00F50C57" w:rsidP="00F50C57">
            <w:pPr>
              <w:jc w:val="center"/>
            </w:pPr>
            <w:r w:rsidRPr="00F50C57">
              <w:t>/</w:t>
            </w:r>
          </w:p>
        </w:tc>
        <w:tc>
          <w:tcPr>
            <w:tcW w:w="484" w:type="pct"/>
            <w:vAlign w:val="center"/>
          </w:tcPr>
          <w:p w14:paraId="0BC51D70" w14:textId="77777777" w:rsidR="00F50C57" w:rsidRPr="00F50C57" w:rsidRDefault="00F50C57" w:rsidP="00F50C57">
            <w:pPr>
              <w:jc w:val="center"/>
            </w:pPr>
            <w:r w:rsidRPr="00F50C57">
              <w:t>/</w:t>
            </w:r>
          </w:p>
        </w:tc>
        <w:tc>
          <w:tcPr>
            <w:tcW w:w="726" w:type="pct"/>
            <w:vAlign w:val="center"/>
          </w:tcPr>
          <w:p w14:paraId="240702FE" w14:textId="0EDFFF8A" w:rsidR="00F50C57" w:rsidRPr="00F50C57" w:rsidRDefault="00005351" w:rsidP="00F50C57">
            <w:pPr>
              <w:jc w:val="center"/>
            </w:pPr>
            <w:r>
              <w:rPr>
                <w:rFonts w:hint="eastAsia"/>
              </w:rPr>
              <w:t>无名泡</w:t>
            </w:r>
          </w:p>
        </w:tc>
        <w:tc>
          <w:tcPr>
            <w:tcW w:w="485" w:type="pct"/>
            <w:vAlign w:val="center"/>
          </w:tcPr>
          <w:p w14:paraId="3C0A91AE" w14:textId="519A6FD6" w:rsidR="00F50C57" w:rsidRPr="00F50C57" w:rsidRDefault="00005351" w:rsidP="00F50C57">
            <w:pPr>
              <w:jc w:val="center"/>
            </w:pPr>
            <w:r w:rsidRPr="00F50C57">
              <w:t>/</w:t>
            </w:r>
          </w:p>
        </w:tc>
        <w:tc>
          <w:tcPr>
            <w:tcW w:w="481" w:type="pct"/>
            <w:vAlign w:val="center"/>
          </w:tcPr>
          <w:p w14:paraId="7C839E05" w14:textId="1577A6F7" w:rsidR="00F50C57" w:rsidRPr="00F50C57" w:rsidRDefault="00005351" w:rsidP="00005351">
            <w:pPr>
              <w:jc w:val="center"/>
            </w:pPr>
            <w:r w:rsidRPr="00005351">
              <w:t>/</w:t>
            </w:r>
          </w:p>
        </w:tc>
        <w:tc>
          <w:tcPr>
            <w:tcW w:w="485" w:type="pct"/>
            <w:vAlign w:val="center"/>
          </w:tcPr>
          <w:p w14:paraId="60520F8A" w14:textId="301A6136" w:rsidR="00F50C57" w:rsidRPr="00F50C57" w:rsidRDefault="00F50C57" w:rsidP="00F50C57">
            <w:pPr>
              <w:jc w:val="center"/>
            </w:pPr>
            <w:r w:rsidRPr="00F50C57">
              <w:t>S</w:t>
            </w:r>
          </w:p>
        </w:tc>
        <w:tc>
          <w:tcPr>
            <w:tcW w:w="488" w:type="pct"/>
            <w:vAlign w:val="center"/>
          </w:tcPr>
          <w:p w14:paraId="472B065C" w14:textId="468A2F6A" w:rsidR="00F50C57" w:rsidRPr="00F50C57" w:rsidRDefault="00005351" w:rsidP="00F50C57">
            <w:pPr>
              <w:jc w:val="center"/>
            </w:pPr>
            <w:r>
              <w:rPr>
                <w:rFonts w:hint="eastAsia"/>
              </w:rPr>
              <w:t>100</w:t>
            </w:r>
          </w:p>
        </w:tc>
        <w:tc>
          <w:tcPr>
            <w:tcW w:w="612" w:type="pct"/>
            <w:vAlign w:val="center"/>
          </w:tcPr>
          <w:p w14:paraId="589FE078" w14:textId="77777777" w:rsidR="00F50C57" w:rsidRPr="00F50C57" w:rsidRDefault="00F50C57" w:rsidP="00F50C57">
            <w:pPr>
              <w:jc w:val="center"/>
            </w:pPr>
            <w:r w:rsidRPr="00F50C57">
              <w:t>/</w:t>
            </w:r>
          </w:p>
        </w:tc>
      </w:tr>
      <w:tr w:rsidR="00F50C57" w:rsidRPr="00F50C57" w14:paraId="528E244B" w14:textId="77777777" w:rsidTr="00F50C57">
        <w:trPr>
          <w:trHeight w:val="284"/>
        </w:trPr>
        <w:tc>
          <w:tcPr>
            <w:tcW w:w="422" w:type="pct"/>
            <w:vAlign w:val="center"/>
          </w:tcPr>
          <w:p w14:paraId="6E9EF209" w14:textId="77777777" w:rsidR="00F50C57" w:rsidRPr="00F50C57" w:rsidRDefault="00F50C57" w:rsidP="00F50C57">
            <w:pPr>
              <w:jc w:val="center"/>
            </w:pPr>
            <w:r w:rsidRPr="00F50C57">
              <w:t>声环境</w:t>
            </w:r>
          </w:p>
        </w:tc>
        <w:tc>
          <w:tcPr>
            <w:tcW w:w="4578" w:type="pct"/>
            <w:gridSpan w:val="9"/>
            <w:vAlign w:val="center"/>
          </w:tcPr>
          <w:p w14:paraId="62B84724" w14:textId="0587D622" w:rsidR="00F50C57" w:rsidRPr="00F50C57" w:rsidRDefault="00F50C57" w:rsidP="00F50C57">
            <w:pPr>
              <w:jc w:val="center"/>
            </w:pPr>
            <w:r w:rsidRPr="00F50C57">
              <w:t>厂界外</w:t>
            </w:r>
            <w:r w:rsidRPr="00F50C57">
              <w:t>200m</w:t>
            </w:r>
            <w:r w:rsidRPr="00F50C57">
              <w:t>范围内无声环境敏感点</w:t>
            </w:r>
          </w:p>
        </w:tc>
      </w:tr>
      <w:tr w:rsidR="00A45C41" w:rsidRPr="00F50C57" w14:paraId="502DD2FE" w14:textId="77777777" w:rsidTr="00A45C41">
        <w:trPr>
          <w:trHeight w:val="104"/>
        </w:trPr>
        <w:tc>
          <w:tcPr>
            <w:tcW w:w="422" w:type="pct"/>
            <w:vAlign w:val="center"/>
          </w:tcPr>
          <w:p w14:paraId="32132085" w14:textId="77777777" w:rsidR="00A45C41" w:rsidRPr="00F50C57" w:rsidRDefault="00A45C41" w:rsidP="00F50C57">
            <w:pPr>
              <w:jc w:val="center"/>
            </w:pPr>
            <w:r w:rsidRPr="00F50C57">
              <w:t>生态环境</w:t>
            </w:r>
          </w:p>
        </w:tc>
        <w:tc>
          <w:tcPr>
            <w:tcW w:w="307" w:type="pct"/>
            <w:vAlign w:val="center"/>
          </w:tcPr>
          <w:p w14:paraId="22D36EE7" w14:textId="77777777" w:rsidR="00A45C41" w:rsidRPr="00F50C57" w:rsidRDefault="00A45C41" w:rsidP="00F50C57">
            <w:pPr>
              <w:jc w:val="center"/>
            </w:pPr>
            <w:r w:rsidRPr="00F50C57">
              <w:t>1</w:t>
            </w:r>
          </w:p>
        </w:tc>
        <w:tc>
          <w:tcPr>
            <w:tcW w:w="4271" w:type="pct"/>
            <w:gridSpan w:val="8"/>
            <w:vAlign w:val="center"/>
          </w:tcPr>
          <w:p w14:paraId="5371CF62" w14:textId="39D29C4D" w:rsidR="00A45C41" w:rsidRPr="00F50C57" w:rsidRDefault="00A45C41" w:rsidP="00A45C41">
            <w:pPr>
              <w:jc w:val="center"/>
            </w:pPr>
            <w:r w:rsidRPr="00A45C41">
              <w:rPr>
                <w:rFonts w:hint="eastAsia"/>
              </w:rPr>
              <w:t>评价区内植被、土地利用类型、动植物种类、生物多样性等</w:t>
            </w:r>
          </w:p>
        </w:tc>
      </w:tr>
    </w:tbl>
    <w:p w14:paraId="423A7AF6" w14:textId="63CF522D" w:rsidR="00F50C57" w:rsidRPr="00F50C57" w:rsidRDefault="00F50C57" w:rsidP="00F50C57">
      <w:pPr>
        <w:spacing w:beforeLines="50" w:before="120"/>
        <w:jc w:val="center"/>
        <w:rPr>
          <w:b/>
          <w:bCs/>
        </w:rPr>
      </w:pPr>
      <w:r w:rsidRPr="00F50C57">
        <w:rPr>
          <w:b/>
          <w:bCs/>
        </w:rPr>
        <w:t>表</w:t>
      </w:r>
      <w:r w:rsidRPr="00F50C57">
        <w:rPr>
          <w:b/>
          <w:bCs/>
        </w:rPr>
        <w:t>1.7-</w:t>
      </w:r>
      <w:r>
        <w:rPr>
          <w:rFonts w:hint="eastAsia"/>
          <w:b/>
          <w:bCs/>
        </w:rPr>
        <w:t>2</w:t>
      </w:r>
      <w:r w:rsidRPr="00F50C57">
        <w:rPr>
          <w:b/>
          <w:bCs/>
        </w:rPr>
        <w:t xml:space="preserve"> </w:t>
      </w:r>
      <w:r w:rsidRPr="00F50C57">
        <w:rPr>
          <w:b/>
          <w:bCs/>
        </w:rPr>
        <w:t>地下水环境保护目标表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7"/>
        <w:gridCol w:w="1609"/>
        <w:gridCol w:w="2024"/>
        <w:gridCol w:w="1766"/>
        <w:gridCol w:w="1492"/>
        <w:gridCol w:w="1458"/>
        <w:gridCol w:w="1287"/>
        <w:gridCol w:w="1741"/>
      </w:tblGrid>
      <w:tr w:rsidR="00675E98" w:rsidRPr="00F50C57" w14:paraId="53437CDC" w14:textId="77777777" w:rsidTr="00675E98">
        <w:trPr>
          <w:tblHeader/>
          <w:jc w:val="center"/>
        </w:trPr>
        <w:tc>
          <w:tcPr>
            <w:tcW w:w="935" w:type="pct"/>
            <w:vAlign w:val="center"/>
          </w:tcPr>
          <w:p w14:paraId="08CFF576" w14:textId="77777777" w:rsidR="00F50C57" w:rsidRPr="00F50C57" w:rsidRDefault="00F50C57" w:rsidP="00F50C57">
            <w:pPr>
              <w:jc w:val="center"/>
            </w:pPr>
            <w:r w:rsidRPr="00F50C57">
              <w:lastRenderedPageBreak/>
              <w:t>位置</w:t>
            </w:r>
          </w:p>
        </w:tc>
        <w:tc>
          <w:tcPr>
            <w:tcW w:w="575" w:type="pct"/>
            <w:vAlign w:val="center"/>
          </w:tcPr>
          <w:p w14:paraId="2D086BE3" w14:textId="769FDD9E" w:rsidR="00F50C57" w:rsidRPr="00F50C57" w:rsidRDefault="00F50C57" w:rsidP="00F50C57">
            <w:pPr>
              <w:jc w:val="center"/>
            </w:pPr>
            <w:r w:rsidRPr="00F50C57">
              <w:t>距厂区距离</w:t>
            </w:r>
          </w:p>
        </w:tc>
        <w:tc>
          <w:tcPr>
            <w:tcW w:w="723" w:type="pct"/>
            <w:vAlign w:val="center"/>
          </w:tcPr>
          <w:p w14:paraId="371FA9E6" w14:textId="77777777" w:rsidR="00F50C57" w:rsidRPr="00F50C57" w:rsidRDefault="00F50C57" w:rsidP="00F50C57">
            <w:pPr>
              <w:jc w:val="center"/>
            </w:pPr>
            <w:r w:rsidRPr="00F50C57">
              <w:t>取水目的层</w:t>
            </w:r>
          </w:p>
        </w:tc>
        <w:tc>
          <w:tcPr>
            <w:tcW w:w="631" w:type="pct"/>
            <w:vAlign w:val="center"/>
          </w:tcPr>
          <w:p w14:paraId="54C5AC81" w14:textId="77777777" w:rsidR="00F50C57" w:rsidRPr="00F50C57" w:rsidRDefault="00F50C57" w:rsidP="00F50C57">
            <w:pPr>
              <w:jc w:val="center"/>
            </w:pPr>
            <w:r w:rsidRPr="00F50C57">
              <w:t>取水井性质</w:t>
            </w:r>
          </w:p>
        </w:tc>
        <w:tc>
          <w:tcPr>
            <w:tcW w:w="533" w:type="pct"/>
            <w:vAlign w:val="center"/>
          </w:tcPr>
          <w:p w14:paraId="3E77A36F" w14:textId="77777777" w:rsidR="00F50C57" w:rsidRPr="00F50C57" w:rsidRDefault="00F50C57" w:rsidP="00F50C57">
            <w:pPr>
              <w:jc w:val="center"/>
            </w:pPr>
            <w:r w:rsidRPr="00F50C57">
              <w:t>受保护状况</w:t>
            </w:r>
          </w:p>
        </w:tc>
        <w:tc>
          <w:tcPr>
            <w:tcW w:w="521" w:type="pct"/>
            <w:vAlign w:val="center"/>
          </w:tcPr>
          <w:p w14:paraId="0EC5B99C" w14:textId="77777777" w:rsidR="00F50C57" w:rsidRPr="00F50C57" w:rsidRDefault="00F50C57" w:rsidP="00F50C57">
            <w:pPr>
              <w:jc w:val="center"/>
            </w:pPr>
            <w:r w:rsidRPr="00F50C57">
              <w:t>取水井数（眼）</w:t>
            </w:r>
          </w:p>
        </w:tc>
        <w:tc>
          <w:tcPr>
            <w:tcW w:w="460" w:type="pct"/>
            <w:vAlign w:val="center"/>
          </w:tcPr>
          <w:p w14:paraId="526E58CF" w14:textId="77777777" w:rsidR="00F50C57" w:rsidRPr="00F50C57" w:rsidRDefault="00F50C57" w:rsidP="00F50C57">
            <w:pPr>
              <w:jc w:val="center"/>
            </w:pPr>
            <w:r w:rsidRPr="00F50C57">
              <w:t>供水规模（人）</w:t>
            </w:r>
          </w:p>
        </w:tc>
        <w:tc>
          <w:tcPr>
            <w:tcW w:w="622" w:type="pct"/>
            <w:vAlign w:val="center"/>
          </w:tcPr>
          <w:p w14:paraId="6E51CD72" w14:textId="77777777" w:rsidR="00F50C57" w:rsidRPr="00F50C57" w:rsidRDefault="00F50C57" w:rsidP="00F50C57">
            <w:pPr>
              <w:jc w:val="center"/>
            </w:pPr>
            <w:r w:rsidRPr="00F50C57">
              <w:t>保护等级</w:t>
            </w:r>
          </w:p>
        </w:tc>
      </w:tr>
      <w:tr w:rsidR="00675E98" w:rsidRPr="00F50C57" w14:paraId="38F730D8" w14:textId="77777777" w:rsidTr="00675E98">
        <w:trPr>
          <w:jc w:val="center"/>
        </w:trPr>
        <w:tc>
          <w:tcPr>
            <w:tcW w:w="935" w:type="pct"/>
            <w:vAlign w:val="center"/>
          </w:tcPr>
          <w:p w14:paraId="5F19D3DE" w14:textId="77777777" w:rsidR="00F50C57" w:rsidRPr="00F50C57" w:rsidRDefault="00F50C57" w:rsidP="00F50C57">
            <w:pPr>
              <w:jc w:val="center"/>
            </w:pPr>
            <w:r w:rsidRPr="00F50C57">
              <w:t>前进村分散式饮用水水源</w:t>
            </w:r>
          </w:p>
        </w:tc>
        <w:tc>
          <w:tcPr>
            <w:tcW w:w="575" w:type="pct"/>
            <w:vAlign w:val="center"/>
          </w:tcPr>
          <w:p w14:paraId="7CE1E494" w14:textId="6E05FAB8" w:rsidR="00F50C57" w:rsidRPr="00F50C57" w:rsidRDefault="00F50C57" w:rsidP="00F50C57">
            <w:pPr>
              <w:jc w:val="center"/>
            </w:pPr>
            <w:r w:rsidRPr="00F50C57">
              <w:t>2740</w:t>
            </w:r>
            <w:r w:rsidR="00675E98">
              <w:rPr>
                <w:rFonts w:hint="eastAsia"/>
              </w:rPr>
              <w:t>m</w:t>
            </w:r>
          </w:p>
        </w:tc>
        <w:tc>
          <w:tcPr>
            <w:tcW w:w="723" w:type="pct"/>
            <w:vAlign w:val="center"/>
          </w:tcPr>
          <w:p w14:paraId="010B086A" w14:textId="77777777" w:rsidR="00F50C57" w:rsidRPr="00F50C57" w:rsidRDefault="00F50C57" w:rsidP="00F50C57">
            <w:pPr>
              <w:jc w:val="center"/>
            </w:pPr>
            <w:r w:rsidRPr="00F50C57">
              <w:t>第四系孔隙承压水</w:t>
            </w:r>
          </w:p>
        </w:tc>
        <w:tc>
          <w:tcPr>
            <w:tcW w:w="631" w:type="pct"/>
            <w:vAlign w:val="center"/>
          </w:tcPr>
          <w:p w14:paraId="1F4E8DB9" w14:textId="77777777" w:rsidR="00F50C57" w:rsidRPr="00F50C57" w:rsidRDefault="00F50C57" w:rsidP="00F50C57">
            <w:pPr>
              <w:jc w:val="center"/>
            </w:pPr>
            <w:r w:rsidRPr="00F50C57">
              <w:t>分散式饮用水水源</w:t>
            </w:r>
          </w:p>
        </w:tc>
        <w:tc>
          <w:tcPr>
            <w:tcW w:w="533" w:type="pct"/>
            <w:vAlign w:val="center"/>
          </w:tcPr>
          <w:p w14:paraId="239FA310" w14:textId="77777777" w:rsidR="00F50C57" w:rsidRPr="00F50C57" w:rsidRDefault="00F50C57" w:rsidP="00F50C57">
            <w:pPr>
              <w:jc w:val="center"/>
            </w:pPr>
            <w:r w:rsidRPr="00F50C57">
              <w:t>未划保护区</w:t>
            </w:r>
          </w:p>
        </w:tc>
        <w:tc>
          <w:tcPr>
            <w:tcW w:w="521" w:type="pct"/>
            <w:vAlign w:val="center"/>
          </w:tcPr>
          <w:p w14:paraId="3E3F6C46" w14:textId="77777777" w:rsidR="00F50C57" w:rsidRPr="00F50C57" w:rsidRDefault="00F50C57" w:rsidP="00F50C57">
            <w:pPr>
              <w:jc w:val="center"/>
            </w:pPr>
            <w:r w:rsidRPr="00F50C57">
              <w:t>1</w:t>
            </w:r>
          </w:p>
        </w:tc>
        <w:tc>
          <w:tcPr>
            <w:tcW w:w="460" w:type="pct"/>
            <w:vAlign w:val="center"/>
          </w:tcPr>
          <w:p w14:paraId="22299841" w14:textId="77777777" w:rsidR="00F50C57" w:rsidRPr="00F50C57" w:rsidRDefault="00F50C57" w:rsidP="00F50C57">
            <w:pPr>
              <w:jc w:val="center"/>
            </w:pPr>
            <w:r w:rsidRPr="00F50C57">
              <w:t>780</w:t>
            </w:r>
          </w:p>
        </w:tc>
        <w:tc>
          <w:tcPr>
            <w:tcW w:w="622" w:type="pct"/>
            <w:vMerge w:val="restart"/>
            <w:vAlign w:val="center"/>
          </w:tcPr>
          <w:p w14:paraId="30C2B71A" w14:textId="77777777" w:rsidR="00F50C57" w:rsidRPr="00F50C57" w:rsidRDefault="00F50C57" w:rsidP="00F50C57">
            <w:pPr>
              <w:jc w:val="center"/>
            </w:pPr>
            <w:r w:rsidRPr="00F50C57">
              <w:t>GB/T14848-2017</w:t>
            </w:r>
            <w:r w:rsidRPr="00F50C57">
              <w:t>中</w:t>
            </w:r>
            <w:r w:rsidRPr="00F50C57">
              <w:t>Ⅲ</w:t>
            </w:r>
            <w:r w:rsidRPr="00F50C57">
              <w:t>类标准</w:t>
            </w:r>
          </w:p>
        </w:tc>
      </w:tr>
      <w:tr w:rsidR="00675E98" w:rsidRPr="00F50C57" w14:paraId="247ECD2F" w14:textId="77777777" w:rsidTr="00675E98">
        <w:trPr>
          <w:jc w:val="center"/>
        </w:trPr>
        <w:tc>
          <w:tcPr>
            <w:tcW w:w="935" w:type="pct"/>
            <w:vAlign w:val="center"/>
          </w:tcPr>
          <w:p w14:paraId="7E19A47C" w14:textId="77777777" w:rsidR="00F50C57" w:rsidRPr="00F50C57" w:rsidRDefault="00F50C57" w:rsidP="00F50C57">
            <w:pPr>
              <w:jc w:val="center"/>
            </w:pPr>
            <w:r w:rsidRPr="00F50C57">
              <w:t>开荒户分散式饮用水水源</w:t>
            </w:r>
          </w:p>
        </w:tc>
        <w:tc>
          <w:tcPr>
            <w:tcW w:w="575" w:type="pct"/>
            <w:vAlign w:val="center"/>
          </w:tcPr>
          <w:p w14:paraId="38C816F8" w14:textId="76705CA7" w:rsidR="00F50C57" w:rsidRPr="00F50C57" w:rsidRDefault="00F50C57" w:rsidP="00F50C57">
            <w:pPr>
              <w:jc w:val="center"/>
            </w:pPr>
            <w:r w:rsidRPr="00F50C57">
              <w:t>3570</w:t>
            </w:r>
            <w:r w:rsidR="00675E98">
              <w:rPr>
                <w:rFonts w:hint="eastAsia"/>
              </w:rPr>
              <w:t>m</w:t>
            </w:r>
          </w:p>
        </w:tc>
        <w:tc>
          <w:tcPr>
            <w:tcW w:w="723" w:type="pct"/>
            <w:vAlign w:val="center"/>
          </w:tcPr>
          <w:p w14:paraId="6F25ED8D" w14:textId="77777777" w:rsidR="00F50C57" w:rsidRPr="00F50C57" w:rsidRDefault="00F50C57" w:rsidP="00F50C57">
            <w:pPr>
              <w:jc w:val="center"/>
            </w:pPr>
            <w:r w:rsidRPr="00F50C57">
              <w:t>第四系孔隙承压水</w:t>
            </w:r>
          </w:p>
        </w:tc>
        <w:tc>
          <w:tcPr>
            <w:tcW w:w="631" w:type="pct"/>
            <w:vAlign w:val="center"/>
          </w:tcPr>
          <w:p w14:paraId="1D1722AD" w14:textId="77777777" w:rsidR="00F50C57" w:rsidRPr="00F50C57" w:rsidRDefault="00F50C57" w:rsidP="00F50C57">
            <w:pPr>
              <w:jc w:val="center"/>
            </w:pPr>
            <w:r w:rsidRPr="00F50C57">
              <w:t>分散式饮用水水源</w:t>
            </w:r>
          </w:p>
        </w:tc>
        <w:tc>
          <w:tcPr>
            <w:tcW w:w="533" w:type="pct"/>
            <w:vAlign w:val="center"/>
          </w:tcPr>
          <w:p w14:paraId="1B9A026B" w14:textId="77777777" w:rsidR="00F50C57" w:rsidRPr="00F50C57" w:rsidRDefault="00F50C57" w:rsidP="00F50C57">
            <w:pPr>
              <w:jc w:val="center"/>
            </w:pPr>
            <w:r w:rsidRPr="00F50C57">
              <w:t>未划保护区</w:t>
            </w:r>
          </w:p>
        </w:tc>
        <w:tc>
          <w:tcPr>
            <w:tcW w:w="521" w:type="pct"/>
            <w:vAlign w:val="center"/>
          </w:tcPr>
          <w:p w14:paraId="7E5B85DA" w14:textId="77777777" w:rsidR="00F50C57" w:rsidRPr="00F50C57" w:rsidRDefault="00F50C57" w:rsidP="00F50C57">
            <w:pPr>
              <w:jc w:val="center"/>
            </w:pPr>
            <w:r w:rsidRPr="00F50C57">
              <w:t>1</w:t>
            </w:r>
          </w:p>
        </w:tc>
        <w:tc>
          <w:tcPr>
            <w:tcW w:w="460" w:type="pct"/>
            <w:vAlign w:val="center"/>
          </w:tcPr>
          <w:p w14:paraId="182B0B3C" w14:textId="77777777" w:rsidR="00F50C57" w:rsidRPr="00F50C57" w:rsidRDefault="00F50C57" w:rsidP="00F50C57">
            <w:pPr>
              <w:jc w:val="center"/>
            </w:pPr>
            <w:r w:rsidRPr="00F50C57">
              <w:t>160</w:t>
            </w:r>
          </w:p>
        </w:tc>
        <w:tc>
          <w:tcPr>
            <w:tcW w:w="622" w:type="pct"/>
            <w:vMerge/>
            <w:vAlign w:val="center"/>
          </w:tcPr>
          <w:p w14:paraId="465ACD32" w14:textId="77777777" w:rsidR="00F50C57" w:rsidRPr="00F50C57" w:rsidRDefault="00F50C57" w:rsidP="00F50C57">
            <w:pPr>
              <w:spacing w:line="360" w:lineRule="auto"/>
              <w:ind w:firstLineChars="200" w:firstLine="420"/>
              <w:jc w:val="center"/>
            </w:pPr>
          </w:p>
        </w:tc>
      </w:tr>
      <w:tr w:rsidR="00675E98" w:rsidRPr="00F50C57" w14:paraId="1C243DEC" w14:textId="77777777" w:rsidTr="00675E98">
        <w:trPr>
          <w:jc w:val="center"/>
        </w:trPr>
        <w:tc>
          <w:tcPr>
            <w:tcW w:w="935" w:type="pct"/>
            <w:vAlign w:val="center"/>
          </w:tcPr>
          <w:p w14:paraId="2F924BA2" w14:textId="77777777" w:rsidR="00F50C57" w:rsidRPr="00F50C57" w:rsidRDefault="00F50C57" w:rsidP="00F50C57">
            <w:pPr>
              <w:jc w:val="center"/>
            </w:pPr>
            <w:r w:rsidRPr="00F50C57">
              <w:t>红旗二村分散式饮用水水源</w:t>
            </w:r>
          </w:p>
        </w:tc>
        <w:tc>
          <w:tcPr>
            <w:tcW w:w="575" w:type="pct"/>
            <w:vAlign w:val="center"/>
          </w:tcPr>
          <w:p w14:paraId="1A6C4B3D" w14:textId="4F9F5D97" w:rsidR="00F50C57" w:rsidRPr="00F50C57" w:rsidRDefault="00F50C57" w:rsidP="00F50C57">
            <w:pPr>
              <w:jc w:val="center"/>
            </w:pPr>
            <w:r w:rsidRPr="00F50C57">
              <w:t>870</w:t>
            </w:r>
            <w:r w:rsidR="00675E98">
              <w:rPr>
                <w:rFonts w:hint="eastAsia"/>
              </w:rPr>
              <w:t>m</w:t>
            </w:r>
          </w:p>
        </w:tc>
        <w:tc>
          <w:tcPr>
            <w:tcW w:w="723" w:type="pct"/>
            <w:vAlign w:val="center"/>
          </w:tcPr>
          <w:p w14:paraId="478F1E47" w14:textId="77777777" w:rsidR="00F50C57" w:rsidRPr="00F50C57" w:rsidRDefault="00F50C57" w:rsidP="00F50C57">
            <w:pPr>
              <w:jc w:val="center"/>
            </w:pPr>
            <w:r w:rsidRPr="00F50C57">
              <w:t>第四系孔隙承压水</w:t>
            </w:r>
          </w:p>
        </w:tc>
        <w:tc>
          <w:tcPr>
            <w:tcW w:w="631" w:type="pct"/>
            <w:vAlign w:val="center"/>
          </w:tcPr>
          <w:p w14:paraId="58896FB2" w14:textId="77777777" w:rsidR="00F50C57" w:rsidRPr="00F50C57" w:rsidRDefault="00F50C57" w:rsidP="00F50C57">
            <w:pPr>
              <w:jc w:val="center"/>
            </w:pPr>
            <w:r w:rsidRPr="00F50C57">
              <w:t>分散式饮用水水源</w:t>
            </w:r>
          </w:p>
        </w:tc>
        <w:tc>
          <w:tcPr>
            <w:tcW w:w="533" w:type="pct"/>
            <w:vAlign w:val="center"/>
          </w:tcPr>
          <w:p w14:paraId="2B8EDAB4" w14:textId="77777777" w:rsidR="00F50C57" w:rsidRPr="00F50C57" w:rsidRDefault="00F50C57" w:rsidP="00F50C57">
            <w:pPr>
              <w:jc w:val="center"/>
            </w:pPr>
            <w:r w:rsidRPr="00F50C57">
              <w:t>未划保护区</w:t>
            </w:r>
          </w:p>
        </w:tc>
        <w:tc>
          <w:tcPr>
            <w:tcW w:w="521" w:type="pct"/>
            <w:vAlign w:val="center"/>
          </w:tcPr>
          <w:p w14:paraId="2268F978" w14:textId="77777777" w:rsidR="00F50C57" w:rsidRPr="00F50C57" w:rsidRDefault="00F50C57" w:rsidP="00F50C57">
            <w:pPr>
              <w:jc w:val="center"/>
            </w:pPr>
            <w:r w:rsidRPr="00F50C57">
              <w:t>4</w:t>
            </w:r>
          </w:p>
        </w:tc>
        <w:tc>
          <w:tcPr>
            <w:tcW w:w="460" w:type="pct"/>
            <w:vAlign w:val="center"/>
          </w:tcPr>
          <w:p w14:paraId="30372E69" w14:textId="77777777" w:rsidR="00F50C57" w:rsidRPr="00F50C57" w:rsidRDefault="00F50C57" w:rsidP="00F50C57">
            <w:pPr>
              <w:jc w:val="center"/>
            </w:pPr>
            <w:r w:rsidRPr="00F50C57">
              <w:t>20</w:t>
            </w:r>
          </w:p>
        </w:tc>
        <w:tc>
          <w:tcPr>
            <w:tcW w:w="622" w:type="pct"/>
            <w:vMerge/>
            <w:vAlign w:val="center"/>
          </w:tcPr>
          <w:p w14:paraId="4FFC465D" w14:textId="77777777" w:rsidR="00F50C57" w:rsidRPr="00F50C57" w:rsidRDefault="00F50C57" w:rsidP="00F50C57">
            <w:pPr>
              <w:spacing w:line="360" w:lineRule="auto"/>
              <w:ind w:firstLineChars="200" w:firstLine="420"/>
              <w:jc w:val="center"/>
            </w:pPr>
          </w:p>
        </w:tc>
      </w:tr>
    </w:tbl>
    <w:p w14:paraId="35D8B112" w14:textId="728AB09D" w:rsidR="00606029" w:rsidRPr="00675E98" w:rsidRDefault="00EA5B92">
      <w:pPr>
        <w:spacing w:beforeLines="50" w:before="120"/>
        <w:jc w:val="center"/>
        <w:rPr>
          <w:b/>
        </w:rPr>
      </w:pPr>
      <w:bookmarkStart w:id="72" w:name="_Ref313542557"/>
      <w:r w:rsidRPr="00675E98">
        <w:rPr>
          <w:b/>
        </w:rPr>
        <w:t>表</w:t>
      </w:r>
      <w:bookmarkEnd w:id="72"/>
      <w:r w:rsidRPr="00675E98">
        <w:rPr>
          <w:b/>
        </w:rPr>
        <w:t>1.7-</w:t>
      </w:r>
      <w:r w:rsidR="00F50C57" w:rsidRPr="00675E98">
        <w:rPr>
          <w:rFonts w:hint="eastAsia"/>
          <w:b/>
        </w:rPr>
        <w:t>3</w:t>
      </w:r>
      <w:r w:rsidRPr="00675E98">
        <w:rPr>
          <w:b/>
        </w:rPr>
        <w:t xml:space="preserve">  </w:t>
      </w:r>
      <w:r w:rsidR="00675E98" w:rsidRPr="00675E98">
        <w:rPr>
          <w:rFonts w:hint="eastAsia"/>
          <w:b/>
        </w:rPr>
        <w:t>土壤</w:t>
      </w:r>
      <w:r w:rsidRPr="00675E98">
        <w:rPr>
          <w:b/>
        </w:rPr>
        <w:t>环境保护目标一览表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28" w:type="dxa"/>
          <w:bottom w:w="28" w:type="dxa"/>
          <w:right w:w="28" w:type="dxa"/>
        </w:tblCellMar>
        <w:tblLook w:val="04A0" w:firstRow="1" w:lastRow="0" w:firstColumn="1" w:lastColumn="0" w:noHBand="0" w:noVBand="1"/>
      </w:tblPr>
      <w:tblGrid>
        <w:gridCol w:w="711"/>
        <w:gridCol w:w="1355"/>
        <w:gridCol w:w="4755"/>
        <w:gridCol w:w="7173"/>
      </w:tblGrid>
      <w:tr w:rsidR="00675E98" w:rsidRPr="00675E98" w14:paraId="2FB6D8A5" w14:textId="77777777" w:rsidTr="00675E98">
        <w:trPr>
          <w:tblHeader/>
          <w:jc w:val="center"/>
        </w:trPr>
        <w:tc>
          <w:tcPr>
            <w:tcW w:w="254" w:type="pct"/>
            <w:tcBorders>
              <w:bottom w:val="single" w:sz="4" w:space="0" w:color="auto"/>
              <w:right w:val="single" w:sz="4" w:space="0" w:color="auto"/>
            </w:tcBorders>
            <w:vAlign w:val="center"/>
          </w:tcPr>
          <w:p w14:paraId="550DBD34" w14:textId="77777777" w:rsidR="00675E98" w:rsidRPr="00675E98" w:rsidRDefault="00675E98">
            <w:pPr>
              <w:spacing w:line="280" w:lineRule="exact"/>
              <w:jc w:val="center"/>
            </w:pPr>
            <w:r w:rsidRPr="00675E98">
              <w:t>序号</w:t>
            </w:r>
          </w:p>
        </w:tc>
        <w:tc>
          <w:tcPr>
            <w:tcW w:w="484" w:type="pct"/>
            <w:tcBorders>
              <w:left w:val="single" w:sz="4" w:space="0" w:color="auto"/>
              <w:bottom w:val="single" w:sz="4" w:space="0" w:color="auto"/>
              <w:right w:val="single" w:sz="4" w:space="0" w:color="auto"/>
            </w:tcBorders>
            <w:vAlign w:val="center"/>
          </w:tcPr>
          <w:p w14:paraId="0B20608A" w14:textId="77777777" w:rsidR="00675E98" w:rsidRPr="00675E98" w:rsidRDefault="00675E98">
            <w:pPr>
              <w:spacing w:line="280" w:lineRule="exact"/>
              <w:jc w:val="center"/>
            </w:pPr>
            <w:r w:rsidRPr="00675E98">
              <w:t>敏感目标</w:t>
            </w:r>
          </w:p>
        </w:tc>
        <w:tc>
          <w:tcPr>
            <w:tcW w:w="1699" w:type="pct"/>
            <w:tcBorders>
              <w:left w:val="single" w:sz="4" w:space="0" w:color="auto"/>
              <w:bottom w:val="single" w:sz="4" w:space="0" w:color="auto"/>
              <w:right w:val="single" w:sz="4" w:space="0" w:color="auto"/>
            </w:tcBorders>
            <w:vAlign w:val="center"/>
          </w:tcPr>
          <w:p w14:paraId="30237641" w14:textId="77777777" w:rsidR="00675E98" w:rsidRPr="00675E98" w:rsidRDefault="00675E98">
            <w:pPr>
              <w:spacing w:line="280" w:lineRule="exact"/>
              <w:jc w:val="center"/>
            </w:pPr>
            <w:r w:rsidRPr="00675E98">
              <w:t>相对位置</w:t>
            </w:r>
          </w:p>
        </w:tc>
        <w:tc>
          <w:tcPr>
            <w:tcW w:w="2563" w:type="pct"/>
            <w:tcBorders>
              <w:left w:val="single" w:sz="4" w:space="0" w:color="auto"/>
              <w:bottom w:val="single" w:sz="4" w:space="0" w:color="auto"/>
            </w:tcBorders>
            <w:vAlign w:val="center"/>
          </w:tcPr>
          <w:p w14:paraId="5B7C7B25" w14:textId="77777777" w:rsidR="00675E98" w:rsidRPr="00675E98" w:rsidRDefault="00675E98">
            <w:pPr>
              <w:spacing w:line="280" w:lineRule="exact"/>
              <w:jc w:val="center"/>
            </w:pPr>
            <w:r w:rsidRPr="00675E98">
              <w:t>功能执行标准</w:t>
            </w:r>
          </w:p>
        </w:tc>
      </w:tr>
      <w:tr w:rsidR="00675E98" w:rsidRPr="00675E98" w14:paraId="5BDD4272" w14:textId="77777777" w:rsidTr="00675E98">
        <w:trPr>
          <w:jc w:val="center"/>
        </w:trPr>
        <w:tc>
          <w:tcPr>
            <w:tcW w:w="254" w:type="pct"/>
            <w:tcBorders>
              <w:top w:val="single" w:sz="4" w:space="0" w:color="auto"/>
              <w:bottom w:val="single" w:sz="4" w:space="0" w:color="auto"/>
              <w:right w:val="single" w:sz="4" w:space="0" w:color="auto"/>
            </w:tcBorders>
            <w:vAlign w:val="center"/>
          </w:tcPr>
          <w:p w14:paraId="14A1F647" w14:textId="77777777" w:rsidR="00675E98" w:rsidRPr="00675E98" w:rsidRDefault="00675E98">
            <w:pPr>
              <w:spacing w:line="280" w:lineRule="exact"/>
              <w:jc w:val="center"/>
            </w:pPr>
            <w:r w:rsidRPr="00675E98">
              <w:t>1</w:t>
            </w:r>
          </w:p>
        </w:tc>
        <w:tc>
          <w:tcPr>
            <w:tcW w:w="484" w:type="pct"/>
            <w:tcBorders>
              <w:top w:val="single" w:sz="4" w:space="0" w:color="auto"/>
              <w:left w:val="single" w:sz="4" w:space="0" w:color="auto"/>
              <w:bottom w:val="single" w:sz="4" w:space="0" w:color="auto"/>
              <w:right w:val="single" w:sz="4" w:space="0" w:color="auto"/>
            </w:tcBorders>
            <w:vAlign w:val="center"/>
          </w:tcPr>
          <w:p w14:paraId="2471CE72" w14:textId="694F8F5D" w:rsidR="00675E98" w:rsidRPr="00675E98" w:rsidRDefault="00675E98">
            <w:pPr>
              <w:spacing w:line="280" w:lineRule="exact"/>
              <w:jc w:val="center"/>
            </w:pPr>
            <w:r w:rsidRPr="00675E98">
              <w:rPr>
                <w:rFonts w:hint="eastAsia"/>
              </w:rPr>
              <w:t>场址范围内</w:t>
            </w:r>
          </w:p>
        </w:tc>
        <w:tc>
          <w:tcPr>
            <w:tcW w:w="1699" w:type="pct"/>
            <w:tcBorders>
              <w:top w:val="single" w:sz="4" w:space="0" w:color="auto"/>
              <w:left w:val="single" w:sz="4" w:space="0" w:color="auto"/>
              <w:bottom w:val="single" w:sz="4" w:space="0" w:color="auto"/>
              <w:right w:val="single" w:sz="4" w:space="0" w:color="auto"/>
            </w:tcBorders>
            <w:vAlign w:val="center"/>
          </w:tcPr>
          <w:p w14:paraId="39D5CC50" w14:textId="3E6C5074" w:rsidR="00675E98" w:rsidRPr="00675E98" w:rsidRDefault="00675E98">
            <w:pPr>
              <w:spacing w:line="280" w:lineRule="exact"/>
              <w:jc w:val="center"/>
            </w:pPr>
            <w:r w:rsidRPr="00675E98">
              <w:rPr>
                <w:rFonts w:hint="eastAsia"/>
              </w:rPr>
              <w:t>厂区内</w:t>
            </w:r>
          </w:p>
        </w:tc>
        <w:tc>
          <w:tcPr>
            <w:tcW w:w="2563" w:type="pct"/>
            <w:tcBorders>
              <w:top w:val="single" w:sz="4" w:space="0" w:color="auto"/>
              <w:left w:val="single" w:sz="4" w:space="0" w:color="auto"/>
            </w:tcBorders>
            <w:vAlign w:val="center"/>
          </w:tcPr>
          <w:p w14:paraId="5A0BF213" w14:textId="06C0D35A" w:rsidR="00675E98" w:rsidRPr="00675E98" w:rsidRDefault="00675E98">
            <w:pPr>
              <w:spacing w:line="280" w:lineRule="exact"/>
              <w:jc w:val="center"/>
            </w:pPr>
            <w:r w:rsidRPr="00675E98">
              <w:rPr>
                <w:rFonts w:hint="eastAsia"/>
              </w:rPr>
              <w:t>《土壤环境质量建设用地土壤污染风险管控标准（试行）》（</w:t>
            </w:r>
            <w:r w:rsidRPr="00675E98">
              <w:rPr>
                <w:rFonts w:hint="eastAsia"/>
              </w:rPr>
              <w:t>GB36600-2018</w:t>
            </w:r>
            <w:r w:rsidRPr="00675E98">
              <w:rPr>
                <w:rFonts w:hint="eastAsia"/>
              </w:rPr>
              <w:t>）表</w:t>
            </w:r>
            <w:r w:rsidRPr="00675E98">
              <w:rPr>
                <w:rFonts w:hint="eastAsia"/>
              </w:rPr>
              <w:t>1</w:t>
            </w:r>
            <w:r w:rsidRPr="00675E98">
              <w:rPr>
                <w:rFonts w:hint="eastAsia"/>
              </w:rPr>
              <w:t>中第二类用地筛选值</w:t>
            </w:r>
          </w:p>
        </w:tc>
      </w:tr>
      <w:tr w:rsidR="00675E98" w14:paraId="3FE84E3D" w14:textId="77777777" w:rsidTr="00675E98">
        <w:trPr>
          <w:jc w:val="center"/>
        </w:trPr>
        <w:tc>
          <w:tcPr>
            <w:tcW w:w="254" w:type="pct"/>
            <w:tcBorders>
              <w:top w:val="single" w:sz="4" w:space="0" w:color="auto"/>
              <w:bottom w:val="single" w:sz="4" w:space="0" w:color="auto"/>
              <w:right w:val="single" w:sz="4" w:space="0" w:color="auto"/>
            </w:tcBorders>
            <w:vAlign w:val="center"/>
          </w:tcPr>
          <w:p w14:paraId="524AFFE1" w14:textId="77777777" w:rsidR="00675E98" w:rsidRPr="00675E98" w:rsidRDefault="00675E98">
            <w:pPr>
              <w:spacing w:line="280" w:lineRule="exact"/>
              <w:jc w:val="center"/>
            </w:pPr>
            <w:r w:rsidRPr="00675E98">
              <w:t>2</w:t>
            </w:r>
          </w:p>
        </w:tc>
        <w:tc>
          <w:tcPr>
            <w:tcW w:w="484" w:type="pct"/>
            <w:tcBorders>
              <w:top w:val="single" w:sz="4" w:space="0" w:color="auto"/>
              <w:left w:val="single" w:sz="4" w:space="0" w:color="auto"/>
              <w:bottom w:val="single" w:sz="4" w:space="0" w:color="auto"/>
              <w:right w:val="single" w:sz="4" w:space="0" w:color="auto"/>
            </w:tcBorders>
            <w:vAlign w:val="center"/>
          </w:tcPr>
          <w:p w14:paraId="22474D3B" w14:textId="3CFFF073" w:rsidR="00675E98" w:rsidRPr="00675E98" w:rsidRDefault="00675E98">
            <w:pPr>
              <w:spacing w:line="280" w:lineRule="exact"/>
              <w:jc w:val="center"/>
            </w:pPr>
            <w:r w:rsidRPr="00675E98">
              <w:rPr>
                <w:rFonts w:hint="eastAsia"/>
              </w:rPr>
              <w:t>厂界外耕地</w:t>
            </w:r>
          </w:p>
        </w:tc>
        <w:tc>
          <w:tcPr>
            <w:tcW w:w="1699" w:type="pct"/>
            <w:tcBorders>
              <w:top w:val="single" w:sz="4" w:space="0" w:color="auto"/>
              <w:left w:val="single" w:sz="4" w:space="0" w:color="auto"/>
              <w:bottom w:val="single" w:sz="4" w:space="0" w:color="auto"/>
              <w:right w:val="single" w:sz="4" w:space="0" w:color="auto"/>
            </w:tcBorders>
            <w:vAlign w:val="center"/>
          </w:tcPr>
          <w:p w14:paraId="28782F1B" w14:textId="2F06F6C7" w:rsidR="00675E98" w:rsidRPr="00F50C57" w:rsidRDefault="008114B5">
            <w:pPr>
              <w:spacing w:line="280" w:lineRule="exact"/>
              <w:jc w:val="center"/>
              <w:rPr>
                <w:highlight w:val="yellow"/>
              </w:rPr>
            </w:pPr>
            <w:r w:rsidRPr="008114B5">
              <w:rPr>
                <w:rFonts w:hint="eastAsia"/>
              </w:rPr>
              <w:t>厂界外</w:t>
            </w:r>
            <w:r w:rsidRPr="008114B5">
              <w:rPr>
                <w:rFonts w:hint="eastAsia"/>
              </w:rPr>
              <w:t>200m</w:t>
            </w:r>
            <w:r w:rsidRPr="008114B5">
              <w:rPr>
                <w:rFonts w:hint="eastAsia"/>
              </w:rPr>
              <w:t>范围内</w:t>
            </w:r>
          </w:p>
        </w:tc>
        <w:tc>
          <w:tcPr>
            <w:tcW w:w="2563" w:type="pct"/>
            <w:tcBorders>
              <w:left w:val="single" w:sz="4" w:space="0" w:color="auto"/>
            </w:tcBorders>
            <w:vAlign w:val="center"/>
          </w:tcPr>
          <w:p w14:paraId="25B3F534" w14:textId="60FAB6BE" w:rsidR="00675E98" w:rsidRDefault="00675E98">
            <w:pPr>
              <w:spacing w:line="280" w:lineRule="exact"/>
              <w:jc w:val="center"/>
            </w:pPr>
            <w:r w:rsidRPr="00675E98">
              <w:rPr>
                <w:rFonts w:hint="eastAsia"/>
              </w:rPr>
              <w:t>《土壤环境质量农用地土壤污染风险管控标准（试行）》（</w:t>
            </w:r>
            <w:r w:rsidRPr="00675E98">
              <w:rPr>
                <w:rFonts w:hint="eastAsia"/>
              </w:rPr>
              <w:t>GB15618-2018</w:t>
            </w:r>
            <w:r w:rsidRPr="00675E98">
              <w:rPr>
                <w:rFonts w:hint="eastAsia"/>
              </w:rPr>
              <w:t>）表</w:t>
            </w:r>
            <w:r w:rsidRPr="00675E98">
              <w:rPr>
                <w:rFonts w:hint="eastAsia"/>
              </w:rPr>
              <w:t>1</w:t>
            </w:r>
            <w:r w:rsidRPr="00675E98">
              <w:rPr>
                <w:rFonts w:hint="eastAsia"/>
              </w:rPr>
              <w:t>农用地土壤污染风险筛选值</w:t>
            </w:r>
          </w:p>
        </w:tc>
      </w:tr>
    </w:tbl>
    <w:p w14:paraId="2ED20F7F" w14:textId="77777777" w:rsidR="00606029" w:rsidRDefault="00EA5B92">
      <w:r>
        <w:br w:type="page"/>
      </w:r>
    </w:p>
    <w:p w14:paraId="55B0CB7A" w14:textId="77777777" w:rsidR="00606029" w:rsidRDefault="00606029">
      <w:pPr>
        <w:spacing w:line="280" w:lineRule="exact"/>
        <w:jc w:val="center"/>
        <w:sectPr w:rsidR="00606029" w:rsidSect="004C47D8">
          <w:pgSz w:w="16838" w:h="11905" w:orient="landscape"/>
          <w:pgMar w:top="1474" w:right="1417" w:bottom="1474" w:left="1417" w:header="850" w:footer="850" w:gutter="113"/>
          <w:cols w:space="0"/>
          <w:docGrid w:linePitch="312"/>
        </w:sectPr>
      </w:pPr>
    </w:p>
    <w:p w14:paraId="7A7AFDB4" w14:textId="77777777" w:rsidR="00606029" w:rsidRDefault="00EA5B92">
      <w:pPr>
        <w:pStyle w:val="1"/>
        <w:jc w:val="center"/>
      </w:pPr>
      <w:bookmarkStart w:id="73" w:name="_Toc1714"/>
      <w:bookmarkStart w:id="74" w:name="_Toc6976"/>
      <w:bookmarkStart w:id="75" w:name="_Toc220680458"/>
      <w:r>
        <w:lastRenderedPageBreak/>
        <w:t>第二章</w:t>
      </w:r>
      <w:r>
        <w:t xml:space="preserve">  </w:t>
      </w:r>
      <w:r>
        <w:t>概况及工程分析</w:t>
      </w:r>
      <w:bookmarkEnd w:id="73"/>
      <w:bookmarkEnd w:id="74"/>
      <w:bookmarkEnd w:id="75"/>
    </w:p>
    <w:p w14:paraId="5B63E24B" w14:textId="1BE60426" w:rsidR="00606029" w:rsidRPr="00FF026F" w:rsidRDefault="00EA5B92">
      <w:pPr>
        <w:pStyle w:val="2"/>
      </w:pPr>
      <w:bookmarkStart w:id="76" w:name="_Toc220680459"/>
      <w:r w:rsidRPr="00FF026F">
        <w:t>2.1</w:t>
      </w:r>
      <w:r w:rsidRPr="00FF026F">
        <w:t>现有</w:t>
      </w:r>
      <w:r w:rsidR="002D0934" w:rsidRPr="00FF026F">
        <w:rPr>
          <w:rFonts w:hint="eastAsia"/>
        </w:rPr>
        <w:t>工程</w:t>
      </w:r>
      <w:r w:rsidRPr="00FF026F">
        <w:t>回顾分析</w:t>
      </w:r>
      <w:bookmarkEnd w:id="76"/>
    </w:p>
    <w:p w14:paraId="21ED337C" w14:textId="63D9045D" w:rsidR="00606029" w:rsidRPr="00261F7E" w:rsidRDefault="00EA5B92" w:rsidP="008D2918">
      <w:pPr>
        <w:pStyle w:val="affffff4"/>
        <w:rPr>
          <w:highlight w:val="yellow"/>
        </w:rPr>
      </w:pPr>
      <w:r w:rsidRPr="00FF026F">
        <w:rPr>
          <w:szCs w:val="22"/>
        </w:rPr>
        <w:t>20</w:t>
      </w:r>
      <w:r w:rsidR="00487EFD" w:rsidRPr="00FF026F">
        <w:rPr>
          <w:rFonts w:hint="eastAsia"/>
          <w:szCs w:val="22"/>
        </w:rPr>
        <w:t>24</w:t>
      </w:r>
      <w:r w:rsidRPr="00FF026F">
        <w:rPr>
          <w:szCs w:val="22"/>
        </w:rPr>
        <w:t>年</w:t>
      </w:r>
      <w:r w:rsidR="00487EFD" w:rsidRPr="00FF026F">
        <w:rPr>
          <w:rFonts w:hint="eastAsia"/>
          <w:szCs w:val="22"/>
        </w:rPr>
        <w:t>3</w:t>
      </w:r>
      <w:r w:rsidRPr="00FF026F">
        <w:rPr>
          <w:szCs w:val="22"/>
        </w:rPr>
        <w:t>月</w:t>
      </w:r>
      <w:r w:rsidR="004E5FFD" w:rsidRPr="00FF026F">
        <w:rPr>
          <w:szCs w:val="22"/>
        </w:rPr>
        <w:t>大庆</w:t>
      </w:r>
      <w:r w:rsidR="00487EFD" w:rsidRPr="00FF026F">
        <w:rPr>
          <w:rFonts w:hint="eastAsia"/>
          <w:szCs w:val="22"/>
        </w:rPr>
        <w:t>城控电力有限公司</w:t>
      </w:r>
      <w:r w:rsidR="00487EFD" w:rsidRPr="00487EFD">
        <w:rPr>
          <w:rFonts w:hint="eastAsia"/>
          <w:szCs w:val="22"/>
        </w:rPr>
        <w:t>全部完成在线系统验收工作，并与监管部门联</w:t>
      </w:r>
      <w:r w:rsidR="00487EFD" w:rsidRPr="008D2918">
        <w:rPr>
          <w:rFonts w:hint="eastAsia"/>
          <w:szCs w:val="22"/>
        </w:rPr>
        <w:t>网</w:t>
      </w:r>
      <w:r w:rsidRPr="008D2918">
        <w:rPr>
          <w:szCs w:val="22"/>
        </w:rPr>
        <w:t>，</w:t>
      </w:r>
      <w:r w:rsidR="008D2918" w:rsidRPr="008D2918">
        <w:rPr>
          <w:rFonts w:hint="eastAsia"/>
          <w:szCs w:val="22"/>
        </w:rPr>
        <w:t>一期主要建设工程</w:t>
      </w:r>
      <w:r w:rsidR="008D2918" w:rsidRPr="008D2918">
        <w:rPr>
          <w:rFonts w:hint="eastAsia"/>
          <w:szCs w:val="22"/>
        </w:rPr>
        <w:t>3</w:t>
      </w:r>
      <w:r w:rsidR="008D2918" w:rsidRPr="008D2918">
        <w:rPr>
          <w:rFonts w:hint="eastAsia"/>
          <w:szCs w:val="22"/>
        </w:rPr>
        <w:t>×</w:t>
      </w:r>
      <w:r w:rsidR="008D2918" w:rsidRPr="008D2918">
        <w:rPr>
          <w:rFonts w:hint="eastAsia"/>
          <w:szCs w:val="22"/>
        </w:rPr>
        <w:t>500t/h</w:t>
      </w:r>
      <w:r w:rsidR="008D2918" w:rsidRPr="008D2918">
        <w:rPr>
          <w:rFonts w:hint="eastAsia"/>
          <w:szCs w:val="22"/>
        </w:rPr>
        <w:t>机械炉排炉（机械炉排型焚烧炉），</w:t>
      </w:r>
      <w:r w:rsidR="008D2918" w:rsidRPr="008D2918">
        <w:rPr>
          <w:rFonts w:hint="eastAsia"/>
          <w:szCs w:val="22"/>
        </w:rPr>
        <w:t>2</w:t>
      </w:r>
      <w:r w:rsidR="008D2918" w:rsidRPr="008D2918">
        <w:rPr>
          <w:rFonts w:hint="eastAsia"/>
          <w:szCs w:val="22"/>
        </w:rPr>
        <w:t>×</w:t>
      </w:r>
      <w:r w:rsidR="008D2918" w:rsidRPr="008D2918">
        <w:rPr>
          <w:rFonts w:hint="eastAsia"/>
          <w:szCs w:val="22"/>
        </w:rPr>
        <w:t>15MW</w:t>
      </w:r>
      <w:r w:rsidR="008D2918" w:rsidRPr="008D2918">
        <w:rPr>
          <w:rFonts w:hint="eastAsia"/>
          <w:szCs w:val="22"/>
        </w:rPr>
        <w:t>凝汽式发电机组（年发电量为</w:t>
      </w:r>
      <w:r w:rsidR="008D2918" w:rsidRPr="008D2918">
        <w:rPr>
          <w:rFonts w:hint="eastAsia"/>
          <w:szCs w:val="22"/>
        </w:rPr>
        <w:t>19838</w:t>
      </w:r>
      <w:r w:rsidR="008D2918" w:rsidRPr="008D2918">
        <w:rPr>
          <w:rFonts w:hint="eastAsia"/>
          <w:szCs w:val="22"/>
        </w:rPr>
        <w:t>万度，上网电量为</w:t>
      </w:r>
      <w:r w:rsidR="008D2918" w:rsidRPr="008D2918">
        <w:rPr>
          <w:rFonts w:hint="eastAsia"/>
          <w:szCs w:val="22"/>
        </w:rPr>
        <w:t>16267</w:t>
      </w:r>
      <w:r w:rsidR="008D2918" w:rsidRPr="008D2918">
        <w:rPr>
          <w:rFonts w:hint="eastAsia"/>
          <w:szCs w:val="22"/>
        </w:rPr>
        <w:t>万度），</w:t>
      </w:r>
      <w:r w:rsidR="008D2918" w:rsidRPr="008D2918">
        <w:rPr>
          <w:rFonts w:hint="eastAsia"/>
          <w:szCs w:val="22"/>
        </w:rPr>
        <w:t>3</w:t>
      </w:r>
      <w:r w:rsidR="008D2918" w:rsidRPr="008D2918">
        <w:rPr>
          <w:rFonts w:hint="eastAsia"/>
          <w:szCs w:val="22"/>
        </w:rPr>
        <w:t>台中温中压余热锅炉，卸料大厅、垃圾运输通道、垃圾池、渗滤液收集池、渗滤液处理站、生产废水处理站、地埋式生活污水治理设施、实验室、飞灰固化车间、石灰仓、活性炭仓等储运工程，以及</w:t>
      </w:r>
      <w:r w:rsidR="008D2918" w:rsidRPr="008D2918">
        <w:rPr>
          <w:rFonts w:hint="eastAsia"/>
          <w:szCs w:val="22"/>
        </w:rPr>
        <w:t>3</w:t>
      </w:r>
      <w:r w:rsidR="008D2918" w:rsidRPr="008D2918">
        <w:rPr>
          <w:rFonts w:hint="eastAsia"/>
          <w:szCs w:val="22"/>
        </w:rPr>
        <w:t>套焚烧炉烟气处理系统、废气在线监测系统。二期工程为建设一座污泥处置间（包含三条干化生产线）及配套环保工程（污泥废水处理站及恶臭处理系统等）。</w:t>
      </w:r>
    </w:p>
    <w:p w14:paraId="23DCE687" w14:textId="760D1DFB" w:rsidR="00606029" w:rsidRPr="001F425E" w:rsidRDefault="00EA5B92">
      <w:pPr>
        <w:pStyle w:val="3"/>
      </w:pPr>
      <w:bookmarkStart w:id="77" w:name="_Toc220680460"/>
      <w:r w:rsidRPr="001F425E">
        <w:t>2.1.1</w:t>
      </w:r>
      <w:r w:rsidRPr="001F425E">
        <w:t>现有</w:t>
      </w:r>
      <w:r w:rsidR="00012EFF">
        <w:rPr>
          <w:rFonts w:hint="eastAsia"/>
        </w:rPr>
        <w:t>工程</w:t>
      </w:r>
      <w:r w:rsidRPr="001F425E">
        <w:t>概况</w:t>
      </w:r>
      <w:bookmarkEnd w:id="77"/>
    </w:p>
    <w:p w14:paraId="6C8491A5" w14:textId="24E165DA" w:rsidR="00606029" w:rsidRPr="001F425E" w:rsidRDefault="00EA5B92">
      <w:pPr>
        <w:pStyle w:val="affffff4"/>
      </w:pPr>
      <w:r w:rsidRPr="001F425E">
        <w:t>根据现场调查，现有工程组成见下表。</w:t>
      </w:r>
    </w:p>
    <w:p w14:paraId="34D46785" w14:textId="164C0B07" w:rsidR="00606029" w:rsidRPr="001F425E" w:rsidRDefault="00EA5B92">
      <w:pPr>
        <w:pStyle w:val="affffff5"/>
      </w:pPr>
      <w:r w:rsidRPr="001F425E">
        <w:t>表</w:t>
      </w:r>
      <w:r w:rsidRPr="001F425E">
        <w:t xml:space="preserve"> 2.1-1 </w:t>
      </w:r>
      <w:r w:rsidRPr="001F425E">
        <w:t>现有工程主要建设内容一览表</w:t>
      </w:r>
    </w:p>
    <w:tbl>
      <w:tblPr>
        <w:tblStyle w:val="TableNormal"/>
        <w:tblW w:w="5000" w:type="pct"/>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4"/>
        <w:gridCol w:w="1177"/>
        <w:gridCol w:w="7193"/>
      </w:tblGrid>
      <w:tr w:rsidR="00606029" w:rsidRPr="00261F7E" w14:paraId="47809BD3" w14:textId="77777777" w:rsidTr="005E3021">
        <w:trPr>
          <w:trHeight w:val="57"/>
          <w:jc w:val="center"/>
        </w:trPr>
        <w:tc>
          <w:tcPr>
            <w:tcW w:w="263" w:type="pct"/>
            <w:vAlign w:val="center"/>
          </w:tcPr>
          <w:p w14:paraId="53942777" w14:textId="77777777" w:rsidR="00606029" w:rsidRPr="001F425E" w:rsidRDefault="00EA5B92" w:rsidP="005E3021">
            <w:pPr>
              <w:spacing w:line="280" w:lineRule="exact"/>
              <w:jc w:val="center"/>
            </w:pPr>
            <w:r w:rsidRPr="001F425E">
              <w:t>项</w:t>
            </w:r>
            <w:r w:rsidRPr="005E3021">
              <w:t>目</w:t>
            </w:r>
          </w:p>
        </w:tc>
        <w:tc>
          <w:tcPr>
            <w:tcW w:w="666" w:type="pct"/>
            <w:vAlign w:val="center"/>
          </w:tcPr>
          <w:p w14:paraId="75BAEB60" w14:textId="514D5D1C" w:rsidR="00606029" w:rsidRPr="001F425E" w:rsidRDefault="00EA5B92" w:rsidP="005E3021">
            <w:pPr>
              <w:spacing w:line="280" w:lineRule="exact"/>
              <w:jc w:val="center"/>
            </w:pPr>
            <w:r w:rsidRPr="001F425E">
              <w:t>名称</w:t>
            </w:r>
          </w:p>
        </w:tc>
        <w:tc>
          <w:tcPr>
            <w:tcW w:w="4071" w:type="pct"/>
            <w:vAlign w:val="center"/>
          </w:tcPr>
          <w:p w14:paraId="1EE4B857" w14:textId="77777777" w:rsidR="00606029" w:rsidRPr="001F425E" w:rsidRDefault="00EA5B92" w:rsidP="005E3021">
            <w:pPr>
              <w:spacing w:line="280" w:lineRule="exact"/>
              <w:jc w:val="center"/>
            </w:pPr>
            <w:r w:rsidRPr="001F425E">
              <w:t>建设内容</w:t>
            </w:r>
          </w:p>
        </w:tc>
      </w:tr>
      <w:tr w:rsidR="001F425E" w:rsidRPr="00261F7E" w14:paraId="35F52F0E" w14:textId="77777777" w:rsidTr="005E3021">
        <w:trPr>
          <w:trHeight w:val="57"/>
          <w:jc w:val="center"/>
        </w:trPr>
        <w:tc>
          <w:tcPr>
            <w:tcW w:w="263" w:type="pct"/>
            <w:vMerge w:val="restart"/>
            <w:vAlign w:val="center"/>
          </w:tcPr>
          <w:p w14:paraId="2BE6CCAA" w14:textId="77777777" w:rsidR="001F425E" w:rsidRPr="001F425E" w:rsidRDefault="001F425E" w:rsidP="005E3021">
            <w:pPr>
              <w:spacing w:line="280" w:lineRule="exact"/>
              <w:jc w:val="center"/>
            </w:pPr>
            <w:r w:rsidRPr="001F425E">
              <w:t>主体工程</w:t>
            </w:r>
          </w:p>
        </w:tc>
        <w:tc>
          <w:tcPr>
            <w:tcW w:w="666" w:type="pct"/>
            <w:vAlign w:val="center"/>
          </w:tcPr>
          <w:p w14:paraId="50465585" w14:textId="77777777" w:rsidR="001F425E" w:rsidRPr="001F425E" w:rsidRDefault="001F425E" w:rsidP="005E3021">
            <w:pPr>
              <w:spacing w:line="280" w:lineRule="exact"/>
              <w:jc w:val="center"/>
            </w:pPr>
            <w:r w:rsidRPr="001F425E">
              <w:t>工程总用地面积</w:t>
            </w:r>
          </w:p>
        </w:tc>
        <w:tc>
          <w:tcPr>
            <w:tcW w:w="4071" w:type="pct"/>
            <w:vAlign w:val="center"/>
          </w:tcPr>
          <w:p w14:paraId="354BBF43" w14:textId="7519E01E" w:rsidR="001F425E" w:rsidRPr="001F425E" w:rsidRDefault="001F425E" w:rsidP="005E3021">
            <w:pPr>
              <w:spacing w:line="280" w:lineRule="exact"/>
              <w:jc w:val="center"/>
            </w:pPr>
            <w:r w:rsidRPr="001F425E">
              <w:t>用地总面积约</w:t>
            </w:r>
            <w:r w:rsidRPr="001F425E">
              <w:t>99051.05m</w:t>
            </w:r>
            <w:r w:rsidRPr="00F82444">
              <w:rPr>
                <w:vertAlign w:val="superscript"/>
              </w:rPr>
              <w:t>2</w:t>
            </w:r>
          </w:p>
        </w:tc>
      </w:tr>
      <w:tr w:rsidR="001F425E" w:rsidRPr="00261F7E" w14:paraId="53A8086F" w14:textId="77777777" w:rsidTr="005E3021">
        <w:trPr>
          <w:trHeight w:val="57"/>
          <w:jc w:val="center"/>
        </w:trPr>
        <w:tc>
          <w:tcPr>
            <w:tcW w:w="263" w:type="pct"/>
            <w:vMerge/>
            <w:vAlign w:val="center"/>
          </w:tcPr>
          <w:p w14:paraId="1A1AEB07" w14:textId="77777777" w:rsidR="001F425E" w:rsidRPr="001F425E" w:rsidRDefault="001F425E" w:rsidP="005E3021">
            <w:pPr>
              <w:spacing w:line="280" w:lineRule="exact"/>
              <w:jc w:val="center"/>
            </w:pPr>
          </w:p>
        </w:tc>
        <w:tc>
          <w:tcPr>
            <w:tcW w:w="666" w:type="pct"/>
            <w:vAlign w:val="center"/>
          </w:tcPr>
          <w:p w14:paraId="15B73533" w14:textId="2EA2BC5A" w:rsidR="001F425E" w:rsidRPr="001F425E" w:rsidRDefault="001F425E" w:rsidP="005E3021">
            <w:pPr>
              <w:pStyle w:val="TableText"/>
              <w:spacing w:line="280" w:lineRule="exact"/>
              <w:jc w:val="center"/>
              <w:rPr>
                <w:rFonts w:ascii="Times New Roman" w:hAnsi="Times New Roman" w:cs="Times New Roman"/>
                <w:lang w:eastAsia="zh-CN"/>
              </w:rPr>
            </w:pPr>
            <w:r w:rsidRPr="005E3021">
              <w:rPr>
                <w:rFonts w:ascii="Times New Roman" w:hAnsi="Times New Roman" w:cs="Times New Roman"/>
                <w:lang w:eastAsia="zh-CN"/>
              </w:rPr>
              <w:t>垃圾焚烧炉</w:t>
            </w:r>
          </w:p>
        </w:tc>
        <w:tc>
          <w:tcPr>
            <w:tcW w:w="4071" w:type="pct"/>
            <w:vAlign w:val="center"/>
          </w:tcPr>
          <w:p w14:paraId="3080AE36" w14:textId="4052F530" w:rsidR="001F425E" w:rsidRPr="001F425E" w:rsidRDefault="00F82444" w:rsidP="00F82444">
            <w:pPr>
              <w:pStyle w:val="TableText"/>
              <w:spacing w:line="280" w:lineRule="exact"/>
              <w:jc w:val="left"/>
              <w:rPr>
                <w:rFonts w:ascii="Times New Roman" w:hAnsi="Times New Roman" w:cs="Times New Roman"/>
                <w:lang w:eastAsia="zh-CN"/>
              </w:rPr>
            </w:pPr>
            <w:r>
              <w:rPr>
                <w:rFonts w:ascii="Times New Roman" w:hAnsi="Times New Roman" w:cs="Times New Roman" w:hint="eastAsia"/>
                <w:lang w:eastAsia="zh-CN"/>
              </w:rPr>
              <w:t>现有工程已建</w:t>
            </w:r>
            <w:r w:rsidR="001F425E" w:rsidRPr="005E3021">
              <w:rPr>
                <w:rFonts w:ascii="Times New Roman" w:hAnsi="Times New Roman" w:cs="Times New Roman"/>
                <w:lang w:eastAsia="zh-CN"/>
              </w:rPr>
              <w:t>3</w:t>
            </w:r>
            <w:r w:rsidR="001F425E" w:rsidRPr="005E3021">
              <w:rPr>
                <w:rFonts w:ascii="Times New Roman" w:hAnsi="Times New Roman" w:cs="Times New Roman"/>
                <w:lang w:eastAsia="zh-CN"/>
              </w:rPr>
              <w:t>台</w:t>
            </w:r>
            <w:r w:rsidR="001F425E" w:rsidRPr="005E3021">
              <w:rPr>
                <w:rFonts w:ascii="Times New Roman" w:hAnsi="Times New Roman" w:cs="Times New Roman"/>
                <w:lang w:eastAsia="zh-CN"/>
              </w:rPr>
              <w:t>500t/d</w:t>
            </w:r>
            <w:r w:rsidR="001F425E" w:rsidRPr="005E3021">
              <w:rPr>
                <w:rFonts w:ascii="Times New Roman" w:hAnsi="Times New Roman" w:cs="Times New Roman"/>
                <w:lang w:eastAsia="zh-CN"/>
              </w:rPr>
              <w:t>机械炉排炉（机械炉排型焚烧炉）</w:t>
            </w:r>
            <w:r w:rsidR="001F425E" w:rsidRPr="005E3021">
              <w:rPr>
                <w:rFonts w:ascii="Times New Roman" w:hAnsi="Times New Roman" w:cs="Times New Roman" w:hint="eastAsia"/>
                <w:lang w:eastAsia="zh-CN"/>
              </w:rPr>
              <w:t>，</w:t>
            </w:r>
            <w:r w:rsidR="001F425E" w:rsidRPr="005E3021">
              <w:rPr>
                <w:rFonts w:ascii="Times New Roman" w:hAnsi="Times New Roman" w:cs="Times New Roman"/>
                <w:lang w:eastAsia="zh-CN"/>
              </w:rPr>
              <w:t>年焚烧垃圾</w:t>
            </w:r>
            <w:r w:rsidR="001F425E" w:rsidRPr="005E3021">
              <w:rPr>
                <w:rFonts w:ascii="Times New Roman" w:hAnsi="Times New Roman" w:cs="Times New Roman"/>
                <w:lang w:eastAsia="zh-CN"/>
              </w:rPr>
              <w:t>54.75</w:t>
            </w:r>
            <w:r w:rsidR="001F425E" w:rsidRPr="005E3021">
              <w:rPr>
                <w:rFonts w:ascii="Times New Roman" w:hAnsi="Times New Roman" w:cs="Times New Roman"/>
                <w:lang w:eastAsia="zh-CN"/>
              </w:rPr>
              <w:t>万吨。</w:t>
            </w:r>
          </w:p>
        </w:tc>
      </w:tr>
      <w:tr w:rsidR="001F425E" w:rsidRPr="00261F7E" w14:paraId="639C319F" w14:textId="77777777" w:rsidTr="005E3021">
        <w:trPr>
          <w:trHeight w:val="57"/>
          <w:jc w:val="center"/>
        </w:trPr>
        <w:tc>
          <w:tcPr>
            <w:tcW w:w="263" w:type="pct"/>
            <w:vMerge/>
            <w:vAlign w:val="center"/>
          </w:tcPr>
          <w:p w14:paraId="6C3407F0" w14:textId="77777777" w:rsidR="001F425E" w:rsidRPr="005E3021" w:rsidRDefault="001F425E" w:rsidP="005E3021">
            <w:pPr>
              <w:spacing w:line="280" w:lineRule="exact"/>
              <w:jc w:val="center"/>
            </w:pPr>
          </w:p>
        </w:tc>
        <w:tc>
          <w:tcPr>
            <w:tcW w:w="666" w:type="pct"/>
            <w:vAlign w:val="center"/>
          </w:tcPr>
          <w:p w14:paraId="23216C37" w14:textId="06C6AF42" w:rsidR="001F425E" w:rsidRPr="005E3021" w:rsidRDefault="001F425E" w:rsidP="005E3021">
            <w:pPr>
              <w:pStyle w:val="TableText"/>
              <w:spacing w:line="280" w:lineRule="exact"/>
              <w:jc w:val="center"/>
              <w:rPr>
                <w:rFonts w:ascii="Times New Roman" w:hAnsi="Times New Roman" w:cs="Times New Roman"/>
                <w:lang w:eastAsia="zh-CN"/>
              </w:rPr>
            </w:pPr>
            <w:r w:rsidRPr="005E3021">
              <w:rPr>
                <w:rFonts w:ascii="Times New Roman" w:hAnsi="Times New Roman" w:cs="Times New Roman"/>
                <w:lang w:eastAsia="zh-CN"/>
              </w:rPr>
              <w:t>余热锅炉</w:t>
            </w:r>
          </w:p>
        </w:tc>
        <w:tc>
          <w:tcPr>
            <w:tcW w:w="4071" w:type="pct"/>
            <w:vAlign w:val="center"/>
          </w:tcPr>
          <w:p w14:paraId="54412E5B" w14:textId="685CF5C4" w:rsidR="001F425E" w:rsidRPr="005E3021" w:rsidRDefault="00F82444" w:rsidP="00F82444">
            <w:pPr>
              <w:pStyle w:val="TableText"/>
              <w:spacing w:line="280" w:lineRule="exact"/>
              <w:jc w:val="left"/>
              <w:rPr>
                <w:rFonts w:ascii="Times New Roman" w:hAnsi="Times New Roman" w:cs="Times New Roman"/>
                <w:lang w:eastAsia="zh-CN"/>
              </w:rPr>
            </w:pPr>
            <w:r>
              <w:rPr>
                <w:rFonts w:ascii="Times New Roman" w:hAnsi="Times New Roman" w:cs="Times New Roman" w:hint="eastAsia"/>
                <w:lang w:eastAsia="zh-CN"/>
              </w:rPr>
              <w:t>现有工程已建</w:t>
            </w:r>
            <w:r w:rsidR="001F425E" w:rsidRPr="005E3021">
              <w:rPr>
                <w:rFonts w:ascii="Times New Roman" w:hAnsi="Times New Roman" w:cs="Times New Roman"/>
                <w:lang w:eastAsia="zh-CN"/>
              </w:rPr>
              <w:t>3</w:t>
            </w:r>
            <w:r w:rsidR="001F425E" w:rsidRPr="005E3021">
              <w:rPr>
                <w:rFonts w:ascii="Times New Roman" w:hAnsi="Times New Roman" w:cs="Times New Roman"/>
                <w:lang w:eastAsia="zh-CN"/>
              </w:rPr>
              <w:t>台中温中压余热锅炉，蒸汽参数</w:t>
            </w:r>
            <w:r w:rsidR="001F425E" w:rsidRPr="005E3021">
              <w:rPr>
                <w:rFonts w:ascii="Times New Roman" w:hAnsi="Times New Roman" w:cs="Times New Roman"/>
                <w:lang w:eastAsia="zh-CN"/>
              </w:rPr>
              <w:t>4.0MPa</w:t>
            </w:r>
            <w:r w:rsidR="001F425E" w:rsidRPr="005E3021">
              <w:rPr>
                <w:rFonts w:ascii="Times New Roman" w:hAnsi="Times New Roman" w:cs="Times New Roman"/>
                <w:lang w:eastAsia="zh-CN"/>
              </w:rPr>
              <w:t>，</w:t>
            </w:r>
            <w:r w:rsidR="001F425E" w:rsidRPr="005E3021">
              <w:rPr>
                <w:rFonts w:ascii="Times New Roman" w:hAnsi="Times New Roman" w:cs="Times New Roman"/>
                <w:lang w:eastAsia="zh-CN"/>
              </w:rPr>
              <w:t>400℃</w:t>
            </w:r>
            <w:r w:rsidR="001F425E" w:rsidRPr="005E3021">
              <w:rPr>
                <w:rFonts w:ascii="Times New Roman" w:hAnsi="Times New Roman" w:cs="Times New Roman" w:hint="eastAsia"/>
                <w:lang w:eastAsia="zh-CN"/>
              </w:rPr>
              <w:t>；</w:t>
            </w:r>
            <w:r w:rsidR="001F425E" w:rsidRPr="005E3021">
              <w:rPr>
                <w:rFonts w:ascii="Times New Roman" w:hAnsi="Times New Roman" w:cs="Times New Roman"/>
                <w:lang w:eastAsia="zh-CN"/>
              </w:rPr>
              <w:t>额定单台连续蒸发量</w:t>
            </w:r>
            <w:r w:rsidR="001F425E" w:rsidRPr="005E3021">
              <w:rPr>
                <w:rFonts w:ascii="Times New Roman" w:hAnsi="Times New Roman" w:cs="Times New Roman"/>
                <w:lang w:eastAsia="zh-CN"/>
              </w:rPr>
              <w:t>45.28t/h</w:t>
            </w:r>
            <w:r w:rsidR="001F425E" w:rsidRPr="005E3021">
              <w:rPr>
                <w:rFonts w:ascii="Times New Roman" w:hAnsi="Times New Roman" w:cs="Times New Roman"/>
                <w:lang w:eastAsia="zh-CN"/>
              </w:rPr>
              <w:t>。</w:t>
            </w:r>
          </w:p>
        </w:tc>
      </w:tr>
      <w:tr w:rsidR="001F425E" w:rsidRPr="00261F7E" w14:paraId="7D832D52" w14:textId="77777777" w:rsidTr="005E3021">
        <w:trPr>
          <w:trHeight w:val="57"/>
          <w:jc w:val="center"/>
        </w:trPr>
        <w:tc>
          <w:tcPr>
            <w:tcW w:w="263" w:type="pct"/>
            <w:vMerge/>
            <w:vAlign w:val="center"/>
          </w:tcPr>
          <w:p w14:paraId="70587AB7" w14:textId="77777777" w:rsidR="001F425E" w:rsidRPr="005E3021" w:rsidRDefault="001F425E" w:rsidP="005E3021">
            <w:pPr>
              <w:spacing w:line="280" w:lineRule="exact"/>
              <w:jc w:val="center"/>
            </w:pPr>
          </w:p>
        </w:tc>
        <w:tc>
          <w:tcPr>
            <w:tcW w:w="666" w:type="pct"/>
            <w:vAlign w:val="center"/>
          </w:tcPr>
          <w:p w14:paraId="0D68AA02" w14:textId="0F3E39D1" w:rsidR="001F425E" w:rsidRPr="005E3021" w:rsidRDefault="001F425E" w:rsidP="005E3021">
            <w:pPr>
              <w:pStyle w:val="TableText"/>
              <w:spacing w:line="280" w:lineRule="exact"/>
              <w:jc w:val="center"/>
              <w:rPr>
                <w:rFonts w:ascii="Times New Roman" w:hAnsi="Times New Roman" w:cs="Times New Roman"/>
                <w:lang w:eastAsia="zh-CN"/>
              </w:rPr>
            </w:pPr>
            <w:r w:rsidRPr="005E3021">
              <w:rPr>
                <w:rFonts w:ascii="Times New Roman" w:hAnsi="Times New Roman" w:cs="Times New Roman"/>
                <w:lang w:eastAsia="zh-CN"/>
              </w:rPr>
              <w:t>汽轮发电机组</w:t>
            </w:r>
          </w:p>
        </w:tc>
        <w:tc>
          <w:tcPr>
            <w:tcW w:w="4071" w:type="pct"/>
            <w:vAlign w:val="center"/>
          </w:tcPr>
          <w:p w14:paraId="034EB505" w14:textId="35728A17" w:rsidR="001F425E" w:rsidRPr="005E3021" w:rsidRDefault="00F82444" w:rsidP="00F82444">
            <w:pPr>
              <w:pStyle w:val="TableText"/>
              <w:spacing w:line="280" w:lineRule="exact"/>
              <w:jc w:val="left"/>
              <w:rPr>
                <w:rFonts w:ascii="Times New Roman" w:hAnsi="Times New Roman" w:cs="Times New Roman"/>
                <w:lang w:eastAsia="zh-CN"/>
              </w:rPr>
            </w:pPr>
            <w:r>
              <w:rPr>
                <w:rFonts w:ascii="Times New Roman" w:hAnsi="Times New Roman" w:cs="Times New Roman" w:hint="eastAsia"/>
                <w:lang w:eastAsia="zh-CN"/>
              </w:rPr>
              <w:t>现有工程已建</w:t>
            </w:r>
            <w:r w:rsidR="001F425E" w:rsidRPr="005E3021">
              <w:rPr>
                <w:rFonts w:ascii="Times New Roman" w:hAnsi="Times New Roman" w:cs="Times New Roman"/>
                <w:lang w:eastAsia="zh-CN"/>
              </w:rPr>
              <w:t>2</w:t>
            </w:r>
            <w:r w:rsidR="001F425E" w:rsidRPr="005E3021">
              <w:rPr>
                <w:rFonts w:ascii="Times New Roman" w:hAnsi="Times New Roman" w:cs="Times New Roman"/>
                <w:lang w:eastAsia="zh-CN"/>
              </w:rPr>
              <w:t>台装机容量为</w:t>
            </w:r>
            <w:r w:rsidR="001F425E" w:rsidRPr="005E3021">
              <w:rPr>
                <w:rFonts w:ascii="Times New Roman" w:hAnsi="Times New Roman" w:cs="Times New Roman"/>
                <w:lang w:eastAsia="zh-CN"/>
              </w:rPr>
              <w:t>15MW</w:t>
            </w:r>
            <w:r w:rsidR="001F425E" w:rsidRPr="005E3021">
              <w:rPr>
                <w:rFonts w:ascii="Times New Roman" w:hAnsi="Times New Roman" w:cs="Times New Roman"/>
                <w:lang w:eastAsia="zh-CN"/>
              </w:rPr>
              <w:t>的中温中压凝汽汽轮发电机组。年发电量为</w:t>
            </w:r>
            <w:r w:rsidR="001F425E" w:rsidRPr="005E3021">
              <w:rPr>
                <w:rFonts w:ascii="Times New Roman" w:hAnsi="Times New Roman" w:cs="Times New Roman"/>
                <w:lang w:eastAsia="zh-CN"/>
              </w:rPr>
              <w:t>19838</w:t>
            </w:r>
            <w:r w:rsidR="001F425E" w:rsidRPr="005E3021">
              <w:rPr>
                <w:rFonts w:ascii="Times New Roman" w:hAnsi="Times New Roman" w:cs="Times New Roman"/>
                <w:lang w:eastAsia="zh-CN"/>
              </w:rPr>
              <w:t>万度，上网电量为</w:t>
            </w:r>
            <w:r w:rsidR="001F425E" w:rsidRPr="005E3021">
              <w:rPr>
                <w:rFonts w:ascii="Times New Roman" w:hAnsi="Times New Roman" w:cs="Times New Roman"/>
                <w:lang w:eastAsia="zh-CN"/>
              </w:rPr>
              <w:t>16267</w:t>
            </w:r>
            <w:r w:rsidR="001F425E" w:rsidRPr="005E3021">
              <w:rPr>
                <w:rFonts w:ascii="Times New Roman" w:hAnsi="Times New Roman" w:cs="Times New Roman"/>
                <w:lang w:eastAsia="zh-CN"/>
              </w:rPr>
              <w:t>万度。</w:t>
            </w:r>
          </w:p>
        </w:tc>
      </w:tr>
      <w:tr w:rsidR="001F425E" w:rsidRPr="00261F7E" w14:paraId="4FA3B081" w14:textId="77777777" w:rsidTr="005E3021">
        <w:trPr>
          <w:trHeight w:val="57"/>
          <w:jc w:val="center"/>
        </w:trPr>
        <w:tc>
          <w:tcPr>
            <w:tcW w:w="263" w:type="pct"/>
            <w:vMerge/>
            <w:vAlign w:val="center"/>
          </w:tcPr>
          <w:p w14:paraId="2E52BE6E" w14:textId="77777777" w:rsidR="001F425E" w:rsidRPr="005E3021" w:rsidRDefault="001F425E" w:rsidP="005E3021">
            <w:pPr>
              <w:spacing w:line="280" w:lineRule="exact"/>
              <w:jc w:val="center"/>
            </w:pPr>
          </w:p>
        </w:tc>
        <w:tc>
          <w:tcPr>
            <w:tcW w:w="666" w:type="pct"/>
            <w:vAlign w:val="center"/>
          </w:tcPr>
          <w:p w14:paraId="376060D2" w14:textId="07BF4C56" w:rsidR="001F425E" w:rsidRPr="005E3021" w:rsidRDefault="001F425E" w:rsidP="005E3021">
            <w:pPr>
              <w:pStyle w:val="TableText"/>
              <w:spacing w:line="280" w:lineRule="exact"/>
              <w:jc w:val="center"/>
              <w:rPr>
                <w:rFonts w:ascii="Times New Roman" w:hAnsi="Times New Roman" w:cs="Times New Roman"/>
                <w:lang w:eastAsia="zh-CN"/>
              </w:rPr>
            </w:pPr>
            <w:r w:rsidRPr="005E3021">
              <w:rPr>
                <w:rFonts w:ascii="Times New Roman" w:hAnsi="Times New Roman" w:cs="Times New Roman"/>
                <w:lang w:eastAsia="zh-CN"/>
              </w:rPr>
              <w:t>垃圾卸料大厅</w:t>
            </w:r>
          </w:p>
        </w:tc>
        <w:tc>
          <w:tcPr>
            <w:tcW w:w="4071" w:type="pct"/>
            <w:vAlign w:val="center"/>
          </w:tcPr>
          <w:p w14:paraId="076F307C" w14:textId="165EB4DB" w:rsidR="001F425E" w:rsidRPr="005E3021" w:rsidRDefault="001F425E" w:rsidP="00F82444">
            <w:pPr>
              <w:pStyle w:val="TableText"/>
              <w:spacing w:line="280" w:lineRule="exact"/>
              <w:jc w:val="left"/>
              <w:rPr>
                <w:rFonts w:ascii="Times New Roman" w:hAnsi="Times New Roman" w:cs="Times New Roman"/>
                <w:lang w:eastAsia="zh-CN"/>
              </w:rPr>
            </w:pPr>
            <w:r w:rsidRPr="005E3021">
              <w:rPr>
                <w:rFonts w:ascii="Times New Roman" w:hAnsi="Times New Roman" w:cs="Times New Roman"/>
                <w:lang w:eastAsia="zh-CN"/>
              </w:rPr>
              <w:t>垃圾卸料大厅采用密闭式布置，室内布置气幕机。卸料平台建设</w:t>
            </w:r>
            <w:r w:rsidRPr="005E3021">
              <w:rPr>
                <w:rFonts w:ascii="Times New Roman" w:hAnsi="Times New Roman" w:cs="Times New Roman"/>
                <w:lang w:eastAsia="zh-CN"/>
              </w:rPr>
              <w:t>4</w:t>
            </w:r>
            <w:r w:rsidRPr="005E3021">
              <w:rPr>
                <w:rFonts w:ascii="Times New Roman" w:hAnsi="Times New Roman" w:cs="Times New Roman"/>
                <w:lang w:eastAsia="zh-CN"/>
              </w:rPr>
              <w:t>座垃圾卸料门，卸料门采用气密性设计。卸料平台在宽度方向有</w:t>
            </w:r>
            <w:r w:rsidRPr="005E3021">
              <w:rPr>
                <w:rFonts w:ascii="Times New Roman" w:hAnsi="Times New Roman" w:cs="Times New Roman"/>
                <w:lang w:eastAsia="zh-CN"/>
              </w:rPr>
              <w:t>0.2%</w:t>
            </w:r>
            <w:r w:rsidRPr="005E3021">
              <w:rPr>
                <w:rFonts w:ascii="Times New Roman" w:hAnsi="Times New Roman" w:cs="Times New Roman"/>
                <w:lang w:eastAsia="zh-CN"/>
              </w:rPr>
              <w:t>坡度，坡向垃圾池侧，垃圾运输车洒落的渗滤液，经垃圾卸料门前门槛豁口流入垃圾池，再流入渗滤液收集池。</w:t>
            </w:r>
          </w:p>
        </w:tc>
      </w:tr>
      <w:tr w:rsidR="001F425E" w:rsidRPr="00261F7E" w14:paraId="450EB3D5" w14:textId="77777777" w:rsidTr="005E3021">
        <w:trPr>
          <w:trHeight w:val="57"/>
          <w:jc w:val="center"/>
        </w:trPr>
        <w:tc>
          <w:tcPr>
            <w:tcW w:w="263" w:type="pct"/>
            <w:vMerge/>
            <w:vAlign w:val="center"/>
          </w:tcPr>
          <w:p w14:paraId="22C1D9B1" w14:textId="77777777" w:rsidR="001F425E" w:rsidRPr="005E3021" w:rsidRDefault="001F425E" w:rsidP="005E3021">
            <w:pPr>
              <w:spacing w:line="280" w:lineRule="exact"/>
              <w:jc w:val="center"/>
            </w:pPr>
          </w:p>
        </w:tc>
        <w:tc>
          <w:tcPr>
            <w:tcW w:w="666" w:type="pct"/>
            <w:vAlign w:val="center"/>
          </w:tcPr>
          <w:p w14:paraId="01C919F2" w14:textId="425DCA76" w:rsidR="001F425E" w:rsidRPr="005E3021" w:rsidRDefault="001F425E" w:rsidP="005E3021">
            <w:pPr>
              <w:pStyle w:val="TableText"/>
              <w:spacing w:line="280" w:lineRule="exact"/>
              <w:jc w:val="center"/>
              <w:rPr>
                <w:rFonts w:ascii="Times New Roman" w:hAnsi="Times New Roman" w:cs="Times New Roman"/>
                <w:lang w:eastAsia="zh-CN"/>
              </w:rPr>
            </w:pPr>
            <w:r w:rsidRPr="005E3021">
              <w:rPr>
                <w:rFonts w:ascii="Times New Roman" w:hAnsi="Times New Roman" w:cs="Times New Roman"/>
                <w:lang w:eastAsia="zh-CN"/>
              </w:rPr>
              <w:t>垃圾池</w:t>
            </w:r>
          </w:p>
        </w:tc>
        <w:tc>
          <w:tcPr>
            <w:tcW w:w="4071" w:type="pct"/>
            <w:vAlign w:val="center"/>
          </w:tcPr>
          <w:p w14:paraId="1AF506B3" w14:textId="11E3BD3F" w:rsidR="001F425E" w:rsidRPr="005E3021" w:rsidRDefault="00F82444" w:rsidP="00F82444">
            <w:pPr>
              <w:pStyle w:val="TableText"/>
              <w:spacing w:line="280" w:lineRule="exact"/>
              <w:jc w:val="left"/>
              <w:rPr>
                <w:rFonts w:ascii="Times New Roman" w:hAnsi="Times New Roman" w:cs="Times New Roman"/>
                <w:lang w:eastAsia="zh-CN"/>
              </w:rPr>
            </w:pPr>
            <w:r>
              <w:rPr>
                <w:rFonts w:ascii="Times New Roman" w:hAnsi="Times New Roman" w:cs="Times New Roman" w:hint="eastAsia"/>
                <w:lang w:eastAsia="zh-CN"/>
              </w:rPr>
              <w:t>现有工程已建</w:t>
            </w:r>
            <w:r w:rsidR="001F425E" w:rsidRPr="005E3021">
              <w:rPr>
                <w:rFonts w:ascii="Times New Roman" w:hAnsi="Times New Roman" w:cs="Times New Roman"/>
                <w:lang w:eastAsia="zh-CN"/>
              </w:rPr>
              <w:t>垃圾池长</w:t>
            </w:r>
            <w:r w:rsidR="001F425E" w:rsidRPr="005E3021">
              <w:rPr>
                <w:rFonts w:ascii="Times New Roman" w:hAnsi="Times New Roman" w:cs="Times New Roman"/>
                <w:lang w:eastAsia="zh-CN"/>
              </w:rPr>
              <w:t>78.6m</w:t>
            </w:r>
            <w:r w:rsidR="001F425E" w:rsidRPr="005E3021">
              <w:rPr>
                <w:rFonts w:ascii="Times New Roman" w:hAnsi="Times New Roman" w:cs="Times New Roman"/>
                <w:lang w:eastAsia="zh-CN"/>
              </w:rPr>
              <w:t>，宽</w:t>
            </w:r>
            <w:r w:rsidR="001F425E" w:rsidRPr="005E3021">
              <w:rPr>
                <w:rFonts w:ascii="Times New Roman" w:hAnsi="Times New Roman" w:cs="Times New Roman"/>
                <w:lang w:eastAsia="zh-CN"/>
              </w:rPr>
              <w:t>33.5m</w:t>
            </w:r>
            <w:r w:rsidR="001F425E" w:rsidRPr="005E3021">
              <w:rPr>
                <w:rFonts w:ascii="Times New Roman" w:hAnsi="Times New Roman" w:cs="Times New Roman"/>
                <w:lang w:eastAsia="zh-CN"/>
              </w:rPr>
              <w:t>，容积</w:t>
            </w:r>
            <w:r w:rsidR="001F425E" w:rsidRPr="005E3021">
              <w:rPr>
                <w:rFonts w:ascii="Times New Roman" w:hAnsi="Times New Roman" w:cs="Times New Roman"/>
                <w:lang w:eastAsia="zh-CN"/>
              </w:rPr>
              <w:t>26331m³</w:t>
            </w:r>
            <w:r w:rsidR="001F425E" w:rsidRPr="005E3021">
              <w:rPr>
                <w:rFonts w:ascii="Times New Roman" w:hAnsi="Times New Roman" w:cs="Times New Roman"/>
                <w:lang w:eastAsia="zh-CN"/>
              </w:rPr>
              <w:t>。可贮存</w:t>
            </w:r>
            <w:r w:rsidR="001F425E" w:rsidRPr="005E3021">
              <w:rPr>
                <w:rFonts w:ascii="Times New Roman" w:hAnsi="Times New Roman" w:cs="Times New Roman"/>
                <w:lang w:eastAsia="zh-CN"/>
              </w:rPr>
              <w:t>12849.53t</w:t>
            </w:r>
          </w:p>
        </w:tc>
      </w:tr>
      <w:tr w:rsidR="001F425E" w:rsidRPr="00261F7E" w14:paraId="6DAE262C" w14:textId="77777777" w:rsidTr="005E3021">
        <w:trPr>
          <w:trHeight w:val="57"/>
          <w:jc w:val="center"/>
        </w:trPr>
        <w:tc>
          <w:tcPr>
            <w:tcW w:w="263" w:type="pct"/>
            <w:vMerge/>
            <w:vAlign w:val="center"/>
          </w:tcPr>
          <w:p w14:paraId="0D722EF2" w14:textId="77777777" w:rsidR="001F425E" w:rsidRPr="005E3021" w:rsidRDefault="001F425E" w:rsidP="005E3021">
            <w:pPr>
              <w:spacing w:line="280" w:lineRule="exact"/>
              <w:jc w:val="center"/>
            </w:pPr>
          </w:p>
        </w:tc>
        <w:tc>
          <w:tcPr>
            <w:tcW w:w="666" w:type="pct"/>
            <w:vAlign w:val="center"/>
          </w:tcPr>
          <w:p w14:paraId="707FB88D" w14:textId="05846917" w:rsidR="001F425E" w:rsidRPr="005E3021" w:rsidRDefault="001F425E" w:rsidP="005E3021">
            <w:pPr>
              <w:pStyle w:val="TableText"/>
              <w:spacing w:line="280" w:lineRule="exact"/>
              <w:jc w:val="center"/>
              <w:rPr>
                <w:rFonts w:ascii="Times New Roman" w:hAnsi="Times New Roman" w:cs="Times New Roman"/>
                <w:lang w:eastAsia="zh-CN"/>
              </w:rPr>
            </w:pPr>
            <w:r w:rsidRPr="005E3021">
              <w:rPr>
                <w:rFonts w:ascii="Times New Roman" w:hAnsi="Times New Roman" w:cs="Times New Roman" w:hint="eastAsia"/>
                <w:lang w:eastAsia="zh-CN"/>
              </w:rPr>
              <w:t>渗滤液收集池</w:t>
            </w:r>
          </w:p>
        </w:tc>
        <w:tc>
          <w:tcPr>
            <w:tcW w:w="4071" w:type="pct"/>
            <w:vAlign w:val="center"/>
          </w:tcPr>
          <w:p w14:paraId="6ED7F3BA" w14:textId="0FE2E488" w:rsidR="001F425E" w:rsidRPr="005E3021" w:rsidRDefault="00F82444" w:rsidP="00F82444">
            <w:pPr>
              <w:pStyle w:val="TableText"/>
              <w:spacing w:line="280" w:lineRule="exact"/>
              <w:jc w:val="left"/>
              <w:rPr>
                <w:rFonts w:ascii="Times New Roman" w:hAnsi="Times New Roman" w:cs="Times New Roman"/>
                <w:lang w:eastAsia="zh-CN"/>
              </w:rPr>
            </w:pPr>
            <w:r>
              <w:rPr>
                <w:rFonts w:ascii="Times New Roman" w:hAnsi="Times New Roman" w:cs="Times New Roman" w:hint="eastAsia"/>
                <w:lang w:eastAsia="zh-CN"/>
              </w:rPr>
              <w:t>现有工程已建</w:t>
            </w:r>
            <w:r w:rsidR="001F425E" w:rsidRPr="005E3021">
              <w:rPr>
                <w:rFonts w:ascii="Times New Roman" w:hAnsi="Times New Roman" w:cs="Times New Roman" w:hint="eastAsia"/>
                <w:lang w:eastAsia="zh-CN"/>
              </w:rPr>
              <w:t>渗滤液收集池有效容积</w:t>
            </w:r>
            <w:r w:rsidR="001F425E" w:rsidRPr="005E3021">
              <w:rPr>
                <w:rFonts w:ascii="Times New Roman" w:hAnsi="Times New Roman" w:cs="Times New Roman" w:hint="eastAsia"/>
                <w:lang w:eastAsia="zh-CN"/>
              </w:rPr>
              <w:t>375m</w:t>
            </w:r>
            <w:r w:rsidR="001F425E" w:rsidRPr="005E3021">
              <w:rPr>
                <w:rFonts w:ascii="Times New Roman" w:hAnsi="Times New Roman" w:cs="Times New Roman" w:hint="eastAsia"/>
                <w:lang w:eastAsia="zh-CN"/>
              </w:rPr>
              <w:t>³（</w:t>
            </w:r>
            <w:r w:rsidR="001F425E" w:rsidRPr="005E3021">
              <w:rPr>
                <w:rFonts w:ascii="Times New Roman" w:hAnsi="Times New Roman" w:cs="Times New Roman" w:hint="eastAsia"/>
                <w:lang w:eastAsia="zh-CN"/>
              </w:rPr>
              <w:t>15m</w:t>
            </w:r>
            <w:r w:rsidR="001F425E" w:rsidRPr="005E3021">
              <w:rPr>
                <w:rFonts w:ascii="Times New Roman" w:hAnsi="Times New Roman" w:cs="Times New Roman" w:hint="eastAsia"/>
                <w:lang w:eastAsia="zh-CN"/>
              </w:rPr>
              <w:t>×</w:t>
            </w:r>
            <w:r w:rsidR="001F425E" w:rsidRPr="005E3021">
              <w:rPr>
                <w:rFonts w:ascii="Times New Roman" w:hAnsi="Times New Roman" w:cs="Times New Roman" w:hint="eastAsia"/>
                <w:lang w:eastAsia="zh-CN"/>
              </w:rPr>
              <w:t>5m</w:t>
            </w:r>
            <w:r w:rsidR="001F425E" w:rsidRPr="005E3021">
              <w:rPr>
                <w:rFonts w:ascii="Times New Roman" w:hAnsi="Times New Roman" w:cs="Times New Roman" w:hint="eastAsia"/>
                <w:lang w:eastAsia="zh-CN"/>
              </w:rPr>
              <w:t>×</w:t>
            </w:r>
            <w:r w:rsidR="001F425E" w:rsidRPr="005E3021">
              <w:rPr>
                <w:rFonts w:ascii="Times New Roman" w:hAnsi="Times New Roman" w:cs="Times New Roman" w:hint="eastAsia"/>
                <w:lang w:eastAsia="zh-CN"/>
              </w:rPr>
              <w:t>5m</w:t>
            </w:r>
            <w:r w:rsidR="001F425E" w:rsidRPr="005E3021">
              <w:rPr>
                <w:rFonts w:ascii="Times New Roman" w:hAnsi="Times New Roman" w:cs="Times New Roman" w:hint="eastAsia"/>
                <w:lang w:eastAsia="zh-CN"/>
              </w:rPr>
              <w:t>），可以贮存</w:t>
            </w:r>
            <w:r w:rsidR="001F425E" w:rsidRPr="005E3021">
              <w:rPr>
                <w:rFonts w:ascii="Times New Roman" w:hAnsi="Times New Roman" w:cs="Times New Roman" w:hint="eastAsia"/>
                <w:lang w:eastAsia="zh-CN"/>
              </w:rPr>
              <w:t>1d</w:t>
            </w:r>
            <w:r w:rsidR="001F425E" w:rsidRPr="005E3021">
              <w:rPr>
                <w:rFonts w:ascii="Times New Roman" w:hAnsi="Times New Roman" w:cs="Times New Roman" w:hint="eastAsia"/>
                <w:lang w:eastAsia="zh-CN"/>
              </w:rPr>
              <w:t>的渗滤液存储量；</w:t>
            </w:r>
            <w:r>
              <w:rPr>
                <w:rFonts w:ascii="Times New Roman" w:hAnsi="Times New Roman" w:cs="Times New Roman" w:hint="eastAsia"/>
                <w:lang w:eastAsia="zh-CN"/>
              </w:rPr>
              <w:t>现有工程已建渗滤液</w:t>
            </w:r>
            <w:r w:rsidR="001F425E" w:rsidRPr="005E3021">
              <w:rPr>
                <w:rFonts w:ascii="Times New Roman" w:hAnsi="Times New Roman" w:cs="Times New Roman" w:hint="eastAsia"/>
                <w:lang w:eastAsia="zh-CN"/>
              </w:rPr>
              <w:t>调节池容积为</w:t>
            </w:r>
            <w:r w:rsidR="001F425E" w:rsidRPr="005E3021">
              <w:rPr>
                <w:rFonts w:ascii="Times New Roman" w:hAnsi="Times New Roman" w:cs="Times New Roman" w:hint="eastAsia"/>
                <w:lang w:eastAsia="zh-CN"/>
              </w:rPr>
              <w:t>3120m</w:t>
            </w:r>
            <w:r w:rsidR="001F425E" w:rsidRPr="005E3021">
              <w:rPr>
                <w:rFonts w:ascii="Times New Roman" w:hAnsi="Times New Roman" w:cs="Times New Roman" w:hint="eastAsia"/>
                <w:lang w:eastAsia="zh-CN"/>
              </w:rPr>
              <w:t>³（</w:t>
            </w:r>
            <w:r w:rsidR="001F425E" w:rsidRPr="005E3021">
              <w:rPr>
                <w:rFonts w:ascii="Times New Roman" w:hAnsi="Times New Roman" w:cs="Times New Roman" w:hint="eastAsia"/>
                <w:lang w:eastAsia="zh-CN"/>
              </w:rPr>
              <w:t>13m</w:t>
            </w:r>
            <w:r w:rsidR="001F425E" w:rsidRPr="005E3021">
              <w:rPr>
                <w:rFonts w:ascii="Times New Roman" w:hAnsi="Times New Roman" w:cs="Times New Roman" w:hint="eastAsia"/>
                <w:lang w:eastAsia="zh-CN"/>
              </w:rPr>
              <w:t>×</w:t>
            </w:r>
            <w:r w:rsidR="001F425E" w:rsidRPr="005E3021">
              <w:rPr>
                <w:rFonts w:ascii="Times New Roman" w:hAnsi="Times New Roman" w:cs="Times New Roman" w:hint="eastAsia"/>
                <w:lang w:eastAsia="zh-CN"/>
              </w:rPr>
              <w:t>20m</w:t>
            </w:r>
            <w:r w:rsidR="001F425E" w:rsidRPr="005E3021">
              <w:rPr>
                <w:rFonts w:ascii="Times New Roman" w:hAnsi="Times New Roman" w:cs="Times New Roman" w:hint="eastAsia"/>
                <w:lang w:eastAsia="zh-CN"/>
              </w:rPr>
              <w:t>×</w:t>
            </w:r>
            <w:r w:rsidR="001F425E" w:rsidRPr="005E3021">
              <w:rPr>
                <w:rFonts w:ascii="Times New Roman" w:hAnsi="Times New Roman" w:cs="Times New Roman" w:hint="eastAsia"/>
                <w:lang w:eastAsia="zh-CN"/>
              </w:rPr>
              <w:t>12m</w:t>
            </w:r>
            <w:r w:rsidR="001F425E" w:rsidRPr="005E3021">
              <w:rPr>
                <w:rFonts w:ascii="Times New Roman" w:hAnsi="Times New Roman" w:cs="Times New Roman" w:hint="eastAsia"/>
                <w:lang w:eastAsia="zh-CN"/>
              </w:rPr>
              <w:t>）。</w:t>
            </w:r>
          </w:p>
        </w:tc>
      </w:tr>
      <w:tr w:rsidR="001F425E" w:rsidRPr="00261F7E" w14:paraId="06ECEA39" w14:textId="77777777" w:rsidTr="005E3021">
        <w:trPr>
          <w:trHeight w:val="57"/>
          <w:jc w:val="center"/>
        </w:trPr>
        <w:tc>
          <w:tcPr>
            <w:tcW w:w="263" w:type="pct"/>
            <w:vMerge/>
            <w:vAlign w:val="center"/>
          </w:tcPr>
          <w:p w14:paraId="110F0CFF" w14:textId="77777777" w:rsidR="001F425E" w:rsidRPr="005E3021" w:rsidRDefault="001F425E" w:rsidP="005E3021">
            <w:pPr>
              <w:spacing w:line="280" w:lineRule="exact"/>
              <w:jc w:val="center"/>
            </w:pPr>
          </w:p>
        </w:tc>
        <w:tc>
          <w:tcPr>
            <w:tcW w:w="666" w:type="pct"/>
            <w:vAlign w:val="center"/>
          </w:tcPr>
          <w:p w14:paraId="0972424B" w14:textId="312D8F39" w:rsidR="001F425E" w:rsidRPr="005E3021" w:rsidRDefault="001F425E" w:rsidP="005E3021">
            <w:pPr>
              <w:pStyle w:val="TableText"/>
              <w:spacing w:line="280" w:lineRule="exact"/>
              <w:jc w:val="center"/>
              <w:rPr>
                <w:rFonts w:ascii="Times New Roman" w:hAnsi="Times New Roman" w:cs="Times New Roman"/>
                <w:lang w:eastAsia="zh-CN"/>
              </w:rPr>
            </w:pPr>
            <w:r w:rsidRPr="005E3021">
              <w:rPr>
                <w:rFonts w:ascii="Times New Roman" w:hAnsi="Times New Roman" w:cs="Times New Roman" w:hint="eastAsia"/>
                <w:lang w:eastAsia="zh-CN"/>
              </w:rPr>
              <w:t>垃圾焚烧炉烟囱</w:t>
            </w:r>
          </w:p>
        </w:tc>
        <w:tc>
          <w:tcPr>
            <w:tcW w:w="4071" w:type="pct"/>
            <w:vAlign w:val="center"/>
          </w:tcPr>
          <w:p w14:paraId="7F65FECD" w14:textId="0E65FF70" w:rsidR="001F425E" w:rsidRPr="005E3021" w:rsidRDefault="00F82444" w:rsidP="00F82444">
            <w:pPr>
              <w:pStyle w:val="TableText"/>
              <w:spacing w:line="280" w:lineRule="exact"/>
              <w:jc w:val="left"/>
              <w:rPr>
                <w:rFonts w:ascii="Times New Roman" w:hAnsi="Times New Roman" w:cs="Times New Roman"/>
                <w:lang w:eastAsia="zh-CN"/>
              </w:rPr>
            </w:pPr>
            <w:r>
              <w:rPr>
                <w:rFonts w:ascii="Times New Roman" w:hAnsi="Times New Roman" w:cs="Times New Roman" w:hint="eastAsia"/>
                <w:lang w:eastAsia="zh-CN"/>
              </w:rPr>
              <w:t>现有工程已建</w:t>
            </w:r>
            <w:r w:rsidR="001F425E" w:rsidRPr="005E3021">
              <w:rPr>
                <w:rFonts w:ascii="Times New Roman" w:hAnsi="Times New Roman" w:cs="Times New Roman" w:hint="eastAsia"/>
                <w:lang w:eastAsia="zh-CN"/>
              </w:rPr>
              <w:t>3</w:t>
            </w:r>
            <w:r w:rsidR="001F425E" w:rsidRPr="005E3021">
              <w:rPr>
                <w:rFonts w:ascii="Times New Roman" w:hAnsi="Times New Roman" w:cs="Times New Roman" w:hint="eastAsia"/>
                <w:lang w:eastAsia="zh-CN"/>
              </w:rPr>
              <w:t>台</w:t>
            </w:r>
            <w:r w:rsidR="001F425E" w:rsidRPr="005E3021">
              <w:rPr>
                <w:rFonts w:ascii="Times New Roman" w:hAnsi="Times New Roman" w:cs="Times New Roman" w:hint="eastAsia"/>
                <w:lang w:eastAsia="zh-CN"/>
              </w:rPr>
              <w:t>500t/d</w:t>
            </w:r>
            <w:r w:rsidR="001F425E" w:rsidRPr="005E3021">
              <w:rPr>
                <w:rFonts w:ascii="Times New Roman" w:hAnsi="Times New Roman" w:cs="Times New Roman" w:hint="eastAsia"/>
                <w:lang w:eastAsia="zh-CN"/>
              </w:rPr>
              <w:t>机械炉排炉（机械炉排型焚烧炉）产生的焚烧废气通过一根三筒集束烟囱排放，烟囱高</w:t>
            </w:r>
            <w:r w:rsidR="001F425E" w:rsidRPr="005E3021">
              <w:rPr>
                <w:rFonts w:ascii="Times New Roman" w:hAnsi="Times New Roman" w:cs="Times New Roman" w:hint="eastAsia"/>
                <w:lang w:eastAsia="zh-CN"/>
              </w:rPr>
              <w:t>80m</w:t>
            </w:r>
            <w:r w:rsidR="001F425E" w:rsidRPr="005E3021">
              <w:rPr>
                <w:rFonts w:ascii="Times New Roman" w:hAnsi="Times New Roman" w:cs="Times New Roman" w:hint="eastAsia"/>
                <w:lang w:eastAsia="zh-CN"/>
              </w:rPr>
              <w:t>、出口内径</w:t>
            </w:r>
            <w:r w:rsidR="001F425E" w:rsidRPr="005E3021">
              <w:rPr>
                <w:rFonts w:ascii="Times New Roman" w:hAnsi="Times New Roman" w:cs="Times New Roman" w:hint="eastAsia"/>
                <w:lang w:eastAsia="zh-CN"/>
              </w:rPr>
              <w:t>3</w:t>
            </w:r>
            <w:r w:rsidR="001F425E" w:rsidRPr="005E3021">
              <w:rPr>
                <w:rFonts w:ascii="Times New Roman" w:hAnsi="Times New Roman" w:cs="Times New Roman" w:hint="eastAsia"/>
                <w:lang w:eastAsia="zh-CN"/>
              </w:rPr>
              <w:t>×φ</w:t>
            </w:r>
            <w:r w:rsidR="001F425E" w:rsidRPr="005E3021">
              <w:rPr>
                <w:rFonts w:ascii="Times New Roman" w:hAnsi="Times New Roman" w:cs="Times New Roman" w:hint="eastAsia"/>
                <w:lang w:eastAsia="zh-CN"/>
              </w:rPr>
              <w:t>1.8m</w:t>
            </w:r>
            <w:r w:rsidR="001F425E" w:rsidRPr="005E3021">
              <w:rPr>
                <w:rFonts w:ascii="Times New Roman" w:hAnsi="Times New Roman" w:cs="Times New Roman" w:hint="eastAsia"/>
                <w:lang w:eastAsia="zh-CN"/>
              </w:rPr>
              <w:t>（等效直径</w:t>
            </w:r>
            <w:r w:rsidR="001F425E" w:rsidRPr="005E3021">
              <w:rPr>
                <w:rFonts w:ascii="Times New Roman" w:hAnsi="Times New Roman" w:cs="Times New Roman" w:hint="eastAsia"/>
                <w:lang w:eastAsia="zh-CN"/>
              </w:rPr>
              <w:t>3.12m</w:t>
            </w:r>
            <w:r w:rsidR="001F425E" w:rsidRPr="005E3021">
              <w:rPr>
                <w:rFonts w:ascii="Times New Roman" w:hAnsi="Times New Roman" w:cs="Times New Roman" w:hint="eastAsia"/>
                <w:lang w:eastAsia="zh-CN"/>
              </w:rPr>
              <w:t>）。</w:t>
            </w:r>
          </w:p>
        </w:tc>
      </w:tr>
      <w:tr w:rsidR="00731D99" w:rsidRPr="00261F7E" w14:paraId="03ED6CC6" w14:textId="77777777" w:rsidTr="005E3021">
        <w:trPr>
          <w:trHeight w:val="57"/>
          <w:jc w:val="center"/>
        </w:trPr>
        <w:tc>
          <w:tcPr>
            <w:tcW w:w="263" w:type="pct"/>
            <w:vMerge w:val="restart"/>
            <w:vAlign w:val="center"/>
          </w:tcPr>
          <w:p w14:paraId="7B7AC99A" w14:textId="185821D9" w:rsidR="00731D99" w:rsidRPr="005E3021" w:rsidRDefault="00731D99" w:rsidP="005E3021">
            <w:pPr>
              <w:spacing w:line="280" w:lineRule="exact"/>
              <w:jc w:val="center"/>
            </w:pPr>
            <w:r>
              <w:rPr>
                <w:rFonts w:hint="eastAsia"/>
              </w:rPr>
              <w:t>辅助工程</w:t>
            </w:r>
          </w:p>
        </w:tc>
        <w:tc>
          <w:tcPr>
            <w:tcW w:w="666" w:type="pct"/>
            <w:vAlign w:val="center"/>
          </w:tcPr>
          <w:p w14:paraId="30951C72" w14:textId="0BA3DD31" w:rsidR="00731D99" w:rsidRPr="005E3021" w:rsidRDefault="00731D99" w:rsidP="005E3021">
            <w:pPr>
              <w:pStyle w:val="TableText"/>
              <w:spacing w:line="280" w:lineRule="exact"/>
              <w:jc w:val="center"/>
              <w:rPr>
                <w:rFonts w:ascii="Times New Roman" w:hAnsi="Times New Roman" w:cs="Times New Roman"/>
                <w:lang w:eastAsia="zh-CN"/>
              </w:rPr>
            </w:pPr>
            <w:r w:rsidRPr="005E3021">
              <w:rPr>
                <w:rFonts w:ascii="Times New Roman" w:hAnsi="Times New Roman" w:cs="Times New Roman"/>
                <w:lang w:eastAsia="zh-CN"/>
              </w:rPr>
              <w:t>实验室</w:t>
            </w:r>
          </w:p>
        </w:tc>
        <w:tc>
          <w:tcPr>
            <w:tcW w:w="4071" w:type="pct"/>
            <w:vAlign w:val="center"/>
          </w:tcPr>
          <w:p w14:paraId="637112DC" w14:textId="2F64D207" w:rsidR="00731D99" w:rsidRPr="005E3021" w:rsidRDefault="00F82444" w:rsidP="00F82444">
            <w:pPr>
              <w:pStyle w:val="TableText"/>
              <w:spacing w:line="280" w:lineRule="exact"/>
              <w:jc w:val="left"/>
              <w:rPr>
                <w:rFonts w:ascii="Times New Roman" w:hAnsi="Times New Roman" w:cs="Times New Roman"/>
                <w:lang w:eastAsia="zh-CN"/>
              </w:rPr>
            </w:pPr>
            <w:r>
              <w:rPr>
                <w:rFonts w:ascii="Times New Roman" w:hAnsi="Times New Roman" w:cs="Times New Roman" w:hint="eastAsia"/>
                <w:lang w:eastAsia="zh-CN"/>
              </w:rPr>
              <w:t>现有工程</w:t>
            </w:r>
            <w:r w:rsidR="00731D99" w:rsidRPr="005E3021">
              <w:rPr>
                <w:rFonts w:ascii="Times New Roman" w:hAnsi="Times New Roman" w:cs="Times New Roman"/>
                <w:lang w:eastAsia="zh-CN"/>
              </w:rPr>
              <w:t>在主厂房内建设实验室</w:t>
            </w:r>
            <w:r w:rsidR="00731D99" w:rsidRPr="005E3021">
              <w:rPr>
                <w:rFonts w:ascii="Times New Roman" w:hAnsi="Times New Roman" w:cs="Times New Roman"/>
                <w:lang w:eastAsia="zh-CN"/>
              </w:rPr>
              <w:t>1</w:t>
            </w:r>
            <w:r w:rsidR="00731D99" w:rsidRPr="005E3021">
              <w:rPr>
                <w:rFonts w:ascii="Times New Roman" w:hAnsi="Times New Roman" w:cs="Times New Roman"/>
                <w:lang w:eastAsia="zh-CN"/>
              </w:rPr>
              <w:t>座</w:t>
            </w:r>
          </w:p>
        </w:tc>
      </w:tr>
      <w:tr w:rsidR="00731D99" w:rsidRPr="00261F7E" w14:paraId="7B19059A" w14:textId="77777777" w:rsidTr="005E3021">
        <w:trPr>
          <w:trHeight w:val="57"/>
          <w:jc w:val="center"/>
        </w:trPr>
        <w:tc>
          <w:tcPr>
            <w:tcW w:w="263" w:type="pct"/>
            <w:vMerge/>
            <w:vAlign w:val="center"/>
          </w:tcPr>
          <w:p w14:paraId="547F1D12" w14:textId="77777777" w:rsidR="00731D99" w:rsidRPr="005E3021" w:rsidRDefault="00731D99" w:rsidP="005E3021">
            <w:pPr>
              <w:spacing w:line="280" w:lineRule="exact"/>
              <w:jc w:val="center"/>
            </w:pPr>
          </w:p>
        </w:tc>
        <w:tc>
          <w:tcPr>
            <w:tcW w:w="666" w:type="pct"/>
            <w:vAlign w:val="center"/>
          </w:tcPr>
          <w:p w14:paraId="2B8B2411" w14:textId="6D262A34" w:rsidR="00731D99" w:rsidRPr="005E3021" w:rsidRDefault="00731D99" w:rsidP="005E3021">
            <w:pPr>
              <w:pStyle w:val="TableText"/>
              <w:spacing w:line="280" w:lineRule="exact"/>
              <w:jc w:val="center"/>
              <w:rPr>
                <w:rFonts w:ascii="Times New Roman" w:hAnsi="Times New Roman" w:cs="Times New Roman"/>
                <w:lang w:eastAsia="zh-CN"/>
              </w:rPr>
            </w:pPr>
            <w:r w:rsidRPr="005E3021">
              <w:rPr>
                <w:rFonts w:ascii="Times New Roman" w:hAnsi="Times New Roman" w:cs="Times New Roman"/>
                <w:lang w:eastAsia="zh-CN"/>
              </w:rPr>
              <w:t>空压站</w:t>
            </w:r>
          </w:p>
        </w:tc>
        <w:tc>
          <w:tcPr>
            <w:tcW w:w="4071" w:type="pct"/>
            <w:vAlign w:val="center"/>
          </w:tcPr>
          <w:p w14:paraId="13F36291" w14:textId="49DA272A" w:rsidR="00731D99" w:rsidRPr="005E3021" w:rsidRDefault="00F82444" w:rsidP="00F82444">
            <w:pPr>
              <w:pStyle w:val="TableText"/>
              <w:spacing w:line="280" w:lineRule="exact"/>
              <w:jc w:val="left"/>
              <w:rPr>
                <w:rFonts w:ascii="Times New Roman" w:hAnsi="Times New Roman" w:cs="Times New Roman"/>
                <w:lang w:eastAsia="zh-CN"/>
              </w:rPr>
            </w:pPr>
            <w:r>
              <w:rPr>
                <w:rFonts w:ascii="Times New Roman" w:hAnsi="Times New Roman" w:cs="Times New Roman" w:hint="eastAsia"/>
                <w:lang w:eastAsia="zh-CN"/>
              </w:rPr>
              <w:t>现有工程已建</w:t>
            </w:r>
            <w:r w:rsidR="00731D99" w:rsidRPr="005E3021">
              <w:rPr>
                <w:rFonts w:ascii="Times New Roman" w:hAnsi="Times New Roman" w:cs="Times New Roman"/>
                <w:lang w:eastAsia="zh-CN"/>
              </w:rPr>
              <w:t>空压站</w:t>
            </w:r>
            <w:r w:rsidR="00012EFF">
              <w:rPr>
                <w:rFonts w:ascii="Times New Roman" w:hAnsi="Times New Roman" w:cs="Times New Roman" w:hint="eastAsia"/>
                <w:lang w:eastAsia="zh-CN"/>
              </w:rPr>
              <w:t>1</w:t>
            </w:r>
            <w:r w:rsidR="00731D99" w:rsidRPr="005E3021">
              <w:rPr>
                <w:rFonts w:ascii="Times New Roman" w:hAnsi="Times New Roman" w:cs="Times New Roman"/>
                <w:lang w:eastAsia="zh-CN"/>
              </w:rPr>
              <w:t>座，排气量</w:t>
            </w:r>
            <w:r w:rsidR="00731D99" w:rsidRPr="005E3021">
              <w:rPr>
                <w:rFonts w:ascii="Times New Roman" w:hAnsi="Times New Roman" w:cs="Times New Roman"/>
                <w:lang w:eastAsia="zh-CN"/>
              </w:rPr>
              <w:t>38.8m³/min</w:t>
            </w:r>
            <w:r w:rsidR="00731D99" w:rsidRPr="005E3021">
              <w:rPr>
                <w:rFonts w:ascii="Times New Roman" w:hAnsi="Times New Roman" w:cs="Times New Roman"/>
                <w:lang w:eastAsia="zh-CN"/>
              </w:rPr>
              <w:t>，排气压力</w:t>
            </w:r>
            <w:r w:rsidR="00731D99" w:rsidRPr="005E3021">
              <w:rPr>
                <w:rFonts w:ascii="Times New Roman" w:hAnsi="Times New Roman" w:cs="Times New Roman"/>
                <w:lang w:eastAsia="zh-CN"/>
              </w:rPr>
              <w:t>0.85MPa</w:t>
            </w:r>
            <w:r w:rsidR="00731D99" w:rsidRPr="005E3021">
              <w:rPr>
                <w:rFonts w:ascii="Times New Roman" w:hAnsi="Times New Roman" w:cs="Times New Roman"/>
                <w:lang w:eastAsia="zh-CN"/>
              </w:rPr>
              <w:t>的水冷螺杆空气压缩机四台。（</w:t>
            </w:r>
            <w:r w:rsidR="00731D99" w:rsidRPr="005E3021">
              <w:rPr>
                <w:rFonts w:ascii="Times New Roman" w:hAnsi="Times New Roman" w:cs="Times New Roman"/>
                <w:lang w:eastAsia="zh-CN"/>
              </w:rPr>
              <w:t>3</w:t>
            </w:r>
            <w:r w:rsidR="00731D99" w:rsidRPr="005E3021">
              <w:rPr>
                <w:rFonts w:ascii="Times New Roman" w:hAnsi="Times New Roman" w:cs="Times New Roman"/>
                <w:lang w:eastAsia="zh-CN"/>
              </w:rPr>
              <w:t>用</w:t>
            </w:r>
            <w:r w:rsidR="00731D99" w:rsidRPr="005E3021">
              <w:rPr>
                <w:rFonts w:ascii="Times New Roman" w:hAnsi="Times New Roman" w:cs="Times New Roman"/>
                <w:lang w:eastAsia="zh-CN"/>
              </w:rPr>
              <w:t>1</w:t>
            </w:r>
            <w:r w:rsidR="00731D99" w:rsidRPr="005E3021">
              <w:rPr>
                <w:rFonts w:ascii="Times New Roman" w:hAnsi="Times New Roman" w:cs="Times New Roman"/>
                <w:lang w:eastAsia="zh-CN"/>
              </w:rPr>
              <w:t>备）</w:t>
            </w:r>
          </w:p>
        </w:tc>
      </w:tr>
      <w:tr w:rsidR="00731D99" w:rsidRPr="00261F7E" w14:paraId="172036F3" w14:textId="77777777" w:rsidTr="005E3021">
        <w:trPr>
          <w:trHeight w:val="57"/>
          <w:jc w:val="center"/>
        </w:trPr>
        <w:tc>
          <w:tcPr>
            <w:tcW w:w="263" w:type="pct"/>
            <w:vMerge/>
            <w:vAlign w:val="center"/>
          </w:tcPr>
          <w:p w14:paraId="5786A6A8" w14:textId="77777777" w:rsidR="00731D99" w:rsidRPr="005E3021" w:rsidRDefault="00731D99" w:rsidP="005E3021">
            <w:pPr>
              <w:spacing w:line="280" w:lineRule="exact"/>
              <w:jc w:val="center"/>
            </w:pPr>
          </w:p>
        </w:tc>
        <w:tc>
          <w:tcPr>
            <w:tcW w:w="666" w:type="pct"/>
            <w:vAlign w:val="center"/>
          </w:tcPr>
          <w:p w14:paraId="63B4704B" w14:textId="39C550FD" w:rsidR="00731D99" w:rsidRPr="005E3021" w:rsidRDefault="00731D99" w:rsidP="005E3021">
            <w:pPr>
              <w:pStyle w:val="TableText"/>
              <w:spacing w:line="280" w:lineRule="exact"/>
              <w:jc w:val="center"/>
              <w:rPr>
                <w:rFonts w:ascii="Times New Roman" w:hAnsi="Times New Roman" w:cs="Times New Roman"/>
                <w:lang w:eastAsia="zh-CN"/>
              </w:rPr>
            </w:pPr>
            <w:r w:rsidRPr="005E3021">
              <w:rPr>
                <w:rFonts w:ascii="Times New Roman" w:hAnsi="Times New Roman" w:cs="Times New Roman"/>
                <w:lang w:eastAsia="zh-CN"/>
              </w:rPr>
              <w:t>冷却塔</w:t>
            </w:r>
          </w:p>
        </w:tc>
        <w:tc>
          <w:tcPr>
            <w:tcW w:w="4071" w:type="pct"/>
            <w:vAlign w:val="center"/>
          </w:tcPr>
          <w:p w14:paraId="1C44D15A" w14:textId="30306DE4" w:rsidR="00731D99" w:rsidRPr="005E3021" w:rsidRDefault="00F82444" w:rsidP="00F82444">
            <w:pPr>
              <w:pStyle w:val="TableText"/>
              <w:spacing w:line="280" w:lineRule="exact"/>
              <w:jc w:val="left"/>
              <w:rPr>
                <w:rFonts w:ascii="Times New Roman" w:hAnsi="Times New Roman" w:cs="Times New Roman"/>
                <w:lang w:eastAsia="zh-CN"/>
              </w:rPr>
            </w:pPr>
            <w:r>
              <w:rPr>
                <w:rFonts w:ascii="Times New Roman" w:hAnsi="Times New Roman" w:cs="Times New Roman" w:hint="eastAsia"/>
                <w:lang w:eastAsia="zh-CN"/>
              </w:rPr>
              <w:t>现有工程已建</w:t>
            </w:r>
            <w:r w:rsidR="00731D99" w:rsidRPr="005E3021">
              <w:rPr>
                <w:rFonts w:ascii="Times New Roman" w:hAnsi="Times New Roman" w:cs="Times New Roman"/>
                <w:lang w:eastAsia="zh-CN"/>
              </w:rPr>
              <w:t>3</w:t>
            </w:r>
            <w:r w:rsidR="00731D99" w:rsidRPr="005E3021">
              <w:rPr>
                <w:rFonts w:ascii="Times New Roman" w:hAnsi="Times New Roman" w:cs="Times New Roman"/>
                <w:lang w:eastAsia="zh-CN"/>
              </w:rPr>
              <w:t>台方形机械通风组合逆流式低噪音冷却塔，流量为</w:t>
            </w:r>
            <w:r w:rsidR="00731D99" w:rsidRPr="005E3021">
              <w:rPr>
                <w:rFonts w:ascii="Times New Roman" w:hAnsi="Times New Roman" w:cs="Times New Roman"/>
                <w:lang w:eastAsia="zh-CN"/>
              </w:rPr>
              <w:t>3000m³/h</w:t>
            </w:r>
            <w:r w:rsidR="00731D99" w:rsidRPr="005E3021">
              <w:rPr>
                <w:rFonts w:ascii="Times New Roman" w:hAnsi="Times New Roman" w:cs="Times New Roman"/>
                <w:lang w:eastAsia="zh-CN"/>
              </w:rPr>
              <w:t>，冷却塔位于渗滤液处理站的南侧。</w:t>
            </w:r>
          </w:p>
        </w:tc>
      </w:tr>
      <w:tr w:rsidR="00731D99" w:rsidRPr="00261F7E" w14:paraId="30EA3A8F" w14:textId="77777777" w:rsidTr="005E3021">
        <w:trPr>
          <w:trHeight w:val="57"/>
          <w:jc w:val="center"/>
        </w:trPr>
        <w:tc>
          <w:tcPr>
            <w:tcW w:w="263" w:type="pct"/>
            <w:vMerge/>
            <w:vAlign w:val="center"/>
          </w:tcPr>
          <w:p w14:paraId="49E8C62B" w14:textId="77777777" w:rsidR="00731D99" w:rsidRPr="005E3021" w:rsidRDefault="00731D99" w:rsidP="005E3021">
            <w:pPr>
              <w:spacing w:line="280" w:lineRule="exact"/>
              <w:jc w:val="center"/>
            </w:pPr>
          </w:p>
        </w:tc>
        <w:tc>
          <w:tcPr>
            <w:tcW w:w="666" w:type="pct"/>
            <w:vAlign w:val="center"/>
          </w:tcPr>
          <w:p w14:paraId="02073AD0" w14:textId="61C0D326" w:rsidR="00731D99" w:rsidRPr="005E3021" w:rsidRDefault="00731D99" w:rsidP="005E3021">
            <w:pPr>
              <w:pStyle w:val="TableText"/>
              <w:spacing w:line="280" w:lineRule="exact"/>
              <w:jc w:val="center"/>
              <w:rPr>
                <w:rFonts w:ascii="Times New Roman" w:hAnsi="Times New Roman" w:cs="Times New Roman"/>
                <w:lang w:eastAsia="zh-CN"/>
              </w:rPr>
            </w:pPr>
            <w:r w:rsidRPr="005E3021">
              <w:rPr>
                <w:rFonts w:ascii="Times New Roman" w:hAnsi="Times New Roman" w:cs="Times New Roman"/>
                <w:lang w:eastAsia="zh-CN"/>
              </w:rPr>
              <w:t>消防水池</w:t>
            </w:r>
          </w:p>
        </w:tc>
        <w:tc>
          <w:tcPr>
            <w:tcW w:w="4071" w:type="pct"/>
            <w:vAlign w:val="center"/>
          </w:tcPr>
          <w:p w14:paraId="6A67F335" w14:textId="5696FBCA" w:rsidR="00731D99" w:rsidRPr="005E3021" w:rsidRDefault="00F82444" w:rsidP="00F82444">
            <w:pPr>
              <w:pStyle w:val="TableText"/>
              <w:spacing w:line="280" w:lineRule="exact"/>
              <w:jc w:val="left"/>
              <w:rPr>
                <w:rFonts w:ascii="Times New Roman" w:hAnsi="Times New Roman" w:cs="Times New Roman"/>
                <w:lang w:eastAsia="zh-CN"/>
              </w:rPr>
            </w:pPr>
            <w:r>
              <w:rPr>
                <w:rFonts w:ascii="Times New Roman" w:hAnsi="Times New Roman" w:cs="Times New Roman" w:hint="eastAsia"/>
                <w:lang w:eastAsia="zh-CN"/>
              </w:rPr>
              <w:t>现有工程已建</w:t>
            </w:r>
            <w:r w:rsidR="00731D99" w:rsidRPr="005E3021">
              <w:rPr>
                <w:rFonts w:ascii="Times New Roman" w:hAnsi="Times New Roman" w:cs="Times New Roman"/>
                <w:lang w:eastAsia="zh-CN"/>
              </w:rPr>
              <w:t>2</w:t>
            </w:r>
            <w:r w:rsidR="00731D99" w:rsidRPr="005E3021">
              <w:rPr>
                <w:rFonts w:ascii="Times New Roman" w:hAnsi="Times New Roman" w:cs="Times New Roman"/>
                <w:lang w:eastAsia="zh-CN"/>
              </w:rPr>
              <w:t>个消防水池，共</w:t>
            </w:r>
            <w:r w:rsidR="00731D99" w:rsidRPr="005E3021">
              <w:rPr>
                <w:rFonts w:ascii="Times New Roman" w:hAnsi="Times New Roman" w:cs="Times New Roman"/>
                <w:lang w:eastAsia="zh-CN"/>
              </w:rPr>
              <w:t>600m³</w:t>
            </w:r>
            <w:r w:rsidR="00731D99" w:rsidRPr="005E3021">
              <w:rPr>
                <w:rFonts w:ascii="Times New Roman" w:hAnsi="Times New Roman" w:cs="Times New Roman"/>
                <w:lang w:eastAsia="zh-CN"/>
              </w:rPr>
              <w:t>。</w:t>
            </w:r>
          </w:p>
        </w:tc>
      </w:tr>
      <w:tr w:rsidR="00731D99" w:rsidRPr="00261F7E" w14:paraId="3B7F35CD" w14:textId="77777777" w:rsidTr="005E3021">
        <w:trPr>
          <w:trHeight w:val="57"/>
          <w:jc w:val="center"/>
        </w:trPr>
        <w:tc>
          <w:tcPr>
            <w:tcW w:w="263" w:type="pct"/>
            <w:vMerge/>
            <w:vAlign w:val="center"/>
          </w:tcPr>
          <w:p w14:paraId="24D5458F" w14:textId="77777777" w:rsidR="00731D99" w:rsidRPr="005E3021" w:rsidRDefault="00731D99" w:rsidP="005E3021">
            <w:pPr>
              <w:spacing w:line="280" w:lineRule="exact"/>
              <w:jc w:val="center"/>
            </w:pPr>
          </w:p>
        </w:tc>
        <w:tc>
          <w:tcPr>
            <w:tcW w:w="666" w:type="pct"/>
            <w:vAlign w:val="center"/>
          </w:tcPr>
          <w:p w14:paraId="24DA4EFA" w14:textId="29262782" w:rsidR="00731D99" w:rsidRPr="005E3021" w:rsidRDefault="00731D99" w:rsidP="005E3021">
            <w:pPr>
              <w:pStyle w:val="TableText"/>
              <w:spacing w:line="280" w:lineRule="exact"/>
              <w:jc w:val="center"/>
              <w:rPr>
                <w:rFonts w:ascii="Times New Roman" w:hAnsi="Times New Roman" w:cs="Times New Roman"/>
                <w:lang w:eastAsia="zh-CN"/>
              </w:rPr>
            </w:pPr>
            <w:r w:rsidRPr="005E3021">
              <w:rPr>
                <w:rFonts w:ascii="Times New Roman" w:hAnsi="Times New Roman" w:cs="Times New Roman"/>
                <w:lang w:eastAsia="zh-CN"/>
              </w:rPr>
              <w:t>自动控系统</w:t>
            </w:r>
          </w:p>
        </w:tc>
        <w:tc>
          <w:tcPr>
            <w:tcW w:w="4071" w:type="pct"/>
            <w:vAlign w:val="center"/>
          </w:tcPr>
          <w:p w14:paraId="66147FFF" w14:textId="39DE65CA" w:rsidR="00731D99" w:rsidRPr="005E3021" w:rsidRDefault="00F82444" w:rsidP="00F82444">
            <w:pPr>
              <w:pStyle w:val="TableText"/>
              <w:spacing w:line="280" w:lineRule="exact"/>
              <w:jc w:val="left"/>
              <w:rPr>
                <w:rFonts w:ascii="Times New Roman" w:hAnsi="Times New Roman" w:cs="Times New Roman"/>
                <w:lang w:eastAsia="zh-CN"/>
              </w:rPr>
            </w:pPr>
            <w:r>
              <w:rPr>
                <w:rFonts w:ascii="Times New Roman" w:hAnsi="Times New Roman" w:cs="Times New Roman" w:hint="eastAsia"/>
                <w:lang w:eastAsia="zh-CN"/>
              </w:rPr>
              <w:t>现有工程已建</w:t>
            </w:r>
            <w:r w:rsidR="00731D99" w:rsidRPr="005E3021">
              <w:rPr>
                <w:rFonts w:ascii="Times New Roman" w:hAnsi="Times New Roman" w:cs="Times New Roman"/>
                <w:lang w:eastAsia="zh-CN"/>
              </w:rPr>
              <w:t>全厂中央控制系统。</w:t>
            </w:r>
          </w:p>
        </w:tc>
      </w:tr>
      <w:tr w:rsidR="00731D99" w:rsidRPr="00261F7E" w14:paraId="4A9D7FBD" w14:textId="77777777" w:rsidTr="005E3021">
        <w:trPr>
          <w:trHeight w:val="57"/>
          <w:jc w:val="center"/>
        </w:trPr>
        <w:tc>
          <w:tcPr>
            <w:tcW w:w="263" w:type="pct"/>
            <w:vMerge/>
            <w:vAlign w:val="center"/>
          </w:tcPr>
          <w:p w14:paraId="1A3FBCFC" w14:textId="77777777" w:rsidR="00731D99" w:rsidRPr="005E3021" w:rsidRDefault="00731D99" w:rsidP="005E3021">
            <w:pPr>
              <w:spacing w:line="280" w:lineRule="exact"/>
              <w:jc w:val="center"/>
            </w:pPr>
          </w:p>
        </w:tc>
        <w:tc>
          <w:tcPr>
            <w:tcW w:w="666" w:type="pct"/>
            <w:vAlign w:val="center"/>
          </w:tcPr>
          <w:p w14:paraId="1A41DC47" w14:textId="53969015" w:rsidR="00731D99" w:rsidRPr="005E3021" w:rsidRDefault="00731D99" w:rsidP="005E3021">
            <w:pPr>
              <w:pStyle w:val="TableText"/>
              <w:spacing w:line="280" w:lineRule="exact"/>
              <w:jc w:val="center"/>
              <w:rPr>
                <w:rFonts w:ascii="Times New Roman" w:hAnsi="Times New Roman" w:cs="Times New Roman"/>
                <w:lang w:eastAsia="zh-CN"/>
              </w:rPr>
            </w:pPr>
            <w:r w:rsidRPr="005E3021">
              <w:rPr>
                <w:rFonts w:ascii="Times New Roman" w:hAnsi="Times New Roman" w:cs="Times New Roman"/>
                <w:lang w:eastAsia="zh-CN"/>
              </w:rPr>
              <w:t>综合楼、办公楼等</w:t>
            </w:r>
          </w:p>
        </w:tc>
        <w:tc>
          <w:tcPr>
            <w:tcW w:w="4071" w:type="pct"/>
            <w:vAlign w:val="center"/>
          </w:tcPr>
          <w:p w14:paraId="6BAC4344" w14:textId="2694CCCA" w:rsidR="00731D99" w:rsidRPr="005E3021" w:rsidRDefault="00F82444" w:rsidP="00F82444">
            <w:pPr>
              <w:pStyle w:val="TableText"/>
              <w:spacing w:line="280" w:lineRule="exact"/>
              <w:jc w:val="left"/>
              <w:rPr>
                <w:rFonts w:ascii="Times New Roman" w:hAnsi="Times New Roman" w:cs="Times New Roman"/>
                <w:lang w:eastAsia="zh-CN"/>
              </w:rPr>
            </w:pPr>
            <w:r>
              <w:rPr>
                <w:rFonts w:ascii="Times New Roman" w:hAnsi="Times New Roman" w:cs="Times New Roman" w:hint="eastAsia"/>
                <w:lang w:eastAsia="zh-CN"/>
              </w:rPr>
              <w:t>现有工程在</w:t>
            </w:r>
            <w:r w:rsidR="00731D99" w:rsidRPr="005E3021">
              <w:rPr>
                <w:rFonts w:ascii="Times New Roman" w:hAnsi="Times New Roman" w:cs="Times New Roman"/>
                <w:lang w:eastAsia="zh-CN"/>
              </w:rPr>
              <w:t>综合楼西侧一楼建设</w:t>
            </w:r>
            <w:r w:rsidR="00731D99" w:rsidRPr="005E3021">
              <w:rPr>
                <w:rFonts w:ascii="Times New Roman" w:hAnsi="Times New Roman" w:cs="Times New Roman"/>
                <w:lang w:eastAsia="zh-CN"/>
              </w:rPr>
              <w:t>1</w:t>
            </w:r>
            <w:r w:rsidR="00731D99" w:rsidRPr="005E3021">
              <w:rPr>
                <w:rFonts w:ascii="Times New Roman" w:hAnsi="Times New Roman" w:cs="Times New Roman"/>
                <w:lang w:eastAsia="zh-CN"/>
              </w:rPr>
              <w:t>做食堂，占地面积</w:t>
            </w:r>
            <w:r w:rsidR="00731D99" w:rsidRPr="005E3021">
              <w:rPr>
                <w:rFonts w:ascii="Times New Roman" w:hAnsi="Times New Roman" w:cs="Times New Roman"/>
                <w:lang w:eastAsia="zh-CN"/>
              </w:rPr>
              <w:t>1064.73</w:t>
            </w:r>
            <w:r w:rsidR="00731D99" w:rsidRPr="005E3021">
              <w:rPr>
                <w:rFonts w:ascii="Times New Roman" w:hAnsi="Times New Roman" w:cs="Times New Roman"/>
                <w:lang w:eastAsia="zh-CN"/>
              </w:rPr>
              <w:t>㎡，食堂灶头共</w:t>
            </w:r>
            <w:r w:rsidR="00731D99" w:rsidRPr="005E3021">
              <w:rPr>
                <w:rFonts w:ascii="Times New Roman" w:hAnsi="Times New Roman" w:cs="Times New Roman"/>
                <w:lang w:eastAsia="zh-CN"/>
              </w:rPr>
              <w:t>3</w:t>
            </w:r>
            <w:r w:rsidR="00731D99" w:rsidRPr="005E3021">
              <w:rPr>
                <w:rFonts w:ascii="Times New Roman" w:hAnsi="Times New Roman" w:cs="Times New Roman"/>
                <w:lang w:eastAsia="zh-CN"/>
              </w:rPr>
              <w:t>个，综合楼一层为办公楼，二楼为员工宿舍。</w:t>
            </w:r>
          </w:p>
        </w:tc>
      </w:tr>
      <w:tr w:rsidR="00731D99" w:rsidRPr="00261F7E" w14:paraId="51BB884A" w14:textId="77777777" w:rsidTr="005E3021">
        <w:trPr>
          <w:trHeight w:val="57"/>
          <w:jc w:val="center"/>
        </w:trPr>
        <w:tc>
          <w:tcPr>
            <w:tcW w:w="263" w:type="pct"/>
            <w:vMerge/>
            <w:vAlign w:val="center"/>
          </w:tcPr>
          <w:p w14:paraId="173A4F34" w14:textId="77777777" w:rsidR="00731D99" w:rsidRPr="005E3021" w:rsidRDefault="00731D99" w:rsidP="005E3021">
            <w:pPr>
              <w:spacing w:line="280" w:lineRule="exact"/>
              <w:jc w:val="center"/>
            </w:pPr>
          </w:p>
        </w:tc>
        <w:tc>
          <w:tcPr>
            <w:tcW w:w="666" w:type="pct"/>
            <w:vAlign w:val="center"/>
          </w:tcPr>
          <w:p w14:paraId="32FD33B1" w14:textId="79177002" w:rsidR="00731D99" w:rsidRPr="005E3021" w:rsidRDefault="00731D99" w:rsidP="005E3021">
            <w:pPr>
              <w:pStyle w:val="TableText"/>
              <w:spacing w:line="280" w:lineRule="exact"/>
              <w:jc w:val="center"/>
              <w:rPr>
                <w:rFonts w:ascii="Times New Roman" w:hAnsi="Times New Roman" w:cs="Times New Roman"/>
                <w:lang w:eastAsia="zh-CN"/>
              </w:rPr>
            </w:pPr>
            <w:r w:rsidRPr="005E3021">
              <w:rPr>
                <w:rFonts w:ascii="Times New Roman" w:hAnsi="Times New Roman" w:cs="Times New Roman"/>
                <w:lang w:eastAsia="zh-CN"/>
              </w:rPr>
              <w:t>飞灰固化</w:t>
            </w:r>
            <w:r w:rsidRPr="005E3021">
              <w:rPr>
                <w:rFonts w:ascii="Times New Roman" w:hAnsi="Times New Roman" w:cs="Times New Roman" w:hint="eastAsia"/>
                <w:lang w:eastAsia="zh-CN"/>
              </w:rPr>
              <w:t>线</w:t>
            </w:r>
          </w:p>
        </w:tc>
        <w:tc>
          <w:tcPr>
            <w:tcW w:w="4071" w:type="pct"/>
            <w:vAlign w:val="center"/>
          </w:tcPr>
          <w:p w14:paraId="36B4D0D0" w14:textId="6F5DB7C3" w:rsidR="00731D99" w:rsidRPr="005E3021" w:rsidRDefault="00F82444" w:rsidP="00F82444">
            <w:pPr>
              <w:pStyle w:val="TableText"/>
              <w:spacing w:line="280" w:lineRule="exact"/>
              <w:jc w:val="left"/>
              <w:rPr>
                <w:rFonts w:ascii="Times New Roman" w:hAnsi="Times New Roman" w:cs="Times New Roman"/>
                <w:lang w:eastAsia="zh-CN"/>
              </w:rPr>
            </w:pPr>
            <w:r>
              <w:rPr>
                <w:rFonts w:ascii="Times New Roman" w:hAnsi="Times New Roman" w:cs="Times New Roman" w:hint="eastAsia"/>
                <w:lang w:eastAsia="zh-CN"/>
              </w:rPr>
              <w:t>现有工程已建</w:t>
            </w:r>
            <w:r w:rsidR="00731D99" w:rsidRPr="005E3021">
              <w:rPr>
                <w:rFonts w:ascii="Times New Roman" w:hAnsi="Times New Roman" w:cs="Times New Roman"/>
                <w:lang w:eastAsia="zh-CN"/>
              </w:rPr>
              <w:t>产生的飞灰暂存</w:t>
            </w:r>
            <w:r w:rsidR="00731D99" w:rsidRPr="005E3021">
              <w:rPr>
                <w:rFonts w:ascii="Times New Roman" w:hAnsi="Times New Roman" w:cs="Times New Roman"/>
                <w:lang w:eastAsia="zh-CN"/>
              </w:rPr>
              <w:t>2</w:t>
            </w:r>
            <w:r w:rsidR="00731D99" w:rsidRPr="005E3021">
              <w:rPr>
                <w:rFonts w:ascii="Times New Roman" w:hAnsi="Times New Roman" w:cs="Times New Roman"/>
                <w:lang w:eastAsia="zh-CN"/>
              </w:rPr>
              <w:t>座</w:t>
            </w:r>
            <w:r w:rsidR="00731D99" w:rsidRPr="005E3021">
              <w:rPr>
                <w:rFonts w:ascii="Times New Roman" w:hAnsi="Times New Roman" w:cs="Times New Roman"/>
                <w:lang w:eastAsia="zh-CN"/>
              </w:rPr>
              <w:t>235m³</w:t>
            </w:r>
            <w:r w:rsidR="00731D99" w:rsidRPr="005E3021">
              <w:rPr>
                <w:rFonts w:ascii="Times New Roman" w:hAnsi="Times New Roman" w:cs="Times New Roman"/>
                <w:lang w:eastAsia="zh-CN"/>
              </w:rPr>
              <w:t>飞灰仓，主厂房建设</w:t>
            </w:r>
            <w:r w:rsidR="00731D99" w:rsidRPr="005E3021">
              <w:rPr>
                <w:rFonts w:ascii="Times New Roman" w:hAnsi="Times New Roman" w:cs="Times New Roman"/>
                <w:lang w:eastAsia="zh-CN"/>
              </w:rPr>
              <w:t>1</w:t>
            </w:r>
            <w:r w:rsidR="00731D99" w:rsidRPr="005E3021">
              <w:rPr>
                <w:rFonts w:ascii="Times New Roman" w:hAnsi="Times New Roman" w:cs="Times New Roman"/>
                <w:lang w:eastAsia="zh-CN"/>
              </w:rPr>
              <w:t>条飞灰固化线</w:t>
            </w:r>
            <w:r w:rsidR="00731D99" w:rsidRPr="005E3021">
              <w:rPr>
                <w:rFonts w:ascii="Times New Roman" w:hAnsi="Times New Roman" w:cs="Times New Roman"/>
                <w:lang w:eastAsia="zh-CN"/>
              </w:rPr>
              <w:t>1</w:t>
            </w:r>
            <w:r w:rsidR="00731D99" w:rsidRPr="005E3021">
              <w:rPr>
                <w:rFonts w:ascii="Times New Roman" w:hAnsi="Times New Roman" w:cs="Times New Roman"/>
                <w:lang w:eastAsia="zh-CN"/>
              </w:rPr>
              <w:t>条，处理能力</w:t>
            </w:r>
            <w:r w:rsidR="00731D99" w:rsidRPr="005E3021">
              <w:rPr>
                <w:rFonts w:ascii="Times New Roman" w:hAnsi="Times New Roman" w:cs="Times New Roman" w:hint="eastAsia"/>
                <w:lang w:eastAsia="zh-CN"/>
              </w:rPr>
              <w:t>10t/h</w:t>
            </w:r>
            <w:r w:rsidR="00731D99" w:rsidRPr="005E3021">
              <w:rPr>
                <w:rFonts w:ascii="Times New Roman" w:hAnsi="Times New Roman" w:cs="Times New Roman" w:hint="eastAsia"/>
                <w:lang w:eastAsia="zh-CN"/>
              </w:rPr>
              <w:t>。飞灰固化后暂存于飞灰稳定化暂存库。</w:t>
            </w:r>
          </w:p>
        </w:tc>
      </w:tr>
      <w:tr w:rsidR="00731D99" w:rsidRPr="00261F7E" w14:paraId="54027F36" w14:textId="77777777" w:rsidTr="005E3021">
        <w:trPr>
          <w:trHeight w:val="57"/>
          <w:jc w:val="center"/>
        </w:trPr>
        <w:tc>
          <w:tcPr>
            <w:tcW w:w="263" w:type="pct"/>
            <w:vMerge/>
            <w:vAlign w:val="center"/>
          </w:tcPr>
          <w:p w14:paraId="226858B9" w14:textId="77777777" w:rsidR="00731D99" w:rsidRPr="005E3021" w:rsidRDefault="00731D99" w:rsidP="005E3021">
            <w:pPr>
              <w:spacing w:line="280" w:lineRule="exact"/>
              <w:jc w:val="center"/>
            </w:pPr>
          </w:p>
        </w:tc>
        <w:tc>
          <w:tcPr>
            <w:tcW w:w="666" w:type="pct"/>
            <w:vAlign w:val="center"/>
          </w:tcPr>
          <w:p w14:paraId="182082E2" w14:textId="2DC97870" w:rsidR="00731D99" w:rsidRPr="005E3021" w:rsidRDefault="00731D99" w:rsidP="005E3021">
            <w:pPr>
              <w:pStyle w:val="TableText"/>
              <w:spacing w:line="280" w:lineRule="exact"/>
              <w:jc w:val="center"/>
              <w:rPr>
                <w:rFonts w:ascii="Times New Roman" w:hAnsi="Times New Roman" w:cs="Times New Roman"/>
                <w:lang w:eastAsia="zh-CN"/>
              </w:rPr>
            </w:pPr>
            <w:r w:rsidRPr="005E3021">
              <w:rPr>
                <w:rFonts w:ascii="Times New Roman" w:hAnsi="Times New Roman" w:cs="Times New Roman"/>
                <w:lang w:eastAsia="zh-CN"/>
              </w:rPr>
              <w:t>采暖锅炉房</w:t>
            </w:r>
          </w:p>
        </w:tc>
        <w:tc>
          <w:tcPr>
            <w:tcW w:w="4071" w:type="pct"/>
            <w:vAlign w:val="center"/>
          </w:tcPr>
          <w:p w14:paraId="3249CB21" w14:textId="44D9FEAE" w:rsidR="00731D99" w:rsidRPr="005E3021" w:rsidRDefault="00731D99" w:rsidP="005E3021">
            <w:pPr>
              <w:spacing w:before="65" w:line="280" w:lineRule="exact"/>
              <w:ind w:left="9"/>
            </w:pPr>
            <w:r w:rsidRPr="005E3021">
              <w:t>焚烧炉点火的燃料为柴油，无需启动炉进行辅助。全厂冬季采暖热量来源于</w:t>
            </w:r>
            <w:r w:rsidRPr="005E3021">
              <w:t>3</w:t>
            </w:r>
            <w:r w:rsidRPr="005E3021">
              <w:t>台焚烧炉，当</w:t>
            </w:r>
            <w:r w:rsidRPr="005E3021">
              <w:t>3</w:t>
            </w:r>
            <w:r w:rsidRPr="005E3021">
              <w:t>台焚烧炉停炉情况下，采用</w:t>
            </w:r>
            <w:r w:rsidRPr="005E3021">
              <w:t>1.8MW</w:t>
            </w:r>
            <w:r w:rsidRPr="005E3021">
              <w:t>电锅炉方式取暖。</w:t>
            </w:r>
          </w:p>
        </w:tc>
      </w:tr>
      <w:tr w:rsidR="00731D99" w:rsidRPr="00261F7E" w14:paraId="6F5EEC0B" w14:textId="77777777" w:rsidTr="005E3021">
        <w:trPr>
          <w:trHeight w:val="57"/>
          <w:jc w:val="center"/>
        </w:trPr>
        <w:tc>
          <w:tcPr>
            <w:tcW w:w="263" w:type="pct"/>
            <w:vMerge w:val="restart"/>
            <w:vAlign w:val="center"/>
          </w:tcPr>
          <w:p w14:paraId="2C6E9EF3" w14:textId="3ABA1E1E" w:rsidR="00731D99" w:rsidRPr="005E3021" w:rsidRDefault="00731D99" w:rsidP="005E3021">
            <w:pPr>
              <w:spacing w:line="280" w:lineRule="exact"/>
              <w:jc w:val="center"/>
            </w:pPr>
            <w:r>
              <w:rPr>
                <w:rFonts w:hint="eastAsia"/>
              </w:rPr>
              <w:t>公用工程</w:t>
            </w:r>
          </w:p>
        </w:tc>
        <w:tc>
          <w:tcPr>
            <w:tcW w:w="666" w:type="pct"/>
            <w:vAlign w:val="center"/>
          </w:tcPr>
          <w:p w14:paraId="2AD499EF" w14:textId="58879F3E" w:rsidR="00731D99" w:rsidRPr="005E3021" w:rsidRDefault="00731D99" w:rsidP="005E3021">
            <w:pPr>
              <w:spacing w:line="280" w:lineRule="exact"/>
              <w:jc w:val="center"/>
            </w:pPr>
            <w:r w:rsidRPr="005E3021">
              <w:t>给水</w:t>
            </w:r>
          </w:p>
        </w:tc>
        <w:tc>
          <w:tcPr>
            <w:tcW w:w="4071" w:type="pct"/>
            <w:vAlign w:val="center"/>
          </w:tcPr>
          <w:p w14:paraId="39222E81" w14:textId="2369165F" w:rsidR="00731D99" w:rsidRPr="005E3021" w:rsidRDefault="00731D99" w:rsidP="00012EFF">
            <w:pPr>
              <w:spacing w:line="280" w:lineRule="exact"/>
            </w:pPr>
            <w:r w:rsidRPr="005E3021">
              <w:t>生活饮用水为外购桶装水，其它用水由大庆油田水务公司提供，通过管网接入厂区。厂区夏季最大日生产用水量为</w:t>
            </w:r>
            <w:r w:rsidRPr="005E3021">
              <w:t>2430.20m³/d</w:t>
            </w:r>
            <w:r w:rsidRPr="005E3021">
              <w:t>，生活用水量为</w:t>
            </w:r>
            <w:r w:rsidRPr="005E3021">
              <w:t>17.06m³/d</w:t>
            </w:r>
            <w:r w:rsidRPr="005E3021">
              <w:t>。</w:t>
            </w:r>
          </w:p>
        </w:tc>
      </w:tr>
      <w:tr w:rsidR="00731D99" w:rsidRPr="00261F7E" w14:paraId="0B63EF49" w14:textId="77777777" w:rsidTr="005E3021">
        <w:trPr>
          <w:trHeight w:val="57"/>
          <w:jc w:val="center"/>
        </w:trPr>
        <w:tc>
          <w:tcPr>
            <w:tcW w:w="263" w:type="pct"/>
            <w:vMerge/>
            <w:vAlign w:val="center"/>
          </w:tcPr>
          <w:p w14:paraId="357400EC" w14:textId="77777777" w:rsidR="00731D99" w:rsidRDefault="00731D99" w:rsidP="005E3021">
            <w:pPr>
              <w:spacing w:line="280" w:lineRule="exact"/>
              <w:jc w:val="center"/>
            </w:pPr>
          </w:p>
        </w:tc>
        <w:tc>
          <w:tcPr>
            <w:tcW w:w="666" w:type="pct"/>
            <w:vAlign w:val="center"/>
          </w:tcPr>
          <w:p w14:paraId="3E54407E" w14:textId="70B34F64" w:rsidR="00731D99" w:rsidRPr="005E3021" w:rsidRDefault="00731D99" w:rsidP="005E3021">
            <w:pPr>
              <w:spacing w:line="280" w:lineRule="exact"/>
              <w:jc w:val="center"/>
            </w:pPr>
            <w:r>
              <w:rPr>
                <w:rFonts w:hint="eastAsia"/>
              </w:rPr>
              <w:t>排水</w:t>
            </w:r>
          </w:p>
        </w:tc>
        <w:tc>
          <w:tcPr>
            <w:tcW w:w="4071" w:type="pct"/>
            <w:vAlign w:val="center"/>
          </w:tcPr>
          <w:p w14:paraId="1208A901" w14:textId="5401764A" w:rsidR="00731D99" w:rsidRDefault="00F82444" w:rsidP="00012EFF">
            <w:pPr>
              <w:spacing w:line="280" w:lineRule="exact"/>
            </w:pPr>
            <w:r>
              <w:rPr>
                <w:rFonts w:hint="eastAsia"/>
              </w:rPr>
              <w:t>现有工程已建</w:t>
            </w:r>
            <w:r w:rsidR="00731D99">
              <w:rPr>
                <w:rFonts w:hint="eastAsia"/>
              </w:rPr>
              <w:t>产生的废水主要为生产废水和生活污水，生产废水包括垃圾池渗滤液，垃圾卸料平台、车辆、厂房地面等的冲洗废水，初期雨水和冷却塔部分循环排污水、锅炉排污水、化水处理系统排污水。生产废水处理后全部回用，不外排。废水处理方式如下：（</w:t>
            </w:r>
            <w:r w:rsidR="00731D99">
              <w:rPr>
                <w:rFonts w:hint="eastAsia"/>
              </w:rPr>
              <w:t>1</w:t>
            </w:r>
            <w:r w:rsidR="00731D99">
              <w:rPr>
                <w:rFonts w:hint="eastAsia"/>
              </w:rPr>
              <w:t>）生活污水采用一座</w:t>
            </w:r>
            <w:r w:rsidR="00731D99">
              <w:rPr>
                <w:rFonts w:hint="eastAsia"/>
              </w:rPr>
              <w:t>48m</w:t>
            </w:r>
            <w:r w:rsidR="00731D99">
              <w:rPr>
                <w:rFonts w:hint="eastAsia"/>
              </w:rPr>
              <w:t>³</w:t>
            </w:r>
            <w:r w:rsidR="00731D99">
              <w:rPr>
                <w:rFonts w:hint="eastAsia"/>
              </w:rPr>
              <w:t>/d</w:t>
            </w:r>
            <w:r w:rsidR="00731D99">
              <w:rPr>
                <w:rFonts w:hint="eastAsia"/>
              </w:rPr>
              <w:t>的生活污水处理站，处理工艺为：“生活污水→格栅→调节池→污水提升泵→复合生化池（含厌氧</w:t>
            </w:r>
            <w:r w:rsidR="00731D99">
              <w:rPr>
                <w:rFonts w:hint="eastAsia"/>
              </w:rPr>
              <w:t>/</w:t>
            </w:r>
            <w:r w:rsidR="00731D99">
              <w:rPr>
                <w:rFonts w:hint="eastAsia"/>
              </w:rPr>
              <w:t>缺氧</w:t>
            </w:r>
            <w:r w:rsidR="00731D99">
              <w:rPr>
                <w:rFonts w:hint="eastAsia"/>
              </w:rPr>
              <w:t>/</w:t>
            </w:r>
            <w:r w:rsidR="00731D99">
              <w:rPr>
                <w:rFonts w:hint="eastAsia"/>
              </w:rPr>
              <w:t>好氧）→二沉池→污泥池→消毒池→清水池，</w:t>
            </w:r>
            <w:bookmarkStart w:id="78" w:name="OLE_LINK34"/>
            <w:r w:rsidR="00731D99">
              <w:rPr>
                <w:rFonts w:hint="eastAsia"/>
              </w:rPr>
              <w:t>处理后生活污水进入工业废水处理站的“超滤</w:t>
            </w:r>
            <w:r w:rsidR="00731D99">
              <w:rPr>
                <w:rFonts w:hint="eastAsia"/>
              </w:rPr>
              <w:t>+</w:t>
            </w:r>
            <w:r w:rsidR="00731D99">
              <w:rPr>
                <w:rFonts w:hint="eastAsia"/>
              </w:rPr>
              <w:t>反渗透”进行深度处理，处理后的生活污水达标后回用至冷却水塔。</w:t>
            </w:r>
            <w:bookmarkEnd w:id="78"/>
          </w:p>
          <w:p w14:paraId="71484714" w14:textId="77777777" w:rsidR="00731D99" w:rsidRDefault="00731D99" w:rsidP="00731D99">
            <w:pPr>
              <w:spacing w:line="280" w:lineRule="exact"/>
              <w:jc w:val="center"/>
            </w:pPr>
            <w:r>
              <w:rPr>
                <w:rFonts w:hint="eastAsia"/>
              </w:rPr>
              <w:t>（</w:t>
            </w:r>
            <w:r>
              <w:rPr>
                <w:rFonts w:hint="eastAsia"/>
              </w:rPr>
              <w:t>2</w:t>
            </w:r>
            <w:r>
              <w:rPr>
                <w:rFonts w:hint="eastAsia"/>
              </w:rPr>
              <w:t>）初期雨水先排入初期雨水收集池（</w:t>
            </w:r>
            <w:r>
              <w:rPr>
                <w:rFonts w:hint="eastAsia"/>
              </w:rPr>
              <w:t>275m</w:t>
            </w:r>
            <w:r>
              <w:rPr>
                <w:rFonts w:hint="eastAsia"/>
              </w:rPr>
              <w:t>³</w:t>
            </w:r>
            <w:r>
              <w:rPr>
                <w:rFonts w:hint="eastAsia"/>
              </w:rPr>
              <w:t>),</w:t>
            </w:r>
            <w:r>
              <w:rPr>
                <w:rFonts w:hint="eastAsia"/>
              </w:rPr>
              <w:t>再由泵提升至渗滤液处理站进行处理，同生产废水中的垃圾池渗滤液，垃圾卸料平台、车辆、厂房地面等的冲洗废水和初期雨水一并进入渗滤液处理站进行处理。处理工艺为“调节池＋</w:t>
            </w:r>
            <w:r>
              <w:rPr>
                <w:rFonts w:hint="eastAsia"/>
              </w:rPr>
              <w:t>UASB</w:t>
            </w:r>
            <w:r>
              <w:rPr>
                <w:rFonts w:hint="eastAsia"/>
              </w:rPr>
              <w:t>厌氧反应器＋</w:t>
            </w:r>
            <w:r>
              <w:rPr>
                <w:rFonts w:hint="eastAsia"/>
              </w:rPr>
              <w:t>MBR</w:t>
            </w:r>
            <w:r>
              <w:rPr>
                <w:rFonts w:hint="eastAsia"/>
              </w:rPr>
              <w:t>生化处理系统＋</w:t>
            </w:r>
            <w:r>
              <w:rPr>
                <w:rFonts w:hint="eastAsia"/>
              </w:rPr>
              <w:t>NF</w:t>
            </w:r>
            <w:r>
              <w:rPr>
                <w:rFonts w:hint="eastAsia"/>
              </w:rPr>
              <w:t>纳滤＋</w:t>
            </w:r>
            <w:r>
              <w:rPr>
                <w:rFonts w:hint="eastAsia"/>
              </w:rPr>
              <w:t>RO</w:t>
            </w:r>
            <w:r>
              <w:rPr>
                <w:rFonts w:hint="eastAsia"/>
              </w:rPr>
              <w:t>反渗透”。渗滤液处理站浓水采用</w:t>
            </w:r>
            <w:r>
              <w:rPr>
                <w:rFonts w:hint="eastAsia"/>
              </w:rPr>
              <w:t>STC</w:t>
            </w:r>
            <w:r>
              <w:rPr>
                <w:rFonts w:hint="eastAsia"/>
              </w:rPr>
              <w:t>（物料膜）二级处理装置（处理能力</w:t>
            </w:r>
            <w:r>
              <w:rPr>
                <w:rFonts w:hint="eastAsia"/>
              </w:rPr>
              <w:t>70m</w:t>
            </w:r>
            <w:r>
              <w:rPr>
                <w:rFonts w:hint="eastAsia"/>
              </w:rPr>
              <w:t>³</w:t>
            </w:r>
            <w:r>
              <w:rPr>
                <w:rFonts w:hint="eastAsia"/>
              </w:rPr>
              <w:t>/d</w:t>
            </w:r>
            <w:r>
              <w:rPr>
                <w:rFonts w:hint="eastAsia"/>
              </w:rPr>
              <w:t>），处理后清水回用于厂区冷却塔补水，浓水部分用于石灰制浆，部分回喷焚烧炉。</w:t>
            </w:r>
          </w:p>
          <w:p w14:paraId="413AE4AF" w14:textId="0ADCB46D" w:rsidR="00731D99" w:rsidRPr="005E3021" w:rsidRDefault="00731D99" w:rsidP="00731D99">
            <w:pPr>
              <w:spacing w:line="280" w:lineRule="exact"/>
              <w:jc w:val="center"/>
            </w:pPr>
            <w:r>
              <w:rPr>
                <w:rFonts w:hint="eastAsia"/>
              </w:rPr>
              <w:t>（</w:t>
            </w:r>
            <w:r>
              <w:rPr>
                <w:rFonts w:hint="eastAsia"/>
              </w:rPr>
              <w:t>3</w:t>
            </w:r>
            <w:r>
              <w:rPr>
                <w:rFonts w:hint="eastAsia"/>
              </w:rPr>
              <w:t>）冷却塔循环部分排污水进入工业废水处理站，主要工艺为“超滤</w:t>
            </w:r>
            <w:r>
              <w:rPr>
                <w:rFonts w:hint="eastAsia"/>
              </w:rPr>
              <w:t>+</w:t>
            </w:r>
            <w:r>
              <w:rPr>
                <w:rFonts w:hint="eastAsia"/>
              </w:rPr>
              <w:t>反渗透”，处理能力（</w:t>
            </w:r>
            <w:r>
              <w:rPr>
                <w:rFonts w:hint="eastAsia"/>
              </w:rPr>
              <w:t>550m</w:t>
            </w:r>
            <w:r>
              <w:rPr>
                <w:rFonts w:hint="eastAsia"/>
              </w:rPr>
              <w:t>³</w:t>
            </w:r>
            <w:r>
              <w:rPr>
                <w:rFonts w:hint="eastAsia"/>
              </w:rPr>
              <w:t>/d</w:t>
            </w:r>
            <w:r>
              <w:rPr>
                <w:rFonts w:hint="eastAsia"/>
              </w:rPr>
              <w:t>）。处理后的浓水回用于石灰制浆，清水回用。冷却塔循环另一部分排污水、锅炉排污水和化水处理系统排污水回用于冲洗用水、给料斗溜槽用水、炉排炉渣输送机用水、除渣机用水和飞灰稳定化用水，不外排。本次验收监测期间，渗滤液处理站及工业废水处理站处理后的清水均</w:t>
            </w:r>
            <w:r w:rsidR="00F32134" w:rsidRPr="00F32134">
              <w:t>满足《生活垃圾填埋场污染控制标准》（</w:t>
            </w:r>
            <w:r w:rsidR="00F32134" w:rsidRPr="00F32134">
              <w:t>GB16889-2024</w:t>
            </w:r>
            <w:r w:rsidR="00F32134" w:rsidRPr="00F32134">
              <w:t>）表</w:t>
            </w:r>
            <w:r w:rsidR="00F32134" w:rsidRPr="00F32134">
              <w:t>4</w:t>
            </w:r>
            <w:r w:rsidR="00F32134" w:rsidRPr="00F32134">
              <w:t>要求和</w:t>
            </w:r>
            <w:r w:rsidR="00311AEB">
              <w:rPr>
                <w:rFonts w:hint="eastAsia"/>
              </w:rPr>
              <w:t>《城市污水再生利用</w:t>
            </w:r>
            <w:r w:rsidR="00311AEB">
              <w:rPr>
                <w:rFonts w:hint="eastAsia"/>
              </w:rPr>
              <w:t xml:space="preserve"> </w:t>
            </w:r>
            <w:r w:rsidR="00311AEB">
              <w:rPr>
                <w:rFonts w:hint="eastAsia"/>
              </w:rPr>
              <w:t>工业用水水质》（</w:t>
            </w:r>
            <w:r w:rsidR="00311AEB">
              <w:rPr>
                <w:rFonts w:hint="eastAsia"/>
              </w:rPr>
              <w:t>GB/T19923-2024</w:t>
            </w:r>
            <w:r w:rsidR="00311AEB">
              <w:rPr>
                <w:rFonts w:hint="eastAsia"/>
              </w:rPr>
              <w:t>）</w:t>
            </w:r>
            <w:r w:rsidR="00F32134">
              <w:rPr>
                <w:rFonts w:hint="eastAsia"/>
              </w:rPr>
              <w:t>表</w:t>
            </w:r>
            <w:r w:rsidR="00F32134">
              <w:rPr>
                <w:rFonts w:hint="eastAsia"/>
              </w:rPr>
              <w:t>1</w:t>
            </w:r>
            <w:r w:rsidR="00535A47">
              <w:rPr>
                <w:rFonts w:hint="eastAsia"/>
              </w:rPr>
              <w:t>间冷开式循环冷却水补充水标准</w:t>
            </w:r>
            <w:r>
              <w:rPr>
                <w:rFonts w:hint="eastAsia"/>
              </w:rPr>
              <w:t>。</w:t>
            </w:r>
          </w:p>
        </w:tc>
      </w:tr>
      <w:tr w:rsidR="00731D99" w:rsidRPr="00261F7E" w14:paraId="19461C3C" w14:textId="77777777" w:rsidTr="005E3021">
        <w:trPr>
          <w:trHeight w:val="57"/>
          <w:jc w:val="center"/>
        </w:trPr>
        <w:tc>
          <w:tcPr>
            <w:tcW w:w="263" w:type="pct"/>
            <w:vMerge/>
            <w:vAlign w:val="center"/>
          </w:tcPr>
          <w:p w14:paraId="6938380E" w14:textId="77777777" w:rsidR="00731D99" w:rsidRDefault="00731D99" w:rsidP="005E3021">
            <w:pPr>
              <w:spacing w:line="280" w:lineRule="exact"/>
              <w:jc w:val="center"/>
            </w:pPr>
          </w:p>
        </w:tc>
        <w:tc>
          <w:tcPr>
            <w:tcW w:w="666" w:type="pct"/>
            <w:vAlign w:val="center"/>
          </w:tcPr>
          <w:p w14:paraId="2CCB5B30" w14:textId="29F9B574" w:rsidR="00731D99" w:rsidRPr="005E3021" w:rsidRDefault="00731D99" w:rsidP="005E3021">
            <w:pPr>
              <w:spacing w:line="280" w:lineRule="exact"/>
              <w:jc w:val="center"/>
            </w:pPr>
            <w:r>
              <w:rPr>
                <w:rFonts w:hint="eastAsia"/>
              </w:rPr>
              <w:t>供电</w:t>
            </w:r>
          </w:p>
        </w:tc>
        <w:tc>
          <w:tcPr>
            <w:tcW w:w="4071" w:type="pct"/>
            <w:vAlign w:val="center"/>
          </w:tcPr>
          <w:p w14:paraId="1075FBB6" w14:textId="03FD607C" w:rsidR="00731D99" w:rsidRPr="005E3021" w:rsidRDefault="00731D99" w:rsidP="00731D99">
            <w:pPr>
              <w:spacing w:line="280" w:lineRule="exact"/>
            </w:pPr>
            <w:r>
              <w:rPr>
                <w:rFonts w:hint="eastAsia"/>
              </w:rPr>
              <w:t>所发电量扣除自身厂用电外剩余电量全部送入地区系统电网，自地区电网引接一回独立于主电源外的</w:t>
            </w:r>
            <w:r>
              <w:rPr>
                <w:rFonts w:hint="eastAsia"/>
              </w:rPr>
              <w:t>10kV</w:t>
            </w:r>
            <w:r>
              <w:rPr>
                <w:rFonts w:hint="eastAsia"/>
              </w:rPr>
              <w:t>线路作为全厂生产保安电源。共</w:t>
            </w:r>
            <w:r>
              <w:rPr>
                <w:rFonts w:hint="eastAsia"/>
              </w:rPr>
              <w:t>4</w:t>
            </w:r>
            <w:r>
              <w:rPr>
                <w:rFonts w:hint="eastAsia"/>
              </w:rPr>
              <w:t>台变压器，</w:t>
            </w:r>
            <w:r>
              <w:rPr>
                <w:rFonts w:hint="eastAsia"/>
              </w:rPr>
              <w:t>1</w:t>
            </w:r>
            <w:r>
              <w:rPr>
                <w:rFonts w:hint="eastAsia"/>
              </w:rPr>
              <w:t>台备用。</w:t>
            </w:r>
          </w:p>
        </w:tc>
      </w:tr>
      <w:tr w:rsidR="00731D99" w:rsidRPr="00261F7E" w14:paraId="74DD0C39" w14:textId="77777777" w:rsidTr="005E3021">
        <w:trPr>
          <w:trHeight w:val="57"/>
          <w:jc w:val="center"/>
        </w:trPr>
        <w:tc>
          <w:tcPr>
            <w:tcW w:w="263" w:type="pct"/>
            <w:vMerge w:val="restart"/>
            <w:vAlign w:val="center"/>
          </w:tcPr>
          <w:p w14:paraId="2FD9BDDC" w14:textId="5D833D28" w:rsidR="00731D99" w:rsidRPr="005E3021" w:rsidRDefault="00731D99" w:rsidP="005E3021">
            <w:pPr>
              <w:spacing w:line="280" w:lineRule="exact"/>
              <w:jc w:val="center"/>
            </w:pPr>
            <w:r>
              <w:rPr>
                <w:rFonts w:hint="eastAsia"/>
              </w:rPr>
              <w:t>储运工程</w:t>
            </w:r>
          </w:p>
        </w:tc>
        <w:tc>
          <w:tcPr>
            <w:tcW w:w="666" w:type="pct"/>
            <w:vAlign w:val="center"/>
          </w:tcPr>
          <w:p w14:paraId="4F55772A" w14:textId="709724A0" w:rsidR="00731D99" w:rsidRPr="005E3021" w:rsidRDefault="00731D99" w:rsidP="005E3021">
            <w:pPr>
              <w:spacing w:line="280" w:lineRule="exact"/>
              <w:jc w:val="center"/>
            </w:pPr>
            <w:r w:rsidRPr="005E3021">
              <w:t>储油罐</w:t>
            </w:r>
          </w:p>
        </w:tc>
        <w:tc>
          <w:tcPr>
            <w:tcW w:w="4071" w:type="pct"/>
            <w:vAlign w:val="center"/>
          </w:tcPr>
          <w:p w14:paraId="1CC962B9" w14:textId="2DFF7367" w:rsidR="00731D99" w:rsidRPr="005E3021" w:rsidRDefault="00F82444" w:rsidP="00F82444">
            <w:pPr>
              <w:spacing w:line="280" w:lineRule="exact"/>
              <w:jc w:val="left"/>
            </w:pPr>
            <w:r>
              <w:rPr>
                <w:rFonts w:hint="eastAsia"/>
              </w:rPr>
              <w:t>现有工程已建</w:t>
            </w:r>
            <w:r w:rsidR="00731D99" w:rsidRPr="005E3021">
              <w:t>2</w:t>
            </w:r>
            <w:r w:rsidR="00731D99" w:rsidRPr="005E3021">
              <w:t>座</w:t>
            </w:r>
            <w:r w:rsidR="00731D99" w:rsidRPr="005E3021">
              <w:t>15m³</w:t>
            </w:r>
            <w:r w:rsidR="00731D99" w:rsidRPr="005E3021">
              <w:t>柴油钢制油罐，采用地埋式。</w:t>
            </w:r>
          </w:p>
        </w:tc>
      </w:tr>
      <w:tr w:rsidR="00731D99" w:rsidRPr="00261F7E" w14:paraId="76556DDF" w14:textId="77777777" w:rsidTr="005E3021">
        <w:trPr>
          <w:trHeight w:val="57"/>
          <w:jc w:val="center"/>
        </w:trPr>
        <w:tc>
          <w:tcPr>
            <w:tcW w:w="263" w:type="pct"/>
            <w:vMerge/>
            <w:vAlign w:val="center"/>
          </w:tcPr>
          <w:p w14:paraId="5F2AEFAD" w14:textId="77777777" w:rsidR="00731D99" w:rsidRPr="005E3021" w:rsidRDefault="00731D99" w:rsidP="005E3021">
            <w:pPr>
              <w:spacing w:line="280" w:lineRule="exact"/>
              <w:jc w:val="center"/>
            </w:pPr>
          </w:p>
        </w:tc>
        <w:tc>
          <w:tcPr>
            <w:tcW w:w="666" w:type="pct"/>
            <w:vAlign w:val="center"/>
          </w:tcPr>
          <w:p w14:paraId="0D399B30" w14:textId="0BB48BFF" w:rsidR="00731D99" w:rsidRPr="005E3021" w:rsidRDefault="00731D99" w:rsidP="005E3021">
            <w:pPr>
              <w:spacing w:line="280" w:lineRule="exact"/>
              <w:jc w:val="center"/>
            </w:pPr>
            <w:r w:rsidRPr="005E3021">
              <w:t>氨水储存罐</w:t>
            </w:r>
          </w:p>
        </w:tc>
        <w:tc>
          <w:tcPr>
            <w:tcW w:w="4071" w:type="pct"/>
            <w:vAlign w:val="center"/>
          </w:tcPr>
          <w:p w14:paraId="76034405" w14:textId="0A1DA2E9" w:rsidR="00731D99" w:rsidRPr="005E3021" w:rsidRDefault="00F82444" w:rsidP="00F82444">
            <w:pPr>
              <w:spacing w:line="280" w:lineRule="exact"/>
              <w:jc w:val="left"/>
            </w:pPr>
            <w:r>
              <w:rPr>
                <w:rFonts w:hint="eastAsia"/>
              </w:rPr>
              <w:t>现有工程已建</w:t>
            </w:r>
            <w:r w:rsidR="00731D99" w:rsidRPr="005E3021">
              <w:t>1</w:t>
            </w:r>
            <w:r w:rsidR="00731D99" w:rsidRPr="005E3021">
              <w:t>座</w:t>
            </w:r>
            <w:r w:rsidR="00731D99" w:rsidRPr="005E3021">
              <w:t>90m³</w:t>
            </w:r>
            <w:r w:rsidR="00731D99" w:rsidRPr="005E3021">
              <w:t>氨水罐，位于厂区南侧。</w:t>
            </w:r>
          </w:p>
        </w:tc>
      </w:tr>
      <w:tr w:rsidR="00731D99" w:rsidRPr="00261F7E" w14:paraId="6AF3C79D" w14:textId="77777777" w:rsidTr="005E3021">
        <w:trPr>
          <w:trHeight w:val="57"/>
          <w:jc w:val="center"/>
        </w:trPr>
        <w:tc>
          <w:tcPr>
            <w:tcW w:w="263" w:type="pct"/>
            <w:vMerge/>
            <w:vAlign w:val="center"/>
          </w:tcPr>
          <w:p w14:paraId="4665002B" w14:textId="77777777" w:rsidR="00731D99" w:rsidRPr="005E3021" w:rsidRDefault="00731D99" w:rsidP="005E3021">
            <w:pPr>
              <w:spacing w:line="280" w:lineRule="exact"/>
              <w:jc w:val="center"/>
            </w:pPr>
          </w:p>
        </w:tc>
        <w:tc>
          <w:tcPr>
            <w:tcW w:w="666" w:type="pct"/>
            <w:vAlign w:val="center"/>
          </w:tcPr>
          <w:p w14:paraId="2BC44AB6" w14:textId="474D7E94" w:rsidR="00731D99" w:rsidRPr="005E3021" w:rsidRDefault="00731D99" w:rsidP="005E3021">
            <w:pPr>
              <w:spacing w:line="280" w:lineRule="exact"/>
              <w:jc w:val="center"/>
            </w:pPr>
            <w:r w:rsidRPr="005E3021">
              <w:t>盐酸（</w:t>
            </w:r>
            <w:r w:rsidRPr="005E3021">
              <w:t>30%</w:t>
            </w:r>
            <w:r w:rsidRPr="005E3021">
              <w:t>）</w:t>
            </w:r>
          </w:p>
        </w:tc>
        <w:tc>
          <w:tcPr>
            <w:tcW w:w="4071" w:type="pct"/>
            <w:vAlign w:val="center"/>
          </w:tcPr>
          <w:p w14:paraId="247300D6" w14:textId="0DC4E736" w:rsidR="00731D99" w:rsidRPr="005E3021" w:rsidRDefault="00F82444" w:rsidP="00F82444">
            <w:pPr>
              <w:spacing w:line="280" w:lineRule="exact"/>
              <w:jc w:val="left"/>
            </w:pPr>
            <w:r>
              <w:rPr>
                <w:rFonts w:hint="eastAsia"/>
              </w:rPr>
              <w:t>现有工程已建</w:t>
            </w:r>
            <w:r w:rsidR="00731D99" w:rsidRPr="005E3021">
              <w:t>盐酸储罐</w:t>
            </w:r>
            <w:r>
              <w:rPr>
                <w:rFonts w:hint="eastAsia"/>
              </w:rPr>
              <w:t>，</w:t>
            </w:r>
            <w:r w:rsidR="00731D99" w:rsidRPr="005E3021">
              <w:t>位于渗滤液处理站，贮存规模为</w:t>
            </w:r>
            <w:r w:rsidR="00731D99" w:rsidRPr="005E3021">
              <w:t>1×10t</w:t>
            </w:r>
            <w:r w:rsidR="00731D99" w:rsidRPr="005E3021">
              <w:t>。</w:t>
            </w:r>
          </w:p>
        </w:tc>
      </w:tr>
      <w:tr w:rsidR="00731D99" w:rsidRPr="00261F7E" w14:paraId="39599902" w14:textId="77777777" w:rsidTr="005E3021">
        <w:trPr>
          <w:trHeight w:val="57"/>
          <w:jc w:val="center"/>
        </w:trPr>
        <w:tc>
          <w:tcPr>
            <w:tcW w:w="263" w:type="pct"/>
            <w:vMerge/>
            <w:vAlign w:val="center"/>
          </w:tcPr>
          <w:p w14:paraId="253DC2E1" w14:textId="77777777" w:rsidR="00731D99" w:rsidRPr="005E3021" w:rsidRDefault="00731D99" w:rsidP="005E3021">
            <w:pPr>
              <w:spacing w:line="280" w:lineRule="exact"/>
              <w:jc w:val="center"/>
            </w:pPr>
          </w:p>
        </w:tc>
        <w:tc>
          <w:tcPr>
            <w:tcW w:w="666" w:type="pct"/>
            <w:vAlign w:val="center"/>
          </w:tcPr>
          <w:p w14:paraId="4D69FA7E" w14:textId="7A7FA783" w:rsidR="00731D99" w:rsidRPr="005E3021" w:rsidRDefault="00731D99" w:rsidP="005E3021">
            <w:pPr>
              <w:spacing w:line="280" w:lineRule="exact"/>
              <w:jc w:val="center"/>
            </w:pPr>
            <w:r w:rsidRPr="005E3021">
              <w:t>石灰仓</w:t>
            </w:r>
          </w:p>
        </w:tc>
        <w:tc>
          <w:tcPr>
            <w:tcW w:w="4071" w:type="pct"/>
            <w:vAlign w:val="center"/>
          </w:tcPr>
          <w:p w14:paraId="75BB9BEC" w14:textId="551E6536" w:rsidR="00731D99" w:rsidRPr="005E3021" w:rsidRDefault="00731D99" w:rsidP="00F82444">
            <w:pPr>
              <w:spacing w:line="280" w:lineRule="exact"/>
              <w:jc w:val="left"/>
            </w:pPr>
            <w:r w:rsidRPr="005E3021">
              <w:t>1</w:t>
            </w:r>
            <w:r w:rsidRPr="005E3021">
              <w:t>座容积为</w:t>
            </w:r>
            <w:r w:rsidRPr="005E3021">
              <w:t>225m³</w:t>
            </w:r>
            <w:r w:rsidRPr="005E3021">
              <w:t>的石灰仓和</w:t>
            </w:r>
            <w:r w:rsidRPr="005E3021">
              <w:t>1</w:t>
            </w:r>
            <w:r w:rsidRPr="005E3021">
              <w:t>座容积为</w:t>
            </w:r>
            <w:r w:rsidRPr="005E3021">
              <w:t>30m³</w:t>
            </w:r>
            <w:r w:rsidRPr="005E3021">
              <w:t>的石灰仓。</w:t>
            </w:r>
          </w:p>
        </w:tc>
      </w:tr>
      <w:tr w:rsidR="00731D99" w:rsidRPr="00261F7E" w14:paraId="3D4B96B0" w14:textId="77777777" w:rsidTr="005E3021">
        <w:trPr>
          <w:trHeight w:val="57"/>
          <w:jc w:val="center"/>
        </w:trPr>
        <w:tc>
          <w:tcPr>
            <w:tcW w:w="263" w:type="pct"/>
            <w:vMerge/>
            <w:vAlign w:val="center"/>
          </w:tcPr>
          <w:p w14:paraId="3D4FA756" w14:textId="77777777" w:rsidR="00731D99" w:rsidRPr="005E3021" w:rsidRDefault="00731D99" w:rsidP="005E3021">
            <w:pPr>
              <w:spacing w:line="280" w:lineRule="exact"/>
              <w:jc w:val="center"/>
            </w:pPr>
          </w:p>
        </w:tc>
        <w:tc>
          <w:tcPr>
            <w:tcW w:w="666" w:type="pct"/>
            <w:vAlign w:val="center"/>
          </w:tcPr>
          <w:p w14:paraId="33D35E44" w14:textId="2128B8A1" w:rsidR="00731D99" w:rsidRPr="005E3021" w:rsidRDefault="00731D99" w:rsidP="005E3021">
            <w:pPr>
              <w:spacing w:line="280" w:lineRule="exact"/>
              <w:jc w:val="center"/>
            </w:pPr>
            <w:r w:rsidRPr="005E3021">
              <w:t>活性炭仓</w:t>
            </w:r>
          </w:p>
        </w:tc>
        <w:tc>
          <w:tcPr>
            <w:tcW w:w="4071" w:type="pct"/>
            <w:vAlign w:val="center"/>
          </w:tcPr>
          <w:p w14:paraId="4ED4303E" w14:textId="25E5B11B" w:rsidR="00731D99" w:rsidRPr="005E3021" w:rsidRDefault="00F82444" w:rsidP="00F82444">
            <w:pPr>
              <w:spacing w:line="280" w:lineRule="exact"/>
              <w:jc w:val="left"/>
            </w:pPr>
            <w:r>
              <w:rPr>
                <w:rFonts w:hint="eastAsia"/>
              </w:rPr>
              <w:t>现有工程已建</w:t>
            </w:r>
            <w:r>
              <w:rPr>
                <w:rFonts w:hint="eastAsia"/>
              </w:rPr>
              <w:t>1</w:t>
            </w:r>
            <w:r w:rsidR="00731D99" w:rsidRPr="005E3021">
              <w:t>座</w:t>
            </w:r>
            <w:r w:rsidR="00731D99" w:rsidRPr="005E3021">
              <w:t>13m³</w:t>
            </w:r>
            <w:r w:rsidR="00731D99" w:rsidRPr="005E3021">
              <w:t>的活性炭仓，用于贮存活性炭，活性炭吸附用于当焚烧炉全部停运时，自动开启除臭风机，将臭气送入活性炭吸附装置净化处理后排放。以及焚烧炉废气以喷射方式喷射活性炭，达到去除二噁英等物质。</w:t>
            </w:r>
          </w:p>
        </w:tc>
      </w:tr>
      <w:tr w:rsidR="0049630B" w:rsidRPr="00261F7E" w14:paraId="2C2A564A" w14:textId="77777777" w:rsidTr="005E3021">
        <w:trPr>
          <w:trHeight w:val="57"/>
          <w:jc w:val="center"/>
        </w:trPr>
        <w:tc>
          <w:tcPr>
            <w:tcW w:w="263" w:type="pct"/>
            <w:vMerge/>
            <w:vAlign w:val="center"/>
          </w:tcPr>
          <w:p w14:paraId="253F93EE" w14:textId="77777777" w:rsidR="0049630B" w:rsidRPr="005E3021" w:rsidRDefault="0049630B" w:rsidP="005E3021">
            <w:pPr>
              <w:spacing w:line="280" w:lineRule="exact"/>
              <w:jc w:val="center"/>
            </w:pPr>
          </w:p>
        </w:tc>
        <w:tc>
          <w:tcPr>
            <w:tcW w:w="666" w:type="pct"/>
            <w:vAlign w:val="center"/>
          </w:tcPr>
          <w:p w14:paraId="131AD1FA" w14:textId="16B11571" w:rsidR="0049630B" w:rsidRPr="005E3021" w:rsidRDefault="0049630B" w:rsidP="005E3021">
            <w:pPr>
              <w:spacing w:line="280" w:lineRule="exact"/>
              <w:jc w:val="center"/>
            </w:pPr>
            <w:r>
              <w:rPr>
                <w:rFonts w:hint="eastAsia"/>
              </w:rPr>
              <w:t>湿污泥储仓</w:t>
            </w:r>
          </w:p>
        </w:tc>
        <w:tc>
          <w:tcPr>
            <w:tcW w:w="4071" w:type="pct"/>
            <w:vAlign w:val="center"/>
          </w:tcPr>
          <w:p w14:paraId="06F6265C" w14:textId="7A66DAC8" w:rsidR="0049630B" w:rsidRDefault="0049630B" w:rsidP="00F82444">
            <w:pPr>
              <w:spacing w:line="280" w:lineRule="exact"/>
              <w:jc w:val="left"/>
            </w:pPr>
            <w:r>
              <w:rPr>
                <w:rFonts w:hint="eastAsia"/>
              </w:rPr>
              <w:t>现有工程已建</w:t>
            </w:r>
            <w:r w:rsidRPr="0049630B">
              <w:rPr>
                <w:rFonts w:hint="eastAsia"/>
              </w:rPr>
              <w:t>3</w:t>
            </w:r>
            <w:r w:rsidRPr="0049630B">
              <w:rPr>
                <w:rFonts w:hint="eastAsia"/>
              </w:rPr>
              <w:t>座污泥接收仓，单个容积</w:t>
            </w:r>
            <w:r w:rsidRPr="0049630B">
              <w:rPr>
                <w:rFonts w:hint="eastAsia"/>
              </w:rPr>
              <w:t>150m</w:t>
            </w:r>
            <w:r w:rsidRPr="00AD4F71">
              <w:rPr>
                <w:rFonts w:hint="eastAsia"/>
                <w:vertAlign w:val="superscript"/>
              </w:rPr>
              <w:t>3</w:t>
            </w:r>
            <w:r w:rsidRPr="0049630B">
              <w:rPr>
                <w:rFonts w:hint="eastAsia"/>
              </w:rPr>
              <w:t>，用于存储湿污泥。</w:t>
            </w:r>
          </w:p>
        </w:tc>
      </w:tr>
      <w:tr w:rsidR="00731D99" w:rsidRPr="00261F7E" w14:paraId="5353EE10" w14:textId="77777777" w:rsidTr="005E3021">
        <w:trPr>
          <w:trHeight w:val="57"/>
          <w:jc w:val="center"/>
        </w:trPr>
        <w:tc>
          <w:tcPr>
            <w:tcW w:w="263" w:type="pct"/>
            <w:vMerge/>
            <w:vAlign w:val="center"/>
          </w:tcPr>
          <w:p w14:paraId="17E0A173" w14:textId="77777777" w:rsidR="00731D99" w:rsidRPr="005E3021" w:rsidRDefault="00731D99" w:rsidP="005E3021">
            <w:pPr>
              <w:spacing w:line="280" w:lineRule="exact"/>
              <w:jc w:val="center"/>
            </w:pPr>
          </w:p>
        </w:tc>
        <w:tc>
          <w:tcPr>
            <w:tcW w:w="666" w:type="pct"/>
            <w:vAlign w:val="center"/>
          </w:tcPr>
          <w:p w14:paraId="1F9E8582" w14:textId="323FB914" w:rsidR="00731D99" w:rsidRPr="005E3021" w:rsidRDefault="00731D99" w:rsidP="005E3021">
            <w:pPr>
              <w:spacing w:line="280" w:lineRule="exact"/>
              <w:jc w:val="center"/>
            </w:pPr>
            <w:r w:rsidRPr="005E3021">
              <w:t>渣坑</w:t>
            </w:r>
          </w:p>
        </w:tc>
        <w:tc>
          <w:tcPr>
            <w:tcW w:w="4071" w:type="pct"/>
            <w:vAlign w:val="center"/>
          </w:tcPr>
          <w:p w14:paraId="1F747FB4" w14:textId="3BFAF715" w:rsidR="00731D99" w:rsidRPr="005E3021" w:rsidRDefault="00F82444" w:rsidP="00F82444">
            <w:pPr>
              <w:spacing w:line="280" w:lineRule="exact"/>
              <w:jc w:val="left"/>
            </w:pPr>
            <w:r>
              <w:rPr>
                <w:rFonts w:hint="eastAsia"/>
              </w:rPr>
              <w:t>现有工程已建</w:t>
            </w:r>
            <w:r w:rsidR="00731D99" w:rsidRPr="005E3021">
              <w:t>厂内建设</w:t>
            </w:r>
            <w:r w:rsidR="00731D99" w:rsidRPr="005E3021">
              <w:t>1</w:t>
            </w:r>
            <w:r w:rsidR="00731D99" w:rsidRPr="005E3021">
              <w:t>座</w:t>
            </w:r>
            <w:r w:rsidR="00731D99" w:rsidRPr="005E3021">
              <w:t>4.5m</w:t>
            </w:r>
            <w:r w:rsidR="00731D99" w:rsidRPr="005E3021">
              <w:t>深的渣坑，渣坑的有效存储容积为</w:t>
            </w:r>
            <w:r w:rsidR="00731D99" w:rsidRPr="005E3021">
              <w:t>954m³,</w:t>
            </w:r>
            <w:r w:rsidR="00731D99" w:rsidRPr="005E3021">
              <w:t>可满足贮存</w:t>
            </w:r>
            <w:r w:rsidR="00731D99" w:rsidRPr="005E3021">
              <w:t>3d</w:t>
            </w:r>
            <w:r w:rsidR="00731D99" w:rsidRPr="005E3021">
              <w:t>炉渣量。</w:t>
            </w:r>
          </w:p>
        </w:tc>
      </w:tr>
      <w:tr w:rsidR="00731D99" w:rsidRPr="00261F7E" w14:paraId="0A565EA6" w14:textId="77777777" w:rsidTr="005E3021">
        <w:trPr>
          <w:trHeight w:val="57"/>
          <w:jc w:val="center"/>
        </w:trPr>
        <w:tc>
          <w:tcPr>
            <w:tcW w:w="263" w:type="pct"/>
            <w:vMerge/>
            <w:vAlign w:val="center"/>
          </w:tcPr>
          <w:p w14:paraId="55E0B533" w14:textId="77777777" w:rsidR="00731D99" w:rsidRPr="005E3021" w:rsidRDefault="00731D99" w:rsidP="005E3021">
            <w:pPr>
              <w:spacing w:line="280" w:lineRule="exact"/>
              <w:jc w:val="center"/>
            </w:pPr>
          </w:p>
        </w:tc>
        <w:tc>
          <w:tcPr>
            <w:tcW w:w="666" w:type="pct"/>
            <w:vAlign w:val="center"/>
          </w:tcPr>
          <w:p w14:paraId="28945A1E" w14:textId="62E14A05" w:rsidR="00731D99" w:rsidRPr="005E3021" w:rsidRDefault="00731D99" w:rsidP="005E3021">
            <w:pPr>
              <w:spacing w:line="280" w:lineRule="exact"/>
              <w:jc w:val="center"/>
            </w:pPr>
            <w:r w:rsidRPr="005E3021">
              <w:t>飞灰仓</w:t>
            </w:r>
          </w:p>
        </w:tc>
        <w:tc>
          <w:tcPr>
            <w:tcW w:w="4071" w:type="pct"/>
            <w:vAlign w:val="center"/>
          </w:tcPr>
          <w:p w14:paraId="5E51FCA6" w14:textId="1BB8B92E" w:rsidR="00731D99" w:rsidRPr="005E3021" w:rsidRDefault="00F82444" w:rsidP="00F82444">
            <w:pPr>
              <w:spacing w:line="280" w:lineRule="exact"/>
              <w:jc w:val="left"/>
            </w:pPr>
            <w:r>
              <w:rPr>
                <w:rFonts w:hint="eastAsia"/>
              </w:rPr>
              <w:t>现有工程已建</w:t>
            </w:r>
            <w:r w:rsidR="00731D99" w:rsidRPr="005E3021">
              <w:t>2</w:t>
            </w:r>
            <w:r w:rsidR="00731D99" w:rsidRPr="005E3021">
              <w:t>座</w:t>
            </w:r>
            <w:r w:rsidR="00731D99" w:rsidRPr="005E3021">
              <w:t>235m³</w:t>
            </w:r>
            <w:r w:rsidR="00731D99" w:rsidRPr="005E3021">
              <w:t>飞灰仓，用于贮存</w:t>
            </w:r>
            <w:r w:rsidR="00731D99" w:rsidRPr="005E3021">
              <w:t>3</w:t>
            </w:r>
            <w:r w:rsidR="00731D99" w:rsidRPr="005E3021">
              <w:t>台炉产生的飞灰。</w:t>
            </w:r>
            <w:r w:rsidR="00731D99" w:rsidRPr="005E3021">
              <w:t>2</w:t>
            </w:r>
            <w:r w:rsidR="00731D99" w:rsidRPr="005E3021">
              <w:t>座飞灰仓可满足</w:t>
            </w:r>
            <w:r w:rsidR="00731D99" w:rsidRPr="005E3021">
              <w:t>5d</w:t>
            </w:r>
            <w:r w:rsidR="00731D99" w:rsidRPr="005E3021">
              <w:t>飞灰的存贮量。</w:t>
            </w:r>
          </w:p>
        </w:tc>
      </w:tr>
      <w:tr w:rsidR="00731D99" w:rsidRPr="00261F7E" w14:paraId="0D8F8F92" w14:textId="77777777" w:rsidTr="005E3021">
        <w:trPr>
          <w:trHeight w:val="57"/>
          <w:jc w:val="center"/>
        </w:trPr>
        <w:tc>
          <w:tcPr>
            <w:tcW w:w="263" w:type="pct"/>
            <w:vMerge/>
            <w:vAlign w:val="center"/>
          </w:tcPr>
          <w:p w14:paraId="2E79C0D3" w14:textId="77777777" w:rsidR="00731D99" w:rsidRPr="005E3021" w:rsidRDefault="00731D99" w:rsidP="005E3021">
            <w:pPr>
              <w:spacing w:line="280" w:lineRule="exact"/>
              <w:jc w:val="center"/>
            </w:pPr>
          </w:p>
        </w:tc>
        <w:tc>
          <w:tcPr>
            <w:tcW w:w="666" w:type="pct"/>
            <w:vAlign w:val="center"/>
          </w:tcPr>
          <w:p w14:paraId="0FE7332D" w14:textId="4CC44D93" w:rsidR="00731D99" w:rsidRPr="005E3021" w:rsidRDefault="00731D99" w:rsidP="005E3021">
            <w:pPr>
              <w:spacing w:line="280" w:lineRule="exact"/>
              <w:jc w:val="center"/>
            </w:pPr>
            <w:r w:rsidRPr="005E3021">
              <w:t>飞灰稳定化暂存库</w:t>
            </w:r>
          </w:p>
        </w:tc>
        <w:tc>
          <w:tcPr>
            <w:tcW w:w="4071" w:type="pct"/>
            <w:vAlign w:val="center"/>
          </w:tcPr>
          <w:p w14:paraId="33A2F4A1" w14:textId="3236A4F7" w:rsidR="00731D99" w:rsidRPr="005E3021" w:rsidRDefault="00F82444" w:rsidP="00F82444">
            <w:pPr>
              <w:spacing w:line="280" w:lineRule="exact"/>
              <w:jc w:val="left"/>
            </w:pPr>
            <w:r>
              <w:rPr>
                <w:rFonts w:hint="eastAsia"/>
              </w:rPr>
              <w:t>现有工程已建</w:t>
            </w:r>
            <w:r w:rsidR="00731D99" w:rsidRPr="005E3021">
              <w:t>飞灰</w:t>
            </w:r>
            <w:bookmarkStart w:id="79" w:name="OLE_LINK48"/>
            <w:r w:rsidR="00731D99" w:rsidRPr="005E3021">
              <w:t>稳定化暂存库</w:t>
            </w:r>
            <w:bookmarkEnd w:id="79"/>
            <w:r w:rsidR="00731D99" w:rsidRPr="005E3021">
              <w:t>位于厂区南侧，占地面积</w:t>
            </w:r>
            <w:r w:rsidR="00731D99" w:rsidRPr="005E3021">
              <w:t>480m</w:t>
            </w:r>
            <w:r w:rsidR="00731D99" w:rsidRPr="00F82444">
              <w:rPr>
                <w:vertAlign w:val="superscript"/>
              </w:rPr>
              <w:t>2</w:t>
            </w:r>
            <w:r w:rsidR="00731D99" w:rsidRPr="005E3021">
              <w:t>。</w:t>
            </w:r>
          </w:p>
        </w:tc>
      </w:tr>
      <w:tr w:rsidR="00731D99" w:rsidRPr="00261F7E" w14:paraId="3602A1A9" w14:textId="77777777" w:rsidTr="005E3021">
        <w:trPr>
          <w:trHeight w:val="57"/>
          <w:jc w:val="center"/>
        </w:trPr>
        <w:tc>
          <w:tcPr>
            <w:tcW w:w="263" w:type="pct"/>
            <w:vMerge/>
            <w:vAlign w:val="center"/>
          </w:tcPr>
          <w:p w14:paraId="578387AA" w14:textId="77777777" w:rsidR="00731D99" w:rsidRPr="005E3021" w:rsidRDefault="00731D99" w:rsidP="005E3021">
            <w:pPr>
              <w:spacing w:line="280" w:lineRule="exact"/>
              <w:jc w:val="center"/>
            </w:pPr>
          </w:p>
        </w:tc>
        <w:tc>
          <w:tcPr>
            <w:tcW w:w="666" w:type="pct"/>
            <w:vAlign w:val="center"/>
          </w:tcPr>
          <w:p w14:paraId="6BF8645D" w14:textId="04BEB6FB" w:rsidR="00731D99" w:rsidRPr="005E3021" w:rsidRDefault="00731D99" w:rsidP="005E3021">
            <w:pPr>
              <w:spacing w:line="280" w:lineRule="exact"/>
              <w:jc w:val="center"/>
            </w:pPr>
            <w:r w:rsidRPr="005E3021">
              <w:t>垃圾运输、</w:t>
            </w:r>
            <w:r w:rsidRPr="005E3021">
              <w:lastRenderedPageBreak/>
              <w:t>垃圾廊道</w:t>
            </w:r>
          </w:p>
        </w:tc>
        <w:tc>
          <w:tcPr>
            <w:tcW w:w="4071" w:type="pct"/>
            <w:vAlign w:val="center"/>
          </w:tcPr>
          <w:p w14:paraId="2FF9E494" w14:textId="6EDCD71E" w:rsidR="00731D99" w:rsidRPr="005E3021" w:rsidRDefault="00731D99" w:rsidP="00F82444">
            <w:pPr>
              <w:spacing w:line="280" w:lineRule="exact"/>
              <w:jc w:val="left"/>
            </w:pPr>
            <w:r w:rsidRPr="005E3021">
              <w:lastRenderedPageBreak/>
              <w:t>垃圾运输车从厂区西侧物流口进入厂区后，沿密闭的垃圾运输通道，</w:t>
            </w:r>
          </w:p>
          <w:p w14:paraId="332F3B4C" w14:textId="2AB8AA31" w:rsidR="00731D99" w:rsidRPr="005E3021" w:rsidRDefault="00731D99" w:rsidP="00F82444">
            <w:pPr>
              <w:spacing w:line="280" w:lineRule="exact"/>
              <w:jc w:val="left"/>
            </w:pPr>
            <w:r w:rsidRPr="005E3021">
              <w:lastRenderedPageBreak/>
              <w:t>进入卸料大厅。运输垃圾通道定期冲洗。</w:t>
            </w:r>
          </w:p>
        </w:tc>
      </w:tr>
      <w:tr w:rsidR="00AD4F71" w:rsidRPr="00261F7E" w14:paraId="3BB42820" w14:textId="77777777" w:rsidTr="005E3021">
        <w:trPr>
          <w:trHeight w:val="57"/>
          <w:jc w:val="center"/>
        </w:trPr>
        <w:tc>
          <w:tcPr>
            <w:tcW w:w="263" w:type="pct"/>
            <w:vMerge/>
            <w:vAlign w:val="center"/>
          </w:tcPr>
          <w:p w14:paraId="39B77234" w14:textId="77777777" w:rsidR="00AD4F71" w:rsidRPr="005E3021" w:rsidRDefault="00AD4F71" w:rsidP="00AD4F71">
            <w:pPr>
              <w:spacing w:line="280" w:lineRule="exact"/>
              <w:jc w:val="center"/>
            </w:pPr>
          </w:p>
        </w:tc>
        <w:tc>
          <w:tcPr>
            <w:tcW w:w="666" w:type="pct"/>
            <w:vAlign w:val="center"/>
          </w:tcPr>
          <w:p w14:paraId="4DA4F674" w14:textId="5F206663" w:rsidR="00AD4F71" w:rsidRPr="005E3021" w:rsidRDefault="00AD4F71" w:rsidP="00AD4F71">
            <w:pPr>
              <w:spacing w:line="280" w:lineRule="exact"/>
              <w:jc w:val="center"/>
            </w:pPr>
            <w:r>
              <w:rPr>
                <w:rFonts w:hint="eastAsia"/>
              </w:rPr>
              <w:t>危废贮存库</w:t>
            </w:r>
          </w:p>
        </w:tc>
        <w:tc>
          <w:tcPr>
            <w:tcW w:w="4071" w:type="pct"/>
            <w:vAlign w:val="center"/>
          </w:tcPr>
          <w:p w14:paraId="4C8F9782" w14:textId="7904D82D" w:rsidR="00AD4F71" w:rsidRPr="005E3021" w:rsidRDefault="00AD4F71" w:rsidP="00AD4F71">
            <w:pPr>
              <w:spacing w:line="280" w:lineRule="exact"/>
              <w:jc w:val="left"/>
            </w:pPr>
            <w:r>
              <w:rPr>
                <w:rFonts w:hint="eastAsia"/>
              </w:rPr>
              <w:t>现有工程已建</w:t>
            </w:r>
            <w:r w:rsidRPr="005E3021">
              <w:t>1</w:t>
            </w:r>
            <w:r w:rsidRPr="005E3021">
              <w:t>座</w:t>
            </w:r>
            <w:r w:rsidRPr="005E3021">
              <w:t>50</w:t>
            </w:r>
            <w:r w:rsidRPr="005E3021">
              <w:t>㎡，位于飞灰稳定化暂存库里。用做暂存产生的渗滤液处理站废过滤膜、废布袋、废变压器油、废机油和实验室废液等危险废物。</w:t>
            </w:r>
          </w:p>
        </w:tc>
      </w:tr>
      <w:tr w:rsidR="00AD4F71" w:rsidRPr="00261F7E" w14:paraId="078FC408" w14:textId="77777777" w:rsidTr="005E3021">
        <w:trPr>
          <w:trHeight w:val="57"/>
          <w:jc w:val="center"/>
        </w:trPr>
        <w:tc>
          <w:tcPr>
            <w:tcW w:w="263" w:type="pct"/>
            <w:vMerge/>
            <w:vAlign w:val="center"/>
          </w:tcPr>
          <w:p w14:paraId="41CD3677" w14:textId="77777777" w:rsidR="00AD4F71" w:rsidRPr="005E3021" w:rsidRDefault="00AD4F71" w:rsidP="00AD4F71">
            <w:pPr>
              <w:spacing w:line="280" w:lineRule="exact"/>
              <w:jc w:val="center"/>
            </w:pPr>
          </w:p>
        </w:tc>
        <w:tc>
          <w:tcPr>
            <w:tcW w:w="666" w:type="pct"/>
            <w:vAlign w:val="center"/>
          </w:tcPr>
          <w:p w14:paraId="78AF3CA8" w14:textId="49E62BFC" w:rsidR="00AD4F71" w:rsidRPr="005E3021" w:rsidRDefault="00AD4F71" w:rsidP="00AD4F71">
            <w:pPr>
              <w:spacing w:line="280" w:lineRule="exact"/>
              <w:jc w:val="center"/>
            </w:pPr>
            <w:r w:rsidRPr="005E3021">
              <w:t>渗滤液处理站事故池</w:t>
            </w:r>
          </w:p>
        </w:tc>
        <w:tc>
          <w:tcPr>
            <w:tcW w:w="4071" w:type="pct"/>
            <w:vAlign w:val="center"/>
          </w:tcPr>
          <w:p w14:paraId="75B6F988" w14:textId="1E324348" w:rsidR="00AD4F71" w:rsidRPr="005E3021" w:rsidRDefault="00AD4F71" w:rsidP="00AD4F71">
            <w:pPr>
              <w:spacing w:line="280" w:lineRule="exact"/>
              <w:jc w:val="left"/>
            </w:pPr>
            <w:r>
              <w:rPr>
                <w:rFonts w:hint="eastAsia"/>
              </w:rPr>
              <w:t>现有工程已建</w:t>
            </w:r>
            <w:r w:rsidRPr="005E3021">
              <w:t>1</w:t>
            </w:r>
            <w:r w:rsidRPr="005E3021">
              <w:t>座</w:t>
            </w:r>
            <w:r w:rsidRPr="005E3021">
              <w:t>450m³</w:t>
            </w:r>
            <w:r w:rsidRPr="005E3021">
              <w:t>渗滤液处理站事故池。</w:t>
            </w:r>
          </w:p>
        </w:tc>
      </w:tr>
      <w:tr w:rsidR="00AD4F71" w:rsidRPr="00261F7E" w14:paraId="69DC276D" w14:textId="77777777" w:rsidTr="005E3021">
        <w:trPr>
          <w:trHeight w:val="57"/>
          <w:jc w:val="center"/>
        </w:trPr>
        <w:tc>
          <w:tcPr>
            <w:tcW w:w="263" w:type="pct"/>
            <w:vMerge/>
            <w:vAlign w:val="center"/>
          </w:tcPr>
          <w:p w14:paraId="0516F4C1" w14:textId="77777777" w:rsidR="00AD4F71" w:rsidRPr="005E3021" w:rsidRDefault="00AD4F71" w:rsidP="00AD4F71">
            <w:pPr>
              <w:spacing w:line="280" w:lineRule="exact"/>
              <w:jc w:val="center"/>
            </w:pPr>
          </w:p>
        </w:tc>
        <w:tc>
          <w:tcPr>
            <w:tcW w:w="666" w:type="pct"/>
            <w:vAlign w:val="center"/>
          </w:tcPr>
          <w:p w14:paraId="5CB839FF" w14:textId="094BE7BE" w:rsidR="00AD4F71" w:rsidRPr="005E3021" w:rsidRDefault="00AD4F71" w:rsidP="00AD4F71">
            <w:pPr>
              <w:spacing w:line="280" w:lineRule="exact"/>
              <w:jc w:val="center"/>
            </w:pPr>
            <w:r w:rsidRPr="005E3021">
              <w:t>初期雨水收集池</w:t>
            </w:r>
          </w:p>
        </w:tc>
        <w:tc>
          <w:tcPr>
            <w:tcW w:w="4071" w:type="pct"/>
            <w:vAlign w:val="center"/>
          </w:tcPr>
          <w:p w14:paraId="2295DA15" w14:textId="40061B8C" w:rsidR="00AD4F71" w:rsidRPr="005E3021" w:rsidRDefault="00AD4F71" w:rsidP="00AD4F71">
            <w:pPr>
              <w:spacing w:line="280" w:lineRule="exact"/>
              <w:jc w:val="left"/>
            </w:pPr>
            <w:r>
              <w:rPr>
                <w:rFonts w:hint="eastAsia"/>
              </w:rPr>
              <w:t>现有工程已建</w:t>
            </w:r>
            <w:r>
              <w:rPr>
                <w:rFonts w:hint="eastAsia"/>
              </w:rPr>
              <w:t>1</w:t>
            </w:r>
            <w:r w:rsidRPr="005E3021">
              <w:t>座</w:t>
            </w:r>
            <w:r w:rsidRPr="005E3021">
              <w:t>275m³</w:t>
            </w:r>
            <w:r w:rsidRPr="005E3021">
              <w:t>初期雨水收集池，收集初期雨水。</w:t>
            </w:r>
          </w:p>
        </w:tc>
      </w:tr>
      <w:tr w:rsidR="00AD4F71" w:rsidRPr="00261F7E" w14:paraId="260FC08E" w14:textId="77777777" w:rsidTr="005E3021">
        <w:trPr>
          <w:trHeight w:val="57"/>
          <w:jc w:val="center"/>
        </w:trPr>
        <w:tc>
          <w:tcPr>
            <w:tcW w:w="263" w:type="pct"/>
            <w:vMerge/>
            <w:vAlign w:val="center"/>
          </w:tcPr>
          <w:p w14:paraId="57CF3E38" w14:textId="77777777" w:rsidR="00AD4F71" w:rsidRPr="005E3021" w:rsidRDefault="00AD4F71" w:rsidP="00AD4F71">
            <w:pPr>
              <w:spacing w:line="280" w:lineRule="exact"/>
              <w:jc w:val="center"/>
            </w:pPr>
          </w:p>
        </w:tc>
        <w:tc>
          <w:tcPr>
            <w:tcW w:w="666" w:type="pct"/>
            <w:vAlign w:val="center"/>
          </w:tcPr>
          <w:p w14:paraId="4492DBA3" w14:textId="455B9430" w:rsidR="00AD4F71" w:rsidRPr="005E3021" w:rsidRDefault="00AD4F71" w:rsidP="00AD4F71">
            <w:pPr>
              <w:spacing w:line="280" w:lineRule="exact"/>
              <w:jc w:val="center"/>
            </w:pPr>
            <w:r w:rsidRPr="005E3021">
              <w:t>事故池</w:t>
            </w:r>
          </w:p>
        </w:tc>
        <w:tc>
          <w:tcPr>
            <w:tcW w:w="4071" w:type="pct"/>
            <w:vAlign w:val="center"/>
          </w:tcPr>
          <w:p w14:paraId="5100C844" w14:textId="6550D678" w:rsidR="00AD4F71" w:rsidRPr="005E3021" w:rsidRDefault="00AD4F71" w:rsidP="00AD4F71">
            <w:pPr>
              <w:spacing w:line="280" w:lineRule="exact"/>
              <w:jc w:val="left"/>
            </w:pPr>
            <w:r>
              <w:rPr>
                <w:rFonts w:hint="eastAsia"/>
              </w:rPr>
              <w:t>现有工程已建</w:t>
            </w:r>
            <w:r w:rsidRPr="005E3021">
              <w:t>1</w:t>
            </w:r>
            <w:r w:rsidRPr="005E3021">
              <w:t>座</w:t>
            </w:r>
            <w:r w:rsidRPr="005E3021">
              <w:t>576m³</w:t>
            </w:r>
            <w:r w:rsidRPr="005E3021">
              <w:t>全厂事故池。</w:t>
            </w:r>
          </w:p>
        </w:tc>
      </w:tr>
      <w:tr w:rsidR="00AD4F71" w:rsidRPr="00261F7E" w14:paraId="53F3FDDC" w14:textId="77777777" w:rsidTr="005E3021">
        <w:trPr>
          <w:trHeight w:val="57"/>
          <w:jc w:val="center"/>
        </w:trPr>
        <w:tc>
          <w:tcPr>
            <w:tcW w:w="263" w:type="pct"/>
            <w:vMerge w:val="restart"/>
            <w:vAlign w:val="center"/>
          </w:tcPr>
          <w:p w14:paraId="041E6CF2" w14:textId="10DAA143" w:rsidR="00AD4F71" w:rsidRPr="005E3021" w:rsidRDefault="00AD4F71" w:rsidP="00AD4F71">
            <w:pPr>
              <w:spacing w:line="280" w:lineRule="exact"/>
              <w:jc w:val="center"/>
            </w:pPr>
            <w:r>
              <w:rPr>
                <w:rFonts w:hint="eastAsia"/>
              </w:rPr>
              <w:t>环保工程</w:t>
            </w:r>
          </w:p>
        </w:tc>
        <w:tc>
          <w:tcPr>
            <w:tcW w:w="666" w:type="pct"/>
            <w:vAlign w:val="center"/>
          </w:tcPr>
          <w:p w14:paraId="1E46393D" w14:textId="7CD5BD0E" w:rsidR="00AD4F71" w:rsidRPr="005E3021" w:rsidRDefault="00AD4F71" w:rsidP="00AD4F71">
            <w:pPr>
              <w:spacing w:line="280" w:lineRule="exact"/>
              <w:jc w:val="center"/>
            </w:pPr>
            <w:r w:rsidRPr="005E3021">
              <w:t>焚烧炉烟气净化</w:t>
            </w:r>
          </w:p>
        </w:tc>
        <w:tc>
          <w:tcPr>
            <w:tcW w:w="4071" w:type="pct"/>
            <w:vAlign w:val="center"/>
          </w:tcPr>
          <w:p w14:paraId="070E8AEB" w14:textId="2EC2C2AA" w:rsidR="00AD4F71" w:rsidRPr="005E3021" w:rsidRDefault="00AD4F71" w:rsidP="00AD4F71">
            <w:pPr>
              <w:spacing w:line="280" w:lineRule="exact"/>
              <w:jc w:val="left"/>
            </w:pPr>
            <w:r w:rsidRPr="005E3021">
              <w:t>3</w:t>
            </w:r>
            <w:r w:rsidRPr="005E3021">
              <w:t>台垃圾焚烧炉，燃烧废气处理采用</w:t>
            </w:r>
            <w:r w:rsidRPr="005E3021">
              <w:t>“SNCR</w:t>
            </w:r>
            <w:r w:rsidRPr="005E3021">
              <w:t>脱硝（脱硝剂为氨水）</w:t>
            </w:r>
            <w:r w:rsidRPr="005E3021">
              <w:t>+</w:t>
            </w:r>
            <w:r w:rsidRPr="005E3021">
              <w:t>半干法（石灰浆溶液）脱酸</w:t>
            </w:r>
            <w:r w:rsidRPr="005E3021">
              <w:t>+</w:t>
            </w:r>
            <w:r w:rsidRPr="005E3021">
              <w:t>干法（消石灰干粉）脱酸</w:t>
            </w:r>
            <w:r w:rsidRPr="005E3021">
              <w:t>+</w:t>
            </w:r>
            <w:r w:rsidRPr="005E3021">
              <w:t>活性炭吸附＋布袋除尘</w:t>
            </w:r>
            <w:r w:rsidRPr="005E3021">
              <w:t>”</w:t>
            </w:r>
            <w:r w:rsidRPr="005E3021">
              <w:t>工艺，处理后废气经一根</w:t>
            </w:r>
            <w:r w:rsidRPr="005E3021">
              <w:t>80m</w:t>
            </w:r>
            <w:r w:rsidRPr="005E3021">
              <w:t>高三筒集束烟囱高空排放。</w:t>
            </w:r>
          </w:p>
        </w:tc>
      </w:tr>
      <w:tr w:rsidR="00AD4F71" w:rsidRPr="00261F7E" w14:paraId="41E8EFD9" w14:textId="77777777" w:rsidTr="005E3021">
        <w:trPr>
          <w:trHeight w:val="57"/>
          <w:jc w:val="center"/>
        </w:trPr>
        <w:tc>
          <w:tcPr>
            <w:tcW w:w="263" w:type="pct"/>
            <w:vMerge/>
            <w:vAlign w:val="center"/>
          </w:tcPr>
          <w:p w14:paraId="0B63DC17" w14:textId="77777777" w:rsidR="00AD4F71" w:rsidRDefault="00AD4F71" w:rsidP="00AD4F71">
            <w:pPr>
              <w:spacing w:line="280" w:lineRule="exact"/>
              <w:jc w:val="center"/>
            </w:pPr>
          </w:p>
        </w:tc>
        <w:tc>
          <w:tcPr>
            <w:tcW w:w="666" w:type="pct"/>
            <w:vAlign w:val="center"/>
          </w:tcPr>
          <w:p w14:paraId="10FF14C2" w14:textId="3822ECE9" w:rsidR="00AD4F71" w:rsidRPr="005E3021" w:rsidRDefault="00AD4F71" w:rsidP="00AD4F71">
            <w:pPr>
              <w:spacing w:line="280" w:lineRule="exact"/>
              <w:jc w:val="center"/>
            </w:pPr>
            <w:r w:rsidRPr="005E3021">
              <w:rPr>
                <w:rFonts w:hint="eastAsia"/>
              </w:rPr>
              <w:t>臭气处理</w:t>
            </w:r>
          </w:p>
        </w:tc>
        <w:tc>
          <w:tcPr>
            <w:tcW w:w="4071" w:type="pct"/>
            <w:vAlign w:val="center"/>
          </w:tcPr>
          <w:p w14:paraId="2EE76E8A" w14:textId="77777777" w:rsidR="00AD4F71" w:rsidRPr="005E3021" w:rsidRDefault="00AD4F71" w:rsidP="00AD4F71">
            <w:pPr>
              <w:spacing w:line="280" w:lineRule="exact"/>
              <w:jc w:val="left"/>
            </w:pPr>
            <w:r w:rsidRPr="005E3021">
              <w:rPr>
                <w:rFonts w:hint="eastAsia"/>
              </w:rPr>
              <w:t>垃圾池与卸料平台之间建设自动卸料门，共</w:t>
            </w:r>
            <w:r w:rsidRPr="005E3021">
              <w:rPr>
                <w:rFonts w:hint="eastAsia"/>
              </w:rPr>
              <w:t>4</w:t>
            </w:r>
            <w:r w:rsidRPr="005E3021">
              <w:rPr>
                <w:rFonts w:hint="eastAsia"/>
              </w:rPr>
              <w:t>扇门，垃圾池在无垃圾池卸料时呈负压状态，减少恶臭气体外逸。卸料大厅与办公区域通过过道和密闭玻璃、门达到隔臭。</w:t>
            </w:r>
          </w:p>
          <w:p w14:paraId="7F8875A7" w14:textId="77777777" w:rsidR="00AD4F71" w:rsidRPr="005E3021" w:rsidRDefault="00AD4F71" w:rsidP="00AD4F71">
            <w:pPr>
              <w:spacing w:line="280" w:lineRule="exact"/>
              <w:jc w:val="left"/>
            </w:pPr>
            <w:r w:rsidRPr="005E3021">
              <w:rPr>
                <w:rFonts w:hint="eastAsia"/>
              </w:rPr>
              <w:t>焚烧炉正常运行期间：垃圾池顶部设置带过滤网的一次风抽气口，将臭气抽入炉膛内作为焚烧炉助燃空气，同时使垃圾池内形成微负压，防止臭气外逸。</w:t>
            </w:r>
          </w:p>
          <w:p w14:paraId="3116797C" w14:textId="77777777" w:rsidR="00AD4F71" w:rsidRPr="005E3021" w:rsidRDefault="00AD4F71" w:rsidP="00AD4F71">
            <w:pPr>
              <w:spacing w:line="280" w:lineRule="exact"/>
              <w:jc w:val="left"/>
            </w:pPr>
            <w:r w:rsidRPr="005E3021">
              <w:rPr>
                <w:rFonts w:hint="eastAsia"/>
              </w:rPr>
              <w:t>焚烧炉停炉检修期间：为防止垃圾池内可燃气体聚集，垃圾池内设置可燃气体检测装置。当焚烧炉全部停运时，自动开启除臭风机，将臭气送入活性炭吸附装置净化处理后经</w:t>
            </w:r>
            <w:r w:rsidRPr="005E3021">
              <w:rPr>
                <w:rFonts w:hint="eastAsia"/>
              </w:rPr>
              <w:t>36m</w:t>
            </w:r>
            <w:r w:rsidRPr="005E3021">
              <w:rPr>
                <w:rFonts w:hint="eastAsia"/>
              </w:rPr>
              <w:t>高排气筒排放。</w:t>
            </w:r>
          </w:p>
          <w:p w14:paraId="463F6097" w14:textId="77777777" w:rsidR="00AD4F71" w:rsidRPr="005E3021" w:rsidRDefault="00AD4F71" w:rsidP="00AD4F71">
            <w:pPr>
              <w:spacing w:line="280" w:lineRule="exact"/>
              <w:jc w:val="left"/>
            </w:pPr>
            <w:r w:rsidRPr="005E3021">
              <w:rPr>
                <w:rFonts w:hint="eastAsia"/>
              </w:rPr>
              <w:t>渗滤液收集池为密闭结构，其内部的恶臭气体以自然流动的方式通过</w:t>
            </w:r>
            <w:r w:rsidRPr="005E3021">
              <w:rPr>
                <w:rFonts w:hint="eastAsia"/>
              </w:rPr>
              <w:t>PVC</w:t>
            </w:r>
            <w:r w:rsidRPr="005E3021">
              <w:rPr>
                <w:rFonts w:hint="eastAsia"/>
              </w:rPr>
              <w:t>管道连接到垃圾池，与垃圾池中的恶臭气体一并作为一次进风燃烧处理。</w:t>
            </w:r>
          </w:p>
          <w:p w14:paraId="086952D5" w14:textId="77777777" w:rsidR="00AD4F71" w:rsidRPr="005E3021" w:rsidRDefault="00AD4F71" w:rsidP="00AD4F71">
            <w:pPr>
              <w:spacing w:line="280" w:lineRule="exact"/>
              <w:jc w:val="left"/>
            </w:pPr>
            <w:r w:rsidRPr="005E3021">
              <w:rPr>
                <w:rFonts w:hint="eastAsia"/>
              </w:rPr>
              <w:t>渗滤液处理站产生的臭气抽至垃圾池，最后进入焚烧炉内焚烧处理。</w:t>
            </w:r>
          </w:p>
          <w:p w14:paraId="24CC0502" w14:textId="4B9B5DEA" w:rsidR="00AD4F71" w:rsidRPr="005E3021" w:rsidRDefault="00AD4F71" w:rsidP="00AD4F71">
            <w:pPr>
              <w:spacing w:line="280" w:lineRule="exact"/>
              <w:jc w:val="left"/>
            </w:pPr>
            <w:r w:rsidRPr="005E3021">
              <w:rPr>
                <w:rFonts w:hint="eastAsia"/>
              </w:rPr>
              <w:t>垃圾卸料大厅进出口采用空气幕，防止卸料大厅臭气外逸。</w:t>
            </w:r>
          </w:p>
        </w:tc>
      </w:tr>
      <w:tr w:rsidR="00731D99" w:rsidRPr="00261F7E" w14:paraId="0DB5D910" w14:textId="77777777" w:rsidTr="005E3021">
        <w:trPr>
          <w:trHeight w:val="57"/>
          <w:jc w:val="center"/>
        </w:trPr>
        <w:tc>
          <w:tcPr>
            <w:tcW w:w="263" w:type="pct"/>
            <w:vMerge/>
            <w:vAlign w:val="center"/>
          </w:tcPr>
          <w:p w14:paraId="525ECC5E" w14:textId="77777777" w:rsidR="00731D99" w:rsidRPr="005E3021" w:rsidRDefault="00731D99" w:rsidP="005E3021">
            <w:pPr>
              <w:spacing w:line="280" w:lineRule="exact"/>
              <w:jc w:val="center"/>
            </w:pPr>
          </w:p>
        </w:tc>
        <w:tc>
          <w:tcPr>
            <w:tcW w:w="666" w:type="pct"/>
            <w:vAlign w:val="center"/>
          </w:tcPr>
          <w:p w14:paraId="19D31E1F" w14:textId="4C5B225C" w:rsidR="00731D99" w:rsidRPr="005E3021" w:rsidRDefault="00731D99" w:rsidP="005E3021">
            <w:pPr>
              <w:spacing w:line="280" w:lineRule="exact"/>
              <w:jc w:val="center"/>
            </w:pPr>
            <w:r w:rsidRPr="005E3021">
              <w:t>飞灰仓</w:t>
            </w:r>
          </w:p>
        </w:tc>
        <w:tc>
          <w:tcPr>
            <w:tcW w:w="4071" w:type="pct"/>
            <w:vAlign w:val="center"/>
          </w:tcPr>
          <w:p w14:paraId="53375B49" w14:textId="11DB1E8A" w:rsidR="00731D99" w:rsidRPr="005E3021" w:rsidRDefault="00F82444" w:rsidP="00F82444">
            <w:pPr>
              <w:spacing w:line="280" w:lineRule="exact"/>
              <w:jc w:val="left"/>
            </w:pPr>
            <w:r>
              <w:rPr>
                <w:rFonts w:hint="eastAsia"/>
              </w:rPr>
              <w:t>现有工程已建</w:t>
            </w:r>
            <w:r w:rsidR="00731D99" w:rsidRPr="005E3021">
              <w:t>飞灰仓为金属罐体，仓部顶端配备布袋除尘器用于净化进出仓粉尘。净化后的粉尘通过无组织形式逸散。本次验收监测期间，厂界的无组织排放废气颗粒物满足《大气污染物综合排放标准》（</w:t>
            </w:r>
            <w:r w:rsidR="00731D99" w:rsidRPr="005E3021">
              <w:t>GB16297-1996</w:t>
            </w:r>
            <w:r w:rsidR="00731D99" w:rsidRPr="005E3021">
              <w:t>）表</w:t>
            </w:r>
            <w:r w:rsidR="00731D99" w:rsidRPr="005E3021">
              <w:t>2</w:t>
            </w:r>
            <w:r w:rsidR="00731D99" w:rsidRPr="005E3021">
              <w:t>无组织排放限值要求。</w:t>
            </w:r>
          </w:p>
        </w:tc>
      </w:tr>
      <w:tr w:rsidR="00731D99" w:rsidRPr="00261F7E" w14:paraId="14E3E3D1" w14:textId="77777777" w:rsidTr="005E3021">
        <w:trPr>
          <w:trHeight w:val="57"/>
          <w:jc w:val="center"/>
        </w:trPr>
        <w:tc>
          <w:tcPr>
            <w:tcW w:w="263" w:type="pct"/>
            <w:vMerge/>
            <w:vAlign w:val="center"/>
          </w:tcPr>
          <w:p w14:paraId="27925264" w14:textId="77777777" w:rsidR="00731D99" w:rsidRPr="005E3021" w:rsidRDefault="00731D99" w:rsidP="005E3021">
            <w:pPr>
              <w:spacing w:line="280" w:lineRule="exact"/>
              <w:jc w:val="center"/>
            </w:pPr>
          </w:p>
        </w:tc>
        <w:tc>
          <w:tcPr>
            <w:tcW w:w="666" w:type="pct"/>
            <w:vAlign w:val="center"/>
          </w:tcPr>
          <w:p w14:paraId="336F8B7D" w14:textId="6152878C" w:rsidR="00731D99" w:rsidRPr="005E3021" w:rsidRDefault="00731D99" w:rsidP="005E3021">
            <w:pPr>
              <w:pStyle w:val="TableText"/>
              <w:spacing w:line="280" w:lineRule="exact"/>
              <w:jc w:val="center"/>
              <w:rPr>
                <w:rFonts w:ascii="Times New Roman" w:hAnsi="Times New Roman" w:cs="Times New Roman"/>
                <w:lang w:eastAsia="zh-CN"/>
              </w:rPr>
            </w:pPr>
            <w:r w:rsidRPr="005E3021">
              <w:rPr>
                <w:rFonts w:ascii="Times New Roman" w:hAnsi="Times New Roman" w:cs="Times New Roman"/>
                <w:lang w:eastAsia="zh-CN"/>
              </w:rPr>
              <w:t>渗滤液处理站</w:t>
            </w:r>
          </w:p>
        </w:tc>
        <w:tc>
          <w:tcPr>
            <w:tcW w:w="4071" w:type="pct"/>
            <w:vAlign w:val="center"/>
          </w:tcPr>
          <w:p w14:paraId="594706FC" w14:textId="4E684991" w:rsidR="00731D99" w:rsidRPr="005E3021" w:rsidRDefault="00F82444" w:rsidP="00F82444">
            <w:pPr>
              <w:pStyle w:val="TableText"/>
              <w:spacing w:line="280" w:lineRule="exact"/>
              <w:jc w:val="left"/>
              <w:rPr>
                <w:rFonts w:ascii="Times New Roman" w:hAnsi="Times New Roman" w:cs="Times New Roman"/>
                <w:lang w:eastAsia="zh-CN"/>
              </w:rPr>
            </w:pPr>
            <w:r>
              <w:rPr>
                <w:rFonts w:ascii="Times New Roman" w:hAnsi="Times New Roman" w:cs="Times New Roman" w:hint="eastAsia"/>
                <w:lang w:eastAsia="zh-CN"/>
              </w:rPr>
              <w:t>现有工程已建</w:t>
            </w:r>
            <w:r w:rsidR="00731D99" w:rsidRPr="005E3021">
              <w:rPr>
                <w:rFonts w:ascii="Times New Roman" w:hAnsi="Times New Roman" w:cs="Times New Roman"/>
                <w:lang w:eastAsia="zh-CN"/>
              </w:rPr>
              <w:t>渗滤液处理站</w:t>
            </w:r>
            <w:r>
              <w:rPr>
                <w:rFonts w:ascii="Times New Roman" w:hAnsi="Times New Roman" w:cs="Times New Roman" w:hint="eastAsia"/>
                <w:lang w:eastAsia="zh-CN"/>
              </w:rPr>
              <w:t>1</w:t>
            </w:r>
            <w:r w:rsidR="00731D99" w:rsidRPr="005E3021">
              <w:rPr>
                <w:rFonts w:ascii="Times New Roman" w:hAnsi="Times New Roman" w:cs="Times New Roman"/>
                <w:lang w:eastAsia="zh-CN"/>
              </w:rPr>
              <w:t>座，处理能力</w:t>
            </w:r>
            <w:r w:rsidR="00731D99" w:rsidRPr="005E3021">
              <w:rPr>
                <w:rFonts w:ascii="Times New Roman" w:hAnsi="Times New Roman" w:cs="Times New Roman"/>
                <w:lang w:eastAsia="zh-CN"/>
              </w:rPr>
              <w:t>450m³/d</w:t>
            </w:r>
            <w:r w:rsidR="00731D99" w:rsidRPr="005E3021">
              <w:rPr>
                <w:rFonts w:ascii="Times New Roman" w:hAnsi="Times New Roman" w:cs="Times New Roman"/>
                <w:lang w:eastAsia="zh-CN"/>
              </w:rPr>
              <w:t>。生产废水中的垃圾池渗滤液，垃圾卸料平台、车辆、厂房地面等冲洗废水和初期雨水进入渗滤液处理站进行处理。处理工艺为</w:t>
            </w:r>
            <w:r w:rsidR="00731D99" w:rsidRPr="005E3021">
              <w:rPr>
                <w:rFonts w:ascii="Times New Roman" w:hAnsi="Times New Roman" w:cs="Times New Roman"/>
                <w:lang w:eastAsia="zh-CN"/>
              </w:rPr>
              <w:t>“</w:t>
            </w:r>
            <w:r w:rsidR="00731D99" w:rsidRPr="005E3021">
              <w:rPr>
                <w:rFonts w:ascii="Times New Roman" w:hAnsi="Times New Roman" w:cs="Times New Roman"/>
                <w:lang w:eastAsia="zh-CN"/>
              </w:rPr>
              <w:t>调节池＋</w:t>
            </w:r>
            <w:r w:rsidR="00731D99" w:rsidRPr="005E3021">
              <w:rPr>
                <w:rFonts w:ascii="Times New Roman" w:hAnsi="Times New Roman" w:cs="Times New Roman"/>
                <w:lang w:eastAsia="zh-CN"/>
              </w:rPr>
              <w:t>UASB</w:t>
            </w:r>
            <w:r w:rsidR="00731D99" w:rsidRPr="005E3021">
              <w:rPr>
                <w:rFonts w:ascii="Times New Roman" w:hAnsi="Times New Roman" w:cs="Times New Roman"/>
                <w:lang w:eastAsia="zh-CN"/>
              </w:rPr>
              <w:t>厌氧反应器＋</w:t>
            </w:r>
            <w:r w:rsidR="00731D99" w:rsidRPr="005E3021">
              <w:rPr>
                <w:rFonts w:ascii="Times New Roman" w:hAnsi="Times New Roman" w:cs="Times New Roman"/>
                <w:lang w:eastAsia="zh-CN"/>
              </w:rPr>
              <w:t>MBR</w:t>
            </w:r>
            <w:r w:rsidR="00731D99" w:rsidRPr="005E3021">
              <w:rPr>
                <w:rFonts w:ascii="Times New Roman" w:hAnsi="Times New Roman" w:cs="Times New Roman"/>
                <w:lang w:eastAsia="zh-CN"/>
              </w:rPr>
              <w:t>生化处理系统＋</w:t>
            </w:r>
            <w:r w:rsidR="00731D99" w:rsidRPr="005E3021">
              <w:rPr>
                <w:rFonts w:ascii="Times New Roman" w:hAnsi="Times New Roman" w:cs="Times New Roman"/>
                <w:lang w:eastAsia="zh-CN"/>
              </w:rPr>
              <w:t>NF</w:t>
            </w:r>
            <w:r w:rsidR="00731D99" w:rsidRPr="005E3021">
              <w:rPr>
                <w:rFonts w:ascii="Times New Roman" w:hAnsi="Times New Roman" w:cs="Times New Roman"/>
                <w:lang w:eastAsia="zh-CN"/>
              </w:rPr>
              <w:t>纳滤＋</w:t>
            </w:r>
            <w:r w:rsidR="00731D99" w:rsidRPr="005E3021">
              <w:rPr>
                <w:rFonts w:ascii="Times New Roman" w:hAnsi="Times New Roman" w:cs="Times New Roman"/>
                <w:lang w:eastAsia="zh-CN"/>
              </w:rPr>
              <w:t>RO</w:t>
            </w:r>
            <w:r w:rsidR="00731D99" w:rsidRPr="005E3021">
              <w:rPr>
                <w:rFonts w:ascii="Times New Roman" w:hAnsi="Times New Roman" w:cs="Times New Roman"/>
                <w:lang w:eastAsia="zh-CN"/>
              </w:rPr>
              <w:t>反渗透</w:t>
            </w:r>
            <w:r w:rsidR="00731D99" w:rsidRPr="005E3021">
              <w:rPr>
                <w:rFonts w:ascii="Times New Roman" w:hAnsi="Times New Roman" w:cs="Times New Roman"/>
                <w:lang w:eastAsia="zh-CN"/>
              </w:rPr>
              <w:t>”</w:t>
            </w:r>
            <w:r w:rsidR="00731D99" w:rsidRPr="005E3021">
              <w:rPr>
                <w:rFonts w:ascii="Times New Roman" w:hAnsi="Times New Roman" w:cs="Times New Roman"/>
                <w:lang w:eastAsia="zh-CN"/>
              </w:rPr>
              <w:t>。调节池容积</w:t>
            </w:r>
            <w:r w:rsidR="00731D99" w:rsidRPr="005E3021">
              <w:rPr>
                <w:rFonts w:ascii="Times New Roman" w:hAnsi="Times New Roman" w:cs="Times New Roman"/>
                <w:lang w:eastAsia="zh-CN"/>
              </w:rPr>
              <w:t>3120m³</w:t>
            </w:r>
            <w:r w:rsidR="00731D99" w:rsidRPr="005E3021">
              <w:rPr>
                <w:rFonts w:ascii="Times New Roman" w:hAnsi="Times New Roman" w:cs="Times New Roman"/>
                <w:lang w:eastAsia="zh-CN"/>
              </w:rPr>
              <w:t>（</w:t>
            </w:r>
            <w:r w:rsidR="00731D99" w:rsidRPr="005E3021">
              <w:rPr>
                <w:rFonts w:ascii="Times New Roman" w:hAnsi="Times New Roman" w:cs="Times New Roman"/>
                <w:lang w:eastAsia="zh-CN"/>
              </w:rPr>
              <w:t>13m×20m×12m</w:t>
            </w:r>
            <w:r w:rsidR="00731D99" w:rsidRPr="005E3021">
              <w:rPr>
                <w:rFonts w:ascii="Times New Roman" w:hAnsi="Times New Roman" w:cs="Times New Roman"/>
                <w:lang w:eastAsia="zh-CN"/>
              </w:rPr>
              <w:t>）。</w:t>
            </w:r>
          </w:p>
        </w:tc>
      </w:tr>
      <w:tr w:rsidR="00731D99" w:rsidRPr="00261F7E" w14:paraId="5061B94C" w14:textId="77777777" w:rsidTr="005E3021">
        <w:trPr>
          <w:trHeight w:val="57"/>
          <w:jc w:val="center"/>
        </w:trPr>
        <w:tc>
          <w:tcPr>
            <w:tcW w:w="263" w:type="pct"/>
            <w:vMerge/>
            <w:vAlign w:val="center"/>
          </w:tcPr>
          <w:p w14:paraId="00FD69BA" w14:textId="77777777" w:rsidR="00731D99" w:rsidRPr="005E3021" w:rsidRDefault="00731D99" w:rsidP="005E3021">
            <w:pPr>
              <w:spacing w:line="280" w:lineRule="exact"/>
              <w:jc w:val="center"/>
            </w:pPr>
          </w:p>
        </w:tc>
        <w:tc>
          <w:tcPr>
            <w:tcW w:w="666" w:type="pct"/>
            <w:vAlign w:val="center"/>
          </w:tcPr>
          <w:p w14:paraId="14CDB5A7" w14:textId="188BCD43" w:rsidR="00731D99" w:rsidRPr="005E3021" w:rsidRDefault="00731D99" w:rsidP="005E3021">
            <w:pPr>
              <w:pStyle w:val="TableText"/>
              <w:spacing w:line="280" w:lineRule="exact"/>
              <w:jc w:val="center"/>
              <w:rPr>
                <w:rFonts w:ascii="Times New Roman" w:hAnsi="Times New Roman" w:cs="Times New Roman"/>
                <w:lang w:eastAsia="zh-CN"/>
              </w:rPr>
            </w:pPr>
            <w:r w:rsidRPr="005E3021">
              <w:rPr>
                <w:rFonts w:ascii="Times New Roman" w:hAnsi="Times New Roman" w:cs="Times New Roman"/>
                <w:lang w:eastAsia="zh-CN"/>
              </w:rPr>
              <w:t>渗滤液处理站</w:t>
            </w:r>
            <w:r w:rsidRPr="005E3021">
              <w:rPr>
                <w:rFonts w:ascii="Times New Roman" w:hAnsi="Times New Roman" w:cs="Times New Roman"/>
                <w:lang w:eastAsia="zh-CN"/>
              </w:rPr>
              <w:t>DTRO</w:t>
            </w:r>
            <w:r w:rsidRPr="005E3021">
              <w:rPr>
                <w:rFonts w:ascii="Times New Roman" w:hAnsi="Times New Roman" w:cs="Times New Roman"/>
                <w:lang w:eastAsia="zh-CN"/>
              </w:rPr>
              <w:t>处理装置</w:t>
            </w:r>
          </w:p>
        </w:tc>
        <w:tc>
          <w:tcPr>
            <w:tcW w:w="4071" w:type="pct"/>
            <w:vAlign w:val="center"/>
          </w:tcPr>
          <w:p w14:paraId="32BE7A2C" w14:textId="4D12BE0A" w:rsidR="00731D99" w:rsidRPr="005E3021" w:rsidRDefault="00731D99" w:rsidP="00F82444">
            <w:pPr>
              <w:pStyle w:val="TableText"/>
              <w:spacing w:line="280" w:lineRule="exact"/>
              <w:jc w:val="left"/>
              <w:rPr>
                <w:rFonts w:ascii="Times New Roman" w:hAnsi="Times New Roman" w:cs="Times New Roman"/>
                <w:lang w:eastAsia="zh-CN"/>
              </w:rPr>
            </w:pPr>
            <w:r w:rsidRPr="005E3021">
              <w:rPr>
                <w:rFonts w:ascii="Times New Roman" w:hAnsi="Times New Roman" w:cs="Times New Roman"/>
                <w:lang w:eastAsia="zh-CN"/>
              </w:rPr>
              <w:t>渗滤液处理站浓水处理装置</w:t>
            </w:r>
            <w:r w:rsidR="00012EFF">
              <w:rPr>
                <w:rFonts w:ascii="Times New Roman" w:hAnsi="Times New Roman" w:cs="Times New Roman" w:hint="eastAsia"/>
                <w:lang w:eastAsia="zh-CN"/>
              </w:rPr>
              <w:t>采用</w:t>
            </w:r>
            <w:r w:rsidRPr="005E3021">
              <w:rPr>
                <w:rFonts w:ascii="Times New Roman" w:hAnsi="Times New Roman" w:cs="Times New Roman"/>
                <w:lang w:eastAsia="zh-CN"/>
              </w:rPr>
              <w:t>STC</w:t>
            </w:r>
            <w:r w:rsidRPr="005E3021">
              <w:rPr>
                <w:rFonts w:ascii="Times New Roman" w:hAnsi="Times New Roman" w:cs="Times New Roman"/>
                <w:lang w:eastAsia="zh-CN"/>
              </w:rPr>
              <w:t>（物料膜）二级处理装置（处理能力</w:t>
            </w:r>
            <w:r w:rsidRPr="005E3021">
              <w:rPr>
                <w:rFonts w:ascii="Times New Roman" w:hAnsi="Times New Roman" w:cs="Times New Roman"/>
                <w:lang w:eastAsia="zh-CN"/>
              </w:rPr>
              <w:t>70m³/d</w:t>
            </w:r>
            <w:r w:rsidRPr="005E3021">
              <w:rPr>
                <w:rFonts w:ascii="Times New Roman" w:hAnsi="Times New Roman" w:cs="Times New Roman"/>
                <w:lang w:eastAsia="zh-CN"/>
              </w:rPr>
              <w:t>），处理后浓水部分用于石灰制浆，部分回喷焚烧炉。</w:t>
            </w:r>
          </w:p>
        </w:tc>
      </w:tr>
      <w:tr w:rsidR="00731D99" w:rsidRPr="00261F7E" w14:paraId="6765AAAB" w14:textId="77777777" w:rsidTr="005E3021">
        <w:trPr>
          <w:trHeight w:val="57"/>
          <w:jc w:val="center"/>
        </w:trPr>
        <w:tc>
          <w:tcPr>
            <w:tcW w:w="263" w:type="pct"/>
            <w:vMerge/>
            <w:vAlign w:val="center"/>
          </w:tcPr>
          <w:p w14:paraId="500E697E" w14:textId="77777777" w:rsidR="00731D99" w:rsidRPr="005E3021" w:rsidRDefault="00731D99" w:rsidP="005E3021">
            <w:pPr>
              <w:spacing w:line="280" w:lineRule="exact"/>
              <w:jc w:val="center"/>
            </w:pPr>
          </w:p>
        </w:tc>
        <w:tc>
          <w:tcPr>
            <w:tcW w:w="666" w:type="pct"/>
            <w:vAlign w:val="center"/>
          </w:tcPr>
          <w:p w14:paraId="53F1F6DE" w14:textId="4AEF3F87" w:rsidR="00731D99" w:rsidRPr="005E3021" w:rsidRDefault="00731D99" w:rsidP="005E3021">
            <w:pPr>
              <w:spacing w:before="65" w:line="280" w:lineRule="exact"/>
              <w:ind w:left="126"/>
            </w:pPr>
            <w:r w:rsidRPr="005E3021">
              <w:t>循环排污水</w:t>
            </w:r>
            <w:r w:rsidRPr="005E3021">
              <w:t>DTRO</w:t>
            </w:r>
            <w:r w:rsidRPr="005E3021">
              <w:t>处理装置</w:t>
            </w:r>
          </w:p>
        </w:tc>
        <w:tc>
          <w:tcPr>
            <w:tcW w:w="4071" w:type="pct"/>
            <w:vAlign w:val="center"/>
          </w:tcPr>
          <w:p w14:paraId="0498724D" w14:textId="3E80F711" w:rsidR="00731D99" w:rsidRPr="005E3021" w:rsidRDefault="00731D99" w:rsidP="00F82444">
            <w:pPr>
              <w:pStyle w:val="TableText"/>
              <w:spacing w:line="280" w:lineRule="exact"/>
              <w:jc w:val="left"/>
              <w:rPr>
                <w:rFonts w:ascii="Times New Roman" w:hAnsi="Times New Roman" w:cs="Times New Roman"/>
                <w:lang w:eastAsia="zh-CN"/>
              </w:rPr>
            </w:pPr>
            <w:r w:rsidRPr="005E3021">
              <w:rPr>
                <w:rFonts w:ascii="Times New Roman" w:hAnsi="Times New Roman" w:cs="Times New Roman"/>
                <w:lang w:eastAsia="zh-CN"/>
              </w:rPr>
              <w:t>冷却塔循环部分排污水、锅炉排污水和化水处理系统排污水回用于冲洗用水、给料斗溜槽用水、炉排炉渣输送机用水、除渣机用水和飞灰稳定化用水，不外排。冷却塔循环部分排污水进入</w:t>
            </w:r>
            <w:r w:rsidRPr="005E3021">
              <w:rPr>
                <w:rFonts w:ascii="Times New Roman" w:hAnsi="Times New Roman" w:cs="Times New Roman"/>
                <w:lang w:eastAsia="zh-CN"/>
              </w:rPr>
              <w:t>“</w:t>
            </w:r>
            <w:r w:rsidRPr="005E3021">
              <w:rPr>
                <w:rFonts w:ascii="Times New Roman" w:hAnsi="Times New Roman" w:cs="Times New Roman"/>
                <w:lang w:eastAsia="zh-CN"/>
              </w:rPr>
              <w:t>超滤</w:t>
            </w:r>
            <w:r w:rsidRPr="005E3021">
              <w:rPr>
                <w:rFonts w:ascii="Times New Roman" w:hAnsi="Times New Roman" w:cs="Times New Roman"/>
                <w:lang w:eastAsia="zh-CN"/>
              </w:rPr>
              <w:t>+</w:t>
            </w:r>
            <w:r w:rsidRPr="005E3021">
              <w:rPr>
                <w:rFonts w:ascii="Times New Roman" w:hAnsi="Times New Roman" w:cs="Times New Roman"/>
                <w:lang w:eastAsia="zh-CN"/>
              </w:rPr>
              <w:t>反渗透</w:t>
            </w:r>
            <w:r w:rsidRPr="005E3021">
              <w:rPr>
                <w:rFonts w:ascii="Times New Roman" w:hAnsi="Times New Roman" w:cs="Times New Roman"/>
                <w:lang w:eastAsia="zh-CN"/>
              </w:rPr>
              <w:t>”</w:t>
            </w:r>
            <w:r w:rsidRPr="005E3021">
              <w:rPr>
                <w:rFonts w:ascii="Times New Roman" w:hAnsi="Times New Roman" w:cs="Times New Roman"/>
                <w:lang w:eastAsia="zh-CN"/>
              </w:rPr>
              <w:t>装置（处理能力</w:t>
            </w:r>
            <w:r w:rsidRPr="005E3021">
              <w:rPr>
                <w:rFonts w:ascii="Times New Roman" w:hAnsi="Times New Roman" w:cs="Times New Roman"/>
                <w:lang w:eastAsia="zh-CN"/>
              </w:rPr>
              <w:t>550m³/d</w:t>
            </w:r>
            <w:r w:rsidRPr="005E3021">
              <w:rPr>
                <w:rFonts w:ascii="Times New Roman" w:hAnsi="Times New Roman" w:cs="Times New Roman"/>
                <w:lang w:eastAsia="zh-CN"/>
              </w:rPr>
              <w:t>）进行处理，浓水回用于石灰制浆，清水回用。</w:t>
            </w:r>
          </w:p>
        </w:tc>
      </w:tr>
      <w:tr w:rsidR="00731D99" w:rsidRPr="00261F7E" w14:paraId="7D957573" w14:textId="77777777" w:rsidTr="005E3021">
        <w:trPr>
          <w:trHeight w:val="57"/>
          <w:jc w:val="center"/>
        </w:trPr>
        <w:tc>
          <w:tcPr>
            <w:tcW w:w="263" w:type="pct"/>
            <w:vMerge/>
            <w:vAlign w:val="center"/>
          </w:tcPr>
          <w:p w14:paraId="425152E3" w14:textId="77777777" w:rsidR="00731D99" w:rsidRPr="005E3021" w:rsidRDefault="00731D99" w:rsidP="005E3021">
            <w:pPr>
              <w:spacing w:line="280" w:lineRule="exact"/>
              <w:jc w:val="center"/>
            </w:pPr>
          </w:p>
        </w:tc>
        <w:tc>
          <w:tcPr>
            <w:tcW w:w="666" w:type="pct"/>
            <w:vAlign w:val="center"/>
          </w:tcPr>
          <w:p w14:paraId="44E5B677" w14:textId="408C6A46" w:rsidR="00731D99" w:rsidRPr="005E3021" w:rsidRDefault="00731D99" w:rsidP="005E3021">
            <w:pPr>
              <w:spacing w:before="65" w:line="280" w:lineRule="exact"/>
              <w:ind w:left="37"/>
            </w:pPr>
            <w:r w:rsidRPr="005E3021">
              <w:t>生活污水</w:t>
            </w:r>
            <w:r w:rsidR="00AD37EF">
              <w:rPr>
                <w:rFonts w:hint="eastAsia"/>
              </w:rPr>
              <w:t>处理</w:t>
            </w:r>
          </w:p>
        </w:tc>
        <w:tc>
          <w:tcPr>
            <w:tcW w:w="4071" w:type="pct"/>
            <w:vAlign w:val="center"/>
          </w:tcPr>
          <w:p w14:paraId="3B95D191" w14:textId="4F0CEB0B" w:rsidR="00731D99" w:rsidRPr="005E3021" w:rsidRDefault="00F82444" w:rsidP="00F82444">
            <w:pPr>
              <w:pStyle w:val="TableText"/>
              <w:spacing w:line="280" w:lineRule="exact"/>
              <w:rPr>
                <w:rFonts w:ascii="Times New Roman" w:hAnsi="Times New Roman" w:cs="Times New Roman"/>
                <w:lang w:eastAsia="zh-CN"/>
              </w:rPr>
            </w:pPr>
            <w:r>
              <w:rPr>
                <w:rFonts w:ascii="Times New Roman" w:hAnsi="Times New Roman" w:cs="Times New Roman" w:hint="eastAsia"/>
                <w:lang w:eastAsia="zh-CN"/>
              </w:rPr>
              <w:t>现有工程已建</w:t>
            </w:r>
            <w:r w:rsidR="00731D99" w:rsidRPr="005E3021">
              <w:rPr>
                <w:rFonts w:ascii="Times New Roman" w:hAnsi="Times New Roman" w:cs="Times New Roman"/>
                <w:lang w:eastAsia="zh-CN"/>
              </w:rPr>
              <w:t>生活污水处理建设</w:t>
            </w:r>
            <w:r w:rsidR="00731D99" w:rsidRPr="005E3021">
              <w:rPr>
                <w:rFonts w:ascii="Times New Roman" w:hAnsi="Times New Roman" w:cs="Times New Roman"/>
                <w:lang w:eastAsia="zh-CN"/>
              </w:rPr>
              <w:t>1</w:t>
            </w:r>
            <w:r w:rsidR="00731D99" w:rsidRPr="005E3021">
              <w:rPr>
                <w:rFonts w:ascii="Times New Roman" w:hAnsi="Times New Roman" w:cs="Times New Roman"/>
                <w:lang w:eastAsia="zh-CN"/>
              </w:rPr>
              <w:t>座</w:t>
            </w:r>
            <w:r w:rsidR="00731D99" w:rsidRPr="005E3021">
              <w:rPr>
                <w:rFonts w:ascii="Times New Roman" w:hAnsi="Times New Roman" w:cs="Times New Roman"/>
                <w:lang w:eastAsia="zh-CN"/>
              </w:rPr>
              <w:t>48m³/d</w:t>
            </w:r>
            <w:r w:rsidR="00731D99" w:rsidRPr="005E3021">
              <w:rPr>
                <w:rFonts w:ascii="Times New Roman" w:hAnsi="Times New Roman" w:cs="Times New Roman"/>
                <w:lang w:eastAsia="zh-CN"/>
              </w:rPr>
              <w:t>的生活污水处理站，处理工艺为：</w:t>
            </w:r>
            <w:r w:rsidR="00731D99" w:rsidRPr="005E3021">
              <w:rPr>
                <w:rFonts w:ascii="Times New Roman" w:hAnsi="Times New Roman" w:cs="Times New Roman"/>
                <w:lang w:eastAsia="zh-CN"/>
              </w:rPr>
              <w:t>“</w:t>
            </w:r>
            <w:r w:rsidR="00731D99" w:rsidRPr="005E3021">
              <w:rPr>
                <w:rFonts w:ascii="Times New Roman" w:hAnsi="Times New Roman" w:cs="Times New Roman"/>
                <w:lang w:eastAsia="zh-CN"/>
              </w:rPr>
              <w:t>生活污水</w:t>
            </w:r>
            <w:r w:rsidR="00731D99" w:rsidRPr="005E3021">
              <w:rPr>
                <w:rFonts w:ascii="Times New Roman" w:hAnsi="Times New Roman" w:cs="Times New Roman"/>
                <w:lang w:eastAsia="zh-CN"/>
              </w:rPr>
              <w:t>→</w:t>
            </w:r>
            <w:r w:rsidR="00731D99" w:rsidRPr="005E3021">
              <w:rPr>
                <w:rFonts w:ascii="Times New Roman" w:hAnsi="Times New Roman" w:cs="Times New Roman"/>
                <w:lang w:eastAsia="zh-CN"/>
              </w:rPr>
              <w:t>格栅</w:t>
            </w:r>
            <w:r w:rsidR="00731D99" w:rsidRPr="005E3021">
              <w:rPr>
                <w:rFonts w:ascii="Times New Roman" w:hAnsi="Times New Roman" w:cs="Times New Roman"/>
                <w:lang w:eastAsia="zh-CN"/>
              </w:rPr>
              <w:t>→</w:t>
            </w:r>
            <w:r w:rsidR="00731D99" w:rsidRPr="005E3021">
              <w:rPr>
                <w:rFonts w:ascii="Times New Roman" w:hAnsi="Times New Roman" w:cs="Times New Roman"/>
                <w:lang w:eastAsia="zh-CN"/>
              </w:rPr>
              <w:t>调节池</w:t>
            </w:r>
            <w:r w:rsidR="00731D99" w:rsidRPr="005E3021">
              <w:rPr>
                <w:rFonts w:ascii="Times New Roman" w:hAnsi="Times New Roman" w:cs="Times New Roman"/>
                <w:lang w:eastAsia="zh-CN"/>
              </w:rPr>
              <w:t>→</w:t>
            </w:r>
            <w:r w:rsidR="00731D99" w:rsidRPr="005E3021">
              <w:rPr>
                <w:rFonts w:ascii="Times New Roman" w:hAnsi="Times New Roman" w:cs="Times New Roman"/>
                <w:lang w:eastAsia="zh-CN"/>
              </w:rPr>
              <w:t>污水提升泵</w:t>
            </w:r>
            <w:r w:rsidR="00731D99" w:rsidRPr="005E3021">
              <w:rPr>
                <w:rFonts w:ascii="Times New Roman" w:hAnsi="Times New Roman" w:cs="Times New Roman"/>
                <w:lang w:eastAsia="zh-CN"/>
              </w:rPr>
              <w:t>→</w:t>
            </w:r>
            <w:r w:rsidR="00731D99" w:rsidRPr="005E3021">
              <w:rPr>
                <w:rFonts w:ascii="Times New Roman" w:hAnsi="Times New Roman" w:cs="Times New Roman"/>
                <w:lang w:eastAsia="zh-CN"/>
              </w:rPr>
              <w:t>复合生化池（含厌氧</w:t>
            </w:r>
            <w:r w:rsidR="00731D99" w:rsidRPr="005E3021">
              <w:rPr>
                <w:rFonts w:ascii="Times New Roman" w:hAnsi="Times New Roman" w:cs="Times New Roman"/>
                <w:lang w:eastAsia="zh-CN"/>
              </w:rPr>
              <w:t>/</w:t>
            </w:r>
            <w:r w:rsidR="00731D99" w:rsidRPr="005E3021">
              <w:rPr>
                <w:rFonts w:ascii="Times New Roman" w:hAnsi="Times New Roman" w:cs="Times New Roman"/>
                <w:lang w:eastAsia="zh-CN"/>
              </w:rPr>
              <w:t>缺氧</w:t>
            </w:r>
            <w:r w:rsidR="00731D99" w:rsidRPr="005E3021">
              <w:rPr>
                <w:rFonts w:ascii="Times New Roman" w:hAnsi="Times New Roman" w:cs="Times New Roman"/>
                <w:lang w:eastAsia="zh-CN"/>
              </w:rPr>
              <w:t>/</w:t>
            </w:r>
            <w:r w:rsidR="00731D99" w:rsidRPr="005E3021">
              <w:rPr>
                <w:rFonts w:ascii="Times New Roman" w:hAnsi="Times New Roman" w:cs="Times New Roman"/>
                <w:lang w:eastAsia="zh-CN"/>
              </w:rPr>
              <w:t>好氧）</w:t>
            </w:r>
            <w:r w:rsidR="00731D99" w:rsidRPr="005E3021">
              <w:rPr>
                <w:rFonts w:ascii="Times New Roman" w:hAnsi="Times New Roman" w:cs="Times New Roman"/>
                <w:lang w:eastAsia="zh-CN"/>
              </w:rPr>
              <w:t>→</w:t>
            </w:r>
            <w:r w:rsidR="00731D99" w:rsidRPr="005E3021">
              <w:rPr>
                <w:rFonts w:ascii="Times New Roman" w:hAnsi="Times New Roman" w:cs="Times New Roman"/>
                <w:lang w:eastAsia="zh-CN"/>
              </w:rPr>
              <w:t>二沉池</w:t>
            </w:r>
            <w:r w:rsidR="00731D99" w:rsidRPr="005E3021">
              <w:rPr>
                <w:rFonts w:ascii="Times New Roman" w:hAnsi="Times New Roman" w:cs="Times New Roman"/>
                <w:lang w:eastAsia="zh-CN"/>
              </w:rPr>
              <w:t>→</w:t>
            </w:r>
            <w:r w:rsidR="00731D99" w:rsidRPr="005E3021">
              <w:rPr>
                <w:rFonts w:ascii="Times New Roman" w:hAnsi="Times New Roman" w:cs="Times New Roman"/>
                <w:lang w:eastAsia="zh-CN"/>
              </w:rPr>
              <w:t>污泥池</w:t>
            </w:r>
            <w:r w:rsidR="00731D99" w:rsidRPr="005E3021">
              <w:rPr>
                <w:rFonts w:ascii="Times New Roman" w:hAnsi="Times New Roman" w:cs="Times New Roman"/>
                <w:lang w:eastAsia="zh-CN"/>
              </w:rPr>
              <w:t>→</w:t>
            </w:r>
            <w:r w:rsidR="00731D99" w:rsidRPr="005E3021">
              <w:rPr>
                <w:rFonts w:ascii="Times New Roman" w:hAnsi="Times New Roman" w:cs="Times New Roman"/>
                <w:lang w:eastAsia="zh-CN"/>
              </w:rPr>
              <w:t>消毒池</w:t>
            </w:r>
            <w:r w:rsidR="00731D99" w:rsidRPr="005E3021">
              <w:rPr>
                <w:rFonts w:ascii="Times New Roman" w:hAnsi="Times New Roman" w:cs="Times New Roman"/>
                <w:lang w:eastAsia="zh-CN"/>
              </w:rPr>
              <w:t>→</w:t>
            </w:r>
            <w:r w:rsidR="00731D99" w:rsidRPr="005E3021">
              <w:rPr>
                <w:rFonts w:ascii="Times New Roman" w:hAnsi="Times New Roman" w:cs="Times New Roman"/>
                <w:lang w:eastAsia="zh-CN"/>
              </w:rPr>
              <w:t>清水池，</w:t>
            </w:r>
            <w:bookmarkStart w:id="80" w:name="OLE_LINK41"/>
            <w:r w:rsidR="00731D99" w:rsidRPr="005E3021">
              <w:rPr>
                <w:rFonts w:ascii="Times New Roman" w:hAnsi="Times New Roman" w:cs="Times New Roman"/>
                <w:lang w:eastAsia="zh-CN"/>
              </w:rPr>
              <w:t>处理后生活污水进入工业废水处理站的</w:t>
            </w:r>
            <w:r w:rsidR="00731D99" w:rsidRPr="005E3021">
              <w:rPr>
                <w:rFonts w:ascii="Times New Roman" w:hAnsi="Times New Roman" w:cs="Times New Roman"/>
                <w:lang w:eastAsia="zh-CN"/>
              </w:rPr>
              <w:t>“</w:t>
            </w:r>
            <w:r w:rsidR="00731D99" w:rsidRPr="005E3021">
              <w:rPr>
                <w:rFonts w:ascii="Times New Roman" w:hAnsi="Times New Roman" w:cs="Times New Roman"/>
                <w:lang w:eastAsia="zh-CN"/>
              </w:rPr>
              <w:t>超滤</w:t>
            </w:r>
            <w:r w:rsidR="00731D99" w:rsidRPr="005E3021">
              <w:rPr>
                <w:rFonts w:ascii="Times New Roman" w:hAnsi="Times New Roman" w:cs="Times New Roman"/>
                <w:lang w:eastAsia="zh-CN"/>
              </w:rPr>
              <w:t>+</w:t>
            </w:r>
            <w:r w:rsidR="00731D99" w:rsidRPr="005E3021">
              <w:rPr>
                <w:rFonts w:ascii="Times New Roman" w:hAnsi="Times New Roman" w:cs="Times New Roman"/>
                <w:lang w:eastAsia="zh-CN"/>
              </w:rPr>
              <w:t>反渗透</w:t>
            </w:r>
            <w:r w:rsidR="00731D99" w:rsidRPr="005E3021">
              <w:rPr>
                <w:rFonts w:ascii="Times New Roman" w:hAnsi="Times New Roman" w:cs="Times New Roman"/>
                <w:lang w:eastAsia="zh-CN"/>
              </w:rPr>
              <w:t>”</w:t>
            </w:r>
            <w:r w:rsidR="00731D99" w:rsidRPr="005E3021">
              <w:rPr>
                <w:rFonts w:ascii="Times New Roman" w:hAnsi="Times New Roman" w:cs="Times New Roman"/>
                <w:lang w:eastAsia="zh-CN"/>
              </w:rPr>
              <w:t>进行深度处理，处理后的生活污水达标后回用至冷却水塔。</w:t>
            </w:r>
            <w:bookmarkEnd w:id="80"/>
          </w:p>
        </w:tc>
      </w:tr>
      <w:tr w:rsidR="00D85033" w:rsidRPr="00261F7E" w14:paraId="3E634042" w14:textId="77777777" w:rsidTr="005E3021">
        <w:trPr>
          <w:trHeight w:val="57"/>
          <w:jc w:val="center"/>
        </w:trPr>
        <w:tc>
          <w:tcPr>
            <w:tcW w:w="263" w:type="pct"/>
            <w:vMerge/>
            <w:vAlign w:val="center"/>
          </w:tcPr>
          <w:p w14:paraId="1A96647F" w14:textId="77777777" w:rsidR="00D85033" w:rsidRPr="005E3021" w:rsidRDefault="00D85033" w:rsidP="005E3021">
            <w:pPr>
              <w:spacing w:line="280" w:lineRule="exact"/>
              <w:jc w:val="center"/>
            </w:pPr>
          </w:p>
        </w:tc>
        <w:tc>
          <w:tcPr>
            <w:tcW w:w="666" w:type="pct"/>
            <w:vAlign w:val="center"/>
          </w:tcPr>
          <w:p w14:paraId="169A1922" w14:textId="544E10BC" w:rsidR="00D85033" w:rsidRPr="005E3021" w:rsidRDefault="00D85033" w:rsidP="005E3021">
            <w:pPr>
              <w:spacing w:before="65" w:line="280" w:lineRule="exact"/>
              <w:ind w:left="37"/>
            </w:pPr>
            <w:r>
              <w:rPr>
                <w:rFonts w:hint="eastAsia"/>
              </w:rPr>
              <w:t>污泥处理</w:t>
            </w:r>
          </w:p>
        </w:tc>
        <w:tc>
          <w:tcPr>
            <w:tcW w:w="4071" w:type="pct"/>
            <w:vAlign w:val="center"/>
          </w:tcPr>
          <w:p w14:paraId="7FFB3133" w14:textId="797F02F9" w:rsidR="00D85033" w:rsidRDefault="0049630B" w:rsidP="00F82444">
            <w:pPr>
              <w:pStyle w:val="TableText"/>
              <w:spacing w:line="280" w:lineRule="exact"/>
              <w:rPr>
                <w:rFonts w:ascii="Times New Roman" w:hAnsi="Times New Roman" w:cs="Times New Roman"/>
                <w:lang w:eastAsia="zh-CN"/>
              </w:rPr>
            </w:pPr>
            <w:r>
              <w:rPr>
                <w:rFonts w:ascii="Times New Roman" w:hAnsi="Times New Roman" w:cs="Times New Roman" w:hint="eastAsia"/>
                <w:lang w:eastAsia="zh-CN"/>
              </w:rPr>
              <w:t>现有工程</w:t>
            </w:r>
            <w:r w:rsidRPr="0049630B">
              <w:rPr>
                <w:rFonts w:ascii="Times New Roman" w:hAnsi="Times New Roman" w:cs="Times New Roman" w:hint="eastAsia"/>
                <w:lang w:eastAsia="zh-CN"/>
              </w:rPr>
              <w:t>已建设</w:t>
            </w:r>
            <w:r>
              <w:rPr>
                <w:rFonts w:ascii="Times New Roman" w:hAnsi="Times New Roman" w:cs="Times New Roman" w:hint="eastAsia"/>
                <w:lang w:eastAsia="zh-CN"/>
              </w:rPr>
              <w:t>3</w:t>
            </w:r>
            <w:r w:rsidRPr="0049630B">
              <w:rPr>
                <w:rFonts w:ascii="Times New Roman" w:hAnsi="Times New Roman" w:cs="Times New Roman" w:hint="eastAsia"/>
                <w:lang w:eastAsia="zh-CN"/>
              </w:rPr>
              <w:t>条生产线，共</w:t>
            </w:r>
            <w:r w:rsidRPr="0049630B">
              <w:rPr>
                <w:rFonts w:ascii="Times New Roman" w:hAnsi="Times New Roman" w:cs="Times New Roman" w:hint="eastAsia"/>
                <w:lang w:eastAsia="zh-CN"/>
              </w:rPr>
              <w:t>3</w:t>
            </w:r>
            <w:r w:rsidRPr="0049630B">
              <w:rPr>
                <w:rFonts w:ascii="Times New Roman" w:hAnsi="Times New Roman" w:cs="Times New Roman" w:hint="eastAsia"/>
                <w:lang w:eastAsia="zh-CN"/>
              </w:rPr>
              <w:t>台处理能力为</w:t>
            </w:r>
            <w:r w:rsidRPr="0049630B">
              <w:rPr>
                <w:rFonts w:ascii="Times New Roman" w:hAnsi="Times New Roman" w:cs="Times New Roman" w:hint="eastAsia"/>
                <w:lang w:eastAsia="zh-CN"/>
              </w:rPr>
              <w:t>100t/d</w:t>
            </w:r>
            <w:r w:rsidRPr="0049630B">
              <w:rPr>
                <w:rFonts w:ascii="Times New Roman" w:hAnsi="Times New Roman" w:cs="Times New Roman" w:hint="eastAsia"/>
                <w:lang w:eastAsia="zh-CN"/>
              </w:rPr>
              <w:t>的卧式圆盘干化机，其中</w:t>
            </w:r>
            <w:r w:rsidRPr="0049630B">
              <w:rPr>
                <w:rFonts w:ascii="Times New Roman" w:hAnsi="Times New Roman" w:cs="Times New Roman" w:hint="eastAsia"/>
                <w:lang w:eastAsia="zh-CN"/>
              </w:rPr>
              <w:t>200t</w:t>
            </w:r>
            <w:r w:rsidRPr="0049630B">
              <w:rPr>
                <w:rFonts w:ascii="Times New Roman" w:hAnsi="Times New Roman" w:cs="Times New Roman" w:hint="eastAsia"/>
                <w:lang w:eastAsia="zh-CN"/>
              </w:rPr>
              <w:t>湿污泥经立式压滤系统（</w:t>
            </w:r>
            <w:r w:rsidRPr="0049630B">
              <w:rPr>
                <w:rFonts w:ascii="Times New Roman" w:hAnsi="Times New Roman" w:cs="Times New Roman" w:hint="eastAsia"/>
                <w:lang w:eastAsia="zh-CN"/>
              </w:rPr>
              <w:t>2</w:t>
            </w:r>
            <w:r w:rsidRPr="0049630B">
              <w:rPr>
                <w:rFonts w:ascii="Times New Roman" w:hAnsi="Times New Roman" w:cs="Times New Roman" w:hint="eastAsia"/>
                <w:lang w:eastAsia="zh-CN"/>
              </w:rPr>
              <w:t>套</w:t>
            </w:r>
            <w:r w:rsidRPr="0049630B">
              <w:rPr>
                <w:rFonts w:ascii="Times New Roman" w:hAnsi="Times New Roman" w:cs="Times New Roman" w:hint="eastAsia"/>
                <w:lang w:eastAsia="zh-CN"/>
              </w:rPr>
              <w:t>100t/d</w:t>
            </w:r>
            <w:r w:rsidRPr="0049630B">
              <w:rPr>
                <w:rFonts w:ascii="Times New Roman" w:hAnsi="Times New Roman" w:cs="Times New Roman" w:hint="eastAsia"/>
                <w:lang w:eastAsia="zh-CN"/>
              </w:rPr>
              <w:t>立式压滤机）压滤成含水率</w:t>
            </w:r>
            <w:r w:rsidRPr="0049630B">
              <w:rPr>
                <w:rFonts w:ascii="Times New Roman" w:hAnsi="Times New Roman" w:cs="Times New Roman" w:hint="eastAsia"/>
                <w:lang w:eastAsia="zh-CN"/>
              </w:rPr>
              <w:t>60%</w:t>
            </w:r>
            <w:r w:rsidRPr="0049630B">
              <w:rPr>
                <w:rFonts w:ascii="Times New Roman" w:hAnsi="Times New Roman" w:cs="Times New Roman" w:hint="eastAsia"/>
                <w:lang w:eastAsia="zh-CN"/>
              </w:rPr>
              <w:t>的半干污泥（</w:t>
            </w:r>
            <w:r w:rsidRPr="0049630B">
              <w:rPr>
                <w:rFonts w:ascii="Times New Roman" w:hAnsi="Times New Roman" w:cs="Times New Roman" w:hint="eastAsia"/>
                <w:lang w:eastAsia="zh-CN"/>
              </w:rPr>
              <w:t>100t</w:t>
            </w:r>
            <w:r w:rsidRPr="0049630B">
              <w:rPr>
                <w:rFonts w:ascii="Times New Roman" w:hAnsi="Times New Roman" w:cs="Times New Roman" w:hint="eastAsia"/>
                <w:lang w:eastAsia="zh-CN"/>
              </w:rPr>
              <w:t>）后再送输送至圆盘干化机干化至含水率</w:t>
            </w:r>
            <w:r w:rsidRPr="0049630B">
              <w:rPr>
                <w:rFonts w:ascii="Times New Roman" w:hAnsi="Times New Roman" w:cs="Times New Roman" w:hint="eastAsia"/>
                <w:lang w:eastAsia="zh-CN"/>
              </w:rPr>
              <w:t>40%</w:t>
            </w:r>
            <w:r w:rsidRPr="0049630B">
              <w:rPr>
                <w:rFonts w:ascii="Times New Roman" w:hAnsi="Times New Roman" w:cs="Times New Roman" w:hint="eastAsia"/>
                <w:lang w:eastAsia="zh-CN"/>
              </w:rPr>
              <w:t>之后，进入焚烧炉协同焚烧处理；另外</w:t>
            </w:r>
            <w:r w:rsidRPr="0049630B">
              <w:rPr>
                <w:rFonts w:ascii="Times New Roman" w:hAnsi="Times New Roman" w:cs="Times New Roman" w:hint="eastAsia"/>
                <w:lang w:eastAsia="zh-CN"/>
              </w:rPr>
              <w:t>100t</w:t>
            </w:r>
            <w:r w:rsidRPr="0049630B">
              <w:rPr>
                <w:rFonts w:ascii="Times New Roman" w:hAnsi="Times New Roman" w:cs="Times New Roman" w:hint="eastAsia"/>
                <w:lang w:eastAsia="zh-CN"/>
              </w:rPr>
              <w:t>湿污泥直接输送至圆盘干化机干化至含水率</w:t>
            </w:r>
            <w:r w:rsidRPr="0049630B">
              <w:rPr>
                <w:rFonts w:ascii="Times New Roman" w:hAnsi="Times New Roman" w:cs="Times New Roman" w:hint="eastAsia"/>
                <w:lang w:eastAsia="zh-CN"/>
              </w:rPr>
              <w:t>40%</w:t>
            </w:r>
            <w:r w:rsidRPr="0049630B">
              <w:rPr>
                <w:rFonts w:ascii="Times New Roman" w:hAnsi="Times New Roman" w:cs="Times New Roman" w:hint="eastAsia"/>
                <w:lang w:eastAsia="zh-CN"/>
              </w:rPr>
              <w:t>之后进入焚烧炉协调焚烧处理；另有一条处理能力</w:t>
            </w:r>
            <w:r w:rsidRPr="0049630B">
              <w:rPr>
                <w:rFonts w:ascii="Times New Roman" w:hAnsi="Times New Roman" w:cs="Times New Roman" w:hint="eastAsia"/>
                <w:lang w:eastAsia="zh-CN"/>
              </w:rPr>
              <w:t>100t/d</w:t>
            </w:r>
            <w:r w:rsidRPr="0049630B">
              <w:rPr>
                <w:rFonts w:ascii="Times New Roman" w:hAnsi="Times New Roman" w:cs="Times New Roman" w:hint="eastAsia"/>
                <w:lang w:eastAsia="zh-CN"/>
              </w:rPr>
              <w:t>的污泥干化线作为备用。干化热源为垃圾焚烧发电厂产生的蒸汽。</w:t>
            </w:r>
          </w:p>
          <w:p w14:paraId="30C2DB49" w14:textId="6F393034" w:rsidR="00D85033" w:rsidRDefault="00D85033" w:rsidP="00F82444">
            <w:pPr>
              <w:pStyle w:val="TableText"/>
              <w:spacing w:line="280" w:lineRule="exact"/>
              <w:rPr>
                <w:rFonts w:ascii="Times New Roman" w:hAnsi="Times New Roman" w:cs="Times New Roman"/>
                <w:lang w:eastAsia="zh-CN"/>
              </w:rPr>
            </w:pPr>
            <w:r w:rsidRPr="00D85033">
              <w:rPr>
                <w:rFonts w:ascii="Times New Roman" w:hAnsi="Times New Roman" w:cs="Times New Roman" w:hint="eastAsia"/>
                <w:lang w:eastAsia="zh-CN"/>
              </w:rPr>
              <w:t>污泥处理后依托</w:t>
            </w:r>
            <w:r w:rsidRPr="00D85033">
              <w:rPr>
                <w:rFonts w:ascii="Times New Roman" w:hAnsi="Times New Roman" w:cs="Times New Roman" w:hint="eastAsia"/>
                <w:lang w:eastAsia="zh-CN"/>
              </w:rPr>
              <w:t>3</w:t>
            </w:r>
            <w:r w:rsidRPr="00D85033">
              <w:rPr>
                <w:rFonts w:ascii="Times New Roman" w:hAnsi="Times New Roman" w:cs="Times New Roman" w:hint="eastAsia"/>
                <w:lang w:eastAsia="zh-CN"/>
              </w:rPr>
              <w:t>×</w:t>
            </w:r>
            <w:r w:rsidRPr="00D85033">
              <w:rPr>
                <w:rFonts w:ascii="Times New Roman" w:hAnsi="Times New Roman" w:cs="Times New Roman" w:hint="eastAsia"/>
                <w:lang w:eastAsia="zh-CN"/>
              </w:rPr>
              <w:t>500t/d</w:t>
            </w:r>
            <w:r w:rsidRPr="00D85033">
              <w:rPr>
                <w:rFonts w:ascii="Times New Roman" w:hAnsi="Times New Roman" w:cs="Times New Roman" w:hint="eastAsia"/>
                <w:lang w:eastAsia="zh-CN"/>
              </w:rPr>
              <w:t>机械炉排炉（机械炉排型焚烧炉）进行协同焚烧。建</w:t>
            </w:r>
            <w:r w:rsidRPr="00D85033">
              <w:rPr>
                <w:rFonts w:ascii="Times New Roman" w:hAnsi="Times New Roman" w:cs="Times New Roman" w:hint="eastAsia"/>
                <w:lang w:eastAsia="zh-CN"/>
              </w:rPr>
              <w:lastRenderedPageBreak/>
              <w:t>设单位已与污泥处理厂签订污泥接收协议，对污泥含水率提出要求。对进场污泥含水率进行抽样检测，如含水率超过</w:t>
            </w:r>
            <w:r w:rsidRPr="00D85033">
              <w:rPr>
                <w:rFonts w:ascii="Times New Roman" w:hAnsi="Times New Roman" w:cs="Times New Roman" w:hint="eastAsia"/>
                <w:lang w:eastAsia="zh-CN"/>
              </w:rPr>
              <w:t>80%</w:t>
            </w:r>
            <w:r w:rsidRPr="00D85033">
              <w:rPr>
                <w:rFonts w:ascii="Times New Roman" w:hAnsi="Times New Roman" w:cs="Times New Roman" w:hint="eastAsia"/>
                <w:lang w:eastAsia="zh-CN"/>
              </w:rPr>
              <w:t>，将退回原污水处理厂。实际对压滤系统及干化系统出料每天进行监测，根据干污泥含水率监测数据，智能化调整干化过程，通过延长干化时间、增加压滤系统药剂添加量等方式智能化控制干污泥含水率，确保入炉干化污泥含水率低于</w:t>
            </w:r>
            <w:r w:rsidRPr="00D85033">
              <w:rPr>
                <w:rFonts w:ascii="Times New Roman" w:hAnsi="Times New Roman" w:cs="Times New Roman" w:hint="eastAsia"/>
                <w:lang w:eastAsia="zh-CN"/>
              </w:rPr>
              <w:t>40%</w:t>
            </w:r>
            <w:r w:rsidRPr="00D85033">
              <w:rPr>
                <w:rFonts w:ascii="Times New Roman" w:hAnsi="Times New Roman" w:cs="Times New Roman" w:hint="eastAsia"/>
                <w:lang w:eastAsia="zh-CN"/>
              </w:rPr>
              <w:t>。</w:t>
            </w:r>
          </w:p>
        </w:tc>
      </w:tr>
      <w:tr w:rsidR="00731D99" w:rsidRPr="00261F7E" w14:paraId="641E1EF2" w14:textId="77777777" w:rsidTr="005E3021">
        <w:trPr>
          <w:trHeight w:val="57"/>
          <w:jc w:val="center"/>
        </w:trPr>
        <w:tc>
          <w:tcPr>
            <w:tcW w:w="263" w:type="pct"/>
            <w:vMerge/>
            <w:vAlign w:val="center"/>
          </w:tcPr>
          <w:p w14:paraId="69C7AB72" w14:textId="77777777" w:rsidR="00731D99" w:rsidRPr="005E3021" w:rsidRDefault="00731D99" w:rsidP="005E3021">
            <w:pPr>
              <w:spacing w:line="280" w:lineRule="exact"/>
              <w:jc w:val="center"/>
            </w:pPr>
          </w:p>
        </w:tc>
        <w:tc>
          <w:tcPr>
            <w:tcW w:w="666" w:type="pct"/>
            <w:vAlign w:val="center"/>
          </w:tcPr>
          <w:p w14:paraId="2C091932" w14:textId="445124D2" w:rsidR="00731D99" w:rsidRPr="005E3021" w:rsidRDefault="00731D99" w:rsidP="005E3021">
            <w:pPr>
              <w:spacing w:before="65" w:line="280" w:lineRule="exact"/>
              <w:ind w:left="37"/>
            </w:pPr>
            <w:r w:rsidRPr="00400050">
              <w:rPr>
                <w:rFonts w:hint="eastAsia"/>
              </w:rPr>
              <w:t>地下水分区防渗</w:t>
            </w:r>
          </w:p>
        </w:tc>
        <w:tc>
          <w:tcPr>
            <w:tcW w:w="4071" w:type="pct"/>
            <w:vAlign w:val="center"/>
          </w:tcPr>
          <w:p w14:paraId="671086C3" w14:textId="341ABD06" w:rsidR="00731D99" w:rsidRPr="00400050" w:rsidRDefault="00731D99" w:rsidP="005E3021">
            <w:pPr>
              <w:spacing w:before="65" w:line="280" w:lineRule="exact"/>
              <w:ind w:left="37"/>
            </w:pPr>
            <w:r w:rsidRPr="00400050">
              <w:rPr>
                <w:rFonts w:hint="eastAsia"/>
              </w:rPr>
              <w:t>重点防渗区为垃圾池、卸料大厅、卸料平台、渗滤液收集池、渗滤液处理站、初期雨水收集池、油罐区和飞灰稳定化暂存库及氨水罐区、盐酸罐区、事故池、渗滤液处理站事故池、飞灰固化间、危险废物暂存间和渗滤液输送管线。</w:t>
            </w:r>
          </w:p>
          <w:p w14:paraId="000ECF12" w14:textId="557F2546" w:rsidR="00731D99" w:rsidRPr="00400050" w:rsidRDefault="00731D99" w:rsidP="005E3021">
            <w:pPr>
              <w:spacing w:before="65" w:line="280" w:lineRule="exact"/>
              <w:ind w:left="37"/>
            </w:pPr>
            <w:r w:rsidRPr="00400050">
              <w:rPr>
                <w:rFonts w:hint="eastAsia"/>
              </w:rPr>
              <w:t>1</w:t>
            </w:r>
            <w:r w:rsidRPr="00400050">
              <w:rPr>
                <w:rFonts w:hint="eastAsia"/>
              </w:rPr>
              <w:t>、其中渗滤液收集池、垃圾池等防渗材料采用环氧玻璃鳞片；渗滤液处理站调节池及各处理池和油罐区及事故池、渗滤液处理站事故池采用</w:t>
            </w:r>
            <w:r w:rsidRPr="00400050">
              <w:rPr>
                <w:rFonts w:hint="eastAsia"/>
              </w:rPr>
              <w:t>HDPE</w:t>
            </w:r>
            <w:r w:rsidRPr="00400050">
              <w:rPr>
                <w:rFonts w:hint="eastAsia"/>
              </w:rPr>
              <w:t>土工膜防渗结构，高密度聚乙烯</w:t>
            </w:r>
            <w:r w:rsidRPr="00400050">
              <w:rPr>
                <w:rFonts w:hint="eastAsia"/>
              </w:rPr>
              <w:t>HDPE</w:t>
            </w:r>
            <w:r w:rsidRPr="00400050">
              <w:rPr>
                <w:rFonts w:hint="eastAsia"/>
              </w:rPr>
              <w:t>膜厚度</w:t>
            </w:r>
            <w:r w:rsidRPr="00400050">
              <w:rPr>
                <w:rFonts w:hint="eastAsia"/>
              </w:rPr>
              <w:t>2mm</w:t>
            </w:r>
            <w:r w:rsidRPr="00400050">
              <w:rPr>
                <w:rFonts w:hint="eastAsia"/>
              </w:rPr>
              <w:t>，并且于膜上膜下设置保护层。</w:t>
            </w:r>
          </w:p>
          <w:p w14:paraId="532A8C0D" w14:textId="189EEC38" w:rsidR="00731D99" w:rsidRPr="00400050" w:rsidRDefault="00731D99" w:rsidP="005E3021">
            <w:pPr>
              <w:spacing w:before="65" w:line="280" w:lineRule="exact"/>
              <w:ind w:left="37"/>
            </w:pPr>
            <w:r w:rsidRPr="00400050">
              <w:rPr>
                <w:rFonts w:hint="eastAsia"/>
              </w:rPr>
              <w:t>2</w:t>
            </w:r>
            <w:r w:rsidRPr="00400050">
              <w:rPr>
                <w:rFonts w:hint="eastAsia"/>
              </w:rPr>
              <w:t>、初期雨水收集池、飞灰稳定化暂存库及氨水罐区、盐酸罐区等用抗渗混凝土作为其防渗层，抗渗混凝土等级为</w:t>
            </w:r>
            <w:r w:rsidRPr="00400050">
              <w:rPr>
                <w:rFonts w:hint="eastAsia"/>
              </w:rPr>
              <w:t>P8</w:t>
            </w:r>
            <w:r w:rsidRPr="00400050">
              <w:rPr>
                <w:rFonts w:hint="eastAsia"/>
              </w:rPr>
              <w:t>，结构厚度为</w:t>
            </w:r>
            <w:r w:rsidRPr="00400050">
              <w:rPr>
                <w:rFonts w:hint="eastAsia"/>
              </w:rPr>
              <w:t>250mm</w:t>
            </w:r>
            <w:r w:rsidRPr="00400050">
              <w:rPr>
                <w:rFonts w:hint="eastAsia"/>
              </w:rPr>
              <w:t>，且水池的内表面涂刷水泥基渗透结晶型聚脲等防水材料，水泥基渗透结晶型防水涂料厚度为</w:t>
            </w:r>
            <w:r w:rsidRPr="00400050">
              <w:rPr>
                <w:rFonts w:hint="eastAsia"/>
              </w:rPr>
              <w:t>1.0mm</w:t>
            </w:r>
            <w:r w:rsidRPr="00400050">
              <w:rPr>
                <w:rFonts w:hint="eastAsia"/>
              </w:rPr>
              <w:t>；</w:t>
            </w:r>
          </w:p>
          <w:p w14:paraId="224BB680" w14:textId="5F896226" w:rsidR="00731D99" w:rsidRPr="00400050" w:rsidRDefault="00731D99" w:rsidP="005E3021">
            <w:pPr>
              <w:spacing w:before="65" w:line="280" w:lineRule="exact"/>
              <w:ind w:left="37"/>
            </w:pPr>
            <w:r w:rsidRPr="00400050">
              <w:rPr>
                <w:rFonts w:hint="eastAsia"/>
              </w:rPr>
              <w:t>3</w:t>
            </w:r>
            <w:r w:rsidRPr="00400050">
              <w:rPr>
                <w:rFonts w:hint="eastAsia"/>
              </w:rPr>
              <w:t>、卸料平台、卸料大厅采用水泥基渗透结晶型防水涂料厚度为</w:t>
            </w:r>
            <w:r w:rsidRPr="00400050">
              <w:rPr>
                <w:rFonts w:hint="eastAsia"/>
              </w:rPr>
              <w:t>1.0mm</w:t>
            </w:r>
          </w:p>
          <w:p w14:paraId="708D2D63" w14:textId="08128D59" w:rsidR="00731D99" w:rsidRPr="005E3021" w:rsidRDefault="00731D99" w:rsidP="005E3021">
            <w:pPr>
              <w:spacing w:before="65" w:line="280" w:lineRule="exact"/>
              <w:ind w:left="37"/>
            </w:pPr>
            <w:r w:rsidRPr="00400050">
              <w:rPr>
                <w:rFonts w:hint="eastAsia"/>
              </w:rPr>
              <w:t>,</w:t>
            </w:r>
            <w:r w:rsidRPr="00400050">
              <w:rPr>
                <w:rFonts w:hint="eastAsia"/>
              </w:rPr>
              <w:t>每平方米用量</w:t>
            </w:r>
            <w:r w:rsidRPr="00400050">
              <w:rPr>
                <w:rFonts w:hint="eastAsia"/>
              </w:rPr>
              <w:t>6kg</w:t>
            </w:r>
            <w:r w:rsidRPr="00400050">
              <w:rPr>
                <w:rFonts w:hint="eastAsia"/>
              </w:rPr>
              <w:t>。各重点防渗区钢筋混凝土水池池壁均已做防腐蚀处理。满足重点防渗区防渗层的防渗性能为</w:t>
            </w:r>
            <w:r w:rsidRPr="00400050">
              <w:rPr>
                <w:rFonts w:hint="eastAsia"/>
              </w:rPr>
              <w:t>6.0m</w:t>
            </w:r>
            <w:r w:rsidRPr="00400050">
              <w:rPr>
                <w:rFonts w:hint="eastAsia"/>
              </w:rPr>
              <w:t>厚渗透系数为</w:t>
            </w:r>
            <w:r w:rsidRPr="00400050">
              <w:rPr>
                <w:rFonts w:hint="eastAsia"/>
              </w:rPr>
              <w:t>1</w:t>
            </w:r>
            <w:r w:rsidRPr="00400050">
              <w:rPr>
                <w:rFonts w:hint="eastAsia"/>
              </w:rPr>
              <w:t>×</w:t>
            </w:r>
            <w:r w:rsidRPr="00400050">
              <w:rPr>
                <w:rFonts w:hint="eastAsia"/>
              </w:rPr>
              <w:t>10-7c</w:t>
            </w:r>
            <w:r w:rsidRPr="005E3021">
              <w:t>m/s</w:t>
            </w:r>
            <w:r w:rsidRPr="005E3021">
              <w:t>的黏土层的防渗性能。</w:t>
            </w:r>
          </w:p>
          <w:p w14:paraId="7313129E" w14:textId="6E7B526A" w:rsidR="00731D99" w:rsidRPr="005E3021" w:rsidRDefault="00731D99" w:rsidP="005E3021">
            <w:pPr>
              <w:spacing w:before="65" w:line="280" w:lineRule="exact"/>
              <w:ind w:left="37"/>
            </w:pPr>
            <w:r w:rsidRPr="005E3021">
              <w:t>4</w:t>
            </w:r>
            <w:r w:rsidRPr="005E3021">
              <w:t>、危险废物暂存间、飞灰固化间地面采用防水抗渗混凝土，危险废物暂存间、飞灰固化间、飞灰稳定化暂存库符合《危险废物贮存污染控制标准》（</w:t>
            </w:r>
            <w:r w:rsidRPr="005E3021">
              <w:t>GB18597-2023</w:t>
            </w:r>
            <w:r w:rsidRPr="005E3021">
              <w:t>）中防渗层为至少</w:t>
            </w:r>
            <w:r w:rsidRPr="005E3021">
              <w:t>1m</w:t>
            </w:r>
            <w:r w:rsidRPr="005E3021">
              <w:t>厚黏土层（渗透系数不大于</w:t>
            </w:r>
            <w:r w:rsidRPr="005E3021">
              <w:t>10-7cm/s</w:t>
            </w:r>
            <w:r w:rsidRPr="005E3021">
              <w:t>），或至少</w:t>
            </w:r>
            <w:r w:rsidRPr="005E3021">
              <w:t>2mm</w:t>
            </w:r>
            <w:r w:rsidRPr="005E3021">
              <w:t>厚高密度聚乙烯膜等人工防渗材料（渗透系数不大于</w:t>
            </w:r>
            <w:r w:rsidRPr="005E3021">
              <w:t>10-10cm/s</w:t>
            </w:r>
            <w:r w:rsidRPr="005E3021">
              <w:t>），或其他防渗性能等效的材料。</w:t>
            </w:r>
          </w:p>
          <w:p w14:paraId="3DBE27B7" w14:textId="4AADE1FB" w:rsidR="00731D99" w:rsidRPr="005E3021" w:rsidRDefault="00731D99" w:rsidP="005E3021">
            <w:pPr>
              <w:spacing w:before="65" w:line="280" w:lineRule="exact"/>
              <w:ind w:left="37"/>
            </w:pPr>
            <w:r w:rsidRPr="005E3021">
              <w:t>5</w:t>
            </w:r>
            <w:r w:rsidRPr="005E3021">
              <w:t>、一般防渗区包括：渣坑、综合水泵房、地磅房、机动车库和生产水池及冷却塔、消防水池、主厂房等。一般防渗区的地面采用抗渗混凝土作为防渗层，抗渗混凝土等为</w:t>
            </w:r>
            <w:r w:rsidRPr="005E3021">
              <w:t>P6</w:t>
            </w:r>
            <w:r w:rsidRPr="005E3021">
              <w:t>，厚度为</w:t>
            </w:r>
            <w:r w:rsidRPr="005E3021">
              <w:t>100mm</w:t>
            </w:r>
            <w:r w:rsidRPr="005E3021">
              <w:t>。</w:t>
            </w:r>
          </w:p>
          <w:p w14:paraId="74185267" w14:textId="5AE24346" w:rsidR="00731D99" w:rsidRPr="005E3021" w:rsidRDefault="00731D99" w:rsidP="005E3021">
            <w:pPr>
              <w:spacing w:before="65" w:line="280" w:lineRule="exact"/>
              <w:ind w:left="37"/>
            </w:pPr>
            <w:r w:rsidRPr="005E3021">
              <w:t>简单防渗区包括：综合楼、办公楼和厂区道路等，进行地表硬化处理。防渗性能为</w:t>
            </w:r>
            <w:r w:rsidRPr="005E3021">
              <w:t>1×10-6cm/s</w:t>
            </w:r>
            <w:r w:rsidRPr="005E3021">
              <w:t>。防渗施工图见附件</w:t>
            </w:r>
            <w:r w:rsidRPr="005E3021">
              <w:t>9</w:t>
            </w:r>
            <w:r w:rsidRPr="005E3021">
              <w:t>。</w:t>
            </w:r>
          </w:p>
        </w:tc>
      </w:tr>
      <w:tr w:rsidR="00731D99" w:rsidRPr="00261F7E" w14:paraId="3D36E317" w14:textId="77777777" w:rsidTr="005E3021">
        <w:trPr>
          <w:trHeight w:val="57"/>
          <w:jc w:val="center"/>
        </w:trPr>
        <w:tc>
          <w:tcPr>
            <w:tcW w:w="263" w:type="pct"/>
            <w:vMerge/>
            <w:vAlign w:val="center"/>
          </w:tcPr>
          <w:p w14:paraId="7296088C" w14:textId="77777777" w:rsidR="00731D99" w:rsidRPr="00261F7E" w:rsidRDefault="00731D99" w:rsidP="005E3021">
            <w:pPr>
              <w:pStyle w:val="TableText"/>
              <w:spacing w:line="280" w:lineRule="exact"/>
              <w:jc w:val="center"/>
              <w:rPr>
                <w:rFonts w:hint="eastAsia"/>
                <w:highlight w:val="yellow"/>
                <w:lang w:eastAsia="zh-CN"/>
              </w:rPr>
            </w:pPr>
          </w:p>
        </w:tc>
        <w:tc>
          <w:tcPr>
            <w:tcW w:w="666" w:type="pct"/>
            <w:vAlign w:val="center"/>
          </w:tcPr>
          <w:p w14:paraId="00D2CC83" w14:textId="5ABA7513" w:rsidR="00731D99" w:rsidRPr="005E3021" w:rsidRDefault="00731D99" w:rsidP="005E3021">
            <w:pPr>
              <w:spacing w:before="65" w:line="280" w:lineRule="exact"/>
              <w:ind w:left="37"/>
            </w:pPr>
            <w:r w:rsidRPr="00400050">
              <w:rPr>
                <w:rFonts w:hint="eastAsia"/>
              </w:rPr>
              <w:t>地下水监测井</w:t>
            </w:r>
          </w:p>
        </w:tc>
        <w:tc>
          <w:tcPr>
            <w:tcW w:w="4071" w:type="pct"/>
            <w:vAlign w:val="center"/>
          </w:tcPr>
          <w:p w14:paraId="31FC7590" w14:textId="00D260A2" w:rsidR="00731D99" w:rsidRPr="005E3021" w:rsidRDefault="00731D99" w:rsidP="005E3021">
            <w:pPr>
              <w:spacing w:before="65" w:line="280" w:lineRule="exact"/>
              <w:ind w:left="37"/>
            </w:pPr>
            <w:r w:rsidRPr="00400050">
              <w:rPr>
                <w:rFonts w:hint="eastAsia"/>
              </w:rPr>
              <w:t>设置</w:t>
            </w:r>
            <w:r w:rsidRPr="00400050">
              <w:rPr>
                <w:rFonts w:hint="eastAsia"/>
              </w:rPr>
              <w:t>3</w:t>
            </w:r>
            <w:r w:rsidRPr="00400050">
              <w:rPr>
                <w:rFonts w:hint="eastAsia"/>
              </w:rPr>
              <w:t>口地下水监测井。在场地地下水流向上游</w:t>
            </w:r>
            <w:r w:rsidRPr="00400050">
              <w:rPr>
                <w:rFonts w:hint="eastAsia"/>
              </w:rPr>
              <w:t>60m</w:t>
            </w:r>
            <w:r w:rsidRPr="00400050">
              <w:rPr>
                <w:rFonts w:hint="eastAsia"/>
              </w:rPr>
              <w:t>处设</w:t>
            </w:r>
            <w:r w:rsidRPr="00400050">
              <w:rPr>
                <w:rFonts w:hint="eastAsia"/>
              </w:rPr>
              <w:t>1</w:t>
            </w:r>
            <w:r w:rsidRPr="00400050">
              <w:rPr>
                <w:rFonts w:hint="eastAsia"/>
              </w:rPr>
              <w:t>座本底监测井，上游监测井</w:t>
            </w:r>
            <w:r w:rsidRPr="00400050">
              <w:rPr>
                <w:rFonts w:hint="eastAsia"/>
              </w:rPr>
              <w:t>1#</w:t>
            </w:r>
            <w:r w:rsidRPr="00400050">
              <w:rPr>
                <w:rFonts w:hint="eastAsia"/>
              </w:rPr>
              <w:t>位于厂区东侧，坐标为</w:t>
            </w:r>
            <w:r w:rsidRPr="00400050">
              <w:rPr>
                <w:rFonts w:hint="eastAsia"/>
              </w:rPr>
              <w:t>E124.98833835,46.43641326,</w:t>
            </w:r>
            <w:r w:rsidRPr="00400050">
              <w:rPr>
                <w:rFonts w:hint="eastAsia"/>
              </w:rPr>
              <w:t>下游监测井</w:t>
            </w:r>
            <w:r w:rsidRPr="00400050">
              <w:rPr>
                <w:rFonts w:hint="eastAsia"/>
              </w:rPr>
              <w:t>2#</w:t>
            </w:r>
            <w:r w:rsidRPr="00400050">
              <w:rPr>
                <w:rFonts w:hint="eastAsia"/>
              </w:rPr>
              <w:t>位于生产楼北侧</w:t>
            </w:r>
            <w:r w:rsidRPr="00400050">
              <w:rPr>
                <w:rFonts w:hint="eastAsia"/>
              </w:rPr>
              <w:t>10m</w:t>
            </w:r>
            <w:r w:rsidRPr="00400050">
              <w:rPr>
                <w:rFonts w:hint="eastAsia"/>
              </w:rPr>
              <w:t>，</w:t>
            </w:r>
            <w:r w:rsidRPr="00400050">
              <w:rPr>
                <w:rFonts w:hint="eastAsia"/>
              </w:rPr>
              <w:t>E124.98547643,46.43470617</w:t>
            </w:r>
            <w:r w:rsidRPr="00400050">
              <w:rPr>
                <w:rFonts w:hint="eastAsia"/>
              </w:rPr>
              <w:t>；</w:t>
            </w:r>
            <w:r w:rsidRPr="00400050">
              <w:rPr>
                <w:rFonts w:hint="eastAsia"/>
              </w:rPr>
              <w:t>3#</w:t>
            </w:r>
            <w:r w:rsidRPr="00400050">
              <w:rPr>
                <w:rFonts w:hint="eastAsia"/>
              </w:rPr>
              <w:t>下游监测井位于厂区内栈桥南侧</w:t>
            </w:r>
            <w:r w:rsidRPr="00400050">
              <w:rPr>
                <w:rFonts w:hint="eastAsia"/>
              </w:rPr>
              <w:t>9m</w:t>
            </w:r>
            <w:r w:rsidRPr="00400050">
              <w:rPr>
                <w:rFonts w:hint="eastAsia"/>
              </w:rPr>
              <w:t>处，坐标</w:t>
            </w:r>
            <w:r w:rsidRPr="00400050">
              <w:rPr>
                <w:rFonts w:hint="eastAsia"/>
              </w:rPr>
              <w:t>E124.984999</w:t>
            </w:r>
            <w:r w:rsidRPr="00400050">
              <w:rPr>
                <w:rFonts w:hint="eastAsia"/>
              </w:rPr>
              <w:t>，</w:t>
            </w:r>
            <w:r w:rsidRPr="00400050">
              <w:rPr>
                <w:rFonts w:hint="eastAsia"/>
              </w:rPr>
              <w:t>46.43340387</w:t>
            </w:r>
          </w:p>
        </w:tc>
      </w:tr>
      <w:tr w:rsidR="00731D99" w:rsidRPr="00261F7E" w14:paraId="1B041834" w14:textId="77777777" w:rsidTr="005E3021">
        <w:trPr>
          <w:trHeight w:val="57"/>
          <w:jc w:val="center"/>
        </w:trPr>
        <w:tc>
          <w:tcPr>
            <w:tcW w:w="263" w:type="pct"/>
            <w:vMerge/>
            <w:vAlign w:val="center"/>
          </w:tcPr>
          <w:p w14:paraId="7DB2BD29" w14:textId="77777777" w:rsidR="00731D99" w:rsidRPr="00261F7E" w:rsidRDefault="00731D99">
            <w:pPr>
              <w:adjustRightInd w:val="0"/>
              <w:snapToGrid w:val="0"/>
              <w:jc w:val="center"/>
              <w:rPr>
                <w:highlight w:val="yellow"/>
              </w:rPr>
            </w:pPr>
          </w:p>
        </w:tc>
        <w:tc>
          <w:tcPr>
            <w:tcW w:w="666" w:type="pct"/>
            <w:vAlign w:val="center"/>
          </w:tcPr>
          <w:p w14:paraId="4D0FC149" w14:textId="524A8748" w:rsidR="00731D99" w:rsidRPr="005E3021" w:rsidRDefault="00731D99" w:rsidP="005E3021">
            <w:pPr>
              <w:spacing w:before="65" w:line="280" w:lineRule="exact"/>
              <w:ind w:left="37"/>
            </w:pPr>
            <w:r w:rsidRPr="00400050">
              <w:rPr>
                <w:rFonts w:hint="eastAsia"/>
              </w:rPr>
              <w:t>在线监测设备</w:t>
            </w:r>
          </w:p>
        </w:tc>
        <w:tc>
          <w:tcPr>
            <w:tcW w:w="4071" w:type="pct"/>
            <w:vAlign w:val="center"/>
          </w:tcPr>
          <w:p w14:paraId="7076DCDE" w14:textId="0A00781F" w:rsidR="00731D99" w:rsidRPr="005E3021" w:rsidRDefault="00F82444" w:rsidP="005E3021">
            <w:pPr>
              <w:spacing w:before="65" w:line="280" w:lineRule="exact"/>
              <w:ind w:left="37"/>
            </w:pPr>
            <w:r>
              <w:rPr>
                <w:rFonts w:hint="eastAsia"/>
              </w:rPr>
              <w:t>现有工程</w:t>
            </w:r>
            <w:r w:rsidR="00731D99" w:rsidRPr="00400050">
              <w:rPr>
                <w:rFonts w:hint="eastAsia"/>
              </w:rPr>
              <w:t>安装</w:t>
            </w:r>
            <w:r w:rsidR="00731D99" w:rsidRPr="00400050">
              <w:rPr>
                <w:rFonts w:hint="eastAsia"/>
              </w:rPr>
              <w:t>3</w:t>
            </w:r>
            <w:r w:rsidR="00731D99" w:rsidRPr="00400050">
              <w:rPr>
                <w:rFonts w:hint="eastAsia"/>
              </w:rPr>
              <w:t>套焚烧炉运行工况在线监测设备和烟气排放在线监测设备。现在线监测设备已完成验收工作，数据已联网。</w:t>
            </w:r>
          </w:p>
        </w:tc>
      </w:tr>
      <w:tr w:rsidR="00731D99" w:rsidRPr="00261F7E" w14:paraId="588BBEAE" w14:textId="77777777" w:rsidTr="005E3021">
        <w:trPr>
          <w:trHeight w:val="57"/>
          <w:jc w:val="center"/>
        </w:trPr>
        <w:tc>
          <w:tcPr>
            <w:tcW w:w="263" w:type="pct"/>
            <w:vMerge/>
            <w:vAlign w:val="center"/>
          </w:tcPr>
          <w:p w14:paraId="07213792" w14:textId="77777777" w:rsidR="00731D99" w:rsidRPr="00261F7E" w:rsidRDefault="00731D99">
            <w:pPr>
              <w:adjustRightInd w:val="0"/>
              <w:snapToGrid w:val="0"/>
              <w:jc w:val="center"/>
              <w:rPr>
                <w:highlight w:val="yellow"/>
              </w:rPr>
            </w:pPr>
          </w:p>
        </w:tc>
        <w:tc>
          <w:tcPr>
            <w:tcW w:w="666" w:type="pct"/>
            <w:vAlign w:val="center"/>
          </w:tcPr>
          <w:p w14:paraId="205D83C1" w14:textId="5D1B3873" w:rsidR="00731D99" w:rsidRPr="005E3021" w:rsidRDefault="00731D99" w:rsidP="005E3021">
            <w:pPr>
              <w:spacing w:before="65" w:line="280" w:lineRule="exact"/>
              <w:ind w:left="37"/>
            </w:pPr>
            <w:r w:rsidRPr="00400050">
              <w:rPr>
                <w:rFonts w:hint="eastAsia"/>
              </w:rPr>
              <w:t>固体废物处理措施</w:t>
            </w:r>
          </w:p>
        </w:tc>
        <w:tc>
          <w:tcPr>
            <w:tcW w:w="4071" w:type="pct"/>
            <w:vAlign w:val="center"/>
          </w:tcPr>
          <w:p w14:paraId="0B79D307" w14:textId="077E5F0D" w:rsidR="00731D99" w:rsidRPr="00400050" w:rsidRDefault="00731D99" w:rsidP="005E3021">
            <w:pPr>
              <w:spacing w:before="65" w:line="280" w:lineRule="exact"/>
              <w:ind w:left="37"/>
            </w:pPr>
            <w:r w:rsidRPr="00400050">
              <w:rPr>
                <w:rFonts w:hint="eastAsia"/>
              </w:rPr>
              <w:t>①产生的危险废物包括：焚烧炉焚烧产生的飞灰、渗滤液处理站废过滤膜、废布袋、废变压器油、废机油和实验室废液、废活性炭。</w:t>
            </w:r>
          </w:p>
          <w:p w14:paraId="5BA1666B" w14:textId="77777777" w:rsidR="00731D99" w:rsidRPr="00400050" w:rsidRDefault="00731D99" w:rsidP="005E3021">
            <w:pPr>
              <w:spacing w:before="65" w:line="280" w:lineRule="exact"/>
              <w:ind w:left="37"/>
            </w:pPr>
            <w:r w:rsidRPr="00400050">
              <w:rPr>
                <w:rFonts w:hint="eastAsia"/>
              </w:rPr>
              <w:t>危险废物处置方式如下：</w:t>
            </w:r>
          </w:p>
          <w:p w14:paraId="59E2FD86" w14:textId="02485984" w:rsidR="00731D99" w:rsidRPr="00400050" w:rsidRDefault="00731D99" w:rsidP="005E3021">
            <w:pPr>
              <w:spacing w:before="65" w:line="280" w:lineRule="exact"/>
              <w:ind w:left="37"/>
            </w:pPr>
            <w:r w:rsidRPr="00400050">
              <w:rPr>
                <w:rFonts w:hint="eastAsia"/>
              </w:rPr>
              <w:t>飞灰经固化后，检验低于《危险废物鉴别标准</w:t>
            </w:r>
            <w:r w:rsidRPr="00400050">
              <w:rPr>
                <w:rFonts w:hint="eastAsia"/>
              </w:rPr>
              <w:t>-</w:t>
            </w:r>
            <w:r w:rsidRPr="00400050">
              <w:rPr>
                <w:rFonts w:hint="eastAsia"/>
              </w:rPr>
              <w:t>浸出毒性鉴别》（</w:t>
            </w:r>
            <w:r w:rsidRPr="00400050">
              <w:rPr>
                <w:rFonts w:hint="eastAsia"/>
              </w:rPr>
              <w:t>GB5085.3-2007</w:t>
            </w:r>
            <w:r w:rsidRPr="00400050">
              <w:rPr>
                <w:rFonts w:hint="eastAsia"/>
              </w:rPr>
              <w:t>）浸出毒性标准限值并符合《生活垃圾填埋场污染控制标准》（</w:t>
            </w:r>
            <w:r w:rsidRPr="00400050">
              <w:rPr>
                <w:rFonts w:hint="eastAsia"/>
              </w:rPr>
              <w:t>GB16889-2008</w:t>
            </w:r>
            <w:r w:rsidRPr="00400050">
              <w:rPr>
                <w:rFonts w:hint="eastAsia"/>
              </w:rPr>
              <w:t>）</w:t>
            </w:r>
            <w:r w:rsidRPr="00400050">
              <w:rPr>
                <w:rFonts w:hint="eastAsia"/>
              </w:rPr>
              <w:t>6.3</w:t>
            </w:r>
            <w:r w:rsidRPr="00400050">
              <w:rPr>
                <w:rFonts w:hint="eastAsia"/>
              </w:rPr>
              <w:t>要求后送大庆龙清生物科技有限公司（大庆市生活垃圾填埋场）填埋处置。处置协议见附件</w:t>
            </w:r>
            <w:r w:rsidRPr="00400050">
              <w:rPr>
                <w:rFonts w:hint="eastAsia"/>
              </w:rPr>
              <w:t>3</w:t>
            </w:r>
            <w:r w:rsidRPr="00400050">
              <w:rPr>
                <w:rFonts w:hint="eastAsia"/>
              </w:rPr>
              <w:t>。渗滤液处理站废过滤膜、废布袋、废变压器油、废机油和实验室废液暂存</w:t>
            </w:r>
            <w:r w:rsidR="00701A39">
              <w:rPr>
                <w:rFonts w:hint="eastAsia"/>
              </w:rPr>
              <w:t>危废贮存库</w:t>
            </w:r>
            <w:r w:rsidRPr="00400050">
              <w:rPr>
                <w:rFonts w:hint="eastAsia"/>
              </w:rPr>
              <w:t>，定期委托黑龙江京盛华环保科技有限公司处置。废活性炭入炉焚烧。</w:t>
            </w:r>
          </w:p>
          <w:p w14:paraId="7424D1AC" w14:textId="4E678FB2" w:rsidR="00731D99" w:rsidRPr="00400050" w:rsidRDefault="00731D99" w:rsidP="005E3021">
            <w:pPr>
              <w:spacing w:before="65" w:line="280" w:lineRule="exact"/>
              <w:ind w:left="37"/>
            </w:pPr>
            <w:r w:rsidRPr="00400050">
              <w:rPr>
                <w:rFonts w:hint="eastAsia"/>
              </w:rPr>
              <w:t>②一般固体废物包括：焚烧炉产生的废金属及炉渣、化水处理系统废过滤膜和废树脂、渗滤液处理站污泥。</w:t>
            </w:r>
          </w:p>
          <w:p w14:paraId="438CA513" w14:textId="77777777" w:rsidR="00731D99" w:rsidRPr="00400050" w:rsidRDefault="00731D99" w:rsidP="005E3021">
            <w:pPr>
              <w:spacing w:before="65" w:line="280" w:lineRule="exact"/>
              <w:ind w:left="37"/>
            </w:pPr>
            <w:r w:rsidRPr="00400050">
              <w:rPr>
                <w:rFonts w:hint="eastAsia"/>
              </w:rPr>
              <w:lastRenderedPageBreak/>
              <w:t>一般固体废物处置方式如下：</w:t>
            </w:r>
          </w:p>
          <w:p w14:paraId="40A3E962" w14:textId="1FF9CD25" w:rsidR="00731D99" w:rsidRPr="00400050" w:rsidRDefault="00731D99" w:rsidP="0098499A">
            <w:pPr>
              <w:spacing w:before="65" w:line="280" w:lineRule="exact"/>
              <w:ind w:left="37"/>
            </w:pPr>
            <w:r w:rsidRPr="00400050">
              <w:rPr>
                <w:rFonts w:hint="eastAsia"/>
              </w:rPr>
              <w:t>焚烧炉产生的废金属外售废品回收站、炉渣外售天津市长振建材有限公司综合利用，化水处理系统废过滤膜和废树脂由生产厂家统一回收，渗滤液处理站污泥的污泥入炉焚烧。</w:t>
            </w:r>
          </w:p>
          <w:p w14:paraId="3E9440EE" w14:textId="769BBC55" w:rsidR="00731D99" w:rsidRPr="005E3021" w:rsidRDefault="00731D99" w:rsidP="005E3021">
            <w:pPr>
              <w:spacing w:before="65" w:line="280" w:lineRule="exact"/>
              <w:ind w:left="37"/>
            </w:pPr>
            <w:r w:rsidRPr="00400050">
              <w:rPr>
                <w:rFonts w:hint="eastAsia"/>
              </w:rPr>
              <w:t>③其他固体废物：生活垃圾、餐厨垃圾。生活垃圾入炉焚烧，餐厨垃圾由市政部门统一收集处理。</w:t>
            </w:r>
          </w:p>
        </w:tc>
      </w:tr>
      <w:tr w:rsidR="00F82444" w:rsidRPr="00261F7E" w14:paraId="3A462E91" w14:textId="77777777" w:rsidTr="00F82444">
        <w:trPr>
          <w:trHeight w:val="57"/>
          <w:jc w:val="center"/>
        </w:trPr>
        <w:tc>
          <w:tcPr>
            <w:tcW w:w="929" w:type="pct"/>
            <w:gridSpan w:val="2"/>
            <w:vAlign w:val="center"/>
          </w:tcPr>
          <w:p w14:paraId="6BCCCD30" w14:textId="2E1E0F69" w:rsidR="00F82444" w:rsidRPr="005E3021" w:rsidRDefault="00F82444" w:rsidP="005E3021">
            <w:pPr>
              <w:spacing w:before="65" w:line="280" w:lineRule="exact"/>
              <w:ind w:left="37"/>
            </w:pPr>
            <w:r w:rsidRPr="005E3021">
              <w:lastRenderedPageBreak/>
              <w:t>环境风险防范措施</w:t>
            </w:r>
          </w:p>
        </w:tc>
        <w:tc>
          <w:tcPr>
            <w:tcW w:w="4071" w:type="pct"/>
            <w:vAlign w:val="center"/>
          </w:tcPr>
          <w:p w14:paraId="2D21A205" w14:textId="77777777" w:rsidR="00F82444" w:rsidRDefault="00F82444" w:rsidP="005E3021">
            <w:pPr>
              <w:spacing w:before="65" w:line="280" w:lineRule="exact"/>
              <w:ind w:left="37" w:right="25"/>
            </w:pPr>
            <w:r>
              <w:rPr>
                <w:rFonts w:hint="eastAsia"/>
              </w:rPr>
              <w:t>现有工程已建</w:t>
            </w:r>
            <w:r w:rsidRPr="005E3021">
              <w:t>2</w:t>
            </w:r>
            <w:r w:rsidRPr="005E3021">
              <w:t>个</w:t>
            </w:r>
            <w:r w:rsidRPr="005E3021">
              <w:t>15m³</w:t>
            </w:r>
            <w:r w:rsidRPr="005E3021">
              <w:t>地埋式柴油罐，用抗渗混凝土作为其防渗层，抗渗混凝土等级为</w:t>
            </w:r>
            <w:r w:rsidRPr="005E3021">
              <w:t>P8</w:t>
            </w:r>
            <w:r w:rsidRPr="005E3021">
              <w:t>，结构厚度</w:t>
            </w:r>
            <w:r w:rsidRPr="005E3021">
              <w:t>250mm</w:t>
            </w:r>
            <w:r w:rsidRPr="005E3021">
              <w:t>。</w:t>
            </w:r>
          </w:p>
          <w:p w14:paraId="4178FCA5" w14:textId="15F14427" w:rsidR="00F82444" w:rsidRPr="005E3021" w:rsidRDefault="00F82444" w:rsidP="005E3021">
            <w:pPr>
              <w:spacing w:before="65" w:line="280" w:lineRule="exact"/>
              <w:ind w:left="37" w:right="25"/>
            </w:pPr>
            <w:r>
              <w:rPr>
                <w:rFonts w:hint="eastAsia"/>
              </w:rPr>
              <w:t>现有工程已建</w:t>
            </w:r>
            <w:r w:rsidRPr="005E3021">
              <w:t>1</w:t>
            </w:r>
            <w:r w:rsidRPr="005E3021">
              <w:t>座氨水罐</w:t>
            </w:r>
            <w:r w:rsidRPr="005E3021">
              <w:t>90m³</w:t>
            </w:r>
            <w:r>
              <w:rPr>
                <w:rFonts w:hint="eastAsia"/>
              </w:rPr>
              <w:t>，</w:t>
            </w:r>
            <w:r w:rsidRPr="005E3021">
              <w:t>围堰有效容积</w:t>
            </w:r>
            <w:r w:rsidRPr="005E3021">
              <w:t>90m³,</w:t>
            </w:r>
            <w:r w:rsidRPr="005E3021">
              <w:t>能够存储全部泄露氨水。</w:t>
            </w:r>
          </w:p>
          <w:p w14:paraId="2AE8A672" w14:textId="2B947917" w:rsidR="00F82444" w:rsidRPr="005E3021" w:rsidRDefault="00F82444" w:rsidP="005E3021">
            <w:pPr>
              <w:pStyle w:val="TableText"/>
              <w:spacing w:before="65" w:line="280" w:lineRule="exact"/>
              <w:ind w:left="37"/>
              <w:rPr>
                <w:rFonts w:ascii="Times New Roman" w:hAnsi="Times New Roman" w:cs="Times New Roman"/>
                <w:lang w:eastAsia="zh-CN"/>
              </w:rPr>
            </w:pPr>
            <w:r>
              <w:rPr>
                <w:rFonts w:ascii="Times New Roman" w:hAnsi="Times New Roman" w:cs="Times New Roman" w:hint="eastAsia"/>
                <w:lang w:eastAsia="zh-CN"/>
              </w:rPr>
              <w:t>现有工程已建</w:t>
            </w:r>
            <w:r w:rsidRPr="005E3021">
              <w:rPr>
                <w:rFonts w:ascii="Times New Roman" w:hAnsi="Times New Roman" w:cs="Times New Roman"/>
                <w:lang w:eastAsia="zh-CN"/>
              </w:rPr>
              <w:t>1</w:t>
            </w:r>
            <w:r w:rsidRPr="005E3021">
              <w:rPr>
                <w:rFonts w:ascii="Times New Roman" w:hAnsi="Times New Roman" w:cs="Times New Roman"/>
                <w:lang w:eastAsia="zh-CN"/>
              </w:rPr>
              <w:t>座</w:t>
            </w:r>
            <w:r w:rsidRPr="005E3021">
              <w:rPr>
                <w:rFonts w:ascii="Times New Roman" w:hAnsi="Times New Roman" w:cs="Times New Roman"/>
                <w:lang w:eastAsia="zh-CN"/>
              </w:rPr>
              <w:t>10m³</w:t>
            </w:r>
            <w:r w:rsidRPr="005E3021">
              <w:rPr>
                <w:rFonts w:ascii="Times New Roman" w:hAnsi="Times New Roman" w:cs="Times New Roman"/>
                <w:lang w:eastAsia="zh-CN"/>
              </w:rPr>
              <w:t>的盐酸储罐，围堰有效容积</w:t>
            </w:r>
            <w:r w:rsidRPr="005E3021">
              <w:rPr>
                <w:rFonts w:ascii="Times New Roman" w:hAnsi="Times New Roman" w:cs="Times New Roman"/>
                <w:lang w:eastAsia="zh-CN"/>
              </w:rPr>
              <w:t>10m³,</w:t>
            </w:r>
            <w:r w:rsidRPr="005E3021">
              <w:rPr>
                <w:rFonts w:ascii="Times New Roman" w:hAnsi="Times New Roman" w:cs="Times New Roman"/>
                <w:lang w:eastAsia="zh-CN"/>
              </w:rPr>
              <w:t>能够存储全部泄露盐酸。</w:t>
            </w:r>
          </w:p>
        </w:tc>
      </w:tr>
      <w:tr w:rsidR="00F82444" w:rsidRPr="00261F7E" w14:paraId="43CC9371" w14:textId="77777777" w:rsidTr="00F82444">
        <w:trPr>
          <w:trHeight w:val="57"/>
          <w:jc w:val="center"/>
        </w:trPr>
        <w:tc>
          <w:tcPr>
            <w:tcW w:w="929" w:type="pct"/>
            <w:gridSpan w:val="2"/>
            <w:vAlign w:val="center"/>
          </w:tcPr>
          <w:p w14:paraId="7CC98F56" w14:textId="2C52C040" w:rsidR="00F82444" w:rsidRPr="005E3021" w:rsidRDefault="00F82444" w:rsidP="005E3021">
            <w:pPr>
              <w:spacing w:before="65" w:line="280" w:lineRule="exact"/>
              <w:ind w:left="37"/>
            </w:pPr>
            <w:r w:rsidRPr="005E3021">
              <w:t>给水、电力上网工程</w:t>
            </w:r>
          </w:p>
        </w:tc>
        <w:tc>
          <w:tcPr>
            <w:tcW w:w="4071" w:type="pct"/>
            <w:vAlign w:val="center"/>
          </w:tcPr>
          <w:p w14:paraId="48B5D873" w14:textId="16ADB231" w:rsidR="00F82444" w:rsidRPr="005E3021" w:rsidRDefault="00F82444" w:rsidP="005E3021">
            <w:pPr>
              <w:spacing w:before="65" w:line="280" w:lineRule="exact"/>
              <w:ind w:left="37" w:right="100" w:firstLine="20"/>
            </w:pPr>
            <w:r w:rsidRPr="005E3021">
              <w:t>生产用水来自大庆油田水务公司管网水源，现给水管网已敷设完成，由当地政府承建，给水工程正常投用。</w:t>
            </w:r>
          </w:p>
          <w:p w14:paraId="5B8CCE20" w14:textId="1360A4B5" w:rsidR="00F82444" w:rsidRPr="005E3021" w:rsidRDefault="00F82444" w:rsidP="005E3021">
            <w:pPr>
              <w:pStyle w:val="TableText"/>
              <w:spacing w:before="65" w:line="280" w:lineRule="exact"/>
              <w:ind w:left="37"/>
              <w:rPr>
                <w:rFonts w:ascii="Times New Roman" w:hAnsi="Times New Roman" w:cs="Times New Roman"/>
                <w:lang w:eastAsia="zh-CN"/>
              </w:rPr>
            </w:pPr>
            <w:r w:rsidRPr="005E3021">
              <w:rPr>
                <w:rFonts w:ascii="Times New Roman" w:hAnsi="Times New Roman" w:cs="Times New Roman"/>
                <w:lang w:eastAsia="zh-CN"/>
              </w:rPr>
              <w:t>电力上网工程已完成建设，由政府部门负责，现年发电量为</w:t>
            </w:r>
            <w:r w:rsidRPr="005E3021">
              <w:rPr>
                <w:rFonts w:ascii="Times New Roman" w:hAnsi="Times New Roman" w:cs="Times New Roman"/>
                <w:lang w:eastAsia="zh-CN"/>
              </w:rPr>
              <w:t>19838</w:t>
            </w:r>
            <w:r w:rsidRPr="005E3021">
              <w:rPr>
                <w:rFonts w:ascii="Times New Roman" w:hAnsi="Times New Roman" w:cs="Times New Roman"/>
                <w:lang w:eastAsia="zh-CN"/>
              </w:rPr>
              <w:t>万度，上网电量为</w:t>
            </w:r>
            <w:r w:rsidRPr="005E3021">
              <w:rPr>
                <w:rFonts w:ascii="Times New Roman" w:hAnsi="Times New Roman" w:cs="Times New Roman"/>
                <w:lang w:eastAsia="zh-CN"/>
              </w:rPr>
              <w:t>16267</w:t>
            </w:r>
            <w:r w:rsidRPr="005E3021">
              <w:rPr>
                <w:rFonts w:ascii="Times New Roman" w:hAnsi="Times New Roman" w:cs="Times New Roman"/>
                <w:lang w:eastAsia="zh-CN"/>
              </w:rPr>
              <w:t>万度。</w:t>
            </w:r>
          </w:p>
        </w:tc>
      </w:tr>
      <w:tr w:rsidR="00F82444" w:rsidRPr="00261F7E" w14:paraId="6351F170" w14:textId="77777777" w:rsidTr="005E3021">
        <w:trPr>
          <w:trHeight w:val="57"/>
          <w:jc w:val="center"/>
        </w:trPr>
        <w:tc>
          <w:tcPr>
            <w:tcW w:w="263" w:type="pct"/>
            <w:vAlign w:val="center"/>
          </w:tcPr>
          <w:p w14:paraId="6E0B483B" w14:textId="061BCD75" w:rsidR="00F82444" w:rsidRPr="00F82444" w:rsidRDefault="00F82444" w:rsidP="005F320E">
            <w:pPr>
              <w:adjustRightInd w:val="0"/>
              <w:snapToGrid w:val="0"/>
              <w:jc w:val="center"/>
            </w:pPr>
            <w:r w:rsidRPr="00F82444">
              <w:rPr>
                <w:rFonts w:hint="eastAsia"/>
              </w:rPr>
              <w:t>依托工程</w:t>
            </w:r>
          </w:p>
        </w:tc>
        <w:tc>
          <w:tcPr>
            <w:tcW w:w="666" w:type="pct"/>
            <w:vAlign w:val="center"/>
          </w:tcPr>
          <w:p w14:paraId="41DEF84B" w14:textId="53B044F8" w:rsidR="00F82444" w:rsidRPr="00F82444" w:rsidRDefault="00F82444" w:rsidP="005E3021">
            <w:pPr>
              <w:spacing w:before="65" w:line="280" w:lineRule="exact"/>
              <w:ind w:left="37"/>
            </w:pPr>
            <w:r w:rsidRPr="00F82444">
              <w:t>稳定化飞灰填埋</w:t>
            </w:r>
          </w:p>
        </w:tc>
        <w:tc>
          <w:tcPr>
            <w:tcW w:w="4071" w:type="pct"/>
            <w:vAlign w:val="center"/>
          </w:tcPr>
          <w:p w14:paraId="21E82EA3" w14:textId="54FCCC3F" w:rsidR="00F82444" w:rsidRPr="005E3021" w:rsidRDefault="00F82444" w:rsidP="005E3021">
            <w:pPr>
              <w:spacing w:before="65" w:line="280" w:lineRule="exact"/>
              <w:ind w:left="37" w:right="15" w:firstLine="1"/>
            </w:pPr>
            <w:r w:rsidRPr="00F82444">
              <w:rPr>
                <w:rFonts w:hint="eastAsia"/>
              </w:rPr>
              <w:t>现有工程</w:t>
            </w:r>
            <w:r w:rsidRPr="005E3021">
              <w:t>产生飞灰</w:t>
            </w:r>
            <w:r w:rsidRPr="005E3021">
              <w:t>18357t/a</w:t>
            </w:r>
            <w:r w:rsidRPr="005E3021">
              <w:t>，飞灰经稳定化后，飞灰固化体产生量为</w:t>
            </w:r>
            <w:r w:rsidRPr="005E3021">
              <w:t>22249t/a</w:t>
            </w:r>
            <w:r w:rsidRPr="005E3021">
              <w:t>，飞灰固化体密度约</w:t>
            </w:r>
            <w:r w:rsidRPr="005E3021">
              <w:t>1.4t/m³</w:t>
            </w:r>
            <w:r>
              <w:rPr>
                <w:rFonts w:hint="eastAsia"/>
              </w:rPr>
              <w:t>，</w:t>
            </w:r>
            <w:r w:rsidRPr="005E3021">
              <w:t>即年产飞灰固化体</w:t>
            </w:r>
            <w:r w:rsidRPr="005E3021">
              <w:t>15892.31m³/a</w:t>
            </w:r>
            <w:r w:rsidRPr="005E3021">
              <w:t>。检验低于《危险废物鉴别标准</w:t>
            </w:r>
            <w:r w:rsidRPr="005E3021">
              <w:t>-</w:t>
            </w:r>
            <w:r w:rsidRPr="005E3021">
              <w:t>浸出毒性鉴别》（</w:t>
            </w:r>
            <w:r w:rsidRPr="005E3021">
              <w:t>GB5085.3-2007</w:t>
            </w:r>
            <w:r w:rsidRPr="005E3021">
              <w:t>）浸出毒性标准限值并符合《生活垃圾填埋场污染控制标准》（</w:t>
            </w:r>
            <w:r w:rsidRPr="005E3021">
              <w:t>GB16889-2008</w:t>
            </w:r>
            <w:r w:rsidRPr="005E3021">
              <w:t>）</w:t>
            </w:r>
            <w:r w:rsidRPr="005E3021">
              <w:t>6.3</w:t>
            </w:r>
            <w:r w:rsidRPr="005E3021">
              <w:t>要求后送</w:t>
            </w:r>
            <w:r w:rsidR="00AD4F71" w:rsidRPr="00AD4F71">
              <w:t>安达市城市生活垃圾处理工程填埋处置</w:t>
            </w:r>
            <w:r w:rsidRPr="005E3021">
              <w:t>。</w:t>
            </w:r>
          </w:p>
        </w:tc>
      </w:tr>
    </w:tbl>
    <w:p w14:paraId="30A7844D" w14:textId="17F78307" w:rsidR="00606029" w:rsidRPr="009D4E09" w:rsidRDefault="00EA5B92">
      <w:pPr>
        <w:pStyle w:val="3"/>
        <w:spacing w:beforeLines="50" w:before="120"/>
      </w:pPr>
      <w:bookmarkStart w:id="81" w:name="_Toc220680461"/>
      <w:r w:rsidRPr="009D4E09">
        <w:t>2.1.2</w:t>
      </w:r>
      <w:r w:rsidR="00C22997" w:rsidRPr="009D4E09">
        <w:rPr>
          <w:rFonts w:hint="eastAsia"/>
        </w:rPr>
        <w:t>现有工程工艺流程</w:t>
      </w:r>
      <w:bookmarkEnd w:id="81"/>
    </w:p>
    <w:p w14:paraId="246507DF" w14:textId="11DBC015" w:rsidR="009D4E09" w:rsidRDefault="00EA5B92" w:rsidP="009D4E09">
      <w:pPr>
        <w:pStyle w:val="affffff4"/>
      </w:pPr>
      <w:r w:rsidRPr="009D4E09">
        <w:t>现有</w:t>
      </w:r>
      <w:r w:rsidR="009D4E09" w:rsidRPr="009D4E09">
        <w:rPr>
          <w:rFonts w:hint="eastAsia"/>
        </w:rPr>
        <w:t>工程工艺流程包括</w:t>
      </w:r>
      <w:r w:rsidR="00AA5218" w:rsidRPr="00AA5218">
        <w:rPr>
          <w:rFonts w:hint="eastAsia"/>
        </w:rPr>
        <w:t>垃圾给料系统、</w:t>
      </w:r>
      <w:r w:rsidR="00FC61C2">
        <w:rPr>
          <w:rFonts w:hint="eastAsia"/>
        </w:rPr>
        <w:t>燃烧</w:t>
      </w:r>
      <w:r w:rsidR="00AA5218" w:rsidRPr="00AA5218">
        <w:rPr>
          <w:rFonts w:hint="eastAsia"/>
        </w:rPr>
        <w:t>系统、</w:t>
      </w:r>
      <w:r w:rsidR="00FC61C2" w:rsidRPr="00FC61C2">
        <w:rPr>
          <w:rFonts w:hint="eastAsia"/>
        </w:rPr>
        <w:t>汽轮机发电及热力系统</w:t>
      </w:r>
      <w:r w:rsidR="00AA5218" w:rsidRPr="00AA5218">
        <w:rPr>
          <w:rFonts w:hint="eastAsia"/>
        </w:rPr>
        <w:t>、烟气净化处理系统、</w:t>
      </w:r>
      <w:r w:rsidR="009D0B13" w:rsidRPr="009D0B13">
        <w:rPr>
          <w:rFonts w:hint="eastAsia"/>
        </w:rPr>
        <w:t>飞灰及炉渣处理系统</w:t>
      </w:r>
      <w:r w:rsidR="00AA5218" w:rsidRPr="00AA5218">
        <w:rPr>
          <w:rFonts w:hint="eastAsia"/>
        </w:rPr>
        <w:t>、</w:t>
      </w:r>
      <w:r w:rsidR="009D0B13" w:rsidRPr="009D0B13">
        <w:rPr>
          <w:rFonts w:hint="eastAsia"/>
        </w:rPr>
        <w:t>渗滤液处理系统</w:t>
      </w:r>
      <w:r w:rsidR="009D0B13">
        <w:rPr>
          <w:rFonts w:hint="eastAsia"/>
        </w:rPr>
        <w:t>、</w:t>
      </w:r>
      <w:r w:rsidR="009D0B13" w:rsidRPr="009D0B13">
        <w:rPr>
          <w:rFonts w:hint="eastAsia"/>
        </w:rPr>
        <w:t>生产废水处理系统</w:t>
      </w:r>
      <w:r w:rsidR="009D0B13">
        <w:rPr>
          <w:rFonts w:hint="eastAsia"/>
        </w:rPr>
        <w:t>、</w:t>
      </w:r>
      <w:r w:rsidR="009D0B13" w:rsidRPr="009D0B13">
        <w:rPr>
          <w:rFonts w:hint="eastAsia"/>
        </w:rPr>
        <w:t>生活污水处理工艺流程</w:t>
      </w:r>
      <w:r w:rsidR="009D0B13">
        <w:rPr>
          <w:rFonts w:hint="eastAsia"/>
        </w:rPr>
        <w:t>、</w:t>
      </w:r>
      <w:r w:rsidR="0049630B">
        <w:rPr>
          <w:rFonts w:hint="eastAsia"/>
        </w:rPr>
        <w:t>污泥处理系统</w:t>
      </w:r>
      <w:r w:rsidR="00AA5218" w:rsidRPr="00AA5218">
        <w:rPr>
          <w:rFonts w:hint="eastAsia"/>
        </w:rPr>
        <w:t>等组成。</w:t>
      </w:r>
      <w:r w:rsidR="00DA218F">
        <w:rPr>
          <w:rFonts w:hint="eastAsia"/>
        </w:rPr>
        <w:t>现有工程工艺流程</w:t>
      </w:r>
      <w:r w:rsidR="00DA218F" w:rsidRPr="00DA218F">
        <w:rPr>
          <w:rFonts w:hint="eastAsia"/>
        </w:rPr>
        <w:t>见</w:t>
      </w:r>
      <w:r w:rsidR="00DA218F">
        <w:rPr>
          <w:rFonts w:hint="eastAsia"/>
        </w:rPr>
        <w:t>下</w:t>
      </w:r>
      <w:r w:rsidR="00DA218F" w:rsidRPr="00DA218F">
        <w:rPr>
          <w:rFonts w:hint="eastAsia"/>
        </w:rPr>
        <w:t>图</w:t>
      </w:r>
      <w:r w:rsidR="00DA218F">
        <w:rPr>
          <w:rFonts w:hint="eastAsia"/>
        </w:rPr>
        <w:t>。</w:t>
      </w:r>
    </w:p>
    <w:p w14:paraId="27A4D145" w14:textId="256FF212" w:rsidR="00DA218F" w:rsidRDefault="0049630B" w:rsidP="00CE0AEA">
      <w:pPr>
        <w:pStyle w:val="affffff4"/>
        <w:spacing w:line="240" w:lineRule="auto"/>
        <w:ind w:firstLineChars="0" w:firstLine="0"/>
        <w:jc w:val="center"/>
      </w:pPr>
      <w:r>
        <w:rPr>
          <w:noProof/>
        </w:rPr>
        <w:lastRenderedPageBreak/>
        <w:drawing>
          <wp:inline distT="0" distB="0" distL="0" distR="0" wp14:anchorId="52A6581B" wp14:editId="696DC193">
            <wp:extent cx="5419048" cy="5066667"/>
            <wp:effectExtent l="0" t="0" r="0" b="0"/>
            <wp:docPr id="3878361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83612" name="图片 38783612"/>
                    <pic:cNvPicPr/>
                  </pic:nvPicPr>
                  <pic:blipFill>
                    <a:blip r:embed="rId20">
                      <a:extLst>
                        <a:ext uri="{28A0092B-C50C-407E-A947-70E740481C1C}">
                          <a14:useLocalDpi xmlns:a14="http://schemas.microsoft.com/office/drawing/2010/main" val="0"/>
                        </a:ext>
                      </a:extLst>
                    </a:blip>
                    <a:stretch>
                      <a:fillRect/>
                    </a:stretch>
                  </pic:blipFill>
                  <pic:spPr>
                    <a:xfrm>
                      <a:off x="0" y="0"/>
                      <a:ext cx="5419048" cy="5066667"/>
                    </a:xfrm>
                    <a:prstGeom prst="rect">
                      <a:avLst/>
                    </a:prstGeom>
                  </pic:spPr>
                </pic:pic>
              </a:graphicData>
            </a:graphic>
          </wp:inline>
        </w:drawing>
      </w:r>
    </w:p>
    <w:p w14:paraId="1F071AC3" w14:textId="32A819D1" w:rsidR="00DA218F" w:rsidRDefault="00CE0AEA" w:rsidP="00CE0AEA">
      <w:pPr>
        <w:pStyle w:val="affffff4"/>
        <w:ind w:firstLineChars="0" w:firstLine="0"/>
        <w:jc w:val="center"/>
      </w:pPr>
      <w:r>
        <w:rPr>
          <w:rFonts w:hint="eastAsia"/>
        </w:rPr>
        <w:t>图</w:t>
      </w:r>
      <w:r>
        <w:rPr>
          <w:rFonts w:hint="eastAsia"/>
        </w:rPr>
        <w:t xml:space="preserve">2.1-1 </w:t>
      </w:r>
      <w:r w:rsidRPr="00CE0AEA">
        <w:rPr>
          <w:rFonts w:hint="eastAsia"/>
        </w:rPr>
        <w:t>工艺流程图</w:t>
      </w:r>
    </w:p>
    <w:p w14:paraId="675B3C44" w14:textId="5592D4C7" w:rsidR="00CE0AEA" w:rsidRDefault="00CE0AEA" w:rsidP="00CE0AEA">
      <w:pPr>
        <w:pStyle w:val="affffff4"/>
      </w:pPr>
      <w:r>
        <w:rPr>
          <w:rFonts w:hint="eastAsia"/>
        </w:rPr>
        <w:t>1</w:t>
      </w:r>
      <w:r>
        <w:rPr>
          <w:rFonts w:hint="eastAsia"/>
        </w:rPr>
        <w:t>、垃圾给料系统</w:t>
      </w:r>
    </w:p>
    <w:p w14:paraId="258B5078" w14:textId="3223F796" w:rsidR="00606029" w:rsidRDefault="00CE0AEA" w:rsidP="00CE0AEA">
      <w:pPr>
        <w:pStyle w:val="affffff4"/>
        <w:rPr>
          <w:highlight w:val="yellow"/>
        </w:rPr>
      </w:pPr>
      <w:r>
        <w:rPr>
          <w:rFonts w:hint="eastAsia"/>
        </w:rPr>
        <w:t>垃圾运输车进厂时经检视、称重，再进入垃圾卸料大厅将垃圾卸入垃圾池暂时贮存，并用垃圾吊车搅拌混合垃圾后再将垃圾送入焚烧炉。系统主要包括地磅、垃圾卸料大厅、垃圾自动卸料门、垃圾池、垃圾吊车等。</w:t>
      </w:r>
    </w:p>
    <w:p w14:paraId="2F328449" w14:textId="533C0695" w:rsidR="00CE0AEA" w:rsidRPr="00CE0AEA" w:rsidRDefault="00CE0AEA" w:rsidP="009D4E09">
      <w:pPr>
        <w:pStyle w:val="affffff4"/>
      </w:pPr>
      <w:r w:rsidRPr="00CE0AEA">
        <w:rPr>
          <w:rFonts w:hint="eastAsia"/>
        </w:rPr>
        <w:t>2</w:t>
      </w:r>
      <w:r w:rsidRPr="00CE0AEA">
        <w:rPr>
          <w:rFonts w:hint="eastAsia"/>
        </w:rPr>
        <w:t>、</w:t>
      </w:r>
      <w:r w:rsidR="009E3BA6">
        <w:rPr>
          <w:rFonts w:hint="eastAsia"/>
        </w:rPr>
        <w:t>燃烧</w:t>
      </w:r>
      <w:r>
        <w:rPr>
          <w:rFonts w:hint="eastAsia"/>
        </w:rPr>
        <w:t>系统</w:t>
      </w:r>
    </w:p>
    <w:p w14:paraId="4E6BBD07" w14:textId="083B9015" w:rsidR="00CE0AEA" w:rsidRDefault="00CE0AEA" w:rsidP="009D4E09">
      <w:pPr>
        <w:pStyle w:val="affffff4"/>
        <w:rPr>
          <w:highlight w:val="yellow"/>
        </w:rPr>
      </w:pPr>
      <w:r w:rsidRPr="00CE0AEA">
        <w:rPr>
          <w:rFonts w:hint="eastAsia"/>
        </w:rPr>
        <w:t>燃烧系统采用“</w:t>
      </w:r>
      <w:r w:rsidRPr="00CE0AEA">
        <w:rPr>
          <w:rFonts w:hint="eastAsia"/>
        </w:rPr>
        <w:t>3T+E</w:t>
      </w:r>
      <w:r w:rsidRPr="00CE0AEA">
        <w:rPr>
          <w:rFonts w:hint="eastAsia"/>
        </w:rPr>
        <w:t>”控制法并安装助燃空气系统使生活垃圾在焚烧炉内充分燃烧。垃圾焚烧主要流程为：抓斗将垃圾从垃圾池送入进料斗，通过溜槽落到给料器上，给料器（给料器下边设有渗滤液收集槽）均匀布置在炉排上，垃圾在床面上不断翻滚、搅拌，完成干燥、着火和燃烧过程，最后通过炉排尾部处落渣井落入除渣机。</w:t>
      </w:r>
    </w:p>
    <w:p w14:paraId="705D40FE" w14:textId="54224A3B" w:rsidR="00FC61C2" w:rsidRDefault="00FC61C2" w:rsidP="00FC61C2">
      <w:pPr>
        <w:pStyle w:val="affffff4"/>
      </w:pPr>
      <w:r>
        <w:rPr>
          <w:rFonts w:hint="eastAsia"/>
        </w:rPr>
        <w:t>3</w:t>
      </w:r>
      <w:r>
        <w:rPr>
          <w:rFonts w:hint="eastAsia"/>
        </w:rPr>
        <w:t>、汽轮机发电及热力系统</w:t>
      </w:r>
    </w:p>
    <w:p w14:paraId="1AF95640" w14:textId="5E3D51A7" w:rsidR="00FC61C2" w:rsidRDefault="00FC61C2" w:rsidP="00FC61C2">
      <w:pPr>
        <w:pStyle w:val="affffff4"/>
      </w:pPr>
      <w:r w:rsidRPr="00FC61C2">
        <w:rPr>
          <w:rFonts w:hint="eastAsia"/>
        </w:rPr>
        <w:t>汽轮机发电及热力系统</w:t>
      </w:r>
      <w:r>
        <w:rPr>
          <w:rFonts w:hint="eastAsia"/>
        </w:rPr>
        <w:t>建有</w:t>
      </w:r>
      <w:r>
        <w:rPr>
          <w:rFonts w:hint="eastAsia"/>
        </w:rPr>
        <w:t>2</w:t>
      </w:r>
      <w:r>
        <w:rPr>
          <w:rFonts w:hint="eastAsia"/>
        </w:rPr>
        <w:t>台</w:t>
      </w:r>
      <w:r>
        <w:rPr>
          <w:rFonts w:hint="eastAsia"/>
        </w:rPr>
        <w:t>15MW</w:t>
      </w:r>
      <w:r>
        <w:rPr>
          <w:rFonts w:hint="eastAsia"/>
        </w:rPr>
        <w:t>的凝汽汽轮发电机组，汽轮发电机组由汽轮机、发电机、凝汽器、凝结水泵、汽封加热器、低压加热器等组成。并建有</w:t>
      </w:r>
      <w:r>
        <w:rPr>
          <w:rFonts w:hint="eastAsia"/>
        </w:rPr>
        <w:t>3</w:t>
      </w:r>
      <w:r>
        <w:rPr>
          <w:rFonts w:hint="eastAsia"/>
        </w:rPr>
        <w:t>台</w:t>
      </w:r>
      <w:r>
        <w:rPr>
          <w:rFonts w:hint="eastAsia"/>
        </w:rPr>
        <w:lastRenderedPageBreak/>
        <w:t>45.28t/h</w:t>
      </w:r>
      <w:r>
        <w:rPr>
          <w:rFonts w:hint="eastAsia"/>
        </w:rPr>
        <w:t>中温中压余热锅炉。由余热锅炉供应的中温中压过热蒸汽经汽轮机膨胀做功后将热能转化为机械能，带动发电机产生电能。另外从汽轮机中抽出三路低压蒸汽，一路作为蒸汽空气预热器热源，一路作为除氧器除氧及采暖期厂区供热热源，一路作为低压加热器加热凝结水热源。做功后的乏汽经凝汽器冷凝为凝结水，再经低压加热器加热，经除氧器除氧后供余热锅炉。空气预热器、除氧器和采暖期厂区供热的加热蒸汽除汽机抽汽外，均由减温减压器作为备用汽源。</w:t>
      </w:r>
    </w:p>
    <w:p w14:paraId="256B7D4D" w14:textId="4BF9E488" w:rsidR="00CE0AEA" w:rsidRDefault="00FC61C2" w:rsidP="009D4E09">
      <w:pPr>
        <w:pStyle w:val="affffff4"/>
        <w:rPr>
          <w:highlight w:val="yellow"/>
        </w:rPr>
      </w:pPr>
      <w:r>
        <w:rPr>
          <w:rFonts w:hint="eastAsia"/>
        </w:rPr>
        <w:t>4</w:t>
      </w:r>
      <w:r w:rsidR="00754120" w:rsidRPr="00B93366">
        <w:rPr>
          <w:rFonts w:hint="eastAsia"/>
        </w:rPr>
        <w:t>、烟气</w:t>
      </w:r>
      <w:r w:rsidR="00754120" w:rsidRPr="00754120">
        <w:rPr>
          <w:rFonts w:hint="eastAsia"/>
        </w:rPr>
        <w:t>处理系统</w:t>
      </w:r>
    </w:p>
    <w:p w14:paraId="5F976CE9" w14:textId="678ACE45" w:rsidR="00754120" w:rsidRDefault="00754120" w:rsidP="00754120">
      <w:pPr>
        <w:pStyle w:val="affffff4"/>
        <w:rPr>
          <w:highlight w:val="yellow"/>
        </w:rPr>
      </w:pPr>
      <w:r w:rsidRPr="00754120">
        <w:rPr>
          <w:rFonts w:hint="eastAsia"/>
        </w:rPr>
        <w:t>垃圾焚烧炉产生的烟气主要污染物为颗粒物、氮氧化物、氯化氢、二氧化硫等酸性有害气体及二噁英、重金属等有毒物质。烟气净化处理采用“</w:t>
      </w:r>
      <w:r w:rsidRPr="00754120">
        <w:rPr>
          <w:rFonts w:hint="eastAsia"/>
        </w:rPr>
        <w:t>SNCR</w:t>
      </w:r>
      <w:r w:rsidRPr="00754120">
        <w:rPr>
          <w:rFonts w:hint="eastAsia"/>
        </w:rPr>
        <w:t>脱硝（脱硝剂为氨水）＋半干法（石灰浆溶液）脱酸</w:t>
      </w:r>
      <w:r w:rsidRPr="00754120">
        <w:rPr>
          <w:rFonts w:hint="eastAsia"/>
        </w:rPr>
        <w:t>+</w:t>
      </w:r>
      <w:r w:rsidRPr="00754120">
        <w:rPr>
          <w:rFonts w:hint="eastAsia"/>
        </w:rPr>
        <w:t>干法（消石灰干粉）脱酸活性炭喷射＋布袋除尘”的工艺。</w:t>
      </w:r>
    </w:p>
    <w:p w14:paraId="02DA7C90" w14:textId="128974F5" w:rsidR="00754120" w:rsidRDefault="00B93366" w:rsidP="009D4E09">
      <w:pPr>
        <w:pStyle w:val="affffff4"/>
        <w:rPr>
          <w:highlight w:val="yellow"/>
        </w:rPr>
      </w:pPr>
      <w:r>
        <w:rPr>
          <w:rFonts w:hint="eastAsia"/>
        </w:rPr>
        <w:t>（</w:t>
      </w:r>
      <w:r>
        <w:rPr>
          <w:rFonts w:hint="eastAsia"/>
        </w:rPr>
        <w:t>1</w:t>
      </w:r>
      <w:r>
        <w:rPr>
          <w:rFonts w:hint="eastAsia"/>
        </w:rPr>
        <w:t>）</w:t>
      </w:r>
      <w:r w:rsidR="00754120" w:rsidRPr="00754120">
        <w:rPr>
          <w:rFonts w:hint="eastAsia"/>
        </w:rPr>
        <w:t>脱硝系统</w:t>
      </w:r>
    </w:p>
    <w:p w14:paraId="1C124021" w14:textId="3E83A399" w:rsidR="00754120" w:rsidRDefault="00754120" w:rsidP="009D4E09">
      <w:pPr>
        <w:pStyle w:val="affffff4"/>
        <w:rPr>
          <w:highlight w:val="yellow"/>
        </w:rPr>
      </w:pPr>
      <w:r w:rsidRPr="00754120">
        <w:rPr>
          <w:rFonts w:hint="eastAsia"/>
        </w:rPr>
        <w:t>脱硝系统为炉内脱硝，在</w:t>
      </w:r>
      <w:r w:rsidRPr="00754120">
        <w:rPr>
          <w:rFonts w:hint="eastAsia"/>
        </w:rPr>
        <w:t>3</w:t>
      </w:r>
      <w:r w:rsidRPr="00754120">
        <w:rPr>
          <w:rFonts w:hint="eastAsia"/>
        </w:rPr>
        <w:t>个焚烧炉内分别安装</w:t>
      </w:r>
      <w:r w:rsidRPr="00754120">
        <w:rPr>
          <w:rFonts w:hint="eastAsia"/>
        </w:rPr>
        <w:t>1</w:t>
      </w:r>
      <w:r w:rsidRPr="00754120">
        <w:rPr>
          <w:rFonts w:hint="eastAsia"/>
        </w:rPr>
        <w:t>套</w:t>
      </w:r>
      <w:r w:rsidRPr="00754120">
        <w:rPr>
          <w:rFonts w:hint="eastAsia"/>
        </w:rPr>
        <w:t>SNCR</w:t>
      </w:r>
      <w:r w:rsidRPr="00754120">
        <w:rPr>
          <w:rFonts w:hint="eastAsia"/>
        </w:rPr>
        <w:t>装置，氮氧化物的产生主要来自垃圾中氮氧化物和燃烧温度有关，控制燃烧温度在</w:t>
      </w:r>
      <w:r w:rsidRPr="00754120">
        <w:rPr>
          <w:rFonts w:hint="eastAsia"/>
        </w:rPr>
        <w:t>850~1000</w:t>
      </w:r>
      <w:r w:rsidRPr="00754120">
        <w:rPr>
          <w:rFonts w:hint="eastAsia"/>
        </w:rPr>
        <w:t>℃，来减少氮氧化物的产生，同时本工程</w:t>
      </w:r>
      <w:r w:rsidRPr="00754120">
        <w:rPr>
          <w:rFonts w:hint="eastAsia"/>
        </w:rPr>
        <w:t>SNCR</w:t>
      </w:r>
      <w:r w:rsidRPr="00754120">
        <w:rPr>
          <w:rFonts w:hint="eastAsia"/>
        </w:rPr>
        <w:t>采用氨水脱硝，与</w:t>
      </w:r>
      <w:r w:rsidRPr="00754120">
        <w:rPr>
          <w:rFonts w:hint="eastAsia"/>
        </w:rPr>
        <w:t>NOx</w:t>
      </w:r>
      <w:r w:rsidRPr="00754120">
        <w:rPr>
          <w:rFonts w:hint="eastAsia"/>
        </w:rPr>
        <w:t>反应过程中将产生无组织排放的</w:t>
      </w:r>
      <w:r w:rsidRPr="00754120">
        <w:rPr>
          <w:rFonts w:hint="eastAsia"/>
        </w:rPr>
        <w:t>NH3</w:t>
      </w:r>
      <w:r w:rsidRPr="00754120">
        <w:rPr>
          <w:rFonts w:hint="eastAsia"/>
        </w:rPr>
        <w:t>，产生逃逸现象。脱硝方法为炉内喷淋氨水，合理控制氨水的喷淋量以及其分布的均匀性，同时采用控制反应区内温度及足够的停留时间等措施，确保氨与烟气中氮氧化物具备良好的接触，降低氨的逃逸量。脱硝系统工艺流程见</w:t>
      </w:r>
      <w:r>
        <w:rPr>
          <w:rFonts w:hint="eastAsia"/>
        </w:rPr>
        <w:t>下图。</w:t>
      </w:r>
    </w:p>
    <w:p w14:paraId="545D2399" w14:textId="022C6232" w:rsidR="00754120" w:rsidRDefault="00754120" w:rsidP="00754120">
      <w:pPr>
        <w:pStyle w:val="affffff4"/>
        <w:spacing w:line="240" w:lineRule="auto"/>
        <w:ind w:firstLineChars="0" w:firstLine="0"/>
        <w:jc w:val="center"/>
        <w:rPr>
          <w:highlight w:val="yellow"/>
        </w:rPr>
      </w:pPr>
      <w:r>
        <w:rPr>
          <w:noProof/>
        </w:rPr>
        <w:drawing>
          <wp:inline distT="0" distB="0" distL="0" distR="0" wp14:anchorId="7BBFB90E" wp14:editId="052B4454">
            <wp:extent cx="5384961" cy="2311768"/>
            <wp:effectExtent l="0" t="0" r="6350" b="0"/>
            <wp:docPr id="164891886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8918862" name=""/>
                    <pic:cNvPicPr/>
                  </pic:nvPicPr>
                  <pic:blipFill>
                    <a:blip r:embed="rId21"/>
                    <a:stretch>
                      <a:fillRect/>
                    </a:stretch>
                  </pic:blipFill>
                  <pic:spPr>
                    <a:xfrm>
                      <a:off x="0" y="0"/>
                      <a:ext cx="5384961" cy="2311768"/>
                    </a:xfrm>
                    <a:prstGeom prst="rect">
                      <a:avLst/>
                    </a:prstGeom>
                  </pic:spPr>
                </pic:pic>
              </a:graphicData>
            </a:graphic>
          </wp:inline>
        </w:drawing>
      </w:r>
    </w:p>
    <w:p w14:paraId="6452F5C3" w14:textId="47F87B7C" w:rsidR="00754120" w:rsidRPr="00754120" w:rsidRDefault="00754120" w:rsidP="00754120">
      <w:pPr>
        <w:pStyle w:val="affffff4"/>
        <w:ind w:firstLineChars="0" w:firstLine="0"/>
        <w:jc w:val="center"/>
      </w:pPr>
      <w:r w:rsidRPr="00754120">
        <w:rPr>
          <w:rFonts w:hint="eastAsia"/>
        </w:rPr>
        <w:t>图</w:t>
      </w:r>
      <w:r w:rsidRPr="00754120">
        <w:rPr>
          <w:rFonts w:hint="eastAsia"/>
        </w:rPr>
        <w:t xml:space="preserve">2.1-2 </w:t>
      </w:r>
      <w:r w:rsidRPr="00754120">
        <w:rPr>
          <w:rFonts w:hint="eastAsia"/>
        </w:rPr>
        <w:t>脱硝系统工艺流程</w:t>
      </w:r>
    </w:p>
    <w:p w14:paraId="4BC71313" w14:textId="0654F496" w:rsidR="00754120" w:rsidRDefault="00B93366" w:rsidP="00754120">
      <w:pPr>
        <w:pStyle w:val="affffff4"/>
      </w:pPr>
      <w:r>
        <w:rPr>
          <w:rFonts w:hint="eastAsia"/>
        </w:rPr>
        <w:t>（</w:t>
      </w:r>
      <w:r>
        <w:rPr>
          <w:rFonts w:hint="eastAsia"/>
        </w:rPr>
        <w:t>2</w:t>
      </w:r>
      <w:r>
        <w:rPr>
          <w:rFonts w:hint="eastAsia"/>
        </w:rPr>
        <w:t>）</w:t>
      </w:r>
      <w:r w:rsidR="00754120">
        <w:rPr>
          <w:rFonts w:hint="eastAsia"/>
        </w:rPr>
        <w:t>脱酸反应系统</w:t>
      </w:r>
    </w:p>
    <w:p w14:paraId="2F33AA27" w14:textId="7EA8829F" w:rsidR="00754120" w:rsidRDefault="00754120" w:rsidP="00754120">
      <w:pPr>
        <w:pStyle w:val="affffff4"/>
      </w:pPr>
      <w:r>
        <w:rPr>
          <w:rFonts w:hint="eastAsia"/>
        </w:rPr>
        <w:t>脱酸系统由石灰制浆系统、半干法反应塔、旋转喷雾系统、消石灰喷射装置等组成。脱酸工艺采用喷雾半干法（石灰浆溶液）脱酸</w:t>
      </w:r>
      <w:r>
        <w:rPr>
          <w:rFonts w:hint="eastAsia"/>
        </w:rPr>
        <w:t>+</w:t>
      </w:r>
      <w:r>
        <w:rPr>
          <w:rFonts w:hint="eastAsia"/>
        </w:rPr>
        <w:t>干法（消石灰干粉）脱酸。</w:t>
      </w:r>
    </w:p>
    <w:p w14:paraId="0707CCEC" w14:textId="787CE22A" w:rsidR="00754120" w:rsidRDefault="00754120" w:rsidP="00754120">
      <w:pPr>
        <w:pStyle w:val="affffff4"/>
        <w:rPr>
          <w:highlight w:val="yellow"/>
        </w:rPr>
      </w:pPr>
      <w:r>
        <w:rPr>
          <w:rFonts w:hint="eastAsia"/>
        </w:rPr>
        <w:lastRenderedPageBreak/>
        <w:t>经脱硝之后的烟气进入反应塔内，由塔顶的旋转喷雾器向塔内喷洒石灰浆，一部分的反应物和灰尘沉降到反应塔底部排出。经初步净化的气体进入布袋除尘器前的烟道内喷入活性炭和消石灰，反应剂和活性炭被吸附在布袋除尘器内，进一步与烟气中的未完全反应的酸性气体发生反应，以及吸附二噁英类和重金属。除尘器灰斗的反应灰和中和反应塔的飞灰通过机械输送系统送到灰仓。脱酸反应工艺流程见下图。</w:t>
      </w:r>
    </w:p>
    <w:p w14:paraId="17EC0C61" w14:textId="1A8A5CA9" w:rsidR="00754120" w:rsidRDefault="00754120" w:rsidP="00754120">
      <w:pPr>
        <w:pStyle w:val="affffff4"/>
        <w:spacing w:line="240" w:lineRule="auto"/>
        <w:ind w:firstLineChars="0" w:firstLine="0"/>
        <w:jc w:val="center"/>
        <w:rPr>
          <w:highlight w:val="yellow"/>
        </w:rPr>
      </w:pPr>
      <w:r>
        <w:rPr>
          <w:noProof/>
        </w:rPr>
        <w:drawing>
          <wp:inline distT="0" distB="0" distL="0" distR="0" wp14:anchorId="49117DF6" wp14:editId="3F1A138B">
            <wp:extent cx="4762987" cy="2806804"/>
            <wp:effectExtent l="0" t="0" r="0" b="0"/>
            <wp:docPr id="177119208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1192082" name=""/>
                    <pic:cNvPicPr/>
                  </pic:nvPicPr>
                  <pic:blipFill>
                    <a:blip r:embed="rId22"/>
                    <a:stretch>
                      <a:fillRect/>
                    </a:stretch>
                  </pic:blipFill>
                  <pic:spPr>
                    <a:xfrm>
                      <a:off x="0" y="0"/>
                      <a:ext cx="4762987" cy="2806804"/>
                    </a:xfrm>
                    <a:prstGeom prst="rect">
                      <a:avLst/>
                    </a:prstGeom>
                  </pic:spPr>
                </pic:pic>
              </a:graphicData>
            </a:graphic>
          </wp:inline>
        </w:drawing>
      </w:r>
    </w:p>
    <w:p w14:paraId="0242DDD8" w14:textId="79D3F745" w:rsidR="00754120" w:rsidRPr="00754120" w:rsidRDefault="00754120" w:rsidP="00754120">
      <w:pPr>
        <w:pStyle w:val="affffff4"/>
        <w:spacing w:line="240" w:lineRule="auto"/>
        <w:ind w:firstLineChars="0" w:firstLine="0"/>
        <w:jc w:val="center"/>
      </w:pPr>
      <w:r w:rsidRPr="00754120">
        <w:rPr>
          <w:rFonts w:hint="eastAsia"/>
        </w:rPr>
        <w:t>图</w:t>
      </w:r>
      <w:r w:rsidRPr="00754120">
        <w:rPr>
          <w:rFonts w:hint="eastAsia"/>
        </w:rPr>
        <w:t xml:space="preserve">2.1-3 </w:t>
      </w:r>
      <w:r w:rsidRPr="00754120">
        <w:rPr>
          <w:rFonts w:hint="eastAsia"/>
        </w:rPr>
        <w:t>脱酸反应工艺流程图</w:t>
      </w:r>
      <w:r w:rsidR="004566DE">
        <w:rPr>
          <w:rFonts w:hint="eastAsia"/>
        </w:rPr>
        <w:t>（湿法）</w:t>
      </w:r>
    </w:p>
    <w:p w14:paraId="308E154C" w14:textId="60C3742A" w:rsidR="00754120" w:rsidRDefault="004566DE" w:rsidP="004566DE">
      <w:pPr>
        <w:pStyle w:val="affffff4"/>
        <w:spacing w:line="240" w:lineRule="auto"/>
        <w:ind w:firstLineChars="0" w:firstLine="0"/>
        <w:jc w:val="center"/>
        <w:rPr>
          <w:highlight w:val="yellow"/>
        </w:rPr>
      </w:pPr>
      <w:r>
        <w:rPr>
          <w:noProof/>
        </w:rPr>
        <w:drawing>
          <wp:inline distT="0" distB="0" distL="0" distR="0" wp14:anchorId="454C523D" wp14:editId="79479D45">
            <wp:extent cx="4584423" cy="2943225"/>
            <wp:effectExtent l="19050" t="19050" r="26035" b="9525"/>
            <wp:docPr id="7149640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4964044" name=""/>
                    <pic:cNvPicPr/>
                  </pic:nvPicPr>
                  <pic:blipFill>
                    <a:blip r:embed="rId23"/>
                    <a:stretch>
                      <a:fillRect/>
                    </a:stretch>
                  </pic:blipFill>
                  <pic:spPr>
                    <a:xfrm>
                      <a:off x="0" y="0"/>
                      <a:ext cx="4597177" cy="2951413"/>
                    </a:xfrm>
                    <a:prstGeom prst="rect">
                      <a:avLst/>
                    </a:prstGeom>
                    <a:ln>
                      <a:solidFill>
                        <a:schemeClr val="tx1"/>
                      </a:solidFill>
                    </a:ln>
                  </pic:spPr>
                </pic:pic>
              </a:graphicData>
            </a:graphic>
          </wp:inline>
        </w:drawing>
      </w:r>
    </w:p>
    <w:p w14:paraId="3BE45522" w14:textId="6B414C12" w:rsidR="00754120" w:rsidRPr="004566DE" w:rsidRDefault="004566DE" w:rsidP="004566DE">
      <w:pPr>
        <w:pStyle w:val="affffff4"/>
        <w:ind w:firstLineChars="0" w:firstLine="0"/>
        <w:jc w:val="center"/>
      </w:pPr>
      <w:r w:rsidRPr="004566DE">
        <w:rPr>
          <w:rFonts w:hint="eastAsia"/>
        </w:rPr>
        <w:t>图</w:t>
      </w:r>
      <w:r w:rsidRPr="004566DE">
        <w:rPr>
          <w:rFonts w:hint="eastAsia"/>
        </w:rPr>
        <w:t xml:space="preserve">2.1-4 </w:t>
      </w:r>
      <w:r w:rsidRPr="004566DE">
        <w:rPr>
          <w:rFonts w:hint="eastAsia"/>
        </w:rPr>
        <w:t>脱酸反应工艺流程图（半干法）</w:t>
      </w:r>
    </w:p>
    <w:p w14:paraId="309D9B87" w14:textId="4078762A" w:rsidR="0072276D" w:rsidRDefault="00B93366" w:rsidP="0072276D">
      <w:pPr>
        <w:pStyle w:val="affffff4"/>
      </w:pPr>
      <w:r>
        <w:rPr>
          <w:rFonts w:hint="eastAsia"/>
        </w:rPr>
        <w:t>（</w:t>
      </w:r>
      <w:r>
        <w:rPr>
          <w:rFonts w:hint="eastAsia"/>
        </w:rPr>
        <w:t>3</w:t>
      </w:r>
      <w:r>
        <w:rPr>
          <w:rFonts w:hint="eastAsia"/>
        </w:rPr>
        <w:t>）</w:t>
      </w:r>
      <w:r w:rsidR="0072276D">
        <w:rPr>
          <w:rFonts w:hint="eastAsia"/>
        </w:rPr>
        <w:t>二噁英类及重金属处理（活性炭喷射系统）</w:t>
      </w:r>
    </w:p>
    <w:p w14:paraId="2D370327" w14:textId="5B27FEA5" w:rsidR="00CE0AEA" w:rsidRDefault="0072276D" w:rsidP="0072276D">
      <w:pPr>
        <w:pStyle w:val="affffff4"/>
        <w:rPr>
          <w:highlight w:val="yellow"/>
        </w:rPr>
      </w:pPr>
      <w:r>
        <w:rPr>
          <w:rFonts w:hint="eastAsia"/>
        </w:rPr>
        <w:t>活性炭喷射系统包括活性炭料仓、喂料器、文丘里喷射器及鼓风机。活性炭喷入喷雾反应脱酸塔出口烟道中，通过文丘里烟管与烟气充分混合，在烟气流向下游的布袋除尘器过程中，活性炭吸附烟气中的重金属（如</w:t>
      </w:r>
      <w:r>
        <w:rPr>
          <w:rFonts w:hint="eastAsia"/>
        </w:rPr>
        <w:t>Hg</w:t>
      </w:r>
      <w:r>
        <w:rPr>
          <w:rFonts w:hint="eastAsia"/>
        </w:rPr>
        <w:t>）及二噁英类。吸附了污染物的</w:t>
      </w:r>
      <w:r>
        <w:rPr>
          <w:rFonts w:hint="eastAsia"/>
        </w:rPr>
        <w:lastRenderedPageBreak/>
        <w:t>活性炭在布袋除尘器中被布袋拦截，从烟气中分离出来，因而除去了烟气中的重金属及二噁英类，没有吸附污染物的活性炭在布袋形成滤饼的过程中继续吸附烟气残留的重金属及二噁英类。</w:t>
      </w:r>
    </w:p>
    <w:p w14:paraId="0CEBEA6E" w14:textId="524AAF58" w:rsidR="0072276D" w:rsidRDefault="00B93366" w:rsidP="0072276D">
      <w:pPr>
        <w:pStyle w:val="affffff4"/>
      </w:pPr>
      <w:r w:rsidRPr="00B93366">
        <w:rPr>
          <w:rFonts w:hint="eastAsia"/>
        </w:rPr>
        <w:t>（</w:t>
      </w:r>
      <w:r w:rsidRPr="00B93366">
        <w:rPr>
          <w:rFonts w:hint="eastAsia"/>
        </w:rPr>
        <w:t>4</w:t>
      </w:r>
      <w:r w:rsidRPr="00B93366">
        <w:rPr>
          <w:rFonts w:hint="eastAsia"/>
        </w:rPr>
        <w:t>）</w:t>
      </w:r>
      <w:r w:rsidR="0072276D" w:rsidRPr="00B93366">
        <w:rPr>
          <w:rFonts w:hint="eastAsia"/>
        </w:rPr>
        <w:t>高效袋式脱酸除尘器</w:t>
      </w:r>
    </w:p>
    <w:p w14:paraId="15341F56" w14:textId="5ABAFEFA" w:rsidR="00CE0AEA" w:rsidRDefault="0072276D" w:rsidP="0072276D">
      <w:pPr>
        <w:pStyle w:val="affffff4"/>
        <w:rPr>
          <w:highlight w:val="yellow"/>
        </w:rPr>
      </w:pPr>
      <w:r>
        <w:rPr>
          <w:rFonts w:hint="eastAsia"/>
        </w:rPr>
        <w:t>布袋除尘器选用脉冲式除尘器，同时配合半干法</w:t>
      </w:r>
      <w:r>
        <w:rPr>
          <w:rFonts w:hint="eastAsia"/>
        </w:rPr>
        <w:t>+</w:t>
      </w:r>
      <w:r>
        <w:rPr>
          <w:rFonts w:hint="eastAsia"/>
        </w:rPr>
        <w:t>干法提高脱硫效率和除尘效率，并更利于脱除部分重金属和二噁英类。含尘气体由灰斗上部进风口进入后，在挡风板的作用下，气流向上流动，流速降低，部分大颗粒烟尘由于惯性力的作用被分离出来落入灰斗。含尘气体经滤袋过滤净化后由出风口排出。</w:t>
      </w:r>
    </w:p>
    <w:p w14:paraId="52AED29B" w14:textId="2C926395" w:rsidR="007A50C8" w:rsidRDefault="00B93366" w:rsidP="007A50C8">
      <w:pPr>
        <w:pStyle w:val="affffff4"/>
      </w:pPr>
      <w:r w:rsidRPr="00B93366">
        <w:rPr>
          <w:rFonts w:hint="eastAsia"/>
        </w:rPr>
        <w:t>（</w:t>
      </w:r>
      <w:r w:rsidRPr="00B93366">
        <w:rPr>
          <w:rFonts w:hint="eastAsia"/>
        </w:rPr>
        <w:t>5</w:t>
      </w:r>
      <w:r w:rsidRPr="00B93366">
        <w:rPr>
          <w:rFonts w:hint="eastAsia"/>
        </w:rPr>
        <w:t>）</w:t>
      </w:r>
      <w:r w:rsidR="007A50C8" w:rsidRPr="00B93366">
        <w:rPr>
          <w:rFonts w:hint="eastAsia"/>
        </w:rPr>
        <w:t>烟气净化在线</w:t>
      </w:r>
      <w:r w:rsidR="007A50C8">
        <w:rPr>
          <w:rFonts w:hint="eastAsia"/>
        </w:rPr>
        <w:t>监测系统</w:t>
      </w:r>
    </w:p>
    <w:p w14:paraId="41CB1E4E" w14:textId="52D497B5" w:rsidR="007A50C8" w:rsidRDefault="007A50C8" w:rsidP="007A50C8">
      <w:pPr>
        <w:pStyle w:val="affffff4"/>
      </w:pPr>
      <w:r>
        <w:rPr>
          <w:rFonts w:hint="eastAsia"/>
        </w:rPr>
        <w:t>3</w:t>
      </w:r>
      <w:r>
        <w:rPr>
          <w:rFonts w:hint="eastAsia"/>
        </w:rPr>
        <w:t>条生产线各设置一套烟气在线监测装置，在线监测装置配有取样探测器、</w:t>
      </w:r>
      <w:r>
        <w:rPr>
          <w:rFonts w:hint="eastAsia"/>
        </w:rPr>
        <w:t>SO</w:t>
      </w:r>
      <w:r w:rsidRPr="00182FC7">
        <w:rPr>
          <w:rFonts w:hint="eastAsia"/>
          <w:vertAlign w:val="subscript"/>
        </w:rPr>
        <w:t>2</w:t>
      </w:r>
      <w:r>
        <w:rPr>
          <w:rFonts w:hint="eastAsia"/>
        </w:rPr>
        <w:t>、</w:t>
      </w:r>
      <w:r>
        <w:rPr>
          <w:rFonts w:hint="eastAsia"/>
        </w:rPr>
        <w:t>NOx</w:t>
      </w:r>
      <w:r>
        <w:rPr>
          <w:rFonts w:hint="eastAsia"/>
        </w:rPr>
        <w:t>、</w:t>
      </w:r>
      <w:r>
        <w:rPr>
          <w:rFonts w:hint="eastAsia"/>
        </w:rPr>
        <w:t>CO</w:t>
      </w:r>
      <w:r>
        <w:rPr>
          <w:rFonts w:hint="eastAsia"/>
        </w:rPr>
        <w:t>、粉尘等分析仪、烟气流量计以及其它监测信息均通过传感器传送至中央控制室，经计算机显示，本次验收时，</w:t>
      </w:r>
      <w:r>
        <w:rPr>
          <w:rFonts w:hint="eastAsia"/>
        </w:rPr>
        <w:t>3</w:t>
      </w:r>
      <w:r>
        <w:rPr>
          <w:rFonts w:hint="eastAsia"/>
        </w:rPr>
        <w:t>套在线监测系统均已完成验收工作并与环保监测部门联网，同时对烟气在线监测的结果通过电子大屏对外公示。</w:t>
      </w:r>
    </w:p>
    <w:p w14:paraId="28566935" w14:textId="22857868" w:rsidR="007A50C8" w:rsidRDefault="00B93366" w:rsidP="007A50C8">
      <w:pPr>
        <w:pStyle w:val="affffff4"/>
      </w:pPr>
      <w:r>
        <w:rPr>
          <w:rFonts w:hint="eastAsia"/>
        </w:rPr>
        <w:t>（</w:t>
      </w:r>
      <w:r>
        <w:rPr>
          <w:rFonts w:hint="eastAsia"/>
        </w:rPr>
        <w:t>6</w:t>
      </w:r>
      <w:r>
        <w:rPr>
          <w:rFonts w:hint="eastAsia"/>
        </w:rPr>
        <w:t>）</w:t>
      </w:r>
      <w:r w:rsidR="007A50C8">
        <w:rPr>
          <w:rFonts w:hint="eastAsia"/>
        </w:rPr>
        <w:t>引风排烟系统</w:t>
      </w:r>
    </w:p>
    <w:p w14:paraId="7E7F071F" w14:textId="29EE90EA" w:rsidR="007A50C8" w:rsidRDefault="007A50C8" w:rsidP="007A50C8">
      <w:pPr>
        <w:pStyle w:val="affffff4"/>
      </w:pPr>
      <w:r>
        <w:rPr>
          <w:rFonts w:hint="eastAsia"/>
        </w:rPr>
        <w:t>每条生产线各设置一台引风机，将净化后的烟气通过烟囱排入大气，烟气通过引风机排入新建的</w:t>
      </w:r>
      <w:r>
        <w:rPr>
          <w:rFonts w:hint="eastAsia"/>
        </w:rPr>
        <w:t>80m</w:t>
      </w:r>
      <w:r>
        <w:rPr>
          <w:rFonts w:hint="eastAsia"/>
        </w:rPr>
        <w:t>高烟囱排放</w:t>
      </w:r>
      <w:r w:rsidR="00182FC7">
        <w:rPr>
          <w:rFonts w:hint="eastAsia"/>
        </w:rPr>
        <w:t>，</w:t>
      </w:r>
      <w:r>
        <w:rPr>
          <w:rFonts w:hint="eastAsia"/>
        </w:rPr>
        <w:t>烟囱为多管套筒式烟囱，该烟囱采用内钢制排烟道和外部保护混凝土墙组成，各条生产线的排烟不会产生干扰。</w:t>
      </w:r>
    </w:p>
    <w:p w14:paraId="042795E0" w14:textId="5B3E6590" w:rsidR="0072276D" w:rsidRDefault="009D0B13" w:rsidP="007A50C8">
      <w:pPr>
        <w:pStyle w:val="affffff4"/>
        <w:rPr>
          <w:highlight w:val="yellow"/>
        </w:rPr>
      </w:pPr>
      <w:r>
        <w:rPr>
          <w:rFonts w:hint="eastAsia"/>
        </w:rPr>
        <w:t>5</w:t>
      </w:r>
      <w:r w:rsidR="00B93366">
        <w:rPr>
          <w:rFonts w:hint="eastAsia"/>
        </w:rPr>
        <w:t>、</w:t>
      </w:r>
      <w:r w:rsidR="007A50C8">
        <w:rPr>
          <w:rFonts w:hint="eastAsia"/>
        </w:rPr>
        <w:t>飞灰及炉渣处理系统</w:t>
      </w:r>
    </w:p>
    <w:p w14:paraId="2C71687E" w14:textId="403A2545" w:rsidR="007A50C8" w:rsidRDefault="007A50C8" w:rsidP="007A50C8">
      <w:pPr>
        <w:pStyle w:val="affffff4"/>
      </w:pPr>
      <w:r>
        <w:rPr>
          <w:rFonts w:hint="eastAsia"/>
        </w:rPr>
        <w:t>灰渣处理系统由炉渣处理系统、飞灰输送系统及飞灰稳定化系统组成。</w:t>
      </w:r>
    </w:p>
    <w:p w14:paraId="15C2826B" w14:textId="33C3157E" w:rsidR="007A50C8" w:rsidRDefault="00B93366" w:rsidP="007A50C8">
      <w:pPr>
        <w:pStyle w:val="affffff4"/>
      </w:pPr>
      <w:r>
        <w:rPr>
          <w:rFonts w:hint="eastAsia"/>
        </w:rPr>
        <w:t>（</w:t>
      </w:r>
      <w:r>
        <w:rPr>
          <w:rFonts w:hint="eastAsia"/>
        </w:rPr>
        <w:t>1</w:t>
      </w:r>
      <w:r>
        <w:rPr>
          <w:rFonts w:hint="eastAsia"/>
        </w:rPr>
        <w:t>）</w:t>
      </w:r>
      <w:r w:rsidR="007A50C8">
        <w:rPr>
          <w:rFonts w:hint="eastAsia"/>
        </w:rPr>
        <w:t>炉渣处理系统</w:t>
      </w:r>
    </w:p>
    <w:p w14:paraId="6211F1C6" w14:textId="5AB4E1A4" w:rsidR="007A50C8" w:rsidRDefault="007A50C8" w:rsidP="007A50C8">
      <w:pPr>
        <w:pStyle w:val="affffff4"/>
      </w:pPr>
      <w:r>
        <w:rPr>
          <w:rFonts w:hint="eastAsia"/>
        </w:rPr>
        <w:t>焚烧炉产生的炉渣经过出渣机（经排渣机水槽中冷却后）和未燃尽的可燃物通过炉排漏灰输送机均输送至渣坑中，经灰渣吊车抓斗装入自卸汽车外运综合利用。</w:t>
      </w:r>
    </w:p>
    <w:p w14:paraId="65752DE4" w14:textId="15CDD964" w:rsidR="007A50C8" w:rsidRDefault="00B93366" w:rsidP="007A50C8">
      <w:pPr>
        <w:pStyle w:val="affffff4"/>
      </w:pPr>
      <w:r>
        <w:rPr>
          <w:rFonts w:hint="eastAsia"/>
        </w:rPr>
        <w:t>（</w:t>
      </w:r>
      <w:r>
        <w:rPr>
          <w:rFonts w:hint="eastAsia"/>
        </w:rPr>
        <w:t>2</w:t>
      </w:r>
      <w:r>
        <w:rPr>
          <w:rFonts w:hint="eastAsia"/>
        </w:rPr>
        <w:t>）</w:t>
      </w:r>
      <w:r w:rsidR="007A50C8">
        <w:rPr>
          <w:rFonts w:hint="eastAsia"/>
        </w:rPr>
        <w:t>飞灰处理系统</w:t>
      </w:r>
    </w:p>
    <w:p w14:paraId="5B6E726C" w14:textId="0BE7E7D1" w:rsidR="007A50C8" w:rsidRDefault="007A50C8" w:rsidP="00AB3305">
      <w:pPr>
        <w:pStyle w:val="affffff4"/>
      </w:pPr>
      <w:r>
        <w:rPr>
          <w:rFonts w:hint="eastAsia"/>
        </w:rPr>
        <w:t>飞灰由两部分组成，即反应塔排灰和除尘器排灰。反应塔底部的飞灰和除尘器灰斗的飞灰分别由刮板输送机和斗式提升机送入灰仓储存。</w:t>
      </w:r>
    </w:p>
    <w:p w14:paraId="7D9CAB38" w14:textId="68412A91" w:rsidR="0072276D" w:rsidRPr="007A50C8" w:rsidRDefault="007A50C8" w:rsidP="007A50C8">
      <w:pPr>
        <w:pStyle w:val="affffff4"/>
        <w:rPr>
          <w:highlight w:val="yellow"/>
        </w:rPr>
      </w:pPr>
      <w:r>
        <w:rPr>
          <w:rFonts w:hint="eastAsia"/>
        </w:rPr>
        <w:t>飞灰稳定化工艺流程的主要包括飞灰和的储存和输送、螯合剂的配制、物料的配料、捏合等步骤。飞灰通过按比例投加水、螯合剂进行稳定化，检测合格后送至填埋场填埋处理。飞灰送入灰仓后，定量输送至螺旋输送机，再由螺旋机送至混炼机，同时将螯合剂稀释液、水输送，飞灰、螯合剂及水在混炼机内混合，飞灰中的重金属类与螯合剂反应，生成螯合物从而被稳定化。混炼机出来的被稳定化后的浆体，通过稳</w:t>
      </w:r>
      <w:r>
        <w:rPr>
          <w:rFonts w:hint="eastAsia"/>
        </w:rPr>
        <w:lastRenderedPageBreak/>
        <w:t>定化成型机成型，最后在养护间进行养护。经稳定化并经检验低于《危险废物鉴别标准</w:t>
      </w:r>
      <w:r>
        <w:rPr>
          <w:rFonts w:hint="eastAsia"/>
        </w:rPr>
        <w:t>-</w:t>
      </w:r>
      <w:r>
        <w:rPr>
          <w:rFonts w:hint="eastAsia"/>
        </w:rPr>
        <w:t>浸出毒性鉴别》（</w:t>
      </w:r>
      <w:r>
        <w:rPr>
          <w:rFonts w:hint="eastAsia"/>
        </w:rPr>
        <w:t>GB5085.3-2007</w:t>
      </w:r>
      <w:r>
        <w:rPr>
          <w:rFonts w:hint="eastAsia"/>
        </w:rPr>
        <w:t>）浸出毒性标准限值并符合《生活垃圾填埋场污染控制标准》（</w:t>
      </w:r>
      <w:r>
        <w:rPr>
          <w:rFonts w:hint="eastAsia"/>
        </w:rPr>
        <w:t>GB16889-2008</w:t>
      </w:r>
      <w:r>
        <w:rPr>
          <w:rFonts w:hint="eastAsia"/>
        </w:rPr>
        <w:t>）</w:t>
      </w:r>
      <w:r>
        <w:rPr>
          <w:rFonts w:hint="eastAsia"/>
        </w:rPr>
        <w:t>6.3</w:t>
      </w:r>
      <w:r>
        <w:rPr>
          <w:rFonts w:hint="eastAsia"/>
        </w:rPr>
        <w:t>要求后送至大庆龙清生物科技有限公司（大庆市生活垃圾填埋场）填埋处置。飞灰处理系统工艺流程见下图。</w:t>
      </w:r>
    </w:p>
    <w:p w14:paraId="00284AC8" w14:textId="28C774F1" w:rsidR="0072276D" w:rsidRDefault="007A50C8" w:rsidP="007A50C8">
      <w:pPr>
        <w:pStyle w:val="affffff4"/>
        <w:spacing w:line="240" w:lineRule="auto"/>
        <w:ind w:firstLineChars="0" w:firstLine="0"/>
        <w:jc w:val="center"/>
        <w:rPr>
          <w:highlight w:val="yellow"/>
        </w:rPr>
      </w:pPr>
      <w:r>
        <w:rPr>
          <w:noProof/>
        </w:rPr>
        <w:drawing>
          <wp:inline distT="0" distB="0" distL="0" distR="0" wp14:anchorId="06DE0A89" wp14:editId="24EA6F14">
            <wp:extent cx="4978935" cy="2514633"/>
            <wp:effectExtent l="19050" t="19050" r="12700" b="19050"/>
            <wp:docPr id="5125496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549692" name=""/>
                    <pic:cNvPicPr/>
                  </pic:nvPicPr>
                  <pic:blipFill>
                    <a:blip r:embed="rId24"/>
                    <a:stretch>
                      <a:fillRect/>
                    </a:stretch>
                  </pic:blipFill>
                  <pic:spPr>
                    <a:xfrm>
                      <a:off x="0" y="0"/>
                      <a:ext cx="4978935" cy="2514633"/>
                    </a:xfrm>
                    <a:prstGeom prst="rect">
                      <a:avLst/>
                    </a:prstGeom>
                    <a:ln>
                      <a:solidFill>
                        <a:schemeClr val="tx1"/>
                      </a:solidFill>
                    </a:ln>
                  </pic:spPr>
                </pic:pic>
              </a:graphicData>
            </a:graphic>
          </wp:inline>
        </w:drawing>
      </w:r>
    </w:p>
    <w:p w14:paraId="60C39E07" w14:textId="5900F022" w:rsidR="0072276D" w:rsidRPr="007A50C8" w:rsidRDefault="007A50C8" w:rsidP="007A50C8">
      <w:pPr>
        <w:pStyle w:val="affffff4"/>
        <w:ind w:firstLineChars="0" w:firstLine="0"/>
        <w:jc w:val="center"/>
      </w:pPr>
      <w:r w:rsidRPr="007A50C8">
        <w:rPr>
          <w:rFonts w:hint="eastAsia"/>
        </w:rPr>
        <w:t>图</w:t>
      </w:r>
      <w:r w:rsidRPr="007A50C8">
        <w:rPr>
          <w:rFonts w:hint="eastAsia"/>
        </w:rPr>
        <w:t xml:space="preserve">2.1-5 </w:t>
      </w:r>
      <w:r w:rsidRPr="007A50C8">
        <w:rPr>
          <w:rFonts w:hint="eastAsia"/>
        </w:rPr>
        <w:t>飞灰处理系统工艺流程图</w:t>
      </w:r>
    </w:p>
    <w:p w14:paraId="004E3547" w14:textId="03CB31AA" w:rsidR="007A50C8" w:rsidRDefault="00B93366" w:rsidP="007A50C8">
      <w:pPr>
        <w:pStyle w:val="affffff4"/>
      </w:pPr>
      <w:r>
        <w:rPr>
          <w:rFonts w:hint="eastAsia"/>
        </w:rPr>
        <w:t>6</w:t>
      </w:r>
      <w:r w:rsidR="007A50C8">
        <w:rPr>
          <w:rFonts w:hint="eastAsia"/>
        </w:rPr>
        <w:t>、渗滤液处理系统</w:t>
      </w:r>
    </w:p>
    <w:p w14:paraId="482CCA64" w14:textId="5FBD8550" w:rsidR="0072276D" w:rsidRDefault="007A50C8" w:rsidP="007A50C8">
      <w:pPr>
        <w:pStyle w:val="affffff4"/>
        <w:rPr>
          <w:highlight w:val="yellow"/>
        </w:rPr>
      </w:pPr>
      <w:r>
        <w:rPr>
          <w:rFonts w:hint="eastAsia"/>
        </w:rPr>
        <w:t>垃圾焚烧发电厂内的渗滤液主要是垃圾在垃圾储坑内存放时产生，收集到的垃圾渗滤液定期用泵送至渗滤液调节池，</w:t>
      </w:r>
      <w:r w:rsidR="00AB3305">
        <w:rPr>
          <w:rFonts w:hint="eastAsia"/>
        </w:rPr>
        <w:t>进入</w:t>
      </w:r>
      <w:r>
        <w:rPr>
          <w:rFonts w:hint="eastAsia"/>
        </w:rPr>
        <w:t>渗滤液处理站处理</w:t>
      </w:r>
      <w:r w:rsidR="00AB3305">
        <w:rPr>
          <w:rFonts w:hint="eastAsia"/>
        </w:rPr>
        <w:t>，处理工艺</w:t>
      </w:r>
      <w:r>
        <w:rPr>
          <w:rFonts w:hint="eastAsia"/>
        </w:rPr>
        <w:t>采用“调节池＋</w:t>
      </w:r>
      <w:r>
        <w:rPr>
          <w:rFonts w:hint="eastAsia"/>
        </w:rPr>
        <w:t>UASB</w:t>
      </w:r>
      <w:r>
        <w:rPr>
          <w:rFonts w:hint="eastAsia"/>
        </w:rPr>
        <w:t>厌氧反应器＋</w:t>
      </w:r>
      <w:r>
        <w:rPr>
          <w:rFonts w:hint="eastAsia"/>
        </w:rPr>
        <w:t>MBR</w:t>
      </w:r>
      <w:r>
        <w:rPr>
          <w:rFonts w:hint="eastAsia"/>
        </w:rPr>
        <w:t>生化处理系统＋</w:t>
      </w:r>
      <w:r>
        <w:rPr>
          <w:rFonts w:hint="eastAsia"/>
        </w:rPr>
        <w:t>NF</w:t>
      </w:r>
      <w:r>
        <w:rPr>
          <w:rFonts w:hint="eastAsia"/>
        </w:rPr>
        <w:t>纳滤＋</w:t>
      </w:r>
      <w:r>
        <w:rPr>
          <w:rFonts w:hint="eastAsia"/>
        </w:rPr>
        <w:t>RO</w:t>
      </w:r>
      <w:r>
        <w:rPr>
          <w:rFonts w:hint="eastAsia"/>
        </w:rPr>
        <w:t>反渗透”，处理规模为</w:t>
      </w:r>
      <w:r>
        <w:rPr>
          <w:rFonts w:hint="eastAsia"/>
        </w:rPr>
        <w:t>450m</w:t>
      </w:r>
      <w:r>
        <w:rPr>
          <w:rFonts w:hint="eastAsia"/>
        </w:rPr>
        <w:t>³</w:t>
      </w:r>
      <w:r>
        <w:rPr>
          <w:rFonts w:hint="eastAsia"/>
        </w:rPr>
        <w:t>/d</w:t>
      </w:r>
      <w:r>
        <w:rPr>
          <w:rFonts w:hint="eastAsia"/>
        </w:rPr>
        <w:t>，渗滤液处理站浓水采用</w:t>
      </w:r>
      <w:r>
        <w:rPr>
          <w:rFonts w:hint="eastAsia"/>
        </w:rPr>
        <w:t>STC</w:t>
      </w:r>
      <w:r>
        <w:rPr>
          <w:rFonts w:hint="eastAsia"/>
        </w:rPr>
        <w:t>（物料膜）二级处理装置（处理能力</w:t>
      </w:r>
      <w:r>
        <w:rPr>
          <w:rFonts w:hint="eastAsia"/>
        </w:rPr>
        <w:t>70m</w:t>
      </w:r>
      <w:r>
        <w:rPr>
          <w:rFonts w:hint="eastAsia"/>
        </w:rPr>
        <w:t>³</w:t>
      </w:r>
      <w:r>
        <w:rPr>
          <w:rFonts w:hint="eastAsia"/>
        </w:rPr>
        <w:t>/d</w:t>
      </w:r>
      <w:r>
        <w:rPr>
          <w:rFonts w:hint="eastAsia"/>
        </w:rPr>
        <w:t>）工艺处理。渗滤液处理工艺流程见下图。</w:t>
      </w:r>
    </w:p>
    <w:p w14:paraId="0A01071F" w14:textId="12406043" w:rsidR="0072276D" w:rsidRDefault="007A50C8" w:rsidP="007A50C8">
      <w:pPr>
        <w:pStyle w:val="affffff4"/>
        <w:spacing w:line="240" w:lineRule="auto"/>
        <w:ind w:firstLineChars="0" w:firstLine="0"/>
        <w:jc w:val="center"/>
        <w:rPr>
          <w:highlight w:val="yellow"/>
        </w:rPr>
      </w:pPr>
      <w:r>
        <w:rPr>
          <w:noProof/>
        </w:rPr>
        <w:lastRenderedPageBreak/>
        <w:drawing>
          <wp:inline distT="0" distB="0" distL="0" distR="0" wp14:anchorId="4AB9B4BE" wp14:editId="773EAC3D">
            <wp:extent cx="5615940" cy="6294120"/>
            <wp:effectExtent l="0" t="0" r="0" b="0"/>
            <wp:docPr id="208321022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3210224" name="图片 2083210224"/>
                    <pic:cNvPicPr/>
                  </pic:nvPicPr>
                  <pic:blipFill>
                    <a:blip r:embed="rId25">
                      <a:extLst>
                        <a:ext uri="{28A0092B-C50C-407E-A947-70E740481C1C}">
                          <a14:useLocalDpi xmlns:a14="http://schemas.microsoft.com/office/drawing/2010/main" val="0"/>
                        </a:ext>
                      </a:extLst>
                    </a:blip>
                    <a:stretch>
                      <a:fillRect/>
                    </a:stretch>
                  </pic:blipFill>
                  <pic:spPr>
                    <a:xfrm>
                      <a:off x="0" y="0"/>
                      <a:ext cx="5615940" cy="6294120"/>
                    </a:xfrm>
                    <a:prstGeom prst="rect">
                      <a:avLst/>
                    </a:prstGeom>
                  </pic:spPr>
                </pic:pic>
              </a:graphicData>
            </a:graphic>
          </wp:inline>
        </w:drawing>
      </w:r>
    </w:p>
    <w:p w14:paraId="5AD88BD0" w14:textId="2CC0EA9C" w:rsidR="0072276D" w:rsidRDefault="007A50C8" w:rsidP="007A50C8">
      <w:pPr>
        <w:pStyle w:val="affffff4"/>
        <w:ind w:firstLineChars="0" w:firstLine="0"/>
        <w:jc w:val="center"/>
        <w:rPr>
          <w:highlight w:val="yellow"/>
        </w:rPr>
      </w:pPr>
      <w:r>
        <w:rPr>
          <w:rFonts w:hint="eastAsia"/>
        </w:rPr>
        <w:t>图</w:t>
      </w:r>
      <w:r>
        <w:rPr>
          <w:rFonts w:hint="eastAsia"/>
        </w:rPr>
        <w:t xml:space="preserve">2.1-6 </w:t>
      </w:r>
      <w:r w:rsidRPr="007A50C8">
        <w:rPr>
          <w:rFonts w:hint="eastAsia"/>
        </w:rPr>
        <w:t>渗滤液处理工艺流程图</w:t>
      </w:r>
    </w:p>
    <w:p w14:paraId="41171DFA" w14:textId="5A1086C7" w:rsidR="007A50C8" w:rsidRDefault="007A50C8" w:rsidP="007A50C8">
      <w:pPr>
        <w:pStyle w:val="affffff4"/>
      </w:pPr>
      <w:r>
        <w:rPr>
          <w:rFonts w:hint="eastAsia"/>
        </w:rPr>
        <w:t>（</w:t>
      </w:r>
      <w:r>
        <w:rPr>
          <w:rFonts w:hint="eastAsia"/>
        </w:rPr>
        <w:t>1</w:t>
      </w:r>
      <w:r>
        <w:rPr>
          <w:rFonts w:hint="eastAsia"/>
        </w:rPr>
        <w:t>）中温厌氧系统（</w:t>
      </w:r>
      <w:r>
        <w:rPr>
          <w:rFonts w:hint="eastAsia"/>
        </w:rPr>
        <w:t>UASB</w:t>
      </w:r>
      <w:r>
        <w:rPr>
          <w:rFonts w:hint="eastAsia"/>
        </w:rPr>
        <w:t>）</w:t>
      </w:r>
    </w:p>
    <w:p w14:paraId="2EE5D9E3" w14:textId="77777777" w:rsidR="007A50C8" w:rsidRDefault="007A50C8" w:rsidP="007A50C8">
      <w:pPr>
        <w:pStyle w:val="affffff4"/>
      </w:pPr>
      <w:r>
        <w:rPr>
          <w:rFonts w:hint="eastAsia"/>
        </w:rPr>
        <w:t>厌氧工艺采用升流式厌氧污泥床（</w:t>
      </w:r>
      <w:r>
        <w:rPr>
          <w:rFonts w:hint="eastAsia"/>
        </w:rPr>
        <w:t>UASB</w:t>
      </w:r>
      <w:r>
        <w:rPr>
          <w:rFonts w:hint="eastAsia"/>
        </w:rPr>
        <w:t>）。厌氧系统采用中温厌氧工艺，按当地的气候条件，需对厌氧系统进行加热与恒温，加热恒温系统采用蒸汽加热形式。厌氧工艺是一种高负荷的有机污染物处理方式，处理过程能耗较低，常用于高浓度有机废水的处理工艺中。</w:t>
      </w:r>
    </w:p>
    <w:p w14:paraId="25BC65A0" w14:textId="42EA91D3" w:rsidR="007A50C8" w:rsidRDefault="007A50C8" w:rsidP="007A50C8">
      <w:pPr>
        <w:pStyle w:val="affffff4"/>
      </w:pPr>
      <w:r>
        <w:rPr>
          <w:rFonts w:hint="eastAsia"/>
        </w:rPr>
        <w:t>UASB</w:t>
      </w:r>
      <w:r>
        <w:rPr>
          <w:rFonts w:hint="eastAsia"/>
        </w:rPr>
        <w:t>工艺属厌氧生物处理，由污泥反应区、气液固三相分离器（包括沉淀区）和气室三部分组成。在底部反应区内存留大量厌氧污泥，具有良好的沉淀性能和凝聚性能的污泥在下部形成污泥层。要处理的污水从厌氧污泥床底部流入与污泥层中污泥</w:t>
      </w:r>
      <w:r>
        <w:rPr>
          <w:rFonts w:hint="eastAsia"/>
        </w:rPr>
        <w:lastRenderedPageBreak/>
        <w:t>进行混合接触，污泥中的微生物分解污水中的有机物，把它转化为沼气。沼气以微小气泡形式不断放出，微小气泡在上升过程中，不断合并，逐渐形成较大的气泡，在污泥床上部由于沼气的搅动形成一个污泥浓度较稀薄的污泥和水一起上升进入三相分离器，沼气碰到分离器下部的反射板时，折向反射板的四周，然后穿过水层进入气室，集中在气室的沼气，用导管导出，固液混合液经过反射进入三相分离器的沉淀区，污水中的污泥发生絮凝，颗粒逐渐增大，并在重力作用下沉降。沉淀至斜壁上的污泥沼着斜壁滑回厌氧反应区内，使反应区内积累大量的污泥，与污泥分离后的处理出水从沉淀区溢流堰上部溢出，然后排出污泥床。该厌氧反应器有一个很大的特点，就是能使反应器内的污泥颗粒化，且有良好的沉降性能和很高的产甲烷活性。这使反应器内的污泥浓度更高，泥龄更长，大大提高了</w:t>
      </w:r>
      <w:r>
        <w:rPr>
          <w:rFonts w:hint="eastAsia"/>
        </w:rPr>
        <w:t>CODcr</w:t>
      </w:r>
      <w:r>
        <w:rPr>
          <w:rFonts w:hint="eastAsia"/>
        </w:rPr>
        <w:t>容积负荷，实现了泥水之间的良好接触。由于采用了高的</w:t>
      </w:r>
      <w:r>
        <w:rPr>
          <w:rFonts w:hint="eastAsia"/>
        </w:rPr>
        <w:t>CODcr</w:t>
      </w:r>
      <w:r>
        <w:rPr>
          <w:rFonts w:hint="eastAsia"/>
        </w:rPr>
        <w:t>负荷，所以沼气产量高，使污泥处于膨胀流化状态，强化了传质效果，达到了泥</w:t>
      </w:r>
    </w:p>
    <w:p w14:paraId="47936724" w14:textId="77777777" w:rsidR="007A50C8" w:rsidRDefault="007A50C8" w:rsidP="007A50C8">
      <w:pPr>
        <w:pStyle w:val="affffff4"/>
      </w:pPr>
      <w:r>
        <w:rPr>
          <w:rFonts w:hint="eastAsia"/>
        </w:rPr>
        <w:t>水充分接触的目的。</w:t>
      </w:r>
    </w:p>
    <w:p w14:paraId="7CE8BCDF" w14:textId="77777777" w:rsidR="007A50C8" w:rsidRDefault="007A50C8" w:rsidP="007A50C8">
      <w:pPr>
        <w:pStyle w:val="affffff4"/>
      </w:pPr>
      <w:r>
        <w:rPr>
          <w:rFonts w:hint="eastAsia"/>
        </w:rPr>
        <w:t>（</w:t>
      </w:r>
      <w:r>
        <w:rPr>
          <w:rFonts w:hint="eastAsia"/>
        </w:rPr>
        <w:t>2</w:t>
      </w:r>
      <w:r>
        <w:rPr>
          <w:rFonts w:hint="eastAsia"/>
        </w:rPr>
        <w:t>）</w:t>
      </w:r>
      <w:r>
        <w:rPr>
          <w:rFonts w:hint="eastAsia"/>
        </w:rPr>
        <w:t>MBR</w:t>
      </w:r>
      <w:r>
        <w:rPr>
          <w:rFonts w:hint="eastAsia"/>
        </w:rPr>
        <w:t>生化处理系统</w:t>
      </w:r>
    </w:p>
    <w:p w14:paraId="07A2AD54" w14:textId="04B02BF4" w:rsidR="007A50C8" w:rsidRDefault="007A50C8" w:rsidP="007A50C8">
      <w:pPr>
        <w:pStyle w:val="affffff4"/>
      </w:pPr>
      <w:r>
        <w:rPr>
          <w:rFonts w:hint="eastAsia"/>
        </w:rPr>
        <w:t>渗滤液好氧处理的核心是硝化</w:t>
      </w:r>
      <w:r>
        <w:rPr>
          <w:rFonts w:hint="eastAsia"/>
        </w:rPr>
        <w:t>/</w:t>
      </w:r>
      <w:r>
        <w:rPr>
          <w:rFonts w:hint="eastAsia"/>
        </w:rPr>
        <w:t>反硝化机理，该过程将去除</w:t>
      </w:r>
      <w:r>
        <w:rPr>
          <w:rFonts w:hint="eastAsia"/>
        </w:rPr>
        <w:t>COD</w:t>
      </w:r>
      <w:r>
        <w:rPr>
          <w:rFonts w:hint="eastAsia"/>
        </w:rPr>
        <w:t>和去除</w:t>
      </w:r>
      <w:r>
        <w:rPr>
          <w:rFonts w:hint="eastAsia"/>
        </w:rPr>
        <w:t>NH3-N</w:t>
      </w:r>
      <w:r>
        <w:rPr>
          <w:rFonts w:hint="eastAsia"/>
        </w:rPr>
        <w:t>有机地结合起来。采用外置式膜生化反应器，由一级反硝化、硝化，二级反硝化、硝化和外置式超滤单元（</w:t>
      </w:r>
      <w:r>
        <w:rPr>
          <w:rFonts w:hint="eastAsia"/>
        </w:rPr>
        <w:t>MBR</w:t>
      </w:r>
      <w:r>
        <w:rPr>
          <w:rFonts w:hint="eastAsia"/>
        </w:rPr>
        <w:t>外置式超滤膜分为</w:t>
      </w:r>
      <w:r>
        <w:rPr>
          <w:rFonts w:hint="eastAsia"/>
        </w:rPr>
        <w:t>2</w:t>
      </w:r>
      <w:r>
        <w:rPr>
          <w:rFonts w:hint="eastAsia"/>
        </w:rPr>
        <w:t>套，单套处理能力</w:t>
      </w:r>
      <w:r>
        <w:rPr>
          <w:rFonts w:hint="eastAsia"/>
        </w:rPr>
        <w:t>225m</w:t>
      </w:r>
      <w:r>
        <w:rPr>
          <w:rFonts w:hint="eastAsia"/>
        </w:rPr>
        <w:t>³</w:t>
      </w:r>
      <w:r>
        <w:rPr>
          <w:rFonts w:hint="eastAsia"/>
        </w:rPr>
        <w:t>/d</w:t>
      </w:r>
      <w:r>
        <w:rPr>
          <w:rFonts w:hint="eastAsia"/>
        </w:rPr>
        <w:t>）组成。消化池采用射流曝气，具体为风机、喷射器及射流泵。</w:t>
      </w:r>
    </w:p>
    <w:p w14:paraId="06E01BCD" w14:textId="55E980DF" w:rsidR="007A50C8" w:rsidRDefault="007A50C8" w:rsidP="007A50C8">
      <w:pPr>
        <w:pStyle w:val="affffff4"/>
      </w:pPr>
      <w:r>
        <w:rPr>
          <w:rFonts w:hint="eastAsia"/>
        </w:rPr>
        <w:t>硝化部分对氨氮的去除率为</w:t>
      </w:r>
      <w:r>
        <w:rPr>
          <w:rFonts w:hint="eastAsia"/>
        </w:rPr>
        <w:t>99%</w:t>
      </w:r>
      <w:r>
        <w:rPr>
          <w:rFonts w:hint="eastAsia"/>
        </w:rPr>
        <w:t>以上，设计反硝化率大于</w:t>
      </w:r>
      <w:r>
        <w:rPr>
          <w:rFonts w:hint="eastAsia"/>
        </w:rPr>
        <w:t>94%</w:t>
      </w:r>
      <w:r>
        <w:rPr>
          <w:rFonts w:hint="eastAsia"/>
        </w:rPr>
        <w:t>，实际运行过程中的反硝化率可通过硝酸盐回流比进行调节，经过两级</w:t>
      </w:r>
      <w:r>
        <w:rPr>
          <w:rFonts w:hint="eastAsia"/>
        </w:rPr>
        <w:t>A/O</w:t>
      </w:r>
      <w:r>
        <w:rPr>
          <w:rFonts w:hint="eastAsia"/>
        </w:rPr>
        <w:t>后</w:t>
      </w:r>
      <w:r>
        <w:rPr>
          <w:rFonts w:hint="eastAsia"/>
        </w:rPr>
        <w:t>TN</w:t>
      </w:r>
      <w:r>
        <w:rPr>
          <w:rFonts w:hint="eastAsia"/>
        </w:rPr>
        <w:t>去除率不低于</w:t>
      </w:r>
      <w:r>
        <w:rPr>
          <w:rFonts w:hint="eastAsia"/>
        </w:rPr>
        <w:t>90%</w:t>
      </w:r>
      <w:r>
        <w:rPr>
          <w:rFonts w:hint="eastAsia"/>
        </w:rPr>
        <w:t>。</w:t>
      </w:r>
    </w:p>
    <w:p w14:paraId="5E97485C" w14:textId="7A01BE41" w:rsidR="007A50C8" w:rsidRDefault="007A50C8" w:rsidP="007A50C8">
      <w:pPr>
        <w:pStyle w:val="affffff4"/>
      </w:pPr>
      <w:r>
        <w:rPr>
          <w:rFonts w:hint="eastAsia"/>
        </w:rPr>
        <w:t>硝化</w:t>
      </w:r>
      <w:r>
        <w:rPr>
          <w:rFonts w:hint="eastAsia"/>
        </w:rPr>
        <w:t>/</w:t>
      </w:r>
      <w:r>
        <w:rPr>
          <w:rFonts w:hint="eastAsia"/>
        </w:rPr>
        <w:t>反硝化工艺分为好氧段和缺氧段，或在运行时段上分为缺氧时段和好氧时段。在好氧段内发生碳氧化过程和硝化过程，通过回流混合液至缺氧段或进入缺氧生化反应时段，来发生反硝化过程，完成硝化</w:t>
      </w:r>
      <w:r>
        <w:rPr>
          <w:rFonts w:hint="eastAsia"/>
        </w:rPr>
        <w:t>/</w:t>
      </w:r>
      <w:r>
        <w:rPr>
          <w:rFonts w:hint="eastAsia"/>
        </w:rPr>
        <w:t>反硝化脱氮工艺过程。好氧曝气系统采用变频控制，根据好氧段末端出水的</w:t>
      </w:r>
      <w:r>
        <w:rPr>
          <w:rFonts w:hint="eastAsia"/>
        </w:rPr>
        <w:t>DO</w:t>
      </w:r>
      <w:r>
        <w:rPr>
          <w:rFonts w:hint="eastAsia"/>
        </w:rPr>
        <w:t>（溶解氧）浓度，连续调节曝气系统曝气量，以确保好氧硝化功能的实现。</w:t>
      </w:r>
    </w:p>
    <w:p w14:paraId="6CBFD6CC" w14:textId="77777777" w:rsidR="007A50C8" w:rsidRDefault="007A50C8" w:rsidP="007A50C8">
      <w:pPr>
        <w:pStyle w:val="affffff4"/>
      </w:pPr>
      <w:r>
        <w:rPr>
          <w:rFonts w:hint="eastAsia"/>
        </w:rPr>
        <w:t>（</w:t>
      </w:r>
      <w:r>
        <w:rPr>
          <w:rFonts w:hint="eastAsia"/>
        </w:rPr>
        <w:t>3</w:t>
      </w:r>
      <w:r>
        <w:rPr>
          <w:rFonts w:hint="eastAsia"/>
        </w:rPr>
        <w:t>）膜深度处理系统</w:t>
      </w:r>
    </w:p>
    <w:p w14:paraId="6B0BEE9F" w14:textId="7F7C85FB" w:rsidR="0072276D" w:rsidRDefault="007A50C8" w:rsidP="007A50C8">
      <w:pPr>
        <w:pStyle w:val="affffff4"/>
        <w:rPr>
          <w:highlight w:val="yellow"/>
        </w:rPr>
      </w:pPr>
      <w:r>
        <w:rPr>
          <w:rFonts w:hint="eastAsia"/>
        </w:rPr>
        <w:t>MBR</w:t>
      </w:r>
      <w:r>
        <w:rPr>
          <w:rFonts w:hint="eastAsia"/>
        </w:rPr>
        <w:t>预处理后，采用“纳滤</w:t>
      </w:r>
      <w:r>
        <w:rPr>
          <w:rFonts w:hint="eastAsia"/>
        </w:rPr>
        <w:t>+</w:t>
      </w:r>
      <w:r>
        <w:rPr>
          <w:rFonts w:hint="eastAsia"/>
        </w:rPr>
        <w:t>反渗透”净化，相对膜系统进水量产率可达到</w:t>
      </w:r>
      <w:r>
        <w:rPr>
          <w:rFonts w:hint="eastAsia"/>
        </w:rPr>
        <w:t>75%</w:t>
      </w:r>
      <w:r>
        <w:rPr>
          <w:rFonts w:hint="eastAsia"/>
        </w:rPr>
        <w:t>以上。</w:t>
      </w:r>
      <w:r>
        <w:rPr>
          <w:rFonts w:hint="eastAsia"/>
        </w:rPr>
        <w:t>NF</w:t>
      </w:r>
      <w:r>
        <w:rPr>
          <w:rFonts w:hint="eastAsia"/>
        </w:rPr>
        <w:t>系统的出水进入</w:t>
      </w:r>
      <w:r>
        <w:rPr>
          <w:rFonts w:hint="eastAsia"/>
        </w:rPr>
        <w:t>RO</w:t>
      </w:r>
      <w:r>
        <w:rPr>
          <w:rFonts w:hint="eastAsia"/>
        </w:rPr>
        <w:t>系统，进一步去除水中的</w:t>
      </w:r>
      <w:r>
        <w:rPr>
          <w:rFonts w:hint="eastAsia"/>
        </w:rPr>
        <w:t>TN</w:t>
      </w:r>
      <w:r>
        <w:rPr>
          <w:rFonts w:hint="eastAsia"/>
        </w:rPr>
        <w:t>、氨氮等污染物。</w:t>
      </w:r>
      <w:r>
        <w:rPr>
          <w:rFonts w:hint="eastAsia"/>
        </w:rPr>
        <w:t>RO</w:t>
      </w:r>
      <w:r>
        <w:rPr>
          <w:rFonts w:hint="eastAsia"/>
        </w:rPr>
        <w:t>系统处理规模为</w:t>
      </w:r>
      <w:r>
        <w:rPr>
          <w:rFonts w:hint="eastAsia"/>
        </w:rPr>
        <w:t>450m3/d</w:t>
      </w:r>
      <w:r>
        <w:rPr>
          <w:rFonts w:hint="eastAsia"/>
        </w:rPr>
        <w:t>。</w:t>
      </w:r>
    </w:p>
    <w:p w14:paraId="46D8F3A0" w14:textId="2C44E3B7" w:rsidR="007A50C8" w:rsidRDefault="007A50C8" w:rsidP="007A50C8">
      <w:pPr>
        <w:pStyle w:val="affffff4"/>
      </w:pPr>
      <w:r>
        <w:rPr>
          <w:rFonts w:hint="eastAsia"/>
        </w:rPr>
        <w:t>（</w:t>
      </w:r>
      <w:r>
        <w:rPr>
          <w:rFonts w:hint="eastAsia"/>
        </w:rPr>
        <w:t>4</w:t>
      </w:r>
      <w:r>
        <w:rPr>
          <w:rFonts w:hint="eastAsia"/>
        </w:rPr>
        <w:t>）</w:t>
      </w:r>
      <w:r>
        <w:rPr>
          <w:rFonts w:hint="eastAsia"/>
        </w:rPr>
        <w:t>UF</w:t>
      </w:r>
      <w:r>
        <w:rPr>
          <w:rFonts w:hint="eastAsia"/>
        </w:rPr>
        <w:t>纳滤浓缩液处理系统</w:t>
      </w:r>
    </w:p>
    <w:p w14:paraId="59C4F3D3" w14:textId="4154E2A0" w:rsidR="0072276D" w:rsidRDefault="007A50C8" w:rsidP="007A50C8">
      <w:pPr>
        <w:pStyle w:val="affffff4"/>
        <w:rPr>
          <w:highlight w:val="yellow"/>
        </w:rPr>
      </w:pPr>
      <w:r>
        <w:rPr>
          <w:rFonts w:hint="eastAsia"/>
        </w:rPr>
        <w:lastRenderedPageBreak/>
        <w:t>纳滤系统产生的浓缩液进入两级物料膜处理单元。该单元主要由两部分组成：一级物料膜系统可将废水中的大分子有机物提取分离出来，形成高浓度有机浓液；一级物料膜产水再进入二级物料膜，二级物料膜系统可将废水进行再回收。一级物料膜系统产生的高浓度有机浓液（主要为腐殖酸）送至焚烧炉回喷处理，二级物料膜产生的淡水进入纳滤产水箱，产生的浓水返回至调节池。物料膜设计通量要求不超过</w:t>
      </w:r>
      <w:r>
        <w:rPr>
          <w:rFonts w:hint="eastAsia"/>
        </w:rPr>
        <w:t>20L/m2.h</w:t>
      </w:r>
      <w:r>
        <w:rPr>
          <w:rFonts w:hint="eastAsia"/>
        </w:rPr>
        <w:t>。要求经过物料膜减量后，纳滤单元的整体水回收率不低于</w:t>
      </w:r>
      <w:r>
        <w:rPr>
          <w:rFonts w:hint="eastAsia"/>
        </w:rPr>
        <w:t>95%</w:t>
      </w:r>
      <w:r>
        <w:rPr>
          <w:rFonts w:hint="eastAsia"/>
        </w:rPr>
        <w:t>。</w:t>
      </w:r>
    </w:p>
    <w:p w14:paraId="110E39DF" w14:textId="35788DF7" w:rsidR="007A50C8" w:rsidRDefault="007A50C8" w:rsidP="007A50C8">
      <w:pPr>
        <w:pStyle w:val="affffff4"/>
      </w:pPr>
      <w:r>
        <w:rPr>
          <w:rFonts w:hint="eastAsia"/>
        </w:rPr>
        <w:t>（</w:t>
      </w:r>
      <w:r>
        <w:rPr>
          <w:rFonts w:hint="eastAsia"/>
        </w:rPr>
        <w:t>5</w:t>
      </w:r>
      <w:r>
        <w:rPr>
          <w:rFonts w:hint="eastAsia"/>
        </w:rPr>
        <w:t>）</w:t>
      </w:r>
      <w:r>
        <w:rPr>
          <w:rFonts w:hint="eastAsia"/>
        </w:rPr>
        <w:t>RO</w:t>
      </w:r>
      <w:r>
        <w:rPr>
          <w:rFonts w:hint="eastAsia"/>
        </w:rPr>
        <w:t>反渗透</w:t>
      </w:r>
    </w:p>
    <w:p w14:paraId="69CEDA4E" w14:textId="7086F7A1" w:rsidR="007A50C8" w:rsidRDefault="007A50C8" w:rsidP="007A50C8">
      <w:pPr>
        <w:pStyle w:val="affffff4"/>
      </w:pPr>
      <w:r>
        <w:rPr>
          <w:rFonts w:hint="eastAsia"/>
        </w:rPr>
        <w:t>反渗透为抗污染型高压反渗透，其产品抗污染性强。反渗透设有</w:t>
      </w:r>
      <w:r>
        <w:rPr>
          <w:rFonts w:hint="eastAsia"/>
        </w:rPr>
        <w:t>1</w:t>
      </w:r>
      <w:r>
        <w:rPr>
          <w:rFonts w:hint="eastAsia"/>
        </w:rPr>
        <w:t>套反渗透装置。反渗透设有如下辅助设施：</w:t>
      </w:r>
    </w:p>
    <w:p w14:paraId="3F99C850" w14:textId="54B648AE" w:rsidR="007A50C8" w:rsidRDefault="007A50C8" w:rsidP="007A50C8">
      <w:pPr>
        <w:pStyle w:val="affffff4"/>
      </w:pPr>
      <w:r>
        <w:rPr>
          <w:rFonts w:hint="eastAsia"/>
        </w:rPr>
        <w:t>1</w:t>
      </w:r>
      <w:r>
        <w:rPr>
          <w:rFonts w:hint="eastAsia"/>
        </w:rPr>
        <w:t>）</w:t>
      </w:r>
      <w:r>
        <w:rPr>
          <w:rFonts w:hint="eastAsia"/>
        </w:rPr>
        <w:t>CIP</w:t>
      </w:r>
      <w:r>
        <w:rPr>
          <w:rFonts w:hint="eastAsia"/>
        </w:rPr>
        <w:t>在线清洗设施</w:t>
      </w:r>
    </w:p>
    <w:p w14:paraId="09A68713" w14:textId="77777777" w:rsidR="007A50C8" w:rsidRDefault="007A50C8" w:rsidP="007A50C8">
      <w:pPr>
        <w:pStyle w:val="affffff4"/>
      </w:pPr>
      <w:r>
        <w:rPr>
          <w:rFonts w:hint="eastAsia"/>
        </w:rPr>
        <w:t>CIP</w:t>
      </w:r>
      <w:r>
        <w:rPr>
          <w:rFonts w:hint="eastAsia"/>
        </w:rPr>
        <w:t>在线清洗设施用于反渗透系统的冲洗、清水清洗和化学清洗；</w:t>
      </w:r>
    </w:p>
    <w:p w14:paraId="5498877E" w14:textId="7BE17D7A" w:rsidR="007A50C8" w:rsidRDefault="007A50C8" w:rsidP="007A50C8">
      <w:pPr>
        <w:pStyle w:val="affffff4"/>
      </w:pPr>
      <w:r>
        <w:rPr>
          <w:rFonts w:hint="eastAsia"/>
        </w:rPr>
        <w:t>2</w:t>
      </w:r>
      <w:r>
        <w:rPr>
          <w:rFonts w:hint="eastAsia"/>
        </w:rPr>
        <w:t>）酸液投加设施</w:t>
      </w:r>
    </w:p>
    <w:p w14:paraId="7A92D153" w14:textId="04D6BDB9" w:rsidR="007A50C8" w:rsidRDefault="007A50C8" w:rsidP="007A50C8">
      <w:pPr>
        <w:pStyle w:val="affffff4"/>
      </w:pPr>
      <w:r>
        <w:rPr>
          <w:rFonts w:hint="eastAsia"/>
        </w:rPr>
        <w:t>为防止反渗透运行过程产生无机结垢，设置酸液投加设施用于调节反渗透系统进水</w:t>
      </w:r>
      <w:r>
        <w:rPr>
          <w:rFonts w:hint="eastAsia"/>
        </w:rPr>
        <w:t>pH</w:t>
      </w:r>
      <w:r>
        <w:rPr>
          <w:rFonts w:hint="eastAsia"/>
        </w:rPr>
        <w:t>值；</w:t>
      </w:r>
    </w:p>
    <w:p w14:paraId="6D755436" w14:textId="419BD13E" w:rsidR="007A50C8" w:rsidRDefault="007A50C8" w:rsidP="007A50C8">
      <w:pPr>
        <w:pStyle w:val="affffff4"/>
      </w:pPr>
      <w:r>
        <w:rPr>
          <w:rFonts w:hint="eastAsia"/>
        </w:rPr>
        <w:t>3</w:t>
      </w:r>
      <w:r>
        <w:rPr>
          <w:rFonts w:hint="eastAsia"/>
        </w:rPr>
        <w:t>）阻垢剂投加设施</w:t>
      </w:r>
    </w:p>
    <w:p w14:paraId="4D40719B" w14:textId="76486622" w:rsidR="007A50C8" w:rsidRDefault="007A50C8" w:rsidP="00AB3305">
      <w:pPr>
        <w:pStyle w:val="affffff4"/>
      </w:pPr>
      <w:r>
        <w:rPr>
          <w:rFonts w:hint="eastAsia"/>
        </w:rPr>
        <w:t>阻垢剂投加设施也用于防止反渗透运行过程中无机结垢的产生。采用完全生物脱氮的膜生化反应器和纳滤系统对垃圾污水进行预处理，纳滤出水不含悬浮物和可生物降解的有机物，这在很大程度上避免了反渗透膜的无机和有机污垢的产生，从而可以降低反渗透膜的清洗频率。</w:t>
      </w:r>
    </w:p>
    <w:p w14:paraId="3C533767" w14:textId="77777777" w:rsidR="007A50C8" w:rsidRDefault="007A50C8" w:rsidP="007A50C8">
      <w:pPr>
        <w:pStyle w:val="affffff4"/>
      </w:pPr>
      <w:r>
        <w:rPr>
          <w:rFonts w:hint="eastAsia"/>
        </w:rPr>
        <w:t>（</w:t>
      </w:r>
      <w:r>
        <w:rPr>
          <w:rFonts w:hint="eastAsia"/>
        </w:rPr>
        <w:t>6</w:t>
      </w:r>
      <w:r>
        <w:rPr>
          <w:rFonts w:hint="eastAsia"/>
        </w:rPr>
        <w:t>）污泥浓缩池</w:t>
      </w:r>
    </w:p>
    <w:p w14:paraId="5F813A11" w14:textId="77777777" w:rsidR="007A50C8" w:rsidRDefault="007A50C8" w:rsidP="007A50C8">
      <w:pPr>
        <w:pStyle w:val="affffff4"/>
      </w:pPr>
      <w:r>
        <w:rPr>
          <w:rFonts w:hint="eastAsia"/>
        </w:rPr>
        <w:t>沉淀池的泥定时排入污泥池，进行污泥浓缩，浓缩后污泥由污泥螺杆泵抽送至板离心脱水一体机处理，压成滤饼入炉焚烧。污泥池内污泥上清液回流和压滤滤液排入调节池再处理。</w:t>
      </w:r>
    </w:p>
    <w:p w14:paraId="7B9D7B3C" w14:textId="77777777" w:rsidR="007A50C8" w:rsidRDefault="007A50C8" w:rsidP="007A50C8">
      <w:pPr>
        <w:pStyle w:val="affffff4"/>
      </w:pPr>
      <w:r>
        <w:rPr>
          <w:rFonts w:hint="eastAsia"/>
        </w:rPr>
        <w:t>（</w:t>
      </w:r>
      <w:r>
        <w:rPr>
          <w:rFonts w:hint="eastAsia"/>
        </w:rPr>
        <w:t>7</w:t>
      </w:r>
      <w:r>
        <w:rPr>
          <w:rFonts w:hint="eastAsia"/>
        </w:rPr>
        <w:t>）恶臭处理系统</w:t>
      </w:r>
    </w:p>
    <w:p w14:paraId="638D9D90" w14:textId="3D391AC7" w:rsidR="007A50C8" w:rsidRDefault="007A50C8" w:rsidP="007A50C8">
      <w:pPr>
        <w:pStyle w:val="affffff4"/>
      </w:pPr>
      <w:r>
        <w:rPr>
          <w:rFonts w:hint="eastAsia"/>
        </w:rPr>
        <w:t>渗滤液收集池为密闭结构，其内部的恶臭气体以自然流动的方式通过</w:t>
      </w:r>
      <w:r>
        <w:rPr>
          <w:rFonts w:hint="eastAsia"/>
        </w:rPr>
        <w:t>PVC</w:t>
      </w:r>
      <w:r>
        <w:rPr>
          <w:rFonts w:hint="eastAsia"/>
        </w:rPr>
        <w:t>管道连接到垃圾池，与垃圾池中的恶臭气体一并作为一次进风燃烧处理。渗滤液处理站产生的臭气抽至垃圾池，最后进入焚烧炉内焚烧处理。</w:t>
      </w:r>
    </w:p>
    <w:p w14:paraId="32FAF256" w14:textId="52C52373" w:rsidR="007A50C8" w:rsidRDefault="007A50C8" w:rsidP="007A50C8">
      <w:pPr>
        <w:pStyle w:val="affffff4"/>
      </w:pPr>
      <w:r>
        <w:rPr>
          <w:rFonts w:hint="eastAsia"/>
        </w:rPr>
        <w:t>焚烧炉停炉检修期间：为防止垃圾池内可燃气体聚集，垃圾池内安装了可燃气体检测装置。当焚烧炉全部停运时，自动开启除臭风机，将臭气送入活性炭吸附装置净化处理后经</w:t>
      </w:r>
      <w:r>
        <w:rPr>
          <w:rFonts w:hint="eastAsia"/>
        </w:rPr>
        <w:t>36m</w:t>
      </w:r>
      <w:r>
        <w:rPr>
          <w:rFonts w:hint="eastAsia"/>
        </w:rPr>
        <w:t>高排气筒排放。</w:t>
      </w:r>
    </w:p>
    <w:p w14:paraId="602FA9C7" w14:textId="4BA0E27B" w:rsidR="007A50C8" w:rsidRDefault="007A50C8" w:rsidP="007A50C8">
      <w:pPr>
        <w:pStyle w:val="affffff4"/>
      </w:pPr>
      <w:r>
        <w:rPr>
          <w:rFonts w:hint="eastAsia"/>
        </w:rPr>
        <w:lastRenderedPageBreak/>
        <w:t>（</w:t>
      </w:r>
      <w:r w:rsidR="00B93366">
        <w:rPr>
          <w:rFonts w:hint="eastAsia"/>
        </w:rPr>
        <w:t>8</w:t>
      </w:r>
      <w:r>
        <w:rPr>
          <w:rFonts w:hint="eastAsia"/>
        </w:rPr>
        <w:t>）沼气处理系统</w:t>
      </w:r>
    </w:p>
    <w:p w14:paraId="456BA793" w14:textId="6575554C" w:rsidR="0072276D" w:rsidRPr="007A50C8" w:rsidRDefault="007A50C8" w:rsidP="007A50C8">
      <w:pPr>
        <w:pStyle w:val="affffff4"/>
        <w:rPr>
          <w:highlight w:val="yellow"/>
        </w:rPr>
      </w:pPr>
      <w:r>
        <w:rPr>
          <w:rFonts w:hint="eastAsia"/>
        </w:rPr>
        <w:t>渗滤液处理站厌氧系统产生的沼气正常工况下引入焚烧炉焚烧处理，当焚烧</w:t>
      </w:r>
      <w:r w:rsidRPr="007A50C8">
        <w:rPr>
          <w:rFonts w:hint="eastAsia"/>
        </w:rPr>
        <w:t>炉停炉时暂存双膜沼气柜（</w:t>
      </w:r>
      <w:r w:rsidRPr="007A50C8">
        <w:rPr>
          <w:rFonts w:hint="eastAsia"/>
        </w:rPr>
        <w:t>450m</w:t>
      </w:r>
      <w:r w:rsidRPr="007A50C8">
        <w:rPr>
          <w:rFonts w:hint="eastAsia"/>
        </w:rPr>
        <w:t>³），通过火炬点燃。</w:t>
      </w:r>
    </w:p>
    <w:p w14:paraId="36E25040" w14:textId="615C34B6" w:rsidR="0072276D" w:rsidRDefault="00B93366" w:rsidP="009D4E09">
      <w:pPr>
        <w:pStyle w:val="affffff4"/>
        <w:rPr>
          <w:highlight w:val="yellow"/>
        </w:rPr>
      </w:pPr>
      <w:r>
        <w:rPr>
          <w:rFonts w:hint="eastAsia"/>
        </w:rPr>
        <w:t>7</w:t>
      </w:r>
      <w:r w:rsidR="00D326A1">
        <w:rPr>
          <w:rFonts w:hint="eastAsia"/>
        </w:rPr>
        <w:t>、生产</w:t>
      </w:r>
      <w:r w:rsidR="00D326A1" w:rsidRPr="007A50C8">
        <w:rPr>
          <w:rFonts w:hint="eastAsia"/>
        </w:rPr>
        <w:t>废水处理</w:t>
      </w:r>
      <w:r w:rsidR="00D326A1">
        <w:rPr>
          <w:rFonts w:hint="eastAsia"/>
        </w:rPr>
        <w:t>系统</w:t>
      </w:r>
    </w:p>
    <w:p w14:paraId="4A4F8B4D" w14:textId="6FEDE6D7" w:rsidR="00D326A1" w:rsidRDefault="00D326A1" w:rsidP="00D326A1">
      <w:pPr>
        <w:pStyle w:val="affffff4"/>
      </w:pPr>
      <w:r>
        <w:rPr>
          <w:rFonts w:hint="eastAsia"/>
        </w:rPr>
        <w:t>生产废水（冷却塔循环水部分排污水）处理系统主要采用：“超滤</w:t>
      </w:r>
      <w:r>
        <w:rPr>
          <w:rFonts w:hint="eastAsia"/>
        </w:rPr>
        <w:t>+</w:t>
      </w:r>
      <w:r>
        <w:rPr>
          <w:rFonts w:hint="eastAsia"/>
        </w:rPr>
        <w:t>反渗透”的处理工艺，处理能力为</w:t>
      </w:r>
      <w:r>
        <w:rPr>
          <w:rFonts w:hint="eastAsia"/>
        </w:rPr>
        <w:t>550m</w:t>
      </w:r>
      <w:r>
        <w:rPr>
          <w:rFonts w:hint="eastAsia"/>
        </w:rPr>
        <w:t>³</w:t>
      </w:r>
      <w:r>
        <w:rPr>
          <w:rFonts w:hint="eastAsia"/>
        </w:rPr>
        <w:t>/h</w:t>
      </w:r>
      <w:r>
        <w:rPr>
          <w:rFonts w:hint="eastAsia"/>
        </w:rPr>
        <w:t>。冷却塔循环另一部分排污水、锅炉排污水和化水处理系统排污水回用于冲洗用水、给料斗溜槽用水、炉排炉渣输送机用水、除渣机用水和飞灰稳定化用水，不外排。</w:t>
      </w:r>
    </w:p>
    <w:p w14:paraId="689FDC11" w14:textId="77777777" w:rsidR="00D326A1" w:rsidRDefault="00D326A1" w:rsidP="00D326A1">
      <w:pPr>
        <w:pStyle w:val="affffff4"/>
      </w:pPr>
      <w:r>
        <w:rPr>
          <w:rFonts w:hint="eastAsia"/>
        </w:rPr>
        <w:t>系统内包括软化加药系统、调节池、浓水池、混凝沉淀</w:t>
      </w:r>
      <w:r>
        <w:rPr>
          <w:rFonts w:hint="eastAsia"/>
        </w:rPr>
        <w:t>+</w:t>
      </w:r>
      <w:r>
        <w:rPr>
          <w:rFonts w:hint="eastAsia"/>
        </w:rPr>
        <w:t>膜池一体化设备、反渗透系统、各类水箱等。来水进入调节池，经调节池提升泵送至混凝沉淀池加药混凝沉淀后，去除大部分硬度，产水经中和后进入膜池，进一步去除水中浊度、胶体和悬浮物等。产水经高压泵输送至反渗透单元，反渗透产水进入清水箱，浓缩液进入浓水池。</w:t>
      </w:r>
    </w:p>
    <w:p w14:paraId="23902319" w14:textId="62B09F14" w:rsidR="0072276D" w:rsidRDefault="00D326A1" w:rsidP="00D326A1">
      <w:pPr>
        <w:pStyle w:val="affffff4"/>
        <w:rPr>
          <w:highlight w:val="yellow"/>
        </w:rPr>
      </w:pPr>
      <w:r>
        <w:rPr>
          <w:rFonts w:hint="eastAsia"/>
        </w:rPr>
        <w:t>本装置浓水泵提升后作为补水回用。系统产生的废液都收集至系统前端综合调节池。沉淀池污泥通过污泥脱水系统处理后采用车辆运至垃圾仓入炉焚烧。生产废水处理工艺流程见下图。</w:t>
      </w:r>
    </w:p>
    <w:p w14:paraId="052F1F8A" w14:textId="49F76827" w:rsidR="00D326A1" w:rsidRDefault="00D326A1" w:rsidP="00D326A1">
      <w:pPr>
        <w:pStyle w:val="affffff4"/>
        <w:spacing w:line="240" w:lineRule="auto"/>
        <w:ind w:firstLineChars="0" w:firstLine="0"/>
        <w:jc w:val="center"/>
        <w:rPr>
          <w:highlight w:val="yellow"/>
        </w:rPr>
      </w:pPr>
      <w:r>
        <w:rPr>
          <w:noProof/>
        </w:rPr>
        <w:drawing>
          <wp:inline distT="0" distB="0" distL="0" distR="0" wp14:anchorId="33637344" wp14:editId="2C97C6F3">
            <wp:extent cx="4305442" cy="3264269"/>
            <wp:effectExtent l="19050" t="19050" r="19050" b="12700"/>
            <wp:docPr id="62099097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990977" name=""/>
                    <pic:cNvPicPr/>
                  </pic:nvPicPr>
                  <pic:blipFill>
                    <a:blip r:embed="rId26"/>
                    <a:stretch>
                      <a:fillRect/>
                    </a:stretch>
                  </pic:blipFill>
                  <pic:spPr>
                    <a:xfrm>
                      <a:off x="0" y="0"/>
                      <a:ext cx="4305442" cy="3264269"/>
                    </a:xfrm>
                    <a:prstGeom prst="rect">
                      <a:avLst/>
                    </a:prstGeom>
                    <a:ln>
                      <a:solidFill>
                        <a:schemeClr val="tx1"/>
                      </a:solidFill>
                    </a:ln>
                  </pic:spPr>
                </pic:pic>
              </a:graphicData>
            </a:graphic>
          </wp:inline>
        </w:drawing>
      </w:r>
    </w:p>
    <w:p w14:paraId="6A4D06A8" w14:textId="65D6C709" w:rsidR="00D326A1" w:rsidRPr="00D326A1" w:rsidRDefault="00D326A1" w:rsidP="00D326A1">
      <w:pPr>
        <w:pStyle w:val="affffff4"/>
        <w:ind w:firstLineChars="0" w:firstLine="0"/>
        <w:jc w:val="center"/>
      </w:pPr>
      <w:r w:rsidRPr="00D326A1">
        <w:rPr>
          <w:rFonts w:hint="eastAsia"/>
        </w:rPr>
        <w:t>图</w:t>
      </w:r>
      <w:r w:rsidRPr="00D326A1">
        <w:rPr>
          <w:rFonts w:hint="eastAsia"/>
        </w:rPr>
        <w:t xml:space="preserve">2.1-7 </w:t>
      </w:r>
      <w:r w:rsidRPr="00D326A1">
        <w:rPr>
          <w:rFonts w:hint="eastAsia"/>
        </w:rPr>
        <w:t>生产废水处理工艺流程图</w:t>
      </w:r>
    </w:p>
    <w:p w14:paraId="58F9AE05" w14:textId="3EFF0A77" w:rsidR="00D326A1" w:rsidRDefault="00B93366" w:rsidP="00D326A1">
      <w:pPr>
        <w:pStyle w:val="affffff4"/>
      </w:pPr>
      <w:r>
        <w:rPr>
          <w:rFonts w:hint="eastAsia"/>
        </w:rPr>
        <w:t>8</w:t>
      </w:r>
      <w:r w:rsidR="00D326A1">
        <w:rPr>
          <w:rFonts w:hint="eastAsia"/>
        </w:rPr>
        <w:t>、生活污水处理工艺流程</w:t>
      </w:r>
    </w:p>
    <w:p w14:paraId="6EA6F431" w14:textId="14BDADCF" w:rsidR="00D326A1" w:rsidRDefault="00D326A1" w:rsidP="00D326A1">
      <w:pPr>
        <w:pStyle w:val="affffff4"/>
        <w:rPr>
          <w:highlight w:val="yellow"/>
        </w:rPr>
      </w:pPr>
      <w:r>
        <w:rPr>
          <w:rFonts w:hint="eastAsia"/>
        </w:rPr>
        <w:t>生活污水建设一座</w:t>
      </w:r>
      <w:r>
        <w:rPr>
          <w:rFonts w:hint="eastAsia"/>
        </w:rPr>
        <w:t>48m</w:t>
      </w:r>
      <w:r>
        <w:rPr>
          <w:rFonts w:hint="eastAsia"/>
        </w:rPr>
        <w:t>³</w:t>
      </w:r>
      <w:r>
        <w:rPr>
          <w:rFonts w:hint="eastAsia"/>
        </w:rPr>
        <w:t>/d</w:t>
      </w:r>
      <w:r>
        <w:rPr>
          <w:rFonts w:hint="eastAsia"/>
        </w:rPr>
        <w:t>的生活污水处理站，处理工艺为：“生活污水→格栅→调节池→污水提升泵→复合生化池（含厌氧</w:t>
      </w:r>
      <w:r>
        <w:rPr>
          <w:rFonts w:hint="eastAsia"/>
        </w:rPr>
        <w:t>/</w:t>
      </w:r>
      <w:r>
        <w:rPr>
          <w:rFonts w:hint="eastAsia"/>
        </w:rPr>
        <w:t>缺氧</w:t>
      </w:r>
      <w:r>
        <w:rPr>
          <w:rFonts w:hint="eastAsia"/>
        </w:rPr>
        <w:t>/</w:t>
      </w:r>
      <w:r>
        <w:rPr>
          <w:rFonts w:hint="eastAsia"/>
        </w:rPr>
        <w:t>好氧）→二沉池→污泥池→消毒</w:t>
      </w:r>
      <w:r>
        <w:rPr>
          <w:rFonts w:hint="eastAsia"/>
        </w:rPr>
        <w:lastRenderedPageBreak/>
        <w:t>池→清水池，处理后生活污水进入工业废水处理站的“超滤</w:t>
      </w:r>
      <w:r>
        <w:rPr>
          <w:rFonts w:hint="eastAsia"/>
        </w:rPr>
        <w:t>+</w:t>
      </w:r>
      <w:r>
        <w:rPr>
          <w:rFonts w:hint="eastAsia"/>
        </w:rPr>
        <w:t>反渗透”进行深度处理，处理后的生活污水达标后回用至冷却水塔。处理后的生活污水回用至冷却塔。生活污水处理工艺流程见下图。</w:t>
      </w:r>
    </w:p>
    <w:p w14:paraId="25EE41C9" w14:textId="19CA8830" w:rsidR="00D326A1" w:rsidRDefault="00D326A1" w:rsidP="00D326A1">
      <w:pPr>
        <w:pStyle w:val="affffff4"/>
        <w:spacing w:line="240" w:lineRule="auto"/>
        <w:ind w:firstLineChars="0" w:firstLine="0"/>
        <w:jc w:val="center"/>
        <w:rPr>
          <w:highlight w:val="yellow"/>
        </w:rPr>
      </w:pPr>
      <w:r>
        <w:rPr>
          <w:noProof/>
        </w:rPr>
        <w:drawing>
          <wp:inline distT="0" distB="0" distL="0" distR="0" wp14:anchorId="09D74A98" wp14:editId="199CF315">
            <wp:extent cx="4804410" cy="3612502"/>
            <wp:effectExtent l="19050" t="19050" r="15240" b="26670"/>
            <wp:docPr id="41388598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885989" name=""/>
                    <pic:cNvPicPr/>
                  </pic:nvPicPr>
                  <pic:blipFill>
                    <a:blip r:embed="rId27"/>
                    <a:stretch>
                      <a:fillRect/>
                    </a:stretch>
                  </pic:blipFill>
                  <pic:spPr>
                    <a:xfrm>
                      <a:off x="0" y="0"/>
                      <a:ext cx="4810469" cy="3617058"/>
                    </a:xfrm>
                    <a:prstGeom prst="rect">
                      <a:avLst/>
                    </a:prstGeom>
                    <a:ln>
                      <a:solidFill>
                        <a:schemeClr val="tx1"/>
                      </a:solidFill>
                    </a:ln>
                  </pic:spPr>
                </pic:pic>
              </a:graphicData>
            </a:graphic>
          </wp:inline>
        </w:drawing>
      </w:r>
    </w:p>
    <w:p w14:paraId="0343FD2A" w14:textId="43D8BEAE" w:rsidR="00D326A1" w:rsidRDefault="00D326A1" w:rsidP="00D326A1">
      <w:pPr>
        <w:pStyle w:val="affffff4"/>
        <w:ind w:firstLineChars="0" w:firstLine="0"/>
        <w:jc w:val="center"/>
      </w:pPr>
      <w:r w:rsidRPr="00D326A1">
        <w:rPr>
          <w:rFonts w:hint="eastAsia"/>
        </w:rPr>
        <w:t>图</w:t>
      </w:r>
      <w:r w:rsidRPr="00D326A1">
        <w:rPr>
          <w:rFonts w:hint="eastAsia"/>
        </w:rPr>
        <w:t xml:space="preserve">2.1-8 </w:t>
      </w:r>
      <w:r w:rsidRPr="00D326A1">
        <w:rPr>
          <w:rFonts w:hint="eastAsia"/>
        </w:rPr>
        <w:t>生活污水处理工艺流程图</w:t>
      </w:r>
    </w:p>
    <w:p w14:paraId="3BF218A4" w14:textId="7EDC339E" w:rsidR="00B93366" w:rsidRDefault="00B93366" w:rsidP="00B93366">
      <w:pPr>
        <w:pStyle w:val="affffff4"/>
      </w:pPr>
      <w:r>
        <w:rPr>
          <w:rFonts w:hint="eastAsia"/>
        </w:rPr>
        <w:t>9</w:t>
      </w:r>
      <w:r>
        <w:rPr>
          <w:rFonts w:hint="eastAsia"/>
        </w:rPr>
        <w:t>、</w:t>
      </w:r>
      <w:r w:rsidRPr="00B93366">
        <w:rPr>
          <w:rFonts w:hint="eastAsia"/>
        </w:rPr>
        <w:t>污泥处理</w:t>
      </w:r>
      <w:r>
        <w:rPr>
          <w:rFonts w:hint="eastAsia"/>
        </w:rPr>
        <w:t>系统</w:t>
      </w:r>
    </w:p>
    <w:p w14:paraId="27F7423F" w14:textId="1A9B28AC" w:rsidR="00B93366" w:rsidRPr="00B93366" w:rsidRDefault="00B93366" w:rsidP="00B93366">
      <w:pPr>
        <w:adjustRightInd w:val="0"/>
        <w:snapToGrid w:val="0"/>
        <w:spacing w:line="360" w:lineRule="auto"/>
        <w:ind w:firstLineChars="200" w:firstLine="480"/>
        <w:rPr>
          <w:kern w:val="0"/>
          <w:sz w:val="24"/>
          <w:szCs w:val="24"/>
        </w:rPr>
      </w:pPr>
      <w:r w:rsidRPr="00B93366">
        <w:rPr>
          <w:kern w:val="0"/>
          <w:sz w:val="24"/>
          <w:szCs w:val="24"/>
        </w:rPr>
        <w:t>市政污泥由自卸卡车运输至本厂内，在垃圾焚烧发电厂的地泵房经过计量后，卸入污泥接收仓。</w:t>
      </w:r>
      <w:r w:rsidR="00F5636A">
        <w:rPr>
          <w:rFonts w:hint="eastAsia"/>
          <w:kern w:val="0"/>
          <w:sz w:val="24"/>
          <w:szCs w:val="24"/>
        </w:rPr>
        <w:t>污泥处理系统</w:t>
      </w:r>
      <w:r w:rsidRPr="00B93366">
        <w:rPr>
          <w:kern w:val="0"/>
          <w:sz w:val="24"/>
          <w:szCs w:val="24"/>
        </w:rPr>
        <w:t>设置</w:t>
      </w:r>
      <w:r w:rsidRPr="00B93366">
        <w:rPr>
          <w:kern w:val="0"/>
          <w:sz w:val="24"/>
          <w:szCs w:val="24"/>
        </w:rPr>
        <w:t>3</w:t>
      </w:r>
      <w:r w:rsidRPr="00B93366">
        <w:rPr>
          <w:kern w:val="0"/>
          <w:sz w:val="24"/>
          <w:szCs w:val="24"/>
        </w:rPr>
        <w:t>套</w:t>
      </w:r>
      <w:r w:rsidRPr="00B93366">
        <w:rPr>
          <w:kern w:val="0"/>
          <w:sz w:val="24"/>
          <w:szCs w:val="24"/>
        </w:rPr>
        <w:t>150m</w:t>
      </w:r>
      <w:r w:rsidRPr="00B93366">
        <w:rPr>
          <w:kern w:val="0"/>
          <w:sz w:val="24"/>
          <w:szCs w:val="24"/>
          <w:vertAlign w:val="superscript"/>
        </w:rPr>
        <w:t>3</w:t>
      </w:r>
      <w:r w:rsidRPr="00B93366">
        <w:rPr>
          <w:kern w:val="0"/>
          <w:sz w:val="24"/>
          <w:szCs w:val="24"/>
        </w:rPr>
        <w:t>湿污泥液压滑架料仓，由自卸卡车通过卸料门将污泥卸入位于地下一层的湿污泥存储料仓内。</w:t>
      </w:r>
      <w:r w:rsidRPr="00B93366">
        <w:rPr>
          <w:kern w:val="0"/>
          <w:sz w:val="24"/>
          <w:szCs w:val="24"/>
        </w:rPr>
        <w:t>3</w:t>
      </w:r>
      <w:r w:rsidRPr="00B93366">
        <w:rPr>
          <w:kern w:val="0"/>
          <w:sz w:val="24"/>
          <w:szCs w:val="24"/>
        </w:rPr>
        <w:t>套料仓分别对应</w:t>
      </w:r>
      <w:r w:rsidRPr="00B93366">
        <w:rPr>
          <w:kern w:val="0"/>
          <w:sz w:val="24"/>
          <w:szCs w:val="24"/>
        </w:rPr>
        <w:t>3</w:t>
      </w:r>
      <w:r w:rsidRPr="00B93366">
        <w:rPr>
          <w:kern w:val="0"/>
          <w:sz w:val="24"/>
          <w:szCs w:val="24"/>
        </w:rPr>
        <w:t>条生产线。第一条生产线，湿污泥由接料仓底部柱塞泵送入调理罐调理后进入立式压滤机压滤成</w:t>
      </w:r>
      <w:r w:rsidRPr="00B93366">
        <w:rPr>
          <w:kern w:val="0"/>
          <w:sz w:val="24"/>
          <w:szCs w:val="24"/>
        </w:rPr>
        <w:t>60%</w:t>
      </w:r>
      <w:r w:rsidRPr="00B93366">
        <w:rPr>
          <w:kern w:val="0"/>
          <w:sz w:val="24"/>
          <w:szCs w:val="24"/>
        </w:rPr>
        <w:t>含水率的半干污泥，再经卧式圆盘干化机干化到污泥含水率为</w:t>
      </w:r>
      <w:r w:rsidRPr="00B93366">
        <w:rPr>
          <w:kern w:val="0"/>
          <w:sz w:val="24"/>
          <w:szCs w:val="24"/>
        </w:rPr>
        <w:t>40%</w:t>
      </w:r>
      <w:r w:rsidRPr="00B93366">
        <w:rPr>
          <w:kern w:val="0"/>
          <w:sz w:val="24"/>
          <w:szCs w:val="24"/>
        </w:rPr>
        <w:t>以下后送入焚烧炉系统焚烧处置（污泥含水率根据焚烧炉入炉要求进行微调整）；另外两条生产线的湿污泥由接料仓底部柱塞泵送入卧式圆盘干化机干化到污泥含水率为</w:t>
      </w:r>
      <w:r w:rsidRPr="00B93366">
        <w:rPr>
          <w:kern w:val="0"/>
          <w:sz w:val="24"/>
          <w:szCs w:val="24"/>
        </w:rPr>
        <w:t>40%</w:t>
      </w:r>
      <w:r w:rsidRPr="00B93366">
        <w:rPr>
          <w:kern w:val="0"/>
          <w:sz w:val="24"/>
          <w:szCs w:val="24"/>
        </w:rPr>
        <w:t>以下后送入焚烧炉系统焚烧处置，其中一条生产线作为高峰期备用。卧式圆盘干化机干化到污泥含水率为</w:t>
      </w:r>
      <w:r w:rsidRPr="00B93366">
        <w:rPr>
          <w:kern w:val="0"/>
          <w:sz w:val="24"/>
          <w:szCs w:val="24"/>
        </w:rPr>
        <w:t>40%</w:t>
      </w:r>
      <w:r w:rsidRPr="00B93366">
        <w:rPr>
          <w:kern w:val="0"/>
          <w:sz w:val="24"/>
          <w:szCs w:val="24"/>
        </w:rPr>
        <w:t>以下后，由全密封刮板机送入垃圾焚烧炉协同焚烧处置。</w:t>
      </w:r>
      <w:r w:rsidR="00F5636A" w:rsidRPr="00F5636A">
        <w:rPr>
          <w:rFonts w:hint="eastAsia"/>
          <w:kern w:val="0"/>
          <w:sz w:val="24"/>
          <w:szCs w:val="24"/>
        </w:rPr>
        <w:t>污泥干化工艺流程</w:t>
      </w:r>
      <w:r w:rsidR="00F5636A">
        <w:rPr>
          <w:rFonts w:hint="eastAsia"/>
          <w:kern w:val="0"/>
          <w:sz w:val="24"/>
          <w:szCs w:val="24"/>
        </w:rPr>
        <w:t>见下</w:t>
      </w:r>
      <w:r w:rsidR="00F5636A" w:rsidRPr="00F5636A">
        <w:rPr>
          <w:rFonts w:hint="eastAsia"/>
          <w:kern w:val="0"/>
          <w:sz w:val="24"/>
          <w:szCs w:val="24"/>
        </w:rPr>
        <w:t>图</w:t>
      </w:r>
      <w:r w:rsidR="00F5636A">
        <w:rPr>
          <w:rFonts w:hint="eastAsia"/>
          <w:kern w:val="0"/>
          <w:sz w:val="24"/>
          <w:szCs w:val="24"/>
        </w:rPr>
        <w:t>。</w:t>
      </w:r>
    </w:p>
    <w:p w14:paraId="7E262783" w14:textId="77777777" w:rsidR="00F5636A" w:rsidRPr="00B93366" w:rsidRDefault="00F5636A" w:rsidP="00F5636A">
      <w:pPr>
        <w:adjustRightInd w:val="0"/>
        <w:snapToGrid w:val="0"/>
        <w:spacing w:line="360" w:lineRule="auto"/>
        <w:rPr>
          <w:kern w:val="0"/>
          <w:sz w:val="24"/>
          <w:szCs w:val="24"/>
        </w:rPr>
      </w:pPr>
      <w:r w:rsidRPr="00B93366">
        <w:rPr>
          <w:noProof/>
          <w:kern w:val="0"/>
          <w:sz w:val="24"/>
          <w:szCs w:val="24"/>
        </w:rPr>
        <w:lastRenderedPageBreak/>
        <w:drawing>
          <wp:inline distT="0" distB="0" distL="0" distR="0" wp14:anchorId="1CEAC216" wp14:editId="75248095">
            <wp:extent cx="5615940" cy="1649095"/>
            <wp:effectExtent l="0" t="0" r="3810" b="8255"/>
            <wp:docPr id="49754087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0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15940" cy="1649095"/>
                    </a:xfrm>
                    <a:prstGeom prst="rect">
                      <a:avLst/>
                    </a:prstGeom>
                    <a:noFill/>
                    <a:ln>
                      <a:noFill/>
                    </a:ln>
                  </pic:spPr>
                </pic:pic>
              </a:graphicData>
            </a:graphic>
          </wp:inline>
        </w:drawing>
      </w:r>
    </w:p>
    <w:p w14:paraId="18C6C7C6" w14:textId="26CA8D30" w:rsidR="00F5636A" w:rsidRPr="00B93366" w:rsidRDefault="00F5636A" w:rsidP="00F5636A">
      <w:pPr>
        <w:pStyle w:val="affffff4"/>
        <w:ind w:firstLineChars="0" w:firstLine="0"/>
        <w:jc w:val="center"/>
      </w:pPr>
      <w:r w:rsidRPr="00B93366">
        <w:t>图</w:t>
      </w:r>
      <w:r>
        <w:rPr>
          <w:rFonts w:hint="eastAsia"/>
        </w:rPr>
        <w:t>2.1-9</w:t>
      </w:r>
      <w:r w:rsidRPr="00B93366">
        <w:t xml:space="preserve"> </w:t>
      </w:r>
      <w:r w:rsidRPr="00B93366">
        <w:t>污泥干化工艺流程图</w:t>
      </w:r>
    </w:p>
    <w:p w14:paraId="6C9AE4E8" w14:textId="77777777" w:rsidR="00606029" w:rsidRPr="0037725E" w:rsidRDefault="00EA5B92">
      <w:pPr>
        <w:pStyle w:val="3"/>
      </w:pPr>
      <w:bookmarkStart w:id="82" w:name="_Toc220680462"/>
      <w:r w:rsidRPr="0037725E">
        <w:t>2.1.3</w:t>
      </w:r>
      <w:r w:rsidRPr="0037725E">
        <w:t>主要生产设备</w:t>
      </w:r>
      <w:bookmarkEnd w:id="82"/>
    </w:p>
    <w:p w14:paraId="0D4C85E8" w14:textId="1F365B63" w:rsidR="00606029" w:rsidRPr="0037725E" w:rsidRDefault="00EA5B92">
      <w:pPr>
        <w:pStyle w:val="affffff4"/>
      </w:pPr>
      <w:r w:rsidRPr="0037725E">
        <w:t>现有</w:t>
      </w:r>
      <w:r w:rsidR="006A52CC" w:rsidRPr="0037725E">
        <w:rPr>
          <w:rFonts w:hint="eastAsia"/>
        </w:rPr>
        <w:t>工程</w:t>
      </w:r>
      <w:r w:rsidRPr="0037725E">
        <w:t>主要设备见下表。</w:t>
      </w:r>
    </w:p>
    <w:p w14:paraId="4BB9BEDE" w14:textId="57B7D7F2" w:rsidR="00606029" w:rsidRPr="00B42684" w:rsidRDefault="00EA5B92">
      <w:pPr>
        <w:pStyle w:val="affffff5"/>
      </w:pPr>
      <w:r w:rsidRPr="00B42684">
        <w:t>表</w:t>
      </w:r>
      <w:r w:rsidRPr="00B42684">
        <w:t>2.1-2</w:t>
      </w:r>
      <w:r w:rsidR="00B42684" w:rsidRPr="00B42684">
        <w:rPr>
          <w:rFonts w:hint="eastAsia"/>
        </w:rPr>
        <w:t xml:space="preserve"> </w:t>
      </w:r>
      <w:r w:rsidR="00B42684" w:rsidRPr="00B42684">
        <w:rPr>
          <w:rFonts w:hint="eastAsia"/>
        </w:rPr>
        <w:t>现有工程</w:t>
      </w:r>
      <w:r w:rsidRPr="00B42684">
        <w:t>主要设备一览表</w:t>
      </w:r>
    </w:p>
    <w:tbl>
      <w:tblPr>
        <w:tblStyle w:val="TableNormal1"/>
        <w:tblW w:w="5000" w:type="pct"/>
        <w:jc w:val="center"/>
        <w:tblInd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ook w:val="04A0" w:firstRow="1" w:lastRow="0" w:firstColumn="1" w:lastColumn="0" w:noHBand="0" w:noVBand="1"/>
      </w:tblPr>
      <w:tblGrid>
        <w:gridCol w:w="754"/>
        <w:gridCol w:w="2502"/>
        <w:gridCol w:w="3221"/>
        <w:gridCol w:w="1101"/>
        <w:gridCol w:w="673"/>
        <w:gridCol w:w="583"/>
      </w:tblGrid>
      <w:tr w:rsidR="00D20D13" w:rsidRPr="00D20D13" w14:paraId="3DB7DC96" w14:textId="77777777" w:rsidTr="003C077B">
        <w:trPr>
          <w:trHeight w:val="340"/>
          <w:jc w:val="center"/>
        </w:trPr>
        <w:tc>
          <w:tcPr>
            <w:tcW w:w="427" w:type="pct"/>
            <w:vMerge w:val="restart"/>
            <w:tcBorders>
              <w:left w:val="single" w:sz="4" w:space="0" w:color="000000"/>
              <w:bottom w:val="nil"/>
            </w:tcBorders>
            <w:vAlign w:val="center"/>
          </w:tcPr>
          <w:p w14:paraId="74F15148" w14:textId="77777777" w:rsidR="00D20D13" w:rsidRPr="00D20D13" w:rsidRDefault="00D20D13" w:rsidP="00E72020">
            <w:pPr>
              <w:spacing w:before="65" w:after="0" w:line="280" w:lineRule="exact"/>
              <w:ind w:left="37"/>
              <w:jc w:val="center"/>
              <w:rPr>
                <w:rFonts w:ascii="Times New Roman" w:hAnsi="Times New Roman" w:cs="Times New Roman"/>
                <w:color w:val="auto"/>
              </w:rPr>
            </w:pPr>
            <w:r w:rsidRPr="00D20D13">
              <w:rPr>
                <w:rFonts w:ascii="Times New Roman" w:hAnsi="Times New Roman" w:cs="Times New Roman"/>
                <w:color w:val="auto"/>
              </w:rPr>
              <w:t>序号</w:t>
            </w:r>
          </w:p>
        </w:tc>
        <w:tc>
          <w:tcPr>
            <w:tcW w:w="1416" w:type="pct"/>
            <w:vMerge w:val="restart"/>
            <w:tcBorders>
              <w:bottom w:val="nil"/>
            </w:tcBorders>
            <w:vAlign w:val="center"/>
          </w:tcPr>
          <w:p w14:paraId="625CE90C" w14:textId="77777777" w:rsidR="00D20D13" w:rsidRPr="00E72020" w:rsidRDefault="00D20D13" w:rsidP="00E72020">
            <w:pPr>
              <w:spacing w:before="65"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设备名称</w:t>
            </w:r>
          </w:p>
        </w:tc>
        <w:tc>
          <w:tcPr>
            <w:tcW w:w="1823" w:type="pct"/>
            <w:vMerge w:val="restart"/>
            <w:tcBorders>
              <w:bottom w:val="nil"/>
            </w:tcBorders>
            <w:vAlign w:val="center"/>
          </w:tcPr>
          <w:p w14:paraId="4AEADCAF" w14:textId="77777777" w:rsidR="00D20D13" w:rsidRPr="00D20D13" w:rsidRDefault="00D20D13" w:rsidP="00E72020">
            <w:pPr>
              <w:pStyle w:val="TableText"/>
              <w:adjustRightInd w:val="0"/>
              <w:snapToGrid w:val="0"/>
              <w:spacing w:after="0" w:line="240" w:lineRule="auto"/>
              <w:jc w:val="center"/>
              <w:rPr>
                <w:rFonts w:ascii="Times New Roman" w:hAnsi="Times New Roman" w:cs="Times New Roman"/>
                <w:color w:val="auto"/>
                <w:lang w:eastAsia="zh-CN"/>
              </w:rPr>
            </w:pPr>
            <w:r w:rsidRPr="00D20D13">
              <w:rPr>
                <w:rFonts w:ascii="Times New Roman" w:hAnsi="Times New Roman" w:cs="Times New Roman"/>
                <w:color w:val="auto"/>
                <w:lang w:eastAsia="zh-CN"/>
              </w:rPr>
              <w:t>规格及技术数据</w:t>
            </w:r>
          </w:p>
        </w:tc>
        <w:tc>
          <w:tcPr>
            <w:tcW w:w="623" w:type="pct"/>
            <w:vMerge w:val="restart"/>
            <w:tcBorders>
              <w:bottom w:val="nil"/>
            </w:tcBorders>
            <w:vAlign w:val="center"/>
          </w:tcPr>
          <w:p w14:paraId="2F210123" w14:textId="3CE59DDC" w:rsidR="00D20D13" w:rsidRPr="00D20D13" w:rsidRDefault="00D20D13" w:rsidP="00E72020">
            <w:pPr>
              <w:pStyle w:val="TableText"/>
              <w:adjustRightInd w:val="0"/>
              <w:snapToGrid w:val="0"/>
              <w:spacing w:after="0" w:line="240" w:lineRule="auto"/>
              <w:jc w:val="center"/>
              <w:rPr>
                <w:rFonts w:ascii="Times New Roman" w:hAnsi="Times New Roman" w:cs="Times New Roman"/>
                <w:color w:val="auto"/>
                <w:lang w:eastAsia="zh-CN"/>
              </w:rPr>
            </w:pPr>
            <w:r w:rsidRPr="00D20D13">
              <w:rPr>
                <w:rFonts w:ascii="Times New Roman" w:hAnsi="Times New Roman" w:cs="Times New Roman"/>
                <w:color w:val="auto"/>
                <w:lang w:eastAsia="zh-CN"/>
              </w:rPr>
              <w:t>单机功率（</w:t>
            </w:r>
            <w:r w:rsidRPr="00D20D13">
              <w:rPr>
                <w:rFonts w:ascii="Times New Roman" w:eastAsia="宋体" w:hAnsi="Times New Roman" w:cs="Times New Roman"/>
                <w:color w:val="auto"/>
                <w:lang w:eastAsia="zh-CN"/>
              </w:rPr>
              <w:t>kW</w:t>
            </w:r>
            <w:r w:rsidRPr="00D20D13">
              <w:rPr>
                <w:rFonts w:ascii="Times New Roman" w:hAnsi="Times New Roman" w:cs="Times New Roman"/>
                <w:color w:val="auto"/>
                <w:lang w:eastAsia="zh-CN"/>
              </w:rPr>
              <w:t>）</w:t>
            </w:r>
          </w:p>
        </w:tc>
        <w:tc>
          <w:tcPr>
            <w:tcW w:w="711" w:type="pct"/>
            <w:gridSpan w:val="2"/>
            <w:tcBorders>
              <w:right w:val="single" w:sz="4" w:space="0" w:color="000000"/>
            </w:tcBorders>
            <w:vAlign w:val="center"/>
          </w:tcPr>
          <w:p w14:paraId="20357435" w14:textId="77777777" w:rsidR="00D20D13" w:rsidRPr="00D20D13" w:rsidRDefault="00D20D13" w:rsidP="00E72020">
            <w:pPr>
              <w:pStyle w:val="TableText"/>
              <w:adjustRightInd w:val="0"/>
              <w:snapToGrid w:val="0"/>
              <w:spacing w:after="0" w:line="240" w:lineRule="auto"/>
              <w:jc w:val="center"/>
              <w:rPr>
                <w:rFonts w:ascii="Times New Roman" w:hAnsi="Times New Roman" w:cs="Times New Roman"/>
                <w:color w:val="auto"/>
                <w:lang w:eastAsia="zh-CN"/>
              </w:rPr>
            </w:pPr>
            <w:r w:rsidRPr="00D20D13">
              <w:rPr>
                <w:rFonts w:ascii="Times New Roman" w:hAnsi="Times New Roman" w:cs="Times New Roman"/>
                <w:color w:val="auto"/>
                <w:lang w:eastAsia="zh-CN"/>
              </w:rPr>
              <w:t>数量</w:t>
            </w:r>
          </w:p>
        </w:tc>
      </w:tr>
      <w:tr w:rsidR="00D20D13" w:rsidRPr="00D20D13" w14:paraId="24AF5A5F" w14:textId="77777777" w:rsidTr="003C077B">
        <w:trPr>
          <w:trHeight w:val="340"/>
          <w:jc w:val="center"/>
        </w:trPr>
        <w:tc>
          <w:tcPr>
            <w:tcW w:w="427" w:type="pct"/>
            <w:vMerge/>
            <w:tcBorders>
              <w:top w:val="nil"/>
              <w:left w:val="single" w:sz="4" w:space="0" w:color="000000"/>
            </w:tcBorders>
            <w:vAlign w:val="center"/>
          </w:tcPr>
          <w:p w14:paraId="51963D55"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p>
        </w:tc>
        <w:tc>
          <w:tcPr>
            <w:tcW w:w="1416" w:type="pct"/>
            <w:vMerge/>
            <w:tcBorders>
              <w:top w:val="nil"/>
            </w:tcBorders>
            <w:vAlign w:val="center"/>
          </w:tcPr>
          <w:p w14:paraId="0BBBD3BA"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p>
        </w:tc>
        <w:tc>
          <w:tcPr>
            <w:tcW w:w="1823" w:type="pct"/>
            <w:vMerge/>
            <w:tcBorders>
              <w:top w:val="nil"/>
            </w:tcBorders>
            <w:vAlign w:val="center"/>
          </w:tcPr>
          <w:p w14:paraId="3FB644FC"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p>
        </w:tc>
        <w:tc>
          <w:tcPr>
            <w:tcW w:w="623" w:type="pct"/>
            <w:vMerge/>
            <w:tcBorders>
              <w:top w:val="nil"/>
            </w:tcBorders>
            <w:vAlign w:val="center"/>
          </w:tcPr>
          <w:p w14:paraId="4E815D26"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p>
        </w:tc>
        <w:tc>
          <w:tcPr>
            <w:tcW w:w="381" w:type="pct"/>
            <w:vAlign w:val="center"/>
          </w:tcPr>
          <w:p w14:paraId="53DF6055"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总</w:t>
            </w:r>
          </w:p>
        </w:tc>
        <w:tc>
          <w:tcPr>
            <w:tcW w:w="330" w:type="pct"/>
            <w:tcBorders>
              <w:right w:val="single" w:sz="4" w:space="0" w:color="000000"/>
            </w:tcBorders>
            <w:vAlign w:val="center"/>
          </w:tcPr>
          <w:p w14:paraId="3B7F7B70"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备</w:t>
            </w:r>
          </w:p>
        </w:tc>
      </w:tr>
      <w:tr w:rsidR="00D20D13" w:rsidRPr="00D20D13" w14:paraId="78D512C6" w14:textId="77777777" w:rsidTr="003C077B">
        <w:trPr>
          <w:trHeight w:val="340"/>
          <w:jc w:val="center"/>
        </w:trPr>
        <w:tc>
          <w:tcPr>
            <w:tcW w:w="427" w:type="pct"/>
            <w:tcBorders>
              <w:left w:val="single" w:sz="4" w:space="0" w:color="000000"/>
            </w:tcBorders>
            <w:vAlign w:val="center"/>
          </w:tcPr>
          <w:p w14:paraId="762AAA74"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1</w:t>
            </w:r>
          </w:p>
        </w:tc>
        <w:tc>
          <w:tcPr>
            <w:tcW w:w="1416" w:type="pct"/>
            <w:vAlign w:val="center"/>
          </w:tcPr>
          <w:p w14:paraId="5DDA09F7"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地磅</w:t>
            </w:r>
          </w:p>
        </w:tc>
        <w:tc>
          <w:tcPr>
            <w:tcW w:w="1823" w:type="pct"/>
            <w:vAlign w:val="center"/>
          </w:tcPr>
          <w:p w14:paraId="10BD433E" w14:textId="4357CCC4"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最大承重量</w:t>
            </w:r>
            <w:r w:rsidR="006A52CC" w:rsidRPr="00E72020">
              <w:rPr>
                <w:rFonts w:ascii="Times New Roman" w:eastAsia="宋体" w:hAnsi="Times New Roman" w:cs="Times New Roman" w:hint="eastAsia"/>
                <w:color w:val="auto"/>
                <w:lang w:eastAsia="zh-CN"/>
              </w:rPr>
              <w:t>：</w:t>
            </w:r>
            <w:r w:rsidRPr="00E72020">
              <w:rPr>
                <w:rFonts w:ascii="Times New Roman" w:eastAsia="宋体" w:hAnsi="Times New Roman" w:cs="Times New Roman"/>
                <w:color w:val="auto"/>
                <w:lang w:eastAsia="zh-CN"/>
              </w:rPr>
              <w:t>80t</w:t>
            </w:r>
          </w:p>
        </w:tc>
        <w:tc>
          <w:tcPr>
            <w:tcW w:w="623" w:type="pct"/>
            <w:vAlign w:val="center"/>
          </w:tcPr>
          <w:p w14:paraId="47C95453"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p>
        </w:tc>
        <w:tc>
          <w:tcPr>
            <w:tcW w:w="381" w:type="pct"/>
            <w:vAlign w:val="center"/>
          </w:tcPr>
          <w:p w14:paraId="11B4D3D7"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2</w:t>
            </w:r>
          </w:p>
        </w:tc>
        <w:tc>
          <w:tcPr>
            <w:tcW w:w="330" w:type="pct"/>
            <w:tcBorders>
              <w:right w:val="single" w:sz="4" w:space="0" w:color="000000"/>
            </w:tcBorders>
            <w:vAlign w:val="center"/>
          </w:tcPr>
          <w:p w14:paraId="612F90DB"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p>
        </w:tc>
      </w:tr>
      <w:tr w:rsidR="00D20D13" w:rsidRPr="00D20D13" w14:paraId="11E48C99" w14:textId="77777777" w:rsidTr="003C077B">
        <w:trPr>
          <w:trHeight w:val="340"/>
          <w:jc w:val="center"/>
        </w:trPr>
        <w:tc>
          <w:tcPr>
            <w:tcW w:w="427" w:type="pct"/>
            <w:tcBorders>
              <w:left w:val="single" w:sz="4" w:space="0" w:color="000000"/>
            </w:tcBorders>
            <w:vAlign w:val="center"/>
          </w:tcPr>
          <w:p w14:paraId="213E2161"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2</w:t>
            </w:r>
          </w:p>
        </w:tc>
        <w:tc>
          <w:tcPr>
            <w:tcW w:w="1416" w:type="pct"/>
            <w:vAlign w:val="center"/>
          </w:tcPr>
          <w:p w14:paraId="67934BFF"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垃圾卸料门</w:t>
            </w:r>
          </w:p>
        </w:tc>
        <w:tc>
          <w:tcPr>
            <w:tcW w:w="1823" w:type="pct"/>
            <w:vAlign w:val="center"/>
          </w:tcPr>
          <w:p w14:paraId="18D75399" w14:textId="21277289"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电动液压门</w:t>
            </w:r>
            <w:r w:rsidR="006A52CC" w:rsidRPr="00E72020">
              <w:rPr>
                <w:rFonts w:ascii="Times New Roman" w:eastAsia="宋体" w:hAnsi="Times New Roman" w:cs="Times New Roman" w:hint="eastAsia"/>
                <w:color w:val="auto"/>
                <w:lang w:eastAsia="zh-CN"/>
              </w:rPr>
              <w:t>，</w:t>
            </w:r>
            <w:r w:rsidRPr="00E72020">
              <w:rPr>
                <w:rFonts w:ascii="Times New Roman" w:eastAsia="宋体" w:hAnsi="Times New Roman" w:cs="Times New Roman"/>
                <w:color w:val="auto"/>
                <w:lang w:eastAsia="zh-CN"/>
              </w:rPr>
              <w:t>7500×3900mm</w:t>
            </w:r>
          </w:p>
        </w:tc>
        <w:tc>
          <w:tcPr>
            <w:tcW w:w="623" w:type="pct"/>
            <w:vAlign w:val="center"/>
          </w:tcPr>
          <w:p w14:paraId="17AEE5E2"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p>
        </w:tc>
        <w:tc>
          <w:tcPr>
            <w:tcW w:w="381" w:type="pct"/>
            <w:vAlign w:val="center"/>
          </w:tcPr>
          <w:p w14:paraId="2BB5C5A7"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4</w:t>
            </w:r>
          </w:p>
        </w:tc>
        <w:tc>
          <w:tcPr>
            <w:tcW w:w="330" w:type="pct"/>
            <w:tcBorders>
              <w:right w:val="single" w:sz="4" w:space="0" w:color="000000"/>
            </w:tcBorders>
            <w:vAlign w:val="center"/>
          </w:tcPr>
          <w:p w14:paraId="776C5422"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p>
        </w:tc>
      </w:tr>
      <w:tr w:rsidR="00D20D13" w:rsidRPr="00D20D13" w14:paraId="09BC0803" w14:textId="77777777" w:rsidTr="003C077B">
        <w:trPr>
          <w:trHeight w:val="340"/>
          <w:jc w:val="center"/>
        </w:trPr>
        <w:tc>
          <w:tcPr>
            <w:tcW w:w="427" w:type="pct"/>
            <w:tcBorders>
              <w:left w:val="single" w:sz="4" w:space="0" w:color="000000"/>
            </w:tcBorders>
            <w:vAlign w:val="center"/>
          </w:tcPr>
          <w:p w14:paraId="07F280F5"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3</w:t>
            </w:r>
          </w:p>
        </w:tc>
        <w:tc>
          <w:tcPr>
            <w:tcW w:w="1416" w:type="pct"/>
            <w:vAlign w:val="center"/>
          </w:tcPr>
          <w:p w14:paraId="7D49F365"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液压系统</w:t>
            </w:r>
          </w:p>
        </w:tc>
        <w:tc>
          <w:tcPr>
            <w:tcW w:w="1823" w:type="pct"/>
            <w:vAlign w:val="center"/>
          </w:tcPr>
          <w:p w14:paraId="627AAF83" w14:textId="0161B762"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液压站（两台液压泵）电压</w:t>
            </w:r>
            <w:r w:rsidR="006A52CC" w:rsidRPr="00E72020">
              <w:rPr>
                <w:rFonts w:ascii="Times New Roman" w:eastAsia="宋体" w:hAnsi="Times New Roman" w:cs="Times New Roman" w:hint="eastAsia"/>
                <w:color w:val="auto"/>
                <w:lang w:eastAsia="zh-CN"/>
              </w:rPr>
              <w:t>：</w:t>
            </w:r>
            <w:r w:rsidRPr="00E72020">
              <w:rPr>
                <w:rFonts w:ascii="Times New Roman" w:eastAsia="宋体" w:hAnsi="Times New Roman" w:cs="Times New Roman"/>
                <w:color w:val="auto"/>
                <w:lang w:eastAsia="zh-CN"/>
              </w:rPr>
              <w:t>380V</w:t>
            </w:r>
            <w:r w:rsidRPr="00E72020">
              <w:rPr>
                <w:rFonts w:ascii="Times New Roman" w:eastAsia="宋体" w:hAnsi="Times New Roman" w:cs="Times New Roman"/>
                <w:color w:val="auto"/>
                <w:lang w:eastAsia="zh-CN"/>
              </w:rPr>
              <w:t>，</w:t>
            </w:r>
            <w:r w:rsidRPr="00E72020">
              <w:rPr>
                <w:rFonts w:ascii="Times New Roman" w:eastAsia="宋体" w:hAnsi="Times New Roman" w:cs="Times New Roman"/>
                <w:color w:val="auto"/>
                <w:lang w:eastAsia="zh-CN"/>
              </w:rPr>
              <w:t>50Hz</w:t>
            </w:r>
          </w:p>
        </w:tc>
        <w:tc>
          <w:tcPr>
            <w:tcW w:w="623" w:type="pct"/>
            <w:vAlign w:val="center"/>
          </w:tcPr>
          <w:p w14:paraId="17AC1001"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7.5</w:t>
            </w:r>
          </w:p>
        </w:tc>
        <w:tc>
          <w:tcPr>
            <w:tcW w:w="381" w:type="pct"/>
            <w:vAlign w:val="center"/>
          </w:tcPr>
          <w:p w14:paraId="3EEEC0EB"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2</w:t>
            </w:r>
          </w:p>
        </w:tc>
        <w:tc>
          <w:tcPr>
            <w:tcW w:w="330" w:type="pct"/>
            <w:tcBorders>
              <w:right w:val="single" w:sz="4" w:space="0" w:color="000000"/>
            </w:tcBorders>
            <w:vAlign w:val="center"/>
          </w:tcPr>
          <w:p w14:paraId="686BC6F1"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1</w:t>
            </w:r>
          </w:p>
        </w:tc>
      </w:tr>
      <w:tr w:rsidR="00D20D13" w:rsidRPr="00D20D13" w14:paraId="4E6DED15" w14:textId="77777777" w:rsidTr="003C077B">
        <w:trPr>
          <w:trHeight w:val="340"/>
          <w:jc w:val="center"/>
        </w:trPr>
        <w:tc>
          <w:tcPr>
            <w:tcW w:w="427" w:type="pct"/>
            <w:tcBorders>
              <w:left w:val="single" w:sz="4" w:space="0" w:color="000000"/>
            </w:tcBorders>
            <w:vAlign w:val="center"/>
          </w:tcPr>
          <w:p w14:paraId="0D8C0341"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4</w:t>
            </w:r>
          </w:p>
        </w:tc>
        <w:tc>
          <w:tcPr>
            <w:tcW w:w="1416" w:type="pct"/>
            <w:vAlign w:val="center"/>
          </w:tcPr>
          <w:p w14:paraId="4F6595E0"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垃圾吊车</w:t>
            </w:r>
          </w:p>
        </w:tc>
        <w:tc>
          <w:tcPr>
            <w:tcW w:w="1823" w:type="pct"/>
            <w:vAlign w:val="center"/>
          </w:tcPr>
          <w:p w14:paraId="0733943C" w14:textId="2FBC8FB1"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双梁桥式，起重量</w:t>
            </w:r>
            <w:r w:rsidRPr="00E72020">
              <w:rPr>
                <w:rFonts w:ascii="Times New Roman" w:eastAsia="宋体" w:hAnsi="Times New Roman" w:cs="Times New Roman"/>
                <w:color w:val="auto"/>
                <w:lang w:eastAsia="zh-CN"/>
              </w:rPr>
              <w:t>16t</w:t>
            </w:r>
          </w:p>
        </w:tc>
        <w:tc>
          <w:tcPr>
            <w:tcW w:w="623" w:type="pct"/>
            <w:vAlign w:val="center"/>
          </w:tcPr>
          <w:p w14:paraId="60CA7DD0"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210</w:t>
            </w:r>
          </w:p>
        </w:tc>
        <w:tc>
          <w:tcPr>
            <w:tcW w:w="381" w:type="pct"/>
            <w:vAlign w:val="center"/>
          </w:tcPr>
          <w:p w14:paraId="5349815C"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2</w:t>
            </w:r>
          </w:p>
        </w:tc>
        <w:tc>
          <w:tcPr>
            <w:tcW w:w="330" w:type="pct"/>
            <w:tcBorders>
              <w:right w:val="single" w:sz="4" w:space="0" w:color="000000"/>
            </w:tcBorders>
            <w:vAlign w:val="center"/>
          </w:tcPr>
          <w:p w14:paraId="45F4765F"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p>
        </w:tc>
      </w:tr>
      <w:tr w:rsidR="00D20D13" w:rsidRPr="00D20D13" w14:paraId="5D6C793F" w14:textId="77777777" w:rsidTr="003C077B">
        <w:trPr>
          <w:trHeight w:val="340"/>
          <w:jc w:val="center"/>
        </w:trPr>
        <w:tc>
          <w:tcPr>
            <w:tcW w:w="427" w:type="pct"/>
            <w:tcBorders>
              <w:left w:val="single" w:sz="4" w:space="0" w:color="000000"/>
            </w:tcBorders>
            <w:vAlign w:val="center"/>
          </w:tcPr>
          <w:p w14:paraId="6A2D1EE9"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5</w:t>
            </w:r>
          </w:p>
        </w:tc>
        <w:tc>
          <w:tcPr>
            <w:tcW w:w="1416" w:type="pct"/>
            <w:vAlign w:val="center"/>
          </w:tcPr>
          <w:p w14:paraId="6007BA24"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垃圾抓斗</w:t>
            </w:r>
          </w:p>
        </w:tc>
        <w:tc>
          <w:tcPr>
            <w:tcW w:w="1823" w:type="pct"/>
            <w:vAlign w:val="center"/>
          </w:tcPr>
          <w:p w14:paraId="237CEDB1" w14:textId="14A3B6D3"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容积</w:t>
            </w:r>
            <w:r w:rsidR="006A52CC" w:rsidRPr="00E72020">
              <w:rPr>
                <w:rFonts w:ascii="Times New Roman" w:eastAsia="宋体" w:hAnsi="Times New Roman" w:cs="Times New Roman"/>
                <w:color w:val="auto"/>
                <w:lang w:eastAsia="zh-CN"/>
              </w:rPr>
              <w:t>：</w:t>
            </w:r>
            <w:r w:rsidRPr="00E72020">
              <w:rPr>
                <w:rFonts w:ascii="Times New Roman" w:eastAsia="宋体" w:hAnsi="Times New Roman" w:cs="Times New Roman"/>
                <w:color w:val="auto"/>
                <w:lang w:eastAsia="zh-CN"/>
              </w:rPr>
              <w:t>10.0m³</w:t>
            </w:r>
          </w:p>
        </w:tc>
        <w:tc>
          <w:tcPr>
            <w:tcW w:w="623" w:type="pct"/>
            <w:vAlign w:val="center"/>
          </w:tcPr>
          <w:p w14:paraId="0AB76763"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37</w:t>
            </w:r>
          </w:p>
        </w:tc>
        <w:tc>
          <w:tcPr>
            <w:tcW w:w="381" w:type="pct"/>
            <w:vAlign w:val="center"/>
          </w:tcPr>
          <w:p w14:paraId="3905EA67"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3</w:t>
            </w:r>
          </w:p>
        </w:tc>
        <w:tc>
          <w:tcPr>
            <w:tcW w:w="330" w:type="pct"/>
            <w:tcBorders>
              <w:right w:val="single" w:sz="4" w:space="0" w:color="000000"/>
            </w:tcBorders>
            <w:vAlign w:val="center"/>
          </w:tcPr>
          <w:p w14:paraId="32FE360E"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1</w:t>
            </w:r>
          </w:p>
        </w:tc>
      </w:tr>
      <w:tr w:rsidR="00D20D13" w:rsidRPr="00D20D13" w14:paraId="36FE2A0A" w14:textId="77777777" w:rsidTr="003C077B">
        <w:trPr>
          <w:trHeight w:val="340"/>
          <w:jc w:val="center"/>
        </w:trPr>
        <w:tc>
          <w:tcPr>
            <w:tcW w:w="427" w:type="pct"/>
            <w:tcBorders>
              <w:left w:val="single" w:sz="4" w:space="0" w:color="000000"/>
            </w:tcBorders>
            <w:vAlign w:val="center"/>
          </w:tcPr>
          <w:p w14:paraId="25744EA3"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6</w:t>
            </w:r>
          </w:p>
        </w:tc>
        <w:tc>
          <w:tcPr>
            <w:tcW w:w="1416" w:type="pct"/>
            <w:vAlign w:val="center"/>
          </w:tcPr>
          <w:p w14:paraId="79F99A81"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垃圾吊检修电动葫芦</w:t>
            </w:r>
          </w:p>
        </w:tc>
        <w:tc>
          <w:tcPr>
            <w:tcW w:w="1823" w:type="pct"/>
            <w:vAlign w:val="center"/>
          </w:tcPr>
          <w:p w14:paraId="77A93827" w14:textId="6C2AFD8B"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起重量</w:t>
            </w:r>
            <w:r w:rsidR="006A52CC" w:rsidRPr="00E72020">
              <w:rPr>
                <w:rFonts w:ascii="Times New Roman" w:eastAsia="宋体" w:hAnsi="Times New Roman" w:cs="Times New Roman"/>
                <w:color w:val="auto"/>
                <w:lang w:eastAsia="zh-CN"/>
              </w:rPr>
              <w:t>：</w:t>
            </w:r>
            <w:r w:rsidRPr="00E72020">
              <w:rPr>
                <w:rFonts w:ascii="Times New Roman" w:eastAsia="宋体" w:hAnsi="Times New Roman" w:cs="Times New Roman"/>
                <w:color w:val="auto"/>
                <w:lang w:eastAsia="zh-CN"/>
              </w:rPr>
              <w:t>5t</w:t>
            </w:r>
          </w:p>
        </w:tc>
        <w:tc>
          <w:tcPr>
            <w:tcW w:w="623" w:type="pct"/>
            <w:vAlign w:val="center"/>
          </w:tcPr>
          <w:p w14:paraId="31DC2296"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7.5</w:t>
            </w:r>
          </w:p>
        </w:tc>
        <w:tc>
          <w:tcPr>
            <w:tcW w:w="381" w:type="pct"/>
            <w:vAlign w:val="center"/>
          </w:tcPr>
          <w:p w14:paraId="6527960D"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1</w:t>
            </w:r>
          </w:p>
        </w:tc>
        <w:tc>
          <w:tcPr>
            <w:tcW w:w="330" w:type="pct"/>
            <w:tcBorders>
              <w:right w:val="single" w:sz="4" w:space="0" w:color="000000"/>
            </w:tcBorders>
            <w:vAlign w:val="center"/>
          </w:tcPr>
          <w:p w14:paraId="3AB46E74"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p>
        </w:tc>
      </w:tr>
      <w:tr w:rsidR="00D20D13" w:rsidRPr="00D20D13" w14:paraId="6A392225" w14:textId="77777777" w:rsidTr="003C077B">
        <w:trPr>
          <w:trHeight w:val="340"/>
          <w:jc w:val="center"/>
        </w:trPr>
        <w:tc>
          <w:tcPr>
            <w:tcW w:w="427" w:type="pct"/>
            <w:tcBorders>
              <w:left w:val="single" w:sz="4" w:space="0" w:color="000000"/>
            </w:tcBorders>
            <w:vAlign w:val="center"/>
          </w:tcPr>
          <w:p w14:paraId="4F9F8990"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7</w:t>
            </w:r>
          </w:p>
        </w:tc>
        <w:tc>
          <w:tcPr>
            <w:tcW w:w="1416" w:type="pct"/>
            <w:vAlign w:val="center"/>
          </w:tcPr>
          <w:p w14:paraId="366D418A"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垃圾收集池提升泵</w:t>
            </w:r>
          </w:p>
        </w:tc>
        <w:tc>
          <w:tcPr>
            <w:tcW w:w="1823" w:type="pct"/>
            <w:vAlign w:val="center"/>
          </w:tcPr>
          <w:p w14:paraId="18781803" w14:textId="5C76D83E"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Q=35t/h</w:t>
            </w:r>
            <w:r w:rsidRPr="00E72020">
              <w:rPr>
                <w:rFonts w:ascii="Times New Roman" w:eastAsia="宋体" w:hAnsi="Times New Roman" w:cs="Times New Roman"/>
                <w:color w:val="auto"/>
                <w:lang w:eastAsia="zh-CN"/>
              </w:rPr>
              <w:t>，</w:t>
            </w:r>
            <w:r w:rsidRPr="00E72020">
              <w:rPr>
                <w:rFonts w:ascii="Times New Roman" w:eastAsia="宋体" w:hAnsi="Times New Roman" w:cs="Times New Roman"/>
                <w:color w:val="auto"/>
                <w:lang w:eastAsia="zh-CN"/>
              </w:rPr>
              <w:t>H=50m</w:t>
            </w:r>
            <w:r w:rsidRPr="00E72020">
              <w:rPr>
                <w:rFonts w:ascii="Times New Roman" w:eastAsia="宋体" w:hAnsi="Times New Roman" w:cs="Times New Roman"/>
                <w:color w:val="auto"/>
                <w:lang w:eastAsia="zh-CN"/>
              </w:rPr>
              <w:t>；</w:t>
            </w:r>
          </w:p>
        </w:tc>
        <w:tc>
          <w:tcPr>
            <w:tcW w:w="623" w:type="pct"/>
            <w:vAlign w:val="center"/>
          </w:tcPr>
          <w:p w14:paraId="523DEC80"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7.5</w:t>
            </w:r>
          </w:p>
        </w:tc>
        <w:tc>
          <w:tcPr>
            <w:tcW w:w="381" w:type="pct"/>
            <w:vAlign w:val="center"/>
          </w:tcPr>
          <w:p w14:paraId="2CA6DA4B"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2</w:t>
            </w:r>
          </w:p>
        </w:tc>
        <w:tc>
          <w:tcPr>
            <w:tcW w:w="330" w:type="pct"/>
            <w:tcBorders>
              <w:right w:val="single" w:sz="4" w:space="0" w:color="000000"/>
            </w:tcBorders>
            <w:vAlign w:val="center"/>
          </w:tcPr>
          <w:p w14:paraId="18114963"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1</w:t>
            </w:r>
          </w:p>
        </w:tc>
      </w:tr>
      <w:tr w:rsidR="00D20D13" w:rsidRPr="00D20D13" w14:paraId="1AADE274" w14:textId="77777777" w:rsidTr="003C077B">
        <w:trPr>
          <w:trHeight w:val="340"/>
          <w:jc w:val="center"/>
        </w:trPr>
        <w:tc>
          <w:tcPr>
            <w:tcW w:w="427" w:type="pct"/>
            <w:tcBorders>
              <w:left w:val="single" w:sz="4" w:space="0" w:color="000000"/>
            </w:tcBorders>
            <w:vAlign w:val="center"/>
          </w:tcPr>
          <w:p w14:paraId="2CDFD4B6"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8</w:t>
            </w:r>
          </w:p>
        </w:tc>
        <w:tc>
          <w:tcPr>
            <w:tcW w:w="1416" w:type="pct"/>
            <w:vAlign w:val="center"/>
          </w:tcPr>
          <w:p w14:paraId="21F019D8"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提升泵检修手动葫芦</w:t>
            </w:r>
          </w:p>
        </w:tc>
        <w:tc>
          <w:tcPr>
            <w:tcW w:w="1823" w:type="pct"/>
            <w:vAlign w:val="center"/>
          </w:tcPr>
          <w:p w14:paraId="131C3123" w14:textId="6742C6EA"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起重量</w:t>
            </w:r>
            <w:r w:rsidR="006A52CC" w:rsidRPr="00E72020">
              <w:rPr>
                <w:rFonts w:ascii="Times New Roman" w:eastAsia="宋体" w:hAnsi="Times New Roman" w:cs="Times New Roman"/>
                <w:color w:val="auto"/>
                <w:lang w:eastAsia="zh-CN"/>
              </w:rPr>
              <w:t>：</w:t>
            </w:r>
            <w:r w:rsidRPr="00E72020">
              <w:rPr>
                <w:rFonts w:ascii="Times New Roman" w:eastAsia="宋体" w:hAnsi="Times New Roman" w:cs="Times New Roman"/>
                <w:color w:val="auto"/>
                <w:lang w:eastAsia="zh-CN"/>
              </w:rPr>
              <w:t>1t</w:t>
            </w:r>
          </w:p>
        </w:tc>
        <w:tc>
          <w:tcPr>
            <w:tcW w:w="623" w:type="pct"/>
            <w:vAlign w:val="center"/>
          </w:tcPr>
          <w:p w14:paraId="3B95D200"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p>
        </w:tc>
        <w:tc>
          <w:tcPr>
            <w:tcW w:w="381" w:type="pct"/>
            <w:vAlign w:val="center"/>
          </w:tcPr>
          <w:p w14:paraId="7DA60C02"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1</w:t>
            </w:r>
          </w:p>
        </w:tc>
        <w:tc>
          <w:tcPr>
            <w:tcW w:w="330" w:type="pct"/>
            <w:tcBorders>
              <w:right w:val="single" w:sz="4" w:space="0" w:color="000000"/>
            </w:tcBorders>
            <w:vAlign w:val="center"/>
          </w:tcPr>
          <w:p w14:paraId="6627A9E7"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p>
        </w:tc>
      </w:tr>
      <w:tr w:rsidR="00D20D13" w:rsidRPr="00D20D13" w14:paraId="6D003D37" w14:textId="77777777" w:rsidTr="003C077B">
        <w:trPr>
          <w:trHeight w:val="340"/>
          <w:jc w:val="center"/>
        </w:trPr>
        <w:tc>
          <w:tcPr>
            <w:tcW w:w="427" w:type="pct"/>
            <w:tcBorders>
              <w:left w:val="single" w:sz="4" w:space="0" w:color="000000"/>
            </w:tcBorders>
            <w:vAlign w:val="center"/>
          </w:tcPr>
          <w:p w14:paraId="1BD54652"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9</w:t>
            </w:r>
          </w:p>
        </w:tc>
        <w:tc>
          <w:tcPr>
            <w:tcW w:w="1416" w:type="pct"/>
            <w:vAlign w:val="center"/>
          </w:tcPr>
          <w:p w14:paraId="5FF78AE2"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焚烧炉</w:t>
            </w:r>
          </w:p>
        </w:tc>
        <w:tc>
          <w:tcPr>
            <w:tcW w:w="1823" w:type="pct"/>
            <w:vAlign w:val="center"/>
          </w:tcPr>
          <w:p w14:paraId="3697EACD"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p>
        </w:tc>
        <w:tc>
          <w:tcPr>
            <w:tcW w:w="623" w:type="pct"/>
            <w:vAlign w:val="center"/>
          </w:tcPr>
          <w:p w14:paraId="7D17871F"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90</w:t>
            </w:r>
          </w:p>
        </w:tc>
        <w:tc>
          <w:tcPr>
            <w:tcW w:w="381" w:type="pct"/>
            <w:vAlign w:val="center"/>
          </w:tcPr>
          <w:p w14:paraId="0AA7A980"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3</w:t>
            </w:r>
          </w:p>
        </w:tc>
        <w:tc>
          <w:tcPr>
            <w:tcW w:w="330" w:type="pct"/>
            <w:tcBorders>
              <w:right w:val="single" w:sz="4" w:space="0" w:color="000000"/>
            </w:tcBorders>
            <w:vAlign w:val="center"/>
          </w:tcPr>
          <w:p w14:paraId="5D1E4314"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p>
        </w:tc>
      </w:tr>
      <w:tr w:rsidR="00D20D13" w:rsidRPr="00D20D13" w14:paraId="5269ED25" w14:textId="77777777" w:rsidTr="003C077B">
        <w:trPr>
          <w:trHeight w:val="340"/>
          <w:jc w:val="center"/>
        </w:trPr>
        <w:tc>
          <w:tcPr>
            <w:tcW w:w="427" w:type="pct"/>
            <w:tcBorders>
              <w:left w:val="single" w:sz="4" w:space="0" w:color="000000"/>
            </w:tcBorders>
            <w:vAlign w:val="center"/>
          </w:tcPr>
          <w:p w14:paraId="3D3956D9"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10</w:t>
            </w:r>
          </w:p>
        </w:tc>
        <w:tc>
          <w:tcPr>
            <w:tcW w:w="1416" w:type="pct"/>
            <w:vAlign w:val="center"/>
          </w:tcPr>
          <w:p w14:paraId="5BC5A403"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耐火材料</w:t>
            </w:r>
          </w:p>
        </w:tc>
        <w:tc>
          <w:tcPr>
            <w:tcW w:w="1823" w:type="pct"/>
            <w:vAlign w:val="center"/>
          </w:tcPr>
          <w:p w14:paraId="4831F77B"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p>
        </w:tc>
        <w:tc>
          <w:tcPr>
            <w:tcW w:w="623" w:type="pct"/>
            <w:vAlign w:val="center"/>
          </w:tcPr>
          <w:p w14:paraId="3FF01535"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p>
        </w:tc>
        <w:tc>
          <w:tcPr>
            <w:tcW w:w="381" w:type="pct"/>
            <w:vAlign w:val="center"/>
          </w:tcPr>
          <w:p w14:paraId="786A5ED4"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3</w:t>
            </w:r>
          </w:p>
        </w:tc>
        <w:tc>
          <w:tcPr>
            <w:tcW w:w="330" w:type="pct"/>
            <w:tcBorders>
              <w:right w:val="single" w:sz="4" w:space="0" w:color="000000"/>
            </w:tcBorders>
            <w:vAlign w:val="center"/>
          </w:tcPr>
          <w:p w14:paraId="23C4DD49"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p>
        </w:tc>
      </w:tr>
      <w:tr w:rsidR="00D20D13" w:rsidRPr="00D20D13" w14:paraId="3962A92C" w14:textId="77777777" w:rsidTr="003C077B">
        <w:trPr>
          <w:trHeight w:val="340"/>
          <w:jc w:val="center"/>
        </w:trPr>
        <w:tc>
          <w:tcPr>
            <w:tcW w:w="427" w:type="pct"/>
            <w:tcBorders>
              <w:left w:val="single" w:sz="4" w:space="0" w:color="000000"/>
            </w:tcBorders>
            <w:vAlign w:val="center"/>
          </w:tcPr>
          <w:p w14:paraId="44BB840D"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11</w:t>
            </w:r>
          </w:p>
        </w:tc>
        <w:tc>
          <w:tcPr>
            <w:tcW w:w="1416" w:type="pct"/>
            <w:vAlign w:val="center"/>
          </w:tcPr>
          <w:p w14:paraId="68C5B7DE"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炉顶电动葫芦</w:t>
            </w:r>
          </w:p>
        </w:tc>
        <w:tc>
          <w:tcPr>
            <w:tcW w:w="1823" w:type="pct"/>
            <w:vAlign w:val="center"/>
          </w:tcPr>
          <w:p w14:paraId="042BB4FD"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p>
        </w:tc>
        <w:tc>
          <w:tcPr>
            <w:tcW w:w="623" w:type="pct"/>
            <w:vAlign w:val="center"/>
          </w:tcPr>
          <w:p w14:paraId="1BCB129F"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p>
        </w:tc>
        <w:tc>
          <w:tcPr>
            <w:tcW w:w="381" w:type="pct"/>
            <w:vAlign w:val="center"/>
          </w:tcPr>
          <w:p w14:paraId="589626E4"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4</w:t>
            </w:r>
          </w:p>
        </w:tc>
        <w:tc>
          <w:tcPr>
            <w:tcW w:w="330" w:type="pct"/>
            <w:tcBorders>
              <w:right w:val="single" w:sz="4" w:space="0" w:color="000000"/>
            </w:tcBorders>
            <w:vAlign w:val="center"/>
          </w:tcPr>
          <w:p w14:paraId="135EDD76"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1</w:t>
            </w:r>
          </w:p>
        </w:tc>
      </w:tr>
      <w:tr w:rsidR="00D20D13" w:rsidRPr="00D20D13" w14:paraId="4521CCDB" w14:textId="77777777" w:rsidTr="003C077B">
        <w:trPr>
          <w:trHeight w:val="340"/>
          <w:jc w:val="center"/>
        </w:trPr>
        <w:tc>
          <w:tcPr>
            <w:tcW w:w="427" w:type="pct"/>
            <w:tcBorders>
              <w:left w:val="single" w:sz="4" w:space="0" w:color="000000"/>
            </w:tcBorders>
            <w:vAlign w:val="center"/>
          </w:tcPr>
          <w:p w14:paraId="1900C465"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12</w:t>
            </w:r>
          </w:p>
        </w:tc>
        <w:tc>
          <w:tcPr>
            <w:tcW w:w="1416" w:type="pct"/>
            <w:vAlign w:val="center"/>
          </w:tcPr>
          <w:p w14:paraId="4D7B0E23"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蒸汽</w:t>
            </w:r>
            <w:r w:rsidRPr="00E72020">
              <w:rPr>
                <w:rFonts w:ascii="Times New Roman" w:eastAsia="宋体" w:hAnsi="Times New Roman" w:cs="Times New Roman"/>
                <w:color w:val="auto"/>
                <w:lang w:eastAsia="zh-CN"/>
              </w:rPr>
              <w:t>-</w:t>
            </w:r>
            <w:r w:rsidRPr="00E72020">
              <w:rPr>
                <w:rFonts w:ascii="Times New Roman" w:eastAsia="宋体" w:hAnsi="Times New Roman" w:cs="Times New Roman"/>
                <w:color w:val="auto"/>
                <w:lang w:eastAsia="zh-CN"/>
              </w:rPr>
              <w:t>空气预热器</w:t>
            </w:r>
          </w:p>
        </w:tc>
        <w:tc>
          <w:tcPr>
            <w:tcW w:w="1823" w:type="pct"/>
            <w:vAlign w:val="center"/>
          </w:tcPr>
          <w:p w14:paraId="04DA3E71"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p>
        </w:tc>
        <w:tc>
          <w:tcPr>
            <w:tcW w:w="623" w:type="pct"/>
            <w:vAlign w:val="center"/>
          </w:tcPr>
          <w:p w14:paraId="439A33D7"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p>
        </w:tc>
        <w:tc>
          <w:tcPr>
            <w:tcW w:w="381" w:type="pct"/>
            <w:vAlign w:val="center"/>
          </w:tcPr>
          <w:p w14:paraId="0DC3A131"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3</w:t>
            </w:r>
          </w:p>
        </w:tc>
        <w:tc>
          <w:tcPr>
            <w:tcW w:w="330" w:type="pct"/>
            <w:tcBorders>
              <w:right w:val="single" w:sz="4" w:space="0" w:color="000000"/>
            </w:tcBorders>
            <w:vAlign w:val="center"/>
          </w:tcPr>
          <w:p w14:paraId="250B7F5D"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p>
        </w:tc>
      </w:tr>
      <w:tr w:rsidR="00D20D13" w:rsidRPr="00D20D13" w14:paraId="51CAFAC5" w14:textId="77777777" w:rsidTr="003C077B">
        <w:trPr>
          <w:trHeight w:val="340"/>
          <w:jc w:val="center"/>
        </w:trPr>
        <w:tc>
          <w:tcPr>
            <w:tcW w:w="427" w:type="pct"/>
            <w:tcBorders>
              <w:left w:val="single" w:sz="4" w:space="0" w:color="000000"/>
            </w:tcBorders>
            <w:vAlign w:val="center"/>
          </w:tcPr>
          <w:p w14:paraId="3CBCBEA2"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13</w:t>
            </w:r>
          </w:p>
        </w:tc>
        <w:tc>
          <w:tcPr>
            <w:tcW w:w="1416" w:type="pct"/>
            <w:vAlign w:val="center"/>
          </w:tcPr>
          <w:p w14:paraId="422F04C1" w14:textId="1CC4D444"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点火燃烧器（含风机）</w:t>
            </w:r>
          </w:p>
        </w:tc>
        <w:tc>
          <w:tcPr>
            <w:tcW w:w="1823" w:type="pct"/>
            <w:vAlign w:val="center"/>
          </w:tcPr>
          <w:p w14:paraId="20D628DF"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p>
        </w:tc>
        <w:tc>
          <w:tcPr>
            <w:tcW w:w="623" w:type="pct"/>
            <w:vAlign w:val="center"/>
          </w:tcPr>
          <w:p w14:paraId="52EAB4CC"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37</w:t>
            </w:r>
          </w:p>
        </w:tc>
        <w:tc>
          <w:tcPr>
            <w:tcW w:w="381" w:type="pct"/>
            <w:vAlign w:val="center"/>
          </w:tcPr>
          <w:p w14:paraId="1126E262"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6</w:t>
            </w:r>
          </w:p>
        </w:tc>
        <w:tc>
          <w:tcPr>
            <w:tcW w:w="330" w:type="pct"/>
            <w:tcBorders>
              <w:right w:val="single" w:sz="4" w:space="0" w:color="000000"/>
            </w:tcBorders>
            <w:vAlign w:val="center"/>
          </w:tcPr>
          <w:p w14:paraId="1BC78F23"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p>
        </w:tc>
      </w:tr>
      <w:tr w:rsidR="00D20D13" w:rsidRPr="00D20D13" w14:paraId="5DF808EC" w14:textId="77777777" w:rsidTr="003C077B">
        <w:trPr>
          <w:trHeight w:val="340"/>
          <w:jc w:val="center"/>
        </w:trPr>
        <w:tc>
          <w:tcPr>
            <w:tcW w:w="427" w:type="pct"/>
            <w:tcBorders>
              <w:left w:val="single" w:sz="4" w:space="0" w:color="000000"/>
            </w:tcBorders>
            <w:vAlign w:val="center"/>
          </w:tcPr>
          <w:p w14:paraId="73033539"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14</w:t>
            </w:r>
          </w:p>
        </w:tc>
        <w:tc>
          <w:tcPr>
            <w:tcW w:w="1416" w:type="pct"/>
            <w:vAlign w:val="center"/>
          </w:tcPr>
          <w:p w14:paraId="5B6F3807" w14:textId="460FE7E1"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辅助燃烧器（含风机）</w:t>
            </w:r>
          </w:p>
        </w:tc>
        <w:tc>
          <w:tcPr>
            <w:tcW w:w="1823" w:type="pct"/>
            <w:vAlign w:val="center"/>
          </w:tcPr>
          <w:p w14:paraId="54C54CD8"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p>
        </w:tc>
        <w:tc>
          <w:tcPr>
            <w:tcW w:w="623" w:type="pct"/>
            <w:vAlign w:val="center"/>
          </w:tcPr>
          <w:p w14:paraId="3021CE51"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37</w:t>
            </w:r>
          </w:p>
        </w:tc>
        <w:tc>
          <w:tcPr>
            <w:tcW w:w="381" w:type="pct"/>
            <w:vAlign w:val="center"/>
          </w:tcPr>
          <w:p w14:paraId="1BF4B6B8"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6</w:t>
            </w:r>
          </w:p>
        </w:tc>
        <w:tc>
          <w:tcPr>
            <w:tcW w:w="330" w:type="pct"/>
            <w:tcBorders>
              <w:right w:val="single" w:sz="4" w:space="0" w:color="000000"/>
            </w:tcBorders>
            <w:vAlign w:val="center"/>
          </w:tcPr>
          <w:p w14:paraId="16127AA7"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p>
        </w:tc>
      </w:tr>
      <w:tr w:rsidR="00D20D13" w:rsidRPr="00D20D13" w14:paraId="1E1F09F8" w14:textId="77777777" w:rsidTr="003C077B">
        <w:trPr>
          <w:trHeight w:val="340"/>
          <w:jc w:val="center"/>
        </w:trPr>
        <w:tc>
          <w:tcPr>
            <w:tcW w:w="427" w:type="pct"/>
            <w:tcBorders>
              <w:left w:val="single" w:sz="4" w:space="0" w:color="000000"/>
            </w:tcBorders>
            <w:vAlign w:val="center"/>
          </w:tcPr>
          <w:p w14:paraId="0F7B1EAD"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15</w:t>
            </w:r>
          </w:p>
        </w:tc>
        <w:tc>
          <w:tcPr>
            <w:tcW w:w="1416" w:type="pct"/>
            <w:vAlign w:val="center"/>
          </w:tcPr>
          <w:p w14:paraId="01549DA1"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吹灰器</w:t>
            </w:r>
          </w:p>
        </w:tc>
        <w:tc>
          <w:tcPr>
            <w:tcW w:w="1823" w:type="pct"/>
            <w:vAlign w:val="center"/>
          </w:tcPr>
          <w:p w14:paraId="262FE79B"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p>
        </w:tc>
        <w:tc>
          <w:tcPr>
            <w:tcW w:w="623" w:type="pct"/>
            <w:vAlign w:val="center"/>
          </w:tcPr>
          <w:p w14:paraId="16D4EF0B"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p>
        </w:tc>
        <w:tc>
          <w:tcPr>
            <w:tcW w:w="381" w:type="pct"/>
            <w:vAlign w:val="center"/>
          </w:tcPr>
          <w:p w14:paraId="01E32DCA"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3</w:t>
            </w:r>
          </w:p>
        </w:tc>
        <w:tc>
          <w:tcPr>
            <w:tcW w:w="330" w:type="pct"/>
            <w:tcBorders>
              <w:right w:val="single" w:sz="4" w:space="0" w:color="000000"/>
            </w:tcBorders>
            <w:vAlign w:val="center"/>
          </w:tcPr>
          <w:p w14:paraId="03603D5F"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p>
        </w:tc>
      </w:tr>
      <w:tr w:rsidR="00D20D13" w:rsidRPr="00D20D13" w14:paraId="5878FDD7" w14:textId="77777777" w:rsidTr="003C077B">
        <w:trPr>
          <w:trHeight w:val="340"/>
          <w:jc w:val="center"/>
        </w:trPr>
        <w:tc>
          <w:tcPr>
            <w:tcW w:w="427" w:type="pct"/>
            <w:tcBorders>
              <w:left w:val="single" w:sz="4" w:space="0" w:color="000000"/>
            </w:tcBorders>
            <w:vAlign w:val="center"/>
          </w:tcPr>
          <w:p w14:paraId="27CE3482"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16</w:t>
            </w:r>
          </w:p>
        </w:tc>
        <w:tc>
          <w:tcPr>
            <w:tcW w:w="1416" w:type="pct"/>
            <w:vAlign w:val="center"/>
          </w:tcPr>
          <w:p w14:paraId="2CC121C4"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一次风机</w:t>
            </w:r>
          </w:p>
        </w:tc>
        <w:tc>
          <w:tcPr>
            <w:tcW w:w="1823" w:type="pct"/>
            <w:vAlign w:val="center"/>
          </w:tcPr>
          <w:p w14:paraId="08391B12" w14:textId="216910F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风量</w:t>
            </w:r>
            <w:r w:rsidR="006A52CC" w:rsidRPr="00E72020">
              <w:rPr>
                <w:rFonts w:ascii="Times New Roman" w:eastAsia="宋体" w:hAnsi="Times New Roman" w:cs="Times New Roman"/>
                <w:color w:val="auto"/>
                <w:lang w:eastAsia="zh-CN"/>
              </w:rPr>
              <w:t>：</w:t>
            </w:r>
            <w:r w:rsidRPr="00E72020">
              <w:rPr>
                <w:rFonts w:ascii="Times New Roman" w:eastAsia="宋体" w:hAnsi="Times New Roman" w:cs="Times New Roman"/>
                <w:color w:val="auto"/>
                <w:lang w:eastAsia="zh-CN"/>
              </w:rPr>
              <w:t>74700Nm³/h</w:t>
            </w:r>
            <w:r w:rsidRPr="00E72020">
              <w:rPr>
                <w:rFonts w:ascii="Times New Roman" w:eastAsia="宋体" w:hAnsi="Times New Roman" w:cs="Times New Roman"/>
                <w:color w:val="auto"/>
                <w:lang w:eastAsia="zh-CN"/>
              </w:rPr>
              <w:t>，风压</w:t>
            </w:r>
            <w:r w:rsidR="006A52CC" w:rsidRPr="00E72020">
              <w:rPr>
                <w:rFonts w:ascii="Times New Roman" w:eastAsia="宋体" w:hAnsi="Times New Roman" w:cs="Times New Roman"/>
                <w:color w:val="auto"/>
                <w:lang w:eastAsia="zh-CN"/>
              </w:rPr>
              <w:t>：</w:t>
            </w:r>
            <w:r w:rsidRPr="00E72020">
              <w:rPr>
                <w:rFonts w:ascii="Times New Roman" w:eastAsia="宋体" w:hAnsi="Times New Roman" w:cs="Times New Roman"/>
                <w:color w:val="auto"/>
                <w:lang w:eastAsia="zh-CN"/>
              </w:rPr>
              <w:t>4500Pa</w:t>
            </w:r>
          </w:p>
        </w:tc>
        <w:tc>
          <w:tcPr>
            <w:tcW w:w="623" w:type="pct"/>
            <w:vAlign w:val="center"/>
          </w:tcPr>
          <w:p w14:paraId="11D0443A"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150</w:t>
            </w:r>
          </w:p>
        </w:tc>
        <w:tc>
          <w:tcPr>
            <w:tcW w:w="381" w:type="pct"/>
            <w:vAlign w:val="center"/>
          </w:tcPr>
          <w:p w14:paraId="7DD631DE"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3</w:t>
            </w:r>
          </w:p>
        </w:tc>
        <w:tc>
          <w:tcPr>
            <w:tcW w:w="330" w:type="pct"/>
            <w:tcBorders>
              <w:right w:val="single" w:sz="4" w:space="0" w:color="000000"/>
            </w:tcBorders>
            <w:vAlign w:val="center"/>
          </w:tcPr>
          <w:p w14:paraId="1D4418D2"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p>
        </w:tc>
      </w:tr>
      <w:tr w:rsidR="00D20D13" w:rsidRPr="00D20D13" w14:paraId="397369BA" w14:textId="77777777" w:rsidTr="003C077B">
        <w:trPr>
          <w:trHeight w:val="340"/>
          <w:jc w:val="center"/>
        </w:trPr>
        <w:tc>
          <w:tcPr>
            <w:tcW w:w="427" w:type="pct"/>
            <w:tcBorders>
              <w:left w:val="single" w:sz="4" w:space="0" w:color="000000"/>
            </w:tcBorders>
            <w:vAlign w:val="center"/>
          </w:tcPr>
          <w:p w14:paraId="34AEFADF"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17</w:t>
            </w:r>
          </w:p>
        </w:tc>
        <w:tc>
          <w:tcPr>
            <w:tcW w:w="1416" w:type="pct"/>
            <w:vAlign w:val="center"/>
          </w:tcPr>
          <w:p w14:paraId="37DB07B7"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二次风机</w:t>
            </w:r>
          </w:p>
        </w:tc>
        <w:tc>
          <w:tcPr>
            <w:tcW w:w="1823" w:type="pct"/>
            <w:vAlign w:val="center"/>
          </w:tcPr>
          <w:p w14:paraId="68C3D4FD" w14:textId="1C3A7C60"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风量</w:t>
            </w:r>
            <w:r w:rsidR="006A52CC" w:rsidRPr="00E72020">
              <w:rPr>
                <w:rFonts w:ascii="Times New Roman" w:eastAsia="宋体" w:hAnsi="Times New Roman" w:cs="Times New Roman"/>
                <w:color w:val="auto"/>
                <w:lang w:eastAsia="zh-CN"/>
              </w:rPr>
              <w:t>：</w:t>
            </w:r>
            <w:r w:rsidRPr="00E72020">
              <w:rPr>
                <w:rFonts w:ascii="Times New Roman" w:eastAsia="宋体" w:hAnsi="Times New Roman" w:cs="Times New Roman"/>
                <w:color w:val="auto"/>
                <w:lang w:eastAsia="zh-CN"/>
              </w:rPr>
              <w:t>18700Nm³/h</w:t>
            </w:r>
            <w:r w:rsidRPr="00E72020">
              <w:rPr>
                <w:rFonts w:ascii="Times New Roman" w:eastAsia="宋体" w:hAnsi="Times New Roman" w:cs="Times New Roman"/>
                <w:color w:val="auto"/>
                <w:lang w:eastAsia="zh-CN"/>
              </w:rPr>
              <w:t>，风压</w:t>
            </w:r>
            <w:r w:rsidR="006A52CC" w:rsidRPr="00E72020">
              <w:rPr>
                <w:rFonts w:ascii="Times New Roman" w:eastAsia="宋体" w:hAnsi="Times New Roman" w:cs="Times New Roman"/>
                <w:color w:val="auto"/>
                <w:lang w:eastAsia="zh-CN"/>
              </w:rPr>
              <w:t>：</w:t>
            </w:r>
            <w:r w:rsidRPr="00E72020">
              <w:rPr>
                <w:rFonts w:ascii="Times New Roman" w:eastAsia="宋体" w:hAnsi="Times New Roman" w:cs="Times New Roman"/>
                <w:color w:val="auto"/>
                <w:lang w:eastAsia="zh-CN"/>
              </w:rPr>
              <w:t>10500Pa</w:t>
            </w:r>
          </w:p>
        </w:tc>
        <w:tc>
          <w:tcPr>
            <w:tcW w:w="623" w:type="pct"/>
            <w:vAlign w:val="center"/>
          </w:tcPr>
          <w:p w14:paraId="3BCEE220"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90</w:t>
            </w:r>
          </w:p>
        </w:tc>
        <w:tc>
          <w:tcPr>
            <w:tcW w:w="381" w:type="pct"/>
            <w:vAlign w:val="center"/>
          </w:tcPr>
          <w:p w14:paraId="0AC5B4E7"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3</w:t>
            </w:r>
          </w:p>
        </w:tc>
        <w:tc>
          <w:tcPr>
            <w:tcW w:w="330" w:type="pct"/>
            <w:tcBorders>
              <w:right w:val="single" w:sz="4" w:space="0" w:color="000000"/>
            </w:tcBorders>
            <w:vAlign w:val="center"/>
          </w:tcPr>
          <w:p w14:paraId="5DB9BC23"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p>
        </w:tc>
      </w:tr>
      <w:tr w:rsidR="00D20D13" w:rsidRPr="00D20D13" w14:paraId="6CA8DABF" w14:textId="77777777" w:rsidTr="003C077B">
        <w:trPr>
          <w:trHeight w:val="340"/>
          <w:jc w:val="center"/>
        </w:trPr>
        <w:tc>
          <w:tcPr>
            <w:tcW w:w="427" w:type="pct"/>
            <w:tcBorders>
              <w:left w:val="single" w:sz="4" w:space="0" w:color="000000"/>
            </w:tcBorders>
            <w:vAlign w:val="center"/>
          </w:tcPr>
          <w:p w14:paraId="1BABC456"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18</w:t>
            </w:r>
          </w:p>
        </w:tc>
        <w:tc>
          <w:tcPr>
            <w:tcW w:w="1416" w:type="pct"/>
            <w:vAlign w:val="center"/>
          </w:tcPr>
          <w:p w14:paraId="2797E0D3"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炉墙冷却风机</w:t>
            </w:r>
          </w:p>
        </w:tc>
        <w:tc>
          <w:tcPr>
            <w:tcW w:w="1823" w:type="pct"/>
            <w:vAlign w:val="center"/>
          </w:tcPr>
          <w:p w14:paraId="0898C05E" w14:textId="22629CB0"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风量</w:t>
            </w:r>
            <w:r w:rsidR="006A52CC" w:rsidRPr="00E72020">
              <w:rPr>
                <w:rFonts w:ascii="Times New Roman" w:eastAsia="宋体" w:hAnsi="Times New Roman" w:cs="Times New Roman"/>
                <w:color w:val="auto"/>
                <w:lang w:eastAsia="zh-CN"/>
              </w:rPr>
              <w:t>：</w:t>
            </w:r>
            <w:r w:rsidRPr="00E72020">
              <w:rPr>
                <w:rFonts w:ascii="Times New Roman" w:eastAsia="宋体" w:hAnsi="Times New Roman" w:cs="Times New Roman"/>
                <w:color w:val="auto"/>
                <w:lang w:eastAsia="zh-CN"/>
              </w:rPr>
              <w:t>14900Nm³/h</w:t>
            </w:r>
            <w:r w:rsidRPr="00E72020">
              <w:rPr>
                <w:rFonts w:ascii="Times New Roman" w:eastAsia="宋体" w:hAnsi="Times New Roman" w:cs="Times New Roman"/>
                <w:color w:val="auto"/>
                <w:lang w:eastAsia="zh-CN"/>
              </w:rPr>
              <w:t>，风压</w:t>
            </w:r>
            <w:r w:rsidR="006A52CC" w:rsidRPr="00E72020">
              <w:rPr>
                <w:rFonts w:ascii="Times New Roman" w:eastAsia="宋体" w:hAnsi="Times New Roman" w:cs="Times New Roman"/>
                <w:color w:val="auto"/>
                <w:lang w:eastAsia="zh-CN"/>
              </w:rPr>
              <w:t>：</w:t>
            </w:r>
            <w:r w:rsidRPr="00E72020">
              <w:rPr>
                <w:rFonts w:ascii="Times New Roman" w:eastAsia="宋体" w:hAnsi="Times New Roman" w:cs="Times New Roman"/>
                <w:color w:val="auto"/>
                <w:lang w:eastAsia="zh-CN"/>
              </w:rPr>
              <w:t>3000Pa</w:t>
            </w:r>
          </w:p>
        </w:tc>
        <w:tc>
          <w:tcPr>
            <w:tcW w:w="623" w:type="pct"/>
            <w:vAlign w:val="center"/>
          </w:tcPr>
          <w:p w14:paraId="67189516"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70</w:t>
            </w:r>
          </w:p>
        </w:tc>
        <w:tc>
          <w:tcPr>
            <w:tcW w:w="381" w:type="pct"/>
            <w:vAlign w:val="center"/>
          </w:tcPr>
          <w:p w14:paraId="351C5D03"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3</w:t>
            </w:r>
          </w:p>
        </w:tc>
        <w:tc>
          <w:tcPr>
            <w:tcW w:w="330" w:type="pct"/>
            <w:tcBorders>
              <w:right w:val="single" w:sz="4" w:space="0" w:color="000000"/>
            </w:tcBorders>
            <w:vAlign w:val="center"/>
          </w:tcPr>
          <w:p w14:paraId="1C2904C6"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p>
        </w:tc>
      </w:tr>
      <w:tr w:rsidR="00D20D13" w:rsidRPr="00D20D13" w14:paraId="7506CF66" w14:textId="77777777" w:rsidTr="003C077B">
        <w:trPr>
          <w:trHeight w:val="340"/>
          <w:jc w:val="center"/>
        </w:trPr>
        <w:tc>
          <w:tcPr>
            <w:tcW w:w="427" w:type="pct"/>
            <w:tcBorders>
              <w:left w:val="single" w:sz="4" w:space="0" w:color="000000"/>
            </w:tcBorders>
            <w:vAlign w:val="center"/>
          </w:tcPr>
          <w:p w14:paraId="24DCC1C8"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19</w:t>
            </w:r>
          </w:p>
        </w:tc>
        <w:tc>
          <w:tcPr>
            <w:tcW w:w="1416" w:type="pct"/>
            <w:vAlign w:val="center"/>
          </w:tcPr>
          <w:p w14:paraId="4402DAD1"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炉内脱氮系统</w:t>
            </w:r>
          </w:p>
        </w:tc>
        <w:tc>
          <w:tcPr>
            <w:tcW w:w="1823" w:type="pct"/>
            <w:vAlign w:val="center"/>
          </w:tcPr>
          <w:p w14:paraId="3C915081"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SNCR</w:t>
            </w:r>
          </w:p>
        </w:tc>
        <w:tc>
          <w:tcPr>
            <w:tcW w:w="623" w:type="pct"/>
            <w:vAlign w:val="center"/>
          </w:tcPr>
          <w:p w14:paraId="2DCA30C4"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15</w:t>
            </w:r>
          </w:p>
        </w:tc>
        <w:tc>
          <w:tcPr>
            <w:tcW w:w="381" w:type="pct"/>
            <w:vAlign w:val="center"/>
          </w:tcPr>
          <w:p w14:paraId="40BDA91E"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3</w:t>
            </w:r>
          </w:p>
        </w:tc>
        <w:tc>
          <w:tcPr>
            <w:tcW w:w="330" w:type="pct"/>
            <w:tcBorders>
              <w:right w:val="single" w:sz="4" w:space="0" w:color="000000"/>
            </w:tcBorders>
            <w:vAlign w:val="center"/>
          </w:tcPr>
          <w:p w14:paraId="470DBC8A"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p>
        </w:tc>
      </w:tr>
      <w:tr w:rsidR="00D20D13" w:rsidRPr="00D20D13" w14:paraId="5213766E" w14:textId="77777777" w:rsidTr="003C077B">
        <w:trPr>
          <w:trHeight w:val="340"/>
          <w:jc w:val="center"/>
        </w:trPr>
        <w:tc>
          <w:tcPr>
            <w:tcW w:w="427" w:type="pct"/>
            <w:tcBorders>
              <w:left w:val="single" w:sz="4" w:space="0" w:color="000000"/>
            </w:tcBorders>
            <w:vAlign w:val="center"/>
          </w:tcPr>
          <w:p w14:paraId="214F7105"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20</w:t>
            </w:r>
          </w:p>
        </w:tc>
        <w:tc>
          <w:tcPr>
            <w:tcW w:w="1416" w:type="pct"/>
            <w:vAlign w:val="center"/>
          </w:tcPr>
          <w:p w14:paraId="7FAF951E"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供油泵</w:t>
            </w:r>
          </w:p>
        </w:tc>
        <w:tc>
          <w:tcPr>
            <w:tcW w:w="1823" w:type="pct"/>
            <w:vAlign w:val="center"/>
          </w:tcPr>
          <w:p w14:paraId="0DF8AAF8" w14:textId="0785B774"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Q=3.6m³/h</w:t>
            </w:r>
            <w:r w:rsidRPr="00E72020">
              <w:rPr>
                <w:rFonts w:ascii="Times New Roman" w:eastAsia="宋体" w:hAnsi="Times New Roman" w:cs="Times New Roman"/>
                <w:color w:val="auto"/>
                <w:lang w:eastAsia="zh-CN"/>
              </w:rPr>
              <w:t>，</w:t>
            </w:r>
            <w:r w:rsidRPr="00E72020">
              <w:rPr>
                <w:rFonts w:ascii="Times New Roman" w:eastAsia="宋体" w:hAnsi="Times New Roman" w:cs="Times New Roman"/>
                <w:color w:val="auto"/>
                <w:lang w:eastAsia="zh-CN"/>
              </w:rPr>
              <w:t>P=2.5MPa</w:t>
            </w:r>
          </w:p>
        </w:tc>
        <w:tc>
          <w:tcPr>
            <w:tcW w:w="623" w:type="pct"/>
            <w:vAlign w:val="center"/>
          </w:tcPr>
          <w:p w14:paraId="17C3A45E"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5.5</w:t>
            </w:r>
          </w:p>
        </w:tc>
        <w:tc>
          <w:tcPr>
            <w:tcW w:w="381" w:type="pct"/>
            <w:vAlign w:val="center"/>
          </w:tcPr>
          <w:p w14:paraId="47856D6F"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2</w:t>
            </w:r>
          </w:p>
        </w:tc>
        <w:tc>
          <w:tcPr>
            <w:tcW w:w="330" w:type="pct"/>
            <w:tcBorders>
              <w:right w:val="single" w:sz="4" w:space="0" w:color="000000"/>
            </w:tcBorders>
            <w:vAlign w:val="center"/>
          </w:tcPr>
          <w:p w14:paraId="64C41982"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1</w:t>
            </w:r>
          </w:p>
        </w:tc>
      </w:tr>
      <w:tr w:rsidR="00D20D13" w:rsidRPr="00D20D13" w14:paraId="35DD941D" w14:textId="77777777" w:rsidTr="003C077B">
        <w:trPr>
          <w:trHeight w:val="340"/>
          <w:jc w:val="center"/>
        </w:trPr>
        <w:tc>
          <w:tcPr>
            <w:tcW w:w="427" w:type="pct"/>
            <w:tcBorders>
              <w:left w:val="single" w:sz="4" w:space="0" w:color="000000"/>
            </w:tcBorders>
            <w:vAlign w:val="center"/>
          </w:tcPr>
          <w:p w14:paraId="4FB32A82"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21</w:t>
            </w:r>
          </w:p>
        </w:tc>
        <w:tc>
          <w:tcPr>
            <w:tcW w:w="1416" w:type="pct"/>
            <w:vAlign w:val="center"/>
          </w:tcPr>
          <w:p w14:paraId="2772A12F"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油罐</w:t>
            </w:r>
          </w:p>
        </w:tc>
        <w:tc>
          <w:tcPr>
            <w:tcW w:w="1823" w:type="pct"/>
            <w:vAlign w:val="center"/>
          </w:tcPr>
          <w:p w14:paraId="739E4763" w14:textId="788A96B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容积</w:t>
            </w:r>
            <w:r w:rsidR="006A52CC" w:rsidRPr="00E72020">
              <w:rPr>
                <w:rFonts w:ascii="Times New Roman" w:eastAsia="宋体" w:hAnsi="Times New Roman" w:cs="Times New Roman"/>
                <w:color w:val="auto"/>
                <w:lang w:eastAsia="zh-CN"/>
              </w:rPr>
              <w:t>：</w:t>
            </w:r>
            <w:r w:rsidRPr="00E72020">
              <w:rPr>
                <w:rFonts w:ascii="Times New Roman" w:eastAsia="宋体" w:hAnsi="Times New Roman" w:cs="Times New Roman"/>
                <w:color w:val="auto"/>
                <w:lang w:eastAsia="zh-CN"/>
              </w:rPr>
              <w:t>15m³</w:t>
            </w:r>
          </w:p>
        </w:tc>
        <w:tc>
          <w:tcPr>
            <w:tcW w:w="623" w:type="pct"/>
            <w:vAlign w:val="center"/>
          </w:tcPr>
          <w:p w14:paraId="1A258D77"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p>
        </w:tc>
        <w:tc>
          <w:tcPr>
            <w:tcW w:w="381" w:type="pct"/>
            <w:vAlign w:val="center"/>
          </w:tcPr>
          <w:p w14:paraId="2DB0C24F"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2</w:t>
            </w:r>
          </w:p>
        </w:tc>
        <w:tc>
          <w:tcPr>
            <w:tcW w:w="330" w:type="pct"/>
            <w:tcBorders>
              <w:right w:val="single" w:sz="4" w:space="0" w:color="000000"/>
            </w:tcBorders>
            <w:vAlign w:val="center"/>
          </w:tcPr>
          <w:p w14:paraId="711B0D63"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p>
        </w:tc>
      </w:tr>
      <w:tr w:rsidR="00D20D13" w:rsidRPr="00D20D13" w14:paraId="71ED65E1" w14:textId="77777777" w:rsidTr="003C077B">
        <w:trPr>
          <w:trHeight w:val="340"/>
          <w:jc w:val="center"/>
        </w:trPr>
        <w:tc>
          <w:tcPr>
            <w:tcW w:w="427" w:type="pct"/>
            <w:tcBorders>
              <w:left w:val="single" w:sz="4" w:space="0" w:color="000000"/>
            </w:tcBorders>
            <w:vAlign w:val="center"/>
          </w:tcPr>
          <w:p w14:paraId="1087EDD6"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22</w:t>
            </w:r>
          </w:p>
        </w:tc>
        <w:tc>
          <w:tcPr>
            <w:tcW w:w="1416" w:type="pct"/>
            <w:vAlign w:val="center"/>
          </w:tcPr>
          <w:p w14:paraId="49BBE14A" w14:textId="5B8BAFD1"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柴油过滤器等辅助设备</w:t>
            </w:r>
          </w:p>
        </w:tc>
        <w:tc>
          <w:tcPr>
            <w:tcW w:w="1823" w:type="pct"/>
            <w:vAlign w:val="center"/>
          </w:tcPr>
          <w:p w14:paraId="47BEB6B7"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p>
        </w:tc>
        <w:tc>
          <w:tcPr>
            <w:tcW w:w="623" w:type="pct"/>
            <w:vAlign w:val="center"/>
          </w:tcPr>
          <w:p w14:paraId="7A74545B"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p>
        </w:tc>
        <w:tc>
          <w:tcPr>
            <w:tcW w:w="381" w:type="pct"/>
            <w:vAlign w:val="center"/>
          </w:tcPr>
          <w:p w14:paraId="5BD52B02"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2</w:t>
            </w:r>
          </w:p>
        </w:tc>
        <w:tc>
          <w:tcPr>
            <w:tcW w:w="330" w:type="pct"/>
            <w:tcBorders>
              <w:right w:val="single" w:sz="4" w:space="0" w:color="000000"/>
            </w:tcBorders>
            <w:vAlign w:val="center"/>
          </w:tcPr>
          <w:p w14:paraId="1BDFC09F"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p>
        </w:tc>
      </w:tr>
      <w:tr w:rsidR="00D20D13" w:rsidRPr="00D20D13" w14:paraId="09ED0146" w14:textId="77777777" w:rsidTr="003C077B">
        <w:trPr>
          <w:trHeight w:val="340"/>
          <w:jc w:val="center"/>
        </w:trPr>
        <w:tc>
          <w:tcPr>
            <w:tcW w:w="427" w:type="pct"/>
            <w:tcBorders>
              <w:left w:val="single" w:sz="4" w:space="0" w:color="000000"/>
            </w:tcBorders>
            <w:vAlign w:val="center"/>
          </w:tcPr>
          <w:p w14:paraId="3B6A6BF0"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23</w:t>
            </w:r>
          </w:p>
        </w:tc>
        <w:tc>
          <w:tcPr>
            <w:tcW w:w="1416" w:type="pct"/>
            <w:vAlign w:val="center"/>
          </w:tcPr>
          <w:p w14:paraId="7CBBB21F"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余热锅炉</w:t>
            </w:r>
          </w:p>
        </w:tc>
        <w:tc>
          <w:tcPr>
            <w:tcW w:w="1823" w:type="pct"/>
            <w:vAlign w:val="center"/>
          </w:tcPr>
          <w:p w14:paraId="47AD4A98" w14:textId="58916B90"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额定蒸发量</w:t>
            </w:r>
            <w:r w:rsidR="006A52CC" w:rsidRPr="00E72020">
              <w:rPr>
                <w:rFonts w:ascii="Times New Roman" w:eastAsia="宋体" w:hAnsi="Times New Roman" w:cs="Times New Roman"/>
                <w:color w:val="auto"/>
                <w:lang w:eastAsia="zh-CN"/>
              </w:rPr>
              <w:t>：</w:t>
            </w:r>
            <w:r w:rsidRPr="00E72020">
              <w:rPr>
                <w:rFonts w:ascii="Times New Roman" w:eastAsia="宋体" w:hAnsi="Times New Roman" w:cs="Times New Roman"/>
                <w:color w:val="auto"/>
                <w:lang w:eastAsia="zh-CN"/>
              </w:rPr>
              <w:t>45.28t/h</w:t>
            </w:r>
          </w:p>
        </w:tc>
        <w:tc>
          <w:tcPr>
            <w:tcW w:w="623" w:type="pct"/>
            <w:vAlign w:val="center"/>
          </w:tcPr>
          <w:p w14:paraId="5E138275"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p>
        </w:tc>
        <w:tc>
          <w:tcPr>
            <w:tcW w:w="381" w:type="pct"/>
            <w:vAlign w:val="center"/>
          </w:tcPr>
          <w:p w14:paraId="2D80A928"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3</w:t>
            </w:r>
          </w:p>
        </w:tc>
        <w:tc>
          <w:tcPr>
            <w:tcW w:w="330" w:type="pct"/>
            <w:tcBorders>
              <w:right w:val="single" w:sz="4" w:space="0" w:color="000000"/>
            </w:tcBorders>
            <w:vAlign w:val="center"/>
          </w:tcPr>
          <w:p w14:paraId="3BE63787"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p>
        </w:tc>
      </w:tr>
      <w:tr w:rsidR="00D20D13" w:rsidRPr="00D20D13" w14:paraId="485880F1" w14:textId="77777777" w:rsidTr="003C077B">
        <w:trPr>
          <w:trHeight w:val="340"/>
          <w:jc w:val="center"/>
        </w:trPr>
        <w:tc>
          <w:tcPr>
            <w:tcW w:w="427" w:type="pct"/>
            <w:tcBorders>
              <w:left w:val="single" w:sz="4" w:space="0" w:color="000000"/>
            </w:tcBorders>
            <w:vAlign w:val="center"/>
          </w:tcPr>
          <w:p w14:paraId="64569BFD"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lastRenderedPageBreak/>
              <w:t>24</w:t>
            </w:r>
          </w:p>
        </w:tc>
        <w:tc>
          <w:tcPr>
            <w:tcW w:w="1416" w:type="pct"/>
            <w:vAlign w:val="center"/>
          </w:tcPr>
          <w:p w14:paraId="69AB36A3"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定期排污扩容器</w:t>
            </w:r>
          </w:p>
        </w:tc>
        <w:tc>
          <w:tcPr>
            <w:tcW w:w="1823" w:type="pct"/>
            <w:vAlign w:val="center"/>
          </w:tcPr>
          <w:p w14:paraId="685C0379" w14:textId="020E682D"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V=3.0m³</w:t>
            </w:r>
          </w:p>
        </w:tc>
        <w:tc>
          <w:tcPr>
            <w:tcW w:w="623" w:type="pct"/>
            <w:vAlign w:val="center"/>
          </w:tcPr>
          <w:p w14:paraId="2CFE2741"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p>
        </w:tc>
        <w:tc>
          <w:tcPr>
            <w:tcW w:w="381" w:type="pct"/>
            <w:vAlign w:val="center"/>
          </w:tcPr>
          <w:p w14:paraId="2D34AA7A"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1</w:t>
            </w:r>
          </w:p>
        </w:tc>
        <w:tc>
          <w:tcPr>
            <w:tcW w:w="330" w:type="pct"/>
            <w:tcBorders>
              <w:right w:val="single" w:sz="4" w:space="0" w:color="000000"/>
            </w:tcBorders>
            <w:vAlign w:val="center"/>
          </w:tcPr>
          <w:p w14:paraId="587CD732"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p>
        </w:tc>
      </w:tr>
      <w:tr w:rsidR="00D20D13" w:rsidRPr="00D20D13" w14:paraId="47928F2F" w14:textId="77777777" w:rsidTr="003C077B">
        <w:trPr>
          <w:trHeight w:val="340"/>
          <w:jc w:val="center"/>
        </w:trPr>
        <w:tc>
          <w:tcPr>
            <w:tcW w:w="427" w:type="pct"/>
            <w:tcBorders>
              <w:left w:val="single" w:sz="4" w:space="0" w:color="000000"/>
            </w:tcBorders>
            <w:vAlign w:val="center"/>
          </w:tcPr>
          <w:p w14:paraId="065766FC"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25</w:t>
            </w:r>
          </w:p>
        </w:tc>
        <w:tc>
          <w:tcPr>
            <w:tcW w:w="1416" w:type="pct"/>
            <w:vAlign w:val="center"/>
          </w:tcPr>
          <w:p w14:paraId="62168552"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连续排污扩容器</w:t>
            </w:r>
          </w:p>
        </w:tc>
        <w:tc>
          <w:tcPr>
            <w:tcW w:w="1823" w:type="pct"/>
            <w:vAlign w:val="center"/>
          </w:tcPr>
          <w:p w14:paraId="15058856" w14:textId="2CB83E3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V=1.5m³</w:t>
            </w:r>
          </w:p>
        </w:tc>
        <w:tc>
          <w:tcPr>
            <w:tcW w:w="623" w:type="pct"/>
            <w:vAlign w:val="center"/>
          </w:tcPr>
          <w:p w14:paraId="104C1427"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p>
        </w:tc>
        <w:tc>
          <w:tcPr>
            <w:tcW w:w="381" w:type="pct"/>
            <w:vAlign w:val="center"/>
          </w:tcPr>
          <w:p w14:paraId="51ADC587"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1</w:t>
            </w:r>
          </w:p>
        </w:tc>
        <w:tc>
          <w:tcPr>
            <w:tcW w:w="330" w:type="pct"/>
            <w:tcBorders>
              <w:right w:val="single" w:sz="4" w:space="0" w:color="000000"/>
            </w:tcBorders>
            <w:vAlign w:val="center"/>
          </w:tcPr>
          <w:p w14:paraId="127FB013" w14:textId="77777777" w:rsidR="00D20D13" w:rsidRPr="00E72020" w:rsidRDefault="00D20D13" w:rsidP="00E72020">
            <w:pPr>
              <w:spacing w:before="65" w:after="0" w:line="280" w:lineRule="exact"/>
              <w:ind w:left="37"/>
              <w:jc w:val="center"/>
              <w:rPr>
                <w:rFonts w:ascii="Times New Roman" w:eastAsia="宋体" w:hAnsi="Times New Roman" w:cs="Times New Roman"/>
                <w:color w:val="auto"/>
                <w:lang w:eastAsia="zh-CN"/>
              </w:rPr>
            </w:pPr>
          </w:p>
        </w:tc>
      </w:tr>
      <w:tr w:rsidR="00A06FAB" w:rsidRPr="00A06FAB" w14:paraId="0451DCF0" w14:textId="77777777" w:rsidTr="003C077B">
        <w:trPr>
          <w:trHeight w:val="340"/>
          <w:jc w:val="center"/>
        </w:trPr>
        <w:tc>
          <w:tcPr>
            <w:tcW w:w="427" w:type="pct"/>
            <w:tcBorders>
              <w:left w:val="single" w:sz="4" w:space="0" w:color="000000"/>
            </w:tcBorders>
            <w:vAlign w:val="center"/>
          </w:tcPr>
          <w:p w14:paraId="50D6F6E9" w14:textId="1F8D6E2C" w:rsidR="00A06FAB" w:rsidRPr="00E72020" w:rsidRDefault="00A06FAB"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26</w:t>
            </w:r>
          </w:p>
        </w:tc>
        <w:tc>
          <w:tcPr>
            <w:tcW w:w="1416" w:type="pct"/>
            <w:vAlign w:val="center"/>
          </w:tcPr>
          <w:p w14:paraId="61CB30CB" w14:textId="0FC846DC" w:rsidR="00A06FAB" w:rsidRPr="00E72020" w:rsidRDefault="00A06FAB"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排污井液下泵</w:t>
            </w:r>
          </w:p>
        </w:tc>
        <w:tc>
          <w:tcPr>
            <w:tcW w:w="1823" w:type="pct"/>
            <w:vAlign w:val="center"/>
          </w:tcPr>
          <w:p w14:paraId="4B1BC804" w14:textId="65748C7F" w:rsidR="00A06FAB" w:rsidRPr="00E72020" w:rsidRDefault="00A06FAB"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Q=12m³/h</w:t>
            </w:r>
            <w:r w:rsidRPr="00E72020">
              <w:rPr>
                <w:rFonts w:ascii="Times New Roman" w:eastAsia="宋体" w:hAnsi="Times New Roman" w:cs="Times New Roman"/>
                <w:color w:val="auto"/>
                <w:lang w:eastAsia="zh-CN"/>
              </w:rPr>
              <w:t>，</w:t>
            </w:r>
            <w:r w:rsidRPr="00E72020">
              <w:rPr>
                <w:rFonts w:ascii="Times New Roman" w:eastAsia="宋体" w:hAnsi="Times New Roman" w:cs="Times New Roman"/>
                <w:color w:val="auto"/>
                <w:lang w:eastAsia="zh-CN"/>
              </w:rPr>
              <w:t>H=15m</w:t>
            </w:r>
          </w:p>
        </w:tc>
        <w:tc>
          <w:tcPr>
            <w:tcW w:w="623" w:type="pct"/>
            <w:vAlign w:val="center"/>
          </w:tcPr>
          <w:p w14:paraId="03D52D5B" w14:textId="3B3BD8A7" w:rsidR="00A06FAB" w:rsidRPr="00E72020" w:rsidRDefault="00A06FAB"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1.5</w:t>
            </w:r>
          </w:p>
        </w:tc>
        <w:tc>
          <w:tcPr>
            <w:tcW w:w="381" w:type="pct"/>
            <w:vAlign w:val="center"/>
          </w:tcPr>
          <w:p w14:paraId="24399EC1" w14:textId="01F34182" w:rsidR="00A06FAB" w:rsidRPr="00E72020" w:rsidRDefault="00A06FAB"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2</w:t>
            </w:r>
          </w:p>
        </w:tc>
        <w:tc>
          <w:tcPr>
            <w:tcW w:w="330" w:type="pct"/>
            <w:tcBorders>
              <w:right w:val="single" w:sz="4" w:space="0" w:color="000000"/>
            </w:tcBorders>
            <w:vAlign w:val="center"/>
          </w:tcPr>
          <w:p w14:paraId="518C0969" w14:textId="6C24CC99" w:rsidR="00A06FAB" w:rsidRPr="00E72020" w:rsidRDefault="00A06FAB"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1</w:t>
            </w:r>
          </w:p>
        </w:tc>
      </w:tr>
      <w:tr w:rsidR="00A06FAB" w:rsidRPr="00A06FAB" w14:paraId="356A5C4B" w14:textId="77777777" w:rsidTr="003C077B">
        <w:trPr>
          <w:trHeight w:val="340"/>
          <w:jc w:val="center"/>
        </w:trPr>
        <w:tc>
          <w:tcPr>
            <w:tcW w:w="427" w:type="pct"/>
            <w:tcBorders>
              <w:left w:val="single" w:sz="4" w:space="0" w:color="000000"/>
            </w:tcBorders>
            <w:vAlign w:val="center"/>
          </w:tcPr>
          <w:p w14:paraId="3A0A623F" w14:textId="5ACA0883" w:rsidR="00A06FAB" w:rsidRPr="00E72020" w:rsidRDefault="00A06FAB"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27</w:t>
            </w:r>
          </w:p>
        </w:tc>
        <w:tc>
          <w:tcPr>
            <w:tcW w:w="1416" w:type="pct"/>
            <w:vAlign w:val="center"/>
          </w:tcPr>
          <w:p w14:paraId="3B67D990" w14:textId="13B56EF9" w:rsidR="00A06FAB" w:rsidRPr="00E72020" w:rsidRDefault="00A06FAB"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在线汽水取样装置</w:t>
            </w:r>
          </w:p>
        </w:tc>
        <w:tc>
          <w:tcPr>
            <w:tcW w:w="1823" w:type="pct"/>
            <w:vAlign w:val="center"/>
          </w:tcPr>
          <w:p w14:paraId="1A123884" w14:textId="77777777" w:rsidR="00A06FAB" w:rsidRPr="00E72020" w:rsidRDefault="00A06FAB" w:rsidP="00E72020">
            <w:pPr>
              <w:spacing w:before="65" w:after="0" w:line="280" w:lineRule="exact"/>
              <w:ind w:left="37"/>
              <w:jc w:val="center"/>
              <w:rPr>
                <w:rFonts w:ascii="Times New Roman" w:eastAsia="宋体" w:hAnsi="Times New Roman" w:cs="Times New Roman"/>
                <w:color w:val="auto"/>
                <w:lang w:eastAsia="zh-CN"/>
              </w:rPr>
            </w:pPr>
          </w:p>
        </w:tc>
        <w:tc>
          <w:tcPr>
            <w:tcW w:w="623" w:type="pct"/>
            <w:vAlign w:val="center"/>
          </w:tcPr>
          <w:p w14:paraId="480ED334" w14:textId="77777777" w:rsidR="00A06FAB" w:rsidRPr="00E72020" w:rsidRDefault="00A06FAB" w:rsidP="00E72020">
            <w:pPr>
              <w:spacing w:before="65" w:after="0" w:line="280" w:lineRule="exact"/>
              <w:ind w:left="37"/>
              <w:jc w:val="center"/>
              <w:rPr>
                <w:rFonts w:ascii="Times New Roman" w:eastAsia="宋体" w:hAnsi="Times New Roman" w:cs="Times New Roman"/>
                <w:color w:val="auto"/>
                <w:lang w:eastAsia="zh-CN"/>
              </w:rPr>
            </w:pPr>
          </w:p>
        </w:tc>
        <w:tc>
          <w:tcPr>
            <w:tcW w:w="381" w:type="pct"/>
            <w:vAlign w:val="center"/>
          </w:tcPr>
          <w:p w14:paraId="7BC95504" w14:textId="326EF0B8" w:rsidR="00A06FAB" w:rsidRPr="00E72020" w:rsidRDefault="00A06FAB"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1</w:t>
            </w:r>
          </w:p>
        </w:tc>
        <w:tc>
          <w:tcPr>
            <w:tcW w:w="330" w:type="pct"/>
            <w:tcBorders>
              <w:right w:val="single" w:sz="4" w:space="0" w:color="000000"/>
            </w:tcBorders>
            <w:vAlign w:val="center"/>
          </w:tcPr>
          <w:p w14:paraId="75CF8691" w14:textId="77777777" w:rsidR="00A06FAB" w:rsidRPr="00E72020" w:rsidRDefault="00A06FAB" w:rsidP="00E72020">
            <w:pPr>
              <w:spacing w:before="65" w:after="0" w:line="280" w:lineRule="exact"/>
              <w:ind w:left="37"/>
              <w:jc w:val="center"/>
              <w:rPr>
                <w:rFonts w:ascii="Times New Roman" w:eastAsia="宋体" w:hAnsi="Times New Roman" w:cs="Times New Roman"/>
                <w:color w:val="auto"/>
                <w:lang w:eastAsia="zh-CN"/>
              </w:rPr>
            </w:pPr>
          </w:p>
        </w:tc>
      </w:tr>
      <w:tr w:rsidR="00A06FAB" w:rsidRPr="00A06FAB" w14:paraId="3AD0917A" w14:textId="77777777" w:rsidTr="003C077B">
        <w:trPr>
          <w:trHeight w:val="340"/>
          <w:jc w:val="center"/>
        </w:trPr>
        <w:tc>
          <w:tcPr>
            <w:tcW w:w="427" w:type="pct"/>
            <w:tcBorders>
              <w:left w:val="single" w:sz="4" w:space="0" w:color="000000"/>
            </w:tcBorders>
            <w:vAlign w:val="center"/>
          </w:tcPr>
          <w:p w14:paraId="44537BF0" w14:textId="65158767" w:rsidR="00A06FAB" w:rsidRPr="00E72020" w:rsidRDefault="00A06FAB"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28</w:t>
            </w:r>
          </w:p>
        </w:tc>
        <w:tc>
          <w:tcPr>
            <w:tcW w:w="1416" w:type="pct"/>
            <w:vAlign w:val="center"/>
          </w:tcPr>
          <w:p w14:paraId="51C670D1" w14:textId="05F85BFA" w:rsidR="00A06FAB" w:rsidRPr="00E72020" w:rsidRDefault="00A06FAB"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凝汽式汽轮发电机组</w:t>
            </w:r>
          </w:p>
        </w:tc>
        <w:tc>
          <w:tcPr>
            <w:tcW w:w="1823" w:type="pct"/>
            <w:vAlign w:val="center"/>
          </w:tcPr>
          <w:p w14:paraId="44E2D878" w14:textId="517E7B86" w:rsidR="00A06FAB" w:rsidRPr="00E72020" w:rsidRDefault="00A06FAB"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型号</w:t>
            </w:r>
            <w:r w:rsidR="006A52CC" w:rsidRPr="00E72020">
              <w:rPr>
                <w:rFonts w:ascii="Times New Roman" w:eastAsia="宋体" w:hAnsi="Times New Roman" w:cs="Times New Roman"/>
                <w:color w:val="auto"/>
                <w:lang w:eastAsia="zh-CN"/>
              </w:rPr>
              <w:t>：</w:t>
            </w:r>
            <w:r w:rsidRPr="00E72020">
              <w:rPr>
                <w:rFonts w:ascii="Times New Roman" w:eastAsia="宋体" w:hAnsi="Times New Roman" w:cs="Times New Roman"/>
                <w:color w:val="auto"/>
                <w:lang w:eastAsia="zh-CN"/>
              </w:rPr>
              <w:t>N15-3.9/390</w:t>
            </w:r>
          </w:p>
        </w:tc>
        <w:tc>
          <w:tcPr>
            <w:tcW w:w="623" w:type="pct"/>
            <w:vAlign w:val="center"/>
          </w:tcPr>
          <w:p w14:paraId="4D974591" w14:textId="77777777" w:rsidR="00A06FAB" w:rsidRPr="00E72020" w:rsidRDefault="00A06FAB" w:rsidP="00E72020">
            <w:pPr>
              <w:spacing w:before="65" w:after="0" w:line="280" w:lineRule="exact"/>
              <w:ind w:left="37"/>
              <w:jc w:val="center"/>
              <w:rPr>
                <w:rFonts w:ascii="Times New Roman" w:eastAsia="宋体" w:hAnsi="Times New Roman" w:cs="Times New Roman"/>
                <w:color w:val="auto"/>
                <w:lang w:eastAsia="zh-CN"/>
              </w:rPr>
            </w:pPr>
          </w:p>
        </w:tc>
        <w:tc>
          <w:tcPr>
            <w:tcW w:w="381" w:type="pct"/>
            <w:vAlign w:val="center"/>
          </w:tcPr>
          <w:p w14:paraId="3F549A93" w14:textId="6196096E" w:rsidR="00A06FAB" w:rsidRPr="00E72020" w:rsidRDefault="00A06FAB" w:rsidP="00E72020">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2</w:t>
            </w:r>
          </w:p>
        </w:tc>
        <w:tc>
          <w:tcPr>
            <w:tcW w:w="330" w:type="pct"/>
            <w:tcBorders>
              <w:right w:val="single" w:sz="4" w:space="0" w:color="000000"/>
            </w:tcBorders>
            <w:vAlign w:val="center"/>
          </w:tcPr>
          <w:p w14:paraId="2BBADD82" w14:textId="77777777" w:rsidR="00A06FAB" w:rsidRPr="00E72020" w:rsidRDefault="00A06FAB" w:rsidP="00E72020">
            <w:pPr>
              <w:spacing w:before="65" w:after="0" w:line="280" w:lineRule="exact"/>
              <w:ind w:left="37"/>
              <w:jc w:val="center"/>
              <w:rPr>
                <w:rFonts w:ascii="Times New Roman" w:eastAsia="宋体" w:hAnsi="Times New Roman" w:cs="Times New Roman"/>
                <w:color w:val="auto"/>
                <w:lang w:eastAsia="zh-CN"/>
              </w:rPr>
            </w:pPr>
          </w:p>
        </w:tc>
      </w:tr>
      <w:tr w:rsidR="003C077B" w:rsidRPr="00A06FAB" w14:paraId="5592D5E1" w14:textId="77777777" w:rsidTr="003C077B">
        <w:trPr>
          <w:trHeight w:val="227"/>
          <w:jc w:val="center"/>
        </w:trPr>
        <w:tc>
          <w:tcPr>
            <w:tcW w:w="427" w:type="pct"/>
            <w:tcBorders>
              <w:left w:val="single" w:sz="4" w:space="0" w:color="000000"/>
            </w:tcBorders>
            <w:vAlign w:val="center"/>
          </w:tcPr>
          <w:p w14:paraId="53B9888F" w14:textId="18361911" w:rsidR="003C077B" w:rsidRPr="003C077B" w:rsidRDefault="003C077B" w:rsidP="003C077B">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hint="eastAsia"/>
                <w:color w:val="auto"/>
                <w:lang w:eastAsia="zh-CN"/>
              </w:rPr>
              <w:t>29</w:t>
            </w:r>
          </w:p>
        </w:tc>
        <w:tc>
          <w:tcPr>
            <w:tcW w:w="1416" w:type="pct"/>
            <w:tcBorders>
              <w:tl2br w:val="nil"/>
              <w:tr2bl w:val="nil"/>
            </w:tcBorders>
            <w:vAlign w:val="center"/>
          </w:tcPr>
          <w:p w14:paraId="0FB8C585" w14:textId="07D747F2" w:rsidR="003C077B" w:rsidRPr="003C077B" w:rsidRDefault="003C077B" w:rsidP="003C077B">
            <w:pPr>
              <w:spacing w:before="65" w:after="0" w:line="280" w:lineRule="exact"/>
              <w:ind w:left="37"/>
              <w:jc w:val="center"/>
              <w:rPr>
                <w:rFonts w:ascii="Times New Roman" w:eastAsia="宋体" w:hAnsi="Times New Roman" w:cs="Times New Roman"/>
                <w:color w:val="auto"/>
                <w:lang w:eastAsia="zh-CN"/>
              </w:rPr>
            </w:pPr>
            <w:r>
              <w:rPr>
                <w:rFonts w:ascii="Times New Roman" w:eastAsia="宋体" w:hAnsi="Times New Roman" w:cs="Times New Roman"/>
                <w:color w:val="auto"/>
                <w:lang w:eastAsia="zh-CN"/>
              </w:rPr>
              <w:t>单轴卧式超圆盘干燥机</w:t>
            </w:r>
          </w:p>
        </w:tc>
        <w:tc>
          <w:tcPr>
            <w:tcW w:w="1823" w:type="pct"/>
            <w:tcBorders>
              <w:tl2br w:val="nil"/>
              <w:tr2bl w:val="nil"/>
            </w:tcBorders>
            <w:vAlign w:val="center"/>
          </w:tcPr>
          <w:p w14:paraId="3E7E448D" w14:textId="68EFCD1A" w:rsidR="003C077B" w:rsidRPr="003C077B" w:rsidRDefault="003C077B" w:rsidP="003C077B">
            <w:pPr>
              <w:spacing w:before="65" w:after="0" w:line="280" w:lineRule="exact"/>
              <w:ind w:left="37"/>
              <w:jc w:val="center"/>
              <w:rPr>
                <w:rFonts w:ascii="Times New Roman" w:eastAsia="宋体" w:hAnsi="Times New Roman" w:cs="Times New Roman"/>
                <w:color w:val="auto"/>
                <w:lang w:eastAsia="zh-CN"/>
              </w:rPr>
            </w:pPr>
            <w:r>
              <w:rPr>
                <w:rFonts w:ascii="Times New Roman" w:eastAsia="宋体" w:hAnsi="Times New Roman" w:cs="Times New Roman"/>
                <w:color w:val="auto"/>
                <w:lang w:eastAsia="zh-CN"/>
              </w:rPr>
              <w:t>100t/d</w:t>
            </w:r>
          </w:p>
        </w:tc>
        <w:tc>
          <w:tcPr>
            <w:tcW w:w="623" w:type="pct"/>
            <w:tcBorders>
              <w:tl2br w:val="nil"/>
              <w:tr2bl w:val="nil"/>
            </w:tcBorders>
            <w:vAlign w:val="center"/>
          </w:tcPr>
          <w:p w14:paraId="0D18A8C5" w14:textId="529C5581" w:rsidR="003C077B" w:rsidRPr="003C077B" w:rsidRDefault="003C077B" w:rsidP="003C077B">
            <w:pPr>
              <w:spacing w:before="65" w:after="0" w:line="280" w:lineRule="exact"/>
              <w:ind w:left="37"/>
              <w:jc w:val="center"/>
              <w:rPr>
                <w:rFonts w:ascii="Times New Roman" w:eastAsia="宋体" w:hAnsi="Times New Roman" w:cs="Times New Roman"/>
                <w:color w:val="auto"/>
                <w:lang w:eastAsia="zh-CN"/>
              </w:rPr>
            </w:pPr>
            <w:r>
              <w:rPr>
                <w:rFonts w:ascii="Times New Roman" w:eastAsia="宋体" w:hAnsi="Times New Roman" w:cs="Times New Roman"/>
                <w:color w:val="auto"/>
                <w:lang w:eastAsia="zh-CN"/>
              </w:rPr>
              <w:t>台</w:t>
            </w:r>
          </w:p>
        </w:tc>
        <w:tc>
          <w:tcPr>
            <w:tcW w:w="381" w:type="pct"/>
            <w:tcBorders>
              <w:tl2br w:val="nil"/>
              <w:tr2bl w:val="nil"/>
            </w:tcBorders>
            <w:vAlign w:val="center"/>
          </w:tcPr>
          <w:p w14:paraId="060F555A" w14:textId="528927C1" w:rsidR="003C077B" w:rsidRPr="003C077B" w:rsidRDefault="003C077B" w:rsidP="003C077B">
            <w:pPr>
              <w:spacing w:before="65" w:after="0" w:line="280" w:lineRule="exact"/>
              <w:ind w:left="37"/>
              <w:jc w:val="center"/>
              <w:rPr>
                <w:rFonts w:ascii="Times New Roman" w:eastAsia="宋体" w:hAnsi="Times New Roman" w:cs="Times New Roman"/>
                <w:color w:val="auto"/>
                <w:lang w:eastAsia="zh-CN"/>
              </w:rPr>
            </w:pPr>
            <w:r>
              <w:rPr>
                <w:rFonts w:ascii="Times New Roman" w:eastAsia="宋体" w:hAnsi="Times New Roman" w:cs="Times New Roman"/>
                <w:color w:val="auto"/>
                <w:lang w:eastAsia="zh-CN"/>
              </w:rPr>
              <w:t>3</w:t>
            </w:r>
          </w:p>
        </w:tc>
        <w:tc>
          <w:tcPr>
            <w:tcW w:w="330" w:type="pct"/>
            <w:tcBorders>
              <w:tl2br w:val="nil"/>
              <w:tr2bl w:val="nil"/>
            </w:tcBorders>
            <w:vAlign w:val="center"/>
          </w:tcPr>
          <w:p w14:paraId="154A11A0" w14:textId="49B1E499" w:rsidR="003C077B" w:rsidRPr="003C077B" w:rsidRDefault="003C077B" w:rsidP="003C077B">
            <w:pPr>
              <w:spacing w:before="65" w:after="0" w:line="280" w:lineRule="exact"/>
              <w:ind w:left="37"/>
              <w:jc w:val="center"/>
              <w:rPr>
                <w:rFonts w:ascii="Times New Roman" w:eastAsia="宋体" w:hAnsi="Times New Roman" w:cs="Times New Roman"/>
                <w:color w:val="auto"/>
                <w:lang w:eastAsia="zh-CN"/>
              </w:rPr>
            </w:pPr>
          </w:p>
        </w:tc>
      </w:tr>
      <w:tr w:rsidR="003C077B" w:rsidRPr="00A06FAB" w14:paraId="4DDB0056" w14:textId="77777777" w:rsidTr="003C077B">
        <w:trPr>
          <w:trHeight w:val="340"/>
          <w:jc w:val="center"/>
        </w:trPr>
        <w:tc>
          <w:tcPr>
            <w:tcW w:w="427" w:type="pct"/>
            <w:tcBorders>
              <w:left w:val="single" w:sz="4" w:space="0" w:color="000000"/>
            </w:tcBorders>
            <w:vAlign w:val="center"/>
          </w:tcPr>
          <w:p w14:paraId="6B39E3A8" w14:textId="4DCD12C5" w:rsidR="003C077B" w:rsidRPr="00E72020" w:rsidRDefault="003C077B" w:rsidP="003C077B">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hint="eastAsia"/>
                <w:color w:val="auto"/>
                <w:lang w:eastAsia="zh-CN"/>
              </w:rPr>
              <w:t>30</w:t>
            </w:r>
          </w:p>
        </w:tc>
        <w:tc>
          <w:tcPr>
            <w:tcW w:w="1416" w:type="pct"/>
            <w:tcBorders>
              <w:tl2br w:val="nil"/>
              <w:tr2bl w:val="nil"/>
            </w:tcBorders>
            <w:vAlign w:val="center"/>
          </w:tcPr>
          <w:p w14:paraId="26DF83DE" w14:textId="676AC4A6" w:rsidR="003C077B" w:rsidRPr="00E72020" w:rsidRDefault="003C077B" w:rsidP="003C077B">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压滤机进泥螺杆泵</w:t>
            </w:r>
          </w:p>
        </w:tc>
        <w:tc>
          <w:tcPr>
            <w:tcW w:w="1823" w:type="pct"/>
            <w:tcBorders>
              <w:tl2br w:val="nil"/>
              <w:tr2bl w:val="nil"/>
            </w:tcBorders>
            <w:vAlign w:val="center"/>
          </w:tcPr>
          <w:p w14:paraId="67D29B69" w14:textId="0606F7BD" w:rsidR="003C077B" w:rsidRPr="00E72020" w:rsidRDefault="003C077B" w:rsidP="003C077B">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Q=13m³/h</w:t>
            </w:r>
            <w:r w:rsidRPr="00E72020">
              <w:rPr>
                <w:rFonts w:ascii="Times New Roman" w:eastAsia="宋体" w:hAnsi="Times New Roman" w:cs="Times New Roman"/>
                <w:color w:val="auto"/>
                <w:lang w:eastAsia="zh-CN"/>
              </w:rPr>
              <w:t>，</w:t>
            </w:r>
            <w:r w:rsidRPr="00E72020">
              <w:rPr>
                <w:rFonts w:ascii="Times New Roman" w:eastAsia="宋体" w:hAnsi="Times New Roman" w:cs="Times New Roman"/>
                <w:color w:val="auto"/>
                <w:lang w:eastAsia="zh-CN"/>
              </w:rPr>
              <w:t>H=120m</w:t>
            </w:r>
          </w:p>
        </w:tc>
        <w:tc>
          <w:tcPr>
            <w:tcW w:w="623" w:type="pct"/>
            <w:tcBorders>
              <w:tl2br w:val="nil"/>
              <w:tr2bl w:val="nil"/>
            </w:tcBorders>
            <w:vAlign w:val="center"/>
          </w:tcPr>
          <w:p w14:paraId="15A0FB17" w14:textId="545AC28F" w:rsidR="003C077B" w:rsidRPr="00E72020" w:rsidRDefault="003C077B" w:rsidP="003C077B">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台</w:t>
            </w:r>
          </w:p>
        </w:tc>
        <w:tc>
          <w:tcPr>
            <w:tcW w:w="381" w:type="pct"/>
            <w:tcBorders>
              <w:tl2br w:val="nil"/>
              <w:tr2bl w:val="nil"/>
            </w:tcBorders>
            <w:vAlign w:val="center"/>
          </w:tcPr>
          <w:p w14:paraId="5BCD6311" w14:textId="38E6CAEE" w:rsidR="003C077B" w:rsidRPr="00E72020" w:rsidRDefault="003C077B" w:rsidP="003C077B">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18</w:t>
            </w:r>
          </w:p>
        </w:tc>
        <w:tc>
          <w:tcPr>
            <w:tcW w:w="330" w:type="pct"/>
            <w:tcBorders>
              <w:right w:val="single" w:sz="4" w:space="0" w:color="000000"/>
            </w:tcBorders>
            <w:vAlign w:val="center"/>
          </w:tcPr>
          <w:p w14:paraId="715E687A" w14:textId="77777777" w:rsidR="003C077B" w:rsidRPr="00E72020" w:rsidRDefault="003C077B" w:rsidP="003C077B">
            <w:pPr>
              <w:spacing w:before="65" w:after="0" w:line="280" w:lineRule="exact"/>
              <w:ind w:left="37"/>
              <w:jc w:val="center"/>
              <w:rPr>
                <w:rFonts w:ascii="Times New Roman" w:eastAsia="宋体" w:hAnsi="Times New Roman" w:cs="Times New Roman"/>
                <w:color w:val="auto"/>
                <w:lang w:eastAsia="zh-CN"/>
              </w:rPr>
            </w:pPr>
          </w:p>
        </w:tc>
      </w:tr>
      <w:tr w:rsidR="003C077B" w:rsidRPr="00A06FAB" w14:paraId="35DCBB2A" w14:textId="77777777" w:rsidTr="003C077B">
        <w:trPr>
          <w:trHeight w:val="340"/>
          <w:jc w:val="center"/>
        </w:trPr>
        <w:tc>
          <w:tcPr>
            <w:tcW w:w="427" w:type="pct"/>
            <w:tcBorders>
              <w:left w:val="single" w:sz="4" w:space="0" w:color="000000"/>
            </w:tcBorders>
            <w:vAlign w:val="center"/>
          </w:tcPr>
          <w:p w14:paraId="65A8D25C" w14:textId="2E2189DE" w:rsidR="003C077B" w:rsidRPr="00E72020" w:rsidRDefault="003C077B" w:rsidP="003C077B">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hint="eastAsia"/>
                <w:color w:val="auto"/>
                <w:lang w:eastAsia="zh-CN"/>
              </w:rPr>
              <w:t>31</w:t>
            </w:r>
          </w:p>
        </w:tc>
        <w:tc>
          <w:tcPr>
            <w:tcW w:w="1416" w:type="pct"/>
            <w:tcBorders>
              <w:tl2br w:val="nil"/>
              <w:tr2bl w:val="nil"/>
            </w:tcBorders>
            <w:vAlign w:val="center"/>
          </w:tcPr>
          <w:p w14:paraId="189AFB93" w14:textId="0903E448" w:rsidR="003C077B" w:rsidRPr="00E72020" w:rsidRDefault="003C077B" w:rsidP="003C077B">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调理罐</w:t>
            </w:r>
          </w:p>
        </w:tc>
        <w:tc>
          <w:tcPr>
            <w:tcW w:w="1823" w:type="pct"/>
            <w:tcBorders>
              <w:tl2br w:val="nil"/>
              <w:tr2bl w:val="nil"/>
            </w:tcBorders>
            <w:vAlign w:val="center"/>
          </w:tcPr>
          <w:p w14:paraId="0CB1FC50" w14:textId="75594D22" w:rsidR="003C077B" w:rsidRPr="00E72020" w:rsidRDefault="003C077B" w:rsidP="003C077B">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V=8/m³</w:t>
            </w:r>
          </w:p>
        </w:tc>
        <w:tc>
          <w:tcPr>
            <w:tcW w:w="623" w:type="pct"/>
            <w:tcBorders>
              <w:tl2br w:val="nil"/>
              <w:tr2bl w:val="nil"/>
            </w:tcBorders>
            <w:vAlign w:val="center"/>
          </w:tcPr>
          <w:p w14:paraId="23294E99" w14:textId="7DF10D48" w:rsidR="003C077B" w:rsidRPr="00E72020" w:rsidRDefault="003C077B" w:rsidP="003C077B">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台</w:t>
            </w:r>
          </w:p>
        </w:tc>
        <w:tc>
          <w:tcPr>
            <w:tcW w:w="381" w:type="pct"/>
            <w:tcBorders>
              <w:tl2br w:val="nil"/>
              <w:tr2bl w:val="nil"/>
            </w:tcBorders>
            <w:vAlign w:val="center"/>
          </w:tcPr>
          <w:p w14:paraId="02B90CA4" w14:textId="23976DC8" w:rsidR="003C077B" w:rsidRPr="00E72020" w:rsidRDefault="003C077B" w:rsidP="003C077B">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1</w:t>
            </w:r>
          </w:p>
        </w:tc>
        <w:tc>
          <w:tcPr>
            <w:tcW w:w="330" w:type="pct"/>
            <w:tcBorders>
              <w:right w:val="single" w:sz="4" w:space="0" w:color="000000"/>
            </w:tcBorders>
            <w:vAlign w:val="center"/>
          </w:tcPr>
          <w:p w14:paraId="1026A6E1" w14:textId="77777777" w:rsidR="003C077B" w:rsidRPr="00E72020" w:rsidRDefault="003C077B" w:rsidP="003C077B">
            <w:pPr>
              <w:spacing w:before="65" w:after="0" w:line="280" w:lineRule="exact"/>
              <w:ind w:left="37"/>
              <w:jc w:val="center"/>
              <w:rPr>
                <w:rFonts w:ascii="Times New Roman" w:eastAsia="宋体" w:hAnsi="Times New Roman" w:cs="Times New Roman"/>
                <w:color w:val="auto"/>
                <w:lang w:eastAsia="zh-CN"/>
              </w:rPr>
            </w:pPr>
          </w:p>
        </w:tc>
      </w:tr>
      <w:tr w:rsidR="003C077B" w:rsidRPr="00A06FAB" w14:paraId="1371E5F3" w14:textId="77777777" w:rsidTr="003C077B">
        <w:trPr>
          <w:trHeight w:val="340"/>
          <w:jc w:val="center"/>
        </w:trPr>
        <w:tc>
          <w:tcPr>
            <w:tcW w:w="427" w:type="pct"/>
            <w:tcBorders>
              <w:left w:val="single" w:sz="4" w:space="0" w:color="000000"/>
            </w:tcBorders>
            <w:vAlign w:val="center"/>
          </w:tcPr>
          <w:p w14:paraId="7005184A" w14:textId="03E24EB1" w:rsidR="003C077B" w:rsidRPr="00E72020" w:rsidRDefault="003C077B" w:rsidP="003C077B">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hint="eastAsia"/>
                <w:color w:val="auto"/>
                <w:lang w:eastAsia="zh-CN"/>
              </w:rPr>
              <w:t>32</w:t>
            </w:r>
          </w:p>
        </w:tc>
        <w:tc>
          <w:tcPr>
            <w:tcW w:w="1416" w:type="pct"/>
            <w:tcBorders>
              <w:tl2br w:val="nil"/>
              <w:tr2bl w:val="nil"/>
            </w:tcBorders>
            <w:vAlign w:val="center"/>
          </w:tcPr>
          <w:p w14:paraId="0E81CD84" w14:textId="035B576B" w:rsidR="003C077B" w:rsidRPr="00E72020" w:rsidRDefault="003C077B" w:rsidP="003C077B">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药剂接收泵</w:t>
            </w:r>
          </w:p>
        </w:tc>
        <w:tc>
          <w:tcPr>
            <w:tcW w:w="1823" w:type="pct"/>
            <w:tcBorders>
              <w:tl2br w:val="nil"/>
              <w:tr2bl w:val="nil"/>
            </w:tcBorders>
            <w:vAlign w:val="center"/>
          </w:tcPr>
          <w:p w14:paraId="24B5F388" w14:textId="62355B77" w:rsidR="003C077B" w:rsidRPr="00E72020" w:rsidRDefault="003C077B" w:rsidP="003C077B">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Q=35m³/h</w:t>
            </w:r>
            <w:r w:rsidRPr="00E72020">
              <w:rPr>
                <w:rFonts w:ascii="Times New Roman" w:eastAsia="宋体" w:hAnsi="Times New Roman" w:cs="Times New Roman"/>
                <w:color w:val="auto"/>
                <w:lang w:eastAsia="zh-CN"/>
              </w:rPr>
              <w:t>，</w:t>
            </w:r>
            <w:r w:rsidRPr="00E72020">
              <w:rPr>
                <w:rFonts w:ascii="Times New Roman" w:eastAsia="宋体" w:hAnsi="Times New Roman" w:cs="Times New Roman"/>
                <w:color w:val="auto"/>
                <w:lang w:eastAsia="zh-CN"/>
              </w:rPr>
              <w:t>H=20m</w:t>
            </w:r>
          </w:p>
        </w:tc>
        <w:tc>
          <w:tcPr>
            <w:tcW w:w="623" w:type="pct"/>
            <w:tcBorders>
              <w:tl2br w:val="nil"/>
              <w:tr2bl w:val="nil"/>
            </w:tcBorders>
            <w:vAlign w:val="center"/>
          </w:tcPr>
          <w:p w14:paraId="734C732F" w14:textId="3402DBE4" w:rsidR="003C077B" w:rsidRPr="00E72020" w:rsidRDefault="003C077B" w:rsidP="003C077B">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台</w:t>
            </w:r>
          </w:p>
        </w:tc>
        <w:tc>
          <w:tcPr>
            <w:tcW w:w="381" w:type="pct"/>
            <w:tcBorders>
              <w:tl2br w:val="nil"/>
              <w:tr2bl w:val="nil"/>
            </w:tcBorders>
            <w:vAlign w:val="center"/>
          </w:tcPr>
          <w:p w14:paraId="56EBB68D" w14:textId="6CBA96BD" w:rsidR="003C077B" w:rsidRPr="00E72020" w:rsidRDefault="003C077B" w:rsidP="003C077B">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2</w:t>
            </w:r>
          </w:p>
        </w:tc>
        <w:tc>
          <w:tcPr>
            <w:tcW w:w="330" w:type="pct"/>
            <w:tcBorders>
              <w:right w:val="single" w:sz="4" w:space="0" w:color="000000"/>
            </w:tcBorders>
            <w:vAlign w:val="center"/>
          </w:tcPr>
          <w:p w14:paraId="2BC72F64" w14:textId="77777777" w:rsidR="003C077B" w:rsidRPr="00E72020" w:rsidRDefault="003C077B" w:rsidP="003C077B">
            <w:pPr>
              <w:spacing w:before="65" w:after="0" w:line="280" w:lineRule="exact"/>
              <w:ind w:left="37"/>
              <w:jc w:val="center"/>
              <w:rPr>
                <w:rFonts w:ascii="Times New Roman" w:eastAsia="宋体" w:hAnsi="Times New Roman" w:cs="Times New Roman"/>
                <w:color w:val="auto"/>
                <w:lang w:eastAsia="zh-CN"/>
              </w:rPr>
            </w:pPr>
          </w:p>
        </w:tc>
      </w:tr>
      <w:tr w:rsidR="003C077B" w:rsidRPr="00A06FAB" w14:paraId="7966D770" w14:textId="77777777" w:rsidTr="003C077B">
        <w:trPr>
          <w:trHeight w:val="340"/>
          <w:jc w:val="center"/>
        </w:trPr>
        <w:tc>
          <w:tcPr>
            <w:tcW w:w="427" w:type="pct"/>
            <w:tcBorders>
              <w:left w:val="single" w:sz="4" w:space="0" w:color="000000"/>
            </w:tcBorders>
            <w:vAlign w:val="center"/>
          </w:tcPr>
          <w:p w14:paraId="138F4DDB" w14:textId="1BFAA46B" w:rsidR="003C077B" w:rsidRPr="00E72020" w:rsidRDefault="003C077B" w:rsidP="003C077B">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hint="eastAsia"/>
                <w:color w:val="auto"/>
                <w:lang w:eastAsia="zh-CN"/>
              </w:rPr>
              <w:t>33</w:t>
            </w:r>
          </w:p>
        </w:tc>
        <w:tc>
          <w:tcPr>
            <w:tcW w:w="1416" w:type="pct"/>
            <w:tcBorders>
              <w:tl2br w:val="nil"/>
              <w:tr2bl w:val="nil"/>
            </w:tcBorders>
            <w:vAlign w:val="center"/>
          </w:tcPr>
          <w:p w14:paraId="7BAA9555" w14:textId="4D35B37D" w:rsidR="003C077B" w:rsidRPr="00E72020" w:rsidRDefault="003C077B" w:rsidP="003C077B">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药剂投加泵</w:t>
            </w:r>
          </w:p>
        </w:tc>
        <w:tc>
          <w:tcPr>
            <w:tcW w:w="1823" w:type="pct"/>
            <w:tcBorders>
              <w:tl2br w:val="nil"/>
              <w:tr2bl w:val="nil"/>
            </w:tcBorders>
            <w:vAlign w:val="center"/>
          </w:tcPr>
          <w:p w14:paraId="5A2FE8B8" w14:textId="2033B2BB" w:rsidR="003C077B" w:rsidRPr="00E72020" w:rsidRDefault="003C077B" w:rsidP="003C077B">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Q=0-5m³/h</w:t>
            </w:r>
            <w:r w:rsidRPr="00E72020">
              <w:rPr>
                <w:rFonts w:ascii="Times New Roman" w:eastAsia="宋体" w:hAnsi="Times New Roman" w:cs="Times New Roman"/>
                <w:color w:val="auto"/>
                <w:lang w:eastAsia="zh-CN"/>
              </w:rPr>
              <w:t>，</w:t>
            </w:r>
            <w:r w:rsidRPr="00E72020">
              <w:rPr>
                <w:rFonts w:ascii="Times New Roman" w:eastAsia="宋体" w:hAnsi="Times New Roman" w:cs="Times New Roman"/>
                <w:color w:val="auto"/>
                <w:lang w:eastAsia="zh-CN"/>
              </w:rPr>
              <w:t>H=25m</w:t>
            </w:r>
          </w:p>
        </w:tc>
        <w:tc>
          <w:tcPr>
            <w:tcW w:w="623" w:type="pct"/>
            <w:tcBorders>
              <w:tl2br w:val="nil"/>
              <w:tr2bl w:val="nil"/>
            </w:tcBorders>
            <w:vAlign w:val="center"/>
          </w:tcPr>
          <w:p w14:paraId="7AFFCB02" w14:textId="7A5C6E1F" w:rsidR="003C077B" w:rsidRPr="00E72020" w:rsidRDefault="003C077B" w:rsidP="003C077B">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台</w:t>
            </w:r>
          </w:p>
        </w:tc>
        <w:tc>
          <w:tcPr>
            <w:tcW w:w="381" w:type="pct"/>
            <w:tcBorders>
              <w:tl2br w:val="nil"/>
              <w:tr2bl w:val="nil"/>
            </w:tcBorders>
            <w:vAlign w:val="center"/>
          </w:tcPr>
          <w:p w14:paraId="421C08B5" w14:textId="46F99253" w:rsidR="003C077B" w:rsidRPr="00E72020" w:rsidRDefault="003C077B" w:rsidP="003C077B">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1</w:t>
            </w:r>
          </w:p>
        </w:tc>
        <w:tc>
          <w:tcPr>
            <w:tcW w:w="330" w:type="pct"/>
            <w:tcBorders>
              <w:right w:val="single" w:sz="4" w:space="0" w:color="000000"/>
            </w:tcBorders>
            <w:vAlign w:val="center"/>
          </w:tcPr>
          <w:p w14:paraId="4886E0B2" w14:textId="77777777" w:rsidR="003C077B" w:rsidRPr="00E72020" w:rsidRDefault="003C077B" w:rsidP="003C077B">
            <w:pPr>
              <w:spacing w:before="65" w:after="0" w:line="280" w:lineRule="exact"/>
              <w:ind w:left="37"/>
              <w:jc w:val="center"/>
              <w:rPr>
                <w:rFonts w:ascii="Times New Roman" w:eastAsia="宋体" w:hAnsi="Times New Roman" w:cs="Times New Roman"/>
                <w:color w:val="auto"/>
                <w:lang w:eastAsia="zh-CN"/>
              </w:rPr>
            </w:pPr>
          </w:p>
        </w:tc>
      </w:tr>
      <w:tr w:rsidR="003C077B" w:rsidRPr="00A06FAB" w14:paraId="59BB39B8" w14:textId="77777777" w:rsidTr="003C077B">
        <w:trPr>
          <w:trHeight w:val="340"/>
          <w:jc w:val="center"/>
        </w:trPr>
        <w:tc>
          <w:tcPr>
            <w:tcW w:w="427" w:type="pct"/>
            <w:tcBorders>
              <w:left w:val="single" w:sz="4" w:space="0" w:color="000000"/>
            </w:tcBorders>
            <w:vAlign w:val="center"/>
          </w:tcPr>
          <w:p w14:paraId="7963EE87" w14:textId="183CED67" w:rsidR="003C077B" w:rsidRPr="00E72020" w:rsidRDefault="003C077B" w:rsidP="003C077B">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hint="eastAsia"/>
                <w:color w:val="auto"/>
                <w:lang w:eastAsia="zh-CN"/>
              </w:rPr>
              <w:t>34</w:t>
            </w:r>
          </w:p>
        </w:tc>
        <w:tc>
          <w:tcPr>
            <w:tcW w:w="1416" w:type="pct"/>
            <w:tcBorders>
              <w:tl2br w:val="nil"/>
              <w:tr2bl w:val="nil"/>
            </w:tcBorders>
            <w:vAlign w:val="center"/>
          </w:tcPr>
          <w:p w14:paraId="09C2A137" w14:textId="6F6F45C1" w:rsidR="003C077B" w:rsidRPr="00E72020" w:rsidRDefault="003C077B" w:rsidP="003C077B">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药剂储罐（玻璃钢）</w:t>
            </w:r>
          </w:p>
        </w:tc>
        <w:tc>
          <w:tcPr>
            <w:tcW w:w="1823" w:type="pct"/>
            <w:tcBorders>
              <w:tl2br w:val="nil"/>
              <w:tr2bl w:val="nil"/>
            </w:tcBorders>
            <w:vAlign w:val="center"/>
          </w:tcPr>
          <w:p w14:paraId="0AAF6B50" w14:textId="1AD3E185" w:rsidR="003C077B" w:rsidRPr="00E72020" w:rsidRDefault="003C077B" w:rsidP="003C077B">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V=40m³</w:t>
            </w:r>
          </w:p>
        </w:tc>
        <w:tc>
          <w:tcPr>
            <w:tcW w:w="623" w:type="pct"/>
            <w:tcBorders>
              <w:tl2br w:val="nil"/>
              <w:tr2bl w:val="nil"/>
            </w:tcBorders>
            <w:vAlign w:val="center"/>
          </w:tcPr>
          <w:p w14:paraId="06B4959C" w14:textId="4D7F6E14" w:rsidR="003C077B" w:rsidRPr="00E72020" w:rsidRDefault="003C077B" w:rsidP="003C077B">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台</w:t>
            </w:r>
          </w:p>
        </w:tc>
        <w:tc>
          <w:tcPr>
            <w:tcW w:w="381" w:type="pct"/>
            <w:tcBorders>
              <w:tl2br w:val="nil"/>
              <w:tr2bl w:val="nil"/>
            </w:tcBorders>
            <w:vAlign w:val="center"/>
          </w:tcPr>
          <w:p w14:paraId="58DC4854" w14:textId="2CAEC909" w:rsidR="003C077B" w:rsidRPr="00E72020" w:rsidRDefault="003C077B" w:rsidP="003C077B">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1</w:t>
            </w:r>
          </w:p>
        </w:tc>
        <w:tc>
          <w:tcPr>
            <w:tcW w:w="330" w:type="pct"/>
            <w:tcBorders>
              <w:right w:val="single" w:sz="4" w:space="0" w:color="000000"/>
            </w:tcBorders>
            <w:vAlign w:val="center"/>
          </w:tcPr>
          <w:p w14:paraId="15CFA35F" w14:textId="77777777" w:rsidR="003C077B" w:rsidRPr="00E72020" w:rsidRDefault="003C077B" w:rsidP="003C077B">
            <w:pPr>
              <w:spacing w:before="65" w:after="0" w:line="280" w:lineRule="exact"/>
              <w:ind w:left="37"/>
              <w:jc w:val="center"/>
              <w:rPr>
                <w:rFonts w:ascii="Times New Roman" w:eastAsia="宋体" w:hAnsi="Times New Roman" w:cs="Times New Roman"/>
                <w:color w:val="auto"/>
                <w:lang w:eastAsia="zh-CN"/>
              </w:rPr>
            </w:pPr>
          </w:p>
        </w:tc>
      </w:tr>
      <w:tr w:rsidR="003C077B" w:rsidRPr="00A06FAB" w14:paraId="4EC2294E" w14:textId="77777777" w:rsidTr="003C077B">
        <w:trPr>
          <w:trHeight w:val="340"/>
          <w:jc w:val="center"/>
        </w:trPr>
        <w:tc>
          <w:tcPr>
            <w:tcW w:w="427" w:type="pct"/>
            <w:tcBorders>
              <w:left w:val="single" w:sz="4" w:space="0" w:color="000000"/>
            </w:tcBorders>
            <w:vAlign w:val="center"/>
          </w:tcPr>
          <w:p w14:paraId="7EA2293F" w14:textId="784B05F6" w:rsidR="003C077B" w:rsidRPr="00E72020" w:rsidRDefault="003C077B" w:rsidP="003C077B">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hint="eastAsia"/>
                <w:color w:val="auto"/>
                <w:lang w:eastAsia="zh-CN"/>
              </w:rPr>
              <w:t>35</w:t>
            </w:r>
          </w:p>
        </w:tc>
        <w:tc>
          <w:tcPr>
            <w:tcW w:w="1416" w:type="pct"/>
            <w:tcBorders>
              <w:tl2br w:val="nil"/>
              <w:tr2bl w:val="nil"/>
            </w:tcBorders>
            <w:vAlign w:val="center"/>
          </w:tcPr>
          <w:p w14:paraId="2E155B30" w14:textId="48633AF5" w:rsidR="003C077B" w:rsidRPr="00E72020" w:rsidRDefault="003C077B" w:rsidP="003C077B">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液压油</w:t>
            </w:r>
          </w:p>
        </w:tc>
        <w:tc>
          <w:tcPr>
            <w:tcW w:w="1823" w:type="pct"/>
            <w:tcBorders>
              <w:tl2br w:val="nil"/>
              <w:tr2bl w:val="nil"/>
            </w:tcBorders>
            <w:vAlign w:val="center"/>
          </w:tcPr>
          <w:p w14:paraId="0457F950" w14:textId="21D996EE" w:rsidR="003C077B" w:rsidRPr="00E72020" w:rsidRDefault="003C077B" w:rsidP="003C077B">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ML-46</w:t>
            </w:r>
          </w:p>
        </w:tc>
        <w:tc>
          <w:tcPr>
            <w:tcW w:w="623" w:type="pct"/>
            <w:tcBorders>
              <w:tl2br w:val="nil"/>
              <w:tr2bl w:val="nil"/>
            </w:tcBorders>
            <w:vAlign w:val="center"/>
          </w:tcPr>
          <w:p w14:paraId="3E04205E" w14:textId="337FFEB4" w:rsidR="003C077B" w:rsidRPr="00E72020" w:rsidRDefault="003C077B" w:rsidP="003C077B">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桶</w:t>
            </w:r>
          </w:p>
        </w:tc>
        <w:tc>
          <w:tcPr>
            <w:tcW w:w="381" w:type="pct"/>
            <w:tcBorders>
              <w:tl2br w:val="nil"/>
              <w:tr2bl w:val="nil"/>
            </w:tcBorders>
            <w:vAlign w:val="center"/>
          </w:tcPr>
          <w:p w14:paraId="3F5A99BA" w14:textId="505B1BDA" w:rsidR="003C077B" w:rsidRPr="00E72020" w:rsidRDefault="003C077B" w:rsidP="003C077B">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1</w:t>
            </w:r>
          </w:p>
        </w:tc>
        <w:tc>
          <w:tcPr>
            <w:tcW w:w="330" w:type="pct"/>
            <w:tcBorders>
              <w:right w:val="single" w:sz="4" w:space="0" w:color="000000"/>
            </w:tcBorders>
            <w:vAlign w:val="center"/>
          </w:tcPr>
          <w:p w14:paraId="11C85DC6" w14:textId="77777777" w:rsidR="003C077B" w:rsidRPr="00E72020" w:rsidRDefault="003C077B" w:rsidP="003C077B">
            <w:pPr>
              <w:spacing w:before="65" w:after="0" w:line="280" w:lineRule="exact"/>
              <w:ind w:left="37"/>
              <w:jc w:val="center"/>
              <w:rPr>
                <w:rFonts w:ascii="Times New Roman" w:eastAsia="宋体" w:hAnsi="Times New Roman" w:cs="Times New Roman"/>
                <w:color w:val="auto"/>
                <w:lang w:eastAsia="zh-CN"/>
              </w:rPr>
            </w:pPr>
          </w:p>
        </w:tc>
      </w:tr>
      <w:tr w:rsidR="003C077B" w:rsidRPr="00A06FAB" w14:paraId="1B11B104" w14:textId="77777777" w:rsidTr="003C077B">
        <w:trPr>
          <w:trHeight w:val="340"/>
          <w:jc w:val="center"/>
        </w:trPr>
        <w:tc>
          <w:tcPr>
            <w:tcW w:w="427" w:type="pct"/>
            <w:tcBorders>
              <w:left w:val="single" w:sz="4" w:space="0" w:color="000000"/>
            </w:tcBorders>
            <w:vAlign w:val="center"/>
          </w:tcPr>
          <w:p w14:paraId="09B76DE8" w14:textId="7446E18A" w:rsidR="003C077B" w:rsidRPr="00E72020" w:rsidRDefault="003C077B" w:rsidP="003C077B">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hint="eastAsia"/>
                <w:color w:val="auto"/>
                <w:lang w:eastAsia="zh-CN"/>
              </w:rPr>
              <w:t>36</w:t>
            </w:r>
          </w:p>
        </w:tc>
        <w:tc>
          <w:tcPr>
            <w:tcW w:w="1416" w:type="pct"/>
            <w:tcBorders>
              <w:tl2br w:val="nil"/>
              <w:tr2bl w:val="nil"/>
            </w:tcBorders>
            <w:vAlign w:val="center"/>
          </w:tcPr>
          <w:p w14:paraId="5D000537" w14:textId="52485994" w:rsidR="003C077B" w:rsidRPr="00E72020" w:rsidRDefault="003C077B" w:rsidP="003C077B">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工作平台</w:t>
            </w:r>
          </w:p>
        </w:tc>
        <w:tc>
          <w:tcPr>
            <w:tcW w:w="1823" w:type="pct"/>
            <w:tcBorders>
              <w:tl2br w:val="nil"/>
              <w:tr2bl w:val="nil"/>
            </w:tcBorders>
            <w:vAlign w:val="center"/>
          </w:tcPr>
          <w:p w14:paraId="64D50810" w14:textId="3CA1655F" w:rsidR="003C077B" w:rsidRPr="00E72020" w:rsidRDefault="003C077B" w:rsidP="003C077B">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G650*4</w:t>
            </w:r>
          </w:p>
        </w:tc>
        <w:tc>
          <w:tcPr>
            <w:tcW w:w="623" w:type="pct"/>
            <w:tcBorders>
              <w:tl2br w:val="nil"/>
              <w:tr2bl w:val="nil"/>
            </w:tcBorders>
            <w:vAlign w:val="center"/>
          </w:tcPr>
          <w:p w14:paraId="5BA33C08" w14:textId="16BAC8DA" w:rsidR="003C077B" w:rsidRPr="00E72020" w:rsidRDefault="003C077B" w:rsidP="003C077B">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项</w:t>
            </w:r>
          </w:p>
        </w:tc>
        <w:tc>
          <w:tcPr>
            <w:tcW w:w="381" w:type="pct"/>
            <w:tcBorders>
              <w:tl2br w:val="nil"/>
              <w:tr2bl w:val="nil"/>
            </w:tcBorders>
            <w:vAlign w:val="center"/>
          </w:tcPr>
          <w:p w14:paraId="2042E02A" w14:textId="16B816C9" w:rsidR="003C077B" w:rsidRPr="00E72020" w:rsidRDefault="003C077B" w:rsidP="003C077B">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1</w:t>
            </w:r>
          </w:p>
        </w:tc>
        <w:tc>
          <w:tcPr>
            <w:tcW w:w="330" w:type="pct"/>
            <w:tcBorders>
              <w:right w:val="single" w:sz="4" w:space="0" w:color="000000"/>
            </w:tcBorders>
            <w:vAlign w:val="center"/>
          </w:tcPr>
          <w:p w14:paraId="409E7C41" w14:textId="77777777" w:rsidR="003C077B" w:rsidRPr="00E72020" w:rsidRDefault="003C077B" w:rsidP="003C077B">
            <w:pPr>
              <w:spacing w:before="65" w:after="0" w:line="280" w:lineRule="exact"/>
              <w:ind w:left="37"/>
              <w:jc w:val="center"/>
              <w:rPr>
                <w:rFonts w:ascii="Times New Roman" w:eastAsia="宋体" w:hAnsi="Times New Roman" w:cs="Times New Roman"/>
                <w:color w:val="auto"/>
                <w:lang w:eastAsia="zh-CN"/>
              </w:rPr>
            </w:pPr>
          </w:p>
        </w:tc>
      </w:tr>
      <w:tr w:rsidR="003C077B" w:rsidRPr="00A06FAB" w14:paraId="63E8A500" w14:textId="77777777" w:rsidTr="003C077B">
        <w:trPr>
          <w:trHeight w:val="340"/>
          <w:jc w:val="center"/>
        </w:trPr>
        <w:tc>
          <w:tcPr>
            <w:tcW w:w="427" w:type="pct"/>
            <w:tcBorders>
              <w:left w:val="single" w:sz="4" w:space="0" w:color="000000"/>
            </w:tcBorders>
            <w:vAlign w:val="center"/>
          </w:tcPr>
          <w:p w14:paraId="10C0B368" w14:textId="75D389A4" w:rsidR="003C077B" w:rsidRPr="00E72020" w:rsidRDefault="003C077B" w:rsidP="003C077B">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hint="eastAsia"/>
                <w:color w:val="auto"/>
                <w:lang w:eastAsia="zh-CN"/>
              </w:rPr>
              <w:t>37</w:t>
            </w:r>
          </w:p>
        </w:tc>
        <w:tc>
          <w:tcPr>
            <w:tcW w:w="1416" w:type="pct"/>
            <w:tcBorders>
              <w:tl2br w:val="nil"/>
              <w:tr2bl w:val="nil"/>
            </w:tcBorders>
            <w:vAlign w:val="center"/>
          </w:tcPr>
          <w:p w14:paraId="4BAF6529" w14:textId="2F4ECA5A" w:rsidR="003C077B" w:rsidRPr="00E72020" w:rsidRDefault="003C077B" w:rsidP="003C077B">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螺旋输送机（一级）</w:t>
            </w:r>
          </w:p>
        </w:tc>
        <w:tc>
          <w:tcPr>
            <w:tcW w:w="1823" w:type="pct"/>
            <w:tcBorders>
              <w:tl2br w:val="nil"/>
              <w:tr2bl w:val="nil"/>
            </w:tcBorders>
            <w:vAlign w:val="center"/>
          </w:tcPr>
          <w:p w14:paraId="22C8C192" w14:textId="7CB5B469" w:rsidR="003C077B" w:rsidRPr="00E72020" w:rsidRDefault="003C077B" w:rsidP="003C077B">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Q=14m³/h</w:t>
            </w:r>
            <w:r w:rsidRPr="00E72020">
              <w:rPr>
                <w:rFonts w:ascii="Times New Roman" w:eastAsia="宋体" w:hAnsi="Times New Roman" w:cs="Times New Roman"/>
                <w:color w:val="auto"/>
                <w:lang w:eastAsia="zh-CN"/>
              </w:rPr>
              <w:t>，</w:t>
            </w:r>
            <w:r w:rsidRPr="00E72020">
              <w:rPr>
                <w:rFonts w:ascii="Times New Roman" w:eastAsia="宋体" w:hAnsi="Times New Roman" w:cs="Times New Roman"/>
                <w:color w:val="auto"/>
                <w:lang w:eastAsia="zh-CN"/>
              </w:rPr>
              <w:t>L=15.5m</w:t>
            </w:r>
          </w:p>
        </w:tc>
        <w:tc>
          <w:tcPr>
            <w:tcW w:w="623" w:type="pct"/>
            <w:tcBorders>
              <w:tl2br w:val="nil"/>
              <w:tr2bl w:val="nil"/>
            </w:tcBorders>
            <w:vAlign w:val="center"/>
          </w:tcPr>
          <w:p w14:paraId="0AB6B231" w14:textId="61D7188D" w:rsidR="003C077B" w:rsidRPr="00E72020" w:rsidRDefault="003C077B" w:rsidP="003C077B">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台</w:t>
            </w:r>
          </w:p>
        </w:tc>
        <w:tc>
          <w:tcPr>
            <w:tcW w:w="381" w:type="pct"/>
            <w:tcBorders>
              <w:tl2br w:val="nil"/>
              <w:tr2bl w:val="nil"/>
            </w:tcBorders>
            <w:vAlign w:val="center"/>
          </w:tcPr>
          <w:p w14:paraId="1DDEC577" w14:textId="13D5D588" w:rsidR="003C077B" w:rsidRPr="00E72020" w:rsidRDefault="003C077B" w:rsidP="003C077B">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2</w:t>
            </w:r>
          </w:p>
        </w:tc>
        <w:tc>
          <w:tcPr>
            <w:tcW w:w="330" w:type="pct"/>
            <w:tcBorders>
              <w:right w:val="single" w:sz="4" w:space="0" w:color="000000"/>
            </w:tcBorders>
            <w:vAlign w:val="center"/>
          </w:tcPr>
          <w:p w14:paraId="064A1A89" w14:textId="77777777" w:rsidR="003C077B" w:rsidRPr="00E72020" w:rsidRDefault="003C077B" w:rsidP="003C077B">
            <w:pPr>
              <w:spacing w:before="65" w:after="0" w:line="280" w:lineRule="exact"/>
              <w:ind w:left="37"/>
              <w:jc w:val="center"/>
              <w:rPr>
                <w:rFonts w:ascii="Times New Roman" w:eastAsia="宋体" w:hAnsi="Times New Roman" w:cs="Times New Roman"/>
                <w:color w:val="auto"/>
                <w:lang w:eastAsia="zh-CN"/>
              </w:rPr>
            </w:pPr>
          </w:p>
        </w:tc>
      </w:tr>
      <w:tr w:rsidR="003C077B" w:rsidRPr="00A06FAB" w14:paraId="11E7B8A6" w14:textId="77777777" w:rsidTr="003C077B">
        <w:trPr>
          <w:trHeight w:val="340"/>
          <w:jc w:val="center"/>
        </w:trPr>
        <w:tc>
          <w:tcPr>
            <w:tcW w:w="427" w:type="pct"/>
            <w:tcBorders>
              <w:left w:val="single" w:sz="4" w:space="0" w:color="000000"/>
            </w:tcBorders>
            <w:vAlign w:val="center"/>
          </w:tcPr>
          <w:p w14:paraId="46F02714" w14:textId="6F6EFE8A" w:rsidR="003C077B" w:rsidRPr="00E72020" w:rsidRDefault="003C077B" w:rsidP="003C077B">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hint="eastAsia"/>
                <w:color w:val="auto"/>
                <w:lang w:eastAsia="zh-CN"/>
              </w:rPr>
              <w:t>38</w:t>
            </w:r>
          </w:p>
        </w:tc>
        <w:tc>
          <w:tcPr>
            <w:tcW w:w="1416" w:type="pct"/>
            <w:tcBorders>
              <w:tl2br w:val="nil"/>
              <w:tr2bl w:val="nil"/>
            </w:tcBorders>
            <w:vAlign w:val="center"/>
          </w:tcPr>
          <w:p w14:paraId="06180B9A" w14:textId="0D6D82FF" w:rsidR="003C077B" w:rsidRPr="00E72020" w:rsidRDefault="003C077B" w:rsidP="003C077B">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螺旋输送机（二级）</w:t>
            </w:r>
          </w:p>
        </w:tc>
        <w:tc>
          <w:tcPr>
            <w:tcW w:w="1823" w:type="pct"/>
            <w:tcBorders>
              <w:tl2br w:val="nil"/>
              <w:tr2bl w:val="nil"/>
            </w:tcBorders>
            <w:vAlign w:val="center"/>
          </w:tcPr>
          <w:p w14:paraId="6381C48C" w14:textId="3D473A24" w:rsidR="003C077B" w:rsidRPr="00E72020" w:rsidRDefault="003C077B" w:rsidP="003C077B">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Q=15m³/h</w:t>
            </w:r>
            <w:r w:rsidRPr="00E72020">
              <w:rPr>
                <w:rFonts w:ascii="Times New Roman" w:eastAsia="宋体" w:hAnsi="Times New Roman" w:cs="Times New Roman"/>
                <w:color w:val="auto"/>
                <w:lang w:eastAsia="zh-CN"/>
              </w:rPr>
              <w:t>，</w:t>
            </w:r>
            <w:r w:rsidRPr="00E72020">
              <w:rPr>
                <w:rFonts w:ascii="Times New Roman" w:eastAsia="宋体" w:hAnsi="Times New Roman" w:cs="Times New Roman"/>
                <w:color w:val="auto"/>
                <w:lang w:eastAsia="zh-CN"/>
              </w:rPr>
              <w:t>L=14.5m</w:t>
            </w:r>
          </w:p>
        </w:tc>
        <w:tc>
          <w:tcPr>
            <w:tcW w:w="623" w:type="pct"/>
            <w:tcBorders>
              <w:tl2br w:val="nil"/>
              <w:tr2bl w:val="nil"/>
            </w:tcBorders>
            <w:vAlign w:val="center"/>
          </w:tcPr>
          <w:p w14:paraId="045E1225" w14:textId="708E582F" w:rsidR="003C077B" w:rsidRPr="00E72020" w:rsidRDefault="003C077B" w:rsidP="003C077B">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台</w:t>
            </w:r>
          </w:p>
        </w:tc>
        <w:tc>
          <w:tcPr>
            <w:tcW w:w="381" w:type="pct"/>
            <w:tcBorders>
              <w:tl2br w:val="nil"/>
              <w:tr2bl w:val="nil"/>
            </w:tcBorders>
            <w:vAlign w:val="center"/>
          </w:tcPr>
          <w:p w14:paraId="27EABC68" w14:textId="1FD9EC80" w:rsidR="003C077B" w:rsidRPr="00E72020" w:rsidRDefault="003C077B" w:rsidP="003C077B">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2</w:t>
            </w:r>
          </w:p>
        </w:tc>
        <w:tc>
          <w:tcPr>
            <w:tcW w:w="330" w:type="pct"/>
            <w:tcBorders>
              <w:right w:val="single" w:sz="4" w:space="0" w:color="000000"/>
            </w:tcBorders>
            <w:vAlign w:val="center"/>
          </w:tcPr>
          <w:p w14:paraId="734AA6A3" w14:textId="77777777" w:rsidR="003C077B" w:rsidRPr="00E72020" w:rsidRDefault="003C077B" w:rsidP="003C077B">
            <w:pPr>
              <w:spacing w:before="65" w:after="0" w:line="280" w:lineRule="exact"/>
              <w:ind w:left="37"/>
              <w:jc w:val="center"/>
              <w:rPr>
                <w:rFonts w:ascii="Times New Roman" w:eastAsia="宋体" w:hAnsi="Times New Roman" w:cs="Times New Roman"/>
                <w:color w:val="auto"/>
                <w:lang w:eastAsia="zh-CN"/>
              </w:rPr>
            </w:pPr>
          </w:p>
        </w:tc>
      </w:tr>
      <w:tr w:rsidR="003C077B" w:rsidRPr="00A06FAB" w14:paraId="4962A3C4" w14:textId="77777777" w:rsidTr="003C077B">
        <w:trPr>
          <w:trHeight w:val="340"/>
          <w:jc w:val="center"/>
        </w:trPr>
        <w:tc>
          <w:tcPr>
            <w:tcW w:w="427" w:type="pct"/>
            <w:tcBorders>
              <w:left w:val="single" w:sz="4" w:space="0" w:color="000000"/>
            </w:tcBorders>
            <w:vAlign w:val="center"/>
          </w:tcPr>
          <w:p w14:paraId="01A36E7B" w14:textId="65E40F6F" w:rsidR="003C077B" w:rsidRPr="00E72020" w:rsidRDefault="003C077B" w:rsidP="003C077B">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hint="eastAsia"/>
                <w:color w:val="auto"/>
                <w:lang w:eastAsia="zh-CN"/>
              </w:rPr>
              <w:t>39</w:t>
            </w:r>
          </w:p>
        </w:tc>
        <w:tc>
          <w:tcPr>
            <w:tcW w:w="1416" w:type="pct"/>
            <w:tcBorders>
              <w:tl2br w:val="nil"/>
              <w:tr2bl w:val="nil"/>
            </w:tcBorders>
            <w:vAlign w:val="center"/>
          </w:tcPr>
          <w:p w14:paraId="75D224AB" w14:textId="0652B3DC" w:rsidR="003C077B" w:rsidRPr="00E72020" w:rsidRDefault="003C077B" w:rsidP="003C077B">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螺旋输送机（三级）</w:t>
            </w:r>
          </w:p>
        </w:tc>
        <w:tc>
          <w:tcPr>
            <w:tcW w:w="1823" w:type="pct"/>
            <w:tcBorders>
              <w:tl2br w:val="nil"/>
              <w:tr2bl w:val="nil"/>
            </w:tcBorders>
            <w:vAlign w:val="center"/>
          </w:tcPr>
          <w:p w14:paraId="19D5B8F9" w14:textId="2DCAABBB" w:rsidR="003C077B" w:rsidRPr="00E72020" w:rsidRDefault="003C077B" w:rsidP="003C077B">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Q=16m³/h</w:t>
            </w:r>
            <w:r w:rsidRPr="00E72020">
              <w:rPr>
                <w:rFonts w:ascii="Times New Roman" w:eastAsia="宋体" w:hAnsi="Times New Roman" w:cs="Times New Roman"/>
                <w:color w:val="auto"/>
                <w:lang w:eastAsia="zh-CN"/>
              </w:rPr>
              <w:t>，</w:t>
            </w:r>
            <w:r w:rsidRPr="00E72020">
              <w:rPr>
                <w:rFonts w:ascii="Times New Roman" w:eastAsia="宋体" w:hAnsi="Times New Roman" w:cs="Times New Roman"/>
                <w:color w:val="auto"/>
                <w:lang w:eastAsia="zh-CN"/>
              </w:rPr>
              <w:t>L=14.8m</w:t>
            </w:r>
          </w:p>
        </w:tc>
        <w:tc>
          <w:tcPr>
            <w:tcW w:w="623" w:type="pct"/>
            <w:tcBorders>
              <w:tl2br w:val="nil"/>
              <w:tr2bl w:val="nil"/>
            </w:tcBorders>
            <w:vAlign w:val="center"/>
          </w:tcPr>
          <w:p w14:paraId="3725E96C" w14:textId="532AF03C" w:rsidR="003C077B" w:rsidRPr="00E72020" w:rsidRDefault="003C077B" w:rsidP="003C077B">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台</w:t>
            </w:r>
          </w:p>
        </w:tc>
        <w:tc>
          <w:tcPr>
            <w:tcW w:w="381" w:type="pct"/>
            <w:tcBorders>
              <w:tl2br w:val="nil"/>
              <w:tr2bl w:val="nil"/>
            </w:tcBorders>
            <w:vAlign w:val="center"/>
          </w:tcPr>
          <w:p w14:paraId="44789A38" w14:textId="314F1CB1" w:rsidR="003C077B" w:rsidRPr="00E72020" w:rsidRDefault="003C077B" w:rsidP="003C077B">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2</w:t>
            </w:r>
          </w:p>
        </w:tc>
        <w:tc>
          <w:tcPr>
            <w:tcW w:w="330" w:type="pct"/>
            <w:tcBorders>
              <w:right w:val="single" w:sz="4" w:space="0" w:color="000000"/>
            </w:tcBorders>
            <w:vAlign w:val="center"/>
          </w:tcPr>
          <w:p w14:paraId="61C122D8" w14:textId="77777777" w:rsidR="003C077B" w:rsidRPr="00E72020" w:rsidRDefault="003C077B" w:rsidP="003C077B">
            <w:pPr>
              <w:spacing w:before="65" w:after="0" w:line="280" w:lineRule="exact"/>
              <w:ind w:left="37"/>
              <w:jc w:val="center"/>
              <w:rPr>
                <w:rFonts w:ascii="Times New Roman" w:eastAsia="宋体" w:hAnsi="Times New Roman" w:cs="Times New Roman"/>
                <w:color w:val="auto"/>
                <w:lang w:eastAsia="zh-CN"/>
              </w:rPr>
            </w:pPr>
          </w:p>
        </w:tc>
      </w:tr>
      <w:tr w:rsidR="003C077B" w:rsidRPr="00A06FAB" w14:paraId="69F0F1F8" w14:textId="77777777" w:rsidTr="003C077B">
        <w:trPr>
          <w:trHeight w:val="340"/>
          <w:jc w:val="center"/>
        </w:trPr>
        <w:tc>
          <w:tcPr>
            <w:tcW w:w="427" w:type="pct"/>
            <w:tcBorders>
              <w:left w:val="single" w:sz="4" w:space="0" w:color="000000"/>
            </w:tcBorders>
            <w:vAlign w:val="center"/>
          </w:tcPr>
          <w:p w14:paraId="6831743C" w14:textId="6AB4D1FB" w:rsidR="003C077B" w:rsidRPr="00E72020" w:rsidRDefault="003C077B" w:rsidP="003C077B">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hint="eastAsia"/>
                <w:color w:val="auto"/>
                <w:lang w:eastAsia="zh-CN"/>
              </w:rPr>
              <w:t>40</w:t>
            </w:r>
          </w:p>
        </w:tc>
        <w:tc>
          <w:tcPr>
            <w:tcW w:w="1416" w:type="pct"/>
            <w:tcBorders>
              <w:tl2br w:val="nil"/>
              <w:tr2bl w:val="nil"/>
            </w:tcBorders>
            <w:vAlign w:val="center"/>
          </w:tcPr>
          <w:p w14:paraId="4C45206D" w14:textId="430C858C" w:rsidR="003C077B" w:rsidRPr="00E72020" w:rsidRDefault="003C077B" w:rsidP="003C077B">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刮板输送机（四级）</w:t>
            </w:r>
          </w:p>
        </w:tc>
        <w:tc>
          <w:tcPr>
            <w:tcW w:w="1823" w:type="pct"/>
            <w:tcBorders>
              <w:tl2br w:val="nil"/>
              <w:tr2bl w:val="nil"/>
            </w:tcBorders>
            <w:vAlign w:val="center"/>
          </w:tcPr>
          <w:p w14:paraId="12F9CE64" w14:textId="526C1E21" w:rsidR="003C077B" w:rsidRPr="00E72020" w:rsidRDefault="003C077B" w:rsidP="003C077B">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Q=18m³/h,L=13.5m</w:t>
            </w:r>
          </w:p>
        </w:tc>
        <w:tc>
          <w:tcPr>
            <w:tcW w:w="623" w:type="pct"/>
            <w:tcBorders>
              <w:tl2br w:val="nil"/>
              <w:tr2bl w:val="nil"/>
            </w:tcBorders>
            <w:vAlign w:val="center"/>
          </w:tcPr>
          <w:p w14:paraId="146F8F2C" w14:textId="18CCC2C4" w:rsidR="003C077B" w:rsidRPr="00E72020" w:rsidRDefault="003C077B" w:rsidP="003C077B">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台</w:t>
            </w:r>
          </w:p>
        </w:tc>
        <w:tc>
          <w:tcPr>
            <w:tcW w:w="381" w:type="pct"/>
            <w:tcBorders>
              <w:tl2br w:val="nil"/>
              <w:tr2bl w:val="nil"/>
            </w:tcBorders>
            <w:vAlign w:val="center"/>
          </w:tcPr>
          <w:p w14:paraId="16D45158" w14:textId="02588677" w:rsidR="003C077B" w:rsidRPr="00E72020" w:rsidRDefault="003C077B" w:rsidP="003C077B">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4</w:t>
            </w:r>
          </w:p>
        </w:tc>
        <w:tc>
          <w:tcPr>
            <w:tcW w:w="330" w:type="pct"/>
            <w:tcBorders>
              <w:right w:val="single" w:sz="4" w:space="0" w:color="000000"/>
            </w:tcBorders>
            <w:vAlign w:val="center"/>
          </w:tcPr>
          <w:p w14:paraId="6A4165F2" w14:textId="77777777" w:rsidR="003C077B" w:rsidRPr="00E72020" w:rsidRDefault="003C077B" w:rsidP="003C077B">
            <w:pPr>
              <w:spacing w:before="65" w:after="0" w:line="280" w:lineRule="exact"/>
              <w:ind w:left="37"/>
              <w:jc w:val="center"/>
              <w:rPr>
                <w:rFonts w:ascii="Times New Roman" w:eastAsia="宋体" w:hAnsi="Times New Roman" w:cs="Times New Roman"/>
                <w:color w:val="auto"/>
                <w:lang w:eastAsia="zh-CN"/>
              </w:rPr>
            </w:pPr>
          </w:p>
        </w:tc>
      </w:tr>
      <w:tr w:rsidR="003C077B" w:rsidRPr="00A06FAB" w14:paraId="72C62C18" w14:textId="77777777" w:rsidTr="003C077B">
        <w:trPr>
          <w:trHeight w:val="340"/>
          <w:jc w:val="center"/>
        </w:trPr>
        <w:tc>
          <w:tcPr>
            <w:tcW w:w="427" w:type="pct"/>
            <w:tcBorders>
              <w:left w:val="single" w:sz="4" w:space="0" w:color="000000"/>
            </w:tcBorders>
            <w:vAlign w:val="center"/>
          </w:tcPr>
          <w:p w14:paraId="5B7F9700" w14:textId="3265A86B" w:rsidR="003C077B" w:rsidRPr="00E72020" w:rsidRDefault="003C077B" w:rsidP="003C077B">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hint="eastAsia"/>
                <w:color w:val="auto"/>
                <w:lang w:eastAsia="zh-CN"/>
              </w:rPr>
              <w:t>41</w:t>
            </w:r>
          </w:p>
        </w:tc>
        <w:tc>
          <w:tcPr>
            <w:tcW w:w="1416" w:type="pct"/>
            <w:tcBorders>
              <w:tl2br w:val="nil"/>
              <w:tr2bl w:val="nil"/>
            </w:tcBorders>
            <w:vAlign w:val="center"/>
          </w:tcPr>
          <w:p w14:paraId="48D0C805" w14:textId="192B2B9F" w:rsidR="003C077B" w:rsidRPr="00E72020" w:rsidRDefault="003C077B" w:rsidP="003C077B">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分料螺旋输送机（五级）</w:t>
            </w:r>
          </w:p>
        </w:tc>
        <w:tc>
          <w:tcPr>
            <w:tcW w:w="1823" w:type="pct"/>
            <w:tcBorders>
              <w:tl2br w:val="nil"/>
              <w:tr2bl w:val="nil"/>
            </w:tcBorders>
            <w:vAlign w:val="center"/>
          </w:tcPr>
          <w:p w14:paraId="0C964CAC" w14:textId="28352292" w:rsidR="003C077B" w:rsidRPr="00E72020" w:rsidRDefault="003C077B" w:rsidP="003C077B">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Q=19m³/h,L=15.5m</w:t>
            </w:r>
          </w:p>
        </w:tc>
        <w:tc>
          <w:tcPr>
            <w:tcW w:w="623" w:type="pct"/>
            <w:tcBorders>
              <w:tl2br w:val="nil"/>
              <w:tr2bl w:val="nil"/>
            </w:tcBorders>
            <w:vAlign w:val="center"/>
          </w:tcPr>
          <w:p w14:paraId="7D0828B0" w14:textId="197C012D" w:rsidR="003C077B" w:rsidRPr="00E72020" w:rsidRDefault="003C077B" w:rsidP="003C077B">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台</w:t>
            </w:r>
          </w:p>
        </w:tc>
        <w:tc>
          <w:tcPr>
            <w:tcW w:w="381" w:type="pct"/>
            <w:tcBorders>
              <w:tl2br w:val="nil"/>
              <w:tr2bl w:val="nil"/>
            </w:tcBorders>
            <w:vAlign w:val="center"/>
          </w:tcPr>
          <w:p w14:paraId="3D0DEFB5" w14:textId="4545CF6C" w:rsidR="003C077B" w:rsidRPr="00E72020" w:rsidRDefault="003C077B" w:rsidP="003C077B">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2</w:t>
            </w:r>
          </w:p>
        </w:tc>
        <w:tc>
          <w:tcPr>
            <w:tcW w:w="330" w:type="pct"/>
            <w:tcBorders>
              <w:right w:val="single" w:sz="4" w:space="0" w:color="000000"/>
            </w:tcBorders>
            <w:vAlign w:val="center"/>
          </w:tcPr>
          <w:p w14:paraId="5AB1D1B0" w14:textId="77777777" w:rsidR="003C077B" w:rsidRPr="00E72020" w:rsidRDefault="003C077B" w:rsidP="003C077B">
            <w:pPr>
              <w:spacing w:before="65" w:after="0" w:line="280" w:lineRule="exact"/>
              <w:ind w:left="37"/>
              <w:jc w:val="center"/>
              <w:rPr>
                <w:rFonts w:ascii="Times New Roman" w:eastAsia="宋体" w:hAnsi="Times New Roman" w:cs="Times New Roman"/>
                <w:color w:val="auto"/>
                <w:lang w:eastAsia="zh-CN"/>
              </w:rPr>
            </w:pPr>
          </w:p>
        </w:tc>
      </w:tr>
      <w:tr w:rsidR="003C077B" w:rsidRPr="00A06FAB" w14:paraId="4667FD2D" w14:textId="77777777" w:rsidTr="003C077B">
        <w:trPr>
          <w:trHeight w:val="340"/>
          <w:jc w:val="center"/>
        </w:trPr>
        <w:tc>
          <w:tcPr>
            <w:tcW w:w="427" w:type="pct"/>
            <w:tcBorders>
              <w:left w:val="single" w:sz="4" w:space="0" w:color="000000"/>
            </w:tcBorders>
            <w:vAlign w:val="center"/>
          </w:tcPr>
          <w:p w14:paraId="379688C9" w14:textId="327BB747" w:rsidR="003C077B" w:rsidRPr="00E72020" w:rsidRDefault="003C077B" w:rsidP="003C077B">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hint="eastAsia"/>
                <w:color w:val="auto"/>
                <w:lang w:eastAsia="zh-CN"/>
              </w:rPr>
              <w:t>42</w:t>
            </w:r>
          </w:p>
        </w:tc>
        <w:tc>
          <w:tcPr>
            <w:tcW w:w="1416" w:type="pct"/>
            <w:tcBorders>
              <w:tl2br w:val="nil"/>
              <w:tr2bl w:val="nil"/>
            </w:tcBorders>
            <w:vAlign w:val="center"/>
          </w:tcPr>
          <w:p w14:paraId="250A486F" w14:textId="2233454B" w:rsidR="003C077B" w:rsidRPr="00E72020" w:rsidRDefault="003C077B" w:rsidP="003C077B">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超越刮板输送机</w:t>
            </w:r>
          </w:p>
        </w:tc>
        <w:tc>
          <w:tcPr>
            <w:tcW w:w="1823" w:type="pct"/>
            <w:tcBorders>
              <w:tl2br w:val="nil"/>
              <w:tr2bl w:val="nil"/>
            </w:tcBorders>
            <w:vAlign w:val="center"/>
          </w:tcPr>
          <w:p w14:paraId="168993C2" w14:textId="23F606AB" w:rsidR="003C077B" w:rsidRPr="00E72020" w:rsidRDefault="003C077B" w:rsidP="003C077B">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Q=19m³/h,L=22.5m</w:t>
            </w:r>
          </w:p>
        </w:tc>
        <w:tc>
          <w:tcPr>
            <w:tcW w:w="623" w:type="pct"/>
            <w:tcBorders>
              <w:tl2br w:val="nil"/>
              <w:tr2bl w:val="nil"/>
            </w:tcBorders>
            <w:vAlign w:val="center"/>
          </w:tcPr>
          <w:p w14:paraId="36F62D41" w14:textId="306A9F58" w:rsidR="003C077B" w:rsidRPr="00E72020" w:rsidRDefault="003C077B" w:rsidP="003C077B">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台</w:t>
            </w:r>
          </w:p>
        </w:tc>
        <w:tc>
          <w:tcPr>
            <w:tcW w:w="381" w:type="pct"/>
            <w:tcBorders>
              <w:tl2br w:val="nil"/>
              <w:tr2bl w:val="nil"/>
            </w:tcBorders>
            <w:vAlign w:val="center"/>
          </w:tcPr>
          <w:p w14:paraId="1D32DDCC" w14:textId="056FC8EA" w:rsidR="003C077B" w:rsidRPr="00E72020" w:rsidRDefault="003C077B" w:rsidP="003C077B">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2</w:t>
            </w:r>
          </w:p>
        </w:tc>
        <w:tc>
          <w:tcPr>
            <w:tcW w:w="330" w:type="pct"/>
            <w:tcBorders>
              <w:right w:val="single" w:sz="4" w:space="0" w:color="000000"/>
            </w:tcBorders>
            <w:vAlign w:val="center"/>
          </w:tcPr>
          <w:p w14:paraId="4373A404" w14:textId="77777777" w:rsidR="003C077B" w:rsidRPr="00E72020" w:rsidRDefault="003C077B" w:rsidP="003C077B">
            <w:pPr>
              <w:spacing w:before="65" w:after="0" w:line="280" w:lineRule="exact"/>
              <w:ind w:left="37"/>
              <w:jc w:val="center"/>
              <w:rPr>
                <w:rFonts w:ascii="Times New Roman" w:eastAsia="宋体" w:hAnsi="Times New Roman" w:cs="Times New Roman"/>
                <w:color w:val="auto"/>
                <w:lang w:eastAsia="zh-CN"/>
              </w:rPr>
            </w:pPr>
          </w:p>
        </w:tc>
      </w:tr>
      <w:tr w:rsidR="003C077B" w:rsidRPr="00A06FAB" w14:paraId="4DF4BAF0" w14:textId="77777777" w:rsidTr="003C077B">
        <w:trPr>
          <w:trHeight w:val="340"/>
          <w:jc w:val="center"/>
        </w:trPr>
        <w:tc>
          <w:tcPr>
            <w:tcW w:w="427" w:type="pct"/>
            <w:tcBorders>
              <w:left w:val="single" w:sz="4" w:space="0" w:color="000000"/>
            </w:tcBorders>
            <w:vAlign w:val="center"/>
          </w:tcPr>
          <w:p w14:paraId="1E688B61" w14:textId="5C778849" w:rsidR="003C077B" w:rsidRPr="00E72020" w:rsidRDefault="003C077B" w:rsidP="003C077B">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hint="eastAsia"/>
                <w:color w:val="auto"/>
                <w:lang w:eastAsia="zh-CN"/>
              </w:rPr>
              <w:t>4</w:t>
            </w:r>
            <w:r>
              <w:rPr>
                <w:rFonts w:ascii="Times New Roman" w:eastAsia="宋体" w:hAnsi="Times New Roman" w:cs="Times New Roman" w:hint="eastAsia"/>
                <w:color w:val="auto"/>
                <w:lang w:eastAsia="zh-CN"/>
              </w:rPr>
              <w:t>3</w:t>
            </w:r>
          </w:p>
        </w:tc>
        <w:tc>
          <w:tcPr>
            <w:tcW w:w="1416" w:type="pct"/>
            <w:tcBorders>
              <w:tl2br w:val="nil"/>
              <w:tr2bl w:val="nil"/>
            </w:tcBorders>
            <w:vAlign w:val="center"/>
          </w:tcPr>
          <w:p w14:paraId="2BB7CE86" w14:textId="2C7B7999" w:rsidR="003C077B" w:rsidRPr="00E72020" w:rsidRDefault="003C077B" w:rsidP="003C077B">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压滤液排水泵</w:t>
            </w:r>
          </w:p>
        </w:tc>
        <w:tc>
          <w:tcPr>
            <w:tcW w:w="1823" w:type="pct"/>
            <w:tcBorders>
              <w:tl2br w:val="nil"/>
              <w:tr2bl w:val="nil"/>
            </w:tcBorders>
            <w:vAlign w:val="center"/>
          </w:tcPr>
          <w:p w14:paraId="457AACB1" w14:textId="17F4AC17" w:rsidR="003C077B" w:rsidRPr="00E72020" w:rsidRDefault="003C077B" w:rsidP="003C077B">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Q=10m³/h</w:t>
            </w:r>
            <w:r w:rsidRPr="00E72020">
              <w:rPr>
                <w:rFonts w:ascii="Times New Roman" w:eastAsia="宋体" w:hAnsi="Times New Roman" w:cs="Times New Roman"/>
                <w:color w:val="auto"/>
                <w:lang w:eastAsia="zh-CN"/>
              </w:rPr>
              <w:t>，</w:t>
            </w:r>
            <w:r w:rsidRPr="00E72020">
              <w:rPr>
                <w:rFonts w:ascii="Times New Roman" w:eastAsia="宋体" w:hAnsi="Times New Roman" w:cs="Times New Roman"/>
                <w:color w:val="auto"/>
                <w:lang w:eastAsia="zh-CN"/>
              </w:rPr>
              <w:t>H=20m</w:t>
            </w:r>
          </w:p>
        </w:tc>
        <w:tc>
          <w:tcPr>
            <w:tcW w:w="623" w:type="pct"/>
            <w:tcBorders>
              <w:tl2br w:val="nil"/>
              <w:tr2bl w:val="nil"/>
            </w:tcBorders>
            <w:vAlign w:val="center"/>
          </w:tcPr>
          <w:p w14:paraId="0E3FDD1E" w14:textId="207AA91A" w:rsidR="003C077B" w:rsidRPr="00E72020" w:rsidRDefault="003C077B" w:rsidP="003C077B">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台</w:t>
            </w:r>
          </w:p>
        </w:tc>
        <w:tc>
          <w:tcPr>
            <w:tcW w:w="381" w:type="pct"/>
            <w:tcBorders>
              <w:tl2br w:val="nil"/>
              <w:tr2bl w:val="nil"/>
            </w:tcBorders>
            <w:vAlign w:val="center"/>
          </w:tcPr>
          <w:p w14:paraId="43128112" w14:textId="1CB60D82" w:rsidR="003C077B" w:rsidRPr="00E72020" w:rsidRDefault="003C077B" w:rsidP="003C077B">
            <w:pPr>
              <w:spacing w:before="65" w:after="0" w:line="280" w:lineRule="exact"/>
              <w:ind w:left="37"/>
              <w:jc w:val="center"/>
              <w:rPr>
                <w:rFonts w:ascii="Times New Roman" w:eastAsia="宋体" w:hAnsi="Times New Roman" w:cs="Times New Roman"/>
                <w:color w:val="auto"/>
                <w:lang w:eastAsia="zh-CN"/>
              </w:rPr>
            </w:pPr>
            <w:r w:rsidRPr="00E72020">
              <w:rPr>
                <w:rFonts w:ascii="Times New Roman" w:eastAsia="宋体" w:hAnsi="Times New Roman" w:cs="Times New Roman"/>
                <w:color w:val="auto"/>
                <w:lang w:eastAsia="zh-CN"/>
              </w:rPr>
              <w:t>1</w:t>
            </w:r>
          </w:p>
        </w:tc>
        <w:tc>
          <w:tcPr>
            <w:tcW w:w="330" w:type="pct"/>
            <w:tcBorders>
              <w:right w:val="single" w:sz="4" w:space="0" w:color="000000"/>
            </w:tcBorders>
            <w:vAlign w:val="center"/>
          </w:tcPr>
          <w:p w14:paraId="37EE59B8" w14:textId="77777777" w:rsidR="003C077B" w:rsidRPr="00E72020" w:rsidRDefault="003C077B" w:rsidP="003C077B">
            <w:pPr>
              <w:spacing w:before="65" w:after="0" w:line="280" w:lineRule="exact"/>
              <w:ind w:left="37"/>
              <w:jc w:val="center"/>
              <w:rPr>
                <w:rFonts w:ascii="Times New Roman" w:eastAsia="宋体" w:hAnsi="Times New Roman" w:cs="Times New Roman"/>
                <w:color w:val="auto"/>
                <w:lang w:eastAsia="zh-CN"/>
              </w:rPr>
            </w:pPr>
          </w:p>
        </w:tc>
      </w:tr>
    </w:tbl>
    <w:p w14:paraId="367E2F19" w14:textId="77777777" w:rsidR="00606029" w:rsidRPr="00096391" w:rsidRDefault="00EA5B92">
      <w:pPr>
        <w:pStyle w:val="3"/>
        <w:spacing w:beforeLines="50" w:before="120"/>
      </w:pPr>
      <w:bookmarkStart w:id="83" w:name="_Toc220680463"/>
      <w:r w:rsidRPr="00096391">
        <w:t>2.1.4</w:t>
      </w:r>
      <w:r w:rsidRPr="00096391">
        <w:t>现有工程污染物处置措施及达标排放情况</w:t>
      </w:r>
      <w:bookmarkEnd w:id="83"/>
    </w:p>
    <w:p w14:paraId="21E194B2" w14:textId="72CA4973" w:rsidR="00606029" w:rsidRPr="00096391" w:rsidRDefault="00606029">
      <w:pPr>
        <w:pStyle w:val="4"/>
        <w:rPr>
          <w:szCs w:val="24"/>
        </w:rPr>
      </w:pPr>
      <w:hyperlink r:id="rId29" w:history="1">
        <w:r w:rsidRPr="00096391">
          <w:t>2.1.4.1</w:t>
        </w:r>
      </w:hyperlink>
      <w:r w:rsidR="00EA5B92" w:rsidRPr="00096391">
        <w:t>废气处理措施及达标排放分析</w:t>
      </w:r>
    </w:p>
    <w:p w14:paraId="69CD79F6" w14:textId="125CF0E7" w:rsidR="00096391" w:rsidRDefault="001F2C05" w:rsidP="00096391">
      <w:pPr>
        <w:pStyle w:val="affffff4"/>
      </w:pPr>
      <w:r>
        <w:rPr>
          <w:rFonts w:hint="eastAsia"/>
        </w:rPr>
        <w:t>1</w:t>
      </w:r>
      <w:r>
        <w:rPr>
          <w:rFonts w:hint="eastAsia"/>
        </w:rPr>
        <w:t>、</w:t>
      </w:r>
      <w:r w:rsidR="00096391" w:rsidRPr="00096391">
        <w:rPr>
          <w:rFonts w:hint="eastAsia"/>
        </w:rPr>
        <w:t>废气</w:t>
      </w:r>
      <w:r w:rsidR="00AB3305">
        <w:rPr>
          <w:rFonts w:hint="eastAsia"/>
        </w:rPr>
        <w:t>处理措施</w:t>
      </w:r>
    </w:p>
    <w:p w14:paraId="0ACCC28A" w14:textId="1A4E9D70" w:rsidR="00096391" w:rsidRDefault="00096391" w:rsidP="00096391">
      <w:pPr>
        <w:pStyle w:val="affffff4"/>
      </w:pPr>
      <w:r>
        <w:rPr>
          <w:rFonts w:hint="eastAsia"/>
        </w:rPr>
        <w:t>（</w:t>
      </w:r>
      <w:r>
        <w:rPr>
          <w:rFonts w:hint="eastAsia"/>
        </w:rPr>
        <w:t>1</w:t>
      </w:r>
      <w:r>
        <w:rPr>
          <w:rFonts w:hint="eastAsia"/>
        </w:rPr>
        <w:t>）垃圾焚烧废气主要污染物包括颗粒物、</w:t>
      </w:r>
      <w:r>
        <w:rPr>
          <w:rFonts w:hint="eastAsia"/>
        </w:rPr>
        <w:t>SO</w:t>
      </w:r>
      <w:r w:rsidRPr="0098499A">
        <w:rPr>
          <w:rFonts w:hint="eastAsia"/>
          <w:vertAlign w:val="subscript"/>
        </w:rPr>
        <w:t>2</w:t>
      </w:r>
      <w:r>
        <w:rPr>
          <w:rFonts w:hint="eastAsia"/>
        </w:rPr>
        <w:t>、</w:t>
      </w:r>
      <w:r>
        <w:rPr>
          <w:rFonts w:hint="eastAsia"/>
        </w:rPr>
        <w:t>NOx</w:t>
      </w:r>
      <w:r>
        <w:rPr>
          <w:rFonts w:hint="eastAsia"/>
        </w:rPr>
        <w:t>、</w:t>
      </w:r>
      <w:r>
        <w:rPr>
          <w:rFonts w:hint="eastAsia"/>
        </w:rPr>
        <w:t>HCl</w:t>
      </w:r>
      <w:r>
        <w:rPr>
          <w:rFonts w:hint="eastAsia"/>
        </w:rPr>
        <w:t>、</w:t>
      </w:r>
      <w:r>
        <w:rPr>
          <w:rFonts w:hint="eastAsia"/>
        </w:rPr>
        <w:t>CO</w:t>
      </w:r>
      <w:r>
        <w:rPr>
          <w:rFonts w:hint="eastAsia"/>
        </w:rPr>
        <w:t>、重金属及二噁英类等。</w:t>
      </w:r>
      <w:r>
        <w:rPr>
          <w:rFonts w:hint="eastAsia"/>
        </w:rPr>
        <w:t>3</w:t>
      </w:r>
      <w:r>
        <w:rPr>
          <w:rFonts w:hint="eastAsia"/>
        </w:rPr>
        <w:t>台焚烧炉产生的焚烧烟气经各自配套的“</w:t>
      </w:r>
      <w:r>
        <w:rPr>
          <w:rFonts w:hint="eastAsia"/>
        </w:rPr>
        <w:t>SNCR</w:t>
      </w:r>
      <w:r>
        <w:rPr>
          <w:rFonts w:hint="eastAsia"/>
        </w:rPr>
        <w:t>脱硝（脱硝剂为氨水）</w:t>
      </w:r>
      <w:r>
        <w:rPr>
          <w:rFonts w:hint="eastAsia"/>
        </w:rPr>
        <w:t>+</w:t>
      </w:r>
      <w:r>
        <w:rPr>
          <w:rFonts w:hint="eastAsia"/>
        </w:rPr>
        <w:t>半干法（石灰浆溶液）脱酸</w:t>
      </w:r>
      <w:r>
        <w:rPr>
          <w:rFonts w:hint="eastAsia"/>
        </w:rPr>
        <w:t>+</w:t>
      </w:r>
      <w:r>
        <w:rPr>
          <w:rFonts w:hint="eastAsia"/>
        </w:rPr>
        <w:t>干法（消石灰干粉）脱酸</w:t>
      </w:r>
      <w:r>
        <w:rPr>
          <w:rFonts w:hint="eastAsia"/>
        </w:rPr>
        <w:t>+</w:t>
      </w:r>
      <w:r>
        <w:rPr>
          <w:rFonts w:hint="eastAsia"/>
        </w:rPr>
        <w:t>活性炭吸附</w:t>
      </w:r>
      <w:r>
        <w:rPr>
          <w:rFonts w:hint="eastAsia"/>
        </w:rPr>
        <w:t>+</w:t>
      </w:r>
      <w:r>
        <w:rPr>
          <w:rFonts w:hint="eastAsia"/>
        </w:rPr>
        <w:t>布袋除尘器”处理后，由</w:t>
      </w:r>
      <w:r>
        <w:rPr>
          <w:rFonts w:hint="eastAsia"/>
        </w:rPr>
        <w:t>1</w:t>
      </w:r>
      <w:r>
        <w:rPr>
          <w:rFonts w:hint="eastAsia"/>
        </w:rPr>
        <w:t>根</w:t>
      </w:r>
      <w:r>
        <w:rPr>
          <w:rFonts w:hint="eastAsia"/>
        </w:rPr>
        <w:t>80m</w:t>
      </w:r>
      <w:r>
        <w:rPr>
          <w:rFonts w:hint="eastAsia"/>
        </w:rPr>
        <w:t>高三筒集束排气筒高空排放。</w:t>
      </w:r>
    </w:p>
    <w:p w14:paraId="6C4FD862" w14:textId="76A338BB" w:rsidR="00096391" w:rsidRDefault="00096391" w:rsidP="00096391">
      <w:pPr>
        <w:pStyle w:val="affffff4"/>
      </w:pPr>
      <w:r>
        <w:rPr>
          <w:rFonts w:hint="eastAsia"/>
        </w:rPr>
        <w:t>（</w:t>
      </w:r>
      <w:r>
        <w:rPr>
          <w:rFonts w:hint="eastAsia"/>
        </w:rPr>
        <w:t>2</w:t>
      </w:r>
      <w:r>
        <w:rPr>
          <w:rFonts w:hint="eastAsia"/>
        </w:rPr>
        <w:t>）卸料大厅、渗滤液收集池、垃圾池、厌氧系统、污泥间等通过集气系统保持负压状态，渗滤液收集池产生的臭气通过</w:t>
      </w:r>
      <w:r>
        <w:rPr>
          <w:rFonts w:hint="eastAsia"/>
        </w:rPr>
        <w:t>PVC</w:t>
      </w:r>
      <w:r>
        <w:rPr>
          <w:rFonts w:hint="eastAsia"/>
        </w:rPr>
        <w:t>管道连接到垃圾池，渗滤液处理站臭气抽取至垃圾池，同垃圾池恶臭气体作为焚烧炉助燃空气，全部送入焚烧炉焚烧。同时在垃圾焚烧厂主厂房卸料大厅的进出口处设置风幕门，卸料大厅空气会经过卸料大厅与垃圾池之间的卸料门缝，进入垃圾池，从而使卸料大厅相对室外处于负压，不会经过缝隙等向外散逸臭气。当焚烧炉全部停运时，自动开启除臭风机，将臭气送入活性炭吸附装置净化处理后通过</w:t>
      </w:r>
      <w:r>
        <w:rPr>
          <w:rFonts w:hint="eastAsia"/>
        </w:rPr>
        <w:t>36m</w:t>
      </w:r>
      <w:r>
        <w:rPr>
          <w:rFonts w:hint="eastAsia"/>
        </w:rPr>
        <w:t>高排气筒排放。</w:t>
      </w:r>
    </w:p>
    <w:p w14:paraId="4E2D26E7" w14:textId="7F1FADAA" w:rsidR="00096391" w:rsidRDefault="00096391" w:rsidP="00096391">
      <w:pPr>
        <w:pStyle w:val="affffff4"/>
      </w:pPr>
      <w:r>
        <w:rPr>
          <w:rFonts w:hint="eastAsia"/>
        </w:rPr>
        <w:lastRenderedPageBreak/>
        <w:t>（</w:t>
      </w:r>
      <w:r>
        <w:rPr>
          <w:rFonts w:hint="eastAsia"/>
        </w:rPr>
        <w:t>3</w:t>
      </w:r>
      <w:r>
        <w:rPr>
          <w:rFonts w:hint="eastAsia"/>
        </w:rPr>
        <w:t>）石灰仓、活性炭仓、飞灰仓设置布袋除尘器，产生颗粒物经布袋除尘器后以无组织逸散形式排放。柴油储罐在加油过程中油罐车自带油气回收装置，回收挥发性有机物。</w:t>
      </w:r>
    </w:p>
    <w:p w14:paraId="353A5D23" w14:textId="7D564DDD" w:rsidR="00096391" w:rsidRDefault="00096391" w:rsidP="00096391">
      <w:pPr>
        <w:pStyle w:val="affffff4"/>
      </w:pPr>
      <w:r>
        <w:rPr>
          <w:rFonts w:hint="eastAsia"/>
        </w:rPr>
        <w:t>（</w:t>
      </w:r>
      <w:r>
        <w:rPr>
          <w:rFonts w:hint="eastAsia"/>
        </w:rPr>
        <w:t>4</w:t>
      </w:r>
      <w:r>
        <w:rPr>
          <w:rFonts w:hint="eastAsia"/>
        </w:rPr>
        <w:t>）渗滤液处理站厌氧反应器产生的沼气正常状态下通过风机进入焚烧炉焚烧，停炉检修状态下进入火炬燃烧分解。</w:t>
      </w:r>
    </w:p>
    <w:p w14:paraId="643ECB35" w14:textId="681B401D" w:rsidR="00096391" w:rsidRDefault="00096391" w:rsidP="004969A4">
      <w:pPr>
        <w:pStyle w:val="affffff4"/>
      </w:pPr>
      <w:r>
        <w:rPr>
          <w:rFonts w:hint="eastAsia"/>
        </w:rPr>
        <w:t>（</w:t>
      </w:r>
      <w:r>
        <w:rPr>
          <w:rFonts w:hint="eastAsia"/>
        </w:rPr>
        <w:t>5</w:t>
      </w:r>
      <w:r>
        <w:rPr>
          <w:rFonts w:hint="eastAsia"/>
        </w:rPr>
        <w:t>）食堂油烟经油烟净化器处理后，高于楼顶排放。</w:t>
      </w:r>
    </w:p>
    <w:p w14:paraId="6664AC39" w14:textId="1B6867A9" w:rsidR="003C077B" w:rsidRDefault="003C077B" w:rsidP="003C077B">
      <w:pPr>
        <w:pStyle w:val="affffff4"/>
      </w:pPr>
      <w:r>
        <w:rPr>
          <w:rFonts w:hint="eastAsia"/>
        </w:rPr>
        <w:t>（</w:t>
      </w:r>
      <w:r w:rsidR="004969A4">
        <w:rPr>
          <w:rFonts w:hint="eastAsia"/>
        </w:rPr>
        <w:t>6</w:t>
      </w:r>
      <w:r>
        <w:rPr>
          <w:rFonts w:hint="eastAsia"/>
        </w:rPr>
        <w:t>）污泥存储间保持微负压，风机将臭气引入新建的除臭系统处理后排放，采用“酸洗</w:t>
      </w:r>
      <w:r>
        <w:rPr>
          <w:rFonts w:hint="eastAsia"/>
        </w:rPr>
        <w:t>+</w:t>
      </w:r>
      <w:r>
        <w:rPr>
          <w:rFonts w:hint="eastAsia"/>
        </w:rPr>
        <w:t>碱洗</w:t>
      </w:r>
      <w:r>
        <w:rPr>
          <w:rFonts w:hint="eastAsia"/>
        </w:rPr>
        <w:t>+</w:t>
      </w:r>
      <w:r>
        <w:rPr>
          <w:rFonts w:hint="eastAsia"/>
        </w:rPr>
        <w:t>氧化洗涤”工艺，处理后排放。</w:t>
      </w:r>
    </w:p>
    <w:p w14:paraId="6F472410" w14:textId="750D65F7" w:rsidR="003C077B" w:rsidRDefault="003C077B" w:rsidP="003C077B">
      <w:pPr>
        <w:pStyle w:val="affffff4"/>
      </w:pPr>
      <w:r>
        <w:rPr>
          <w:rFonts w:hint="eastAsia"/>
        </w:rPr>
        <w:t>（</w:t>
      </w:r>
      <w:r w:rsidR="004969A4">
        <w:rPr>
          <w:rFonts w:hint="eastAsia"/>
        </w:rPr>
        <w:t>7</w:t>
      </w:r>
      <w:r>
        <w:rPr>
          <w:rFonts w:hint="eastAsia"/>
        </w:rPr>
        <w:t>）</w:t>
      </w:r>
      <w:r w:rsidR="004969A4" w:rsidRPr="004969A4">
        <w:rPr>
          <w:rFonts w:hint="eastAsia"/>
        </w:rPr>
        <w:t>污泥干化尾气经除尘、冷凝处理后由除臭风机进行收集抽取后送入焚烧炉焚烧处理</w:t>
      </w:r>
      <w:r w:rsidR="004969A4">
        <w:rPr>
          <w:rFonts w:hint="eastAsia"/>
        </w:rPr>
        <w:t>；</w:t>
      </w:r>
      <w:r w:rsidR="004969A4" w:rsidRPr="004969A4">
        <w:rPr>
          <w:rFonts w:hint="eastAsia"/>
        </w:rPr>
        <w:t>污泥处置车间内的污泥干化间、污泥压滤间、污水处理车间均为封闭式，保持微负压，</w:t>
      </w:r>
      <w:r w:rsidR="004969A4">
        <w:rPr>
          <w:rFonts w:hint="eastAsia"/>
        </w:rPr>
        <w:t>臭气通过管道</w:t>
      </w:r>
      <w:r>
        <w:rPr>
          <w:rFonts w:hint="eastAsia"/>
        </w:rPr>
        <w:t>引入除臭</w:t>
      </w:r>
      <w:r w:rsidR="004969A4">
        <w:rPr>
          <w:rFonts w:hint="eastAsia"/>
        </w:rPr>
        <w:t>装置</w:t>
      </w:r>
      <w:r>
        <w:rPr>
          <w:rFonts w:hint="eastAsia"/>
        </w:rPr>
        <w:t>处理后排放，除臭装置采用“酸洗</w:t>
      </w:r>
      <w:r>
        <w:rPr>
          <w:rFonts w:hint="eastAsia"/>
        </w:rPr>
        <w:t>+</w:t>
      </w:r>
      <w:r>
        <w:rPr>
          <w:rFonts w:hint="eastAsia"/>
        </w:rPr>
        <w:t>碱洗</w:t>
      </w:r>
      <w:r>
        <w:rPr>
          <w:rFonts w:hint="eastAsia"/>
        </w:rPr>
        <w:t>+</w:t>
      </w:r>
      <w:r>
        <w:rPr>
          <w:rFonts w:hint="eastAsia"/>
        </w:rPr>
        <w:t>氧化洗涤”工艺，处理后由</w:t>
      </w:r>
      <w:r>
        <w:rPr>
          <w:rFonts w:hint="eastAsia"/>
        </w:rPr>
        <w:t>15m</w:t>
      </w:r>
      <w:r>
        <w:rPr>
          <w:rFonts w:hint="eastAsia"/>
        </w:rPr>
        <w:t>高排气筒排放。</w:t>
      </w:r>
    </w:p>
    <w:p w14:paraId="7CC251B9" w14:textId="5B6C17B1" w:rsidR="003C077B" w:rsidRDefault="003C077B" w:rsidP="004969A4">
      <w:pPr>
        <w:pStyle w:val="affffff4"/>
      </w:pPr>
      <w:r>
        <w:rPr>
          <w:rFonts w:hint="eastAsia"/>
        </w:rPr>
        <w:t>（</w:t>
      </w:r>
      <w:r>
        <w:rPr>
          <w:rFonts w:hint="eastAsia"/>
        </w:rPr>
        <w:t>9</w:t>
      </w:r>
      <w:r>
        <w:rPr>
          <w:rFonts w:hint="eastAsia"/>
        </w:rPr>
        <w:t>）</w:t>
      </w:r>
      <w:r>
        <w:rPr>
          <w:rFonts w:hint="eastAsia"/>
        </w:rPr>
        <w:t>3</w:t>
      </w:r>
      <w:r>
        <w:rPr>
          <w:rFonts w:hint="eastAsia"/>
        </w:rPr>
        <w:t>台焚烧炉配备</w:t>
      </w:r>
      <w:r>
        <w:rPr>
          <w:rFonts w:hint="eastAsia"/>
        </w:rPr>
        <w:t>3</w:t>
      </w:r>
      <w:r>
        <w:rPr>
          <w:rFonts w:hint="eastAsia"/>
        </w:rPr>
        <w:t>套烟气在线监测设备，烟气排放自动在线监测指标包括：一氧化碳、颗粒物、二氧化硫、氮氧化物和氯化氢等。</w:t>
      </w:r>
    </w:p>
    <w:p w14:paraId="1300D85B" w14:textId="361C7507" w:rsidR="00606029" w:rsidRPr="006831FE" w:rsidRDefault="001F2C05" w:rsidP="00096391">
      <w:pPr>
        <w:pStyle w:val="affffff4"/>
      </w:pPr>
      <w:r w:rsidRPr="006831FE">
        <w:rPr>
          <w:rFonts w:hint="eastAsia"/>
        </w:rPr>
        <w:t>2</w:t>
      </w:r>
      <w:r w:rsidRPr="006831FE">
        <w:rPr>
          <w:rFonts w:hint="eastAsia"/>
        </w:rPr>
        <w:t>、</w:t>
      </w:r>
      <w:r w:rsidR="004D28EF">
        <w:rPr>
          <w:rFonts w:hint="eastAsia"/>
        </w:rPr>
        <w:t>废气排放</w:t>
      </w:r>
      <w:r w:rsidR="00EA5B92" w:rsidRPr="006831FE">
        <w:t>达标性分析</w:t>
      </w:r>
    </w:p>
    <w:p w14:paraId="2278D1FC" w14:textId="50570D0D" w:rsidR="00606029" w:rsidRPr="006831FE" w:rsidRDefault="00EA5B92" w:rsidP="0059307E">
      <w:pPr>
        <w:pStyle w:val="affffff4"/>
      </w:pPr>
      <w:r w:rsidRPr="006831FE">
        <w:t>为</w:t>
      </w:r>
      <w:r w:rsidR="00A572CF">
        <w:rPr>
          <w:rFonts w:hint="eastAsia"/>
        </w:rPr>
        <w:t>了解现有工程</w:t>
      </w:r>
      <w:r w:rsidR="009C26D4">
        <w:rPr>
          <w:rFonts w:hint="eastAsia"/>
        </w:rPr>
        <w:t>废气</w:t>
      </w:r>
      <w:r w:rsidR="00A572CF">
        <w:rPr>
          <w:rFonts w:hint="eastAsia"/>
        </w:rPr>
        <w:t>排放</w:t>
      </w:r>
      <w:r w:rsidRPr="006831FE">
        <w:t>情况，本评价引用</w:t>
      </w:r>
      <w:r w:rsidR="00BE533B" w:rsidRPr="006831FE">
        <w:t>大庆城控电力有限公司</w:t>
      </w:r>
      <w:r w:rsidR="004716BF">
        <w:rPr>
          <w:rFonts w:hint="eastAsia"/>
        </w:rPr>
        <w:t>《大庆市生活垃圾焚烧发电项目（一期）竣工环境保护验收监测报告》</w:t>
      </w:r>
      <w:r w:rsidR="004D28EF">
        <w:rPr>
          <w:rFonts w:hint="eastAsia"/>
        </w:rPr>
        <w:t>中的监测数据</w:t>
      </w:r>
      <w:r w:rsidR="0059307E">
        <w:rPr>
          <w:rFonts w:hint="eastAsia"/>
        </w:rPr>
        <w:t>（监测时间为</w:t>
      </w:r>
      <w:r w:rsidR="0059307E">
        <w:rPr>
          <w:rFonts w:hint="eastAsia"/>
        </w:rPr>
        <w:t>2024</w:t>
      </w:r>
      <w:r w:rsidR="0059307E">
        <w:rPr>
          <w:rFonts w:hint="eastAsia"/>
        </w:rPr>
        <w:t>年</w:t>
      </w:r>
      <w:r w:rsidR="0059307E">
        <w:rPr>
          <w:rFonts w:hint="eastAsia"/>
        </w:rPr>
        <w:t>2</w:t>
      </w:r>
      <w:r w:rsidR="0059307E">
        <w:rPr>
          <w:rFonts w:hint="eastAsia"/>
        </w:rPr>
        <w:t>月</w:t>
      </w:r>
      <w:r w:rsidR="0059307E">
        <w:rPr>
          <w:rFonts w:hint="eastAsia"/>
        </w:rPr>
        <w:t>22-23</w:t>
      </w:r>
      <w:r w:rsidR="0059307E">
        <w:rPr>
          <w:rFonts w:hint="eastAsia"/>
        </w:rPr>
        <w:t>日）和《大庆市生活垃圾焚烧发电项目（污泥干化系统）竣工环境保护验收监测报告》</w:t>
      </w:r>
      <w:r w:rsidR="0059307E" w:rsidRPr="0059307E">
        <w:rPr>
          <w:rFonts w:hint="eastAsia"/>
        </w:rPr>
        <w:t>中的监测数据（监测时间为</w:t>
      </w:r>
      <w:r w:rsidR="0059307E" w:rsidRPr="0059307E">
        <w:rPr>
          <w:rFonts w:hint="eastAsia"/>
        </w:rPr>
        <w:t>2024</w:t>
      </w:r>
      <w:r w:rsidR="0059307E" w:rsidRPr="0059307E">
        <w:rPr>
          <w:rFonts w:hint="eastAsia"/>
        </w:rPr>
        <w:t>年</w:t>
      </w:r>
      <w:r w:rsidR="0059307E">
        <w:rPr>
          <w:rFonts w:hint="eastAsia"/>
        </w:rPr>
        <w:t>11</w:t>
      </w:r>
      <w:r w:rsidR="0059307E" w:rsidRPr="0059307E">
        <w:rPr>
          <w:rFonts w:hint="eastAsia"/>
        </w:rPr>
        <w:t>月</w:t>
      </w:r>
      <w:r w:rsidR="0059307E">
        <w:rPr>
          <w:rFonts w:hint="eastAsia"/>
        </w:rPr>
        <w:t>14</w:t>
      </w:r>
      <w:r w:rsidR="0059307E" w:rsidRPr="0059307E">
        <w:rPr>
          <w:rFonts w:hint="eastAsia"/>
        </w:rPr>
        <w:t>-</w:t>
      </w:r>
      <w:r w:rsidR="0059307E">
        <w:rPr>
          <w:rFonts w:hint="eastAsia"/>
        </w:rPr>
        <w:t>15</w:t>
      </w:r>
      <w:r w:rsidR="0059307E" w:rsidRPr="0059307E">
        <w:rPr>
          <w:rFonts w:hint="eastAsia"/>
        </w:rPr>
        <w:t>日）</w:t>
      </w:r>
      <w:r w:rsidR="004D28EF">
        <w:rPr>
          <w:rFonts w:hint="eastAsia"/>
        </w:rPr>
        <w:t>。</w:t>
      </w:r>
    </w:p>
    <w:p w14:paraId="55AA2C39" w14:textId="66F95B83" w:rsidR="004F7F24" w:rsidRPr="004D28EF" w:rsidRDefault="004969A4" w:rsidP="00361AC1">
      <w:pPr>
        <w:pStyle w:val="affffff4"/>
      </w:pPr>
      <w:r>
        <w:rPr>
          <w:rFonts w:hint="eastAsia"/>
        </w:rPr>
        <w:t>（</w:t>
      </w:r>
      <w:r>
        <w:rPr>
          <w:rFonts w:hint="eastAsia"/>
        </w:rPr>
        <w:t>1</w:t>
      </w:r>
      <w:r>
        <w:rPr>
          <w:rFonts w:hint="eastAsia"/>
        </w:rPr>
        <w:t>）</w:t>
      </w:r>
      <w:r w:rsidR="004D28EF" w:rsidRPr="004D28EF">
        <w:rPr>
          <w:rFonts w:hint="eastAsia"/>
        </w:rPr>
        <w:t>1#</w:t>
      </w:r>
      <w:r w:rsidR="004D28EF" w:rsidRPr="004D28EF">
        <w:rPr>
          <w:rFonts w:hint="eastAsia"/>
        </w:rPr>
        <w:t>焚烧炉</w:t>
      </w:r>
      <w:r w:rsidR="0059307E">
        <w:rPr>
          <w:rFonts w:hint="eastAsia"/>
        </w:rPr>
        <w:t>烟气中</w:t>
      </w:r>
      <w:r w:rsidR="004D28EF" w:rsidRPr="004D28EF">
        <w:rPr>
          <w:rFonts w:hint="eastAsia"/>
        </w:rPr>
        <w:t>颗粒物浓度在</w:t>
      </w:r>
      <w:r w:rsidR="004D28EF" w:rsidRPr="004D28EF">
        <w:rPr>
          <w:rFonts w:hint="eastAsia"/>
        </w:rPr>
        <w:t>1.7~2.3mg/m</w:t>
      </w:r>
      <w:r w:rsidR="004D28EF" w:rsidRPr="004D28EF">
        <w:rPr>
          <w:rFonts w:hint="eastAsia"/>
          <w:vertAlign w:val="superscript"/>
        </w:rPr>
        <w:t>3</w:t>
      </w:r>
      <w:r w:rsidR="004D28EF" w:rsidRPr="004D28EF">
        <w:rPr>
          <w:rFonts w:hint="eastAsia"/>
        </w:rPr>
        <w:t>、排放速率在</w:t>
      </w:r>
      <w:r w:rsidR="004D28EF" w:rsidRPr="004D28EF">
        <w:rPr>
          <w:rFonts w:hint="eastAsia"/>
        </w:rPr>
        <w:t>0.1476~0.1892kg/h</w:t>
      </w:r>
      <w:r w:rsidR="004D28EF" w:rsidRPr="004D28EF">
        <w:rPr>
          <w:rFonts w:hint="eastAsia"/>
        </w:rPr>
        <w:t>，</w:t>
      </w:r>
      <w:r w:rsidR="004D28EF" w:rsidRPr="004D28EF">
        <w:rPr>
          <w:rFonts w:hint="eastAsia"/>
        </w:rPr>
        <w:t>SO</w:t>
      </w:r>
      <w:r w:rsidR="004D28EF" w:rsidRPr="00361AC1">
        <w:rPr>
          <w:rFonts w:hint="eastAsia"/>
          <w:vertAlign w:val="subscript"/>
        </w:rPr>
        <w:t>2</w:t>
      </w:r>
      <w:r w:rsidR="004D28EF" w:rsidRPr="004D28EF">
        <w:rPr>
          <w:rFonts w:hint="eastAsia"/>
        </w:rPr>
        <w:t>浓度在</w:t>
      </w:r>
      <w:r w:rsidR="004D28EF" w:rsidRPr="004D28EF">
        <w:rPr>
          <w:rFonts w:hint="eastAsia"/>
        </w:rPr>
        <w:t>20~62mg/m</w:t>
      </w:r>
      <w:r w:rsidR="004D28EF" w:rsidRPr="004D28EF">
        <w:rPr>
          <w:rFonts w:hint="eastAsia"/>
          <w:vertAlign w:val="superscript"/>
        </w:rPr>
        <w:t>3</w:t>
      </w:r>
      <w:r w:rsidR="004D28EF" w:rsidRPr="004D28EF">
        <w:rPr>
          <w:rFonts w:hint="eastAsia"/>
        </w:rPr>
        <w:t>、排放速率在</w:t>
      </w:r>
      <w:r w:rsidR="004D28EF" w:rsidRPr="004D28EF">
        <w:rPr>
          <w:rFonts w:hint="eastAsia"/>
        </w:rPr>
        <w:t>1.7120~5.1326kg/h</w:t>
      </w:r>
      <w:r w:rsidR="004D28EF" w:rsidRPr="004D28EF">
        <w:rPr>
          <w:rFonts w:hint="eastAsia"/>
        </w:rPr>
        <w:t>，</w:t>
      </w:r>
      <w:r w:rsidR="004D28EF" w:rsidRPr="004D28EF">
        <w:rPr>
          <w:rFonts w:hint="eastAsia"/>
        </w:rPr>
        <w:t>NOx</w:t>
      </w:r>
      <w:r w:rsidR="004D28EF" w:rsidRPr="004D28EF">
        <w:rPr>
          <w:rFonts w:hint="eastAsia"/>
        </w:rPr>
        <w:t>的浓度在</w:t>
      </w:r>
      <w:r w:rsidR="004D28EF" w:rsidRPr="004D28EF">
        <w:rPr>
          <w:rFonts w:hint="eastAsia"/>
        </w:rPr>
        <w:t>139~189mg/m</w:t>
      </w:r>
      <w:r w:rsidR="004D28EF" w:rsidRPr="004D28EF">
        <w:rPr>
          <w:rFonts w:hint="eastAsia"/>
          <w:vertAlign w:val="superscript"/>
        </w:rPr>
        <w:t>3</w:t>
      </w:r>
      <w:r w:rsidR="004D28EF" w:rsidRPr="004D28EF">
        <w:rPr>
          <w:rFonts w:hint="eastAsia"/>
        </w:rPr>
        <w:t>、排放速率在</w:t>
      </w:r>
      <w:r w:rsidR="004D28EF" w:rsidRPr="004D28EF">
        <w:rPr>
          <w:rFonts w:hint="eastAsia"/>
        </w:rPr>
        <w:t>12.1238~15.4105kg/h</w:t>
      </w:r>
      <w:r w:rsidR="004D28EF" w:rsidRPr="004D28EF">
        <w:rPr>
          <w:rFonts w:hint="eastAsia"/>
        </w:rPr>
        <w:t>，</w:t>
      </w:r>
      <w:r w:rsidR="004D28EF" w:rsidRPr="004D28EF">
        <w:rPr>
          <w:rFonts w:hint="eastAsia"/>
        </w:rPr>
        <w:t>HCl</w:t>
      </w:r>
      <w:r w:rsidR="004D28EF" w:rsidRPr="004D28EF">
        <w:rPr>
          <w:rFonts w:hint="eastAsia"/>
        </w:rPr>
        <w:t>浓度在</w:t>
      </w:r>
      <w:r w:rsidR="004D28EF" w:rsidRPr="004D28EF">
        <w:rPr>
          <w:rFonts w:hint="eastAsia"/>
        </w:rPr>
        <w:t>10.7~11.7mg/m</w:t>
      </w:r>
      <w:r w:rsidR="004D28EF" w:rsidRPr="004716BF">
        <w:rPr>
          <w:rFonts w:hint="eastAsia"/>
          <w:vertAlign w:val="superscript"/>
        </w:rPr>
        <w:t>3</w:t>
      </w:r>
      <w:r w:rsidR="004D28EF" w:rsidRPr="004D28EF">
        <w:rPr>
          <w:rFonts w:hint="eastAsia"/>
        </w:rPr>
        <w:t>、排放速率在</w:t>
      </w:r>
      <w:r w:rsidR="004D28EF" w:rsidRPr="004D28EF">
        <w:rPr>
          <w:rFonts w:hint="eastAsia"/>
        </w:rPr>
        <w:t>0.9156~0.9523kg/h</w:t>
      </w:r>
      <w:r w:rsidR="004D28EF" w:rsidRPr="004D28EF">
        <w:rPr>
          <w:rFonts w:hint="eastAsia"/>
        </w:rPr>
        <w:t>，汞及其化合物在</w:t>
      </w:r>
      <w:r w:rsidR="004D28EF" w:rsidRPr="004D28EF">
        <w:rPr>
          <w:rFonts w:hint="eastAsia"/>
        </w:rPr>
        <w:t>1.69</w:t>
      </w:r>
      <w:r w:rsidR="004D28EF" w:rsidRPr="004D28EF">
        <w:rPr>
          <w:rFonts w:hint="eastAsia"/>
        </w:rPr>
        <w:t>×</w:t>
      </w:r>
      <w:r w:rsidR="004D28EF" w:rsidRPr="004D28EF">
        <w:rPr>
          <w:rFonts w:hint="eastAsia"/>
        </w:rPr>
        <w:t>10</w:t>
      </w:r>
      <w:r w:rsidR="004D28EF" w:rsidRPr="00361AC1">
        <w:rPr>
          <w:rFonts w:hint="eastAsia"/>
          <w:vertAlign w:val="superscript"/>
        </w:rPr>
        <w:t>-4</w:t>
      </w:r>
      <w:r w:rsidR="004D28EF" w:rsidRPr="004D28EF">
        <w:rPr>
          <w:rFonts w:hint="eastAsia"/>
        </w:rPr>
        <w:t>~2.85</w:t>
      </w:r>
      <w:r w:rsidR="004D28EF" w:rsidRPr="004D28EF">
        <w:rPr>
          <w:rFonts w:hint="eastAsia"/>
        </w:rPr>
        <w:t>×</w:t>
      </w:r>
      <w:r w:rsidR="004D28EF" w:rsidRPr="004D28EF">
        <w:rPr>
          <w:rFonts w:hint="eastAsia"/>
        </w:rPr>
        <w:t>10</w:t>
      </w:r>
      <w:r w:rsidR="004D28EF" w:rsidRPr="004716BF">
        <w:rPr>
          <w:rFonts w:hint="eastAsia"/>
          <w:vertAlign w:val="superscript"/>
        </w:rPr>
        <w:t>-4</w:t>
      </w:r>
      <w:r w:rsidR="004D28EF" w:rsidRPr="004D28EF">
        <w:rPr>
          <w:rFonts w:hint="eastAsia"/>
        </w:rPr>
        <w:t>mg/m</w:t>
      </w:r>
      <w:r w:rsidR="004D28EF" w:rsidRPr="004716BF">
        <w:rPr>
          <w:rFonts w:hint="eastAsia"/>
          <w:vertAlign w:val="superscript"/>
        </w:rPr>
        <w:t>3</w:t>
      </w:r>
      <w:r w:rsidR="004D28EF" w:rsidRPr="004D28EF">
        <w:rPr>
          <w:rFonts w:hint="eastAsia"/>
        </w:rPr>
        <w:t>，排放速率在</w:t>
      </w:r>
      <w:r w:rsidR="004D28EF" w:rsidRPr="004D28EF">
        <w:rPr>
          <w:rFonts w:hint="eastAsia"/>
        </w:rPr>
        <w:t>0.00001~0.00002kg/h</w:t>
      </w:r>
      <w:r w:rsidR="004D28EF" w:rsidRPr="004D28EF">
        <w:rPr>
          <w:rFonts w:hint="eastAsia"/>
        </w:rPr>
        <w:t>，</w:t>
      </w:r>
      <w:r w:rsidR="004D28EF" w:rsidRPr="004D28EF">
        <w:rPr>
          <w:rFonts w:hint="eastAsia"/>
        </w:rPr>
        <w:t>CO</w:t>
      </w:r>
      <w:r w:rsidR="004D28EF" w:rsidRPr="004D28EF">
        <w:rPr>
          <w:rFonts w:hint="eastAsia"/>
        </w:rPr>
        <w:t>浓度为未检出</w:t>
      </w:r>
      <w:r w:rsidR="00361AC1">
        <w:rPr>
          <w:rFonts w:hint="eastAsia"/>
        </w:rPr>
        <w:t>；</w:t>
      </w:r>
      <w:r w:rsidR="004716BF" w:rsidRPr="004716BF">
        <w:rPr>
          <w:rFonts w:hint="eastAsia"/>
        </w:rPr>
        <w:t>镉浓度在</w:t>
      </w:r>
      <w:r w:rsidR="004716BF" w:rsidRPr="004716BF">
        <w:rPr>
          <w:rFonts w:hint="eastAsia"/>
        </w:rPr>
        <w:t>1.24</w:t>
      </w:r>
      <w:r w:rsidR="004716BF" w:rsidRPr="004716BF">
        <w:rPr>
          <w:rFonts w:hint="eastAsia"/>
        </w:rPr>
        <w:t>×</w:t>
      </w:r>
      <w:r w:rsidR="004716BF" w:rsidRPr="004716BF">
        <w:rPr>
          <w:rFonts w:hint="eastAsia"/>
        </w:rPr>
        <w:t>10</w:t>
      </w:r>
      <w:r w:rsidR="004716BF" w:rsidRPr="00361AC1">
        <w:rPr>
          <w:rFonts w:hint="eastAsia"/>
          <w:vertAlign w:val="superscript"/>
        </w:rPr>
        <w:t>-3</w:t>
      </w:r>
      <w:r w:rsidR="004716BF" w:rsidRPr="004716BF">
        <w:rPr>
          <w:rFonts w:hint="eastAsia"/>
        </w:rPr>
        <w:t>~1.62</w:t>
      </w:r>
      <w:r w:rsidR="004716BF" w:rsidRPr="004716BF">
        <w:rPr>
          <w:rFonts w:hint="eastAsia"/>
        </w:rPr>
        <w:t>×</w:t>
      </w:r>
      <w:r w:rsidR="004716BF" w:rsidRPr="004716BF">
        <w:rPr>
          <w:rFonts w:hint="eastAsia"/>
        </w:rPr>
        <w:t>10</w:t>
      </w:r>
      <w:r w:rsidR="00361AC1" w:rsidRPr="00361AC1">
        <w:rPr>
          <w:rFonts w:hint="eastAsia"/>
          <w:vertAlign w:val="superscript"/>
        </w:rPr>
        <w:t>-3</w:t>
      </w:r>
      <w:r w:rsidR="004716BF" w:rsidRPr="004716BF">
        <w:rPr>
          <w:rFonts w:hint="eastAsia"/>
        </w:rPr>
        <w:t>mg/m</w:t>
      </w:r>
      <w:r w:rsidR="004716BF" w:rsidRPr="00361AC1">
        <w:rPr>
          <w:rFonts w:hint="eastAsia"/>
          <w:vertAlign w:val="superscript"/>
        </w:rPr>
        <w:t>3</w:t>
      </w:r>
      <w:r w:rsidR="004716BF" w:rsidRPr="004716BF">
        <w:rPr>
          <w:rFonts w:hint="eastAsia"/>
        </w:rPr>
        <w:t>、排放速率为</w:t>
      </w:r>
      <w:r w:rsidR="004716BF" w:rsidRPr="004716BF">
        <w:rPr>
          <w:rFonts w:hint="eastAsia"/>
        </w:rPr>
        <w:t>0.0001kg/h</w:t>
      </w:r>
      <w:r w:rsidR="004716BF" w:rsidRPr="004716BF">
        <w:rPr>
          <w:rFonts w:hint="eastAsia"/>
        </w:rPr>
        <w:t>，铊浓度为未检出</w:t>
      </w:r>
      <w:r w:rsidR="00361AC1">
        <w:rPr>
          <w:rFonts w:hint="eastAsia"/>
        </w:rPr>
        <w:t>；</w:t>
      </w:r>
      <w:r w:rsidR="00D857B6">
        <w:rPr>
          <w:rFonts w:hint="eastAsia"/>
        </w:rPr>
        <w:t>锰浓度在</w:t>
      </w:r>
      <w:r w:rsidR="00D857B6">
        <w:rPr>
          <w:rFonts w:hint="eastAsia"/>
        </w:rPr>
        <w:t>0.01~0.02mg/m</w:t>
      </w:r>
      <w:r w:rsidR="00D857B6" w:rsidRPr="00361AC1">
        <w:rPr>
          <w:rFonts w:hint="eastAsia"/>
          <w:vertAlign w:val="superscript"/>
        </w:rPr>
        <w:t>3</w:t>
      </w:r>
      <w:r w:rsidR="00D857B6">
        <w:rPr>
          <w:rFonts w:hint="eastAsia"/>
        </w:rPr>
        <w:t>、排放速率在</w:t>
      </w:r>
      <w:r w:rsidR="00D857B6">
        <w:rPr>
          <w:rFonts w:hint="eastAsia"/>
        </w:rPr>
        <w:t>0.0006~0.0018kg/h</w:t>
      </w:r>
      <w:r w:rsidR="00D857B6">
        <w:rPr>
          <w:rFonts w:hint="eastAsia"/>
        </w:rPr>
        <w:t>，钴为未检出，镍浓度在</w:t>
      </w:r>
      <w:r w:rsidR="00D857B6">
        <w:rPr>
          <w:rFonts w:hint="eastAsia"/>
        </w:rPr>
        <w:t>0.01~0.02mg/m</w:t>
      </w:r>
      <w:r w:rsidR="00D857B6" w:rsidRPr="00361AC1">
        <w:rPr>
          <w:rFonts w:hint="eastAsia"/>
          <w:vertAlign w:val="superscript"/>
        </w:rPr>
        <w:t>3</w:t>
      </w:r>
      <w:r w:rsidR="00D857B6">
        <w:rPr>
          <w:rFonts w:hint="eastAsia"/>
        </w:rPr>
        <w:t>、排放速率在</w:t>
      </w:r>
      <w:r w:rsidR="00D857B6">
        <w:rPr>
          <w:rFonts w:hint="eastAsia"/>
        </w:rPr>
        <w:t>0.0006~0.0013kg/h</w:t>
      </w:r>
      <w:r w:rsidR="00D857B6">
        <w:rPr>
          <w:rFonts w:hint="eastAsia"/>
        </w:rPr>
        <w:t>，铜浓度在</w:t>
      </w:r>
      <w:r w:rsidR="00D857B6">
        <w:rPr>
          <w:rFonts w:hint="eastAsia"/>
        </w:rPr>
        <w:t>0.01~0.02mg/m</w:t>
      </w:r>
      <w:r w:rsidR="00D857B6" w:rsidRPr="00361AC1">
        <w:rPr>
          <w:rFonts w:hint="eastAsia"/>
          <w:vertAlign w:val="superscript"/>
        </w:rPr>
        <w:t>3</w:t>
      </w:r>
      <w:r w:rsidR="00D857B6">
        <w:rPr>
          <w:rFonts w:hint="eastAsia"/>
        </w:rPr>
        <w:t>、排放速率在</w:t>
      </w:r>
      <w:r w:rsidR="00D857B6">
        <w:rPr>
          <w:rFonts w:hint="eastAsia"/>
        </w:rPr>
        <w:t>0.0012~0.0019kg/h</w:t>
      </w:r>
      <w:r w:rsidR="00D857B6">
        <w:rPr>
          <w:rFonts w:hint="eastAsia"/>
        </w:rPr>
        <w:t>，砷浓度在</w:t>
      </w:r>
      <w:r w:rsidR="00D857B6">
        <w:rPr>
          <w:rFonts w:hint="eastAsia"/>
        </w:rPr>
        <w:t>1.38</w:t>
      </w:r>
      <w:r w:rsidR="00D857B6">
        <w:rPr>
          <w:rFonts w:hint="eastAsia"/>
        </w:rPr>
        <w:t>×</w:t>
      </w:r>
      <w:r w:rsidR="00D857B6">
        <w:rPr>
          <w:rFonts w:hint="eastAsia"/>
        </w:rPr>
        <w:t>10</w:t>
      </w:r>
      <w:r w:rsidR="00D857B6" w:rsidRPr="00361AC1">
        <w:rPr>
          <w:rFonts w:hint="eastAsia"/>
          <w:vertAlign w:val="superscript"/>
        </w:rPr>
        <w:t>-3</w:t>
      </w:r>
      <w:r w:rsidR="00D857B6">
        <w:rPr>
          <w:rFonts w:hint="eastAsia"/>
        </w:rPr>
        <w:t>~1.99</w:t>
      </w:r>
      <w:r w:rsidR="00D857B6">
        <w:rPr>
          <w:rFonts w:hint="eastAsia"/>
        </w:rPr>
        <w:t>×</w:t>
      </w:r>
      <w:r w:rsidR="00D857B6">
        <w:rPr>
          <w:rFonts w:hint="eastAsia"/>
        </w:rPr>
        <w:t>10</w:t>
      </w:r>
      <w:r w:rsidR="00361AC1" w:rsidRPr="00361AC1">
        <w:rPr>
          <w:rFonts w:hint="eastAsia"/>
          <w:vertAlign w:val="superscript"/>
        </w:rPr>
        <w:t>-3</w:t>
      </w:r>
      <w:r w:rsidR="00D857B6">
        <w:rPr>
          <w:rFonts w:hint="eastAsia"/>
        </w:rPr>
        <w:t>mg/m</w:t>
      </w:r>
      <w:r w:rsidR="00D857B6" w:rsidRPr="00361AC1">
        <w:rPr>
          <w:rFonts w:hint="eastAsia"/>
          <w:vertAlign w:val="superscript"/>
        </w:rPr>
        <w:t>3</w:t>
      </w:r>
      <w:r w:rsidR="00D857B6">
        <w:rPr>
          <w:rFonts w:hint="eastAsia"/>
        </w:rPr>
        <w:t>、排放速率在</w:t>
      </w:r>
      <w:r w:rsidR="00D857B6">
        <w:rPr>
          <w:rFonts w:hint="eastAsia"/>
        </w:rPr>
        <w:t>0.0001~0.0002kg/h</w:t>
      </w:r>
      <w:r w:rsidR="00D857B6">
        <w:rPr>
          <w:rFonts w:hint="eastAsia"/>
        </w:rPr>
        <w:t>，锑浓度在</w:t>
      </w:r>
      <w:r w:rsidR="00D857B6">
        <w:rPr>
          <w:rFonts w:hint="eastAsia"/>
        </w:rPr>
        <w:t>1.41</w:t>
      </w:r>
      <w:r w:rsidR="00D857B6">
        <w:rPr>
          <w:rFonts w:hint="eastAsia"/>
        </w:rPr>
        <w:t>×</w:t>
      </w:r>
      <w:r w:rsidR="00D857B6">
        <w:rPr>
          <w:rFonts w:hint="eastAsia"/>
        </w:rPr>
        <w:t>10</w:t>
      </w:r>
      <w:r w:rsidR="00D857B6" w:rsidRPr="00361AC1">
        <w:rPr>
          <w:rFonts w:hint="eastAsia"/>
          <w:vertAlign w:val="superscript"/>
        </w:rPr>
        <w:t>-3</w:t>
      </w:r>
      <w:r w:rsidR="00D857B6">
        <w:rPr>
          <w:rFonts w:hint="eastAsia"/>
        </w:rPr>
        <w:t>~1.59</w:t>
      </w:r>
      <w:r w:rsidR="00D857B6">
        <w:rPr>
          <w:rFonts w:hint="eastAsia"/>
        </w:rPr>
        <w:t>×</w:t>
      </w:r>
      <w:r w:rsidR="00D857B6">
        <w:rPr>
          <w:rFonts w:hint="eastAsia"/>
        </w:rPr>
        <w:t>10</w:t>
      </w:r>
      <w:r w:rsidR="00D857B6" w:rsidRPr="00361AC1">
        <w:rPr>
          <w:rFonts w:hint="eastAsia"/>
          <w:vertAlign w:val="superscript"/>
        </w:rPr>
        <w:t>-3</w:t>
      </w:r>
      <w:r w:rsidR="00D857B6">
        <w:rPr>
          <w:rFonts w:hint="eastAsia"/>
        </w:rPr>
        <w:t>mg/m</w:t>
      </w:r>
      <w:r w:rsidR="00361AC1" w:rsidRPr="00361AC1">
        <w:rPr>
          <w:rFonts w:hint="eastAsia"/>
          <w:vertAlign w:val="superscript"/>
        </w:rPr>
        <w:t>3</w:t>
      </w:r>
      <w:r w:rsidR="00D857B6">
        <w:rPr>
          <w:rFonts w:hint="eastAsia"/>
        </w:rPr>
        <w:t>、排放速率为</w:t>
      </w:r>
      <w:r w:rsidR="00D857B6">
        <w:rPr>
          <w:rFonts w:hint="eastAsia"/>
        </w:rPr>
        <w:t>0.0001kg/h</w:t>
      </w:r>
      <w:r w:rsidR="00D857B6">
        <w:rPr>
          <w:rFonts w:hint="eastAsia"/>
        </w:rPr>
        <w:t>，铬浓度</w:t>
      </w:r>
      <w:r w:rsidR="00D857B6">
        <w:rPr>
          <w:rFonts w:hint="eastAsia"/>
        </w:rPr>
        <w:t>0.01~0.02mg/m</w:t>
      </w:r>
      <w:r w:rsidR="00D857B6" w:rsidRPr="00361AC1">
        <w:rPr>
          <w:rFonts w:hint="eastAsia"/>
          <w:vertAlign w:val="superscript"/>
        </w:rPr>
        <w:t>3</w:t>
      </w:r>
      <w:r w:rsidR="00D857B6">
        <w:rPr>
          <w:rFonts w:hint="eastAsia"/>
        </w:rPr>
        <w:t>、排放速率在</w:t>
      </w:r>
      <w:r w:rsidR="00D857B6">
        <w:rPr>
          <w:rFonts w:hint="eastAsia"/>
        </w:rPr>
        <w:t>0.0006~0.0013kg/h</w:t>
      </w:r>
      <w:r w:rsidR="00D857B6">
        <w:rPr>
          <w:rFonts w:hint="eastAsia"/>
        </w:rPr>
        <w:t>，铅浓度在</w:t>
      </w:r>
      <w:r w:rsidR="00D857B6">
        <w:rPr>
          <w:rFonts w:hint="eastAsia"/>
        </w:rPr>
        <w:t>0.01~0.02mg/m</w:t>
      </w:r>
      <w:r w:rsidR="00D857B6">
        <w:rPr>
          <w:rFonts w:hint="eastAsia"/>
        </w:rPr>
        <w:t>³、排放速率在</w:t>
      </w:r>
      <w:r w:rsidR="00D857B6">
        <w:rPr>
          <w:rFonts w:hint="eastAsia"/>
        </w:rPr>
        <w:t>0.0006~0.0013kg/h</w:t>
      </w:r>
      <w:r w:rsidR="00D857B6">
        <w:rPr>
          <w:rFonts w:hint="eastAsia"/>
        </w:rPr>
        <w:t>。</w:t>
      </w:r>
    </w:p>
    <w:p w14:paraId="223A1A50" w14:textId="2B9B4EF4" w:rsidR="00D857B6" w:rsidRDefault="004969A4" w:rsidP="003D209A">
      <w:pPr>
        <w:pStyle w:val="affffff4"/>
      </w:pPr>
      <w:r>
        <w:rPr>
          <w:rFonts w:hint="eastAsia"/>
        </w:rPr>
        <w:lastRenderedPageBreak/>
        <w:t>（</w:t>
      </w:r>
      <w:r>
        <w:rPr>
          <w:rFonts w:hint="eastAsia"/>
        </w:rPr>
        <w:t>2</w:t>
      </w:r>
      <w:r>
        <w:rPr>
          <w:rFonts w:hint="eastAsia"/>
        </w:rPr>
        <w:t>）</w:t>
      </w:r>
      <w:r w:rsidR="00D857B6">
        <w:rPr>
          <w:rFonts w:hint="eastAsia"/>
        </w:rPr>
        <w:t>2#</w:t>
      </w:r>
      <w:r w:rsidR="00D857B6">
        <w:rPr>
          <w:rFonts w:hint="eastAsia"/>
        </w:rPr>
        <w:t>焚烧炉</w:t>
      </w:r>
      <w:r w:rsidR="0059307E">
        <w:rPr>
          <w:rFonts w:hint="eastAsia"/>
        </w:rPr>
        <w:t>烟气中</w:t>
      </w:r>
      <w:r w:rsidR="00D857B6">
        <w:rPr>
          <w:rFonts w:hint="eastAsia"/>
        </w:rPr>
        <w:t>颗粒物浓度在</w:t>
      </w:r>
      <w:r w:rsidR="00D857B6">
        <w:rPr>
          <w:rFonts w:hint="eastAsia"/>
        </w:rPr>
        <w:t>1.6~2.3mg/m</w:t>
      </w:r>
      <w:r w:rsidR="00D857B6" w:rsidRPr="00361AC1">
        <w:rPr>
          <w:rFonts w:hint="eastAsia"/>
          <w:vertAlign w:val="superscript"/>
        </w:rPr>
        <w:t>3</w:t>
      </w:r>
      <w:r w:rsidR="00D857B6">
        <w:rPr>
          <w:rFonts w:hint="eastAsia"/>
        </w:rPr>
        <w:t>、排放速率在</w:t>
      </w:r>
      <w:r w:rsidR="00D857B6">
        <w:rPr>
          <w:rFonts w:hint="eastAsia"/>
        </w:rPr>
        <w:t>0.1375~0.2007kg/h</w:t>
      </w:r>
      <w:r w:rsidR="00D857B6">
        <w:rPr>
          <w:rFonts w:hint="eastAsia"/>
        </w:rPr>
        <w:t>，</w:t>
      </w:r>
      <w:r w:rsidR="00D857B6">
        <w:rPr>
          <w:rFonts w:hint="eastAsia"/>
        </w:rPr>
        <w:t>SO</w:t>
      </w:r>
      <w:r w:rsidR="00D857B6" w:rsidRPr="003D209A">
        <w:rPr>
          <w:rFonts w:hint="eastAsia"/>
          <w:vertAlign w:val="subscript"/>
        </w:rPr>
        <w:t>2</w:t>
      </w:r>
      <w:r w:rsidR="00D857B6">
        <w:rPr>
          <w:rFonts w:hint="eastAsia"/>
        </w:rPr>
        <w:t>浓度在</w:t>
      </w:r>
      <w:r w:rsidR="00D857B6">
        <w:rPr>
          <w:rFonts w:hint="eastAsia"/>
        </w:rPr>
        <w:t>47~61mg/m</w:t>
      </w:r>
      <w:r w:rsidR="00D857B6" w:rsidRPr="003D209A">
        <w:rPr>
          <w:rFonts w:hint="eastAsia"/>
          <w:vertAlign w:val="superscript"/>
        </w:rPr>
        <w:t>3</w:t>
      </w:r>
      <w:r w:rsidR="00D857B6">
        <w:rPr>
          <w:rFonts w:hint="eastAsia"/>
        </w:rPr>
        <w:t>、排放速率在</w:t>
      </w:r>
      <w:r w:rsidR="00D857B6">
        <w:rPr>
          <w:rFonts w:hint="eastAsia"/>
        </w:rPr>
        <w:t>3.9072~5.4190kg/h</w:t>
      </w:r>
      <w:r w:rsidR="00D857B6">
        <w:rPr>
          <w:rFonts w:hint="eastAsia"/>
        </w:rPr>
        <w:t>，</w:t>
      </w:r>
      <w:r w:rsidR="00D857B6">
        <w:rPr>
          <w:rFonts w:hint="eastAsia"/>
        </w:rPr>
        <w:t>NOx</w:t>
      </w:r>
      <w:r w:rsidR="00D857B6">
        <w:rPr>
          <w:rFonts w:hint="eastAsia"/>
        </w:rPr>
        <w:t>浓度在</w:t>
      </w:r>
      <w:r w:rsidR="00D857B6">
        <w:rPr>
          <w:rFonts w:hint="eastAsia"/>
        </w:rPr>
        <w:t>173~191mg/m</w:t>
      </w:r>
      <w:r w:rsidR="00D857B6" w:rsidRPr="003D209A">
        <w:rPr>
          <w:rFonts w:hint="eastAsia"/>
          <w:vertAlign w:val="superscript"/>
        </w:rPr>
        <w:t>3</w:t>
      </w:r>
      <w:r w:rsidR="00D857B6">
        <w:rPr>
          <w:rFonts w:hint="eastAsia"/>
        </w:rPr>
        <w:t>、排放速率在</w:t>
      </w:r>
      <w:r w:rsidR="00D857B6">
        <w:rPr>
          <w:rFonts w:hint="eastAsia"/>
        </w:rPr>
        <w:t>14.0109~16.5021kg/h</w:t>
      </w:r>
      <w:r w:rsidR="00D857B6">
        <w:rPr>
          <w:rFonts w:hint="eastAsia"/>
        </w:rPr>
        <w:t>，</w:t>
      </w:r>
      <w:r w:rsidR="00D857B6">
        <w:rPr>
          <w:rFonts w:hint="eastAsia"/>
        </w:rPr>
        <w:t>HCl</w:t>
      </w:r>
      <w:r w:rsidR="00D857B6">
        <w:rPr>
          <w:rFonts w:hint="eastAsia"/>
        </w:rPr>
        <w:t>浓度在</w:t>
      </w:r>
      <w:r w:rsidR="00D857B6">
        <w:rPr>
          <w:rFonts w:hint="eastAsia"/>
        </w:rPr>
        <w:t>10.7~12.2mg/m</w:t>
      </w:r>
      <w:r w:rsidR="00D857B6" w:rsidRPr="003D209A">
        <w:rPr>
          <w:rFonts w:hint="eastAsia"/>
          <w:vertAlign w:val="superscript"/>
        </w:rPr>
        <w:t>3</w:t>
      </w:r>
      <w:r w:rsidR="00D857B6">
        <w:rPr>
          <w:rFonts w:hint="eastAsia"/>
        </w:rPr>
        <w:t>、排放速率在</w:t>
      </w:r>
      <w:r w:rsidR="00D857B6">
        <w:rPr>
          <w:rFonts w:hint="eastAsia"/>
        </w:rPr>
        <w:t>0.9189~0.9500kg/h</w:t>
      </w:r>
      <w:r w:rsidR="00D857B6">
        <w:rPr>
          <w:rFonts w:hint="eastAsia"/>
        </w:rPr>
        <w:t>，汞及其化合物在</w:t>
      </w:r>
      <w:r w:rsidR="00D857B6">
        <w:rPr>
          <w:rFonts w:hint="eastAsia"/>
        </w:rPr>
        <w:t>2.82</w:t>
      </w:r>
      <w:r w:rsidR="00D857B6">
        <w:rPr>
          <w:rFonts w:hint="eastAsia"/>
        </w:rPr>
        <w:t>×</w:t>
      </w:r>
      <w:r w:rsidR="00D857B6">
        <w:rPr>
          <w:rFonts w:hint="eastAsia"/>
        </w:rPr>
        <w:t>10</w:t>
      </w:r>
      <w:r w:rsidR="00D857B6" w:rsidRPr="003D209A">
        <w:rPr>
          <w:rFonts w:hint="eastAsia"/>
          <w:vertAlign w:val="superscript"/>
        </w:rPr>
        <w:t>-4</w:t>
      </w:r>
      <w:r w:rsidR="00D857B6">
        <w:rPr>
          <w:rFonts w:hint="eastAsia"/>
        </w:rPr>
        <w:t>~3.62</w:t>
      </w:r>
      <w:r w:rsidR="00D857B6">
        <w:rPr>
          <w:rFonts w:hint="eastAsia"/>
        </w:rPr>
        <w:t>×</w:t>
      </w:r>
      <w:r w:rsidR="00D857B6">
        <w:rPr>
          <w:rFonts w:hint="eastAsia"/>
        </w:rPr>
        <w:t>10</w:t>
      </w:r>
      <w:r w:rsidR="003D209A" w:rsidRPr="003D209A">
        <w:rPr>
          <w:rFonts w:hint="eastAsia"/>
          <w:vertAlign w:val="superscript"/>
        </w:rPr>
        <w:t>-4</w:t>
      </w:r>
      <w:r w:rsidR="00D857B6">
        <w:rPr>
          <w:rFonts w:hint="eastAsia"/>
        </w:rPr>
        <w:t>mg/m</w:t>
      </w:r>
      <w:r w:rsidR="00D857B6" w:rsidRPr="003D209A">
        <w:rPr>
          <w:rFonts w:hint="eastAsia"/>
          <w:vertAlign w:val="superscript"/>
        </w:rPr>
        <w:t>3</w:t>
      </w:r>
      <w:r w:rsidR="00D857B6">
        <w:rPr>
          <w:rFonts w:hint="eastAsia"/>
        </w:rPr>
        <w:t>，排放速率在</w:t>
      </w:r>
      <w:r w:rsidR="00D857B6">
        <w:rPr>
          <w:rFonts w:hint="eastAsia"/>
        </w:rPr>
        <w:t>0.00002~0.00003kg/h</w:t>
      </w:r>
      <w:r w:rsidR="00D857B6">
        <w:rPr>
          <w:rFonts w:hint="eastAsia"/>
        </w:rPr>
        <w:t>，</w:t>
      </w:r>
      <w:r w:rsidR="00D857B6">
        <w:rPr>
          <w:rFonts w:hint="eastAsia"/>
        </w:rPr>
        <w:t>CO</w:t>
      </w:r>
      <w:r w:rsidR="00D857B6">
        <w:rPr>
          <w:rFonts w:hint="eastAsia"/>
        </w:rPr>
        <w:t>浓度为未检出</w:t>
      </w:r>
      <w:r w:rsidR="003D209A">
        <w:rPr>
          <w:rFonts w:hint="eastAsia"/>
        </w:rPr>
        <w:t>；</w:t>
      </w:r>
      <w:r w:rsidR="00D857B6" w:rsidRPr="00D857B6">
        <w:rPr>
          <w:rFonts w:hint="eastAsia"/>
        </w:rPr>
        <w:t>镉浓度在</w:t>
      </w:r>
      <w:r w:rsidR="00D857B6" w:rsidRPr="00D857B6">
        <w:rPr>
          <w:rFonts w:hint="eastAsia"/>
        </w:rPr>
        <w:t>2.59</w:t>
      </w:r>
      <w:r w:rsidR="00D857B6" w:rsidRPr="00D857B6">
        <w:rPr>
          <w:rFonts w:hint="eastAsia"/>
        </w:rPr>
        <w:t>×</w:t>
      </w:r>
      <w:r w:rsidR="00D857B6" w:rsidRPr="00D857B6">
        <w:rPr>
          <w:rFonts w:hint="eastAsia"/>
        </w:rPr>
        <w:t>10</w:t>
      </w:r>
      <w:r w:rsidR="00D857B6" w:rsidRPr="003D209A">
        <w:rPr>
          <w:rFonts w:hint="eastAsia"/>
          <w:vertAlign w:val="superscript"/>
        </w:rPr>
        <w:t>-3</w:t>
      </w:r>
      <w:r w:rsidR="00D857B6" w:rsidRPr="00D857B6">
        <w:rPr>
          <w:rFonts w:hint="eastAsia"/>
        </w:rPr>
        <w:t>~3.18</w:t>
      </w:r>
      <w:r w:rsidR="00D857B6" w:rsidRPr="00D857B6">
        <w:rPr>
          <w:rFonts w:hint="eastAsia"/>
        </w:rPr>
        <w:t>×</w:t>
      </w:r>
      <w:r w:rsidR="00D857B6" w:rsidRPr="00D857B6">
        <w:rPr>
          <w:rFonts w:hint="eastAsia"/>
        </w:rPr>
        <w:t>10</w:t>
      </w:r>
      <w:r w:rsidR="003D209A" w:rsidRPr="003D209A">
        <w:rPr>
          <w:rFonts w:hint="eastAsia"/>
          <w:vertAlign w:val="superscript"/>
        </w:rPr>
        <w:t>-3</w:t>
      </w:r>
      <w:r w:rsidR="00D857B6" w:rsidRPr="00D857B6">
        <w:rPr>
          <w:rFonts w:hint="eastAsia"/>
        </w:rPr>
        <w:t>mg/m</w:t>
      </w:r>
      <w:r w:rsidR="00D857B6" w:rsidRPr="003D209A">
        <w:rPr>
          <w:rFonts w:hint="eastAsia"/>
          <w:vertAlign w:val="superscript"/>
        </w:rPr>
        <w:t>3</w:t>
      </w:r>
      <w:r w:rsidR="00D857B6" w:rsidRPr="00D857B6">
        <w:rPr>
          <w:rFonts w:hint="eastAsia"/>
        </w:rPr>
        <w:t>、排放速率为</w:t>
      </w:r>
      <w:r w:rsidR="00D857B6" w:rsidRPr="00D857B6">
        <w:rPr>
          <w:rFonts w:hint="eastAsia"/>
        </w:rPr>
        <w:t>0.0002~0.0003kg/h</w:t>
      </w:r>
      <w:r w:rsidR="00D857B6" w:rsidRPr="00D857B6">
        <w:rPr>
          <w:rFonts w:hint="eastAsia"/>
        </w:rPr>
        <w:t>，铊处浓度为未检出</w:t>
      </w:r>
      <w:r w:rsidR="003D209A">
        <w:rPr>
          <w:rFonts w:hint="eastAsia"/>
        </w:rPr>
        <w:t>；</w:t>
      </w:r>
      <w:r w:rsidR="00D857B6">
        <w:rPr>
          <w:rFonts w:hint="eastAsia"/>
        </w:rPr>
        <w:t>锰浓度在</w:t>
      </w:r>
      <w:r w:rsidR="00D857B6">
        <w:rPr>
          <w:rFonts w:hint="eastAsia"/>
        </w:rPr>
        <w:t>0.03~0.05mg/m</w:t>
      </w:r>
      <w:r w:rsidR="00D857B6" w:rsidRPr="003D209A">
        <w:rPr>
          <w:rFonts w:hint="eastAsia"/>
          <w:vertAlign w:val="superscript"/>
        </w:rPr>
        <w:t>3</w:t>
      </w:r>
      <w:r w:rsidR="00D857B6">
        <w:rPr>
          <w:rFonts w:hint="eastAsia"/>
        </w:rPr>
        <w:t>、排放速率在</w:t>
      </w:r>
      <w:r w:rsidR="00D857B6">
        <w:rPr>
          <w:rFonts w:hint="eastAsia"/>
        </w:rPr>
        <w:t>0.0020~0.0040kg/h</w:t>
      </w:r>
      <w:r w:rsidR="00D857B6">
        <w:rPr>
          <w:rFonts w:hint="eastAsia"/>
        </w:rPr>
        <w:t>，钴为未检出，镍浓度在</w:t>
      </w:r>
      <w:r w:rsidR="00D857B6">
        <w:rPr>
          <w:rFonts w:hint="eastAsia"/>
        </w:rPr>
        <w:t>0.03~0.04mg/m</w:t>
      </w:r>
      <w:r w:rsidR="00D857B6" w:rsidRPr="003D209A">
        <w:rPr>
          <w:rFonts w:hint="eastAsia"/>
          <w:vertAlign w:val="superscript"/>
        </w:rPr>
        <w:t>3</w:t>
      </w:r>
      <w:r w:rsidR="00D857B6">
        <w:rPr>
          <w:rFonts w:hint="eastAsia"/>
        </w:rPr>
        <w:t>、排放速率在</w:t>
      </w:r>
      <w:r w:rsidR="00D857B6">
        <w:rPr>
          <w:rFonts w:hint="eastAsia"/>
        </w:rPr>
        <w:t>0.0024~0.0034kg/h</w:t>
      </w:r>
      <w:r w:rsidR="00D857B6">
        <w:rPr>
          <w:rFonts w:hint="eastAsia"/>
        </w:rPr>
        <w:t>，铜浓度在</w:t>
      </w:r>
      <w:r w:rsidR="00D857B6">
        <w:rPr>
          <w:rFonts w:hint="eastAsia"/>
        </w:rPr>
        <w:t>0.03~0.04mg/m</w:t>
      </w:r>
      <w:r w:rsidR="00D857B6" w:rsidRPr="003D209A">
        <w:rPr>
          <w:rFonts w:hint="eastAsia"/>
          <w:vertAlign w:val="superscript"/>
        </w:rPr>
        <w:t>3</w:t>
      </w:r>
      <w:r w:rsidR="00D857B6">
        <w:rPr>
          <w:rFonts w:hint="eastAsia"/>
        </w:rPr>
        <w:t>、排放速率在</w:t>
      </w:r>
      <w:r w:rsidR="00D857B6">
        <w:rPr>
          <w:rFonts w:hint="eastAsia"/>
        </w:rPr>
        <w:t>0.0027~0.0044kg/h</w:t>
      </w:r>
      <w:r w:rsidR="00D857B6">
        <w:rPr>
          <w:rFonts w:hint="eastAsia"/>
        </w:rPr>
        <w:t>，砷浓度在</w:t>
      </w:r>
      <w:r w:rsidR="00D857B6">
        <w:rPr>
          <w:rFonts w:hint="eastAsia"/>
        </w:rPr>
        <w:t>2.80</w:t>
      </w:r>
      <w:r w:rsidR="00D857B6">
        <w:rPr>
          <w:rFonts w:hint="eastAsia"/>
        </w:rPr>
        <w:t>×</w:t>
      </w:r>
      <w:r w:rsidR="00D857B6">
        <w:rPr>
          <w:rFonts w:hint="eastAsia"/>
        </w:rPr>
        <w:t>10</w:t>
      </w:r>
      <w:r w:rsidR="00D857B6" w:rsidRPr="00A36A08">
        <w:rPr>
          <w:rFonts w:hint="eastAsia"/>
          <w:vertAlign w:val="superscript"/>
        </w:rPr>
        <w:t>-3</w:t>
      </w:r>
      <w:r w:rsidR="00D857B6">
        <w:rPr>
          <w:rFonts w:hint="eastAsia"/>
        </w:rPr>
        <w:t>~3.23</w:t>
      </w:r>
      <w:r w:rsidR="00D857B6">
        <w:rPr>
          <w:rFonts w:hint="eastAsia"/>
        </w:rPr>
        <w:t>×</w:t>
      </w:r>
      <w:r w:rsidR="00D857B6">
        <w:rPr>
          <w:rFonts w:hint="eastAsia"/>
        </w:rPr>
        <w:t>10</w:t>
      </w:r>
      <w:r w:rsidR="00A36A08" w:rsidRPr="00A36A08">
        <w:rPr>
          <w:rFonts w:hint="eastAsia"/>
          <w:vertAlign w:val="superscript"/>
        </w:rPr>
        <w:t>-3</w:t>
      </w:r>
      <w:r w:rsidR="00D857B6">
        <w:rPr>
          <w:rFonts w:hint="eastAsia"/>
        </w:rPr>
        <w:t>mg/m</w:t>
      </w:r>
      <w:r w:rsidR="00D857B6" w:rsidRPr="00A36A08">
        <w:rPr>
          <w:rFonts w:hint="eastAsia"/>
          <w:vertAlign w:val="superscript"/>
        </w:rPr>
        <w:t>3</w:t>
      </w:r>
      <w:r w:rsidR="00D857B6">
        <w:rPr>
          <w:rFonts w:hint="eastAsia"/>
        </w:rPr>
        <w:t>、排放速率在</w:t>
      </w:r>
      <w:r w:rsidR="00D857B6">
        <w:rPr>
          <w:rFonts w:hint="eastAsia"/>
        </w:rPr>
        <w:t>0.0002~0.0003kg/h</w:t>
      </w:r>
      <w:r w:rsidR="00D857B6">
        <w:rPr>
          <w:rFonts w:hint="eastAsia"/>
        </w:rPr>
        <w:t>，锑浓度在</w:t>
      </w:r>
      <w:r w:rsidR="00D857B6">
        <w:rPr>
          <w:rFonts w:hint="eastAsia"/>
        </w:rPr>
        <w:t>2.84</w:t>
      </w:r>
      <w:r w:rsidR="00D857B6">
        <w:rPr>
          <w:rFonts w:hint="eastAsia"/>
        </w:rPr>
        <w:t>×</w:t>
      </w:r>
      <w:r w:rsidR="00D857B6">
        <w:rPr>
          <w:rFonts w:hint="eastAsia"/>
        </w:rPr>
        <w:t>10</w:t>
      </w:r>
      <w:r w:rsidR="00D857B6" w:rsidRPr="00A36A08">
        <w:rPr>
          <w:rFonts w:hint="eastAsia"/>
          <w:vertAlign w:val="superscript"/>
        </w:rPr>
        <w:t>-3</w:t>
      </w:r>
      <w:r w:rsidR="00D857B6">
        <w:rPr>
          <w:rFonts w:hint="eastAsia"/>
        </w:rPr>
        <w:t>~3.15</w:t>
      </w:r>
      <w:r w:rsidR="00D857B6">
        <w:rPr>
          <w:rFonts w:hint="eastAsia"/>
        </w:rPr>
        <w:t>×</w:t>
      </w:r>
      <w:r w:rsidR="00D857B6">
        <w:rPr>
          <w:rFonts w:hint="eastAsia"/>
        </w:rPr>
        <w:t>10</w:t>
      </w:r>
      <w:r w:rsidR="00A36A08" w:rsidRPr="00A36A08">
        <w:rPr>
          <w:rFonts w:hint="eastAsia"/>
          <w:vertAlign w:val="superscript"/>
        </w:rPr>
        <w:t>-3</w:t>
      </w:r>
      <w:r w:rsidR="00D857B6">
        <w:rPr>
          <w:rFonts w:hint="eastAsia"/>
        </w:rPr>
        <w:t>mg/m</w:t>
      </w:r>
      <w:r w:rsidR="00D857B6" w:rsidRPr="00A36A08">
        <w:rPr>
          <w:rFonts w:hint="eastAsia"/>
          <w:vertAlign w:val="superscript"/>
        </w:rPr>
        <w:t>3</w:t>
      </w:r>
      <w:r w:rsidR="00D857B6">
        <w:rPr>
          <w:rFonts w:hint="eastAsia"/>
        </w:rPr>
        <w:t>、排放速率为</w:t>
      </w:r>
      <w:r w:rsidR="00D857B6">
        <w:rPr>
          <w:rFonts w:hint="eastAsia"/>
        </w:rPr>
        <w:t>0.0002~0.0003kg/h</w:t>
      </w:r>
      <w:r w:rsidR="00D857B6">
        <w:rPr>
          <w:rFonts w:hint="eastAsia"/>
        </w:rPr>
        <w:t>之间，铬浓度</w:t>
      </w:r>
      <w:r w:rsidR="00D857B6">
        <w:rPr>
          <w:rFonts w:hint="eastAsia"/>
        </w:rPr>
        <w:t>0.03~0.04mg/m</w:t>
      </w:r>
      <w:r w:rsidR="00D857B6" w:rsidRPr="00A36A08">
        <w:rPr>
          <w:rFonts w:hint="eastAsia"/>
          <w:vertAlign w:val="superscript"/>
        </w:rPr>
        <w:t>3</w:t>
      </w:r>
      <w:r w:rsidR="00D857B6">
        <w:rPr>
          <w:rFonts w:hint="eastAsia"/>
        </w:rPr>
        <w:t>、排放速率在</w:t>
      </w:r>
      <w:r w:rsidR="00D857B6">
        <w:rPr>
          <w:rFonts w:hint="eastAsia"/>
        </w:rPr>
        <w:t>0.0020~0.0037kg/h</w:t>
      </w:r>
      <w:r w:rsidR="00D857B6">
        <w:rPr>
          <w:rFonts w:hint="eastAsia"/>
        </w:rPr>
        <w:t>，铅浓度在</w:t>
      </w:r>
      <w:r w:rsidR="00D857B6">
        <w:rPr>
          <w:rFonts w:hint="eastAsia"/>
        </w:rPr>
        <w:t>0.03~0.05mg/m</w:t>
      </w:r>
      <w:r w:rsidR="00D857B6">
        <w:rPr>
          <w:rFonts w:hint="eastAsia"/>
        </w:rPr>
        <w:t>³、排放速率在</w:t>
      </w:r>
      <w:r w:rsidR="00D857B6">
        <w:rPr>
          <w:rFonts w:hint="eastAsia"/>
        </w:rPr>
        <w:t>0.0026~0.0037kg/h</w:t>
      </w:r>
      <w:r w:rsidR="00D857B6">
        <w:rPr>
          <w:rFonts w:hint="eastAsia"/>
        </w:rPr>
        <w:t>。</w:t>
      </w:r>
    </w:p>
    <w:p w14:paraId="566B4FF2" w14:textId="4A80C70D" w:rsidR="00D857B6" w:rsidRDefault="004969A4" w:rsidP="008B2180">
      <w:pPr>
        <w:pStyle w:val="affffff4"/>
      </w:pPr>
      <w:r>
        <w:rPr>
          <w:rFonts w:hint="eastAsia"/>
        </w:rPr>
        <w:t>（</w:t>
      </w:r>
      <w:r>
        <w:rPr>
          <w:rFonts w:hint="eastAsia"/>
        </w:rPr>
        <w:t>3</w:t>
      </w:r>
      <w:r>
        <w:rPr>
          <w:rFonts w:hint="eastAsia"/>
        </w:rPr>
        <w:t>）</w:t>
      </w:r>
      <w:r w:rsidR="00D857B6">
        <w:rPr>
          <w:rFonts w:hint="eastAsia"/>
        </w:rPr>
        <w:t>3#</w:t>
      </w:r>
      <w:r w:rsidR="00D857B6">
        <w:rPr>
          <w:rFonts w:hint="eastAsia"/>
        </w:rPr>
        <w:t>焚烧炉</w:t>
      </w:r>
      <w:r w:rsidR="0059307E">
        <w:rPr>
          <w:rFonts w:hint="eastAsia"/>
        </w:rPr>
        <w:t>烟气中</w:t>
      </w:r>
      <w:r w:rsidR="00D857B6">
        <w:rPr>
          <w:rFonts w:hint="eastAsia"/>
        </w:rPr>
        <w:t>颗粒物浓度在</w:t>
      </w:r>
      <w:r w:rsidR="00D857B6">
        <w:rPr>
          <w:rFonts w:hint="eastAsia"/>
        </w:rPr>
        <w:t>2.2~3.0mg/m</w:t>
      </w:r>
      <w:r w:rsidR="00D857B6" w:rsidRPr="00A36A08">
        <w:rPr>
          <w:rFonts w:hint="eastAsia"/>
          <w:vertAlign w:val="superscript"/>
        </w:rPr>
        <w:t>3</w:t>
      </w:r>
      <w:r w:rsidR="00D857B6">
        <w:rPr>
          <w:rFonts w:hint="eastAsia"/>
        </w:rPr>
        <w:t>、排放速率在</w:t>
      </w:r>
      <w:r w:rsidR="00D857B6">
        <w:rPr>
          <w:rFonts w:hint="eastAsia"/>
        </w:rPr>
        <w:t>0.1547~0.2214kg/h</w:t>
      </w:r>
      <w:r w:rsidR="00D857B6">
        <w:rPr>
          <w:rFonts w:hint="eastAsia"/>
        </w:rPr>
        <w:t>，</w:t>
      </w:r>
      <w:r w:rsidR="00D857B6">
        <w:rPr>
          <w:rFonts w:hint="eastAsia"/>
        </w:rPr>
        <w:t>SO</w:t>
      </w:r>
      <w:r w:rsidR="00D857B6" w:rsidRPr="00A36A08">
        <w:rPr>
          <w:rFonts w:hint="eastAsia"/>
          <w:vertAlign w:val="subscript"/>
        </w:rPr>
        <w:t>2</w:t>
      </w:r>
      <w:r w:rsidR="00D857B6">
        <w:rPr>
          <w:rFonts w:hint="eastAsia"/>
        </w:rPr>
        <w:t>浓度在</w:t>
      </w:r>
      <w:r w:rsidR="00D857B6">
        <w:rPr>
          <w:rFonts w:hint="eastAsia"/>
        </w:rPr>
        <w:t>36~64mg/m</w:t>
      </w:r>
      <w:r w:rsidR="00D857B6" w:rsidRPr="00A36A08">
        <w:rPr>
          <w:rFonts w:hint="eastAsia"/>
          <w:vertAlign w:val="superscript"/>
        </w:rPr>
        <w:t>3</w:t>
      </w:r>
      <w:r w:rsidR="00D857B6">
        <w:rPr>
          <w:rFonts w:hint="eastAsia"/>
        </w:rPr>
        <w:t>、排放速率在</w:t>
      </w:r>
      <w:r w:rsidR="00D857B6">
        <w:rPr>
          <w:rFonts w:hint="eastAsia"/>
        </w:rPr>
        <w:t>2.6916~4.4959kg/h</w:t>
      </w:r>
      <w:r w:rsidR="00D857B6">
        <w:rPr>
          <w:rFonts w:hint="eastAsia"/>
        </w:rPr>
        <w:t>，</w:t>
      </w:r>
      <w:r w:rsidR="00D857B6">
        <w:rPr>
          <w:rFonts w:hint="eastAsia"/>
        </w:rPr>
        <w:t>NOx</w:t>
      </w:r>
      <w:r w:rsidR="00D857B6">
        <w:rPr>
          <w:rFonts w:hint="eastAsia"/>
        </w:rPr>
        <w:t>浓度在</w:t>
      </w:r>
      <w:r w:rsidR="00D857B6">
        <w:rPr>
          <w:rFonts w:hint="eastAsia"/>
        </w:rPr>
        <w:t>196~236mg/m</w:t>
      </w:r>
      <w:r w:rsidR="00D857B6" w:rsidRPr="00A36A08">
        <w:rPr>
          <w:rFonts w:hint="eastAsia"/>
          <w:vertAlign w:val="superscript"/>
        </w:rPr>
        <w:t>3</w:t>
      </w:r>
      <w:r w:rsidR="00D857B6">
        <w:rPr>
          <w:rFonts w:hint="eastAsia"/>
        </w:rPr>
        <w:t>、排放速率在</w:t>
      </w:r>
      <w:r w:rsidR="00D857B6">
        <w:rPr>
          <w:rFonts w:hint="eastAsia"/>
        </w:rPr>
        <w:t>14.5192~18.3971kg/h</w:t>
      </w:r>
      <w:r w:rsidR="00D857B6">
        <w:rPr>
          <w:rFonts w:hint="eastAsia"/>
        </w:rPr>
        <w:t>，</w:t>
      </w:r>
      <w:r w:rsidR="00D857B6">
        <w:rPr>
          <w:rFonts w:hint="eastAsia"/>
        </w:rPr>
        <w:t>HCl</w:t>
      </w:r>
      <w:r w:rsidR="00D857B6">
        <w:rPr>
          <w:rFonts w:hint="eastAsia"/>
        </w:rPr>
        <w:t>浓度在</w:t>
      </w:r>
      <w:r w:rsidR="00D857B6">
        <w:rPr>
          <w:rFonts w:hint="eastAsia"/>
        </w:rPr>
        <w:t>11.2~13.3mg/m</w:t>
      </w:r>
      <w:r w:rsidR="00D857B6" w:rsidRPr="00A36A08">
        <w:rPr>
          <w:rFonts w:hint="eastAsia"/>
          <w:vertAlign w:val="superscript"/>
        </w:rPr>
        <w:t>3</w:t>
      </w:r>
      <w:r w:rsidR="00D857B6">
        <w:rPr>
          <w:rFonts w:hint="eastAsia"/>
        </w:rPr>
        <w:t>、排放速率在</w:t>
      </w:r>
      <w:r w:rsidR="00D857B6">
        <w:rPr>
          <w:rFonts w:hint="eastAsia"/>
        </w:rPr>
        <w:t>0.9067~0.9338kg/h</w:t>
      </w:r>
      <w:r w:rsidR="00D857B6">
        <w:rPr>
          <w:rFonts w:hint="eastAsia"/>
        </w:rPr>
        <w:t>，汞及其化合物在</w:t>
      </w:r>
      <w:r w:rsidR="00D857B6">
        <w:rPr>
          <w:rFonts w:hint="eastAsia"/>
        </w:rPr>
        <w:t>2.08</w:t>
      </w:r>
      <w:r w:rsidR="00D857B6">
        <w:rPr>
          <w:rFonts w:hint="eastAsia"/>
        </w:rPr>
        <w:t>×</w:t>
      </w:r>
      <w:r w:rsidR="00D857B6">
        <w:rPr>
          <w:rFonts w:hint="eastAsia"/>
        </w:rPr>
        <w:t>10</w:t>
      </w:r>
      <w:r w:rsidR="00D857B6" w:rsidRPr="00A36A08">
        <w:rPr>
          <w:rFonts w:hint="eastAsia"/>
          <w:vertAlign w:val="superscript"/>
        </w:rPr>
        <w:t>-4</w:t>
      </w:r>
      <w:r w:rsidR="00D857B6">
        <w:rPr>
          <w:rFonts w:hint="eastAsia"/>
        </w:rPr>
        <w:t>~3.06</w:t>
      </w:r>
      <w:r w:rsidR="00D857B6">
        <w:rPr>
          <w:rFonts w:hint="eastAsia"/>
        </w:rPr>
        <w:t>×</w:t>
      </w:r>
      <w:r w:rsidR="00D857B6">
        <w:rPr>
          <w:rFonts w:hint="eastAsia"/>
        </w:rPr>
        <w:t>10</w:t>
      </w:r>
      <w:r w:rsidR="00D857B6" w:rsidRPr="008B2180">
        <w:rPr>
          <w:rFonts w:hint="eastAsia"/>
          <w:vertAlign w:val="superscript"/>
        </w:rPr>
        <w:t>-4</w:t>
      </w:r>
      <w:r w:rsidR="00D857B6">
        <w:rPr>
          <w:rFonts w:hint="eastAsia"/>
        </w:rPr>
        <w:t>mg/m</w:t>
      </w:r>
      <w:r w:rsidR="00D857B6" w:rsidRPr="008B2180">
        <w:rPr>
          <w:rFonts w:hint="eastAsia"/>
          <w:vertAlign w:val="superscript"/>
        </w:rPr>
        <w:t>3</w:t>
      </w:r>
      <w:r w:rsidR="00D857B6">
        <w:rPr>
          <w:rFonts w:hint="eastAsia"/>
        </w:rPr>
        <w:t>，排放速率</w:t>
      </w:r>
      <w:r w:rsidR="00D857B6">
        <w:rPr>
          <w:rFonts w:hint="eastAsia"/>
        </w:rPr>
        <w:t>0.00002kg/h</w:t>
      </w:r>
      <w:r w:rsidR="00D857B6">
        <w:rPr>
          <w:rFonts w:hint="eastAsia"/>
        </w:rPr>
        <w:t>，</w:t>
      </w:r>
      <w:r w:rsidR="00D857B6">
        <w:rPr>
          <w:rFonts w:hint="eastAsia"/>
        </w:rPr>
        <w:t>CO</w:t>
      </w:r>
      <w:r w:rsidR="00D857B6">
        <w:rPr>
          <w:rFonts w:hint="eastAsia"/>
        </w:rPr>
        <w:t>浓度为未检出</w:t>
      </w:r>
      <w:r w:rsidR="008B2180">
        <w:rPr>
          <w:rFonts w:hint="eastAsia"/>
        </w:rPr>
        <w:t>；</w:t>
      </w:r>
      <w:r w:rsidR="00D857B6" w:rsidRPr="00D857B6">
        <w:rPr>
          <w:rFonts w:hint="eastAsia"/>
        </w:rPr>
        <w:t>镉浓度在</w:t>
      </w:r>
      <w:r w:rsidR="00D857B6" w:rsidRPr="00D857B6">
        <w:rPr>
          <w:rFonts w:hint="eastAsia"/>
        </w:rPr>
        <w:t>2.76</w:t>
      </w:r>
      <w:r w:rsidR="00D857B6" w:rsidRPr="00D857B6">
        <w:rPr>
          <w:rFonts w:hint="eastAsia"/>
        </w:rPr>
        <w:t>×</w:t>
      </w:r>
      <w:r w:rsidR="00D857B6" w:rsidRPr="00D857B6">
        <w:rPr>
          <w:rFonts w:hint="eastAsia"/>
        </w:rPr>
        <w:t>10</w:t>
      </w:r>
      <w:r w:rsidR="00D857B6" w:rsidRPr="008B2180">
        <w:rPr>
          <w:rFonts w:hint="eastAsia"/>
          <w:vertAlign w:val="superscript"/>
        </w:rPr>
        <w:t>-3</w:t>
      </w:r>
      <w:r w:rsidR="00D857B6" w:rsidRPr="00D857B6">
        <w:rPr>
          <w:rFonts w:hint="eastAsia"/>
        </w:rPr>
        <w:t>~3.28</w:t>
      </w:r>
      <w:r w:rsidR="00D857B6" w:rsidRPr="00D857B6">
        <w:rPr>
          <w:rFonts w:hint="eastAsia"/>
        </w:rPr>
        <w:t>×</w:t>
      </w:r>
      <w:r w:rsidR="00D857B6" w:rsidRPr="00D857B6">
        <w:rPr>
          <w:rFonts w:hint="eastAsia"/>
        </w:rPr>
        <w:t>10</w:t>
      </w:r>
      <w:r w:rsidR="008B2180" w:rsidRPr="008B2180">
        <w:rPr>
          <w:rFonts w:hint="eastAsia"/>
          <w:vertAlign w:val="superscript"/>
        </w:rPr>
        <w:t>-3</w:t>
      </w:r>
      <w:r w:rsidR="00D857B6" w:rsidRPr="00D857B6">
        <w:rPr>
          <w:rFonts w:hint="eastAsia"/>
        </w:rPr>
        <w:t>mg/m</w:t>
      </w:r>
      <w:r w:rsidR="00D857B6" w:rsidRPr="008B2180">
        <w:rPr>
          <w:rFonts w:hint="eastAsia"/>
          <w:vertAlign w:val="superscript"/>
        </w:rPr>
        <w:t>3</w:t>
      </w:r>
      <w:r w:rsidR="00D857B6" w:rsidRPr="00D857B6">
        <w:rPr>
          <w:rFonts w:hint="eastAsia"/>
        </w:rPr>
        <w:t>、排放速率为</w:t>
      </w:r>
      <w:r w:rsidR="00D857B6" w:rsidRPr="00D857B6">
        <w:rPr>
          <w:rFonts w:hint="eastAsia"/>
        </w:rPr>
        <w:t>0.0002kg/h</w:t>
      </w:r>
      <w:r w:rsidR="00D857B6" w:rsidRPr="00D857B6">
        <w:rPr>
          <w:rFonts w:hint="eastAsia"/>
        </w:rPr>
        <w:t>，铊浓度为未检出</w:t>
      </w:r>
      <w:r w:rsidR="008B2180">
        <w:rPr>
          <w:rFonts w:hint="eastAsia"/>
        </w:rPr>
        <w:t>；</w:t>
      </w:r>
      <w:r w:rsidR="00D857B6">
        <w:rPr>
          <w:rFonts w:hint="eastAsia"/>
        </w:rPr>
        <w:t>锰浓度在</w:t>
      </w:r>
      <w:r w:rsidR="00D857B6">
        <w:rPr>
          <w:rFonts w:hint="eastAsia"/>
        </w:rPr>
        <w:t>0.04~0.05mg/m</w:t>
      </w:r>
      <w:r w:rsidR="00D857B6" w:rsidRPr="008B2180">
        <w:rPr>
          <w:rFonts w:hint="eastAsia"/>
          <w:vertAlign w:val="superscript"/>
        </w:rPr>
        <w:t>3</w:t>
      </w:r>
      <w:r w:rsidR="00D857B6">
        <w:rPr>
          <w:rFonts w:hint="eastAsia"/>
        </w:rPr>
        <w:t>、排放速率在</w:t>
      </w:r>
      <w:r w:rsidR="00D857B6">
        <w:rPr>
          <w:rFonts w:hint="eastAsia"/>
        </w:rPr>
        <w:t>0.0024~0.0039kg/h</w:t>
      </w:r>
      <w:r w:rsidR="00D857B6">
        <w:rPr>
          <w:rFonts w:hint="eastAsia"/>
        </w:rPr>
        <w:t>，钴为未检出，镍浓度在</w:t>
      </w:r>
      <w:r w:rsidR="00D857B6">
        <w:rPr>
          <w:rFonts w:hint="eastAsia"/>
        </w:rPr>
        <w:t>0.03~0.04mg/m</w:t>
      </w:r>
      <w:r w:rsidR="00D857B6" w:rsidRPr="008B2180">
        <w:rPr>
          <w:rFonts w:hint="eastAsia"/>
          <w:vertAlign w:val="superscript"/>
        </w:rPr>
        <w:t>3</w:t>
      </w:r>
      <w:r w:rsidR="00D857B6">
        <w:rPr>
          <w:rFonts w:hint="eastAsia"/>
        </w:rPr>
        <w:t>、排放速率在</w:t>
      </w:r>
      <w:r w:rsidR="00D857B6">
        <w:rPr>
          <w:rFonts w:hint="eastAsia"/>
        </w:rPr>
        <w:t>0.0024~0.0032kg/h</w:t>
      </w:r>
      <w:r w:rsidR="00D857B6">
        <w:rPr>
          <w:rFonts w:hint="eastAsia"/>
        </w:rPr>
        <w:t>，铜浓度在</w:t>
      </w:r>
      <w:r w:rsidR="00D857B6">
        <w:rPr>
          <w:rFonts w:hint="eastAsia"/>
        </w:rPr>
        <w:t>0.03~0.04mg/m</w:t>
      </w:r>
      <w:r w:rsidR="00D857B6" w:rsidRPr="008B2180">
        <w:rPr>
          <w:rFonts w:hint="eastAsia"/>
          <w:vertAlign w:val="superscript"/>
        </w:rPr>
        <w:t>3</w:t>
      </w:r>
      <w:r w:rsidR="00D857B6">
        <w:rPr>
          <w:rFonts w:hint="eastAsia"/>
        </w:rPr>
        <w:t>、排放速率在</w:t>
      </w:r>
      <w:r w:rsidR="00D857B6">
        <w:rPr>
          <w:rFonts w:hint="eastAsia"/>
        </w:rPr>
        <w:t>0.0024~0.0032kg/h</w:t>
      </w:r>
      <w:r w:rsidR="00D857B6">
        <w:rPr>
          <w:rFonts w:hint="eastAsia"/>
        </w:rPr>
        <w:t>，砷浓度在</w:t>
      </w:r>
      <w:r w:rsidR="00D857B6">
        <w:rPr>
          <w:rFonts w:hint="eastAsia"/>
        </w:rPr>
        <w:t>2.64</w:t>
      </w:r>
      <w:r w:rsidR="00D857B6">
        <w:rPr>
          <w:rFonts w:hint="eastAsia"/>
        </w:rPr>
        <w:t>×</w:t>
      </w:r>
      <w:r w:rsidR="00D857B6">
        <w:rPr>
          <w:rFonts w:hint="eastAsia"/>
        </w:rPr>
        <w:t>10</w:t>
      </w:r>
      <w:r w:rsidR="00D857B6" w:rsidRPr="008B2180">
        <w:rPr>
          <w:rFonts w:hint="eastAsia"/>
          <w:vertAlign w:val="superscript"/>
        </w:rPr>
        <w:t>-3</w:t>
      </w:r>
      <w:r w:rsidR="00D857B6">
        <w:rPr>
          <w:rFonts w:hint="eastAsia"/>
        </w:rPr>
        <w:t>~3.69</w:t>
      </w:r>
      <w:r w:rsidR="00D857B6">
        <w:rPr>
          <w:rFonts w:hint="eastAsia"/>
        </w:rPr>
        <w:t>×</w:t>
      </w:r>
      <w:r w:rsidR="00D857B6">
        <w:rPr>
          <w:rFonts w:hint="eastAsia"/>
        </w:rPr>
        <w:t>10</w:t>
      </w:r>
      <w:r w:rsidR="008B2180" w:rsidRPr="008B2180">
        <w:rPr>
          <w:rFonts w:hint="eastAsia"/>
          <w:vertAlign w:val="superscript"/>
        </w:rPr>
        <w:t>-3</w:t>
      </w:r>
      <w:r w:rsidR="00D857B6">
        <w:rPr>
          <w:rFonts w:hint="eastAsia"/>
        </w:rPr>
        <w:t>mg/m</w:t>
      </w:r>
      <w:r w:rsidR="00D857B6" w:rsidRPr="008B2180">
        <w:rPr>
          <w:rFonts w:hint="eastAsia"/>
          <w:vertAlign w:val="superscript"/>
        </w:rPr>
        <w:t>3</w:t>
      </w:r>
      <w:r w:rsidR="00D857B6">
        <w:rPr>
          <w:rFonts w:hint="eastAsia"/>
        </w:rPr>
        <w:t>、排放速率在</w:t>
      </w:r>
      <w:r w:rsidR="00D857B6">
        <w:rPr>
          <w:rFonts w:hint="eastAsia"/>
        </w:rPr>
        <w:t>0.0002~0.0003kg/h</w:t>
      </w:r>
      <w:r w:rsidR="00D857B6">
        <w:rPr>
          <w:rFonts w:hint="eastAsia"/>
        </w:rPr>
        <w:t>，锑浓度在</w:t>
      </w:r>
      <w:r w:rsidR="00D857B6">
        <w:rPr>
          <w:rFonts w:hint="eastAsia"/>
        </w:rPr>
        <w:t>3.19</w:t>
      </w:r>
      <w:r w:rsidR="00D857B6">
        <w:rPr>
          <w:rFonts w:hint="eastAsia"/>
        </w:rPr>
        <w:t>×</w:t>
      </w:r>
      <w:r w:rsidR="00D857B6">
        <w:rPr>
          <w:rFonts w:hint="eastAsia"/>
        </w:rPr>
        <w:t>10</w:t>
      </w:r>
      <w:r w:rsidR="00D857B6" w:rsidRPr="008B2180">
        <w:rPr>
          <w:rFonts w:hint="eastAsia"/>
          <w:vertAlign w:val="superscript"/>
        </w:rPr>
        <w:t>-3</w:t>
      </w:r>
      <w:r w:rsidR="00D857B6">
        <w:rPr>
          <w:rFonts w:hint="eastAsia"/>
        </w:rPr>
        <w:t>~3.79</w:t>
      </w:r>
      <w:r w:rsidR="00D857B6">
        <w:rPr>
          <w:rFonts w:hint="eastAsia"/>
        </w:rPr>
        <w:t>×</w:t>
      </w:r>
      <w:r w:rsidR="00D857B6">
        <w:rPr>
          <w:rFonts w:hint="eastAsia"/>
        </w:rPr>
        <w:t>10</w:t>
      </w:r>
      <w:r w:rsidR="00D857B6" w:rsidRPr="008B2180">
        <w:rPr>
          <w:rFonts w:hint="eastAsia"/>
          <w:vertAlign w:val="superscript"/>
        </w:rPr>
        <w:t>-3</w:t>
      </w:r>
      <w:r w:rsidR="00D857B6">
        <w:rPr>
          <w:rFonts w:hint="eastAsia"/>
        </w:rPr>
        <w:t>mg/m</w:t>
      </w:r>
      <w:r w:rsidR="008B2180" w:rsidRPr="008B2180">
        <w:rPr>
          <w:rFonts w:hint="eastAsia"/>
          <w:vertAlign w:val="superscript"/>
        </w:rPr>
        <w:t>3</w:t>
      </w:r>
      <w:r w:rsidR="00D857B6">
        <w:rPr>
          <w:rFonts w:hint="eastAsia"/>
        </w:rPr>
        <w:t>、排放速率为</w:t>
      </w:r>
      <w:r w:rsidR="00D857B6">
        <w:rPr>
          <w:rFonts w:hint="eastAsia"/>
        </w:rPr>
        <w:t>0.0002~0.0003kg/h</w:t>
      </w:r>
      <w:r w:rsidR="00D857B6">
        <w:rPr>
          <w:rFonts w:hint="eastAsia"/>
        </w:rPr>
        <w:t>之间，铬浓度</w:t>
      </w:r>
      <w:r w:rsidR="00D857B6">
        <w:rPr>
          <w:rFonts w:hint="eastAsia"/>
        </w:rPr>
        <w:t>0.02~0.03mg/m</w:t>
      </w:r>
      <w:r w:rsidR="00D857B6" w:rsidRPr="008B2180">
        <w:rPr>
          <w:rFonts w:hint="eastAsia"/>
          <w:vertAlign w:val="superscript"/>
        </w:rPr>
        <w:t>3</w:t>
      </w:r>
      <w:r w:rsidR="00D857B6">
        <w:rPr>
          <w:rFonts w:hint="eastAsia"/>
        </w:rPr>
        <w:t>、排放速率在</w:t>
      </w:r>
      <w:r w:rsidR="00D857B6">
        <w:rPr>
          <w:rFonts w:hint="eastAsia"/>
        </w:rPr>
        <w:t>0.0019~0.0025kg/h</w:t>
      </w:r>
      <w:r w:rsidR="00D857B6">
        <w:rPr>
          <w:rFonts w:hint="eastAsia"/>
        </w:rPr>
        <w:t>，铅浓度在</w:t>
      </w:r>
      <w:r w:rsidR="00D857B6">
        <w:rPr>
          <w:rFonts w:hint="eastAsia"/>
        </w:rPr>
        <w:t>0.04~0.05mg/m</w:t>
      </w:r>
      <w:r w:rsidR="00D857B6">
        <w:rPr>
          <w:rFonts w:hint="eastAsia"/>
        </w:rPr>
        <w:t>³、排放速率在</w:t>
      </w:r>
      <w:r w:rsidR="00D857B6">
        <w:rPr>
          <w:rFonts w:hint="eastAsia"/>
        </w:rPr>
        <w:t>0.0030~0.0039kg/h</w:t>
      </w:r>
      <w:r w:rsidR="008B2180">
        <w:rPr>
          <w:rFonts w:hint="eastAsia"/>
        </w:rPr>
        <w:t>；</w:t>
      </w:r>
      <w:r w:rsidR="00D857B6">
        <w:rPr>
          <w:rFonts w:hint="eastAsia"/>
        </w:rPr>
        <w:t>二噁英浓度在</w:t>
      </w:r>
      <w:r w:rsidR="00D857B6">
        <w:rPr>
          <w:rFonts w:hint="eastAsia"/>
        </w:rPr>
        <w:t>0.0064~0.015ngTEQ/Nm</w:t>
      </w:r>
      <w:r w:rsidR="00D857B6" w:rsidRPr="008B2180">
        <w:rPr>
          <w:rFonts w:hint="eastAsia"/>
          <w:vertAlign w:val="superscript"/>
        </w:rPr>
        <w:t>3</w:t>
      </w:r>
      <w:r w:rsidR="00D857B6">
        <w:rPr>
          <w:rFonts w:hint="eastAsia"/>
        </w:rPr>
        <w:t>，排放速率在</w:t>
      </w:r>
      <w:r w:rsidR="00D857B6">
        <w:rPr>
          <w:rFonts w:hint="eastAsia"/>
        </w:rPr>
        <w:t>5.3</w:t>
      </w:r>
      <w:r w:rsidR="00D857B6">
        <w:rPr>
          <w:rFonts w:hint="eastAsia"/>
        </w:rPr>
        <w:t>×</w:t>
      </w:r>
      <w:r w:rsidR="00D857B6">
        <w:rPr>
          <w:rFonts w:hint="eastAsia"/>
        </w:rPr>
        <w:t>10</w:t>
      </w:r>
      <w:r w:rsidR="00D857B6" w:rsidRPr="008B2180">
        <w:rPr>
          <w:rFonts w:hint="eastAsia"/>
          <w:vertAlign w:val="superscript"/>
        </w:rPr>
        <w:t>-10</w:t>
      </w:r>
      <w:r w:rsidR="00D857B6">
        <w:rPr>
          <w:rFonts w:hint="eastAsia"/>
        </w:rPr>
        <w:t>~1.6</w:t>
      </w:r>
      <w:r w:rsidR="00D857B6">
        <w:rPr>
          <w:rFonts w:hint="eastAsia"/>
        </w:rPr>
        <w:t>×</w:t>
      </w:r>
      <w:r w:rsidR="00D857B6">
        <w:rPr>
          <w:rFonts w:hint="eastAsia"/>
        </w:rPr>
        <w:t>10</w:t>
      </w:r>
      <w:r w:rsidR="00D857B6" w:rsidRPr="008B2180">
        <w:rPr>
          <w:rFonts w:hint="eastAsia"/>
          <w:vertAlign w:val="superscript"/>
        </w:rPr>
        <w:t>-9</w:t>
      </w:r>
      <w:r w:rsidR="00D857B6">
        <w:rPr>
          <w:rFonts w:hint="eastAsia"/>
        </w:rPr>
        <w:t>kg/h</w:t>
      </w:r>
      <w:r w:rsidR="00D857B6">
        <w:rPr>
          <w:rFonts w:hint="eastAsia"/>
        </w:rPr>
        <w:t>。</w:t>
      </w:r>
    </w:p>
    <w:p w14:paraId="4CF3557E" w14:textId="04FAA6D5" w:rsidR="004969A4" w:rsidRDefault="004969A4" w:rsidP="004969A4">
      <w:pPr>
        <w:pStyle w:val="affffff4"/>
      </w:pPr>
      <w:r>
        <w:rPr>
          <w:rFonts w:hint="eastAsia"/>
        </w:rPr>
        <w:t>（</w:t>
      </w:r>
      <w:r>
        <w:rPr>
          <w:rFonts w:hint="eastAsia"/>
        </w:rPr>
        <w:t>4</w:t>
      </w:r>
      <w:r>
        <w:rPr>
          <w:rFonts w:hint="eastAsia"/>
        </w:rPr>
        <w:t>）</w:t>
      </w:r>
      <w:r w:rsidRPr="004969A4">
        <w:rPr>
          <w:rFonts w:hint="eastAsia"/>
        </w:rPr>
        <w:t>除臭装置排气筒出口氨浓度为</w:t>
      </w:r>
      <w:r w:rsidRPr="004969A4">
        <w:rPr>
          <w:rFonts w:hint="eastAsia"/>
        </w:rPr>
        <w:t>0.63</w:t>
      </w:r>
      <w:r>
        <w:rPr>
          <w:rFonts w:hint="eastAsia"/>
        </w:rPr>
        <w:t>~</w:t>
      </w:r>
      <w:r w:rsidRPr="004969A4">
        <w:rPr>
          <w:rFonts w:hint="eastAsia"/>
        </w:rPr>
        <w:t>0.68mg/m</w:t>
      </w:r>
      <w:r w:rsidRPr="004969A4">
        <w:rPr>
          <w:rFonts w:hint="eastAsia"/>
          <w:vertAlign w:val="superscript"/>
        </w:rPr>
        <w:t>3</w:t>
      </w:r>
      <w:r w:rsidRPr="004969A4">
        <w:rPr>
          <w:rFonts w:hint="eastAsia"/>
        </w:rPr>
        <w:t>、排放速率</w:t>
      </w:r>
      <w:r w:rsidRPr="004969A4">
        <w:rPr>
          <w:rFonts w:hint="eastAsia"/>
        </w:rPr>
        <w:t>0.0161</w:t>
      </w:r>
      <w:r>
        <w:rPr>
          <w:rFonts w:hint="eastAsia"/>
        </w:rPr>
        <w:t>~</w:t>
      </w:r>
      <w:r w:rsidRPr="004969A4">
        <w:rPr>
          <w:rFonts w:hint="eastAsia"/>
        </w:rPr>
        <w:t>0.0189kg/h</w:t>
      </w:r>
      <w:r w:rsidRPr="004969A4">
        <w:rPr>
          <w:rFonts w:hint="eastAsia"/>
        </w:rPr>
        <w:t>、硫化氢浓度为</w:t>
      </w:r>
      <w:r w:rsidRPr="004969A4">
        <w:rPr>
          <w:rFonts w:hint="eastAsia"/>
        </w:rPr>
        <w:t>0.03</w:t>
      </w:r>
      <w:r>
        <w:rPr>
          <w:rFonts w:hint="eastAsia"/>
        </w:rPr>
        <w:t>~</w:t>
      </w:r>
      <w:r w:rsidRPr="004969A4">
        <w:rPr>
          <w:rFonts w:hint="eastAsia"/>
        </w:rPr>
        <w:t>0.04mg/m3</w:t>
      </w:r>
      <w:r w:rsidRPr="004969A4">
        <w:rPr>
          <w:rFonts w:hint="eastAsia"/>
        </w:rPr>
        <w:t>、排放速率</w:t>
      </w:r>
      <w:r w:rsidRPr="004969A4">
        <w:rPr>
          <w:rFonts w:hint="eastAsia"/>
        </w:rPr>
        <w:t>0.000768</w:t>
      </w:r>
      <w:r>
        <w:rPr>
          <w:rFonts w:hint="eastAsia"/>
        </w:rPr>
        <w:t>~</w:t>
      </w:r>
      <w:r w:rsidRPr="004969A4">
        <w:rPr>
          <w:rFonts w:hint="eastAsia"/>
        </w:rPr>
        <w:t>0.00103kg/h</w:t>
      </w:r>
      <w:r w:rsidRPr="004969A4">
        <w:rPr>
          <w:rFonts w:hint="eastAsia"/>
        </w:rPr>
        <w:t>、臭气浓度为</w:t>
      </w:r>
      <w:r w:rsidRPr="004969A4">
        <w:rPr>
          <w:rFonts w:hint="eastAsia"/>
        </w:rPr>
        <w:t>309</w:t>
      </w:r>
      <w:r>
        <w:rPr>
          <w:rFonts w:hint="eastAsia"/>
        </w:rPr>
        <w:t>~</w:t>
      </w:r>
      <w:r w:rsidRPr="004969A4">
        <w:rPr>
          <w:rFonts w:hint="eastAsia"/>
        </w:rPr>
        <w:t>416</w:t>
      </w:r>
      <w:r w:rsidRPr="004969A4">
        <w:rPr>
          <w:rFonts w:hint="eastAsia"/>
        </w:rPr>
        <w:t>（无量纲）</w:t>
      </w:r>
      <w:r>
        <w:rPr>
          <w:rFonts w:hint="eastAsia"/>
        </w:rPr>
        <w:t>。</w:t>
      </w:r>
    </w:p>
    <w:p w14:paraId="15BA9A63" w14:textId="0BB7486D" w:rsidR="00D857B6" w:rsidRDefault="008B2180" w:rsidP="008B2180">
      <w:pPr>
        <w:pStyle w:val="affffff4"/>
      </w:pPr>
      <w:r>
        <w:rPr>
          <w:rFonts w:hint="eastAsia"/>
        </w:rPr>
        <w:t>综上，</w:t>
      </w:r>
      <w:r>
        <w:rPr>
          <w:rFonts w:hint="eastAsia"/>
        </w:rPr>
        <w:t>1#</w:t>
      </w:r>
      <w:r>
        <w:rPr>
          <w:rFonts w:hint="eastAsia"/>
        </w:rPr>
        <w:t>、</w:t>
      </w:r>
      <w:r>
        <w:rPr>
          <w:rFonts w:hint="eastAsia"/>
        </w:rPr>
        <w:t>2#</w:t>
      </w:r>
      <w:r>
        <w:rPr>
          <w:rFonts w:hint="eastAsia"/>
        </w:rPr>
        <w:t>、</w:t>
      </w:r>
      <w:r>
        <w:rPr>
          <w:rFonts w:hint="eastAsia"/>
        </w:rPr>
        <w:t>3#</w:t>
      </w:r>
      <w:r>
        <w:rPr>
          <w:rFonts w:hint="eastAsia"/>
        </w:rPr>
        <w:t>焚烧炉烟气中</w:t>
      </w:r>
      <w:r w:rsidR="00D857B6">
        <w:rPr>
          <w:rFonts w:hint="eastAsia"/>
        </w:rPr>
        <w:t>一氧化碳、颗粒物、二氧化硫、氮氧化物、氯化氢、重金属（</w:t>
      </w:r>
      <w:r w:rsidR="00D857B6">
        <w:rPr>
          <w:rFonts w:hint="eastAsia"/>
        </w:rPr>
        <w:t>Hg</w:t>
      </w:r>
      <w:r w:rsidR="00D857B6">
        <w:rPr>
          <w:rFonts w:hint="eastAsia"/>
        </w:rPr>
        <w:t>、</w:t>
      </w:r>
      <w:r w:rsidR="00D857B6">
        <w:rPr>
          <w:rFonts w:hint="eastAsia"/>
        </w:rPr>
        <w:t>Cd+TI</w:t>
      </w:r>
      <w:r w:rsidR="00D857B6">
        <w:rPr>
          <w:rFonts w:hint="eastAsia"/>
        </w:rPr>
        <w:t>、</w:t>
      </w:r>
      <w:r w:rsidR="00D857B6">
        <w:rPr>
          <w:rFonts w:hint="eastAsia"/>
        </w:rPr>
        <w:t>Sb+As+Pb+Cr+Co+Cu+Mn+Ni</w:t>
      </w:r>
      <w:r w:rsidR="00D857B6">
        <w:rPr>
          <w:rFonts w:hint="eastAsia"/>
        </w:rPr>
        <w:t>）、二噁英类</w:t>
      </w:r>
      <w:r w:rsidR="00D857B6">
        <w:rPr>
          <w:rFonts w:hint="eastAsia"/>
        </w:rPr>
        <w:t>*</w:t>
      </w:r>
      <w:r w:rsidR="00D857B6">
        <w:rPr>
          <w:rFonts w:hint="eastAsia"/>
        </w:rPr>
        <w:t>监测结果均满足《生活垃圾焚烧污染控制标准》（</w:t>
      </w:r>
      <w:r w:rsidR="00D857B6">
        <w:rPr>
          <w:rFonts w:hint="eastAsia"/>
        </w:rPr>
        <w:t>GB18485-2014</w:t>
      </w:r>
      <w:r w:rsidR="00D857B6">
        <w:rPr>
          <w:rFonts w:hint="eastAsia"/>
        </w:rPr>
        <w:t>）及其修改单表</w:t>
      </w:r>
      <w:r w:rsidR="00D857B6">
        <w:rPr>
          <w:rFonts w:hint="eastAsia"/>
        </w:rPr>
        <w:t>4</w:t>
      </w:r>
      <w:r w:rsidR="00D857B6">
        <w:rPr>
          <w:rFonts w:hint="eastAsia"/>
        </w:rPr>
        <w:t>标准限值</w:t>
      </w:r>
      <w:r w:rsidR="004969A4">
        <w:rPr>
          <w:rFonts w:hint="eastAsia"/>
        </w:rPr>
        <w:t>；除臭</w:t>
      </w:r>
      <w:r w:rsidR="004969A4">
        <w:rPr>
          <w:rFonts w:hint="eastAsia"/>
        </w:rPr>
        <w:lastRenderedPageBreak/>
        <w:t>装置</w:t>
      </w:r>
      <w:r w:rsidR="004969A4" w:rsidRPr="004969A4">
        <w:rPr>
          <w:rFonts w:hint="eastAsia"/>
        </w:rPr>
        <w:t>氨、硫化氢排放速率，臭气浓度标准值满足《恶臭污染物排放标准》（</w:t>
      </w:r>
      <w:r w:rsidR="004969A4" w:rsidRPr="004969A4">
        <w:rPr>
          <w:rFonts w:hint="eastAsia"/>
        </w:rPr>
        <w:t>GB14554-93</w:t>
      </w:r>
      <w:r w:rsidR="004969A4" w:rsidRPr="004969A4">
        <w:rPr>
          <w:rFonts w:hint="eastAsia"/>
        </w:rPr>
        <w:t>）表</w:t>
      </w:r>
      <w:r w:rsidR="004969A4" w:rsidRPr="004969A4">
        <w:rPr>
          <w:rFonts w:hint="eastAsia"/>
        </w:rPr>
        <w:t>2</w:t>
      </w:r>
      <w:r w:rsidR="004969A4" w:rsidRPr="004969A4">
        <w:rPr>
          <w:rFonts w:hint="eastAsia"/>
        </w:rPr>
        <w:t>中标准。</w:t>
      </w:r>
    </w:p>
    <w:p w14:paraId="460AD44E" w14:textId="7B86C74B" w:rsidR="00D857B6" w:rsidRDefault="00D857B6" w:rsidP="008B2180">
      <w:pPr>
        <w:pStyle w:val="affffff4"/>
      </w:pPr>
      <w:r>
        <w:rPr>
          <w:rFonts w:hint="eastAsia"/>
        </w:rPr>
        <w:t>厂界无组织排放废气氨的浓度在</w:t>
      </w:r>
      <w:r>
        <w:rPr>
          <w:rFonts w:hint="eastAsia"/>
        </w:rPr>
        <w:t>0.02~0.10mg/m</w:t>
      </w:r>
      <w:r>
        <w:rPr>
          <w:rFonts w:hint="eastAsia"/>
        </w:rPr>
        <w:t>³，硫化氢的浓度在</w:t>
      </w:r>
      <w:r>
        <w:rPr>
          <w:rFonts w:hint="eastAsia"/>
        </w:rPr>
        <w:t>0.002~0.013mg/m</w:t>
      </w:r>
      <w:r>
        <w:rPr>
          <w:rFonts w:hint="eastAsia"/>
        </w:rPr>
        <w:t>³，颗粒物的浓度在</w:t>
      </w:r>
      <w:r>
        <w:rPr>
          <w:rFonts w:hint="eastAsia"/>
        </w:rPr>
        <w:t>0.107~0.146mg/m</w:t>
      </w:r>
      <w:r>
        <w:rPr>
          <w:rFonts w:hint="eastAsia"/>
        </w:rPr>
        <w:t>³，臭气浓度均＜</w:t>
      </w:r>
      <w:r>
        <w:rPr>
          <w:rFonts w:hint="eastAsia"/>
        </w:rPr>
        <w:t>10</w:t>
      </w:r>
      <w:r>
        <w:rPr>
          <w:rFonts w:hint="eastAsia"/>
        </w:rPr>
        <w:t>（无量纲），非甲烷总烃的浓度在</w:t>
      </w:r>
      <w:r>
        <w:rPr>
          <w:rFonts w:hint="eastAsia"/>
        </w:rPr>
        <w:t>0.69~0.83mg/m</w:t>
      </w:r>
      <w:r>
        <w:rPr>
          <w:rFonts w:hint="eastAsia"/>
        </w:rPr>
        <w:t>³；颗粒物、非甲烷总烃监测结果满足《大气污染物综合排放标准》（</w:t>
      </w:r>
      <w:r>
        <w:rPr>
          <w:rFonts w:hint="eastAsia"/>
        </w:rPr>
        <w:t>GB16297-1996</w:t>
      </w:r>
      <w:r>
        <w:rPr>
          <w:rFonts w:hint="eastAsia"/>
        </w:rPr>
        <w:t>）无组织排放监控浓度限值；氨、硫化氢、臭气浓度监测结果满足《恶臭污染物排放标准》（</w:t>
      </w:r>
      <w:r>
        <w:rPr>
          <w:rFonts w:hint="eastAsia"/>
        </w:rPr>
        <w:t>GB14554-93</w:t>
      </w:r>
      <w:r>
        <w:rPr>
          <w:rFonts w:hint="eastAsia"/>
        </w:rPr>
        <w:t>）表</w:t>
      </w:r>
      <w:r>
        <w:rPr>
          <w:rFonts w:hint="eastAsia"/>
        </w:rPr>
        <w:t>1</w:t>
      </w:r>
      <w:r>
        <w:rPr>
          <w:rFonts w:hint="eastAsia"/>
        </w:rPr>
        <w:t>恶臭污染物厂界标准值二级新扩改建标准限值。</w:t>
      </w:r>
    </w:p>
    <w:p w14:paraId="41BA57CB" w14:textId="287E85E4" w:rsidR="00D857B6" w:rsidRDefault="00D857B6" w:rsidP="00D857B6">
      <w:pPr>
        <w:pStyle w:val="affffff4"/>
      </w:pPr>
      <w:r w:rsidRPr="00D857B6">
        <w:rPr>
          <w:rFonts w:hint="eastAsia"/>
        </w:rPr>
        <w:t>厂区内</w:t>
      </w:r>
      <w:r w:rsidR="008B2180">
        <w:rPr>
          <w:rFonts w:hint="eastAsia"/>
        </w:rPr>
        <w:t>厂房外</w:t>
      </w:r>
      <w:r w:rsidRPr="00D857B6">
        <w:rPr>
          <w:rFonts w:hint="eastAsia"/>
        </w:rPr>
        <w:t>非甲烷总烃小时平均浓度在</w:t>
      </w:r>
      <w:r w:rsidRPr="00D857B6">
        <w:rPr>
          <w:rFonts w:hint="eastAsia"/>
        </w:rPr>
        <w:t>0.81~0.89mg/m</w:t>
      </w:r>
      <w:r w:rsidRPr="00D857B6">
        <w:rPr>
          <w:rFonts w:hint="eastAsia"/>
        </w:rPr>
        <w:t>³，任意一次浓度值在</w:t>
      </w:r>
      <w:r w:rsidRPr="00D857B6">
        <w:rPr>
          <w:rFonts w:hint="eastAsia"/>
        </w:rPr>
        <w:t>0.82~0.90mg/m</w:t>
      </w:r>
      <w:r w:rsidRPr="00D857B6">
        <w:rPr>
          <w:rFonts w:hint="eastAsia"/>
        </w:rPr>
        <w:t>³</w:t>
      </w:r>
      <w:r w:rsidR="00531B42">
        <w:rPr>
          <w:rFonts w:hint="eastAsia"/>
        </w:rPr>
        <w:t>，</w:t>
      </w:r>
      <w:r w:rsidRPr="00D857B6">
        <w:rPr>
          <w:rFonts w:hint="eastAsia"/>
        </w:rPr>
        <w:t>监测结果满足《挥发性有机物无组织排放控制标准》（</w:t>
      </w:r>
      <w:r w:rsidRPr="00D857B6">
        <w:rPr>
          <w:rFonts w:hint="eastAsia"/>
        </w:rPr>
        <w:t>GB37822-2019</w:t>
      </w:r>
      <w:r w:rsidRPr="00D857B6">
        <w:rPr>
          <w:rFonts w:hint="eastAsia"/>
        </w:rPr>
        <w:t>）表</w:t>
      </w:r>
      <w:r w:rsidRPr="00D857B6">
        <w:rPr>
          <w:rFonts w:hint="eastAsia"/>
        </w:rPr>
        <w:t>A.1</w:t>
      </w:r>
      <w:r w:rsidRPr="00D857B6">
        <w:rPr>
          <w:rFonts w:hint="eastAsia"/>
        </w:rPr>
        <w:t>中排放限值。</w:t>
      </w:r>
    </w:p>
    <w:p w14:paraId="2EA9527E" w14:textId="0B009AFA" w:rsidR="00606029" w:rsidRPr="00620CDD" w:rsidRDefault="00606029">
      <w:pPr>
        <w:pStyle w:val="4"/>
      </w:pPr>
      <w:hyperlink r:id="rId30" w:history="1">
        <w:r w:rsidRPr="00620CDD">
          <w:t>2.1.4.2</w:t>
        </w:r>
      </w:hyperlink>
      <w:bookmarkStart w:id="84" w:name="OLE_LINK9"/>
      <w:r w:rsidR="00EA5B92" w:rsidRPr="00620CDD">
        <w:t>废水处理措施及达标排放分析</w:t>
      </w:r>
    </w:p>
    <w:bookmarkEnd w:id="84"/>
    <w:p w14:paraId="79AA1A97" w14:textId="23270F7D" w:rsidR="00606029" w:rsidRPr="00620CDD" w:rsidRDefault="00830A88">
      <w:pPr>
        <w:pStyle w:val="affffff4"/>
      </w:pPr>
      <w:r w:rsidRPr="00620CDD">
        <w:rPr>
          <w:rFonts w:hint="eastAsia"/>
        </w:rPr>
        <w:t>本项目排水系统包括雨水排放系统、生活污水排放系统、生产废水排放系统。生产废水包括垃圾池渗滤液，垃圾卸料平台、车辆、厂房地面等的冲洗废水，初期雨水和冷却塔循环排污水、锅炉排污水、化水处理系统排污水</w:t>
      </w:r>
      <w:r w:rsidR="00620CDD" w:rsidRPr="00620CDD">
        <w:rPr>
          <w:rFonts w:hint="eastAsia"/>
        </w:rPr>
        <w:t>，初期雨水先排入初期雨水收集池，再由泵提升至渗滤液处理站进行处理</w:t>
      </w:r>
      <w:r w:rsidR="00EA5B92" w:rsidRPr="00620CDD">
        <w:t>。</w:t>
      </w:r>
      <w:r w:rsidR="00620CDD" w:rsidRPr="00620CDD">
        <w:rPr>
          <w:rFonts w:hint="eastAsia"/>
        </w:rPr>
        <w:t>生产废水、生活污水和初期雨水处理后全部回用，不外排。</w:t>
      </w:r>
    </w:p>
    <w:p w14:paraId="5703E8D7" w14:textId="77777777" w:rsidR="00830A88" w:rsidRPr="00620CDD" w:rsidRDefault="00830A88" w:rsidP="00830A88">
      <w:pPr>
        <w:pStyle w:val="affffff4"/>
      </w:pPr>
      <w:r w:rsidRPr="00620CDD">
        <w:t>（</w:t>
      </w:r>
      <w:r w:rsidRPr="00620CDD">
        <w:t>1</w:t>
      </w:r>
      <w:r w:rsidRPr="00620CDD">
        <w:t>）废水处理措施</w:t>
      </w:r>
    </w:p>
    <w:p w14:paraId="4337A63A" w14:textId="6DEC9C39" w:rsidR="00620CDD" w:rsidRPr="00620CDD" w:rsidRDefault="00620CDD" w:rsidP="00620CDD">
      <w:pPr>
        <w:pStyle w:val="affffff4"/>
      </w:pPr>
      <w:r w:rsidRPr="00620CDD">
        <w:rPr>
          <w:rFonts w:hint="eastAsia"/>
        </w:rPr>
        <w:t>生产废水中的垃圾池渗滤液，垃圾卸料平台、车辆、厂房地面等的冲洗废水和初期雨水进入渗滤液处理站进行处理。处理工艺为“调节池＋</w:t>
      </w:r>
      <w:r w:rsidRPr="00620CDD">
        <w:rPr>
          <w:rFonts w:hint="eastAsia"/>
        </w:rPr>
        <w:t>UASB</w:t>
      </w:r>
      <w:r w:rsidRPr="00620CDD">
        <w:rPr>
          <w:rFonts w:hint="eastAsia"/>
        </w:rPr>
        <w:t>厌氧反应器＋</w:t>
      </w:r>
      <w:r w:rsidRPr="00620CDD">
        <w:rPr>
          <w:rFonts w:hint="eastAsia"/>
        </w:rPr>
        <w:t>MBR</w:t>
      </w:r>
      <w:r w:rsidRPr="00620CDD">
        <w:rPr>
          <w:rFonts w:hint="eastAsia"/>
        </w:rPr>
        <w:t>生化处理系统＋</w:t>
      </w:r>
      <w:r w:rsidRPr="00620CDD">
        <w:rPr>
          <w:rFonts w:hint="eastAsia"/>
        </w:rPr>
        <w:t>NF</w:t>
      </w:r>
      <w:r w:rsidRPr="00620CDD">
        <w:rPr>
          <w:rFonts w:hint="eastAsia"/>
        </w:rPr>
        <w:t>纳滤＋</w:t>
      </w:r>
      <w:r w:rsidRPr="00620CDD">
        <w:rPr>
          <w:rFonts w:hint="eastAsia"/>
        </w:rPr>
        <w:t>RO</w:t>
      </w:r>
      <w:r w:rsidRPr="00620CDD">
        <w:rPr>
          <w:rFonts w:hint="eastAsia"/>
        </w:rPr>
        <w:t>反渗透”。</w:t>
      </w:r>
      <w:bookmarkStart w:id="85" w:name="OLE_LINK32"/>
      <w:r w:rsidRPr="00620CDD">
        <w:rPr>
          <w:rFonts w:hint="eastAsia"/>
        </w:rPr>
        <w:t>渗滤液处理站浓水采用</w:t>
      </w:r>
      <w:r w:rsidRPr="00620CDD">
        <w:rPr>
          <w:rFonts w:hint="eastAsia"/>
        </w:rPr>
        <w:t>STC</w:t>
      </w:r>
      <w:r w:rsidRPr="00620CDD">
        <w:rPr>
          <w:rFonts w:hint="eastAsia"/>
        </w:rPr>
        <w:t>（物料膜）二级处理装置（处理能力</w:t>
      </w:r>
      <w:r w:rsidRPr="00620CDD">
        <w:rPr>
          <w:rFonts w:hint="eastAsia"/>
        </w:rPr>
        <w:t>70m</w:t>
      </w:r>
      <w:r w:rsidRPr="00620CDD">
        <w:rPr>
          <w:rFonts w:hint="eastAsia"/>
        </w:rPr>
        <w:t>³</w:t>
      </w:r>
      <w:r w:rsidRPr="00620CDD">
        <w:rPr>
          <w:rFonts w:hint="eastAsia"/>
        </w:rPr>
        <w:t>/d</w:t>
      </w:r>
      <w:r w:rsidRPr="00620CDD">
        <w:rPr>
          <w:rFonts w:hint="eastAsia"/>
        </w:rPr>
        <w:t>），处理后浓水部分用于石灰制浆，部分回喷焚烧炉。</w:t>
      </w:r>
      <w:bookmarkEnd w:id="85"/>
    </w:p>
    <w:p w14:paraId="4F018AD6" w14:textId="2932399C" w:rsidR="00830A88" w:rsidRPr="00620CDD" w:rsidRDefault="00620CDD" w:rsidP="00620CDD">
      <w:pPr>
        <w:pStyle w:val="affffff4"/>
      </w:pPr>
      <w:r w:rsidRPr="00620CDD">
        <w:rPr>
          <w:rFonts w:hint="eastAsia"/>
        </w:rPr>
        <w:t>冷却塔循环部分排污水、锅炉排污水和化水处理系统排污水进入“超滤</w:t>
      </w:r>
      <w:r w:rsidRPr="00620CDD">
        <w:rPr>
          <w:rFonts w:hint="eastAsia"/>
        </w:rPr>
        <w:t>+</w:t>
      </w:r>
      <w:r w:rsidRPr="00620CDD">
        <w:rPr>
          <w:rFonts w:hint="eastAsia"/>
        </w:rPr>
        <w:t>反渗透装置”（</w:t>
      </w:r>
      <w:r w:rsidRPr="00620CDD">
        <w:rPr>
          <w:rFonts w:hint="eastAsia"/>
        </w:rPr>
        <w:t>550m</w:t>
      </w:r>
      <w:r w:rsidRPr="00620CDD">
        <w:rPr>
          <w:rFonts w:hint="eastAsia"/>
        </w:rPr>
        <w:t>³</w:t>
      </w:r>
      <w:r w:rsidRPr="00620CDD">
        <w:rPr>
          <w:rFonts w:hint="eastAsia"/>
        </w:rPr>
        <w:t>/d</w:t>
      </w:r>
      <w:r w:rsidRPr="00620CDD">
        <w:rPr>
          <w:rFonts w:hint="eastAsia"/>
        </w:rPr>
        <w:t>）进行处理，浓水回用于石灰制浆。处理后水回用于冲洗用水、给料斗溜槽用水、炉排炉渣输送机用水、除渣机用水和飞灰稳定化用水，不外排。生活污水采用一座</w:t>
      </w:r>
      <w:r w:rsidRPr="00620CDD">
        <w:rPr>
          <w:rFonts w:hint="eastAsia"/>
        </w:rPr>
        <w:t>48m</w:t>
      </w:r>
      <w:r w:rsidRPr="00620CDD">
        <w:rPr>
          <w:rFonts w:hint="eastAsia"/>
        </w:rPr>
        <w:t>³</w:t>
      </w:r>
      <w:r w:rsidRPr="00620CDD">
        <w:rPr>
          <w:rFonts w:hint="eastAsia"/>
        </w:rPr>
        <w:t>/d</w:t>
      </w:r>
      <w:r w:rsidRPr="00620CDD">
        <w:rPr>
          <w:rFonts w:hint="eastAsia"/>
        </w:rPr>
        <w:t>的生活污水处理站，处理工艺为：“生活污水→格栅→调节池→污水提升泵→复合生化池（含厌氧</w:t>
      </w:r>
      <w:r w:rsidRPr="00620CDD">
        <w:rPr>
          <w:rFonts w:hint="eastAsia"/>
        </w:rPr>
        <w:t>/</w:t>
      </w:r>
      <w:r w:rsidRPr="00620CDD">
        <w:rPr>
          <w:rFonts w:hint="eastAsia"/>
        </w:rPr>
        <w:t>缺氧</w:t>
      </w:r>
      <w:r w:rsidRPr="00620CDD">
        <w:rPr>
          <w:rFonts w:hint="eastAsia"/>
        </w:rPr>
        <w:t>/</w:t>
      </w:r>
      <w:r w:rsidRPr="00620CDD">
        <w:rPr>
          <w:rFonts w:hint="eastAsia"/>
        </w:rPr>
        <w:t>好氧）→二沉池→污泥池→消毒池→清水池，处理后生活污水进入工业废水处理站的“超滤</w:t>
      </w:r>
      <w:r w:rsidRPr="00620CDD">
        <w:rPr>
          <w:rFonts w:hint="eastAsia"/>
        </w:rPr>
        <w:t>+</w:t>
      </w:r>
      <w:r w:rsidRPr="00620CDD">
        <w:rPr>
          <w:rFonts w:hint="eastAsia"/>
        </w:rPr>
        <w:t>反渗透”进行深度处理，处理后的生活污水达标后回用至冷却水塔。</w:t>
      </w:r>
    </w:p>
    <w:p w14:paraId="0DCB037A" w14:textId="3F7A39A0" w:rsidR="00606029" w:rsidRPr="00ED7D13" w:rsidRDefault="00EA5B92">
      <w:pPr>
        <w:pStyle w:val="affffff4"/>
      </w:pPr>
      <w:r w:rsidRPr="00ED7D13">
        <w:t>（</w:t>
      </w:r>
      <w:r w:rsidRPr="00ED7D13">
        <w:t>2</w:t>
      </w:r>
      <w:r w:rsidRPr="00ED7D13">
        <w:t>）达标性分析</w:t>
      </w:r>
    </w:p>
    <w:p w14:paraId="40511319" w14:textId="795E40A2" w:rsidR="00606029" w:rsidRPr="00ED7D13" w:rsidRDefault="009C26D4">
      <w:pPr>
        <w:pStyle w:val="affffff4"/>
      </w:pPr>
      <w:r w:rsidRPr="00ED7D13">
        <w:rPr>
          <w:rFonts w:hint="eastAsia"/>
        </w:rPr>
        <w:lastRenderedPageBreak/>
        <w:t>为了解现有工程废水排放情况，本评价引用大庆城控电力有限公司</w:t>
      </w:r>
      <w:bookmarkStart w:id="86" w:name="OLE_LINK39"/>
      <w:r w:rsidRPr="00ED7D13">
        <w:rPr>
          <w:rFonts w:hint="eastAsia"/>
        </w:rPr>
        <w:t>《大庆市生活垃圾焚烧发电项目（一期）竣工环境保护验收监测报告》中的监测数据</w:t>
      </w:r>
      <w:bookmarkEnd w:id="86"/>
      <w:r w:rsidRPr="00ED7D13">
        <w:rPr>
          <w:rFonts w:hint="eastAsia"/>
        </w:rPr>
        <w:t>，监测时间为</w:t>
      </w:r>
      <w:r w:rsidRPr="00ED7D13">
        <w:rPr>
          <w:rFonts w:hint="eastAsia"/>
        </w:rPr>
        <w:t>2024</w:t>
      </w:r>
      <w:r w:rsidRPr="00ED7D13">
        <w:rPr>
          <w:rFonts w:hint="eastAsia"/>
        </w:rPr>
        <w:t>年</w:t>
      </w:r>
      <w:r w:rsidRPr="00ED7D13">
        <w:rPr>
          <w:rFonts w:hint="eastAsia"/>
        </w:rPr>
        <w:t>2</w:t>
      </w:r>
      <w:r w:rsidRPr="00ED7D13">
        <w:rPr>
          <w:rFonts w:hint="eastAsia"/>
        </w:rPr>
        <w:t>月</w:t>
      </w:r>
      <w:r w:rsidRPr="00ED7D13">
        <w:rPr>
          <w:rFonts w:hint="eastAsia"/>
        </w:rPr>
        <w:t>22-23</w:t>
      </w:r>
      <w:r w:rsidRPr="00ED7D13">
        <w:rPr>
          <w:rFonts w:hint="eastAsia"/>
        </w:rPr>
        <w:t>日。</w:t>
      </w:r>
    </w:p>
    <w:p w14:paraId="3F82406B" w14:textId="77777777" w:rsidR="00874502" w:rsidRDefault="00ED7D13" w:rsidP="00ED7D13">
      <w:pPr>
        <w:pStyle w:val="affffff4"/>
      </w:pPr>
      <w:r w:rsidRPr="00ED7D13">
        <w:rPr>
          <w:rFonts w:hint="eastAsia"/>
        </w:rPr>
        <w:t>渗滤液处理站处理后废水</w:t>
      </w:r>
      <w:r w:rsidRPr="00ED7D13">
        <w:rPr>
          <w:rFonts w:hint="eastAsia"/>
        </w:rPr>
        <w:t>pH</w:t>
      </w:r>
      <w:r w:rsidRPr="00ED7D13">
        <w:rPr>
          <w:rFonts w:hint="eastAsia"/>
        </w:rPr>
        <w:t>在</w:t>
      </w:r>
      <w:r w:rsidRPr="00ED7D13">
        <w:rPr>
          <w:rFonts w:hint="eastAsia"/>
        </w:rPr>
        <w:t>7.3~7.7</w:t>
      </w:r>
      <w:r w:rsidRPr="00ED7D13">
        <w:rPr>
          <w:rFonts w:hint="eastAsia"/>
        </w:rPr>
        <w:t>（无量纲），悬浮物在</w:t>
      </w:r>
      <w:r w:rsidRPr="00ED7D13">
        <w:rPr>
          <w:rFonts w:hint="eastAsia"/>
        </w:rPr>
        <w:t>6~8mg/L</w:t>
      </w:r>
      <w:r w:rsidRPr="00ED7D13">
        <w:rPr>
          <w:rFonts w:hint="eastAsia"/>
        </w:rPr>
        <w:t>之间，浊度、色度为未检出，五日生化需氧量在</w:t>
      </w:r>
      <w:r w:rsidRPr="00ED7D13">
        <w:rPr>
          <w:rFonts w:hint="eastAsia"/>
        </w:rPr>
        <w:t>7.9~8.8mg/L</w:t>
      </w:r>
      <w:r w:rsidRPr="00ED7D13">
        <w:rPr>
          <w:rFonts w:hint="eastAsia"/>
        </w:rPr>
        <w:t>之间，化学需氧量在</w:t>
      </w:r>
      <w:r w:rsidRPr="00ED7D13">
        <w:rPr>
          <w:rFonts w:hint="eastAsia"/>
        </w:rPr>
        <w:t>42~49mg/L</w:t>
      </w:r>
      <w:r w:rsidRPr="00ED7D13">
        <w:rPr>
          <w:rFonts w:hint="eastAsia"/>
        </w:rPr>
        <w:t>之间，铁在</w:t>
      </w:r>
      <w:r w:rsidRPr="00ED7D13">
        <w:rPr>
          <w:rFonts w:hint="eastAsia"/>
        </w:rPr>
        <w:t>0.10~0.18mg/L</w:t>
      </w:r>
      <w:r w:rsidRPr="00ED7D13">
        <w:rPr>
          <w:rFonts w:hint="eastAsia"/>
        </w:rPr>
        <w:t>之间，锰在</w:t>
      </w:r>
      <w:r w:rsidRPr="00ED7D13">
        <w:rPr>
          <w:rFonts w:hint="eastAsia"/>
        </w:rPr>
        <w:t>0.05~0.09mg/L</w:t>
      </w:r>
      <w:r w:rsidRPr="00ED7D13">
        <w:rPr>
          <w:rFonts w:hint="eastAsia"/>
        </w:rPr>
        <w:t>之间，氯离子在</w:t>
      </w:r>
      <w:r w:rsidRPr="00ED7D13">
        <w:rPr>
          <w:rFonts w:hint="eastAsia"/>
        </w:rPr>
        <w:t>63.2~69.1mg/L</w:t>
      </w:r>
      <w:r w:rsidRPr="00ED7D13">
        <w:rPr>
          <w:rFonts w:hint="eastAsia"/>
        </w:rPr>
        <w:t>之间，二氧化硅在</w:t>
      </w:r>
      <w:r w:rsidRPr="00ED7D13">
        <w:rPr>
          <w:rFonts w:hint="eastAsia"/>
        </w:rPr>
        <w:t>26~33mg/L</w:t>
      </w:r>
      <w:r w:rsidRPr="00ED7D13">
        <w:rPr>
          <w:rFonts w:hint="eastAsia"/>
        </w:rPr>
        <w:t>之间，总硬度在</w:t>
      </w:r>
      <w:r w:rsidRPr="00ED7D13">
        <w:rPr>
          <w:rFonts w:hint="eastAsia"/>
        </w:rPr>
        <w:t>233~249mg/L</w:t>
      </w:r>
      <w:r w:rsidRPr="00ED7D13">
        <w:rPr>
          <w:rFonts w:hint="eastAsia"/>
        </w:rPr>
        <w:t>之间，总碱度在</w:t>
      </w:r>
      <w:r w:rsidRPr="00ED7D13">
        <w:rPr>
          <w:rFonts w:hint="eastAsia"/>
        </w:rPr>
        <w:t>268~284mg/L</w:t>
      </w:r>
      <w:r w:rsidRPr="00ED7D13">
        <w:rPr>
          <w:rFonts w:hint="eastAsia"/>
        </w:rPr>
        <w:t>之间，硫酸盐在</w:t>
      </w:r>
      <w:r w:rsidRPr="00ED7D13">
        <w:rPr>
          <w:rFonts w:hint="eastAsia"/>
        </w:rPr>
        <w:t>72.8~78.5mg/L</w:t>
      </w:r>
      <w:r w:rsidRPr="00ED7D13">
        <w:rPr>
          <w:rFonts w:hint="eastAsia"/>
        </w:rPr>
        <w:t>，氨氮在</w:t>
      </w:r>
      <w:r w:rsidRPr="00ED7D13">
        <w:rPr>
          <w:rFonts w:hint="eastAsia"/>
        </w:rPr>
        <w:t>0.372~0.383mg/L</w:t>
      </w:r>
      <w:r w:rsidRPr="00ED7D13">
        <w:rPr>
          <w:rFonts w:hint="eastAsia"/>
        </w:rPr>
        <w:t>之间，总磷在</w:t>
      </w:r>
      <w:r w:rsidRPr="00ED7D13">
        <w:rPr>
          <w:rFonts w:hint="eastAsia"/>
        </w:rPr>
        <w:t>0.36~0.45mg/L</w:t>
      </w:r>
      <w:r w:rsidRPr="00ED7D13">
        <w:rPr>
          <w:rFonts w:hint="eastAsia"/>
        </w:rPr>
        <w:t>之间，溶解性总固体在</w:t>
      </w:r>
      <w:r w:rsidRPr="00ED7D13">
        <w:rPr>
          <w:rFonts w:hint="eastAsia"/>
        </w:rPr>
        <w:t>534~578mg/L</w:t>
      </w:r>
      <w:r w:rsidRPr="00ED7D13">
        <w:rPr>
          <w:rFonts w:hint="eastAsia"/>
        </w:rPr>
        <w:t>之间，余氯在</w:t>
      </w:r>
      <w:r w:rsidRPr="00ED7D13">
        <w:rPr>
          <w:rFonts w:hint="eastAsia"/>
        </w:rPr>
        <w:t>0.76~0.87mg/L</w:t>
      </w:r>
      <w:r w:rsidRPr="00ED7D13">
        <w:rPr>
          <w:rFonts w:hint="eastAsia"/>
        </w:rPr>
        <w:t>之间，粪大肠菌群在</w:t>
      </w:r>
      <w:r w:rsidRPr="00ED7D13">
        <w:rPr>
          <w:rFonts w:hint="eastAsia"/>
        </w:rPr>
        <w:t>4.1</w:t>
      </w:r>
      <w:r w:rsidRPr="00ED7D13">
        <w:rPr>
          <w:rFonts w:hint="eastAsia"/>
        </w:rPr>
        <w:t>×</w:t>
      </w:r>
      <w:r w:rsidRPr="00ED7D13">
        <w:rPr>
          <w:rFonts w:hint="eastAsia"/>
        </w:rPr>
        <w:t>10~5.0</w:t>
      </w:r>
      <w:r w:rsidRPr="00ED7D13">
        <w:rPr>
          <w:rFonts w:hint="eastAsia"/>
        </w:rPr>
        <w:t>×</w:t>
      </w:r>
      <w:r w:rsidRPr="00ED7D13">
        <w:rPr>
          <w:rFonts w:hint="eastAsia"/>
        </w:rPr>
        <w:t>1022MPN/L</w:t>
      </w:r>
      <w:r w:rsidRPr="00ED7D13">
        <w:rPr>
          <w:rFonts w:hint="eastAsia"/>
        </w:rPr>
        <w:t>之间，石油类、总汞、总镉、总铬、六价铬、总砷、总铅为未检出。</w:t>
      </w:r>
    </w:p>
    <w:p w14:paraId="3D431DFE" w14:textId="28682C8F" w:rsidR="00ED7D13" w:rsidRPr="00ED7D13" w:rsidRDefault="00ED7D13" w:rsidP="00ED7D13">
      <w:pPr>
        <w:pStyle w:val="affffff4"/>
      </w:pPr>
      <w:r w:rsidRPr="00ED7D13">
        <w:rPr>
          <w:rFonts w:hint="eastAsia"/>
        </w:rPr>
        <w:t>生产废水处理后废水</w:t>
      </w:r>
      <w:r w:rsidRPr="00ED7D13">
        <w:rPr>
          <w:rFonts w:hint="eastAsia"/>
        </w:rPr>
        <w:t>pH</w:t>
      </w:r>
      <w:r w:rsidRPr="00ED7D13">
        <w:rPr>
          <w:rFonts w:hint="eastAsia"/>
        </w:rPr>
        <w:t>在</w:t>
      </w:r>
      <w:r w:rsidRPr="00ED7D13">
        <w:rPr>
          <w:rFonts w:hint="eastAsia"/>
        </w:rPr>
        <w:t>7.4~7.7</w:t>
      </w:r>
      <w:r w:rsidRPr="00ED7D13">
        <w:rPr>
          <w:rFonts w:hint="eastAsia"/>
        </w:rPr>
        <w:t>（无量纲），悬浮物在</w:t>
      </w:r>
      <w:r w:rsidRPr="00ED7D13">
        <w:rPr>
          <w:rFonts w:hint="eastAsia"/>
        </w:rPr>
        <w:t>6~7mg/L</w:t>
      </w:r>
      <w:r w:rsidRPr="00ED7D13">
        <w:rPr>
          <w:rFonts w:hint="eastAsia"/>
        </w:rPr>
        <w:t>之间，浊度、色度为未检出，五日生化需氧量在</w:t>
      </w:r>
      <w:r w:rsidRPr="00ED7D13">
        <w:rPr>
          <w:rFonts w:hint="eastAsia"/>
        </w:rPr>
        <w:t>8.1~8.7mg/L</w:t>
      </w:r>
      <w:r w:rsidRPr="00ED7D13">
        <w:rPr>
          <w:rFonts w:hint="eastAsia"/>
        </w:rPr>
        <w:t>之间，化学需氧量在</w:t>
      </w:r>
      <w:r w:rsidRPr="00ED7D13">
        <w:rPr>
          <w:rFonts w:hint="eastAsia"/>
        </w:rPr>
        <w:t>41~49mg/L</w:t>
      </w:r>
      <w:r w:rsidRPr="00ED7D13">
        <w:rPr>
          <w:rFonts w:hint="eastAsia"/>
        </w:rPr>
        <w:t>之间，铁在</w:t>
      </w:r>
      <w:r w:rsidRPr="00ED7D13">
        <w:rPr>
          <w:rFonts w:hint="eastAsia"/>
        </w:rPr>
        <w:t>0.12~0.20mg/L</w:t>
      </w:r>
      <w:r w:rsidRPr="00ED7D13">
        <w:rPr>
          <w:rFonts w:hint="eastAsia"/>
        </w:rPr>
        <w:t>之间，锰在</w:t>
      </w:r>
      <w:r w:rsidRPr="00ED7D13">
        <w:rPr>
          <w:rFonts w:hint="eastAsia"/>
        </w:rPr>
        <w:t>0.05~0.09mg/L</w:t>
      </w:r>
      <w:r w:rsidRPr="00ED7D13">
        <w:rPr>
          <w:rFonts w:hint="eastAsia"/>
        </w:rPr>
        <w:t>之间，氯离子在</w:t>
      </w:r>
      <w:r w:rsidRPr="00ED7D13">
        <w:rPr>
          <w:rFonts w:hint="eastAsia"/>
        </w:rPr>
        <w:t>61.7~66.2mg/L</w:t>
      </w:r>
      <w:r w:rsidRPr="00ED7D13">
        <w:rPr>
          <w:rFonts w:hint="eastAsia"/>
        </w:rPr>
        <w:t>之间，二氧化硅在</w:t>
      </w:r>
      <w:r w:rsidRPr="00ED7D13">
        <w:rPr>
          <w:rFonts w:hint="eastAsia"/>
        </w:rPr>
        <w:t>24~33mg/L</w:t>
      </w:r>
      <w:r w:rsidRPr="00ED7D13">
        <w:rPr>
          <w:rFonts w:hint="eastAsia"/>
        </w:rPr>
        <w:t>之间，总硬度在</w:t>
      </w:r>
      <w:r w:rsidRPr="00ED7D13">
        <w:rPr>
          <w:rFonts w:hint="eastAsia"/>
        </w:rPr>
        <w:t>242~257mg/L</w:t>
      </w:r>
      <w:r w:rsidRPr="00ED7D13">
        <w:rPr>
          <w:rFonts w:hint="eastAsia"/>
        </w:rPr>
        <w:t>之间，总碱度在</w:t>
      </w:r>
      <w:r w:rsidRPr="00ED7D13">
        <w:rPr>
          <w:rFonts w:hint="eastAsia"/>
        </w:rPr>
        <w:t>226~241mg/L</w:t>
      </w:r>
      <w:r w:rsidRPr="00ED7D13">
        <w:rPr>
          <w:rFonts w:hint="eastAsia"/>
        </w:rPr>
        <w:t>之间，硫酸盐在</w:t>
      </w:r>
      <w:r w:rsidRPr="00ED7D13">
        <w:rPr>
          <w:rFonts w:hint="eastAsia"/>
        </w:rPr>
        <w:t>70.3~73.3mg/L</w:t>
      </w:r>
      <w:r w:rsidRPr="00ED7D13">
        <w:rPr>
          <w:rFonts w:hint="eastAsia"/>
        </w:rPr>
        <w:t>，氨氮在</w:t>
      </w:r>
      <w:r w:rsidRPr="00ED7D13">
        <w:rPr>
          <w:rFonts w:hint="eastAsia"/>
        </w:rPr>
        <w:t>0.371~0.383mg/L</w:t>
      </w:r>
      <w:r w:rsidRPr="00ED7D13">
        <w:rPr>
          <w:rFonts w:hint="eastAsia"/>
        </w:rPr>
        <w:t>之间，总磷在</w:t>
      </w:r>
      <w:r w:rsidRPr="00ED7D13">
        <w:rPr>
          <w:rFonts w:hint="eastAsia"/>
        </w:rPr>
        <w:t>0.38~0.43mg/L</w:t>
      </w:r>
      <w:r w:rsidRPr="00ED7D13">
        <w:rPr>
          <w:rFonts w:hint="eastAsia"/>
        </w:rPr>
        <w:t>之间，溶解性总固体在</w:t>
      </w:r>
      <w:r w:rsidRPr="00ED7D13">
        <w:rPr>
          <w:rFonts w:hint="eastAsia"/>
        </w:rPr>
        <w:t>539~581mg/L</w:t>
      </w:r>
      <w:r w:rsidRPr="00ED7D13">
        <w:rPr>
          <w:rFonts w:hint="eastAsia"/>
        </w:rPr>
        <w:t>之间，余氯在</w:t>
      </w:r>
      <w:r w:rsidRPr="00ED7D13">
        <w:rPr>
          <w:rFonts w:hint="eastAsia"/>
        </w:rPr>
        <w:t>0.64~0.73mg/L</w:t>
      </w:r>
      <w:r w:rsidRPr="00ED7D13">
        <w:rPr>
          <w:rFonts w:hint="eastAsia"/>
        </w:rPr>
        <w:t>之间，粪大肠菌群在</w:t>
      </w:r>
      <w:r w:rsidRPr="00ED7D13">
        <w:rPr>
          <w:rFonts w:hint="eastAsia"/>
        </w:rPr>
        <w:t>3.2</w:t>
      </w:r>
      <w:r w:rsidRPr="00ED7D13">
        <w:rPr>
          <w:rFonts w:hint="eastAsia"/>
        </w:rPr>
        <w:t>×</w:t>
      </w:r>
      <w:r w:rsidRPr="00ED7D13">
        <w:rPr>
          <w:rFonts w:hint="eastAsia"/>
        </w:rPr>
        <w:t>10~4.4</w:t>
      </w:r>
      <w:r w:rsidRPr="00ED7D13">
        <w:rPr>
          <w:rFonts w:hint="eastAsia"/>
        </w:rPr>
        <w:t>×</w:t>
      </w:r>
      <w:r w:rsidRPr="00ED7D13">
        <w:rPr>
          <w:rFonts w:hint="eastAsia"/>
        </w:rPr>
        <w:t>1022MPN/L</w:t>
      </w:r>
      <w:r w:rsidRPr="00ED7D13">
        <w:rPr>
          <w:rFonts w:hint="eastAsia"/>
        </w:rPr>
        <w:t>之间，石油类、总汞、总镉、总铬、六价铬、总砷、总铅为未检出。</w:t>
      </w:r>
    </w:p>
    <w:p w14:paraId="21123888" w14:textId="640AF1E8" w:rsidR="00606029" w:rsidRPr="00ED7D13" w:rsidRDefault="00ED7D13" w:rsidP="00ED7D13">
      <w:pPr>
        <w:pStyle w:val="affffff4"/>
      </w:pPr>
      <w:r w:rsidRPr="00ED7D13">
        <w:rPr>
          <w:rFonts w:hint="eastAsia"/>
        </w:rPr>
        <w:t>渗滤液处理站处理后的废水及工业废水处理后监测结果均</w:t>
      </w:r>
      <w:r w:rsidR="00347823" w:rsidRPr="00347823">
        <w:t>满足《生活垃圾填埋场污染控制标准》（</w:t>
      </w:r>
      <w:r w:rsidR="00347823" w:rsidRPr="00347823">
        <w:t>GB16889-2024</w:t>
      </w:r>
      <w:r w:rsidR="00347823" w:rsidRPr="00347823">
        <w:t>）表</w:t>
      </w:r>
      <w:r w:rsidR="00347823" w:rsidRPr="00347823">
        <w:t>4</w:t>
      </w:r>
      <w:r w:rsidR="00347823" w:rsidRPr="00347823">
        <w:t>要求和</w:t>
      </w:r>
      <w:r w:rsidR="00311AEB">
        <w:rPr>
          <w:rFonts w:hint="eastAsia"/>
        </w:rPr>
        <w:t>《城市污水再生利用</w:t>
      </w:r>
      <w:r w:rsidR="00311AEB">
        <w:rPr>
          <w:rFonts w:hint="eastAsia"/>
        </w:rPr>
        <w:t xml:space="preserve"> </w:t>
      </w:r>
      <w:r w:rsidR="00311AEB">
        <w:rPr>
          <w:rFonts w:hint="eastAsia"/>
        </w:rPr>
        <w:t>工业用水水质》（</w:t>
      </w:r>
      <w:r w:rsidR="00311AEB">
        <w:rPr>
          <w:rFonts w:hint="eastAsia"/>
        </w:rPr>
        <w:t>GB/T19923-2024</w:t>
      </w:r>
      <w:r w:rsidR="00311AEB">
        <w:rPr>
          <w:rFonts w:hint="eastAsia"/>
        </w:rPr>
        <w:t>）</w:t>
      </w:r>
      <w:r w:rsidRPr="00ED7D13">
        <w:rPr>
          <w:rFonts w:hint="eastAsia"/>
        </w:rPr>
        <w:t>表</w:t>
      </w:r>
      <w:r w:rsidRPr="00ED7D13">
        <w:rPr>
          <w:rFonts w:hint="eastAsia"/>
        </w:rPr>
        <w:t>1</w:t>
      </w:r>
      <w:r w:rsidR="00262ECA">
        <w:rPr>
          <w:rFonts w:hint="eastAsia"/>
        </w:rPr>
        <w:t>间冷开式循环冷却</w:t>
      </w:r>
      <w:r w:rsidR="00347823">
        <w:rPr>
          <w:rFonts w:hint="eastAsia"/>
        </w:rPr>
        <w:t>水</w:t>
      </w:r>
      <w:r w:rsidR="00262ECA">
        <w:rPr>
          <w:rFonts w:hint="eastAsia"/>
        </w:rPr>
        <w:t>补</w:t>
      </w:r>
      <w:r w:rsidRPr="00ED7D13">
        <w:rPr>
          <w:rFonts w:hint="eastAsia"/>
        </w:rPr>
        <w:t>充水标准。</w:t>
      </w:r>
    </w:p>
    <w:p w14:paraId="530F8502" w14:textId="647D6F7F" w:rsidR="00606029" w:rsidRPr="00874502" w:rsidRDefault="00606029">
      <w:pPr>
        <w:pStyle w:val="4"/>
      </w:pPr>
      <w:hyperlink r:id="rId31" w:history="1">
        <w:r w:rsidRPr="00874502">
          <w:t>2.1.4.3</w:t>
        </w:r>
      </w:hyperlink>
      <w:r w:rsidR="00EA5B92" w:rsidRPr="00874502">
        <w:t>噪声污染环保措施及达标排放情况分析</w:t>
      </w:r>
    </w:p>
    <w:p w14:paraId="741969FE" w14:textId="0E042751" w:rsidR="00874502" w:rsidRPr="00874502" w:rsidRDefault="00874502" w:rsidP="00874502">
      <w:pPr>
        <w:pStyle w:val="affffff4"/>
      </w:pPr>
      <w:r w:rsidRPr="00874502">
        <w:rPr>
          <w:rFonts w:hint="eastAsia"/>
        </w:rPr>
        <w:t>噪声源主要来自汽轮发电机组、风机、空压机等空气动力设备、大功率水泵等。噪声主要由风机、冷凝器、汽轮发电机、水泵、排气（安全阀）、蒸汽泄漏等引起。</w:t>
      </w:r>
    </w:p>
    <w:p w14:paraId="156E8222" w14:textId="1ECD3472" w:rsidR="00606029" w:rsidRPr="00874502" w:rsidRDefault="00874502">
      <w:pPr>
        <w:pStyle w:val="affffff4"/>
      </w:pPr>
      <w:r w:rsidRPr="00874502">
        <w:rPr>
          <w:rFonts w:hint="eastAsia"/>
        </w:rPr>
        <w:t>1</w:t>
      </w:r>
      <w:r w:rsidRPr="00874502">
        <w:rPr>
          <w:rFonts w:hint="eastAsia"/>
        </w:rPr>
        <w:t>、</w:t>
      </w:r>
      <w:r w:rsidR="00EA5B92" w:rsidRPr="00874502">
        <w:t>噪声防治措施</w:t>
      </w:r>
    </w:p>
    <w:p w14:paraId="53C9CFF3" w14:textId="77777777" w:rsidR="00874502" w:rsidRDefault="00874502" w:rsidP="00874502">
      <w:pPr>
        <w:pStyle w:val="affffff4"/>
      </w:pPr>
      <w:r>
        <w:rPr>
          <w:rFonts w:hint="eastAsia"/>
        </w:rPr>
        <w:t>（</w:t>
      </w:r>
      <w:r>
        <w:rPr>
          <w:rFonts w:hint="eastAsia"/>
        </w:rPr>
        <w:t>1</w:t>
      </w:r>
      <w:r>
        <w:rPr>
          <w:rFonts w:hint="eastAsia"/>
        </w:rPr>
        <w:t>）对锅炉空排气管道控制阀、安全阀选用低噪声型设备，锅炉排汽设小孔</w:t>
      </w:r>
    </w:p>
    <w:p w14:paraId="003B7ADE" w14:textId="77777777" w:rsidR="00874502" w:rsidRDefault="00874502" w:rsidP="00874502">
      <w:pPr>
        <w:pStyle w:val="affffff4"/>
      </w:pPr>
      <w:r>
        <w:rPr>
          <w:rFonts w:hint="eastAsia"/>
        </w:rPr>
        <w:t>排气消音器。</w:t>
      </w:r>
    </w:p>
    <w:p w14:paraId="04E5451C" w14:textId="77777777" w:rsidR="00874502" w:rsidRDefault="00874502" w:rsidP="00874502">
      <w:pPr>
        <w:pStyle w:val="affffff4"/>
      </w:pPr>
      <w:r>
        <w:rPr>
          <w:rFonts w:hint="eastAsia"/>
        </w:rPr>
        <w:t>（</w:t>
      </w:r>
      <w:r>
        <w:rPr>
          <w:rFonts w:hint="eastAsia"/>
        </w:rPr>
        <w:t>2</w:t>
      </w:r>
      <w:r>
        <w:rPr>
          <w:rFonts w:hint="eastAsia"/>
        </w:rPr>
        <w:t>）风机管道设置管外阻尼并对风机安装消音器。</w:t>
      </w:r>
    </w:p>
    <w:p w14:paraId="6A98E7F6" w14:textId="77777777" w:rsidR="00874502" w:rsidRDefault="00874502" w:rsidP="00874502">
      <w:pPr>
        <w:pStyle w:val="affffff4"/>
      </w:pPr>
      <w:r>
        <w:rPr>
          <w:rFonts w:hint="eastAsia"/>
        </w:rPr>
        <w:t>（</w:t>
      </w:r>
      <w:r>
        <w:rPr>
          <w:rFonts w:hint="eastAsia"/>
        </w:rPr>
        <w:t>3</w:t>
      </w:r>
      <w:r>
        <w:rPr>
          <w:rFonts w:hint="eastAsia"/>
        </w:rPr>
        <w:t>）对各种泵类采取减振措施，采取软连接。</w:t>
      </w:r>
    </w:p>
    <w:p w14:paraId="0707B7B3" w14:textId="77777777" w:rsidR="00874502" w:rsidRDefault="00874502" w:rsidP="00874502">
      <w:pPr>
        <w:pStyle w:val="affffff4"/>
      </w:pPr>
      <w:r>
        <w:rPr>
          <w:rFonts w:hint="eastAsia"/>
        </w:rPr>
        <w:lastRenderedPageBreak/>
        <w:t>（</w:t>
      </w:r>
      <w:r>
        <w:rPr>
          <w:rFonts w:hint="eastAsia"/>
        </w:rPr>
        <w:t>4</w:t>
      </w:r>
      <w:r>
        <w:rPr>
          <w:rFonts w:hint="eastAsia"/>
        </w:rPr>
        <w:t>）汽轮发电机组以玻璃纤维做隔音，安装防音罩。</w:t>
      </w:r>
    </w:p>
    <w:p w14:paraId="4E1F0DDE" w14:textId="77777777" w:rsidR="00874502" w:rsidRDefault="00874502" w:rsidP="00874502">
      <w:pPr>
        <w:pStyle w:val="affffff4"/>
      </w:pPr>
      <w:r>
        <w:rPr>
          <w:rFonts w:hint="eastAsia"/>
        </w:rPr>
        <w:t>（</w:t>
      </w:r>
      <w:r>
        <w:rPr>
          <w:rFonts w:hint="eastAsia"/>
        </w:rPr>
        <w:t>5</w:t>
      </w:r>
      <w:r>
        <w:rPr>
          <w:rFonts w:hint="eastAsia"/>
        </w:rPr>
        <w:t>）汽轮机房、锅炉房等选用隔声、消音性能好的建筑材料。</w:t>
      </w:r>
    </w:p>
    <w:p w14:paraId="1863CE33" w14:textId="77777777" w:rsidR="00874502" w:rsidRDefault="00874502" w:rsidP="00874502">
      <w:pPr>
        <w:pStyle w:val="affffff4"/>
      </w:pPr>
      <w:r>
        <w:rPr>
          <w:rFonts w:hint="eastAsia"/>
        </w:rPr>
        <w:t>（</w:t>
      </w:r>
      <w:r>
        <w:rPr>
          <w:rFonts w:hint="eastAsia"/>
        </w:rPr>
        <w:t>6</w:t>
      </w:r>
      <w:r>
        <w:rPr>
          <w:rFonts w:hint="eastAsia"/>
        </w:rPr>
        <w:t>）高噪声车间单独设置隔声操作间，操作人员隔室操作。</w:t>
      </w:r>
    </w:p>
    <w:p w14:paraId="47EA381E" w14:textId="77777777" w:rsidR="00874502" w:rsidRDefault="00874502" w:rsidP="00874502">
      <w:pPr>
        <w:pStyle w:val="affffff4"/>
      </w:pPr>
      <w:r>
        <w:rPr>
          <w:rFonts w:hint="eastAsia"/>
        </w:rPr>
        <w:t>（</w:t>
      </w:r>
      <w:r>
        <w:rPr>
          <w:rFonts w:hint="eastAsia"/>
        </w:rPr>
        <w:t>7</w:t>
      </w:r>
      <w:r>
        <w:rPr>
          <w:rFonts w:hint="eastAsia"/>
        </w:rPr>
        <w:t>）加强管理、机械设备的维护，经常进行噪声水平测试，消除隐患。</w:t>
      </w:r>
    </w:p>
    <w:p w14:paraId="7F77BC93" w14:textId="77777777" w:rsidR="00874502" w:rsidRDefault="00874502" w:rsidP="00874502">
      <w:pPr>
        <w:pStyle w:val="affffff4"/>
      </w:pPr>
      <w:r>
        <w:rPr>
          <w:rFonts w:hint="eastAsia"/>
        </w:rPr>
        <w:t>（</w:t>
      </w:r>
      <w:r>
        <w:rPr>
          <w:rFonts w:hint="eastAsia"/>
        </w:rPr>
        <w:t>8</w:t>
      </w:r>
      <w:r>
        <w:rPr>
          <w:rFonts w:hint="eastAsia"/>
        </w:rPr>
        <w:t>）生产区与生活办公区分开，合理布局，采取绿化隔离降噪措施。</w:t>
      </w:r>
    </w:p>
    <w:p w14:paraId="4B83151D" w14:textId="35409CB5" w:rsidR="00606029" w:rsidRPr="00261F7E" w:rsidRDefault="00874502" w:rsidP="00874502">
      <w:pPr>
        <w:pStyle w:val="affffff4"/>
        <w:rPr>
          <w:highlight w:val="yellow"/>
        </w:rPr>
      </w:pPr>
      <w:r>
        <w:rPr>
          <w:rFonts w:hint="eastAsia"/>
        </w:rPr>
        <w:t>（</w:t>
      </w:r>
      <w:r>
        <w:rPr>
          <w:rFonts w:hint="eastAsia"/>
        </w:rPr>
        <w:t>9</w:t>
      </w:r>
      <w:r>
        <w:rPr>
          <w:rFonts w:hint="eastAsia"/>
        </w:rPr>
        <w:t>）种植绿化带，建立植物屏障。</w:t>
      </w:r>
    </w:p>
    <w:p w14:paraId="7ECDCD4D" w14:textId="16F0F701" w:rsidR="00606029" w:rsidRPr="00874502" w:rsidRDefault="00874502">
      <w:pPr>
        <w:pStyle w:val="affffff4"/>
      </w:pPr>
      <w:r w:rsidRPr="00874502">
        <w:rPr>
          <w:rFonts w:hint="eastAsia"/>
        </w:rPr>
        <w:t>2</w:t>
      </w:r>
      <w:r w:rsidRPr="00874502">
        <w:rPr>
          <w:rFonts w:hint="eastAsia"/>
        </w:rPr>
        <w:t>、</w:t>
      </w:r>
      <w:r w:rsidR="00EA5B92" w:rsidRPr="00874502">
        <w:t>达标性分析</w:t>
      </w:r>
    </w:p>
    <w:p w14:paraId="384A0606" w14:textId="0CB80381" w:rsidR="00606029" w:rsidRPr="00874502" w:rsidRDefault="00EA5B92">
      <w:pPr>
        <w:pStyle w:val="affffff4"/>
      </w:pPr>
      <w:r w:rsidRPr="00874502">
        <w:t>为了解现有工程厂界噪声的达标情况，</w:t>
      </w:r>
      <w:r w:rsidR="00874502" w:rsidRPr="00874502">
        <w:rPr>
          <w:rFonts w:hint="eastAsia"/>
        </w:rPr>
        <w:t>本评价引用大庆城控电力有限公司《大庆市生活垃圾焚烧发电项目（一期）竣工环境保护验收监测报告》中的监测数据，监测时间为</w:t>
      </w:r>
      <w:r w:rsidR="00874502" w:rsidRPr="00874502">
        <w:rPr>
          <w:rFonts w:hint="eastAsia"/>
        </w:rPr>
        <w:t>2024</w:t>
      </w:r>
      <w:r w:rsidR="00874502" w:rsidRPr="00874502">
        <w:rPr>
          <w:rFonts w:hint="eastAsia"/>
        </w:rPr>
        <w:t>年</w:t>
      </w:r>
      <w:r w:rsidR="00874502" w:rsidRPr="00874502">
        <w:rPr>
          <w:rFonts w:hint="eastAsia"/>
        </w:rPr>
        <w:t>2</w:t>
      </w:r>
      <w:r w:rsidR="00874502" w:rsidRPr="00874502">
        <w:rPr>
          <w:rFonts w:hint="eastAsia"/>
        </w:rPr>
        <w:t>月</w:t>
      </w:r>
      <w:r w:rsidR="00874502" w:rsidRPr="00874502">
        <w:rPr>
          <w:rFonts w:hint="eastAsia"/>
        </w:rPr>
        <w:t>22-23</w:t>
      </w:r>
      <w:r w:rsidR="00874502" w:rsidRPr="00874502">
        <w:rPr>
          <w:rFonts w:hint="eastAsia"/>
        </w:rPr>
        <w:t>日。</w:t>
      </w:r>
    </w:p>
    <w:p w14:paraId="3589BAE1" w14:textId="7FA4D75D" w:rsidR="00606029" w:rsidRPr="00874502" w:rsidRDefault="00874502" w:rsidP="00874502">
      <w:pPr>
        <w:pStyle w:val="affffff4"/>
      </w:pPr>
      <w:r w:rsidRPr="00874502">
        <w:rPr>
          <w:rFonts w:hint="eastAsia"/>
        </w:rPr>
        <w:t>厂界噪声昼间监测结果在</w:t>
      </w:r>
      <w:r w:rsidRPr="00874502">
        <w:rPr>
          <w:rFonts w:hint="eastAsia"/>
        </w:rPr>
        <w:t>52.3~58.2dB</w:t>
      </w:r>
      <w:r w:rsidRPr="00874502">
        <w:rPr>
          <w:rFonts w:hint="eastAsia"/>
        </w:rPr>
        <w:t>（</w:t>
      </w:r>
      <w:r w:rsidRPr="00874502">
        <w:rPr>
          <w:rFonts w:hint="eastAsia"/>
        </w:rPr>
        <w:t>A</w:t>
      </w:r>
      <w:r w:rsidRPr="00874502">
        <w:rPr>
          <w:rFonts w:hint="eastAsia"/>
        </w:rPr>
        <w:t>）之间、夜间监测结果在</w:t>
      </w:r>
      <w:r w:rsidRPr="00874502">
        <w:rPr>
          <w:rFonts w:hint="eastAsia"/>
        </w:rPr>
        <w:t>45.4~48.6B</w:t>
      </w:r>
      <w:r w:rsidRPr="00874502">
        <w:rPr>
          <w:rFonts w:hint="eastAsia"/>
        </w:rPr>
        <w:t>（</w:t>
      </w:r>
      <w:r w:rsidRPr="00874502">
        <w:rPr>
          <w:rFonts w:hint="eastAsia"/>
        </w:rPr>
        <w:t>A</w:t>
      </w:r>
      <w:r w:rsidRPr="00874502">
        <w:rPr>
          <w:rFonts w:hint="eastAsia"/>
        </w:rPr>
        <w:t>）之间，监测结果均符合《工业企业厂界环境噪声排放标准》（</w:t>
      </w:r>
      <w:r w:rsidRPr="00874502">
        <w:rPr>
          <w:rFonts w:hint="eastAsia"/>
        </w:rPr>
        <w:t>GB12348-2008</w:t>
      </w:r>
      <w:r w:rsidRPr="00874502">
        <w:rPr>
          <w:rFonts w:hint="eastAsia"/>
        </w:rPr>
        <w:t>）</w:t>
      </w:r>
      <w:r w:rsidRPr="00874502">
        <w:rPr>
          <w:rFonts w:hint="eastAsia"/>
        </w:rPr>
        <w:t>2</w:t>
      </w:r>
      <w:r w:rsidRPr="00874502">
        <w:rPr>
          <w:rFonts w:hint="eastAsia"/>
        </w:rPr>
        <w:t>类标准。</w:t>
      </w:r>
    </w:p>
    <w:p w14:paraId="7FD3272C" w14:textId="7B043C8F" w:rsidR="00606029" w:rsidRPr="007200BA" w:rsidRDefault="00606029">
      <w:pPr>
        <w:pStyle w:val="4"/>
      </w:pPr>
      <w:hyperlink r:id="rId32" w:history="1">
        <w:r w:rsidRPr="007200BA">
          <w:t>2.1.4.4</w:t>
        </w:r>
      </w:hyperlink>
      <w:r w:rsidR="00EA5B92" w:rsidRPr="007200BA">
        <w:t>地下水防渗措施及地下水监测井水质达标分析</w:t>
      </w:r>
    </w:p>
    <w:p w14:paraId="6292B03A" w14:textId="77777777" w:rsidR="00606029" w:rsidRPr="007200BA" w:rsidRDefault="00EA5B92">
      <w:pPr>
        <w:pStyle w:val="affffff4"/>
      </w:pPr>
      <w:r w:rsidRPr="007200BA">
        <w:t>（</w:t>
      </w:r>
      <w:r w:rsidRPr="007200BA">
        <w:t>1</w:t>
      </w:r>
      <w:r w:rsidRPr="007200BA">
        <w:t>）地下水防渗措施</w:t>
      </w:r>
    </w:p>
    <w:p w14:paraId="22BF169A" w14:textId="7BD2F082" w:rsidR="007200BA" w:rsidRDefault="007200BA" w:rsidP="007200BA">
      <w:pPr>
        <w:pStyle w:val="affffff4"/>
      </w:pPr>
      <w:r>
        <w:rPr>
          <w:rFonts w:hint="eastAsia"/>
        </w:rPr>
        <w:t>本项目采取源头控制、分区防控、污染监控、应急响应等污染防控对策。本项目地下水污染防渗分区包括重点防渗区、一般防渗区、简单防渗区。重点防渗区包括垃圾池和卸料大厅、卸料平台、渗滤液收集池、渗滤液处理站、初期雨水收集池、油罐区和飞灰稳定化暂存库及氨水罐区、盐酸罐区、事故池、渗滤液处理站事故池、飞灰固化间、危险废物暂存间和渗滤液输送管线。一般防渗区渣坑、综合水泵房、地磅房、机动车库和生产水池及冷却塔、消防水池、主厂房（除重点污染防治区之外的区域）。简单防渗区包括综合楼、办公楼和厂区道路等，进行地表硬化处理。防渗性能应不大于</w:t>
      </w:r>
      <w:r>
        <w:rPr>
          <w:rFonts w:hint="eastAsia"/>
        </w:rPr>
        <w:t>1</w:t>
      </w:r>
      <w:r>
        <w:rPr>
          <w:rFonts w:hint="eastAsia"/>
        </w:rPr>
        <w:t>×</w:t>
      </w:r>
      <w:r>
        <w:rPr>
          <w:rFonts w:hint="eastAsia"/>
        </w:rPr>
        <w:t>10</w:t>
      </w:r>
      <w:r w:rsidRPr="007200BA">
        <w:rPr>
          <w:rFonts w:hint="eastAsia"/>
          <w:vertAlign w:val="superscript"/>
        </w:rPr>
        <w:t>-6</w:t>
      </w:r>
      <w:r>
        <w:rPr>
          <w:rFonts w:hint="eastAsia"/>
        </w:rPr>
        <w:t>cm/s</w:t>
      </w:r>
      <w:r>
        <w:rPr>
          <w:rFonts w:hint="eastAsia"/>
        </w:rPr>
        <w:t>。</w:t>
      </w:r>
    </w:p>
    <w:p w14:paraId="17D2DD8D" w14:textId="77777777" w:rsidR="007200BA" w:rsidRDefault="007200BA" w:rsidP="007200BA">
      <w:pPr>
        <w:pStyle w:val="affffff4"/>
      </w:pPr>
      <w:r>
        <w:rPr>
          <w:rFonts w:hint="eastAsia"/>
        </w:rPr>
        <w:t>本项目重点防渗区为垃圾池、卸料大厅、卸料平台、渗滤液收集池、渗滤液处理站、初期雨水收集池、油罐区和飞灰稳定化暂存库及氨水罐区、盐酸罐区、事故池、渗滤液处理站事故池、飞灰固化间、危险废物暂存间和渗滤液输送管线。各区防渗措施如下：</w:t>
      </w:r>
    </w:p>
    <w:p w14:paraId="0F8A2844" w14:textId="33424285" w:rsidR="007200BA" w:rsidRDefault="007200BA" w:rsidP="007200BA">
      <w:pPr>
        <w:pStyle w:val="affffff4"/>
      </w:pPr>
      <w:r>
        <w:rPr>
          <w:rFonts w:hint="eastAsia"/>
        </w:rPr>
        <w:t>1</w:t>
      </w:r>
      <w:r>
        <w:rPr>
          <w:rFonts w:hint="eastAsia"/>
        </w:rPr>
        <w:t>）渗滤液收集池、垃圾池等防渗材料采用环氧玻璃鳞片；渗滤液处理站调节池及各处理池和油罐区及事故池、渗滤液处理站事故池采用</w:t>
      </w:r>
      <w:r>
        <w:rPr>
          <w:rFonts w:hint="eastAsia"/>
        </w:rPr>
        <w:t>HDPE</w:t>
      </w:r>
      <w:r>
        <w:rPr>
          <w:rFonts w:hint="eastAsia"/>
        </w:rPr>
        <w:t>土工膜防渗结构，高密度聚乙烯</w:t>
      </w:r>
      <w:r>
        <w:rPr>
          <w:rFonts w:hint="eastAsia"/>
        </w:rPr>
        <w:t>HDPE</w:t>
      </w:r>
      <w:r>
        <w:rPr>
          <w:rFonts w:hint="eastAsia"/>
        </w:rPr>
        <w:t>膜厚度</w:t>
      </w:r>
      <w:r>
        <w:rPr>
          <w:rFonts w:hint="eastAsia"/>
        </w:rPr>
        <w:t>2mm</w:t>
      </w:r>
      <w:r>
        <w:rPr>
          <w:rFonts w:hint="eastAsia"/>
        </w:rPr>
        <w:t>，并且于膜上膜下设置保护层；</w:t>
      </w:r>
    </w:p>
    <w:p w14:paraId="79304C05" w14:textId="0FFEB904" w:rsidR="007200BA" w:rsidRDefault="007200BA" w:rsidP="007200BA">
      <w:pPr>
        <w:pStyle w:val="affffff4"/>
      </w:pPr>
      <w:r>
        <w:rPr>
          <w:rFonts w:hint="eastAsia"/>
        </w:rPr>
        <w:lastRenderedPageBreak/>
        <w:t>2</w:t>
      </w:r>
      <w:r>
        <w:rPr>
          <w:rFonts w:hint="eastAsia"/>
        </w:rPr>
        <w:t>）初期雨水收集池、飞灰稳定化暂存库及氨水罐区、盐酸罐区等用抗渗混凝土作为其防渗层，抗渗混凝土等级为</w:t>
      </w:r>
      <w:r>
        <w:rPr>
          <w:rFonts w:hint="eastAsia"/>
        </w:rPr>
        <w:t>P8</w:t>
      </w:r>
      <w:r>
        <w:rPr>
          <w:rFonts w:hint="eastAsia"/>
        </w:rPr>
        <w:t>，结构厚度为</w:t>
      </w:r>
      <w:r>
        <w:rPr>
          <w:rFonts w:hint="eastAsia"/>
        </w:rPr>
        <w:t>250mm</w:t>
      </w:r>
      <w:r>
        <w:rPr>
          <w:rFonts w:hint="eastAsia"/>
        </w:rPr>
        <w:t>，且水池的内表面涂刷水泥基渗透结晶型聚脲等防水材料，水泥基渗透结晶型防水涂料厚度为</w:t>
      </w:r>
      <w:r>
        <w:rPr>
          <w:rFonts w:hint="eastAsia"/>
        </w:rPr>
        <w:t>1.0mm</w:t>
      </w:r>
      <w:r>
        <w:rPr>
          <w:rFonts w:hint="eastAsia"/>
        </w:rPr>
        <w:t>；</w:t>
      </w:r>
    </w:p>
    <w:p w14:paraId="6A9557A9" w14:textId="3A0C99FB" w:rsidR="007200BA" w:rsidRDefault="007200BA" w:rsidP="007200BA">
      <w:pPr>
        <w:pStyle w:val="affffff4"/>
      </w:pPr>
      <w:r>
        <w:rPr>
          <w:rFonts w:hint="eastAsia"/>
        </w:rPr>
        <w:t>3</w:t>
      </w:r>
      <w:r>
        <w:rPr>
          <w:rFonts w:hint="eastAsia"/>
        </w:rPr>
        <w:t>）卸料平台、卸料大厅采用水泥基渗透结晶型防水涂料厚度为</w:t>
      </w:r>
      <w:r>
        <w:rPr>
          <w:rFonts w:hint="eastAsia"/>
        </w:rPr>
        <w:t>1.0mm</w:t>
      </w:r>
      <w:r>
        <w:rPr>
          <w:rFonts w:hint="eastAsia"/>
        </w:rPr>
        <w:t>，每平方米用量</w:t>
      </w:r>
      <w:r>
        <w:rPr>
          <w:rFonts w:hint="eastAsia"/>
        </w:rPr>
        <w:t>6kg</w:t>
      </w:r>
      <w:r>
        <w:rPr>
          <w:rFonts w:hint="eastAsia"/>
        </w:rPr>
        <w:t>。各重点防渗区钢筋混凝土水池池壁均已做防腐蚀处理。满足重点防渗区防渗层的防渗性能为</w:t>
      </w:r>
      <w:r>
        <w:rPr>
          <w:rFonts w:hint="eastAsia"/>
        </w:rPr>
        <w:t>6.0m</w:t>
      </w:r>
      <w:r>
        <w:rPr>
          <w:rFonts w:hint="eastAsia"/>
        </w:rPr>
        <w:t>厚渗透系数为</w:t>
      </w:r>
      <w:r>
        <w:rPr>
          <w:rFonts w:hint="eastAsia"/>
        </w:rPr>
        <w:t>1</w:t>
      </w:r>
      <w:r>
        <w:rPr>
          <w:rFonts w:hint="eastAsia"/>
        </w:rPr>
        <w:t>×</w:t>
      </w:r>
      <w:r>
        <w:rPr>
          <w:rFonts w:hint="eastAsia"/>
        </w:rPr>
        <w:t>10</w:t>
      </w:r>
      <w:r w:rsidRPr="007200BA">
        <w:rPr>
          <w:rFonts w:hint="eastAsia"/>
          <w:vertAlign w:val="superscript"/>
        </w:rPr>
        <w:t>-7</w:t>
      </w:r>
      <w:r>
        <w:rPr>
          <w:rFonts w:hint="eastAsia"/>
        </w:rPr>
        <w:t>cm/s</w:t>
      </w:r>
      <w:r>
        <w:rPr>
          <w:rFonts w:hint="eastAsia"/>
        </w:rPr>
        <w:t>的黏土层的防渗性能；</w:t>
      </w:r>
    </w:p>
    <w:p w14:paraId="53DC74E7" w14:textId="107C0F9F" w:rsidR="007200BA" w:rsidRDefault="007200BA" w:rsidP="007200BA">
      <w:pPr>
        <w:pStyle w:val="affffff4"/>
      </w:pPr>
      <w:r>
        <w:rPr>
          <w:rFonts w:hint="eastAsia"/>
        </w:rPr>
        <w:t>4</w:t>
      </w:r>
      <w:r>
        <w:rPr>
          <w:rFonts w:hint="eastAsia"/>
        </w:rPr>
        <w:t>）危险废物暂存间、飞灰固化间地面采用防水抗渗混凝土，危险废物暂存间、飞灰固化间、飞灰稳定化暂存库符合《危险废物贮存污染控制标准》（</w:t>
      </w:r>
      <w:r>
        <w:rPr>
          <w:rFonts w:hint="eastAsia"/>
        </w:rPr>
        <w:t>GB18597-2023</w:t>
      </w:r>
      <w:r>
        <w:rPr>
          <w:rFonts w:hint="eastAsia"/>
        </w:rPr>
        <w:t>）中防渗层为至少</w:t>
      </w:r>
      <w:r>
        <w:rPr>
          <w:rFonts w:hint="eastAsia"/>
        </w:rPr>
        <w:t>1m</w:t>
      </w:r>
      <w:r>
        <w:rPr>
          <w:rFonts w:hint="eastAsia"/>
        </w:rPr>
        <w:t>厚黏土层（渗透系数不大于</w:t>
      </w:r>
      <w:r>
        <w:rPr>
          <w:rFonts w:hint="eastAsia"/>
        </w:rPr>
        <w:t>10</w:t>
      </w:r>
      <w:r w:rsidRPr="007200BA">
        <w:rPr>
          <w:rFonts w:hint="eastAsia"/>
          <w:vertAlign w:val="superscript"/>
        </w:rPr>
        <w:t>-7</w:t>
      </w:r>
      <w:r>
        <w:rPr>
          <w:rFonts w:hint="eastAsia"/>
        </w:rPr>
        <w:t>cm/s</w:t>
      </w:r>
      <w:r>
        <w:rPr>
          <w:rFonts w:hint="eastAsia"/>
        </w:rPr>
        <w:t>），或至少</w:t>
      </w:r>
      <w:r>
        <w:rPr>
          <w:rFonts w:hint="eastAsia"/>
        </w:rPr>
        <w:t>2mm</w:t>
      </w:r>
      <w:r>
        <w:rPr>
          <w:rFonts w:hint="eastAsia"/>
        </w:rPr>
        <w:t>厚高密度聚乙烯膜等人工防渗材料（渗透系数不大于</w:t>
      </w:r>
      <w:r>
        <w:rPr>
          <w:rFonts w:hint="eastAsia"/>
        </w:rPr>
        <w:t>10</w:t>
      </w:r>
      <w:r w:rsidRPr="007200BA">
        <w:rPr>
          <w:rFonts w:hint="eastAsia"/>
          <w:vertAlign w:val="superscript"/>
        </w:rPr>
        <w:t>-10</w:t>
      </w:r>
      <w:r>
        <w:rPr>
          <w:rFonts w:hint="eastAsia"/>
        </w:rPr>
        <w:t>cm/s</w:t>
      </w:r>
      <w:r>
        <w:rPr>
          <w:rFonts w:hint="eastAsia"/>
        </w:rPr>
        <w:t>），或其他防渗性能等效的材料。</w:t>
      </w:r>
    </w:p>
    <w:p w14:paraId="4B7DAAAB" w14:textId="02700DA6" w:rsidR="007200BA" w:rsidRDefault="007200BA" w:rsidP="007200BA">
      <w:pPr>
        <w:pStyle w:val="affffff4"/>
      </w:pPr>
      <w:r>
        <w:rPr>
          <w:rFonts w:hint="eastAsia"/>
        </w:rPr>
        <w:t>5</w:t>
      </w:r>
      <w:r>
        <w:rPr>
          <w:rFonts w:hint="eastAsia"/>
        </w:rPr>
        <w:t>）本项目一般防渗区包括：渣坑、综合水泵房、地磅房、机动车库和生产水池及冷却塔、消防水池、主厂房等。一般防渗区的地面采用抗渗混凝土作为其防渗层，抗渗混凝土等为</w:t>
      </w:r>
      <w:r>
        <w:rPr>
          <w:rFonts w:hint="eastAsia"/>
        </w:rPr>
        <w:t>P6</w:t>
      </w:r>
      <w:r>
        <w:rPr>
          <w:rFonts w:hint="eastAsia"/>
        </w:rPr>
        <w:t>，厚度为</w:t>
      </w:r>
      <w:r>
        <w:rPr>
          <w:rFonts w:hint="eastAsia"/>
        </w:rPr>
        <w:t>100mm</w:t>
      </w:r>
      <w:r>
        <w:rPr>
          <w:rFonts w:hint="eastAsia"/>
        </w:rPr>
        <w:t>。</w:t>
      </w:r>
    </w:p>
    <w:p w14:paraId="307F9AFB" w14:textId="1FC84657" w:rsidR="00606029" w:rsidRPr="00261F7E" w:rsidRDefault="007200BA" w:rsidP="007200BA">
      <w:pPr>
        <w:pStyle w:val="affffff4"/>
        <w:rPr>
          <w:highlight w:val="yellow"/>
        </w:rPr>
      </w:pPr>
      <w:r>
        <w:rPr>
          <w:rFonts w:hint="eastAsia"/>
        </w:rPr>
        <w:t>6</w:t>
      </w:r>
      <w:r>
        <w:rPr>
          <w:rFonts w:hint="eastAsia"/>
        </w:rPr>
        <w:t>）本项目简单防渗区包括：综合楼、办公楼和厂区道路等，进行地表硬化处理。防渗性能为</w:t>
      </w:r>
      <w:r>
        <w:rPr>
          <w:rFonts w:hint="eastAsia"/>
        </w:rPr>
        <w:t>1</w:t>
      </w:r>
      <w:r>
        <w:rPr>
          <w:rFonts w:hint="eastAsia"/>
        </w:rPr>
        <w:t>×</w:t>
      </w:r>
      <w:r>
        <w:rPr>
          <w:rFonts w:hint="eastAsia"/>
        </w:rPr>
        <w:t>10</w:t>
      </w:r>
      <w:r w:rsidRPr="007200BA">
        <w:rPr>
          <w:rFonts w:hint="eastAsia"/>
          <w:vertAlign w:val="superscript"/>
        </w:rPr>
        <w:t>-6</w:t>
      </w:r>
      <w:r>
        <w:rPr>
          <w:rFonts w:hint="eastAsia"/>
        </w:rPr>
        <w:t>cm/s</w:t>
      </w:r>
      <w:r>
        <w:rPr>
          <w:rFonts w:hint="eastAsia"/>
        </w:rPr>
        <w:t>。</w:t>
      </w:r>
    </w:p>
    <w:p w14:paraId="2A6956F7" w14:textId="77777777" w:rsidR="00606029" w:rsidRPr="00937777" w:rsidRDefault="00EA5B92">
      <w:pPr>
        <w:pStyle w:val="affffff4"/>
      </w:pPr>
      <w:r w:rsidRPr="00937777">
        <w:t>（</w:t>
      </w:r>
      <w:r w:rsidRPr="00937777">
        <w:t>2</w:t>
      </w:r>
      <w:r w:rsidRPr="00937777">
        <w:t>）地下水监测井水质达标分析</w:t>
      </w:r>
    </w:p>
    <w:p w14:paraId="263A1C05" w14:textId="526D639E" w:rsidR="00606029" w:rsidRDefault="00EA5B92">
      <w:pPr>
        <w:pStyle w:val="affffff4"/>
        <w:rPr>
          <w:highlight w:val="yellow"/>
        </w:rPr>
      </w:pPr>
      <w:r w:rsidRPr="00937777">
        <w:t>为了</w:t>
      </w:r>
      <w:r w:rsidR="007200BA" w:rsidRPr="00937777">
        <w:rPr>
          <w:rFonts w:hint="eastAsia"/>
        </w:rPr>
        <w:t>现有工程</w:t>
      </w:r>
      <w:r w:rsidRPr="00937777">
        <w:t>地下水防渗措施的</w:t>
      </w:r>
      <w:r w:rsidR="007200BA" w:rsidRPr="00937777">
        <w:rPr>
          <w:rFonts w:hint="eastAsia"/>
        </w:rPr>
        <w:t>可靠</w:t>
      </w:r>
      <w:r w:rsidRPr="00937777">
        <w:t>性，</w:t>
      </w:r>
      <w:r w:rsidR="00937777" w:rsidRPr="00937777">
        <w:rPr>
          <w:rFonts w:hint="eastAsia"/>
        </w:rPr>
        <w:t>本评价引用大庆城控电力有限公司《大庆市生活垃圾焚烧发电项目（一期）竣工环境保护验收监测报告》中的监测数据，监测时间为</w:t>
      </w:r>
      <w:r w:rsidR="00937777" w:rsidRPr="00937777">
        <w:rPr>
          <w:rFonts w:hint="eastAsia"/>
        </w:rPr>
        <w:t>2024</w:t>
      </w:r>
      <w:r w:rsidR="00937777" w:rsidRPr="00937777">
        <w:rPr>
          <w:rFonts w:hint="eastAsia"/>
        </w:rPr>
        <w:t>年</w:t>
      </w:r>
      <w:r w:rsidR="00937777" w:rsidRPr="00937777">
        <w:rPr>
          <w:rFonts w:hint="eastAsia"/>
        </w:rPr>
        <w:t>2</w:t>
      </w:r>
      <w:r w:rsidR="00937777" w:rsidRPr="00937777">
        <w:rPr>
          <w:rFonts w:hint="eastAsia"/>
        </w:rPr>
        <w:t>月</w:t>
      </w:r>
      <w:r w:rsidR="00937777" w:rsidRPr="00937777">
        <w:rPr>
          <w:rFonts w:hint="eastAsia"/>
        </w:rPr>
        <w:t>22-23</w:t>
      </w:r>
      <w:r w:rsidR="00937777" w:rsidRPr="00937777">
        <w:rPr>
          <w:rFonts w:hint="eastAsia"/>
        </w:rPr>
        <w:t>日。</w:t>
      </w:r>
    </w:p>
    <w:p w14:paraId="644F7189" w14:textId="67000A92" w:rsidR="007200BA" w:rsidRDefault="007200BA" w:rsidP="007200BA">
      <w:pPr>
        <w:pStyle w:val="affffff4"/>
      </w:pPr>
      <w:r w:rsidRPr="007200BA">
        <w:rPr>
          <w:rFonts w:hint="eastAsia"/>
        </w:rPr>
        <w:t>场地地下水流向上游</w:t>
      </w:r>
      <w:r w:rsidRPr="007200BA">
        <w:rPr>
          <w:rFonts w:hint="eastAsia"/>
        </w:rPr>
        <w:t>60m</w:t>
      </w:r>
      <w:r w:rsidRPr="007200BA">
        <w:rPr>
          <w:rFonts w:hint="eastAsia"/>
        </w:rPr>
        <w:t>处本底监测井（厂区东北侧</w:t>
      </w:r>
      <w:r w:rsidRPr="007200BA">
        <w:rPr>
          <w:rFonts w:hint="eastAsia"/>
        </w:rPr>
        <w:t>1#</w:t>
      </w:r>
      <w:r w:rsidRPr="007200BA">
        <w:rPr>
          <w:rFonts w:hint="eastAsia"/>
        </w:rPr>
        <w:t>监测井）监测井水质</w:t>
      </w:r>
      <w:r w:rsidRPr="007200BA">
        <w:rPr>
          <w:rFonts w:hint="eastAsia"/>
        </w:rPr>
        <w:t>K+</w:t>
      </w:r>
      <w:r w:rsidRPr="007200BA">
        <w:rPr>
          <w:rFonts w:hint="eastAsia"/>
        </w:rPr>
        <w:t>浓度在</w:t>
      </w:r>
      <w:r w:rsidRPr="007200BA">
        <w:rPr>
          <w:rFonts w:hint="eastAsia"/>
        </w:rPr>
        <w:t>13.2~14.1mg/L</w:t>
      </w:r>
      <w:r w:rsidRPr="007200BA">
        <w:rPr>
          <w:rFonts w:hint="eastAsia"/>
        </w:rPr>
        <w:t>，</w:t>
      </w:r>
      <w:r w:rsidRPr="007200BA">
        <w:rPr>
          <w:rFonts w:hint="eastAsia"/>
        </w:rPr>
        <w:t>Na+</w:t>
      </w:r>
      <w:r w:rsidRPr="007200BA">
        <w:rPr>
          <w:rFonts w:hint="eastAsia"/>
        </w:rPr>
        <w:t>浓度在</w:t>
      </w:r>
      <w:r w:rsidRPr="007200BA">
        <w:rPr>
          <w:rFonts w:hint="eastAsia"/>
        </w:rPr>
        <w:t>127~132mg/L</w:t>
      </w:r>
      <w:r w:rsidRPr="007200BA">
        <w:rPr>
          <w:rFonts w:hint="eastAsia"/>
        </w:rPr>
        <w:t>，</w:t>
      </w:r>
      <w:r w:rsidRPr="007200BA">
        <w:rPr>
          <w:rFonts w:hint="eastAsia"/>
        </w:rPr>
        <w:t>Ca</w:t>
      </w:r>
      <w:r w:rsidRPr="00937777">
        <w:rPr>
          <w:rFonts w:hint="eastAsia"/>
          <w:vertAlign w:val="superscript"/>
        </w:rPr>
        <w:t>2+</w:t>
      </w:r>
      <w:r w:rsidRPr="007200BA">
        <w:rPr>
          <w:rFonts w:hint="eastAsia"/>
        </w:rPr>
        <w:t>浓度在</w:t>
      </w:r>
      <w:r w:rsidRPr="007200BA">
        <w:rPr>
          <w:rFonts w:hint="eastAsia"/>
        </w:rPr>
        <w:t>29.3~33.4mg/L</w:t>
      </w:r>
      <w:r w:rsidRPr="007200BA">
        <w:rPr>
          <w:rFonts w:hint="eastAsia"/>
        </w:rPr>
        <w:t>，</w:t>
      </w:r>
      <w:r w:rsidRPr="007200BA">
        <w:rPr>
          <w:rFonts w:hint="eastAsia"/>
        </w:rPr>
        <w:t>Mg</w:t>
      </w:r>
      <w:r w:rsidRPr="00937777">
        <w:rPr>
          <w:rFonts w:hint="eastAsia"/>
          <w:vertAlign w:val="superscript"/>
        </w:rPr>
        <w:t>2+</w:t>
      </w:r>
      <w:r w:rsidRPr="007200BA">
        <w:rPr>
          <w:rFonts w:hint="eastAsia"/>
        </w:rPr>
        <w:t>浓度在</w:t>
      </w:r>
      <w:r w:rsidRPr="007200BA">
        <w:rPr>
          <w:rFonts w:hint="eastAsia"/>
        </w:rPr>
        <w:t>22.1~22.6mg/L,HCO</w:t>
      </w:r>
      <w:r w:rsidRPr="00937777">
        <w:rPr>
          <w:rFonts w:hint="eastAsia"/>
          <w:vertAlign w:val="subscript"/>
        </w:rPr>
        <w:t>3</w:t>
      </w:r>
      <w:r w:rsidRPr="00937777">
        <w:rPr>
          <w:rFonts w:hint="eastAsia"/>
          <w:vertAlign w:val="superscript"/>
        </w:rPr>
        <w:t>-</w:t>
      </w:r>
      <w:r w:rsidRPr="007200BA">
        <w:rPr>
          <w:rFonts w:hint="eastAsia"/>
        </w:rPr>
        <w:t>浓度在</w:t>
      </w:r>
      <w:r w:rsidRPr="007200BA">
        <w:rPr>
          <w:rFonts w:hint="eastAsia"/>
        </w:rPr>
        <w:t>114~134mg/L</w:t>
      </w:r>
      <w:r w:rsidRPr="007200BA">
        <w:rPr>
          <w:rFonts w:hint="eastAsia"/>
        </w:rPr>
        <w:t>，</w:t>
      </w:r>
      <w:r w:rsidRPr="007200BA">
        <w:rPr>
          <w:rFonts w:hint="eastAsia"/>
        </w:rPr>
        <w:t>Cl</w:t>
      </w:r>
      <w:r w:rsidRPr="00937777">
        <w:rPr>
          <w:rFonts w:hint="eastAsia"/>
          <w:vertAlign w:val="superscript"/>
        </w:rPr>
        <w:t>-</w:t>
      </w:r>
      <w:r w:rsidRPr="007200BA">
        <w:rPr>
          <w:rFonts w:hint="eastAsia"/>
        </w:rPr>
        <w:t>浓度在</w:t>
      </w:r>
      <w:r w:rsidRPr="007200BA">
        <w:rPr>
          <w:rFonts w:hint="eastAsia"/>
        </w:rPr>
        <w:t>43.1~43.9mg/L</w:t>
      </w:r>
      <w:r w:rsidRPr="007200BA">
        <w:rPr>
          <w:rFonts w:hint="eastAsia"/>
        </w:rPr>
        <w:t>，</w:t>
      </w:r>
      <w:r w:rsidRPr="007200BA">
        <w:rPr>
          <w:rFonts w:hint="eastAsia"/>
        </w:rPr>
        <w:t>SO</w:t>
      </w:r>
      <w:r w:rsidRPr="00937777">
        <w:rPr>
          <w:rFonts w:hint="eastAsia"/>
          <w:vertAlign w:val="subscript"/>
        </w:rPr>
        <w:t>4</w:t>
      </w:r>
      <w:r w:rsidR="00937777" w:rsidRPr="00937777">
        <w:rPr>
          <w:rFonts w:hint="eastAsia"/>
          <w:vertAlign w:val="superscript"/>
        </w:rPr>
        <w:t>2-</w:t>
      </w:r>
      <w:r w:rsidRPr="007200BA">
        <w:rPr>
          <w:rFonts w:hint="eastAsia"/>
        </w:rPr>
        <w:t>浓度在</w:t>
      </w:r>
      <w:r w:rsidRPr="007200BA">
        <w:rPr>
          <w:rFonts w:hint="eastAsia"/>
        </w:rPr>
        <w:t>20.8~21.2mg/L</w:t>
      </w:r>
      <w:r w:rsidRPr="007200BA">
        <w:rPr>
          <w:rFonts w:hint="eastAsia"/>
        </w:rPr>
        <w:t>，</w:t>
      </w:r>
      <w:r w:rsidRPr="007200BA">
        <w:rPr>
          <w:rFonts w:hint="eastAsia"/>
        </w:rPr>
        <w:t>pH</w:t>
      </w:r>
      <w:r w:rsidRPr="007200BA">
        <w:rPr>
          <w:rFonts w:hint="eastAsia"/>
        </w:rPr>
        <w:t>在</w:t>
      </w:r>
      <w:r w:rsidRPr="007200BA">
        <w:rPr>
          <w:rFonts w:hint="eastAsia"/>
        </w:rPr>
        <w:t>7.5~7.6</w:t>
      </w:r>
      <w:r w:rsidRPr="007200BA">
        <w:rPr>
          <w:rFonts w:hint="eastAsia"/>
        </w:rPr>
        <w:t>（无量纲），总硬度在</w:t>
      </w:r>
      <w:r w:rsidRPr="007200BA">
        <w:rPr>
          <w:rFonts w:hint="eastAsia"/>
        </w:rPr>
        <w:t>168~175mg/L</w:t>
      </w:r>
      <w:r w:rsidRPr="007200BA">
        <w:rPr>
          <w:rFonts w:hint="eastAsia"/>
        </w:rPr>
        <w:t>，氨氮的浓度在</w:t>
      </w:r>
      <w:r w:rsidRPr="007200BA">
        <w:rPr>
          <w:rFonts w:hint="eastAsia"/>
        </w:rPr>
        <w:t>0.348~0.371mg/L,</w:t>
      </w:r>
      <w:r w:rsidRPr="007200BA">
        <w:rPr>
          <w:rFonts w:hint="eastAsia"/>
        </w:rPr>
        <w:t>氟化物浓度在</w:t>
      </w:r>
      <w:r w:rsidRPr="007200BA">
        <w:rPr>
          <w:rFonts w:hint="eastAsia"/>
        </w:rPr>
        <w:t>0.873~0.917mg/L</w:t>
      </w:r>
      <w:r w:rsidRPr="007200BA">
        <w:rPr>
          <w:rFonts w:hint="eastAsia"/>
        </w:rPr>
        <w:t>，耗氧量浓度在</w:t>
      </w:r>
      <w:r w:rsidRPr="007200BA">
        <w:rPr>
          <w:rFonts w:hint="eastAsia"/>
        </w:rPr>
        <w:t>1.7~2.0mg/L</w:t>
      </w:r>
      <w:r w:rsidRPr="007200BA">
        <w:rPr>
          <w:rFonts w:hint="eastAsia"/>
        </w:rPr>
        <w:t>，铁的浓度在</w:t>
      </w:r>
      <w:r w:rsidRPr="007200BA">
        <w:rPr>
          <w:rFonts w:hint="eastAsia"/>
        </w:rPr>
        <w:t>0.04~0.06mg/L,</w:t>
      </w:r>
      <w:r w:rsidRPr="007200BA">
        <w:rPr>
          <w:rFonts w:hint="eastAsia"/>
        </w:rPr>
        <w:t>锰浓度在</w:t>
      </w:r>
      <w:r w:rsidRPr="007200BA">
        <w:rPr>
          <w:rFonts w:hint="eastAsia"/>
        </w:rPr>
        <w:t>0.04~0.07mg/L</w:t>
      </w:r>
      <w:r w:rsidRPr="007200BA">
        <w:rPr>
          <w:rFonts w:hint="eastAsia"/>
        </w:rPr>
        <w:t>之间，硝酸盐浓度在</w:t>
      </w:r>
      <w:r w:rsidRPr="007200BA">
        <w:rPr>
          <w:rFonts w:hint="eastAsia"/>
        </w:rPr>
        <w:t>8.31~8.53mg/L</w:t>
      </w:r>
      <w:r w:rsidRPr="007200BA">
        <w:rPr>
          <w:rFonts w:hint="eastAsia"/>
        </w:rPr>
        <w:t>，溶解性总固体浓度在</w:t>
      </w:r>
      <w:r w:rsidRPr="007200BA">
        <w:rPr>
          <w:rFonts w:hint="eastAsia"/>
        </w:rPr>
        <w:t>414~423mg/L</w:t>
      </w:r>
      <w:r w:rsidRPr="007200BA">
        <w:rPr>
          <w:rFonts w:hint="eastAsia"/>
        </w:rPr>
        <w:t>，菌</w:t>
      </w:r>
      <w:r>
        <w:rPr>
          <w:rFonts w:hint="eastAsia"/>
        </w:rPr>
        <w:t>落总数在</w:t>
      </w:r>
      <w:r>
        <w:rPr>
          <w:rFonts w:hint="eastAsia"/>
        </w:rPr>
        <w:t>17~21</w:t>
      </w:r>
      <w:r>
        <w:rPr>
          <w:rFonts w:hint="eastAsia"/>
        </w:rPr>
        <w:t>（</w:t>
      </w:r>
      <w:r>
        <w:rPr>
          <w:rFonts w:hint="eastAsia"/>
        </w:rPr>
        <w:t>CFU/mL</w:t>
      </w:r>
      <w:r>
        <w:rPr>
          <w:rFonts w:hint="eastAsia"/>
        </w:rPr>
        <w:t>），</w:t>
      </w:r>
      <w:r>
        <w:rPr>
          <w:rFonts w:hint="eastAsia"/>
        </w:rPr>
        <w:t>CO</w:t>
      </w:r>
      <w:r w:rsidRPr="001654C8">
        <w:rPr>
          <w:rFonts w:hint="eastAsia"/>
          <w:vertAlign w:val="subscript"/>
        </w:rPr>
        <w:t>3</w:t>
      </w:r>
      <w:r w:rsidR="001654C8" w:rsidRPr="001654C8">
        <w:rPr>
          <w:rFonts w:hint="eastAsia"/>
          <w:vertAlign w:val="superscript"/>
        </w:rPr>
        <w:t>2-</w:t>
      </w:r>
      <w:r>
        <w:rPr>
          <w:rFonts w:hint="eastAsia"/>
        </w:rPr>
        <w:t>、氰化物、挥发酚、汞、砷、镉、六价铬、铅、亚硝酸盐、总大肠菌群均为未检出。</w:t>
      </w:r>
    </w:p>
    <w:p w14:paraId="7F2393D4" w14:textId="2475CE5B" w:rsidR="00937777" w:rsidRDefault="007200BA" w:rsidP="00937777">
      <w:pPr>
        <w:pStyle w:val="affffff4"/>
      </w:pPr>
      <w:r>
        <w:rPr>
          <w:rFonts w:hint="eastAsia"/>
        </w:rPr>
        <w:t>生产楼北侧</w:t>
      </w:r>
      <w:r>
        <w:rPr>
          <w:rFonts w:hint="eastAsia"/>
        </w:rPr>
        <w:t>10m</w:t>
      </w:r>
      <w:r>
        <w:rPr>
          <w:rFonts w:hint="eastAsia"/>
        </w:rPr>
        <w:t>（厂区中部地下水</w:t>
      </w:r>
      <w:r>
        <w:rPr>
          <w:rFonts w:hint="eastAsia"/>
        </w:rPr>
        <w:t>2#</w:t>
      </w:r>
      <w:r>
        <w:rPr>
          <w:rFonts w:hint="eastAsia"/>
        </w:rPr>
        <w:t>监测井）水质</w:t>
      </w:r>
      <w:r>
        <w:rPr>
          <w:rFonts w:hint="eastAsia"/>
        </w:rPr>
        <w:t>K</w:t>
      </w:r>
      <w:r w:rsidRPr="001654C8">
        <w:rPr>
          <w:rFonts w:hint="eastAsia"/>
          <w:vertAlign w:val="superscript"/>
        </w:rPr>
        <w:t>+</w:t>
      </w:r>
      <w:r>
        <w:rPr>
          <w:rFonts w:hint="eastAsia"/>
        </w:rPr>
        <w:t>浓度在</w:t>
      </w:r>
      <w:r>
        <w:rPr>
          <w:rFonts w:hint="eastAsia"/>
        </w:rPr>
        <w:t>15.5~18.8mg/L</w:t>
      </w:r>
      <w:r>
        <w:rPr>
          <w:rFonts w:hint="eastAsia"/>
        </w:rPr>
        <w:t>，</w:t>
      </w:r>
      <w:r>
        <w:rPr>
          <w:rFonts w:hint="eastAsia"/>
        </w:rPr>
        <w:t>Na</w:t>
      </w:r>
      <w:r w:rsidRPr="001654C8">
        <w:rPr>
          <w:rFonts w:hint="eastAsia"/>
          <w:vertAlign w:val="superscript"/>
        </w:rPr>
        <w:t>+</w:t>
      </w:r>
      <w:r>
        <w:rPr>
          <w:rFonts w:hint="eastAsia"/>
        </w:rPr>
        <w:t>浓度在</w:t>
      </w:r>
      <w:r>
        <w:rPr>
          <w:rFonts w:hint="eastAsia"/>
        </w:rPr>
        <w:t>181~189mg/L</w:t>
      </w:r>
      <w:r>
        <w:rPr>
          <w:rFonts w:hint="eastAsia"/>
        </w:rPr>
        <w:t>，</w:t>
      </w:r>
      <w:r>
        <w:rPr>
          <w:rFonts w:hint="eastAsia"/>
        </w:rPr>
        <w:t>Ca</w:t>
      </w:r>
      <w:r w:rsidRPr="001654C8">
        <w:rPr>
          <w:rFonts w:hint="eastAsia"/>
          <w:vertAlign w:val="superscript"/>
        </w:rPr>
        <w:t>2+</w:t>
      </w:r>
      <w:r>
        <w:rPr>
          <w:rFonts w:hint="eastAsia"/>
        </w:rPr>
        <w:t>浓度在</w:t>
      </w:r>
      <w:r>
        <w:rPr>
          <w:rFonts w:hint="eastAsia"/>
        </w:rPr>
        <w:t>36.7~40.8mg/L</w:t>
      </w:r>
      <w:r>
        <w:rPr>
          <w:rFonts w:hint="eastAsia"/>
        </w:rPr>
        <w:t>，</w:t>
      </w:r>
      <w:r>
        <w:rPr>
          <w:rFonts w:hint="eastAsia"/>
        </w:rPr>
        <w:t>Mg</w:t>
      </w:r>
      <w:r w:rsidRPr="001654C8">
        <w:rPr>
          <w:rFonts w:hint="eastAsia"/>
          <w:vertAlign w:val="superscript"/>
        </w:rPr>
        <w:t>2+</w:t>
      </w:r>
      <w:r w:rsidRPr="007200BA">
        <w:rPr>
          <w:rFonts w:hint="eastAsia"/>
        </w:rPr>
        <w:t>浓度在</w:t>
      </w:r>
      <w:r w:rsidRPr="007200BA">
        <w:rPr>
          <w:rFonts w:hint="eastAsia"/>
        </w:rPr>
        <w:t>23.1~24.3mg/L,HCO</w:t>
      </w:r>
      <w:r w:rsidRPr="001654C8">
        <w:rPr>
          <w:rFonts w:hint="eastAsia"/>
          <w:vertAlign w:val="subscript"/>
        </w:rPr>
        <w:t>3</w:t>
      </w:r>
      <w:r w:rsidR="001654C8" w:rsidRPr="001654C8">
        <w:rPr>
          <w:rFonts w:hint="eastAsia"/>
          <w:vertAlign w:val="superscript"/>
        </w:rPr>
        <w:t>-</w:t>
      </w:r>
      <w:r w:rsidRPr="007200BA">
        <w:rPr>
          <w:rFonts w:hint="eastAsia"/>
        </w:rPr>
        <w:t>浓度在</w:t>
      </w:r>
      <w:r w:rsidRPr="007200BA">
        <w:rPr>
          <w:rFonts w:hint="eastAsia"/>
        </w:rPr>
        <w:t>110~128mg/L</w:t>
      </w:r>
      <w:r w:rsidRPr="007200BA">
        <w:rPr>
          <w:rFonts w:hint="eastAsia"/>
        </w:rPr>
        <w:t>，</w:t>
      </w:r>
      <w:r w:rsidRPr="007200BA">
        <w:rPr>
          <w:rFonts w:hint="eastAsia"/>
        </w:rPr>
        <w:t>Cl</w:t>
      </w:r>
      <w:r w:rsidR="001654C8" w:rsidRPr="001654C8">
        <w:rPr>
          <w:rFonts w:hint="eastAsia"/>
          <w:vertAlign w:val="superscript"/>
        </w:rPr>
        <w:t>-</w:t>
      </w:r>
      <w:r w:rsidRPr="007200BA">
        <w:rPr>
          <w:rFonts w:hint="eastAsia"/>
        </w:rPr>
        <w:t>浓度在</w:t>
      </w:r>
      <w:r w:rsidRPr="007200BA">
        <w:rPr>
          <w:rFonts w:hint="eastAsia"/>
        </w:rPr>
        <w:t>47.6~48.3mg/L</w:t>
      </w:r>
      <w:r w:rsidRPr="007200BA">
        <w:rPr>
          <w:rFonts w:hint="eastAsia"/>
        </w:rPr>
        <w:t>，</w:t>
      </w:r>
      <w:r w:rsidRPr="007200BA">
        <w:rPr>
          <w:rFonts w:hint="eastAsia"/>
        </w:rPr>
        <w:t>SO</w:t>
      </w:r>
      <w:r w:rsidRPr="001654C8">
        <w:rPr>
          <w:rFonts w:hint="eastAsia"/>
          <w:vertAlign w:val="subscript"/>
        </w:rPr>
        <w:t>4</w:t>
      </w:r>
      <w:r w:rsidRPr="001654C8">
        <w:rPr>
          <w:rFonts w:hint="eastAsia"/>
          <w:vertAlign w:val="superscript"/>
        </w:rPr>
        <w:t>2-</w:t>
      </w:r>
      <w:r w:rsidRPr="007200BA">
        <w:rPr>
          <w:rFonts w:hint="eastAsia"/>
        </w:rPr>
        <w:t>浓度在</w:t>
      </w:r>
      <w:r w:rsidRPr="007200BA">
        <w:rPr>
          <w:rFonts w:hint="eastAsia"/>
        </w:rPr>
        <w:t>22.0~22.1mg/L</w:t>
      </w:r>
      <w:r w:rsidRPr="007200BA">
        <w:rPr>
          <w:rFonts w:hint="eastAsia"/>
        </w:rPr>
        <w:t>，</w:t>
      </w:r>
      <w:r w:rsidRPr="007200BA">
        <w:rPr>
          <w:rFonts w:hint="eastAsia"/>
        </w:rPr>
        <w:t>pH</w:t>
      </w:r>
      <w:r w:rsidRPr="007200BA">
        <w:rPr>
          <w:rFonts w:hint="eastAsia"/>
        </w:rPr>
        <w:t>在</w:t>
      </w:r>
      <w:r w:rsidRPr="007200BA">
        <w:rPr>
          <w:rFonts w:hint="eastAsia"/>
        </w:rPr>
        <w:lastRenderedPageBreak/>
        <w:t>7.4~7.5</w:t>
      </w:r>
      <w:r w:rsidRPr="007200BA">
        <w:rPr>
          <w:rFonts w:hint="eastAsia"/>
        </w:rPr>
        <w:t>（无量纲），总硬度在</w:t>
      </w:r>
      <w:r w:rsidRPr="007200BA">
        <w:rPr>
          <w:rFonts w:hint="eastAsia"/>
        </w:rPr>
        <w:t>218~230mg/L</w:t>
      </w:r>
      <w:r w:rsidRPr="007200BA">
        <w:rPr>
          <w:rFonts w:hint="eastAsia"/>
        </w:rPr>
        <w:t>，氨氮的浓度在</w:t>
      </w:r>
      <w:r w:rsidRPr="007200BA">
        <w:rPr>
          <w:rFonts w:hint="eastAsia"/>
        </w:rPr>
        <w:t>0.322~0.345mg/L,</w:t>
      </w:r>
      <w:r w:rsidRPr="007200BA">
        <w:rPr>
          <w:rFonts w:hint="eastAsia"/>
        </w:rPr>
        <w:t>氟化物浓度在</w:t>
      </w:r>
      <w:r w:rsidRPr="007200BA">
        <w:rPr>
          <w:rFonts w:hint="eastAsia"/>
        </w:rPr>
        <w:t>0.764~0.822mg/L</w:t>
      </w:r>
      <w:r w:rsidRPr="007200BA">
        <w:rPr>
          <w:rFonts w:hint="eastAsia"/>
        </w:rPr>
        <w:t>，耗氧量浓度在</w:t>
      </w:r>
      <w:r w:rsidRPr="007200BA">
        <w:rPr>
          <w:rFonts w:hint="eastAsia"/>
        </w:rPr>
        <w:t>2.3~2.5mg/L</w:t>
      </w:r>
      <w:r w:rsidRPr="007200BA">
        <w:rPr>
          <w:rFonts w:hint="eastAsia"/>
        </w:rPr>
        <w:t>，铁的浓度在</w:t>
      </w:r>
      <w:r w:rsidRPr="007200BA">
        <w:rPr>
          <w:rFonts w:hint="eastAsia"/>
        </w:rPr>
        <w:t>0.05~0.07mg/L,</w:t>
      </w:r>
      <w:r w:rsidRPr="007200BA">
        <w:rPr>
          <w:rFonts w:hint="eastAsia"/>
        </w:rPr>
        <w:t>锰的浓度在</w:t>
      </w:r>
      <w:r w:rsidRPr="007200BA">
        <w:rPr>
          <w:rFonts w:hint="eastAsia"/>
        </w:rPr>
        <w:t>0.05~0.07mg/L,</w:t>
      </w:r>
      <w:r w:rsidRPr="007200BA">
        <w:rPr>
          <w:rFonts w:hint="eastAsia"/>
        </w:rPr>
        <w:t>硝酸盐浓度在</w:t>
      </w:r>
      <w:r w:rsidRPr="007200BA">
        <w:rPr>
          <w:rFonts w:hint="eastAsia"/>
        </w:rPr>
        <w:t>9.74~0.</w:t>
      </w:r>
      <w:r w:rsidR="00937777" w:rsidRPr="00937777">
        <w:rPr>
          <w:rFonts w:hint="eastAsia"/>
        </w:rPr>
        <w:t>9.89mg/L</w:t>
      </w:r>
      <w:r w:rsidR="00937777" w:rsidRPr="00937777">
        <w:rPr>
          <w:rFonts w:hint="eastAsia"/>
        </w:rPr>
        <w:t>，溶解性总固体浓度在</w:t>
      </w:r>
      <w:r w:rsidR="00937777" w:rsidRPr="00937777">
        <w:rPr>
          <w:rFonts w:hint="eastAsia"/>
        </w:rPr>
        <w:t>481~496mg/L</w:t>
      </w:r>
      <w:r w:rsidR="00937777" w:rsidRPr="00937777">
        <w:rPr>
          <w:rFonts w:hint="eastAsia"/>
        </w:rPr>
        <w:t>，菌落总数在</w:t>
      </w:r>
      <w:r w:rsidR="00937777" w:rsidRPr="00937777">
        <w:rPr>
          <w:rFonts w:hint="eastAsia"/>
        </w:rPr>
        <w:t>23~26</w:t>
      </w:r>
      <w:r w:rsidR="00937777" w:rsidRPr="00937777">
        <w:rPr>
          <w:rFonts w:hint="eastAsia"/>
        </w:rPr>
        <w:t>（</w:t>
      </w:r>
      <w:r w:rsidR="00937777" w:rsidRPr="00937777">
        <w:rPr>
          <w:rFonts w:hint="eastAsia"/>
        </w:rPr>
        <w:t>CFU/mL</w:t>
      </w:r>
      <w:r w:rsidR="00937777" w:rsidRPr="00937777">
        <w:rPr>
          <w:rFonts w:hint="eastAsia"/>
        </w:rPr>
        <w:t>），</w:t>
      </w:r>
      <w:r w:rsidR="00937777">
        <w:rPr>
          <w:rFonts w:hint="eastAsia"/>
        </w:rPr>
        <w:t>CO</w:t>
      </w:r>
      <w:r w:rsidR="00937777" w:rsidRPr="001654C8">
        <w:rPr>
          <w:rFonts w:hint="eastAsia"/>
          <w:vertAlign w:val="subscript"/>
        </w:rPr>
        <w:t>3</w:t>
      </w:r>
      <w:r w:rsidR="00937777" w:rsidRPr="001654C8">
        <w:rPr>
          <w:rFonts w:hint="eastAsia"/>
          <w:vertAlign w:val="superscript"/>
        </w:rPr>
        <w:t>2-</w:t>
      </w:r>
      <w:r w:rsidR="00937777">
        <w:rPr>
          <w:rFonts w:hint="eastAsia"/>
        </w:rPr>
        <w:t>、氰化物、挥发酚、汞、砷、镉、六价铬、铅、亚硝酸盐、总大肠菌群均为未检出。</w:t>
      </w:r>
    </w:p>
    <w:p w14:paraId="5E4830B9" w14:textId="3634455A" w:rsidR="007200BA" w:rsidRDefault="00937777" w:rsidP="00937777">
      <w:pPr>
        <w:pStyle w:val="affffff4"/>
        <w:rPr>
          <w:highlight w:val="yellow"/>
        </w:rPr>
      </w:pPr>
      <w:r>
        <w:rPr>
          <w:rFonts w:hint="eastAsia"/>
        </w:rPr>
        <w:t>厂区内栈桥南侧</w:t>
      </w:r>
      <w:r>
        <w:rPr>
          <w:rFonts w:hint="eastAsia"/>
        </w:rPr>
        <w:t>9m</w:t>
      </w:r>
      <w:r>
        <w:rPr>
          <w:rFonts w:hint="eastAsia"/>
        </w:rPr>
        <w:t>处（厂区西南侧地下水</w:t>
      </w:r>
      <w:r>
        <w:rPr>
          <w:rFonts w:hint="eastAsia"/>
        </w:rPr>
        <w:t>3#</w:t>
      </w:r>
      <w:r>
        <w:rPr>
          <w:rFonts w:hint="eastAsia"/>
        </w:rPr>
        <w:t>监测井）水质</w:t>
      </w:r>
      <w:r>
        <w:rPr>
          <w:rFonts w:hint="eastAsia"/>
        </w:rPr>
        <w:t>K</w:t>
      </w:r>
      <w:r w:rsidRPr="001654C8">
        <w:rPr>
          <w:rFonts w:hint="eastAsia"/>
          <w:vertAlign w:val="superscript"/>
        </w:rPr>
        <w:t>+</w:t>
      </w:r>
      <w:r>
        <w:rPr>
          <w:rFonts w:hint="eastAsia"/>
        </w:rPr>
        <w:t>浓度在</w:t>
      </w:r>
      <w:r>
        <w:rPr>
          <w:rFonts w:hint="eastAsia"/>
        </w:rPr>
        <w:t>19.3~22.1mg/L</w:t>
      </w:r>
      <w:r>
        <w:rPr>
          <w:rFonts w:hint="eastAsia"/>
        </w:rPr>
        <w:t>，</w:t>
      </w:r>
      <w:r>
        <w:rPr>
          <w:rFonts w:hint="eastAsia"/>
        </w:rPr>
        <w:t>Na</w:t>
      </w:r>
      <w:r w:rsidRPr="001654C8">
        <w:rPr>
          <w:rFonts w:hint="eastAsia"/>
          <w:vertAlign w:val="superscript"/>
        </w:rPr>
        <w:t>+</w:t>
      </w:r>
      <w:r>
        <w:rPr>
          <w:rFonts w:hint="eastAsia"/>
        </w:rPr>
        <w:t>浓度在</w:t>
      </w:r>
      <w:r>
        <w:rPr>
          <w:rFonts w:hint="eastAsia"/>
        </w:rPr>
        <w:t>138~150mg/L</w:t>
      </w:r>
      <w:r>
        <w:rPr>
          <w:rFonts w:hint="eastAsia"/>
        </w:rPr>
        <w:t>，</w:t>
      </w:r>
      <w:r>
        <w:rPr>
          <w:rFonts w:hint="eastAsia"/>
        </w:rPr>
        <w:t>Ca</w:t>
      </w:r>
      <w:r w:rsidRPr="001654C8">
        <w:rPr>
          <w:rFonts w:hint="eastAsia"/>
          <w:vertAlign w:val="superscript"/>
        </w:rPr>
        <w:t>2+</w:t>
      </w:r>
      <w:r>
        <w:rPr>
          <w:rFonts w:hint="eastAsia"/>
        </w:rPr>
        <w:t>浓度在</w:t>
      </w:r>
      <w:r>
        <w:rPr>
          <w:rFonts w:hint="eastAsia"/>
        </w:rPr>
        <w:t>43.2~48.9mg/L</w:t>
      </w:r>
      <w:r>
        <w:rPr>
          <w:rFonts w:hint="eastAsia"/>
        </w:rPr>
        <w:t>，</w:t>
      </w:r>
      <w:r>
        <w:rPr>
          <w:rFonts w:hint="eastAsia"/>
        </w:rPr>
        <w:t>Mg</w:t>
      </w:r>
      <w:r w:rsidRPr="001654C8">
        <w:rPr>
          <w:rFonts w:hint="eastAsia"/>
          <w:vertAlign w:val="superscript"/>
        </w:rPr>
        <w:t>2+</w:t>
      </w:r>
      <w:r>
        <w:rPr>
          <w:rFonts w:hint="eastAsia"/>
        </w:rPr>
        <w:t>浓度在</w:t>
      </w:r>
      <w:r>
        <w:rPr>
          <w:rFonts w:hint="eastAsia"/>
        </w:rPr>
        <w:t>23.0~23.7mg/L,HCO</w:t>
      </w:r>
      <w:r w:rsidRPr="001654C8">
        <w:rPr>
          <w:rFonts w:hint="eastAsia"/>
          <w:vertAlign w:val="subscript"/>
        </w:rPr>
        <w:t>3</w:t>
      </w:r>
      <w:r w:rsidRPr="001654C8">
        <w:rPr>
          <w:rFonts w:hint="eastAsia"/>
          <w:vertAlign w:val="superscript"/>
        </w:rPr>
        <w:t>-</w:t>
      </w:r>
      <w:r>
        <w:rPr>
          <w:rFonts w:hint="eastAsia"/>
        </w:rPr>
        <w:t>浓度在</w:t>
      </w:r>
      <w:r>
        <w:rPr>
          <w:rFonts w:hint="eastAsia"/>
        </w:rPr>
        <w:t>109~126mg/L</w:t>
      </w:r>
      <w:r>
        <w:rPr>
          <w:rFonts w:hint="eastAsia"/>
        </w:rPr>
        <w:t>，</w:t>
      </w:r>
      <w:r>
        <w:rPr>
          <w:rFonts w:hint="eastAsia"/>
        </w:rPr>
        <w:t>Cl</w:t>
      </w:r>
      <w:r w:rsidRPr="001654C8">
        <w:rPr>
          <w:rFonts w:hint="eastAsia"/>
          <w:vertAlign w:val="superscript"/>
        </w:rPr>
        <w:t>-</w:t>
      </w:r>
      <w:r>
        <w:rPr>
          <w:rFonts w:hint="eastAsia"/>
        </w:rPr>
        <w:t>浓度在</w:t>
      </w:r>
      <w:r>
        <w:rPr>
          <w:rFonts w:hint="eastAsia"/>
        </w:rPr>
        <w:t>38.0~38.6m</w:t>
      </w:r>
      <w:r w:rsidRPr="00937777">
        <w:rPr>
          <w:rFonts w:hint="eastAsia"/>
        </w:rPr>
        <w:t>g/L</w:t>
      </w:r>
      <w:r w:rsidRPr="00937777">
        <w:rPr>
          <w:rFonts w:hint="eastAsia"/>
        </w:rPr>
        <w:t>，</w:t>
      </w:r>
      <w:r w:rsidRPr="00937777">
        <w:rPr>
          <w:rFonts w:hint="eastAsia"/>
        </w:rPr>
        <w:t>SO</w:t>
      </w:r>
      <w:r w:rsidRPr="001654C8">
        <w:rPr>
          <w:rFonts w:hint="eastAsia"/>
          <w:vertAlign w:val="subscript"/>
        </w:rPr>
        <w:t>4</w:t>
      </w:r>
      <w:r w:rsidR="001654C8" w:rsidRPr="001654C8">
        <w:rPr>
          <w:rFonts w:hint="eastAsia"/>
          <w:vertAlign w:val="superscript"/>
        </w:rPr>
        <w:t>2-</w:t>
      </w:r>
      <w:r w:rsidRPr="00937777">
        <w:rPr>
          <w:rFonts w:hint="eastAsia"/>
        </w:rPr>
        <w:t>浓度在</w:t>
      </w:r>
      <w:r w:rsidRPr="00937777">
        <w:rPr>
          <w:rFonts w:hint="eastAsia"/>
        </w:rPr>
        <w:t>19.6~19.8mg/L</w:t>
      </w:r>
      <w:r w:rsidRPr="00937777">
        <w:rPr>
          <w:rFonts w:hint="eastAsia"/>
        </w:rPr>
        <w:t>，</w:t>
      </w:r>
      <w:r w:rsidRPr="00937777">
        <w:rPr>
          <w:rFonts w:hint="eastAsia"/>
        </w:rPr>
        <w:t>pH</w:t>
      </w:r>
      <w:r w:rsidRPr="00937777">
        <w:rPr>
          <w:rFonts w:hint="eastAsia"/>
        </w:rPr>
        <w:t>在</w:t>
      </w:r>
      <w:r w:rsidRPr="00937777">
        <w:rPr>
          <w:rFonts w:hint="eastAsia"/>
        </w:rPr>
        <w:t>7.5~7.6</w:t>
      </w:r>
      <w:r w:rsidRPr="00937777">
        <w:rPr>
          <w:rFonts w:hint="eastAsia"/>
        </w:rPr>
        <w:t>（无量纲），总硬度在</w:t>
      </w:r>
      <w:r w:rsidRPr="00937777">
        <w:rPr>
          <w:rFonts w:hint="eastAsia"/>
        </w:rPr>
        <w:t>181~186mg/L</w:t>
      </w:r>
      <w:r w:rsidRPr="00937777">
        <w:rPr>
          <w:rFonts w:hint="eastAsia"/>
        </w:rPr>
        <w:t>，氨氮的浓度在</w:t>
      </w:r>
      <w:r w:rsidRPr="00937777">
        <w:rPr>
          <w:rFonts w:hint="eastAsia"/>
        </w:rPr>
        <w:t>0.381~0.392mg/L,</w:t>
      </w:r>
      <w:r w:rsidRPr="00937777">
        <w:rPr>
          <w:rFonts w:hint="eastAsia"/>
        </w:rPr>
        <w:t>氟化物浓度在</w:t>
      </w:r>
      <w:r w:rsidRPr="00937777">
        <w:rPr>
          <w:rFonts w:hint="eastAsia"/>
        </w:rPr>
        <w:t>0.681~0.705mg/L</w:t>
      </w:r>
      <w:r w:rsidRPr="00937777">
        <w:rPr>
          <w:rFonts w:hint="eastAsia"/>
        </w:rPr>
        <w:t>，耗氧量浓度在</w:t>
      </w:r>
      <w:r w:rsidRPr="00937777">
        <w:rPr>
          <w:rFonts w:hint="eastAsia"/>
        </w:rPr>
        <w:t>1.2~1.4mg/L</w:t>
      </w:r>
      <w:r w:rsidRPr="00937777">
        <w:rPr>
          <w:rFonts w:hint="eastAsia"/>
        </w:rPr>
        <w:t>，硝酸盐浓度在</w:t>
      </w:r>
      <w:r w:rsidRPr="00937777">
        <w:rPr>
          <w:rFonts w:hint="eastAsia"/>
        </w:rPr>
        <w:t>8.83~8.95mg/L</w:t>
      </w:r>
      <w:r w:rsidRPr="00937777">
        <w:rPr>
          <w:rFonts w:hint="eastAsia"/>
        </w:rPr>
        <w:t>，铁的浓度在</w:t>
      </w:r>
      <w:r w:rsidRPr="00937777">
        <w:rPr>
          <w:rFonts w:hint="eastAsia"/>
        </w:rPr>
        <w:t>0.05~0.07mg/L,</w:t>
      </w:r>
      <w:r w:rsidRPr="00937777">
        <w:rPr>
          <w:rFonts w:hint="eastAsia"/>
        </w:rPr>
        <w:t>锰的浓度在</w:t>
      </w:r>
      <w:r w:rsidRPr="00937777">
        <w:rPr>
          <w:rFonts w:hint="eastAsia"/>
        </w:rPr>
        <w:t>0.06~0.07mg/L,</w:t>
      </w:r>
      <w:r w:rsidRPr="00937777">
        <w:rPr>
          <w:rFonts w:hint="eastAsia"/>
        </w:rPr>
        <w:t>溶解性总固体浓度在</w:t>
      </w:r>
      <w:r w:rsidRPr="00937777">
        <w:rPr>
          <w:rFonts w:hint="eastAsia"/>
        </w:rPr>
        <w:t>445~458mg/L</w:t>
      </w:r>
      <w:r w:rsidRPr="00937777">
        <w:rPr>
          <w:rFonts w:hint="eastAsia"/>
        </w:rPr>
        <w:t>，菌落总数在</w:t>
      </w:r>
      <w:r w:rsidRPr="00937777">
        <w:rPr>
          <w:rFonts w:hint="eastAsia"/>
        </w:rPr>
        <w:t>24~28</w:t>
      </w:r>
      <w:r w:rsidRPr="00937777">
        <w:rPr>
          <w:rFonts w:hint="eastAsia"/>
        </w:rPr>
        <w:t>（</w:t>
      </w:r>
      <w:r w:rsidRPr="00937777">
        <w:rPr>
          <w:rFonts w:hint="eastAsia"/>
        </w:rPr>
        <w:t>CFU/</w:t>
      </w:r>
      <w:r>
        <w:rPr>
          <w:rFonts w:hint="eastAsia"/>
        </w:rPr>
        <w:t>mL</w:t>
      </w:r>
      <w:r>
        <w:rPr>
          <w:rFonts w:hint="eastAsia"/>
        </w:rPr>
        <w:t>），</w:t>
      </w:r>
      <w:r>
        <w:rPr>
          <w:rFonts w:hint="eastAsia"/>
        </w:rPr>
        <w:t>CO</w:t>
      </w:r>
      <w:r w:rsidRPr="001654C8">
        <w:rPr>
          <w:rFonts w:hint="eastAsia"/>
          <w:vertAlign w:val="subscript"/>
        </w:rPr>
        <w:t>3</w:t>
      </w:r>
      <w:r w:rsidRPr="001654C8">
        <w:rPr>
          <w:rFonts w:hint="eastAsia"/>
          <w:vertAlign w:val="superscript"/>
        </w:rPr>
        <w:t>2-</w:t>
      </w:r>
      <w:r>
        <w:rPr>
          <w:rFonts w:hint="eastAsia"/>
        </w:rPr>
        <w:t>、</w:t>
      </w:r>
      <w:r w:rsidRPr="00937777">
        <w:rPr>
          <w:rFonts w:hint="eastAsia"/>
        </w:rPr>
        <w:t>氰化物、挥发酚、汞、砷、镉、六价铬、铅、亚硝酸盐、总大肠菌群均为未检出。</w:t>
      </w:r>
    </w:p>
    <w:p w14:paraId="4E6E0194" w14:textId="11B505AA" w:rsidR="00937777" w:rsidRDefault="00937777" w:rsidP="00937777">
      <w:pPr>
        <w:pStyle w:val="affffff4"/>
      </w:pPr>
      <w:r w:rsidRPr="00937777">
        <w:rPr>
          <w:rFonts w:hint="eastAsia"/>
        </w:rPr>
        <w:t>厂区东北红旗二村（</w:t>
      </w:r>
      <w:r w:rsidRPr="00937777">
        <w:rPr>
          <w:rFonts w:hint="eastAsia"/>
        </w:rPr>
        <w:t>DL02</w:t>
      </w:r>
      <w:r w:rsidRPr="00937777">
        <w:rPr>
          <w:rFonts w:hint="eastAsia"/>
        </w:rPr>
        <w:t>）监测井水质</w:t>
      </w:r>
      <w:r w:rsidRPr="00937777">
        <w:rPr>
          <w:rFonts w:hint="eastAsia"/>
        </w:rPr>
        <w:t>K</w:t>
      </w:r>
      <w:r w:rsidRPr="001654C8">
        <w:rPr>
          <w:rFonts w:hint="eastAsia"/>
          <w:vertAlign w:val="superscript"/>
        </w:rPr>
        <w:t>+</w:t>
      </w:r>
      <w:r w:rsidRPr="00937777">
        <w:rPr>
          <w:rFonts w:hint="eastAsia"/>
        </w:rPr>
        <w:t>浓度在</w:t>
      </w:r>
      <w:r w:rsidRPr="00937777">
        <w:rPr>
          <w:rFonts w:hint="eastAsia"/>
        </w:rPr>
        <w:t>1.54~1.63mg/L</w:t>
      </w:r>
      <w:r w:rsidRPr="00937777">
        <w:rPr>
          <w:rFonts w:hint="eastAsia"/>
        </w:rPr>
        <w:t>，</w:t>
      </w:r>
      <w:r w:rsidRPr="00937777">
        <w:rPr>
          <w:rFonts w:hint="eastAsia"/>
        </w:rPr>
        <w:t>Na</w:t>
      </w:r>
      <w:r w:rsidRPr="001654C8">
        <w:rPr>
          <w:rFonts w:hint="eastAsia"/>
          <w:vertAlign w:val="superscript"/>
        </w:rPr>
        <w:t>+</w:t>
      </w:r>
      <w:r w:rsidRPr="00937777">
        <w:rPr>
          <w:rFonts w:hint="eastAsia"/>
        </w:rPr>
        <w:t>浓度在</w:t>
      </w:r>
      <w:r w:rsidRPr="00937777">
        <w:rPr>
          <w:rFonts w:hint="eastAsia"/>
        </w:rPr>
        <w:t>163~168mg/L</w:t>
      </w:r>
      <w:r w:rsidRPr="00937777">
        <w:rPr>
          <w:rFonts w:hint="eastAsia"/>
        </w:rPr>
        <w:t>，</w:t>
      </w:r>
      <w:r w:rsidRPr="00937777">
        <w:rPr>
          <w:rFonts w:hint="eastAsia"/>
        </w:rPr>
        <w:t>Ca</w:t>
      </w:r>
      <w:r w:rsidRPr="001654C8">
        <w:rPr>
          <w:rFonts w:hint="eastAsia"/>
          <w:vertAlign w:val="superscript"/>
        </w:rPr>
        <w:t>2+</w:t>
      </w:r>
      <w:r w:rsidRPr="00937777">
        <w:rPr>
          <w:rFonts w:hint="eastAsia"/>
        </w:rPr>
        <w:t>浓度在</w:t>
      </w:r>
      <w:r w:rsidRPr="00937777">
        <w:rPr>
          <w:rFonts w:hint="eastAsia"/>
        </w:rPr>
        <w:t>27.7~33.4mg/L</w:t>
      </w:r>
      <w:r w:rsidRPr="00937777">
        <w:rPr>
          <w:rFonts w:hint="eastAsia"/>
        </w:rPr>
        <w:t>，</w:t>
      </w:r>
      <w:r w:rsidRPr="00937777">
        <w:rPr>
          <w:rFonts w:hint="eastAsia"/>
        </w:rPr>
        <w:t>Mg</w:t>
      </w:r>
      <w:r w:rsidRPr="001654C8">
        <w:rPr>
          <w:rFonts w:hint="eastAsia"/>
          <w:vertAlign w:val="superscript"/>
        </w:rPr>
        <w:t>2+</w:t>
      </w:r>
      <w:r w:rsidRPr="00937777">
        <w:rPr>
          <w:rFonts w:hint="eastAsia"/>
        </w:rPr>
        <w:t>浓度在</w:t>
      </w:r>
      <w:r w:rsidRPr="00937777">
        <w:rPr>
          <w:rFonts w:hint="eastAsia"/>
        </w:rPr>
        <w:t>17.0~17.9mg/L,HCO</w:t>
      </w:r>
      <w:r w:rsidRPr="001654C8">
        <w:rPr>
          <w:rFonts w:hint="eastAsia"/>
          <w:vertAlign w:val="subscript"/>
        </w:rPr>
        <w:t>3</w:t>
      </w:r>
      <w:r w:rsidR="001654C8" w:rsidRPr="001654C8">
        <w:rPr>
          <w:rFonts w:hint="eastAsia"/>
          <w:vertAlign w:val="superscript"/>
        </w:rPr>
        <w:t>-</w:t>
      </w:r>
      <w:r w:rsidRPr="00937777">
        <w:rPr>
          <w:rFonts w:hint="eastAsia"/>
        </w:rPr>
        <w:t>浓度在</w:t>
      </w:r>
      <w:r w:rsidRPr="00937777">
        <w:rPr>
          <w:rFonts w:hint="eastAsia"/>
        </w:rPr>
        <w:t>124~147mg/L</w:t>
      </w:r>
      <w:r w:rsidRPr="00937777">
        <w:rPr>
          <w:rFonts w:hint="eastAsia"/>
        </w:rPr>
        <w:t>，</w:t>
      </w:r>
      <w:r w:rsidRPr="00937777">
        <w:rPr>
          <w:rFonts w:hint="eastAsia"/>
        </w:rPr>
        <w:t>Cl</w:t>
      </w:r>
      <w:r w:rsidR="001654C8" w:rsidRPr="001654C8">
        <w:rPr>
          <w:rFonts w:hint="eastAsia"/>
          <w:vertAlign w:val="superscript"/>
        </w:rPr>
        <w:t>-</w:t>
      </w:r>
      <w:r w:rsidRPr="00937777">
        <w:rPr>
          <w:rFonts w:hint="eastAsia"/>
        </w:rPr>
        <w:t>浓度在</w:t>
      </w:r>
      <w:r w:rsidRPr="00937777">
        <w:rPr>
          <w:rFonts w:hint="eastAsia"/>
        </w:rPr>
        <w:t>38.3~39.9mg/L</w:t>
      </w:r>
      <w:r w:rsidRPr="00937777">
        <w:rPr>
          <w:rFonts w:hint="eastAsia"/>
        </w:rPr>
        <w:t>，</w:t>
      </w:r>
      <w:r w:rsidRPr="00937777">
        <w:rPr>
          <w:rFonts w:hint="eastAsia"/>
        </w:rPr>
        <w:t>SO</w:t>
      </w:r>
      <w:r w:rsidRPr="001654C8">
        <w:rPr>
          <w:rFonts w:hint="eastAsia"/>
          <w:vertAlign w:val="subscript"/>
        </w:rPr>
        <w:t>4</w:t>
      </w:r>
      <w:r w:rsidRPr="001654C8">
        <w:rPr>
          <w:rFonts w:hint="eastAsia"/>
          <w:vertAlign w:val="superscript"/>
        </w:rPr>
        <w:t>2-</w:t>
      </w:r>
      <w:r w:rsidRPr="00937777">
        <w:rPr>
          <w:rFonts w:hint="eastAsia"/>
        </w:rPr>
        <w:t>浓度在</w:t>
      </w:r>
      <w:r w:rsidRPr="00937777">
        <w:rPr>
          <w:rFonts w:hint="eastAsia"/>
        </w:rPr>
        <w:t>2.75~2.87mg/L</w:t>
      </w:r>
      <w:r w:rsidRPr="00937777">
        <w:rPr>
          <w:rFonts w:hint="eastAsia"/>
        </w:rPr>
        <w:t>，</w:t>
      </w:r>
      <w:r w:rsidRPr="00937777">
        <w:rPr>
          <w:rFonts w:hint="eastAsia"/>
        </w:rPr>
        <w:t>pH</w:t>
      </w:r>
      <w:r w:rsidRPr="00937777">
        <w:rPr>
          <w:rFonts w:hint="eastAsia"/>
        </w:rPr>
        <w:t>在</w:t>
      </w:r>
      <w:r w:rsidRPr="00937777">
        <w:rPr>
          <w:rFonts w:hint="eastAsia"/>
        </w:rPr>
        <w:t>7.4~7.5</w:t>
      </w:r>
      <w:r w:rsidRPr="00937777">
        <w:rPr>
          <w:rFonts w:hint="eastAsia"/>
        </w:rPr>
        <w:t>（无量纲），总硬度在</w:t>
      </w:r>
      <w:r w:rsidRPr="00937777">
        <w:rPr>
          <w:rFonts w:hint="eastAsia"/>
        </w:rPr>
        <w:t>185~191mg/L</w:t>
      </w:r>
      <w:r w:rsidRPr="00937777">
        <w:rPr>
          <w:rFonts w:hint="eastAsia"/>
        </w:rPr>
        <w:t>，氨氮的浓度在</w:t>
      </w:r>
      <w:r w:rsidRPr="00937777">
        <w:rPr>
          <w:rFonts w:hint="eastAsia"/>
        </w:rPr>
        <w:t>0.090~0.098mg/L,</w:t>
      </w:r>
      <w:r w:rsidRPr="00937777">
        <w:rPr>
          <w:rFonts w:hint="eastAsia"/>
        </w:rPr>
        <w:t>氟化物浓度在</w:t>
      </w:r>
      <w:r w:rsidRPr="00937777">
        <w:rPr>
          <w:rFonts w:hint="eastAsia"/>
        </w:rPr>
        <w:t>0.267~0.282mg/L</w:t>
      </w:r>
      <w:r w:rsidRPr="00937777">
        <w:rPr>
          <w:rFonts w:hint="eastAsia"/>
        </w:rPr>
        <w:t>，耗氧量浓度在</w:t>
      </w:r>
      <w:r w:rsidRPr="00937777">
        <w:rPr>
          <w:rFonts w:hint="eastAsia"/>
        </w:rPr>
        <w:t>1.7~2.0mg/L</w:t>
      </w:r>
      <w:r w:rsidRPr="00937777">
        <w:rPr>
          <w:rFonts w:hint="eastAsia"/>
        </w:rPr>
        <w:t>，硝酸盐浓度在</w:t>
      </w:r>
      <w:r w:rsidRPr="00937777">
        <w:rPr>
          <w:rFonts w:hint="eastAsia"/>
        </w:rPr>
        <w:t>1.27~1.35mg/L</w:t>
      </w:r>
      <w:r w:rsidRPr="00937777">
        <w:rPr>
          <w:rFonts w:hint="eastAsia"/>
        </w:rPr>
        <w:t>之间，溶解性总固体浓度在</w:t>
      </w:r>
      <w:r w:rsidRPr="00937777">
        <w:rPr>
          <w:rFonts w:hint="eastAsia"/>
        </w:rPr>
        <w:t>418~421mg/L</w:t>
      </w:r>
      <w:r w:rsidRPr="00937777">
        <w:rPr>
          <w:rFonts w:hint="eastAsia"/>
        </w:rPr>
        <w:t>，菌落总数在</w:t>
      </w:r>
      <w:r w:rsidRPr="00937777">
        <w:rPr>
          <w:rFonts w:hint="eastAsia"/>
        </w:rPr>
        <w:t>2</w:t>
      </w:r>
      <w:r>
        <w:rPr>
          <w:rFonts w:hint="eastAsia"/>
        </w:rPr>
        <w:t>0~25</w:t>
      </w:r>
      <w:r>
        <w:rPr>
          <w:rFonts w:hint="eastAsia"/>
        </w:rPr>
        <w:t>（</w:t>
      </w:r>
      <w:r>
        <w:rPr>
          <w:rFonts w:hint="eastAsia"/>
        </w:rPr>
        <w:t>CFU/mL</w:t>
      </w:r>
      <w:r>
        <w:rPr>
          <w:rFonts w:hint="eastAsia"/>
        </w:rPr>
        <w:t>），</w:t>
      </w:r>
      <w:r>
        <w:rPr>
          <w:rFonts w:hint="eastAsia"/>
        </w:rPr>
        <w:t>CO</w:t>
      </w:r>
      <w:r w:rsidRPr="00407577">
        <w:rPr>
          <w:rFonts w:hint="eastAsia"/>
          <w:vertAlign w:val="subscript"/>
        </w:rPr>
        <w:t>3</w:t>
      </w:r>
      <w:r w:rsidR="00407577" w:rsidRPr="00407577">
        <w:rPr>
          <w:rFonts w:hint="eastAsia"/>
          <w:vertAlign w:val="superscript"/>
        </w:rPr>
        <w:t>2-</w:t>
      </w:r>
      <w:r>
        <w:rPr>
          <w:rFonts w:hint="eastAsia"/>
        </w:rPr>
        <w:t>、氰化物、挥发酚、汞、砷、镉、六价铬、铁、锰、铅、亚硝酸盐、总大肠菌群均为未检出。</w:t>
      </w:r>
    </w:p>
    <w:p w14:paraId="5C9AB514" w14:textId="4BAE7B58" w:rsidR="007200BA" w:rsidRDefault="00937777" w:rsidP="00937777">
      <w:pPr>
        <w:pStyle w:val="affffff4"/>
        <w:rPr>
          <w:highlight w:val="yellow"/>
        </w:rPr>
      </w:pPr>
      <w:r>
        <w:rPr>
          <w:rFonts w:hint="eastAsia"/>
        </w:rPr>
        <w:t>三胜屯（</w:t>
      </w:r>
      <w:r>
        <w:rPr>
          <w:rFonts w:hint="eastAsia"/>
        </w:rPr>
        <w:t>DL03</w:t>
      </w:r>
      <w:r>
        <w:rPr>
          <w:rFonts w:hint="eastAsia"/>
        </w:rPr>
        <w:t>）监测井水质</w:t>
      </w:r>
      <w:r>
        <w:rPr>
          <w:rFonts w:hint="eastAsia"/>
        </w:rPr>
        <w:t>K</w:t>
      </w:r>
      <w:r w:rsidRPr="00407577">
        <w:rPr>
          <w:rFonts w:hint="eastAsia"/>
          <w:vertAlign w:val="superscript"/>
        </w:rPr>
        <w:t>+</w:t>
      </w:r>
      <w:r>
        <w:rPr>
          <w:rFonts w:hint="eastAsia"/>
        </w:rPr>
        <w:t>浓度在</w:t>
      </w:r>
      <w:r>
        <w:rPr>
          <w:rFonts w:hint="eastAsia"/>
        </w:rPr>
        <w:t>1.35~1.47mg/L</w:t>
      </w:r>
      <w:r>
        <w:rPr>
          <w:rFonts w:hint="eastAsia"/>
        </w:rPr>
        <w:t>，</w:t>
      </w:r>
      <w:r>
        <w:rPr>
          <w:rFonts w:hint="eastAsia"/>
        </w:rPr>
        <w:t>Na</w:t>
      </w:r>
      <w:r w:rsidRPr="00407577">
        <w:rPr>
          <w:rFonts w:hint="eastAsia"/>
          <w:vertAlign w:val="superscript"/>
        </w:rPr>
        <w:t>+</w:t>
      </w:r>
      <w:r>
        <w:rPr>
          <w:rFonts w:hint="eastAsia"/>
        </w:rPr>
        <w:t>浓度在</w:t>
      </w:r>
      <w:r>
        <w:rPr>
          <w:rFonts w:hint="eastAsia"/>
        </w:rPr>
        <w:t>119~137mg/L</w:t>
      </w:r>
      <w:r>
        <w:rPr>
          <w:rFonts w:hint="eastAsia"/>
        </w:rPr>
        <w:t>，</w:t>
      </w:r>
      <w:r>
        <w:rPr>
          <w:rFonts w:hint="eastAsia"/>
        </w:rPr>
        <w:t>Ca</w:t>
      </w:r>
      <w:r w:rsidRPr="00407577">
        <w:rPr>
          <w:rFonts w:hint="eastAsia"/>
          <w:vertAlign w:val="superscript"/>
        </w:rPr>
        <w:t>2+</w:t>
      </w:r>
      <w:r>
        <w:rPr>
          <w:rFonts w:hint="eastAsia"/>
        </w:rPr>
        <w:t>浓度在</w:t>
      </w:r>
      <w:r>
        <w:rPr>
          <w:rFonts w:hint="eastAsia"/>
        </w:rPr>
        <w:t>39.1~43.2mg/L</w:t>
      </w:r>
      <w:r>
        <w:rPr>
          <w:rFonts w:hint="eastAsia"/>
        </w:rPr>
        <w:t>，</w:t>
      </w:r>
      <w:r>
        <w:rPr>
          <w:rFonts w:hint="eastAsia"/>
        </w:rPr>
        <w:t>Mg</w:t>
      </w:r>
      <w:r w:rsidRPr="00407577">
        <w:rPr>
          <w:rFonts w:hint="eastAsia"/>
          <w:vertAlign w:val="superscript"/>
        </w:rPr>
        <w:t>2+</w:t>
      </w:r>
      <w:r>
        <w:rPr>
          <w:rFonts w:hint="eastAsia"/>
        </w:rPr>
        <w:t>浓度在</w:t>
      </w:r>
      <w:r>
        <w:rPr>
          <w:rFonts w:hint="eastAsia"/>
        </w:rPr>
        <w:t>18.0~18.8mg/L,</w:t>
      </w:r>
      <w:r w:rsidRPr="00937777">
        <w:rPr>
          <w:rFonts w:hint="eastAsia"/>
        </w:rPr>
        <w:t>HCO</w:t>
      </w:r>
      <w:r w:rsidRPr="00407577">
        <w:rPr>
          <w:rFonts w:hint="eastAsia"/>
          <w:vertAlign w:val="subscript"/>
        </w:rPr>
        <w:t>3</w:t>
      </w:r>
      <w:r w:rsidR="00407577" w:rsidRPr="00407577">
        <w:rPr>
          <w:rFonts w:hint="eastAsia"/>
          <w:vertAlign w:val="superscript"/>
        </w:rPr>
        <w:t>-</w:t>
      </w:r>
      <w:r w:rsidRPr="00937777">
        <w:rPr>
          <w:rFonts w:hint="eastAsia"/>
        </w:rPr>
        <w:t>浓度在</w:t>
      </w:r>
      <w:r w:rsidRPr="00937777">
        <w:rPr>
          <w:rFonts w:hint="eastAsia"/>
        </w:rPr>
        <w:t>117~135mg/L</w:t>
      </w:r>
      <w:r w:rsidRPr="00937777">
        <w:rPr>
          <w:rFonts w:hint="eastAsia"/>
        </w:rPr>
        <w:t>，</w:t>
      </w:r>
      <w:r w:rsidRPr="00937777">
        <w:rPr>
          <w:rFonts w:hint="eastAsia"/>
        </w:rPr>
        <w:t>Cl</w:t>
      </w:r>
      <w:r w:rsidRPr="00937777">
        <w:rPr>
          <w:rFonts w:hint="eastAsia"/>
        </w:rPr>
        <w:t>浓度在</w:t>
      </w:r>
      <w:r w:rsidRPr="00937777">
        <w:rPr>
          <w:rFonts w:hint="eastAsia"/>
        </w:rPr>
        <w:t>12.1~13.4mg/L</w:t>
      </w:r>
      <w:r w:rsidRPr="00937777">
        <w:rPr>
          <w:rFonts w:hint="eastAsia"/>
        </w:rPr>
        <w:t>，</w:t>
      </w:r>
      <w:r w:rsidRPr="00937777">
        <w:rPr>
          <w:rFonts w:hint="eastAsia"/>
        </w:rPr>
        <w:t>SO</w:t>
      </w:r>
      <w:r w:rsidRPr="00407577">
        <w:rPr>
          <w:rFonts w:hint="eastAsia"/>
          <w:vertAlign w:val="subscript"/>
        </w:rPr>
        <w:t>4</w:t>
      </w:r>
      <w:r w:rsidRPr="00407577">
        <w:rPr>
          <w:rFonts w:hint="eastAsia"/>
          <w:vertAlign w:val="superscript"/>
        </w:rPr>
        <w:t>2-</w:t>
      </w:r>
      <w:r w:rsidRPr="00937777">
        <w:rPr>
          <w:rFonts w:hint="eastAsia"/>
        </w:rPr>
        <w:t>浓度在</w:t>
      </w:r>
      <w:r w:rsidRPr="00937777">
        <w:rPr>
          <w:rFonts w:hint="eastAsia"/>
        </w:rPr>
        <w:t>53.9~55.2mg/L</w:t>
      </w:r>
      <w:r w:rsidRPr="00937777">
        <w:rPr>
          <w:rFonts w:hint="eastAsia"/>
        </w:rPr>
        <w:t>，</w:t>
      </w:r>
      <w:r w:rsidRPr="00937777">
        <w:rPr>
          <w:rFonts w:hint="eastAsia"/>
        </w:rPr>
        <w:t>pH</w:t>
      </w:r>
      <w:r w:rsidRPr="00937777">
        <w:rPr>
          <w:rFonts w:hint="eastAsia"/>
        </w:rPr>
        <w:t>在</w:t>
      </w:r>
      <w:r w:rsidRPr="00937777">
        <w:rPr>
          <w:rFonts w:hint="eastAsia"/>
        </w:rPr>
        <w:t>7.4~7.6</w:t>
      </w:r>
      <w:r w:rsidRPr="00937777">
        <w:rPr>
          <w:rFonts w:hint="eastAsia"/>
        </w:rPr>
        <w:t>（无量纲），总硬度在</w:t>
      </w:r>
      <w:r w:rsidRPr="00937777">
        <w:rPr>
          <w:rFonts w:hint="eastAsia"/>
        </w:rPr>
        <w:t>167~172mg/L</w:t>
      </w:r>
      <w:r w:rsidRPr="00937777">
        <w:rPr>
          <w:rFonts w:hint="eastAsia"/>
        </w:rPr>
        <w:t>，氨氮的浓度在</w:t>
      </w:r>
      <w:r w:rsidRPr="00937777">
        <w:rPr>
          <w:rFonts w:hint="eastAsia"/>
        </w:rPr>
        <w:t>0.095~0.103mg/L,</w:t>
      </w:r>
      <w:r w:rsidRPr="00937777">
        <w:rPr>
          <w:rFonts w:hint="eastAsia"/>
        </w:rPr>
        <w:t>氟化物浓度在</w:t>
      </w:r>
      <w:r w:rsidRPr="00937777">
        <w:rPr>
          <w:rFonts w:hint="eastAsia"/>
        </w:rPr>
        <w:t>0.435~0.452mg/L</w:t>
      </w:r>
      <w:r w:rsidRPr="00937777">
        <w:rPr>
          <w:rFonts w:hint="eastAsia"/>
        </w:rPr>
        <w:t>，耗氧量浓度在</w:t>
      </w:r>
      <w:r w:rsidRPr="00937777">
        <w:rPr>
          <w:rFonts w:hint="eastAsia"/>
        </w:rPr>
        <w:t>1.0~1.2mg/L</w:t>
      </w:r>
      <w:r w:rsidRPr="00937777">
        <w:rPr>
          <w:rFonts w:hint="eastAsia"/>
        </w:rPr>
        <w:t>，硝酸盐浓度在</w:t>
      </w:r>
      <w:r w:rsidRPr="00937777">
        <w:rPr>
          <w:rFonts w:hint="eastAsia"/>
        </w:rPr>
        <w:t>0.344~0.357mg/L</w:t>
      </w:r>
      <w:r w:rsidRPr="00937777">
        <w:rPr>
          <w:rFonts w:hint="eastAsia"/>
        </w:rPr>
        <w:t>，溶解性总固体浓度在</w:t>
      </w:r>
      <w:r w:rsidRPr="00937777">
        <w:rPr>
          <w:rFonts w:hint="eastAsia"/>
        </w:rPr>
        <w:t>404~413mg/L</w:t>
      </w:r>
      <w:r w:rsidRPr="00937777">
        <w:rPr>
          <w:rFonts w:hint="eastAsia"/>
        </w:rPr>
        <w:t>，菌落总数在</w:t>
      </w:r>
      <w:r w:rsidRPr="00937777">
        <w:rPr>
          <w:rFonts w:hint="eastAsia"/>
        </w:rPr>
        <w:t>24~27</w:t>
      </w:r>
      <w:r w:rsidRPr="00937777">
        <w:rPr>
          <w:rFonts w:hint="eastAsia"/>
        </w:rPr>
        <w:t>（</w:t>
      </w:r>
      <w:r w:rsidRPr="00937777">
        <w:rPr>
          <w:rFonts w:hint="eastAsia"/>
        </w:rPr>
        <w:t>CFU/mL</w:t>
      </w:r>
      <w:r w:rsidRPr="00937777">
        <w:rPr>
          <w:rFonts w:hint="eastAsia"/>
        </w:rPr>
        <w:t>），</w:t>
      </w:r>
      <w:r w:rsidRPr="00937777">
        <w:rPr>
          <w:rFonts w:hint="eastAsia"/>
        </w:rPr>
        <w:t>CO</w:t>
      </w:r>
      <w:r w:rsidRPr="00407577">
        <w:rPr>
          <w:rFonts w:hint="eastAsia"/>
          <w:vertAlign w:val="subscript"/>
        </w:rPr>
        <w:t>3</w:t>
      </w:r>
      <w:r w:rsidR="00407577" w:rsidRPr="00407577">
        <w:rPr>
          <w:rFonts w:hint="eastAsia"/>
          <w:vertAlign w:val="superscript"/>
        </w:rPr>
        <w:t>2-</w:t>
      </w:r>
      <w:r w:rsidRPr="00937777">
        <w:rPr>
          <w:rFonts w:hint="eastAsia"/>
        </w:rPr>
        <w:t>、氰化物、挥发酚、汞、砷、镉、六价铬、铁、锰、铅、亚硝酸盐、总大肠菌群均为未检出。</w:t>
      </w:r>
    </w:p>
    <w:p w14:paraId="2ABBBF40" w14:textId="67E0302C" w:rsidR="007200BA" w:rsidRDefault="00407577">
      <w:pPr>
        <w:pStyle w:val="affffff4"/>
      </w:pPr>
      <w:r>
        <w:rPr>
          <w:rFonts w:hint="eastAsia"/>
        </w:rPr>
        <w:t>综上，</w:t>
      </w:r>
      <w:r w:rsidRPr="00407577">
        <w:rPr>
          <w:rFonts w:hint="eastAsia"/>
        </w:rPr>
        <w:t>地下水指标中所有监测项目均满足《地下水质量标准》（</w:t>
      </w:r>
      <w:r w:rsidRPr="00407577">
        <w:rPr>
          <w:rFonts w:hint="eastAsia"/>
        </w:rPr>
        <w:t>GB/T14848-2017</w:t>
      </w:r>
      <w:r w:rsidRPr="00407577">
        <w:rPr>
          <w:rFonts w:hint="eastAsia"/>
        </w:rPr>
        <w:t>）</w:t>
      </w:r>
      <w:r w:rsidRPr="00407577">
        <w:rPr>
          <w:rFonts w:hint="eastAsia"/>
        </w:rPr>
        <w:t>III</w:t>
      </w:r>
      <w:r w:rsidRPr="00407577">
        <w:rPr>
          <w:rFonts w:hint="eastAsia"/>
        </w:rPr>
        <w:t>类标准。</w:t>
      </w:r>
    </w:p>
    <w:p w14:paraId="2D2BE8D7" w14:textId="6D4DF34A" w:rsidR="0035403F" w:rsidRPr="00D4211C" w:rsidRDefault="0035403F" w:rsidP="00D4211C">
      <w:pPr>
        <w:pStyle w:val="4"/>
      </w:pPr>
      <w:r w:rsidRPr="00D4211C">
        <w:rPr>
          <w:rFonts w:hint="eastAsia"/>
        </w:rPr>
        <w:lastRenderedPageBreak/>
        <w:t>2.</w:t>
      </w:r>
      <w:r w:rsidR="00D4211C" w:rsidRPr="00D4211C">
        <w:rPr>
          <w:rFonts w:hint="eastAsia"/>
        </w:rPr>
        <w:t>1.</w:t>
      </w:r>
      <w:r w:rsidRPr="00D4211C">
        <w:rPr>
          <w:rFonts w:hint="eastAsia"/>
        </w:rPr>
        <w:t>4.5</w:t>
      </w:r>
      <w:r w:rsidRPr="00D4211C">
        <w:rPr>
          <w:rFonts w:hint="eastAsia"/>
        </w:rPr>
        <w:t>固体废物</w:t>
      </w:r>
    </w:p>
    <w:p w14:paraId="4490460C" w14:textId="548CE1A5" w:rsidR="0035403F" w:rsidRDefault="0035403F" w:rsidP="0035403F">
      <w:pPr>
        <w:pStyle w:val="affffff4"/>
      </w:pPr>
      <w:r>
        <w:rPr>
          <w:rFonts w:hint="eastAsia"/>
        </w:rPr>
        <w:t>垃圾焚烧发电的固体废物主要包括炉渣、飞灰、渗滤液处理站污泥、渗滤液处理站废过滤膜、废布袋、除臭装置废活性炭、化水处理系统废过滤膜和废树脂、废变压器油、废机油、实验室废液、废金属及生活垃圾等。</w:t>
      </w:r>
    </w:p>
    <w:p w14:paraId="511439E2" w14:textId="492CEBC1" w:rsidR="0035403F" w:rsidRDefault="0035403F" w:rsidP="0035403F">
      <w:pPr>
        <w:pStyle w:val="affffff4"/>
        <w:rPr>
          <w:highlight w:val="yellow"/>
        </w:rPr>
      </w:pPr>
      <w:r>
        <w:rPr>
          <w:rFonts w:hint="eastAsia"/>
        </w:rPr>
        <w:t>生活垃圾焚烧飞灰经稳定化并经检验低于《危险废物鉴别标准</w:t>
      </w:r>
      <w:r>
        <w:rPr>
          <w:rFonts w:hint="eastAsia"/>
        </w:rPr>
        <w:t>-</w:t>
      </w:r>
      <w:r>
        <w:rPr>
          <w:rFonts w:hint="eastAsia"/>
        </w:rPr>
        <w:t>浸出毒性鉴别》（</w:t>
      </w:r>
      <w:r>
        <w:rPr>
          <w:rFonts w:hint="eastAsia"/>
        </w:rPr>
        <w:t>GB5085.3-2007</w:t>
      </w:r>
      <w:r>
        <w:rPr>
          <w:rFonts w:hint="eastAsia"/>
        </w:rPr>
        <w:t>）浸出毒性标准限值并符合《生活垃圾填埋场污染控制标准》（</w:t>
      </w:r>
      <w:r>
        <w:rPr>
          <w:rFonts w:hint="eastAsia"/>
        </w:rPr>
        <w:t>GB16889-2008</w:t>
      </w:r>
      <w:r>
        <w:rPr>
          <w:rFonts w:hint="eastAsia"/>
        </w:rPr>
        <w:t>）</w:t>
      </w:r>
      <w:r>
        <w:rPr>
          <w:rFonts w:hint="eastAsia"/>
        </w:rPr>
        <w:t>6.3</w:t>
      </w:r>
      <w:r>
        <w:rPr>
          <w:rFonts w:hint="eastAsia"/>
        </w:rPr>
        <w:t>要求后送安达市城市生活垃圾处理工程现有填埋场飞灰填埋区填埋处置；焚烧产生的炉渣外售综合利用；生活垃圾</w:t>
      </w:r>
      <w:r w:rsidR="006D5005">
        <w:rPr>
          <w:rFonts w:hint="eastAsia"/>
        </w:rPr>
        <w:t>和废活性炭</w:t>
      </w:r>
      <w:r>
        <w:rPr>
          <w:rFonts w:hint="eastAsia"/>
        </w:rPr>
        <w:t>进厂内焚烧炉焚烧处理；</w:t>
      </w:r>
      <w:r w:rsidRPr="0035403F">
        <w:rPr>
          <w:rFonts w:hint="eastAsia"/>
        </w:rPr>
        <w:t>渗滤液处理站废过滤膜、废布袋、废变压器油、废机油和实验废液暂存</w:t>
      </w:r>
      <w:r w:rsidR="00701A39">
        <w:rPr>
          <w:rFonts w:hint="eastAsia"/>
        </w:rPr>
        <w:t>危废贮存库</w:t>
      </w:r>
      <w:r w:rsidRPr="0035403F">
        <w:rPr>
          <w:rFonts w:hint="eastAsia"/>
        </w:rPr>
        <w:t>，定期委托黑龙江京盛华环保科技有限公司处置。</w:t>
      </w:r>
    </w:p>
    <w:p w14:paraId="4FA75E12" w14:textId="002BEDBC" w:rsidR="00606029" w:rsidRDefault="00EA5B92" w:rsidP="00BA3059">
      <w:pPr>
        <w:pStyle w:val="affffff4"/>
      </w:pPr>
      <w:r>
        <w:br w:type="page"/>
      </w:r>
    </w:p>
    <w:p w14:paraId="62D0AD48" w14:textId="249F2BDC" w:rsidR="00606029" w:rsidRDefault="00EA5B92">
      <w:pPr>
        <w:pStyle w:val="2"/>
        <w:spacing w:beforeLines="50" w:before="120"/>
      </w:pPr>
      <w:bookmarkStart w:id="87" w:name="_Toc220680464"/>
      <w:r>
        <w:lastRenderedPageBreak/>
        <w:t>2.2</w:t>
      </w:r>
      <w:r w:rsidR="00570F5F">
        <w:rPr>
          <w:rFonts w:hint="eastAsia"/>
        </w:rPr>
        <w:t>改</w:t>
      </w:r>
      <w:r>
        <w:t>建项目概况</w:t>
      </w:r>
      <w:bookmarkEnd w:id="87"/>
    </w:p>
    <w:p w14:paraId="7A948DB3" w14:textId="77777777" w:rsidR="00606029" w:rsidRDefault="00EA5B92">
      <w:pPr>
        <w:pStyle w:val="3"/>
      </w:pPr>
      <w:bookmarkStart w:id="88" w:name="_Toc220680465"/>
      <w:r>
        <w:t>2.2.1</w:t>
      </w:r>
      <w:r>
        <w:t>项目基本情况</w:t>
      </w:r>
      <w:bookmarkEnd w:id="88"/>
    </w:p>
    <w:p w14:paraId="300D1778" w14:textId="09F79F77" w:rsidR="00606029" w:rsidRDefault="00EA5B92">
      <w:pPr>
        <w:pStyle w:val="affffff4"/>
      </w:pPr>
      <w:r>
        <w:t>项目名称</w:t>
      </w:r>
      <w:r w:rsidR="006A52CC">
        <w:t>：</w:t>
      </w:r>
      <w:r w:rsidR="00BE533B">
        <w:t>大庆市生活垃圾焚烧发电飞灰填埋项目</w:t>
      </w:r>
    </w:p>
    <w:p w14:paraId="014A31C9" w14:textId="43F8DC82" w:rsidR="00606029" w:rsidRDefault="00EA5B92">
      <w:pPr>
        <w:pStyle w:val="affffff4"/>
      </w:pPr>
      <w:r>
        <w:t>建设单位</w:t>
      </w:r>
      <w:r w:rsidR="006A52CC">
        <w:t>：</w:t>
      </w:r>
      <w:r w:rsidR="00BE533B">
        <w:t>大庆城控电力有限公司</w:t>
      </w:r>
    </w:p>
    <w:p w14:paraId="1664A1AC" w14:textId="01CC5D5E" w:rsidR="00606029" w:rsidRDefault="00EA5B92">
      <w:pPr>
        <w:pStyle w:val="affffff4"/>
      </w:pPr>
      <w:r>
        <w:t>建设地点</w:t>
      </w:r>
      <w:r w:rsidR="006A52CC">
        <w:t>：</w:t>
      </w:r>
      <w:r w:rsidR="00BE533B">
        <w:rPr>
          <w:szCs w:val="22"/>
        </w:rPr>
        <w:t>黑龙江省大庆市龙凤区红旗二村西南侧</w:t>
      </w:r>
    </w:p>
    <w:p w14:paraId="2D9AF910" w14:textId="17EE372B" w:rsidR="00606029" w:rsidRDefault="00EA5B92">
      <w:pPr>
        <w:pStyle w:val="affffff4"/>
      </w:pPr>
      <w:r>
        <w:t>建设性质</w:t>
      </w:r>
      <w:r w:rsidR="006A52CC">
        <w:t>：</w:t>
      </w:r>
      <w:r w:rsidR="00BE533B">
        <w:rPr>
          <w:rFonts w:hint="eastAsia"/>
        </w:rPr>
        <w:t>改建</w:t>
      </w:r>
    </w:p>
    <w:p w14:paraId="2D5194EC" w14:textId="7BE4BCB4" w:rsidR="00606029" w:rsidRDefault="00EA5B92">
      <w:pPr>
        <w:pStyle w:val="affffff4"/>
      </w:pPr>
      <w:r>
        <w:t>建设规模</w:t>
      </w:r>
      <w:r w:rsidR="006A52CC">
        <w:t>：</w:t>
      </w:r>
      <w:r w:rsidR="00BE533B" w:rsidRPr="00BE533B">
        <w:rPr>
          <w:rFonts w:hint="eastAsia"/>
        </w:rPr>
        <w:t>将</w:t>
      </w:r>
      <w:r w:rsidR="00BE533B" w:rsidRPr="00BE533B">
        <w:rPr>
          <w:rFonts w:hint="eastAsia"/>
        </w:rPr>
        <w:t>7356m</w:t>
      </w:r>
      <w:r w:rsidR="00BE533B" w:rsidRPr="00BE533B">
        <w:rPr>
          <w:rFonts w:hint="eastAsia"/>
        </w:rPr>
        <w:t>³的渗滤液调节池改建为飞灰填埋场。</w:t>
      </w:r>
    </w:p>
    <w:p w14:paraId="2DCAE31C" w14:textId="52F3F384" w:rsidR="00606029" w:rsidRDefault="00EA5B92">
      <w:pPr>
        <w:pStyle w:val="affffff4"/>
      </w:pPr>
      <w:r>
        <w:t>填埋场接纳对象</w:t>
      </w:r>
      <w:r w:rsidR="006A52CC">
        <w:t>：</w:t>
      </w:r>
      <w:r>
        <w:t>仅接收</w:t>
      </w:r>
      <w:r w:rsidR="00BE533B" w:rsidRPr="00BE533B">
        <w:rPr>
          <w:rFonts w:hint="eastAsia"/>
        </w:rPr>
        <w:t>大庆市生活垃圾焚烧发电</w:t>
      </w:r>
      <w:r>
        <w:t>产生的螯合稳定化飞灰，满足</w:t>
      </w:r>
      <w:r>
        <w:t>GB16889-2024</w:t>
      </w:r>
      <w:r>
        <w:t>第</w:t>
      </w:r>
      <w:r>
        <w:t>6.3</w:t>
      </w:r>
      <w:r>
        <w:t>条要求，不接收其他固体废物</w:t>
      </w:r>
    </w:p>
    <w:p w14:paraId="5B77824C" w14:textId="194C01BE" w:rsidR="00606029" w:rsidRDefault="00EA5B92">
      <w:pPr>
        <w:pStyle w:val="affffff4"/>
      </w:pPr>
      <w:r>
        <w:t>项目投资</w:t>
      </w:r>
      <w:r w:rsidR="006A52CC">
        <w:t>：</w:t>
      </w:r>
      <w:r>
        <w:t>工程项目总投资为</w:t>
      </w:r>
      <w:r w:rsidR="00256054">
        <w:rPr>
          <w:rFonts w:hint="eastAsia"/>
        </w:rPr>
        <w:t>5</w:t>
      </w:r>
      <w:r w:rsidR="00BE533B">
        <w:rPr>
          <w:rFonts w:hint="eastAsia"/>
        </w:rPr>
        <w:t>00</w:t>
      </w:r>
      <w:r>
        <w:t>万元</w:t>
      </w:r>
    </w:p>
    <w:p w14:paraId="12CE8CFE" w14:textId="252E1969" w:rsidR="00606029" w:rsidRDefault="00EA5B92">
      <w:pPr>
        <w:pStyle w:val="affffff4"/>
      </w:pPr>
      <w:r>
        <w:t>职工人数及工作制度</w:t>
      </w:r>
      <w:r w:rsidR="006A52CC">
        <w:t>：</w:t>
      </w:r>
      <w:r w:rsidR="00261F7E">
        <w:rPr>
          <w:rFonts w:hint="eastAsia"/>
        </w:rPr>
        <w:t>公司内部调配</w:t>
      </w:r>
      <w:r>
        <w:t>，</w:t>
      </w:r>
      <w:r w:rsidR="00261F7E">
        <w:rPr>
          <w:rFonts w:hint="eastAsia"/>
        </w:rPr>
        <w:t>不新增人员，</w:t>
      </w:r>
      <w:r>
        <w:t>实行一班制（每日</w:t>
      </w:r>
      <w:r>
        <w:t>8</w:t>
      </w:r>
      <w:r>
        <w:t>小时），年工作</w:t>
      </w:r>
      <w:r>
        <w:t>360</w:t>
      </w:r>
      <w:r>
        <w:t>天</w:t>
      </w:r>
    </w:p>
    <w:p w14:paraId="1903B34F" w14:textId="77777777" w:rsidR="00606029" w:rsidRDefault="00EA5B92">
      <w:pPr>
        <w:pStyle w:val="3"/>
      </w:pPr>
      <w:bookmarkStart w:id="89" w:name="_Toc220680466"/>
      <w:r>
        <w:t>2.2.2</w:t>
      </w:r>
      <w:r>
        <w:t>主要建设内容</w:t>
      </w:r>
      <w:bookmarkEnd w:id="89"/>
    </w:p>
    <w:p w14:paraId="3E0298AB" w14:textId="38F673A3" w:rsidR="00606029" w:rsidRDefault="00426E52">
      <w:pPr>
        <w:pStyle w:val="affffff4"/>
        <w:spacing w:beforeLines="50" w:before="120"/>
      </w:pPr>
      <w:r>
        <w:rPr>
          <w:rFonts w:hint="eastAsia"/>
        </w:rPr>
        <w:t>本项目</w:t>
      </w:r>
      <w:r w:rsidR="00FE4CCD">
        <w:rPr>
          <w:rFonts w:hint="eastAsia"/>
        </w:rPr>
        <w:t>将</w:t>
      </w:r>
      <w:r>
        <w:rPr>
          <w:rFonts w:hint="eastAsia"/>
        </w:rPr>
        <w:t>7</w:t>
      </w:r>
      <w:r w:rsidR="00570F5F">
        <w:rPr>
          <w:rFonts w:hint="eastAsia"/>
        </w:rPr>
        <w:t>356m</w:t>
      </w:r>
      <w:r w:rsidR="00570F5F" w:rsidRPr="00570F5F">
        <w:rPr>
          <w:rFonts w:hint="eastAsia"/>
          <w:vertAlign w:val="superscript"/>
        </w:rPr>
        <w:t>3</w:t>
      </w:r>
      <w:r w:rsidR="00570F5F">
        <w:rPr>
          <w:rFonts w:hint="eastAsia"/>
        </w:rPr>
        <w:t>的</w:t>
      </w:r>
      <w:r w:rsidR="00FE4CCD">
        <w:rPr>
          <w:rFonts w:hint="eastAsia"/>
        </w:rPr>
        <w:t>滤液调节池改建为</w:t>
      </w:r>
      <w:r w:rsidR="00EA5B92">
        <w:t>飞灰填埋</w:t>
      </w:r>
      <w:r w:rsidR="00570F5F">
        <w:rPr>
          <w:rFonts w:hint="eastAsia"/>
        </w:rPr>
        <w:t>区</w:t>
      </w:r>
      <w:r w:rsidR="00EA5B92">
        <w:t>，</w:t>
      </w:r>
      <w:r w:rsidR="00EA5B92" w:rsidRPr="00426E52">
        <w:t>工程项目建设内容为</w:t>
      </w:r>
      <w:r w:rsidR="006A52CC" w:rsidRPr="00426E52">
        <w:t>：</w:t>
      </w:r>
      <w:bookmarkStart w:id="90" w:name="OLE_LINK63"/>
      <w:r w:rsidR="00EC7D12">
        <w:rPr>
          <w:rFonts w:hint="eastAsia"/>
        </w:rPr>
        <w:t>填埋库区改建工程</w:t>
      </w:r>
      <w:r w:rsidR="00EA5B92" w:rsidRPr="00426E52">
        <w:t>、</w:t>
      </w:r>
      <w:r w:rsidR="00EC7D12">
        <w:rPr>
          <w:rFonts w:hint="eastAsia"/>
        </w:rPr>
        <w:t>截洪沟</w:t>
      </w:r>
      <w:r w:rsidR="00EA5B92" w:rsidRPr="00426E52">
        <w:t>工程、</w:t>
      </w:r>
      <w:r w:rsidR="00EC7D12" w:rsidRPr="00EC7D12">
        <w:t>淋溶水收集导排系统</w:t>
      </w:r>
      <w:r w:rsidR="00EC7D12">
        <w:rPr>
          <w:rFonts w:hint="eastAsia"/>
        </w:rPr>
        <w:t>、</w:t>
      </w:r>
      <w:r w:rsidR="00EA5B92" w:rsidRPr="00426E52">
        <w:t>地下水导排系统、</w:t>
      </w:r>
      <w:r w:rsidR="00EC7D12" w:rsidRPr="00EC7D12">
        <w:t>遮雨覆盖工程</w:t>
      </w:r>
      <w:r w:rsidR="00EC7D12">
        <w:rPr>
          <w:rFonts w:hint="eastAsia"/>
        </w:rPr>
        <w:t>、</w:t>
      </w:r>
      <w:r w:rsidR="00EA5B92" w:rsidRPr="00426E52">
        <w:t>雨水导排系统</w:t>
      </w:r>
      <w:r w:rsidR="00BA3059" w:rsidRPr="00426E52">
        <w:rPr>
          <w:rFonts w:hint="eastAsia"/>
        </w:rPr>
        <w:t>和</w:t>
      </w:r>
      <w:r w:rsidR="00EA5B92" w:rsidRPr="00426E52">
        <w:t>封场</w:t>
      </w:r>
      <w:r w:rsidR="00C43933">
        <w:rPr>
          <w:rFonts w:hint="eastAsia"/>
        </w:rPr>
        <w:t>工程</w:t>
      </w:r>
      <w:r w:rsidR="00EA5B92" w:rsidRPr="00426E52">
        <w:t>等。</w:t>
      </w:r>
      <w:bookmarkEnd w:id="90"/>
      <w:r w:rsidR="00EA5B92" w:rsidRPr="00426E52">
        <w:t>办公生活配套设施、</w:t>
      </w:r>
      <w:r w:rsidR="00C43933">
        <w:rPr>
          <w:rFonts w:hint="eastAsia"/>
        </w:rPr>
        <w:t>淋溶水</w:t>
      </w:r>
      <w:r w:rsidR="00EA5B92" w:rsidRPr="00426E52">
        <w:t>调节池</w:t>
      </w:r>
      <w:r w:rsidR="00C43933">
        <w:rPr>
          <w:rFonts w:hint="eastAsia"/>
        </w:rPr>
        <w:t>及</w:t>
      </w:r>
      <w:r w:rsidR="00EA5B92" w:rsidRPr="00426E52">
        <w:t>渗滤液处理站等均依托</w:t>
      </w:r>
      <w:r w:rsidR="0081530A" w:rsidRPr="00426E52">
        <w:rPr>
          <w:rFonts w:hint="eastAsia"/>
        </w:rPr>
        <w:t>生活垃圾焚烧发电厂</w:t>
      </w:r>
      <w:r w:rsidR="00C43933">
        <w:rPr>
          <w:rFonts w:hint="eastAsia"/>
        </w:rPr>
        <w:t>现有工程</w:t>
      </w:r>
      <w:r w:rsidR="00EA5B92" w:rsidRPr="00426E52">
        <w:t>，</w:t>
      </w:r>
      <w:r w:rsidR="00C43933">
        <w:rPr>
          <w:rFonts w:hint="eastAsia"/>
        </w:rPr>
        <w:t>本项目</w:t>
      </w:r>
      <w:r w:rsidR="00EA5B92" w:rsidRPr="00426E52">
        <w:t>主要建设内容下表。</w:t>
      </w:r>
    </w:p>
    <w:p w14:paraId="04A7B017" w14:textId="77777777" w:rsidR="00606029" w:rsidRDefault="00EA5B92">
      <w:pPr>
        <w:pStyle w:val="affffff5"/>
      </w:pPr>
      <w:r>
        <w:t>表</w:t>
      </w:r>
      <w:r>
        <w:t>2.2-1</w:t>
      </w:r>
      <w:r>
        <w:t>工程主要建设内容一览表</w:t>
      </w:r>
    </w:p>
    <w:tbl>
      <w:tblPr>
        <w:tblStyle w:val="TableNormal"/>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
        <w:gridCol w:w="1267"/>
        <w:gridCol w:w="6488"/>
        <w:gridCol w:w="859"/>
      </w:tblGrid>
      <w:tr w:rsidR="00606029" w14:paraId="09E18A50" w14:textId="77777777" w:rsidTr="007327FC">
        <w:trPr>
          <w:trHeight w:val="57"/>
          <w:jc w:val="center"/>
        </w:trPr>
        <w:tc>
          <w:tcPr>
            <w:tcW w:w="0" w:type="auto"/>
            <w:vAlign w:val="center"/>
          </w:tcPr>
          <w:p w14:paraId="301B1F46" w14:textId="77777777" w:rsidR="00606029" w:rsidRDefault="00EA5B92">
            <w:pPr>
              <w:pStyle w:val="TableText"/>
              <w:adjustRightInd w:val="0"/>
              <w:snapToGrid w:val="0"/>
              <w:jc w:val="center"/>
              <w:rPr>
                <w:rFonts w:ascii="Times New Roman" w:hAnsi="Times New Roman" w:cs="Times New Roman"/>
              </w:rPr>
            </w:pPr>
            <w:r>
              <w:rPr>
                <w:rFonts w:ascii="Times New Roman" w:hAnsi="Times New Roman" w:cs="Times New Roman"/>
              </w:rPr>
              <w:t>项目</w:t>
            </w:r>
          </w:p>
        </w:tc>
        <w:tc>
          <w:tcPr>
            <w:tcW w:w="7764" w:type="dxa"/>
            <w:gridSpan w:val="2"/>
            <w:vAlign w:val="center"/>
          </w:tcPr>
          <w:p w14:paraId="1B8B8DC2" w14:textId="77777777" w:rsidR="00606029" w:rsidRPr="005A0388" w:rsidRDefault="00EA5B92">
            <w:pPr>
              <w:pStyle w:val="TableText"/>
              <w:adjustRightInd w:val="0"/>
              <w:snapToGrid w:val="0"/>
              <w:jc w:val="center"/>
              <w:rPr>
                <w:rFonts w:ascii="Times New Roman" w:hAnsi="Times New Roman" w:cs="Times New Roman"/>
                <w:highlight w:val="yellow"/>
              </w:rPr>
            </w:pPr>
            <w:r w:rsidRPr="000457B8">
              <w:rPr>
                <w:rFonts w:ascii="Times New Roman" w:hAnsi="Times New Roman" w:cs="Times New Roman"/>
              </w:rPr>
              <w:t>建设内容</w:t>
            </w:r>
          </w:p>
        </w:tc>
        <w:tc>
          <w:tcPr>
            <w:tcW w:w="850" w:type="dxa"/>
            <w:vAlign w:val="center"/>
          </w:tcPr>
          <w:p w14:paraId="53CA1056" w14:textId="77777777" w:rsidR="00606029" w:rsidRDefault="00EA5B92">
            <w:pPr>
              <w:pStyle w:val="TableText"/>
              <w:adjustRightInd w:val="0"/>
              <w:snapToGrid w:val="0"/>
              <w:jc w:val="center"/>
              <w:rPr>
                <w:rFonts w:ascii="Times New Roman" w:hAnsi="Times New Roman" w:cs="Times New Roman"/>
              </w:rPr>
            </w:pPr>
            <w:r>
              <w:rPr>
                <w:rFonts w:ascii="Times New Roman" w:hAnsi="Times New Roman" w:cs="Times New Roman"/>
              </w:rPr>
              <w:t>备注</w:t>
            </w:r>
          </w:p>
        </w:tc>
      </w:tr>
      <w:tr w:rsidR="00606029" w14:paraId="52363CF9" w14:textId="77777777" w:rsidTr="007327FC">
        <w:trPr>
          <w:trHeight w:val="57"/>
          <w:jc w:val="center"/>
        </w:trPr>
        <w:tc>
          <w:tcPr>
            <w:tcW w:w="0" w:type="auto"/>
            <w:vMerge w:val="restart"/>
            <w:vAlign w:val="center"/>
          </w:tcPr>
          <w:p w14:paraId="2C83D516" w14:textId="77777777" w:rsidR="00606029" w:rsidRDefault="00EA5B92">
            <w:pPr>
              <w:pStyle w:val="TableText"/>
              <w:adjustRightInd w:val="0"/>
              <w:snapToGrid w:val="0"/>
              <w:jc w:val="center"/>
              <w:rPr>
                <w:rFonts w:ascii="Times New Roman" w:hAnsi="Times New Roman" w:cs="Times New Roman"/>
              </w:rPr>
            </w:pPr>
            <w:r>
              <w:rPr>
                <w:rFonts w:ascii="Times New Roman" w:hAnsi="Times New Roman" w:cs="Times New Roman"/>
              </w:rPr>
              <w:t>主体工程</w:t>
            </w:r>
          </w:p>
        </w:tc>
        <w:tc>
          <w:tcPr>
            <w:tcW w:w="1219" w:type="dxa"/>
            <w:vAlign w:val="center"/>
          </w:tcPr>
          <w:p w14:paraId="58928568" w14:textId="77777777" w:rsidR="00606029" w:rsidRDefault="00EA5B92">
            <w:pPr>
              <w:pStyle w:val="TableText"/>
              <w:adjustRightInd w:val="0"/>
              <w:snapToGrid w:val="0"/>
              <w:jc w:val="center"/>
              <w:rPr>
                <w:rFonts w:ascii="Times New Roman" w:hAnsi="Times New Roman" w:cs="Times New Roman"/>
              </w:rPr>
            </w:pPr>
            <w:r>
              <w:rPr>
                <w:rFonts w:ascii="Times New Roman" w:hAnsi="Times New Roman" w:cs="Times New Roman"/>
              </w:rPr>
              <w:t>填埋库区</w:t>
            </w:r>
          </w:p>
        </w:tc>
        <w:tc>
          <w:tcPr>
            <w:tcW w:w="6545" w:type="dxa"/>
            <w:vAlign w:val="center"/>
          </w:tcPr>
          <w:p w14:paraId="694551E8" w14:textId="1D3C4ADE" w:rsidR="00606029" w:rsidRPr="00455D99" w:rsidRDefault="00455D99" w:rsidP="000457B8">
            <w:pPr>
              <w:pStyle w:val="TableText"/>
              <w:adjustRightInd w:val="0"/>
              <w:snapToGrid w:val="0"/>
              <w:rPr>
                <w:rFonts w:ascii="Times New Roman" w:hAnsi="Times New Roman" w:cs="Times New Roman"/>
                <w:highlight w:val="yellow"/>
                <w:lang w:eastAsia="zh-CN"/>
              </w:rPr>
            </w:pPr>
            <w:bookmarkStart w:id="91" w:name="OLE_LINK17"/>
            <w:r w:rsidRPr="00455D99">
              <w:rPr>
                <w:rFonts w:ascii="Times New Roman" w:hAnsi="Times New Roman" w:cs="Times New Roman"/>
                <w:lang w:eastAsia="zh-CN"/>
              </w:rPr>
              <w:t>将原</w:t>
            </w:r>
            <w:r w:rsidRPr="00455D99">
              <w:rPr>
                <w:rFonts w:ascii="Times New Roman" w:hAnsi="Times New Roman" w:cs="Times New Roman"/>
                <w:lang w:eastAsia="zh-CN"/>
              </w:rPr>
              <w:t>7316m</w:t>
            </w:r>
            <w:r w:rsidRPr="00455D99">
              <w:rPr>
                <w:rFonts w:ascii="Times New Roman" w:hAnsi="Times New Roman" w:cs="Times New Roman"/>
                <w:vertAlign w:val="superscript"/>
                <w:lang w:eastAsia="zh-CN"/>
              </w:rPr>
              <w:t>3</w:t>
            </w:r>
            <w:r w:rsidRPr="00455D99">
              <w:rPr>
                <w:rFonts w:ascii="Times New Roman" w:hAnsi="Times New Roman" w:cs="Times New Roman"/>
                <w:lang w:eastAsia="zh-CN"/>
              </w:rPr>
              <w:t>的</w:t>
            </w:r>
            <w:bookmarkStart w:id="92" w:name="OLE_LINK84"/>
            <w:r w:rsidRPr="00455D99">
              <w:rPr>
                <w:rFonts w:ascii="Times New Roman" w:hAnsi="Times New Roman" w:cs="Times New Roman"/>
                <w:lang w:eastAsia="zh-CN"/>
              </w:rPr>
              <w:t>渗滤液调节池改建为飞灰填埋场</w:t>
            </w:r>
            <w:bookmarkEnd w:id="92"/>
            <w:r>
              <w:rPr>
                <w:rFonts w:ascii="Times New Roman" w:hAnsi="Times New Roman" w:cs="Times New Roman" w:hint="eastAsia"/>
                <w:lang w:eastAsia="zh-CN"/>
              </w:rPr>
              <w:t>，</w:t>
            </w:r>
            <w:r w:rsidRPr="00455D99">
              <w:rPr>
                <w:rFonts w:ascii="Times New Roman" w:hAnsi="Times New Roman" w:cs="Times New Roman"/>
                <w:lang w:eastAsia="zh-CN"/>
              </w:rPr>
              <w:t>原有的进出水口、溢流管、排空管等所有与外部水系连通的管道都需要进行永久性封堵，确保库区与外界水体完全隔离。清除调节池内残留的渗滤液和底部的污泥。渗滤液进</w:t>
            </w:r>
            <w:r w:rsidR="00C43933" w:rsidRPr="00C43933">
              <w:rPr>
                <w:rFonts w:ascii="Times New Roman" w:hAnsi="Times New Roman" w:cs="Times New Roman"/>
                <w:lang w:eastAsia="zh-CN"/>
              </w:rPr>
              <w:t>焚烧发电厂现有</w:t>
            </w:r>
            <w:r w:rsidRPr="00455D99">
              <w:rPr>
                <w:rFonts w:ascii="Times New Roman" w:hAnsi="Times New Roman" w:cs="Times New Roman"/>
                <w:lang w:eastAsia="zh-CN"/>
              </w:rPr>
              <w:t>渗滤液调节池，送渗滤液处理站处理；污泥送厂区</w:t>
            </w:r>
            <w:r w:rsidR="00B31025" w:rsidRPr="00B31025">
              <w:rPr>
                <w:rFonts w:ascii="Times New Roman" w:hAnsi="Times New Roman" w:cs="Times New Roman"/>
                <w:lang w:eastAsia="zh-CN"/>
              </w:rPr>
              <w:t>焚烧发电厂污泥焚烧车间</w:t>
            </w:r>
            <w:r w:rsidR="00B31025">
              <w:rPr>
                <w:rFonts w:ascii="Times New Roman" w:hAnsi="Times New Roman" w:cs="Times New Roman" w:hint="eastAsia"/>
                <w:lang w:eastAsia="zh-CN"/>
              </w:rPr>
              <w:t>处理</w:t>
            </w:r>
            <w:r w:rsidR="00C43933">
              <w:rPr>
                <w:rFonts w:ascii="Times New Roman" w:hAnsi="Times New Roman" w:cs="Times New Roman" w:hint="eastAsia"/>
                <w:lang w:eastAsia="zh-CN"/>
              </w:rPr>
              <w:t>，并</w:t>
            </w:r>
            <w:r w:rsidRPr="00455D99">
              <w:rPr>
                <w:rFonts w:ascii="Times New Roman" w:hAnsi="Times New Roman" w:cs="Times New Roman"/>
                <w:lang w:eastAsia="zh-CN"/>
              </w:rPr>
              <w:t>根据飞灰填埋的承载力要求，对原有池壁进行结构安全评估和必要的加固处理</w:t>
            </w:r>
            <w:r w:rsidR="000457B8">
              <w:rPr>
                <w:rFonts w:ascii="Times New Roman" w:hAnsi="Times New Roman" w:cs="Times New Roman" w:hint="eastAsia"/>
                <w:lang w:eastAsia="zh-CN"/>
              </w:rPr>
              <w:t>。</w:t>
            </w:r>
            <w:bookmarkEnd w:id="91"/>
          </w:p>
        </w:tc>
        <w:tc>
          <w:tcPr>
            <w:tcW w:w="850" w:type="dxa"/>
            <w:vAlign w:val="center"/>
          </w:tcPr>
          <w:p w14:paraId="23641995" w14:textId="660A0EBB" w:rsidR="00606029" w:rsidRDefault="00455D99">
            <w:pPr>
              <w:pStyle w:val="TableText"/>
              <w:adjustRightInd w:val="0"/>
              <w:snapToGrid w:val="0"/>
              <w:jc w:val="center"/>
              <w:rPr>
                <w:rFonts w:ascii="Times New Roman" w:hAnsi="Times New Roman" w:cs="Times New Roman"/>
              </w:rPr>
            </w:pPr>
            <w:r>
              <w:rPr>
                <w:rFonts w:ascii="Times New Roman" w:hAnsi="Times New Roman" w:cs="Times New Roman" w:hint="eastAsia"/>
                <w:lang w:eastAsia="zh-CN"/>
              </w:rPr>
              <w:t>改建</w:t>
            </w:r>
          </w:p>
        </w:tc>
      </w:tr>
      <w:tr w:rsidR="00A91859" w14:paraId="6BA9C0D0" w14:textId="77777777" w:rsidTr="007327FC">
        <w:trPr>
          <w:trHeight w:val="57"/>
          <w:jc w:val="center"/>
        </w:trPr>
        <w:tc>
          <w:tcPr>
            <w:tcW w:w="0" w:type="auto"/>
            <w:vMerge/>
            <w:vAlign w:val="center"/>
          </w:tcPr>
          <w:p w14:paraId="0D48BCDE" w14:textId="77777777" w:rsidR="00A91859" w:rsidRDefault="00A91859">
            <w:pPr>
              <w:pStyle w:val="TableText"/>
              <w:adjustRightInd w:val="0"/>
              <w:snapToGrid w:val="0"/>
              <w:jc w:val="center"/>
              <w:rPr>
                <w:rFonts w:ascii="Times New Roman" w:hAnsi="Times New Roman" w:cs="Times New Roman"/>
              </w:rPr>
            </w:pPr>
          </w:p>
        </w:tc>
        <w:tc>
          <w:tcPr>
            <w:tcW w:w="1219" w:type="dxa"/>
            <w:vAlign w:val="center"/>
          </w:tcPr>
          <w:p w14:paraId="3A823E6E" w14:textId="66107FF7" w:rsidR="00A91859" w:rsidRDefault="00A91859">
            <w:pPr>
              <w:pStyle w:val="TableText"/>
              <w:adjustRightInd w:val="0"/>
              <w:snapToGrid w:val="0"/>
              <w:jc w:val="center"/>
              <w:rPr>
                <w:rFonts w:ascii="Times New Roman" w:hAnsi="Times New Roman" w:cs="Times New Roman"/>
              </w:rPr>
            </w:pPr>
            <w:bookmarkStart w:id="93" w:name="OLE_LINK85"/>
            <w:r>
              <w:rPr>
                <w:rFonts w:ascii="Times New Roman" w:hAnsi="Times New Roman" w:cs="Times New Roman" w:hint="eastAsia"/>
                <w:lang w:eastAsia="zh-CN"/>
              </w:rPr>
              <w:t>截洪沟</w:t>
            </w:r>
            <w:bookmarkEnd w:id="93"/>
          </w:p>
        </w:tc>
        <w:tc>
          <w:tcPr>
            <w:tcW w:w="6545" w:type="dxa"/>
            <w:vAlign w:val="center"/>
          </w:tcPr>
          <w:p w14:paraId="31A1DB20" w14:textId="554AB895" w:rsidR="00A91859" w:rsidRPr="00455D99" w:rsidRDefault="00A91859" w:rsidP="00A91859">
            <w:pPr>
              <w:pStyle w:val="TableText"/>
              <w:adjustRightInd w:val="0"/>
              <w:snapToGrid w:val="0"/>
              <w:rPr>
                <w:rFonts w:ascii="Times New Roman" w:hAnsi="Times New Roman" w:cs="Times New Roman"/>
                <w:lang w:eastAsia="zh-CN"/>
              </w:rPr>
            </w:pPr>
            <w:r w:rsidRPr="00A91859">
              <w:rPr>
                <w:rFonts w:ascii="Times New Roman" w:hAnsi="Times New Roman" w:cs="Times New Roman" w:hint="eastAsia"/>
                <w:lang w:eastAsia="zh-CN"/>
              </w:rPr>
              <w:t>场外截洪沟</w:t>
            </w:r>
            <w:r>
              <w:rPr>
                <w:rFonts w:ascii="Times New Roman" w:hAnsi="Times New Roman" w:cs="Times New Roman" w:hint="eastAsia"/>
                <w:lang w:eastAsia="zh-CN"/>
              </w:rPr>
              <w:t>，</w:t>
            </w:r>
            <w:r w:rsidRPr="00A91859">
              <w:rPr>
                <w:rFonts w:ascii="Times New Roman" w:hAnsi="Times New Roman" w:cs="Times New Roman" w:hint="eastAsia"/>
                <w:lang w:eastAsia="zh-CN"/>
              </w:rPr>
              <w:t>设置在</w:t>
            </w:r>
            <w:r w:rsidR="00C43933">
              <w:rPr>
                <w:rFonts w:ascii="Times New Roman" w:hAnsi="Times New Roman" w:cs="Times New Roman" w:hint="eastAsia"/>
                <w:lang w:eastAsia="zh-CN"/>
              </w:rPr>
              <w:t>飞灰填埋区</w:t>
            </w:r>
            <w:r w:rsidRPr="00A91859">
              <w:rPr>
                <w:rFonts w:ascii="Times New Roman" w:hAnsi="Times New Roman" w:cs="Times New Roman" w:hint="eastAsia"/>
                <w:lang w:eastAsia="zh-CN"/>
              </w:rPr>
              <w:t>边缘（即原调节池的池壁四周）</w:t>
            </w:r>
            <w:r>
              <w:rPr>
                <w:rFonts w:ascii="Times New Roman" w:hAnsi="Times New Roman" w:cs="Times New Roman" w:hint="eastAsia"/>
                <w:lang w:eastAsia="zh-CN"/>
              </w:rPr>
              <w:t>，</w:t>
            </w:r>
            <w:r w:rsidRPr="00A91859">
              <w:rPr>
                <w:rFonts w:ascii="Times New Roman" w:hAnsi="Times New Roman" w:cs="Times New Roman"/>
                <w:lang w:eastAsia="zh-CN"/>
              </w:rPr>
              <w:t>拦截流向</w:t>
            </w:r>
            <w:r w:rsidR="00FF4F95">
              <w:rPr>
                <w:rFonts w:ascii="Times New Roman" w:hAnsi="Times New Roman" w:cs="Times New Roman" w:hint="eastAsia"/>
                <w:lang w:eastAsia="zh-CN"/>
              </w:rPr>
              <w:t>飞灰填埋</w:t>
            </w:r>
            <w:r w:rsidRPr="00A91859">
              <w:rPr>
                <w:rFonts w:ascii="Times New Roman" w:hAnsi="Times New Roman" w:cs="Times New Roman"/>
                <w:lang w:eastAsia="zh-CN"/>
              </w:rPr>
              <w:t>区的地表径流，将其直接排入下游自然水系，严禁让这部分水流入填埋作业区。</w:t>
            </w:r>
          </w:p>
        </w:tc>
        <w:tc>
          <w:tcPr>
            <w:tcW w:w="850" w:type="dxa"/>
            <w:vAlign w:val="center"/>
          </w:tcPr>
          <w:p w14:paraId="29603A4F" w14:textId="1E5D89DD" w:rsidR="00A91859" w:rsidRPr="00A91859" w:rsidRDefault="00A91859">
            <w:pPr>
              <w:pStyle w:val="TableText"/>
              <w:adjustRightInd w:val="0"/>
              <w:snapToGrid w:val="0"/>
              <w:jc w:val="center"/>
              <w:rPr>
                <w:rFonts w:ascii="Times New Roman" w:hAnsi="Times New Roman" w:cs="Times New Roman"/>
                <w:lang w:eastAsia="zh-CN"/>
              </w:rPr>
            </w:pPr>
            <w:r>
              <w:rPr>
                <w:rFonts w:ascii="Times New Roman" w:hAnsi="Times New Roman" w:cs="Times New Roman" w:hint="eastAsia"/>
                <w:lang w:eastAsia="zh-CN"/>
              </w:rPr>
              <w:t>新建</w:t>
            </w:r>
          </w:p>
        </w:tc>
      </w:tr>
      <w:tr w:rsidR="00606029" w14:paraId="604FC9C7" w14:textId="77777777" w:rsidTr="007327FC">
        <w:trPr>
          <w:trHeight w:val="57"/>
          <w:jc w:val="center"/>
        </w:trPr>
        <w:tc>
          <w:tcPr>
            <w:tcW w:w="0" w:type="auto"/>
            <w:vMerge/>
            <w:vAlign w:val="center"/>
          </w:tcPr>
          <w:p w14:paraId="5F4DFFD0" w14:textId="77777777" w:rsidR="00606029" w:rsidRDefault="00606029">
            <w:pPr>
              <w:adjustRightInd w:val="0"/>
              <w:snapToGrid w:val="0"/>
              <w:jc w:val="center"/>
            </w:pPr>
          </w:p>
        </w:tc>
        <w:tc>
          <w:tcPr>
            <w:tcW w:w="1219" w:type="dxa"/>
            <w:vAlign w:val="center"/>
          </w:tcPr>
          <w:p w14:paraId="4E5BACE6" w14:textId="77777777" w:rsidR="00606029" w:rsidRDefault="00EA5B92">
            <w:pPr>
              <w:pStyle w:val="TableText"/>
              <w:adjustRightInd w:val="0"/>
              <w:snapToGrid w:val="0"/>
              <w:jc w:val="center"/>
              <w:rPr>
                <w:rFonts w:ascii="Times New Roman" w:hAnsi="Times New Roman" w:cs="Times New Roman"/>
              </w:rPr>
            </w:pPr>
            <w:bookmarkStart w:id="94" w:name="OLE_LINK62"/>
            <w:r>
              <w:rPr>
                <w:rFonts w:ascii="Times New Roman" w:hAnsi="Times New Roman" w:cs="Times New Roman"/>
              </w:rPr>
              <w:t>淋溶水收集导排系统</w:t>
            </w:r>
            <w:bookmarkEnd w:id="94"/>
          </w:p>
        </w:tc>
        <w:tc>
          <w:tcPr>
            <w:tcW w:w="6545" w:type="dxa"/>
            <w:vAlign w:val="center"/>
          </w:tcPr>
          <w:p w14:paraId="2E04C155" w14:textId="55505663" w:rsidR="00606029" w:rsidRPr="005A0388" w:rsidRDefault="000457B8" w:rsidP="00FE2EC7">
            <w:pPr>
              <w:pStyle w:val="TableText"/>
              <w:adjustRightInd w:val="0"/>
              <w:snapToGrid w:val="0"/>
              <w:jc w:val="left"/>
              <w:rPr>
                <w:rFonts w:ascii="Times New Roman" w:hAnsi="Times New Roman" w:cs="Times New Roman"/>
                <w:highlight w:val="yellow"/>
                <w:lang w:eastAsia="zh-CN"/>
              </w:rPr>
            </w:pPr>
            <w:r w:rsidRPr="000457B8">
              <w:rPr>
                <w:rFonts w:ascii="Times New Roman" w:hAnsi="Times New Roman" w:cs="Times New Roman"/>
                <w:lang w:eastAsia="zh-CN"/>
              </w:rPr>
              <w:t>池底</w:t>
            </w:r>
            <w:r w:rsidR="00FF4F95">
              <w:rPr>
                <w:rFonts w:ascii="Times New Roman" w:hAnsi="Times New Roman" w:cs="Times New Roman" w:hint="eastAsia"/>
                <w:lang w:eastAsia="zh-CN"/>
              </w:rPr>
              <w:t>设置</w:t>
            </w:r>
            <w:r w:rsidRPr="000457B8">
              <w:rPr>
                <w:rFonts w:ascii="Times New Roman" w:hAnsi="Times New Roman" w:cs="Times New Roman"/>
                <w:lang w:eastAsia="zh-CN"/>
              </w:rPr>
              <w:t>碎石导排层</w:t>
            </w:r>
            <w:r w:rsidRPr="000457B8">
              <w:rPr>
                <w:rFonts w:ascii="Times New Roman" w:hAnsi="Times New Roman" w:cs="Times New Roman"/>
                <w:lang w:eastAsia="zh-CN"/>
              </w:rPr>
              <w:t>+HDPE</w:t>
            </w:r>
            <w:r w:rsidRPr="000457B8">
              <w:rPr>
                <w:rFonts w:ascii="Times New Roman" w:hAnsi="Times New Roman" w:cs="Times New Roman"/>
                <w:lang w:eastAsia="zh-CN"/>
              </w:rPr>
              <w:t>穿孔收集管网</w:t>
            </w:r>
            <w:r w:rsidRPr="000457B8">
              <w:rPr>
                <w:rFonts w:ascii="Times New Roman" w:hAnsi="Times New Roman" w:cs="Times New Roman"/>
                <w:lang w:eastAsia="zh-CN"/>
              </w:rPr>
              <w:t>+</w:t>
            </w:r>
            <w:r w:rsidRPr="000457B8">
              <w:rPr>
                <w:rFonts w:ascii="Times New Roman" w:hAnsi="Times New Roman" w:cs="Times New Roman"/>
                <w:lang w:eastAsia="zh-CN"/>
              </w:rPr>
              <w:t>集水井提升系统，并配合高标准的防渗衬垫，将原</w:t>
            </w:r>
            <w:r w:rsidRPr="000457B8">
              <w:rPr>
                <w:rFonts w:ascii="Times New Roman" w:hAnsi="Times New Roman" w:cs="Times New Roman"/>
                <w:lang w:eastAsia="zh-CN"/>
              </w:rPr>
              <w:t>“</w:t>
            </w:r>
            <w:r w:rsidRPr="000457B8">
              <w:rPr>
                <w:rFonts w:ascii="Times New Roman" w:hAnsi="Times New Roman" w:cs="Times New Roman"/>
                <w:lang w:eastAsia="zh-CN"/>
              </w:rPr>
              <w:t>盛水的容器</w:t>
            </w:r>
            <w:r w:rsidRPr="000457B8">
              <w:rPr>
                <w:rFonts w:ascii="Times New Roman" w:hAnsi="Times New Roman" w:cs="Times New Roman"/>
                <w:lang w:eastAsia="zh-CN"/>
              </w:rPr>
              <w:t>”</w:t>
            </w:r>
            <w:r w:rsidRPr="000457B8">
              <w:rPr>
                <w:rFonts w:ascii="Times New Roman" w:hAnsi="Times New Roman" w:cs="Times New Roman"/>
                <w:lang w:eastAsia="zh-CN"/>
              </w:rPr>
              <w:t>转变为</w:t>
            </w:r>
            <w:r w:rsidRPr="000457B8">
              <w:rPr>
                <w:rFonts w:ascii="Times New Roman" w:hAnsi="Times New Roman" w:cs="Times New Roman"/>
                <w:lang w:eastAsia="zh-CN"/>
              </w:rPr>
              <w:t>“</w:t>
            </w:r>
            <w:r w:rsidRPr="000457B8">
              <w:rPr>
                <w:rFonts w:ascii="Times New Roman" w:hAnsi="Times New Roman" w:cs="Times New Roman"/>
                <w:lang w:eastAsia="zh-CN"/>
              </w:rPr>
              <w:t>干的填埋库</w:t>
            </w:r>
            <w:r w:rsidRPr="000457B8">
              <w:rPr>
                <w:rFonts w:ascii="Times New Roman" w:hAnsi="Times New Roman" w:cs="Times New Roman"/>
                <w:lang w:eastAsia="zh-CN"/>
              </w:rPr>
              <w:t>”</w:t>
            </w:r>
            <w:r w:rsidRPr="000457B8">
              <w:rPr>
                <w:rFonts w:ascii="Times New Roman" w:hAnsi="Times New Roman" w:cs="Times New Roman"/>
                <w:lang w:eastAsia="zh-CN"/>
              </w:rPr>
              <w:t>，同时保留液体导出功能。</w:t>
            </w:r>
          </w:p>
        </w:tc>
        <w:tc>
          <w:tcPr>
            <w:tcW w:w="850" w:type="dxa"/>
            <w:vAlign w:val="center"/>
          </w:tcPr>
          <w:p w14:paraId="0779A230" w14:textId="13BB60B1" w:rsidR="00606029" w:rsidRDefault="000457B8">
            <w:pPr>
              <w:pStyle w:val="TableText"/>
              <w:adjustRightInd w:val="0"/>
              <w:snapToGrid w:val="0"/>
              <w:jc w:val="center"/>
              <w:rPr>
                <w:rFonts w:ascii="Times New Roman" w:hAnsi="Times New Roman" w:cs="Times New Roman"/>
              </w:rPr>
            </w:pPr>
            <w:r>
              <w:rPr>
                <w:rFonts w:ascii="Times New Roman" w:hAnsi="Times New Roman" w:cs="Times New Roman" w:hint="eastAsia"/>
                <w:lang w:eastAsia="zh-CN"/>
              </w:rPr>
              <w:t>改建</w:t>
            </w:r>
          </w:p>
        </w:tc>
      </w:tr>
      <w:tr w:rsidR="00606029" w14:paraId="22E844DB" w14:textId="77777777" w:rsidTr="007327FC">
        <w:trPr>
          <w:trHeight w:val="57"/>
          <w:jc w:val="center"/>
        </w:trPr>
        <w:tc>
          <w:tcPr>
            <w:tcW w:w="0" w:type="auto"/>
            <w:vMerge/>
            <w:vAlign w:val="center"/>
          </w:tcPr>
          <w:p w14:paraId="6FFCB5ED" w14:textId="77777777" w:rsidR="00606029" w:rsidRDefault="00606029">
            <w:pPr>
              <w:adjustRightInd w:val="0"/>
              <w:snapToGrid w:val="0"/>
              <w:jc w:val="center"/>
            </w:pPr>
          </w:p>
        </w:tc>
        <w:tc>
          <w:tcPr>
            <w:tcW w:w="1219" w:type="dxa"/>
            <w:vAlign w:val="center"/>
          </w:tcPr>
          <w:p w14:paraId="4CDC2EBF" w14:textId="77777777" w:rsidR="00606029" w:rsidRDefault="00EA5B92">
            <w:pPr>
              <w:pStyle w:val="TableText"/>
              <w:adjustRightInd w:val="0"/>
              <w:snapToGrid w:val="0"/>
              <w:jc w:val="center"/>
              <w:rPr>
                <w:rFonts w:ascii="Times New Roman" w:hAnsi="Times New Roman" w:cs="Times New Roman"/>
              </w:rPr>
            </w:pPr>
            <w:r>
              <w:rPr>
                <w:rFonts w:ascii="Times New Roman" w:hAnsi="Times New Roman" w:cs="Times New Roman"/>
              </w:rPr>
              <w:t>地下水导排系统</w:t>
            </w:r>
          </w:p>
        </w:tc>
        <w:tc>
          <w:tcPr>
            <w:tcW w:w="6545" w:type="dxa"/>
            <w:vAlign w:val="center"/>
          </w:tcPr>
          <w:p w14:paraId="35FA33B9" w14:textId="51D722E5" w:rsidR="00606029" w:rsidRPr="005A0388" w:rsidRDefault="000457B8" w:rsidP="00FE2EC7">
            <w:pPr>
              <w:pStyle w:val="TableText"/>
              <w:adjustRightInd w:val="0"/>
              <w:snapToGrid w:val="0"/>
              <w:jc w:val="left"/>
              <w:rPr>
                <w:rFonts w:ascii="Times New Roman" w:hAnsi="Times New Roman" w:cs="Times New Roman"/>
                <w:highlight w:val="yellow"/>
                <w:lang w:eastAsia="zh-CN"/>
              </w:rPr>
            </w:pPr>
            <w:r w:rsidRPr="000457B8">
              <w:rPr>
                <w:rFonts w:ascii="Times New Roman" w:hAnsi="Times New Roman" w:cs="Times New Roman"/>
                <w:lang w:eastAsia="zh-CN"/>
              </w:rPr>
              <w:t>原混凝土池壁</w:t>
            </w:r>
            <w:r w:rsidRPr="000457B8">
              <w:rPr>
                <w:rFonts w:ascii="Times New Roman" w:hAnsi="Times New Roman" w:cs="Times New Roman"/>
                <w:lang w:eastAsia="zh-CN"/>
              </w:rPr>
              <w:t>/</w:t>
            </w:r>
            <w:r w:rsidRPr="000457B8">
              <w:rPr>
                <w:rFonts w:ascii="Times New Roman" w:hAnsi="Times New Roman" w:cs="Times New Roman"/>
                <w:lang w:eastAsia="zh-CN"/>
              </w:rPr>
              <w:t>底</w:t>
            </w:r>
            <w:r w:rsidRPr="000457B8">
              <w:rPr>
                <w:rFonts w:ascii="Times New Roman" w:hAnsi="Times New Roman" w:cs="Times New Roman"/>
                <w:lang w:eastAsia="zh-CN"/>
              </w:rPr>
              <w:t>+</w:t>
            </w:r>
            <w:r w:rsidRPr="000457B8">
              <w:rPr>
                <w:rFonts w:ascii="Times New Roman" w:hAnsi="Times New Roman" w:cs="Times New Roman"/>
                <w:lang w:eastAsia="zh-CN"/>
              </w:rPr>
              <w:t>土工布（反滤层）</w:t>
            </w:r>
            <w:r w:rsidRPr="000457B8">
              <w:rPr>
                <w:rFonts w:ascii="Times New Roman" w:hAnsi="Times New Roman" w:cs="Times New Roman"/>
                <w:lang w:eastAsia="zh-CN"/>
              </w:rPr>
              <w:t>+</w:t>
            </w:r>
            <w:r w:rsidR="00C43933" w:rsidRPr="000457B8">
              <w:rPr>
                <w:rFonts w:ascii="Times New Roman" w:hAnsi="Times New Roman" w:cs="Times New Roman"/>
                <w:lang w:eastAsia="zh-CN"/>
              </w:rPr>
              <w:t xml:space="preserve"> </w:t>
            </w:r>
            <w:r w:rsidRPr="000457B8">
              <w:rPr>
                <w:rFonts w:ascii="Times New Roman" w:hAnsi="Times New Roman" w:cs="Times New Roman"/>
                <w:lang w:eastAsia="zh-CN"/>
              </w:rPr>
              <w:t>HDPE</w:t>
            </w:r>
            <w:r w:rsidRPr="000457B8">
              <w:rPr>
                <w:rFonts w:ascii="Times New Roman" w:hAnsi="Times New Roman" w:cs="Times New Roman"/>
                <w:lang w:eastAsia="zh-CN"/>
              </w:rPr>
              <w:t>穿孔收集管</w:t>
            </w:r>
            <w:bookmarkStart w:id="95" w:name="OLE_LINK45"/>
            <w:r w:rsidRPr="000457B8">
              <w:rPr>
                <w:rFonts w:ascii="Times New Roman" w:hAnsi="Times New Roman" w:cs="Times New Roman"/>
                <w:lang w:eastAsia="zh-CN"/>
              </w:rPr>
              <w:t>+</w:t>
            </w:r>
            <w:r w:rsidRPr="000457B8">
              <w:rPr>
                <w:rFonts w:ascii="Times New Roman" w:hAnsi="Times New Roman" w:cs="Times New Roman"/>
                <w:lang w:eastAsia="zh-CN"/>
              </w:rPr>
              <w:t>连接至集水井</w:t>
            </w:r>
            <w:r w:rsidRPr="000457B8">
              <w:rPr>
                <w:rFonts w:ascii="Times New Roman" w:hAnsi="Times New Roman" w:cs="Times New Roman"/>
                <w:lang w:eastAsia="zh-CN"/>
              </w:rPr>
              <w:t>+</w:t>
            </w:r>
            <w:r w:rsidRPr="000457B8">
              <w:rPr>
                <w:rFonts w:ascii="Times New Roman" w:hAnsi="Times New Roman" w:cs="Times New Roman"/>
                <w:lang w:eastAsia="zh-CN"/>
              </w:rPr>
              <w:t>引出至监测</w:t>
            </w:r>
            <w:r w:rsidRPr="000457B8">
              <w:rPr>
                <w:rFonts w:ascii="Times New Roman" w:hAnsi="Times New Roman" w:cs="Times New Roman"/>
                <w:lang w:eastAsia="zh-CN"/>
              </w:rPr>
              <w:t>/</w:t>
            </w:r>
            <w:r w:rsidRPr="000457B8">
              <w:rPr>
                <w:rFonts w:ascii="Times New Roman" w:hAnsi="Times New Roman" w:cs="Times New Roman"/>
                <w:lang w:eastAsia="zh-CN"/>
              </w:rPr>
              <w:t>处理设施</w:t>
            </w:r>
            <w:bookmarkEnd w:id="95"/>
            <w:r w:rsidR="00FE2EC7">
              <w:rPr>
                <w:rFonts w:ascii="Times New Roman" w:hAnsi="Times New Roman" w:cs="Times New Roman" w:hint="eastAsia"/>
                <w:lang w:eastAsia="zh-CN"/>
              </w:rPr>
              <w:t>。</w:t>
            </w:r>
          </w:p>
        </w:tc>
        <w:tc>
          <w:tcPr>
            <w:tcW w:w="850" w:type="dxa"/>
            <w:vAlign w:val="center"/>
          </w:tcPr>
          <w:p w14:paraId="5A9F0DFB" w14:textId="3E99BC12" w:rsidR="00606029" w:rsidRDefault="000457B8">
            <w:pPr>
              <w:pStyle w:val="TableText"/>
              <w:adjustRightInd w:val="0"/>
              <w:snapToGrid w:val="0"/>
              <w:jc w:val="center"/>
              <w:rPr>
                <w:rFonts w:ascii="Times New Roman" w:hAnsi="Times New Roman" w:cs="Times New Roman"/>
              </w:rPr>
            </w:pPr>
            <w:r>
              <w:rPr>
                <w:rFonts w:ascii="Times New Roman" w:hAnsi="Times New Roman" w:cs="Times New Roman" w:hint="eastAsia"/>
                <w:lang w:eastAsia="zh-CN"/>
              </w:rPr>
              <w:t>改建</w:t>
            </w:r>
          </w:p>
        </w:tc>
      </w:tr>
      <w:tr w:rsidR="00606029" w14:paraId="7AB57A8C" w14:textId="77777777" w:rsidTr="007327FC">
        <w:trPr>
          <w:trHeight w:val="57"/>
          <w:jc w:val="center"/>
        </w:trPr>
        <w:tc>
          <w:tcPr>
            <w:tcW w:w="0" w:type="auto"/>
            <w:vMerge/>
            <w:vAlign w:val="center"/>
          </w:tcPr>
          <w:p w14:paraId="43A643E6" w14:textId="77777777" w:rsidR="00606029" w:rsidRDefault="00606029">
            <w:pPr>
              <w:adjustRightInd w:val="0"/>
              <w:snapToGrid w:val="0"/>
              <w:jc w:val="center"/>
            </w:pPr>
          </w:p>
        </w:tc>
        <w:tc>
          <w:tcPr>
            <w:tcW w:w="1219" w:type="dxa"/>
            <w:vAlign w:val="center"/>
          </w:tcPr>
          <w:p w14:paraId="5C87AD30" w14:textId="77777777" w:rsidR="00606029" w:rsidRDefault="00EA5B92">
            <w:pPr>
              <w:pStyle w:val="TableText"/>
              <w:adjustRightInd w:val="0"/>
              <w:snapToGrid w:val="0"/>
              <w:jc w:val="center"/>
              <w:rPr>
                <w:rFonts w:ascii="Times New Roman" w:hAnsi="Times New Roman" w:cs="Times New Roman"/>
              </w:rPr>
            </w:pPr>
            <w:bookmarkStart w:id="96" w:name="OLE_LINK86"/>
            <w:r>
              <w:rPr>
                <w:rFonts w:ascii="Times New Roman" w:hAnsi="Times New Roman" w:cs="Times New Roman"/>
              </w:rPr>
              <w:t>雨水导排系统</w:t>
            </w:r>
            <w:bookmarkEnd w:id="96"/>
          </w:p>
        </w:tc>
        <w:tc>
          <w:tcPr>
            <w:tcW w:w="6545" w:type="dxa"/>
            <w:vAlign w:val="center"/>
          </w:tcPr>
          <w:p w14:paraId="5C0BF416" w14:textId="456282A2" w:rsidR="00606029" w:rsidRPr="005A0388" w:rsidRDefault="000457B8" w:rsidP="00FE2EC7">
            <w:pPr>
              <w:pStyle w:val="TableText"/>
              <w:adjustRightInd w:val="0"/>
              <w:snapToGrid w:val="0"/>
              <w:jc w:val="left"/>
              <w:rPr>
                <w:rFonts w:ascii="Times New Roman" w:hAnsi="Times New Roman" w:cs="Times New Roman"/>
                <w:highlight w:val="yellow"/>
                <w:lang w:eastAsia="zh-CN"/>
              </w:rPr>
            </w:pPr>
            <w:r w:rsidRPr="000457B8">
              <w:rPr>
                <w:rFonts w:ascii="Times New Roman" w:hAnsi="Times New Roman" w:cs="Times New Roman"/>
                <w:lang w:eastAsia="zh-CN"/>
              </w:rPr>
              <w:t>周边截洪沟拦截外来水</w:t>
            </w:r>
            <w:r w:rsidRPr="000457B8">
              <w:rPr>
                <w:rFonts w:ascii="Times New Roman" w:hAnsi="Times New Roman" w:cs="Times New Roman"/>
                <w:lang w:eastAsia="zh-CN"/>
              </w:rPr>
              <w:t>+</w:t>
            </w:r>
            <w:r w:rsidRPr="000457B8">
              <w:rPr>
                <w:rFonts w:ascii="Times New Roman" w:hAnsi="Times New Roman" w:cs="Times New Roman"/>
                <w:lang w:eastAsia="zh-CN"/>
              </w:rPr>
              <w:t>堆体表面覆盖防雨</w:t>
            </w:r>
            <w:r w:rsidRPr="000457B8">
              <w:rPr>
                <w:rFonts w:ascii="Times New Roman" w:hAnsi="Times New Roman" w:cs="Times New Roman"/>
                <w:lang w:eastAsia="zh-CN"/>
              </w:rPr>
              <w:t>+</w:t>
            </w:r>
            <w:r w:rsidRPr="000457B8">
              <w:rPr>
                <w:rFonts w:ascii="Times New Roman" w:hAnsi="Times New Roman" w:cs="Times New Roman"/>
                <w:lang w:eastAsia="zh-CN"/>
              </w:rPr>
              <w:t>底部盲沟</w:t>
            </w:r>
            <w:r w:rsidRPr="000457B8">
              <w:rPr>
                <w:rFonts w:ascii="Times New Roman" w:hAnsi="Times New Roman" w:cs="Times New Roman"/>
                <w:lang w:eastAsia="zh-CN"/>
              </w:rPr>
              <w:t>/</w:t>
            </w:r>
            <w:r w:rsidRPr="000457B8">
              <w:rPr>
                <w:rFonts w:ascii="Times New Roman" w:hAnsi="Times New Roman" w:cs="Times New Roman"/>
                <w:lang w:eastAsia="zh-CN"/>
              </w:rPr>
              <w:t>集水井收集</w:t>
            </w:r>
            <w:r w:rsidRPr="000457B8">
              <w:rPr>
                <w:rFonts w:ascii="Times New Roman" w:hAnsi="Times New Roman" w:cs="Times New Roman"/>
                <w:lang w:eastAsia="zh-CN"/>
              </w:rPr>
              <w:t>+</w:t>
            </w:r>
            <w:r>
              <w:rPr>
                <w:rFonts w:ascii="Times New Roman" w:hAnsi="Times New Roman" w:cs="Times New Roman" w:hint="eastAsia"/>
                <w:lang w:eastAsia="zh-CN"/>
              </w:rPr>
              <w:t>初期雨水进入初期雨水收集池，后期雨水进入雨排系统</w:t>
            </w:r>
            <w:r w:rsidR="00FE2EC7">
              <w:rPr>
                <w:rFonts w:ascii="Times New Roman" w:hAnsi="Times New Roman" w:cs="Times New Roman" w:hint="eastAsia"/>
                <w:lang w:eastAsia="zh-CN"/>
              </w:rPr>
              <w:t>。</w:t>
            </w:r>
          </w:p>
        </w:tc>
        <w:tc>
          <w:tcPr>
            <w:tcW w:w="850" w:type="dxa"/>
            <w:vAlign w:val="center"/>
          </w:tcPr>
          <w:p w14:paraId="519FCE2D" w14:textId="6D9C5835" w:rsidR="00606029" w:rsidRDefault="00967196">
            <w:pPr>
              <w:pStyle w:val="TableText"/>
              <w:adjustRightInd w:val="0"/>
              <w:snapToGrid w:val="0"/>
              <w:jc w:val="center"/>
              <w:rPr>
                <w:rFonts w:ascii="Times New Roman" w:hAnsi="Times New Roman" w:cs="Times New Roman"/>
              </w:rPr>
            </w:pPr>
            <w:r>
              <w:rPr>
                <w:rFonts w:ascii="Times New Roman" w:hAnsi="Times New Roman" w:cs="Times New Roman" w:hint="eastAsia"/>
                <w:lang w:eastAsia="zh-CN"/>
              </w:rPr>
              <w:t>改建</w:t>
            </w:r>
          </w:p>
        </w:tc>
      </w:tr>
      <w:tr w:rsidR="00606029" w14:paraId="7613A734" w14:textId="77777777" w:rsidTr="007327FC">
        <w:trPr>
          <w:trHeight w:val="57"/>
          <w:jc w:val="center"/>
        </w:trPr>
        <w:tc>
          <w:tcPr>
            <w:tcW w:w="0" w:type="auto"/>
            <w:vMerge/>
            <w:vAlign w:val="center"/>
          </w:tcPr>
          <w:p w14:paraId="1F2B43C6" w14:textId="77777777" w:rsidR="00606029" w:rsidRDefault="00606029">
            <w:pPr>
              <w:adjustRightInd w:val="0"/>
              <w:snapToGrid w:val="0"/>
              <w:jc w:val="center"/>
            </w:pPr>
          </w:p>
        </w:tc>
        <w:tc>
          <w:tcPr>
            <w:tcW w:w="1219" w:type="dxa"/>
            <w:vAlign w:val="center"/>
          </w:tcPr>
          <w:p w14:paraId="59D3C098" w14:textId="77777777" w:rsidR="00606029" w:rsidRDefault="00EA5B92">
            <w:pPr>
              <w:pStyle w:val="TableText"/>
              <w:adjustRightInd w:val="0"/>
              <w:snapToGrid w:val="0"/>
              <w:jc w:val="center"/>
              <w:rPr>
                <w:rFonts w:ascii="Times New Roman" w:hAnsi="Times New Roman" w:cs="Times New Roman"/>
              </w:rPr>
            </w:pPr>
            <w:bookmarkStart w:id="97" w:name="OLE_LINK87"/>
            <w:r>
              <w:rPr>
                <w:rFonts w:ascii="Times New Roman" w:hAnsi="Times New Roman" w:cs="Times New Roman"/>
              </w:rPr>
              <w:t>遮雨覆盖工</w:t>
            </w:r>
            <w:r>
              <w:rPr>
                <w:rFonts w:ascii="Times New Roman" w:hAnsi="Times New Roman" w:cs="Times New Roman"/>
              </w:rPr>
              <w:lastRenderedPageBreak/>
              <w:t>程</w:t>
            </w:r>
            <w:bookmarkEnd w:id="97"/>
          </w:p>
        </w:tc>
        <w:tc>
          <w:tcPr>
            <w:tcW w:w="6545" w:type="dxa"/>
            <w:vAlign w:val="center"/>
          </w:tcPr>
          <w:p w14:paraId="2B9073DE" w14:textId="77777777" w:rsidR="00606029" w:rsidRPr="005A0388" w:rsidRDefault="00EA5B92" w:rsidP="00FE2EC7">
            <w:pPr>
              <w:pStyle w:val="TableText"/>
              <w:adjustRightInd w:val="0"/>
              <w:snapToGrid w:val="0"/>
              <w:jc w:val="left"/>
              <w:rPr>
                <w:rFonts w:ascii="Times New Roman" w:hAnsi="Times New Roman" w:cs="Times New Roman"/>
                <w:highlight w:val="yellow"/>
                <w:lang w:eastAsia="zh-CN"/>
              </w:rPr>
            </w:pPr>
            <w:r w:rsidRPr="00967196">
              <w:rPr>
                <w:rFonts w:ascii="Times New Roman" w:hAnsi="Times New Roman" w:cs="Times New Roman"/>
                <w:lang w:eastAsia="zh-CN"/>
              </w:rPr>
              <w:lastRenderedPageBreak/>
              <w:t>场区内设置</w:t>
            </w:r>
            <w:r w:rsidRPr="00967196">
              <w:rPr>
                <w:rFonts w:ascii="Times New Roman" w:eastAsia="Times New Roman" w:hAnsi="Times New Roman" w:cs="Times New Roman"/>
                <w:lang w:eastAsia="zh-CN"/>
              </w:rPr>
              <w:t>HDPE</w:t>
            </w:r>
            <w:r w:rsidRPr="00967196">
              <w:rPr>
                <w:rFonts w:ascii="Times New Roman" w:hAnsi="Times New Roman" w:cs="Times New Roman"/>
                <w:lang w:eastAsia="zh-CN"/>
              </w:rPr>
              <w:t>土工膜，每次入场后固化块平整压实后用防水布遮</w:t>
            </w:r>
            <w:r w:rsidRPr="00967196">
              <w:rPr>
                <w:rFonts w:ascii="Times New Roman" w:hAnsi="Times New Roman" w:cs="Times New Roman"/>
                <w:lang w:eastAsia="zh-CN"/>
              </w:rPr>
              <w:lastRenderedPageBreak/>
              <w:t>盖。中间覆盖和日覆盖的材料均为</w:t>
            </w:r>
            <w:r w:rsidRPr="00967196">
              <w:rPr>
                <w:rFonts w:ascii="Times New Roman" w:eastAsia="Times New Roman" w:hAnsi="Times New Roman" w:cs="Times New Roman"/>
                <w:lang w:eastAsia="zh-CN"/>
              </w:rPr>
              <w:t>1.0mm</w:t>
            </w:r>
            <w:r w:rsidRPr="00967196">
              <w:rPr>
                <w:rFonts w:ascii="Times New Roman" w:hAnsi="Times New Roman" w:cs="Times New Roman"/>
                <w:lang w:eastAsia="zh-CN"/>
              </w:rPr>
              <w:t>的</w:t>
            </w:r>
            <w:r w:rsidRPr="00967196">
              <w:rPr>
                <w:rFonts w:ascii="Times New Roman" w:eastAsia="Times New Roman" w:hAnsi="Times New Roman" w:cs="Times New Roman"/>
                <w:lang w:eastAsia="zh-CN"/>
              </w:rPr>
              <w:t>HDPE</w:t>
            </w:r>
            <w:r w:rsidRPr="00967196">
              <w:rPr>
                <w:rFonts w:ascii="Times New Roman" w:hAnsi="Times New Roman" w:cs="Times New Roman"/>
                <w:lang w:eastAsia="zh-CN"/>
              </w:rPr>
              <w:t>膜，保证固化飞灰填埋后及时将堆体覆盖防止雨水进入，并在膜表面通过设置临时排水沟等措施及时导排膜表面的雨水，保证膜表面雨水导排顺畅不进入堆体。</w:t>
            </w:r>
          </w:p>
        </w:tc>
        <w:tc>
          <w:tcPr>
            <w:tcW w:w="850" w:type="dxa"/>
            <w:vAlign w:val="center"/>
          </w:tcPr>
          <w:p w14:paraId="5FB9CDA9" w14:textId="77777777" w:rsidR="00606029" w:rsidRDefault="00EA5B92">
            <w:pPr>
              <w:pStyle w:val="TableText"/>
              <w:adjustRightInd w:val="0"/>
              <w:snapToGrid w:val="0"/>
              <w:jc w:val="center"/>
              <w:rPr>
                <w:rFonts w:ascii="Times New Roman" w:hAnsi="Times New Roman" w:cs="Times New Roman"/>
              </w:rPr>
            </w:pPr>
            <w:r>
              <w:rPr>
                <w:rFonts w:ascii="Times New Roman" w:hAnsi="Times New Roman" w:cs="Times New Roman"/>
              </w:rPr>
              <w:lastRenderedPageBreak/>
              <w:t>新建</w:t>
            </w:r>
          </w:p>
        </w:tc>
      </w:tr>
      <w:tr w:rsidR="00606029" w14:paraId="732D0A93" w14:textId="77777777" w:rsidTr="007327FC">
        <w:trPr>
          <w:trHeight w:val="57"/>
          <w:jc w:val="center"/>
        </w:trPr>
        <w:tc>
          <w:tcPr>
            <w:tcW w:w="0" w:type="auto"/>
            <w:vMerge/>
            <w:vAlign w:val="center"/>
          </w:tcPr>
          <w:p w14:paraId="6B027BC9" w14:textId="77777777" w:rsidR="00606029" w:rsidRDefault="00606029">
            <w:pPr>
              <w:adjustRightInd w:val="0"/>
              <w:snapToGrid w:val="0"/>
              <w:jc w:val="center"/>
            </w:pPr>
          </w:p>
        </w:tc>
        <w:tc>
          <w:tcPr>
            <w:tcW w:w="1219" w:type="dxa"/>
            <w:vAlign w:val="center"/>
          </w:tcPr>
          <w:p w14:paraId="5953BEA3" w14:textId="77777777" w:rsidR="00606029" w:rsidRDefault="00EA5B92">
            <w:pPr>
              <w:pStyle w:val="TableText"/>
              <w:adjustRightInd w:val="0"/>
              <w:snapToGrid w:val="0"/>
              <w:jc w:val="center"/>
              <w:rPr>
                <w:rFonts w:ascii="Times New Roman" w:hAnsi="Times New Roman" w:cs="Times New Roman"/>
              </w:rPr>
            </w:pPr>
            <w:r>
              <w:rPr>
                <w:rFonts w:ascii="Times New Roman" w:hAnsi="Times New Roman" w:cs="Times New Roman"/>
              </w:rPr>
              <w:t>淋溶水渗漏检测设施</w:t>
            </w:r>
          </w:p>
        </w:tc>
        <w:tc>
          <w:tcPr>
            <w:tcW w:w="6545" w:type="dxa"/>
            <w:vAlign w:val="center"/>
          </w:tcPr>
          <w:p w14:paraId="7CC54D5A" w14:textId="77ED7130" w:rsidR="00606029" w:rsidRPr="005A0388" w:rsidRDefault="00EA5B92">
            <w:pPr>
              <w:pStyle w:val="TableText"/>
              <w:adjustRightInd w:val="0"/>
              <w:snapToGrid w:val="0"/>
              <w:jc w:val="center"/>
              <w:rPr>
                <w:rFonts w:ascii="Times New Roman" w:hAnsi="Times New Roman" w:cs="Times New Roman"/>
                <w:highlight w:val="yellow"/>
                <w:lang w:eastAsia="zh-CN"/>
              </w:rPr>
            </w:pPr>
            <w:r w:rsidRPr="004C4AB7">
              <w:rPr>
                <w:rFonts w:ascii="Times New Roman" w:hAnsi="Times New Roman" w:cs="Times New Roman"/>
                <w:lang w:eastAsia="zh-CN"/>
              </w:rPr>
              <w:t>主次防渗层间设</w:t>
            </w:r>
            <w:r w:rsidR="004C4AB7" w:rsidRPr="004C4AB7">
              <w:rPr>
                <w:rFonts w:ascii="Times New Roman" w:hAnsi="Times New Roman" w:cs="Times New Roman"/>
                <w:lang w:eastAsia="zh-CN"/>
              </w:rPr>
              <w:t>电学监测报警系统</w:t>
            </w:r>
          </w:p>
        </w:tc>
        <w:tc>
          <w:tcPr>
            <w:tcW w:w="850" w:type="dxa"/>
            <w:vAlign w:val="center"/>
          </w:tcPr>
          <w:p w14:paraId="3835633E" w14:textId="77777777" w:rsidR="00606029" w:rsidRDefault="00EA5B92">
            <w:pPr>
              <w:pStyle w:val="TableText"/>
              <w:adjustRightInd w:val="0"/>
              <w:snapToGrid w:val="0"/>
              <w:jc w:val="center"/>
              <w:rPr>
                <w:rFonts w:ascii="Times New Roman" w:hAnsi="Times New Roman" w:cs="Times New Roman"/>
              </w:rPr>
            </w:pPr>
            <w:r>
              <w:rPr>
                <w:rFonts w:ascii="Times New Roman" w:hAnsi="Times New Roman" w:cs="Times New Roman"/>
              </w:rPr>
              <w:t>新建</w:t>
            </w:r>
          </w:p>
        </w:tc>
      </w:tr>
      <w:tr w:rsidR="00606029" w14:paraId="018AAB78" w14:textId="77777777" w:rsidTr="007327FC">
        <w:trPr>
          <w:trHeight w:val="57"/>
          <w:jc w:val="center"/>
        </w:trPr>
        <w:tc>
          <w:tcPr>
            <w:tcW w:w="0" w:type="auto"/>
            <w:vMerge/>
            <w:vAlign w:val="center"/>
          </w:tcPr>
          <w:p w14:paraId="21FBAD6E" w14:textId="77777777" w:rsidR="00606029" w:rsidRDefault="00606029">
            <w:pPr>
              <w:adjustRightInd w:val="0"/>
              <w:snapToGrid w:val="0"/>
              <w:jc w:val="center"/>
            </w:pPr>
          </w:p>
        </w:tc>
        <w:tc>
          <w:tcPr>
            <w:tcW w:w="1219" w:type="dxa"/>
            <w:vAlign w:val="center"/>
          </w:tcPr>
          <w:p w14:paraId="4F390A89" w14:textId="77777777" w:rsidR="00606029" w:rsidRDefault="00EA5B92">
            <w:pPr>
              <w:pStyle w:val="TableText"/>
              <w:adjustRightInd w:val="0"/>
              <w:snapToGrid w:val="0"/>
              <w:jc w:val="center"/>
              <w:rPr>
                <w:rFonts w:ascii="Times New Roman" w:hAnsi="Times New Roman" w:cs="Times New Roman"/>
              </w:rPr>
            </w:pPr>
            <w:r>
              <w:rPr>
                <w:rFonts w:ascii="Times New Roman" w:hAnsi="Times New Roman" w:cs="Times New Roman"/>
              </w:rPr>
              <w:t>封场工程</w:t>
            </w:r>
          </w:p>
        </w:tc>
        <w:tc>
          <w:tcPr>
            <w:tcW w:w="6545" w:type="dxa"/>
            <w:vAlign w:val="center"/>
          </w:tcPr>
          <w:p w14:paraId="5A55FEBD" w14:textId="02588FE3" w:rsidR="00606029" w:rsidRPr="005A0388" w:rsidRDefault="007327FC" w:rsidP="007327FC">
            <w:pPr>
              <w:pStyle w:val="TableText"/>
              <w:adjustRightInd w:val="0"/>
              <w:snapToGrid w:val="0"/>
              <w:rPr>
                <w:rFonts w:ascii="Times New Roman" w:hAnsi="Times New Roman" w:cs="Times New Roman"/>
                <w:highlight w:val="yellow"/>
                <w:lang w:eastAsia="zh-CN"/>
              </w:rPr>
            </w:pPr>
            <w:r w:rsidRPr="007327FC">
              <w:rPr>
                <w:rFonts w:ascii="Times New Roman" w:hAnsi="Times New Roman" w:cs="Times New Roman" w:hint="eastAsia"/>
                <w:lang w:eastAsia="zh-CN"/>
              </w:rPr>
              <w:t>当飞灰填埋至设计标高后，进行最终封场</w:t>
            </w:r>
            <w:r>
              <w:rPr>
                <w:rFonts w:ascii="Times New Roman" w:hAnsi="Times New Roman" w:cs="Times New Roman" w:hint="eastAsia"/>
                <w:lang w:eastAsia="zh-CN"/>
              </w:rPr>
              <w:t>，</w:t>
            </w:r>
            <w:r w:rsidR="00DB337F" w:rsidRPr="00DB337F">
              <w:rPr>
                <w:rFonts w:ascii="Times New Roman" w:hAnsi="Times New Roman" w:cs="Times New Roman"/>
                <w:lang w:eastAsia="zh-CN"/>
              </w:rPr>
              <w:t>封场工程包括基础层、封场覆盖及配套系统</w:t>
            </w:r>
            <w:r w:rsidR="00DB337F">
              <w:rPr>
                <w:rFonts w:ascii="Times New Roman" w:hAnsi="Times New Roman" w:cs="Times New Roman" w:hint="eastAsia"/>
                <w:lang w:eastAsia="zh-CN"/>
              </w:rPr>
              <w:t>，</w:t>
            </w:r>
            <w:r w:rsidRPr="007327FC">
              <w:rPr>
                <w:rFonts w:ascii="Times New Roman" w:hAnsi="Times New Roman" w:cs="Times New Roman" w:hint="eastAsia"/>
                <w:lang w:eastAsia="zh-CN"/>
              </w:rPr>
              <w:t>封场后仍需通过导排</w:t>
            </w:r>
            <w:r>
              <w:rPr>
                <w:rFonts w:ascii="Times New Roman" w:hAnsi="Times New Roman" w:cs="Times New Roman" w:hint="eastAsia"/>
                <w:lang w:eastAsia="zh-CN"/>
              </w:rPr>
              <w:t>设施</w:t>
            </w:r>
            <w:r w:rsidRPr="007327FC">
              <w:rPr>
                <w:rFonts w:ascii="Times New Roman" w:hAnsi="Times New Roman" w:cs="Times New Roman" w:hint="eastAsia"/>
                <w:lang w:eastAsia="zh-CN"/>
              </w:rPr>
              <w:t>收集</w:t>
            </w:r>
            <w:r>
              <w:rPr>
                <w:rFonts w:ascii="Times New Roman" w:hAnsi="Times New Roman" w:cs="Times New Roman" w:hint="eastAsia"/>
                <w:lang w:eastAsia="zh-CN"/>
              </w:rPr>
              <w:t>淋溶水</w:t>
            </w:r>
            <w:r w:rsidRPr="007327FC">
              <w:rPr>
                <w:rFonts w:ascii="Times New Roman" w:hAnsi="Times New Roman" w:cs="Times New Roman" w:hint="eastAsia"/>
                <w:lang w:eastAsia="zh-CN"/>
              </w:rPr>
              <w:t>，直至稳定化</w:t>
            </w:r>
            <w:r w:rsidR="00DB337F">
              <w:rPr>
                <w:rFonts w:ascii="Times New Roman" w:hAnsi="Times New Roman" w:cs="Times New Roman" w:hint="eastAsia"/>
                <w:lang w:eastAsia="zh-CN"/>
              </w:rPr>
              <w:t>，</w:t>
            </w:r>
            <w:r>
              <w:rPr>
                <w:rFonts w:ascii="Times New Roman" w:hAnsi="Times New Roman" w:cs="Times New Roman" w:hint="eastAsia"/>
                <w:lang w:eastAsia="zh-CN"/>
              </w:rPr>
              <w:t>并继续对地下水进行</w:t>
            </w:r>
            <w:r w:rsidRPr="007327FC">
              <w:rPr>
                <w:rFonts w:ascii="Times New Roman" w:hAnsi="Times New Roman" w:cs="Times New Roman" w:hint="eastAsia"/>
                <w:lang w:eastAsia="zh-CN"/>
              </w:rPr>
              <w:t>定期监测水质</w:t>
            </w:r>
            <w:r>
              <w:rPr>
                <w:rFonts w:ascii="Times New Roman" w:hAnsi="Times New Roman" w:cs="Times New Roman" w:hint="eastAsia"/>
                <w:lang w:eastAsia="zh-CN"/>
              </w:rPr>
              <w:t>。</w:t>
            </w:r>
          </w:p>
        </w:tc>
        <w:tc>
          <w:tcPr>
            <w:tcW w:w="850" w:type="dxa"/>
            <w:vAlign w:val="center"/>
          </w:tcPr>
          <w:p w14:paraId="301A71C0" w14:textId="77777777" w:rsidR="00606029" w:rsidRDefault="00EA5B92">
            <w:pPr>
              <w:pStyle w:val="TableText"/>
              <w:adjustRightInd w:val="0"/>
              <w:snapToGrid w:val="0"/>
              <w:jc w:val="center"/>
              <w:rPr>
                <w:rFonts w:ascii="Times New Roman" w:hAnsi="Times New Roman" w:cs="Times New Roman"/>
              </w:rPr>
            </w:pPr>
            <w:r>
              <w:rPr>
                <w:rFonts w:ascii="Times New Roman" w:hAnsi="Times New Roman" w:cs="Times New Roman"/>
              </w:rPr>
              <w:t>新建</w:t>
            </w:r>
          </w:p>
        </w:tc>
      </w:tr>
      <w:tr w:rsidR="00606029" w14:paraId="7135FE78" w14:textId="77777777" w:rsidTr="007327FC">
        <w:trPr>
          <w:trHeight w:val="57"/>
          <w:jc w:val="center"/>
        </w:trPr>
        <w:tc>
          <w:tcPr>
            <w:tcW w:w="0" w:type="auto"/>
            <w:vMerge w:val="restart"/>
            <w:vAlign w:val="center"/>
          </w:tcPr>
          <w:p w14:paraId="3FE0D078" w14:textId="77777777" w:rsidR="00606029" w:rsidRDefault="00EA5B92">
            <w:pPr>
              <w:pStyle w:val="TableText"/>
              <w:adjustRightInd w:val="0"/>
              <w:snapToGrid w:val="0"/>
              <w:jc w:val="center"/>
              <w:rPr>
                <w:rFonts w:ascii="Times New Roman" w:hAnsi="Times New Roman" w:cs="Times New Roman"/>
              </w:rPr>
            </w:pPr>
            <w:r>
              <w:rPr>
                <w:rFonts w:ascii="Times New Roman" w:hAnsi="Times New Roman" w:cs="Times New Roman"/>
              </w:rPr>
              <w:t>公辅工程</w:t>
            </w:r>
          </w:p>
        </w:tc>
        <w:tc>
          <w:tcPr>
            <w:tcW w:w="1219" w:type="dxa"/>
            <w:vAlign w:val="center"/>
          </w:tcPr>
          <w:p w14:paraId="2EAA5613" w14:textId="77777777" w:rsidR="00606029" w:rsidRDefault="00EA5B92">
            <w:pPr>
              <w:pStyle w:val="TableText"/>
              <w:adjustRightInd w:val="0"/>
              <w:snapToGrid w:val="0"/>
              <w:jc w:val="center"/>
              <w:rPr>
                <w:rFonts w:ascii="Times New Roman" w:hAnsi="Times New Roman" w:cs="Times New Roman"/>
              </w:rPr>
            </w:pPr>
            <w:r>
              <w:rPr>
                <w:rFonts w:ascii="Times New Roman" w:hAnsi="Times New Roman" w:cs="Times New Roman"/>
              </w:rPr>
              <w:t>给排水、电气工程</w:t>
            </w:r>
          </w:p>
        </w:tc>
        <w:tc>
          <w:tcPr>
            <w:tcW w:w="6545" w:type="dxa"/>
            <w:vAlign w:val="center"/>
          </w:tcPr>
          <w:p w14:paraId="57B4EAF9" w14:textId="1C0F6BA9" w:rsidR="00606029" w:rsidRDefault="004C4AB7">
            <w:pPr>
              <w:pStyle w:val="TableText"/>
              <w:adjustRightInd w:val="0"/>
              <w:snapToGrid w:val="0"/>
              <w:jc w:val="center"/>
              <w:rPr>
                <w:rFonts w:ascii="Times New Roman" w:hAnsi="Times New Roman" w:cs="Times New Roman"/>
                <w:lang w:eastAsia="zh-CN"/>
              </w:rPr>
            </w:pPr>
            <w:r>
              <w:rPr>
                <w:rFonts w:ascii="Times New Roman" w:hAnsi="Times New Roman" w:cs="Times New Roman" w:hint="eastAsia"/>
                <w:lang w:eastAsia="zh-CN"/>
              </w:rPr>
              <w:t>填埋区紧邻现有厂区</w:t>
            </w:r>
            <w:r w:rsidR="00EA5B92">
              <w:rPr>
                <w:rFonts w:ascii="Times New Roman" w:hAnsi="Times New Roman" w:cs="Times New Roman"/>
                <w:lang w:eastAsia="zh-CN"/>
              </w:rPr>
              <w:t>，仅在填埋期间</w:t>
            </w:r>
            <w:r w:rsidR="005A0388">
              <w:rPr>
                <w:rFonts w:ascii="Times New Roman" w:hAnsi="Times New Roman" w:cs="Times New Roman" w:hint="eastAsia"/>
                <w:lang w:eastAsia="zh-CN"/>
              </w:rPr>
              <w:t>调配</w:t>
            </w:r>
            <w:r w:rsidR="00EA5B92">
              <w:rPr>
                <w:rFonts w:ascii="Times New Roman" w:hAnsi="Times New Roman" w:cs="Times New Roman"/>
                <w:lang w:eastAsia="zh-CN"/>
              </w:rPr>
              <w:t>作业人员及定期巡查人员，无需另外进行供水、供电工程设计。</w:t>
            </w:r>
          </w:p>
        </w:tc>
        <w:tc>
          <w:tcPr>
            <w:tcW w:w="850" w:type="dxa"/>
            <w:vAlign w:val="center"/>
          </w:tcPr>
          <w:p w14:paraId="52A724A7" w14:textId="77777777" w:rsidR="00606029" w:rsidRDefault="00EA5B92">
            <w:pPr>
              <w:adjustRightInd w:val="0"/>
              <w:snapToGrid w:val="0"/>
              <w:jc w:val="center"/>
              <w:rPr>
                <w:rFonts w:eastAsia="Times New Roman"/>
              </w:rPr>
            </w:pPr>
            <w:r>
              <w:rPr>
                <w:rFonts w:eastAsia="Times New Roman"/>
              </w:rPr>
              <w:t>/</w:t>
            </w:r>
          </w:p>
        </w:tc>
      </w:tr>
      <w:tr w:rsidR="00606029" w14:paraId="1EA7DC1E" w14:textId="77777777" w:rsidTr="007327FC">
        <w:trPr>
          <w:trHeight w:val="57"/>
          <w:jc w:val="center"/>
        </w:trPr>
        <w:tc>
          <w:tcPr>
            <w:tcW w:w="0" w:type="auto"/>
            <w:vMerge/>
            <w:vAlign w:val="center"/>
          </w:tcPr>
          <w:p w14:paraId="3F703FB3" w14:textId="77777777" w:rsidR="00606029" w:rsidRDefault="00606029">
            <w:pPr>
              <w:adjustRightInd w:val="0"/>
              <w:snapToGrid w:val="0"/>
              <w:jc w:val="center"/>
            </w:pPr>
          </w:p>
        </w:tc>
        <w:tc>
          <w:tcPr>
            <w:tcW w:w="1219" w:type="dxa"/>
            <w:vAlign w:val="center"/>
          </w:tcPr>
          <w:p w14:paraId="5048847A" w14:textId="77777777" w:rsidR="00606029" w:rsidRDefault="00EA5B92">
            <w:pPr>
              <w:pStyle w:val="TableText"/>
              <w:adjustRightInd w:val="0"/>
              <w:snapToGrid w:val="0"/>
              <w:jc w:val="center"/>
              <w:rPr>
                <w:rFonts w:ascii="Times New Roman" w:hAnsi="Times New Roman" w:cs="Times New Roman"/>
              </w:rPr>
            </w:pPr>
            <w:r>
              <w:rPr>
                <w:rFonts w:ascii="Times New Roman" w:hAnsi="Times New Roman" w:cs="Times New Roman"/>
              </w:rPr>
              <w:t>办公区</w:t>
            </w:r>
          </w:p>
        </w:tc>
        <w:tc>
          <w:tcPr>
            <w:tcW w:w="6545" w:type="dxa"/>
            <w:vAlign w:val="center"/>
          </w:tcPr>
          <w:p w14:paraId="090F1CFB" w14:textId="41FE21F3" w:rsidR="00606029" w:rsidRDefault="00EA5B92">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rPr>
              <w:t>依托</w:t>
            </w:r>
            <w:r w:rsidR="005A0388">
              <w:rPr>
                <w:rFonts w:ascii="Times New Roman" w:hAnsi="Times New Roman" w:cs="Times New Roman" w:hint="eastAsia"/>
                <w:lang w:eastAsia="zh-CN"/>
              </w:rPr>
              <w:t>厂区</w:t>
            </w:r>
            <w:r>
              <w:rPr>
                <w:rFonts w:ascii="Times New Roman" w:hAnsi="Times New Roman" w:cs="Times New Roman"/>
                <w:lang w:eastAsia="zh-CN"/>
              </w:rPr>
              <w:t>现有办公</w:t>
            </w:r>
            <w:r w:rsidR="005A0388">
              <w:rPr>
                <w:rFonts w:ascii="Times New Roman" w:hAnsi="Times New Roman" w:cs="Times New Roman" w:hint="eastAsia"/>
                <w:lang w:eastAsia="zh-CN"/>
              </w:rPr>
              <w:t>设施</w:t>
            </w:r>
          </w:p>
        </w:tc>
        <w:tc>
          <w:tcPr>
            <w:tcW w:w="850" w:type="dxa"/>
            <w:vAlign w:val="center"/>
          </w:tcPr>
          <w:p w14:paraId="23D788CD" w14:textId="589B6DF1" w:rsidR="00606029" w:rsidRDefault="00EA5B92">
            <w:pPr>
              <w:pStyle w:val="TableText"/>
              <w:adjustRightInd w:val="0"/>
              <w:snapToGrid w:val="0"/>
              <w:jc w:val="center"/>
              <w:rPr>
                <w:rFonts w:ascii="Times New Roman" w:hAnsi="Times New Roman" w:cs="Times New Roman"/>
              </w:rPr>
            </w:pPr>
            <w:r>
              <w:rPr>
                <w:rFonts w:ascii="Times New Roman" w:hAnsi="Times New Roman" w:cs="Times New Roman"/>
              </w:rPr>
              <w:t>依托</w:t>
            </w:r>
          </w:p>
        </w:tc>
      </w:tr>
      <w:tr w:rsidR="00606029" w14:paraId="14161DC6" w14:textId="77777777" w:rsidTr="007327FC">
        <w:trPr>
          <w:trHeight w:val="57"/>
          <w:jc w:val="center"/>
        </w:trPr>
        <w:tc>
          <w:tcPr>
            <w:tcW w:w="0" w:type="auto"/>
            <w:vMerge/>
            <w:vAlign w:val="center"/>
          </w:tcPr>
          <w:p w14:paraId="28B434DB" w14:textId="77777777" w:rsidR="00606029" w:rsidRDefault="00606029">
            <w:pPr>
              <w:adjustRightInd w:val="0"/>
              <w:snapToGrid w:val="0"/>
              <w:jc w:val="center"/>
            </w:pPr>
          </w:p>
        </w:tc>
        <w:tc>
          <w:tcPr>
            <w:tcW w:w="1219" w:type="dxa"/>
            <w:vAlign w:val="center"/>
          </w:tcPr>
          <w:p w14:paraId="245C73C0" w14:textId="77777777" w:rsidR="00606029" w:rsidRDefault="00EA5B92">
            <w:pPr>
              <w:pStyle w:val="TableText"/>
              <w:adjustRightInd w:val="0"/>
              <w:snapToGrid w:val="0"/>
              <w:jc w:val="center"/>
              <w:rPr>
                <w:rFonts w:ascii="Times New Roman" w:hAnsi="Times New Roman" w:cs="Times New Roman"/>
              </w:rPr>
            </w:pPr>
            <w:r>
              <w:rPr>
                <w:rFonts w:ascii="Times New Roman" w:hAnsi="Times New Roman" w:cs="Times New Roman"/>
              </w:rPr>
              <w:t>称重系统</w:t>
            </w:r>
          </w:p>
        </w:tc>
        <w:tc>
          <w:tcPr>
            <w:tcW w:w="6545" w:type="dxa"/>
            <w:vAlign w:val="center"/>
          </w:tcPr>
          <w:p w14:paraId="09D15D74" w14:textId="061CE024" w:rsidR="00606029" w:rsidRDefault="00EA5B92">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rPr>
              <w:t>依托</w:t>
            </w:r>
            <w:r w:rsidR="005A0388">
              <w:rPr>
                <w:rFonts w:ascii="Times New Roman" w:hAnsi="Times New Roman" w:cs="Times New Roman" w:hint="eastAsia"/>
                <w:lang w:eastAsia="zh-CN"/>
              </w:rPr>
              <w:t>厂区现有</w:t>
            </w:r>
            <w:r>
              <w:rPr>
                <w:rFonts w:ascii="Times New Roman" w:hAnsi="Times New Roman" w:cs="Times New Roman"/>
                <w:lang w:eastAsia="zh-CN"/>
              </w:rPr>
              <w:t>地磅称重</w:t>
            </w:r>
          </w:p>
        </w:tc>
        <w:tc>
          <w:tcPr>
            <w:tcW w:w="850" w:type="dxa"/>
            <w:vAlign w:val="center"/>
          </w:tcPr>
          <w:p w14:paraId="3FFAD04E" w14:textId="67DFBDAB" w:rsidR="00606029" w:rsidRDefault="00EA5B92">
            <w:pPr>
              <w:pStyle w:val="TableText"/>
              <w:adjustRightInd w:val="0"/>
              <w:snapToGrid w:val="0"/>
              <w:jc w:val="center"/>
              <w:rPr>
                <w:rFonts w:ascii="Times New Roman" w:hAnsi="Times New Roman" w:cs="Times New Roman"/>
                <w:lang w:eastAsia="zh-CN"/>
              </w:rPr>
            </w:pPr>
            <w:r>
              <w:rPr>
                <w:rFonts w:ascii="Times New Roman" w:hAnsi="Times New Roman" w:cs="Times New Roman"/>
              </w:rPr>
              <w:t>依托</w:t>
            </w:r>
          </w:p>
        </w:tc>
      </w:tr>
      <w:tr w:rsidR="00606029" w14:paraId="6EB59ED6" w14:textId="77777777" w:rsidTr="007327FC">
        <w:trPr>
          <w:trHeight w:val="57"/>
          <w:jc w:val="center"/>
        </w:trPr>
        <w:tc>
          <w:tcPr>
            <w:tcW w:w="0" w:type="auto"/>
            <w:vMerge/>
            <w:vAlign w:val="center"/>
          </w:tcPr>
          <w:p w14:paraId="2F80FBD0" w14:textId="77777777" w:rsidR="00606029" w:rsidRDefault="00606029">
            <w:pPr>
              <w:adjustRightInd w:val="0"/>
              <w:snapToGrid w:val="0"/>
              <w:jc w:val="center"/>
            </w:pPr>
          </w:p>
        </w:tc>
        <w:tc>
          <w:tcPr>
            <w:tcW w:w="1219" w:type="dxa"/>
            <w:vAlign w:val="center"/>
          </w:tcPr>
          <w:p w14:paraId="02492DF6" w14:textId="77777777" w:rsidR="00606029" w:rsidRDefault="00EA5B92">
            <w:pPr>
              <w:pStyle w:val="TableText"/>
              <w:adjustRightInd w:val="0"/>
              <w:snapToGrid w:val="0"/>
              <w:jc w:val="center"/>
              <w:rPr>
                <w:rFonts w:ascii="Times New Roman" w:hAnsi="Times New Roman" w:cs="Times New Roman"/>
              </w:rPr>
            </w:pPr>
            <w:r>
              <w:rPr>
                <w:rFonts w:ascii="Times New Roman" w:hAnsi="Times New Roman" w:cs="Times New Roman"/>
              </w:rPr>
              <w:t>道路</w:t>
            </w:r>
          </w:p>
        </w:tc>
        <w:tc>
          <w:tcPr>
            <w:tcW w:w="6545" w:type="dxa"/>
            <w:vAlign w:val="center"/>
          </w:tcPr>
          <w:p w14:paraId="7BCDDF2C" w14:textId="077F4063" w:rsidR="00606029" w:rsidRDefault="005A0388">
            <w:pPr>
              <w:pStyle w:val="TableText"/>
              <w:adjustRightInd w:val="0"/>
              <w:snapToGrid w:val="0"/>
              <w:jc w:val="center"/>
              <w:rPr>
                <w:rFonts w:ascii="Times New Roman" w:hAnsi="Times New Roman" w:cs="Times New Roman"/>
                <w:lang w:eastAsia="zh-CN"/>
              </w:rPr>
            </w:pPr>
            <w:r>
              <w:rPr>
                <w:rFonts w:ascii="Times New Roman" w:hAnsi="Times New Roman" w:cs="Times New Roman" w:hint="eastAsia"/>
                <w:lang w:eastAsia="zh-CN"/>
              </w:rPr>
              <w:t>依托厂区现有道路</w:t>
            </w:r>
          </w:p>
        </w:tc>
        <w:tc>
          <w:tcPr>
            <w:tcW w:w="850" w:type="dxa"/>
            <w:vAlign w:val="center"/>
          </w:tcPr>
          <w:p w14:paraId="23F7A65A" w14:textId="6F19803E" w:rsidR="00606029" w:rsidRDefault="005A0388">
            <w:pPr>
              <w:pStyle w:val="TableText"/>
              <w:adjustRightInd w:val="0"/>
              <w:snapToGrid w:val="0"/>
              <w:jc w:val="center"/>
              <w:rPr>
                <w:rFonts w:ascii="Times New Roman" w:hAnsi="Times New Roman" w:cs="Times New Roman"/>
                <w:lang w:eastAsia="zh-CN"/>
              </w:rPr>
            </w:pPr>
            <w:r>
              <w:rPr>
                <w:rFonts w:ascii="Times New Roman" w:hAnsi="Times New Roman" w:cs="Times New Roman" w:hint="eastAsia"/>
                <w:lang w:eastAsia="zh-CN"/>
              </w:rPr>
              <w:t>依托</w:t>
            </w:r>
          </w:p>
        </w:tc>
      </w:tr>
      <w:tr w:rsidR="007327FC" w14:paraId="7AFB8384" w14:textId="77777777" w:rsidTr="007327FC">
        <w:trPr>
          <w:trHeight w:val="57"/>
          <w:jc w:val="center"/>
        </w:trPr>
        <w:tc>
          <w:tcPr>
            <w:tcW w:w="0" w:type="auto"/>
            <w:vMerge w:val="restart"/>
            <w:vAlign w:val="center"/>
          </w:tcPr>
          <w:p w14:paraId="4A2D8672" w14:textId="77777777" w:rsidR="007327FC" w:rsidRDefault="007327FC" w:rsidP="007327FC">
            <w:pPr>
              <w:pStyle w:val="TableText"/>
              <w:adjustRightInd w:val="0"/>
              <w:snapToGrid w:val="0"/>
              <w:jc w:val="center"/>
              <w:rPr>
                <w:rFonts w:ascii="Times New Roman" w:hAnsi="Times New Roman" w:cs="Times New Roman"/>
              </w:rPr>
            </w:pPr>
            <w:r>
              <w:rPr>
                <w:rFonts w:ascii="Times New Roman" w:hAnsi="Times New Roman" w:cs="Times New Roman"/>
              </w:rPr>
              <w:t>环保</w:t>
            </w:r>
          </w:p>
          <w:p w14:paraId="16E6C99E" w14:textId="4F8B965C" w:rsidR="007327FC" w:rsidRDefault="007327FC" w:rsidP="007327FC">
            <w:pPr>
              <w:pStyle w:val="TableText"/>
              <w:adjustRightInd w:val="0"/>
              <w:snapToGrid w:val="0"/>
              <w:jc w:val="center"/>
              <w:rPr>
                <w:rFonts w:hint="eastAsia"/>
              </w:rPr>
            </w:pPr>
            <w:r>
              <w:rPr>
                <w:rFonts w:ascii="Times New Roman" w:hAnsi="Times New Roman" w:cs="Times New Roman"/>
              </w:rPr>
              <w:t>工程</w:t>
            </w:r>
          </w:p>
        </w:tc>
        <w:tc>
          <w:tcPr>
            <w:tcW w:w="1219" w:type="dxa"/>
            <w:vAlign w:val="center"/>
          </w:tcPr>
          <w:p w14:paraId="2ED169C6" w14:textId="1098BE45" w:rsidR="007327FC" w:rsidRDefault="007327FC" w:rsidP="007327FC">
            <w:pPr>
              <w:pStyle w:val="TableText"/>
              <w:adjustRightInd w:val="0"/>
              <w:snapToGrid w:val="0"/>
              <w:jc w:val="center"/>
              <w:rPr>
                <w:rFonts w:ascii="Times New Roman" w:hAnsi="Times New Roman" w:cs="Times New Roman"/>
              </w:rPr>
            </w:pPr>
            <w:r>
              <w:rPr>
                <w:rFonts w:ascii="Times New Roman" w:hAnsi="Times New Roman" w:cs="Times New Roman"/>
              </w:rPr>
              <w:t>废气</w:t>
            </w:r>
          </w:p>
        </w:tc>
        <w:tc>
          <w:tcPr>
            <w:tcW w:w="6545" w:type="dxa"/>
            <w:vAlign w:val="center"/>
          </w:tcPr>
          <w:p w14:paraId="32D38D53" w14:textId="1B6D1D17" w:rsidR="007327FC" w:rsidRDefault="007327FC" w:rsidP="00FE2EC7">
            <w:pPr>
              <w:pStyle w:val="TableText"/>
              <w:adjustRightInd w:val="0"/>
              <w:snapToGrid w:val="0"/>
              <w:jc w:val="left"/>
              <w:rPr>
                <w:rFonts w:ascii="Times New Roman" w:hAnsi="Times New Roman" w:cs="Times New Roman"/>
                <w:lang w:eastAsia="zh-CN"/>
              </w:rPr>
            </w:pPr>
            <w:r>
              <w:rPr>
                <w:rFonts w:ascii="Times New Roman" w:hAnsi="Times New Roman" w:cs="Times New Roman"/>
                <w:lang w:eastAsia="zh-CN"/>
              </w:rPr>
              <w:t>加强运输和装卸管理；</w:t>
            </w:r>
            <w:r>
              <w:rPr>
                <w:rFonts w:ascii="Times New Roman" w:hAnsi="Times New Roman" w:cs="Times New Roman" w:hint="eastAsia"/>
                <w:lang w:eastAsia="zh-CN"/>
              </w:rPr>
              <w:t>洒水抑尘；</w:t>
            </w:r>
            <w:r w:rsidR="00FE2EC7" w:rsidRPr="00FE2EC7">
              <w:rPr>
                <w:rFonts w:ascii="Times New Roman" w:hAnsi="Times New Roman" w:cs="Times New Roman"/>
                <w:lang w:eastAsia="zh-CN"/>
              </w:rPr>
              <w:t>文明作业，稳定化后飞灰采用吨袋包装，不裸露于空气中，采取每日覆盖和中间覆盖的填埋模式，从源头减少粉尘产生</w:t>
            </w:r>
            <w:r w:rsidR="00FE2EC7">
              <w:rPr>
                <w:rFonts w:ascii="Times New Roman" w:hAnsi="Times New Roman" w:cs="Times New Roman" w:hint="eastAsia"/>
                <w:lang w:eastAsia="zh-CN"/>
              </w:rPr>
              <w:t>；</w:t>
            </w:r>
            <w:r w:rsidR="006E0251">
              <w:rPr>
                <w:rFonts w:ascii="Times New Roman" w:hAnsi="Times New Roman" w:cs="Times New Roman" w:hint="eastAsia"/>
                <w:lang w:eastAsia="zh-CN"/>
              </w:rPr>
              <w:t>加强</w:t>
            </w:r>
            <w:r>
              <w:rPr>
                <w:rFonts w:ascii="Times New Roman" w:hAnsi="Times New Roman" w:cs="Times New Roman" w:hint="eastAsia"/>
                <w:lang w:eastAsia="zh-CN"/>
              </w:rPr>
              <w:t>厂区</w:t>
            </w:r>
            <w:r>
              <w:rPr>
                <w:rFonts w:ascii="Times New Roman" w:hAnsi="Times New Roman" w:cs="Times New Roman"/>
                <w:lang w:eastAsia="zh-CN"/>
              </w:rPr>
              <w:t>绿化，</w:t>
            </w:r>
            <w:r w:rsidR="006E0251">
              <w:rPr>
                <w:rFonts w:ascii="Times New Roman" w:hAnsi="Times New Roman" w:cs="Times New Roman" w:hint="eastAsia"/>
                <w:lang w:eastAsia="zh-CN"/>
              </w:rPr>
              <w:t>进一步</w:t>
            </w:r>
            <w:r>
              <w:rPr>
                <w:rFonts w:ascii="Times New Roman" w:hAnsi="Times New Roman" w:cs="Times New Roman"/>
                <w:lang w:eastAsia="zh-CN"/>
              </w:rPr>
              <w:t>减少粉尘等的影响。</w:t>
            </w:r>
          </w:p>
        </w:tc>
        <w:tc>
          <w:tcPr>
            <w:tcW w:w="850" w:type="dxa"/>
            <w:vAlign w:val="center"/>
          </w:tcPr>
          <w:p w14:paraId="78E16C0F" w14:textId="42AFFAB4" w:rsidR="007327FC" w:rsidRDefault="006E0251" w:rsidP="007327FC">
            <w:pPr>
              <w:pStyle w:val="TableText"/>
              <w:adjustRightInd w:val="0"/>
              <w:snapToGrid w:val="0"/>
              <w:jc w:val="center"/>
              <w:rPr>
                <w:rFonts w:ascii="Times New Roman" w:hAnsi="Times New Roman" w:cs="Times New Roman"/>
                <w:lang w:eastAsia="zh-CN"/>
              </w:rPr>
            </w:pPr>
            <w:r>
              <w:rPr>
                <w:rFonts w:ascii="Times New Roman" w:hAnsi="Times New Roman" w:cs="Times New Roman" w:hint="eastAsia"/>
                <w:lang w:eastAsia="zh-CN"/>
              </w:rPr>
              <w:t>新建</w:t>
            </w:r>
          </w:p>
        </w:tc>
      </w:tr>
      <w:tr w:rsidR="007327FC" w14:paraId="3B87EC7F" w14:textId="77777777" w:rsidTr="007327FC">
        <w:trPr>
          <w:trHeight w:val="57"/>
          <w:jc w:val="center"/>
        </w:trPr>
        <w:tc>
          <w:tcPr>
            <w:tcW w:w="0" w:type="auto"/>
            <w:vMerge/>
            <w:vAlign w:val="center"/>
          </w:tcPr>
          <w:p w14:paraId="0F3B71E7" w14:textId="77210E46" w:rsidR="007327FC" w:rsidRDefault="007327FC">
            <w:pPr>
              <w:pStyle w:val="TableText"/>
              <w:adjustRightInd w:val="0"/>
              <w:snapToGrid w:val="0"/>
              <w:jc w:val="center"/>
              <w:rPr>
                <w:rFonts w:ascii="Times New Roman" w:hAnsi="Times New Roman" w:cs="Times New Roman"/>
              </w:rPr>
            </w:pPr>
          </w:p>
        </w:tc>
        <w:tc>
          <w:tcPr>
            <w:tcW w:w="1219" w:type="dxa"/>
            <w:vAlign w:val="center"/>
          </w:tcPr>
          <w:p w14:paraId="768D6A9B" w14:textId="77777777" w:rsidR="007327FC" w:rsidRDefault="007327FC">
            <w:pPr>
              <w:pStyle w:val="TableText"/>
              <w:adjustRightInd w:val="0"/>
              <w:snapToGrid w:val="0"/>
              <w:jc w:val="center"/>
              <w:rPr>
                <w:rFonts w:ascii="Times New Roman" w:hAnsi="Times New Roman" w:cs="Times New Roman"/>
              </w:rPr>
            </w:pPr>
            <w:r>
              <w:rPr>
                <w:rFonts w:ascii="Times New Roman" w:hAnsi="Times New Roman" w:cs="Times New Roman"/>
              </w:rPr>
              <w:t>废水处理</w:t>
            </w:r>
          </w:p>
        </w:tc>
        <w:tc>
          <w:tcPr>
            <w:tcW w:w="6545" w:type="dxa"/>
            <w:vAlign w:val="center"/>
          </w:tcPr>
          <w:p w14:paraId="2A3FA549" w14:textId="0EAF0B0F" w:rsidR="007327FC" w:rsidRDefault="007327FC" w:rsidP="00FE2EC7">
            <w:pPr>
              <w:pStyle w:val="TableText"/>
              <w:adjustRightInd w:val="0"/>
              <w:snapToGrid w:val="0"/>
              <w:jc w:val="left"/>
              <w:rPr>
                <w:rFonts w:ascii="Times New Roman" w:hAnsi="Times New Roman" w:cs="Times New Roman"/>
                <w:lang w:eastAsia="zh-CN"/>
              </w:rPr>
            </w:pPr>
            <w:r>
              <w:rPr>
                <w:rFonts w:ascii="Times New Roman" w:hAnsi="Times New Roman" w:cs="Times New Roman" w:hint="eastAsia"/>
                <w:lang w:eastAsia="zh-CN"/>
              </w:rPr>
              <w:t>淋溶水</w:t>
            </w:r>
            <w:r>
              <w:rPr>
                <w:rFonts w:ascii="Times New Roman" w:hAnsi="Times New Roman" w:cs="Times New Roman"/>
                <w:lang w:eastAsia="zh-CN"/>
              </w:rPr>
              <w:t>依托现有渗滤液处理站，处理规模为</w:t>
            </w:r>
            <w:r>
              <w:rPr>
                <w:rFonts w:ascii="Times New Roman" w:hAnsi="Times New Roman" w:cs="Times New Roman" w:hint="eastAsia"/>
                <w:lang w:eastAsia="zh-CN"/>
              </w:rPr>
              <w:t>45</w:t>
            </w:r>
            <w:r>
              <w:rPr>
                <w:rFonts w:ascii="Times New Roman" w:hAnsi="Times New Roman" w:cs="Times New Roman"/>
                <w:lang w:eastAsia="zh-CN"/>
              </w:rPr>
              <w:t>0m</w:t>
            </w:r>
            <w:r>
              <w:rPr>
                <w:rFonts w:ascii="Times New Roman" w:hAnsi="Times New Roman" w:cs="Times New Roman"/>
                <w:vertAlign w:val="superscript"/>
                <w:lang w:eastAsia="zh-CN"/>
              </w:rPr>
              <w:t>3</w:t>
            </w:r>
            <w:r>
              <w:rPr>
                <w:rFonts w:ascii="Times New Roman" w:hAnsi="Times New Roman" w:cs="Times New Roman"/>
                <w:lang w:eastAsia="zh-CN"/>
              </w:rPr>
              <w:t>/d</w:t>
            </w:r>
            <w:r>
              <w:rPr>
                <w:rFonts w:ascii="Times New Roman" w:hAnsi="Times New Roman" w:cs="Times New Roman"/>
                <w:lang w:eastAsia="zh-CN"/>
              </w:rPr>
              <w:t>，</w:t>
            </w:r>
            <w:r>
              <w:rPr>
                <w:rFonts w:ascii="Times New Roman" w:hAnsi="Times New Roman" w:cs="Times New Roman" w:hint="eastAsia"/>
                <w:lang w:eastAsia="zh-CN"/>
              </w:rPr>
              <w:t>改造</w:t>
            </w:r>
            <w:r>
              <w:rPr>
                <w:rFonts w:ascii="Times New Roman" w:hAnsi="Times New Roman" w:cs="Times New Roman"/>
                <w:lang w:eastAsia="zh-CN"/>
              </w:rPr>
              <w:t>采用</w:t>
            </w:r>
            <w:r w:rsidRPr="00054F86">
              <w:rPr>
                <w:rFonts w:ascii="Times New Roman" w:hAnsi="Times New Roman" w:cs="Times New Roman"/>
                <w:lang w:eastAsia="zh-CN"/>
              </w:rPr>
              <w:t xml:space="preserve"> “</w:t>
            </w:r>
            <w:r w:rsidRPr="00054F86">
              <w:rPr>
                <w:rFonts w:ascii="Times New Roman" w:hAnsi="Times New Roman" w:cs="Times New Roman"/>
                <w:lang w:eastAsia="zh-CN"/>
              </w:rPr>
              <w:t>调节池＋</w:t>
            </w:r>
            <w:r w:rsidRPr="00054F86">
              <w:rPr>
                <w:rFonts w:ascii="Times New Roman" w:hAnsi="Times New Roman" w:cs="Times New Roman"/>
                <w:lang w:eastAsia="zh-CN"/>
              </w:rPr>
              <w:t>UASB</w:t>
            </w:r>
            <w:r w:rsidRPr="00054F86">
              <w:rPr>
                <w:rFonts w:ascii="Times New Roman" w:hAnsi="Times New Roman" w:cs="Times New Roman"/>
                <w:lang w:eastAsia="zh-CN"/>
              </w:rPr>
              <w:t>厌氧反应器＋</w:t>
            </w:r>
            <w:r w:rsidRPr="00054F86">
              <w:rPr>
                <w:rFonts w:ascii="Times New Roman" w:hAnsi="Times New Roman" w:cs="Times New Roman"/>
                <w:lang w:eastAsia="zh-CN"/>
              </w:rPr>
              <w:t>MBR</w:t>
            </w:r>
            <w:r w:rsidRPr="00054F86">
              <w:rPr>
                <w:rFonts w:ascii="Times New Roman" w:hAnsi="Times New Roman" w:cs="Times New Roman"/>
                <w:lang w:eastAsia="zh-CN"/>
              </w:rPr>
              <w:t>生化处理系统＋</w:t>
            </w:r>
            <w:r w:rsidRPr="00054F86">
              <w:rPr>
                <w:rFonts w:ascii="Times New Roman" w:hAnsi="Times New Roman" w:cs="Times New Roman"/>
                <w:lang w:eastAsia="zh-CN"/>
              </w:rPr>
              <w:t>NF</w:t>
            </w:r>
            <w:r w:rsidRPr="00054F86">
              <w:rPr>
                <w:rFonts w:ascii="Times New Roman" w:hAnsi="Times New Roman" w:cs="Times New Roman"/>
                <w:lang w:eastAsia="zh-CN"/>
              </w:rPr>
              <w:t>纳滤＋</w:t>
            </w:r>
            <w:r w:rsidRPr="00054F86">
              <w:rPr>
                <w:rFonts w:ascii="Times New Roman" w:hAnsi="Times New Roman" w:cs="Times New Roman"/>
                <w:lang w:eastAsia="zh-CN"/>
              </w:rPr>
              <w:t>RO</w:t>
            </w:r>
            <w:r w:rsidRPr="00054F86">
              <w:rPr>
                <w:rFonts w:ascii="Times New Roman" w:hAnsi="Times New Roman" w:cs="Times New Roman"/>
                <w:lang w:eastAsia="zh-CN"/>
              </w:rPr>
              <w:t>反渗透</w:t>
            </w:r>
            <w:r w:rsidRPr="00054F86">
              <w:rPr>
                <w:rFonts w:ascii="Times New Roman" w:hAnsi="Times New Roman" w:cs="Times New Roman"/>
                <w:lang w:eastAsia="zh-CN"/>
              </w:rPr>
              <w:t>”</w:t>
            </w:r>
            <w:r>
              <w:rPr>
                <w:rFonts w:ascii="Times New Roman" w:hAnsi="Times New Roman" w:cs="Times New Roman" w:hint="eastAsia"/>
                <w:lang w:eastAsia="zh-CN"/>
              </w:rPr>
              <w:t>处理工艺</w:t>
            </w:r>
            <w:r>
              <w:rPr>
                <w:rFonts w:ascii="Times New Roman" w:hAnsi="Times New Roman" w:cs="Times New Roman"/>
                <w:lang w:eastAsia="zh-CN"/>
              </w:rPr>
              <w:t>，</w:t>
            </w:r>
            <w:r>
              <w:rPr>
                <w:rFonts w:ascii="Times New Roman" w:hAnsi="Times New Roman" w:cs="Times New Roman" w:hint="eastAsia"/>
                <w:lang w:eastAsia="zh-CN"/>
              </w:rPr>
              <w:t>出水</w:t>
            </w:r>
            <w:r w:rsidRPr="00054F86">
              <w:rPr>
                <w:rFonts w:ascii="Times New Roman" w:hAnsi="Times New Roman" w:cs="Times New Roman"/>
                <w:lang w:eastAsia="zh-CN"/>
              </w:rPr>
              <w:t>满足</w:t>
            </w:r>
            <w:bookmarkStart w:id="98" w:name="OLE_LINK61"/>
            <w:r w:rsidRPr="00054F86">
              <w:rPr>
                <w:rFonts w:ascii="Times New Roman" w:hAnsi="Times New Roman" w:cs="Times New Roman"/>
                <w:lang w:eastAsia="zh-CN"/>
              </w:rPr>
              <w:t>《生活垃圾填埋场污染控制标准》（</w:t>
            </w:r>
            <w:r w:rsidRPr="00054F86">
              <w:rPr>
                <w:rFonts w:ascii="Times New Roman" w:hAnsi="Times New Roman" w:cs="Times New Roman"/>
                <w:lang w:eastAsia="zh-CN"/>
              </w:rPr>
              <w:t>GB16889-2024</w:t>
            </w:r>
            <w:r w:rsidRPr="00054F86">
              <w:rPr>
                <w:rFonts w:ascii="Times New Roman" w:hAnsi="Times New Roman" w:cs="Times New Roman"/>
                <w:lang w:eastAsia="zh-CN"/>
              </w:rPr>
              <w:t>）表</w:t>
            </w:r>
            <w:r w:rsidRPr="00054F86">
              <w:rPr>
                <w:rFonts w:ascii="Times New Roman" w:hAnsi="Times New Roman" w:cs="Times New Roman"/>
                <w:lang w:eastAsia="zh-CN"/>
              </w:rPr>
              <w:t>4</w:t>
            </w:r>
            <w:r w:rsidRPr="00054F86">
              <w:rPr>
                <w:rFonts w:ascii="Times New Roman" w:hAnsi="Times New Roman" w:cs="Times New Roman"/>
                <w:lang w:eastAsia="zh-CN"/>
              </w:rPr>
              <w:t>要求和《城市污水再生利用</w:t>
            </w:r>
            <w:r w:rsidRPr="00054F86">
              <w:rPr>
                <w:rFonts w:ascii="Times New Roman" w:hAnsi="Times New Roman" w:cs="Times New Roman"/>
                <w:lang w:eastAsia="zh-CN"/>
              </w:rPr>
              <w:t xml:space="preserve"> </w:t>
            </w:r>
            <w:r w:rsidRPr="00054F86">
              <w:rPr>
                <w:rFonts w:ascii="Times New Roman" w:hAnsi="Times New Roman" w:cs="Times New Roman"/>
                <w:lang w:eastAsia="zh-CN"/>
              </w:rPr>
              <w:t>工业用水水质》（</w:t>
            </w:r>
            <w:r w:rsidRPr="00054F86">
              <w:rPr>
                <w:rFonts w:ascii="Times New Roman" w:hAnsi="Times New Roman" w:cs="Times New Roman"/>
                <w:lang w:eastAsia="zh-CN"/>
              </w:rPr>
              <w:t>GB/T19923-2024</w:t>
            </w:r>
            <w:r w:rsidRPr="00054F86">
              <w:rPr>
                <w:rFonts w:ascii="Times New Roman" w:hAnsi="Times New Roman" w:cs="Times New Roman"/>
                <w:lang w:eastAsia="zh-CN"/>
              </w:rPr>
              <w:t>）</w:t>
            </w:r>
            <w:r>
              <w:rPr>
                <w:rFonts w:ascii="Times New Roman" w:hAnsi="Times New Roman" w:cs="Times New Roman" w:hint="eastAsia"/>
                <w:lang w:eastAsia="zh-CN"/>
              </w:rPr>
              <w:t>表</w:t>
            </w:r>
            <w:r>
              <w:rPr>
                <w:rFonts w:ascii="Times New Roman" w:hAnsi="Times New Roman" w:cs="Times New Roman" w:hint="eastAsia"/>
                <w:lang w:eastAsia="zh-CN"/>
              </w:rPr>
              <w:t>1</w:t>
            </w:r>
            <w:r>
              <w:rPr>
                <w:rFonts w:ascii="Times New Roman" w:hAnsi="Times New Roman" w:cs="Times New Roman"/>
                <w:lang w:eastAsia="zh-CN"/>
              </w:rPr>
              <w:t>间冷开式循环冷却水补充水标准</w:t>
            </w:r>
            <w:bookmarkEnd w:id="98"/>
            <w:r w:rsidRPr="00054F86">
              <w:rPr>
                <w:rFonts w:ascii="Times New Roman" w:hAnsi="Times New Roman" w:cs="Times New Roman"/>
                <w:lang w:eastAsia="zh-CN"/>
              </w:rPr>
              <w:t>后全部回用至厂区冷却塔补水，不外排。</w:t>
            </w:r>
            <w:r w:rsidR="006E0251">
              <w:rPr>
                <w:rFonts w:ascii="Times New Roman" w:hAnsi="Times New Roman" w:cs="Times New Roman" w:hint="eastAsia"/>
                <w:lang w:eastAsia="zh-CN"/>
              </w:rPr>
              <w:t>初期雨水进入现有</w:t>
            </w:r>
            <w:r w:rsidR="006E0251" w:rsidRPr="006E0251">
              <w:rPr>
                <w:rFonts w:ascii="Times New Roman" w:hAnsi="Times New Roman" w:cs="Times New Roman"/>
                <w:lang w:eastAsia="zh-CN"/>
              </w:rPr>
              <w:t>初期雨水收集池</w:t>
            </w:r>
            <w:r w:rsidR="006E0251">
              <w:rPr>
                <w:rFonts w:ascii="Times New Roman" w:hAnsi="Times New Roman" w:cs="Times New Roman" w:hint="eastAsia"/>
                <w:lang w:eastAsia="zh-CN"/>
              </w:rPr>
              <w:t>，容积</w:t>
            </w:r>
            <w:r w:rsidR="006E0251">
              <w:rPr>
                <w:rFonts w:ascii="Times New Roman" w:hAnsi="Times New Roman" w:cs="Times New Roman" w:hint="eastAsia"/>
                <w:lang w:eastAsia="zh-CN"/>
              </w:rPr>
              <w:t>275m</w:t>
            </w:r>
            <w:r w:rsidR="006E0251" w:rsidRPr="006E0251">
              <w:rPr>
                <w:rFonts w:ascii="Times New Roman" w:hAnsi="Times New Roman" w:cs="Times New Roman" w:hint="eastAsia"/>
                <w:vertAlign w:val="superscript"/>
                <w:lang w:eastAsia="zh-CN"/>
              </w:rPr>
              <w:t>3</w:t>
            </w:r>
            <w:r w:rsidR="006E0251">
              <w:rPr>
                <w:rFonts w:ascii="Times New Roman" w:hAnsi="Times New Roman" w:cs="Times New Roman" w:hint="eastAsia"/>
                <w:lang w:eastAsia="zh-CN"/>
              </w:rPr>
              <w:t>，</w:t>
            </w:r>
            <w:r w:rsidR="006E0251" w:rsidRPr="006E0251">
              <w:rPr>
                <w:rFonts w:ascii="Times New Roman" w:hAnsi="Times New Roman" w:cs="Times New Roman"/>
                <w:lang w:eastAsia="zh-CN"/>
              </w:rPr>
              <w:t>设置初期污染雨水与后期清洁雨水的切换阀门，</w:t>
            </w:r>
            <w:r w:rsidR="006E0251">
              <w:rPr>
                <w:rFonts w:ascii="Times New Roman" w:hAnsi="Times New Roman" w:cs="Times New Roman" w:hint="eastAsia"/>
                <w:lang w:eastAsia="zh-CN"/>
              </w:rPr>
              <w:t>初期</w:t>
            </w:r>
            <w:r w:rsidR="006E0251" w:rsidRPr="006E0251">
              <w:rPr>
                <w:rFonts w:ascii="Times New Roman" w:hAnsi="Times New Roman" w:cs="Times New Roman"/>
                <w:lang w:eastAsia="zh-CN"/>
              </w:rPr>
              <w:t>雨水先排入初期雨水收集池，再由泵提升至渗滤液处理站进行处理；清净雨水</w:t>
            </w:r>
            <w:r w:rsidR="006E0251">
              <w:rPr>
                <w:rFonts w:ascii="Times New Roman" w:hAnsi="Times New Roman" w:cs="Times New Roman" w:hint="eastAsia"/>
                <w:lang w:eastAsia="zh-CN"/>
              </w:rPr>
              <w:t>排入中央排干</w:t>
            </w:r>
            <w:r w:rsidR="006E0251" w:rsidRPr="006E0251">
              <w:rPr>
                <w:rFonts w:ascii="Times New Roman" w:hAnsi="Times New Roman" w:cs="Times New Roman"/>
                <w:lang w:eastAsia="zh-CN"/>
              </w:rPr>
              <w:t>。</w:t>
            </w:r>
          </w:p>
        </w:tc>
        <w:tc>
          <w:tcPr>
            <w:tcW w:w="850" w:type="dxa"/>
            <w:vAlign w:val="center"/>
          </w:tcPr>
          <w:p w14:paraId="66B4A76D" w14:textId="4DF16844" w:rsidR="007327FC" w:rsidRDefault="007327FC">
            <w:pPr>
              <w:pStyle w:val="TableText"/>
              <w:adjustRightInd w:val="0"/>
              <w:snapToGrid w:val="0"/>
              <w:jc w:val="center"/>
              <w:rPr>
                <w:rFonts w:ascii="Times New Roman" w:hAnsi="Times New Roman" w:cs="Times New Roman"/>
                <w:lang w:eastAsia="zh-CN"/>
              </w:rPr>
            </w:pPr>
            <w:r>
              <w:rPr>
                <w:rFonts w:ascii="Times New Roman" w:hAnsi="Times New Roman" w:cs="Times New Roman"/>
              </w:rPr>
              <w:t>依托</w:t>
            </w:r>
          </w:p>
        </w:tc>
      </w:tr>
      <w:tr w:rsidR="007327FC" w14:paraId="4EF06B25" w14:textId="77777777" w:rsidTr="007327FC">
        <w:trPr>
          <w:trHeight w:val="57"/>
          <w:jc w:val="center"/>
        </w:trPr>
        <w:tc>
          <w:tcPr>
            <w:tcW w:w="0" w:type="auto"/>
            <w:vMerge/>
            <w:vAlign w:val="center"/>
          </w:tcPr>
          <w:p w14:paraId="68888D31" w14:textId="77777777" w:rsidR="007327FC" w:rsidRDefault="007327FC">
            <w:pPr>
              <w:adjustRightInd w:val="0"/>
              <w:snapToGrid w:val="0"/>
              <w:jc w:val="center"/>
            </w:pPr>
          </w:p>
        </w:tc>
        <w:tc>
          <w:tcPr>
            <w:tcW w:w="1219" w:type="dxa"/>
            <w:vAlign w:val="center"/>
          </w:tcPr>
          <w:p w14:paraId="599D6E76" w14:textId="77777777" w:rsidR="007327FC" w:rsidRDefault="007327FC">
            <w:pPr>
              <w:pStyle w:val="TableText"/>
              <w:adjustRightInd w:val="0"/>
              <w:snapToGrid w:val="0"/>
              <w:jc w:val="center"/>
              <w:rPr>
                <w:rFonts w:ascii="Times New Roman" w:hAnsi="Times New Roman" w:cs="Times New Roman"/>
              </w:rPr>
            </w:pPr>
            <w:r>
              <w:rPr>
                <w:rFonts w:ascii="Times New Roman" w:hAnsi="Times New Roman" w:cs="Times New Roman"/>
              </w:rPr>
              <w:t>降噪</w:t>
            </w:r>
          </w:p>
        </w:tc>
        <w:tc>
          <w:tcPr>
            <w:tcW w:w="6545" w:type="dxa"/>
            <w:vAlign w:val="center"/>
          </w:tcPr>
          <w:p w14:paraId="07A380A8" w14:textId="4692F9D7" w:rsidR="007327FC" w:rsidRDefault="006E0251" w:rsidP="006E0251">
            <w:pPr>
              <w:pStyle w:val="TableText"/>
              <w:adjustRightInd w:val="0"/>
              <w:snapToGrid w:val="0"/>
              <w:jc w:val="left"/>
              <w:rPr>
                <w:rFonts w:ascii="Times New Roman" w:hAnsi="Times New Roman" w:cs="Times New Roman"/>
                <w:lang w:eastAsia="zh-CN"/>
              </w:rPr>
            </w:pPr>
            <w:r w:rsidRPr="006E0251">
              <w:rPr>
                <w:rFonts w:ascii="Times New Roman" w:hAnsi="Times New Roman" w:cs="Times New Roman" w:hint="eastAsia"/>
                <w:lang w:eastAsia="zh-CN"/>
              </w:rPr>
              <w:t>合理安排填埋作业时间及垃圾运输作业</w:t>
            </w:r>
            <w:r>
              <w:rPr>
                <w:rFonts w:ascii="Times New Roman" w:hAnsi="Times New Roman" w:cs="Times New Roman" w:hint="eastAsia"/>
                <w:lang w:eastAsia="zh-CN"/>
              </w:rPr>
              <w:t>；</w:t>
            </w:r>
            <w:r w:rsidRPr="006E0251">
              <w:rPr>
                <w:rFonts w:ascii="Times New Roman" w:hAnsi="Times New Roman" w:cs="Times New Roman" w:hint="eastAsia"/>
                <w:lang w:eastAsia="zh-CN"/>
              </w:rPr>
              <w:t>加强填埋工序噪声管理，定期检查维修设备</w:t>
            </w:r>
            <w:r>
              <w:rPr>
                <w:rFonts w:ascii="Times New Roman" w:hAnsi="Times New Roman" w:cs="Times New Roman" w:hint="eastAsia"/>
                <w:lang w:eastAsia="zh-CN"/>
              </w:rPr>
              <w:t>；</w:t>
            </w:r>
            <w:r w:rsidRPr="006E0251">
              <w:rPr>
                <w:rFonts w:ascii="Times New Roman" w:hAnsi="Times New Roman" w:cs="Times New Roman" w:hint="eastAsia"/>
                <w:lang w:eastAsia="zh-CN"/>
              </w:rPr>
              <w:t>加强厂区绿化，利用绿化带降低噪声</w:t>
            </w:r>
            <w:r>
              <w:rPr>
                <w:rFonts w:ascii="Times New Roman" w:hAnsi="Times New Roman" w:cs="Times New Roman" w:hint="eastAsia"/>
                <w:lang w:eastAsia="zh-CN"/>
              </w:rPr>
              <w:t>；</w:t>
            </w:r>
            <w:r w:rsidRPr="006E0251">
              <w:rPr>
                <w:rFonts w:ascii="Times New Roman" w:hAnsi="Times New Roman" w:cs="Times New Roman" w:hint="eastAsia"/>
                <w:lang w:eastAsia="zh-CN"/>
              </w:rPr>
              <w:t>运输车辆加强管理，禁止鸣笛等。</w:t>
            </w:r>
          </w:p>
        </w:tc>
        <w:tc>
          <w:tcPr>
            <w:tcW w:w="850" w:type="dxa"/>
            <w:vAlign w:val="center"/>
          </w:tcPr>
          <w:p w14:paraId="268B7411" w14:textId="54C03D93" w:rsidR="007327FC" w:rsidRDefault="002D6EE2">
            <w:pPr>
              <w:pStyle w:val="TableText"/>
              <w:adjustRightInd w:val="0"/>
              <w:snapToGrid w:val="0"/>
              <w:jc w:val="center"/>
              <w:rPr>
                <w:rFonts w:ascii="Times New Roman" w:hAnsi="Times New Roman" w:cs="Times New Roman"/>
              </w:rPr>
            </w:pPr>
            <w:r>
              <w:rPr>
                <w:rFonts w:ascii="Times New Roman" w:hAnsi="Times New Roman" w:cs="Times New Roman" w:hint="eastAsia"/>
                <w:lang w:eastAsia="zh-CN"/>
              </w:rPr>
              <w:t>新建</w:t>
            </w:r>
          </w:p>
        </w:tc>
      </w:tr>
      <w:tr w:rsidR="007327FC" w14:paraId="53D44717" w14:textId="77777777" w:rsidTr="007327FC">
        <w:trPr>
          <w:trHeight w:val="57"/>
          <w:jc w:val="center"/>
        </w:trPr>
        <w:tc>
          <w:tcPr>
            <w:tcW w:w="0" w:type="auto"/>
            <w:vMerge/>
            <w:vAlign w:val="center"/>
          </w:tcPr>
          <w:p w14:paraId="784B4267" w14:textId="77777777" w:rsidR="007327FC" w:rsidRDefault="007327FC">
            <w:pPr>
              <w:adjustRightInd w:val="0"/>
              <w:snapToGrid w:val="0"/>
              <w:jc w:val="center"/>
            </w:pPr>
          </w:p>
        </w:tc>
        <w:tc>
          <w:tcPr>
            <w:tcW w:w="1219" w:type="dxa"/>
            <w:vAlign w:val="center"/>
          </w:tcPr>
          <w:p w14:paraId="7A3F730F" w14:textId="65992A46" w:rsidR="007327FC" w:rsidRDefault="007327FC">
            <w:pPr>
              <w:pStyle w:val="TableText"/>
              <w:adjustRightInd w:val="0"/>
              <w:snapToGrid w:val="0"/>
              <w:jc w:val="center"/>
              <w:rPr>
                <w:rFonts w:ascii="Times New Roman" w:hAnsi="Times New Roman" w:cs="Times New Roman"/>
              </w:rPr>
            </w:pPr>
            <w:r>
              <w:rPr>
                <w:rFonts w:ascii="Times New Roman" w:hAnsi="Times New Roman" w:cs="Times New Roman" w:hint="eastAsia"/>
                <w:lang w:eastAsia="zh-CN"/>
              </w:rPr>
              <w:t>固废</w:t>
            </w:r>
          </w:p>
        </w:tc>
        <w:tc>
          <w:tcPr>
            <w:tcW w:w="6545" w:type="dxa"/>
            <w:vAlign w:val="center"/>
          </w:tcPr>
          <w:p w14:paraId="6F2DFA36" w14:textId="5BEAD623" w:rsidR="007327FC" w:rsidRDefault="00FE2EC7" w:rsidP="00FE2EC7">
            <w:pPr>
              <w:pStyle w:val="TableText"/>
              <w:adjustRightInd w:val="0"/>
              <w:snapToGrid w:val="0"/>
              <w:jc w:val="left"/>
              <w:rPr>
                <w:rFonts w:ascii="Times New Roman" w:hAnsi="Times New Roman" w:cs="Times New Roman"/>
                <w:lang w:eastAsia="zh-CN"/>
              </w:rPr>
            </w:pPr>
            <w:r>
              <w:rPr>
                <w:rFonts w:ascii="Times New Roman" w:hAnsi="Times New Roman" w:cs="Times New Roman" w:hint="eastAsia"/>
                <w:lang w:eastAsia="zh-CN"/>
              </w:rPr>
              <w:t>废机油、实验废液采用专用容器收集，</w:t>
            </w:r>
            <w:r w:rsidRPr="00FE2EC7">
              <w:rPr>
                <w:rFonts w:ascii="Times New Roman" w:hAnsi="Times New Roman" w:cs="Times New Roman"/>
                <w:lang w:eastAsia="zh-CN"/>
              </w:rPr>
              <w:t>暂存与现有危废贮存库内，定期委托有资质的单位收集处置。</w:t>
            </w:r>
          </w:p>
        </w:tc>
        <w:tc>
          <w:tcPr>
            <w:tcW w:w="850" w:type="dxa"/>
            <w:vAlign w:val="center"/>
          </w:tcPr>
          <w:p w14:paraId="51E4DBE2" w14:textId="69D597BD" w:rsidR="007327FC" w:rsidRDefault="00FE2EC7">
            <w:pPr>
              <w:pStyle w:val="TableText"/>
              <w:adjustRightInd w:val="0"/>
              <w:snapToGrid w:val="0"/>
              <w:jc w:val="center"/>
              <w:rPr>
                <w:rFonts w:ascii="Times New Roman" w:hAnsi="Times New Roman" w:cs="Times New Roman"/>
              </w:rPr>
            </w:pPr>
            <w:r>
              <w:rPr>
                <w:rFonts w:ascii="Times New Roman" w:hAnsi="Times New Roman" w:cs="Times New Roman" w:hint="eastAsia"/>
                <w:lang w:eastAsia="zh-CN"/>
              </w:rPr>
              <w:t>依托</w:t>
            </w:r>
          </w:p>
        </w:tc>
      </w:tr>
      <w:tr w:rsidR="00606029" w14:paraId="3668D264" w14:textId="77777777" w:rsidTr="005A0388">
        <w:trPr>
          <w:trHeight w:val="57"/>
          <w:jc w:val="center"/>
        </w:trPr>
        <w:tc>
          <w:tcPr>
            <w:tcW w:w="0" w:type="auto"/>
            <w:gridSpan w:val="4"/>
            <w:vAlign w:val="center"/>
          </w:tcPr>
          <w:p w14:paraId="32C47928" w14:textId="69F4B6C5" w:rsidR="00606029" w:rsidRDefault="00EA5B92">
            <w:pPr>
              <w:pStyle w:val="TableText"/>
              <w:adjustRightInd w:val="0"/>
              <w:snapToGrid w:val="0"/>
              <w:jc w:val="left"/>
              <w:rPr>
                <w:rFonts w:ascii="Times New Roman" w:hAnsi="Times New Roman" w:cs="Times New Roman"/>
                <w:lang w:eastAsia="zh-CN"/>
              </w:rPr>
            </w:pPr>
            <w:r>
              <w:rPr>
                <w:rFonts w:ascii="Times New Roman" w:hAnsi="Times New Roman" w:cs="Times New Roman"/>
                <w:lang w:eastAsia="zh-CN"/>
              </w:rPr>
              <w:t>注</w:t>
            </w:r>
            <w:r w:rsidR="006A52CC">
              <w:rPr>
                <w:rFonts w:ascii="Times New Roman" w:hAnsi="Times New Roman" w:cs="Times New Roman"/>
                <w:lang w:eastAsia="zh-CN"/>
              </w:rPr>
              <w:t>：</w:t>
            </w:r>
            <w:r>
              <w:rPr>
                <w:rFonts w:ascii="Times New Roman" w:hAnsi="Times New Roman" w:cs="Times New Roman"/>
                <w:lang w:eastAsia="zh-CN"/>
              </w:rPr>
              <w:t>生活垃圾经高温焚烧后，热灼减率</w:t>
            </w:r>
            <w:r>
              <w:rPr>
                <w:rFonts w:ascii="Times New Roman" w:eastAsia="Times New Roman" w:hAnsi="Times New Roman" w:cs="Times New Roman"/>
                <w:sz w:val="20"/>
                <w:szCs w:val="20"/>
                <w:lang w:eastAsia="zh-CN"/>
              </w:rPr>
              <w:t>≤5%</w:t>
            </w:r>
            <w:r>
              <w:rPr>
                <w:rFonts w:ascii="Times New Roman" w:hAnsi="Times New Roman" w:cs="Times New Roman"/>
                <w:lang w:eastAsia="zh-CN"/>
              </w:rPr>
              <w:t>，垃圾内含有的有机物基本燃尽，因此不会产生填埋气体，填埋场设计时无填埋气体导排系统。</w:t>
            </w:r>
          </w:p>
        </w:tc>
      </w:tr>
    </w:tbl>
    <w:p w14:paraId="6E5C1E84" w14:textId="77777777" w:rsidR="00606029" w:rsidRPr="004C4AB7" w:rsidRDefault="00EA5B92">
      <w:pPr>
        <w:pStyle w:val="affffff5"/>
      </w:pPr>
      <w:r w:rsidRPr="004C4AB7">
        <w:t>表</w:t>
      </w:r>
      <w:r w:rsidRPr="004C4AB7">
        <w:t>2.2-2</w:t>
      </w:r>
      <w:r w:rsidRPr="004C4AB7">
        <w:t>项目主要技术经济一览表</w:t>
      </w:r>
    </w:p>
    <w:tbl>
      <w:tblPr>
        <w:tblStyle w:val="TableNormal"/>
        <w:tblW w:w="5035" w:type="pct"/>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3"/>
        <w:gridCol w:w="3856"/>
        <w:gridCol w:w="1952"/>
        <w:gridCol w:w="1975"/>
      </w:tblGrid>
      <w:tr w:rsidR="00606029" w:rsidRPr="004C4AB7" w14:paraId="3FB590DF" w14:textId="77777777" w:rsidTr="00FE4CCD">
        <w:trPr>
          <w:trHeight w:val="57"/>
          <w:jc w:val="center"/>
        </w:trPr>
        <w:tc>
          <w:tcPr>
            <w:tcW w:w="626" w:type="pct"/>
            <w:vAlign w:val="center"/>
          </w:tcPr>
          <w:p w14:paraId="5F0BA623" w14:textId="77777777" w:rsidR="00606029" w:rsidRPr="004C4AB7" w:rsidRDefault="00EA5B92">
            <w:pPr>
              <w:pStyle w:val="TableParagraph"/>
              <w:adjustRightInd w:val="0"/>
              <w:snapToGrid w:val="0"/>
              <w:jc w:val="center"/>
              <w:rPr>
                <w:rFonts w:ascii="Times New Roman" w:hAnsi="Times New Roman" w:cs="Times New Roman"/>
                <w:sz w:val="21"/>
                <w:szCs w:val="21"/>
                <w:lang w:eastAsia="en-US"/>
              </w:rPr>
            </w:pPr>
            <w:r w:rsidRPr="004C4AB7">
              <w:rPr>
                <w:rFonts w:ascii="Times New Roman" w:hAnsi="Times New Roman" w:cs="Times New Roman"/>
                <w:sz w:val="21"/>
                <w:szCs w:val="21"/>
                <w:lang w:eastAsia="en-US"/>
              </w:rPr>
              <w:t>序号</w:t>
            </w:r>
          </w:p>
        </w:tc>
        <w:tc>
          <w:tcPr>
            <w:tcW w:w="2167" w:type="pct"/>
            <w:vAlign w:val="center"/>
          </w:tcPr>
          <w:p w14:paraId="5CF1740A" w14:textId="77777777" w:rsidR="00606029" w:rsidRPr="004C4AB7" w:rsidRDefault="00EA5B92">
            <w:pPr>
              <w:pStyle w:val="TableParagraph"/>
              <w:adjustRightInd w:val="0"/>
              <w:snapToGrid w:val="0"/>
              <w:jc w:val="center"/>
              <w:rPr>
                <w:rFonts w:ascii="Times New Roman" w:hAnsi="Times New Roman" w:cs="Times New Roman"/>
                <w:sz w:val="21"/>
                <w:szCs w:val="21"/>
                <w:lang w:eastAsia="en-US"/>
              </w:rPr>
            </w:pPr>
            <w:r w:rsidRPr="004C4AB7">
              <w:rPr>
                <w:rFonts w:ascii="Times New Roman" w:hAnsi="Times New Roman" w:cs="Times New Roman"/>
                <w:sz w:val="21"/>
                <w:szCs w:val="21"/>
                <w:lang w:eastAsia="en-US"/>
              </w:rPr>
              <w:t>项目</w:t>
            </w:r>
          </w:p>
        </w:tc>
        <w:tc>
          <w:tcPr>
            <w:tcW w:w="1097" w:type="pct"/>
            <w:vAlign w:val="center"/>
          </w:tcPr>
          <w:p w14:paraId="35FD8FFB" w14:textId="77777777" w:rsidR="00606029" w:rsidRPr="004C4AB7" w:rsidRDefault="00EA5B92">
            <w:pPr>
              <w:pStyle w:val="TableParagraph"/>
              <w:adjustRightInd w:val="0"/>
              <w:snapToGrid w:val="0"/>
              <w:jc w:val="center"/>
              <w:rPr>
                <w:rFonts w:ascii="Times New Roman" w:hAnsi="Times New Roman" w:cs="Times New Roman"/>
                <w:sz w:val="21"/>
                <w:szCs w:val="21"/>
              </w:rPr>
            </w:pPr>
            <w:r w:rsidRPr="004C4AB7">
              <w:rPr>
                <w:rFonts w:ascii="Times New Roman" w:hAnsi="Times New Roman" w:cs="Times New Roman"/>
                <w:sz w:val="21"/>
                <w:szCs w:val="21"/>
                <w:lang w:eastAsia="en-US"/>
              </w:rPr>
              <w:t>单位</w:t>
            </w:r>
          </w:p>
        </w:tc>
        <w:tc>
          <w:tcPr>
            <w:tcW w:w="1110" w:type="pct"/>
            <w:vAlign w:val="center"/>
          </w:tcPr>
          <w:p w14:paraId="5B895CAF" w14:textId="77777777" w:rsidR="00606029" w:rsidRPr="004C4AB7" w:rsidRDefault="00EA5B92">
            <w:pPr>
              <w:pStyle w:val="TableParagraph"/>
              <w:adjustRightInd w:val="0"/>
              <w:snapToGrid w:val="0"/>
              <w:jc w:val="center"/>
              <w:rPr>
                <w:rFonts w:ascii="Times New Roman" w:hAnsi="Times New Roman" w:cs="Times New Roman"/>
                <w:sz w:val="21"/>
                <w:szCs w:val="21"/>
                <w:lang w:val="en-US"/>
              </w:rPr>
            </w:pPr>
            <w:r w:rsidRPr="004C4AB7">
              <w:rPr>
                <w:rFonts w:ascii="Times New Roman" w:hAnsi="Times New Roman" w:cs="Times New Roman"/>
                <w:sz w:val="21"/>
                <w:szCs w:val="21"/>
                <w:lang w:eastAsia="en-US"/>
              </w:rPr>
              <w:t>数量</w:t>
            </w:r>
          </w:p>
        </w:tc>
      </w:tr>
      <w:tr w:rsidR="00606029" w:rsidRPr="004C4AB7" w14:paraId="1669BA30" w14:textId="77777777" w:rsidTr="00FE4CCD">
        <w:trPr>
          <w:trHeight w:val="57"/>
          <w:jc w:val="center"/>
        </w:trPr>
        <w:tc>
          <w:tcPr>
            <w:tcW w:w="626" w:type="pct"/>
            <w:vAlign w:val="center"/>
          </w:tcPr>
          <w:p w14:paraId="5D1687EA" w14:textId="77777777" w:rsidR="00606029" w:rsidRPr="004C4AB7" w:rsidRDefault="00EA5B92">
            <w:pPr>
              <w:pStyle w:val="TableParagraph"/>
              <w:adjustRightInd w:val="0"/>
              <w:snapToGrid w:val="0"/>
              <w:jc w:val="center"/>
              <w:rPr>
                <w:rFonts w:ascii="Times New Roman" w:hAnsi="Times New Roman" w:cs="Times New Roman"/>
                <w:sz w:val="21"/>
                <w:szCs w:val="21"/>
                <w:lang w:eastAsia="en-US"/>
              </w:rPr>
            </w:pPr>
            <w:r w:rsidRPr="004C4AB7">
              <w:rPr>
                <w:rFonts w:ascii="Times New Roman" w:hAnsi="Times New Roman" w:cs="Times New Roman"/>
                <w:sz w:val="21"/>
                <w:szCs w:val="21"/>
                <w:lang w:eastAsia="en-US"/>
              </w:rPr>
              <w:t>1</w:t>
            </w:r>
          </w:p>
        </w:tc>
        <w:tc>
          <w:tcPr>
            <w:tcW w:w="2167" w:type="pct"/>
            <w:vAlign w:val="center"/>
          </w:tcPr>
          <w:p w14:paraId="4468FF37" w14:textId="77777777" w:rsidR="00606029" w:rsidRPr="004C4AB7" w:rsidRDefault="00EA5B92">
            <w:pPr>
              <w:pStyle w:val="TableParagraph"/>
              <w:adjustRightInd w:val="0"/>
              <w:snapToGrid w:val="0"/>
              <w:jc w:val="center"/>
              <w:rPr>
                <w:rFonts w:ascii="Times New Roman" w:hAnsi="Times New Roman" w:cs="Times New Roman"/>
                <w:sz w:val="21"/>
                <w:szCs w:val="21"/>
              </w:rPr>
            </w:pPr>
            <w:r w:rsidRPr="004C4AB7">
              <w:rPr>
                <w:rFonts w:ascii="Times New Roman" w:hAnsi="Times New Roman" w:cs="Times New Roman"/>
                <w:sz w:val="21"/>
                <w:szCs w:val="21"/>
              </w:rPr>
              <w:t>飞灰稳定化物日均处理规模</w:t>
            </w:r>
          </w:p>
        </w:tc>
        <w:tc>
          <w:tcPr>
            <w:tcW w:w="1097" w:type="pct"/>
            <w:vAlign w:val="center"/>
          </w:tcPr>
          <w:p w14:paraId="0B13A757" w14:textId="2EACF786" w:rsidR="00606029" w:rsidRPr="004C4AB7" w:rsidRDefault="00EA5B92">
            <w:pPr>
              <w:pStyle w:val="TableParagraph"/>
              <w:adjustRightInd w:val="0"/>
              <w:snapToGrid w:val="0"/>
              <w:jc w:val="center"/>
              <w:rPr>
                <w:rFonts w:ascii="Times New Roman" w:hAnsi="Times New Roman" w:cs="Times New Roman"/>
                <w:sz w:val="21"/>
                <w:szCs w:val="21"/>
              </w:rPr>
            </w:pPr>
            <w:r w:rsidRPr="004C4AB7">
              <w:rPr>
                <w:rFonts w:ascii="Times New Roman" w:hAnsi="Times New Roman" w:cs="Times New Roman"/>
                <w:sz w:val="21"/>
                <w:szCs w:val="21"/>
                <w:lang w:eastAsia="en-US"/>
              </w:rPr>
              <w:t>t/d</w:t>
            </w:r>
          </w:p>
        </w:tc>
        <w:tc>
          <w:tcPr>
            <w:tcW w:w="1110" w:type="pct"/>
            <w:vAlign w:val="center"/>
          </w:tcPr>
          <w:p w14:paraId="0C077D97" w14:textId="2873DBFC" w:rsidR="00606029" w:rsidRPr="004C4AB7" w:rsidRDefault="004C4AB7">
            <w:pPr>
              <w:pStyle w:val="TableParagraph"/>
              <w:adjustRightInd w:val="0"/>
              <w:snapToGrid w:val="0"/>
              <w:jc w:val="center"/>
              <w:rPr>
                <w:rFonts w:ascii="Times New Roman" w:hAnsi="Times New Roman" w:cs="Times New Roman"/>
                <w:sz w:val="21"/>
                <w:szCs w:val="21"/>
                <w:lang w:val="en-US"/>
              </w:rPr>
            </w:pPr>
            <w:r w:rsidRPr="004C4AB7">
              <w:rPr>
                <w:rFonts w:ascii="Times New Roman" w:hAnsi="Times New Roman" w:cs="Times New Roman" w:hint="eastAsia"/>
                <w:sz w:val="21"/>
                <w:szCs w:val="21"/>
                <w:lang w:val="en-US"/>
              </w:rPr>
              <w:t>60</w:t>
            </w:r>
          </w:p>
        </w:tc>
      </w:tr>
      <w:tr w:rsidR="00606029" w:rsidRPr="004C4AB7" w14:paraId="16901885" w14:textId="77777777" w:rsidTr="00FE4CCD">
        <w:trPr>
          <w:trHeight w:val="57"/>
          <w:jc w:val="center"/>
        </w:trPr>
        <w:tc>
          <w:tcPr>
            <w:tcW w:w="626" w:type="pct"/>
            <w:vAlign w:val="center"/>
          </w:tcPr>
          <w:p w14:paraId="71187CFB" w14:textId="77777777" w:rsidR="00606029" w:rsidRPr="004C4AB7" w:rsidRDefault="00EA5B92">
            <w:pPr>
              <w:pStyle w:val="TableParagraph"/>
              <w:adjustRightInd w:val="0"/>
              <w:snapToGrid w:val="0"/>
              <w:jc w:val="center"/>
              <w:rPr>
                <w:rFonts w:ascii="Times New Roman" w:hAnsi="Times New Roman" w:cs="Times New Roman"/>
                <w:sz w:val="21"/>
                <w:szCs w:val="21"/>
                <w:lang w:eastAsia="en-US"/>
              </w:rPr>
            </w:pPr>
            <w:r w:rsidRPr="004C4AB7">
              <w:rPr>
                <w:rFonts w:ascii="Times New Roman" w:hAnsi="Times New Roman" w:cs="Times New Roman"/>
                <w:sz w:val="21"/>
                <w:szCs w:val="21"/>
                <w:lang w:eastAsia="en-US"/>
              </w:rPr>
              <w:t>2</w:t>
            </w:r>
          </w:p>
        </w:tc>
        <w:tc>
          <w:tcPr>
            <w:tcW w:w="2167" w:type="pct"/>
            <w:vAlign w:val="center"/>
          </w:tcPr>
          <w:p w14:paraId="537F9634" w14:textId="77777777" w:rsidR="00606029" w:rsidRPr="004C4AB7" w:rsidRDefault="00EA5B92">
            <w:pPr>
              <w:pStyle w:val="TableParagraph"/>
              <w:adjustRightInd w:val="0"/>
              <w:snapToGrid w:val="0"/>
              <w:jc w:val="center"/>
              <w:rPr>
                <w:rFonts w:ascii="Times New Roman" w:hAnsi="Times New Roman" w:cs="Times New Roman"/>
                <w:sz w:val="21"/>
                <w:szCs w:val="21"/>
                <w:lang w:eastAsia="en-US"/>
              </w:rPr>
            </w:pPr>
            <w:r w:rsidRPr="004C4AB7">
              <w:rPr>
                <w:rFonts w:ascii="Times New Roman" w:hAnsi="Times New Roman" w:cs="Times New Roman"/>
                <w:sz w:val="21"/>
                <w:szCs w:val="21"/>
                <w:lang w:eastAsia="en-US"/>
              </w:rPr>
              <w:t>填埋库区总占地面积</w:t>
            </w:r>
          </w:p>
        </w:tc>
        <w:tc>
          <w:tcPr>
            <w:tcW w:w="1097" w:type="pct"/>
            <w:vAlign w:val="center"/>
          </w:tcPr>
          <w:p w14:paraId="60B22DD1" w14:textId="77777777" w:rsidR="00606029" w:rsidRPr="004C4AB7" w:rsidRDefault="00EA5B92">
            <w:pPr>
              <w:pStyle w:val="TableParagraph"/>
              <w:adjustRightInd w:val="0"/>
              <w:snapToGrid w:val="0"/>
              <w:jc w:val="center"/>
              <w:rPr>
                <w:rFonts w:ascii="Times New Roman" w:hAnsi="Times New Roman" w:cs="Times New Roman"/>
                <w:sz w:val="21"/>
                <w:szCs w:val="21"/>
                <w:lang w:val="en-US"/>
              </w:rPr>
            </w:pPr>
            <w:r w:rsidRPr="004C4AB7">
              <w:rPr>
                <w:rFonts w:ascii="Times New Roman" w:hAnsi="Times New Roman" w:cs="Times New Roman"/>
                <w:position w:val="-9"/>
                <w:sz w:val="21"/>
                <w:szCs w:val="21"/>
                <w:lang w:val="en-US"/>
              </w:rPr>
              <w:t>m</w:t>
            </w:r>
            <w:r w:rsidRPr="004C4AB7">
              <w:rPr>
                <w:rFonts w:ascii="Times New Roman" w:hAnsi="Times New Roman" w:cs="Times New Roman"/>
                <w:position w:val="-9"/>
                <w:sz w:val="21"/>
                <w:szCs w:val="21"/>
                <w:vertAlign w:val="superscript"/>
                <w:lang w:val="en-US"/>
              </w:rPr>
              <w:t>2</w:t>
            </w:r>
          </w:p>
        </w:tc>
        <w:tc>
          <w:tcPr>
            <w:tcW w:w="1110" w:type="pct"/>
            <w:vAlign w:val="center"/>
          </w:tcPr>
          <w:p w14:paraId="2E949E77" w14:textId="40B08821" w:rsidR="00606029" w:rsidRPr="004C4AB7" w:rsidRDefault="004D0DC4">
            <w:pPr>
              <w:pStyle w:val="TableParagraph"/>
              <w:adjustRightInd w:val="0"/>
              <w:snapToGrid w:val="0"/>
              <w:jc w:val="center"/>
              <w:rPr>
                <w:rFonts w:ascii="Times New Roman" w:hAnsi="Times New Roman" w:cs="Times New Roman"/>
                <w:sz w:val="21"/>
                <w:szCs w:val="21"/>
                <w:lang w:val="en-US"/>
              </w:rPr>
            </w:pPr>
            <w:r w:rsidRPr="004C4AB7">
              <w:rPr>
                <w:rFonts w:ascii="Times New Roman" w:hAnsi="Times New Roman" w:cs="Times New Roman" w:hint="eastAsia"/>
                <w:sz w:val="21"/>
                <w:szCs w:val="21"/>
              </w:rPr>
              <w:t>5136.95</w:t>
            </w:r>
          </w:p>
        </w:tc>
      </w:tr>
      <w:tr w:rsidR="00606029" w:rsidRPr="004C4AB7" w14:paraId="76D4B45D" w14:textId="77777777" w:rsidTr="00FE4CCD">
        <w:trPr>
          <w:trHeight w:val="57"/>
          <w:jc w:val="center"/>
        </w:trPr>
        <w:tc>
          <w:tcPr>
            <w:tcW w:w="626" w:type="pct"/>
            <w:vAlign w:val="center"/>
          </w:tcPr>
          <w:p w14:paraId="31095F43" w14:textId="77777777" w:rsidR="00606029" w:rsidRPr="004C4AB7" w:rsidRDefault="00EA5B92">
            <w:pPr>
              <w:pStyle w:val="TableParagraph"/>
              <w:adjustRightInd w:val="0"/>
              <w:snapToGrid w:val="0"/>
              <w:jc w:val="center"/>
              <w:rPr>
                <w:rFonts w:ascii="Times New Roman" w:hAnsi="Times New Roman" w:cs="Times New Roman"/>
                <w:sz w:val="21"/>
                <w:szCs w:val="21"/>
                <w:lang w:eastAsia="en-US"/>
              </w:rPr>
            </w:pPr>
            <w:r w:rsidRPr="004C4AB7">
              <w:rPr>
                <w:rFonts w:ascii="Times New Roman" w:hAnsi="Times New Roman" w:cs="Times New Roman"/>
                <w:sz w:val="21"/>
                <w:szCs w:val="21"/>
                <w:lang w:eastAsia="en-US"/>
              </w:rPr>
              <w:t>3</w:t>
            </w:r>
          </w:p>
        </w:tc>
        <w:tc>
          <w:tcPr>
            <w:tcW w:w="2167" w:type="pct"/>
            <w:vAlign w:val="center"/>
          </w:tcPr>
          <w:p w14:paraId="4F9868FA" w14:textId="77777777" w:rsidR="00606029" w:rsidRPr="004C4AB7" w:rsidRDefault="00EA5B92">
            <w:pPr>
              <w:pStyle w:val="TableParagraph"/>
              <w:adjustRightInd w:val="0"/>
              <w:snapToGrid w:val="0"/>
              <w:jc w:val="center"/>
              <w:rPr>
                <w:rFonts w:ascii="Times New Roman" w:hAnsi="Times New Roman" w:cs="Times New Roman"/>
                <w:sz w:val="21"/>
                <w:szCs w:val="21"/>
                <w:lang w:eastAsia="en-US"/>
              </w:rPr>
            </w:pPr>
            <w:r w:rsidRPr="004C4AB7">
              <w:rPr>
                <w:rFonts w:ascii="Times New Roman" w:hAnsi="Times New Roman" w:cs="Times New Roman"/>
                <w:sz w:val="21"/>
                <w:szCs w:val="21"/>
                <w:lang w:eastAsia="en-US"/>
              </w:rPr>
              <w:t>填埋库容</w:t>
            </w:r>
          </w:p>
        </w:tc>
        <w:tc>
          <w:tcPr>
            <w:tcW w:w="1097" w:type="pct"/>
            <w:vAlign w:val="center"/>
          </w:tcPr>
          <w:p w14:paraId="25001E48" w14:textId="77777777" w:rsidR="00606029" w:rsidRPr="004C4AB7" w:rsidRDefault="00EA5B92">
            <w:pPr>
              <w:pStyle w:val="TableParagraph"/>
              <w:adjustRightInd w:val="0"/>
              <w:snapToGrid w:val="0"/>
              <w:jc w:val="center"/>
              <w:rPr>
                <w:rFonts w:ascii="Times New Roman" w:hAnsi="Times New Roman" w:cs="Times New Roman"/>
                <w:sz w:val="21"/>
                <w:szCs w:val="21"/>
                <w:lang w:val="en-US"/>
              </w:rPr>
            </w:pPr>
            <w:r w:rsidRPr="004C4AB7">
              <w:rPr>
                <w:rFonts w:ascii="Times New Roman" w:hAnsi="Times New Roman" w:cs="Times New Roman"/>
                <w:position w:val="-9"/>
                <w:sz w:val="21"/>
                <w:szCs w:val="21"/>
                <w:lang w:val="en-US"/>
              </w:rPr>
              <w:t>m</w:t>
            </w:r>
            <w:r w:rsidRPr="004C4AB7">
              <w:rPr>
                <w:rFonts w:ascii="Times New Roman" w:hAnsi="Times New Roman" w:cs="Times New Roman"/>
                <w:position w:val="-9"/>
                <w:sz w:val="21"/>
                <w:szCs w:val="21"/>
                <w:vertAlign w:val="superscript"/>
                <w:lang w:val="en-US"/>
              </w:rPr>
              <w:t>3</w:t>
            </w:r>
          </w:p>
        </w:tc>
        <w:tc>
          <w:tcPr>
            <w:tcW w:w="1110" w:type="pct"/>
            <w:vAlign w:val="center"/>
          </w:tcPr>
          <w:p w14:paraId="1096735F" w14:textId="7A749C9A" w:rsidR="00606029" w:rsidRPr="004C4AB7" w:rsidRDefault="004C4AB7">
            <w:pPr>
              <w:pStyle w:val="TableParagraph"/>
              <w:adjustRightInd w:val="0"/>
              <w:snapToGrid w:val="0"/>
              <w:jc w:val="center"/>
              <w:rPr>
                <w:rFonts w:ascii="Times New Roman" w:hAnsi="Times New Roman" w:cs="Times New Roman"/>
                <w:sz w:val="21"/>
                <w:szCs w:val="21"/>
                <w:lang w:val="en-US"/>
              </w:rPr>
            </w:pPr>
            <w:r w:rsidRPr="004C4AB7">
              <w:rPr>
                <w:rFonts w:ascii="Times New Roman" w:hAnsi="Times New Roman" w:cs="Times New Roman" w:hint="eastAsia"/>
                <w:sz w:val="21"/>
                <w:szCs w:val="21"/>
              </w:rPr>
              <w:t>7316</w:t>
            </w:r>
          </w:p>
        </w:tc>
      </w:tr>
      <w:tr w:rsidR="00606029" w:rsidRPr="004D0DC4" w14:paraId="0A7ED709" w14:textId="77777777" w:rsidTr="00FE4CCD">
        <w:trPr>
          <w:trHeight w:val="57"/>
          <w:jc w:val="center"/>
        </w:trPr>
        <w:tc>
          <w:tcPr>
            <w:tcW w:w="626" w:type="pct"/>
            <w:vAlign w:val="center"/>
          </w:tcPr>
          <w:p w14:paraId="598ADED5" w14:textId="0CE531D5" w:rsidR="00606029" w:rsidRPr="004C4AB7" w:rsidRDefault="004C4AB7">
            <w:pPr>
              <w:pStyle w:val="TableParagraph"/>
              <w:adjustRightInd w:val="0"/>
              <w:snapToGrid w:val="0"/>
              <w:jc w:val="center"/>
              <w:rPr>
                <w:rFonts w:ascii="Times New Roman" w:hAnsi="Times New Roman" w:cs="Times New Roman"/>
                <w:sz w:val="21"/>
                <w:szCs w:val="21"/>
              </w:rPr>
            </w:pPr>
            <w:r w:rsidRPr="004C4AB7">
              <w:rPr>
                <w:rFonts w:ascii="Times New Roman" w:hAnsi="Times New Roman" w:cs="Times New Roman" w:hint="eastAsia"/>
                <w:sz w:val="21"/>
                <w:szCs w:val="21"/>
              </w:rPr>
              <w:t>4</w:t>
            </w:r>
          </w:p>
        </w:tc>
        <w:tc>
          <w:tcPr>
            <w:tcW w:w="2167" w:type="pct"/>
            <w:vAlign w:val="center"/>
          </w:tcPr>
          <w:p w14:paraId="3F938A04" w14:textId="77777777" w:rsidR="00606029" w:rsidRPr="004C4AB7" w:rsidRDefault="00EA5B92">
            <w:pPr>
              <w:pStyle w:val="TableParagraph"/>
              <w:adjustRightInd w:val="0"/>
              <w:snapToGrid w:val="0"/>
              <w:jc w:val="center"/>
              <w:rPr>
                <w:rFonts w:ascii="Times New Roman" w:hAnsi="Times New Roman" w:cs="Times New Roman"/>
                <w:sz w:val="21"/>
                <w:szCs w:val="21"/>
                <w:lang w:eastAsia="en-US"/>
              </w:rPr>
            </w:pPr>
            <w:r w:rsidRPr="004C4AB7">
              <w:rPr>
                <w:rFonts w:ascii="Times New Roman" w:hAnsi="Times New Roman" w:cs="Times New Roman"/>
                <w:sz w:val="21"/>
                <w:szCs w:val="21"/>
                <w:lang w:eastAsia="en-US"/>
              </w:rPr>
              <w:t>使用年限</w:t>
            </w:r>
          </w:p>
        </w:tc>
        <w:tc>
          <w:tcPr>
            <w:tcW w:w="1097" w:type="pct"/>
            <w:vAlign w:val="center"/>
          </w:tcPr>
          <w:p w14:paraId="1A227FDE" w14:textId="77777777" w:rsidR="00606029" w:rsidRPr="004C4AB7" w:rsidRDefault="00EA5B92">
            <w:pPr>
              <w:pStyle w:val="TableParagraph"/>
              <w:adjustRightInd w:val="0"/>
              <w:snapToGrid w:val="0"/>
              <w:jc w:val="center"/>
              <w:rPr>
                <w:rFonts w:ascii="Times New Roman" w:hAnsi="Times New Roman" w:cs="Times New Roman"/>
                <w:sz w:val="21"/>
                <w:szCs w:val="21"/>
              </w:rPr>
            </w:pPr>
            <w:r w:rsidRPr="004C4AB7">
              <w:rPr>
                <w:rFonts w:ascii="Times New Roman" w:hAnsi="Times New Roman" w:cs="Times New Roman"/>
                <w:sz w:val="21"/>
                <w:szCs w:val="21"/>
                <w:lang w:eastAsia="en-US"/>
              </w:rPr>
              <w:t>年</w:t>
            </w:r>
          </w:p>
        </w:tc>
        <w:tc>
          <w:tcPr>
            <w:tcW w:w="1110" w:type="pct"/>
            <w:vAlign w:val="center"/>
          </w:tcPr>
          <w:p w14:paraId="389014E8" w14:textId="039F6E50" w:rsidR="00606029" w:rsidRPr="004C4AB7" w:rsidRDefault="004C4AB7">
            <w:pPr>
              <w:pStyle w:val="TableParagraph"/>
              <w:adjustRightInd w:val="0"/>
              <w:snapToGrid w:val="0"/>
              <w:jc w:val="center"/>
              <w:rPr>
                <w:rFonts w:ascii="Times New Roman" w:hAnsi="Times New Roman" w:cs="Times New Roman"/>
                <w:sz w:val="21"/>
                <w:szCs w:val="21"/>
                <w:lang w:val="en-US"/>
              </w:rPr>
            </w:pPr>
            <w:r w:rsidRPr="004C4AB7">
              <w:rPr>
                <w:rFonts w:ascii="Times New Roman" w:hAnsi="Times New Roman" w:cs="Times New Roman" w:hint="eastAsia"/>
                <w:sz w:val="21"/>
                <w:szCs w:val="21"/>
              </w:rPr>
              <w:t>半年</w:t>
            </w:r>
          </w:p>
        </w:tc>
      </w:tr>
    </w:tbl>
    <w:p w14:paraId="70CEB0DB" w14:textId="77777777" w:rsidR="00606029" w:rsidRDefault="00EA5B92">
      <w:pPr>
        <w:pStyle w:val="3"/>
        <w:spacing w:beforeLines="50" w:before="120"/>
      </w:pPr>
      <w:bookmarkStart w:id="99" w:name="_Toc220680467"/>
      <w:r>
        <w:t>2.2.3</w:t>
      </w:r>
      <w:r>
        <w:t>填埋场地、填埋物料的来源及组分要求</w:t>
      </w:r>
      <w:bookmarkEnd w:id="99"/>
    </w:p>
    <w:p w14:paraId="4463BCF7" w14:textId="1FBB7699" w:rsidR="00606029" w:rsidRDefault="00606029">
      <w:pPr>
        <w:pStyle w:val="4"/>
      </w:pPr>
      <w:hyperlink r:id="rId33" w:history="1">
        <w:r>
          <w:t>2.2.3.1</w:t>
        </w:r>
      </w:hyperlink>
      <w:r w:rsidR="00EA5B92">
        <w:t>填埋场地</w:t>
      </w:r>
    </w:p>
    <w:p w14:paraId="41552FDD" w14:textId="1A2DA30A" w:rsidR="00606029" w:rsidRDefault="00EA5B92">
      <w:pPr>
        <w:pStyle w:val="affffff4"/>
      </w:pPr>
      <w:r>
        <w:t>本次飞灰填埋</w:t>
      </w:r>
      <w:r w:rsidR="00A24DCF">
        <w:rPr>
          <w:rFonts w:hint="eastAsia"/>
        </w:rPr>
        <w:t>区</w:t>
      </w:r>
      <w:r>
        <w:t>位于</w:t>
      </w:r>
      <w:r w:rsidR="00A24DCF">
        <w:rPr>
          <w:rFonts w:hint="eastAsia"/>
        </w:rPr>
        <w:t>原生活垃圾综合处理厂</w:t>
      </w:r>
      <w:r w:rsidR="004D0DC4">
        <w:rPr>
          <w:rFonts w:hint="eastAsia"/>
        </w:rPr>
        <w:t>永久占地</w:t>
      </w:r>
      <w:r>
        <w:t>范围内，北侧为</w:t>
      </w:r>
      <w:r w:rsidR="004C4AB7">
        <w:rPr>
          <w:rFonts w:hint="eastAsia"/>
        </w:rPr>
        <w:t>大庆城控电力有限公司</w:t>
      </w:r>
      <w:r w:rsidR="00285363">
        <w:rPr>
          <w:rFonts w:hint="eastAsia"/>
        </w:rPr>
        <w:t>污水处理区</w:t>
      </w:r>
      <w:r>
        <w:t>，南侧为</w:t>
      </w:r>
      <w:r w:rsidR="00285363">
        <w:rPr>
          <w:rFonts w:hint="eastAsia"/>
        </w:rPr>
        <w:t>厂界</w:t>
      </w:r>
      <w:r>
        <w:t>，西侧</w:t>
      </w:r>
      <w:bookmarkStart w:id="100" w:name="_Hlk219413913"/>
      <w:r w:rsidR="00820BE9">
        <w:rPr>
          <w:rFonts w:hint="eastAsia"/>
        </w:rPr>
        <w:t>焚烧发电主厂房和飞灰稳定化暂存库</w:t>
      </w:r>
      <w:bookmarkEnd w:id="100"/>
      <w:r w:rsidR="00285363">
        <w:rPr>
          <w:rFonts w:hint="eastAsia"/>
        </w:rPr>
        <w:t>，东侧为</w:t>
      </w:r>
      <w:r w:rsidR="00A24DCF">
        <w:rPr>
          <w:rFonts w:hint="eastAsia"/>
        </w:rPr>
        <w:t>原</w:t>
      </w:r>
      <w:r w:rsidR="00A24DCF" w:rsidRPr="00A24DCF">
        <w:rPr>
          <w:rFonts w:hint="eastAsia"/>
        </w:rPr>
        <w:t>生活垃圾综合处理厂</w:t>
      </w:r>
      <w:r w:rsidR="00285363">
        <w:rPr>
          <w:rFonts w:hint="eastAsia"/>
        </w:rPr>
        <w:t>生活垃圾填埋区</w:t>
      </w:r>
      <w:r>
        <w:t>。</w:t>
      </w:r>
      <w:r w:rsidR="00035046">
        <w:rPr>
          <w:rFonts w:hint="eastAsia"/>
        </w:rPr>
        <w:t>厂区</w:t>
      </w:r>
      <w:r>
        <w:t>范围内道路，交通较方便，配套供水、供电、道路</w:t>
      </w:r>
      <w:r w:rsidR="00035046">
        <w:rPr>
          <w:rFonts w:hint="eastAsia"/>
        </w:rPr>
        <w:t>等</w:t>
      </w:r>
      <w:r>
        <w:t>基础设施条件便利。</w:t>
      </w:r>
    </w:p>
    <w:p w14:paraId="7C1A0CD8" w14:textId="6A0D4596" w:rsidR="00606029" w:rsidRDefault="00EA5B92">
      <w:pPr>
        <w:pStyle w:val="affffff4"/>
      </w:pPr>
      <w:r>
        <w:lastRenderedPageBreak/>
        <w:t>该场址具有以下几点优势</w:t>
      </w:r>
      <w:r w:rsidR="006A52CC">
        <w:t>：</w:t>
      </w:r>
    </w:p>
    <w:p w14:paraId="0E6BB953" w14:textId="13BF98EF" w:rsidR="00606029" w:rsidRDefault="00EA5B92">
      <w:pPr>
        <w:pStyle w:val="affffff4"/>
      </w:pPr>
      <w:r>
        <w:t>1.</w:t>
      </w:r>
      <w:r>
        <w:t>场地为</w:t>
      </w:r>
      <w:r w:rsidR="00A24DCF" w:rsidRPr="00A24DCF">
        <w:rPr>
          <w:rFonts w:hint="eastAsia"/>
        </w:rPr>
        <w:t>原生活垃圾综合处理厂</w:t>
      </w:r>
      <w:r w:rsidR="00A24DCF">
        <w:rPr>
          <w:rFonts w:hint="eastAsia"/>
        </w:rPr>
        <w:t>渗滤液调节池</w:t>
      </w:r>
      <w:r>
        <w:t>，</w:t>
      </w:r>
      <w:r w:rsidR="00A24DCF">
        <w:rPr>
          <w:rFonts w:hint="eastAsia"/>
        </w:rPr>
        <w:t>区域内</w:t>
      </w:r>
      <w:r>
        <w:t>无滑坡、崩塌等地质灾害，清理存量</w:t>
      </w:r>
      <w:r w:rsidR="00A24DCF">
        <w:rPr>
          <w:rFonts w:hint="eastAsia"/>
        </w:rPr>
        <w:t>渗滤液后</w:t>
      </w:r>
      <w:r>
        <w:t>，</w:t>
      </w:r>
      <w:r w:rsidR="00A24DCF">
        <w:rPr>
          <w:rFonts w:hint="eastAsia"/>
        </w:rPr>
        <w:t>可以</w:t>
      </w:r>
      <w:r>
        <w:t>承载力满足要求；</w:t>
      </w:r>
    </w:p>
    <w:p w14:paraId="55B16C8F" w14:textId="63DEC4CC" w:rsidR="00606029" w:rsidRDefault="00EA5B92">
      <w:pPr>
        <w:pStyle w:val="affffff4"/>
      </w:pPr>
      <w:r>
        <w:t>2.</w:t>
      </w:r>
      <w:r w:rsidR="00820BE9">
        <w:rPr>
          <w:rFonts w:hint="eastAsia"/>
        </w:rPr>
        <w:t>紧邻</w:t>
      </w:r>
      <w:r w:rsidR="00A24DCF">
        <w:rPr>
          <w:rFonts w:hint="eastAsia"/>
        </w:rPr>
        <w:t>大庆城控电力有限公司</w:t>
      </w:r>
      <w:r w:rsidR="00820BE9" w:rsidRPr="00820BE9">
        <w:rPr>
          <w:rFonts w:hint="eastAsia"/>
        </w:rPr>
        <w:t>焚烧发电主厂房和飞灰稳定化暂存库</w:t>
      </w:r>
      <w:r>
        <w:t>，</w:t>
      </w:r>
      <w:r w:rsidR="00820BE9">
        <w:rPr>
          <w:rFonts w:hint="eastAsia"/>
        </w:rPr>
        <w:t>没有运输距离</w:t>
      </w:r>
      <w:r>
        <w:t>；</w:t>
      </w:r>
    </w:p>
    <w:p w14:paraId="129E87C3" w14:textId="19E2C88C" w:rsidR="00606029" w:rsidRDefault="00EA5B92">
      <w:pPr>
        <w:pStyle w:val="affffff4"/>
      </w:pPr>
      <w:r>
        <w:t>3.</w:t>
      </w:r>
      <w:r>
        <w:t>可依托现有渗滤液处理站（</w:t>
      </w:r>
      <w:r w:rsidR="00820BE9">
        <w:rPr>
          <w:rFonts w:hint="eastAsia"/>
        </w:rPr>
        <w:t>45</w:t>
      </w:r>
      <w:r>
        <w:t>0m</w:t>
      </w:r>
      <w:r>
        <w:rPr>
          <w:vertAlign w:val="superscript"/>
        </w:rPr>
        <w:t>3</w:t>
      </w:r>
      <w:r>
        <w:t>/d</w:t>
      </w:r>
      <w:r>
        <w:t>）、</w:t>
      </w:r>
      <w:r w:rsidR="00493884" w:rsidRPr="00493884">
        <w:rPr>
          <w:rFonts w:hint="eastAsia"/>
        </w:rPr>
        <w:t>渗滤液</w:t>
      </w:r>
      <w:r w:rsidR="00493884">
        <w:rPr>
          <w:rFonts w:hint="eastAsia"/>
        </w:rPr>
        <w:t>调节池</w:t>
      </w:r>
      <w:r w:rsidRPr="00493884">
        <w:t>（</w:t>
      </w:r>
      <w:r w:rsidR="00493884" w:rsidRPr="00493884">
        <w:rPr>
          <w:rFonts w:hint="eastAsia"/>
        </w:rPr>
        <w:t>3</w:t>
      </w:r>
      <w:r w:rsidR="00493884">
        <w:rPr>
          <w:rFonts w:hint="eastAsia"/>
        </w:rPr>
        <w:t>120</w:t>
      </w:r>
      <w:r w:rsidRPr="00493884">
        <w:t>m</w:t>
      </w:r>
      <w:r w:rsidRPr="00493884">
        <w:rPr>
          <w:vertAlign w:val="superscript"/>
        </w:rPr>
        <w:t>3</w:t>
      </w:r>
      <w:r w:rsidRPr="00493884">
        <w:t>）、</w:t>
      </w:r>
      <w:r>
        <w:t>道路等设施，降低投资；</w:t>
      </w:r>
    </w:p>
    <w:p w14:paraId="66CB0733" w14:textId="2CEEF550" w:rsidR="00606029" w:rsidRDefault="00EA5B92">
      <w:pPr>
        <w:pStyle w:val="affffff4"/>
      </w:pPr>
      <w:r>
        <w:t>4.</w:t>
      </w:r>
      <w:r>
        <w:t>场地周边为</w:t>
      </w:r>
      <w:r w:rsidR="00820BE9">
        <w:rPr>
          <w:rFonts w:hint="eastAsia"/>
        </w:rPr>
        <w:t>耕地</w:t>
      </w:r>
      <w:r>
        <w:t>、荒</w:t>
      </w:r>
      <w:r w:rsidR="00820BE9">
        <w:rPr>
          <w:rFonts w:hint="eastAsia"/>
        </w:rPr>
        <w:t>草</w:t>
      </w:r>
      <w:r>
        <w:t>地，人口密度低，土地利用价值低。</w:t>
      </w:r>
    </w:p>
    <w:p w14:paraId="15E014AF" w14:textId="3BA7100A" w:rsidR="00606029" w:rsidRDefault="00606029">
      <w:pPr>
        <w:pStyle w:val="4"/>
      </w:pPr>
      <w:hyperlink r:id="rId34" w:history="1">
        <w:r>
          <w:t>2.2.3.2</w:t>
        </w:r>
      </w:hyperlink>
      <w:r w:rsidR="00EA5B92">
        <w:t>填埋物料的来源及产量</w:t>
      </w:r>
    </w:p>
    <w:p w14:paraId="5086394B" w14:textId="4413F0EB" w:rsidR="00606029" w:rsidRDefault="00EA5B92">
      <w:pPr>
        <w:pStyle w:val="affffff4"/>
      </w:pPr>
      <w:r>
        <w:t>本项目接纳对象为</w:t>
      </w:r>
      <w:r w:rsidR="004E5FFD">
        <w:rPr>
          <w:szCs w:val="22"/>
        </w:rPr>
        <w:t>大庆城控电力有限公司</w:t>
      </w:r>
      <w:r>
        <w:t>产生的固化稳定化处理后的飞灰。固化稳定化后的飞灰呈块状灰色固体，主要成分为无机物，有机物含量</w:t>
      </w:r>
      <w:r w:rsidR="002D6EE2">
        <w:rPr>
          <w:rFonts w:hint="eastAsia"/>
        </w:rPr>
        <w:t>极</w:t>
      </w:r>
      <w:r>
        <w:t>少，重金属被固化剂以螯合物等化学吸附的方式固定在固体颗粒内，本项目入库填埋的固化飞灰均采用吨袋进行包装。</w:t>
      </w:r>
      <w:r w:rsidR="0087742A">
        <w:rPr>
          <w:rFonts w:hint="eastAsia"/>
        </w:rPr>
        <w:t>根据《</w:t>
      </w:r>
      <w:r w:rsidR="0087742A" w:rsidRPr="0087742A">
        <w:rPr>
          <w:rFonts w:hint="eastAsia"/>
        </w:rPr>
        <w:t>大庆市生活垃圾焚烧发电项目（一期）竣工环境保护验收监测报告</w:t>
      </w:r>
      <w:r w:rsidR="0087742A">
        <w:rPr>
          <w:rFonts w:hint="eastAsia"/>
        </w:rPr>
        <w:t>》，</w:t>
      </w:r>
      <w:r w:rsidR="0087742A">
        <w:t>焚烧厂处理规模</w:t>
      </w:r>
      <w:r w:rsidR="0087742A">
        <w:rPr>
          <w:rFonts w:hint="eastAsia"/>
        </w:rPr>
        <w:t>15</w:t>
      </w:r>
      <w:r w:rsidR="0087742A">
        <w:t>00t/d</w:t>
      </w:r>
      <w:r w:rsidR="0087742A">
        <w:t>，</w:t>
      </w:r>
      <w:r w:rsidR="0087742A" w:rsidRPr="0087742A">
        <w:rPr>
          <w:rFonts w:hint="eastAsia"/>
        </w:rPr>
        <w:t>飞灰固化体产生量为</w:t>
      </w:r>
      <w:r w:rsidR="0087742A" w:rsidRPr="0087742A">
        <w:rPr>
          <w:rFonts w:hint="eastAsia"/>
        </w:rPr>
        <w:t>22249t/a</w:t>
      </w:r>
      <w:r>
        <w:rPr>
          <w:rFonts w:hint="eastAsia"/>
        </w:rPr>
        <w:t>（</w:t>
      </w:r>
      <w:r w:rsidR="004C4AB7">
        <w:rPr>
          <w:rFonts w:hint="eastAsia"/>
        </w:rPr>
        <w:t>约</w:t>
      </w:r>
      <w:r>
        <w:rPr>
          <w:rFonts w:hint="eastAsia"/>
        </w:rPr>
        <w:t>6</w:t>
      </w:r>
      <w:r w:rsidR="004C4AB7">
        <w:rPr>
          <w:rFonts w:hint="eastAsia"/>
        </w:rPr>
        <w:t>0</w:t>
      </w:r>
      <w:r>
        <w:rPr>
          <w:rFonts w:hint="eastAsia"/>
        </w:rPr>
        <w:t>t/d</w:t>
      </w:r>
      <w:r>
        <w:rPr>
          <w:rFonts w:hint="eastAsia"/>
        </w:rPr>
        <w:t>）</w:t>
      </w:r>
      <w:r w:rsidR="0087742A" w:rsidRPr="0087742A">
        <w:rPr>
          <w:rFonts w:hint="eastAsia"/>
        </w:rPr>
        <w:t>，</w:t>
      </w:r>
      <w:r>
        <w:t>飞灰稳定化采用螯合剂稳定化工艺，稳定化后呈大颗粒状，浸出液满足</w:t>
      </w:r>
      <w:r>
        <w:t>GB16889-2024</w:t>
      </w:r>
      <w:r>
        <w:t>第</w:t>
      </w:r>
      <w:r>
        <w:t>6.3</w:t>
      </w:r>
      <w:r>
        <w:t>条要求（二噁英</w:t>
      </w:r>
      <w:r>
        <w:t>≤3μgTEQ/kg</w:t>
      </w:r>
      <w:r>
        <w:t>，重金属浸出浓度符合标准限值）；包装方式采用吨袋密封包装（</w:t>
      </w:r>
      <w:r>
        <w:t>1.0m×1.0m×1.0m/</w:t>
      </w:r>
      <w:r>
        <w:t>袋），每袋重量约</w:t>
      </w:r>
      <w:r>
        <w:t>1.0t</w:t>
      </w:r>
      <w:r>
        <w:t>；</w:t>
      </w:r>
      <w:r w:rsidR="007B77AA">
        <w:rPr>
          <w:rFonts w:hint="eastAsia"/>
        </w:rPr>
        <w:t>填埋量为</w:t>
      </w:r>
      <w:r w:rsidR="004C4AB7" w:rsidRPr="004C4AB7">
        <w:rPr>
          <w:rFonts w:hint="eastAsia"/>
        </w:rPr>
        <w:t>6</w:t>
      </w:r>
      <w:r w:rsidRPr="004C4AB7">
        <w:t>0t/d</w:t>
      </w:r>
      <w:r w:rsidRPr="004C4AB7">
        <w:t>，总需库容</w:t>
      </w:r>
      <w:r w:rsidR="004C4AB7" w:rsidRPr="004C4AB7">
        <w:rPr>
          <w:rFonts w:hint="eastAsia"/>
        </w:rPr>
        <w:t>7316</w:t>
      </w:r>
      <w:r w:rsidRPr="004C4AB7">
        <w:t>m³</w:t>
      </w:r>
      <w:r w:rsidRPr="004C4AB7">
        <w:t>，可满足</w:t>
      </w:r>
      <w:r w:rsidR="004C4AB7" w:rsidRPr="004C4AB7">
        <w:rPr>
          <w:rFonts w:hint="eastAsia"/>
        </w:rPr>
        <w:t>半</w:t>
      </w:r>
      <w:r w:rsidRPr="004C4AB7">
        <w:t>年填埋需求。</w:t>
      </w:r>
    </w:p>
    <w:p w14:paraId="4850C32B" w14:textId="701D6561" w:rsidR="00606029" w:rsidRDefault="00606029">
      <w:pPr>
        <w:pStyle w:val="4"/>
      </w:pPr>
      <w:hyperlink r:id="rId35" w:history="1">
        <w:r>
          <w:t>2.2.3.3</w:t>
        </w:r>
      </w:hyperlink>
      <w:r w:rsidR="00EA5B92">
        <w:t>垃圾焚烧厂飞灰固化稳定化处理系统</w:t>
      </w:r>
    </w:p>
    <w:p w14:paraId="5D5C290D" w14:textId="04DB13A2" w:rsidR="00606029" w:rsidRDefault="00EA5B92">
      <w:pPr>
        <w:pStyle w:val="affffff4"/>
      </w:pPr>
      <w:r>
        <w:t>根据《</w:t>
      </w:r>
      <w:r w:rsidRPr="00EA5B92">
        <w:rPr>
          <w:rFonts w:hint="eastAsia"/>
        </w:rPr>
        <w:t>大庆市生活垃圾焚烧发电项目（一期）</w:t>
      </w:r>
      <w:r>
        <w:t>竣工环境保护验收监测报告》及现场调查，该系统采用鳌合固化处理工艺，</w:t>
      </w:r>
      <w:r w:rsidRPr="00EA5B92">
        <w:rPr>
          <w:rFonts w:hint="eastAsia"/>
        </w:rPr>
        <w:t>反应塔底部的飞灰和除尘器灰斗的飞灰分别由刮板输送机和斗式提升机送入灰仓储存</w:t>
      </w:r>
      <w:r>
        <w:t>。</w:t>
      </w:r>
      <w:r w:rsidRPr="00EA5B92">
        <w:rPr>
          <w:rFonts w:hint="eastAsia"/>
        </w:rPr>
        <w:t>飞灰送入灰仓后，定量输送至螺旋输送机，再由螺旋机送至混炼机，同时将螯合剂稀释液、水输送</w:t>
      </w:r>
      <w:r w:rsidR="002D6EE2">
        <w:rPr>
          <w:rFonts w:hint="eastAsia"/>
        </w:rPr>
        <w:t>至</w:t>
      </w:r>
      <w:r w:rsidRPr="00EA5B92">
        <w:rPr>
          <w:rFonts w:hint="eastAsia"/>
        </w:rPr>
        <w:t>混炼机内混合，飞灰中的重金属类与螯合剂反应，生成螯合物从而被稳定化。混炼机出来的被稳定化后的浆体，通过稳定化成型机成型，最后在</w:t>
      </w:r>
      <w:r w:rsidR="002D6EE2" w:rsidRPr="002D6EE2">
        <w:t>飞灰稳定化暂存库</w:t>
      </w:r>
      <w:r w:rsidRPr="00EA5B92">
        <w:rPr>
          <w:rFonts w:hint="eastAsia"/>
        </w:rPr>
        <w:t>进行养护</w:t>
      </w:r>
      <w:r w:rsidR="00D12FBE">
        <w:rPr>
          <w:rFonts w:hint="eastAsia"/>
        </w:rPr>
        <w:t>，</w:t>
      </w:r>
      <w:r>
        <w:t>养护后固化物满足《生活垃圾焚烧飞灰污染控制技术规范》（试行）（</w:t>
      </w:r>
      <w:r>
        <w:t>HJ1134-2020</w:t>
      </w:r>
      <w:r>
        <w:t>）要求。</w:t>
      </w:r>
    </w:p>
    <w:p w14:paraId="339FCF29" w14:textId="66415602" w:rsidR="00606029" w:rsidRDefault="00606029">
      <w:pPr>
        <w:pStyle w:val="4"/>
      </w:pPr>
      <w:hyperlink r:id="rId36" w:history="1">
        <w:r>
          <w:t>2.2.3.4</w:t>
        </w:r>
      </w:hyperlink>
      <w:r w:rsidR="00EA5B92">
        <w:t>填埋物料的性质判定和质控保障措施</w:t>
      </w:r>
    </w:p>
    <w:p w14:paraId="14DB1FE7" w14:textId="59A2190C" w:rsidR="00606029" w:rsidRPr="002D6EE2" w:rsidRDefault="002D6EE2">
      <w:pPr>
        <w:pStyle w:val="affffff4"/>
      </w:pPr>
      <w:r w:rsidRPr="002D6EE2">
        <w:t>（</w:t>
      </w:r>
      <w:r w:rsidRPr="002D6EE2">
        <w:t>1</w:t>
      </w:r>
      <w:r w:rsidRPr="002D6EE2">
        <w:t>）</w:t>
      </w:r>
      <w:r w:rsidR="00EA5B92" w:rsidRPr="002D6EE2">
        <w:t>填埋物料的性质判定</w:t>
      </w:r>
    </w:p>
    <w:p w14:paraId="4B73F381" w14:textId="5DC3E7DE" w:rsidR="00606029" w:rsidRPr="002D6EE2" w:rsidRDefault="004C4AB7" w:rsidP="002D6EE2">
      <w:pPr>
        <w:pStyle w:val="affffff4"/>
      </w:pPr>
      <w:r w:rsidRPr="002D6EE2">
        <w:t>生活垃圾</w:t>
      </w:r>
      <w:r w:rsidR="00EA5B92" w:rsidRPr="002D6EE2">
        <w:t>焚烧</w:t>
      </w:r>
      <w:r w:rsidRPr="002D6EE2">
        <w:t>发电</w:t>
      </w:r>
      <w:r w:rsidR="00EA5B92" w:rsidRPr="002D6EE2">
        <w:t>厂产生的飞灰采用</w:t>
      </w:r>
      <w:r w:rsidR="00A24DCF" w:rsidRPr="002D6EE2">
        <w:t>螯合固化</w:t>
      </w:r>
      <w:r w:rsidR="00EA5B92" w:rsidRPr="002D6EE2">
        <w:t>处理</w:t>
      </w:r>
      <w:r w:rsidR="00A24DCF" w:rsidRPr="002D6EE2">
        <w:t>工艺</w:t>
      </w:r>
      <w:r w:rsidR="00EA5B92" w:rsidRPr="002D6EE2">
        <w:t>，经检验其浸出液需满足《生活垃圾填埋场污染控制标准》（</w:t>
      </w:r>
      <w:r w:rsidR="00EA5B92" w:rsidRPr="002D6EE2">
        <w:t>GB16889-2024</w:t>
      </w:r>
      <w:r w:rsidR="00EA5B92" w:rsidRPr="002D6EE2">
        <w:t>）</w:t>
      </w:r>
      <w:r w:rsidR="00EA5B92" w:rsidRPr="002D6EE2">
        <w:t>6.3</w:t>
      </w:r>
      <w:r w:rsidR="00EA5B92" w:rsidRPr="002D6EE2">
        <w:t>条的要求，方能送往本项目</w:t>
      </w:r>
      <w:r w:rsidR="00EA5B92" w:rsidRPr="002D6EE2">
        <w:lastRenderedPageBreak/>
        <w:t>飞灰区进行填埋处理。检验不合格的飞灰处理产物经返料破碎后再进行固化处理。飞灰处理执行《生活垃圾填埋场污染控制标准》（</w:t>
      </w:r>
      <w:r w:rsidR="00EA5B92" w:rsidRPr="002D6EE2">
        <w:t>GB16889-2024</w:t>
      </w:r>
      <w:r w:rsidR="00EA5B92" w:rsidRPr="002D6EE2">
        <w:t>）</w:t>
      </w:r>
      <w:r w:rsidR="006A52CC" w:rsidRPr="002D6EE2">
        <w:t>：</w:t>
      </w:r>
    </w:p>
    <w:p w14:paraId="3A518404" w14:textId="2C808604" w:rsidR="00606029" w:rsidRPr="002D6EE2" w:rsidRDefault="002D6EE2">
      <w:pPr>
        <w:pStyle w:val="affffff4"/>
      </w:pPr>
      <w:r w:rsidRPr="002D6EE2">
        <w:rPr>
          <w:rFonts w:ascii="Cambria Math" w:hAnsi="Cambria Math" w:cs="Cambria Math"/>
        </w:rPr>
        <w:t>①</w:t>
      </w:r>
      <w:r w:rsidR="00EA5B92" w:rsidRPr="002D6EE2">
        <w:t>二噁英含量低于</w:t>
      </w:r>
      <w:r w:rsidR="00EA5B92" w:rsidRPr="002D6EE2">
        <w:t>3μgTEQ/Kg</w:t>
      </w:r>
      <w:r w:rsidR="00EA5B92" w:rsidRPr="002D6EE2">
        <w:t>；</w:t>
      </w:r>
    </w:p>
    <w:p w14:paraId="6442535C" w14:textId="30E6D3EE" w:rsidR="00606029" w:rsidRPr="002D6EE2" w:rsidRDefault="002D6EE2">
      <w:pPr>
        <w:pStyle w:val="affffff4"/>
      </w:pPr>
      <w:r w:rsidRPr="002D6EE2">
        <w:rPr>
          <w:rFonts w:ascii="Cambria Math" w:hAnsi="Cambria Math" w:cs="Cambria Math"/>
        </w:rPr>
        <w:t>②</w:t>
      </w:r>
      <w:r w:rsidR="00EA5B92" w:rsidRPr="002D6EE2">
        <w:t>按照</w:t>
      </w:r>
      <w:r w:rsidR="00EA5B92" w:rsidRPr="002D6EE2">
        <w:t>HJ/T300-2007</w:t>
      </w:r>
      <w:r w:rsidR="00EA5B92" w:rsidRPr="002D6EE2">
        <w:t>制备的浸出液中危害成分浓度低于下表规定的限值。</w:t>
      </w:r>
    </w:p>
    <w:p w14:paraId="5F84DC51" w14:textId="4A511D47" w:rsidR="00606029" w:rsidRDefault="00EA5B92">
      <w:pPr>
        <w:pStyle w:val="affffff5"/>
      </w:pPr>
      <w:r>
        <w:t>表</w:t>
      </w:r>
      <w:r>
        <w:t>2.2-</w:t>
      </w:r>
      <w:r w:rsidR="002F22F3">
        <w:rPr>
          <w:rFonts w:hint="eastAsia"/>
        </w:rPr>
        <w:t>3</w:t>
      </w:r>
      <w:r>
        <w:t>浸出液污染物浓度限值</w:t>
      </w:r>
    </w:p>
    <w:tbl>
      <w:tblPr>
        <w:tblStyle w:val="TableNormal"/>
        <w:tblW w:w="4998" w:type="pct"/>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4"/>
        <w:gridCol w:w="1763"/>
        <w:gridCol w:w="1995"/>
        <w:gridCol w:w="749"/>
        <w:gridCol w:w="1752"/>
        <w:gridCol w:w="1927"/>
      </w:tblGrid>
      <w:tr w:rsidR="00606029" w14:paraId="30841C51" w14:textId="77777777">
        <w:trPr>
          <w:trHeight w:val="290"/>
        </w:trPr>
        <w:tc>
          <w:tcPr>
            <w:tcW w:w="365" w:type="pct"/>
          </w:tcPr>
          <w:p w14:paraId="0704FED9" w14:textId="77777777" w:rsidR="00606029" w:rsidRDefault="00EA5B92">
            <w:pPr>
              <w:pStyle w:val="TableText"/>
              <w:spacing w:before="41" w:line="220" w:lineRule="auto"/>
              <w:ind w:left="130"/>
              <w:rPr>
                <w:rFonts w:ascii="Times New Roman" w:hAnsi="Times New Roman" w:cs="Times New Roman"/>
              </w:rPr>
            </w:pPr>
            <w:r>
              <w:rPr>
                <w:rFonts w:ascii="Times New Roman" w:hAnsi="Times New Roman" w:cs="Times New Roman"/>
              </w:rPr>
              <w:t>序号</w:t>
            </w:r>
          </w:p>
        </w:tc>
        <w:tc>
          <w:tcPr>
            <w:tcW w:w="998" w:type="pct"/>
          </w:tcPr>
          <w:p w14:paraId="65B18221" w14:textId="77777777" w:rsidR="00606029" w:rsidRDefault="00EA5B92">
            <w:pPr>
              <w:pStyle w:val="TableText"/>
              <w:spacing w:before="41" w:line="220" w:lineRule="auto"/>
              <w:ind w:left="390"/>
              <w:rPr>
                <w:rFonts w:ascii="Times New Roman" w:hAnsi="Times New Roman" w:cs="Times New Roman"/>
              </w:rPr>
            </w:pPr>
            <w:r>
              <w:rPr>
                <w:rFonts w:ascii="Times New Roman" w:hAnsi="Times New Roman" w:cs="Times New Roman"/>
              </w:rPr>
              <w:t>污染物项目</w:t>
            </w:r>
          </w:p>
        </w:tc>
        <w:tc>
          <w:tcPr>
            <w:tcW w:w="1129" w:type="pct"/>
          </w:tcPr>
          <w:p w14:paraId="65DA07C6" w14:textId="77777777" w:rsidR="00606029" w:rsidRDefault="00EA5B92">
            <w:pPr>
              <w:pStyle w:val="TableText"/>
              <w:spacing w:before="41" w:line="220" w:lineRule="auto"/>
              <w:ind w:left="177"/>
              <w:rPr>
                <w:rFonts w:ascii="Times New Roman" w:hAnsi="Times New Roman" w:cs="Times New Roman"/>
              </w:rPr>
            </w:pPr>
            <w:r>
              <w:rPr>
                <w:rFonts w:ascii="Times New Roman" w:hAnsi="Times New Roman" w:cs="Times New Roman"/>
              </w:rPr>
              <w:t>浓度限值（</w:t>
            </w:r>
            <w:r>
              <w:rPr>
                <w:rFonts w:ascii="Times New Roman" w:eastAsia="Times New Roman" w:hAnsi="Times New Roman" w:cs="Times New Roman"/>
              </w:rPr>
              <w:t>mg/L</w:t>
            </w:r>
            <w:r>
              <w:rPr>
                <w:rFonts w:ascii="Times New Roman" w:hAnsi="Times New Roman" w:cs="Times New Roman"/>
              </w:rPr>
              <w:t>）</w:t>
            </w:r>
          </w:p>
        </w:tc>
        <w:tc>
          <w:tcPr>
            <w:tcW w:w="424" w:type="pct"/>
          </w:tcPr>
          <w:p w14:paraId="78692452" w14:textId="77777777" w:rsidR="00606029" w:rsidRDefault="00EA5B92">
            <w:pPr>
              <w:pStyle w:val="TableText"/>
              <w:spacing w:before="41" w:line="220" w:lineRule="auto"/>
              <w:ind w:left="182"/>
              <w:rPr>
                <w:rFonts w:ascii="Times New Roman" w:hAnsi="Times New Roman" w:cs="Times New Roman"/>
              </w:rPr>
            </w:pPr>
            <w:r>
              <w:rPr>
                <w:rFonts w:ascii="Times New Roman" w:hAnsi="Times New Roman" w:cs="Times New Roman"/>
              </w:rPr>
              <w:t>序号</w:t>
            </w:r>
          </w:p>
        </w:tc>
        <w:tc>
          <w:tcPr>
            <w:tcW w:w="991" w:type="pct"/>
          </w:tcPr>
          <w:p w14:paraId="74A3657B" w14:textId="77777777" w:rsidR="00606029" w:rsidRDefault="00EA5B92">
            <w:pPr>
              <w:pStyle w:val="TableText"/>
              <w:spacing w:before="41" w:line="220" w:lineRule="auto"/>
              <w:ind w:left="384"/>
              <w:rPr>
                <w:rFonts w:ascii="Times New Roman" w:hAnsi="Times New Roman" w:cs="Times New Roman"/>
              </w:rPr>
            </w:pPr>
            <w:r>
              <w:rPr>
                <w:rFonts w:ascii="Times New Roman" w:hAnsi="Times New Roman" w:cs="Times New Roman"/>
              </w:rPr>
              <w:t>污染物项目</w:t>
            </w:r>
          </w:p>
        </w:tc>
        <w:tc>
          <w:tcPr>
            <w:tcW w:w="1090" w:type="pct"/>
          </w:tcPr>
          <w:p w14:paraId="3B791E17" w14:textId="77777777" w:rsidR="00606029" w:rsidRDefault="00EA5B92">
            <w:pPr>
              <w:pStyle w:val="TableText"/>
              <w:spacing w:before="41" w:line="220" w:lineRule="auto"/>
              <w:ind w:left="141"/>
              <w:rPr>
                <w:rFonts w:ascii="Times New Roman" w:hAnsi="Times New Roman" w:cs="Times New Roman"/>
              </w:rPr>
            </w:pPr>
            <w:r>
              <w:rPr>
                <w:rFonts w:ascii="Times New Roman" w:hAnsi="Times New Roman" w:cs="Times New Roman"/>
              </w:rPr>
              <w:t>浓度限值（</w:t>
            </w:r>
            <w:r>
              <w:rPr>
                <w:rFonts w:ascii="Times New Roman" w:eastAsia="Times New Roman" w:hAnsi="Times New Roman" w:cs="Times New Roman"/>
              </w:rPr>
              <w:t>mg/L</w:t>
            </w:r>
            <w:r>
              <w:rPr>
                <w:rFonts w:ascii="Times New Roman" w:hAnsi="Times New Roman" w:cs="Times New Roman"/>
              </w:rPr>
              <w:t>）</w:t>
            </w:r>
          </w:p>
        </w:tc>
      </w:tr>
      <w:tr w:rsidR="00606029" w14:paraId="1D6A3BB4" w14:textId="77777777">
        <w:trPr>
          <w:trHeight w:val="285"/>
        </w:trPr>
        <w:tc>
          <w:tcPr>
            <w:tcW w:w="365" w:type="pct"/>
          </w:tcPr>
          <w:p w14:paraId="573F1F99" w14:textId="77777777" w:rsidR="00606029" w:rsidRDefault="00EA5B92">
            <w:pPr>
              <w:spacing w:before="77" w:line="195" w:lineRule="auto"/>
              <w:ind w:left="303"/>
              <w:rPr>
                <w:rFonts w:eastAsia="Times New Roman"/>
              </w:rPr>
            </w:pPr>
            <w:r>
              <w:rPr>
                <w:rFonts w:eastAsia="Times New Roman"/>
              </w:rPr>
              <w:t>1</w:t>
            </w:r>
          </w:p>
        </w:tc>
        <w:tc>
          <w:tcPr>
            <w:tcW w:w="998" w:type="pct"/>
          </w:tcPr>
          <w:p w14:paraId="2BAC180F" w14:textId="77777777" w:rsidR="00606029" w:rsidRDefault="00EA5B92">
            <w:pPr>
              <w:pStyle w:val="TableText"/>
              <w:spacing w:before="38" w:line="218" w:lineRule="auto"/>
              <w:ind w:left="809"/>
              <w:rPr>
                <w:rFonts w:ascii="Times New Roman" w:hAnsi="Times New Roman" w:cs="Times New Roman"/>
              </w:rPr>
            </w:pPr>
            <w:r>
              <w:rPr>
                <w:rFonts w:ascii="Times New Roman" w:hAnsi="Times New Roman" w:cs="Times New Roman"/>
              </w:rPr>
              <w:t>汞</w:t>
            </w:r>
          </w:p>
        </w:tc>
        <w:tc>
          <w:tcPr>
            <w:tcW w:w="1129" w:type="pct"/>
          </w:tcPr>
          <w:p w14:paraId="0423CB5F" w14:textId="77777777" w:rsidR="00606029" w:rsidRDefault="00EA5B92">
            <w:pPr>
              <w:spacing w:before="77" w:line="195" w:lineRule="auto"/>
              <w:ind w:left="848"/>
              <w:rPr>
                <w:rFonts w:eastAsia="Times New Roman"/>
              </w:rPr>
            </w:pPr>
            <w:r>
              <w:rPr>
                <w:rFonts w:eastAsia="Times New Roman"/>
              </w:rPr>
              <w:t>0.05</w:t>
            </w:r>
          </w:p>
        </w:tc>
        <w:tc>
          <w:tcPr>
            <w:tcW w:w="424" w:type="pct"/>
          </w:tcPr>
          <w:p w14:paraId="6C3DBFC5" w14:textId="77777777" w:rsidR="00606029" w:rsidRDefault="00EA5B92">
            <w:pPr>
              <w:spacing w:before="80" w:line="192" w:lineRule="auto"/>
              <w:ind w:left="338"/>
              <w:rPr>
                <w:rFonts w:eastAsia="Times New Roman"/>
              </w:rPr>
            </w:pPr>
            <w:r>
              <w:rPr>
                <w:rFonts w:eastAsia="Times New Roman"/>
              </w:rPr>
              <w:t>7</w:t>
            </w:r>
          </w:p>
        </w:tc>
        <w:tc>
          <w:tcPr>
            <w:tcW w:w="991" w:type="pct"/>
          </w:tcPr>
          <w:p w14:paraId="17F2D49E" w14:textId="77777777" w:rsidR="00606029" w:rsidRDefault="00EA5B92">
            <w:pPr>
              <w:pStyle w:val="TableText"/>
              <w:spacing w:before="38" w:line="218" w:lineRule="auto"/>
              <w:ind w:left="802"/>
              <w:rPr>
                <w:rFonts w:ascii="Times New Roman" w:hAnsi="Times New Roman" w:cs="Times New Roman"/>
              </w:rPr>
            </w:pPr>
            <w:r>
              <w:rPr>
                <w:rFonts w:ascii="Times New Roman" w:hAnsi="Times New Roman" w:cs="Times New Roman"/>
              </w:rPr>
              <w:t>钡</w:t>
            </w:r>
          </w:p>
        </w:tc>
        <w:tc>
          <w:tcPr>
            <w:tcW w:w="1090" w:type="pct"/>
          </w:tcPr>
          <w:p w14:paraId="59D3622D" w14:textId="77777777" w:rsidR="00606029" w:rsidRDefault="00EA5B92">
            <w:pPr>
              <w:spacing w:before="77" w:line="195" w:lineRule="auto"/>
              <w:ind w:left="891"/>
              <w:rPr>
                <w:rFonts w:eastAsia="Times New Roman"/>
              </w:rPr>
            </w:pPr>
            <w:r>
              <w:rPr>
                <w:rFonts w:eastAsia="Times New Roman"/>
              </w:rPr>
              <w:t>25</w:t>
            </w:r>
          </w:p>
        </w:tc>
      </w:tr>
      <w:tr w:rsidR="00606029" w14:paraId="113634C9" w14:textId="77777777">
        <w:trPr>
          <w:trHeight w:val="285"/>
        </w:trPr>
        <w:tc>
          <w:tcPr>
            <w:tcW w:w="365" w:type="pct"/>
          </w:tcPr>
          <w:p w14:paraId="0F813CB0" w14:textId="77777777" w:rsidR="00606029" w:rsidRDefault="00EA5B92">
            <w:pPr>
              <w:spacing w:before="80" w:line="195" w:lineRule="auto"/>
              <w:ind w:left="283"/>
              <w:rPr>
                <w:rFonts w:eastAsia="Times New Roman"/>
              </w:rPr>
            </w:pPr>
            <w:r>
              <w:rPr>
                <w:rFonts w:eastAsia="Times New Roman"/>
              </w:rPr>
              <w:t>2</w:t>
            </w:r>
          </w:p>
        </w:tc>
        <w:tc>
          <w:tcPr>
            <w:tcW w:w="998" w:type="pct"/>
          </w:tcPr>
          <w:p w14:paraId="6C01ECAC" w14:textId="77777777" w:rsidR="00606029" w:rsidRDefault="00EA5B92">
            <w:pPr>
              <w:pStyle w:val="TableText"/>
              <w:spacing w:before="44" w:line="213" w:lineRule="auto"/>
              <w:ind w:left="808"/>
              <w:rPr>
                <w:rFonts w:ascii="Times New Roman" w:hAnsi="Times New Roman" w:cs="Times New Roman"/>
              </w:rPr>
            </w:pPr>
            <w:r>
              <w:rPr>
                <w:rFonts w:ascii="Times New Roman" w:hAnsi="Times New Roman" w:cs="Times New Roman"/>
              </w:rPr>
              <w:t>铜</w:t>
            </w:r>
          </w:p>
        </w:tc>
        <w:tc>
          <w:tcPr>
            <w:tcW w:w="1129" w:type="pct"/>
          </w:tcPr>
          <w:p w14:paraId="20E1804B" w14:textId="77777777" w:rsidR="00606029" w:rsidRDefault="00EA5B92">
            <w:pPr>
              <w:spacing w:before="80" w:line="195" w:lineRule="auto"/>
              <w:ind w:left="923"/>
              <w:rPr>
                <w:rFonts w:eastAsia="Times New Roman"/>
              </w:rPr>
            </w:pPr>
            <w:r>
              <w:rPr>
                <w:rFonts w:eastAsia="Times New Roman"/>
              </w:rPr>
              <w:t>40</w:t>
            </w:r>
          </w:p>
        </w:tc>
        <w:tc>
          <w:tcPr>
            <w:tcW w:w="424" w:type="pct"/>
          </w:tcPr>
          <w:p w14:paraId="06036FD4" w14:textId="77777777" w:rsidR="00606029" w:rsidRDefault="00EA5B92">
            <w:pPr>
              <w:spacing w:before="80" w:line="195" w:lineRule="auto"/>
              <w:ind w:left="343"/>
              <w:rPr>
                <w:rFonts w:eastAsia="Times New Roman"/>
              </w:rPr>
            </w:pPr>
            <w:r>
              <w:rPr>
                <w:rFonts w:eastAsia="Times New Roman"/>
              </w:rPr>
              <w:t>8</w:t>
            </w:r>
          </w:p>
        </w:tc>
        <w:tc>
          <w:tcPr>
            <w:tcW w:w="991" w:type="pct"/>
          </w:tcPr>
          <w:p w14:paraId="4CE5BC6E" w14:textId="77777777" w:rsidR="00606029" w:rsidRDefault="00EA5B92">
            <w:pPr>
              <w:pStyle w:val="TableText"/>
              <w:spacing w:before="44" w:line="213" w:lineRule="auto"/>
              <w:ind w:left="802"/>
              <w:rPr>
                <w:rFonts w:ascii="Times New Roman" w:hAnsi="Times New Roman" w:cs="Times New Roman"/>
              </w:rPr>
            </w:pPr>
            <w:r>
              <w:rPr>
                <w:rFonts w:ascii="Times New Roman" w:hAnsi="Times New Roman" w:cs="Times New Roman"/>
              </w:rPr>
              <w:t>镍</w:t>
            </w:r>
          </w:p>
        </w:tc>
        <w:tc>
          <w:tcPr>
            <w:tcW w:w="1090" w:type="pct"/>
          </w:tcPr>
          <w:p w14:paraId="247AAC71" w14:textId="77777777" w:rsidR="00606029" w:rsidRDefault="00EA5B92">
            <w:pPr>
              <w:spacing w:before="80" w:line="195" w:lineRule="auto"/>
              <w:ind w:left="868"/>
              <w:rPr>
                <w:rFonts w:eastAsia="Times New Roman"/>
              </w:rPr>
            </w:pPr>
            <w:r>
              <w:rPr>
                <w:rFonts w:eastAsia="Times New Roman"/>
              </w:rPr>
              <w:t>0.5</w:t>
            </w:r>
          </w:p>
        </w:tc>
      </w:tr>
      <w:tr w:rsidR="00606029" w14:paraId="6E7BF5A4" w14:textId="77777777">
        <w:trPr>
          <w:trHeight w:val="286"/>
        </w:trPr>
        <w:tc>
          <w:tcPr>
            <w:tcW w:w="365" w:type="pct"/>
          </w:tcPr>
          <w:p w14:paraId="6793AC4E" w14:textId="77777777" w:rsidR="00606029" w:rsidRDefault="00EA5B92">
            <w:pPr>
              <w:spacing w:before="85" w:line="195" w:lineRule="auto"/>
              <w:ind w:left="287"/>
              <w:rPr>
                <w:rFonts w:eastAsia="Times New Roman"/>
              </w:rPr>
            </w:pPr>
            <w:r>
              <w:rPr>
                <w:rFonts w:eastAsia="Times New Roman"/>
              </w:rPr>
              <w:t>3</w:t>
            </w:r>
          </w:p>
        </w:tc>
        <w:tc>
          <w:tcPr>
            <w:tcW w:w="998" w:type="pct"/>
          </w:tcPr>
          <w:p w14:paraId="27460966" w14:textId="77777777" w:rsidR="00606029" w:rsidRDefault="00EA5B92">
            <w:pPr>
              <w:pStyle w:val="TableText"/>
              <w:spacing w:before="47" w:line="211" w:lineRule="auto"/>
              <w:ind w:left="807"/>
              <w:rPr>
                <w:rFonts w:ascii="Times New Roman" w:hAnsi="Times New Roman" w:cs="Times New Roman"/>
              </w:rPr>
            </w:pPr>
            <w:r>
              <w:rPr>
                <w:rFonts w:ascii="Times New Roman" w:hAnsi="Times New Roman" w:cs="Times New Roman"/>
              </w:rPr>
              <w:t>锌</w:t>
            </w:r>
          </w:p>
        </w:tc>
        <w:tc>
          <w:tcPr>
            <w:tcW w:w="1129" w:type="pct"/>
          </w:tcPr>
          <w:p w14:paraId="44E35875" w14:textId="77777777" w:rsidR="00606029" w:rsidRDefault="00EA5B92">
            <w:pPr>
              <w:spacing w:before="85" w:line="195" w:lineRule="auto"/>
              <w:ind w:left="892"/>
              <w:rPr>
                <w:rFonts w:eastAsia="Times New Roman"/>
              </w:rPr>
            </w:pPr>
            <w:r>
              <w:rPr>
                <w:rFonts w:eastAsia="Times New Roman"/>
              </w:rPr>
              <w:t>100</w:t>
            </w:r>
          </w:p>
        </w:tc>
        <w:tc>
          <w:tcPr>
            <w:tcW w:w="424" w:type="pct"/>
          </w:tcPr>
          <w:p w14:paraId="60C56881" w14:textId="77777777" w:rsidR="00606029" w:rsidRDefault="00EA5B92">
            <w:pPr>
              <w:spacing w:before="85" w:line="195" w:lineRule="auto"/>
              <w:ind w:left="339"/>
              <w:rPr>
                <w:rFonts w:eastAsia="Times New Roman"/>
              </w:rPr>
            </w:pPr>
            <w:r>
              <w:rPr>
                <w:rFonts w:eastAsia="Times New Roman"/>
              </w:rPr>
              <w:t>9</w:t>
            </w:r>
          </w:p>
        </w:tc>
        <w:tc>
          <w:tcPr>
            <w:tcW w:w="991" w:type="pct"/>
          </w:tcPr>
          <w:p w14:paraId="1046FB34" w14:textId="77777777" w:rsidR="00606029" w:rsidRDefault="00EA5B92">
            <w:pPr>
              <w:pStyle w:val="TableText"/>
              <w:spacing w:before="47" w:line="211" w:lineRule="auto"/>
              <w:ind w:left="802"/>
              <w:rPr>
                <w:rFonts w:ascii="Times New Roman" w:hAnsi="Times New Roman" w:cs="Times New Roman"/>
              </w:rPr>
            </w:pPr>
            <w:r>
              <w:rPr>
                <w:rFonts w:ascii="Times New Roman" w:hAnsi="Times New Roman" w:cs="Times New Roman"/>
              </w:rPr>
              <w:t>砷</w:t>
            </w:r>
          </w:p>
        </w:tc>
        <w:tc>
          <w:tcPr>
            <w:tcW w:w="1090" w:type="pct"/>
          </w:tcPr>
          <w:p w14:paraId="0E1FA14E" w14:textId="77777777" w:rsidR="00606029" w:rsidRDefault="00EA5B92">
            <w:pPr>
              <w:spacing w:before="85" w:line="195" w:lineRule="auto"/>
              <w:ind w:left="868"/>
              <w:rPr>
                <w:rFonts w:eastAsia="Times New Roman"/>
              </w:rPr>
            </w:pPr>
            <w:r>
              <w:rPr>
                <w:rFonts w:eastAsia="Times New Roman"/>
              </w:rPr>
              <w:t>0.3</w:t>
            </w:r>
          </w:p>
        </w:tc>
      </w:tr>
      <w:tr w:rsidR="00606029" w14:paraId="5F7F9717" w14:textId="77777777">
        <w:trPr>
          <w:trHeight w:val="285"/>
        </w:trPr>
        <w:tc>
          <w:tcPr>
            <w:tcW w:w="365" w:type="pct"/>
          </w:tcPr>
          <w:p w14:paraId="248B7949" w14:textId="77777777" w:rsidR="00606029" w:rsidRDefault="00EA5B92">
            <w:pPr>
              <w:spacing w:before="87" w:line="195" w:lineRule="auto"/>
              <w:ind w:left="282"/>
              <w:rPr>
                <w:rFonts w:eastAsia="Times New Roman"/>
              </w:rPr>
            </w:pPr>
            <w:r>
              <w:rPr>
                <w:rFonts w:eastAsia="Times New Roman"/>
              </w:rPr>
              <w:t>4</w:t>
            </w:r>
          </w:p>
        </w:tc>
        <w:tc>
          <w:tcPr>
            <w:tcW w:w="998" w:type="pct"/>
          </w:tcPr>
          <w:p w14:paraId="15B89DCB" w14:textId="77777777" w:rsidR="00606029" w:rsidRDefault="00EA5B92">
            <w:pPr>
              <w:pStyle w:val="TableText"/>
              <w:spacing w:before="50" w:line="207" w:lineRule="auto"/>
              <w:ind w:left="808"/>
              <w:rPr>
                <w:rFonts w:ascii="Times New Roman" w:hAnsi="Times New Roman" w:cs="Times New Roman"/>
              </w:rPr>
            </w:pPr>
            <w:r>
              <w:rPr>
                <w:rFonts w:ascii="Times New Roman" w:hAnsi="Times New Roman" w:cs="Times New Roman"/>
              </w:rPr>
              <w:t>铅</w:t>
            </w:r>
          </w:p>
        </w:tc>
        <w:tc>
          <w:tcPr>
            <w:tcW w:w="1129" w:type="pct"/>
          </w:tcPr>
          <w:p w14:paraId="668A3808" w14:textId="77777777" w:rsidR="00606029" w:rsidRDefault="00EA5B92">
            <w:pPr>
              <w:spacing w:before="87" w:line="195" w:lineRule="auto"/>
              <w:ind w:left="848"/>
              <w:rPr>
                <w:rFonts w:eastAsia="Times New Roman"/>
              </w:rPr>
            </w:pPr>
            <w:r>
              <w:rPr>
                <w:rFonts w:eastAsia="Times New Roman"/>
              </w:rPr>
              <w:t>0.25</w:t>
            </w:r>
          </w:p>
        </w:tc>
        <w:tc>
          <w:tcPr>
            <w:tcW w:w="424" w:type="pct"/>
          </w:tcPr>
          <w:p w14:paraId="5F946917" w14:textId="77777777" w:rsidR="00606029" w:rsidRDefault="00EA5B92">
            <w:pPr>
              <w:spacing w:before="87" w:line="195" w:lineRule="auto"/>
              <w:ind w:left="304"/>
              <w:rPr>
                <w:rFonts w:eastAsia="Times New Roman"/>
              </w:rPr>
            </w:pPr>
            <w:r>
              <w:rPr>
                <w:rFonts w:eastAsia="Times New Roman"/>
              </w:rPr>
              <w:t>10</w:t>
            </w:r>
          </w:p>
        </w:tc>
        <w:tc>
          <w:tcPr>
            <w:tcW w:w="991" w:type="pct"/>
          </w:tcPr>
          <w:p w14:paraId="5B907D8E" w14:textId="77777777" w:rsidR="00606029" w:rsidRDefault="00EA5B92">
            <w:pPr>
              <w:pStyle w:val="TableText"/>
              <w:spacing w:before="50" w:line="207" w:lineRule="auto"/>
              <w:ind w:left="703"/>
              <w:rPr>
                <w:rFonts w:ascii="Times New Roman" w:hAnsi="Times New Roman" w:cs="Times New Roman"/>
              </w:rPr>
            </w:pPr>
            <w:r>
              <w:rPr>
                <w:rFonts w:ascii="Times New Roman" w:hAnsi="Times New Roman" w:cs="Times New Roman"/>
              </w:rPr>
              <w:t>总铬</w:t>
            </w:r>
          </w:p>
        </w:tc>
        <w:tc>
          <w:tcPr>
            <w:tcW w:w="1090" w:type="pct"/>
          </w:tcPr>
          <w:p w14:paraId="512DA77F" w14:textId="77777777" w:rsidR="00606029" w:rsidRDefault="00EA5B92">
            <w:pPr>
              <w:spacing w:before="87" w:line="195" w:lineRule="auto"/>
              <w:ind w:left="863"/>
              <w:rPr>
                <w:rFonts w:eastAsia="Times New Roman"/>
              </w:rPr>
            </w:pPr>
            <w:r>
              <w:rPr>
                <w:rFonts w:eastAsia="Times New Roman"/>
              </w:rPr>
              <w:t>4.5</w:t>
            </w:r>
          </w:p>
        </w:tc>
      </w:tr>
      <w:tr w:rsidR="00606029" w14:paraId="29E9A090" w14:textId="77777777">
        <w:trPr>
          <w:trHeight w:val="286"/>
        </w:trPr>
        <w:tc>
          <w:tcPr>
            <w:tcW w:w="365" w:type="pct"/>
          </w:tcPr>
          <w:p w14:paraId="3CD43309" w14:textId="77777777" w:rsidR="00606029" w:rsidRDefault="00EA5B92">
            <w:pPr>
              <w:spacing w:before="95" w:line="188" w:lineRule="auto"/>
              <w:ind w:left="288"/>
              <w:rPr>
                <w:rFonts w:eastAsia="Times New Roman"/>
              </w:rPr>
            </w:pPr>
            <w:r>
              <w:rPr>
                <w:rFonts w:eastAsia="Times New Roman"/>
              </w:rPr>
              <w:t>5</w:t>
            </w:r>
          </w:p>
        </w:tc>
        <w:tc>
          <w:tcPr>
            <w:tcW w:w="998" w:type="pct"/>
          </w:tcPr>
          <w:p w14:paraId="33B6A667" w14:textId="77777777" w:rsidR="00606029" w:rsidRDefault="00EA5B92">
            <w:pPr>
              <w:pStyle w:val="TableText"/>
              <w:spacing w:before="53" w:line="205" w:lineRule="auto"/>
              <w:ind w:left="807"/>
              <w:rPr>
                <w:rFonts w:ascii="Times New Roman" w:hAnsi="Times New Roman" w:cs="Times New Roman"/>
              </w:rPr>
            </w:pPr>
            <w:r>
              <w:rPr>
                <w:rFonts w:ascii="Times New Roman" w:hAnsi="Times New Roman" w:cs="Times New Roman"/>
              </w:rPr>
              <w:t>镉</w:t>
            </w:r>
          </w:p>
        </w:tc>
        <w:tc>
          <w:tcPr>
            <w:tcW w:w="1129" w:type="pct"/>
          </w:tcPr>
          <w:p w14:paraId="011A97DC" w14:textId="77777777" w:rsidR="00606029" w:rsidRDefault="00EA5B92">
            <w:pPr>
              <w:spacing w:before="92" w:line="191" w:lineRule="auto"/>
              <w:ind w:left="848"/>
              <w:rPr>
                <w:rFonts w:eastAsia="Times New Roman"/>
              </w:rPr>
            </w:pPr>
            <w:r>
              <w:rPr>
                <w:rFonts w:eastAsia="Times New Roman"/>
              </w:rPr>
              <w:t>0.15</w:t>
            </w:r>
          </w:p>
        </w:tc>
        <w:tc>
          <w:tcPr>
            <w:tcW w:w="424" w:type="pct"/>
          </w:tcPr>
          <w:p w14:paraId="74408F9C" w14:textId="77777777" w:rsidR="00606029" w:rsidRDefault="00EA5B92">
            <w:pPr>
              <w:spacing w:before="92" w:line="191" w:lineRule="auto"/>
              <w:ind w:left="307"/>
              <w:rPr>
                <w:rFonts w:eastAsia="Times New Roman"/>
              </w:rPr>
            </w:pPr>
            <w:r>
              <w:rPr>
                <w:rFonts w:eastAsia="Times New Roman"/>
              </w:rPr>
              <w:t>11</w:t>
            </w:r>
          </w:p>
        </w:tc>
        <w:tc>
          <w:tcPr>
            <w:tcW w:w="991" w:type="pct"/>
          </w:tcPr>
          <w:p w14:paraId="6BD258D1" w14:textId="77777777" w:rsidR="00606029" w:rsidRDefault="00EA5B92">
            <w:pPr>
              <w:pStyle w:val="TableText"/>
              <w:spacing w:before="53" w:line="205" w:lineRule="auto"/>
              <w:ind w:left="595"/>
              <w:rPr>
                <w:rFonts w:ascii="Times New Roman" w:hAnsi="Times New Roman" w:cs="Times New Roman"/>
              </w:rPr>
            </w:pPr>
            <w:r>
              <w:rPr>
                <w:rFonts w:ascii="Times New Roman" w:hAnsi="Times New Roman" w:cs="Times New Roman"/>
              </w:rPr>
              <w:t>六价铬</w:t>
            </w:r>
          </w:p>
        </w:tc>
        <w:tc>
          <w:tcPr>
            <w:tcW w:w="1090" w:type="pct"/>
          </w:tcPr>
          <w:p w14:paraId="7FA64D1F" w14:textId="77777777" w:rsidR="00606029" w:rsidRDefault="00EA5B92">
            <w:pPr>
              <w:spacing w:before="92" w:line="191" w:lineRule="auto"/>
              <w:ind w:left="884"/>
              <w:rPr>
                <w:rFonts w:eastAsia="Times New Roman"/>
              </w:rPr>
            </w:pPr>
            <w:r>
              <w:rPr>
                <w:rFonts w:eastAsia="Times New Roman"/>
              </w:rPr>
              <w:t>1.5</w:t>
            </w:r>
          </w:p>
        </w:tc>
      </w:tr>
      <w:tr w:rsidR="00606029" w14:paraId="51D0BE6B" w14:textId="77777777">
        <w:trPr>
          <w:trHeight w:val="309"/>
        </w:trPr>
        <w:tc>
          <w:tcPr>
            <w:tcW w:w="365" w:type="pct"/>
          </w:tcPr>
          <w:p w14:paraId="02C1895C" w14:textId="77777777" w:rsidR="00606029" w:rsidRDefault="00EA5B92">
            <w:pPr>
              <w:spacing w:before="94" w:line="195" w:lineRule="auto"/>
              <w:ind w:left="287"/>
              <w:rPr>
                <w:rFonts w:eastAsia="Times New Roman"/>
              </w:rPr>
            </w:pPr>
            <w:r>
              <w:rPr>
                <w:rFonts w:eastAsia="Times New Roman"/>
              </w:rPr>
              <w:t>6</w:t>
            </w:r>
          </w:p>
        </w:tc>
        <w:tc>
          <w:tcPr>
            <w:tcW w:w="998" w:type="pct"/>
          </w:tcPr>
          <w:p w14:paraId="55BF481E" w14:textId="77777777" w:rsidR="00606029" w:rsidRDefault="00EA5B92">
            <w:pPr>
              <w:pStyle w:val="TableText"/>
              <w:spacing w:before="58" w:line="222" w:lineRule="auto"/>
              <w:ind w:left="807"/>
              <w:rPr>
                <w:rFonts w:ascii="Times New Roman" w:hAnsi="Times New Roman" w:cs="Times New Roman"/>
              </w:rPr>
            </w:pPr>
            <w:r>
              <w:rPr>
                <w:rFonts w:ascii="Times New Roman" w:hAnsi="Times New Roman" w:cs="Times New Roman"/>
              </w:rPr>
              <w:t>铍</w:t>
            </w:r>
          </w:p>
        </w:tc>
        <w:tc>
          <w:tcPr>
            <w:tcW w:w="1129" w:type="pct"/>
          </w:tcPr>
          <w:p w14:paraId="263E7B7F" w14:textId="77777777" w:rsidR="00606029" w:rsidRDefault="00EA5B92">
            <w:pPr>
              <w:spacing w:before="94" w:line="195" w:lineRule="auto"/>
              <w:ind w:left="848"/>
              <w:rPr>
                <w:rFonts w:eastAsia="Times New Roman"/>
              </w:rPr>
            </w:pPr>
            <w:r>
              <w:rPr>
                <w:rFonts w:eastAsia="Times New Roman"/>
              </w:rPr>
              <w:t>0.02</w:t>
            </w:r>
          </w:p>
        </w:tc>
        <w:tc>
          <w:tcPr>
            <w:tcW w:w="424" w:type="pct"/>
          </w:tcPr>
          <w:p w14:paraId="46148463" w14:textId="77777777" w:rsidR="00606029" w:rsidRDefault="00EA5B92">
            <w:pPr>
              <w:spacing w:before="94" w:line="195" w:lineRule="auto"/>
              <w:ind w:left="304"/>
              <w:rPr>
                <w:rFonts w:eastAsia="Times New Roman"/>
              </w:rPr>
            </w:pPr>
            <w:r>
              <w:rPr>
                <w:rFonts w:eastAsia="Times New Roman"/>
              </w:rPr>
              <w:t>12</w:t>
            </w:r>
          </w:p>
        </w:tc>
        <w:tc>
          <w:tcPr>
            <w:tcW w:w="991" w:type="pct"/>
          </w:tcPr>
          <w:p w14:paraId="1C27AE39" w14:textId="77777777" w:rsidR="00606029" w:rsidRDefault="00EA5B92">
            <w:pPr>
              <w:pStyle w:val="TableText"/>
              <w:spacing w:before="58" w:line="222" w:lineRule="auto"/>
              <w:ind w:left="801"/>
              <w:rPr>
                <w:rFonts w:ascii="Times New Roman" w:hAnsi="Times New Roman" w:cs="Times New Roman"/>
              </w:rPr>
            </w:pPr>
            <w:r>
              <w:rPr>
                <w:rFonts w:ascii="Times New Roman" w:hAnsi="Times New Roman" w:cs="Times New Roman"/>
              </w:rPr>
              <w:t>硒</w:t>
            </w:r>
          </w:p>
        </w:tc>
        <w:tc>
          <w:tcPr>
            <w:tcW w:w="1090" w:type="pct"/>
          </w:tcPr>
          <w:p w14:paraId="39537588" w14:textId="77777777" w:rsidR="00606029" w:rsidRDefault="00EA5B92">
            <w:pPr>
              <w:spacing w:before="94" w:line="195" w:lineRule="auto"/>
              <w:ind w:left="868"/>
              <w:rPr>
                <w:rFonts w:eastAsia="Times New Roman"/>
              </w:rPr>
            </w:pPr>
            <w:r>
              <w:rPr>
                <w:rFonts w:eastAsia="Times New Roman"/>
              </w:rPr>
              <w:t>0.1</w:t>
            </w:r>
          </w:p>
        </w:tc>
      </w:tr>
    </w:tbl>
    <w:p w14:paraId="5025EACF" w14:textId="389FD91C" w:rsidR="00606029" w:rsidRDefault="00EA5B92">
      <w:pPr>
        <w:pStyle w:val="affffff4"/>
        <w:spacing w:beforeLines="50" w:before="120"/>
      </w:pPr>
      <w:r>
        <w:t>根据《国家危险废物名录（</w:t>
      </w:r>
      <w:r>
        <w:t>2025</w:t>
      </w:r>
      <w:r>
        <w:t>年版）》附录中的危险废物豁免管理清单，生活垃圾焚烧飞灰经处理后满足《生活垃圾填埋场污染控制标准》（</w:t>
      </w:r>
      <w:r>
        <w:t>GB16889-2024</w:t>
      </w:r>
      <w:r>
        <w:t>）中</w:t>
      </w:r>
      <w:r>
        <w:t>6.3</w:t>
      </w:r>
      <w:r>
        <w:t>条要求可进入生活垃圾填埋区填埋，填埋过程不按危险废物管理；运输工具满足防雨、防渗漏、防遗撒要求的可不按危险废物进行运输。详见下表。</w:t>
      </w:r>
    </w:p>
    <w:p w14:paraId="59ADDC2B" w14:textId="483F2118" w:rsidR="00606029" w:rsidRDefault="00EA5B92">
      <w:pPr>
        <w:pStyle w:val="affffff5"/>
      </w:pPr>
      <w:r>
        <w:t>表</w:t>
      </w:r>
      <w:r>
        <w:t>2.2-</w:t>
      </w:r>
      <w:r w:rsidR="002F22F3">
        <w:rPr>
          <w:rFonts w:hint="eastAsia"/>
        </w:rPr>
        <w:t xml:space="preserve">4 </w:t>
      </w:r>
      <w:r>
        <w:t>《国家危险废物名录》（</w:t>
      </w:r>
      <w:r>
        <w:t>2025</w:t>
      </w:r>
      <w:r>
        <w:t>版）附录中的危险废物豁免管理清单摘要</w:t>
      </w:r>
    </w:p>
    <w:tbl>
      <w:tblPr>
        <w:tblStyle w:val="TableNormal"/>
        <w:tblW w:w="4998" w:type="pct"/>
        <w:tblInd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ook w:val="04A0" w:firstRow="1" w:lastRow="0" w:firstColumn="1" w:lastColumn="0" w:noHBand="0" w:noVBand="1"/>
      </w:tblPr>
      <w:tblGrid>
        <w:gridCol w:w="626"/>
        <w:gridCol w:w="1194"/>
        <w:gridCol w:w="1570"/>
        <w:gridCol w:w="857"/>
        <w:gridCol w:w="3285"/>
        <w:gridCol w:w="1298"/>
      </w:tblGrid>
      <w:tr w:rsidR="00606029" w14:paraId="6DAAD139" w14:textId="77777777" w:rsidTr="002D6EE2">
        <w:trPr>
          <w:trHeight w:val="57"/>
        </w:trPr>
        <w:tc>
          <w:tcPr>
            <w:tcW w:w="354" w:type="pct"/>
            <w:tcBorders>
              <w:top w:val="single" w:sz="4" w:space="0" w:color="auto"/>
              <w:left w:val="single" w:sz="4" w:space="0" w:color="auto"/>
              <w:bottom w:val="single" w:sz="4" w:space="0" w:color="auto"/>
              <w:right w:val="single" w:sz="4" w:space="0" w:color="auto"/>
            </w:tcBorders>
            <w:vAlign w:val="center"/>
          </w:tcPr>
          <w:p w14:paraId="7DE436B5" w14:textId="77777777" w:rsidR="00606029" w:rsidRDefault="00EA5B92">
            <w:pPr>
              <w:pStyle w:val="TableText"/>
              <w:adjustRightInd w:val="0"/>
              <w:snapToGrid w:val="0"/>
              <w:jc w:val="center"/>
              <w:rPr>
                <w:rFonts w:ascii="Times New Roman" w:hAnsi="Times New Roman" w:cs="Times New Roman"/>
              </w:rPr>
            </w:pPr>
            <w:r>
              <w:rPr>
                <w:rFonts w:ascii="Times New Roman" w:hAnsi="Times New Roman" w:cs="Times New Roman"/>
              </w:rPr>
              <w:t>序号</w:t>
            </w:r>
          </w:p>
        </w:tc>
        <w:tc>
          <w:tcPr>
            <w:tcW w:w="676" w:type="pct"/>
            <w:tcBorders>
              <w:top w:val="single" w:sz="4" w:space="0" w:color="auto"/>
              <w:left w:val="single" w:sz="4" w:space="0" w:color="auto"/>
              <w:bottom w:val="single" w:sz="4" w:space="0" w:color="auto"/>
              <w:right w:val="single" w:sz="4" w:space="0" w:color="auto"/>
            </w:tcBorders>
            <w:vAlign w:val="center"/>
          </w:tcPr>
          <w:p w14:paraId="3713BCD5" w14:textId="77777777" w:rsidR="00606029" w:rsidRDefault="00EA5B92">
            <w:pPr>
              <w:pStyle w:val="TableText"/>
              <w:adjustRightInd w:val="0"/>
              <w:snapToGrid w:val="0"/>
              <w:jc w:val="center"/>
              <w:rPr>
                <w:rFonts w:ascii="Times New Roman" w:hAnsi="Times New Roman" w:cs="Times New Roman"/>
              </w:rPr>
            </w:pPr>
            <w:r>
              <w:rPr>
                <w:rFonts w:ascii="Times New Roman" w:hAnsi="Times New Roman" w:cs="Times New Roman"/>
              </w:rPr>
              <w:t>危废代码</w:t>
            </w:r>
          </w:p>
        </w:tc>
        <w:tc>
          <w:tcPr>
            <w:tcW w:w="889" w:type="pct"/>
            <w:tcBorders>
              <w:top w:val="single" w:sz="4" w:space="0" w:color="auto"/>
              <w:left w:val="single" w:sz="4" w:space="0" w:color="auto"/>
              <w:bottom w:val="single" w:sz="4" w:space="0" w:color="auto"/>
              <w:right w:val="single" w:sz="4" w:space="0" w:color="auto"/>
            </w:tcBorders>
            <w:vAlign w:val="center"/>
          </w:tcPr>
          <w:p w14:paraId="0B40139F" w14:textId="77777777" w:rsidR="00606029" w:rsidRDefault="00EA5B92">
            <w:pPr>
              <w:pStyle w:val="TableText"/>
              <w:adjustRightInd w:val="0"/>
              <w:snapToGrid w:val="0"/>
              <w:jc w:val="center"/>
              <w:rPr>
                <w:rFonts w:ascii="Times New Roman" w:hAnsi="Times New Roman" w:cs="Times New Roman"/>
              </w:rPr>
            </w:pPr>
            <w:r>
              <w:rPr>
                <w:rFonts w:ascii="Times New Roman" w:hAnsi="Times New Roman" w:cs="Times New Roman"/>
              </w:rPr>
              <w:t>危险废物</w:t>
            </w:r>
          </w:p>
        </w:tc>
        <w:tc>
          <w:tcPr>
            <w:tcW w:w="485" w:type="pct"/>
            <w:tcBorders>
              <w:top w:val="single" w:sz="4" w:space="0" w:color="auto"/>
              <w:left w:val="single" w:sz="4" w:space="0" w:color="auto"/>
              <w:bottom w:val="single" w:sz="4" w:space="0" w:color="auto"/>
              <w:right w:val="single" w:sz="4" w:space="0" w:color="auto"/>
            </w:tcBorders>
            <w:vAlign w:val="center"/>
          </w:tcPr>
          <w:p w14:paraId="343D5EE1" w14:textId="77777777" w:rsidR="00606029" w:rsidRDefault="00EA5B92">
            <w:pPr>
              <w:pStyle w:val="TableText"/>
              <w:adjustRightInd w:val="0"/>
              <w:snapToGrid w:val="0"/>
              <w:jc w:val="center"/>
              <w:rPr>
                <w:rFonts w:ascii="Times New Roman" w:hAnsi="Times New Roman" w:cs="Times New Roman"/>
              </w:rPr>
            </w:pPr>
            <w:r>
              <w:rPr>
                <w:rFonts w:ascii="Times New Roman" w:hAnsi="Times New Roman" w:cs="Times New Roman"/>
              </w:rPr>
              <w:t>豁免环节</w:t>
            </w:r>
          </w:p>
        </w:tc>
        <w:tc>
          <w:tcPr>
            <w:tcW w:w="1860" w:type="pct"/>
            <w:tcBorders>
              <w:top w:val="single" w:sz="4" w:space="0" w:color="auto"/>
              <w:left w:val="single" w:sz="4" w:space="0" w:color="auto"/>
              <w:bottom w:val="single" w:sz="4" w:space="0" w:color="auto"/>
              <w:right w:val="single" w:sz="4" w:space="0" w:color="auto"/>
            </w:tcBorders>
            <w:vAlign w:val="center"/>
          </w:tcPr>
          <w:p w14:paraId="316DA658" w14:textId="77777777" w:rsidR="00606029" w:rsidRDefault="00EA5B92">
            <w:pPr>
              <w:pStyle w:val="TableText"/>
              <w:adjustRightInd w:val="0"/>
              <w:snapToGrid w:val="0"/>
              <w:jc w:val="center"/>
              <w:rPr>
                <w:rFonts w:ascii="Times New Roman" w:hAnsi="Times New Roman" w:cs="Times New Roman"/>
              </w:rPr>
            </w:pPr>
            <w:r>
              <w:rPr>
                <w:rFonts w:ascii="Times New Roman" w:hAnsi="Times New Roman" w:cs="Times New Roman"/>
              </w:rPr>
              <w:t>豁免条件</w:t>
            </w:r>
          </w:p>
        </w:tc>
        <w:tc>
          <w:tcPr>
            <w:tcW w:w="735" w:type="pct"/>
            <w:tcBorders>
              <w:top w:val="single" w:sz="4" w:space="0" w:color="auto"/>
              <w:left w:val="single" w:sz="4" w:space="0" w:color="auto"/>
              <w:bottom w:val="single" w:sz="4" w:space="0" w:color="auto"/>
              <w:right w:val="single" w:sz="4" w:space="0" w:color="auto"/>
            </w:tcBorders>
            <w:vAlign w:val="center"/>
          </w:tcPr>
          <w:p w14:paraId="5693582E" w14:textId="77777777" w:rsidR="00606029" w:rsidRDefault="00EA5B92">
            <w:pPr>
              <w:pStyle w:val="TableText"/>
              <w:adjustRightInd w:val="0"/>
              <w:snapToGrid w:val="0"/>
              <w:jc w:val="center"/>
              <w:rPr>
                <w:rFonts w:ascii="Times New Roman" w:hAnsi="Times New Roman" w:cs="Times New Roman"/>
              </w:rPr>
            </w:pPr>
            <w:r>
              <w:rPr>
                <w:rFonts w:ascii="Times New Roman" w:hAnsi="Times New Roman" w:cs="Times New Roman"/>
              </w:rPr>
              <w:t>豁免内容</w:t>
            </w:r>
          </w:p>
        </w:tc>
      </w:tr>
      <w:tr w:rsidR="00606029" w14:paraId="5717749F" w14:textId="77777777" w:rsidTr="002D6EE2">
        <w:trPr>
          <w:trHeight w:val="57"/>
        </w:trPr>
        <w:tc>
          <w:tcPr>
            <w:tcW w:w="354" w:type="pct"/>
            <w:vMerge w:val="restart"/>
            <w:tcBorders>
              <w:top w:val="single" w:sz="4" w:space="0" w:color="auto"/>
              <w:left w:val="single" w:sz="4" w:space="0" w:color="auto"/>
              <w:bottom w:val="single" w:sz="4" w:space="0" w:color="auto"/>
              <w:right w:val="single" w:sz="4" w:space="0" w:color="auto"/>
            </w:tcBorders>
            <w:vAlign w:val="center"/>
          </w:tcPr>
          <w:p w14:paraId="4D2962DB" w14:textId="77777777" w:rsidR="00606029" w:rsidRDefault="00EA5B92">
            <w:pPr>
              <w:pStyle w:val="TableText"/>
              <w:adjustRightInd w:val="0"/>
              <w:snapToGrid w:val="0"/>
              <w:jc w:val="center"/>
              <w:rPr>
                <w:rFonts w:ascii="Times New Roman" w:hAnsi="Times New Roman" w:cs="Times New Roman"/>
              </w:rPr>
            </w:pPr>
            <w:r>
              <w:rPr>
                <w:rFonts w:ascii="Times New Roman" w:hAnsi="Times New Roman" w:cs="Times New Roman"/>
              </w:rPr>
              <w:t>1</w:t>
            </w:r>
          </w:p>
        </w:tc>
        <w:tc>
          <w:tcPr>
            <w:tcW w:w="676" w:type="pct"/>
            <w:vMerge w:val="restart"/>
            <w:tcBorders>
              <w:top w:val="single" w:sz="4" w:space="0" w:color="auto"/>
              <w:left w:val="single" w:sz="4" w:space="0" w:color="auto"/>
              <w:bottom w:val="single" w:sz="4" w:space="0" w:color="auto"/>
              <w:right w:val="single" w:sz="4" w:space="0" w:color="auto"/>
            </w:tcBorders>
            <w:vAlign w:val="center"/>
          </w:tcPr>
          <w:p w14:paraId="47C23BCF" w14:textId="77777777" w:rsidR="00606029" w:rsidRDefault="00EA5B92">
            <w:pPr>
              <w:pStyle w:val="TableText"/>
              <w:adjustRightInd w:val="0"/>
              <w:snapToGrid w:val="0"/>
              <w:jc w:val="center"/>
              <w:rPr>
                <w:rFonts w:ascii="Times New Roman" w:hAnsi="Times New Roman" w:cs="Times New Roman"/>
              </w:rPr>
            </w:pPr>
            <w:r>
              <w:rPr>
                <w:rFonts w:ascii="Times New Roman" w:hAnsi="Times New Roman" w:cs="Times New Roman"/>
              </w:rPr>
              <w:t>772-002-18</w:t>
            </w:r>
          </w:p>
        </w:tc>
        <w:tc>
          <w:tcPr>
            <w:tcW w:w="889" w:type="pct"/>
            <w:vMerge w:val="restart"/>
            <w:tcBorders>
              <w:top w:val="single" w:sz="4" w:space="0" w:color="auto"/>
              <w:left w:val="single" w:sz="4" w:space="0" w:color="auto"/>
              <w:bottom w:val="single" w:sz="4" w:space="0" w:color="auto"/>
              <w:right w:val="single" w:sz="4" w:space="0" w:color="auto"/>
            </w:tcBorders>
            <w:vAlign w:val="center"/>
          </w:tcPr>
          <w:p w14:paraId="017D3C49" w14:textId="77777777" w:rsidR="00606029" w:rsidRDefault="00EA5B92">
            <w:pPr>
              <w:pStyle w:val="TableText"/>
              <w:adjustRightInd w:val="0"/>
              <w:snapToGrid w:val="0"/>
              <w:jc w:val="center"/>
              <w:rPr>
                <w:rFonts w:ascii="Times New Roman" w:hAnsi="Times New Roman" w:cs="Times New Roman"/>
              </w:rPr>
            </w:pPr>
            <w:r>
              <w:rPr>
                <w:rFonts w:ascii="Times New Roman" w:hAnsi="Times New Roman" w:cs="Times New Roman"/>
              </w:rPr>
              <w:t>生活垃圾焚烧飞灰</w:t>
            </w:r>
          </w:p>
        </w:tc>
        <w:tc>
          <w:tcPr>
            <w:tcW w:w="485" w:type="pct"/>
            <w:tcBorders>
              <w:top w:val="single" w:sz="4" w:space="0" w:color="auto"/>
              <w:left w:val="single" w:sz="4" w:space="0" w:color="auto"/>
              <w:bottom w:val="single" w:sz="4" w:space="0" w:color="auto"/>
              <w:right w:val="single" w:sz="4" w:space="0" w:color="auto"/>
            </w:tcBorders>
            <w:vAlign w:val="center"/>
          </w:tcPr>
          <w:p w14:paraId="3C7E65F5" w14:textId="77777777" w:rsidR="00606029" w:rsidRDefault="00EA5B92">
            <w:pPr>
              <w:pStyle w:val="TableText"/>
              <w:adjustRightInd w:val="0"/>
              <w:snapToGrid w:val="0"/>
              <w:jc w:val="center"/>
              <w:rPr>
                <w:rFonts w:ascii="Times New Roman" w:hAnsi="Times New Roman" w:cs="Times New Roman"/>
              </w:rPr>
            </w:pPr>
            <w:r>
              <w:rPr>
                <w:rFonts w:ascii="Times New Roman" w:hAnsi="Times New Roman" w:cs="Times New Roman"/>
              </w:rPr>
              <w:t>运输</w:t>
            </w:r>
          </w:p>
        </w:tc>
        <w:tc>
          <w:tcPr>
            <w:tcW w:w="1860" w:type="pct"/>
            <w:tcBorders>
              <w:top w:val="single" w:sz="4" w:space="0" w:color="auto"/>
              <w:left w:val="single" w:sz="4" w:space="0" w:color="auto"/>
              <w:bottom w:val="single" w:sz="4" w:space="0" w:color="auto"/>
              <w:right w:val="single" w:sz="4" w:space="0" w:color="auto"/>
            </w:tcBorders>
            <w:vAlign w:val="center"/>
          </w:tcPr>
          <w:p w14:paraId="581A2CA3" w14:textId="77777777" w:rsidR="00606029" w:rsidRDefault="00EA5B92">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rPr>
              <w:t>经处理后满足《生活垃圾填埋场污染控制标准》（</w:t>
            </w:r>
            <w:r>
              <w:rPr>
                <w:rFonts w:ascii="Times New Roman" w:hAnsi="Times New Roman" w:cs="Times New Roman"/>
                <w:lang w:eastAsia="zh-CN"/>
              </w:rPr>
              <w:t>GB16889</w:t>
            </w:r>
            <w:r>
              <w:rPr>
                <w:rFonts w:ascii="Times New Roman" w:hAnsi="Times New Roman" w:cs="Times New Roman"/>
                <w:lang w:eastAsia="zh-CN"/>
              </w:rPr>
              <w:t>）要求，且运输工具满足防雨、防渗漏、防遗撒要求</w:t>
            </w:r>
          </w:p>
        </w:tc>
        <w:tc>
          <w:tcPr>
            <w:tcW w:w="735" w:type="pct"/>
            <w:tcBorders>
              <w:top w:val="single" w:sz="4" w:space="0" w:color="auto"/>
              <w:left w:val="single" w:sz="4" w:space="0" w:color="auto"/>
              <w:bottom w:val="single" w:sz="4" w:space="0" w:color="auto"/>
              <w:right w:val="single" w:sz="4" w:space="0" w:color="auto"/>
            </w:tcBorders>
            <w:vAlign w:val="center"/>
          </w:tcPr>
          <w:p w14:paraId="7F2F5D33" w14:textId="77777777" w:rsidR="00606029" w:rsidRDefault="00EA5B92">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rPr>
              <w:t>不按危险废物进行运输。</w:t>
            </w:r>
          </w:p>
        </w:tc>
      </w:tr>
      <w:tr w:rsidR="00606029" w14:paraId="7EEFC7D2" w14:textId="77777777" w:rsidTr="002D6EE2">
        <w:trPr>
          <w:trHeight w:val="57"/>
        </w:trPr>
        <w:tc>
          <w:tcPr>
            <w:tcW w:w="354" w:type="pct"/>
            <w:vMerge/>
            <w:tcBorders>
              <w:top w:val="single" w:sz="4" w:space="0" w:color="auto"/>
              <w:left w:val="single" w:sz="4" w:space="0" w:color="auto"/>
              <w:bottom w:val="single" w:sz="4" w:space="0" w:color="auto"/>
              <w:right w:val="single" w:sz="4" w:space="0" w:color="auto"/>
            </w:tcBorders>
            <w:vAlign w:val="center"/>
          </w:tcPr>
          <w:p w14:paraId="39E1E4C8" w14:textId="77777777" w:rsidR="00606029" w:rsidRDefault="00606029">
            <w:pPr>
              <w:pStyle w:val="TableText"/>
              <w:adjustRightInd w:val="0"/>
              <w:snapToGrid w:val="0"/>
              <w:jc w:val="center"/>
              <w:rPr>
                <w:rFonts w:ascii="Times New Roman" w:hAnsi="Times New Roman" w:cs="Times New Roman"/>
                <w:lang w:eastAsia="zh-CN"/>
              </w:rPr>
            </w:pPr>
          </w:p>
        </w:tc>
        <w:tc>
          <w:tcPr>
            <w:tcW w:w="676" w:type="pct"/>
            <w:vMerge/>
            <w:tcBorders>
              <w:top w:val="single" w:sz="4" w:space="0" w:color="auto"/>
              <w:left w:val="single" w:sz="4" w:space="0" w:color="auto"/>
              <w:bottom w:val="single" w:sz="4" w:space="0" w:color="auto"/>
              <w:right w:val="single" w:sz="4" w:space="0" w:color="auto"/>
            </w:tcBorders>
            <w:vAlign w:val="center"/>
          </w:tcPr>
          <w:p w14:paraId="2A12B183" w14:textId="77777777" w:rsidR="00606029" w:rsidRDefault="00606029">
            <w:pPr>
              <w:pStyle w:val="TableText"/>
              <w:adjustRightInd w:val="0"/>
              <w:snapToGrid w:val="0"/>
              <w:jc w:val="center"/>
              <w:rPr>
                <w:rFonts w:ascii="Times New Roman" w:hAnsi="Times New Roman" w:cs="Times New Roman"/>
                <w:lang w:eastAsia="zh-CN"/>
              </w:rPr>
            </w:pPr>
          </w:p>
        </w:tc>
        <w:tc>
          <w:tcPr>
            <w:tcW w:w="889" w:type="pct"/>
            <w:vMerge/>
            <w:tcBorders>
              <w:top w:val="single" w:sz="4" w:space="0" w:color="auto"/>
              <w:left w:val="single" w:sz="4" w:space="0" w:color="auto"/>
              <w:bottom w:val="single" w:sz="4" w:space="0" w:color="auto"/>
              <w:right w:val="single" w:sz="4" w:space="0" w:color="auto"/>
            </w:tcBorders>
            <w:vAlign w:val="center"/>
          </w:tcPr>
          <w:p w14:paraId="2A30B4CD" w14:textId="77777777" w:rsidR="00606029" w:rsidRDefault="00606029">
            <w:pPr>
              <w:pStyle w:val="TableText"/>
              <w:adjustRightInd w:val="0"/>
              <w:snapToGrid w:val="0"/>
              <w:jc w:val="center"/>
              <w:rPr>
                <w:rFonts w:ascii="Times New Roman" w:hAnsi="Times New Roman" w:cs="Times New Roman"/>
                <w:lang w:eastAsia="zh-CN"/>
              </w:rPr>
            </w:pPr>
          </w:p>
        </w:tc>
        <w:tc>
          <w:tcPr>
            <w:tcW w:w="485" w:type="pct"/>
            <w:tcBorders>
              <w:top w:val="single" w:sz="4" w:space="0" w:color="auto"/>
              <w:left w:val="single" w:sz="4" w:space="0" w:color="auto"/>
              <w:bottom w:val="single" w:sz="4" w:space="0" w:color="auto"/>
              <w:right w:val="single" w:sz="4" w:space="0" w:color="auto"/>
            </w:tcBorders>
            <w:vAlign w:val="center"/>
          </w:tcPr>
          <w:p w14:paraId="2994D785" w14:textId="77777777" w:rsidR="00606029" w:rsidRDefault="00EA5B92">
            <w:pPr>
              <w:pStyle w:val="TableText"/>
              <w:adjustRightInd w:val="0"/>
              <w:snapToGrid w:val="0"/>
              <w:jc w:val="center"/>
              <w:rPr>
                <w:rFonts w:ascii="Times New Roman" w:hAnsi="Times New Roman" w:cs="Times New Roman"/>
              </w:rPr>
            </w:pPr>
            <w:r>
              <w:rPr>
                <w:rFonts w:ascii="Times New Roman" w:hAnsi="Times New Roman" w:cs="Times New Roman"/>
              </w:rPr>
              <w:t>处置</w:t>
            </w:r>
          </w:p>
        </w:tc>
        <w:tc>
          <w:tcPr>
            <w:tcW w:w="1860" w:type="pct"/>
            <w:tcBorders>
              <w:top w:val="single" w:sz="4" w:space="0" w:color="auto"/>
              <w:left w:val="single" w:sz="4" w:space="0" w:color="auto"/>
              <w:bottom w:val="single" w:sz="4" w:space="0" w:color="auto"/>
              <w:right w:val="single" w:sz="4" w:space="0" w:color="auto"/>
            </w:tcBorders>
            <w:vAlign w:val="center"/>
          </w:tcPr>
          <w:p w14:paraId="4E1CC1E3" w14:textId="77777777" w:rsidR="00606029" w:rsidRDefault="00EA5B92">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rPr>
              <w:t>满足《生活垃圾填埋污染控制标准》要求，进入生活垃圾填埋场填埋</w:t>
            </w:r>
          </w:p>
        </w:tc>
        <w:tc>
          <w:tcPr>
            <w:tcW w:w="735" w:type="pct"/>
            <w:tcBorders>
              <w:top w:val="single" w:sz="4" w:space="0" w:color="auto"/>
              <w:left w:val="single" w:sz="4" w:space="0" w:color="auto"/>
              <w:bottom w:val="single" w:sz="4" w:space="0" w:color="auto"/>
              <w:right w:val="single" w:sz="4" w:space="0" w:color="auto"/>
            </w:tcBorders>
            <w:vAlign w:val="center"/>
          </w:tcPr>
          <w:p w14:paraId="404700A0" w14:textId="77777777" w:rsidR="00606029" w:rsidRDefault="00EA5B92">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rPr>
              <w:t>填埋过程不按危险废物管理。</w:t>
            </w:r>
          </w:p>
        </w:tc>
      </w:tr>
    </w:tbl>
    <w:p w14:paraId="4FD1D15A" w14:textId="225D1B0B" w:rsidR="00606029" w:rsidRDefault="002D6EE2">
      <w:pPr>
        <w:pStyle w:val="affffff4"/>
        <w:spacing w:beforeLines="50" w:before="120"/>
      </w:pPr>
      <w:r>
        <w:t>（</w:t>
      </w:r>
      <w:r>
        <w:t>2</w:t>
      </w:r>
      <w:r>
        <w:t>）</w:t>
      </w:r>
      <w:r w:rsidR="00EA5B92">
        <w:t>质控保障措施</w:t>
      </w:r>
    </w:p>
    <w:p w14:paraId="3F595285" w14:textId="1F9B912C" w:rsidR="00606029" w:rsidRDefault="00EA5B92">
      <w:pPr>
        <w:pStyle w:val="affffff4"/>
      </w:pPr>
      <w:r>
        <w:t>本项目入场要求</w:t>
      </w:r>
      <w:r w:rsidR="006A52CC">
        <w:t>：</w:t>
      </w:r>
      <w:r>
        <w:t>固化飞灰在入填埋场前每批次均需要抽样调查，飞灰处理产物（飞灰固化物）中重金属浸出浓度监测频次应不少于每日</w:t>
      </w:r>
      <w:r>
        <w:t>1</w:t>
      </w:r>
      <w:r>
        <w:t>次，飞灰处理产物中二噁英类的监测频次应不少于每</w:t>
      </w:r>
      <w:r>
        <w:t>6</w:t>
      </w:r>
      <w:r>
        <w:t>个月</w:t>
      </w:r>
      <w:r>
        <w:t>1</w:t>
      </w:r>
      <w:r>
        <w:t>次，检测结果均应满足《生活垃圾填埋场污染控制标准》（</w:t>
      </w:r>
      <w:r>
        <w:t>GB16889-2024</w:t>
      </w:r>
      <w:r>
        <w:t>）中</w:t>
      </w:r>
      <w:r>
        <w:t>6.3</w:t>
      </w:r>
      <w:r>
        <w:t>条要求，二噁英含量低于</w:t>
      </w:r>
      <w:r>
        <w:t>3μgTEQ/kg</w:t>
      </w:r>
      <w:r>
        <w:t>。不能满足该要求的，不得进入该填埋</w:t>
      </w:r>
      <w:r w:rsidR="00A24DCF">
        <w:rPr>
          <w:rFonts w:hint="eastAsia"/>
        </w:rPr>
        <w:t>区</w:t>
      </w:r>
      <w:r>
        <w:t>。</w:t>
      </w:r>
    </w:p>
    <w:p w14:paraId="60BF9693" w14:textId="77777777" w:rsidR="00606029" w:rsidRDefault="00EA5B92">
      <w:pPr>
        <w:pStyle w:val="3"/>
      </w:pPr>
      <w:bookmarkStart w:id="101" w:name="_Toc220680468"/>
      <w:r>
        <w:t>2.2.4</w:t>
      </w:r>
      <w:r>
        <w:t>进场要求与收运方案</w:t>
      </w:r>
      <w:bookmarkEnd w:id="101"/>
    </w:p>
    <w:p w14:paraId="31007293" w14:textId="12947186" w:rsidR="00606029" w:rsidRDefault="00606029">
      <w:pPr>
        <w:pStyle w:val="4"/>
      </w:pPr>
      <w:hyperlink r:id="rId37" w:history="1">
        <w:r>
          <w:t>2.2.4.1</w:t>
        </w:r>
      </w:hyperlink>
      <w:r w:rsidR="00EA5B92">
        <w:t>进场要求</w:t>
      </w:r>
    </w:p>
    <w:p w14:paraId="79383DD3" w14:textId="196B9E3C" w:rsidR="00606029" w:rsidRDefault="00EA5B92">
      <w:pPr>
        <w:pStyle w:val="affffff4"/>
      </w:pPr>
      <w:r>
        <w:t>项目运营单位设有严格的飞灰固化物检测制度，焚烧厂产生的飞灰</w:t>
      </w:r>
      <w:r w:rsidR="00A24DCF">
        <w:rPr>
          <w:rFonts w:hint="eastAsia"/>
        </w:rPr>
        <w:t>经</w:t>
      </w:r>
      <w:r>
        <w:t>固化稳定化处理后，</w:t>
      </w:r>
      <w:r w:rsidR="00A24DCF">
        <w:rPr>
          <w:rFonts w:hint="eastAsia"/>
        </w:rPr>
        <w:t>在</w:t>
      </w:r>
      <w:r>
        <w:t>固化飞灰在入填埋场前每批次均需要抽样调查，由焚烧厂化验室进行检验。</w:t>
      </w:r>
    </w:p>
    <w:p w14:paraId="7DA8D257" w14:textId="1842D24B" w:rsidR="00606029" w:rsidRDefault="00EA5B92">
      <w:pPr>
        <w:pStyle w:val="affffff4"/>
      </w:pPr>
      <w:r>
        <w:t>填埋物入场必须满足以下要求</w:t>
      </w:r>
      <w:r w:rsidR="006A52CC">
        <w:t>：</w:t>
      </w:r>
    </w:p>
    <w:p w14:paraId="509A5C33" w14:textId="124BC23E" w:rsidR="00606029" w:rsidRDefault="00EA5B92">
      <w:pPr>
        <w:pStyle w:val="affffff4"/>
      </w:pPr>
      <w:r>
        <w:lastRenderedPageBreak/>
        <w:t>（</w:t>
      </w:r>
      <w:r>
        <w:t>1</w:t>
      </w:r>
      <w:r>
        <w:t>）稳定性要求</w:t>
      </w:r>
      <w:r w:rsidR="006A52CC">
        <w:t>：</w:t>
      </w:r>
      <w:r>
        <w:t>所填埋物的含湿量、固体含量、渗透率等应不影响废物的长期稳定性。</w:t>
      </w:r>
    </w:p>
    <w:p w14:paraId="4CCFEF76" w14:textId="184AB153" w:rsidR="00606029" w:rsidRDefault="00EA5B92">
      <w:pPr>
        <w:pStyle w:val="affffff4"/>
      </w:pPr>
      <w:r>
        <w:t>（</w:t>
      </w:r>
      <w:r>
        <w:t>2</w:t>
      </w:r>
      <w:r>
        <w:t>）可入填埋</w:t>
      </w:r>
      <w:r w:rsidR="00737B93">
        <w:rPr>
          <w:rFonts w:hint="eastAsia"/>
        </w:rPr>
        <w:t>区</w:t>
      </w:r>
      <w:r>
        <w:t>的废物</w:t>
      </w:r>
      <w:r w:rsidR="006A52CC">
        <w:t>：</w:t>
      </w:r>
      <w:r>
        <w:t>进入本填埋</w:t>
      </w:r>
      <w:r w:rsidR="00737B93">
        <w:rPr>
          <w:rFonts w:hint="eastAsia"/>
        </w:rPr>
        <w:t>区</w:t>
      </w:r>
      <w:r>
        <w:t>的填埋物应是稳定化飞灰，生活垃圾、危险废物以及其他固体废物等不得送入该填埋</w:t>
      </w:r>
      <w:r w:rsidR="00737B93">
        <w:rPr>
          <w:rFonts w:hint="eastAsia"/>
        </w:rPr>
        <w:t>区</w:t>
      </w:r>
      <w:r>
        <w:t>。</w:t>
      </w:r>
    </w:p>
    <w:p w14:paraId="60226106" w14:textId="77777777" w:rsidR="00606029" w:rsidRDefault="00EA5B92">
      <w:pPr>
        <w:pStyle w:val="affffff4"/>
      </w:pPr>
      <w:r>
        <w:t>（</w:t>
      </w:r>
      <w:r>
        <w:t>3</w:t>
      </w:r>
      <w:r>
        <w:t>）为避免产生过多扬尘影响，</w:t>
      </w:r>
      <w:bookmarkStart w:id="102" w:name="OLE_LINK30"/>
      <w:r>
        <w:t>稳定化飞灰入场前应由吨袋装填入场</w:t>
      </w:r>
      <w:bookmarkEnd w:id="102"/>
      <w:r>
        <w:t>。</w:t>
      </w:r>
    </w:p>
    <w:p w14:paraId="21F1173F" w14:textId="348771E8" w:rsidR="00606029" w:rsidRDefault="00EA5B92">
      <w:pPr>
        <w:pStyle w:val="affffff4"/>
      </w:pPr>
      <w:r>
        <w:t>（</w:t>
      </w:r>
      <w:r>
        <w:t>4</w:t>
      </w:r>
      <w:r>
        <w:t>）入填埋场的稳定化飞灰要求</w:t>
      </w:r>
      <w:r w:rsidR="006A52CC">
        <w:t>：</w:t>
      </w:r>
      <w:r>
        <w:t>稳定化飞灰在入填埋场前应进行抽样化验，抽样化验指标应满足以下要求</w:t>
      </w:r>
      <w:r w:rsidR="006A52CC">
        <w:t>：</w:t>
      </w:r>
      <w:r>
        <w:t>根据《生活垃圾填埋场污染控制标准》（</w:t>
      </w:r>
      <w:r>
        <w:t>GB16889-2024</w:t>
      </w:r>
      <w:r>
        <w:t>）</w:t>
      </w:r>
      <w:r>
        <w:t>6.3</w:t>
      </w:r>
      <w:r>
        <w:t>条，生活垃圾焚烧飞灰经处理满足下列条件后，可以进入填埋</w:t>
      </w:r>
      <w:r w:rsidR="00737B93">
        <w:rPr>
          <w:rFonts w:hint="eastAsia"/>
        </w:rPr>
        <w:t>区</w:t>
      </w:r>
      <w:r>
        <w:t>填埋处置。</w:t>
      </w:r>
    </w:p>
    <w:p w14:paraId="39158D3A" w14:textId="77777777" w:rsidR="00606029" w:rsidRDefault="00EA5B92">
      <w:pPr>
        <w:pStyle w:val="affffff4"/>
      </w:pPr>
      <w:r>
        <w:t>①</w:t>
      </w:r>
      <w:r>
        <w:t>二噁英含量低于</w:t>
      </w:r>
      <w:r>
        <w:t>3μgTEQ/Kg</w:t>
      </w:r>
      <w:r>
        <w:t>；</w:t>
      </w:r>
    </w:p>
    <w:p w14:paraId="0AD7AC89" w14:textId="77777777" w:rsidR="00606029" w:rsidRDefault="00EA5B92">
      <w:pPr>
        <w:pStyle w:val="affffff4"/>
      </w:pPr>
      <w:r>
        <w:t>②</w:t>
      </w:r>
      <w:r>
        <w:t>按照</w:t>
      </w:r>
      <w:r>
        <w:t>HJ/T300</w:t>
      </w:r>
      <w:r>
        <w:t>制备的浸出液中危害成份浓度低于《生活垃圾填埋场污染控制标准》（</w:t>
      </w:r>
      <w:r>
        <w:t>GB16889-2024</w:t>
      </w:r>
      <w:r>
        <w:t>）表</w:t>
      </w:r>
      <w:r>
        <w:t>1</w:t>
      </w:r>
      <w:r>
        <w:t>规定的限值。</w:t>
      </w:r>
    </w:p>
    <w:p w14:paraId="79762ADA" w14:textId="17AAE08B" w:rsidR="00606029" w:rsidRDefault="00606029">
      <w:pPr>
        <w:pStyle w:val="4"/>
      </w:pPr>
      <w:hyperlink r:id="rId38" w:history="1">
        <w:r>
          <w:t>2.2.4.</w:t>
        </w:r>
        <w:r w:rsidR="00737B93">
          <w:rPr>
            <w:rFonts w:hint="eastAsia"/>
          </w:rPr>
          <w:t>2</w:t>
        </w:r>
      </w:hyperlink>
      <w:r w:rsidR="00EA5B92">
        <w:t>雨天厂区固化飞灰暂存方案</w:t>
      </w:r>
    </w:p>
    <w:p w14:paraId="4556EEAC" w14:textId="2E02AB72" w:rsidR="00606029" w:rsidRDefault="00EA5B92">
      <w:pPr>
        <w:pStyle w:val="affffff4"/>
      </w:pPr>
      <w:r>
        <w:t>本项目禁止雨天进行填埋作业，飞灰遇雨天需在</w:t>
      </w:r>
      <w:r w:rsidR="00737B93">
        <w:rPr>
          <w:rFonts w:hint="eastAsia"/>
        </w:rPr>
        <w:t>飞灰稳定化暂存库</w:t>
      </w:r>
      <w:r>
        <w:t>进行暂存。</w:t>
      </w:r>
    </w:p>
    <w:p w14:paraId="330F1187" w14:textId="18FFECAB" w:rsidR="00606029" w:rsidRDefault="00606029">
      <w:pPr>
        <w:pStyle w:val="4"/>
      </w:pPr>
      <w:hyperlink r:id="rId39" w:history="1">
        <w:r>
          <w:t>2.2.4.4</w:t>
        </w:r>
      </w:hyperlink>
      <w:r w:rsidR="00EA5B92">
        <w:t>分区填埋方案</w:t>
      </w:r>
    </w:p>
    <w:p w14:paraId="64204819" w14:textId="244CB3EE" w:rsidR="00606029" w:rsidRDefault="00EA5B92">
      <w:pPr>
        <w:pStyle w:val="affffff4"/>
      </w:pPr>
      <w:r>
        <w:t>进场固化飞灰按单元、分层进行卫生填埋，每</w:t>
      </w:r>
      <w:r>
        <w:t>15</w:t>
      </w:r>
      <w:r>
        <w:t>天的填埋量作为一个作业单元，填埋单元尺寸为</w:t>
      </w:r>
      <w:r w:rsidR="00417F2A">
        <w:rPr>
          <w:rFonts w:hint="eastAsia"/>
        </w:rPr>
        <w:t>15</w:t>
      </w:r>
      <w:r>
        <w:t>m×</w:t>
      </w:r>
      <w:r w:rsidR="00417F2A">
        <w:rPr>
          <w:rFonts w:hint="eastAsia"/>
        </w:rPr>
        <w:t>15</w:t>
      </w:r>
      <w:r>
        <w:t>m</w:t>
      </w:r>
      <w:r>
        <w:t>。分层高度建议</w:t>
      </w:r>
      <w:r w:rsidR="00A239E9">
        <w:rPr>
          <w:rFonts w:hint="eastAsia"/>
        </w:rPr>
        <w:t>1</w:t>
      </w:r>
      <w:r>
        <w:t>m</w:t>
      </w:r>
      <w:r>
        <w:t>为</w:t>
      </w:r>
      <w:r>
        <w:t>1</w:t>
      </w:r>
      <w:r>
        <w:t>层（即</w:t>
      </w:r>
      <w:r w:rsidR="00A239E9">
        <w:rPr>
          <w:rFonts w:hint="eastAsia"/>
        </w:rPr>
        <w:t>1</w:t>
      </w:r>
      <w:r>
        <w:t>袋为</w:t>
      </w:r>
      <w:r>
        <w:t>1</w:t>
      </w:r>
      <w:r>
        <w:t>层），库区填满一层后，再进行上一层填埋作业，同层堆填按分区顺序依次填埋。每一填埋单元作业完成后应进行日覆盖；每一作业区填埋完成阶段性高度后，暂时不在其上继续进行填埋时，应进行中间覆盖。每次入场后固化块平整压实后用防水布遮盖。中间覆盖和日覆盖的材料均为</w:t>
      </w:r>
      <w:r>
        <w:t>1.0mm</w:t>
      </w:r>
      <w:r>
        <w:t>的</w:t>
      </w:r>
      <w:r>
        <w:t>HDPE</w:t>
      </w:r>
      <w:r>
        <w:t>膜，保证固化飞灰填埋后及时将堆体覆盖防止雨水进入，并在膜表面通过设置临时排水沟等措施及时导排膜表面的雨水，保证膜表面雨水导排顺畅不进入</w:t>
      </w:r>
      <w:r w:rsidR="0085766D">
        <w:rPr>
          <w:rFonts w:hint="eastAsia"/>
        </w:rPr>
        <w:t>填埋区</w:t>
      </w:r>
      <w:r>
        <w:t>。</w:t>
      </w:r>
    </w:p>
    <w:p w14:paraId="457AE20A" w14:textId="77777777" w:rsidR="00606029" w:rsidRDefault="00EA5B92">
      <w:pPr>
        <w:pStyle w:val="3"/>
      </w:pPr>
      <w:bookmarkStart w:id="103" w:name="_Toc220680469"/>
      <w:r w:rsidRPr="002F22F3">
        <w:t>2.2.5</w:t>
      </w:r>
      <w:r w:rsidRPr="002F22F3">
        <w:t>总平面布置</w:t>
      </w:r>
      <w:bookmarkEnd w:id="103"/>
    </w:p>
    <w:p w14:paraId="5034052F" w14:textId="795F3DAF" w:rsidR="00606029" w:rsidRDefault="00EA5B92" w:rsidP="00015ED3">
      <w:pPr>
        <w:pStyle w:val="affffff4"/>
      </w:pPr>
      <w:r>
        <w:t>本次飞灰填埋</w:t>
      </w:r>
      <w:r w:rsidR="00737B93">
        <w:rPr>
          <w:rFonts w:hint="eastAsia"/>
        </w:rPr>
        <w:t>区</w:t>
      </w:r>
      <w:r>
        <w:t>项目主要建设内容包括</w:t>
      </w:r>
      <w:r w:rsidR="006A52CC">
        <w:t>：</w:t>
      </w:r>
      <w:r>
        <w:t>填埋区、</w:t>
      </w:r>
      <w:r w:rsidR="002F22F3">
        <w:rPr>
          <w:rFonts w:hint="eastAsia"/>
        </w:rPr>
        <w:t>淋溶水收集导排系统、</w:t>
      </w:r>
      <w:r w:rsidR="002F22F3">
        <w:t>地下水导排系统、</w:t>
      </w:r>
      <w:r>
        <w:t>雨水导排系统、</w:t>
      </w:r>
      <w:r w:rsidR="00A91859">
        <w:rPr>
          <w:rFonts w:hint="eastAsia"/>
        </w:rPr>
        <w:t>截洪沟</w:t>
      </w:r>
      <w:r>
        <w:t>等，场址</w:t>
      </w:r>
      <w:r w:rsidR="00737B93">
        <w:rPr>
          <w:rFonts w:hint="eastAsia"/>
        </w:rPr>
        <w:t>紧邻焚烧发电主厂房和飞灰固化稳定库</w:t>
      </w:r>
      <w:r>
        <w:t>。固化飞灰填埋可利用填埋场现有道路，且填埋作业道路平顺；本项目的淋溶水经</w:t>
      </w:r>
      <w:r w:rsidR="00737B93">
        <w:rPr>
          <w:rFonts w:hint="eastAsia"/>
        </w:rPr>
        <w:t>渗滤液</w:t>
      </w:r>
      <w:r>
        <w:t>调节池进入渗滤液处理站，无需新增污水处理设施。项目总图布置上最大限度利用</w:t>
      </w:r>
      <w:r w:rsidR="00737B93" w:rsidRPr="00737B93">
        <w:rPr>
          <w:rFonts w:hint="eastAsia"/>
        </w:rPr>
        <w:t>焚烧发电</w:t>
      </w:r>
      <w:r w:rsidR="00737B93">
        <w:rPr>
          <w:rFonts w:hint="eastAsia"/>
        </w:rPr>
        <w:t>厂</w:t>
      </w:r>
      <w:r>
        <w:t>的现有工程设施，减少了环境的影响。</w:t>
      </w:r>
    </w:p>
    <w:p w14:paraId="76B7AA39" w14:textId="77777777" w:rsidR="00606029" w:rsidRDefault="00EA5B92">
      <w:pPr>
        <w:pStyle w:val="affffff4"/>
      </w:pPr>
      <w:r>
        <w:t>总体上，总图布置基本满足国家和行业有关消防、环境保护、安全卫生等规范和节约用地、经济节省的要求，项目总平面布局是基本合理的。</w:t>
      </w:r>
    </w:p>
    <w:p w14:paraId="7F0A37DA" w14:textId="77777777" w:rsidR="00606029" w:rsidRDefault="00EA5B92">
      <w:pPr>
        <w:pStyle w:val="3"/>
      </w:pPr>
      <w:bookmarkStart w:id="104" w:name="_Toc220680470"/>
      <w:r>
        <w:lastRenderedPageBreak/>
        <w:t>2.2.6</w:t>
      </w:r>
      <w:r>
        <w:t>填埋运营作业工艺</w:t>
      </w:r>
      <w:bookmarkEnd w:id="104"/>
    </w:p>
    <w:p w14:paraId="460D9CCF" w14:textId="3AAA5524" w:rsidR="00606029" w:rsidRDefault="00606029">
      <w:pPr>
        <w:pStyle w:val="4"/>
      </w:pPr>
      <w:hyperlink r:id="rId40" w:history="1">
        <w:r>
          <w:t>2.2.6.1</w:t>
        </w:r>
      </w:hyperlink>
      <w:r w:rsidR="00EA5B92">
        <w:t>填埋工艺流程</w:t>
      </w:r>
    </w:p>
    <w:p w14:paraId="1345795C" w14:textId="3E4C475A" w:rsidR="00606029" w:rsidRDefault="00EA5B92">
      <w:pPr>
        <w:pStyle w:val="affffff4"/>
      </w:pPr>
      <w:r>
        <w:t>填埋作业过程包括场地准备、填埋物的运输、倾卸、摊铺和封场覆盖。固化后的飞灰由起吊装置进入填埋区作业面，在现场人员的指挥下按作业顺序进行卸料、铺装、覆盖。</w:t>
      </w:r>
    </w:p>
    <w:p w14:paraId="6B4D6ED3" w14:textId="28517456" w:rsidR="00606029" w:rsidRDefault="00606029">
      <w:pPr>
        <w:pStyle w:val="4"/>
      </w:pPr>
      <w:hyperlink r:id="rId41" w:history="1">
        <w:r>
          <w:t>2.2.6.2</w:t>
        </w:r>
      </w:hyperlink>
      <w:r w:rsidR="00EA5B92">
        <w:t>填埋工艺要求</w:t>
      </w:r>
    </w:p>
    <w:p w14:paraId="14A17B88" w14:textId="74AF624B" w:rsidR="00606029" w:rsidRDefault="00EA5B92">
      <w:pPr>
        <w:pStyle w:val="affffff4"/>
      </w:pPr>
      <w:r>
        <w:t>进场固化飞灰按单元、分层进行卫生填埋，每</w:t>
      </w:r>
      <w:r>
        <w:t>15</w:t>
      </w:r>
      <w:r>
        <w:t>天的填埋量作为一个作业单元，同时，进场固化飞灰应采用袋装，单袋尺寸</w:t>
      </w:r>
      <w:r>
        <w:t>1.0×1.0×1.0m</w:t>
      </w:r>
      <w:r>
        <w:t>。雨天时，固化飞灰存放于焚烧厂内</w:t>
      </w:r>
      <w:r w:rsidR="00062B25" w:rsidRPr="00062B25">
        <w:t>飞灰稳定化暂存库</w:t>
      </w:r>
      <w:r>
        <w:t>，不得进行填埋作业。</w:t>
      </w:r>
    </w:p>
    <w:p w14:paraId="11082CA7" w14:textId="30C3DB67" w:rsidR="00606029" w:rsidRDefault="00EA5B92" w:rsidP="00161A90">
      <w:pPr>
        <w:pStyle w:val="affffff4"/>
      </w:pPr>
      <w:r>
        <w:t>（</w:t>
      </w:r>
      <w:r>
        <w:t>1</w:t>
      </w:r>
      <w:r>
        <w:t>）</w:t>
      </w:r>
      <w:r w:rsidR="00161A90">
        <w:rPr>
          <w:rFonts w:hint="eastAsia"/>
        </w:rPr>
        <w:t>采用</w:t>
      </w:r>
      <w:r w:rsidR="00161A90" w:rsidRPr="00161A90">
        <w:t>吊装式填埋</w:t>
      </w:r>
      <w:r w:rsidR="00161A90">
        <w:rPr>
          <w:rFonts w:hint="eastAsia"/>
        </w:rPr>
        <w:t>，</w:t>
      </w:r>
      <w:r w:rsidR="00015ED3">
        <w:rPr>
          <w:rFonts w:hint="eastAsia"/>
        </w:rPr>
        <w:t>固化飞灰</w:t>
      </w:r>
      <w:r>
        <w:t>进入库区边卸料区域，在管理人员指挥下采用长臂</w:t>
      </w:r>
      <w:r w:rsidR="00956428">
        <w:t>起重机</w:t>
      </w:r>
      <w:r>
        <w:t>将装飞灰的吨袋吊入库底，由人员协助将卸下的飞灰吨袋进行摊铺与码放。</w:t>
      </w:r>
    </w:p>
    <w:p w14:paraId="57BA18BE" w14:textId="60A4030C" w:rsidR="00606029" w:rsidRDefault="00EA5B92" w:rsidP="00161A90">
      <w:pPr>
        <w:pStyle w:val="affffff4"/>
      </w:pPr>
      <w:r>
        <w:t>（</w:t>
      </w:r>
      <w:r>
        <w:t>2</w:t>
      </w:r>
      <w:r>
        <w:t>）</w:t>
      </w:r>
      <w:r w:rsidR="00161A90">
        <w:t>采用填坑法作业，</w:t>
      </w:r>
      <w:r>
        <w:t>每一填埋单元作业完成后应进行日覆盖；每一作业区填埋完成阶段性高度后，暂时不在其上继续进行填埋时，应进行中间覆盖。中间覆盖和日覆盖的材料均为</w:t>
      </w:r>
      <w:r>
        <w:t>1.0mm</w:t>
      </w:r>
      <w:r>
        <w:t>的</w:t>
      </w:r>
      <w:r>
        <w:t>HDPE</w:t>
      </w:r>
      <w:r>
        <w:t>膜。在分区堆填前应先完成</w:t>
      </w:r>
      <w:r>
        <w:t>1.0mmHDPE</w:t>
      </w:r>
      <w:r>
        <w:t>膜的准备，每次入场后固化块平整压实后用防水布遮盖；在固化飞灰填埋后及时覆盖防止雨水进入，并在膜表面通过设置临时排水沟等措施及时导排膜表面的雨水，保证膜表面雨水导排顺畅不进入</w:t>
      </w:r>
      <w:r w:rsidR="00161A90">
        <w:rPr>
          <w:rFonts w:hint="eastAsia"/>
        </w:rPr>
        <w:t>填埋区</w:t>
      </w:r>
      <w:r>
        <w:t>。</w:t>
      </w:r>
    </w:p>
    <w:p w14:paraId="19541BCD" w14:textId="77777777" w:rsidR="00606029" w:rsidRDefault="00EA5B92">
      <w:pPr>
        <w:pStyle w:val="affffff4"/>
      </w:pPr>
      <w:r>
        <w:t>固化飞灰进场后，应在填埋作业区码放整齐。在整个填埋过程中应该随时进行场区道路的清扫及淋溶水收集与处理工作，保持填埋场卫生、整洁的面貌，各项指标均能达到《生活垃圾卫生填埋场运行维护技术规程》的要求。</w:t>
      </w:r>
    </w:p>
    <w:p w14:paraId="4ABB34BB" w14:textId="77777777" w:rsidR="00606029" w:rsidRDefault="00EA5B92">
      <w:pPr>
        <w:pStyle w:val="3"/>
      </w:pPr>
      <w:bookmarkStart w:id="105" w:name="_Toc220680471"/>
      <w:r>
        <w:t>2.2.7</w:t>
      </w:r>
      <w:r>
        <w:t>主要设备</w:t>
      </w:r>
      <w:bookmarkEnd w:id="105"/>
    </w:p>
    <w:p w14:paraId="0AE2B8B0" w14:textId="1B708B44" w:rsidR="00606029" w:rsidRDefault="00EA5B92">
      <w:pPr>
        <w:pStyle w:val="affffff4"/>
      </w:pPr>
      <w:r>
        <w:t>填埋作业设备配备，在满足生产规模及填埋工艺要求的前提下，做到设备配置适用性、专业性与先进性的统一。考虑固化飞灰进场填埋的不连续性和使用频率较低的实际情况，本项目不新增设备，均利用现有</w:t>
      </w:r>
      <w:r w:rsidR="00A200F6">
        <w:rPr>
          <w:rFonts w:hint="eastAsia"/>
        </w:rPr>
        <w:t>厂区</w:t>
      </w:r>
      <w:r>
        <w:t>设备，详见下表。</w:t>
      </w:r>
    </w:p>
    <w:p w14:paraId="36D3E7BE" w14:textId="77777777" w:rsidR="00606029" w:rsidRDefault="00EA5B92">
      <w:pPr>
        <w:pStyle w:val="affffff5"/>
        <w:rPr>
          <w:lang w:eastAsia="en-US"/>
        </w:rPr>
      </w:pPr>
      <w:r>
        <w:rPr>
          <w:lang w:eastAsia="en-US"/>
        </w:rPr>
        <w:t>表</w:t>
      </w:r>
      <w:r>
        <w:t>2.2-6</w:t>
      </w:r>
      <w:r>
        <w:rPr>
          <w:lang w:eastAsia="en-US"/>
        </w:rPr>
        <w:t>填埋工程主要设备表</w:t>
      </w:r>
    </w:p>
    <w:tbl>
      <w:tblPr>
        <w:tblStyle w:val="TableNormal"/>
        <w:tblW w:w="4998" w:type="pct"/>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6"/>
        <w:gridCol w:w="2130"/>
        <w:gridCol w:w="4198"/>
        <w:gridCol w:w="865"/>
        <w:gridCol w:w="901"/>
      </w:tblGrid>
      <w:tr w:rsidR="00606029" w14:paraId="5B2AC811" w14:textId="77777777" w:rsidTr="00030DC0">
        <w:trPr>
          <w:trHeight w:val="57"/>
        </w:trPr>
        <w:tc>
          <w:tcPr>
            <w:tcW w:w="417" w:type="pct"/>
            <w:vAlign w:val="center"/>
          </w:tcPr>
          <w:p w14:paraId="7A6E3983" w14:textId="77777777" w:rsidR="00606029" w:rsidRDefault="00EA5B92">
            <w:pPr>
              <w:pStyle w:val="TableText"/>
              <w:adjustRightInd w:val="0"/>
              <w:snapToGrid w:val="0"/>
              <w:jc w:val="center"/>
              <w:rPr>
                <w:rFonts w:ascii="Times New Roman" w:hAnsi="Times New Roman" w:cs="Times New Roman"/>
              </w:rPr>
            </w:pPr>
            <w:r>
              <w:rPr>
                <w:rFonts w:ascii="Times New Roman" w:hAnsi="Times New Roman" w:cs="Times New Roman"/>
              </w:rPr>
              <w:t>序号</w:t>
            </w:r>
          </w:p>
        </w:tc>
        <w:tc>
          <w:tcPr>
            <w:tcW w:w="1206" w:type="pct"/>
            <w:vAlign w:val="center"/>
          </w:tcPr>
          <w:p w14:paraId="71A16075" w14:textId="77777777" w:rsidR="00606029" w:rsidRDefault="00EA5B92">
            <w:pPr>
              <w:pStyle w:val="TableText"/>
              <w:adjustRightInd w:val="0"/>
              <w:snapToGrid w:val="0"/>
              <w:jc w:val="center"/>
              <w:rPr>
                <w:rFonts w:ascii="Times New Roman" w:hAnsi="Times New Roman" w:cs="Times New Roman"/>
              </w:rPr>
            </w:pPr>
            <w:r>
              <w:rPr>
                <w:rFonts w:ascii="Times New Roman" w:hAnsi="Times New Roman" w:cs="Times New Roman"/>
              </w:rPr>
              <w:t>设备名称</w:t>
            </w:r>
          </w:p>
        </w:tc>
        <w:tc>
          <w:tcPr>
            <w:tcW w:w="2377" w:type="pct"/>
            <w:vAlign w:val="center"/>
          </w:tcPr>
          <w:p w14:paraId="56FE4ABC" w14:textId="77777777" w:rsidR="00606029" w:rsidRDefault="00EA5B92">
            <w:pPr>
              <w:pStyle w:val="TableText"/>
              <w:adjustRightInd w:val="0"/>
              <w:snapToGrid w:val="0"/>
              <w:jc w:val="center"/>
              <w:rPr>
                <w:rFonts w:ascii="Times New Roman" w:hAnsi="Times New Roman" w:cs="Times New Roman"/>
              </w:rPr>
            </w:pPr>
            <w:r>
              <w:rPr>
                <w:rFonts w:ascii="Times New Roman" w:hAnsi="Times New Roman" w:cs="Times New Roman"/>
              </w:rPr>
              <w:t>规格型号</w:t>
            </w:r>
          </w:p>
        </w:tc>
        <w:tc>
          <w:tcPr>
            <w:tcW w:w="490" w:type="pct"/>
            <w:vAlign w:val="center"/>
          </w:tcPr>
          <w:p w14:paraId="7485ED3A" w14:textId="77777777" w:rsidR="00606029" w:rsidRDefault="00EA5B92">
            <w:pPr>
              <w:pStyle w:val="TableText"/>
              <w:adjustRightInd w:val="0"/>
              <w:snapToGrid w:val="0"/>
              <w:jc w:val="center"/>
              <w:rPr>
                <w:rFonts w:ascii="Times New Roman" w:hAnsi="Times New Roman" w:cs="Times New Roman"/>
              </w:rPr>
            </w:pPr>
            <w:r>
              <w:rPr>
                <w:rFonts w:ascii="Times New Roman" w:hAnsi="Times New Roman" w:cs="Times New Roman"/>
              </w:rPr>
              <w:t>单位</w:t>
            </w:r>
          </w:p>
        </w:tc>
        <w:tc>
          <w:tcPr>
            <w:tcW w:w="510" w:type="pct"/>
            <w:vAlign w:val="center"/>
          </w:tcPr>
          <w:p w14:paraId="50EACF98" w14:textId="77777777" w:rsidR="00606029" w:rsidRDefault="00EA5B92">
            <w:pPr>
              <w:pStyle w:val="TableText"/>
              <w:adjustRightInd w:val="0"/>
              <w:snapToGrid w:val="0"/>
              <w:jc w:val="center"/>
              <w:rPr>
                <w:rFonts w:ascii="Times New Roman" w:hAnsi="Times New Roman" w:cs="Times New Roman"/>
              </w:rPr>
            </w:pPr>
            <w:r>
              <w:rPr>
                <w:rFonts w:ascii="Times New Roman" w:hAnsi="Times New Roman" w:cs="Times New Roman"/>
              </w:rPr>
              <w:t>数量</w:t>
            </w:r>
          </w:p>
        </w:tc>
      </w:tr>
      <w:tr w:rsidR="00606029" w14:paraId="1220E35E" w14:textId="77777777" w:rsidTr="00030DC0">
        <w:trPr>
          <w:trHeight w:val="57"/>
        </w:trPr>
        <w:tc>
          <w:tcPr>
            <w:tcW w:w="417" w:type="pct"/>
            <w:vAlign w:val="center"/>
          </w:tcPr>
          <w:p w14:paraId="134A29D1" w14:textId="77777777" w:rsidR="00606029" w:rsidRDefault="00EA5B92">
            <w:pPr>
              <w:adjustRightInd w:val="0"/>
              <w:snapToGrid w:val="0"/>
              <w:jc w:val="center"/>
              <w:rPr>
                <w:rFonts w:eastAsia="Times New Roman"/>
              </w:rPr>
            </w:pPr>
            <w:r>
              <w:rPr>
                <w:rFonts w:eastAsia="Times New Roman"/>
              </w:rPr>
              <w:t>1</w:t>
            </w:r>
          </w:p>
        </w:tc>
        <w:tc>
          <w:tcPr>
            <w:tcW w:w="1206" w:type="pct"/>
            <w:vAlign w:val="center"/>
          </w:tcPr>
          <w:p w14:paraId="1F32F126" w14:textId="77777777" w:rsidR="00606029" w:rsidRDefault="00EA5B92">
            <w:pPr>
              <w:pStyle w:val="TableText"/>
              <w:adjustRightInd w:val="0"/>
              <w:snapToGrid w:val="0"/>
              <w:jc w:val="center"/>
              <w:rPr>
                <w:rFonts w:ascii="Times New Roman" w:hAnsi="Times New Roman" w:cs="Times New Roman"/>
              </w:rPr>
            </w:pPr>
            <w:r>
              <w:rPr>
                <w:rFonts w:ascii="Times New Roman" w:hAnsi="Times New Roman" w:cs="Times New Roman"/>
              </w:rPr>
              <w:t>地磅</w:t>
            </w:r>
          </w:p>
        </w:tc>
        <w:tc>
          <w:tcPr>
            <w:tcW w:w="2377" w:type="pct"/>
            <w:vAlign w:val="center"/>
          </w:tcPr>
          <w:p w14:paraId="0059F774" w14:textId="5C4EDFAD" w:rsidR="00606029" w:rsidRDefault="006F0FEA">
            <w:pPr>
              <w:adjustRightInd w:val="0"/>
              <w:snapToGrid w:val="0"/>
              <w:jc w:val="center"/>
              <w:rPr>
                <w:rFonts w:eastAsia="Times New Roman"/>
              </w:rPr>
            </w:pPr>
            <w:r>
              <w:rPr>
                <w:rFonts w:eastAsiaTheme="minorEastAsia" w:hint="eastAsia"/>
              </w:rPr>
              <w:t>80</w:t>
            </w:r>
            <w:r w:rsidR="00EA5B92">
              <w:rPr>
                <w:rFonts w:eastAsia="Times New Roman"/>
              </w:rPr>
              <w:t>t</w:t>
            </w:r>
          </w:p>
        </w:tc>
        <w:tc>
          <w:tcPr>
            <w:tcW w:w="490" w:type="pct"/>
            <w:vAlign w:val="center"/>
          </w:tcPr>
          <w:p w14:paraId="1676DCE8" w14:textId="77777777" w:rsidR="00606029" w:rsidRDefault="00EA5B92">
            <w:pPr>
              <w:pStyle w:val="TableText"/>
              <w:adjustRightInd w:val="0"/>
              <w:snapToGrid w:val="0"/>
              <w:jc w:val="center"/>
              <w:rPr>
                <w:rFonts w:ascii="Times New Roman" w:hAnsi="Times New Roman" w:cs="Times New Roman"/>
              </w:rPr>
            </w:pPr>
            <w:r>
              <w:rPr>
                <w:rFonts w:ascii="Times New Roman" w:hAnsi="Times New Roman" w:cs="Times New Roman"/>
              </w:rPr>
              <w:t>台</w:t>
            </w:r>
          </w:p>
        </w:tc>
        <w:tc>
          <w:tcPr>
            <w:tcW w:w="510" w:type="pct"/>
            <w:vAlign w:val="center"/>
          </w:tcPr>
          <w:p w14:paraId="690579DC" w14:textId="77777777" w:rsidR="00606029" w:rsidRDefault="00EA5B92">
            <w:pPr>
              <w:adjustRightInd w:val="0"/>
              <w:snapToGrid w:val="0"/>
              <w:jc w:val="center"/>
              <w:rPr>
                <w:rFonts w:eastAsia="Times New Roman"/>
              </w:rPr>
            </w:pPr>
            <w:r>
              <w:rPr>
                <w:rFonts w:eastAsia="Times New Roman"/>
              </w:rPr>
              <w:t>1</w:t>
            </w:r>
          </w:p>
        </w:tc>
      </w:tr>
      <w:tr w:rsidR="00606029" w14:paraId="161EFCFB" w14:textId="77777777" w:rsidTr="00030DC0">
        <w:trPr>
          <w:trHeight w:val="57"/>
        </w:trPr>
        <w:tc>
          <w:tcPr>
            <w:tcW w:w="417" w:type="pct"/>
            <w:vAlign w:val="center"/>
          </w:tcPr>
          <w:p w14:paraId="12BF4F2A" w14:textId="77777777" w:rsidR="00606029" w:rsidRDefault="00EA5B92">
            <w:pPr>
              <w:adjustRightInd w:val="0"/>
              <w:snapToGrid w:val="0"/>
              <w:jc w:val="center"/>
              <w:rPr>
                <w:rFonts w:eastAsia="Times New Roman"/>
              </w:rPr>
            </w:pPr>
            <w:r>
              <w:rPr>
                <w:rFonts w:eastAsia="Times New Roman"/>
              </w:rPr>
              <w:t>2</w:t>
            </w:r>
          </w:p>
        </w:tc>
        <w:tc>
          <w:tcPr>
            <w:tcW w:w="1206" w:type="pct"/>
            <w:vAlign w:val="center"/>
          </w:tcPr>
          <w:p w14:paraId="504CB2B5" w14:textId="77777777" w:rsidR="00606029" w:rsidRDefault="00EA5B92">
            <w:pPr>
              <w:pStyle w:val="TableText"/>
              <w:adjustRightInd w:val="0"/>
              <w:snapToGrid w:val="0"/>
              <w:jc w:val="center"/>
              <w:rPr>
                <w:rFonts w:ascii="Times New Roman" w:hAnsi="Times New Roman" w:cs="Times New Roman"/>
              </w:rPr>
            </w:pPr>
            <w:bookmarkStart w:id="106" w:name="OLE_LINK68"/>
            <w:r>
              <w:rPr>
                <w:rFonts w:ascii="Times New Roman" w:hAnsi="Times New Roman" w:cs="Times New Roman"/>
              </w:rPr>
              <w:t>自卸卡车</w:t>
            </w:r>
            <w:bookmarkEnd w:id="106"/>
          </w:p>
        </w:tc>
        <w:tc>
          <w:tcPr>
            <w:tcW w:w="2377" w:type="pct"/>
            <w:vAlign w:val="center"/>
          </w:tcPr>
          <w:p w14:paraId="2970A94A" w14:textId="5E7FC4C8" w:rsidR="00606029" w:rsidRDefault="006F0FEA">
            <w:pPr>
              <w:adjustRightInd w:val="0"/>
              <w:snapToGrid w:val="0"/>
              <w:jc w:val="center"/>
              <w:rPr>
                <w:rFonts w:eastAsia="Times New Roman"/>
              </w:rPr>
            </w:pPr>
            <w:r>
              <w:rPr>
                <w:rFonts w:eastAsiaTheme="minorEastAsia" w:hint="eastAsia"/>
              </w:rPr>
              <w:t>10</w:t>
            </w:r>
            <w:r w:rsidR="00EA5B92">
              <w:rPr>
                <w:rFonts w:eastAsia="Times New Roman"/>
              </w:rPr>
              <w:t>t</w:t>
            </w:r>
          </w:p>
        </w:tc>
        <w:tc>
          <w:tcPr>
            <w:tcW w:w="490" w:type="pct"/>
            <w:vAlign w:val="center"/>
          </w:tcPr>
          <w:p w14:paraId="621B460F" w14:textId="77777777" w:rsidR="00606029" w:rsidRDefault="00EA5B92">
            <w:pPr>
              <w:pStyle w:val="TableText"/>
              <w:adjustRightInd w:val="0"/>
              <w:snapToGrid w:val="0"/>
              <w:jc w:val="center"/>
              <w:rPr>
                <w:rFonts w:ascii="Times New Roman" w:hAnsi="Times New Roman" w:cs="Times New Roman"/>
              </w:rPr>
            </w:pPr>
            <w:r>
              <w:rPr>
                <w:rFonts w:ascii="Times New Roman" w:hAnsi="Times New Roman" w:cs="Times New Roman"/>
              </w:rPr>
              <w:t>辆</w:t>
            </w:r>
          </w:p>
        </w:tc>
        <w:tc>
          <w:tcPr>
            <w:tcW w:w="510" w:type="pct"/>
            <w:vAlign w:val="center"/>
          </w:tcPr>
          <w:p w14:paraId="4B5BA6E8" w14:textId="77777777" w:rsidR="00606029" w:rsidRDefault="00EA5B92">
            <w:pPr>
              <w:adjustRightInd w:val="0"/>
              <w:snapToGrid w:val="0"/>
              <w:jc w:val="center"/>
              <w:rPr>
                <w:rFonts w:eastAsia="Times New Roman"/>
              </w:rPr>
            </w:pPr>
            <w:r>
              <w:rPr>
                <w:rFonts w:eastAsia="Times New Roman"/>
              </w:rPr>
              <w:t>1</w:t>
            </w:r>
          </w:p>
        </w:tc>
      </w:tr>
      <w:tr w:rsidR="00606029" w14:paraId="02092A1B" w14:textId="77777777" w:rsidTr="00030DC0">
        <w:trPr>
          <w:trHeight w:val="57"/>
        </w:trPr>
        <w:tc>
          <w:tcPr>
            <w:tcW w:w="417" w:type="pct"/>
            <w:vAlign w:val="center"/>
          </w:tcPr>
          <w:p w14:paraId="3DDBF5D6" w14:textId="77777777" w:rsidR="00606029" w:rsidRDefault="00EA5B92">
            <w:pPr>
              <w:adjustRightInd w:val="0"/>
              <w:snapToGrid w:val="0"/>
              <w:jc w:val="center"/>
              <w:rPr>
                <w:rFonts w:eastAsia="Times New Roman"/>
              </w:rPr>
            </w:pPr>
            <w:r>
              <w:rPr>
                <w:rFonts w:eastAsia="Times New Roman"/>
              </w:rPr>
              <w:t>3</w:t>
            </w:r>
          </w:p>
        </w:tc>
        <w:tc>
          <w:tcPr>
            <w:tcW w:w="1206" w:type="pct"/>
            <w:vAlign w:val="center"/>
          </w:tcPr>
          <w:p w14:paraId="3A72E59D" w14:textId="29A185E4" w:rsidR="00606029" w:rsidRDefault="006F0FEA">
            <w:pPr>
              <w:pStyle w:val="TableText"/>
              <w:adjustRightInd w:val="0"/>
              <w:snapToGrid w:val="0"/>
              <w:jc w:val="center"/>
              <w:rPr>
                <w:rFonts w:ascii="Times New Roman" w:hAnsi="Times New Roman" w:cs="Times New Roman"/>
              </w:rPr>
            </w:pPr>
            <w:r>
              <w:rPr>
                <w:rFonts w:ascii="Times New Roman" w:hAnsi="Times New Roman" w:cs="Times New Roman" w:hint="eastAsia"/>
                <w:lang w:eastAsia="zh-CN"/>
              </w:rPr>
              <w:t>电动起重机</w:t>
            </w:r>
          </w:p>
        </w:tc>
        <w:tc>
          <w:tcPr>
            <w:tcW w:w="2377" w:type="pct"/>
            <w:vAlign w:val="center"/>
          </w:tcPr>
          <w:p w14:paraId="64DF8DD3" w14:textId="26F98A89" w:rsidR="00606029" w:rsidRDefault="006F0FEA">
            <w:pPr>
              <w:pStyle w:val="TableText"/>
              <w:adjustRightInd w:val="0"/>
              <w:snapToGrid w:val="0"/>
              <w:jc w:val="center"/>
              <w:rPr>
                <w:rFonts w:ascii="Times New Roman" w:eastAsia="Times New Roman" w:hAnsi="Times New Roman" w:cs="Times New Roman"/>
                <w:lang w:eastAsia="zh-CN"/>
              </w:rPr>
            </w:pPr>
            <w:r>
              <w:rPr>
                <w:rFonts w:ascii="Times New Roman" w:hAnsi="Times New Roman" w:cs="Times New Roman" w:hint="eastAsia"/>
                <w:lang w:eastAsia="zh-CN"/>
              </w:rPr>
              <w:t>10</w:t>
            </w:r>
            <w:r w:rsidR="00EA5B92">
              <w:rPr>
                <w:rFonts w:ascii="Times New Roman" w:eastAsia="Times New Roman" w:hAnsi="Times New Roman" w:cs="Times New Roman"/>
                <w:lang w:eastAsia="zh-CN"/>
              </w:rPr>
              <w:t>t</w:t>
            </w:r>
          </w:p>
        </w:tc>
        <w:tc>
          <w:tcPr>
            <w:tcW w:w="490" w:type="pct"/>
            <w:vAlign w:val="center"/>
          </w:tcPr>
          <w:p w14:paraId="6F50D707" w14:textId="33380357" w:rsidR="00606029" w:rsidRDefault="006F0FEA">
            <w:pPr>
              <w:pStyle w:val="TableText"/>
              <w:adjustRightInd w:val="0"/>
              <w:snapToGrid w:val="0"/>
              <w:jc w:val="center"/>
              <w:rPr>
                <w:rFonts w:ascii="Times New Roman" w:hAnsi="Times New Roman" w:cs="Times New Roman"/>
              </w:rPr>
            </w:pPr>
            <w:r>
              <w:rPr>
                <w:rFonts w:ascii="Times New Roman" w:hAnsi="Times New Roman" w:cs="Times New Roman" w:hint="eastAsia"/>
                <w:lang w:eastAsia="zh-CN"/>
              </w:rPr>
              <w:t>台</w:t>
            </w:r>
          </w:p>
        </w:tc>
        <w:tc>
          <w:tcPr>
            <w:tcW w:w="510" w:type="pct"/>
            <w:vAlign w:val="center"/>
          </w:tcPr>
          <w:p w14:paraId="0B561FA8" w14:textId="0E63B5C9" w:rsidR="00606029" w:rsidRPr="00344708" w:rsidRDefault="00344708">
            <w:pPr>
              <w:adjustRightInd w:val="0"/>
              <w:snapToGrid w:val="0"/>
              <w:jc w:val="center"/>
              <w:rPr>
                <w:rFonts w:eastAsiaTheme="minorEastAsia"/>
              </w:rPr>
            </w:pPr>
            <w:r>
              <w:rPr>
                <w:rFonts w:eastAsiaTheme="minorEastAsia" w:hint="eastAsia"/>
              </w:rPr>
              <w:t>1</w:t>
            </w:r>
          </w:p>
        </w:tc>
      </w:tr>
    </w:tbl>
    <w:p w14:paraId="2D5D64E2" w14:textId="77777777" w:rsidR="00606029" w:rsidRDefault="00EA5B92">
      <w:pPr>
        <w:pStyle w:val="3"/>
        <w:spacing w:beforeLines="50" w:before="120"/>
      </w:pPr>
      <w:bookmarkStart w:id="107" w:name="_Toc220680472"/>
      <w:r>
        <w:lastRenderedPageBreak/>
        <w:t>2.2.8</w:t>
      </w:r>
      <w:r>
        <w:t>库区工程设计</w:t>
      </w:r>
      <w:bookmarkEnd w:id="107"/>
    </w:p>
    <w:p w14:paraId="72F40019" w14:textId="3D61C45E" w:rsidR="00606029" w:rsidRDefault="00606029">
      <w:pPr>
        <w:pStyle w:val="4"/>
      </w:pPr>
      <w:hyperlink r:id="rId42" w:history="1">
        <w:r>
          <w:t>2.2.8.1</w:t>
        </w:r>
      </w:hyperlink>
      <w:r w:rsidR="00EA5B92">
        <w:t>填埋</w:t>
      </w:r>
      <w:r w:rsidR="00577429">
        <w:rPr>
          <w:rFonts w:hint="eastAsia"/>
        </w:rPr>
        <w:t>区</w:t>
      </w:r>
      <w:r w:rsidR="00EA5B92">
        <w:t>库容及服务年限</w:t>
      </w:r>
    </w:p>
    <w:p w14:paraId="6A05A298" w14:textId="1AB7E230" w:rsidR="00606029" w:rsidRDefault="00DD6ECD">
      <w:pPr>
        <w:pStyle w:val="affffff4"/>
        <w:spacing w:beforeLines="50" w:before="120"/>
      </w:pPr>
      <w:r>
        <w:rPr>
          <w:rFonts w:hint="eastAsia"/>
        </w:rPr>
        <w:t>根据</w:t>
      </w:r>
      <w:bookmarkStart w:id="108" w:name="OLE_LINK71"/>
      <w:r>
        <w:rPr>
          <w:rFonts w:hint="eastAsia"/>
        </w:rPr>
        <w:t>《</w:t>
      </w:r>
      <w:bookmarkStart w:id="109" w:name="OLE_LINK67"/>
      <w:r w:rsidRPr="00DD6ECD">
        <w:rPr>
          <w:rFonts w:hint="eastAsia"/>
        </w:rPr>
        <w:t>大庆市生活垃圾综合处理厂</w:t>
      </w:r>
      <w:bookmarkEnd w:id="109"/>
      <w:r w:rsidRPr="00DD6ECD">
        <w:rPr>
          <w:rFonts w:hint="eastAsia"/>
        </w:rPr>
        <w:t>环境综合评估报告</w:t>
      </w:r>
      <w:r>
        <w:rPr>
          <w:rFonts w:hint="eastAsia"/>
        </w:rPr>
        <w:t>》（</w:t>
      </w:r>
      <w:r w:rsidRPr="00DD6ECD">
        <w:rPr>
          <w:rFonts w:hint="eastAsia"/>
        </w:rPr>
        <w:t>2024</w:t>
      </w:r>
      <w:r w:rsidRPr="00DD6ECD">
        <w:rPr>
          <w:rFonts w:hint="eastAsia"/>
        </w:rPr>
        <w:t>年</w:t>
      </w:r>
      <w:r w:rsidRPr="00DD6ECD">
        <w:rPr>
          <w:rFonts w:hint="eastAsia"/>
        </w:rPr>
        <w:t>2</w:t>
      </w:r>
      <w:r w:rsidRPr="00DD6ECD">
        <w:rPr>
          <w:rFonts w:hint="eastAsia"/>
        </w:rPr>
        <w:t>月</w:t>
      </w:r>
      <w:r>
        <w:rPr>
          <w:rFonts w:hint="eastAsia"/>
        </w:rPr>
        <w:t>），</w:t>
      </w:r>
      <w:bookmarkEnd w:id="108"/>
      <w:r>
        <w:rPr>
          <w:rFonts w:hint="eastAsia"/>
        </w:rPr>
        <w:t>大庆市生活垃圾综合处理厂</w:t>
      </w:r>
      <w:r w:rsidR="00754EEF" w:rsidRPr="00754EEF">
        <w:rPr>
          <w:rFonts w:hint="eastAsia"/>
        </w:rPr>
        <w:t>2012</w:t>
      </w:r>
      <w:r w:rsidR="00754EEF" w:rsidRPr="00754EEF">
        <w:rPr>
          <w:rFonts w:hint="eastAsia"/>
        </w:rPr>
        <w:t>年</w:t>
      </w:r>
      <w:r w:rsidR="00754EEF" w:rsidRPr="00754EEF">
        <w:rPr>
          <w:rFonts w:hint="eastAsia"/>
        </w:rPr>
        <w:t>3</w:t>
      </w:r>
      <w:r w:rsidR="00754EEF" w:rsidRPr="00754EEF">
        <w:rPr>
          <w:rFonts w:hint="eastAsia"/>
        </w:rPr>
        <w:t>月正式运营</w:t>
      </w:r>
      <w:r>
        <w:rPr>
          <w:rFonts w:hint="eastAsia"/>
        </w:rPr>
        <w:t>，</w:t>
      </w:r>
      <w:r>
        <w:rPr>
          <w:rFonts w:hint="eastAsia"/>
        </w:rPr>
        <w:t>2023</w:t>
      </w:r>
      <w:r>
        <w:rPr>
          <w:rFonts w:hint="eastAsia"/>
        </w:rPr>
        <w:t>年</w:t>
      </w:r>
      <w:r>
        <w:rPr>
          <w:rFonts w:hint="eastAsia"/>
        </w:rPr>
        <w:t>11</w:t>
      </w:r>
      <w:r>
        <w:rPr>
          <w:rFonts w:hint="eastAsia"/>
        </w:rPr>
        <w:t>月封场，总填埋量</w:t>
      </w:r>
      <w:r w:rsidRPr="00DD6ECD">
        <w:rPr>
          <w:rFonts w:hint="eastAsia"/>
        </w:rPr>
        <w:t>约</w:t>
      </w:r>
      <w:r w:rsidRPr="00DD6ECD">
        <w:rPr>
          <w:rFonts w:hint="eastAsia"/>
        </w:rPr>
        <w:t>411</w:t>
      </w:r>
      <w:r w:rsidRPr="00DD6ECD">
        <w:rPr>
          <w:rFonts w:hint="eastAsia"/>
        </w:rPr>
        <w:t>万</w:t>
      </w:r>
      <w:r>
        <w:rPr>
          <w:rFonts w:hint="eastAsia"/>
        </w:rPr>
        <w:t>t</w:t>
      </w:r>
      <w:r>
        <w:rPr>
          <w:rFonts w:hint="eastAsia"/>
        </w:rPr>
        <w:t>，</w:t>
      </w:r>
      <w:r w:rsidRPr="00DD6ECD">
        <w:rPr>
          <w:rFonts w:hint="eastAsia"/>
        </w:rPr>
        <w:t>调查期间</w:t>
      </w:r>
      <w:r>
        <w:rPr>
          <w:rFonts w:hint="eastAsia"/>
        </w:rPr>
        <w:t>填埋</w:t>
      </w:r>
      <w:r w:rsidRPr="00DD6ECD">
        <w:rPr>
          <w:rFonts w:hint="eastAsia"/>
        </w:rPr>
        <w:t>库区五个液位计数据显示一区</w:t>
      </w:r>
      <w:r w:rsidRPr="00DD6ECD">
        <w:rPr>
          <w:rFonts w:hint="eastAsia"/>
        </w:rPr>
        <w:t>A</w:t>
      </w:r>
      <w:r w:rsidRPr="00DD6ECD">
        <w:rPr>
          <w:rFonts w:hint="eastAsia"/>
        </w:rPr>
        <w:t>、一区</w:t>
      </w:r>
      <w:r w:rsidRPr="00DD6ECD">
        <w:rPr>
          <w:rFonts w:hint="eastAsia"/>
        </w:rPr>
        <w:t>B</w:t>
      </w:r>
      <w:r w:rsidRPr="00DD6ECD">
        <w:rPr>
          <w:rFonts w:hint="eastAsia"/>
        </w:rPr>
        <w:t>、三区</w:t>
      </w:r>
      <w:r w:rsidRPr="00DD6ECD">
        <w:rPr>
          <w:rFonts w:hint="eastAsia"/>
        </w:rPr>
        <w:t>A</w:t>
      </w:r>
      <w:r w:rsidRPr="00DD6ECD">
        <w:rPr>
          <w:rFonts w:hint="eastAsia"/>
        </w:rPr>
        <w:t>、三区</w:t>
      </w:r>
      <w:r w:rsidRPr="00DD6ECD">
        <w:rPr>
          <w:rFonts w:hint="eastAsia"/>
        </w:rPr>
        <w:t>B</w:t>
      </w:r>
      <w:r w:rsidRPr="00DD6ECD">
        <w:rPr>
          <w:rFonts w:hint="eastAsia"/>
        </w:rPr>
        <w:t>最大值均已低于《生活垃圾卫生填埋场岩土工程技术规范》</w:t>
      </w:r>
      <w:r w:rsidRPr="00DD6ECD">
        <w:rPr>
          <w:rFonts w:hint="eastAsia"/>
        </w:rPr>
        <w:t>(CJJ176-2012)</w:t>
      </w:r>
      <w:r w:rsidRPr="00DD6ECD">
        <w:rPr>
          <w:rFonts w:hint="eastAsia"/>
        </w:rPr>
        <w:t>中规定的</w:t>
      </w:r>
      <w:r w:rsidRPr="00DD6ECD">
        <w:rPr>
          <w:rFonts w:hint="eastAsia"/>
        </w:rPr>
        <w:t>0.3m</w:t>
      </w:r>
      <w:r w:rsidRPr="00DD6ECD">
        <w:rPr>
          <w:rFonts w:hint="eastAsia"/>
        </w:rPr>
        <w:t>的要求，但二区液位均值及最大值仍超过标准要求，二区</w:t>
      </w:r>
      <w:r w:rsidRPr="00DD6ECD">
        <w:rPr>
          <w:rFonts w:hint="eastAsia"/>
        </w:rPr>
        <w:t>2023</w:t>
      </w:r>
      <w:r w:rsidRPr="00DD6ECD">
        <w:rPr>
          <w:rFonts w:hint="eastAsia"/>
        </w:rPr>
        <w:t>年</w:t>
      </w:r>
      <w:r w:rsidRPr="00DD6ECD">
        <w:rPr>
          <w:rFonts w:hint="eastAsia"/>
        </w:rPr>
        <w:t>12</w:t>
      </w:r>
      <w:r w:rsidRPr="00DD6ECD">
        <w:rPr>
          <w:rFonts w:hint="eastAsia"/>
        </w:rPr>
        <w:t>月</w:t>
      </w:r>
      <w:r w:rsidRPr="00DD6ECD">
        <w:rPr>
          <w:rFonts w:hint="eastAsia"/>
        </w:rPr>
        <w:t>26</w:t>
      </w:r>
      <w:r w:rsidRPr="00DD6ECD">
        <w:rPr>
          <w:rFonts w:hint="eastAsia"/>
        </w:rPr>
        <w:t>日开始液位高度呈下降趋势且满足标准值</w:t>
      </w:r>
      <w:r w:rsidRPr="00DD6ECD">
        <w:rPr>
          <w:rFonts w:hint="eastAsia"/>
        </w:rPr>
        <w:t>0.3m</w:t>
      </w:r>
      <w:r w:rsidRPr="00DD6ECD">
        <w:rPr>
          <w:rFonts w:hint="eastAsia"/>
        </w:rPr>
        <w:t>要求</w:t>
      </w:r>
      <w:r>
        <w:rPr>
          <w:rFonts w:hint="eastAsia"/>
        </w:rPr>
        <w:t>，渗滤液逐渐减少，最后消失，本次改造渗滤液调节池为生活垃圾焚烧飞灰填埋区，</w:t>
      </w:r>
      <w:r w:rsidR="00EA5B92" w:rsidRPr="003A398F">
        <w:t>库容为</w:t>
      </w:r>
      <w:r w:rsidR="003A398F" w:rsidRPr="003A398F">
        <w:rPr>
          <w:rFonts w:hint="eastAsia"/>
        </w:rPr>
        <w:t>7316</w:t>
      </w:r>
      <w:r w:rsidR="00EA5B92" w:rsidRPr="003A398F">
        <w:t>m</w:t>
      </w:r>
      <w:r w:rsidR="00EA5B92" w:rsidRPr="003A398F">
        <w:rPr>
          <w:vertAlign w:val="superscript"/>
        </w:rPr>
        <w:t>3</w:t>
      </w:r>
      <w:r w:rsidR="00EA5B92" w:rsidRPr="003A398F">
        <w:t>。</w:t>
      </w:r>
      <w:r w:rsidR="003A398F" w:rsidRPr="003A398F">
        <w:t>大庆市生活垃圾综合处理厂填埋库区的生活垃圾挖出焚烧</w:t>
      </w:r>
      <w:r w:rsidR="003A398F" w:rsidRPr="003A398F">
        <w:rPr>
          <w:rFonts w:hint="eastAsia"/>
        </w:rPr>
        <w:t>发电</w:t>
      </w:r>
      <w:r w:rsidR="003A398F" w:rsidRPr="003A398F">
        <w:t>后，</w:t>
      </w:r>
      <w:r w:rsidR="003A398F" w:rsidRPr="003A398F">
        <w:rPr>
          <w:rFonts w:hint="eastAsia"/>
        </w:rPr>
        <w:t>挖空库区</w:t>
      </w:r>
      <w:r w:rsidR="003A398F" w:rsidRPr="003A398F">
        <w:t>可满足</w:t>
      </w:r>
      <w:r w:rsidR="004C33E4">
        <w:t>10</w:t>
      </w:r>
      <w:r w:rsidR="004C33E4">
        <w:t>年以上</w:t>
      </w:r>
      <w:r w:rsidR="003A398F" w:rsidRPr="003A398F">
        <w:t>飞灰填埋需求，</w:t>
      </w:r>
      <w:r w:rsidR="00EA5B92" w:rsidRPr="003A398F">
        <w:t>本次</w:t>
      </w:r>
      <w:r w:rsidR="003A398F" w:rsidRPr="003A398F">
        <w:rPr>
          <w:rFonts w:hint="eastAsia"/>
        </w:rPr>
        <w:t>渗滤液调节池改建为</w:t>
      </w:r>
      <w:r w:rsidR="00EA5B92" w:rsidRPr="003A398F">
        <w:t>飞灰</w:t>
      </w:r>
      <w:r w:rsidR="003A398F" w:rsidRPr="003A398F">
        <w:rPr>
          <w:rFonts w:hint="eastAsia"/>
        </w:rPr>
        <w:t>填埋</w:t>
      </w:r>
      <w:r w:rsidR="00EA5B92" w:rsidRPr="003A398F">
        <w:t>区服务年限定为</w:t>
      </w:r>
      <w:r w:rsidR="00754EEF" w:rsidRPr="003A398F">
        <w:rPr>
          <w:rFonts w:hint="eastAsia"/>
        </w:rPr>
        <w:t>半</w:t>
      </w:r>
      <w:r w:rsidR="00EA5B92" w:rsidRPr="003A398F">
        <w:t>年。</w:t>
      </w:r>
    </w:p>
    <w:p w14:paraId="753B8A44" w14:textId="5B6E4C85" w:rsidR="00606029" w:rsidRDefault="00606029">
      <w:pPr>
        <w:pStyle w:val="4"/>
      </w:pPr>
      <w:hyperlink r:id="rId43" w:history="1">
        <w:r>
          <w:t>2.2.8.2</w:t>
        </w:r>
      </w:hyperlink>
      <w:r w:rsidR="00EA5B92">
        <w:t>库区</w:t>
      </w:r>
      <w:r w:rsidR="00D54524">
        <w:rPr>
          <w:rFonts w:hint="eastAsia"/>
        </w:rPr>
        <w:t>改造</w:t>
      </w:r>
      <w:r w:rsidR="00EA5B92">
        <w:t>工程</w:t>
      </w:r>
    </w:p>
    <w:p w14:paraId="083445DF" w14:textId="33E9E0A7" w:rsidR="00606029" w:rsidRDefault="00EA5B92" w:rsidP="005D276D">
      <w:pPr>
        <w:pStyle w:val="affffff4"/>
      </w:pPr>
      <w:r>
        <w:t>本项目</w:t>
      </w:r>
      <w:r w:rsidR="00D54524" w:rsidRPr="00D54524">
        <w:t>将原</w:t>
      </w:r>
      <w:r w:rsidR="00D54524" w:rsidRPr="00D54524">
        <w:t>7316m</w:t>
      </w:r>
      <w:r w:rsidR="00D54524" w:rsidRPr="00D54524">
        <w:rPr>
          <w:vertAlign w:val="superscript"/>
        </w:rPr>
        <w:t>3</w:t>
      </w:r>
      <w:r w:rsidR="00D54524" w:rsidRPr="00D54524">
        <w:t>的渗滤液调节池改建为飞灰填埋场，原有的进出水口、溢流管、排空管等所有与外部水系连通的管道都需要进行永久性封堵，确保库区与外界水体完全隔离。清除调节池内残留的渗滤液和底部的污泥。渗滤液进厂区渗滤液调节池，送渗滤液处理站处理；污泥送厂区污泥焚烧系统。根据飞灰填埋的承载力要求，对原有池壁进行结构安全评估和必要的加固处理</w:t>
      </w:r>
      <w:r>
        <w:t>。</w:t>
      </w:r>
    </w:p>
    <w:p w14:paraId="51C36E31" w14:textId="00B88C37" w:rsidR="00606029" w:rsidRDefault="00606029" w:rsidP="000E5AC8">
      <w:pPr>
        <w:pStyle w:val="4"/>
      </w:pPr>
      <w:hyperlink r:id="rId44" w:history="1">
        <w:r>
          <w:t>2.2.8.3</w:t>
        </w:r>
      </w:hyperlink>
      <w:r w:rsidR="00EA5B92">
        <w:t>防渗系统</w:t>
      </w:r>
    </w:p>
    <w:p w14:paraId="3D7BEF87" w14:textId="7A61A6BA" w:rsidR="000B3B3E" w:rsidRDefault="000B3B3E">
      <w:pPr>
        <w:pStyle w:val="affffff4"/>
      </w:pPr>
      <w:r w:rsidRPr="000B3B3E">
        <w:t>由于原调节池是钢筋混凝土结构，改建时应充分利用这一优势，设计为</w:t>
      </w:r>
      <w:r w:rsidRPr="000B3B3E">
        <w:t>“</w:t>
      </w:r>
      <w:bookmarkStart w:id="110" w:name="OLE_LINK75"/>
      <w:r w:rsidRPr="000B3B3E">
        <w:t>混凝土基底</w:t>
      </w:r>
      <w:r w:rsidRPr="000B3B3E">
        <w:t>+</w:t>
      </w:r>
      <w:r w:rsidRPr="000B3B3E">
        <w:t>人工防渗层</w:t>
      </w:r>
      <w:r w:rsidRPr="000B3B3E">
        <w:t>”</w:t>
      </w:r>
      <w:r w:rsidRPr="000B3B3E">
        <w:t>的复合结构</w:t>
      </w:r>
      <w:bookmarkEnd w:id="110"/>
      <w:r w:rsidRPr="000B3B3E">
        <w:t>。</w:t>
      </w:r>
    </w:p>
    <w:p w14:paraId="51673520" w14:textId="68E893D3" w:rsidR="00606029" w:rsidRDefault="00EA5B92">
      <w:pPr>
        <w:pStyle w:val="affffff4"/>
      </w:pPr>
      <w:r>
        <w:t>（</w:t>
      </w:r>
      <w:r>
        <w:t>1</w:t>
      </w:r>
      <w:r>
        <w:t>）防渗层布置</w:t>
      </w:r>
    </w:p>
    <w:p w14:paraId="106E2CAA" w14:textId="7CBCCAED" w:rsidR="000B3B3E" w:rsidRDefault="000B3B3E">
      <w:pPr>
        <w:pStyle w:val="affffff4"/>
      </w:pPr>
      <w:r w:rsidRPr="000B3B3E">
        <w:t>根据《生活垃圾填埋场污染控制标准》（</w:t>
      </w:r>
      <w:r w:rsidRPr="000B3B3E">
        <w:t>GB16889-2024</w:t>
      </w:r>
      <w:r w:rsidRPr="000B3B3E">
        <w:t>）的要求，结合调节池</w:t>
      </w:r>
      <w:r w:rsidR="005D276D">
        <w:rPr>
          <w:rFonts w:hint="eastAsia"/>
        </w:rPr>
        <w:t>实际情况</w:t>
      </w:r>
      <w:r w:rsidRPr="000B3B3E">
        <w:t>，</w:t>
      </w:r>
      <w:r w:rsidR="005D276D">
        <w:rPr>
          <w:rFonts w:hint="eastAsia"/>
        </w:rPr>
        <w:t>本项目</w:t>
      </w:r>
      <w:r w:rsidRPr="000B3B3E">
        <w:t>防渗工程设计采用</w:t>
      </w:r>
      <w:r w:rsidRPr="000B3B3E">
        <w:t>“</w:t>
      </w:r>
      <w:r w:rsidRPr="000B3B3E">
        <w:t>刚柔结合、双重保护</w:t>
      </w:r>
      <w:r w:rsidRPr="000B3B3E">
        <w:t>”</w:t>
      </w:r>
      <w:r w:rsidRPr="000B3B3E">
        <w:t>的复合衬层系统。</w:t>
      </w:r>
    </w:p>
    <w:p w14:paraId="361DB068" w14:textId="40ECE1F3" w:rsidR="000B3B3E" w:rsidRDefault="000B3B3E" w:rsidP="000B3B3E">
      <w:pPr>
        <w:pStyle w:val="affffff4"/>
      </w:pPr>
      <w:r>
        <w:rPr>
          <w:rFonts w:hint="eastAsia"/>
        </w:rPr>
        <w:t>原结构层：利用原有的钢筋混凝土池底</w:t>
      </w:r>
      <w:r w:rsidR="008F7EA4">
        <w:rPr>
          <w:rFonts w:hint="eastAsia"/>
        </w:rPr>
        <w:t>与池壁</w:t>
      </w:r>
      <w:r>
        <w:rPr>
          <w:rFonts w:hint="eastAsia"/>
        </w:rPr>
        <w:t>（需进行全面修补、找平，确保无裂缝）。</w:t>
      </w:r>
    </w:p>
    <w:p w14:paraId="2C05573B" w14:textId="77777777" w:rsidR="000B3B3E" w:rsidRDefault="000B3B3E" w:rsidP="000B3B3E">
      <w:pPr>
        <w:pStyle w:val="affffff4"/>
      </w:pPr>
      <w:r>
        <w:rPr>
          <w:rFonts w:hint="eastAsia"/>
        </w:rPr>
        <w:t>保护层：铺设</w:t>
      </w:r>
      <w:r>
        <w:rPr>
          <w:rFonts w:hint="eastAsia"/>
        </w:rPr>
        <w:t>600g/m</w:t>
      </w:r>
      <w:r>
        <w:rPr>
          <w:rFonts w:hint="eastAsia"/>
        </w:rPr>
        <w:t>²土工布，防止上部材料刺破防渗膜。</w:t>
      </w:r>
    </w:p>
    <w:p w14:paraId="63F036EB" w14:textId="51E54EB1" w:rsidR="000B3B3E" w:rsidRDefault="000B3B3E" w:rsidP="000B3B3E">
      <w:pPr>
        <w:pStyle w:val="affffff4"/>
      </w:pPr>
      <w:r>
        <w:rPr>
          <w:rFonts w:hint="eastAsia"/>
        </w:rPr>
        <w:t>主防渗层：铺设</w:t>
      </w:r>
      <w:r>
        <w:rPr>
          <w:rFonts w:hint="eastAsia"/>
        </w:rPr>
        <w:t>2.0mm</w:t>
      </w:r>
      <w:r>
        <w:rPr>
          <w:rFonts w:hint="eastAsia"/>
        </w:rPr>
        <w:t>厚</w:t>
      </w:r>
      <w:r>
        <w:rPr>
          <w:rFonts w:hint="eastAsia"/>
        </w:rPr>
        <w:t>HDPE</w:t>
      </w:r>
      <w:r>
        <w:rPr>
          <w:rFonts w:hint="eastAsia"/>
        </w:rPr>
        <w:t>土工膜（双糙面，以增加摩擦力）。</w:t>
      </w:r>
    </w:p>
    <w:p w14:paraId="1177AFF6" w14:textId="77777777" w:rsidR="000B3B3E" w:rsidRDefault="000B3B3E" w:rsidP="000B3B3E">
      <w:pPr>
        <w:pStyle w:val="affffff4"/>
      </w:pPr>
      <w:r>
        <w:rPr>
          <w:rFonts w:hint="eastAsia"/>
        </w:rPr>
        <w:t>排水</w:t>
      </w:r>
      <w:r>
        <w:rPr>
          <w:rFonts w:hint="eastAsia"/>
        </w:rPr>
        <w:t>/</w:t>
      </w:r>
      <w:r>
        <w:rPr>
          <w:rFonts w:hint="eastAsia"/>
        </w:rPr>
        <w:t>检测层：铺设土工复合排水网（或</w:t>
      </w:r>
      <w:r>
        <w:rPr>
          <w:rFonts w:hint="eastAsia"/>
        </w:rPr>
        <w:t>300mm</w:t>
      </w:r>
      <w:r>
        <w:rPr>
          <w:rFonts w:hint="eastAsia"/>
        </w:rPr>
        <w:t>厚碎石导排层），用于导排渗滤液及作为渗漏检测层。</w:t>
      </w:r>
    </w:p>
    <w:p w14:paraId="37A63AFF" w14:textId="37B40CD6" w:rsidR="000B3B3E" w:rsidRDefault="000B3B3E" w:rsidP="000B3B3E">
      <w:pPr>
        <w:pStyle w:val="affffff4"/>
      </w:pPr>
      <w:r>
        <w:rPr>
          <w:rFonts w:hint="eastAsia"/>
        </w:rPr>
        <w:lastRenderedPageBreak/>
        <w:t>次防渗层：</w:t>
      </w:r>
      <w:bookmarkStart w:id="111" w:name="OLE_LINK49"/>
      <w:r w:rsidR="008909BE" w:rsidRPr="008909BE">
        <w:t>1.5mm</w:t>
      </w:r>
      <w:bookmarkEnd w:id="111"/>
      <w:r w:rsidR="008909BE" w:rsidRPr="008909BE">
        <w:t>HDPE</w:t>
      </w:r>
      <w:r w:rsidR="008909BE" w:rsidRPr="008909BE">
        <w:t>膜</w:t>
      </w:r>
      <w:r w:rsidR="008909BE" w:rsidRPr="008909BE">
        <w:t>+5.0mmGCL</w:t>
      </w:r>
      <w:r w:rsidR="008909BE" w:rsidRPr="008909BE">
        <w:t>膨润土垫</w:t>
      </w:r>
      <w:r>
        <w:rPr>
          <w:rFonts w:hint="eastAsia"/>
        </w:rPr>
        <w:t>。</w:t>
      </w:r>
    </w:p>
    <w:p w14:paraId="31FD8661" w14:textId="6E089878" w:rsidR="00606029" w:rsidRDefault="000B3B3E" w:rsidP="000B3B3E">
      <w:pPr>
        <w:pStyle w:val="affffff4"/>
      </w:pPr>
      <w:r>
        <w:rPr>
          <w:rFonts w:hint="eastAsia"/>
        </w:rPr>
        <w:t>保护</w:t>
      </w:r>
      <w:r>
        <w:rPr>
          <w:rFonts w:hint="eastAsia"/>
        </w:rPr>
        <w:t>/</w:t>
      </w:r>
      <w:r>
        <w:rPr>
          <w:rFonts w:hint="eastAsia"/>
        </w:rPr>
        <w:t>反滤层：铺设</w:t>
      </w:r>
      <w:r>
        <w:rPr>
          <w:rFonts w:hint="eastAsia"/>
        </w:rPr>
        <w:t>600g/m</w:t>
      </w:r>
      <w:r>
        <w:rPr>
          <w:rFonts w:hint="eastAsia"/>
        </w:rPr>
        <w:t>²土工布，防止回填土堵塞排水层。</w:t>
      </w:r>
    </w:p>
    <w:p w14:paraId="54FC9178" w14:textId="0C244E6F" w:rsidR="000B3B3E" w:rsidRDefault="000B3B3E" w:rsidP="000B3B3E">
      <w:pPr>
        <w:pStyle w:val="affffff4"/>
      </w:pPr>
      <w:r>
        <w:rPr>
          <w:rFonts w:hint="eastAsia"/>
        </w:rPr>
        <w:t>管道穿墙处：必须设置柔性防水套管（如橡胶止水环）。</w:t>
      </w:r>
    </w:p>
    <w:p w14:paraId="7865856D" w14:textId="77777777" w:rsidR="000B3B3E" w:rsidRDefault="000B3B3E" w:rsidP="000B3B3E">
      <w:pPr>
        <w:pStyle w:val="affffff4"/>
      </w:pPr>
      <w:r>
        <w:rPr>
          <w:rFonts w:hint="eastAsia"/>
        </w:rPr>
        <w:t>HDPE</w:t>
      </w:r>
      <w:r>
        <w:rPr>
          <w:rFonts w:hint="eastAsia"/>
        </w:rPr>
        <w:t>膜与管道之间采用不锈钢抱箍</w:t>
      </w:r>
      <w:r>
        <w:rPr>
          <w:rFonts w:hint="eastAsia"/>
        </w:rPr>
        <w:t>+</w:t>
      </w:r>
      <w:r>
        <w:rPr>
          <w:rFonts w:hint="eastAsia"/>
        </w:rPr>
        <w:t>密封胶紧固，形成“管</w:t>
      </w:r>
      <w:r>
        <w:rPr>
          <w:rFonts w:hint="eastAsia"/>
        </w:rPr>
        <w:t>-</w:t>
      </w:r>
      <w:r>
        <w:rPr>
          <w:rFonts w:hint="eastAsia"/>
        </w:rPr>
        <w:t>膜</w:t>
      </w:r>
      <w:r>
        <w:rPr>
          <w:rFonts w:hint="eastAsia"/>
        </w:rPr>
        <w:t>-</w:t>
      </w:r>
      <w:r>
        <w:rPr>
          <w:rFonts w:hint="eastAsia"/>
        </w:rPr>
        <w:t>套管”的密封体系。</w:t>
      </w:r>
    </w:p>
    <w:p w14:paraId="05A574CE" w14:textId="67E1AA00" w:rsidR="000B3B3E" w:rsidRDefault="000B3B3E" w:rsidP="000B3B3E">
      <w:pPr>
        <w:pStyle w:val="affffff4"/>
      </w:pPr>
      <w:r>
        <w:rPr>
          <w:rFonts w:hint="eastAsia"/>
        </w:rPr>
        <w:t>池壁顶部锚固：防渗膜需延伸至池顶锚固沟内，用混凝土或土体压紧，形成“永久密封”。</w:t>
      </w:r>
    </w:p>
    <w:p w14:paraId="3CAB1FFB" w14:textId="5743AC3F" w:rsidR="000B3B3E" w:rsidRDefault="000B3B3E" w:rsidP="000B3B3E">
      <w:pPr>
        <w:pStyle w:val="affffff4"/>
      </w:pPr>
      <w:r>
        <w:rPr>
          <w:rFonts w:hint="eastAsia"/>
        </w:rPr>
        <w:t>施工缝处理：原混凝土裂缝需用</w:t>
      </w:r>
      <w:bookmarkStart w:id="112" w:name="OLE_LINK46"/>
      <w:r>
        <w:rPr>
          <w:rFonts w:hint="eastAsia"/>
        </w:rPr>
        <w:t>环氧树脂灌浆修补</w:t>
      </w:r>
      <w:bookmarkEnd w:id="112"/>
      <w:r>
        <w:rPr>
          <w:rFonts w:hint="eastAsia"/>
        </w:rPr>
        <w:t>，确保基底无渗漏通道。</w:t>
      </w:r>
    </w:p>
    <w:p w14:paraId="6618F5E0" w14:textId="70D87FC8" w:rsidR="00606029" w:rsidRDefault="00EA5B92">
      <w:pPr>
        <w:pStyle w:val="affffff4"/>
      </w:pPr>
      <w:r>
        <w:t>（</w:t>
      </w:r>
      <w:r>
        <w:t>2</w:t>
      </w:r>
      <w:r>
        <w:t>）渗漏监控方案</w:t>
      </w:r>
    </w:p>
    <w:p w14:paraId="0CC2A806" w14:textId="77777777" w:rsidR="000B3B3E" w:rsidRDefault="000B3B3E" w:rsidP="000B3B3E">
      <w:pPr>
        <w:pStyle w:val="affffff4"/>
      </w:pPr>
      <w:r>
        <w:rPr>
          <w:rFonts w:hint="eastAsia"/>
        </w:rPr>
        <w:t>双层防渗设计：两层</w:t>
      </w:r>
      <w:r>
        <w:rPr>
          <w:rFonts w:hint="eastAsia"/>
        </w:rPr>
        <w:t>HDPE</w:t>
      </w:r>
      <w:r>
        <w:rPr>
          <w:rFonts w:hint="eastAsia"/>
        </w:rPr>
        <w:t>膜之间设有排水</w:t>
      </w:r>
      <w:r>
        <w:rPr>
          <w:rFonts w:hint="eastAsia"/>
        </w:rPr>
        <w:t>/</w:t>
      </w:r>
      <w:r>
        <w:rPr>
          <w:rFonts w:hint="eastAsia"/>
        </w:rPr>
        <w:t>检测层，一旦上层膜破损，渗漏液会被下层膜挡住并被导出，不会进入原调节池结构。</w:t>
      </w:r>
    </w:p>
    <w:p w14:paraId="40B813B3" w14:textId="77777777" w:rsidR="000B3B3E" w:rsidRDefault="000B3B3E" w:rsidP="000B3B3E">
      <w:pPr>
        <w:pStyle w:val="affffff4"/>
      </w:pPr>
      <w:r>
        <w:rPr>
          <w:rFonts w:hint="eastAsia"/>
        </w:rPr>
        <w:t>渗漏检测层：在两层膜之间铺设渗漏检测管，连接至集液井。一旦井内有液体积聚，立即报警并启动应急抽排。</w:t>
      </w:r>
    </w:p>
    <w:p w14:paraId="669D8CE1" w14:textId="6ECCC540" w:rsidR="00606029" w:rsidRDefault="00EA5B92" w:rsidP="000B3B3E">
      <w:pPr>
        <w:pStyle w:val="affffff4"/>
      </w:pPr>
      <w:r>
        <w:t>检漏管穿坝导出后由阀门控制进入污水导排主管，如果污水检漏管有污水导排出来（地下水检漏监控井中有水）就说明第一层防渗膜存在破损点，建设单位需立即做渗透检测和修补，如果井中没有水就说明防渗系统完整。</w:t>
      </w:r>
    </w:p>
    <w:p w14:paraId="45329344" w14:textId="67096137" w:rsidR="00606029" w:rsidRDefault="00606029">
      <w:pPr>
        <w:pStyle w:val="4"/>
      </w:pPr>
      <w:hyperlink r:id="rId45" w:history="1">
        <w:r>
          <w:t>2.2.8.</w:t>
        </w:r>
        <w:r w:rsidR="000E5AC8">
          <w:rPr>
            <w:rFonts w:hint="eastAsia"/>
          </w:rPr>
          <w:t>4</w:t>
        </w:r>
      </w:hyperlink>
      <w:r w:rsidR="00EA5B92">
        <w:t>淋溶水导排处理</w:t>
      </w:r>
    </w:p>
    <w:p w14:paraId="40487763" w14:textId="033396F1" w:rsidR="00606029" w:rsidRDefault="00EA5B92">
      <w:pPr>
        <w:pStyle w:val="affffff4"/>
      </w:pPr>
      <w:r>
        <w:t>淋溶水导排系统由</w:t>
      </w:r>
      <w:r w:rsidR="007A78BC" w:rsidRPr="007A78BC">
        <w:t>库底导排层</w:t>
      </w:r>
      <w:r>
        <w:t>、</w:t>
      </w:r>
      <w:r w:rsidR="007A78BC" w:rsidRPr="007A78BC">
        <w:t>管道收集系统</w:t>
      </w:r>
      <w:r w:rsidR="007A78BC">
        <w:rPr>
          <w:rFonts w:hint="eastAsia"/>
        </w:rPr>
        <w:t>、</w:t>
      </w:r>
      <w:r w:rsidR="007A78BC" w:rsidRPr="007A78BC">
        <w:t>防渗与保护系统</w:t>
      </w:r>
      <w:r>
        <w:t>水等共同组成。</w:t>
      </w:r>
    </w:p>
    <w:p w14:paraId="4B7E6D3E" w14:textId="6DF17567" w:rsidR="007A78BC" w:rsidRDefault="007A78BC" w:rsidP="007A78BC">
      <w:pPr>
        <w:pStyle w:val="affffff4"/>
      </w:pPr>
      <w:r>
        <w:rPr>
          <w:rFonts w:hint="eastAsia"/>
        </w:rPr>
        <w:t>1.</w:t>
      </w:r>
      <w:r>
        <w:rPr>
          <w:rFonts w:hint="eastAsia"/>
        </w:rPr>
        <w:t>库底导排层</w:t>
      </w:r>
    </w:p>
    <w:p w14:paraId="16AC45A5" w14:textId="71C1DB0F" w:rsidR="007A78BC" w:rsidRDefault="007A78BC" w:rsidP="007A78BC">
      <w:pPr>
        <w:pStyle w:val="affffff4"/>
      </w:pPr>
      <w:r>
        <w:rPr>
          <w:rFonts w:hint="eastAsia"/>
        </w:rPr>
        <w:t>让积聚在池底的液体能够流动并被收集，而不是直接浸泡在底部。在池底混凝土基础上，铺设一层碎石（砾石）排水层，起到支撑上部飞灰、防止淤堵和导流的作用。在碎石层上方铺设土工布，防止飞灰颗粒进入碎石缝隙造成堵塞。</w:t>
      </w:r>
    </w:p>
    <w:p w14:paraId="69F8932C" w14:textId="6331D964" w:rsidR="007A78BC" w:rsidRDefault="007A78BC" w:rsidP="007A78BC">
      <w:pPr>
        <w:pStyle w:val="affffff4"/>
      </w:pPr>
      <w:r>
        <w:rPr>
          <w:rFonts w:hint="eastAsia"/>
        </w:rPr>
        <w:t>2.</w:t>
      </w:r>
      <w:r>
        <w:rPr>
          <w:rFonts w:hint="eastAsia"/>
        </w:rPr>
        <w:t>管道收集系统</w:t>
      </w:r>
    </w:p>
    <w:p w14:paraId="55F9A8A6" w14:textId="7A14AA74" w:rsidR="007A78BC" w:rsidRDefault="007A78BC" w:rsidP="007A78BC">
      <w:pPr>
        <w:pStyle w:val="affffff4"/>
      </w:pPr>
      <w:r>
        <w:rPr>
          <w:rFonts w:hint="eastAsia"/>
        </w:rPr>
        <w:t>负责将分散的淋溶水汇集并排出，在碎石排水层中铺设</w:t>
      </w:r>
      <w:r>
        <w:rPr>
          <w:rFonts w:hint="eastAsia"/>
        </w:rPr>
        <w:t>HDPE</w:t>
      </w:r>
      <w:r>
        <w:rPr>
          <w:rFonts w:hint="eastAsia"/>
        </w:rPr>
        <w:t>穿孔收集管，管道通常呈主次沟形式布置，主管道连接至集水井。管道需铺设在池底的最低处，确保坡度利于排水，防止积水。利用原调节池的集水井作为</w:t>
      </w:r>
      <w:r w:rsidR="005D276D">
        <w:rPr>
          <w:rFonts w:hint="eastAsia"/>
        </w:rPr>
        <w:t>淋溶水</w:t>
      </w:r>
      <w:r>
        <w:rPr>
          <w:rFonts w:hint="eastAsia"/>
        </w:rPr>
        <w:t>收集井</w:t>
      </w:r>
      <w:r w:rsidR="005D276D">
        <w:rPr>
          <w:rFonts w:hint="eastAsia"/>
        </w:rPr>
        <w:t>，</w:t>
      </w:r>
      <w:r>
        <w:rPr>
          <w:rFonts w:hint="eastAsia"/>
        </w:rPr>
        <w:t>井内安装耐腐蚀提升泵，将收集到的淋溶水</w:t>
      </w:r>
      <w:r w:rsidR="005D276D">
        <w:rPr>
          <w:rFonts w:hint="eastAsia"/>
        </w:rPr>
        <w:t>提升</w:t>
      </w:r>
      <w:r>
        <w:rPr>
          <w:rFonts w:hint="eastAsia"/>
        </w:rPr>
        <w:t>至处理设施。</w:t>
      </w:r>
    </w:p>
    <w:p w14:paraId="65C7DE51" w14:textId="0A6DBD9A" w:rsidR="007A78BC" w:rsidRDefault="007A78BC" w:rsidP="007A78BC">
      <w:pPr>
        <w:pStyle w:val="affffff4"/>
      </w:pPr>
      <w:r>
        <w:rPr>
          <w:rFonts w:hint="eastAsia"/>
        </w:rPr>
        <w:t>3.</w:t>
      </w:r>
      <w:r>
        <w:rPr>
          <w:rFonts w:hint="eastAsia"/>
        </w:rPr>
        <w:t>防渗与保护系统</w:t>
      </w:r>
    </w:p>
    <w:p w14:paraId="7E199AA0" w14:textId="6806A5C0" w:rsidR="00606029" w:rsidRDefault="007A78BC" w:rsidP="007A78BC">
      <w:pPr>
        <w:pStyle w:val="affffff4"/>
      </w:pPr>
      <w:r>
        <w:rPr>
          <w:rFonts w:hint="eastAsia"/>
        </w:rPr>
        <w:t>在原混凝土池底和池壁上，必须铺设人工防渗衬垫系统</w:t>
      </w:r>
      <w:r w:rsidR="005D276D">
        <w:rPr>
          <w:rFonts w:hint="eastAsia"/>
        </w:rPr>
        <w:t>，</w:t>
      </w:r>
      <w:r>
        <w:rPr>
          <w:rFonts w:hint="eastAsia"/>
        </w:rPr>
        <w:t>采用“</w:t>
      </w:r>
      <w:r>
        <w:rPr>
          <w:rFonts w:hint="eastAsia"/>
        </w:rPr>
        <w:t>HDPE</w:t>
      </w:r>
      <w:r>
        <w:rPr>
          <w:rFonts w:hint="eastAsia"/>
        </w:rPr>
        <w:t>膜</w:t>
      </w:r>
      <w:r>
        <w:rPr>
          <w:rFonts w:hint="eastAsia"/>
        </w:rPr>
        <w:t>+</w:t>
      </w:r>
      <w:r>
        <w:rPr>
          <w:rFonts w:hint="eastAsia"/>
        </w:rPr>
        <w:t>保护层”的结构。特别要注意管</w:t>
      </w:r>
      <w:bookmarkStart w:id="113" w:name="OLE_LINK18"/>
      <w:r>
        <w:rPr>
          <w:rFonts w:hint="eastAsia"/>
        </w:rPr>
        <w:t>道穿墙处、池壁转角处</w:t>
      </w:r>
      <w:bookmarkEnd w:id="113"/>
      <w:r w:rsidR="00C05F98">
        <w:rPr>
          <w:rFonts w:hint="eastAsia"/>
        </w:rPr>
        <w:t>最容易发生渗漏的薄弱环节</w:t>
      </w:r>
      <w:r>
        <w:rPr>
          <w:rFonts w:hint="eastAsia"/>
        </w:rPr>
        <w:t>的防渗</w:t>
      </w:r>
      <w:r>
        <w:rPr>
          <w:rFonts w:hint="eastAsia"/>
        </w:rPr>
        <w:lastRenderedPageBreak/>
        <w:t>密封处理，必须进行特殊的锚固和加强处理。</w:t>
      </w:r>
    </w:p>
    <w:p w14:paraId="374DEC54" w14:textId="2B58D877" w:rsidR="00606029" w:rsidRDefault="00606029">
      <w:pPr>
        <w:pStyle w:val="4"/>
      </w:pPr>
      <w:hyperlink r:id="rId46" w:history="1">
        <w:r>
          <w:t>2.2.8.</w:t>
        </w:r>
        <w:r w:rsidR="006336C8">
          <w:rPr>
            <w:rFonts w:hint="eastAsia"/>
          </w:rPr>
          <w:t>5</w:t>
        </w:r>
      </w:hyperlink>
      <w:r w:rsidR="00EA5B92">
        <w:t>地下水导排系统</w:t>
      </w:r>
    </w:p>
    <w:p w14:paraId="51CF1AEB" w14:textId="01F50E14" w:rsidR="00C05F98" w:rsidRDefault="00C05F98" w:rsidP="00C05F98">
      <w:pPr>
        <w:pStyle w:val="affffff4"/>
      </w:pPr>
      <w:r>
        <w:rPr>
          <w:rFonts w:hint="eastAsia"/>
        </w:rPr>
        <w:t>地下水导排系统的主要包括</w:t>
      </w:r>
      <w:r w:rsidRPr="00C05F98">
        <w:t>导排层</w:t>
      </w:r>
      <w:r>
        <w:rPr>
          <w:rFonts w:hint="eastAsia"/>
        </w:rPr>
        <w:t>、</w:t>
      </w:r>
      <w:r w:rsidRPr="00C05F98">
        <w:t>穿孔收集管</w:t>
      </w:r>
      <w:r>
        <w:rPr>
          <w:rFonts w:hint="eastAsia"/>
        </w:rPr>
        <w:t>、</w:t>
      </w:r>
      <w:r w:rsidRPr="00C05F98">
        <w:t>集水与引出系统</w:t>
      </w:r>
      <w:r>
        <w:rPr>
          <w:rFonts w:hint="eastAsia"/>
        </w:rPr>
        <w:t>等。</w:t>
      </w:r>
    </w:p>
    <w:p w14:paraId="5C7B155A" w14:textId="2F0F827B" w:rsidR="00C05F98" w:rsidRDefault="00C05F98" w:rsidP="00C05F98">
      <w:pPr>
        <w:pStyle w:val="affffff4"/>
      </w:pPr>
      <w:r>
        <w:rPr>
          <w:rFonts w:hint="eastAsia"/>
        </w:rPr>
        <w:t>1.</w:t>
      </w:r>
      <w:r>
        <w:rPr>
          <w:rFonts w:hint="eastAsia"/>
        </w:rPr>
        <w:t>导排层</w:t>
      </w:r>
    </w:p>
    <w:p w14:paraId="636D1CEE" w14:textId="6211A365" w:rsidR="00C05F98" w:rsidRDefault="00C05F98" w:rsidP="00C05F98">
      <w:pPr>
        <w:pStyle w:val="affffff4"/>
      </w:pPr>
      <w:r>
        <w:rPr>
          <w:rFonts w:hint="eastAsia"/>
        </w:rPr>
        <w:t>由于原调节池是钢筋混凝土结构，本身不透水，因此不需要像天然土层那样铺设碎石导排层来防止地下水位上升。在清理干净的原池底和池壁上，首先铺设一层长丝无纺土工布（要求</w:t>
      </w:r>
      <w:r>
        <w:rPr>
          <w:rFonts w:hint="eastAsia"/>
        </w:rPr>
        <w:t>600g/m</w:t>
      </w:r>
      <w:r>
        <w:rPr>
          <w:rFonts w:hint="eastAsia"/>
        </w:rPr>
        <w:t>²以上），防止后续铺设的防渗膜或上部填埋物刺破混凝土基础，如果防渗层出现微量渗漏，土工布与混凝土之间的微小间隙可以作为渗漏液的横向导排通道，流向集水点。</w:t>
      </w:r>
    </w:p>
    <w:p w14:paraId="6BFBD264" w14:textId="010D71BE" w:rsidR="00C05F98" w:rsidRDefault="00C05F98" w:rsidP="00C05F98">
      <w:pPr>
        <w:pStyle w:val="affffff4"/>
      </w:pPr>
      <w:r>
        <w:rPr>
          <w:rFonts w:hint="eastAsia"/>
        </w:rPr>
        <w:t>2.</w:t>
      </w:r>
      <w:r>
        <w:rPr>
          <w:rFonts w:hint="eastAsia"/>
        </w:rPr>
        <w:t>穿孔收集管</w:t>
      </w:r>
    </w:p>
    <w:p w14:paraId="2B036B59" w14:textId="1F9458A3" w:rsidR="00C05F98" w:rsidRDefault="00C05F98" w:rsidP="00C05F98">
      <w:pPr>
        <w:pStyle w:val="affffff4"/>
      </w:pPr>
      <w:r>
        <w:rPr>
          <w:rFonts w:hint="eastAsia"/>
        </w:rPr>
        <w:t>作为地下水导排系统的收集单元，管材采用</w:t>
      </w:r>
      <w:r>
        <w:rPr>
          <w:rFonts w:hint="eastAsia"/>
        </w:rPr>
        <w:t>HDPE</w:t>
      </w:r>
      <w:r>
        <w:rPr>
          <w:rFonts w:hint="eastAsia"/>
        </w:rPr>
        <w:t>穿孔管，管径根据汇水面积计算确定（一般不小于</w:t>
      </w:r>
      <w:r>
        <w:rPr>
          <w:rFonts w:hint="eastAsia"/>
        </w:rPr>
        <w:t>DN100</w:t>
      </w:r>
      <w:r>
        <w:rPr>
          <w:rFonts w:hint="eastAsia"/>
        </w:rPr>
        <w:t>），铺设在池底的土工布之上，沿着池底的最低处或集水井方向呈线性或网格状布置，收集可能从防渗层渗漏下来的极微量液体，并通过重力或负压将其引出。</w:t>
      </w:r>
    </w:p>
    <w:p w14:paraId="3D39F2EC" w14:textId="7BD13D51" w:rsidR="00C05F98" w:rsidRDefault="00C05F98" w:rsidP="00C05F98">
      <w:pPr>
        <w:pStyle w:val="affffff4"/>
      </w:pPr>
      <w:r>
        <w:rPr>
          <w:rFonts w:hint="eastAsia"/>
        </w:rPr>
        <w:t>3.</w:t>
      </w:r>
      <w:bookmarkStart w:id="114" w:name="OLE_LINK19"/>
      <w:r>
        <w:rPr>
          <w:rFonts w:hint="eastAsia"/>
        </w:rPr>
        <w:t>集水与引出系统</w:t>
      </w:r>
      <w:bookmarkEnd w:id="114"/>
    </w:p>
    <w:p w14:paraId="72D6E321" w14:textId="64430B0C" w:rsidR="00606029" w:rsidRDefault="00C05F98" w:rsidP="00C05F98">
      <w:pPr>
        <w:pStyle w:val="affffff4"/>
      </w:pPr>
      <w:r>
        <w:rPr>
          <w:rFonts w:hint="eastAsia"/>
        </w:rPr>
        <w:t>集水井利用原调节池角落的集水井，将穿孔管汇集到集水井，再通过</w:t>
      </w:r>
      <w:r>
        <w:rPr>
          <w:rFonts w:hint="eastAsia"/>
        </w:rPr>
        <w:t>HDPE</w:t>
      </w:r>
      <w:r>
        <w:rPr>
          <w:rFonts w:hint="eastAsia"/>
        </w:rPr>
        <w:t>引出管将水导出池外。引出的水接入渗滤液调节池</w:t>
      </w:r>
      <w:r w:rsidR="005D276D">
        <w:rPr>
          <w:rFonts w:hint="eastAsia"/>
        </w:rPr>
        <w:t>，</w:t>
      </w:r>
      <w:r>
        <w:rPr>
          <w:rFonts w:hint="eastAsia"/>
        </w:rPr>
        <w:t>并安装液位计和取样阀</w:t>
      </w:r>
      <w:r w:rsidR="005D276D">
        <w:rPr>
          <w:rFonts w:hint="eastAsia"/>
        </w:rPr>
        <w:t>，</w:t>
      </w:r>
      <w:r>
        <w:rPr>
          <w:rFonts w:hint="eastAsia"/>
        </w:rPr>
        <w:t>监测到集水井水位异常升高或水质异常（检出污染物），说明防渗层可能破损，需立即启动应急预案。</w:t>
      </w:r>
    </w:p>
    <w:p w14:paraId="38D45B7B" w14:textId="3AF57CB4" w:rsidR="00606029" w:rsidRDefault="00606029">
      <w:pPr>
        <w:pStyle w:val="4"/>
      </w:pPr>
      <w:hyperlink r:id="rId47" w:history="1">
        <w:r>
          <w:t>2.2.8.7</w:t>
        </w:r>
      </w:hyperlink>
      <w:bookmarkStart w:id="115" w:name="OLE_LINK20"/>
      <w:r w:rsidR="00EA5B92">
        <w:t>雨水导排</w:t>
      </w:r>
      <w:bookmarkEnd w:id="115"/>
      <w:r w:rsidR="00EA5B92">
        <w:t>系统</w:t>
      </w:r>
    </w:p>
    <w:p w14:paraId="1E038FEB" w14:textId="431C0DCE" w:rsidR="00C05F98" w:rsidRDefault="00FD4EFC" w:rsidP="00FD4EFC">
      <w:pPr>
        <w:pStyle w:val="affffff4"/>
      </w:pPr>
      <w:r w:rsidRPr="00FD4EFC">
        <w:t>雨水导排</w:t>
      </w:r>
      <w:r w:rsidR="00EA5B92">
        <w:t>系统的作用是在填埋场使用过程中和</w:t>
      </w:r>
      <w:r w:rsidR="00C268BF">
        <w:rPr>
          <w:rFonts w:hint="eastAsia"/>
        </w:rPr>
        <w:t>封场</w:t>
      </w:r>
      <w:r w:rsidR="00EA5B92">
        <w:t>后，将降落在填埋场汇水面积范围以内的大气降水安全排出场外，</w:t>
      </w:r>
      <w:r>
        <w:rPr>
          <w:rFonts w:hint="eastAsia"/>
        </w:rPr>
        <w:t>场区雨</w:t>
      </w:r>
      <w:r w:rsidR="00EA5B92">
        <w:t>污分流，避免雨水被污染，减少污水的产生量</w:t>
      </w:r>
      <w:r>
        <w:rPr>
          <w:rFonts w:hint="eastAsia"/>
        </w:rPr>
        <w:t>，</w:t>
      </w:r>
      <w:r w:rsidR="00C05F98">
        <w:rPr>
          <w:rFonts w:hint="eastAsia"/>
        </w:rPr>
        <w:t>主要</w:t>
      </w:r>
      <w:r>
        <w:rPr>
          <w:rFonts w:hint="eastAsia"/>
        </w:rPr>
        <w:t>包括</w:t>
      </w:r>
      <w:r w:rsidR="00C05F98">
        <w:rPr>
          <w:rFonts w:hint="eastAsia"/>
        </w:rPr>
        <w:t>场外拦截和场内导流两部分。</w:t>
      </w:r>
    </w:p>
    <w:p w14:paraId="09B4F06F" w14:textId="252A4E94" w:rsidR="00C05F98" w:rsidRDefault="00C05F98" w:rsidP="00FD4EFC">
      <w:pPr>
        <w:pStyle w:val="affffff4"/>
      </w:pPr>
      <w:r>
        <w:rPr>
          <w:rFonts w:hint="eastAsia"/>
        </w:rPr>
        <w:t>1.</w:t>
      </w:r>
      <w:r>
        <w:rPr>
          <w:rFonts w:hint="eastAsia"/>
        </w:rPr>
        <w:t>场外雨水拦截系统</w:t>
      </w:r>
    </w:p>
    <w:p w14:paraId="208DED97" w14:textId="4D37D245" w:rsidR="00C05F98" w:rsidRDefault="00C05F98" w:rsidP="00FD4EFC">
      <w:pPr>
        <w:pStyle w:val="affffff4"/>
      </w:pPr>
      <w:r>
        <w:rPr>
          <w:rFonts w:hint="eastAsia"/>
        </w:rPr>
        <w:t>为了防止填埋场区域以外的雨水流入填埋作业区</w:t>
      </w:r>
      <w:r w:rsidR="00FD4EFC">
        <w:rPr>
          <w:rFonts w:hint="eastAsia"/>
        </w:rPr>
        <w:t>，在填埋场周边设置</w:t>
      </w:r>
      <w:r>
        <w:rPr>
          <w:rFonts w:hint="eastAsia"/>
        </w:rPr>
        <w:t>截洪沟</w:t>
      </w:r>
      <w:r w:rsidR="00FD4EFC">
        <w:rPr>
          <w:rFonts w:hint="eastAsia"/>
        </w:rPr>
        <w:t>，</w:t>
      </w:r>
      <w:r>
        <w:rPr>
          <w:rFonts w:hint="eastAsia"/>
        </w:rPr>
        <w:t>结构采用混凝土浇筑或浆砌块石砌筑，形成一个沟渠</w:t>
      </w:r>
      <w:r w:rsidR="00FD4EFC">
        <w:rPr>
          <w:rFonts w:hint="eastAsia"/>
        </w:rPr>
        <w:t>，</w:t>
      </w:r>
      <w:r>
        <w:rPr>
          <w:rFonts w:hint="eastAsia"/>
        </w:rPr>
        <w:t>收集周边</w:t>
      </w:r>
      <w:r w:rsidR="00DB337F">
        <w:rPr>
          <w:rFonts w:hint="eastAsia"/>
        </w:rPr>
        <w:t>及</w:t>
      </w:r>
      <w:r>
        <w:rPr>
          <w:rFonts w:hint="eastAsia"/>
        </w:rPr>
        <w:t>路面流下来的雨水，通过管道直接排入下游自然水系，严禁</w:t>
      </w:r>
      <w:r w:rsidR="00FD4EFC" w:rsidRPr="00FD4EFC">
        <w:t>场外雨水</w:t>
      </w:r>
      <w:r>
        <w:rPr>
          <w:rFonts w:hint="eastAsia"/>
        </w:rPr>
        <w:t>进入填埋库区。</w:t>
      </w:r>
    </w:p>
    <w:p w14:paraId="7FE078F1" w14:textId="63155669" w:rsidR="00C05F98" w:rsidRDefault="00C05F98" w:rsidP="00FD4EFC">
      <w:pPr>
        <w:pStyle w:val="affffff4"/>
      </w:pPr>
      <w:r>
        <w:rPr>
          <w:rFonts w:hint="eastAsia"/>
        </w:rPr>
        <w:t>2.</w:t>
      </w:r>
      <w:r>
        <w:rPr>
          <w:rFonts w:hint="eastAsia"/>
        </w:rPr>
        <w:t>场内雨水导排系统</w:t>
      </w:r>
    </w:p>
    <w:p w14:paraId="1B7A565E" w14:textId="16A4EC6B" w:rsidR="00C05F98" w:rsidRDefault="00FD4EFC" w:rsidP="00FD4EFC">
      <w:pPr>
        <w:pStyle w:val="affffff4"/>
      </w:pPr>
      <w:r w:rsidRPr="00FD4EFC">
        <w:t>在填埋库区的底部边缘或低洼处设置碎石盲沟，内部埋设穿孔管，用于收集汇流下来的雨水</w:t>
      </w:r>
      <w:r>
        <w:rPr>
          <w:rFonts w:hint="eastAsia"/>
        </w:rPr>
        <w:t>，</w:t>
      </w:r>
      <w:r w:rsidR="00C05F98">
        <w:rPr>
          <w:rFonts w:hint="eastAsia"/>
        </w:rPr>
        <w:t>在非作业区域或雨季，飞灰堆体表面必须使用</w:t>
      </w:r>
      <w:r w:rsidR="00C05F98">
        <w:rPr>
          <w:rFonts w:hint="eastAsia"/>
        </w:rPr>
        <w:t>HDPE</w:t>
      </w:r>
      <w:r w:rsidR="00C05F98">
        <w:rPr>
          <w:rFonts w:hint="eastAsia"/>
        </w:rPr>
        <w:t>膜或专用土工布进</w:t>
      </w:r>
      <w:r w:rsidR="00C05F98">
        <w:rPr>
          <w:rFonts w:hint="eastAsia"/>
        </w:rPr>
        <w:lastRenderedPageBreak/>
        <w:t>行日覆盖防止雨水直接淋入飞灰中</w:t>
      </w:r>
      <w:r>
        <w:rPr>
          <w:rFonts w:hint="eastAsia"/>
        </w:rPr>
        <w:t>；</w:t>
      </w:r>
      <w:r w:rsidR="00C05F98">
        <w:rPr>
          <w:rFonts w:hint="eastAsia"/>
        </w:rPr>
        <w:t>填埋作业时，堆体表面应修整成一定的坡度（通常不小于</w:t>
      </w:r>
      <w:r w:rsidR="00C05F98">
        <w:rPr>
          <w:rFonts w:hint="eastAsia"/>
        </w:rPr>
        <w:t>2%</w:t>
      </w:r>
      <w:r w:rsidR="00C05F98">
        <w:rPr>
          <w:rFonts w:hint="eastAsia"/>
        </w:rPr>
        <w:t>），确保落在表面的雨水能顺着坡度流向盲沟或集水井，而不是积聚在坑洼处。利用原调节池的集水井，将收集到的雨水汇集起来。</w:t>
      </w:r>
    </w:p>
    <w:p w14:paraId="3F5021B3" w14:textId="44A0E165" w:rsidR="00C05F98" w:rsidRDefault="00C05F98" w:rsidP="00FD4EFC">
      <w:pPr>
        <w:pStyle w:val="affffff4"/>
      </w:pPr>
      <w:r>
        <w:rPr>
          <w:rFonts w:hint="eastAsia"/>
        </w:rPr>
        <w:t>3.</w:t>
      </w:r>
      <w:r>
        <w:rPr>
          <w:rFonts w:hint="eastAsia"/>
        </w:rPr>
        <w:t>雨水提升与排放系统</w:t>
      </w:r>
    </w:p>
    <w:p w14:paraId="3C674D41" w14:textId="4ACED9CD" w:rsidR="00606029" w:rsidRDefault="00C05F98" w:rsidP="00C05F98">
      <w:pPr>
        <w:pStyle w:val="affffff4"/>
      </w:pPr>
      <w:r>
        <w:rPr>
          <w:rFonts w:hint="eastAsia"/>
        </w:rPr>
        <w:t>水导排系统必须与渗滤液导排系统完全分开</w:t>
      </w:r>
      <w:r w:rsidR="00FD4EFC">
        <w:rPr>
          <w:rFonts w:hint="eastAsia"/>
        </w:rPr>
        <w:t>，</w:t>
      </w:r>
      <w:r>
        <w:rPr>
          <w:rFonts w:hint="eastAsia"/>
        </w:rPr>
        <w:t>在集水井内安装雨水提升泵，将收集到的雨水抽升至场外的雨水排放口</w:t>
      </w:r>
      <w:r w:rsidR="00FD4EFC">
        <w:rPr>
          <w:rFonts w:hint="eastAsia"/>
        </w:rPr>
        <w:t>。</w:t>
      </w:r>
      <w:r>
        <w:rPr>
          <w:rFonts w:hint="eastAsia"/>
        </w:rPr>
        <w:t>由于雨水未与飞灰直接接触，</w:t>
      </w:r>
      <w:r w:rsidR="00FD4EFC">
        <w:rPr>
          <w:rFonts w:hint="eastAsia"/>
        </w:rPr>
        <w:t>经雨水排口</w:t>
      </w:r>
      <w:r>
        <w:rPr>
          <w:rFonts w:hint="eastAsia"/>
        </w:rPr>
        <w:t>直接排放。</w:t>
      </w:r>
    </w:p>
    <w:p w14:paraId="620B836A" w14:textId="6777DE50" w:rsidR="00606029" w:rsidRDefault="00606029">
      <w:pPr>
        <w:pStyle w:val="4"/>
      </w:pPr>
      <w:hyperlink r:id="rId48" w:history="1">
        <w:r>
          <w:t>2.2.8.8</w:t>
        </w:r>
      </w:hyperlink>
      <w:r w:rsidR="00EA5B92">
        <w:t>封场覆盖及维护计划</w:t>
      </w:r>
    </w:p>
    <w:p w14:paraId="75CF901B" w14:textId="29BCDAC7" w:rsidR="0018614F" w:rsidRDefault="0018614F" w:rsidP="0018614F">
      <w:pPr>
        <w:pStyle w:val="affffff4"/>
      </w:pPr>
      <w:r>
        <w:rPr>
          <w:rFonts w:hint="eastAsia"/>
        </w:rPr>
        <w:t>封场工程不仅仅是“盖盖子”，而是一个系统性的生态隔离工程。根据《生活垃圾卫生填埋场封场技术规范》（</w:t>
      </w:r>
      <w:r>
        <w:rPr>
          <w:rFonts w:hint="eastAsia"/>
        </w:rPr>
        <w:t>GB51220-2017</w:t>
      </w:r>
      <w:r>
        <w:rPr>
          <w:rFonts w:hint="eastAsia"/>
        </w:rPr>
        <w:t>）及飞灰填埋的特殊要求，封场工程包括基础层、封场覆盖系统及配套系统</w:t>
      </w:r>
      <w:r w:rsidR="00DB337F">
        <w:rPr>
          <w:rFonts w:hint="eastAsia"/>
        </w:rPr>
        <w:t>。</w:t>
      </w:r>
    </w:p>
    <w:p w14:paraId="36D843A9" w14:textId="60EE8F83" w:rsidR="0018614F" w:rsidRDefault="003370B0" w:rsidP="0018614F">
      <w:pPr>
        <w:pStyle w:val="affffff4"/>
      </w:pPr>
      <w:r>
        <w:rPr>
          <w:rFonts w:hint="eastAsia"/>
        </w:rPr>
        <w:t>（</w:t>
      </w:r>
      <w:r>
        <w:rPr>
          <w:rFonts w:hint="eastAsia"/>
        </w:rPr>
        <w:t>1</w:t>
      </w:r>
      <w:r>
        <w:rPr>
          <w:rFonts w:hint="eastAsia"/>
        </w:rPr>
        <w:t>）</w:t>
      </w:r>
      <w:r w:rsidR="0018614F">
        <w:rPr>
          <w:rFonts w:hint="eastAsia"/>
        </w:rPr>
        <w:t>基础层</w:t>
      </w:r>
    </w:p>
    <w:p w14:paraId="176D618B" w14:textId="00A9E64C" w:rsidR="0018614F" w:rsidRDefault="0018614F" w:rsidP="0018614F">
      <w:pPr>
        <w:pStyle w:val="affffff4"/>
      </w:pPr>
      <w:r>
        <w:rPr>
          <w:rFonts w:hint="eastAsia"/>
        </w:rPr>
        <w:t>在封场施工前，必须对池内的飞灰堆体进行最终处理，将池内的飞灰按照一定坡度（通常不小于</w:t>
      </w:r>
      <w:r>
        <w:rPr>
          <w:rFonts w:hint="eastAsia"/>
        </w:rPr>
        <w:t>2%</w:t>
      </w:r>
      <w:r>
        <w:rPr>
          <w:rFonts w:hint="eastAsia"/>
        </w:rPr>
        <w:t>）进行修整，形成中间高、四周低的“馒头状”或阶梯状坡面。这主要是为了利于雨水导流，防止积水。</w:t>
      </w:r>
      <w:r w:rsidR="00F005DA">
        <w:rPr>
          <w:rFonts w:hint="eastAsia"/>
        </w:rPr>
        <w:t>并</w:t>
      </w:r>
      <w:r>
        <w:rPr>
          <w:rFonts w:hint="eastAsia"/>
        </w:rPr>
        <w:t>对飞灰进行最终碾压，确保堆体稳定，防止后期沉降导致防渗层破损。</w:t>
      </w:r>
    </w:p>
    <w:p w14:paraId="5A43D7A1" w14:textId="4AC6CD72" w:rsidR="0018614F" w:rsidRDefault="003370B0" w:rsidP="0018614F">
      <w:pPr>
        <w:pStyle w:val="affffff4"/>
      </w:pPr>
      <w:r>
        <w:rPr>
          <w:rFonts w:hint="eastAsia"/>
        </w:rPr>
        <w:t>（</w:t>
      </w:r>
      <w:r>
        <w:rPr>
          <w:rFonts w:hint="eastAsia"/>
        </w:rPr>
        <w:t>2</w:t>
      </w:r>
      <w:r>
        <w:rPr>
          <w:rFonts w:hint="eastAsia"/>
        </w:rPr>
        <w:t>）</w:t>
      </w:r>
      <w:r w:rsidR="0018614F">
        <w:rPr>
          <w:rFonts w:hint="eastAsia"/>
        </w:rPr>
        <w:t>封场覆盖系统</w:t>
      </w:r>
    </w:p>
    <w:p w14:paraId="184BED4C" w14:textId="14FD7070" w:rsidR="0018614F" w:rsidRDefault="0018614F" w:rsidP="0018614F">
      <w:pPr>
        <w:pStyle w:val="affffff4"/>
      </w:pPr>
      <w:r>
        <w:rPr>
          <w:rFonts w:hint="eastAsia"/>
        </w:rPr>
        <w:t>封场工程的目的是阻隔雨水、防止扬尘，对于飞灰填埋场，采用高标准的复合覆盖系统：防渗层为</w:t>
      </w:r>
      <w:r>
        <w:rPr>
          <w:rFonts w:hint="eastAsia"/>
        </w:rPr>
        <w:t>HDPE</w:t>
      </w:r>
      <w:r>
        <w:rPr>
          <w:rFonts w:hint="eastAsia"/>
        </w:rPr>
        <w:t>土工膜</w:t>
      </w:r>
      <w:r>
        <w:rPr>
          <w:rFonts w:hint="eastAsia"/>
        </w:rPr>
        <w:t>+GCL</w:t>
      </w:r>
      <w:r>
        <w:rPr>
          <w:rFonts w:hint="eastAsia"/>
        </w:rPr>
        <w:t>膨润土垫</w:t>
      </w:r>
      <w:r>
        <w:rPr>
          <w:rFonts w:hint="eastAsia"/>
        </w:rPr>
        <w:tab/>
      </w:r>
      <w:r>
        <w:rPr>
          <w:rFonts w:hint="eastAsia"/>
        </w:rPr>
        <w:t>，采用</w:t>
      </w:r>
      <w:r>
        <w:rPr>
          <w:rFonts w:hint="eastAsia"/>
        </w:rPr>
        <w:t>2.0mm</w:t>
      </w:r>
      <w:r>
        <w:rPr>
          <w:rFonts w:hint="eastAsia"/>
        </w:rPr>
        <w:t>厚的</w:t>
      </w:r>
      <w:r>
        <w:rPr>
          <w:rFonts w:hint="eastAsia"/>
        </w:rPr>
        <w:t>HDPE</w:t>
      </w:r>
      <w:r>
        <w:rPr>
          <w:rFonts w:hint="eastAsia"/>
        </w:rPr>
        <w:t>膜，配合膨润土垫，防止雨水下渗淋溶飞灰；保护层为土工布</w:t>
      </w:r>
      <w:r>
        <w:rPr>
          <w:rFonts w:hint="eastAsia"/>
        </w:rPr>
        <w:t>+</w:t>
      </w:r>
      <w:r>
        <w:rPr>
          <w:rFonts w:hint="eastAsia"/>
        </w:rPr>
        <w:t>粘土</w:t>
      </w:r>
      <w:r>
        <w:rPr>
          <w:rFonts w:hint="eastAsia"/>
        </w:rPr>
        <w:t>/</w:t>
      </w:r>
      <w:r>
        <w:rPr>
          <w:rFonts w:hint="eastAsia"/>
        </w:rPr>
        <w:t>砂保护防渗膜不被上层植物根系或石块刺破，粘土层厚度需满足植物生长需求；植被层为种植土</w:t>
      </w:r>
      <w:r>
        <w:rPr>
          <w:rFonts w:hint="eastAsia"/>
        </w:rPr>
        <w:t>+</w:t>
      </w:r>
      <w:r>
        <w:rPr>
          <w:rFonts w:hint="eastAsia"/>
        </w:rPr>
        <w:t>草皮，恢复生态景观，防止水土流失。</w:t>
      </w:r>
    </w:p>
    <w:p w14:paraId="33DB3063" w14:textId="66D6082E" w:rsidR="0018614F" w:rsidRDefault="003370B0" w:rsidP="0018614F">
      <w:pPr>
        <w:pStyle w:val="affffff4"/>
      </w:pPr>
      <w:bookmarkStart w:id="116" w:name="OLE_LINK21"/>
      <w:r>
        <w:rPr>
          <w:rFonts w:hint="eastAsia"/>
        </w:rPr>
        <w:t>（</w:t>
      </w:r>
      <w:r>
        <w:rPr>
          <w:rFonts w:hint="eastAsia"/>
        </w:rPr>
        <w:t>3</w:t>
      </w:r>
      <w:r>
        <w:rPr>
          <w:rFonts w:hint="eastAsia"/>
        </w:rPr>
        <w:t>）配套工程系统</w:t>
      </w:r>
      <w:bookmarkEnd w:id="116"/>
    </w:p>
    <w:p w14:paraId="6A0E82F0" w14:textId="725F1916" w:rsidR="00606029" w:rsidRDefault="0018614F" w:rsidP="0018614F">
      <w:pPr>
        <w:pStyle w:val="affffff4"/>
      </w:pPr>
      <w:r>
        <w:rPr>
          <w:rFonts w:hint="eastAsia"/>
        </w:rPr>
        <w:t>封场不仅仅是盖土，必须同步建设以下系统以确保长期安全，在封场后的坡面上，按照设计间距修建截水沟，收集封场后落在堆体表面的雨水，通过急流槽引出，防止雨水冲刷覆盖层。保留或增设垂直导排井，穿透覆盖层，将内部积存的液体或气体导出至处理设施，防止内部压力过大顶破覆盖层。在调节池周边（上下游）设置监测井，定期检测地下水水质，确保没有污染物泄漏；并在封场覆盖层上布设观测点，监测堆体沉降情况，防止因不均匀沉降导致防渗层开裂。</w:t>
      </w:r>
    </w:p>
    <w:p w14:paraId="49C231B0" w14:textId="395726B9" w:rsidR="00606029" w:rsidRDefault="00EA5B92">
      <w:pPr>
        <w:pStyle w:val="affffff4"/>
      </w:pPr>
      <w:r>
        <w:t>（</w:t>
      </w:r>
      <w:r w:rsidR="003370B0">
        <w:rPr>
          <w:rFonts w:hint="eastAsia"/>
        </w:rPr>
        <w:t>4</w:t>
      </w:r>
      <w:r>
        <w:t>）封场后维护计划</w:t>
      </w:r>
    </w:p>
    <w:p w14:paraId="39F91A7C" w14:textId="77777777" w:rsidR="00606029" w:rsidRDefault="00EA5B92">
      <w:pPr>
        <w:pStyle w:val="affffff4"/>
      </w:pPr>
      <w:r>
        <w:lastRenderedPageBreak/>
        <w:t>封场后维护计划包括场地维护和污染治理的继续运行和监测。</w:t>
      </w:r>
    </w:p>
    <w:p w14:paraId="2479CFF4" w14:textId="77777777" w:rsidR="00606029" w:rsidRDefault="00EA5B92">
      <w:pPr>
        <w:pStyle w:val="affffff4"/>
      </w:pPr>
      <w:r>
        <w:t>①</w:t>
      </w:r>
      <w:r>
        <w:t>封场后，淋溶水按照要求继续监测。</w:t>
      </w:r>
    </w:p>
    <w:p w14:paraId="702B935D" w14:textId="319AE341" w:rsidR="00606029" w:rsidRDefault="00EA5B92">
      <w:pPr>
        <w:pStyle w:val="affffff4"/>
      </w:pPr>
      <w:r>
        <w:t>②</w:t>
      </w:r>
      <w:r>
        <w:t>封场后，将继续按要求对</w:t>
      </w:r>
      <w:r w:rsidR="003370B0">
        <w:rPr>
          <w:rFonts w:hint="eastAsia"/>
        </w:rPr>
        <w:t>厂区</w:t>
      </w:r>
      <w:r>
        <w:t>监测井内的地下水进行监测。当停止场内淋溶水收集和外排系统的运行时，可取消对地下水的监测。</w:t>
      </w:r>
    </w:p>
    <w:p w14:paraId="52C13AD0" w14:textId="77777777" w:rsidR="00606029" w:rsidRDefault="00EA5B92">
      <w:pPr>
        <w:pStyle w:val="affffff4"/>
      </w:pPr>
      <w:r>
        <w:t>③</w:t>
      </w:r>
      <w:r>
        <w:t>封场后，将继续按要求对周围地表水进行监测。当停止场内淋溶水收集和外排系统的运行时，可取消对地表水的监测。</w:t>
      </w:r>
    </w:p>
    <w:p w14:paraId="59FA2A48" w14:textId="727811C5" w:rsidR="00606029" w:rsidRDefault="00EA5B92">
      <w:pPr>
        <w:pStyle w:val="affffff4"/>
      </w:pPr>
      <w:r>
        <w:t>④</w:t>
      </w:r>
      <w:r>
        <w:t>封场后，每年监测一次堆体沉降</w:t>
      </w:r>
      <w:r w:rsidR="003370B0">
        <w:rPr>
          <w:rFonts w:hint="eastAsia"/>
        </w:rPr>
        <w:t>，</w:t>
      </w:r>
      <w:r>
        <w:t>监测地面沉降直至封场管理结束。</w:t>
      </w:r>
    </w:p>
    <w:p w14:paraId="6D34FB7F" w14:textId="1D90A1B2" w:rsidR="00606029" w:rsidRDefault="00EA5B92">
      <w:pPr>
        <w:pStyle w:val="affffff4"/>
      </w:pPr>
      <w:r w:rsidRPr="0018614F">
        <w:t>⑤</w:t>
      </w:r>
      <w:r w:rsidRPr="0018614F">
        <w:t>场地维护包括道路、</w:t>
      </w:r>
      <w:r w:rsidR="0018614F" w:rsidRPr="0018614F">
        <w:rPr>
          <w:rFonts w:hint="eastAsia"/>
        </w:rPr>
        <w:t>截水沟</w:t>
      </w:r>
      <w:r w:rsidRPr="0018614F">
        <w:t>等基础设施的维护。</w:t>
      </w:r>
    </w:p>
    <w:p w14:paraId="24A13432" w14:textId="77777777" w:rsidR="00606029" w:rsidRDefault="00EA5B92">
      <w:pPr>
        <w:pStyle w:val="3"/>
      </w:pPr>
      <w:bookmarkStart w:id="117" w:name="_Toc220680473"/>
      <w:r>
        <w:t>2.2.9</w:t>
      </w:r>
      <w:r>
        <w:t>公辅工程</w:t>
      </w:r>
      <w:bookmarkEnd w:id="117"/>
    </w:p>
    <w:p w14:paraId="575C1BC8" w14:textId="4C89A434" w:rsidR="00606029" w:rsidRDefault="00606029">
      <w:pPr>
        <w:pStyle w:val="4"/>
      </w:pPr>
      <w:hyperlink r:id="rId49" w:history="1">
        <w:r>
          <w:t>2.2.9.1</w:t>
        </w:r>
      </w:hyperlink>
      <w:r w:rsidR="00EA5B92">
        <w:t>给排水工程</w:t>
      </w:r>
    </w:p>
    <w:p w14:paraId="03A2BBA6" w14:textId="21DF9D5A" w:rsidR="00606029" w:rsidRDefault="00EA5B92">
      <w:pPr>
        <w:pStyle w:val="affffff4"/>
      </w:pPr>
      <w:r>
        <w:t>本项目污废水种类较少，主要为场区产生的淋溶水</w:t>
      </w:r>
      <w:r w:rsidR="00526475">
        <w:rPr>
          <w:rFonts w:hint="eastAsia"/>
        </w:rPr>
        <w:t>。</w:t>
      </w:r>
    </w:p>
    <w:p w14:paraId="150589AD" w14:textId="77777777" w:rsidR="00606029" w:rsidRDefault="00EA5B92">
      <w:pPr>
        <w:pStyle w:val="affffff4"/>
      </w:pPr>
      <w:r>
        <w:t>（</w:t>
      </w:r>
      <w:r>
        <w:t>1</w:t>
      </w:r>
      <w:r>
        <w:t>）给水工程</w:t>
      </w:r>
    </w:p>
    <w:p w14:paraId="1030F38F" w14:textId="3147BFA6" w:rsidR="00606029" w:rsidRDefault="00EA5B92" w:rsidP="00F760A2">
      <w:pPr>
        <w:pStyle w:val="affffff4"/>
      </w:pPr>
      <w:r>
        <w:t>本项目</w:t>
      </w:r>
      <w:r w:rsidR="001C2C4C">
        <w:rPr>
          <w:rFonts w:hint="eastAsia"/>
        </w:rPr>
        <w:t>不新增定员，无需增加生活用水</w:t>
      </w:r>
      <w:r w:rsidR="00F760A2">
        <w:rPr>
          <w:rFonts w:hint="eastAsia"/>
        </w:rPr>
        <w:t>，</w:t>
      </w:r>
      <w:r w:rsidR="001C2C4C">
        <w:rPr>
          <w:rFonts w:hint="eastAsia"/>
        </w:rPr>
        <w:t>也无生产用水。</w:t>
      </w:r>
    </w:p>
    <w:p w14:paraId="3DC5599B" w14:textId="77777777" w:rsidR="00606029" w:rsidRDefault="00EA5B92">
      <w:pPr>
        <w:pStyle w:val="affffff4"/>
      </w:pPr>
      <w:r>
        <w:t>（</w:t>
      </w:r>
      <w:r>
        <w:t>2</w:t>
      </w:r>
      <w:r>
        <w:t>）排水工程</w:t>
      </w:r>
    </w:p>
    <w:p w14:paraId="6C3DC36E" w14:textId="77777777" w:rsidR="00606029" w:rsidRDefault="00EA5B92">
      <w:pPr>
        <w:pStyle w:val="affffff4"/>
      </w:pPr>
      <w:r>
        <w:t>由于进入填埋场的固化飞灰为浸出毒性达标的固体废弃物，其自身无降解渗滤液，主要废水来源于大气降雨浸入填埋堆体后，渗出的带有粉尘的淋溶水。</w:t>
      </w:r>
    </w:p>
    <w:p w14:paraId="187F4B73" w14:textId="06EDFAC1" w:rsidR="00606029" w:rsidRDefault="00EA5B92">
      <w:pPr>
        <w:pStyle w:val="affffff4"/>
      </w:pPr>
      <w:r>
        <w:t>根据项目可研报告</w:t>
      </w:r>
      <w:r w:rsidR="006A52CC">
        <w:t>：</w:t>
      </w:r>
      <w:r>
        <w:t>参考同类工程建设标准要求，对进入填埋场区的水量用如下经验公式进行计算</w:t>
      </w:r>
      <w:r w:rsidR="006A52CC">
        <w:t>：</w:t>
      </w:r>
    </w:p>
    <w:p w14:paraId="667E3140" w14:textId="77777777" w:rsidR="00606029" w:rsidRDefault="00EA5B92">
      <w:pPr>
        <w:pStyle w:val="affffff4"/>
        <w:jc w:val="center"/>
      </w:pPr>
      <w:r>
        <w:t>Q=</w:t>
      </w:r>
      <w:r>
        <w:t>（</w:t>
      </w:r>
      <w:r>
        <w:t>C1•A1+C2•A2+C3•A3+C4•A4</w:t>
      </w:r>
      <w:r>
        <w:t>）</w:t>
      </w:r>
      <w:r>
        <w:t>•I÷365000</w:t>
      </w:r>
    </w:p>
    <w:p w14:paraId="1234401D" w14:textId="4EE8B22C" w:rsidR="00606029" w:rsidRDefault="00EA5B92">
      <w:pPr>
        <w:pStyle w:val="affffff4"/>
        <w:jc w:val="center"/>
      </w:pPr>
      <w:r>
        <w:t>式中</w:t>
      </w:r>
      <w:r w:rsidR="006A52CC">
        <w:t>：</w:t>
      </w:r>
      <w:r>
        <w:t>Q—</w:t>
      </w:r>
      <w:r>
        <w:t>平均淋溶水产生量（</w:t>
      </w:r>
      <w:r>
        <w:t>m</w:t>
      </w:r>
      <w:r>
        <w:rPr>
          <w:vertAlign w:val="superscript"/>
        </w:rPr>
        <w:t>3</w:t>
      </w:r>
      <w:r>
        <w:t>/d</w:t>
      </w:r>
      <w:r>
        <w:t>）</w:t>
      </w:r>
    </w:p>
    <w:p w14:paraId="798C6688" w14:textId="16614826" w:rsidR="00606029" w:rsidRDefault="00EA5B92" w:rsidP="001C2C4C">
      <w:pPr>
        <w:pStyle w:val="affffff4"/>
      </w:pPr>
      <w:r>
        <w:t>I—</w:t>
      </w:r>
      <w:r>
        <w:t>历年年平均降雨强度（</w:t>
      </w:r>
      <w:r>
        <w:t>mm/a</w:t>
      </w:r>
      <w:r>
        <w:t>），</w:t>
      </w:r>
      <w:r w:rsidR="004E5FFD">
        <w:t>大庆市</w:t>
      </w:r>
      <w:r>
        <w:t>多年平均降雨量</w:t>
      </w:r>
      <w:r>
        <w:t>I</w:t>
      </w:r>
      <w:r>
        <w:t>＝</w:t>
      </w:r>
      <w:r w:rsidR="001C2C4C">
        <w:rPr>
          <w:rFonts w:hint="eastAsia"/>
        </w:rPr>
        <w:t>442</w:t>
      </w:r>
      <w:r>
        <w:t>mm</w:t>
      </w:r>
      <w:r>
        <w:t>；</w:t>
      </w:r>
    </w:p>
    <w:p w14:paraId="1A4672FC" w14:textId="7154A282" w:rsidR="00606029" w:rsidRDefault="00EA5B92" w:rsidP="001C2C4C">
      <w:pPr>
        <w:pStyle w:val="affffff4"/>
      </w:pPr>
      <w:r>
        <w:t>A1—</w:t>
      </w:r>
      <w:r>
        <w:t>正在填埋作业区汇水面积（</w:t>
      </w:r>
      <w:r>
        <w:t>m</w:t>
      </w:r>
      <w:r>
        <w:rPr>
          <w:vertAlign w:val="superscript"/>
        </w:rPr>
        <w:t>2</w:t>
      </w:r>
      <w:r>
        <w:t>），雨天时固化飞灰存放于</w:t>
      </w:r>
      <w:r w:rsidR="00EA49F1">
        <w:rPr>
          <w:rFonts w:hint="eastAsia"/>
        </w:rPr>
        <w:t>飞灰稳定化暂存库</w:t>
      </w:r>
      <w:r>
        <w:t>中，不进行填埋作业，故</w:t>
      </w:r>
      <w:r>
        <w:t>A1</w:t>
      </w:r>
      <w:r>
        <w:t>取值为</w:t>
      </w:r>
      <w:r>
        <w:t>0</w:t>
      </w:r>
      <w:r>
        <w:t>；</w:t>
      </w:r>
    </w:p>
    <w:p w14:paraId="1BB5DF87" w14:textId="55AEFA58" w:rsidR="00606029" w:rsidRPr="00BB5B7A" w:rsidRDefault="00EA5B92" w:rsidP="001C2C4C">
      <w:pPr>
        <w:pStyle w:val="affffff4"/>
      </w:pPr>
      <w:r w:rsidRPr="00BB5B7A">
        <w:t>C1—</w:t>
      </w:r>
      <w:r w:rsidRPr="00BB5B7A">
        <w:t>正在填埋作业区的浸出系数，宜取</w:t>
      </w:r>
      <w:r w:rsidRPr="00BB5B7A">
        <w:t>0.4</w:t>
      </w:r>
      <w:r w:rsidRPr="00BB5B7A">
        <w:t>～</w:t>
      </w:r>
      <w:r w:rsidRPr="00BB5B7A">
        <w:t>1.0</w:t>
      </w:r>
      <w:r w:rsidRPr="00BB5B7A">
        <w:t>，本场地的年降雨量</w:t>
      </w:r>
      <w:r w:rsidR="00BB5B7A" w:rsidRPr="00BB5B7A">
        <w:rPr>
          <w:rFonts w:hint="eastAsia"/>
        </w:rPr>
        <w:t>≤</w:t>
      </w:r>
      <w:r w:rsidRPr="00BB5B7A">
        <w:t>800mm</w:t>
      </w:r>
      <w:r w:rsidRPr="00BB5B7A">
        <w:t>，飞灰的有机物含量</w:t>
      </w:r>
      <w:r w:rsidRPr="00BB5B7A">
        <w:t>≤70%</w:t>
      </w:r>
      <w:r w:rsidRPr="00BB5B7A">
        <w:t>，故</w:t>
      </w:r>
      <w:r w:rsidRPr="00BB5B7A">
        <w:t>C1</w:t>
      </w:r>
      <w:r w:rsidRPr="00BB5B7A">
        <w:t>取</w:t>
      </w:r>
      <w:r w:rsidRPr="00BB5B7A">
        <w:t>0.</w:t>
      </w:r>
      <w:r w:rsidR="00BB5B7A" w:rsidRPr="00BB5B7A">
        <w:rPr>
          <w:rFonts w:hint="eastAsia"/>
        </w:rPr>
        <w:t>5</w:t>
      </w:r>
      <w:r w:rsidRPr="00BB5B7A">
        <w:t>；</w:t>
      </w:r>
    </w:p>
    <w:p w14:paraId="2B4CF771" w14:textId="33C8C044" w:rsidR="00606029" w:rsidRDefault="00EA5B92" w:rsidP="001C2C4C">
      <w:pPr>
        <w:pStyle w:val="affffff4"/>
      </w:pPr>
      <w:r w:rsidRPr="00BB5B7A">
        <w:t>A2—</w:t>
      </w:r>
      <w:r w:rsidRPr="00BB5B7A">
        <w:t>已中间覆盖区汇水面积（</w:t>
      </w:r>
      <w:r w:rsidRPr="00BB5B7A">
        <w:t>m</w:t>
      </w:r>
      <w:r w:rsidRPr="00BB5B7A">
        <w:rPr>
          <w:vertAlign w:val="superscript"/>
        </w:rPr>
        <w:t>2</w:t>
      </w:r>
      <w:r w:rsidRPr="00BB5B7A">
        <w:t>），根据可研数据，</w:t>
      </w:r>
      <w:r w:rsidRPr="00BB5B7A">
        <w:t>A2=</w:t>
      </w:r>
      <w:r w:rsidR="00BB5B7A" w:rsidRPr="00BB5B7A">
        <w:rPr>
          <w:rFonts w:hint="eastAsia"/>
        </w:rPr>
        <w:t>0</w:t>
      </w:r>
      <w:r w:rsidRPr="00BB5B7A">
        <w:t>；</w:t>
      </w:r>
    </w:p>
    <w:p w14:paraId="42BD62C6" w14:textId="77777777" w:rsidR="00606029" w:rsidRDefault="00EA5B92" w:rsidP="001C2C4C">
      <w:pPr>
        <w:pStyle w:val="affffff4"/>
      </w:pPr>
      <w:r>
        <w:t>C2—</w:t>
      </w:r>
      <w:r>
        <w:t>已中间覆盖区的浸出系数，当采用膜覆盖时宜取（</w:t>
      </w:r>
      <w:r>
        <w:t>0.2~0.3</w:t>
      </w:r>
      <w:r>
        <w:t>）</w:t>
      </w:r>
      <w:r>
        <w:t>C1</w:t>
      </w:r>
      <w:r>
        <w:t>，由于本设计中间覆盖材料采用</w:t>
      </w:r>
      <w:r>
        <w:t>1.0mmHDPE</w:t>
      </w:r>
      <w:r>
        <w:t>膜，且固化飞灰降解程度低，因此</w:t>
      </w:r>
      <w:r>
        <w:t>C2</w:t>
      </w:r>
      <w:r>
        <w:t>取值为</w:t>
      </w:r>
      <w:r>
        <w:t>0.2</w:t>
      </w:r>
      <w:r>
        <w:t>。</w:t>
      </w:r>
    </w:p>
    <w:p w14:paraId="76830CA9" w14:textId="7BC58EE4" w:rsidR="00606029" w:rsidRDefault="00EA5B92" w:rsidP="001C2C4C">
      <w:pPr>
        <w:pStyle w:val="affffff4"/>
      </w:pPr>
      <w:r>
        <w:t>A3—</w:t>
      </w:r>
      <w:r>
        <w:t>已终场覆盖区汇水面积（</w:t>
      </w:r>
      <w:r>
        <w:t>m</w:t>
      </w:r>
      <w:r>
        <w:rPr>
          <w:vertAlign w:val="superscript"/>
        </w:rPr>
        <w:t>2</w:t>
      </w:r>
      <w:r>
        <w:t>），</w:t>
      </w:r>
      <w:r>
        <w:t>A3=</w:t>
      </w:r>
      <w:r w:rsidR="001C2C4C">
        <w:rPr>
          <w:rFonts w:hint="eastAsia"/>
        </w:rPr>
        <w:t>5136.95</w:t>
      </w:r>
      <w:r>
        <w:t>m</w:t>
      </w:r>
      <w:r>
        <w:rPr>
          <w:vertAlign w:val="superscript"/>
        </w:rPr>
        <w:t>2</w:t>
      </w:r>
      <w:r>
        <w:t>；</w:t>
      </w:r>
    </w:p>
    <w:p w14:paraId="1C899B38" w14:textId="77777777" w:rsidR="00606029" w:rsidRDefault="00EA5B92" w:rsidP="001C2C4C">
      <w:pPr>
        <w:pStyle w:val="affffff4"/>
      </w:pPr>
      <w:r>
        <w:t>C3—</w:t>
      </w:r>
      <w:r>
        <w:t>已终场覆盖区的浸出系数，宜取</w:t>
      </w:r>
      <w:r>
        <w:t>0.1</w:t>
      </w:r>
      <w:r>
        <w:t>～</w:t>
      </w:r>
      <w:r>
        <w:t>0.2</w:t>
      </w:r>
      <w:r>
        <w:t>，本设计终场覆盖渗透系数较小，</w:t>
      </w:r>
      <w:r>
        <w:lastRenderedPageBreak/>
        <w:t>且固化飞灰降解程度低，因此</w:t>
      </w:r>
      <w:r>
        <w:t>C3</w:t>
      </w:r>
      <w:r>
        <w:t>取值为</w:t>
      </w:r>
      <w:r>
        <w:t>0.1</w:t>
      </w:r>
      <w:r>
        <w:t>；</w:t>
      </w:r>
    </w:p>
    <w:p w14:paraId="66147581" w14:textId="77777777" w:rsidR="00606029" w:rsidRDefault="00EA5B92" w:rsidP="001C2C4C">
      <w:pPr>
        <w:pStyle w:val="affffff4"/>
      </w:pPr>
      <w:r>
        <w:t>A4—</w:t>
      </w:r>
      <w:r>
        <w:t>调节池汇水面积（</w:t>
      </w:r>
      <w:r>
        <w:t>m</w:t>
      </w:r>
      <w:r>
        <w:rPr>
          <w:vertAlign w:val="superscript"/>
        </w:rPr>
        <w:t>2</w:t>
      </w:r>
      <w:r>
        <w:t>）；</w:t>
      </w:r>
    </w:p>
    <w:p w14:paraId="39ECBE9D" w14:textId="27FAB5F3" w:rsidR="00606029" w:rsidRDefault="00EA5B92" w:rsidP="001C2C4C">
      <w:pPr>
        <w:pStyle w:val="affffff4"/>
      </w:pPr>
      <w:r>
        <w:t>C4—</w:t>
      </w:r>
      <w:r>
        <w:t>调节池的浸出系数，本场地依托原有</w:t>
      </w:r>
      <w:r w:rsidR="001C2C4C">
        <w:rPr>
          <w:rFonts w:hint="eastAsia"/>
        </w:rPr>
        <w:t>渗滤液</w:t>
      </w:r>
      <w:r>
        <w:t>调节池，故</w:t>
      </w:r>
      <w:r>
        <w:t>C4=0</w:t>
      </w:r>
      <w:r>
        <w:t>；</w:t>
      </w:r>
    </w:p>
    <w:p w14:paraId="4A596454" w14:textId="24FF3E78" w:rsidR="00606029" w:rsidRDefault="00EA5B92">
      <w:pPr>
        <w:pStyle w:val="affffff4"/>
      </w:pPr>
      <w:r>
        <w:t>淋溶水产生量计算如下</w:t>
      </w:r>
      <w:r w:rsidR="006A52CC">
        <w:t>：</w:t>
      </w:r>
      <w:r w:rsidRPr="00C44B8E">
        <w:t>Q=</w:t>
      </w:r>
      <w:r w:rsidRPr="00C44B8E">
        <w:t>（</w:t>
      </w:r>
      <w:r w:rsidRPr="00C44B8E">
        <w:t>0.</w:t>
      </w:r>
      <w:r w:rsidR="00C44B8E" w:rsidRPr="00C44B8E">
        <w:rPr>
          <w:rFonts w:hint="eastAsia"/>
        </w:rPr>
        <w:t>1</w:t>
      </w:r>
      <w:r w:rsidRPr="00C44B8E">
        <w:t>×</w:t>
      </w:r>
      <w:r w:rsidR="00C44B8E" w:rsidRPr="00C44B8E">
        <w:rPr>
          <w:rFonts w:hint="eastAsia"/>
        </w:rPr>
        <w:t>5136.95</w:t>
      </w:r>
      <w:r w:rsidRPr="00C44B8E">
        <w:t>）</w:t>
      </w:r>
      <w:r w:rsidRPr="00C44B8E">
        <w:t>×</w:t>
      </w:r>
      <w:r w:rsidR="00C44B8E" w:rsidRPr="00C44B8E">
        <w:rPr>
          <w:rFonts w:hint="eastAsia"/>
        </w:rPr>
        <w:t>442</w:t>
      </w:r>
      <w:r w:rsidRPr="00C44B8E">
        <w:t>/365000=</w:t>
      </w:r>
      <w:r w:rsidR="00C44B8E" w:rsidRPr="00C44B8E">
        <w:rPr>
          <w:rFonts w:hint="eastAsia"/>
        </w:rPr>
        <w:t>0.62</w:t>
      </w:r>
      <w:r w:rsidRPr="00C44B8E">
        <w:t>m</w:t>
      </w:r>
      <w:r w:rsidRPr="00C44B8E">
        <w:rPr>
          <w:vertAlign w:val="superscript"/>
        </w:rPr>
        <w:t>3</w:t>
      </w:r>
      <w:r w:rsidRPr="00C44B8E">
        <w:t>/d</w:t>
      </w:r>
    </w:p>
    <w:p w14:paraId="626AB571" w14:textId="0F030648" w:rsidR="00606029" w:rsidRDefault="00526475">
      <w:pPr>
        <w:pStyle w:val="affffff4"/>
      </w:pPr>
      <w:r>
        <w:rPr>
          <w:rFonts w:hint="eastAsia"/>
        </w:rPr>
        <w:t>本项目</w:t>
      </w:r>
      <w:r w:rsidR="003370B0">
        <w:rPr>
          <w:rFonts w:hint="eastAsia"/>
        </w:rPr>
        <w:t>淋溶水</w:t>
      </w:r>
      <w:r w:rsidR="000E08A6">
        <w:rPr>
          <w:rFonts w:hint="eastAsia"/>
        </w:rPr>
        <w:t>产生量较小，厂</w:t>
      </w:r>
      <w:r>
        <w:rPr>
          <w:rFonts w:hint="eastAsia"/>
        </w:rPr>
        <w:t>区现有渗滤液</w:t>
      </w:r>
      <w:r w:rsidR="00EA5B92">
        <w:t>调节池和渗滤液处理站</w:t>
      </w:r>
      <w:r w:rsidR="000E08A6">
        <w:rPr>
          <w:rFonts w:hint="eastAsia"/>
        </w:rPr>
        <w:t>可以满足需求</w:t>
      </w:r>
      <w:r w:rsidR="00EA5B92">
        <w:t>。项目产生的淋溶水通过导排管引入现有渗滤液调节池后，经渗滤液处理站处理</w:t>
      </w:r>
      <w:r w:rsidR="00347823" w:rsidRPr="00347823">
        <w:t>满足《生活垃圾填埋场污染控制标准》（</w:t>
      </w:r>
      <w:r w:rsidR="00347823" w:rsidRPr="00347823">
        <w:t>GB16889-2024</w:t>
      </w:r>
      <w:r w:rsidR="00347823" w:rsidRPr="00347823">
        <w:t>）表</w:t>
      </w:r>
      <w:r w:rsidR="00347823" w:rsidRPr="00347823">
        <w:t>4</w:t>
      </w:r>
      <w:r w:rsidR="00347823" w:rsidRPr="00347823">
        <w:t>要求和</w:t>
      </w:r>
      <w:r w:rsidRPr="00526475">
        <w:t>《城市污水再生利用</w:t>
      </w:r>
      <w:r w:rsidRPr="00526475">
        <w:t xml:space="preserve"> </w:t>
      </w:r>
      <w:r w:rsidRPr="00526475">
        <w:t>工业用水水质》（</w:t>
      </w:r>
      <w:r w:rsidRPr="00526475">
        <w:t>GB/T19923-2024</w:t>
      </w:r>
      <w:r w:rsidRPr="00526475">
        <w:t>）表</w:t>
      </w:r>
      <w:r w:rsidRPr="00526475">
        <w:t>1</w:t>
      </w:r>
      <w:r w:rsidRPr="00526475">
        <w:t>间冷开式循环冷却系统补充水标准后全部回用至厂区冷却塔补水，不外排。</w:t>
      </w:r>
    </w:p>
    <w:p w14:paraId="687386C5" w14:textId="6D977469" w:rsidR="00606029" w:rsidRDefault="00606029">
      <w:pPr>
        <w:pStyle w:val="4"/>
        <w:spacing w:beforeLines="50" w:before="120"/>
      </w:pPr>
      <w:hyperlink r:id="rId50" w:history="1">
        <w:r>
          <w:t>2.2.9.2</w:t>
        </w:r>
      </w:hyperlink>
      <w:r w:rsidR="00EA5B92">
        <w:t>道路条件</w:t>
      </w:r>
    </w:p>
    <w:p w14:paraId="330613C7" w14:textId="13737A61" w:rsidR="00606029" w:rsidRDefault="00EA5B92">
      <w:pPr>
        <w:pStyle w:val="affffff4"/>
      </w:pPr>
      <w:r>
        <w:t>场区道路利用</w:t>
      </w:r>
      <w:r w:rsidR="00526475">
        <w:rPr>
          <w:rFonts w:hint="eastAsia"/>
        </w:rPr>
        <w:t>现有</w:t>
      </w:r>
      <w:r>
        <w:t>道路</w:t>
      </w:r>
      <w:r w:rsidR="00526475">
        <w:rPr>
          <w:rFonts w:hint="eastAsia"/>
        </w:rPr>
        <w:t>，</w:t>
      </w:r>
      <w:r>
        <w:t>配备专用密闭卡车，将已经稳定化处理的飞灰经过焚烧厂内地磅后，通过填埋场的厂内运输道路运至本填埋</w:t>
      </w:r>
      <w:r w:rsidR="00C44B8E">
        <w:rPr>
          <w:rFonts w:hint="eastAsia"/>
        </w:rPr>
        <w:t>区</w:t>
      </w:r>
      <w:r>
        <w:t>。</w:t>
      </w:r>
    </w:p>
    <w:p w14:paraId="0B317577" w14:textId="17495145" w:rsidR="00606029" w:rsidRDefault="00606029">
      <w:pPr>
        <w:pStyle w:val="4"/>
      </w:pPr>
      <w:hyperlink r:id="rId51" w:history="1">
        <w:r>
          <w:t>2.2.9.3</w:t>
        </w:r>
      </w:hyperlink>
      <w:r w:rsidR="00EA5B92">
        <w:t>绿化</w:t>
      </w:r>
    </w:p>
    <w:p w14:paraId="14D35FDF" w14:textId="0BF9B0EC" w:rsidR="00606029" w:rsidRDefault="00EA5B92">
      <w:pPr>
        <w:pStyle w:val="affffff4"/>
      </w:pPr>
      <w:r>
        <w:t>填埋区达到最终填埋设计高程的区域应及时封场覆盖，种植</w:t>
      </w:r>
      <w:r w:rsidR="00526475">
        <w:rPr>
          <w:rFonts w:hint="eastAsia"/>
        </w:rPr>
        <w:t>草皮</w:t>
      </w:r>
      <w:r>
        <w:t>进行绿化。</w:t>
      </w:r>
    </w:p>
    <w:p w14:paraId="0C119AF9" w14:textId="77777777" w:rsidR="00606029" w:rsidRDefault="00EA5B92">
      <w:pPr>
        <w:pStyle w:val="3"/>
      </w:pPr>
      <w:bookmarkStart w:id="118" w:name="_Toc220680474"/>
      <w:r>
        <w:t>2.2.10</w:t>
      </w:r>
      <w:r>
        <w:t>施工方案</w:t>
      </w:r>
      <w:bookmarkEnd w:id="118"/>
    </w:p>
    <w:p w14:paraId="1A72F556" w14:textId="78B7FBE0" w:rsidR="00606029" w:rsidRDefault="00606029">
      <w:pPr>
        <w:pStyle w:val="4"/>
      </w:pPr>
      <w:hyperlink r:id="rId52" w:history="1">
        <w:r>
          <w:t>2.2.10.1</w:t>
        </w:r>
      </w:hyperlink>
      <w:r w:rsidR="00EA5B92">
        <w:t>施工内容和施工工艺</w:t>
      </w:r>
    </w:p>
    <w:p w14:paraId="473AA488" w14:textId="181C3CC9" w:rsidR="00606029" w:rsidRDefault="00EA5B92">
      <w:pPr>
        <w:pStyle w:val="affffff4"/>
      </w:pPr>
      <w:r>
        <w:t>（</w:t>
      </w:r>
      <w:r>
        <w:t>1</w:t>
      </w:r>
      <w:r>
        <w:t>）施工内容</w:t>
      </w:r>
      <w:r w:rsidR="006A52CC">
        <w:t>：</w:t>
      </w:r>
    </w:p>
    <w:p w14:paraId="2FC6C967" w14:textId="758EB03E" w:rsidR="00606029" w:rsidRDefault="00EA5B92">
      <w:pPr>
        <w:pStyle w:val="affffff4"/>
      </w:pPr>
      <w:r>
        <w:t>本</w:t>
      </w:r>
      <w:r w:rsidR="00CB303F">
        <w:rPr>
          <w:rFonts w:hint="eastAsia"/>
        </w:rPr>
        <w:t>项目</w:t>
      </w:r>
      <w:r>
        <w:t>施工主要包括库底平整和边坡修整、导流</w:t>
      </w:r>
      <w:r w:rsidR="00CB303F">
        <w:rPr>
          <w:rFonts w:hint="eastAsia"/>
        </w:rPr>
        <w:t>工程</w:t>
      </w:r>
      <w:r>
        <w:t>、防渗</w:t>
      </w:r>
      <w:r w:rsidR="00CB303F">
        <w:rPr>
          <w:rFonts w:hint="eastAsia"/>
        </w:rPr>
        <w:t>工程</w:t>
      </w:r>
      <w:r>
        <w:t>、淋溶水收集导排</w:t>
      </w:r>
      <w:r w:rsidR="00CB303F">
        <w:rPr>
          <w:rFonts w:hint="eastAsia"/>
        </w:rPr>
        <w:t>工程</w:t>
      </w:r>
      <w:r>
        <w:t>等。</w:t>
      </w:r>
    </w:p>
    <w:p w14:paraId="78293FA5" w14:textId="77777777" w:rsidR="00606029" w:rsidRDefault="00EA5B92">
      <w:pPr>
        <w:pStyle w:val="affffff4"/>
      </w:pPr>
      <w:r>
        <w:t>（</w:t>
      </w:r>
      <w:r>
        <w:t>2</w:t>
      </w:r>
      <w:r>
        <w:t>）施工工艺</w:t>
      </w:r>
    </w:p>
    <w:p w14:paraId="50A70031" w14:textId="5ADE1537" w:rsidR="00BA7D7E" w:rsidRDefault="00BA7D7E" w:rsidP="00BA7D7E">
      <w:pPr>
        <w:pStyle w:val="affffff4"/>
      </w:pPr>
      <w:r>
        <w:rPr>
          <w:rFonts w:hint="eastAsia"/>
        </w:rPr>
        <w:t>1</w:t>
      </w:r>
      <w:r>
        <w:rPr>
          <w:rFonts w:hint="eastAsia"/>
        </w:rPr>
        <w:t>）施工准备与拆除清理</w:t>
      </w:r>
    </w:p>
    <w:p w14:paraId="07979011" w14:textId="32A56979" w:rsidR="00BA7D7E" w:rsidRDefault="00BA7D7E" w:rsidP="00BA7D7E">
      <w:pPr>
        <w:pStyle w:val="affffff4"/>
      </w:pPr>
      <w:r>
        <w:rPr>
          <w:rFonts w:hint="eastAsia"/>
        </w:rPr>
        <w:t>彻底清除原有污染物，为防渗施工提供干净基面</w:t>
      </w:r>
      <w:r w:rsidR="000E08A6">
        <w:rPr>
          <w:rFonts w:hint="eastAsia"/>
        </w:rPr>
        <w:t>，</w:t>
      </w:r>
      <w:r>
        <w:rPr>
          <w:rFonts w:hint="eastAsia"/>
        </w:rPr>
        <w:t>将残留的渗滤液抽排至渗滤液调节池，严禁直接外排；对池底积存的污泥进行</w:t>
      </w:r>
      <w:r w:rsidR="000E08A6">
        <w:rPr>
          <w:rFonts w:hint="eastAsia"/>
        </w:rPr>
        <w:t>清理后</w:t>
      </w:r>
      <w:r>
        <w:rPr>
          <w:rFonts w:hint="eastAsia"/>
        </w:rPr>
        <w:t>，送现有</w:t>
      </w:r>
      <w:r w:rsidR="006E0FE7" w:rsidRPr="006E0FE7">
        <w:t>焚烧发电厂污泥焚烧车间</w:t>
      </w:r>
      <w:r>
        <w:rPr>
          <w:rFonts w:hint="eastAsia"/>
        </w:rPr>
        <w:t>处理。并使用高压水枪对池底和池壁进行彻底清洗，去除附着的</w:t>
      </w:r>
      <w:r w:rsidR="00CB303F">
        <w:rPr>
          <w:rFonts w:hint="eastAsia"/>
        </w:rPr>
        <w:t>污泥</w:t>
      </w:r>
      <w:r>
        <w:rPr>
          <w:rFonts w:hint="eastAsia"/>
        </w:rPr>
        <w:t>，直至露出坚实的混凝土原面。</w:t>
      </w:r>
    </w:p>
    <w:p w14:paraId="5C7E878F" w14:textId="57567F94" w:rsidR="00BA7D7E" w:rsidRDefault="00BA7D7E" w:rsidP="00BA7D7E">
      <w:pPr>
        <w:pStyle w:val="affffff4"/>
      </w:pPr>
      <w:r>
        <w:rPr>
          <w:rFonts w:hint="eastAsia"/>
        </w:rPr>
        <w:t>2</w:t>
      </w:r>
      <w:r>
        <w:rPr>
          <w:rFonts w:hint="eastAsia"/>
        </w:rPr>
        <w:t>）原设施拆除与封堵</w:t>
      </w:r>
    </w:p>
    <w:p w14:paraId="5025F5CD" w14:textId="637503C1" w:rsidR="00BA7D7E" w:rsidRDefault="00BA7D7E" w:rsidP="00BA7D7E">
      <w:pPr>
        <w:pStyle w:val="affffff4"/>
      </w:pPr>
      <w:r>
        <w:rPr>
          <w:rFonts w:hint="eastAsia"/>
        </w:rPr>
        <w:t>对原渗滤液调节池所有与外部连通的进出水管、溢流管、排空管等进行永久性封堵（通常采用微膨胀混凝土</w:t>
      </w:r>
      <w:r>
        <w:rPr>
          <w:rFonts w:hint="eastAsia"/>
        </w:rPr>
        <w:t>+</w:t>
      </w:r>
      <w:r>
        <w:rPr>
          <w:rFonts w:hint="eastAsia"/>
        </w:rPr>
        <w:t>防水剂），确保库区与外界水体完全隔离。</w:t>
      </w:r>
    </w:p>
    <w:p w14:paraId="5B53AC09" w14:textId="4FEB8887" w:rsidR="00BA7D7E" w:rsidRDefault="00BA7D7E" w:rsidP="00BA7D7E">
      <w:pPr>
        <w:pStyle w:val="affffff4"/>
      </w:pPr>
      <w:r>
        <w:rPr>
          <w:rFonts w:hint="eastAsia"/>
        </w:rPr>
        <w:t>3</w:t>
      </w:r>
      <w:r>
        <w:rPr>
          <w:rFonts w:hint="eastAsia"/>
        </w:rPr>
        <w:t>）结构修缮与基础施工</w:t>
      </w:r>
    </w:p>
    <w:p w14:paraId="33FBCB0F" w14:textId="19E17E9C" w:rsidR="00BA7D7E" w:rsidRDefault="00BA7D7E" w:rsidP="00BA7D7E">
      <w:pPr>
        <w:pStyle w:val="affffff4"/>
      </w:pPr>
      <w:r>
        <w:rPr>
          <w:rFonts w:hint="eastAsia"/>
        </w:rPr>
        <w:lastRenderedPageBreak/>
        <w:t>修复原结构缺陷，为防渗层提供稳固基础。</w:t>
      </w:r>
    </w:p>
    <w:p w14:paraId="6D2A62C7" w14:textId="19B8614B" w:rsidR="00BA7D7E" w:rsidRDefault="00BA7D7E" w:rsidP="00BA7D7E">
      <w:pPr>
        <w:pStyle w:val="affffff4"/>
      </w:pPr>
      <w:r>
        <w:rPr>
          <w:rFonts w:hint="eastAsia"/>
        </w:rPr>
        <w:t>①混凝土基面修补，对原池底和池壁的裂缝进行开槽、注浆修补，防止不均匀沉降刺破防渗膜；对凹凸不平的表面进行打磨或修补，确保表面平整度满足防渗膜铺设要求。</w:t>
      </w:r>
    </w:p>
    <w:p w14:paraId="6FFD1E07" w14:textId="51793ECE" w:rsidR="00BA7D7E" w:rsidRDefault="00BA7D7E" w:rsidP="00BA7D7E">
      <w:pPr>
        <w:pStyle w:val="affffff4"/>
      </w:pPr>
      <w:r>
        <w:rPr>
          <w:rFonts w:hint="eastAsia"/>
        </w:rPr>
        <w:t>②锚固沟与集水井施工，在调节池顶部边缘开挖锚固沟，用于固定防渗膜边缘，形成“碗状”密封。</w:t>
      </w:r>
    </w:p>
    <w:p w14:paraId="5C75DB97" w14:textId="35785733" w:rsidR="00BA7D7E" w:rsidRDefault="00C22265" w:rsidP="00BA7D7E">
      <w:pPr>
        <w:pStyle w:val="affffff4"/>
      </w:pPr>
      <w:r>
        <w:rPr>
          <w:rFonts w:hint="eastAsia"/>
        </w:rPr>
        <w:t>③</w:t>
      </w:r>
      <w:r w:rsidR="00BA7D7E">
        <w:rPr>
          <w:rFonts w:hint="eastAsia"/>
        </w:rPr>
        <w:t>利用或改建原集水井，作为</w:t>
      </w:r>
      <w:r w:rsidR="000E08A6">
        <w:rPr>
          <w:rFonts w:hint="eastAsia"/>
        </w:rPr>
        <w:t>淋溶水</w:t>
      </w:r>
      <w:r w:rsidR="00BA7D7E">
        <w:rPr>
          <w:rFonts w:hint="eastAsia"/>
        </w:rPr>
        <w:t>/</w:t>
      </w:r>
      <w:r w:rsidR="00BA7D7E">
        <w:rPr>
          <w:rFonts w:hint="eastAsia"/>
        </w:rPr>
        <w:t>雨水的收集枢纽，确保其与防渗层连接处密封严密。</w:t>
      </w:r>
    </w:p>
    <w:p w14:paraId="3076232C" w14:textId="034BD49C" w:rsidR="00BA7D7E" w:rsidRDefault="00C22265" w:rsidP="00BA7D7E">
      <w:pPr>
        <w:pStyle w:val="affffff4"/>
      </w:pPr>
      <w:r>
        <w:rPr>
          <w:rFonts w:hint="eastAsia"/>
        </w:rPr>
        <w:t>4</w:t>
      </w:r>
      <w:r>
        <w:rPr>
          <w:rFonts w:hint="eastAsia"/>
        </w:rPr>
        <w:t>）</w:t>
      </w:r>
      <w:r w:rsidR="00BA7D7E">
        <w:rPr>
          <w:rFonts w:hint="eastAsia"/>
        </w:rPr>
        <w:t>防渗与导排系统安装</w:t>
      </w:r>
    </w:p>
    <w:p w14:paraId="3F30175E" w14:textId="0F28148E" w:rsidR="00BA7D7E" w:rsidRDefault="00BA7D7E" w:rsidP="00BA7D7E">
      <w:pPr>
        <w:pStyle w:val="affffff4"/>
      </w:pPr>
      <w:r>
        <w:rPr>
          <w:rFonts w:hint="eastAsia"/>
        </w:rPr>
        <w:t>建立“刚柔结合”的双重防渗屏障及完善的导排网络。</w:t>
      </w:r>
    </w:p>
    <w:p w14:paraId="4C6E90DD" w14:textId="41735D9B" w:rsidR="00BA7D7E" w:rsidRDefault="00C22265" w:rsidP="00C22265">
      <w:pPr>
        <w:pStyle w:val="affffff4"/>
      </w:pPr>
      <w:r>
        <w:rPr>
          <w:rFonts w:hint="eastAsia"/>
        </w:rPr>
        <w:t>①</w:t>
      </w:r>
      <w:r w:rsidR="00BA7D7E">
        <w:rPr>
          <w:rFonts w:hint="eastAsia"/>
        </w:rPr>
        <w:t>防渗层铺设</w:t>
      </w:r>
      <w:r>
        <w:rPr>
          <w:rFonts w:hint="eastAsia"/>
        </w:rPr>
        <w:t>，</w:t>
      </w:r>
      <w:r w:rsidR="00BA7D7E">
        <w:rPr>
          <w:rFonts w:hint="eastAsia"/>
        </w:rPr>
        <w:t>在池底和池壁铺设</w:t>
      </w:r>
      <w:r w:rsidR="00BA7D7E">
        <w:rPr>
          <w:rFonts w:hint="eastAsia"/>
        </w:rPr>
        <w:t>600g/m</w:t>
      </w:r>
      <w:r w:rsidR="00BA7D7E">
        <w:rPr>
          <w:rFonts w:hint="eastAsia"/>
        </w:rPr>
        <w:t>²的长丝无纺土工布，作为防渗膜的保护层。主防渗层铺设</w:t>
      </w:r>
      <w:r w:rsidR="002A543C">
        <w:rPr>
          <w:rFonts w:hint="eastAsia"/>
        </w:rPr>
        <w:t>2</w:t>
      </w:r>
      <w:r w:rsidR="00BA7D7E">
        <w:rPr>
          <w:rFonts w:hint="eastAsia"/>
        </w:rPr>
        <w:t>mm</w:t>
      </w:r>
      <w:r w:rsidR="00BA7D7E">
        <w:rPr>
          <w:rFonts w:hint="eastAsia"/>
        </w:rPr>
        <w:t>厚</w:t>
      </w:r>
      <w:r w:rsidR="00BA7D7E">
        <w:rPr>
          <w:rFonts w:hint="eastAsia"/>
        </w:rPr>
        <w:t>HDPE</w:t>
      </w:r>
      <w:r w:rsidR="00BA7D7E">
        <w:rPr>
          <w:rFonts w:hint="eastAsia"/>
        </w:rPr>
        <w:t>土工膜（池底双糙面，池壁单糙面），采用双轨热熔焊机焊接，焊缝需进行气压和真空检测</w:t>
      </w:r>
      <w:r w:rsidR="002A543C">
        <w:rPr>
          <w:rFonts w:hint="eastAsia"/>
        </w:rPr>
        <w:t>；</w:t>
      </w:r>
      <w:r w:rsidR="002A543C" w:rsidRPr="002A543C">
        <w:t>次防渗层为</w:t>
      </w:r>
      <w:r w:rsidR="002A543C" w:rsidRPr="002A543C">
        <w:t>1.5mmHDPE</w:t>
      </w:r>
      <w:r w:rsidR="002A543C" w:rsidRPr="002A543C">
        <w:t>膜</w:t>
      </w:r>
      <w:r w:rsidR="002A543C" w:rsidRPr="002A543C">
        <w:t>+5.0mmGCL</w:t>
      </w:r>
      <w:r w:rsidR="002A543C" w:rsidRPr="002A543C">
        <w:t>膨润土垫，中间层为渗漏检测层（砾石层</w:t>
      </w:r>
      <w:r w:rsidR="002A543C" w:rsidRPr="002A543C">
        <w:t>+</w:t>
      </w:r>
      <w:r w:rsidR="002A543C" w:rsidRPr="002A543C">
        <w:t>管道），用于收集可能发生的渗漏液</w:t>
      </w:r>
      <w:r w:rsidR="00BA7D7E">
        <w:rPr>
          <w:rFonts w:hint="eastAsia"/>
        </w:rPr>
        <w:t>。对池壁转角、穿墙管根部等特殊部位进行裁剪和加强焊接，确保无死角。</w:t>
      </w:r>
    </w:p>
    <w:p w14:paraId="62B04FF2" w14:textId="0F266109" w:rsidR="00BA7D7E" w:rsidRDefault="00C22265" w:rsidP="00C22265">
      <w:pPr>
        <w:pStyle w:val="affffff4"/>
      </w:pPr>
      <w:r>
        <w:rPr>
          <w:rFonts w:hint="eastAsia"/>
        </w:rPr>
        <w:t>②</w:t>
      </w:r>
      <w:r w:rsidR="00BA7D7E">
        <w:rPr>
          <w:rFonts w:hint="eastAsia"/>
        </w:rPr>
        <w:t>导排系统安装</w:t>
      </w:r>
      <w:r>
        <w:rPr>
          <w:rFonts w:hint="eastAsia"/>
        </w:rPr>
        <w:t>，</w:t>
      </w:r>
      <w:r w:rsidR="00BA7D7E">
        <w:rPr>
          <w:rFonts w:hint="eastAsia"/>
        </w:rPr>
        <w:t>在防渗膜上铺设土工复合排水网或碎石盲沟，形成库底</w:t>
      </w:r>
      <w:r w:rsidR="000E08A6">
        <w:rPr>
          <w:rFonts w:hint="eastAsia"/>
        </w:rPr>
        <w:t>淋溶水</w:t>
      </w:r>
      <w:r w:rsidR="00BA7D7E">
        <w:rPr>
          <w:rFonts w:hint="eastAsia"/>
        </w:rPr>
        <w:t>导排层，并连接至集水井</w:t>
      </w:r>
      <w:r>
        <w:rPr>
          <w:rFonts w:hint="eastAsia"/>
        </w:rPr>
        <w:t>；</w:t>
      </w:r>
      <w:r w:rsidR="00BA7D7E">
        <w:rPr>
          <w:rFonts w:hint="eastAsia"/>
        </w:rPr>
        <w:t>在防渗膜下设置导排层，防止地下水浮托力破坏防渗层</w:t>
      </w:r>
      <w:r>
        <w:rPr>
          <w:rFonts w:hint="eastAsia"/>
        </w:rPr>
        <w:t>；</w:t>
      </w:r>
      <w:r w:rsidR="00BA7D7E">
        <w:rPr>
          <w:rFonts w:hint="eastAsia"/>
        </w:rPr>
        <w:t>铺设</w:t>
      </w:r>
      <w:r w:rsidR="00BA7D7E">
        <w:rPr>
          <w:rFonts w:hint="eastAsia"/>
        </w:rPr>
        <w:t>HDPE</w:t>
      </w:r>
      <w:r w:rsidR="00BA7D7E">
        <w:rPr>
          <w:rFonts w:hint="eastAsia"/>
        </w:rPr>
        <w:t>穿孔收集管，连接导排层与集水井，并安装提升泵。</w:t>
      </w:r>
    </w:p>
    <w:p w14:paraId="20F7EFED" w14:textId="63D31CEB" w:rsidR="00BA7D7E" w:rsidRDefault="00C22265" w:rsidP="00BA7D7E">
      <w:pPr>
        <w:pStyle w:val="affffff4"/>
      </w:pPr>
      <w:r>
        <w:rPr>
          <w:rFonts w:hint="eastAsia"/>
        </w:rPr>
        <w:t>5</w:t>
      </w:r>
      <w:r>
        <w:rPr>
          <w:rFonts w:hint="eastAsia"/>
        </w:rPr>
        <w:t>）</w:t>
      </w:r>
      <w:r w:rsidR="00BA7D7E">
        <w:rPr>
          <w:rFonts w:hint="eastAsia"/>
        </w:rPr>
        <w:t>遮雨与封场工程</w:t>
      </w:r>
    </w:p>
    <w:p w14:paraId="62BC17FC" w14:textId="74A96E5C" w:rsidR="00BA7D7E" w:rsidRDefault="000E08A6" w:rsidP="000E08A6">
      <w:pPr>
        <w:pStyle w:val="affffff4"/>
      </w:pPr>
      <w:r>
        <w:rPr>
          <w:rFonts w:hint="eastAsia"/>
        </w:rPr>
        <w:t>本项目实施</w:t>
      </w:r>
      <w:r w:rsidR="00BA7D7E">
        <w:rPr>
          <w:rFonts w:hint="eastAsia"/>
        </w:rPr>
        <w:t>雨污分流，完成最终生态封闭。</w:t>
      </w:r>
    </w:p>
    <w:p w14:paraId="0D306BB9" w14:textId="31631187" w:rsidR="00BA7D7E" w:rsidRDefault="00C22265" w:rsidP="00C22265">
      <w:pPr>
        <w:pStyle w:val="affffff4"/>
      </w:pPr>
      <w:r>
        <w:rPr>
          <w:rFonts w:hint="eastAsia"/>
        </w:rPr>
        <w:t>①</w:t>
      </w:r>
      <w:r w:rsidR="00BA7D7E">
        <w:rPr>
          <w:rFonts w:hint="eastAsia"/>
        </w:rPr>
        <w:t>中间覆盖</w:t>
      </w:r>
      <w:r>
        <w:rPr>
          <w:rFonts w:hint="eastAsia"/>
        </w:rPr>
        <w:t>，</w:t>
      </w:r>
      <w:r w:rsidR="00BA7D7E">
        <w:rPr>
          <w:rFonts w:hint="eastAsia"/>
        </w:rPr>
        <w:t>在填埋作业期间，对未作业区域使用临时</w:t>
      </w:r>
      <w:r w:rsidR="00BA7D7E">
        <w:rPr>
          <w:rFonts w:hint="eastAsia"/>
        </w:rPr>
        <w:t>HDPE</w:t>
      </w:r>
      <w:r w:rsidR="00BA7D7E">
        <w:rPr>
          <w:rFonts w:hint="eastAsia"/>
        </w:rPr>
        <w:t>膜覆盖，防止雨水淋溶。</w:t>
      </w:r>
    </w:p>
    <w:p w14:paraId="7FA07B58" w14:textId="1FA183CB" w:rsidR="00BA7D7E" w:rsidRDefault="00C22265" w:rsidP="00397075">
      <w:pPr>
        <w:pStyle w:val="affffff4"/>
      </w:pPr>
      <w:r>
        <w:rPr>
          <w:rFonts w:hint="eastAsia"/>
        </w:rPr>
        <w:t>②</w:t>
      </w:r>
      <w:r w:rsidR="00BA7D7E">
        <w:rPr>
          <w:rFonts w:hint="eastAsia"/>
        </w:rPr>
        <w:t>最终封场覆盖</w:t>
      </w:r>
      <w:r>
        <w:rPr>
          <w:rFonts w:hint="eastAsia"/>
        </w:rPr>
        <w:t>，</w:t>
      </w:r>
      <w:r w:rsidR="00BA7D7E">
        <w:rPr>
          <w:rFonts w:hint="eastAsia"/>
        </w:rPr>
        <w:t>填埋作业结束后，在堆体表面铺设复合覆盖层</w:t>
      </w:r>
      <w:r w:rsidR="00397075">
        <w:rPr>
          <w:rFonts w:hint="eastAsia"/>
        </w:rPr>
        <w:t>，</w:t>
      </w:r>
      <w:r w:rsidR="00BA7D7E">
        <w:rPr>
          <w:rFonts w:hint="eastAsia"/>
        </w:rPr>
        <w:t>在封场表面种植草皮或灌木，恢复生态景观。</w:t>
      </w:r>
    </w:p>
    <w:p w14:paraId="4AA8DC40" w14:textId="03320CC8" w:rsidR="00BA7D7E" w:rsidRDefault="00397075" w:rsidP="00BA7D7E">
      <w:pPr>
        <w:pStyle w:val="affffff4"/>
      </w:pPr>
      <w:r>
        <w:rPr>
          <w:rFonts w:hint="eastAsia"/>
        </w:rPr>
        <w:t>6</w:t>
      </w:r>
      <w:r>
        <w:rPr>
          <w:rFonts w:hint="eastAsia"/>
        </w:rPr>
        <w:t>）</w:t>
      </w:r>
      <w:r w:rsidR="00BA7D7E">
        <w:rPr>
          <w:rFonts w:hint="eastAsia"/>
        </w:rPr>
        <w:t>辅助与监测系统</w:t>
      </w:r>
    </w:p>
    <w:p w14:paraId="4B1651B3" w14:textId="32210F07" w:rsidR="00BA7D7E" w:rsidRDefault="00BA7D7E" w:rsidP="00BA7D7E">
      <w:pPr>
        <w:pStyle w:val="affffff4"/>
      </w:pPr>
      <w:r>
        <w:rPr>
          <w:rFonts w:hint="eastAsia"/>
        </w:rPr>
        <w:t>确保长期运行安全与合规。</w:t>
      </w:r>
    </w:p>
    <w:p w14:paraId="1EFC663B" w14:textId="2A4C8DFF" w:rsidR="00BA7D7E" w:rsidRDefault="00397075" w:rsidP="00397075">
      <w:pPr>
        <w:pStyle w:val="affffff4"/>
      </w:pPr>
      <w:r>
        <w:rPr>
          <w:rFonts w:hint="eastAsia"/>
        </w:rPr>
        <w:t>①</w:t>
      </w:r>
      <w:r w:rsidR="00BA7D7E">
        <w:rPr>
          <w:rFonts w:hint="eastAsia"/>
        </w:rPr>
        <w:t>截洪与排水</w:t>
      </w:r>
      <w:r>
        <w:rPr>
          <w:rFonts w:hint="eastAsia"/>
        </w:rPr>
        <w:t>，</w:t>
      </w:r>
      <w:r w:rsidR="00BA7D7E">
        <w:rPr>
          <w:rFonts w:hint="eastAsia"/>
        </w:rPr>
        <w:t>修建池顶截洪沟，将场外雨水引出，严禁进入库区。设置急流槽，将池壁雨水迅速导流至地面排水系统。</w:t>
      </w:r>
    </w:p>
    <w:p w14:paraId="1BBF66DD" w14:textId="29B6FBA6" w:rsidR="00606029" w:rsidRDefault="00397075" w:rsidP="00397075">
      <w:pPr>
        <w:pStyle w:val="affffff4"/>
      </w:pPr>
      <w:r>
        <w:rPr>
          <w:rFonts w:hint="eastAsia"/>
        </w:rPr>
        <w:t>②</w:t>
      </w:r>
      <w:r w:rsidR="00BA7D7E">
        <w:rPr>
          <w:rFonts w:hint="eastAsia"/>
        </w:rPr>
        <w:t>环境监测系统</w:t>
      </w:r>
      <w:r>
        <w:rPr>
          <w:rFonts w:hint="eastAsia"/>
        </w:rPr>
        <w:t>，</w:t>
      </w:r>
      <w:r w:rsidR="00BA7D7E">
        <w:rPr>
          <w:rFonts w:hint="eastAsia"/>
        </w:rPr>
        <w:t>安装电学渗漏检测系统（</w:t>
      </w:r>
      <w:r w:rsidR="00BA7D7E">
        <w:rPr>
          <w:rFonts w:hint="eastAsia"/>
        </w:rPr>
        <w:t>EST</w:t>
      </w:r>
      <w:r w:rsidR="00BA7D7E">
        <w:rPr>
          <w:rFonts w:hint="eastAsia"/>
        </w:rPr>
        <w:t>），实时监测防渗膜完整性</w:t>
      </w:r>
      <w:r>
        <w:rPr>
          <w:rFonts w:hint="eastAsia"/>
        </w:rPr>
        <w:t>；</w:t>
      </w:r>
      <w:r w:rsidR="00BA7D7E">
        <w:rPr>
          <w:rFonts w:hint="eastAsia"/>
        </w:rPr>
        <w:t>在库区上下游设置地下水监测井，定期取样检测水质</w:t>
      </w:r>
      <w:r>
        <w:rPr>
          <w:rFonts w:hint="eastAsia"/>
        </w:rPr>
        <w:t>；</w:t>
      </w:r>
      <w:r w:rsidR="00BA7D7E">
        <w:rPr>
          <w:rFonts w:hint="eastAsia"/>
        </w:rPr>
        <w:t>布设沉降观测点，监测堆体沉降</w:t>
      </w:r>
      <w:r w:rsidR="00BA7D7E">
        <w:rPr>
          <w:rFonts w:hint="eastAsia"/>
        </w:rPr>
        <w:lastRenderedPageBreak/>
        <w:t>情况。</w:t>
      </w:r>
    </w:p>
    <w:p w14:paraId="18D9F771" w14:textId="29AA1C1A" w:rsidR="00606029" w:rsidRDefault="00606029">
      <w:pPr>
        <w:pStyle w:val="4"/>
      </w:pPr>
      <w:hyperlink r:id="rId53" w:history="1">
        <w:r>
          <w:t>2.2.10.2</w:t>
        </w:r>
      </w:hyperlink>
      <w:r w:rsidR="00EA5B92">
        <w:t>施工设备</w:t>
      </w:r>
    </w:p>
    <w:p w14:paraId="7CF664A4" w14:textId="1154C41A" w:rsidR="00606029" w:rsidRDefault="00EA5B92">
      <w:pPr>
        <w:pStyle w:val="affffff4"/>
      </w:pPr>
      <w:r>
        <w:t>施工设备</w:t>
      </w:r>
      <w:r w:rsidR="006A52CC">
        <w:t>：</w:t>
      </w:r>
      <w:r>
        <w:t>挖掘机、</w:t>
      </w:r>
      <w:r w:rsidR="00583663">
        <w:rPr>
          <w:rFonts w:hint="eastAsia"/>
        </w:rPr>
        <w:t>起重机、风镐</w:t>
      </w:r>
      <w:r>
        <w:t>、</w:t>
      </w:r>
      <w:bookmarkStart w:id="119" w:name="OLE_LINK36"/>
      <w:r w:rsidR="00583663" w:rsidRPr="00583663">
        <w:t>土工膜爬焊机</w:t>
      </w:r>
      <w:bookmarkEnd w:id="119"/>
      <w:r>
        <w:t>、</w:t>
      </w:r>
      <w:bookmarkStart w:id="120" w:name="OLE_LINK37"/>
      <w:r w:rsidR="00583663" w:rsidRPr="00583663">
        <w:t>挤出焊机</w:t>
      </w:r>
      <w:bookmarkEnd w:id="120"/>
      <w:r w:rsidR="00583663">
        <w:rPr>
          <w:rFonts w:hint="eastAsia"/>
        </w:rPr>
        <w:t>、</w:t>
      </w:r>
      <w:bookmarkStart w:id="121" w:name="OLE_LINK38"/>
      <w:r w:rsidR="00583663" w:rsidRPr="00583663">
        <w:t>热熔焊机</w:t>
      </w:r>
      <w:bookmarkEnd w:id="121"/>
      <w:r w:rsidR="00583663">
        <w:rPr>
          <w:rFonts w:hint="eastAsia"/>
        </w:rPr>
        <w:t>及</w:t>
      </w:r>
      <w:r w:rsidR="00583663" w:rsidRPr="00583663">
        <w:t>高压水枪</w:t>
      </w:r>
      <w:r>
        <w:t>等设备。</w:t>
      </w:r>
    </w:p>
    <w:p w14:paraId="137FE96F" w14:textId="2BD49786" w:rsidR="00606029" w:rsidRDefault="00606029">
      <w:pPr>
        <w:pStyle w:val="4"/>
      </w:pPr>
      <w:hyperlink r:id="rId54" w:history="1">
        <w:r>
          <w:t>2.2.10.3</w:t>
        </w:r>
      </w:hyperlink>
      <w:r w:rsidR="00EA5B92">
        <w:t>施工条件</w:t>
      </w:r>
    </w:p>
    <w:p w14:paraId="2D2AF28F" w14:textId="77777777" w:rsidR="00606029" w:rsidRDefault="00EA5B92">
      <w:pPr>
        <w:pStyle w:val="affffff4"/>
      </w:pPr>
      <w:r>
        <w:t>（</w:t>
      </w:r>
      <w:r>
        <w:t>1</w:t>
      </w:r>
      <w:r>
        <w:t>）施工交通条件</w:t>
      </w:r>
    </w:p>
    <w:p w14:paraId="63A82A5E" w14:textId="1249D4F2" w:rsidR="00606029" w:rsidRDefault="00EA5B92">
      <w:pPr>
        <w:pStyle w:val="affffff4"/>
      </w:pPr>
      <w:r>
        <w:t>工程道路已形成，施工所需材料可直接运到现场。</w:t>
      </w:r>
    </w:p>
    <w:p w14:paraId="456E50DC" w14:textId="77777777" w:rsidR="00606029" w:rsidRDefault="00EA5B92">
      <w:pPr>
        <w:pStyle w:val="affffff4"/>
      </w:pPr>
      <w:r>
        <w:t>（</w:t>
      </w:r>
      <w:r>
        <w:t>2</w:t>
      </w:r>
      <w:r>
        <w:t>）施工水、电、通讯条件</w:t>
      </w:r>
    </w:p>
    <w:p w14:paraId="3420D34D" w14:textId="4B894BCD" w:rsidR="00606029" w:rsidRDefault="00EA5B92">
      <w:pPr>
        <w:pStyle w:val="affffff4"/>
      </w:pPr>
      <w:r>
        <w:t>施工通讯，有线电话可由当地电信部门协助解决，场内通讯可配备无线对讲机进行联络。本次</w:t>
      </w:r>
      <w:r w:rsidR="000E08A6">
        <w:rPr>
          <w:rFonts w:hint="eastAsia"/>
        </w:rPr>
        <w:t>改建</w:t>
      </w:r>
      <w:r>
        <w:t>工程位于填埋场范围内，施工具有依托条件，施工用电、用水，均可依托。</w:t>
      </w:r>
    </w:p>
    <w:p w14:paraId="6A570078" w14:textId="77777777" w:rsidR="00606029" w:rsidRDefault="00EA5B92">
      <w:pPr>
        <w:pStyle w:val="affffff4"/>
      </w:pPr>
      <w:r>
        <w:t>（</w:t>
      </w:r>
      <w:r>
        <w:t>3</w:t>
      </w:r>
      <w:r>
        <w:t>）建筑材料供应条件</w:t>
      </w:r>
    </w:p>
    <w:p w14:paraId="26B9F115" w14:textId="28EFFE1A" w:rsidR="00606029" w:rsidRDefault="00EA5B92">
      <w:pPr>
        <w:pStyle w:val="affffff4"/>
      </w:pPr>
      <w:r>
        <w:t>本工程的建材可在当地购买或直接向厂家购买。</w:t>
      </w:r>
    </w:p>
    <w:p w14:paraId="46628546" w14:textId="0B5DAC2D" w:rsidR="00606029" w:rsidRDefault="00606029">
      <w:pPr>
        <w:pStyle w:val="4"/>
      </w:pPr>
      <w:hyperlink r:id="rId55" w:history="1">
        <w:r>
          <w:t>2.2.10.4</w:t>
        </w:r>
      </w:hyperlink>
      <w:r w:rsidR="00EA5B92">
        <w:t>土石方平衡</w:t>
      </w:r>
    </w:p>
    <w:p w14:paraId="4C9FB5AE" w14:textId="67BC45D0" w:rsidR="00606029" w:rsidRDefault="00EA5B92">
      <w:pPr>
        <w:pStyle w:val="affffff4"/>
      </w:pPr>
      <w:bookmarkStart w:id="122" w:name="OLE_LINK25"/>
      <w:r>
        <w:t>由于场地</w:t>
      </w:r>
      <w:r w:rsidR="008256DA">
        <w:rPr>
          <w:rFonts w:hint="eastAsia"/>
        </w:rPr>
        <w:t>为渗滤液调节池，</w:t>
      </w:r>
      <w:r>
        <w:t>土方</w:t>
      </w:r>
      <w:r w:rsidR="00AA797D">
        <w:rPr>
          <w:rFonts w:hint="eastAsia"/>
        </w:rPr>
        <w:t>极少</w:t>
      </w:r>
      <w:r>
        <w:t>，</w:t>
      </w:r>
      <w:r w:rsidR="00AA797D" w:rsidRPr="00AA797D">
        <w:rPr>
          <w:rFonts w:hint="eastAsia"/>
        </w:rPr>
        <w:t>仅需要少量建筑垃圾及时清运至建筑垃圾调配场</w:t>
      </w:r>
      <w:r w:rsidRPr="00AA797D">
        <w:t>。</w:t>
      </w:r>
    </w:p>
    <w:bookmarkEnd w:id="122"/>
    <w:p w14:paraId="2609B997" w14:textId="5E4BD912" w:rsidR="00606029" w:rsidRDefault="00606029">
      <w:pPr>
        <w:pStyle w:val="4"/>
      </w:pPr>
      <w:r>
        <w:fldChar w:fldCharType="begin"/>
      </w:r>
      <w:r>
        <w:instrText>HYPERLINK "file:///C:\\Users\\xueying\\AppData\\Roaming\\Microsoft\\Word\\3.2.10.5"</w:instrText>
      </w:r>
      <w:r>
        <w:fldChar w:fldCharType="separate"/>
      </w:r>
      <w:r>
        <w:t>2.2.10.5</w:t>
      </w:r>
      <w:r>
        <w:fldChar w:fldCharType="end"/>
      </w:r>
      <w:r w:rsidR="00EA5B92">
        <w:t>“</w:t>
      </w:r>
      <w:r w:rsidR="00EA5B92">
        <w:t>三场</w:t>
      </w:r>
      <w:r w:rsidR="00EA5B92">
        <w:t>”</w:t>
      </w:r>
      <w:r w:rsidR="00EA5B92">
        <w:t>设置</w:t>
      </w:r>
    </w:p>
    <w:p w14:paraId="5E21A67A" w14:textId="77777777" w:rsidR="00606029" w:rsidRDefault="00EA5B92">
      <w:pPr>
        <w:pStyle w:val="affffff4"/>
      </w:pPr>
      <w:r>
        <w:t>（</w:t>
      </w:r>
      <w:r>
        <w:t>1</w:t>
      </w:r>
      <w:r>
        <w:t>）取土场</w:t>
      </w:r>
    </w:p>
    <w:p w14:paraId="4BFC813E" w14:textId="6773D3AE" w:rsidR="00606029" w:rsidRDefault="00EA5B92">
      <w:pPr>
        <w:pStyle w:val="affffff4"/>
      </w:pPr>
      <w:r>
        <w:t>本项目所需建筑材料由当地购买。本项目不设置取土场。</w:t>
      </w:r>
    </w:p>
    <w:p w14:paraId="30F70915" w14:textId="77777777" w:rsidR="00606029" w:rsidRPr="00EB40AE" w:rsidRDefault="00EA5B92">
      <w:pPr>
        <w:pStyle w:val="affffff4"/>
      </w:pPr>
      <w:r w:rsidRPr="00EB40AE">
        <w:t>（</w:t>
      </w:r>
      <w:r w:rsidRPr="00EB40AE">
        <w:t>2</w:t>
      </w:r>
      <w:r w:rsidRPr="00EB40AE">
        <w:t>）临时施工场所、临时施工营地</w:t>
      </w:r>
    </w:p>
    <w:p w14:paraId="10243124" w14:textId="60428BF8" w:rsidR="00606029" w:rsidRPr="00EB40AE" w:rsidRDefault="00EB40AE">
      <w:pPr>
        <w:pStyle w:val="affffff4"/>
      </w:pPr>
      <w:r w:rsidRPr="00EB40AE">
        <w:rPr>
          <w:rFonts w:hint="eastAsia"/>
        </w:rPr>
        <w:t>本项目位于原大庆市生活垃圾综合处理厂，</w:t>
      </w:r>
      <w:r w:rsidR="00EA5B92" w:rsidRPr="00EB40AE">
        <w:t>施工人员生活设施依托</w:t>
      </w:r>
      <w:r w:rsidRPr="00EB40AE">
        <w:rPr>
          <w:rFonts w:hint="eastAsia"/>
        </w:rPr>
        <w:t>厂区现有工程，不设施工营地</w:t>
      </w:r>
      <w:r w:rsidR="00EA5B92" w:rsidRPr="00EB40AE">
        <w:t>。</w:t>
      </w:r>
    </w:p>
    <w:p w14:paraId="577DE2A1" w14:textId="77777777" w:rsidR="00606029" w:rsidRPr="00EB40AE" w:rsidRDefault="00EA5B92">
      <w:pPr>
        <w:pStyle w:val="affffff4"/>
      </w:pPr>
      <w:r w:rsidRPr="00EB40AE">
        <w:t>（</w:t>
      </w:r>
      <w:r w:rsidRPr="00EB40AE">
        <w:t>3</w:t>
      </w:r>
      <w:r w:rsidRPr="00EB40AE">
        <w:t>）弃土</w:t>
      </w:r>
      <w:r w:rsidRPr="00EB40AE">
        <w:t>/</w:t>
      </w:r>
      <w:r w:rsidRPr="00EB40AE">
        <w:t>弃渣场</w:t>
      </w:r>
    </w:p>
    <w:p w14:paraId="136C2F4E" w14:textId="74992DF5" w:rsidR="00606029" w:rsidRDefault="00EA5B92">
      <w:pPr>
        <w:pStyle w:val="affffff4"/>
      </w:pPr>
      <w:r w:rsidRPr="00EB40AE">
        <w:t>根据建设单位提供的资料，</w:t>
      </w:r>
      <w:r w:rsidR="00EB40AE" w:rsidRPr="00EB40AE">
        <w:rPr>
          <w:rFonts w:hint="eastAsia"/>
        </w:rPr>
        <w:t>本项目将</w:t>
      </w:r>
      <w:r w:rsidR="00EB40AE" w:rsidRPr="00EB40AE">
        <w:t>为渗滤液调节池</w:t>
      </w:r>
      <w:r w:rsidR="00EB40AE" w:rsidRPr="00EB40AE">
        <w:rPr>
          <w:rFonts w:hint="eastAsia"/>
        </w:rPr>
        <w:t>改建为生活垃圾焚烧飞灰填埋场</w:t>
      </w:r>
      <w:r w:rsidR="00EB40AE" w:rsidRPr="00EB40AE">
        <w:t>，</w:t>
      </w:r>
      <w:r w:rsidR="00EB40AE" w:rsidRPr="00EB40AE">
        <w:rPr>
          <w:rFonts w:hint="eastAsia"/>
        </w:rPr>
        <w:t>施工期间会产生</w:t>
      </w:r>
      <w:r w:rsidR="00EB40AE" w:rsidRPr="00EB40AE">
        <w:t>建筑垃圾</w:t>
      </w:r>
      <w:r w:rsidR="00EB40AE" w:rsidRPr="00EB40AE">
        <w:rPr>
          <w:rFonts w:hint="eastAsia"/>
        </w:rPr>
        <w:t>约</w:t>
      </w:r>
      <w:r w:rsidR="00EB40AE" w:rsidRPr="00EB40AE">
        <w:rPr>
          <w:rFonts w:hint="eastAsia"/>
        </w:rPr>
        <w:t>10t</w:t>
      </w:r>
      <w:r w:rsidR="00EB40AE" w:rsidRPr="00EB40AE">
        <w:rPr>
          <w:rFonts w:hint="eastAsia"/>
        </w:rPr>
        <w:t>，</w:t>
      </w:r>
      <w:r w:rsidR="00EB40AE" w:rsidRPr="00EB40AE">
        <w:t>及时清运至建筑垃圾调配场</w:t>
      </w:r>
      <w:r w:rsidR="00EB40AE" w:rsidRPr="00EB40AE">
        <w:rPr>
          <w:rFonts w:hint="eastAsia"/>
        </w:rPr>
        <w:t>，不涉及其他弃方</w:t>
      </w:r>
      <w:r w:rsidRPr="00EB40AE">
        <w:t>。</w:t>
      </w:r>
    </w:p>
    <w:p w14:paraId="385F7DA2" w14:textId="77777777" w:rsidR="00606029" w:rsidRDefault="00EA5B92">
      <w:pPr>
        <w:pStyle w:val="2"/>
      </w:pPr>
      <w:bookmarkStart w:id="123" w:name="_Toc220680475"/>
      <w:r>
        <w:lastRenderedPageBreak/>
        <w:t>2.3</w:t>
      </w:r>
      <w:r>
        <w:t>工程分析</w:t>
      </w:r>
      <w:bookmarkEnd w:id="123"/>
    </w:p>
    <w:p w14:paraId="42636F77" w14:textId="77777777" w:rsidR="00606029" w:rsidRDefault="00EA5B92">
      <w:pPr>
        <w:pStyle w:val="3"/>
      </w:pPr>
      <w:bookmarkStart w:id="124" w:name="_Toc220680476"/>
      <w:r>
        <w:t>2.3.1</w:t>
      </w:r>
      <w:r>
        <w:t>施工期污染源源强核算</w:t>
      </w:r>
      <w:bookmarkEnd w:id="124"/>
    </w:p>
    <w:p w14:paraId="7BB80A3C" w14:textId="6D20545E" w:rsidR="00606029" w:rsidRDefault="00606029">
      <w:pPr>
        <w:pStyle w:val="4"/>
      </w:pPr>
      <w:hyperlink r:id="rId56" w:history="1">
        <w:r>
          <w:t>2.3.1.1</w:t>
        </w:r>
      </w:hyperlink>
      <w:r w:rsidR="00EA5B92">
        <w:t>施工期水污染源</w:t>
      </w:r>
    </w:p>
    <w:p w14:paraId="12149619" w14:textId="319F0842" w:rsidR="00926F4B" w:rsidRDefault="0069621B">
      <w:pPr>
        <w:pStyle w:val="affffff4"/>
      </w:pPr>
      <w:r>
        <w:rPr>
          <w:rFonts w:hint="eastAsia"/>
        </w:rPr>
        <w:t>本项目施工期废水主要为施工废水、生活污水和残留渗滤液。</w:t>
      </w:r>
    </w:p>
    <w:p w14:paraId="5E6D901D" w14:textId="3EF2F92E" w:rsidR="00606029" w:rsidRDefault="00EA5B92">
      <w:pPr>
        <w:pStyle w:val="affffff4"/>
      </w:pPr>
      <w:r>
        <w:t>（</w:t>
      </w:r>
      <w:r>
        <w:t>1</w:t>
      </w:r>
      <w:r>
        <w:t>）</w:t>
      </w:r>
      <w:r w:rsidR="00926F4B">
        <w:t>施工废水</w:t>
      </w:r>
    </w:p>
    <w:p w14:paraId="0DC8A706" w14:textId="2B2DD93A" w:rsidR="00136CF4" w:rsidRDefault="00EA5B92" w:rsidP="00136CF4">
      <w:pPr>
        <w:pStyle w:val="affffff4"/>
      </w:pPr>
      <w:r>
        <w:t>本项目</w:t>
      </w:r>
      <w:r w:rsidR="0069621B">
        <w:t>施工废水</w:t>
      </w:r>
      <w:r w:rsidR="00136CF4">
        <w:rPr>
          <w:rFonts w:hint="eastAsia"/>
        </w:rPr>
        <w:t>为调节池清理后冲洗产生的</w:t>
      </w:r>
      <w:r>
        <w:t>冲洗废水</w:t>
      </w:r>
      <w:r w:rsidR="00136CF4">
        <w:rPr>
          <w:rFonts w:hint="eastAsia"/>
        </w:rPr>
        <w:t>，主要成分与渗滤液相似，</w:t>
      </w:r>
      <w:r w:rsidR="00AA5633">
        <w:rPr>
          <w:rFonts w:hint="eastAsia"/>
        </w:rPr>
        <w:t>包括</w:t>
      </w:r>
      <w:r w:rsidR="00AA5633">
        <w:rPr>
          <w:rFonts w:hint="eastAsia"/>
        </w:rPr>
        <w:t>COD</w:t>
      </w:r>
      <w:r w:rsidR="00AA5633">
        <w:rPr>
          <w:rFonts w:hint="eastAsia"/>
        </w:rPr>
        <w:t>、</w:t>
      </w:r>
      <w:r w:rsidR="00AA5633">
        <w:rPr>
          <w:rFonts w:hint="eastAsia"/>
        </w:rPr>
        <w:t>BOD</w:t>
      </w:r>
      <w:r w:rsidR="00AA5633" w:rsidRPr="00AA5633">
        <w:rPr>
          <w:rFonts w:hint="eastAsia"/>
          <w:vertAlign w:val="subscript"/>
        </w:rPr>
        <w:t>5</w:t>
      </w:r>
      <w:r w:rsidR="00AA5633">
        <w:rPr>
          <w:rFonts w:hint="eastAsia"/>
        </w:rPr>
        <w:t>、重金属等，</w:t>
      </w:r>
      <w:r w:rsidR="00136CF4">
        <w:rPr>
          <w:rFonts w:hint="eastAsia"/>
        </w:rPr>
        <w:t>产生量约为</w:t>
      </w:r>
      <w:r w:rsidR="00136CF4">
        <w:rPr>
          <w:rFonts w:hint="eastAsia"/>
        </w:rPr>
        <w:t>50t</w:t>
      </w:r>
      <w:r>
        <w:t>。</w:t>
      </w:r>
      <w:r w:rsidR="00136CF4">
        <w:rPr>
          <w:rFonts w:hint="eastAsia"/>
        </w:rPr>
        <w:t>经管道进入</w:t>
      </w:r>
      <w:r w:rsidR="00136CF4" w:rsidRPr="00136CF4">
        <w:t>渗滤液处理站处理后满足《生活垃圾填埋场污染控制标准》（</w:t>
      </w:r>
      <w:r w:rsidR="00136CF4" w:rsidRPr="00136CF4">
        <w:t>GB16889-2024</w:t>
      </w:r>
      <w:r w:rsidR="00136CF4" w:rsidRPr="00136CF4">
        <w:t>）表</w:t>
      </w:r>
      <w:r w:rsidR="00136CF4" w:rsidRPr="00136CF4">
        <w:t>4</w:t>
      </w:r>
      <w:r w:rsidR="00136CF4" w:rsidRPr="00136CF4">
        <w:t>要求和《城市污水再生利用</w:t>
      </w:r>
      <w:r w:rsidR="00136CF4" w:rsidRPr="00136CF4">
        <w:t xml:space="preserve"> </w:t>
      </w:r>
      <w:r w:rsidR="00136CF4" w:rsidRPr="00136CF4">
        <w:t>工业用水水质》（</w:t>
      </w:r>
      <w:r w:rsidR="00136CF4" w:rsidRPr="00136CF4">
        <w:t>GB/T19923-2024</w:t>
      </w:r>
      <w:r w:rsidR="00136CF4" w:rsidRPr="00136CF4">
        <w:t>）表</w:t>
      </w:r>
      <w:r w:rsidR="00136CF4" w:rsidRPr="00136CF4">
        <w:t>1</w:t>
      </w:r>
      <w:r w:rsidR="00136CF4" w:rsidRPr="00136CF4">
        <w:t>间冷开式循环冷却水补充水标准后全部回用至厂区冷却塔补水，不外排。</w:t>
      </w:r>
    </w:p>
    <w:p w14:paraId="0679D310" w14:textId="2BC05D51" w:rsidR="00606029" w:rsidRDefault="00EA5B92">
      <w:pPr>
        <w:pStyle w:val="affffff4"/>
        <w:spacing w:beforeLines="50" w:before="120"/>
      </w:pPr>
      <w:r>
        <w:t>（</w:t>
      </w:r>
      <w:r>
        <w:t>2</w:t>
      </w:r>
      <w:r>
        <w:t>）施工人员生活污水</w:t>
      </w:r>
    </w:p>
    <w:p w14:paraId="22E82F57" w14:textId="0119E348" w:rsidR="00606029" w:rsidRDefault="00EA5B92">
      <w:pPr>
        <w:pStyle w:val="affffff4"/>
      </w:pPr>
      <w:r>
        <w:t>本项目施工高峰时期施工人员需要大约</w:t>
      </w:r>
      <w:r>
        <w:t>25</w:t>
      </w:r>
      <w:r>
        <w:t>人。根据</w:t>
      </w:r>
      <w:r w:rsidR="00894AEE" w:rsidRPr="00894AEE">
        <w:rPr>
          <w:rFonts w:hint="eastAsia"/>
        </w:rPr>
        <w:t>黑龙江省地方标准</w:t>
      </w:r>
      <w:r w:rsidR="0092263B" w:rsidRPr="00894AEE">
        <w:rPr>
          <w:rFonts w:hint="eastAsia"/>
        </w:rPr>
        <w:t>《</w:t>
      </w:r>
      <w:r w:rsidR="00894AEE" w:rsidRPr="00894AEE">
        <w:rPr>
          <w:rFonts w:hint="eastAsia"/>
        </w:rPr>
        <w:t>用水定额》</w:t>
      </w:r>
      <w:bookmarkStart w:id="125" w:name="OLE_LINK23"/>
      <w:r w:rsidR="00894AEE" w:rsidRPr="00894AEE">
        <w:rPr>
          <w:rFonts w:hint="eastAsia"/>
        </w:rPr>
        <w:t>（</w:t>
      </w:r>
      <w:r w:rsidR="00894AEE" w:rsidRPr="00894AEE">
        <w:rPr>
          <w:rFonts w:hint="eastAsia"/>
        </w:rPr>
        <w:t>DB23/T727-202</w:t>
      </w:r>
      <w:r w:rsidR="0092263B">
        <w:rPr>
          <w:rFonts w:hint="eastAsia"/>
        </w:rPr>
        <w:t>5</w:t>
      </w:r>
      <w:r w:rsidR="00894AEE" w:rsidRPr="00894AEE">
        <w:rPr>
          <w:rFonts w:hint="eastAsia"/>
        </w:rPr>
        <w:t>）</w:t>
      </w:r>
      <w:bookmarkEnd w:id="125"/>
      <w:r w:rsidR="00894AEE" w:rsidRPr="00894AEE">
        <w:rPr>
          <w:rFonts w:hint="eastAsia"/>
        </w:rPr>
        <w:t>规定，生活用水按</w:t>
      </w:r>
      <w:r w:rsidR="00894AEE" w:rsidRPr="00894AEE">
        <w:rPr>
          <w:rFonts w:hint="eastAsia"/>
        </w:rPr>
        <w:t>80L/</w:t>
      </w:r>
      <w:r w:rsidR="00894AEE" w:rsidRPr="00894AEE">
        <w:rPr>
          <w:rFonts w:hint="eastAsia"/>
        </w:rPr>
        <w:t>（人·</w:t>
      </w:r>
      <w:r w:rsidR="00894AEE" w:rsidRPr="00894AEE">
        <w:rPr>
          <w:rFonts w:hint="eastAsia"/>
        </w:rPr>
        <w:t>d</w:t>
      </w:r>
      <w:r w:rsidR="00894AEE" w:rsidRPr="00894AEE">
        <w:rPr>
          <w:rFonts w:hint="eastAsia"/>
        </w:rPr>
        <w:t>）</w:t>
      </w:r>
      <w:r>
        <w:t>，排水系数取</w:t>
      </w:r>
      <w:r>
        <w:t>80%</w:t>
      </w:r>
      <w:r w:rsidR="008256DA">
        <w:rPr>
          <w:rFonts w:hint="eastAsia"/>
        </w:rPr>
        <w:t>，</w:t>
      </w:r>
      <w:r w:rsidR="008256DA" w:rsidRPr="008256DA">
        <w:rPr>
          <w:rFonts w:hint="eastAsia"/>
        </w:rPr>
        <w:t>施工期</w:t>
      </w:r>
      <w:r w:rsidR="00894AEE">
        <w:rPr>
          <w:rFonts w:hint="eastAsia"/>
        </w:rPr>
        <w:t>1</w:t>
      </w:r>
      <w:r w:rsidR="00894AEE">
        <w:rPr>
          <w:rFonts w:hint="eastAsia"/>
        </w:rPr>
        <w:t>个月，</w:t>
      </w:r>
      <w:r w:rsidR="008256DA" w:rsidRPr="008256DA">
        <w:rPr>
          <w:rFonts w:hint="eastAsia"/>
        </w:rPr>
        <w:t>生活污水污染物浓度为</w:t>
      </w:r>
      <w:r w:rsidR="008256DA" w:rsidRPr="008256DA">
        <w:rPr>
          <w:rFonts w:hint="eastAsia"/>
        </w:rPr>
        <w:t>COD300mg/L</w:t>
      </w:r>
      <w:r w:rsidR="008256DA" w:rsidRPr="008256DA">
        <w:rPr>
          <w:rFonts w:hint="eastAsia"/>
        </w:rPr>
        <w:t>、氨氮</w:t>
      </w:r>
      <w:r w:rsidR="008256DA" w:rsidRPr="008256DA">
        <w:rPr>
          <w:rFonts w:hint="eastAsia"/>
        </w:rPr>
        <w:t>30mg/L</w:t>
      </w:r>
      <w:r w:rsidR="008256DA" w:rsidRPr="008256DA">
        <w:rPr>
          <w:rFonts w:hint="eastAsia"/>
        </w:rPr>
        <w:t>。</w:t>
      </w:r>
      <w:r>
        <w:t>施工人员的生活污水</w:t>
      </w:r>
      <w:r w:rsidR="008256DA">
        <w:rPr>
          <w:rFonts w:hint="eastAsia"/>
        </w:rPr>
        <w:t>厂区内生活污水</w:t>
      </w:r>
      <w:r>
        <w:t>处理站处理。施工期生活污水产生情况见下表。</w:t>
      </w:r>
    </w:p>
    <w:p w14:paraId="23F6B941" w14:textId="5D7F1CC6" w:rsidR="00B90D7A" w:rsidRDefault="00B90D7A" w:rsidP="00B90D7A">
      <w:pPr>
        <w:pStyle w:val="affffff5"/>
      </w:pPr>
      <w:r>
        <w:t>表</w:t>
      </w:r>
      <w:r>
        <w:t>2.3-</w:t>
      </w:r>
      <w:r w:rsidR="00136CF4">
        <w:rPr>
          <w:rFonts w:hint="eastAsia"/>
        </w:rPr>
        <w:t>1</w:t>
      </w:r>
      <w:r>
        <w:t>施工高峰期生活污水产生量</w:t>
      </w:r>
    </w:p>
    <w:tbl>
      <w:tblPr>
        <w:tblStyle w:val="TableNormal"/>
        <w:tblW w:w="5000" w:type="pct"/>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0"/>
        <w:gridCol w:w="1825"/>
        <w:gridCol w:w="1493"/>
        <w:gridCol w:w="1756"/>
      </w:tblGrid>
      <w:tr w:rsidR="00B90D7A" w14:paraId="6B5372FE" w14:textId="77777777" w:rsidTr="0000680D">
        <w:trPr>
          <w:trHeight w:val="57"/>
        </w:trPr>
        <w:tc>
          <w:tcPr>
            <w:tcW w:w="2128" w:type="pct"/>
            <w:vAlign w:val="center"/>
          </w:tcPr>
          <w:p w14:paraId="4B2DC063" w14:textId="77777777" w:rsidR="00B90D7A" w:rsidRDefault="00B90D7A" w:rsidP="0000680D">
            <w:pPr>
              <w:pStyle w:val="TableText"/>
              <w:adjustRightInd w:val="0"/>
              <w:snapToGrid w:val="0"/>
              <w:jc w:val="center"/>
              <w:rPr>
                <w:rFonts w:ascii="Times New Roman" w:hAnsi="Times New Roman" w:cs="Times New Roman"/>
              </w:rPr>
            </w:pPr>
            <w:r>
              <w:rPr>
                <w:rFonts w:ascii="Times New Roman" w:hAnsi="Times New Roman" w:cs="Times New Roman"/>
              </w:rPr>
              <w:t>项目</w:t>
            </w:r>
          </w:p>
        </w:tc>
        <w:tc>
          <w:tcPr>
            <w:tcW w:w="1033" w:type="pct"/>
            <w:vAlign w:val="center"/>
          </w:tcPr>
          <w:p w14:paraId="353A84A3" w14:textId="77777777" w:rsidR="00B90D7A" w:rsidRDefault="00B90D7A" w:rsidP="0000680D">
            <w:pPr>
              <w:pStyle w:val="TableText"/>
              <w:adjustRightInd w:val="0"/>
              <w:snapToGrid w:val="0"/>
              <w:jc w:val="center"/>
              <w:rPr>
                <w:rFonts w:ascii="Times New Roman" w:hAnsi="Times New Roman" w:cs="Times New Roman"/>
              </w:rPr>
            </w:pPr>
            <w:r>
              <w:rPr>
                <w:rFonts w:ascii="Times New Roman" w:hAnsi="Times New Roman" w:cs="Times New Roman"/>
              </w:rPr>
              <w:t>污水量</w:t>
            </w:r>
          </w:p>
        </w:tc>
        <w:tc>
          <w:tcPr>
            <w:tcW w:w="845" w:type="pct"/>
            <w:vAlign w:val="center"/>
          </w:tcPr>
          <w:p w14:paraId="20FF1F8F" w14:textId="77777777" w:rsidR="00B90D7A" w:rsidRDefault="00B90D7A" w:rsidP="0000680D">
            <w:pPr>
              <w:adjustRightInd w:val="0"/>
              <w:snapToGrid w:val="0"/>
              <w:jc w:val="center"/>
              <w:rPr>
                <w:rFonts w:eastAsia="Times New Roman"/>
              </w:rPr>
            </w:pPr>
            <w:r>
              <w:rPr>
                <w:rFonts w:eastAsia="Times New Roman"/>
              </w:rPr>
              <w:t>COD</w:t>
            </w:r>
          </w:p>
        </w:tc>
        <w:tc>
          <w:tcPr>
            <w:tcW w:w="994" w:type="pct"/>
            <w:vAlign w:val="center"/>
          </w:tcPr>
          <w:p w14:paraId="766A6938" w14:textId="77777777" w:rsidR="00B90D7A" w:rsidRDefault="00B90D7A" w:rsidP="0000680D">
            <w:pPr>
              <w:adjustRightInd w:val="0"/>
              <w:snapToGrid w:val="0"/>
              <w:jc w:val="center"/>
              <w:rPr>
                <w:rFonts w:eastAsia="Times New Roman"/>
              </w:rPr>
            </w:pPr>
            <w:r>
              <w:rPr>
                <w:rFonts w:eastAsia="Times New Roman"/>
              </w:rPr>
              <w:t>NH</w:t>
            </w:r>
            <w:r>
              <w:rPr>
                <w:rFonts w:eastAsia="Times New Roman"/>
                <w:vertAlign w:val="subscript"/>
              </w:rPr>
              <w:t>3</w:t>
            </w:r>
            <w:r>
              <w:rPr>
                <w:rFonts w:eastAsia="Times New Roman"/>
              </w:rPr>
              <w:t>-N</w:t>
            </w:r>
          </w:p>
        </w:tc>
      </w:tr>
      <w:tr w:rsidR="00B90D7A" w14:paraId="7A77B979" w14:textId="77777777" w:rsidTr="0000680D">
        <w:trPr>
          <w:trHeight w:val="57"/>
        </w:trPr>
        <w:tc>
          <w:tcPr>
            <w:tcW w:w="2128" w:type="pct"/>
            <w:vAlign w:val="center"/>
          </w:tcPr>
          <w:p w14:paraId="7B6F589B" w14:textId="77777777" w:rsidR="00B90D7A" w:rsidRDefault="00B90D7A" w:rsidP="0000680D">
            <w:pPr>
              <w:pStyle w:val="TableText"/>
              <w:adjustRightInd w:val="0"/>
              <w:snapToGrid w:val="0"/>
              <w:jc w:val="center"/>
              <w:rPr>
                <w:rFonts w:ascii="Times New Roman" w:hAnsi="Times New Roman" w:cs="Times New Roman"/>
              </w:rPr>
            </w:pPr>
            <w:r>
              <w:rPr>
                <w:rFonts w:ascii="Times New Roman" w:hAnsi="Times New Roman" w:cs="Times New Roman"/>
              </w:rPr>
              <w:t>产生浓度（</w:t>
            </w:r>
            <w:r>
              <w:rPr>
                <w:rFonts w:ascii="Times New Roman" w:eastAsia="Times New Roman" w:hAnsi="Times New Roman" w:cs="Times New Roman"/>
              </w:rPr>
              <w:t>mg/L</w:t>
            </w:r>
            <w:r>
              <w:rPr>
                <w:rFonts w:ascii="Times New Roman" w:hAnsi="Times New Roman" w:cs="Times New Roman"/>
              </w:rPr>
              <w:t>）</w:t>
            </w:r>
          </w:p>
        </w:tc>
        <w:tc>
          <w:tcPr>
            <w:tcW w:w="1033" w:type="pct"/>
            <w:vAlign w:val="center"/>
          </w:tcPr>
          <w:p w14:paraId="79A72685" w14:textId="77777777" w:rsidR="00B90D7A" w:rsidRDefault="00B90D7A" w:rsidP="0000680D">
            <w:pPr>
              <w:adjustRightInd w:val="0"/>
              <w:snapToGrid w:val="0"/>
              <w:jc w:val="center"/>
              <w:rPr>
                <w:rFonts w:eastAsia="Times New Roman"/>
              </w:rPr>
            </w:pPr>
            <w:r>
              <w:rPr>
                <w:rFonts w:eastAsia="Times New Roman"/>
              </w:rPr>
              <w:t>/</w:t>
            </w:r>
          </w:p>
        </w:tc>
        <w:tc>
          <w:tcPr>
            <w:tcW w:w="845" w:type="pct"/>
            <w:vAlign w:val="center"/>
          </w:tcPr>
          <w:p w14:paraId="1C7DB208" w14:textId="77777777" w:rsidR="00B90D7A" w:rsidRPr="00894AEE" w:rsidRDefault="00B90D7A" w:rsidP="0000680D">
            <w:pPr>
              <w:adjustRightInd w:val="0"/>
              <w:snapToGrid w:val="0"/>
              <w:jc w:val="center"/>
              <w:rPr>
                <w:rFonts w:eastAsiaTheme="minorEastAsia"/>
              </w:rPr>
            </w:pPr>
            <w:r>
              <w:rPr>
                <w:rFonts w:eastAsiaTheme="minorEastAsia" w:hint="eastAsia"/>
              </w:rPr>
              <w:t>300</w:t>
            </w:r>
          </w:p>
        </w:tc>
        <w:tc>
          <w:tcPr>
            <w:tcW w:w="994" w:type="pct"/>
            <w:vAlign w:val="center"/>
          </w:tcPr>
          <w:p w14:paraId="1D239E2C" w14:textId="77777777" w:rsidR="00B90D7A" w:rsidRPr="00894AEE" w:rsidRDefault="00B90D7A" w:rsidP="0000680D">
            <w:pPr>
              <w:adjustRightInd w:val="0"/>
              <w:snapToGrid w:val="0"/>
              <w:jc w:val="center"/>
              <w:rPr>
                <w:rFonts w:eastAsiaTheme="minorEastAsia"/>
              </w:rPr>
            </w:pPr>
            <w:r>
              <w:rPr>
                <w:rFonts w:eastAsiaTheme="minorEastAsia" w:hint="eastAsia"/>
              </w:rPr>
              <w:t>30</w:t>
            </w:r>
          </w:p>
        </w:tc>
      </w:tr>
      <w:tr w:rsidR="00B90D7A" w14:paraId="7EBC2E6F" w14:textId="77777777" w:rsidTr="0000680D">
        <w:trPr>
          <w:trHeight w:val="57"/>
        </w:trPr>
        <w:tc>
          <w:tcPr>
            <w:tcW w:w="2128" w:type="pct"/>
            <w:vAlign w:val="center"/>
          </w:tcPr>
          <w:p w14:paraId="5E135FB3" w14:textId="77777777" w:rsidR="00B90D7A" w:rsidRDefault="00B90D7A" w:rsidP="0000680D">
            <w:pPr>
              <w:pStyle w:val="TableText"/>
              <w:adjustRightInd w:val="0"/>
              <w:snapToGrid w:val="0"/>
              <w:jc w:val="center"/>
              <w:rPr>
                <w:rFonts w:ascii="Times New Roman" w:hAnsi="Times New Roman" w:cs="Times New Roman"/>
              </w:rPr>
            </w:pPr>
            <w:r>
              <w:rPr>
                <w:rFonts w:ascii="Times New Roman" w:hAnsi="Times New Roman" w:cs="Times New Roman"/>
              </w:rPr>
              <w:t>日产生量（</w:t>
            </w:r>
            <w:r>
              <w:rPr>
                <w:rFonts w:ascii="Times New Roman" w:eastAsia="Times New Roman" w:hAnsi="Times New Roman" w:cs="Times New Roman"/>
              </w:rPr>
              <w:t>kg/d</w:t>
            </w:r>
            <w:r>
              <w:rPr>
                <w:rFonts w:ascii="Times New Roman" w:hAnsi="Times New Roman" w:cs="Times New Roman"/>
              </w:rPr>
              <w:t>）</w:t>
            </w:r>
          </w:p>
        </w:tc>
        <w:tc>
          <w:tcPr>
            <w:tcW w:w="1033" w:type="pct"/>
            <w:vAlign w:val="center"/>
          </w:tcPr>
          <w:p w14:paraId="284B42E6" w14:textId="77777777" w:rsidR="00B90D7A" w:rsidRPr="00894AEE" w:rsidRDefault="00B90D7A" w:rsidP="0000680D">
            <w:pPr>
              <w:adjustRightInd w:val="0"/>
              <w:snapToGrid w:val="0"/>
              <w:jc w:val="center"/>
              <w:rPr>
                <w:rFonts w:eastAsiaTheme="minorEastAsia"/>
              </w:rPr>
            </w:pPr>
            <w:r>
              <w:rPr>
                <w:rFonts w:eastAsiaTheme="minorEastAsia" w:hint="eastAsia"/>
              </w:rPr>
              <w:t>1600</w:t>
            </w:r>
          </w:p>
        </w:tc>
        <w:tc>
          <w:tcPr>
            <w:tcW w:w="845" w:type="pct"/>
            <w:vAlign w:val="center"/>
          </w:tcPr>
          <w:p w14:paraId="6A524878" w14:textId="77777777" w:rsidR="00B90D7A" w:rsidRPr="007F3700" w:rsidRDefault="00B90D7A" w:rsidP="0000680D">
            <w:pPr>
              <w:adjustRightInd w:val="0"/>
              <w:snapToGrid w:val="0"/>
              <w:jc w:val="center"/>
              <w:rPr>
                <w:rFonts w:eastAsiaTheme="minorEastAsia"/>
              </w:rPr>
            </w:pPr>
            <w:r>
              <w:rPr>
                <w:rFonts w:eastAsia="Times New Roman"/>
              </w:rPr>
              <w:t>0.</w:t>
            </w:r>
            <w:r>
              <w:rPr>
                <w:rFonts w:eastAsiaTheme="minorEastAsia" w:hint="eastAsia"/>
              </w:rPr>
              <w:t>48</w:t>
            </w:r>
          </w:p>
        </w:tc>
        <w:tc>
          <w:tcPr>
            <w:tcW w:w="994" w:type="pct"/>
            <w:vAlign w:val="center"/>
          </w:tcPr>
          <w:p w14:paraId="71B31867" w14:textId="77777777" w:rsidR="00B90D7A" w:rsidRPr="007F3700" w:rsidRDefault="00B90D7A" w:rsidP="0000680D">
            <w:pPr>
              <w:adjustRightInd w:val="0"/>
              <w:snapToGrid w:val="0"/>
              <w:jc w:val="center"/>
              <w:rPr>
                <w:rFonts w:eastAsiaTheme="minorEastAsia"/>
              </w:rPr>
            </w:pPr>
            <w:r>
              <w:rPr>
                <w:rFonts w:eastAsia="Times New Roman"/>
              </w:rPr>
              <w:t>0.0</w:t>
            </w:r>
            <w:r>
              <w:rPr>
                <w:rFonts w:eastAsiaTheme="minorEastAsia" w:hint="eastAsia"/>
              </w:rPr>
              <w:t>48</w:t>
            </w:r>
          </w:p>
        </w:tc>
      </w:tr>
    </w:tbl>
    <w:p w14:paraId="7C826AE7" w14:textId="5090E793" w:rsidR="00B90D7A" w:rsidRDefault="00B90D7A" w:rsidP="00CC23DB">
      <w:pPr>
        <w:pStyle w:val="affffff4"/>
        <w:spacing w:beforeLines="50" w:before="120"/>
      </w:pPr>
      <w:r>
        <w:rPr>
          <w:rFonts w:hint="eastAsia"/>
        </w:rPr>
        <w:t>（</w:t>
      </w:r>
      <w:r>
        <w:rPr>
          <w:rFonts w:hint="eastAsia"/>
        </w:rPr>
        <w:t>3</w:t>
      </w:r>
      <w:r>
        <w:rPr>
          <w:rFonts w:hint="eastAsia"/>
        </w:rPr>
        <w:t>）</w:t>
      </w:r>
      <w:r w:rsidR="00F958DA">
        <w:rPr>
          <w:rFonts w:hint="eastAsia"/>
        </w:rPr>
        <w:t>残留</w:t>
      </w:r>
      <w:r>
        <w:rPr>
          <w:rFonts w:hint="eastAsia"/>
        </w:rPr>
        <w:t>渗滤液</w:t>
      </w:r>
    </w:p>
    <w:p w14:paraId="4024D8D1" w14:textId="6A07EEBA" w:rsidR="00B90D7A" w:rsidRDefault="00167DE8" w:rsidP="00CC23DB">
      <w:pPr>
        <w:pStyle w:val="affffff4"/>
        <w:spacing w:beforeLines="50" w:before="120"/>
      </w:pPr>
      <w:bookmarkStart w:id="126" w:name="OLE_LINK44"/>
      <w:r w:rsidRPr="00167DE8">
        <w:t>调节池改造清理过程中残留</w:t>
      </w:r>
      <w:r w:rsidR="00F958DA" w:rsidRPr="00F958DA">
        <w:t>的渗滤液</w:t>
      </w:r>
      <w:r w:rsidR="00F958DA">
        <w:rPr>
          <w:rFonts w:hint="eastAsia"/>
        </w:rPr>
        <w:t>，</w:t>
      </w:r>
      <w:bookmarkEnd w:id="126"/>
      <w:r w:rsidR="00B90D7A">
        <w:rPr>
          <w:rFonts w:hint="eastAsia"/>
        </w:rPr>
        <w:t>经管道进入焚烧发电厂区渗滤液调节池，</w:t>
      </w:r>
      <w:r w:rsidR="00F958DA">
        <w:rPr>
          <w:rFonts w:hint="eastAsia"/>
        </w:rPr>
        <w:t>再</w:t>
      </w:r>
      <w:r w:rsidR="00B90D7A">
        <w:rPr>
          <w:rFonts w:hint="eastAsia"/>
        </w:rPr>
        <w:t>经渗滤液处理站处理后满足</w:t>
      </w:r>
      <w:r w:rsidR="00B90D7A" w:rsidRPr="00B90D7A">
        <w:t>《生活垃圾填埋场污染控制标准》（</w:t>
      </w:r>
      <w:r w:rsidR="00B90D7A" w:rsidRPr="00B90D7A">
        <w:t>GB16889-2024</w:t>
      </w:r>
      <w:r w:rsidR="00B90D7A" w:rsidRPr="00B90D7A">
        <w:t>）表</w:t>
      </w:r>
      <w:r w:rsidR="00535A47">
        <w:rPr>
          <w:rFonts w:hint="eastAsia"/>
        </w:rPr>
        <w:t>4</w:t>
      </w:r>
      <w:r w:rsidR="00B90D7A" w:rsidRPr="00B90D7A">
        <w:t>要求和《城市污水再生利用</w:t>
      </w:r>
      <w:r w:rsidR="00B90D7A" w:rsidRPr="00B90D7A">
        <w:t xml:space="preserve"> </w:t>
      </w:r>
      <w:r w:rsidR="00B90D7A" w:rsidRPr="00B90D7A">
        <w:t>工业用水水质》（</w:t>
      </w:r>
      <w:r w:rsidR="00B90D7A" w:rsidRPr="00B90D7A">
        <w:t>GB/T19923-2024</w:t>
      </w:r>
      <w:r w:rsidR="00B90D7A" w:rsidRPr="00B90D7A">
        <w:t>）</w:t>
      </w:r>
      <w:r w:rsidR="00F32134">
        <w:rPr>
          <w:rFonts w:hint="eastAsia"/>
        </w:rPr>
        <w:t>表</w:t>
      </w:r>
      <w:r w:rsidR="00F32134">
        <w:rPr>
          <w:rFonts w:hint="eastAsia"/>
        </w:rPr>
        <w:t>1</w:t>
      </w:r>
      <w:r w:rsidR="00535A47">
        <w:t>间冷开式循环冷却水补充水标准</w:t>
      </w:r>
      <w:r w:rsidR="00B90D7A" w:rsidRPr="00B90D7A">
        <w:t>后全部回用至厂区冷却塔补水，不外排。</w:t>
      </w:r>
    </w:p>
    <w:p w14:paraId="498C0F8D" w14:textId="432A8158" w:rsidR="00606029" w:rsidRDefault="00606029">
      <w:pPr>
        <w:pStyle w:val="4"/>
        <w:spacing w:beforeLines="50" w:before="120"/>
      </w:pPr>
      <w:hyperlink r:id="rId57" w:history="1">
        <w:r>
          <w:t>2.3.1.2</w:t>
        </w:r>
      </w:hyperlink>
      <w:r w:rsidR="00EA5B92">
        <w:t>施工期大气污染源</w:t>
      </w:r>
    </w:p>
    <w:p w14:paraId="1D3D77BB" w14:textId="1592F656" w:rsidR="00606029" w:rsidRDefault="00EA5B92">
      <w:pPr>
        <w:pStyle w:val="affffff4"/>
      </w:pPr>
      <w:r>
        <w:t>施工场地粉尘主要来源于施工机械等各种施工作业过程</w:t>
      </w:r>
      <w:r w:rsidRPr="00710D49">
        <w:t>中产生的扬尘和逸散尘，其中扬尘主要来自搬运、倾倒等过程中产生的扬尘，占</w:t>
      </w:r>
      <w:r w:rsidRPr="00710D49">
        <w:t>60%</w:t>
      </w:r>
      <w:r w:rsidRPr="00710D49">
        <w:t>以上。施工场地粉尘可使周围空气中</w:t>
      </w:r>
      <w:r w:rsidRPr="00710D49">
        <w:t>TSP</w:t>
      </w:r>
      <w:r w:rsidRPr="00710D49">
        <w:t>浓度明显升高的影响范围一般为</w:t>
      </w:r>
      <w:r w:rsidRPr="00710D49">
        <w:t>50</w:t>
      </w:r>
      <w:r w:rsidRPr="00710D49">
        <w:t>～</w:t>
      </w:r>
      <w:r w:rsidRPr="00710D49">
        <w:t>100m</w:t>
      </w:r>
      <w:r w:rsidRPr="00710D49">
        <w:t>。此外，施工期还有各种燃油机械设备在运转过程中产生的少量烟尘、</w:t>
      </w:r>
      <w:r w:rsidRPr="00710D49">
        <w:t>NO</w:t>
      </w:r>
      <w:r w:rsidRPr="00710D49">
        <w:rPr>
          <w:vertAlign w:val="subscript"/>
        </w:rPr>
        <w:t>2</w:t>
      </w:r>
      <w:r w:rsidRPr="00710D49">
        <w:t>、</w:t>
      </w:r>
      <w:r w:rsidRPr="00710D49">
        <w:t>CO</w:t>
      </w:r>
      <w:r w:rsidRPr="00710D49">
        <w:t>、</w:t>
      </w:r>
      <w:r w:rsidRPr="00710D49">
        <w:t>THC</w:t>
      </w:r>
      <w:r w:rsidRPr="00710D49">
        <w:t>（烃类）等废气。由于施工期较短，其污染物排放量不大，因此影响范围有限。</w:t>
      </w:r>
    </w:p>
    <w:p w14:paraId="5A26FCCD" w14:textId="18D78663" w:rsidR="00606029" w:rsidRDefault="00606029">
      <w:pPr>
        <w:pStyle w:val="4"/>
      </w:pPr>
      <w:hyperlink r:id="rId58" w:history="1">
        <w:r>
          <w:t>2.3.1.3</w:t>
        </w:r>
      </w:hyperlink>
      <w:r w:rsidR="00EA5B92">
        <w:t>施工期噪声污染源</w:t>
      </w:r>
    </w:p>
    <w:p w14:paraId="24BD2355" w14:textId="77777777" w:rsidR="00606029" w:rsidRDefault="00EA5B92">
      <w:pPr>
        <w:pStyle w:val="affffff4"/>
      </w:pPr>
      <w:r>
        <w:t>本工程施工期噪声主要来自施工机械的机械噪声，以及运输车辆的运输噪声。通过类比调查，施工期间的主要</w:t>
      </w:r>
      <w:bookmarkStart w:id="127" w:name="OLE_LINK33"/>
      <w:r>
        <w:t>噪声源强</w:t>
      </w:r>
      <w:bookmarkEnd w:id="127"/>
      <w:r>
        <w:t>见下表。</w:t>
      </w:r>
    </w:p>
    <w:p w14:paraId="07014C13" w14:textId="327DDDA6" w:rsidR="00606029" w:rsidRDefault="00EA5B92">
      <w:pPr>
        <w:pStyle w:val="affffff5"/>
      </w:pPr>
      <w:r>
        <w:t>表</w:t>
      </w:r>
      <w:r>
        <w:t>2.3-</w:t>
      </w:r>
      <w:r w:rsidR="00C40CEF">
        <w:rPr>
          <w:rFonts w:hint="eastAsia"/>
        </w:rPr>
        <w:t xml:space="preserve">2 </w:t>
      </w:r>
      <w:r>
        <w:t>典型施工设备噪声声级</w:t>
      </w:r>
    </w:p>
    <w:tbl>
      <w:tblPr>
        <w:tblStyle w:val="TableNormal"/>
        <w:tblW w:w="4998" w:type="pct"/>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21"/>
        <w:gridCol w:w="2428"/>
        <w:gridCol w:w="2155"/>
        <w:gridCol w:w="2426"/>
      </w:tblGrid>
      <w:tr w:rsidR="00606029" w14:paraId="20EA4869" w14:textId="77777777" w:rsidTr="00B90D7A">
        <w:trPr>
          <w:trHeight w:val="57"/>
        </w:trPr>
        <w:tc>
          <w:tcPr>
            <w:tcW w:w="1031" w:type="pct"/>
            <w:tcBorders>
              <w:top w:val="single" w:sz="4" w:space="0" w:color="auto"/>
              <w:left w:val="single" w:sz="4" w:space="0" w:color="auto"/>
              <w:bottom w:val="single" w:sz="4" w:space="0" w:color="auto"/>
              <w:right w:val="single" w:sz="4" w:space="0" w:color="auto"/>
            </w:tcBorders>
            <w:vAlign w:val="center"/>
          </w:tcPr>
          <w:p w14:paraId="57D0205C" w14:textId="77777777" w:rsidR="00606029" w:rsidRDefault="00EA5B92">
            <w:pPr>
              <w:pStyle w:val="TableText"/>
              <w:adjustRightInd w:val="0"/>
              <w:snapToGrid w:val="0"/>
              <w:jc w:val="center"/>
              <w:rPr>
                <w:rFonts w:ascii="Times New Roman" w:eastAsia="Times New Roman" w:hAnsi="Times New Roman" w:cs="Times New Roman"/>
              </w:rPr>
            </w:pPr>
            <w:r>
              <w:rPr>
                <w:rFonts w:ascii="Times New Roman" w:eastAsia="Times New Roman" w:hAnsi="Times New Roman" w:cs="Times New Roman"/>
              </w:rPr>
              <w:t>机械设备</w:t>
            </w:r>
          </w:p>
        </w:tc>
        <w:tc>
          <w:tcPr>
            <w:tcW w:w="1375" w:type="pct"/>
            <w:tcBorders>
              <w:top w:val="single" w:sz="4" w:space="0" w:color="auto"/>
              <w:left w:val="single" w:sz="4" w:space="0" w:color="auto"/>
              <w:bottom w:val="single" w:sz="4" w:space="0" w:color="auto"/>
              <w:right w:val="single" w:sz="4" w:space="0" w:color="auto"/>
            </w:tcBorders>
            <w:vAlign w:val="center"/>
          </w:tcPr>
          <w:p w14:paraId="667650BF" w14:textId="77777777" w:rsidR="00606029" w:rsidRDefault="00EA5B92">
            <w:pPr>
              <w:pStyle w:val="TableText"/>
              <w:adjustRightInd w:val="0"/>
              <w:snapToGrid w:val="0"/>
              <w:jc w:val="center"/>
              <w:rPr>
                <w:rFonts w:ascii="Times New Roman" w:eastAsia="Times New Roman" w:hAnsi="Times New Roman" w:cs="Times New Roman"/>
              </w:rPr>
            </w:pPr>
            <w:r>
              <w:rPr>
                <w:rFonts w:ascii="Times New Roman" w:eastAsia="Times New Roman" w:hAnsi="Times New Roman" w:cs="Times New Roman"/>
              </w:rPr>
              <w:t>声级范围（分贝）</w:t>
            </w:r>
          </w:p>
        </w:tc>
        <w:tc>
          <w:tcPr>
            <w:tcW w:w="1220" w:type="pct"/>
            <w:tcBorders>
              <w:top w:val="single" w:sz="4" w:space="0" w:color="auto"/>
              <w:left w:val="single" w:sz="4" w:space="0" w:color="auto"/>
              <w:bottom w:val="single" w:sz="4" w:space="0" w:color="auto"/>
              <w:right w:val="single" w:sz="4" w:space="0" w:color="auto"/>
            </w:tcBorders>
            <w:vAlign w:val="center"/>
          </w:tcPr>
          <w:p w14:paraId="64049BBB" w14:textId="77777777" w:rsidR="00606029" w:rsidRDefault="00EA5B92">
            <w:pPr>
              <w:pStyle w:val="TableText"/>
              <w:adjustRightInd w:val="0"/>
              <w:snapToGrid w:val="0"/>
              <w:jc w:val="center"/>
              <w:rPr>
                <w:rFonts w:ascii="Times New Roman" w:eastAsia="Times New Roman" w:hAnsi="Times New Roman" w:cs="Times New Roman"/>
              </w:rPr>
            </w:pPr>
            <w:r>
              <w:rPr>
                <w:rFonts w:ascii="Times New Roman" w:eastAsia="Times New Roman" w:hAnsi="Times New Roman" w:cs="Times New Roman"/>
              </w:rPr>
              <w:t>机械设备</w:t>
            </w:r>
          </w:p>
        </w:tc>
        <w:tc>
          <w:tcPr>
            <w:tcW w:w="1374" w:type="pct"/>
            <w:tcBorders>
              <w:top w:val="single" w:sz="4" w:space="0" w:color="auto"/>
              <w:left w:val="single" w:sz="4" w:space="0" w:color="auto"/>
              <w:bottom w:val="single" w:sz="4" w:space="0" w:color="auto"/>
              <w:right w:val="single" w:sz="4" w:space="0" w:color="auto"/>
            </w:tcBorders>
            <w:vAlign w:val="center"/>
          </w:tcPr>
          <w:p w14:paraId="1FD747CD" w14:textId="77777777" w:rsidR="00606029" w:rsidRDefault="00EA5B92">
            <w:pPr>
              <w:pStyle w:val="TableText"/>
              <w:adjustRightInd w:val="0"/>
              <w:snapToGrid w:val="0"/>
              <w:jc w:val="center"/>
              <w:rPr>
                <w:rFonts w:ascii="Times New Roman" w:eastAsia="Times New Roman" w:hAnsi="Times New Roman" w:cs="Times New Roman"/>
              </w:rPr>
            </w:pPr>
            <w:r>
              <w:rPr>
                <w:rFonts w:ascii="Times New Roman" w:eastAsia="Times New Roman" w:hAnsi="Times New Roman" w:cs="Times New Roman"/>
              </w:rPr>
              <w:t>声级范围（分贝）</w:t>
            </w:r>
          </w:p>
        </w:tc>
      </w:tr>
      <w:tr w:rsidR="00606029" w14:paraId="47C82D2C" w14:textId="77777777" w:rsidTr="00B90D7A">
        <w:trPr>
          <w:trHeight w:val="57"/>
        </w:trPr>
        <w:tc>
          <w:tcPr>
            <w:tcW w:w="1031" w:type="pct"/>
            <w:tcBorders>
              <w:top w:val="single" w:sz="4" w:space="0" w:color="auto"/>
              <w:left w:val="single" w:sz="4" w:space="0" w:color="auto"/>
              <w:bottom w:val="single" w:sz="4" w:space="0" w:color="auto"/>
              <w:right w:val="single" w:sz="4" w:space="0" w:color="auto"/>
            </w:tcBorders>
            <w:vAlign w:val="center"/>
          </w:tcPr>
          <w:p w14:paraId="56E89BD1" w14:textId="77777777" w:rsidR="00606029" w:rsidRDefault="00EA5B92">
            <w:pPr>
              <w:pStyle w:val="TableText"/>
              <w:adjustRightInd w:val="0"/>
              <w:snapToGrid w:val="0"/>
              <w:jc w:val="center"/>
              <w:rPr>
                <w:rFonts w:ascii="Times New Roman" w:eastAsia="Times New Roman" w:hAnsi="Times New Roman" w:cs="Times New Roman"/>
              </w:rPr>
            </w:pPr>
            <w:r>
              <w:rPr>
                <w:rFonts w:ascii="Times New Roman" w:eastAsia="Times New Roman" w:hAnsi="Times New Roman" w:cs="Times New Roman"/>
              </w:rPr>
              <w:t>挖掘机</w:t>
            </w:r>
          </w:p>
        </w:tc>
        <w:tc>
          <w:tcPr>
            <w:tcW w:w="1375" w:type="pct"/>
            <w:tcBorders>
              <w:top w:val="single" w:sz="4" w:space="0" w:color="auto"/>
              <w:left w:val="single" w:sz="4" w:space="0" w:color="auto"/>
              <w:bottom w:val="single" w:sz="4" w:space="0" w:color="auto"/>
              <w:right w:val="single" w:sz="4" w:space="0" w:color="auto"/>
            </w:tcBorders>
            <w:vAlign w:val="center"/>
          </w:tcPr>
          <w:p w14:paraId="34AE7931" w14:textId="77777777" w:rsidR="00606029" w:rsidRDefault="00EA5B92">
            <w:pPr>
              <w:pStyle w:val="TableText"/>
              <w:adjustRightInd w:val="0"/>
              <w:snapToGrid w:val="0"/>
              <w:jc w:val="center"/>
              <w:rPr>
                <w:rFonts w:ascii="Times New Roman" w:eastAsia="Times New Roman" w:hAnsi="Times New Roman" w:cs="Times New Roman"/>
              </w:rPr>
            </w:pPr>
            <w:r>
              <w:rPr>
                <w:rFonts w:ascii="Times New Roman" w:eastAsia="Times New Roman" w:hAnsi="Times New Roman" w:cs="Times New Roman"/>
              </w:rPr>
              <w:t>85~90</w:t>
            </w:r>
          </w:p>
        </w:tc>
        <w:tc>
          <w:tcPr>
            <w:tcW w:w="1220" w:type="pct"/>
            <w:tcBorders>
              <w:top w:val="single" w:sz="4" w:space="0" w:color="auto"/>
              <w:left w:val="single" w:sz="4" w:space="0" w:color="auto"/>
              <w:bottom w:val="single" w:sz="4" w:space="0" w:color="auto"/>
              <w:right w:val="single" w:sz="4" w:space="0" w:color="auto"/>
            </w:tcBorders>
            <w:vAlign w:val="center"/>
          </w:tcPr>
          <w:p w14:paraId="246C2598" w14:textId="1CE395C5" w:rsidR="00606029" w:rsidRPr="00710D49" w:rsidRDefault="00B90D7A">
            <w:pPr>
              <w:pStyle w:val="TableText"/>
              <w:adjustRightInd w:val="0"/>
              <w:snapToGrid w:val="0"/>
              <w:jc w:val="center"/>
              <w:rPr>
                <w:rFonts w:hint="eastAsia"/>
                <w:lang w:eastAsia="zh-CN"/>
              </w:rPr>
            </w:pPr>
            <w:r w:rsidRPr="00B90D7A">
              <w:rPr>
                <w:lang w:eastAsia="zh-CN"/>
              </w:rPr>
              <w:t>土工膜爬焊机</w:t>
            </w:r>
          </w:p>
        </w:tc>
        <w:tc>
          <w:tcPr>
            <w:tcW w:w="1374" w:type="pct"/>
            <w:tcBorders>
              <w:top w:val="single" w:sz="4" w:space="0" w:color="auto"/>
              <w:left w:val="single" w:sz="4" w:space="0" w:color="auto"/>
              <w:bottom w:val="single" w:sz="4" w:space="0" w:color="auto"/>
              <w:right w:val="single" w:sz="4" w:space="0" w:color="auto"/>
            </w:tcBorders>
            <w:vAlign w:val="center"/>
          </w:tcPr>
          <w:p w14:paraId="63EAF50F" w14:textId="1A0D7CB4" w:rsidR="00606029" w:rsidRDefault="00B90D7A">
            <w:pPr>
              <w:pStyle w:val="TableText"/>
              <w:adjustRightInd w:val="0"/>
              <w:snapToGrid w:val="0"/>
              <w:jc w:val="center"/>
              <w:rPr>
                <w:rFonts w:ascii="Times New Roman" w:eastAsia="Times New Roman" w:hAnsi="Times New Roman" w:cs="Times New Roman"/>
              </w:rPr>
            </w:pPr>
            <w:r>
              <w:rPr>
                <w:rFonts w:ascii="Times New Roman" w:eastAsiaTheme="minorEastAsia" w:hAnsi="Times New Roman" w:cs="Times New Roman" w:hint="eastAsia"/>
                <w:lang w:eastAsia="zh-CN"/>
              </w:rPr>
              <w:t>75</w:t>
            </w:r>
            <w:r w:rsidR="00EA5B92">
              <w:rPr>
                <w:rFonts w:ascii="Times New Roman" w:eastAsia="Times New Roman" w:hAnsi="Times New Roman" w:cs="Times New Roman"/>
              </w:rPr>
              <w:t>~85</w:t>
            </w:r>
          </w:p>
        </w:tc>
      </w:tr>
      <w:tr w:rsidR="00606029" w14:paraId="31E08003" w14:textId="77777777" w:rsidTr="00B76616">
        <w:trPr>
          <w:trHeight w:val="406"/>
        </w:trPr>
        <w:tc>
          <w:tcPr>
            <w:tcW w:w="1031" w:type="pct"/>
            <w:tcBorders>
              <w:top w:val="single" w:sz="4" w:space="0" w:color="auto"/>
              <w:left w:val="single" w:sz="4" w:space="0" w:color="auto"/>
              <w:bottom w:val="single" w:sz="4" w:space="0" w:color="auto"/>
              <w:right w:val="single" w:sz="4" w:space="0" w:color="auto"/>
            </w:tcBorders>
            <w:vAlign w:val="center"/>
          </w:tcPr>
          <w:p w14:paraId="6579B9F6" w14:textId="0A69BEF4" w:rsidR="00606029" w:rsidRDefault="00710D49">
            <w:pPr>
              <w:pStyle w:val="TableText"/>
              <w:adjustRightInd w:val="0"/>
              <w:snapToGrid w:val="0"/>
              <w:jc w:val="center"/>
              <w:rPr>
                <w:rFonts w:ascii="Times New Roman" w:eastAsia="Times New Roman" w:hAnsi="Times New Roman" w:cs="Times New Roman"/>
              </w:rPr>
            </w:pPr>
            <w:r>
              <w:rPr>
                <w:rFonts w:hint="eastAsia"/>
                <w:lang w:eastAsia="zh-CN"/>
              </w:rPr>
              <w:t>起重机</w:t>
            </w:r>
          </w:p>
        </w:tc>
        <w:tc>
          <w:tcPr>
            <w:tcW w:w="1375" w:type="pct"/>
            <w:tcBorders>
              <w:top w:val="single" w:sz="4" w:space="0" w:color="auto"/>
              <w:left w:val="single" w:sz="4" w:space="0" w:color="auto"/>
              <w:bottom w:val="single" w:sz="4" w:space="0" w:color="auto"/>
              <w:right w:val="single" w:sz="4" w:space="0" w:color="auto"/>
            </w:tcBorders>
            <w:vAlign w:val="center"/>
          </w:tcPr>
          <w:p w14:paraId="09E00F6D" w14:textId="19B44FA5" w:rsidR="00606029" w:rsidRPr="00B90D7A" w:rsidRDefault="00B90D7A">
            <w:pPr>
              <w:pStyle w:val="TableText"/>
              <w:adjustRightInd w:val="0"/>
              <w:snapToGrid w:val="0"/>
              <w:jc w:val="cente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7</w:t>
            </w:r>
            <w:r w:rsidR="00EA5B92">
              <w:rPr>
                <w:rFonts w:ascii="Times New Roman" w:eastAsia="Times New Roman" w:hAnsi="Times New Roman" w:cs="Times New Roman"/>
              </w:rPr>
              <w:t>0~8</w:t>
            </w:r>
            <w:r>
              <w:rPr>
                <w:rFonts w:ascii="Times New Roman" w:eastAsiaTheme="minorEastAsia" w:hAnsi="Times New Roman" w:cs="Times New Roman" w:hint="eastAsia"/>
                <w:lang w:eastAsia="zh-CN"/>
              </w:rPr>
              <w:t>0</w:t>
            </w:r>
          </w:p>
        </w:tc>
        <w:tc>
          <w:tcPr>
            <w:tcW w:w="1220" w:type="pct"/>
            <w:tcBorders>
              <w:top w:val="single" w:sz="4" w:space="0" w:color="auto"/>
              <w:left w:val="single" w:sz="4" w:space="0" w:color="auto"/>
              <w:bottom w:val="single" w:sz="4" w:space="0" w:color="auto"/>
              <w:right w:val="single" w:sz="4" w:space="0" w:color="auto"/>
            </w:tcBorders>
            <w:vAlign w:val="center"/>
          </w:tcPr>
          <w:p w14:paraId="73BC8224" w14:textId="77C7E4D0" w:rsidR="00606029" w:rsidRDefault="00B90D7A">
            <w:pPr>
              <w:pStyle w:val="TableText"/>
              <w:adjustRightInd w:val="0"/>
              <w:snapToGrid w:val="0"/>
              <w:jc w:val="center"/>
              <w:rPr>
                <w:rFonts w:ascii="Times New Roman" w:eastAsia="Times New Roman" w:hAnsi="Times New Roman" w:cs="Times New Roman"/>
              </w:rPr>
            </w:pPr>
            <w:r w:rsidRPr="00B90D7A">
              <w:rPr>
                <w:rFonts w:hint="eastAsia"/>
              </w:rPr>
              <w:t>挤出焊机</w:t>
            </w:r>
          </w:p>
        </w:tc>
        <w:tc>
          <w:tcPr>
            <w:tcW w:w="1374" w:type="pct"/>
            <w:tcBorders>
              <w:top w:val="single" w:sz="4" w:space="0" w:color="auto"/>
              <w:left w:val="single" w:sz="4" w:space="0" w:color="auto"/>
              <w:bottom w:val="single" w:sz="4" w:space="0" w:color="auto"/>
              <w:right w:val="single" w:sz="4" w:space="0" w:color="auto"/>
            </w:tcBorders>
            <w:vAlign w:val="center"/>
          </w:tcPr>
          <w:p w14:paraId="21D98C1A" w14:textId="7AF5A03B" w:rsidR="00606029" w:rsidRPr="00B90D7A" w:rsidRDefault="00B90D7A">
            <w:pPr>
              <w:pStyle w:val="TableText"/>
              <w:adjustRightInd w:val="0"/>
              <w:snapToGrid w:val="0"/>
              <w:jc w:val="cente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75</w:t>
            </w:r>
            <w:r w:rsidR="00EA5B92">
              <w:rPr>
                <w:rFonts w:ascii="Times New Roman" w:eastAsia="Times New Roman" w:hAnsi="Times New Roman" w:cs="Times New Roman"/>
              </w:rPr>
              <w:t>~8</w:t>
            </w:r>
            <w:r>
              <w:rPr>
                <w:rFonts w:ascii="Times New Roman" w:eastAsiaTheme="minorEastAsia" w:hAnsi="Times New Roman" w:cs="Times New Roman" w:hint="eastAsia"/>
                <w:lang w:eastAsia="zh-CN"/>
              </w:rPr>
              <w:t>0</w:t>
            </w:r>
          </w:p>
        </w:tc>
      </w:tr>
      <w:tr w:rsidR="00606029" w14:paraId="1F8C31A5" w14:textId="77777777" w:rsidTr="00B90D7A">
        <w:trPr>
          <w:trHeight w:val="57"/>
        </w:trPr>
        <w:tc>
          <w:tcPr>
            <w:tcW w:w="1031" w:type="pct"/>
            <w:tcBorders>
              <w:top w:val="single" w:sz="4" w:space="0" w:color="auto"/>
              <w:left w:val="single" w:sz="4" w:space="0" w:color="auto"/>
              <w:bottom w:val="single" w:sz="4" w:space="0" w:color="auto"/>
              <w:right w:val="single" w:sz="4" w:space="0" w:color="auto"/>
            </w:tcBorders>
            <w:vAlign w:val="center"/>
          </w:tcPr>
          <w:p w14:paraId="0C9BC045" w14:textId="067F3C4D" w:rsidR="00606029" w:rsidRDefault="00B90D7A">
            <w:pPr>
              <w:pStyle w:val="TableText"/>
              <w:adjustRightInd w:val="0"/>
              <w:snapToGrid w:val="0"/>
              <w:jc w:val="center"/>
              <w:rPr>
                <w:rFonts w:ascii="Times New Roman" w:eastAsia="Times New Roman" w:hAnsi="Times New Roman" w:cs="Times New Roman"/>
              </w:rPr>
            </w:pPr>
            <w:r>
              <w:rPr>
                <w:rFonts w:hint="eastAsia"/>
                <w:lang w:eastAsia="zh-CN"/>
              </w:rPr>
              <w:t>风镐</w:t>
            </w:r>
          </w:p>
        </w:tc>
        <w:tc>
          <w:tcPr>
            <w:tcW w:w="1375" w:type="pct"/>
            <w:tcBorders>
              <w:top w:val="single" w:sz="4" w:space="0" w:color="auto"/>
              <w:left w:val="single" w:sz="4" w:space="0" w:color="auto"/>
              <w:bottom w:val="single" w:sz="4" w:space="0" w:color="auto"/>
              <w:right w:val="single" w:sz="4" w:space="0" w:color="auto"/>
            </w:tcBorders>
            <w:vAlign w:val="center"/>
          </w:tcPr>
          <w:p w14:paraId="4E2BCDFD" w14:textId="77777777" w:rsidR="00606029" w:rsidRDefault="00EA5B92">
            <w:pPr>
              <w:pStyle w:val="TableText"/>
              <w:adjustRightInd w:val="0"/>
              <w:snapToGrid w:val="0"/>
              <w:jc w:val="center"/>
              <w:rPr>
                <w:rFonts w:ascii="Times New Roman" w:eastAsia="Times New Roman" w:hAnsi="Times New Roman" w:cs="Times New Roman"/>
              </w:rPr>
            </w:pPr>
            <w:r>
              <w:rPr>
                <w:rFonts w:ascii="Times New Roman" w:eastAsia="Times New Roman" w:hAnsi="Times New Roman" w:cs="Times New Roman"/>
              </w:rPr>
              <w:t>80~85</w:t>
            </w:r>
          </w:p>
        </w:tc>
        <w:tc>
          <w:tcPr>
            <w:tcW w:w="1220" w:type="pct"/>
            <w:tcBorders>
              <w:top w:val="single" w:sz="4" w:space="0" w:color="auto"/>
              <w:left w:val="single" w:sz="4" w:space="0" w:color="auto"/>
              <w:bottom w:val="single" w:sz="4" w:space="0" w:color="auto"/>
              <w:right w:val="single" w:sz="4" w:space="0" w:color="auto"/>
            </w:tcBorders>
            <w:vAlign w:val="center"/>
          </w:tcPr>
          <w:p w14:paraId="018A4239" w14:textId="4286F367" w:rsidR="00606029" w:rsidRDefault="00B90D7A">
            <w:pPr>
              <w:pStyle w:val="TableText"/>
              <w:adjustRightInd w:val="0"/>
              <w:snapToGrid w:val="0"/>
              <w:jc w:val="center"/>
              <w:rPr>
                <w:rFonts w:ascii="Times New Roman" w:eastAsia="Times New Roman" w:hAnsi="Times New Roman" w:cs="Times New Roman"/>
              </w:rPr>
            </w:pPr>
            <w:r w:rsidRPr="00B90D7A">
              <w:rPr>
                <w:rFonts w:hint="eastAsia"/>
              </w:rPr>
              <w:t>热熔焊机</w:t>
            </w:r>
          </w:p>
        </w:tc>
        <w:tc>
          <w:tcPr>
            <w:tcW w:w="1374" w:type="pct"/>
            <w:tcBorders>
              <w:top w:val="single" w:sz="4" w:space="0" w:color="auto"/>
              <w:left w:val="single" w:sz="4" w:space="0" w:color="auto"/>
              <w:bottom w:val="single" w:sz="4" w:space="0" w:color="auto"/>
              <w:right w:val="single" w:sz="4" w:space="0" w:color="auto"/>
            </w:tcBorders>
            <w:vAlign w:val="center"/>
          </w:tcPr>
          <w:p w14:paraId="301B39FB" w14:textId="116EAD64" w:rsidR="00606029" w:rsidRPr="00B90D7A" w:rsidRDefault="00EA5B92">
            <w:pPr>
              <w:pStyle w:val="TableText"/>
              <w:adjustRightInd w:val="0"/>
              <w:snapToGrid w:val="0"/>
              <w:jc w:val="center"/>
              <w:rPr>
                <w:rFonts w:ascii="Times New Roman" w:eastAsiaTheme="minorEastAsia" w:hAnsi="Times New Roman" w:cs="Times New Roman"/>
                <w:lang w:eastAsia="zh-CN"/>
              </w:rPr>
            </w:pPr>
            <w:r>
              <w:rPr>
                <w:rFonts w:ascii="Times New Roman" w:eastAsia="Times New Roman" w:hAnsi="Times New Roman" w:cs="Times New Roman"/>
              </w:rPr>
              <w:t>80~</w:t>
            </w:r>
            <w:r w:rsidR="00B90D7A">
              <w:rPr>
                <w:rFonts w:ascii="Times New Roman" w:eastAsiaTheme="minorEastAsia" w:hAnsi="Times New Roman" w:cs="Times New Roman" w:hint="eastAsia"/>
                <w:lang w:eastAsia="zh-CN"/>
              </w:rPr>
              <w:t>90</w:t>
            </w:r>
          </w:p>
        </w:tc>
      </w:tr>
      <w:tr w:rsidR="00606029" w14:paraId="6CCCA6BC" w14:textId="77777777" w:rsidTr="00B90D7A">
        <w:trPr>
          <w:trHeight w:val="57"/>
        </w:trPr>
        <w:tc>
          <w:tcPr>
            <w:tcW w:w="1031" w:type="pct"/>
            <w:tcBorders>
              <w:top w:val="single" w:sz="4" w:space="0" w:color="auto"/>
              <w:left w:val="single" w:sz="4" w:space="0" w:color="auto"/>
              <w:bottom w:val="single" w:sz="4" w:space="0" w:color="auto"/>
              <w:right w:val="single" w:sz="4" w:space="0" w:color="auto"/>
            </w:tcBorders>
            <w:vAlign w:val="center"/>
          </w:tcPr>
          <w:p w14:paraId="605955A7" w14:textId="78288FBA" w:rsidR="00606029" w:rsidRDefault="00B90D7A">
            <w:pPr>
              <w:pStyle w:val="TableText"/>
              <w:adjustRightInd w:val="0"/>
              <w:snapToGrid w:val="0"/>
              <w:jc w:val="center"/>
              <w:rPr>
                <w:rFonts w:ascii="Times New Roman" w:eastAsia="Times New Roman" w:hAnsi="Times New Roman" w:cs="Times New Roman"/>
              </w:rPr>
            </w:pPr>
            <w:r>
              <w:rPr>
                <w:rFonts w:hint="eastAsia"/>
                <w:lang w:eastAsia="zh-CN"/>
              </w:rPr>
              <w:t>高压水枪</w:t>
            </w:r>
          </w:p>
        </w:tc>
        <w:tc>
          <w:tcPr>
            <w:tcW w:w="1375" w:type="pct"/>
            <w:tcBorders>
              <w:top w:val="single" w:sz="4" w:space="0" w:color="auto"/>
              <w:left w:val="single" w:sz="4" w:space="0" w:color="auto"/>
              <w:bottom w:val="single" w:sz="4" w:space="0" w:color="auto"/>
              <w:right w:val="single" w:sz="4" w:space="0" w:color="auto"/>
            </w:tcBorders>
            <w:vAlign w:val="center"/>
          </w:tcPr>
          <w:p w14:paraId="5E37CD88" w14:textId="77777777" w:rsidR="00606029" w:rsidRDefault="00EA5B92">
            <w:pPr>
              <w:pStyle w:val="TableText"/>
              <w:adjustRightInd w:val="0"/>
              <w:snapToGrid w:val="0"/>
              <w:jc w:val="center"/>
              <w:rPr>
                <w:rFonts w:ascii="Times New Roman" w:eastAsia="Times New Roman" w:hAnsi="Times New Roman" w:cs="Times New Roman"/>
              </w:rPr>
            </w:pPr>
            <w:r>
              <w:rPr>
                <w:rFonts w:ascii="Times New Roman" w:eastAsia="Times New Roman" w:hAnsi="Times New Roman" w:cs="Times New Roman"/>
              </w:rPr>
              <w:t>85~95</w:t>
            </w:r>
          </w:p>
        </w:tc>
        <w:tc>
          <w:tcPr>
            <w:tcW w:w="1220" w:type="pct"/>
            <w:tcBorders>
              <w:top w:val="single" w:sz="4" w:space="0" w:color="auto"/>
              <w:left w:val="single" w:sz="4" w:space="0" w:color="auto"/>
              <w:bottom w:val="single" w:sz="4" w:space="0" w:color="auto"/>
              <w:right w:val="single" w:sz="4" w:space="0" w:color="auto"/>
            </w:tcBorders>
            <w:vAlign w:val="center"/>
          </w:tcPr>
          <w:p w14:paraId="1DD4C51B" w14:textId="77777777" w:rsidR="00606029" w:rsidRDefault="00EA5B92">
            <w:pPr>
              <w:pStyle w:val="TableText"/>
              <w:adjustRightInd w:val="0"/>
              <w:snapToGrid w:val="0"/>
              <w:jc w:val="center"/>
              <w:rPr>
                <w:rFonts w:ascii="Times New Roman" w:eastAsia="Times New Roman" w:hAnsi="Times New Roman" w:cs="Times New Roman"/>
              </w:rPr>
            </w:pPr>
            <w:r>
              <w:rPr>
                <w:rFonts w:ascii="Times New Roman" w:eastAsia="Times New Roman" w:hAnsi="Times New Roman" w:cs="Times New Roman"/>
              </w:rPr>
              <w:t>运输车辆</w:t>
            </w:r>
          </w:p>
        </w:tc>
        <w:tc>
          <w:tcPr>
            <w:tcW w:w="1374" w:type="pct"/>
            <w:tcBorders>
              <w:top w:val="single" w:sz="4" w:space="0" w:color="auto"/>
              <w:left w:val="single" w:sz="4" w:space="0" w:color="auto"/>
              <w:bottom w:val="single" w:sz="4" w:space="0" w:color="auto"/>
              <w:right w:val="single" w:sz="4" w:space="0" w:color="auto"/>
            </w:tcBorders>
            <w:vAlign w:val="center"/>
          </w:tcPr>
          <w:p w14:paraId="069A6977" w14:textId="77777777" w:rsidR="00606029" w:rsidRDefault="00EA5B92">
            <w:pPr>
              <w:pStyle w:val="TableText"/>
              <w:adjustRightInd w:val="0"/>
              <w:snapToGrid w:val="0"/>
              <w:jc w:val="center"/>
              <w:rPr>
                <w:rFonts w:ascii="Times New Roman" w:eastAsia="Times New Roman" w:hAnsi="Times New Roman" w:cs="Times New Roman"/>
              </w:rPr>
            </w:pPr>
            <w:r>
              <w:rPr>
                <w:rFonts w:ascii="Times New Roman" w:eastAsia="Times New Roman" w:hAnsi="Times New Roman" w:cs="Times New Roman"/>
              </w:rPr>
              <w:t>70~80</w:t>
            </w:r>
          </w:p>
        </w:tc>
      </w:tr>
    </w:tbl>
    <w:p w14:paraId="3B32DB8A" w14:textId="7A3A1215" w:rsidR="00606029" w:rsidRDefault="00606029">
      <w:pPr>
        <w:pStyle w:val="4"/>
        <w:spacing w:beforeLines="50" w:before="120"/>
      </w:pPr>
      <w:hyperlink r:id="rId59" w:history="1">
        <w:r>
          <w:t>2.3.1.4</w:t>
        </w:r>
      </w:hyperlink>
      <w:r w:rsidR="00EA5B92">
        <w:t>施工期固体废物</w:t>
      </w:r>
    </w:p>
    <w:p w14:paraId="59AB7B49" w14:textId="66586ED8" w:rsidR="00606029" w:rsidRDefault="00EA5B92">
      <w:pPr>
        <w:pStyle w:val="affffff4"/>
      </w:pPr>
      <w:r>
        <w:t>本项目</w:t>
      </w:r>
      <w:r w:rsidR="0089242D">
        <w:rPr>
          <w:rFonts w:hint="eastAsia"/>
        </w:rPr>
        <w:t>施工期固体废物主要为</w:t>
      </w:r>
      <w:r w:rsidR="004642E4">
        <w:rPr>
          <w:rFonts w:hint="eastAsia"/>
        </w:rPr>
        <w:t>残留污泥</w:t>
      </w:r>
      <w:r w:rsidR="00B90D7A">
        <w:rPr>
          <w:rFonts w:hint="eastAsia"/>
        </w:rPr>
        <w:t>、</w:t>
      </w:r>
      <w:r w:rsidR="0089242D">
        <w:rPr>
          <w:rFonts w:hint="eastAsia"/>
        </w:rPr>
        <w:t>建筑垃圾和生活垃圾</w:t>
      </w:r>
      <w:r>
        <w:t>。</w:t>
      </w:r>
    </w:p>
    <w:p w14:paraId="22A58E57" w14:textId="3547FB50" w:rsidR="00606029" w:rsidRDefault="00EA5B92">
      <w:pPr>
        <w:pStyle w:val="affffff4"/>
      </w:pPr>
      <w:r>
        <w:t>（</w:t>
      </w:r>
      <w:r w:rsidR="00B90D7A">
        <w:rPr>
          <w:rFonts w:hint="eastAsia"/>
        </w:rPr>
        <w:t>1</w:t>
      </w:r>
      <w:r>
        <w:t>）建筑垃圾</w:t>
      </w:r>
    </w:p>
    <w:p w14:paraId="44526BE2" w14:textId="38820127" w:rsidR="00606029" w:rsidRPr="00B90D7A" w:rsidRDefault="00EA5B92">
      <w:pPr>
        <w:pStyle w:val="affffff4"/>
      </w:pPr>
      <w:r w:rsidRPr="00B90D7A">
        <w:t>建筑垃圾</w:t>
      </w:r>
      <w:r w:rsidR="00B90D7A" w:rsidRPr="00B90D7A">
        <w:rPr>
          <w:rFonts w:hint="eastAsia"/>
        </w:rPr>
        <w:t>产生量约为</w:t>
      </w:r>
      <w:r w:rsidR="00B90D7A" w:rsidRPr="00B90D7A">
        <w:rPr>
          <w:rFonts w:hint="eastAsia"/>
        </w:rPr>
        <w:t>10t</w:t>
      </w:r>
      <w:r w:rsidRPr="00B90D7A">
        <w:t>，</w:t>
      </w:r>
      <w:r w:rsidR="00B90D7A" w:rsidRPr="00B90D7A">
        <w:rPr>
          <w:rFonts w:hint="eastAsia"/>
        </w:rPr>
        <w:t>及时清运至建筑垃圾调配场，</w:t>
      </w:r>
      <w:r w:rsidRPr="00B90D7A">
        <w:t>不得随意堆放，以免污染环境，影响城市景观。</w:t>
      </w:r>
    </w:p>
    <w:p w14:paraId="2901937F" w14:textId="77777777" w:rsidR="00606029" w:rsidRPr="00F958DA" w:rsidRDefault="00EA5B92">
      <w:pPr>
        <w:pStyle w:val="affffff4"/>
      </w:pPr>
      <w:r w:rsidRPr="00F958DA">
        <w:t>（</w:t>
      </w:r>
      <w:r w:rsidRPr="00F958DA">
        <w:t>2</w:t>
      </w:r>
      <w:r w:rsidRPr="00F958DA">
        <w:t>）生活垃圾</w:t>
      </w:r>
    </w:p>
    <w:p w14:paraId="3C84332C" w14:textId="2FBF4027" w:rsidR="00606029" w:rsidRPr="00F958DA" w:rsidRDefault="00EA5B92">
      <w:pPr>
        <w:pStyle w:val="affffff4"/>
      </w:pPr>
      <w:r w:rsidRPr="00F958DA">
        <w:t>本项目施工高峰期各类施工人员约</w:t>
      </w:r>
      <w:r w:rsidRPr="00F958DA">
        <w:t>25</w:t>
      </w:r>
      <w:r w:rsidRPr="00F958DA">
        <w:t>人，按每人每天产生</w:t>
      </w:r>
      <w:r w:rsidRPr="00F958DA">
        <w:t>1kg</w:t>
      </w:r>
      <w:r w:rsidRPr="00F958DA">
        <w:t>生活垃圾估算，则项目施工期生活垃圾产生量为</w:t>
      </w:r>
      <w:r w:rsidR="008B27B9">
        <w:rPr>
          <w:rFonts w:hint="eastAsia"/>
        </w:rPr>
        <w:t>0.75t</w:t>
      </w:r>
      <w:r w:rsidRPr="00F958DA">
        <w:t>/d</w:t>
      </w:r>
      <w:r w:rsidRPr="00F958DA">
        <w:t>，集中收集后送</w:t>
      </w:r>
      <w:r w:rsidR="008B27B9">
        <w:rPr>
          <w:rFonts w:hint="eastAsia"/>
        </w:rPr>
        <w:t>生活垃圾</w:t>
      </w:r>
      <w:r w:rsidRPr="00F958DA">
        <w:t>焚烧厂焚烧处理。</w:t>
      </w:r>
    </w:p>
    <w:p w14:paraId="1D5635CE" w14:textId="191AF86F" w:rsidR="00F958DA" w:rsidRPr="00F958DA" w:rsidRDefault="00F958DA">
      <w:pPr>
        <w:pStyle w:val="affffff4"/>
      </w:pPr>
      <w:r w:rsidRPr="00F958DA">
        <w:rPr>
          <w:rFonts w:hint="eastAsia"/>
        </w:rPr>
        <w:t>（</w:t>
      </w:r>
      <w:r w:rsidRPr="00F958DA">
        <w:rPr>
          <w:rFonts w:hint="eastAsia"/>
        </w:rPr>
        <w:t>3</w:t>
      </w:r>
      <w:r w:rsidRPr="00F958DA">
        <w:rPr>
          <w:rFonts w:hint="eastAsia"/>
        </w:rPr>
        <w:t>）污泥</w:t>
      </w:r>
    </w:p>
    <w:p w14:paraId="0F1C6DB1" w14:textId="17CCC3FF" w:rsidR="00F958DA" w:rsidRDefault="00167DE8">
      <w:pPr>
        <w:pStyle w:val="affffff4"/>
      </w:pPr>
      <w:r w:rsidRPr="00167DE8">
        <w:t>调节池改造清理过程中产生的</w:t>
      </w:r>
      <w:r>
        <w:rPr>
          <w:rFonts w:hint="eastAsia"/>
        </w:rPr>
        <w:t>污泥</w:t>
      </w:r>
      <w:r w:rsidR="00F958DA" w:rsidRPr="00F958DA">
        <w:rPr>
          <w:rFonts w:hint="eastAsia"/>
        </w:rPr>
        <w:t>，</w:t>
      </w:r>
      <w:bookmarkStart w:id="128" w:name="OLE_LINK55"/>
      <w:r w:rsidR="00F958DA" w:rsidRPr="00F958DA">
        <w:rPr>
          <w:rFonts w:hint="eastAsia"/>
        </w:rPr>
        <w:t>清理后送</w:t>
      </w:r>
      <w:r w:rsidR="00B31025" w:rsidRPr="00B31025">
        <w:t>焚烧发电厂污泥焚烧车间</w:t>
      </w:r>
      <w:r w:rsidR="00F958DA" w:rsidRPr="00F958DA">
        <w:t>处理</w:t>
      </w:r>
      <w:bookmarkEnd w:id="128"/>
      <w:r w:rsidR="00F958DA" w:rsidRPr="00F958DA">
        <w:rPr>
          <w:rFonts w:hint="eastAsia"/>
        </w:rPr>
        <w:t>。</w:t>
      </w:r>
    </w:p>
    <w:p w14:paraId="36ABF620" w14:textId="55EBBB65" w:rsidR="00606029" w:rsidRDefault="00606029">
      <w:pPr>
        <w:pStyle w:val="4"/>
      </w:pPr>
      <w:hyperlink r:id="rId60" w:history="1">
        <w:r>
          <w:t>2.3.1.5</w:t>
        </w:r>
      </w:hyperlink>
      <w:r w:rsidR="00EA5B92">
        <w:t>施工期生态影响源</w:t>
      </w:r>
    </w:p>
    <w:p w14:paraId="7E0E0CFA" w14:textId="3ECF8686" w:rsidR="00606029" w:rsidRDefault="00EA5B92">
      <w:pPr>
        <w:pStyle w:val="affffff4"/>
      </w:pPr>
      <w:r>
        <w:t>本</w:t>
      </w:r>
      <w:r w:rsidR="00E62135">
        <w:rPr>
          <w:rFonts w:hint="eastAsia"/>
        </w:rPr>
        <w:t>项目</w:t>
      </w:r>
      <w:r w:rsidR="00E62135" w:rsidRPr="00455D99">
        <w:t>将原</w:t>
      </w:r>
      <w:r w:rsidR="00E62135" w:rsidRPr="00455D99">
        <w:t>7316m</w:t>
      </w:r>
      <w:r w:rsidR="00E62135" w:rsidRPr="00455D99">
        <w:rPr>
          <w:vertAlign w:val="superscript"/>
        </w:rPr>
        <w:t>3</w:t>
      </w:r>
      <w:r w:rsidR="00E62135" w:rsidRPr="00455D99">
        <w:t>的渗滤液调节池改建为飞灰填埋场</w:t>
      </w:r>
      <w:r w:rsidR="00E62135">
        <w:rPr>
          <w:rFonts w:hint="eastAsia"/>
        </w:rPr>
        <w:t>，</w:t>
      </w:r>
      <w:r w:rsidR="00E62135" w:rsidRPr="00E62135">
        <w:t>位于原生活垃圾综合处理厂永久占地范围内</w:t>
      </w:r>
      <w:r w:rsidR="00120393">
        <w:rPr>
          <w:rFonts w:hint="eastAsia"/>
        </w:rPr>
        <w:t>，</w:t>
      </w:r>
      <w:r w:rsidR="008B27B9" w:rsidRPr="008B27B9">
        <w:t>施工对生态的影响不大</w:t>
      </w:r>
      <w:r>
        <w:t>。</w:t>
      </w:r>
    </w:p>
    <w:p w14:paraId="7C14CD79" w14:textId="77777777" w:rsidR="00606029" w:rsidRDefault="00EA5B92">
      <w:pPr>
        <w:pStyle w:val="3"/>
      </w:pPr>
      <w:bookmarkStart w:id="129" w:name="_Toc220680477"/>
      <w:r>
        <w:t>2.3.2</w:t>
      </w:r>
      <w:r>
        <w:t>运营期污染源源强核算</w:t>
      </w:r>
      <w:bookmarkEnd w:id="129"/>
    </w:p>
    <w:p w14:paraId="451BA87F" w14:textId="59B3F2B6" w:rsidR="00606029" w:rsidRDefault="00EA5B92">
      <w:pPr>
        <w:pStyle w:val="affffff4"/>
      </w:pPr>
      <w:r>
        <w:t>本项目接纳对象为</w:t>
      </w:r>
      <w:r w:rsidR="004E5FFD">
        <w:t>大庆城控电力有限公司</w:t>
      </w:r>
      <w:r>
        <w:t>产生的固化后的飞灰，项目运营期污染源包括废气、废水</w:t>
      </w:r>
      <w:r w:rsidR="00120393">
        <w:rPr>
          <w:rFonts w:hint="eastAsia"/>
        </w:rPr>
        <w:t>、</w:t>
      </w:r>
      <w:r>
        <w:t>噪声</w:t>
      </w:r>
      <w:r w:rsidR="00E62135">
        <w:t>及</w:t>
      </w:r>
      <w:r w:rsidR="00E62135">
        <w:rPr>
          <w:rFonts w:hint="eastAsia"/>
        </w:rPr>
        <w:t>固废</w:t>
      </w:r>
      <w:r>
        <w:t>等，这些污染源的存在均可能影响固化飞灰填埋场及其周围空气、地表水、地下水、土壤、生态及声环境质量。</w:t>
      </w:r>
    </w:p>
    <w:p w14:paraId="511BEE9F" w14:textId="7B3351D4" w:rsidR="00606029" w:rsidRDefault="00606029">
      <w:pPr>
        <w:pStyle w:val="4"/>
      </w:pPr>
      <w:hyperlink r:id="rId61" w:history="1">
        <w:r>
          <w:t>2.3.2.1</w:t>
        </w:r>
      </w:hyperlink>
      <w:r w:rsidR="00EA5B92">
        <w:t>运营期水污染源</w:t>
      </w:r>
    </w:p>
    <w:p w14:paraId="379E257A" w14:textId="5929DB17" w:rsidR="00606029" w:rsidRDefault="00EA5B92">
      <w:pPr>
        <w:pStyle w:val="affffff4"/>
      </w:pPr>
      <w:r>
        <w:t>本项目运营期主要水污染源为填埋</w:t>
      </w:r>
      <w:r w:rsidR="0089242D">
        <w:rPr>
          <w:rFonts w:hint="eastAsia"/>
        </w:rPr>
        <w:t>区</w:t>
      </w:r>
      <w:r>
        <w:t>产生的淋溶水。</w:t>
      </w:r>
      <w:r w:rsidR="00120393">
        <w:rPr>
          <w:rFonts w:hint="eastAsia"/>
        </w:rPr>
        <w:t>本</w:t>
      </w:r>
      <w:r>
        <w:t>项目雨天不作业，在正常作业情形下不产生淋溶水</w:t>
      </w:r>
      <w:r w:rsidR="00120393">
        <w:rPr>
          <w:rFonts w:hint="eastAsia"/>
        </w:rPr>
        <w:t>，</w:t>
      </w:r>
      <w:r>
        <w:t>雨天会产生少量填埋区淋溶水，由淋溶水导排系统及时抽排至</w:t>
      </w:r>
      <w:r w:rsidR="00D710AB">
        <w:rPr>
          <w:rFonts w:hint="eastAsia"/>
        </w:rPr>
        <w:t>渗滤液</w:t>
      </w:r>
      <w:r>
        <w:t>调节池。</w:t>
      </w:r>
    </w:p>
    <w:p w14:paraId="5B908B3C" w14:textId="000396EB" w:rsidR="00606029" w:rsidRDefault="00EA5B92" w:rsidP="005F55F0">
      <w:pPr>
        <w:pStyle w:val="affffff4"/>
      </w:pPr>
      <w:r>
        <w:t>根据</w:t>
      </w:r>
      <w:r w:rsidR="00120393">
        <w:rPr>
          <w:rFonts w:hint="eastAsia"/>
        </w:rPr>
        <w:t>计算</w:t>
      </w:r>
      <w:r>
        <w:t>，淋溶水产生量约</w:t>
      </w:r>
      <w:r w:rsidR="00120393">
        <w:rPr>
          <w:rFonts w:hint="eastAsia"/>
        </w:rPr>
        <w:t>223.5t</w:t>
      </w:r>
      <w:r w:rsidR="00120393">
        <w:t>/a</w:t>
      </w:r>
      <w:r w:rsidR="00120393">
        <w:rPr>
          <w:rFonts w:hint="eastAsia"/>
        </w:rPr>
        <w:t>（</w:t>
      </w:r>
      <w:r w:rsidR="00120393">
        <w:rPr>
          <w:rFonts w:hint="eastAsia"/>
        </w:rPr>
        <w:t>0.62t</w:t>
      </w:r>
      <w:r w:rsidR="00120393">
        <w:t>/d</w:t>
      </w:r>
      <w:r w:rsidR="00120393">
        <w:rPr>
          <w:rFonts w:hint="eastAsia"/>
        </w:rPr>
        <w:t>）</w:t>
      </w:r>
      <w:r>
        <w:t>，</w:t>
      </w:r>
      <w:r w:rsidR="005F55F0">
        <w:rPr>
          <w:rFonts w:hint="eastAsia"/>
        </w:rPr>
        <w:t>淋溶水主要污染物为</w:t>
      </w:r>
      <w:r w:rsidR="005F55F0">
        <w:rPr>
          <w:rFonts w:hint="eastAsia"/>
        </w:rPr>
        <w:t>COD</w:t>
      </w:r>
      <w:r w:rsidR="005F55F0">
        <w:rPr>
          <w:rFonts w:hint="eastAsia"/>
        </w:rPr>
        <w:t>、</w:t>
      </w:r>
      <w:r w:rsidR="005F55F0">
        <w:rPr>
          <w:rFonts w:hint="eastAsia"/>
        </w:rPr>
        <w:t>NH</w:t>
      </w:r>
      <w:r w:rsidR="005F55F0" w:rsidRPr="00120393">
        <w:rPr>
          <w:rFonts w:hint="eastAsia"/>
          <w:vertAlign w:val="subscript"/>
        </w:rPr>
        <w:t>3</w:t>
      </w:r>
      <w:r w:rsidR="005F55F0">
        <w:rPr>
          <w:rFonts w:hint="eastAsia"/>
        </w:rPr>
        <w:t>-</w:t>
      </w:r>
      <w:r w:rsidR="005F55F0">
        <w:rPr>
          <w:rFonts w:hint="eastAsia"/>
        </w:rPr>
        <w:lastRenderedPageBreak/>
        <w:t>N</w:t>
      </w:r>
      <w:r w:rsidR="005F55F0">
        <w:rPr>
          <w:rFonts w:hint="eastAsia"/>
        </w:rPr>
        <w:t>、总汞、总镉、总铬、六价铬、总砷、总铅等重金属，调节池已做好防渗漏措施，经渗滤液处理站处理后</w:t>
      </w:r>
      <w:r w:rsidR="00347823" w:rsidRPr="00347823">
        <w:t>满足《生活垃圾填埋场污染控制标准》（</w:t>
      </w:r>
      <w:r w:rsidR="00347823" w:rsidRPr="00347823">
        <w:t>GB16889-2024</w:t>
      </w:r>
      <w:r w:rsidR="00347823" w:rsidRPr="00347823">
        <w:t>）表</w:t>
      </w:r>
      <w:r w:rsidR="00347823" w:rsidRPr="00347823">
        <w:t>4</w:t>
      </w:r>
      <w:r w:rsidR="00347823" w:rsidRPr="00347823">
        <w:t>要求和</w:t>
      </w:r>
      <w:r w:rsidR="005F55F0">
        <w:rPr>
          <w:rFonts w:hint="eastAsia"/>
        </w:rPr>
        <w:t>《城市污水再生利用</w:t>
      </w:r>
      <w:r w:rsidR="005F55F0">
        <w:rPr>
          <w:rFonts w:hint="eastAsia"/>
        </w:rPr>
        <w:t xml:space="preserve"> </w:t>
      </w:r>
      <w:r w:rsidR="005F55F0">
        <w:rPr>
          <w:rFonts w:hint="eastAsia"/>
        </w:rPr>
        <w:t>工业用水水质》（</w:t>
      </w:r>
      <w:r w:rsidR="005F55F0">
        <w:rPr>
          <w:rFonts w:hint="eastAsia"/>
        </w:rPr>
        <w:t>GB/T19923-2024</w:t>
      </w:r>
      <w:r w:rsidR="005F55F0">
        <w:rPr>
          <w:rFonts w:hint="eastAsia"/>
        </w:rPr>
        <w:t>）表</w:t>
      </w:r>
      <w:r w:rsidR="005F55F0">
        <w:rPr>
          <w:rFonts w:hint="eastAsia"/>
        </w:rPr>
        <w:t>1</w:t>
      </w:r>
      <w:r w:rsidR="005F55F0">
        <w:rPr>
          <w:rFonts w:hint="eastAsia"/>
        </w:rPr>
        <w:t>间冷开式循环冷却</w:t>
      </w:r>
      <w:r w:rsidR="00347823">
        <w:rPr>
          <w:rFonts w:hint="eastAsia"/>
        </w:rPr>
        <w:t>水</w:t>
      </w:r>
      <w:r w:rsidR="005F55F0">
        <w:rPr>
          <w:rFonts w:hint="eastAsia"/>
        </w:rPr>
        <w:t>补充水标准后全部回用至厂区冷却塔补水，不外排。</w:t>
      </w:r>
    </w:p>
    <w:p w14:paraId="027061FE" w14:textId="4FD3E41D" w:rsidR="00606029" w:rsidRDefault="00C40CEF">
      <w:pPr>
        <w:pStyle w:val="affffff4"/>
      </w:pPr>
      <w:r>
        <w:rPr>
          <w:rFonts w:hint="eastAsia"/>
        </w:rPr>
        <w:t>本项目</w:t>
      </w:r>
      <w:r w:rsidR="00EA5B92">
        <w:t>生活垃圾焚烧产生的飞灰热灼减率</w:t>
      </w:r>
      <w:r w:rsidR="00EA5B92">
        <w:t>≤5%</w:t>
      </w:r>
      <w:r w:rsidR="00EA5B92">
        <w:t>，有机物含量很少，</w:t>
      </w:r>
      <w:r w:rsidR="00182FC7" w:rsidRPr="00E62135">
        <w:rPr>
          <w:rFonts w:hint="eastAsia"/>
        </w:rPr>
        <w:t>项目淋溶水水质参照</w:t>
      </w:r>
      <w:r w:rsidR="00E62135" w:rsidRPr="00E62135">
        <w:t>《大庆市生活垃圾焚烧发电项目（一期）竣工环境保护验收监测报告》中的监测数据</w:t>
      </w:r>
      <w:r w:rsidR="00182FC7" w:rsidRPr="00E62135">
        <w:rPr>
          <w:rFonts w:hint="eastAsia"/>
        </w:rPr>
        <w:t>进口水质最大值</w:t>
      </w:r>
      <w:r w:rsidR="00E62135" w:rsidRPr="00E62135">
        <w:rPr>
          <w:rFonts w:hint="eastAsia"/>
        </w:rPr>
        <w:t>进行</w:t>
      </w:r>
      <w:r w:rsidR="00EA5B92" w:rsidRPr="00E62135">
        <w:t>源强核算。本项目淋溶水进水水质见下表。</w:t>
      </w:r>
    </w:p>
    <w:p w14:paraId="2C6BF31D" w14:textId="70E0D858" w:rsidR="00606029" w:rsidRPr="00516CDC" w:rsidRDefault="00EA5B92">
      <w:pPr>
        <w:pStyle w:val="affffff5"/>
      </w:pPr>
      <w:r w:rsidRPr="00516CDC">
        <w:t>表</w:t>
      </w:r>
      <w:r w:rsidRPr="00516CDC">
        <w:t>2.3-</w:t>
      </w:r>
      <w:r w:rsidR="00C40CEF">
        <w:rPr>
          <w:rFonts w:hint="eastAsia"/>
        </w:rPr>
        <w:t xml:space="preserve">3 </w:t>
      </w:r>
      <w:r w:rsidRPr="00516CDC">
        <w:t>淋溶水水质一览表</w:t>
      </w:r>
    </w:p>
    <w:tbl>
      <w:tblPr>
        <w:tblStyle w:val="TableNormal"/>
        <w:tblW w:w="5000" w:type="pct"/>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8"/>
        <w:gridCol w:w="2078"/>
        <w:gridCol w:w="3074"/>
        <w:gridCol w:w="3074"/>
      </w:tblGrid>
      <w:tr w:rsidR="005C60D1" w:rsidRPr="00516CDC" w14:paraId="6884C96D" w14:textId="7CBC4F0E" w:rsidTr="005C60D1">
        <w:trPr>
          <w:trHeight w:val="57"/>
        </w:trPr>
        <w:tc>
          <w:tcPr>
            <w:tcW w:w="344" w:type="pct"/>
            <w:vAlign w:val="center"/>
          </w:tcPr>
          <w:p w14:paraId="445A6EF6" w14:textId="77777777" w:rsidR="005C60D1" w:rsidRPr="00516CDC" w:rsidRDefault="005C60D1">
            <w:pPr>
              <w:pStyle w:val="TableText"/>
              <w:adjustRightInd w:val="0"/>
              <w:snapToGrid w:val="0"/>
              <w:jc w:val="center"/>
              <w:rPr>
                <w:rFonts w:ascii="Times New Roman" w:hAnsi="Times New Roman" w:cs="Times New Roman"/>
              </w:rPr>
            </w:pPr>
            <w:r w:rsidRPr="00516CDC">
              <w:rPr>
                <w:rFonts w:ascii="Times New Roman" w:hAnsi="Times New Roman" w:cs="Times New Roman"/>
              </w:rPr>
              <w:t>序号</w:t>
            </w:r>
          </w:p>
        </w:tc>
        <w:tc>
          <w:tcPr>
            <w:tcW w:w="1176" w:type="pct"/>
            <w:vAlign w:val="center"/>
          </w:tcPr>
          <w:p w14:paraId="5C5FB286" w14:textId="77777777" w:rsidR="005C60D1" w:rsidRPr="00516CDC" w:rsidRDefault="005C60D1">
            <w:pPr>
              <w:pStyle w:val="TableText"/>
              <w:adjustRightInd w:val="0"/>
              <w:snapToGrid w:val="0"/>
              <w:jc w:val="center"/>
              <w:rPr>
                <w:rFonts w:ascii="Times New Roman" w:hAnsi="Times New Roman" w:cs="Times New Roman"/>
              </w:rPr>
            </w:pPr>
            <w:r w:rsidRPr="00516CDC">
              <w:rPr>
                <w:rFonts w:ascii="Times New Roman" w:hAnsi="Times New Roman" w:cs="Times New Roman"/>
              </w:rPr>
              <w:t>监测项目</w:t>
            </w:r>
          </w:p>
        </w:tc>
        <w:tc>
          <w:tcPr>
            <w:tcW w:w="1740" w:type="pct"/>
            <w:vAlign w:val="center"/>
          </w:tcPr>
          <w:p w14:paraId="0C364409" w14:textId="1A767BC5" w:rsidR="005C60D1" w:rsidRPr="00516CDC" w:rsidRDefault="005C60D1">
            <w:pPr>
              <w:pStyle w:val="TableText"/>
              <w:adjustRightInd w:val="0"/>
              <w:snapToGrid w:val="0"/>
              <w:jc w:val="center"/>
              <w:rPr>
                <w:rFonts w:ascii="Times New Roman" w:hAnsi="Times New Roman" w:cs="Times New Roman"/>
                <w:lang w:eastAsia="zh-CN"/>
              </w:rPr>
            </w:pPr>
            <w:r w:rsidRPr="00516CDC">
              <w:rPr>
                <w:rFonts w:ascii="Times New Roman" w:hAnsi="Times New Roman" w:cs="Times New Roman" w:hint="eastAsia"/>
                <w:lang w:eastAsia="zh-CN"/>
              </w:rPr>
              <w:t>渗滤液</w:t>
            </w:r>
            <w:r w:rsidRPr="00516CDC">
              <w:rPr>
                <w:rFonts w:ascii="Times New Roman" w:hAnsi="Times New Roman" w:cs="Times New Roman"/>
                <w:lang w:eastAsia="zh-CN"/>
              </w:rPr>
              <w:t>进口水质最大值</w:t>
            </w:r>
          </w:p>
        </w:tc>
        <w:tc>
          <w:tcPr>
            <w:tcW w:w="1740" w:type="pct"/>
            <w:vAlign w:val="center"/>
          </w:tcPr>
          <w:p w14:paraId="5F31C432" w14:textId="529A972F" w:rsidR="005C60D1" w:rsidRPr="00516CDC" w:rsidRDefault="005C60D1">
            <w:pPr>
              <w:pStyle w:val="TableText"/>
              <w:adjustRightInd w:val="0"/>
              <w:snapToGrid w:val="0"/>
              <w:jc w:val="center"/>
              <w:rPr>
                <w:rFonts w:ascii="Times New Roman" w:hAnsi="Times New Roman" w:cs="Times New Roman"/>
                <w:lang w:eastAsia="zh-CN"/>
              </w:rPr>
            </w:pPr>
            <w:r w:rsidRPr="00516CDC">
              <w:rPr>
                <w:rFonts w:ascii="Times New Roman" w:hAnsi="Times New Roman" w:cs="Times New Roman" w:hint="eastAsia"/>
                <w:lang w:eastAsia="zh-CN"/>
              </w:rPr>
              <w:t>渗滤液</w:t>
            </w:r>
            <w:r>
              <w:rPr>
                <w:rFonts w:ascii="Times New Roman" w:hAnsi="Times New Roman" w:cs="Times New Roman" w:hint="eastAsia"/>
                <w:lang w:eastAsia="zh-CN"/>
              </w:rPr>
              <w:t>出</w:t>
            </w:r>
            <w:r w:rsidRPr="00516CDC">
              <w:rPr>
                <w:rFonts w:ascii="Times New Roman" w:hAnsi="Times New Roman" w:cs="Times New Roman"/>
                <w:lang w:eastAsia="zh-CN"/>
              </w:rPr>
              <w:t>口水质最大值</w:t>
            </w:r>
          </w:p>
        </w:tc>
      </w:tr>
      <w:tr w:rsidR="005C60D1" w:rsidRPr="00D710AB" w14:paraId="46A3C889" w14:textId="1340929A" w:rsidTr="005C60D1">
        <w:trPr>
          <w:trHeight w:val="57"/>
        </w:trPr>
        <w:tc>
          <w:tcPr>
            <w:tcW w:w="344" w:type="pct"/>
            <w:vAlign w:val="center"/>
          </w:tcPr>
          <w:p w14:paraId="49304D63" w14:textId="7C37D1F1" w:rsidR="005C60D1" w:rsidRPr="00516CDC" w:rsidRDefault="005C60D1" w:rsidP="005C60D1">
            <w:pPr>
              <w:adjustRightInd w:val="0"/>
              <w:snapToGrid w:val="0"/>
              <w:jc w:val="center"/>
              <w:rPr>
                <w:rFonts w:eastAsiaTheme="minorEastAsia"/>
              </w:rPr>
            </w:pPr>
            <w:bookmarkStart w:id="130" w:name="_Hlk220333074"/>
            <w:r w:rsidRPr="00516CDC">
              <w:rPr>
                <w:rFonts w:eastAsiaTheme="minorEastAsia" w:hint="eastAsia"/>
              </w:rPr>
              <w:t>1</w:t>
            </w:r>
          </w:p>
        </w:tc>
        <w:tc>
          <w:tcPr>
            <w:tcW w:w="1176" w:type="pct"/>
            <w:vAlign w:val="center"/>
          </w:tcPr>
          <w:p w14:paraId="5D15B34B" w14:textId="77777777" w:rsidR="005C60D1" w:rsidRPr="00516CDC" w:rsidRDefault="005C60D1" w:rsidP="005C60D1">
            <w:pPr>
              <w:pStyle w:val="TableText"/>
              <w:adjustRightInd w:val="0"/>
              <w:snapToGrid w:val="0"/>
              <w:jc w:val="center"/>
              <w:rPr>
                <w:rFonts w:ascii="Times New Roman" w:hAnsi="Times New Roman" w:cs="Times New Roman"/>
              </w:rPr>
            </w:pPr>
            <w:r w:rsidRPr="00516CDC">
              <w:rPr>
                <w:rFonts w:ascii="Times New Roman" w:eastAsia="Times New Roman" w:hAnsi="Times New Roman" w:cs="Times New Roman"/>
              </w:rPr>
              <w:t>COD</w:t>
            </w:r>
            <w:r w:rsidRPr="00516CDC">
              <w:rPr>
                <w:rFonts w:ascii="Times New Roman" w:hAnsi="Times New Roman" w:cs="Times New Roman"/>
              </w:rPr>
              <w:t>（</w:t>
            </w:r>
            <w:r w:rsidRPr="00516CDC">
              <w:rPr>
                <w:rFonts w:ascii="Times New Roman" w:eastAsia="Times New Roman" w:hAnsi="Times New Roman" w:cs="Times New Roman"/>
              </w:rPr>
              <w:t>mg/L</w:t>
            </w:r>
            <w:r w:rsidRPr="00516CDC">
              <w:rPr>
                <w:rFonts w:ascii="Times New Roman" w:hAnsi="Times New Roman" w:cs="Times New Roman"/>
              </w:rPr>
              <w:t>）</w:t>
            </w:r>
          </w:p>
        </w:tc>
        <w:tc>
          <w:tcPr>
            <w:tcW w:w="1740" w:type="pct"/>
            <w:vAlign w:val="center"/>
          </w:tcPr>
          <w:p w14:paraId="2FAA154F" w14:textId="0BFA735C" w:rsidR="005C60D1" w:rsidRPr="00516CDC" w:rsidRDefault="005C60D1" w:rsidP="005C60D1">
            <w:pPr>
              <w:adjustRightInd w:val="0"/>
              <w:snapToGrid w:val="0"/>
              <w:jc w:val="center"/>
              <w:rPr>
                <w:rFonts w:eastAsiaTheme="minorEastAsia"/>
              </w:rPr>
            </w:pPr>
            <w:r w:rsidRPr="00516CDC">
              <w:rPr>
                <w:rFonts w:eastAsiaTheme="minorEastAsia" w:hint="eastAsia"/>
              </w:rPr>
              <w:t>498</w:t>
            </w:r>
          </w:p>
        </w:tc>
        <w:tc>
          <w:tcPr>
            <w:tcW w:w="1740" w:type="pct"/>
            <w:vAlign w:val="center"/>
          </w:tcPr>
          <w:p w14:paraId="2F44C8A8" w14:textId="0A10DAE9" w:rsidR="005C60D1" w:rsidRPr="00516CDC" w:rsidRDefault="005C60D1" w:rsidP="005C60D1">
            <w:pPr>
              <w:adjustRightInd w:val="0"/>
              <w:snapToGrid w:val="0"/>
              <w:jc w:val="center"/>
              <w:rPr>
                <w:rFonts w:eastAsiaTheme="minorEastAsia"/>
              </w:rPr>
            </w:pPr>
            <w:r w:rsidRPr="00846889">
              <w:rPr>
                <w:rFonts w:eastAsiaTheme="minorEastAsia" w:hint="eastAsia"/>
              </w:rPr>
              <w:t>49</w:t>
            </w:r>
          </w:p>
        </w:tc>
      </w:tr>
      <w:tr w:rsidR="005C60D1" w:rsidRPr="00D710AB" w14:paraId="0625BE31" w14:textId="7CD29D09" w:rsidTr="005C60D1">
        <w:trPr>
          <w:trHeight w:val="57"/>
        </w:trPr>
        <w:tc>
          <w:tcPr>
            <w:tcW w:w="344" w:type="pct"/>
            <w:vAlign w:val="center"/>
          </w:tcPr>
          <w:p w14:paraId="14511A9F" w14:textId="70BD5350" w:rsidR="005C60D1" w:rsidRPr="00516CDC" w:rsidRDefault="005C60D1" w:rsidP="005C60D1">
            <w:pPr>
              <w:adjustRightInd w:val="0"/>
              <w:snapToGrid w:val="0"/>
              <w:jc w:val="center"/>
              <w:rPr>
                <w:rFonts w:eastAsiaTheme="minorEastAsia"/>
              </w:rPr>
            </w:pPr>
            <w:r w:rsidRPr="00516CDC">
              <w:rPr>
                <w:rFonts w:eastAsiaTheme="minorEastAsia" w:hint="eastAsia"/>
              </w:rPr>
              <w:t>2</w:t>
            </w:r>
          </w:p>
        </w:tc>
        <w:tc>
          <w:tcPr>
            <w:tcW w:w="1176" w:type="pct"/>
            <w:vAlign w:val="center"/>
          </w:tcPr>
          <w:p w14:paraId="0676F9FE" w14:textId="77777777" w:rsidR="005C60D1" w:rsidRPr="00516CDC" w:rsidRDefault="005C60D1" w:rsidP="005C60D1">
            <w:pPr>
              <w:pStyle w:val="TableText"/>
              <w:adjustRightInd w:val="0"/>
              <w:snapToGrid w:val="0"/>
              <w:jc w:val="center"/>
              <w:rPr>
                <w:rFonts w:ascii="Times New Roman" w:hAnsi="Times New Roman" w:cs="Times New Roman"/>
              </w:rPr>
            </w:pPr>
            <w:r w:rsidRPr="00516CDC">
              <w:rPr>
                <w:rFonts w:ascii="Times New Roman" w:eastAsia="Times New Roman" w:hAnsi="Times New Roman" w:cs="Times New Roman"/>
              </w:rPr>
              <w:t>BOD</w:t>
            </w:r>
            <w:r w:rsidRPr="005C60D1">
              <w:rPr>
                <w:rFonts w:ascii="Times New Roman" w:eastAsia="Times New Roman" w:hAnsi="Times New Roman" w:cs="Times New Roman"/>
                <w:position w:val="-1"/>
                <w:vertAlign w:val="subscript"/>
              </w:rPr>
              <w:t>5</w:t>
            </w:r>
            <w:r w:rsidRPr="00516CDC">
              <w:rPr>
                <w:rFonts w:ascii="Times New Roman" w:hAnsi="Times New Roman" w:cs="Times New Roman"/>
              </w:rPr>
              <w:t>（</w:t>
            </w:r>
            <w:r w:rsidRPr="00516CDC">
              <w:rPr>
                <w:rFonts w:ascii="Times New Roman" w:eastAsia="Times New Roman" w:hAnsi="Times New Roman" w:cs="Times New Roman"/>
              </w:rPr>
              <w:t>mg/L</w:t>
            </w:r>
            <w:r w:rsidRPr="00516CDC">
              <w:rPr>
                <w:rFonts w:ascii="Times New Roman" w:hAnsi="Times New Roman" w:cs="Times New Roman"/>
              </w:rPr>
              <w:t>）</w:t>
            </w:r>
          </w:p>
        </w:tc>
        <w:tc>
          <w:tcPr>
            <w:tcW w:w="1740" w:type="pct"/>
            <w:vAlign w:val="center"/>
          </w:tcPr>
          <w:p w14:paraId="338369AD" w14:textId="5306E4D9" w:rsidR="005C60D1" w:rsidRPr="00516CDC" w:rsidRDefault="005C60D1" w:rsidP="005C60D1">
            <w:pPr>
              <w:adjustRightInd w:val="0"/>
              <w:snapToGrid w:val="0"/>
              <w:jc w:val="center"/>
              <w:rPr>
                <w:rFonts w:eastAsiaTheme="minorEastAsia"/>
              </w:rPr>
            </w:pPr>
            <w:r w:rsidRPr="00516CDC">
              <w:rPr>
                <w:rFonts w:eastAsiaTheme="minorEastAsia" w:hint="eastAsia"/>
              </w:rPr>
              <w:t>176</w:t>
            </w:r>
          </w:p>
        </w:tc>
        <w:tc>
          <w:tcPr>
            <w:tcW w:w="1740" w:type="pct"/>
            <w:vAlign w:val="center"/>
          </w:tcPr>
          <w:p w14:paraId="36DF5177" w14:textId="43AADD02" w:rsidR="005C60D1" w:rsidRPr="00516CDC" w:rsidRDefault="005C60D1" w:rsidP="005C60D1">
            <w:pPr>
              <w:adjustRightInd w:val="0"/>
              <w:snapToGrid w:val="0"/>
              <w:jc w:val="center"/>
              <w:rPr>
                <w:rFonts w:eastAsiaTheme="minorEastAsia"/>
              </w:rPr>
            </w:pPr>
            <w:r w:rsidRPr="00846889">
              <w:rPr>
                <w:rFonts w:eastAsiaTheme="minorEastAsia" w:hint="eastAsia"/>
              </w:rPr>
              <w:t>8.8</w:t>
            </w:r>
          </w:p>
        </w:tc>
      </w:tr>
      <w:tr w:rsidR="005C60D1" w:rsidRPr="00D710AB" w14:paraId="148A3620" w14:textId="30450AFD" w:rsidTr="005C60D1">
        <w:trPr>
          <w:trHeight w:val="57"/>
        </w:trPr>
        <w:tc>
          <w:tcPr>
            <w:tcW w:w="344" w:type="pct"/>
            <w:vAlign w:val="center"/>
          </w:tcPr>
          <w:p w14:paraId="70FE1B8A" w14:textId="5C19EAE7" w:rsidR="005C60D1" w:rsidRPr="00516CDC" w:rsidRDefault="005C60D1" w:rsidP="005C60D1">
            <w:pPr>
              <w:adjustRightInd w:val="0"/>
              <w:snapToGrid w:val="0"/>
              <w:jc w:val="center"/>
              <w:rPr>
                <w:rFonts w:eastAsiaTheme="minorEastAsia"/>
              </w:rPr>
            </w:pPr>
            <w:r w:rsidRPr="00516CDC">
              <w:rPr>
                <w:rFonts w:eastAsiaTheme="minorEastAsia" w:hint="eastAsia"/>
              </w:rPr>
              <w:t>3</w:t>
            </w:r>
          </w:p>
        </w:tc>
        <w:tc>
          <w:tcPr>
            <w:tcW w:w="1176" w:type="pct"/>
            <w:vAlign w:val="center"/>
          </w:tcPr>
          <w:p w14:paraId="5F7370BF" w14:textId="77777777" w:rsidR="005C60D1" w:rsidRPr="00516CDC" w:rsidRDefault="005C60D1" w:rsidP="005C60D1">
            <w:pPr>
              <w:pStyle w:val="TableText"/>
              <w:adjustRightInd w:val="0"/>
              <w:snapToGrid w:val="0"/>
              <w:jc w:val="center"/>
              <w:rPr>
                <w:rFonts w:ascii="Times New Roman" w:hAnsi="Times New Roman" w:cs="Times New Roman"/>
              </w:rPr>
            </w:pPr>
            <w:r w:rsidRPr="00516CDC">
              <w:rPr>
                <w:rFonts w:ascii="Times New Roman" w:eastAsia="Times New Roman" w:hAnsi="Times New Roman" w:cs="Times New Roman"/>
              </w:rPr>
              <w:t>SS</w:t>
            </w:r>
            <w:r w:rsidRPr="00516CDC">
              <w:rPr>
                <w:rFonts w:ascii="Times New Roman" w:hAnsi="Times New Roman" w:cs="Times New Roman"/>
              </w:rPr>
              <w:t>（</w:t>
            </w:r>
            <w:r w:rsidRPr="00516CDC">
              <w:rPr>
                <w:rFonts w:ascii="Times New Roman" w:eastAsia="Times New Roman" w:hAnsi="Times New Roman" w:cs="Times New Roman"/>
              </w:rPr>
              <w:t>mg/L</w:t>
            </w:r>
            <w:r w:rsidRPr="00516CDC">
              <w:rPr>
                <w:rFonts w:ascii="Times New Roman" w:hAnsi="Times New Roman" w:cs="Times New Roman"/>
              </w:rPr>
              <w:t>）</w:t>
            </w:r>
          </w:p>
        </w:tc>
        <w:tc>
          <w:tcPr>
            <w:tcW w:w="1740" w:type="pct"/>
            <w:vAlign w:val="center"/>
          </w:tcPr>
          <w:p w14:paraId="5E01D5A3" w14:textId="4FA80DAE" w:rsidR="005C60D1" w:rsidRPr="00516CDC" w:rsidRDefault="005C60D1" w:rsidP="005C60D1">
            <w:pPr>
              <w:adjustRightInd w:val="0"/>
              <w:snapToGrid w:val="0"/>
              <w:jc w:val="center"/>
              <w:rPr>
                <w:rFonts w:eastAsiaTheme="minorEastAsia"/>
              </w:rPr>
            </w:pPr>
            <w:r>
              <w:rPr>
                <w:rFonts w:eastAsiaTheme="minorEastAsia" w:hint="eastAsia"/>
              </w:rPr>
              <w:t>245</w:t>
            </w:r>
          </w:p>
        </w:tc>
        <w:tc>
          <w:tcPr>
            <w:tcW w:w="1740" w:type="pct"/>
            <w:vAlign w:val="center"/>
          </w:tcPr>
          <w:p w14:paraId="63C34DB2" w14:textId="0CED70B1" w:rsidR="005C60D1" w:rsidRDefault="005C60D1" w:rsidP="005C60D1">
            <w:pPr>
              <w:adjustRightInd w:val="0"/>
              <w:snapToGrid w:val="0"/>
              <w:jc w:val="center"/>
              <w:rPr>
                <w:rFonts w:eastAsiaTheme="minorEastAsia"/>
              </w:rPr>
            </w:pPr>
            <w:r w:rsidRPr="00A23D86">
              <w:rPr>
                <w:rFonts w:eastAsiaTheme="minorEastAsia" w:hint="eastAsia"/>
              </w:rPr>
              <w:t>8</w:t>
            </w:r>
          </w:p>
        </w:tc>
      </w:tr>
      <w:tr w:rsidR="005C60D1" w:rsidRPr="00D710AB" w14:paraId="607D0250" w14:textId="568891EF" w:rsidTr="005C60D1">
        <w:trPr>
          <w:trHeight w:val="57"/>
        </w:trPr>
        <w:tc>
          <w:tcPr>
            <w:tcW w:w="344" w:type="pct"/>
            <w:vAlign w:val="center"/>
          </w:tcPr>
          <w:p w14:paraId="154B14B6" w14:textId="0E5B0298" w:rsidR="005C60D1" w:rsidRPr="009B7301" w:rsidRDefault="005C60D1" w:rsidP="005C60D1">
            <w:pPr>
              <w:adjustRightInd w:val="0"/>
              <w:snapToGrid w:val="0"/>
              <w:jc w:val="center"/>
              <w:rPr>
                <w:rFonts w:eastAsiaTheme="minorEastAsia"/>
              </w:rPr>
            </w:pPr>
            <w:r w:rsidRPr="009B7301">
              <w:rPr>
                <w:rFonts w:eastAsiaTheme="minorEastAsia" w:hint="eastAsia"/>
              </w:rPr>
              <w:t>4</w:t>
            </w:r>
          </w:p>
        </w:tc>
        <w:tc>
          <w:tcPr>
            <w:tcW w:w="1176" w:type="pct"/>
            <w:vAlign w:val="center"/>
          </w:tcPr>
          <w:p w14:paraId="7C664E99" w14:textId="77777777" w:rsidR="005C60D1" w:rsidRPr="009B7301" w:rsidRDefault="005C60D1" w:rsidP="005C60D1">
            <w:pPr>
              <w:pStyle w:val="TableText"/>
              <w:adjustRightInd w:val="0"/>
              <w:snapToGrid w:val="0"/>
              <w:jc w:val="center"/>
              <w:rPr>
                <w:rFonts w:ascii="Times New Roman" w:hAnsi="Times New Roman" w:cs="Times New Roman"/>
              </w:rPr>
            </w:pPr>
            <w:r w:rsidRPr="009B7301">
              <w:rPr>
                <w:rFonts w:ascii="Times New Roman" w:hAnsi="Times New Roman" w:cs="Times New Roman"/>
              </w:rPr>
              <w:t>氨氮（</w:t>
            </w:r>
            <w:r w:rsidRPr="009B7301">
              <w:rPr>
                <w:rFonts w:ascii="Times New Roman" w:eastAsia="Times New Roman" w:hAnsi="Times New Roman" w:cs="Times New Roman"/>
              </w:rPr>
              <w:t>mg/L</w:t>
            </w:r>
            <w:r w:rsidRPr="009B7301">
              <w:rPr>
                <w:rFonts w:ascii="Times New Roman" w:hAnsi="Times New Roman" w:cs="Times New Roman"/>
              </w:rPr>
              <w:t>）</w:t>
            </w:r>
          </w:p>
        </w:tc>
        <w:tc>
          <w:tcPr>
            <w:tcW w:w="1740" w:type="pct"/>
            <w:vAlign w:val="center"/>
          </w:tcPr>
          <w:p w14:paraId="326C0679" w14:textId="4114CC20" w:rsidR="005C60D1" w:rsidRPr="009B7301" w:rsidRDefault="005C60D1" w:rsidP="005C60D1">
            <w:pPr>
              <w:adjustRightInd w:val="0"/>
              <w:snapToGrid w:val="0"/>
              <w:jc w:val="center"/>
              <w:rPr>
                <w:rFonts w:eastAsiaTheme="minorEastAsia"/>
              </w:rPr>
            </w:pPr>
            <w:r w:rsidRPr="009B7301">
              <w:rPr>
                <w:rFonts w:eastAsiaTheme="minorEastAsia" w:hint="eastAsia"/>
              </w:rPr>
              <w:t>3.84</w:t>
            </w:r>
          </w:p>
        </w:tc>
        <w:tc>
          <w:tcPr>
            <w:tcW w:w="1740" w:type="pct"/>
            <w:vAlign w:val="center"/>
          </w:tcPr>
          <w:p w14:paraId="505369B8" w14:textId="0C08FD69" w:rsidR="005C60D1" w:rsidRPr="009B7301" w:rsidRDefault="005C60D1" w:rsidP="005C60D1">
            <w:pPr>
              <w:adjustRightInd w:val="0"/>
              <w:snapToGrid w:val="0"/>
              <w:jc w:val="center"/>
              <w:rPr>
                <w:rFonts w:eastAsiaTheme="minorEastAsia"/>
              </w:rPr>
            </w:pPr>
            <w:r w:rsidRPr="00A23D86">
              <w:rPr>
                <w:rFonts w:eastAsiaTheme="minorEastAsia" w:hint="eastAsia"/>
              </w:rPr>
              <w:t>0.383</w:t>
            </w:r>
          </w:p>
        </w:tc>
      </w:tr>
      <w:tr w:rsidR="005C60D1" w:rsidRPr="00D710AB" w14:paraId="4F3E554B" w14:textId="2B0BA744" w:rsidTr="005C60D1">
        <w:trPr>
          <w:trHeight w:val="57"/>
        </w:trPr>
        <w:tc>
          <w:tcPr>
            <w:tcW w:w="344" w:type="pct"/>
            <w:vAlign w:val="center"/>
          </w:tcPr>
          <w:p w14:paraId="36CEA894" w14:textId="2E1B4D97" w:rsidR="005C60D1" w:rsidRPr="009B7301" w:rsidRDefault="005C60D1" w:rsidP="005C60D1">
            <w:pPr>
              <w:adjustRightInd w:val="0"/>
              <w:snapToGrid w:val="0"/>
              <w:jc w:val="center"/>
              <w:rPr>
                <w:rFonts w:eastAsiaTheme="minorEastAsia"/>
              </w:rPr>
            </w:pPr>
            <w:r w:rsidRPr="009B7301">
              <w:rPr>
                <w:rFonts w:eastAsiaTheme="minorEastAsia" w:hint="eastAsia"/>
              </w:rPr>
              <w:t>5</w:t>
            </w:r>
          </w:p>
        </w:tc>
        <w:tc>
          <w:tcPr>
            <w:tcW w:w="1176" w:type="pct"/>
            <w:vAlign w:val="center"/>
          </w:tcPr>
          <w:p w14:paraId="312616B9" w14:textId="77777777" w:rsidR="005C60D1" w:rsidRPr="009B7301" w:rsidRDefault="005C60D1" w:rsidP="005C60D1">
            <w:pPr>
              <w:pStyle w:val="TableText"/>
              <w:adjustRightInd w:val="0"/>
              <w:snapToGrid w:val="0"/>
              <w:jc w:val="center"/>
              <w:rPr>
                <w:rFonts w:ascii="Times New Roman" w:hAnsi="Times New Roman" w:cs="Times New Roman"/>
              </w:rPr>
            </w:pPr>
            <w:r w:rsidRPr="009B7301">
              <w:rPr>
                <w:rFonts w:ascii="Times New Roman" w:hAnsi="Times New Roman" w:cs="Times New Roman"/>
              </w:rPr>
              <w:t>总磷（</w:t>
            </w:r>
            <w:r w:rsidRPr="009B7301">
              <w:rPr>
                <w:rFonts w:ascii="Times New Roman" w:eastAsia="Times New Roman" w:hAnsi="Times New Roman" w:cs="Times New Roman"/>
              </w:rPr>
              <w:t>mg/L</w:t>
            </w:r>
            <w:r w:rsidRPr="009B7301">
              <w:rPr>
                <w:rFonts w:ascii="Times New Roman" w:hAnsi="Times New Roman" w:cs="Times New Roman"/>
              </w:rPr>
              <w:t>）</w:t>
            </w:r>
          </w:p>
        </w:tc>
        <w:tc>
          <w:tcPr>
            <w:tcW w:w="1740" w:type="pct"/>
            <w:vAlign w:val="center"/>
          </w:tcPr>
          <w:p w14:paraId="1E028830" w14:textId="73CA5A30" w:rsidR="005C60D1" w:rsidRPr="009B7301" w:rsidRDefault="005C60D1" w:rsidP="005C60D1">
            <w:pPr>
              <w:adjustRightInd w:val="0"/>
              <w:snapToGrid w:val="0"/>
              <w:jc w:val="center"/>
              <w:rPr>
                <w:rFonts w:eastAsiaTheme="minorEastAsia"/>
              </w:rPr>
            </w:pPr>
            <w:r w:rsidRPr="009B7301">
              <w:rPr>
                <w:rFonts w:eastAsiaTheme="minorEastAsia" w:hint="eastAsia"/>
              </w:rPr>
              <w:t>4.52</w:t>
            </w:r>
          </w:p>
        </w:tc>
        <w:tc>
          <w:tcPr>
            <w:tcW w:w="1740" w:type="pct"/>
            <w:vAlign w:val="center"/>
          </w:tcPr>
          <w:p w14:paraId="791C92FF" w14:textId="4FEE6715" w:rsidR="005C60D1" w:rsidRPr="009B7301" w:rsidRDefault="005C60D1" w:rsidP="005C60D1">
            <w:pPr>
              <w:adjustRightInd w:val="0"/>
              <w:snapToGrid w:val="0"/>
              <w:jc w:val="center"/>
              <w:rPr>
                <w:rFonts w:eastAsiaTheme="minorEastAsia"/>
              </w:rPr>
            </w:pPr>
            <w:r w:rsidRPr="00A23D86">
              <w:rPr>
                <w:rFonts w:eastAsia="Times New Roman"/>
              </w:rPr>
              <w:t>0.</w:t>
            </w:r>
            <w:r w:rsidRPr="00A23D86">
              <w:rPr>
                <w:rFonts w:eastAsiaTheme="minorEastAsia" w:hint="eastAsia"/>
              </w:rPr>
              <w:t>45</w:t>
            </w:r>
          </w:p>
        </w:tc>
      </w:tr>
      <w:tr w:rsidR="005C60D1" w:rsidRPr="00D710AB" w14:paraId="4325D9FF" w14:textId="584042C9" w:rsidTr="005C60D1">
        <w:trPr>
          <w:trHeight w:val="57"/>
        </w:trPr>
        <w:tc>
          <w:tcPr>
            <w:tcW w:w="344" w:type="pct"/>
            <w:vAlign w:val="center"/>
          </w:tcPr>
          <w:p w14:paraId="255B0F9D" w14:textId="059B1171" w:rsidR="005C60D1" w:rsidRPr="009B7301" w:rsidRDefault="005C60D1" w:rsidP="005C60D1">
            <w:pPr>
              <w:adjustRightInd w:val="0"/>
              <w:snapToGrid w:val="0"/>
              <w:jc w:val="center"/>
              <w:rPr>
                <w:rFonts w:eastAsiaTheme="minorEastAsia"/>
              </w:rPr>
            </w:pPr>
            <w:r w:rsidRPr="009B7301">
              <w:rPr>
                <w:rFonts w:eastAsiaTheme="minorEastAsia" w:hint="eastAsia"/>
              </w:rPr>
              <w:t>6</w:t>
            </w:r>
          </w:p>
        </w:tc>
        <w:tc>
          <w:tcPr>
            <w:tcW w:w="1176" w:type="pct"/>
            <w:vAlign w:val="center"/>
          </w:tcPr>
          <w:p w14:paraId="3172CD0F" w14:textId="77777777" w:rsidR="005C60D1" w:rsidRPr="009B7301" w:rsidRDefault="005C60D1" w:rsidP="005C60D1">
            <w:pPr>
              <w:pStyle w:val="TableText"/>
              <w:adjustRightInd w:val="0"/>
              <w:snapToGrid w:val="0"/>
              <w:jc w:val="center"/>
              <w:rPr>
                <w:rFonts w:ascii="Times New Roman" w:hAnsi="Times New Roman" w:cs="Times New Roman"/>
              </w:rPr>
            </w:pPr>
            <w:r w:rsidRPr="009B7301">
              <w:rPr>
                <w:rFonts w:ascii="Times New Roman" w:hAnsi="Times New Roman" w:cs="Times New Roman"/>
              </w:rPr>
              <w:t>总汞（</w:t>
            </w:r>
            <w:r w:rsidRPr="009B7301">
              <w:rPr>
                <w:rFonts w:ascii="Times New Roman" w:eastAsia="Times New Roman" w:hAnsi="Times New Roman" w:cs="Times New Roman"/>
              </w:rPr>
              <w:t>mg/L</w:t>
            </w:r>
            <w:r w:rsidRPr="009B7301">
              <w:rPr>
                <w:rFonts w:ascii="Times New Roman" w:hAnsi="Times New Roman" w:cs="Times New Roman"/>
              </w:rPr>
              <w:t>）</w:t>
            </w:r>
          </w:p>
        </w:tc>
        <w:tc>
          <w:tcPr>
            <w:tcW w:w="1740" w:type="pct"/>
            <w:vAlign w:val="center"/>
          </w:tcPr>
          <w:p w14:paraId="3081A3B3" w14:textId="3274D351" w:rsidR="005C60D1" w:rsidRPr="009B7301" w:rsidRDefault="005C60D1" w:rsidP="005C60D1">
            <w:pPr>
              <w:adjustRightInd w:val="0"/>
              <w:snapToGrid w:val="0"/>
              <w:jc w:val="center"/>
              <w:rPr>
                <w:rFonts w:eastAsiaTheme="minorEastAsia"/>
              </w:rPr>
            </w:pPr>
            <w:r w:rsidRPr="009B7301">
              <w:rPr>
                <w:rFonts w:eastAsiaTheme="minorEastAsia" w:hint="eastAsia"/>
              </w:rPr>
              <w:t>5.61</w:t>
            </w:r>
            <w:r w:rsidRPr="009B7301">
              <w:rPr>
                <w:rFonts w:eastAsiaTheme="minorEastAsia" w:hint="eastAsia"/>
              </w:rPr>
              <w:t>×</w:t>
            </w:r>
            <w:r w:rsidRPr="009B7301">
              <w:rPr>
                <w:rFonts w:eastAsiaTheme="minorEastAsia" w:hint="eastAsia"/>
              </w:rPr>
              <w:t>10</w:t>
            </w:r>
            <w:r w:rsidRPr="009B7301">
              <w:rPr>
                <w:rFonts w:eastAsiaTheme="minorEastAsia" w:hint="eastAsia"/>
                <w:vertAlign w:val="superscript"/>
              </w:rPr>
              <w:t>-4</w:t>
            </w:r>
          </w:p>
        </w:tc>
        <w:tc>
          <w:tcPr>
            <w:tcW w:w="1740" w:type="pct"/>
            <w:vAlign w:val="center"/>
          </w:tcPr>
          <w:p w14:paraId="344F067E" w14:textId="07F5647A" w:rsidR="005C60D1" w:rsidRPr="009B7301" w:rsidRDefault="005C60D1" w:rsidP="005C60D1">
            <w:pPr>
              <w:adjustRightInd w:val="0"/>
              <w:snapToGrid w:val="0"/>
              <w:jc w:val="center"/>
              <w:rPr>
                <w:rFonts w:eastAsiaTheme="minorEastAsia"/>
              </w:rPr>
            </w:pPr>
            <w:r w:rsidRPr="00A23D86">
              <w:rPr>
                <w:rFonts w:eastAsia="Times New Roman"/>
              </w:rPr>
              <w:t>0.00004L</w:t>
            </w:r>
          </w:p>
        </w:tc>
      </w:tr>
      <w:tr w:rsidR="005C60D1" w:rsidRPr="00D710AB" w14:paraId="21992E28" w14:textId="56B8D1B6" w:rsidTr="005C60D1">
        <w:trPr>
          <w:trHeight w:val="57"/>
        </w:trPr>
        <w:tc>
          <w:tcPr>
            <w:tcW w:w="344" w:type="pct"/>
            <w:vAlign w:val="center"/>
          </w:tcPr>
          <w:p w14:paraId="1E28D2E5" w14:textId="6A0DB8EE" w:rsidR="005C60D1" w:rsidRPr="009B7301" w:rsidRDefault="005C60D1" w:rsidP="005C60D1">
            <w:pPr>
              <w:adjustRightInd w:val="0"/>
              <w:snapToGrid w:val="0"/>
              <w:jc w:val="center"/>
              <w:rPr>
                <w:rFonts w:eastAsiaTheme="minorEastAsia"/>
              </w:rPr>
            </w:pPr>
            <w:r w:rsidRPr="009B7301">
              <w:rPr>
                <w:rFonts w:eastAsiaTheme="minorEastAsia" w:hint="eastAsia"/>
              </w:rPr>
              <w:t>7</w:t>
            </w:r>
          </w:p>
        </w:tc>
        <w:tc>
          <w:tcPr>
            <w:tcW w:w="1176" w:type="pct"/>
            <w:vAlign w:val="center"/>
          </w:tcPr>
          <w:p w14:paraId="1F2F6B11" w14:textId="77777777" w:rsidR="005C60D1" w:rsidRPr="009B7301" w:rsidRDefault="005C60D1" w:rsidP="005C60D1">
            <w:pPr>
              <w:pStyle w:val="TableText"/>
              <w:adjustRightInd w:val="0"/>
              <w:snapToGrid w:val="0"/>
              <w:jc w:val="center"/>
              <w:rPr>
                <w:rFonts w:ascii="Times New Roman" w:hAnsi="Times New Roman" w:cs="Times New Roman"/>
              </w:rPr>
            </w:pPr>
            <w:r w:rsidRPr="009B7301">
              <w:rPr>
                <w:rFonts w:ascii="Times New Roman" w:hAnsi="Times New Roman" w:cs="Times New Roman"/>
              </w:rPr>
              <w:t>总镉（</w:t>
            </w:r>
            <w:r w:rsidRPr="009B7301">
              <w:rPr>
                <w:rFonts w:ascii="Times New Roman" w:eastAsia="Times New Roman" w:hAnsi="Times New Roman" w:cs="Times New Roman"/>
              </w:rPr>
              <w:t>mg/L</w:t>
            </w:r>
            <w:r w:rsidRPr="009B7301">
              <w:rPr>
                <w:rFonts w:ascii="Times New Roman" w:hAnsi="Times New Roman" w:cs="Times New Roman"/>
              </w:rPr>
              <w:t>）</w:t>
            </w:r>
          </w:p>
        </w:tc>
        <w:tc>
          <w:tcPr>
            <w:tcW w:w="1740" w:type="pct"/>
            <w:vAlign w:val="center"/>
          </w:tcPr>
          <w:p w14:paraId="09E154B3" w14:textId="2004614D" w:rsidR="005C60D1" w:rsidRPr="009B7301" w:rsidRDefault="005C60D1" w:rsidP="005C60D1">
            <w:pPr>
              <w:adjustRightInd w:val="0"/>
              <w:snapToGrid w:val="0"/>
              <w:jc w:val="center"/>
              <w:rPr>
                <w:rFonts w:eastAsia="Times New Roman"/>
              </w:rPr>
            </w:pPr>
            <w:r w:rsidRPr="009B7301">
              <w:rPr>
                <w:rFonts w:eastAsia="Times New Roman"/>
              </w:rPr>
              <w:t>0.001L</w:t>
            </w:r>
          </w:p>
        </w:tc>
        <w:tc>
          <w:tcPr>
            <w:tcW w:w="1740" w:type="pct"/>
            <w:vAlign w:val="center"/>
          </w:tcPr>
          <w:p w14:paraId="0B5206F7" w14:textId="6C1C599C" w:rsidR="005C60D1" w:rsidRPr="009B7301" w:rsidRDefault="005C60D1" w:rsidP="005C60D1">
            <w:pPr>
              <w:adjustRightInd w:val="0"/>
              <w:snapToGrid w:val="0"/>
              <w:jc w:val="center"/>
              <w:rPr>
                <w:rFonts w:eastAsia="Times New Roman"/>
              </w:rPr>
            </w:pPr>
            <w:r w:rsidRPr="00A23D86">
              <w:rPr>
                <w:rFonts w:eastAsia="Times New Roman"/>
              </w:rPr>
              <w:t>0.001L</w:t>
            </w:r>
          </w:p>
        </w:tc>
      </w:tr>
      <w:tr w:rsidR="005C60D1" w:rsidRPr="00D710AB" w14:paraId="0DB61D9A" w14:textId="64E1EF05" w:rsidTr="005C60D1">
        <w:trPr>
          <w:trHeight w:val="57"/>
        </w:trPr>
        <w:tc>
          <w:tcPr>
            <w:tcW w:w="344" w:type="pct"/>
            <w:vAlign w:val="center"/>
          </w:tcPr>
          <w:p w14:paraId="0C8C6ADC" w14:textId="624EA9B2" w:rsidR="005C60D1" w:rsidRPr="009B7301" w:rsidRDefault="005C60D1" w:rsidP="005C60D1">
            <w:pPr>
              <w:adjustRightInd w:val="0"/>
              <w:snapToGrid w:val="0"/>
              <w:jc w:val="center"/>
              <w:rPr>
                <w:rFonts w:eastAsiaTheme="minorEastAsia"/>
              </w:rPr>
            </w:pPr>
            <w:r w:rsidRPr="009B7301">
              <w:rPr>
                <w:rFonts w:eastAsiaTheme="minorEastAsia" w:hint="eastAsia"/>
              </w:rPr>
              <w:t>8</w:t>
            </w:r>
          </w:p>
        </w:tc>
        <w:tc>
          <w:tcPr>
            <w:tcW w:w="1176" w:type="pct"/>
            <w:vAlign w:val="center"/>
          </w:tcPr>
          <w:p w14:paraId="01EC217D" w14:textId="77777777" w:rsidR="005C60D1" w:rsidRPr="009B7301" w:rsidRDefault="005C60D1" w:rsidP="005C60D1">
            <w:pPr>
              <w:pStyle w:val="TableText"/>
              <w:adjustRightInd w:val="0"/>
              <w:snapToGrid w:val="0"/>
              <w:jc w:val="center"/>
              <w:rPr>
                <w:rFonts w:ascii="Times New Roman" w:hAnsi="Times New Roman" w:cs="Times New Roman"/>
              </w:rPr>
            </w:pPr>
            <w:r w:rsidRPr="009B7301">
              <w:rPr>
                <w:rFonts w:ascii="Times New Roman" w:hAnsi="Times New Roman" w:cs="Times New Roman"/>
              </w:rPr>
              <w:t>总铬（</w:t>
            </w:r>
            <w:r w:rsidRPr="009B7301">
              <w:rPr>
                <w:rFonts w:ascii="Times New Roman" w:eastAsia="Times New Roman" w:hAnsi="Times New Roman" w:cs="Times New Roman"/>
              </w:rPr>
              <w:t>mg/L</w:t>
            </w:r>
            <w:r w:rsidRPr="009B7301">
              <w:rPr>
                <w:rFonts w:ascii="Times New Roman" w:hAnsi="Times New Roman" w:cs="Times New Roman"/>
              </w:rPr>
              <w:t>）</w:t>
            </w:r>
          </w:p>
        </w:tc>
        <w:tc>
          <w:tcPr>
            <w:tcW w:w="1740" w:type="pct"/>
            <w:vAlign w:val="center"/>
          </w:tcPr>
          <w:p w14:paraId="1526BB59" w14:textId="4D20BBC1" w:rsidR="005C60D1" w:rsidRPr="009B7301" w:rsidRDefault="005C60D1" w:rsidP="005C60D1">
            <w:pPr>
              <w:adjustRightInd w:val="0"/>
              <w:snapToGrid w:val="0"/>
              <w:jc w:val="center"/>
              <w:rPr>
                <w:rFonts w:eastAsia="Times New Roman"/>
              </w:rPr>
            </w:pPr>
            <w:r w:rsidRPr="009B7301">
              <w:rPr>
                <w:rFonts w:eastAsia="Times New Roman"/>
              </w:rPr>
              <w:t>0.0</w:t>
            </w:r>
            <w:r w:rsidRPr="009B7301">
              <w:rPr>
                <w:rFonts w:eastAsiaTheme="minorEastAsia" w:hint="eastAsia"/>
              </w:rPr>
              <w:t>3</w:t>
            </w:r>
            <w:r w:rsidRPr="009B7301">
              <w:rPr>
                <w:rFonts w:eastAsia="Times New Roman"/>
              </w:rPr>
              <w:t>L</w:t>
            </w:r>
          </w:p>
        </w:tc>
        <w:tc>
          <w:tcPr>
            <w:tcW w:w="1740" w:type="pct"/>
            <w:vAlign w:val="center"/>
          </w:tcPr>
          <w:p w14:paraId="4A9B82FC" w14:textId="16A6A5D8" w:rsidR="005C60D1" w:rsidRPr="009B7301" w:rsidRDefault="005C60D1" w:rsidP="005C60D1">
            <w:pPr>
              <w:adjustRightInd w:val="0"/>
              <w:snapToGrid w:val="0"/>
              <w:jc w:val="center"/>
              <w:rPr>
                <w:rFonts w:eastAsia="Times New Roman"/>
              </w:rPr>
            </w:pPr>
            <w:r w:rsidRPr="00A23D86">
              <w:rPr>
                <w:rFonts w:eastAsia="Times New Roman"/>
              </w:rPr>
              <w:t>0.03L</w:t>
            </w:r>
          </w:p>
        </w:tc>
      </w:tr>
      <w:tr w:rsidR="005C60D1" w:rsidRPr="00D710AB" w14:paraId="5F11D316" w14:textId="4AFCD42A" w:rsidTr="005C60D1">
        <w:trPr>
          <w:trHeight w:val="57"/>
        </w:trPr>
        <w:tc>
          <w:tcPr>
            <w:tcW w:w="344" w:type="pct"/>
            <w:vAlign w:val="center"/>
          </w:tcPr>
          <w:p w14:paraId="1E9A52BF" w14:textId="32F8423B" w:rsidR="005C60D1" w:rsidRPr="009B7301" w:rsidRDefault="005C60D1" w:rsidP="005C60D1">
            <w:pPr>
              <w:adjustRightInd w:val="0"/>
              <w:snapToGrid w:val="0"/>
              <w:jc w:val="center"/>
              <w:rPr>
                <w:rFonts w:eastAsiaTheme="minorEastAsia"/>
              </w:rPr>
            </w:pPr>
            <w:r w:rsidRPr="009B7301">
              <w:rPr>
                <w:rFonts w:eastAsiaTheme="minorEastAsia" w:hint="eastAsia"/>
              </w:rPr>
              <w:t>9</w:t>
            </w:r>
          </w:p>
        </w:tc>
        <w:tc>
          <w:tcPr>
            <w:tcW w:w="1176" w:type="pct"/>
            <w:vAlign w:val="center"/>
          </w:tcPr>
          <w:p w14:paraId="21652CE6" w14:textId="77777777" w:rsidR="005C60D1" w:rsidRPr="009B7301" w:rsidRDefault="005C60D1" w:rsidP="005C60D1">
            <w:pPr>
              <w:pStyle w:val="TableText"/>
              <w:adjustRightInd w:val="0"/>
              <w:snapToGrid w:val="0"/>
              <w:jc w:val="center"/>
              <w:rPr>
                <w:rFonts w:ascii="Times New Roman" w:hAnsi="Times New Roman" w:cs="Times New Roman"/>
              </w:rPr>
            </w:pPr>
            <w:r w:rsidRPr="009B7301">
              <w:rPr>
                <w:rFonts w:ascii="Times New Roman" w:hAnsi="Times New Roman" w:cs="Times New Roman"/>
              </w:rPr>
              <w:t>六价铬（</w:t>
            </w:r>
            <w:r w:rsidRPr="009B7301">
              <w:rPr>
                <w:rFonts w:ascii="Times New Roman" w:eastAsia="Times New Roman" w:hAnsi="Times New Roman" w:cs="Times New Roman"/>
              </w:rPr>
              <w:t>mg/L</w:t>
            </w:r>
            <w:r w:rsidRPr="009B7301">
              <w:rPr>
                <w:rFonts w:ascii="Times New Roman" w:hAnsi="Times New Roman" w:cs="Times New Roman"/>
              </w:rPr>
              <w:t>）</w:t>
            </w:r>
          </w:p>
        </w:tc>
        <w:tc>
          <w:tcPr>
            <w:tcW w:w="1740" w:type="pct"/>
            <w:vAlign w:val="center"/>
          </w:tcPr>
          <w:p w14:paraId="3D46E3FF" w14:textId="5CC6FB9F" w:rsidR="005C60D1" w:rsidRPr="009B7301" w:rsidRDefault="005C60D1" w:rsidP="005C60D1">
            <w:pPr>
              <w:adjustRightInd w:val="0"/>
              <w:snapToGrid w:val="0"/>
              <w:jc w:val="center"/>
              <w:rPr>
                <w:rFonts w:eastAsiaTheme="minorEastAsia"/>
              </w:rPr>
            </w:pPr>
            <w:r w:rsidRPr="009B7301">
              <w:rPr>
                <w:rFonts w:eastAsiaTheme="minorEastAsia" w:hint="eastAsia"/>
              </w:rPr>
              <w:t>0.032</w:t>
            </w:r>
          </w:p>
        </w:tc>
        <w:tc>
          <w:tcPr>
            <w:tcW w:w="1740" w:type="pct"/>
            <w:vAlign w:val="center"/>
          </w:tcPr>
          <w:p w14:paraId="60642832" w14:textId="1234FFCD" w:rsidR="005C60D1" w:rsidRPr="009B7301" w:rsidRDefault="005C60D1" w:rsidP="005C60D1">
            <w:pPr>
              <w:adjustRightInd w:val="0"/>
              <w:snapToGrid w:val="0"/>
              <w:jc w:val="center"/>
              <w:rPr>
                <w:rFonts w:eastAsiaTheme="minorEastAsia"/>
              </w:rPr>
            </w:pPr>
            <w:r w:rsidRPr="00A23D86">
              <w:rPr>
                <w:rFonts w:eastAsia="Times New Roman"/>
              </w:rPr>
              <w:t>0.004L</w:t>
            </w:r>
          </w:p>
        </w:tc>
      </w:tr>
      <w:tr w:rsidR="005C60D1" w:rsidRPr="00D710AB" w14:paraId="6CA64FCB" w14:textId="7D66F74D" w:rsidTr="005C60D1">
        <w:trPr>
          <w:trHeight w:val="57"/>
        </w:trPr>
        <w:tc>
          <w:tcPr>
            <w:tcW w:w="344" w:type="pct"/>
            <w:vAlign w:val="center"/>
          </w:tcPr>
          <w:p w14:paraId="49DBE795" w14:textId="00118FCB" w:rsidR="005C60D1" w:rsidRPr="009B7301" w:rsidRDefault="005C60D1" w:rsidP="005C60D1">
            <w:pPr>
              <w:adjustRightInd w:val="0"/>
              <w:snapToGrid w:val="0"/>
              <w:jc w:val="center"/>
              <w:rPr>
                <w:rFonts w:eastAsiaTheme="minorEastAsia"/>
              </w:rPr>
            </w:pPr>
            <w:r w:rsidRPr="009B7301">
              <w:rPr>
                <w:rFonts w:eastAsiaTheme="minorEastAsia" w:hint="eastAsia"/>
              </w:rPr>
              <w:t>10</w:t>
            </w:r>
          </w:p>
        </w:tc>
        <w:tc>
          <w:tcPr>
            <w:tcW w:w="1176" w:type="pct"/>
            <w:vAlign w:val="center"/>
          </w:tcPr>
          <w:p w14:paraId="14500AE2" w14:textId="77777777" w:rsidR="005C60D1" w:rsidRPr="009B7301" w:rsidRDefault="005C60D1" w:rsidP="005C60D1">
            <w:pPr>
              <w:pStyle w:val="TableText"/>
              <w:adjustRightInd w:val="0"/>
              <w:snapToGrid w:val="0"/>
              <w:jc w:val="center"/>
              <w:rPr>
                <w:rFonts w:ascii="Times New Roman" w:hAnsi="Times New Roman" w:cs="Times New Roman"/>
              </w:rPr>
            </w:pPr>
            <w:r w:rsidRPr="009B7301">
              <w:rPr>
                <w:rFonts w:ascii="Times New Roman" w:hAnsi="Times New Roman" w:cs="Times New Roman"/>
              </w:rPr>
              <w:t>总砷（</w:t>
            </w:r>
            <w:r w:rsidRPr="009B7301">
              <w:rPr>
                <w:rFonts w:ascii="Times New Roman" w:eastAsia="Times New Roman" w:hAnsi="Times New Roman" w:cs="Times New Roman"/>
              </w:rPr>
              <w:t>mg/L</w:t>
            </w:r>
            <w:r w:rsidRPr="009B7301">
              <w:rPr>
                <w:rFonts w:ascii="Times New Roman" w:hAnsi="Times New Roman" w:cs="Times New Roman"/>
              </w:rPr>
              <w:t>）</w:t>
            </w:r>
          </w:p>
        </w:tc>
        <w:tc>
          <w:tcPr>
            <w:tcW w:w="1740" w:type="pct"/>
            <w:vAlign w:val="center"/>
          </w:tcPr>
          <w:p w14:paraId="68797C25" w14:textId="6350BBF2" w:rsidR="005C60D1" w:rsidRPr="009B7301" w:rsidRDefault="005C60D1" w:rsidP="005C60D1">
            <w:pPr>
              <w:adjustRightInd w:val="0"/>
              <w:snapToGrid w:val="0"/>
              <w:jc w:val="center"/>
              <w:rPr>
                <w:rFonts w:eastAsia="Times New Roman"/>
              </w:rPr>
            </w:pPr>
            <w:r w:rsidRPr="009B7301">
              <w:rPr>
                <w:rFonts w:eastAsiaTheme="minorEastAsia" w:hint="eastAsia"/>
              </w:rPr>
              <w:t>4.37</w:t>
            </w:r>
            <w:r w:rsidRPr="009B7301">
              <w:rPr>
                <w:rFonts w:eastAsiaTheme="minorEastAsia" w:hint="eastAsia"/>
              </w:rPr>
              <w:t>×</w:t>
            </w:r>
            <w:r w:rsidRPr="009B7301">
              <w:rPr>
                <w:rFonts w:eastAsiaTheme="minorEastAsia" w:hint="eastAsia"/>
              </w:rPr>
              <w:t>10</w:t>
            </w:r>
            <w:r w:rsidRPr="009B7301">
              <w:rPr>
                <w:rFonts w:eastAsiaTheme="minorEastAsia" w:hint="eastAsia"/>
                <w:vertAlign w:val="superscript"/>
              </w:rPr>
              <w:t>-3</w:t>
            </w:r>
          </w:p>
        </w:tc>
        <w:tc>
          <w:tcPr>
            <w:tcW w:w="1740" w:type="pct"/>
            <w:vAlign w:val="center"/>
          </w:tcPr>
          <w:p w14:paraId="722A4FD0" w14:textId="16461505" w:rsidR="005C60D1" w:rsidRPr="009B7301" w:rsidRDefault="005C60D1" w:rsidP="005C60D1">
            <w:pPr>
              <w:adjustRightInd w:val="0"/>
              <w:snapToGrid w:val="0"/>
              <w:jc w:val="center"/>
              <w:rPr>
                <w:rFonts w:eastAsiaTheme="minorEastAsia"/>
              </w:rPr>
            </w:pPr>
            <w:r w:rsidRPr="00A23D86">
              <w:rPr>
                <w:rFonts w:eastAsia="Times New Roman"/>
              </w:rPr>
              <w:t>0.0003L</w:t>
            </w:r>
          </w:p>
        </w:tc>
      </w:tr>
      <w:tr w:rsidR="005C60D1" w14:paraId="748A1611" w14:textId="5C44CEBB" w:rsidTr="005C60D1">
        <w:trPr>
          <w:trHeight w:val="57"/>
        </w:trPr>
        <w:tc>
          <w:tcPr>
            <w:tcW w:w="344" w:type="pct"/>
            <w:vAlign w:val="center"/>
          </w:tcPr>
          <w:p w14:paraId="43501030" w14:textId="7DF6A6F1" w:rsidR="005C60D1" w:rsidRPr="009B7301" w:rsidRDefault="005C60D1" w:rsidP="005C60D1">
            <w:pPr>
              <w:adjustRightInd w:val="0"/>
              <w:snapToGrid w:val="0"/>
              <w:jc w:val="center"/>
              <w:rPr>
                <w:rFonts w:eastAsiaTheme="minorEastAsia"/>
              </w:rPr>
            </w:pPr>
            <w:r w:rsidRPr="009B7301">
              <w:rPr>
                <w:rFonts w:eastAsiaTheme="minorEastAsia" w:hint="eastAsia"/>
              </w:rPr>
              <w:t>11</w:t>
            </w:r>
          </w:p>
        </w:tc>
        <w:tc>
          <w:tcPr>
            <w:tcW w:w="1176" w:type="pct"/>
            <w:vAlign w:val="center"/>
          </w:tcPr>
          <w:p w14:paraId="7189DB93" w14:textId="77777777" w:rsidR="005C60D1" w:rsidRPr="009B7301" w:rsidRDefault="005C60D1" w:rsidP="005C60D1">
            <w:pPr>
              <w:pStyle w:val="TableText"/>
              <w:adjustRightInd w:val="0"/>
              <w:snapToGrid w:val="0"/>
              <w:jc w:val="center"/>
              <w:rPr>
                <w:rFonts w:ascii="Times New Roman" w:hAnsi="Times New Roman" w:cs="Times New Roman"/>
              </w:rPr>
            </w:pPr>
            <w:r w:rsidRPr="009B7301">
              <w:rPr>
                <w:rFonts w:ascii="Times New Roman" w:hAnsi="Times New Roman" w:cs="Times New Roman"/>
              </w:rPr>
              <w:t>总铅（</w:t>
            </w:r>
            <w:r w:rsidRPr="009B7301">
              <w:rPr>
                <w:rFonts w:ascii="Times New Roman" w:eastAsia="Times New Roman" w:hAnsi="Times New Roman" w:cs="Times New Roman"/>
              </w:rPr>
              <w:t>mg/L</w:t>
            </w:r>
            <w:r w:rsidRPr="009B7301">
              <w:rPr>
                <w:rFonts w:ascii="Times New Roman" w:hAnsi="Times New Roman" w:cs="Times New Roman"/>
              </w:rPr>
              <w:t>）</w:t>
            </w:r>
          </w:p>
        </w:tc>
        <w:tc>
          <w:tcPr>
            <w:tcW w:w="1740" w:type="pct"/>
            <w:vAlign w:val="center"/>
          </w:tcPr>
          <w:p w14:paraId="7807CA54" w14:textId="77C72703" w:rsidR="005C60D1" w:rsidRPr="009B7301" w:rsidRDefault="005C60D1" w:rsidP="005C60D1">
            <w:pPr>
              <w:adjustRightInd w:val="0"/>
              <w:snapToGrid w:val="0"/>
              <w:jc w:val="center"/>
              <w:rPr>
                <w:rFonts w:eastAsia="Times New Roman"/>
              </w:rPr>
            </w:pPr>
            <w:r w:rsidRPr="009B7301">
              <w:rPr>
                <w:rFonts w:eastAsia="Times New Roman"/>
              </w:rPr>
              <w:t>0.010L</w:t>
            </w:r>
          </w:p>
        </w:tc>
        <w:tc>
          <w:tcPr>
            <w:tcW w:w="1740" w:type="pct"/>
            <w:vAlign w:val="center"/>
          </w:tcPr>
          <w:p w14:paraId="56BBB2A0" w14:textId="19A1277A" w:rsidR="005C60D1" w:rsidRPr="009B7301" w:rsidRDefault="005C60D1" w:rsidP="005C60D1">
            <w:pPr>
              <w:adjustRightInd w:val="0"/>
              <w:snapToGrid w:val="0"/>
              <w:jc w:val="center"/>
              <w:rPr>
                <w:rFonts w:eastAsia="Times New Roman"/>
              </w:rPr>
            </w:pPr>
            <w:r w:rsidRPr="00A23D86">
              <w:rPr>
                <w:rFonts w:eastAsia="Times New Roman"/>
              </w:rPr>
              <w:t>0.010L</w:t>
            </w:r>
          </w:p>
        </w:tc>
      </w:tr>
    </w:tbl>
    <w:bookmarkEnd w:id="130"/>
    <w:p w14:paraId="1A77A578" w14:textId="68C8584F" w:rsidR="00606029" w:rsidRDefault="00EA5B92">
      <w:pPr>
        <w:pStyle w:val="affffff4"/>
      </w:pPr>
      <w:r>
        <w:t>项目</w:t>
      </w:r>
      <w:r w:rsidR="00C40CEF">
        <w:t>运营期</w:t>
      </w:r>
      <w:r>
        <w:t>废水产生及排放情况见下表。</w:t>
      </w:r>
    </w:p>
    <w:p w14:paraId="7B13ACF4" w14:textId="7541D37F" w:rsidR="00606029" w:rsidRPr="00B1026A" w:rsidRDefault="00EA5B92">
      <w:pPr>
        <w:pStyle w:val="affffff5"/>
      </w:pPr>
      <w:r w:rsidRPr="00B1026A">
        <w:t>表</w:t>
      </w:r>
      <w:r w:rsidRPr="00B1026A">
        <w:t>2.3-</w:t>
      </w:r>
      <w:r w:rsidR="00C40CEF">
        <w:rPr>
          <w:rFonts w:hint="eastAsia"/>
        </w:rPr>
        <w:t xml:space="preserve">4 </w:t>
      </w:r>
      <w:r w:rsidRPr="00B1026A">
        <w:t>项目</w:t>
      </w:r>
      <w:r w:rsidR="00C40CEF">
        <w:t>运营期</w:t>
      </w:r>
      <w:r w:rsidRPr="00B1026A">
        <w:t>废水产生及排放一览表</w:t>
      </w:r>
    </w:p>
    <w:tbl>
      <w:tblPr>
        <w:tblStyle w:val="TableNormal"/>
        <w:tblW w:w="5008" w:type="pct"/>
        <w:jc w:val="center"/>
        <w:tblInd w:w="0" w:type="dxa"/>
        <w:tblBorders>
          <w:top w:val="single" w:sz="4" w:space="0" w:color="auto"/>
          <w:left w:val="single" w:sz="4" w:space="0" w:color="auto"/>
          <w:bottom w:val="single" w:sz="4" w:space="0" w:color="auto"/>
          <w:right w:val="single" w:sz="4" w:space="0" w:color="auto"/>
          <w:insideH w:val="single" w:sz="2" w:space="0" w:color="000000"/>
          <w:insideV w:val="single" w:sz="2" w:space="0" w:color="000000"/>
        </w:tblBorders>
        <w:tblLook w:val="04A0" w:firstRow="1" w:lastRow="0" w:firstColumn="1" w:lastColumn="0" w:noHBand="0" w:noVBand="1"/>
      </w:tblPr>
      <w:tblGrid>
        <w:gridCol w:w="511"/>
        <w:gridCol w:w="636"/>
        <w:gridCol w:w="835"/>
        <w:gridCol w:w="993"/>
        <w:gridCol w:w="915"/>
        <w:gridCol w:w="642"/>
        <w:gridCol w:w="880"/>
        <w:gridCol w:w="966"/>
        <w:gridCol w:w="989"/>
        <w:gridCol w:w="1481"/>
      </w:tblGrid>
      <w:tr w:rsidR="00B1026A" w:rsidRPr="00D710AB" w14:paraId="0BD0E929" w14:textId="77777777" w:rsidTr="00347823">
        <w:trPr>
          <w:trHeight w:val="57"/>
          <w:jc w:val="center"/>
        </w:trPr>
        <w:tc>
          <w:tcPr>
            <w:tcW w:w="288" w:type="pct"/>
            <w:vMerge w:val="restart"/>
            <w:tcBorders>
              <w:bottom w:val="nil"/>
            </w:tcBorders>
            <w:vAlign w:val="center"/>
          </w:tcPr>
          <w:p w14:paraId="3CDF0DF8" w14:textId="77777777" w:rsidR="00B1026A" w:rsidRPr="00B1026A" w:rsidRDefault="00B1026A">
            <w:pPr>
              <w:pStyle w:val="TableText"/>
              <w:adjustRightInd w:val="0"/>
              <w:snapToGrid w:val="0"/>
              <w:jc w:val="center"/>
              <w:rPr>
                <w:rFonts w:ascii="Times New Roman" w:hAnsi="Times New Roman" w:cs="Times New Roman"/>
              </w:rPr>
            </w:pPr>
            <w:r w:rsidRPr="00B1026A">
              <w:rPr>
                <w:rFonts w:ascii="Times New Roman" w:hAnsi="Times New Roman" w:cs="Times New Roman"/>
              </w:rPr>
              <w:t>废水名称</w:t>
            </w:r>
          </w:p>
        </w:tc>
        <w:tc>
          <w:tcPr>
            <w:tcW w:w="359" w:type="pct"/>
            <w:vMerge w:val="restart"/>
            <w:tcBorders>
              <w:bottom w:val="nil"/>
            </w:tcBorders>
            <w:vAlign w:val="center"/>
          </w:tcPr>
          <w:p w14:paraId="5427AA5A" w14:textId="77777777" w:rsidR="00B1026A" w:rsidRPr="00B1026A" w:rsidRDefault="00B1026A">
            <w:pPr>
              <w:pStyle w:val="TableText"/>
              <w:adjustRightInd w:val="0"/>
              <w:snapToGrid w:val="0"/>
              <w:jc w:val="center"/>
              <w:rPr>
                <w:rFonts w:ascii="Times New Roman" w:hAnsi="Times New Roman" w:cs="Times New Roman"/>
              </w:rPr>
            </w:pPr>
            <w:r w:rsidRPr="00B1026A">
              <w:rPr>
                <w:rFonts w:ascii="Times New Roman" w:hAnsi="Times New Roman" w:cs="Times New Roman"/>
              </w:rPr>
              <w:t>产生量（</w:t>
            </w:r>
            <w:r w:rsidRPr="00B1026A">
              <w:rPr>
                <w:rFonts w:ascii="Times New Roman" w:eastAsia="Times New Roman" w:hAnsi="Times New Roman" w:cs="Times New Roman"/>
              </w:rPr>
              <w:t>t/a</w:t>
            </w:r>
            <w:r w:rsidRPr="00B1026A">
              <w:rPr>
                <w:rFonts w:ascii="Times New Roman" w:hAnsi="Times New Roman" w:cs="Times New Roman"/>
              </w:rPr>
              <w:t>）</w:t>
            </w:r>
          </w:p>
        </w:tc>
        <w:tc>
          <w:tcPr>
            <w:tcW w:w="472" w:type="pct"/>
            <w:vMerge w:val="restart"/>
            <w:tcBorders>
              <w:bottom w:val="nil"/>
            </w:tcBorders>
            <w:vAlign w:val="center"/>
          </w:tcPr>
          <w:p w14:paraId="10BF0E92" w14:textId="77777777" w:rsidR="00B1026A" w:rsidRPr="00B1026A" w:rsidRDefault="00B1026A">
            <w:pPr>
              <w:pStyle w:val="TableText"/>
              <w:adjustRightInd w:val="0"/>
              <w:snapToGrid w:val="0"/>
              <w:jc w:val="center"/>
              <w:rPr>
                <w:rFonts w:ascii="Times New Roman" w:hAnsi="Times New Roman" w:cs="Times New Roman"/>
              </w:rPr>
            </w:pPr>
            <w:r w:rsidRPr="00B1026A">
              <w:rPr>
                <w:rFonts w:ascii="Times New Roman" w:hAnsi="Times New Roman" w:cs="Times New Roman"/>
              </w:rPr>
              <w:t>污染物</w:t>
            </w:r>
          </w:p>
        </w:tc>
        <w:tc>
          <w:tcPr>
            <w:tcW w:w="1078" w:type="pct"/>
            <w:gridSpan w:val="2"/>
            <w:vAlign w:val="center"/>
          </w:tcPr>
          <w:p w14:paraId="0C9EC2A5" w14:textId="77777777" w:rsidR="00B1026A" w:rsidRPr="00B1026A" w:rsidRDefault="00B1026A">
            <w:pPr>
              <w:pStyle w:val="TableText"/>
              <w:adjustRightInd w:val="0"/>
              <w:snapToGrid w:val="0"/>
              <w:jc w:val="center"/>
              <w:rPr>
                <w:rFonts w:ascii="Times New Roman" w:hAnsi="Times New Roman" w:cs="Times New Roman"/>
              </w:rPr>
            </w:pPr>
            <w:r w:rsidRPr="00B1026A">
              <w:rPr>
                <w:rFonts w:ascii="Times New Roman" w:hAnsi="Times New Roman" w:cs="Times New Roman"/>
              </w:rPr>
              <w:t>污染物产生量</w:t>
            </w:r>
          </w:p>
        </w:tc>
        <w:tc>
          <w:tcPr>
            <w:tcW w:w="363" w:type="pct"/>
            <w:vMerge w:val="restart"/>
            <w:vAlign w:val="center"/>
          </w:tcPr>
          <w:p w14:paraId="535C11AF" w14:textId="77777777" w:rsidR="00B1026A" w:rsidRPr="00B1026A" w:rsidRDefault="00B1026A">
            <w:pPr>
              <w:pStyle w:val="TableText"/>
              <w:adjustRightInd w:val="0"/>
              <w:snapToGrid w:val="0"/>
              <w:jc w:val="center"/>
              <w:rPr>
                <w:rFonts w:ascii="Times New Roman" w:hAnsi="Times New Roman" w:cs="Times New Roman"/>
                <w:lang w:eastAsia="zh-CN"/>
              </w:rPr>
            </w:pPr>
            <w:r w:rsidRPr="00B1026A">
              <w:rPr>
                <w:rFonts w:ascii="Times New Roman" w:hAnsi="Times New Roman" w:cs="Times New Roman" w:hint="eastAsia"/>
                <w:lang w:eastAsia="zh-CN"/>
              </w:rPr>
              <w:t>处理</w:t>
            </w:r>
          </w:p>
          <w:p w14:paraId="419DF1FB" w14:textId="7FFACB74" w:rsidR="00B1026A" w:rsidRPr="00D710AB" w:rsidRDefault="00B1026A">
            <w:pPr>
              <w:pStyle w:val="TableText"/>
              <w:adjustRightInd w:val="0"/>
              <w:snapToGrid w:val="0"/>
              <w:jc w:val="center"/>
              <w:rPr>
                <w:rFonts w:ascii="Times New Roman" w:hAnsi="Times New Roman" w:cs="Times New Roman"/>
                <w:highlight w:val="yellow"/>
                <w:lang w:eastAsia="zh-CN"/>
              </w:rPr>
            </w:pPr>
            <w:r w:rsidRPr="00B1026A">
              <w:rPr>
                <w:rFonts w:ascii="Times New Roman" w:hAnsi="Times New Roman" w:cs="Times New Roman" w:hint="eastAsia"/>
                <w:lang w:eastAsia="zh-CN"/>
              </w:rPr>
              <w:t>工艺</w:t>
            </w:r>
          </w:p>
        </w:tc>
        <w:tc>
          <w:tcPr>
            <w:tcW w:w="1043" w:type="pct"/>
            <w:gridSpan w:val="2"/>
            <w:vAlign w:val="center"/>
          </w:tcPr>
          <w:p w14:paraId="6359134E" w14:textId="77777777" w:rsidR="00B1026A" w:rsidRPr="00846889" w:rsidRDefault="00B1026A">
            <w:pPr>
              <w:pStyle w:val="TableText"/>
              <w:adjustRightInd w:val="0"/>
              <w:snapToGrid w:val="0"/>
              <w:jc w:val="center"/>
              <w:rPr>
                <w:rFonts w:ascii="Times New Roman" w:hAnsi="Times New Roman" w:cs="Times New Roman"/>
              </w:rPr>
            </w:pPr>
            <w:r w:rsidRPr="00846889">
              <w:rPr>
                <w:rFonts w:ascii="Times New Roman" w:hAnsi="Times New Roman" w:cs="Times New Roman"/>
              </w:rPr>
              <w:t>污染物排放量</w:t>
            </w:r>
          </w:p>
        </w:tc>
        <w:tc>
          <w:tcPr>
            <w:tcW w:w="559" w:type="pct"/>
            <w:vMerge w:val="restart"/>
            <w:tcBorders>
              <w:bottom w:val="nil"/>
            </w:tcBorders>
            <w:vAlign w:val="center"/>
          </w:tcPr>
          <w:p w14:paraId="6B469177" w14:textId="77777777" w:rsidR="00B1026A" w:rsidRPr="00846889" w:rsidRDefault="00B1026A">
            <w:pPr>
              <w:pStyle w:val="TableText"/>
              <w:adjustRightInd w:val="0"/>
              <w:snapToGrid w:val="0"/>
              <w:jc w:val="center"/>
              <w:rPr>
                <w:rFonts w:ascii="Times New Roman" w:hAnsi="Times New Roman" w:cs="Times New Roman"/>
              </w:rPr>
            </w:pPr>
            <w:r w:rsidRPr="00846889">
              <w:rPr>
                <w:rFonts w:ascii="Times New Roman" w:hAnsi="Times New Roman" w:cs="Times New Roman"/>
              </w:rPr>
              <w:t>排放标准（</w:t>
            </w:r>
            <w:r w:rsidRPr="00846889">
              <w:rPr>
                <w:rFonts w:ascii="Times New Roman" w:eastAsia="Times New Roman" w:hAnsi="Times New Roman" w:cs="Times New Roman"/>
              </w:rPr>
              <w:t>mg/L</w:t>
            </w:r>
            <w:r w:rsidRPr="00846889">
              <w:rPr>
                <w:rFonts w:ascii="Times New Roman" w:hAnsi="Times New Roman" w:cs="Times New Roman"/>
              </w:rPr>
              <w:t>）</w:t>
            </w:r>
          </w:p>
        </w:tc>
        <w:tc>
          <w:tcPr>
            <w:tcW w:w="837" w:type="pct"/>
            <w:vMerge w:val="restart"/>
            <w:tcBorders>
              <w:bottom w:val="nil"/>
            </w:tcBorders>
            <w:vAlign w:val="center"/>
          </w:tcPr>
          <w:p w14:paraId="0D478549" w14:textId="151F50A4" w:rsidR="00B1026A" w:rsidRPr="00D710AB" w:rsidRDefault="00347823">
            <w:pPr>
              <w:pStyle w:val="TableText"/>
              <w:adjustRightInd w:val="0"/>
              <w:snapToGrid w:val="0"/>
              <w:jc w:val="center"/>
              <w:rPr>
                <w:rFonts w:ascii="Times New Roman" w:hAnsi="Times New Roman" w:cs="Times New Roman"/>
                <w:highlight w:val="yellow"/>
                <w:lang w:eastAsia="zh-CN"/>
              </w:rPr>
            </w:pPr>
            <w:r w:rsidRPr="00347823">
              <w:rPr>
                <w:rFonts w:ascii="Times New Roman" w:hAnsi="Times New Roman" w:cs="Times New Roman"/>
                <w:lang w:eastAsia="zh-CN"/>
              </w:rPr>
              <w:t>满足《生活垃圾填埋场污染控制标准》（</w:t>
            </w:r>
            <w:r w:rsidRPr="00347823">
              <w:rPr>
                <w:rFonts w:ascii="Times New Roman" w:hAnsi="Times New Roman" w:cs="Times New Roman"/>
                <w:lang w:eastAsia="zh-CN"/>
              </w:rPr>
              <w:t>GB16889-2024</w:t>
            </w:r>
            <w:r w:rsidRPr="00347823">
              <w:rPr>
                <w:rFonts w:ascii="Times New Roman" w:hAnsi="Times New Roman" w:cs="Times New Roman"/>
                <w:lang w:eastAsia="zh-CN"/>
              </w:rPr>
              <w:t>）表</w:t>
            </w:r>
            <w:r w:rsidRPr="00347823">
              <w:rPr>
                <w:rFonts w:ascii="Times New Roman" w:hAnsi="Times New Roman" w:cs="Times New Roman"/>
                <w:lang w:eastAsia="zh-CN"/>
              </w:rPr>
              <w:t>4</w:t>
            </w:r>
            <w:r w:rsidRPr="00347823">
              <w:rPr>
                <w:rFonts w:ascii="Times New Roman" w:hAnsi="Times New Roman" w:cs="Times New Roman"/>
                <w:lang w:eastAsia="zh-CN"/>
              </w:rPr>
              <w:t>要求和</w:t>
            </w:r>
            <w:r w:rsidR="00B1026A" w:rsidRPr="00B1026A">
              <w:rPr>
                <w:rFonts w:ascii="Times New Roman" w:hAnsi="Times New Roman" w:cs="Times New Roman"/>
                <w:lang w:eastAsia="zh-CN"/>
              </w:rPr>
              <w:t>《城市污水再生利用</w:t>
            </w:r>
            <w:r w:rsidR="00B1026A" w:rsidRPr="00B1026A">
              <w:rPr>
                <w:rFonts w:ascii="Times New Roman" w:hAnsi="Times New Roman" w:cs="Times New Roman"/>
                <w:lang w:eastAsia="zh-CN"/>
              </w:rPr>
              <w:t xml:space="preserve"> </w:t>
            </w:r>
            <w:r w:rsidR="00B1026A" w:rsidRPr="00B1026A">
              <w:rPr>
                <w:rFonts w:ascii="Times New Roman" w:hAnsi="Times New Roman" w:cs="Times New Roman"/>
                <w:lang w:eastAsia="zh-CN"/>
              </w:rPr>
              <w:t>工业用水水质》（</w:t>
            </w:r>
            <w:r w:rsidR="00B1026A" w:rsidRPr="00B1026A">
              <w:rPr>
                <w:rFonts w:ascii="Times New Roman" w:hAnsi="Times New Roman" w:cs="Times New Roman"/>
                <w:lang w:eastAsia="zh-CN"/>
              </w:rPr>
              <w:t>GB/T19923-2024</w:t>
            </w:r>
            <w:r w:rsidR="00B1026A" w:rsidRPr="00B1026A">
              <w:rPr>
                <w:rFonts w:ascii="Times New Roman" w:hAnsi="Times New Roman" w:cs="Times New Roman"/>
                <w:lang w:eastAsia="zh-CN"/>
              </w:rPr>
              <w:t>）</w:t>
            </w:r>
            <w:r>
              <w:rPr>
                <w:rFonts w:ascii="Times New Roman" w:hAnsi="Times New Roman" w:cs="Times New Roman" w:hint="eastAsia"/>
                <w:lang w:eastAsia="zh-CN"/>
              </w:rPr>
              <w:t>表</w:t>
            </w:r>
            <w:r>
              <w:rPr>
                <w:rFonts w:ascii="Times New Roman" w:hAnsi="Times New Roman" w:cs="Times New Roman" w:hint="eastAsia"/>
                <w:lang w:eastAsia="zh-CN"/>
              </w:rPr>
              <w:t>1</w:t>
            </w:r>
            <w:r w:rsidR="00535A47">
              <w:rPr>
                <w:rFonts w:ascii="Times New Roman" w:hAnsi="Times New Roman" w:cs="Times New Roman"/>
                <w:lang w:eastAsia="zh-CN"/>
              </w:rPr>
              <w:t>间冷开式循环冷却水补充水标准</w:t>
            </w:r>
            <w:r w:rsidR="00B1026A" w:rsidRPr="00B1026A">
              <w:rPr>
                <w:rFonts w:ascii="Times New Roman" w:hAnsi="Times New Roman" w:cs="Times New Roman"/>
                <w:lang w:eastAsia="zh-CN"/>
              </w:rPr>
              <w:t>后全部回用至厂区冷却塔补水，不外排</w:t>
            </w:r>
          </w:p>
        </w:tc>
      </w:tr>
      <w:tr w:rsidR="00B1026A" w:rsidRPr="00D710AB" w14:paraId="4A1B8927" w14:textId="77777777" w:rsidTr="00347823">
        <w:trPr>
          <w:trHeight w:val="57"/>
          <w:jc w:val="center"/>
        </w:trPr>
        <w:tc>
          <w:tcPr>
            <w:tcW w:w="288" w:type="pct"/>
            <w:vMerge/>
            <w:tcBorders>
              <w:top w:val="nil"/>
            </w:tcBorders>
            <w:vAlign w:val="center"/>
          </w:tcPr>
          <w:p w14:paraId="688D80BD" w14:textId="77777777" w:rsidR="00B1026A" w:rsidRPr="00B1026A" w:rsidRDefault="00B1026A">
            <w:pPr>
              <w:adjustRightInd w:val="0"/>
              <w:snapToGrid w:val="0"/>
              <w:jc w:val="center"/>
            </w:pPr>
          </w:p>
        </w:tc>
        <w:tc>
          <w:tcPr>
            <w:tcW w:w="359" w:type="pct"/>
            <w:vMerge/>
            <w:tcBorders>
              <w:top w:val="nil"/>
            </w:tcBorders>
            <w:vAlign w:val="center"/>
          </w:tcPr>
          <w:p w14:paraId="1790D15E" w14:textId="77777777" w:rsidR="00B1026A" w:rsidRPr="00B1026A" w:rsidRDefault="00B1026A">
            <w:pPr>
              <w:adjustRightInd w:val="0"/>
              <w:snapToGrid w:val="0"/>
              <w:jc w:val="center"/>
            </w:pPr>
          </w:p>
        </w:tc>
        <w:tc>
          <w:tcPr>
            <w:tcW w:w="472" w:type="pct"/>
            <w:vMerge/>
            <w:tcBorders>
              <w:top w:val="nil"/>
            </w:tcBorders>
            <w:vAlign w:val="center"/>
          </w:tcPr>
          <w:p w14:paraId="29BCBC8C" w14:textId="77777777" w:rsidR="00B1026A" w:rsidRPr="00B1026A" w:rsidRDefault="00B1026A">
            <w:pPr>
              <w:adjustRightInd w:val="0"/>
              <w:snapToGrid w:val="0"/>
              <w:jc w:val="center"/>
            </w:pPr>
          </w:p>
        </w:tc>
        <w:tc>
          <w:tcPr>
            <w:tcW w:w="561" w:type="pct"/>
            <w:vAlign w:val="center"/>
          </w:tcPr>
          <w:p w14:paraId="4899FF94" w14:textId="77777777" w:rsidR="00B1026A" w:rsidRPr="00B1026A" w:rsidRDefault="00B1026A">
            <w:pPr>
              <w:pStyle w:val="TableText"/>
              <w:adjustRightInd w:val="0"/>
              <w:snapToGrid w:val="0"/>
              <w:jc w:val="center"/>
              <w:rPr>
                <w:rFonts w:ascii="Times New Roman" w:hAnsi="Times New Roman" w:cs="Times New Roman"/>
              </w:rPr>
            </w:pPr>
            <w:r w:rsidRPr="00B1026A">
              <w:rPr>
                <w:rFonts w:ascii="Times New Roman" w:hAnsi="Times New Roman" w:cs="Times New Roman"/>
              </w:rPr>
              <w:t>浓度（</w:t>
            </w:r>
            <w:r w:rsidRPr="00B1026A">
              <w:rPr>
                <w:rFonts w:ascii="Times New Roman" w:eastAsia="Times New Roman" w:hAnsi="Times New Roman" w:cs="Times New Roman"/>
              </w:rPr>
              <w:t>mg/L</w:t>
            </w:r>
            <w:r w:rsidRPr="00B1026A">
              <w:rPr>
                <w:rFonts w:ascii="Times New Roman" w:hAnsi="Times New Roman" w:cs="Times New Roman"/>
              </w:rPr>
              <w:t>）</w:t>
            </w:r>
          </w:p>
        </w:tc>
        <w:tc>
          <w:tcPr>
            <w:tcW w:w="517" w:type="pct"/>
            <w:vAlign w:val="center"/>
          </w:tcPr>
          <w:p w14:paraId="56EEBDDC" w14:textId="77777777" w:rsidR="00B1026A" w:rsidRPr="00B1026A" w:rsidRDefault="00B1026A">
            <w:pPr>
              <w:pStyle w:val="TableText"/>
              <w:adjustRightInd w:val="0"/>
              <w:snapToGrid w:val="0"/>
              <w:jc w:val="center"/>
              <w:rPr>
                <w:rFonts w:ascii="Times New Roman" w:hAnsi="Times New Roman" w:cs="Times New Roman"/>
              </w:rPr>
            </w:pPr>
            <w:r w:rsidRPr="00B1026A">
              <w:rPr>
                <w:rFonts w:ascii="Times New Roman" w:hAnsi="Times New Roman" w:cs="Times New Roman"/>
              </w:rPr>
              <w:t>产生量（</w:t>
            </w:r>
            <w:r w:rsidRPr="00B1026A">
              <w:rPr>
                <w:rFonts w:ascii="Times New Roman" w:eastAsia="Times New Roman" w:hAnsi="Times New Roman" w:cs="Times New Roman"/>
              </w:rPr>
              <w:t>t/a</w:t>
            </w:r>
            <w:r w:rsidRPr="00B1026A">
              <w:rPr>
                <w:rFonts w:ascii="Times New Roman" w:hAnsi="Times New Roman" w:cs="Times New Roman"/>
              </w:rPr>
              <w:t>）</w:t>
            </w:r>
          </w:p>
        </w:tc>
        <w:tc>
          <w:tcPr>
            <w:tcW w:w="363" w:type="pct"/>
            <w:vMerge/>
            <w:vAlign w:val="center"/>
          </w:tcPr>
          <w:p w14:paraId="1FF68CBF" w14:textId="77777777" w:rsidR="00B1026A" w:rsidRPr="00D710AB" w:rsidRDefault="00B1026A" w:rsidP="00B1026A">
            <w:pPr>
              <w:adjustRightInd w:val="0"/>
              <w:snapToGrid w:val="0"/>
              <w:rPr>
                <w:highlight w:val="yellow"/>
              </w:rPr>
            </w:pPr>
          </w:p>
        </w:tc>
        <w:tc>
          <w:tcPr>
            <w:tcW w:w="497" w:type="pct"/>
            <w:vAlign w:val="center"/>
          </w:tcPr>
          <w:p w14:paraId="50823D79" w14:textId="77777777" w:rsidR="00B1026A" w:rsidRPr="00846889" w:rsidRDefault="00B1026A">
            <w:pPr>
              <w:pStyle w:val="TableText"/>
              <w:adjustRightInd w:val="0"/>
              <w:snapToGrid w:val="0"/>
              <w:jc w:val="center"/>
              <w:rPr>
                <w:rFonts w:ascii="Times New Roman" w:hAnsi="Times New Roman" w:cs="Times New Roman"/>
              </w:rPr>
            </w:pPr>
            <w:r w:rsidRPr="00846889">
              <w:rPr>
                <w:rFonts w:ascii="Times New Roman" w:hAnsi="Times New Roman" w:cs="Times New Roman"/>
              </w:rPr>
              <w:t>浓度（</w:t>
            </w:r>
            <w:r w:rsidRPr="00846889">
              <w:rPr>
                <w:rFonts w:ascii="Times New Roman" w:eastAsia="Times New Roman" w:hAnsi="Times New Roman" w:cs="Times New Roman"/>
              </w:rPr>
              <w:t>mg/L</w:t>
            </w:r>
            <w:r w:rsidRPr="00846889">
              <w:rPr>
                <w:rFonts w:ascii="Times New Roman" w:hAnsi="Times New Roman" w:cs="Times New Roman"/>
              </w:rPr>
              <w:t>）</w:t>
            </w:r>
          </w:p>
        </w:tc>
        <w:tc>
          <w:tcPr>
            <w:tcW w:w="546" w:type="pct"/>
            <w:vAlign w:val="center"/>
          </w:tcPr>
          <w:p w14:paraId="2F7D2CBD" w14:textId="77777777" w:rsidR="00B1026A" w:rsidRPr="00846889" w:rsidRDefault="00B1026A">
            <w:pPr>
              <w:pStyle w:val="TableText"/>
              <w:adjustRightInd w:val="0"/>
              <w:snapToGrid w:val="0"/>
              <w:jc w:val="center"/>
              <w:rPr>
                <w:rFonts w:ascii="Times New Roman" w:hAnsi="Times New Roman" w:cs="Times New Roman"/>
              </w:rPr>
            </w:pPr>
            <w:r w:rsidRPr="00846889">
              <w:rPr>
                <w:rFonts w:ascii="Times New Roman" w:hAnsi="Times New Roman" w:cs="Times New Roman"/>
              </w:rPr>
              <w:t>排放量（</w:t>
            </w:r>
            <w:r w:rsidRPr="00846889">
              <w:rPr>
                <w:rFonts w:ascii="Times New Roman" w:eastAsia="Times New Roman" w:hAnsi="Times New Roman" w:cs="Times New Roman"/>
              </w:rPr>
              <w:t>t/a</w:t>
            </w:r>
            <w:r w:rsidRPr="00846889">
              <w:rPr>
                <w:rFonts w:ascii="Times New Roman" w:hAnsi="Times New Roman" w:cs="Times New Roman"/>
              </w:rPr>
              <w:t>）</w:t>
            </w:r>
          </w:p>
        </w:tc>
        <w:tc>
          <w:tcPr>
            <w:tcW w:w="559" w:type="pct"/>
            <w:vMerge/>
            <w:tcBorders>
              <w:top w:val="nil"/>
            </w:tcBorders>
            <w:vAlign w:val="center"/>
          </w:tcPr>
          <w:p w14:paraId="702A2A12" w14:textId="77777777" w:rsidR="00B1026A" w:rsidRPr="00846889" w:rsidRDefault="00B1026A">
            <w:pPr>
              <w:adjustRightInd w:val="0"/>
              <w:snapToGrid w:val="0"/>
              <w:jc w:val="center"/>
            </w:pPr>
          </w:p>
        </w:tc>
        <w:tc>
          <w:tcPr>
            <w:tcW w:w="837" w:type="pct"/>
            <w:vMerge/>
            <w:tcBorders>
              <w:top w:val="nil"/>
            </w:tcBorders>
            <w:vAlign w:val="center"/>
          </w:tcPr>
          <w:p w14:paraId="1C9CE575" w14:textId="77777777" w:rsidR="00B1026A" w:rsidRPr="00D710AB" w:rsidRDefault="00B1026A">
            <w:pPr>
              <w:adjustRightInd w:val="0"/>
              <w:snapToGrid w:val="0"/>
              <w:jc w:val="center"/>
              <w:rPr>
                <w:highlight w:val="yellow"/>
              </w:rPr>
            </w:pPr>
          </w:p>
        </w:tc>
      </w:tr>
      <w:tr w:rsidR="00B1026A" w:rsidRPr="00D710AB" w14:paraId="1C93EFCC" w14:textId="77777777" w:rsidTr="00347823">
        <w:trPr>
          <w:trHeight w:val="57"/>
          <w:jc w:val="center"/>
        </w:trPr>
        <w:tc>
          <w:tcPr>
            <w:tcW w:w="288" w:type="pct"/>
            <w:vMerge w:val="restart"/>
            <w:tcBorders>
              <w:bottom w:val="nil"/>
            </w:tcBorders>
            <w:vAlign w:val="center"/>
          </w:tcPr>
          <w:p w14:paraId="4943739D" w14:textId="77777777" w:rsidR="00B1026A" w:rsidRPr="00B1026A" w:rsidRDefault="00B1026A" w:rsidP="00113370">
            <w:pPr>
              <w:pStyle w:val="TableText"/>
              <w:adjustRightInd w:val="0"/>
              <w:snapToGrid w:val="0"/>
              <w:jc w:val="center"/>
              <w:rPr>
                <w:rFonts w:ascii="Times New Roman" w:hAnsi="Times New Roman" w:cs="Times New Roman"/>
              </w:rPr>
            </w:pPr>
            <w:bookmarkStart w:id="131" w:name="_Hlk220337567"/>
            <w:r w:rsidRPr="00B1026A">
              <w:rPr>
                <w:rFonts w:ascii="Times New Roman" w:hAnsi="Times New Roman" w:cs="Times New Roman"/>
              </w:rPr>
              <w:t>填埋场淋溶水</w:t>
            </w:r>
          </w:p>
        </w:tc>
        <w:tc>
          <w:tcPr>
            <w:tcW w:w="359" w:type="pct"/>
            <w:vMerge w:val="restart"/>
            <w:tcBorders>
              <w:bottom w:val="nil"/>
            </w:tcBorders>
            <w:vAlign w:val="center"/>
          </w:tcPr>
          <w:p w14:paraId="3BB71CEF" w14:textId="44E31FEC" w:rsidR="00B1026A" w:rsidRPr="00B1026A" w:rsidRDefault="00B1026A" w:rsidP="00113370">
            <w:pPr>
              <w:adjustRightInd w:val="0"/>
              <w:snapToGrid w:val="0"/>
              <w:jc w:val="center"/>
              <w:rPr>
                <w:rFonts w:eastAsiaTheme="minorEastAsia"/>
              </w:rPr>
            </w:pPr>
            <w:r w:rsidRPr="00B1026A">
              <w:rPr>
                <w:rFonts w:eastAsiaTheme="minorEastAsia" w:hint="eastAsia"/>
              </w:rPr>
              <w:t>223.5</w:t>
            </w:r>
          </w:p>
        </w:tc>
        <w:tc>
          <w:tcPr>
            <w:tcW w:w="472" w:type="pct"/>
            <w:vAlign w:val="center"/>
          </w:tcPr>
          <w:p w14:paraId="7ADDE0ED" w14:textId="474D9DF7" w:rsidR="00B1026A" w:rsidRPr="00B1026A" w:rsidRDefault="00B1026A" w:rsidP="00113370">
            <w:pPr>
              <w:adjustRightInd w:val="0"/>
              <w:snapToGrid w:val="0"/>
              <w:jc w:val="center"/>
              <w:rPr>
                <w:rFonts w:eastAsia="Times New Roman"/>
              </w:rPr>
            </w:pPr>
            <w:r w:rsidRPr="00B1026A">
              <w:rPr>
                <w:rFonts w:eastAsia="Times New Roman"/>
              </w:rPr>
              <w:t>COD</w:t>
            </w:r>
          </w:p>
        </w:tc>
        <w:tc>
          <w:tcPr>
            <w:tcW w:w="561" w:type="pct"/>
            <w:vAlign w:val="center"/>
          </w:tcPr>
          <w:p w14:paraId="2D0AD7B7" w14:textId="1A61EC47" w:rsidR="00B1026A" w:rsidRPr="00B1026A" w:rsidRDefault="00B1026A" w:rsidP="00113370">
            <w:pPr>
              <w:adjustRightInd w:val="0"/>
              <w:snapToGrid w:val="0"/>
              <w:jc w:val="center"/>
              <w:rPr>
                <w:rFonts w:eastAsia="Times New Roman"/>
              </w:rPr>
            </w:pPr>
            <w:r w:rsidRPr="00B1026A">
              <w:rPr>
                <w:rFonts w:eastAsiaTheme="minorEastAsia" w:hint="eastAsia"/>
              </w:rPr>
              <w:t>498</w:t>
            </w:r>
          </w:p>
        </w:tc>
        <w:tc>
          <w:tcPr>
            <w:tcW w:w="517" w:type="pct"/>
            <w:vAlign w:val="center"/>
          </w:tcPr>
          <w:p w14:paraId="14024573" w14:textId="2907A70F" w:rsidR="00B1026A" w:rsidRPr="00B1026A" w:rsidRDefault="00B1026A" w:rsidP="00113370">
            <w:pPr>
              <w:adjustRightInd w:val="0"/>
              <w:snapToGrid w:val="0"/>
              <w:jc w:val="center"/>
              <w:rPr>
                <w:rFonts w:eastAsiaTheme="minorEastAsia"/>
              </w:rPr>
            </w:pPr>
            <w:r w:rsidRPr="00B1026A">
              <w:rPr>
                <w:rFonts w:eastAsiaTheme="minorEastAsia" w:hint="eastAsia"/>
              </w:rPr>
              <w:t>0.1113</w:t>
            </w:r>
          </w:p>
        </w:tc>
        <w:tc>
          <w:tcPr>
            <w:tcW w:w="363" w:type="pct"/>
            <w:vMerge w:val="restart"/>
            <w:vAlign w:val="center"/>
          </w:tcPr>
          <w:p w14:paraId="362F0892" w14:textId="6E02DD35" w:rsidR="00B1026A" w:rsidRPr="00D710AB" w:rsidRDefault="00B1026A" w:rsidP="00113370">
            <w:pPr>
              <w:pStyle w:val="TableText"/>
              <w:adjustRightInd w:val="0"/>
              <w:snapToGrid w:val="0"/>
              <w:jc w:val="center"/>
              <w:rPr>
                <w:rFonts w:ascii="Times New Roman" w:hAnsi="Times New Roman" w:cs="Times New Roman"/>
                <w:highlight w:val="yellow"/>
                <w:lang w:eastAsia="zh-CN"/>
              </w:rPr>
            </w:pPr>
            <w:r w:rsidRPr="00B1026A">
              <w:rPr>
                <w:rFonts w:ascii="Times New Roman" w:hAnsi="Times New Roman" w:cs="Times New Roman"/>
                <w:lang w:eastAsia="zh-CN"/>
              </w:rPr>
              <w:t>调节池＋</w:t>
            </w:r>
            <w:r w:rsidRPr="00B1026A">
              <w:rPr>
                <w:rFonts w:ascii="Times New Roman" w:hAnsi="Times New Roman" w:cs="Times New Roman"/>
                <w:lang w:eastAsia="zh-CN"/>
              </w:rPr>
              <w:t>UASB</w:t>
            </w:r>
            <w:r w:rsidRPr="00B1026A">
              <w:rPr>
                <w:rFonts w:ascii="Times New Roman" w:hAnsi="Times New Roman" w:cs="Times New Roman"/>
                <w:lang w:eastAsia="zh-CN"/>
              </w:rPr>
              <w:t>厌氧反应器＋</w:t>
            </w:r>
            <w:r w:rsidRPr="00B1026A">
              <w:rPr>
                <w:rFonts w:ascii="Times New Roman" w:hAnsi="Times New Roman" w:cs="Times New Roman"/>
                <w:lang w:eastAsia="zh-CN"/>
              </w:rPr>
              <w:t>MBR</w:t>
            </w:r>
            <w:r w:rsidRPr="00B1026A">
              <w:rPr>
                <w:rFonts w:ascii="Times New Roman" w:hAnsi="Times New Roman" w:cs="Times New Roman"/>
                <w:lang w:eastAsia="zh-CN"/>
              </w:rPr>
              <w:t>生化处理系统＋</w:t>
            </w:r>
            <w:r w:rsidRPr="00B1026A">
              <w:rPr>
                <w:rFonts w:ascii="Times New Roman" w:hAnsi="Times New Roman" w:cs="Times New Roman"/>
                <w:lang w:eastAsia="zh-CN"/>
              </w:rPr>
              <w:t>NF</w:t>
            </w:r>
            <w:r w:rsidRPr="00B1026A">
              <w:rPr>
                <w:rFonts w:ascii="Times New Roman" w:hAnsi="Times New Roman" w:cs="Times New Roman"/>
                <w:lang w:eastAsia="zh-CN"/>
              </w:rPr>
              <w:t>纳滤＋</w:t>
            </w:r>
            <w:r w:rsidRPr="00B1026A">
              <w:rPr>
                <w:rFonts w:ascii="Times New Roman" w:hAnsi="Times New Roman" w:cs="Times New Roman"/>
                <w:lang w:eastAsia="zh-CN"/>
              </w:rPr>
              <w:t>RO</w:t>
            </w:r>
            <w:r w:rsidRPr="00B1026A">
              <w:rPr>
                <w:rFonts w:ascii="Times New Roman" w:hAnsi="Times New Roman" w:cs="Times New Roman"/>
                <w:lang w:eastAsia="zh-CN"/>
              </w:rPr>
              <w:t>反渗透</w:t>
            </w:r>
          </w:p>
        </w:tc>
        <w:tc>
          <w:tcPr>
            <w:tcW w:w="497" w:type="pct"/>
            <w:vAlign w:val="center"/>
          </w:tcPr>
          <w:p w14:paraId="4568A0EE" w14:textId="4B02F0D9" w:rsidR="00B1026A" w:rsidRPr="00846889" w:rsidRDefault="00846889" w:rsidP="00113370">
            <w:pPr>
              <w:adjustRightInd w:val="0"/>
              <w:snapToGrid w:val="0"/>
              <w:jc w:val="center"/>
              <w:rPr>
                <w:rFonts w:eastAsiaTheme="minorEastAsia"/>
              </w:rPr>
            </w:pPr>
            <w:r w:rsidRPr="00846889">
              <w:rPr>
                <w:rFonts w:eastAsiaTheme="minorEastAsia" w:hint="eastAsia"/>
              </w:rPr>
              <w:t>49</w:t>
            </w:r>
          </w:p>
        </w:tc>
        <w:tc>
          <w:tcPr>
            <w:tcW w:w="546" w:type="pct"/>
            <w:vAlign w:val="center"/>
          </w:tcPr>
          <w:p w14:paraId="59F2A6C5" w14:textId="1B9E65D3" w:rsidR="00B1026A" w:rsidRPr="00A23D86" w:rsidRDefault="00A23D86" w:rsidP="00113370">
            <w:pPr>
              <w:adjustRightInd w:val="0"/>
              <w:snapToGrid w:val="0"/>
              <w:jc w:val="center"/>
              <w:rPr>
                <w:rFonts w:eastAsiaTheme="minorEastAsia"/>
              </w:rPr>
            </w:pPr>
            <w:r>
              <w:rPr>
                <w:rFonts w:eastAsiaTheme="minorEastAsia" w:hint="eastAsia"/>
              </w:rPr>
              <w:t>0.011</w:t>
            </w:r>
          </w:p>
        </w:tc>
        <w:tc>
          <w:tcPr>
            <w:tcW w:w="559" w:type="pct"/>
            <w:vAlign w:val="center"/>
          </w:tcPr>
          <w:p w14:paraId="4CF4CB60" w14:textId="77777777" w:rsidR="00B1026A" w:rsidRPr="00846889" w:rsidRDefault="00B1026A" w:rsidP="00113370">
            <w:pPr>
              <w:adjustRightInd w:val="0"/>
              <w:snapToGrid w:val="0"/>
              <w:jc w:val="center"/>
              <w:rPr>
                <w:rFonts w:eastAsia="Times New Roman"/>
              </w:rPr>
            </w:pPr>
            <w:r w:rsidRPr="00846889">
              <w:rPr>
                <w:rFonts w:eastAsia="Times New Roman"/>
              </w:rPr>
              <w:t>100</w:t>
            </w:r>
          </w:p>
        </w:tc>
        <w:tc>
          <w:tcPr>
            <w:tcW w:w="837" w:type="pct"/>
            <w:vMerge/>
            <w:vAlign w:val="center"/>
          </w:tcPr>
          <w:p w14:paraId="662B0CB9" w14:textId="77777777" w:rsidR="00B1026A" w:rsidRPr="00D710AB" w:rsidRDefault="00B1026A" w:rsidP="00113370">
            <w:pPr>
              <w:pStyle w:val="TableText"/>
              <w:adjustRightInd w:val="0"/>
              <w:snapToGrid w:val="0"/>
              <w:jc w:val="center"/>
              <w:rPr>
                <w:rFonts w:ascii="Times New Roman" w:hAnsi="Times New Roman" w:cs="Times New Roman"/>
                <w:highlight w:val="yellow"/>
              </w:rPr>
            </w:pPr>
          </w:p>
        </w:tc>
      </w:tr>
      <w:tr w:rsidR="00B1026A" w:rsidRPr="00D710AB" w14:paraId="1406170F" w14:textId="77777777" w:rsidTr="00347823">
        <w:trPr>
          <w:trHeight w:val="57"/>
          <w:jc w:val="center"/>
        </w:trPr>
        <w:tc>
          <w:tcPr>
            <w:tcW w:w="288" w:type="pct"/>
            <w:vMerge/>
            <w:tcBorders>
              <w:top w:val="nil"/>
              <w:bottom w:val="nil"/>
            </w:tcBorders>
            <w:vAlign w:val="center"/>
          </w:tcPr>
          <w:p w14:paraId="72632FBC" w14:textId="77777777" w:rsidR="00B1026A" w:rsidRPr="00B1026A" w:rsidRDefault="00B1026A" w:rsidP="00113370">
            <w:pPr>
              <w:adjustRightInd w:val="0"/>
              <w:snapToGrid w:val="0"/>
              <w:jc w:val="center"/>
            </w:pPr>
          </w:p>
        </w:tc>
        <w:tc>
          <w:tcPr>
            <w:tcW w:w="359" w:type="pct"/>
            <w:vMerge/>
            <w:tcBorders>
              <w:top w:val="nil"/>
              <w:bottom w:val="nil"/>
            </w:tcBorders>
            <w:vAlign w:val="center"/>
          </w:tcPr>
          <w:p w14:paraId="622B3C33" w14:textId="77777777" w:rsidR="00B1026A" w:rsidRPr="00B1026A" w:rsidRDefault="00B1026A" w:rsidP="00113370">
            <w:pPr>
              <w:adjustRightInd w:val="0"/>
              <w:snapToGrid w:val="0"/>
              <w:jc w:val="center"/>
            </w:pPr>
          </w:p>
        </w:tc>
        <w:tc>
          <w:tcPr>
            <w:tcW w:w="472" w:type="pct"/>
            <w:vAlign w:val="center"/>
          </w:tcPr>
          <w:p w14:paraId="2FB168F0" w14:textId="07B1F99B" w:rsidR="00B1026A" w:rsidRPr="00B1026A" w:rsidRDefault="00B1026A" w:rsidP="00113370">
            <w:pPr>
              <w:adjustRightInd w:val="0"/>
              <w:snapToGrid w:val="0"/>
              <w:jc w:val="center"/>
              <w:rPr>
                <w:rFonts w:eastAsia="Times New Roman"/>
              </w:rPr>
            </w:pPr>
            <w:r w:rsidRPr="00B1026A">
              <w:rPr>
                <w:rFonts w:eastAsia="Times New Roman"/>
              </w:rPr>
              <w:t>BOD</w:t>
            </w:r>
            <w:r w:rsidRPr="00B1026A">
              <w:rPr>
                <w:rFonts w:eastAsia="Times New Roman"/>
                <w:position w:val="-1"/>
                <w:vertAlign w:val="subscript"/>
              </w:rPr>
              <w:t>5</w:t>
            </w:r>
          </w:p>
        </w:tc>
        <w:tc>
          <w:tcPr>
            <w:tcW w:w="561" w:type="pct"/>
            <w:vAlign w:val="center"/>
          </w:tcPr>
          <w:p w14:paraId="4413950E" w14:textId="6B4F6611" w:rsidR="00B1026A" w:rsidRPr="00B1026A" w:rsidRDefault="00B1026A" w:rsidP="00113370">
            <w:pPr>
              <w:adjustRightInd w:val="0"/>
              <w:snapToGrid w:val="0"/>
              <w:jc w:val="center"/>
              <w:rPr>
                <w:rFonts w:eastAsia="Times New Roman"/>
              </w:rPr>
            </w:pPr>
            <w:r w:rsidRPr="00B1026A">
              <w:rPr>
                <w:rFonts w:eastAsiaTheme="minorEastAsia" w:hint="eastAsia"/>
              </w:rPr>
              <w:t>176</w:t>
            </w:r>
          </w:p>
        </w:tc>
        <w:tc>
          <w:tcPr>
            <w:tcW w:w="517" w:type="pct"/>
            <w:vAlign w:val="center"/>
          </w:tcPr>
          <w:p w14:paraId="3E4A1A12" w14:textId="11E9D641" w:rsidR="00B1026A" w:rsidRPr="00B1026A" w:rsidRDefault="00B1026A" w:rsidP="00113370">
            <w:pPr>
              <w:adjustRightInd w:val="0"/>
              <w:snapToGrid w:val="0"/>
              <w:jc w:val="center"/>
              <w:rPr>
                <w:rFonts w:eastAsiaTheme="minorEastAsia"/>
              </w:rPr>
            </w:pPr>
            <w:r w:rsidRPr="00B1026A">
              <w:rPr>
                <w:rFonts w:eastAsiaTheme="minorEastAsia" w:hint="eastAsia"/>
              </w:rPr>
              <w:t>0.0393</w:t>
            </w:r>
          </w:p>
        </w:tc>
        <w:tc>
          <w:tcPr>
            <w:tcW w:w="363" w:type="pct"/>
            <w:vMerge/>
            <w:vAlign w:val="center"/>
          </w:tcPr>
          <w:p w14:paraId="3BD6F22A" w14:textId="77777777" w:rsidR="00B1026A" w:rsidRPr="00D710AB" w:rsidRDefault="00B1026A" w:rsidP="00113370">
            <w:pPr>
              <w:adjustRightInd w:val="0"/>
              <w:snapToGrid w:val="0"/>
              <w:jc w:val="center"/>
              <w:rPr>
                <w:highlight w:val="yellow"/>
              </w:rPr>
            </w:pPr>
          </w:p>
        </w:tc>
        <w:tc>
          <w:tcPr>
            <w:tcW w:w="497" w:type="pct"/>
            <w:vAlign w:val="center"/>
          </w:tcPr>
          <w:p w14:paraId="401515FE" w14:textId="2F78F2BB" w:rsidR="00B1026A" w:rsidRPr="00846889" w:rsidRDefault="00846889" w:rsidP="00113370">
            <w:pPr>
              <w:adjustRightInd w:val="0"/>
              <w:snapToGrid w:val="0"/>
              <w:jc w:val="center"/>
              <w:rPr>
                <w:rFonts w:eastAsiaTheme="minorEastAsia"/>
                <w:highlight w:val="yellow"/>
              </w:rPr>
            </w:pPr>
            <w:r w:rsidRPr="00846889">
              <w:rPr>
                <w:rFonts w:eastAsiaTheme="minorEastAsia" w:hint="eastAsia"/>
              </w:rPr>
              <w:t>8.8</w:t>
            </w:r>
          </w:p>
        </w:tc>
        <w:tc>
          <w:tcPr>
            <w:tcW w:w="546" w:type="pct"/>
            <w:vAlign w:val="center"/>
          </w:tcPr>
          <w:p w14:paraId="03F977DC" w14:textId="32B3DB58" w:rsidR="00B1026A" w:rsidRPr="00A23D86" w:rsidRDefault="00A23D86" w:rsidP="00113370">
            <w:pPr>
              <w:adjustRightInd w:val="0"/>
              <w:snapToGrid w:val="0"/>
              <w:jc w:val="center"/>
              <w:rPr>
                <w:rFonts w:eastAsiaTheme="minorEastAsia"/>
              </w:rPr>
            </w:pPr>
            <w:r w:rsidRPr="00A23D86">
              <w:rPr>
                <w:rFonts w:eastAsiaTheme="minorEastAsia" w:hint="eastAsia"/>
              </w:rPr>
              <w:t>0.002</w:t>
            </w:r>
          </w:p>
        </w:tc>
        <w:tc>
          <w:tcPr>
            <w:tcW w:w="559" w:type="pct"/>
            <w:vAlign w:val="center"/>
          </w:tcPr>
          <w:p w14:paraId="1477EA72" w14:textId="77777777" w:rsidR="00B1026A" w:rsidRPr="00A23D86" w:rsidRDefault="00B1026A" w:rsidP="00113370">
            <w:pPr>
              <w:adjustRightInd w:val="0"/>
              <w:snapToGrid w:val="0"/>
              <w:jc w:val="center"/>
              <w:rPr>
                <w:rFonts w:eastAsia="Times New Roman"/>
              </w:rPr>
            </w:pPr>
            <w:r w:rsidRPr="00A23D86">
              <w:rPr>
                <w:rFonts w:eastAsia="Times New Roman"/>
              </w:rPr>
              <w:t>30</w:t>
            </w:r>
          </w:p>
        </w:tc>
        <w:tc>
          <w:tcPr>
            <w:tcW w:w="837" w:type="pct"/>
            <w:vMerge/>
            <w:vAlign w:val="center"/>
          </w:tcPr>
          <w:p w14:paraId="5769E1BE" w14:textId="77777777" w:rsidR="00B1026A" w:rsidRPr="00D710AB" w:rsidRDefault="00B1026A" w:rsidP="00113370">
            <w:pPr>
              <w:adjustRightInd w:val="0"/>
              <w:snapToGrid w:val="0"/>
              <w:jc w:val="center"/>
              <w:rPr>
                <w:highlight w:val="yellow"/>
              </w:rPr>
            </w:pPr>
          </w:p>
        </w:tc>
      </w:tr>
      <w:tr w:rsidR="00B1026A" w:rsidRPr="00D710AB" w14:paraId="5F4B33C0" w14:textId="77777777" w:rsidTr="00347823">
        <w:trPr>
          <w:trHeight w:val="57"/>
          <w:jc w:val="center"/>
        </w:trPr>
        <w:tc>
          <w:tcPr>
            <w:tcW w:w="288" w:type="pct"/>
            <w:vMerge/>
            <w:tcBorders>
              <w:top w:val="nil"/>
              <w:bottom w:val="nil"/>
            </w:tcBorders>
            <w:vAlign w:val="center"/>
          </w:tcPr>
          <w:p w14:paraId="48AF568B" w14:textId="77777777" w:rsidR="00B1026A" w:rsidRPr="00B1026A" w:rsidRDefault="00B1026A" w:rsidP="00113370">
            <w:pPr>
              <w:adjustRightInd w:val="0"/>
              <w:snapToGrid w:val="0"/>
              <w:jc w:val="center"/>
            </w:pPr>
          </w:p>
        </w:tc>
        <w:tc>
          <w:tcPr>
            <w:tcW w:w="359" w:type="pct"/>
            <w:vMerge/>
            <w:tcBorders>
              <w:top w:val="nil"/>
              <w:bottom w:val="nil"/>
            </w:tcBorders>
            <w:vAlign w:val="center"/>
          </w:tcPr>
          <w:p w14:paraId="0997DFE7" w14:textId="77777777" w:rsidR="00B1026A" w:rsidRPr="00B1026A" w:rsidRDefault="00B1026A" w:rsidP="00113370">
            <w:pPr>
              <w:adjustRightInd w:val="0"/>
              <w:snapToGrid w:val="0"/>
              <w:jc w:val="center"/>
            </w:pPr>
          </w:p>
        </w:tc>
        <w:tc>
          <w:tcPr>
            <w:tcW w:w="472" w:type="pct"/>
            <w:vAlign w:val="center"/>
          </w:tcPr>
          <w:p w14:paraId="22754662" w14:textId="51C15FDD" w:rsidR="00B1026A" w:rsidRPr="00B1026A" w:rsidRDefault="00B1026A" w:rsidP="00113370">
            <w:pPr>
              <w:adjustRightInd w:val="0"/>
              <w:snapToGrid w:val="0"/>
              <w:jc w:val="center"/>
              <w:rPr>
                <w:rFonts w:eastAsia="Times New Roman"/>
              </w:rPr>
            </w:pPr>
            <w:r w:rsidRPr="00B1026A">
              <w:rPr>
                <w:rFonts w:eastAsia="Times New Roman"/>
              </w:rPr>
              <w:t>SS</w:t>
            </w:r>
          </w:p>
        </w:tc>
        <w:tc>
          <w:tcPr>
            <w:tcW w:w="561" w:type="pct"/>
            <w:vAlign w:val="center"/>
          </w:tcPr>
          <w:p w14:paraId="0819F08D" w14:textId="78CA9EEB" w:rsidR="00B1026A" w:rsidRPr="00B1026A" w:rsidRDefault="00B1026A" w:rsidP="00113370">
            <w:pPr>
              <w:adjustRightInd w:val="0"/>
              <w:snapToGrid w:val="0"/>
              <w:jc w:val="center"/>
              <w:rPr>
                <w:rFonts w:eastAsia="Times New Roman"/>
              </w:rPr>
            </w:pPr>
            <w:r w:rsidRPr="00B1026A">
              <w:rPr>
                <w:rFonts w:eastAsiaTheme="minorEastAsia" w:hint="eastAsia"/>
              </w:rPr>
              <w:t>245</w:t>
            </w:r>
          </w:p>
        </w:tc>
        <w:tc>
          <w:tcPr>
            <w:tcW w:w="517" w:type="pct"/>
            <w:vAlign w:val="center"/>
          </w:tcPr>
          <w:p w14:paraId="662E079E" w14:textId="510C47C2" w:rsidR="00B1026A" w:rsidRPr="00B1026A" w:rsidRDefault="00B1026A" w:rsidP="00113370">
            <w:pPr>
              <w:adjustRightInd w:val="0"/>
              <w:snapToGrid w:val="0"/>
              <w:jc w:val="center"/>
              <w:rPr>
                <w:rFonts w:eastAsiaTheme="minorEastAsia"/>
              </w:rPr>
            </w:pPr>
            <w:r w:rsidRPr="00B1026A">
              <w:rPr>
                <w:rFonts w:eastAsia="Times New Roman"/>
              </w:rPr>
              <w:t>0.</w:t>
            </w:r>
            <w:r w:rsidRPr="00B1026A">
              <w:rPr>
                <w:rFonts w:eastAsiaTheme="minorEastAsia" w:hint="eastAsia"/>
              </w:rPr>
              <w:t>0548</w:t>
            </w:r>
          </w:p>
        </w:tc>
        <w:tc>
          <w:tcPr>
            <w:tcW w:w="363" w:type="pct"/>
            <w:vMerge/>
            <w:vAlign w:val="center"/>
          </w:tcPr>
          <w:p w14:paraId="0EE733A9" w14:textId="77777777" w:rsidR="00B1026A" w:rsidRPr="00D710AB" w:rsidRDefault="00B1026A" w:rsidP="00113370">
            <w:pPr>
              <w:adjustRightInd w:val="0"/>
              <w:snapToGrid w:val="0"/>
              <w:jc w:val="center"/>
              <w:rPr>
                <w:highlight w:val="yellow"/>
              </w:rPr>
            </w:pPr>
          </w:p>
        </w:tc>
        <w:tc>
          <w:tcPr>
            <w:tcW w:w="497" w:type="pct"/>
            <w:vAlign w:val="center"/>
          </w:tcPr>
          <w:p w14:paraId="56B58627" w14:textId="257EA5DC" w:rsidR="00B1026A" w:rsidRPr="00A23D86" w:rsidRDefault="00A23D86" w:rsidP="00113370">
            <w:pPr>
              <w:adjustRightInd w:val="0"/>
              <w:snapToGrid w:val="0"/>
              <w:jc w:val="center"/>
              <w:rPr>
                <w:rFonts w:eastAsiaTheme="minorEastAsia"/>
              </w:rPr>
            </w:pPr>
            <w:r w:rsidRPr="00A23D86">
              <w:rPr>
                <w:rFonts w:eastAsiaTheme="minorEastAsia" w:hint="eastAsia"/>
              </w:rPr>
              <w:t>8</w:t>
            </w:r>
          </w:p>
        </w:tc>
        <w:tc>
          <w:tcPr>
            <w:tcW w:w="546" w:type="pct"/>
            <w:vAlign w:val="center"/>
          </w:tcPr>
          <w:p w14:paraId="0CE86302" w14:textId="14C4FFB4" w:rsidR="00B1026A" w:rsidRPr="00A23D86" w:rsidRDefault="00A23D86" w:rsidP="00113370">
            <w:pPr>
              <w:adjustRightInd w:val="0"/>
              <w:snapToGrid w:val="0"/>
              <w:jc w:val="center"/>
              <w:rPr>
                <w:rFonts w:eastAsiaTheme="minorEastAsia"/>
              </w:rPr>
            </w:pPr>
            <w:r w:rsidRPr="00A23D86">
              <w:rPr>
                <w:rFonts w:eastAsiaTheme="minorEastAsia" w:hint="eastAsia"/>
              </w:rPr>
              <w:t>0.0018</w:t>
            </w:r>
          </w:p>
        </w:tc>
        <w:tc>
          <w:tcPr>
            <w:tcW w:w="559" w:type="pct"/>
            <w:vAlign w:val="center"/>
          </w:tcPr>
          <w:p w14:paraId="4A2AF93A" w14:textId="77777777" w:rsidR="00B1026A" w:rsidRPr="00A23D86" w:rsidRDefault="00B1026A" w:rsidP="00113370">
            <w:pPr>
              <w:adjustRightInd w:val="0"/>
              <w:snapToGrid w:val="0"/>
              <w:jc w:val="center"/>
              <w:rPr>
                <w:rFonts w:eastAsia="Times New Roman"/>
              </w:rPr>
            </w:pPr>
            <w:r w:rsidRPr="00A23D86">
              <w:rPr>
                <w:rFonts w:eastAsia="Times New Roman"/>
              </w:rPr>
              <w:t>30</w:t>
            </w:r>
          </w:p>
        </w:tc>
        <w:tc>
          <w:tcPr>
            <w:tcW w:w="837" w:type="pct"/>
            <w:vMerge/>
            <w:vAlign w:val="center"/>
          </w:tcPr>
          <w:p w14:paraId="6DA7F411" w14:textId="77777777" w:rsidR="00B1026A" w:rsidRPr="00D710AB" w:rsidRDefault="00B1026A" w:rsidP="00113370">
            <w:pPr>
              <w:adjustRightInd w:val="0"/>
              <w:snapToGrid w:val="0"/>
              <w:jc w:val="center"/>
              <w:rPr>
                <w:highlight w:val="yellow"/>
              </w:rPr>
            </w:pPr>
          </w:p>
        </w:tc>
      </w:tr>
      <w:tr w:rsidR="00B1026A" w:rsidRPr="00D710AB" w14:paraId="434E7FA6" w14:textId="77777777" w:rsidTr="00347823">
        <w:trPr>
          <w:trHeight w:val="57"/>
          <w:jc w:val="center"/>
        </w:trPr>
        <w:tc>
          <w:tcPr>
            <w:tcW w:w="288" w:type="pct"/>
            <w:vMerge/>
            <w:tcBorders>
              <w:top w:val="nil"/>
              <w:bottom w:val="nil"/>
            </w:tcBorders>
            <w:vAlign w:val="center"/>
          </w:tcPr>
          <w:p w14:paraId="630D2517" w14:textId="77777777" w:rsidR="00B1026A" w:rsidRPr="00B1026A" w:rsidRDefault="00B1026A" w:rsidP="00113370">
            <w:pPr>
              <w:adjustRightInd w:val="0"/>
              <w:snapToGrid w:val="0"/>
              <w:jc w:val="center"/>
            </w:pPr>
          </w:p>
        </w:tc>
        <w:tc>
          <w:tcPr>
            <w:tcW w:w="359" w:type="pct"/>
            <w:vMerge/>
            <w:tcBorders>
              <w:top w:val="nil"/>
              <w:bottom w:val="nil"/>
            </w:tcBorders>
            <w:vAlign w:val="center"/>
          </w:tcPr>
          <w:p w14:paraId="0A54C31E" w14:textId="77777777" w:rsidR="00B1026A" w:rsidRPr="00B1026A" w:rsidRDefault="00B1026A" w:rsidP="00113370">
            <w:pPr>
              <w:adjustRightInd w:val="0"/>
              <w:snapToGrid w:val="0"/>
              <w:jc w:val="center"/>
            </w:pPr>
          </w:p>
        </w:tc>
        <w:tc>
          <w:tcPr>
            <w:tcW w:w="472" w:type="pct"/>
            <w:vAlign w:val="center"/>
          </w:tcPr>
          <w:p w14:paraId="70CE0E9E" w14:textId="02876FBD" w:rsidR="00B1026A" w:rsidRPr="00B1026A" w:rsidRDefault="00B1026A" w:rsidP="00113370">
            <w:pPr>
              <w:pStyle w:val="TableText"/>
              <w:adjustRightInd w:val="0"/>
              <w:snapToGrid w:val="0"/>
              <w:jc w:val="center"/>
              <w:rPr>
                <w:rFonts w:ascii="Times New Roman" w:hAnsi="Times New Roman" w:cs="Times New Roman"/>
              </w:rPr>
            </w:pPr>
            <w:r w:rsidRPr="00B1026A">
              <w:rPr>
                <w:rFonts w:ascii="Times New Roman" w:hAnsi="Times New Roman" w:cs="Times New Roman"/>
              </w:rPr>
              <w:t>氨氮</w:t>
            </w:r>
          </w:p>
        </w:tc>
        <w:tc>
          <w:tcPr>
            <w:tcW w:w="561" w:type="pct"/>
            <w:vAlign w:val="center"/>
          </w:tcPr>
          <w:p w14:paraId="2C13B07F" w14:textId="3AF250F8" w:rsidR="00B1026A" w:rsidRPr="00B1026A" w:rsidRDefault="00B1026A" w:rsidP="00113370">
            <w:pPr>
              <w:adjustRightInd w:val="0"/>
              <w:snapToGrid w:val="0"/>
              <w:jc w:val="center"/>
              <w:rPr>
                <w:rFonts w:eastAsia="Times New Roman"/>
              </w:rPr>
            </w:pPr>
            <w:r w:rsidRPr="00B1026A">
              <w:rPr>
                <w:rFonts w:eastAsiaTheme="minorEastAsia" w:hint="eastAsia"/>
              </w:rPr>
              <w:t>3.84</w:t>
            </w:r>
          </w:p>
        </w:tc>
        <w:tc>
          <w:tcPr>
            <w:tcW w:w="517" w:type="pct"/>
            <w:vAlign w:val="center"/>
          </w:tcPr>
          <w:p w14:paraId="0A66BD99" w14:textId="24633977" w:rsidR="00B1026A" w:rsidRPr="00B1026A" w:rsidRDefault="00B1026A" w:rsidP="00113370">
            <w:pPr>
              <w:adjustRightInd w:val="0"/>
              <w:snapToGrid w:val="0"/>
              <w:jc w:val="center"/>
              <w:rPr>
                <w:rFonts w:eastAsiaTheme="minorEastAsia"/>
              </w:rPr>
            </w:pPr>
            <w:r w:rsidRPr="00B1026A">
              <w:rPr>
                <w:rFonts w:eastAsiaTheme="minorEastAsia" w:hint="eastAsia"/>
              </w:rPr>
              <w:t>0.0009</w:t>
            </w:r>
          </w:p>
        </w:tc>
        <w:tc>
          <w:tcPr>
            <w:tcW w:w="363" w:type="pct"/>
            <w:vMerge/>
            <w:vAlign w:val="center"/>
          </w:tcPr>
          <w:p w14:paraId="228458AC" w14:textId="77777777" w:rsidR="00B1026A" w:rsidRPr="00D710AB" w:rsidRDefault="00B1026A" w:rsidP="00113370">
            <w:pPr>
              <w:adjustRightInd w:val="0"/>
              <w:snapToGrid w:val="0"/>
              <w:jc w:val="center"/>
              <w:rPr>
                <w:highlight w:val="yellow"/>
              </w:rPr>
            </w:pPr>
          </w:p>
        </w:tc>
        <w:tc>
          <w:tcPr>
            <w:tcW w:w="497" w:type="pct"/>
            <w:vAlign w:val="center"/>
          </w:tcPr>
          <w:p w14:paraId="4A4A79E7" w14:textId="0C9AF896" w:rsidR="00B1026A" w:rsidRPr="00A23D86" w:rsidRDefault="00A23D86" w:rsidP="00113370">
            <w:pPr>
              <w:adjustRightInd w:val="0"/>
              <w:snapToGrid w:val="0"/>
              <w:jc w:val="center"/>
              <w:rPr>
                <w:rFonts w:eastAsiaTheme="minorEastAsia"/>
              </w:rPr>
            </w:pPr>
            <w:r w:rsidRPr="00A23D86">
              <w:rPr>
                <w:rFonts w:eastAsiaTheme="minorEastAsia" w:hint="eastAsia"/>
              </w:rPr>
              <w:t>0.383</w:t>
            </w:r>
          </w:p>
        </w:tc>
        <w:tc>
          <w:tcPr>
            <w:tcW w:w="546" w:type="pct"/>
            <w:vAlign w:val="center"/>
          </w:tcPr>
          <w:p w14:paraId="26336E55" w14:textId="12FDE5E9" w:rsidR="00B1026A" w:rsidRPr="00A23D86" w:rsidRDefault="00A23D86" w:rsidP="00113370">
            <w:pPr>
              <w:adjustRightInd w:val="0"/>
              <w:snapToGrid w:val="0"/>
              <w:jc w:val="center"/>
              <w:rPr>
                <w:rFonts w:eastAsiaTheme="minorEastAsia"/>
              </w:rPr>
            </w:pPr>
            <w:r w:rsidRPr="00A23D86">
              <w:rPr>
                <w:rFonts w:eastAsiaTheme="minorEastAsia" w:hint="eastAsia"/>
              </w:rPr>
              <w:t>8.56</w:t>
            </w:r>
            <w:r w:rsidRPr="00A23D86">
              <w:rPr>
                <w:rFonts w:eastAsiaTheme="minorEastAsia" w:hint="eastAsia"/>
              </w:rPr>
              <w:t>×</w:t>
            </w:r>
            <w:r w:rsidRPr="00A23D86">
              <w:rPr>
                <w:rFonts w:eastAsiaTheme="minorEastAsia" w:hint="eastAsia"/>
              </w:rPr>
              <w:t>10</w:t>
            </w:r>
            <w:r w:rsidRPr="00A23D86">
              <w:rPr>
                <w:rFonts w:eastAsiaTheme="minorEastAsia" w:hint="eastAsia"/>
                <w:vertAlign w:val="superscript"/>
              </w:rPr>
              <w:t>-5</w:t>
            </w:r>
          </w:p>
        </w:tc>
        <w:tc>
          <w:tcPr>
            <w:tcW w:w="559" w:type="pct"/>
            <w:vAlign w:val="center"/>
          </w:tcPr>
          <w:p w14:paraId="1E1C7D6F" w14:textId="77777777" w:rsidR="00B1026A" w:rsidRPr="00A23D86" w:rsidRDefault="00B1026A" w:rsidP="00113370">
            <w:pPr>
              <w:adjustRightInd w:val="0"/>
              <w:snapToGrid w:val="0"/>
              <w:jc w:val="center"/>
              <w:rPr>
                <w:rFonts w:eastAsia="Times New Roman"/>
              </w:rPr>
            </w:pPr>
            <w:r w:rsidRPr="00A23D86">
              <w:rPr>
                <w:rFonts w:eastAsia="Times New Roman"/>
              </w:rPr>
              <w:t>25</w:t>
            </w:r>
          </w:p>
        </w:tc>
        <w:tc>
          <w:tcPr>
            <w:tcW w:w="837" w:type="pct"/>
            <w:vMerge/>
            <w:vAlign w:val="center"/>
          </w:tcPr>
          <w:p w14:paraId="4604DAE6" w14:textId="77777777" w:rsidR="00B1026A" w:rsidRPr="00D710AB" w:rsidRDefault="00B1026A" w:rsidP="00113370">
            <w:pPr>
              <w:adjustRightInd w:val="0"/>
              <w:snapToGrid w:val="0"/>
              <w:jc w:val="center"/>
              <w:rPr>
                <w:highlight w:val="yellow"/>
              </w:rPr>
            </w:pPr>
          </w:p>
        </w:tc>
      </w:tr>
      <w:tr w:rsidR="00B1026A" w:rsidRPr="00D710AB" w14:paraId="1C519E16" w14:textId="77777777" w:rsidTr="00347823">
        <w:trPr>
          <w:trHeight w:val="57"/>
          <w:jc w:val="center"/>
        </w:trPr>
        <w:tc>
          <w:tcPr>
            <w:tcW w:w="288" w:type="pct"/>
            <w:vMerge/>
            <w:tcBorders>
              <w:top w:val="nil"/>
              <w:bottom w:val="nil"/>
            </w:tcBorders>
            <w:vAlign w:val="center"/>
          </w:tcPr>
          <w:p w14:paraId="3583D1D5" w14:textId="77777777" w:rsidR="00B1026A" w:rsidRPr="00B1026A" w:rsidRDefault="00B1026A" w:rsidP="00113370">
            <w:pPr>
              <w:adjustRightInd w:val="0"/>
              <w:snapToGrid w:val="0"/>
              <w:jc w:val="center"/>
            </w:pPr>
          </w:p>
        </w:tc>
        <w:tc>
          <w:tcPr>
            <w:tcW w:w="359" w:type="pct"/>
            <w:vMerge/>
            <w:tcBorders>
              <w:top w:val="nil"/>
              <w:bottom w:val="nil"/>
            </w:tcBorders>
            <w:vAlign w:val="center"/>
          </w:tcPr>
          <w:p w14:paraId="1D1599A5" w14:textId="77777777" w:rsidR="00B1026A" w:rsidRPr="00B1026A" w:rsidRDefault="00B1026A" w:rsidP="00113370">
            <w:pPr>
              <w:adjustRightInd w:val="0"/>
              <w:snapToGrid w:val="0"/>
              <w:jc w:val="center"/>
            </w:pPr>
          </w:p>
        </w:tc>
        <w:tc>
          <w:tcPr>
            <w:tcW w:w="472" w:type="pct"/>
            <w:vAlign w:val="center"/>
          </w:tcPr>
          <w:p w14:paraId="60B40A6F" w14:textId="20D65FF5" w:rsidR="00B1026A" w:rsidRPr="00B1026A" w:rsidRDefault="00B1026A" w:rsidP="00113370">
            <w:pPr>
              <w:pStyle w:val="TableText"/>
              <w:adjustRightInd w:val="0"/>
              <w:snapToGrid w:val="0"/>
              <w:jc w:val="center"/>
              <w:rPr>
                <w:rFonts w:ascii="Times New Roman" w:hAnsi="Times New Roman" w:cs="Times New Roman"/>
              </w:rPr>
            </w:pPr>
            <w:r w:rsidRPr="00B1026A">
              <w:rPr>
                <w:rFonts w:ascii="Times New Roman" w:hAnsi="Times New Roman" w:cs="Times New Roman"/>
              </w:rPr>
              <w:t>总磷</w:t>
            </w:r>
          </w:p>
        </w:tc>
        <w:tc>
          <w:tcPr>
            <w:tcW w:w="561" w:type="pct"/>
            <w:vAlign w:val="center"/>
          </w:tcPr>
          <w:p w14:paraId="760126B4" w14:textId="59347576" w:rsidR="00B1026A" w:rsidRPr="00B1026A" w:rsidRDefault="00B1026A" w:rsidP="00113370">
            <w:pPr>
              <w:adjustRightInd w:val="0"/>
              <w:snapToGrid w:val="0"/>
              <w:jc w:val="center"/>
              <w:rPr>
                <w:rFonts w:eastAsia="Times New Roman"/>
              </w:rPr>
            </w:pPr>
            <w:r w:rsidRPr="00B1026A">
              <w:rPr>
                <w:rFonts w:eastAsiaTheme="minorEastAsia" w:hint="eastAsia"/>
              </w:rPr>
              <w:t>4.52</w:t>
            </w:r>
          </w:p>
        </w:tc>
        <w:tc>
          <w:tcPr>
            <w:tcW w:w="517" w:type="pct"/>
            <w:vAlign w:val="center"/>
          </w:tcPr>
          <w:p w14:paraId="2536B430" w14:textId="59C1FF86" w:rsidR="00B1026A" w:rsidRPr="00B1026A" w:rsidRDefault="00B1026A" w:rsidP="00113370">
            <w:pPr>
              <w:adjustRightInd w:val="0"/>
              <w:snapToGrid w:val="0"/>
              <w:jc w:val="center"/>
              <w:rPr>
                <w:rFonts w:eastAsiaTheme="minorEastAsia"/>
              </w:rPr>
            </w:pPr>
            <w:r w:rsidRPr="00B1026A">
              <w:rPr>
                <w:rFonts w:eastAsia="Times New Roman"/>
              </w:rPr>
              <w:t>0.00</w:t>
            </w:r>
            <w:r w:rsidRPr="00B1026A">
              <w:rPr>
                <w:rFonts w:eastAsiaTheme="minorEastAsia" w:hint="eastAsia"/>
              </w:rPr>
              <w:t>1</w:t>
            </w:r>
          </w:p>
        </w:tc>
        <w:tc>
          <w:tcPr>
            <w:tcW w:w="363" w:type="pct"/>
            <w:vMerge/>
            <w:vAlign w:val="center"/>
          </w:tcPr>
          <w:p w14:paraId="3EAB6563" w14:textId="77777777" w:rsidR="00B1026A" w:rsidRPr="00D710AB" w:rsidRDefault="00B1026A" w:rsidP="00113370">
            <w:pPr>
              <w:adjustRightInd w:val="0"/>
              <w:snapToGrid w:val="0"/>
              <w:jc w:val="center"/>
              <w:rPr>
                <w:highlight w:val="yellow"/>
              </w:rPr>
            </w:pPr>
          </w:p>
        </w:tc>
        <w:tc>
          <w:tcPr>
            <w:tcW w:w="497" w:type="pct"/>
            <w:vAlign w:val="center"/>
          </w:tcPr>
          <w:p w14:paraId="505D5989" w14:textId="60BE511F" w:rsidR="00B1026A" w:rsidRPr="00A23D86" w:rsidRDefault="00B1026A" w:rsidP="00113370">
            <w:pPr>
              <w:adjustRightInd w:val="0"/>
              <w:snapToGrid w:val="0"/>
              <w:jc w:val="center"/>
              <w:rPr>
                <w:rFonts w:eastAsiaTheme="minorEastAsia"/>
                <w:highlight w:val="yellow"/>
              </w:rPr>
            </w:pPr>
            <w:r w:rsidRPr="00A23D86">
              <w:rPr>
                <w:rFonts w:eastAsia="Times New Roman"/>
              </w:rPr>
              <w:t>0.</w:t>
            </w:r>
            <w:r w:rsidR="00A23D86" w:rsidRPr="00A23D86">
              <w:rPr>
                <w:rFonts w:eastAsiaTheme="minorEastAsia" w:hint="eastAsia"/>
              </w:rPr>
              <w:t>45</w:t>
            </w:r>
          </w:p>
        </w:tc>
        <w:tc>
          <w:tcPr>
            <w:tcW w:w="546" w:type="pct"/>
            <w:vAlign w:val="center"/>
          </w:tcPr>
          <w:p w14:paraId="2840BD0E" w14:textId="4B3D34CE" w:rsidR="00B1026A" w:rsidRPr="00A23D86" w:rsidRDefault="00A23D86" w:rsidP="00113370">
            <w:pPr>
              <w:adjustRightInd w:val="0"/>
              <w:snapToGrid w:val="0"/>
              <w:jc w:val="center"/>
              <w:rPr>
                <w:rFonts w:eastAsiaTheme="minorEastAsia"/>
              </w:rPr>
            </w:pPr>
            <w:r w:rsidRPr="00A23D86">
              <w:rPr>
                <w:rFonts w:eastAsiaTheme="minorEastAsia" w:hint="eastAsia"/>
              </w:rPr>
              <w:t>0.0001</w:t>
            </w:r>
          </w:p>
        </w:tc>
        <w:tc>
          <w:tcPr>
            <w:tcW w:w="559" w:type="pct"/>
            <w:vAlign w:val="center"/>
          </w:tcPr>
          <w:p w14:paraId="56A18538" w14:textId="77777777" w:rsidR="00B1026A" w:rsidRPr="00A23D86" w:rsidRDefault="00B1026A" w:rsidP="00113370">
            <w:pPr>
              <w:adjustRightInd w:val="0"/>
              <w:snapToGrid w:val="0"/>
              <w:jc w:val="center"/>
              <w:rPr>
                <w:rFonts w:eastAsia="Times New Roman"/>
              </w:rPr>
            </w:pPr>
            <w:r w:rsidRPr="00A23D86">
              <w:rPr>
                <w:rFonts w:eastAsia="Times New Roman"/>
              </w:rPr>
              <w:t>3</w:t>
            </w:r>
          </w:p>
        </w:tc>
        <w:tc>
          <w:tcPr>
            <w:tcW w:w="837" w:type="pct"/>
            <w:vMerge/>
            <w:vAlign w:val="center"/>
          </w:tcPr>
          <w:p w14:paraId="0D80ABF5" w14:textId="77777777" w:rsidR="00B1026A" w:rsidRPr="00D710AB" w:rsidRDefault="00B1026A" w:rsidP="00113370">
            <w:pPr>
              <w:adjustRightInd w:val="0"/>
              <w:snapToGrid w:val="0"/>
              <w:jc w:val="center"/>
              <w:rPr>
                <w:highlight w:val="yellow"/>
              </w:rPr>
            </w:pPr>
          </w:p>
        </w:tc>
      </w:tr>
      <w:tr w:rsidR="00B1026A" w:rsidRPr="00D710AB" w14:paraId="71D67423" w14:textId="77777777" w:rsidTr="00347823">
        <w:trPr>
          <w:trHeight w:val="329"/>
          <w:jc w:val="center"/>
        </w:trPr>
        <w:tc>
          <w:tcPr>
            <w:tcW w:w="288" w:type="pct"/>
            <w:vMerge/>
            <w:tcBorders>
              <w:top w:val="nil"/>
              <w:bottom w:val="nil"/>
            </w:tcBorders>
            <w:vAlign w:val="center"/>
          </w:tcPr>
          <w:p w14:paraId="022A81CB" w14:textId="77777777" w:rsidR="00B1026A" w:rsidRPr="00B1026A" w:rsidRDefault="00B1026A" w:rsidP="00113370">
            <w:pPr>
              <w:adjustRightInd w:val="0"/>
              <w:snapToGrid w:val="0"/>
              <w:jc w:val="center"/>
            </w:pPr>
            <w:bookmarkStart w:id="132" w:name="_Hlk220862839"/>
          </w:p>
        </w:tc>
        <w:tc>
          <w:tcPr>
            <w:tcW w:w="359" w:type="pct"/>
            <w:vMerge/>
            <w:tcBorders>
              <w:top w:val="nil"/>
              <w:bottom w:val="nil"/>
            </w:tcBorders>
            <w:vAlign w:val="center"/>
          </w:tcPr>
          <w:p w14:paraId="33C20D62" w14:textId="77777777" w:rsidR="00B1026A" w:rsidRPr="00B1026A" w:rsidRDefault="00B1026A" w:rsidP="00113370">
            <w:pPr>
              <w:adjustRightInd w:val="0"/>
              <w:snapToGrid w:val="0"/>
              <w:jc w:val="center"/>
            </w:pPr>
          </w:p>
        </w:tc>
        <w:tc>
          <w:tcPr>
            <w:tcW w:w="472" w:type="pct"/>
            <w:vAlign w:val="center"/>
          </w:tcPr>
          <w:p w14:paraId="36882AC4" w14:textId="1445A546" w:rsidR="00B1026A" w:rsidRPr="00B1026A" w:rsidRDefault="00B1026A" w:rsidP="00113370">
            <w:pPr>
              <w:pStyle w:val="TableText"/>
              <w:adjustRightInd w:val="0"/>
              <w:snapToGrid w:val="0"/>
              <w:jc w:val="center"/>
              <w:rPr>
                <w:rFonts w:ascii="Times New Roman" w:hAnsi="Times New Roman" w:cs="Times New Roman"/>
              </w:rPr>
            </w:pPr>
            <w:r w:rsidRPr="00B1026A">
              <w:rPr>
                <w:rFonts w:ascii="Times New Roman" w:hAnsi="Times New Roman" w:cs="Times New Roman"/>
              </w:rPr>
              <w:t>总汞</w:t>
            </w:r>
          </w:p>
        </w:tc>
        <w:tc>
          <w:tcPr>
            <w:tcW w:w="561" w:type="pct"/>
            <w:vAlign w:val="center"/>
          </w:tcPr>
          <w:p w14:paraId="20DD7A98" w14:textId="0B0B55C3" w:rsidR="00B1026A" w:rsidRPr="00B1026A" w:rsidRDefault="00B1026A" w:rsidP="00113370">
            <w:pPr>
              <w:adjustRightInd w:val="0"/>
              <w:snapToGrid w:val="0"/>
              <w:jc w:val="center"/>
              <w:rPr>
                <w:rFonts w:eastAsia="Times New Roman"/>
              </w:rPr>
            </w:pPr>
            <w:r w:rsidRPr="00B1026A">
              <w:rPr>
                <w:rFonts w:eastAsiaTheme="minorEastAsia" w:hint="eastAsia"/>
              </w:rPr>
              <w:t>5.61</w:t>
            </w:r>
            <w:r w:rsidRPr="00B1026A">
              <w:rPr>
                <w:rFonts w:eastAsiaTheme="minorEastAsia" w:hint="eastAsia"/>
              </w:rPr>
              <w:t>×</w:t>
            </w:r>
            <w:r w:rsidRPr="00B1026A">
              <w:rPr>
                <w:rFonts w:eastAsiaTheme="minorEastAsia" w:hint="eastAsia"/>
              </w:rPr>
              <w:t>10</w:t>
            </w:r>
            <w:r w:rsidRPr="00B1026A">
              <w:rPr>
                <w:rFonts w:eastAsiaTheme="minorEastAsia" w:hint="eastAsia"/>
                <w:vertAlign w:val="superscript"/>
              </w:rPr>
              <w:t>-4</w:t>
            </w:r>
          </w:p>
        </w:tc>
        <w:tc>
          <w:tcPr>
            <w:tcW w:w="517" w:type="pct"/>
            <w:vAlign w:val="center"/>
          </w:tcPr>
          <w:p w14:paraId="6BB4E771" w14:textId="52CE2F75" w:rsidR="00B1026A" w:rsidRPr="00B1026A" w:rsidRDefault="00B1026A" w:rsidP="00113370">
            <w:pPr>
              <w:adjustRightInd w:val="0"/>
              <w:snapToGrid w:val="0"/>
              <w:jc w:val="center"/>
              <w:rPr>
                <w:rFonts w:eastAsiaTheme="minorEastAsia"/>
              </w:rPr>
            </w:pPr>
            <w:r w:rsidRPr="00B1026A">
              <w:rPr>
                <w:rFonts w:eastAsiaTheme="minorEastAsia" w:hint="eastAsia"/>
              </w:rPr>
              <w:t>0.0001</w:t>
            </w:r>
          </w:p>
        </w:tc>
        <w:tc>
          <w:tcPr>
            <w:tcW w:w="363" w:type="pct"/>
            <w:vMerge/>
            <w:vAlign w:val="center"/>
          </w:tcPr>
          <w:p w14:paraId="161FCC2B" w14:textId="77777777" w:rsidR="00B1026A" w:rsidRPr="00D710AB" w:rsidRDefault="00B1026A" w:rsidP="00113370">
            <w:pPr>
              <w:adjustRightInd w:val="0"/>
              <w:snapToGrid w:val="0"/>
              <w:jc w:val="center"/>
              <w:rPr>
                <w:highlight w:val="yellow"/>
              </w:rPr>
            </w:pPr>
          </w:p>
        </w:tc>
        <w:tc>
          <w:tcPr>
            <w:tcW w:w="497" w:type="pct"/>
            <w:vAlign w:val="center"/>
          </w:tcPr>
          <w:p w14:paraId="5CE859AC" w14:textId="5EF8ACAE" w:rsidR="00B1026A" w:rsidRPr="00D710AB" w:rsidRDefault="00A23D86" w:rsidP="00113370">
            <w:pPr>
              <w:adjustRightInd w:val="0"/>
              <w:snapToGrid w:val="0"/>
              <w:jc w:val="center"/>
              <w:rPr>
                <w:rFonts w:eastAsia="Times New Roman"/>
                <w:highlight w:val="yellow"/>
              </w:rPr>
            </w:pPr>
            <w:r w:rsidRPr="00A23D86">
              <w:rPr>
                <w:rFonts w:eastAsia="Times New Roman"/>
              </w:rPr>
              <w:t>0.00004L</w:t>
            </w:r>
          </w:p>
        </w:tc>
        <w:tc>
          <w:tcPr>
            <w:tcW w:w="546" w:type="pct"/>
            <w:vAlign w:val="center"/>
          </w:tcPr>
          <w:p w14:paraId="58C50355" w14:textId="52BFEDD4" w:rsidR="00B1026A" w:rsidRPr="00A23D86" w:rsidRDefault="00A23D86" w:rsidP="00113370">
            <w:pPr>
              <w:adjustRightInd w:val="0"/>
              <w:snapToGrid w:val="0"/>
              <w:jc w:val="center"/>
              <w:rPr>
                <w:rFonts w:eastAsia="Times New Roman"/>
              </w:rPr>
            </w:pPr>
            <w:r w:rsidRPr="00A23D86">
              <w:rPr>
                <w:rFonts w:eastAsiaTheme="minorEastAsia" w:hint="eastAsia"/>
              </w:rPr>
              <w:t>/</w:t>
            </w:r>
          </w:p>
        </w:tc>
        <w:tc>
          <w:tcPr>
            <w:tcW w:w="559" w:type="pct"/>
            <w:vAlign w:val="center"/>
          </w:tcPr>
          <w:p w14:paraId="191DCAA5" w14:textId="77777777" w:rsidR="00B1026A" w:rsidRPr="00A23D86" w:rsidRDefault="00B1026A" w:rsidP="00113370">
            <w:pPr>
              <w:adjustRightInd w:val="0"/>
              <w:snapToGrid w:val="0"/>
              <w:jc w:val="center"/>
              <w:rPr>
                <w:rFonts w:eastAsia="Times New Roman"/>
              </w:rPr>
            </w:pPr>
            <w:r w:rsidRPr="00A23D86">
              <w:rPr>
                <w:rFonts w:eastAsia="Times New Roman"/>
              </w:rPr>
              <w:t>0.001</w:t>
            </w:r>
          </w:p>
        </w:tc>
        <w:tc>
          <w:tcPr>
            <w:tcW w:w="837" w:type="pct"/>
            <w:vMerge/>
            <w:vAlign w:val="center"/>
          </w:tcPr>
          <w:p w14:paraId="26F3CB99" w14:textId="77777777" w:rsidR="00B1026A" w:rsidRPr="00D710AB" w:rsidRDefault="00B1026A" w:rsidP="00113370">
            <w:pPr>
              <w:adjustRightInd w:val="0"/>
              <w:snapToGrid w:val="0"/>
              <w:jc w:val="center"/>
              <w:rPr>
                <w:highlight w:val="yellow"/>
              </w:rPr>
            </w:pPr>
          </w:p>
        </w:tc>
      </w:tr>
      <w:tr w:rsidR="00B1026A" w:rsidRPr="00D710AB" w14:paraId="28F70664" w14:textId="77777777" w:rsidTr="00347823">
        <w:trPr>
          <w:trHeight w:val="195"/>
          <w:jc w:val="center"/>
        </w:trPr>
        <w:tc>
          <w:tcPr>
            <w:tcW w:w="288" w:type="pct"/>
            <w:vMerge/>
            <w:tcBorders>
              <w:top w:val="nil"/>
              <w:bottom w:val="nil"/>
            </w:tcBorders>
            <w:vAlign w:val="center"/>
          </w:tcPr>
          <w:p w14:paraId="4B324E76" w14:textId="77777777" w:rsidR="00B1026A" w:rsidRPr="00B1026A" w:rsidRDefault="00B1026A" w:rsidP="00113370">
            <w:pPr>
              <w:adjustRightInd w:val="0"/>
              <w:snapToGrid w:val="0"/>
              <w:jc w:val="center"/>
            </w:pPr>
          </w:p>
        </w:tc>
        <w:tc>
          <w:tcPr>
            <w:tcW w:w="359" w:type="pct"/>
            <w:vMerge/>
            <w:tcBorders>
              <w:top w:val="nil"/>
              <w:bottom w:val="nil"/>
            </w:tcBorders>
            <w:vAlign w:val="center"/>
          </w:tcPr>
          <w:p w14:paraId="63F8E67F" w14:textId="77777777" w:rsidR="00B1026A" w:rsidRPr="00B1026A" w:rsidRDefault="00B1026A" w:rsidP="00113370">
            <w:pPr>
              <w:adjustRightInd w:val="0"/>
              <w:snapToGrid w:val="0"/>
              <w:jc w:val="center"/>
            </w:pPr>
          </w:p>
        </w:tc>
        <w:tc>
          <w:tcPr>
            <w:tcW w:w="472" w:type="pct"/>
            <w:vAlign w:val="center"/>
          </w:tcPr>
          <w:p w14:paraId="5EAF89F9" w14:textId="4EE21940" w:rsidR="00B1026A" w:rsidRPr="00B1026A" w:rsidRDefault="00B1026A" w:rsidP="00113370">
            <w:pPr>
              <w:pStyle w:val="TableText"/>
              <w:adjustRightInd w:val="0"/>
              <w:snapToGrid w:val="0"/>
              <w:jc w:val="center"/>
              <w:rPr>
                <w:rFonts w:ascii="Times New Roman" w:hAnsi="Times New Roman" w:cs="Times New Roman"/>
              </w:rPr>
            </w:pPr>
            <w:r w:rsidRPr="00B1026A">
              <w:rPr>
                <w:rFonts w:ascii="Times New Roman" w:hAnsi="Times New Roman" w:cs="Times New Roman"/>
              </w:rPr>
              <w:t>总镉</w:t>
            </w:r>
          </w:p>
        </w:tc>
        <w:tc>
          <w:tcPr>
            <w:tcW w:w="561" w:type="pct"/>
            <w:vAlign w:val="center"/>
          </w:tcPr>
          <w:p w14:paraId="0F4D0E9F" w14:textId="39543BA4" w:rsidR="00B1026A" w:rsidRPr="00B1026A" w:rsidRDefault="00B1026A" w:rsidP="00113370">
            <w:pPr>
              <w:adjustRightInd w:val="0"/>
              <w:snapToGrid w:val="0"/>
              <w:jc w:val="center"/>
              <w:rPr>
                <w:rFonts w:eastAsia="Times New Roman"/>
              </w:rPr>
            </w:pPr>
            <w:r w:rsidRPr="00B1026A">
              <w:rPr>
                <w:rFonts w:eastAsia="Times New Roman"/>
              </w:rPr>
              <w:t>0.001L</w:t>
            </w:r>
          </w:p>
        </w:tc>
        <w:tc>
          <w:tcPr>
            <w:tcW w:w="517" w:type="pct"/>
            <w:vAlign w:val="center"/>
          </w:tcPr>
          <w:p w14:paraId="1A36923A" w14:textId="44374ECC" w:rsidR="00B1026A" w:rsidRPr="00B1026A" w:rsidRDefault="00B1026A" w:rsidP="00113370">
            <w:pPr>
              <w:adjustRightInd w:val="0"/>
              <w:snapToGrid w:val="0"/>
              <w:jc w:val="center"/>
              <w:rPr>
                <w:rFonts w:eastAsiaTheme="minorEastAsia"/>
              </w:rPr>
            </w:pPr>
            <w:r w:rsidRPr="00B1026A">
              <w:rPr>
                <w:rFonts w:eastAsiaTheme="minorEastAsia" w:hint="eastAsia"/>
              </w:rPr>
              <w:t>/</w:t>
            </w:r>
          </w:p>
        </w:tc>
        <w:tc>
          <w:tcPr>
            <w:tcW w:w="363" w:type="pct"/>
            <w:vMerge/>
            <w:vAlign w:val="center"/>
          </w:tcPr>
          <w:p w14:paraId="3A9471D8" w14:textId="77777777" w:rsidR="00B1026A" w:rsidRPr="00D710AB" w:rsidRDefault="00B1026A" w:rsidP="00113370">
            <w:pPr>
              <w:adjustRightInd w:val="0"/>
              <w:snapToGrid w:val="0"/>
              <w:jc w:val="center"/>
              <w:rPr>
                <w:highlight w:val="yellow"/>
              </w:rPr>
            </w:pPr>
          </w:p>
        </w:tc>
        <w:tc>
          <w:tcPr>
            <w:tcW w:w="497" w:type="pct"/>
            <w:vAlign w:val="center"/>
          </w:tcPr>
          <w:p w14:paraId="6BE03CD7" w14:textId="4ADF9CA9" w:rsidR="00B1026A" w:rsidRPr="00D710AB" w:rsidRDefault="00A23D86" w:rsidP="00113370">
            <w:pPr>
              <w:adjustRightInd w:val="0"/>
              <w:snapToGrid w:val="0"/>
              <w:jc w:val="center"/>
              <w:rPr>
                <w:rFonts w:eastAsia="Times New Roman"/>
                <w:highlight w:val="yellow"/>
              </w:rPr>
            </w:pPr>
            <w:r w:rsidRPr="00A23D86">
              <w:rPr>
                <w:rFonts w:eastAsia="Times New Roman"/>
              </w:rPr>
              <w:t>0.001L</w:t>
            </w:r>
          </w:p>
        </w:tc>
        <w:tc>
          <w:tcPr>
            <w:tcW w:w="546" w:type="pct"/>
            <w:vAlign w:val="center"/>
          </w:tcPr>
          <w:p w14:paraId="148AE7FD" w14:textId="358B7A55" w:rsidR="00B1026A" w:rsidRPr="00A23D86" w:rsidRDefault="00846889" w:rsidP="00113370">
            <w:pPr>
              <w:adjustRightInd w:val="0"/>
              <w:snapToGrid w:val="0"/>
              <w:jc w:val="center"/>
              <w:rPr>
                <w:rFonts w:eastAsia="Times New Roman"/>
              </w:rPr>
            </w:pPr>
            <w:r w:rsidRPr="00A23D86">
              <w:rPr>
                <w:rFonts w:eastAsiaTheme="minorEastAsia" w:hint="eastAsia"/>
              </w:rPr>
              <w:t>/</w:t>
            </w:r>
          </w:p>
        </w:tc>
        <w:tc>
          <w:tcPr>
            <w:tcW w:w="559" w:type="pct"/>
            <w:vAlign w:val="center"/>
          </w:tcPr>
          <w:p w14:paraId="2FF28D55" w14:textId="77777777" w:rsidR="00B1026A" w:rsidRPr="00A23D86" w:rsidRDefault="00B1026A" w:rsidP="00113370">
            <w:pPr>
              <w:adjustRightInd w:val="0"/>
              <w:snapToGrid w:val="0"/>
              <w:jc w:val="center"/>
              <w:rPr>
                <w:rFonts w:eastAsia="Times New Roman"/>
              </w:rPr>
            </w:pPr>
            <w:r w:rsidRPr="00A23D86">
              <w:rPr>
                <w:rFonts w:eastAsia="Times New Roman"/>
              </w:rPr>
              <w:t>0.01</w:t>
            </w:r>
          </w:p>
        </w:tc>
        <w:tc>
          <w:tcPr>
            <w:tcW w:w="837" w:type="pct"/>
            <w:vMerge/>
            <w:vAlign w:val="center"/>
          </w:tcPr>
          <w:p w14:paraId="0724C71B" w14:textId="77777777" w:rsidR="00B1026A" w:rsidRPr="00D710AB" w:rsidRDefault="00B1026A" w:rsidP="00113370">
            <w:pPr>
              <w:adjustRightInd w:val="0"/>
              <w:snapToGrid w:val="0"/>
              <w:jc w:val="center"/>
              <w:rPr>
                <w:highlight w:val="yellow"/>
              </w:rPr>
            </w:pPr>
          </w:p>
        </w:tc>
      </w:tr>
      <w:tr w:rsidR="00B1026A" w:rsidRPr="00D710AB" w14:paraId="300EA67B" w14:textId="77777777" w:rsidTr="00347823">
        <w:trPr>
          <w:trHeight w:val="57"/>
          <w:jc w:val="center"/>
        </w:trPr>
        <w:tc>
          <w:tcPr>
            <w:tcW w:w="288" w:type="pct"/>
            <w:vMerge/>
            <w:tcBorders>
              <w:top w:val="nil"/>
              <w:bottom w:val="nil"/>
            </w:tcBorders>
            <w:vAlign w:val="center"/>
          </w:tcPr>
          <w:p w14:paraId="27BCEAEB" w14:textId="77777777" w:rsidR="00B1026A" w:rsidRPr="00B1026A" w:rsidRDefault="00B1026A" w:rsidP="00113370">
            <w:pPr>
              <w:adjustRightInd w:val="0"/>
              <w:snapToGrid w:val="0"/>
              <w:jc w:val="center"/>
            </w:pPr>
          </w:p>
        </w:tc>
        <w:tc>
          <w:tcPr>
            <w:tcW w:w="359" w:type="pct"/>
            <w:vMerge/>
            <w:tcBorders>
              <w:top w:val="nil"/>
              <w:bottom w:val="nil"/>
            </w:tcBorders>
            <w:vAlign w:val="center"/>
          </w:tcPr>
          <w:p w14:paraId="158D02E1" w14:textId="77777777" w:rsidR="00B1026A" w:rsidRPr="00B1026A" w:rsidRDefault="00B1026A" w:rsidP="00113370">
            <w:pPr>
              <w:adjustRightInd w:val="0"/>
              <w:snapToGrid w:val="0"/>
              <w:jc w:val="center"/>
            </w:pPr>
          </w:p>
        </w:tc>
        <w:tc>
          <w:tcPr>
            <w:tcW w:w="472" w:type="pct"/>
            <w:vAlign w:val="center"/>
          </w:tcPr>
          <w:p w14:paraId="5DB42C7B" w14:textId="52EF91E4" w:rsidR="00B1026A" w:rsidRPr="00B1026A" w:rsidRDefault="00B1026A" w:rsidP="00113370">
            <w:pPr>
              <w:pStyle w:val="TableText"/>
              <w:adjustRightInd w:val="0"/>
              <w:snapToGrid w:val="0"/>
              <w:jc w:val="center"/>
              <w:rPr>
                <w:rFonts w:ascii="Times New Roman" w:hAnsi="Times New Roman" w:cs="Times New Roman"/>
              </w:rPr>
            </w:pPr>
            <w:r w:rsidRPr="00B1026A">
              <w:rPr>
                <w:rFonts w:ascii="Times New Roman" w:hAnsi="Times New Roman" w:cs="Times New Roman"/>
              </w:rPr>
              <w:t>总铬</w:t>
            </w:r>
          </w:p>
        </w:tc>
        <w:tc>
          <w:tcPr>
            <w:tcW w:w="561" w:type="pct"/>
            <w:vAlign w:val="center"/>
          </w:tcPr>
          <w:p w14:paraId="641B541B" w14:textId="757CA3CA" w:rsidR="00B1026A" w:rsidRPr="00B1026A" w:rsidRDefault="00B1026A" w:rsidP="00113370">
            <w:pPr>
              <w:adjustRightInd w:val="0"/>
              <w:snapToGrid w:val="0"/>
              <w:jc w:val="center"/>
              <w:rPr>
                <w:rFonts w:eastAsia="Times New Roman"/>
              </w:rPr>
            </w:pPr>
            <w:r w:rsidRPr="00B1026A">
              <w:rPr>
                <w:rFonts w:eastAsia="Times New Roman"/>
              </w:rPr>
              <w:t>0.0</w:t>
            </w:r>
            <w:r w:rsidRPr="00B1026A">
              <w:rPr>
                <w:rFonts w:eastAsiaTheme="minorEastAsia" w:hint="eastAsia"/>
              </w:rPr>
              <w:t>3</w:t>
            </w:r>
            <w:r w:rsidRPr="00B1026A">
              <w:rPr>
                <w:rFonts w:eastAsia="Times New Roman"/>
              </w:rPr>
              <w:t>L</w:t>
            </w:r>
          </w:p>
        </w:tc>
        <w:tc>
          <w:tcPr>
            <w:tcW w:w="517" w:type="pct"/>
            <w:vAlign w:val="center"/>
          </w:tcPr>
          <w:p w14:paraId="07767F75" w14:textId="0259D343" w:rsidR="00B1026A" w:rsidRPr="00B1026A" w:rsidRDefault="00B1026A" w:rsidP="00113370">
            <w:pPr>
              <w:adjustRightInd w:val="0"/>
              <w:snapToGrid w:val="0"/>
              <w:jc w:val="center"/>
              <w:rPr>
                <w:rFonts w:eastAsiaTheme="minorEastAsia"/>
              </w:rPr>
            </w:pPr>
            <w:r w:rsidRPr="00B1026A">
              <w:rPr>
                <w:rFonts w:eastAsiaTheme="minorEastAsia" w:hint="eastAsia"/>
              </w:rPr>
              <w:t>/</w:t>
            </w:r>
          </w:p>
        </w:tc>
        <w:tc>
          <w:tcPr>
            <w:tcW w:w="363" w:type="pct"/>
            <w:vMerge/>
            <w:vAlign w:val="center"/>
          </w:tcPr>
          <w:p w14:paraId="68045157" w14:textId="77777777" w:rsidR="00B1026A" w:rsidRPr="00D710AB" w:rsidRDefault="00B1026A" w:rsidP="00113370">
            <w:pPr>
              <w:adjustRightInd w:val="0"/>
              <w:snapToGrid w:val="0"/>
              <w:jc w:val="center"/>
              <w:rPr>
                <w:highlight w:val="yellow"/>
              </w:rPr>
            </w:pPr>
          </w:p>
        </w:tc>
        <w:tc>
          <w:tcPr>
            <w:tcW w:w="497" w:type="pct"/>
            <w:vAlign w:val="center"/>
          </w:tcPr>
          <w:p w14:paraId="08B16C65" w14:textId="330D992B" w:rsidR="00B1026A" w:rsidRPr="00D710AB" w:rsidRDefault="00A23D86" w:rsidP="00113370">
            <w:pPr>
              <w:adjustRightInd w:val="0"/>
              <w:snapToGrid w:val="0"/>
              <w:jc w:val="center"/>
              <w:rPr>
                <w:rFonts w:eastAsia="Times New Roman"/>
                <w:highlight w:val="yellow"/>
              </w:rPr>
            </w:pPr>
            <w:r w:rsidRPr="00A23D86">
              <w:rPr>
                <w:rFonts w:eastAsia="Times New Roman"/>
              </w:rPr>
              <w:t>0.03L</w:t>
            </w:r>
          </w:p>
        </w:tc>
        <w:tc>
          <w:tcPr>
            <w:tcW w:w="546" w:type="pct"/>
            <w:vAlign w:val="center"/>
          </w:tcPr>
          <w:p w14:paraId="199826DA" w14:textId="7723BA4A" w:rsidR="00B1026A" w:rsidRPr="00A23D86" w:rsidRDefault="00846889" w:rsidP="00113370">
            <w:pPr>
              <w:adjustRightInd w:val="0"/>
              <w:snapToGrid w:val="0"/>
              <w:jc w:val="center"/>
              <w:rPr>
                <w:rFonts w:eastAsia="Times New Roman"/>
              </w:rPr>
            </w:pPr>
            <w:r w:rsidRPr="00A23D86">
              <w:rPr>
                <w:rFonts w:eastAsiaTheme="minorEastAsia" w:hint="eastAsia"/>
              </w:rPr>
              <w:t>/</w:t>
            </w:r>
          </w:p>
        </w:tc>
        <w:tc>
          <w:tcPr>
            <w:tcW w:w="559" w:type="pct"/>
            <w:vAlign w:val="center"/>
          </w:tcPr>
          <w:p w14:paraId="7D172998" w14:textId="77777777" w:rsidR="00B1026A" w:rsidRPr="00A23D86" w:rsidRDefault="00B1026A" w:rsidP="00113370">
            <w:pPr>
              <w:adjustRightInd w:val="0"/>
              <w:snapToGrid w:val="0"/>
              <w:jc w:val="center"/>
              <w:rPr>
                <w:rFonts w:eastAsia="Times New Roman"/>
              </w:rPr>
            </w:pPr>
            <w:r w:rsidRPr="00A23D86">
              <w:rPr>
                <w:rFonts w:eastAsia="Times New Roman"/>
              </w:rPr>
              <w:t>0.1</w:t>
            </w:r>
          </w:p>
        </w:tc>
        <w:tc>
          <w:tcPr>
            <w:tcW w:w="837" w:type="pct"/>
            <w:vMerge/>
            <w:vAlign w:val="center"/>
          </w:tcPr>
          <w:p w14:paraId="7CA3B975" w14:textId="77777777" w:rsidR="00B1026A" w:rsidRPr="00D710AB" w:rsidRDefault="00B1026A" w:rsidP="00113370">
            <w:pPr>
              <w:adjustRightInd w:val="0"/>
              <w:snapToGrid w:val="0"/>
              <w:jc w:val="center"/>
              <w:rPr>
                <w:highlight w:val="yellow"/>
              </w:rPr>
            </w:pPr>
          </w:p>
        </w:tc>
      </w:tr>
      <w:tr w:rsidR="00A23D86" w:rsidRPr="00D710AB" w14:paraId="28454275" w14:textId="77777777" w:rsidTr="00347823">
        <w:trPr>
          <w:trHeight w:val="57"/>
          <w:jc w:val="center"/>
        </w:trPr>
        <w:tc>
          <w:tcPr>
            <w:tcW w:w="288" w:type="pct"/>
            <w:vMerge/>
            <w:tcBorders>
              <w:top w:val="nil"/>
              <w:bottom w:val="nil"/>
            </w:tcBorders>
            <w:vAlign w:val="center"/>
          </w:tcPr>
          <w:p w14:paraId="3D158298" w14:textId="77777777" w:rsidR="00A23D86" w:rsidRPr="00B1026A" w:rsidRDefault="00A23D86" w:rsidP="00A23D86">
            <w:pPr>
              <w:adjustRightInd w:val="0"/>
              <w:snapToGrid w:val="0"/>
              <w:jc w:val="center"/>
            </w:pPr>
          </w:p>
        </w:tc>
        <w:tc>
          <w:tcPr>
            <w:tcW w:w="359" w:type="pct"/>
            <w:vMerge/>
            <w:tcBorders>
              <w:top w:val="nil"/>
              <w:bottom w:val="nil"/>
            </w:tcBorders>
            <w:vAlign w:val="center"/>
          </w:tcPr>
          <w:p w14:paraId="7D3FC6C0" w14:textId="77777777" w:rsidR="00A23D86" w:rsidRPr="00B1026A" w:rsidRDefault="00A23D86" w:rsidP="00A23D86">
            <w:pPr>
              <w:adjustRightInd w:val="0"/>
              <w:snapToGrid w:val="0"/>
              <w:jc w:val="center"/>
            </w:pPr>
          </w:p>
        </w:tc>
        <w:tc>
          <w:tcPr>
            <w:tcW w:w="472" w:type="pct"/>
            <w:vAlign w:val="center"/>
          </w:tcPr>
          <w:p w14:paraId="12B8A32C" w14:textId="4BBCADB2" w:rsidR="00A23D86" w:rsidRPr="00B1026A" w:rsidRDefault="00A23D86" w:rsidP="00A23D86">
            <w:pPr>
              <w:pStyle w:val="TableText"/>
              <w:adjustRightInd w:val="0"/>
              <w:snapToGrid w:val="0"/>
              <w:jc w:val="center"/>
              <w:rPr>
                <w:rFonts w:ascii="Times New Roman" w:hAnsi="Times New Roman" w:cs="Times New Roman"/>
              </w:rPr>
            </w:pPr>
            <w:r w:rsidRPr="00B1026A">
              <w:rPr>
                <w:rFonts w:ascii="Times New Roman" w:hAnsi="Times New Roman" w:cs="Times New Roman"/>
              </w:rPr>
              <w:t>六价铬</w:t>
            </w:r>
          </w:p>
        </w:tc>
        <w:tc>
          <w:tcPr>
            <w:tcW w:w="561" w:type="pct"/>
            <w:vAlign w:val="center"/>
          </w:tcPr>
          <w:p w14:paraId="5058865B" w14:textId="787CDE43" w:rsidR="00A23D86" w:rsidRPr="00B1026A" w:rsidRDefault="00A23D86" w:rsidP="00A23D86">
            <w:pPr>
              <w:adjustRightInd w:val="0"/>
              <w:snapToGrid w:val="0"/>
              <w:jc w:val="center"/>
              <w:rPr>
                <w:rFonts w:eastAsia="Times New Roman"/>
              </w:rPr>
            </w:pPr>
            <w:r w:rsidRPr="00B1026A">
              <w:rPr>
                <w:rFonts w:eastAsiaTheme="minorEastAsia" w:hint="eastAsia"/>
              </w:rPr>
              <w:t>0.032</w:t>
            </w:r>
          </w:p>
        </w:tc>
        <w:tc>
          <w:tcPr>
            <w:tcW w:w="517" w:type="pct"/>
            <w:vAlign w:val="center"/>
          </w:tcPr>
          <w:p w14:paraId="6F2733D0" w14:textId="4B0A6EDB" w:rsidR="00A23D86" w:rsidRPr="00B1026A" w:rsidRDefault="00A23D86" w:rsidP="00A23D86">
            <w:pPr>
              <w:adjustRightInd w:val="0"/>
              <w:snapToGrid w:val="0"/>
              <w:jc w:val="center"/>
              <w:rPr>
                <w:rFonts w:eastAsia="Times New Roman"/>
              </w:rPr>
            </w:pPr>
            <w:r w:rsidRPr="00B1026A">
              <w:rPr>
                <w:rFonts w:eastAsia="Times New Roman"/>
              </w:rPr>
              <w:t>0.000</w:t>
            </w:r>
            <w:r w:rsidRPr="00B1026A">
              <w:rPr>
                <w:rFonts w:eastAsiaTheme="minorEastAsia" w:hint="eastAsia"/>
              </w:rPr>
              <w:t>0</w:t>
            </w:r>
            <w:r w:rsidRPr="00B1026A">
              <w:rPr>
                <w:rFonts w:eastAsia="Times New Roman"/>
              </w:rPr>
              <w:t>1</w:t>
            </w:r>
          </w:p>
        </w:tc>
        <w:tc>
          <w:tcPr>
            <w:tcW w:w="363" w:type="pct"/>
            <w:vMerge/>
            <w:vAlign w:val="center"/>
          </w:tcPr>
          <w:p w14:paraId="4DFB9BD6" w14:textId="77777777" w:rsidR="00A23D86" w:rsidRPr="00D710AB" w:rsidRDefault="00A23D86" w:rsidP="00A23D86">
            <w:pPr>
              <w:adjustRightInd w:val="0"/>
              <w:snapToGrid w:val="0"/>
              <w:jc w:val="center"/>
              <w:rPr>
                <w:highlight w:val="yellow"/>
              </w:rPr>
            </w:pPr>
          </w:p>
        </w:tc>
        <w:tc>
          <w:tcPr>
            <w:tcW w:w="497" w:type="pct"/>
            <w:vAlign w:val="center"/>
          </w:tcPr>
          <w:p w14:paraId="48964286" w14:textId="4800080A" w:rsidR="00A23D86" w:rsidRPr="00D710AB" w:rsidRDefault="00A23D86" w:rsidP="00A23D86">
            <w:pPr>
              <w:adjustRightInd w:val="0"/>
              <w:snapToGrid w:val="0"/>
              <w:jc w:val="center"/>
              <w:rPr>
                <w:rFonts w:eastAsia="Times New Roman"/>
                <w:highlight w:val="yellow"/>
              </w:rPr>
            </w:pPr>
            <w:r w:rsidRPr="00A23D86">
              <w:rPr>
                <w:rFonts w:eastAsia="Times New Roman"/>
              </w:rPr>
              <w:t>0.004L</w:t>
            </w:r>
          </w:p>
        </w:tc>
        <w:tc>
          <w:tcPr>
            <w:tcW w:w="546" w:type="pct"/>
          </w:tcPr>
          <w:p w14:paraId="4782EA18" w14:textId="3E09B2ED" w:rsidR="00A23D86" w:rsidRPr="00A23D86" w:rsidRDefault="00A23D86" w:rsidP="00A23D86">
            <w:pPr>
              <w:adjustRightInd w:val="0"/>
              <w:snapToGrid w:val="0"/>
              <w:jc w:val="center"/>
              <w:rPr>
                <w:rFonts w:eastAsia="Times New Roman"/>
              </w:rPr>
            </w:pPr>
            <w:r w:rsidRPr="00A23D86">
              <w:rPr>
                <w:rFonts w:eastAsiaTheme="minorEastAsia" w:hint="eastAsia"/>
              </w:rPr>
              <w:t>/</w:t>
            </w:r>
          </w:p>
        </w:tc>
        <w:tc>
          <w:tcPr>
            <w:tcW w:w="559" w:type="pct"/>
            <w:vAlign w:val="center"/>
          </w:tcPr>
          <w:p w14:paraId="045B6547" w14:textId="77777777" w:rsidR="00A23D86" w:rsidRPr="00A23D86" w:rsidRDefault="00A23D86" w:rsidP="00A23D86">
            <w:pPr>
              <w:adjustRightInd w:val="0"/>
              <w:snapToGrid w:val="0"/>
              <w:jc w:val="center"/>
              <w:rPr>
                <w:rFonts w:eastAsia="Times New Roman"/>
              </w:rPr>
            </w:pPr>
            <w:r w:rsidRPr="00A23D86">
              <w:rPr>
                <w:rFonts w:eastAsia="Times New Roman"/>
              </w:rPr>
              <w:t>0.05</w:t>
            </w:r>
          </w:p>
        </w:tc>
        <w:tc>
          <w:tcPr>
            <w:tcW w:w="837" w:type="pct"/>
            <w:vMerge/>
            <w:vAlign w:val="center"/>
          </w:tcPr>
          <w:p w14:paraId="4148FE01" w14:textId="77777777" w:rsidR="00A23D86" w:rsidRPr="00D710AB" w:rsidRDefault="00A23D86" w:rsidP="00A23D86">
            <w:pPr>
              <w:adjustRightInd w:val="0"/>
              <w:snapToGrid w:val="0"/>
              <w:jc w:val="center"/>
              <w:rPr>
                <w:highlight w:val="yellow"/>
              </w:rPr>
            </w:pPr>
          </w:p>
        </w:tc>
      </w:tr>
      <w:tr w:rsidR="00A23D86" w:rsidRPr="00D710AB" w14:paraId="1C518CDA" w14:textId="77777777" w:rsidTr="00347823">
        <w:trPr>
          <w:trHeight w:val="57"/>
          <w:jc w:val="center"/>
        </w:trPr>
        <w:tc>
          <w:tcPr>
            <w:tcW w:w="288" w:type="pct"/>
            <w:vMerge/>
            <w:tcBorders>
              <w:top w:val="nil"/>
              <w:bottom w:val="nil"/>
            </w:tcBorders>
            <w:vAlign w:val="center"/>
          </w:tcPr>
          <w:p w14:paraId="04135108" w14:textId="77777777" w:rsidR="00A23D86" w:rsidRPr="00B1026A" w:rsidRDefault="00A23D86" w:rsidP="00A23D86">
            <w:pPr>
              <w:adjustRightInd w:val="0"/>
              <w:snapToGrid w:val="0"/>
              <w:jc w:val="center"/>
            </w:pPr>
          </w:p>
        </w:tc>
        <w:tc>
          <w:tcPr>
            <w:tcW w:w="359" w:type="pct"/>
            <w:vMerge/>
            <w:tcBorders>
              <w:top w:val="nil"/>
              <w:bottom w:val="nil"/>
            </w:tcBorders>
            <w:vAlign w:val="center"/>
          </w:tcPr>
          <w:p w14:paraId="7418612A" w14:textId="77777777" w:rsidR="00A23D86" w:rsidRPr="00B1026A" w:rsidRDefault="00A23D86" w:rsidP="00A23D86">
            <w:pPr>
              <w:adjustRightInd w:val="0"/>
              <w:snapToGrid w:val="0"/>
              <w:jc w:val="center"/>
            </w:pPr>
          </w:p>
        </w:tc>
        <w:tc>
          <w:tcPr>
            <w:tcW w:w="472" w:type="pct"/>
            <w:vAlign w:val="center"/>
          </w:tcPr>
          <w:p w14:paraId="6654907A" w14:textId="206065A6" w:rsidR="00A23D86" w:rsidRPr="00B1026A" w:rsidRDefault="00A23D86" w:rsidP="00A23D86">
            <w:pPr>
              <w:pStyle w:val="TableText"/>
              <w:adjustRightInd w:val="0"/>
              <w:snapToGrid w:val="0"/>
              <w:jc w:val="center"/>
              <w:rPr>
                <w:rFonts w:ascii="Times New Roman" w:hAnsi="Times New Roman" w:cs="Times New Roman"/>
              </w:rPr>
            </w:pPr>
            <w:r w:rsidRPr="00B1026A">
              <w:rPr>
                <w:rFonts w:ascii="Times New Roman" w:hAnsi="Times New Roman" w:cs="Times New Roman"/>
              </w:rPr>
              <w:t>总砷</w:t>
            </w:r>
          </w:p>
        </w:tc>
        <w:tc>
          <w:tcPr>
            <w:tcW w:w="561" w:type="pct"/>
            <w:vAlign w:val="center"/>
          </w:tcPr>
          <w:p w14:paraId="55377ADA" w14:textId="71587290" w:rsidR="00A23D86" w:rsidRPr="00B1026A" w:rsidRDefault="00A23D86" w:rsidP="00A23D86">
            <w:pPr>
              <w:adjustRightInd w:val="0"/>
              <w:snapToGrid w:val="0"/>
              <w:jc w:val="center"/>
              <w:rPr>
                <w:rFonts w:eastAsia="Times New Roman"/>
              </w:rPr>
            </w:pPr>
            <w:r w:rsidRPr="00B1026A">
              <w:rPr>
                <w:rFonts w:eastAsiaTheme="minorEastAsia" w:hint="eastAsia"/>
              </w:rPr>
              <w:t>4.37</w:t>
            </w:r>
            <w:r w:rsidRPr="00B1026A">
              <w:rPr>
                <w:rFonts w:eastAsiaTheme="minorEastAsia" w:hint="eastAsia"/>
              </w:rPr>
              <w:t>×</w:t>
            </w:r>
            <w:r w:rsidRPr="00B1026A">
              <w:rPr>
                <w:rFonts w:eastAsiaTheme="minorEastAsia" w:hint="eastAsia"/>
              </w:rPr>
              <w:t>10</w:t>
            </w:r>
            <w:r w:rsidRPr="00B1026A">
              <w:rPr>
                <w:rFonts w:eastAsiaTheme="minorEastAsia" w:hint="eastAsia"/>
                <w:vertAlign w:val="superscript"/>
              </w:rPr>
              <w:t>-3</w:t>
            </w:r>
          </w:p>
        </w:tc>
        <w:tc>
          <w:tcPr>
            <w:tcW w:w="517" w:type="pct"/>
            <w:vAlign w:val="center"/>
          </w:tcPr>
          <w:p w14:paraId="4C70D190" w14:textId="0DCBEF27" w:rsidR="00A23D86" w:rsidRPr="00B1026A" w:rsidRDefault="00A23D86" w:rsidP="00A23D86">
            <w:pPr>
              <w:adjustRightInd w:val="0"/>
              <w:snapToGrid w:val="0"/>
              <w:jc w:val="center"/>
              <w:rPr>
                <w:rFonts w:eastAsia="Times New Roman"/>
              </w:rPr>
            </w:pPr>
            <w:r w:rsidRPr="00B1026A">
              <w:rPr>
                <w:rFonts w:eastAsia="Times New Roman"/>
              </w:rPr>
              <w:t>0.000</w:t>
            </w:r>
            <w:r w:rsidRPr="00B1026A">
              <w:rPr>
                <w:rFonts w:eastAsiaTheme="minorEastAsia" w:hint="eastAsia"/>
              </w:rPr>
              <w:t>01</w:t>
            </w:r>
          </w:p>
        </w:tc>
        <w:tc>
          <w:tcPr>
            <w:tcW w:w="363" w:type="pct"/>
            <w:vMerge/>
            <w:vAlign w:val="center"/>
          </w:tcPr>
          <w:p w14:paraId="1F246F62" w14:textId="77777777" w:rsidR="00A23D86" w:rsidRPr="00D710AB" w:rsidRDefault="00A23D86" w:rsidP="00A23D86">
            <w:pPr>
              <w:adjustRightInd w:val="0"/>
              <w:snapToGrid w:val="0"/>
              <w:jc w:val="center"/>
              <w:rPr>
                <w:highlight w:val="yellow"/>
              </w:rPr>
            </w:pPr>
          </w:p>
        </w:tc>
        <w:tc>
          <w:tcPr>
            <w:tcW w:w="497" w:type="pct"/>
            <w:vAlign w:val="center"/>
          </w:tcPr>
          <w:p w14:paraId="53D1D5EC" w14:textId="41A41BB4" w:rsidR="00A23D86" w:rsidRPr="00D710AB" w:rsidRDefault="00A23D86" w:rsidP="00A23D86">
            <w:pPr>
              <w:adjustRightInd w:val="0"/>
              <w:snapToGrid w:val="0"/>
              <w:jc w:val="center"/>
              <w:rPr>
                <w:rFonts w:eastAsia="Times New Roman"/>
                <w:highlight w:val="yellow"/>
              </w:rPr>
            </w:pPr>
            <w:r w:rsidRPr="00A23D86">
              <w:rPr>
                <w:rFonts w:eastAsia="Times New Roman"/>
              </w:rPr>
              <w:t>0.0003L</w:t>
            </w:r>
          </w:p>
        </w:tc>
        <w:tc>
          <w:tcPr>
            <w:tcW w:w="546" w:type="pct"/>
          </w:tcPr>
          <w:p w14:paraId="340897FA" w14:textId="560D2E8E" w:rsidR="00A23D86" w:rsidRPr="00A23D86" w:rsidRDefault="00A23D86" w:rsidP="00A23D86">
            <w:pPr>
              <w:adjustRightInd w:val="0"/>
              <w:snapToGrid w:val="0"/>
              <w:jc w:val="center"/>
              <w:rPr>
                <w:rFonts w:eastAsia="Times New Roman"/>
              </w:rPr>
            </w:pPr>
            <w:r w:rsidRPr="00A23D86">
              <w:rPr>
                <w:rFonts w:eastAsiaTheme="minorEastAsia" w:hint="eastAsia"/>
              </w:rPr>
              <w:t>/</w:t>
            </w:r>
          </w:p>
        </w:tc>
        <w:tc>
          <w:tcPr>
            <w:tcW w:w="559" w:type="pct"/>
            <w:vAlign w:val="center"/>
          </w:tcPr>
          <w:p w14:paraId="48BB121C" w14:textId="77777777" w:rsidR="00A23D86" w:rsidRPr="00A23D86" w:rsidRDefault="00A23D86" w:rsidP="00A23D86">
            <w:pPr>
              <w:adjustRightInd w:val="0"/>
              <w:snapToGrid w:val="0"/>
              <w:jc w:val="center"/>
              <w:rPr>
                <w:rFonts w:eastAsia="Times New Roman"/>
              </w:rPr>
            </w:pPr>
            <w:r w:rsidRPr="00A23D86">
              <w:rPr>
                <w:rFonts w:eastAsia="Times New Roman"/>
              </w:rPr>
              <w:t>0.1</w:t>
            </w:r>
          </w:p>
        </w:tc>
        <w:tc>
          <w:tcPr>
            <w:tcW w:w="837" w:type="pct"/>
            <w:vMerge/>
            <w:vAlign w:val="center"/>
          </w:tcPr>
          <w:p w14:paraId="4BB2902B" w14:textId="77777777" w:rsidR="00A23D86" w:rsidRPr="00D710AB" w:rsidRDefault="00A23D86" w:rsidP="00A23D86">
            <w:pPr>
              <w:adjustRightInd w:val="0"/>
              <w:snapToGrid w:val="0"/>
              <w:jc w:val="center"/>
              <w:rPr>
                <w:highlight w:val="yellow"/>
              </w:rPr>
            </w:pPr>
          </w:p>
        </w:tc>
      </w:tr>
      <w:tr w:rsidR="00B1026A" w14:paraId="1C1BA802" w14:textId="77777777" w:rsidTr="00347823">
        <w:trPr>
          <w:trHeight w:val="165"/>
          <w:jc w:val="center"/>
        </w:trPr>
        <w:tc>
          <w:tcPr>
            <w:tcW w:w="288" w:type="pct"/>
            <w:vMerge/>
            <w:tcBorders>
              <w:top w:val="nil"/>
            </w:tcBorders>
            <w:vAlign w:val="center"/>
          </w:tcPr>
          <w:p w14:paraId="7F9548C1" w14:textId="77777777" w:rsidR="00B1026A" w:rsidRPr="00B1026A" w:rsidRDefault="00B1026A" w:rsidP="00113370">
            <w:pPr>
              <w:adjustRightInd w:val="0"/>
              <w:snapToGrid w:val="0"/>
              <w:jc w:val="center"/>
            </w:pPr>
          </w:p>
        </w:tc>
        <w:tc>
          <w:tcPr>
            <w:tcW w:w="359" w:type="pct"/>
            <w:vMerge/>
            <w:tcBorders>
              <w:top w:val="nil"/>
            </w:tcBorders>
            <w:vAlign w:val="center"/>
          </w:tcPr>
          <w:p w14:paraId="1D1511D8" w14:textId="77777777" w:rsidR="00B1026A" w:rsidRPr="00B1026A" w:rsidRDefault="00B1026A" w:rsidP="00113370">
            <w:pPr>
              <w:adjustRightInd w:val="0"/>
              <w:snapToGrid w:val="0"/>
              <w:jc w:val="center"/>
            </w:pPr>
          </w:p>
        </w:tc>
        <w:tc>
          <w:tcPr>
            <w:tcW w:w="472" w:type="pct"/>
            <w:vAlign w:val="center"/>
          </w:tcPr>
          <w:p w14:paraId="4C5A5D84" w14:textId="2D285EEF" w:rsidR="00B1026A" w:rsidRPr="00B1026A" w:rsidRDefault="00B1026A" w:rsidP="00113370">
            <w:pPr>
              <w:pStyle w:val="TableText"/>
              <w:adjustRightInd w:val="0"/>
              <w:snapToGrid w:val="0"/>
              <w:jc w:val="center"/>
              <w:rPr>
                <w:rFonts w:ascii="Times New Roman" w:hAnsi="Times New Roman" w:cs="Times New Roman"/>
              </w:rPr>
            </w:pPr>
            <w:r w:rsidRPr="00B1026A">
              <w:rPr>
                <w:rFonts w:ascii="Times New Roman" w:hAnsi="Times New Roman" w:cs="Times New Roman"/>
              </w:rPr>
              <w:t>总铅</w:t>
            </w:r>
          </w:p>
        </w:tc>
        <w:tc>
          <w:tcPr>
            <w:tcW w:w="561" w:type="pct"/>
            <w:vAlign w:val="center"/>
          </w:tcPr>
          <w:p w14:paraId="41C266D2" w14:textId="5FE3F57D" w:rsidR="00B1026A" w:rsidRPr="00B1026A" w:rsidRDefault="00B1026A" w:rsidP="00113370">
            <w:pPr>
              <w:adjustRightInd w:val="0"/>
              <w:snapToGrid w:val="0"/>
              <w:jc w:val="center"/>
              <w:rPr>
                <w:rFonts w:eastAsia="Times New Roman"/>
              </w:rPr>
            </w:pPr>
            <w:r w:rsidRPr="00B1026A">
              <w:rPr>
                <w:rFonts w:eastAsia="Times New Roman"/>
              </w:rPr>
              <w:t>0.010L</w:t>
            </w:r>
          </w:p>
        </w:tc>
        <w:tc>
          <w:tcPr>
            <w:tcW w:w="517" w:type="pct"/>
            <w:vAlign w:val="center"/>
          </w:tcPr>
          <w:p w14:paraId="59EF6645" w14:textId="6920DA13" w:rsidR="00B1026A" w:rsidRPr="00B1026A" w:rsidRDefault="00B1026A" w:rsidP="00113370">
            <w:pPr>
              <w:adjustRightInd w:val="0"/>
              <w:snapToGrid w:val="0"/>
              <w:jc w:val="center"/>
              <w:rPr>
                <w:rFonts w:eastAsiaTheme="minorEastAsia"/>
              </w:rPr>
            </w:pPr>
            <w:r w:rsidRPr="00B1026A">
              <w:rPr>
                <w:rFonts w:eastAsiaTheme="minorEastAsia" w:hint="eastAsia"/>
              </w:rPr>
              <w:t>/</w:t>
            </w:r>
          </w:p>
        </w:tc>
        <w:tc>
          <w:tcPr>
            <w:tcW w:w="363" w:type="pct"/>
            <w:vMerge/>
            <w:vAlign w:val="center"/>
          </w:tcPr>
          <w:p w14:paraId="5033590E" w14:textId="77777777" w:rsidR="00B1026A" w:rsidRPr="00D710AB" w:rsidRDefault="00B1026A" w:rsidP="00113370">
            <w:pPr>
              <w:adjustRightInd w:val="0"/>
              <w:snapToGrid w:val="0"/>
              <w:jc w:val="center"/>
              <w:rPr>
                <w:highlight w:val="yellow"/>
              </w:rPr>
            </w:pPr>
          </w:p>
        </w:tc>
        <w:tc>
          <w:tcPr>
            <w:tcW w:w="497" w:type="pct"/>
            <w:vAlign w:val="center"/>
          </w:tcPr>
          <w:p w14:paraId="5CEC4ED1" w14:textId="1E6EDA6B" w:rsidR="00B1026A" w:rsidRPr="00D710AB" w:rsidRDefault="00A23D86" w:rsidP="00113370">
            <w:pPr>
              <w:adjustRightInd w:val="0"/>
              <w:snapToGrid w:val="0"/>
              <w:jc w:val="center"/>
              <w:rPr>
                <w:rFonts w:eastAsia="Times New Roman"/>
                <w:highlight w:val="yellow"/>
              </w:rPr>
            </w:pPr>
            <w:r w:rsidRPr="00A23D86">
              <w:rPr>
                <w:rFonts w:eastAsia="Times New Roman"/>
              </w:rPr>
              <w:t>0.010L</w:t>
            </w:r>
          </w:p>
        </w:tc>
        <w:tc>
          <w:tcPr>
            <w:tcW w:w="546" w:type="pct"/>
            <w:vAlign w:val="center"/>
          </w:tcPr>
          <w:p w14:paraId="709894DE" w14:textId="7287B368" w:rsidR="00B1026A" w:rsidRPr="00A23D86" w:rsidRDefault="00846889" w:rsidP="00113370">
            <w:pPr>
              <w:adjustRightInd w:val="0"/>
              <w:snapToGrid w:val="0"/>
              <w:jc w:val="center"/>
              <w:rPr>
                <w:rFonts w:eastAsia="Times New Roman"/>
              </w:rPr>
            </w:pPr>
            <w:bookmarkStart w:id="133" w:name="OLE_LINK43"/>
            <w:r w:rsidRPr="00A23D86">
              <w:rPr>
                <w:rFonts w:eastAsiaTheme="minorEastAsia" w:hint="eastAsia"/>
              </w:rPr>
              <w:t>/</w:t>
            </w:r>
            <w:bookmarkEnd w:id="133"/>
          </w:p>
        </w:tc>
        <w:tc>
          <w:tcPr>
            <w:tcW w:w="559" w:type="pct"/>
            <w:vAlign w:val="center"/>
          </w:tcPr>
          <w:p w14:paraId="28940CE6" w14:textId="77777777" w:rsidR="00B1026A" w:rsidRPr="00A23D86" w:rsidRDefault="00B1026A" w:rsidP="00113370">
            <w:pPr>
              <w:adjustRightInd w:val="0"/>
              <w:snapToGrid w:val="0"/>
              <w:jc w:val="center"/>
              <w:rPr>
                <w:rFonts w:eastAsia="Times New Roman"/>
              </w:rPr>
            </w:pPr>
            <w:r w:rsidRPr="00A23D86">
              <w:rPr>
                <w:rFonts w:eastAsia="Times New Roman"/>
              </w:rPr>
              <w:t>0.1</w:t>
            </w:r>
          </w:p>
        </w:tc>
        <w:tc>
          <w:tcPr>
            <w:tcW w:w="837" w:type="pct"/>
            <w:vMerge/>
            <w:vAlign w:val="center"/>
          </w:tcPr>
          <w:p w14:paraId="52BF9DF5" w14:textId="77777777" w:rsidR="00B1026A" w:rsidRDefault="00B1026A" w:rsidP="00113370">
            <w:pPr>
              <w:adjustRightInd w:val="0"/>
              <w:snapToGrid w:val="0"/>
              <w:jc w:val="center"/>
            </w:pPr>
          </w:p>
        </w:tc>
      </w:tr>
    </w:tbl>
    <w:bookmarkEnd w:id="131"/>
    <w:bookmarkEnd w:id="132"/>
    <w:p w14:paraId="6C090CB2" w14:textId="7B99ABC1" w:rsidR="00606029" w:rsidRDefault="00606029">
      <w:pPr>
        <w:pStyle w:val="4"/>
        <w:spacing w:beforeLines="50" w:before="120"/>
      </w:pPr>
      <w:r>
        <w:fldChar w:fldCharType="begin"/>
      </w:r>
      <w:r>
        <w:instrText>HYPERLINK "file:///C:\\Users\\xueying\\AppData\\Roaming\\Microsoft\\Word\\3.3.2.2"</w:instrText>
      </w:r>
      <w:r>
        <w:fldChar w:fldCharType="separate"/>
      </w:r>
      <w:r>
        <w:t>2.3.2.2</w:t>
      </w:r>
      <w:r>
        <w:fldChar w:fldCharType="end"/>
      </w:r>
      <w:r w:rsidR="00EA5B92">
        <w:t>运营期大气污染源</w:t>
      </w:r>
    </w:p>
    <w:p w14:paraId="60C03B12" w14:textId="020AE03D" w:rsidR="00606029" w:rsidRDefault="00C40CEF" w:rsidP="00C40CEF">
      <w:pPr>
        <w:pStyle w:val="affffff4"/>
      </w:pPr>
      <w:r>
        <w:rPr>
          <w:rFonts w:hint="eastAsia"/>
        </w:rPr>
        <w:t>本</w:t>
      </w:r>
      <w:r w:rsidR="00EA5B92">
        <w:t>项目填埋场是生活垃圾焚烧飞灰稳定化物的专用填埋场，焚烧厂的脱硝剂中含有尿素，因此飞灰中含有少量残留的氨，飞灰在焚烧厂内经过固化、并在</w:t>
      </w:r>
      <w:r w:rsidRPr="00C40CEF">
        <w:t>稳定化暂存库</w:t>
      </w:r>
      <w:r w:rsidR="00EA5B92">
        <w:t>内稳定化后残留的氨很少，恶臭可忽略，</w:t>
      </w:r>
      <w:r>
        <w:t>运营期</w:t>
      </w:r>
      <w:r>
        <w:rPr>
          <w:rFonts w:hint="eastAsia"/>
        </w:rPr>
        <w:t>产生的</w:t>
      </w:r>
      <w:r w:rsidR="00EA5B92">
        <w:t>废气</w:t>
      </w:r>
      <w:r>
        <w:rPr>
          <w:rFonts w:hint="eastAsia"/>
        </w:rPr>
        <w:t>包括</w:t>
      </w:r>
      <w:r w:rsidR="00EA5B92">
        <w:t>①</w:t>
      </w:r>
      <w:r w:rsidR="00EA5B92">
        <w:t>填埋场内运输扬</w:t>
      </w:r>
      <w:r w:rsidR="00EA5B92">
        <w:lastRenderedPageBreak/>
        <w:t>尘</w:t>
      </w:r>
      <w:r>
        <w:rPr>
          <w:rFonts w:hint="eastAsia"/>
        </w:rPr>
        <w:t>，</w:t>
      </w:r>
      <w:r w:rsidR="00EA5B92">
        <w:t>②</w:t>
      </w:r>
      <w:r w:rsidR="00EA5B92">
        <w:t>填埋作业机械尾气</w:t>
      </w:r>
      <w:r>
        <w:rPr>
          <w:rFonts w:hint="eastAsia"/>
        </w:rPr>
        <w:t>，</w:t>
      </w:r>
      <w:r w:rsidR="00EA5B92">
        <w:t>③</w:t>
      </w:r>
      <w:r w:rsidR="00EA5B92">
        <w:t>填埋作业（卸料、摊铺）扬尘。</w:t>
      </w:r>
    </w:p>
    <w:p w14:paraId="49A70C03" w14:textId="77777777" w:rsidR="00606029" w:rsidRDefault="00EA5B92">
      <w:pPr>
        <w:pStyle w:val="affffff4"/>
      </w:pPr>
      <w:r>
        <w:t>（</w:t>
      </w:r>
      <w:r>
        <w:t>1</w:t>
      </w:r>
      <w:r>
        <w:t>）废气污染源</w:t>
      </w:r>
    </w:p>
    <w:p w14:paraId="2884AD34" w14:textId="5EFF66E8" w:rsidR="00606029" w:rsidRDefault="00EA5B92">
      <w:pPr>
        <w:pStyle w:val="affffff4"/>
      </w:pPr>
      <w:r>
        <w:t>①</w:t>
      </w:r>
      <w:r w:rsidR="00C40CEF" w:rsidRPr="00C40CEF">
        <w:t>填埋场内</w:t>
      </w:r>
      <w:r w:rsidR="00C40CEF">
        <w:rPr>
          <w:rFonts w:hint="eastAsia"/>
        </w:rPr>
        <w:t>运输</w:t>
      </w:r>
      <w:r>
        <w:t>扬尘</w:t>
      </w:r>
    </w:p>
    <w:p w14:paraId="04F55CC4" w14:textId="6B437BF1" w:rsidR="00606029" w:rsidRDefault="00EA5B92">
      <w:pPr>
        <w:pStyle w:val="affffff4"/>
      </w:pPr>
      <w:r>
        <w:t>本项目道路依托填埋场内现有道路，一般情况下，道路扬尘产生量与交通量成正比。运输车辆至填埋作业点的均为硬化路面</w:t>
      </w:r>
      <w:r w:rsidR="00417F2A">
        <w:rPr>
          <w:rFonts w:hint="eastAsia"/>
        </w:rPr>
        <w:t>，</w:t>
      </w:r>
      <w:r w:rsidR="00417F2A" w:rsidRPr="00417F2A">
        <w:t>飞灰稳定化暂存库</w:t>
      </w:r>
      <w:r w:rsidR="00417F2A">
        <w:rPr>
          <w:rFonts w:hint="eastAsia"/>
        </w:rPr>
        <w:t>紧邻飞灰填埋区，</w:t>
      </w:r>
      <w:r>
        <w:t>距离较短，且行驶速度较慢，同时采取洒水车定时洒水抑尘等抑尘方法，则交通运输扬尘产生量</w:t>
      </w:r>
      <w:r w:rsidR="00E9610C">
        <w:rPr>
          <w:rFonts w:hint="eastAsia"/>
        </w:rPr>
        <w:t>极少</w:t>
      </w:r>
      <w:r>
        <w:t>，本环评不作定量分析。</w:t>
      </w:r>
    </w:p>
    <w:p w14:paraId="53F47982" w14:textId="77777777" w:rsidR="00606029" w:rsidRDefault="00EA5B92">
      <w:pPr>
        <w:pStyle w:val="affffff4"/>
      </w:pPr>
      <w:r>
        <w:t>②</w:t>
      </w:r>
      <w:r>
        <w:t>填埋作业机械尾气</w:t>
      </w:r>
    </w:p>
    <w:p w14:paraId="64E653CE" w14:textId="19A69DEE" w:rsidR="00606029" w:rsidRDefault="00417F2A">
      <w:pPr>
        <w:pStyle w:val="affffff4"/>
      </w:pPr>
      <w:r>
        <w:rPr>
          <w:rFonts w:hint="eastAsia"/>
        </w:rPr>
        <w:t>本</w:t>
      </w:r>
      <w:r w:rsidR="00EA5B92">
        <w:t>项目配置叉车和密闭卡车等填埋作业机械</w:t>
      </w:r>
      <w:r w:rsidR="00EA5B92">
        <w:t>2</w:t>
      </w:r>
      <w:r w:rsidR="00EA5B92">
        <w:t>台，填埋作业机械运行时会产生一定量的尾气，污染物主要包含</w:t>
      </w:r>
      <w:r w:rsidR="00EA5B92">
        <w:t>NO</w:t>
      </w:r>
      <w:r w:rsidR="00EA5B92">
        <w:rPr>
          <w:vertAlign w:val="subscript"/>
        </w:rPr>
        <w:t>2</w:t>
      </w:r>
      <w:r w:rsidR="00EA5B92">
        <w:t>、</w:t>
      </w:r>
      <w:r w:rsidR="00EA5B92">
        <w:t>CO</w:t>
      </w:r>
      <w:r w:rsidR="00EA5B92">
        <w:t>及烃类。本工程拟接纳的填埋固化飞灰约</w:t>
      </w:r>
      <w:r w:rsidR="003668C7">
        <w:rPr>
          <w:rFonts w:hint="eastAsia"/>
        </w:rPr>
        <w:t>6</w:t>
      </w:r>
      <w:r w:rsidR="00E9610C">
        <w:rPr>
          <w:rFonts w:hint="eastAsia"/>
        </w:rPr>
        <w:t>0</w:t>
      </w:r>
      <w:r w:rsidR="00EA5B92">
        <w:t>t/d</w:t>
      </w:r>
      <w:r w:rsidR="00EA5B92">
        <w:t>。运输车辆载重量</w:t>
      </w:r>
      <w:r w:rsidR="00EA5B92">
        <w:t>10</w:t>
      </w:r>
      <w:r w:rsidR="00EA5B92">
        <w:t>吨</w:t>
      </w:r>
      <w:r w:rsidR="00EA5B92">
        <w:t>/</w:t>
      </w:r>
      <w:r w:rsidR="00EA5B92">
        <w:t>辆，则每天进出本处置场的大型车辆约</w:t>
      </w:r>
      <w:r w:rsidR="003668C7">
        <w:rPr>
          <w:rFonts w:hint="eastAsia"/>
        </w:rPr>
        <w:t>6</w:t>
      </w:r>
      <w:r w:rsidR="00EA5B92">
        <w:t>辆次，运输车辆尾气的污染源较分散，且是流动性的、间断性、不定时性排放，且排放区域较为分散，因数量少，影响较为轻微，本环评不作定量分析。</w:t>
      </w:r>
    </w:p>
    <w:p w14:paraId="7329EF08" w14:textId="77777777" w:rsidR="00606029" w:rsidRDefault="00EA5B92">
      <w:pPr>
        <w:pStyle w:val="affffff4"/>
      </w:pPr>
      <w:r>
        <w:t>③</w:t>
      </w:r>
      <w:r>
        <w:t>填埋作业扬尘</w:t>
      </w:r>
    </w:p>
    <w:p w14:paraId="2AC40702" w14:textId="48075C1F" w:rsidR="00606029" w:rsidRDefault="00EA5B92">
      <w:pPr>
        <w:pStyle w:val="affffff4"/>
      </w:pPr>
      <w:r>
        <w:t>飞灰填埋过程扬尘污染源主要</w:t>
      </w:r>
      <w:r w:rsidR="00417F2A">
        <w:rPr>
          <w:rFonts w:hint="eastAsia"/>
        </w:rPr>
        <w:t>包括</w:t>
      </w:r>
      <w:r>
        <w:t>倾倒飞灰稳定化物时产生的扬尘和填埋场地面扬尘。</w:t>
      </w:r>
    </w:p>
    <w:p w14:paraId="3D4DB05E" w14:textId="77777777" w:rsidR="00606029" w:rsidRDefault="00EA5B92">
      <w:pPr>
        <w:pStyle w:val="affffff4"/>
      </w:pPr>
      <w:r>
        <w:t>a.</w:t>
      </w:r>
      <w:r>
        <w:t>落料扬尘（卸料）</w:t>
      </w:r>
    </w:p>
    <w:p w14:paraId="6873DB6A" w14:textId="7E50A7FB" w:rsidR="00606029" w:rsidRDefault="00EA5B92">
      <w:pPr>
        <w:pStyle w:val="affffff4"/>
      </w:pPr>
      <w:r>
        <w:t>本项目填埋区占地为</w:t>
      </w:r>
      <w:r w:rsidR="003668C7">
        <w:rPr>
          <w:rFonts w:hint="eastAsia"/>
        </w:rPr>
        <w:t>5136.95</w:t>
      </w:r>
      <w:r>
        <w:t>m</w:t>
      </w:r>
      <w:r>
        <w:rPr>
          <w:vertAlign w:val="superscript"/>
        </w:rPr>
        <w:t>2</w:t>
      </w:r>
      <w:r>
        <w:t>，考虑飞灰稳定化后具有一定的强度以及洒水抑尘，本环评扬尘产生量参照山西环保科研所、武汉水运工程学院提出的经验公式进行估算，如下所示</w:t>
      </w:r>
      <w:r w:rsidR="006A52CC">
        <w:t>：</w:t>
      </w:r>
    </w:p>
    <w:p w14:paraId="3FB56679" w14:textId="77777777" w:rsidR="00606029" w:rsidRDefault="00EA5B92">
      <w:pPr>
        <w:pStyle w:val="affffff4"/>
        <w:ind w:firstLineChars="0" w:firstLine="0"/>
        <w:jc w:val="center"/>
      </w:pPr>
      <w:bookmarkStart w:id="134" w:name="OLE_LINK5"/>
      <w:r>
        <w:t>Q=e0.61u</w:t>
      </w:r>
      <w:r>
        <w:t>（</w:t>
      </w:r>
      <w:r>
        <w:t>M/13.5</w:t>
      </w:r>
      <w:r>
        <w:t>）</w:t>
      </w:r>
    </w:p>
    <w:p w14:paraId="2D28F830" w14:textId="30F8D7C7" w:rsidR="00606029" w:rsidRDefault="00EA5B92">
      <w:pPr>
        <w:pStyle w:val="affffff4"/>
        <w:jc w:val="center"/>
      </w:pPr>
      <w:r>
        <w:t>式中</w:t>
      </w:r>
      <w:r w:rsidR="006A52CC">
        <w:t>：</w:t>
      </w:r>
      <w:r>
        <w:t>Q</w:t>
      </w:r>
      <w:r w:rsidR="006A52CC">
        <w:t>：</w:t>
      </w:r>
      <w:r>
        <w:t>装卸起尘量，</w:t>
      </w:r>
      <w:r>
        <w:t>g/</w:t>
      </w:r>
      <w:r>
        <w:t>次；</w:t>
      </w:r>
    </w:p>
    <w:p w14:paraId="17C6272D" w14:textId="082288F3" w:rsidR="00606029" w:rsidRDefault="00EA5B92">
      <w:pPr>
        <w:pStyle w:val="affffff4"/>
        <w:jc w:val="center"/>
      </w:pPr>
      <w:r>
        <w:t>u</w:t>
      </w:r>
      <w:r w:rsidR="006A52CC">
        <w:t>：</w:t>
      </w:r>
      <w:r>
        <w:t>平均风速，</w:t>
      </w:r>
      <w:r>
        <w:t>m/s</w:t>
      </w:r>
      <w:r>
        <w:t>；取</w:t>
      </w:r>
      <w:r w:rsidR="004E5FFD">
        <w:t>大庆市</w:t>
      </w:r>
      <w:r>
        <w:t>多年平均风速</w:t>
      </w:r>
      <w:r w:rsidR="00EE36A4">
        <w:rPr>
          <w:rFonts w:hint="eastAsia"/>
        </w:rPr>
        <w:t>4.5</w:t>
      </w:r>
      <w:r>
        <w:t>m/s</w:t>
      </w:r>
    </w:p>
    <w:p w14:paraId="27D9A5BE" w14:textId="39555893" w:rsidR="00606029" w:rsidRDefault="00EA5B92">
      <w:pPr>
        <w:pStyle w:val="affffff4"/>
        <w:jc w:val="center"/>
      </w:pPr>
      <w:r>
        <w:t>M</w:t>
      </w:r>
      <w:r w:rsidR="006A52CC">
        <w:t>：</w:t>
      </w:r>
      <w:r>
        <w:t>汽车载重量，</w:t>
      </w:r>
      <w:r>
        <w:t>t</w:t>
      </w:r>
      <w:r>
        <w:t>；取</w:t>
      </w:r>
      <w:r>
        <w:t>10t</w:t>
      </w:r>
    </w:p>
    <w:bookmarkEnd w:id="134"/>
    <w:p w14:paraId="63B82CEF" w14:textId="2B85C446" w:rsidR="00606029" w:rsidRDefault="00EA5B92">
      <w:pPr>
        <w:pStyle w:val="affffff4"/>
      </w:pPr>
      <w:r>
        <w:t>根据公式推断出装卸粉尘产生量为</w:t>
      </w:r>
      <w:r w:rsidR="00EE36A4">
        <w:rPr>
          <w:rFonts w:hint="eastAsia"/>
        </w:rPr>
        <w:t>11.5</w:t>
      </w:r>
      <w:r>
        <w:t>g/</w:t>
      </w:r>
      <w:r>
        <w:t>次，本项目填埋量</w:t>
      </w:r>
      <w:r w:rsidRPr="00872B94">
        <w:t>约</w:t>
      </w:r>
      <w:r w:rsidR="00872B94" w:rsidRPr="00872B94">
        <w:rPr>
          <w:rFonts w:hint="eastAsia"/>
        </w:rPr>
        <w:t>10</w:t>
      </w:r>
      <w:r w:rsidRPr="00872B94">
        <w:t>000t</w:t>
      </w:r>
      <w:r w:rsidRPr="00872B94">
        <w:t>，则</w:t>
      </w:r>
      <w:r w:rsidR="00872B94" w:rsidRPr="00872B94">
        <w:rPr>
          <w:rFonts w:hint="eastAsia"/>
        </w:rPr>
        <w:t>本项目</w:t>
      </w:r>
      <w:r w:rsidRPr="00872B94">
        <w:t>运输装卸</w:t>
      </w:r>
      <w:r w:rsidRPr="00872B94">
        <w:t>1</w:t>
      </w:r>
      <w:r w:rsidR="00872B94" w:rsidRPr="00872B94">
        <w:rPr>
          <w:rFonts w:hint="eastAsia"/>
        </w:rPr>
        <w:t>0</w:t>
      </w:r>
      <w:r w:rsidRPr="00872B94">
        <w:t>00</w:t>
      </w:r>
      <w:r w:rsidRPr="00872B94">
        <w:t>次，则装卸产生的扬尘量约为</w:t>
      </w:r>
      <w:r w:rsidR="00872B94" w:rsidRPr="00872B94">
        <w:rPr>
          <w:rFonts w:hint="eastAsia"/>
        </w:rPr>
        <w:t>11.5</w:t>
      </w:r>
      <w:r w:rsidRPr="00872B94">
        <w:t>kg</w:t>
      </w:r>
      <w:r w:rsidRPr="00872B94">
        <w:t>，由于每次卸料均是在短时内完成（持续时间按</w:t>
      </w:r>
      <w:r w:rsidRPr="00872B94">
        <w:t>10min</w:t>
      </w:r>
      <w:r w:rsidRPr="00872B94">
        <w:t>计），则装卸过程中最大排放速率为</w:t>
      </w:r>
      <w:r w:rsidRPr="00872B94">
        <w:t>0.0</w:t>
      </w:r>
      <w:r w:rsidR="00872B94" w:rsidRPr="00872B94">
        <w:rPr>
          <w:rFonts w:hint="eastAsia"/>
        </w:rPr>
        <w:t>19</w:t>
      </w:r>
      <w:r w:rsidRPr="00872B94">
        <w:t>g/s</w:t>
      </w:r>
      <w:r w:rsidRPr="00872B94">
        <w:t>。</w:t>
      </w:r>
    </w:p>
    <w:p w14:paraId="2BA0AE88" w14:textId="77777777" w:rsidR="00606029" w:rsidRDefault="00EA5B92">
      <w:pPr>
        <w:pStyle w:val="affffff4"/>
      </w:pPr>
      <w:r>
        <w:t>b.</w:t>
      </w:r>
      <w:r>
        <w:t>填埋场地面扬尘（摊铺）</w:t>
      </w:r>
    </w:p>
    <w:p w14:paraId="4E546BDA" w14:textId="5030A791" w:rsidR="00606029" w:rsidRDefault="00EA5B92">
      <w:pPr>
        <w:pStyle w:val="affffff4"/>
      </w:pPr>
      <w:r>
        <w:t>考虑到飞灰固化块填埋作业起尘量尚无成熟可行的计算公式，本评价采用西安冶金建筑学院干堆计算公式计算处置场扬尘产生量。计算公式为</w:t>
      </w:r>
      <w:r w:rsidR="006A52CC">
        <w:t>：</w:t>
      </w:r>
    </w:p>
    <w:p w14:paraId="17BA58DF" w14:textId="77777777" w:rsidR="00606029" w:rsidRDefault="00EA5B92">
      <w:pPr>
        <w:pStyle w:val="affffff4"/>
        <w:jc w:val="center"/>
      </w:pPr>
      <w:r>
        <w:lastRenderedPageBreak/>
        <w:t>Q=4.23×10</w:t>
      </w:r>
      <w:r w:rsidRPr="00EE36A4">
        <w:rPr>
          <w:vertAlign w:val="superscript"/>
        </w:rPr>
        <w:t>-4</w:t>
      </w:r>
      <w:r>
        <w:t>×U4.9×S</w:t>
      </w:r>
    </w:p>
    <w:p w14:paraId="1276A511" w14:textId="77777777" w:rsidR="004D7875" w:rsidRDefault="00EA5B92" w:rsidP="004D7875">
      <w:pPr>
        <w:pStyle w:val="affffff4"/>
      </w:pPr>
      <w:r>
        <w:t>式中</w:t>
      </w:r>
      <w:r w:rsidR="006A52CC">
        <w:t>：</w:t>
      </w:r>
    </w:p>
    <w:p w14:paraId="62F03236" w14:textId="539B9381" w:rsidR="00606029" w:rsidRDefault="00EA5B92" w:rsidP="004D7875">
      <w:pPr>
        <w:pStyle w:val="affffff4"/>
      </w:pPr>
      <w:r>
        <w:t>Q—</w:t>
      </w:r>
      <w:r>
        <w:t>起尘量，</w:t>
      </w:r>
      <w:r>
        <w:t>mg/s</w:t>
      </w:r>
      <w:r>
        <w:t>；</w:t>
      </w:r>
    </w:p>
    <w:p w14:paraId="33C31B3C" w14:textId="77777777" w:rsidR="00606029" w:rsidRDefault="00EA5B92" w:rsidP="004D7875">
      <w:pPr>
        <w:pStyle w:val="affffff4"/>
      </w:pPr>
      <w:r>
        <w:t>S</w:t>
      </w:r>
      <w:r>
        <w:t>一填埋场的起尘面积，</w:t>
      </w:r>
      <w:r>
        <w:t>m</w:t>
      </w:r>
      <w:r>
        <w:rPr>
          <w:vertAlign w:val="superscript"/>
        </w:rPr>
        <w:t>2</w:t>
      </w:r>
      <w:r>
        <w:t>，填埋作业面积为一个作业单元</w:t>
      </w:r>
      <w:r>
        <w:t>15m×15m=225m</w:t>
      </w:r>
      <w:r>
        <w:rPr>
          <w:vertAlign w:val="superscript"/>
        </w:rPr>
        <w:t>2</w:t>
      </w:r>
      <w:r>
        <w:t>；</w:t>
      </w:r>
    </w:p>
    <w:p w14:paraId="5EF88990" w14:textId="23C51206" w:rsidR="00606029" w:rsidRDefault="00EA5B92" w:rsidP="004D7875">
      <w:pPr>
        <w:pStyle w:val="affffff4"/>
      </w:pPr>
      <w:r>
        <w:t>U—</w:t>
      </w:r>
      <w:r>
        <w:t>填埋场的平均风速，</w:t>
      </w:r>
      <w:r>
        <w:t>m/s</w:t>
      </w:r>
      <w:r>
        <w:t>，项目所在区域年平均风速为</w:t>
      </w:r>
      <w:r w:rsidR="00EE36A4">
        <w:rPr>
          <w:rFonts w:hint="eastAsia"/>
        </w:rPr>
        <w:t>4.5</w:t>
      </w:r>
      <w:r>
        <w:t>m/s</w:t>
      </w:r>
      <w:r>
        <w:t>；</w:t>
      </w:r>
    </w:p>
    <w:p w14:paraId="7FC23F10" w14:textId="7ADDC2E4" w:rsidR="00606029" w:rsidRDefault="00EA5B92">
      <w:pPr>
        <w:pStyle w:val="affffff4"/>
        <w:jc w:val="center"/>
      </w:pPr>
      <w:r>
        <w:t>Q=4.23×10</w:t>
      </w:r>
      <w:r w:rsidRPr="00EE36A4">
        <w:rPr>
          <w:vertAlign w:val="superscript"/>
        </w:rPr>
        <w:t>-4</w:t>
      </w:r>
      <w:r>
        <w:t>×</w:t>
      </w:r>
      <w:r w:rsidR="00EE36A4">
        <w:rPr>
          <w:rFonts w:hint="eastAsia"/>
        </w:rPr>
        <w:t>4.5</w:t>
      </w:r>
      <w:r w:rsidR="00EE36A4">
        <w:rPr>
          <w:rFonts w:hint="eastAsia"/>
        </w:rPr>
        <w:t>×</w:t>
      </w:r>
      <w:r>
        <w:t>4.9×225=</w:t>
      </w:r>
      <w:r w:rsidR="00EE36A4">
        <w:rPr>
          <w:rFonts w:hint="eastAsia"/>
        </w:rPr>
        <w:t>2.1</w:t>
      </w:r>
      <w:r>
        <w:t>mg/s=0.0</w:t>
      </w:r>
      <w:r w:rsidR="00EE36A4">
        <w:rPr>
          <w:rFonts w:hint="eastAsia"/>
        </w:rPr>
        <w:t>0756</w:t>
      </w:r>
      <w:r>
        <w:t>kg/h=</w:t>
      </w:r>
      <w:r w:rsidR="004D7875">
        <w:t>0.0109</w:t>
      </w:r>
      <w:r>
        <w:t>t</w:t>
      </w:r>
      <w:r>
        <w:t>。</w:t>
      </w:r>
    </w:p>
    <w:p w14:paraId="59FA3C47" w14:textId="77777777" w:rsidR="00606029" w:rsidRPr="00872B94" w:rsidRDefault="00EA5B92">
      <w:pPr>
        <w:pStyle w:val="affffff4"/>
      </w:pPr>
      <w:r w:rsidRPr="00872B94">
        <w:t>（</w:t>
      </w:r>
      <w:r w:rsidRPr="00872B94">
        <w:t>2</w:t>
      </w:r>
      <w:r w:rsidRPr="00872B94">
        <w:t>）废气污染源汇总</w:t>
      </w:r>
    </w:p>
    <w:p w14:paraId="6FE7462F" w14:textId="77777777" w:rsidR="00606029" w:rsidRPr="00872B94" w:rsidRDefault="00EA5B92">
      <w:pPr>
        <w:pStyle w:val="affffff4"/>
      </w:pPr>
      <w:r w:rsidRPr="00872B94">
        <w:t>项目废气污染源产生、排放情况见下表。</w:t>
      </w:r>
    </w:p>
    <w:p w14:paraId="167C637A" w14:textId="413ED002" w:rsidR="00606029" w:rsidRPr="00872B94" w:rsidRDefault="00EA5B92">
      <w:pPr>
        <w:pStyle w:val="affffff5"/>
      </w:pPr>
      <w:r w:rsidRPr="00872B94">
        <w:t>表</w:t>
      </w:r>
      <w:r w:rsidRPr="00872B94">
        <w:t>2.3-</w:t>
      </w:r>
      <w:r w:rsidR="00472CC5">
        <w:rPr>
          <w:rFonts w:hint="eastAsia"/>
        </w:rPr>
        <w:t xml:space="preserve">5 </w:t>
      </w:r>
      <w:r w:rsidRPr="00872B94">
        <w:t>项目的废气排放源强</w:t>
      </w:r>
    </w:p>
    <w:tbl>
      <w:tblPr>
        <w:tblStyle w:val="TableNormal"/>
        <w:tblW w:w="4997" w:type="pct"/>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4"/>
        <w:gridCol w:w="637"/>
        <w:gridCol w:w="526"/>
        <w:gridCol w:w="549"/>
        <w:gridCol w:w="874"/>
        <w:gridCol w:w="878"/>
        <w:gridCol w:w="878"/>
        <w:gridCol w:w="855"/>
        <w:gridCol w:w="1176"/>
        <w:gridCol w:w="846"/>
        <w:gridCol w:w="1206"/>
      </w:tblGrid>
      <w:tr w:rsidR="00606029" w:rsidRPr="00872B94" w14:paraId="593A9FB7" w14:textId="77777777" w:rsidTr="00872B94">
        <w:trPr>
          <w:trHeight w:val="57"/>
        </w:trPr>
        <w:tc>
          <w:tcPr>
            <w:tcW w:w="229" w:type="pct"/>
            <w:vAlign w:val="center"/>
          </w:tcPr>
          <w:p w14:paraId="3D00F019" w14:textId="77777777" w:rsidR="00606029" w:rsidRPr="00872B94" w:rsidRDefault="00EA5B92">
            <w:pPr>
              <w:pStyle w:val="TableText"/>
              <w:adjustRightInd w:val="0"/>
              <w:snapToGrid w:val="0"/>
              <w:jc w:val="center"/>
              <w:rPr>
                <w:rFonts w:ascii="Times New Roman" w:hAnsi="Times New Roman" w:cs="Times New Roman"/>
              </w:rPr>
            </w:pPr>
            <w:r w:rsidRPr="00872B94">
              <w:rPr>
                <w:rFonts w:ascii="Times New Roman" w:hAnsi="Times New Roman" w:cs="Times New Roman"/>
              </w:rPr>
              <w:t>序号</w:t>
            </w:r>
          </w:p>
        </w:tc>
        <w:tc>
          <w:tcPr>
            <w:tcW w:w="361" w:type="pct"/>
            <w:vAlign w:val="center"/>
          </w:tcPr>
          <w:p w14:paraId="6807D26F" w14:textId="77777777" w:rsidR="00606029" w:rsidRPr="00872B94" w:rsidRDefault="00EA5B92">
            <w:pPr>
              <w:pStyle w:val="TableText"/>
              <w:adjustRightInd w:val="0"/>
              <w:snapToGrid w:val="0"/>
              <w:jc w:val="center"/>
              <w:rPr>
                <w:rFonts w:ascii="Times New Roman" w:hAnsi="Times New Roman" w:cs="Times New Roman"/>
              </w:rPr>
            </w:pPr>
            <w:r w:rsidRPr="00872B94">
              <w:rPr>
                <w:rFonts w:ascii="Times New Roman" w:hAnsi="Times New Roman" w:cs="Times New Roman"/>
              </w:rPr>
              <w:t>污染</w:t>
            </w:r>
            <w:r w:rsidRPr="00872B94">
              <w:rPr>
                <w:rFonts w:ascii="Times New Roman" w:hAnsi="Times New Roman" w:cs="Times New Roman"/>
                <w:w w:val="139"/>
              </w:rPr>
              <w:t>源</w:t>
            </w:r>
            <w:r w:rsidRPr="00872B94">
              <w:rPr>
                <w:rFonts w:ascii="Times New Roman" w:hAnsi="Times New Roman" w:cs="Times New Roman"/>
              </w:rPr>
              <w:t>位置</w:t>
            </w:r>
          </w:p>
        </w:tc>
        <w:tc>
          <w:tcPr>
            <w:tcW w:w="298" w:type="pct"/>
            <w:vAlign w:val="center"/>
          </w:tcPr>
          <w:p w14:paraId="0F20E6FC" w14:textId="77777777" w:rsidR="00606029" w:rsidRPr="00872B94" w:rsidRDefault="00EA5B92">
            <w:pPr>
              <w:pStyle w:val="TableText"/>
              <w:adjustRightInd w:val="0"/>
              <w:snapToGrid w:val="0"/>
              <w:jc w:val="center"/>
              <w:rPr>
                <w:rFonts w:ascii="Times New Roman" w:hAnsi="Times New Roman" w:cs="Times New Roman"/>
              </w:rPr>
            </w:pPr>
            <w:r w:rsidRPr="00872B94">
              <w:rPr>
                <w:rFonts w:ascii="Times New Roman" w:hAnsi="Times New Roman" w:cs="Times New Roman"/>
              </w:rPr>
              <w:t>生产工序</w:t>
            </w:r>
          </w:p>
        </w:tc>
        <w:tc>
          <w:tcPr>
            <w:tcW w:w="311" w:type="pct"/>
            <w:vAlign w:val="center"/>
          </w:tcPr>
          <w:p w14:paraId="7C4A1248" w14:textId="77777777" w:rsidR="00606029" w:rsidRPr="00872B94" w:rsidRDefault="00EA5B92">
            <w:pPr>
              <w:pStyle w:val="TableText"/>
              <w:adjustRightInd w:val="0"/>
              <w:snapToGrid w:val="0"/>
              <w:jc w:val="center"/>
              <w:rPr>
                <w:rFonts w:ascii="Times New Roman" w:hAnsi="Times New Roman" w:cs="Times New Roman"/>
              </w:rPr>
            </w:pPr>
            <w:r w:rsidRPr="00872B94">
              <w:rPr>
                <w:rFonts w:ascii="Times New Roman" w:hAnsi="Times New Roman" w:cs="Times New Roman"/>
              </w:rPr>
              <w:t>污染物</w:t>
            </w:r>
          </w:p>
        </w:tc>
        <w:tc>
          <w:tcPr>
            <w:tcW w:w="495" w:type="pct"/>
            <w:vAlign w:val="center"/>
          </w:tcPr>
          <w:p w14:paraId="40AC51F6" w14:textId="77777777" w:rsidR="00606029" w:rsidRPr="00872B94" w:rsidRDefault="00EA5B92">
            <w:pPr>
              <w:pStyle w:val="TableText"/>
              <w:adjustRightInd w:val="0"/>
              <w:snapToGrid w:val="0"/>
              <w:jc w:val="center"/>
              <w:rPr>
                <w:rFonts w:ascii="Times New Roman" w:eastAsia="Times New Roman" w:hAnsi="Times New Roman" w:cs="Times New Roman"/>
              </w:rPr>
            </w:pPr>
            <w:r w:rsidRPr="00872B94">
              <w:rPr>
                <w:rFonts w:ascii="Times New Roman" w:hAnsi="Times New Roman" w:cs="Times New Roman"/>
              </w:rPr>
              <w:t>最大产生速率</w:t>
            </w:r>
            <w:r w:rsidRPr="00872B94">
              <w:rPr>
                <w:rFonts w:ascii="Times New Roman" w:eastAsia="Times New Roman" w:hAnsi="Times New Roman" w:cs="Times New Roman"/>
              </w:rPr>
              <w:t>g/s</w:t>
            </w:r>
          </w:p>
        </w:tc>
        <w:tc>
          <w:tcPr>
            <w:tcW w:w="497" w:type="pct"/>
            <w:vAlign w:val="center"/>
          </w:tcPr>
          <w:p w14:paraId="2DD1234F" w14:textId="77777777" w:rsidR="00606029" w:rsidRPr="00872B94" w:rsidRDefault="00EA5B92">
            <w:pPr>
              <w:pStyle w:val="TableText"/>
              <w:adjustRightInd w:val="0"/>
              <w:snapToGrid w:val="0"/>
              <w:jc w:val="center"/>
              <w:rPr>
                <w:rFonts w:ascii="Times New Roman" w:eastAsia="Times New Roman" w:hAnsi="Times New Roman" w:cs="Times New Roman"/>
              </w:rPr>
            </w:pPr>
            <w:r w:rsidRPr="00872B94">
              <w:rPr>
                <w:rFonts w:ascii="Times New Roman" w:hAnsi="Times New Roman" w:cs="Times New Roman"/>
              </w:rPr>
              <w:t>产生量</w:t>
            </w:r>
            <w:r w:rsidRPr="00872B94">
              <w:rPr>
                <w:rFonts w:ascii="Times New Roman" w:eastAsia="Times New Roman" w:hAnsi="Times New Roman" w:cs="Times New Roman"/>
              </w:rPr>
              <w:t>t/a</w:t>
            </w:r>
          </w:p>
        </w:tc>
        <w:tc>
          <w:tcPr>
            <w:tcW w:w="497" w:type="pct"/>
            <w:vAlign w:val="center"/>
          </w:tcPr>
          <w:p w14:paraId="4B44587A" w14:textId="77777777" w:rsidR="00606029" w:rsidRPr="00872B94" w:rsidRDefault="00EA5B92">
            <w:pPr>
              <w:pStyle w:val="TableText"/>
              <w:adjustRightInd w:val="0"/>
              <w:snapToGrid w:val="0"/>
              <w:jc w:val="center"/>
              <w:rPr>
                <w:rFonts w:ascii="Times New Roman" w:eastAsia="Times New Roman" w:hAnsi="Times New Roman" w:cs="Times New Roman"/>
              </w:rPr>
            </w:pPr>
            <w:r w:rsidRPr="00872B94">
              <w:rPr>
                <w:rFonts w:ascii="Times New Roman" w:hAnsi="Times New Roman" w:cs="Times New Roman"/>
              </w:rPr>
              <w:t>最大排放速率</w:t>
            </w:r>
            <w:r w:rsidRPr="00872B94">
              <w:rPr>
                <w:rFonts w:ascii="Times New Roman" w:eastAsia="Times New Roman" w:hAnsi="Times New Roman" w:cs="Times New Roman"/>
              </w:rPr>
              <w:t>g/s</w:t>
            </w:r>
          </w:p>
        </w:tc>
        <w:tc>
          <w:tcPr>
            <w:tcW w:w="484" w:type="pct"/>
            <w:vAlign w:val="center"/>
          </w:tcPr>
          <w:p w14:paraId="180324CD" w14:textId="6629E0D9" w:rsidR="00606029" w:rsidRPr="004D7875" w:rsidRDefault="00EA5B92">
            <w:pPr>
              <w:pStyle w:val="TableText"/>
              <w:adjustRightInd w:val="0"/>
              <w:snapToGrid w:val="0"/>
              <w:jc w:val="center"/>
              <w:rPr>
                <w:rFonts w:ascii="Times New Roman" w:eastAsiaTheme="minorEastAsia" w:hAnsi="Times New Roman" w:cs="Times New Roman"/>
                <w:lang w:eastAsia="zh-CN"/>
              </w:rPr>
            </w:pPr>
            <w:r w:rsidRPr="00872B94">
              <w:rPr>
                <w:rFonts w:ascii="Times New Roman" w:hAnsi="Times New Roman" w:cs="Times New Roman"/>
              </w:rPr>
              <w:t>排放量</w:t>
            </w:r>
            <w:r w:rsidRPr="00872B94">
              <w:rPr>
                <w:rFonts w:ascii="Times New Roman" w:eastAsia="Times New Roman" w:hAnsi="Times New Roman" w:cs="Times New Roman"/>
              </w:rPr>
              <w:t>t</w:t>
            </w:r>
          </w:p>
        </w:tc>
        <w:tc>
          <w:tcPr>
            <w:tcW w:w="666" w:type="pct"/>
            <w:vAlign w:val="center"/>
          </w:tcPr>
          <w:p w14:paraId="4BA79634" w14:textId="2F281F3E" w:rsidR="00606029" w:rsidRPr="00872B94" w:rsidRDefault="003F056E">
            <w:pPr>
              <w:pStyle w:val="TableText"/>
              <w:adjustRightInd w:val="0"/>
              <w:snapToGrid w:val="0"/>
              <w:jc w:val="center"/>
              <w:rPr>
                <w:rFonts w:ascii="Times New Roman" w:hAnsi="Times New Roman" w:cs="Times New Roman"/>
              </w:rPr>
            </w:pPr>
            <w:r w:rsidRPr="003F056E">
              <w:rPr>
                <w:rFonts w:ascii="Times New Roman" w:hAnsi="Times New Roman" w:cs="Times New Roman"/>
                <w:lang w:eastAsia="zh-CN"/>
              </w:rPr>
              <w:t>治理措施</w:t>
            </w:r>
          </w:p>
        </w:tc>
        <w:tc>
          <w:tcPr>
            <w:tcW w:w="479" w:type="pct"/>
            <w:vAlign w:val="center"/>
          </w:tcPr>
          <w:p w14:paraId="773A1889" w14:textId="77777777" w:rsidR="00606029" w:rsidRPr="00872B94" w:rsidRDefault="00EA5B92">
            <w:pPr>
              <w:pStyle w:val="TableText"/>
              <w:adjustRightInd w:val="0"/>
              <w:snapToGrid w:val="0"/>
              <w:jc w:val="center"/>
              <w:rPr>
                <w:rFonts w:ascii="Times New Roman" w:hAnsi="Times New Roman" w:cs="Times New Roman"/>
                <w:lang w:eastAsia="zh-CN"/>
              </w:rPr>
            </w:pPr>
            <w:r w:rsidRPr="00872B94">
              <w:rPr>
                <w:rFonts w:ascii="Times New Roman" w:hAnsi="Times New Roman" w:cs="Times New Roman"/>
              </w:rPr>
              <w:t>面源占地面积</w:t>
            </w:r>
            <w:r w:rsidRPr="00872B94">
              <w:rPr>
                <w:rFonts w:ascii="Times New Roman" w:hAnsi="Times New Roman" w:cs="Times New Roman"/>
                <w:position w:val="-3"/>
                <w:lang w:eastAsia="zh-CN"/>
              </w:rPr>
              <w:t>m</w:t>
            </w:r>
            <w:r w:rsidRPr="00872B94">
              <w:rPr>
                <w:rFonts w:ascii="Times New Roman" w:hAnsi="Times New Roman" w:cs="Times New Roman"/>
                <w:position w:val="-3"/>
                <w:vertAlign w:val="superscript"/>
                <w:lang w:eastAsia="zh-CN"/>
              </w:rPr>
              <w:t>2</w:t>
            </w:r>
          </w:p>
        </w:tc>
        <w:tc>
          <w:tcPr>
            <w:tcW w:w="683" w:type="pct"/>
            <w:vAlign w:val="center"/>
          </w:tcPr>
          <w:p w14:paraId="0ACC4333" w14:textId="77777777" w:rsidR="00606029" w:rsidRPr="00872B94" w:rsidRDefault="00EA5B92">
            <w:pPr>
              <w:pStyle w:val="TableText"/>
              <w:adjustRightInd w:val="0"/>
              <w:snapToGrid w:val="0"/>
              <w:jc w:val="center"/>
              <w:rPr>
                <w:rFonts w:ascii="Times New Roman" w:hAnsi="Times New Roman" w:cs="Times New Roman"/>
                <w:lang w:eastAsia="zh-CN"/>
              </w:rPr>
            </w:pPr>
            <w:r w:rsidRPr="00872B94">
              <w:rPr>
                <w:rFonts w:ascii="Times New Roman" w:hAnsi="Times New Roman" w:cs="Times New Roman"/>
                <w:lang w:eastAsia="zh-CN"/>
              </w:rPr>
              <w:t>无组织排放浓度监控限值</w:t>
            </w:r>
            <w:r w:rsidRPr="00872B94">
              <w:rPr>
                <w:rFonts w:ascii="Times New Roman" w:eastAsia="Times New Roman" w:hAnsi="Times New Roman" w:cs="Times New Roman"/>
                <w:lang w:eastAsia="zh-CN"/>
              </w:rPr>
              <w:t>mg/</w:t>
            </w:r>
            <w:r w:rsidRPr="00872B94">
              <w:rPr>
                <w:rFonts w:ascii="Times New Roman" w:hAnsi="Times New Roman" w:cs="Times New Roman"/>
                <w:position w:val="-3"/>
                <w:lang w:eastAsia="zh-CN"/>
              </w:rPr>
              <w:t>m</w:t>
            </w:r>
            <w:r w:rsidRPr="00872B94">
              <w:rPr>
                <w:rFonts w:ascii="Times New Roman" w:hAnsi="Times New Roman" w:cs="Times New Roman"/>
                <w:position w:val="-3"/>
                <w:vertAlign w:val="superscript"/>
                <w:lang w:eastAsia="zh-CN"/>
              </w:rPr>
              <w:t>3</w:t>
            </w:r>
            <w:r w:rsidRPr="00872B94">
              <w:rPr>
                <w:rFonts w:ascii="Times New Roman" w:hAnsi="Times New Roman" w:cs="Times New Roman"/>
                <w:lang w:eastAsia="zh-CN"/>
              </w:rPr>
              <w:t>）</w:t>
            </w:r>
          </w:p>
        </w:tc>
      </w:tr>
      <w:tr w:rsidR="003F056E" w:rsidRPr="00872B94" w14:paraId="1832172D" w14:textId="77777777" w:rsidTr="004D7875">
        <w:trPr>
          <w:trHeight w:val="472"/>
        </w:trPr>
        <w:tc>
          <w:tcPr>
            <w:tcW w:w="229" w:type="pct"/>
            <w:vAlign w:val="center"/>
          </w:tcPr>
          <w:p w14:paraId="390E256B" w14:textId="77777777" w:rsidR="003F056E" w:rsidRPr="00872B94" w:rsidRDefault="003F056E">
            <w:pPr>
              <w:adjustRightInd w:val="0"/>
              <w:snapToGrid w:val="0"/>
              <w:jc w:val="center"/>
              <w:rPr>
                <w:rFonts w:eastAsia="Times New Roman"/>
              </w:rPr>
            </w:pPr>
            <w:r w:rsidRPr="00872B94">
              <w:rPr>
                <w:rFonts w:eastAsia="Times New Roman"/>
              </w:rPr>
              <w:t>1</w:t>
            </w:r>
          </w:p>
        </w:tc>
        <w:tc>
          <w:tcPr>
            <w:tcW w:w="361" w:type="pct"/>
            <w:vMerge w:val="restart"/>
            <w:vAlign w:val="center"/>
          </w:tcPr>
          <w:p w14:paraId="6EBE4FF6" w14:textId="77777777" w:rsidR="003F056E" w:rsidRPr="00872B94" w:rsidRDefault="003F056E">
            <w:pPr>
              <w:pStyle w:val="TableText"/>
              <w:adjustRightInd w:val="0"/>
              <w:snapToGrid w:val="0"/>
              <w:jc w:val="center"/>
              <w:rPr>
                <w:rFonts w:ascii="Times New Roman" w:hAnsi="Times New Roman" w:cs="Times New Roman"/>
              </w:rPr>
            </w:pPr>
            <w:r w:rsidRPr="00872B94">
              <w:rPr>
                <w:rFonts w:ascii="Times New Roman" w:hAnsi="Times New Roman" w:cs="Times New Roman"/>
              </w:rPr>
              <w:t>填埋作业区</w:t>
            </w:r>
          </w:p>
        </w:tc>
        <w:tc>
          <w:tcPr>
            <w:tcW w:w="298" w:type="pct"/>
            <w:vAlign w:val="center"/>
          </w:tcPr>
          <w:p w14:paraId="160E8542" w14:textId="77777777" w:rsidR="003F056E" w:rsidRPr="00872B94" w:rsidRDefault="003F056E">
            <w:pPr>
              <w:pStyle w:val="TableText"/>
              <w:adjustRightInd w:val="0"/>
              <w:snapToGrid w:val="0"/>
              <w:jc w:val="center"/>
              <w:rPr>
                <w:rFonts w:ascii="Times New Roman" w:hAnsi="Times New Roman" w:cs="Times New Roman"/>
              </w:rPr>
            </w:pPr>
            <w:r w:rsidRPr="00872B94">
              <w:rPr>
                <w:rFonts w:ascii="Times New Roman" w:hAnsi="Times New Roman" w:cs="Times New Roman"/>
              </w:rPr>
              <w:t>卸料</w:t>
            </w:r>
          </w:p>
        </w:tc>
        <w:tc>
          <w:tcPr>
            <w:tcW w:w="311" w:type="pct"/>
            <w:vMerge w:val="restart"/>
            <w:vAlign w:val="center"/>
          </w:tcPr>
          <w:p w14:paraId="461AF63D" w14:textId="77777777" w:rsidR="003F056E" w:rsidRPr="00872B94" w:rsidRDefault="003F056E">
            <w:pPr>
              <w:adjustRightInd w:val="0"/>
              <w:snapToGrid w:val="0"/>
              <w:jc w:val="center"/>
              <w:rPr>
                <w:rFonts w:eastAsia="Times New Roman"/>
              </w:rPr>
            </w:pPr>
            <w:r w:rsidRPr="00872B94">
              <w:rPr>
                <w:rFonts w:eastAsia="Times New Roman"/>
              </w:rPr>
              <w:t>TSP</w:t>
            </w:r>
          </w:p>
        </w:tc>
        <w:tc>
          <w:tcPr>
            <w:tcW w:w="495" w:type="pct"/>
            <w:vAlign w:val="center"/>
          </w:tcPr>
          <w:p w14:paraId="13656405" w14:textId="05367D7E" w:rsidR="003F056E" w:rsidRPr="00872B94" w:rsidRDefault="003F056E">
            <w:pPr>
              <w:adjustRightInd w:val="0"/>
              <w:snapToGrid w:val="0"/>
              <w:jc w:val="center"/>
              <w:rPr>
                <w:rFonts w:eastAsiaTheme="minorEastAsia"/>
              </w:rPr>
            </w:pPr>
            <w:r w:rsidRPr="00872B94">
              <w:rPr>
                <w:rFonts w:eastAsia="Times New Roman"/>
              </w:rPr>
              <w:t>0.0</w:t>
            </w:r>
            <w:r w:rsidRPr="00872B94">
              <w:rPr>
                <w:rFonts w:eastAsiaTheme="minorEastAsia" w:hint="eastAsia"/>
              </w:rPr>
              <w:t>19</w:t>
            </w:r>
          </w:p>
        </w:tc>
        <w:tc>
          <w:tcPr>
            <w:tcW w:w="497" w:type="pct"/>
            <w:vAlign w:val="center"/>
          </w:tcPr>
          <w:p w14:paraId="33BACFD6" w14:textId="102542BC" w:rsidR="003F056E" w:rsidRPr="00872B94" w:rsidRDefault="003F056E">
            <w:pPr>
              <w:adjustRightInd w:val="0"/>
              <w:snapToGrid w:val="0"/>
              <w:jc w:val="center"/>
              <w:rPr>
                <w:rFonts w:eastAsiaTheme="minorEastAsia"/>
              </w:rPr>
            </w:pPr>
            <w:r w:rsidRPr="00872B94">
              <w:rPr>
                <w:rFonts w:eastAsia="Times New Roman"/>
              </w:rPr>
              <w:t>0.0</w:t>
            </w:r>
            <w:r w:rsidRPr="00872B94">
              <w:rPr>
                <w:rFonts w:eastAsiaTheme="minorEastAsia" w:hint="eastAsia"/>
              </w:rPr>
              <w:t>115</w:t>
            </w:r>
          </w:p>
        </w:tc>
        <w:tc>
          <w:tcPr>
            <w:tcW w:w="497" w:type="pct"/>
            <w:vAlign w:val="center"/>
          </w:tcPr>
          <w:p w14:paraId="20C40B2D" w14:textId="247DE7FA" w:rsidR="003F056E" w:rsidRPr="00872B94" w:rsidRDefault="003F056E">
            <w:pPr>
              <w:adjustRightInd w:val="0"/>
              <w:snapToGrid w:val="0"/>
              <w:jc w:val="center"/>
              <w:rPr>
                <w:rFonts w:eastAsiaTheme="minorEastAsia"/>
              </w:rPr>
            </w:pPr>
            <w:r w:rsidRPr="00872B94">
              <w:rPr>
                <w:rFonts w:eastAsiaTheme="minorEastAsia" w:hint="eastAsia"/>
              </w:rPr>
              <w:t>0.019</w:t>
            </w:r>
          </w:p>
        </w:tc>
        <w:tc>
          <w:tcPr>
            <w:tcW w:w="484" w:type="pct"/>
            <w:vAlign w:val="center"/>
          </w:tcPr>
          <w:p w14:paraId="1BED8D4C" w14:textId="5ED89856" w:rsidR="003F056E" w:rsidRPr="00872B94" w:rsidRDefault="003F056E">
            <w:pPr>
              <w:adjustRightInd w:val="0"/>
              <w:snapToGrid w:val="0"/>
              <w:jc w:val="center"/>
              <w:rPr>
                <w:rFonts w:eastAsiaTheme="minorEastAsia"/>
              </w:rPr>
            </w:pPr>
            <w:r w:rsidRPr="00872B94">
              <w:rPr>
                <w:rFonts w:eastAsia="Times New Roman"/>
              </w:rPr>
              <w:t>0.0115</w:t>
            </w:r>
          </w:p>
        </w:tc>
        <w:tc>
          <w:tcPr>
            <w:tcW w:w="666" w:type="pct"/>
            <w:vMerge w:val="restart"/>
            <w:vAlign w:val="center"/>
          </w:tcPr>
          <w:p w14:paraId="03526F2F" w14:textId="61AC603A" w:rsidR="003F056E" w:rsidRPr="00872B94" w:rsidRDefault="003F056E">
            <w:pPr>
              <w:pStyle w:val="TableText"/>
              <w:adjustRightInd w:val="0"/>
              <w:snapToGrid w:val="0"/>
              <w:jc w:val="center"/>
              <w:rPr>
                <w:rFonts w:ascii="Times New Roman" w:hAnsi="Times New Roman" w:cs="Times New Roman"/>
                <w:lang w:eastAsia="zh-CN"/>
              </w:rPr>
            </w:pPr>
            <w:r>
              <w:rPr>
                <w:rFonts w:ascii="Times New Roman" w:hAnsi="Times New Roman" w:cs="Times New Roman" w:hint="eastAsia"/>
                <w:lang w:eastAsia="zh-CN"/>
              </w:rPr>
              <w:t>采用</w:t>
            </w:r>
            <w:r w:rsidRPr="003F056E">
              <w:rPr>
                <w:rFonts w:ascii="Times New Roman" w:hAnsi="Times New Roman" w:cs="Times New Roman"/>
                <w:lang w:eastAsia="zh-CN"/>
              </w:rPr>
              <w:t>吨袋包装</w:t>
            </w:r>
            <w:r>
              <w:rPr>
                <w:rFonts w:ascii="Times New Roman" w:hAnsi="Times New Roman" w:cs="Times New Roman" w:hint="eastAsia"/>
                <w:lang w:eastAsia="zh-CN"/>
              </w:rPr>
              <w:t>，洒水抑尘，日覆盖</w:t>
            </w:r>
          </w:p>
        </w:tc>
        <w:tc>
          <w:tcPr>
            <w:tcW w:w="479" w:type="pct"/>
            <w:vMerge w:val="restart"/>
            <w:vAlign w:val="center"/>
          </w:tcPr>
          <w:p w14:paraId="0C8017FF" w14:textId="77777777" w:rsidR="003F056E" w:rsidRPr="00872B94" w:rsidRDefault="003F056E">
            <w:pPr>
              <w:adjustRightInd w:val="0"/>
              <w:snapToGrid w:val="0"/>
              <w:jc w:val="center"/>
              <w:rPr>
                <w:rFonts w:eastAsia="Times New Roman"/>
              </w:rPr>
            </w:pPr>
            <w:r w:rsidRPr="00872B94">
              <w:rPr>
                <w:rFonts w:eastAsia="Times New Roman"/>
              </w:rPr>
              <w:t>225</w:t>
            </w:r>
          </w:p>
        </w:tc>
        <w:tc>
          <w:tcPr>
            <w:tcW w:w="683" w:type="pct"/>
            <w:vMerge w:val="restart"/>
            <w:vAlign w:val="center"/>
          </w:tcPr>
          <w:p w14:paraId="292554C7" w14:textId="77777777" w:rsidR="003F056E" w:rsidRPr="00872B94" w:rsidRDefault="003F056E">
            <w:pPr>
              <w:adjustRightInd w:val="0"/>
              <w:snapToGrid w:val="0"/>
              <w:jc w:val="center"/>
              <w:rPr>
                <w:rFonts w:eastAsia="Times New Roman"/>
              </w:rPr>
            </w:pPr>
            <w:r w:rsidRPr="00872B94">
              <w:rPr>
                <w:rFonts w:eastAsia="Times New Roman"/>
              </w:rPr>
              <w:t>1.0</w:t>
            </w:r>
          </w:p>
        </w:tc>
      </w:tr>
      <w:tr w:rsidR="003F056E" w:rsidRPr="00872B94" w14:paraId="661633E1" w14:textId="77777777" w:rsidTr="004D7875">
        <w:trPr>
          <w:trHeight w:val="421"/>
        </w:trPr>
        <w:tc>
          <w:tcPr>
            <w:tcW w:w="229" w:type="pct"/>
            <w:vAlign w:val="center"/>
          </w:tcPr>
          <w:p w14:paraId="54AFC91D" w14:textId="77777777" w:rsidR="003F056E" w:rsidRPr="00872B94" w:rsidRDefault="003F056E" w:rsidP="00872B94">
            <w:pPr>
              <w:adjustRightInd w:val="0"/>
              <w:snapToGrid w:val="0"/>
              <w:jc w:val="center"/>
              <w:rPr>
                <w:rFonts w:eastAsia="Times New Roman"/>
              </w:rPr>
            </w:pPr>
            <w:r w:rsidRPr="00872B94">
              <w:rPr>
                <w:rFonts w:eastAsia="Times New Roman"/>
              </w:rPr>
              <w:t>2</w:t>
            </w:r>
          </w:p>
        </w:tc>
        <w:tc>
          <w:tcPr>
            <w:tcW w:w="361" w:type="pct"/>
            <w:vMerge/>
            <w:vAlign w:val="center"/>
          </w:tcPr>
          <w:p w14:paraId="76C342B9" w14:textId="77777777" w:rsidR="003F056E" w:rsidRPr="00872B94" w:rsidRDefault="003F056E" w:rsidP="00872B94">
            <w:pPr>
              <w:adjustRightInd w:val="0"/>
              <w:snapToGrid w:val="0"/>
              <w:jc w:val="center"/>
            </w:pPr>
          </w:p>
        </w:tc>
        <w:tc>
          <w:tcPr>
            <w:tcW w:w="298" w:type="pct"/>
            <w:vAlign w:val="center"/>
          </w:tcPr>
          <w:p w14:paraId="3BE3ABFE" w14:textId="77777777" w:rsidR="003F056E" w:rsidRPr="00872B94" w:rsidRDefault="003F056E" w:rsidP="00872B94">
            <w:pPr>
              <w:pStyle w:val="TableText"/>
              <w:adjustRightInd w:val="0"/>
              <w:snapToGrid w:val="0"/>
              <w:jc w:val="center"/>
              <w:rPr>
                <w:rFonts w:ascii="Times New Roman" w:hAnsi="Times New Roman" w:cs="Times New Roman"/>
              </w:rPr>
            </w:pPr>
            <w:r w:rsidRPr="00872B94">
              <w:rPr>
                <w:rFonts w:ascii="Times New Roman" w:hAnsi="Times New Roman" w:cs="Times New Roman"/>
              </w:rPr>
              <w:t>摊铺</w:t>
            </w:r>
          </w:p>
        </w:tc>
        <w:tc>
          <w:tcPr>
            <w:tcW w:w="311" w:type="pct"/>
            <w:vMerge/>
            <w:vAlign w:val="center"/>
          </w:tcPr>
          <w:p w14:paraId="284A019F" w14:textId="23FFC42A" w:rsidR="003F056E" w:rsidRPr="00872B94" w:rsidRDefault="003F056E" w:rsidP="00872B94">
            <w:pPr>
              <w:adjustRightInd w:val="0"/>
              <w:snapToGrid w:val="0"/>
              <w:jc w:val="center"/>
              <w:rPr>
                <w:rFonts w:eastAsia="Times New Roman"/>
              </w:rPr>
            </w:pPr>
          </w:p>
        </w:tc>
        <w:tc>
          <w:tcPr>
            <w:tcW w:w="495" w:type="pct"/>
            <w:vAlign w:val="center"/>
          </w:tcPr>
          <w:p w14:paraId="3A2CFC24" w14:textId="19AC45A2" w:rsidR="003F056E" w:rsidRPr="00872B94" w:rsidRDefault="003F056E" w:rsidP="00872B94">
            <w:pPr>
              <w:adjustRightInd w:val="0"/>
              <w:snapToGrid w:val="0"/>
              <w:jc w:val="center"/>
              <w:rPr>
                <w:rFonts w:eastAsiaTheme="minorEastAsia"/>
              </w:rPr>
            </w:pPr>
            <w:r w:rsidRPr="00872B94">
              <w:rPr>
                <w:rFonts w:eastAsia="Times New Roman"/>
              </w:rPr>
              <w:t>0.00</w:t>
            </w:r>
            <w:r w:rsidRPr="00872B94">
              <w:rPr>
                <w:rFonts w:eastAsiaTheme="minorEastAsia" w:hint="eastAsia"/>
              </w:rPr>
              <w:t>21</w:t>
            </w:r>
          </w:p>
        </w:tc>
        <w:tc>
          <w:tcPr>
            <w:tcW w:w="497" w:type="pct"/>
            <w:vAlign w:val="center"/>
          </w:tcPr>
          <w:p w14:paraId="6AD1C093" w14:textId="0ECE7C9C" w:rsidR="003F056E" w:rsidRPr="004D7875" w:rsidRDefault="003F056E" w:rsidP="00872B94">
            <w:pPr>
              <w:adjustRightInd w:val="0"/>
              <w:snapToGrid w:val="0"/>
              <w:jc w:val="center"/>
              <w:rPr>
                <w:rFonts w:eastAsiaTheme="minorEastAsia"/>
              </w:rPr>
            </w:pPr>
            <w:r>
              <w:rPr>
                <w:rFonts w:eastAsiaTheme="minorEastAsia" w:hint="eastAsia"/>
              </w:rPr>
              <w:t>0.0109</w:t>
            </w:r>
          </w:p>
        </w:tc>
        <w:tc>
          <w:tcPr>
            <w:tcW w:w="497" w:type="pct"/>
            <w:vAlign w:val="center"/>
          </w:tcPr>
          <w:p w14:paraId="0BD5BCE5" w14:textId="24BC9E44" w:rsidR="003F056E" w:rsidRPr="004D7875" w:rsidRDefault="003F056E" w:rsidP="00872B94">
            <w:pPr>
              <w:adjustRightInd w:val="0"/>
              <w:snapToGrid w:val="0"/>
              <w:jc w:val="center"/>
              <w:rPr>
                <w:rFonts w:eastAsiaTheme="minorEastAsia"/>
              </w:rPr>
            </w:pPr>
            <w:r>
              <w:rPr>
                <w:rFonts w:eastAsiaTheme="minorEastAsia" w:hint="eastAsia"/>
              </w:rPr>
              <w:t>0.0021</w:t>
            </w:r>
          </w:p>
        </w:tc>
        <w:tc>
          <w:tcPr>
            <w:tcW w:w="484" w:type="pct"/>
            <w:vAlign w:val="center"/>
          </w:tcPr>
          <w:p w14:paraId="21BC497A" w14:textId="2A6B547F" w:rsidR="003F056E" w:rsidRPr="004D7875" w:rsidRDefault="003F056E" w:rsidP="00872B94">
            <w:pPr>
              <w:adjustRightInd w:val="0"/>
              <w:snapToGrid w:val="0"/>
              <w:jc w:val="center"/>
              <w:rPr>
                <w:rFonts w:eastAsiaTheme="minorEastAsia"/>
              </w:rPr>
            </w:pPr>
            <w:r>
              <w:rPr>
                <w:rFonts w:eastAsiaTheme="minorEastAsia" w:hint="eastAsia"/>
              </w:rPr>
              <w:t>0.0109</w:t>
            </w:r>
          </w:p>
        </w:tc>
        <w:tc>
          <w:tcPr>
            <w:tcW w:w="666" w:type="pct"/>
            <w:vMerge/>
            <w:vAlign w:val="center"/>
          </w:tcPr>
          <w:p w14:paraId="4F5B8E35" w14:textId="77777777" w:rsidR="003F056E" w:rsidRPr="00872B94" w:rsidRDefault="003F056E" w:rsidP="00872B94">
            <w:pPr>
              <w:adjustRightInd w:val="0"/>
              <w:snapToGrid w:val="0"/>
              <w:jc w:val="center"/>
            </w:pPr>
          </w:p>
        </w:tc>
        <w:tc>
          <w:tcPr>
            <w:tcW w:w="479" w:type="pct"/>
            <w:vMerge/>
            <w:vAlign w:val="center"/>
          </w:tcPr>
          <w:p w14:paraId="066B6CA3" w14:textId="77777777" w:rsidR="003F056E" w:rsidRPr="00872B94" w:rsidRDefault="003F056E" w:rsidP="00872B94">
            <w:pPr>
              <w:adjustRightInd w:val="0"/>
              <w:snapToGrid w:val="0"/>
              <w:jc w:val="center"/>
            </w:pPr>
          </w:p>
        </w:tc>
        <w:tc>
          <w:tcPr>
            <w:tcW w:w="683" w:type="pct"/>
            <w:vMerge/>
            <w:vAlign w:val="center"/>
          </w:tcPr>
          <w:p w14:paraId="62335379" w14:textId="7D0C814A" w:rsidR="003F056E" w:rsidRPr="00872B94" w:rsidRDefault="003F056E" w:rsidP="00872B94">
            <w:pPr>
              <w:adjustRightInd w:val="0"/>
              <w:snapToGrid w:val="0"/>
              <w:jc w:val="center"/>
              <w:rPr>
                <w:rFonts w:eastAsia="Times New Roman"/>
              </w:rPr>
            </w:pPr>
          </w:p>
        </w:tc>
      </w:tr>
    </w:tbl>
    <w:p w14:paraId="4DE6B7E4" w14:textId="24A0B577" w:rsidR="00606029" w:rsidRDefault="00606029">
      <w:pPr>
        <w:pStyle w:val="4"/>
        <w:spacing w:beforeLines="50" w:before="120"/>
      </w:pPr>
      <w:hyperlink r:id="rId62" w:history="1">
        <w:r>
          <w:t>2.3.2.3</w:t>
        </w:r>
      </w:hyperlink>
      <w:r w:rsidR="00EA5B92">
        <w:t>运营期噪声污染源</w:t>
      </w:r>
    </w:p>
    <w:p w14:paraId="27297B53" w14:textId="77777777" w:rsidR="00606029" w:rsidRDefault="00EA5B92">
      <w:pPr>
        <w:pStyle w:val="affffff4"/>
      </w:pPr>
      <w:r>
        <w:t>本项目噪声源主要来自运输车辆等，噪声值约在</w:t>
      </w:r>
      <w:r>
        <w:t>85</w:t>
      </w:r>
      <w:r>
        <w:t>～</w:t>
      </w:r>
      <w:r>
        <w:t>90dB</w:t>
      </w:r>
      <w:r>
        <w:t>（</w:t>
      </w:r>
      <w:r>
        <w:t>A</w:t>
      </w:r>
      <w:r>
        <w:t>）之间。据类比调查，本项目设备机械噪声强度见下表。</w:t>
      </w:r>
    </w:p>
    <w:p w14:paraId="7D6CDC4A" w14:textId="2F0C6752" w:rsidR="00606029" w:rsidRDefault="00EA5B92">
      <w:pPr>
        <w:pStyle w:val="affffff5"/>
      </w:pPr>
      <w:r>
        <w:t>表</w:t>
      </w:r>
      <w:r>
        <w:t>2.3-</w:t>
      </w:r>
      <w:r w:rsidR="00472CC5">
        <w:rPr>
          <w:rFonts w:hint="eastAsia"/>
        </w:rPr>
        <w:t xml:space="preserve">6 </w:t>
      </w:r>
      <w:r>
        <w:t>本项目设备噪声源强</w:t>
      </w:r>
    </w:p>
    <w:tbl>
      <w:tblPr>
        <w:tblStyle w:val="TableNormal"/>
        <w:tblW w:w="4998" w:type="pct"/>
        <w:tblInd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ook w:val="04A0" w:firstRow="1" w:lastRow="0" w:firstColumn="1" w:lastColumn="0" w:noHBand="0" w:noVBand="1"/>
      </w:tblPr>
      <w:tblGrid>
        <w:gridCol w:w="1605"/>
        <w:gridCol w:w="2907"/>
        <w:gridCol w:w="1395"/>
        <w:gridCol w:w="1325"/>
        <w:gridCol w:w="1598"/>
      </w:tblGrid>
      <w:tr w:rsidR="00606029" w14:paraId="1C511544" w14:textId="77777777" w:rsidTr="00344708">
        <w:trPr>
          <w:trHeight w:val="57"/>
        </w:trPr>
        <w:tc>
          <w:tcPr>
            <w:tcW w:w="909" w:type="pct"/>
            <w:tcBorders>
              <w:top w:val="single" w:sz="4" w:space="0" w:color="auto"/>
              <w:left w:val="single" w:sz="4" w:space="0" w:color="auto"/>
              <w:bottom w:val="single" w:sz="4" w:space="0" w:color="auto"/>
              <w:right w:val="single" w:sz="4" w:space="0" w:color="auto"/>
            </w:tcBorders>
            <w:vAlign w:val="center"/>
          </w:tcPr>
          <w:p w14:paraId="544C0B7A" w14:textId="77777777" w:rsidR="00606029" w:rsidRDefault="00EA5B92">
            <w:pPr>
              <w:adjustRightInd w:val="0"/>
              <w:snapToGrid w:val="0"/>
              <w:jc w:val="center"/>
            </w:pPr>
            <w:r>
              <w:t>污染源编号</w:t>
            </w:r>
          </w:p>
        </w:tc>
        <w:tc>
          <w:tcPr>
            <w:tcW w:w="1646" w:type="pct"/>
            <w:tcBorders>
              <w:top w:val="single" w:sz="4" w:space="0" w:color="auto"/>
              <w:left w:val="single" w:sz="4" w:space="0" w:color="auto"/>
              <w:bottom w:val="single" w:sz="4" w:space="0" w:color="auto"/>
              <w:right w:val="single" w:sz="4" w:space="0" w:color="auto"/>
            </w:tcBorders>
            <w:vAlign w:val="center"/>
          </w:tcPr>
          <w:p w14:paraId="04612642" w14:textId="77777777" w:rsidR="00606029" w:rsidRDefault="00EA5B92">
            <w:pPr>
              <w:adjustRightInd w:val="0"/>
              <w:snapToGrid w:val="0"/>
              <w:jc w:val="center"/>
            </w:pPr>
            <w:r>
              <w:t>噪声源</w:t>
            </w:r>
          </w:p>
        </w:tc>
        <w:tc>
          <w:tcPr>
            <w:tcW w:w="790" w:type="pct"/>
            <w:tcBorders>
              <w:top w:val="single" w:sz="4" w:space="0" w:color="auto"/>
              <w:left w:val="single" w:sz="4" w:space="0" w:color="auto"/>
              <w:bottom w:val="single" w:sz="4" w:space="0" w:color="auto"/>
              <w:right w:val="single" w:sz="4" w:space="0" w:color="auto"/>
            </w:tcBorders>
            <w:vAlign w:val="center"/>
          </w:tcPr>
          <w:p w14:paraId="1E056AC6" w14:textId="77777777" w:rsidR="00606029" w:rsidRDefault="00EA5B92">
            <w:pPr>
              <w:adjustRightInd w:val="0"/>
              <w:snapToGrid w:val="0"/>
              <w:jc w:val="center"/>
            </w:pPr>
            <w:r>
              <w:t>数量（台）</w:t>
            </w:r>
          </w:p>
        </w:tc>
        <w:tc>
          <w:tcPr>
            <w:tcW w:w="750" w:type="pct"/>
            <w:tcBorders>
              <w:top w:val="single" w:sz="4" w:space="0" w:color="auto"/>
              <w:left w:val="single" w:sz="4" w:space="0" w:color="auto"/>
              <w:bottom w:val="single" w:sz="4" w:space="0" w:color="auto"/>
              <w:right w:val="single" w:sz="4" w:space="0" w:color="auto"/>
            </w:tcBorders>
            <w:vAlign w:val="center"/>
          </w:tcPr>
          <w:p w14:paraId="50DDFBA1" w14:textId="77777777" w:rsidR="00606029" w:rsidRDefault="00EA5B92">
            <w:pPr>
              <w:adjustRightInd w:val="0"/>
              <w:snapToGrid w:val="0"/>
              <w:jc w:val="center"/>
            </w:pPr>
            <w:r>
              <w:t>运行特征</w:t>
            </w:r>
          </w:p>
        </w:tc>
        <w:tc>
          <w:tcPr>
            <w:tcW w:w="905" w:type="pct"/>
            <w:tcBorders>
              <w:top w:val="single" w:sz="4" w:space="0" w:color="auto"/>
              <w:left w:val="single" w:sz="4" w:space="0" w:color="auto"/>
              <w:bottom w:val="single" w:sz="4" w:space="0" w:color="auto"/>
              <w:right w:val="single" w:sz="4" w:space="0" w:color="auto"/>
            </w:tcBorders>
            <w:vAlign w:val="center"/>
          </w:tcPr>
          <w:p w14:paraId="6F0B3730" w14:textId="77777777" w:rsidR="00606029" w:rsidRDefault="00EA5B92">
            <w:pPr>
              <w:adjustRightInd w:val="0"/>
              <w:snapToGrid w:val="0"/>
              <w:jc w:val="center"/>
            </w:pPr>
            <w:r>
              <w:t>噪声值</w:t>
            </w:r>
            <w:r>
              <w:t>dB</w:t>
            </w:r>
            <w:r>
              <w:t>（</w:t>
            </w:r>
            <w:r>
              <w:t>A</w:t>
            </w:r>
            <w:r>
              <w:t>）</w:t>
            </w:r>
          </w:p>
        </w:tc>
      </w:tr>
      <w:tr w:rsidR="00606029" w14:paraId="4F2C44FC" w14:textId="77777777" w:rsidTr="00344708">
        <w:trPr>
          <w:trHeight w:val="57"/>
        </w:trPr>
        <w:tc>
          <w:tcPr>
            <w:tcW w:w="909" w:type="pct"/>
            <w:tcBorders>
              <w:top w:val="single" w:sz="4" w:space="0" w:color="auto"/>
              <w:left w:val="single" w:sz="4" w:space="0" w:color="auto"/>
              <w:bottom w:val="single" w:sz="4" w:space="0" w:color="auto"/>
              <w:right w:val="single" w:sz="4" w:space="0" w:color="auto"/>
            </w:tcBorders>
            <w:vAlign w:val="center"/>
          </w:tcPr>
          <w:p w14:paraId="5C9B21BE" w14:textId="5D6631DA" w:rsidR="00606029" w:rsidRDefault="00344708">
            <w:pPr>
              <w:adjustRightInd w:val="0"/>
              <w:snapToGrid w:val="0"/>
              <w:jc w:val="center"/>
            </w:pPr>
            <w:r>
              <w:rPr>
                <w:rFonts w:hint="eastAsia"/>
              </w:rPr>
              <w:t>1</w:t>
            </w:r>
          </w:p>
        </w:tc>
        <w:tc>
          <w:tcPr>
            <w:tcW w:w="1646" w:type="pct"/>
            <w:tcBorders>
              <w:top w:val="single" w:sz="4" w:space="0" w:color="auto"/>
              <w:left w:val="single" w:sz="4" w:space="0" w:color="auto"/>
              <w:bottom w:val="single" w:sz="4" w:space="0" w:color="auto"/>
              <w:right w:val="single" w:sz="4" w:space="0" w:color="auto"/>
            </w:tcBorders>
            <w:vAlign w:val="center"/>
          </w:tcPr>
          <w:p w14:paraId="466A5961" w14:textId="397BBABE" w:rsidR="00606029" w:rsidRDefault="00344708">
            <w:pPr>
              <w:adjustRightInd w:val="0"/>
              <w:snapToGrid w:val="0"/>
              <w:jc w:val="center"/>
            </w:pPr>
            <w:r w:rsidRPr="00344708">
              <w:t>自卸卡车</w:t>
            </w:r>
          </w:p>
        </w:tc>
        <w:tc>
          <w:tcPr>
            <w:tcW w:w="790" w:type="pct"/>
            <w:tcBorders>
              <w:top w:val="single" w:sz="4" w:space="0" w:color="auto"/>
              <w:left w:val="single" w:sz="4" w:space="0" w:color="auto"/>
              <w:bottom w:val="single" w:sz="4" w:space="0" w:color="auto"/>
              <w:right w:val="single" w:sz="4" w:space="0" w:color="auto"/>
            </w:tcBorders>
            <w:vAlign w:val="center"/>
          </w:tcPr>
          <w:p w14:paraId="78F3B288" w14:textId="77777777" w:rsidR="00606029" w:rsidRDefault="00EA5B92">
            <w:pPr>
              <w:adjustRightInd w:val="0"/>
              <w:snapToGrid w:val="0"/>
              <w:jc w:val="center"/>
            </w:pPr>
            <w:r>
              <w:t>1</w:t>
            </w:r>
          </w:p>
        </w:tc>
        <w:tc>
          <w:tcPr>
            <w:tcW w:w="750" w:type="pct"/>
            <w:tcBorders>
              <w:top w:val="single" w:sz="4" w:space="0" w:color="auto"/>
              <w:left w:val="single" w:sz="4" w:space="0" w:color="auto"/>
              <w:bottom w:val="single" w:sz="4" w:space="0" w:color="auto"/>
              <w:right w:val="single" w:sz="4" w:space="0" w:color="auto"/>
            </w:tcBorders>
            <w:vAlign w:val="center"/>
          </w:tcPr>
          <w:p w14:paraId="3814F282" w14:textId="77777777" w:rsidR="00606029" w:rsidRDefault="00EA5B92">
            <w:pPr>
              <w:adjustRightInd w:val="0"/>
              <w:snapToGrid w:val="0"/>
              <w:jc w:val="center"/>
            </w:pPr>
            <w:r>
              <w:t>间歇</w:t>
            </w:r>
          </w:p>
        </w:tc>
        <w:tc>
          <w:tcPr>
            <w:tcW w:w="905" w:type="pct"/>
            <w:tcBorders>
              <w:top w:val="single" w:sz="4" w:space="0" w:color="auto"/>
              <w:left w:val="single" w:sz="4" w:space="0" w:color="auto"/>
              <w:bottom w:val="single" w:sz="4" w:space="0" w:color="auto"/>
              <w:right w:val="single" w:sz="4" w:space="0" w:color="auto"/>
            </w:tcBorders>
            <w:vAlign w:val="center"/>
          </w:tcPr>
          <w:p w14:paraId="16A83CAC" w14:textId="77777777" w:rsidR="00606029" w:rsidRDefault="00EA5B92">
            <w:pPr>
              <w:adjustRightInd w:val="0"/>
              <w:snapToGrid w:val="0"/>
              <w:jc w:val="center"/>
            </w:pPr>
            <w:r>
              <w:t>90</w:t>
            </w:r>
          </w:p>
        </w:tc>
      </w:tr>
      <w:tr w:rsidR="00606029" w14:paraId="00C3BB02" w14:textId="77777777" w:rsidTr="00344708">
        <w:trPr>
          <w:trHeight w:val="57"/>
        </w:trPr>
        <w:tc>
          <w:tcPr>
            <w:tcW w:w="909" w:type="pct"/>
            <w:tcBorders>
              <w:top w:val="single" w:sz="4" w:space="0" w:color="auto"/>
              <w:left w:val="single" w:sz="4" w:space="0" w:color="auto"/>
              <w:bottom w:val="single" w:sz="4" w:space="0" w:color="auto"/>
              <w:right w:val="single" w:sz="4" w:space="0" w:color="auto"/>
            </w:tcBorders>
            <w:vAlign w:val="center"/>
          </w:tcPr>
          <w:p w14:paraId="705F61B8" w14:textId="1274384F" w:rsidR="00606029" w:rsidRDefault="00344708">
            <w:pPr>
              <w:adjustRightInd w:val="0"/>
              <w:snapToGrid w:val="0"/>
              <w:jc w:val="center"/>
            </w:pPr>
            <w:r>
              <w:rPr>
                <w:rFonts w:hint="eastAsia"/>
              </w:rPr>
              <w:t>2</w:t>
            </w:r>
          </w:p>
        </w:tc>
        <w:tc>
          <w:tcPr>
            <w:tcW w:w="1646" w:type="pct"/>
            <w:tcBorders>
              <w:top w:val="single" w:sz="4" w:space="0" w:color="auto"/>
              <w:left w:val="single" w:sz="4" w:space="0" w:color="auto"/>
              <w:bottom w:val="single" w:sz="4" w:space="0" w:color="auto"/>
              <w:right w:val="single" w:sz="4" w:space="0" w:color="auto"/>
            </w:tcBorders>
            <w:vAlign w:val="center"/>
          </w:tcPr>
          <w:p w14:paraId="1634B872" w14:textId="4FFD6E4D" w:rsidR="00606029" w:rsidRDefault="00344708">
            <w:pPr>
              <w:adjustRightInd w:val="0"/>
              <w:snapToGrid w:val="0"/>
              <w:jc w:val="center"/>
            </w:pPr>
            <w:r>
              <w:rPr>
                <w:rFonts w:hint="eastAsia"/>
              </w:rPr>
              <w:t>起重机</w:t>
            </w:r>
          </w:p>
        </w:tc>
        <w:tc>
          <w:tcPr>
            <w:tcW w:w="790" w:type="pct"/>
            <w:tcBorders>
              <w:top w:val="single" w:sz="4" w:space="0" w:color="auto"/>
              <w:left w:val="single" w:sz="4" w:space="0" w:color="auto"/>
              <w:bottom w:val="single" w:sz="4" w:space="0" w:color="auto"/>
              <w:right w:val="single" w:sz="4" w:space="0" w:color="auto"/>
            </w:tcBorders>
            <w:vAlign w:val="center"/>
          </w:tcPr>
          <w:p w14:paraId="7F94B6C4" w14:textId="77777777" w:rsidR="00606029" w:rsidRDefault="00EA5B92">
            <w:pPr>
              <w:adjustRightInd w:val="0"/>
              <w:snapToGrid w:val="0"/>
              <w:jc w:val="center"/>
            </w:pPr>
            <w:r>
              <w:t>1</w:t>
            </w:r>
          </w:p>
        </w:tc>
        <w:tc>
          <w:tcPr>
            <w:tcW w:w="750" w:type="pct"/>
            <w:tcBorders>
              <w:top w:val="single" w:sz="4" w:space="0" w:color="auto"/>
              <w:left w:val="single" w:sz="4" w:space="0" w:color="auto"/>
              <w:bottom w:val="single" w:sz="4" w:space="0" w:color="auto"/>
              <w:right w:val="single" w:sz="4" w:space="0" w:color="auto"/>
            </w:tcBorders>
            <w:vAlign w:val="center"/>
          </w:tcPr>
          <w:p w14:paraId="073476BE" w14:textId="77777777" w:rsidR="00606029" w:rsidRDefault="00EA5B92">
            <w:pPr>
              <w:adjustRightInd w:val="0"/>
              <w:snapToGrid w:val="0"/>
              <w:jc w:val="center"/>
            </w:pPr>
            <w:r>
              <w:t>间歇</w:t>
            </w:r>
          </w:p>
        </w:tc>
        <w:tc>
          <w:tcPr>
            <w:tcW w:w="905" w:type="pct"/>
            <w:tcBorders>
              <w:top w:val="single" w:sz="4" w:space="0" w:color="auto"/>
              <w:left w:val="single" w:sz="4" w:space="0" w:color="auto"/>
              <w:bottom w:val="single" w:sz="4" w:space="0" w:color="auto"/>
              <w:right w:val="single" w:sz="4" w:space="0" w:color="auto"/>
            </w:tcBorders>
            <w:vAlign w:val="center"/>
          </w:tcPr>
          <w:p w14:paraId="02BBFC1E" w14:textId="77777777" w:rsidR="00606029" w:rsidRDefault="00EA5B92">
            <w:pPr>
              <w:adjustRightInd w:val="0"/>
              <w:snapToGrid w:val="0"/>
              <w:jc w:val="center"/>
            </w:pPr>
            <w:r>
              <w:t>85</w:t>
            </w:r>
          </w:p>
        </w:tc>
      </w:tr>
    </w:tbl>
    <w:p w14:paraId="6FE9E05E" w14:textId="1B7723AB" w:rsidR="00606029" w:rsidRDefault="00606029">
      <w:pPr>
        <w:pStyle w:val="4"/>
        <w:spacing w:beforeLines="50" w:before="120"/>
      </w:pPr>
      <w:hyperlink r:id="rId63" w:history="1">
        <w:r>
          <w:t>2.3.2.4</w:t>
        </w:r>
      </w:hyperlink>
      <w:r w:rsidR="00EA5B92">
        <w:t>运营期固体废物</w:t>
      </w:r>
    </w:p>
    <w:p w14:paraId="7A51602A" w14:textId="4B07ECDB" w:rsidR="00606029" w:rsidRDefault="00EA5B92">
      <w:pPr>
        <w:pStyle w:val="affffff4"/>
      </w:pPr>
      <w:r>
        <w:t>本项目运营工艺较为简单，产生的固体废物主要</w:t>
      </w:r>
      <w:r w:rsidR="00FE2EC7">
        <w:rPr>
          <w:rFonts w:hint="eastAsia"/>
        </w:rPr>
        <w:t>为</w:t>
      </w:r>
      <w:r>
        <w:t>废机油、</w:t>
      </w:r>
      <w:r w:rsidR="00FE2EC7">
        <w:t>实验废液</w:t>
      </w:r>
      <w:r>
        <w:t>。</w:t>
      </w:r>
    </w:p>
    <w:p w14:paraId="6D37BD12" w14:textId="391C3095" w:rsidR="00606029" w:rsidRDefault="00EA5B92">
      <w:pPr>
        <w:pStyle w:val="affffff4"/>
      </w:pPr>
      <w:r>
        <w:t>（</w:t>
      </w:r>
      <w:r w:rsidR="006859F1">
        <w:rPr>
          <w:rFonts w:hint="eastAsia"/>
        </w:rPr>
        <w:t>1</w:t>
      </w:r>
      <w:r>
        <w:t>）废机油</w:t>
      </w:r>
    </w:p>
    <w:p w14:paraId="0E5D3D53" w14:textId="76BD9C4E" w:rsidR="00606029" w:rsidRDefault="003F056E">
      <w:pPr>
        <w:pStyle w:val="affffff4"/>
      </w:pPr>
      <w:r>
        <w:rPr>
          <w:rFonts w:hint="eastAsia"/>
        </w:rPr>
        <w:t>本项目机械设备</w:t>
      </w:r>
      <w:r w:rsidR="00EA5B92">
        <w:t>检修等会产生废矿物油约</w:t>
      </w:r>
      <w:r w:rsidR="00344708">
        <w:t>0.1</w:t>
      </w:r>
      <w:r w:rsidR="00EA5B92">
        <w:t>t/a</w:t>
      </w:r>
      <w:r w:rsidR="00EA5B92">
        <w:t>，属危险废物，危险废物代码为</w:t>
      </w:r>
      <w:r w:rsidR="00EA5B92">
        <w:t>HW08</w:t>
      </w:r>
      <w:r w:rsidR="00EA5B92">
        <w:t>（</w:t>
      </w:r>
      <w:r w:rsidR="00EA5B92">
        <w:t>900-214-08</w:t>
      </w:r>
      <w:r w:rsidR="00EA5B92">
        <w:t>），</w:t>
      </w:r>
      <w:r w:rsidR="00344708">
        <w:t>集中收集后采用专用容器暂存于现有危废贮存库</w:t>
      </w:r>
      <w:r w:rsidR="00EA5B92">
        <w:t>，定期委托有资质的单位收集处置。</w:t>
      </w:r>
    </w:p>
    <w:p w14:paraId="2A064E47" w14:textId="2E04466B" w:rsidR="00606029" w:rsidRDefault="00EA5B92">
      <w:pPr>
        <w:pStyle w:val="affffff4"/>
      </w:pPr>
      <w:r>
        <w:t>（</w:t>
      </w:r>
      <w:r w:rsidR="006859F1">
        <w:rPr>
          <w:rFonts w:hint="eastAsia"/>
        </w:rPr>
        <w:t>2</w:t>
      </w:r>
      <w:r>
        <w:t>）</w:t>
      </w:r>
      <w:r w:rsidR="00FE2EC7">
        <w:rPr>
          <w:rFonts w:hint="eastAsia"/>
        </w:rPr>
        <w:t>实验废液</w:t>
      </w:r>
    </w:p>
    <w:p w14:paraId="4EF5CB50" w14:textId="6B0997BD" w:rsidR="00606029" w:rsidRDefault="00EA5B92">
      <w:pPr>
        <w:pStyle w:val="affffff4"/>
      </w:pPr>
      <w:r>
        <w:t>本项目</w:t>
      </w:r>
      <w:r w:rsidR="006859F1">
        <w:rPr>
          <w:rFonts w:hint="eastAsia"/>
        </w:rPr>
        <w:t>飞灰检测会产生</w:t>
      </w:r>
      <w:r w:rsidR="00FE2EC7">
        <w:rPr>
          <w:rFonts w:hint="eastAsia"/>
        </w:rPr>
        <w:t>实验废液</w:t>
      </w:r>
      <w:r w:rsidR="006859F1">
        <w:rPr>
          <w:rFonts w:hint="eastAsia"/>
        </w:rPr>
        <w:t>，</w:t>
      </w:r>
      <w:r>
        <w:t>产生量约</w:t>
      </w:r>
      <w:r w:rsidR="00344708">
        <w:t>1</w:t>
      </w:r>
      <w:r>
        <w:t>t/a</w:t>
      </w:r>
      <w:r>
        <w:t>，主要为酸碱废液，危险废物代码为</w:t>
      </w:r>
      <w:r>
        <w:t>HW49</w:t>
      </w:r>
      <w:r>
        <w:t>（</w:t>
      </w:r>
      <w:r>
        <w:t>900-047-49</w:t>
      </w:r>
      <w:r>
        <w:t>），</w:t>
      </w:r>
      <w:r w:rsidR="00344708">
        <w:t>集中收集后采用专用容器暂存于现有危废贮存库</w:t>
      </w:r>
      <w:r>
        <w:t>，定期委托有资质的单位收集处置。</w:t>
      </w:r>
    </w:p>
    <w:p w14:paraId="06C02743" w14:textId="5A7637FF" w:rsidR="00606029" w:rsidRDefault="00EA5B92">
      <w:pPr>
        <w:pStyle w:val="affffff4"/>
      </w:pPr>
      <w:r w:rsidRPr="00872B94">
        <w:t>本项目</w:t>
      </w:r>
      <w:r w:rsidR="006859F1" w:rsidRPr="00872B94">
        <w:rPr>
          <w:rFonts w:hint="eastAsia"/>
        </w:rPr>
        <w:t>依托场内</w:t>
      </w:r>
      <w:r w:rsidR="00344708">
        <w:rPr>
          <w:rFonts w:hint="eastAsia"/>
        </w:rPr>
        <w:t>现有</w:t>
      </w:r>
      <w:r w:rsidR="00701A39" w:rsidRPr="00872B94">
        <w:t>危废贮存库</w:t>
      </w:r>
      <w:r w:rsidRPr="00872B94">
        <w:t>（</w:t>
      </w:r>
      <w:r w:rsidR="00872B94" w:rsidRPr="00872B94">
        <w:rPr>
          <w:rFonts w:hint="eastAsia"/>
        </w:rPr>
        <w:t>5</w:t>
      </w:r>
      <w:r w:rsidRPr="00872B94">
        <w:t>0m</w:t>
      </w:r>
      <w:r w:rsidRPr="00872B94">
        <w:rPr>
          <w:vertAlign w:val="superscript"/>
        </w:rPr>
        <w:t>2</w:t>
      </w:r>
      <w:r w:rsidRPr="00872B94">
        <w:t>），符合《危险废物贮存污染控制标准》（</w:t>
      </w:r>
      <w:r w:rsidRPr="00872B94">
        <w:t>GB18597-2023</w:t>
      </w:r>
      <w:r w:rsidRPr="00872B94">
        <w:t>）管控要求。</w:t>
      </w:r>
    </w:p>
    <w:p w14:paraId="14AEE200" w14:textId="77777777" w:rsidR="00606029" w:rsidRDefault="00EA5B92">
      <w:pPr>
        <w:pStyle w:val="affffff4"/>
      </w:pPr>
      <w:r>
        <w:lastRenderedPageBreak/>
        <w:t>危险废物产生处置汇总见下表。</w:t>
      </w:r>
    </w:p>
    <w:p w14:paraId="1420D75F" w14:textId="5519ED48" w:rsidR="00606029" w:rsidRDefault="00EA5B92">
      <w:pPr>
        <w:snapToGrid w:val="0"/>
        <w:ind w:firstLineChars="200" w:firstLine="422"/>
        <w:jc w:val="center"/>
        <w:rPr>
          <w:b/>
          <w:bCs/>
          <w:color w:val="000000"/>
          <w:szCs w:val="20"/>
        </w:rPr>
      </w:pPr>
      <w:r>
        <w:rPr>
          <w:b/>
          <w:bCs/>
          <w:color w:val="000000"/>
          <w:szCs w:val="20"/>
        </w:rPr>
        <w:t>表</w:t>
      </w:r>
      <w:r>
        <w:rPr>
          <w:b/>
          <w:bCs/>
          <w:color w:val="000000"/>
          <w:szCs w:val="20"/>
        </w:rPr>
        <w:t>2.3-</w:t>
      </w:r>
      <w:r w:rsidR="00472CC5">
        <w:rPr>
          <w:rFonts w:hint="eastAsia"/>
          <w:b/>
          <w:bCs/>
          <w:color w:val="000000"/>
          <w:szCs w:val="20"/>
        </w:rPr>
        <w:t xml:space="preserve">7 </w:t>
      </w:r>
      <w:r>
        <w:rPr>
          <w:b/>
          <w:bCs/>
          <w:color w:val="000000"/>
          <w:szCs w:val="20"/>
        </w:rPr>
        <w:t>危险废物产生处置情况汇总表</w:t>
      </w:r>
    </w:p>
    <w:tbl>
      <w:tblPr>
        <w:tblStyle w:val="aff4"/>
        <w:tblW w:w="5000" w:type="pct"/>
        <w:tblLook w:val="04A0" w:firstRow="1" w:lastRow="0" w:firstColumn="1" w:lastColumn="0" w:noHBand="0" w:noVBand="1"/>
      </w:tblPr>
      <w:tblGrid>
        <w:gridCol w:w="467"/>
        <w:gridCol w:w="743"/>
        <w:gridCol w:w="956"/>
        <w:gridCol w:w="1210"/>
        <w:gridCol w:w="890"/>
        <w:gridCol w:w="811"/>
        <w:gridCol w:w="602"/>
        <w:gridCol w:w="800"/>
        <w:gridCol w:w="604"/>
        <w:gridCol w:w="875"/>
        <w:gridCol w:w="876"/>
      </w:tblGrid>
      <w:tr w:rsidR="00606029" w14:paraId="25636482" w14:textId="77777777" w:rsidTr="005F55F0">
        <w:trPr>
          <w:trHeight w:val="363"/>
        </w:trPr>
        <w:tc>
          <w:tcPr>
            <w:tcW w:w="264" w:type="pct"/>
            <w:vAlign w:val="center"/>
          </w:tcPr>
          <w:p w14:paraId="4AF301EC" w14:textId="77777777" w:rsidR="00606029" w:rsidRDefault="00EA5B92">
            <w:pPr>
              <w:snapToGrid w:val="0"/>
              <w:jc w:val="center"/>
              <w:rPr>
                <w:b/>
                <w:bCs/>
                <w:color w:val="000000"/>
                <w:szCs w:val="20"/>
              </w:rPr>
            </w:pPr>
            <w:r>
              <w:rPr>
                <w:b/>
                <w:bCs/>
                <w:color w:val="000000"/>
                <w:szCs w:val="20"/>
              </w:rPr>
              <w:t>序号</w:t>
            </w:r>
          </w:p>
        </w:tc>
        <w:tc>
          <w:tcPr>
            <w:tcW w:w="420" w:type="pct"/>
            <w:vAlign w:val="center"/>
          </w:tcPr>
          <w:p w14:paraId="679D8D3A" w14:textId="77777777" w:rsidR="00606029" w:rsidRDefault="00EA5B92">
            <w:pPr>
              <w:snapToGrid w:val="0"/>
              <w:jc w:val="center"/>
              <w:rPr>
                <w:b/>
                <w:bCs/>
                <w:color w:val="000000"/>
                <w:szCs w:val="20"/>
              </w:rPr>
            </w:pPr>
            <w:r>
              <w:rPr>
                <w:b/>
                <w:bCs/>
                <w:color w:val="000000"/>
                <w:szCs w:val="20"/>
              </w:rPr>
              <w:t>危险废物名称</w:t>
            </w:r>
          </w:p>
        </w:tc>
        <w:tc>
          <w:tcPr>
            <w:tcW w:w="541" w:type="pct"/>
            <w:vAlign w:val="center"/>
          </w:tcPr>
          <w:p w14:paraId="223FE9C0" w14:textId="77777777" w:rsidR="00606029" w:rsidRDefault="00EA5B92">
            <w:pPr>
              <w:snapToGrid w:val="0"/>
              <w:jc w:val="center"/>
              <w:rPr>
                <w:b/>
                <w:bCs/>
                <w:color w:val="000000"/>
                <w:szCs w:val="20"/>
              </w:rPr>
            </w:pPr>
            <w:r>
              <w:rPr>
                <w:b/>
                <w:bCs/>
                <w:color w:val="000000"/>
                <w:szCs w:val="20"/>
              </w:rPr>
              <w:t>危险废物类别</w:t>
            </w:r>
          </w:p>
        </w:tc>
        <w:tc>
          <w:tcPr>
            <w:tcW w:w="685" w:type="pct"/>
            <w:vAlign w:val="center"/>
          </w:tcPr>
          <w:p w14:paraId="08F73203" w14:textId="77777777" w:rsidR="00606029" w:rsidRDefault="00EA5B92">
            <w:pPr>
              <w:snapToGrid w:val="0"/>
              <w:jc w:val="center"/>
              <w:rPr>
                <w:b/>
                <w:bCs/>
                <w:color w:val="000000"/>
                <w:szCs w:val="20"/>
              </w:rPr>
            </w:pPr>
            <w:r>
              <w:rPr>
                <w:b/>
                <w:bCs/>
                <w:color w:val="000000"/>
                <w:szCs w:val="20"/>
              </w:rPr>
              <w:t>危险废物代码</w:t>
            </w:r>
          </w:p>
        </w:tc>
        <w:tc>
          <w:tcPr>
            <w:tcW w:w="504" w:type="pct"/>
            <w:vAlign w:val="center"/>
          </w:tcPr>
          <w:p w14:paraId="0E46469A" w14:textId="77777777" w:rsidR="00606029" w:rsidRDefault="00EA5B92">
            <w:pPr>
              <w:snapToGrid w:val="0"/>
              <w:jc w:val="center"/>
              <w:rPr>
                <w:b/>
                <w:bCs/>
                <w:color w:val="000000"/>
                <w:szCs w:val="20"/>
              </w:rPr>
            </w:pPr>
            <w:r>
              <w:rPr>
                <w:b/>
                <w:bCs/>
                <w:color w:val="000000"/>
                <w:szCs w:val="20"/>
              </w:rPr>
              <w:t>产生量</w:t>
            </w:r>
          </w:p>
          <w:p w14:paraId="390F4D8C" w14:textId="4103BF4F" w:rsidR="00606029" w:rsidRDefault="00EA5B92">
            <w:pPr>
              <w:snapToGrid w:val="0"/>
              <w:jc w:val="center"/>
              <w:rPr>
                <w:b/>
                <w:bCs/>
                <w:color w:val="000000"/>
                <w:szCs w:val="20"/>
              </w:rPr>
            </w:pPr>
            <w:r>
              <w:rPr>
                <w:b/>
                <w:bCs/>
                <w:color w:val="000000"/>
                <w:szCs w:val="20"/>
              </w:rPr>
              <w:t>（</w:t>
            </w:r>
            <w:r w:rsidR="006859F1">
              <w:rPr>
                <w:rFonts w:hint="eastAsia"/>
                <w:b/>
                <w:bCs/>
                <w:color w:val="000000"/>
                <w:szCs w:val="20"/>
              </w:rPr>
              <w:t>t/a</w:t>
            </w:r>
            <w:r>
              <w:rPr>
                <w:b/>
                <w:bCs/>
                <w:color w:val="000000"/>
                <w:szCs w:val="20"/>
              </w:rPr>
              <w:t>）</w:t>
            </w:r>
          </w:p>
        </w:tc>
        <w:tc>
          <w:tcPr>
            <w:tcW w:w="459" w:type="pct"/>
            <w:vAlign w:val="center"/>
          </w:tcPr>
          <w:p w14:paraId="1B1ED844" w14:textId="77777777" w:rsidR="00606029" w:rsidRDefault="00EA5B92">
            <w:pPr>
              <w:snapToGrid w:val="0"/>
              <w:jc w:val="center"/>
              <w:rPr>
                <w:b/>
                <w:bCs/>
                <w:color w:val="000000"/>
                <w:szCs w:val="20"/>
              </w:rPr>
            </w:pPr>
            <w:r>
              <w:rPr>
                <w:b/>
                <w:bCs/>
                <w:color w:val="000000"/>
                <w:szCs w:val="20"/>
              </w:rPr>
              <w:t>产生工序及装置</w:t>
            </w:r>
          </w:p>
        </w:tc>
        <w:tc>
          <w:tcPr>
            <w:tcW w:w="341" w:type="pct"/>
            <w:vAlign w:val="center"/>
          </w:tcPr>
          <w:p w14:paraId="095B6B78" w14:textId="77777777" w:rsidR="00606029" w:rsidRDefault="00EA5B92">
            <w:pPr>
              <w:snapToGrid w:val="0"/>
              <w:jc w:val="center"/>
              <w:rPr>
                <w:b/>
                <w:bCs/>
                <w:color w:val="000000"/>
                <w:szCs w:val="20"/>
              </w:rPr>
            </w:pPr>
            <w:r>
              <w:rPr>
                <w:b/>
                <w:bCs/>
                <w:color w:val="000000"/>
                <w:szCs w:val="20"/>
              </w:rPr>
              <w:t>形态</w:t>
            </w:r>
          </w:p>
        </w:tc>
        <w:tc>
          <w:tcPr>
            <w:tcW w:w="453" w:type="pct"/>
            <w:vAlign w:val="center"/>
          </w:tcPr>
          <w:p w14:paraId="13368801" w14:textId="77777777" w:rsidR="00606029" w:rsidRDefault="00EA5B92">
            <w:pPr>
              <w:snapToGrid w:val="0"/>
              <w:jc w:val="center"/>
              <w:rPr>
                <w:b/>
                <w:bCs/>
                <w:color w:val="000000"/>
                <w:szCs w:val="20"/>
              </w:rPr>
            </w:pPr>
            <w:r>
              <w:rPr>
                <w:b/>
                <w:bCs/>
                <w:color w:val="000000"/>
                <w:szCs w:val="20"/>
              </w:rPr>
              <w:t>主要成分</w:t>
            </w:r>
          </w:p>
        </w:tc>
        <w:tc>
          <w:tcPr>
            <w:tcW w:w="342" w:type="pct"/>
            <w:vAlign w:val="center"/>
          </w:tcPr>
          <w:p w14:paraId="2E0C44B0" w14:textId="77777777" w:rsidR="00606029" w:rsidRDefault="00EA5B92">
            <w:pPr>
              <w:snapToGrid w:val="0"/>
              <w:jc w:val="center"/>
              <w:rPr>
                <w:b/>
                <w:bCs/>
                <w:color w:val="000000"/>
                <w:szCs w:val="20"/>
              </w:rPr>
            </w:pPr>
            <w:r>
              <w:rPr>
                <w:b/>
                <w:bCs/>
                <w:color w:val="000000"/>
                <w:szCs w:val="20"/>
              </w:rPr>
              <w:t>产废周期</w:t>
            </w:r>
          </w:p>
        </w:tc>
        <w:tc>
          <w:tcPr>
            <w:tcW w:w="495" w:type="pct"/>
            <w:vAlign w:val="center"/>
          </w:tcPr>
          <w:p w14:paraId="27B3E1DD" w14:textId="77777777" w:rsidR="00606029" w:rsidRDefault="00EA5B92">
            <w:pPr>
              <w:snapToGrid w:val="0"/>
              <w:jc w:val="center"/>
              <w:rPr>
                <w:b/>
                <w:bCs/>
                <w:color w:val="000000"/>
                <w:szCs w:val="20"/>
              </w:rPr>
            </w:pPr>
            <w:r>
              <w:rPr>
                <w:b/>
                <w:bCs/>
                <w:color w:val="000000"/>
                <w:szCs w:val="20"/>
              </w:rPr>
              <w:t>危险特性</w:t>
            </w:r>
          </w:p>
        </w:tc>
        <w:tc>
          <w:tcPr>
            <w:tcW w:w="497" w:type="pct"/>
            <w:vAlign w:val="center"/>
          </w:tcPr>
          <w:p w14:paraId="3AECB187" w14:textId="77777777" w:rsidR="00606029" w:rsidRDefault="00EA5B92">
            <w:pPr>
              <w:snapToGrid w:val="0"/>
              <w:jc w:val="center"/>
              <w:rPr>
                <w:b/>
                <w:bCs/>
                <w:color w:val="000000"/>
                <w:szCs w:val="20"/>
              </w:rPr>
            </w:pPr>
            <w:r>
              <w:rPr>
                <w:b/>
                <w:bCs/>
                <w:color w:val="000000"/>
                <w:szCs w:val="20"/>
              </w:rPr>
              <w:t>污染防治措施</w:t>
            </w:r>
          </w:p>
        </w:tc>
      </w:tr>
      <w:tr w:rsidR="00606029" w14:paraId="19282EB1" w14:textId="77777777" w:rsidTr="005F55F0">
        <w:trPr>
          <w:trHeight w:val="363"/>
        </w:trPr>
        <w:tc>
          <w:tcPr>
            <w:tcW w:w="264" w:type="pct"/>
            <w:vAlign w:val="center"/>
          </w:tcPr>
          <w:p w14:paraId="7113883F" w14:textId="77777777" w:rsidR="00606029" w:rsidRDefault="00EA5B92">
            <w:pPr>
              <w:jc w:val="center"/>
              <w:rPr>
                <w:color w:val="000000"/>
                <w:szCs w:val="20"/>
              </w:rPr>
            </w:pPr>
            <w:r>
              <w:rPr>
                <w:color w:val="000000"/>
                <w:szCs w:val="20"/>
              </w:rPr>
              <w:t>1</w:t>
            </w:r>
          </w:p>
        </w:tc>
        <w:tc>
          <w:tcPr>
            <w:tcW w:w="420" w:type="pct"/>
            <w:vAlign w:val="center"/>
          </w:tcPr>
          <w:p w14:paraId="155EBB7F" w14:textId="77777777" w:rsidR="00606029" w:rsidRDefault="00EA5B92">
            <w:pPr>
              <w:jc w:val="center"/>
              <w:rPr>
                <w:color w:val="000000"/>
                <w:szCs w:val="20"/>
              </w:rPr>
            </w:pPr>
            <w:r>
              <w:rPr>
                <w:color w:val="000000"/>
                <w:szCs w:val="20"/>
              </w:rPr>
              <w:t>废机油</w:t>
            </w:r>
          </w:p>
        </w:tc>
        <w:tc>
          <w:tcPr>
            <w:tcW w:w="541" w:type="pct"/>
            <w:vAlign w:val="center"/>
          </w:tcPr>
          <w:p w14:paraId="6E4BAC1C" w14:textId="77777777" w:rsidR="00606029" w:rsidRDefault="00EA5B92">
            <w:pPr>
              <w:jc w:val="center"/>
              <w:rPr>
                <w:color w:val="000000"/>
                <w:szCs w:val="20"/>
              </w:rPr>
            </w:pPr>
            <w:r>
              <w:rPr>
                <w:color w:val="000000"/>
                <w:szCs w:val="20"/>
              </w:rPr>
              <w:t>HW08</w:t>
            </w:r>
          </w:p>
        </w:tc>
        <w:tc>
          <w:tcPr>
            <w:tcW w:w="685" w:type="pct"/>
            <w:vAlign w:val="center"/>
          </w:tcPr>
          <w:p w14:paraId="6816981E" w14:textId="77777777" w:rsidR="00606029" w:rsidRDefault="00EA5B92">
            <w:pPr>
              <w:jc w:val="center"/>
              <w:rPr>
                <w:color w:val="000000"/>
                <w:szCs w:val="20"/>
              </w:rPr>
            </w:pPr>
            <w:r>
              <w:rPr>
                <w:color w:val="000000"/>
                <w:szCs w:val="20"/>
              </w:rPr>
              <w:t>900-249-08</w:t>
            </w:r>
          </w:p>
        </w:tc>
        <w:tc>
          <w:tcPr>
            <w:tcW w:w="504" w:type="pct"/>
            <w:vAlign w:val="center"/>
          </w:tcPr>
          <w:p w14:paraId="45D6B11B" w14:textId="4B6ED71C" w:rsidR="00606029" w:rsidRDefault="00344708">
            <w:pPr>
              <w:jc w:val="center"/>
              <w:rPr>
                <w:color w:val="000000"/>
                <w:szCs w:val="20"/>
              </w:rPr>
            </w:pPr>
            <w:r>
              <w:rPr>
                <w:color w:val="000000"/>
                <w:szCs w:val="20"/>
              </w:rPr>
              <w:t>0.1</w:t>
            </w:r>
          </w:p>
        </w:tc>
        <w:tc>
          <w:tcPr>
            <w:tcW w:w="459" w:type="pct"/>
            <w:vAlign w:val="center"/>
          </w:tcPr>
          <w:p w14:paraId="58553C76" w14:textId="77777777" w:rsidR="00606029" w:rsidRDefault="00EA5B92">
            <w:pPr>
              <w:jc w:val="center"/>
              <w:rPr>
                <w:color w:val="000000"/>
                <w:szCs w:val="20"/>
              </w:rPr>
            </w:pPr>
            <w:r>
              <w:rPr>
                <w:color w:val="000000"/>
                <w:szCs w:val="20"/>
              </w:rPr>
              <w:t>检修</w:t>
            </w:r>
          </w:p>
        </w:tc>
        <w:tc>
          <w:tcPr>
            <w:tcW w:w="341" w:type="pct"/>
            <w:vAlign w:val="center"/>
          </w:tcPr>
          <w:p w14:paraId="58FD6B09" w14:textId="77777777" w:rsidR="00606029" w:rsidRDefault="00EA5B92">
            <w:pPr>
              <w:jc w:val="center"/>
              <w:rPr>
                <w:color w:val="000000"/>
                <w:szCs w:val="20"/>
              </w:rPr>
            </w:pPr>
            <w:r>
              <w:rPr>
                <w:color w:val="000000"/>
                <w:szCs w:val="20"/>
              </w:rPr>
              <w:t>桶装液态</w:t>
            </w:r>
          </w:p>
        </w:tc>
        <w:tc>
          <w:tcPr>
            <w:tcW w:w="453" w:type="pct"/>
            <w:vAlign w:val="center"/>
          </w:tcPr>
          <w:p w14:paraId="0D000EE4" w14:textId="77777777" w:rsidR="00606029" w:rsidRDefault="00EA5B92">
            <w:pPr>
              <w:jc w:val="center"/>
              <w:rPr>
                <w:color w:val="000000"/>
                <w:szCs w:val="20"/>
              </w:rPr>
            </w:pPr>
            <w:r>
              <w:rPr>
                <w:color w:val="000000"/>
                <w:szCs w:val="20"/>
              </w:rPr>
              <w:t>油类</w:t>
            </w:r>
          </w:p>
        </w:tc>
        <w:tc>
          <w:tcPr>
            <w:tcW w:w="342" w:type="pct"/>
            <w:vAlign w:val="center"/>
          </w:tcPr>
          <w:p w14:paraId="5647F367" w14:textId="77777777" w:rsidR="00606029" w:rsidRDefault="00EA5B92">
            <w:pPr>
              <w:jc w:val="center"/>
              <w:rPr>
                <w:color w:val="000000"/>
                <w:szCs w:val="20"/>
              </w:rPr>
            </w:pPr>
            <w:r>
              <w:rPr>
                <w:color w:val="000000"/>
                <w:szCs w:val="20"/>
              </w:rPr>
              <w:t>检修时</w:t>
            </w:r>
          </w:p>
        </w:tc>
        <w:tc>
          <w:tcPr>
            <w:tcW w:w="495" w:type="pct"/>
            <w:vAlign w:val="center"/>
          </w:tcPr>
          <w:p w14:paraId="2151A790" w14:textId="77777777" w:rsidR="00606029" w:rsidRDefault="00EA5B92">
            <w:pPr>
              <w:jc w:val="center"/>
              <w:rPr>
                <w:color w:val="000000"/>
                <w:szCs w:val="20"/>
              </w:rPr>
            </w:pPr>
            <w:r>
              <w:rPr>
                <w:color w:val="000000"/>
                <w:szCs w:val="20"/>
              </w:rPr>
              <w:t>T/I</w:t>
            </w:r>
          </w:p>
        </w:tc>
        <w:tc>
          <w:tcPr>
            <w:tcW w:w="497" w:type="pct"/>
            <w:vAlign w:val="center"/>
          </w:tcPr>
          <w:p w14:paraId="5495FD6D" w14:textId="77777777" w:rsidR="00606029" w:rsidRDefault="00EA5B92">
            <w:pPr>
              <w:jc w:val="center"/>
              <w:rPr>
                <w:color w:val="000000"/>
                <w:szCs w:val="20"/>
              </w:rPr>
            </w:pPr>
            <w:r>
              <w:rPr>
                <w:color w:val="000000"/>
                <w:szCs w:val="20"/>
              </w:rPr>
              <w:t>委托处置</w:t>
            </w:r>
          </w:p>
        </w:tc>
      </w:tr>
      <w:tr w:rsidR="00606029" w14:paraId="681816C6" w14:textId="77777777" w:rsidTr="005F55F0">
        <w:trPr>
          <w:trHeight w:val="363"/>
        </w:trPr>
        <w:tc>
          <w:tcPr>
            <w:tcW w:w="264" w:type="pct"/>
            <w:vAlign w:val="center"/>
          </w:tcPr>
          <w:p w14:paraId="35940BF3" w14:textId="77777777" w:rsidR="00606029" w:rsidRDefault="00EA5B92">
            <w:pPr>
              <w:jc w:val="center"/>
              <w:rPr>
                <w:color w:val="000000"/>
                <w:szCs w:val="20"/>
              </w:rPr>
            </w:pPr>
            <w:r>
              <w:rPr>
                <w:color w:val="000000"/>
                <w:szCs w:val="20"/>
              </w:rPr>
              <w:t>2</w:t>
            </w:r>
          </w:p>
        </w:tc>
        <w:tc>
          <w:tcPr>
            <w:tcW w:w="420" w:type="pct"/>
            <w:vAlign w:val="center"/>
          </w:tcPr>
          <w:p w14:paraId="0B9B4658" w14:textId="39D74DF0" w:rsidR="00606029" w:rsidRDefault="00FE2EC7">
            <w:pPr>
              <w:jc w:val="center"/>
              <w:rPr>
                <w:color w:val="000000"/>
                <w:szCs w:val="20"/>
              </w:rPr>
            </w:pPr>
            <w:r>
              <w:rPr>
                <w:color w:val="000000"/>
                <w:szCs w:val="20"/>
              </w:rPr>
              <w:t>实验废液</w:t>
            </w:r>
          </w:p>
        </w:tc>
        <w:tc>
          <w:tcPr>
            <w:tcW w:w="541" w:type="pct"/>
            <w:vAlign w:val="center"/>
          </w:tcPr>
          <w:p w14:paraId="5EE64202" w14:textId="77777777" w:rsidR="00606029" w:rsidRDefault="00EA5B92">
            <w:pPr>
              <w:jc w:val="center"/>
              <w:rPr>
                <w:color w:val="000000"/>
                <w:szCs w:val="20"/>
              </w:rPr>
            </w:pPr>
            <w:r>
              <w:rPr>
                <w:color w:val="000000"/>
                <w:szCs w:val="20"/>
              </w:rPr>
              <w:t>HW49</w:t>
            </w:r>
          </w:p>
        </w:tc>
        <w:tc>
          <w:tcPr>
            <w:tcW w:w="685" w:type="pct"/>
            <w:vAlign w:val="center"/>
          </w:tcPr>
          <w:p w14:paraId="427F2EBA" w14:textId="77777777" w:rsidR="00606029" w:rsidRDefault="00EA5B92">
            <w:pPr>
              <w:jc w:val="center"/>
              <w:rPr>
                <w:color w:val="000000"/>
                <w:szCs w:val="20"/>
              </w:rPr>
            </w:pPr>
            <w:r>
              <w:rPr>
                <w:color w:val="000000"/>
                <w:szCs w:val="20"/>
              </w:rPr>
              <w:t>900-047-49</w:t>
            </w:r>
          </w:p>
        </w:tc>
        <w:tc>
          <w:tcPr>
            <w:tcW w:w="504" w:type="pct"/>
            <w:vAlign w:val="center"/>
          </w:tcPr>
          <w:p w14:paraId="243073E8" w14:textId="5DA43E71" w:rsidR="00606029" w:rsidRDefault="00344708">
            <w:pPr>
              <w:jc w:val="center"/>
              <w:rPr>
                <w:color w:val="000000"/>
                <w:szCs w:val="20"/>
              </w:rPr>
            </w:pPr>
            <w:r>
              <w:rPr>
                <w:color w:val="000000"/>
                <w:szCs w:val="20"/>
              </w:rPr>
              <w:t>1</w:t>
            </w:r>
          </w:p>
        </w:tc>
        <w:tc>
          <w:tcPr>
            <w:tcW w:w="459" w:type="pct"/>
            <w:vAlign w:val="center"/>
          </w:tcPr>
          <w:p w14:paraId="71DB590E" w14:textId="77777777" w:rsidR="00606029" w:rsidRDefault="00EA5B92">
            <w:pPr>
              <w:jc w:val="center"/>
              <w:rPr>
                <w:color w:val="000000"/>
                <w:szCs w:val="20"/>
              </w:rPr>
            </w:pPr>
            <w:r>
              <w:rPr>
                <w:color w:val="000000"/>
                <w:szCs w:val="20"/>
              </w:rPr>
              <w:t>化验</w:t>
            </w:r>
          </w:p>
        </w:tc>
        <w:tc>
          <w:tcPr>
            <w:tcW w:w="341" w:type="pct"/>
            <w:vAlign w:val="center"/>
          </w:tcPr>
          <w:p w14:paraId="06F45CC2" w14:textId="77777777" w:rsidR="00606029" w:rsidRDefault="00EA5B92">
            <w:pPr>
              <w:jc w:val="center"/>
              <w:rPr>
                <w:color w:val="000000"/>
                <w:szCs w:val="20"/>
              </w:rPr>
            </w:pPr>
            <w:r>
              <w:rPr>
                <w:color w:val="000000"/>
                <w:szCs w:val="20"/>
              </w:rPr>
              <w:t>桶状液态</w:t>
            </w:r>
          </w:p>
        </w:tc>
        <w:tc>
          <w:tcPr>
            <w:tcW w:w="453" w:type="pct"/>
            <w:vAlign w:val="center"/>
          </w:tcPr>
          <w:p w14:paraId="67973CE4" w14:textId="77777777" w:rsidR="00606029" w:rsidRDefault="00EA5B92">
            <w:pPr>
              <w:jc w:val="center"/>
              <w:rPr>
                <w:color w:val="000000"/>
                <w:szCs w:val="20"/>
              </w:rPr>
            </w:pPr>
            <w:r>
              <w:rPr>
                <w:color w:val="000000"/>
                <w:szCs w:val="20"/>
              </w:rPr>
              <w:t>酸、碱</w:t>
            </w:r>
          </w:p>
        </w:tc>
        <w:tc>
          <w:tcPr>
            <w:tcW w:w="342" w:type="pct"/>
            <w:vAlign w:val="center"/>
          </w:tcPr>
          <w:p w14:paraId="3007DC6F" w14:textId="77777777" w:rsidR="00606029" w:rsidRDefault="00EA5B92">
            <w:pPr>
              <w:jc w:val="center"/>
              <w:rPr>
                <w:color w:val="000000"/>
                <w:szCs w:val="20"/>
              </w:rPr>
            </w:pPr>
            <w:r>
              <w:rPr>
                <w:color w:val="000000"/>
                <w:szCs w:val="20"/>
              </w:rPr>
              <w:t>每天</w:t>
            </w:r>
          </w:p>
        </w:tc>
        <w:tc>
          <w:tcPr>
            <w:tcW w:w="495" w:type="pct"/>
            <w:vAlign w:val="center"/>
          </w:tcPr>
          <w:p w14:paraId="38A04D7D" w14:textId="77777777" w:rsidR="00606029" w:rsidRDefault="00EA5B92">
            <w:pPr>
              <w:jc w:val="center"/>
              <w:rPr>
                <w:color w:val="000000"/>
                <w:szCs w:val="20"/>
              </w:rPr>
            </w:pPr>
            <w:r>
              <w:rPr>
                <w:color w:val="000000"/>
                <w:szCs w:val="20"/>
              </w:rPr>
              <w:t>T/C/I/R</w:t>
            </w:r>
          </w:p>
        </w:tc>
        <w:tc>
          <w:tcPr>
            <w:tcW w:w="497" w:type="pct"/>
            <w:vAlign w:val="center"/>
          </w:tcPr>
          <w:p w14:paraId="78C992F7" w14:textId="77777777" w:rsidR="00606029" w:rsidRDefault="00EA5B92">
            <w:pPr>
              <w:jc w:val="center"/>
              <w:rPr>
                <w:color w:val="000000"/>
                <w:szCs w:val="20"/>
              </w:rPr>
            </w:pPr>
            <w:r>
              <w:rPr>
                <w:color w:val="000000"/>
                <w:szCs w:val="20"/>
              </w:rPr>
              <w:t>委托处置</w:t>
            </w:r>
          </w:p>
        </w:tc>
      </w:tr>
    </w:tbl>
    <w:p w14:paraId="309F1BD9" w14:textId="77777777" w:rsidR="00606029" w:rsidRDefault="00EA5B92">
      <w:pPr>
        <w:pStyle w:val="3"/>
        <w:spacing w:beforeLines="50" w:before="120"/>
      </w:pPr>
      <w:bookmarkStart w:id="135" w:name="_Toc220680478"/>
      <w:r>
        <w:t>2.3.3</w:t>
      </w:r>
      <w:r>
        <w:t>封场期主要污染源分析</w:t>
      </w:r>
      <w:bookmarkEnd w:id="135"/>
    </w:p>
    <w:p w14:paraId="62FC2CB2" w14:textId="77777777" w:rsidR="00606029" w:rsidRDefault="00EA5B92">
      <w:pPr>
        <w:pStyle w:val="affffff4"/>
      </w:pPr>
      <w:r>
        <w:t>（</w:t>
      </w:r>
      <w:r>
        <w:t>1</w:t>
      </w:r>
      <w:r>
        <w:t>）淋溶水</w:t>
      </w:r>
    </w:p>
    <w:p w14:paraId="7F4B92D5" w14:textId="1B8BA6A3" w:rsidR="00606029" w:rsidRDefault="00EA5B92">
      <w:pPr>
        <w:pStyle w:val="affffff4"/>
      </w:pPr>
      <w:r>
        <w:t>埋场封场后将进行终场覆盖和植被恢复，由于飞灰固化物主要成分为无机物，与普通的垃圾填埋场相比，无填埋场分解液体产生，运营期产生的淋溶水为雨水淋溶水，填埋场封场后雨水通过封场覆盖层中的排水网排出，雨水不会透过</w:t>
      </w:r>
      <w:r>
        <w:t>HDPE</w:t>
      </w:r>
      <w:r>
        <w:t>土工膜进入固体飞灰堆载层，因此封场后无淋溶水产生。</w:t>
      </w:r>
    </w:p>
    <w:p w14:paraId="114D0458" w14:textId="77777777" w:rsidR="00606029" w:rsidRDefault="00EA5B92">
      <w:pPr>
        <w:pStyle w:val="affffff4"/>
      </w:pPr>
      <w:r>
        <w:t>（</w:t>
      </w:r>
      <w:r>
        <w:t>2</w:t>
      </w:r>
      <w:r>
        <w:t>）废气</w:t>
      </w:r>
    </w:p>
    <w:p w14:paraId="52AC6D53" w14:textId="77777777" w:rsidR="00606029" w:rsidRDefault="00EA5B92">
      <w:pPr>
        <w:pStyle w:val="affffff4"/>
      </w:pPr>
      <w:bookmarkStart w:id="136" w:name="OLE_LINK74"/>
      <w:r>
        <w:t>填埋场封场后进行终场覆盖，库区基本不会产生废气</w:t>
      </w:r>
      <w:bookmarkEnd w:id="136"/>
      <w:r>
        <w:t>，不会对周围环境产生影响。</w:t>
      </w:r>
    </w:p>
    <w:p w14:paraId="3BEADC53" w14:textId="77777777" w:rsidR="00606029" w:rsidRDefault="00EA5B92">
      <w:pPr>
        <w:pStyle w:val="affffff4"/>
      </w:pPr>
      <w:r>
        <w:t>（</w:t>
      </w:r>
      <w:r>
        <w:t>3</w:t>
      </w:r>
      <w:r>
        <w:t>）噪声</w:t>
      </w:r>
    </w:p>
    <w:p w14:paraId="3C132775" w14:textId="57848A30" w:rsidR="00606029" w:rsidRDefault="00EA5B92">
      <w:pPr>
        <w:pStyle w:val="affffff4"/>
      </w:pPr>
      <w:r>
        <w:t>填埋场封场后不进行飞灰填埋，无车辆作业噪声。</w:t>
      </w:r>
    </w:p>
    <w:p w14:paraId="45DD7C09" w14:textId="77777777" w:rsidR="00606029" w:rsidRDefault="00EA5B92">
      <w:pPr>
        <w:pStyle w:val="affffff4"/>
      </w:pPr>
      <w:r>
        <w:t>（</w:t>
      </w:r>
      <w:r>
        <w:t>4</w:t>
      </w:r>
      <w:r>
        <w:t>）固废</w:t>
      </w:r>
    </w:p>
    <w:p w14:paraId="5CEC3883" w14:textId="77777777" w:rsidR="00606029" w:rsidRDefault="00EA5B92">
      <w:pPr>
        <w:pStyle w:val="affffff4"/>
      </w:pPr>
      <w:r>
        <w:t>封场期无固体废物产生。</w:t>
      </w:r>
    </w:p>
    <w:p w14:paraId="6D40F239" w14:textId="77777777" w:rsidR="00606029" w:rsidRDefault="00EA5B92">
      <w:pPr>
        <w:pStyle w:val="3"/>
      </w:pPr>
      <w:bookmarkStart w:id="137" w:name="_Toc220680479"/>
      <w:r>
        <w:t>2.3.4</w:t>
      </w:r>
      <w:r>
        <w:t>主要污染物排放情况汇总</w:t>
      </w:r>
      <w:bookmarkEnd w:id="137"/>
    </w:p>
    <w:p w14:paraId="6F995F7A" w14:textId="77777777" w:rsidR="00606029" w:rsidRDefault="00EA5B92">
      <w:pPr>
        <w:pStyle w:val="affffff4"/>
      </w:pPr>
      <w:bookmarkStart w:id="138" w:name="OLE_LINK89"/>
      <w:r>
        <w:t>本项目工程运营期主要污染物排放情况见下表。</w:t>
      </w:r>
    </w:p>
    <w:bookmarkEnd w:id="138"/>
    <w:p w14:paraId="69F0C560" w14:textId="178F820C" w:rsidR="00606029" w:rsidRDefault="00EA5B92">
      <w:pPr>
        <w:pStyle w:val="affffff5"/>
      </w:pPr>
      <w:r>
        <w:t>表</w:t>
      </w:r>
      <w:r>
        <w:t>2.3-</w:t>
      </w:r>
      <w:r w:rsidR="00472CC5">
        <w:rPr>
          <w:rFonts w:hint="eastAsia"/>
        </w:rPr>
        <w:t xml:space="preserve">8 </w:t>
      </w:r>
      <w:r>
        <w:t>项目运营期主要污染物产生及排放情况一览表</w:t>
      </w:r>
    </w:p>
    <w:tbl>
      <w:tblPr>
        <w:tblStyle w:val="TableNormal"/>
        <w:tblW w:w="4997" w:type="pct"/>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1664"/>
        <w:gridCol w:w="747"/>
        <w:gridCol w:w="1783"/>
        <w:gridCol w:w="1347"/>
        <w:gridCol w:w="1557"/>
      </w:tblGrid>
      <w:tr w:rsidR="00606029" w14:paraId="74215019" w14:textId="77777777" w:rsidTr="0004469A">
        <w:trPr>
          <w:trHeight w:val="57"/>
        </w:trPr>
        <w:tc>
          <w:tcPr>
            <w:tcW w:w="980" w:type="pct"/>
            <w:vAlign w:val="center"/>
          </w:tcPr>
          <w:p w14:paraId="54D0F008" w14:textId="77777777" w:rsidR="00606029" w:rsidRDefault="00EA5B92">
            <w:pPr>
              <w:pStyle w:val="TableText"/>
              <w:adjustRightInd w:val="0"/>
              <w:snapToGrid w:val="0"/>
              <w:jc w:val="center"/>
              <w:rPr>
                <w:rFonts w:ascii="Times New Roman" w:hAnsi="Times New Roman" w:cs="Times New Roman"/>
              </w:rPr>
            </w:pPr>
            <w:r>
              <w:rPr>
                <w:rFonts w:ascii="Times New Roman" w:hAnsi="Times New Roman" w:cs="Times New Roman"/>
              </w:rPr>
              <w:t>项目</w:t>
            </w:r>
          </w:p>
        </w:tc>
        <w:tc>
          <w:tcPr>
            <w:tcW w:w="942" w:type="pct"/>
            <w:vAlign w:val="center"/>
          </w:tcPr>
          <w:p w14:paraId="6E953BEB" w14:textId="77777777" w:rsidR="00606029" w:rsidRDefault="00EA5B92">
            <w:pPr>
              <w:pStyle w:val="TableText"/>
              <w:adjustRightInd w:val="0"/>
              <w:snapToGrid w:val="0"/>
              <w:jc w:val="center"/>
              <w:rPr>
                <w:rFonts w:ascii="Times New Roman" w:hAnsi="Times New Roman" w:cs="Times New Roman"/>
              </w:rPr>
            </w:pPr>
            <w:r>
              <w:rPr>
                <w:rFonts w:ascii="Times New Roman" w:hAnsi="Times New Roman" w:cs="Times New Roman"/>
              </w:rPr>
              <w:t>污染物</w:t>
            </w:r>
          </w:p>
        </w:tc>
        <w:tc>
          <w:tcPr>
            <w:tcW w:w="423" w:type="pct"/>
            <w:vAlign w:val="center"/>
          </w:tcPr>
          <w:p w14:paraId="6E289E7B" w14:textId="77777777" w:rsidR="00606029" w:rsidRDefault="00EA5B92">
            <w:pPr>
              <w:pStyle w:val="TableText"/>
              <w:adjustRightInd w:val="0"/>
              <w:snapToGrid w:val="0"/>
              <w:jc w:val="center"/>
              <w:rPr>
                <w:rFonts w:ascii="Times New Roman" w:hAnsi="Times New Roman" w:cs="Times New Roman"/>
              </w:rPr>
            </w:pPr>
            <w:r>
              <w:rPr>
                <w:rFonts w:ascii="Times New Roman" w:hAnsi="Times New Roman" w:cs="Times New Roman"/>
              </w:rPr>
              <w:t>单位</w:t>
            </w:r>
          </w:p>
        </w:tc>
        <w:tc>
          <w:tcPr>
            <w:tcW w:w="1010" w:type="pct"/>
            <w:vAlign w:val="center"/>
          </w:tcPr>
          <w:p w14:paraId="2754B51E" w14:textId="7CE6F39E" w:rsidR="00606029" w:rsidRDefault="00EA5B92">
            <w:pPr>
              <w:pStyle w:val="TableText"/>
              <w:adjustRightInd w:val="0"/>
              <w:snapToGrid w:val="0"/>
              <w:jc w:val="center"/>
              <w:rPr>
                <w:rFonts w:ascii="Times New Roman" w:hAnsi="Times New Roman" w:cs="Times New Roman"/>
              </w:rPr>
            </w:pPr>
            <w:r>
              <w:rPr>
                <w:rFonts w:ascii="Times New Roman" w:hAnsi="Times New Roman" w:cs="Times New Roman"/>
              </w:rPr>
              <w:t>产生量</w:t>
            </w:r>
          </w:p>
        </w:tc>
        <w:tc>
          <w:tcPr>
            <w:tcW w:w="763" w:type="pct"/>
            <w:vAlign w:val="center"/>
          </w:tcPr>
          <w:p w14:paraId="77B5110B" w14:textId="64D28FE3" w:rsidR="00606029" w:rsidRDefault="00EA5B92">
            <w:pPr>
              <w:pStyle w:val="TableText"/>
              <w:adjustRightInd w:val="0"/>
              <w:snapToGrid w:val="0"/>
              <w:jc w:val="center"/>
              <w:rPr>
                <w:rFonts w:ascii="Times New Roman" w:hAnsi="Times New Roman" w:cs="Times New Roman"/>
              </w:rPr>
            </w:pPr>
            <w:r>
              <w:rPr>
                <w:rFonts w:ascii="Times New Roman" w:hAnsi="Times New Roman" w:cs="Times New Roman"/>
              </w:rPr>
              <w:t>消减量</w:t>
            </w:r>
          </w:p>
        </w:tc>
        <w:tc>
          <w:tcPr>
            <w:tcW w:w="882" w:type="pct"/>
            <w:vAlign w:val="center"/>
          </w:tcPr>
          <w:p w14:paraId="785BC855" w14:textId="431CF3C7" w:rsidR="00606029" w:rsidRDefault="00EA5B92">
            <w:pPr>
              <w:pStyle w:val="TableText"/>
              <w:adjustRightInd w:val="0"/>
              <w:snapToGrid w:val="0"/>
              <w:jc w:val="center"/>
              <w:rPr>
                <w:rFonts w:ascii="Times New Roman" w:hAnsi="Times New Roman" w:cs="Times New Roman"/>
              </w:rPr>
            </w:pPr>
            <w:r>
              <w:rPr>
                <w:rFonts w:ascii="Times New Roman" w:hAnsi="Times New Roman" w:cs="Times New Roman"/>
              </w:rPr>
              <w:t>排放量</w:t>
            </w:r>
          </w:p>
        </w:tc>
      </w:tr>
      <w:tr w:rsidR="00606029" w14:paraId="40B4D3B9" w14:textId="77777777" w:rsidTr="0004469A">
        <w:trPr>
          <w:trHeight w:val="57"/>
        </w:trPr>
        <w:tc>
          <w:tcPr>
            <w:tcW w:w="980" w:type="pct"/>
            <w:vAlign w:val="center"/>
          </w:tcPr>
          <w:p w14:paraId="3D0ACC96" w14:textId="77777777" w:rsidR="00606029" w:rsidRDefault="00EA5B92">
            <w:pPr>
              <w:pStyle w:val="TableText"/>
              <w:adjustRightInd w:val="0"/>
              <w:snapToGrid w:val="0"/>
              <w:jc w:val="center"/>
              <w:rPr>
                <w:rFonts w:ascii="Times New Roman" w:hAnsi="Times New Roman" w:cs="Times New Roman"/>
              </w:rPr>
            </w:pPr>
            <w:r>
              <w:rPr>
                <w:rFonts w:ascii="Times New Roman" w:hAnsi="Times New Roman" w:cs="Times New Roman"/>
              </w:rPr>
              <w:t>废气</w:t>
            </w:r>
          </w:p>
        </w:tc>
        <w:tc>
          <w:tcPr>
            <w:tcW w:w="942" w:type="pct"/>
            <w:vAlign w:val="center"/>
          </w:tcPr>
          <w:p w14:paraId="625779EC" w14:textId="77777777" w:rsidR="00606029" w:rsidRDefault="00EA5B92">
            <w:pPr>
              <w:pStyle w:val="TableText"/>
              <w:adjustRightInd w:val="0"/>
              <w:snapToGrid w:val="0"/>
              <w:jc w:val="center"/>
              <w:rPr>
                <w:rFonts w:ascii="Times New Roman" w:hAnsi="Times New Roman" w:cs="Times New Roman"/>
              </w:rPr>
            </w:pPr>
            <w:r>
              <w:rPr>
                <w:rFonts w:ascii="Times New Roman" w:hAnsi="Times New Roman" w:cs="Times New Roman"/>
              </w:rPr>
              <w:t>颗粒物</w:t>
            </w:r>
          </w:p>
        </w:tc>
        <w:tc>
          <w:tcPr>
            <w:tcW w:w="423" w:type="pct"/>
            <w:vAlign w:val="center"/>
          </w:tcPr>
          <w:p w14:paraId="50ED2DFF" w14:textId="77777777" w:rsidR="00606029" w:rsidRDefault="00EA5B92">
            <w:pPr>
              <w:adjustRightInd w:val="0"/>
              <w:snapToGrid w:val="0"/>
              <w:jc w:val="center"/>
              <w:rPr>
                <w:rFonts w:eastAsia="Times New Roman"/>
              </w:rPr>
            </w:pPr>
            <w:r>
              <w:rPr>
                <w:rFonts w:eastAsia="Times New Roman"/>
              </w:rPr>
              <w:t>t/a</w:t>
            </w:r>
          </w:p>
        </w:tc>
        <w:tc>
          <w:tcPr>
            <w:tcW w:w="1010" w:type="pct"/>
            <w:vAlign w:val="center"/>
          </w:tcPr>
          <w:p w14:paraId="360A729E" w14:textId="3271FB3E" w:rsidR="00606029" w:rsidRPr="001250F6" w:rsidRDefault="00D25F56">
            <w:pPr>
              <w:adjustRightInd w:val="0"/>
              <w:snapToGrid w:val="0"/>
              <w:jc w:val="center"/>
              <w:rPr>
                <w:rFonts w:eastAsiaTheme="minorEastAsia"/>
              </w:rPr>
            </w:pPr>
            <w:r>
              <w:rPr>
                <w:rFonts w:eastAsia="Times New Roman"/>
              </w:rPr>
              <w:t>0.0224</w:t>
            </w:r>
          </w:p>
        </w:tc>
        <w:tc>
          <w:tcPr>
            <w:tcW w:w="763" w:type="pct"/>
            <w:vAlign w:val="center"/>
          </w:tcPr>
          <w:p w14:paraId="49DBEF37" w14:textId="77777777" w:rsidR="00606029" w:rsidRDefault="00EA5B92">
            <w:pPr>
              <w:adjustRightInd w:val="0"/>
              <w:snapToGrid w:val="0"/>
              <w:jc w:val="center"/>
              <w:rPr>
                <w:rFonts w:eastAsia="Times New Roman"/>
              </w:rPr>
            </w:pPr>
            <w:r>
              <w:rPr>
                <w:rFonts w:eastAsia="Times New Roman"/>
              </w:rPr>
              <w:t>0</w:t>
            </w:r>
          </w:p>
        </w:tc>
        <w:tc>
          <w:tcPr>
            <w:tcW w:w="882" w:type="pct"/>
            <w:vAlign w:val="center"/>
          </w:tcPr>
          <w:p w14:paraId="1574E654" w14:textId="429B64D6" w:rsidR="00606029" w:rsidRPr="0004469A" w:rsidRDefault="00D25F56">
            <w:pPr>
              <w:adjustRightInd w:val="0"/>
              <w:snapToGrid w:val="0"/>
              <w:jc w:val="center"/>
              <w:rPr>
                <w:rFonts w:eastAsiaTheme="minorEastAsia"/>
              </w:rPr>
            </w:pPr>
            <w:r>
              <w:rPr>
                <w:rFonts w:eastAsia="Times New Roman"/>
              </w:rPr>
              <w:t>0.0224</w:t>
            </w:r>
          </w:p>
        </w:tc>
      </w:tr>
      <w:tr w:rsidR="00606029" w14:paraId="6DEFC69F" w14:textId="77777777" w:rsidTr="0004469A">
        <w:trPr>
          <w:trHeight w:val="57"/>
        </w:trPr>
        <w:tc>
          <w:tcPr>
            <w:tcW w:w="980" w:type="pct"/>
            <w:vAlign w:val="center"/>
          </w:tcPr>
          <w:p w14:paraId="742B2450" w14:textId="77777777" w:rsidR="00606029" w:rsidRDefault="00EA5B92">
            <w:pPr>
              <w:pStyle w:val="TableText"/>
              <w:adjustRightInd w:val="0"/>
              <w:snapToGrid w:val="0"/>
              <w:jc w:val="center"/>
              <w:rPr>
                <w:rFonts w:ascii="Times New Roman" w:hAnsi="Times New Roman" w:cs="Times New Roman"/>
              </w:rPr>
            </w:pPr>
            <w:r>
              <w:rPr>
                <w:rFonts w:ascii="Times New Roman" w:hAnsi="Times New Roman" w:cs="Times New Roman"/>
              </w:rPr>
              <w:t>废水</w:t>
            </w:r>
          </w:p>
        </w:tc>
        <w:tc>
          <w:tcPr>
            <w:tcW w:w="942" w:type="pct"/>
            <w:vAlign w:val="center"/>
          </w:tcPr>
          <w:p w14:paraId="361D1589" w14:textId="77777777" w:rsidR="00606029" w:rsidRDefault="00EA5B92">
            <w:pPr>
              <w:pStyle w:val="TableText"/>
              <w:adjustRightInd w:val="0"/>
              <w:snapToGrid w:val="0"/>
              <w:jc w:val="center"/>
              <w:rPr>
                <w:rFonts w:ascii="Times New Roman" w:hAnsi="Times New Roman" w:cs="Times New Roman"/>
              </w:rPr>
            </w:pPr>
            <w:r>
              <w:rPr>
                <w:rFonts w:ascii="Times New Roman" w:hAnsi="Times New Roman" w:cs="Times New Roman"/>
              </w:rPr>
              <w:t>废水量</w:t>
            </w:r>
          </w:p>
        </w:tc>
        <w:tc>
          <w:tcPr>
            <w:tcW w:w="423" w:type="pct"/>
            <w:vAlign w:val="center"/>
          </w:tcPr>
          <w:p w14:paraId="14D00802" w14:textId="55E70646" w:rsidR="00606029" w:rsidRDefault="0004469A">
            <w:pPr>
              <w:adjustRightInd w:val="0"/>
              <w:snapToGrid w:val="0"/>
              <w:jc w:val="center"/>
              <w:rPr>
                <w:rFonts w:eastAsia="Times New Roman"/>
              </w:rPr>
            </w:pPr>
            <w:r>
              <w:rPr>
                <w:rFonts w:asciiTheme="minorEastAsia" w:eastAsiaTheme="minorEastAsia" w:hAnsiTheme="minorEastAsia" w:hint="eastAsia"/>
                <w:position w:val="-1"/>
              </w:rPr>
              <w:t>t</w:t>
            </w:r>
            <w:r w:rsidR="00EA5B92">
              <w:rPr>
                <w:rFonts w:eastAsia="Times New Roman"/>
                <w:position w:val="-1"/>
              </w:rPr>
              <w:t>/a</w:t>
            </w:r>
          </w:p>
        </w:tc>
        <w:tc>
          <w:tcPr>
            <w:tcW w:w="1010" w:type="pct"/>
            <w:vAlign w:val="center"/>
          </w:tcPr>
          <w:p w14:paraId="0BCFE309" w14:textId="43FFA1FA" w:rsidR="00606029" w:rsidRPr="0091079B" w:rsidRDefault="0091079B">
            <w:pPr>
              <w:adjustRightInd w:val="0"/>
              <w:snapToGrid w:val="0"/>
              <w:jc w:val="center"/>
              <w:rPr>
                <w:rFonts w:eastAsiaTheme="minorEastAsia"/>
              </w:rPr>
            </w:pPr>
            <w:r>
              <w:rPr>
                <w:rFonts w:eastAsiaTheme="minorEastAsia" w:hint="eastAsia"/>
              </w:rPr>
              <w:t>223.5</w:t>
            </w:r>
          </w:p>
        </w:tc>
        <w:tc>
          <w:tcPr>
            <w:tcW w:w="763" w:type="pct"/>
            <w:vAlign w:val="center"/>
          </w:tcPr>
          <w:p w14:paraId="41458D7C" w14:textId="56AB88B2" w:rsidR="00606029" w:rsidRPr="004F6C84" w:rsidRDefault="004F6C84">
            <w:pPr>
              <w:adjustRightInd w:val="0"/>
              <w:snapToGrid w:val="0"/>
              <w:jc w:val="center"/>
              <w:rPr>
                <w:rFonts w:eastAsiaTheme="minorEastAsia"/>
              </w:rPr>
            </w:pPr>
            <w:r>
              <w:rPr>
                <w:rFonts w:eastAsiaTheme="minorEastAsia" w:hint="eastAsia"/>
              </w:rPr>
              <w:t>223.5</w:t>
            </w:r>
          </w:p>
        </w:tc>
        <w:tc>
          <w:tcPr>
            <w:tcW w:w="882" w:type="pct"/>
            <w:vAlign w:val="center"/>
          </w:tcPr>
          <w:p w14:paraId="2451B740" w14:textId="530AB35E" w:rsidR="00606029" w:rsidRPr="0091079B" w:rsidRDefault="004F6C84">
            <w:pPr>
              <w:adjustRightInd w:val="0"/>
              <w:snapToGrid w:val="0"/>
              <w:jc w:val="center"/>
              <w:rPr>
                <w:rFonts w:eastAsiaTheme="minorEastAsia"/>
              </w:rPr>
            </w:pPr>
            <w:r>
              <w:rPr>
                <w:rFonts w:eastAsiaTheme="minorEastAsia" w:hint="eastAsia"/>
              </w:rPr>
              <w:t>0</w:t>
            </w:r>
          </w:p>
        </w:tc>
      </w:tr>
      <w:tr w:rsidR="0004469A" w14:paraId="213942C4" w14:textId="77777777" w:rsidTr="0004469A">
        <w:trPr>
          <w:trHeight w:val="57"/>
        </w:trPr>
        <w:tc>
          <w:tcPr>
            <w:tcW w:w="980" w:type="pct"/>
            <w:vMerge w:val="restart"/>
            <w:vAlign w:val="center"/>
          </w:tcPr>
          <w:p w14:paraId="6F96B817" w14:textId="77777777" w:rsidR="0004469A" w:rsidRDefault="0004469A" w:rsidP="0004469A">
            <w:pPr>
              <w:pStyle w:val="TableText"/>
              <w:adjustRightInd w:val="0"/>
              <w:snapToGrid w:val="0"/>
              <w:jc w:val="center"/>
              <w:rPr>
                <w:rFonts w:ascii="Times New Roman" w:hAnsi="Times New Roman" w:cs="Times New Roman"/>
              </w:rPr>
            </w:pPr>
            <w:r>
              <w:rPr>
                <w:rFonts w:ascii="Times New Roman" w:hAnsi="Times New Roman" w:cs="Times New Roman"/>
              </w:rPr>
              <w:t>固体废物</w:t>
            </w:r>
          </w:p>
        </w:tc>
        <w:tc>
          <w:tcPr>
            <w:tcW w:w="942" w:type="pct"/>
            <w:vAlign w:val="center"/>
          </w:tcPr>
          <w:p w14:paraId="04213D73" w14:textId="042A6E5E" w:rsidR="0004469A" w:rsidRDefault="0004469A" w:rsidP="0004469A">
            <w:pPr>
              <w:pStyle w:val="TableText"/>
              <w:adjustRightInd w:val="0"/>
              <w:snapToGrid w:val="0"/>
              <w:jc w:val="center"/>
              <w:rPr>
                <w:rFonts w:ascii="Times New Roman" w:hAnsi="Times New Roman" w:cs="Times New Roman"/>
              </w:rPr>
            </w:pPr>
            <w:r w:rsidRPr="0004469A">
              <w:rPr>
                <w:rFonts w:ascii="Times New Roman" w:hAnsi="Times New Roman" w:cs="Times New Roman"/>
              </w:rPr>
              <w:t>废机油</w:t>
            </w:r>
          </w:p>
        </w:tc>
        <w:tc>
          <w:tcPr>
            <w:tcW w:w="423" w:type="pct"/>
            <w:vAlign w:val="center"/>
          </w:tcPr>
          <w:p w14:paraId="0A3F1842" w14:textId="77777777" w:rsidR="0004469A" w:rsidRDefault="0004469A" w:rsidP="0004469A">
            <w:pPr>
              <w:adjustRightInd w:val="0"/>
              <w:snapToGrid w:val="0"/>
              <w:jc w:val="center"/>
              <w:rPr>
                <w:rFonts w:eastAsia="Times New Roman"/>
              </w:rPr>
            </w:pPr>
            <w:r>
              <w:rPr>
                <w:rFonts w:eastAsia="Times New Roman"/>
              </w:rPr>
              <w:t>t/a</w:t>
            </w:r>
          </w:p>
        </w:tc>
        <w:tc>
          <w:tcPr>
            <w:tcW w:w="1010" w:type="pct"/>
            <w:vAlign w:val="center"/>
          </w:tcPr>
          <w:p w14:paraId="31924749" w14:textId="6E9A9D57" w:rsidR="0004469A" w:rsidRPr="0004469A" w:rsidRDefault="00344708" w:rsidP="0004469A">
            <w:pPr>
              <w:adjustRightInd w:val="0"/>
              <w:snapToGrid w:val="0"/>
              <w:jc w:val="center"/>
              <w:rPr>
                <w:rFonts w:eastAsiaTheme="minorEastAsia"/>
              </w:rPr>
            </w:pPr>
            <w:r>
              <w:rPr>
                <w:rFonts w:eastAsiaTheme="minorEastAsia" w:hint="eastAsia"/>
              </w:rPr>
              <w:t>0.1</w:t>
            </w:r>
          </w:p>
        </w:tc>
        <w:tc>
          <w:tcPr>
            <w:tcW w:w="763" w:type="pct"/>
            <w:vAlign w:val="center"/>
          </w:tcPr>
          <w:p w14:paraId="53C594E8" w14:textId="1E414323" w:rsidR="0004469A" w:rsidRPr="0004469A" w:rsidRDefault="0004469A" w:rsidP="0004469A">
            <w:pPr>
              <w:adjustRightInd w:val="0"/>
              <w:snapToGrid w:val="0"/>
              <w:jc w:val="center"/>
              <w:rPr>
                <w:rFonts w:eastAsiaTheme="minorEastAsia"/>
              </w:rPr>
            </w:pPr>
            <w:r>
              <w:rPr>
                <w:rFonts w:eastAsiaTheme="minorEastAsia" w:hint="eastAsia"/>
              </w:rPr>
              <w:t>0</w:t>
            </w:r>
          </w:p>
        </w:tc>
        <w:tc>
          <w:tcPr>
            <w:tcW w:w="882" w:type="pct"/>
            <w:vAlign w:val="center"/>
          </w:tcPr>
          <w:p w14:paraId="5DEE7CDE" w14:textId="6D125150" w:rsidR="0004469A" w:rsidRDefault="00344708" w:rsidP="0004469A">
            <w:pPr>
              <w:adjustRightInd w:val="0"/>
              <w:snapToGrid w:val="0"/>
              <w:jc w:val="center"/>
              <w:rPr>
                <w:rFonts w:eastAsia="Times New Roman"/>
              </w:rPr>
            </w:pPr>
            <w:r>
              <w:rPr>
                <w:rFonts w:eastAsiaTheme="minorEastAsia" w:hint="eastAsia"/>
              </w:rPr>
              <w:t>0.1</w:t>
            </w:r>
          </w:p>
        </w:tc>
      </w:tr>
      <w:tr w:rsidR="0004469A" w14:paraId="7CEEBD65" w14:textId="77777777" w:rsidTr="0004469A">
        <w:trPr>
          <w:trHeight w:val="57"/>
        </w:trPr>
        <w:tc>
          <w:tcPr>
            <w:tcW w:w="980" w:type="pct"/>
            <w:vMerge/>
            <w:vAlign w:val="center"/>
          </w:tcPr>
          <w:p w14:paraId="7B8C1EB9" w14:textId="77777777" w:rsidR="0004469A" w:rsidRDefault="0004469A" w:rsidP="0004469A">
            <w:pPr>
              <w:pStyle w:val="TableText"/>
              <w:adjustRightInd w:val="0"/>
              <w:snapToGrid w:val="0"/>
              <w:jc w:val="center"/>
              <w:rPr>
                <w:rFonts w:ascii="Times New Roman" w:hAnsi="Times New Roman" w:cs="Times New Roman"/>
              </w:rPr>
            </w:pPr>
          </w:p>
        </w:tc>
        <w:tc>
          <w:tcPr>
            <w:tcW w:w="942" w:type="pct"/>
            <w:vAlign w:val="center"/>
          </w:tcPr>
          <w:p w14:paraId="49838D81" w14:textId="6A133549" w:rsidR="0004469A" w:rsidRDefault="00FE2EC7" w:rsidP="0004469A">
            <w:pPr>
              <w:pStyle w:val="TableText"/>
              <w:adjustRightInd w:val="0"/>
              <w:snapToGrid w:val="0"/>
              <w:jc w:val="center"/>
              <w:rPr>
                <w:rFonts w:ascii="Times New Roman" w:hAnsi="Times New Roman" w:cs="Times New Roman"/>
              </w:rPr>
            </w:pPr>
            <w:r>
              <w:rPr>
                <w:rFonts w:ascii="Times New Roman" w:hAnsi="Times New Roman" w:cs="Times New Roman"/>
              </w:rPr>
              <w:t>实验废液</w:t>
            </w:r>
          </w:p>
        </w:tc>
        <w:tc>
          <w:tcPr>
            <w:tcW w:w="423" w:type="pct"/>
            <w:vAlign w:val="center"/>
          </w:tcPr>
          <w:p w14:paraId="56D85B43" w14:textId="5E807C48" w:rsidR="0004469A" w:rsidRDefault="0004469A" w:rsidP="0004469A">
            <w:pPr>
              <w:adjustRightInd w:val="0"/>
              <w:snapToGrid w:val="0"/>
              <w:jc w:val="center"/>
              <w:rPr>
                <w:rFonts w:eastAsia="Times New Roman"/>
              </w:rPr>
            </w:pPr>
            <w:r>
              <w:rPr>
                <w:rFonts w:eastAsia="Times New Roman"/>
              </w:rPr>
              <w:t>t/a</w:t>
            </w:r>
          </w:p>
        </w:tc>
        <w:tc>
          <w:tcPr>
            <w:tcW w:w="1010" w:type="pct"/>
            <w:vAlign w:val="center"/>
          </w:tcPr>
          <w:p w14:paraId="45320B88" w14:textId="6BB303C1" w:rsidR="0004469A" w:rsidRPr="0004469A" w:rsidRDefault="00344708" w:rsidP="0004469A">
            <w:pPr>
              <w:adjustRightInd w:val="0"/>
              <w:snapToGrid w:val="0"/>
              <w:jc w:val="center"/>
              <w:rPr>
                <w:rFonts w:eastAsiaTheme="minorEastAsia"/>
              </w:rPr>
            </w:pPr>
            <w:r>
              <w:rPr>
                <w:rFonts w:eastAsiaTheme="minorEastAsia" w:hint="eastAsia"/>
              </w:rPr>
              <w:t>1</w:t>
            </w:r>
          </w:p>
        </w:tc>
        <w:tc>
          <w:tcPr>
            <w:tcW w:w="763" w:type="pct"/>
            <w:vAlign w:val="center"/>
          </w:tcPr>
          <w:p w14:paraId="2BF1335A" w14:textId="48B9582D" w:rsidR="0004469A" w:rsidRPr="0004469A" w:rsidRDefault="0004469A" w:rsidP="0004469A">
            <w:pPr>
              <w:adjustRightInd w:val="0"/>
              <w:snapToGrid w:val="0"/>
              <w:jc w:val="center"/>
              <w:rPr>
                <w:rFonts w:eastAsiaTheme="minorEastAsia"/>
              </w:rPr>
            </w:pPr>
            <w:r>
              <w:rPr>
                <w:rFonts w:eastAsiaTheme="minorEastAsia" w:hint="eastAsia"/>
              </w:rPr>
              <w:t>0</w:t>
            </w:r>
          </w:p>
        </w:tc>
        <w:tc>
          <w:tcPr>
            <w:tcW w:w="882" w:type="pct"/>
            <w:vAlign w:val="center"/>
          </w:tcPr>
          <w:p w14:paraId="5F4BE074" w14:textId="26A4A8C9" w:rsidR="0004469A" w:rsidRDefault="00344708" w:rsidP="0004469A">
            <w:pPr>
              <w:adjustRightInd w:val="0"/>
              <w:snapToGrid w:val="0"/>
              <w:jc w:val="center"/>
              <w:rPr>
                <w:rFonts w:eastAsia="Times New Roman"/>
              </w:rPr>
            </w:pPr>
            <w:r>
              <w:rPr>
                <w:rFonts w:eastAsiaTheme="minorEastAsia" w:hint="eastAsia"/>
              </w:rPr>
              <w:t>1</w:t>
            </w:r>
          </w:p>
        </w:tc>
      </w:tr>
    </w:tbl>
    <w:p w14:paraId="40660D78" w14:textId="6F60B5B3" w:rsidR="004F6C84" w:rsidRDefault="004F6C84" w:rsidP="00FC2BCD">
      <w:pPr>
        <w:pStyle w:val="affffff4"/>
      </w:pPr>
      <w:r>
        <w:rPr>
          <w:rFonts w:hint="eastAsia"/>
        </w:rPr>
        <w:t>根据大庆城控电力有限公司</w:t>
      </w:r>
      <w:r>
        <w:rPr>
          <w:rFonts w:hint="eastAsia"/>
        </w:rPr>
        <w:t>2025</w:t>
      </w:r>
      <w:r>
        <w:rPr>
          <w:rFonts w:hint="eastAsia"/>
        </w:rPr>
        <w:t>年排污许可证执行年报</w:t>
      </w:r>
      <w:r w:rsidR="00FC2BCD">
        <w:rPr>
          <w:rFonts w:hint="eastAsia"/>
        </w:rPr>
        <w:t>及《</w:t>
      </w:r>
      <w:r w:rsidR="002B0DA6" w:rsidRPr="002B0DA6">
        <w:t>大庆市生活垃圾焚烧发电项目（一期）竣工环境保护验收监测报告</w:t>
      </w:r>
      <w:r w:rsidR="00FC2BCD">
        <w:rPr>
          <w:rFonts w:hint="eastAsia"/>
        </w:rPr>
        <w:t>》（</w:t>
      </w:r>
      <w:r w:rsidR="00FC2BCD">
        <w:rPr>
          <w:rFonts w:hint="eastAsia"/>
        </w:rPr>
        <w:t>2024.</w:t>
      </w:r>
      <w:r w:rsidR="002B0DA6">
        <w:rPr>
          <w:rFonts w:hint="eastAsia"/>
        </w:rPr>
        <w:t>7</w:t>
      </w:r>
      <w:r w:rsidR="00FC2BCD">
        <w:rPr>
          <w:rFonts w:hint="eastAsia"/>
        </w:rPr>
        <w:t>）</w:t>
      </w:r>
      <w:r>
        <w:rPr>
          <w:rFonts w:hint="eastAsia"/>
        </w:rPr>
        <w:t>，本项目改建完成后三本账见下表</w:t>
      </w:r>
      <w:r>
        <w:t>。</w:t>
      </w:r>
    </w:p>
    <w:p w14:paraId="2CC3252F" w14:textId="2CF37883" w:rsidR="00606029" w:rsidRPr="00FC2BCD" w:rsidRDefault="00EA5B92">
      <w:pPr>
        <w:pStyle w:val="affffff5"/>
      </w:pPr>
      <w:r w:rsidRPr="00FC2BCD">
        <w:lastRenderedPageBreak/>
        <w:t>表</w:t>
      </w:r>
      <w:r w:rsidRPr="00FC2BCD">
        <w:t>2.3-</w:t>
      </w:r>
      <w:r w:rsidR="00472CC5" w:rsidRPr="00FC2BCD">
        <w:rPr>
          <w:rFonts w:hint="eastAsia"/>
        </w:rPr>
        <w:t xml:space="preserve">9 </w:t>
      </w:r>
      <w:r w:rsidR="00F45916" w:rsidRPr="00FC2BCD">
        <w:rPr>
          <w:rFonts w:hint="eastAsia"/>
        </w:rPr>
        <w:t>改</w:t>
      </w:r>
      <w:r w:rsidRPr="00FC2BCD">
        <w:t>建后项目三本账一览表</w:t>
      </w:r>
    </w:p>
    <w:tbl>
      <w:tblPr>
        <w:tblStyle w:val="TableNormal"/>
        <w:tblW w:w="4997" w:type="pct"/>
        <w:jc w:val="center"/>
        <w:tblInd w:w="0" w:type="dxa"/>
        <w:tblBorders>
          <w:top w:val="single" w:sz="4" w:space="0" w:color="auto"/>
          <w:left w:val="single" w:sz="4" w:space="0" w:color="auto"/>
          <w:bottom w:val="single" w:sz="4" w:space="0" w:color="auto"/>
          <w:right w:val="single" w:sz="4" w:space="0" w:color="auto"/>
          <w:insideH w:val="single" w:sz="2" w:space="0" w:color="000000"/>
          <w:insideV w:val="single" w:sz="2" w:space="0" w:color="000000"/>
        </w:tblBorders>
        <w:tblLook w:val="04A0" w:firstRow="1" w:lastRow="0" w:firstColumn="1" w:lastColumn="0" w:noHBand="0" w:noVBand="1"/>
      </w:tblPr>
      <w:tblGrid>
        <w:gridCol w:w="404"/>
        <w:gridCol w:w="1014"/>
        <w:gridCol w:w="449"/>
        <w:gridCol w:w="1107"/>
        <w:gridCol w:w="991"/>
        <w:gridCol w:w="992"/>
        <w:gridCol w:w="823"/>
        <w:gridCol w:w="969"/>
        <w:gridCol w:w="1003"/>
        <w:gridCol w:w="1077"/>
      </w:tblGrid>
      <w:tr w:rsidR="00606029" w:rsidRPr="0037274A" w14:paraId="72A1E4F7" w14:textId="77777777" w:rsidTr="001A3A47">
        <w:trPr>
          <w:trHeight w:val="57"/>
          <w:jc w:val="center"/>
        </w:trPr>
        <w:tc>
          <w:tcPr>
            <w:tcW w:w="229" w:type="pct"/>
            <w:vMerge w:val="restart"/>
            <w:tcBorders>
              <w:bottom w:val="nil"/>
            </w:tcBorders>
            <w:vAlign w:val="center"/>
          </w:tcPr>
          <w:p w14:paraId="55763698" w14:textId="77777777" w:rsidR="00606029" w:rsidRPr="00FC2BCD" w:rsidRDefault="00EA5B92">
            <w:pPr>
              <w:adjustRightInd w:val="0"/>
              <w:snapToGrid w:val="0"/>
              <w:jc w:val="center"/>
            </w:pPr>
            <w:r w:rsidRPr="00FC2BCD">
              <w:t>类别</w:t>
            </w:r>
          </w:p>
        </w:tc>
        <w:tc>
          <w:tcPr>
            <w:tcW w:w="574" w:type="pct"/>
            <w:vMerge w:val="restart"/>
            <w:tcBorders>
              <w:bottom w:val="nil"/>
            </w:tcBorders>
            <w:vAlign w:val="center"/>
          </w:tcPr>
          <w:p w14:paraId="331939BD" w14:textId="77777777" w:rsidR="00606029" w:rsidRPr="00FC2BCD" w:rsidRDefault="00EA5B92">
            <w:pPr>
              <w:adjustRightInd w:val="0"/>
              <w:snapToGrid w:val="0"/>
              <w:jc w:val="center"/>
            </w:pPr>
            <w:r w:rsidRPr="00FC2BCD">
              <w:t>名称</w:t>
            </w:r>
          </w:p>
        </w:tc>
        <w:tc>
          <w:tcPr>
            <w:tcW w:w="254" w:type="pct"/>
            <w:vMerge w:val="restart"/>
            <w:tcBorders>
              <w:bottom w:val="nil"/>
            </w:tcBorders>
            <w:vAlign w:val="center"/>
          </w:tcPr>
          <w:p w14:paraId="69C8DD4D" w14:textId="77777777" w:rsidR="00606029" w:rsidRPr="00FC2BCD" w:rsidRDefault="00EA5B92">
            <w:pPr>
              <w:adjustRightInd w:val="0"/>
              <w:snapToGrid w:val="0"/>
              <w:jc w:val="center"/>
            </w:pPr>
            <w:r w:rsidRPr="00FC2BCD">
              <w:t>单位</w:t>
            </w:r>
          </w:p>
        </w:tc>
        <w:tc>
          <w:tcPr>
            <w:tcW w:w="627" w:type="pct"/>
            <w:vMerge w:val="restart"/>
            <w:tcBorders>
              <w:bottom w:val="nil"/>
            </w:tcBorders>
            <w:vAlign w:val="center"/>
          </w:tcPr>
          <w:p w14:paraId="59DEC46A" w14:textId="77777777" w:rsidR="00606029" w:rsidRPr="00FC2BCD" w:rsidRDefault="00EA5B92">
            <w:pPr>
              <w:adjustRightInd w:val="0"/>
              <w:snapToGrid w:val="0"/>
              <w:jc w:val="center"/>
            </w:pPr>
            <w:r w:rsidRPr="00FC2BCD">
              <w:t>现有工程排放量</w:t>
            </w:r>
          </w:p>
        </w:tc>
        <w:tc>
          <w:tcPr>
            <w:tcW w:w="1589" w:type="pct"/>
            <w:gridSpan w:val="3"/>
            <w:vAlign w:val="center"/>
          </w:tcPr>
          <w:p w14:paraId="5221F07F" w14:textId="77777777" w:rsidR="00606029" w:rsidRPr="00FC2BCD" w:rsidRDefault="00EA5B92">
            <w:pPr>
              <w:adjustRightInd w:val="0"/>
              <w:snapToGrid w:val="0"/>
              <w:jc w:val="center"/>
            </w:pPr>
            <w:r w:rsidRPr="00FC2BCD">
              <w:t>本项目</w:t>
            </w:r>
          </w:p>
        </w:tc>
        <w:tc>
          <w:tcPr>
            <w:tcW w:w="549" w:type="pct"/>
            <w:vMerge w:val="restart"/>
            <w:tcBorders>
              <w:bottom w:val="nil"/>
            </w:tcBorders>
            <w:vAlign w:val="center"/>
          </w:tcPr>
          <w:p w14:paraId="7B1417BE" w14:textId="77777777" w:rsidR="00606029" w:rsidRPr="00FC2BCD" w:rsidRDefault="00EA5B92">
            <w:pPr>
              <w:adjustRightInd w:val="0"/>
              <w:snapToGrid w:val="0"/>
              <w:jc w:val="center"/>
            </w:pPr>
            <w:r w:rsidRPr="00FC2BCD">
              <w:t>“</w:t>
            </w:r>
            <w:r w:rsidRPr="00FC2BCD">
              <w:t>以新带老</w:t>
            </w:r>
            <w:r w:rsidRPr="00FC2BCD">
              <w:t>”</w:t>
            </w:r>
            <w:r w:rsidRPr="00FC2BCD">
              <w:t>削减量</w:t>
            </w:r>
          </w:p>
        </w:tc>
        <w:tc>
          <w:tcPr>
            <w:tcW w:w="568" w:type="pct"/>
            <w:vMerge w:val="restart"/>
            <w:tcBorders>
              <w:bottom w:val="nil"/>
            </w:tcBorders>
            <w:vAlign w:val="center"/>
          </w:tcPr>
          <w:p w14:paraId="4CDFCB89" w14:textId="77777777" w:rsidR="00606029" w:rsidRPr="00FC2BCD" w:rsidRDefault="00EA5B92">
            <w:pPr>
              <w:adjustRightInd w:val="0"/>
              <w:snapToGrid w:val="0"/>
              <w:jc w:val="center"/>
            </w:pPr>
            <w:r w:rsidRPr="00FC2BCD">
              <w:t>总排放量</w:t>
            </w:r>
          </w:p>
        </w:tc>
        <w:tc>
          <w:tcPr>
            <w:tcW w:w="610" w:type="pct"/>
            <w:vMerge w:val="restart"/>
            <w:tcBorders>
              <w:bottom w:val="nil"/>
            </w:tcBorders>
            <w:vAlign w:val="center"/>
          </w:tcPr>
          <w:p w14:paraId="409015D2" w14:textId="77777777" w:rsidR="00606029" w:rsidRPr="00FC2BCD" w:rsidRDefault="00EA5B92">
            <w:pPr>
              <w:adjustRightInd w:val="0"/>
              <w:snapToGrid w:val="0"/>
              <w:jc w:val="center"/>
            </w:pPr>
            <w:r w:rsidRPr="00FC2BCD">
              <w:t>排放增减量</w:t>
            </w:r>
          </w:p>
        </w:tc>
      </w:tr>
      <w:tr w:rsidR="00606029" w:rsidRPr="0037274A" w14:paraId="3D08CD56" w14:textId="77777777" w:rsidTr="001A3A47">
        <w:trPr>
          <w:trHeight w:val="57"/>
          <w:jc w:val="center"/>
        </w:trPr>
        <w:tc>
          <w:tcPr>
            <w:tcW w:w="229" w:type="pct"/>
            <w:vMerge/>
            <w:tcBorders>
              <w:top w:val="nil"/>
            </w:tcBorders>
            <w:vAlign w:val="center"/>
          </w:tcPr>
          <w:p w14:paraId="47D9C31A" w14:textId="77777777" w:rsidR="00606029" w:rsidRPr="00FC2BCD" w:rsidRDefault="00606029">
            <w:pPr>
              <w:adjustRightInd w:val="0"/>
              <w:snapToGrid w:val="0"/>
              <w:jc w:val="center"/>
            </w:pPr>
          </w:p>
        </w:tc>
        <w:tc>
          <w:tcPr>
            <w:tcW w:w="574" w:type="pct"/>
            <w:vMerge/>
            <w:tcBorders>
              <w:top w:val="nil"/>
            </w:tcBorders>
            <w:vAlign w:val="center"/>
          </w:tcPr>
          <w:p w14:paraId="081EA187" w14:textId="77777777" w:rsidR="00606029" w:rsidRPr="00FC2BCD" w:rsidRDefault="00606029">
            <w:pPr>
              <w:adjustRightInd w:val="0"/>
              <w:snapToGrid w:val="0"/>
              <w:jc w:val="center"/>
            </w:pPr>
          </w:p>
        </w:tc>
        <w:tc>
          <w:tcPr>
            <w:tcW w:w="254" w:type="pct"/>
            <w:vMerge/>
            <w:tcBorders>
              <w:top w:val="nil"/>
            </w:tcBorders>
            <w:vAlign w:val="center"/>
          </w:tcPr>
          <w:p w14:paraId="1A276CCC" w14:textId="77777777" w:rsidR="00606029" w:rsidRPr="00FC2BCD" w:rsidRDefault="00606029">
            <w:pPr>
              <w:adjustRightInd w:val="0"/>
              <w:snapToGrid w:val="0"/>
              <w:jc w:val="center"/>
            </w:pPr>
          </w:p>
        </w:tc>
        <w:tc>
          <w:tcPr>
            <w:tcW w:w="627" w:type="pct"/>
            <w:vMerge/>
            <w:tcBorders>
              <w:top w:val="nil"/>
            </w:tcBorders>
            <w:vAlign w:val="center"/>
          </w:tcPr>
          <w:p w14:paraId="75857CC9" w14:textId="77777777" w:rsidR="00606029" w:rsidRPr="00FC2BCD" w:rsidRDefault="00606029">
            <w:pPr>
              <w:adjustRightInd w:val="0"/>
              <w:snapToGrid w:val="0"/>
              <w:jc w:val="center"/>
            </w:pPr>
          </w:p>
        </w:tc>
        <w:tc>
          <w:tcPr>
            <w:tcW w:w="561" w:type="pct"/>
            <w:vAlign w:val="center"/>
          </w:tcPr>
          <w:p w14:paraId="1D113171" w14:textId="77777777" w:rsidR="00606029" w:rsidRPr="00FC2BCD" w:rsidRDefault="00EA5B92">
            <w:pPr>
              <w:adjustRightInd w:val="0"/>
              <w:snapToGrid w:val="0"/>
              <w:jc w:val="center"/>
            </w:pPr>
            <w:r w:rsidRPr="00FC2BCD">
              <w:t>产生量</w:t>
            </w:r>
          </w:p>
        </w:tc>
        <w:tc>
          <w:tcPr>
            <w:tcW w:w="562" w:type="pct"/>
            <w:vAlign w:val="center"/>
          </w:tcPr>
          <w:p w14:paraId="37A290CC" w14:textId="77777777" w:rsidR="00606029" w:rsidRPr="00FC2BCD" w:rsidRDefault="00EA5B92">
            <w:pPr>
              <w:adjustRightInd w:val="0"/>
              <w:snapToGrid w:val="0"/>
              <w:jc w:val="center"/>
            </w:pPr>
            <w:r w:rsidRPr="00FC2BCD">
              <w:t>削减量</w:t>
            </w:r>
          </w:p>
        </w:tc>
        <w:tc>
          <w:tcPr>
            <w:tcW w:w="466" w:type="pct"/>
            <w:vAlign w:val="center"/>
          </w:tcPr>
          <w:p w14:paraId="7299A64B" w14:textId="77777777" w:rsidR="00606029" w:rsidRPr="00FC2BCD" w:rsidRDefault="00EA5B92">
            <w:pPr>
              <w:adjustRightInd w:val="0"/>
              <w:snapToGrid w:val="0"/>
              <w:jc w:val="center"/>
            </w:pPr>
            <w:r w:rsidRPr="00FC2BCD">
              <w:t>排放量</w:t>
            </w:r>
          </w:p>
        </w:tc>
        <w:tc>
          <w:tcPr>
            <w:tcW w:w="549" w:type="pct"/>
            <w:vMerge/>
            <w:tcBorders>
              <w:top w:val="nil"/>
            </w:tcBorders>
            <w:vAlign w:val="center"/>
          </w:tcPr>
          <w:p w14:paraId="0B8D7054" w14:textId="77777777" w:rsidR="00606029" w:rsidRPr="00FC2BCD" w:rsidRDefault="00606029">
            <w:pPr>
              <w:adjustRightInd w:val="0"/>
              <w:snapToGrid w:val="0"/>
              <w:jc w:val="center"/>
            </w:pPr>
          </w:p>
        </w:tc>
        <w:tc>
          <w:tcPr>
            <w:tcW w:w="568" w:type="pct"/>
            <w:vMerge/>
            <w:tcBorders>
              <w:top w:val="nil"/>
            </w:tcBorders>
            <w:vAlign w:val="center"/>
          </w:tcPr>
          <w:p w14:paraId="4C1AFB57" w14:textId="77777777" w:rsidR="00606029" w:rsidRPr="00FC2BCD" w:rsidRDefault="00606029">
            <w:pPr>
              <w:adjustRightInd w:val="0"/>
              <w:snapToGrid w:val="0"/>
              <w:jc w:val="center"/>
            </w:pPr>
          </w:p>
        </w:tc>
        <w:tc>
          <w:tcPr>
            <w:tcW w:w="610" w:type="pct"/>
            <w:vMerge/>
            <w:tcBorders>
              <w:top w:val="nil"/>
            </w:tcBorders>
            <w:vAlign w:val="center"/>
          </w:tcPr>
          <w:p w14:paraId="4229149E" w14:textId="77777777" w:rsidR="00606029" w:rsidRPr="00FC2BCD" w:rsidRDefault="00606029">
            <w:pPr>
              <w:adjustRightInd w:val="0"/>
              <w:snapToGrid w:val="0"/>
              <w:jc w:val="center"/>
            </w:pPr>
          </w:p>
        </w:tc>
      </w:tr>
      <w:tr w:rsidR="00606029" w:rsidRPr="0037274A" w14:paraId="4A2CF545" w14:textId="77777777" w:rsidTr="001A3A47">
        <w:trPr>
          <w:trHeight w:val="57"/>
          <w:jc w:val="center"/>
        </w:trPr>
        <w:tc>
          <w:tcPr>
            <w:tcW w:w="229" w:type="pct"/>
            <w:tcBorders>
              <w:bottom w:val="nil"/>
            </w:tcBorders>
            <w:vAlign w:val="center"/>
          </w:tcPr>
          <w:p w14:paraId="15BA3137" w14:textId="77777777" w:rsidR="00606029" w:rsidRPr="00FC2BCD" w:rsidRDefault="00EA5B92">
            <w:pPr>
              <w:adjustRightInd w:val="0"/>
              <w:snapToGrid w:val="0"/>
              <w:jc w:val="center"/>
            </w:pPr>
            <w:r w:rsidRPr="00FC2BCD">
              <w:t>废水</w:t>
            </w:r>
          </w:p>
        </w:tc>
        <w:tc>
          <w:tcPr>
            <w:tcW w:w="574" w:type="pct"/>
            <w:vAlign w:val="center"/>
          </w:tcPr>
          <w:p w14:paraId="22FEBDB6" w14:textId="5049AE74" w:rsidR="00606029" w:rsidRPr="00FC2BCD" w:rsidRDefault="00EA5B92">
            <w:pPr>
              <w:adjustRightInd w:val="0"/>
              <w:snapToGrid w:val="0"/>
              <w:jc w:val="center"/>
            </w:pPr>
            <w:r w:rsidRPr="00FC2BCD">
              <w:t>废水</w:t>
            </w:r>
          </w:p>
        </w:tc>
        <w:tc>
          <w:tcPr>
            <w:tcW w:w="254" w:type="pct"/>
            <w:vAlign w:val="center"/>
          </w:tcPr>
          <w:p w14:paraId="21C0A179" w14:textId="32B12EA5" w:rsidR="00606029" w:rsidRPr="00FC2BCD" w:rsidRDefault="00F45916">
            <w:pPr>
              <w:adjustRightInd w:val="0"/>
              <w:snapToGrid w:val="0"/>
              <w:jc w:val="center"/>
            </w:pPr>
            <w:r w:rsidRPr="00FC2BCD">
              <w:rPr>
                <w:rFonts w:hint="eastAsia"/>
              </w:rPr>
              <w:t>t</w:t>
            </w:r>
            <w:r w:rsidR="00EA5B92" w:rsidRPr="00FC2BCD">
              <w:t>/a</w:t>
            </w:r>
          </w:p>
        </w:tc>
        <w:tc>
          <w:tcPr>
            <w:tcW w:w="627" w:type="pct"/>
            <w:vAlign w:val="center"/>
          </w:tcPr>
          <w:p w14:paraId="75FF54D4" w14:textId="4EA269B9" w:rsidR="00606029" w:rsidRPr="00FC2BCD" w:rsidRDefault="004F6C84">
            <w:pPr>
              <w:adjustRightInd w:val="0"/>
              <w:snapToGrid w:val="0"/>
              <w:jc w:val="center"/>
            </w:pPr>
            <w:r w:rsidRPr="00FC2BCD">
              <w:rPr>
                <w:rFonts w:hint="eastAsia"/>
              </w:rPr>
              <w:t>0</w:t>
            </w:r>
          </w:p>
        </w:tc>
        <w:tc>
          <w:tcPr>
            <w:tcW w:w="561" w:type="pct"/>
            <w:vAlign w:val="center"/>
          </w:tcPr>
          <w:p w14:paraId="5F6639DB" w14:textId="11B1B151" w:rsidR="00606029" w:rsidRPr="00FC2BCD" w:rsidRDefault="004F6C84">
            <w:pPr>
              <w:adjustRightInd w:val="0"/>
              <w:snapToGrid w:val="0"/>
              <w:jc w:val="center"/>
            </w:pPr>
            <w:r w:rsidRPr="00FC2BCD">
              <w:rPr>
                <w:rFonts w:hint="eastAsia"/>
              </w:rPr>
              <w:t>223.5</w:t>
            </w:r>
          </w:p>
        </w:tc>
        <w:tc>
          <w:tcPr>
            <w:tcW w:w="562" w:type="pct"/>
            <w:vAlign w:val="center"/>
          </w:tcPr>
          <w:p w14:paraId="6FC675AD" w14:textId="0D545CDF" w:rsidR="00606029" w:rsidRPr="00FC2BCD" w:rsidRDefault="004F6C84">
            <w:pPr>
              <w:adjustRightInd w:val="0"/>
              <w:snapToGrid w:val="0"/>
              <w:jc w:val="center"/>
            </w:pPr>
            <w:r w:rsidRPr="00FC2BCD">
              <w:rPr>
                <w:rFonts w:hint="eastAsia"/>
              </w:rPr>
              <w:t>223.5</w:t>
            </w:r>
          </w:p>
        </w:tc>
        <w:tc>
          <w:tcPr>
            <w:tcW w:w="466" w:type="pct"/>
            <w:vAlign w:val="center"/>
          </w:tcPr>
          <w:p w14:paraId="2B9D5600" w14:textId="6C060381" w:rsidR="00606029" w:rsidRPr="00FC2BCD" w:rsidRDefault="004F6C84">
            <w:pPr>
              <w:adjustRightInd w:val="0"/>
              <w:snapToGrid w:val="0"/>
              <w:jc w:val="center"/>
            </w:pPr>
            <w:r w:rsidRPr="00FC2BCD">
              <w:rPr>
                <w:rFonts w:hint="eastAsia"/>
              </w:rPr>
              <w:t>0</w:t>
            </w:r>
          </w:p>
        </w:tc>
        <w:tc>
          <w:tcPr>
            <w:tcW w:w="549" w:type="pct"/>
            <w:vAlign w:val="center"/>
          </w:tcPr>
          <w:p w14:paraId="4DF9040F" w14:textId="4C42800D" w:rsidR="00606029" w:rsidRPr="00FC2BCD" w:rsidRDefault="004F6C84">
            <w:pPr>
              <w:adjustRightInd w:val="0"/>
              <w:snapToGrid w:val="0"/>
              <w:jc w:val="center"/>
            </w:pPr>
            <w:r w:rsidRPr="00FC2BCD">
              <w:rPr>
                <w:rFonts w:hint="eastAsia"/>
              </w:rPr>
              <w:t>0</w:t>
            </w:r>
          </w:p>
        </w:tc>
        <w:tc>
          <w:tcPr>
            <w:tcW w:w="568" w:type="pct"/>
            <w:vAlign w:val="center"/>
          </w:tcPr>
          <w:p w14:paraId="651D86EB" w14:textId="711EE3CB" w:rsidR="00606029" w:rsidRPr="00FC2BCD" w:rsidRDefault="004F6C84">
            <w:pPr>
              <w:adjustRightInd w:val="0"/>
              <w:snapToGrid w:val="0"/>
              <w:jc w:val="center"/>
            </w:pPr>
            <w:r w:rsidRPr="00FC2BCD">
              <w:rPr>
                <w:rFonts w:hint="eastAsia"/>
              </w:rPr>
              <w:t>0</w:t>
            </w:r>
          </w:p>
        </w:tc>
        <w:tc>
          <w:tcPr>
            <w:tcW w:w="610" w:type="pct"/>
            <w:vAlign w:val="center"/>
          </w:tcPr>
          <w:p w14:paraId="38CDCC8C" w14:textId="0C00F045" w:rsidR="00606029" w:rsidRPr="00FC2BCD" w:rsidRDefault="004F6C84">
            <w:pPr>
              <w:adjustRightInd w:val="0"/>
              <w:snapToGrid w:val="0"/>
              <w:jc w:val="center"/>
            </w:pPr>
            <w:r w:rsidRPr="00FC2BCD">
              <w:rPr>
                <w:rFonts w:hint="eastAsia"/>
              </w:rPr>
              <w:t>0</w:t>
            </w:r>
          </w:p>
        </w:tc>
      </w:tr>
      <w:tr w:rsidR="00FC2BCD" w:rsidRPr="0037274A" w14:paraId="6AEA77FF" w14:textId="77777777" w:rsidTr="001A3A47">
        <w:trPr>
          <w:trHeight w:val="57"/>
          <w:jc w:val="center"/>
        </w:trPr>
        <w:tc>
          <w:tcPr>
            <w:tcW w:w="229" w:type="pct"/>
            <w:vMerge w:val="restart"/>
            <w:vAlign w:val="center"/>
          </w:tcPr>
          <w:p w14:paraId="25B67DF8" w14:textId="77777777" w:rsidR="00FC2BCD" w:rsidRPr="00FC2BCD" w:rsidRDefault="00FC2BCD">
            <w:pPr>
              <w:adjustRightInd w:val="0"/>
              <w:snapToGrid w:val="0"/>
              <w:jc w:val="center"/>
            </w:pPr>
            <w:r w:rsidRPr="00FC2BCD">
              <w:t>废气</w:t>
            </w:r>
          </w:p>
        </w:tc>
        <w:tc>
          <w:tcPr>
            <w:tcW w:w="574" w:type="pct"/>
            <w:tcBorders>
              <w:bottom w:val="single" w:sz="2" w:space="0" w:color="000000"/>
            </w:tcBorders>
            <w:vAlign w:val="center"/>
          </w:tcPr>
          <w:p w14:paraId="650B698F" w14:textId="77777777" w:rsidR="00FC2BCD" w:rsidRPr="00FC2BCD" w:rsidRDefault="00FC2BCD">
            <w:pPr>
              <w:adjustRightInd w:val="0"/>
              <w:snapToGrid w:val="0"/>
              <w:jc w:val="center"/>
            </w:pPr>
            <w:r w:rsidRPr="00FC2BCD">
              <w:t>颗粒物</w:t>
            </w:r>
          </w:p>
        </w:tc>
        <w:tc>
          <w:tcPr>
            <w:tcW w:w="254" w:type="pct"/>
            <w:tcBorders>
              <w:bottom w:val="single" w:sz="2" w:space="0" w:color="000000"/>
            </w:tcBorders>
            <w:vAlign w:val="center"/>
          </w:tcPr>
          <w:p w14:paraId="01DD8452" w14:textId="77777777" w:rsidR="00FC2BCD" w:rsidRPr="00FC2BCD" w:rsidRDefault="00FC2BCD">
            <w:pPr>
              <w:adjustRightInd w:val="0"/>
              <w:snapToGrid w:val="0"/>
              <w:jc w:val="center"/>
            </w:pPr>
            <w:r w:rsidRPr="00FC2BCD">
              <w:t>t/a</w:t>
            </w:r>
          </w:p>
        </w:tc>
        <w:tc>
          <w:tcPr>
            <w:tcW w:w="627" w:type="pct"/>
            <w:tcBorders>
              <w:bottom w:val="single" w:sz="2" w:space="0" w:color="000000"/>
            </w:tcBorders>
            <w:vAlign w:val="center"/>
          </w:tcPr>
          <w:p w14:paraId="2A29EA73" w14:textId="690CDD37" w:rsidR="00FC2BCD" w:rsidRPr="00FC2BCD" w:rsidRDefault="00FC2BCD">
            <w:pPr>
              <w:adjustRightInd w:val="0"/>
              <w:snapToGrid w:val="0"/>
              <w:jc w:val="center"/>
            </w:pPr>
            <w:r w:rsidRPr="00FC2BCD">
              <w:rPr>
                <w:rFonts w:hint="eastAsia"/>
              </w:rPr>
              <w:t>1.2406</w:t>
            </w:r>
          </w:p>
        </w:tc>
        <w:tc>
          <w:tcPr>
            <w:tcW w:w="561" w:type="pct"/>
            <w:tcBorders>
              <w:bottom w:val="single" w:sz="2" w:space="0" w:color="000000"/>
            </w:tcBorders>
            <w:vAlign w:val="center"/>
          </w:tcPr>
          <w:p w14:paraId="2513FB26" w14:textId="0171F209" w:rsidR="00FC2BCD" w:rsidRPr="00FC2BCD" w:rsidRDefault="00FC2BCD">
            <w:pPr>
              <w:adjustRightInd w:val="0"/>
              <w:snapToGrid w:val="0"/>
              <w:jc w:val="center"/>
            </w:pPr>
            <w:r w:rsidRPr="00FC2BCD">
              <w:t>0.0224</w:t>
            </w:r>
          </w:p>
        </w:tc>
        <w:tc>
          <w:tcPr>
            <w:tcW w:w="562" w:type="pct"/>
            <w:tcBorders>
              <w:bottom w:val="single" w:sz="2" w:space="0" w:color="000000"/>
            </w:tcBorders>
            <w:vAlign w:val="center"/>
          </w:tcPr>
          <w:p w14:paraId="0A96A238" w14:textId="77777777" w:rsidR="00FC2BCD" w:rsidRPr="00FC2BCD" w:rsidRDefault="00FC2BCD">
            <w:pPr>
              <w:adjustRightInd w:val="0"/>
              <w:snapToGrid w:val="0"/>
              <w:jc w:val="center"/>
            </w:pPr>
            <w:r w:rsidRPr="00FC2BCD">
              <w:t>0</w:t>
            </w:r>
          </w:p>
        </w:tc>
        <w:tc>
          <w:tcPr>
            <w:tcW w:w="466" w:type="pct"/>
            <w:tcBorders>
              <w:bottom w:val="single" w:sz="2" w:space="0" w:color="000000"/>
            </w:tcBorders>
            <w:vAlign w:val="center"/>
          </w:tcPr>
          <w:p w14:paraId="4FDA07C6" w14:textId="542CFA92" w:rsidR="00FC2BCD" w:rsidRPr="00FC2BCD" w:rsidRDefault="00FC2BCD">
            <w:pPr>
              <w:adjustRightInd w:val="0"/>
              <w:snapToGrid w:val="0"/>
              <w:jc w:val="center"/>
            </w:pPr>
            <w:r w:rsidRPr="00FC2BCD">
              <w:t>0.0224</w:t>
            </w:r>
          </w:p>
        </w:tc>
        <w:tc>
          <w:tcPr>
            <w:tcW w:w="549" w:type="pct"/>
            <w:vAlign w:val="center"/>
          </w:tcPr>
          <w:p w14:paraId="7A691111" w14:textId="556788A2" w:rsidR="00FC2BCD" w:rsidRPr="00FC2BCD" w:rsidRDefault="00FC2BCD">
            <w:pPr>
              <w:adjustRightInd w:val="0"/>
              <w:snapToGrid w:val="0"/>
              <w:jc w:val="center"/>
            </w:pPr>
            <w:r w:rsidRPr="00FC2BCD">
              <w:rPr>
                <w:rFonts w:hint="eastAsia"/>
              </w:rPr>
              <w:t>0</w:t>
            </w:r>
          </w:p>
        </w:tc>
        <w:tc>
          <w:tcPr>
            <w:tcW w:w="568" w:type="pct"/>
            <w:vAlign w:val="center"/>
          </w:tcPr>
          <w:p w14:paraId="2BC0A6B9" w14:textId="6C4CC945" w:rsidR="00FC2BCD" w:rsidRPr="00FC2BCD" w:rsidRDefault="00FC2BCD">
            <w:pPr>
              <w:adjustRightInd w:val="0"/>
              <w:snapToGrid w:val="0"/>
              <w:jc w:val="center"/>
            </w:pPr>
            <w:r w:rsidRPr="00FC2BCD">
              <w:rPr>
                <w:rFonts w:hint="eastAsia"/>
              </w:rPr>
              <w:t>1.263</w:t>
            </w:r>
          </w:p>
        </w:tc>
        <w:tc>
          <w:tcPr>
            <w:tcW w:w="610" w:type="pct"/>
            <w:vAlign w:val="center"/>
          </w:tcPr>
          <w:p w14:paraId="18C8D044" w14:textId="66544363" w:rsidR="00FC2BCD" w:rsidRPr="00FC2BCD" w:rsidRDefault="00FC2BCD">
            <w:pPr>
              <w:adjustRightInd w:val="0"/>
              <w:snapToGrid w:val="0"/>
              <w:jc w:val="center"/>
            </w:pPr>
            <w:r w:rsidRPr="00FC2BCD">
              <w:rPr>
                <w:rFonts w:hint="eastAsia"/>
              </w:rPr>
              <w:t>+0.0224</w:t>
            </w:r>
          </w:p>
        </w:tc>
      </w:tr>
      <w:tr w:rsidR="00FC2BCD" w:rsidRPr="0037274A" w14:paraId="0B2CA5A7" w14:textId="77777777" w:rsidTr="001A3A47">
        <w:trPr>
          <w:trHeight w:val="57"/>
          <w:jc w:val="center"/>
        </w:trPr>
        <w:tc>
          <w:tcPr>
            <w:tcW w:w="229" w:type="pct"/>
            <w:vMerge/>
            <w:vAlign w:val="center"/>
          </w:tcPr>
          <w:p w14:paraId="20E3EF96" w14:textId="77777777" w:rsidR="00FC2BCD" w:rsidRPr="00FC2BCD" w:rsidRDefault="00FC2BCD" w:rsidP="00FC2BCD">
            <w:pPr>
              <w:adjustRightInd w:val="0"/>
              <w:snapToGrid w:val="0"/>
              <w:jc w:val="center"/>
            </w:pPr>
          </w:p>
        </w:tc>
        <w:tc>
          <w:tcPr>
            <w:tcW w:w="574" w:type="pct"/>
            <w:tcBorders>
              <w:top w:val="single" w:sz="2" w:space="0" w:color="000000"/>
              <w:bottom w:val="single" w:sz="4" w:space="0" w:color="000000"/>
            </w:tcBorders>
            <w:vAlign w:val="center"/>
          </w:tcPr>
          <w:p w14:paraId="636B0EC1" w14:textId="0960B6E0" w:rsidR="00FC2BCD" w:rsidRPr="00FC2BCD" w:rsidRDefault="00FC2BCD" w:rsidP="00FC2BCD">
            <w:pPr>
              <w:adjustRightInd w:val="0"/>
              <w:snapToGrid w:val="0"/>
              <w:jc w:val="center"/>
            </w:pPr>
            <w:r w:rsidRPr="00FC2BCD">
              <w:rPr>
                <w:rFonts w:hint="eastAsia"/>
              </w:rPr>
              <w:t>SO</w:t>
            </w:r>
            <w:r w:rsidRPr="00FC2BCD">
              <w:rPr>
                <w:rFonts w:hint="eastAsia"/>
                <w:vertAlign w:val="subscript"/>
              </w:rPr>
              <w:t>2</w:t>
            </w:r>
          </w:p>
        </w:tc>
        <w:tc>
          <w:tcPr>
            <w:tcW w:w="254" w:type="pct"/>
            <w:tcBorders>
              <w:top w:val="single" w:sz="2" w:space="0" w:color="000000"/>
              <w:bottom w:val="single" w:sz="4" w:space="0" w:color="000000"/>
            </w:tcBorders>
            <w:vAlign w:val="center"/>
          </w:tcPr>
          <w:p w14:paraId="1D21E3F9" w14:textId="3A4DAA58" w:rsidR="00FC2BCD" w:rsidRPr="00FC2BCD" w:rsidRDefault="00FC2BCD" w:rsidP="00FC2BCD">
            <w:pPr>
              <w:adjustRightInd w:val="0"/>
              <w:snapToGrid w:val="0"/>
              <w:jc w:val="center"/>
            </w:pPr>
            <w:r w:rsidRPr="00FC2BCD">
              <w:t>t/a</w:t>
            </w:r>
          </w:p>
        </w:tc>
        <w:tc>
          <w:tcPr>
            <w:tcW w:w="627" w:type="pct"/>
            <w:tcBorders>
              <w:top w:val="single" w:sz="2" w:space="0" w:color="000000"/>
              <w:bottom w:val="single" w:sz="4" w:space="0" w:color="000000"/>
            </w:tcBorders>
            <w:vAlign w:val="center"/>
          </w:tcPr>
          <w:p w14:paraId="3833837A" w14:textId="14145CB1" w:rsidR="00FC2BCD" w:rsidRPr="00FC2BCD" w:rsidRDefault="00FC2BCD" w:rsidP="00FC2BCD">
            <w:pPr>
              <w:adjustRightInd w:val="0"/>
              <w:snapToGrid w:val="0"/>
              <w:jc w:val="center"/>
            </w:pPr>
            <w:r w:rsidRPr="00FC2BCD">
              <w:rPr>
                <w:rFonts w:hint="eastAsia"/>
              </w:rPr>
              <w:t>26.0464</w:t>
            </w:r>
          </w:p>
        </w:tc>
        <w:tc>
          <w:tcPr>
            <w:tcW w:w="561" w:type="pct"/>
            <w:tcBorders>
              <w:top w:val="single" w:sz="2" w:space="0" w:color="000000"/>
              <w:bottom w:val="single" w:sz="4" w:space="0" w:color="000000"/>
            </w:tcBorders>
            <w:vAlign w:val="center"/>
          </w:tcPr>
          <w:p w14:paraId="2B47A5C1" w14:textId="45D11F13" w:rsidR="00FC2BCD" w:rsidRPr="00FC2BCD" w:rsidRDefault="00FC2BCD" w:rsidP="00FC2BCD">
            <w:pPr>
              <w:adjustRightInd w:val="0"/>
              <w:snapToGrid w:val="0"/>
              <w:jc w:val="center"/>
            </w:pPr>
            <w:r w:rsidRPr="00FC2BCD">
              <w:t>/</w:t>
            </w:r>
          </w:p>
        </w:tc>
        <w:tc>
          <w:tcPr>
            <w:tcW w:w="562" w:type="pct"/>
            <w:tcBorders>
              <w:top w:val="single" w:sz="2" w:space="0" w:color="000000"/>
              <w:bottom w:val="single" w:sz="4" w:space="0" w:color="000000"/>
            </w:tcBorders>
            <w:vAlign w:val="center"/>
          </w:tcPr>
          <w:p w14:paraId="76AEAD0F" w14:textId="1A09EF73" w:rsidR="00FC2BCD" w:rsidRPr="00FC2BCD" w:rsidRDefault="00FC2BCD" w:rsidP="00FC2BCD">
            <w:pPr>
              <w:adjustRightInd w:val="0"/>
              <w:snapToGrid w:val="0"/>
              <w:jc w:val="center"/>
            </w:pPr>
            <w:r w:rsidRPr="00FC2BCD">
              <w:t>/</w:t>
            </w:r>
          </w:p>
        </w:tc>
        <w:tc>
          <w:tcPr>
            <w:tcW w:w="466" w:type="pct"/>
            <w:tcBorders>
              <w:top w:val="single" w:sz="2" w:space="0" w:color="000000"/>
              <w:bottom w:val="single" w:sz="4" w:space="0" w:color="000000"/>
              <w:right w:val="single" w:sz="4" w:space="0" w:color="000000"/>
            </w:tcBorders>
            <w:vAlign w:val="center"/>
          </w:tcPr>
          <w:p w14:paraId="26321163" w14:textId="7F48796E" w:rsidR="00FC2BCD" w:rsidRPr="00FC2BCD" w:rsidRDefault="00FC2BCD" w:rsidP="00FC2BCD">
            <w:pPr>
              <w:adjustRightInd w:val="0"/>
              <w:snapToGrid w:val="0"/>
              <w:jc w:val="center"/>
            </w:pPr>
            <w:r w:rsidRPr="00FC2BCD">
              <w:t>/</w:t>
            </w:r>
          </w:p>
        </w:tc>
        <w:tc>
          <w:tcPr>
            <w:tcW w:w="549" w:type="pct"/>
            <w:tcBorders>
              <w:left w:val="single" w:sz="4" w:space="0" w:color="000000"/>
            </w:tcBorders>
          </w:tcPr>
          <w:p w14:paraId="69D1BD08" w14:textId="0DC36621" w:rsidR="00FC2BCD" w:rsidRPr="00FC2BCD" w:rsidRDefault="00FC2BCD" w:rsidP="00FC2BCD">
            <w:pPr>
              <w:adjustRightInd w:val="0"/>
              <w:snapToGrid w:val="0"/>
              <w:jc w:val="center"/>
            </w:pPr>
            <w:r w:rsidRPr="00FC2BCD">
              <w:t>/</w:t>
            </w:r>
          </w:p>
        </w:tc>
        <w:tc>
          <w:tcPr>
            <w:tcW w:w="568" w:type="pct"/>
            <w:vAlign w:val="center"/>
          </w:tcPr>
          <w:p w14:paraId="2E4DD358" w14:textId="3E7630EB" w:rsidR="00FC2BCD" w:rsidRPr="00FC2BCD" w:rsidRDefault="00FC2BCD" w:rsidP="00FC2BCD">
            <w:pPr>
              <w:adjustRightInd w:val="0"/>
              <w:snapToGrid w:val="0"/>
              <w:jc w:val="center"/>
            </w:pPr>
            <w:r w:rsidRPr="00FC2BCD">
              <w:rPr>
                <w:rFonts w:hint="eastAsia"/>
              </w:rPr>
              <w:t>26.0464</w:t>
            </w:r>
          </w:p>
        </w:tc>
        <w:tc>
          <w:tcPr>
            <w:tcW w:w="610" w:type="pct"/>
            <w:vAlign w:val="center"/>
          </w:tcPr>
          <w:p w14:paraId="7AB19EF9" w14:textId="123DAC2B" w:rsidR="00FC2BCD" w:rsidRPr="00FC2BCD" w:rsidRDefault="00FC2BCD" w:rsidP="00FC2BCD">
            <w:pPr>
              <w:adjustRightInd w:val="0"/>
              <w:snapToGrid w:val="0"/>
              <w:jc w:val="center"/>
            </w:pPr>
            <w:r w:rsidRPr="00614404">
              <w:rPr>
                <w:rFonts w:hint="eastAsia"/>
              </w:rPr>
              <w:t>0</w:t>
            </w:r>
          </w:p>
        </w:tc>
      </w:tr>
      <w:tr w:rsidR="00FC2BCD" w:rsidRPr="0037274A" w14:paraId="7CC4490A" w14:textId="77777777" w:rsidTr="001A3A47">
        <w:trPr>
          <w:trHeight w:val="57"/>
          <w:jc w:val="center"/>
        </w:trPr>
        <w:tc>
          <w:tcPr>
            <w:tcW w:w="229" w:type="pct"/>
            <w:vMerge/>
            <w:vAlign w:val="center"/>
          </w:tcPr>
          <w:p w14:paraId="7B9EAAF3" w14:textId="77777777" w:rsidR="00FC2BCD" w:rsidRPr="00FC2BCD" w:rsidRDefault="00FC2BCD" w:rsidP="00FC2BCD">
            <w:pPr>
              <w:adjustRightInd w:val="0"/>
              <w:snapToGrid w:val="0"/>
              <w:jc w:val="center"/>
            </w:pPr>
          </w:p>
        </w:tc>
        <w:tc>
          <w:tcPr>
            <w:tcW w:w="574" w:type="pct"/>
            <w:tcBorders>
              <w:top w:val="single" w:sz="4" w:space="0" w:color="000000"/>
              <w:bottom w:val="single" w:sz="4" w:space="0" w:color="000000"/>
            </w:tcBorders>
            <w:vAlign w:val="center"/>
          </w:tcPr>
          <w:p w14:paraId="111123A4" w14:textId="08463644" w:rsidR="00FC2BCD" w:rsidRPr="00FC2BCD" w:rsidRDefault="00FC2BCD" w:rsidP="00FC2BCD">
            <w:pPr>
              <w:adjustRightInd w:val="0"/>
              <w:snapToGrid w:val="0"/>
              <w:jc w:val="center"/>
            </w:pPr>
            <w:r w:rsidRPr="00FC2BCD">
              <w:rPr>
                <w:rFonts w:hint="eastAsia"/>
              </w:rPr>
              <w:t>NOx</w:t>
            </w:r>
          </w:p>
        </w:tc>
        <w:tc>
          <w:tcPr>
            <w:tcW w:w="254" w:type="pct"/>
            <w:tcBorders>
              <w:top w:val="single" w:sz="4" w:space="0" w:color="000000"/>
              <w:bottom w:val="single" w:sz="4" w:space="0" w:color="000000"/>
            </w:tcBorders>
            <w:vAlign w:val="center"/>
          </w:tcPr>
          <w:p w14:paraId="59910BB1" w14:textId="508CBC39" w:rsidR="00FC2BCD" w:rsidRPr="00FC2BCD" w:rsidRDefault="00FC2BCD" w:rsidP="00FC2BCD">
            <w:pPr>
              <w:adjustRightInd w:val="0"/>
              <w:snapToGrid w:val="0"/>
              <w:jc w:val="center"/>
            </w:pPr>
            <w:r w:rsidRPr="00FC2BCD">
              <w:t>t/a</w:t>
            </w:r>
          </w:p>
        </w:tc>
        <w:tc>
          <w:tcPr>
            <w:tcW w:w="627" w:type="pct"/>
            <w:tcBorders>
              <w:top w:val="single" w:sz="4" w:space="0" w:color="000000"/>
              <w:bottom w:val="single" w:sz="4" w:space="0" w:color="000000"/>
            </w:tcBorders>
            <w:vAlign w:val="center"/>
          </w:tcPr>
          <w:p w14:paraId="2C7A5939" w14:textId="61F00B3A" w:rsidR="00FC2BCD" w:rsidRPr="00FC2BCD" w:rsidRDefault="00FC2BCD" w:rsidP="00FC2BCD">
            <w:pPr>
              <w:adjustRightInd w:val="0"/>
              <w:snapToGrid w:val="0"/>
              <w:jc w:val="center"/>
            </w:pPr>
            <w:r w:rsidRPr="00FC2BCD">
              <w:rPr>
                <w:rFonts w:hint="eastAsia"/>
              </w:rPr>
              <w:t>108.6767</w:t>
            </w:r>
          </w:p>
        </w:tc>
        <w:tc>
          <w:tcPr>
            <w:tcW w:w="561" w:type="pct"/>
            <w:tcBorders>
              <w:top w:val="single" w:sz="4" w:space="0" w:color="000000"/>
              <w:bottom w:val="single" w:sz="4" w:space="0" w:color="000000"/>
            </w:tcBorders>
            <w:vAlign w:val="center"/>
          </w:tcPr>
          <w:p w14:paraId="6CBDA3F7" w14:textId="02A1F393" w:rsidR="00FC2BCD" w:rsidRPr="00FC2BCD" w:rsidRDefault="00FC2BCD" w:rsidP="00FC2BCD">
            <w:pPr>
              <w:adjustRightInd w:val="0"/>
              <w:snapToGrid w:val="0"/>
              <w:jc w:val="center"/>
            </w:pPr>
            <w:r w:rsidRPr="00FC2BCD">
              <w:t>/</w:t>
            </w:r>
          </w:p>
        </w:tc>
        <w:tc>
          <w:tcPr>
            <w:tcW w:w="562" w:type="pct"/>
            <w:tcBorders>
              <w:top w:val="single" w:sz="4" w:space="0" w:color="000000"/>
              <w:bottom w:val="single" w:sz="4" w:space="0" w:color="000000"/>
            </w:tcBorders>
            <w:vAlign w:val="center"/>
          </w:tcPr>
          <w:p w14:paraId="424826C7" w14:textId="0A33C63B" w:rsidR="00FC2BCD" w:rsidRPr="00FC2BCD" w:rsidRDefault="00FC2BCD" w:rsidP="00FC2BCD">
            <w:pPr>
              <w:adjustRightInd w:val="0"/>
              <w:snapToGrid w:val="0"/>
              <w:jc w:val="center"/>
            </w:pPr>
            <w:r w:rsidRPr="00FC2BCD">
              <w:t>/</w:t>
            </w:r>
          </w:p>
        </w:tc>
        <w:tc>
          <w:tcPr>
            <w:tcW w:w="466" w:type="pct"/>
            <w:tcBorders>
              <w:top w:val="single" w:sz="4" w:space="0" w:color="000000"/>
              <w:bottom w:val="single" w:sz="4" w:space="0" w:color="000000"/>
              <w:right w:val="single" w:sz="4" w:space="0" w:color="000000"/>
            </w:tcBorders>
            <w:vAlign w:val="center"/>
          </w:tcPr>
          <w:p w14:paraId="6504776F" w14:textId="1A67736A" w:rsidR="00FC2BCD" w:rsidRPr="00FC2BCD" w:rsidRDefault="00FC2BCD" w:rsidP="00FC2BCD">
            <w:pPr>
              <w:adjustRightInd w:val="0"/>
              <w:snapToGrid w:val="0"/>
              <w:jc w:val="center"/>
            </w:pPr>
            <w:r w:rsidRPr="00FC2BCD">
              <w:t>/</w:t>
            </w:r>
          </w:p>
        </w:tc>
        <w:tc>
          <w:tcPr>
            <w:tcW w:w="549" w:type="pct"/>
            <w:tcBorders>
              <w:left w:val="single" w:sz="4" w:space="0" w:color="000000"/>
            </w:tcBorders>
          </w:tcPr>
          <w:p w14:paraId="7766C0AD" w14:textId="1C31B172" w:rsidR="00FC2BCD" w:rsidRPr="00FC2BCD" w:rsidRDefault="00FC2BCD" w:rsidP="00FC2BCD">
            <w:pPr>
              <w:adjustRightInd w:val="0"/>
              <w:snapToGrid w:val="0"/>
              <w:jc w:val="center"/>
            </w:pPr>
            <w:r w:rsidRPr="00FC2BCD">
              <w:t>/</w:t>
            </w:r>
          </w:p>
        </w:tc>
        <w:tc>
          <w:tcPr>
            <w:tcW w:w="568" w:type="pct"/>
            <w:vAlign w:val="center"/>
          </w:tcPr>
          <w:p w14:paraId="3BFAA781" w14:textId="573F8F12" w:rsidR="00FC2BCD" w:rsidRPr="00FC2BCD" w:rsidRDefault="00FC2BCD" w:rsidP="00FC2BCD">
            <w:pPr>
              <w:adjustRightInd w:val="0"/>
              <w:snapToGrid w:val="0"/>
              <w:jc w:val="center"/>
            </w:pPr>
            <w:r w:rsidRPr="00FC2BCD">
              <w:rPr>
                <w:rFonts w:hint="eastAsia"/>
              </w:rPr>
              <w:t>108.6767</w:t>
            </w:r>
          </w:p>
        </w:tc>
        <w:tc>
          <w:tcPr>
            <w:tcW w:w="610" w:type="pct"/>
            <w:vAlign w:val="center"/>
          </w:tcPr>
          <w:p w14:paraId="19F8E70B" w14:textId="77C583EC" w:rsidR="00FC2BCD" w:rsidRPr="00FC2BCD" w:rsidRDefault="00FC2BCD" w:rsidP="00FC2BCD">
            <w:pPr>
              <w:adjustRightInd w:val="0"/>
              <w:snapToGrid w:val="0"/>
              <w:jc w:val="center"/>
            </w:pPr>
            <w:r w:rsidRPr="00614404">
              <w:rPr>
                <w:rFonts w:hint="eastAsia"/>
              </w:rPr>
              <w:t>0</w:t>
            </w:r>
          </w:p>
        </w:tc>
      </w:tr>
      <w:tr w:rsidR="00FC2BCD" w:rsidRPr="0037274A" w14:paraId="0381CC80" w14:textId="77777777" w:rsidTr="001A3A47">
        <w:trPr>
          <w:trHeight w:val="57"/>
          <w:jc w:val="center"/>
        </w:trPr>
        <w:tc>
          <w:tcPr>
            <w:tcW w:w="229" w:type="pct"/>
            <w:vMerge/>
            <w:vAlign w:val="center"/>
          </w:tcPr>
          <w:p w14:paraId="2E138FC3" w14:textId="77777777" w:rsidR="00FC2BCD" w:rsidRPr="00FC2BCD" w:rsidRDefault="00FC2BCD" w:rsidP="00FC2BCD">
            <w:pPr>
              <w:adjustRightInd w:val="0"/>
              <w:snapToGrid w:val="0"/>
              <w:jc w:val="center"/>
            </w:pPr>
          </w:p>
        </w:tc>
        <w:tc>
          <w:tcPr>
            <w:tcW w:w="574" w:type="pct"/>
            <w:tcBorders>
              <w:top w:val="single" w:sz="4" w:space="0" w:color="000000"/>
              <w:left w:val="nil"/>
              <w:bottom w:val="single" w:sz="4" w:space="0" w:color="000000"/>
              <w:right w:val="nil"/>
            </w:tcBorders>
            <w:vAlign w:val="center"/>
          </w:tcPr>
          <w:p w14:paraId="3F7F05E7" w14:textId="007A159B" w:rsidR="00FC2BCD" w:rsidRPr="00FC2BCD" w:rsidRDefault="00FC2BCD" w:rsidP="00FC2BCD">
            <w:pPr>
              <w:adjustRightInd w:val="0"/>
              <w:snapToGrid w:val="0"/>
              <w:jc w:val="center"/>
            </w:pPr>
            <w:r w:rsidRPr="00FC2BCD">
              <w:rPr>
                <w:rFonts w:hint="eastAsia"/>
                <w:color w:val="000000"/>
                <w:sz w:val="22"/>
                <w:szCs w:val="22"/>
              </w:rPr>
              <w:t>汞及其化合物</w:t>
            </w:r>
          </w:p>
        </w:tc>
        <w:tc>
          <w:tcPr>
            <w:tcW w:w="254" w:type="pct"/>
            <w:tcBorders>
              <w:top w:val="single" w:sz="4" w:space="0" w:color="000000"/>
              <w:bottom w:val="single" w:sz="4" w:space="0" w:color="000000"/>
            </w:tcBorders>
            <w:vAlign w:val="center"/>
          </w:tcPr>
          <w:p w14:paraId="07125580" w14:textId="330A56B5" w:rsidR="00FC2BCD" w:rsidRPr="00FC2BCD" w:rsidRDefault="00FC2BCD" w:rsidP="00FC2BCD">
            <w:pPr>
              <w:adjustRightInd w:val="0"/>
              <w:snapToGrid w:val="0"/>
              <w:jc w:val="center"/>
            </w:pPr>
            <w:r w:rsidRPr="00FC2BCD">
              <w:rPr>
                <w:rFonts w:hint="eastAsia"/>
              </w:rPr>
              <w:t>t</w:t>
            </w:r>
            <w:r w:rsidRPr="00FC2BCD">
              <w:t>/a</w:t>
            </w:r>
          </w:p>
        </w:tc>
        <w:tc>
          <w:tcPr>
            <w:tcW w:w="627" w:type="pct"/>
            <w:tcBorders>
              <w:top w:val="single" w:sz="4" w:space="0" w:color="000000"/>
              <w:left w:val="nil"/>
              <w:bottom w:val="single" w:sz="4" w:space="0" w:color="000000"/>
              <w:right w:val="nil"/>
            </w:tcBorders>
            <w:vAlign w:val="center"/>
          </w:tcPr>
          <w:p w14:paraId="6566B629" w14:textId="42365B2B" w:rsidR="00FC2BCD" w:rsidRPr="00FC2BCD" w:rsidRDefault="00FC2BCD" w:rsidP="00FC2BCD">
            <w:pPr>
              <w:adjustRightInd w:val="0"/>
              <w:snapToGrid w:val="0"/>
              <w:jc w:val="center"/>
            </w:pPr>
            <w:r w:rsidRPr="00FC2BCD">
              <w:rPr>
                <w:rFonts w:hint="eastAsia"/>
                <w:color w:val="000000"/>
                <w:sz w:val="22"/>
                <w:szCs w:val="22"/>
              </w:rPr>
              <w:t>0.00047</w:t>
            </w:r>
          </w:p>
        </w:tc>
        <w:tc>
          <w:tcPr>
            <w:tcW w:w="561" w:type="pct"/>
            <w:tcBorders>
              <w:top w:val="single" w:sz="4" w:space="0" w:color="000000"/>
              <w:bottom w:val="single" w:sz="4" w:space="0" w:color="000000"/>
            </w:tcBorders>
            <w:vAlign w:val="center"/>
          </w:tcPr>
          <w:p w14:paraId="3067389C" w14:textId="00DD661B" w:rsidR="00FC2BCD" w:rsidRPr="00FC2BCD" w:rsidRDefault="00FC2BCD" w:rsidP="00FC2BCD">
            <w:pPr>
              <w:adjustRightInd w:val="0"/>
              <w:snapToGrid w:val="0"/>
              <w:jc w:val="center"/>
            </w:pPr>
            <w:r w:rsidRPr="00FC2BCD">
              <w:t>/</w:t>
            </w:r>
          </w:p>
        </w:tc>
        <w:tc>
          <w:tcPr>
            <w:tcW w:w="562" w:type="pct"/>
            <w:tcBorders>
              <w:top w:val="single" w:sz="4" w:space="0" w:color="000000"/>
              <w:bottom w:val="single" w:sz="4" w:space="0" w:color="000000"/>
            </w:tcBorders>
            <w:vAlign w:val="center"/>
          </w:tcPr>
          <w:p w14:paraId="02F379DD" w14:textId="48A2D680" w:rsidR="00FC2BCD" w:rsidRPr="00FC2BCD" w:rsidRDefault="00FC2BCD" w:rsidP="00FC2BCD">
            <w:pPr>
              <w:adjustRightInd w:val="0"/>
              <w:snapToGrid w:val="0"/>
              <w:jc w:val="center"/>
            </w:pPr>
            <w:r w:rsidRPr="00FC2BCD">
              <w:t>/</w:t>
            </w:r>
          </w:p>
        </w:tc>
        <w:tc>
          <w:tcPr>
            <w:tcW w:w="466" w:type="pct"/>
            <w:tcBorders>
              <w:top w:val="single" w:sz="4" w:space="0" w:color="000000"/>
              <w:bottom w:val="single" w:sz="4" w:space="0" w:color="000000"/>
              <w:right w:val="single" w:sz="4" w:space="0" w:color="000000"/>
            </w:tcBorders>
            <w:vAlign w:val="center"/>
          </w:tcPr>
          <w:p w14:paraId="5196C7CF" w14:textId="2A0BCB4A" w:rsidR="00FC2BCD" w:rsidRPr="00FC2BCD" w:rsidRDefault="00FC2BCD" w:rsidP="00FC2BCD">
            <w:pPr>
              <w:adjustRightInd w:val="0"/>
              <w:snapToGrid w:val="0"/>
              <w:jc w:val="center"/>
            </w:pPr>
            <w:r w:rsidRPr="00FC2BCD">
              <w:t>/</w:t>
            </w:r>
          </w:p>
        </w:tc>
        <w:tc>
          <w:tcPr>
            <w:tcW w:w="549" w:type="pct"/>
            <w:tcBorders>
              <w:left w:val="single" w:sz="4" w:space="0" w:color="000000"/>
            </w:tcBorders>
            <w:vAlign w:val="center"/>
          </w:tcPr>
          <w:p w14:paraId="207C36B5" w14:textId="21828C35" w:rsidR="00FC2BCD" w:rsidRPr="00FC2BCD" w:rsidRDefault="00FC2BCD" w:rsidP="00FC2BCD">
            <w:pPr>
              <w:adjustRightInd w:val="0"/>
              <w:snapToGrid w:val="0"/>
              <w:jc w:val="center"/>
            </w:pPr>
            <w:r w:rsidRPr="00FC2BCD">
              <w:t>/</w:t>
            </w:r>
          </w:p>
        </w:tc>
        <w:tc>
          <w:tcPr>
            <w:tcW w:w="568" w:type="pct"/>
            <w:vAlign w:val="center"/>
          </w:tcPr>
          <w:p w14:paraId="584B7473" w14:textId="3C608E5D" w:rsidR="00FC2BCD" w:rsidRPr="00FC2BCD" w:rsidRDefault="00FC2BCD" w:rsidP="00FC2BCD">
            <w:pPr>
              <w:adjustRightInd w:val="0"/>
              <w:snapToGrid w:val="0"/>
              <w:jc w:val="center"/>
            </w:pPr>
            <w:r w:rsidRPr="00FC2BCD">
              <w:rPr>
                <w:rFonts w:hint="eastAsia"/>
                <w:color w:val="000000"/>
                <w:sz w:val="22"/>
                <w:szCs w:val="22"/>
              </w:rPr>
              <w:t>0.00047</w:t>
            </w:r>
          </w:p>
        </w:tc>
        <w:tc>
          <w:tcPr>
            <w:tcW w:w="610" w:type="pct"/>
            <w:vAlign w:val="center"/>
          </w:tcPr>
          <w:p w14:paraId="61BF508B" w14:textId="6F62EE31" w:rsidR="00FC2BCD" w:rsidRPr="00FC2BCD" w:rsidRDefault="00FC2BCD" w:rsidP="00FC2BCD">
            <w:pPr>
              <w:adjustRightInd w:val="0"/>
              <w:snapToGrid w:val="0"/>
              <w:jc w:val="center"/>
            </w:pPr>
            <w:r w:rsidRPr="00614404">
              <w:rPr>
                <w:rFonts w:hint="eastAsia"/>
              </w:rPr>
              <w:t>0</w:t>
            </w:r>
          </w:p>
        </w:tc>
      </w:tr>
      <w:tr w:rsidR="00FC2BCD" w:rsidRPr="0037274A" w14:paraId="20B9F41A" w14:textId="77777777" w:rsidTr="001A3A47">
        <w:trPr>
          <w:trHeight w:val="57"/>
          <w:jc w:val="center"/>
        </w:trPr>
        <w:tc>
          <w:tcPr>
            <w:tcW w:w="229" w:type="pct"/>
            <w:vMerge/>
            <w:vAlign w:val="center"/>
          </w:tcPr>
          <w:p w14:paraId="7CE64DAA" w14:textId="77777777" w:rsidR="00FC2BCD" w:rsidRPr="00FC2BCD" w:rsidRDefault="00FC2BCD" w:rsidP="00FC2BCD">
            <w:pPr>
              <w:adjustRightInd w:val="0"/>
              <w:snapToGrid w:val="0"/>
              <w:jc w:val="center"/>
            </w:pPr>
          </w:p>
        </w:tc>
        <w:tc>
          <w:tcPr>
            <w:tcW w:w="574" w:type="pct"/>
            <w:tcBorders>
              <w:top w:val="single" w:sz="4" w:space="0" w:color="000000"/>
              <w:left w:val="nil"/>
              <w:bottom w:val="single" w:sz="4" w:space="0" w:color="000000"/>
              <w:right w:val="nil"/>
            </w:tcBorders>
            <w:vAlign w:val="center"/>
          </w:tcPr>
          <w:p w14:paraId="2A3E6B52" w14:textId="0A098315" w:rsidR="00FC2BCD" w:rsidRPr="00FC2BCD" w:rsidRDefault="002B0DA6" w:rsidP="00FC2BCD">
            <w:pPr>
              <w:adjustRightInd w:val="0"/>
              <w:snapToGrid w:val="0"/>
              <w:jc w:val="center"/>
            </w:pPr>
            <w:r>
              <w:rPr>
                <w:rFonts w:hint="eastAsia"/>
                <w:color w:val="000000"/>
                <w:sz w:val="22"/>
                <w:szCs w:val="22"/>
              </w:rPr>
              <w:t>一</w:t>
            </w:r>
            <w:r w:rsidR="00FC2BCD" w:rsidRPr="00FC2BCD">
              <w:rPr>
                <w:rFonts w:hint="eastAsia"/>
                <w:color w:val="000000"/>
                <w:sz w:val="22"/>
                <w:szCs w:val="22"/>
              </w:rPr>
              <w:t>氧化碳</w:t>
            </w:r>
          </w:p>
        </w:tc>
        <w:tc>
          <w:tcPr>
            <w:tcW w:w="254" w:type="pct"/>
            <w:tcBorders>
              <w:top w:val="single" w:sz="4" w:space="0" w:color="000000"/>
              <w:bottom w:val="single" w:sz="4" w:space="0" w:color="000000"/>
            </w:tcBorders>
            <w:vAlign w:val="center"/>
          </w:tcPr>
          <w:p w14:paraId="37A7E64E" w14:textId="2EAD3D24" w:rsidR="00FC2BCD" w:rsidRPr="00FC2BCD" w:rsidRDefault="00FC2BCD" w:rsidP="00FC2BCD">
            <w:pPr>
              <w:adjustRightInd w:val="0"/>
              <w:snapToGrid w:val="0"/>
              <w:jc w:val="center"/>
            </w:pPr>
            <w:r w:rsidRPr="00FC2BCD">
              <w:t>t/a</w:t>
            </w:r>
          </w:p>
        </w:tc>
        <w:tc>
          <w:tcPr>
            <w:tcW w:w="627" w:type="pct"/>
            <w:tcBorders>
              <w:top w:val="single" w:sz="4" w:space="0" w:color="000000"/>
              <w:left w:val="nil"/>
              <w:bottom w:val="single" w:sz="4" w:space="0" w:color="000000"/>
              <w:right w:val="nil"/>
            </w:tcBorders>
            <w:vAlign w:val="center"/>
          </w:tcPr>
          <w:p w14:paraId="3F3B1D0C" w14:textId="532D3ADF" w:rsidR="00FC2BCD" w:rsidRPr="00FC2BCD" w:rsidRDefault="00FC2BCD" w:rsidP="00FC2BCD">
            <w:pPr>
              <w:adjustRightInd w:val="0"/>
              <w:snapToGrid w:val="0"/>
              <w:jc w:val="center"/>
            </w:pPr>
            <w:r w:rsidRPr="00FC2BCD">
              <w:rPr>
                <w:rFonts w:hint="eastAsia"/>
                <w:color w:val="000000"/>
                <w:sz w:val="22"/>
                <w:szCs w:val="22"/>
              </w:rPr>
              <w:t>0.7336</w:t>
            </w:r>
          </w:p>
        </w:tc>
        <w:tc>
          <w:tcPr>
            <w:tcW w:w="561" w:type="pct"/>
            <w:tcBorders>
              <w:top w:val="single" w:sz="4" w:space="0" w:color="000000"/>
              <w:bottom w:val="single" w:sz="4" w:space="0" w:color="000000"/>
            </w:tcBorders>
            <w:vAlign w:val="center"/>
          </w:tcPr>
          <w:p w14:paraId="59D61F9D" w14:textId="28499B2E" w:rsidR="00FC2BCD" w:rsidRPr="00FC2BCD" w:rsidRDefault="00FC2BCD" w:rsidP="00FC2BCD">
            <w:pPr>
              <w:adjustRightInd w:val="0"/>
              <w:snapToGrid w:val="0"/>
              <w:jc w:val="center"/>
            </w:pPr>
            <w:r w:rsidRPr="00FC2BCD">
              <w:t>/</w:t>
            </w:r>
          </w:p>
        </w:tc>
        <w:tc>
          <w:tcPr>
            <w:tcW w:w="562" w:type="pct"/>
            <w:tcBorders>
              <w:top w:val="single" w:sz="4" w:space="0" w:color="000000"/>
              <w:bottom w:val="single" w:sz="4" w:space="0" w:color="000000"/>
            </w:tcBorders>
            <w:vAlign w:val="center"/>
          </w:tcPr>
          <w:p w14:paraId="0687A41A" w14:textId="2AD309F4" w:rsidR="00FC2BCD" w:rsidRPr="00FC2BCD" w:rsidRDefault="00FC2BCD" w:rsidP="00FC2BCD">
            <w:pPr>
              <w:adjustRightInd w:val="0"/>
              <w:snapToGrid w:val="0"/>
              <w:jc w:val="center"/>
            </w:pPr>
            <w:r w:rsidRPr="00FC2BCD">
              <w:t>/</w:t>
            </w:r>
          </w:p>
        </w:tc>
        <w:tc>
          <w:tcPr>
            <w:tcW w:w="466" w:type="pct"/>
            <w:tcBorders>
              <w:top w:val="single" w:sz="4" w:space="0" w:color="000000"/>
              <w:bottom w:val="single" w:sz="4" w:space="0" w:color="000000"/>
              <w:right w:val="single" w:sz="4" w:space="0" w:color="000000"/>
            </w:tcBorders>
            <w:vAlign w:val="center"/>
          </w:tcPr>
          <w:p w14:paraId="1CAF39A9" w14:textId="7D31B219" w:rsidR="00FC2BCD" w:rsidRPr="00FC2BCD" w:rsidRDefault="00FC2BCD" w:rsidP="00FC2BCD">
            <w:pPr>
              <w:adjustRightInd w:val="0"/>
              <w:snapToGrid w:val="0"/>
              <w:jc w:val="center"/>
            </w:pPr>
            <w:r w:rsidRPr="00FC2BCD">
              <w:t>/</w:t>
            </w:r>
          </w:p>
        </w:tc>
        <w:tc>
          <w:tcPr>
            <w:tcW w:w="549" w:type="pct"/>
            <w:tcBorders>
              <w:left w:val="single" w:sz="4" w:space="0" w:color="000000"/>
            </w:tcBorders>
            <w:vAlign w:val="center"/>
          </w:tcPr>
          <w:p w14:paraId="0943D56D" w14:textId="768A6ED3" w:rsidR="00FC2BCD" w:rsidRPr="00FC2BCD" w:rsidRDefault="00FC2BCD" w:rsidP="00FC2BCD">
            <w:pPr>
              <w:adjustRightInd w:val="0"/>
              <w:snapToGrid w:val="0"/>
              <w:jc w:val="center"/>
            </w:pPr>
            <w:r w:rsidRPr="00FC2BCD">
              <w:t>/</w:t>
            </w:r>
          </w:p>
        </w:tc>
        <w:tc>
          <w:tcPr>
            <w:tcW w:w="568" w:type="pct"/>
            <w:vAlign w:val="center"/>
          </w:tcPr>
          <w:p w14:paraId="0A5F5F96" w14:textId="5F42640B" w:rsidR="00FC2BCD" w:rsidRPr="00FC2BCD" w:rsidRDefault="00FC2BCD" w:rsidP="00FC2BCD">
            <w:pPr>
              <w:adjustRightInd w:val="0"/>
              <w:snapToGrid w:val="0"/>
              <w:jc w:val="center"/>
            </w:pPr>
            <w:r w:rsidRPr="00FC2BCD">
              <w:rPr>
                <w:rFonts w:hint="eastAsia"/>
                <w:color w:val="000000"/>
                <w:sz w:val="22"/>
                <w:szCs w:val="22"/>
              </w:rPr>
              <w:t>0.7336</w:t>
            </w:r>
          </w:p>
        </w:tc>
        <w:tc>
          <w:tcPr>
            <w:tcW w:w="610" w:type="pct"/>
            <w:vAlign w:val="center"/>
          </w:tcPr>
          <w:p w14:paraId="07E2BEAF" w14:textId="4158B893" w:rsidR="00FC2BCD" w:rsidRPr="00FC2BCD" w:rsidRDefault="00FC2BCD" w:rsidP="00FC2BCD">
            <w:pPr>
              <w:adjustRightInd w:val="0"/>
              <w:snapToGrid w:val="0"/>
              <w:jc w:val="center"/>
            </w:pPr>
            <w:r w:rsidRPr="00614404">
              <w:rPr>
                <w:rFonts w:hint="eastAsia"/>
              </w:rPr>
              <w:t>0</w:t>
            </w:r>
          </w:p>
        </w:tc>
      </w:tr>
      <w:tr w:rsidR="00FC2BCD" w:rsidRPr="0037274A" w14:paraId="697683C8" w14:textId="77777777" w:rsidTr="001A3A47">
        <w:trPr>
          <w:trHeight w:val="57"/>
          <w:jc w:val="center"/>
        </w:trPr>
        <w:tc>
          <w:tcPr>
            <w:tcW w:w="229" w:type="pct"/>
            <w:vMerge/>
            <w:vAlign w:val="center"/>
          </w:tcPr>
          <w:p w14:paraId="3F7B6785" w14:textId="77777777" w:rsidR="00FC2BCD" w:rsidRPr="00FC2BCD" w:rsidRDefault="00FC2BCD" w:rsidP="00FC2BCD">
            <w:pPr>
              <w:adjustRightInd w:val="0"/>
              <w:snapToGrid w:val="0"/>
              <w:jc w:val="center"/>
            </w:pPr>
          </w:p>
        </w:tc>
        <w:tc>
          <w:tcPr>
            <w:tcW w:w="574" w:type="pct"/>
            <w:tcBorders>
              <w:top w:val="single" w:sz="4" w:space="0" w:color="000000"/>
              <w:left w:val="nil"/>
              <w:bottom w:val="single" w:sz="4" w:space="0" w:color="000000"/>
              <w:right w:val="nil"/>
            </w:tcBorders>
            <w:vAlign w:val="center"/>
          </w:tcPr>
          <w:p w14:paraId="7C3F1FAC" w14:textId="667C50DF" w:rsidR="00FC2BCD" w:rsidRPr="00FC2BCD" w:rsidRDefault="00FC2BCD" w:rsidP="00FC2BCD">
            <w:pPr>
              <w:adjustRightInd w:val="0"/>
              <w:snapToGrid w:val="0"/>
              <w:jc w:val="center"/>
            </w:pPr>
            <w:r w:rsidRPr="00FC2BCD">
              <w:rPr>
                <w:rFonts w:hint="eastAsia"/>
                <w:color w:val="000000"/>
                <w:sz w:val="22"/>
                <w:szCs w:val="22"/>
              </w:rPr>
              <w:t>氯化氢</w:t>
            </w:r>
          </w:p>
        </w:tc>
        <w:tc>
          <w:tcPr>
            <w:tcW w:w="254" w:type="pct"/>
            <w:tcBorders>
              <w:top w:val="single" w:sz="4" w:space="0" w:color="000000"/>
              <w:bottom w:val="single" w:sz="4" w:space="0" w:color="000000"/>
            </w:tcBorders>
            <w:vAlign w:val="center"/>
          </w:tcPr>
          <w:p w14:paraId="1CAF0737" w14:textId="470F4A52" w:rsidR="00FC2BCD" w:rsidRPr="00FC2BCD" w:rsidRDefault="00FC2BCD" w:rsidP="00FC2BCD">
            <w:pPr>
              <w:adjustRightInd w:val="0"/>
              <w:snapToGrid w:val="0"/>
              <w:jc w:val="center"/>
            </w:pPr>
            <w:r w:rsidRPr="00FC2BCD">
              <w:t>t/a</w:t>
            </w:r>
          </w:p>
        </w:tc>
        <w:tc>
          <w:tcPr>
            <w:tcW w:w="627" w:type="pct"/>
            <w:tcBorders>
              <w:top w:val="single" w:sz="4" w:space="0" w:color="000000"/>
              <w:left w:val="nil"/>
              <w:bottom w:val="single" w:sz="4" w:space="0" w:color="000000"/>
              <w:right w:val="nil"/>
            </w:tcBorders>
            <w:vAlign w:val="center"/>
          </w:tcPr>
          <w:p w14:paraId="01B49B08" w14:textId="534E8503" w:rsidR="00FC2BCD" w:rsidRPr="00FC2BCD" w:rsidRDefault="00FC2BCD" w:rsidP="00FC2BCD">
            <w:pPr>
              <w:adjustRightInd w:val="0"/>
              <w:snapToGrid w:val="0"/>
              <w:jc w:val="center"/>
            </w:pPr>
            <w:r w:rsidRPr="00FC2BCD">
              <w:rPr>
                <w:rFonts w:hint="eastAsia"/>
                <w:color w:val="000000"/>
                <w:sz w:val="22"/>
                <w:szCs w:val="22"/>
              </w:rPr>
              <w:t>5.75</w:t>
            </w:r>
          </w:p>
        </w:tc>
        <w:tc>
          <w:tcPr>
            <w:tcW w:w="561" w:type="pct"/>
            <w:tcBorders>
              <w:top w:val="single" w:sz="4" w:space="0" w:color="000000"/>
              <w:bottom w:val="single" w:sz="4" w:space="0" w:color="000000"/>
            </w:tcBorders>
            <w:vAlign w:val="center"/>
          </w:tcPr>
          <w:p w14:paraId="08AC316A" w14:textId="37CA9DB2" w:rsidR="00FC2BCD" w:rsidRPr="00FC2BCD" w:rsidRDefault="00FC2BCD" w:rsidP="00FC2BCD">
            <w:pPr>
              <w:adjustRightInd w:val="0"/>
              <w:snapToGrid w:val="0"/>
              <w:jc w:val="center"/>
            </w:pPr>
            <w:r w:rsidRPr="00FC2BCD">
              <w:t>/</w:t>
            </w:r>
          </w:p>
        </w:tc>
        <w:tc>
          <w:tcPr>
            <w:tcW w:w="562" w:type="pct"/>
            <w:tcBorders>
              <w:top w:val="single" w:sz="4" w:space="0" w:color="000000"/>
              <w:bottom w:val="single" w:sz="4" w:space="0" w:color="000000"/>
            </w:tcBorders>
            <w:vAlign w:val="center"/>
          </w:tcPr>
          <w:p w14:paraId="50F06921" w14:textId="7310980B" w:rsidR="00FC2BCD" w:rsidRPr="00FC2BCD" w:rsidRDefault="00FC2BCD" w:rsidP="00FC2BCD">
            <w:pPr>
              <w:adjustRightInd w:val="0"/>
              <w:snapToGrid w:val="0"/>
              <w:jc w:val="center"/>
            </w:pPr>
            <w:r w:rsidRPr="00FC2BCD">
              <w:t>/</w:t>
            </w:r>
          </w:p>
        </w:tc>
        <w:tc>
          <w:tcPr>
            <w:tcW w:w="466" w:type="pct"/>
            <w:tcBorders>
              <w:top w:val="single" w:sz="4" w:space="0" w:color="000000"/>
              <w:bottom w:val="single" w:sz="4" w:space="0" w:color="000000"/>
              <w:right w:val="single" w:sz="4" w:space="0" w:color="000000"/>
            </w:tcBorders>
            <w:vAlign w:val="center"/>
          </w:tcPr>
          <w:p w14:paraId="31FDFB9C" w14:textId="5EA5CACA" w:rsidR="00FC2BCD" w:rsidRPr="00FC2BCD" w:rsidRDefault="00FC2BCD" w:rsidP="00FC2BCD">
            <w:pPr>
              <w:adjustRightInd w:val="0"/>
              <w:snapToGrid w:val="0"/>
              <w:jc w:val="center"/>
            </w:pPr>
            <w:r w:rsidRPr="00FC2BCD">
              <w:t>/</w:t>
            </w:r>
          </w:p>
        </w:tc>
        <w:tc>
          <w:tcPr>
            <w:tcW w:w="549" w:type="pct"/>
            <w:tcBorders>
              <w:left w:val="single" w:sz="4" w:space="0" w:color="000000"/>
            </w:tcBorders>
            <w:vAlign w:val="center"/>
          </w:tcPr>
          <w:p w14:paraId="77AA580D" w14:textId="19619DB2" w:rsidR="00FC2BCD" w:rsidRPr="00FC2BCD" w:rsidRDefault="00FC2BCD" w:rsidP="00FC2BCD">
            <w:pPr>
              <w:adjustRightInd w:val="0"/>
              <w:snapToGrid w:val="0"/>
              <w:jc w:val="center"/>
            </w:pPr>
            <w:r w:rsidRPr="00FC2BCD">
              <w:t>/</w:t>
            </w:r>
          </w:p>
        </w:tc>
        <w:tc>
          <w:tcPr>
            <w:tcW w:w="568" w:type="pct"/>
            <w:vAlign w:val="center"/>
          </w:tcPr>
          <w:p w14:paraId="5D00D665" w14:textId="1104E72B" w:rsidR="00FC2BCD" w:rsidRPr="00FC2BCD" w:rsidRDefault="00FC2BCD" w:rsidP="00FC2BCD">
            <w:pPr>
              <w:adjustRightInd w:val="0"/>
              <w:snapToGrid w:val="0"/>
              <w:jc w:val="center"/>
            </w:pPr>
            <w:r w:rsidRPr="00FC2BCD">
              <w:rPr>
                <w:rFonts w:hint="eastAsia"/>
                <w:color w:val="000000"/>
                <w:sz w:val="22"/>
                <w:szCs w:val="22"/>
              </w:rPr>
              <w:t>5.75</w:t>
            </w:r>
          </w:p>
        </w:tc>
        <w:tc>
          <w:tcPr>
            <w:tcW w:w="610" w:type="pct"/>
            <w:vAlign w:val="center"/>
          </w:tcPr>
          <w:p w14:paraId="042DBB49" w14:textId="03ADB31A" w:rsidR="00FC2BCD" w:rsidRPr="00FC2BCD" w:rsidRDefault="00FC2BCD" w:rsidP="00FC2BCD">
            <w:pPr>
              <w:adjustRightInd w:val="0"/>
              <w:snapToGrid w:val="0"/>
              <w:jc w:val="center"/>
            </w:pPr>
            <w:r w:rsidRPr="00614404">
              <w:rPr>
                <w:rFonts w:hint="eastAsia"/>
              </w:rPr>
              <w:t>0</w:t>
            </w:r>
          </w:p>
        </w:tc>
      </w:tr>
      <w:tr w:rsidR="00FC2BCD" w:rsidRPr="0037274A" w14:paraId="50B25055" w14:textId="77777777" w:rsidTr="001A3A47">
        <w:trPr>
          <w:trHeight w:val="57"/>
          <w:jc w:val="center"/>
        </w:trPr>
        <w:tc>
          <w:tcPr>
            <w:tcW w:w="229" w:type="pct"/>
            <w:vMerge/>
            <w:vAlign w:val="center"/>
          </w:tcPr>
          <w:p w14:paraId="618BB901" w14:textId="77777777" w:rsidR="00FC2BCD" w:rsidRPr="00FC2BCD" w:rsidRDefault="00FC2BCD" w:rsidP="00FC2BCD">
            <w:pPr>
              <w:adjustRightInd w:val="0"/>
              <w:snapToGrid w:val="0"/>
              <w:jc w:val="center"/>
            </w:pPr>
          </w:p>
        </w:tc>
        <w:tc>
          <w:tcPr>
            <w:tcW w:w="574" w:type="pct"/>
            <w:tcBorders>
              <w:top w:val="single" w:sz="4" w:space="0" w:color="000000"/>
              <w:left w:val="nil"/>
              <w:bottom w:val="single" w:sz="4" w:space="0" w:color="000000"/>
              <w:right w:val="nil"/>
            </w:tcBorders>
            <w:vAlign w:val="center"/>
          </w:tcPr>
          <w:p w14:paraId="48454C6E" w14:textId="4B98F482" w:rsidR="00FC2BCD" w:rsidRPr="00FC2BCD" w:rsidRDefault="00FC2BCD" w:rsidP="00FC2BCD">
            <w:pPr>
              <w:adjustRightInd w:val="0"/>
              <w:snapToGrid w:val="0"/>
              <w:jc w:val="center"/>
            </w:pPr>
            <w:r w:rsidRPr="00FC2BCD">
              <w:rPr>
                <w:rFonts w:hint="eastAsia"/>
                <w:color w:val="000000"/>
                <w:sz w:val="22"/>
                <w:szCs w:val="22"/>
              </w:rPr>
              <w:t>镉，铊及其化合物</w:t>
            </w:r>
          </w:p>
        </w:tc>
        <w:tc>
          <w:tcPr>
            <w:tcW w:w="254" w:type="pct"/>
            <w:tcBorders>
              <w:top w:val="single" w:sz="4" w:space="0" w:color="000000"/>
              <w:bottom w:val="single" w:sz="4" w:space="0" w:color="000000"/>
            </w:tcBorders>
            <w:vAlign w:val="center"/>
          </w:tcPr>
          <w:p w14:paraId="2591F579" w14:textId="30A30721" w:rsidR="00FC2BCD" w:rsidRPr="00FC2BCD" w:rsidRDefault="00FC2BCD" w:rsidP="00FC2BCD">
            <w:pPr>
              <w:adjustRightInd w:val="0"/>
              <w:snapToGrid w:val="0"/>
              <w:jc w:val="center"/>
            </w:pPr>
            <w:r w:rsidRPr="00FC2BCD">
              <w:t>t/a</w:t>
            </w:r>
          </w:p>
        </w:tc>
        <w:tc>
          <w:tcPr>
            <w:tcW w:w="627" w:type="pct"/>
            <w:tcBorders>
              <w:top w:val="single" w:sz="4" w:space="0" w:color="000000"/>
              <w:left w:val="nil"/>
              <w:bottom w:val="single" w:sz="4" w:space="0" w:color="000000"/>
              <w:right w:val="nil"/>
            </w:tcBorders>
            <w:vAlign w:val="center"/>
          </w:tcPr>
          <w:p w14:paraId="6B82F0CE" w14:textId="06519790" w:rsidR="00FC2BCD" w:rsidRPr="00FC2BCD" w:rsidRDefault="00FC2BCD" w:rsidP="00FC2BCD">
            <w:pPr>
              <w:adjustRightInd w:val="0"/>
              <w:snapToGrid w:val="0"/>
              <w:jc w:val="center"/>
            </w:pPr>
            <w:r w:rsidRPr="00FC2BCD">
              <w:rPr>
                <w:rFonts w:hint="eastAsia"/>
                <w:color w:val="000000"/>
                <w:sz w:val="22"/>
                <w:szCs w:val="22"/>
              </w:rPr>
              <w:t>0.016786</w:t>
            </w:r>
          </w:p>
        </w:tc>
        <w:tc>
          <w:tcPr>
            <w:tcW w:w="561" w:type="pct"/>
            <w:tcBorders>
              <w:top w:val="single" w:sz="4" w:space="0" w:color="000000"/>
              <w:bottom w:val="single" w:sz="4" w:space="0" w:color="000000"/>
            </w:tcBorders>
            <w:vAlign w:val="center"/>
          </w:tcPr>
          <w:p w14:paraId="195D047A" w14:textId="50EB883C" w:rsidR="00FC2BCD" w:rsidRPr="00FC2BCD" w:rsidRDefault="00FC2BCD" w:rsidP="00FC2BCD">
            <w:pPr>
              <w:adjustRightInd w:val="0"/>
              <w:snapToGrid w:val="0"/>
              <w:jc w:val="center"/>
            </w:pPr>
            <w:r w:rsidRPr="00FC2BCD">
              <w:t>/</w:t>
            </w:r>
          </w:p>
        </w:tc>
        <w:tc>
          <w:tcPr>
            <w:tcW w:w="562" w:type="pct"/>
            <w:tcBorders>
              <w:top w:val="single" w:sz="4" w:space="0" w:color="000000"/>
              <w:bottom w:val="single" w:sz="4" w:space="0" w:color="000000"/>
            </w:tcBorders>
            <w:vAlign w:val="center"/>
          </w:tcPr>
          <w:p w14:paraId="208176B1" w14:textId="76D64614" w:rsidR="00FC2BCD" w:rsidRPr="00FC2BCD" w:rsidRDefault="00FC2BCD" w:rsidP="00FC2BCD">
            <w:pPr>
              <w:adjustRightInd w:val="0"/>
              <w:snapToGrid w:val="0"/>
              <w:jc w:val="center"/>
            </w:pPr>
            <w:r w:rsidRPr="00FC2BCD">
              <w:t>/</w:t>
            </w:r>
          </w:p>
        </w:tc>
        <w:tc>
          <w:tcPr>
            <w:tcW w:w="466" w:type="pct"/>
            <w:tcBorders>
              <w:top w:val="single" w:sz="4" w:space="0" w:color="000000"/>
              <w:bottom w:val="single" w:sz="4" w:space="0" w:color="000000"/>
              <w:right w:val="single" w:sz="4" w:space="0" w:color="000000"/>
            </w:tcBorders>
            <w:vAlign w:val="center"/>
          </w:tcPr>
          <w:p w14:paraId="21B32AE3" w14:textId="154B56C5" w:rsidR="00FC2BCD" w:rsidRPr="00FC2BCD" w:rsidRDefault="00FC2BCD" w:rsidP="00FC2BCD">
            <w:pPr>
              <w:adjustRightInd w:val="0"/>
              <w:snapToGrid w:val="0"/>
              <w:jc w:val="center"/>
            </w:pPr>
            <w:r w:rsidRPr="00FC2BCD">
              <w:t>/</w:t>
            </w:r>
          </w:p>
        </w:tc>
        <w:tc>
          <w:tcPr>
            <w:tcW w:w="549" w:type="pct"/>
            <w:tcBorders>
              <w:left w:val="single" w:sz="4" w:space="0" w:color="000000"/>
            </w:tcBorders>
            <w:vAlign w:val="center"/>
          </w:tcPr>
          <w:p w14:paraId="7180FDFC" w14:textId="064C6D75" w:rsidR="00FC2BCD" w:rsidRPr="00FC2BCD" w:rsidRDefault="00FC2BCD" w:rsidP="00FC2BCD">
            <w:pPr>
              <w:adjustRightInd w:val="0"/>
              <w:snapToGrid w:val="0"/>
              <w:jc w:val="center"/>
            </w:pPr>
            <w:r w:rsidRPr="00FC2BCD">
              <w:t>/</w:t>
            </w:r>
          </w:p>
        </w:tc>
        <w:tc>
          <w:tcPr>
            <w:tcW w:w="568" w:type="pct"/>
            <w:vAlign w:val="center"/>
          </w:tcPr>
          <w:p w14:paraId="7C9C9D3C" w14:textId="0425290D" w:rsidR="00FC2BCD" w:rsidRPr="00FC2BCD" w:rsidRDefault="00FC2BCD" w:rsidP="00FC2BCD">
            <w:pPr>
              <w:adjustRightInd w:val="0"/>
              <w:snapToGrid w:val="0"/>
              <w:jc w:val="center"/>
            </w:pPr>
            <w:r w:rsidRPr="00FC2BCD">
              <w:rPr>
                <w:rFonts w:hint="eastAsia"/>
                <w:color w:val="000000"/>
                <w:sz w:val="22"/>
                <w:szCs w:val="22"/>
              </w:rPr>
              <w:t>0.016786</w:t>
            </w:r>
          </w:p>
        </w:tc>
        <w:tc>
          <w:tcPr>
            <w:tcW w:w="610" w:type="pct"/>
            <w:vAlign w:val="center"/>
          </w:tcPr>
          <w:p w14:paraId="1F490E32" w14:textId="39BC9BCD" w:rsidR="00FC2BCD" w:rsidRPr="00FC2BCD" w:rsidRDefault="00FC2BCD" w:rsidP="00FC2BCD">
            <w:pPr>
              <w:adjustRightInd w:val="0"/>
              <w:snapToGrid w:val="0"/>
              <w:jc w:val="center"/>
            </w:pPr>
            <w:r w:rsidRPr="00614404">
              <w:rPr>
                <w:rFonts w:hint="eastAsia"/>
              </w:rPr>
              <w:t>0</w:t>
            </w:r>
          </w:p>
        </w:tc>
      </w:tr>
      <w:tr w:rsidR="00FC2BCD" w:rsidRPr="0037274A" w14:paraId="26C2DB4C" w14:textId="77777777" w:rsidTr="001A3A47">
        <w:trPr>
          <w:trHeight w:val="57"/>
          <w:jc w:val="center"/>
        </w:trPr>
        <w:tc>
          <w:tcPr>
            <w:tcW w:w="229" w:type="pct"/>
            <w:vMerge/>
            <w:vAlign w:val="center"/>
          </w:tcPr>
          <w:p w14:paraId="779B92E1" w14:textId="77777777" w:rsidR="00FC2BCD" w:rsidRPr="00FC2BCD" w:rsidRDefault="00FC2BCD" w:rsidP="00FC2BCD">
            <w:pPr>
              <w:adjustRightInd w:val="0"/>
              <w:snapToGrid w:val="0"/>
              <w:jc w:val="center"/>
            </w:pPr>
          </w:p>
        </w:tc>
        <w:tc>
          <w:tcPr>
            <w:tcW w:w="574" w:type="pct"/>
            <w:tcBorders>
              <w:top w:val="single" w:sz="4" w:space="0" w:color="000000"/>
              <w:left w:val="nil"/>
              <w:bottom w:val="single" w:sz="4" w:space="0" w:color="000000"/>
              <w:right w:val="nil"/>
            </w:tcBorders>
            <w:vAlign w:val="center"/>
          </w:tcPr>
          <w:p w14:paraId="265EBA9A" w14:textId="45E8FE89" w:rsidR="00FC2BCD" w:rsidRPr="00FC2BCD" w:rsidRDefault="00FC2BCD" w:rsidP="00FC2BCD">
            <w:pPr>
              <w:adjustRightInd w:val="0"/>
              <w:snapToGrid w:val="0"/>
              <w:jc w:val="center"/>
            </w:pPr>
            <w:r w:rsidRPr="00FC2BCD">
              <w:rPr>
                <w:rFonts w:hint="eastAsia"/>
                <w:color w:val="000000"/>
                <w:sz w:val="22"/>
                <w:szCs w:val="22"/>
              </w:rPr>
              <w:t>锑，砷，铅，铭，钴，及其化合物</w:t>
            </w:r>
          </w:p>
        </w:tc>
        <w:tc>
          <w:tcPr>
            <w:tcW w:w="254" w:type="pct"/>
            <w:tcBorders>
              <w:top w:val="single" w:sz="4" w:space="0" w:color="000000"/>
              <w:bottom w:val="single" w:sz="4" w:space="0" w:color="000000"/>
            </w:tcBorders>
            <w:vAlign w:val="center"/>
          </w:tcPr>
          <w:p w14:paraId="1B296483" w14:textId="569B1B19" w:rsidR="00FC2BCD" w:rsidRPr="00FC2BCD" w:rsidRDefault="00FC2BCD" w:rsidP="00FC2BCD">
            <w:pPr>
              <w:adjustRightInd w:val="0"/>
              <w:snapToGrid w:val="0"/>
              <w:jc w:val="center"/>
            </w:pPr>
            <w:r w:rsidRPr="00FC2BCD">
              <w:t>t/a</w:t>
            </w:r>
          </w:p>
        </w:tc>
        <w:tc>
          <w:tcPr>
            <w:tcW w:w="627" w:type="pct"/>
            <w:tcBorders>
              <w:top w:val="single" w:sz="4" w:space="0" w:color="000000"/>
              <w:left w:val="nil"/>
              <w:bottom w:val="single" w:sz="4" w:space="0" w:color="000000"/>
              <w:right w:val="nil"/>
            </w:tcBorders>
            <w:vAlign w:val="center"/>
          </w:tcPr>
          <w:p w14:paraId="1E01C2C5" w14:textId="03303021" w:rsidR="00FC2BCD" w:rsidRPr="00FC2BCD" w:rsidRDefault="00FC2BCD" w:rsidP="00FC2BCD">
            <w:pPr>
              <w:adjustRightInd w:val="0"/>
              <w:snapToGrid w:val="0"/>
              <w:jc w:val="center"/>
            </w:pPr>
            <w:r w:rsidRPr="00FC2BCD">
              <w:rPr>
                <w:rFonts w:hint="eastAsia"/>
                <w:color w:val="000000"/>
                <w:sz w:val="22"/>
                <w:szCs w:val="22"/>
              </w:rPr>
              <w:t>0.126188</w:t>
            </w:r>
          </w:p>
        </w:tc>
        <w:tc>
          <w:tcPr>
            <w:tcW w:w="561" w:type="pct"/>
            <w:tcBorders>
              <w:top w:val="single" w:sz="4" w:space="0" w:color="000000"/>
              <w:bottom w:val="single" w:sz="4" w:space="0" w:color="000000"/>
            </w:tcBorders>
            <w:vAlign w:val="center"/>
          </w:tcPr>
          <w:p w14:paraId="4499B67D" w14:textId="3D0FC339" w:rsidR="00FC2BCD" w:rsidRPr="00FC2BCD" w:rsidRDefault="00FC2BCD" w:rsidP="00FC2BCD">
            <w:pPr>
              <w:adjustRightInd w:val="0"/>
              <w:snapToGrid w:val="0"/>
              <w:jc w:val="center"/>
            </w:pPr>
            <w:r w:rsidRPr="00FC2BCD">
              <w:t>/</w:t>
            </w:r>
          </w:p>
        </w:tc>
        <w:tc>
          <w:tcPr>
            <w:tcW w:w="562" w:type="pct"/>
            <w:tcBorders>
              <w:top w:val="single" w:sz="4" w:space="0" w:color="000000"/>
              <w:bottom w:val="single" w:sz="4" w:space="0" w:color="000000"/>
            </w:tcBorders>
            <w:vAlign w:val="center"/>
          </w:tcPr>
          <w:p w14:paraId="57FAB8B8" w14:textId="20C13182" w:rsidR="00FC2BCD" w:rsidRPr="00FC2BCD" w:rsidRDefault="00FC2BCD" w:rsidP="00FC2BCD">
            <w:pPr>
              <w:adjustRightInd w:val="0"/>
              <w:snapToGrid w:val="0"/>
              <w:jc w:val="center"/>
            </w:pPr>
            <w:r w:rsidRPr="00FC2BCD">
              <w:t>/</w:t>
            </w:r>
          </w:p>
        </w:tc>
        <w:tc>
          <w:tcPr>
            <w:tcW w:w="466" w:type="pct"/>
            <w:tcBorders>
              <w:top w:val="single" w:sz="4" w:space="0" w:color="000000"/>
              <w:bottom w:val="single" w:sz="4" w:space="0" w:color="000000"/>
              <w:right w:val="single" w:sz="4" w:space="0" w:color="000000"/>
            </w:tcBorders>
            <w:vAlign w:val="center"/>
          </w:tcPr>
          <w:p w14:paraId="488D467B" w14:textId="2E950CDD" w:rsidR="00FC2BCD" w:rsidRPr="00FC2BCD" w:rsidRDefault="00FC2BCD" w:rsidP="00FC2BCD">
            <w:pPr>
              <w:adjustRightInd w:val="0"/>
              <w:snapToGrid w:val="0"/>
              <w:jc w:val="center"/>
            </w:pPr>
            <w:r w:rsidRPr="00FC2BCD">
              <w:t>/</w:t>
            </w:r>
          </w:p>
        </w:tc>
        <w:tc>
          <w:tcPr>
            <w:tcW w:w="549" w:type="pct"/>
            <w:tcBorders>
              <w:left w:val="single" w:sz="4" w:space="0" w:color="000000"/>
            </w:tcBorders>
            <w:vAlign w:val="center"/>
          </w:tcPr>
          <w:p w14:paraId="6ED5BC24" w14:textId="271B3C73" w:rsidR="00FC2BCD" w:rsidRPr="00FC2BCD" w:rsidRDefault="00FC2BCD" w:rsidP="00FC2BCD">
            <w:pPr>
              <w:adjustRightInd w:val="0"/>
              <w:snapToGrid w:val="0"/>
              <w:jc w:val="center"/>
            </w:pPr>
            <w:r w:rsidRPr="00FC2BCD">
              <w:t>/</w:t>
            </w:r>
          </w:p>
        </w:tc>
        <w:tc>
          <w:tcPr>
            <w:tcW w:w="568" w:type="pct"/>
            <w:vAlign w:val="center"/>
          </w:tcPr>
          <w:p w14:paraId="189F9AA8" w14:textId="20A495B1" w:rsidR="00FC2BCD" w:rsidRPr="00FC2BCD" w:rsidRDefault="00FC2BCD" w:rsidP="00FC2BCD">
            <w:pPr>
              <w:adjustRightInd w:val="0"/>
              <w:snapToGrid w:val="0"/>
              <w:jc w:val="center"/>
            </w:pPr>
            <w:r w:rsidRPr="00FC2BCD">
              <w:rPr>
                <w:rFonts w:hint="eastAsia"/>
                <w:color w:val="000000"/>
                <w:sz w:val="22"/>
                <w:szCs w:val="22"/>
              </w:rPr>
              <w:t>0.126188</w:t>
            </w:r>
          </w:p>
        </w:tc>
        <w:tc>
          <w:tcPr>
            <w:tcW w:w="610" w:type="pct"/>
            <w:vAlign w:val="center"/>
          </w:tcPr>
          <w:p w14:paraId="3DFCCFF6" w14:textId="13B1D986" w:rsidR="00FC2BCD" w:rsidRPr="00FC2BCD" w:rsidRDefault="00FC2BCD" w:rsidP="00FC2BCD">
            <w:pPr>
              <w:adjustRightInd w:val="0"/>
              <w:snapToGrid w:val="0"/>
              <w:jc w:val="center"/>
            </w:pPr>
            <w:r w:rsidRPr="00614404">
              <w:rPr>
                <w:rFonts w:hint="eastAsia"/>
              </w:rPr>
              <w:t>0</w:t>
            </w:r>
          </w:p>
        </w:tc>
      </w:tr>
      <w:tr w:rsidR="00FC2BCD" w:rsidRPr="0037274A" w14:paraId="7A705417" w14:textId="77777777" w:rsidTr="002B0DA6">
        <w:trPr>
          <w:trHeight w:val="57"/>
          <w:jc w:val="center"/>
        </w:trPr>
        <w:tc>
          <w:tcPr>
            <w:tcW w:w="229" w:type="pct"/>
            <w:vMerge/>
            <w:tcBorders>
              <w:bottom w:val="single" w:sz="2" w:space="0" w:color="000000"/>
            </w:tcBorders>
            <w:vAlign w:val="center"/>
          </w:tcPr>
          <w:p w14:paraId="29035607" w14:textId="77777777" w:rsidR="00FC2BCD" w:rsidRPr="00FC2BCD" w:rsidRDefault="00FC2BCD" w:rsidP="00FC2BCD">
            <w:pPr>
              <w:adjustRightInd w:val="0"/>
              <w:snapToGrid w:val="0"/>
              <w:jc w:val="center"/>
            </w:pPr>
          </w:p>
        </w:tc>
        <w:tc>
          <w:tcPr>
            <w:tcW w:w="574" w:type="pct"/>
            <w:tcBorders>
              <w:top w:val="single" w:sz="4" w:space="0" w:color="000000"/>
              <w:left w:val="nil"/>
              <w:bottom w:val="single" w:sz="2" w:space="0" w:color="000000"/>
              <w:right w:val="nil"/>
            </w:tcBorders>
            <w:vAlign w:val="center"/>
          </w:tcPr>
          <w:p w14:paraId="00080657" w14:textId="1679A969" w:rsidR="00FC2BCD" w:rsidRPr="00FC2BCD" w:rsidRDefault="00FC2BCD" w:rsidP="00FC2BCD">
            <w:pPr>
              <w:adjustRightInd w:val="0"/>
              <w:snapToGrid w:val="0"/>
              <w:jc w:val="center"/>
            </w:pPr>
            <w:r w:rsidRPr="00FC2BCD">
              <w:rPr>
                <w:rFonts w:hint="eastAsia"/>
                <w:color w:val="000000"/>
                <w:sz w:val="22"/>
                <w:szCs w:val="22"/>
              </w:rPr>
              <w:t>二噁英类</w:t>
            </w:r>
          </w:p>
        </w:tc>
        <w:tc>
          <w:tcPr>
            <w:tcW w:w="254" w:type="pct"/>
            <w:tcBorders>
              <w:top w:val="single" w:sz="4" w:space="0" w:color="000000"/>
              <w:bottom w:val="single" w:sz="2" w:space="0" w:color="000000"/>
            </w:tcBorders>
            <w:vAlign w:val="center"/>
          </w:tcPr>
          <w:p w14:paraId="4EE7E922" w14:textId="176B63E1" w:rsidR="00FC2BCD" w:rsidRPr="00FC2BCD" w:rsidRDefault="00FC2BCD" w:rsidP="00FC2BCD">
            <w:pPr>
              <w:adjustRightInd w:val="0"/>
              <w:snapToGrid w:val="0"/>
              <w:jc w:val="center"/>
            </w:pPr>
            <w:bookmarkStart w:id="139" w:name="OLE_LINK91"/>
            <w:r w:rsidRPr="00FC2BCD">
              <w:t>t/a</w:t>
            </w:r>
            <w:bookmarkEnd w:id="139"/>
          </w:p>
        </w:tc>
        <w:tc>
          <w:tcPr>
            <w:tcW w:w="627" w:type="pct"/>
            <w:tcBorders>
              <w:top w:val="single" w:sz="4" w:space="0" w:color="000000"/>
              <w:bottom w:val="single" w:sz="2" w:space="0" w:color="000000"/>
            </w:tcBorders>
            <w:vAlign w:val="center"/>
          </w:tcPr>
          <w:p w14:paraId="31E799AA" w14:textId="68B6C545" w:rsidR="00FC2BCD" w:rsidRPr="00FC2BCD" w:rsidRDefault="00FC2BCD" w:rsidP="00FC2BCD">
            <w:pPr>
              <w:adjustRightInd w:val="0"/>
              <w:snapToGrid w:val="0"/>
              <w:jc w:val="center"/>
            </w:pPr>
            <w:r w:rsidRPr="00FC2BCD">
              <w:rPr>
                <w:rFonts w:hint="eastAsia"/>
              </w:rPr>
              <w:t>0.00000333</w:t>
            </w:r>
          </w:p>
        </w:tc>
        <w:tc>
          <w:tcPr>
            <w:tcW w:w="561" w:type="pct"/>
            <w:tcBorders>
              <w:top w:val="single" w:sz="4" w:space="0" w:color="000000"/>
              <w:bottom w:val="single" w:sz="2" w:space="0" w:color="000000"/>
            </w:tcBorders>
            <w:vAlign w:val="center"/>
          </w:tcPr>
          <w:p w14:paraId="1CFEEDD8" w14:textId="5AEACA2A" w:rsidR="00FC2BCD" w:rsidRPr="00FC2BCD" w:rsidRDefault="00FC2BCD" w:rsidP="00FC2BCD">
            <w:pPr>
              <w:adjustRightInd w:val="0"/>
              <w:snapToGrid w:val="0"/>
              <w:jc w:val="center"/>
            </w:pPr>
            <w:r w:rsidRPr="00FC2BCD">
              <w:t>/</w:t>
            </w:r>
          </w:p>
        </w:tc>
        <w:tc>
          <w:tcPr>
            <w:tcW w:w="562" w:type="pct"/>
            <w:tcBorders>
              <w:top w:val="single" w:sz="4" w:space="0" w:color="000000"/>
              <w:bottom w:val="single" w:sz="2" w:space="0" w:color="000000"/>
            </w:tcBorders>
            <w:vAlign w:val="center"/>
          </w:tcPr>
          <w:p w14:paraId="7AF73E33" w14:textId="7C5A848C" w:rsidR="00FC2BCD" w:rsidRPr="00FC2BCD" w:rsidRDefault="00FC2BCD" w:rsidP="00FC2BCD">
            <w:pPr>
              <w:adjustRightInd w:val="0"/>
              <w:snapToGrid w:val="0"/>
              <w:jc w:val="center"/>
            </w:pPr>
            <w:r w:rsidRPr="00FC2BCD">
              <w:t>/</w:t>
            </w:r>
          </w:p>
        </w:tc>
        <w:tc>
          <w:tcPr>
            <w:tcW w:w="466" w:type="pct"/>
            <w:tcBorders>
              <w:top w:val="single" w:sz="4" w:space="0" w:color="000000"/>
              <w:bottom w:val="single" w:sz="2" w:space="0" w:color="000000"/>
              <w:right w:val="single" w:sz="4" w:space="0" w:color="000000"/>
            </w:tcBorders>
            <w:vAlign w:val="center"/>
          </w:tcPr>
          <w:p w14:paraId="7A1A1659" w14:textId="379BE027" w:rsidR="00FC2BCD" w:rsidRPr="00FC2BCD" w:rsidRDefault="00FC2BCD" w:rsidP="00FC2BCD">
            <w:pPr>
              <w:adjustRightInd w:val="0"/>
              <w:snapToGrid w:val="0"/>
              <w:jc w:val="center"/>
            </w:pPr>
            <w:r w:rsidRPr="00FC2BCD">
              <w:t>/</w:t>
            </w:r>
          </w:p>
        </w:tc>
        <w:tc>
          <w:tcPr>
            <w:tcW w:w="549" w:type="pct"/>
            <w:tcBorders>
              <w:left w:val="single" w:sz="4" w:space="0" w:color="000000"/>
            </w:tcBorders>
            <w:vAlign w:val="center"/>
          </w:tcPr>
          <w:p w14:paraId="55D83CDB" w14:textId="71F30438" w:rsidR="00FC2BCD" w:rsidRPr="00FC2BCD" w:rsidRDefault="00FC2BCD" w:rsidP="00FC2BCD">
            <w:pPr>
              <w:adjustRightInd w:val="0"/>
              <w:snapToGrid w:val="0"/>
              <w:jc w:val="center"/>
            </w:pPr>
            <w:r w:rsidRPr="00FC2BCD">
              <w:t>/</w:t>
            </w:r>
          </w:p>
        </w:tc>
        <w:tc>
          <w:tcPr>
            <w:tcW w:w="568" w:type="pct"/>
            <w:vAlign w:val="center"/>
          </w:tcPr>
          <w:p w14:paraId="63A38662" w14:textId="650F6317" w:rsidR="00FC2BCD" w:rsidRPr="00FC2BCD" w:rsidRDefault="00FC2BCD" w:rsidP="00FC2BCD">
            <w:pPr>
              <w:adjustRightInd w:val="0"/>
              <w:snapToGrid w:val="0"/>
              <w:jc w:val="center"/>
            </w:pPr>
            <w:r w:rsidRPr="00FC2BCD">
              <w:rPr>
                <w:rFonts w:hint="eastAsia"/>
              </w:rPr>
              <w:t>0.00000333</w:t>
            </w:r>
          </w:p>
        </w:tc>
        <w:tc>
          <w:tcPr>
            <w:tcW w:w="610" w:type="pct"/>
            <w:vAlign w:val="center"/>
          </w:tcPr>
          <w:p w14:paraId="13673BDD" w14:textId="28F29930" w:rsidR="00FC2BCD" w:rsidRPr="00FC2BCD" w:rsidRDefault="00FC2BCD" w:rsidP="00FC2BCD">
            <w:pPr>
              <w:adjustRightInd w:val="0"/>
              <w:snapToGrid w:val="0"/>
              <w:jc w:val="center"/>
            </w:pPr>
            <w:r w:rsidRPr="00614404">
              <w:rPr>
                <w:rFonts w:hint="eastAsia"/>
              </w:rPr>
              <w:t>0</w:t>
            </w:r>
          </w:p>
        </w:tc>
      </w:tr>
      <w:tr w:rsidR="002B0DA6" w:rsidRPr="0037274A" w14:paraId="03826D8C" w14:textId="77777777" w:rsidTr="004B4160">
        <w:trPr>
          <w:trHeight w:val="57"/>
          <w:jc w:val="center"/>
        </w:trPr>
        <w:tc>
          <w:tcPr>
            <w:tcW w:w="229" w:type="pct"/>
            <w:vMerge w:val="restart"/>
            <w:vAlign w:val="center"/>
          </w:tcPr>
          <w:p w14:paraId="400A73CA" w14:textId="77777777" w:rsidR="002B0DA6" w:rsidRPr="00FC2BCD" w:rsidRDefault="002B0DA6" w:rsidP="002B0DA6">
            <w:pPr>
              <w:adjustRightInd w:val="0"/>
              <w:snapToGrid w:val="0"/>
              <w:jc w:val="center"/>
            </w:pPr>
            <w:r w:rsidRPr="00FC2BCD">
              <w:t>固废</w:t>
            </w:r>
          </w:p>
        </w:tc>
        <w:tc>
          <w:tcPr>
            <w:tcW w:w="574" w:type="pct"/>
            <w:tcBorders>
              <w:top w:val="single" w:sz="2" w:space="0" w:color="000000"/>
              <w:left w:val="nil"/>
              <w:bottom w:val="single" w:sz="4" w:space="0" w:color="000000"/>
              <w:right w:val="single" w:sz="4" w:space="0" w:color="000000"/>
            </w:tcBorders>
            <w:vAlign w:val="center"/>
          </w:tcPr>
          <w:p w14:paraId="6C08D37D" w14:textId="5430F5C4" w:rsidR="002B0DA6" w:rsidRPr="001A3A47" w:rsidRDefault="002B0DA6" w:rsidP="002B0DA6">
            <w:pPr>
              <w:adjustRightInd w:val="0"/>
              <w:snapToGrid w:val="0"/>
              <w:jc w:val="center"/>
            </w:pPr>
            <w:r>
              <w:rPr>
                <w:rFonts w:hint="eastAsia"/>
                <w:color w:val="000000"/>
                <w:sz w:val="22"/>
                <w:szCs w:val="22"/>
              </w:rPr>
              <w:t>炉渣</w:t>
            </w:r>
          </w:p>
        </w:tc>
        <w:tc>
          <w:tcPr>
            <w:tcW w:w="254" w:type="pct"/>
            <w:tcBorders>
              <w:top w:val="single" w:sz="2" w:space="0" w:color="000000"/>
              <w:left w:val="single" w:sz="4" w:space="0" w:color="000000"/>
              <w:bottom w:val="single" w:sz="4" w:space="0" w:color="000000"/>
              <w:right w:val="single" w:sz="4" w:space="0" w:color="000000"/>
            </w:tcBorders>
          </w:tcPr>
          <w:p w14:paraId="29A64AB6" w14:textId="3472DD76" w:rsidR="002B0DA6" w:rsidRPr="001A3A47" w:rsidRDefault="002B0DA6" w:rsidP="002B0DA6">
            <w:pPr>
              <w:adjustRightInd w:val="0"/>
              <w:snapToGrid w:val="0"/>
              <w:jc w:val="center"/>
            </w:pPr>
            <w:r w:rsidRPr="001D4599">
              <w:t>t/a</w:t>
            </w:r>
          </w:p>
        </w:tc>
        <w:tc>
          <w:tcPr>
            <w:tcW w:w="627" w:type="pct"/>
            <w:tcBorders>
              <w:top w:val="single" w:sz="2" w:space="0" w:color="000000"/>
              <w:left w:val="single" w:sz="4" w:space="0" w:color="000000"/>
              <w:bottom w:val="single" w:sz="4" w:space="0" w:color="000000"/>
              <w:right w:val="nil"/>
            </w:tcBorders>
            <w:vAlign w:val="center"/>
          </w:tcPr>
          <w:p w14:paraId="6B8CFBF6" w14:textId="2622535F" w:rsidR="002B0DA6" w:rsidRPr="001A3A47" w:rsidRDefault="002B0DA6" w:rsidP="002B0DA6">
            <w:pPr>
              <w:adjustRightInd w:val="0"/>
              <w:snapToGrid w:val="0"/>
              <w:jc w:val="center"/>
            </w:pPr>
            <w:r>
              <w:rPr>
                <w:rFonts w:hint="eastAsia"/>
                <w:color w:val="000000"/>
                <w:sz w:val="22"/>
                <w:szCs w:val="22"/>
              </w:rPr>
              <w:t>114640</w:t>
            </w:r>
          </w:p>
        </w:tc>
        <w:tc>
          <w:tcPr>
            <w:tcW w:w="561" w:type="pct"/>
            <w:vAlign w:val="center"/>
          </w:tcPr>
          <w:p w14:paraId="1AAAF006" w14:textId="7CFD0CAF" w:rsidR="002B0DA6" w:rsidRPr="001A3A47" w:rsidRDefault="002B0DA6" w:rsidP="002B0DA6">
            <w:pPr>
              <w:adjustRightInd w:val="0"/>
              <w:snapToGrid w:val="0"/>
              <w:jc w:val="center"/>
            </w:pPr>
            <w:r w:rsidRPr="00FC2BCD">
              <w:t>/</w:t>
            </w:r>
          </w:p>
        </w:tc>
        <w:tc>
          <w:tcPr>
            <w:tcW w:w="562" w:type="pct"/>
            <w:vAlign w:val="center"/>
          </w:tcPr>
          <w:p w14:paraId="2AC6E023" w14:textId="330EC92E" w:rsidR="002B0DA6" w:rsidRPr="001A3A47" w:rsidRDefault="002B0DA6" w:rsidP="002B0DA6">
            <w:pPr>
              <w:adjustRightInd w:val="0"/>
              <w:snapToGrid w:val="0"/>
              <w:jc w:val="center"/>
            </w:pPr>
            <w:r w:rsidRPr="00FC2BCD">
              <w:t>/</w:t>
            </w:r>
          </w:p>
        </w:tc>
        <w:tc>
          <w:tcPr>
            <w:tcW w:w="466" w:type="pct"/>
            <w:vAlign w:val="center"/>
          </w:tcPr>
          <w:p w14:paraId="2A915CE8" w14:textId="554103E3" w:rsidR="002B0DA6" w:rsidRPr="001A3A47" w:rsidRDefault="002B0DA6" w:rsidP="002B0DA6">
            <w:pPr>
              <w:adjustRightInd w:val="0"/>
              <w:snapToGrid w:val="0"/>
              <w:jc w:val="center"/>
            </w:pPr>
            <w:r w:rsidRPr="00FC2BCD">
              <w:t>/</w:t>
            </w:r>
          </w:p>
        </w:tc>
        <w:tc>
          <w:tcPr>
            <w:tcW w:w="549" w:type="pct"/>
            <w:vAlign w:val="center"/>
          </w:tcPr>
          <w:p w14:paraId="25A600FB" w14:textId="1FAB3C9A" w:rsidR="002B0DA6" w:rsidRPr="001A3A47" w:rsidRDefault="002B0DA6" w:rsidP="002B0DA6">
            <w:pPr>
              <w:adjustRightInd w:val="0"/>
              <w:snapToGrid w:val="0"/>
              <w:jc w:val="center"/>
            </w:pPr>
            <w:r w:rsidRPr="00FC2BCD">
              <w:t>/</w:t>
            </w:r>
          </w:p>
        </w:tc>
        <w:tc>
          <w:tcPr>
            <w:tcW w:w="568" w:type="pct"/>
            <w:vAlign w:val="center"/>
          </w:tcPr>
          <w:p w14:paraId="6C8068B5" w14:textId="55375440" w:rsidR="002B0DA6" w:rsidRPr="001A3A47" w:rsidRDefault="002B0DA6" w:rsidP="002B0DA6">
            <w:pPr>
              <w:adjustRightInd w:val="0"/>
              <w:snapToGrid w:val="0"/>
              <w:jc w:val="center"/>
            </w:pPr>
            <w:r>
              <w:rPr>
                <w:rFonts w:hint="eastAsia"/>
                <w:color w:val="000000"/>
                <w:sz w:val="22"/>
                <w:szCs w:val="22"/>
              </w:rPr>
              <w:t>114640</w:t>
            </w:r>
          </w:p>
        </w:tc>
        <w:tc>
          <w:tcPr>
            <w:tcW w:w="610" w:type="pct"/>
            <w:vAlign w:val="center"/>
          </w:tcPr>
          <w:p w14:paraId="153DEB8E" w14:textId="77777777" w:rsidR="002B0DA6" w:rsidRPr="001A3A47" w:rsidRDefault="002B0DA6" w:rsidP="002B0DA6">
            <w:pPr>
              <w:adjustRightInd w:val="0"/>
              <w:snapToGrid w:val="0"/>
              <w:jc w:val="center"/>
            </w:pPr>
            <w:r w:rsidRPr="001A3A47">
              <w:t>0</w:t>
            </w:r>
          </w:p>
        </w:tc>
      </w:tr>
      <w:tr w:rsidR="002B0DA6" w14:paraId="6FF2841C" w14:textId="77777777" w:rsidTr="004B4160">
        <w:trPr>
          <w:trHeight w:val="57"/>
          <w:jc w:val="center"/>
        </w:trPr>
        <w:tc>
          <w:tcPr>
            <w:tcW w:w="229" w:type="pct"/>
            <w:vMerge/>
            <w:vAlign w:val="center"/>
          </w:tcPr>
          <w:p w14:paraId="3DB147DC" w14:textId="77777777" w:rsidR="002B0DA6" w:rsidRPr="00FC2BCD" w:rsidRDefault="002B0DA6" w:rsidP="002B0DA6">
            <w:pPr>
              <w:adjustRightInd w:val="0"/>
              <w:snapToGrid w:val="0"/>
              <w:jc w:val="center"/>
            </w:pPr>
          </w:p>
        </w:tc>
        <w:tc>
          <w:tcPr>
            <w:tcW w:w="574" w:type="pct"/>
            <w:tcBorders>
              <w:top w:val="single" w:sz="4" w:space="0" w:color="000000"/>
              <w:left w:val="nil"/>
              <w:bottom w:val="single" w:sz="4" w:space="0" w:color="000000"/>
              <w:right w:val="single" w:sz="4" w:space="0" w:color="000000"/>
            </w:tcBorders>
            <w:vAlign w:val="center"/>
          </w:tcPr>
          <w:p w14:paraId="551E9F02" w14:textId="29CC4CC8" w:rsidR="002B0DA6" w:rsidRPr="001A3A47" w:rsidRDefault="002B0DA6" w:rsidP="002B0DA6">
            <w:pPr>
              <w:adjustRightInd w:val="0"/>
              <w:snapToGrid w:val="0"/>
              <w:jc w:val="center"/>
            </w:pPr>
            <w:r>
              <w:rPr>
                <w:rFonts w:hint="eastAsia"/>
                <w:color w:val="000000"/>
                <w:sz w:val="22"/>
                <w:szCs w:val="22"/>
              </w:rPr>
              <w:t>渗滤液处理站污泥</w:t>
            </w:r>
          </w:p>
        </w:tc>
        <w:tc>
          <w:tcPr>
            <w:tcW w:w="254" w:type="pct"/>
            <w:tcBorders>
              <w:top w:val="single" w:sz="4" w:space="0" w:color="000000"/>
              <w:left w:val="single" w:sz="4" w:space="0" w:color="000000"/>
              <w:bottom w:val="single" w:sz="4" w:space="0" w:color="000000"/>
              <w:right w:val="single" w:sz="4" w:space="0" w:color="000000"/>
            </w:tcBorders>
          </w:tcPr>
          <w:p w14:paraId="12C6F2A3" w14:textId="35A6D142" w:rsidR="002B0DA6" w:rsidRPr="001A3A47" w:rsidRDefault="002B0DA6" w:rsidP="002B0DA6">
            <w:pPr>
              <w:adjustRightInd w:val="0"/>
              <w:snapToGrid w:val="0"/>
              <w:jc w:val="center"/>
            </w:pPr>
            <w:r w:rsidRPr="001D4599">
              <w:t>t/a</w:t>
            </w:r>
          </w:p>
        </w:tc>
        <w:tc>
          <w:tcPr>
            <w:tcW w:w="627" w:type="pct"/>
            <w:tcBorders>
              <w:top w:val="single" w:sz="4" w:space="0" w:color="000000"/>
              <w:left w:val="single" w:sz="4" w:space="0" w:color="000000"/>
              <w:bottom w:val="single" w:sz="4" w:space="0" w:color="000000"/>
              <w:right w:val="nil"/>
            </w:tcBorders>
            <w:vAlign w:val="center"/>
          </w:tcPr>
          <w:p w14:paraId="755701B2" w14:textId="4AEF27C7" w:rsidR="002B0DA6" w:rsidRPr="001A3A47" w:rsidRDefault="002B0DA6" w:rsidP="002B0DA6">
            <w:pPr>
              <w:adjustRightInd w:val="0"/>
              <w:snapToGrid w:val="0"/>
              <w:jc w:val="center"/>
            </w:pPr>
            <w:r>
              <w:rPr>
                <w:rFonts w:hint="eastAsia"/>
                <w:color w:val="000000"/>
                <w:sz w:val="22"/>
                <w:szCs w:val="22"/>
              </w:rPr>
              <w:t>6000</w:t>
            </w:r>
          </w:p>
        </w:tc>
        <w:tc>
          <w:tcPr>
            <w:tcW w:w="561" w:type="pct"/>
            <w:vAlign w:val="center"/>
          </w:tcPr>
          <w:p w14:paraId="25E9097E" w14:textId="53E00258" w:rsidR="002B0DA6" w:rsidRPr="001A3A47" w:rsidRDefault="002B0DA6" w:rsidP="002B0DA6">
            <w:pPr>
              <w:adjustRightInd w:val="0"/>
              <w:snapToGrid w:val="0"/>
              <w:jc w:val="center"/>
            </w:pPr>
            <w:r w:rsidRPr="00FC2BCD">
              <w:t>/</w:t>
            </w:r>
          </w:p>
        </w:tc>
        <w:tc>
          <w:tcPr>
            <w:tcW w:w="562" w:type="pct"/>
            <w:vAlign w:val="center"/>
          </w:tcPr>
          <w:p w14:paraId="781DFC1D" w14:textId="0D71F56F" w:rsidR="002B0DA6" w:rsidRPr="001A3A47" w:rsidRDefault="002B0DA6" w:rsidP="002B0DA6">
            <w:pPr>
              <w:adjustRightInd w:val="0"/>
              <w:snapToGrid w:val="0"/>
              <w:jc w:val="center"/>
            </w:pPr>
            <w:r w:rsidRPr="00FC2BCD">
              <w:t>/</w:t>
            </w:r>
          </w:p>
        </w:tc>
        <w:tc>
          <w:tcPr>
            <w:tcW w:w="466" w:type="pct"/>
            <w:vAlign w:val="center"/>
          </w:tcPr>
          <w:p w14:paraId="315DE078" w14:textId="48FCFCF7" w:rsidR="002B0DA6" w:rsidRPr="001A3A47" w:rsidRDefault="002B0DA6" w:rsidP="002B0DA6">
            <w:pPr>
              <w:adjustRightInd w:val="0"/>
              <w:snapToGrid w:val="0"/>
              <w:jc w:val="center"/>
            </w:pPr>
            <w:r w:rsidRPr="00FC2BCD">
              <w:t>/</w:t>
            </w:r>
          </w:p>
        </w:tc>
        <w:tc>
          <w:tcPr>
            <w:tcW w:w="549" w:type="pct"/>
            <w:vAlign w:val="center"/>
          </w:tcPr>
          <w:p w14:paraId="79791FDA" w14:textId="7D5CA4F5" w:rsidR="002B0DA6" w:rsidRPr="001A3A47" w:rsidRDefault="002B0DA6" w:rsidP="002B0DA6">
            <w:pPr>
              <w:adjustRightInd w:val="0"/>
              <w:snapToGrid w:val="0"/>
              <w:jc w:val="center"/>
            </w:pPr>
            <w:r w:rsidRPr="00FC2BCD">
              <w:t>/</w:t>
            </w:r>
          </w:p>
        </w:tc>
        <w:tc>
          <w:tcPr>
            <w:tcW w:w="568" w:type="pct"/>
            <w:vAlign w:val="center"/>
          </w:tcPr>
          <w:p w14:paraId="36C7DA3E" w14:textId="388B75D3" w:rsidR="002B0DA6" w:rsidRPr="001A3A47" w:rsidRDefault="002B0DA6" w:rsidP="002B0DA6">
            <w:pPr>
              <w:adjustRightInd w:val="0"/>
              <w:snapToGrid w:val="0"/>
              <w:jc w:val="center"/>
            </w:pPr>
            <w:r>
              <w:rPr>
                <w:rFonts w:hint="eastAsia"/>
                <w:color w:val="000000"/>
                <w:sz w:val="22"/>
                <w:szCs w:val="22"/>
              </w:rPr>
              <w:t>6000</w:t>
            </w:r>
          </w:p>
        </w:tc>
        <w:tc>
          <w:tcPr>
            <w:tcW w:w="610" w:type="pct"/>
            <w:vAlign w:val="center"/>
          </w:tcPr>
          <w:p w14:paraId="2C0C53AB" w14:textId="77777777" w:rsidR="002B0DA6" w:rsidRPr="001A3A47" w:rsidRDefault="002B0DA6" w:rsidP="002B0DA6">
            <w:pPr>
              <w:adjustRightInd w:val="0"/>
              <w:snapToGrid w:val="0"/>
              <w:jc w:val="center"/>
            </w:pPr>
            <w:r w:rsidRPr="001A3A47">
              <w:t>0</w:t>
            </w:r>
          </w:p>
        </w:tc>
      </w:tr>
      <w:tr w:rsidR="002B0DA6" w14:paraId="6027F727" w14:textId="77777777" w:rsidTr="004B4160">
        <w:trPr>
          <w:trHeight w:val="57"/>
          <w:jc w:val="center"/>
        </w:trPr>
        <w:tc>
          <w:tcPr>
            <w:tcW w:w="229" w:type="pct"/>
            <w:vMerge/>
            <w:vAlign w:val="center"/>
          </w:tcPr>
          <w:p w14:paraId="61CDC32D" w14:textId="77777777" w:rsidR="002B0DA6" w:rsidRPr="00FC2BCD" w:rsidRDefault="002B0DA6" w:rsidP="002B0DA6">
            <w:pPr>
              <w:adjustRightInd w:val="0"/>
              <w:snapToGrid w:val="0"/>
              <w:jc w:val="center"/>
            </w:pPr>
          </w:p>
        </w:tc>
        <w:tc>
          <w:tcPr>
            <w:tcW w:w="574" w:type="pct"/>
            <w:tcBorders>
              <w:top w:val="single" w:sz="4" w:space="0" w:color="000000"/>
              <w:left w:val="nil"/>
              <w:bottom w:val="single" w:sz="4" w:space="0" w:color="000000"/>
              <w:right w:val="single" w:sz="4" w:space="0" w:color="000000"/>
            </w:tcBorders>
            <w:vAlign w:val="center"/>
          </w:tcPr>
          <w:p w14:paraId="2DC584D8" w14:textId="5057263E" w:rsidR="002B0DA6" w:rsidRPr="001A3A47" w:rsidRDefault="002B0DA6" w:rsidP="002B0DA6">
            <w:pPr>
              <w:adjustRightInd w:val="0"/>
              <w:snapToGrid w:val="0"/>
              <w:jc w:val="center"/>
            </w:pPr>
            <w:r>
              <w:rPr>
                <w:rFonts w:hint="eastAsia"/>
                <w:color w:val="000000"/>
                <w:sz w:val="22"/>
                <w:szCs w:val="22"/>
              </w:rPr>
              <w:t>废金属</w:t>
            </w:r>
          </w:p>
        </w:tc>
        <w:tc>
          <w:tcPr>
            <w:tcW w:w="254" w:type="pct"/>
            <w:tcBorders>
              <w:top w:val="single" w:sz="4" w:space="0" w:color="000000"/>
              <w:left w:val="single" w:sz="4" w:space="0" w:color="000000"/>
              <w:bottom w:val="single" w:sz="4" w:space="0" w:color="000000"/>
              <w:right w:val="single" w:sz="4" w:space="0" w:color="000000"/>
            </w:tcBorders>
          </w:tcPr>
          <w:p w14:paraId="0D8610BD" w14:textId="5BB69F33" w:rsidR="002B0DA6" w:rsidRPr="001A3A47" w:rsidRDefault="002B0DA6" w:rsidP="002B0DA6">
            <w:pPr>
              <w:adjustRightInd w:val="0"/>
              <w:snapToGrid w:val="0"/>
              <w:jc w:val="center"/>
            </w:pPr>
            <w:r w:rsidRPr="001D4599">
              <w:t>t/a</w:t>
            </w:r>
          </w:p>
        </w:tc>
        <w:tc>
          <w:tcPr>
            <w:tcW w:w="627" w:type="pct"/>
            <w:tcBorders>
              <w:top w:val="single" w:sz="4" w:space="0" w:color="000000"/>
              <w:left w:val="single" w:sz="4" w:space="0" w:color="000000"/>
              <w:bottom w:val="single" w:sz="4" w:space="0" w:color="000000"/>
              <w:right w:val="nil"/>
            </w:tcBorders>
            <w:vAlign w:val="center"/>
          </w:tcPr>
          <w:p w14:paraId="6B3CD3F6" w14:textId="6A3FD946" w:rsidR="002B0DA6" w:rsidRPr="001A3A47" w:rsidRDefault="002B0DA6" w:rsidP="002B0DA6">
            <w:pPr>
              <w:adjustRightInd w:val="0"/>
              <w:snapToGrid w:val="0"/>
              <w:jc w:val="center"/>
            </w:pPr>
            <w:r>
              <w:rPr>
                <w:rFonts w:hint="eastAsia"/>
                <w:color w:val="000000"/>
                <w:sz w:val="22"/>
                <w:szCs w:val="22"/>
              </w:rPr>
              <w:t>1100</w:t>
            </w:r>
          </w:p>
        </w:tc>
        <w:tc>
          <w:tcPr>
            <w:tcW w:w="561" w:type="pct"/>
            <w:vAlign w:val="center"/>
          </w:tcPr>
          <w:p w14:paraId="179C7224" w14:textId="663134A7" w:rsidR="002B0DA6" w:rsidRPr="001A3A47" w:rsidRDefault="002B0DA6" w:rsidP="002B0DA6">
            <w:pPr>
              <w:adjustRightInd w:val="0"/>
              <w:snapToGrid w:val="0"/>
              <w:jc w:val="center"/>
            </w:pPr>
            <w:r w:rsidRPr="00FC2BCD">
              <w:t>/</w:t>
            </w:r>
          </w:p>
        </w:tc>
        <w:tc>
          <w:tcPr>
            <w:tcW w:w="562" w:type="pct"/>
            <w:vAlign w:val="center"/>
          </w:tcPr>
          <w:p w14:paraId="67D38699" w14:textId="08BDC902" w:rsidR="002B0DA6" w:rsidRPr="001A3A47" w:rsidRDefault="002B0DA6" w:rsidP="002B0DA6">
            <w:pPr>
              <w:adjustRightInd w:val="0"/>
              <w:snapToGrid w:val="0"/>
              <w:jc w:val="center"/>
            </w:pPr>
            <w:r w:rsidRPr="00FC2BCD">
              <w:t>/</w:t>
            </w:r>
          </w:p>
        </w:tc>
        <w:tc>
          <w:tcPr>
            <w:tcW w:w="466" w:type="pct"/>
            <w:vAlign w:val="center"/>
          </w:tcPr>
          <w:p w14:paraId="38DF8C46" w14:textId="73D4F923" w:rsidR="002B0DA6" w:rsidRPr="001A3A47" w:rsidRDefault="002B0DA6" w:rsidP="002B0DA6">
            <w:pPr>
              <w:adjustRightInd w:val="0"/>
              <w:snapToGrid w:val="0"/>
              <w:jc w:val="center"/>
            </w:pPr>
            <w:r w:rsidRPr="00FC2BCD">
              <w:t>/</w:t>
            </w:r>
          </w:p>
        </w:tc>
        <w:tc>
          <w:tcPr>
            <w:tcW w:w="549" w:type="pct"/>
            <w:vAlign w:val="center"/>
          </w:tcPr>
          <w:p w14:paraId="73153A76" w14:textId="4C66A262" w:rsidR="002B0DA6" w:rsidRPr="001A3A47" w:rsidRDefault="002B0DA6" w:rsidP="002B0DA6">
            <w:pPr>
              <w:adjustRightInd w:val="0"/>
              <w:snapToGrid w:val="0"/>
              <w:jc w:val="center"/>
            </w:pPr>
            <w:r w:rsidRPr="00FC2BCD">
              <w:t>/</w:t>
            </w:r>
          </w:p>
        </w:tc>
        <w:tc>
          <w:tcPr>
            <w:tcW w:w="568" w:type="pct"/>
            <w:vAlign w:val="center"/>
          </w:tcPr>
          <w:p w14:paraId="1070A354" w14:textId="5933F106" w:rsidR="002B0DA6" w:rsidRPr="001A3A47" w:rsidRDefault="002B0DA6" w:rsidP="002B0DA6">
            <w:pPr>
              <w:adjustRightInd w:val="0"/>
              <w:snapToGrid w:val="0"/>
              <w:jc w:val="center"/>
            </w:pPr>
            <w:r>
              <w:rPr>
                <w:rFonts w:hint="eastAsia"/>
                <w:color w:val="000000"/>
                <w:sz w:val="22"/>
                <w:szCs w:val="22"/>
              </w:rPr>
              <w:t>1100</w:t>
            </w:r>
          </w:p>
        </w:tc>
        <w:tc>
          <w:tcPr>
            <w:tcW w:w="610" w:type="pct"/>
            <w:vAlign w:val="center"/>
          </w:tcPr>
          <w:p w14:paraId="4C3674B4" w14:textId="326293D5" w:rsidR="002B0DA6" w:rsidRPr="001A3A47" w:rsidRDefault="002B0DA6" w:rsidP="002B0DA6">
            <w:pPr>
              <w:adjustRightInd w:val="0"/>
              <w:snapToGrid w:val="0"/>
              <w:jc w:val="center"/>
            </w:pPr>
            <w:r>
              <w:rPr>
                <w:rFonts w:hint="eastAsia"/>
              </w:rPr>
              <w:t>0</w:t>
            </w:r>
          </w:p>
        </w:tc>
      </w:tr>
      <w:tr w:rsidR="002B0DA6" w14:paraId="02D29EEE" w14:textId="77777777" w:rsidTr="004B4160">
        <w:trPr>
          <w:trHeight w:val="57"/>
          <w:jc w:val="center"/>
        </w:trPr>
        <w:tc>
          <w:tcPr>
            <w:tcW w:w="229" w:type="pct"/>
            <w:vMerge/>
            <w:vAlign w:val="center"/>
          </w:tcPr>
          <w:p w14:paraId="2B2BDA0B" w14:textId="77777777" w:rsidR="002B0DA6" w:rsidRPr="00FC2BCD" w:rsidRDefault="002B0DA6" w:rsidP="002B0DA6">
            <w:pPr>
              <w:adjustRightInd w:val="0"/>
              <w:snapToGrid w:val="0"/>
              <w:jc w:val="center"/>
            </w:pPr>
          </w:p>
        </w:tc>
        <w:tc>
          <w:tcPr>
            <w:tcW w:w="574" w:type="pct"/>
            <w:tcBorders>
              <w:top w:val="single" w:sz="4" w:space="0" w:color="000000"/>
              <w:left w:val="nil"/>
              <w:bottom w:val="single" w:sz="4" w:space="0" w:color="000000"/>
              <w:right w:val="single" w:sz="4" w:space="0" w:color="000000"/>
            </w:tcBorders>
            <w:vAlign w:val="center"/>
          </w:tcPr>
          <w:p w14:paraId="4C58A0E7" w14:textId="64754F53" w:rsidR="002B0DA6" w:rsidRPr="001A3A47" w:rsidRDefault="002B0DA6" w:rsidP="002B0DA6">
            <w:pPr>
              <w:adjustRightInd w:val="0"/>
              <w:snapToGrid w:val="0"/>
              <w:jc w:val="center"/>
            </w:pPr>
            <w:r>
              <w:rPr>
                <w:rFonts w:hint="eastAsia"/>
                <w:color w:val="000000"/>
                <w:sz w:val="22"/>
                <w:szCs w:val="22"/>
              </w:rPr>
              <w:t>化学水处理系统废过滤膜和废树脂</w:t>
            </w:r>
          </w:p>
        </w:tc>
        <w:tc>
          <w:tcPr>
            <w:tcW w:w="254" w:type="pct"/>
            <w:tcBorders>
              <w:top w:val="single" w:sz="4" w:space="0" w:color="000000"/>
              <w:left w:val="single" w:sz="4" w:space="0" w:color="000000"/>
              <w:bottom w:val="single" w:sz="4" w:space="0" w:color="000000"/>
              <w:right w:val="single" w:sz="4" w:space="0" w:color="000000"/>
            </w:tcBorders>
          </w:tcPr>
          <w:p w14:paraId="7F218DA3" w14:textId="080659A6" w:rsidR="002B0DA6" w:rsidRPr="001A3A47" w:rsidRDefault="002B0DA6" w:rsidP="002B0DA6">
            <w:pPr>
              <w:adjustRightInd w:val="0"/>
              <w:snapToGrid w:val="0"/>
              <w:jc w:val="center"/>
            </w:pPr>
            <w:r w:rsidRPr="001D4599">
              <w:t>t/a</w:t>
            </w:r>
          </w:p>
        </w:tc>
        <w:tc>
          <w:tcPr>
            <w:tcW w:w="627" w:type="pct"/>
            <w:tcBorders>
              <w:top w:val="single" w:sz="4" w:space="0" w:color="000000"/>
              <w:left w:val="single" w:sz="4" w:space="0" w:color="000000"/>
              <w:bottom w:val="single" w:sz="4" w:space="0" w:color="000000"/>
              <w:right w:val="nil"/>
            </w:tcBorders>
            <w:vAlign w:val="center"/>
          </w:tcPr>
          <w:p w14:paraId="4543B09B" w14:textId="1592A96E" w:rsidR="002B0DA6" w:rsidRPr="001A3A47" w:rsidRDefault="002B0DA6" w:rsidP="002B0DA6">
            <w:pPr>
              <w:adjustRightInd w:val="0"/>
              <w:snapToGrid w:val="0"/>
              <w:jc w:val="center"/>
            </w:pPr>
            <w:r>
              <w:rPr>
                <w:rFonts w:hint="eastAsia"/>
                <w:color w:val="000000"/>
                <w:sz w:val="22"/>
                <w:szCs w:val="22"/>
              </w:rPr>
              <w:t>0.5</w:t>
            </w:r>
          </w:p>
        </w:tc>
        <w:tc>
          <w:tcPr>
            <w:tcW w:w="561" w:type="pct"/>
            <w:vAlign w:val="center"/>
          </w:tcPr>
          <w:p w14:paraId="50DB1707" w14:textId="18706E62" w:rsidR="002B0DA6" w:rsidRPr="001A3A47" w:rsidRDefault="002B0DA6" w:rsidP="002B0DA6">
            <w:pPr>
              <w:adjustRightInd w:val="0"/>
              <w:snapToGrid w:val="0"/>
              <w:jc w:val="center"/>
            </w:pPr>
            <w:r w:rsidRPr="00FC2BCD">
              <w:t>/</w:t>
            </w:r>
          </w:p>
        </w:tc>
        <w:tc>
          <w:tcPr>
            <w:tcW w:w="562" w:type="pct"/>
            <w:vAlign w:val="center"/>
          </w:tcPr>
          <w:p w14:paraId="000F56E4" w14:textId="2C4764D8" w:rsidR="002B0DA6" w:rsidRPr="001A3A47" w:rsidRDefault="002B0DA6" w:rsidP="002B0DA6">
            <w:pPr>
              <w:adjustRightInd w:val="0"/>
              <w:snapToGrid w:val="0"/>
              <w:jc w:val="center"/>
            </w:pPr>
            <w:r w:rsidRPr="00FC2BCD">
              <w:t>/</w:t>
            </w:r>
          </w:p>
        </w:tc>
        <w:tc>
          <w:tcPr>
            <w:tcW w:w="466" w:type="pct"/>
            <w:vAlign w:val="center"/>
          </w:tcPr>
          <w:p w14:paraId="67851928" w14:textId="49F471A2" w:rsidR="002B0DA6" w:rsidRPr="001A3A47" w:rsidRDefault="002B0DA6" w:rsidP="002B0DA6">
            <w:pPr>
              <w:adjustRightInd w:val="0"/>
              <w:snapToGrid w:val="0"/>
              <w:jc w:val="center"/>
            </w:pPr>
            <w:r w:rsidRPr="00FC2BCD">
              <w:t>/</w:t>
            </w:r>
          </w:p>
        </w:tc>
        <w:tc>
          <w:tcPr>
            <w:tcW w:w="549" w:type="pct"/>
            <w:vAlign w:val="center"/>
          </w:tcPr>
          <w:p w14:paraId="7822F370" w14:textId="41B83269" w:rsidR="002B0DA6" w:rsidRPr="001A3A47" w:rsidRDefault="002B0DA6" w:rsidP="002B0DA6">
            <w:pPr>
              <w:adjustRightInd w:val="0"/>
              <w:snapToGrid w:val="0"/>
              <w:jc w:val="center"/>
            </w:pPr>
            <w:r w:rsidRPr="00FC2BCD">
              <w:t>/</w:t>
            </w:r>
          </w:p>
        </w:tc>
        <w:tc>
          <w:tcPr>
            <w:tcW w:w="568" w:type="pct"/>
            <w:vAlign w:val="center"/>
          </w:tcPr>
          <w:p w14:paraId="6FE20A58" w14:textId="38B2570F" w:rsidR="002B0DA6" w:rsidRPr="001A3A47" w:rsidRDefault="002B0DA6" w:rsidP="002B0DA6">
            <w:pPr>
              <w:adjustRightInd w:val="0"/>
              <w:snapToGrid w:val="0"/>
              <w:jc w:val="center"/>
            </w:pPr>
            <w:r>
              <w:rPr>
                <w:rFonts w:hint="eastAsia"/>
                <w:color w:val="000000"/>
                <w:sz w:val="22"/>
                <w:szCs w:val="22"/>
              </w:rPr>
              <w:t>0.5</w:t>
            </w:r>
          </w:p>
        </w:tc>
        <w:tc>
          <w:tcPr>
            <w:tcW w:w="610" w:type="pct"/>
            <w:vAlign w:val="center"/>
          </w:tcPr>
          <w:p w14:paraId="4DB3B925" w14:textId="0ACE1AFD" w:rsidR="002B0DA6" w:rsidRPr="001A3A47" w:rsidRDefault="002B0DA6" w:rsidP="002B0DA6">
            <w:pPr>
              <w:adjustRightInd w:val="0"/>
              <w:snapToGrid w:val="0"/>
              <w:jc w:val="center"/>
            </w:pPr>
            <w:r>
              <w:rPr>
                <w:rFonts w:hint="eastAsia"/>
              </w:rPr>
              <w:t>0</w:t>
            </w:r>
          </w:p>
        </w:tc>
      </w:tr>
      <w:tr w:rsidR="002B0DA6" w14:paraId="4A0E06D8" w14:textId="77777777" w:rsidTr="004B4160">
        <w:trPr>
          <w:trHeight w:val="57"/>
          <w:jc w:val="center"/>
        </w:trPr>
        <w:tc>
          <w:tcPr>
            <w:tcW w:w="229" w:type="pct"/>
            <w:vMerge/>
            <w:vAlign w:val="center"/>
          </w:tcPr>
          <w:p w14:paraId="53410044" w14:textId="77777777" w:rsidR="002B0DA6" w:rsidRPr="00FC2BCD" w:rsidRDefault="002B0DA6" w:rsidP="002B0DA6">
            <w:pPr>
              <w:adjustRightInd w:val="0"/>
              <w:snapToGrid w:val="0"/>
              <w:jc w:val="center"/>
            </w:pPr>
          </w:p>
        </w:tc>
        <w:tc>
          <w:tcPr>
            <w:tcW w:w="574" w:type="pct"/>
            <w:tcBorders>
              <w:top w:val="single" w:sz="4" w:space="0" w:color="000000"/>
              <w:left w:val="nil"/>
              <w:bottom w:val="single" w:sz="4" w:space="0" w:color="000000"/>
              <w:right w:val="single" w:sz="4" w:space="0" w:color="000000"/>
            </w:tcBorders>
            <w:vAlign w:val="center"/>
          </w:tcPr>
          <w:p w14:paraId="7FB41C12" w14:textId="16896AC7" w:rsidR="002B0DA6" w:rsidRPr="001A3A47" w:rsidRDefault="002B0DA6" w:rsidP="002B0DA6">
            <w:pPr>
              <w:adjustRightInd w:val="0"/>
              <w:snapToGrid w:val="0"/>
              <w:jc w:val="center"/>
            </w:pPr>
            <w:r>
              <w:rPr>
                <w:rFonts w:hint="eastAsia"/>
                <w:color w:val="000000"/>
                <w:sz w:val="22"/>
                <w:szCs w:val="22"/>
              </w:rPr>
              <w:t>生活垃圾</w:t>
            </w:r>
          </w:p>
        </w:tc>
        <w:tc>
          <w:tcPr>
            <w:tcW w:w="254" w:type="pct"/>
            <w:tcBorders>
              <w:top w:val="single" w:sz="4" w:space="0" w:color="000000"/>
              <w:left w:val="single" w:sz="4" w:space="0" w:color="000000"/>
              <w:bottom w:val="single" w:sz="4" w:space="0" w:color="000000"/>
              <w:right w:val="single" w:sz="4" w:space="0" w:color="000000"/>
            </w:tcBorders>
          </w:tcPr>
          <w:p w14:paraId="3BA5E9E8" w14:textId="76A9DAEA" w:rsidR="002B0DA6" w:rsidRPr="001A3A47" w:rsidRDefault="002B0DA6" w:rsidP="002B0DA6">
            <w:pPr>
              <w:adjustRightInd w:val="0"/>
              <w:snapToGrid w:val="0"/>
              <w:jc w:val="center"/>
            </w:pPr>
            <w:r w:rsidRPr="001D4599">
              <w:t>t/a</w:t>
            </w:r>
          </w:p>
        </w:tc>
        <w:tc>
          <w:tcPr>
            <w:tcW w:w="627" w:type="pct"/>
            <w:tcBorders>
              <w:top w:val="single" w:sz="4" w:space="0" w:color="000000"/>
              <w:left w:val="single" w:sz="4" w:space="0" w:color="000000"/>
              <w:bottom w:val="single" w:sz="4" w:space="0" w:color="000000"/>
              <w:right w:val="nil"/>
            </w:tcBorders>
            <w:vAlign w:val="center"/>
          </w:tcPr>
          <w:p w14:paraId="670B3D6C" w14:textId="35CFCAB6" w:rsidR="002B0DA6" w:rsidRPr="001A3A47" w:rsidRDefault="002B0DA6" w:rsidP="002B0DA6">
            <w:pPr>
              <w:adjustRightInd w:val="0"/>
              <w:snapToGrid w:val="0"/>
              <w:jc w:val="center"/>
            </w:pPr>
            <w:r>
              <w:rPr>
                <w:rFonts w:hint="eastAsia"/>
                <w:color w:val="000000"/>
                <w:sz w:val="22"/>
                <w:szCs w:val="22"/>
              </w:rPr>
              <w:t>28.87</w:t>
            </w:r>
          </w:p>
        </w:tc>
        <w:tc>
          <w:tcPr>
            <w:tcW w:w="561" w:type="pct"/>
            <w:vAlign w:val="center"/>
          </w:tcPr>
          <w:p w14:paraId="354057C3" w14:textId="5272C8D3" w:rsidR="002B0DA6" w:rsidRPr="001A3A47" w:rsidRDefault="002B0DA6" w:rsidP="002B0DA6">
            <w:pPr>
              <w:adjustRightInd w:val="0"/>
              <w:snapToGrid w:val="0"/>
              <w:jc w:val="center"/>
            </w:pPr>
            <w:r w:rsidRPr="00FC2BCD">
              <w:t>/</w:t>
            </w:r>
          </w:p>
        </w:tc>
        <w:tc>
          <w:tcPr>
            <w:tcW w:w="562" w:type="pct"/>
            <w:vAlign w:val="center"/>
          </w:tcPr>
          <w:p w14:paraId="0073B387" w14:textId="188F28F6" w:rsidR="002B0DA6" w:rsidRPr="001A3A47" w:rsidRDefault="002B0DA6" w:rsidP="002B0DA6">
            <w:pPr>
              <w:adjustRightInd w:val="0"/>
              <w:snapToGrid w:val="0"/>
              <w:jc w:val="center"/>
            </w:pPr>
            <w:r w:rsidRPr="00FC2BCD">
              <w:t>/</w:t>
            </w:r>
          </w:p>
        </w:tc>
        <w:tc>
          <w:tcPr>
            <w:tcW w:w="466" w:type="pct"/>
            <w:vAlign w:val="center"/>
          </w:tcPr>
          <w:p w14:paraId="71BAF3CB" w14:textId="472324D5" w:rsidR="002B0DA6" w:rsidRPr="001A3A47" w:rsidRDefault="002B0DA6" w:rsidP="002B0DA6">
            <w:pPr>
              <w:adjustRightInd w:val="0"/>
              <w:snapToGrid w:val="0"/>
              <w:jc w:val="center"/>
            </w:pPr>
            <w:r w:rsidRPr="00FC2BCD">
              <w:t>/</w:t>
            </w:r>
          </w:p>
        </w:tc>
        <w:tc>
          <w:tcPr>
            <w:tcW w:w="549" w:type="pct"/>
            <w:vAlign w:val="center"/>
          </w:tcPr>
          <w:p w14:paraId="2C27A3F7" w14:textId="2A48D373" w:rsidR="002B0DA6" w:rsidRPr="001A3A47" w:rsidRDefault="002B0DA6" w:rsidP="002B0DA6">
            <w:pPr>
              <w:adjustRightInd w:val="0"/>
              <w:snapToGrid w:val="0"/>
              <w:jc w:val="center"/>
            </w:pPr>
            <w:r w:rsidRPr="00FC2BCD">
              <w:t>/</w:t>
            </w:r>
          </w:p>
        </w:tc>
        <w:tc>
          <w:tcPr>
            <w:tcW w:w="568" w:type="pct"/>
            <w:vAlign w:val="center"/>
          </w:tcPr>
          <w:p w14:paraId="07CA0B6F" w14:textId="2CC2B929" w:rsidR="002B0DA6" w:rsidRPr="001A3A47" w:rsidRDefault="002B0DA6" w:rsidP="002B0DA6">
            <w:pPr>
              <w:adjustRightInd w:val="0"/>
              <w:snapToGrid w:val="0"/>
              <w:jc w:val="center"/>
            </w:pPr>
            <w:r>
              <w:rPr>
                <w:rFonts w:hint="eastAsia"/>
                <w:color w:val="000000"/>
                <w:sz w:val="22"/>
                <w:szCs w:val="22"/>
              </w:rPr>
              <w:t>28.87</w:t>
            </w:r>
          </w:p>
        </w:tc>
        <w:tc>
          <w:tcPr>
            <w:tcW w:w="610" w:type="pct"/>
            <w:vAlign w:val="center"/>
          </w:tcPr>
          <w:p w14:paraId="6D25467C" w14:textId="1FEE0FC3" w:rsidR="002B0DA6" w:rsidRPr="001A3A47" w:rsidRDefault="002B0DA6" w:rsidP="002B0DA6">
            <w:pPr>
              <w:adjustRightInd w:val="0"/>
              <w:snapToGrid w:val="0"/>
              <w:jc w:val="center"/>
            </w:pPr>
            <w:r>
              <w:rPr>
                <w:rFonts w:hint="eastAsia"/>
              </w:rPr>
              <w:t>0</w:t>
            </w:r>
          </w:p>
        </w:tc>
      </w:tr>
      <w:tr w:rsidR="002B0DA6" w14:paraId="328FF5F4" w14:textId="77777777" w:rsidTr="004B4160">
        <w:trPr>
          <w:trHeight w:val="57"/>
          <w:jc w:val="center"/>
        </w:trPr>
        <w:tc>
          <w:tcPr>
            <w:tcW w:w="229" w:type="pct"/>
            <w:vMerge/>
            <w:vAlign w:val="center"/>
          </w:tcPr>
          <w:p w14:paraId="7DD9BD08" w14:textId="77777777" w:rsidR="002B0DA6" w:rsidRPr="00FC2BCD" w:rsidRDefault="002B0DA6" w:rsidP="002B0DA6">
            <w:pPr>
              <w:adjustRightInd w:val="0"/>
              <w:snapToGrid w:val="0"/>
              <w:jc w:val="center"/>
            </w:pPr>
          </w:p>
        </w:tc>
        <w:tc>
          <w:tcPr>
            <w:tcW w:w="574" w:type="pct"/>
            <w:tcBorders>
              <w:top w:val="single" w:sz="4" w:space="0" w:color="000000"/>
              <w:left w:val="nil"/>
              <w:bottom w:val="single" w:sz="4" w:space="0" w:color="000000"/>
              <w:right w:val="single" w:sz="4" w:space="0" w:color="000000"/>
            </w:tcBorders>
            <w:vAlign w:val="center"/>
          </w:tcPr>
          <w:p w14:paraId="2535C6FB" w14:textId="7FA089AC" w:rsidR="002B0DA6" w:rsidRPr="001A3A47" w:rsidRDefault="002B0DA6" w:rsidP="002B0DA6">
            <w:pPr>
              <w:adjustRightInd w:val="0"/>
              <w:snapToGrid w:val="0"/>
              <w:jc w:val="center"/>
            </w:pPr>
            <w:r>
              <w:rPr>
                <w:rFonts w:hint="eastAsia"/>
                <w:color w:val="000000"/>
                <w:sz w:val="22"/>
                <w:szCs w:val="22"/>
              </w:rPr>
              <w:t>餐厨垃圾</w:t>
            </w:r>
          </w:p>
        </w:tc>
        <w:tc>
          <w:tcPr>
            <w:tcW w:w="254" w:type="pct"/>
            <w:tcBorders>
              <w:top w:val="single" w:sz="4" w:space="0" w:color="000000"/>
              <w:left w:val="single" w:sz="4" w:space="0" w:color="000000"/>
              <w:bottom w:val="single" w:sz="4" w:space="0" w:color="000000"/>
              <w:right w:val="single" w:sz="4" w:space="0" w:color="000000"/>
            </w:tcBorders>
          </w:tcPr>
          <w:p w14:paraId="1B1F5464" w14:textId="6D404A40" w:rsidR="002B0DA6" w:rsidRPr="001A3A47" w:rsidRDefault="002B0DA6" w:rsidP="002B0DA6">
            <w:pPr>
              <w:adjustRightInd w:val="0"/>
              <w:snapToGrid w:val="0"/>
              <w:jc w:val="center"/>
            </w:pPr>
            <w:r w:rsidRPr="001D4599">
              <w:t>t/a</w:t>
            </w:r>
          </w:p>
        </w:tc>
        <w:tc>
          <w:tcPr>
            <w:tcW w:w="627" w:type="pct"/>
            <w:tcBorders>
              <w:top w:val="single" w:sz="4" w:space="0" w:color="000000"/>
              <w:left w:val="single" w:sz="4" w:space="0" w:color="000000"/>
              <w:bottom w:val="single" w:sz="4" w:space="0" w:color="000000"/>
              <w:right w:val="nil"/>
            </w:tcBorders>
            <w:vAlign w:val="center"/>
          </w:tcPr>
          <w:p w14:paraId="1BF54590" w14:textId="4CCE785B" w:rsidR="002B0DA6" w:rsidRDefault="002B0DA6" w:rsidP="002B0DA6">
            <w:pPr>
              <w:adjustRightInd w:val="0"/>
              <w:snapToGrid w:val="0"/>
              <w:jc w:val="center"/>
            </w:pPr>
            <w:r>
              <w:rPr>
                <w:rFonts w:hint="eastAsia"/>
                <w:color w:val="000000"/>
                <w:sz w:val="22"/>
                <w:szCs w:val="22"/>
              </w:rPr>
              <w:t>14.44</w:t>
            </w:r>
          </w:p>
        </w:tc>
        <w:tc>
          <w:tcPr>
            <w:tcW w:w="561" w:type="pct"/>
            <w:vAlign w:val="center"/>
          </w:tcPr>
          <w:p w14:paraId="2B7A78DC" w14:textId="46E4B4F9" w:rsidR="002B0DA6" w:rsidRPr="001A3A47" w:rsidRDefault="002B0DA6" w:rsidP="002B0DA6">
            <w:pPr>
              <w:adjustRightInd w:val="0"/>
              <w:snapToGrid w:val="0"/>
              <w:jc w:val="center"/>
            </w:pPr>
            <w:r w:rsidRPr="00FC2BCD">
              <w:t>/</w:t>
            </w:r>
          </w:p>
        </w:tc>
        <w:tc>
          <w:tcPr>
            <w:tcW w:w="562" w:type="pct"/>
            <w:vAlign w:val="center"/>
          </w:tcPr>
          <w:p w14:paraId="147B57B5" w14:textId="4EFF9843" w:rsidR="002B0DA6" w:rsidRPr="001A3A47" w:rsidRDefault="002B0DA6" w:rsidP="002B0DA6">
            <w:pPr>
              <w:adjustRightInd w:val="0"/>
              <w:snapToGrid w:val="0"/>
              <w:jc w:val="center"/>
            </w:pPr>
            <w:r w:rsidRPr="00FC2BCD">
              <w:t>/</w:t>
            </w:r>
          </w:p>
        </w:tc>
        <w:tc>
          <w:tcPr>
            <w:tcW w:w="466" w:type="pct"/>
            <w:vAlign w:val="center"/>
          </w:tcPr>
          <w:p w14:paraId="5AE06EAE" w14:textId="3E811A15" w:rsidR="002B0DA6" w:rsidRPr="001A3A47" w:rsidRDefault="002B0DA6" w:rsidP="002B0DA6">
            <w:pPr>
              <w:adjustRightInd w:val="0"/>
              <w:snapToGrid w:val="0"/>
              <w:jc w:val="center"/>
            </w:pPr>
            <w:r w:rsidRPr="00FC2BCD">
              <w:t>/</w:t>
            </w:r>
          </w:p>
        </w:tc>
        <w:tc>
          <w:tcPr>
            <w:tcW w:w="549" w:type="pct"/>
            <w:vAlign w:val="center"/>
          </w:tcPr>
          <w:p w14:paraId="6F02DE54" w14:textId="79D26600" w:rsidR="002B0DA6" w:rsidRPr="001A3A47" w:rsidRDefault="002B0DA6" w:rsidP="002B0DA6">
            <w:pPr>
              <w:adjustRightInd w:val="0"/>
              <w:snapToGrid w:val="0"/>
              <w:jc w:val="center"/>
            </w:pPr>
            <w:r w:rsidRPr="00FC2BCD">
              <w:t>/</w:t>
            </w:r>
          </w:p>
        </w:tc>
        <w:tc>
          <w:tcPr>
            <w:tcW w:w="568" w:type="pct"/>
            <w:vAlign w:val="center"/>
          </w:tcPr>
          <w:p w14:paraId="5C18238A" w14:textId="45462426" w:rsidR="002B0DA6" w:rsidRPr="001A3A47" w:rsidRDefault="002B0DA6" w:rsidP="002B0DA6">
            <w:pPr>
              <w:adjustRightInd w:val="0"/>
              <w:snapToGrid w:val="0"/>
              <w:jc w:val="center"/>
            </w:pPr>
            <w:r>
              <w:rPr>
                <w:rFonts w:hint="eastAsia"/>
                <w:color w:val="000000"/>
                <w:sz w:val="22"/>
                <w:szCs w:val="22"/>
              </w:rPr>
              <w:t>14.44</w:t>
            </w:r>
          </w:p>
        </w:tc>
        <w:tc>
          <w:tcPr>
            <w:tcW w:w="610" w:type="pct"/>
            <w:vAlign w:val="center"/>
          </w:tcPr>
          <w:p w14:paraId="25185C0C" w14:textId="0ADF79FE" w:rsidR="002B0DA6" w:rsidRPr="001A3A47" w:rsidRDefault="002B0DA6" w:rsidP="002B0DA6">
            <w:pPr>
              <w:adjustRightInd w:val="0"/>
              <w:snapToGrid w:val="0"/>
              <w:jc w:val="center"/>
            </w:pPr>
            <w:r>
              <w:rPr>
                <w:rFonts w:hint="eastAsia"/>
              </w:rPr>
              <w:t>0</w:t>
            </w:r>
          </w:p>
        </w:tc>
      </w:tr>
      <w:tr w:rsidR="002B0DA6" w14:paraId="54E8FB43" w14:textId="77777777" w:rsidTr="004B4160">
        <w:trPr>
          <w:trHeight w:val="57"/>
          <w:jc w:val="center"/>
        </w:trPr>
        <w:tc>
          <w:tcPr>
            <w:tcW w:w="229" w:type="pct"/>
            <w:vMerge/>
            <w:vAlign w:val="center"/>
          </w:tcPr>
          <w:p w14:paraId="57DB50F4" w14:textId="77777777" w:rsidR="002B0DA6" w:rsidRPr="00FC2BCD" w:rsidRDefault="002B0DA6" w:rsidP="002B0DA6">
            <w:pPr>
              <w:adjustRightInd w:val="0"/>
              <w:snapToGrid w:val="0"/>
              <w:jc w:val="center"/>
            </w:pPr>
          </w:p>
        </w:tc>
        <w:tc>
          <w:tcPr>
            <w:tcW w:w="574" w:type="pct"/>
            <w:tcBorders>
              <w:top w:val="single" w:sz="4" w:space="0" w:color="000000"/>
              <w:left w:val="nil"/>
              <w:bottom w:val="single" w:sz="4" w:space="0" w:color="000000"/>
              <w:right w:val="single" w:sz="4" w:space="0" w:color="000000"/>
            </w:tcBorders>
            <w:vAlign w:val="center"/>
          </w:tcPr>
          <w:p w14:paraId="13BD8D24" w14:textId="27EC120D" w:rsidR="002B0DA6" w:rsidRPr="001A3A47" w:rsidRDefault="002B0DA6" w:rsidP="002B0DA6">
            <w:pPr>
              <w:adjustRightInd w:val="0"/>
              <w:snapToGrid w:val="0"/>
              <w:jc w:val="center"/>
            </w:pPr>
            <w:r>
              <w:rPr>
                <w:rFonts w:hint="eastAsia"/>
                <w:color w:val="000000"/>
                <w:sz w:val="22"/>
                <w:szCs w:val="22"/>
              </w:rPr>
              <w:t>除臭装置废活性炭</w:t>
            </w:r>
          </w:p>
        </w:tc>
        <w:tc>
          <w:tcPr>
            <w:tcW w:w="254" w:type="pct"/>
            <w:tcBorders>
              <w:top w:val="single" w:sz="4" w:space="0" w:color="000000"/>
              <w:left w:val="single" w:sz="4" w:space="0" w:color="000000"/>
              <w:bottom w:val="single" w:sz="4" w:space="0" w:color="000000"/>
              <w:right w:val="single" w:sz="4" w:space="0" w:color="000000"/>
            </w:tcBorders>
          </w:tcPr>
          <w:p w14:paraId="69DC5227" w14:textId="566D7435" w:rsidR="002B0DA6" w:rsidRPr="001A3A47" w:rsidRDefault="002B0DA6" w:rsidP="002B0DA6">
            <w:pPr>
              <w:adjustRightInd w:val="0"/>
              <w:snapToGrid w:val="0"/>
              <w:jc w:val="center"/>
            </w:pPr>
            <w:r w:rsidRPr="001D4599">
              <w:t>t/a</w:t>
            </w:r>
          </w:p>
        </w:tc>
        <w:tc>
          <w:tcPr>
            <w:tcW w:w="627" w:type="pct"/>
            <w:tcBorders>
              <w:top w:val="single" w:sz="4" w:space="0" w:color="000000"/>
              <w:left w:val="single" w:sz="4" w:space="0" w:color="000000"/>
              <w:bottom w:val="single" w:sz="4" w:space="0" w:color="000000"/>
              <w:right w:val="nil"/>
            </w:tcBorders>
            <w:vAlign w:val="center"/>
          </w:tcPr>
          <w:p w14:paraId="44488539" w14:textId="267D5225" w:rsidR="002B0DA6" w:rsidRDefault="002B0DA6" w:rsidP="002B0DA6">
            <w:pPr>
              <w:adjustRightInd w:val="0"/>
              <w:snapToGrid w:val="0"/>
              <w:jc w:val="center"/>
            </w:pPr>
            <w:r>
              <w:rPr>
                <w:rFonts w:hint="eastAsia"/>
                <w:color w:val="000000"/>
                <w:sz w:val="22"/>
                <w:szCs w:val="22"/>
              </w:rPr>
              <w:t>3.5</w:t>
            </w:r>
          </w:p>
        </w:tc>
        <w:tc>
          <w:tcPr>
            <w:tcW w:w="561" w:type="pct"/>
            <w:vAlign w:val="center"/>
          </w:tcPr>
          <w:p w14:paraId="2D2BBA7E" w14:textId="17A00E0E" w:rsidR="002B0DA6" w:rsidRPr="001A3A47" w:rsidRDefault="002B0DA6" w:rsidP="002B0DA6">
            <w:pPr>
              <w:adjustRightInd w:val="0"/>
              <w:snapToGrid w:val="0"/>
              <w:jc w:val="center"/>
            </w:pPr>
            <w:r w:rsidRPr="00FC2BCD">
              <w:t>/</w:t>
            </w:r>
          </w:p>
        </w:tc>
        <w:tc>
          <w:tcPr>
            <w:tcW w:w="562" w:type="pct"/>
            <w:vAlign w:val="center"/>
          </w:tcPr>
          <w:p w14:paraId="019E4500" w14:textId="7247F2E5" w:rsidR="002B0DA6" w:rsidRPr="001A3A47" w:rsidRDefault="002B0DA6" w:rsidP="002B0DA6">
            <w:pPr>
              <w:adjustRightInd w:val="0"/>
              <w:snapToGrid w:val="0"/>
              <w:jc w:val="center"/>
            </w:pPr>
            <w:r w:rsidRPr="00FC2BCD">
              <w:t>/</w:t>
            </w:r>
          </w:p>
        </w:tc>
        <w:tc>
          <w:tcPr>
            <w:tcW w:w="466" w:type="pct"/>
            <w:vAlign w:val="center"/>
          </w:tcPr>
          <w:p w14:paraId="2FC9C095" w14:textId="4D3E23CA" w:rsidR="002B0DA6" w:rsidRPr="001A3A47" w:rsidRDefault="002B0DA6" w:rsidP="002B0DA6">
            <w:pPr>
              <w:adjustRightInd w:val="0"/>
              <w:snapToGrid w:val="0"/>
              <w:jc w:val="center"/>
            </w:pPr>
            <w:r w:rsidRPr="00FC2BCD">
              <w:t>/</w:t>
            </w:r>
          </w:p>
        </w:tc>
        <w:tc>
          <w:tcPr>
            <w:tcW w:w="549" w:type="pct"/>
            <w:vAlign w:val="center"/>
          </w:tcPr>
          <w:p w14:paraId="69EDD4B7" w14:textId="63EFEC19" w:rsidR="002B0DA6" w:rsidRPr="001A3A47" w:rsidRDefault="002B0DA6" w:rsidP="002B0DA6">
            <w:pPr>
              <w:adjustRightInd w:val="0"/>
              <w:snapToGrid w:val="0"/>
              <w:jc w:val="center"/>
            </w:pPr>
            <w:r w:rsidRPr="00FC2BCD">
              <w:t>/</w:t>
            </w:r>
          </w:p>
        </w:tc>
        <w:tc>
          <w:tcPr>
            <w:tcW w:w="568" w:type="pct"/>
            <w:vAlign w:val="center"/>
          </w:tcPr>
          <w:p w14:paraId="64066BD9" w14:textId="2EE59FDF" w:rsidR="002B0DA6" w:rsidRPr="001A3A47" w:rsidRDefault="002B0DA6" w:rsidP="002B0DA6">
            <w:pPr>
              <w:adjustRightInd w:val="0"/>
              <w:snapToGrid w:val="0"/>
              <w:jc w:val="center"/>
            </w:pPr>
            <w:r>
              <w:rPr>
                <w:rFonts w:hint="eastAsia"/>
                <w:color w:val="000000"/>
                <w:sz w:val="22"/>
                <w:szCs w:val="22"/>
              </w:rPr>
              <w:t>3.5</w:t>
            </w:r>
          </w:p>
        </w:tc>
        <w:tc>
          <w:tcPr>
            <w:tcW w:w="610" w:type="pct"/>
            <w:vAlign w:val="center"/>
          </w:tcPr>
          <w:p w14:paraId="656453A0" w14:textId="3A57CA0F" w:rsidR="002B0DA6" w:rsidRPr="001A3A47" w:rsidRDefault="002B0DA6" w:rsidP="002B0DA6">
            <w:pPr>
              <w:adjustRightInd w:val="0"/>
              <w:snapToGrid w:val="0"/>
              <w:jc w:val="center"/>
            </w:pPr>
            <w:r>
              <w:rPr>
                <w:rFonts w:hint="eastAsia"/>
              </w:rPr>
              <w:t>0</w:t>
            </w:r>
          </w:p>
        </w:tc>
      </w:tr>
      <w:tr w:rsidR="002B0DA6" w14:paraId="65A59228" w14:textId="77777777" w:rsidTr="004B4160">
        <w:trPr>
          <w:trHeight w:val="57"/>
          <w:jc w:val="center"/>
        </w:trPr>
        <w:tc>
          <w:tcPr>
            <w:tcW w:w="229" w:type="pct"/>
            <w:vMerge/>
            <w:vAlign w:val="center"/>
          </w:tcPr>
          <w:p w14:paraId="08FC26E4" w14:textId="77777777" w:rsidR="002B0DA6" w:rsidRPr="00FC2BCD" w:rsidRDefault="002B0DA6" w:rsidP="002B0DA6">
            <w:pPr>
              <w:adjustRightInd w:val="0"/>
              <w:snapToGrid w:val="0"/>
              <w:jc w:val="center"/>
            </w:pPr>
          </w:p>
        </w:tc>
        <w:tc>
          <w:tcPr>
            <w:tcW w:w="574" w:type="pct"/>
            <w:tcBorders>
              <w:top w:val="single" w:sz="4" w:space="0" w:color="000000"/>
              <w:left w:val="nil"/>
              <w:bottom w:val="single" w:sz="4" w:space="0" w:color="000000"/>
              <w:right w:val="single" w:sz="4" w:space="0" w:color="000000"/>
            </w:tcBorders>
            <w:vAlign w:val="center"/>
          </w:tcPr>
          <w:p w14:paraId="4C6C9B5F" w14:textId="30C50B9E" w:rsidR="002B0DA6" w:rsidRPr="001A3A47" w:rsidRDefault="002B0DA6" w:rsidP="002B0DA6">
            <w:pPr>
              <w:adjustRightInd w:val="0"/>
              <w:snapToGrid w:val="0"/>
              <w:jc w:val="center"/>
            </w:pPr>
            <w:r>
              <w:rPr>
                <w:rFonts w:hint="eastAsia"/>
                <w:color w:val="000000"/>
                <w:sz w:val="22"/>
                <w:szCs w:val="22"/>
              </w:rPr>
              <w:t>渗滤液处理站废过滤膜</w:t>
            </w:r>
          </w:p>
        </w:tc>
        <w:tc>
          <w:tcPr>
            <w:tcW w:w="254" w:type="pct"/>
            <w:tcBorders>
              <w:top w:val="single" w:sz="4" w:space="0" w:color="000000"/>
              <w:left w:val="single" w:sz="4" w:space="0" w:color="000000"/>
              <w:bottom w:val="single" w:sz="4" w:space="0" w:color="000000"/>
              <w:right w:val="single" w:sz="4" w:space="0" w:color="000000"/>
            </w:tcBorders>
          </w:tcPr>
          <w:p w14:paraId="7D915B3B" w14:textId="400FF1F1" w:rsidR="002B0DA6" w:rsidRPr="001A3A47" w:rsidRDefault="002B0DA6" w:rsidP="002B0DA6">
            <w:pPr>
              <w:adjustRightInd w:val="0"/>
              <w:snapToGrid w:val="0"/>
              <w:jc w:val="center"/>
            </w:pPr>
            <w:r w:rsidRPr="001D4599">
              <w:t>t/a</w:t>
            </w:r>
          </w:p>
        </w:tc>
        <w:tc>
          <w:tcPr>
            <w:tcW w:w="627" w:type="pct"/>
            <w:tcBorders>
              <w:top w:val="single" w:sz="4" w:space="0" w:color="000000"/>
              <w:left w:val="single" w:sz="4" w:space="0" w:color="000000"/>
              <w:bottom w:val="single" w:sz="4" w:space="0" w:color="000000"/>
              <w:right w:val="nil"/>
            </w:tcBorders>
            <w:vAlign w:val="center"/>
          </w:tcPr>
          <w:p w14:paraId="4C65F0D3" w14:textId="125B6C64" w:rsidR="002B0DA6" w:rsidRDefault="002B0DA6" w:rsidP="002B0DA6">
            <w:pPr>
              <w:adjustRightInd w:val="0"/>
              <w:snapToGrid w:val="0"/>
              <w:jc w:val="center"/>
            </w:pPr>
            <w:r>
              <w:rPr>
                <w:rFonts w:hint="eastAsia"/>
                <w:color w:val="000000"/>
                <w:sz w:val="22"/>
                <w:szCs w:val="22"/>
              </w:rPr>
              <w:t>6</w:t>
            </w:r>
          </w:p>
        </w:tc>
        <w:tc>
          <w:tcPr>
            <w:tcW w:w="561" w:type="pct"/>
            <w:vAlign w:val="center"/>
          </w:tcPr>
          <w:p w14:paraId="7DD4BB5F" w14:textId="0641749F" w:rsidR="002B0DA6" w:rsidRPr="001A3A47" w:rsidRDefault="002B0DA6" w:rsidP="002B0DA6">
            <w:pPr>
              <w:adjustRightInd w:val="0"/>
              <w:snapToGrid w:val="0"/>
              <w:jc w:val="center"/>
            </w:pPr>
            <w:r w:rsidRPr="00FC2BCD">
              <w:t>/</w:t>
            </w:r>
          </w:p>
        </w:tc>
        <w:tc>
          <w:tcPr>
            <w:tcW w:w="562" w:type="pct"/>
            <w:vAlign w:val="center"/>
          </w:tcPr>
          <w:p w14:paraId="65251ADA" w14:textId="18239CB4" w:rsidR="002B0DA6" w:rsidRPr="001A3A47" w:rsidRDefault="002B0DA6" w:rsidP="002B0DA6">
            <w:pPr>
              <w:adjustRightInd w:val="0"/>
              <w:snapToGrid w:val="0"/>
              <w:jc w:val="center"/>
            </w:pPr>
            <w:r w:rsidRPr="00FC2BCD">
              <w:t>/</w:t>
            </w:r>
          </w:p>
        </w:tc>
        <w:tc>
          <w:tcPr>
            <w:tcW w:w="466" w:type="pct"/>
            <w:vAlign w:val="center"/>
          </w:tcPr>
          <w:p w14:paraId="5B841A66" w14:textId="293F6DEC" w:rsidR="002B0DA6" w:rsidRPr="001A3A47" w:rsidRDefault="002B0DA6" w:rsidP="002B0DA6">
            <w:pPr>
              <w:adjustRightInd w:val="0"/>
              <w:snapToGrid w:val="0"/>
              <w:jc w:val="center"/>
            </w:pPr>
            <w:r w:rsidRPr="00FC2BCD">
              <w:t>/</w:t>
            </w:r>
          </w:p>
        </w:tc>
        <w:tc>
          <w:tcPr>
            <w:tcW w:w="549" w:type="pct"/>
            <w:vAlign w:val="center"/>
          </w:tcPr>
          <w:p w14:paraId="75F5A8E6" w14:textId="0168C9FC" w:rsidR="002B0DA6" w:rsidRPr="001A3A47" w:rsidRDefault="002B0DA6" w:rsidP="002B0DA6">
            <w:pPr>
              <w:adjustRightInd w:val="0"/>
              <w:snapToGrid w:val="0"/>
              <w:jc w:val="center"/>
            </w:pPr>
            <w:r w:rsidRPr="00FC2BCD">
              <w:t>/</w:t>
            </w:r>
          </w:p>
        </w:tc>
        <w:tc>
          <w:tcPr>
            <w:tcW w:w="568" w:type="pct"/>
            <w:vAlign w:val="center"/>
          </w:tcPr>
          <w:p w14:paraId="6C5D6455" w14:textId="3A32EE3A" w:rsidR="002B0DA6" w:rsidRPr="001A3A47" w:rsidRDefault="002B0DA6" w:rsidP="002B0DA6">
            <w:pPr>
              <w:adjustRightInd w:val="0"/>
              <w:snapToGrid w:val="0"/>
              <w:jc w:val="center"/>
            </w:pPr>
            <w:r>
              <w:rPr>
                <w:rFonts w:hint="eastAsia"/>
                <w:color w:val="000000"/>
                <w:sz w:val="22"/>
                <w:szCs w:val="22"/>
              </w:rPr>
              <w:t>6</w:t>
            </w:r>
          </w:p>
        </w:tc>
        <w:tc>
          <w:tcPr>
            <w:tcW w:w="610" w:type="pct"/>
            <w:vAlign w:val="center"/>
          </w:tcPr>
          <w:p w14:paraId="55DEF68E" w14:textId="54EF718C" w:rsidR="002B0DA6" w:rsidRPr="001A3A47" w:rsidRDefault="002B0DA6" w:rsidP="002B0DA6">
            <w:pPr>
              <w:adjustRightInd w:val="0"/>
              <w:snapToGrid w:val="0"/>
              <w:jc w:val="center"/>
            </w:pPr>
            <w:r>
              <w:rPr>
                <w:rFonts w:hint="eastAsia"/>
              </w:rPr>
              <w:t>0</w:t>
            </w:r>
          </w:p>
        </w:tc>
      </w:tr>
      <w:tr w:rsidR="002B0DA6" w14:paraId="54232E93" w14:textId="77777777" w:rsidTr="004B4160">
        <w:trPr>
          <w:trHeight w:val="57"/>
          <w:jc w:val="center"/>
        </w:trPr>
        <w:tc>
          <w:tcPr>
            <w:tcW w:w="229" w:type="pct"/>
            <w:vMerge/>
            <w:vAlign w:val="center"/>
          </w:tcPr>
          <w:p w14:paraId="1BE4E9F1" w14:textId="77777777" w:rsidR="002B0DA6" w:rsidRPr="00FC2BCD" w:rsidRDefault="002B0DA6" w:rsidP="002B0DA6">
            <w:pPr>
              <w:adjustRightInd w:val="0"/>
              <w:snapToGrid w:val="0"/>
              <w:jc w:val="center"/>
            </w:pPr>
          </w:p>
        </w:tc>
        <w:tc>
          <w:tcPr>
            <w:tcW w:w="574" w:type="pct"/>
            <w:tcBorders>
              <w:top w:val="single" w:sz="4" w:space="0" w:color="000000"/>
              <w:left w:val="nil"/>
              <w:bottom w:val="single" w:sz="4" w:space="0" w:color="000000"/>
              <w:right w:val="single" w:sz="4" w:space="0" w:color="000000"/>
            </w:tcBorders>
            <w:vAlign w:val="center"/>
          </w:tcPr>
          <w:p w14:paraId="37EF7B1F" w14:textId="5859F073" w:rsidR="002B0DA6" w:rsidRPr="001A3A47" w:rsidRDefault="002B0DA6" w:rsidP="002B0DA6">
            <w:pPr>
              <w:adjustRightInd w:val="0"/>
              <w:snapToGrid w:val="0"/>
              <w:jc w:val="center"/>
            </w:pPr>
            <w:r>
              <w:rPr>
                <w:rFonts w:hint="eastAsia"/>
                <w:color w:val="000000"/>
                <w:sz w:val="22"/>
                <w:szCs w:val="22"/>
              </w:rPr>
              <w:t>废布袋</w:t>
            </w:r>
          </w:p>
        </w:tc>
        <w:tc>
          <w:tcPr>
            <w:tcW w:w="254" w:type="pct"/>
            <w:tcBorders>
              <w:top w:val="single" w:sz="4" w:space="0" w:color="000000"/>
              <w:left w:val="single" w:sz="4" w:space="0" w:color="000000"/>
              <w:bottom w:val="single" w:sz="4" w:space="0" w:color="000000"/>
              <w:right w:val="single" w:sz="4" w:space="0" w:color="000000"/>
            </w:tcBorders>
          </w:tcPr>
          <w:p w14:paraId="7953336B" w14:textId="3EC1787A" w:rsidR="002B0DA6" w:rsidRPr="001A3A47" w:rsidRDefault="002B0DA6" w:rsidP="002B0DA6">
            <w:pPr>
              <w:adjustRightInd w:val="0"/>
              <w:snapToGrid w:val="0"/>
              <w:jc w:val="center"/>
            </w:pPr>
            <w:r w:rsidRPr="001D4599">
              <w:t>t/a</w:t>
            </w:r>
          </w:p>
        </w:tc>
        <w:tc>
          <w:tcPr>
            <w:tcW w:w="627" w:type="pct"/>
            <w:tcBorders>
              <w:top w:val="single" w:sz="4" w:space="0" w:color="000000"/>
              <w:left w:val="single" w:sz="4" w:space="0" w:color="000000"/>
              <w:bottom w:val="single" w:sz="4" w:space="0" w:color="000000"/>
              <w:right w:val="nil"/>
            </w:tcBorders>
            <w:vAlign w:val="center"/>
          </w:tcPr>
          <w:p w14:paraId="07E883F0" w14:textId="0D6A477E" w:rsidR="002B0DA6" w:rsidRDefault="002B0DA6" w:rsidP="002B0DA6">
            <w:pPr>
              <w:adjustRightInd w:val="0"/>
              <w:snapToGrid w:val="0"/>
              <w:jc w:val="center"/>
            </w:pPr>
            <w:r>
              <w:rPr>
                <w:rFonts w:hint="eastAsia"/>
                <w:color w:val="000000"/>
                <w:sz w:val="22"/>
                <w:szCs w:val="22"/>
              </w:rPr>
              <w:t>2.5</w:t>
            </w:r>
          </w:p>
        </w:tc>
        <w:tc>
          <w:tcPr>
            <w:tcW w:w="561" w:type="pct"/>
            <w:vAlign w:val="center"/>
          </w:tcPr>
          <w:p w14:paraId="7E1A4F99" w14:textId="2C197475" w:rsidR="002B0DA6" w:rsidRPr="001A3A47" w:rsidRDefault="002B0DA6" w:rsidP="002B0DA6">
            <w:pPr>
              <w:adjustRightInd w:val="0"/>
              <w:snapToGrid w:val="0"/>
              <w:jc w:val="center"/>
            </w:pPr>
            <w:r w:rsidRPr="00FC2BCD">
              <w:t>/</w:t>
            </w:r>
          </w:p>
        </w:tc>
        <w:tc>
          <w:tcPr>
            <w:tcW w:w="562" w:type="pct"/>
            <w:vAlign w:val="center"/>
          </w:tcPr>
          <w:p w14:paraId="526C9060" w14:textId="679570EA" w:rsidR="002B0DA6" w:rsidRPr="001A3A47" w:rsidRDefault="002B0DA6" w:rsidP="002B0DA6">
            <w:pPr>
              <w:adjustRightInd w:val="0"/>
              <w:snapToGrid w:val="0"/>
              <w:jc w:val="center"/>
            </w:pPr>
            <w:r w:rsidRPr="00FC2BCD">
              <w:t>/</w:t>
            </w:r>
          </w:p>
        </w:tc>
        <w:tc>
          <w:tcPr>
            <w:tcW w:w="466" w:type="pct"/>
            <w:vAlign w:val="center"/>
          </w:tcPr>
          <w:p w14:paraId="29EB8D04" w14:textId="6B19A021" w:rsidR="002B0DA6" w:rsidRPr="001A3A47" w:rsidRDefault="002B0DA6" w:rsidP="002B0DA6">
            <w:pPr>
              <w:adjustRightInd w:val="0"/>
              <w:snapToGrid w:val="0"/>
              <w:jc w:val="center"/>
            </w:pPr>
            <w:r w:rsidRPr="00FC2BCD">
              <w:t>/</w:t>
            </w:r>
          </w:p>
        </w:tc>
        <w:tc>
          <w:tcPr>
            <w:tcW w:w="549" w:type="pct"/>
            <w:vAlign w:val="center"/>
          </w:tcPr>
          <w:p w14:paraId="4C8D99A2" w14:textId="5120EF59" w:rsidR="002B0DA6" w:rsidRPr="001A3A47" w:rsidRDefault="002B0DA6" w:rsidP="002B0DA6">
            <w:pPr>
              <w:adjustRightInd w:val="0"/>
              <w:snapToGrid w:val="0"/>
              <w:jc w:val="center"/>
            </w:pPr>
            <w:r w:rsidRPr="00FC2BCD">
              <w:t>/</w:t>
            </w:r>
          </w:p>
        </w:tc>
        <w:tc>
          <w:tcPr>
            <w:tcW w:w="568" w:type="pct"/>
            <w:vAlign w:val="center"/>
          </w:tcPr>
          <w:p w14:paraId="6F4BCB1E" w14:textId="4EE9F419" w:rsidR="002B0DA6" w:rsidRPr="001A3A47" w:rsidRDefault="002B0DA6" w:rsidP="002B0DA6">
            <w:pPr>
              <w:adjustRightInd w:val="0"/>
              <w:snapToGrid w:val="0"/>
              <w:jc w:val="center"/>
            </w:pPr>
            <w:r>
              <w:rPr>
                <w:rFonts w:hint="eastAsia"/>
                <w:color w:val="000000"/>
                <w:sz w:val="22"/>
                <w:szCs w:val="22"/>
              </w:rPr>
              <w:t>2.5</w:t>
            </w:r>
          </w:p>
        </w:tc>
        <w:tc>
          <w:tcPr>
            <w:tcW w:w="610" w:type="pct"/>
            <w:vAlign w:val="center"/>
          </w:tcPr>
          <w:p w14:paraId="49BC33FC" w14:textId="00E3E85F" w:rsidR="002B0DA6" w:rsidRPr="001A3A47" w:rsidRDefault="002B0DA6" w:rsidP="002B0DA6">
            <w:pPr>
              <w:adjustRightInd w:val="0"/>
              <w:snapToGrid w:val="0"/>
              <w:jc w:val="center"/>
            </w:pPr>
            <w:r>
              <w:rPr>
                <w:rFonts w:hint="eastAsia"/>
              </w:rPr>
              <w:t>0</w:t>
            </w:r>
          </w:p>
        </w:tc>
      </w:tr>
      <w:tr w:rsidR="002B0DA6" w14:paraId="6C9DD61B" w14:textId="77777777" w:rsidTr="004B4160">
        <w:trPr>
          <w:trHeight w:val="57"/>
          <w:jc w:val="center"/>
        </w:trPr>
        <w:tc>
          <w:tcPr>
            <w:tcW w:w="229" w:type="pct"/>
            <w:vMerge/>
            <w:vAlign w:val="center"/>
          </w:tcPr>
          <w:p w14:paraId="64BEAA0C" w14:textId="77777777" w:rsidR="002B0DA6" w:rsidRPr="00FC2BCD" w:rsidRDefault="002B0DA6" w:rsidP="002B0DA6">
            <w:pPr>
              <w:adjustRightInd w:val="0"/>
              <w:snapToGrid w:val="0"/>
              <w:jc w:val="center"/>
            </w:pPr>
          </w:p>
        </w:tc>
        <w:tc>
          <w:tcPr>
            <w:tcW w:w="574" w:type="pct"/>
            <w:tcBorders>
              <w:top w:val="single" w:sz="4" w:space="0" w:color="000000"/>
              <w:left w:val="nil"/>
              <w:bottom w:val="single" w:sz="4" w:space="0" w:color="000000"/>
              <w:right w:val="single" w:sz="4" w:space="0" w:color="000000"/>
            </w:tcBorders>
            <w:vAlign w:val="center"/>
          </w:tcPr>
          <w:p w14:paraId="018E76BD" w14:textId="41456CD6" w:rsidR="002B0DA6" w:rsidRPr="001A3A47" w:rsidRDefault="002B0DA6" w:rsidP="002B0DA6">
            <w:pPr>
              <w:adjustRightInd w:val="0"/>
              <w:snapToGrid w:val="0"/>
              <w:jc w:val="center"/>
            </w:pPr>
            <w:r>
              <w:rPr>
                <w:rFonts w:hint="eastAsia"/>
                <w:color w:val="000000"/>
                <w:sz w:val="22"/>
                <w:szCs w:val="22"/>
              </w:rPr>
              <w:t>废变压器油</w:t>
            </w:r>
          </w:p>
        </w:tc>
        <w:tc>
          <w:tcPr>
            <w:tcW w:w="254" w:type="pct"/>
            <w:tcBorders>
              <w:top w:val="single" w:sz="4" w:space="0" w:color="000000"/>
              <w:left w:val="single" w:sz="4" w:space="0" w:color="000000"/>
              <w:bottom w:val="single" w:sz="4" w:space="0" w:color="000000"/>
              <w:right w:val="single" w:sz="4" w:space="0" w:color="000000"/>
            </w:tcBorders>
          </w:tcPr>
          <w:p w14:paraId="516DE51C" w14:textId="1F37B691" w:rsidR="002B0DA6" w:rsidRPr="001A3A47" w:rsidRDefault="002B0DA6" w:rsidP="002B0DA6">
            <w:pPr>
              <w:adjustRightInd w:val="0"/>
              <w:snapToGrid w:val="0"/>
              <w:jc w:val="center"/>
            </w:pPr>
            <w:r w:rsidRPr="001D4599">
              <w:t>t/a</w:t>
            </w:r>
          </w:p>
        </w:tc>
        <w:tc>
          <w:tcPr>
            <w:tcW w:w="627" w:type="pct"/>
            <w:tcBorders>
              <w:top w:val="single" w:sz="4" w:space="0" w:color="000000"/>
              <w:left w:val="single" w:sz="4" w:space="0" w:color="000000"/>
              <w:bottom w:val="single" w:sz="4" w:space="0" w:color="000000"/>
              <w:right w:val="nil"/>
            </w:tcBorders>
            <w:vAlign w:val="center"/>
          </w:tcPr>
          <w:p w14:paraId="7FFB42B4" w14:textId="1F6D3333" w:rsidR="002B0DA6" w:rsidRDefault="002B0DA6" w:rsidP="002B0DA6">
            <w:pPr>
              <w:adjustRightInd w:val="0"/>
              <w:snapToGrid w:val="0"/>
              <w:jc w:val="center"/>
            </w:pPr>
            <w:r>
              <w:rPr>
                <w:rFonts w:hint="eastAsia"/>
                <w:color w:val="000000"/>
                <w:sz w:val="22"/>
                <w:szCs w:val="22"/>
              </w:rPr>
              <w:t>0.3</w:t>
            </w:r>
          </w:p>
        </w:tc>
        <w:tc>
          <w:tcPr>
            <w:tcW w:w="561" w:type="pct"/>
            <w:vAlign w:val="center"/>
          </w:tcPr>
          <w:p w14:paraId="653AEF65" w14:textId="778B0FC2" w:rsidR="002B0DA6" w:rsidRPr="001A3A47" w:rsidRDefault="002B0DA6" w:rsidP="002B0DA6">
            <w:pPr>
              <w:adjustRightInd w:val="0"/>
              <w:snapToGrid w:val="0"/>
              <w:jc w:val="center"/>
            </w:pPr>
            <w:r w:rsidRPr="00FC2BCD">
              <w:t>/</w:t>
            </w:r>
          </w:p>
        </w:tc>
        <w:tc>
          <w:tcPr>
            <w:tcW w:w="562" w:type="pct"/>
            <w:vAlign w:val="center"/>
          </w:tcPr>
          <w:p w14:paraId="20FEE736" w14:textId="2CE86AEE" w:rsidR="002B0DA6" w:rsidRPr="001A3A47" w:rsidRDefault="002B0DA6" w:rsidP="002B0DA6">
            <w:pPr>
              <w:adjustRightInd w:val="0"/>
              <w:snapToGrid w:val="0"/>
              <w:jc w:val="center"/>
            </w:pPr>
            <w:r w:rsidRPr="00FC2BCD">
              <w:t>/</w:t>
            </w:r>
          </w:p>
        </w:tc>
        <w:tc>
          <w:tcPr>
            <w:tcW w:w="466" w:type="pct"/>
            <w:vAlign w:val="center"/>
          </w:tcPr>
          <w:p w14:paraId="6DF8BD35" w14:textId="6B5B0433" w:rsidR="002B0DA6" w:rsidRPr="001A3A47" w:rsidRDefault="002B0DA6" w:rsidP="002B0DA6">
            <w:pPr>
              <w:adjustRightInd w:val="0"/>
              <w:snapToGrid w:val="0"/>
              <w:jc w:val="center"/>
            </w:pPr>
            <w:r w:rsidRPr="00FC2BCD">
              <w:t>/</w:t>
            </w:r>
          </w:p>
        </w:tc>
        <w:tc>
          <w:tcPr>
            <w:tcW w:w="549" w:type="pct"/>
            <w:vAlign w:val="center"/>
          </w:tcPr>
          <w:p w14:paraId="7A7F9C1A" w14:textId="1DBD0D45" w:rsidR="002B0DA6" w:rsidRPr="001A3A47" w:rsidRDefault="002B0DA6" w:rsidP="002B0DA6">
            <w:pPr>
              <w:adjustRightInd w:val="0"/>
              <w:snapToGrid w:val="0"/>
              <w:jc w:val="center"/>
            </w:pPr>
            <w:r w:rsidRPr="00FC2BCD">
              <w:t>/</w:t>
            </w:r>
          </w:p>
        </w:tc>
        <w:tc>
          <w:tcPr>
            <w:tcW w:w="568" w:type="pct"/>
            <w:vAlign w:val="center"/>
          </w:tcPr>
          <w:p w14:paraId="0C948969" w14:textId="0046326F" w:rsidR="002B0DA6" w:rsidRPr="001A3A47" w:rsidRDefault="002B0DA6" w:rsidP="002B0DA6">
            <w:pPr>
              <w:adjustRightInd w:val="0"/>
              <w:snapToGrid w:val="0"/>
              <w:jc w:val="center"/>
            </w:pPr>
            <w:r>
              <w:rPr>
                <w:rFonts w:hint="eastAsia"/>
                <w:color w:val="000000"/>
                <w:sz w:val="22"/>
                <w:szCs w:val="22"/>
              </w:rPr>
              <w:t>0.3</w:t>
            </w:r>
          </w:p>
        </w:tc>
        <w:tc>
          <w:tcPr>
            <w:tcW w:w="610" w:type="pct"/>
            <w:vAlign w:val="center"/>
          </w:tcPr>
          <w:p w14:paraId="39682D47" w14:textId="42563630" w:rsidR="002B0DA6" w:rsidRPr="001A3A47" w:rsidRDefault="002B0DA6" w:rsidP="002B0DA6">
            <w:pPr>
              <w:adjustRightInd w:val="0"/>
              <w:snapToGrid w:val="0"/>
              <w:jc w:val="center"/>
            </w:pPr>
            <w:r>
              <w:rPr>
                <w:rFonts w:hint="eastAsia"/>
              </w:rPr>
              <w:t>0</w:t>
            </w:r>
          </w:p>
        </w:tc>
      </w:tr>
      <w:tr w:rsidR="002B0DA6" w14:paraId="0C241F07" w14:textId="77777777" w:rsidTr="004B4160">
        <w:trPr>
          <w:trHeight w:val="57"/>
          <w:jc w:val="center"/>
        </w:trPr>
        <w:tc>
          <w:tcPr>
            <w:tcW w:w="229" w:type="pct"/>
            <w:vMerge/>
            <w:vAlign w:val="center"/>
          </w:tcPr>
          <w:p w14:paraId="3987BC35" w14:textId="77777777" w:rsidR="002B0DA6" w:rsidRPr="00FC2BCD" w:rsidRDefault="002B0DA6" w:rsidP="002B0DA6">
            <w:pPr>
              <w:adjustRightInd w:val="0"/>
              <w:snapToGrid w:val="0"/>
              <w:jc w:val="center"/>
            </w:pPr>
          </w:p>
        </w:tc>
        <w:tc>
          <w:tcPr>
            <w:tcW w:w="574" w:type="pct"/>
            <w:tcBorders>
              <w:top w:val="single" w:sz="4" w:space="0" w:color="000000"/>
              <w:left w:val="nil"/>
              <w:bottom w:val="single" w:sz="2" w:space="0" w:color="000000"/>
              <w:right w:val="single" w:sz="4" w:space="0" w:color="000000"/>
            </w:tcBorders>
            <w:vAlign w:val="center"/>
          </w:tcPr>
          <w:p w14:paraId="274C0E2E" w14:textId="30AB8872" w:rsidR="002B0DA6" w:rsidRPr="001A3A47" w:rsidRDefault="002B0DA6" w:rsidP="002B0DA6">
            <w:pPr>
              <w:adjustRightInd w:val="0"/>
              <w:snapToGrid w:val="0"/>
              <w:jc w:val="center"/>
            </w:pPr>
            <w:r>
              <w:rPr>
                <w:rFonts w:hint="eastAsia"/>
                <w:color w:val="000000"/>
                <w:sz w:val="22"/>
                <w:szCs w:val="22"/>
              </w:rPr>
              <w:t>固化飞灰</w:t>
            </w:r>
          </w:p>
        </w:tc>
        <w:tc>
          <w:tcPr>
            <w:tcW w:w="254" w:type="pct"/>
            <w:tcBorders>
              <w:top w:val="single" w:sz="4" w:space="0" w:color="000000"/>
              <w:left w:val="single" w:sz="4" w:space="0" w:color="000000"/>
              <w:bottom w:val="single" w:sz="2" w:space="0" w:color="000000"/>
              <w:right w:val="single" w:sz="4" w:space="0" w:color="000000"/>
            </w:tcBorders>
          </w:tcPr>
          <w:p w14:paraId="2BC8B4C8" w14:textId="392FDCAB" w:rsidR="002B0DA6" w:rsidRPr="001A3A47" w:rsidRDefault="002B0DA6" w:rsidP="002B0DA6">
            <w:pPr>
              <w:adjustRightInd w:val="0"/>
              <w:snapToGrid w:val="0"/>
              <w:jc w:val="center"/>
            </w:pPr>
            <w:r w:rsidRPr="001D4599">
              <w:t>t/a</w:t>
            </w:r>
          </w:p>
        </w:tc>
        <w:tc>
          <w:tcPr>
            <w:tcW w:w="627" w:type="pct"/>
            <w:tcBorders>
              <w:top w:val="single" w:sz="4" w:space="0" w:color="000000"/>
              <w:left w:val="single" w:sz="4" w:space="0" w:color="000000"/>
              <w:bottom w:val="single" w:sz="2" w:space="0" w:color="000000"/>
              <w:right w:val="nil"/>
            </w:tcBorders>
            <w:vAlign w:val="center"/>
          </w:tcPr>
          <w:p w14:paraId="4DCC2DBA" w14:textId="3F9E4DD0" w:rsidR="002B0DA6" w:rsidRDefault="002B0DA6" w:rsidP="002B0DA6">
            <w:pPr>
              <w:adjustRightInd w:val="0"/>
              <w:snapToGrid w:val="0"/>
              <w:jc w:val="center"/>
            </w:pPr>
            <w:r>
              <w:rPr>
                <w:rFonts w:hint="eastAsia"/>
                <w:color w:val="000000"/>
                <w:sz w:val="22"/>
                <w:szCs w:val="22"/>
              </w:rPr>
              <w:t>22249</w:t>
            </w:r>
          </w:p>
        </w:tc>
        <w:tc>
          <w:tcPr>
            <w:tcW w:w="561" w:type="pct"/>
            <w:vAlign w:val="center"/>
          </w:tcPr>
          <w:p w14:paraId="2D0326F1" w14:textId="78B2C38A" w:rsidR="002B0DA6" w:rsidRPr="001A3A47" w:rsidRDefault="002B0DA6" w:rsidP="002B0DA6">
            <w:pPr>
              <w:adjustRightInd w:val="0"/>
              <w:snapToGrid w:val="0"/>
              <w:jc w:val="center"/>
            </w:pPr>
            <w:r w:rsidRPr="00FC2BCD">
              <w:t>/</w:t>
            </w:r>
          </w:p>
        </w:tc>
        <w:tc>
          <w:tcPr>
            <w:tcW w:w="562" w:type="pct"/>
            <w:vAlign w:val="center"/>
          </w:tcPr>
          <w:p w14:paraId="6CF9B461" w14:textId="7D047D2A" w:rsidR="002B0DA6" w:rsidRPr="001A3A47" w:rsidRDefault="002B0DA6" w:rsidP="002B0DA6">
            <w:pPr>
              <w:adjustRightInd w:val="0"/>
              <w:snapToGrid w:val="0"/>
              <w:jc w:val="center"/>
            </w:pPr>
            <w:r w:rsidRPr="00FC2BCD">
              <w:t>/</w:t>
            </w:r>
          </w:p>
        </w:tc>
        <w:tc>
          <w:tcPr>
            <w:tcW w:w="466" w:type="pct"/>
            <w:vAlign w:val="center"/>
          </w:tcPr>
          <w:p w14:paraId="4289DC5B" w14:textId="3042B429" w:rsidR="002B0DA6" w:rsidRPr="001A3A47" w:rsidRDefault="002B0DA6" w:rsidP="002B0DA6">
            <w:pPr>
              <w:adjustRightInd w:val="0"/>
              <w:snapToGrid w:val="0"/>
              <w:jc w:val="center"/>
            </w:pPr>
            <w:r w:rsidRPr="00FC2BCD">
              <w:t>/</w:t>
            </w:r>
          </w:p>
        </w:tc>
        <w:tc>
          <w:tcPr>
            <w:tcW w:w="549" w:type="pct"/>
            <w:vAlign w:val="center"/>
          </w:tcPr>
          <w:p w14:paraId="3DD77749" w14:textId="0A066523" w:rsidR="002B0DA6" w:rsidRPr="001A3A47" w:rsidRDefault="002B0DA6" w:rsidP="002B0DA6">
            <w:pPr>
              <w:adjustRightInd w:val="0"/>
              <w:snapToGrid w:val="0"/>
              <w:jc w:val="center"/>
            </w:pPr>
            <w:r w:rsidRPr="00FC2BCD">
              <w:t>/</w:t>
            </w:r>
          </w:p>
        </w:tc>
        <w:tc>
          <w:tcPr>
            <w:tcW w:w="568" w:type="pct"/>
            <w:vAlign w:val="center"/>
          </w:tcPr>
          <w:p w14:paraId="0E07F866" w14:textId="20098D84" w:rsidR="002B0DA6" w:rsidRPr="001A3A47" w:rsidRDefault="002B0DA6" w:rsidP="002B0DA6">
            <w:pPr>
              <w:adjustRightInd w:val="0"/>
              <w:snapToGrid w:val="0"/>
              <w:jc w:val="center"/>
            </w:pPr>
            <w:r>
              <w:rPr>
                <w:rFonts w:hint="eastAsia"/>
                <w:color w:val="000000"/>
                <w:sz w:val="22"/>
                <w:szCs w:val="22"/>
              </w:rPr>
              <w:t>22249</w:t>
            </w:r>
          </w:p>
        </w:tc>
        <w:tc>
          <w:tcPr>
            <w:tcW w:w="610" w:type="pct"/>
            <w:vAlign w:val="center"/>
          </w:tcPr>
          <w:p w14:paraId="62D12277" w14:textId="0069B9B1" w:rsidR="002B0DA6" w:rsidRPr="001A3A47" w:rsidRDefault="002B0DA6" w:rsidP="002B0DA6">
            <w:pPr>
              <w:adjustRightInd w:val="0"/>
              <w:snapToGrid w:val="0"/>
              <w:jc w:val="center"/>
            </w:pPr>
            <w:r>
              <w:rPr>
                <w:rFonts w:hint="eastAsia"/>
              </w:rPr>
              <w:t>0</w:t>
            </w:r>
          </w:p>
        </w:tc>
      </w:tr>
      <w:tr w:rsidR="002B0DA6" w14:paraId="1F0C4E2B" w14:textId="77777777" w:rsidTr="00DA2E91">
        <w:trPr>
          <w:trHeight w:val="57"/>
          <w:jc w:val="center"/>
        </w:trPr>
        <w:tc>
          <w:tcPr>
            <w:tcW w:w="229" w:type="pct"/>
            <w:vMerge/>
            <w:vAlign w:val="center"/>
          </w:tcPr>
          <w:p w14:paraId="14B0281F" w14:textId="77777777" w:rsidR="002B0DA6" w:rsidRPr="00FC2BCD" w:rsidRDefault="002B0DA6" w:rsidP="002B0DA6">
            <w:pPr>
              <w:adjustRightInd w:val="0"/>
              <w:snapToGrid w:val="0"/>
              <w:jc w:val="center"/>
            </w:pPr>
          </w:p>
        </w:tc>
        <w:tc>
          <w:tcPr>
            <w:tcW w:w="574" w:type="pct"/>
            <w:tcBorders>
              <w:tl2br w:val="nil"/>
              <w:tr2bl w:val="nil"/>
            </w:tcBorders>
            <w:vAlign w:val="center"/>
          </w:tcPr>
          <w:p w14:paraId="44FFF99D" w14:textId="1CF56897" w:rsidR="002B0DA6" w:rsidRPr="001A3A47" w:rsidRDefault="002B0DA6" w:rsidP="002B0DA6">
            <w:pPr>
              <w:adjustRightInd w:val="0"/>
              <w:snapToGrid w:val="0"/>
              <w:jc w:val="center"/>
            </w:pPr>
            <w:r w:rsidRPr="001A3A47">
              <w:t>废机油</w:t>
            </w:r>
          </w:p>
        </w:tc>
        <w:tc>
          <w:tcPr>
            <w:tcW w:w="254" w:type="pct"/>
            <w:vAlign w:val="center"/>
          </w:tcPr>
          <w:p w14:paraId="2B17D966" w14:textId="0DBA3B0E" w:rsidR="002B0DA6" w:rsidRPr="001A3A47" w:rsidRDefault="002B0DA6" w:rsidP="002B0DA6">
            <w:pPr>
              <w:adjustRightInd w:val="0"/>
              <w:snapToGrid w:val="0"/>
              <w:jc w:val="center"/>
            </w:pPr>
            <w:r w:rsidRPr="001A3A47">
              <w:t>t/a</w:t>
            </w:r>
          </w:p>
        </w:tc>
        <w:tc>
          <w:tcPr>
            <w:tcW w:w="627" w:type="pct"/>
            <w:vAlign w:val="center"/>
          </w:tcPr>
          <w:p w14:paraId="4CFBDDF8" w14:textId="1187F2EA" w:rsidR="002B0DA6" w:rsidRDefault="002B0DA6" w:rsidP="002B0DA6">
            <w:pPr>
              <w:adjustRightInd w:val="0"/>
              <w:snapToGrid w:val="0"/>
              <w:jc w:val="center"/>
            </w:pPr>
            <w:r w:rsidRPr="001A3A47">
              <w:rPr>
                <w:rFonts w:hint="eastAsia"/>
              </w:rPr>
              <w:t>0.1</w:t>
            </w:r>
          </w:p>
        </w:tc>
        <w:tc>
          <w:tcPr>
            <w:tcW w:w="561" w:type="pct"/>
            <w:vAlign w:val="center"/>
          </w:tcPr>
          <w:p w14:paraId="757F4A9B" w14:textId="785FF61F" w:rsidR="002B0DA6" w:rsidRPr="001A3A47" w:rsidRDefault="002B0DA6" w:rsidP="002B0DA6">
            <w:pPr>
              <w:adjustRightInd w:val="0"/>
              <w:snapToGrid w:val="0"/>
              <w:jc w:val="center"/>
            </w:pPr>
            <w:r>
              <w:rPr>
                <w:rFonts w:hint="eastAsia"/>
              </w:rPr>
              <w:t>0.1</w:t>
            </w:r>
          </w:p>
        </w:tc>
        <w:tc>
          <w:tcPr>
            <w:tcW w:w="562" w:type="pct"/>
            <w:vAlign w:val="center"/>
          </w:tcPr>
          <w:p w14:paraId="2F5E2282" w14:textId="75719899" w:rsidR="002B0DA6" w:rsidRPr="001A3A47" w:rsidRDefault="002B0DA6" w:rsidP="002B0DA6">
            <w:pPr>
              <w:adjustRightInd w:val="0"/>
              <w:snapToGrid w:val="0"/>
              <w:jc w:val="center"/>
            </w:pPr>
            <w:r>
              <w:rPr>
                <w:rFonts w:hint="eastAsia"/>
              </w:rPr>
              <w:t>0</w:t>
            </w:r>
          </w:p>
        </w:tc>
        <w:tc>
          <w:tcPr>
            <w:tcW w:w="466" w:type="pct"/>
            <w:vAlign w:val="center"/>
          </w:tcPr>
          <w:p w14:paraId="495E94FE" w14:textId="0C44191F" w:rsidR="002B0DA6" w:rsidRPr="001A3A47" w:rsidRDefault="002B0DA6" w:rsidP="002B0DA6">
            <w:pPr>
              <w:adjustRightInd w:val="0"/>
              <w:snapToGrid w:val="0"/>
              <w:jc w:val="center"/>
            </w:pPr>
            <w:r>
              <w:rPr>
                <w:rFonts w:hint="eastAsia"/>
              </w:rPr>
              <w:t>0.1</w:t>
            </w:r>
          </w:p>
        </w:tc>
        <w:tc>
          <w:tcPr>
            <w:tcW w:w="549" w:type="pct"/>
            <w:vAlign w:val="center"/>
          </w:tcPr>
          <w:p w14:paraId="4C869DDA" w14:textId="13A08FC1" w:rsidR="002B0DA6" w:rsidRPr="001A3A47" w:rsidRDefault="002B0DA6" w:rsidP="002B0DA6">
            <w:pPr>
              <w:adjustRightInd w:val="0"/>
              <w:snapToGrid w:val="0"/>
              <w:jc w:val="center"/>
            </w:pPr>
            <w:r>
              <w:rPr>
                <w:rFonts w:hint="eastAsia"/>
              </w:rPr>
              <w:t>0</w:t>
            </w:r>
          </w:p>
        </w:tc>
        <w:tc>
          <w:tcPr>
            <w:tcW w:w="568" w:type="pct"/>
            <w:vAlign w:val="center"/>
          </w:tcPr>
          <w:p w14:paraId="63629C45" w14:textId="2CF3CA28" w:rsidR="002B0DA6" w:rsidRPr="001A3A47" w:rsidRDefault="002B0DA6" w:rsidP="002B0DA6">
            <w:pPr>
              <w:adjustRightInd w:val="0"/>
              <w:snapToGrid w:val="0"/>
              <w:jc w:val="center"/>
            </w:pPr>
            <w:r>
              <w:rPr>
                <w:rFonts w:hint="eastAsia"/>
              </w:rPr>
              <w:t>0.2</w:t>
            </w:r>
          </w:p>
        </w:tc>
        <w:tc>
          <w:tcPr>
            <w:tcW w:w="610" w:type="pct"/>
            <w:vAlign w:val="center"/>
          </w:tcPr>
          <w:p w14:paraId="5911E85E" w14:textId="6C9FB527" w:rsidR="002B0DA6" w:rsidRPr="001A3A47" w:rsidRDefault="002B0DA6" w:rsidP="002B0DA6">
            <w:pPr>
              <w:adjustRightInd w:val="0"/>
              <w:snapToGrid w:val="0"/>
              <w:jc w:val="center"/>
            </w:pPr>
            <w:r>
              <w:rPr>
                <w:rFonts w:hint="eastAsia"/>
              </w:rPr>
              <w:t>+0.1</w:t>
            </w:r>
          </w:p>
        </w:tc>
      </w:tr>
      <w:tr w:rsidR="002B0DA6" w14:paraId="2B4751B9" w14:textId="77777777" w:rsidTr="00DA2E91">
        <w:trPr>
          <w:trHeight w:val="57"/>
          <w:jc w:val="center"/>
        </w:trPr>
        <w:tc>
          <w:tcPr>
            <w:tcW w:w="229" w:type="pct"/>
            <w:vMerge/>
            <w:vAlign w:val="center"/>
          </w:tcPr>
          <w:p w14:paraId="361F904D" w14:textId="77777777" w:rsidR="002B0DA6" w:rsidRPr="00FC2BCD" w:rsidRDefault="002B0DA6" w:rsidP="002B0DA6">
            <w:pPr>
              <w:adjustRightInd w:val="0"/>
              <w:snapToGrid w:val="0"/>
              <w:jc w:val="center"/>
            </w:pPr>
          </w:p>
        </w:tc>
        <w:tc>
          <w:tcPr>
            <w:tcW w:w="574" w:type="pct"/>
            <w:tcBorders>
              <w:tl2br w:val="nil"/>
              <w:tr2bl w:val="nil"/>
            </w:tcBorders>
            <w:vAlign w:val="center"/>
          </w:tcPr>
          <w:p w14:paraId="73EFBB27" w14:textId="6D1023C8" w:rsidR="002B0DA6" w:rsidRPr="001A3A47" w:rsidRDefault="002B0DA6" w:rsidP="002B0DA6">
            <w:pPr>
              <w:adjustRightInd w:val="0"/>
              <w:snapToGrid w:val="0"/>
              <w:jc w:val="center"/>
            </w:pPr>
            <w:r w:rsidRPr="001A3A47">
              <w:rPr>
                <w:rFonts w:hint="eastAsia"/>
              </w:rPr>
              <w:t>实验废液</w:t>
            </w:r>
          </w:p>
        </w:tc>
        <w:tc>
          <w:tcPr>
            <w:tcW w:w="254" w:type="pct"/>
            <w:vAlign w:val="center"/>
          </w:tcPr>
          <w:p w14:paraId="4EEBB78F" w14:textId="1F39A466" w:rsidR="002B0DA6" w:rsidRPr="001A3A47" w:rsidRDefault="002B0DA6" w:rsidP="002B0DA6">
            <w:pPr>
              <w:adjustRightInd w:val="0"/>
              <w:snapToGrid w:val="0"/>
              <w:jc w:val="center"/>
            </w:pPr>
            <w:r w:rsidRPr="001A3A47">
              <w:t>t/a</w:t>
            </w:r>
          </w:p>
        </w:tc>
        <w:tc>
          <w:tcPr>
            <w:tcW w:w="627" w:type="pct"/>
            <w:vAlign w:val="center"/>
          </w:tcPr>
          <w:p w14:paraId="43EDD479" w14:textId="11C4B985" w:rsidR="002B0DA6" w:rsidRDefault="002B0DA6" w:rsidP="002B0DA6">
            <w:pPr>
              <w:adjustRightInd w:val="0"/>
              <w:snapToGrid w:val="0"/>
              <w:jc w:val="center"/>
            </w:pPr>
            <w:r>
              <w:rPr>
                <w:rFonts w:hint="eastAsia"/>
              </w:rPr>
              <w:t>1.5</w:t>
            </w:r>
          </w:p>
        </w:tc>
        <w:tc>
          <w:tcPr>
            <w:tcW w:w="561" w:type="pct"/>
            <w:vAlign w:val="center"/>
          </w:tcPr>
          <w:p w14:paraId="15FCF289" w14:textId="1472068A" w:rsidR="002B0DA6" w:rsidRPr="001A3A47" w:rsidRDefault="002B0DA6" w:rsidP="002B0DA6">
            <w:pPr>
              <w:adjustRightInd w:val="0"/>
              <w:snapToGrid w:val="0"/>
              <w:jc w:val="center"/>
            </w:pPr>
            <w:r>
              <w:rPr>
                <w:rFonts w:hint="eastAsia"/>
              </w:rPr>
              <w:t>1</w:t>
            </w:r>
          </w:p>
        </w:tc>
        <w:tc>
          <w:tcPr>
            <w:tcW w:w="562" w:type="pct"/>
            <w:vAlign w:val="center"/>
          </w:tcPr>
          <w:p w14:paraId="23F13DAD" w14:textId="21F815D4" w:rsidR="002B0DA6" w:rsidRPr="001A3A47" w:rsidRDefault="002B0DA6" w:rsidP="002B0DA6">
            <w:pPr>
              <w:adjustRightInd w:val="0"/>
              <w:snapToGrid w:val="0"/>
              <w:jc w:val="center"/>
            </w:pPr>
            <w:r>
              <w:rPr>
                <w:rFonts w:hint="eastAsia"/>
              </w:rPr>
              <w:t>0</w:t>
            </w:r>
          </w:p>
        </w:tc>
        <w:tc>
          <w:tcPr>
            <w:tcW w:w="466" w:type="pct"/>
            <w:vAlign w:val="center"/>
          </w:tcPr>
          <w:p w14:paraId="78D7C965" w14:textId="2B84759B" w:rsidR="002B0DA6" w:rsidRPr="001A3A47" w:rsidRDefault="002B0DA6" w:rsidP="002B0DA6">
            <w:pPr>
              <w:adjustRightInd w:val="0"/>
              <w:snapToGrid w:val="0"/>
              <w:jc w:val="center"/>
            </w:pPr>
            <w:r>
              <w:rPr>
                <w:rFonts w:hint="eastAsia"/>
              </w:rPr>
              <w:t>1</w:t>
            </w:r>
          </w:p>
        </w:tc>
        <w:tc>
          <w:tcPr>
            <w:tcW w:w="549" w:type="pct"/>
            <w:vAlign w:val="center"/>
          </w:tcPr>
          <w:p w14:paraId="095626B3" w14:textId="11B7ADCB" w:rsidR="002B0DA6" w:rsidRPr="001A3A47" w:rsidRDefault="002B0DA6" w:rsidP="002B0DA6">
            <w:pPr>
              <w:adjustRightInd w:val="0"/>
              <w:snapToGrid w:val="0"/>
              <w:jc w:val="center"/>
            </w:pPr>
            <w:r>
              <w:rPr>
                <w:rFonts w:hint="eastAsia"/>
              </w:rPr>
              <w:t>0</w:t>
            </w:r>
          </w:p>
        </w:tc>
        <w:tc>
          <w:tcPr>
            <w:tcW w:w="568" w:type="pct"/>
            <w:vAlign w:val="center"/>
          </w:tcPr>
          <w:p w14:paraId="49175002" w14:textId="7F00EAF2" w:rsidR="002B0DA6" w:rsidRPr="001A3A47" w:rsidRDefault="002B0DA6" w:rsidP="002B0DA6">
            <w:pPr>
              <w:adjustRightInd w:val="0"/>
              <w:snapToGrid w:val="0"/>
              <w:jc w:val="center"/>
            </w:pPr>
            <w:r>
              <w:rPr>
                <w:rFonts w:hint="eastAsia"/>
              </w:rPr>
              <w:t>2.5</w:t>
            </w:r>
          </w:p>
        </w:tc>
        <w:tc>
          <w:tcPr>
            <w:tcW w:w="610" w:type="pct"/>
            <w:vAlign w:val="center"/>
          </w:tcPr>
          <w:p w14:paraId="1E65324C" w14:textId="76B9A955" w:rsidR="002B0DA6" w:rsidRPr="001A3A47" w:rsidRDefault="002B0DA6" w:rsidP="002B0DA6">
            <w:pPr>
              <w:adjustRightInd w:val="0"/>
              <w:snapToGrid w:val="0"/>
              <w:jc w:val="center"/>
            </w:pPr>
            <w:r>
              <w:rPr>
                <w:rFonts w:hint="eastAsia"/>
              </w:rPr>
              <w:t>+1</w:t>
            </w:r>
          </w:p>
        </w:tc>
      </w:tr>
    </w:tbl>
    <w:p w14:paraId="45C320D4" w14:textId="77777777" w:rsidR="00606029" w:rsidRDefault="00606029">
      <w:pPr>
        <w:pStyle w:val="affffff4"/>
        <w:rPr>
          <w:szCs w:val="24"/>
        </w:rPr>
      </w:pPr>
      <w:bookmarkStart w:id="140" w:name="bookmark18"/>
      <w:bookmarkStart w:id="141" w:name="bookmark17"/>
      <w:bookmarkEnd w:id="140"/>
      <w:bookmarkEnd w:id="141"/>
    </w:p>
    <w:p w14:paraId="69CF4C31" w14:textId="77777777" w:rsidR="00606029" w:rsidRDefault="00606029">
      <w:pPr>
        <w:pStyle w:val="Normal65aae0be-b457-4657-b313-49607eb50e17"/>
        <w:spacing w:line="480" w:lineRule="exact"/>
        <w:ind w:firstLineChars="200" w:firstLine="480"/>
        <w:jc w:val="left"/>
        <w:rPr>
          <w:sz w:val="24"/>
          <w:szCs w:val="24"/>
        </w:rPr>
        <w:sectPr w:rsidR="00606029" w:rsidSect="004C47D8">
          <w:footerReference w:type="default" r:id="rId64"/>
          <w:pgSz w:w="11905" w:h="16838"/>
          <w:pgMar w:top="1417" w:right="1474" w:bottom="1417" w:left="1474" w:header="850" w:footer="850" w:gutter="113"/>
          <w:cols w:space="0"/>
          <w:docGrid w:linePitch="1"/>
        </w:sectPr>
      </w:pPr>
    </w:p>
    <w:p w14:paraId="50AAD236" w14:textId="5CDD956C" w:rsidR="00606029" w:rsidRDefault="00EA5B92">
      <w:pPr>
        <w:pStyle w:val="1"/>
        <w:jc w:val="center"/>
      </w:pPr>
      <w:bookmarkStart w:id="142" w:name="_Toc26571"/>
      <w:bookmarkStart w:id="143" w:name="_Toc18623"/>
      <w:bookmarkStart w:id="144" w:name="_Toc220680480"/>
      <w:r>
        <w:lastRenderedPageBreak/>
        <w:t>第三章</w:t>
      </w:r>
      <w:r>
        <w:t xml:space="preserve"> </w:t>
      </w:r>
      <w:r>
        <w:t>分析判定相关情况</w:t>
      </w:r>
      <w:bookmarkEnd w:id="142"/>
      <w:bookmarkEnd w:id="143"/>
      <w:bookmarkEnd w:id="144"/>
    </w:p>
    <w:p w14:paraId="444F365C" w14:textId="77777777" w:rsidR="00606029" w:rsidRDefault="00EA5B92">
      <w:pPr>
        <w:pStyle w:val="2"/>
      </w:pPr>
      <w:bookmarkStart w:id="145" w:name="_Toc8010"/>
      <w:bookmarkStart w:id="146" w:name="_Toc2369"/>
      <w:bookmarkStart w:id="147" w:name="_Toc220680481"/>
      <w:r>
        <w:t>3.1</w:t>
      </w:r>
      <w:r>
        <w:t>产业政策的符合性</w:t>
      </w:r>
      <w:bookmarkEnd w:id="145"/>
      <w:bookmarkEnd w:id="146"/>
      <w:bookmarkEnd w:id="147"/>
    </w:p>
    <w:p w14:paraId="2DE551F9" w14:textId="24B06375" w:rsidR="00606029" w:rsidRDefault="00EA5B92" w:rsidP="00164803">
      <w:pPr>
        <w:pStyle w:val="affffff4"/>
      </w:pPr>
      <w:r>
        <w:t>根据《产业结构调整指导目录（</w:t>
      </w:r>
      <w:r>
        <w:t>2024</w:t>
      </w:r>
      <w:r>
        <w:t>年本）》，本项目属于鼓励类</w:t>
      </w:r>
      <w:r>
        <w:t>“</w:t>
      </w:r>
      <w:r>
        <w:t>四十二环境保护与资源节约综合利用</w:t>
      </w:r>
      <w:r>
        <w:t>—3</w:t>
      </w:r>
      <w:r>
        <w:t>、城镇污水垃圾处理</w:t>
      </w:r>
      <w:r w:rsidR="006A52CC">
        <w:t>：</w:t>
      </w:r>
      <w:r>
        <w:t>高效、低能耗污水处理与再生技术开发，城镇垃圾、农村生活垃圾、城镇生活污水、农村生活污水、</w:t>
      </w:r>
      <w:r>
        <w:rPr>
          <w:b/>
          <w:bCs/>
        </w:rPr>
        <w:t>污泥及其他固体废弃物减量化、资源化、无害化处理和综合利用工程</w:t>
      </w:r>
      <w:r>
        <w:t>，餐厨废弃物资源化利用技术开发及设施建设，垃圾分类技术、设备、设施，城镇、农村分布式小型化有机垃圾处理技术开发，污水处理厂污泥协同处置工程</w:t>
      </w:r>
      <w:r>
        <w:t>”</w:t>
      </w:r>
      <w:r>
        <w:t>。对照《市场准入负面清单（</w:t>
      </w:r>
      <w:r>
        <w:t>2022</w:t>
      </w:r>
      <w:r>
        <w:t>版）》（发改体改规</w:t>
      </w:r>
      <w:r>
        <w:t>[2022]397</w:t>
      </w:r>
      <w:r>
        <w:t>号）相关要求，本项目未列入市场准入负面清单。</w:t>
      </w:r>
    </w:p>
    <w:p w14:paraId="51867C2C" w14:textId="77777777" w:rsidR="00606029" w:rsidRDefault="00EA5B92">
      <w:pPr>
        <w:pStyle w:val="affffff4"/>
      </w:pPr>
      <w:r>
        <w:t>因此，本项目符合国家相关产业政策要求。</w:t>
      </w:r>
    </w:p>
    <w:p w14:paraId="2F567F19" w14:textId="77777777" w:rsidR="00606029" w:rsidRDefault="00EA5B92">
      <w:pPr>
        <w:pStyle w:val="2"/>
      </w:pPr>
      <w:bookmarkStart w:id="148" w:name="_Toc8311"/>
      <w:bookmarkStart w:id="149" w:name="_Toc30034"/>
      <w:bookmarkStart w:id="150" w:name="_Toc220680482"/>
      <w:r>
        <w:t>3.2</w:t>
      </w:r>
      <w:r>
        <w:t>选址合理性分析</w:t>
      </w:r>
      <w:bookmarkEnd w:id="148"/>
      <w:bookmarkEnd w:id="149"/>
      <w:bookmarkEnd w:id="150"/>
    </w:p>
    <w:p w14:paraId="2456B721" w14:textId="77777777" w:rsidR="00606029" w:rsidRDefault="00EA5B92">
      <w:pPr>
        <w:pStyle w:val="3"/>
      </w:pPr>
      <w:bookmarkStart w:id="151" w:name="_Toc220680483"/>
      <w:bookmarkStart w:id="152" w:name="_Toc31732"/>
      <w:r>
        <w:t>3.2.1</w:t>
      </w:r>
      <w:r>
        <w:t>项目用地合理性分析</w:t>
      </w:r>
      <w:bookmarkEnd w:id="151"/>
    </w:p>
    <w:p w14:paraId="2DBC26AF" w14:textId="65805B8E" w:rsidR="00606029" w:rsidRDefault="00EA5B92">
      <w:pPr>
        <w:pStyle w:val="affffff4"/>
      </w:pPr>
      <w:r w:rsidRPr="0037274A">
        <w:t>本项目</w:t>
      </w:r>
      <w:r w:rsidRPr="0037274A">
        <w:rPr>
          <w:szCs w:val="22"/>
        </w:rPr>
        <w:t>飞灰填埋区</w:t>
      </w:r>
      <w:r w:rsidRPr="0037274A">
        <w:t>位于</w:t>
      </w:r>
      <w:r w:rsidR="0079568F" w:rsidRPr="0037274A">
        <w:t>大庆市生活垃圾综合处理厂</w:t>
      </w:r>
      <w:r w:rsidRPr="0037274A">
        <w:t>用地范围内，已取得建设用地许可证，拥有合法的用地手续，项目占地面积</w:t>
      </w:r>
      <w:r w:rsidR="0079568F" w:rsidRPr="0037274A">
        <w:rPr>
          <w:rFonts w:hint="eastAsia"/>
        </w:rPr>
        <w:t>5136.95</w:t>
      </w:r>
      <w:r w:rsidRPr="0037274A">
        <w:t>m</w:t>
      </w:r>
      <w:r w:rsidRPr="0037274A">
        <w:rPr>
          <w:vertAlign w:val="superscript"/>
        </w:rPr>
        <w:t>2</w:t>
      </w:r>
      <w:r w:rsidRPr="0037274A">
        <w:t>，</w:t>
      </w:r>
      <w:r w:rsidRPr="0037274A">
        <w:rPr>
          <w:szCs w:val="22"/>
        </w:rPr>
        <w:t>有效库容为</w:t>
      </w:r>
      <w:r w:rsidR="0037274A" w:rsidRPr="0037274A">
        <w:rPr>
          <w:rFonts w:hint="eastAsia"/>
          <w:szCs w:val="22"/>
        </w:rPr>
        <w:t>7316</w:t>
      </w:r>
      <w:r w:rsidRPr="0037274A">
        <w:rPr>
          <w:szCs w:val="22"/>
        </w:rPr>
        <w:t>m</w:t>
      </w:r>
      <w:r w:rsidRPr="0037274A">
        <w:rPr>
          <w:szCs w:val="22"/>
          <w:vertAlign w:val="superscript"/>
        </w:rPr>
        <w:t>3</w:t>
      </w:r>
      <w:r w:rsidRPr="0037274A">
        <w:rPr>
          <w:szCs w:val="22"/>
        </w:rPr>
        <w:t>，使用年限为</w:t>
      </w:r>
      <w:r w:rsidR="0037274A" w:rsidRPr="0037274A">
        <w:rPr>
          <w:rFonts w:hint="eastAsia"/>
          <w:szCs w:val="22"/>
        </w:rPr>
        <w:t>半年</w:t>
      </w:r>
      <w:r w:rsidRPr="0037274A">
        <w:t>。</w:t>
      </w:r>
      <w:r w:rsidR="00D454E0" w:rsidRPr="00D454E0">
        <w:t>《大庆市生活垃圾综合处理厂环境综合评估报告》（</w:t>
      </w:r>
      <w:r w:rsidR="00D454E0" w:rsidRPr="00D454E0">
        <w:t>2024</w:t>
      </w:r>
      <w:r w:rsidR="00D454E0" w:rsidRPr="00D454E0">
        <w:t>年</w:t>
      </w:r>
      <w:r w:rsidR="00D454E0" w:rsidRPr="00D454E0">
        <w:t>2</w:t>
      </w:r>
      <w:r w:rsidR="00D454E0" w:rsidRPr="00D454E0">
        <w:t>月）</w:t>
      </w:r>
      <w:r w:rsidR="00D454E0">
        <w:rPr>
          <w:rFonts w:hint="eastAsia"/>
        </w:rPr>
        <w:t>及</w:t>
      </w:r>
      <w:r>
        <w:t>现场踏勘，该场址符合《生活垃圾填埋场污染物控制标准》（</w:t>
      </w:r>
      <w:r>
        <w:t>GB16889-2024</w:t>
      </w:r>
      <w:r>
        <w:t>）的要求，项目</w:t>
      </w:r>
      <w:r w:rsidR="00D454E0">
        <w:rPr>
          <w:rFonts w:hint="eastAsia"/>
        </w:rPr>
        <w:t>紧邻</w:t>
      </w:r>
      <w:r w:rsidR="004E5FFD">
        <w:rPr>
          <w:szCs w:val="22"/>
        </w:rPr>
        <w:t>大庆城控电力有限公司</w:t>
      </w:r>
      <w:r w:rsidR="00D454E0">
        <w:rPr>
          <w:rFonts w:hint="eastAsia"/>
          <w:szCs w:val="22"/>
        </w:rPr>
        <w:t>飞灰稳定化暂存库</w:t>
      </w:r>
      <w:r>
        <w:t>，选址具有</w:t>
      </w:r>
      <w:r w:rsidR="00D454E0">
        <w:t>运输距离近</w:t>
      </w:r>
      <w:r>
        <w:t>、可依托现有</w:t>
      </w:r>
      <w:r w:rsidR="00D454E0">
        <w:rPr>
          <w:rFonts w:hint="eastAsia"/>
        </w:rPr>
        <w:t>工程配套设施</w:t>
      </w:r>
      <w:r w:rsidR="00D454E0">
        <w:t>、</w:t>
      </w:r>
      <w:r w:rsidR="00D454E0">
        <w:rPr>
          <w:rFonts w:hint="eastAsia"/>
        </w:rPr>
        <w:t>与</w:t>
      </w:r>
      <w:r w:rsidR="00D454E0">
        <w:t>环境相容</w:t>
      </w:r>
      <w:r w:rsidR="00D454E0">
        <w:rPr>
          <w:rFonts w:hint="eastAsia"/>
        </w:rPr>
        <w:t>等</w:t>
      </w:r>
      <w:r>
        <w:t>优点，选址条件符合《</w:t>
      </w:r>
      <w:r w:rsidR="00685B7E">
        <w:t>大庆市国土空间总体规划（</w:t>
      </w:r>
      <w:r w:rsidR="00685B7E">
        <w:t>2021-2035</w:t>
      </w:r>
      <w:r w:rsidR="00685B7E">
        <w:t>年）</w:t>
      </w:r>
      <w:r>
        <w:t>》《</w:t>
      </w:r>
      <w:r w:rsidR="004E5FFD">
        <w:t>大庆市</w:t>
      </w:r>
      <w:r>
        <w:t>“</w:t>
      </w:r>
      <w:r>
        <w:t>十四五</w:t>
      </w:r>
      <w:r>
        <w:t>”</w:t>
      </w:r>
      <w:r>
        <w:t>生态环境保护规划》等相关规划，同时满足《生活垃圾卫生填埋处理技术导则》（</w:t>
      </w:r>
      <w:r>
        <w:t>GB50869-2013</w:t>
      </w:r>
      <w:r>
        <w:t>）的选址要求，因而该场址从项目用地分析上来说是合理的。</w:t>
      </w:r>
    </w:p>
    <w:p w14:paraId="2624DC2C" w14:textId="77777777" w:rsidR="00606029" w:rsidRDefault="00EA5B92">
      <w:pPr>
        <w:pStyle w:val="3"/>
      </w:pPr>
      <w:bookmarkStart w:id="153" w:name="_Toc220680484"/>
      <w:r>
        <w:t>3.2.2</w:t>
      </w:r>
      <w:r>
        <w:t>环境可行性分析</w:t>
      </w:r>
      <w:bookmarkEnd w:id="153"/>
    </w:p>
    <w:p w14:paraId="6F1F3A3B" w14:textId="6CD2693A" w:rsidR="00606029" w:rsidRDefault="004E5FFD">
      <w:pPr>
        <w:pStyle w:val="affffff4"/>
      </w:pPr>
      <w:r>
        <w:rPr>
          <w:szCs w:val="22"/>
        </w:rPr>
        <w:t>大庆城控电力有限公司</w:t>
      </w:r>
      <w:r>
        <w:t>产生的</w:t>
      </w:r>
      <w:r w:rsidR="00EA49F1">
        <w:t>飞灰稳定化暂存库</w:t>
      </w:r>
      <w:r w:rsidR="00A967BF">
        <w:rPr>
          <w:rFonts w:hint="eastAsia"/>
        </w:rPr>
        <w:t>紧邻</w:t>
      </w:r>
      <w:r>
        <w:t>本项目场址，</w:t>
      </w:r>
      <w:r w:rsidR="00A967BF">
        <w:rPr>
          <w:rFonts w:hint="eastAsia"/>
        </w:rPr>
        <w:t>没有运输距离，</w:t>
      </w:r>
      <w:r>
        <w:t>运输过程对周边环境</w:t>
      </w:r>
      <w:r w:rsidR="00A967BF">
        <w:rPr>
          <w:rFonts w:hint="eastAsia"/>
        </w:rPr>
        <w:t>产生</w:t>
      </w:r>
      <w:r w:rsidR="004C33E4">
        <w:rPr>
          <w:rFonts w:hint="eastAsia"/>
        </w:rPr>
        <w:t>较小</w:t>
      </w:r>
      <w:r>
        <w:t>。填埋</w:t>
      </w:r>
      <w:r w:rsidR="00A967BF">
        <w:rPr>
          <w:rFonts w:hint="eastAsia"/>
        </w:rPr>
        <w:t>区</w:t>
      </w:r>
      <w:r>
        <w:t>采取了有效的防渗措施和雨污分流措施，项目产生的淋溶水通过导排管引入渗滤液调节池后，可依托现有渗滤液处理站处理</w:t>
      </w:r>
      <w:r w:rsidR="00445EA5">
        <w:rPr>
          <w:rFonts w:hint="eastAsia"/>
        </w:rPr>
        <w:t>后</w:t>
      </w:r>
      <w:bookmarkStart w:id="154" w:name="OLE_LINK22"/>
      <w:r w:rsidR="00347823" w:rsidRPr="00347823">
        <w:t>满足《生活垃圾填埋场污染控制标准》（</w:t>
      </w:r>
      <w:r w:rsidR="00347823" w:rsidRPr="00347823">
        <w:t>GB16889-2024</w:t>
      </w:r>
      <w:r w:rsidR="00347823" w:rsidRPr="00347823">
        <w:t>）表</w:t>
      </w:r>
      <w:r w:rsidR="00347823" w:rsidRPr="00347823">
        <w:t>4</w:t>
      </w:r>
      <w:r w:rsidR="00347823" w:rsidRPr="00347823">
        <w:t>要求和</w:t>
      </w:r>
      <w:r w:rsidR="00445EA5" w:rsidRPr="00445EA5">
        <w:rPr>
          <w:rFonts w:hint="eastAsia"/>
        </w:rPr>
        <w:t>《城市污水再生利用</w:t>
      </w:r>
      <w:r w:rsidR="00445EA5" w:rsidRPr="00445EA5">
        <w:rPr>
          <w:rFonts w:hint="eastAsia"/>
        </w:rPr>
        <w:t xml:space="preserve"> </w:t>
      </w:r>
      <w:r w:rsidR="00445EA5" w:rsidRPr="00445EA5">
        <w:rPr>
          <w:rFonts w:hint="eastAsia"/>
        </w:rPr>
        <w:t>工业用水水质》（</w:t>
      </w:r>
      <w:r w:rsidR="00445EA5" w:rsidRPr="00445EA5">
        <w:rPr>
          <w:rFonts w:hint="eastAsia"/>
        </w:rPr>
        <w:t>GB/T19923-20</w:t>
      </w:r>
      <w:r w:rsidR="00445EA5">
        <w:rPr>
          <w:rFonts w:hint="eastAsia"/>
        </w:rPr>
        <w:t>24</w:t>
      </w:r>
      <w:r w:rsidR="00445EA5" w:rsidRPr="00445EA5">
        <w:rPr>
          <w:rFonts w:hint="eastAsia"/>
        </w:rPr>
        <w:t>）表</w:t>
      </w:r>
      <w:r w:rsidR="00445EA5" w:rsidRPr="00445EA5">
        <w:rPr>
          <w:rFonts w:hint="eastAsia"/>
        </w:rPr>
        <w:t>1</w:t>
      </w:r>
      <w:r w:rsidR="00262ECA">
        <w:rPr>
          <w:rFonts w:hint="eastAsia"/>
        </w:rPr>
        <w:t>间冷开式循环</w:t>
      </w:r>
      <w:r w:rsidR="00F32134">
        <w:rPr>
          <w:rFonts w:hint="eastAsia"/>
        </w:rPr>
        <w:t>冷却水</w:t>
      </w:r>
      <w:r w:rsidR="00262ECA">
        <w:rPr>
          <w:rFonts w:hint="eastAsia"/>
        </w:rPr>
        <w:t>补</w:t>
      </w:r>
      <w:r w:rsidR="00445EA5" w:rsidRPr="00445EA5">
        <w:rPr>
          <w:rFonts w:hint="eastAsia"/>
        </w:rPr>
        <w:t>充水标准后全部回用至厂区冷却塔补水，不外排。</w:t>
      </w:r>
      <w:bookmarkEnd w:id="154"/>
      <w:r>
        <w:t>由噪声预测结果分析，根据预测结果，项目产生的噪声对敏感点声环境几乎无影响，</w:t>
      </w:r>
      <w:r w:rsidRPr="00445EA5">
        <w:t>本项目建成后各敏感点均符合声环境功能区划要求。</w:t>
      </w:r>
      <w:r w:rsidRPr="00256054">
        <w:t>根</w:t>
      </w:r>
      <w:r w:rsidRPr="00256054">
        <w:lastRenderedPageBreak/>
        <w:t>据大气影响预测分析，</w:t>
      </w:r>
      <w:r w:rsidR="00256054" w:rsidRPr="00256054">
        <w:rPr>
          <w:rFonts w:hint="eastAsia"/>
        </w:rPr>
        <w:t>TSP</w:t>
      </w:r>
      <w:r w:rsidRPr="00256054">
        <w:t>排放的废气最大落地距离为下风向</w:t>
      </w:r>
      <w:r w:rsidRPr="00256054">
        <w:t>49m</w:t>
      </w:r>
      <w:r w:rsidRPr="00256054">
        <w:t>，</w:t>
      </w:r>
      <w:r w:rsidRPr="00256054">
        <w:t>TSP</w:t>
      </w:r>
      <w:r w:rsidRPr="00256054">
        <w:t>的最大落地浓度为</w:t>
      </w:r>
      <w:r w:rsidRPr="00256054">
        <w:t>63.465μg/m</w:t>
      </w:r>
      <w:r w:rsidRPr="00256054">
        <w:rPr>
          <w:vertAlign w:val="superscript"/>
        </w:rPr>
        <w:t>3</w:t>
      </w:r>
      <w:r w:rsidRPr="00256054">
        <w:t>，占标率为</w:t>
      </w:r>
      <w:r w:rsidR="00256054" w:rsidRPr="00256054">
        <w:rPr>
          <w:rFonts w:hint="eastAsia"/>
        </w:rPr>
        <w:t>0.21%</w:t>
      </w:r>
      <w:r w:rsidRPr="00256054">
        <w:t>，污染源排放浓度贡献值很小，不需要设置大气环境防护距离，对周边环境的影响在可接受的范围内。本项目选址不会导致当地的用地现状发生变化，周围环境可支撑本项目建设营运，从环境可行性方面分析，项目选址是合理的。</w:t>
      </w:r>
    </w:p>
    <w:p w14:paraId="1C09D6C2" w14:textId="77777777" w:rsidR="00606029" w:rsidRDefault="00EA5B92">
      <w:pPr>
        <w:pStyle w:val="3"/>
      </w:pPr>
      <w:bookmarkStart w:id="155" w:name="_Toc220680485"/>
      <w:r>
        <w:t>3.2.3</w:t>
      </w:r>
      <w:r>
        <w:t>与标准规范的符合性分析</w:t>
      </w:r>
      <w:bookmarkEnd w:id="155"/>
    </w:p>
    <w:p w14:paraId="4080848D" w14:textId="2C908819" w:rsidR="00606029" w:rsidRDefault="00EA5B92">
      <w:pPr>
        <w:pStyle w:val="affffff4"/>
      </w:pPr>
      <w:r>
        <w:t>根据《生活垃圾卫生填埋处理技术导则》（</w:t>
      </w:r>
      <w:r>
        <w:t>GB50869-2013</w:t>
      </w:r>
      <w:r>
        <w:t>）、《生活垃圾填埋场污染控制标准》（</w:t>
      </w:r>
      <w:r>
        <w:t>GB16889-2024</w:t>
      </w:r>
      <w:r>
        <w:t>）等有关要求，选址合理性分析如下</w:t>
      </w:r>
      <w:r w:rsidR="006A52CC">
        <w:t>：</w:t>
      </w:r>
    </w:p>
    <w:p w14:paraId="1D69F848" w14:textId="77777777" w:rsidR="00606029" w:rsidRDefault="00EA5B92">
      <w:pPr>
        <w:autoSpaceDE w:val="0"/>
        <w:autoSpaceDN w:val="0"/>
        <w:jc w:val="center"/>
        <w:rPr>
          <w:b/>
          <w:bCs/>
        </w:rPr>
      </w:pPr>
      <w:r>
        <w:rPr>
          <w:b/>
          <w:bCs/>
        </w:rPr>
        <w:t>表</w:t>
      </w:r>
      <w:r>
        <w:rPr>
          <w:b/>
          <w:bCs/>
        </w:rPr>
        <w:t xml:space="preserve"> 3.2-1 </w:t>
      </w:r>
      <w:r>
        <w:rPr>
          <w:b/>
          <w:bCs/>
        </w:rPr>
        <w:t>与《生活垃圾卫生填埋处理技术导则》（</w:t>
      </w:r>
      <w:r>
        <w:rPr>
          <w:b/>
          <w:bCs/>
        </w:rPr>
        <w:t>GB50869-2013</w:t>
      </w:r>
      <w:r>
        <w:rPr>
          <w:b/>
          <w:bCs/>
        </w:rPr>
        <w:t>）符合性分析</w:t>
      </w:r>
    </w:p>
    <w:tbl>
      <w:tblPr>
        <w:tblStyle w:val="TableNormal"/>
        <w:tblW w:w="5008" w:type="pct"/>
        <w:tblInd w:w="0" w:type="dxa"/>
        <w:tblBorders>
          <w:top w:val="single" w:sz="4" w:space="0" w:color="auto"/>
          <w:left w:val="single" w:sz="4" w:space="0" w:color="auto"/>
          <w:bottom w:val="single" w:sz="4" w:space="0" w:color="auto"/>
          <w:right w:val="single" w:sz="4" w:space="0" w:color="auto"/>
          <w:insideH w:val="single" w:sz="2" w:space="0" w:color="000000"/>
          <w:insideV w:val="single" w:sz="2" w:space="0" w:color="000000"/>
        </w:tblBorders>
        <w:tblLook w:val="04A0" w:firstRow="1" w:lastRow="0" w:firstColumn="1" w:lastColumn="0" w:noHBand="0" w:noVBand="1"/>
      </w:tblPr>
      <w:tblGrid>
        <w:gridCol w:w="546"/>
        <w:gridCol w:w="3796"/>
        <w:gridCol w:w="3665"/>
        <w:gridCol w:w="841"/>
      </w:tblGrid>
      <w:tr w:rsidR="00606029" w14:paraId="3A002C4F" w14:textId="77777777">
        <w:trPr>
          <w:trHeight w:val="57"/>
        </w:trPr>
        <w:tc>
          <w:tcPr>
            <w:tcW w:w="309" w:type="pct"/>
            <w:vAlign w:val="center"/>
          </w:tcPr>
          <w:p w14:paraId="05669A95" w14:textId="77777777" w:rsidR="00606029" w:rsidRDefault="00EA5B92">
            <w:pPr>
              <w:autoSpaceDE w:val="0"/>
              <w:autoSpaceDN w:val="0"/>
              <w:adjustRightInd w:val="0"/>
              <w:snapToGrid w:val="0"/>
              <w:jc w:val="center"/>
              <w:rPr>
                <w:lang w:eastAsia="en-US"/>
              </w:rPr>
            </w:pPr>
            <w:r>
              <w:rPr>
                <w:lang w:eastAsia="en-US"/>
              </w:rPr>
              <w:t>序号</w:t>
            </w:r>
          </w:p>
        </w:tc>
        <w:tc>
          <w:tcPr>
            <w:tcW w:w="2144" w:type="pct"/>
            <w:vAlign w:val="center"/>
          </w:tcPr>
          <w:p w14:paraId="4C44F0FD" w14:textId="77777777" w:rsidR="00606029" w:rsidRDefault="00EA5B92">
            <w:pPr>
              <w:autoSpaceDE w:val="0"/>
              <w:autoSpaceDN w:val="0"/>
              <w:adjustRightInd w:val="0"/>
              <w:snapToGrid w:val="0"/>
              <w:jc w:val="center"/>
              <w:rPr>
                <w:lang w:eastAsia="en-US"/>
              </w:rPr>
            </w:pPr>
            <w:r>
              <w:rPr>
                <w:lang w:eastAsia="en-US"/>
              </w:rPr>
              <w:t>GB50869-2013</w:t>
            </w:r>
            <w:r>
              <w:rPr>
                <w:lang w:eastAsia="en-US"/>
              </w:rPr>
              <w:t>要求</w:t>
            </w:r>
          </w:p>
        </w:tc>
        <w:tc>
          <w:tcPr>
            <w:tcW w:w="2070" w:type="pct"/>
            <w:vAlign w:val="center"/>
          </w:tcPr>
          <w:p w14:paraId="0BDDEFDB" w14:textId="77777777" w:rsidR="00606029" w:rsidRDefault="00EA5B92">
            <w:pPr>
              <w:autoSpaceDE w:val="0"/>
              <w:autoSpaceDN w:val="0"/>
              <w:adjustRightInd w:val="0"/>
              <w:snapToGrid w:val="0"/>
              <w:jc w:val="center"/>
              <w:rPr>
                <w:lang w:eastAsia="en-US"/>
              </w:rPr>
            </w:pPr>
            <w:r>
              <w:rPr>
                <w:lang w:eastAsia="en-US"/>
              </w:rPr>
              <w:t>本项目</w:t>
            </w:r>
          </w:p>
        </w:tc>
        <w:tc>
          <w:tcPr>
            <w:tcW w:w="475" w:type="pct"/>
            <w:vAlign w:val="center"/>
          </w:tcPr>
          <w:p w14:paraId="5C476525" w14:textId="77777777" w:rsidR="00606029" w:rsidRDefault="00EA5B92">
            <w:pPr>
              <w:autoSpaceDE w:val="0"/>
              <w:autoSpaceDN w:val="0"/>
              <w:adjustRightInd w:val="0"/>
              <w:snapToGrid w:val="0"/>
              <w:jc w:val="center"/>
              <w:rPr>
                <w:lang w:eastAsia="en-US"/>
              </w:rPr>
            </w:pPr>
            <w:r>
              <w:rPr>
                <w:lang w:eastAsia="en-US"/>
              </w:rPr>
              <w:t>是否符合要求</w:t>
            </w:r>
          </w:p>
        </w:tc>
      </w:tr>
      <w:tr w:rsidR="00606029" w14:paraId="322E4C28" w14:textId="77777777">
        <w:trPr>
          <w:trHeight w:val="57"/>
        </w:trPr>
        <w:tc>
          <w:tcPr>
            <w:tcW w:w="309" w:type="pct"/>
            <w:vAlign w:val="center"/>
          </w:tcPr>
          <w:p w14:paraId="33B0B3CF" w14:textId="77777777" w:rsidR="00606029" w:rsidRDefault="00EA5B92">
            <w:pPr>
              <w:autoSpaceDE w:val="0"/>
              <w:autoSpaceDN w:val="0"/>
              <w:adjustRightInd w:val="0"/>
              <w:snapToGrid w:val="0"/>
              <w:jc w:val="center"/>
              <w:rPr>
                <w:lang w:eastAsia="en-US"/>
              </w:rPr>
            </w:pPr>
            <w:r>
              <w:rPr>
                <w:lang w:eastAsia="en-US"/>
              </w:rPr>
              <w:t>1</w:t>
            </w:r>
          </w:p>
        </w:tc>
        <w:tc>
          <w:tcPr>
            <w:tcW w:w="2144" w:type="pct"/>
            <w:vAlign w:val="center"/>
          </w:tcPr>
          <w:p w14:paraId="1CEECF43" w14:textId="77777777" w:rsidR="00606029" w:rsidRDefault="00EA5B92">
            <w:pPr>
              <w:autoSpaceDE w:val="0"/>
              <w:autoSpaceDN w:val="0"/>
              <w:adjustRightInd w:val="0"/>
              <w:snapToGrid w:val="0"/>
              <w:jc w:val="center"/>
            </w:pPr>
            <w:r>
              <w:t>填埋场不应设在地中供水水源地及补给区</w:t>
            </w:r>
          </w:p>
        </w:tc>
        <w:tc>
          <w:tcPr>
            <w:tcW w:w="2070" w:type="pct"/>
            <w:vAlign w:val="center"/>
          </w:tcPr>
          <w:p w14:paraId="1092069F" w14:textId="73A68BA6" w:rsidR="00606029" w:rsidRDefault="00EA5B92">
            <w:pPr>
              <w:autoSpaceDE w:val="0"/>
              <w:autoSpaceDN w:val="0"/>
              <w:adjustRightInd w:val="0"/>
              <w:snapToGrid w:val="0"/>
              <w:jc w:val="center"/>
            </w:pPr>
            <w:r>
              <w:t>场址不属于地下水集中供水水源地及补给区</w:t>
            </w:r>
          </w:p>
        </w:tc>
        <w:tc>
          <w:tcPr>
            <w:tcW w:w="475" w:type="pct"/>
            <w:vAlign w:val="center"/>
          </w:tcPr>
          <w:p w14:paraId="4D14CDF7" w14:textId="77777777" w:rsidR="00606029" w:rsidRDefault="00EA5B92">
            <w:pPr>
              <w:autoSpaceDE w:val="0"/>
              <w:autoSpaceDN w:val="0"/>
              <w:adjustRightInd w:val="0"/>
              <w:snapToGrid w:val="0"/>
              <w:jc w:val="center"/>
              <w:rPr>
                <w:lang w:eastAsia="en-US"/>
              </w:rPr>
            </w:pPr>
            <w:r>
              <w:rPr>
                <w:lang w:eastAsia="en-US"/>
              </w:rPr>
              <w:t>符合</w:t>
            </w:r>
          </w:p>
        </w:tc>
      </w:tr>
      <w:tr w:rsidR="00606029" w14:paraId="738B1540" w14:textId="77777777">
        <w:trPr>
          <w:trHeight w:val="57"/>
        </w:trPr>
        <w:tc>
          <w:tcPr>
            <w:tcW w:w="309" w:type="pct"/>
            <w:vAlign w:val="center"/>
          </w:tcPr>
          <w:p w14:paraId="352C62B0" w14:textId="77777777" w:rsidR="00606029" w:rsidRDefault="00EA5B92">
            <w:pPr>
              <w:autoSpaceDE w:val="0"/>
              <w:autoSpaceDN w:val="0"/>
              <w:adjustRightInd w:val="0"/>
              <w:snapToGrid w:val="0"/>
              <w:jc w:val="center"/>
              <w:rPr>
                <w:lang w:eastAsia="en-US"/>
              </w:rPr>
            </w:pPr>
            <w:r>
              <w:rPr>
                <w:lang w:eastAsia="en-US"/>
              </w:rPr>
              <w:t>2</w:t>
            </w:r>
          </w:p>
        </w:tc>
        <w:tc>
          <w:tcPr>
            <w:tcW w:w="2144" w:type="pct"/>
            <w:vAlign w:val="center"/>
          </w:tcPr>
          <w:p w14:paraId="02D2D0B5" w14:textId="77777777" w:rsidR="00606029" w:rsidRDefault="00EA5B92">
            <w:pPr>
              <w:autoSpaceDE w:val="0"/>
              <w:autoSpaceDN w:val="0"/>
              <w:adjustRightInd w:val="0"/>
              <w:snapToGrid w:val="0"/>
              <w:jc w:val="center"/>
            </w:pPr>
            <w:r>
              <w:t>填埋场不应设在洪泛区和泄洪道</w:t>
            </w:r>
          </w:p>
        </w:tc>
        <w:tc>
          <w:tcPr>
            <w:tcW w:w="2070" w:type="pct"/>
            <w:vAlign w:val="center"/>
          </w:tcPr>
          <w:p w14:paraId="6C9D7044" w14:textId="0D068141" w:rsidR="00606029" w:rsidRDefault="00EA5B92">
            <w:pPr>
              <w:autoSpaceDE w:val="0"/>
              <w:autoSpaceDN w:val="0"/>
              <w:adjustRightInd w:val="0"/>
              <w:snapToGrid w:val="0"/>
              <w:jc w:val="center"/>
            </w:pPr>
            <w:r>
              <w:t>场址不在洪泛区和泄洪道</w:t>
            </w:r>
          </w:p>
        </w:tc>
        <w:tc>
          <w:tcPr>
            <w:tcW w:w="475" w:type="pct"/>
            <w:vAlign w:val="center"/>
          </w:tcPr>
          <w:p w14:paraId="6EE8C99A" w14:textId="77777777" w:rsidR="00606029" w:rsidRDefault="00EA5B92">
            <w:pPr>
              <w:autoSpaceDE w:val="0"/>
              <w:autoSpaceDN w:val="0"/>
              <w:adjustRightInd w:val="0"/>
              <w:snapToGrid w:val="0"/>
              <w:jc w:val="center"/>
              <w:rPr>
                <w:lang w:eastAsia="en-US"/>
              </w:rPr>
            </w:pPr>
            <w:r>
              <w:rPr>
                <w:lang w:eastAsia="en-US"/>
              </w:rPr>
              <w:t>符合</w:t>
            </w:r>
          </w:p>
        </w:tc>
      </w:tr>
      <w:tr w:rsidR="00606029" w14:paraId="0E95B5A0" w14:textId="77777777">
        <w:trPr>
          <w:trHeight w:val="57"/>
        </w:trPr>
        <w:tc>
          <w:tcPr>
            <w:tcW w:w="309" w:type="pct"/>
            <w:vAlign w:val="center"/>
          </w:tcPr>
          <w:p w14:paraId="39BB1F47" w14:textId="77777777" w:rsidR="00606029" w:rsidRDefault="00EA5B92">
            <w:pPr>
              <w:autoSpaceDE w:val="0"/>
              <w:autoSpaceDN w:val="0"/>
              <w:adjustRightInd w:val="0"/>
              <w:snapToGrid w:val="0"/>
              <w:jc w:val="center"/>
              <w:rPr>
                <w:lang w:eastAsia="en-US"/>
              </w:rPr>
            </w:pPr>
            <w:r>
              <w:rPr>
                <w:lang w:eastAsia="en-US"/>
              </w:rPr>
              <w:t>3</w:t>
            </w:r>
          </w:p>
        </w:tc>
        <w:tc>
          <w:tcPr>
            <w:tcW w:w="2144" w:type="pct"/>
            <w:vAlign w:val="center"/>
          </w:tcPr>
          <w:p w14:paraId="5AABB757" w14:textId="77777777" w:rsidR="00606029" w:rsidRDefault="00EA5B92">
            <w:pPr>
              <w:autoSpaceDE w:val="0"/>
              <w:autoSpaceDN w:val="0"/>
              <w:adjustRightInd w:val="0"/>
              <w:snapToGrid w:val="0"/>
              <w:jc w:val="center"/>
            </w:pPr>
            <w:r>
              <w:t>填埋场不应设在填埋库区与污水处理区边界距居民居住区或人畜供水点</w:t>
            </w:r>
            <w:r>
              <w:t>500m</w:t>
            </w:r>
            <w:r>
              <w:t>以内的地区</w:t>
            </w:r>
          </w:p>
        </w:tc>
        <w:tc>
          <w:tcPr>
            <w:tcW w:w="2070" w:type="pct"/>
            <w:vAlign w:val="center"/>
          </w:tcPr>
          <w:p w14:paraId="08A56890" w14:textId="6260AA7A" w:rsidR="00606029" w:rsidRDefault="004C33E4">
            <w:pPr>
              <w:autoSpaceDE w:val="0"/>
              <w:autoSpaceDN w:val="0"/>
              <w:adjustRightInd w:val="0"/>
              <w:snapToGrid w:val="0"/>
              <w:jc w:val="center"/>
            </w:pPr>
            <w:r>
              <w:rPr>
                <w:rFonts w:hint="eastAsia"/>
              </w:rPr>
              <w:t>厂</w:t>
            </w:r>
            <w:r w:rsidR="00EA5B92">
              <w:t>界外</w:t>
            </w:r>
            <w:r w:rsidR="00EA5B92">
              <w:t>500m</w:t>
            </w:r>
            <w:r w:rsidR="00EA5B92">
              <w:t>范围内没有居民居住区或人畜供水点，</w:t>
            </w:r>
            <w:r w:rsidR="00EA5B92" w:rsidRPr="00014A73">
              <w:t>污水处理区边界距最近</w:t>
            </w:r>
            <w:r w:rsidR="00014A73" w:rsidRPr="00014A73">
              <w:rPr>
                <w:rFonts w:hint="eastAsia"/>
              </w:rPr>
              <w:t>红旗二村</w:t>
            </w:r>
            <w:r w:rsidR="00EA5B92" w:rsidRPr="00014A73">
              <w:t>约</w:t>
            </w:r>
            <w:r w:rsidR="00014A73" w:rsidRPr="00014A73">
              <w:rPr>
                <w:rFonts w:hint="eastAsia"/>
              </w:rPr>
              <w:t>790</w:t>
            </w:r>
            <w:r w:rsidR="00EA5B92" w:rsidRPr="00014A73">
              <w:t>m</w:t>
            </w:r>
            <w:r w:rsidR="00EA5B92" w:rsidRPr="00014A73">
              <w:t>。</w:t>
            </w:r>
          </w:p>
        </w:tc>
        <w:tc>
          <w:tcPr>
            <w:tcW w:w="475" w:type="pct"/>
            <w:vAlign w:val="center"/>
          </w:tcPr>
          <w:p w14:paraId="4CA91BA0" w14:textId="77777777" w:rsidR="00606029" w:rsidRDefault="00EA5B92">
            <w:pPr>
              <w:autoSpaceDE w:val="0"/>
              <w:autoSpaceDN w:val="0"/>
              <w:adjustRightInd w:val="0"/>
              <w:snapToGrid w:val="0"/>
              <w:jc w:val="center"/>
              <w:rPr>
                <w:lang w:eastAsia="en-US"/>
              </w:rPr>
            </w:pPr>
            <w:r>
              <w:rPr>
                <w:lang w:eastAsia="en-US"/>
              </w:rPr>
              <w:t>符合</w:t>
            </w:r>
          </w:p>
        </w:tc>
      </w:tr>
      <w:tr w:rsidR="00606029" w14:paraId="27ED2B40" w14:textId="77777777">
        <w:trPr>
          <w:trHeight w:val="57"/>
        </w:trPr>
        <w:tc>
          <w:tcPr>
            <w:tcW w:w="309" w:type="pct"/>
            <w:vAlign w:val="center"/>
          </w:tcPr>
          <w:p w14:paraId="20656F34" w14:textId="77777777" w:rsidR="00606029" w:rsidRDefault="00EA5B92">
            <w:pPr>
              <w:autoSpaceDE w:val="0"/>
              <w:autoSpaceDN w:val="0"/>
              <w:adjustRightInd w:val="0"/>
              <w:snapToGrid w:val="0"/>
              <w:jc w:val="center"/>
              <w:rPr>
                <w:lang w:eastAsia="en-US"/>
              </w:rPr>
            </w:pPr>
            <w:r>
              <w:rPr>
                <w:lang w:eastAsia="en-US"/>
              </w:rPr>
              <w:t>4</w:t>
            </w:r>
          </w:p>
        </w:tc>
        <w:tc>
          <w:tcPr>
            <w:tcW w:w="2144" w:type="pct"/>
            <w:vAlign w:val="center"/>
          </w:tcPr>
          <w:p w14:paraId="6E67DA94" w14:textId="77777777" w:rsidR="00606029" w:rsidRDefault="00EA5B92">
            <w:pPr>
              <w:autoSpaceDE w:val="0"/>
              <w:autoSpaceDN w:val="0"/>
              <w:adjustRightInd w:val="0"/>
              <w:snapToGrid w:val="0"/>
              <w:jc w:val="center"/>
            </w:pPr>
            <w:r>
              <w:t>填埋场不应设在填埋库区与污水处理区边界距河流</w:t>
            </w:r>
            <w:r>
              <w:t>50m</w:t>
            </w:r>
            <w:r>
              <w:t>以内地区</w:t>
            </w:r>
          </w:p>
        </w:tc>
        <w:tc>
          <w:tcPr>
            <w:tcW w:w="2070" w:type="pct"/>
            <w:vAlign w:val="center"/>
          </w:tcPr>
          <w:p w14:paraId="213964EA" w14:textId="138E054B" w:rsidR="00606029" w:rsidRDefault="00EA5B92">
            <w:pPr>
              <w:autoSpaceDE w:val="0"/>
              <w:autoSpaceDN w:val="0"/>
              <w:adjustRightInd w:val="0"/>
              <w:snapToGrid w:val="0"/>
              <w:jc w:val="center"/>
            </w:pPr>
            <w:r>
              <w:t>填埋库区与污水处理区边界距</w:t>
            </w:r>
            <w:r w:rsidR="00014A73">
              <w:rPr>
                <w:rFonts w:hint="eastAsia"/>
              </w:rPr>
              <w:t>中央排水干渠约</w:t>
            </w:r>
            <w:r w:rsidR="00014A73">
              <w:rPr>
                <w:rFonts w:hint="eastAsia"/>
              </w:rPr>
              <w:t>200m</w:t>
            </w:r>
          </w:p>
        </w:tc>
        <w:tc>
          <w:tcPr>
            <w:tcW w:w="475" w:type="pct"/>
            <w:vAlign w:val="center"/>
          </w:tcPr>
          <w:p w14:paraId="31E1364E" w14:textId="77777777" w:rsidR="00606029" w:rsidRDefault="00EA5B92">
            <w:pPr>
              <w:autoSpaceDE w:val="0"/>
              <w:autoSpaceDN w:val="0"/>
              <w:adjustRightInd w:val="0"/>
              <w:snapToGrid w:val="0"/>
              <w:jc w:val="center"/>
              <w:rPr>
                <w:lang w:eastAsia="en-US"/>
              </w:rPr>
            </w:pPr>
            <w:r>
              <w:rPr>
                <w:lang w:eastAsia="en-US"/>
              </w:rPr>
              <w:t>符合</w:t>
            </w:r>
          </w:p>
        </w:tc>
      </w:tr>
      <w:tr w:rsidR="00606029" w14:paraId="5161E9D4" w14:textId="77777777">
        <w:trPr>
          <w:trHeight w:val="57"/>
        </w:trPr>
        <w:tc>
          <w:tcPr>
            <w:tcW w:w="309" w:type="pct"/>
            <w:vAlign w:val="center"/>
          </w:tcPr>
          <w:p w14:paraId="50A0F2B7" w14:textId="77777777" w:rsidR="00606029" w:rsidRDefault="00EA5B92">
            <w:pPr>
              <w:autoSpaceDE w:val="0"/>
              <w:autoSpaceDN w:val="0"/>
              <w:adjustRightInd w:val="0"/>
              <w:snapToGrid w:val="0"/>
              <w:jc w:val="center"/>
              <w:rPr>
                <w:lang w:eastAsia="en-US"/>
              </w:rPr>
            </w:pPr>
            <w:r>
              <w:rPr>
                <w:lang w:eastAsia="en-US"/>
              </w:rPr>
              <w:t>5</w:t>
            </w:r>
          </w:p>
        </w:tc>
        <w:tc>
          <w:tcPr>
            <w:tcW w:w="2144" w:type="pct"/>
            <w:vAlign w:val="center"/>
          </w:tcPr>
          <w:p w14:paraId="498C46B9" w14:textId="77777777" w:rsidR="00606029" w:rsidRDefault="00EA5B92">
            <w:pPr>
              <w:autoSpaceDE w:val="0"/>
              <w:autoSpaceDN w:val="0"/>
              <w:adjustRightInd w:val="0"/>
              <w:snapToGrid w:val="0"/>
              <w:jc w:val="center"/>
            </w:pPr>
            <w:r>
              <w:t>填埋场不应设在填埋库区与污水处理区边界距民用机场</w:t>
            </w:r>
            <w:r>
              <w:t>3km</w:t>
            </w:r>
            <w:r>
              <w:t>以内的地方</w:t>
            </w:r>
          </w:p>
        </w:tc>
        <w:tc>
          <w:tcPr>
            <w:tcW w:w="2070" w:type="pct"/>
            <w:vAlign w:val="center"/>
          </w:tcPr>
          <w:p w14:paraId="258204CB" w14:textId="6FC1232B" w:rsidR="00606029" w:rsidRDefault="00EA5B92">
            <w:pPr>
              <w:autoSpaceDE w:val="0"/>
              <w:autoSpaceDN w:val="0"/>
              <w:adjustRightInd w:val="0"/>
              <w:snapToGrid w:val="0"/>
              <w:jc w:val="center"/>
            </w:pPr>
            <w:r>
              <w:t>场址附近</w:t>
            </w:r>
            <w:r>
              <w:t>3km</w:t>
            </w:r>
            <w:r>
              <w:t>内无机场</w:t>
            </w:r>
          </w:p>
        </w:tc>
        <w:tc>
          <w:tcPr>
            <w:tcW w:w="475" w:type="pct"/>
            <w:vAlign w:val="center"/>
          </w:tcPr>
          <w:p w14:paraId="07FEB492" w14:textId="77777777" w:rsidR="00606029" w:rsidRDefault="00EA5B92">
            <w:pPr>
              <w:autoSpaceDE w:val="0"/>
              <w:autoSpaceDN w:val="0"/>
              <w:adjustRightInd w:val="0"/>
              <w:snapToGrid w:val="0"/>
              <w:jc w:val="center"/>
              <w:rPr>
                <w:lang w:eastAsia="en-US"/>
              </w:rPr>
            </w:pPr>
            <w:r>
              <w:rPr>
                <w:lang w:eastAsia="en-US"/>
              </w:rPr>
              <w:t>符合</w:t>
            </w:r>
          </w:p>
        </w:tc>
      </w:tr>
      <w:tr w:rsidR="00606029" w14:paraId="26FCBD9F" w14:textId="77777777">
        <w:trPr>
          <w:trHeight w:val="57"/>
        </w:trPr>
        <w:tc>
          <w:tcPr>
            <w:tcW w:w="309" w:type="pct"/>
            <w:vAlign w:val="center"/>
          </w:tcPr>
          <w:p w14:paraId="34544AF9" w14:textId="77777777" w:rsidR="00606029" w:rsidRDefault="00EA5B92">
            <w:pPr>
              <w:autoSpaceDE w:val="0"/>
              <w:autoSpaceDN w:val="0"/>
              <w:adjustRightInd w:val="0"/>
              <w:snapToGrid w:val="0"/>
              <w:jc w:val="center"/>
              <w:rPr>
                <w:lang w:eastAsia="en-US"/>
              </w:rPr>
            </w:pPr>
            <w:r>
              <w:rPr>
                <w:lang w:eastAsia="en-US"/>
              </w:rPr>
              <w:t>6</w:t>
            </w:r>
          </w:p>
        </w:tc>
        <w:tc>
          <w:tcPr>
            <w:tcW w:w="2144" w:type="pct"/>
            <w:vAlign w:val="center"/>
          </w:tcPr>
          <w:p w14:paraId="20CD0DF2" w14:textId="77777777" w:rsidR="00606029" w:rsidRDefault="00EA5B92">
            <w:pPr>
              <w:autoSpaceDE w:val="0"/>
              <w:autoSpaceDN w:val="0"/>
              <w:adjustRightInd w:val="0"/>
              <w:snapToGrid w:val="0"/>
              <w:jc w:val="center"/>
            </w:pPr>
            <w:r>
              <w:t>填埋场不应设在活动的坍塌地带、尚未开采的地下蕴矿区、灰岩坑及溶岩洞区</w:t>
            </w:r>
          </w:p>
        </w:tc>
        <w:tc>
          <w:tcPr>
            <w:tcW w:w="2070" w:type="pct"/>
            <w:vAlign w:val="center"/>
          </w:tcPr>
          <w:p w14:paraId="759CCE6F" w14:textId="54806EE2" w:rsidR="00606029" w:rsidRDefault="00EA5B92">
            <w:pPr>
              <w:autoSpaceDE w:val="0"/>
              <w:autoSpaceDN w:val="0"/>
              <w:adjustRightInd w:val="0"/>
              <w:snapToGrid w:val="0"/>
              <w:jc w:val="center"/>
            </w:pPr>
            <w:r>
              <w:t>根据</w:t>
            </w:r>
            <w:bookmarkStart w:id="156" w:name="OLE_LINK73"/>
            <w:r w:rsidR="004C33E4" w:rsidRPr="004C33E4">
              <w:t>《大庆市生活垃圾综合处理厂环境综合评估报告》</w:t>
            </w:r>
            <w:bookmarkEnd w:id="156"/>
            <w:r>
              <w:t>，场址地质情况良好</w:t>
            </w:r>
          </w:p>
        </w:tc>
        <w:tc>
          <w:tcPr>
            <w:tcW w:w="475" w:type="pct"/>
            <w:vAlign w:val="center"/>
          </w:tcPr>
          <w:p w14:paraId="1BA86A25" w14:textId="77777777" w:rsidR="00606029" w:rsidRDefault="00EA5B92">
            <w:pPr>
              <w:autoSpaceDE w:val="0"/>
              <w:autoSpaceDN w:val="0"/>
              <w:adjustRightInd w:val="0"/>
              <w:snapToGrid w:val="0"/>
              <w:jc w:val="center"/>
              <w:rPr>
                <w:lang w:eastAsia="en-US"/>
              </w:rPr>
            </w:pPr>
            <w:r>
              <w:rPr>
                <w:lang w:eastAsia="en-US"/>
              </w:rPr>
              <w:t>符合</w:t>
            </w:r>
          </w:p>
        </w:tc>
      </w:tr>
      <w:tr w:rsidR="00606029" w14:paraId="6C2DA2AD" w14:textId="77777777">
        <w:trPr>
          <w:trHeight w:val="57"/>
        </w:trPr>
        <w:tc>
          <w:tcPr>
            <w:tcW w:w="309" w:type="pct"/>
            <w:vAlign w:val="center"/>
          </w:tcPr>
          <w:p w14:paraId="49034EBC" w14:textId="77777777" w:rsidR="00606029" w:rsidRDefault="00EA5B92">
            <w:pPr>
              <w:autoSpaceDE w:val="0"/>
              <w:autoSpaceDN w:val="0"/>
              <w:adjustRightInd w:val="0"/>
              <w:snapToGrid w:val="0"/>
              <w:jc w:val="center"/>
              <w:rPr>
                <w:lang w:eastAsia="en-US"/>
              </w:rPr>
            </w:pPr>
            <w:r>
              <w:rPr>
                <w:lang w:eastAsia="en-US"/>
              </w:rPr>
              <w:t>7</w:t>
            </w:r>
          </w:p>
        </w:tc>
        <w:tc>
          <w:tcPr>
            <w:tcW w:w="2144" w:type="pct"/>
            <w:vAlign w:val="center"/>
          </w:tcPr>
          <w:p w14:paraId="1EF05133" w14:textId="77777777" w:rsidR="00606029" w:rsidRDefault="00EA5B92">
            <w:pPr>
              <w:autoSpaceDE w:val="0"/>
              <w:autoSpaceDN w:val="0"/>
              <w:adjustRightInd w:val="0"/>
              <w:snapToGrid w:val="0"/>
              <w:jc w:val="center"/>
            </w:pPr>
            <w:r>
              <w:t>填埋场不应设在珍贵动植物保护区和国家、地方自然保护区</w:t>
            </w:r>
          </w:p>
        </w:tc>
        <w:tc>
          <w:tcPr>
            <w:tcW w:w="2070" w:type="pct"/>
            <w:vAlign w:val="center"/>
          </w:tcPr>
          <w:p w14:paraId="0467CF46" w14:textId="458103C8" w:rsidR="00606029" w:rsidRDefault="00EA5B92">
            <w:pPr>
              <w:autoSpaceDE w:val="0"/>
              <w:autoSpaceDN w:val="0"/>
              <w:adjustRightInd w:val="0"/>
              <w:snapToGrid w:val="0"/>
              <w:jc w:val="center"/>
            </w:pPr>
            <w:r>
              <w:t>场址不属于珍贵动植物保护区和国家、地方自然保护区</w:t>
            </w:r>
          </w:p>
        </w:tc>
        <w:tc>
          <w:tcPr>
            <w:tcW w:w="475" w:type="pct"/>
            <w:vAlign w:val="center"/>
          </w:tcPr>
          <w:p w14:paraId="1D875752" w14:textId="77777777" w:rsidR="00606029" w:rsidRDefault="00EA5B92">
            <w:pPr>
              <w:autoSpaceDE w:val="0"/>
              <w:autoSpaceDN w:val="0"/>
              <w:adjustRightInd w:val="0"/>
              <w:snapToGrid w:val="0"/>
              <w:jc w:val="center"/>
              <w:rPr>
                <w:lang w:eastAsia="en-US"/>
              </w:rPr>
            </w:pPr>
            <w:r>
              <w:rPr>
                <w:lang w:eastAsia="en-US"/>
              </w:rPr>
              <w:t>符合</w:t>
            </w:r>
          </w:p>
        </w:tc>
      </w:tr>
      <w:tr w:rsidR="00606029" w14:paraId="146E8029" w14:textId="77777777">
        <w:trPr>
          <w:trHeight w:val="57"/>
        </w:trPr>
        <w:tc>
          <w:tcPr>
            <w:tcW w:w="309" w:type="pct"/>
            <w:vAlign w:val="center"/>
          </w:tcPr>
          <w:p w14:paraId="2DC6C866" w14:textId="77777777" w:rsidR="00606029" w:rsidRDefault="00EA5B92">
            <w:pPr>
              <w:autoSpaceDE w:val="0"/>
              <w:autoSpaceDN w:val="0"/>
              <w:adjustRightInd w:val="0"/>
              <w:snapToGrid w:val="0"/>
              <w:jc w:val="center"/>
              <w:rPr>
                <w:lang w:eastAsia="en-US"/>
              </w:rPr>
            </w:pPr>
            <w:r>
              <w:rPr>
                <w:lang w:eastAsia="en-US"/>
              </w:rPr>
              <w:t>8</w:t>
            </w:r>
          </w:p>
        </w:tc>
        <w:tc>
          <w:tcPr>
            <w:tcW w:w="2144" w:type="pct"/>
            <w:vAlign w:val="center"/>
          </w:tcPr>
          <w:p w14:paraId="3E02CD24" w14:textId="77777777" w:rsidR="00606029" w:rsidRDefault="00EA5B92">
            <w:pPr>
              <w:autoSpaceDE w:val="0"/>
              <w:autoSpaceDN w:val="0"/>
              <w:adjustRightInd w:val="0"/>
              <w:snapToGrid w:val="0"/>
              <w:jc w:val="center"/>
            </w:pPr>
            <w:r>
              <w:t>填埋场不应设在公园、风景游览区、文物古迹区、考古学、历史学、生物学研究考察区</w:t>
            </w:r>
          </w:p>
        </w:tc>
        <w:tc>
          <w:tcPr>
            <w:tcW w:w="2070" w:type="pct"/>
            <w:vAlign w:val="center"/>
          </w:tcPr>
          <w:p w14:paraId="0C84C0FD" w14:textId="6131B7C4" w:rsidR="00606029" w:rsidRDefault="00EA5B92">
            <w:pPr>
              <w:autoSpaceDE w:val="0"/>
              <w:autoSpaceDN w:val="0"/>
              <w:adjustRightInd w:val="0"/>
              <w:snapToGrid w:val="0"/>
              <w:jc w:val="center"/>
            </w:pPr>
            <w:r>
              <w:t>场址不属于公园、风景游览区、文物古迹区、考古学、历史学、生物学研究考察区</w:t>
            </w:r>
          </w:p>
        </w:tc>
        <w:tc>
          <w:tcPr>
            <w:tcW w:w="475" w:type="pct"/>
            <w:vAlign w:val="center"/>
          </w:tcPr>
          <w:p w14:paraId="5BEC5465" w14:textId="77777777" w:rsidR="00606029" w:rsidRDefault="00EA5B92">
            <w:pPr>
              <w:autoSpaceDE w:val="0"/>
              <w:autoSpaceDN w:val="0"/>
              <w:adjustRightInd w:val="0"/>
              <w:snapToGrid w:val="0"/>
              <w:jc w:val="center"/>
              <w:rPr>
                <w:lang w:eastAsia="en-US"/>
              </w:rPr>
            </w:pPr>
            <w:r>
              <w:rPr>
                <w:lang w:eastAsia="en-US"/>
              </w:rPr>
              <w:t>符合</w:t>
            </w:r>
          </w:p>
        </w:tc>
      </w:tr>
      <w:tr w:rsidR="00606029" w14:paraId="687D8460" w14:textId="77777777">
        <w:trPr>
          <w:trHeight w:val="57"/>
        </w:trPr>
        <w:tc>
          <w:tcPr>
            <w:tcW w:w="309" w:type="pct"/>
            <w:vAlign w:val="center"/>
          </w:tcPr>
          <w:p w14:paraId="6E3753B9" w14:textId="77777777" w:rsidR="00606029" w:rsidRDefault="00EA5B92">
            <w:pPr>
              <w:autoSpaceDE w:val="0"/>
              <w:autoSpaceDN w:val="0"/>
              <w:adjustRightInd w:val="0"/>
              <w:snapToGrid w:val="0"/>
              <w:jc w:val="center"/>
              <w:rPr>
                <w:lang w:eastAsia="en-US"/>
              </w:rPr>
            </w:pPr>
            <w:r>
              <w:rPr>
                <w:lang w:eastAsia="en-US"/>
              </w:rPr>
              <w:t>9</w:t>
            </w:r>
          </w:p>
        </w:tc>
        <w:tc>
          <w:tcPr>
            <w:tcW w:w="2144" w:type="pct"/>
            <w:vAlign w:val="center"/>
          </w:tcPr>
          <w:p w14:paraId="5B93CE33" w14:textId="77777777" w:rsidR="00606029" w:rsidRDefault="00EA5B92">
            <w:pPr>
              <w:autoSpaceDE w:val="0"/>
              <w:autoSpaceDN w:val="0"/>
              <w:adjustRightInd w:val="0"/>
              <w:snapToGrid w:val="0"/>
              <w:jc w:val="center"/>
            </w:pPr>
            <w:r>
              <w:t>填埋场不应设在军事要地、基地、军工基地和国家保密地区</w:t>
            </w:r>
          </w:p>
        </w:tc>
        <w:tc>
          <w:tcPr>
            <w:tcW w:w="2070" w:type="pct"/>
            <w:vAlign w:val="center"/>
          </w:tcPr>
          <w:p w14:paraId="505A6D3E" w14:textId="4F239769" w:rsidR="00606029" w:rsidRDefault="00EA5B92">
            <w:pPr>
              <w:autoSpaceDE w:val="0"/>
              <w:autoSpaceDN w:val="0"/>
              <w:adjustRightInd w:val="0"/>
              <w:snapToGrid w:val="0"/>
              <w:jc w:val="center"/>
            </w:pPr>
            <w:r>
              <w:t>场址不属于军事要地、基地、军工基地和国家保密地区</w:t>
            </w:r>
          </w:p>
        </w:tc>
        <w:tc>
          <w:tcPr>
            <w:tcW w:w="475" w:type="pct"/>
            <w:vAlign w:val="center"/>
          </w:tcPr>
          <w:p w14:paraId="381DC0E3" w14:textId="77777777" w:rsidR="00606029" w:rsidRDefault="00EA5B92">
            <w:pPr>
              <w:autoSpaceDE w:val="0"/>
              <w:autoSpaceDN w:val="0"/>
              <w:adjustRightInd w:val="0"/>
              <w:snapToGrid w:val="0"/>
              <w:jc w:val="center"/>
              <w:rPr>
                <w:lang w:eastAsia="en-US"/>
              </w:rPr>
            </w:pPr>
            <w:r>
              <w:rPr>
                <w:lang w:eastAsia="en-US"/>
              </w:rPr>
              <w:t>符合</w:t>
            </w:r>
          </w:p>
        </w:tc>
      </w:tr>
      <w:tr w:rsidR="00606029" w14:paraId="66B65D96" w14:textId="77777777">
        <w:trPr>
          <w:trHeight w:val="57"/>
        </w:trPr>
        <w:tc>
          <w:tcPr>
            <w:tcW w:w="309" w:type="pct"/>
            <w:vAlign w:val="center"/>
          </w:tcPr>
          <w:p w14:paraId="324C54C1" w14:textId="77777777" w:rsidR="00606029" w:rsidRDefault="00EA5B92">
            <w:pPr>
              <w:autoSpaceDE w:val="0"/>
              <w:autoSpaceDN w:val="0"/>
              <w:adjustRightInd w:val="0"/>
              <w:snapToGrid w:val="0"/>
              <w:jc w:val="center"/>
              <w:rPr>
                <w:lang w:eastAsia="en-US"/>
              </w:rPr>
            </w:pPr>
            <w:r>
              <w:rPr>
                <w:lang w:eastAsia="en-US"/>
              </w:rPr>
              <w:t>10</w:t>
            </w:r>
          </w:p>
        </w:tc>
        <w:tc>
          <w:tcPr>
            <w:tcW w:w="2144" w:type="pct"/>
            <w:vAlign w:val="center"/>
          </w:tcPr>
          <w:p w14:paraId="355C4FF3" w14:textId="77777777" w:rsidR="00606029" w:rsidRDefault="00EA5B92">
            <w:pPr>
              <w:autoSpaceDE w:val="0"/>
              <w:autoSpaceDN w:val="0"/>
              <w:adjustRightInd w:val="0"/>
              <w:snapToGrid w:val="0"/>
              <w:jc w:val="center"/>
            </w:pPr>
            <w:r>
              <w:t>符合当地城市总体规划、区域环境规划及城市环境卫生专业规划等专业规划要求</w:t>
            </w:r>
          </w:p>
        </w:tc>
        <w:tc>
          <w:tcPr>
            <w:tcW w:w="2070" w:type="pct"/>
            <w:vAlign w:val="center"/>
          </w:tcPr>
          <w:p w14:paraId="3173DCF8" w14:textId="5413A437" w:rsidR="00606029" w:rsidRDefault="00EA5B92">
            <w:pPr>
              <w:autoSpaceDE w:val="0"/>
              <w:autoSpaceDN w:val="0"/>
              <w:adjustRightInd w:val="0"/>
              <w:snapToGrid w:val="0"/>
              <w:jc w:val="center"/>
            </w:pPr>
            <w:r>
              <w:t>符合《</w:t>
            </w:r>
            <w:r w:rsidR="00D83B21" w:rsidRPr="00D83B21">
              <w:rPr>
                <w:rFonts w:hint="eastAsia"/>
              </w:rPr>
              <w:t>大庆国土空间总体规划</w:t>
            </w:r>
            <w:r w:rsidR="00D83B21" w:rsidRPr="00D83B21">
              <w:rPr>
                <w:rFonts w:hint="eastAsia"/>
              </w:rPr>
              <w:t>2021-2035</w:t>
            </w:r>
            <w:r>
              <w:t>》《</w:t>
            </w:r>
            <w:r w:rsidR="004E5FFD">
              <w:t>大庆市</w:t>
            </w:r>
            <w:r>
              <w:t>“</w:t>
            </w:r>
            <w:r>
              <w:t>十四五</w:t>
            </w:r>
            <w:r>
              <w:t>”</w:t>
            </w:r>
            <w:r>
              <w:t>生态环境保护规划》等相关规划要求</w:t>
            </w:r>
          </w:p>
        </w:tc>
        <w:tc>
          <w:tcPr>
            <w:tcW w:w="475" w:type="pct"/>
            <w:vAlign w:val="center"/>
          </w:tcPr>
          <w:p w14:paraId="44F0D8B4" w14:textId="77777777" w:rsidR="00606029" w:rsidRDefault="00EA5B92">
            <w:pPr>
              <w:autoSpaceDE w:val="0"/>
              <w:autoSpaceDN w:val="0"/>
              <w:adjustRightInd w:val="0"/>
              <w:snapToGrid w:val="0"/>
              <w:jc w:val="center"/>
              <w:rPr>
                <w:lang w:eastAsia="en-US"/>
              </w:rPr>
            </w:pPr>
            <w:r>
              <w:rPr>
                <w:lang w:eastAsia="en-US"/>
              </w:rPr>
              <w:t>符合</w:t>
            </w:r>
          </w:p>
        </w:tc>
      </w:tr>
      <w:tr w:rsidR="00606029" w14:paraId="16E3CA7D" w14:textId="77777777">
        <w:trPr>
          <w:trHeight w:val="57"/>
        </w:trPr>
        <w:tc>
          <w:tcPr>
            <w:tcW w:w="309" w:type="pct"/>
            <w:vAlign w:val="center"/>
          </w:tcPr>
          <w:p w14:paraId="7D31286B" w14:textId="77777777" w:rsidR="00606029" w:rsidRDefault="00EA5B92">
            <w:pPr>
              <w:autoSpaceDE w:val="0"/>
              <w:autoSpaceDN w:val="0"/>
              <w:adjustRightInd w:val="0"/>
              <w:snapToGrid w:val="0"/>
              <w:jc w:val="center"/>
              <w:rPr>
                <w:lang w:eastAsia="en-US"/>
              </w:rPr>
            </w:pPr>
            <w:r>
              <w:rPr>
                <w:lang w:eastAsia="en-US"/>
              </w:rPr>
              <w:t>11</w:t>
            </w:r>
          </w:p>
        </w:tc>
        <w:tc>
          <w:tcPr>
            <w:tcW w:w="2144" w:type="pct"/>
            <w:vAlign w:val="center"/>
          </w:tcPr>
          <w:p w14:paraId="61E88469" w14:textId="77777777" w:rsidR="00606029" w:rsidRDefault="00EA5B92">
            <w:pPr>
              <w:autoSpaceDE w:val="0"/>
              <w:autoSpaceDN w:val="0"/>
              <w:adjustRightInd w:val="0"/>
              <w:snapToGrid w:val="0"/>
              <w:jc w:val="center"/>
            </w:pPr>
            <w:r>
              <w:t>与当地的大气防护、水土资源保护、大自然保护及生态平衡要求相一致</w:t>
            </w:r>
          </w:p>
        </w:tc>
        <w:tc>
          <w:tcPr>
            <w:tcW w:w="2070" w:type="pct"/>
            <w:vAlign w:val="center"/>
          </w:tcPr>
          <w:p w14:paraId="302C8D95" w14:textId="7163989B" w:rsidR="00606029" w:rsidRDefault="00EA5B92" w:rsidP="00D83B21">
            <w:pPr>
              <w:autoSpaceDE w:val="0"/>
              <w:autoSpaceDN w:val="0"/>
              <w:adjustRightInd w:val="0"/>
              <w:snapToGrid w:val="0"/>
            </w:pPr>
            <w:r>
              <w:t>场址与当地的大气防护、水土资源保护、大自然保护及生态平衡要求相一致</w:t>
            </w:r>
          </w:p>
        </w:tc>
        <w:tc>
          <w:tcPr>
            <w:tcW w:w="475" w:type="pct"/>
            <w:vAlign w:val="center"/>
          </w:tcPr>
          <w:p w14:paraId="38405403" w14:textId="77777777" w:rsidR="00606029" w:rsidRDefault="00EA5B92">
            <w:pPr>
              <w:autoSpaceDE w:val="0"/>
              <w:autoSpaceDN w:val="0"/>
              <w:adjustRightInd w:val="0"/>
              <w:snapToGrid w:val="0"/>
              <w:jc w:val="center"/>
              <w:rPr>
                <w:lang w:eastAsia="en-US"/>
              </w:rPr>
            </w:pPr>
            <w:r>
              <w:rPr>
                <w:lang w:eastAsia="en-US"/>
              </w:rPr>
              <w:t>符合</w:t>
            </w:r>
          </w:p>
        </w:tc>
      </w:tr>
      <w:tr w:rsidR="00606029" w14:paraId="79226F20" w14:textId="77777777">
        <w:trPr>
          <w:trHeight w:val="57"/>
        </w:trPr>
        <w:tc>
          <w:tcPr>
            <w:tcW w:w="309" w:type="pct"/>
            <w:vAlign w:val="center"/>
          </w:tcPr>
          <w:p w14:paraId="3BDBD741" w14:textId="77777777" w:rsidR="00606029" w:rsidRPr="00EA49F1" w:rsidRDefault="00EA5B92">
            <w:pPr>
              <w:autoSpaceDE w:val="0"/>
              <w:autoSpaceDN w:val="0"/>
              <w:adjustRightInd w:val="0"/>
              <w:snapToGrid w:val="0"/>
              <w:jc w:val="center"/>
              <w:rPr>
                <w:lang w:eastAsia="en-US"/>
              </w:rPr>
            </w:pPr>
            <w:r w:rsidRPr="00EA49F1">
              <w:rPr>
                <w:lang w:eastAsia="en-US"/>
              </w:rPr>
              <w:t>12</w:t>
            </w:r>
          </w:p>
        </w:tc>
        <w:tc>
          <w:tcPr>
            <w:tcW w:w="2144" w:type="pct"/>
            <w:vAlign w:val="center"/>
          </w:tcPr>
          <w:p w14:paraId="7BDDBB24" w14:textId="77777777" w:rsidR="00606029" w:rsidRPr="00EA49F1" w:rsidRDefault="00EA5B92">
            <w:pPr>
              <w:autoSpaceDE w:val="0"/>
              <w:autoSpaceDN w:val="0"/>
              <w:adjustRightInd w:val="0"/>
              <w:snapToGrid w:val="0"/>
              <w:jc w:val="center"/>
            </w:pPr>
            <w:r w:rsidRPr="00EA49F1">
              <w:t>库容应保证填埋场使用年限在</w:t>
            </w:r>
            <w:r w:rsidRPr="00EA49F1">
              <w:t>10</w:t>
            </w:r>
            <w:r w:rsidRPr="00EA49F1">
              <w:t>年以上，特殊情况下不应低于</w:t>
            </w:r>
            <w:r w:rsidRPr="00EA49F1">
              <w:t>8</w:t>
            </w:r>
            <w:r w:rsidRPr="00EA49F1">
              <w:t>年</w:t>
            </w:r>
          </w:p>
        </w:tc>
        <w:tc>
          <w:tcPr>
            <w:tcW w:w="2070" w:type="pct"/>
            <w:vAlign w:val="center"/>
          </w:tcPr>
          <w:p w14:paraId="04614ED1" w14:textId="3288D77A" w:rsidR="00606029" w:rsidRPr="00EA49F1" w:rsidRDefault="00D83B21" w:rsidP="009151AB">
            <w:pPr>
              <w:autoSpaceDE w:val="0"/>
              <w:autoSpaceDN w:val="0"/>
              <w:adjustRightInd w:val="0"/>
              <w:snapToGrid w:val="0"/>
              <w:jc w:val="center"/>
            </w:pPr>
            <w:r w:rsidRPr="00EA49F1">
              <w:rPr>
                <w:rFonts w:hint="eastAsia"/>
              </w:rPr>
              <w:t>项目位于</w:t>
            </w:r>
            <w:r w:rsidR="00DD6ECD" w:rsidRPr="00EA49F1">
              <w:rPr>
                <w:rFonts w:hint="eastAsia"/>
              </w:rPr>
              <w:t>原大庆市</w:t>
            </w:r>
            <w:r w:rsidRPr="00EA49F1">
              <w:rPr>
                <w:rFonts w:hint="eastAsia"/>
              </w:rPr>
              <w:t>生活垃圾综合处理厂</w:t>
            </w:r>
            <w:r w:rsidR="00DD6ECD" w:rsidRPr="00EA49F1">
              <w:rPr>
                <w:rFonts w:hint="eastAsia"/>
              </w:rPr>
              <w:t>，</w:t>
            </w:r>
            <w:r w:rsidR="00EA5B92" w:rsidRPr="00EA49F1">
              <w:t>填埋场</w:t>
            </w:r>
            <w:r w:rsidR="00DD6ECD" w:rsidRPr="00EA49F1">
              <w:rPr>
                <w:rFonts w:hint="eastAsia"/>
              </w:rPr>
              <w:t>自</w:t>
            </w:r>
            <w:r w:rsidR="00DD6ECD" w:rsidRPr="00EA49F1">
              <w:rPr>
                <w:rFonts w:hint="eastAsia"/>
              </w:rPr>
              <w:t>2012</w:t>
            </w:r>
            <w:r w:rsidR="00DD6ECD" w:rsidRPr="00EA49F1">
              <w:rPr>
                <w:rFonts w:hint="eastAsia"/>
              </w:rPr>
              <w:t>年</w:t>
            </w:r>
            <w:r w:rsidR="00DD6ECD" w:rsidRPr="00EA49F1">
              <w:rPr>
                <w:rFonts w:hint="eastAsia"/>
              </w:rPr>
              <w:t>12</w:t>
            </w:r>
            <w:r w:rsidR="00DD6ECD" w:rsidRPr="00EA49F1">
              <w:rPr>
                <w:rFonts w:hint="eastAsia"/>
              </w:rPr>
              <w:t>月正式运行，至</w:t>
            </w:r>
            <w:r w:rsidR="00DD6ECD" w:rsidRPr="00EA49F1">
              <w:rPr>
                <w:rFonts w:hint="eastAsia"/>
              </w:rPr>
              <w:t>2023</w:t>
            </w:r>
            <w:r w:rsidR="00DD6ECD" w:rsidRPr="00EA49F1">
              <w:rPr>
                <w:rFonts w:hint="eastAsia"/>
              </w:rPr>
              <w:t>年</w:t>
            </w:r>
            <w:r w:rsidR="00DD6ECD" w:rsidRPr="00EA49F1">
              <w:rPr>
                <w:rFonts w:hint="eastAsia"/>
              </w:rPr>
              <w:t>12</w:t>
            </w:r>
            <w:r w:rsidR="00DD6ECD" w:rsidRPr="00EA49F1">
              <w:rPr>
                <w:rFonts w:hint="eastAsia"/>
              </w:rPr>
              <w:t>月封场，</w:t>
            </w:r>
            <w:r w:rsidR="0037274A" w:rsidRPr="0037274A">
              <w:t>大庆市生活垃圾综合处理厂填埋库区的生活垃圾挖出焚烧发电后，挖空库区可满足</w:t>
            </w:r>
            <w:r w:rsidR="004C33E4">
              <w:t>10</w:t>
            </w:r>
            <w:r w:rsidR="004C33E4">
              <w:t>年以上</w:t>
            </w:r>
            <w:r w:rsidR="0037274A" w:rsidRPr="0037274A">
              <w:t>飞灰填埋需求，</w:t>
            </w:r>
            <w:r w:rsidR="00DD6ECD" w:rsidRPr="00EA49F1">
              <w:rPr>
                <w:rFonts w:hint="eastAsia"/>
              </w:rPr>
              <w:t>本次改建将原渗滤液调节池改建为生活垃圾焚烧</w:t>
            </w:r>
            <w:r w:rsidR="009151AB">
              <w:t>飞灰填埋场，容积为</w:t>
            </w:r>
            <w:r w:rsidR="009151AB">
              <w:rPr>
                <w:rFonts w:hint="eastAsia"/>
              </w:rPr>
              <w:t>7316</w:t>
            </w:r>
            <w:r w:rsidR="009151AB">
              <w:t>m</w:t>
            </w:r>
            <w:r w:rsidR="00EA49F1" w:rsidRPr="00EA49F1">
              <w:rPr>
                <w:rFonts w:hint="eastAsia"/>
                <w:vertAlign w:val="superscript"/>
              </w:rPr>
              <w:t>3</w:t>
            </w:r>
            <w:r w:rsidR="00EA49F1" w:rsidRPr="00EA49F1">
              <w:rPr>
                <w:rFonts w:hint="eastAsia"/>
              </w:rPr>
              <w:t>，</w:t>
            </w:r>
            <w:r w:rsidR="00EA49F1" w:rsidRPr="00EA49F1">
              <w:t>使</w:t>
            </w:r>
            <w:r w:rsidR="00EA5B92" w:rsidRPr="00EA49F1">
              <w:t>用年限为</w:t>
            </w:r>
            <w:r w:rsidR="00EA49F1" w:rsidRPr="00EA49F1">
              <w:rPr>
                <w:rFonts w:hint="eastAsia"/>
              </w:rPr>
              <w:t>半</w:t>
            </w:r>
            <w:r w:rsidR="00EA5B92" w:rsidRPr="00EA49F1">
              <w:t>年</w:t>
            </w:r>
          </w:p>
        </w:tc>
        <w:tc>
          <w:tcPr>
            <w:tcW w:w="475" w:type="pct"/>
            <w:vAlign w:val="center"/>
          </w:tcPr>
          <w:p w14:paraId="2419496C" w14:textId="77777777" w:rsidR="00606029" w:rsidRPr="00EA49F1" w:rsidRDefault="00EA5B92">
            <w:pPr>
              <w:autoSpaceDE w:val="0"/>
              <w:autoSpaceDN w:val="0"/>
              <w:adjustRightInd w:val="0"/>
              <w:snapToGrid w:val="0"/>
              <w:jc w:val="center"/>
              <w:rPr>
                <w:lang w:eastAsia="en-US"/>
              </w:rPr>
            </w:pPr>
            <w:r w:rsidRPr="00EA49F1">
              <w:rPr>
                <w:lang w:eastAsia="en-US"/>
              </w:rPr>
              <w:t>符合</w:t>
            </w:r>
          </w:p>
        </w:tc>
      </w:tr>
      <w:tr w:rsidR="00606029" w14:paraId="7CEBD06F" w14:textId="77777777">
        <w:trPr>
          <w:trHeight w:val="57"/>
        </w:trPr>
        <w:tc>
          <w:tcPr>
            <w:tcW w:w="309" w:type="pct"/>
            <w:vAlign w:val="center"/>
          </w:tcPr>
          <w:p w14:paraId="390E15FD" w14:textId="77777777" w:rsidR="00606029" w:rsidRDefault="00EA5B92">
            <w:pPr>
              <w:autoSpaceDE w:val="0"/>
              <w:autoSpaceDN w:val="0"/>
              <w:adjustRightInd w:val="0"/>
              <w:snapToGrid w:val="0"/>
              <w:jc w:val="center"/>
              <w:rPr>
                <w:lang w:eastAsia="en-US"/>
              </w:rPr>
            </w:pPr>
            <w:r>
              <w:rPr>
                <w:lang w:eastAsia="en-US"/>
              </w:rPr>
              <w:t>13</w:t>
            </w:r>
          </w:p>
        </w:tc>
        <w:tc>
          <w:tcPr>
            <w:tcW w:w="2144" w:type="pct"/>
            <w:vAlign w:val="center"/>
          </w:tcPr>
          <w:p w14:paraId="6C6E4C05" w14:textId="77777777" w:rsidR="00606029" w:rsidRDefault="00EA5B92">
            <w:pPr>
              <w:autoSpaceDE w:val="0"/>
              <w:autoSpaceDN w:val="0"/>
              <w:adjustRightInd w:val="0"/>
              <w:snapToGrid w:val="0"/>
              <w:jc w:val="center"/>
              <w:rPr>
                <w:lang w:eastAsia="en-US"/>
              </w:rPr>
            </w:pPr>
            <w:r>
              <w:rPr>
                <w:lang w:eastAsia="en-US"/>
              </w:rPr>
              <w:t>交通方便，运距合理</w:t>
            </w:r>
          </w:p>
        </w:tc>
        <w:tc>
          <w:tcPr>
            <w:tcW w:w="2070" w:type="pct"/>
            <w:vAlign w:val="center"/>
          </w:tcPr>
          <w:p w14:paraId="5E675619" w14:textId="3AE64D81" w:rsidR="00606029" w:rsidRDefault="00D83B21">
            <w:pPr>
              <w:autoSpaceDE w:val="0"/>
              <w:autoSpaceDN w:val="0"/>
              <w:adjustRightInd w:val="0"/>
              <w:snapToGrid w:val="0"/>
              <w:jc w:val="center"/>
            </w:pPr>
            <w:r>
              <w:rPr>
                <w:rFonts w:hint="eastAsia"/>
              </w:rPr>
              <w:t>填埋区紧邻</w:t>
            </w:r>
            <w:r w:rsidR="00EA49F1">
              <w:rPr>
                <w:rFonts w:hint="eastAsia"/>
              </w:rPr>
              <w:t>飞灰稳定化暂存库</w:t>
            </w:r>
            <w:r>
              <w:rPr>
                <w:rFonts w:hint="eastAsia"/>
              </w:rPr>
              <w:t>，运输距离</w:t>
            </w:r>
            <w:r w:rsidR="004C33E4">
              <w:rPr>
                <w:rFonts w:hint="eastAsia"/>
              </w:rPr>
              <w:t>较近</w:t>
            </w:r>
          </w:p>
        </w:tc>
        <w:tc>
          <w:tcPr>
            <w:tcW w:w="475" w:type="pct"/>
            <w:vAlign w:val="center"/>
          </w:tcPr>
          <w:p w14:paraId="3D5EE7B5" w14:textId="77777777" w:rsidR="00606029" w:rsidRDefault="00EA5B92">
            <w:pPr>
              <w:autoSpaceDE w:val="0"/>
              <w:autoSpaceDN w:val="0"/>
              <w:adjustRightInd w:val="0"/>
              <w:snapToGrid w:val="0"/>
              <w:jc w:val="center"/>
              <w:rPr>
                <w:lang w:eastAsia="en-US"/>
              </w:rPr>
            </w:pPr>
            <w:r>
              <w:rPr>
                <w:lang w:eastAsia="en-US"/>
              </w:rPr>
              <w:t>符合</w:t>
            </w:r>
          </w:p>
        </w:tc>
      </w:tr>
      <w:tr w:rsidR="00606029" w14:paraId="150CA1FD" w14:textId="77777777">
        <w:trPr>
          <w:trHeight w:val="57"/>
        </w:trPr>
        <w:tc>
          <w:tcPr>
            <w:tcW w:w="309" w:type="pct"/>
            <w:vAlign w:val="center"/>
          </w:tcPr>
          <w:p w14:paraId="7DA82FAD" w14:textId="77777777" w:rsidR="00606029" w:rsidRDefault="00EA5B92">
            <w:pPr>
              <w:autoSpaceDE w:val="0"/>
              <w:autoSpaceDN w:val="0"/>
              <w:adjustRightInd w:val="0"/>
              <w:snapToGrid w:val="0"/>
              <w:jc w:val="center"/>
              <w:rPr>
                <w:lang w:eastAsia="en-US"/>
              </w:rPr>
            </w:pPr>
            <w:r>
              <w:rPr>
                <w:lang w:eastAsia="en-US"/>
              </w:rPr>
              <w:lastRenderedPageBreak/>
              <w:t>14</w:t>
            </w:r>
          </w:p>
        </w:tc>
        <w:tc>
          <w:tcPr>
            <w:tcW w:w="2144" w:type="pct"/>
            <w:vAlign w:val="center"/>
          </w:tcPr>
          <w:p w14:paraId="3839FBB4" w14:textId="77777777" w:rsidR="00606029" w:rsidRDefault="00EA5B92">
            <w:pPr>
              <w:autoSpaceDE w:val="0"/>
              <w:autoSpaceDN w:val="0"/>
              <w:adjustRightInd w:val="0"/>
              <w:snapToGrid w:val="0"/>
              <w:jc w:val="center"/>
            </w:pPr>
            <w:r>
              <w:t>人口密度、土地利用价值及征地费用均较低</w:t>
            </w:r>
          </w:p>
        </w:tc>
        <w:tc>
          <w:tcPr>
            <w:tcW w:w="2070" w:type="pct"/>
            <w:vAlign w:val="center"/>
          </w:tcPr>
          <w:p w14:paraId="237A0BF9" w14:textId="77777777" w:rsidR="00606029" w:rsidRDefault="00EA5B92">
            <w:pPr>
              <w:autoSpaceDE w:val="0"/>
              <w:autoSpaceDN w:val="0"/>
              <w:adjustRightInd w:val="0"/>
              <w:snapToGrid w:val="0"/>
              <w:jc w:val="center"/>
            </w:pPr>
            <w:r>
              <w:t>人口密度、土地利用价值及征地费用均较低</w:t>
            </w:r>
          </w:p>
        </w:tc>
        <w:tc>
          <w:tcPr>
            <w:tcW w:w="475" w:type="pct"/>
            <w:vAlign w:val="center"/>
          </w:tcPr>
          <w:p w14:paraId="1C2A124C" w14:textId="77777777" w:rsidR="00606029" w:rsidRDefault="00EA5B92">
            <w:pPr>
              <w:autoSpaceDE w:val="0"/>
              <w:autoSpaceDN w:val="0"/>
              <w:adjustRightInd w:val="0"/>
              <w:snapToGrid w:val="0"/>
              <w:jc w:val="center"/>
              <w:rPr>
                <w:lang w:eastAsia="en-US"/>
              </w:rPr>
            </w:pPr>
            <w:r>
              <w:rPr>
                <w:lang w:eastAsia="en-US"/>
              </w:rPr>
              <w:t>符合</w:t>
            </w:r>
          </w:p>
        </w:tc>
      </w:tr>
    </w:tbl>
    <w:p w14:paraId="20AF191D" w14:textId="77777777" w:rsidR="00606029" w:rsidRDefault="00EA5B92">
      <w:pPr>
        <w:autoSpaceDE w:val="0"/>
        <w:autoSpaceDN w:val="0"/>
        <w:jc w:val="center"/>
        <w:rPr>
          <w:b/>
          <w:bCs/>
        </w:rPr>
      </w:pPr>
      <w:r>
        <w:rPr>
          <w:b/>
          <w:bCs/>
        </w:rPr>
        <w:t>表</w:t>
      </w:r>
      <w:r>
        <w:rPr>
          <w:b/>
          <w:bCs/>
        </w:rPr>
        <w:t xml:space="preserve"> 3.2-2 </w:t>
      </w:r>
      <w:r>
        <w:rPr>
          <w:b/>
          <w:bCs/>
        </w:rPr>
        <w:t>与《生活垃圾填埋场污染控制标准》（</w:t>
      </w:r>
      <w:r>
        <w:rPr>
          <w:b/>
          <w:bCs/>
        </w:rPr>
        <w:t>GB16889-2024</w:t>
      </w:r>
      <w:r>
        <w:rPr>
          <w:b/>
          <w:bCs/>
        </w:rPr>
        <w:t>）符合性分析</w:t>
      </w:r>
    </w:p>
    <w:tbl>
      <w:tblPr>
        <w:tblStyle w:val="TableNormal"/>
        <w:tblW w:w="5018" w:type="pct"/>
        <w:tblInd w:w="0" w:type="dxa"/>
        <w:tblBorders>
          <w:top w:val="single" w:sz="4" w:space="0" w:color="auto"/>
          <w:left w:val="single" w:sz="4" w:space="0" w:color="auto"/>
          <w:bottom w:val="single" w:sz="4" w:space="0" w:color="auto"/>
          <w:right w:val="single" w:sz="4" w:space="0" w:color="auto"/>
          <w:insideH w:val="single" w:sz="2" w:space="0" w:color="000000"/>
          <w:insideV w:val="single" w:sz="2" w:space="0" w:color="000000"/>
        </w:tblBorders>
        <w:tblLook w:val="04A0" w:firstRow="1" w:lastRow="0" w:firstColumn="1" w:lastColumn="0" w:noHBand="0" w:noVBand="1"/>
      </w:tblPr>
      <w:tblGrid>
        <w:gridCol w:w="547"/>
        <w:gridCol w:w="3758"/>
        <w:gridCol w:w="3696"/>
        <w:gridCol w:w="865"/>
      </w:tblGrid>
      <w:tr w:rsidR="00606029" w14:paraId="7A57A565" w14:textId="77777777">
        <w:trPr>
          <w:trHeight w:val="57"/>
        </w:trPr>
        <w:tc>
          <w:tcPr>
            <w:tcW w:w="308" w:type="pct"/>
            <w:vAlign w:val="center"/>
          </w:tcPr>
          <w:p w14:paraId="78633BD5" w14:textId="77777777" w:rsidR="00606029" w:rsidRDefault="00EA5B92">
            <w:pPr>
              <w:autoSpaceDE w:val="0"/>
              <w:autoSpaceDN w:val="0"/>
              <w:adjustRightInd w:val="0"/>
              <w:snapToGrid w:val="0"/>
              <w:jc w:val="center"/>
              <w:rPr>
                <w:lang w:eastAsia="en-US"/>
              </w:rPr>
            </w:pPr>
            <w:r>
              <w:rPr>
                <w:lang w:eastAsia="en-US"/>
              </w:rPr>
              <w:t>序号</w:t>
            </w:r>
          </w:p>
        </w:tc>
        <w:tc>
          <w:tcPr>
            <w:tcW w:w="2119" w:type="pct"/>
            <w:vAlign w:val="center"/>
          </w:tcPr>
          <w:p w14:paraId="11FB5377" w14:textId="77777777" w:rsidR="00606029" w:rsidRDefault="00EA5B92">
            <w:pPr>
              <w:autoSpaceDE w:val="0"/>
              <w:autoSpaceDN w:val="0"/>
              <w:adjustRightInd w:val="0"/>
              <w:snapToGrid w:val="0"/>
              <w:jc w:val="center"/>
              <w:rPr>
                <w:lang w:eastAsia="en-US"/>
              </w:rPr>
            </w:pPr>
            <w:r>
              <w:rPr>
                <w:lang w:eastAsia="en-US"/>
              </w:rPr>
              <w:t>GB16889-20</w:t>
            </w:r>
            <w:r>
              <w:t>24</w:t>
            </w:r>
            <w:r>
              <w:rPr>
                <w:lang w:eastAsia="en-US"/>
              </w:rPr>
              <w:t>要求</w:t>
            </w:r>
          </w:p>
        </w:tc>
        <w:tc>
          <w:tcPr>
            <w:tcW w:w="2084" w:type="pct"/>
            <w:vAlign w:val="center"/>
          </w:tcPr>
          <w:p w14:paraId="71BDC416" w14:textId="77777777" w:rsidR="00606029" w:rsidRDefault="00EA5B92">
            <w:pPr>
              <w:autoSpaceDE w:val="0"/>
              <w:autoSpaceDN w:val="0"/>
              <w:adjustRightInd w:val="0"/>
              <w:snapToGrid w:val="0"/>
              <w:jc w:val="center"/>
              <w:rPr>
                <w:lang w:eastAsia="en-US"/>
              </w:rPr>
            </w:pPr>
            <w:r>
              <w:rPr>
                <w:lang w:eastAsia="en-US"/>
              </w:rPr>
              <w:t>本项目</w:t>
            </w:r>
          </w:p>
        </w:tc>
        <w:tc>
          <w:tcPr>
            <w:tcW w:w="488" w:type="pct"/>
            <w:vAlign w:val="center"/>
          </w:tcPr>
          <w:p w14:paraId="18186140" w14:textId="77777777" w:rsidR="00606029" w:rsidRDefault="00EA5B92">
            <w:pPr>
              <w:autoSpaceDE w:val="0"/>
              <w:autoSpaceDN w:val="0"/>
              <w:adjustRightInd w:val="0"/>
              <w:snapToGrid w:val="0"/>
              <w:jc w:val="center"/>
              <w:rPr>
                <w:lang w:eastAsia="en-US"/>
              </w:rPr>
            </w:pPr>
            <w:r>
              <w:rPr>
                <w:lang w:eastAsia="en-US"/>
              </w:rPr>
              <w:t>是否符合要求</w:t>
            </w:r>
          </w:p>
        </w:tc>
      </w:tr>
      <w:tr w:rsidR="00606029" w14:paraId="674B134C" w14:textId="77777777">
        <w:trPr>
          <w:trHeight w:val="57"/>
        </w:trPr>
        <w:tc>
          <w:tcPr>
            <w:tcW w:w="308" w:type="pct"/>
            <w:vAlign w:val="center"/>
          </w:tcPr>
          <w:p w14:paraId="0F710908" w14:textId="77777777" w:rsidR="00606029" w:rsidRDefault="00EA5B92">
            <w:pPr>
              <w:autoSpaceDE w:val="0"/>
              <w:autoSpaceDN w:val="0"/>
              <w:adjustRightInd w:val="0"/>
              <w:snapToGrid w:val="0"/>
              <w:jc w:val="center"/>
              <w:rPr>
                <w:lang w:eastAsia="en-US"/>
              </w:rPr>
            </w:pPr>
            <w:r>
              <w:rPr>
                <w:lang w:eastAsia="en-US"/>
              </w:rPr>
              <w:t>1</w:t>
            </w:r>
          </w:p>
        </w:tc>
        <w:tc>
          <w:tcPr>
            <w:tcW w:w="2119" w:type="pct"/>
            <w:vAlign w:val="center"/>
          </w:tcPr>
          <w:p w14:paraId="7E743CC3" w14:textId="77777777" w:rsidR="00606029" w:rsidRDefault="00EA5B92">
            <w:pPr>
              <w:autoSpaceDE w:val="0"/>
              <w:autoSpaceDN w:val="0"/>
              <w:adjustRightInd w:val="0"/>
              <w:snapToGrid w:val="0"/>
              <w:jc w:val="center"/>
            </w:pPr>
            <w:r>
              <w:t>生活垃圾填埋场的选址应符合区域性环境规划、环境卫生设施建设规划和当地的城市规划。</w:t>
            </w:r>
          </w:p>
        </w:tc>
        <w:tc>
          <w:tcPr>
            <w:tcW w:w="2084" w:type="pct"/>
            <w:vAlign w:val="center"/>
          </w:tcPr>
          <w:p w14:paraId="4C4C0245" w14:textId="3567E8D5" w:rsidR="00606029" w:rsidRDefault="004C33E4" w:rsidP="004C33E4">
            <w:pPr>
              <w:autoSpaceDE w:val="0"/>
              <w:autoSpaceDN w:val="0"/>
              <w:adjustRightInd w:val="0"/>
              <w:snapToGrid w:val="0"/>
            </w:pPr>
            <w:r>
              <w:rPr>
                <w:rFonts w:hint="eastAsia"/>
              </w:rPr>
              <w:t>场址</w:t>
            </w:r>
            <w:r w:rsidR="00EA5B92">
              <w:t>符合《</w:t>
            </w:r>
            <w:r w:rsidR="00D83B21" w:rsidRPr="00D83B21">
              <w:rPr>
                <w:rFonts w:hint="eastAsia"/>
              </w:rPr>
              <w:t>大庆国土空间总体规划</w:t>
            </w:r>
            <w:r w:rsidR="00D83B21" w:rsidRPr="00D83B21">
              <w:rPr>
                <w:rFonts w:hint="eastAsia"/>
              </w:rPr>
              <w:t>2021-2035</w:t>
            </w:r>
            <w:r w:rsidR="00EA5B92">
              <w:t>》《</w:t>
            </w:r>
            <w:r w:rsidR="004E5FFD">
              <w:t>大庆市</w:t>
            </w:r>
            <w:r w:rsidR="00EA5B92">
              <w:t>“</w:t>
            </w:r>
            <w:r w:rsidR="00EA5B92">
              <w:t>十四五</w:t>
            </w:r>
            <w:r w:rsidR="00EA5B92">
              <w:t>”</w:t>
            </w:r>
            <w:r w:rsidR="00EA5B92">
              <w:t>生态环境保护规划》等相关规划要求</w:t>
            </w:r>
          </w:p>
        </w:tc>
        <w:tc>
          <w:tcPr>
            <w:tcW w:w="488" w:type="pct"/>
            <w:vAlign w:val="center"/>
          </w:tcPr>
          <w:p w14:paraId="1AFFED9B" w14:textId="77777777" w:rsidR="00606029" w:rsidRDefault="00EA5B92">
            <w:pPr>
              <w:autoSpaceDE w:val="0"/>
              <w:autoSpaceDN w:val="0"/>
              <w:adjustRightInd w:val="0"/>
              <w:snapToGrid w:val="0"/>
              <w:jc w:val="center"/>
              <w:rPr>
                <w:lang w:eastAsia="en-US"/>
              </w:rPr>
            </w:pPr>
            <w:r>
              <w:rPr>
                <w:lang w:eastAsia="en-US"/>
              </w:rPr>
              <w:t>符合</w:t>
            </w:r>
          </w:p>
        </w:tc>
      </w:tr>
      <w:tr w:rsidR="00606029" w14:paraId="77207E76" w14:textId="77777777">
        <w:trPr>
          <w:trHeight w:val="57"/>
        </w:trPr>
        <w:tc>
          <w:tcPr>
            <w:tcW w:w="308" w:type="pct"/>
            <w:vAlign w:val="center"/>
          </w:tcPr>
          <w:p w14:paraId="46302918" w14:textId="77777777" w:rsidR="00606029" w:rsidRDefault="00EA5B92">
            <w:pPr>
              <w:autoSpaceDE w:val="0"/>
              <w:autoSpaceDN w:val="0"/>
              <w:adjustRightInd w:val="0"/>
              <w:snapToGrid w:val="0"/>
              <w:jc w:val="center"/>
              <w:rPr>
                <w:lang w:eastAsia="en-US"/>
              </w:rPr>
            </w:pPr>
            <w:r>
              <w:rPr>
                <w:lang w:eastAsia="en-US"/>
              </w:rPr>
              <w:t>2</w:t>
            </w:r>
          </w:p>
        </w:tc>
        <w:tc>
          <w:tcPr>
            <w:tcW w:w="2119" w:type="pct"/>
            <w:vAlign w:val="center"/>
          </w:tcPr>
          <w:p w14:paraId="40A5596E" w14:textId="77777777" w:rsidR="00606029" w:rsidRDefault="00EA5B92">
            <w:pPr>
              <w:autoSpaceDE w:val="0"/>
              <w:autoSpaceDN w:val="0"/>
              <w:adjustRightInd w:val="0"/>
              <w:snapToGrid w:val="0"/>
              <w:jc w:val="center"/>
            </w:pPr>
            <w:r>
              <w:t>生活垃圾填埋场场址不应选在城市工农业发展规划区、农业保护区、自然保护区、风景名胜区、文物（考古）保护区、生活饮用水水源保护区、供水远景规划区、矿产资源储备区、军事要地、国家保密地区和其他需要特别保护的区域内。</w:t>
            </w:r>
          </w:p>
        </w:tc>
        <w:tc>
          <w:tcPr>
            <w:tcW w:w="2084" w:type="pct"/>
            <w:vAlign w:val="center"/>
          </w:tcPr>
          <w:p w14:paraId="2264B764" w14:textId="5CE62187" w:rsidR="00606029" w:rsidRDefault="00EA5B92">
            <w:pPr>
              <w:autoSpaceDE w:val="0"/>
              <w:autoSpaceDN w:val="0"/>
              <w:adjustRightInd w:val="0"/>
              <w:snapToGrid w:val="0"/>
              <w:jc w:val="center"/>
            </w:pPr>
            <w:r>
              <w:t>场址不属于城市工农业发展规划区、农业保护区、自然保护区、风景名胜区、文物（考古）保护区、生活饮用水水源保护区、供水远景规划区、矿产资源储备区、军事要地、国家保密地区和其他需要特别保护的区域</w:t>
            </w:r>
          </w:p>
        </w:tc>
        <w:tc>
          <w:tcPr>
            <w:tcW w:w="488" w:type="pct"/>
            <w:vAlign w:val="center"/>
          </w:tcPr>
          <w:p w14:paraId="0CDC366C" w14:textId="77777777" w:rsidR="00606029" w:rsidRDefault="00EA5B92">
            <w:pPr>
              <w:autoSpaceDE w:val="0"/>
              <w:autoSpaceDN w:val="0"/>
              <w:adjustRightInd w:val="0"/>
              <w:snapToGrid w:val="0"/>
              <w:jc w:val="center"/>
              <w:rPr>
                <w:lang w:eastAsia="en-US"/>
              </w:rPr>
            </w:pPr>
            <w:r>
              <w:rPr>
                <w:lang w:eastAsia="en-US"/>
              </w:rPr>
              <w:t>符合</w:t>
            </w:r>
          </w:p>
        </w:tc>
      </w:tr>
      <w:tr w:rsidR="00606029" w14:paraId="3AB0EE4E" w14:textId="77777777">
        <w:trPr>
          <w:trHeight w:val="57"/>
        </w:trPr>
        <w:tc>
          <w:tcPr>
            <w:tcW w:w="308" w:type="pct"/>
            <w:tcBorders>
              <w:bottom w:val="single" w:sz="10" w:space="0" w:color="000000"/>
            </w:tcBorders>
            <w:vAlign w:val="center"/>
          </w:tcPr>
          <w:p w14:paraId="34A05BAB" w14:textId="77777777" w:rsidR="00606029" w:rsidRDefault="00EA5B92">
            <w:pPr>
              <w:autoSpaceDE w:val="0"/>
              <w:autoSpaceDN w:val="0"/>
              <w:adjustRightInd w:val="0"/>
              <w:snapToGrid w:val="0"/>
              <w:jc w:val="center"/>
              <w:rPr>
                <w:lang w:eastAsia="en-US"/>
              </w:rPr>
            </w:pPr>
            <w:r>
              <w:rPr>
                <w:lang w:eastAsia="en-US"/>
              </w:rPr>
              <w:t>3</w:t>
            </w:r>
          </w:p>
        </w:tc>
        <w:tc>
          <w:tcPr>
            <w:tcW w:w="2119" w:type="pct"/>
            <w:tcBorders>
              <w:bottom w:val="single" w:sz="10" w:space="0" w:color="000000"/>
            </w:tcBorders>
            <w:vAlign w:val="center"/>
          </w:tcPr>
          <w:p w14:paraId="06E9910E" w14:textId="77777777" w:rsidR="00606029" w:rsidRDefault="00EA5B92">
            <w:pPr>
              <w:autoSpaceDE w:val="0"/>
              <w:autoSpaceDN w:val="0"/>
              <w:adjustRightInd w:val="0"/>
              <w:snapToGrid w:val="0"/>
              <w:jc w:val="center"/>
            </w:pPr>
            <w:r>
              <w:t>生活垃圾填埋场选址的标高应位于重现期不小于</w:t>
            </w:r>
            <w:r>
              <w:t>50</w:t>
            </w:r>
            <w:r>
              <w:t>年一遇的洪水位之上，并建设在长远规划中的水库等人工蓄水设施的淹没区和保护区之外。</w:t>
            </w:r>
          </w:p>
        </w:tc>
        <w:tc>
          <w:tcPr>
            <w:tcW w:w="2084" w:type="pct"/>
            <w:tcBorders>
              <w:bottom w:val="single" w:sz="10" w:space="0" w:color="000000"/>
            </w:tcBorders>
            <w:vAlign w:val="center"/>
          </w:tcPr>
          <w:p w14:paraId="496E8912" w14:textId="599EAA14" w:rsidR="00606029" w:rsidRDefault="00EA5B92">
            <w:pPr>
              <w:autoSpaceDE w:val="0"/>
              <w:autoSpaceDN w:val="0"/>
              <w:adjustRightInd w:val="0"/>
              <w:snapToGrid w:val="0"/>
              <w:jc w:val="center"/>
            </w:pPr>
            <w:r>
              <w:t>填埋</w:t>
            </w:r>
            <w:r w:rsidR="00D83B21">
              <w:rPr>
                <w:rFonts w:hint="eastAsia"/>
              </w:rPr>
              <w:t>区</w:t>
            </w:r>
            <w:r>
              <w:t>的防洪标准按照不小于</w:t>
            </w:r>
            <w:r>
              <w:t>50</w:t>
            </w:r>
            <w:r>
              <w:t>年一遇洪水位考虑。</w:t>
            </w:r>
          </w:p>
        </w:tc>
        <w:tc>
          <w:tcPr>
            <w:tcW w:w="488" w:type="pct"/>
            <w:tcBorders>
              <w:bottom w:val="single" w:sz="10" w:space="0" w:color="000000"/>
            </w:tcBorders>
            <w:vAlign w:val="center"/>
          </w:tcPr>
          <w:p w14:paraId="308D6037" w14:textId="77777777" w:rsidR="00606029" w:rsidRDefault="00EA5B92">
            <w:pPr>
              <w:autoSpaceDE w:val="0"/>
              <w:autoSpaceDN w:val="0"/>
              <w:adjustRightInd w:val="0"/>
              <w:snapToGrid w:val="0"/>
              <w:jc w:val="center"/>
              <w:rPr>
                <w:lang w:eastAsia="en-US"/>
              </w:rPr>
            </w:pPr>
            <w:r>
              <w:rPr>
                <w:lang w:eastAsia="en-US"/>
              </w:rPr>
              <w:t>符合</w:t>
            </w:r>
          </w:p>
        </w:tc>
      </w:tr>
      <w:tr w:rsidR="00606029" w14:paraId="0130694E" w14:textId="77777777">
        <w:trPr>
          <w:trHeight w:val="57"/>
        </w:trPr>
        <w:tc>
          <w:tcPr>
            <w:tcW w:w="308" w:type="pct"/>
            <w:tcBorders>
              <w:top w:val="single" w:sz="10" w:space="0" w:color="000000"/>
            </w:tcBorders>
            <w:vAlign w:val="center"/>
          </w:tcPr>
          <w:p w14:paraId="30B2F563" w14:textId="77777777" w:rsidR="00606029" w:rsidRDefault="00EA5B92">
            <w:pPr>
              <w:autoSpaceDE w:val="0"/>
              <w:autoSpaceDN w:val="0"/>
              <w:adjustRightInd w:val="0"/>
              <w:snapToGrid w:val="0"/>
              <w:jc w:val="center"/>
              <w:rPr>
                <w:lang w:eastAsia="en-US"/>
              </w:rPr>
            </w:pPr>
            <w:r>
              <w:rPr>
                <w:lang w:eastAsia="en-US"/>
              </w:rPr>
              <w:t>4</w:t>
            </w:r>
          </w:p>
        </w:tc>
        <w:tc>
          <w:tcPr>
            <w:tcW w:w="2119" w:type="pct"/>
            <w:tcBorders>
              <w:top w:val="single" w:sz="10" w:space="0" w:color="000000"/>
            </w:tcBorders>
            <w:vAlign w:val="center"/>
          </w:tcPr>
          <w:p w14:paraId="5C7CA2A4" w14:textId="0E73E8E3" w:rsidR="00606029" w:rsidRDefault="00EA5B92">
            <w:pPr>
              <w:autoSpaceDE w:val="0"/>
              <w:autoSpaceDN w:val="0"/>
              <w:adjustRightInd w:val="0"/>
              <w:snapToGrid w:val="0"/>
              <w:jc w:val="center"/>
            </w:pPr>
            <w:r>
              <w:t>生活垃圾填埋场场址的选择应避开下列区域</w:t>
            </w:r>
            <w:r w:rsidR="006A52CC">
              <w:t>：</w:t>
            </w:r>
            <w:r>
              <w:t>破坏性地震及活动构造区；活动中的坍塌、滑坡和隆起地带；活动中的断裂带；石灰岩熔洞发育带；废弃矿区的活动塌陷区；活动沙丘区；海啸及涌浪影响区；湿地；尚未稳定的冲积扇及冲沟地区；泥炭以及其他可能危及填埋场安全的区域。</w:t>
            </w:r>
          </w:p>
        </w:tc>
        <w:tc>
          <w:tcPr>
            <w:tcW w:w="2084" w:type="pct"/>
            <w:tcBorders>
              <w:top w:val="single" w:sz="10" w:space="0" w:color="000000"/>
            </w:tcBorders>
            <w:vAlign w:val="center"/>
          </w:tcPr>
          <w:p w14:paraId="347858F4" w14:textId="068FB849" w:rsidR="00606029" w:rsidRDefault="00EA5B92">
            <w:pPr>
              <w:autoSpaceDE w:val="0"/>
              <w:autoSpaceDN w:val="0"/>
              <w:adjustRightInd w:val="0"/>
              <w:snapToGrid w:val="0"/>
              <w:jc w:val="center"/>
            </w:pPr>
            <w:r>
              <w:t>根据</w:t>
            </w:r>
            <w:r w:rsidR="004C33E4" w:rsidRPr="004C33E4">
              <w:t>《大庆市生活垃圾综合处理厂环境综合评估报告》</w:t>
            </w:r>
            <w:r w:rsidRPr="00EA49F1">
              <w:t>，场址地质稳定，不属于以下地区</w:t>
            </w:r>
            <w:r w:rsidR="006A52CC" w:rsidRPr="00EA49F1">
              <w:t>：</w:t>
            </w:r>
            <w:r w:rsidRPr="00EA49F1">
              <w:t>破坏性地震及活动构造区；活动中的坍塌、滑坡和隆起地带；活动中的断裂带；石灰岩熔洞发育带；废弃矿区的活动塌陷区；活动沙丘区；海啸及涌浪影响区；湿地；尚未稳定的冲积扇及冲沟地区；泥炭以及其他可能危及填埋场安全的区域。</w:t>
            </w:r>
          </w:p>
        </w:tc>
        <w:tc>
          <w:tcPr>
            <w:tcW w:w="488" w:type="pct"/>
            <w:tcBorders>
              <w:top w:val="single" w:sz="10" w:space="0" w:color="000000"/>
            </w:tcBorders>
            <w:vAlign w:val="center"/>
          </w:tcPr>
          <w:p w14:paraId="07F94749" w14:textId="77777777" w:rsidR="00606029" w:rsidRDefault="00EA5B92">
            <w:pPr>
              <w:autoSpaceDE w:val="0"/>
              <w:autoSpaceDN w:val="0"/>
              <w:adjustRightInd w:val="0"/>
              <w:snapToGrid w:val="0"/>
              <w:jc w:val="center"/>
              <w:rPr>
                <w:lang w:eastAsia="en-US"/>
              </w:rPr>
            </w:pPr>
            <w:r>
              <w:rPr>
                <w:lang w:eastAsia="en-US"/>
              </w:rPr>
              <w:t>符合</w:t>
            </w:r>
          </w:p>
        </w:tc>
      </w:tr>
      <w:tr w:rsidR="00606029" w14:paraId="22C16777" w14:textId="77777777">
        <w:trPr>
          <w:trHeight w:val="57"/>
        </w:trPr>
        <w:tc>
          <w:tcPr>
            <w:tcW w:w="308" w:type="pct"/>
            <w:vAlign w:val="center"/>
          </w:tcPr>
          <w:p w14:paraId="39448823" w14:textId="77777777" w:rsidR="00606029" w:rsidRDefault="00EA5B92">
            <w:pPr>
              <w:autoSpaceDE w:val="0"/>
              <w:autoSpaceDN w:val="0"/>
              <w:adjustRightInd w:val="0"/>
              <w:snapToGrid w:val="0"/>
              <w:jc w:val="center"/>
              <w:rPr>
                <w:lang w:eastAsia="en-US"/>
              </w:rPr>
            </w:pPr>
            <w:r>
              <w:rPr>
                <w:lang w:eastAsia="en-US"/>
              </w:rPr>
              <w:t>5</w:t>
            </w:r>
          </w:p>
        </w:tc>
        <w:tc>
          <w:tcPr>
            <w:tcW w:w="2119" w:type="pct"/>
            <w:vAlign w:val="center"/>
          </w:tcPr>
          <w:p w14:paraId="15278667" w14:textId="77777777" w:rsidR="00606029" w:rsidRDefault="00EA5B92">
            <w:pPr>
              <w:autoSpaceDE w:val="0"/>
              <w:autoSpaceDN w:val="0"/>
              <w:adjustRightInd w:val="0"/>
              <w:snapToGrid w:val="0"/>
              <w:jc w:val="center"/>
            </w:pPr>
            <w:r>
              <w:t>生活垃圾填埋场场址的位置及与周围人群的距离应依据环境影响评价结论确定，并经地方环境保护行政主管部门批准。</w:t>
            </w:r>
          </w:p>
        </w:tc>
        <w:tc>
          <w:tcPr>
            <w:tcW w:w="2084" w:type="pct"/>
            <w:vAlign w:val="center"/>
          </w:tcPr>
          <w:p w14:paraId="285BDAA3" w14:textId="45A6182D" w:rsidR="00606029" w:rsidRDefault="00EA5B92">
            <w:pPr>
              <w:autoSpaceDE w:val="0"/>
              <w:autoSpaceDN w:val="0"/>
              <w:adjustRightInd w:val="0"/>
              <w:snapToGrid w:val="0"/>
              <w:jc w:val="center"/>
            </w:pPr>
            <w:r>
              <w:t>本项目飞灰填埋区位于</w:t>
            </w:r>
            <w:r w:rsidR="004E5FFD">
              <w:t>大庆市</w:t>
            </w:r>
            <w:r>
              <w:t>生活垃圾</w:t>
            </w:r>
            <w:r w:rsidR="00D83B21">
              <w:rPr>
                <w:rFonts w:hint="eastAsia"/>
              </w:rPr>
              <w:t>综合处理厂</w:t>
            </w:r>
            <w:r>
              <w:t>用地范围内，已取得原</w:t>
            </w:r>
            <w:r w:rsidR="00B336D5" w:rsidRPr="00B336D5">
              <w:rPr>
                <w:rFonts w:hint="eastAsia"/>
              </w:rPr>
              <w:t>黑龙江省环境保护厅</w:t>
            </w:r>
            <w:r w:rsidR="004C33E4">
              <w:rPr>
                <w:rFonts w:hint="eastAsia"/>
              </w:rPr>
              <w:t>《</w:t>
            </w:r>
            <w:r w:rsidR="004C33E4">
              <w:t>关于对</w:t>
            </w:r>
            <w:r w:rsidR="004C33E4" w:rsidRPr="00B336D5">
              <w:rPr>
                <w:rFonts w:hint="eastAsia"/>
              </w:rPr>
              <w:t>大庆市生活垃圾综合处理厂工程环境影响报告书</w:t>
            </w:r>
            <w:r w:rsidR="004C33E4">
              <w:t>的批复</w:t>
            </w:r>
            <w:r w:rsidR="004C33E4">
              <w:rPr>
                <w:rFonts w:hint="eastAsia"/>
              </w:rPr>
              <w:t>》</w:t>
            </w:r>
            <w:r w:rsidR="00B336D5">
              <w:rPr>
                <w:rFonts w:hint="eastAsia"/>
              </w:rPr>
              <w:t>（</w:t>
            </w:r>
            <w:r w:rsidR="00B336D5" w:rsidRPr="00B336D5">
              <w:rPr>
                <w:rFonts w:hint="eastAsia"/>
              </w:rPr>
              <w:t>黑环审﹝</w:t>
            </w:r>
            <w:r w:rsidR="00B336D5" w:rsidRPr="00B336D5">
              <w:rPr>
                <w:rFonts w:hint="eastAsia"/>
              </w:rPr>
              <w:t>2009</w:t>
            </w:r>
            <w:r w:rsidR="00B336D5" w:rsidRPr="00B336D5">
              <w:rPr>
                <w:rFonts w:hint="eastAsia"/>
              </w:rPr>
              <w:t>﹞</w:t>
            </w:r>
            <w:r w:rsidR="00B336D5" w:rsidRPr="00B336D5">
              <w:rPr>
                <w:rFonts w:hint="eastAsia"/>
              </w:rPr>
              <w:t>62</w:t>
            </w:r>
            <w:r w:rsidR="00B336D5" w:rsidRPr="00B336D5">
              <w:rPr>
                <w:rFonts w:hint="eastAsia"/>
              </w:rPr>
              <w:t>号</w:t>
            </w:r>
            <w:r w:rsidR="00B336D5">
              <w:rPr>
                <w:rFonts w:hint="eastAsia"/>
              </w:rPr>
              <w:t>）</w:t>
            </w:r>
          </w:p>
        </w:tc>
        <w:tc>
          <w:tcPr>
            <w:tcW w:w="488" w:type="pct"/>
            <w:vAlign w:val="center"/>
          </w:tcPr>
          <w:p w14:paraId="66DF620D" w14:textId="77777777" w:rsidR="00606029" w:rsidRDefault="00EA5B92">
            <w:pPr>
              <w:autoSpaceDE w:val="0"/>
              <w:autoSpaceDN w:val="0"/>
              <w:adjustRightInd w:val="0"/>
              <w:snapToGrid w:val="0"/>
              <w:jc w:val="center"/>
              <w:rPr>
                <w:lang w:eastAsia="en-US"/>
              </w:rPr>
            </w:pPr>
            <w:r>
              <w:rPr>
                <w:lang w:eastAsia="en-US"/>
              </w:rPr>
              <w:t>符合</w:t>
            </w:r>
          </w:p>
        </w:tc>
      </w:tr>
    </w:tbl>
    <w:p w14:paraId="70AAF26E" w14:textId="405648C4" w:rsidR="00606029" w:rsidRDefault="004C33E4">
      <w:pPr>
        <w:pStyle w:val="affffff4"/>
        <w:adjustRightInd/>
        <w:snapToGrid/>
        <w:spacing w:beforeLines="50" w:before="120"/>
      </w:pPr>
      <w:r>
        <w:rPr>
          <w:rFonts w:hint="eastAsia"/>
        </w:rPr>
        <w:t>综上所述</w:t>
      </w:r>
      <w:r w:rsidR="00EA5B92">
        <w:t>，项目</w:t>
      </w:r>
      <w:r>
        <w:rPr>
          <w:rFonts w:hint="eastAsia"/>
        </w:rPr>
        <w:t>选址</w:t>
      </w:r>
      <w:r w:rsidR="00EA5B92">
        <w:t>符合填埋场建设的相关标准和规范的要求，选址合理。</w:t>
      </w:r>
    </w:p>
    <w:p w14:paraId="69235A9F" w14:textId="349017C1" w:rsidR="00606029" w:rsidRDefault="00EA5B92">
      <w:pPr>
        <w:pStyle w:val="2"/>
      </w:pPr>
      <w:bookmarkStart w:id="157" w:name="_Toc18738"/>
      <w:bookmarkStart w:id="158" w:name="_Toc220680486"/>
      <w:r>
        <w:t>3.3</w:t>
      </w:r>
      <w:bookmarkEnd w:id="152"/>
      <w:bookmarkEnd w:id="157"/>
      <w:r w:rsidR="00685B7E" w:rsidRPr="00685B7E">
        <w:rPr>
          <w:rFonts w:hint="eastAsia"/>
        </w:rPr>
        <w:t>生态环境分区管控分析</w:t>
      </w:r>
      <w:bookmarkEnd w:id="158"/>
    </w:p>
    <w:p w14:paraId="0C587EED" w14:textId="38BDA407" w:rsidR="00606029" w:rsidRDefault="00EA5B92">
      <w:pPr>
        <w:pStyle w:val="3"/>
      </w:pPr>
      <w:bookmarkStart w:id="159" w:name="_Toc220680487"/>
      <w:r>
        <w:t>3.3.1</w:t>
      </w:r>
      <w:r w:rsidR="005F27B2" w:rsidRPr="005F27B2">
        <w:rPr>
          <w:rFonts w:hint="eastAsia"/>
        </w:rPr>
        <w:t>“三线一单”符合性分析</w:t>
      </w:r>
      <w:bookmarkEnd w:id="159"/>
    </w:p>
    <w:p w14:paraId="623F656A" w14:textId="311DE3ED" w:rsidR="00A4011B" w:rsidRDefault="008A1FCE" w:rsidP="00A4011B">
      <w:pPr>
        <w:pStyle w:val="affffff4"/>
      </w:pPr>
      <w:r w:rsidRPr="008A1FCE">
        <w:rPr>
          <w:rFonts w:hint="eastAsia"/>
        </w:rPr>
        <w:t>根据《黑龙江省人民政府关于实施“三线一单”生态环境分区管控的意见》（黑政发〔</w:t>
      </w:r>
      <w:r w:rsidRPr="008A1FCE">
        <w:rPr>
          <w:rFonts w:hint="eastAsia"/>
        </w:rPr>
        <w:t>2020</w:t>
      </w:r>
      <w:r w:rsidRPr="008A1FCE">
        <w:rPr>
          <w:rFonts w:hint="eastAsia"/>
        </w:rPr>
        <w:t>〕</w:t>
      </w:r>
      <w:r w:rsidRPr="008A1FCE">
        <w:rPr>
          <w:rFonts w:hint="eastAsia"/>
        </w:rPr>
        <w:t>14</w:t>
      </w:r>
      <w:r w:rsidRPr="008A1FCE">
        <w:rPr>
          <w:rFonts w:hint="eastAsia"/>
        </w:rPr>
        <w:t>号）、《大庆市人民政府关于实施“三线一单”生态环境分区管控的意见》（庆政规</w:t>
      </w:r>
      <w:r w:rsidRPr="008A1FCE">
        <w:rPr>
          <w:rFonts w:hint="eastAsia"/>
        </w:rPr>
        <w:t>[2021]3</w:t>
      </w:r>
      <w:r w:rsidRPr="008A1FCE">
        <w:rPr>
          <w:rFonts w:hint="eastAsia"/>
        </w:rPr>
        <w:t>号），本项目不在生态保护红线范围内；本项目位于</w:t>
      </w:r>
      <w:r w:rsidR="00A4011B">
        <w:rPr>
          <w:rFonts w:hint="eastAsia"/>
        </w:rPr>
        <w:t>大庆市龙凤</w:t>
      </w:r>
      <w:r w:rsidRPr="008A1FCE">
        <w:rPr>
          <w:rFonts w:hint="eastAsia"/>
        </w:rPr>
        <w:t>区水环境工业污染重点管控区</w:t>
      </w:r>
      <w:r w:rsidR="00A4011B">
        <w:rPr>
          <w:rFonts w:hint="eastAsia"/>
        </w:rPr>
        <w:t>（</w:t>
      </w:r>
      <w:r w:rsidR="00A4011B" w:rsidRPr="00A4011B">
        <w:rPr>
          <w:rFonts w:hint="eastAsia"/>
        </w:rPr>
        <w:t>安肇新河古恰泄洪闸口龙凤区</w:t>
      </w:r>
      <w:r w:rsidR="00A4011B" w:rsidRPr="00A4011B">
        <w:rPr>
          <w:rFonts w:hint="eastAsia"/>
        </w:rPr>
        <w:t>8</w:t>
      </w:r>
      <w:r w:rsidR="00A4011B">
        <w:rPr>
          <w:rFonts w:hint="eastAsia"/>
        </w:rPr>
        <w:t>）、大气环境布局敏感重点管控区（</w:t>
      </w:r>
      <w:r w:rsidR="00A4011B" w:rsidRPr="00A4011B">
        <w:rPr>
          <w:rFonts w:hint="eastAsia"/>
        </w:rPr>
        <w:t>龙凤区大气环境布局敏感重点管控区</w:t>
      </w:r>
      <w:r w:rsidR="00A4011B">
        <w:rPr>
          <w:rFonts w:hint="eastAsia"/>
        </w:rPr>
        <w:t>）、</w:t>
      </w:r>
      <w:r w:rsidR="00A4011B" w:rsidRPr="00A4011B">
        <w:rPr>
          <w:rFonts w:hint="eastAsia"/>
        </w:rPr>
        <w:t>自然资源一般管控区</w:t>
      </w:r>
      <w:r w:rsidR="00A4011B">
        <w:rPr>
          <w:rFonts w:hint="eastAsia"/>
        </w:rPr>
        <w:t>（</w:t>
      </w:r>
      <w:r w:rsidR="00A4011B" w:rsidRPr="00A4011B">
        <w:rPr>
          <w:rFonts w:hint="eastAsia"/>
        </w:rPr>
        <w:t>龙凤区自然资源一般管控区</w:t>
      </w:r>
      <w:r w:rsidR="00A4011B">
        <w:rPr>
          <w:rFonts w:hint="eastAsia"/>
        </w:rPr>
        <w:t>）、</w:t>
      </w:r>
      <w:r w:rsidR="00A4011B" w:rsidRPr="00A4011B">
        <w:rPr>
          <w:rFonts w:hint="eastAsia"/>
        </w:rPr>
        <w:t>重点管控单元</w:t>
      </w:r>
      <w:r w:rsidR="00A4011B">
        <w:rPr>
          <w:rFonts w:hint="eastAsia"/>
        </w:rPr>
        <w:t>（</w:t>
      </w:r>
      <w:r w:rsidR="00A4011B" w:rsidRPr="00A4011B">
        <w:rPr>
          <w:rFonts w:hint="eastAsia"/>
        </w:rPr>
        <w:t>龙凤区水环境工业污染重点管控区</w:t>
      </w:r>
      <w:r w:rsidR="00A4011B">
        <w:rPr>
          <w:rFonts w:hint="eastAsia"/>
        </w:rPr>
        <w:t>）。</w:t>
      </w:r>
    </w:p>
    <w:p w14:paraId="26851989" w14:textId="77777777" w:rsidR="00A4011B" w:rsidRDefault="00A4011B" w:rsidP="00A4011B">
      <w:pPr>
        <w:pStyle w:val="affffff4"/>
        <w:sectPr w:rsidR="00A4011B" w:rsidSect="004C47D8">
          <w:headerReference w:type="default" r:id="rId65"/>
          <w:footerReference w:type="default" r:id="rId66"/>
          <w:pgSz w:w="11905" w:h="16838"/>
          <w:pgMar w:top="1417" w:right="1474" w:bottom="1417" w:left="1474" w:header="850" w:footer="850" w:gutter="113"/>
          <w:cols w:space="0"/>
          <w:docGrid w:linePitch="326"/>
        </w:sectPr>
      </w:pPr>
    </w:p>
    <w:p w14:paraId="39030574" w14:textId="71CEE03C" w:rsidR="00A4011B" w:rsidRDefault="00A4011B" w:rsidP="009151AB">
      <w:pPr>
        <w:spacing w:line="480" w:lineRule="exact"/>
        <w:jc w:val="center"/>
        <w:rPr>
          <w:rFonts w:eastAsia="黑体"/>
          <w:snapToGrid w:val="0"/>
          <w:szCs w:val="24"/>
        </w:rPr>
      </w:pPr>
      <w:r>
        <w:rPr>
          <w:rFonts w:eastAsia="黑体"/>
          <w:snapToGrid w:val="0"/>
          <w:szCs w:val="24"/>
        </w:rPr>
        <w:lastRenderedPageBreak/>
        <w:t>表</w:t>
      </w:r>
      <w:r w:rsidR="009151AB">
        <w:rPr>
          <w:rFonts w:eastAsia="黑体" w:hint="eastAsia"/>
          <w:snapToGrid w:val="0"/>
          <w:szCs w:val="24"/>
        </w:rPr>
        <w:t xml:space="preserve">3.3-1 </w:t>
      </w:r>
      <w:r w:rsidR="009151AB">
        <w:rPr>
          <w:rFonts w:eastAsia="黑体"/>
          <w:snapToGrid w:val="0"/>
          <w:szCs w:val="24"/>
        </w:rPr>
        <w:t>三</w:t>
      </w:r>
      <w:r>
        <w:rPr>
          <w:rFonts w:eastAsia="黑体"/>
          <w:snapToGrid w:val="0"/>
          <w:szCs w:val="24"/>
        </w:rPr>
        <w:t>线一单</w:t>
      </w:r>
      <w:r>
        <w:rPr>
          <w:rFonts w:eastAsia="黑体"/>
          <w:snapToGrid w:val="0"/>
          <w:szCs w:val="24"/>
        </w:rPr>
        <w:t>”</w:t>
      </w:r>
      <w:r>
        <w:rPr>
          <w:rFonts w:eastAsia="黑体"/>
          <w:snapToGrid w:val="0"/>
          <w:szCs w:val="24"/>
        </w:rPr>
        <w:t>符合性分析</w:t>
      </w:r>
    </w:p>
    <w:tbl>
      <w:tblPr>
        <w:tblW w:w="5000" w:type="pct"/>
        <w:tblBorders>
          <w:top w:val="single" w:sz="8" w:space="0" w:color="000000"/>
          <w:left w:val="single" w:sz="8" w:space="0" w:color="000000"/>
          <w:bottom w:val="single" w:sz="8" w:space="0" w:color="000000"/>
          <w:right w:val="single" w:sz="8"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682"/>
        <w:gridCol w:w="11300"/>
      </w:tblGrid>
      <w:tr w:rsidR="00A4011B" w14:paraId="45976A04" w14:textId="77777777" w:rsidTr="00A4011B">
        <w:trPr>
          <w:trHeight w:val="397"/>
          <w:tblHeader/>
        </w:trPr>
        <w:tc>
          <w:tcPr>
            <w:tcW w:w="959" w:type="pct"/>
            <w:vAlign w:val="center"/>
          </w:tcPr>
          <w:p w14:paraId="43F51479" w14:textId="77777777" w:rsidR="00A4011B" w:rsidRDefault="00A4011B" w:rsidP="00E24385">
            <w:pPr>
              <w:adjustRightInd w:val="0"/>
              <w:snapToGrid w:val="0"/>
              <w:jc w:val="center"/>
              <w:rPr>
                <w:snapToGrid w:val="0"/>
              </w:rPr>
            </w:pPr>
            <w:r>
              <w:rPr>
                <w:snapToGrid w:val="0"/>
              </w:rPr>
              <w:t>内容</w:t>
            </w:r>
          </w:p>
        </w:tc>
        <w:tc>
          <w:tcPr>
            <w:tcW w:w="4041" w:type="pct"/>
            <w:vAlign w:val="center"/>
          </w:tcPr>
          <w:p w14:paraId="2C1F3DED" w14:textId="77777777" w:rsidR="00A4011B" w:rsidRDefault="00A4011B" w:rsidP="00E24385">
            <w:pPr>
              <w:adjustRightInd w:val="0"/>
              <w:snapToGrid w:val="0"/>
              <w:jc w:val="center"/>
              <w:rPr>
                <w:snapToGrid w:val="0"/>
              </w:rPr>
            </w:pPr>
            <w:r>
              <w:rPr>
                <w:snapToGrid w:val="0"/>
              </w:rPr>
              <w:t>符合性分析</w:t>
            </w:r>
          </w:p>
        </w:tc>
      </w:tr>
      <w:tr w:rsidR="00A4011B" w14:paraId="124D7006" w14:textId="77777777" w:rsidTr="00A4011B">
        <w:trPr>
          <w:trHeight w:val="397"/>
        </w:trPr>
        <w:tc>
          <w:tcPr>
            <w:tcW w:w="959" w:type="pct"/>
            <w:vAlign w:val="center"/>
          </w:tcPr>
          <w:p w14:paraId="5CCAE8C7" w14:textId="77777777" w:rsidR="00A4011B" w:rsidRDefault="00A4011B" w:rsidP="00E24385">
            <w:pPr>
              <w:adjustRightInd w:val="0"/>
              <w:snapToGrid w:val="0"/>
              <w:jc w:val="center"/>
              <w:rPr>
                <w:snapToGrid w:val="0"/>
              </w:rPr>
            </w:pPr>
            <w:r>
              <w:rPr>
                <w:snapToGrid w:val="0"/>
              </w:rPr>
              <w:t>生态保护红线</w:t>
            </w:r>
          </w:p>
        </w:tc>
        <w:tc>
          <w:tcPr>
            <w:tcW w:w="4041" w:type="pct"/>
            <w:vAlign w:val="center"/>
          </w:tcPr>
          <w:p w14:paraId="6F510583" w14:textId="56529EB8" w:rsidR="00A4011B" w:rsidRDefault="00A4011B" w:rsidP="00E24385">
            <w:pPr>
              <w:adjustRightInd w:val="0"/>
              <w:snapToGrid w:val="0"/>
              <w:rPr>
                <w:snapToGrid w:val="0"/>
              </w:rPr>
            </w:pPr>
            <w:r>
              <w:rPr>
                <w:snapToGrid w:val="0"/>
              </w:rPr>
              <w:t>本项目位于</w:t>
            </w:r>
            <w:r>
              <w:t>大庆市龙凤区红旗二村南侧</w:t>
            </w:r>
            <w:r>
              <w:rPr>
                <w:snapToGrid w:val="0"/>
              </w:rPr>
              <w:t>，</w:t>
            </w:r>
            <w:r>
              <w:rPr>
                <w:rFonts w:hint="eastAsia"/>
                <w:snapToGrid w:val="0"/>
              </w:rPr>
              <w:t>原</w:t>
            </w:r>
            <w:r>
              <w:rPr>
                <w:snapToGrid w:val="0"/>
              </w:rPr>
              <w:t>大庆市生活垃圾综合处理厂</w:t>
            </w:r>
            <w:r>
              <w:rPr>
                <w:rFonts w:hint="eastAsia"/>
                <w:snapToGrid w:val="0"/>
              </w:rPr>
              <w:t>内</w:t>
            </w:r>
            <w:r>
              <w:rPr>
                <w:snapToGrid w:val="0"/>
              </w:rPr>
              <w:t>，用地性质属公共设施用地，不涉及自然保护区、森林公园、风景名胜区、世界文化自然遗产、地质公园和基本农田等。</w:t>
            </w:r>
            <w:r>
              <w:rPr>
                <w:rFonts w:hint="eastAsia"/>
                <w:snapToGrid w:val="0"/>
              </w:rPr>
              <w:t>经调查大庆市“三区三线”划定成果，项目厂址不涉及生态保护红线</w:t>
            </w:r>
            <w:r>
              <w:rPr>
                <w:snapToGrid w:val="0"/>
              </w:rPr>
              <w:t>。</w:t>
            </w:r>
          </w:p>
        </w:tc>
      </w:tr>
      <w:tr w:rsidR="00A4011B" w14:paraId="56D05223" w14:textId="77777777" w:rsidTr="00A4011B">
        <w:trPr>
          <w:trHeight w:val="397"/>
        </w:trPr>
        <w:tc>
          <w:tcPr>
            <w:tcW w:w="959" w:type="pct"/>
            <w:vAlign w:val="center"/>
          </w:tcPr>
          <w:p w14:paraId="3FCF4C5A" w14:textId="77777777" w:rsidR="00A4011B" w:rsidRDefault="00A4011B" w:rsidP="00E24385">
            <w:pPr>
              <w:adjustRightInd w:val="0"/>
              <w:snapToGrid w:val="0"/>
              <w:jc w:val="center"/>
              <w:rPr>
                <w:snapToGrid w:val="0"/>
              </w:rPr>
            </w:pPr>
            <w:r>
              <w:rPr>
                <w:snapToGrid w:val="0"/>
              </w:rPr>
              <w:t>资源利用上限</w:t>
            </w:r>
          </w:p>
        </w:tc>
        <w:tc>
          <w:tcPr>
            <w:tcW w:w="4041" w:type="pct"/>
            <w:vAlign w:val="center"/>
          </w:tcPr>
          <w:p w14:paraId="12F8332F" w14:textId="5884962A" w:rsidR="00A4011B" w:rsidRDefault="00A4011B" w:rsidP="008726FA">
            <w:pPr>
              <w:adjustRightInd w:val="0"/>
              <w:snapToGrid w:val="0"/>
              <w:rPr>
                <w:snapToGrid w:val="0"/>
              </w:rPr>
            </w:pPr>
            <w:r>
              <w:rPr>
                <w:snapToGrid w:val="0"/>
              </w:rPr>
              <w:t>本项目位于</w:t>
            </w:r>
            <w:r>
              <w:rPr>
                <w:rFonts w:hint="eastAsia"/>
                <w:snapToGrid w:val="0"/>
              </w:rPr>
              <w:t>龙凤区自然资源</w:t>
            </w:r>
            <w:r>
              <w:rPr>
                <w:snapToGrid w:val="0"/>
              </w:rPr>
              <w:t>一般管控区</w:t>
            </w:r>
            <w:r>
              <w:rPr>
                <w:rFonts w:hint="eastAsia"/>
                <w:snapToGrid w:val="0"/>
              </w:rPr>
              <w:t>，</w:t>
            </w:r>
            <w:r>
              <w:rPr>
                <w:snapToGrid w:val="0"/>
              </w:rPr>
              <w:t>占地面积为</w:t>
            </w:r>
            <w:r w:rsidR="008726FA">
              <w:rPr>
                <w:rFonts w:hint="eastAsia"/>
                <w:snapToGrid w:val="0"/>
              </w:rPr>
              <w:t>5136.95</w:t>
            </w:r>
            <w:r>
              <w:rPr>
                <w:snapToGrid w:val="0"/>
              </w:rPr>
              <w:t>m</w:t>
            </w:r>
            <w:r>
              <w:rPr>
                <w:snapToGrid w:val="0"/>
                <w:vertAlign w:val="superscript"/>
              </w:rPr>
              <w:t>2</w:t>
            </w:r>
            <w:r>
              <w:rPr>
                <w:snapToGrid w:val="0"/>
              </w:rPr>
              <w:t>。总平面布置在满足工艺生产、消防等要求的前提下，紧凑场区布置，提高土地利用率。</w:t>
            </w:r>
            <w:r w:rsidR="00347823">
              <w:rPr>
                <w:rFonts w:hint="eastAsia"/>
              </w:rPr>
              <w:t>淋溶水</w:t>
            </w:r>
            <w:r>
              <w:t>经厂内渗滤液处理站处理后</w:t>
            </w:r>
            <w:r w:rsidR="00347823" w:rsidRPr="00347823">
              <w:t>满足《生活垃圾填埋场污染控制标准》（</w:t>
            </w:r>
            <w:r w:rsidR="00347823" w:rsidRPr="00347823">
              <w:t>GB16889-2024</w:t>
            </w:r>
            <w:r w:rsidR="00347823" w:rsidRPr="00347823">
              <w:t>）表</w:t>
            </w:r>
            <w:r w:rsidR="00347823" w:rsidRPr="00347823">
              <w:t>4</w:t>
            </w:r>
            <w:r w:rsidR="00347823" w:rsidRPr="00347823">
              <w:t>要求和</w:t>
            </w:r>
            <w:r>
              <w:t>《城市污水再生利用</w:t>
            </w:r>
            <w:r w:rsidR="00347823">
              <w:rPr>
                <w:rFonts w:hint="eastAsia"/>
              </w:rPr>
              <w:t xml:space="preserve"> </w:t>
            </w:r>
            <w:r>
              <w:t>工业用水水质》</w:t>
            </w:r>
            <w:r w:rsidR="008726FA">
              <w:rPr>
                <w:rFonts w:hint="eastAsia"/>
              </w:rPr>
              <w:t>（</w:t>
            </w:r>
            <w:r w:rsidR="008726FA">
              <w:t>GB/T19923-20</w:t>
            </w:r>
            <w:r w:rsidR="008726FA">
              <w:rPr>
                <w:rFonts w:hint="eastAsia"/>
              </w:rPr>
              <w:t>24</w:t>
            </w:r>
            <w:r w:rsidR="008726FA">
              <w:rPr>
                <w:rFonts w:hint="eastAsia"/>
              </w:rPr>
              <w:t>）</w:t>
            </w:r>
            <w:r w:rsidR="00347823">
              <w:rPr>
                <w:rFonts w:hint="eastAsia"/>
              </w:rPr>
              <w:t>表</w:t>
            </w:r>
            <w:r w:rsidR="00347823">
              <w:rPr>
                <w:rFonts w:hint="eastAsia"/>
              </w:rPr>
              <w:t>1</w:t>
            </w:r>
            <w:r>
              <w:t>标准后全部回用，</w:t>
            </w:r>
            <w:r>
              <w:rPr>
                <w:snapToGrid w:val="0"/>
              </w:rPr>
              <w:t>降低了新鲜水的用量，最大限度的降低工艺用水量。生产过程尽可能做到合理利用和节能降耗，最大限度地减少物耗、能耗。</w:t>
            </w:r>
            <w:r w:rsidR="00472CC5">
              <w:rPr>
                <w:rFonts w:hint="eastAsia"/>
                <w:snapToGrid w:val="0"/>
              </w:rPr>
              <w:t>符合资源利用上限要求。</w:t>
            </w:r>
          </w:p>
        </w:tc>
      </w:tr>
      <w:tr w:rsidR="00A4011B" w14:paraId="4531CCD2" w14:textId="77777777" w:rsidTr="00A4011B">
        <w:trPr>
          <w:trHeight w:val="397"/>
        </w:trPr>
        <w:tc>
          <w:tcPr>
            <w:tcW w:w="959" w:type="pct"/>
            <w:vAlign w:val="center"/>
          </w:tcPr>
          <w:p w14:paraId="10EBEE2C" w14:textId="77777777" w:rsidR="00A4011B" w:rsidRDefault="00A4011B" w:rsidP="00E24385">
            <w:pPr>
              <w:adjustRightInd w:val="0"/>
              <w:snapToGrid w:val="0"/>
              <w:jc w:val="center"/>
              <w:rPr>
                <w:snapToGrid w:val="0"/>
              </w:rPr>
            </w:pPr>
            <w:r>
              <w:rPr>
                <w:snapToGrid w:val="0"/>
              </w:rPr>
              <w:t>环境质量底线</w:t>
            </w:r>
          </w:p>
        </w:tc>
        <w:tc>
          <w:tcPr>
            <w:tcW w:w="4041" w:type="pct"/>
            <w:vAlign w:val="center"/>
          </w:tcPr>
          <w:p w14:paraId="560627CD" w14:textId="04DC7D95" w:rsidR="00A4011B" w:rsidRDefault="00A4011B" w:rsidP="00A938E0">
            <w:pPr>
              <w:adjustRightInd w:val="0"/>
              <w:snapToGrid w:val="0"/>
              <w:rPr>
                <w:snapToGrid w:val="0"/>
              </w:rPr>
            </w:pPr>
            <w:r>
              <w:rPr>
                <w:snapToGrid w:val="0"/>
              </w:rPr>
              <w:t>本项目位于大气环境布局敏感重点管控区</w:t>
            </w:r>
            <w:r w:rsidR="00A938E0">
              <w:rPr>
                <w:rFonts w:hint="eastAsia"/>
                <w:snapToGrid w:val="0"/>
              </w:rPr>
              <w:t>、</w:t>
            </w:r>
            <w:r>
              <w:rPr>
                <w:snapToGrid w:val="0"/>
              </w:rPr>
              <w:t>水环境工业污染重点管控区，不属于土壤环境风险防控底线中的建设用地污染风险疑似重点管控区。项目投产后向环境空气中排放的颗粒物、</w:t>
            </w:r>
            <w:r w:rsidR="00A938E0">
              <w:rPr>
                <w:rFonts w:hint="eastAsia"/>
                <w:snapToGrid w:val="0"/>
              </w:rPr>
              <w:t>非甲烷总烃</w:t>
            </w:r>
            <w:r>
              <w:rPr>
                <w:snapToGrid w:val="0"/>
              </w:rPr>
              <w:t>、</w:t>
            </w:r>
            <w:r>
              <w:rPr>
                <w:snapToGrid w:val="0"/>
              </w:rPr>
              <w:t>H</w:t>
            </w:r>
            <w:r>
              <w:rPr>
                <w:snapToGrid w:val="0"/>
                <w:vertAlign w:val="subscript"/>
              </w:rPr>
              <w:t>2</w:t>
            </w:r>
            <w:r>
              <w:rPr>
                <w:snapToGrid w:val="0"/>
              </w:rPr>
              <w:t>S</w:t>
            </w:r>
            <w:r>
              <w:rPr>
                <w:snapToGrid w:val="0"/>
              </w:rPr>
              <w:t>和</w:t>
            </w:r>
            <w:r>
              <w:rPr>
                <w:snapToGrid w:val="0"/>
              </w:rPr>
              <w:t>NH</w:t>
            </w:r>
            <w:r>
              <w:rPr>
                <w:snapToGrid w:val="0"/>
                <w:vertAlign w:val="subscript"/>
              </w:rPr>
              <w:t>3</w:t>
            </w:r>
            <w:r>
              <w:rPr>
                <w:snapToGrid w:val="0"/>
              </w:rPr>
              <w:t>均采取了有效污染控制措施，对环境空气影响较小；</w:t>
            </w:r>
            <w:r w:rsidR="00472CC5">
              <w:rPr>
                <w:rFonts w:hint="eastAsia"/>
                <w:snapToGrid w:val="0"/>
              </w:rPr>
              <w:t>淋溶</w:t>
            </w:r>
            <w:r>
              <w:rPr>
                <w:snapToGrid w:val="0"/>
              </w:rPr>
              <w:t>水经厂内渗滤液处理站处理后全部回用，不外排；投产后厂界四周噪声满足《工业企业厂界环境噪声排放标准》（</w:t>
            </w:r>
            <w:r>
              <w:rPr>
                <w:snapToGrid w:val="0"/>
              </w:rPr>
              <w:t>GB12348-2008</w:t>
            </w:r>
            <w:r>
              <w:rPr>
                <w:snapToGrid w:val="0"/>
              </w:rPr>
              <w:t>）中的</w:t>
            </w:r>
            <w:r>
              <w:rPr>
                <w:snapToGrid w:val="0"/>
              </w:rPr>
              <w:t>2</w:t>
            </w:r>
            <w:r>
              <w:rPr>
                <w:snapToGrid w:val="0"/>
              </w:rPr>
              <w:t>类声环境功能区排放限值；产生的固体废物通过采取相应的处理措施后，可实现固体废物处理的无害化，减量化及资源化的目标。重金属等对土壤的影响经预测符合《土壤环境质量</w:t>
            </w:r>
            <w:r>
              <w:rPr>
                <w:snapToGrid w:val="0"/>
              </w:rPr>
              <w:t xml:space="preserve"> </w:t>
            </w:r>
            <w:r>
              <w:rPr>
                <w:snapToGrid w:val="0"/>
              </w:rPr>
              <w:t>农用地土壤污染风险管控标准（试行）》</w:t>
            </w:r>
            <w:r>
              <w:rPr>
                <w:snapToGrid w:val="0"/>
              </w:rPr>
              <w:t>(GB15618-2018)</w:t>
            </w:r>
            <w:r>
              <w:rPr>
                <w:snapToGrid w:val="0"/>
              </w:rPr>
              <w:t>中筛选值和《土壤环境质量</w:t>
            </w:r>
            <w:r>
              <w:rPr>
                <w:snapToGrid w:val="0"/>
              </w:rPr>
              <w:t xml:space="preserve"> </w:t>
            </w:r>
            <w:r>
              <w:rPr>
                <w:snapToGrid w:val="0"/>
              </w:rPr>
              <w:t>建设用地土壤污染风险管控标准（试行）》（</w:t>
            </w:r>
            <w:r>
              <w:rPr>
                <w:snapToGrid w:val="0"/>
              </w:rPr>
              <w:t>GB36600-2018</w:t>
            </w:r>
            <w:r>
              <w:rPr>
                <w:snapToGrid w:val="0"/>
              </w:rPr>
              <w:t>）第二类用地筛选值的限值要求。本项目运营期所排放的污染物经各类污染防治措施处理后，均能达标排放，对环境影响较小，符合环境质量底线要求。</w:t>
            </w:r>
          </w:p>
        </w:tc>
      </w:tr>
      <w:tr w:rsidR="00A4011B" w14:paraId="7FB14822" w14:textId="77777777" w:rsidTr="00A4011B">
        <w:trPr>
          <w:trHeight w:val="397"/>
        </w:trPr>
        <w:tc>
          <w:tcPr>
            <w:tcW w:w="959" w:type="pct"/>
            <w:vAlign w:val="center"/>
          </w:tcPr>
          <w:p w14:paraId="228B7CF7" w14:textId="77777777" w:rsidR="00A4011B" w:rsidRDefault="00A4011B" w:rsidP="00E24385">
            <w:pPr>
              <w:adjustRightInd w:val="0"/>
              <w:snapToGrid w:val="0"/>
              <w:jc w:val="center"/>
              <w:rPr>
                <w:snapToGrid w:val="0"/>
              </w:rPr>
            </w:pPr>
            <w:r>
              <w:rPr>
                <w:snapToGrid w:val="0"/>
              </w:rPr>
              <w:t>环境准入负面清单</w:t>
            </w:r>
          </w:p>
        </w:tc>
        <w:tc>
          <w:tcPr>
            <w:tcW w:w="4041" w:type="pct"/>
            <w:vAlign w:val="center"/>
          </w:tcPr>
          <w:p w14:paraId="5C45E00D" w14:textId="36157473" w:rsidR="00A4011B" w:rsidRDefault="00A4011B" w:rsidP="00E24385">
            <w:pPr>
              <w:adjustRightInd w:val="0"/>
              <w:snapToGrid w:val="0"/>
              <w:rPr>
                <w:snapToGrid w:val="0"/>
              </w:rPr>
            </w:pPr>
            <w:r>
              <w:rPr>
                <w:snapToGrid w:val="0"/>
              </w:rPr>
              <w:t>《大庆市人民政府关于实施</w:t>
            </w:r>
            <w:r>
              <w:rPr>
                <w:snapToGrid w:val="0"/>
              </w:rPr>
              <w:t>“</w:t>
            </w:r>
            <w:r>
              <w:rPr>
                <w:snapToGrid w:val="0"/>
              </w:rPr>
              <w:t>三线一单</w:t>
            </w:r>
            <w:r>
              <w:rPr>
                <w:snapToGrid w:val="0"/>
              </w:rPr>
              <w:t>”</w:t>
            </w:r>
            <w:r>
              <w:rPr>
                <w:snapToGrid w:val="0"/>
              </w:rPr>
              <w:t>生态环境分区管控的意见》（庆政规〔</w:t>
            </w:r>
            <w:r>
              <w:rPr>
                <w:snapToGrid w:val="0"/>
              </w:rPr>
              <w:t>2021</w:t>
            </w:r>
            <w:r>
              <w:rPr>
                <w:snapToGrid w:val="0"/>
              </w:rPr>
              <w:t>〕</w:t>
            </w:r>
            <w:r>
              <w:rPr>
                <w:snapToGrid w:val="0"/>
              </w:rPr>
              <w:t>3</w:t>
            </w:r>
            <w:r>
              <w:rPr>
                <w:snapToGrid w:val="0"/>
              </w:rPr>
              <w:t>号），对照大庆市环境管控单元分布图，本项目所在位置为重点管控单元；详见表</w:t>
            </w:r>
            <w:r w:rsidR="00472CC5">
              <w:rPr>
                <w:rFonts w:hint="eastAsia"/>
                <w:snapToGrid w:val="0"/>
              </w:rPr>
              <w:t>3.3-3</w:t>
            </w:r>
            <w:r>
              <w:rPr>
                <w:snapToGrid w:val="0"/>
              </w:rPr>
              <w:t>。</w:t>
            </w:r>
          </w:p>
        </w:tc>
      </w:tr>
    </w:tbl>
    <w:p w14:paraId="4165633E" w14:textId="3EEAD8D7" w:rsidR="00A600CD" w:rsidRPr="00D740E7" w:rsidRDefault="00A600CD" w:rsidP="00D740E7">
      <w:pPr>
        <w:pStyle w:val="3"/>
      </w:pPr>
      <w:bookmarkStart w:id="160" w:name="_Toc220680488"/>
      <w:bookmarkStart w:id="161" w:name="_Toc429346201"/>
      <w:bookmarkStart w:id="162" w:name="_Toc7341194"/>
      <w:bookmarkStart w:id="163" w:name="_Toc3966583"/>
      <w:r w:rsidRPr="00D740E7">
        <w:rPr>
          <w:rFonts w:hint="eastAsia"/>
        </w:rPr>
        <w:t>3.3.2</w:t>
      </w:r>
      <w:r w:rsidR="00D740E7" w:rsidRPr="00D740E7">
        <w:rPr>
          <w:rFonts w:hint="eastAsia"/>
        </w:rPr>
        <w:t>与地下水环境管控要求符合性分析</w:t>
      </w:r>
      <w:bookmarkEnd w:id="160"/>
    </w:p>
    <w:p w14:paraId="649ACD2A" w14:textId="5184E115" w:rsidR="00C13ACA" w:rsidRPr="00C13ACA" w:rsidRDefault="00C13ACA" w:rsidP="009151AB">
      <w:pPr>
        <w:spacing w:line="480" w:lineRule="exact"/>
        <w:jc w:val="center"/>
        <w:rPr>
          <w:rFonts w:eastAsia="黑体"/>
          <w:snapToGrid w:val="0"/>
          <w:szCs w:val="24"/>
        </w:rPr>
      </w:pPr>
      <w:r w:rsidRPr="00C13ACA">
        <w:rPr>
          <w:rFonts w:eastAsia="黑体"/>
          <w:snapToGrid w:val="0"/>
          <w:szCs w:val="24"/>
        </w:rPr>
        <w:t>表</w:t>
      </w:r>
      <w:r w:rsidR="009151AB">
        <w:rPr>
          <w:rFonts w:eastAsia="黑体" w:hint="eastAsia"/>
          <w:snapToGrid w:val="0"/>
          <w:szCs w:val="24"/>
        </w:rPr>
        <w:t xml:space="preserve">3.3-2 </w:t>
      </w:r>
      <w:r w:rsidR="00F0066C" w:rsidRPr="00F0066C">
        <w:rPr>
          <w:rFonts w:eastAsia="黑体" w:hint="eastAsia"/>
          <w:snapToGrid w:val="0"/>
          <w:szCs w:val="24"/>
        </w:rPr>
        <w:t>与地下水环境管控要求</w:t>
      </w:r>
      <w:r w:rsidRPr="00C13ACA">
        <w:rPr>
          <w:rFonts w:eastAsia="黑体"/>
          <w:snapToGrid w:val="0"/>
          <w:szCs w:val="24"/>
        </w:rPr>
        <w:t>符合性分析</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28"/>
        <w:gridCol w:w="883"/>
        <w:gridCol w:w="785"/>
        <w:gridCol w:w="8881"/>
        <w:gridCol w:w="1592"/>
        <w:gridCol w:w="903"/>
      </w:tblGrid>
      <w:tr w:rsidR="00C13ACA" w:rsidRPr="00C13ACA" w14:paraId="67508A7C" w14:textId="77777777" w:rsidTr="00F0066C">
        <w:trPr>
          <w:trHeight w:val="387"/>
          <w:jc w:val="center"/>
        </w:trPr>
        <w:tc>
          <w:tcPr>
            <w:tcW w:w="928" w:type="dxa"/>
            <w:vAlign w:val="center"/>
          </w:tcPr>
          <w:p w14:paraId="21BDBE05" w14:textId="47D3ACE8" w:rsidR="00C13ACA" w:rsidRPr="00C13ACA" w:rsidRDefault="00C13ACA" w:rsidP="00C13ACA">
            <w:pPr>
              <w:adjustRightInd w:val="0"/>
              <w:snapToGrid w:val="0"/>
              <w:jc w:val="center"/>
              <w:rPr>
                <w:snapToGrid w:val="0"/>
              </w:rPr>
            </w:pPr>
            <w:r w:rsidRPr="00C13ACA">
              <w:rPr>
                <w:rFonts w:hint="eastAsia"/>
                <w:snapToGrid w:val="0"/>
              </w:rPr>
              <w:t>环</w:t>
            </w:r>
            <w:r w:rsidRPr="00C13ACA">
              <w:rPr>
                <w:snapToGrid w:val="0"/>
              </w:rPr>
              <w:t>境管控</w:t>
            </w:r>
            <w:r>
              <w:rPr>
                <w:rFonts w:hint="eastAsia"/>
                <w:snapToGrid w:val="0"/>
              </w:rPr>
              <w:t>区</w:t>
            </w:r>
            <w:r w:rsidRPr="00C13ACA">
              <w:rPr>
                <w:snapToGrid w:val="0"/>
              </w:rPr>
              <w:t>编码</w:t>
            </w:r>
          </w:p>
        </w:tc>
        <w:tc>
          <w:tcPr>
            <w:tcW w:w="883" w:type="dxa"/>
            <w:vAlign w:val="center"/>
          </w:tcPr>
          <w:p w14:paraId="072F7FAA" w14:textId="09FA8037" w:rsidR="00C13ACA" w:rsidRPr="00C13ACA" w:rsidRDefault="00C13ACA" w:rsidP="00C13ACA">
            <w:pPr>
              <w:adjustRightInd w:val="0"/>
              <w:snapToGrid w:val="0"/>
              <w:jc w:val="center"/>
              <w:rPr>
                <w:snapToGrid w:val="0"/>
              </w:rPr>
            </w:pPr>
            <w:r w:rsidRPr="00C13ACA">
              <w:rPr>
                <w:rFonts w:hint="eastAsia"/>
                <w:snapToGrid w:val="0"/>
              </w:rPr>
              <w:t>环</w:t>
            </w:r>
            <w:r w:rsidRPr="00C13ACA">
              <w:rPr>
                <w:snapToGrid w:val="0"/>
              </w:rPr>
              <w:t>境管控</w:t>
            </w:r>
            <w:r>
              <w:rPr>
                <w:rFonts w:hint="eastAsia"/>
                <w:snapToGrid w:val="0"/>
              </w:rPr>
              <w:t>区</w:t>
            </w:r>
            <w:r w:rsidRPr="00C13ACA">
              <w:rPr>
                <w:snapToGrid w:val="0"/>
              </w:rPr>
              <w:t>名称</w:t>
            </w:r>
          </w:p>
        </w:tc>
        <w:tc>
          <w:tcPr>
            <w:tcW w:w="785" w:type="dxa"/>
            <w:vAlign w:val="center"/>
          </w:tcPr>
          <w:p w14:paraId="444158ED" w14:textId="6661AC96" w:rsidR="00C13ACA" w:rsidRPr="00C13ACA" w:rsidRDefault="00C13ACA" w:rsidP="00C13ACA">
            <w:pPr>
              <w:adjustRightInd w:val="0"/>
              <w:snapToGrid w:val="0"/>
              <w:jc w:val="center"/>
              <w:rPr>
                <w:snapToGrid w:val="0"/>
              </w:rPr>
            </w:pPr>
            <w:r w:rsidRPr="00C13ACA">
              <w:rPr>
                <w:rFonts w:hint="eastAsia"/>
                <w:snapToGrid w:val="0"/>
              </w:rPr>
              <w:t>管</w:t>
            </w:r>
            <w:r w:rsidRPr="00C13ACA">
              <w:rPr>
                <w:snapToGrid w:val="0"/>
              </w:rPr>
              <w:t>控</w:t>
            </w:r>
            <w:r>
              <w:rPr>
                <w:rFonts w:hint="eastAsia"/>
                <w:snapToGrid w:val="0"/>
              </w:rPr>
              <w:t>区类型</w:t>
            </w:r>
          </w:p>
        </w:tc>
        <w:tc>
          <w:tcPr>
            <w:tcW w:w="8881" w:type="dxa"/>
            <w:vAlign w:val="center"/>
          </w:tcPr>
          <w:p w14:paraId="19FD5078" w14:textId="77777777" w:rsidR="00C13ACA" w:rsidRPr="00C13ACA" w:rsidRDefault="00C13ACA" w:rsidP="00C13ACA">
            <w:pPr>
              <w:adjustRightInd w:val="0"/>
              <w:snapToGrid w:val="0"/>
              <w:jc w:val="center"/>
              <w:rPr>
                <w:snapToGrid w:val="0"/>
              </w:rPr>
            </w:pPr>
            <w:r w:rsidRPr="00C13ACA">
              <w:rPr>
                <w:rFonts w:hint="eastAsia"/>
                <w:snapToGrid w:val="0"/>
              </w:rPr>
              <w:t>管控要求</w:t>
            </w:r>
          </w:p>
        </w:tc>
        <w:tc>
          <w:tcPr>
            <w:tcW w:w="1592" w:type="dxa"/>
            <w:vAlign w:val="center"/>
          </w:tcPr>
          <w:p w14:paraId="2604D34D" w14:textId="77777777" w:rsidR="00C13ACA" w:rsidRPr="00C13ACA" w:rsidRDefault="00C13ACA" w:rsidP="00C13ACA">
            <w:pPr>
              <w:adjustRightInd w:val="0"/>
              <w:snapToGrid w:val="0"/>
              <w:jc w:val="center"/>
              <w:rPr>
                <w:snapToGrid w:val="0"/>
              </w:rPr>
            </w:pPr>
            <w:r w:rsidRPr="00C13ACA">
              <w:rPr>
                <w:rFonts w:hint="eastAsia"/>
                <w:snapToGrid w:val="0"/>
              </w:rPr>
              <w:t>本项目情况</w:t>
            </w:r>
          </w:p>
        </w:tc>
        <w:tc>
          <w:tcPr>
            <w:tcW w:w="903" w:type="dxa"/>
            <w:vAlign w:val="center"/>
          </w:tcPr>
          <w:p w14:paraId="222B044C" w14:textId="77777777" w:rsidR="00C13ACA" w:rsidRPr="00C13ACA" w:rsidRDefault="00C13ACA" w:rsidP="00C13ACA">
            <w:pPr>
              <w:adjustRightInd w:val="0"/>
              <w:snapToGrid w:val="0"/>
              <w:jc w:val="center"/>
              <w:rPr>
                <w:snapToGrid w:val="0"/>
              </w:rPr>
            </w:pPr>
            <w:r w:rsidRPr="00C13ACA">
              <w:rPr>
                <w:rFonts w:hint="eastAsia"/>
                <w:snapToGrid w:val="0"/>
              </w:rPr>
              <w:t>符合性</w:t>
            </w:r>
          </w:p>
        </w:tc>
      </w:tr>
      <w:tr w:rsidR="00C13ACA" w:rsidRPr="00C13ACA" w14:paraId="44022C9A" w14:textId="77777777" w:rsidTr="00F0066C">
        <w:trPr>
          <w:trHeight w:val="395"/>
          <w:jc w:val="center"/>
        </w:trPr>
        <w:tc>
          <w:tcPr>
            <w:tcW w:w="928" w:type="dxa"/>
            <w:vAlign w:val="center"/>
          </w:tcPr>
          <w:p w14:paraId="17DD9DB4" w14:textId="2FCD4172" w:rsidR="00C13ACA" w:rsidRPr="00C13ACA" w:rsidRDefault="00C13ACA" w:rsidP="00C13ACA">
            <w:pPr>
              <w:adjustRightInd w:val="0"/>
              <w:snapToGrid w:val="0"/>
              <w:jc w:val="center"/>
              <w:rPr>
                <w:snapToGrid w:val="0"/>
              </w:rPr>
            </w:pPr>
            <w:r w:rsidRPr="00C13ACA">
              <w:rPr>
                <w:snapToGrid w:val="0"/>
              </w:rPr>
              <w:t>YS2306036220002</w:t>
            </w:r>
          </w:p>
        </w:tc>
        <w:tc>
          <w:tcPr>
            <w:tcW w:w="883" w:type="dxa"/>
            <w:vAlign w:val="center"/>
          </w:tcPr>
          <w:p w14:paraId="2BF7B006" w14:textId="2AB94342" w:rsidR="00C13ACA" w:rsidRPr="00C13ACA" w:rsidRDefault="00C13ACA" w:rsidP="00C13ACA">
            <w:pPr>
              <w:adjustRightInd w:val="0"/>
              <w:snapToGrid w:val="0"/>
              <w:rPr>
                <w:snapToGrid w:val="0"/>
              </w:rPr>
            </w:pPr>
            <w:r w:rsidRPr="00C13ACA">
              <w:rPr>
                <w:rFonts w:hint="eastAsia"/>
                <w:snapToGrid w:val="0"/>
              </w:rPr>
              <w:t>龙凤区地下水环境二级管控区</w:t>
            </w:r>
          </w:p>
        </w:tc>
        <w:tc>
          <w:tcPr>
            <w:tcW w:w="785" w:type="dxa"/>
            <w:vAlign w:val="center"/>
          </w:tcPr>
          <w:p w14:paraId="5828A168" w14:textId="09E7A979" w:rsidR="00C13ACA" w:rsidRPr="00C13ACA" w:rsidRDefault="00C13ACA" w:rsidP="00C13ACA">
            <w:pPr>
              <w:adjustRightInd w:val="0"/>
              <w:snapToGrid w:val="0"/>
              <w:jc w:val="center"/>
              <w:rPr>
                <w:snapToGrid w:val="0"/>
              </w:rPr>
            </w:pPr>
            <w:r w:rsidRPr="00C13ACA">
              <w:rPr>
                <w:rFonts w:hint="eastAsia"/>
                <w:snapToGrid w:val="0"/>
              </w:rPr>
              <w:t>重点管控</w:t>
            </w:r>
            <w:r>
              <w:rPr>
                <w:rFonts w:hint="eastAsia"/>
                <w:snapToGrid w:val="0"/>
              </w:rPr>
              <w:t>区</w:t>
            </w:r>
          </w:p>
        </w:tc>
        <w:tc>
          <w:tcPr>
            <w:tcW w:w="8881" w:type="dxa"/>
            <w:vAlign w:val="center"/>
          </w:tcPr>
          <w:p w14:paraId="048F6894" w14:textId="77777777" w:rsidR="00C13ACA" w:rsidRPr="00C13ACA" w:rsidRDefault="00C13ACA" w:rsidP="00C13ACA">
            <w:pPr>
              <w:snapToGrid w:val="0"/>
              <w:ind w:firstLine="360"/>
              <w:rPr>
                <w:snapToGrid w:val="0"/>
              </w:rPr>
            </w:pPr>
            <w:r w:rsidRPr="00C13ACA">
              <w:rPr>
                <w:rFonts w:hint="eastAsia"/>
                <w:snapToGrid w:val="0"/>
              </w:rPr>
              <w:t>空间布局约束</w:t>
            </w:r>
          </w:p>
          <w:p w14:paraId="4A515570" w14:textId="77777777" w:rsidR="00C13ACA" w:rsidRDefault="00C13ACA" w:rsidP="00C13ACA">
            <w:pPr>
              <w:snapToGrid w:val="0"/>
              <w:ind w:firstLine="360"/>
              <w:rPr>
                <w:snapToGrid w:val="0"/>
              </w:rPr>
            </w:pPr>
            <w:r w:rsidRPr="00C13ACA">
              <w:rPr>
                <w:rFonts w:hint="eastAsia"/>
                <w:snapToGrid w:val="0"/>
              </w:rPr>
              <w:t>1.</w:t>
            </w:r>
            <w:r w:rsidRPr="00C13ACA">
              <w:rPr>
                <w:rFonts w:hint="eastAsia"/>
                <w:snapToGrid w:val="0"/>
              </w:rPr>
              <w:t>严格建设项目土壤环境影响评价制度。对涉及有毒有害物质可能造成土壤污染的新（改、扩）建项目，依法进行环境影响评价，提出</w:t>
            </w:r>
            <w:bookmarkStart w:id="164" w:name="OLE_LINK10"/>
            <w:r w:rsidRPr="00C13ACA">
              <w:rPr>
                <w:rFonts w:hint="eastAsia"/>
                <w:snapToGrid w:val="0"/>
              </w:rPr>
              <w:t>并落实防腐蚀、防渗漏、防遗撒等土壤污染防治</w:t>
            </w:r>
            <w:bookmarkEnd w:id="164"/>
            <w:r w:rsidRPr="00C13ACA">
              <w:rPr>
                <w:rFonts w:hint="eastAsia"/>
                <w:snapToGrid w:val="0"/>
              </w:rPr>
              <w:t>具体措施。</w:t>
            </w:r>
          </w:p>
          <w:p w14:paraId="2A34B33C" w14:textId="77777777" w:rsidR="00C13ACA" w:rsidRDefault="00C13ACA" w:rsidP="00C13ACA">
            <w:pPr>
              <w:snapToGrid w:val="0"/>
              <w:ind w:firstLine="360"/>
              <w:rPr>
                <w:snapToGrid w:val="0"/>
              </w:rPr>
            </w:pPr>
            <w:r w:rsidRPr="00C13ACA">
              <w:rPr>
                <w:rFonts w:hint="eastAsia"/>
                <w:snapToGrid w:val="0"/>
              </w:rPr>
              <w:t>2.</w:t>
            </w:r>
            <w:r w:rsidRPr="00C13ACA">
              <w:rPr>
                <w:rFonts w:hint="eastAsia"/>
                <w:snapToGrid w:val="0"/>
              </w:rPr>
              <w:t>合理规划污染地块用途，从严管控农药、化工等行业中的重度污染地块规划用途，确需开</w:t>
            </w:r>
            <w:r w:rsidRPr="00C13ACA">
              <w:rPr>
                <w:rFonts w:hint="eastAsia"/>
                <w:snapToGrid w:val="0"/>
              </w:rPr>
              <w:lastRenderedPageBreak/>
              <w:t>发利用的，鼓励用于拓展生态空间。</w:t>
            </w:r>
          </w:p>
          <w:p w14:paraId="43F09683" w14:textId="2D477A89" w:rsidR="00C13ACA" w:rsidRPr="00C13ACA" w:rsidRDefault="00C13ACA" w:rsidP="00C13ACA">
            <w:pPr>
              <w:snapToGrid w:val="0"/>
              <w:ind w:firstLine="360"/>
              <w:rPr>
                <w:snapToGrid w:val="0"/>
              </w:rPr>
            </w:pPr>
            <w:r w:rsidRPr="00C13ACA">
              <w:rPr>
                <w:rFonts w:hint="eastAsia"/>
                <w:snapToGrid w:val="0"/>
              </w:rPr>
              <w:t>3.</w:t>
            </w:r>
            <w:r w:rsidRPr="00C13ACA">
              <w:rPr>
                <w:rFonts w:hint="eastAsia"/>
                <w:snapToGrid w:val="0"/>
              </w:rPr>
              <w:t>污染地块未经治理与修复，或者经治理与修复但未达到相关规划用地土壤环境质量要求的，有关环境保护主管部门不予批准选址涉及该污染地块的建设项目环境影响报告书或者报告表。</w:t>
            </w:r>
          </w:p>
          <w:p w14:paraId="7FCB0AE2" w14:textId="77777777" w:rsidR="00C13ACA" w:rsidRPr="00C13ACA" w:rsidRDefault="00C13ACA" w:rsidP="00C13ACA">
            <w:pPr>
              <w:snapToGrid w:val="0"/>
              <w:ind w:firstLine="360"/>
              <w:rPr>
                <w:snapToGrid w:val="0"/>
              </w:rPr>
            </w:pPr>
            <w:r w:rsidRPr="00C13ACA">
              <w:rPr>
                <w:rFonts w:hint="eastAsia"/>
                <w:snapToGrid w:val="0"/>
              </w:rPr>
              <w:t>环境风险防控</w:t>
            </w:r>
          </w:p>
          <w:p w14:paraId="5E047585" w14:textId="77777777" w:rsidR="00C13ACA" w:rsidRDefault="00C13ACA" w:rsidP="00C13ACA">
            <w:pPr>
              <w:snapToGrid w:val="0"/>
              <w:ind w:firstLine="360"/>
              <w:rPr>
                <w:snapToGrid w:val="0"/>
              </w:rPr>
            </w:pPr>
            <w:r w:rsidRPr="00C13ACA">
              <w:rPr>
                <w:rFonts w:hint="eastAsia"/>
                <w:snapToGrid w:val="0"/>
              </w:rPr>
              <w:t>1.</w:t>
            </w:r>
            <w:r w:rsidRPr="00C13ACA">
              <w:rPr>
                <w:rFonts w:hint="eastAsia"/>
                <w:snapToGrid w:val="0"/>
              </w:rPr>
              <w:t>化学品生产企业以及工业集聚区、矿山开采区、尾矿库、危险废物处置场、垃圾填埋场等的运营、管理单位，应当采取防渗漏等措施，并建设地下水水质监测井进行监测，防止地下水污染。</w:t>
            </w:r>
          </w:p>
          <w:p w14:paraId="3C1BE33A" w14:textId="77777777" w:rsidR="00C13ACA" w:rsidRDefault="00C13ACA" w:rsidP="00C13ACA">
            <w:pPr>
              <w:snapToGrid w:val="0"/>
              <w:ind w:firstLine="360"/>
              <w:rPr>
                <w:snapToGrid w:val="0"/>
              </w:rPr>
            </w:pPr>
            <w:r w:rsidRPr="00C13ACA">
              <w:rPr>
                <w:rFonts w:hint="eastAsia"/>
                <w:snapToGrid w:val="0"/>
              </w:rPr>
              <w:t>2.</w:t>
            </w:r>
            <w:r w:rsidRPr="00C13ACA">
              <w:rPr>
                <w:rFonts w:hint="eastAsia"/>
                <w:snapToGrid w:val="0"/>
              </w:rPr>
              <w:t>指导地下水污染防治重点排污单位优先开展地下水污染渗漏排查，针对存在问题的设施，采取污染防渗改造措施。</w:t>
            </w:r>
          </w:p>
          <w:p w14:paraId="44BE39A6" w14:textId="6C1D5391" w:rsidR="00C13ACA" w:rsidRPr="00C13ACA" w:rsidRDefault="00C13ACA" w:rsidP="00C13ACA">
            <w:pPr>
              <w:snapToGrid w:val="0"/>
              <w:ind w:firstLine="360"/>
              <w:rPr>
                <w:snapToGrid w:val="0"/>
              </w:rPr>
            </w:pPr>
            <w:r w:rsidRPr="00C13ACA">
              <w:rPr>
                <w:rFonts w:hint="eastAsia"/>
                <w:snapToGrid w:val="0"/>
              </w:rPr>
              <w:t>3.</w:t>
            </w:r>
            <w:r w:rsidRPr="00C13ACA">
              <w:rPr>
                <w:rFonts w:hint="eastAsia"/>
                <w:snapToGrid w:val="0"/>
              </w:rPr>
              <w:t>重点单位在隐患排查、监测等活动中发现工矿用地土壤和地下水存在污染迹象的，应当排查污染源，查明污染原因，采取措施防止新增污染，并参照污染地块土壤环境管理有关规定及时开展土壤和地下水环境调查与风险评估，根据调查与风险评估结果采取风险管控或者治理与修复等措施。</w:t>
            </w:r>
          </w:p>
          <w:p w14:paraId="50B66B8C" w14:textId="77777777" w:rsidR="00C13ACA" w:rsidRPr="00C13ACA" w:rsidRDefault="00C13ACA" w:rsidP="00C13ACA">
            <w:pPr>
              <w:snapToGrid w:val="0"/>
              <w:ind w:firstLine="360"/>
              <w:rPr>
                <w:snapToGrid w:val="0"/>
              </w:rPr>
            </w:pPr>
            <w:r w:rsidRPr="00C13ACA">
              <w:rPr>
                <w:rFonts w:hint="eastAsia"/>
                <w:snapToGrid w:val="0"/>
              </w:rPr>
              <w:t>污染物排放管控</w:t>
            </w:r>
          </w:p>
          <w:p w14:paraId="594204DE" w14:textId="6F3387C6" w:rsidR="00C13ACA" w:rsidRPr="00C13ACA" w:rsidRDefault="00C13ACA" w:rsidP="00C13ACA">
            <w:pPr>
              <w:snapToGrid w:val="0"/>
              <w:ind w:firstLine="360"/>
              <w:rPr>
                <w:snapToGrid w:val="0"/>
              </w:rPr>
            </w:pPr>
            <w:r w:rsidRPr="00C13ACA">
              <w:rPr>
                <w:rFonts w:hint="eastAsia"/>
                <w:snapToGrid w:val="0"/>
              </w:rPr>
              <w:t>新建、扩建“两高”项目应采用先进适用的工艺技术和装备，单位产品物耗、能耗、水耗等达到清洁生产先进水平，依法制定并严格落实防治地下水污染的措施。</w:t>
            </w:r>
          </w:p>
        </w:tc>
        <w:tc>
          <w:tcPr>
            <w:tcW w:w="1592" w:type="dxa"/>
            <w:vAlign w:val="center"/>
          </w:tcPr>
          <w:p w14:paraId="54C19D0D" w14:textId="5286B921" w:rsidR="00C13ACA" w:rsidRPr="00C13ACA" w:rsidRDefault="00C13ACA" w:rsidP="00C13ACA">
            <w:pPr>
              <w:snapToGrid w:val="0"/>
              <w:jc w:val="center"/>
              <w:rPr>
                <w:snapToGrid w:val="0"/>
              </w:rPr>
            </w:pPr>
            <w:r w:rsidRPr="00C13ACA">
              <w:rPr>
                <w:rFonts w:hint="eastAsia"/>
                <w:snapToGrid w:val="0"/>
              </w:rPr>
              <w:lastRenderedPageBreak/>
              <w:t>本项目为</w:t>
            </w:r>
            <w:r w:rsidR="006E1030">
              <w:rPr>
                <w:rFonts w:hint="eastAsia"/>
                <w:snapToGrid w:val="0"/>
              </w:rPr>
              <w:t>生活垃圾焚烧飞灰填埋</w:t>
            </w:r>
            <w:r w:rsidRPr="00C13ACA">
              <w:rPr>
                <w:rFonts w:hint="eastAsia"/>
                <w:snapToGrid w:val="0"/>
              </w:rPr>
              <w:t>项目，</w:t>
            </w:r>
            <w:r w:rsidR="00472CC5" w:rsidRPr="00472CC5">
              <w:rPr>
                <w:snapToGrid w:val="0"/>
              </w:rPr>
              <w:t>本项目填埋区采取了</w:t>
            </w:r>
            <w:r w:rsidR="006E1030" w:rsidRPr="006E1030">
              <w:rPr>
                <w:rFonts w:hint="eastAsia"/>
                <w:snapToGrid w:val="0"/>
              </w:rPr>
              <w:t>防腐蚀、</w:t>
            </w:r>
            <w:r w:rsidR="006E1030" w:rsidRPr="006E1030">
              <w:rPr>
                <w:rFonts w:hint="eastAsia"/>
                <w:snapToGrid w:val="0"/>
              </w:rPr>
              <w:lastRenderedPageBreak/>
              <w:t>防渗漏、防遗撒等土壤污染防治</w:t>
            </w:r>
            <w:r w:rsidR="006E1030">
              <w:rPr>
                <w:rFonts w:hint="eastAsia"/>
                <w:snapToGrid w:val="0"/>
              </w:rPr>
              <w:t>措施</w:t>
            </w:r>
            <w:r w:rsidR="00F0066C">
              <w:rPr>
                <w:rFonts w:hint="eastAsia"/>
                <w:snapToGrid w:val="0"/>
              </w:rPr>
              <w:t>；项目不涉及污染地块；并建设了地下水水质监测井开展监测，并提出</w:t>
            </w:r>
            <w:r w:rsidR="00F0066C" w:rsidRPr="00F0066C">
              <w:rPr>
                <w:rFonts w:hint="eastAsia"/>
                <w:snapToGrid w:val="0"/>
              </w:rPr>
              <w:t>开展地下水污染渗漏排查</w:t>
            </w:r>
            <w:r w:rsidR="00F0066C">
              <w:rPr>
                <w:rFonts w:hint="eastAsia"/>
                <w:snapToGrid w:val="0"/>
              </w:rPr>
              <w:t>要求；本项目不属于“两高”项目。</w:t>
            </w:r>
          </w:p>
        </w:tc>
        <w:tc>
          <w:tcPr>
            <w:tcW w:w="903" w:type="dxa"/>
            <w:vAlign w:val="center"/>
          </w:tcPr>
          <w:p w14:paraId="22B2E4D9" w14:textId="77777777" w:rsidR="00C13ACA" w:rsidRPr="00C13ACA" w:rsidRDefault="00C13ACA" w:rsidP="00C13ACA">
            <w:pPr>
              <w:snapToGrid w:val="0"/>
              <w:jc w:val="center"/>
              <w:rPr>
                <w:snapToGrid w:val="0"/>
              </w:rPr>
            </w:pPr>
            <w:r w:rsidRPr="00C13ACA">
              <w:rPr>
                <w:rFonts w:hint="eastAsia"/>
                <w:snapToGrid w:val="0"/>
              </w:rPr>
              <w:lastRenderedPageBreak/>
              <w:t>符合</w:t>
            </w:r>
          </w:p>
        </w:tc>
      </w:tr>
    </w:tbl>
    <w:p w14:paraId="12E5D89E" w14:textId="2DFA60EF" w:rsidR="00D740E7" w:rsidRPr="00D740E7" w:rsidRDefault="00D740E7" w:rsidP="00D740E7">
      <w:pPr>
        <w:pStyle w:val="3"/>
      </w:pPr>
      <w:bookmarkStart w:id="165" w:name="_Toc220680489"/>
      <w:r w:rsidRPr="00D740E7">
        <w:rPr>
          <w:rFonts w:hint="eastAsia"/>
        </w:rPr>
        <w:t>3.3.</w:t>
      </w:r>
      <w:r>
        <w:rPr>
          <w:rFonts w:hint="eastAsia"/>
        </w:rPr>
        <w:t>3</w:t>
      </w:r>
      <w:r w:rsidRPr="00D740E7">
        <w:rPr>
          <w:rFonts w:hint="eastAsia"/>
        </w:rPr>
        <w:t>与生态环境准入清单的符合性分析</w:t>
      </w:r>
      <w:bookmarkEnd w:id="165"/>
    </w:p>
    <w:p w14:paraId="2AF8C9E0" w14:textId="089EF62B" w:rsidR="00F0066C" w:rsidRPr="00C13ACA" w:rsidRDefault="00F0066C" w:rsidP="009151AB">
      <w:pPr>
        <w:spacing w:line="480" w:lineRule="exact"/>
        <w:jc w:val="center"/>
        <w:rPr>
          <w:rFonts w:eastAsia="黑体"/>
          <w:snapToGrid w:val="0"/>
          <w:szCs w:val="24"/>
        </w:rPr>
      </w:pPr>
      <w:r w:rsidRPr="00C13ACA">
        <w:rPr>
          <w:rFonts w:eastAsia="黑体"/>
          <w:snapToGrid w:val="0"/>
          <w:szCs w:val="24"/>
        </w:rPr>
        <w:t>表</w:t>
      </w:r>
      <w:r w:rsidR="009151AB">
        <w:rPr>
          <w:rFonts w:eastAsia="黑体" w:hint="eastAsia"/>
          <w:snapToGrid w:val="0"/>
          <w:szCs w:val="24"/>
        </w:rPr>
        <w:t xml:space="preserve">3.3-3 </w:t>
      </w:r>
      <w:r w:rsidRPr="00C13ACA">
        <w:rPr>
          <w:rFonts w:eastAsia="黑体"/>
          <w:snapToGrid w:val="0"/>
          <w:szCs w:val="24"/>
        </w:rPr>
        <w:t>与</w:t>
      </w:r>
      <w:r w:rsidRPr="00C13ACA">
        <w:rPr>
          <w:rFonts w:eastAsia="黑体" w:hint="eastAsia"/>
          <w:snapToGrid w:val="0"/>
          <w:szCs w:val="24"/>
        </w:rPr>
        <w:t>生态环境准入清单</w:t>
      </w:r>
      <w:r w:rsidRPr="00C13ACA">
        <w:rPr>
          <w:rFonts w:eastAsia="黑体"/>
          <w:snapToGrid w:val="0"/>
          <w:szCs w:val="24"/>
        </w:rPr>
        <w:t>的符合性分析</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28"/>
        <w:gridCol w:w="883"/>
        <w:gridCol w:w="785"/>
        <w:gridCol w:w="8881"/>
        <w:gridCol w:w="1592"/>
        <w:gridCol w:w="903"/>
      </w:tblGrid>
      <w:tr w:rsidR="00F0066C" w:rsidRPr="00C13ACA" w14:paraId="3106C2D5" w14:textId="77777777" w:rsidTr="00E24385">
        <w:trPr>
          <w:trHeight w:val="387"/>
          <w:jc w:val="center"/>
        </w:trPr>
        <w:tc>
          <w:tcPr>
            <w:tcW w:w="928" w:type="dxa"/>
            <w:vAlign w:val="center"/>
          </w:tcPr>
          <w:p w14:paraId="25655B76" w14:textId="62C98E9F" w:rsidR="00F0066C" w:rsidRPr="00C13ACA" w:rsidRDefault="00F0066C" w:rsidP="00E24385">
            <w:pPr>
              <w:adjustRightInd w:val="0"/>
              <w:snapToGrid w:val="0"/>
              <w:jc w:val="center"/>
              <w:rPr>
                <w:snapToGrid w:val="0"/>
              </w:rPr>
            </w:pPr>
            <w:r w:rsidRPr="00C13ACA">
              <w:rPr>
                <w:rFonts w:hint="eastAsia"/>
                <w:snapToGrid w:val="0"/>
              </w:rPr>
              <w:t>环</w:t>
            </w:r>
            <w:r w:rsidRPr="00C13ACA">
              <w:rPr>
                <w:snapToGrid w:val="0"/>
              </w:rPr>
              <w:t>境管控</w:t>
            </w:r>
            <w:r w:rsidRPr="00F0066C">
              <w:rPr>
                <w:rFonts w:hint="eastAsia"/>
                <w:snapToGrid w:val="0"/>
              </w:rPr>
              <w:t>单元</w:t>
            </w:r>
            <w:r w:rsidRPr="00C13ACA">
              <w:rPr>
                <w:snapToGrid w:val="0"/>
              </w:rPr>
              <w:t>编码</w:t>
            </w:r>
          </w:p>
        </w:tc>
        <w:tc>
          <w:tcPr>
            <w:tcW w:w="883" w:type="dxa"/>
            <w:vAlign w:val="center"/>
          </w:tcPr>
          <w:p w14:paraId="3C72837A" w14:textId="1A42072A" w:rsidR="00F0066C" w:rsidRPr="00C13ACA" w:rsidRDefault="00F0066C" w:rsidP="00E24385">
            <w:pPr>
              <w:adjustRightInd w:val="0"/>
              <w:snapToGrid w:val="0"/>
              <w:jc w:val="center"/>
              <w:rPr>
                <w:snapToGrid w:val="0"/>
              </w:rPr>
            </w:pPr>
            <w:r w:rsidRPr="00C13ACA">
              <w:rPr>
                <w:rFonts w:hint="eastAsia"/>
                <w:snapToGrid w:val="0"/>
              </w:rPr>
              <w:t>环</w:t>
            </w:r>
            <w:r w:rsidRPr="00C13ACA">
              <w:rPr>
                <w:snapToGrid w:val="0"/>
              </w:rPr>
              <w:t>境管控</w:t>
            </w:r>
            <w:r w:rsidRPr="00F0066C">
              <w:rPr>
                <w:rFonts w:hint="eastAsia"/>
                <w:snapToGrid w:val="0"/>
              </w:rPr>
              <w:t>单元</w:t>
            </w:r>
            <w:r w:rsidRPr="00C13ACA">
              <w:rPr>
                <w:snapToGrid w:val="0"/>
              </w:rPr>
              <w:t>名称</w:t>
            </w:r>
          </w:p>
        </w:tc>
        <w:tc>
          <w:tcPr>
            <w:tcW w:w="785" w:type="dxa"/>
            <w:vAlign w:val="center"/>
          </w:tcPr>
          <w:p w14:paraId="102AAF59" w14:textId="014D2B07" w:rsidR="00F0066C" w:rsidRPr="00C13ACA" w:rsidRDefault="00F0066C" w:rsidP="00E24385">
            <w:pPr>
              <w:adjustRightInd w:val="0"/>
              <w:snapToGrid w:val="0"/>
              <w:jc w:val="center"/>
              <w:rPr>
                <w:snapToGrid w:val="0"/>
              </w:rPr>
            </w:pPr>
            <w:r w:rsidRPr="00C13ACA">
              <w:rPr>
                <w:rFonts w:hint="eastAsia"/>
                <w:snapToGrid w:val="0"/>
              </w:rPr>
              <w:t>管</w:t>
            </w:r>
            <w:r w:rsidRPr="00C13ACA">
              <w:rPr>
                <w:snapToGrid w:val="0"/>
              </w:rPr>
              <w:t>控</w:t>
            </w:r>
            <w:r w:rsidRPr="00F0066C">
              <w:rPr>
                <w:rFonts w:hint="eastAsia"/>
                <w:snapToGrid w:val="0"/>
              </w:rPr>
              <w:t>单元</w:t>
            </w:r>
            <w:r>
              <w:rPr>
                <w:rFonts w:hint="eastAsia"/>
                <w:snapToGrid w:val="0"/>
              </w:rPr>
              <w:t>类型</w:t>
            </w:r>
          </w:p>
        </w:tc>
        <w:tc>
          <w:tcPr>
            <w:tcW w:w="8881" w:type="dxa"/>
            <w:vAlign w:val="center"/>
          </w:tcPr>
          <w:p w14:paraId="50959C82" w14:textId="77777777" w:rsidR="00F0066C" w:rsidRPr="00C13ACA" w:rsidRDefault="00F0066C" w:rsidP="00E24385">
            <w:pPr>
              <w:adjustRightInd w:val="0"/>
              <w:snapToGrid w:val="0"/>
              <w:jc w:val="center"/>
              <w:rPr>
                <w:snapToGrid w:val="0"/>
              </w:rPr>
            </w:pPr>
            <w:r w:rsidRPr="00C13ACA">
              <w:rPr>
                <w:rFonts w:hint="eastAsia"/>
                <w:snapToGrid w:val="0"/>
              </w:rPr>
              <w:t>管控要求</w:t>
            </w:r>
          </w:p>
        </w:tc>
        <w:tc>
          <w:tcPr>
            <w:tcW w:w="1592" w:type="dxa"/>
            <w:vAlign w:val="center"/>
          </w:tcPr>
          <w:p w14:paraId="16A20364" w14:textId="77777777" w:rsidR="00F0066C" w:rsidRPr="00C13ACA" w:rsidRDefault="00F0066C" w:rsidP="00E24385">
            <w:pPr>
              <w:adjustRightInd w:val="0"/>
              <w:snapToGrid w:val="0"/>
              <w:jc w:val="center"/>
              <w:rPr>
                <w:snapToGrid w:val="0"/>
              </w:rPr>
            </w:pPr>
            <w:r w:rsidRPr="00C13ACA">
              <w:rPr>
                <w:rFonts w:hint="eastAsia"/>
                <w:snapToGrid w:val="0"/>
              </w:rPr>
              <w:t>本项目情况</w:t>
            </w:r>
          </w:p>
        </w:tc>
        <w:tc>
          <w:tcPr>
            <w:tcW w:w="903" w:type="dxa"/>
            <w:vAlign w:val="center"/>
          </w:tcPr>
          <w:p w14:paraId="6068D6D6" w14:textId="77777777" w:rsidR="00F0066C" w:rsidRPr="00C13ACA" w:rsidRDefault="00F0066C" w:rsidP="00E24385">
            <w:pPr>
              <w:adjustRightInd w:val="0"/>
              <w:snapToGrid w:val="0"/>
              <w:jc w:val="center"/>
              <w:rPr>
                <w:snapToGrid w:val="0"/>
              </w:rPr>
            </w:pPr>
            <w:r w:rsidRPr="00C13ACA">
              <w:rPr>
                <w:rFonts w:hint="eastAsia"/>
                <w:snapToGrid w:val="0"/>
              </w:rPr>
              <w:t>符合性</w:t>
            </w:r>
          </w:p>
        </w:tc>
      </w:tr>
      <w:tr w:rsidR="00F0066C" w:rsidRPr="00C13ACA" w14:paraId="6C581E29" w14:textId="77777777" w:rsidTr="00E24385">
        <w:trPr>
          <w:trHeight w:val="395"/>
          <w:jc w:val="center"/>
        </w:trPr>
        <w:tc>
          <w:tcPr>
            <w:tcW w:w="928" w:type="dxa"/>
            <w:vAlign w:val="center"/>
          </w:tcPr>
          <w:p w14:paraId="6B6D3F37" w14:textId="3F433729" w:rsidR="00F0066C" w:rsidRPr="00C13ACA" w:rsidRDefault="00F0066C" w:rsidP="00E24385">
            <w:pPr>
              <w:adjustRightInd w:val="0"/>
              <w:snapToGrid w:val="0"/>
              <w:jc w:val="center"/>
              <w:rPr>
                <w:snapToGrid w:val="0"/>
              </w:rPr>
            </w:pPr>
            <w:r w:rsidRPr="00F0066C">
              <w:rPr>
                <w:snapToGrid w:val="0"/>
              </w:rPr>
              <w:t>ZH23060320005</w:t>
            </w:r>
          </w:p>
        </w:tc>
        <w:tc>
          <w:tcPr>
            <w:tcW w:w="883" w:type="dxa"/>
            <w:vAlign w:val="center"/>
          </w:tcPr>
          <w:p w14:paraId="591F1904" w14:textId="428C3D46" w:rsidR="00F0066C" w:rsidRPr="00C13ACA" w:rsidRDefault="00F0066C" w:rsidP="00F0066C">
            <w:pPr>
              <w:adjustRightInd w:val="0"/>
              <w:snapToGrid w:val="0"/>
              <w:rPr>
                <w:snapToGrid w:val="0"/>
              </w:rPr>
            </w:pPr>
            <w:r w:rsidRPr="00F0066C">
              <w:rPr>
                <w:rFonts w:hint="eastAsia"/>
                <w:snapToGrid w:val="0"/>
              </w:rPr>
              <w:t>龙凤区水环境工业污染重点管控区</w:t>
            </w:r>
          </w:p>
        </w:tc>
        <w:tc>
          <w:tcPr>
            <w:tcW w:w="785" w:type="dxa"/>
            <w:vAlign w:val="center"/>
          </w:tcPr>
          <w:p w14:paraId="190F87FF" w14:textId="75D6A5BC" w:rsidR="00F0066C" w:rsidRPr="00C13ACA" w:rsidRDefault="00F0066C" w:rsidP="00E24385">
            <w:pPr>
              <w:adjustRightInd w:val="0"/>
              <w:snapToGrid w:val="0"/>
              <w:jc w:val="center"/>
              <w:rPr>
                <w:snapToGrid w:val="0"/>
              </w:rPr>
            </w:pPr>
            <w:r w:rsidRPr="00F0066C">
              <w:rPr>
                <w:rFonts w:hint="eastAsia"/>
                <w:snapToGrid w:val="0"/>
              </w:rPr>
              <w:t>重点管控单元</w:t>
            </w:r>
          </w:p>
        </w:tc>
        <w:tc>
          <w:tcPr>
            <w:tcW w:w="8881" w:type="dxa"/>
            <w:vAlign w:val="center"/>
          </w:tcPr>
          <w:p w14:paraId="5BD5A147" w14:textId="77777777" w:rsidR="00F0066C" w:rsidRPr="00F0066C" w:rsidRDefault="00F0066C" w:rsidP="00F0066C">
            <w:pPr>
              <w:snapToGrid w:val="0"/>
              <w:ind w:firstLine="360"/>
              <w:rPr>
                <w:snapToGrid w:val="0"/>
              </w:rPr>
            </w:pPr>
            <w:r w:rsidRPr="00F0066C">
              <w:rPr>
                <w:rFonts w:hint="eastAsia"/>
                <w:snapToGrid w:val="0"/>
              </w:rPr>
              <w:t>一、空间布局约束</w:t>
            </w:r>
          </w:p>
          <w:p w14:paraId="5FDB09CC" w14:textId="77777777" w:rsidR="00F0066C" w:rsidRDefault="00F0066C" w:rsidP="00F0066C">
            <w:pPr>
              <w:snapToGrid w:val="0"/>
              <w:ind w:firstLine="360"/>
              <w:rPr>
                <w:snapToGrid w:val="0"/>
              </w:rPr>
            </w:pPr>
            <w:r w:rsidRPr="00F0066C">
              <w:rPr>
                <w:rFonts w:hint="eastAsia"/>
                <w:snapToGrid w:val="0"/>
              </w:rPr>
              <w:t>1.</w:t>
            </w:r>
            <w:r w:rsidRPr="00F0066C">
              <w:rPr>
                <w:rFonts w:hint="eastAsia"/>
                <w:snapToGrid w:val="0"/>
              </w:rPr>
              <w:t>水环境工业污染重点管控区同时执行：</w:t>
            </w:r>
            <w:r w:rsidRPr="00F0066C">
              <w:rPr>
                <w:rFonts w:hint="eastAsia"/>
                <w:snapToGrid w:val="0"/>
              </w:rPr>
              <w:t>1</w:t>
            </w:r>
            <w:r w:rsidRPr="00F0066C">
              <w:rPr>
                <w:rFonts w:hint="eastAsia"/>
                <w:snapToGrid w:val="0"/>
              </w:rPr>
              <w:t>）区域内严格控制高耗水、高污染行业发展。</w:t>
            </w:r>
            <w:r w:rsidRPr="00F0066C">
              <w:rPr>
                <w:rFonts w:hint="eastAsia"/>
                <w:snapToGrid w:val="0"/>
              </w:rPr>
              <w:t>2</w:t>
            </w:r>
            <w:r w:rsidRPr="00F0066C">
              <w:rPr>
                <w:rFonts w:hint="eastAsia"/>
                <w:snapToGrid w:val="0"/>
              </w:rPr>
              <w:t>）加快淘汰落后产能，大力推进产业结构调整和优化升级。</w:t>
            </w:r>
            <w:r w:rsidRPr="00F0066C">
              <w:rPr>
                <w:rFonts w:hint="eastAsia"/>
                <w:snapToGrid w:val="0"/>
              </w:rPr>
              <w:t>3</w:t>
            </w:r>
            <w:r w:rsidRPr="00F0066C">
              <w:rPr>
                <w:rFonts w:hint="eastAsia"/>
                <w:snapToGrid w:val="0"/>
              </w:rPr>
              <w:t>）根据水资源和水环境承载能力，以水定城、以水定地、以水定人、以水定产。</w:t>
            </w:r>
          </w:p>
          <w:p w14:paraId="5E7A8041" w14:textId="110AA14F" w:rsidR="00F0066C" w:rsidRPr="00F0066C" w:rsidRDefault="00F0066C" w:rsidP="00F0066C">
            <w:pPr>
              <w:snapToGrid w:val="0"/>
              <w:ind w:firstLine="360"/>
              <w:rPr>
                <w:snapToGrid w:val="0"/>
              </w:rPr>
            </w:pPr>
            <w:r w:rsidRPr="00F0066C">
              <w:rPr>
                <w:rFonts w:hint="eastAsia"/>
                <w:snapToGrid w:val="0"/>
              </w:rPr>
              <w:t>2.</w:t>
            </w:r>
            <w:r w:rsidRPr="00F0066C">
              <w:rPr>
                <w:rFonts w:hint="eastAsia"/>
                <w:snapToGrid w:val="0"/>
              </w:rPr>
              <w:t>大气环境布局敏感重点管控区同时执行：</w:t>
            </w:r>
            <w:r w:rsidRPr="00F0066C">
              <w:rPr>
                <w:rFonts w:hint="eastAsia"/>
                <w:snapToGrid w:val="0"/>
              </w:rPr>
              <w:t>1</w:t>
            </w:r>
            <w:r w:rsidRPr="00F0066C">
              <w:rPr>
                <w:rFonts w:hint="eastAsia"/>
                <w:snapToGrid w:val="0"/>
              </w:rPr>
              <w:t>）严控“两高”行业产能。严格执行钢铁、水泥、平板玻璃等行业产能置换实施办法。</w:t>
            </w:r>
            <w:r w:rsidRPr="00F0066C">
              <w:rPr>
                <w:rFonts w:hint="eastAsia"/>
                <w:snapToGrid w:val="0"/>
              </w:rPr>
              <w:t>2</w:t>
            </w:r>
            <w:r w:rsidRPr="00F0066C">
              <w:rPr>
                <w:rFonts w:hint="eastAsia"/>
                <w:snapToGrid w:val="0"/>
              </w:rPr>
              <w:t>）利用水泥窑协同处置城市生活垃圾、危险废弃物、电石渣等固废伴生水泥项目，必须依托现有新型干法水泥熟料生产线进行不扩产能改造。</w:t>
            </w:r>
          </w:p>
          <w:p w14:paraId="1C973713" w14:textId="77777777" w:rsidR="00F0066C" w:rsidRPr="00F0066C" w:rsidRDefault="00F0066C" w:rsidP="00F0066C">
            <w:pPr>
              <w:snapToGrid w:val="0"/>
              <w:ind w:firstLine="360"/>
              <w:rPr>
                <w:snapToGrid w:val="0"/>
              </w:rPr>
            </w:pPr>
            <w:r w:rsidRPr="00F0066C">
              <w:rPr>
                <w:rFonts w:hint="eastAsia"/>
                <w:snapToGrid w:val="0"/>
              </w:rPr>
              <w:t>二、污染物排放管控</w:t>
            </w:r>
          </w:p>
          <w:p w14:paraId="1C4CE262" w14:textId="77777777" w:rsidR="00F0066C" w:rsidRDefault="00F0066C" w:rsidP="00F0066C">
            <w:pPr>
              <w:snapToGrid w:val="0"/>
              <w:ind w:firstLine="360"/>
              <w:rPr>
                <w:snapToGrid w:val="0"/>
              </w:rPr>
            </w:pPr>
            <w:r w:rsidRPr="00F0066C">
              <w:rPr>
                <w:rFonts w:hint="eastAsia"/>
                <w:snapToGrid w:val="0"/>
              </w:rPr>
              <w:lastRenderedPageBreak/>
              <w:t>1.</w:t>
            </w:r>
            <w:r w:rsidRPr="00F0066C">
              <w:rPr>
                <w:rFonts w:hint="eastAsia"/>
                <w:snapToGrid w:val="0"/>
              </w:rPr>
              <w:t>水环境工业污染重点管控区同时执行：</w:t>
            </w:r>
            <w:r w:rsidRPr="00F0066C">
              <w:rPr>
                <w:rFonts w:hint="eastAsia"/>
                <w:snapToGrid w:val="0"/>
              </w:rPr>
              <w:t>1</w:t>
            </w:r>
            <w:r w:rsidRPr="00F0066C">
              <w:rPr>
                <w:rFonts w:hint="eastAsia"/>
                <w:snapToGrid w:val="0"/>
              </w:rPr>
              <w:t>）新建、改建和扩建项目应当优先采用资源利用率高以及污染物产生量少的清洁生产技术、工艺和设备。</w:t>
            </w:r>
            <w:r w:rsidRPr="00F0066C">
              <w:rPr>
                <w:rFonts w:hint="eastAsia"/>
                <w:snapToGrid w:val="0"/>
              </w:rPr>
              <w:t>2</w:t>
            </w:r>
            <w:r w:rsidRPr="00F0066C">
              <w:rPr>
                <w:rFonts w:hint="eastAsia"/>
                <w:snapToGrid w:val="0"/>
              </w:rPr>
              <w:t>）集中治理工业集聚区内工业废水，区内工业废水必须经预处理达到集中处理要求后，方可进入污水集中处理设施。新建、升级工业集聚区应同步规划和建设污水、垃圾集中处理等污染治理设施。</w:t>
            </w:r>
          </w:p>
          <w:p w14:paraId="6309CAD7" w14:textId="7113B67E" w:rsidR="00F0066C" w:rsidRPr="00F0066C" w:rsidRDefault="00F0066C" w:rsidP="00F0066C">
            <w:pPr>
              <w:snapToGrid w:val="0"/>
              <w:ind w:firstLine="360"/>
              <w:rPr>
                <w:snapToGrid w:val="0"/>
              </w:rPr>
            </w:pPr>
            <w:r w:rsidRPr="00F0066C">
              <w:rPr>
                <w:rFonts w:hint="eastAsia"/>
                <w:snapToGrid w:val="0"/>
              </w:rPr>
              <w:t>2.</w:t>
            </w:r>
            <w:r w:rsidRPr="00F0066C">
              <w:rPr>
                <w:rFonts w:hint="eastAsia"/>
                <w:snapToGrid w:val="0"/>
              </w:rPr>
              <w:t>大气环境布局敏感重点管控区同时执行：</w:t>
            </w:r>
            <w:r w:rsidRPr="00F0066C">
              <w:rPr>
                <w:rFonts w:hint="eastAsia"/>
                <w:snapToGrid w:val="0"/>
              </w:rPr>
              <w:t>1</w:t>
            </w:r>
            <w:r w:rsidRPr="00F0066C">
              <w:rPr>
                <w:rFonts w:hint="eastAsia"/>
                <w:snapToGrid w:val="0"/>
              </w:rPr>
              <w:t>）对以煤、石焦油、渣油、重油等为燃料的锅炉和工业炉窑，加快使用清洁低碳能源以及工厂余热、电力热力等进行替代。</w:t>
            </w:r>
            <w:r w:rsidRPr="00F0066C">
              <w:rPr>
                <w:rFonts w:hint="eastAsia"/>
                <w:snapToGrid w:val="0"/>
              </w:rPr>
              <w:t>2</w:t>
            </w:r>
            <w:r w:rsidRPr="00F0066C">
              <w:rPr>
                <w:rFonts w:hint="eastAsia"/>
                <w:snapToGrid w:val="0"/>
              </w:rPr>
              <w:t>）到</w:t>
            </w:r>
            <w:r w:rsidRPr="00F0066C">
              <w:rPr>
                <w:rFonts w:hint="eastAsia"/>
                <w:snapToGrid w:val="0"/>
              </w:rPr>
              <w:t>2025</w:t>
            </w:r>
            <w:r w:rsidRPr="00F0066C">
              <w:rPr>
                <w:rFonts w:hint="eastAsia"/>
                <w:snapToGrid w:val="0"/>
              </w:rPr>
              <w:t>年，在用</w:t>
            </w:r>
            <w:r w:rsidRPr="00F0066C">
              <w:rPr>
                <w:rFonts w:hint="eastAsia"/>
                <w:snapToGrid w:val="0"/>
              </w:rPr>
              <w:t>65</w:t>
            </w:r>
            <w:r w:rsidRPr="00F0066C">
              <w:rPr>
                <w:rFonts w:hint="eastAsia"/>
                <w:snapToGrid w:val="0"/>
              </w:rPr>
              <w:t>蒸吨</w:t>
            </w:r>
            <w:r w:rsidRPr="00F0066C">
              <w:rPr>
                <w:rFonts w:hint="eastAsia"/>
                <w:snapToGrid w:val="0"/>
              </w:rPr>
              <w:t>/</w:t>
            </w:r>
            <w:r w:rsidRPr="00F0066C">
              <w:rPr>
                <w:rFonts w:hint="eastAsia"/>
                <w:snapToGrid w:val="0"/>
              </w:rPr>
              <w:t>小时以上的燃煤锅炉（含电力）实现超低排放，钢铁企业基本实现超低排放。</w:t>
            </w:r>
          </w:p>
          <w:p w14:paraId="09B775F9" w14:textId="77777777" w:rsidR="00F0066C" w:rsidRPr="00F0066C" w:rsidRDefault="00F0066C" w:rsidP="00F0066C">
            <w:pPr>
              <w:snapToGrid w:val="0"/>
              <w:ind w:firstLine="360"/>
              <w:rPr>
                <w:snapToGrid w:val="0"/>
              </w:rPr>
            </w:pPr>
            <w:r w:rsidRPr="00F0066C">
              <w:rPr>
                <w:rFonts w:hint="eastAsia"/>
                <w:snapToGrid w:val="0"/>
              </w:rPr>
              <w:t>三、环境风险防控</w:t>
            </w:r>
          </w:p>
          <w:p w14:paraId="1E25B75A" w14:textId="77777777" w:rsidR="00F0066C" w:rsidRDefault="00F0066C" w:rsidP="00F0066C">
            <w:pPr>
              <w:snapToGrid w:val="0"/>
              <w:ind w:firstLine="360"/>
              <w:rPr>
                <w:snapToGrid w:val="0"/>
              </w:rPr>
            </w:pPr>
            <w:r w:rsidRPr="00F0066C">
              <w:rPr>
                <w:rFonts w:hint="eastAsia"/>
                <w:snapToGrid w:val="0"/>
              </w:rPr>
              <w:t>1.</w:t>
            </w:r>
            <w:r w:rsidRPr="00F0066C">
              <w:rPr>
                <w:rFonts w:hint="eastAsia"/>
                <w:snapToGrid w:val="0"/>
              </w:rPr>
              <w:t>排放《有毒有害水污染物名录》所列有毒有害水污染物的企业事业单位和其他生产经营者，应当对排污口和周边环境进行监测，评估环境风险，排查环境安全隐患，并公开有毒有害水污染物信息，采取有效措施防范环境风险。</w:t>
            </w:r>
          </w:p>
          <w:p w14:paraId="6842910B" w14:textId="77777777" w:rsidR="00F0066C" w:rsidRDefault="00F0066C" w:rsidP="00F0066C">
            <w:pPr>
              <w:snapToGrid w:val="0"/>
              <w:ind w:firstLine="360"/>
              <w:rPr>
                <w:snapToGrid w:val="0"/>
              </w:rPr>
            </w:pPr>
            <w:r w:rsidRPr="00F0066C">
              <w:rPr>
                <w:rFonts w:hint="eastAsia"/>
                <w:snapToGrid w:val="0"/>
              </w:rPr>
              <w:t>2.</w:t>
            </w:r>
            <w:r w:rsidRPr="00F0066C">
              <w:rPr>
                <w:rFonts w:hint="eastAsia"/>
                <w:snapToGrid w:val="0"/>
              </w:rPr>
              <w:t>水环境工业污染重点管控区同时执行：排放《有毒有害水污染物名录》所列有毒有害水污染物的企业事业单位和其他生产经营者，应当对排污口和周边环境进行监测，评估环境风险，排查环境安全隐患，并公开有毒有害水污染物信息，采取有效措施防范环境风险。</w:t>
            </w:r>
          </w:p>
          <w:p w14:paraId="686B9B2E" w14:textId="27F7CB64" w:rsidR="00F0066C" w:rsidRPr="00F0066C" w:rsidRDefault="00F0066C" w:rsidP="00F0066C">
            <w:pPr>
              <w:snapToGrid w:val="0"/>
              <w:ind w:firstLine="360"/>
              <w:rPr>
                <w:snapToGrid w:val="0"/>
              </w:rPr>
            </w:pPr>
            <w:r w:rsidRPr="00F0066C">
              <w:rPr>
                <w:rFonts w:hint="eastAsia"/>
                <w:snapToGrid w:val="0"/>
              </w:rPr>
              <w:t>3.</w:t>
            </w:r>
            <w:r w:rsidRPr="00F0066C">
              <w:rPr>
                <w:rFonts w:hint="eastAsia"/>
                <w:snapToGrid w:val="0"/>
              </w:rPr>
              <w:t>大气环境布局敏感重点管控区同时执行：禁止在居民区、学校、医疗和养老机构等周边新建有色金属冶炼、焦化等行业企业。</w:t>
            </w:r>
          </w:p>
          <w:p w14:paraId="032D1C2A" w14:textId="77777777" w:rsidR="00F0066C" w:rsidRPr="00F0066C" w:rsidRDefault="00F0066C" w:rsidP="00F0066C">
            <w:pPr>
              <w:snapToGrid w:val="0"/>
              <w:ind w:firstLine="360"/>
              <w:rPr>
                <w:snapToGrid w:val="0"/>
              </w:rPr>
            </w:pPr>
            <w:r w:rsidRPr="00F0066C">
              <w:rPr>
                <w:rFonts w:hint="eastAsia"/>
                <w:snapToGrid w:val="0"/>
              </w:rPr>
              <w:t>四、资源开发效率要求</w:t>
            </w:r>
          </w:p>
          <w:p w14:paraId="5C5DAD4F" w14:textId="2D402650" w:rsidR="00F0066C" w:rsidRPr="00C13ACA" w:rsidRDefault="00F0066C" w:rsidP="00F0066C">
            <w:pPr>
              <w:snapToGrid w:val="0"/>
              <w:ind w:firstLine="360"/>
              <w:rPr>
                <w:snapToGrid w:val="0"/>
              </w:rPr>
            </w:pPr>
            <w:r w:rsidRPr="00F0066C">
              <w:rPr>
                <w:rFonts w:hint="eastAsia"/>
                <w:snapToGrid w:val="0"/>
              </w:rPr>
              <w:t>地下水超采区同时执行：</w:t>
            </w:r>
            <w:r w:rsidRPr="00F0066C">
              <w:rPr>
                <w:rFonts w:hint="eastAsia"/>
                <w:snapToGrid w:val="0"/>
              </w:rPr>
              <w:t>1</w:t>
            </w:r>
            <w:r w:rsidRPr="00F0066C">
              <w:rPr>
                <w:rFonts w:hint="eastAsia"/>
                <w:snapToGrid w:val="0"/>
              </w:rPr>
              <w:t>）地下水超采地区，县级以上地方人民政府应当采取措施，制定地下水压采方案并严格落实，严格控制开采地下水。</w:t>
            </w:r>
            <w:r w:rsidRPr="00F0066C">
              <w:rPr>
                <w:rFonts w:hint="eastAsia"/>
                <w:snapToGrid w:val="0"/>
              </w:rPr>
              <w:t>2</w:t>
            </w:r>
            <w:r w:rsidRPr="00F0066C">
              <w:rPr>
                <w:rFonts w:hint="eastAsia"/>
                <w:snapToGrid w:val="0"/>
              </w:rPr>
              <w:t>）禁止地下水超采区工业建设项目和服务业新增取用地下水，逐步削减超采量，逐渐实现地下水采补平衡。确需新建、改扩建地下水取水工程的，报省级水行政主管部门批准。</w:t>
            </w:r>
          </w:p>
        </w:tc>
        <w:tc>
          <w:tcPr>
            <w:tcW w:w="1592" w:type="dxa"/>
            <w:vAlign w:val="center"/>
          </w:tcPr>
          <w:p w14:paraId="10CEA7BD" w14:textId="13C0F088" w:rsidR="00F0066C" w:rsidRPr="00C13ACA" w:rsidRDefault="00F0066C" w:rsidP="00E24385">
            <w:pPr>
              <w:snapToGrid w:val="0"/>
              <w:jc w:val="center"/>
              <w:rPr>
                <w:snapToGrid w:val="0"/>
              </w:rPr>
            </w:pPr>
            <w:r w:rsidRPr="00C13ACA">
              <w:rPr>
                <w:rFonts w:hint="eastAsia"/>
                <w:snapToGrid w:val="0"/>
              </w:rPr>
              <w:lastRenderedPageBreak/>
              <w:t>本项目为</w:t>
            </w:r>
            <w:r>
              <w:rPr>
                <w:rFonts w:hint="eastAsia"/>
                <w:snapToGrid w:val="0"/>
              </w:rPr>
              <w:t>生活垃圾焚烧飞灰填埋</w:t>
            </w:r>
            <w:r w:rsidRPr="00C13ACA">
              <w:rPr>
                <w:rFonts w:hint="eastAsia"/>
                <w:snapToGrid w:val="0"/>
              </w:rPr>
              <w:t>项目，</w:t>
            </w:r>
            <w:r w:rsidR="002334E9">
              <w:rPr>
                <w:rFonts w:hint="eastAsia"/>
                <w:snapToGrid w:val="0"/>
              </w:rPr>
              <w:t>不新增新鲜水用量，</w:t>
            </w:r>
            <w:r w:rsidR="00E05673">
              <w:rPr>
                <w:rFonts w:hint="eastAsia"/>
                <w:snapToGrid w:val="0"/>
              </w:rPr>
              <w:t>不属于“两高”项目，也不属于伴生水泥项</w:t>
            </w:r>
            <w:r w:rsidR="00E05673">
              <w:rPr>
                <w:rFonts w:hint="eastAsia"/>
                <w:snapToGrid w:val="0"/>
              </w:rPr>
              <w:lastRenderedPageBreak/>
              <w:t>目；</w:t>
            </w:r>
            <w:r w:rsidR="00A600CD">
              <w:rPr>
                <w:rFonts w:hint="eastAsia"/>
                <w:snapToGrid w:val="0"/>
              </w:rPr>
              <w:t>填埋区产生的淋溶水经处理后回用，不外排；本项目不新增锅炉。本项目不属于</w:t>
            </w:r>
            <w:r w:rsidR="00A600CD" w:rsidRPr="00F0066C">
              <w:rPr>
                <w:rFonts w:hint="eastAsia"/>
                <w:snapToGrid w:val="0"/>
              </w:rPr>
              <w:t>有色金属冶炼、焦化等行业</w:t>
            </w:r>
            <w:r w:rsidR="00A600CD">
              <w:rPr>
                <w:rFonts w:hint="eastAsia"/>
                <w:snapToGrid w:val="0"/>
              </w:rPr>
              <w:t>，且采取了有效的风险防范措施，</w:t>
            </w:r>
            <w:r w:rsidR="00E05673" w:rsidRPr="00C13ACA">
              <w:rPr>
                <w:rFonts w:hint="eastAsia"/>
                <w:snapToGrid w:val="0"/>
              </w:rPr>
              <w:t xml:space="preserve"> </w:t>
            </w:r>
            <w:r w:rsidR="00A600CD">
              <w:rPr>
                <w:rFonts w:hint="eastAsia"/>
                <w:snapToGrid w:val="0"/>
              </w:rPr>
              <w:t>项目不涉及地下水开采。</w:t>
            </w:r>
          </w:p>
        </w:tc>
        <w:tc>
          <w:tcPr>
            <w:tcW w:w="903" w:type="dxa"/>
            <w:vAlign w:val="center"/>
          </w:tcPr>
          <w:p w14:paraId="6305B0AF" w14:textId="77777777" w:rsidR="00F0066C" w:rsidRPr="00C13ACA" w:rsidRDefault="00F0066C" w:rsidP="00E24385">
            <w:pPr>
              <w:snapToGrid w:val="0"/>
              <w:jc w:val="center"/>
              <w:rPr>
                <w:snapToGrid w:val="0"/>
              </w:rPr>
            </w:pPr>
            <w:r w:rsidRPr="00C13ACA">
              <w:rPr>
                <w:rFonts w:hint="eastAsia"/>
                <w:snapToGrid w:val="0"/>
              </w:rPr>
              <w:lastRenderedPageBreak/>
              <w:t>符合</w:t>
            </w:r>
          </w:p>
        </w:tc>
      </w:tr>
    </w:tbl>
    <w:p w14:paraId="753DFD78" w14:textId="77777777" w:rsidR="00F0066C" w:rsidRDefault="00F0066C" w:rsidP="00A4011B">
      <w:pPr>
        <w:spacing w:line="480" w:lineRule="exact"/>
        <w:ind w:firstLine="480"/>
        <w:rPr>
          <w:szCs w:val="24"/>
        </w:rPr>
      </w:pPr>
    </w:p>
    <w:p w14:paraId="5CC34B68" w14:textId="77777777" w:rsidR="00F0066C" w:rsidRDefault="00F0066C" w:rsidP="00A4011B">
      <w:pPr>
        <w:spacing w:line="480" w:lineRule="exact"/>
        <w:ind w:firstLine="480"/>
        <w:rPr>
          <w:szCs w:val="24"/>
        </w:rPr>
        <w:sectPr w:rsidR="00F0066C" w:rsidSect="004C47D8">
          <w:pgSz w:w="16838" w:h="11905" w:orient="landscape"/>
          <w:pgMar w:top="1474" w:right="1418" w:bottom="1474" w:left="1418" w:header="851" w:footer="851" w:gutter="113"/>
          <w:cols w:space="0"/>
          <w:docGrid w:linePitch="326"/>
        </w:sectPr>
      </w:pPr>
    </w:p>
    <w:p w14:paraId="7B4FD7A0" w14:textId="5A6AEB6A" w:rsidR="00606029" w:rsidRDefault="00EA5B92">
      <w:pPr>
        <w:pStyle w:val="2"/>
      </w:pPr>
      <w:bookmarkStart w:id="166" w:name="_Toc220680490"/>
      <w:bookmarkEnd w:id="161"/>
      <w:bookmarkEnd w:id="162"/>
      <w:bookmarkEnd w:id="163"/>
      <w:r>
        <w:lastRenderedPageBreak/>
        <w:t>3.</w:t>
      </w:r>
      <w:r w:rsidR="00D740E7">
        <w:rPr>
          <w:rFonts w:hint="eastAsia"/>
        </w:rPr>
        <w:t>4</w:t>
      </w:r>
      <w:r>
        <w:t>与《</w:t>
      </w:r>
      <w:r w:rsidR="004E5FFD">
        <w:t>大庆市</w:t>
      </w:r>
      <w:r>
        <w:t>“</w:t>
      </w:r>
      <w:r>
        <w:t>十四五</w:t>
      </w:r>
      <w:r>
        <w:t>”</w:t>
      </w:r>
      <w:r>
        <w:t>生态环境保护规划》</w:t>
      </w:r>
      <w:r w:rsidR="008715DF" w:rsidRPr="008715DF">
        <w:rPr>
          <w:rFonts w:hint="eastAsia"/>
        </w:rPr>
        <w:t>符合性分析</w:t>
      </w:r>
      <w:bookmarkEnd w:id="166"/>
    </w:p>
    <w:p w14:paraId="2DC29280" w14:textId="25256195" w:rsidR="0087686B" w:rsidRDefault="0087686B" w:rsidP="0087686B">
      <w:pPr>
        <w:pStyle w:val="affffff4"/>
      </w:pPr>
      <w:r w:rsidRPr="0087686B">
        <w:rPr>
          <w:rFonts w:hint="eastAsia"/>
        </w:rPr>
        <w:t>《大庆市“十四五”生态环境保护规划》</w:t>
      </w:r>
      <w:r>
        <w:rPr>
          <w:rFonts w:hint="eastAsia"/>
        </w:rPr>
        <w:t>提出：大力推进“无废城市”建设。推进重点产废单位“减量化、资源化、无害化”工作。抓好油田采油环节各类固废的源头减量、分类处置工作。进一步推进历史遗留固体废物的排查整治，通过拓展工业固体废物的综合利用渠道和效率，最终实现产业绿色转型。</w:t>
      </w:r>
    </w:p>
    <w:p w14:paraId="6F3F3837" w14:textId="340EEC31" w:rsidR="00606029" w:rsidRDefault="0087686B" w:rsidP="0087686B">
      <w:pPr>
        <w:pStyle w:val="affffff4"/>
      </w:pPr>
      <w:r>
        <w:rPr>
          <w:rFonts w:hint="eastAsia"/>
        </w:rPr>
        <w:t>本项目为生活垃圾焚烧飞灰填埋项目，对生活垃圾焚烧飞灰处置提供了</w:t>
      </w:r>
      <w:r w:rsidR="00954E5D">
        <w:rPr>
          <w:rFonts w:hint="eastAsia"/>
        </w:rPr>
        <w:t>去向</w:t>
      </w:r>
      <w:r>
        <w:rPr>
          <w:rFonts w:hint="eastAsia"/>
        </w:rPr>
        <w:t>，符合《大庆市“十四五”生态环境保护规划》要求</w:t>
      </w:r>
      <w:r w:rsidR="00EA5B92">
        <w:t>。</w:t>
      </w:r>
    </w:p>
    <w:p w14:paraId="675C7F7A" w14:textId="55E52E4A" w:rsidR="00606029" w:rsidRDefault="00EA5B92">
      <w:pPr>
        <w:pStyle w:val="2"/>
      </w:pPr>
      <w:bookmarkStart w:id="167" w:name="_Toc220680491"/>
      <w:r>
        <w:t>3.</w:t>
      </w:r>
      <w:r w:rsidR="0087686B">
        <w:rPr>
          <w:rFonts w:hint="eastAsia"/>
        </w:rPr>
        <w:t>5</w:t>
      </w:r>
      <w:r>
        <w:t>与《</w:t>
      </w:r>
      <w:r w:rsidR="004E5FFD">
        <w:t>大庆市</w:t>
      </w:r>
      <w:r>
        <w:t>国土空间总体规划</w:t>
      </w:r>
      <w:r w:rsidR="00954E5D">
        <w:rPr>
          <w:rFonts w:hint="eastAsia"/>
        </w:rPr>
        <w:t>（</w:t>
      </w:r>
      <w:r w:rsidR="00954E5D">
        <w:t>2021-2035</w:t>
      </w:r>
      <w:r w:rsidR="00954E5D">
        <w:t>年</w:t>
      </w:r>
      <w:r w:rsidR="00954E5D">
        <w:rPr>
          <w:rFonts w:hint="eastAsia"/>
        </w:rPr>
        <w:t>）</w:t>
      </w:r>
      <w:r>
        <w:t>》符合性分析</w:t>
      </w:r>
      <w:bookmarkEnd w:id="167"/>
    </w:p>
    <w:p w14:paraId="629361EE" w14:textId="2E39E8C8" w:rsidR="00606029" w:rsidRDefault="005F27B2">
      <w:pPr>
        <w:pStyle w:val="affffff4"/>
      </w:pPr>
      <w:bookmarkStart w:id="168" w:name="_Hlk219636348"/>
      <w:r w:rsidRPr="005F27B2">
        <w:rPr>
          <w:rFonts w:hint="eastAsia"/>
        </w:rPr>
        <w:t>《大庆市国土空间总体规划（</w:t>
      </w:r>
      <w:r w:rsidRPr="005F27B2">
        <w:rPr>
          <w:rFonts w:hint="eastAsia"/>
        </w:rPr>
        <w:t>2021-2035</w:t>
      </w:r>
      <w:r w:rsidRPr="005F27B2">
        <w:rPr>
          <w:rFonts w:hint="eastAsia"/>
        </w:rPr>
        <w:t>年）》</w:t>
      </w:r>
      <w:bookmarkEnd w:id="168"/>
      <w:r>
        <w:rPr>
          <w:rFonts w:hint="eastAsia"/>
        </w:rPr>
        <w:t>提出：</w:t>
      </w:r>
      <w:r w:rsidRPr="005F27B2">
        <w:rPr>
          <w:rFonts w:hint="eastAsia"/>
        </w:rPr>
        <w:t>国土空间开发利用更加集约高效，国土空间开发保护格局得到全面优化，初步形成有序的农业、生态、能源、城镇空间格局，对粮食安全、生态安全、能源安全的保障能力显著增强，人与自然的关系日趋和谐。城市品质和活力进一步提升，对优质人才和产业项目的吸引集聚能力有效增强。</w:t>
      </w:r>
      <w:bookmarkStart w:id="169" w:name="OLE_LINK12"/>
      <w:r w:rsidRPr="005F27B2">
        <w:rPr>
          <w:rFonts w:hint="eastAsia"/>
        </w:rPr>
        <w:t>城市用地布局更加集约高效，公共服务设施水平达到东北地区城市先进水平</w:t>
      </w:r>
      <w:bookmarkEnd w:id="169"/>
      <w:r w:rsidRPr="005F27B2">
        <w:rPr>
          <w:rFonts w:hint="eastAsia"/>
        </w:rPr>
        <w:t>，道路交通、市政设施承载功能全面增强，吸引集聚优秀人才、重点产业项目和战略投资者，成为极具活力的民营经济创新发展示范城市。</w:t>
      </w:r>
    </w:p>
    <w:p w14:paraId="4B20D5E8" w14:textId="555BE2B5" w:rsidR="00606029" w:rsidRDefault="00EA5B92">
      <w:pPr>
        <w:pStyle w:val="affffff4"/>
      </w:pPr>
      <w:r>
        <w:t>本项目</w:t>
      </w:r>
      <w:r w:rsidR="005F27B2">
        <w:rPr>
          <w:rFonts w:hint="eastAsia"/>
        </w:rPr>
        <w:t>为生活垃圾焚烧飞灰填埋项目，位于原大庆生活垃圾综合处理厂</w:t>
      </w:r>
      <w:r>
        <w:t>场区范围内，厂区用地已划为建设用地，符合</w:t>
      </w:r>
      <w:r w:rsidR="005F27B2" w:rsidRPr="005F27B2">
        <w:rPr>
          <w:rFonts w:hint="eastAsia"/>
        </w:rPr>
        <w:t>《大庆市国土空间总体规划（</w:t>
      </w:r>
      <w:r w:rsidR="005F27B2" w:rsidRPr="005F27B2">
        <w:rPr>
          <w:rFonts w:hint="eastAsia"/>
        </w:rPr>
        <w:t>2021-2035</w:t>
      </w:r>
      <w:r w:rsidR="005F27B2" w:rsidRPr="005F27B2">
        <w:rPr>
          <w:rFonts w:hint="eastAsia"/>
        </w:rPr>
        <w:t>年）》</w:t>
      </w:r>
      <w:r w:rsidR="005F27B2">
        <w:rPr>
          <w:rFonts w:hint="eastAsia"/>
        </w:rPr>
        <w:t>中</w:t>
      </w:r>
      <w:r w:rsidR="005F27B2" w:rsidRPr="005F27B2">
        <w:rPr>
          <w:rFonts w:hint="eastAsia"/>
        </w:rPr>
        <w:t>城市用地布局更加集约高效，公共服务设施水平达到东北地区城市先进水</w:t>
      </w:r>
      <w:r w:rsidR="005F27B2">
        <w:rPr>
          <w:rFonts w:hint="eastAsia"/>
        </w:rPr>
        <w:t>平的要求</w:t>
      </w:r>
      <w:r>
        <w:t>。</w:t>
      </w:r>
    </w:p>
    <w:p w14:paraId="034D2842" w14:textId="07344390" w:rsidR="00606029" w:rsidRDefault="00EA5B92">
      <w:pPr>
        <w:pStyle w:val="2"/>
      </w:pPr>
      <w:bookmarkStart w:id="170" w:name="_Toc220680492"/>
      <w:r>
        <w:t>3.</w:t>
      </w:r>
      <w:r w:rsidR="008715DF">
        <w:rPr>
          <w:rFonts w:hint="eastAsia"/>
        </w:rPr>
        <w:t>6</w:t>
      </w:r>
      <w:r>
        <w:t>与</w:t>
      </w:r>
      <w:bookmarkStart w:id="171" w:name="_Hlk219637555"/>
      <w:r>
        <w:t>《</w:t>
      </w:r>
      <w:r w:rsidR="008715DF">
        <w:rPr>
          <w:rFonts w:hint="eastAsia"/>
        </w:rPr>
        <w:t>黑龙江</w:t>
      </w:r>
      <w:r>
        <w:t>省固体废物污染环境防治条例》</w:t>
      </w:r>
      <w:bookmarkEnd w:id="171"/>
      <w:r>
        <w:t>符合性分析</w:t>
      </w:r>
      <w:bookmarkEnd w:id="170"/>
    </w:p>
    <w:p w14:paraId="3D8C8A3B" w14:textId="337A69A7" w:rsidR="00B31FA0" w:rsidRPr="00B31FA0" w:rsidRDefault="00B31FA0" w:rsidP="00B31FA0">
      <w:pPr>
        <w:pStyle w:val="affffff4"/>
      </w:pPr>
      <w:r w:rsidRPr="00B31FA0">
        <w:rPr>
          <w:rFonts w:hint="eastAsia"/>
        </w:rPr>
        <w:t>《黑龙江省固体废物污染环境防治条例》第三十七条</w:t>
      </w:r>
      <w:r w:rsidRPr="00B31FA0">
        <w:rPr>
          <w:rFonts w:hint="eastAsia"/>
        </w:rPr>
        <w:t xml:space="preserve"> </w:t>
      </w:r>
      <w:r w:rsidRPr="00B31FA0">
        <w:rPr>
          <w:rFonts w:hint="eastAsia"/>
        </w:rPr>
        <w:t>生活垃圾分类坚持政府推动、全民参与、城乡统筹、因地制宜、简便易行的原则。</w:t>
      </w:r>
    </w:p>
    <w:p w14:paraId="539FD392" w14:textId="77777777" w:rsidR="00B31FA0" w:rsidRPr="00B31FA0" w:rsidRDefault="00B31FA0" w:rsidP="00B31FA0">
      <w:pPr>
        <w:pStyle w:val="affffff4"/>
      </w:pPr>
      <w:r w:rsidRPr="00B31FA0">
        <w:rPr>
          <w:rFonts w:hint="eastAsia"/>
        </w:rPr>
        <w:t>县级以上人民政府应当加强和统筹生活垃圾分类管理能力建设，加快建立并落实生活垃圾分类投放、分类收集、分类运输、分类处理的制度机制，统筹安排建设城乡生活垃圾收集、运输、处理设施，提高生活垃圾的综合利用和无害化处置水平，促进生活垃圾收集、处理的产业化发展。</w:t>
      </w:r>
    </w:p>
    <w:p w14:paraId="420E1603" w14:textId="03DA0233" w:rsidR="00606029" w:rsidRPr="00B31FA0" w:rsidRDefault="00B31FA0" w:rsidP="00B31FA0">
      <w:pPr>
        <w:pStyle w:val="affffff4"/>
      </w:pPr>
      <w:r w:rsidRPr="00B31FA0">
        <w:rPr>
          <w:rFonts w:hint="eastAsia"/>
        </w:rPr>
        <w:t>本项目为生活垃圾焚烧飞灰填埋项目，</w:t>
      </w:r>
      <w:r>
        <w:rPr>
          <w:rFonts w:hint="eastAsia"/>
        </w:rPr>
        <w:t>符合</w:t>
      </w:r>
      <w:r w:rsidRPr="00B31FA0">
        <w:rPr>
          <w:rFonts w:hint="eastAsia"/>
        </w:rPr>
        <w:t>《黑龙江省固体废物污染环境防治条例》</w:t>
      </w:r>
      <w:r>
        <w:rPr>
          <w:rFonts w:hint="eastAsia"/>
        </w:rPr>
        <w:t>中</w:t>
      </w:r>
      <w:r w:rsidRPr="00B31FA0">
        <w:rPr>
          <w:rFonts w:hint="eastAsia"/>
        </w:rPr>
        <w:t>提高生活垃圾的综合利用和无害化处置水平，促进生活垃圾收集、处理的产业化发展</w:t>
      </w:r>
      <w:r>
        <w:rPr>
          <w:rFonts w:hint="eastAsia"/>
        </w:rPr>
        <w:t>要求</w:t>
      </w:r>
      <w:r w:rsidRPr="00B31FA0">
        <w:rPr>
          <w:rFonts w:hint="eastAsia"/>
        </w:rPr>
        <w:t>。</w:t>
      </w:r>
    </w:p>
    <w:p w14:paraId="0B4D142A" w14:textId="4E7228D5" w:rsidR="00606029" w:rsidRDefault="00EA5B92">
      <w:pPr>
        <w:pStyle w:val="2"/>
        <w:spacing w:beforeLines="50" w:before="120"/>
      </w:pPr>
      <w:bookmarkStart w:id="172" w:name="_Toc220680493"/>
      <w:r>
        <w:lastRenderedPageBreak/>
        <w:t>3.</w:t>
      </w:r>
      <w:r w:rsidR="00CE7653">
        <w:rPr>
          <w:rFonts w:hint="eastAsia"/>
        </w:rPr>
        <w:t>7</w:t>
      </w:r>
      <w:r>
        <w:t>与</w:t>
      </w:r>
      <w:bookmarkStart w:id="173" w:name="OLE_LINK14"/>
      <w:r w:rsidR="00714976" w:rsidRPr="00714976">
        <w:rPr>
          <w:rFonts w:hint="eastAsia"/>
        </w:rPr>
        <w:t>《黑龙江省城乡固体废物分类治理布局规划（</w:t>
      </w:r>
      <w:r w:rsidR="00714976" w:rsidRPr="00714976">
        <w:rPr>
          <w:rFonts w:hint="eastAsia"/>
        </w:rPr>
        <w:t>2019-2035</w:t>
      </w:r>
      <w:r w:rsidR="00714976" w:rsidRPr="00714976">
        <w:rPr>
          <w:rFonts w:hint="eastAsia"/>
        </w:rPr>
        <w:t>年）》</w:t>
      </w:r>
      <w:bookmarkEnd w:id="173"/>
      <w:r>
        <w:t>符合性分析</w:t>
      </w:r>
      <w:bookmarkEnd w:id="172"/>
    </w:p>
    <w:p w14:paraId="53DB8D85" w14:textId="77777777" w:rsidR="00714976" w:rsidRDefault="00714976" w:rsidP="00714976">
      <w:pPr>
        <w:pStyle w:val="affffff4"/>
      </w:pPr>
      <w:r w:rsidRPr="00714976">
        <w:rPr>
          <w:rFonts w:hint="eastAsia"/>
        </w:rPr>
        <w:t>《黑龙江省城乡固体废物分类治理布局规划（</w:t>
      </w:r>
      <w:r w:rsidRPr="00714976">
        <w:rPr>
          <w:rFonts w:hint="eastAsia"/>
        </w:rPr>
        <w:t>2019-2035</w:t>
      </w:r>
      <w:r w:rsidRPr="00714976">
        <w:rPr>
          <w:rFonts w:hint="eastAsia"/>
        </w:rPr>
        <w:t>年）》</w:t>
      </w:r>
      <w:r w:rsidRPr="00714976">
        <w:rPr>
          <w:rFonts w:hint="eastAsia"/>
        </w:rPr>
        <w:t>5.6.1</w:t>
      </w:r>
      <w:r w:rsidRPr="00714976">
        <w:rPr>
          <w:rFonts w:hint="eastAsia"/>
        </w:rPr>
        <w:t>布局原则及要求</w:t>
      </w:r>
      <w:r>
        <w:rPr>
          <w:rFonts w:hint="eastAsia"/>
        </w:rPr>
        <w:t>：</w:t>
      </w:r>
    </w:p>
    <w:p w14:paraId="1DB8DB17" w14:textId="09682F6C" w:rsidR="00714976" w:rsidRPr="00714976" w:rsidRDefault="00714976" w:rsidP="00714976">
      <w:pPr>
        <w:pStyle w:val="affffff4"/>
      </w:pPr>
      <w:r w:rsidRPr="00714976">
        <w:rPr>
          <w:rFonts w:hint="eastAsia"/>
        </w:rPr>
        <w:t>5.</w:t>
      </w:r>
      <w:r w:rsidRPr="00714976">
        <w:rPr>
          <w:rFonts w:hint="eastAsia"/>
        </w:rPr>
        <w:t>注重既有设施与新建设施服务年限的衔接，对中远期达到使用年限的卫生填埋场，提前规划并采取焚烧和资源化利用等工艺新建处理设施。</w:t>
      </w:r>
    </w:p>
    <w:p w14:paraId="57B9BD26" w14:textId="5544B9F2" w:rsidR="00714976" w:rsidRPr="00714976" w:rsidRDefault="00714976" w:rsidP="00714976">
      <w:pPr>
        <w:pStyle w:val="affffff4"/>
      </w:pPr>
      <w:r w:rsidRPr="00714976">
        <w:rPr>
          <w:rFonts w:hint="eastAsia"/>
        </w:rPr>
        <w:t>6.</w:t>
      </w:r>
      <w:r w:rsidRPr="00714976">
        <w:rPr>
          <w:rFonts w:hint="eastAsia"/>
        </w:rPr>
        <w:t>结合实际，优先选择技术成熟、成本低、易实施的方式对存量垃圾进行治理。</w:t>
      </w:r>
    </w:p>
    <w:p w14:paraId="76E66E23" w14:textId="7CEFFABA" w:rsidR="00606029" w:rsidRDefault="00714976" w:rsidP="00714976">
      <w:pPr>
        <w:pStyle w:val="affffff4"/>
        <w:rPr>
          <w:szCs w:val="20"/>
        </w:rPr>
      </w:pPr>
      <w:r w:rsidRPr="00714976">
        <w:rPr>
          <w:rFonts w:hint="eastAsia"/>
        </w:rPr>
        <w:t>7.</w:t>
      </w:r>
      <w:r w:rsidRPr="00714976">
        <w:rPr>
          <w:rFonts w:hint="eastAsia"/>
        </w:rPr>
        <w:t>现有卫生填埋场验收合格且使用正常的可保留继续使用，如规划建设生活垃圾焚烧厂，可将填埋场转作飞灰填埋场或作为备用生活垃圾处理厂（场）使用</w:t>
      </w:r>
      <w:r w:rsidRPr="00714976">
        <w:rPr>
          <w:rFonts w:hint="eastAsia"/>
          <w:szCs w:val="20"/>
        </w:rPr>
        <w:t>。</w:t>
      </w:r>
    </w:p>
    <w:p w14:paraId="7836E9E5" w14:textId="3760C2DD" w:rsidR="00714976" w:rsidRDefault="00714976" w:rsidP="00714976">
      <w:pPr>
        <w:pStyle w:val="affffff4"/>
        <w:rPr>
          <w:szCs w:val="22"/>
        </w:rPr>
      </w:pPr>
      <w:r w:rsidRPr="00714976">
        <w:rPr>
          <w:rFonts w:hint="eastAsia"/>
          <w:szCs w:val="22"/>
        </w:rPr>
        <w:t>本项目为生活垃圾焚烧飞灰填埋项目，</w:t>
      </w:r>
      <w:r>
        <w:rPr>
          <w:rFonts w:hint="eastAsia"/>
          <w:szCs w:val="22"/>
        </w:rPr>
        <w:t>位于大庆市生活垃圾综合处理厂场址范围内，将渗滤液调节池改建为填埋区，</w:t>
      </w:r>
      <w:r w:rsidRPr="00714976">
        <w:rPr>
          <w:rFonts w:hint="eastAsia"/>
          <w:szCs w:val="22"/>
        </w:rPr>
        <w:t>符合《黑龙江省城乡固体废物分类治理布局规划（</w:t>
      </w:r>
      <w:r w:rsidRPr="00714976">
        <w:rPr>
          <w:rFonts w:hint="eastAsia"/>
          <w:szCs w:val="22"/>
        </w:rPr>
        <w:t>2019-2035</w:t>
      </w:r>
      <w:r w:rsidRPr="00714976">
        <w:rPr>
          <w:rFonts w:hint="eastAsia"/>
          <w:szCs w:val="22"/>
        </w:rPr>
        <w:t>年）》</w:t>
      </w:r>
      <w:r>
        <w:rPr>
          <w:rFonts w:hint="eastAsia"/>
          <w:szCs w:val="22"/>
        </w:rPr>
        <w:t>要求。</w:t>
      </w:r>
    </w:p>
    <w:p w14:paraId="1773EA0D" w14:textId="7C0FE0F7" w:rsidR="00CE7653" w:rsidRPr="00CE7653" w:rsidRDefault="00CE7653" w:rsidP="00CE7653">
      <w:pPr>
        <w:pStyle w:val="2"/>
      </w:pPr>
      <w:bookmarkStart w:id="174" w:name="_Toc220680494"/>
      <w:r w:rsidRPr="00CE7653">
        <w:t>3.</w:t>
      </w:r>
      <w:r>
        <w:rPr>
          <w:rFonts w:hint="eastAsia"/>
        </w:rPr>
        <w:t>8</w:t>
      </w:r>
      <w:r w:rsidRPr="00CE7653">
        <w:rPr>
          <w:rFonts w:hint="eastAsia"/>
        </w:rPr>
        <w:t>与《固体废物处理处置工程技术导则》（</w:t>
      </w:r>
      <w:r w:rsidRPr="00CE7653">
        <w:t>HJ2035-2013</w:t>
      </w:r>
      <w:r w:rsidRPr="00CE7653">
        <w:rPr>
          <w:rFonts w:hint="eastAsia"/>
        </w:rPr>
        <w:t>）的符合性分析</w:t>
      </w:r>
      <w:bookmarkEnd w:id="174"/>
    </w:p>
    <w:p w14:paraId="54E6C126" w14:textId="77777777" w:rsidR="00CE7653" w:rsidRPr="00CE7653" w:rsidRDefault="00CE7653" w:rsidP="00CE7653">
      <w:pPr>
        <w:pStyle w:val="affffff4"/>
        <w:rPr>
          <w:bCs/>
          <w:szCs w:val="22"/>
        </w:rPr>
      </w:pPr>
      <w:r w:rsidRPr="00CE7653">
        <w:rPr>
          <w:rFonts w:hint="eastAsia"/>
          <w:bCs/>
          <w:szCs w:val="22"/>
        </w:rPr>
        <w:t>《固体废物处理处置工程技术导则》（</w:t>
      </w:r>
      <w:r w:rsidRPr="00CE7653">
        <w:rPr>
          <w:bCs/>
          <w:szCs w:val="22"/>
        </w:rPr>
        <w:t>HJ2035-2013</w:t>
      </w:r>
      <w:r w:rsidRPr="00CE7653">
        <w:rPr>
          <w:rFonts w:hint="eastAsia"/>
          <w:bCs/>
          <w:szCs w:val="22"/>
        </w:rPr>
        <w:t>）适用于除危险废物处理处置以及废物再生利用以外的固体废物处理处置工程，可作为固体废物处理处置工程环境影响评价、设计、施工、环境保护验收及建成后运行与管理的技术依据。</w:t>
      </w:r>
    </w:p>
    <w:p w14:paraId="338CB322" w14:textId="3AAAE424" w:rsidR="00CE7653" w:rsidRPr="00CE7653" w:rsidRDefault="00CE7653" w:rsidP="00CE7653">
      <w:pPr>
        <w:pStyle w:val="affffff4"/>
        <w:ind w:firstLine="482"/>
        <w:rPr>
          <w:b/>
          <w:szCs w:val="22"/>
        </w:rPr>
      </w:pPr>
      <w:r w:rsidRPr="00CE7653">
        <w:rPr>
          <w:rFonts w:hint="eastAsia"/>
          <w:b/>
          <w:szCs w:val="22"/>
        </w:rPr>
        <w:t>表</w:t>
      </w:r>
      <w:r w:rsidRPr="00CE7653">
        <w:rPr>
          <w:b/>
          <w:bCs/>
          <w:szCs w:val="22"/>
        </w:rPr>
        <w:t>3.</w:t>
      </w:r>
      <w:r w:rsidR="00046682">
        <w:rPr>
          <w:rFonts w:hint="eastAsia"/>
          <w:b/>
          <w:bCs/>
          <w:szCs w:val="22"/>
        </w:rPr>
        <w:t>8</w:t>
      </w:r>
      <w:r w:rsidRPr="00CE7653">
        <w:rPr>
          <w:b/>
          <w:bCs/>
          <w:szCs w:val="22"/>
        </w:rPr>
        <w:t>-1</w:t>
      </w:r>
      <w:r w:rsidRPr="00CE7653">
        <w:rPr>
          <w:b/>
          <w:szCs w:val="22"/>
        </w:rPr>
        <w:t xml:space="preserve"> </w:t>
      </w:r>
      <w:r w:rsidRPr="00CE7653">
        <w:rPr>
          <w:rFonts w:hint="eastAsia"/>
          <w:b/>
          <w:szCs w:val="22"/>
        </w:rPr>
        <w:t>本项目与《固体废物处理处置工程技术导则》有关要求符合性分析表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6"/>
        <w:gridCol w:w="5919"/>
        <w:gridCol w:w="2459"/>
      </w:tblGrid>
      <w:tr w:rsidR="00CE7653" w:rsidRPr="00CE7653" w14:paraId="45684B36" w14:textId="77777777" w:rsidTr="00B31E85">
        <w:tc>
          <w:tcPr>
            <w:tcW w:w="3608" w:type="pct"/>
            <w:gridSpan w:val="2"/>
            <w:tcBorders>
              <w:top w:val="single" w:sz="4" w:space="0" w:color="auto"/>
              <w:left w:val="single" w:sz="4" w:space="0" w:color="auto"/>
              <w:bottom w:val="single" w:sz="4" w:space="0" w:color="auto"/>
              <w:right w:val="single" w:sz="4" w:space="0" w:color="auto"/>
            </w:tcBorders>
            <w:vAlign w:val="center"/>
            <w:hideMark/>
          </w:tcPr>
          <w:p w14:paraId="37C10182" w14:textId="77777777" w:rsidR="00CE7653" w:rsidRPr="00CE7653" w:rsidRDefault="00CE7653" w:rsidP="00887032">
            <w:pPr>
              <w:adjustRightInd w:val="0"/>
              <w:snapToGrid w:val="0"/>
              <w:jc w:val="center"/>
              <w:rPr>
                <w:snapToGrid w:val="0"/>
                <w:kern w:val="0"/>
              </w:rPr>
            </w:pPr>
            <w:r w:rsidRPr="00CE7653">
              <w:rPr>
                <w:rFonts w:hint="eastAsia"/>
                <w:snapToGrid w:val="0"/>
                <w:kern w:val="0"/>
              </w:rPr>
              <w:t>固体废物处理处置工程技术导则</w:t>
            </w:r>
          </w:p>
        </w:tc>
        <w:tc>
          <w:tcPr>
            <w:tcW w:w="1392" w:type="pct"/>
            <w:tcBorders>
              <w:top w:val="single" w:sz="4" w:space="0" w:color="auto"/>
              <w:left w:val="single" w:sz="4" w:space="0" w:color="auto"/>
              <w:bottom w:val="single" w:sz="4" w:space="0" w:color="auto"/>
              <w:right w:val="single" w:sz="4" w:space="0" w:color="auto"/>
            </w:tcBorders>
            <w:vAlign w:val="center"/>
            <w:hideMark/>
          </w:tcPr>
          <w:p w14:paraId="0263B01F" w14:textId="77777777" w:rsidR="00CE7653" w:rsidRPr="00CE7653" w:rsidRDefault="00CE7653" w:rsidP="00887032">
            <w:pPr>
              <w:adjustRightInd w:val="0"/>
              <w:snapToGrid w:val="0"/>
              <w:jc w:val="center"/>
              <w:rPr>
                <w:snapToGrid w:val="0"/>
                <w:kern w:val="0"/>
              </w:rPr>
            </w:pPr>
            <w:r w:rsidRPr="00CE7653">
              <w:rPr>
                <w:rFonts w:hint="eastAsia"/>
                <w:snapToGrid w:val="0"/>
                <w:kern w:val="0"/>
              </w:rPr>
              <w:t>本项目相关要求落实情况分析</w:t>
            </w:r>
          </w:p>
        </w:tc>
      </w:tr>
      <w:tr w:rsidR="00CE7653" w:rsidRPr="00CE7653" w14:paraId="64DBBE14" w14:textId="77777777" w:rsidTr="00B31E85">
        <w:tc>
          <w:tcPr>
            <w:tcW w:w="258" w:type="pct"/>
            <w:vMerge w:val="restart"/>
            <w:tcBorders>
              <w:top w:val="single" w:sz="4" w:space="0" w:color="auto"/>
              <w:left w:val="single" w:sz="4" w:space="0" w:color="auto"/>
              <w:bottom w:val="single" w:sz="4" w:space="0" w:color="auto"/>
              <w:right w:val="single" w:sz="4" w:space="0" w:color="auto"/>
            </w:tcBorders>
            <w:vAlign w:val="center"/>
            <w:hideMark/>
          </w:tcPr>
          <w:p w14:paraId="4D1A2811" w14:textId="77777777" w:rsidR="00CE7653" w:rsidRPr="00CE7653" w:rsidRDefault="00CE7653" w:rsidP="00887032">
            <w:pPr>
              <w:pStyle w:val="affffff4"/>
              <w:ind w:firstLineChars="0" w:firstLine="0"/>
              <w:rPr>
                <w:bCs/>
                <w:szCs w:val="22"/>
              </w:rPr>
            </w:pPr>
            <w:r w:rsidRPr="00CE7653">
              <w:rPr>
                <w:rFonts w:hint="eastAsia"/>
                <w:bCs/>
                <w:szCs w:val="22"/>
              </w:rPr>
              <w:t>固体废物填埋</w:t>
            </w:r>
          </w:p>
        </w:tc>
        <w:tc>
          <w:tcPr>
            <w:tcW w:w="3350" w:type="pct"/>
            <w:tcBorders>
              <w:top w:val="single" w:sz="4" w:space="0" w:color="auto"/>
              <w:left w:val="single" w:sz="4" w:space="0" w:color="auto"/>
              <w:bottom w:val="single" w:sz="4" w:space="0" w:color="auto"/>
              <w:right w:val="single" w:sz="4" w:space="0" w:color="auto"/>
            </w:tcBorders>
            <w:vAlign w:val="center"/>
            <w:hideMark/>
          </w:tcPr>
          <w:p w14:paraId="7F7FEFA9" w14:textId="77777777" w:rsidR="00CE7653" w:rsidRPr="00CE7653" w:rsidRDefault="00CE7653" w:rsidP="00887032">
            <w:pPr>
              <w:adjustRightInd w:val="0"/>
              <w:snapToGrid w:val="0"/>
              <w:rPr>
                <w:snapToGrid w:val="0"/>
                <w:kern w:val="0"/>
              </w:rPr>
            </w:pPr>
            <w:r w:rsidRPr="00CE7653">
              <w:rPr>
                <w:snapToGrid w:val="0"/>
                <w:kern w:val="0"/>
              </w:rPr>
              <w:t>9.1</w:t>
            </w:r>
            <w:r w:rsidRPr="00CE7653">
              <w:rPr>
                <w:rFonts w:hint="eastAsia"/>
                <w:snapToGrid w:val="0"/>
                <w:kern w:val="0"/>
              </w:rPr>
              <w:t>一般规定</w:t>
            </w:r>
          </w:p>
          <w:p w14:paraId="6A1A1E47" w14:textId="77777777" w:rsidR="00CE7653" w:rsidRPr="00CE7653" w:rsidRDefault="00CE7653" w:rsidP="00887032">
            <w:pPr>
              <w:adjustRightInd w:val="0"/>
              <w:snapToGrid w:val="0"/>
              <w:rPr>
                <w:snapToGrid w:val="0"/>
                <w:kern w:val="0"/>
              </w:rPr>
            </w:pPr>
            <w:r w:rsidRPr="00CE7653">
              <w:rPr>
                <w:snapToGrid w:val="0"/>
                <w:kern w:val="0"/>
              </w:rPr>
              <w:t>9.1.1</w:t>
            </w:r>
            <w:r w:rsidRPr="00CE7653">
              <w:rPr>
                <w:rFonts w:hint="eastAsia"/>
                <w:snapToGrid w:val="0"/>
                <w:kern w:val="0"/>
              </w:rPr>
              <w:t>应以本地区需填埋或处置的废物量、经济发展水平和自然条件为基础，结合城市经济建设与科学技术的发展，确定合理的建设规模，做到安全可靠、技术先进、经济合理。</w:t>
            </w:r>
          </w:p>
          <w:p w14:paraId="07087B9D" w14:textId="77777777" w:rsidR="00CE7653" w:rsidRPr="00CE7653" w:rsidRDefault="00CE7653" w:rsidP="00887032">
            <w:pPr>
              <w:adjustRightInd w:val="0"/>
              <w:snapToGrid w:val="0"/>
              <w:rPr>
                <w:snapToGrid w:val="0"/>
                <w:kern w:val="0"/>
              </w:rPr>
            </w:pPr>
            <w:r w:rsidRPr="00CE7653">
              <w:rPr>
                <w:snapToGrid w:val="0"/>
                <w:kern w:val="0"/>
              </w:rPr>
              <w:t>9.1.2</w:t>
            </w:r>
            <w:r w:rsidRPr="00CE7653">
              <w:rPr>
                <w:rFonts w:hint="eastAsia"/>
                <w:snapToGrid w:val="0"/>
                <w:kern w:val="0"/>
              </w:rPr>
              <w:t>固体废物填埋、处置工程除应符合本标准的规定外，还应符合</w:t>
            </w:r>
            <w:r w:rsidRPr="00CE7653">
              <w:rPr>
                <w:snapToGrid w:val="0"/>
                <w:kern w:val="0"/>
              </w:rPr>
              <w:t>GB16889</w:t>
            </w:r>
            <w:r w:rsidRPr="00CE7653">
              <w:rPr>
                <w:rFonts w:hint="eastAsia"/>
                <w:snapToGrid w:val="0"/>
                <w:kern w:val="0"/>
              </w:rPr>
              <w:t>、</w:t>
            </w:r>
            <w:r w:rsidRPr="00CE7653">
              <w:rPr>
                <w:snapToGrid w:val="0"/>
                <w:kern w:val="0"/>
              </w:rPr>
              <w:t>HⅡ564</w:t>
            </w:r>
            <w:r w:rsidRPr="00CE7653">
              <w:rPr>
                <w:rFonts w:hint="eastAsia"/>
                <w:snapToGrid w:val="0"/>
                <w:kern w:val="0"/>
              </w:rPr>
              <w:t>、</w:t>
            </w:r>
            <w:r w:rsidRPr="00CE7653">
              <w:rPr>
                <w:snapToGrid w:val="0"/>
                <w:kern w:val="0"/>
              </w:rPr>
              <w:t>CJJ17</w:t>
            </w:r>
            <w:r w:rsidRPr="00CE7653">
              <w:rPr>
                <w:rFonts w:hint="eastAsia"/>
                <w:snapToGrid w:val="0"/>
                <w:kern w:val="0"/>
              </w:rPr>
              <w:t>的有关规定。</w:t>
            </w:r>
          </w:p>
        </w:tc>
        <w:tc>
          <w:tcPr>
            <w:tcW w:w="1392" w:type="pct"/>
            <w:tcBorders>
              <w:top w:val="single" w:sz="4" w:space="0" w:color="auto"/>
              <w:left w:val="single" w:sz="4" w:space="0" w:color="auto"/>
              <w:bottom w:val="single" w:sz="4" w:space="0" w:color="auto"/>
              <w:right w:val="single" w:sz="4" w:space="0" w:color="auto"/>
            </w:tcBorders>
            <w:vAlign w:val="center"/>
            <w:hideMark/>
          </w:tcPr>
          <w:p w14:paraId="6B7AE623" w14:textId="77777777" w:rsidR="00CE7653" w:rsidRPr="00CE7653" w:rsidRDefault="00CE7653" w:rsidP="00887032">
            <w:pPr>
              <w:adjustRightInd w:val="0"/>
              <w:snapToGrid w:val="0"/>
              <w:jc w:val="center"/>
              <w:rPr>
                <w:snapToGrid w:val="0"/>
                <w:kern w:val="0"/>
              </w:rPr>
            </w:pPr>
            <w:r w:rsidRPr="00CE7653">
              <w:rPr>
                <w:rFonts w:hint="eastAsia"/>
                <w:snapToGrid w:val="0"/>
                <w:kern w:val="0"/>
              </w:rPr>
              <w:t>本项目满足《生活垃圾卫生填埋处理技术导则》（</w:t>
            </w:r>
            <w:r w:rsidRPr="00CE7653">
              <w:rPr>
                <w:snapToGrid w:val="0"/>
                <w:kern w:val="0"/>
              </w:rPr>
              <w:t>GB50869-2013</w:t>
            </w:r>
            <w:r w:rsidRPr="00CE7653">
              <w:rPr>
                <w:rFonts w:hint="eastAsia"/>
                <w:snapToGrid w:val="0"/>
                <w:kern w:val="0"/>
              </w:rPr>
              <w:t>）、《生活垃圾填埋场污染控制标准》（</w:t>
            </w:r>
            <w:r w:rsidRPr="00CE7653">
              <w:rPr>
                <w:snapToGrid w:val="0"/>
                <w:kern w:val="0"/>
              </w:rPr>
              <w:t>GB16889-2024</w:t>
            </w:r>
            <w:r w:rsidRPr="00CE7653">
              <w:rPr>
                <w:rFonts w:hint="eastAsia"/>
                <w:snapToGrid w:val="0"/>
                <w:kern w:val="0"/>
              </w:rPr>
              <w:t>）等有关要求。</w:t>
            </w:r>
          </w:p>
        </w:tc>
      </w:tr>
      <w:tr w:rsidR="00CE7653" w:rsidRPr="00CE7653" w14:paraId="7DB6B489" w14:textId="77777777" w:rsidTr="00B31E85">
        <w:tc>
          <w:tcPr>
            <w:tcW w:w="0" w:type="auto"/>
            <w:vMerge/>
            <w:tcBorders>
              <w:top w:val="single" w:sz="4" w:space="0" w:color="auto"/>
              <w:left w:val="single" w:sz="4" w:space="0" w:color="auto"/>
              <w:bottom w:val="single" w:sz="4" w:space="0" w:color="auto"/>
              <w:right w:val="single" w:sz="4" w:space="0" w:color="auto"/>
            </w:tcBorders>
            <w:vAlign w:val="center"/>
            <w:hideMark/>
          </w:tcPr>
          <w:p w14:paraId="5D17FEB9" w14:textId="77777777" w:rsidR="00CE7653" w:rsidRPr="00CE7653" w:rsidRDefault="00CE7653" w:rsidP="00CE7653">
            <w:pPr>
              <w:pStyle w:val="affffff4"/>
              <w:rPr>
                <w:bCs/>
                <w:szCs w:val="22"/>
              </w:rPr>
            </w:pPr>
          </w:p>
        </w:tc>
        <w:tc>
          <w:tcPr>
            <w:tcW w:w="3350" w:type="pct"/>
            <w:tcBorders>
              <w:top w:val="single" w:sz="4" w:space="0" w:color="auto"/>
              <w:left w:val="single" w:sz="4" w:space="0" w:color="auto"/>
              <w:bottom w:val="single" w:sz="4" w:space="0" w:color="auto"/>
              <w:right w:val="single" w:sz="4" w:space="0" w:color="auto"/>
            </w:tcBorders>
            <w:vAlign w:val="center"/>
            <w:hideMark/>
          </w:tcPr>
          <w:p w14:paraId="7C93E9E7" w14:textId="77777777" w:rsidR="00CE7653" w:rsidRPr="00CE7653" w:rsidRDefault="00CE7653" w:rsidP="00887032">
            <w:pPr>
              <w:adjustRightInd w:val="0"/>
              <w:snapToGrid w:val="0"/>
              <w:rPr>
                <w:snapToGrid w:val="0"/>
                <w:kern w:val="0"/>
              </w:rPr>
            </w:pPr>
            <w:r w:rsidRPr="00CE7653">
              <w:rPr>
                <w:snapToGrid w:val="0"/>
                <w:kern w:val="0"/>
              </w:rPr>
              <w:t>9.2</w:t>
            </w:r>
            <w:r w:rsidRPr="00CE7653">
              <w:rPr>
                <w:rFonts w:hint="eastAsia"/>
                <w:snapToGrid w:val="0"/>
                <w:kern w:val="0"/>
              </w:rPr>
              <w:t>卫生填埋</w:t>
            </w:r>
          </w:p>
          <w:p w14:paraId="518135EF" w14:textId="77777777" w:rsidR="00CE7653" w:rsidRPr="00CE7653" w:rsidRDefault="00CE7653" w:rsidP="00887032">
            <w:pPr>
              <w:adjustRightInd w:val="0"/>
              <w:snapToGrid w:val="0"/>
              <w:rPr>
                <w:snapToGrid w:val="0"/>
                <w:kern w:val="0"/>
              </w:rPr>
            </w:pPr>
            <w:r w:rsidRPr="00CE7653">
              <w:rPr>
                <w:snapToGrid w:val="0"/>
                <w:kern w:val="0"/>
              </w:rPr>
              <w:t>9.2.1</w:t>
            </w:r>
            <w:r w:rsidRPr="00CE7653">
              <w:rPr>
                <w:rFonts w:hint="eastAsia"/>
                <w:snapToGrid w:val="0"/>
                <w:kern w:val="0"/>
              </w:rPr>
              <w:t>建设规模与建设内容</w:t>
            </w:r>
          </w:p>
          <w:p w14:paraId="64FEE4C5" w14:textId="77777777" w:rsidR="00CE7653" w:rsidRPr="00CE7653" w:rsidRDefault="00CE7653" w:rsidP="00887032">
            <w:pPr>
              <w:adjustRightInd w:val="0"/>
              <w:snapToGrid w:val="0"/>
              <w:rPr>
                <w:snapToGrid w:val="0"/>
                <w:kern w:val="0"/>
              </w:rPr>
            </w:pPr>
            <w:r w:rsidRPr="00CE7653">
              <w:rPr>
                <w:snapToGrid w:val="0"/>
                <w:kern w:val="0"/>
              </w:rPr>
              <w:t>9.2.1.1</w:t>
            </w:r>
            <w:r w:rsidRPr="00CE7653">
              <w:rPr>
                <w:rFonts w:hint="eastAsia"/>
                <w:snapToGrid w:val="0"/>
                <w:kern w:val="0"/>
              </w:rPr>
              <w:t>卫生填埋场的合理使用年限应在</w:t>
            </w:r>
            <w:r w:rsidRPr="00CE7653">
              <w:rPr>
                <w:snapToGrid w:val="0"/>
                <w:kern w:val="0"/>
              </w:rPr>
              <w:t>10</w:t>
            </w:r>
            <w:r w:rsidRPr="00CE7653">
              <w:rPr>
                <w:rFonts w:hint="eastAsia"/>
                <w:snapToGrid w:val="0"/>
                <w:kern w:val="0"/>
              </w:rPr>
              <w:t>年以上，特殊情况下应不低于</w:t>
            </w:r>
            <w:r w:rsidRPr="00CE7653">
              <w:rPr>
                <w:snapToGrid w:val="0"/>
                <w:kern w:val="0"/>
              </w:rPr>
              <w:t>8</w:t>
            </w:r>
            <w:r w:rsidRPr="00CE7653">
              <w:rPr>
                <w:rFonts w:hint="eastAsia"/>
                <w:snapToGrid w:val="0"/>
                <w:kern w:val="0"/>
              </w:rPr>
              <w:t>年。填埋库区应一次性设计、分期建设，分期建设库容及相应的使用年限应根据填埋量、场址条件综合确定。</w:t>
            </w:r>
          </w:p>
          <w:p w14:paraId="219B3654" w14:textId="77777777" w:rsidR="00CE7653" w:rsidRPr="00CE7653" w:rsidRDefault="00CE7653" w:rsidP="00887032">
            <w:pPr>
              <w:adjustRightInd w:val="0"/>
              <w:snapToGrid w:val="0"/>
              <w:rPr>
                <w:snapToGrid w:val="0"/>
                <w:kern w:val="0"/>
              </w:rPr>
            </w:pPr>
            <w:r w:rsidRPr="00CE7653">
              <w:rPr>
                <w:snapToGrid w:val="0"/>
                <w:kern w:val="0"/>
              </w:rPr>
              <w:t>9.2.1.2</w:t>
            </w:r>
            <w:r w:rsidRPr="00CE7653">
              <w:rPr>
                <w:rFonts w:hint="eastAsia"/>
                <w:snapToGrid w:val="0"/>
                <w:kern w:val="0"/>
              </w:rPr>
              <w:t>卫生填埋场主体工程与设备、配套工程、生产管理与辅助设施、生活服务设施应符合《生活垃圾卫生填埋处理工程项目建设标准》的规定。</w:t>
            </w:r>
          </w:p>
        </w:tc>
        <w:tc>
          <w:tcPr>
            <w:tcW w:w="1392" w:type="pct"/>
            <w:tcBorders>
              <w:top w:val="single" w:sz="4" w:space="0" w:color="auto"/>
              <w:left w:val="single" w:sz="4" w:space="0" w:color="auto"/>
              <w:bottom w:val="single" w:sz="4" w:space="0" w:color="auto"/>
              <w:right w:val="single" w:sz="4" w:space="0" w:color="auto"/>
            </w:tcBorders>
            <w:vAlign w:val="center"/>
            <w:hideMark/>
          </w:tcPr>
          <w:p w14:paraId="5A800968" w14:textId="0C2C946C" w:rsidR="00CE7653" w:rsidRPr="00CE7653" w:rsidRDefault="00CE7653" w:rsidP="00887032">
            <w:pPr>
              <w:adjustRightInd w:val="0"/>
              <w:snapToGrid w:val="0"/>
              <w:jc w:val="center"/>
              <w:rPr>
                <w:snapToGrid w:val="0"/>
                <w:kern w:val="0"/>
              </w:rPr>
            </w:pPr>
            <w:r w:rsidRPr="00CE7653">
              <w:rPr>
                <w:rFonts w:ascii="Cambria Math" w:hAnsi="Cambria Math" w:cs="Cambria Math"/>
                <w:snapToGrid w:val="0"/>
                <w:kern w:val="0"/>
              </w:rPr>
              <w:t>①</w:t>
            </w:r>
            <w:r w:rsidR="00B31E85" w:rsidRPr="00B31E85">
              <w:rPr>
                <w:snapToGrid w:val="0"/>
                <w:kern w:val="0"/>
              </w:rPr>
              <w:t>大庆市生活垃圾综合处理厂填埋库区的生活垃圾挖出焚烧发电后，挖空库区可满足</w:t>
            </w:r>
            <w:r w:rsidR="004C33E4">
              <w:rPr>
                <w:snapToGrid w:val="0"/>
                <w:kern w:val="0"/>
              </w:rPr>
              <w:t>10</w:t>
            </w:r>
            <w:r w:rsidR="004C33E4">
              <w:rPr>
                <w:snapToGrid w:val="0"/>
                <w:kern w:val="0"/>
              </w:rPr>
              <w:t>年以上</w:t>
            </w:r>
            <w:r w:rsidR="00B31E85" w:rsidRPr="00B31E85">
              <w:rPr>
                <w:snapToGrid w:val="0"/>
                <w:kern w:val="0"/>
              </w:rPr>
              <w:t>飞灰填埋需求，本次改建将原渗滤液调节池改建为生活垃圾焚烧飞灰填埋场，容积为</w:t>
            </w:r>
            <w:r w:rsidR="00B31E85" w:rsidRPr="00B31E85">
              <w:rPr>
                <w:snapToGrid w:val="0"/>
                <w:kern w:val="0"/>
              </w:rPr>
              <w:t>7316m</w:t>
            </w:r>
            <w:r w:rsidR="00B31E85" w:rsidRPr="00B31E85">
              <w:rPr>
                <w:snapToGrid w:val="0"/>
                <w:kern w:val="0"/>
                <w:vertAlign w:val="superscript"/>
              </w:rPr>
              <w:t>3</w:t>
            </w:r>
            <w:r w:rsidR="00B31E85" w:rsidRPr="00B31E85">
              <w:rPr>
                <w:snapToGrid w:val="0"/>
                <w:kern w:val="0"/>
              </w:rPr>
              <w:t>，使用年限为半</w:t>
            </w:r>
            <w:r w:rsidR="00B31E85" w:rsidRPr="00B31E85">
              <w:rPr>
                <w:snapToGrid w:val="0"/>
                <w:kern w:val="0"/>
              </w:rPr>
              <w:lastRenderedPageBreak/>
              <w:t>年</w:t>
            </w:r>
            <w:r w:rsidRPr="00CE7653">
              <w:rPr>
                <w:rFonts w:hint="eastAsia"/>
                <w:snapToGrid w:val="0"/>
                <w:kern w:val="0"/>
              </w:rPr>
              <w:t>。</w:t>
            </w:r>
          </w:p>
          <w:p w14:paraId="7CF5D343" w14:textId="30D46C8C" w:rsidR="00CE7653" w:rsidRPr="00CE7653" w:rsidRDefault="00CE7653" w:rsidP="00887032">
            <w:pPr>
              <w:adjustRightInd w:val="0"/>
              <w:snapToGrid w:val="0"/>
              <w:jc w:val="center"/>
              <w:rPr>
                <w:snapToGrid w:val="0"/>
                <w:kern w:val="0"/>
              </w:rPr>
            </w:pPr>
            <w:r w:rsidRPr="00CE7653">
              <w:rPr>
                <w:rFonts w:ascii="Cambria Math" w:hAnsi="Cambria Math" w:cs="Cambria Math"/>
                <w:snapToGrid w:val="0"/>
                <w:kern w:val="0"/>
              </w:rPr>
              <w:t>②</w:t>
            </w:r>
            <w:r w:rsidRPr="00CE7653">
              <w:rPr>
                <w:rFonts w:hint="eastAsia"/>
                <w:snapToGrid w:val="0"/>
                <w:kern w:val="0"/>
              </w:rPr>
              <w:t>本项目</w:t>
            </w:r>
            <w:r w:rsidR="00472CC5">
              <w:rPr>
                <w:rFonts w:hint="eastAsia"/>
                <w:snapToGrid w:val="0"/>
                <w:kern w:val="0"/>
              </w:rPr>
              <w:t>将渗调节池改建为飞灰填埋场</w:t>
            </w:r>
            <w:r w:rsidRPr="00CE7653">
              <w:rPr>
                <w:rFonts w:hint="eastAsia"/>
                <w:snapToGrid w:val="0"/>
                <w:kern w:val="0"/>
              </w:rPr>
              <w:t>，配套设施及管理依托现有</w:t>
            </w:r>
            <w:r w:rsidR="00B31E85">
              <w:rPr>
                <w:rFonts w:hint="eastAsia"/>
                <w:snapToGrid w:val="0"/>
                <w:kern w:val="0"/>
              </w:rPr>
              <w:t>工程</w:t>
            </w:r>
            <w:r w:rsidRPr="00CE7653">
              <w:rPr>
                <w:rFonts w:hint="eastAsia"/>
                <w:snapToGrid w:val="0"/>
                <w:kern w:val="0"/>
              </w:rPr>
              <w:t>。</w:t>
            </w:r>
          </w:p>
        </w:tc>
      </w:tr>
      <w:tr w:rsidR="00CE7653" w:rsidRPr="00CE7653" w14:paraId="6E676F45" w14:textId="77777777" w:rsidTr="00B31E85">
        <w:tc>
          <w:tcPr>
            <w:tcW w:w="0" w:type="auto"/>
            <w:vMerge/>
            <w:tcBorders>
              <w:top w:val="single" w:sz="4" w:space="0" w:color="auto"/>
              <w:left w:val="single" w:sz="4" w:space="0" w:color="auto"/>
              <w:bottom w:val="single" w:sz="4" w:space="0" w:color="auto"/>
              <w:right w:val="single" w:sz="4" w:space="0" w:color="auto"/>
            </w:tcBorders>
            <w:vAlign w:val="center"/>
            <w:hideMark/>
          </w:tcPr>
          <w:p w14:paraId="6538EE11" w14:textId="77777777" w:rsidR="00CE7653" w:rsidRPr="00CE7653" w:rsidRDefault="00CE7653" w:rsidP="00CE7653">
            <w:pPr>
              <w:pStyle w:val="affffff4"/>
              <w:rPr>
                <w:bCs/>
                <w:szCs w:val="22"/>
              </w:rPr>
            </w:pPr>
          </w:p>
        </w:tc>
        <w:tc>
          <w:tcPr>
            <w:tcW w:w="3350" w:type="pct"/>
            <w:tcBorders>
              <w:top w:val="single" w:sz="4" w:space="0" w:color="auto"/>
              <w:left w:val="single" w:sz="4" w:space="0" w:color="auto"/>
              <w:bottom w:val="single" w:sz="4" w:space="0" w:color="auto"/>
              <w:right w:val="single" w:sz="4" w:space="0" w:color="auto"/>
            </w:tcBorders>
            <w:vAlign w:val="center"/>
            <w:hideMark/>
          </w:tcPr>
          <w:p w14:paraId="5411FD95" w14:textId="77777777" w:rsidR="00CE7653" w:rsidRPr="00CE7653" w:rsidRDefault="00CE7653" w:rsidP="00887032">
            <w:pPr>
              <w:adjustRightInd w:val="0"/>
              <w:snapToGrid w:val="0"/>
              <w:rPr>
                <w:snapToGrid w:val="0"/>
                <w:kern w:val="0"/>
              </w:rPr>
            </w:pPr>
            <w:r w:rsidRPr="00CE7653">
              <w:rPr>
                <w:snapToGrid w:val="0"/>
                <w:kern w:val="0"/>
              </w:rPr>
              <w:t>9.2.3</w:t>
            </w:r>
            <w:r w:rsidRPr="00CE7653">
              <w:rPr>
                <w:rFonts w:hint="eastAsia"/>
                <w:snapToGrid w:val="0"/>
                <w:kern w:val="0"/>
              </w:rPr>
              <w:t>填埋物入场要求</w:t>
            </w:r>
          </w:p>
          <w:p w14:paraId="513A1D30" w14:textId="77777777" w:rsidR="00CE7653" w:rsidRPr="00CE7653" w:rsidRDefault="00CE7653" w:rsidP="00887032">
            <w:pPr>
              <w:adjustRightInd w:val="0"/>
              <w:snapToGrid w:val="0"/>
              <w:rPr>
                <w:snapToGrid w:val="0"/>
                <w:kern w:val="0"/>
              </w:rPr>
            </w:pPr>
            <w:r w:rsidRPr="00CE7653">
              <w:rPr>
                <w:snapToGrid w:val="0"/>
                <w:kern w:val="0"/>
              </w:rPr>
              <w:t>9.2.3.1</w:t>
            </w:r>
            <w:r w:rsidRPr="00CE7653">
              <w:rPr>
                <w:rFonts w:hint="eastAsia"/>
                <w:snapToGrid w:val="0"/>
                <w:kern w:val="0"/>
              </w:rPr>
              <w:t>进入卫生填埋场的填埋物应是生活垃圾，或是经处理后符合</w:t>
            </w:r>
            <w:r w:rsidRPr="00CE7653">
              <w:rPr>
                <w:snapToGrid w:val="0"/>
                <w:kern w:val="0"/>
              </w:rPr>
              <w:t>GB16889</w:t>
            </w:r>
            <w:r w:rsidRPr="00CE7653">
              <w:rPr>
                <w:rFonts w:hint="eastAsia"/>
                <w:snapToGrid w:val="0"/>
                <w:kern w:val="0"/>
              </w:rPr>
              <w:t>相关规定的废物。</w:t>
            </w:r>
          </w:p>
          <w:p w14:paraId="3D7E8F08" w14:textId="77777777" w:rsidR="00CE7653" w:rsidRPr="00CE7653" w:rsidRDefault="00CE7653" w:rsidP="00887032">
            <w:pPr>
              <w:adjustRightInd w:val="0"/>
              <w:snapToGrid w:val="0"/>
              <w:rPr>
                <w:snapToGrid w:val="0"/>
                <w:kern w:val="0"/>
              </w:rPr>
            </w:pPr>
            <w:r w:rsidRPr="00CE7653">
              <w:rPr>
                <w:snapToGrid w:val="0"/>
                <w:kern w:val="0"/>
              </w:rPr>
              <w:t>9.2.3.2</w:t>
            </w:r>
            <w:r w:rsidRPr="00CE7653">
              <w:rPr>
                <w:rFonts w:hint="eastAsia"/>
                <w:snapToGrid w:val="0"/>
                <w:kern w:val="0"/>
              </w:rPr>
              <w:t>具有爆炸性、易燃性、浸出毒性、腐蚀性、传染性、放射性等的有毒有害废物不应进入卫生填埋场，不得直接填埋医疗废物和与衬层不相容的废物。</w:t>
            </w:r>
          </w:p>
        </w:tc>
        <w:tc>
          <w:tcPr>
            <w:tcW w:w="1392" w:type="pct"/>
            <w:tcBorders>
              <w:top w:val="single" w:sz="4" w:space="0" w:color="auto"/>
              <w:left w:val="single" w:sz="4" w:space="0" w:color="auto"/>
              <w:bottom w:val="single" w:sz="4" w:space="0" w:color="auto"/>
              <w:right w:val="single" w:sz="4" w:space="0" w:color="auto"/>
            </w:tcBorders>
            <w:vAlign w:val="center"/>
            <w:hideMark/>
          </w:tcPr>
          <w:p w14:paraId="3B420285" w14:textId="77777777" w:rsidR="00CE7653" w:rsidRPr="00CE7653" w:rsidRDefault="00CE7653" w:rsidP="00887032">
            <w:pPr>
              <w:adjustRightInd w:val="0"/>
              <w:snapToGrid w:val="0"/>
              <w:jc w:val="center"/>
              <w:rPr>
                <w:snapToGrid w:val="0"/>
                <w:kern w:val="0"/>
              </w:rPr>
            </w:pPr>
            <w:r w:rsidRPr="00CE7653">
              <w:rPr>
                <w:rFonts w:hint="eastAsia"/>
                <w:snapToGrid w:val="0"/>
                <w:kern w:val="0"/>
              </w:rPr>
              <w:t>本项目只接收大庆城控电力有限公司满足《生活垃圾填埋场污染控制标准》（</w:t>
            </w:r>
            <w:r w:rsidRPr="00CE7653">
              <w:rPr>
                <w:snapToGrid w:val="0"/>
                <w:kern w:val="0"/>
              </w:rPr>
              <w:t>GB16889-2024</w:t>
            </w:r>
            <w:r w:rsidRPr="00CE7653">
              <w:rPr>
                <w:rFonts w:hint="eastAsia"/>
                <w:snapToGrid w:val="0"/>
                <w:kern w:val="0"/>
              </w:rPr>
              <w:t>）要求的固化飞灰，不接收其他任何形式和种类的固体废物。</w:t>
            </w:r>
          </w:p>
        </w:tc>
      </w:tr>
      <w:tr w:rsidR="00CE7653" w:rsidRPr="00CE7653" w14:paraId="576C7C26" w14:textId="77777777" w:rsidTr="00B31E85">
        <w:tc>
          <w:tcPr>
            <w:tcW w:w="0" w:type="auto"/>
            <w:vMerge/>
            <w:tcBorders>
              <w:top w:val="single" w:sz="4" w:space="0" w:color="auto"/>
              <w:left w:val="single" w:sz="4" w:space="0" w:color="auto"/>
              <w:bottom w:val="single" w:sz="4" w:space="0" w:color="auto"/>
              <w:right w:val="single" w:sz="4" w:space="0" w:color="auto"/>
            </w:tcBorders>
            <w:vAlign w:val="center"/>
            <w:hideMark/>
          </w:tcPr>
          <w:p w14:paraId="1124AACC" w14:textId="77777777" w:rsidR="00CE7653" w:rsidRPr="00CE7653" w:rsidRDefault="00CE7653" w:rsidP="00CE7653">
            <w:pPr>
              <w:pStyle w:val="affffff4"/>
              <w:rPr>
                <w:bCs/>
                <w:szCs w:val="22"/>
              </w:rPr>
            </w:pPr>
          </w:p>
        </w:tc>
        <w:tc>
          <w:tcPr>
            <w:tcW w:w="3350" w:type="pct"/>
            <w:tcBorders>
              <w:top w:val="single" w:sz="4" w:space="0" w:color="auto"/>
              <w:left w:val="single" w:sz="4" w:space="0" w:color="auto"/>
              <w:bottom w:val="single" w:sz="4" w:space="0" w:color="auto"/>
              <w:right w:val="single" w:sz="4" w:space="0" w:color="auto"/>
            </w:tcBorders>
            <w:vAlign w:val="center"/>
            <w:hideMark/>
          </w:tcPr>
          <w:p w14:paraId="46B909FC" w14:textId="77777777" w:rsidR="00CE7653" w:rsidRPr="00CE7653" w:rsidRDefault="00CE7653" w:rsidP="00887032">
            <w:pPr>
              <w:adjustRightInd w:val="0"/>
              <w:snapToGrid w:val="0"/>
              <w:rPr>
                <w:snapToGrid w:val="0"/>
                <w:kern w:val="0"/>
              </w:rPr>
            </w:pPr>
            <w:r w:rsidRPr="00CE7653">
              <w:rPr>
                <w:snapToGrid w:val="0"/>
                <w:kern w:val="0"/>
              </w:rPr>
              <w:t>9.2.4</w:t>
            </w:r>
            <w:r w:rsidRPr="00CE7653">
              <w:rPr>
                <w:rFonts w:hint="eastAsia"/>
                <w:snapToGrid w:val="0"/>
                <w:kern w:val="0"/>
              </w:rPr>
              <w:t>基础与防渗卫生填埋场的基础与防渗应符合</w:t>
            </w:r>
            <w:r w:rsidRPr="00CE7653">
              <w:rPr>
                <w:snapToGrid w:val="0"/>
                <w:kern w:val="0"/>
              </w:rPr>
              <w:t>CJ17</w:t>
            </w:r>
            <w:r w:rsidRPr="00CE7653">
              <w:rPr>
                <w:rFonts w:hint="eastAsia"/>
                <w:snapToGrid w:val="0"/>
                <w:kern w:val="0"/>
              </w:rPr>
              <w:t>中的有关规定。</w:t>
            </w:r>
          </w:p>
        </w:tc>
        <w:tc>
          <w:tcPr>
            <w:tcW w:w="1392" w:type="pct"/>
            <w:tcBorders>
              <w:top w:val="single" w:sz="4" w:space="0" w:color="auto"/>
              <w:left w:val="single" w:sz="4" w:space="0" w:color="auto"/>
              <w:bottom w:val="single" w:sz="4" w:space="0" w:color="auto"/>
              <w:right w:val="single" w:sz="4" w:space="0" w:color="auto"/>
            </w:tcBorders>
            <w:vAlign w:val="center"/>
            <w:hideMark/>
          </w:tcPr>
          <w:p w14:paraId="43C0D307" w14:textId="77777777" w:rsidR="00CE7653" w:rsidRPr="00CE7653" w:rsidRDefault="00CE7653" w:rsidP="00887032">
            <w:pPr>
              <w:adjustRightInd w:val="0"/>
              <w:snapToGrid w:val="0"/>
              <w:jc w:val="center"/>
              <w:rPr>
                <w:snapToGrid w:val="0"/>
                <w:kern w:val="0"/>
              </w:rPr>
            </w:pPr>
            <w:r w:rsidRPr="00CE7653">
              <w:rPr>
                <w:rFonts w:hint="eastAsia"/>
                <w:snapToGrid w:val="0"/>
                <w:kern w:val="0"/>
              </w:rPr>
              <w:t>本项目满足《生活垃圾卫生填埋技术规范》（</w:t>
            </w:r>
            <w:r w:rsidRPr="00CE7653">
              <w:rPr>
                <w:snapToGrid w:val="0"/>
                <w:kern w:val="0"/>
              </w:rPr>
              <w:t>CJJ17-2004</w:t>
            </w:r>
            <w:r w:rsidRPr="00CE7653">
              <w:rPr>
                <w:rFonts w:hint="eastAsia"/>
                <w:snapToGrid w:val="0"/>
                <w:kern w:val="0"/>
              </w:rPr>
              <w:t>）等有关要求。</w:t>
            </w:r>
          </w:p>
        </w:tc>
      </w:tr>
      <w:tr w:rsidR="00CE7653" w:rsidRPr="00CE7653" w14:paraId="534FA57A" w14:textId="77777777" w:rsidTr="00B31E85">
        <w:tc>
          <w:tcPr>
            <w:tcW w:w="0" w:type="auto"/>
            <w:vMerge/>
            <w:tcBorders>
              <w:top w:val="single" w:sz="4" w:space="0" w:color="auto"/>
              <w:left w:val="single" w:sz="4" w:space="0" w:color="auto"/>
              <w:bottom w:val="single" w:sz="4" w:space="0" w:color="auto"/>
              <w:right w:val="single" w:sz="4" w:space="0" w:color="auto"/>
            </w:tcBorders>
            <w:vAlign w:val="center"/>
            <w:hideMark/>
          </w:tcPr>
          <w:p w14:paraId="77E39804" w14:textId="77777777" w:rsidR="00CE7653" w:rsidRPr="00CE7653" w:rsidRDefault="00CE7653" w:rsidP="00CE7653">
            <w:pPr>
              <w:pStyle w:val="affffff4"/>
              <w:rPr>
                <w:bCs/>
                <w:szCs w:val="22"/>
              </w:rPr>
            </w:pPr>
          </w:p>
        </w:tc>
        <w:tc>
          <w:tcPr>
            <w:tcW w:w="3350" w:type="pct"/>
            <w:tcBorders>
              <w:top w:val="single" w:sz="4" w:space="0" w:color="auto"/>
              <w:left w:val="single" w:sz="4" w:space="0" w:color="auto"/>
              <w:bottom w:val="single" w:sz="4" w:space="0" w:color="auto"/>
              <w:right w:val="single" w:sz="4" w:space="0" w:color="auto"/>
            </w:tcBorders>
            <w:vAlign w:val="center"/>
            <w:hideMark/>
          </w:tcPr>
          <w:p w14:paraId="714BC5F7" w14:textId="77777777" w:rsidR="00CE7653" w:rsidRPr="00CE7653" w:rsidRDefault="00CE7653" w:rsidP="00887032">
            <w:pPr>
              <w:adjustRightInd w:val="0"/>
              <w:snapToGrid w:val="0"/>
              <w:rPr>
                <w:snapToGrid w:val="0"/>
                <w:kern w:val="0"/>
              </w:rPr>
            </w:pPr>
            <w:r w:rsidRPr="00CE7653">
              <w:rPr>
                <w:snapToGrid w:val="0"/>
                <w:kern w:val="0"/>
              </w:rPr>
              <w:t>9.2.5</w:t>
            </w:r>
            <w:r w:rsidRPr="00CE7653">
              <w:rPr>
                <w:rFonts w:hint="eastAsia"/>
                <w:snapToGrid w:val="0"/>
                <w:kern w:val="0"/>
              </w:rPr>
              <w:t>渗滤液的收集与处理</w:t>
            </w:r>
          </w:p>
          <w:p w14:paraId="02F67FF5" w14:textId="77777777" w:rsidR="00CE7653" w:rsidRPr="00CE7653" w:rsidRDefault="00CE7653" w:rsidP="00887032">
            <w:pPr>
              <w:adjustRightInd w:val="0"/>
              <w:snapToGrid w:val="0"/>
              <w:rPr>
                <w:snapToGrid w:val="0"/>
                <w:kern w:val="0"/>
              </w:rPr>
            </w:pPr>
            <w:r w:rsidRPr="00CE7653">
              <w:rPr>
                <w:snapToGrid w:val="0"/>
                <w:kern w:val="0"/>
              </w:rPr>
              <w:t>9.2.5.1</w:t>
            </w:r>
            <w:r w:rsidRPr="00CE7653">
              <w:rPr>
                <w:rFonts w:hint="eastAsia"/>
                <w:snapToGrid w:val="0"/>
                <w:kern w:val="0"/>
              </w:rPr>
              <w:t>填埋场内应实行雨水与污水分流，减少运行过程中的渗滤液产生量。</w:t>
            </w:r>
          </w:p>
          <w:p w14:paraId="45978AC8" w14:textId="77777777" w:rsidR="00CE7653" w:rsidRPr="00CE7653" w:rsidRDefault="00CE7653" w:rsidP="00887032">
            <w:pPr>
              <w:adjustRightInd w:val="0"/>
              <w:snapToGrid w:val="0"/>
              <w:rPr>
                <w:snapToGrid w:val="0"/>
                <w:kern w:val="0"/>
              </w:rPr>
            </w:pPr>
            <w:r w:rsidRPr="00CE7653">
              <w:rPr>
                <w:snapToGrid w:val="0"/>
                <w:kern w:val="0"/>
              </w:rPr>
              <w:t>9.2.5.2</w:t>
            </w:r>
            <w:r w:rsidRPr="00CE7653">
              <w:rPr>
                <w:rFonts w:hint="eastAsia"/>
                <w:snapToGrid w:val="0"/>
                <w:kern w:val="0"/>
              </w:rPr>
              <w:t>填埋库区应铺设渗滤液收集系统，并宜设置疏通设施。</w:t>
            </w:r>
          </w:p>
          <w:p w14:paraId="61B3FE03" w14:textId="77777777" w:rsidR="00CE7653" w:rsidRPr="00CE7653" w:rsidRDefault="00CE7653" w:rsidP="00887032">
            <w:pPr>
              <w:adjustRightInd w:val="0"/>
              <w:snapToGrid w:val="0"/>
              <w:rPr>
                <w:snapToGrid w:val="0"/>
                <w:kern w:val="0"/>
              </w:rPr>
            </w:pPr>
            <w:r w:rsidRPr="00CE7653">
              <w:rPr>
                <w:snapToGrid w:val="0"/>
                <w:kern w:val="0"/>
              </w:rPr>
              <w:t>9.2.5.3</w:t>
            </w:r>
            <w:r w:rsidRPr="00CE7653">
              <w:rPr>
                <w:rFonts w:hint="eastAsia"/>
                <w:snapToGrid w:val="0"/>
                <w:kern w:val="0"/>
              </w:rPr>
              <w:t>渗滤液产生量和处理量应按填埋场类型、填埋库区划分和雨污水分流系统情况、填埋物性质及气象条件等因素确定。</w:t>
            </w:r>
          </w:p>
          <w:p w14:paraId="5124A463" w14:textId="77777777" w:rsidR="00CE7653" w:rsidRPr="00CE7653" w:rsidRDefault="00CE7653" w:rsidP="00887032">
            <w:pPr>
              <w:adjustRightInd w:val="0"/>
              <w:snapToGrid w:val="0"/>
              <w:rPr>
                <w:snapToGrid w:val="0"/>
                <w:kern w:val="0"/>
              </w:rPr>
            </w:pPr>
            <w:r w:rsidRPr="00CE7653">
              <w:rPr>
                <w:snapToGrid w:val="0"/>
                <w:kern w:val="0"/>
              </w:rPr>
              <w:t>9.2.5.4</w:t>
            </w:r>
            <w:r w:rsidRPr="00CE7653">
              <w:rPr>
                <w:rFonts w:hint="eastAsia"/>
                <w:snapToGrid w:val="0"/>
                <w:kern w:val="0"/>
              </w:rPr>
              <w:t>渗滤液收集及处理系统应包括导流层、盲沟、调节池和渗滤液处理设施等。</w:t>
            </w:r>
          </w:p>
          <w:p w14:paraId="05C34801" w14:textId="77777777" w:rsidR="00CE7653" w:rsidRPr="00CE7653" w:rsidRDefault="00CE7653" w:rsidP="00887032">
            <w:pPr>
              <w:adjustRightInd w:val="0"/>
              <w:snapToGrid w:val="0"/>
              <w:rPr>
                <w:snapToGrid w:val="0"/>
                <w:kern w:val="0"/>
              </w:rPr>
            </w:pPr>
            <w:r w:rsidRPr="00CE7653">
              <w:rPr>
                <w:snapToGrid w:val="0"/>
                <w:kern w:val="0"/>
              </w:rPr>
              <w:t>9.2.5.5</w:t>
            </w:r>
            <w:r w:rsidRPr="00CE7653">
              <w:rPr>
                <w:rFonts w:hint="eastAsia"/>
                <w:snapToGrid w:val="0"/>
                <w:kern w:val="0"/>
              </w:rPr>
              <w:t>调节池容积应与填埋工艺、停留时间、渗滤液产生量及配套的渗滤液处理设施规模等相匹配。</w:t>
            </w:r>
          </w:p>
          <w:p w14:paraId="2FAE0044" w14:textId="77777777" w:rsidR="00CE7653" w:rsidRPr="00CE7653" w:rsidRDefault="00CE7653" w:rsidP="00887032">
            <w:pPr>
              <w:adjustRightInd w:val="0"/>
              <w:snapToGrid w:val="0"/>
              <w:rPr>
                <w:snapToGrid w:val="0"/>
                <w:kern w:val="0"/>
              </w:rPr>
            </w:pPr>
            <w:r w:rsidRPr="00CE7653">
              <w:rPr>
                <w:snapToGrid w:val="0"/>
                <w:kern w:val="0"/>
              </w:rPr>
              <w:t>9.2.5.6</w:t>
            </w:r>
            <w:r w:rsidRPr="00CE7653">
              <w:rPr>
                <w:rFonts w:hint="eastAsia"/>
                <w:snapToGrid w:val="0"/>
                <w:kern w:val="0"/>
              </w:rPr>
              <w:t>调节池及渗滤液流经或停留的其他设施均应采取防渗措施。</w:t>
            </w:r>
          </w:p>
          <w:p w14:paraId="414D097E" w14:textId="77777777" w:rsidR="00CE7653" w:rsidRPr="00CE7653" w:rsidRDefault="00CE7653" w:rsidP="00887032">
            <w:pPr>
              <w:adjustRightInd w:val="0"/>
              <w:snapToGrid w:val="0"/>
              <w:rPr>
                <w:snapToGrid w:val="0"/>
                <w:kern w:val="0"/>
              </w:rPr>
            </w:pPr>
            <w:r w:rsidRPr="00CE7653">
              <w:rPr>
                <w:snapToGrid w:val="0"/>
                <w:kern w:val="0"/>
              </w:rPr>
              <w:t>9.2.5.7</w:t>
            </w:r>
            <w:r w:rsidRPr="00CE7653">
              <w:rPr>
                <w:rFonts w:hint="eastAsia"/>
                <w:snapToGrid w:val="0"/>
                <w:kern w:val="0"/>
              </w:rPr>
              <w:t>渗滤液应按照</w:t>
            </w:r>
            <w:r w:rsidRPr="00CE7653">
              <w:rPr>
                <w:snapToGrid w:val="0"/>
                <w:kern w:val="0"/>
              </w:rPr>
              <w:t>GB16889</w:t>
            </w:r>
            <w:r w:rsidRPr="00CE7653">
              <w:rPr>
                <w:rFonts w:hint="eastAsia"/>
                <w:snapToGrid w:val="0"/>
                <w:kern w:val="0"/>
              </w:rPr>
              <w:t>的要求，处理达标后排放。</w:t>
            </w:r>
          </w:p>
          <w:p w14:paraId="437209FB" w14:textId="77777777" w:rsidR="00CE7653" w:rsidRPr="00CE7653" w:rsidRDefault="00CE7653" w:rsidP="00887032">
            <w:pPr>
              <w:adjustRightInd w:val="0"/>
              <w:snapToGrid w:val="0"/>
              <w:rPr>
                <w:snapToGrid w:val="0"/>
                <w:kern w:val="0"/>
              </w:rPr>
            </w:pPr>
            <w:r w:rsidRPr="00CE7653">
              <w:rPr>
                <w:snapToGrid w:val="0"/>
                <w:kern w:val="0"/>
              </w:rPr>
              <w:t>9.2.5.8</w:t>
            </w:r>
            <w:r w:rsidRPr="00CE7653">
              <w:rPr>
                <w:rFonts w:hint="eastAsia"/>
                <w:snapToGrid w:val="0"/>
                <w:kern w:val="0"/>
              </w:rPr>
              <w:t>填埋场渗滤液的处理应符合</w:t>
            </w:r>
            <w:r w:rsidRPr="00CE7653">
              <w:rPr>
                <w:snapToGrid w:val="0"/>
                <w:kern w:val="0"/>
              </w:rPr>
              <w:t>HⅢ564</w:t>
            </w:r>
            <w:r w:rsidRPr="00CE7653">
              <w:rPr>
                <w:rFonts w:hint="eastAsia"/>
                <w:snapToGrid w:val="0"/>
                <w:kern w:val="0"/>
              </w:rPr>
              <w:t>的有关规定。</w:t>
            </w:r>
          </w:p>
        </w:tc>
        <w:tc>
          <w:tcPr>
            <w:tcW w:w="1392" w:type="pct"/>
            <w:tcBorders>
              <w:top w:val="single" w:sz="4" w:space="0" w:color="auto"/>
              <w:left w:val="single" w:sz="4" w:space="0" w:color="auto"/>
              <w:bottom w:val="single" w:sz="4" w:space="0" w:color="auto"/>
              <w:right w:val="single" w:sz="4" w:space="0" w:color="auto"/>
            </w:tcBorders>
            <w:vAlign w:val="center"/>
            <w:hideMark/>
          </w:tcPr>
          <w:p w14:paraId="08F5A88C" w14:textId="77777777" w:rsidR="00CE7653" w:rsidRPr="00CE7653" w:rsidRDefault="00CE7653" w:rsidP="00887032">
            <w:pPr>
              <w:adjustRightInd w:val="0"/>
              <w:snapToGrid w:val="0"/>
              <w:jc w:val="center"/>
              <w:rPr>
                <w:snapToGrid w:val="0"/>
                <w:kern w:val="0"/>
              </w:rPr>
            </w:pPr>
            <w:r w:rsidRPr="00CE7653">
              <w:rPr>
                <w:rFonts w:hint="eastAsia"/>
                <w:snapToGrid w:val="0"/>
                <w:kern w:val="0"/>
              </w:rPr>
              <w:t>本项目满足《生活垃圾卫生填埋处理技术导则》（</w:t>
            </w:r>
            <w:r w:rsidRPr="00CE7653">
              <w:rPr>
                <w:snapToGrid w:val="0"/>
                <w:kern w:val="0"/>
              </w:rPr>
              <w:t>GB50869-2013</w:t>
            </w:r>
            <w:r w:rsidRPr="00CE7653">
              <w:rPr>
                <w:rFonts w:hint="eastAsia"/>
                <w:snapToGrid w:val="0"/>
                <w:kern w:val="0"/>
              </w:rPr>
              <w:t>）、《生活垃圾填埋场污染控制标准》（</w:t>
            </w:r>
            <w:r w:rsidRPr="00CE7653">
              <w:rPr>
                <w:snapToGrid w:val="0"/>
                <w:kern w:val="0"/>
              </w:rPr>
              <w:t>GB16889-2024</w:t>
            </w:r>
            <w:r w:rsidRPr="00CE7653">
              <w:rPr>
                <w:rFonts w:hint="eastAsia"/>
                <w:snapToGrid w:val="0"/>
                <w:kern w:val="0"/>
              </w:rPr>
              <w:t>）等有关要求。</w:t>
            </w:r>
          </w:p>
        </w:tc>
      </w:tr>
      <w:tr w:rsidR="00CE7653" w:rsidRPr="00CE7653" w14:paraId="2761A5D8" w14:textId="77777777" w:rsidTr="00B31E85">
        <w:tc>
          <w:tcPr>
            <w:tcW w:w="0" w:type="auto"/>
            <w:vMerge/>
            <w:tcBorders>
              <w:top w:val="single" w:sz="4" w:space="0" w:color="auto"/>
              <w:left w:val="single" w:sz="4" w:space="0" w:color="auto"/>
              <w:bottom w:val="single" w:sz="4" w:space="0" w:color="auto"/>
              <w:right w:val="single" w:sz="4" w:space="0" w:color="auto"/>
            </w:tcBorders>
            <w:vAlign w:val="center"/>
            <w:hideMark/>
          </w:tcPr>
          <w:p w14:paraId="318C1003" w14:textId="77777777" w:rsidR="00CE7653" w:rsidRPr="00CE7653" w:rsidRDefault="00CE7653" w:rsidP="00CE7653">
            <w:pPr>
              <w:pStyle w:val="affffff4"/>
              <w:rPr>
                <w:bCs/>
                <w:szCs w:val="22"/>
              </w:rPr>
            </w:pPr>
          </w:p>
        </w:tc>
        <w:tc>
          <w:tcPr>
            <w:tcW w:w="3350" w:type="pct"/>
            <w:tcBorders>
              <w:top w:val="single" w:sz="4" w:space="0" w:color="auto"/>
              <w:left w:val="single" w:sz="4" w:space="0" w:color="auto"/>
              <w:bottom w:val="single" w:sz="4" w:space="0" w:color="auto"/>
              <w:right w:val="single" w:sz="4" w:space="0" w:color="auto"/>
            </w:tcBorders>
            <w:vAlign w:val="center"/>
            <w:hideMark/>
          </w:tcPr>
          <w:p w14:paraId="654F22FF" w14:textId="77777777" w:rsidR="00CE7653" w:rsidRPr="00CE7653" w:rsidRDefault="00CE7653" w:rsidP="00887032">
            <w:pPr>
              <w:adjustRightInd w:val="0"/>
              <w:snapToGrid w:val="0"/>
              <w:rPr>
                <w:snapToGrid w:val="0"/>
                <w:kern w:val="0"/>
              </w:rPr>
            </w:pPr>
            <w:r w:rsidRPr="00CE7653">
              <w:rPr>
                <w:snapToGrid w:val="0"/>
                <w:kern w:val="0"/>
              </w:rPr>
              <w:t>9.2.6</w:t>
            </w:r>
            <w:r w:rsidRPr="00CE7653">
              <w:rPr>
                <w:rFonts w:hint="eastAsia"/>
                <w:snapToGrid w:val="0"/>
                <w:kern w:val="0"/>
              </w:rPr>
              <w:t>填埋气体收集与处理</w:t>
            </w:r>
          </w:p>
          <w:p w14:paraId="27FE7DA9" w14:textId="77777777" w:rsidR="00CE7653" w:rsidRPr="00CE7653" w:rsidRDefault="00CE7653" w:rsidP="00887032">
            <w:pPr>
              <w:adjustRightInd w:val="0"/>
              <w:snapToGrid w:val="0"/>
              <w:rPr>
                <w:snapToGrid w:val="0"/>
                <w:kern w:val="0"/>
              </w:rPr>
            </w:pPr>
            <w:r w:rsidRPr="00CE7653">
              <w:rPr>
                <w:snapToGrid w:val="0"/>
                <w:kern w:val="0"/>
              </w:rPr>
              <w:t>9.2.6.1</w:t>
            </w:r>
            <w:r w:rsidRPr="00CE7653">
              <w:rPr>
                <w:rFonts w:hint="eastAsia"/>
                <w:snapToGrid w:val="0"/>
                <w:kern w:val="0"/>
              </w:rPr>
              <w:t>宜对填埋气体进行收集和利用，难以回收和无利用价值时宜将其导出处理后排放。</w:t>
            </w:r>
          </w:p>
          <w:p w14:paraId="69277AE2" w14:textId="77777777" w:rsidR="00CE7653" w:rsidRPr="00CE7653" w:rsidRDefault="00CE7653" w:rsidP="00887032">
            <w:pPr>
              <w:adjustRightInd w:val="0"/>
              <w:snapToGrid w:val="0"/>
              <w:rPr>
                <w:snapToGrid w:val="0"/>
                <w:kern w:val="0"/>
              </w:rPr>
            </w:pPr>
            <w:r w:rsidRPr="00CE7653">
              <w:rPr>
                <w:snapToGrid w:val="0"/>
                <w:kern w:val="0"/>
              </w:rPr>
              <w:t>9.2.6.2</w:t>
            </w:r>
            <w:r w:rsidRPr="00CE7653">
              <w:rPr>
                <w:rFonts w:hint="eastAsia"/>
                <w:snapToGrid w:val="0"/>
                <w:kern w:val="0"/>
              </w:rPr>
              <w:t>填埋场应设置有效的填埋气体导排设施，填埋气体导排设施应符合下列要求：</w:t>
            </w:r>
          </w:p>
          <w:p w14:paraId="2AA21CAD" w14:textId="77777777" w:rsidR="00CE7653" w:rsidRPr="00CE7653" w:rsidRDefault="00CE7653" w:rsidP="00887032">
            <w:pPr>
              <w:adjustRightInd w:val="0"/>
              <w:snapToGrid w:val="0"/>
              <w:rPr>
                <w:snapToGrid w:val="0"/>
                <w:kern w:val="0"/>
              </w:rPr>
            </w:pPr>
            <w:r w:rsidRPr="00CE7653">
              <w:rPr>
                <w:rFonts w:hint="eastAsia"/>
                <w:snapToGrid w:val="0"/>
                <w:kern w:val="0"/>
              </w:rPr>
              <w:t>（</w:t>
            </w:r>
            <w:r w:rsidRPr="00CE7653">
              <w:rPr>
                <w:snapToGrid w:val="0"/>
                <w:kern w:val="0"/>
              </w:rPr>
              <w:t>a</w:t>
            </w:r>
            <w:r w:rsidRPr="00CE7653">
              <w:rPr>
                <w:rFonts w:hint="eastAsia"/>
                <w:snapToGrid w:val="0"/>
                <w:kern w:val="0"/>
              </w:rPr>
              <w:t>）填埋气体导排设施宜采用竖井（管），也可采用横管（沟）或横竖相连的导排设施：</w:t>
            </w:r>
          </w:p>
          <w:p w14:paraId="49BEA893" w14:textId="77777777" w:rsidR="00887032" w:rsidRDefault="00CE7653" w:rsidP="00887032">
            <w:pPr>
              <w:adjustRightInd w:val="0"/>
              <w:snapToGrid w:val="0"/>
              <w:rPr>
                <w:snapToGrid w:val="0"/>
                <w:kern w:val="0"/>
              </w:rPr>
            </w:pPr>
            <w:r w:rsidRPr="00CE7653">
              <w:rPr>
                <w:rFonts w:hint="eastAsia"/>
                <w:snapToGrid w:val="0"/>
                <w:kern w:val="0"/>
              </w:rPr>
              <w:t>（</w:t>
            </w:r>
            <w:r w:rsidRPr="00CE7653">
              <w:rPr>
                <w:snapToGrid w:val="0"/>
                <w:kern w:val="0"/>
              </w:rPr>
              <w:t>b</w:t>
            </w:r>
            <w:r w:rsidRPr="00CE7653">
              <w:rPr>
                <w:rFonts w:hint="eastAsia"/>
                <w:snapToGrid w:val="0"/>
                <w:kern w:val="0"/>
              </w:rPr>
              <w:t>）竖井可采用穿孔管居中的石笼，穿孔管外宜用级配石料等粒状物填充。竖井宜按填埋作业层的升高分段设置和连接：竖井设置的水平间距不应大于</w:t>
            </w:r>
            <w:r w:rsidRPr="00CE7653">
              <w:rPr>
                <w:snapToGrid w:val="0"/>
                <w:kern w:val="0"/>
              </w:rPr>
              <w:t>50m</w:t>
            </w:r>
            <w:r w:rsidRPr="00CE7653">
              <w:rPr>
                <w:rFonts w:hint="eastAsia"/>
                <w:snapToGrid w:val="0"/>
                <w:kern w:val="0"/>
              </w:rPr>
              <w:t>：管口应高出场地</w:t>
            </w:r>
            <w:r w:rsidRPr="00CE7653">
              <w:rPr>
                <w:snapToGrid w:val="0"/>
                <w:kern w:val="0"/>
              </w:rPr>
              <w:t>1m</w:t>
            </w:r>
            <w:r w:rsidRPr="00CE7653">
              <w:rPr>
                <w:rFonts w:hint="eastAsia"/>
                <w:snapToGrid w:val="0"/>
                <w:kern w:val="0"/>
              </w:rPr>
              <w:t>以上。应考虑垃圾分解和沉降过程中堆体的变化对气体导排设施的影响，防止设施阻塞、断裂而失去导排功能：</w:t>
            </w:r>
          </w:p>
          <w:p w14:paraId="40F7B0C3" w14:textId="37DD8EDE" w:rsidR="00CE7653" w:rsidRPr="00CE7653" w:rsidRDefault="00CE7653" w:rsidP="00887032">
            <w:pPr>
              <w:adjustRightInd w:val="0"/>
              <w:snapToGrid w:val="0"/>
              <w:rPr>
                <w:snapToGrid w:val="0"/>
                <w:kern w:val="0"/>
              </w:rPr>
            </w:pPr>
            <w:r w:rsidRPr="00CE7653">
              <w:rPr>
                <w:rFonts w:hint="eastAsia"/>
                <w:snapToGrid w:val="0"/>
                <w:kern w:val="0"/>
              </w:rPr>
              <w:t>（</w:t>
            </w:r>
            <w:r w:rsidRPr="00CE7653">
              <w:rPr>
                <w:snapToGrid w:val="0"/>
                <w:kern w:val="0"/>
              </w:rPr>
              <w:t>c</w:t>
            </w:r>
            <w:r w:rsidRPr="00CE7653">
              <w:rPr>
                <w:rFonts w:hint="eastAsia"/>
                <w:snapToGrid w:val="0"/>
                <w:kern w:val="0"/>
              </w:rPr>
              <w:t>）填埋深度大于</w:t>
            </w:r>
            <w:r w:rsidRPr="00CE7653">
              <w:rPr>
                <w:snapToGrid w:val="0"/>
                <w:kern w:val="0"/>
              </w:rPr>
              <w:t>20m</w:t>
            </w:r>
            <w:r w:rsidRPr="00CE7653">
              <w:rPr>
                <w:rFonts w:hint="eastAsia"/>
                <w:snapToGrid w:val="0"/>
                <w:kern w:val="0"/>
              </w:rPr>
              <w:t>采用主动导气时，宜设置横管：</w:t>
            </w:r>
          </w:p>
          <w:p w14:paraId="794507FF" w14:textId="3255E5A5" w:rsidR="00CE7653" w:rsidRPr="00CE7653" w:rsidRDefault="00CE7653" w:rsidP="00887032">
            <w:pPr>
              <w:adjustRightInd w:val="0"/>
              <w:snapToGrid w:val="0"/>
              <w:rPr>
                <w:snapToGrid w:val="0"/>
                <w:kern w:val="0"/>
              </w:rPr>
            </w:pPr>
            <w:r w:rsidRPr="00CE7653">
              <w:rPr>
                <w:rFonts w:hint="eastAsia"/>
                <w:snapToGrid w:val="0"/>
                <w:kern w:val="0"/>
              </w:rPr>
              <w:t>（</w:t>
            </w:r>
            <w:r w:rsidRPr="00CE7653">
              <w:rPr>
                <w:snapToGrid w:val="0"/>
                <w:kern w:val="0"/>
              </w:rPr>
              <w:t>d</w:t>
            </w:r>
            <w:r w:rsidRPr="00CE7653">
              <w:rPr>
                <w:rFonts w:hint="eastAsia"/>
                <w:snapToGrid w:val="0"/>
                <w:kern w:val="0"/>
              </w:rPr>
              <w:t>）有条件进行填埋气体回收利用时，宜设置填埋气体利用设施。</w:t>
            </w:r>
          </w:p>
          <w:p w14:paraId="6850B5B3" w14:textId="77777777" w:rsidR="00CE7653" w:rsidRPr="00CE7653" w:rsidRDefault="00CE7653" w:rsidP="00887032">
            <w:pPr>
              <w:adjustRightInd w:val="0"/>
              <w:snapToGrid w:val="0"/>
              <w:rPr>
                <w:snapToGrid w:val="0"/>
                <w:kern w:val="0"/>
              </w:rPr>
            </w:pPr>
            <w:r w:rsidRPr="00CE7653">
              <w:rPr>
                <w:snapToGrid w:val="0"/>
                <w:kern w:val="0"/>
              </w:rPr>
              <w:t>9.2.6.3</w:t>
            </w:r>
            <w:r w:rsidRPr="00CE7653">
              <w:rPr>
                <w:rFonts w:hint="eastAsia"/>
                <w:snapToGrid w:val="0"/>
                <w:kern w:val="0"/>
              </w:rPr>
              <w:t>填埋场上方甲烷气体含量应小于</w:t>
            </w:r>
            <w:r w:rsidRPr="00CE7653">
              <w:rPr>
                <w:snapToGrid w:val="0"/>
                <w:kern w:val="0"/>
              </w:rPr>
              <w:t>5%</w:t>
            </w:r>
            <w:r w:rsidRPr="00CE7653">
              <w:rPr>
                <w:rFonts w:hint="eastAsia"/>
                <w:snapToGrid w:val="0"/>
                <w:kern w:val="0"/>
              </w:rPr>
              <w:t>：建（构）筑物内，甲烷气体含量不应超过</w:t>
            </w:r>
            <w:r w:rsidRPr="00CE7653">
              <w:rPr>
                <w:snapToGrid w:val="0"/>
                <w:kern w:val="0"/>
              </w:rPr>
              <w:t>125%</w:t>
            </w:r>
            <w:r w:rsidRPr="00CE7653">
              <w:rPr>
                <w:rFonts w:hint="eastAsia"/>
                <w:snapToGrid w:val="0"/>
                <w:kern w:val="0"/>
              </w:rPr>
              <w:t>。</w:t>
            </w:r>
          </w:p>
          <w:p w14:paraId="7B577BCD" w14:textId="77777777" w:rsidR="00CE7653" w:rsidRPr="00CE7653" w:rsidRDefault="00CE7653" w:rsidP="00887032">
            <w:pPr>
              <w:adjustRightInd w:val="0"/>
              <w:snapToGrid w:val="0"/>
              <w:rPr>
                <w:snapToGrid w:val="0"/>
                <w:kern w:val="0"/>
              </w:rPr>
            </w:pPr>
            <w:r w:rsidRPr="00CE7653">
              <w:rPr>
                <w:snapToGrid w:val="0"/>
                <w:kern w:val="0"/>
              </w:rPr>
              <w:t>9.2.6.4</w:t>
            </w:r>
            <w:r w:rsidRPr="00CE7653">
              <w:rPr>
                <w:rFonts w:hint="eastAsia"/>
                <w:snapToGrid w:val="0"/>
                <w:kern w:val="0"/>
              </w:rPr>
              <w:t>填埋场应防止填埋气体在局部聚集。填埋库区底部及边坡的土层</w:t>
            </w:r>
            <w:r w:rsidRPr="00CE7653">
              <w:rPr>
                <w:snapToGrid w:val="0"/>
                <w:kern w:val="0"/>
              </w:rPr>
              <w:t>10m</w:t>
            </w:r>
            <w:r w:rsidRPr="00CE7653">
              <w:rPr>
                <w:rFonts w:hint="eastAsia"/>
                <w:snapToGrid w:val="0"/>
                <w:kern w:val="0"/>
              </w:rPr>
              <w:t>深范围内的裂隙、溶洞及其他腔型结构均应充填密实。填埋体中不均匀沉降造成的裂隙应及时充填密实。对填埋物中的可能造成腔型结构的大件垃圾应进行破碎。</w:t>
            </w:r>
          </w:p>
        </w:tc>
        <w:tc>
          <w:tcPr>
            <w:tcW w:w="1392" w:type="pct"/>
            <w:tcBorders>
              <w:top w:val="single" w:sz="4" w:space="0" w:color="auto"/>
              <w:left w:val="single" w:sz="4" w:space="0" w:color="auto"/>
              <w:bottom w:val="single" w:sz="4" w:space="0" w:color="auto"/>
              <w:right w:val="single" w:sz="4" w:space="0" w:color="auto"/>
            </w:tcBorders>
            <w:vAlign w:val="center"/>
            <w:hideMark/>
          </w:tcPr>
          <w:p w14:paraId="66355743" w14:textId="7ECDD5B9" w:rsidR="00CE7653" w:rsidRPr="00CE7653" w:rsidRDefault="00CE7653" w:rsidP="00887032">
            <w:pPr>
              <w:adjustRightInd w:val="0"/>
              <w:snapToGrid w:val="0"/>
              <w:jc w:val="center"/>
              <w:rPr>
                <w:snapToGrid w:val="0"/>
                <w:kern w:val="0"/>
              </w:rPr>
            </w:pPr>
            <w:r w:rsidRPr="00CE7653">
              <w:rPr>
                <w:rFonts w:hint="eastAsia"/>
                <w:snapToGrid w:val="0"/>
                <w:kern w:val="0"/>
              </w:rPr>
              <w:t>本项目废气主要为飞灰填埋时产生的粉尘，</w:t>
            </w:r>
            <w:r w:rsidR="008D2683" w:rsidRPr="008D2683">
              <w:rPr>
                <w:snapToGrid w:val="0"/>
                <w:kern w:val="0"/>
              </w:rPr>
              <w:t>采用吨袋包装，洒水抑尘，日覆盖</w:t>
            </w:r>
            <w:r w:rsidR="008D2683">
              <w:rPr>
                <w:rFonts w:hint="eastAsia"/>
                <w:snapToGrid w:val="0"/>
                <w:kern w:val="0"/>
              </w:rPr>
              <w:t>等措施</w:t>
            </w:r>
            <w:r w:rsidRPr="00CE7653">
              <w:rPr>
                <w:rFonts w:hint="eastAsia"/>
                <w:snapToGrid w:val="0"/>
                <w:kern w:val="0"/>
              </w:rPr>
              <w:t>，可满足相关标准。</w:t>
            </w:r>
            <w:r w:rsidR="006B1C91" w:rsidRPr="006B1C91">
              <w:rPr>
                <w:snapToGrid w:val="0"/>
                <w:kern w:val="0"/>
              </w:rPr>
              <w:t>飞灰因有机物焚烧至尽，不会产生填埋气，故不设置填埋气导排设施</w:t>
            </w:r>
            <w:r w:rsidR="008D2683">
              <w:rPr>
                <w:rFonts w:hint="eastAsia"/>
                <w:snapToGrid w:val="0"/>
                <w:kern w:val="0"/>
              </w:rPr>
              <w:t>。</w:t>
            </w:r>
          </w:p>
        </w:tc>
      </w:tr>
      <w:tr w:rsidR="00CE7653" w:rsidRPr="00CE7653" w14:paraId="218D0D4C" w14:textId="77777777" w:rsidTr="00B31E85">
        <w:tc>
          <w:tcPr>
            <w:tcW w:w="0" w:type="auto"/>
            <w:vMerge/>
            <w:tcBorders>
              <w:top w:val="single" w:sz="4" w:space="0" w:color="auto"/>
              <w:left w:val="single" w:sz="4" w:space="0" w:color="auto"/>
              <w:bottom w:val="single" w:sz="4" w:space="0" w:color="auto"/>
              <w:right w:val="single" w:sz="4" w:space="0" w:color="auto"/>
            </w:tcBorders>
            <w:vAlign w:val="center"/>
            <w:hideMark/>
          </w:tcPr>
          <w:p w14:paraId="682416A6" w14:textId="77777777" w:rsidR="00CE7653" w:rsidRPr="00CE7653" w:rsidRDefault="00CE7653" w:rsidP="00CE7653">
            <w:pPr>
              <w:pStyle w:val="affffff4"/>
              <w:rPr>
                <w:bCs/>
                <w:szCs w:val="22"/>
              </w:rPr>
            </w:pPr>
          </w:p>
        </w:tc>
        <w:tc>
          <w:tcPr>
            <w:tcW w:w="3350" w:type="pct"/>
            <w:tcBorders>
              <w:top w:val="single" w:sz="4" w:space="0" w:color="auto"/>
              <w:left w:val="single" w:sz="4" w:space="0" w:color="auto"/>
              <w:bottom w:val="single" w:sz="4" w:space="0" w:color="auto"/>
              <w:right w:val="single" w:sz="4" w:space="0" w:color="auto"/>
            </w:tcBorders>
            <w:vAlign w:val="center"/>
            <w:hideMark/>
          </w:tcPr>
          <w:p w14:paraId="4B85CD93" w14:textId="77777777" w:rsidR="00CE7653" w:rsidRPr="00CE7653" w:rsidRDefault="00CE7653" w:rsidP="00887032">
            <w:pPr>
              <w:adjustRightInd w:val="0"/>
              <w:snapToGrid w:val="0"/>
              <w:rPr>
                <w:snapToGrid w:val="0"/>
                <w:kern w:val="0"/>
              </w:rPr>
            </w:pPr>
            <w:r w:rsidRPr="00CE7653">
              <w:rPr>
                <w:snapToGrid w:val="0"/>
                <w:kern w:val="0"/>
              </w:rPr>
              <w:t>9.2.7</w:t>
            </w:r>
            <w:r w:rsidRPr="00CE7653">
              <w:rPr>
                <w:rFonts w:hint="eastAsia"/>
                <w:snapToGrid w:val="0"/>
                <w:kern w:val="0"/>
              </w:rPr>
              <w:t>填埋作业</w:t>
            </w:r>
          </w:p>
          <w:p w14:paraId="672C5020" w14:textId="77777777" w:rsidR="00CE7653" w:rsidRPr="00CE7653" w:rsidRDefault="00CE7653" w:rsidP="00887032">
            <w:pPr>
              <w:adjustRightInd w:val="0"/>
              <w:snapToGrid w:val="0"/>
              <w:rPr>
                <w:snapToGrid w:val="0"/>
                <w:kern w:val="0"/>
              </w:rPr>
            </w:pPr>
            <w:r w:rsidRPr="00CE7653">
              <w:rPr>
                <w:snapToGrid w:val="0"/>
                <w:kern w:val="0"/>
              </w:rPr>
              <w:t>9.2.7.1</w:t>
            </w:r>
            <w:r w:rsidRPr="00CE7653">
              <w:rPr>
                <w:rFonts w:hint="eastAsia"/>
                <w:snapToGrid w:val="0"/>
                <w:kern w:val="0"/>
              </w:rPr>
              <w:t>填埋物进入填埋场应进行检查和计量。运输车辆离开填埋场前宜冲洗轮胎和底盘。</w:t>
            </w:r>
          </w:p>
          <w:p w14:paraId="2A0ABFA8" w14:textId="77777777" w:rsidR="00CE7653" w:rsidRPr="00CE7653" w:rsidRDefault="00CE7653" w:rsidP="00887032">
            <w:pPr>
              <w:adjustRightInd w:val="0"/>
              <w:snapToGrid w:val="0"/>
              <w:rPr>
                <w:snapToGrid w:val="0"/>
                <w:kern w:val="0"/>
              </w:rPr>
            </w:pPr>
            <w:r w:rsidRPr="00CE7653">
              <w:rPr>
                <w:snapToGrid w:val="0"/>
                <w:kern w:val="0"/>
              </w:rPr>
              <w:t>9.2.7.2</w:t>
            </w:r>
            <w:r w:rsidRPr="00CE7653">
              <w:rPr>
                <w:rFonts w:hint="eastAsia"/>
                <w:snapToGrid w:val="0"/>
                <w:kern w:val="0"/>
              </w:rPr>
              <w:t>挖掘、装载、运输、摊铺、压实、覆盖等作业设备，应按填埋日处理规模和作业工艺设计要求配置。在大件垃圾较多的情况下，宜设置破碎设备。</w:t>
            </w:r>
          </w:p>
          <w:p w14:paraId="79675650" w14:textId="77777777" w:rsidR="00CE7653" w:rsidRPr="00CE7653" w:rsidRDefault="00CE7653" w:rsidP="00887032">
            <w:pPr>
              <w:adjustRightInd w:val="0"/>
              <w:snapToGrid w:val="0"/>
              <w:rPr>
                <w:snapToGrid w:val="0"/>
                <w:kern w:val="0"/>
              </w:rPr>
            </w:pPr>
            <w:r w:rsidRPr="00CE7653">
              <w:rPr>
                <w:snapToGrid w:val="0"/>
                <w:kern w:val="0"/>
              </w:rPr>
              <w:t>9.2.7.3</w:t>
            </w:r>
            <w:r w:rsidRPr="00CE7653">
              <w:rPr>
                <w:rFonts w:hint="eastAsia"/>
                <w:snapToGrid w:val="0"/>
                <w:kern w:val="0"/>
              </w:rPr>
              <w:t>填埋应采用分单元、分层作业，填埋单元作业工序应为卸车、分层摊铺、压实，达到规定高度后应进行覆盖、再压实。</w:t>
            </w:r>
          </w:p>
          <w:p w14:paraId="0C672371" w14:textId="77777777" w:rsidR="00CE7653" w:rsidRPr="00CE7653" w:rsidRDefault="00CE7653" w:rsidP="00887032">
            <w:pPr>
              <w:adjustRightInd w:val="0"/>
              <w:snapToGrid w:val="0"/>
              <w:rPr>
                <w:snapToGrid w:val="0"/>
                <w:kern w:val="0"/>
              </w:rPr>
            </w:pPr>
            <w:r w:rsidRPr="00CE7653">
              <w:rPr>
                <w:snapToGrid w:val="0"/>
                <w:kern w:val="0"/>
              </w:rPr>
              <w:t>9.2.7.4</w:t>
            </w:r>
            <w:r w:rsidRPr="00CE7653">
              <w:rPr>
                <w:rFonts w:hint="eastAsia"/>
                <w:snapToGrid w:val="0"/>
                <w:kern w:val="0"/>
              </w:rPr>
              <w:t>应根据地形制定分区分单元填埋作业计划，减少渗滤液产生量。</w:t>
            </w:r>
          </w:p>
          <w:p w14:paraId="6BC75A93" w14:textId="77777777" w:rsidR="00CE7653" w:rsidRPr="00CE7653" w:rsidRDefault="00CE7653" w:rsidP="00887032">
            <w:pPr>
              <w:adjustRightInd w:val="0"/>
              <w:snapToGrid w:val="0"/>
              <w:rPr>
                <w:snapToGrid w:val="0"/>
                <w:kern w:val="0"/>
              </w:rPr>
            </w:pPr>
            <w:r w:rsidRPr="00CE7653">
              <w:rPr>
                <w:snapToGrid w:val="0"/>
                <w:kern w:val="0"/>
              </w:rPr>
              <w:t>9.2.7.5</w:t>
            </w:r>
            <w:r w:rsidRPr="00CE7653">
              <w:rPr>
                <w:rFonts w:hint="eastAsia"/>
                <w:snapToGrid w:val="0"/>
                <w:kern w:val="0"/>
              </w:rPr>
              <w:t>每层废物摊铺厚度应根据填埋作业设备的压实性能、压实次数及废物的可压缩性确定，厚度不宜超过</w:t>
            </w:r>
            <w:r w:rsidRPr="00CE7653">
              <w:rPr>
                <w:snapToGrid w:val="0"/>
                <w:kern w:val="0"/>
              </w:rPr>
              <w:t>60cm</w:t>
            </w:r>
            <w:r w:rsidRPr="00CE7653">
              <w:rPr>
                <w:rFonts w:hint="eastAsia"/>
                <w:snapToGrid w:val="0"/>
                <w:kern w:val="0"/>
              </w:rPr>
              <w:t>，且宜从作业单元的边坡底部到顶部摊铺：废物压实密度应大于</w:t>
            </w:r>
            <w:r w:rsidRPr="00CE7653">
              <w:rPr>
                <w:snapToGrid w:val="0"/>
                <w:kern w:val="0"/>
              </w:rPr>
              <w:t>600kg/m3</w:t>
            </w:r>
            <w:r w:rsidRPr="00CE7653">
              <w:rPr>
                <w:rFonts w:hint="eastAsia"/>
                <w:snapToGrid w:val="0"/>
                <w:kern w:val="0"/>
              </w:rPr>
              <w:t>。</w:t>
            </w:r>
          </w:p>
          <w:p w14:paraId="59EA9FE7" w14:textId="77777777" w:rsidR="00CE7653" w:rsidRPr="00CE7653" w:rsidRDefault="00CE7653" w:rsidP="00887032">
            <w:pPr>
              <w:adjustRightInd w:val="0"/>
              <w:snapToGrid w:val="0"/>
              <w:rPr>
                <w:snapToGrid w:val="0"/>
                <w:kern w:val="0"/>
              </w:rPr>
            </w:pPr>
            <w:r w:rsidRPr="00CE7653">
              <w:rPr>
                <w:snapToGrid w:val="0"/>
                <w:kern w:val="0"/>
              </w:rPr>
              <w:t>9.2.7.6</w:t>
            </w:r>
            <w:r w:rsidRPr="00CE7653">
              <w:rPr>
                <w:rFonts w:hint="eastAsia"/>
                <w:snapToGrid w:val="0"/>
                <w:kern w:val="0"/>
              </w:rPr>
              <w:t>每一单元的废物高度宜为</w:t>
            </w:r>
            <w:r w:rsidRPr="00CE7653">
              <w:rPr>
                <w:snapToGrid w:val="0"/>
                <w:kern w:val="0"/>
              </w:rPr>
              <w:t>2~4m</w:t>
            </w:r>
            <w:r w:rsidRPr="00CE7653">
              <w:rPr>
                <w:rFonts w:hint="eastAsia"/>
                <w:snapToGrid w:val="0"/>
                <w:kern w:val="0"/>
              </w:rPr>
              <w:t>，最高不超过</w:t>
            </w:r>
            <w:r w:rsidRPr="00CE7653">
              <w:rPr>
                <w:snapToGrid w:val="0"/>
                <w:kern w:val="0"/>
              </w:rPr>
              <w:t>6m</w:t>
            </w:r>
            <w:r w:rsidRPr="00CE7653">
              <w:rPr>
                <w:rFonts w:hint="eastAsia"/>
                <w:snapToGrid w:val="0"/>
                <w:kern w:val="0"/>
              </w:rPr>
              <w:t>。单元作业宽度按填埋作业设备的宽度及高峰期同时进行作业的车辆数确定，最小宽度不宜小于</w:t>
            </w:r>
            <w:r w:rsidRPr="00CE7653">
              <w:rPr>
                <w:snapToGrid w:val="0"/>
                <w:kern w:val="0"/>
              </w:rPr>
              <w:t>6m</w:t>
            </w:r>
            <w:r w:rsidRPr="00CE7653">
              <w:rPr>
                <w:rFonts w:hint="eastAsia"/>
                <w:snapToGrid w:val="0"/>
                <w:kern w:val="0"/>
              </w:rPr>
              <w:t>。单元的坡度不宜大于上：</w:t>
            </w:r>
            <w:r w:rsidRPr="00CE7653">
              <w:rPr>
                <w:snapToGrid w:val="0"/>
                <w:kern w:val="0"/>
              </w:rPr>
              <w:t>3</w:t>
            </w:r>
            <w:r w:rsidRPr="00CE7653">
              <w:rPr>
                <w:rFonts w:hint="eastAsia"/>
                <w:snapToGrid w:val="0"/>
                <w:kern w:val="0"/>
              </w:rPr>
              <w:t>。</w:t>
            </w:r>
          </w:p>
          <w:p w14:paraId="19054D58" w14:textId="77777777" w:rsidR="00CE7653" w:rsidRPr="00CE7653" w:rsidRDefault="00CE7653" w:rsidP="00887032">
            <w:pPr>
              <w:adjustRightInd w:val="0"/>
              <w:snapToGrid w:val="0"/>
              <w:rPr>
                <w:snapToGrid w:val="0"/>
                <w:kern w:val="0"/>
              </w:rPr>
            </w:pPr>
            <w:r w:rsidRPr="00CE7653">
              <w:rPr>
                <w:snapToGrid w:val="0"/>
                <w:kern w:val="0"/>
              </w:rPr>
              <w:t>9.2.7.7</w:t>
            </w:r>
            <w:r w:rsidRPr="00CE7653">
              <w:rPr>
                <w:rFonts w:hint="eastAsia"/>
                <w:snapToGrid w:val="0"/>
                <w:kern w:val="0"/>
              </w:rPr>
              <w:t>每一单元作业完成后，应进行覆盖，覆盖层厚度宜根据覆盖材料确定，土覆盖层厚度宜为</w:t>
            </w:r>
            <w:r w:rsidRPr="00CE7653">
              <w:rPr>
                <w:snapToGrid w:val="0"/>
                <w:kern w:val="0"/>
              </w:rPr>
              <w:t>20~25c</w:t>
            </w:r>
            <w:r w:rsidRPr="00CE7653">
              <w:rPr>
                <w:rFonts w:hint="eastAsia"/>
                <w:snapToGrid w:val="0"/>
                <w:kern w:val="0"/>
              </w:rPr>
              <w:t>：每一作业区完成阶段性高度后，暂时不在其上继续进行填埋时，应进行中间覆盖，覆盖层厚度宜根据覆盖材料确定，土覆盖层厚度宜大于</w:t>
            </w:r>
            <w:r w:rsidRPr="00CE7653">
              <w:rPr>
                <w:snapToGrid w:val="0"/>
                <w:kern w:val="0"/>
              </w:rPr>
              <w:t>30cm</w:t>
            </w:r>
            <w:r w:rsidRPr="00CE7653">
              <w:rPr>
                <w:rFonts w:hint="eastAsia"/>
                <w:snapToGrid w:val="0"/>
                <w:kern w:val="0"/>
              </w:rPr>
              <w:t>。</w:t>
            </w:r>
          </w:p>
          <w:p w14:paraId="7B74D613" w14:textId="77777777" w:rsidR="00CE7653" w:rsidRPr="00CE7653" w:rsidRDefault="00CE7653" w:rsidP="00887032">
            <w:pPr>
              <w:adjustRightInd w:val="0"/>
              <w:snapToGrid w:val="0"/>
              <w:rPr>
                <w:snapToGrid w:val="0"/>
                <w:kern w:val="0"/>
              </w:rPr>
            </w:pPr>
            <w:r w:rsidRPr="00CE7653">
              <w:rPr>
                <w:snapToGrid w:val="0"/>
                <w:kern w:val="0"/>
              </w:rPr>
              <w:t>9.2.7.8</w:t>
            </w:r>
            <w:r w:rsidRPr="00CE7653">
              <w:rPr>
                <w:rFonts w:hint="eastAsia"/>
                <w:snapToGrid w:val="0"/>
                <w:kern w:val="0"/>
              </w:rPr>
              <w:t>填埋作业区的周围应设置防轻质废物飞散的设施。</w:t>
            </w:r>
          </w:p>
          <w:p w14:paraId="4C457E14" w14:textId="77777777" w:rsidR="00CE7653" w:rsidRPr="00CE7653" w:rsidRDefault="00CE7653" w:rsidP="00887032">
            <w:pPr>
              <w:adjustRightInd w:val="0"/>
              <w:snapToGrid w:val="0"/>
              <w:rPr>
                <w:snapToGrid w:val="0"/>
                <w:kern w:val="0"/>
              </w:rPr>
            </w:pPr>
            <w:r w:rsidRPr="00CE7653">
              <w:rPr>
                <w:snapToGrid w:val="0"/>
                <w:kern w:val="0"/>
              </w:rPr>
              <w:t>9.2.7.9</w:t>
            </w:r>
            <w:r w:rsidRPr="00CE7653">
              <w:rPr>
                <w:rFonts w:hint="eastAsia"/>
                <w:snapToGrid w:val="0"/>
                <w:kern w:val="0"/>
              </w:rPr>
              <w:t>填埋场周围应设绿化防护带，使其与周围环境相隔离。</w:t>
            </w:r>
          </w:p>
          <w:p w14:paraId="2102A3C1" w14:textId="77777777" w:rsidR="00CE7653" w:rsidRPr="00CE7653" w:rsidRDefault="00CE7653" w:rsidP="00887032">
            <w:pPr>
              <w:adjustRightInd w:val="0"/>
              <w:snapToGrid w:val="0"/>
              <w:rPr>
                <w:snapToGrid w:val="0"/>
                <w:kern w:val="0"/>
              </w:rPr>
            </w:pPr>
            <w:r w:rsidRPr="00CE7653">
              <w:rPr>
                <w:snapToGrid w:val="0"/>
                <w:kern w:val="0"/>
              </w:rPr>
              <w:t>9.2.7.10</w:t>
            </w:r>
            <w:r w:rsidRPr="00CE7653">
              <w:rPr>
                <w:rFonts w:hint="eastAsia"/>
                <w:snapToGrid w:val="0"/>
                <w:kern w:val="0"/>
              </w:rPr>
              <w:t>填埋场应有灭蝇、灭虫、灭鼠措施，使用杀虫灭鼠药物时，要避免新的污染。</w:t>
            </w:r>
          </w:p>
        </w:tc>
        <w:tc>
          <w:tcPr>
            <w:tcW w:w="1392" w:type="pct"/>
            <w:tcBorders>
              <w:top w:val="single" w:sz="4" w:space="0" w:color="auto"/>
              <w:left w:val="single" w:sz="4" w:space="0" w:color="auto"/>
              <w:bottom w:val="single" w:sz="4" w:space="0" w:color="auto"/>
              <w:right w:val="single" w:sz="4" w:space="0" w:color="auto"/>
            </w:tcBorders>
            <w:vAlign w:val="center"/>
            <w:hideMark/>
          </w:tcPr>
          <w:p w14:paraId="7D50D875" w14:textId="77777777" w:rsidR="00CE7653" w:rsidRPr="00CE7653" w:rsidRDefault="00CE7653" w:rsidP="00887032">
            <w:pPr>
              <w:adjustRightInd w:val="0"/>
              <w:snapToGrid w:val="0"/>
              <w:jc w:val="center"/>
              <w:rPr>
                <w:snapToGrid w:val="0"/>
                <w:kern w:val="0"/>
              </w:rPr>
            </w:pPr>
            <w:r w:rsidRPr="00CE7653">
              <w:rPr>
                <w:rFonts w:hint="eastAsia"/>
                <w:snapToGrid w:val="0"/>
                <w:kern w:val="0"/>
              </w:rPr>
              <w:t>填埋作业严格落实生产运营规范，满足要求。</w:t>
            </w:r>
          </w:p>
        </w:tc>
      </w:tr>
      <w:tr w:rsidR="00CE7653" w:rsidRPr="00CE7653" w14:paraId="6CAC5B40" w14:textId="77777777" w:rsidTr="00B31E85">
        <w:tc>
          <w:tcPr>
            <w:tcW w:w="0" w:type="auto"/>
            <w:vMerge/>
            <w:tcBorders>
              <w:top w:val="single" w:sz="4" w:space="0" w:color="auto"/>
              <w:left w:val="single" w:sz="4" w:space="0" w:color="auto"/>
              <w:bottom w:val="single" w:sz="4" w:space="0" w:color="auto"/>
              <w:right w:val="single" w:sz="4" w:space="0" w:color="auto"/>
            </w:tcBorders>
            <w:vAlign w:val="center"/>
            <w:hideMark/>
          </w:tcPr>
          <w:p w14:paraId="3B43DBC6" w14:textId="77777777" w:rsidR="00CE7653" w:rsidRPr="00CE7653" w:rsidRDefault="00CE7653" w:rsidP="00CE7653">
            <w:pPr>
              <w:pStyle w:val="affffff4"/>
              <w:rPr>
                <w:bCs/>
                <w:szCs w:val="22"/>
              </w:rPr>
            </w:pPr>
          </w:p>
        </w:tc>
        <w:tc>
          <w:tcPr>
            <w:tcW w:w="3350" w:type="pct"/>
            <w:tcBorders>
              <w:top w:val="single" w:sz="4" w:space="0" w:color="auto"/>
              <w:left w:val="single" w:sz="4" w:space="0" w:color="auto"/>
              <w:bottom w:val="single" w:sz="4" w:space="0" w:color="auto"/>
              <w:right w:val="single" w:sz="4" w:space="0" w:color="auto"/>
            </w:tcBorders>
            <w:vAlign w:val="center"/>
            <w:hideMark/>
          </w:tcPr>
          <w:p w14:paraId="3553197D" w14:textId="77777777" w:rsidR="00CE7653" w:rsidRPr="00CE7653" w:rsidRDefault="00CE7653" w:rsidP="00887032">
            <w:pPr>
              <w:adjustRightInd w:val="0"/>
              <w:snapToGrid w:val="0"/>
              <w:rPr>
                <w:snapToGrid w:val="0"/>
                <w:kern w:val="0"/>
              </w:rPr>
            </w:pPr>
            <w:r w:rsidRPr="00CE7653">
              <w:rPr>
                <w:snapToGrid w:val="0"/>
                <w:kern w:val="0"/>
              </w:rPr>
              <w:t>9.2.8</w:t>
            </w:r>
            <w:r w:rsidRPr="00CE7653">
              <w:rPr>
                <w:rFonts w:hint="eastAsia"/>
                <w:snapToGrid w:val="0"/>
                <w:kern w:val="0"/>
              </w:rPr>
              <w:t>终场盖</w:t>
            </w:r>
          </w:p>
          <w:p w14:paraId="5005B317" w14:textId="77777777" w:rsidR="00CE7653" w:rsidRPr="00CE7653" w:rsidRDefault="00CE7653" w:rsidP="00887032">
            <w:pPr>
              <w:adjustRightInd w:val="0"/>
              <w:snapToGrid w:val="0"/>
              <w:rPr>
                <w:snapToGrid w:val="0"/>
                <w:kern w:val="0"/>
              </w:rPr>
            </w:pPr>
            <w:r w:rsidRPr="00CE7653">
              <w:rPr>
                <w:snapToGrid w:val="0"/>
                <w:kern w:val="0"/>
              </w:rPr>
              <w:t>9.2.8.1</w:t>
            </w:r>
            <w:r w:rsidRPr="00CE7653">
              <w:rPr>
                <w:rFonts w:hint="eastAsia"/>
                <w:snapToGrid w:val="0"/>
                <w:kern w:val="0"/>
              </w:rPr>
              <w:t>填埋终止后，应进行封场和生态环境恢复。</w:t>
            </w:r>
          </w:p>
          <w:p w14:paraId="05B45BAA" w14:textId="77777777" w:rsidR="00CE7653" w:rsidRPr="00CE7653" w:rsidRDefault="00CE7653" w:rsidP="00887032">
            <w:pPr>
              <w:adjustRightInd w:val="0"/>
              <w:snapToGrid w:val="0"/>
              <w:rPr>
                <w:snapToGrid w:val="0"/>
                <w:kern w:val="0"/>
              </w:rPr>
            </w:pPr>
            <w:r w:rsidRPr="00CE7653">
              <w:rPr>
                <w:snapToGrid w:val="0"/>
                <w:kern w:val="0"/>
              </w:rPr>
              <w:t>9.2.8.2</w:t>
            </w:r>
            <w:r w:rsidRPr="00CE7653">
              <w:rPr>
                <w:rFonts w:hint="eastAsia"/>
                <w:snapToGrid w:val="0"/>
                <w:kern w:val="0"/>
              </w:rPr>
              <w:t>终场覆盖系统由下至上应依次为排气层、防渗层、排水层、最终覆土层以及植被层。</w:t>
            </w:r>
          </w:p>
          <w:p w14:paraId="732D4838" w14:textId="77777777" w:rsidR="00CE7653" w:rsidRPr="00CE7653" w:rsidRDefault="00CE7653" w:rsidP="00887032">
            <w:pPr>
              <w:adjustRightInd w:val="0"/>
              <w:snapToGrid w:val="0"/>
              <w:rPr>
                <w:snapToGrid w:val="0"/>
                <w:kern w:val="0"/>
              </w:rPr>
            </w:pPr>
            <w:r w:rsidRPr="00CE7653">
              <w:rPr>
                <w:snapToGrid w:val="0"/>
                <w:kern w:val="0"/>
              </w:rPr>
              <w:t>9.2.8.3</w:t>
            </w:r>
            <w:r w:rsidRPr="00CE7653">
              <w:rPr>
                <w:rFonts w:hint="eastAsia"/>
                <w:snapToGrid w:val="0"/>
                <w:kern w:val="0"/>
              </w:rPr>
              <w:t>排气层应与导气竖管相连。导气竖管应高出最终覆土层上表面</w:t>
            </w:r>
            <w:r w:rsidRPr="00CE7653">
              <w:rPr>
                <w:snapToGrid w:val="0"/>
                <w:kern w:val="0"/>
              </w:rPr>
              <w:t>100m</w:t>
            </w:r>
            <w:r w:rsidRPr="00CE7653">
              <w:rPr>
                <w:rFonts w:hint="eastAsia"/>
                <w:snapToGrid w:val="0"/>
                <w:kern w:val="0"/>
              </w:rPr>
              <w:t>以上。</w:t>
            </w:r>
          </w:p>
          <w:p w14:paraId="2B3886C7" w14:textId="77777777" w:rsidR="00CE7653" w:rsidRPr="00CE7653" w:rsidRDefault="00CE7653" w:rsidP="00887032">
            <w:pPr>
              <w:adjustRightInd w:val="0"/>
              <w:snapToGrid w:val="0"/>
              <w:rPr>
                <w:snapToGrid w:val="0"/>
                <w:kern w:val="0"/>
              </w:rPr>
            </w:pPr>
            <w:r w:rsidRPr="00CE7653">
              <w:rPr>
                <w:snapToGrid w:val="0"/>
                <w:kern w:val="0"/>
              </w:rPr>
              <w:t>9.2.8.4</w:t>
            </w:r>
            <w:r w:rsidRPr="00CE7653">
              <w:rPr>
                <w:rFonts w:hint="eastAsia"/>
                <w:snapToGrid w:val="0"/>
                <w:kern w:val="0"/>
              </w:rPr>
              <w:t>防渗层可采用粘土或人工合成材料。</w:t>
            </w:r>
          </w:p>
          <w:p w14:paraId="329752A4" w14:textId="77777777" w:rsidR="00CE7653" w:rsidRPr="00CE7653" w:rsidRDefault="00CE7653" w:rsidP="00887032">
            <w:pPr>
              <w:adjustRightInd w:val="0"/>
              <w:snapToGrid w:val="0"/>
              <w:rPr>
                <w:snapToGrid w:val="0"/>
                <w:kern w:val="0"/>
              </w:rPr>
            </w:pPr>
            <w:r w:rsidRPr="00CE7653">
              <w:rPr>
                <w:snapToGrid w:val="0"/>
                <w:kern w:val="0"/>
              </w:rPr>
              <w:t>9.2.B.5</w:t>
            </w:r>
            <w:r w:rsidRPr="00CE7653">
              <w:rPr>
                <w:rFonts w:hint="eastAsia"/>
                <w:snapToGrid w:val="0"/>
                <w:kern w:val="0"/>
              </w:rPr>
              <w:t>填埋场最终覆盖系统应符合</w:t>
            </w:r>
            <w:r w:rsidRPr="00CE7653">
              <w:rPr>
                <w:snapToGrid w:val="0"/>
                <w:kern w:val="0"/>
              </w:rPr>
              <w:t>CJ117</w:t>
            </w:r>
            <w:r w:rsidRPr="00CE7653">
              <w:rPr>
                <w:rFonts w:hint="eastAsia"/>
                <w:snapToGrid w:val="0"/>
                <w:kern w:val="0"/>
              </w:rPr>
              <w:t>的规定。</w:t>
            </w:r>
          </w:p>
          <w:p w14:paraId="724A28F4" w14:textId="77777777" w:rsidR="00CE7653" w:rsidRPr="00CE7653" w:rsidRDefault="00CE7653" w:rsidP="00887032">
            <w:pPr>
              <w:adjustRightInd w:val="0"/>
              <w:snapToGrid w:val="0"/>
              <w:rPr>
                <w:snapToGrid w:val="0"/>
                <w:kern w:val="0"/>
              </w:rPr>
            </w:pPr>
            <w:r w:rsidRPr="00CE7653">
              <w:rPr>
                <w:snapToGrid w:val="0"/>
                <w:kern w:val="0"/>
              </w:rPr>
              <w:t>9.2.8.6</w:t>
            </w:r>
            <w:r w:rsidRPr="00CE7653">
              <w:rPr>
                <w:rFonts w:hint="eastAsia"/>
                <w:snapToGrid w:val="0"/>
                <w:kern w:val="0"/>
              </w:rPr>
              <w:t>填埋场封场顶面坡度不应小于</w:t>
            </w:r>
            <w:r w:rsidRPr="00CE7653">
              <w:rPr>
                <w:snapToGrid w:val="0"/>
                <w:kern w:val="0"/>
              </w:rPr>
              <w:t>5%</w:t>
            </w:r>
            <w:r w:rsidRPr="00CE7653">
              <w:rPr>
                <w:rFonts w:hint="eastAsia"/>
                <w:snapToGrid w:val="0"/>
                <w:kern w:val="0"/>
              </w:rPr>
              <w:t>。边坡大于</w:t>
            </w:r>
            <w:r w:rsidRPr="00CE7653">
              <w:rPr>
                <w:snapToGrid w:val="0"/>
                <w:kern w:val="0"/>
              </w:rPr>
              <w:t>10%</w:t>
            </w:r>
            <w:r w:rsidRPr="00CE7653">
              <w:rPr>
                <w:rFonts w:hint="eastAsia"/>
                <w:snapToGrid w:val="0"/>
                <w:kern w:val="0"/>
              </w:rPr>
              <w:t>时宜采用多级台阶进行封场，台阶间边坡坡度不宜大于</w:t>
            </w:r>
            <w:r w:rsidRPr="00CE7653">
              <w:rPr>
                <w:snapToGrid w:val="0"/>
                <w:kern w:val="0"/>
              </w:rPr>
              <w:t>1:3</w:t>
            </w:r>
            <w:r w:rsidRPr="00CE7653">
              <w:rPr>
                <w:rFonts w:hint="eastAsia"/>
                <w:snapToGrid w:val="0"/>
                <w:kern w:val="0"/>
              </w:rPr>
              <w:t>，台阶宽度不宜小于</w:t>
            </w:r>
            <w:r w:rsidRPr="00CE7653">
              <w:rPr>
                <w:snapToGrid w:val="0"/>
                <w:kern w:val="0"/>
              </w:rPr>
              <w:t>2m</w:t>
            </w:r>
          </w:p>
          <w:p w14:paraId="22120E81" w14:textId="77777777" w:rsidR="00CE7653" w:rsidRPr="00CE7653" w:rsidRDefault="00CE7653" w:rsidP="00887032">
            <w:pPr>
              <w:adjustRightInd w:val="0"/>
              <w:snapToGrid w:val="0"/>
              <w:rPr>
                <w:snapToGrid w:val="0"/>
                <w:kern w:val="0"/>
              </w:rPr>
            </w:pPr>
            <w:r w:rsidRPr="00CE7653">
              <w:rPr>
                <w:snapToGrid w:val="0"/>
                <w:kern w:val="0"/>
              </w:rPr>
              <w:t>9.2.8.7</w:t>
            </w:r>
            <w:r w:rsidRPr="00CE7653">
              <w:rPr>
                <w:rFonts w:hint="eastAsia"/>
                <w:snapToGrid w:val="0"/>
                <w:kern w:val="0"/>
              </w:rPr>
              <w:t>填埋场封场后的土地使用必须符合国家相关标准的要求。</w:t>
            </w:r>
          </w:p>
          <w:p w14:paraId="29C33A10" w14:textId="77777777" w:rsidR="00CE7653" w:rsidRPr="00CE7653" w:rsidRDefault="00CE7653" w:rsidP="00887032">
            <w:pPr>
              <w:adjustRightInd w:val="0"/>
              <w:snapToGrid w:val="0"/>
              <w:rPr>
                <w:snapToGrid w:val="0"/>
                <w:kern w:val="0"/>
              </w:rPr>
            </w:pPr>
            <w:r w:rsidRPr="00CE7653">
              <w:rPr>
                <w:snapToGrid w:val="0"/>
                <w:kern w:val="0"/>
              </w:rPr>
              <w:t>9.2.8.8</w:t>
            </w:r>
            <w:r w:rsidRPr="00CE7653">
              <w:rPr>
                <w:rFonts w:hint="eastAsia"/>
                <w:snapToGrid w:val="0"/>
                <w:kern w:val="0"/>
              </w:rPr>
              <w:t>封场后应对渗滤液进行永久的收集和处理，并定期清理渗滤液收集系统。封场后应对提升泵站、气体导出系统、电力系统等做定期维护。</w:t>
            </w:r>
          </w:p>
          <w:p w14:paraId="4197516D" w14:textId="77777777" w:rsidR="00CE7653" w:rsidRPr="00CE7653" w:rsidRDefault="00CE7653" w:rsidP="00887032">
            <w:pPr>
              <w:adjustRightInd w:val="0"/>
              <w:snapToGrid w:val="0"/>
              <w:rPr>
                <w:snapToGrid w:val="0"/>
                <w:kern w:val="0"/>
              </w:rPr>
            </w:pPr>
            <w:r w:rsidRPr="00CE7653">
              <w:rPr>
                <w:snapToGrid w:val="0"/>
                <w:kern w:val="0"/>
              </w:rPr>
              <w:t>9.2.8.9</w:t>
            </w:r>
            <w:r w:rsidRPr="00CE7653">
              <w:rPr>
                <w:rFonts w:hint="eastAsia"/>
                <w:snapToGrid w:val="0"/>
                <w:kern w:val="0"/>
              </w:rPr>
              <w:t>封场后进入后期维护与管理阶段的填埋场，应定期检测填埋场产生的渗滤液和填埋气，直到填埋场产生的渗滤液中水污染物浓度满足</w:t>
            </w:r>
            <w:r w:rsidRPr="00CE7653">
              <w:rPr>
                <w:snapToGrid w:val="0"/>
                <w:kern w:val="0"/>
              </w:rPr>
              <w:t>GB16889</w:t>
            </w:r>
            <w:r w:rsidRPr="00CE7653">
              <w:rPr>
                <w:rFonts w:hint="eastAsia"/>
                <w:snapToGrid w:val="0"/>
                <w:kern w:val="0"/>
              </w:rPr>
              <w:t>中的要求。</w:t>
            </w:r>
          </w:p>
          <w:p w14:paraId="651BA5BA" w14:textId="77777777" w:rsidR="00CE7653" w:rsidRPr="00CE7653" w:rsidRDefault="00CE7653" w:rsidP="00887032">
            <w:pPr>
              <w:adjustRightInd w:val="0"/>
              <w:snapToGrid w:val="0"/>
              <w:rPr>
                <w:snapToGrid w:val="0"/>
                <w:kern w:val="0"/>
              </w:rPr>
            </w:pPr>
            <w:r w:rsidRPr="00CE7653">
              <w:rPr>
                <w:snapToGrid w:val="0"/>
                <w:kern w:val="0"/>
              </w:rPr>
              <w:t>9.2.8.10</w:t>
            </w:r>
            <w:r w:rsidRPr="00CE7653">
              <w:rPr>
                <w:rFonts w:hint="eastAsia"/>
                <w:snapToGrid w:val="0"/>
                <w:kern w:val="0"/>
              </w:rPr>
              <w:t>在填埋场稳定以前，应对地下水、地表水、大气进行定期监测。</w:t>
            </w:r>
          </w:p>
        </w:tc>
        <w:tc>
          <w:tcPr>
            <w:tcW w:w="1392" w:type="pct"/>
            <w:tcBorders>
              <w:top w:val="single" w:sz="4" w:space="0" w:color="auto"/>
              <w:left w:val="single" w:sz="4" w:space="0" w:color="auto"/>
              <w:bottom w:val="single" w:sz="4" w:space="0" w:color="auto"/>
              <w:right w:val="single" w:sz="4" w:space="0" w:color="auto"/>
            </w:tcBorders>
            <w:vAlign w:val="center"/>
            <w:hideMark/>
          </w:tcPr>
          <w:p w14:paraId="70B1B652" w14:textId="4D1971D7" w:rsidR="00CE7653" w:rsidRPr="00CE7653" w:rsidRDefault="007B7DB0" w:rsidP="00887032">
            <w:pPr>
              <w:adjustRightInd w:val="0"/>
              <w:snapToGrid w:val="0"/>
              <w:jc w:val="center"/>
              <w:rPr>
                <w:snapToGrid w:val="0"/>
                <w:kern w:val="0"/>
              </w:rPr>
            </w:pPr>
            <w:r w:rsidRPr="007B7DB0">
              <w:rPr>
                <w:snapToGrid w:val="0"/>
                <w:kern w:val="0"/>
              </w:rPr>
              <w:t>飞灰因有机物焚烧至尽，不会产生填埋气，故不设置填埋气导排设施</w:t>
            </w:r>
            <w:r>
              <w:rPr>
                <w:rFonts w:hint="eastAsia"/>
                <w:snapToGrid w:val="0"/>
                <w:kern w:val="0"/>
              </w:rPr>
              <w:t>。</w:t>
            </w:r>
            <w:r w:rsidR="00CE7653" w:rsidRPr="00CE7653">
              <w:rPr>
                <w:rFonts w:hint="eastAsia"/>
                <w:snapToGrid w:val="0"/>
                <w:kern w:val="0"/>
              </w:rPr>
              <w:t>封场后，均满足上述要求，针对地下水、大气、土壤等环境定期检测。</w:t>
            </w:r>
          </w:p>
        </w:tc>
      </w:tr>
    </w:tbl>
    <w:p w14:paraId="719FDA35" w14:textId="615A3D99" w:rsidR="00606029" w:rsidRDefault="00EA5B92">
      <w:pPr>
        <w:pStyle w:val="2"/>
        <w:spacing w:beforeLines="50" w:before="120"/>
      </w:pPr>
      <w:bookmarkStart w:id="175" w:name="_Toc220680495"/>
      <w:bookmarkStart w:id="176" w:name="OLE_LINK26"/>
      <w:r>
        <w:lastRenderedPageBreak/>
        <w:t>3.</w:t>
      </w:r>
      <w:r w:rsidR="00685B7E">
        <w:rPr>
          <w:rFonts w:hint="eastAsia"/>
        </w:rPr>
        <w:t>9</w:t>
      </w:r>
      <w:r>
        <w:t>与《生活垃圾卫生填埋处理技术规范》（</w:t>
      </w:r>
      <w:r>
        <w:t>GB50869-2013</w:t>
      </w:r>
      <w:r>
        <w:t>）符合性分析</w:t>
      </w:r>
      <w:bookmarkEnd w:id="175"/>
    </w:p>
    <w:p w14:paraId="1C830E54" w14:textId="7A43CD09" w:rsidR="00606029" w:rsidRDefault="00EA5B92">
      <w:pPr>
        <w:adjustRightInd w:val="0"/>
        <w:snapToGrid w:val="0"/>
        <w:jc w:val="center"/>
      </w:pPr>
      <w:r>
        <w:rPr>
          <w:b/>
          <w:szCs w:val="22"/>
        </w:rPr>
        <w:t>表</w:t>
      </w:r>
      <w:r>
        <w:rPr>
          <w:b/>
          <w:bCs/>
        </w:rPr>
        <w:t>3.</w:t>
      </w:r>
      <w:r w:rsidR="00046682">
        <w:rPr>
          <w:rFonts w:hint="eastAsia"/>
          <w:b/>
          <w:bCs/>
        </w:rPr>
        <w:t>9</w:t>
      </w:r>
      <w:r>
        <w:rPr>
          <w:b/>
          <w:bCs/>
        </w:rPr>
        <w:t>-1</w:t>
      </w:r>
      <w:r>
        <w:rPr>
          <w:b/>
          <w:szCs w:val="22"/>
        </w:rPr>
        <w:t xml:space="preserve">  </w:t>
      </w:r>
      <w:r>
        <w:rPr>
          <w:b/>
          <w:szCs w:val="22"/>
        </w:rPr>
        <w:t>与《生活垃圾卫生填埋处理技术规范》（</w:t>
      </w:r>
      <w:r>
        <w:rPr>
          <w:b/>
          <w:szCs w:val="22"/>
        </w:rPr>
        <w:t>GB50869-2013</w:t>
      </w:r>
      <w:r>
        <w:rPr>
          <w:b/>
          <w:szCs w:val="22"/>
        </w:rPr>
        <w:t>）相符性分析一览表</w:t>
      </w:r>
    </w:p>
    <w:tbl>
      <w:tblPr>
        <w:tblStyle w:val="TableNormal"/>
        <w:tblW w:w="9138" w:type="dxa"/>
        <w:jc w:val="center"/>
        <w:tblInd w:w="0" w:type="dxa"/>
        <w:tblBorders>
          <w:top w:val="single" w:sz="4" w:space="0" w:color="auto"/>
          <w:left w:val="single" w:sz="4" w:space="0" w:color="auto"/>
          <w:bottom w:val="single" w:sz="4" w:space="0" w:color="auto"/>
          <w:right w:val="single" w:sz="4" w:space="0" w:color="auto"/>
          <w:insideH w:val="single" w:sz="2" w:space="0" w:color="000000"/>
          <w:insideV w:val="single" w:sz="2" w:space="0" w:color="000000"/>
        </w:tblBorders>
        <w:tblLayout w:type="fixed"/>
        <w:tblLook w:val="04A0" w:firstRow="1" w:lastRow="0" w:firstColumn="1" w:lastColumn="0" w:noHBand="0" w:noVBand="1"/>
      </w:tblPr>
      <w:tblGrid>
        <w:gridCol w:w="590"/>
        <w:gridCol w:w="555"/>
        <w:gridCol w:w="3615"/>
        <w:gridCol w:w="4104"/>
        <w:gridCol w:w="274"/>
      </w:tblGrid>
      <w:tr w:rsidR="00606029" w14:paraId="5CC42606" w14:textId="77777777">
        <w:trPr>
          <w:trHeight w:val="553"/>
          <w:jc w:val="center"/>
        </w:trPr>
        <w:tc>
          <w:tcPr>
            <w:tcW w:w="590" w:type="dxa"/>
            <w:vAlign w:val="center"/>
          </w:tcPr>
          <w:p w14:paraId="6AC975B8" w14:textId="77777777" w:rsidR="00606029" w:rsidRDefault="00EA5B92">
            <w:pPr>
              <w:adjustRightInd w:val="0"/>
              <w:snapToGrid w:val="0"/>
              <w:jc w:val="center"/>
              <w:rPr>
                <w:snapToGrid w:val="0"/>
                <w:kern w:val="0"/>
                <w:lang w:eastAsia="en-US"/>
              </w:rPr>
            </w:pPr>
            <w:r>
              <w:rPr>
                <w:snapToGrid w:val="0"/>
                <w:kern w:val="0"/>
                <w:lang w:eastAsia="en-US"/>
              </w:rPr>
              <w:t>标准</w:t>
            </w:r>
            <w:r>
              <w:rPr>
                <w:snapToGrid w:val="0"/>
                <w:kern w:val="0"/>
                <w:lang w:eastAsia="en-US"/>
              </w:rPr>
              <w:t>/</w:t>
            </w:r>
            <w:r>
              <w:rPr>
                <w:snapToGrid w:val="0"/>
                <w:kern w:val="0"/>
                <w:lang w:eastAsia="en-US"/>
              </w:rPr>
              <w:t>规范</w:t>
            </w:r>
          </w:p>
        </w:tc>
        <w:tc>
          <w:tcPr>
            <w:tcW w:w="555" w:type="dxa"/>
            <w:vAlign w:val="center"/>
          </w:tcPr>
          <w:p w14:paraId="4DB5FF71" w14:textId="77777777" w:rsidR="00606029" w:rsidRDefault="00EA5B92">
            <w:pPr>
              <w:adjustRightInd w:val="0"/>
              <w:snapToGrid w:val="0"/>
              <w:jc w:val="center"/>
              <w:rPr>
                <w:snapToGrid w:val="0"/>
                <w:kern w:val="0"/>
                <w:lang w:eastAsia="en-US"/>
              </w:rPr>
            </w:pPr>
            <w:r>
              <w:rPr>
                <w:snapToGrid w:val="0"/>
                <w:kern w:val="0"/>
                <w:lang w:eastAsia="en-US"/>
              </w:rPr>
              <w:t>内容</w:t>
            </w:r>
          </w:p>
        </w:tc>
        <w:tc>
          <w:tcPr>
            <w:tcW w:w="3615" w:type="dxa"/>
            <w:vAlign w:val="center"/>
          </w:tcPr>
          <w:p w14:paraId="5A156598" w14:textId="77777777" w:rsidR="00606029" w:rsidRDefault="00EA5B92">
            <w:pPr>
              <w:adjustRightInd w:val="0"/>
              <w:snapToGrid w:val="0"/>
              <w:jc w:val="center"/>
              <w:rPr>
                <w:snapToGrid w:val="0"/>
                <w:kern w:val="0"/>
                <w:lang w:eastAsia="en-US"/>
              </w:rPr>
            </w:pPr>
            <w:r>
              <w:rPr>
                <w:snapToGrid w:val="0"/>
                <w:kern w:val="0"/>
                <w:lang w:eastAsia="en-US"/>
              </w:rPr>
              <w:t>文件要求</w:t>
            </w:r>
          </w:p>
        </w:tc>
        <w:tc>
          <w:tcPr>
            <w:tcW w:w="4104" w:type="dxa"/>
            <w:vAlign w:val="center"/>
          </w:tcPr>
          <w:p w14:paraId="01E7665E" w14:textId="77777777" w:rsidR="00606029" w:rsidRDefault="00EA5B92">
            <w:pPr>
              <w:adjustRightInd w:val="0"/>
              <w:snapToGrid w:val="0"/>
              <w:jc w:val="center"/>
              <w:rPr>
                <w:snapToGrid w:val="0"/>
                <w:kern w:val="0"/>
                <w:lang w:eastAsia="en-US"/>
              </w:rPr>
            </w:pPr>
            <w:r>
              <w:rPr>
                <w:snapToGrid w:val="0"/>
                <w:kern w:val="0"/>
                <w:lang w:eastAsia="en-US"/>
              </w:rPr>
              <w:t>本项目情况</w:t>
            </w:r>
          </w:p>
        </w:tc>
        <w:tc>
          <w:tcPr>
            <w:tcW w:w="274" w:type="dxa"/>
            <w:vAlign w:val="center"/>
          </w:tcPr>
          <w:p w14:paraId="254ED813" w14:textId="77777777" w:rsidR="00606029" w:rsidRDefault="00EA5B92">
            <w:pPr>
              <w:adjustRightInd w:val="0"/>
              <w:snapToGrid w:val="0"/>
              <w:jc w:val="center"/>
              <w:rPr>
                <w:snapToGrid w:val="0"/>
                <w:kern w:val="0"/>
                <w:lang w:eastAsia="en-US"/>
              </w:rPr>
            </w:pPr>
            <w:r>
              <w:rPr>
                <w:snapToGrid w:val="0"/>
                <w:kern w:val="0"/>
                <w:lang w:eastAsia="en-US"/>
              </w:rPr>
              <w:t>相符性分析</w:t>
            </w:r>
          </w:p>
        </w:tc>
      </w:tr>
      <w:tr w:rsidR="00606029" w14:paraId="34882150" w14:textId="77777777">
        <w:trPr>
          <w:trHeight w:val="1640"/>
          <w:jc w:val="center"/>
        </w:trPr>
        <w:tc>
          <w:tcPr>
            <w:tcW w:w="590" w:type="dxa"/>
            <w:vMerge w:val="restart"/>
            <w:vAlign w:val="center"/>
          </w:tcPr>
          <w:p w14:paraId="6BF38BD8" w14:textId="77777777" w:rsidR="00606029" w:rsidRDefault="00EA5B92">
            <w:pPr>
              <w:adjustRightInd w:val="0"/>
              <w:snapToGrid w:val="0"/>
              <w:jc w:val="center"/>
              <w:rPr>
                <w:snapToGrid w:val="0"/>
                <w:kern w:val="0"/>
              </w:rPr>
            </w:pPr>
            <w:r>
              <w:rPr>
                <w:snapToGrid w:val="0"/>
                <w:kern w:val="0"/>
              </w:rPr>
              <w:t>《生活垃圾卫生填埋处理技术规范》（</w:t>
            </w:r>
            <w:r>
              <w:rPr>
                <w:snapToGrid w:val="0"/>
                <w:kern w:val="0"/>
              </w:rPr>
              <w:t>GB50869-2013</w:t>
            </w:r>
            <w:r>
              <w:rPr>
                <w:snapToGrid w:val="0"/>
                <w:kern w:val="0"/>
              </w:rPr>
              <w:t>）</w:t>
            </w:r>
          </w:p>
        </w:tc>
        <w:tc>
          <w:tcPr>
            <w:tcW w:w="555" w:type="dxa"/>
            <w:vAlign w:val="center"/>
          </w:tcPr>
          <w:p w14:paraId="7948CB3C" w14:textId="77777777" w:rsidR="00606029" w:rsidRDefault="00EA5B92">
            <w:pPr>
              <w:adjustRightInd w:val="0"/>
              <w:snapToGrid w:val="0"/>
              <w:jc w:val="center"/>
              <w:rPr>
                <w:snapToGrid w:val="0"/>
                <w:kern w:val="0"/>
                <w:lang w:eastAsia="en-US"/>
              </w:rPr>
            </w:pPr>
            <w:r>
              <w:rPr>
                <w:snapToGrid w:val="0"/>
                <w:kern w:val="0"/>
                <w:lang w:eastAsia="en-US"/>
              </w:rPr>
              <w:t>填埋物入场技术要求</w:t>
            </w:r>
          </w:p>
        </w:tc>
        <w:tc>
          <w:tcPr>
            <w:tcW w:w="3615" w:type="dxa"/>
            <w:vAlign w:val="center"/>
          </w:tcPr>
          <w:p w14:paraId="78A9C10B" w14:textId="77777777" w:rsidR="00606029" w:rsidRDefault="00EA5B92">
            <w:pPr>
              <w:adjustRightInd w:val="0"/>
              <w:snapToGrid w:val="0"/>
              <w:jc w:val="center"/>
              <w:rPr>
                <w:snapToGrid w:val="0"/>
                <w:kern w:val="0"/>
              </w:rPr>
            </w:pPr>
            <w:r>
              <w:rPr>
                <w:snapToGrid w:val="0"/>
                <w:kern w:val="0"/>
              </w:rPr>
              <w:t>生活垃圾焚烧飞灰和医疗废物焚烧残渣经处理后满足现行国家标准《生活垃圾填埋场污染控制标准》（</w:t>
            </w:r>
            <w:r>
              <w:rPr>
                <w:snapToGrid w:val="0"/>
                <w:kern w:val="0"/>
              </w:rPr>
              <w:t>GB16889-2024</w:t>
            </w:r>
            <w:r>
              <w:rPr>
                <w:snapToGrid w:val="0"/>
                <w:kern w:val="0"/>
              </w:rPr>
              <w:t>）规定的条件，可进入生活垃圾填埋场填埋处置。处置时应设置与生活垃圾填埋库区有效分隔的独立填埋库区。</w:t>
            </w:r>
          </w:p>
        </w:tc>
        <w:tc>
          <w:tcPr>
            <w:tcW w:w="4104" w:type="dxa"/>
            <w:vAlign w:val="center"/>
          </w:tcPr>
          <w:p w14:paraId="235FB3C4" w14:textId="3BAB2D90" w:rsidR="00606029" w:rsidRDefault="00EA5B92">
            <w:pPr>
              <w:adjustRightInd w:val="0"/>
              <w:snapToGrid w:val="0"/>
              <w:jc w:val="center"/>
              <w:rPr>
                <w:snapToGrid w:val="0"/>
                <w:kern w:val="0"/>
              </w:rPr>
            </w:pPr>
            <w:r>
              <w:rPr>
                <w:snapToGrid w:val="0"/>
                <w:kern w:val="0"/>
              </w:rPr>
              <w:t>本项目经接收</w:t>
            </w:r>
            <w:r w:rsidR="004E5FFD">
              <w:rPr>
                <w:snapToGrid w:val="0"/>
                <w:kern w:val="0"/>
              </w:rPr>
              <w:t>大庆城控电力有限公司</w:t>
            </w:r>
            <w:r>
              <w:rPr>
                <w:snapToGrid w:val="0"/>
                <w:kern w:val="0"/>
              </w:rPr>
              <w:t>产生的飞灰，经过螯合</w:t>
            </w:r>
            <w:r w:rsidR="00685B7E">
              <w:rPr>
                <w:rFonts w:hint="eastAsia"/>
                <w:snapToGrid w:val="0"/>
                <w:kern w:val="0"/>
              </w:rPr>
              <w:t>固化</w:t>
            </w:r>
            <w:r>
              <w:rPr>
                <w:snapToGrid w:val="0"/>
                <w:kern w:val="0"/>
              </w:rPr>
              <w:t>处理，达到《生活垃圾填埋场污染控制标准》（</w:t>
            </w:r>
            <w:r>
              <w:rPr>
                <w:snapToGrid w:val="0"/>
                <w:kern w:val="0"/>
              </w:rPr>
              <w:t>GB16889-2024</w:t>
            </w:r>
            <w:r>
              <w:rPr>
                <w:snapToGrid w:val="0"/>
                <w:kern w:val="0"/>
              </w:rPr>
              <w:t>）规定的入场要求后，进入本项目建设的飞灰填埋场进行填埋处置</w:t>
            </w:r>
            <w:r w:rsidR="00EA49F1" w:rsidRPr="00EA49F1">
              <w:rPr>
                <w:rFonts w:hint="eastAsia"/>
                <w:snapToGrid w:val="0"/>
                <w:kern w:val="0"/>
              </w:rPr>
              <w:t>，</w:t>
            </w:r>
            <w:r w:rsidRPr="00EA49F1">
              <w:rPr>
                <w:snapToGrid w:val="0"/>
                <w:kern w:val="0"/>
              </w:rPr>
              <w:t>飞灰填埋区采</w:t>
            </w:r>
            <w:r w:rsidR="008D2683">
              <w:rPr>
                <w:rFonts w:hint="eastAsia"/>
                <w:snapToGrid w:val="0"/>
                <w:kern w:val="0"/>
              </w:rPr>
              <w:t>用</w:t>
            </w:r>
            <w:r w:rsidR="008D2683" w:rsidRPr="008D2683">
              <w:rPr>
                <w:snapToGrid w:val="0"/>
                <w:kern w:val="0"/>
              </w:rPr>
              <w:t>“</w:t>
            </w:r>
            <w:r w:rsidR="008D2683" w:rsidRPr="008D2683">
              <w:rPr>
                <w:snapToGrid w:val="0"/>
                <w:kern w:val="0"/>
              </w:rPr>
              <w:t>双层人工复合衬层</w:t>
            </w:r>
            <w:r w:rsidR="008D2683" w:rsidRPr="008D2683">
              <w:rPr>
                <w:snapToGrid w:val="0"/>
                <w:kern w:val="0"/>
              </w:rPr>
              <w:t>”</w:t>
            </w:r>
            <w:r w:rsidR="008D2683" w:rsidRPr="008D2683">
              <w:rPr>
                <w:snapToGrid w:val="0"/>
                <w:kern w:val="0"/>
              </w:rPr>
              <w:t>系统</w:t>
            </w:r>
            <w:r w:rsidRPr="00EA49F1">
              <w:rPr>
                <w:snapToGrid w:val="0"/>
                <w:kern w:val="0"/>
              </w:rPr>
              <w:t>相隔，为独立的填埋库区。</w:t>
            </w:r>
          </w:p>
        </w:tc>
        <w:tc>
          <w:tcPr>
            <w:tcW w:w="274" w:type="dxa"/>
            <w:vAlign w:val="center"/>
          </w:tcPr>
          <w:p w14:paraId="298027EB" w14:textId="77777777" w:rsidR="00606029" w:rsidRDefault="00EA5B92">
            <w:pPr>
              <w:adjustRightInd w:val="0"/>
              <w:snapToGrid w:val="0"/>
              <w:jc w:val="center"/>
              <w:rPr>
                <w:snapToGrid w:val="0"/>
                <w:kern w:val="0"/>
                <w:lang w:eastAsia="en-US"/>
              </w:rPr>
            </w:pPr>
            <w:r>
              <w:rPr>
                <w:snapToGrid w:val="0"/>
                <w:kern w:val="0"/>
                <w:lang w:eastAsia="en-US"/>
              </w:rPr>
              <w:t>符合</w:t>
            </w:r>
          </w:p>
        </w:tc>
      </w:tr>
      <w:tr w:rsidR="00606029" w14:paraId="2247BBF6" w14:textId="77777777" w:rsidTr="00EA49F1">
        <w:trPr>
          <w:trHeight w:val="3629"/>
          <w:jc w:val="center"/>
        </w:trPr>
        <w:tc>
          <w:tcPr>
            <w:tcW w:w="590" w:type="dxa"/>
            <w:vMerge/>
            <w:vAlign w:val="center"/>
          </w:tcPr>
          <w:p w14:paraId="6572C3B7" w14:textId="77777777" w:rsidR="00606029" w:rsidRDefault="00606029">
            <w:pPr>
              <w:adjustRightInd w:val="0"/>
              <w:snapToGrid w:val="0"/>
              <w:jc w:val="center"/>
              <w:rPr>
                <w:snapToGrid w:val="0"/>
                <w:kern w:val="0"/>
                <w:lang w:eastAsia="en-US"/>
              </w:rPr>
            </w:pPr>
          </w:p>
        </w:tc>
        <w:tc>
          <w:tcPr>
            <w:tcW w:w="555" w:type="dxa"/>
            <w:vMerge w:val="restart"/>
            <w:vAlign w:val="center"/>
          </w:tcPr>
          <w:p w14:paraId="7ECB3285" w14:textId="77777777" w:rsidR="00606029" w:rsidRDefault="00EA5B92">
            <w:pPr>
              <w:adjustRightInd w:val="0"/>
              <w:snapToGrid w:val="0"/>
              <w:jc w:val="center"/>
              <w:rPr>
                <w:snapToGrid w:val="0"/>
                <w:kern w:val="0"/>
                <w:lang w:eastAsia="en-US"/>
              </w:rPr>
            </w:pPr>
            <w:r>
              <w:rPr>
                <w:snapToGrid w:val="0"/>
                <w:kern w:val="0"/>
                <w:lang w:eastAsia="en-US"/>
              </w:rPr>
              <w:t>场址选择</w:t>
            </w:r>
          </w:p>
        </w:tc>
        <w:tc>
          <w:tcPr>
            <w:tcW w:w="3615" w:type="dxa"/>
            <w:vAlign w:val="center"/>
          </w:tcPr>
          <w:p w14:paraId="545E1FDC" w14:textId="62677FED" w:rsidR="00606029" w:rsidRDefault="00EA5B92">
            <w:pPr>
              <w:adjustRightInd w:val="0"/>
              <w:snapToGrid w:val="0"/>
              <w:jc w:val="center"/>
              <w:rPr>
                <w:snapToGrid w:val="0"/>
                <w:kern w:val="0"/>
              </w:rPr>
            </w:pPr>
            <w:r>
              <w:rPr>
                <w:snapToGrid w:val="0"/>
                <w:kern w:val="0"/>
              </w:rPr>
              <w:t>填埋场不应设在下列地区</w:t>
            </w:r>
            <w:r w:rsidR="006A52CC">
              <w:rPr>
                <w:snapToGrid w:val="0"/>
                <w:kern w:val="0"/>
              </w:rPr>
              <w:t>：</w:t>
            </w:r>
            <w:r>
              <w:rPr>
                <w:snapToGrid w:val="0"/>
                <w:kern w:val="0"/>
              </w:rPr>
              <w:t>1</w:t>
            </w:r>
            <w:r>
              <w:rPr>
                <w:snapToGrid w:val="0"/>
                <w:kern w:val="0"/>
              </w:rPr>
              <w:t>、地下水集中供水水源地及补给区，水源保护区；</w:t>
            </w:r>
            <w:r>
              <w:rPr>
                <w:snapToGrid w:val="0"/>
                <w:kern w:val="0"/>
              </w:rPr>
              <w:t>2</w:t>
            </w:r>
            <w:r>
              <w:rPr>
                <w:snapToGrid w:val="0"/>
                <w:kern w:val="0"/>
              </w:rPr>
              <w:t>、洪泛区和泄洪道；</w:t>
            </w:r>
            <w:r>
              <w:rPr>
                <w:snapToGrid w:val="0"/>
                <w:kern w:val="0"/>
              </w:rPr>
              <w:t>3</w:t>
            </w:r>
            <w:r>
              <w:rPr>
                <w:snapToGrid w:val="0"/>
                <w:kern w:val="0"/>
              </w:rPr>
              <w:t>、填埋库区与敞开式渗沥液处理区边界距居民住区或人畜供水点的卫生防护距离在</w:t>
            </w:r>
            <w:r>
              <w:rPr>
                <w:snapToGrid w:val="0"/>
                <w:kern w:val="0"/>
              </w:rPr>
              <w:t>500m</w:t>
            </w:r>
            <w:r>
              <w:rPr>
                <w:snapToGrid w:val="0"/>
                <w:kern w:val="0"/>
              </w:rPr>
              <w:t>以内的地区；</w:t>
            </w:r>
            <w:r>
              <w:rPr>
                <w:snapToGrid w:val="0"/>
                <w:kern w:val="0"/>
              </w:rPr>
              <w:t>4</w:t>
            </w:r>
            <w:r>
              <w:rPr>
                <w:snapToGrid w:val="0"/>
                <w:kern w:val="0"/>
              </w:rPr>
              <w:t>、填埋库区与敞开式渗沥液处理区边界距河流和湖泊</w:t>
            </w:r>
            <w:r>
              <w:rPr>
                <w:snapToGrid w:val="0"/>
                <w:kern w:val="0"/>
              </w:rPr>
              <w:t>50m</w:t>
            </w:r>
            <w:r>
              <w:rPr>
                <w:snapToGrid w:val="0"/>
                <w:kern w:val="0"/>
              </w:rPr>
              <w:t>以内的地区；</w:t>
            </w:r>
            <w:r>
              <w:rPr>
                <w:snapToGrid w:val="0"/>
                <w:kern w:val="0"/>
              </w:rPr>
              <w:t>5</w:t>
            </w:r>
            <w:r>
              <w:rPr>
                <w:snapToGrid w:val="0"/>
                <w:kern w:val="0"/>
              </w:rPr>
              <w:t>、填埋库区与渗沥液处理区边界距民用机场</w:t>
            </w:r>
            <w:r>
              <w:rPr>
                <w:snapToGrid w:val="0"/>
                <w:kern w:val="0"/>
              </w:rPr>
              <w:t>3km</w:t>
            </w:r>
            <w:r>
              <w:rPr>
                <w:snapToGrid w:val="0"/>
                <w:kern w:val="0"/>
              </w:rPr>
              <w:t>以内的地区；</w:t>
            </w:r>
            <w:r>
              <w:rPr>
                <w:snapToGrid w:val="0"/>
                <w:kern w:val="0"/>
              </w:rPr>
              <w:t>6</w:t>
            </w:r>
            <w:r>
              <w:rPr>
                <w:snapToGrid w:val="0"/>
                <w:kern w:val="0"/>
              </w:rPr>
              <w:t>、尚未开采的地下蕴矿区；</w:t>
            </w:r>
            <w:r>
              <w:rPr>
                <w:snapToGrid w:val="0"/>
                <w:kern w:val="0"/>
              </w:rPr>
              <w:t>7</w:t>
            </w:r>
            <w:r>
              <w:rPr>
                <w:snapToGrid w:val="0"/>
                <w:kern w:val="0"/>
              </w:rPr>
              <w:t>、珍贵动植物保护区边界距民用机场</w:t>
            </w:r>
            <w:r>
              <w:rPr>
                <w:snapToGrid w:val="0"/>
                <w:kern w:val="0"/>
              </w:rPr>
              <w:t>3km</w:t>
            </w:r>
            <w:r>
              <w:rPr>
                <w:snapToGrid w:val="0"/>
                <w:kern w:val="0"/>
              </w:rPr>
              <w:t>以内的地区；</w:t>
            </w:r>
            <w:r>
              <w:rPr>
                <w:snapToGrid w:val="0"/>
                <w:kern w:val="0"/>
              </w:rPr>
              <w:t>8</w:t>
            </w:r>
            <w:r>
              <w:rPr>
                <w:snapToGrid w:val="0"/>
                <w:kern w:val="0"/>
              </w:rPr>
              <w:t>、公园、风景、游览区、文物古迹区、考古学、历史学及生物学研究考察区；</w:t>
            </w:r>
            <w:r>
              <w:rPr>
                <w:snapToGrid w:val="0"/>
                <w:kern w:val="0"/>
              </w:rPr>
              <w:t>9</w:t>
            </w:r>
            <w:r>
              <w:rPr>
                <w:snapToGrid w:val="0"/>
                <w:kern w:val="0"/>
              </w:rPr>
              <w:t>、军事要地、军工基地和国家保密地区。</w:t>
            </w:r>
          </w:p>
        </w:tc>
        <w:tc>
          <w:tcPr>
            <w:tcW w:w="4104" w:type="dxa"/>
            <w:vAlign w:val="center"/>
          </w:tcPr>
          <w:p w14:paraId="39F92B64" w14:textId="77777777" w:rsidR="00606029" w:rsidRDefault="00EA5B92">
            <w:pPr>
              <w:adjustRightInd w:val="0"/>
              <w:snapToGrid w:val="0"/>
              <w:jc w:val="center"/>
              <w:rPr>
                <w:snapToGrid w:val="0"/>
                <w:kern w:val="0"/>
              </w:rPr>
            </w:pPr>
            <w:r>
              <w:rPr>
                <w:snapToGrid w:val="0"/>
                <w:kern w:val="0"/>
              </w:rPr>
              <w:t>①</w:t>
            </w:r>
            <w:r>
              <w:rPr>
                <w:snapToGrid w:val="0"/>
                <w:kern w:val="0"/>
              </w:rPr>
              <w:t>根据现场勘查，本项目不涉及地下水集中供水水源地及补给区，水源保护区、洪泛区和泄洪道；</w:t>
            </w:r>
            <w:r>
              <w:rPr>
                <w:snapToGrid w:val="0"/>
                <w:kern w:val="0"/>
              </w:rPr>
              <w:t>②</w:t>
            </w:r>
            <w:r>
              <w:rPr>
                <w:snapToGrid w:val="0"/>
                <w:kern w:val="0"/>
              </w:rPr>
              <w:t>本项目不涉及尚未开采的地下蕴矿区。</w:t>
            </w:r>
            <w:r>
              <w:rPr>
                <w:snapToGrid w:val="0"/>
                <w:kern w:val="0"/>
              </w:rPr>
              <w:t>③</w:t>
            </w:r>
            <w:r>
              <w:rPr>
                <w:snapToGrid w:val="0"/>
                <w:kern w:val="0"/>
              </w:rPr>
              <w:t>本项目不涉及珍贵动植物保护区、公园、风景、游览区、文物古迹区、考古学、历史学及生物学研究考察区、军事要地、军工基地和国家保密地区。</w:t>
            </w:r>
          </w:p>
        </w:tc>
        <w:tc>
          <w:tcPr>
            <w:tcW w:w="274" w:type="dxa"/>
            <w:vAlign w:val="center"/>
          </w:tcPr>
          <w:p w14:paraId="27026775" w14:textId="77777777" w:rsidR="00606029" w:rsidRDefault="00EA5B92">
            <w:pPr>
              <w:adjustRightInd w:val="0"/>
              <w:snapToGrid w:val="0"/>
              <w:jc w:val="center"/>
              <w:rPr>
                <w:snapToGrid w:val="0"/>
                <w:kern w:val="0"/>
                <w:lang w:eastAsia="en-US"/>
              </w:rPr>
            </w:pPr>
            <w:r>
              <w:rPr>
                <w:snapToGrid w:val="0"/>
                <w:kern w:val="0"/>
                <w:lang w:eastAsia="en-US"/>
              </w:rPr>
              <w:t>符合</w:t>
            </w:r>
          </w:p>
        </w:tc>
      </w:tr>
      <w:tr w:rsidR="00606029" w14:paraId="1F9A51E1" w14:textId="77777777">
        <w:trPr>
          <w:trHeight w:val="1651"/>
          <w:jc w:val="center"/>
        </w:trPr>
        <w:tc>
          <w:tcPr>
            <w:tcW w:w="590" w:type="dxa"/>
            <w:vMerge/>
            <w:vAlign w:val="center"/>
          </w:tcPr>
          <w:p w14:paraId="350298A5" w14:textId="77777777" w:rsidR="00606029" w:rsidRDefault="00606029">
            <w:pPr>
              <w:adjustRightInd w:val="0"/>
              <w:snapToGrid w:val="0"/>
              <w:jc w:val="center"/>
              <w:rPr>
                <w:snapToGrid w:val="0"/>
                <w:kern w:val="0"/>
                <w:lang w:eastAsia="en-US"/>
              </w:rPr>
            </w:pPr>
          </w:p>
        </w:tc>
        <w:tc>
          <w:tcPr>
            <w:tcW w:w="555" w:type="dxa"/>
            <w:vMerge/>
            <w:vAlign w:val="center"/>
          </w:tcPr>
          <w:p w14:paraId="3FA6C856" w14:textId="77777777" w:rsidR="00606029" w:rsidRDefault="00606029">
            <w:pPr>
              <w:adjustRightInd w:val="0"/>
              <w:snapToGrid w:val="0"/>
              <w:jc w:val="center"/>
              <w:rPr>
                <w:snapToGrid w:val="0"/>
                <w:kern w:val="0"/>
                <w:lang w:eastAsia="en-US"/>
              </w:rPr>
            </w:pPr>
          </w:p>
        </w:tc>
        <w:tc>
          <w:tcPr>
            <w:tcW w:w="3615" w:type="dxa"/>
            <w:vAlign w:val="center"/>
          </w:tcPr>
          <w:p w14:paraId="7C604F46" w14:textId="1825D6E3" w:rsidR="00606029" w:rsidRDefault="00EA5B92">
            <w:pPr>
              <w:adjustRightInd w:val="0"/>
              <w:snapToGrid w:val="0"/>
              <w:jc w:val="center"/>
              <w:rPr>
                <w:snapToGrid w:val="0"/>
                <w:kern w:val="0"/>
              </w:rPr>
            </w:pPr>
            <w:r>
              <w:rPr>
                <w:snapToGrid w:val="0"/>
                <w:kern w:val="0"/>
              </w:rPr>
              <w:t>填埋场选址应符合现行国家标准《生活垃圾填埋场污染控制标准》（</w:t>
            </w:r>
            <w:r>
              <w:rPr>
                <w:snapToGrid w:val="0"/>
                <w:kern w:val="0"/>
              </w:rPr>
              <w:t>GB16889-2008</w:t>
            </w:r>
            <w:r>
              <w:rPr>
                <w:snapToGrid w:val="0"/>
                <w:kern w:val="0"/>
              </w:rPr>
              <w:t>）和相关标准的规定，并应符合下列规定</w:t>
            </w:r>
            <w:r w:rsidR="006A52CC">
              <w:rPr>
                <w:snapToGrid w:val="0"/>
                <w:kern w:val="0"/>
              </w:rPr>
              <w:t>：</w:t>
            </w:r>
            <w:r>
              <w:rPr>
                <w:snapToGrid w:val="0"/>
                <w:kern w:val="0"/>
              </w:rPr>
              <w:t>应与当地城市总体规划和城市环境卫生专业规划协调一致；应与当地的大气防护、水土资源保护、自然保护及生态平衡要求相一致；应交通方便，远距合理；人口密度、土地利用价值及征地费用均应合理；</w:t>
            </w:r>
          </w:p>
        </w:tc>
        <w:tc>
          <w:tcPr>
            <w:tcW w:w="4104" w:type="dxa"/>
            <w:vAlign w:val="center"/>
          </w:tcPr>
          <w:p w14:paraId="15CE2DF0" w14:textId="7CA0D08F" w:rsidR="00606029" w:rsidRDefault="00EA5B92">
            <w:pPr>
              <w:adjustRightInd w:val="0"/>
              <w:snapToGrid w:val="0"/>
              <w:jc w:val="center"/>
              <w:rPr>
                <w:snapToGrid w:val="0"/>
                <w:kern w:val="0"/>
              </w:rPr>
            </w:pPr>
            <w:r>
              <w:rPr>
                <w:snapToGrid w:val="0"/>
                <w:kern w:val="0"/>
              </w:rPr>
              <w:t>①</w:t>
            </w:r>
            <w:r>
              <w:rPr>
                <w:snapToGrid w:val="0"/>
                <w:kern w:val="0"/>
              </w:rPr>
              <w:t>本项目符合</w:t>
            </w:r>
            <w:r>
              <w:t>《</w:t>
            </w:r>
            <w:r w:rsidR="00685B7E">
              <w:t>大庆市国土空间总体规划（</w:t>
            </w:r>
            <w:r w:rsidR="00685B7E">
              <w:t>2021-2035</w:t>
            </w:r>
            <w:r w:rsidR="00685B7E">
              <w:t>年）</w:t>
            </w:r>
            <w:r>
              <w:t>》《</w:t>
            </w:r>
            <w:r w:rsidR="004E5FFD">
              <w:t>大庆市</w:t>
            </w:r>
            <w:r>
              <w:t>“</w:t>
            </w:r>
            <w:r>
              <w:t>十四五</w:t>
            </w:r>
            <w:r>
              <w:t>”</w:t>
            </w:r>
            <w:r>
              <w:t>生态环境保护规划》等相关规划要求</w:t>
            </w:r>
            <w:r>
              <w:rPr>
                <w:snapToGrid w:val="0"/>
                <w:kern w:val="0"/>
              </w:rPr>
              <w:t>。</w:t>
            </w:r>
            <w:r>
              <w:rPr>
                <w:snapToGrid w:val="0"/>
                <w:kern w:val="0"/>
              </w:rPr>
              <w:t>②</w:t>
            </w:r>
            <w:r>
              <w:rPr>
                <w:snapToGrid w:val="0"/>
                <w:kern w:val="0"/>
              </w:rPr>
              <w:t>本项目填埋作业过程产生的粉尘采用洒水降尘措施并及时进行膜覆盖；填埋场终场覆盖后，在其上种植花草，绿化环境。经过初步稳定后，填埋区可作为绿化用地、人造景园等用地。综上，本项目的建设与当地的大气防护、水土资源保护、自然保护及生态平衡要求相一致；</w:t>
            </w:r>
            <w:r>
              <w:rPr>
                <w:snapToGrid w:val="0"/>
                <w:kern w:val="0"/>
              </w:rPr>
              <w:t>③</w:t>
            </w:r>
            <w:r>
              <w:rPr>
                <w:snapToGrid w:val="0"/>
                <w:kern w:val="0"/>
              </w:rPr>
              <w:t>本项目</w:t>
            </w:r>
            <w:r w:rsidR="00685B7E">
              <w:rPr>
                <w:rFonts w:hint="eastAsia"/>
                <w:snapToGrid w:val="0"/>
                <w:kern w:val="0"/>
              </w:rPr>
              <w:t>紧邻</w:t>
            </w:r>
            <w:r w:rsidR="004E5FFD">
              <w:rPr>
                <w:snapToGrid w:val="0"/>
                <w:kern w:val="0"/>
              </w:rPr>
              <w:t>大庆城控电力有限</w:t>
            </w:r>
            <w:r w:rsidR="00EA49F1">
              <w:rPr>
                <w:rFonts w:hint="eastAsia"/>
                <w:snapToGrid w:val="0"/>
                <w:kern w:val="0"/>
              </w:rPr>
              <w:t>飞灰稳定化暂存库</w:t>
            </w:r>
            <w:r w:rsidR="00685B7E">
              <w:rPr>
                <w:rFonts w:hint="eastAsia"/>
                <w:snapToGrid w:val="0"/>
                <w:kern w:val="0"/>
              </w:rPr>
              <w:t>，没有运输距离</w:t>
            </w:r>
            <w:r>
              <w:rPr>
                <w:snapToGrid w:val="0"/>
                <w:kern w:val="0"/>
              </w:rPr>
              <w:t>。</w:t>
            </w:r>
            <w:r>
              <w:rPr>
                <w:snapToGrid w:val="0"/>
                <w:kern w:val="0"/>
              </w:rPr>
              <w:t>④</w:t>
            </w:r>
            <w:r>
              <w:rPr>
                <w:snapToGrid w:val="0"/>
                <w:kern w:val="0"/>
              </w:rPr>
              <w:t>项目建设用地为填埋区用地，附近无人口，土地利用价值及征地费用均合理。</w:t>
            </w:r>
          </w:p>
        </w:tc>
        <w:tc>
          <w:tcPr>
            <w:tcW w:w="274" w:type="dxa"/>
            <w:vAlign w:val="center"/>
          </w:tcPr>
          <w:p w14:paraId="21C50D42" w14:textId="77777777" w:rsidR="00606029" w:rsidRDefault="00EA5B92">
            <w:pPr>
              <w:adjustRightInd w:val="0"/>
              <w:snapToGrid w:val="0"/>
              <w:jc w:val="center"/>
              <w:rPr>
                <w:snapToGrid w:val="0"/>
                <w:kern w:val="0"/>
                <w:lang w:eastAsia="en-US"/>
              </w:rPr>
            </w:pPr>
            <w:r>
              <w:rPr>
                <w:snapToGrid w:val="0"/>
                <w:kern w:val="0"/>
                <w:lang w:eastAsia="en-US"/>
              </w:rPr>
              <w:t>符合</w:t>
            </w:r>
          </w:p>
        </w:tc>
      </w:tr>
    </w:tbl>
    <w:p w14:paraId="7E43E15A" w14:textId="5E829201" w:rsidR="00606029" w:rsidRDefault="00EA5B92">
      <w:pPr>
        <w:pStyle w:val="2"/>
        <w:spacing w:beforeLines="50" w:before="120"/>
      </w:pPr>
      <w:bookmarkStart w:id="177" w:name="_Toc220680496"/>
      <w:bookmarkEnd w:id="176"/>
      <w:r>
        <w:t>3.1</w:t>
      </w:r>
      <w:r w:rsidR="00685B7E">
        <w:rPr>
          <w:rFonts w:hint="eastAsia"/>
        </w:rPr>
        <w:t>0</w:t>
      </w:r>
      <w:bookmarkStart w:id="178" w:name="OLE_LINK15"/>
      <w:r w:rsidR="00E25F0C">
        <w:rPr>
          <w:rFonts w:hint="eastAsia"/>
        </w:rPr>
        <w:t>与</w:t>
      </w:r>
      <w:r>
        <w:t>《生活垃圾填埋场污染控制标准》（</w:t>
      </w:r>
      <w:r>
        <w:t>GB16889-2024</w:t>
      </w:r>
      <w:r>
        <w:t>）</w:t>
      </w:r>
      <w:bookmarkEnd w:id="178"/>
      <w:r>
        <w:t>符合性分析</w:t>
      </w:r>
      <w:bookmarkEnd w:id="177"/>
    </w:p>
    <w:p w14:paraId="0D2937E1" w14:textId="1574D975" w:rsidR="00606029" w:rsidRDefault="00EA5B92">
      <w:pPr>
        <w:adjustRightInd w:val="0"/>
        <w:snapToGrid w:val="0"/>
        <w:jc w:val="center"/>
      </w:pPr>
      <w:r>
        <w:rPr>
          <w:b/>
          <w:szCs w:val="22"/>
        </w:rPr>
        <w:t>表</w:t>
      </w:r>
      <w:r>
        <w:rPr>
          <w:b/>
          <w:bCs/>
        </w:rPr>
        <w:t>3.1</w:t>
      </w:r>
      <w:r w:rsidR="008126D5">
        <w:rPr>
          <w:rFonts w:hint="eastAsia"/>
          <w:b/>
          <w:bCs/>
        </w:rPr>
        <w:t>0</w:t>
      </w:r>
      <w:r>
        <w:rPr>
          <w:b/>
          <w:bCs/>
        </w:rPr>
        <w:t>-1</w:t>
      </w:r>
      <w:r>
        <w:rPr>
          <w:b/>
          <w:szCs w:val="22"/>
        </w:rPr>
        <w:t xml:space="preserve">  </w:t>
      </w:r>
      <w:r>
        <w:rPr>
          <w:b/>
          <w:szCs w:val="22"/>
        </w:rPr>
        <w:t>与《生活垃圾填埋场污染控制标准》（</w:t>
      </w:r>
      <w:r>
        <w:rPr>
          <w:b/>
          <w:szCs w:val="22"/>
        </w:rPr>
        <w:t>GB16889-2024</w:t>
      </w:r>
      <w:r>
        <w:rPr>
          <w:b/>
          <w:szCs w:val="22"/>
        </w:rPr>
        <w:t>）相符性分析一览表</w:t>
      </w:r>
    </w:p>
    <w:tbl>
      <w:tblPr>
        <w:tblStyle w:val="TableNormal"/>
        <w:tblW w:w="9138"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0"/>
        <w:gridCol w:w="555"/>
        <w:gridCol w:w="3615"/>
        <w:gridCol w:w="4104"/>
        <w:gridCol w:w="274"/>
      </w:tblGrid>
      <w:tr w:rsidR="00606029" w14:paraId="746C39B0" w14:textId="77777777" w:rsidTr="00EA49F1">
        <w:trPr>
          <w:trHeight w:val="553"/>
          <w:jc w:val="center"/>
        </w:trPr>
        <w:tc>
          <w:tcPr>
            <w:tcW w:w="590" w:type="dxa"/>
            <w:vAlign w:val="center"/>
          </w:tcPr>
          <w:p w14:paraId="015161B9" w14:textId="77777777" w:rsidR="00606029" w:rsidRDefault="00EA5B92">
            <w:pPr>
              <w:adjustRightInd w:val="0"/>
              <w:snapToGrid w:val="0"/>
              <w:jc w:val="center"/>
              <w:rPr>
                <w:snapToGrid w:val="0"/>
                <w:kern w:val="0"/>
                <w:lang w:eastAsia="en-US"/>
              </w:rPr>
            </w:pPr>
            <w:r>
              <w:rPr>
                <w:snapToGrid w:val="0"/>
                <w:kern w:val="0"/>
                <w:lang w:eastAsia="en-US"/>
              </w:rPr>
              <w:lastRenderedPageBreak/>
              <w:t>标准</w:t>
            </w:r>
            <w:r>
              <w:rPr>
                <w:snapToGrid w:val="0"/>
                <w:kern w:val="0"/>
                <w:lang w:eastAsia="en-US"/>
              </w:rPr>
              <w:t>/</w:t>
            </w:r>
            <w:r>
              <w:rPr>
                <w:snapToGrid w:val="0"/>
                <w:kern w:val="0"/>
                <w:lang w:eastAsia="en-US"/>
              </w:rPr>
              <w:t>规范</w:t>
            </w:r>
          </w:p>
        </w:tc>
        <w:tc>
          <w:tcPr>
            <w:tcW w:w="555" w:type="dxa"/>
            <w:vAlign w:val="center"/>
          </w:tcPr>
          <w:p w14:paraId="2A1EA56A" w14:textId="77777777" w:rsidR="00606029" w:rsidRDefault="00EA5B92">
            <w:pPr>
              <w:adjustRightInd w:val="0"/>
              <w:snapToGrid w:val="0"/>
              <w:jc w:val="center"/>
              <w:rPr>
                <w:snapToGrid w:val="0"/>
                <w:kern w:val="0"/>
                <w:lang w:eastAsia="en-US"/>
              </w:rPr>
            </w:pPr>
            <w:r>
              <w:rPr>
                <w:snapToGrid w:val="0"/>
                <w:kern w:val="0"/>
                <w:lang w:eastAsia="en-US"/>
              </w:rPr>
              <w:t>内容</w:t>
            </w:r>
          </w:p>
        </w:tc>
        <w:tc>
          <w:tcPr>
            <w:tcW w:w="3615" w:type="dxa"/>
            <w:vAlign w:val="center"/>
          </w:tcPr>
          <w:p w14:paraId="74BC979E" w14:textId="77777777" w:rsidR="00606029" w:rsidRDefault="00EA5B92">
            <w:pPr>
              <w:adjustRightInd w:val="0"/>
              <w:snapToGrid w:val="0"/>
              <w:jc w:val="center"/>
              <w:rPr>
                <w:snapToGrid w:val="0"/>
                <w:kern w:val="0"/>
                <w:lang w:eastAsia="en-US"/>
              </w:rPr>
            </w:pPr>
            <w:r>
              <w:rPr>
                <w:snapToGrid w:val="0"/>
                <w:kern w:val="0"/>
                <w:lang w:eastAsia="en-US"/>
              </w:rPr>
              <w:t>文件要求</w:t>
            </w:r>
          </w:p>
        </w:tc>
        <w:tc>
          <w:tcPr>
            <w:tcW w:w="4104" w:type="dxa"/>
            <w:vAlign w:val="center"/>
          </w:tcPr>
          <w:p w14:paraId="02117204" w14:textId="77777777" w:rsidR="00606029" w:rsidRDefault="00EA5B92">
            <w:pPr>
              <w:adjustRightInd w:val="0"/>
              <w:snapToGrid w:val="0"/>
              <w:jc w:val="center"/>
              <w:rPr>
                <w:snapToGrid w:val="0"/>
                <w:kern w:val="0"/>
                <w:lang w:eastAsia="en-US"/>
              </w:rPr>
            </w:pPr>
            <w:r>
              <w:rPr>
                <w:snapToGrid w:val="0"/>
                <w:kern w:val="0"/>
                <w:lang w:eastAsia="en-US"/>
              </w:rPr>
              <w:t>本项目情况</w:t>
            </w:r>
          </w:p>
        </w:tc>
        <w:tc>
          <w:tcPr>
            <w:tcW w:w="274" w:type="dxa"/>
            <w:vAlign w:val="center"/>
          </w:tcPr>
          <w:p w14:paraId="724FA4A5" w14:textId="77777777" w:rsidR="00606029" w:rsidRDefault="00EA5B92">
            <w:pPr>
              <w:adjustRightInd w:val="0"/>
              <w:snapToGrid w:val="0"/>
              <w:jc w:val="center"/>
              <w:rPr>
                <w:snapToGrid w:val="0"/>
                <w:kern w:val="0"/>
                <w:lang w:eastAsia="en-US"/>
              </w:rPr>
            </w:pPr>
            <w:r>
              <w:rPr>
                <w:snapToGrid w:val="0"/>
                <w:kern w:val="0"/>
                <w:lang w:eastAsia="en-US"/>
              </w:rPr>
              <w:t>相符性分析</w:t>
            </w:r>
          </w:p>
        </w:tc>
      </w:tr>
      <w:tr w:rsidR="00606029" w14:paraId="02F27674" w14:textId="77777777" w:rsidTr="00EA49F1">
        <w:trPr>
          <w:trHeight w:val="1640"/>
          <w:jc w:val="center"/>
        </w:trPr>
        <w:tc>
          <w:tcPr>
            <w:tcW w:w="590" w:type="dxa"/>
            <w:vMerge w:val="restart"/>
            <w:vAlign w:val="center"/>
          </w:tcPr>
          <w:p w14:paraId="76EE0D7E" w14:textId="526123F5" w:rsidR="00606029" w:rsidRDefault="00685B7E">
            <w:pPr>
              <w:adjustRightInd w:val="0"/>
              <w:snapToGrid w:val="0"/>
              <w:jc w:val="center"/>
              <w:rPr>
                <w:snapToGrid w:val="0"/>
                <w:kern w:val="0"/>
              </w:rPr>
            </w:pPr>
            <w:r w:rsidRPr="00685B7E">
              <w:rPr>
                <w:rFonts w:hint="eastAsia"/>
                <w:snapToGrid w:val="0"/>
                <w:kern w:val="0"/>
              </w:rPr>
              <w:t>《生活垃圾填埋场污染控制标准》（</w:t>
            </w:r>
            <w:r w:rsidRPr="00685B7E">
              <w:rPr>
                <w:rFonts w:hint="eastAsia"/>
                <w:snapToGrid w:val="0"/>
                <w:kern w:val="0"/>
              </w:rPr>
              <w:t>GB16889-2024</w:t>
            </w:r>
            <w:r w:rsidRPr="00685B7E">
              <w:rPr>
                <w:rFonts w:hint="eastAsia"/>
                <w:snapToGrid w:val="0"/>
                <w:kern w:val="0"/>
              </w:rPr>
              <w:t>）</w:t>
            </w:r>
          </w:p>
        </w:tc>
        <w:tc>
          <w:tcPr>
            <w:tcW w:w="555" w:type="dxa"/>
            <w:vAlign w:val="center"/>
          </w:tcPr>
          <w:p w14:paraId="2588A505" w14:textId="77777777" w:rsidR="00606029" w:rsidRDefault="00EA5B92">
            <w:pPr>
              <w:adjustRightInd w:val="0"/>
              <w:snapToGrid w:val="0"/>
              <w:jc w:val="center"/>
              <w:rPr>
                <w:snapToGrid w:val="0"/>
                <w:kern w:val="0"/>
                <w:lang w:eastAsia="en-US"/>
              </w:rPr>
            </w:pPr>
            <w:r>
              <w:rPr>
                <w:snapToGrid w:val="0"/>
                <w:kern w:val="0"/>
                <w:lang w:eastAsia="en-US"/>
              </w:rPr>
              <w:t>填埋物入场技术要求</w:t>
            </w:r>
          </w:p>
        </w:tc>
        <w:tc>
          <w:tcPr>
            <w:tcW w:w="3615" w:type="dxa"/>
            <w:vAlign w:val="center"/>
          </w:tcPr>
          <w:p w14:paraId="062F693E" w14:textId="77777777" w:rsidR="00606029" w:rsidRDefault="00EA5B92">
            <w:pPr>
              <w:adjustRightInd w:val="0"/>
              <w:snapToGrid w:val="0"/>
              <w:jc w:val="center"/>
              <w:rPr>
                <w:snapToGrid w:val="0"/>
                <w:kern w:val="0"/>
              </w:rPr>
            </w:pPr>
            <w:r>
              <w:rPr>
                <w:snapToGrid w:val="0"/>
                <w:kern w:val="0"/>
              </w:rPr>
              <w:t>生活垃圾焚烧飞灰和医疗废物焚烧残渣经处理后满足现行国家标准《生活垃圾填埋场污染控制标准》（</w:t>
            </w:r>
            <w:r>
              <w:rPr>
                <w:snapToGrid w:val="0"/>
                <w:kern w:val="0"/>
              </w:rPr>
              <w:t>GB16889-2024</w:t>
            </w:r>
            <w:r>
              <w:rPr>
                <w:snapToGrid w:val="0"/>
                <w:kern w:val="0"/>
              </w:rPr>
              <w:t>）规定的条件，可进入生活垃圾填埋场填埋处置。处置时应设置与生活垃圾填埋库区有效分隔的独立填埋库区。</w:t>
            </w:r>
          </w:p>
        </w:tc>
        <w:tc>
          <w:tcPr>
            <w:tcW w:w="4104" w:type="dxa"/>
            <w:vAlign w:val="center"/>
          </w:tcPr>
          <w:p w14:paraId="63E51A61" w14:textId="3E8D4486" w:rsidR="00606029" w:rsidRDefault="00EA5B92">
            <w:pPr>
              <w:adjustRightInd w:val="0"/>
              <w:snapToGrid w:val="0"/>
              <w:jc w:val="center"/>
              <w:rPr>
                <w:snapToGrid w:val="0"/>
                <w:kern w:val="0"/>
              </w:rPr>
            </w:pPr>
            <w:r>
              <w:rPr>
                <w:snapToGrid w:val="0"/>
                <w:kern w:val="0"/>
              </w:rPr>
              <w:t>本项目经接收</w:t>
            </w:r>
            <w:r w:rsidR="004E5FFD">
              <w:rPr>
                <w:snapToGrid w:val="0"/>
                <w:kern w:val="0"/>
              </w:rPr>
              <w:t>大庆城控电力有限公司</w:t>
            </w:r>
            <w:r>
              <w:rPr>
                <w:snapToGrid w:val="0"/>
                <w:kern w:val="0"/>
              </w:rPr>
              <w:t>产生的飞灰，经过螯合</w:t>
            </w:r>
            <w:r w:rsidR="00685B7E">
              <w:rPr>
                <w:rFonts w:hint="eastAsia"/>
                <w:snapToGrid w:val="0"/>
                <w:kern w:val="0"/>
              </w:rPr>
              <w:t>固化</w:t>
            </w:r>
            <w:r>
              <w:rPr>
                <w:snapToGrid w:val="0"/>
                <w:kern w:val="0"/>
              </w:rPr>
              <w:t>处理，达到《生活垃圾填埋场污染控制标准》（</w:t>
            </w:r>
            <w:r>
              <w:rPr>
                <w:snapToGrid w:val="0"/>
                <w:kern w:val="0"/>
              </w:rPr>
              <w:t>GB16889-2024</w:t>
            </w:r>
            <w:r>
              <w:rPr>
                <w:snapToGrid w:val="0"/>
                <w:kern w:val="0"/>
              </w:rPr>
              <w:t>）规定的入场要求后，进入本项目建设的飞灰填埋场进行填埋处置</w:t>
            </w:r>
            <w:r w:rsidR="00EA49F1" w:rsidRPr="00EA49F1">
              <w:rPr>
                <w:rFonts w:hint="eastAsia"/>
                <w:snapToGrid w:val="0"/>
                <w:kern w:val="0"/>
              </w:rPr>
              <w:t>，</w:t>
            </w:r>
            <w:r w:rsidR="003847F0" w:rsidRPr="003847F0">
              <w:rPr>
                <w:rFonts w:hint="eastAsia"/>
                <w:snapToGrid w:val="0"/>
                <w:kern w:val="0"/>
              </w:rPr>
              <w:t>改建</w:t>
            </w:r>
            <w:r w:rsidRPr="003847F0">
              <w:rPr>
                <w:snapToGrid w:val="0"/>
                <w:kern w:val="0"/>
              </w:rPr>
              <w:t>的飞灰填埋区采取</w:t>
            </w:r>
            <w:r w:rsidR="003847F0" w:rsidRPr="003847F0">
              <w:rPr>
                <w:snapToGrid w:val="0"/>
                <w:kern w:val="0"/>
              </w:rPr>
              <w:t>原混凝土池壁</w:t>
            </w:r>
            <w:r w:rsidR="003847F0" w:rsidRPr="003847F0">
              <w:rPr>
                <w:snapToGrid w:val="0"/>
                <w:kern w:val="0"/>
              </w:rPr>
              <w:t>/</w:t>
            </w:r>
            <w:r w:rsidR="003847F0" w:rsidRPr="003847F0">
              <w:rPr>
                <w:snapToGrid w:val="0"/>
                <w:kern w:val="0"/>
              </w:rPr>
              <w:t>底</w:t>
            </w:r>
            <w:r w:rsidR="003847F0" w:rsidRPr="003847F0">
              <w:rPr>
                <w:snapToGrid w:val="0"/>
                <w:kern w:val="0"/>
              </w:rPr>
              <w:t>+ +</w:t>
            </w:r>
            <w:r w:rsidR="003847F0" w:rsidRPr="003847F0">
              <w:rPr>
                <w:snapToGrid w:val="0"/>
                <w:kern w:val="0"/>
              </w:rPr>
              <w:t>铺设</w:t>
            </w:r>
            <w:r w:rsidR="003847F0" w:rsidRPr="003847F0">
              <w:rPr>
                <w:snapToGrid w:val="0"/>
                <w:kern w:val="0"/>
              </w:rPr>
              <w:t>HDPE</w:t>
            </w:r>
            <w:r w:rsidRPr="003847F0">
              <w:rPr>
                <w:snapToGrid w:val="0"/>
                <w:kern w:val="0"/>
              </w:rPr>
              <w:t>HDPE</w:t>
            </w:r>
            <w:r w:rsidRPr="003847F0">
              <w:rPr>
                <w:snapToGrid w:val="0"/>
                <w:kern w:val="0"/>
              </w:rPr>
              <w:t>膜防渗系统相隔，</w:t>
            </w:r>
            <w:r w:rsidRPr="00EA49F1">
              <w:rPr>
                <w:snapToGrid w:val="0"/>
                <w:kern w:val="0"/>
              </w:rPr>
              <w:t>为独立的填埋库区。</w:t>
            </w:r>
          </w:p>
        </w:tc>
        <w:tc>
          <w:tcPr>
            <w:tcW w:w="274" w:type="dxa"/>
            <w:vAlign w:val="center"/>
          </w:tcPr>
          <w:p w14:paraId="6731F78B" w14:textId="77777777" w:rsidR="00606029" w:rsidRDefault="00EA5B92">
            <w:pPr>
              <w:adjustRightInd w:val="0"/>
              <w:snapToGrid w:val="0"/>
              <w:jc w:val="center"/>
              <w:rPr>
                <w:snapToGrid w:val="0"/>
                <w:kern w:val="0"/>
                <w:lang w:eastAsia="en-US"/>
              </w:rPr>
            </w:pPr>
            <w:r>
              <w:rPr>
                <w:snapToGrid w:val="0"/>
                <w:kern w:val="0"/>
                <w:lang w:eastAsia="en-US"/>
              </w:rPr>
              <w:t>符合</w:t>
            </w:r>
          </w:p>
        </w:tc>
      </w:tr>
      <w:tr w:rsidR="00606029" w14:paraId="4476BAED" w14:textId="77777777" w:rsidTr="00EA49F1">
        <w:trPr>
          <w:trHeight w:val="4028"/>
          <w:jc w:val="center"/>
        </w:trPr>
        <w:tc>
          <w:tcPr>
            <w:tcW w:w="590" w:type="dxa"/>
            <w:vMerge/>
            <w:vAlign w:val="center"/>
          </w:tcPr>
          <w:p w14:paraId="2AB6E349" w14:textId="77777777" w:rsidR="00606029" w:rsidRDefault="00606029">
            <w:pPr>
              <w:adjustRightInd w:val="0"/>
              <w:snapToGrid w:val="0"/>
              <w:jc w:val="center"/>
              <w:rPr>
                <w:snapToGrid w:val="0"/>
                <w:kern w:val="0"/>
                <w:lang w:eastAsia="en-US"/>
              </w:rPr>
            </w:pPr>
          </w:p>
        </w:tc>
        <w:tc>
          <w:tcPr>
            <w:tcW w:w="555" w:type="dxa"/>
            <w:vMerge w:val="restart"/>
            <w:vAlign w:val="center"/>
          </w:tcPr>
          <w:p w14:paraId="453A2244" w14:textId="77777777" w:rsidR="00606029" w:rsidRDefault="00EA5B92">
            <w:pPr>
              <w:adjustRightInd w:val="0"/>
              <w:snapToGrid w:val="0"/>
              <w:jc w:val="center"/>
              <w:rPr>
                <w:snapToGrid w:val="0"/>
                <w:kern w:val="0"/>
                <w:lang w:eastAsia="en-US"/>
              </w:rPr>
            </w:pPr>
            <w:r>
              <w:rPr>
                <w:snapToGrid w:val="0"/>
                <w:kern w:val="0"/>
                <w:lang w:eastAsia="en-US"/>
              </w:rPr>
              <w:t>场址选择</w:t>
            </w:r>
          </w:p>
        </w:tc>
        <w:tc>
          <w:tcPr>
            <w:tcW w:w="3615" w:type="dxa"/>
            <w:vAlign w:val="center"/>
          </w:tcPr>
          <w:p w14:paraId="624164C4" w14:textId="7959CC78" w:rsidR="00606029" w:rsidRDefault="00EA5B92">
            <w:pPr>
              <w:adjustRightInd w:val="0"/>
              <w:snapToGrid w:val="0"/>
              <w:jc w:val="center"/>
              <w:rPr>
                <w:snapToGrid w:val="0"/>
                <w:kern w:val="0"/>
              </w:rPr>
            </w:pPr>
            <w:r>
              <w:rPr>
                <w:snapToGrid w:val="0"/>
                <w:kern w:val="0"/>
              </w:rPr>
              <w:t>填埋场不应设在下列地区</w:t>
            </w:r>
            <w:r w:rsidR="006A52CC">
              <w:rPr>
                <w:snapToGrid w:val="0"/>
                <w:kern w:val="0"/>
              </w:rPr>
              <w:t>：</w:t>
            </w:r>
            <w:r>
              <w:rPr>
                <w:snapToGrid w:val="0"/>
                <w:kern w:val="0"/>
              </w:rPr>
              <w:t>1</w:t>
            </w:r>
            <w:r>
              <w:rPr>
                <w:snapToGrid w:val="0"/>
                <w:kern w:val="0"/>
              </w:rPr>
              <w:t>、地下水集中供水水源地及补给区，水源保护区；</w:t>
            </w:r>
            <w:r>
              <w:rPr>
                <w:snapToGrid w:val="0"/>
                <w:kern w:val="0"/>
              </w:rPr>
              <w:t>2</w:t>
            </w:r>
            <w:r>
              <w:rPr>
                <w:snapToGrid w:val="0"/>
                <w:kern w:val="0"/>
              </w:rPr>
              <w:t>、洪泛区和泄洪道；</w:t>
            </w:r>
            <w:r>
              <w:rPr>
                <w:snapToGrid w:val="0"/>
                <w:kern w:val="0"/>
              </w:rPr>
              <w:t>3</w:t>
            </w:r>
            <w:r>
              <w:rPr>
                <w:snapToGrid w:val="0"/>
                <w:kern w:val="0"/>
              </w:rPr>
              <w:t>、填埋库区与敞开式渗沥液处理区边界距居民住区或人畜供水点的卫生防护距离在</w:t>
            </w:r>
            <w:r>
              <w:rPr>
                <w:snapToGrid w:val="0"/>
                <w:kern w:val="0"/>
              </w:rPr>
              <w:t>500m</w:t>
            </w:r>
            <w:r>
              <w:rPr>
                <w:snapToGrid w:val="0"/>
                <w:kern w:val="0"/>
              </w:rPr>
              <w:t>以内的地区；</w:t>
            </w:r>
            <w:r>
              <w:rPr>
                <w:snapToGrid w:val="0"/>
                <w:kern w:val="0"/>
              </w:rPr>
              <w:t>4</w:t>
            </w:r>
            <w:r>
              <w:rPr>
                <w:snapToGrid w:val="0"/>
                <w:kern w:val="0"/>
              </w:rPr>
              <w:t>、填埋库区与敞开式渗沥液处理区边界距河流和湖泊</w:t>
            </w:r>
            <w:r>
              <w:rPr>
                <w:snapToGrid w:val="0"/>
                <w:kern w:val="0"/>
              </w:rPr>
              <w:t>50m</w:t>
            </w:r>
            <w:r>
              <w:rPr>
                <w:snapToGrid w:val="0"/>
                <w:kern w:val="0"/>
              </w:rPr>
              <w:t>以内的地区；</w:t>
            </w:r>
            <w:r>
              <w:rPr>
                <w:snapToGrid w:val="0"/>
                <w:kern w:val="0"/>
              </w:rPr>
              <w:t>5</w:t>
            </w:r>
            <w:r>
              <w:rPr>
                <w:snapToGrid w:val="0"/>
                <w:kern w:val="0"/>
              </w:rPr>
              <w:t>、填埋库区与渗沥液处理区边界距民用机场</w:t>
            </w:r>
            <w:r>
              <w:rPr>
                <w:snapToGrid w:val="0"/>
                <w:kern w:val="0"/>
              </w:rPr>
              <w:t>3km</w:t>
            </w:r>
            <w:r>
              <w:rPr>
                <w:snapToGrid w:val="0"/>
                <w:kern w:val="0"/>
              </w:rPr>
              <w:t>以内的地区；</w:t>
            </w:r>
            <w:r>
              <w:rPr>
                <w:snapToGrid w:val="0"/>
                <w:kern w:val="0"/>
              </w:rPr>
              <w:t>6</w:t>
            </w:r>
            <w:r>
              <w:rPr>
                <w:snapToGrid w:val="0"/>
                <w:kern w:val="0"/>
              </w:rPr>
              <w:t>、尚未开采的地下蕴矿区；</w:t>
            </w:r>
            <w:r>
              <w:rPr>
                <w:snapToGrid w:val="0"/>
                <w:kern w:val="0"/>
              </w:rPr>
              <w:t>7</w:t>
            </w:r>
            <w:r>
              <w:rPr>
                <w:snapToGrid w:val="0"/>
                <w:kern w:val="0"/>
              </w:rPr>
              <w:t>、珍贵动植物保护区边界距民用机场</w:t>
            </w:r>
            <w:r>
              <w:rPr>
                <w:snapToGrid w:val="0"/>
                <w:kern w:val="0"/>
              </w:rPr>
              <w:t>3km</w:t>
            </w:r>
            <w:r>
              <w:rPr>
                <w:snapToGrid w:val="0"/>
                <w:kern w:val="0"/>
              </w:rPr>
              <w:t>以内的地区；</w:t>
            </w:r>
            <w:r>
              <w:rPr>
                <w:snapToGrid w:val="0"/>
                <w:kern w:val="0"/>
              </w:rPr>
              <w:t>8</w:t>
            </w:r>
            <w:r>
              <w:rPr>
                <w:snapToGrid w:val="0"/>
                <w:kern w:val="0"/>
              </w:rPr>
              <w:t>、公园、风景、游览区、文物古迹区、考古学、历史学及生物学研究考察区；</w:t>
            </w:r>
            <w:r>
              <w:rPr>
                <w:snapToGrid w:val="0"/>
                <w:kern w:val="0"/>
              </w:rPr>
              <w:t>9</w:t>
            </w:r>
            <w:r>
              <w:rPr>
                <w:snapToGrid w:val="0"/>
                <w:kern w:val="0"/>
              </w:rPr>
              <w:t>、军事要地、军工基地和国家保密地区。</w:t>
            </w:r>
          </w:p>
        </w:tc>
        <w:tc>
          <w:tcPr>
            <w:tcW w:w="4104" w:type="dxa"/>
            <w:vAlign w:val="center"/>
          </w:tcPr>
          <w:p w14:paraId="01C399C9" w14:textId="77777777" w:rsidR="00606029" w:rsidRDefault="00EA5B92">
            <w:pPr>
              <w:adjustRightInd w:val="0"/>
              <w:snapToGrid w:val="0"/>
              <w:jc w:val="center"/>
              <w:rPr>
                <w:snapToGrid w:val="0"/>
                <w:kern w:val="0"/>
              </w:rPr>
            </w:pPr>
            <w:r>
              <w:rPr>
                <w:snapToGrid w:val="0"/>
                <w:kern w:val="0"/>
              </w:rPr>
              <w:t>①</w:t>
            </w:r>
            <w:r>
              <w:rPr>
                <w:snapToGrid w:val="0"/>
                <w:kern w:val="0"/>
              </w:rPr>
              <w:t>根据现场勘查，本项目不涉及地下水集中供水水源地及补给区，水源保护区、洪泛区和泄洪道；</w:t>
            </w:r>
            <w:r>
              <w:rPr>
                <w:snapToGrid w:val="0"/>
                <w:kern w:val="0"/>
              </w:rPr>
              <w:t>②</w:t>
            </w:r>
            <w:r>
              <w:rPr>
                <w:snapToGrid w:val="0"/>
                <w:kern w:val="0"/>
              </w:rPr>
              <w:t>本项目不涉及尚未开采的地下蕴矿区。</w:t>
            </w:r>
            <w:r>
              <w:rPr>
                <w:snapToGrid w:val="0"/>
                <w:kern w:val="0"/>
              </w:rPr>
              <w:t>③</w:t>
            </w:r>
            <w:r>
              <w:rPr>
                <w:snapToGrid w:val="0"/>
                <w:kern w:val="0"/>
              </w:rPr>
              <w:t>本项目不涉及珍贵动植物保护区、公园、风景、游览区、文物古迹区、考古学、历史学及生物学研究考察区、军事要地、军工基地和国家保密地区。</w:t>
            </w:r>
          </w:p>
        </w:tc>
        <w:tc>
          <w:tcPr>
            <w:tcW w:w="274" w:type="dxa"/>
            <w:vAlign w:val="center"/>
          </w:tcPr>
          <w:p w14:paraId="47EF5AAF" w14:textId="77777777" w:rsidR="00606029" w:rsidRDefault="00EA5B92">
            <w:pPr>
              <w:adjustRightInd w:val="0"/>
              <w:snapToGrid w:val="0"/>
              <w:jc w:val="center"/>
              <w:rPr>
                <w:snapToGrid w:val="0"/>
                <w:kern w:val="0"/>
                <w:lang w:eastAsia="en-US"/>
              </w:rPr>
            </w:pPr>
            <w:r>
              <w:rPr>
                <w:snapToGrid w:val="0"/>
                <w:kern w:val="0"/>
                <w:lang w:eastAsia="en-US"/>
              </w:rPr>
              <w:t>符合</w:t>
            </w:r>
          </w:p>
        </w:tc>
      </w:tr>
      <w:tr w:rsidR="00606029" w14:paraId="672D9653" w14:textId="77777777" w:rsidTr="00EA49F1">
        <w:trPr>
          <w:trHeight w:val="1651"/>
          <w:jc w:val="center"/>
        </w:trPr>
        <w:tc>
          <w:tcPr>
            <w:tcW w:w="590" w:type="dxa"/>
            <w:vMerge/>
            <w:vAlign w:val="center"/>
          </w:tcPr>
          <w:p w14:paraId="19EDEE4A" w14:textId="77777777" w:rsidR="00606029" w:rsidRDefault="00606029">
            <w:pPr>
              <w:adjustRightInd w:val="0"/>
              <w:snapToGrid w:val="0"/>
              <w:jc w:val="center"/>
              <w:rPr>
                <w:snapToGrid w:val="0"/>
                <w:kern w:val="0"/>
                <w:lang w:eastAsia="en-US"/>
              </w:rPr>
            </w:pPr>
          </w:p>
        </w:tc>
        <w:tc>
          <w:tcPr>
            <w:tcW w:w="555" w:type="dxa"/>
            <w:vMerge/>
            <w:vAlign w:val="center"/>
          </w:tcPr>
          <w:p w14:paraId="57DB5EB4" w14:textId="77777777" w:rsidR="00606029" w:rsidRDefault="00606029">
            <w:pPr>
              <w:adjustRightInd w:val="0"/>
              <w:snapToGrid w:val="0"/>
              <w:jc w:val="center"/>
              <w:rPr>
                <w:snapToGrid w:val="0"/>
                <w:kern w:val="0"/>
                <w:lang w:eastAsia="en-US"/>
              </w:rPr>
            </w:pPr>
          </w:p>
        </w:tc>
        <w:tc>
          <w:tcPr>
            <w:tcW w:w="3615" w:type="dxa"/>
            <w:vAlign w:val="center"/>
          </w:tcPr>
          <w:p w14:paraId="15CD06B8" w14:textId="5513C722" w:rsidR="00606029" w:rsidRDefault="00EA5B92">
            <w:pPr>
              <w:adjustRightInd w:val="0"/>
              <w:snapToGrid w:val="0"/>
              <w:jc w:val="center"/>
              <w:rPr>
                <w:snapToGrid w:val="0"/>
                <w:kern w:val="0"/>
              </w:rPr>
            </w:pPr>
            <w:r>
              <w:rPr>
                <w:snapToGrid w:val="0"/>
                <w:kern w:val="0"/>
              </w:rPr>
              <w:t>填埋场选址应符合现行国家标准《生活垃圾填埋场污染控制标准》（</w:t>
            </w:r>
            <w:r>
              <w:rPr>
                <w:snapToGrid w:val="0"/>
                <w:kern w:val="0"/>
              </w:rPr>
              <w:t>GB16889-2008</w:t>
            </w:r>
            <w:r>
              <w:rPr>
                <w:snapToGrid w:val="0"/>
                <w:kern w:val="0"/>
              </w:rPr>
              <w:t>）和相关标准的规定，并应符合下列规定</w:t>
            </w:r>
            <w:r w:rsidR="006A52CC">
              <w:rPr>
                <w:snapToGrid w:val="0"/>
                <w:kern w:val="0"/>
              </w:rPr>
              <w:t>：</w:t>
            </w:r>
            <w:r>
              <w:rPr>
                <w:snapToGrid w:val="0"/>
                <w:kern w:val="0"/>
              </w:rPr>
              <w:t>应与当地城市总体规划和城市环境卫生专业规划协调一致；应与当地的大气防护、水土资源保护、自然保护及生态平衡要求相一致；应交通方便，远距合理；人口密度、土地利用价值及征地费用均应合理；</w:t>
            </w:r>
          </w:p>
        </w:tc>
        <w:tc>
          <w:tcPr>
            <w:tcW w:w="4104" w:type="dxa"/>
            <w:vAlign w:val="center"/>
          </w:tcPr>
          <w:p w14:paraId="758786D3" w14:textId="1A415CE1" w:rsidR="00606029" w:rsidRDefault="00EA5B92">
            <w:pPr>
              <w:adjustRightInd w:val="0"/>
              <w:snapToGrid w:val="0"/>
              <w:jc w:val="center"/>
              <w:rPr>
                <w:snapToGrid w:val="0"/>
                <w:kern w:val="0"/>
              </w:rPr>
            </w:pPr>
            <w:r>
              <w:rPr>
                <w:snapToGrid w:val="0"/>
                <w:kern w:val="0"/>
              </w:rPr>
              <w:t>①</w:t>
            </w:r>
            <w:r>
              <w:rPr>
                <w:snapToGrid w:val="0"/>
                <w:kern w:val="0"/>
              </w:rPr>
              <w:t>本项目符合</w:t>
            </w:r>
            <w:r>
              <w:t>《</w:t>
            </w:r>
            <w:r w:rsidR="00685B7E">
              <w:t>大庆市国土空间总体规划（</w:t>
            </w:r>
            <w:r w:rsidR="00685B7E">
              <w:t>2021-2035</w:t>
            </w:r>
            <w:r w:rsidR="00685B7E">
              <w:t>年）</w:t>
            </w:r>
            <w:r>
              <w:t>》《</w:t>
            </w:r>
            <w:r w:rsidR="004E5FFD">
              <w:t>大庆市</w:t>
            </w:r>
            <w:r>
              <w:t>“</w:t>
            </w:r>
            <w:r>
              <w:t>十四五</w:t>
            </w:r>
            <w:r>
              <w:t>”</w:t>
            </w:r>
            <w:r>
              <w:t>生态环境保护规划》等相关规划要求</w:t>
            </w:r>
            <w:r>
              <w:rPr>
                <w:snapToGrid w:val="0"/>
                <w:kern w:val="0"/>
              </w:rPr>
              <w:t>。</w:t>
            </w:r>
            <w:r>
              <w:rPr>
                <w:snapToGrid w:val="0"/>
                <w:kern w:val="0"/>
              </w:rPr>
              <w:t>②</w:t>
            </w:r>
            <w:r>
              <w:rPr>
                <w:snapToGrid w:val="0"/>
                <w:kern w:val="0"/>
              </w:rPr>
              <w:t>本项目填埋作业过程产生的粉尘采用洒水降尘措施并及时进行膜覆盖；填埋场终场覆盖后，在其上种植花草，绿化环境。经过初步稳定后，填埋区可作为绿化用地、人造景园等用地。综上，本项目的建设与当地的大气防护、水土资源保护、自然保护及生态平衡要求相一致；</w:t>
            </w:r>
            <w:r>
              <w:rPr>
                <w:snapToGrid w:val="0"/>
                <w:kern w:val="0"/>
              </w:rPr>
              <w:t>③</w:t>
            </w:r>
            <w:r>
              <w:rPr>
                <w:snapToGrid w:val="0"/>
                <w:kern w:val="0"/>
              </w:rPr>
              <w:t>本</w:t>
            </w:r>
            <w:r w:rsidR="00E25F0C" w:rsidRPr="00E25F0C">
              <w:rPr>
                <w:rFonts w:hint="eastAsia"/>
                <w:snapToGrid w:val="0"/>
                <w:kern w:val="0"/>
              </w:rPr>
              <w:t>项目紧邻大庆城控电力有限</w:t>
            </w:r>
            <w:r w:rsidR="00EA49F1">
              <w:rPr>
                <w:rFonts w:hint="eastAsia"/>
                <w:snapToGrid w:val="0"/>
                <w:kern w:val="0"/>
              </w:rPr>
              <w:t>飞灰稳定化暂存库</w:t>
            </w:r>
            <w:r w:rsidR="00E25F0C" w:rsidRPr="00E25F0C">
              <w:rPr>
                <w:rFonts w:hint="eastAsia"/>
                <w:snapToGrid w:val="0"/>
                <w:kern w:val="0"/>
              </w:rPr>
              <w:t>，没有运输距离。</w:t>
            </w:r>
            <w:r>
              <w:rPr>
                <w:snapToGrid w:val="0"/>
                <w:kern w:val="0"/>
              </w:rPr>
              <w:t>④</w:t>
            </w:r>
            <w:r>
              <w:rPr>
                <w:snapToGrid w:val="0"/>
                <w:kern w:val="0"/>
              </w:rPr>
              <w:t>项目建设用地为填埋区用地，附近无人口，土地利用价值及征地费用均合理。</w:t>
            </w:r>
          </w:p>
        </w:tc>
        <w:tc>
          <w:tcPr>
            <w:tcW w:w="274" w:type="dxa"/>
            <w:vAlign w:val="center"/>
          </w:tcPr>
          <w:p w14:paraId="6B4C3F84" w14:textId="77777777" w:rsidR="00606029" w:rsidRDefault="00EA5B92">
            <w:pPr>
              <w:adjustRightInd w:val="0"/>
              <w:snapToGrid w:val="0"/>
              <w:jc w:val="center"/>
              <w:rPr>
                <w:snapToGrid w:val="0"/>
                <w:kern w:val="0"/>
                <w:lang w:eastAsia="en-US"/>
              </w:rPr>
            </w:pPr>
            <w:r>
              <w:rPr>
                <w:snapToGrid w:val="0"/>
                <w:kern w:val="0"/>
                <w:lang w:eastAsia="en-US"/>
              </w:rPr>
              <w:t>符合</w:t>
            </w:r>
          </w:p>
        </w:tc>
      </w:tr>
      <w:tr w:rsidR="00606029" w14:paraId="45FED71F" w14:textId="77777777" w:rsidTr="001F4395">
        <w:trPr>
          <w:trHeight w:val="821"/>
          <w:jc w:val="center"/>
        </w:trPr>
        <w:tc>
          <w:tcPr>
            <w:tcW w:w="590" w:type="dxa"/>
            <w:vMerge w:val="restart"/>
            <w:vAlign w:val="center"/>
          </w:tcPr>
          <w:p w14:paraId="5AECD33B" w14:textId="77777777" w:rsidR="00606029" w:rsidRDefault="00EA5B92">
            <w:pPr>
              <w:adjustRightInd w:val="0"/>
              <w:snapToGrid w:val="0"/>
              <w:jc w:val="center"/>
              <w:rPr>
                <w:snapToGrid w:val="0"/>
                <w:kern w:val="0"/>
              </w:rPr>
            </w:pPr>
            <w:r>
              <w:rPr>
                <w:snapToGrid w:val="0"/>
                <w:kern w:val="0"/>
              </w:rPr>
              <w:t>《生活垃圾填埋场污染控制标准》（</w:t>
            </w:r>
            <w:r>
              <w:rPr>
                <w:snapToGrid w:val="0"/>
                <w:kern w:val="0"/>
              </w:rPr>
              <w:t>GB16889-</w:t>
            </w:r>
            <w:r>
              <w:rPr>
                <w:snapToGrid w:val="0"/>
                <w:kern w:val="0"/>
              </w:rPr>
              <w:lastRenderedPageBreak/>
              <w:t>2024</w:t>
            </w:r>
            <w:r>
              <w:rPr>
                <w:snapToGrid w:val="0"/>
                <w:kern w:val="0"/>
              </w:rPr>
              <w:t>）</w:t>
            </w:r>
          </w:p>
        </w:tc>
        <w:tc>
          <w:tcPr>
            <w:tcW w:w="555" w:type="dxa"/>
            <w:vMerge w:val="restart"/>
            <w:vAlign w:val="center"/>
          </w:tcPr>
          <w:p w14:paraId="4A70598C" w14:textId="77777777" w:rsidR="00606029" w:rsidRDefault="00EA5B92">
            <w:pPr>
              <w:adjustRightInd w:val="0"/>
              <w:snapToGrid w:val="0"/>
              <w:jc w:val="center"/>
              <w:rPr>
                <w:snapToGrid w:val="0"/>
                <w:kern w:val="0"/>
                <w:lang w:eastAsia="en-US"/>
              </w:rPr>
            </w:pPr>
            <w:r>
              <w:rPr>
                <w:snapToGrid w:val="0"/>
                <w:kern w:val="0"/>
                <w:lang w:eastAsia="en-US"/>
              </w:rPr>
              <w:lastRenderedPageBreak/>
              <w:t>选址要求</w:t>
            </w:r>
          </w:p>
        </w:tc>
        <w:tc>
          <w:tcPr>
            <w:tcW w:w="3615" w:type="dxa"/>
            <w:vAlign w:val="center"/>
          </w:tcPr>
          <w:p w14:paraId="532824E7" w14:textId="77777777" w:rsidR="00606029" w:rsidRDefault="00EA5B92">
            <w:pPr>
              <w:adjustRightInd w:val="0"/>
              <w:snapToGrid w:val="0"/>
              <w:jc w:val="center"/>
              <w:rPr>
                <w:snapToGrid w:val="0"/>
                <w:kern w:val="0"/>
              </w:rPr>
            </w:pPr>
            <w:r>
              <w:rPr>
                <w:snapToGrid w:val="0"/>
                <w:kern w:val="0"/>
              </w:rPr>
              <w:t>生活垃圾填埋场的选址应符合区域性环境规划、环境卫生设施建设规划和当地的城市规划。</w:t>
            </w:r>
          </w:p>
        </w:tc>
        <w:tc>
          <w:tcPr>
            <w:tcW w:w="4104" w:type="dxa"/>
            <w:vAlign w:val="center"/>
          </w:tcPr>
          <w:p w14:paraId="461C91FA" w14:textId="3FB05DB0" w:rsidR="00606029" w:rsidRDefault="00EA5B92">
            <w:pPr>
              <w:adjustRightInd w:val="0"/>
              <w:snapToGrid w:val="0"/>
              <w:jc w:val="center"/>
              <w:rPr>
                <w:snapToGrid w:val="0"/>
                <w:kern w:val="0"/>
              </w:rPr>
            </w:pPr>
            <w:r>
              <w:rPr>
                <w:snapToGrid w:val="0"/>
                <w:kern w:val="0"/>
              </w:rPr>
              <w:t>本项目选址条件符合《</w:t>
            </w:r>
            <w:r w:rsidR="00685B7E">
              <w:rPr>
                <w:snapToGrid w:val="0"/>
                <w:kern w:val="0"/>
              </w:rPr>
              <w:t>大庆市国土空间总体规划（</w:t>
            </w:r>
            <w:r w:rsidR="00685B7E">
              <w:rPr>
                <w:snapToGrid w:val="0"/>
                <w:kern w:val="0"/>
              </w:rPr>
              <w:t>2021-2035</w:t>
            </w:r>
            <w:r w:rsidR="00685B7E">
              <w:rPr>
                <w:snapToGrid w:val="0"/>
                <w:kern w:val="0"/>
              </w:rPr>
              <w:t>年）</w:t>
            </w:r>
            <w:r>
              <w:rPr>
                <w:snapToGrid w:val="0"/>
                <w:kern w:val="0"/>
              </w:rPr>
              <w:t>》《</w:t>
            </w:r>
            <w:r w:rsidR="004E5FFD">
              <w:rPr>
                <w:snapToGrid w:val="0"/>
                <w:kern w:val="0"/>
              </w:rPr>
              <w:t>大庆市</w:t>
            </w:r>
            <w:r>
              <w:rPr>
                <w:snapToGrid w:val="0"/>
                <w:kern w:val="0"/>
              </w:rPr>
              <w:t>“</w:t>
            </w:r>
            <w:r>
              <w:rPr>
                <w:snapToGrid w:val="0"/>
                <w:kern w:val="0"/>
              </w:rPr>
              <w:t>十四五</w:t>
            </w:r>
            <w:r>
              <w:rPr>
                <w:snapToGrid w:val="0"/>
                <w:kern w:val="0"/>
              </w:rPr>
              <w:t>”</w:t>
            </w:r>
            <w:r>
              <w:rPr>
                <w:snapToGrid w:val="0"/>
                <w:kern w:val="0"/>
              </w:rPr>
              <w:t>生态环境保护规划》等相关规划，同时满足《生活垃圾卫生填埋处理技术</w:t>
            </w:r>
            <w:r w:rsidR="004509F6">
              <w:rPr>
                <w:rFonts w:hint="eastAsia"/>
                <w:snapToGrid w:val="0"/>
                <w:kern w:val="0"/>
              </w:rPr>
              <w:t>规范</w:t>
            </w:r>
            <w:r>
              <w:rPr>
                <w:snapToGrid w:val="0"/>
                <w:kern w:val="0"/>
              </w:rPr>
              <w:t>》（</w:t>
            </w:r>
            <w:r>
              <w:rPr>
                <w:snapToGrid w:val="0"/>
                <w:kern w:val="0"/>
              </w:rPr>
              <w:t>GB50869-2013</w:t>
            </w:r>
            <w:r>
              <w:rPr>
                <w:snapToGrid w:val="0"/>
                <w:kern w:val="0"/>
              </w:rPr>
              <w:t>）的选址要求。</w:t>
            </w:r>
          </w:p>
        </w:tc>
        <w:tc>
          <w:tcPr>
            <w:tcW w:w="274" w:type="dxa"/>
            <w:vAlign w:val="center"/>
          </w:tcPr>
          <w:p w14:paraId="5118F86A" w14:textId="77777777" w:rsidR="00606029" w:rsidRDefault="00EA5B92">
            <w:pPr>
              <w:adjustRightInd w:val="0"/>
              <w:snapToGrid w:val="0"/>
              <w:jc w:val="center"/>
              <w:rPr>
                <w:snapToGrid w:val="0"/>
                <w:kern w:val="0"/>
                <w:lang w:eastAsia="en-US"/>
              </w:rPr>
            </w:pPr>
            <w:r>
              <w:rPr>
                <w:snapToGrid w:val="0"/>
                <w:kern w:val="0"/>
                <w:lang w:eastAsia="en-US"/>
              </w:rPr>
              <w:t>符合</w:t>
            </w:r>
          </w:p>
        </w:tc>
      </w:tr>
      <w:tr w:rsidR="00606029" w14:paraId="167ADAA8" w14:textId="77777777" w:rsidTr="00EA49F1">
        <w:trPr>
          <w:trHeight w:val="63"/>
          <w:jc w:val="center"/>
        </w:trPr>
        <w:tc>
          <w:tcPr>
            <w:tcW w:w="590" w:type="dxa"/>
            <w:vMerge/>
            <w:vAlign w:val="center"/>
          </w:tcPr>
          <w:p w14:paraId="5C8F8738" w14:textId="77777777" w:rsidR="00606029" w:rsidRDefault="00606029">
            <w:pPr>
              <w:adjustRightInd w:val="0"/>
              <w:snapToGrid w:val="0"/>
              <w:jc w:val="center"/>
              <w:rPr>
                <w:snapToGrid w:val="0"/>
                <w:kern w:val="0"/>
                <w:lang w:eastAsia="en-US"/>
              </w:rPr>
            </w:pPr>
          </w:p>
        </w:tc>
        <w:tc>
          <w:tcPr>
            <w:tcW w:w="555" w:type="dxa"/>
            <w:vMerge/>
            <w:vAlign w:val="center"/>
          </w:tcPr>
          <w:p w14:paraId="094349B6" w14:textId="77777777" w:rsidR="00606029" w:rsidRDefault="00606029">
            <w:pPr>
              <w:adjustRightInd w:val="0"/>
              <w:snapToGrid w:val="0"/>
              <w:jc w:val="center"/>
              <w:rPr>
                <w:snapToGrid w:val="0"/>
                <w:kern w:val="0"/>
                <w:lang w:eastAsia="en-US"/>
              </w:rPr>
            </w:pPr>
          </w:p>
        </w:tc>
        <w:tc>
          <w:tcPr>
            <w:tcW w:w="3615" w:type="dxa"/>
            <w:vAlign w:val="center"/>
          </w:tcPr>
          <w:p w14:paraId="756F80D6" w14:textId="77777777" w:rsidR="00606029" w:rsidRDefault="00EA5B92">
            <w:pPr>
              <w:adjustRightInd w:val="0"/>
              <w:snapToGrid w:val="0"/>
              <w:jc w:val="center"/>
              <w:rPr>
                <w:snapToGrid w:val="0"/>
                <w:kern w:val="0"/>
              </w:rPr>
            </w:pPr>
            <w:r>
              <w:rPr>
                <w:snapToGrid w:val="0"/>
                <w:kern w:val="0"/>
              </w:rPr>
              <w:t>生活垃圾填埋场场址不应选在城市工农业发展规划区、农业保护区、自然保护区、风景名胜区、文物（考古）保护区、生活饮用水水源保护区、供水远景规划区、矿产资源储备区、军事要地、国家保密地区和其他需要特别保护的区</w:t>
            </w:r>
            <w:r>
              <w:rPr>
                <w:snapToGrid w:val="0"/>
                <w:kern w:val="0"/>
              </w:rPr>
              <w:lastRenderedPageBreak/>
              <w:t>域内。</w:t>
            </w:r>
          </w:p>
        </w:tc>
        <w:tc>
          <w:tcPr>
            <w:tcW w:w="4104" w:type="dxa"/>
            <w:vAlign w:val="center"/>
          </w:tcPr>
          <w:p w14:paraId="51AE9B03" w14:textId="77777777" w:rsidR="00606029" w:rsidRDefault="00EA5B92">
            <w:pPr>
              <w:adjustRightInd w:val="0"/>
              <w:snapToGrid w:val="0"/>
              <w:jc w:val="center"/>
              <w:rPr>
                <w:snapToGrid w:val="0"/>
                <w:kern w:val="0"/>
              </w:rPr>
            </w:pPr>
            <w:r>
              <w:rPr>
                <w:snapToGrid w:val="0"/>
                <w:kern w:val="0"/>
              </w:rPr>
              <w:lastRenderedPageBreak/>
              <w:t>本项目选址未设置在自然保护区、风景名胜区、文物（考古）保护区、生活饮用水源保护区、供水远景规划区、矿产资源储备区和其他需要特别保护的区域内。</w:t>
            </w:r>
          </w:p>
        </w:tc>
        <w:tc>
          <w:tcPr>
            <w:tcW w:w="274" w:type="dxa"/>
            <w:vAlign w:val="center"/>
          </w:tcPr>
          <w:p w14:paraId="327D92F0" w14:textId="77777777" w:rsidR="00606029" w:rsidRDefault="00EA5B92">
            <w:pPr>
              <w:adjustRightInd w:val="0"/>
              <w:snapToGrid w:val="0"/>
              <w:jc w:val="center"/>
              <w:rPr>
                <w:snapToGrid w:val="0"/>
                <w:kern w:val="0"/>
                <w:lang w:eastAsia="en-US"/>
              </w:rPr>
            </w:pPr>
            <w:r>
              <w:rPr>
                <w:snapToGrid w:val="0"/>
                <w:kern w:val="0"/>
                <w:lang w:eastAsia="en-US"/>
              </w:rPr>
              <w:t>符合</w:t>
            </w:r>
          </w:p>
        </w:tc>
      </w:tr>
      <w:tr w:rsidR="00606029" w14:paraId="65745797" w14:textId="77777777" w:rsidTr="00EA49F1">
        <w:trPr>
          <w:trHeight w:val="1091"/>
          <w:jc w:val="center"/>
        </w:trPr>
        <w:tc>
          <w:tcPr>
            <w:tcW w:w="590" w:type="dxa"/>
            <w:vMerge/>
            <w:vAlign w:val="center"/>
          </w:tcPr>
          <w:p w14:paraId="02230DDE" w14:textId="77777777" w:rsidR="00606029" w:rsidRDefault="00606029">
            <w:pPr>
              <w:adjustRightInd w:val="0"/>
              <w:snapToGrid w:val="0"/>
              <w:jc w:val="center"/>
              <w:rPr>
                <w:snapToGrid w:val="0"/>
                <w:kern w:val="0"/>
                <w:lang w:eastAsia="en-US"/>
              </w:rPr>
            </w:pPr>
          </w:p>
        </w:tc>
        <w:tc>
          <w:tcPr>
            <w:tcW w:w="555" w:type="dxa"/>
            <w:vMerge/>
            <w:vAlign w:val="center"/>
          </w:tcPr>
          <w:p w14:paraId="15D79EEB" w14:textId="77777777" w:rsidR="00606029" w:rsidRDefault="00606029">
            <w:pPr>
              <w:adjustRightInd w:val="0"/>
              <w:snapToGrid w:val="0"/>
              <w:jc w:val="center"/>
              <w:rPr>
                <w:snapToGrid w:val="0"/>
                <w:kern w:val="0"/>
                <w:lang w:eastAsia="en-US"/>
              </w:rPr>
            </w:pPr>
          </w:p>
        </w:tc>
        <w:tc>
          <w:tcPr>
            <w:tcW w:w="3615" w:type="dxa"/>
            <w:vAlign w:val="center"/>
          </w:tcPr>
          <w:p w14:paraId="0BF869BB" w14:textId="77777777" w:rsidR="00606029" w:rsidRDefault="00EA5B92">
            <w:pPr>
              <w:adjustRightInd w:val="0"/>
              <w:snapToGrid w:val="0"/>
              <w:jc w:val="center"/>
              <w:rPr>
                <w:snapToGrid w:val="0"/>
                <w:kern w:val="0"/>
              </w:rPr>
            </w:pPr>
            <w:r>
              <w:rPr>
                <w:snapToGrid w:val="0"/>
                <w:kern w:val="0"/>
              </w:rPr>
              <w:t>生活垃圾填埋场选址的标高应位于重现期不小于</w:t>
            </w:r>
            <w:r>
              <w:rPr>
                <w:snapToGrid w:val="0"/>
                <w:kern w:val="0"/>
              </w:rPr>
              <w:t>50</w:t>
            </w:r>
            <w:r>
              <w:rPr>
                <w:snapToGrid w:val="0"/>
                <w:kern w:val="0"/>
              </w:rPr>
              <w:t>年一遇的洪水位之上，并建设在长远规划中的水库等人工蓄水设施的淹没区和保护区之外。</w:t>
            </w:r>
          </w:p>
        </w:tc>
        <w:tc>
          <w:tcPr>
            <w:tcW w:w="4104" w:type="dxa"/>
            <w:vAlign w:val="center"/>
          </w:tcPr>
          <w:p w14:paraId="53FCD292" w14:textId="77777777" w:rsidR="00606029" w:rsidRDefault="00EA5B92">
            <w:pPr>
              <w:adjustRightInd w:val="0"/>
              <w:snapToGrid w:val="0"/>
              <w:jc w:val="center"/>
              <w:rPr>
                <w:snapToGrid w:val="0"/>
                <w:kern w:val="0"/>
              </w:rPr>
            </w:pPr>
            <w:r>
              <w:rPr>
                <w:snapToGrid w:val="0"/>
                <w:kern w:val="0"/>
              </w:rPr>
              <w:t>填埋场选址的标高位于重现期不小于</w:t>
            </w:r>
            <w:r>
              <w:rPr>
                <w:snapToGrid w:val="0"/>
                <w:kern w:val="0"/>
              </w:rPr>
              <w:t>50</w:t>
            </w:r>
            <w:r>
              <w:rPr>
                <w:snapToGrid w:val="0"/>
                <w:kern w:val="0"/>
              </w:rPr>
              <w:t>年一遇的洪水位之上，并建设在长远规划中的水库等人工蓄水设施的淹没区和保护区之外。</w:t>
            </w:r>
          </w:p>
        </w:tc>
        <w:tc>
          <w:tcPr>
            <w:tcW w:w="274" w:type="dxa"/>
            <w:vAlign w:val="center"/>
          </w:tcPr>
          <w:p w14:paraId="25270840" w14:textId="77777777" w:rsidR="00606029" w:rsidRDefault="00EA5B92">
            <w:pPr>
              <w:adjustRightInd w:val="0"/>
              <w:snapToGrid w:val="0"/>
              <w:jc w:val="center"/>
              <w:rPr>
                <w:snapToGrid w:val="0"/>
                <w:kern w:val="0"/>
                <w:lang w:eastAsia="en-US"/>
              </w:rPr>
            </w:pPr>
            <w:r>
              <w:rPr>
                <w:snapToGrid w:val="0"/>
                <w:kern w:val="0"/>
                <w:lang w:eastAsia="en-US"/>
              </w:rPr>
              <w:t>符合</w:t>
            </w:r>
          </w:p>
        </w:tc>
      </w:tr>
      <w:tr w:rsidR="00606029" w14:paraId="1BE94847" w14:textId="77777777" w:rsidTr="001F4395">
        <w:trPr>
          <w:trHeight w:val="1596"/>
          <w:jc w:val="center"/>
        </w:trPr>
        <w:tc>
          <w:tcPr>
            <w:tcW w:w="590" w:type="dxa"/>
            <w:vMerge/>
            <w:vAlign w:val="center"/>
          </w:tcPr>
          <w:p w14:paraId="3B511B9D" w14:textId="77777777" w:rsidR="00606029" w:rsidRDefault="00606029">
            <w:pPr>
              <w:adjustRightInd w:val="0"/>
              <w:snapToGrid w:val="0"/>
              <w:jc w:val="center"/>
              <w:rPr>
                <w:snapToGrid w:val="0"/>
                <w:kern w:val="0"/>
                <w:lang w:eastAsia="en-US"/>
              </w:rPr>
            </w:pPr>
          </w:p>
        </w:tc>
        <w:tc>
          <w:tcPr>
            <w:tcW w:w="555" w:type="dxa"/>
            <w:vMerge/>
            <w:vAlign w:val="center"/>
          </w:tcPr>
          <w:p w14:paraId="319D351F" w14:textId="77777777" w:rsidR="00606029" w:rsidRDefault="00606029">
            <w:pPr>
              <w:adjustRightInd w:val="0"/>
              <w:snapToGrid w:val="0"/>
              <w:jc w:val="center"/>
              <w:rPr>
                <w:snapToGrid w:val="0"/>
                <w:kern w:val="0"/>
                <w:lang w:eastAsia="en-US"/>
              </w:rPr>
            </w:pPr>
          </w:p>
        </w:tc>
        <w:tc>
          <w:tcPr>
            <w:tcW w:w="3615" w:type="dxa"/>
            <w:vAlign w:val="center"/>
          </w:tcPr>
          <w:p w14:paraId="770BACFE" w14:textId="7A396F7F" w:rsidR="00606029" w:rsidRDefault="00EA5B92">
            <w:pPr>
              <w:adjustRightInd w:val="0"/>
              <w:snapToGrid w:val="0"/>
              <w:jc w:val="center"/>
              <w:rPr>
                <w:snapToGrid w:val="0"/>
                <w:kern w:val="0"/>
              </w:rPr>
            </w:pPr>
            <w:r>
              <w:rPr>
                <w:snapToGrid w:val="0"/>
                <w:kern w:val="0"/>
              </w:rPr>
              <w:t>生活垃圾填埋场场址的选择应避开下列区域</w:t>
            </w:r>
            <w:r w:rsidR="006A52CC">
              <w:rPr>
                <w:snapToGrid w:val="0"/>
                <w:kern w:val="0"/>
              </w:rPr>
              <w:t>：</w:t>
            </w:r>
            <w:r>
              <w:rPr>
                <w:snapToGrid w:val="0"/>
                <w:kern w:val="0"/>
              </w:rPr>
              <w:t>破坏性地震及活动构造区；活动中的坍塌、滑坡和隆起地带；活动中的断裂带；石灰岩熔洞发育带；废弃矿区的活动塌陷区；活动沙丘区；海啸及涌浪影响区；湿地；尚未稳定的冲积扇及冲沟地区；泥炭以及其他可能危及填埋场安全的区域。</w:t>
            </w:r>
          </w:p>
        </w:tc>
        <w:tc>
          <w:tcPr>
            <w:tcW w:w="4104" w:type="dxa"/>
            <w:vAlign w:val="center"/>
          </w:tcPr>
          <w:p w14:paraId="15F87819" w14:textId="77777777" w:rsidR="00606029" w:rsidRDefault="00EA5B92">
            <w:pPr>
              <w:adjustRightInd w:val="0"/>
              <w:snapToGrid w:val="0"/>
              <w:jc w:val="center"/>
              <w:rPr>
                <w:snapToGrid w:val="0"/>
                <w:kern w:val="0"/>
              </w:rPr>
            </w:pPr>
            <w:r>
              <w:rPr>
                <w:snapToGrid w:val="0"/>
                <w:kern w:val="0"/>
              </w:rPr>
              <w:t>本项目不处于破坏性地震及活动构造区；活动中的坍塌、滑坡和隆起地带；活动中的断裂带；石灰岩熔洞发育带；废弃矿区的活动塌陷区；活动沙丘区；海啸及涌浪影响区；湿地；尚未稳定的冲积扇及冲沟地区；泥炭以及其他可能危及填埋场安全的区域。</w:t>
            </w:r>
          </w:p>
        </w:tc>
        <w:tc>
          <w:tcPr>
            <w:tcW w:w="274" w:type="dxa"/>
            <w:vAlign w:val="center"/>
          </w:tcPr>
          <w:p w14:paraId="7824193E" w14:textId="77777777" w:rsidR="00606029" w:rsidRDefault="00EA5B92">
            <w:pPr>
              <w:adjustRightInd w:val="0"/>
              <w:snapToGrid w:val="0"/>
              <w:jc w:val="center"/>
              <w:rPr>
                <w:snapToGrid w:val="0"/>
                <w:kern w:val="0"/>
                <w:lang w:eastAsia="en-US"/>
              </w:rPr>
            </w:pPr>
            <w:r>
              <w:rPr>
                <w:snapToGrid w:val="0"/>
                <w:kern w:val="0"/>
                <w:lang w:eastAsia="en-US"/>
              </w:rPr>
              <w:t>符合</w:t>
            </w:r>
          </w:p>
        </w:tc>
      </w:tr>
      <w:tr w:rsidR="00606029" w14:paraId="0B7416F5" w14:textId="77777777" w:rsidTr="00EA49F1">
        <w:trPr>
          <w:trHeight w:val="1362"/>
          <w:jc w:val="center"/>
        </w:trPr>
        <w:tc>
          <w:tcPr>
            <w:tcW w:w="590" w:type="dxa"/>
            <w:vMerge/>
            <w:vAlign w:val="center"/>
          </w:tcPr>
          <w:p w14:paraId="5F867CDF" w14:textId="77777777" w:rsidR="00606029" w:rsidRDefault="00606029">
            <w:pPr>
              <w:adjustRightInd w:val="0"/>
              <w:snapToGrid w:val="0"/>
              <w:jc w:val="center"/>
              <w:rPr>
                <w:snapToGrid w:val="0"/>
                <w:kern w:val="0"/>
                <w:lang w:eastAsia="en-US"/>
              </w:rPr>
            </w:pPr>
          </w:p>
        </w:tc>
        <w:tc>
          <w:tcPr>
            <w:tcW w:w="555" w:type="dxa"/>
            <w:vMerge w:val="restart"/>
            <w:vAlign w:val="center"/>
          </w:tcPr>
          <w:p w14:paraId="45714FE0" w14:textId="77777777" w:rsidR="00606029" w:rsidRDefault="00EA5B92">
            <w:pPr>
              <w:adjustRightInd w:val="0"/>
              <w:snapToGrid w:val="0"/>
              <w:jc w:val="center"/>
              <w:rPr>
                <w:snapToGrid w:val="0"/>
                <w:kern w:val="0"/>
              </w:rPr>
            </w:pPr>
            <w:r>
              <w:rPr>
                <w:snapToGrid w:val="0"/>
                <w:kern w:val="0"/>
              </w:rPr>
              <w:t>设计、施工与验收要求</w:t>
            </w:r>
          </w:p>
        </w:tc>
        <w:tc>
          <w:tcPr>
            <w:tcW w:w="3615" w:type="dxa"/>
            <w:vAlign w:val="center"/>
          </w:tcPr>
          <w:p w14:paraId="27122E8D" w14:textId="6334CA2A" w:rsidR="00606029" w:rsidRDefault="00EA5B92">
            <w:pPr>
              <w:adjustRightInd w:val="0"/>
              <w:snapToGrid w:val="0"/>
              <w:jc w:val="center"/>
              <w:rPr>
                <w:snapToGrid w:val="0"/>
                <w:kern w:val="0"/>
              </w:rPr>
            </w:pPr>
            <w:r>
              <w:rPr>
                <w:snapToGrid w:val="0"/>
                <w:kern w:val="0"/>
              </w:rPr>
              <w:t>生活垃圾填埋场应包括下列主要设施</w:t>
            </w:r>
            <w:r w:rsidR="006A52CC">
              <w:rPr>
                <w:snapToGrid w:val="0"/>
                <w:kern w:val="0"/>
              </w:rPr>
              <w:t>：</w:t>
            </w:r>
            <w:r>
              <w:rPr>
                <w:snapToGrid w:val="0"/>
                <w:kern w:val="0"/>
              </w:rPr>
              <w:t>防渗衬层系统、渗滤液导排系统、渗滤液处理设施、雨污分流系统、地下水导排系统、地下水监测设施、填埋气体导排系统、覆盖和封场系统。</w:t>
            </w:r>
          </w:p>
        </w:tc>
        <w:tc>
          <w:tcPr>
            <w:tcW w:w="4104" w:type="dxa"/>
            <w:vAlign w:val="center"/>
          </w:tcPr>
          <w:p w14:paraId="7F909975" w14:textId="139AB51B" w:rsidR="00606029" w:rsidRDefault="00EA5B92">
            <w:pPr>
              <w:adjustRightInd w:val="0"/>
              <w:snapToGrid w:val="0"/>
              <w:jc w:val="center"/>
              <w:rPr>
                <w:snapToGrid w:val="0"/>
                <w:kern w:val="0"/>
              </w:rPr>
            </w:pPr>
            <w:r>
              <w:rPr>
                <w:snapToGrid w:val="0"/>
                <w:kern w:val="0"/>
              </w:rPr>
              <w:t>本项目飞灰填埋区淋溶水经过淋渗滤液调节池收集后依托现有渗滤液处理站处理，工程设计内容包括</w:t>
            </w:r>
            <w:r w:rsidR="006A52CC">
              <w:rPr>
                <w:snapToGrid w:val="0"/>
                <w:kern w:val="0"/>
              </w:rPr>
              <w:t>：</w:t>
            </w:r>
            <w:r w:rsidRPr="00EA49F1">
              <w:rPr>
                <w:snapToGrid w:val="0"/>
                <w:kern w:val="0"/>
              </w:rPr>
              <w:t>防渗衬层系统、渗滤液导排系统、雨污分流系统、覆盖和封场系统。</w:t>
            </w:r>
          </w:p>
        </w:tc>
        <w:tc>
          <w:tcPr>
            <w:tcW w:w="274" w:type="dxa"/>
            <w:vAlign w:val="center"/>
          </w:tcPr>
          <w:p w14:paraId="695C0D38" w14:textId="77777777" w:rsidR="00606029" w:rsidRDefault="00EA5B92">
            <w:pPr>
              <w:adjustRightInd w:val="0"/>
              <w:snapToGrid w:val="0"/>
              <w:jc w:val="center"/>
              <w:rPr>
                <w:snapToGrid w:val="0"/>
                <w:kern w:val="0"/>
                <w:lang w:eastAsia="en-US"/>
              </w:rPr>
            </w:pPr>
            <w:r>
              <w:rPr>
                <w:snapToGrid w:val="0"/>
                <w:kern w:val="0"/>
                <w:lang w:eastAsia="en-US"/>
              </w:rPr>
              <w:t>符合</w:t>
            </w:r>
          </w:p>
        </w:tc>
      </w:tr>
      <w:tr w:rsidR="00606029" w14:paraId="2E58576C" w14:textId="77777777" w:rsidTr="00EA49F1">
        <w:trPr>
          <w:trHeight w:val="819"/>
          <w:jc w:val="center"/>
        </w:trPr>
        <w:tc>
          <w:tcPr>
            <w:tcW w:w="590" w:type="dxa"/>
            <w:vMerge/>
            <w:vAlign w:val="center"/>
          </w:tcPr>
          <w:p w14:paraId="7FA160E9" w14:textId="77777777" w:rsidR="00606029" w:rsidRDefault="00606029">
            <w:pPr>
              <w:adjustRightInd w:val="0"/>
              <w:snapToGrid w:val="0"/>
              <w:jc w:val="center"/>
              <w:rPr>
                <w:snapToGrid w:val="0"/>
                <w:kern w:val="0"/>
                <w:lang w:eastAsia="en-US"/>
              </w:rPr>
            </w:pPr>
          </w:p>
        </w:tc>
        <w:tc>
          <w:tcPr>
            <w:tcW w:w="555" w:type="dxa"/>
            <w:vMerge/>
            <w:vAlign w:val="center"/>
          </w:tcPr>
          <w:p w14:paraId="6D0FB56A" w14:textId="77777777" w:rsidR="00606029" w:rsidRDefault="00606029">
            <w:pPr>
              <w:adjustRightInd w:val="0"/>
              <w:snapToGrid w:val="0"/>
              <w:jc w:val="center"/>
              <w:rPr>
                <w:snapToGrid w:val="0"/>
                <w:kern w:val="0"/>
                <w:lang w:eastAsia="en-US"/>
              </w:rPr>
            </w:pPr>
          </w:p>
        </w:tc>
        <w:tc>
          <w:tcPr>
            <w:tcW w:w="3615" w:type="dxa"/>
            <w:vAlign w:val="center"/>
          </w:tcPr>
          <w:p w14:paraId="0EAF9D92" w14:textId="77777777" w:rsidR="00606029" w:rsidRDefault="00EA5B92">
            <w:pPr>
              <w:adjustRightInd w:val="0"/>
              <w:snapToGrid w:val="0"/>
              <w:jc w:val="center"/>
              <w:rPr>
                <w:snapToGrid w:val="0"/>
                <w:kern w:val="0"/>
              </w:rPr>
            </w:pPr>
            <w:r>
              <w:rPr>
                <w:snapToGrid w:val="0"/>
                <w:kern w:val="0"/>
              </w:rPr>
              <w:t>生活垃圾填埋场应建设围墙或格栅等隔离设施，并在填埋区边界周围设置防飞扬设施、安全防护措施及防火隔离带。</w:t>
            </w:r>
          </w:p>
        </w:tc>
        <w:tc>
          <w:tcPr>
            <w:tcW w:w="4104" w:type="dxa"/>
            <w:vAlign w:val="center"/>
          </w:tcPr>
          <w:p w14:paraId="023C9979" w14:textId="392BC358" w:rsidR="00606029" w:rsidRPr="00EA49F1" w:rsidRDefault="00EA49F1">
            <w:pPr>
              <w:adjustRightInd w:val="0"/>
              <w:snapToGrid w:val="0"/>
              <w:jc w:val="center"/>
              <w:rPr>
                <w:snapToGrid w:val="0"/>
                <w:kern w:val="0"/>
              </w:rPr>
            </w:pPr>
            <w:r w:rsidRPr="00EA49F1">
              <w:rPr>
                <w:rFonts w:hint="eastAsia"/>
                <w:snapToGrid w:val="0"/>
                <w:kern w:val="0"/>
              </w:rPr>
              <w:t>本项目厂界设置了围墙</w:t>
            </w:r>
            <w:r w:rsidR="00EA5B92" w:rsidRPr="00EA49F1">
              <w:rPr>
                <w:snapToGrid w:val="0"/>
                <w:kern w:val="0"/>
              </w:rPr>
              <w:t>，并在填埋</w:t>
            </w:r>
            <w:r w:rsidRPr="00EA49F1">
              <w:rPr>
                <w:rFonts w:hint="eastAsia"/>
                <w:snapToGrid w:val="0"/>
                <w:kern w:val="0"/>
              </w:rPr>
              <w:t>区</w:t>
            </w:r>
            <w:r w:rsidR="00EA5B92" w:rsidRPr="00EA49F1">
              <w:rPr>
                <w:snapToGrid w:val="0"/>
                <w:kern w:val="0"/>
              </w:rPr>
              <w:t>边界外围设置</w:t>
            </w:r>
            <w:r w:rsidRPr="00EA49F1">
              <w:rPr>
                <w:rFonts w:hint="eastAsia"/>
                <w:snapToGrid w:val="0"/>
                <w:kern w:val="0"/>
              </w:rPr>
              <w:t>了防火</w:t>
            </w:r>
            <w:r w:rsidR="00EA5B92" w:rsidRPr="00EA49F1">
              <w:rPr>
                <w:snapToGrid w:val="0"/>
                <w:kern w:val="0"/>
              </w:rPr>
              <w:t>绿化带。</w:t>
            </w:r>
          </w:p>
        </w:tc>
        <w:tc>
          <w:tcPr>
            <w:tcW w:w="274" w:type="dxa"/>
            <w:vAlign w:val="center"/>
          </w:tcPr>
          <w:p w14:paraId="69D8699B" w14:textId="77777777" w:rsidR="00606029" w:rsidRDefault="00EA5B92">
            <w:pPr>
              <w:adjustRightInd w:val="0"/>
              <w:snapToGrid w:val="0"/>
              <w:jc w:val="center"/>
              <w:rPr>
                <w:snapToGrid w:val="0"/>
                <w:kern w:val="0"/>
                <w:lang w:eastAsia="en-US"/>
              </w:rPr>
            </w:pPr>
            <w:r>
              <w:rPr>
                <w:snapToGrid w:val="0"/>
                <w:kern w:val="0"/>
                <w:lang w:eastAsia="en-US"/>
              </w:rPr>
              <w:t>符合</w:t>
            </w:r>
          </w:p>
        </w:tc>
      </w:tr>
      <w:tr w:rsidR="00606029" w14:paraId="6904B760" w14:textId="77777777" w:rsidTr="007B7DB0">
        <w:trPr>
          <w:trHeight w:val="1016"/>
          <w:jc w:val="center"/>
        </w:trPr>
        <w:tc>
          <w:tcPr>
            <w:tcW w:w="590" w:type="dxa"/>
            <w:vMerge/>
            <w:vAlign w:val="center"/>
          </w:tcPr>
          <w:p w14:paraId="0E1E9B3C" w14:textId="77777777" w:rsidR="00606029" w:rsidRDefault="00606029">
            <w:pPr>
              <w:adjustRightInd w:val="0"/>
              <w:snapToGrid w:val="0"/>
              <w:jc w:val="center"/>
              <w:rPr>
                <w:snapToGrid w:val="0"/>
                <w:kern w:val="0"/>
                <w:lang w:eastAsia="en-US"/>
              </w:rPr>
            </w:pPr>
          </w:p>
        </w:tc>
        <w:tc>
          <w:tcPr>
            <w:tcW w:w="555" w:type="dxa"/>
            <w:vMerge/>
            <w:vAlign w:val="center"/>
          </w:tcPr>
          <w:p w14:paraId="47360DD6" w14:textId="77777777" w:rsidR="00606029" w:rsidRDefault="00606029">
            <w:pPr>
              <w:adjustRightInd w:val="0"/>
              <w:snapToGrid w:val="0"/>
              <w:jc w:val="center"/>
              <w:rPr>
                <w:snapToGrid w:val="0"/>
                <w:kern w:val="0"/>
                <w:lang w:eastAsia="en-US"/>
              </w:rPr>
            </w:pPr>
          </w:p>
        </w:tc>
        <w:tc>
          <w:tcPr>
            <w:tcW w:w="3615" w:type="dxa"/>
            <w:vAlign w:val="center"/>
          </w:tcPr>
          <w:p w14:paraId="7FBD97B1" w14:textId="77777777" w:rsidR="00606029" w:rsidRDefault="00EA5B92">
            <w:pPr>
              <w:adjustRightInd w:val="0"/>
              <w:snapToGrid w:val="0"/>
              <w:jc w:val="center"/>
              <w:rPr>
                <w:snapToGrid w:val="0"/>
                <w:kern w:val="0"/>
              </w:rPr>
            </w:pPr>
            <w:r>
              <w:rPr>
                <w:snapToGrid w:val="0"/>
                <w:kern w:val="0"/>
              </w:rPr>
              <w:t>生活垃圾填埋场应设置防渗衬层渗漏检测系统，以保证在防渗衬层发生渗滤液渗漏时能及时发现并采取必要的污染控制措施。</w:t>
            </w:r>
          </w:p>
        </w:tc>
        <w:tc>
          <w:tcPr>
            <w:tcW w:w="4104" w:type="dxa"/>
            <w:vAlign w:val="center"/>
          </w:tcPr>
          <w:p w14:paraId="2771500C" w14:textId="79401652" w:rsidR="00606029" w:rsidRPr="00EA49F1" w:rsidRDefault="00EA5B92">
            <w:pPr>
              <w:adjustRightInd w:val="0"/>
              <w:snapToGrid w:val="0"/>
              <w:jc w:val="center"/>
              <w:rPr>
                <w:snapToGrid w:val="0"/>
                <w:kern w:val="0"/>
              </w:rPr>
            </w:pPr>
            <w:r w:rsidRPr="00EA49F1">
              <w:rPr>
                <w:snapToGrid w:val="0"/>
                <w:kern w:val="0"/>
              </w:rPr>
              <w:t>本项目设置有长期在线渗漏监测系统，以保证在防渗衬层发生渗滤液渗漏时及时发现并采取必要的污染控制措施</w:t>
            </w:r>
            <w:r w:rsidR="007B7DB0">
              <w:rPr>
                <w:rFonts w:hint="eastAsia"/>
                <w:snapToGrid w:val="0"/>
                <w:kern w:val="0"/>
              </w:rPr>
              <w:t>。</w:t>
            </w:r>
          </w:p>
        </w:tc>
        <w:tc>
          <w:tcPr>
            <w:tcW w:w="274" w:type="dxa"/>
            <w:vAlign w:val="center"/>
          </w:tcPr>
          <w:p w14:paraId="4118A1D1" w14:textId="77777777" w:rsidR="00606029" w:rsidRDefault="00EA5B92">
            <w:pPr>
              <w:adjustRightInd w:val="0"/>
              <w:snapToGrid w:val="0"/>
              <w:jc w:val="center"/>
              <w:rPr>
                <w:snapToGrid w:val="0"/>
                <w:kern w:val="0"/>
                <w:lang w:eastAsia="en-US"/>
              </w:rPr>
            </w:pPr>
            <w:r>
              <w:rPr>
                <w:snapToGrid w:val="0"/>
                <w:kern w:val="0"/>
                <w:lang w:eastAsia="en-US"/>
              </w:rPr>
              <w:t>符合</w:t>
            </w:r>
          </w:p>
        </w:tc>
      </w:tr>
      <w:tr w:rsidR="00606029" w14:paraId="434F8B65" w14:textId="77777777" w:rsidTr="00EA49F1">
        <w:trPr>
          <w:trHeight w:val="1363"/>
          <w:jc w:val="center"/>
        </w:trPr>
        <w:tc>
          <w:tcPr>
            <w:tcW w:w="590" w:type="dxa"/>
            <w:vMerge/>
            <w:vAlign w:val="center"/>
          </w:tcPr>
          <w:p w14:paraId="74FBBFA7" w14:textId="77777777" w:rsidR="00606029" w:rsidRDefault="00606029">
            <w:pPr>
              <w:adjustRightInd w:val="0"/>
              <w:snapToGrid w:val="0"/>
              <w:jc w:val="center"/>
              <w:rPr>
                <w:snapToGrid w:val="0"/>
                <w:kern w:val="0"/>
                <w:lang w:eastAsia="en-US"/>
              </w:rPr>
            </w:pPr>
          </w:p>
        </w:tc>
        <w:tc>
          <w:tcPr>
            <w:tcW w:w="555" w:type="dxa"/>
            <w:vMerge/>
            <w:vAlign w:val="center"/>
          </w:tcPr>
          <w:p w14:paraId="78F46B71" w14:textId="77777777" w:rsidR="00606029" w:rsidRDefault="00606029">
            <w:pPr>
              <w:adjustRightInd w:val="0"/>
              <w:snapToGrid w:val="0"/>
              <w:jc w:val="center"/>
              <w:rPr>
                <w:snapToGrid w:val="0"/>
                <w:kern w:val="0"/>
                <w:lang w:eastAsia="en-US"/>
              </w:rPr>
            </w:pPr>
          </w:p>
        </w:tc>
        <w:tc>
          <w:tcPr>
            <w:tcW w:w="3615" w:type="dxa"/>
            <w:vAlign w:val="center"/>
          </w:tcPr>
          <w:p w14:paraId="53CABEF8" w14:textId="77777777" w:rsidR="00606029" w:rsidRDefault="00EA5B92">
            <w:pPr>
              <w:adjustRightInd w:val="0"/>
              <w:snapToGrid w:val="0"/>
              <w:jc w:val="center"/>
              <w:rPr>
                <w:snapToGrid w:val="0"/>
                <w:kern w:val="0"/>
              </w:rPr>
            </w:pPr>
            <w:r>
              <w:rPr>
                <w:snapToGrid w:val="0"/>
                <w:kern w:val="0"/>
              </w:rPr>
              <w:t>生活垃圾填埋场应建设渗滤液导排系统，该导排系统应确保在填埋场的运行期内防渗衬层上的渗滤液深度不大于</w:t>
            </w:r>
            <w:r>
              <w:rPr>
                <w:snapToGrid w:val="0"/>
                <w:kern w:val="0"/>
              </w:rPr>
              <w:t>30cm</w:t>
            </w:r>
            <w:r>
              <w:rPr>
                <w:snapToGrid w:val="0"/>
                <w:kern w:val="0"/>
              </w:rPr>
              <w:t>。为检测渗滤液深度，生活垃圾填埋场内应设置渗滤液监测井。</w:t>
            </w:r>
          </w:p>
        </w:tc>
        <w:tc>
          <w:tcPr>
            <w:tcW w:w="4104" w:type="dxa"/>
            <w:vAlign w:val="center"/>
          </w:tcPr>
          <w:p w14:paraId="240CFFBF" w14:textId="04BE8D24" w:rsidR="00606029" w:rsidRDefault="00EA5B92">
            <w:pPr>
              <w:adjustRightInd w:val="0"/>
              <w:snapToGrid w:val="0"/>
              <w:jc w:val="center"/>
              <w:rPr>
                <w:snapToGrid w:val="0"/>
                <w:kern w:val="0"/>
              </w:rPr>
            </w:pPr>
            <w:r>
              <w:rPr>
                <w:snapToGrid w:val="0"/>
                <w:kern w:val="0"/>
              </w:rPr>
              <w:t>本项目填埋库区建设有渗滤液导排系统，同时，设置了渗滤液</w:t>
            </w:r>
            <w:r w:rsidR="00EA49F1">
              <w:rPr>
                <w:rFonts w:hint="eastAsia"/>
                <w:snapToGrid w:val="0"/>
                <w:kern w:val="0"/>
              </w:rPr>
              <w:t>液位计</w:t>
            </w:r>
            <w:r>
              <w:rPr>
                <w:snapToGrid w:val="0"/>
                <w:kern w:val="0"/>
              </w:rPr>
              <w:t>，方便检测渗滤液深度，确保在填埋场的运行期内防渗衬层上的渗滤液深度不大于</w:t>
            </w:r>
            <w:r>
              <w:rPr>
                <w:snapToGrid w:val="0"/>
                <w:kern w:val="0"/>
              </w:rPr>
              <w:t>30cm</w:t>
            </w:r>
            <w:r>
              <w:rPr>
                <w:snapToGrid w:val="0"/>
                <w:kern w:val="0"/>
              </w:rPr>
              <w:t>。</w:t>
            </w:r>
          </w:p>
        </w:tc>
        <w:tc>
          <w:tcPr>
            <w:tcW w:w="274" w:type="dxa"/>
            <w:vAlign w:val="center"/>
          </w:tcPr>
          <w:p w14:paraId="21BBF916" w14:textId="77777777" w:rsidR="00606029" w:rsidRDefault="00EA5B92">
            <w:pPr>
              <w:adjustRightInd w:val="0"/>
              <w:snapToGrid w:val="0"/>
              <w:jc w:val="center"/>
              <w:rPr>
                <w:snapToGrid w:val="0"/>
                <w:kern w:val="0"/>
                <w:lang w:eastAsia="en-US"/>
              </w:rPr>
            </w:pPr>
            <w:r>
              <w:rPr>
                <w:snapToGrid w:val="0"/>
                <w:kern w:val="0"/>
                <w:lang w:eastAsia="en-US"/>
              </w:rPr>
              <w:t>符合</w:t>
            </w:r>
          </w:p>
        </w:tc>
      </w:tr>
      <w:tr w:rsidR="00606029" w14:paraId="0E5C973C" w14:textId="77777777" w:rsidTr="007B7DB0">
        <w:trPr>
          <w:trHeight w:val="825"/>
          <w:jc w:val="center"/>
        </w:trPr>
        <w:tc>
          <w:tcPr>
            <w:tcW w:w="590" w:type="dxa"/>
            <w:vMerge/>
            <w:vAlign w:val="center"/>
          </w:tcPr>
          <w:p w14:paraId="5DA389B1" w14:textId="77777777" w:rsidR="00606029" w:rsidRDefault="00606029">
            <w:pPr>
              <w:adjustRightInd w:val="0"/>
              <w:snapToGrid w:val="0"/>
              <w:jc w:val="center"/>
              <w:rPr>
                <w:snapToGrid w:val="0"/>
                <w:kern w:val="0"/>
                <w:lang w:eastAsia="en-US"/>
              </w:rPr>
            </w:pPr>
          </w:p>
        </w:tc>
        <w:tc>
          <w:tcPr>
            <w:tcW w:w="555" w:type="dxa"/>
            <w:vMerge/>
            <w:vAlign w:val="center"/>
          </w:tcPr>
          <w:p w14:paraId="65E629A2" w14:textId="77777777" w:rsidR="00606029" w:rsidRDefault="00606029">
            <w:pPr>
              <w:adjustRightInd w:val="0"/>
              <w:snapToGrid w:val="0"/>
              <w:jc w:val="center"/>
              <w:rPr>
                <w:snapToGrid w:val="0"/>
                <w:kern w:val="0"/>
                <w:lang w:eastAsia="en-US"/>
              </w:rPr>
            </w:pPr>
          </w:p>
        </w:tc>
        <w:tc>
          <w:tcPr>
            <w:tcW w:w="3615" w:type="dxa"/>
            <w:vAlign w:val="center"/>
          </w:tcPr>
          <w:p w14:paraId="49D81FFD" w14:textId="77777777" w:rsidR="00606029" w:rsidRDefault="00EA5B92">
            <w:pPr>
              <w:adjustRightInd w:val="0"/>
              <w:snapToGrid w:val="0"/>
              <w:jc w:val="center"/>
              <w:rPr>
                <w:snapToGrid w:val="0"/>
                <w:kern w:val="0"/>
              </w:rPr>
            </w:pPr>
            <w:r>
              <w:rPr>
                <w:snapToGrid w:val="0"/>
                <w:kern w:val="0"/>
              </w:rPr>
              <w:t>生活垃圾填埋场渗滤液处理设施应设渗滤液调节池，并采取封闭等措施防止恶臭物质的排放。</w:t>
            </w:r>
          </w:p>
        </w:tc>
        <w:tc>
          <w:tcPr>
            <w:tcW w:w="4104" w:type="dxa"/>
            <w:vAlign w:val="center"/>
          </w:tcPr>
          <w:p w14:paraId="03501B95" w14:textId="34DC062F" w:rsidR="00606029" w:rsidRDefault="00EA5B92">
            <w:pPr>
              <w:adjustRightInd w:val="0"/>
              <w:snapToGrid w:val="0"/>
              <w:jc w:val="center"/>
              <w:rPr>
                <w:snapToGrid w:val="0"/>
                <w:kern w:val="0"/>
              </w:rPr>
            </w:pPr>
            <w:r>
              <w:rPr>
                <w:snapToGrid w:val="0"/>
                <w:kern w:val="0"/>
              </w:rPr>
              <w:t>本项目淋溶水</w:t>
            </w:r>
            <w:r w:rsidR="006B1C91">
              <w:rPr>
                <w:rFonts w:hint="eastAsia"/>
                <w:snapToGrid w:val="0"/>
                <w:kern w:val="0"/>
              </w:rPr>
              <w:t>进入厂区现有</w:t>
            </w:r>
            <w:r>
              <w:rPr>
                <w:snapToGrid w:val="0"/>
                <w:kern w:val="0"/>
              </w:rPr>
              <w:t>渗滤液处理站处理，渗滤液处理站已建有调节池，并在池上方加设</w:t>
            </w:r>
            <w:r>
              <w:rPr>
                <w:snapToGrid w:val="0"/>
                <w:kern w:val="0"/>
              </w:rPr>
              <w:t>PE</w:t>
            </w:r>
            <w:r>
              <w:rPr>
                <w:snapToGrid w:val="0"/>
                <w:kern w:val="0"/>
              </w:rPr>
              <w:t>浮盖，防止恶臭物质的排放。</w:t>
            </w:r>
          </w:p>
        </w:tc>
        <w:tc>
          <w:tcPr>
            <w:tcW w:w="274" w:type="dxa"/>
            <w:vAlign w:val="center"/>
          </w:tcPr>
          <w:p w14:paraId="333EE178" w14:textId="77777777" w:rsidR="00606029" w:rsidRDefault="00EA5B92">
            <w:pPr>
              <w:adjustRightInd w:val="0"/>
              <w:snapToGrid w:val="0"/>
              <w:jc w:val="center"/>
              <w:rPr>
                <w:snapToGrid w:val="0"/>
                <w:kern w:val="0"/>
                <w:lang w:eastAsia="en-US"/>
              </w:rPr>
            </w:pPr>
            <w:r>
              <w:rPr>
                <w:snapToGrid w:val="0"/>
                <w:kern w:val="0"/>
                <w:lang w:eastAsia="en-US"/>
              </w:rPr>
              <w:t>符合</w:t>
            </w:r>
          </w:p>
        </w:tc>
      </w:tr>
      <w:tr w:rsidR="00606029" w14:paraId="579B3523" w14:textId="77777777" w:rsidTr="00EA49F1">
        <w:trPr>
          <w:trHeight w:val="820"/>
          <w:jc w:val="center"/>
        </w:trPr>
        <w:tc>
          <w:tcPr>
            <w:tcW w:w="590" w:type="dxa"/>
            <w:vMerge/>
            <w:vAlign w:val="center"/>
          </w:tcPr>
          <w:p w14:paraId="11228CBA" w14:textId="77777777" w:rsidR="00606029" w:rsidRDefault="00606029">
            <w:pPr>
              <w:adjustRightInd w:val="0"/>
              <w:snapToGrid w:val="0"/>
              <w:jc w:val="center"/>
              <w:rPr>
                <w:snapToGrid w:val="0"/>
                <w:kern w:val="0"/>
                <w:lang w:eastAsia="en-US"/>
              </w:rPr>
            </w:pPr>
          </w:p>
        </w:tc>
        <w:tc>
          <w:tcPr>
            <w:tcW w:w="555" w:type="dxa"/>
            <w:vMerge/>
            <w:vAlign w:val="center"/>
          </w:tcPr>
          <w:p w14:paraId="757D6A53" w14:textId="77777777" w:rsidR="00606029" w:rsidRDefault="00606029">
            <w:pPr>
              <w:adjustRightInd w:val="0"/>
              <w:snapToGrid w:val="0"/>
              <w:jc w:val="center"/>
              <w:rPr>
                <w:snapToGrid w:val="0"/>
                <w:kern w:val="0"/>
                <w:lang w:eastAsia="en-US"/>
              </w:rPr>
            </w:pPr>
          </w:p>
        </w:tc>
        <w:tc>
          <w:tcPr>
            <w:tcW w:w="3615" w:type="dxa"/>
            <w:vAlign w:val="center"/>
          </w:tcPr>
          <w:p w14:paraId="6764D92D" w14:textId="77777777" w:rsidR="00606029" w:rsidRDefault="00EA5B92">
            <w:pPr>
              <w:adjustRightInd w:val="0"/>
              <w:snapToGrid w:val="0"/>
              <w:jc w:val="center"/>
              <w:rPr>
                <w:snapToGrid w:val="0"/>
                <w:kern w:val="0"/>
              </w:rPr>
            </w:pPr>
            <w:r>
              <w:rPr>
                <w:snapToGrid w:val="0"/>
                <w:kern w:val="0"/>
              </w:rPr>
              <w:t>生活垃圾填埋场应实行雨污分流并设置雨水集水排水系统；雨水给排水系统收集的雨水不得与渗滤液混排。</w:t>
            </w:r>
          </w:p>
        </w:tc>
        <w:tc>
          <w:tcPr>
            <w:tcW w:w="4104" w:type="dxa"/>
            <w:vAlign w:val="center"/>
          </w:tcPr>
          <w:p w14:paraId="22EC8A43" w14:textId="3C2298F0" w:rsidR="00606029" w:rsidRDefault="00EA5B92">
            <w:pPr>
              <w:adjustRightInd w:val="0"/>
              <w:snapToGrid w:val="0"/>
              <w:jc w:val="center"/>
              <w:rPr>
                <w:snapToGrid w:val="0"/>
                <w:kern w:val="0"/>
              </w:rPr>
            </w:pPr>
            <w:r>
              <w:rPr>
                <w:snapToGrid w:val="0"/>
                <w:kern w:val="0"/>
              </w:rPr>
              <w:t>本项目实行雨污分流并设置有雨水集水排水系统。</w:t>
            </w:r>
          </w:p>
        </w:tc>
        <w:tc>
          <w:tcPr>
            <w:tcW w:w="274" w:type="dxa"/>
            <w:vAlign w:val="center"/>
          </w:tcPr>
          <w:p w14:paraId="6780E9EE" w14:textId="77777777" w:rsidR="00606029" w:rsidRDefault="00EA5B92">
            <w:pPr>
              <w:adjustRightInd w:val="0"/>
              <w:snapToGrid w:val="0"/>
              <w:jc w:val="center"/>
              <w:rPr>
                <w:snapToGrid w:val="0"/>
                <w:kern w:val="0"/>
                <w:lang w:eastAsia="en-US"/>
              </w:rPr>
            </w:pPr>
            <w:r>
              <w:rPr>
                <w:snapToGrid w:val="0"/>
                <w:kern w:val="0"/>
                <w:lang w:eastAsia="en-US"/>
              </w:rPr>
              <w:t>符合</w:t>
            </w:r>
          </w:p>
        </w:tc>
      </w:tr>
      <w:tr w:rsidR="00606029" w14:paraId="16AA491E" w14:textId="77777777" w:rsidTr="00EA49F1">
        <w:trPr>
          <w:trHeight w:val="547"/>
          <w:jc w:val="center"/>
        </w:trPr>
        <w:tc>
          <w:tcPr>
            <w:tcW w:w="590" w:type="dxa"/>
            <w:vMerge/>
            <w:vAlign w:val="center"/>
          </w:tcPr>
          <w:p w14:paraId="78526C35" w14:textId="77777777" w:rsidR="00606029" w:rsidRDefault="00606029">
            <w:pPr>
              <w:adjustRightInd w:val="0"/>
              <w:snapToGrid w:val="0"/>
              <w:jc w:val="center"/>
              <w:rPr>
                <w:snapToGrid w:val="0"/>
                <w:kern w:val="0"/>
                <w:lang w:eastAsia="en-US"/>
              </w:rPr>
            </w:pPr>
          </w:p>
        </w:tc>
        <w:tc>
          <w:tcPr>
            <w:tcW w:w="555" w:type="dxa"/>
            <w:vMerge/>
            <w:vAlign w:val="center"/>
          </w:tcPr>
          <w:p w14:paraId="0D0E2E0F" w14:textId="77777777" w:rsidR="00606029" w:rsidRDefault="00606029">
            <w:pPr>
              <w:adjustRightInd w:val="0"/>
              <w:snapToGrid w:val="0"/>
              <w:jc w:val="center"/>
              <w:rPr>
                <w:snapToGrid w:val="0"/>
                <w:kern w:val="0"/>
                <w:lang w:eastAsia="en-US"/>
              </w:rPr>
            </w:pPr>
          </w:p>
        </w:tc>
        <w:tc>
          <w:tcPr>
            <w:tcW w:w="3615" w:type="dxa"/>
            <w:vAlign w:val="center"/>
          </w:tcPr>
          <w:p w14:paraId="7409B237" w14:textId="77777777" w:rsidR="00606029" w:rsidRDefault="00EA5B92">
            <w:pPr>
              <w:adjustRightInd w:val="0"/>
              <w:snapToGrid w:val="0"/>
              <w:jc w:val="center"/>
              <w:rPr>
                <w:snapToGrid w:val="0"/>
                <w:kern w:val="0"/>
              </w:rPr>
            </w:pPr>
            <w:r>
              <w:rPr>
                <w:snapToGrid w:val="0"/>
                <w:kern w:val="0"/>
              </w:rPr>
              <w:t>生活垃圾填埋场周围应设置绿化隔离带，其宽度不小于</w:t>
            </w:r>
            <w:r>
              <w:rPr>
                <w:snapToGrid w:val="0"/>
                <w:kern w:val="0"/>
              </w:rPr>
              <w:t>10m</w:t>
            </w:r>
            <w:r>
              <w:rPr>
                <w:snapToGrid w:val="0"/>
                <w:kern w:val="0"/>
              </w:rPr>
              <w:t>。</w:t>
            </w:r>
          </w:p>
        </w:tc>
        <w:tc>
          <w:tcPr>
            <w:tcW w:w="4104" w:type="dxa"/>
            <w:vAlign w:val="center"/>
          </w:tcPr>
          <w:p w14:paraId="3306CDBC" w14:textId="1D395946" w:rsidR="00606029" w:rsidRDefault="00EA5B92">
            <w:pPr>
              <w:adjustRightInd w:val="0"/>
              <w:snapToGrid w:val="0"/>
              <w:jc w:val="center"/>
              <w:rPr>
                <w:snapToGrid w:val="0"/>
                <w:kern w:val="0"/>
              </w:rPr>
            </w:pPr>
            <w:r w:rsidRPr="00EA49F1">
              <w:rPr>
                <w:snapToGrid w:val="0"/>
                <w:kern w:val="0"/>
              </w:rPr>
              <w:t>本项目边界外围设置</w:t>
            </w:r>
            <w:r w:rsidRPr="00EA49F1">
              <w:rPr>
                <w:snapToGrid w:val="0"/>
                <w:kern w:val="0"/>
              </w:rPr>
              <w:t>10m</w:t>
            </w:r>
            <w:r w:rsidRPr="00EA49F1">
              <w:rPr>
                <w:snapToGrid w:val="0"/>
                <w:kern w:val="0"/>
              </w:rPr>
              <w:t>的绿化带</w:t>
            </w:r>
            <w:r>
              <w:rPr>
                <w:snapToGrid w:val="0"/>
                <w:kern w:val="0"/>
              </w:rPr>
              <w:t>。</w:t>
            </w:r>
          </w:p>
        </w:tc>
        <w:tc>
          <w:tcPr>
            <w:tcW w:w="274" w:type="dxa"/>
            <w:vAlign w:val="center"/>
          </w:tcPr>
          <w:p w14:paraId="270F728D" w14:textId="77777777" w:rsidR="00606029" w:rsidRDefault="00EA5B92">
            <w:pPr>
              <w:adjustRightInd w:val="0"/>
              <w:snapToGrid w:val="0"/>
              <w:jc w:val="center"/>
              <w:rPr>
                <w:snapToGrid w:val="0"/>
                <w:kern w:val="0"/>
                <w:lang w:eastAsia="en-US"/>
              </w:rPr>
            </w:pPr>
            <w:r>
              <w:rPr>
                <w:snapToGrid w:val="0"/>
                <w:kern w:val="0"/>
                <w:lang w:eastAsia="en-US"/>
              </w:rPr>
              <w:t>符合</w:t>
            </w:r>
          </w:p>
        </w:tc>
      </w:tr>
      <w:tr w:rsidR="00606029" w14:paraId="2EEE5716" w14:textId="77777777" w:rsidTr="00EA49F1">
        <w:trPr>
          <w:trHeight w:val="1634"/>
          <w:jc w:val="center"/>
        </w:trPr>
        <w:tc>
          <w:tcPr>
            <w:tcW w:w="590" w:type="dxa"/>
            <w:vMerge/>
            <w:vAlign w:val="center"/>
          </w:tcPr>
          <w:p w14:paraId="1DC3B8BA" w14:textId="77777777" w:rsidR="00606029" w:rsidRDefault="00606029">
            <w:pPr>
              <w:adjustRightInd w:val="0"/>
              <w:snapToGrid w:val="0"/>
              <w:jc w:val="center"/>
              <w:rPr>
                <w:snapToGrid w:val="0"/>
                <w:kern w:val="0"/>
                <w:lang w:eastAsia="en-US"/>
              </w:rPr>
            </w:pPr>
          </w:p>
        </w:tc>
        <w:tc>
          <w:tcPr>
            <w:tcW w:w="555" w:type="dxa"/>
            <w:vMerge w:val="restart"/>
            <w:vAlign w:val="center"/>
          </w:tcPr>
          <w:p w14:paraId="78926D37" w14:textId="77777777" w:rsidR="00606029" w:rsidRDefault="00EA5B92">
            <w:pPr>
              <w:adjustRightInd w:val="0"/>
              <w:snapToGrid w:val="0"/>
              <w:jc w:val="center"/>
              <w:rPr>
                <w:snapToGrid w:val="0"/>
                <w:kern w:val="0"/>
                <w:lang w:eastAsia="en-US"/>
              </w:rPr>
            </w:pPr>
            <w:r>
              <w:rPr>
                <w:snapToGrid w:val="0"/>
                <w:kern w:val="0"/>
                <w:lang w:eastAsia="en-US"/>
              </w:rPr>
              <w:t>运行要求</w:t>
            </w:r>
          </w:p>
        </w:tc>
        <w:tc>
          <w:tcPr>
            <w:tcW w:w="3615" w:type="dxa"/>
            <w:vAlign w:val="center"/>
          </w:tcPr>
          <w:p w14:paraId="2474D948" w14:textId="77777777" w:rsidR="00606029" w:rsidRDefault="00EA5B92">
            <w:pPr>
              <w:adjustRightInd w:val="0"/>
              <w:snapToGrid w:val="0"/>
              <w:jc w:val="center"/>
              <w:rPr>
                <w:snapToGrid w:val="0"/>
                <w:kern w:val="0"/>
              </w:rPr>
            </w:pPr>
            <w:r>
              <w:rPr>
                <w:snapToGrid w:val="0"/>
                <w:kern w:val="0"/>
              </w:rPr>
              <w:t>填埋作业应分区、分单元进行，不运行作业面应及时覆盖。不得同时进行多作业面填埋作业或者不分区全场敞开式作业。中间覆盖应形成一定的坡度。每天填埋作业结束后，应对作业面进行覆盖；特殊气象条件下应加强对作业面的覆盖。</w:t>
            </w:r>
          </w:p>
        </w:tc>
        <w:tc>
          <w:tcPr>
            <w:tcW w:w="4104" w:type="dxa"/>
            <w:vAlign w:val="center"/>
          </w:tcPr>
          <w:p w14:paraId="31C07433" w14:textId="31227FFC" w:rsidR="00606029" w:rsidRDefault="00EA5B92">
            <w:pPr>
              <w:adjustRightInd w:val="0"/>
              <w:snapToGrid w:val="0"/>
              <w:jc w:val="center"/>
              <w:rPr>
                <w:snapToGrid w:val="0"/>
                <w:kern w:val="0"/>
              </w:rPr>
            </w:pPr>
            <w:r>
              <w:rPr>
                <w:snapToGrid w:val="0"/>
                <w:kern w:val="0"/>
              </w:rPr>
              <w:t>本项目飞灰填埋库区分单元的填埋作业方式，同时不运行作业面进行及时覆盖，中间覆盖形成一定的坡度。下雨</w:t>
            </w:r>
            <w:r w:rsidR="004509F6">
              <w:rPr>
                <w:rFonts w:hint="eastAsia"/>
                <w:snapToGrid w:val="0"/>
                <w:kern w:val="0"/>
              </w:rPr>
              <w:t>时</w:t>
            </w:r>
            <w:r>
              <w:rPr>
                <w:snapToGrid w:val="0"/>
                <w:kern w:val="0"/>
              </w:rPr>
              <w:t>不进行填埋</w:t>
            </w:r>
            <w:r w:rsidR="004509F6">
              <w:rPr>
                <w:rFonts w:hint="eastAsia"/>
                <w:snapToGrid w:val="0"/>
                <w:kern w:val="0"/>
              </w:rPr>
              <w:t>作业</w:t>
            </w:r>
            <w:r>
              <w:rPr>
                <w:snapToGrid w:val="0"/>
                <w:kern w:val="0"/>
              </w:rPr>
              <w:t>。</w:t>
            </w:r>
          </w:p>
        </w:tc>
        <w:tc>
          <w:tcPr>
            <w:tcW w:w="274" w:type="dxa"/>
            <w:vAlign w:val="center"/>
          </w:tcPr>
          <w:p w14:paraId="3F36A896" w14:textId="77777777" w:rsidR="00606029" w:rsidRDefault="00EA5B92">
            <w:pPr>
              <w:adjustRightInd w:val="0"/>
              <w:snapToGrid w:val="0"/>
              <w:jc w:val="center"/>
              <w:rPr>
                <w:snapToGrid w:val="0"/>
                <w:kern w:val="0"/>
                <w:lang w:eastAsia="en-US"/>
              </w:rPr>
            </w:pPr>
            <w:r>
              <w:rPr>
                <w:snapToGrid w:val="0"/>
                <w:kern w:val="0"/>
                <w:lang w:eastAsia="en-US"/>
              </w:rPr>
              <w:t>符合</w:t>
            </w:r>
          </w:p>
        </w:tc>
      </w:tr>
      <w:tr w:rsidR="00606029" w14:paraId="789B91BB" w14:textId="77777777" w:rsidTr="007B7DB0">
        <w:trPr>
          <w:trHeight w:val="274"/>
          <w:jc w:val="center"/>
        </w:trPr>
        <w:tc>
          <w:tcPr>
            <w:tcW w:w="590" w:type="dxa"/>
            <w:vMerge/>
            <w:vAlign w:val="center"/>
          </w:tcPr>
          <w:p w14:paraId="088FC39B" w14:textId="77777777" w:rsidR="00606029" w:rsidRDefault="00606029">
            <w:pPr>
              <w:adjustRightInd w:val="0"/>
              <w:snapToGrid w:val="0"/>
              <w:jc w:val="center"/>
              <w:rPr>
                <w:snapToGrid w:val="0"/>
                <w:kern w:val="0"/>
                <w:lang w:eastAsia="en-US"/>
              </w:rPr>
            </w:pPr>
          </w:p>
        </w:tc>
        <w:tc>
          <w:tcPr>
            <w:tcW w:w="555" w:type="dxa"/>
            <w:vMerge/>
            <w:vAlign w:val="center"/>
          </w:tcPr>
          <w:p w14:paraId="0E4FD845" w14:textId="77777777" w:rsidR="00606029" w:rsidRDefault="00606029">
            <w:pPr>
              <w:adjustRightInd w:val="0"/>
              <w:snapToGrid w:val="0"/>
              <w:jc w:val="center"/>
              <w:rPr>
                <w:snapToGrid w:val="0"/>
                <w:kern w:val="0"/>
                <w:lang w:eastAsia="en-US"/>
              </w:rPr>
            </w:pPr>
          </w:p>
        </w:tc>
        <w:tc>
          <w:tcPr>
            <w:tcW w:w="3615" w:type="dxa"/>
            <w:vAlign w:val="center"/>
          </w:tcPr>
          <w:p w14:paraId="28288312" w14:textId="77777777" w:rsidR="00606029" w:rsidRDefault="00EA5B92">
            <w:pPr>
              <w:adjustRightInd w:val="0"/>
              <w:snapToGrid w:val="0"/>
              <w:jc w:val="center"/>
              <w:rPr>
                <w:snapToGrid w:val="0"/>
                <w:kern w:val="0"/>
              </w:rPr>
            </w:pPr>
            <w:r>
              <w:rPr>
                <w:snapToGrid w:val="0"/>
                <w:kern w:val="0"/>
              </w:rPr>
              <w:t>填埋作业应采取雨污分流措施，减少渗滤液的产生量。</w:t>
            </w:r>
          </w:p>
        </w:tc>
        <w:tc>
          <w:tcPr>
            <w:tcW w:w="4104" w:type="dxa"/>
            <w:vAlign w:val="center"/>
          </w:tcPr>
          <w:p w14:paraId="3538FF43" w14:textId="63C10842" w:rsidR="00606029" w:rsidRDefault="00EA5B92">
            <w:pPr>
              <w:adjustRightInd w:val="0"/>
              <w:snapToGrid w:val="0"/>
              <w:jc w:val="center"/>
              <w:rPr>
                <w:snapToGrid w:val="0"/>
                <w:kern w:val="0"/>
              </w:rPr>
            </w:pPr>
            <w:r>
              <w:rPr>
                <w:snapToGrid w:val="0"/>
                <w:kern w:val="0"/>
              </w:rPr>
              <w:t>本项目</w:t>
            </w:r>
            <w:r w:rsidR="004509F6">
              <w:rPr>
                <w:rFonts w:hint="eastAsia"/>
                <w:snapToGrid w:val="0"/>
                <w:kern w:val="0"/>
              </w:rPr>
              <w:t>设置有</w:t>
            </w:r>
            <w:r>
              <w:rPr>
                <w:snapToGrid w:val="0"/>
                <w:kern w:val="0"/>
              </w:rPr>
              <w:t>雨水和地下水导排系统，可实现雨污分流，减少填埋淋溶水的产生。</w:t>
            </w:r>
            <w:r w:rsidRPr="00EA49F1">
              <w:rPr>
                <w:snapToGrid w:val="0"/>
                <w:kern w:val="0"/>
              </w:rPr>
              <w:t>填埋</w:t>
            </w:r>
            <w:r w:rsidR="00EA49F1" w:rsidRPr="00EA49F1">
              <w:rPr>
                <w:rFonts w:hint="eastAsia"/>
                <w:snapToGrid w:val="0"/>
                <w:kern w:val="0"/>
              </w:rPr>
              <w:t>区</w:t>
            </w:r>
            <w:r w:rsidRPr="00EA49F1">
              <w:rPr>
                <w:snapToGrid w:val="0"/>
                <w:kern w:val="0"/>
              </w:rPr>
              <w:t>四周设有排水边沟，用于截除场区上游汇水以及导排场区周围汇水；并设管道导</w:t>
            </w:r>
            <w:r>
              <w:rPr>
                <w:snapToGrid w:val="0"/>
                <w:kern w:val="0"/>
              </w:rPr>
              <w:t>出地下水，以免地下水侵入填埋层。</w:t>
            </w:r>
          </w:p>
        </w:tc>
        <w:tc>
          <w:tcPr>
            <w:tcW w:w="274" w:type="dxa"/>
            <w:vAlign w:val="center"/>
          </w:tcPr>
          <w:p w14:paraId="66A5903E" w14:textId="77777777" w:rsidR="00606029" w:rsidRDefault="00EA5B92">
            <w:pPr>
              <w:adjustRightInd w:val="0"/>
              <w:snapToGrid w:val="0"/>
              <w:jc w:val="center"/>
              <w:rPr>
                <w:snapToGrid w:val="0"/>
                <w:kern w:val="0"/>
                <w:lang w:eastAsia="en-US"/>
              </w:rPr>
            </w:pPr>
            <w:r>
              <w:rPr>
                <w:snapToGrid w:val="0"/>
                <w:kern w:val="0"/>
                <w:lang w:eastAsia="en-US"/>
              </w:rPr>
              <w:t>符合</w:t>
            </w:r>
          </w:p>
        </w:tc>
      </w:tr>
      <w:tr w:rsidR="00606029" w14:paraId="1556DD0D" w14:textId="77777777" w:rsidTr="00EA49F1">
        <w:trPr>
          <w:trHeight w:val="1629"/>
          <w:jc w:val="center"/>
        </w:trPr>
        <w:tc>
          <w:tcPr>
            <w:tcW w:w="590" w:type="dxa"/>
            <w:vMerge/>
            <w:vAlign w:val="center"/>
          </w:tcPr>
          <w:p w14:paraId="0332B2C4" w14:textId="77777777" w:rsidR="00606029" w:rsidRDefault="00606029">
            <w:pPr>
              <w:adjustRightInd w:val="0"/>
              <w:snapToGrid w:val="0"/>
              <w:jc w:val="center"/>
              <w:rPr>
                <w:snapToGrid w:val="0"/>
                <w:kern w:val="0"/>
                <w:lang w:eastAsia="en-US"/>
              </w:rPr>
            </w:pPr>
          </w:p>
        </w:tc>
        <w:tc>
          <w:tcPr>
            <w:tcW w:w="555" w:type="dxa"/>
            <w:vMerge/>
            <w:vAlign w:val="center"/>
          </w:tcPr>
          <w:p w14:paraId="4B00B82F" w14:textId="77777777" w:rsidR="00606029" w:rsidRDefault="00606029">
            <w:pPr>
              <w:adjustRightInd w:val="0"/>
              <w:snapToGrid w:val="0"/>
              <w:jc w:val="center"/>
              <w:rPr>
                <w:snapToGrid w:val="0"/>
                <w:kern w:val="0"/>
                <w:lang w:eastAsia="en-US"/>
              </w:rPr>
            </w:pPr>
          </w:p>
        </w:tc>
        <w:tc>
          <w:tcPr>
            <w:tcW w:w="3615" w:type="dxa"/>
            <w:vAlign w:val="center"/>
          </w:tcPr>
          <w:p w14:paraId="75A6B8A4" w14:textId="77777777" w:rsidR="00606029" w:rsidRDefault="00EA5B92">
            <w:pPr>
              <w:adjustRightInd w:val="0"/>
              <w:snapToGrid w:val="0"/>
              <w:jc w:val="center"/>
              <w:rPr>
                <w:snapToGrid w:val="0"/>
                <w:kern w:val="0"/>
              </w:rPr>
            </w:pPr>
            <w:r>
              <w:rPr>
                <w:snapToGrid w:val="0"/>
                <w:kern w:val="0"/>
              </w:rPr>
              <w:t>生活垃圾填埋场运行期内，应定期检测防渗衬层系统的完整性。当发现防渗衬层系统发生渗漏时。应及时采取补救措施。</w:t>
            </w:r>
          </w:p>
        </w:tc>
        <w:tc>
          <w:tcPr>
            <w:tcW w:w="4104" w:type="dxa"/>
            <w:vAlign w:val="center"/>
          </w:tcPr>
          <w:p w14:paraId="18066D0F" w14:textId="77777777" w:rsidR="00606029" w:rsidRDefault="00EA5B92">
            <w:pPr>
              <w:adjustRightInd w:val="0"/>
              <w:snapToGrid w:val="0"/>
              <w:jc w:val="center"/>
              <w:rPr>
                <w:snapToGrid w:val="0"/>
                <w:kern w:val="0"/>
              </w:rPr>
            </w:pPr>
            <w:r>
              <w:rPr>
                <w:snapToGrid w:val="0"/>
                <w:kern w:val="0"/>
              </w:rPr>
              <w:t>本项目运行期内，设置有长期在线渗漏监测系统，以保证在防渗衬层发生渗滤液渗漏时及时发现并采取必要的污染控制措施。</w:t>
            </w:r>
            <w:r w:rsidRPr="00EA49F1">
              <w:rPr>
                <w:snapToGrid w:val="0"/>
                <w:kern w:val="0"/>
              </w:rPr>
              <w:t>根据防渗膜长期在线监测系统提供的疑是渗漏点坐标，根据监测系统电势场变化计算出泄漏位置。</w:t>
            </w:r>
          </w:p>
        </w:tc>
        <w:tc>
          <w:tcPr>
            <w:tcW w:w="274" w:type="dxa"/>
            <w:vAlign w:val="center"/>
          </w:tcPr>
          <w:p w14:paraId="49928721" w14:textId="77777777" w:rsidR="00606029" w:rsidRDefault="00EA5B92">
            <w:pPr>
              <w:adjustRightInd w:val="0"/>
              <w:snapToGrid w:val="0"/>
              <w:jc w:val="center"/>
              <w:rPr>
                <w:snapToGrid w:val="0"/>
                <w:kern w:val="0"/>
                <w:lang w:eastAsia="en-US"/>
              </w:rPr>
            </w:pPr>
            <w:r>
              <w:rPr>
                <w:snapToGrid w:val="0"/>
                <w:kern w:val="0"/>
                <w:lang w:eastAsia="en-US"/>
              </w:rPr>
              <w:t>符合</w:t>
            </w:r>
          </w:p>
        </w:tc>
      </w:tr>
      <w:tr w:rsidR="00606029" w14:paraId="43B88FC5" w14:textId="77777777" w:rsidTr="00EA49F1">
        <w:trPr>
          <w:trHeight w:val="1091"/>
          <w:jc w:val="center"/>
        </w:trPr>
        <w:tc>
          <w:tcPr>
            <w:tcW w:w="590" w:type="dxa"/>
            <w:vMerge/>
            <w:vAlign w:val="center"/>
          </w:tcPr>
          <w:p w14:paraId="406AE9F4" w14:textId="77777777" w:rsidR="00606029" w:rsidRDefault="00606029">
            <w:pPr>
              <w:adjustRightInd w:val="0"/>
              <w:snapToGrid w:val="0"/>
              <w:jc w:val="center"/>
              <w:rPr>
                <w:snapToGrid w:val="0"/>
                <w:kern w:val="0"/>
                <w:lang w:eastAsia="en-US"/>
              </w:rPr>
            </w:pPr>
          </w:p>
        </w:tc>
        <w:tc>
          <w:tcPr>
            <w:tcW w:w="555" w:type="dxa"/>
            <w:vMerge/>
            <w:vAlign w:val="center"/>
          </w:tcPr>
          <w:p w14:paraId="609E1240" w14:textId="77777777" w:rsidR="00606029" w:rsidRDefault="00606029">
            <w:pPr>
              <w:adjustRightInd w:val="0"/>
              <w:snapToGrid w:val="0"/>
              <w:jc w:val="center"/>
              <w:rPr>
                <w:snapToGrid w:val="0"/>
                <w:kern w:val="0"/>
                <w:lang w:eastAsia="en-US"/>
              </w:rPr>
            </w:pPr>
          </w:p>
        </w:tc>
        <w:tc>
          <w:tcPr>
            <w:tcW w:w="3615" w:type="dxa"/>
            <w:vAlign w:val="center"/>
          </w:tcPr>
          <w:p w14:paraId="2B2F0E92" w14:textId="77777777" w:rsidR="00606029" w:rsidRDefault="00EA5B92">
            <w:pPr>
              <w:adjustRightInd w:val="0"/>
              <w:snapToGrid w:val="0"/>
              <w:jc w:val="center"/>
              <w:rPr>
                <w:snapToGrid w:val="0"/>
                <w:kern w:val="0"/>
              </w:rPr>
            </w:pPr>
            <w:r>
              <w:rPr>
                <w:snapToGrid w:val="0"/>
                <w:kern w:val="0"/>
              </w:rPr>
              <w:t>生活垃圾填埋场运行期内，应定期检测渗滤液导排系统的有效性，保证正常运行。当衬层上的渗滤液深度大于</w:t>
            </w:r>
            <w:r>
              <w:rPr>
                <w:snapToGrid w:val="0"/>
                <w:kern w:val="0"/>
              </w:rPr>
              <w:t>30cm</w:t>
            </w:r>
            <w:r>
              <w:rPr>
                <w:snapToGrid w:val="0"/>
                <w:kern w:val="0"/>
              </w:rPr>
              <w:t>时，应及时采取有效疏导措施排除积存在填埋场内的渗滤液。</w:t>
            </w:r>
          </w:p>
        </w:tc>
        <w:tc>
          <w:tcPr>
            <w:tcW w:w="4104" w:type="dxa"/>
            <w:vAlign w:val="center"/>
          </w:tcPr>
          <w:p w14:paraId="474ED167" w14:textId="20F9A8D5" w:rsidR="00606029" w:rsidRDefault="00EA5B92">
            <w:pPr>
              <w:adjustRightInd w:val="0"/>
              <w:snapToGrid w:val="0"/>
              <w:jc w:val="center"/>
              <w:rPr>
                <w:snapToGrid w:val="0"/>
                <w:kern w:val="0"/>
              </w:rPr>
            </w:pPr>
            <w:r>
              <w:rPr>
                <w:snapToGrid w:val="0"/>
                <w:kern w:val="0"/>
              </w:rPr>
              <w:t>本项目填埋库区设置有渗滤液导排系统和渗滤液</w:t>
            </w:r>
            <w:r w:rsidR="00EA49F1">
              <w:rPr>
                <w:rFonts w:hint="eastAsia"/>
                <w:snapToGrid w:val="0"/>
                <w:kern w:val="0"/>
              </w:rPr>
              <w:t>液位计</w:t>
            </w:r>
            <w:r>
              <w:rPr>
                <w:snapToGrid w:val="0"/>
                <w:kern w:val="0"/>
              </w:rPr>
              <w:t>，可定期检测渗滤液导排系统的有效性。</w:t>
            </w:r>
          </w:p>
        </w:tc>
        <w:tc>
          <w:tcPr>
            <w:tcW w:w="274" w:type="dxa"/>
            <w:vAlign w:val="center"/>
          </w:tcPr>
          <w:p w14:paraId="35C43881" w14:textId="77777777" w:rsidR="00606029" w:rsidRDefault="00EA5B92">
            <w:pPr>
              <w:adjustRightInd w:val="0"/>
              <w:snapToGrid w:val="0"/>
              <w:jc w:val="center"/>
              <w:rPr>
                <w:snapToGrid w:val="0"/>
                <w:kern w:val="0"/>
                <w:lang w:eastAsia="en-US"/>
              </w:rPr>
            </w:pPr>
            <w:r>
              <w:rPr>
                <w:snapToGrid w:val="0"/>
                <w:kern w:val="0"/>
                <w:lang w:eastAsia="en-US"/>
              </w:rPr>
              <w:t>符合</w:t>
            </w:r>
          </w:p>
        </w:tc>
      </w:tr>
      <w:tr w:rsidR="00606029" w14:paraId="4E9D4283" w14:textId="77777777" w:rsidTr="00EA49F1">
        <w:trPr>
          <w:trHeight w:val="1090"/>
          <w:jc w:val="center"/>
        </w:trPr>
        <w:tc>
          <w:tcPr>
            <w:tcW w:w="590" w:type="dxa"/>
            <w:vMerge/>
            <w:vAlign w:val="center"/>
          </w:tcPr>
          <w:p w14:paraId="1A70496B" w14:textId="77777777" w:rsidR="00606029" w:rsidRDefault="00606029">
            <w:pPr>
              <w:adjustRightInd w:val="0"/>
              <w:snapToGrid w:val="0"/>
              <w:jc w:val="center"/>
              <w:rPr>
                <w:snapToGrid w:val="0"/>
                <w:kern w:val="0"/>
                <w:lang w:eastAsia="en-US"/>
              </w:rPr>
            </w:pPr>
          </w:p>
        </w:tc>
        <w:tc>
          <w:tcPr>
            <w:tcW w:w="555" w:type="dxa"/>
            <w:vMerge/>
            <w:vAlign w:val="center"/>
          </w:tcPr>
          <w:p w14:paraId="60BD40F8" w14:textId="77777777" w:rsidR="00606029" w:rsidRDefault="00606029">
            <w:pPr>
              <w:adjustRightInd w:val="0"/>
              <w:snapToGrid w:val="0"/>
              <w:jc w:val="center"/>
              <w:rPr>
                <w:snapToGrid w:val="0"/>
                <w:kern w:val="0"/>
                <w:lang w:eastAsia="en-US"/>
              </w:rPr>
            </w:pPr>
          </w:p>
        </w:tc>
        <w:tc>
          <w:tcPr>
            <w:tcW w:w="3615" w:type="dxa"/>
            <w:vAlign w:val="center"/>
          </w:tcPr>
          <w:p w14:paraId="577265A6" w14:textId="77777777" w:rsidR="00606029" w:rsidRDefault="00EA5B92">
            <w:pPr>
              <w:adjustRightInd w:val="0"/>
              <w:snapToGrid w:val="0"/>
              <w:jc w:val="center"/>
              <w:rPr>
                <w:snapToGrid w:val="0"/>
                <w:kern w:val="0"/>
              </w:rPr>
            </w:pPr>
            <w:r>
              <w:rPr>
                <w:snapToGrid w:val="0"/>
                <w:kern w:val="0"/>
              </w:rPr>
              <w:t>生活垃圾填埋场运行期内，应定期检测地下水水质。当发现地下水水质有被污染的迹象时，应及时查找原因，发现渗漏位置并采取补救措施，防止污染进一步扩散。</w:t>
            </w:r>
          </w:p>
        </w:tc>
        <w:tc>
          <w:tcPr>
            <w:tcW w:w="4104" w:type="dxa"/>
            <w:vAlign w:val="center"/>
          </w:tcPr>
          <w:p w14:paraId="5AB27F4C" w14:textId="77777777" w:rsidR="00606029" w:rsidRDefault="00EA5B92">
            <w:pPr>
              <w:adjustRightInd w:val="0"/>
              <w:snapToGrid w:val="0"/>
              <w:jc w:val="center"/>
              <w:rPr>
                <w:snapToGrid w:val="0"/>
                <w:kern w:val="0"/>
              </w:rPr>
            </w:pPr>
            <w:r>
              <w:rPr>
                <w:snapToGrid w:val="0"/>
                <w:kern w:val="0"/>
              </w:rPr>
              <w:t>本项目设置有地下水监测井，可定期检测地下水水质。当发现地下水水质有被污染的迹象时，可及时查找原因，发现渗漏位置并采取补救措施，防止污染进一步扩散。</w:t>
            </w:r>
          </w:p>
        </w:tc>
        <w:tc>
          <w:tcPr>
            <w:tcW w:w="274" w:type="dxa"/>
            <w:vAlign w:val="center"/>
          </w:tcPr>
          <w:p w14:paraId="0CCA7954" w14:textId="77777777" w:rsidR="00606029" w:rsidRDefault="00EA5B92">
            <w:pPr>
              <w:adjustRightInd w:val="0"/>
              <w:snapToGrid w:val="0"/>
              <w:jc w:val="center"/>
              <w:rPr>
                <w:snapToGrid w:val="0"/>
                <w:kern w:val="0"/>
                <w:lang w:eastAsia="en-US"/>
              </w:rPr>
            </w:pPr>
            <w:r>
              <w:rPr>
                <w:snapToGrid w:val="0"/>
                <w:kern w:val="0"/>
                <w:lang w:eastAsia="en-US"/>
              </w:rPr>
              <w:t>符合</w:t>
            </w:r>
          </w:p>
        </w:tc>
      </w:tr>
      <w:tr w:rsidR="00606029" w14:paraId="1592D2BF" w14:textId="77777777" w:rsidTr="00EA49F1">
        <w:trPr>
          <w:trHeight w:val="1091"/>
          <w:jc w:val="center"/>
        </w:trPr>
        <w:tc>
          <w:tcPr>
            <w:tcW w:w="590" w:type="dxa"/>
            <w:vMerge/>
            <w:vAlign w:val="center"/>
          </w:tcPr>
          <w:p w14:paraId="020D81DF" w14:textId="77777777" w:rsidR="00606029" w:rsidRDefault="00606029">
            <w:pPr>
              <w:adjustRightInd w:val="0"/>
              <w:snapToGrid w:val="0"/>
              <w:jc w:val="center"/>
              <w:rPr>
                <w:snapToGrid w:val="0"/>
                <w:kern w:val="0"/>
                <w:lang w:eastAsia="en-US"/>
              </w:rPr>
            </w:pPr>
          </w:p>
        </w:tc>
        <w:tc>
          <w:tcPr>
            <w:tcW w:w="555" w:type="dxa"/>
            <w:vMerge w:val="restart"/>
            <w:vAlign w:val="center"/>
          </w:tcPr>
          <w:p w14:paraId="5B3BF92A" w14:textId="77777777" w:rsidR="00606029" w:rsidRDefault="00EA5B92">
            <w:pPr>
              <w:adjustRightInd w:val="0"/>
              <w:snapToGrid w:val="0"/>
              <w:jc w:val="center"/>
              <w:rPr>
                <w:snapToGrid w:val="0"/>
                <w:kern w:val="0"/>
              </w:rPr>
            </w:pPr>
            <w:r>
              <w:rPr>
                <w:snapToGrid w:val="0"/>
                <w:kern w:val="0"/>
              </w:rPr>
              <w:t>封场及后期维护与管理要求</w:t>
            </w:r>
          </w:p>
        </w:tc>
        <w:tc>
          <w:tcPr>
            <w:tcW w:w="3615" w:type="dxa"/>
            <w:vAlign w:val="center"/>
          </w:tcPr>
          <w:p w14:paraId="26D2A018" w14:textId="77777777" w:rsidR="00606029" w:rsidRDefault="00EA5B92">
            <w:pPr>
              <w:adjustRightInd w:val="0"/>
              <w:snapToGrid w:val="0"/>
              <w:jc w:val="center"/>
              <w:rPr>
                <w:snapToGrid w:val="0"/>
                <w:kern w:val="0"/>
              </w:rPr>
            </w:pPr>
            <w:r>
              <w:rPr>
                <w:snapToGrid w:val="0"/>
                <w:kern w:val="0"/>
              </w:rPr>
              <w:t>生活垃圾填埋场的封场系统应包括气体导排层、防渗层、雨水导排层、最终覆土层、植被层。</w:t>
            </w:r>
          </w:p>
        </w:tc>
        <w:tc>
          <w:tcPr>
            <w:tcW w:w="4104" w:type="dxa"/>
            <w:vAlign w:val="center"/>
          </w:tcPr>
          <w:p w14:paraId="79548F68" w14:textId="75205808" w:rsidR="00606029" w:rsidRDefault="00EA5B92">
            <w:pPr>
              <w:adjustRightInd w:val="0"/>
              <w:snapToGrid w:val="0"/>
              <w:jc w:val="center"/>
              <w:rPr>
                <w:snapToGrid w:val="0"/>
                <w:kern w:val="0"/>
              </w:rPr>
            </w:pPr>
            <w:r>
              <w:rPr>
                <w:snapToGrid w:val="0"/>
                <w:kern w:val="0"/>
              </w:rPr>
              <w:t>由于本项目库区填埋的对象是固化飞灰，</w:t>
            </w:r>
            <w:bookmarkStart w:id="179" w:name="OLE_LINK78"/>
            <w:bookmarkStart w:id="180" w:name="OLE_LINK79"/>
            <w:r>
              <w:rPr>
                <w:snapToGrid w:val="0"/>
                <w:kern w:val="0"/>
              </w:rPr>
              <w:t>飞灰因有机物焚烧至尽，不会产生填埋气，故不设置填埋气导排设施</w:t>
            </w:r>
            <w:bookmarkEnd w:id="179"/>
            <w:r>
              <w:rPr>
                <w:snapToGrid w:val="0"/>
                <w:kern w:val="0"/>
              </w:rPr>
              <w:t>，</w:t>
            </w:r>
            <w:bookmarkEnd w:id="180"/>
            <w:r>
              <w:rPr>
                <w:snapToGrid w:val="0"/>
                <w:kern w:val="0"/>
              </w:rPr>
              <w:t>因此，本项目飞灰填埋场封场系统包括防渗层、雨水导排层、最终覆土层、植被层。</w:t>
            </w:r>
          </w:p>
        </w:tc>
        <w:tc>
          <w:tcPr>
            <w:tcW w:w="274" w:type="dxa"/>
            <w:vAlign w:val="center"/>
          </w:tcPr>
          <w:p w14:paraId="3C0E8F0E" w14:textId="77777777" w:rsidR="00606029" w:rsidRDefault="00EA5B92">
            <w:pPr>
              <w:adjustRightInd w:val="0"/>
              <w:snapToGrid w:val="0"/>
              <w:jc w:val="center"/>
              <w:rPr>
                <w:snapToGrid w:val="0"/>
                <w:kern w:val="0"/>
                <w:lang w:eastAsia="en-US"/>
              </w:rPr>
            </w:pPr>
            <w:r>
              <w:rPr>
                <w:snapToGrid w:val="0"/>
                <w:kern w:val="0"/>
                <w:lang w:eastAsia="en-US"/>
              </w:rPr>
              <w:t>符合</w:t>
            </w:r>
          </w:p>
        </w:tc>
      </w:tr>
      <w:tr w:rsidR="00606029" w14:paraId="5D5CE4D9" w14:textId="77777777" w:rsidTr="00EA49F1">
        <w:trPr>
          <w:trHeight w:val="1090"/>
          <w:jc w:val="center"/>
        </w:trPr>
        <w:tc>
          <w:tcPr>
            <w:tcW w:w="590" w:type="dxa"/>
            <w:vMerge/>
            <w:vAlign w:val="center"/>
          </w:tcPr>
          <w:p w14:paraId="3CABA7E1" w14:textId="77777777" w:rsidR="00606029" w:rsidRDefault="00606029">
            <w:pPr>
              <w:adjustRightInd w:val="0"/>
              <w:snapToGrid w:val="0"/>
              <w:jc w:val="center"/>
              <w:rPr>
                <w:snapToGrid w:val="0"/>
                <w:kern w:val="0"/>
                <w:lang w:eastAsia="en-US"/>
              </w:rPr>
            </w:pPr>
          </w:p>
        </w:tc>
        <w:tc>
          <w:tcPr>
            <w:tcW w:w="555" w:type="dxa"/>
            <w:vMerge/>
            <w:vAlign w:val="center"/>
          </w:tcPr>
          <w:p w14:paraId="205428F3" w14:textId="77777777" w:rsidR="00606029" w:rsidRDefault="00606029">
            <w:pPr>
              <w:adjustRightInd w:val="0"/>
              <w:snapToGrid w:val="0"/>
              <w:jc w:val="center"/>
              <w:rPr>
                <w:snapToGrid w:val="0"/>
                <w:kern w:val="0"/>
                <w:lang w:eastAsia="en-US"/>
              </w:rPr>
            </w:pPr>
          </w:p>
        </w:tc>
        <w:tc>
          <w:tcPr>
            <w:tcW w:w="3615" w:type="dxa"/>
            <w:vAlign w:val="center"/>
          </w:tcPr>
          <w:p w14:paraId="57B3AD52" w14:textId="77777777" w:rsidR="00606029" w:rsidRDefault="00EA5B92">
            <w:pPr>
              <w:adjustRightInd w:val="0"/>
              <w:snapToGrid w:val="0"/>
              <w:jc w:val="center"/>
              <w:rPr>
                <w:snapToGrid w:val="0"/>
                <w:kern w:val="0"/>
              </w:rPr>
            </w:pPr>
            <w:r>
              <w:rPr>
                <w:snapToGrid w:val="0"/>
                <w:kern w:val="0"/>
              </w:rPr>
              <w:t>封场系统应控制坡度，以保证填埋堆体稳定，防止雨水侵蚀。</w:t>
            </w:r>
          </w:p>
        </w:tc>
        <w:tc>
          <w:tcPr>
            <w:tcW w:w="4104" w:type="dxa"/>
            <w:vAlign w:val="center"/>
          </w:tcPr>
          <w:p w14:paraId="230D01BA" w14:textId="41E81CE9" w:rsidR="00606029" w:rsidRDefault="00F005DA">
            <w:pPr>
              <w:adjustRightInd w:val="0"/>
              <w:snapToGrid w:val="0"/>
              <w:jc w:val="center"/>
              <w:rPr>
                <w:snapToGrid w:val="0"/>
                <w:kern w:val="0"/>
              </w:rPr>
            </w:pPr>
            <w:r w:rsidRPr="00F005DA">
              <w:rPr>
                <w:snapToGrid w:val="0"/>
                <w:kern w:val="0"/>
              </w:rPr>
              <w:t>将池内的飞灰按照一定坡度（通常不小于</w:t>
            </w:r>
            <w:r w:rsidRPr="00F005DA">
              <w:rPr>
                <w:snapToGrid w:val="0"/>
                <w:kern w:val="0"/>
              </w:rPr>
              <w:t>2%</w:t>
            </w:r>
            <w:r w:rsidRPr="00F005DA">
              <w:rPr>
                <w:snapToGrid w:val="0"/>
                <w:kern w:val="0"/>
              </w:rPr>
              <w:t>）进行修整，形成中间高、四周低的</w:t>
            </w:r>
            <w:r w:rsidRPr="00F005DA">
              <w:rPr>
                <w:snapToGrid w:val="0"/>
                <w:kern w:val="0"/>
              </w:rPr>
              <w:t>“</w:t>
            </w:r>
            <w:r w:rsidRPr="00F005DA">
              <w:rPr>
                <w:snapToGrid w:val="0"/>
                <w:kern w:val="0"/>
              </w:rPr>
              <w:t>馒头状</w:t>
            </w:r>
            <w:r w:rsidRPr="00F005DA">
              <w:rPr>
                <w:snapToGrid w:val="0"/>
                <w:kern w:val="0"/>
              </w:rPr>
              <w:t>”</w:t>
            </w:r>
            <w:r w:rsidRPr="00F005DA">
              <w:rPr>
                <w:snapToGrid w:val="0"/>
                <w:kern w:val="0"/>
              </w:rPr>
              <w:t>或阶梯状坡面。这主要是为了利于雨水导流，防止积水。</w:t>
            </w:r>
            <w:r>
              <w:rPr>
                <w:rFonts w:hint="eastAsia"/>
                <w:snapToGrid w:val="0"/>
                <w:kern w:val="0"/>
              </w:rPr>
              <w:t>并</w:t>
            </w:r>
            <w:r w:rsidRPr="00F005DA">
              <w:rPr>
                <w:snapToGrid w:val="0"/>
                <w:kern w:val="0"/>
              </w:rPr>
              <w:t>对飞灰进行最终碾压，确保堆体稳定，防止后期沉降导致防渗层破损。</w:t>
            </w:r>
            <w:r w:rsidR="00EA5B92" w:rsidRPr="00EA49F1">
              <w:rPr>
                <w:snapToGrid w:val="0"/>
                <w:kern w:val="0"/>
              </w:rPr>
              <w:t>。</w:t>
            </w:r>
          </w:p>
        </w:tc>
        <w:tc>
          <w:tcPr>
            <w:tcW w:w="274" w:type="dxa"/>
            <w:vAlign w:val="center"/>
          </w:tcPr>
          <w:p w14:paraId="4507F55E" w14:textId="77777777" w:rsidR="00606029" w:rsidRDefault="00EA5B92">
            <w:pPr>
              <w:adjustRightInd w:val="0"/>
              <w:snapToGrid w:val="0"/>
              <w:jc w:val="center"/>
              <w:rPr>
                <w:snapToGrid w:val="0"/>
                <w:kern w:val="0"/>
                <w:lang w:eastAsia="en-US"/>
              </w:rPr>
            </w:pPr>
            <w:r>
              <w:rPr>
                <w:snapToGrid w:val="0"/>
                <w:kern w:val="0"/>
                <w:lang w:eastAsia="en-US"/>
              </w:rPr>
              <w:t>符合</w:t>
            </w:r>
          </w:p>
        </w:tc>
      </w:tr>
      <w:tr w:rsidR="00606029" w14:paraId="3A0387EE" w14:textId="77777777" w:rsidTr="001F4395">
        <w:trPr>
          <w:trHeight w:val="132"/>
          <w:jc w:val="center"/>
        </w:trPr>
        <w:tc>
          <w:tcPr>
            <w:tcW w:w="590" w:type="dxa"/>
            <w:vMerge/>
            <w:vAlign w:val="center"/>
          </w:tcPr>
          <w:p w14:paraId="4FC44088" w14:textId="77777777" w:rsidR="00606029" w:rsidRDefault="00606029">
            <w:pPr>
              <w:adjustRightInd w:val="0"/>
              <w:snapToGrid w:val="0"/>
              <w:jc w:val="center"/>
              <w:rPr>
                <w:snapToGrid w:val="0"/>
                <w:kern w:val="0"/>
                <w:lang w:eastAsia="en-US"/>
              </w:rPr>
            </w:pPr>
          </w:p>
        </w:tc>
        <w:tc>
          <w:tcPr>
            <w:tcW w:w="555" w:type="dxa"/>
            <w:vMerge/>
            <w:vAlign w:val="center"/>
          </w:tcPr>
          <w:p w14:paraId="36EC8A3B" w14:textId="77777777" w:rsidR="00606029" w:rsidRDefault="00606029">
            <w:pPr>
              <w:adjustRightInd w:val="0"/>
              <w:snapToGrid w:val="0"/>
              <w:jc w:val="center"/>
              <w:rPr>
                <w:snapToGrid w:val="0"/>
                <w:kern w:val="0"/>
                <w:lang w:eastAsia="en-US"/>
              </w:rPr>
            </w:pPr>
          </w:p>
        </w:tc>
        <w:tc>
          <w:tcPr>
            <w:tcW w:w="3615" w:type="dxa"/>
            <w:vAlign w:val="center"/>
          </w:tcPr>
          <w:p w14:paraId="2B7FD7B2" w14:textId="77777777" w:rsidR="00606029" w:rsidRDefault="00EA5B92">
            <w:pPr>
              <w:adjustRightInd w:val="0"/>
              <w:snapToGrid w:val="0"/>
              <w:jc w:val="center"/>
              <w:rPr>
                <w:snapToGrid w:val="0"/>
                <w:kern w:val="0"/>
              </w:rPr>
            </w:pPr>
            <w:r>
              <w:rPr>
                <w:snapToGrid w:val="0"/>
                <w:kern w:val="0"/>
              </w:rPr>
              <w:t>封场系统的建设应与生态恢复相结合，并防止植物根系对封场土工膜的损害。</w:t>
            </w:r>
          </w:p>
        </w:tc>
        <w:tc>
          <w:tcPr>
            <w:tcW w:w="4104" w:type="dxa"/>
            <w:vAlign w:val="center"/>
          </w:tcPr>
          <w:p w14:paraId="62828E78" w14:textId="759C92F5" w:rsidR="00606029" w:rsidRDefault="00EA5B92">
            <w:pPr>
              <w:adjustRightInd w:val="0"/>
              <w:snapToGrid w:val="0"/>
              <w:jc w:val="center"/>
              <w:rPr>
                <w:snapToGrid w:val="0"/>
                <w:kern w:val="0"/>
              </w:rPr>
            </w:pPr>
            <w:r>
              <w:rPr>
                <w:snapToGrid w:val="0"/>
                <w:kern w:val="0"/>
              </w:rPr>
              <w:t>生态恢复所用的植物类型选择浅根系的草本植物，可保证封场防渗膜不受损害。根据填埋堆体稳定化程度，按恢复初期、恢复中期、恢复后期三个使其分别选择植物类型。恢复初期</w:t>
            </w:r>
            <w:r w:rsidR="006A52CC">
              <w:rPr>
                <w:snapToGrid w:val="0"/>
                <w:kern w:val="0"/>
              </w:rPr>
              <w:t>：</w:t>
            </w:r>
            <w:r>
              <w:rPr>
                <w:snapToGrid w:val="0"/>
                <w:kern w:val="0"/>
              </w:rPr>
              <w:t>生长的植物以草本植物生长为主；恢复中期</w:t>
            </w:r>
            <w:r w:rsidR="006A52CC">
              <w:rPr>
                <w:snapToGrid w:val="0"/>
                <w:kern w:val="0"/>
              </w:rPr>
              <w:t>：</w:t>
            </w:r>
            <w:r>
              <w:rPr>
                <w:snapToGrid w:val="0"/>
                <w:kern w:val="0"/>
              </w:rPr>
              <w:t>生长的植物出现了灌木植物；恢复后期</w:t>
            </w:r>
            <w:r w:rsidR="006A52CC">
              <w:rPr>
                <w:snapToGrid w:val="0"/>
                <w:kern w:val="0"/>
              </w:rPr>
              <w:t>：</w:t>
            </w:r>
            <w:r>
              <w:rPr>
                <w:snapToGrid w:val="0"/>
                <w:kern w:val="0"/>
              </w:rPr>
              <w:t>植物生长旺盛，包括各类草本、花卉等。</w:t>
            </w:r>
          </w:p>
        </w:tc>
        <w:tc>
          <w:tcPr>
            <w:tcW w:w="274" w:type="dxa"/>
            <w:vAlign w:val="center"/>
          </w:tcPr>
          <w:p w14:paraId="45A08462" w14:textId="77777777" w:rsidR="00606029" w:rsidRDefault="00EA5B92">
            <w:pPr>
              <w:adjustRightInd w:val="0"/>
              <w:snapToGrid w:val="0"/>
              <w:jc w:val="center"/>
              <w:rPr>
                <w:snapToGrid w:val="0"/>
                <w:kern w:val="0"/>
                <w:lang w:eastAsia="en-US"/>
              </w:rPr>
            </w:pPr>
            <w:r>
              <w:rPr>
                <w:snapToGrid w:val="0"/>
                <w:kern w:val="0"/>
                <w:lang w:eastAsia="en-US"/>
              </w:rPr>
              <w:t>符合</w:t>
            </w:r>
          </w:p>
        </w:tc>
      </w:tr>
    </w:tbl>
    <w:p w14:paraId="2C7C30A4" w14:textId="24EFA2B9" w:rsidR="00EA78F9" w:rsidRPr="00EA78F9" w:rsidRDefault="00EA78F9" w:rsidP="00EA78F9">
      <w:pPr>
        <w:keepNext/>
        <w:keepLines/>
        <w:adjustRightInd w:val="0"/>
        <w:snapToGrid w:val="0"/>
        <w:spacing w:beforeLines="50" w:before="120" w:line="360" w:lineRule="auto"/>
        <w:outlineLvl w:val="1"/>
        <w:rPr>
          <w:b/>
          <w:sz w:val="30"/>
          <w:szCs w:val="32"/>
        </w:rPr>
      </w:pPr>
      <w:bookmarkStart w:id="181" w:name="_Toc220680497"/>
      <w:r w:rsidRPr="00EA78F9">
        <w:rPr>
          <w:b/>
          <w:sz w:val="30"/>
          <w:szCs w:val="32"/>
        </w:rPr>
        <w:t>3.</w:t>
      </w:r>
      <w:r w:rsidR="005C0E7E">
        <w:rPr>
          <w:rFonts w:hint="eastAsia"/>
          <w:b/>
          <w:sz w:val="30"/>
          <w:szCs w:val="32"/>
        </w:rPr>
        <w:t>11</w:t>
      </w:r>
      <w:r w:rsidRPr="00EA78F9">
        <w:rPr>
          <w:rFonts w:hint="eastAsia"/>
          <w:b/>
          <w:sz w:val="30"/>
          <w:szCs w:val="32"/>
        </w:rPr>
        <w:t>与《生活垃圾焚烧飞灰污染控制技术规范（试行）》（</w:t>
      </w:r>
      <w:r w:rsidRPr="00EA78F9">
        <w:rPr>
          <w:rFonts w:hint="eastAsia"/>
          <w:b/>
          <w:sz w:val="30"/>
          <w:szCs w:val="32"/>
        </w:rPr>
        <w:t>HJ1134-2020</w:t>
      </w:r>
      <w:r w:rsidRPr="00EA78F9">
        <w:rPr>
          <w:rFonts w:hint="eastAsia"/>
          <w:b/>
          <w:sz w:val="30"/>
          <w:szCs w:val="32"/>
        </w:rPr>
        <w:t>）符合性分析</w:t>
      </w:r>
      <w:bookmarkEnd w:id="181"/>
    </w:p>
    <w:p w14:paraId="3362BC73" w14:textId="74E9411B" w:rsidR="00EA78F9" w:rsidRPr="00EA78F9" w:rsidRDefault="00EA78F9" w:rsidP="00EA78F9">
      <w:pPr>
        <w:adjustRightInd w:val="0"/>
        <w:snapToGrid w:val="0"/>
        <w:jc w:val="center"/>
      </w:pPr>
      <w:r w:rsidRPr="00EA78F9">
        <w:rPr>
          <w:rFonts w:hint="eastAsia"/>
          <w:b/>
          <w:szCs w:val="22"/>
        </w:rPr>
        <w:t>表</w:t>
      </w:r>
      <w:r w:rsidRPr="00EA78F9">
        <w:rPr>
          <w:b/>
          <w:bCs/>
        </w:rPr>
        <w:t>3.1</w:t>
      </w:r>
      <w:r w:rsidR="008126D5">
        <w:rPr>
          <w:rFonts w:hint="eastAsia"/>
          <w:b/>
          <w:bCs/>
        </w:rPr>
        <w:t>1</w:t>
      </w:r>
      <w:r w:rsidRPr="00EA78F9">
        <w:rPr>
          <w:b/>
          <w:bCs/>
        </w:rPr>
        <w:t>-1</w:t>
      </w:r>
      <w:r w:rsidRPr="00EA78F9">
        <w:rPr>
          <w:b/>
          <w:szCs w:val="22"/>
        </w:rPr>
        <w:t xml:space="preserve">  </w:t>
      </w:r>
      <w:r w:rsidRPr="00EA78F9">
        <w:rPr>
          <w:rFonts w:hint="eastAsia"/>
          <w:b/>
          <w:szCs w:val="22"/>
        </w:rPr>
        <w:t>与《生活垃圾卫生填埋处理技术规范》（</w:t>
      </w:r>
      <w:r w:rsidRPr="00EA78F9">
        <w:rPr>
          <w:b/>
          <w:szCs w:val="22"/>
        </w:rPr>
        <w:t>GB50869-2013</w:t>
      </w:r>
      <w:r w:rsidRPr="00EA78F9">
        <w:rPr>
          <w:rFonts w:hint="eastAsia"/>
          <w:b/>
          <w:szCs w:val="22"/>
        </w:rPr>
        <w:t>）相符性分析一览表</w:t>
      </w:r>
    </w:p>
    <w:tbl>
      <w:tblPr>
        <w:tblStyle w:val="TableNormal"/>
        <w:tblW w:w="9135" w:type="dxa"/>
        <w:jc w:val="center"/>
        <w:tblInd w:w="0" w:type="dxa"/>
        <w:tblBorders>
          <w:top w:val="single" w:sz="4" w:space="0" w:color="auto"/>
          <w:left w:val="single" w:sz="4" w:space="0" w:color="auto"/>
          <w:bottom w:val="single" w:sz="4" w:space="0" w:color="auto"/>
          <w:right w:val="single" w:sz="4" w:space="0" w:color="auto"/>
          <w:insideH w:val="single" w:sz="2" w:space="0" w:color="000000"/>
          <w:insideV w:val="single" w:sz="2" w:space="0" w:color="000000"/>
        </w:tblBorders>
        <w:tblLayout w:type="fixed"/>
        <w:tblLook w:val="04A0" w:firstRow="1" w:lastRow="0" w:firstColumn="1" w:lastColumn="0" w:noHBand="0" w:noVBand="1"/>
      </w:tblPr>
      <w:tblGrid>
        <w:gridCol w:w="589"/>
        <w:gridCol w:w="555"/>
        <w:gridCol w:w="3954"/>
        <w:gridCol w:w="3763"/>
        <w:gridCol w:w="274"/>
      </w:tblGrid>
      <w:tr w:rsidR="00EA78F9" w:rsidRPr="00EA78F9" w14:paraId="36E3EDB3" w14:textId="77777777" w:rsidTr="00233E93">
        <w:trPr>
          <w:trHeight w:val="553"/>
          <w:jc w:val="center"/>
        </w:trPr>
        <w:tc>
          <w:tcPr>
            <w:tcW w:w="589" w:type="dxa"/>
            <w:tcBorders>
              <w:top w:val="single" w:sz="4" w:space="0" w:color="auto"/>
              <w:left w:val="single" w:sz="4" w:space="0" w:color="auto"/>
              <w:bottom w:val="single" w:sz="2" w:space="0" w:color="000000"/>
              <w:right w:val="single" w:sz="2" w:space="0" w:color="000000"/>
            </w:tcBorders>
            <w:vAlign w:val="center"/>
            <w:hideMark/>
          </w:tcPr>
          <w:p w14:paraId="6DE45C72" w14:textId="77777777" w:rsidR="00EA78F9" w:rsidRPr="00EA78F9" w:rsidRDefault="00EA78F9" w:rsidP="00EA78F9">
            <w:pPr>
              <w:adjustRightInd w:val="0"/>
              <w:snapToGrid w:val="0"/>
              <w:jc w:val="center"/>
              <w:rPr>
                <w:snapToGrid w:val="0"/>
                <w:kern w:val="0"/>
                <w:lang w:eastAsia="en-US"/>
              </w:rPr>
            </w:pPr>
            <w:r w:rsidRPr="00EA78F9">
              <w:rPr>
                <w:rFonts w:hint="eastAsia"/>
                <w:snapToGrid w:val="0"/>
                <w:kern w:val="0"/>
                <w:lang w:eastAsia="en-US"/>
              </w:rPr>
              <w:t>标准</w:t>
            </w:r>
            <w:r w:rsidRPr="00EA78F9">
              <w:rPr>
                <w:snapToGrid w:val="0"/>
                <w:kern w:val="0"/>
                <w:lang w:eastAsia="en-US"/>
              </w:rPr>
              <w:t>/</w:t>
            </w:r>
            <w:r w:rsidRPr="00EA78F9">
              <w:rPr>
                <w:rFonts w:hint="eastAsia"/>
                <w:snapToGrid w:val="0"/>
                <w:kern w:val="0"/>
                <w:lang w:eastAsia="en-US"/>
              </w:rPr>
              <w:t>规范</w:t>
            </w:r>
          </w:p>
        </w:tc>
        <w:tc>
          <w:tcPr>
            <w:tcW w:w="555" w:type="dxa"/>
            <w:tcBorders>
              <w:top w:val="single" w:sz="4" w:space="0" w:color="auto"/>
              <w:left w:val="single" w:sz="2" w:space="0" w:color="000000"/>
              <w:bottom w:val="single" w:sz="2" w:space="0" w:color="000000"/>
              <w:right w:val="single" w:sz="2" w:space="0" w:color="000000"/>
            </w:tcBorders>
            <w:vAlign w:val="center"/>
            <w:hideMark/>
          </w:tcPr>
          <w:p w14:paraId="6CBB64FE" w14:textId="77777777" w:rsidR="00EA78F9" w:rsidRPr="00EA78F9" w:rsidRDefault="00EA78F9" w:rsidP="00EA78F9">
            <w:pPr>
              <w:adjustRightInd w:val="0"/>
              <w:snapToGrid w:val="0"/>
              <w:jc w:val="center"/>
              <w:rPr>
                <w:snapToGrid w:val="0"/>
                <w:kern w:val="0"/>
                <w:lang w:eastAsia="en-US"/>
              </w:rPr>
            </w:pPr>
            <w:r w:rsidRPr="00EA78F9">
              <w:rPr>
                <w:rFonts w:hint="eastAsia"/>
                <w:snapToGrid w:val="0"/>
                <w:kern w:val="0"/>
                <w:lang w:eastAsia="en-US"/>
              </w:rPr>
              <w:t>内容</w:t>
            </w:r>
          </w:p>
        </w:tc>
        <w:tc>
          <w:tcPr>
            <w:tcW w:w="3954" w:type="dxa"/>
            <w:tcBorders>
              <w:top w:val="single" w:sz="4" w:space="0" w:color="auto"/>
              <w:left w:val="single" w:sz="2" w:space="0" w:color="000000"/>
              <w:bottom w:val="single" w:sz="2" w:space="0" w:color="000000"/>
              <w:right w:val="single" w:sz="2" w:space="0" w:color="000000"/>
            </w:tcBorders>
            <w:vAlign w:val="center"/>
            <w:hideMark/>
          </w:tcPr>
          <w:p w14:paraId="6C1E4D8C" w14:textId="77777777" w:rsidR="00EA78F9" w:rsidRPr="00EA78F9" w:rsidRDefault="00EA78F9" w:rsidP="00EA78F9">
            <w:pPr>
              <w:adjustRightInd w:val="0"/>
              <w:snapToGrid w:val="0"/>
              <w:jc w:val="center"/>
              <w:rPr>
                <w:snapToGrid w:val="0"/>
                <w:kern w:val="0"/>
                <w:lang w:eastAsia="en-US"/>
              </w:rPr>
            </w:pPr>
            <w:r w:rsidRPr="00EA78F9">
              <w:rPr>
                <w:rFonts w:hint="eastAsia"/>
                <w:snapToGrid w:val="0"/>
                <w:kern w:val="0"/>
                <w:lang w:eastAsia="en-US"/>
              </w:rPr>
              <w:t>文件要求</w:t>
            </w:r>
          </w:p>
        </w:tc>
        <w:tc>
          <w:tcPr>
            <w:tcW w:w="3763" w:type="dxa"/>
            <w:tcBorders>
              <w:top w:val="single" w:sz="4" w:space="0" w:color="auto"/>
              <w:left w:val="single" w:sz="2" w:space="0" w:color="000000"/>
              <w:bottom w:val="single" w:sz="2" w:space="0" w:color="000000"/>
              <w:right w:val="single" w:sz="2" w:space="0" w:color="000000"/>
            </w:tcBorders>
            <w:vAlign w:val="center"/>
            <w:hideMark/>
          </w:tcPr>
          <w:p w14:paraId="6191D5A4" w14:textId="77777777" w:rsidR="00EA78F9" w:rsidRPr="00EA78F9" w:rsidRDefault="00EA78F9" w:rsidP="00EA78F9">
            <w:pPr>
              <w:adjustRightInd w:val="0"/>
              <w:snapToGrid w:val="0"/>
              <w:jc w:val="center"/>
              <w:rPr>
                <w:snapToGrid w:val="0"/>
                <w:kern w:val="0"/>
                <w:lang w:eastAsia="en-US"/>
              </w:rPr>
            </w:pPr>
            <w:r w:rsidRPr="00EA78F9">
              <w:rPr>
                <w:rFonts w:hint="eastAsia"/>
                <w:snapToGrid w:val="0"/>
                <w:kern w:val="0"/>
                <w:lang w:eastAsia="en-US"/>
              </w:rPr>
              <w:t>本项目情况</w:t>
            </w:r>
          </w:p>
        </w:tc>
        <w:tc>
          <w:tcPr>
            <w:tcW w:w="274" w:type="dxa"/>
            <w:tcBorders>
              <w:top w:val="single" w:sz="4" w:space="0" w:color="auto"/>
              <w:left w:val="single" w:sz="2" w:space="0" w:color="000000"/>
              <w:bottom w:val="single" w:sz="2" w:space="0" w:color="000000"/>
              <w:right w:val="single" w:sz="4" w:space="0" w:color="auto"/>
            </w:tcBorders>
            <w:vAlign w:val="center"/>
            <w:hideMark/>
          </w:tcPr>
          <w:p w14:paraId="32BDD011" w14:textId="77777777" w:rsidR="00EA78F9" w:rsidRPr="00EA78F9" w:rsidRDefault="00EA78F9" w:rsidP="00EA78F9">
            <w:pPr>
              <w:adjustRightInd w:val="0"/>
              <w:snapToGrid w:val="0"/>
              <w:jc w:val="center"/>
              <w:rPr>
                <w:snapToGrid w:val="0"/>
                <w:kern w:val="0"/>
                <w:lang w:eastAsia="en-US"/>
              </w:rPr>
            </w:pPr>
            <w:r w:rsidRPr="00EA78F9">
              <w:rPr>
                <w:rFonts w:hint="eastAsia"/>
                <w:snapToGrid w:val="0"/>
                <w:kern w:val="0"/>
                <w:lang w:eastAsia="en-US"/>
              </w:rPr>
              <w:t>相符性分析</w:t>
            </w:r>
          </w:p>
        </w:tc>
      </w:tr>
      <w:tr w:rsidR="005C0E7E" w:rsidRPr="00EA78F9" w14:paraId="620DFD91" w14:textId="77777777" w:rsidTr="00233E93">
        <w:trPr>
          <w:trHeight w:val="2014"/>
          <w:jc w:val="center"/>
        </w:trPr>
        <w:tc>
          <w:tcPr>
            <w:tcW w:w="589" w:type="dxa"/>
            <w:vMerge w:val="restart"/>
            <w:tcBorders>
              <w:top w:val="single" w:sz="2" w:space="0" w:color="000000"/>
              <w:left w:val="single" w:sz="4" w:space="0" w:color="auto"/>
              <w:right w:val="single" w:sz="2" w:space="0" w:color="000000"/>
            </w:tcBorders>
            <w:vAlign w:val="center"/>
            <w:hideMark/>
          </w:tcPr>
          <w:p w14:paraId="6122B77A" w14:textId="74C2A902" w:rsidR="005C0E7E" w:rsidRPr="00EA78F9" w:rsidRDefault="005C0E7E" w:rsidP="00EA78F9">
            <w:pPr>
              <w:adjustRightInd w:val="0"/>
              <w:snapToGrid w:val="0"/>
              <w:jc w:val="center"/>
              <w:rPr>
                <w:snapToGrid w:val="0"/>
                <w:kern w:val="0"/>
              </w:rPr>
            </w:pPr>
            <w:r w:rsidRPr="00EA78F9">
              <w:rPr>
                <w:rFonts w:hint="eastAsia"/>
                <w:snapToGrid w:val="0"/>
                <w:kern w:val="0"/>
              </w:rPr>
              <w:lastRenderedPageBreak/>
              <w:t>《生活垃圾焚烧飞灰污染控制技术规范（试行）》（</w:t>
            </w:r>
            <w:r w:rsidRPr="00EA78F9">
              <w:rPr>
                <w:rFonts w:hint="eastAsia"/>
                <w:snapToGrid w:val="0"/>
                <w:kern w:val="0"/>
              </w:rPr>
              <w:t>HJ1134-2020</w:t>
            </w:r>
            <w:r w:rsidRPr="00EA78F9">
              <w:rPr>
                <w:rFonts w:hint="eastAsia"/>
                <w:snapToGrid w:val="0"/>
                <w:kern w:val="0"/>
              </w:rPr>
              <w:t>）</w:t>
            </w:r>
          </w:p>
        </w:tc>
        <w:tc>
          <w:tcPr>
            <w:tcW w:w="555" w:type="dxa"/>
            <w:tcBorders>
              <w:top w:val="single" w:sz="2" w:space="0" w:color="000000"/>
              <w:left w:val="single" w:sz="2" w:space="0" w:color="000000"/>
              <w:bottom w:val="single" w:sz="2" w:space="0" w:color="000000"/>
              <w:right w:val="single" w:sz="2" w:space="0" w:color="000000"/>
            </w:tcBorders>
            <w:vAlign w:val="center"/>
            <w:hideMark/>
          </w:tcPr>
          <w:p w14:paraId="0BE5C028" w14:textId="489A9624" w:rsidR="005C0E7E" w:rsidRPr="00EA78F9" w:rsidRDefault="005C0E7E" w:rsidP="00EA78F9">
            <w:pPr>
              <w:adjustRightInd w:val="0"/>
              <w:snapToGrid w:val="0"/>
              <w:jc w:val="center"/>
              <w:rPr>
                <w:snapToGrid w:val="0"/>
                <w:kern w:val="0"/>
              </w:rPr>
            </w:pPr>
            <w:r w:rsidRPr="00EA78F9">
              <w:rPr>
                <w:rFonts w:hint="eastAsia"/>
                <w:snapToGrid w:val="0"/>
                <w:kern w:val="0"/>
              </w:rPr>
              <w:t>收集、贮存、运输污染控制要求</w:t>
            </w:r>
          </w:p>
        </w:tc>
        <w:tc>
          <w:tcPr>
            <w:tcW w:w="3954" w:type="dxa"/>
            <w:tcBorders>
              <w:top w:val="single" w:sz="2" w:space="0" w:color="000000"/>
              <w:left w:val="single" w:sz="2" w:space="0" w:color="000000"/>
              <w:bottom w:val="single" w:sz="2" w:space="0" w:color="000000"/>
              <w:right w:val="single" w:sz="2" w:space="0" w:color="000000"/>
            </w:tcBorders>
            <w:vAlign w:val="center"/>
            <w:hideMark/>
          </w:tcPr>
          <w:p w14:paraId="0809632D" w14:textId="45B0F671" w:rsidR="005C0E7E" w:rsidRPr="00EA78F9" w:rsidRDefault="005C0E7E" w:rsidP="00EA78F9">
            <w:pPr>
              <w:adjustRightInd w:val="0"/>
              <w:snapToGrid w:val="0"/>
              <w:rPr>
                <w:snapToGrid w:val="0"/>
                <w:kern w:val="0"/>
              </w:rPr>
            </w:pPr>
            <w:r w:rsidRPr="00EA78F9">
              <w:rPr>
                <w:rFonts w:hint="eastAsia"/>
                <w:snapToGrid w:val="0"/>
                <w:kern w:val="0"/>
              </w:rPr>
              <w:t>飞灰贮存设施应具备防扬尘、防雨、防渗（漏）等措施，并应符合</w:t>
            </w:r>
            <w:r w:rsidRPr="00EA78F9">
              <w:rPr>
                <w:rFonts w:hint="eastAsia"/>
                <w:snapToGrid w:val="0"/>
                <w:kern w:val="0"/>
              </w:rPr>
              <w:t>GB18597</w:t>
            </w:r>
            <w:r w:rsidRPr="00EA78F9">
              <w:rPr>
                <w:rFonts w:hint="eastAsia"/>
                <w:snapToGrid w:val="0"/>
                <w:kern w:val="0"/>
              </w:rPr>
              <w:t>的要求。在飞灰贮存、运输过程中，</w:t>
            </w:r>
            <w:bookmarkStart w:id="182" w:name="OLE_LINK28"/>
            <w:r w:rsidRPr="00EA78F9">
              <w:rPr>
                <w:rFonts w:hint="eastAsia"/>
                <w:snapToGrid w:val="0"/>
                <w:kern w:val="0"/>
              </w:rPr>
              <w:t>应采用封闭包装</w:t>
            </w:r>
            <w:bookmarkEnd w:id="182"/>
            <w:r w:rsidRPr="00EA78F9">
              <w:rPr>
                <w:rFonts w:hint="eastAsia"/>
                <w:snapToGrid w:val="0"/>
                <w:kern w:val="0"/>
              </w:rPr>
              <w:t>或置于密封容器内，或使用封闭槽罐车散装运输。飞灰收集、运输、贮存的其他要求应符合</w:t>
            </w:r>
            <w:bookmarkStart w:id="183" w:name="OLE_LINK29"/>
            <w:r w:rsidRPr="00EA78F9">
              <w:rPr>
                <w:rFonts w:hint="eastAsia"/>
                <w:snapToGrid w:val="0"/>
                <w:kern w:val="0"/>
              </w:rPr>
              <w:t>HJ2025</w:t>
            </w:r>
            <w:r w:rsidRPr="00EA78F9">
              <w:rPr>
                <w:rFonts w:hint="eastAsia"/>
                <w:snapToGrid w:val="0"/>
                <w:kern w:val="0"/>
              </w:rPr>
              <w:t>的规定</w:t>
            </w:r>
            <w:bookmarkEnd w:id="183"/>
            <w:r w:rsidRPr="00EA78F9">
              <w:rPr>
                <w:rFonts w:hint="eastAsia"/>
                <w:snapToGrid w:val="0"/>
                <w:kern w:val="0"/>
              </w:rPr>
              <w:t>。</w:t>
            </w:r>
          </w:p>
        </w:tc>
        <w:tc>
          <w:tcPr>
            <w:tcW w:w="3763" w:type="dxa"/>
            <w:tcBorders>
              <w:top w:val="single" w:sz="2" w:space="0" w:color="000000"/>
              <w:left w:val="single" w:sz="2" w:space="0" w:color="000000"/>
              <w:bottom w:val="single" w:sz="2" w:space="0" w:color="000000"/>
              <w:right w:val="single" w:sz="2" w:space="0" w:color="000000"/>
            </w:tcBorders>
            <w:vAlign w:val="center"/>
            <w:hideMark/>
          </w:tcPr>
          <w:p w14:paraId="6B2E6201" w14:textId="2AD61BB3" w:rsidR="005C0E7E" w:rsidRPr="00EA78F9" w:rsidRDefault="005C0E7E" w:rsidP="00EA78F9">
            <w:pPr>
              <w:adjustRightInd w:val="0"/>
              <w:snapToGrid w:val="0"/>
              <w:jc w:val="center"/>
              <w:rPr>
                <w:snapToGrid w:val="0"/>
                <w:kern w:val="0"/>
              </w:rPr>
            </w:pPr>
            <w:r w:rsidRPr="00EA78F9">
              <w:rPr>
                <w:rFonts w:hint="eastAsia"/>
                <w:snapToGrid w:val="0"/>
                <w:kern w:val="0"/>
              </w:rPr>
              <w:t>本项目经接收大庆城控电力有限公司产生的飞灰，经过螯合固化处理，达到《生活垃圾填埋场污染控制标准》（</w:t>
            </w:r>
            <w:r w:rsidRPr="00EA78F9">
              <w:rPr>
                <w:snapToGrid w:val="0"/>
                <w:kern w:val="0"/>
              </w:rPr>
              <w:t>GB16889-2024</w:t>
            </w:r>
            <w:r w:rsidRPr="00EA78F9">
              <w:rPr>
                <w:rFonts w:hint="eastAsia"/>
                <w:snapToGrid w:val="0"/>
                <w:kern w:val="0"/>
              </w:rPr>
              <w:t>）规定的入场要求后，进入本项目建设的飞灰填埋场进行填埋处置。本项目</w:t>
            </w:r>
            <w:r w:rsidRPr="005C0E7E">
              <w:rPr>
                <w:rFonts w:hint="eastAsia"/>
                <w:snapToGrid w:val="0"/>
                <w:kern w:val="0"/>
              </w:rPr>
              <w:t>紧邻</w:t>
            </w:r>
            <w:r w:rsidR="00EA49F1">
              <w:rPr>
                <w:rFonts w:hint="eastAsia"/>
                <w:snapToGrid w:val="0"/>
                <w:kern w:val="0"/>
              </w:rPr>
              <w:t>飞灰稳定化暂存库</w:t>
            </w:r>
            <w:r w:rsidRPr="005C0E7E">
              <w:rPr>
                <w:rFonts w:hint="eastAsia"/>
                <w:snapToGrid w:val="0"/>
                <w:kern w:val="0"/>
              </w:rPr>
              <w:t>，运输过程采用应采用封闭包装</w:t>
            </w:r>
            <w:r>
              <w:rPr>
                <w:rFonts w:hint="eastAsia"/>
                <w:snapToGrid w:val="0"/>
                <w:kern w:val="0"/>
              </w:rPr>
              <w:t>且满足</w:t>
            </w:r>
            <w:r w:rsidRPr="00EA78F9">
              <w:rPr>
                <w:rFonts w:hint="eastAsia"/>
                <w:snapToGrid w:val="0"/>
                <w:kern w:val="0"/>
              </w:rPr>
              <w:t>HJ2025</w:t>
            </w:r>
            <w:r w:rsidRPr="00EA78F9">
              <w:rPr>
                <w:rFonts w:hint="eastAsia"/>
                <w:snapToGrid w:val="0"/>
                <w:kern w:val="0"/>
              </w:rPr>
              <w:t>的规定</w:t>
            </w:r>
          </w:p>
        </w:tc>
        <w:tc>
          <w:tcPr>
            <w:tcW w:w="274" w:type="dxa"/>
            <w:tcBorders>
              <w:top w:val="single" w:sz="2" w:space="0" w:color="000000"/>
              <w:left w:val="single" w:sz="2" w:space="0" w:color="000000"/>
              <w:bottom w:val="single" w:sz="2" w:space="0" w:color="000000"/>
              <w:right w:val="single" w:sz="4" w:space="0" w:color="auto"/>
            </w:tcBorders>
            <w:vAlign w:val="center"/>
            <w:hideMark/>
          </w:tcPr>
          <w:p w14:paraId="6D72A417" w14:textId="77777777" w:rsidR="005C0E7E" w:rsidRPr="00EA78F9" w:rsidRDefault="005C0E7E" w:rsidP="00EA78F9">
            <w:pPr>
              <w:adjustRightInd w:val="0"/>
              <w:snapToGrid w:val="0"/>
              <w:jc w:val="center"/>
              <w:rPr>
                <w:snapToGrid w:val="0"/>
                <w:kern w:val="0"/>
                <w:lang w:eastAsia="en-US"/>
              </w:rPr>
            </w:pPr>
            <w:r w:rsidRPr="00EA78F9">
              <w:rPr>
                <w:rFonts w:hint="eastAsia"/>
                <w:snapToGrid w:val="0"/>
                <w:kern w:val="0"/>
                <w:lang w:eastAsia="en-US"/>
              </w:rPr>
              <w:t>符合</w:t>
            </w:r>
          </w:p>
        </w:tc>
      </w:tr>
      <w:tr w:rsidR="00D35E9B" w:rsidRPr="00EA78F9" w14:paraId="177D0C96" w14:textId="77777777" w:rsidTr="00233E93">
        <w:trPr>
          <w:trHeight w:val="1663"/>
          <w:jc w:val="center"/>
        </w:trPr>
        <w:tc>
          <w:tcPr>
            <w:tcW w:w="589" w:type="dxa"/>
            <w:vMerge/>
            <w:tcBorders>
              <w:left w:val="single" w:sz="4" w:space="0" w:color="auto"/>
              <w:right w:val="single" w:sz="2" w:space="0" w:color="000000"/>
            </w:tcBorders>
            <w:vAlign w:val="center"/>
            <w:hideMark/>
          </w:tcPr>
          <w:p w14:paraId="4DC57D37" w14:textId="77777777" w:rsidR="00D35E9B" w:rsidRPr="00EA78F9" w:rsidRDefault="00D35E9B" w:rsidP="00EA78F9">
            <w:pPr>
              <w:widowControl/>
              <w:jc w:val="left"/>
              <w:rPr>
                <w:snapToGrid w:val="0"/>
                <w:kern w:val="0"/>
              </w:rPr>
            </w:pPr>
          </w:p>
        </w:tc>
        <w:tc>
          <w:tcPr>
            <w:tcW w:w="555" w:type="dxa"/>
            <w:tcBorders>
              <w:top w:val="single" w:sz="2" w:space="0" w:color="000000"/>
              <w:left w:val="single" w:sz="2" w:space="0" w:color="000000"/>
              <w:bottom w:val="single" w:sz="4" w:space="0" w:color="auto"/>
              <w:right w:val="single" w:sz="2" w:space="0" w:color="000000"/>
            </w:tcBorders>
            <w:vAlign w:val="center"/>
            <w:hideMark/>
          </w:tcPr>
          <w:p w14:paraId="2C618325" w14:textId="65D6233B" w:rsidR="00D35E9B" w:rsidRPr="00EA78F9" w:rsidRDefault="00D35E9B" w:rsidP="00EA78F9">
            <w:pPr>
              <w:adjustRightInd w:val="0"/>
              <w:snapToGrid w:val="0"/>
              <w:jc w:val="center"/>
              <w:rPr>
                <w:snapToGrid w:val="0"/>
                <w:kern w:val="0"/>
              </w:rPr>
            </w:pPr>
            <w:r w:rsidRPr="005C0E7E">
              <w:rPr>
                <w:rFonts w:hint="eastAsia"/>
                <w:snapToGrid w:val="0"/>
                <w:kern w:val="0"/>
              </w:rPr>
              <w:t>处理和处置污染控制要求</w:t>
            </w:r>
          </w:p>
        </w:tc>
        <w:tc>
          <w:tcPr>
            <w:tcW w:w="3954" w:type="dxa"/>
            <w:tcBorders>
              <w:top w:val="single" w:sz="2" w:space="0" w:color="000000"/>
              <w:left w:val="single" w:sz="2" w:space="0" w:color="000000"/>
              <w:bottom w:val="single" w:sz="2" w:space="0" w:color="000000"/>
              <w:right w:val="single" w:sz="2" w:space="0" w:color="000000"/>
            </w:tcBorders>
            <w:vAlign w:val="center"/>
            <w:hideMark/>
          </w:tcPr>
          <w:p w14:paraId="33F0E5F4" w14:textId="0F777F02" w:rsidR="00D35E9B" w:rsidRPr="00EA78F9" w:rsidRDefault="00D35E9B" w:rsidP="001213A1">
            <w:pPr>
              <w:adjustRightInd w:val="0"/>
              <w:snapToGrid w:val="0"/>
              <w:rPr>
                <w:snapToGrid w:val="0"/>
                <w:kern w:val="0"/>
              </w:rPr>
            </w:pPr>
            <w:r w:rsidRPr="00D35E9B">
              <w:rPr>
                <w:snapToGrid w:val="0"/>
                <w:kern w:val="0"/>
              </w:rPr>
              <w:t>飞灰处理产物满足</w:t>
            </w:r>
            <w:r w:rsidRPr="00D35E9B">
              <w:rPr>
                <w:snapToGrid w:val="0"/>
                <w:kern w:val="0"/>
              </w:rPr>
              <w:t>GB16889</w:t>
            </w:r>
            <w:r w:rsidRPr="00D35E9B">
              <w:rPr>
                <w:snapToGrid w:val="0"/>
                <w:kern w:val="0"/>
              </w:rPr>
              <w:t>入场要求的，可进入生活垃圾填埋场分区填埋。进入生活垃圾填埋场填埋处置的飞灰宜选择在生活垃圾焚烧企业内进行处理。进入填埋区的飞灰或飞灰处理产物应密封包装或成型化。</w:t>
            </w:r>
          </w:p>
        </w:tc>
        <w:tc>
          <w:tcPr>
            <w:tcW w:w="3763" w:type="dxa"/>
            <w:vMerge w:val="restart"/>
            <w:tcBorders>
              <w:top w:val="single" w:sz="2" w:space="0" w:color="000000"/>
              <w:left w:val="single" w:sz="2" w:space="0" w:color="000000"/>
              <w:right w:val="single" w:sz="2" w:space="0" w:color="000000"/>
            </w:tcBorders>
            <w:vAlign w:val="center"/>
            <w:hideMark/>
          </w:tcPr>
          <w:p w14:paraId="3BB28E5E" w14:textId="2A63B821" w:rsidR="00D35E9B" w:rsidRPr="00EA78F9" w:rsidRDefault="00D35E9B" w:rsidP="00EA78F9">
            <w:pPr>
              <w:adjustRightInd w:val="0"/>
              <w:snapToGrid w:val="0"/>
              <w:jc w:val="center"/>
              <w:rPr>
                <w:snapToGrid w:val="0"/>
                <w:kern w:val="0"/>
              </w:rPr>
            </w:pPr>
            <w:bookmarkStart w:id="184" w:name="OLE_LINK31"/>
            <w:r w:rsidRPr="00D35E9B">
              <w:rPr>
                <w:snapToGrid w:val="0"/>
                <w:kern w:val="0"/>
              </w:rPr>
              <w:t>固化飞灰在入填埋场前每批次均需要抽样调查，飞灰处理产物（飞灰固化物）中重金属浸出浓度监测频次应不少于每日</w:t>
            </w:r>
            <w:r w:rsidRPr="00D35E9B">
              <w:rPr>
                <w:snapToGrid w:val="0"/>
                <w:kern w:val="0"/>
              </w:rPr>
              <w:t>1</w:t>
            </w:r>
            <w:r w:rsidRPr="00D35E9B">
              <w:rPr>
                <w:snapToGrid w:val="0"/>
                <w:kern w:val="0"/>
              </w:rPr>
              <w:t>次，飞灰处理产物中二噁英类的监测频次应不少于每</w:t>
            </w:r>
            <w:r w:rsidRPr="00D35E9B">
              <w:rPr>
                <w:snapToGrid w:val="0"/>
                <w:kern w:val="0"/>
              </w:rPr>
              <w:t>6</w:t>
            </w:r>
            <w:r w:rsidRPr="00D35E9B">
              <w:rPr>
                <w:snapToGrid w:val="0"/>
                <w:kern w:val="0"/>
              </w:rPr>
              <w:t>个月</w:t>
            </w:r>
            <w:r w:rsidRPr="00D35E9B">
              <w:rPr>
                <w:snapToGrid w:val="0"/>
                <w:kern w:val="0"/>
              </w:rPr>
              <w:t>1</w:t>
            </w:r>
            <w:r w:rsidRPr="00D35E9B">
              <w:rPr>
                <w:snapToGrid w:val="0"/>
                <w:kern w:val="0"/>
              </w:rPr>
              <w:t>次，检测结果均应满足（</w:t>
            </w:r>
            <w:r w:rsidRPr="00D35E9B">
              <w:rPr>
                <w:snapToGrid w:val="0"/>
                <w:kern w:val="0"/>
              </w:rPr>
              <w:t>GB16889-2024</w:t>
            </w:r>
            <w:r w:rsidRPr="00D35E9B">
              <w:rPr>
                <w:snapToGrid w:val="0"/>
                <w:kern w:val="0"/>
              </w:rPr>
              <w:t>）中</w:t>
            </w:r>
            <w:r w:rsidRPr="00D35E9B">
              <w:rPr>
                <w:snapToGrid w:val="0"/>
                <w:kern w:val="0"/>
              </w:rPr>
              <w:t>6.3</w:t>
            </w:r>
            <w:r w:rsidRPr="00D35E9B">
              <w:rPr>
                <w:snapToGrid w:val="0"/>
                <w:kern w:val="0"/>
              </w:rPr>
              <w:t>条要求，二噁英含量低于</w:t>
            </w:r>
            <w:r w:rsidRPr="00D35E9B">
              <w:rPr>
                <w:snapToGrid w:val="0"/>
                <w:kern w:val="0"/>
              </w:rPr>
              <w:t>3μgTEQ/kg</w:t>
            </w:r>
            <w:r w:rsidRPr="00D35E9B">
              <w:rPr>
                <w:snapToGrid w:val="0"/>
                <w:kern w:val="0"/>
              </w:rPr>
              <w:t>。不能满足该要求的，不得进入该填埋区。稳定化飞灰入场前应由吨袋装填入场</w:t>
            </w:r>
            <w:bookmarkEnd w:id="184"/>
          </w:p>
        </w:tc>
        <w:tc>
          <w:tcPr>
            <w:tcW w:w="274" w:type="dxa"/>
            <w:tcBorders>
              <w:top w:val="single" w:sz="2" w:space="0" w:color="000000"/>
              <w:left w:val="single" w:sz="2" w:space="0" w:color="000000"/>
              <w:bottom w:val="single" w:sz="2" w:space="0" w:color="000000"/>
              <w:right w:val="single" w:sz="4" w:space="0" w:color="auto"/>
            </w:tcBorders>
            <w:vAlign w:val="center"/>
            <w:hideMark/>
          </w:tcPr>
          <w:p w14:paraId="4C0C85FD" w14:textId="77777777" w:rsidR="00D35E9B" w:rsidRPr="00EA78F9" w:rsidRDefault="00D35E9B" w:rsidP="00EA78F9">
            <w:pPr>
              <w:adjustRightInd w:val="0"/>
              <w:snapToGrid w:val="0"/>
              <w:jc w:val="center"/>
              <w:rPr>
                <w:snapToGrid w:val="0"/>
                <w:kern w:val="0"/>
                <w:lang w:eastAsia="en-US"/>
              </w:rPr>
            </w:pPr>
            <w:r w:rsidRPr="00EA78F9">
              <w:rPr>
                <w:rFonts w:hint="eastAsia"/>
                <w:snapToGrid w:val="0"/>
                <w:kern w:val="0"/>
                <w:lang w:eastAsia="en-US"/>
              </w:rPr>
              <w:t>符合</w:t>
            </w:r>
          </w:p>
        </w:tc>
      </w:tr>
      <w:tr w:rsidR="00D35E9B" w:rsidRPr="00EA78F9" w14:paraId="77D03E28" w14:textId="77777777" w:rsidTr="00233E93">
        <w:trPr>
          <w:trHeight w:val="1651"/>
          <w:jc w:val="center"/>
        </w:trPr>
        <w:tc>
          <w:tcPr>
            <w:tcW w:w="589" w:type="dxa"/>
            <w:vMerge/>
            <w:tcBorders>
              <w:left w:val="single" w:sz="4" w:space="0" w:color="auto"/>
              <w:right w:val="single" w:sz="2" w:space="0" w:color="000000"/>
            </w:tcBorders>
            <w:vAlign w:val="center"/>
            <w:hideMark/>
          </w:tcPr>
          <w:p w14:paraId="33588985" w14:textId="77777777" w:rsidR="00D35E9B" w:rsidRPr="00EA78F9" w:rsidRDefault="00D35E9B" w:rsidP="00EA78F9">
            <w:pPr>
              <w:widowControl/>
              <w:jc w:val="left"/>
              <w:rPr>
                <w:snapToGrid w:val="0"/>
                <w:kern w:val="0"/>
              </w:rPr>
            </w:pPr>
          </w:p>
        </w:tc>
        <w:tc>
          <w:tcPr>
            <w:tcW w:w="555" w:type="dxa"/>
            <w:tcBorders>
              <w:top w:val="single" w:sz="2" w:space="0" w:color="000000"/>
              <w:left w:val="single" w:sz="2" w:space="0" w:color="000000"/>
              <w:bottom w:val="single" w:sz="2" w:space="0" w:color="000000"/>
              <w:right w:val="single" w:sz="2" w:space="0" w:color="000000"/>
            </w:tcBorders>
            <w:vAlign w:val="center"/>
            <w:hideMark/>
          </w:tcPr>
          <w:p w14:paraId="66A0818A" w14:textId="5D961F11" w:rsidR="00D35E9B" w:rsidRPr="00EA78F9" w:rsidRDefault="00D35E9B" w:rsidP="00EA78F9">
            <w:pPr>
              <w:widowControl/>
              <w:jc w:val="left"/>
              <w:rPr>
                <w:snapToGrid w:val="0"/>
                <w:kern w:val="0"/>
              </w:rPr>
            </w:pPr>
            <w:r w:rsidRPr="005C0E7E">
              <w:rPr>
                <w:rFonts w:hint="eastAsia"/>
                <w:snapToGrid w:val="0"/>
                <w:kern w:val="0"/>
              </w:rPr>
              <w:t>环境和污染物监测要求</w:t>
            </w:r>
          </w:p>
        </w:tc>
        <w:tc>
          <w:tcPr>
            <w:tcW w:w="3954" w:type="dxa"/>
            <w:tcBorders>
              <w:top w:val="single" w:sz="2" w:space="0" w:color="000000"/>
              <w:left w:val="single" w:sz="2" w:space="0" w:color="000000"/>
              <w:bottom w:val="single" w:sz="2" w:space="0" w:color="000000"/>
              <w:right w:val="single" w:sz="2" w:space="0" w:color="000000"/>
            </w:tcBorders>
            <w:vAlign w:val="center"/>
            <w:hideMark/>
          </w:tcPr>
          <w:p w14:paraId="36967D40" w14:textId="65CC606E" w:rsidR="00D35E9B" w:rsidRPr="00EA78F9" w:rsidRDefault="00D35E9B" w:rsidP="001213A1">
            <w:pPr>
              <w:adjustRightInd w:val="0"/>
              <w:snapToGrid w:val="0"/>
              <w:rPr>
                <w:snapToGrid w:val="0"/>
                <w:kern w:val="0"/>
              </w:rPr>
            </w:pPr>
            <w:r w:rsidRPr="001213A1">
              <w:rPr>
                <w:rFonts w:hint="eastAsia"/>
                <w:snapToGrid w:val="0"/>
                <w:kern w:val="0"/>
              </w:rPr>
              <w:t>飞灰处理和处置设施所有者应按照国家有关自行监测的规定及本标准的要求，对飞灰的处理和处置过程进行环境和污染物监测。设施所有者可根据自身条件和能力，进行自行监测，也可委托其他有资质的检（监）测机构代其开展自行监测。飞灰处理产物进入生活垃圾填埋场进行填埋处置的，飞灰处理产物中重金属浸出浓度监测频次应不少于每日</w:t>
            </w:r>
            <w:r w:rsidRPr="001213A1">
              <w:rPr>
                <w:rFonts w:hint="eastAsia"/>
                <w:snapToGrid w:val="0"/>
                <w:kern w:val="0"/>
              </w:rPr>
              <w:t>1</w:t>
            </w:r>
            <w:r w:rsidRPr="001213A1">
              <w:rPr>
                <w:rFonts w:hint="eastAsia"/>
                <w:snapToGrid w:val="0"/>
                <w:kern w:val="0"/>
              </w:rPr>
              <w:t>次，飞灰处理产物中二噁英类的监测频次应不少于每</w:t>
            </w:r>
            <w:r w:rsidRPr="001213A1">
              <w:rPr>
                <w:rFonts w:hint="eastAsia"/>
                <w:snapToGrid w:val="0"/>
                <w:kern w:val="0"/>
              </w:rPr>
              <w:t>6</w:t>
            </w:r>
            <w:r w:rsidRPr="001213A1">
              <w:rPr>
                <w:rFonts w:hint="eastAsia"/>
                <w:snapToGrid w:val="0"/>
                <w:kern w:val="0"/>
              </w:rPr>
              <w:t>个月</w:t>
            </w:r>
            <w:r w:rsidRPr="001213A1">
              <w:rPr>
                <w:rFonts w:hint="eastAsia"/>
                <w:snapToGrid w:val="0"/>
                <w:kern w:val="0"/>
              </w:rPr>
              <w:t>1</w:t>
            </w:r>
            <w:r>
              <w:rPr>
                <w:rFonts w:hint="eastAsia"/>
                <w:snapToGrid w:val="0"/>
                <w:kern w:val="0"/>
              </w:rPr>
              <w:t>次。</w:t>
            </w:r>
          </w:p>
        </w:tc>
        <w:tc>
          <w:tcPr>
            <w:tcW w:w="3763" w:type="dxa"/>
            <w:vMerge/>
            <w:tcBorders>
              <w:left w:val="single" w:sz="2" w:space="0" w:color="000000"/>
              <w:bottom w:val="single" w:sz="2" w:space="0" w:color="000000"/>
              <w:right w:val="single" w:sz="2" w:space="0" w:color="000000"/>
            </w:tcBorders>
            <w:vAlign w:val="center"/>
            <w:hideMark/>
          </w:tcPr>
          <w:p w14:paraId="464FCC3A" w14:textId="76C90EBF" w:rsidR="00D35E9B" w:rsidRPr="00EA78F9" w:rsidRDefault="00D35E9B" w:rsidP="00EA78F9">
            <w:pPr>
              <w:adjustRightInd w:val="0"/>
              <w:snapToGrid w:val="0"/>
              <w:jc w:val="center"/>
              <w:rPr>
                <w:snapToGrid w:val="0"/>
                <w:kern w:val="0"/>
              </w:rPr>
            </w:pPr>
          </w:p>
        </w:tc>
        <w:tc>
          <w:tcPr>
            <w:tcW w:w="274" w:type="dxa"/>
            <w:tcBorders>
              <w:top w:val="single" w:sz="2" w:space="0" w:color="000000"/>
              <w:left w:val="single" w:sz="2" w:space="0" w:color="000000"/>
              <w:bottom w:val="single" w:sz="2" w:space="0" w:color="000000"/>
              <w:right w:val="single" w:sz="4" w:space="0" w:color="auto"/>
            </w:tcBorders>
            <w:vAlign w:val="center"/>
            <w:hideMark/>
          </w:tcPr>
          <w:p w14:paraId="7E5AADF3" w14:textId="77777777" w:rsidR="00D35E9B" w:rsidRPr="00EA78F9" w:rsidRDefault="00D35E9B" w:rsidP="00EA78F9">
            <w:pPr>
              <w:adjustRightInd w:val="0"/>
              <w:snapToGrid w:val="0"/>
              <w:jc w:val="center"/>
              <w:rPr>
                <w:snapToGrid w:val="0"/>
                <w:kern w:val="0"/>
                <w:lang w:eastAsia="en-US"/>
              </w:rPr>
            </w:pPr>
            <w:r w:rsidRPr="00EA78F9">
              <w:rPr>
                <w:rFonts w:hint="eastAsia"/>
                <w:snapToGrid w:val="0"/>
                <w:kern w:val="0"/>
                <w:lang w:eastAsia="en-US"/>
              </w:rPr>
              <w:t>符合</w:t>
            </w:r>
          </w:p>
        </w:tc>
      </w:tr>
      <w:tr w:rsidR="005C0E7E" w:rsidRPr="00EA78F9" w14:paraId="66BB1070" w14:textId="77777777" w:rsidTr="00233E93">
        <w:trPr>
          <w:trHeight w:val="1130"/>
          <w:jc w:val="center"/>
        </w:trPr>
        <w:tc>
          <w:tcPr>
            <w:tcW w:w="589" w:type="dxa"/>
            <w:vMerge/>
            <w:tcBorders>
              <w:left w:val="single" w:sz="4" w:space="0" w:color="auto"/>
              <w:bottom w:val="single" w:sz="4" w:space="0" w:color="auto"/>
              <w:right w:val="single" w:sz="2" w:space="0" w:color="000000"/>
            </w:tcBorders>
            <w:vAlign w:val="center"/>
          </w:tcPr>
          <w:p w14:paraId="36D4A5E8" w14:textId="77777777" w:rsidR="005C0E7E" w:rsidRPr="00EA78F9" w:rsidRDefault="005C0E7E" w:rsidP="00EA78F9">
            <w:pPr>
              <w:widowControl/>
              <w:jc w:val="left"/>
              <w:rPr>
                <w:snapToGrid w:val="0"/>
                <w:kern w:val="0"/>
              </w:rPr>
            </w:pPr>
          </w:p>
        </w:tc>
        <w:tc>
          <w:tcPr>
            <w:tcW w:w="555" w:type="dxa"/>
            <w:tcBorders>
              <w:top w:val="single" w:sz="2" w:space="0" w:color="000000"/>
              <w:left w:val="single" w:sz="2" w:space="0" w:color="000000"/>
              <w:bottom w:val="single" w:sz="4" w:space="0" w:color="auto"/>
              <w:right w:val="single" w:sz="2" w:space="0" w:color="000000"/>
            </w:tcBorders>
            <w:vAlign w:val="center"/>
          </w:tcPr>
          <w:p w14:paraId="16ED756C" w14:textId="0BCCD3D2" w:rsidR="005C0E7E" w:rsidRPr="005C0E7E" w:rsidRDefault="005C0E7E" w:rsidP="00EA78F9">
            <w:pPr>
              <w:widowControl/>
              <w:jc w:val="left"/>
              <w:rPr>
                <w:snapToGrid w:val="0"/>
                <w:kern w:val="0"/>
              </w:rPr>
            </w:pPr>
            <w:r w:rsidRPr="005C0E7E">
              <w:rPr>
                <w:rFonts w:hint="eastAsia"/>
                <w:snapToGrid w:val="0"/>
                <w:kern w:val="0"/>
              </w:rPr>
              <w:t>环境管理要求</w:t>
            </w:r>
          </w:p>
        </w:tc>
        <w:tc>
          <w:tcPr>
            <w:tcW w:w="3954" w:type="dxa"/>
            <w:tcBorders>
              <w:top w:val="single" w:sz="2" w:space="0" w:color="000000"/>
              <w:left w:val="single" w:sz="2" w:space="0" w:color="000000"/>
              <w:bottom w:val="single" w:sz="4" w:space="0" w:color="auto"/>
              <w:right w:val="single" w:sz="2" w:space="0" w:color="000000"/>
            </w:tcBorders>
            <w:vAlign w:val="center"/>
          </w:tcPr>
          <w:p w14:paraId="53C7B4E6" w14:textId="58863D65" w:rsidR="005C0E7E" w:rsidRPr="005C0E7E" w:rsidRDefault="005C0E7E" w:rsidP="001213A1">
            <w:pPr>
              <w:adjustRightInd w:val="0"/>
              <w:snapToGrid w:val="0"/>
              <w:rPr>
                <w:snapToGrid w:val="0"/>
                <w:kern w:val="0"/>
              </w:rPr>
            </w:pPr>
            <w:r w:rsidRPr="005C0E7E">
              <w:rPr>
                <w:rFonts w:hint="eastAsia"/>
                <w:snapToGrid w:val="0"/>
                <w:kern w:val="0"/>
              </w:rPr>
              <w:t>飞灰处理和处置设施所有者应设置专门的部门或者专职人员，负责飞灰处理和处置过程的相关环境管理工作。</w:t>
            </w:r>
          </w:p>
          <w:p w14:paraId="2F73C727" w14:textId="62D71AA9" w:rsidR="005C0E7E" w:rsidRPr="005C0E7E" w:rsidRDefault="005C0E7E" w:rsidP="005C0E7E">
            <w:pPr>
              <w:adjustRightInd w:val="0"/>
              <w:snapToGrid w:val="0"/>
              <w:rPr>
                <w:snapToGrid w:val="0"/>
                <w:kern w:val="0"/>
              </w:rPr>
            </w:pPr>
            <w:r w:rsidRPr="005C0E7E">
              <w:rPr>
                <w:rFonts w:hint="eastAsia"/>
                <w:snapToGrid w:val="0"/>
                <w:kern w:val="0"/>
              </w:rPr>
              <w:t>应建立污染预防机制和处理突发环境事件的应急预案制度。</w:t>
            </w:r>
          </w:p>
          <w:p w14:paraId="6B249242" w14:textId="71A60B4C" w:rsidR="005C0E7E" w:rsidRPr="005C0E7E" w:rsidRDefault="005C0E7E" w:rsidP="001213A1">
            <w:pPr>
              <w:adjustRightInd w:val="0"/>
              <w:snapToGrid w:val="0"/>
              <w:rPr>
                <w:snapToGrid w:val="0"/>
                <w:kern w:val="0"/>
              </w:rPr>
            </w:pPr>
            <w:r w:rsidRPr="005C0E7E">
              <w:rPr>
                <w:rFonts w:hint="eastAsia"/>
                <w:snapToGrid w:val="0"/>
                <w:kern w:val="0"/>
              </w:rPr>
              <w:t>应对飞灰处理和处置过程的所有作业人员进行培训，内容包括飞灰的危害特性、环境保护要求、环境应急处理等。</w:t>
            </w:r>
          </w:p>
          <w:p w14:paraId="65CE6BAE" w14:textId="3DD54E7E" w:rsidR="005C0E7E" w:rsidRPr="005C0E7E" w:rsidRDefault="005C0E7E" w:rsidP="001213A1">
            <w:pPr>
              <w:adjustRightInd w:val="0"/>
              <w:snapToGrid w:val="0"/>
              <w:rPr>
                <w:snapToGrid w:val="0"/>
                <w:kern w:val="0"/>
              </w:rPr>
            </w:pPr>
            <w:r w:rsidRPr="005C0E7E">
              <w:rPr>
                <w:rFonts w:hint="eastAsia"/>
                <w:snapToGrid w:val="0"/>
                <w:kern w:val="0"/>
              </w:rPr>
              <w:t>应按要求开展飞灰收集、贮存、运输、处理和处置过程中相关设备或设施泄漏、渗漏等情况的土壤污染隐患排查。</w:t>
            </w:r>
          </w:p>
          <w:p w14:paraId="2EBE764B" w14:textId="1161A86C" w:rsidR="005C0E7E" w:rsidRPr="00EA78F9" w:rsidRDefault="005C0E7E" w:rsidP="00233E93">
            <w:pPr>
              <w:adjustRightInd w:val="0"/>
              <w:snapToGrid w:val="0"/>
              <w:rPr>
                <w:snapToGrid w:val="0"/>
                <w:kern w:val="0"/>
              </w:rPr>
            </w:pPr>
            <w:r w:rsidRPr="005C0E7E">
              <w:rPr>
                <w:rFonts w:hint="eastAsia"/>
                <w:snapToGrid w:val="0"/>
                <w:kern w:val="0"/>
              </w:rPr>
              <w:t>应建立管理台账，</w:t>
            </w:r>
            <w:r w:rsidR="00233E93">
              <w:rPr>
                <w:rFonts w:hint="eastAsia"/>
                <w:snapToGrid w:val="0"/>
                <w:kern w:val="0"/>
              </w:rPr>
              <w:t>并</w:t>
            </w:r>
            <w:r w:rsidRPr="005C0E7E">
              <w:rPr>
                <w:rFonts w:hint="eastAsia"/>
                <w:snapToGrid w:val="0"/>
                <w:kern w:val="0"/>
              </w:rPr>
              <w:t>保存处理和处置的相关资料，包括培训记录、管理台账等。保存时间不应少于</w:t>
            </w:r>
            <w:r w:rsidRPr="005C0E7E">
              <w:rPr>
                <w:rFonts w:hint="eastAsia"/>
                <w:snapToGrid w:val="0"/>
                <w:kern w:val="0"/>
              </w:rPr>
              <w:t>10</w:t>
            </w:r>
            <w:r w:rsidRPr="005C0E7E">
              <w:rPr>
                <w:rFonts w:hint="eastAsia"/>
                <w:snapToGrid w:val="0"/>
                <w:kern w:val="0"/>
              </w:rPr>
              <w:t>年</w:t>
            </w:r>
            <w:r w:rsidR="00233E93">
              <w:rPr>
                <w:rFonts w:hint="eastAsia"/>
                <w:snapToGrid w:val="0"/>
                <w:kern w:val="0"/>
              </w:rPr>
              <w:t>，</w:t>
            </w:r>
            <w:r w:rsidRPr="005C0E7E">
              <w:rPr>
                <w:rFonts w:hint="eastAsia"/>
                <w:snapToGrid w:val="0"/>
                <w:kern w:val="0"/>
              </w:rPr>
              <w:t>每年编制总结报告并向社会公开。</w:t>
            </w:r>
          </w:p>
        </w:tc>
        <w:tc>
          <w:tcPr>
            <w:tcW w:w="3763" w:type="dxa"/>
            <w:tcBorders>
              <w:top w:val="single" w:sz="2" w:space="0" w:color="000000"/>
              <w:left w:val="single" w:sz="2" w:space="0" w:color="000000"/>
              <w:bottom w:val="single" w:sz="4" w:space="0" w:color="auto"/>
              <w:right w:val="single" w:sz="2" w:space="0" w:color="000000"/>
            </w:tcBorders>
            <w:vAlign w:val="center"/>
          </w:tcPr>
          <w:p w14:paraId="5BCCEEB7" w14:textId="308F8E20" w:rsidR="005C0E7E" w:rsidRPr="00233E93" w:rsidRDefault="00233E93" w:rsidP="00EA78F9">
            <w:pPr>
              <w:adjustRightInd w:val="0"/>
              <w:snapToGrid w:val="0"/>
              <w:jc w:val="center"/>
              <w:rPr>
                <w:rFonts w:ascii="Cambria Math" w:hAnsi="Cambria Math" w:cs="Cambria Math"/>
                <w:snapToGrid w:val="0"/>
                <w:kern w:val="0"/>
              </w:rPr>
            </w:pPr>
            <w:r w:rsidRPr="00233E93">
              <w:rPr>
                <w:rFonts w:ascii="Cambria Math" w:hAnsi="Cambria Math" w:cs="Cambria Math" w:hint="eastAsia"/>
                <w:snapToGrid w:val="0"/>
                <w:kern w:val="0"/>
              </w:rPr>
              <w:t>飞灰处理和处置设施所有者应设置专职人员</w:t>
            </w:r>
            <w:r>
              <w:rPr>
                <w:rFonts w:ascii="Cambria Math" w:hAnsi="Cambria Math" w:cs="Cambria Math" w:hint="eastAsia"/>
                <w:snapToGrid w:val="0"/>
                <w:kern w:val="0"/>
              </w:rPr>
              <w:t>，并提出了编制了应急预案，开展应急培训及应急演练的要求；要求建立台账，并保存</w:t>
            </w:r>
            <w:r>
              <w:rPr>
                <w:rFonts w:ascii="Cambria Math" w:hAnsi="Cambria Math" w:cs="Cambria Math" w:hint="eastAsia"/>
                <w:snapToGrid w:val="0"/>
                <w:kern w:val="0"/>
              </w:rPr>
              <w:t>10</w:t>
            </w:r>
            <w:r>
              <w:rPr>
                <w:rFonts w:ascii="Cambria Math" w:hAnsi="Cambria Math" w:cs="Cambria Math" w:hint="eastAsia"/>
                <w:snapToGrid w:val="0"/>
                <w:kern w:val="0"/>
              </w:rPr>
              <w:t>年，每年向社会公开。</w:t>
            </w:r>
          </w:p>
        </w:tc>
        <w:tc>
          <w:tcPr>
            <w:tcW w:w="274" w:type="dxa"/>
            <w:tcBorders>
              <w:top w:val="single" w:sz="2" w:space="0" w:color="000000"/>
              <w:left w:val="single" w:sz="2" w:space="0" w:color="000000"/>
              <w:bottom w:val="single" w:sz="4" w:space="0" w:color="auto"/>
              <w:right w:val="single" w:sz="4" w:space="0" w:color="auto"/>
            </w:tcBorders>
            <w:vAlign w:val="center"/>
          </w:tcPr>
          <w:p w14:paraId="5FEEC9A8" w14:textId="0D70DCDA" w:rsidR="005C0E7E" w:rsidRPr="001213A1" w:rsidRDefault="001213A1" w:rsidP="00EA78F9">
            <w:pPr>
              <w:adjustRightInd w:val="0"/>
              <w:snapToGrid w:val="0"/>
              <w:jc w:val="center"/>
              <w:rPr>
                <w:snapToGrid w:val="0"/>
                <w:kern w:val="0"/>
              </w:rPr>
            </w:pPr>
            <w:r>
              <w:rPr>
                <w:rFonts w:hint="eastAsia"/>
                <w:snapToGrid w:val="0"/>
                <w:kern w:val="0"/>
              </w:rPr>
              <w:t>符合</w:t>
            </w:r>
          </w:p>
        </w:tc>
      </w:tr>
    </w:tbl>
    <w:p w14:paraId="3482979E" w14:textId="4EC7C3CC" w:rsidR="00EA78F9" w:rsidRPr="00EA78F9" w:rsidRDefault="00EA78F9" w:rsidP="00EA78F9">
      <w:pPr>
        <w:tabs>
          <w:tab w:val="left" w:pos="2796"/>
        </w:tabs>
        <w:sectPr w:rsidR="00EA78F9" w:rsidRPr="00EA78F9" w:rsidSect="00EA5215">
          <w:headerReference w:type="default" r:id="rId67"/>
          <w:footerReference w:type="default" r:id="rId68"/>
          <w:pgSz w:w="11905" w:h="16838"/>
          <w:pgMar w:top="1417" w:right="1474" w:bottom="1417" w:left="1474" w:header="850" w:footer="850" w:gutter="113"/>
          <w:cols w:space="0"/>
          <w:docGrid w:linePitch="1"/>
        </w:sectPr>
      </w:pPr>
      <w:r>
        <w:tab/>
      </w:r>
    </w:p>
    <w:p w14:paraId="10FF604B" w14:textId="7FA1CDF7" w:rsidR="00606029" w:rsidRDefault="00EA5B92">
      <w:pPr>
        <w:pStyle w:val="1"/>
        <w:jc w:val="center"/>
      </w:pPr>
      <w:bookmarkStart w:id="185" w:name="_Toc2201"/>
      <w:bookmarkStart w:id="186" w:name="_Toc5637"/>
      <w:bookmarkStart w:id="187" w:name="_Toc220680498"/>
      <w:r>
        <w:lastRenderedPageBreak/>
        <w:t>第四章</w:t>
      </w:r>
      <w:r>
        <w:t xml:space="preserve">  </w:t>
      </w:r>
      <w:bookmarkEnd w:id="185"/>
      <w:bookmarkEnd w:id="186"/>
      <w:r w:rsidR="00B06A27" w:rsidRPr="00B06A27">
        <w:t>自然环境概况</w:t>
      </w:r>
      <w:bookmarkEnd w:id="187"/>
    </w:p>
    <w:p w14:paraId="033BF69D" w14:textId="3FCE1F8B" w:rsidR="00606029" w:rsidRDefault="00EA5B92" w:rsidP="00B06A27">
      <w:pPr>
        <w:pStyle w:val="2"/>
      </w:pPr>
      <w:bookmarkStart w:id="188" w:name="_Toc31344"/>
      <w:bookmarkStart w:id="189" w:name="_Toc29668"/>
      <w:bookmarkStart w:id="190" w:name="_Toc220680499"/>
      <w:r>
        <w:t>4.1</w:t>
      </w:r>
      <w:bookmarkEnd w:id="188"/>
      <w:bookmarkEnd w:id="189"/>
      <w:r>
        <w:t>地理位置</w:t>
      </w:r>
      <w:bookmarkEnd w:id="190"/>
    </w:p>
    <w:p w14:paraId="76B00C80" w14:textId="77777777" w:rsidR="00DD0EC1" w:rsidRDefault="00DD0EC1" w:rsidP="00DD0EC1">
      <w:pPr>
        <w:pStyle w:val="affffff4"/>
      </w:pPr>
      <w:r>
        <w:rPr>
          <w:rFonts w:hint="eastAsia"/>
        </w:rPr>
        <w:t>大庆市位于黑龙江省西部、松嫩平原中部，地理位置在北纬</w:t>
      </w:r>
      <w:r>
        <w:rPr>
          <w:rFonts w:hint="eastAsia"/>
        </w:rPr>
        <w:t>45</w:t>
      </w:r>
      <w:r>
        <w:rPr>
          <w:rFonts w:hint="eastAsia"/>
        </w:rPr>
        <w:t>°</w:t>
      </w:r>
      <w:r>
        <w:rPr>
          <w:rFonts w:hint="eastAsia"/>
        </w:rPr>
        <w:t>46'</w:t>
      </w:r>
      <w:r>
        <w:rPr>
          <w:rFonts w:hint="eastAsia"/>
        </w:rPr>
        <w:t>至</w:t>
      </w:r>
      <w:r>
        <w:rPr>
          <w:rFonts w:hint="eastAsia"/>
        </w:rPr>
        <w:t>46</w:t>
      </w:r>
      <w:r>
        <w:rPr>
          <w:rFonts w:hint="eastAsia"/>
        </w:rPr>
        <w:t>°</w:t>
      </w:r>
      <w:r>
        <w:rPr>
          <w:rFonts w:hint="eastAsia"/>
        </w:rPr>
        <w:t>55'</w:t>
      </w:r>
      <w:r>
        <w:rPr>
          <w:rFonts w:hint="eastAsia"/>
        </w:rPr>
        <w:t>，东经</w:t>
      </w:r>
      <w:r>
        <w:rPr>
          <w:rFonts w:hint="eastAsia"/>
        </w:rPr>
        <w:t>124</w:t>
      </w:r>
      <w:r>
        <w:rPr>
          <w:rFonts w:hint="eastAsia"/>
        </w:rPr>
        <w:t>°</w:t>
      </w:r>
      <w:r>
        <w:rPr>
          <w:rFonts w:hint="eastAsia"/>
        </w:rPr>
        <w:t>19'</w:t>
      </w:r>
      <w:r>
        <w:rPr>
          <w:rFonts w:hint="eastAsia"/>
        </w:rPr>
        <w:t>至</w:t>
      </w:r>
      <w:r>
        <w:rPr>
          <w:rFonts w:hint="eastAsia"/>
        </w:rPr>
        <w:t>125</w:t>
      </w:r>
      <w:r>
        <w:rPr>
          <w:rFonts w:hint="eastAsia"/>
        </w:rPr>
        <w:t>°</w:t>
      </w:r>
      <w:r>
        <w:rPr>
          <w:rFonts w:hint="eastAsia"/>
        </w:rPr>
        <w:t>12'</w:t>
      </w:r>
      <w:r>
        <w:rPr>
          <w:rFonts w:hint="eastAsia"/>
        </w:rPr>
        <w:t>之间，东南距黑龙江省会哈尔滨市</w:t>
      </w:r>
      <w:r>
        <w:rPr>
          <w:rFonts w:hint="eastAsia"/>
        </w:rPr>
        <w:t>150</w:t>
      </w:r>
      <w:r>
        <w:rPr>
          <w:rFonts w:hint="eastAsia"/>
        </w:rPr>
        <w:t>公里，西北距齐齐哈尔市</w:t>
      </w:r>
      <w:r>
        <w:rPr>
          <w:rFonts w:hint="eastAsia"/>
        </w:rPr>
        <w:t>139</w:t>
      </w:r>
      <w:r>
        <w:rPr>
          <w:rFonts w:hint="eastAsia"/>
        </w:rPr>
        <w:t>公里，全市总面积</w:t>
      </w:r>
      <w:r>
        <w:rPr>
          <w:rFonts w:hint="eastAsia"/>
        </w:rPr>
        <w:t>2.1</w:t>
      </w:r>
      <w:r>
        <w:rPr>
          <w:rFonts w:hint="eastAsia"/>
        </w:rPr>
        <w:t>万平方公里，其中市区</w:t>
      </w:r>
      <w:r>
        <w:rPr>
          <w:rFonts w:hint="eastAsia"/>
        </w:rPr>
        <w:t>5107</w:t>
      </w:r>
      <w:r>
        <w:rPr>
          <w:rFonts w:hint="eastAsia"/>
        </w:rPr>
        <w:t>平方公里。</w:t>
      </w:r>
    </w:p>
    <w:p w14:paraId="5ADC9352" w14:textId="4EC0DFE5" w:rsidR="00DD0EC1" w:rsidRDefault="00DD0EC1" w:rsidP="00DD0EC1">
      <w:pPr>
        <w:pStyle w:val="affffff4"/>
      </w:pPr>
      <w:r>
        <w:rPr>
          <w:rFonts w:hint="eastAsia"/>
        </w:rPr>
        <w:t>本项目位于大庆市龙凤区红旗二村南侧，原大庆市生活垃圾综合处理厂场址范围内，厂址中心坐标：（</w:t>
      </w:r>
      <w:r w:rsidR="00F806E3" w:rsidRPr="00F806E3">
        <w:t>124.98184426</w:t>
      </w:r>
      <w:r w:rsidR="00F806E3">
        <w:rPr>
          <w:rFonts w:hint="eastAsia"/>
        </w:rPr>
        <w:t>，</w:t>
      </w:r>
      <w:r w:rsidR="00F806E3" w:rsidRPr="00F806E3">
        <w:t>46.43221087</w:t>
      </w:r>
      <w:r>
        <w:rPr>
          <w:rFonts w:hint="eastAsia"/>
        </w:rPr>
        <w:t>）。</w:t>
      </w:r>
    </w:p>
    <w:p w14:paraId="33242DE8" w14:textId="2772EB6C" w:rsidR="00606029" w:rsidRDefault="00DD0EC1" w:rsidP="00DD0EC1">
      <w:pPr>
        <w:pStyle w:val="affffff4"/>
      </w:pPr>
      <w:r>
        <w:rPr>
          <w:rFonts w:hint="eastAsia"/>
        </w:rPr>
        <w:t>厂界西侧临乡道，隔</w:t>
      </w:r>
      <w:r>
        <w:rPr>
          <w:rFonts w:hint="eastAsia"/>
        </w:rPr>
        <w:t>40m</w:t>
      </w:r>
      <w:r>
        <w:rPr>
          <w:rFonts w:hint="eastAsia"/>
        </w:rPr>
        <w:t>为中央排干；厂界北侧</w:t>
      </w:r>
      <w:r>
        <w:rPr>
          <w:rFonts w:hint="eastAsia"/>
        </w:rPr>
        <w:t>300m</w:t>
      </w:r>
      <w:r>
        <w:rPr>
          <w:rFonts w:hint="eastAsia"/>
        </w:rPr>
        <w:t>范围为草地；厂界东北侧隔</w:t>
      </w:r>
      <w:r>
        <w:rPr>
          <w:rFonts w:hint="eastAsia"/>
        </w:rPr>
        <w:t>10m</w:t>
      </w:r>
      <w:r>
        <w:rPr>
          <w:rFonts w:hint="eastAsia"/>
        </w:rPr>
        <w:t>空地为大庆市污泥处理厂；厂界东侧临大庆市生活垃圾综合处理厂生活垃圾填埋区；厂界南侧隔</w:t>
      </w:r>
      <w:r>
        <w:rPr>
          <w:rFonts w:hint="eastAsia"/>
        </w:rPr>
        <w:t>60m</w:t>
      </w:r>
      <w:r>
        <w:rPr>
          <w:rFonts w:hint="eastAsia"/>
        </w:rPr>
        <w:t>空地为</w:t>
      </w:r>
      <w:r w:rsidR="00737DEC">
        <w:rPr>
          <w:rFonts w:hint="eastAsia"/>
        </w:rPr>
        <w:t>无名水泡</w:t>
      </w:r>
      <w:r>
        <w:rPr>
          <w:rFonts w:hint="eastAsia"/>
        </w:rPr>
        <w:t>。</w:t>
      </w:r>
    </w:p>
    <w:p w14:paraId="0E01FEEB" w14:textId="29FC2CA3" w:rsidR="00606029" w:rsidRDefault="00EA5B92" w:rsidP="00B06A27">
      <w:pPr>
        <w:pStyle w:val="2"/>
      </w:pPr>
      <w:bookmarkStart w:id="191" w:name="_Toc220680500"/>
      <w:r>
        <w:t>4.2</w:t>
      </w:r>
      <w:r>
        <w:t>气候条件</w:t>
      </w:r>
      <w:bookmarkEnd w:id="191"/>
    </w:p>
    <w:p w14:paraId="7D9D247B" w14:textId="60720AE9" w:rsidR="00606029" w:rsidRDefault="00DD0EC1">
      <w:pPr>
        <w:pStyle w:val="affffff4"/>
      </w:pPr>
      <w:r w:rsidRPr="00DD0EC1">
        <w:rPr>
          <w:rFonts w:hint="eastAsia"/>
        </w:rPr>
        <w:t>大庆市气候类型属中温带大陆性季风气候，为半干旱向半湿润过渡地带。受内陆及海上高低压和季风交替影响，冬季漫长、寒冷、干燥；夏季短促、温暖、雨热同期；春秋两季为过渡期，时间短，春季多风干燥少雨，秋季急剧降温，霜冻寒潮时有发生。年平均气温</w:t>
      </w:r>
      <w:r w:rsidRPr="00DD0EC1">
        <w:rPr>
          <w:rFonts w:hint="eastAsia"/>
        </w:rPr>
        <w:t>3.2</w:t>
      </w:r>
      <w:r w:rsidRPr="00DD0EC1">
        <w:rPr>
          <w:rFonts w:hint="eastAsia"/>
        </w:rPr>
        <w:t>℃，降水量</w:t>
      </w:r>
      <w:r w:rsidRPr="00DD0EC1">
        <w:rPr>
          <w:rFonts w:hint="eastAsia"/>
        </w:rPr>
        <w:t>441.3mm</w:t>
      </w:r>
      <w:r w:rsidRPr="00DD0EC1">
        <w:rPr>
          <w:rFonts w:hint="eastAsia"/>
        </w:rPr>
        <w:t>，且多集中在</w:t>
      </w:r>
      <w:r w:rsidRPr="00DD0EC1">
        <w:rPr>
          <w:rFonts w:hint="eastAsia"/>
        </w:rPr>
        <w:t>6-9</w:t>
      </w:r>
      <w:r w:rsidRPr="00DD0EC1">
        <w:rPr>
          <w:rFonts w:hint="eastAsia"/>
        </w:rPr>
        <w:t>月，蒸发量为</w:t>
      </w:r>
      <w:r w:rsidRPr="00DD0EC1">
        <w:rPr>
          <w:rFonts w:hint="eastAsia"/>
        </w:rPr>
        <w:t>1589mm</w:t>
      </w:r>
      <w:r w:rsidRPr="00DD0EC1">
        <w:rPr>
          <w:rFonts w:hint="eastAsia"/>
        </w:rPr>
        <w:t>，年平均风速</w:t>
      </w:r>
      <w:r w:rsidRPr="00DD0EC1">
        <w:rPr>
          <w:rFonts w:hint="eastAsia"/>
        </w:rPr>
        <w:t>3.8m/s</w:t>
      </w:r>
      <w:r w:rsidRPr="00DD0EC1">
        <w:rPr>
          <w:rFonts w:hint="eastAsia"/>
        </w:rPr>
        <w:t>，日照</w:t>
      </w:r>
      <w:r w:rsidRPr="00DD0EC1">
        <w:rPr>
          <w:rFonts w:hint="eastAsia"/>
        </w:rPr>
        <w:t>2826h</w:t>
      </w:r>
      <w:r w:rsidRPr="00DD0EC1">
        <w:rPr>
          <w:rFonts w:hint="eastAsia"/>
        </w:rPr>
        <w:t>，无霜期</w:t>
      </w:r>
      <w:r w:rsidRPr="00DD0EC1">
        <w:rPr>
          <w:rFonts w:hint="eastAsia"/>
        </w:rPr>
        <w:t>140</w:t>
      </w:r>
      <w:r w:rsidRPr="00DD0EC1">
        <w:rPr>
          <w:rFonts w:hint="eastAsia"/>
        </w:rPr>
        <w:t>天。</w:t>
      </w:r>
    </w:p>
    <w:p w14:paraId="108D7BD9" w14:textId="270D903C" w:rsidR="00606029" w:rsidRDefault="00EA5B92" w:rsidP="00B06A27">
      <w:pPr>
        <w:pStyle w:val="2"/>
      </w:pPr>
      <w:bookmarkStart w:id="192" w:name="_Toc220680501"/>
      <w:r>
        <w:t>4.3</w:t>
      </w:r>
      <w:r>
        <w:t>地形地貌</w:t>
      </w:r>
      <w:bookmarkEnd w:id="192"/>
    </w:p>
    <w:p w14:paraId="7BD10823" w14:textId="77777777" w:rsidR="00DD0EC1" w:rsidRDefault="00DD0EC1" w:rsidP="00DD0EC1">
      <w:pPr>
        <w:pStyle w:val="affffff4"/>
      </w:pPr>
      <w:r>
        <w:rPr>
          <w:rFonts w:hint="eastAsia"/>
        </w:rPr>
        <w:t>本项目位于松花江、嫩江的冲击平原腹地，地形平坦，无山无岭，海拔高度为</w:t>
      </w:r>
      <w:r>
        <w:rPr>
          <w:rFonts w:hint="eastAsia"/>
        </w:rPr>
        <w:t>141m</w:t>
      </w:r>
      <w:r>
        <w:rPr>
          <w:rFonts w:hint="eastAsia"/>
        </w:rPr>
        <w:t>。地表植被主要由草甸草原、盐生草甸、沼泽植被构成。草甸草原是松嫩草原的地带性植被，分布在漫岗地、缓坡地和低平地上，主要以中旱生的多年生草本植物为建群种，并以丛生和根茎型禾草占优势。植被覆盖度多在</w:t>
      </w:r>
      <w:r>
        <w:rPr>
          <w:rFonts w:hint="eastAsia"/>
        </w:rPr>
        <w:t>65%</w:t>
      </w:r>
      <w:r>
        <w:rPr>
          <w:rFonts w:hint="eastAsia"/>
        </w:rPr>
        <w:t>以上，草层平均高度</w:t>
      </w:r>
      <w:r>
        <w:rPr>
          <w:rFonts w:hint="eastAsia"/>
        </w:rPr>
        <w:t>50cm</w:t>
      </w:r>
      <w:r>
        <w:rPr>
          <w:rFonts w:hint="eastAsia"/>
        </w:rPr>
        <w:t>左右；盐生草甸多在地势低洼处与草甸草原植被镶嵌分布，主要由盐中生和旱中生禾草、杂类草组成。植被覆盖度</w:t>
      </w:r>
      <w:r>
        <w:rPr>
          <w:rFonts w:hint="eastAsia"/>
        </w:rPr>
        <w:t>60</w:t>
      </w:r>
      <w:r>
        <w:rPr>
          <w:rFonts w:hint="eastAsia"/>
        </w:rPr>
        <w:t>～</w:t>
      </w:r>
      <w:r>
        <w:rPr>
          <w:rFonts w:hint="eastAsia"/>
        </w:rPr>
        <w:t>80%</w:t>
      </w:r>
      <w:r>
        <w:rPr>
          <w:rFonts w:hint="eastAsia"/>
        </w:rPr>
        <w:t>，草层平均高度</w:t>
      </w:r>
      <w:r>
        <w:rPr>
          <w:rFonts w:hint="eastAsia"/>
        </w:rPr>
        <w:t>55cm</w:t>
      </w:r>
      <w:r>
        <w:rPr>
          <w:rFonts w:hint="eastAsia"/>
        </w:rPr>
        <w:t>左右；沼泽植被分布广泛，是在地表终年积水或季节性积水的条件下，由多年生湿生植物为主形成的一种隐域性植被。植被覆盖度在</w:t>
      </w:r>
      <w:r>
        <w:rPr>
          <w:rFonts w:hint="eastAsia"/>
        </w:rPr>
        <w:t>80</w:t>
      </w:r>
      <w:r>
        <w:rPr>
          <w:rFonts w:hint="eastAsia"/>
        </w:rPr>
        <w:t>～</w:t>
      </w:r>
      <w:r>
        <w:rPr>
          <w:rFonts w:hint="eastAsia"/>
        </w:rPr>
        <w:t>100%</w:t>
      </w:r>
      <w:r>
        <w:rPr>
          <w:rFonts w:hint="eastAsia"/>
        </w:rPr>
        <w:t>，生长高度</w:t>
      </w:r>
      <w:r>
        <w:rPr>
          <w:rFonts w:hint="eastAsia"/>
        </w:rPr>
        <w:t>150</w:t>
      </w:r>
      <w:r>
        <w:rPr>
          <w:rFonts w:hint="eastAsia"/>
        </w:rPr>
        <w:t>～</w:t>
      </w:r>
      <w:r>
        <w:rPr>
          <w:rFonts w:hint="eastAsia"/>
        </w:rPr>
        <w:t>250cm</w:t>
      </w:r>
      <w:r>
        <w:rPr>
          <w:rFonts w:hint="eastAsia"/>
        </w:rPr>
        <w:t>。</w:t>
      </w:r>
    </w:p>
    <w:p w14:paraId="43636435" w14:textId="77777777" w:rsidR="003428D3" w:rsidRDefault="00DD0EC1" w:rsidP="00ED365D">
      <w:pPr>
        <w:pStyle w:val="affffff4"/>
      </w:pPr>
      <w:r>
        <w:rPr>
          <w:rFonts w:hint="eastAsia"/>
        </w:rPr>
        <w:t>本项目位于大庆市龙凤区红旗二村南侧，原大庆市生活垃圾综合处理厂场址范围内，场地位于松嫩平原中部，地势平坦钻探点地面标高在</w:t>
      </w:r>
      <w:r>
        <w:rPr>
          <w:rFonts w:hint="eastAsia"/>
        </w:rPr>
        <w:t>145.08-146.13m</w:t>
      </w:r>
      <w:r>
        <w:rPr>
          <w:rFonts w:hint="eastAsia"/>
        </w:rPr>
        <w:t>之间，地表径流条件一般。</w:t>
      </w:r>
    </w:p>
    <w:p w14:paraId="4C66304B" w14:textId="446D4296" w:rsidR="003428D3" w:rsidRDefault="003428D3" w:rsidP="003428D3">
      <w:pPr>
        <w:pStyle w:val="affffff4"/>
      </w:pPr>
      <w:r>
        <w:rPr>
          <w:rFonts w:hint="eastAsia"/>
        </w:rPr>
        <w:t>根据</w:t>
      </w:r>
      <w:r w:rsidRPr="003428D3">
        <w:rPr>
          <w:rFonts w:hint="eastAsia"/>
        </w:rPr>
        <w:t>《建筑抗震设计规范》</w:t>
      </w:r>
      <w:r w:rsidRPr="003428D3">
        <w:rPr>
          <w:rFonts w:hint="eastAsia"/>
        </w:rPr>
        <w:t>(GB50011-2001)</w:t>
      </w:r>
      <w:r w:rsidRPr="003428D3">
        <w:rPr>
          <w:rFonts w:hint="eastAsia"/>
        </w:rPr>
        <w:t>附录</w:t>
      </w:r>
      <w:r w:rsidRPr="003428D3">
        <w:rPr>
          <w:rFonts w:hint="eastAsia"/>
        </w:rPr>
        <w:t>A</w:t>
      </w:r>
      <w:r w:rsidRPr="003428D3">
        <w:rPr>
          <w:rFonts w:hint="eastAsia"/>
        </w:rPr>
        <w:t>“我国主要城镇抗震设防烈度、</w:t>
      </w:r>
      <w:r w:rsidRPr="003428D3">
        <w:rPr>
          <w:rFonts w:hint="eastAsia"/>
        </w:rPr>
        <w:lastRenderedPageBreak/>
        <w:t>设计基本地震加速度和设计地震分组”中规定，该地区抗震设抗震设防烈度为</w:t>
      </w:r>
      <w:r w:rsidRPr="003428D3">
        <w:rPr>
          <w:rFonts w:hint="eastAsia"/>
        </w:rPr>
        <w:t>6</w:t>
      </w:r>
      <w:r w:rsidRPr="003428D3">
        <w:rPr>
          <w:rFonts w:hint="eastAsia"/>
        </w:rPr>
        <w:t>度，设计基本地震加速度值</w:t>
      </w:r>
      <w:r w:rsidRPr="003428D3">
        <w:rPr>
          <w:rFonts w:hint="eastAsia"/>
        </w:rPr>
        <w:t>0.05g</w:t>
      </w:r>
      <w:r w:rsidRPr="003428D3">
        <w:rPr>
          <w:rFonts w:hint="eastAsia"/>
        </w:rPr>
        <w:t>，且场地饱和粉土、粉砂层为</w:t>
      </w:r>
      <w:r w:rsidRPr="003428D3">
        <w:rPr>
          <w:rFonts w:hint="eastAsia"/>
        </w:rPr>
        <w:t>Q3</w:t>
      </w:r>
      <w:r w:rsidRPr="003428D3">
        <w:rPr>
          <w:rFonts w:hint="eastAsia"/>
        </w:rPr>
        <w:t>年代地层，依据《建筑抗震设计规范》</w:t>
      </w:r>
      <w:r w:rsidRPr="003428D3">
        <w:rPr>
          <w:rFonts w:hint="eastAsia"/>
        </w:rPr>
        <w:t>(GB50011-2001)</w:t>
      </w:r>
      <w:r w:rsidRPr="003428D3">
        <w:rPr>
          <w:rFonts w:hint="eastAsia"/>
        </w:rPr>
        <w:t>有关规定该场地饱和粉土、粉砂在计算深度范围内可不进行液化判别。</w:t>
      </w:r>
      <w:r>
        <w:rPr>
          <w:rFonts w:hint="eastAsia"/>
        </w:rPr>
        <w:t>场地无不良地质作用，地层分布较均匀，成层性良好，均为</w:t>
      </w:r>
      <w:r>
        <w:rPr>
          <w:rFonts w:hint="eastAsia"/>
        </w:rPr>
        <w:t>Q3</w:t>
      </w:r>
      <w:r>
        <w:rPr>
          <w:rFonts w:hint="eastAsia"/>
        </w:rPr>
        <w:t>及其以前沉积的地层，是较理想的建筑场地。</w:t>
      </w:r>
    </w:p>
    <w:p w14:paraId="29E901A7" w14:textId="1640EC3A" w:rsidR="00DD0EC1" w:rsidRDefault="003428D3" w:rsidP="003428D3">
      <w:pPr>
        <w:pStyle w:val="affffff4"/>
      </w:pPr>
      <w:r>
        <w:rPr>
          <w:rFonts w:hint="eastAsia"/>
        </w:rPr>
        <w:t>调查区的冻土为季节性冻土，冻结期时间在十月下旬至三月下旬，融化期时间在三月下旬至五月上旬，标准冻结深度为</w:t>
      </w:r>
      <w:r>
        <w:rPr>
          <w:rFonts w:hint="eastAsia"/>
        </w:rPr>
        <w:t>2.10m,</w:t>
      </w:r>
      <w:r>
        <w:rPr>
          <w:rFonts w:hint="eastAsia"/>
        </w:rPr>
        <w:t>最大冻结深度为</w:t>
      </w:r>
      <w:r>
        <w:rPr>
          <w:rFonts w:hint="eastAsia"/>
        </w:rPr>
        <w:t>2.30m</w:t>
      </w:r>
      <w:r>
        <w:rPr>
          <w:rFonts w:hint="eastAsia"/>
        </w:rPr>
        <w:t>。勘察期间，场地土的冻结深度为</w:t>
      </w:r>
      <w:r>
        <w:rPr>
          <w:rFonts w:hint="eastAsia"/>
        </w:rPr>
        <w:t>1.0-1.2m</w:t>
      </w:r>
      <w:r>
        <w:rPr>
          <w:rFonts w:hint="eastAsia"/>
        </w:rPr>
        <w:t>。</w:t>
      </w:r>
    </w:p>
    <w:p w14:paraId="1ED4DC5F" w14:textId="400301BD" w:rsidR="00606029" w:rsidRDefault="00DD0EC1" w:rsidP="00DD0EC1">
      <w:pPr>
        <w:pStyle w:val="affffff4"/>
      </w:pPr>
      <w:r>
        <w:rPr>
          <w:rFonts w:hint="eastAsia"/>
        </w:rPr>
        <w:t>根据本项目工程场地的地质资料、钻探资料、场地物探勘察的结论该场地除上部杂填土和素填土受近期人类活动影响外，其它各地层分布较稳定，拟建多层建筑宜采用天然地基，拟建主厂房和烟囱宜采用桩基础，第</w:t>
      </w:r>
      <w:r>
        <w:rPr>
          <w:rFonts w:hint="eastAsia"/>
        </w:rPr>
        <w:t>(7)</w:t>
      </w:r>
      <w:r>
        <w:rPr>
          <w:rFonts w:hint="eastAsia"/>
        </w:rPr>
        <w:t>层黏土分布较稳定，地层较均匀，适宜做为桩端持力层，根据建筑物荷载分布情况选取合适的桩端持力层。根据场地地形、地貌及环境工程地质条件，该建筑场地及其附近不存在对工程安全有影响的岩溶、崩塌、泥石流、采空区等不良地质作用危险区，不存在湿陷性土、红黏土、膨胀若土、盐渍岩土、多年冻土等特殊性岩土受区域地质构造的影响和控制，本地区地质构造条件相对较简单，地质构造较不发育，无新生断裂，无强烈断裂活动迹象，场地稳定，适宜建厂。</w:t>
      </w:r>
    </w:p>
    <w:p w14:paraId="29DAF68C" w14:textId="0E7A8499" w:rsidR="006D175E" w:rsidRPr="006D175E" w:rsidRDefault="006D175E" w:rsidP="00B06A27">
      <w:pPr>
        <w:pStyle w:val="2"/>
      </w:pPr>
      <w:bookmarkStart w:id="193" w:name="_Toc220680502"/>
      <w:r w:rsidRPr="006D175E">
        <w:t>4.</w:t>
      </w:r>
      <w:r>
        <w:rPr>
          <w:rFonts w:hint="eastAsia"/>
        </w:rPr>
        <w:t>4</w:t>
      </w:r>
      <w:r w:rsidRPr="006D175E">
        <w:t>水系</w:t>
      </w:r>
      <w:bookmarkEnd w:id="193"/>
    </w:p>
    <w:p w14:paraId="50312F07" w14:textId="77777777" w:rsidR="006D175E" w:rsidRPr="006D175E" w:rsidRDefault="006D175E" w:rsidP="006D175E">
      <w:pPr>
        <w:pStyle w:val="affffff4"/>
      </w:pPr>
      <w:r w:rsidRPr="006D175E">
        <w:t>大庆市区内没有一条天然河流，松花江、嫩江均为边际河流。由于地形和气候的影响，大庆市区的地表水文状况仍属闭流区，大气降水都汇集到低洼处，然后通过排水干渠排出区外。区内有许多天然季节性水泡子和积水沼泽地，该地区泡沼特点是：泡底平缓，水位浅，泡沿岸常与低湿草原相连。</w:t>
      </w:r>
    </w:p>
    <w:p w14:paraId="09E5F50A" w14:textId="77777777" w:rsidR="006D175E" w:rsidRPr="006D175E" w:rsidRDefault="006D175E" w:rsidP="006D175E">
      <w:pPr>
        <w:pStyle w:val="affffff4"/>
      </w:pPr>
      <w:r w:rsidRPr="006D175E">
        <w:t>从</w:t>
      </w:r>
      <w:r w:rsidRPr="006D175E">
        <w:t>20</w:t>
      </w:r>
      <w:r w:rsidRPr="006D175E">
        <w:t>世纪</w:t>
      </w:r>
      <w:r w:rsidRPr="006D175E">
        <w:t>70</w:t>
      </w:r>
      <w:r w:rsidRPr="006D175E">
        <w:t>年代开始，大庆市先后建成了以嫩江为水源的北部、中部、南部三大引水工程以及相应的蓄水工程。排水系统由南线排水和东线排水两部分组成，南线排水通过排水系统将市区的自然降水和城市污水排入松花江，与安肇新河汇合后进入库里泡，最终排入松花江。东线排水主要是排放大庆石化公司产生的废水，废水由青肯泡经肇兰新河在呼兰境内入松花江。</w:t>
      </w:r>
    </w:p>
    <w:p w14:paraId="7E04285B" w14:textId="3E595D32" w:rsidR="00606029" w:rsidRDefault="00EA5B92" w:rsidP="00B06A27">
      <w:pPr>
        <w:pStyle w:val="2"/>
      </w:pPr>
      <w:bookmarkStart w:id="194" w:name="_Toc220680503"/>
      <w:r>
        <w:lastRenderedPageBreak/>
        <w:t>4.</w:t>
      </w:r>
      <w:r w:rsidR="006D175E">
        <w:rPr>
          <w:rFonts w:hint="eastAsia"/>
        </w:rPr>
        <w:t>5</w:t>
      </w:r>
      <w:r>
        <w:t>水文</w:t>
      </w:r>
      <w:r w:rsidR="00ED365D">
        <w:rPr>
          <w:rFonts w:hint="eastAsia"/>
        </w:rPr>
        <w:t>地质</w:t>
      </w:r>
      <w:bookmarkEnd w:id="194"/>
    </w:p>
    <w:p w14:paraId="45C34BB0" w14:textId="6F52E3C6" w:rsidR="00ED365D" w:rsidRDefault="00ED365D" w:rsidP="00B06A27">
      <w:pPr>
        <w:pStyle w:val="3"/>
      </w:pPr>
      <w:bookmarkStart w:id="195" w:name="_Toc220680504"/>
      <w:r>
        <w:rPr>
          <w:rFonts w:hint="eastAsia"/>
        </w:rPr>
        <w:t>4.</w:t>
      </w:r>
      <w:r w:rsidR="006D175E">
        <w:rPr>
          <w:rFonts w:hint="eastAsia"/>
        </w:rPr>
        <w:t>5</w:t>
      </w:r>
      <w:r>
        <w:rPr>
          <w:rFonts w:hint="eastAsia"/>
        </w:rPr>
        <w:t>.1</w:t>
      </w:r>
      <w:r w:rsidR="003428D3">
        <w:rPr>
          <w:rFonts w:hint="eastAsia"/>
        </w:rPr>
        <w:t xml:space="preserve"> </w:t>
      </w:r>
      <w:r>
        <w:rPr>
          <w:rFonts w:hint="eastAsia"/>
        </w:rPr>
        <w:t>评价区区域地层</w:t>
      </w:r>
      <w:bookmarkEnd w:id="195"/>
    </w:p>
    <w:p w14:paraId="703B855D" w14:textId="66CD6485" w:rsidR="00ED365D" w:rsidRDefault="00ED365D" w:rsidP="00ED365D">
      <w:pPr>
        <w:pStyle w:val="affffff4"/>
      </w:pPr>
      <w:r>
        <w:rPr>
          <w:rFonts w:hint="eastAsia"/>
        </w:rPr>
        <w:t>大庆市位于松嫩平原腹地。松嫩平原是中新生代松辽大型断陷盆地的一部分，自侏罗系以来沉积厚度达</w:t>
      </w:r>
      <w:r>
        <w:rPr>
          <w:rFonts w:hint="eastAsia"/>
        </w:rPr>
        <w:t>6000</w:t>
      </w:r>
      <w:r>
        <w:rPr>
          <w:rFonts w:hint="eastAsia"/>
        </w:rPr>
        <w:t>余米，平原中部为大面积坳陷区，堆积了巨厚的白垩系、古近系泥岩、砂岩和泥质砂岩。</w:t>
      </w:r>
    </w:p>
    <w:p w14:paraId="3678263D" w14:textId="77777777" w:rsidR="00ED365D" w:rsidRDefault="00ED365D" w:rsidP="00ED365D">
      <w:pPr>
        <w:pStyle w:val="affffff4"/>
      </w:pPr>
      <w:r>
        <w:rPr>
          <w:rFonts w:hint="eastAsia"/>
        </w:rPr>
        <w:t>评价区内所揭露的地层由新到老为第四系上更新统大兴屯组黄土状粉质粘土和粉细砂、齐齐哈尔组淤泥质粉质粘土夹粉细砂；第四系中更新统林甸组淤泥质粉质粘土夹薄层砂、砂砾石；古近系依安组泥岩、砂岩；白垩系明水组泥岩和砂砾石，地层详细情况描述如下：</w:t>
      </w:r>
    </w:p>
    <w:p w14:paraId="3A5FC9E7" w14:textId="77777777" w:rsidR="00ED365D" w:rsidRDefault="00ED365D" w:rsidP="00ED365D">
      <w:pPr>
        <w:pStyle w:val="affffff4"/>
      </w:pPr>
      <w:r>
        <w:rPr>
          <w:rFonts w:hint="eastAsia"/>
        </w:rPr>
        <w:t>（</w:t>
      </w:r>
      <w:r>
        <w:rPr>
          <w:rFonts w:hint="eastAsia"/>
        </w:rPr>
        <w:t>1</w:t>
      </w:r>
      <w:r>
        <w:rPr>
          <w:rFonts w:hint="eastAsia"/>
        </w:rPr>
        <w:t>）第四系上更新统大兴屯组：地层厚度</w:t>
      </w:r>
      <w:r>
        <w:rPr>
          <w:rFonts w:hint="eastAsia"/>
        </w:rPr>
        <w:t>10-12m</w:t>
      </w:r>
      <w:r>
        <w:rPr>
          <w:rFonts w:hint="eastAsia"/>
        </w:rPr>
        <w:t>，岩性为黄土状粉质粘土和粉细砂互层，微层理明显，裂隙较发育，局部有钙质结核和铁质浸染条带；</w:t>
      </w:r>
    </w:p>
    <w:p w14:paraId="07D1714C" w14:textId="77777777" w:rsidR="00ED365D" w:rsidRDefault="00ED365D" w:rsidP="00ED365D">
      <w:pPr>
        <w:pStyle w:val="affffff4"/>
      </w:pPr>
      <w:r>
        <w:rPr>
          <w:rFonts w:hint="eastAsia"/>
        </w:rPr>
        <w:t>（</w:t>
      </w:r>
      <w:r>
        <w:rPr>
          <w:rFonts w:hint="eastAsia"/>
        </w:rPr>
        <w:t>2</w:t>
      </w:r>
      <w:r>
        <w:rPr>
          <w:rFonts w:hint="eastAsia"/>
        </w:rPr>
        <w:t>）第四系上更新统齐齐哈尔组：地层厚度</w:t>
      </w:r>
      <w:r>
        <w:rPr>
          <w:rFonts w:hint="eastAsia"/>
        </w:rPr>
        <w:t>10-15m</w:t>
      </w:r>
      <w:r>
        <w:rPr>
          <w:rFonts w:hint="eastAsia"/>
        </w:rPr>
        <w:t>，由湖沼沉积淤泥质粉质粘土夹粉细砂组成，微显层理，裂隙较发育，具有大的孔隙，局部有铁质浸染；</w:t>
      </w:r>
    </w:p>
    <w:p w14:paraId="08F423F0" w14:textId="77777777" w:rsidR="00ED365D" w:rsidRDefault="00ED365D" w:rsidP="00ED365D">
      <w:pPr>
        <w:pStyle w:val="affffff4"/>
      </w:pPr>
      <w:r>
        <w:rPr>
          <w:rFonts w:hint="eastAsia"/>
        </w:rPr>
        <w:t>（</w:t>
      </w:r>
      <w:r>
        <w:rPr>
          <w:rFonts w:hint="eastAsia"/>
        </w:rPr>
        <w:t>3</w:t>
      </w:r>
      <w:r>
        <w:rPr>
          <w:rFonts w:hint="eastAsia"/>
        </w:rPr>
        <w:t>）第四系中更新统林甸组：地层厚度</w:t>
      </w:r>
      <w:r>
        <w:rPr>
          <w:rFonts w:hint="eastAsia"/>
        </w:rPr>
        <w:t>15-30m</w:t>
      </w:r>
      <w:r>
        <w:rPr>
          <w:rFonts w:hint="eastAsia"/>
        </w:rPr>
        <w:t>，上部岩性为河湖相沉积的淤泥质粉质粘土夹有灰色粉砂砂层；下部岩性主要为灰白色砂砾石，偶夹白色高岭土透镜体，与下伏地层为不整合接触；</w:t>
      </w:r>
    </w:p>
    <w:p w14:paraId="191371ED" w14:textId="77777777" w:rsidR="00ED365D" w:rsidRDefault="00ED365D" w:rsidP="00ED365D">
      <w:pPr>
        <w:pStyle w:val="affffff4"/>
      </w:pPr>
      <w:r>
        <w:rPr>
          <w:rFonts w:hint="eastAsia"/>
        </w:rPr>
        <w:t>（</w:t>
      </w:r>
      <w:r>
        <w:rPr>
          <w:rFonts w:hint="eastAsia"/>
        </w:rPr>
        <w:t>4</w:t>
      </w:r>
      <w:r>
        <w:rPr>
          <w:rFonts w:hint="eastAsia"/>
        </w:rPr>
        <w:t>）古近系依安组：地层厚度</w:t>
      </w:r>
      <w:r>
        <w:rPr>
          <w:rFonts w:hint="eastAsia"/>
        </w:rPr>
        <w:t>70-110m</w:t>
      </w:r>
      <w:r>
        <w:rPr>
          <w:rFonts w:hint="eastAsia"/>
        </w:rPr>
        <w:t>，岩性上部为灰绿、黄绿泥岩，下部为深灰色、黑色泥岩、局部为含砂砾岩，与下伏地层呈不整合接触；</w:t>
      </w:r>
    </w:p>
    <w:p w14:paraId="3AA8EFEC" w14:textId="77777777" w:rsidR="00ED365D" w:rsidRDefault="00ED365D" w:rsidP="00ED365D">
      <w:pPr>
        <w:pStyle w:val="affffff4"/>
      </w:pPr>
      <w:r>
        <w:rPr>
          <w:rFonts w:hint="eastAsia"/>
        </w:rPr>
        <w:t>（</w:t>
      </w:r>
      <w:r>
        <w:rPr>
          <w:rFonts w:hint="eastAsia"/>
        </w:rPr>
        <w:t>5</w:t>
      </w:r>
      <w:r>
        <w:rPr>
          <w:rFonts w:hint="eastAsia"/>
        </w:rPr>
        <w:t>）白垩系明水组：揭露地层厚度为</w:t>
      </w:r>
      <w:r>
        <w:rPr>
          <w:rFonts w:hint="eastAsia"/>
        </w:rPr>
        <w:t>40m</w:t>
      </w:r>
      <w:r>
        <w:rPr>
          <w:rFonts w:hint="eastAsia"/>
        </w:rPr>
        <w:t>，以浅灰、灰绿色砂岩与砖红色泥岩组成，多个小旋迴构成两个大旋迴层，泥岩颜色混杂含钙质团块，顶部砖红色泥岩分布稳定，未揭穿该地层。</w:t>
      </w:r>
    </w:p>
    <w:p w14:paraId="43DF7A15" w14:textId="3CD77CF8" w:rsidR="00ED365D" w:rsidRPr="00ED365D" w:rsidRDefault="00ED365D" w:rsidP="00ED365D">
      <w:pPr>
        <w:spacing w:line="480" w:lineRule="exact"/>
        <w:jc w:val="center"/>
        <w:rPr>
          <w:rFonts w:eastAsia="黑体"/>
          <w:snapToGrid w:val="0"/>
          <w:sz w:val="24"/>
          <w:szCs w:val="24"/>
        </w:rPr>
      </w:pPr>
      <w:r w:rsidRPr="00ED365D">
        <w:rPr>
          <w:rFonts w:eastAsia="黑体"/>
          <w:snapToGrid w:val="0"/>
          <w:sz w:val="24"/>
          <w:szCs w:val="24"/>
        </w:rPr>
        <w:t>表</w:t>
      </w:r>
      <w:r w:rsidRPr="00ED365D">
        <w:rPr>
          <w:rFonts w:eastAsia="黑体"/>
          <w:snapToGrid w:val="0"/>
          <w:sz w:val="24"/>
          <w:szCs w:val="24"/>
        </w:rPr>
        <w:t>4.</w:t>
      </w:r>
      <w:r w:rsidR="00A6236F">
        <w:rPr>
          <w:rFonts w:eastAsia="黑体" w:hint="eastAsia"/>
          <w:snapToGrid w:val="0"/>
          <w:sz w:val="24"/>
          <w:szCs w:val="24"/>
        </w:rPr>
        <w:t>5</w:t>
      </w:r>
      <w:r w:rsidRPr="00ED365D">
        <w:rPr>
          <w:rFonts w:eastAsia="黑体"/>
          <w:snapToGrid w:val="0"/>
          <w:sz w:val="24"/>
          <w:szCs w:val="24"/>
        </w:rPr>
        <w:t xml:space="preserve">-1  </w:t>
      </w:r>
      <w:r w:rsidRPr="00ED365D">
        <w:rPr>
          <w:rFonts w:eastAsia="黑体"/>
          <w:snapToGrid w:val="0"/>
          <w:sz w:val="24"/>
          <w:szCs w:val="24"/>
        </w:rPr>
        <w:t>评价区区域地层特征表</w:t>
      </w:r>
    </w:p>
    <w:tbl>
      <w:tblPr>
        <w:tblW w:w="5000"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firstRow="1" w:lastRow="0" w:firstColumn="1" w:lastColumn="0" w:noHBand="0" w:noVBand="1"/>
      </w:tblPr>
      <w:tblGrid>
        <w:gridCol w:w="360"/>
        <w:gridCol w:w="453"/>
        <w:gridCol w:w="788"/>
        <w:gridCol w:w="442"/>
        <w:gridCol w:w="815"/>
        <w:gridCol w:w="2045"/>
        <w:gridCol w:w="3921"/>
      </w:tblGrid>
      <w:tr w:rsidR="00ED365D" w:rsidRPr="00ED365D" w14:paraId="673F4497" w14:textId="77777777" w:rsidTr="00E71DA2">
        <w:trPr>
          <w:cantSplit/>
          <w:tblHeader/>
        </w:trPr>
        <w:tc>
          <w:tcPr>
            <w:tcW w:w="207" w:type="pct"/>
            <w:tcMar>
              <w:left w:w="0" w:type="dxa"/>
              <w:right w:w="0" w:type="dxa"/>
            </w:tcMar>
            <w:vAlign w:val="center"/>
          </w:tcPr>
          <w:p w14:paraId="6F5B5908" w14:textId="77777777" w:rsidR="00ED365D" w:rsidRPr="00ED365D" w:rsidRDefault="00ED365D" w:rsidP="00ED365D">
            <w:pPr>
              <w:jc w:val="center"/>
            </w:pPr>
            <w:r w:rsidRPr="00ED365D">
              <w:t>系</w:t>
            </w:r>
          </w:p>
        </w:tc>
        <w:tc>
          <w:tcPr>
            <w:tcW w:w="258" w:type="pct"/>
            <w:tcMar>
              <w:left w:w="0" w:type="dxa"/>
              <w:right w:w="0" w:type="dxa"/>
            </w:tcMar>
            <w:vAlign w:val="center"/>
          </w:tcPr>
          <w:p w14:paraId="1E738D35" w14:textId="77777777" w:rsidR="00ED365D" w:rsidRPr="00ED365D" w:rsidRDefault="00ED365D" w:rsidP="00ED365D">
            <w:pPr>
              <w:jc w:val="center"/>
            </w:pPr>
            <w:r w:rsidRPr="00ED365D">
              <w:t>统</w:t>
            </w:r>
          </w:p>
        </w:tc>
        <w:tc>
          <w:tcPr>
            <w:tcW w:w="449" w:type="pct"/>
            <w:tcMar>
              <w:left w:w="0" w:type="dxa"/>
              <w:right w:w="0" w:type="dxa"/>
            </w:tcMar>
            <w:vAlign w:val="center"/>
          </w:tcPr>
          <w:p w14:paraId="51FCE320" w14:textId="77777777" w:rsidR="00ED365D" w:rsidRPr="00ED365D" w:rsidRDefault="00ED365D" w:rsidP="00ED365D">
            <w:pPr>
              <w:jc w:val="center"/>
            </w:pPr>
            <w:r w:rsidRPr="00ED365D">
              <w:t>组</w:t>
            </w:r>
          </w:p>
        </w:tc>
        <w:tc>
          <w:tcPr>
            <w:tcW w:w="236" w:type="pct"/>
            <w:tcMar>
              <w:left w:w="0" w:type="dxa"/>
              <w:right w:w="0" w:type="dxa"/>
            </w:tcMar>
            <w:vAlign w:val="center"/>
          </w:tcPr>
          <w:p w14:paraId="6DA2174B" w14:textId="77777777" w:rsidR="00ED365D" w:rsidRPr="00ED365D" w:rsidRDefault="00ED365D" w:rsidP="00ED365D">
            <w:pPr>
              <w:jc w:val="center"/>
            </w:pPr>
            <w:r w:rsidRPr="00ED365D">
              <w:t>代号</w:t>
            </w:r>
          </w:p>
        </w:tc>
        <w:tc>
          <w:tcPr>
            <w:tcW w:w="464" w:type="pct"/>
            <w:tcMar>
              <w:left w:w="0" w:type="dxa"/>
              <w:right w:w="0" w:type="dxa"/>
            </w:tcMar>
            <w:vAlign w:val="center"/>
          </w:tcPr>
          <w:p w14:paraId="7E647BD3" w14:textId="77777777" w:rsidR="00ED365D" w:rsidRPr="00ED365D" w:rsidRDefault="00ED365D" w:rsidP="00ED365D">
            <w:pPr>
              <w:jc w:val="center"/>
            </w:pPr>
            <w:r w:rsidRPr="00ED365D">
              <w:t>厚度</w:t>
            </w:r>
          </w:p>
          <w:p w14:paraId="6FEF36ED" w14:textId="77777777" w:rsidR="00ED365D" w:rsidRPr="00ED365D" w:rsidRDefault="00ED365D" w:rsidP="00ED365D">
            <w:pPr>
              <w:jc w:val="center"/>
            </w:pPr>
            <w:r w:rsidRPr="00ED365D">
              <w:t>（</w:t>
            </w:r>
            <w:r w:rsidRPr="00ED365D">
              <w:t>m</w:t>
            </w:r>
            <w:r w:rsidRPr="00ED365D">
              <w:t>）</w:t>
            </w:r>
          </w:p>
        </w:tc>
        <w:tc>
          <w:tcPr>
            <w:tcW w:w="1161" w:type="pct"/>
            <w:tcMar>
              <w:left w:w="0" w:type="dxa"/>
              <w:right w:w="0" w:type="dxa"/>
            </w:tcMar>
            <w:vAlign w:val="center"/>
          </w:tcPr>
          <w:p w14:paraId="471B03E1" w14:textId="77777777" w:rsidR="00ED365D" w:rsidRPr="00ED365D" w:rsidRDefault="00ED365D" w:rsidP="00ED365D">
            <w:pPr>
              <w:jc w:val="center"/>
            </w:pPr>
            <w:r w:rsidRPr="00ED365D">
              <w:t>分布位置</w:t>
            </w:r>
          </w:p>
        </w:tc>
        <w:tc>
          <w:tcPr>
            <w:tcW w:w="2224" w:type="pct"/>
            <w:tcMar>
              <w:left w:w="0" w:type="dxa"/>
              <w:right w:w="0" w:type="dxa"/>
            </w:tcMar>
            <w:vAlign w:val="center"/>
          </w:tcPr>
          <w:p w14:paraId="7270AA39" w14:textId="77777777" w:rsidR="00ED365D" w:rsidRPr="00ED365D" w:rsidRDefault="00ED365D" w:rsidP="00ED365D">
            <w:pPr>
              <w:jc w:val="center"/>
            </w:pPr>
            <w:r w:rsidRPr="00ED365D">
              <w:t>岩性描述</w:t>
            </w:r>
          </w:p>
        </w:tc>
      </w:tr>
      <w:tr w:rsidR="00ED365D" w:rsidRPr="00ED365D" w14:paraId="1876DA6B" w14:textId="77777777" w:rsidTr="00E71DA2">
        <w:trPr>
          <w:cantSplit/>
        </w:trPr>
        <w:tc>
          <w:tcPr>
            <w:tcW w:w="207" w:type="pct"/>
            <w:vMerge w:val="restart"/>
            <w:tcMar>
              <w:left w:w="0" w:type="dxa"/>
              <w:right w:w="0" w:type="dxa"/>
            </w:tcMar>
            <w:vAlign w:val="center"/>
          </w:tcPr>
          <w:p w14:paraId="013746AD" w14:textId="77777777" w:rsidR="00ED365D" w:rsidRPr="00ED365D" w:rsidRDefault="00ED365D" w:rsidP="00ED365D">
            <w:pPr>
              <w:jc w:val="center"/>
            </w:pPr>
            <w:r w:rsidRPr="00ED365D">
              <w:t>第</w:t>
            </w:r>
          </w:p>
          <w:p w14:paraId="409F0AF4" w14:textId="77777777" w:rsidR="00ED365D" w:rsidRPr="00ED365D" w:rsidRDefault="00ED365D" w:rsidP="00ED365D">
            <w:pPr>
              <w:jc w:val="center"/>
            </w:pPr>
            <w:r w:rsidRPr="00ED365D">
              <w:t>四</w:t>
            </w:r>
          </w:p>
          <w:p w14:paraId="3073FDA5" w14:textId="77777777" w:rsidR="00ED365D" w:rsidRPr="00ED365D" w:rsidRDefault="00ED365D" w:rsidP="00ED365D">
            <w:pPr>
              <w:jc w:val="center"/>
            </w:pPr>
            <w:r w:rsidRPr="00ED365D">
              <w:t>系</w:t>
            </w:r>
          </w:p>
        </w:tc>
        <w:tc>
          <w:tcPr>
            <w:tcW w:w="258" w:type="pct"/>
            <w:vMerge w:val="restart"/>
            <w:tcMar>
              <w:left w:w="0" w:type="dxa"/>
              <w:right w:w="0" w:type="dxa"/>
            </w:tcMar>
            <w:vAlign w:val="center"/>
          </w:tcPr>
          <w:p w14:paraId="6CD6816C" w14:textId="77777777" w:rsidR="00ED365D" w:rsidRPr="00ED365D" w:rsidRDefault="00ED365D" w:rsidP="00ED365D">
            <w:pPr>
              <w:jc w:val="center"/>
            </w:pPr>
            <w:r w:rsidRPr="00ED365D">
              <w:t>上更</w:t>
            </w:r>
          </w:p>
          <w:p w14:paraId="7C300E4E" w14:textId="77777777" w:rsidR="00ED365D" w:rsidRPr="00ED365D" w:rsidRDefault="00ED365D" w:rsidP="00ED365D">
            <w:pPr>
              <w:jc w:val="center"/>
            </w:pPr>
            <w:r w:rsidRPr="00ED365D">
              <w:t>新统</w:t>
            </w:r>
          </w:p>
        </w:tc>
        <w:tc>
          <w:tcPr>
            <w:tcW w:w="449" w:type="pct"/>
            <w:tcMar>
              <w:left w:w="0" w:type="dxa"/>
              <w:right w:w="0" w:type="dxa"/>
            </w:tcMar>
            <w:vAlign w:val="center"/>
          </w:tcPr>
          <w:p w14:paraId="5AA1D320" w14:textId="77777777" w:rsidR="00ED365D" w:rsidRPr="00ED365D" w:rsidRDefault="00ED365D" w:rsidP="00ED365D">
            <w:pPr>
              <w:jc w:val="center"/>
            </w:pPr>
            <w:r w:rsidRPr="00ED365D">
              <w:t>大兴屯组</w:t>
            </w:r>
          </w:p>
        </w:tc>
        <w:tc>
          <w:tcPr>
            <w:tcW w:w="236" w:type="pct"/>
            <w:tcMar>
              <w:left w:w="0" w:type="dxa"/>
              <w:right w:w="0" w:type="dxa"/>
            </w:tcMar>
            <w:vAlign w:val="center"/>
          </w:tcPr>
          <w:p w14:paraId="0D2D5828" w14:textId="77777777" w:rsidR="00ED365D" w:rsidRPr="00ED365D" w:rsidRDefault="00ED365D" w:rsidP="00ED365D">
            <w:pPr>
              <w:jc w:val="center"/>
              <w:rPr>
                <w:vertAlign w:val="subscript"/>
              </w:rPr>
            </w:pPr>
            <w:r w:rsidRPr="00ED365D">
              <w:t>Q</w:t>
            </w:r>
            <w:r w:rsidRPr="00ED365D">
              <w:rPr>
                <w:vertAlign w:val="subscript"/>
              </w:rPr>
              <w:t>3</w:t>
            </w:r>
            <w:r w:rsidRPr="00ED365D">
              <w:t>d</w:t>
            </w:r>
          </w:p>
        </w:tc>
        <w:tc>
          <w:tcPr>
            <w:tcW w:w="464" w:type="pct"/>
            <w:tcMar>
              <w:left w:w="0" w:type="dxa"/>
              <w:right w:w="0" w:type="dxa"/>
            </w:tcMar>
            <w:vAlign w:val="center"/>
          </w:tcPr>
          <w:p w14:paraId="1F9BAEBB" w14:textId="77777777" w:rsidR="00ED365D" w:rsidRPr="00ED365D" w:rsidRDefault="00ED365D" w:rsidP="00ED365D">
            <w:pPr>
              <w:jc w:val="center"/>
            </w:pPr>
            <w:r w:rsidRPr="00ED365D">
              <w:t>10-12</w:t>
            </w:r>
          </w:p>
        </w:tc>
        <w:tc>
          <w:tcPr>
            <w:tcW w:w="1161" w:type="pct"/>
            <w:tcMar>
              <w:left w:w="0" w:type="dxa"/>
              <w:right w:w="0" w:type="dxa"/>
            </w:tcMar>
            <w:vAlign w:val="center"/>
          </w:tcPr>
          <w:p w14:paraId="328AF841" w14:textId="77777777" w:rsidR="00ED365D" w:rsidRPr="00ED365D" w:rsidRDefault="00ED365D" w:rsidP="00ED365D">
            <w:pPr>
              <w:jc w:val="center"/>
            </w:pPr>
            <w:r w:rsidRPr="00ED365D">
              <w:t>全区分布</w:t>
            </w:r>
          </w:p>
        </w:tc>
        <w:tc>
          <w:tcPr>
            <w:tcW w:w="2224" w:type="pct"/>
            <w:tcMar>
              <w:left w:w="0" w:type="dxa"/>
              <w:right w:w="0" w:type="dxa"/>
            </w:tcMar>
            <w:vAlign w:val="center"/>
          </w:tcPr>
          <w:p w14:paraId="1862918F" w14:textId="77777777" w:rsidR="00ED365D" w:rsidRPr="00ED365D" w:rsidRDefault="00ED365D" w:rsidP="00ED365D">
            <w:pPr>
              <w:jc w:val="left"/>
            </w:pPr>
            <w:r w:rsidRPr="00ED365D">
              <w:t>粘土、粉质粘土、黄土状粉质粘土、粉土、粉细砂等。</w:t>
            </w:r>
          </w:p>
        </w:tc>
      </w:tr>
      <w:tr w:rsidR="00ED365D" w:rsidRPr="00ED365D" w14:paraId="6CAE4F1D" w14:textId="77777777" w:rsidTr="00E71DA2">
        <w:trPr>
          <w:cantSplit/>
        </w:trPr>
        <w:tc>
          <w:tcPr>
            <w:tcW w:w="207" w:type="pct"/>
            <w:vMerge/>
            <w:tcMar>
              <w:left w:w="0" w:type="dxa"/>
              <w:right w:w="0" w:type="dxa"/>
            </w:tcMar>
            <w:vAlign w:val="center"/>
          </w:tcPr>
          <w:p w14:paraId="22A5E894" w14:textId="77777777" w:rsidR="00ED365D" w:rsidRPr="00ED365D" w:rsidRDefault="00ED365D" w:rsidP="00ED365D">
            <w:pPr>
              <w:jc w:val="center"/>
            </w:pPr>
          </w:p>
        </w:tc>
        <w:tc>
          <w:tcPr>
            <w:tcW w:w="258" w:type="pct"/>
            <w:vMerge/>
            <w:tcMar>
              <w:left w:w="0" w:type="dxa"/>
              <w:right w:w="0" w:type="dxa"/>
            </w:tcMar>
            <w:vAlign w:val="center"/>
          </w:tcPr>
          <w:p w14:paraId="51D847F6" w14:textId="77777777" w:rsidR="00ED365D" w:rsidRPr="00ED365D" w:rsidRDefault="00ED365D" w:rsidP="00ED365D">
            <w:pPr>
              <w:jc w:val="center"/>
            </w:pPr>
          </w:p>
        </w:tc>
        <w:tc>
          <w:tcPr>
            <w:tcW w:w="449" w:type="pct"/>
            <w:tcMar>
              <w:left w:w="0" w:type="dxa"/>
              <w:right w:w="0" w:type="dxa"/>
            </w:tcMar>
            <w:vAlign w:val="center"/>
          </w:tcPr>
          <w:p w14:paraId="714D8C2B" w14:textId="77777777" w:rsidR="00ED365D" w:rsidRPr="00ED365D" w:rsidRDefault="00ED365D" w:rsidP="00ED365D">
            <w:pPr>
              <w:jc w:val="center"/>
            </w:pPr>
            <w:r w:rsidRPr="00ED365D">
              <w:t>齐齐</w:t>
            </w:r>
          </w:p>
          <w:p w14:paraId="47074BBA" w14:textId="77777777" w:rsidR="00ED365D" w:rsidRPr="00ED365D" w:rsidRDefault="00ED365D" w:rsidP="00ED365D">
            <w:pPr>
              <w:jc w:val="center"/>
            </w:pPr>
            <w:r w:rsidRPr="00ED365D">
              <w:t>哈尔组</w:t>
            </w:r>
          </w:p>
        </w:tc>
        <w:tc>
          <w:tcPr>
            <w:tcW w:w="236" w:type="pct"/>
            <w:tcMar>
              <w:left w:w="0" w:type="dxa"/>
              <w:right w:w="0" w:type="dxa"/>
            </w:tcMar>
            <w:vAlign w:val="center"/>
          </w:tcPr>
          <w:p w14:paraId="7DF0ED04" w14:textId="77777777" w:rsidR="00ED365D" w:rsidRPr="00ED365D" w:rsidRDefault="00ED365D" w:rsidP="00ED365D">
            <w:pPr>
              <w:jc w:val="center"/>
              <w:rPr>
                <w:vertAlign w:val="subscript"/>
              </w:rPr>
            </w:pPr>
            <w:r w:rsidRPr="00ED365D">
              <w:t>Q</w:t>
            </w:r>
            <w:r w:rsidRPr="00ED365D">
              <w:rPr>
                <w:vertAlign w:val="subscript"/>
              </w:rPr>
              <w:t>3</w:t>
            </w:r>
            <w:r w:rsidRPr="00ED365D">
              <w:t>q</w:t>
            </w:r>
          </w:p>
        </w:tc>
        <w:tc>
          <w:tcPr>
            <w:tcW w:w="464" w:type="pct"/>
            <w:tcMar>
              <w:left w:w="0" w:type="dxa"/>
              <w:right w:w="0" w:type="dxa"/>
            </w:tcMar>
            <w:vAlign w:val="center"/>
          </w:tcPr>
          <w:p w14:paraId="1EC1B97A" w14:textId="77777777" w:rsidR="00ED365D" w:rsidRPr="00ED365D" w:rsidRDefault="00ED365D" w:rsidP="00ED365D">
            <w:pPr>
              <w:jc w:val="center"/>
            </w:pPr>
            <w:r w:rsidRPr="00ED365D">
              <w:t>10</w:t>
            </w:r>
            <w:r w:rsidRPr="00ED365D">
              <w:t>－</w:t>
            </w:r>
            <w:r w:rsidRPr="00ED365D">
              <w:t>15</w:t>
            </w:r>
          </w:p>
        </w:tc>
        <w:tc>
          <w:tcPr>
            <w:tcW w:w="1161" w:type="pct"/>
            <w:tcMar>
              <w:left w:w="0" w:type="dxa"/>
              <w:right w:w="0" w:type="dxa"/>
            </w:tcMar>
            <w:vAlign w:val="center"/>
          </w:tcPr>
          <w:p w14:paraId="08F53D17" w14:textId="77777777" w:rsidR="00ED365D" w:rsidRPr="00ED365D" w:rsidRDefault="00ED365D" w:rsidP="00ED365D">
            <w:r w:rsidRPr="00ED365D">
              <w:t>分布在市区西南部，东部和龙凤一带。</w:t>
            </w:r>
          </w:p>
        </w:tc>
        <w:tc>
          <w:tcPr>
            <w:tcW w:w="2224" w:type="pct"/>
            <w:tcMar>
              <w:left w:w="0" w:type="dxa"/>
              <w:right w:w="0" w:type="dxa"/>
            </w:tcMar>
            <w:vAlign w:val="center"/>
          </w:tcPr>
          <w:p w14:paraId="43353E92" w14:textId="77777777" w:rsidR="00ED365D" w:rsidRPr="00ED365D" w:rsidRDefault="00ED365D" w:rsidP="00ED365D">
            <w:pPr>
              <w:jc w:val="left"/>
            </w:pPr>
            <w:r w:rsidRPr="00ED365D">
              <w:t>主要由湖沼沉积淤泥质粉质粘土夹粉细砂组成。</w:t>
            </w:r>
          </w:p>
        </w:tc>
      </w:tr>
      <w:tr w:rsidR="00ED365D" w:rsidRPr="00ED365D" w14:paraId="21C15FEE" w14:textId="77777777" w:rsidTr="00E71DA2">
        <w:trPr>
          <w:cantSplit/>
        </w:trPr>
        <w:tc>
          <w:tcPr>
            <w:tcW w:w="207" w:type="pct"/>
            <w:vMerge/>
            <w:tcMar>
              <w:left w:w="0" w:type="dxa"/>
              <w:right w:w="0" w:type="dxa"/>
            </w:tcMar>
            <w:vAlign w:val="center"/>
          </w:tcPr>
          <w:p w14:paraId="761DF0D6" w14:textId="77777777" w:rsidR="00ED365D" w:rsidRPr="00ED365D" w:rsidRDefault="00ED365D" w:rsidP="00ED365D">
            <w:pPr>
              <w:jc w:val="center"/>
            </w:pPr>
          </w:p>
        </w:tc>
        <w:tc>
          <w:tcPr>
            <w:tcW w:w="258" w:type="pct"/>
            <w:tcMar>
              <w:left w:w="0" w:type="dxa"/>
              <w:right w:w="0" w:type="dxa"/>
            </w:tcMar>
            <w:vAlign w:val="center"/>
          </w:tcPr>
          <w:p w14:paraId="75AD31C2" w14:textId="77777777" w:rsidR="00ED365D" w:rsidRPr="00ED365D" w:rsidRDefault="00ED365D" w:rsidP="00ED365D">
            <w:pPr>
              <w:jc w:val="center"/>
            </w:pPr>
            <w:r w:rsidRPr="00ED365D">
              <w:t>中更</w:t>
            </w:r>
          </w:p>
          <w:p w14:paraId="105ACE99" w14:textId="77777777" w:rsidR="00ED365D" w:rsidRPr="00ED365D" w:rsidRDefault="00ED365D" w:rsidP="00ED365D">
            <w:pPr>
              <w:jc w:val="center"/>
            </w:pPr>
            <w:r w:rsidRPr="00ED365D">
              <w:t>新统</w:t>
            </w:r>
          </w:p>
        </w:tc>
        <w:tc>
          <w:tcPr>
            <w:tcW w:w="449" w:type="pct"/>
            <w:tcMar>
              <w:left w:w="0" w:type="dxa"/>
              <w:right w:w="0" w:type="dxa"/>
            </w:tcMar>
            <w:vAlign w:val="center"/>
          </w:tcPr>
          <w:p w14:paraId="06B48573" w14:textId="77777777" w:rsidR="00ED365D" w:rsidRPr="00ED365D" w:rsidRDefault="00ED365D" w:rsidP="00ED365D">
            <w:pPr>
              <w:jc w:val="center"/>
            </w:pPr>
            <w:r w:rsidRPr="00ED365D">
              <w:t>林甸组</w:t>
            </w:r>
          </w:p>
        </w:tc>
        <w:tc>
          <w:tcPr>
            <w:tcW w:w="236" w:type="pct"/>
            <w:tcMar>
              <w:left w:w="0" w:type="dxa"/>
              <w:right w:w="0" w:type="dxa"/>
            </w:tcMar>
            <w:vAlign w:val="center"/>
          </w:tcPr>
          <w:p w14:paraId="5670334A" w14:textId="77777777" w:rsidR="00ED365D" w:rsidRPr="00ED365D" w:rsidRDefault="00ED365D" w:rsidP="00ED365D">
            <w:pPr>
              <w:jc w:val="center"/>
            </w:pPr>
            <w:r w:rsidRPr="00ED365D">
              <w:t>Q</w:t>
            </w:r>
            <w:r w:rsidRPr="00ED365D">
              <w:rPr>
                <w:vertAlign w:val="subscript"/>
              </w:rPr>
              <w:t>2</w:t>
            </w:r>
            <w:r w:rsidRPr="00ED365D">
              <w:t>ln</w:t>
            </w:r>
          </w:p>
        </w:tc>
        <w:tc>
          <w:tcPr>
            <w:tcW w:w="464" w:type="pct"/>
            <w:tcMar>
              <w:left w:w="0" w:type="dxa"/>
              <w:right w:w="0" w:type="dxa"/>
            </w:tcMar>
            <w:vAlign w:val="center"/>
          </w:tcPr>
          <w:p w14:paraId="296C85A9" w14:textId="77777777" w:rsidR="00ED365D" w:rsidRPr="00ED365D" w:rsidRDefault="00ED365D" w:rsidP="00ED365D">
            <w:pPr>
              <w:jc w:val="center"/>
            </w:pPr>
            <w:r w:rsidRPr="00ED365D">
              <w:t>15</w:t>
            </w:r>
            <w:r w:rsidRPr="00ED365D">
              <w:t>－</w:t>
            </w:r>
            <w:r w:rsidRPr="00ED365D">
              <w:t>30</w:t>
            </w:r>
          </w:p>
        </w:tc>
        <w:tc>
          <w:tcPr>
            <w:tcW w:w="1161" w:type="pct"/>
            <w:tcMar>
              <w:left w:w="0" w:type="dxa"/>
              <w:right w:w="0" w:type="dxa"/>
            </w:tcMar>
            <w:vAlign w:val="center"/>
          </w:tcPr>
          <w:p w14:paraId="43506DD3" w14:textId="77777777" w:rsidR="00ED365D" w:rsidRPr="00ED365D" w:rsidRDefault="00ED365D" w:rsidP="00ED365D">
            <w:r w:rsidRPr="00ED365D">
              <w:t>市区均有分布，市区东部薄，西部较厚。</w:t>
            </w:r>
          </w:p>
        </w:tc>
        <w:tc>
          <w:tcPr>
            <w:tcW w:w="2224" w:type="pct"/>
            <w:tcMar>
              <w:left w:w="0" w:type="dxa"/>
              <w:right w:w="0" w:type="dxa"/>
            </w:tcMar>
            <w:vAlign w:val="center"/>
          </w:tcPr>
          <w:p w14:paraId="7F9211CA" w14:textId="77777777" w:rsidR="00ED365D" w:rsidRPr="00ED365D" w:rsidRDefault="00ED365D" w:rsidP="00ED365D">
            <w:pPr>
              <w:jc w:val="left"/>
            </w:pPr>
            <w:r w:rsidRPr="00ED365D">
              <w:t>岩性上部为厚</w:t>
            </w:r>
            <w:r w:rsidRPr="00ED365D">
              <w:t>10</w:t>
            </w:r>
            <w:r w:rsidRPr="00ED365D">
              <w:t>－</w:t>
            </w:r>
            <w:r w:rsidRPr="00ED365D">
              <w:t>55m</w:t>
            </w:r>
            <w:r w:rsidRPr="00ED365D">
              <w:t>淤泥质粉质粘土夹薄层砂，下部为砂、砂砾石。</w:t>
            </w:r>
          </w:p>
        </w:tc>
      </w:tr>
      <w:tr w:rsidR="00ED365D" w:rsidRPr="00ED365D" w14:paraId="187E4124" w14:textId="77777777" w:rsidTr="00E71DA2">
        <w:trPr>
          <w:cantSplit/>
        </w:trPr>
        <w:tc>
          <w:tcPr>
            <w:tcW w:w="207" w:type="pct"/>
            <w:vMerge/>
            <w:tcMar>
              <w:left w:w="0" w:type="dxa"/>
              <w:right w:w="0" w:type="dxa"/>
            </w:tcMar>
            <w:vAlign w:val="center"/>
          </w:tcPr>
          <w:p w14:paraId="1289F685" w14:textId="77777777" w:rsidR="00ED365D" w:rsidRPr="00ED365D" w:rsidRDefault="00ED365D" w:rsidP="00ED365D">
            <w:pPr>
              <w:jc w:val="center"/>
            </w:pPr>
          </w:p>
        </w:tc>
        <w:tc>
          <w:tcPr>
            <w:tcW w:w="258" w:type="pct"/>
            <w:tcMar>
              <w:left w:w="0" w:type="dxa"/>
              <w:right w:w="0" w:type="dxa"/>
            </w:tcMar>
            <w:vAlign w:val="center"/>
          </w:tcPr>
          <w:p w14:paraId="51C3039D" w14:textId="77777777" w:rsidR="00ED365D" w:rsidRPr="00ED365D" w:rsidRDefault="00ED365D" w:rsidP="00ED365D">
            <w:pPr>
              <w:jc w:val="center"/>
            </w:pPr>
            <w:r w:rsidRPr="00ED365D">
              <w:t>下更</w:t>
            </w:r>
          </w:p>
          <w:p w14:paraId="416E79D3" w14:textId="77777777" w:rsidR="00ED365D" w:rsidRPr="00ED365D" w:rsidRDefault="00ED365D" w:rsidP="00ED365D">
            <w:pPr>
              <w:jc w:val="center"/>
            </w:pPr>
            <w:r w:rsidRPr="00ED365D">
              <w:t>新统</w:t>
            </w:r>
          </w:p>
        </w:tc>
        <w:tc>
          <w:tcPr>
            <w:tcW w:w="449" w:type="pct"/>
            <w:tcMar>
              <w:left w:w="0" w:type="dxa"/>
              <w:right w:w="0" w:type="dxa"/>
            </w:tcMar>
            <w:vAlign w:val="center"/>
          </w:tcPr>
          <w:p w14:paraId="46445AAF" w14:textId="77777777" w:rsidR="00ED365D" w:rsidRPr="00ED365D" w:rsidRDefault="00ED365D" w:rsidP="00ED365D">
            <w:pPr>
              <w:jc w:val="center"/>
            </w:pPr>
            <w:r w:rsidRPr="00ED365D">
              <w:t>泰康组</w:t>
            </w:r>
          </w:p>
        </w:tc>
        <w:tc>
          <w:tcPr>
            <w:tcW w:w="236" w:type="pct"/>
            <w:tcMar>
              <w:left w:w="0" w:type="dxa"/>
              <w:right w:w="0" w:type="dxa"/>
            </w:tcMar>
            <w:vAlign w:val="center"/>
          </w:tcPr>
          <w:p w14:paraId="4757CCE8" w14:textId="77777777" w:rsidR="00ED365D" w:rsidRPr="00ED365D" w:rsidRDefault="00ED365D" w:rsidP="00ED365D">
            <w:pPr>
              <w:jc w:val="center"/>
            </w:pPr>
            <w:r w:rsidRPr="00ED365D">
              <w:t>Q</w:t>
            </w:r>
            <w:r w:rsidRPr="00ED365D">
              <w:rPr>
                <w:vertAlign w:val="subscript"/>
              </w:rPr>
              <w:t>1</w:t>
            </w:r>
            <w:r w:rsidRPr="00ED365D">
              <w:t>t</w:t>
            </w:r>
          </w:p>
        </w:tc>
        <w:tc>
          <w:tcPr>
            <w:tcW w:w="464" w:type="pct"/>
            <w:tcMar>
              <w:left w:w="0" w:type="dxa"/>
              <w:right w:w="0" w:type="dxa"/>
            </w:tcMar>
            <w:vAlign w:val="center"/>
          </w:tcPr>
          <w:p w14:paraId="0E5CB840" w14:textId="77777777" w:rsidR="00ED365D" w:rsidRPr="00ED365D" w:rsidRDefault="00ED365D" w:rsidP="00ED365D">
            <w:pPr>
              <w:jc w:val="center"/>
            </w:pPr>
            <w:r w:rsidRPr="00ED365D">
              <w:t>50</w:t>
            </w:r>
            <w:r w:rsidRPr="00ED365D">
              <w:t>－</w:t>
            </w:r>
            <w:r w:rsidRPr="00ED365D">
              <w:t>125</w:t>
            </w:r>
          </w:p>
        </w:tc>
        <w:tc>
          <w:tcPr>
            <w:tcW w:w="1161" w:type="pct"/>
            <w:tcMar>
              <w:left w:w="0" w:type="dxa"/>
              <w:right w:w="0" w:type="dxa"/>
            </w:tcMar>
            <w:vAlign w:val="center"/>
          </w:tcPr>
          <w:p w14:paraId="16152C2B" w14:textId="77777777" w:rsidR="00ED365D" w:rsidRPr="00ED365D" w:rsidRDefault="00ED365D" w:rsidP="00ED365D">
            <w:r w:rsidRPr="00ED365D">
              <w:t>分布在让湖路、八百、林源、大同、高台子以西地区、大庆长垣北部缺失。</w:t>
            </w:r>
          </w:p>
        </w:tc>
        <w:tc>
          <w:tcPr>
            <w:tcW w:w="2224" w:type="pct"/>
            <w:tcMar>
              <w:left w:w="0" w:type="dxa"/>
              <w:right w:w="0" w:type="dxa"/>
            </w:tcMar>
            <w:vAlign w:val="center"/>
          </w:tcPr>
          <w:p w14:paraId="454C3AF2" w14:textId="77777777" w:rsidR="00ED365D" w:rsidRPr="00ED365D" w:rsidRDefault="00ED365D" w:rsidP="00ED365D">
            <w:pPr>
              <w:jc w:val="left"/>
            </w:pPr>
            <w:r w:rsidRPr="00ED365D">
              <w:t>岩性上部为灰绿、黄绿色砂质粘土和灰白色粉砂，下部为灰白色砂砾石。分选不好，磨圆度较差，胶结疏松，与下伏地层呈不整合接触。</w:t>
            </w:r>
          </w:p>
        </w:tc>
      </w:tr>
      <w:tr w:rsidR="00ED365D" w:rsidRPr="00ED365D" w14:paraId="4744AEDA" w14:textId="77777777" w:rsidTr="00E71DA2">
        <w:trPr>
          <w:cantSplit/>
        </w:trPr>
        <w:tc>
          <w:tcPr>
            <w:tcW w:w="207" w:type="pct"/>
            <w:tcMar>
              <w:left w:w="0" w:type="dxa"/>
              <w:right w:w="0" w:type="dxa"/>
            </w:tcMar>
            <w:vAlign w:val="center"/>
          </w:tcPr>
          <w:p w14:paraId="3E95B2C8" w14:textId="77777777" w:rsidR="00ED365D" w:rsidRPr="00ED365D" w:rsidRDefault="00ED365D" w:rsidP="00ED365D">
            <w:pPr>
              <w:jc w:val="center"/>
            </w:pPr>
            <w:r w:rsidRPr="00ED365D">
              <w:lastRenderedPageBreak/>
              <w:t>古</w:t>
            </w:r>
          </w:p>
          <w:p w14:paraId="0FF87F0C" w14:textId="77777777" w:rsidR="00ED365D" w:rsidRPr="00ED365D" w:rsidRDefault="00ED365D" w:rsidP="00ED365D">
            <w:pPr>
              <w:jc w:val="center"/>
            </w:pPr>
            <w:r w:rsidRPr="00ED365D">
              <w:t>近</w:t>
            </w:r>
          </w:p>
          <w:p w14:paraId="4B2EA169" w14:textId="77777777" w:rsidR="00ED365D" w:rsidRPr="00ED365D" w:rsidRDefault="00ED365D" w:rsidP="00ED365D">
            <w:pPr>
              <w:jc w:val="center"/>
            </w:pPr>
            <w:r w:rsidRPr="00ED365D">
              <w:t>系</w:t>
            </w:r>
          </w:p>
        </w:tc>
        <w:tc>
          <w:tcPr>
            <w:tcW w:w="258" w:type="pct"/>
            <w:tcMar>
              <w:left w:w="0" w:type="dxa"/>
              <w:right w:w="0" w:type="dxa"/>
            </w:tcMar>
            <w:vAlign w:val="center"/>
          </w:tcPr>
          <w:p w14:paraId="56F31FDF" w14:textId="77777777" w:rsidR="00ED365D" w:rsidRPr="00ED365D" w:rsidRDefault="00ED365D" w:rsidP="00ED365D">
            <w:pPr>
              <w:jc w:val="center"/>
            </w:pPr>
            <w:r w:rsidRPr="00ED365D">
              <w:t>始、渐</w:t>
            </w:r>
          </w:p>
          <w:p w14:paraId="481A88F9" w14:textId="77777777" w:rsidR="00ED365D" w:rsidRPr="00ED365D" w:rsidRDefault="00ED365D" w:rsidP="00ED365D">
            <w:pPr>
              <w:jc w:val="center"/>
            </w:pPr>
            <w:r w:rsidRPr="00ED365D">
              <w:t>新统</w:t>
            </w:r>
          </w:p>
        </w:tc>
        <w:tc>
          <w:tcPr>
            <w:tcW w:w="449" w:type="pct"/>
            <w:tcMar>
              <w:left w:w="0" w:type="dxa"/>
              <w:right w:w="0" w:type="dxa"/>
            </w:tcMar>
            <w:vAlign w:val="center"/>
          </w:tcPr>
          <w:p w14:paraId="3D05A5EE" w14:textId="77777777" w:rsidR="00ED365D" w:rsidRPr="00ED365D" w:rsidRDefault="00ED365D" w:rsidP="00ED365D">
            <w:pPr>
              <w:jc w:val="center"/>
            </w:pPr>
            <w:r w:rsidRPr="00ED365D">
              <w:t>依安组</w:t>
            </w:r>
          </w:p>
        </w:tc>
        <w:tc>
          <w:tcPr>
            <w:tcW w:w="236" w:type="pct"/>
            <w:tcMar>
              <w:left w:w="0" w:type="dxa"/>
              <w:right w:w="0" w:type="dxa"/>
            </w:tcMar>
            <w:vAlign w:val="center"/>
          </w:tcPr>
          <w:p w14:paraId="1CBB5D66" w14:textId="77777777" w:rsidR="00ED365D" w:rsidRPr="00ED365D" w:rsidRDefault="00ED365D" w:rsidP="00ED365D">
            <w:pPr>
              <w:jc w:val="center"/>
            </w:pPr>
            <w:r w:rsidRPr="00ED365D">
              <w:t>E</w:t>
            </w:r>
            <w:r w:rsidRPr="00ED365D">
              <w:rPr>
                <w:vertAlign w:val="subscript"/>
              </w:rPr>
              <w:t>2-3</w:t>
            </w:r>
            <w:r w:rsidRPr="00ED365D">
              <w:t>y</w:t>
            </w:r>
          </w:p>
        </w:tc>
        <w:tc>
          <w:tcPr>
            <w:tcW w:w="464" w:type="pct"/>
            <w:tcMar>
              <w:left w:w="0" w:type="dxa"/>
              <w:right w:w="0" w:type="dxa"/>
            </w:tcMar>
            <w:vAlign w:val="center"/>
          </w:tcPr>
          <w:p w14:paraId="5AFAE5E6" w14:textId="77777777" w:rsidR="00ED365D" w:rsidRPr="00ED365D" w:rsidRDefault="00ED365D" w:rsidP="00ED365D">
            <w:pPr>
              <w:jc w:val="center"/>
            </w:pPr>
            <w:r w:rsidRPr="00ED365D">
              <w:t>0</w:t>
            </w:r>
            <w:r w:rsidRPr="00ED365D">
              <w:t>－</w:t>
            </w:r>
            <w:r w:rsidRPr="00ED365D">
              <w:t>200</w:t>
            </w:r>
          </w:p>
        </w:tc>
        <w:tc>
          <w:tcPr>
            <w:tcW w:w="1161" w:type="pct"/>
            <w:tcMar>
              <w:left w:w="0" w:type="dxa"/>
              <w:right w:w="0" w:type="dxa"/>
            </w:tcMar>
            <w:vAlign w:val="center"/>
          </w:tcPr>
          <w:p w14:paraId="66528C35" w14:textId="77777777" w:rsidR="00ED365D" w:rsidRPr="00ED365D" w:rsidRDefault="00ED365D" w:rsidP="00ED365D">
            <w:r w:rsidRPr="00ED365D">
              <w:t>分布在喇嘛甸、让湖路、萨尔图、龙凤、卧里屯以北的部分地区。</w:t>
            </w:r>
          </w:p>
        </w:tc>
        <w:tc>
          <w:tcPr>
            <w:tcW w:w="2224" w:type="pct"/>
            <w:tcMar>
              <w:left w:w="0" w:type="dxa"/>
              <w:right w:w="0" w:type="dxa"/>
            </w:tcMar>
            <w:vAlign w:val="center"/>
          </w:tcPr>
          <w:p w14:paraId="07D9BD6D" w14:textId="77777777" w:rsidR="00ED365D" w:rsidRPr="00ED365D" w:rsidRDefault="00ED365D" w:rsidP="00ED365D">
            <w:pPr>
              <w:jc w:val="left"/>
            </w:pPr>
            <w:r w:rsidRPr="00ED365D">
              <w:t>岩性上部为灰绿、黄绿泥岩、泥质粉砂岩、细粉砂岩，下部为深灰色、黑色泥岩、泥质粉砂岩，局部为含砂砾岩，与下伏地层呈不整合接触。</w:t>
            </w:r>
          </w:p>
        </w:tc>
      </w:tr>
      <w:tr w:rsidR="00ED365D" w:rsidRPr="00ED365D" w14:paraId="6F33DBEA" w14:textId="77777777" w:rsidTr="00E71DA2">
        <w:trPr>
          <w:cantSplit/>
        </w:trPr>
        <w:tc>
          <w:tcPr>
            <w:tcW w:w="207" w:type="pct"/>
            <w:vMerge w:val="restart"/>
            <w:tcMar>
              <w:left w:w="0" w:type="dxa"/>
              <w:right w:w="0" w:type="dxa"/>
            </w:tcMar>
            <w:vAlign w:val="center"/>
          </w:tcPr>
          <w:p w14:paraId="30F4BA23" w14:textId="77777777" w:rsidR="00ED365D" w:rsidRPr="00ED365D" w:rsidRDefault="00ED365D" w:rsidP="00ED365D">
            <w:pPr>
              <w:jc w:val="center"/>
            </w:pPr>
            <w:r w:rsidRPr="00ED365D">
              <w:t>白</w:t>
            </w:r>
          </w:p>
          <w:p w14:paraId="37959B7E" w14:textId="77777777" w:rsidR="00ED365D" w:rsidRPr="00ED365D" w:rsidRDefault="00ED365D" w:rsidP="00ED365D">
            <w:pPr>
              <w:jc w:val="center"/>
            </w:pPr>
            <w:r w:rsidRPr="00ED365D">
              <w:t>垩</w:t>
            </w:r>
          </w:p>
          <w:p w14:paraId="017B1542" w14:textId="77777777" w:rsidR="00ED365D" w:rsidRPr="00ED365D" w:rsidRDefault="00ED365D" w:rsidP="00ED365D">
            <w:pPr>
              <w:jc w:val="center"/>
            </w:pPr>
            <w:r w:rsidRPr="00ED365D">
              <w:t>系</w:t>
            </w:r>
          </w:p>
        </w:tc>
        <w:tc>
          <w:tcPr>
            <w:tcW w:w="258" w:type="pct"/>
            <w:vMerge w:val="restart"/>
            <w:tcMar>
              <w:left w:w="0" w:type="dxa"/>
              <w:right w:w="0" w:type="dxa"/>
            </w:tcMar>
            <w:vAlign w:val="center"/>
          </w:tcPr>
          <w:p w14:paraId="69EB2857" w14:textId="77777777" w:rsidR="00ED365D" w:rsidRPr="00ED365D" w:rsidRDefault="00ED365D" w:rsidP="00ED365D">
            <w:pPr>
              <w:jc w:val="center"/>
            </w:pPr>
            <w:r w:rsidRPr="00ED365D">
              <w:t>上统</w:t>
            </w:r>
          </w:p>
        </w:tc>
        <w:tc>
          <w:tcPr>
            <w:tcW w:w="449" w:type="pct"/>
            <w:tcMar>
              <w:left w:w="0" w:type="dxa"/>
              <w:right w:w="0" w:type="dxa"/>
            </w:tcMar>
            <w:vAlign w:val="center"/>
          </w:tcPr>
          <w:p w14:paraId="7D77879E" w14:textId="77777777" w:rsidR="00ED365D" w:rsidRPr="00ED365D" w:rsidRDefault="00ED365D" w:rsidP="00ED365D">
            <w:pPr>
              <w:jc w:val="center"/>
            </w:pPr>
            <w:r w:rsidRPr="00ED365D">
              <w:t>明水组</w:t>
            </w:r>
          </w:p>
        </w:tc>
        <w:tc>
          <w:tcPr>
            <w:tcW w:w="236" w:type="pct"/>
            <w:tcMar>
              <w:left w:w="0" w:type="dxa"/>
              <w:right w:w="0" w:type="dxa"/>
            </w:tcMar>
            <w:vAlign w:val="center"/>
          </w:tcPr>
          <w:p w14:paraId="6D9AA0EC" w14:textId="77777777" w:rsidR="00ED365D" w:rsidRPr="00ED365D" w:rsidRDefault="00ED365D" w:rsidP="00ED365D">
            <w:pPr>
              <w:jc w:val="center"/>
            </w:pPr>
            <w:r w:rsidRPr="00ED365D">
              <w:t>K</w:t>
            </w:r>
            <w:r w:rsidRPr="00ED365D">
              <w:rPr>
                <w:vertAlign w:val="subscript"/>
              </w:rPr>
              <w:t>2</w:t>
            </w:r>
            <w:r w:rsidRPr="00ED365D">
              <w:t>m</w:t>
            </w:r>
          </w:p>
        </w:tc>
        <w:tc>
          <w:tcPr>
            <w:tcW w:w="464" w:type="pct"/>
            <w:tcMar>
              <w:left w:w="0" w:type="dxa"/>
              <w:right w:w="0" w:type="dxa"/>
            </w:tcMar>
            <w:vAlign w:val="center"/>
          </w:tcPr>
          <w:p w14:paraId="601C668F" w14:textId="77777777" w:rsidR="00ED365D" w:rsidRPr="00ED365D" w:rsidRDefault="00ED365D" w:rsidP="00ED365D">
            <w:pPr>
              <w:jc w:val="center"/>
            </w:pPr>
            <w:r w:rsidRPr="00ED365D">
              <w:t>50</w:t>
            </w:r>
            <w:r w:rsidRPr="00ED365D">
              <w:t>－</w:t>
            </w:r>
            <w:r w:rsidRPr="00ED365D">
              <w:t>120</w:t>
            </w:r>
          </w:p>
        </w:tc>
        <w:tc>
          <w:tcPr>
            <w:tcW w:w="1161" w:type="pct"/>
            <w:tcMar>
              <w:left w:w="0" w:type="dxa"/>
              <w:right w:w="0" w:type="dxa"/>
            </w:tcMar>
            <w:vAlign w:val="center"/>
          </w:tcPr>
          <w:p w14:paraId="3C975A49" w14:textId="77777777" w:rsidR="00ED365D" w:rsidRPr="00ED365D" w:rsidRDefault="00ED365D" w:rsidP="00ED365D">
            <w:r w:rsidRPr="00ED365D">
              <w:t>分布在大庆长垣两翼，在市区北部，龙凤以西地区，乘风庄、红庄、小马场、大青山、杏树岗等地也有分布。</w:t>
            </w:r>
          </w:p>
        </w:tc>
        <w:tc>
          <w:tcPr>
            <w:tcW w:w="2224" w:type="pct"/>
            <w:tcMar>
              <w:left w:w="0" w:type="dxa"/>
              <w:right w:w="0" w:type="dxa"/>
            </w:tcMar>
            <w:vAlign w:val="center"/>
          </w:tcPr>
          <w:p w14:paraId="156F704C" w14:textId="77777777" w:rsidR="00ED365D" w:rsidRPr="00ED365D" w:rsidRDefault="00ED365D" w:rsidP="00ED365D">
            <w:pPr>
              <w:jc w:val="left"/>
            </w:pPr>
            <w:r w:rsidRPr="00ED365D">
              <w:t>明水组二段以浅灰、灰绿色砂岩与砖红色泥岩组成，多个小旋迴构成两个大旋迴层，泥岩颜色混杂含钙质团块，顶部砖红色泥岩分布稳定，明水组一段上部灰绿色砂岩、泥质砂岩，夹二层灰黑灰色泥页岩，构成两个正旋迴层，下部砂岩常含砾石，与下伏地层呈整合接触。</w:t>
            </w:r>
          </w:p>
        </w:tc>
      </w:tr>
      <w:tr w:rsidR="00ED365D" w:rsidRPr="00ED365D" w14:paraId="6DBDA694" w14:textId="77777777" w:rsidTr="00E71DA2">
        <w:trPr>
          <w:cantSplit/>
        </w:trPr>
        <w:tc>
          <w:tcPr>
            <w:tcW w:w="207" w:type="pct"/>
            <w:vMerge/>
            <w:tcMar>
              <w:left w:w="0" w:type="dxa"/>
              <w:right w:w="0" w:type="dxa"/>
            </w:tcMar>
            <w:vAlign w:val="center"/>
          </w:tcPr>
          <w:p w14:paraId="338884B6" w14:textId="77777777" w:rsidR="00ED365D" w:rsidRPr="00ED365D" w:rsidRDefault="00ED365D" w:rsidP="00ED365D">
            <w:pPr>
              <w:jc w:val="center"/>
            </w:pPr>
          </w:p>
        </w:tc>
        <w:tc>
          <w:tcPr>
            <w:tcW w:w="258" w:type="pct"/>
            <w:vMerge/>
            <w:tcMar>
              <w:left w:w="0" w:type="dxa"/>
              <w:right w:w="0" w:type="dxa"/>
            </w:tcMar>
            <w:vAlign w:val="center"/>
          </w:tcPr>
          <w:p w14:paraId="175818C1" w14:textId="77777777" w:rsidR="00ED365D" w:rsidRPr="00ED365D" w:rsidRDefault="00ED365D" w:rsidP="00ED365D">
            <w:pPr>
              <w:jc w:val="center"/>
            </w:pPr>
          </w:p>
        </w:tc>
        <w:tc>
          <w:tcPr>
            <w:tcW w:w="449" w:type="pct"/>
            <w:tcMar>
              <w:left w:w="0" w:type="dxa"/>
              <w:right w:w="0" w:type="dxa"/>
            </w:tcMar>
            <w:vAlign w:val="center"/>
          </w:tcPr>
          <w:p w14:paraId="29BA6767" w14:textId="77777777" w:rsidR="00ED365D" w:rsidRPr="00ED365D" w:rsidRDefault="00ED365D" w:rsidP="00ED365D">
            <w:pPr>
              <w:jc w:val="center"/>
            </w:pPr>
            <w:r w:rsidRPr="00ED365D">
              <w:t>四方</w:t>
            </w:r>
          </w:p>
          <w:p w14:paraId="6F1D923D" w14:textId="77777777" w:rsidR="00ED365D" w:rsidRPr="00ED365D" w:rsidRDefault="00ED365D" w:rsidP="00ED365D">
            <w:pPr>
              <w:jc w:val="center"/>
            </w:pPr>
            <w:r w:rsidRPr="00ED365D">
              <w:t>台组</w:t>
            </w:r>
          </w:p>
        </w:tc>
        <w:tc>
          <w:tcPr>
            <w:tcW w:w="236" w:type="pct"/>
            <w:tcMar>
              <w:left w:w="0" w:type="dxa"/>
              <w:right w:w="0" w:type="dxa"/>
            </w:tcMar>
            <w:vAlign w:val="center"/>
          </w:tcPr>
          <w:p w14:paraId="5C80145C" w14:textId="77777777" w:rsidR="00ED365D" w:rsidRPr="00ED365D" w:rsidRDefault="00ED365D" w:rsidP="00ED365D">
            <w:pPr>
              <w:jc w:val="center"/>
            </w:pPr>
            <w:r w:rsidRPr="00ED365D">
              <w:t>K</w:t>
            </w:r>
            <w:r w:rsidRPr="00ED365D">
              <w:rPr>
                <w:vertAlign w:val="subscript"/>
              </w:rPr>
              <w:t>2</w:t>
            </w:r>
            <w:r w:rsidRPr="00ED365D">
              <w:t>s</w:t>
            </w:r>
          </w:p>
        </w:tc>
        <w:tc>
          <w:tcPr>
            <w:tcW w:w="464" w:type="pct"/>
            <w:tcMar>
              <w:left w:w="0" w:type="dxa"/>
              <w:right w:w="0" w:type="dxa"/>
            </w:tcMar>
            <w:vAlign w:val="center"/>
          </w:tcPr>
          <w:p w14:paraId="389A0455" w14:textId="77777777" w:rsidR="00ED365D" w:rsidRPr="00ED365D" w:rsidRDefault="00ED365D" w:rsidP="00ED365D">
            <w:pPr>
              <w:jc w:val="center"/>
            </w:pPr>
            <w:r w:rsidRPr="00ED365D">
              <w:t>60</w:t>
            </w:r>
            <w:r w:rsidRPr="00ED365D">
              <w:t>－</w:t>
            </w:r>
            <w:r w:rsidRPr="00ED365D">
              <w:t>80</w:t>
            </w:r>
          </w:p>
        </w:tc>
        <w:tc>
          <w:tcPr>
            <w:tcW w:w="1161" w:type="pct"/>
            <w:tcMar>
              <w:left w:w="0" w:type="dxa"/>
              <w:right w:w="0" w:type="dxa"/>
            </w:tcMar>
            <w:vAlign w:val="center"/>
          </w:tcPr>
          <w:p w14:paraId="07A514D6" w14:textId="77777777" w:rsidR="00ED365D" w:rsidRPr="00ED365D" w:rsidRDefault="00ED365D" w:rsidP="00ED365D">
            <w:r w:rsidRPr="00ED365D">
              <w:t>分布于大庆长垣顶部，萨尔图、东方红一带。</w:t>
            </w:r>
          </w:p>
        </w:tc>
        <w:tc>
          <w:tcPr>
            <w:tcW w:w="2224" w:type="pct"/>
            <w:tcMar>
              <w:left w:w="0" w:type="dxa"/>
              <w:right w:w="0" w:type="dxa"/>
            </w:tcMar>
            <w:vAlign w:val="center"/>
          </w:tcPr>
          <w:p w14:paraId="631D150E" w14:textId="77777777" w:rsidR="00ED365D" w:rsidRPr="00ED365D" w:rsidRDefault="00ED365D" w:rsidP="00ED365D">
            <w:pPr>
              <w:jc w:val="left"/>
            </w:pPr>
            <w:r w:rsidRPr="00ED365D">
              <w:t>岩性上部以棕红色泥岩为主，较致密，夹有薄层兰灰色粉砂岩，中部以灰绿、棕红色泥岩为主，夹灰绿色粉细砂岩，底部为褐红色细砂岩，与下伏地层呈不整合接触。</w:t>
            </w:r>
          </w:p>
        </w:tc>
      </w:tr>
      <w:tr w:rsidR="00ED365D" w:rsidRPr="00ED365D" w14:paraId="54C52014" w14:textId="77777777" w:rsidTr="00E71DA2">
        <w:trPr>
          <w:cantSplit/>
        </w:trPr>
        <w:tc>
          <w:tcPr>
            <w:tcW w:w="207" w:type="pct"/>
            <w:vMerge/>
            <w:tcMar>
              <w:left w:w="0" w:type="dxa"/>
              <w:right w:w="0" w:type="dxa"/>
            </w:tcMar>
            <w:vAlign w:val="center"/>
          </w:tcPr>
          <w:p w14:paraId="1FAC7C92" w14:textId="77777777" w:rsidR="00ED365D" w:rsidRPr="00ED365D" w:rsidRDefault="00ED365D" w:rsidP="00ED365D">
            <w:pPr>
              <w:jc w:val="center"/>
            </w:pPr>
          </w:p>
        </w:tc>
        <w:tc>
          <w:tcPr>
            <w:tcW w:w="258" w:type="pct"/>
            <w:vMerge/>
            <w:tcMar>
              <w:left w:w="0" w:type="dxa"/>
              <w:right w:w="0" w:type="dxa"/>
            </w:tcMar>
            <w:vAlign w:val="center"/>
          </w:tcPr>
          <w:p w14:paraId="3733A9CF" w14:textId="77777777" w:rsidR="00ED365D" w:rsidRPr="00ED365D" w:rsidRDefault="00ED365D" w:rsidP="00ED365D">
            <w:pPr>
              <w:jc w:val="center"/>
            </w:pPr>
          </w:p>
        </w:tc>
        <w:tc>
          <w:tcPr>
            <w:tcW w:w="449" w:type="pct"/>
            <w:tcMar>
              <w:left w:w="0" w:type="dxa"/>
              <w:right w:w="0" w:type="dxa"/>
            </w:tcMar>
            <w:vAlign w:val="center"/>
          </w:tcPr>
          <w:p w14:paraId="54062996" w14:textId="77777777" w:rsidR="00ED365D" w:rsidRPr="00ED365D" w:rsidRDefault="00ED365D" w:rsidP="00ED365D">
            <w:pPr>
              <w:jc w:val="center"/>
            </w:pPr>
            <w:r w:rsidRPr="00ED365D">
              <w:t>嫩江组</w:t>
            </w:r>
          </w:p>
        </w:tc>
        <w:tc>
          <w:tcPr>
            <w:tcW w:w="236" w:type="pct"/>
            <w:tcMar>
              <w:left w:w="0" w:type="dxa"/>
              <w:right w:w="0" w:type="dxa"/>
            </w:tcMar>
            <w:vAlign w:val="center"/>
          </w:tcPr>
          <w:p w14:paraId="0B7652F6" w14:textId="77777777" w:rsidR="00ED365D" w:rsidRPr="00ED365D" w:rsidRDefault="00ED365D" w:rsidP="00ED365D">
            <w:pPr>
              <w:jc w:val="center"/>
            </w:pPr>
            <w:r w:rsidRPr="00ED365D">
              <w:t>K</w:t>
            </w:r>
            <w:r w:rsidRPr="00ED365D">
              <w:rPr>
                <w:vertAlign w:val="subscript"/>
              </w:rPr>
              <w:t>2</w:t>
            </w:r>
            <w:r w:rsidRPr="00ED365D">
              <w:t>n</w:t>
            </w:r>
          </w:p>
        </w:tc>
        <w:tc>
          <w:tcPr>
            <w:tcW w:w="464" w:type="pct"/>
            <w:tcMar>
              <w:left w:w="0" w:type="dxa"/>
              <w:right w:w="0" w:type="dxa"/>
            </w:tcMar>
            <w:vAlign w:val="center"/>
          </w:tcPr>
          <w:p w14:paraId="55595752" w14:textId="77777777" w:rsidR="00ED365D" w:rsidRPr="00ED365D" w:rsidRDefault="00ED365D" w:rsidP="00ED365D">
            <w:pPr>
              <w:jc w:val="center"/>
            </w:pPr>
            <w:r w:rsidRPr="00ED365D">
              <w:t>0-1000</w:t>
            </w:r>
          </w:p>
        </w:tc>
        <w:tc>
          <w:tcPr>
            <w:tcW w:w="1161" w:type="pct"/>
            <w:vMerge w:val="restart"/>
            <w:tcMar>
              <w:left w:w="0" w:type="dxa"/>
              <w:right w:w="0" w:type="dxa"/>
            </w:tcMar>
            <w:vAlign w:val="center"/>
          </w:tcPr>
          <w:p w14:paraId="5F77C838" w14:textId="77777777" w:rsidR="00ED365D" w:rsidRPr="00ED365D" w:rsidRDefault="00ED365D" w:rsidP="00ED365D">
            <w:r w:rsidRPr="00ED365D">
              <w:t>全区分布，在大庆长垣一带，埋深相对较浅。</w:t>
            </w:r>
          </w:p>
        </w:tc>
        <w:tc>
          <w:tcPr>
            <w:tcW w:w="2224" w:type="pct"/>
            <w:tcMar>
              <w:left w:w="0" w:type="dxa"/>
              <w:right w:w="0" w:type="dxa"/>
            </w:tcMar>
            <w:vAlign w:val="center"/>
          </w:tcPr>
          <w:p w14:paraId="1148E79C" w14:textId="77777777" w:rsidR="00ED365D" w:rsidRPr="00ED365D" w:rsidRDefault="00ED365D" w:rsidP="00ED365D">
            <w:pPr>
              <w:jc w:val="left"/>
            </w:pPr>
            <w:r w:rsidRPr="00ED365D">
              <w:t>顶部是灰、灰绿色泥岩与灰白色粉砂互层；</w:t>
            </w:r>
          </w:p>
          <w:p w14:paraId="34EA084A" w14:textId="77777777" w:rsidR="00ED365D" w:rsidRPr="00ED365D" w:rsidRDefault="00ED365D" w:rsidP="00ED365D">
            <w:pPr>
              <w:jc w:val="left"/>
            </w:pPr>
            <w:r w:rsidRPr="00ED365D">
              <w:t>上部为灰绿、深黑色、深灰色泥岩与泥质粉砂岩、粉砂岩互层；</w:t>
            </w:r>
          </w:p>
          <w:p w14:paraId="114CD6B4" w14:textId="77777777" w:rsidR="00ED365D" w:rsidRPr="00ED365D" w:rsidRDefault="00ED365D" w:rsidP="00ED365D">
            <w:pPr>
              <w:jc w:val="left"/>
            </w:pPr>
            <w:r w:rsidRPr="00ED365D">
              <w:t>中部是深灰、灰黑、灰白色泥岩、页岩夹灰白色粉细砂岩，含大量叶支介、介形虫化石；</w:t>
            </w:r>
          </w:p>
          <w:p w14:paraId="4BD5665F" w14:textId="77777777" w:rsidR="00ED365D" w:rsidRPr="00ED365D" w:rsidRDefault="00ED365D" w:rsidP="00ED365D">
            <w:pPr>
              <w:jc w:val="left"/>
            </w:pPr>
            <w:r w:rsidRPr="00ED365D">
              <w:t>下部是灰黑色泥岩、页岩夹灰绿泥质粉砂岩、砂岩、灰数层劣质细页岩。</w:t>
            </w:r>
          </w:p>
        </w:tc>
      </w:tr>
      <w:tr w:rsidR="00ED365D" w:rsidRPr="00ED365D" w14:paraId="0EA5AC44" w14:textId="77777777" w:rsidTr="00E71DA2">
        <w:trPr>
          <w:cantSplit/>
        </w:trPr>
        <w:tc>
          <w:tcPr>
            <w:tcW w:w="207" w:type="pct"/>
            <w:vMerge/>
            <w:tcMar>
              <w:left w:w="0" w:type="dxa"/>
              <w:right w:w="0" w:type="dxa"/>
            </w:tcMar>
            <w:vAlign w:val="center"/>
          </w:tcPr>
          <w:p w14:paraId="296C89BE" w14:textId="77777777" w:rsidR="00ED365D" w:rsidRPr="00ED365D" w:rsidRDefault="00ED365D" w:rsidP="00ED365D">
            <w:pPr>
              <w:jc w:val="center"/>
            </w:pPr>
          </w:p>
        </w:tc>
        <w:tc>
          <w:tcPr>
            <w:tcW w:w="258" w:type="pct"/>
            <w:vMerge/>
            <w:tcMar>
              <w:left w:w="0" w:type="dxa"/>
              <w:right w:w="0" w:type="dxa"/>
            </w:tcMar>
            <w:vAlign w:val="center"/>
          </w:tcPr>
          <w:p w14:paraId="43ECF5C5" w14:textId="77777777" w:rsidR="00ED365D" w:rsidRPr="00ED365D" w:rsidRDefault="00ED365D" w:rsidP="00ED365D">
            <w:pPr>
              <w:jc w:val="center"/>
            </w:pPr>
          </w:p>
        </w:tc>
        <w:tc>
          <w:tcPr>
            <w:tcW w:w="449" w:type="pct"/>
            <w:tcMar>
              <w:left w:w="0" w:type="dxa"/>
              <w:right w:w="0" w:type="dxa"/>
            </w:tcMar>
            <w:vAlign w:val="center"/>
          </w:tcPr>
          <w:p w14:paraId="749D65CC" w14:textId="77777777" w:rsidR="00ED365D" w:rsidRPr="00ED365D" w:rsidRDefault="00ED365D" w:rsidP="00ED365D">
            <w:pPr>
              <w:jc w:val="center"/>
            </w:pPr>
            <w:r w:rsidRPr="00ED365D">
              <w:t>姚家组</w:t>
            </w:r>
          </w:p>
        </w:tc>
        <w:tc>
          <w:tcPr>
            <w:tcW w:w="236" w:type="pct"/>
            <w:tcMar>
              <w:left w:w="0" w:type="dxa"/>
              <w:right w:w="0" w:type="dxa"/>
            </w:tcMar>
            <w:vAlign w:val="center"/>
          </w:tcPr>
          <w:p w14:paraId="55573E24" w14:textId="77777777" w:rsidR="00ED365D" w:rsidRPr="00ED365D" w:rsidRDefault="00ED365D" w:rsidP="00ED365D">
            <w:pPr>
              <w:jc w:val="center"/>
            </w:pPr>
            <w:r w:rsidRPr="00ED365D">
              <w:t>K</w:t>
            </w:r>
            <w:r w:rsidRPr="00ED365D">
              <w:rPr>
                <w:vertAlign w:val="subscript"/>
              </w:rPr>
              <w:t>2</w:t>
            </w:r>
            <w:r w:rsidRPr="00ED365D">
              <w:t>y</w:t>
            </w:r>
          </w:p>
        </w:tc>
        <w:tc>
          <w:tcPr>
            <w:tcW w:w="464" w:type="pct"/>
            <w:tcMar>
              <w:left w:w="0" w:type="dxa"/>
              <w:right w:w="0" w:type="dxa"/>
            </w:tcMar>
            <w:vAlign w:val="center"/>
          </w:tcPr>
          <w:p w14:paraId="0EF7CED0" w14:textId="77777777" w:rsidR="00ED365D" w:rsidRPr="00ED365D" w:rsidRDefault="00ED365D" w:rsidP="00ED365D">
            <w:pPr>
              <w:jc w:val="center"/>
            </w:pPr>
            <w:r w:rsidRPr="00ED365D">
              <w:t>10-197.5</w:t>
            </w:r>
          </w:p>
        </w:tc>
        <w:tc>
          <w:tcPr>
            <w:tcW w:w="1161" w:type="pct"/>
            <w:vMerge/>
            <w:tcMar>
              <w:left w:w="0" w:type="dxa"/>
              <w:right w:w="0" w:type="dxa"/>
            </w:tcMar>
            <w:vAlign w:val="center"/>
          </w:tcPr>
          <w:p w14:paraId="53C5ABF9" w14:textId="77777777" w:rsidR="00ED365D" w:rsidRPr="00ED365D" w:rsidRDefault="00ED365D" w:rsidP="00ED365D">
            <w:pPr>
              <w:jc w:val="center"/>
            </w:pPr>
          </w:p>
        </w:tc>
        <w:tc>
          <w:tcPr>
            <w:tcW w:w="2224" w:type="pct"/>
            <w:tcMar>
              <w:left w:w="0" w:type="dxa"/>
              <w:right w:w="0" w:type="dxa"/>
            </w:tcMar>
            <w:vAlign w:val="center"/>
          </w:tcPr>
          <w:p w14:paraId="616341F4" w14:textId="77777777" w:rsidR="00ED365D" w:rsidRPr="00ED365D" w:rsidRDefault="00ED365D" w:rsidP="00ED365D">
            <w:pPr>
              <w:jc w:val="left"/>
            </w:pPr>
            <w:r w:rsidRPr="00ED365D">
              <w:t>上部为灰黑、灰绿色泥岩石、泥质粉砂岩与棕红色泥岩互层；</w:t>
            </w:r>
          </w:p>
          <w:p w14:paraId="37E606F5" w14:textId="77777777" w:rsidR="00ED365D" w:rsidRPr="00ED365D" w:rsidRDefault="00ED365D" w:rsidP="00ED365D">
            <w:pPr>
              <w:jc w:val="left"/>
            </w:pPr>
            <w:r w:rsidRPr="00ED365D">
              <w:t>下部为棕红色泥岩与灰绿色泥岩互层、夹灰黑色泥岩、粉砂岩。</w:t>
            </w:r>
          </w:p>
        </w:tc>
      </w:tr>
      <w:tr w:rsidR="00ED365D" w:rsidRPr="00ED365D" w14:paraId="71476E4A" w14:textId="77777777" w:rsidTr="00E71DA2">
        <w:trPr>
          <w:cantSplit/>
        </w:trPr>
        <w:tc>
          <w:tcPr>
            <w:tcW w:w="207" w:type="pct"/>
            <w:vMerge/>
            <w:tcMar>
              <w:left w:w="0" w:type="dxa"/>
              <w:right w:w="0" w:type="dxa"/>
            </w:tcMar>
            <w:vAlign w:val="center"/>
          </w:tcPr>
          <w:p w14:paraId="04CE5638" w14:textId="77777777" w:rsidR="00ED365D" w:rsidRPr="00ED365D" w:rsidRDefault="00ED365D" w:rsidP="00ED365D">
            <w:pPr>
              <w:jc w:val="center"/>
            </w:pPr>
          </w:p>
        </w:tc>
        <w:tc>
          <w:tcPr>
            <w:tcW w:w="258" w:type="pct"/>
            <w:vMerge/>
            <w:tcMar>
              <w:left w:w="0" w:type="dxa"/>
              <w:right w:w="0" w:type="dxa"/>
            </w:tcMar>
            <w:vAlign w:val="center"/>
          </w:tcPr>
          <w:p w14:paraId="7ACE4794" w14:textId="77777777" w:rsidR="00ED365D" w:rsidRPr="00ED365D" w:rsidRDefault="00ED365D" w:rsidP="00ED365D">
            <w:pPr>
              <w:jc w:val="center"/>
            </w:pPr>
          </w:p>
        </w:tc>
        <w:tc>
          <w:tcPr>
            <w:tcW w:w="449" w:type="pct"/>
            <w:tcMar>
              <w:left w:w="0" w:type="dxa"/>
              <w:right w:w="0" w:type="dxa"/>
            </w:tcMar>
            <w:vAlign w:val="center"/>
          </w:tcPr>
          <w:p w14:paraId="569D0388" w14:textId="77777777" w:rsidR="00ED365D" w:rsidRPr="00ED365D" w:rsidRDefault="00ED365D" w:rsidP="00ED365D">
            <w:pPr>
              <w:jc w:val="center"/>
            </w:pPr>
            <w:r w:rsidRPr="00ED365D">
              <w:t>青山口组</w:t>
            </w:r>
          </w:p>
        </w:tc>
        <w:tc>
          <w:tcPr>
            <w:tcW w:w="236" w:type="pct"/>
            <w:tcMar>
              <w:left w:w="0" w:type="dxa"/>
              <w:right w:w="0" w:type="dxa"/>
            </w:tcMar>
            <w:vAlign w:val="center"/>
          </w:tcPr>
          <w:p w14:paraId="609D6187" w14:textId="77777777" w:rsidR="00ED365D" w:rsidRPr="00ED365D" w:rsidRDefault="00ED365D" w:rsidP="00ED365D">
            <w:pPr>
              <w:jc w:val="center"/>
            </w:pPr>
            <w:r w:rsidRPr="00ED365D">
              <w:t>K</w:t>
            </w:r>
            <w:r w:rsidRPr="00ED365D">
              <w:rPr>
                <w:vertAlign w:val="subscript"/>
              </w:rPr>
              <w:t>2</w:t>
            </w:r>
            <w:r w:rsidRPr="00ED365D">
              <w:t>qn</w:t>
            </w:r>
          </w:p>
        </w:tc>
        <w:tc>
          <w:tcPr>
            <w:tcW w:w="464" w:type="pct"/>
            <w:tcMar>
              <w:left w:w="0" w:type="dxa"/>
              <w:right w:w="0" w:type="dxa"/>
            </w:tcMar>
            <w:vAlign w:val="center"/>
          </w:tcPr>
          <w:p w14:paraId="10B3722E" w14:textId="77777777" w:rsidR="00ED365D" w:rsidRPr="00ED365D" w:rsidRDefault="00ED365D" w:rsidP="00ED365D">
            <w:pPr>
              <w:jc w:val="center"/>
            </w:pPr>
            <w:r w:rsidRPr="00ED365D">
              <w:t>50-500</w:t>
            </w:r>
          </w:p>
        </w:tc>
        <w:tc>
          <w:tcPr>
            <w:tcW w:w="1161" w:type="pct"/>
            <w:vMerge/>
            <w:tcMar>
              <w:left w:w="0" w:type="dxa"/>
              <w:right w:w="0" w:type="dxa"/>
            </w:tcMar>
            <w:vAlign w:val="center"/>
          </w:tcPr>
          <w:p w14:paraId="4F300509" w14:textId="77777777" w:rsidR="00ED365D" w:rsidRPr="00ED365D" w:rsidRDefault="00ED365D" w:rsidP="00ED365D">
            <w:pPr>
              <w:jc w:val="center"/>
            </w:pPr>
          </w:p>
        </w:tc>
        <w:tc>
          <w:tcPr>
            <w:tcW w:w="2224" w:type="pct"/>
            <w:tcMar>
              <w:left w:w="0" w:type="dxa"/>
              <w:right w:w="0" w:type="dxa"/>
            </w:tcMar>
            <w:vAlign w:val="center"/>
          </w:tcPr>
          <w:p w14:paraId="003DF833" w14:textId="77777777" w:rsidR="00ED365D" w:rsidRPr="00ED365D" w:rsidRDefault="00ED365D" w:rsidP="00ED365D">
            <w:pPr>
              <w:jc w:val="left"/>
            </w:pPr>
            <w:r w:rsidRPr="00ED365D">
              <w:t>上部是紫红、灰黑、灰绿色泥岩、夹薄层粉砂岩；</w:t>
            </w:r>
          </w:p>
          <w:p w14:paraId="64676C68" w14:textId="77777777" w:rsidR="00ED365D" w:rsidRPr="00ED365D" w:rsidRDefault="00ED365D" w:rsidP="00ED365D">
            <w:pPr>
              <w:jc w:val="left"/>
            </w:pPr>
            <w:r w:rsidRPr="00ED365D">
              <w:t>下部是灰绿、灰黑、灰色泥岩夹油页岩、灰绿色粉砂岩和多层钙质介形虫或结晶灰岩薄层；</w:t>
            </w:r>
          </w:p>
          <w:p w14:paraId="6EB6AE3E" w14:textId="77777777" w:rsidR="00ED365D" w:rsidRPr="00ED365D" w:rsidRDefault="00ED365D" w:rsidP="00ED365D">
            <w:pPr>
              <w:jc w:val="left"/>
            </w:pPr>
            <w:r w:rsidRPr="00ED365D">
              <w:t>底部有灰黑色泥岩、页岩夹油页岩。</w:t>
            </w:r>
          </w:p>
        </w:tc>
      </w:tr>
      <w:tr w:rsidR="00ED365D" w:rsidRPr="00ED365D" w14:paraId="5AB546A7" w14:textId="77777777" w:rsidTr="00E71DA2">
        <w:trPr>
          <w:cantSplit/>
        </w:trPr>
        <w:tc>
          <w:tcPr>
            <w:tcW w:w="207" w:type="pct"/>
            <w:vMerge/>
            <w:tcMar>
              <w:left w:w="0" w:type="dxa"/>
              <w:right w:w="0" w:type="dxa"/>
            </w:tcMar>
            <w:vAlign w:val="center"/>
          </w:tcPr>
          <w:p w14:paraId="5C5F1121" w14:textId="77777777" w:rsidR="00ED365D" w:rsidRPr="00ED365D" w:rsidRDefault="00ED365D" w:rsidP="00ED365D">
            <w:pPr>
              <w:jc w:val="center"/>
            </w:pPr>
          </w:p>
        </w:tc>
        <w:tc>
          <w:tcPr>
            <w:tcW w:w="258" w:type="pct"/>
            <w:vMerge/>
            <w:tcMar>
              <w:left w:w="0" w:type="dxa"/>
              <w:right w:w="0" w:type="dxa"/>
            </w:tcMar>
            <w:vAlign w:val="center"/>
          </w:tcPr>
          <w:p w14:paraId="46210FC1" w14:textId="77777777" w:rsidR="00ED365D" w:rsidRPr="00ED365D" w:rsidRDefault="00ED365D" w:rsidP="00ED365D">
            <w:pPr>
              <w:jc w:val="center"/>
            </w:pPr>
          </w:p>
        </w:tc>
        <w:tc>
          <w:tcPr>
            <w:tcW w:w="449" w:type="pct"/>
            <w:tcMar>
              <w:left w:w="0" w:type="dxa"/>
              <w:right w:w="0" w:type="dxa"/>
            </w:tcMar>
            <w:vAlign w:val="center"/>
          </w:tcPr>
          <w:p w14:paraId="7D66471C" w14:textId="77777777" w:rsidR="00ED365D" w:rsidRPr="00ED365D" w:rsidRDefault="00ED365D" w:rsidP="00ED365D">
            <w:pPr>
              <w:jc w:val="center"/>
            </w:pPr>
            <w:r w:rsidRPr="00ED365D">
              <w:t>泉头组</w:t>
            </w:r>
          </w:p>
        </w:tc>
        <w:tc>
          <w:tcPr>
            <w:tcW w:w="236" w:type="pct"/>
            <w:tcMar>
              <w:left w:w="0" w:type="dxa"/>
              <w:right w:w="0" w:type="dxa"/>
            </w:tcMar>
            <w:vAlign w:val="center"/>
          </w:tcPr>
          <w:p w14:paraId="57C301DE" w14:textId="77777777" w:rsidR="00ED365D" w:rsidRPr="00ED365D" w:rsidRDefault="00ED365D" w:rsidP="00ED365D">
            <w:pPr>
              <w:jc w:val="center"/>
            </w:pPr>
            <w:r w:rsidRPr="00ED365D">
              <w:t>K</w:t>
            </w:r>
            <w:r w:rsidRPr="00ED365D">
              <w:rPr>
                <w:vertAlign w:val="subscript"/>
              </w:rPr>
              <w:t>2</w:t>
            </w:r>
            <w:r w:rsidRPr="00ED365D">
              <w:t>q</w:t>
            </w:r>
          </w:p>
        </w:tc>
        <w:tc>
          <w:tcPr>
            <w:tcW w:w="464" w:type="pct"/>
            <w:tcMar>
              <w:left w:w="0" w:type="dxa"/>
              <w:right w:w="0" w:type="dxa"/>
            </w:tcMar>
            <w:vAlign w:val="center"/>
          </w:tcPr>
          <w:p w14:paraId="6F2B95DC" w14:textId="77777777" w:rsidR="00ED365D" w:rsidRPr="00ED365D" w:rsidRDefault="00ED365D" w:rsidP="00ED365D">
            <w:pPr>
              <w:jc w:val="center"/>
            </w:pPr>
            <w:r w:rsidRPr="00ED365D">
              <w:t>50-690</w:t>
            </w:r>
          </w:p>
        </w:tc>
        <w:tc>
          <w:tcPr>
            <w:tcW w:w="1161" w:type="pct"/>
            <w:vMerge/>
            <w:tcMar>
              <w:left w:w="0" w:type="dxa"/>
              <w:right w:w="0" w:type="dxa"/>
            </w:tcMar>
            <w:vAlign w:val="center"/>
          </w:tcPr>
          <w:p w14:paraId="76210E8E" w14:textId="77777777" w:rsidR="00ED365D" w:rsidRPr="00ED365D" w:rsidRDefault="00ED365D" w:rsidP="00ED365D">
            <w:pPr>
              <w:jc w:val="center"/>
            </w:pPr>
          </w:p>
        </w:tc>
        <w:tc>
          <w:tcPr>
            <w:tcW w:w="2224" w:type="pct"/>
            <w:tcMar>
              <w:left w:w="0" w:type="dxa"/>
              <w:right w:w="0" w:type="dxa"/>
            </w:tcMar>
            <w:vAlign w:val="center"/>
          </w:tcPr>
          <w:p w14:paraId="6D3864AE" w14:textId="77777777" w:rsidR="00ED365D" w:rsidRPr="00ED365D" w:rsidRDefault="00ED365D" w:rsidP="00ED365D">
            <w:pPr>
              <w:jc w:val="left"/>
            </w:pPr>
            <w:r w:rsidRPr="00ED365D">
              <w:t>顶部是灰绿色泥岩、棕红质泥岩、粉砂岩、细砂岩互层；</w:t>
            </w:r>
          </w:p>
          <w:p w14:paraId="277B543C" w14:textId="77777777" w:rsidR="00ED365D" w:rsidRPr="00ED365D" w:rsidRDefault="00ED365D" w:rsidP="00ED365D">
            <w:pPr>
              <w:jc w:val="left"/>
            </w:pPr>
            <w:r w:rsidRPr="00ED365D">
              <w:t>上部是棕红色、紫红色泥岩、砂质泥岩与粉砂岩细砂岩互层；</w:t>
            </w:r>
          </w:p>
          <w:p w14:paraId="415B405D" w14:textId="77777777" w:rsidR="00ED365D" w:rsidRPr="00ED365D" w:rsidRDefault="00ED365D" w:rsidP="00ED365D">
            <w:pPr>
              <w:jc w:val="left"/>
            </w:pPr>
            <w:r w:rsidRPr="00ED365D">
              <w:t>中部是棕红色、紫红色泥岩、灰白色灰绿色粉砂岩、细砂岩。</w:t>
            </w:r>
          </w:p>
          <w:p w14:paraId="64C0FCF6" w14:textId="77777777" w:rsidR="00ED365D" w:rsidRPr="00ED365D" w:rsidRDefault="00ED365D" w:rsidP="00ED365D">
            <w:pPr>
              <w:jc w:val="left"/>
            </w:pPr>
            <w:r w:rsidRPr="00ED365D">
              <w:t>下部是灰白、紫灰、紫红色砂岩与暗红色砂岩紫褐色泥岩互层，夹紫红、灰紫色砂质泥岩、含砾砂岩。</w:t>
            </w:r>
          </w:p>
        </w:tc>
      </w:tr>
      <w:tr w:rsidR="00ED365D" w:rsidRPr="00ED365D" w14:paraId="5C434E5D" w14:textId="77777777" w:rsidTr="00E71DA2">
        <w:trPr>
          <w:cantSplit/>
        </w:trPr>
        <w:tc>
          <w:tcPr>
            <w:tcW w:w="207" w:type="pct"/>
            <w:vMerge/>
            <w:tcMar>
              <w:left w:w="0" w:type="dxa"/>
              <w:right w:w="0" w:type="dxa"/>
            </w:tcMar>
            <w:vAlign w:val="center"/>
          </w:tcPr>
          <w:p w14:paraId="776453F9" w14:textId="77777777" w:rsidR="00ED365D" w:rsidRPr="00ED365D" w:rsidRDefault="00ED365D" w:rsidP="00ED365D">
            <w:pPr>
              <w:jc w:val="center"/>
            </w:pPr>
          </w:p>
        </w:tc>
        <w:tc>
          <w:tcPr>
            <w:tcW w:w="258" w:type="pct"/>
            <w:tcMar>
              <w:left w:w="0" w:type="dxa"/>
              <w:right w:w="0" w:type="dxa"/>
            </w:tcMar>
            <w:vAlign w:val="center"/>
          </w:tcPr>
          <w:p w14:paraId="5EF67975" w14:textId="77777777" w:rsidR="00ED365D" w:rsidRPr="00ED365D" w:rsidRDefault="00ED365D" w:rsidP="00ED365D">
            <w:pPr>
              <w:jc w:val="center"/>
            </w:pPr>
            <w:r w:rsidRPr="00ED365D">
              <w:t>下统</w:t>
            </w:r>
          </w:p>
        </w:tc>
        <w:tc>
          <w:tcPr>
            <w:tcW w:w="449" w:type="pct"/>
            <w:tcMar>
              <w:left w:w="0" w:type="dxa"/>
              <w:right w:w="0" w:type="dxa"/>
            </w:tcMar>
            <w:vAlign w:val="center"/>
          </w:tcPr>
          <w:p w14:paraId="309E5D0A" w14:textId="77777777" w:rsidR="00ED365D" w:rsidRPr="00ED365D" w:rsidRDefault="00ED365D" w:rsidP="00ED365D">
            <w:pPr>
              <w:jc w:val="center"/>
            </w:pPr>
            <w:r w:rsidRPr="00ED365D">
              <w:t>登娄库组</w:t>
            </w:r>
          </w:p>
        </w:tc>
        <w:tc>
          <w:tcPr>
            <w:tcW w:w="236" w:type="pct"/>
            <w:tcMar>
              <w:left w:w="0" w:type="dxa"/>
              <w:right w:w="0" w:type="dxa"/>
            </w:tcMar>
            <w:vAlign w:val="center"/>
          </w:tcPr>
          <w:p w14:paraId="466412D0" w14:textId="77777777" w:rsidR="00ED365D" w:rsidRPr="00ED365D" w:rsidRDefault="00ED365D" w:rsidP="00ED365D">
            <w:pPr>
              <w:jc w:val="center"/>
            </w:pPr>
            <w:r w:rsidRPr="00ED365D">
              <w:t>K</w:t>
            </w:r>
            <w:r w:rsidRPr="00ED365D">
              <w:rPr>
                <w:vertAlign w:val="subscript"/>
              </w:rPr>
              <w:t>1</w:t>
            </w:r>
            <w:r w:rsidRPr="00ED365D">
              <w:t>dg</w:t>
            </w:r>
          </w:p>
        </w:tc>
        <w:tc>
          <w:tcPr>
            <w:tcW w:w="464" w:type="pct"/>
            <w:tcMar>
              <w:left w:w="0" w:type="dxa"/>
              <w:right w:w="0" w:type="dxa"/>
            </w:tcMar>
            <w:vAlign w:val="center"/>
          </w:tcPr>
          <w:p w14:paraId="083288A9" w14:textId="77777777" w:rsidR="00ED365D" w:rsidRPr="00ED365D" w:rsidRDefault="00ED365D" w:rsidP="00ED365D">
            <w:pPr>
              <w:jc w:val="center"/>
            </w:pPr>
            <w:r w:rsidRPr="00ED365D">
              <w:t>200-700</w:t>
            </w:r>
          </w:p>
        </w:tc>
        <w:tc>
          <w:tcPr>
            <w:tcW w:w="1161" w:type="pct"/>
            <w:tcMar>
              <w:left w:w="0" w:type="dxa"/>
              <w:right w:w="0" w:type="dxa"/>
            </w:tcMar>
            <w:vAlign w:val="center"/>
          </w:tcPr>
          <w:p w14:paraId="15B17FBB" w14:textId="77777777" w:rsidR="00ED365D" w:rsidRPr="00ED365D" w:rsidRDefault="00ED365D" w:rsidP="00ED365D">
            <w:pPr>
              <w:jc w:val="center"/>
            </w:pPr>
            <w:r w:rsidRPr="00ED365D">
              <w:t>葡萄花一带</w:t>
            </w:r>
          </w:p>
        </w:tc>
        <w:tc>
          <w:tcPr>
            <w:tcW w:w="2224" w:type="pct"/>
            <w:tcMar>
              <w:left w:w="0" w:type="dxa"/>
              <w:right w:w="0" w:type="dxa"/>
            </w:tcMar>
            <w:vAlign w:val="center"/>
          </w:tcPr>
          <w:p w14:paraId="557DF596" w14:textId="77777777" w:rsidR="00ED365D" w:rsidRPr="00ED365D" w:rsidRDefault="00ED365D" w:rsidP="00ED365D">
            <w:r w:rsidRPr="00ED365D">
              <w:t>砂砾岩、夹薄层砂岩，暗色、深灰、红色泥岩。</w:t>
            </w:r>
          </w:p>
        </w:tc>
      </w:tr>
      <w:tr w:rsidR="00ED365D" w:rsidRPr="00ED365D" w14:paraId="359C7667" w14:textId="77777777" w:rsidTr="00E71DA2">
        <w:trPr>
          <w:cantSplit/>
        </w:trPr>
        <w:tc>
          <w:tcPr>
            <w:tcW w:w="466" w:type="pct"/>
            <w:gridSpan w:val="2"/>
            <w:tcMar>
              <w:left w:w="0" w:type="dxa"/>
              <w:right w:w="0" w:type="dxa"/>
            </w:tcMar>
            <w:vAlign w:val="center"/>
          </w:tcPr>
          <w:p w14:paraId="1D221B95" w14:textId="77777777" w:rsidR="00ED365D" w:rsidRPr="00ED365D" w:rsidRDefault="00ED365D" w:rsidP="00ED365D">
            <w:pPr>
              <w:jc w:val="center"/>
            </w:pPr>
            <w:r w:rsidRPr="00ED365D">
              <w:lastRenderedPageBreak/>
              <w:t>侏罗系</w:t>
            </w:r>
          </w:p>
        </w:tc>
        <w:tc>
          <w:tcPr>
            <w:tcW w:w="449" w:type="pct"/>
            <w:tcMar>
              <w:left w:w="0" w:type="dxa"/>
              <w:right w:w="0" w:type="dxa"/>
            </w:tcMar>
            <w:vAlign w:val="center"/>
          </w:tcPr>
          <w:p w14:paraId="4088D5C8" w14:textId="77777777" w:rsidR="00ED365D" w:rsidRPr="00ED365D" w:rsidRDefault="00ED365D" w:rsidP="00ED365D">
            <w:pPr>
              <w:jc w:val="center"/>
            </w:pPr>
          </w:p>
        </w:tc>
        <w:tc>
          <w:tcPr>
            <w:tcW w:w="236" w:type="pct"/>
            <w:tcMar>
              <w:left w:w="0" w:type="dxa"/>
              <w:right w:w="0" w:type="dxa"/>
            </w:tcMar>
            <w:vAlign w:val="center"/>
          </w:tcPr>
          <w:p w14:paraId="5C7E2B67" w14:textId="77777777" w:rsidR="00ED365D" w:rsidRPr="00ED365D" w:rsidRDefault="00ED365D" w:rsidP="00ED365D">
            <w:pPr>
              <w:jc w:val="center"/>
            </w:pPr>
            <w:r w:rsidRPr="00ED365D">
              <w:t>J</w:t>
            </w:r>
          </w:p>
        </w:tc>
        <w:tc>
          <w:tcPr>
            <w:tcW w:w="464" w:type="pct"/>
            <w:tcMar>
              <w:left w:w="0" w:type="dxa"/>
              <w:right w:w="0" w:type="dxa"/>
            </w:tcMar>
            <w:vAlign w:val="center"/>
          </w:tcPr>
          <w:p w14:paraId="6F53EEC6" w14:textId="77777777" w:rsidR="00ED365D" w:rsidRPr="00ED365D" w:rsidRDefault="00ED365D" w:rsidP="00ED365D">
            <w:pPr>
              <w:jc w:val="center"/>
            </w:pPr>
            <w:r w:rsidRPr="00ED365D">
              <w:t>最大埋深</w:t>
            </w:r>
            <w:r w:rsidRPr="00ED365D">
              <w:t>2700</w:t>
            </w:r>
            <w:r w:rsidRPr="00ED365D">
              <w:t>－</w:t>
            </w:r>
            <w:r w:rsidRPr="00ED365D">
              <w:t>7000</w:t>
            </w:r>
          </w:p>
        </w:tc>
        <w:tc>
          <w:tcPr>
            <w:tcW w:w="1161" w:type="pct"/>
            <w:tcMar>
              <w:left w:w="0" w:type="dxa"/>
              <w:right w:w="0" w:type="dxa"/>
            </w:tcMar>
            <w:vAlign w:val="center"/>
          </w:tcPr>
          <w:p w14:paraId="01FC1267" w14:textId="77777777" w:rsidR="00ED365D" w:rsidRPr="00ED365D" w:rsidRDefault="00ED365D" w:rsidP="00ED365D">
            <w:r w:rsidRPr="00ED365D">
              <w:t>属小型地堑盆地，零星分布。</w:t>
            </w:r>
          </w:p>
        </w:tc>
        <w:tc>
          <w:tcPr>
            <w:tcW w:w="2224" w:type="pct"/>
            <w:tcMar>
              <w:left w:w="0" w:type="dxa"/>
              <w:right w:w="0" w:type="dxa"/>
            </w:tcMar>
            <w:vAlign w:val="center"/>
          </w:tcPr>
          <w:p w14:paraId="3E5A9F42" w14:textId="77777777" w:rsidR="00ED365D" w:rsidRPr="00ED365D" w:rsidRDefault="00ED365D" w:rsidP="00ED365D">
            <w:r w:rsidRPr="00ED365D">
              <w:t>杂色砂砾岩、砾岩、砂岩、夹灰色、紫色泥岩，泥岩常含泥砾、钙砾，见有薄煤层。</w:t>
            </w:r>
          </w:p>
        </w:tc>
      </w:tr>
    </w:tbl>
    <w:p w14:paraId="4E772C94" w14:textId="1A46CEB4" w:rsidR="00ED365D" w:rsidRPr="00ED365D" w:rsidRDefault="00ED365D" w:rsidP="00B06A27">
      <w:pPr>
        <w:pStyle w:val="3"/>
      </w:pPr>
      <w:bookmarkStart w:id="196" w:name="_Toc220680505"/>
      <w:r w:rsidRPr="00ED365D">
        <w:t>4.</w:t>
      </w:r>
      <w:r w:rsidR="006D175E" w:rsidRPr="001E2BE2">
        <w:rPr>
          <w:rFonts w:hint="eastAsia"/>
        </w:rPr>
        <w:t>5</w:t>
      </w:r>
      <w:r w:rsidRPr="00ED365D">
        <w:t xml:space="preserve">.2 </w:t>
      </w:r>
      <w:r w:rsidRPr="00ED365D">
        <w:t>评价区地质构造</w:t>
      </w:r>
      <w:bookmarkEnd w:id="196"/>
    </w:p>
    <w:p w14:paraId="4CF5F777" w14:textId="77777777" w:rsidR="00ED365D" w:rsidRPr="00ED365D" w:rsidRDefault="00ED365D" w:rsidP="000115DE">
      <w:pPr>
        <w:pStyle w:val="affffff4"/>
      </w:pPr>
      <w:r w:rsidRPr="00ED365D">
        <w:t>大庆市处于小兴安岭</w:t>
      </w:r>
      <w:r w:rsidRPr="00ED365D">
        <w:t>—</w:t>
      </w:r>
      <w:r w:rsidRPr="00ED365D">
        <w:t>松嫩地块区，其二级构造单元属松嫩中断陷的次级构造单元，即为中央拗陷带部位。</w:t>
      </w:r>
    </w:p>
    <w:p w14:paraId="132377EF" w14:textId="77777777" w:rsidR="00ED365D" w:rsidRPr="00ED365D" w:rsidRDefault="00ED365D" w:rsidP="000115DE">
      <w:pPr>
        <w:pStyle w:val="affffff4"/>
      </w:pPr>
      <w:r w:rsidRPr="00ED365D">
        <w:t>区内断裂主要为北东向德都</w:t>
      </w:r>
      <w:r w:rsidRPr="00ED365D">
        <w:t>—</w:t>
      </w:r>
      <w:r w:rsidRPr="00ED365D">
        <w:t>大安断裂，该断裂至喜马拉雅期才趋于稳定，其存在与发展基本上控制了松嫩中断陷的发育。区内褶皱主要有大庆长垣背斜，褶皱轴呈北北东向展布，核部为上白垩系嫩江组、四方台组，翼部为明水组，由于大庆长垣缓慢隆起，致使大庆西部地区相对发生凹陷（即齐家古龙凹陷），其轴部与大庆长垣并行排列。评价区位于大庆长垣隆起东部及三肇凹陷西部区域。</w:t>
      </w:r>
    </w:p>
    <w:p w14:paraId="5D803EC6" w14:textId="6F6D2115" w:rsidR="00ED365D" w:rsidRPr="00ED365D" w:rsidRDefault="00ED365D" w:rsidP="00B06A27">
      <w:pPr>
        <w:pStyle w:val="2"/>
      </w:pPr>
      <w:bookmarkStart w:id="197" w:name="_Toc220680506"/>
      <w:r w:rsidRPr="00ED365D">
        <w:t>4.</w:t>
      </w:r>
      <w:r w:rsidR="006D175E" w:rsidRPr="001E2BE2">
        <w:rPr>
          <w:rFonts w:hint="eastAsia"/>
        </w:rPr>
        <w:t>6</w:t>
      </w:r>
      <w:r w:rsidRPr="00ED365D">
        <w:t xml:space="preserve"> </w:t>
      </w:r>
      <w:r w:rsidRPr="00ED365D">
        <w:t>评价区水文地质特征</w:t>
      </w:r>
      <w:bookmarkEnd w:id="197"/>
    </w:p>
    <w:p w14:paraId="1BF524DF" w14:textId="47B20E4D" w:rsidR="00ED365D" w:rsidRPr="00ED365D" w:rsidRDefault="00ED365D" w:rsidP="00B06A27">
      <w:pPr>
        <w:pStyle w:val="3"/>
      </w:pPr>
      <w:bookmarkStart w:id="198" w:name="_Toc220680507"/>
      <w:r w:rsidRPr="00ED365D">
        <w:t>4.</w:t>
      </w:r>
      <w:r w:rsidR="006D175E" w:rsidRPr="001E2BE2">
        <w:rPr>
          <w:rFonts w:hint="eastAsia"/>
        </w:rPr>
        <w:t>6</w:t>
      </w:r>
      <w:r w:rsidRPr="00ED365D">
        <w:t xml:space="preserve">.1 </w:t>
      </w:r>
      <w:r w:rsidRPr="00ED365D">
        <w:t>评价区含水层</w:t>
      </w:r>
      <w:bookmarkEnd w:id="198"/>
    </w:p>
    <w:p w14:paraId="26944AEA" w14:textId="07E43B39" w:rsidR="00ED365D" w:rsidRPr="00ED365D" w:rsidRDefault="00ED365D" w:rsidP="000115DE">
      <w:pPr>
        <w:pStyle w:val="affffff4"/>
      </w:pPr>
      <w:r w:rsidRPr="00ED365D">
        <w:t>调查评价区地下水含水岩组有第四系松散岩类孔隙承压水和白垩系明水组孔隙裂隙承压水组成的双层含水层，具有双层结构。</w:t>
      </w:r>
    </w:p>
    <w:p w14:paraId="220ACCED" w14:textId="77777777" w:rsidR="00ED365D" w:rsidRPr="00ED365D" w:rsidRDefault="00ED365D" w:rsidP="000115DE">
      <w:pPr>
        <w:pStyle w:val="affffff4"/>
      </w:pPr>
      <w:r w:rsidRPr="00ED365D">
        <w:t>第四系上更新统松散层孔隙承压水</w:t>
      </w:r>
    </w:p>
    <w:p w14:paraId="13645261" w14:textId="77777777" w:rsidR="00ED365D" w:rsidRPr="00ED365D" w:rsidRDefault="00ED365D" w:rsidP="000115DE">
      <w:pPr>
        <w:pStyle w:val="affffff4"/>
      </w:pPr>
      <w:r w:rsidRPr="00ED365D">
        <w:t>分布于全区，含水层主要由河湖相沉积的灰白色细砂组成，偶夹粘土透镜体，由上下两层构成。上层含水层由粉砂组成，含水层厚</w:t>
      </w:r>
      <w:r w:rsidRPr="00ED365D">
        <w:t>1-5m</w:t>
      </w:r>
      <w:r w:rsidRPr="00ED365D">
        <w:t>，含水层顶板埋深</w:t>
      </w:r>
      <w:r w:rsidRPr="00ED365D">
        <w:t>12-16m</w:t>
      </w:r>
      <w:r w:rsidRPr="00ED365D">
        <w:t>，含水层零星存在，分布不连续，富水性微弱，水质较差，不具备供水意义。下层由砂、砂砾石组成，含水层顶板埋深</w:t>
      </w:r>
      <w:r w:rsidRPr="00ED365D">
        <w:t>32.5-38.0m</w:t>
      </w:r>
      <w:r w:rsidRPr="00ED365D">
        <w:t>，含水层厚度</w:t>
      </w:r>
      <w:r w:rsidRPr="00ED365D">
        <w:t>5-10m</w:t>
      </w:r>
      <w:r w:rsidRPr="00ED365D">
        <w:t>，连续分布，渗透系数为</w:t>
      </w:r>
      <w:r w:rsidRPr="00ED365D">
        <w:t>19.46-27.69m/d</w:t>
      </w:r>
      <w:r w:rsidRPr="00ED365D">
        <w:t>。富水性中等，评价区西部单井涌水量为</w:t>
      </w:r>
      <w:r w:rsidRPr="00ED365D">
        <w:t>1000m</w:t>
      </w:r>
      <w:r w:rsidRPr="000566AF">
        <w:rPr>
          <w:vertAlign w:val="superscript"/>
        </w:rPr>
        <w:t>3</w:t>
      </w:r>
      <w:r w:rsidRPr="00ED365D">
        <w:t>/d</w:t>
      </w:r>
      <w:r w:rsidRPr="00ED365D">
        <w:t>左右，东部单井涌水量为</w:t>
      </w:r>
      <w:r w:rsidRPr="00ED365D">
        <w:t>1000-3000m</w:t>
      </w:r>
      <w:r w:rsidRPr="001E7416">
        <w:rPr>
          <w:vertAlign w:val="superscript"/>
        </w:rPr>
        <w:t>3</w:t>
      </w:r>
      <w:r w:rsidRPr="00ED365D">
        <w:t>/d</w:t>
      </w:r>
      <w:r w:rsidRPr="00ED365D">
        <w:t>。地下水水位水化学类型为</w:t>
      </w:r>
      <w:r w:rsidRPr="00ED365D">
        <w:t>HCO</w:t>
      </w:r>
      <w:r w:rsidRPr="001E7416">
        <w:rPr>
          <w:vertAlign w:val="subscript"/>
        </w:rPr>
        <w:t>3</w:t>
      </w:r>
      <w:r w:rsidRPr="00ED365D">
        <w:t>-Na·Ca</w:t>
      </w:r>
      <w:r w:rsidRPr="00ED365D">
        <w:t>型水，该层水是工业用水和生活用水的主要供水目的层。</w:t>
      </w:r>
    </w:p>
    <w:p w14:paraId="0AB90226" w14:textId="77777777" w:rsidR="00ED365D" w:rsidRPr="00ED365D" w:rsidRDefault="00ED365D" w:rsidP="000115DE">
      <w:pPr>
        <w:pStyle w:val="affffff4"/>
      </w:pPr>
      <w:r w:rsidRPr="00ED365D">
        <w:t>白垩系明水组孔隙裂隙承压水</w:t>
      </w:r>
    </w:p>
    <w:p w14:paraId="7694140A" w14:textId="77777777" w:rsidR="00ED365D" w:rsidRPr="00ED365D" w:rsidRDefault="00ED365D" w:rsidP="000115DE">
      <w:pPr>
        <w:pStyle w:val="affffff4"/>
      </w:pPr>
      <w:r w:rsidRPr="00ED365D">
        <w:t>分布于本区第四系含水层下部，埋深变化大，含水层层数多，单层厚度薄，含水层岩性上部以棕红色泥岩为主，较致密，夹有薄层蓝灰色粉砂岩，中部以灰绿、棕红色泥岩为主，夹灰绿色粉细砂岩，底部为褐红色细砂岩，与下伏地层呈不整合接触。含水层顶板埋深</w:t>
      </w:r>
      <w:r w:rsidRPr="00ED365D">
        <w:t>80</w:t>
      </w:r>
      <w:r w:rsidRPr="00ED365D">
        <w:t>～</w:t>
      </w:r>
      <w:r w:rsidRPr="00ED365D">
        <w:t>100m</w:t>
      </w:r>
      <w:r w:rsidRPr="00ED365D">
        <w:t>，单层厚度</w:t>
      </w:r>
      <w:r w:rsidRPr="00ED365D">
        <w:t>1-5m</w:t>
      </w:r>
      <w:r w:rsidRPr="00ED365D">
        <w:t>，累计厚度</w:t>
      </w:r>
      <w:r w:rsidRPr="00ED365D">
        <w:t>10-20m</w:t>
      </w:r>
      <w:r w:rsidRPr="00ED365D">
        <w:t>，渗透系数</w:t>
      </w:r>
      <w:r w:rsidRPr="00ED365D">
        <w:t>0.646-4.567m/d</w:t>
      </w:r>
      <w:r w:rsidRPr="00ED365D">
        <w:t>。富水性较好，单井涌水量为</w:t>
      </w:r>
      <w:r w:rsidRPr="00ED365D">
        <w:t>100-1000m</w:t>
      </w:r>
      <w:r w:rsidRPr="000C41C0">
        <w:rPr>
          <w:vertAlign w:val="superscript"/>
        </w:rPr>
        <w:t>3</w:t>
      </w:r>
      <w:r w:rsidRPr="00ED365D">
        <w:t>/d</w:t>
      </w:r>
      <w:r w:rsidRPr="00ED365D">
        <w:t>。地下水水位水化学类型为</w:t>
      </w:r>
      <w:r w:rsidRPr="00ED365D">
        <w:t>HCO</w:t>
      </w:r>
      <w:r w:rsidRPr="000566AF">
        <w:rPr>
          <w:vertAlign w:val="subscript"/>
        </w:rPr>
        <w:t>3</w:t>
      </w:r>
      <w:r w:rsidRPr="00ED365D">
        <w:t>-</w:t>
      </w:r>
      <w:r w:rsidRPr="00ED365D">
        <w:lastRenderedPageBreak/>
        <w:t>Na</w:t>
      </w:r>
      <w:r w:rsidRPr="00ED365D">
        <w:t>型水，矿化度＜</w:t>
      </w:r>
      <w:r w:rsidRPr="00ED365D">
        <w:t>0.5g/L</w:t>
      </w:r>
      <w:r w:rsidRPr="00ED365D">
        <w:t>，</w:t>
      </w:r>
      <w:r w:rsidRPr="00ED365D">
        <w:t>PH</w:t>
      </w:r>
      <w:r w:rsidRPr="00ED365D">
        <w:t>值</w:t>
      </w:r>
      <w:r w:rsidRPr="00ED365D">
        <w:t>7.10-8.20</w:t>
      </w:r>
      <w:r w:rsidRPr="00ED365D">
        <w:t>，该层水是水源地生活用水的辅组供水目的层，与上层第四系上更新统松散层孔隙承压水含水层之间所夹地层为粉质粘土层厚度约为</w:t>
      </w:r>
      <w:r w:rsidRPr="00ED365D">
        <w:t>35-45m</w:t>
      </w:r>
      <w:r w:rsidRPr="00ED365D">
        <w:t>，渗透系数为</w:t>
      </w:r>
      <w:r w:rsidRPr="00ED365D">
        <w:t>1.0×10</w:t>
      </w:r>
      <w:r w:rsidRPr="000566AF">
        <w:rPr>
          <w:vertAlign w:val="superscript"/>
        </w:rPr>
        <w:t>-6</w:t>
      </w:r>
      <w:r w:rsidRPr="00ED365D">
        <w:t>-1.0×10</w:t>
      </w:r>
      <w:r w:rsidRPr="000566AF">
        <w:rPr>
          <w:vertAlign w:val="superscript"/>
        </w:rPr>
        <w:t>-7</w:t>
      </w:r>
      <w:r w:rsidRPr="00ED365D">
        <w:t>cm/s</w:t>
      </w:r>
      <w:r w:rsidRPr="00ED365D">
        <w:t>，粘土层渗透性小，分布连续稳定，两含水层之间水力联系微弱。</w:t>
      </w:r>
    </w:p>
    <w:p w14:paraId="29D1B23B" w14:textId="4CDF9ECF" w:rsidR="00ED365D" w:rsidRPr="00ED365D" w:rsidRDefault="00ED365D" w:rsidP="00B06A27">
      <w:pPr>
        <w:pStyle w:val="3"/>
      </w:pPr>
      <w:bookmarkStart w:id="199" w:name="_Toc220680508"/>
      <w:r w:rsidRPr="00ED365D">
        <w:t>4.</w:t>
      </w:r>
      <w:r w:rsidR="006D175E" w:rsidRPr="001E2BE2">
        <w:rPr>
          <w:rFonts w:hint="eastAsia"/>
        </w:rPr>
        <w:t>6</w:t>
      </w:r>
      <w:r w:rsidRPr="00ED365D">
        <w:t xml:space="preserve">.2 </w:t>
      </w:r>
      <w:r w:rsidRPr="00ED365D">
        <w:t>地下水的补给、径流、排泄条件</w:t>
      </w:r>
      <w:bookmarkEnd w:id="199"/>
    </w:p>
    <w:p w14:paraId="6CAF38CE" w14:textId="77777777" w:rsidR="00ED365D" w:rsidRPr="00ED365D" w:rsidRDefault="00ED365D" w:rsidP="000115DE">
      <w:pPr>
        <w:pStyle w:val="affffff4"/>
      </w:pPr>
      <w:r w:rsidRPr="00ED365D">
        <w:t>地质环境决定了地下水的补给、径流、排泄规律。而其补给、径流和排泄构成了含水层地下水流系统的形成条件。</w:t>
      </w:r>
    </w:p>
    <w:p w14:paraId="19231998" w14:textId="77777777" w:rsidR="00ED365D" w:rsidRPr="00ED365D" w:rsidRDefault="00ED365D" w:rsidP="000115DE">
      <w:pPr>
        <w:pStyle w:val="affffff4"/>
      </w:pPr>
      <w:r w:rsidRPr="00ED365D">
        <w:t>（</w:t>
      </w:r>
      <w:r w:rsidRPr="00ED365D">
        <w:t>1</w:t>
      </w:r>
      <w:r w:rsidRPr="00ED365D">
        <w:t>）地下水补给</w:t>
      </w:r>
    </w:p>
    <w:p w14:paraId="72999F47" w14:textId="77777777" w:rsidR="00ED365D" w:rsidRPr="00ED365D" w:rsidRDefault="00ED365D" w:rsidP="000115DE">
      <w:pPr>
        <w:pStyle w:val="affffff4"/>
      </w:pPr>
      <w:r w:rsidRPr="00ED365D">
        <w:rPr>
          <w:rFonts w:hint="eastAsia"/>
        </w:rPr>
        <w:t>①</w:t>
      </w:r>
      <w:r w:rsidRPr="00ED365D">
        <w:t>大气降水的垂向入渗补给</w:t>
      </w:r>
    </w:p>
    <w:p w14:paraId="0A805671" w14:textId="77777777" w:rsidR="00ED365D" w:rsidRPr="00ED365D" w:rsidRDefault="00ED365D" w:rsidP="000115DE">
      <w:pPr>
        <w:pStyle w:val="affffff4"/>
      </w:pPr>
      <w:r w:rsidRPr="00ED365D">
        <w:t>评价区地势平坦低洼，排水不畅，地表径流迟缓，大气降水可入渗补给至评价区第四系孔隙承压水含水层。</w:t>
      </w:r>
    </w:p>
    <w:p w14:paraId="7880D309" w14:textId="77777777" w:rsidR="00ED365D" w:rsidRPr="00ED365D" w:rsidRDefault="00ED365D" w:rsidP="000115DE">
      <w:pPr>
        <w:pStyle w:val="affffff4"/>
      </w:pPr>
      <w:r w:rsidRPr="00ED365D">
        <w:fldChar w:fldCharType="begin"/>
      </w:r>
      <w:r w:rsidRPr="00ED365D">
        <w:instrText xml:space="preserve"> = 2 \* GB3 \* MERGEFORMAT </w:instrText>
      </w:r>
      <w:r w:rsidRPr="00ED365D">
        <w:fldChar w:fldCharType="separate"/>
      </w:r>
      <w:r w:rsidRPr="00ED365D">
        <w:rPr>
          <w:rFonts w:hint="eastAsia"/>
        </w:rPr>
        <w:t>②</w:t>
      </w:r>
      <w:r w:rsidRPr="00ED365D">
        <w:fldChar w:fldCharType="end"/>
      </w:r>
      <w:r w:rsidRPr="00ED365D">
        <w:t>地下水的径流补给</w:t>
      </w:r>
    </w:p>
    <w:p w14:paraId="012D03FF" w14:textId="77777777" w:rsidR="00ED365D" w:rsidRPr="00ED365D" w:rsidRDefault="00ED365D" w:rsidP="000115DE">
      <w:pPr>
        <w:pStyle w:val="affffff4"/>
      </w:pPr>
      <w:r w:rsidRPr="00ED365D">
        <w:t>第四系中更新统林甸组松散岩类孔隙承压水和白垩系上统明水组碎屑岩类孔隙裂隙承压水，其上有较厚的隔水层，主要接受区外的侧向径流补给。</w:t>
      </w:r>
    </w:p>
    <w:p w14:paraId="36FF0DB4" w14:textId="77777777" w:rsidR="00ED365D" w:rsidRPr="00ED365D" w:rsidRDefault="00ED365D" w:rsidP="000115DE">
      <w:pPr>
        <w:pStyle w:val="affffff4"/>
      </w:pPr>
      <w:r w:rsidRPr="00ED365D">
        <w:t>（</w:t>
      </w:r>
      <w:r w:rsidRPr="00ED365D">
        <w:t>2</w:t>
      </w:r>
      <w:r w:rsidRPr="00ED365D">
        <w:t>）地下水的径流规律</w:t>
      </w:r>
    </w:p>
    <w:p w14:paraId="71BD717B" w14:textId="0BAEA33E" w:rsidR="00ED365D" w:rsidRPr="00ED365D" w:rsidRDefault="00ED365D" w:rsidP="000115DE">
      <w:pPr>
        <w:pStyle w:val="affffff4"/>
      </w:pPr>
      <w:r w:rsidRPr="00ED365D">
        <w:t>评价区第四系中更新统林甸组松散岩类孔隙承压水地下水流向为整体由东北向西南径流，承压水地下水水力坡度为</w:t>
      </w:r>
      <w:r w:rsidRPr="00ED365D">
        <w:t>0.00071</w:t>
      </w:r>
      <w:r w:rsidRPr="00ED365D">
        <w:t>。</w:t>
      </w:r>
    </w:p>
    <w:p w14:paraId="0BB75EBE" w14:textId="77777777" w:rsidR="00ED365D" w:rsidRPr="00ED365D" w:rsidRDefault="00ED365D" w:rsidP="000115DE">
      <w:pPr>
        <w:pStyle w:val="affffff4"/>
      </w:pPr>
      <w:r w:rsidRPr="00ED365D">
        <w:t>（</w:t>
      </w:r>
      <w:r w:rsidRPr="00ED365D">
        <w:t>3</w:t>
      </w:r>
      <w:r w:rsidRPr="00ED365D">
        <w:t>）地下水的排泄特征</w:t>
      </w:r>
    </w:p>
    <w:p w14:paraId="14BA5799" w14:textId="77777777" w:rsidR="00ED365D" w:rsidRPr="00ED365D" w:rsidRDefault="00ED365D" w:rsidP="000115DE">
      <w:pPr>
        <w:pStyle w:val="affffff4"/>
      </w:pPr>
      <w:r w:rsidRPr="00ED365D">
        <w:t>在人为活动影响条件下，评价区地下水的排泄主要有三种类型，即蒸发排泄、侧向径流排泄、人工开采。</w:t>
      </w:r>
      <w:r w:rsidRPr="00ED365D">
        <w:rPr>
          <w:rFonts w:hint="eastAsia"/>
        </w:rPr>
        <w:t>①</w:t>
      </w:r>
      <w:r w:rsidRPr="00ED365D">
        <w:t>蒸发排泄：该区属半干旱季风气候区，区内水面和沼泽湿地较为发育，由于气候干燥，尤其是在多风少雨的春末夏初，降水量小，蒸发强度大，因此蒸发是浅层承压水的排泄方式之一；</w:t>
      </w:r>
      <w:r w:rsidRPr="00ED365D">
        <w:rPr>
          <w:rFonts w:hint="eastAsia"/>
        </w:rPr>
        <w:t>②</w:t>
      </w:r>
      <w:r w:rsidRPr="00ED365D">
        <w:t>侧向径流排泄：承压含水层地下水通过径流，一部分通过同一含水层继续向南径流；</w:t>
      </w:r>
      <w:r w:rsidRPr="00ED365D">
        <w:rPr>
          <w:rFonts w:hint="eastAsia"/>
        </w:rPr>
        <w:t>③</w:t>
      </w:r>
      <w:r w:rsidRPr="00ED365D">
        <w:t>人工开采：地下水人工开采现也是本区承压水含水层的一种排泄方式。</w:t>
      </w:r>
    </w:p>
    <w:p w14:paraId="334926F0" w14:textId="288EEB92" w:rsidR="008907E8" w:rsidRPr="008907E8" w:rsidRDefault="008907E8" w:rsidP="00B06A27">
      <w:pPr>
        <w:pStyle w:val="3"/>
      </w:pPr>
      <w:bookmarkStart w:id="200" w:name="_Toc220680509"/>
      <w:r w:rsidRPr="008907E8">
        <w:t>4.</w:t>
      </w:r>
      <w:r w:rsidR="006D175E" w:rsidRPr="001E2BE2">
        <w:rPr>
          <w:rFonts w:hint="eastAsia"/>
        </w:rPr>
        <w:t>6</w:t>
      </w:r>
      <w:r w:rsidRPr="008907E8">
        <w:t xml:space="preserve">.3 </w:t>
      </w:r>
      <w:r w:rsidRPr="008907E8">
        <w:t>评价区地下水动态</w:t>
      </w:r>
      <w:bookmarkEnd w:id="200"/>
    </w:p>
    <w:p w14:paraId="1867827B" w14:textId="77777777" w:rsidR="008907E8" w:rsidRPr="008907E8" w:rsidRDefault="008907E8" w:rsidP="000115DE">
      <w:pPr>
        <w:pStyle w:val="affffff4"/>
      </w:pPr>
      <w:r w:rsidRPr="008907E8">
        <w:t>评价区内承压水水位与大气圈、地表水的联系微弱，由于受地层和地质构造的影响，承压含水层垂直和侧向补给基本稳定，含水层水位埋深变化主要受人工开采的影响较大。水位埋深较大时间出现在</w:t>
      </w:r>
      <w:r w:rsidRPr="008907E8">
        <w:t>2</w:t>
      </w:r>
      <w:r w:rsidRPr="008907E8">
        <w:t>～</w:t>
      </w:r>
      <w:r w:rsidRPr="008907E8">
        <w:t>4</w:t>
      </w:r>
      <w:r w:rsidRPr="008907E8">
        <w:t>月份，承压水埋深较小时间出现在</w:t>
      </w:r>
      <w:r w:rsidRPr="008907E8">
        <w:t>9</w:t>
      </w:r>
      <w:r w:rsidRPr="008907E8">
        <w:t>～</w:t>
      </w:r>
      <w:r w:rsidRPr="008907E8">
        <w:t>10</w:t>
      </w:r>
      <w:r w:rsidRPr="008907E8">
        <w:t>月份，水位埋深一般在</w:t>
      </w:r>
      <w:r w:rsidRPr="008907E8">
        <w:t>5.5m</w:t>
      </w:r>
      <w:r w:rsidRPr="008907E8">
        <w:t>～</w:t>
      </w:r>
      <w:r w:rsidRPr="008907E8">
        <w:t>16m</w:t>
      </w:r>
      <w:r w:rsidRPr="008907E8">
        <w:t>之间。</w:t>
      </w:r>
    </w:p>
    <w:p w14:paraId="30DE7F6D" w14:textId="560E767B" w:rsidR="00606029" w:rsidRPr="00B06A27" w:rsidRDefault="00EA5B92" w:rsidP="00B06A27">
      <w:pPr>
        <w:pStyle w:val="2"/>
      </w:pPr>
      <w:bookmarkStart w:id="201" w:name="_Toc220680510"/>
      <w:r w:rsidRPr="00B06A27">
        <w:lastRenderedPageBreak/>
        <w:t>4.</w:t>
      </w:r>
      <w:r w:rsidR="006D175E" w:rsidRPr="00B06A27">
        <w:rPr>
          <w:rFonts w:hint="eastAsia"/>
        </w:rPr>
        <w:t>7</w:t>
      </w:r>
      <w:r w:rsidRPr="00B06A27">
        <w:t>土壤、植被和生物多样性</w:t>
      </w:r>
      <w:bookmarkEnd w:id="201"/>
    </w:p>
    <w:p w14:paraId="62CB4E8A" w14:textId="2D8C7BA1" w:rsidR="00606029" w:rsidRDefault="001E2BE2" w:rsidP="0031635C">
      <w:pPr>
        <w:pStyle w:val="affffff4"/>
      </w:pPr>
      <w:r w:rsidRPr="001E2BE2">
        <w:rPr>
          <w:rFonts w:hint="eastAsia"/>
        </w:rPr>
        <w:t>大庆市的生态环境非常有特色，它处于松嫩平原，是典型的半干旱、盐碱化区域，生态系统相对脆弱，但也因此形成了独特的生物多样性景观。</w:t>
      </w:r>
      <w:r>
        <w:rPr>
          <w:rFonts w:hint="eastAsia"/>
        </w:rPr>
        <w:t>土壤类型：以黑钙土、盐碱土和风沙土为主。由于地处科尔沁沙地边缘，风沙土分布广泛，春季风蚀严重。目前，大庆是黑龙江省草原盐碱化最严重的地区之一，全市草原面积</w:t>
      </w:r>
      <w:r>
        <w:rPr>
          <w:rFonts w:hint="eastAsia"/>
        </w:rPr>
        <w:t>566.5</w:t>
      </w:r>
      <w:r>
        <w:rPr>
          <w:rFonts w:hint="eastAsia"/>
        </w:rPr>
        <w:t>万亩，历史上因自然和人为因素，退化、盐碱化问题突出，目前大庆在土壤治理上取得了显著成效，并推广“免耕播种”技术（即秸秆覆盖少耕），面积连续</w:t>
      </w:r>
      <w:r>
        <w:rPr>
          <w:rFonts w:hint="eastAsia"/>
        </w:rPr>
        <w:t>4</w:t>
      </w:r>
      <w:r>
        <w:rPr>
          <w:rFonts w:hint="eastAsia"/>
        </w:rPr>
        <w:t>年位居全省前列，有效减少了风蚀和水土流失。通过“一优三改”等技术，大庆成功将重度盐碱化草原（“碱斑地”）恢复为植被盖度</w:t>
      </w:r>
      <w:r>
        <w:rPr>
          <w:rFonts w:hint="eastAsia"/>
        </w:rPr>
        <w:t>75%</w:t>
      </w:r>
      <w:r>
        <w:rPr>
          <w:rFonts w:hint="eastAsia"/>
        </w:rPr>
        <w:t>以上的“草原毯”，成为全国治理样板。</w:t>
      </w:r>
    </w:p>
    <w:p w14:paraId="0B48A3BE" w14:textId="38C5150E" w:rsidR="001E2BE2" w:rsidRDefault="001E2BE2" w:rsidP="0031635C">
      <w:pPr>
        <w:pStyle w:val="affffff4"/>
      </w:pPr>
      <w:r>
        <w:rPr>
          <w:rFonts w:hint="eastAsia"/>
        </w:rPr>
        <w:t>大庆的植被分布呈现出明显的地带性，以草甸、沼泽植被和人工林为主。湿地植被</w:t>
      </w:r>
      <w:r w:rsidR="0031635C">
        <w:rPr>
          <w:rFonts w:hint="eastAsia"/>
        </w:rPr>
        <w:t>，</w:t>
      </w:r>
      <w:r>
        <w:rPr>
          <w:rFonts w:hint="eastAsia"/>
        </w:rPr>
        <w:t>大庆拥有丰富的湿地资源（如龙凤湿地），植被以芦苇、狭叶香蒲、狭叶黑三棱等水生和湿生植物为主。这些植物不仅是重要的造纸和编织原料，也是鸟类的重要栖息地。草原植被</w:t>
      </w:r>
      <w:r w:rsidR="0031635C">
        <w:rPr>
          <w:rFonts w:hint="eastAsia"/>
        </w:rPr>
        <w:t>，</w:t>
      </w:r>
      <w:r>
        <w:rPr>
          <w:rFonts w:hint="eastAsia"/>
        </w:rPr>
        <w:t>天然草原的优势草种是羊草，辅以碱茅、星星草等耐盐碱植物。近年来通过补播、改良，植被盖度显著提升。人工植被</w:t>
      </w:r>
      <w:r w:rsidR="0031635C">
        <w:rPr>
          <w:rFonts w:hint="eastAsia"/>
        </w:rPr>
        <w:t>，</w:t>
      </w:r>
      <w:r>
        <w:rPr>
          <w:rFonts w:hint="eastAsia"/>
        </w:rPr>
        <w:t>为了防风固沙，大庆在“西北风口”种植了大面积的樟子松防护林，形成了绿色屏障。</w:t>
      </w:r>
    </w:p>
    <w:p w14:paraId="2C90EB16" w14:textId="4BC7B1FB" w:rsidR="00606029" w:rsidRDefault="001E2BE2" w:rsidP="0031635C">
      <w:pPr>
        <w:pStyle w:val="affffff4"/>
      </w:pPr>
      <w:r>
        <w:rPr>
          <w:rFonts w:hint="eastAsia"/>
        </w:rPr>
        <w:t>虽然地处北方，但大庆的生物多样性非常丰富，尤其是鸟类资源。这里是东亚—澳大利西亚候鸟迁飞区的重要驿站。植物种类：全市分布有天然植物</w:t>
      </w:r>
      <w:r>
        <w:rPr>
          <w:rFonts w:hint="eastAsia"/>
        </w:rPr>
        <w:t>559</w:t>
      </w:r>
      <w:r>
        <w:rPr>
          <w:rFonts w:hint="eastAsia"/>
        </w:rPr>
        <w:t>种（维管束植物约</w:t>
      </w:r>
      <w:r>
        <w:rPr>
          <w:rFonts w:hint="eastAsia"/>
        </w:rPr>
        <w:t>300</w:t>
      </w:r>
      <w:r>
        <w:rPr>
          <w:rFonts w:hint="eastAsia"/>
        </w:rPr>
        <w:t>多种），包括药用植物（如蒲公英）、饲用植物等。全市记录鸟类超过</w:t>
      </w:r>
      <w:r>
        <w:rPr>
          <w:rFonts w:hint="eastAsia"/>
        </w:rPr>
        <w:t>270</w:t>
      </w:r>
      <w:r>
        <w:rPr>
          <w:rFonts w:hint="eastAsia"/>
        </w:rPr>
        <w:t>种（含国家一级保护鸟类</w:t>
      </w:r>
      <w:r>
        <w:rPr>
          <w:rFonts w:hint="eastAsia"/>
        </w:rPr>
        <w:t>20</w:t>
      </w:r>
      <w:r>
        <w:rPr>
          <w:rFonts w:hint="eastAsia"/>
        </w:rPr>
        <w:t>种）。这里是丹顶鹤、东方白鹳等珍稀鸟类的重要繁殖地和迁徙驿站。陆生野生动物</w:t>
      </w:r>
      <w:r>
        <w:rPr>
          <w:rFonts w:hint="eastAsia"/>
        </w:rPr>
        <w:t>304</w:t>
      </w:r>
      <w:r>
        <w:rPr>
          <w:rFonts w:hint="eastAsia"/>
        </w:rPr>
        <w:t>种（如狐狸、野兔等），鱼类</w:t>
      </w:r>
      <w:r>
        <w:rPr>
          <w:rFonts w:hint="eastAsia"/>
        </w:rPr>
        <w:t>45</w:t>
      </w:r>
      <w:r>
        <w:rPr>
          <w:rFonts w:hint="eastAsia"/>
        </w:rPr>
        <w:t>种（如鲤鱼、鲫鱼）。</w:t>
      </w:r>
      <w:r w:rsidR="00EA5B92">
        <w:br w:type="page"/>
      </w:r>
    </w:p>
    <w:p w14:paraId="4E97747F" w14:textId="77777777" w:rsidR="00606029" w:rsidRDefault="00EA5B92">
      <w:pPr>
        <w:pStyle w:val="affffff4"/>
        <w:ind w:firstLineChars="0" w:firstLine="0"/>
        <w:jc w:val="center"/>
        <w:outlineLvl w:val="0"/>
      </w:pPr>
      <w:bookmarkStart w:id="202" w:name="_Toc384"/>
      <w:bookmarkStart w:id="203" w:name="_Toc283"/>
      <w:bookmarkStart w:id="204" w:name="_Toc220680511"/>
      <w:r>
        <w:rPr>
          <w:rStyle w:val="10"/>
        </w:rPr>
        <w:lastRenderedPageBreak/>
        <w:t>第五章</w:t>
      </w:r>
      <w:r>
        <w:rPr>
          <w:rStyle w:val="10"/>
        </w:rPr>
        <w:t xml:space="preserve">  </w:t>
      </w:r>
      <w:r>
        <w:rPr>
          <w:rStyle w:val="10"/>
        </w:rPr>
        <w:t>环境质量现状</w:t>
      </w:r>
      <w:bookmarkEnd w:id="202"/>
      <w:bookmarkEnd w:id="203"/>
      <w:bookmarkEnd w:id="204"/>
    </w:p>
    <w:p w14:paraId="235D0D3F" w14:textId="77777777" w:rsidR="00606029" w:rsidRDefault="00EA5B92">
      <w:pPr>
        <w:pStyle w:val="2"/>
      </w:pPr>
      <w:bookmarkStart w:id="205" w:name="_Toc7305"/>
      <w:bookmarkStart w:id="206" w:name="_Toc220680512"/>
      <w:r>
        <w:t>5.1</w:t>
      </w:r>
      <w:r>
        <w:t>地表水环境现状调查与评价</w:t>
      </w:r>
      <w:bookmarkEnd w:id="205"/>
      <w:bookmarkEnd w:id="206"/>
    </w:p>
    <w:p w14:paraId="43D1ECF3" w14:textId="37F24EF5" w:rsidR="00606029" w:rsidRDefault="00EA5B92">
      <w:pPr>
        <w:pStyle w:val="3"/>
      </w:pPr>
      <w:bookmarkStart w:id="207" w:name="_Toc220680513"/>
      <w:r>
        <w:t>5.1.1</w:t>
      </w:r>
      <w:r>
        <w:t>地表水环境质量现状调查</w:t>
      </w:r>
      <w:bookmarkEnd w:id="207"/>
    </w:p>
    <w:p w14:paraId="31A4FDF6" w14:textId="6E789BEE" w:rsidR="0030168F" w:rsidRDefault="0030168F" w:rsidP="0030168F">
      <w:pPr>
        <w:pStyle w:val="affffff4"/>
        <w:jc w:val="left"/>
      </w:pPr>
      <w:r>
        <w:rPr>
          <w:rFonts w:hint="eastAsia"/>
        </w:rPr>
        <w:t>（</w:t>
      </w:r>
      <w:r>
        <w:rPr>
          <w:rFonts w:hint="eastAsia"/>
        </w:rPr>
        <w:t>1</w:t>
      </w:r>
      <w:r>
        <w:rPr>
          <w:rFonts w:hint="eastAsia"/>
        </w:rPr>
        <w:t>）国家地表水考核断面</w:t>
      </w:r>
    </w:p>
    <w:p w14:paraId="21AF8802" w14:textId="3DA7C9FD" w:rsidR="0030168F" w:rsidRDefault="0051026F" w:rsidP="0051026F">
      <w:pPr>
        <w:pStyle w:val="affffff4"/>
        <w:jc w:val="left"/>
      </w:pPr>
      <w:r>
        <w:t>根据《</w:t>
      </w:r>
      <w:r>
        <w:t>2024</w:t>
      </w:r>
      <w:r>
        <w:t>年度大庆市生态环境状况公报》，</w:t>
      </w:r>
      <w:r w:rsidR="0030168F">
        <w:rPr>
          <w:rFonts w:hint="eastAsia"/>
        </w:rPr>
        <w:t>2024</w:t>
      </w:r>
      <w:r w:rsidR="0030168F">
        <w:rPr>
          <w:rFonts w:hint="eastAsia"/>
        </w:rPr>
        <w:t>年，大庆市水环境质量整体呈现改善趋势，古恰泄洪闸口断面第三季度进入全国地表水环境质量改善前三十名榜单。</w:t>
      </w:r>
      <w:r w:rsidR="0030168F">
        <w:rPr>
          <w:rFonts w:hint="eastAsia"/>
        </w:rPr>
        <w:t>6</w:t>
      </w:r>
      <w:r w:rsidR="0030168F">
        <w:rPr>
          <w:rFonts w:hint="eastAsia"/>
        </w:rPr>
        <w:t>个国控考核断面（白沙滩断面、嫩江口内断面、肇源断面、拉林河口下断面、红旗水库出口断面、古恰泄洪闸口断面）中，</w:t>
      </w:r>
      <w:r w:rsidR="0030168F">
        <w:rPr>
          <w:rFonts w:hint="eastAsia"/>
        </w:rPr>
        <w:t>5</w:t>
      </w:r>
      <w:r w:rsidR="0030168F">
        <w:rPr>
          <w:rFonts w:hint="eastAsia"/>
        </w:rPr>
        <w:t>个（白沙滩断面、嫩江口内断面、肇源断面、拉林河口下断面、红旗水库出口断面）达到《地表水环境质量标准》（</w:t>
      </w:r>
      <w:r w:rsidR="0030168F">
        <w:rPr>
          <w:rFonts w:hint="eastAsia"/>
        </w:rPr>
        <w:t>GB3838-2002</w:t>
      </w:r>
      <w:r w:rsidR="0030168F">
        <w:rPr>
          <w:rFonts w:hint="eastAsia"/>
        </w:rPr>
        <w:t>）Ⅲ类标准，国控考核断面水质优良率</w:t>
      </w:r>
      <w:r w:rsidR="0030168F">
        <w:rPr>
          <w:rFonts w:hint="eastAsia"/>
        </w:rPr>
        <w:t>83.3%</w:t>
      </w:r>
      <w:r w:rsidR="0030168F">
        <w:rPr>
          <w:rFonts w:hint="eastAsia"/>
        </w:rPr>
        <w:t>。</w:t>
      </w:r>
      <w:r w:rsidR="0030168F">
        <w:rPr>
          <w:rFonts w:hint="eastAsia"/>
        </w:rPr>
        <w:t>2024</w:t>
      </w:r>
      <w:r w:rsidR="0030168F">
        <w:rPr>
          <w:rFonts w:hint="eastAsia"/>
        </w:rPr>
        <w:t>年古恰闸口断面达到地表水环境质量标准》（</w:t>
      </w:r>
      <w:r w:rsidR="0030168F">
        <w:rPr>
          <w:rFonts w:hint="eastAsia"/>
        </w:rPr>
        <w:t>GB3838-2002</w:t>
      </w:r>
      <w:r w:rsidR="0030168F">
        <w:rPr>
          <w:rFonts w:hint="eastAsia"/>
        </w:rPr>
        <w:t>）Ⅴ类标准，连续</w:t>
      </w:r>
      <w:r w:rsidR="0030168F">
        <w:rPr>
          <w:rFonts w:hint="eastAsia"/>
        </w:rPr>
        <w:t>3</w:t>
      </w:r>
      <w:r w:rsidR="0030168F">
        <w:rPr>
          <w:rFonts w:hint="eastAsia"/>
        </w:rPr>
        <w:t>年实现消“劣”。</w:t>
      </w:r>
    </w:p>
    <w:p w14:paraId="66016CB2" w14:textId="77777777" w:rsidR="0030168F" w:rsidRDefault="0030168F" w:rsidP="0030168F">
      <w:pPr>
        <w:pStyle w:val="affffff4"/>
        <w:jc w:val="left"/>
      </w:pPr>
      <w:r>
        <w:rPr>
          <w:rFonts w:hint="eastAsia"/>
        </w:rPr>
        <w:t>（</w:t>
      </w:r>
      <w:r>
        <w:rPr>
          <w:rFonts w:hint="eastAsia"/>
        </w:rPr>
        <w:t>2</w:t>
      </w:r>
      <w:r>
        <w:rPr>
          <w:rFonts w:hint="eastAsia"/>
        </w:rPr>
        <w:t>）饮用水水源水质</w:t>
      </w:r>
    </w:p>
    <w:p w14:paraId="5FB3DCCD" w14:textId="77777777" w:rsidR="0030168F" w:rsidRDefault="0030168F" w:rsidP="0030168F">
      <w:pPr>
        <w:pStyle w:val="affffff4"/>
        <w:jc w:val="left"/>
      </w:pPr>
      <w:r>
        <w:rPr>
          <w:rFonts w:hint="eastAsia"/>
        </w:rPr>
        <w:t>市辖区共有市级集中式城市生活饮用水水源地</w:t>
      </w:r>
      <w:r>
        <w:rPr>
          <w:rFonts w:hint="eastAsia"/>
        </w:rPr>
        <w:t>3</w:t>
      </w:r>
      <w:r>
        <w:rPr>
          <w:rFonts w:hint="eastAsia"/>
        </w:rPr>
        <w:t>个，均为地表水水源地。</w:t>
      </w:r>
    </w:p>
    <w:p w14:paraId="122A9325" w14:textId="77777777" w:rsidR="0030168F" w:rsidRDefault="0030168F" w:rsidP="0030168F">
      <w:pPr>
        <w:pStyle w:val="affffff4"/>
        <w:jc w:val="left"/>
      </w:pPr>
      <w:r>
        <w:rPr>
          <w:rFonts w:hint="eastAsia"/>
        </w:rPr>
        <w:t>2024</w:t>
      </w:r>
      <w:r>
        <w:rPr>
          <w:rFonts w:hint="eastAsia"/>
        </w:rPr>
        <w:t>年，集中式城市生活饮用水地表水水源地，大庆水库、红旗水库、东城水库水质均满足《地表水环境质量标准》（</w:t>
      </w:r>
      <w:r>
        <w:rPr>
          <w:rFonts w:hint="eastAsia"/>
        </w:rPr>
        <w:t>GB3838-2002</w:t>
      </w:r>
      <w:r>
        <w:rPr>
          <w:rFonts w:hint="eastAsia"/>
        </w:rPr>
        <w:t>）Ⅲ类标准，达标率</w:t>
      </w:r>
      <w:r>
        <w:rPr>
          <w:rFonts w:hint="eastAsia"/>
        </w:rPr>
        <w:t>100%</w:t>
      </w:r>
      <w:r>
        <w:rPr>
          <w:rFonts w:hint="eastAsia"/>
        </w:rPr>
        <w:t>。</w:t>
      </w:r>
    </w:p>
    <w:p w14:paraId="065BB0C9" w14:textId="77777777" w:rsidR="0030168F" w:rsidRDefault="0030168F" w:rsidP="0030168F">
      <w:pPr>
        <w:pStyle w:val="affffff4"/>
        <w:jc w:val="left"/>
      </w:pPr>
      <w:r>
        <w:rPr>
          <w:rFonts w:hint="eastAsia"/>
        </w:rPr>
        <w:t>（</w:t>
      </w:r>
      <w:r>
        <w:rPr>
          <w:rFonts w:hint="eastAsia"/>
        </w:rPr>
        <w:t>3</w:t>
      </w:r>
      <w:r>
        <w:rPr>
          <w:rFonts w:hint="eastAsia"/>
        </w:rPr>
        <w:t>）水环境功能区</w:t>
      </w:r>
    </w:p>
    <w:p w14:paraId="0699C74B" w14:textId="77777777" w:rsidR="0030168F" w:rsidRDefault="0030168F" w:rsidP="0030168F">
      <w:pPr>
        <w:pStyle w:val="affffff4"/>
        <w:jc w:val="left"/>
      </w:pPr>
      <w:r>
        <w:rPr>
          <w:rFonts w:hint="eastAsia"/>
        </w:rPr>
        <w:t>大庆市共有</w:t>
      </w:r>
      <w:r>
        <w:rPr>
          <w:rFonts w:hint="eastAsia"/>
        </w:rPr>
        <w:t>5</w:t>
      </w:r>
      <w:r>
        <w:rPr>
          <w:rFonts w:hint="eastAsia"/>
        </w:rPr>
        <w:t>个水功能区纳入国家监测考核，分别为北部引嫩大庆市开发利用区（Ⅲ类区）、嫩江黑吉缓冲区（Ⅲ类区）、松花江黑吉缓冲区（Ⅲ类区）、嫩江泰来县开发利用区（Ⅲ类区）、安肇新河大庆市开发利用区（Ⅴ类区）。</w:t>
      </w:r>
      <w:r>
        <w:rPr>
          <w:rFonts w:hint="eastAsia"/>
        </w:rPr>
        <w:t>2024</w:t>
      </w:r>
      <w:r>
        <w:rPr>
          <w:rFonts w:hint="eastAsia"/>
        </w:rPr>
        <w:t>年达标水功能区</w:t>
      </w:r>
      <w:r>
        <w:rPr>
          <w:rFonts w:hint="eastAsia"/>
        </w:rPr>
        <w:t>5</w:t>
      </w:r>
      <w:r>
        <w:rPr>
          <w:rFonts w:hint="eastAsia"/>
        </w:rPr>
        <w:t>个，全部达到水质控制要求。</w:t>
      </w:r>
    </w:p>
    <w:p w14:paraId="547F4B88" w14:textId="77777777" w:rsidR="0030168F" w:rsidRDefault="0030168F" w:rsidP="0030168F">
      <w:pPr>
        <w:pStyle w:val="affffff4"/>
        <w:jc w:val="left"/>
      </w:pPr>
      <w:r>
        <w:rPr>
          <w:rFonts w:hint="eastAsia"/>
        </w:rPr>
        <w:t>（</w:t>
      </w:r>
      <w:r>
        <w:rPr>
          <w:rFonts w:hint="eastAsia"/>
        </w:rPr>
        <w:t>4</w:t>
      </w:r>
      <w:r>
        <w:rPr>
          <w:rFonts w:hint="eastAsia"/>
        </w:rPr>
        <w:t>）黑臭水体</w:t>
      </w:r>
    </w:p>
    <w:p w14:paraId="32817E98" w14:textId="77777777" w:rsidR="0030168F" w:rsidRDefault="0030168F" w:rsidP="0030168F">
      <w:pPr>
        <w:pStyle w:val="affffff4"/>
        <w:jc w:val="left"/>
      </w:pPr>
      <w:r>
        <w:rPr>
          <w:rFonts w:hint="eastAsia"/>
        </w:rPr>
        <w:t>城市建成区共有万宝湖、三永湖、明湖、燕都湖</w:t>
      </w:r>
      <w:r>
        <w:rPr>
          <w:rFonts w:hint="eastAsia"/>
        </w:rPr>
        <w:t>4</w:t>
      </w:r>
      <w:r>
        <w:rPr>
          <w:rFonts w:hint="eastAsia"/>
        </w:rPr>
        <w:t>个黑臭水体，“十三五”实现消除黑臭。</w:t>
      </w:r>
      <w:r>
        <w:rPr>
          <w:rFonts w:hint="eastAsia"/>
        </w:rPr>
        <w:t>2024</w:t>
      </w:r>
      <w:r>
        <w:rPr>
          <w:rFonts w:hint="eastAsia"/>
        </w:rPr>
        <w:t>年，</w:t>
      </w:r>
      <w:r>
        <w:rPr>
          <w:rFonts w:hint="eastAsia"/>
        </w:rPr>
        <w:t>4</w:t>
      </w:r>
      <w:r>
        <w:rPr>
          <w:rFonts w:hint="eastAsia"/>
        </w:rPr>
        <w:t>个黑臭水体的透明度、溶解氧、氨氮</w:t>
      </w:r>
      <w:r>
        <w:rPr>
          <w:rFonts w:hint="eastAsia"/>
        </w:rPr>
        <w:t>3</w:t>
      </w:r>
      <w:r>
        <w:rPr>
          <w:rFonts w:hint="eastAsia"/>
        </w:rPr>
        <w:t>项指标数据均未超出《城市黑臭水体整治工作指南》中监测指标阈值要求。</w:t>
      </w:r>
    </w:p>
    <w:p w14:paraId="2CE24D0F" w14:textId="77777777" w:rsidR="0030168F" w:rsidRDefault="0030168F" w:rsidP="0030168F">
      <w:pPr>
        <w:pStyle w:val="affffff4"/>
        <w:jc w:val="left"/>
      </w:pPr>
      <w:r>
        <w:rPr>
          <w:rFonts w:hint="eastAsia"/>
        </w:rPr>
        <w:t>（</w:t>
      </w:r>
      <w:r>
        <w:rPr>
          <w:rFonts w:hint="eastAsia"/>
        </w:rPr>
        <w:t>5</w:t>
      </w:r>
      <w:r>
        <w:rPr>
          <w:rFonts w:hint="eastAsia"/>
        </w:rPr>
        <w:t>）主要河渠概况</w:t>
      </w:r>
    </w:p>
    <w:p w14:paraId="00B30900" w14:textId="77777777" w:rsidR="0030168F" w:rsidRDefault="0030168F" w:rsidP="0030168F">
      <w:pPr>
        <w:pStyle w:val="affffff4"/>
        <w:jc w:val="left"/>
      </w:pPr>
      <w:r>
        <w:rPr>
          <w:rFonts w:hint="eastAsia"/>
        </w:rPr>
        <w:t>大庆市辖区主要分布有嫩江、松花江、乌裕尔河、双阳河、安肇新河等天然、人工水系。</w:t>
      </w:r>
    </w:p>
    <w:p w14:paraId="6F6D0297" w14:textId="77777777" w:rsidR="0030168F" w:rsidRDefault="0030168F" w:rsidP="0030168F">
      <w:pPr>
        <w:pStyle w:val="affffff4"/>
        <w:jc w:val="left"/>
      </w:pPr>
      <w:r>
        <w:rPr>
          <w:rFonts w:hint="eastAsia"/>
        </w:rPr>
        <w:t>嫩江、松花江为边际河流，流经杜尔伯特蒙古族自治县、肇源县；乌裕尔河和</w:t>
      </w:r>
      <w:r>
        <w:rPr>
          <w:rFonts w:hint="eastAsia"/>
        </w:rPr>
        <w:lastRenderedPageBreak/>
        <w:t>双阳河为盲尾河，从林甸县入境，消失于扎龙湿地。安肇新河为人工修建城市防洪排涝和城市排污干区，起点为绥化市王花泡，全长</w:t>
      </w:r>
      <w:r>
        <w:rPr>
          <w:rFonts w:hint="eastAsia"/>
        </w:rPr>
        <w:t>108.1</w:t>
      </w:r>
      <w:r>
        <w:rPr>
          <w:rFonts w:hint="eastAsia"/>
        </w:rPr>
        <w:t>公里，由北二十里泡东北侧进入大庆辖区，贯穿中内泡、库里泡，经古恰泄洪闸口入松花江。</w:t>
      </w:r>
    </w:p>
    <w:p w14:paraId="58009F82" w14:textId="77777777" w:rsidR="0030168F" w:rsidRDefault="0030168F" w:rsidP="0030168F">
      <w:pPr>
        <w:pStyle w:val="affffff4"/>
        <w:jc w:val="left"/>
      </w:pPr>
      <w:r>
        <w:rPr>
          <w:rFonts w:hint="eastAsia"/>
        </w:rPr>
        <w:t>大庆城市腹地无天然河流，属于闭流区，为解决城市用水需要，构成大庆市“引水、蓄水、排水”系统。引水系统由北引、中引、南引</w:t>
      </w:r>
      <w:r>
        <w:rPr>
          <w:rFonts w:hint="eastAsia"/>
        </w:rPr>
        <w:t>3</w:t>
      </w:r>
      <w:r>
        <w:rPr>
          <w:rFonts w:hint="eastAsia"/>
        </w:rPr>
        <w:t>条引水干渠组成；蓄水系统主要由大庆水库、红旗水库、东城水库、大龙虎泡水库、南引水库、东升水库等</w:t>
      </w:r>
      <w:r>
        <w:rPr>
          <w:rFonts w:hint="eastAsia"/>
        </w:rPr>
        <w:t>6</w:t>
      </w:r>
      <w:r>
        <w:rPr>
          <w:rFonts w:hint="eastAsia"/>
        </w:rPr>
        <w:t>座大中型水库构成，并成为主要地表水水源。排水系统以安肇新河为主渠，以西排干、中央排干、东排干和东二排干为主要干渠，通过若干支渠、子渠连接纳污泡沼构成。</w:t>
      </w:r>
    </w:p>
    <w:p w14:paraId="42222899" w14:textId="056A258C" w:rsidR="00606029" w:rsidRDefault="00EA5B92" w:rsidP="0030168F">
      <w:pPr>
        <w:pStyle w:val="3"/>
      </w:pPr>
      <w:bookmarkStart w:id="208" w:name="_Toc220680514"/>
      <w:r w:rsidRPr="00F17B4F">
        <w:t>5.1.2</w:t>
      </w:r>
      <w:r w:rsidRPr="00F17B4F">
        <w:t>地表水环境质量补充调查</w:t>
      </w:r>
      <w:bookmarkEnd w:id="208"/>
    </w:p>
    <w:p w14:paraId="337C49A7" w14:textId="77777777" w:rsidR="00606029" w:rsidRDefault="00EA5B92">
      <w:pPr>
        <w:snapToGrid w:val="0"/>
        <w:spacing w:line="360" w:lineRule="auto"/>
        <w:ind w:firstLineChars="200" w:firstLine="480"/>
        <w:jc w:val="left"/>
        <w:rPr>
          <w:sz w:val="24"/>
          <w:szCs w:val="24"/>
        </w:rPr>
      </w:pPr>
      <w:r>
        <w:rPr>
          <w:sz w:val="24"/>
          <w:szCs w:val="24"/>
        </w:rPr>
        <w:t>（</w:t>
      </w:r>
      <w:r>
        <w:rPr>
          <w:sz w:val="24"/>
          <w:szCs w:val="24"/>
        </w:rPr>
        <w:t>1</w:t>
      </w:r>
      <w:r>
        <w:rPr>
          <w:sz w:val="24"/>
          <w:szCs w:val="24"/>
        </w:rPr>
        <w:t>）监测断面设置</w:t>
      </w:r>
    </w:p>
    <w:p w14:paraId="42225DDD" w14:textId="6C1CEA1A" w:rsidR="00606029" w:rsidRDefault="00EA5B92">
      <w:pPr>
        <w:adjustRightInd w:val="0"/>
        <w:snapToGrid w:val="0"/>
        <w:spacing w:line="360" w:lineRule="auto"/>
        <w:ind w:firstLineChars="200" w:firstLine="480"/>
        <w:rPr>
          <w:sz w:val="24"/>
          <w:szCs w:val="26"/>
        </w:rPr>
      </w:pPr>
      <w:r>
        <w:rPr>
          <w:bCs/>
          <w:sz w:val="24"/>
          <w:szCs w:val="24"/>
        </w:rPr>
        <w:t>本项目于</w:t>
      </w:r>
      <w:r>
        <w:rPr>
          <w:bCs/>
          <w:sz w:val="24"/>
          <w:szCs w:val="24"/>
        </w:rPr>
        <w:t>202</w:t>
      </w:r>
      <w:r w:rsidR="00410939">
        <w:rPr>
          <w:rFonts w:hint="eastAsia"/>
          <w:bCs/>
          <w:sz w:val="24"/>
          <w:szCs w:val="24"/>
        </w:rPr>
        <w:t>5</w:t>
      </w:r>
      <w:r>
        <w:rPr>
          <w:bCs/>
          <w:sz w:val="24"/>
          <w:szCs w:val="24"/>
        </w:rPr>
        <w:t>年</w:t>
      </w:r>
      <w:r w:rsidR="00410939">
        <w:rPr>
          <w:rFonts w:hint="eastAsia"/>
          <w:bCs/>
          <w:sz w:val="24"/>
          <w:szCs w:val="24"/>
        </w:rPr>
        <w:t>12</w:t>
      </w:r>
      <w:r>
        <w:rPr>
          <w:bCs/>
          <w:sz w:val="24"/>
          <w:szCs w:val="24"/>
        </w:rPr>
        <w:t>月</w:t>
      </w:r>
      <w:r w:rsidR="00410939">
        <w:rPr>
          <w:rFonts w:hint="eastAsia"/>
          <w:bCs/>
          <w:sz w:val="24"/>
          <w:szCs w:val="24"/>
        </w:rPr>
        <w:t>10~1</w:t>
      </w:r>
      <w:r>
        <w:rPr>
          <w:bCs/>
          <w:sz w:val="24"/>
          <w:szCs w:val="24"/>
        </w:rPr>
        <w:t>2</w:t>
      </w:r>
      <w:r>
        <w:rPr>
          <w:bCs/>
          <w:sz w:val="24"/>
          <w:szCs w:val="24"/>
        </w:rPr>
        <w:t>日对</w:t>
      </w:r>
      <w:r w:rsidR="00DC4F31">
        <w:rPr>
          <w:rFonts w:hint="eastAsia"/>
          <w:bCs/>
          <w:sz w:val="24"/>
          <w:szCs w:val="24"/>
        </w:rPr>
        <w:t>中央排干、</w:t>
      </w:r>
      <w:r w:rsidR="00DC4F31" w:rsidRPr="00DC4F31">
        <w:rPr>
          <w:rFonts w:hint="eastAsia"/>
          <w:bCs/>
          <w:sz w:val="24"/>
          <w:szCs w:val="24"/>
        </w:rPr>
        <w:t>三胜屯西泡</w:t>
      </w:r>
      <w:r w:rsidR="00DC4F31">
        <w:rPr>
          <w:rFonts w:hint="eastAsia"/>
          <w:bCs/>
          <w:sz w:val="24"/>
          <w:szCs w:val="24"/>
        </w:rPr>
        <w:t>、</w:t>
      </w:r>
      <w:r w:rsidR="00DC4F31" w:rsidRPr="00DC4F31">
        <w:rPr>
          <w:rFonts w:hint="eastAsia"/>
          <w:bCs/>
          <w:sz w:val="24"/>
          <w:szCs w:val="24"/>
        </w:rPr>
        <w:t>南伊哈旗泡</w:t>
      </w:r>
      <w:r w:rsidR="00DC4F31">
        <w:rPr>
          <w:rFonts w:hint="eastAsia"/>
          <w:bCs/>
          <w:sz w:val="24"/>
          <w:szCs w:val="24"/>
        </w:rPr>
        <w:t>、</w:t>
      </w:r>
      <w:r w:rsidR="00DC4F31" w:rsidRPr="00DC4F31">
        <w:rPr>
          <w:rFonts w:hint="eastAsia"/>
          <w:bCs/>
          <w:sz w:val="24"/>
          <w:szCs w:val="24"/>
        </w:rPr>
        <w:t>厂区南侧无名水泡</w:t>
      </w:r>
      <w:r>
        <w:rPr>
          <w:bCs/>
          <w:sz w:val="24"/>
          <w:szCs w:val="24"/>
        </w:rPr>
        <w:t>环境质量现状进行监测</w:t>
      </w:r>
      <w:r>
        <w:rPr>
          <w:sz w:val="24"/>
          <w:szCs w:val="24"/>
        </w:rPr>
        <w:t>。</w:t>
      </w:r>
      <w:r>
        <w:rPr>
          <w:sz w:val="24"/>
          <w:szCs w:val="26"/>
        </w:rPr>
        <w:t>各监测断面的设置性质见下表。</w:t>
      </w:r>
    </w:p>
    <w:p w14:paraId="3B77CB17" w14:textId="5FF48F6D" w:rsidR="00606029" w:rsidRDefault="00EA5B92">
      <w:pPr>
        <w:pStyle w:val="affffff5"/>
      </w:pPr>
      <w:r>
        <w:t>表</w:t>
      </w:r>
      <w:r>
        <w:t>5.1-</w:t>
      </w:r>
      <w:r w:rsidR="000566AF">
        <w:rPr>
          <w:rFonts w:hint="eastAsia"/>
        </w:rPr>
        <w:t>1</w:t>
      </w:r>
      <w:r>
        <w:t xml:space="preserve">  </w:t>
      </w:r>
      <w:r>
        <w:t>水环境监测断面布置情况</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6"/>
        <w:gridCol w:w="1890"/>
        <w:gridCol w:w="3615"/>
        <w:gridCol w:w="2353"/>
      </w:tblGrid>
      <w:tr w:rsidR="00737DEC" w14:paraId="5D553019" w14:textId="77777777" w:rsidTr="00737DEC">
        <w:trPr>
          <w:trHeight w:val="340"/>
          <w:jc w:val="center"/>
        </w:trPr>
        <w:tc>
          <w:tcPr>
            <w:tcW w:w="552" w:type="pct"/>
            <w:tcBorders>
              <w:tl2br w:val="nil"/>
              <w:tr2bl w:val="nil"/>
            </w:tcBorders>
            <w:vAlign w:val="center"/>
          </w:tcPr>
          <w:p w14:paraId="7DB70918" w14:textId="77777777" w:rsidR="00737DEC" w:rsidRDefault="00737DEC">
            <w:pPr>
              <w:jc w:val="center"/>
            </w:pPr>
            <w:r>
              <w:t>序号</w:t>
            </w:r>
          </w:p>
        </w:tc>
        <w:tc>
          <w:tcPr>
            <w:tcW w:w="1070" w:type="pct"/>
            <w:tcBorders>
              <w:tl2br w:val="nil"/>
              <w:tr2bl w:val="nil"/>
            </w:tcBorders>
            <w:vAlign w:val="center"/>
          </w:tcPr>
          <w:p w14:paraId="71E4D274" w14:textId="6452D0BA" w:rsidR="00737DEC" w:rsidRDefault="00737DEC">
            <w:pPr>
              <w:jc w:val="center"/>
            </w:pPr>
            <w:r>
              <w:rPr>
                <w:rFonts w:hint="eastAsia"/>
              </w:rPr>
              <w:t>名称</w:t>
            </w:r>
          </w:p>
        </w:tc>
        <w:tc>
          <w:tcPr>
            <w:tcW w:w="2046" w:type="pct"/>
            <w:tcBorders>
              <w:tl2br w:val="nil"/>
              <w:tr2bl w:val="nil"/>
            </w:tcBorders>
            <w:vAlign w:val="center"/>
          </w:tcPr>
          <w:p w14:paraId="3A7DB5EA" w14:textId="77777777" w:rsidR="00737DEC" w:rsidRDefault="00737DEC">
            <w:pPr>
              <w:jc w:val="center"/>
            </w:pPr>
            <w:r>
              <w:t>坐标</w:t>
            </w:r>
          </w:p>
        </w:tc>
        <w:tc>
          <w:tcPr>
            <w:tcW w:w="1332" w:type="pct"/>
            <w:vAlign w:val="center"/>
          </w:tcPr>
          <w:p w14:paraId="1AB558E7" w14:textId="367DBD8B" w:rsidR="00737DEC" w:rsidRDefault="00737DEC">
            <w:pPr>
              <w:jc w:val="center"/>
            </w:pPr>
            <w:r>
              <w:rPr>
                <w:rFonts w:hint="eastAsia"/>
              </w:rPr>
              <w:t>位置关系</w:t>
            </w:r>
          </w:p>
        </w:tc>
      </w:tr>
      <w:tr w:rsidR="00737DEC" w14:paraId="558842C9" w14:textId="77777777" w:rsidTr="00737DEC">
        <w:trPr>
          <w:trHeight w:val="340"/>
          <w:jc w:val="center"/>
        </w:trPr>
        <w:tc>
          <w:tcPr>
            <w:tcW w:w="552" w:type="pct"/>
            <w:tcBorders>
              <w:tl2br w:val="nil"/>
              <w:tr2bl w:val="nil"/>
            </w:tcBorders>
            <w:vAlign w:val="center"/>
          </w:tcPr>
          <w:p w14:paraId="28231643" w14:textId="77777777" w:rsidR="00737DEC" w:rsidRDefault="00737DEC">
            <w:pPr>
              <w:jc w:val="center"/>
            </w:pPr>
            <w:r>
              <w:t>1</w:t>
            </w:r>
          </w:p>
        </w:tc>
        <w:tc>
          <w:tcPr>
            <w:tcW w:w="1070" w:type="pct"/>
            <w:tcBorders>
              <w:tl2br w:val="nil"/>
              <w:tr2bl w:val="nil"/>
            </w:tcBorders>
            <w:vAlign w:val="center"/>
          </w:tcPr>
          <w:p w14:paraId="6519C062" w14:textId="6131F845" w:rsidR="00737DEC" w:rsidRDefault="00737DEC">
            <w:pPr>
              <w:jc w:val="center"/>
            </w:pPr>
            <w:r>
              <w:rPr>
                <w:rFonts w:hint="eastAsia"/>
              </w:rPr>
              <w:t>中央排干</w:t>
            </w:r>
          </w:p>
        </w:tc>
        <w:tc>
          <w:tcPr>
            <w:tcW w:w="2046" w:type="pct"/>
            <w:tcBorders>
              <w:tl2br w:val="nil"/>
              <w:tr2bl w:val="nil"/>
            </w:tcBorders>
            <w:vAlign w:val="center"/>
          </w:tcPr>
          <w:p w14:paraId="4CDB4B0D" w14:textId="186321DF" w:rsidR="00737DEC" w:rsidRDefault="00737DEC">
            <w:pPr>
              <w:jc w:val="center"/>
            </w:pPr>
            <w:r w:rsidRPr="00737DEC">
              <w:t>124.97741884</w:t>
            </w:r>
            <w:r>
              <w:rPr>
                <w:rFonts w:hint="eastAsia"/>
              </w:rPr>
              <w:t>，</w:t>
            </w:r>
            <w:r w:rsidRPr="00737DEC">
              <w:t>46.43162857</w:t>
            </w:r>
          </w:p>
        </w:tc>
        <w:tc>
          <w:tcPr>
            <w:tcW w:w="1332" w:type="pct"/>
            <w:vAlign w:val="center"/>
          </w:tcPr>
          <w:p w14:paraId="06D15528" w14:textId="1D0688EA" w:rsidR="00737DEC" w:rsidRDefault="00737DEC">
            <w:pPr>
              <w:jc w:val="center"/>
            </w:pPr>
            <w:r>
              <w:rPr>
                <w:rFonts w:hint="eastAsia"/>
              </w:rPr>
              <w:t>厂区西侧</w:t>
            </w:r>
            <w:r>
              <w:rPr>
                <w:rFonts w:hint="eastAsia"/>
              </w:rPr>
              <w:t>40m</w:t>
            </w:r>
          </w:p>
        </w:tc>
      </w:tr>
      <w:tr w:rsidR="00737DEC" w14:paraId="4FC9CC8D" w14:textId="77777777" w:rsidTr="00737DEC">
        <w:trPr>
          <w:trHeight w:val="340"/>
          <w:jc w:val="center"/>
        </w:trPr>
        <w:tc>
          <w:tcPr>
            <w:tcW w:w="552" w:type="pct"/>
            <w:tcBorders>
              <w:tl2br w:val="nil"/>
              <w:tr2bl w:val="nil"/>
            </w:tcBorders>
            <w:vAlign w:val="center"/>
          </w:tcPr>
          <w:p w14:paraId="6776F913" w14:textId="77777777" w:rsidR="00737DEC" w:rsidRDefault="00737DEC">
            <w:pPr>
              <w:jc w:val="center"/>
            </w:pPr>
            <w:r>
              <w:t>2</w:t>
            </w:r>
          </w:p>
        </w:tc>
        <w:tc>
          <w:tcPr>
            <w:tcW w:w="1070" w:type="pct"/>
            <w:tcBorders>
              <w:tl2br w:val="nil"/>
              <w:tr2bl w:val="nil"/>
            </w:tcBorders>
            <w:vAlign w:val="center"/>
          </w:tcPr>
          <w:p w14:paraId="5A3E48DC" w14:textId="26AF87C9" w:rsidR="00737DEC" w:rsidRDefault="00737DEC">
            <w:pPr>
              <w:jc w:val="center"/>
            </w:pPr>
            <w:r>
              <w:rPr>
                <w:rFonts w:hint="eastAsia"/>
              </w:rPr>
              <w:t>三胜屯西泡</w:t>
            </w:r>
          </w:p>
        </w:tc>
        <w:tc>
          <w:tcPr>
            <w:tcW w:w="2046" w:type="pct"/>
            <w:tcBorders>
              <w:tl2br w:val="nil"/>
              <w:tr2bl w:val="nil"/>
            </w:tcBorders>
            <w:vAlign w:val="center"/>
          </w:tcPr>
          <w:p w14:paraId="03CCEBF0" w14:textId="0639120E" w:rsidR="00737DEC" w:rsidRDefault="002C6BAC">
            <w:pPr>
              <w:jc w:val="center"/>
            </w:pPr>
            <w:r w:rsidRPr="002C6BAC">
              <w:t>124.98310287</w:t>
            </w:r>
            <w:r>
              <w:rPr>
                <w:rFonts w:hint="eastAsia"/>
              </w:rPr>
              <w:t>，</w:t>
            </w:r>
            <w:r w:rsidRPr="002C6BAC">
              <w:t>46.41525989</w:t>
            </w:r>
          </w:p>
        </w:tc>
        <w:tc>
          <w:tcPr>
            <w:tcW w:w="1332" w:type="pct"/>
            <w:vAlign w:val="center"/>
          </w:tcPr>
          <w:p w14:paraId="07DC4B5A" w14:textId="3F9630DE" w:rsidR="00737DEC" w:rsidRDefault="00737DEC">
            <w:pPr>
              <w:jc w:val="center"/>
            </w:pPr>
            <w:r>
              <w:rPr>
                <w:rFonts w:hint="eastAsia"/>
              </w:rPr>
              <w:t>厂区</w:t>
            </w:r>
            <w:r w:rsidR="00031C60">
              <w:rPr>
                <w:rFonts w:hint="eastAsia"/>
              </w:rPr>
              <w:t>南</w:t>
            </w:r>
            <w:r>
              <w:rPr>
                <w:rFonts w:hint="eastAsia"/>
              </w:rPr>
              <w:t>侧</w:t>
            </w:r>
            <w:r w:rsidR="00031C60">
              <w:rPr>
                <w:rFonts w:hint="eastAsia"/>
              </w:rPr>
              <w:t>16</w:t>
            </w:r>
            <w:r>
              <w:rPr>
                <w:rFonts w:hint="eastAsia"/>
              </w:rPr>
              <w:t>00m</w:t>
            </w:r>
          </w:p>
        </w:tc>
      </w:tr>
      <w:tr w:rsidR="00737DEC" w14:paraId="3D39366C" w14:textId="77777777" w:rsidTr="00737DEC">
        <w:trPr>
          <w:trHeight w:val="340"/>
          <w:jc w:val="center"/>
        </w:trPr>
        <w:tc>
          <w:tcPr>
            <w:tcW w:w="552" w:type="pct"/>
            <w:tcBorders>
              <w:tl2br w:val="nil"/>
              <w:tr2bl w:val="nil"/>
            </w:tcBorders>
            <w:vAlign w:val="center"/>
          </w:tcPr>
          <w:p w14:paraId="0BB90E13" w14:textId="77777777" w:rsidR="00737DEC" w:rsidRDefault="00737DEC">
            <w:pPr>
              <w:jc w:val="center"/>
            </w:pPr>
            <w:r>
              <w:t>3</w:t>
            </w:r>
          </w:p>
        </w:tc>
        <w:tc>
          <w:tcPr>
            <w:tcW w:w="1070" w:type="pct"/>
            <w:tcBorders>
              <w:tl2br w:val="nil"/>
              <w:tr2bl w:val="nil"/>
            </w:tcBorders>
            <w:vAlign w:val="center"/>
          </w:tcPr>
          <w:p w14:paraId="555DA201" w14:textId="04AF3ECE" w:rsidR="00737DEC" w:rsidRDefault="00737DEC">
            <w:pPr>
              <w:jc w:val="center"/>
            </w:pPr>
            <w:r>
              <w:rPr>
                <w:rFonts w:hint="eastAsia"/>
              </w:rPr>
              <w:t>南伊哈旗泡</w:t>
            </w:r>
          </w:p>
        </w:tc>
        <w:tc>
          <w:tcPr>
            <w:tcW w:w="2046" w:type="pct"/>
            <w:tcBorders>
              <w:tl2br w:val="nil"/>
              <w:tr2bl w:val="nil"/>
            </w:tcBorders>
            <w:vAlign w:val="center"/>
          </w:tcPr>
          <w:p w14:paraId="79529E7A" w14:textId="7914E233" w:rsidR="00737DEC" w:rsidRDefault="00CD4BCF">
            <w:pPr>
              <w:jc w:val="center"/>
            </w:pPr>
            <w:r w:rsidRPr="00CD4BCF">
              <w:t>124.98657299</w:t>
            </w:r>
            <w:r>
              <w:rPr>
                <w:rFonts w:hint="eastAsia"/>
              </w:rPr>
              <w:t>，</w:t>
            </w:r>
            <w:r w:rsidRPr="00CD4BCF">
              <w:t>46.45279149</w:t>
            </w:r>
          </w:p>
        </w:tc>
        <w:tc>
          <w:tcPr>
            <w:tcW w:w="1332" w:type="pct"/>
            <w:vAlign w:val="center"/>
          </w:tcPr>
          <w:p w14:paraId="1AA54151" w14:textId="0E2E28EA" w:rsidR="00737DEC" w:rsidRDefault="00737DEC">
            <w:pPr>
              <w:jc w:val="center"/>
            </w:pPr>
            <w:r>
              <w:rPr>
                <w:rFonts w:hint="eastAsia"/>
              </w:rPr>
              <w:t>厂区</w:t>
            </w:r>
            <w:r w:rsidR="00031C60">
              <w:rPr>
                <w:rFonts w:hint="eastAsia"/>
              </w:rPr>
              <w:t>北</w:t>
            </w:r>
            <w:r>
              <w:rPr>
                <w:rFonts w:hint="eastAsia"/>
              </w:rPr>
              <w:t>侧</w:t>
            </w:r>
            <w:r>
              <w:rPr>
                <w:rFonts w:hint="eastAsia"/>
              </w:rPr>
              <w:t>1</w:t>
            </w:r>
            <w:r w:rsidR="00031C60">
              <w:rPr>
                <w:rFonts w:hint="eastAsia"/>
              </w:rPr>
              <w:t>9</w:t>
            </w:r>
            <w:r>
              <w:rPr>
                <w:rFonts w:hint="eastAsia"/>
              </w:rPr>
              <w:t>00m</w:t>
            </w:r>
          </w:p>
        </w:tc>
      </w:tr>
      <w:tr w:rsidR="00737DEC" w14:paraId="5850CC3D" w14:textId="77777777" w:rsidTr="00737DEC">
        <w:trPr>
          <w:trHeight w:val="340"/>
          <w:jc w:val="center"/>
        </w:trPr>
        <w:tc>
          <w:tcPr>
            <w:tcW w:w="552" w:type="pct"/>
            <w:tcBorders>
              <w:tl2br w:val="nil"/>
              <w:tr2bl w:val="nil"/>
            </w:tcBorders>
            <w:vAlign w:val="center"/>
          </w:tcPr>
          <w:p w14:paraId="50D80D1A" w14:textId="2EB83400" w:rsidR="00737DEC" w:rsidRDefault="00737DEC">
            <w:pPr>
              <w:jc w:val="center"/>
            </w:pPr>
            <w:r>
              <w:rPr>
                <w:rFonts w:hint="eastAsia"/>
              </w:rPr>
              <w:t>4</w:t>
            </w:r>
          </w:p>
        </w:tc>
        <w:tc>
          <w:tcPr>
            <w:tcW w:w="1070" w:type="pct"/>
            <w:tcBorders>
              <w:tl2br w:val="nil"/>
              <w:tr2bl w:val="nil"/>
            </w:tcBorders>
            <w:vAlign w:val="center"/>
          </w:tcPr>
          <w:p w14:paraId="0B7B864D" w14:textId="4F047EEF" w:rsidR="00737DEC" w:rsidRDefault="00737DEC">
            <w:pPr>
              <w:jc w:val="center"/>
            </w:pPr>
            <w:r>
              <w:rPr>
                <w:rFonts w:hint="eastAsia"/>
              </w:rPr>
              <w:t>无名水泡</w:t>
            </w:r>
          </w:p>
        </w:tc>
        <w:tc>
          <w:tcPr>
            <w:tcW w:w="2046" w:type="pct"/>
            <w:tcBorders>
              <w:tl2br w:val="nil"/>
              <w:tr2bl w:val="nil"/>
            </w:tcBorders>
            <w:vAlign w:val="center"/>
          </w:tcPr>
          <w:p w14:paraId="7E7932F1" w14:textId="765CC0E1" w:rsidR="00737DEC" w:rsidRDefault="00737DEC">
            <w:pPr>
              <w:jc w:val="center"/>
            </w:pPr>
            <w:r w:rsidRPr="00737DEC">
              <w:t>124.98212131</w:t>
            </w:r>
            <w:r>
              <w:rPr>
                <w:rFonts w:hint="eastAsia"/>
              </w:rPr>
              <w:t>，</w:t>
            </w:r>
            <w:r w:rsidRPr="00737DEC">
              <w:t>46.43071379</w:t>
            </w:r>
          </w:p>
        </w:tc>
        <w:tc>
          <w:tcPr>
            <w:tcW w:w="1332" w:type="pct"/>
            <w:vAlign w:val="center"/>
          </w:tcPr>
          <w:p w14:paraId="0DE1802A" w14:textId="24532FAC" w:rsidR="00737DEC" w:rsidRDefault="00737DEC">
            <w:pPr>
              <w:jc w:val="center"/>
            </w:pPr>
            <w:r>
              <w:rPr>
                <w:rFonts w:hint="eastAsia"/>
              </w:rPr>
              <w:t>厂区南侧</w:t>
            </w:r>
            <w:r>
              <w:rPr>
                <w:rFonts w:hint="eastAsia"/>
              </w:rPr>
              <w:t>60m</w:t>
            </w:r>
          </w:p>
        </w:tc>
      </w:tr>
    </w:tbl>
    <w:p w14:paraId="56E9B2C3" w14:textId="77777777" w:rsidR="00606029" w:rsidRDefault="00EA5B92">
      <w:pPr>
        <w:snapToGrid w:val="0"/>
        <w:spacing w:line="450" w:lineRule="exact"/>
        <w:ind w:firstLineChars="200" w:firstLine="480"/>
        <w:jc w:val="left"/>
        <w:rPr>
          <w:sz w:val="24"/>
          <w:szCs w:val="26"/>
        </w:rPr>
      </w:pPr>
      <w:r>
        <w:rPr>
          <w:sz w:val="24"/>
          <w:szCs w:val="26"/>
        </w:rPr>
        <w:t>（</w:t>
      </w:r>
      <w:r>
        <w:rPr>
          <w:sz w:val="24"/>
          <w:szCs w:val="26"/>
        </w:rPr>
        <w:t>2</w:t>
      </w:r>
      <w:r>
        <w:rPr>
          <w:sz w:val="24"/>
          <w:szCs w:val="26"/>
        </w:rPr>
        <w:t>）监测项目</w:t>
      </w:r>
    </w:p>
    <w:p w14:paraId="5E7BC166" w14:textId="442F25CF" w:rsidR="00606029" w:rsidRDefault="00031C60">
      <w:pPr>
        <w:spacing w:line="450" w:lineRule="exact"/>
        <w:ind w:firstLineChars="200" w:firstLine="480"/>
        <w:rPr>
          <w:sz w:val="24"/>
          <w:szCs w:val="24"/>
        </w:rPr>
      </w:pPr>
      <w:r w:rsidRPr="00031C60">
        <w:rPr>
          <w:rFonts w:hint="eastAsia"/>
          <w:sz w:val="24"/>
          <w:szCs w:val="24"/>
        </w:rPr>
        <w:t>pH</w:t>
      </w:r>
      <w:r w:rsidRPr="00031C60">
        <w:rPr>
          <w:rFonts w:hint="eastAsia"/>
          <w:sz w:val="24"/>
          <w:szCs w:val="24"/>
        </w:rPr>
        <w:t>、溶解氧、高锰酸盐指数、生化需氧量、氨氮、石油类、挥发酚、汞、铅、化学需氧量、总磷、铜、锌、氟化物、硒、砷、镉、六价铬、氰化物、阴离子表面活性剂、硫化物。</w:t>
      </w:r>
    </w:p>
    <w:p w14:paraId="4CB748BC" w14:textId="77777777" w:rsidR="00606029" w:rsidRDefault="00EA5B92">
      <w:pPr>
        <w:spacing w:line="450" w:lineRule="exact"/>
        <w:ind w:firstLineChars="200" w:firstLine="480"/>
        <w:rPr>
          <w:sz w:val="24"/>
          <w:szCs w:val="26"/>
        </w:rPr>
      </w:pPr>
      <w:r>
        <w:rPr>
          <w:sz w:val="24"/>
          <w:szCs w:val="26"/>
        </w:rPr>
        <w:t>（</w:t>
      </w:r>
      <w:r>
        <w:rPr>
          <w:sz w:val="24"/>
          <w:szCs w:val="26"/>
        </w:rPr>
        <w:t>3</w:t>
      </w:r>
      <w:r>
        <w:rPr>
          <w:sz w:val="24"/>
          <w:szCs w:val="26"/>
        </w:rPr>
        <w:t>）监测时段与频率</w:t>
      </w:r>
    </w:p>
    <w:p w14:paraId="2E6E369B" w14:textId="77777777" w:rsidR="00606029" w:rsidRDefault="00EA5B92">
      <w:pPr>
        <w:spacing w:line="450" w:lineRule="exact"/>
        <w:ind w:firstLineChars="200" w:firstLine="480"/>
        <w:rPr>
          <w:sz w:val="24"/>
          <w:szCs w:val="26"/>
        </w:rPr>
      </w:pPr>
      <w:r>
        <w:rPr>
          <w:sz w:val="24"/>
          <w:szCs w:val="24"/>
        </w:rPr>
        <w:t>连续</w:t>
      </w:r>
      <w:r>
        <w:rPr>
          <w:sz w:val="24"/>
          <w:szCs w:val="24"/>
        </w:rPr>
        <w:t>3</w:t>
      </w:r>
      <w:r>
        <w:rPr>
          <w:sz w:val="24"/>
          <w:szCs w:val="24"/>
        </w:rPr>
        <w:t>天，每天一次。</w:t>
      </w:r>
    </w:p>
    <w:p w14:paraId="63F98059" w14:textId="4C5E0699" w:rsidR="00606029" w:rsidRDefault="00EA5B92">
      <w:pPr>
        <w:spacing w:beforeLines="50" w:before="120" w:line="360" w:lineRule="auto"/>
        <w:ind w:firstLineChars="196" w:firstLine="470"/>
        <w:rPr>
          <w:bCs/>
          <w:sz w:val="24"/>
          <w:szCs w:val="24"/>
        </w:rPr>
      </w:pPr>
      <w:r>
        <w:rPr>
          <w:bCs/>
          <w:sz w:val="24"/>
          <w:szCs w:val="24"/>
        </w:rPr>
        <w:t>（</w:t>
      </w:r>
      <w:r w:rsidR="00031C60">
        <w:rPr>
          <w:rFonts w:hint="eastAsia"/>
          <w:bCs/>
          <w:sz w:val="24"/>
          <w:szCs w:val="24"/>
        </w:rPr>
        <w:t>4</w:t>
      </w:r>
      <w:r>
        <w:rPr>
          <w:bCs/>
          <w:sz w:val="24"/>
          <w:szCs w:val="24"/>
        </w:rPr>
        <w:t>）地表水环境质量现状评价</w:t>
      </w:r>
    </w:p>
    <w:p w14:paraId="75BDC4A0" w14:textId="77777777" w:rsidR="00606029" w:rsidRDefault="00EA5B92">
      <w:pPr>
        <w:autoSpaceDE w:val="0"/>
        <w:autoSpaceDN w:val="0"/>
        <w:adjustRightInd w:val="0"/>
        <w:snapToGrid w:val="0"/>
        <w:spacing w:line="360" w:lineRule="auto"/>
        <w:ind w:firstLineChars="200" w:firstLine="480"/>
        <w:textAlignment w:val="baseline"/>
        <w:rPr>
          <w:snapToGrid w:val="0"/>
          <w:sz w:val="24"/>
          <w:szCs w:val="20"/>
        </w:rPr>
      </w:pPr>
      <w:r>
        <w:rPr>
          <w:snapToGrid w:val="0"/>
          <w:sz w:val="24"/>
          <w:szCs w:val="20"/>
        </w:rPr>
        <w:fldChar w:fldCharType="begin"/>
      </w:r>
      <w:r>
        <w:rPr>
          <w:snapToGrid w:val="0"/>
          <w:sz w:val="24"/>
          <w:szCs w:val="20"/>
        </w:rPr>
        <w:instrText xml:space="preserve"> = 1 \* GB3 \* MERGEFORMAT </w:instrText>
      </w:r>
      <w:r>
        <w:rPr>
          <w:snapToGrid w:val="0"/>
          <w:sz w:val="24"/>
          <w:szCs w:val="20"/>
        </w:rPr>
        <w:fldChar w:fldCharType="separate"/>
      </w:r>
      <w:r>
        <w:rPr>
          <w:snapToGrid w:val="0"/>
          <w:sz w:val="24"/>
          <w:szCs w:val="20"/>
        </w:rPr>
        <w:t>①</w:t>
      </w:r>
      <w:r>
        <w:rPr>
          <w:snapToGrid w:val="0"/>
          <w:sz w:val="24"/>
          <w:szCs w:val="20"/>
        </w:rPr>
        <w:fldChar w:fldCharType="end"/>
      </w:r>
      <w:r>
        <w:rPr>
          <w:snapToGrid w:val="0"/>
          <w:sz w:val="24"/>
          <w:szCs w:val="20"/>
        </w:rPr>
        <w:t>评价标准</w:t>
      </w:r>
    </w:p>
    <w:p w14:paraId="0C2D165B" w14:textId="77777777" w:rsidR="00606029" w:rsidRDefault="00EA5B92">
      <w:pPr>
        <w:pStyle w:val="affffff4"/>
        <w:rPr>
          <w:color w:val="auto"/>
          <w:kern w:val="2"/>
          <w:szCs w:val="24"/>
        </w:rPr>
      </w:pPr>
      <w:r>
        <w:rPr>
          <w:snapToGrid w:val="0"/>
          <w:kern w:val="0"/>
          <w:szCs w:val="24"/>
        </w:rPr>
        <w:t>菜地河未划分水功能区，评价按</w:t>
      </w:r>
      <w:r>
        <w:rPr>
          <w:snapToGrid w:val="0"/>
          <w:kern w:val="0"/>
          <w:szCs w:val="24"/>
        </w:rPr>
        <w:t>Ⅲ</w:t>
      </w:r>
      <w:r>
        <w:rPr>
          <w:snapToGrid w:val="0"/>
          <w:kern w:val="0"/>
          <w:szCs w:val="24"/>
        </w:rPr>
        <w:t>类水质标准进行评价</w:t>
      </w:r>
      <w:r>
        <w:rPr>
          <w:color w:val="auto"/>
          <w:kern w:val="2"/>
          <w:szCs w:val="24"/>
        </w:rPr>
        <w:t>。</w:t>
      </w:r>
    </w:p>
    <w:p w14:paraId="38BF47A6" w14:textId="77777777" w:rsidR="00606029" w:rsidRDefault="00EA5B92">
      <w:pPr>
        <w:autoSpaceDE w:val="0"/>
        <w:autoSpaceDN w:val="0"/>
        <w:adjustRightInd w:val="0"/>
        <w:snapToGrid w:val="0"/>
        <w:spacing w:line="360" w:lineRule="auto"/>
        <w:ind w:firstLineChars="200" w:firstLine="480"/>
        <w:textAlignment w:val="baseline"/>
        <w:rPr>
          <w:snapToGrid w:val="0"/>
          <w:sz w:val="24"/>
          <w:szCs w:val="20"/>
        </w:rPr>
      </w:pPr>
      <w:r>
        <w:rPr>
          <w:snapToGrid w:val="0"/>
          <w:sz w:val="24"/>
          <w:szCs w:val="20"/>
        </w:rPr>
        <w:fldChar w:fldCharType="begin"/>
      </w:r>
      <w:r>
        <w:rPr>
          <w:snapToGrid w:val="0"/>
          <w:sz w:val="24"/>
          <w:szCs w:val="20"/>
        </w:rPr>
        <w:instrText xml:space="preserve"> = 2 \* GB3 \* MERGEFORMAT </w:instrText>
      </w:r>
      <w:r>
        <w:rPr>
          <w:snapToGrid w:val="0"/>
          <w:sz w:val="24"/>
          <w:szCs w:val="20"/>
        </w:rPr>
        <w:fldChar w:fldCharType="separate"/>
      </w:r>
      <w:r>
        <w:rPr>
          <w:snapToGrid w:val="0"/>
          <w:sz w:val="24"/>
          <w:szCs w:val="20"/>
        </w:rPr>
        <w:t>②</w:t>
      </w:r>
      <w:r>
        <w:rPr>
          <w:snapToGrid w:val="0"/>
          <w:sz w:val="24"/>
          <w:szCs w:val="20"/>
        </w:rPr>
        <w:fldChar w:fldCharType="end"/>
      </w:r>
      <w:r>
        <w:rPr>
          <w:snapToGrid w:val="0"/>
          <w:sz w:val="24"/>
          <w:szCs w:val="20"/>
        </w:rPr>
        <w:t>评价方法</w:t>
      </w:r>
    </w:p>
    <w:p w14:paraId="1D2C73B0" w14:textId="6F04E4FE" w:rsidR="00606029" w:rsidRDefault="00EA5B92">
      <w:pPr>
        <w:spacing w:line="360" w:lineRule="auto"/>
        <w:ind w:firstLineChars="200" w:firstLine="480"/>
        <w:rPr>
          <w:sz w:val="24"/>
          <w:szCs w:val="24"/>
        </w:rPr>
      </w:pPr>
      <w:r>
        <w:rPr>
          <w:sz w:val="24"/>
          <w:szCs w:val="24"/>
        </w:rPr>
        <w:t>一般性水质因子（随着浓度增加而水质变差的水质因子）的指数计算公式</w:t>
      </w:r>
      <w:r w:rsidR="006A52CC">
        <w:rPr>
          <w:sz w:val="24"/>
          <w:szCs w:val="24"/>
        </w:rPr>
        <w:t>：</w:t>
      </w:r>
    </w:p>
    <w:p w14:paraId="4D5EEC3F" w14:textId="77777777" w:rsidR="00606029" w:rsidRDefault="00EA5B92">
      <w:pPr>
        <w:spacing w:line="360" w:lineRule="auto"/>
        <w:ind w:firstLineChars="200" w:firstLine="602"/>
        <w:jc w:val="center"/>
        <w:rPr>
          <w:b/>
          <w:sz w:val="30"/>
          <w:szCs w:val="30"/>
        </w:rPr>
      </w:pPr>
      <w:r>
        <w:rPr>
          <w:b/>
          <w:sz w:val="30"/>
          <w:szCs w:val="30"/>
        </w:rPr>
        <w:t>S</w:t>
      </w:r>
      <w:r>
        <w:rPr>
          <w:b/>
          <w:sz w:val="30"/>
          <w:szCs w:val="30"/>
          <w:vertAlign w:val="subscript"/>
        </w:rPr>
        <w:t>i</w:t>
      </w:r>
      <w:r>
        <w:rPr>
          <w:b/>
          <w:sz w:val="30"/>
          <w:szCs w:val="30"/>
          <w:vertAlign w:val="subscript"/>
        </w:rPr>
        <w:t>，</w:t>
      </w:r>
      <w:r>
        <w:rPr>
          <w:b/>
          <w:sz w:val="30"/>
          <w:szCs w:val="30"/>
          <w:vertAlign w:val="subscript"/>
        </w:rPr>
        <w:t xml:space="preserve">j </w:t>
      </w:r>
      <w:r>
        <w:rPr>
          <w:b/>
          <w:sz w:val="30"/>
          <w:szCs w:val="30"/>
        </w:rPr>
        <w:t>=C</w:t>
      </w:r>
      <w:r>
        <w:rPr>
          <w:b/>
          <w:sz w:val="30"/>
          <w:szCs w:val="30"/>
          <w:vertAlign w:val="subscript"/>
        </w:rPr>
        <w:t xml:space="preserve"> i</w:t>
      </w:r>
      <w:r>
        <w:rPr>
          <w:b/>
          <w:sz w:val="30"/>
          <w:szCs w:val="30"/>
          <w:vertAlign w:val="subscript"/>
        </w:rPr>
        <w:t>，</w:t>
      </w:r>
      <w:r>
        <w:rPr>
          <w:b/>
          <w:sz w:val="30"/>
          <w:szCs w:val="30"/>
          <w:vertAlign w:val="subscript"/>
        </w:rPr>
        <w:t>j</w:t>
      </w:r>
      <w:r>
        <w:rPr>
          <w:b/>
          <w:sz w:val="30"/>
          <w:szCs w:val="30"/>
        </w:rPr>
        <w:t>/ C</w:t>
      </w:r>
      <w:r>
        <w:rPr>
          <w:b/>
          <w:sz w:val="30"/>
          <w:szCs w:val="30"/>
          <w:vertAlign w:val="subscript"/>
        </w:rPr>
        <w:t xml:space="preserve"> Si</w:t>
      </w:r>
    </w:p>
    <w:p w14:paraId="4D9A0766" w14:textId="71992C46" w:rsidR="00606029" w:rsidRDefault="00EA5B92">
      <w:pPr>
        <w:autoSpaceDE w:val="0"/>
        <w:autoSpaceDN w:val="0"/>
        <w:spacing w:line="360" w:lineRule="auto"/>
        <w:ind w:firstLineChars="350" w:firstLine="840"/>
        <w:jc w:val="left"/>
        <w:rPr>
          <w:kern w:val="0"/>
          <w:sz w:val="24"/>
          <w:szCs w:val="24"/>
        </w:rPr>
      </w:pPr>
      <w:r>
        <w:rPr>
          <w:kern w:val="0"/>
          <w:sz w:val="24"/>
          <w:szCs w:val="24"/>
        </w:rPr>
        <w:lastRenderedPageBreak/>
        <w:t>式中</w:t>
      </w:r>
      <w:r w:rsidR="006A52CC">
        <w:rPr>
          <w:kern w:val="0"/>
          <w:sz w:val="24"/>
          <w:szCs w:val="24"/>
        </w:rPr>
        <w:t>：</w:t>
      </w:r>
      <w:r>
        <w:rPr>
          <w:iCs/>
          <w:kern w:val="0"/>
          <w:sz w:val="24"/>
          <w:szCs w:val="24"/>
        </w:rPr>
        <w:t>Si</w:t>
      </w:r>
      <w:r>
        <w:rPr>
          <w:iCs/>
          <w:kern w:val="0"/>
          <w:sz w:val="24"/>
          <w:szCs w:val="24"/>
        </w:rPr>
        <w:t>，</w:t>
      </w:r>
      <w:r>
        <w:rPr>
          <w:iCs/>
          <w:kern w:val="0"/>
          <w:sz w:val="24"/>
          <w:szCs w:val="24"/>
        </w:rPr>
        <w:t xml:space="preserve">j </w:t>
      </w:r>
      <w:r>
        <w:rPr>
          <w:sz w:val="24"/>
          <w:szCs w:val="24"/>
        </w:rPr>
        <w:t>——</w:t>
      </w:r>
      <w:r>
        <w:rPr>
          <w:kern w:val="0"/>
          <w:sz w:val="24"/>
          <w:szCs w:val="24"/>
        </w:rPr>
        <w:t>评价因子</w:t>
      </w:r>
      <w:r>
        <w:rPr>
          <w:iCs/>
          <w:kern w:val="0"/>
          <w:sz w:val="24"/>
          <w:szCs w:val="24"/>
        </w:rPr>
        <w:t xml:space="preserve">i </w:t>
      </w:r>
      <w:r>
        <w:rPr>
          <w:kern w:val="0"/>
          <w:sz w:val="24"/>
          <w:szCs w:val="24"/>
        </w:rPr>
        <w:t>的水质指数，大于</w:t>
      </w:r>
      <w:r>
        <w:rPr>
          <w:kern w:val="0"/>
          <w:sz w:val="24"/>
          <w:szCs w:val="24"/>
        </w:rPr>
        <w:t xml:space="preserve">1 </w:t>
      </w:r>
      <w:r>
        <w:rPr>
          <w:kern w:val="0"/>
          <w:sz w:val="24"/>
          <w:szCs w:val="24"/>
        </w:rPr>
        <w:t>表明该水质因子超标；</w:t>
      </w:r>
    </w:p>
    <w:p w14:paraId="291ABE14" w14:textId="77777777" w:rsidR="00606029" w:rsidRDefault="00EA5B92">
      <w:pPr>
        <w:autoSpaceDE w:val="0"/>
        <w:autoSpaceDN w:val="0"/>
        <w:spacing w:line="360" w:lineRule="auto"/>
        <w:ind w:firstLineChars="650" w:firstLine="1560"/>
        <w:jc w:val="left"/>
        <w:rPr>
          <w:kern w:val="0"/>
          <w:sz w:val="24"/>
          <w:szCs w:val="24"/>
        </w:rPr>
      </w:pPr>
      <w:r>
        <w:rPr>
          <w:iCs/>
          <w:kern w:val="0"/>
          <w:sz w:val="24"/>
          <w:szCs w:val="24"/>
        </w:rPr>
        <w:t>C i</w:t>
      </w:r>
      <w:r>
        <w:rPr>
          <w:iCs/>
          <w:kern w:val="0"/>
          <w:sz w:val="24"/>
          <w:szCs w:val="24"/>
        </w:rPr>
        <w:t>，</w:t>
      </w:r>
      <w:r>
        <w:rPr>
          <w:iCs/>
          <w:kern w:val="0"/>
          <w:sz w:val="24"/>
          <w:szCs w:val="24"/>
        </w:rPr>
        <w:t>j</w:t>
      </w:r>
      <w:r>
        <w:rPr>
          <w:kern w:val="0"/>
          <w:sz w:val="24"/>
          <w:szCs w:val="24"/>
        </w:rPr>
        <w:t xml:space="preserve"> </w:t>
      </w:r>
      <w:r>
        <w:rPr>
          <w:sz w:val="24"/>
          <w:szCs w:val="24"/>
        </w:rPr>
        <w:t>——</w:t>
      </w:r>
      <w:r>
        <w:rPr>
          <w:kern w:val="0"/>
          <w:sz w:val="24"/>
          <w:szCs w:val="24"/>
        </w:rPr>
        <w:t>评价因子</w:t>
      </w:r>
      <w:r>
        <w:rPr>
          <w:iCs/>
          <w:kern w:val="0"/>
          <w:sz w:val="24"/>
          <w:szCs w:val="24"/>
        </w:rPr>
        <w:t xml:space="preserve">i </w:t>
      </w:r>
      <w:r>
        <w:rPr>
          <w:kern w:val="0"/>
          <w:sz w:val="24"/>
          <w:szCs w:val="24"/>
        </w:rPr>
        <w:t>在</w:t>
      </w:r>
      <w:r>
        <w:rPr>
          <w:iCs/>
          <w:kern w:val="0"/>
          <w:sz w:val="24"/>
          <w:szCs w:val="24"/>
        </w:rPr>
        <w:t xml:space="preserve">j </w:t>
      </w:r>
      <w:r>
        <w:rPr>
          <w:kern w:val="0"/>
          <w:sz w:val="24"/>
          <w:szCs w:val="24"/>
        </w:rPr>
        <w:t>点的实测统计代表值，</w:t>
      </w:r>
      <w:r>
        <w:rPr>
          <w:kern w:val="0"/>
          <w:sz w:val="24"/>
          <w:szCs w:val="24"/>
        </w:rPr>
        <w:t>mg/L</w:t>
      </w:r>
      <w:r>
        <w:rPr>
          <w:kern w:val="0"/>
          <w:sz w:val="24"/>
          <w:szCs w:val="24"/>
        </w:rPr>
        <w:t>；</w:t>
      </w:r>
    </w:p>
    <w:p w14:paraId="01FADFEF" w14:textId="77777777" w:rsidR="00606029" w:rsidRDefault="00EA5B92">
      <w:pPr>
        <w:spacing w:line="360" w:lineRule="auto"/>
        <w:ind w:firstLineChars="650" w:firstLine="1560"/>
        <w:rPr>
          <w:iCs/>
          <w:kern w:val="0"/>
          <w:sz w:val="24"/>
          <w:szCs w:val="24"/>
        </w:rPr>
      </w:pPr>
      <w:r>
        <w:rPr>
          <w:iCs/>
          <w:kern w:val="0"/>
          <w:sz w:val="24"/>
          <w:szCs w:val="24"/>
        </w:rPr>
        <w:t>C</w:t>
      </w:r>
      <w:r>
        <w:rPr>
          <w:iCs/>
          <w:kern w:val="0"/>
          <w:sz w:val="24"/>
          <w:szCs w:val="24"/>
          <w:vertAlign w:val="subscript"/>
        </w:rPr>
        <w:t xml:space="preserve"> Si</w:t>
      </w:r>
      <w:r>
        <w:rPr>
          <w:kern w:val="0"/>
          <w:sz w:val="24"/>
          <w:szCs w:val="24"/>
        </w:rPr>
        <w:t xml:space="preserve"> </w:t>
      </w:r>
      <w:r>
        <w:rPr>
          <w:sz w:val="24"/>
          <w:szCs w:val="24"/>
        </w:rPr>
        <w:t>——</w:t>
      </w:r>
      <w:r>
        <w:rPr>
          <w:kern w:val="0"/>
          <w:sz w:val="24"/>
          <w:szCs w:val="24"/>
        </w:rPr>
        <w:t>评价因子</w:t>
      </w:r>
      <w:r>
        <w:rPr>
          <w:iCs/>
          <w:kern w:val="0"/>
          <w:sz w:val="24"/>
          <w:szCs w:val="24"/>
        </w:rPr>
        <w:t xml:space="preserve">i </w:t>
      </w:r>
      <w:r>
        <w:rPr>
          <w:kern w:val="0"/>
          <w:sz w:val="24"/>
          <w:szCs w:val="24"/>
        </w:rPr>
        <w:t>的水质评价标准限值，</w:t>
      </w:r>
      <w:r>
        <w:rPr>
          <w:kern w:val="0"/>
          <w:sz w:val="24"/>
          <w:szCs w:val="24"/>
        </w:rPr>
        <w:t>mg/L</w:t>
      </w:r>
      <w:r>
        <w:rPr>
          <w:kern w:val="0"/>
          <w:sz w:val="24"/>
          <w:szCs w:val="24"/>
        </w:rPr>
        <w:t>。</w:t>
      </w:r>
    </w:p>
    <w:p w14:paraId="106D7F10" w14:textId="066BD6AC" w:rsidR="00606029" w:rsidRDefault="00EA5B92">
      <w:pPr>
        <w:spacing w:line="360" w:lineRule="auto"/>
        <w:ind w:firstLineChars="200" w:firstLine="480"/>
        <w:rPr>
          <w:sz w:val="24"/>
          <w:szCs w:val="24"/>
        </w:rPr>
      </w:pPr>
      <w:r>
        <w:rPr>
          <w:sz w:val="24"/>
          <w:szCs w:val="24"/>
        </w:rPr>
        <w:t>pH</w:t>
      </w:r>
      <w:r>
        <w:rPr>
          <w:sz w:val="24"/>
          <w:szCs w:val="24"/>
        </w:rPr>
        <w:t>的指数计算公式</w:t>
      </w:r>
      <w:r w:rsidR="006A52CC">
        <w:rPr>
          <w:sz w:val="24"/>
          <w:szCs w:val="24"/>
        </w:rPr>
        <w:t>：</w:t>
      </w:r>
    </w:p>
    <w:p w14:paraId="53B034DF" w14:textId="77777777" w:rsidR="00606029" w:rsidRDefault="00EA5B92">
      <w:pPr>
        <w:spacing w:line="360" w:lineRule="auto"/>
        <w:jc w:val="center"/>
        <w:rPr>
          <w:sz w:val="24"/>
          <w:szCs w:val="24"/>
        </w:rPr>
      </w:pPr>
      <w:r>
        <w:rPr>
          <w:sz w:val="24"/>
          <w:szCs w:val="24"/>
        </w:rPr>
        <w:object w:dxaOrig="3466" w:dyaOrig="1668" w14:anchorId="197F1F3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3.4pt;height:83.4pt" o:ole="" o:preferrelative="f">
            <v:imagedata r:id="rId69" o:title="" embosscolor="white"/>
          </v:shape>
          <o:OLEObject Type="Embed" ProgID="Equation" ShapeID="_x0000_i1025" DrawAspect="Content" ObjectID="_1831554257" r:id="rId70"/>
        </w:object>
      </w:r>
    </w:p>
    <w:p w14:paraId="29E9385D" w14:textId="021DAF46" w:rsidR="00606029" w:rsidRDefault="00EA5B92">
      <w:pPr>
        <w:spacing w:beforeLines="50" w:before="120" w:line="360" w:lineRule="auto"/>
        <w:ind w:firstLineChars="400" w:firstLine="960"/>
        <w:rPr>
          <w:sz w:val="24"/>
          <w:szCs w:val="24"/>
        </w:rPr>
      </w:pPr>
      <w:r>
        <w:rPr>
          <w:sz w:val="24"/>
          <w:szCs w:val="24"/>
        </w:rPr>
        <w:t>式中</w:t>
      </w:r>
      <w:r w:rsidR="006A52CC">
        <w:rPr>
          <w:sz w:val="24"/>
          <w:szCs w:val="24"/>
        </w:rPr>
        <w:t>：</w:t>
      </w:r>
      <w:r>
        <w:rPr>
          <w:sz w:val="24"/>
          <w:szCs w:val="24"/>
        </w:rPr>
        <w:t>S</w:t>
      </w:r>
      <w:r>
        <w:rPr>
          <w:sz w:val="24"/>
          <w:szCs w:val="24"/>
          <w:vertAlign w:val="subscript"/>
        </w:rPr>
        <w:t>pH</w:t>
      </w:r>
      <w:r>
        <w:rPr>
          <w:sz w:val="24"/>
          <w:szCs w:val="24"/>
        </w:rPr>
        <w:t>——pH</w:t>
      </w:r>
      <w:r>
        <w:rPr>
          <w:sz w:val="24"/>
          <w:szCs w:val="24"/>
        </w:rPr>
        <w:t>值的指数，大于</w:t>
      </w:r>
      <w:r>
        <w:rPr>
          <w:sz w:val="24"/>
          <w:szCs w:val="24"/>
        </w:rPr>
        <w:t>1</w:t>
      </w:r>
      <w:r>
        <w:rPr>
          <w:sz w:val="24"/>
          <w:szCs w:val="24"/>
        </w:rPr>
        <w:t>表明该水质因子超标；</w:t>
      </w:r>
    </w:p>
    <w:p w14:paraId="73240A18" w14:textId="77777777" w:rsidR="00606029" w:rsidRDefault="00EA5B92">
      <w:pPr>
        <w:spacing w:line="360" w:lineRule="auto"/>
        <w:ind w:firstLineChars="400" w:firstLine="960"/>
        <w:rPr>
          <w:sz w:val="24"/>
          <w:szCs w:val="24"/>
        </w:rPr>
      </w:pPr>
      <w:r>
        <w:rPr>
          <w:sz w:val="24"/>
          <w:szCs w:val="24"/>
        </w:rPr>
        <w:t xml:space="preserve">            pH </w:t>
      </w:r>
      <w:r>
        <w:rPr>
          <w:sz w:val="24"/>
          <w:szCs w:val="24"/>
          <w:vertAlign w:val="subscript"/>
        </w:rPr>
        <w:t xml:space="preserve">j </w:t>
      </w:r>
      <w:r>
        <w:rPr>
          <w:sz w:val="24"/>
          <w:szCs w:val="24"/>
        </w:rPr>
        <w:t>——</w:t>
      </w:r>
      <w:r>
        <w:rPr>
          <w:kern w:val="0"/>
          <w:sz w:val="24"/>
          <w:szCs w:val="24"/>
        </w:rPr>
        <w:t>值实测统计代表值；</w:t>
      </w:r>
    </w:p>
    <w:p w14:paraId="48A43168" w14:textId="77777777" w:rsidR="00606029" w:rsidRDefault="00EA5B92">
      <w:pPr>
        <w:spacing w:line="360" w:lineRule="auto"/>
        <w:ind w:firstLineChars="700" w:firstLine="1680"/>
        <w:rPr>
          <w:sz w:val="24"/>
          <w:szCs w:val="24"/>
        </w:rPr>
      </w:pPr>
      <w:r>
        <w:rPr>
          <w:sz w:val="24"/>
          <w:szCs w:val="24"/>
        </w:rPr>
        <w:t>pH</w:t>
      </w:r>
      <w:r>
        <w:rPr>
          <w:sz w:val="24"/>
          <w:szCs w:val="24"/>
          <w:vertAlign w:val="subscript"/>
        </w:rPr>
        <w:t>sd</w:t>
      </w:r>
      <w:r>
        <w:rPr>
          <w:sz w:val="24"/>
          <w:szCs w:val="24"/>
        </w:rPr>
        <w:t>——</w:t>
      </w:r>
      <w:r>
        <w:rPr>
          <w:kern w:val="0"/>
          <w:sz w:val="24"/>
          <w:szCs w:val="24"/>
        </w:rPr>
        <w:t>评价标准中值的下限值；</w:t>
      </w:r>
    </w:p>
    <w:p w14:paraId="5E0831D4" w14:textId="77777777" w:rsidR="00606029" w:rsidRDefault="00EA5B92">
      <w:pPr>
        <w:spacing w:line="360" w:lineRule="auto"/>
        <w:ind w:firstLineChars="700" w:firstLine="1680"/>
        <w:rPr>
          <w:sz w:val="24"/>
          <w:szCs w:val="24"/>
        </w:rPr>
      </w:pPr>
      <w:r>
        <w:rPr>
          <w:sz w:val="24"/>
          <w:szCs w:val="24"/>
        </w:rPr>
        <w:t>pH</w:t>
      </w:r>
      <w:r>
        <w:rPr>
          <w:sz w:val="24"/>
          <w:szCs w:val="24"/>
          <w:vertAlign w:val="subscript"/>
        </w:rPr>
        <w:t>su</w:t>
      </w:r>
      <w:r>
        <w:rPr>
          <w:sz w:val="24"/>
          <w:szCs w:val="24"/>
        </w:rPr>
        <w:t>——</w:t>
      </w:r>
      <w:r>
        <w:rPr>
          <w:kern w:val="0"/>
          <w:sz w:val="24"/>
          <w:szCs w:val="24"/>
        </w:rPr>
        <w:t>评价标准中值的上限值。</w:t>
      </w:r>
    </w:p>
    <w:p w14:paraId="7B6C840E" w14:textId="06D33D41" w:rsidR="00606029" w:rsidRDefault="00EA5B92">
      <w:pPr>
        <w:spacing w:line="360" w:lineRule="auto"/>
        <w:ind w:firstLineChars="200" w:firstLine="480"/>
        <w:rPr>
          <w:sz w:val="24"/>
          <w:szCs w:val="24"/>
        </w:rPr>
      </w:pPr>
      <w:r>
        <w:rPr>
          <w:sz w:val="24"/>
          <w:szCs w:val="24"/>
        </w:rPr>
        <w:t>DO</w:t>
      </w:r>
      <w:r>
        <w:rPr>
          <w:sz w:val="24"/>
          <w:szCs w:val="24"/>
        </w:rPr>
        <w:t>的标准指数计算公式</w:t>
      </w:r>
      <w:r w:rsidR="006A52CC">
        <w:rPr>
          <w:sz w:val="24"/>
          <w:szCs w:val="24"/>
        </w:rPr>
        <w:t>：</w:t>
      </w:r>
    </w:p>
    <w:p w14:paraId="0D12F876" w14:textId="77777777" w:rsidR="00606029" w:rsidRDefault="00EA5B92">
      <w:pPr>
        <w:spacing w:line="360" w:lineRule="auto"/>
        <w:ind w:firstLineChars="500" w:firstLine="1200"/>
        <w:jc w:val="center"/>
        <w:rPr>
          <w:sz w:val="24"/>
          <w:szCs w:val="24"/>
        </w:rPr>
      </w:pPr>
      <w:r>
        <w:rPr>
          <w:noProof/>
          <w:sz w:val="24"/>
          <w:szCs w:val="24"/>
        </w:rPr>
        <w:drawing>
          <wp:inline distT="0" distB="0" distL="114300" distR="114300" wp14:anchorId="3CDDB03D" wp14:editId="1FBEE888">
            <wp:extent cx="3134995" cy="1031875"/>
            <wp:effectExtent l="0" t="0" r="8255" b="15875"/>
            <wp:docPr id="1670" name="图片 64" descr="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0" name="图片 64" descr="111"/>
                    <pic:cNvPicPr preferRelativeResize="0">
                      <a:picLocks noChangeAspect="1"/>
                    </pic:cNvPicPr>
                  </pic:nvPicPr>
                  <pic:blipFill>
                    <a:blip r:embed="rId71"/>
                    <a:stretch>
                      <a:fillRect/>
                    </a:stretch>
                  </pic:blipFill>
                  <pic:spPr>
                    <a:xfrm>
                      <a:off x="0" y="0"/>
                      <a:ext cx="3134995" cy="1031875"/>
                    </a:xfrm>
                    <a:prstGeom prst="rect">
                      <a:avLst/>
                    </a:prstGeom>
                    <a:noFill/>
                    <a:ln>
                      <a:noFill/>
                    </a:ln>
                  </pic:spPr>
                </pic:pic>
              </a:graphicData>
            </a:graphic>
          </wp:inline>
        </w:drawing>
      </w:r>
    </w:p>
    <w:p w14:paraId="2BD28595" w14:textId="1A964DE2" w:rsidR="00606029" w:rsidRDefault="00EA5B92">
      <w:pPr>
        <w:spacing w:line="360" w:lineRule="auto"/>
        <w:ind w:firstLineChars="200" w:firstLine="480"/>
        <w:rPr>
          <w:sz w:val="24"/>
          <w:szCs w:val="24"/>
        </w:rPr>
      </w:pPr>
      <w:r>
        <w:rPr>
          <w:sz w:val="24"/>
          <w:szCs w:val="24"/>
        </w:rPr>
        <w:t>式中</w:t>
      </w:r>
      <w:r w:rsidR="006A52CC">
        <w:rPr>
          <w:sz w:val="24"/>
          <w:szCs w:val="24"/>
        </w:rPr>
        <w:t>：</w:t>
      </w:r>
      <w:r>
        <w:rPr>
          <w:sz w:val="24"/>
          <w:szCs w:val="24"/>
        </w:rPr>
        <w:t>S</w:t>
      </w:r>
      <w:r>
        <w:rPr>
          <w:sz w:val="24"/>
          <w:szCs w:val="24"/>
          <w:vertAlign w:val="subscript"/>
        </w:rPr>
        <w:t>DO</w:t>
      </w:r>
      <w:r>
        <w:rPr>
          <w:sz w:val="24"/>
          <w:szCs w:val="24"/>
          <w:vertAlign w:val="subscript"/>
        </w:rPr>
        <w:t>，</w:t>
      </w:r>
      <w:r>
        <w:rPr>
          <w:sz w:val="24"/>
          <w:szCs w:val="24"/>
          <w:vertAlign w:val="subscript"/>
        </w:rPr>
        <w:t>j</w:t>
      </w:r>
      <w:r>
        <w:rPr>
          <w:sz w:val="24"/>
          <w:szCs w:val="24"/>
        </w:rPr>
        <w:t>——</w:t>
      </w:r>
      <w:r>
        <w:rPr>
          <w:sz w:val="24"/>
          <w:szCs w:val="24"/>
        </w:rPr>
        <w:t>溶解氧的标准指数，大于</w:t>
      </w:r>
      <w:r>
        <w:rPr>
          <w:sz w:val="24"/>
          <w:szCs w:val="24"/>
        </w:rPr>
        <w:t xml:space="preserve">1 </w:t>
      </w:r>
      <w:r>
        <w:rPr>
          <w:sz w:val="24"/>
          <w:szCs w:val="24"/>
        </w:rPr>
        <w:t>表明该水质因子超标；</w:t>
      </w:r>
    </w:p>
    <w:p w14:paraId="465B803E" w14:textId="77777777" w:rsidR="00606029" w:rsidRDefault="00EA5B92">
      <w:pPr>
        <w:spacing w:line="360" w:lineRule="auto"/>
        <w:rPr>
          <w:sz w:val="24"/>
          <w:szCs w:val="24"/>
        </w:rPr>
      </w:pPr>
      <w:r>
        <w:rPr>
          <w:sz w:val="24"/>
          <w:szCs w:val="24"/>
        </w:rPr>
        <w:t xml:space="preserve">                    DO </w:t>
      </w:r>
      <w:r>
        <w:rPr>
          <w:sz w:val="24"/>
          <w:szCs w:val="24"/>
          <w:vertAlign w:val="subscript"/>
        </w:rPr>
        <w:t xml:space="preserve">j </w:t>
      </w:r>
      <w:r>
        <w:rPr>
          <w:sz w:val="24"/>
          <w:szCs w:val="24"/>
        </w:rPr>
        <w:t>——</w:t>
      </w:r>
      <w:r>
        <w:rPr>
          <w:sz w:val="24"/>
          <w:szCs w:val="24"/>
        </w:rPr>
        <w:t>溶解氧在</w:t>
      </w:r>
      <w:r>
        <w:rPr>
          <w:sz w:val="24"/>
          <w:szCs w:val="24"/>
        </w:rPr>
        <w:t xml:space="preserve">j </w:t>
      </w:r>
      <w:r>
        <w:rPr>
          <w:sz w:val="24"/>
          <w:szCs w:val="24"/>
        </w:rPr>
        <w:t>点的实测统计代表值，</w:t>
      </w:r>
      <w:r>
        <w:rPr>
          <w:sz w:val="24"/>
          <w:szCs w:val="24"/>
        </w:rPr>
        <w:t>mg/L</w:t>
      </w:r>
      <w:r>
        <w:rPr>
          <w:sz w:val="24"/>
          <w:szCs w:val="24"/>
        </w:rPr>
        <w:t>；</w:t>
      </w:r>
    </w:p>
    <w:p w14:paraId="3F539F91" w14:textId="77777777" w:rsidR="00606029" w:rsidRDefault="00EA5B92">
      <w:pPr>
        <w:spacing w:line="360" w:lineRule="auto"/>
        <w:ind w:firstLineChars="500" w:firstLine="1200"/>
        <w:rPr>
          <w:sz w:val="24"/>
          <w:szCs w:val="24"/>
        </w:rPr>
      </w:pPr>
      <w:r>
        <w:rPr>
          <w:sz w:val="24"/>
          <w:szCs w:val="24"/>
        </w:rPr>
        <w:t xml:space="preserve">DO </w:t>
      </w:r>
      <w:r>
        <w:rPr>
          <w:sz w:val="24"/>
          <w:szCs w:val="24"/>
          <w:vertAlign w:val="subscript"/>
        </w:rPr>
        <w:t>s</w:t>
      </w:r>
      <w:r>
        <w:rPr>
          <w:sz w:val="24"/>
          <w:szCs w:val="24"/>
        </w:rPr>
        <w:t>——</w:t>
      </w:r>
      <w:r>
        <w:rPr>
          <w:sz w:val="24"/>
          <w:szCs w:val="24"/>
        </w:rPr>
        <w:t>溶解氧的水质评价标准限值，</w:t>
      </w:r>
      <w:r>
        <w:rPr>
          <w:sz w:val="24"/>
          <w:szCs w:val="24"/>
        </w:rPr>
        <w:t>mg/L</w:t>
      </w:r>
      <w:r>
        <w:rPr>
          <w:sz w:val="24"/>
          <w:szCs w:val="24"/>
        </w:rPr>
        <w:t>；</w:t>
      </w:r>
    </w:p>
    <w:p w14:paraId="061D5DBD" w14:textId="77777777" w:rsidR="00606029" w:rsidRDefault="00EA5B92">
      <w:pPr>
        <w:spacing w:line="360" w:lineRule="auto"/>
        <w:jc w:val="center"/>
        <w:rPr>
          <w:sz w:val="24"/>
          <w:szCs w:val="24"/>
        </w:rPr>
      </w:pPr>
      <w:r>
        <w:rPr>
          <w:sz w:val="24"/>
          <w:szCs w:val="24"/>
        </w:rPr>
        <w:t xml:space="preserve">               DO</w:t>
      </w:r>
      <w:r>
        <w:rPr>
          <w:sz w:val="24"/>
          <w:szCs w:val="24"/>
          <w:vertAlign w:val="subscript"/>
        </w:rPr>
        <w:t xml:space="preserve">f  </w:t>
      </w:r>
      <w:r>
        <w:rPr>
          <w:sz w:val="24"/>
          <w:szCs w:val="24"/>
        </w:rPr>
        <w:t>——</w:t>
      </w:r>
      <w:r>
        <w:rPr>
          <w:sz w:val="24"/>
          <w:szCs w:val="24"/>
        </w:rPr>
        <w:t>饱和溶解氧浓度，</w:t>
      </w:r>
      <w:r>
        <w:rPr>
          <w:sz w:val="24"/>
          <w:szCs w:val="24"/>
        </w:rPr>
        <w:t>mg/L</w:t>
      </w:r>
      <w:r>
        <w:rPr>
          <w:sz w:val="24"/>
          <w:szCs w:val="24"/>
        </w:rPr>
        <w:t>，对于河流</w:t>
      </w:r>
      <w:r>
        <w:rPr>
          <w:sz w:val="24"/>
          <w:szCs w:val="24"/>
        </w:rPr>
        <w:t>DO</w:t>
      </w:r>
      <w:r>
        <w:rPr>
          <w:sz w:val="24"/>
          <w:szCs w:val="24"/>
          <w:vertAlign w:val="subscript"/>
        </w:rPr>
        <w:t>f</w:t>
      </w:r>
      <w:r>
        <w:rPr>
          <w:sz w:val="24"/>
          <w:szCs w:val="24"/>
        </w:rPr>
        <w:t>=468/</w:t>
      </w:r>
      <w:r>
        <w:rPr>
          <w:sz w:val="24"/>
          <w:szCs w:val="24"/>
        </w:rPr>
        <w:t>（</w:t>
      </w:r>
      <w:r>
        <w:rPr>
          <w:sz w:val="24"/>
          <w:szCs w:val="24"/>
        </w:rPr>
        <w:t>31.6+T</w:t>
      </w:r>
      <w:r>
        <w:rPr>
          <w:sz w:val="24"/>
          <w:szCs w:val="24"/>
        </w:rPr>
        <w:t>）</w:t>
      </w:r>
    </w:p>
    <w:p w14:paraId="2FA1C9E4" w14:textId="77777777" w:rsidR="00606029" w:rsidRDefault="00EA5B92">
      <w:pPr>
        <w:spacing w:line="360" w:lineRule="auto"/>
        <w:ind w:firstLineChars="500" w:firstLine="1200"/>
        <w:rPr>
          <w:sz w:val="24"/>
          <w:szCs w:val="24"/>
        </w:rPr>
      </w:pPr>
      <w:r>
        <w:rPr>
          <w:sz w:val="24"/>
          <w:szCs w:val="24"/>
        </w:rPr>
        <w:t>T——</w:t>
      </w:r>
      <w:r>
        <w:rPr>
          <w:sz w:val="24"/>
          <w:szCs w:val="24"/>
        </w:rPr>
        <w:t>水温，</w:t>
      </w:r>
      <w:r>
        <w:rPr>
          <w:sz w:val="24"/>
          <w:szCs w:val="24"/>
        </w:rPr>
        <w:t>℃</w:t>
      </w:r>
      <w:r>
        <w:rPr>
          <w:sz w:val="24"/>
          <w:szCs w:val="24"/>
        </w:rPr>
        <w:t>；</w:t>
      </w:r>
    </w:p>
    <w:p w14:paraId="6CCB0C70" w14:textId="77777777" w:rsidR="00606029" w:rsidRDefault="00EA5B92">
      <w:pPr>
        <w:spacing w:line="360" w:lineRule="auto"/>
        <w:rPr>
          <w:sz w:val="24"/>
          <w:szCs w:val="24"/>
        </w:rPr>
      </w:pPr>
      <w:r>
        <w:rPr>
          <w:sz w:val="24"/>
          <w:szCs w:val="24"/>
        </w:rPr>
        <w:t xml:space="preserve">    </w:t>
      </w:r>
      <w:r>
        <w:rPr>
          <w:sz w:val="24"/>
          <w:szCs w:val="24"/>
        </w:rPr>
        <w:fldChar w:fldCharType="begin"/>
      </w:r>
      <w:r>
        <w:rPr>
          <w:sz w:val="24"/>
          <w:szCs w:val="24"/>
        </w:rPr>
        <w:instrText xml:space="preserve"> = 3 \* GB3 \* MERGEFORMAT </w:instrText>
      </w:r>
      <w:r>
        <w:rPr>
          <w:sz w:val="24"/>
          <w:szCs w:val="24"/>
        </w:rPr>
        <w:fldChar w:fldCharType="separate"/>
      </w:r>
      <w:r>
        <w:rPr>
          <w:sz w:val="24"/>
          <w:szCs w:val="24"/>
        </w:rPr>
        <w:t>③</w:t>
      </w:r>
      <w:r>
        <w:rPr>
          <w:sz w:val="24"/>
          <w:szCs w:val="24"/>
        </w:rPr>
        <w:fldChar w:fldCharType="end"/>
      </w:r>
      <w:r>
        <w:rPr>
          <w:sz w:val="24"/>
          <w:szCs w:val="24"/>
        </w:rPr>
        <w:t>监测统计及评价结果</w:t>
      </w:r>
    </w:p>
    <w:p w14:paraId="44A91202" w14:textId="77777777" w:rsidR="00606029" w:rsidRDefault="00EA5B92">
      <w:pPr>
        <w:spacing w:line="360" w:lineRule="auto"/>
        <w:ind w:firstLineChars="200" w:firstLine="480"/>
        <w:jc w:val="left"/>
        <w:rPr>
          <w:sz w:val="24"/>
          <w:szCs w:val="24"/>
        </w:rPr>
      </w:pPr>
      <w:r>
        <w:rPr>
          <w:sz w:val="24"/>
          <w:szCs w:val="24"/>
        </w:rPr>
        <w:t>对监测分析数据进行统计分析及评价，详细情况见下表。</w:t>
      </w:r>
    </w:p>
    <w:p w14:paraId="63225C8B" w14:textId="77777777" w:rsidR="005C3264" w:rsidRDefault="005C3264">
      <w:pPr>
        <w:pStyle w:val="affffff5"/>
        <w:sectPr w:rsidR="005C3264" w:rsidSect="00EA5215">
          <w:pgSz w:w="11905" w:h="16838"/>
          <w:pgMar w:top="1417" w:right="1474" w:bottom="1417" w:left="1474" w:header="850" w:footer="850" w:gutter="113"/>
          <w:cols w:space="0"/>
          <w:docGrid w:linePitch="1"/>
        </w:sectPr>
      </w:pPr>
    </w:p>
    <w:p w14:paraId="2524B12B" w14:textId="5ABFA3F1" w:rsidR="00606029" w:rsidRDefault="00EA5B92">
      <w:pPr>
        <w:pStyle w:val="affffff5"/>
      </w:pPr>
      <w:r>
        <w:lastRenderedPageBreak/>
        <w:t>表</w:t>
      </w:r>
      <w:r>
        <w:t>5.1-</w:t>
      </w:r>
      <w:r w:rsidR="000566AF">
        <w:rPr>
          <w:rFonts w:hint="eastAsia"/>
        </w:rPr>
        <w:t>2</w:t>
      </w:r>
      <w:r>
        <w:t xml:space="preserve">  </w:t>
      </w:r>
      <w:r>
        <w:t>地表水现状监测结果统计表</w:t>
      </w:r>
      <w:r>
        <w:t xml:space="preserve">    </w:t>
      </w:r>
      <w:r>
        <w:t>单位</w:t>
      </w:r>
      <w:r w:rsidR="006A52CC">
        <w:t>：</w:t>
      </w:r>
      <w:r>
        <w:t>mg/L</w:t>
      </w:r>
    </w:p>
    <w:tbl>
      <w:tblPr>
        <w:tblW w:w="5084"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1127"/>
        <w:gridCol w:w="1130"/>
        <w:gridCol w:w="1905"/>
        <w:gridCol w:w="2149"/>
        <w:gridCol w:w="2150"/>
        <w:gridCol w:w="2149"/>
        <w:gridCol w:w="2150"/>
        <w:gridCol w:w="1467"/>
      </w:tblGrid>
      <w:tr w:rsidR="00526855" w14:paraId="126CCFB0" w14:textId="77777777" w:rsidTr="005355AC">
        <w:trPr>
          <w:trHeight w:val="57"/>
          <w:jc w:val="center"/>
        </w:trPr>
        <w:tc>
          <w:tcPr>
            <w:tcW w:w="1127" w:type="dxa"/>
            <w:vMerge w:val="restart"/>
            <w:tcBorders>
              <w:tl2br w:val="nil"/>
              <w:tr2bl w:val="nil"/>
            </w:tcBorders>
            <w:vAlign w:val="center"/>
          </w:tcPr>
          <w:p w14:paraId="0BAD7B51" w14:textId="77777777" w:rsidR="00526855" w:rsidRDefault="00526855">
            <w:pPr>
              <w:adjustRightInd w:val="0"/>
              <w:snapToGrid w:val="0"/>
              <w:jc w:val="center"/>
            </w:pPr>
            <w:r>
              <w:t>监测项目</w:t>
            </w:r>
          </w:p>
        </w:tc>
        <w:tc>
          <w:tcPr>
            <w:tcW w:w="1130" w:type="dxa"/>
            <w:vMerge w:val="restart"/>
            <w:tcBorders>
              <w:tl2br w:val="nil"/>
              <w:tr2bl w:val="nil"/>
            </w:tcBorders>
            <w:vAlign w:val="center"/>
          </w:tcPr>
          <w:p w14:paraId="19608AD9" w14:textId="77777777" w:rsidR="00526855" w:rsidRDefault="00526855">
            <w:pPr>
              <w:adjustRightInd w:val="0"/>
              <w:snapToGrid w:val="0"/>
              <w:jc w:val="center"/>
            </w:pPr>
            <w:r>
              <w:t>单位</w:t>
            </w:r>
          </w:p>
        </w:tc>
        <w:tc>
          <w:tcPr>
            <w:tcW w:w="1905" w:type="dxa"/>
            <w:vMerge w:val="restart"/>
            <w:tcBorders>
              <w:tl2br w:val="nil"/>
              <w:tr2bl w:val="nil"/>
            </w:tcBorders>
            <w:vAlign w:val="center"/>
          </w:tcPr>
          <w:p w14:paraId="27BB780E" w14:textId="0D050AAA" w:rsidR="00526855" w:rsidRDefault="00526855">
            <w:pPr>
              <w:adjustRightInd w:val="0"/>
              <w:snapToGrid w:val="0"/>
              <w:jc w:val="center"/>
            </w:pPr>
            <w:r>
              <w:t>采样日期（</w:t>
            </w:r>
            <w:r>
              <w:t>202</w:t>
            </w:r>
            <w:r>
              <w:rPr>
                <w:rFonts w:hint="eastAsia"/>
              </w:rPr>
              <w:t>5</w:t>
            </w:r>
            <w:r>
              <w:t>.</w:t>
            </w:r>
            <w:r>
              <w:rPr>
                <w:rFonts w:hint="eastAsia"/>
              </w:rPr>
              <w:t>12</w:t>
            </w:r>
            <w:r>
              <w:t>.1</w:t>
            </w:r>
            <w:r>
              <w:rPr>
                <w:rFonts w:hint="eastAsia"/>
              </w:rPr>
              <w:t>0</w:t>
            </w:r>
            <w:r>
              <w:t>~</w:t>
            </w:r>
            <w:r>
              <w:rPr>
                <w:rFonts w:hint="eastAsia"/>
              </w:rPr>
              <w:t>1</w:t>
            </w:r>
            <w:r>
              <w:t>2</w:t>
            </w:r>
            <w:r>
              <w:t>）</w:t>
            </w:r>
          </w:p>
        </w:tc>
        <w:tc>
          <w:tcPr>
            <w:tcW w:w="8598" w:type="dxa"/>
            <w:gridSpan w:val="4"/>
            <w:tcBorders>
              <w:tl2br w:val="nil"/>
              <w:tr2bl w:val="nil"/>
            </w:tcBorders>
            <w:vAlign w:val="center"/>
          </w:tcPr>
          <w:p w14:paraId="5DF98707" w14:textId="735D14A1" w:rsidR="00526855" w:rsidRDefault="00526855">
            <w:pPr>
              <w:adjustRightInd w:val="0"/>
              <w:snapToGrid w:val="0"/>
              <w:jc w:val="center"/>
            </w:pPr>
            <w:r>
              <w:t>监测结果</w:t>
            </w:r>
          </w:p>
        </w:tc>
        <w:tc>
          <w:tcPr>
            <w:tcW w:w="1467" w:type="dxa"/>
            <w:vMerge w:val="restart"/>
            <w:tcBorders>
              <w:tl2br w:val="nil"/>
              <w:tr2bl w:val="nil"/>
            </w:tcBorders>
            <w:vAlign w:val="center"/>
          </w:tcPr>
          <w:p w14:paraId="48BDFE7F" w14:textId="77777777" w:rsidR="00526855" w:rsidRDefault="00526855">
            <w:pPr>
              <w:adjustRightInd w:val="0"/>
              <w:snapToGrid w:val="0"/>
              <w:jc w:val="center"/>
            </w:pPr>
            <w:r>
              <w:t>标准</w:t>
            </w:r>
          </w:p>
          <w:p w14:paraId="3BD917A4" w14:textId="77777777" w:rsidR="00526855" w:rsidRDefault="00526855">
            <w:pPr>
              <w:adjustRightInd w:val="0"/>
              <w:snapToGrid w:val="0"/>
              <w:jc w:val="center"/>
            </w:pPr>
            <w:r>
              <w:t>限值</w:t>
            </w:r>
          </w:p>
        </w:tc>
      </w:tr>
      <w:tr w:rsidR="00526855" w14:paraId="3BC1AFEC" w14:textId="77777777" w:rsidTr="00FB0984">
        <w:trPr>
          <w:trHeight w:val="57"/>
          <w:jc w:val="center"/>
        </w:trPr>
        <w:tc>
          <w:tcPr>
            <w:tcW w:w="1127" w:type="dxa"/>
            <w:vMerge/>
            <w:tcBorders>
              <w:tl2br w:val="nil"/>
              <w:tr2bl w:val="nil"/>
            </w:tcBorders>
            <w:vAlign w:val="center"/>
          </w:tcPr>
          <w:p w14:paraId="736855FF" w14:textId="77777777" w:rsidR="00526855" w:rsidRDefault="00526855">
            <w:pPr>
              <w:adjustRightInd w:val="0"/>
              <w:snapToGrid w:val="0"/>
              <w:jc w:val="center"/>
            </w:pPr>
          </w:p>
        </w:tc>
        <w:tc>
          <w:tcPr>
            <w:tcW w:w="1130" w:type="dxa"/>
            <w:vMerge/>
            <w:tcBorders>
              <w:tl2br w:val="nil"/>
              <w:tr2bl w:val="nil"/>
            </w:tcBorders>
            <w:vAlign w:val="center"/>
          </w:tcPr>
          <w:p w14:paraId="04B80749" w14:textId="77777777" w:rsidR="00526855" w:rsidRDefault="00526855">
            <w:pPr>
              <w:adjustRightInd w:val="0"/>
              <w:snapToGrid w:val="0"/>
              <w:jc w:val="center"/>
            </w:pPr>
          </w:p>
        </w:tc>
        <w:tc>
          <w:tcPr>
            <w:tcW w:w="1905" w:type="dxa"/>
            <w:vMerge/>
            <w:tcBorders>
              <w:tl2br w:val="nil"/>
              <w:tr2bl w:val="nil"/>
            </w:tcBorders>
            <w:vAlign w:val="center"/>
          </w:tcPr>
          <w:p w14:paraId="22FC2183" w14:textId="77777777" w:rsidR="00526855" w:rsidRDefault="00526855">
            <w:pPr>
              <w:adjustRightInd w:val="0"/>
              <w:snapToGrid w:val="0"/>
              <w:jc w:val="center"/>
            </w:pPr>
          </w:p>
        </w:tc>
        <w:tc>
          <w:tcPr>
            <w:tcW w:w="2149" w:type="dxa"/>
            <w:tcBorders>
              <w:bottom w:val="single" w:sz="6" w:space="0" w:color="auto"/>
              <w:tl2br w:val="nil"/>
              <w:tr2bl w:val="nil"/>
            </w:tcBorders>
            <w:vAlign w:val="center"/>
          </w:tcPr>
          <w:p w14:paraId="3D9E5596" w14:textId="32C6A5D7" w:rsidR="00526855" w:rsidRDefault="00526855">
            <w:pPr>
              <w:adjustRightInd w:val="0"/>
              <w:snapToGrid w:val="0"/>
              <w:jc w:val="center"/>
            </w:pPr>
            <w:r>
              <w:rPr>
                <w:rFonts w:hint="eastAsia"/>
              </w:rPr>
              <w:t>中央排干</w:t>
            </w:r>
          </w:p>
        </w:tc>
        <w:tc>
          <w:tcPr>
            <w:tcW w:w="2150" w:type="dxa"/>
            <w:tcBorders>
              <w:bottom w:val="single" w:sz="6" w:space="0" w:color="auto"/>
            </w:tcBorders>
            <w:vAlign w:val="center"/>
          </w:tcPr>
          <w:p w14:paraId="0D958E3C" w14:textId="09D50379" w:rsidR="00526855" w:rsidRDefault="00526855">
            <w:pPr>
              <w:adjustRightInd w:val="0"/>
              <w:snapToGrid w:val="0"/>
              <w:jc w:val="center"/>
            </w:pPr>
            <w:r>
              <w:rPr>
                <w:rFonts w:hint="eastAsia"/>
              </w:rPr>
              <w:t>三胜屯西泡</w:t>
            </w:r>
          </w:p>
        </w:tc>
        <w:tc>
          <w:tcPr>
            <w:tcW w:w="2149" w:type="dxa"/>
            <w:tcBorders>
              <w:bottom w:val="single" w:sz="6" w:space="0" w:color="auto"/>
              <w:tl2br w:val="nil"/>
              <w:tr2bl w:val="nil"/>
            </w:tcBorders>
            <w:vAlign w:val="center"/>
          </w:tcPr>
          <w:p w14:paraId="7E4641C4" w14:textId="41BB6C1E" w:rsidR="00526855" w:rsidRDefault="00526855">
            <w:pPr>
              <w:adjustRightInd w:val="0"/>
              <w:snapToGrid w:val="0"/>
              <w:jc w:val="center"/>
            </w:pPr>
            <w:r>
              <w:rPr>
                <w:rFonts w:hint="eastAsia"/>
              </w:rPr>
              <w:t>南伊哈旗泡</w:t>
            </w:r>
          </w:p>
        </w:tc>
        <w:tc>
          <w:tcPr>
            <w:tcW w:w="2150" w:type="dxa"/>
            <w:tcBorders>
              <w:bottom w:val="single" w:sz="6" w:space="0" w:color="auto"/>
              <w:tl2br w:val="nil"/>
              <w:tr2bl w:val="nil"/>
            </w:tcBorders>
            <w:vAlign w:val="center"/>
          </w:tcPr>
          <w:p w14:paraId="6855FA15" w14:textId="2CBFD3B8" w:rsidR="00526855" w:rsidRDefault="00526855">
            <w:pPr>
              <w:adjustRightInd w:val="0"/>
              <w:snapToGrid w:val="0"/>
              <w:jc w:val="center"/>
            </w:pPr>
            <w:r>
              <w:rPr>
                <w:rFonts w:hint="eastAsia"/>
              </w:rPr>
              <w:t>无名水泡</w:t>
            </w:r>
          </w:p>
        </w:tc>
        <w:tc>
          <w:tcPr>
            <w:tcW w:w="1467" w:type="dxa"/>
            <w:vMerge/>
            <w:tcBorders>
              <w:tl2br w:val="nil"/>
              <w:tr2bl w:val="nil"/>
            </w:tcBorders>
            <w:vAlign w:val="center"/>
          </w:tcPr>
          <w:p w14:paraId="4567D776" w14:textId="77777777" w:rsidR="00526855" w:rsidRDefault="00526855">
            <w:pPr>
              <w:adjustRightInd w:val="0"/>
              <w:snapToGrid w:val="0"/>
              <w:jc w:val="center"/>
            </w:pPr>
          </w:p>
        </w:tc>
      </w:tr>
      <w:tr w:rsidR="005C3264" w14:paraId="3D06C261" w14:textId="77777777" w:rsidTr="006412DE">
        <w:trPr>
          <w:trHeight w:val="57"/>
          <w:jc w:val="center"/>
        </w:trPr>
        <w:tc>
          <w:tcPr>
            <w:tcW w:w="1127" w:type="dxa"/>
            <w:vMerge w:val="restart"/>
            <w:tcBorders>
              <w:tl2br w:val="nil"/>
              <w:tr2bl w:val="nil"/>
            </w:tcBorders>
            <w:vAlign w:val="center"/>
          </w:tcPr>
          <w:p w14:paraId="1086B359" w14:textId="77777777" w:rsidR="004F019D" w:rsidRDefault="004F019D">
            <w:pPr>
              <w:widowControl/>
              <w:adjustRightInd w:val="0"/>
              <w:snapToGrid w:val="0"/>
              <w:jc w:val="center"/>
              <w:textAlignment w:val="center"/>
            </w:pPr>
            <w:r>
              <w:rPr>
                <w:color w:val="000000"/>
                <w:kern w:val="0"/>
                <w:lang w:bidi="ar"/>
              </w:rPr>
              <w:t>pH</w:t>
            </w:r>
          </w:p>
        </w:tc>
        <w:tc>
          <w:tcPr>
            <w:tcW w:w="1130" w:type="dxa"/>
            <w:vMerge w:val="restart"/>
            <w:tcBorders>
              <w:tl2br w:val="nil"/>
              <w:tr2bl w:val="nil"/>
            </w:tcBorders>
            <w:vAlign w:val="center"/>
          </w:tcPr>
          <w:p w14:paraId="1A9B232B" w14:textId="77777777" w:rsidR="004F019D" w:rsidRDefault="004F019D">
            <w:pPr>
              <w:adjustRightInd w:val="0"/>
              <w:snapToGrid w:val="0"/>
              <w:jc w:val="center"/>
            </w:pPr>
            <w:r>
              <w:t>无量纲</w:t>
            </w:r>
          </w:p>
        </w:tc>
        <w:tc>
          <w:tcPr>
            <w:tcW w:w="1905" w:type="dxa"/>
            <w:tcBorders>
              <w:tl2br w:val="nil"/>
              <w:tr2bl w:val="nil"/>
            </w:tcBorders>
            <w:vAlign w:val="center"/>
          </w:tcPr>
          <w:p w14:paraId="4CA0E730" w14:textId="77777777" w:rsidR="004F019D" w:rsidRDefault="004F019D">
            <w:pPr>
              <w:adjustRightInd w:val="0"/>
              <w:snapToGrid w:val="0"/>
              <w:jc w:val="center"/>
            </w:pPr>
            <w:r>
              <w:t>监测值（</w:t>
            </w:r>
            <w:r>
              <w:t>Max</w:t>
            </w:r>
            <w:r>
              <w:t>）</w:t>
            </w:r>
          </w:p>
        </w:tc>
        <w:tc>
          <w:tcPr>
            <w:tcW w:w="2149" w:type="dxa"/>
            <w:tcBorders>
              <w:top w:val="single" w:sz="6" w:space="0" w:color="auto"/>
              <w:bottom w:val="single" w:sz="6" w:space="0" w:color="auto"/>
              <w:right w:val="single" w:sz="4" w:space="0" w:color="auto"/>
              <w:tl2br w:val="nil"/>
              <w:tr2bl w:val="nil"/>
            </w:tcBorders>
            <w:vAlign w:val="center"/>
          </w:tcPr>
          <w:p w14:paraId="53D1E99D" w14:textId="6FEC5FC0" w:rsidR="004F019D" w:rsidRDefault="005C3264">
            <w:pPr>
              <w:widowControl/>
              <w:adjustRightInd w:val="0"/>
              <w:snapToGrid w:val="0"/>
              <w:jc w:val="center"/>
              <w:textAlignment w:val="center"/>
            </w:pPr>
            <w:r>
              <w:rPr>
                <w:rFonts w:hint="eastAsia"/>
                <w:color w:val="000000"/>
                <w:kern w:val="0"/>
                <w:lang w:bidi="ar"/>
              </w:rPr>
              <w:t>7.9</w:t>
            </w:r>
          </w:p>
        </w:tc>
        <w:tc>
          <w:tcPr>
            <w:tcW w:w="2150" w:type="dxa"/>
            <w:tcBorders>
              <w:top w:val="single" w:sz="6" w:space="0" w:color="auto"/>
              <w:left w:val="single" w:sz="4" w:space="0" w:color="auto"/>
              <w:bottom w:val="single" w:sz="6" w:space="0" w:color="auto"/>
              <w:right w:val="single" w:sz="4" w:space="0" w:color="auto"/>
            </w:tcBorders>
            <w:vAlign w:val="center"/>
          </w:tcPr>
          <w:p w14:paraId="31BD4BE0" w14:textId="2F676BA3" w:rsidR="004F019D" w:rsidRDefault="00F75678">
            <w:pPr>
              <w:widowControl/>
              <w:adjustRightInd w:val="0"/>
              <w:snapToGrid w:val="0"/>
              <w:jc w:val="center"/>
              <w:textAlignment w:val="center"/>
              <w:rPr>
                <w:color w:val="000000"/>
                <w:kern w:val="0"/>
                <w:lang w:bidi="ar"/>
              </w:rPr>
            </w:pPr>
            <w:r>
              <w:rPr>
                <w:rFonts w:hint="eastAsia"/>
                <w:color w:val="000000"/>
                <w:kern w:val="0"/>
                <w:lang w:bidi="ar"/>
              </w:rPr>
              <w:t>7.8</w:t>
            </w:r>
          </w:p>
        </w:tc>
        <w:tc>
          <w:tcPr>
            <w:tcW w:w="2149" w:type="dxa"/>
            <w:tcBorders>
              <w:top w:val="single" w:sz="6" w:space="0" w:color="auto"/>
              <w:left w:val="single" w:sz="4" w:space="0" w:color="auto"/>
              <w:bottom w:val="single" w:sz="6" w:space="0" w:color="auto"/>
              <w:right w:val="single" w:sz="4" w:space="0" w:color="auto"/>
              <w:tl2br w:val="nil"/>
              <w:tr2bl w:val="nil"/>
            </w:tcBorders>
            <w:vAlign w:val="center"/>
          </w:tcPr>
          <w:p w14:paraId="36FC0952" w14:textId="7B92C57A" w:rsidR="004F019D" w:rsidRDefault="00336A9A">
            <w:pPr>
              <w:widowControl/>
              <w:adjustRightInd w:val="0"/>
              <w:snapToGrid w:val="0"/>
              <w:jc w:val="center"/>
              <w:textAlignment w:val="center"/>
            </w:pPr>
            <w:r>
              <w:rPr>
                <w:rFonts w:hint="eastAsia"/>
              </w:rPr>
              <w:t>7.6</w:t>
            </w:r>
          </w:p>
        </w:tc>
        <w:tc>
          <w:tcPr>
            <w:tcW w:w="2150" w:type="dxa"/>
            <w:tcBorders>
              <w:top w:val="single" w:sz="6" w:space="0" w:color="auto"/>
              <w:left w:val="single" w:sz="4" w:space="0" w:color="auto"/>
              <w:bottom w:val="single" w:sz="6" w:space="0" w:color="auto"/>
              <w:tl2br w:val="nil"/>
              <w:tr2bl w:val="nil"/>
            </w:tcBorders>
            <w:vAlign w:val="center"/>
          </w:tcPr>
          <w:p w14:paraId="7DFE6E18" w14:textId="22AF44F4" w:rsidR="004F019D" w:rsidRDefault="00526855">
            <w:pPr>
              <w:widowControl/>
              <w:adjustRightInd w:val="0"/>
              <w:snapToGrid w:val="0"/>
              <w:jc w:val="center"/>
              <w:textAlignment w:val="center"/>
            </w:pPr>
            <w:r>
              <w:rPr>
                <w:rFonts w:hint="eastAsia"/>
              </w:rPr>
              <w:t>7.8</w:t>
            </w:r>
          </w:p>
        </w:tc>
        <w:tc>
          <w:tcPr>
            <w:tcW w:w="1467" w:type="dxa"/>
            <w:vMerge w:val="restart"/>
            <w:tcBorders>
              <w:tl2br w:val="nil"/>
              <w:tr2bl w:val="nil"/>
            </w:tcBorders>
            <w:vAlign w:val="center"/>
          </w:tcPr>
          <w:p w14:paraId="24D290B9" w14:textId="77777777" w:rsidR="004F019D" w:rsidRDefault="004F019D">
            <w:pPr>
              <w:widowControl/>
              <w:adjustRightInd w:val="0"/>
              <w:snapToGrid w:val="0"/>
              <w:jc w:val="center"/>
              <w:textAlignment w:val="center"/>
            </w:pPr>
            <w:r>
              <w:rPr>
                <w:color w:val="000000"/>
                <w:kern w:val="0"/>
                <w:lang w:bidi="ar"/>
              </w:rPr>
              <w:t>6~9</w:t>
            </w:r>
          </w:p>
        </w:tc>
      </w:tr>
      <w:tr w:rsidR="006412DE" w14:paraId="757BE914" w14:textId="77777777" w:rsidTr="006412DE">
        <w:trPr>
          <w:trHeight w:val="57"/>
          <w:jc w:val="center"/>
        </w:trPr>
        <w:tc>
          <w:tcPr>
            <w:tcW w:w="1127" w:type="dxa"/>
            <w:vMerge/>
            <w:tcBorders>
              <w:tl2br w:val="nil"/>
              <w:tr2bl w:val="nil"/>
            </w:tcBorders>
            <w:vAlign w:val="center"/>
          </w:tcPr>
          <w:p w14:paraId="475BCD6B" w14:textId="77777777" w:rsidR="006412DE" w:rsidRDefault="006412DE" w:rsidP="006412DE">
            <w:pPr>
              <w:adjustRightInd w:val="0"/>
              <w:snapToGrid w:val="0"/>
              <w:jc w:val="center"/>
            </w:pPr>
          </w:p>
        </w:tc>
        <w:tc>
          <w:tcPr>
            <w:tcW w:w="1130" w:type="dxa"/>
            <w:vMerge/>
            <w:tcBorders>
              <w:tl2br w:val="nil"/>
              <w:tr2bl w:val="nil"/>
            </w:tcBorders>
            <w:vAlign w:val="center"/>
          </w:tcPr>
          <w:p w14:paraId="27E454F8" w14:textId="77777777" w:rsidR="006412DE" w:rsidRDefault="006412DE" w:rsidP="006412DE">
            <w:pPr>
              <w:adjustRightInd w:val="0"/>
              <w:snapToGrid w:val="0"/>
              <w:jc w:val="center"/>
            </w:pPr>
          </w:p>
        </w:tc>
        <w:tc>
          <w:tcPr>
            <w:tcW w:w="1905" w:type="dxa"/>
            <w:tcBorders>
              <w:tl2br w:val="nil"/>
              <w:tr2bl w:val="nil"/>
            </w:tcBorders>
            <w:vAlign w:val="center"/>
          </w:tcPr>
          <w:p w14:paraId="7D9C726D" w14:textId="77777777" w:rsidR="006412DE" w:rsidRDefault="006412DE" w:rsidP="006412DE">
            <w:pPr>
              <w:adjustRightInd w:val="0"/>
              <w:snapToGrid w:val="0"/>
              <w:jc w:val="center"/>
            </w:pPr>
            <w:r>
              <w:t>标准指数</w:t>
            </w:r>
          </w:p>
        </w:tc>
        <w:tc>
          <w:tcPr>
            <w:tcW w:w="2149" w:type="dxa"/>
            <w:tcBorders>
              <w:top w:val="single" w:sz="6" w:space="0" w:color="auto"/>
              <w:left w:val="nil"/>
              <w:bottom w:val="single" w:sz="6" w:space="0" w:color="auto"/>
              <w:right w:val="single" w:sz="4" w:space="0" w:color="auto"/>
            </w:tcBorders>
            <w:vAlign w:val="center"/>
          </w:tcPr>
          <w:p w14:paraId="75DEB29C" w14:textId="1EFFFE33" w:rsidR="006412DE" w:rsidRDefault="006412DE" w:rsidP="006412DE">
            <w:pPr>
              <w:widowControl/>
              <w:adjustRightInd w:val="0"/>
              <w:snapToGrid w:val="0"/>
              <w:jc w:val="center"/>
              <w:textAlignment w:val="center"/>
            </w:pPr>
            <w:r>
              <w:rPr>
                <w:rFonts w:hint="eastAsia"/>
                <w:color w:val="000000"/>
                <w:sz w:val="22"/>
                <w:szCs w:val="22"/>
              </w:rPr>
              <w:t>0.45</w:t>
            </w:r>
          </w:p>
        </w:tc>
        <w:tc>
          <w:tcPr>
            <w:tcW w:w="2150" w:type="dxa"/>
            <w:tcBorders>
              <w:top w:val="single" w:sz="6" w:space="0" w:color="auto"/>
              <w:left w:val="single" w:sz="4" w:space="0" w:color="auto"/>
              <w:bottom w:val="single" w:sz="6" w:space="0" w:color="auto"/>
              <w:right w:val="single" w:sz="4" w:space="0" w:color="auto"/>
            </w:tcBorders>
            <w:vAlign w:val="center"/>
          </w:tcPr>
          <w:p w14:paraId="22CFC646" w14:textId="5DC7A33F" w:rsidR="006412DE" w:rsidRDefault="006412DE" w:rsidP="006412DE">
            <w:pPr>
              <w:widowControl/>
              <w:adjustRightInd w:val="0"/>
              <w:snapToGrid w:val="0"/>
              <w:jc w:val="center"/>
              <w:textAlignment w:val="center"/>
              <w:rPr>
                <w:color w:val="000000"/>
                <w:kern w:val="0"/>
                <w:lang w:bidi="ar"/>
              </w:rPr>
            </w:pPr>
            <w:r>
              <w:rPr>
                <w:rFonts w:hint="eastAsia"/>
                <w:color w:val="000000"/>
                <w:sz w:val="22"/>
                <w:szCs w:val="22"/>
              </w:rPr>
              <w:t>0.4</w:t>
            </w:r>
          </w:p>
        </w:tc>
        <w:tc>
          <w:tcPr>
            <w:tcW w:w="2149" w:type="dxa"/>
            <w:tcBorders>
              <w:top w:val="single" w:sz="6" w:space="0" w:color="auto"/>
              <w:left w:val="single" w:sz="4" w:space="0" w:color="auto"/>
              <w:bottom w:val="single" w:sz="6" w:space="0" w:color="auto"/>
              <w:right w:val="single" w:sz="4" w:space="0" w:color="auto"/>
            </w:tcBorders>
            <w:vAlign w:val="center"/>
          </w:tcPr>
          <w:p w14:paraId="7B7703FA" w14:textId="4ECE94FB" w:rsidR="006412DE" w:rsidRDefault="006412DE" w:rsidP="006412DE">
            <w:pPr>
              <w:widowControl/>
              <w:adjustRightInd w:val="0"/>
              <w:snapToGrid w:val="0"/>
              <w:jc w:val="center"/>
              <w:textAlignment w:val="center"/>
            </w:pPr>
            <w:r>
              <w:rPr>
                <w:rFonts w:hint="eastAsia"/>
                <w:color w:val="000000"/>
                <w:sz w:val="22"/>
                <w:szCs w:val="22"/>
              </w:rPr>
              <w:t>0.3</w:t>
            </w:r>
          </w:p>
        </w:tc>
        <w:tc>
          <w:tcPr>
            <w:tcW w:w="2150" w:type="dxa"/>
            <w:tcBorders>
              <w:top w:val="single" w:sz="6" w:space="0" w:color="auto"/>
              <w:left w:val="single" w:sz="4" w:space="0" w:color="auto"/>
              <w:bottom w:val="single" w:sz="6" w:space="0" w:color="auto"/>
              <w:right w:val="nil"/>
            </w:tcBorders>
            <w:vAlign w:val="center"/>
          </w:tcPr>
          <w:p w14:paraId="1FE09106" w14:textId="66364D01" w:rsidR="006412DE" w:rsidRDefault="006412DE" w:rsidP="006412DE">
            <w:pPr>
              <w:widowControl/>
              <w:adjustRightInd w:val="0"/>
              <w:snapToGrid w:val="0"/>
              <w:jc w:val="center"/>
              <w:textAlignment w:val="center"/>
            </w:pPr>
            <w:r>
              <w:rPr>
                <w:rFonts w:hint="eastAsia"/>
                <w:color w:val="000000"/>
                <w:sz w:val="22"/>
                <w:szCs w:val="22"/>
              </w:rPr>
              <w:t>0.4</w:t>
            </w:r>
          </w:p>
        </w:tc>
        <w:tc>
          <w:tcPr>
            <w:tcW w:w="1467" w:type="dxa"/>
            <w:vMerge/>
            <w:tcBorders>
              <w:tl2br w:val="nil"/>
              <w:tr2bl w:val="nil"/>
            </w:tcBorders>
            <w:vAlign w:val="center"/>
          </w:tcPr>
          <w:p w14:paraId="052848C2" w14:textId="77777777" w:rsidR="006412DE" w:rsidRDefault="006412DE" w:rsidP="006412DE">
            <w:pPr>
              <w:adjustRightInd w:val="0"/>
              <w:snapToGrid w:val="0"/>
              <w:jc w:val="center"/>
            </w:pPr>
          </w:p>
        </w:tc>
      </w:tr>
      <w:tr w:rsidR="00960DCF" w14:paraId="7E7A1A4D" w14:textId="77777777" w:rsidTr="00FB0984">
        <w:trPr>
          <w:trHeight w:val="57"/>
          <w:jc w:val="center"/>
        </w:trPr>
        <w:tc>
          <w:tcPr>
            <w:tcW w:w="1127" w:type="dxa"/>
            <w:vMerge w:val="restart"/>
            <w:tcBorders>
              <w:tl2br w:val="nil"/>
              <w:tr2bl w:val="nil"/>
            </w:tcBorders>
            <w:vAlign w:val="center"/>
          </w:tcPr>
          <w:p w14:paraId="43ED90BB" w14:textId="15C30220" w:rsidR="00960DCF" w:rsidRDefault="00960DCF" w:rsidP="00960DCF">
            <w:pPr>
              <w:widowControl/>
              <w:adjustRightInd w:val="0"/>
              <w:snapToGrid w:val="0"/>
              <w:jc w:val="center"/>
              <w:textAlignment w:val="center"/>
            </w:pPr>
            <w:r>
              <w:rPr>
                <w:color w:val="000000"/>
                <w:kern w:val="0"/>
                <w:lang w:bidi="ar"/>
              </w:rPr>
              <w:t>水温</w:t>
            </w:r>
          </w:p>
        </w:tc>
        <w:tc>
          <w:tcPr>
            <w:tcW w:w="1130" w:type="dxa"/>
            <w:vMerge w:val="restart"/>
            <w:tcBorders>
              <w:tl2br w:val="nil"/>
              <w:tr2bl w:val="nil"/>
            </w:tcBorders>
            <w:vAlign w:val="center"/>
          </w:tcPr>
          <w:p w14:paraId="0BD63386" w14:textId="75353547" w:rsidR="00960DCF" w:rsidRDefault="00960DCF" w:rsidP="00960DCF">
            <w:pPr>
              <w:adjustRightInd w:val="0"/>
              <w:snapToGrid w:val="0"/>
              <w:jc w:val="center"/>
            </w:pPr>
            <w:r>
              <w:rPr>
                <w:color w:val="000000"/>
                <w:kern w:val="0"/>
                <w:lang w:bidi="ar"/>
              </w:rPr>
              <w:t>℃</w:t>
            </w:r>
          </w:p>
        </w:tc>
        <w:tc>
          <w:tcPr>
            <w:tcW w:w="1905" w:type="dxa"/>
            <w:tcBorders>
              <w:tl2br w:val="nil"/>
              <w:tr2bl w:val="nil"/>
            </w:tcBorders>
            <w:vAlign w:val="center"/>
          </w:tcPr>
          <w:p w14:paraId="33834A23" w14:textId="1549D2B7" w:rsidR="00960DCF" w:rsidRDefault="00960DCF" w:rsidP="00960DCF">
            <w:pPr>
              <w:adjustRightInd w:val="0"/>
              <w:snapToGrid w:val="0"/>
              <w:jc w:val="center"/>
            </w:pPr>
            <w:r>
              <w:t>监测值（</w:t>
            </w:r>
            <w:r>
              <w:t>Max</w:t>
            </w:r>
            <w:r>
              <w:t>）</w:t>
            </w:r>
          </w:p>
        </w:tc>
        <w:tc>
          <w:tcPr>
            <w:tcW w:w="2149" w:type="dxa"/>
            <w:tcBorders>
              <w:top w:val="single" w:sz="6" w:space="0" w:color="auto"/>
              <w:bottom w:val="single" w:sz="6" w:space="0" w:color="auto"/>
              <w:right w:val="single" w:sz="4" w:space="0" w:color="auto"/>
              <w:tl2br w:val="nil"/>
              <w:tr2bl w:val="nil"/>
            </w:tcBorders>
            <w:vAlign w:val="center"/>
          </w:tcPr>
          <w:p w14:paraId="4EBFEBDE" w14:textId="4C257BF0" w:rsidR="00960DCF" w:rsidRDefault="00960DCF" w:rsidP="00960DCF">
            <w:pPr>
              <w:widowControl/>
              <w:adjustRightInd w:val="0"/>
              <w:snapToGrid w:val="0"/>
              <w:jc w:val="center"/>
              <w:textAlignment w:val="center"/>
            </w:pPr>
            <w:r>
              <w:rPr>
                <w:rFonts w:hint="eastAsia"/>
                <w:color w:val="000000"/>
                <w:kern w:val="0"/>
                <w:lang w:bidi="ar"/>
              </w:rPr>
              <w:t>4.9</w:t>
            </w:r>
          </w:p>
        </w:tc>
        <w:tc>
          <w:tcPr>
            <w:tcW w:w="2150" w:type="dxa"/>
            <w:tcBorders>
              <w:top w:val="single" w:sz="6" w:space="0" w:color="auto"/>
              <w:left w:val="single" w:sz="4" w:space="0" w:color="auto"/>
              <w:bottom w:val="single" w:sz="6" w:space="0" w:color="auto"/>
              <w:right w:val="single" w:sz="4" w:space="0" w:color="auto"/>
            </w:tcBorders>
            <w:vAlign w:val="center"/>
          </w:tcPr>
          <w:p w14:paraId="7706EDB0" w14:textId="166C18E7" w:rsidR="00960DCF" w:rsidRDefault="00F75678" w:rsidP="00960DCF">
            <w:pPr>
              <w:widowControl/>
              <w:adjustRightInd w:val="0"/>
              <w:snapToGrid w:val="0"/>
              <w:jc w:val="center"/>
              <w:textAlignment w:val="center"/>
              <w:rPr>
                <w:color w:val="000000"/>
                <w:kern w:val="0"/>
                <w:lang w:bidi="ar"/>
              </w:rPr>
            </w:pPr>
            <w:r>
              <w:rPr>
                <w:rFonts w:hint="eastAsia"/>
                <w:color w:val="000000"/>
                <w:kern w:val="0"/>
                <w:lang w:bidi="ar"/>
              </w:rPr>
              <w:t>4.3</w:t>
            </w:r>
          </w:p>
        </w:tc>
        <w:tc>
          <w:tcPr>
            <w:tcW w:w="2149" w:type="dxa"/>
            <w:tcBorders>
              <w:top w:val="single" w:sz="6" w:space="0" w:color="auto"/>
              <w:left w:val="single" w:sz="4" w:space="0" w:color="auto"/>
              <w:bottom w:val="single" w:sz="6" w:space="0" w:color="auto"/>
              <w:right w:val="single" w:sz="4" w:space="0" w:color="auto"/>
              <w:tl2br w:val="nil"/>
              <w:tr2bl w:val="nil"/>
            </w:tcBorders>
            <w:vAlign w:val="center"/>
          </w:tcPr>
          <w:p w14:paraId="33C8849B" w14:textId="7C74DD88" w:rsidR="00960DCF" w:rsidRDefault="00336A9A" w:rsidP="00960DCF">
            <w:pPr>
              <w:widowControl/>
              <w:adjustRightInd w:val="0"/>
              <w:snapToGrid w:val="0"/>
              <w:jc w:val="center"/>
              <w:textAlignment w:val="center"/>
            </w:pPr>
            <w:r>
              <w:rPr>
                <w:rFonts w:hint="eastAsia"/>
              </w:rPr>
              <w:t>4.2</w:t>
            </w:r>
          </w:p>
        </w:tc>
        <w:tc>
          <w:tcPr>
            <w:tcW w:w="2150" w:type="dxa"/>
            <w:tcBorders>
              <w:top w:val="single" w:sz="6" w:space="0" w:color="auto"/>
              <w:left w:val="single" w:sz="4" w:space="0" w:color="auto"/>
              <w:bottom w:val="single" w:sz="6" w:space="0" w:color="auto"/>
              <w:tl2br w:val="nil"/>
              <w:tr2bl w:val="nil"/>
            </w:tcBorders>
            <w:vAlign w:val="center"/>
          </w:tcPr>
          <w:p w14:paraId="2E9409CC" w14:textId="50A4095F" w:rsidR="00960DCF" w:rsidRDefault="00526855" w:rsidP="00960DCF">
            <w:pPr>
              <w:widowControl/>
              <w:adjustRightInd w:val="0"/>
              <w:snapToGrid w:val="0"/>
              <w:jc w:val="center"/>
              <w:textAlignment w:val="center"/>
            </w:pPr>
            <w:r>
              <w:rPr>
                <w:rFonts w:hint="eastAsia"/>
              </w:rPr>
              <w:t>3.7</w:t>
            </w:r>
          </w:p>
        </w:tc>
        <w:tc>
          <w:tcPr>
            <w:tcW w:w="1467" w:type="dxa"/>
            <w:vMerge w:val="restart"/>
            <w:tcBorders>
              <w:tl2br w:val="nil"/>
              <w:tr2bl w:val="nil"/>
            </w:tcBorders>
            <w:vAlign w:val="center"/>
          </w:tcPr>
          <w:p w14:paraId="0048A8A3" w14:textId="535DCDFD" w:rsidR="00960DCF" w:rsidRDefault="002438F3" w:rsidP="00960DCF">
            <w:pPr>
              <w:widowControl/>
              <w:adjustRightInd w:val="0"/>
              <w:snapToGrid w:val="0"/>
              <w:jc w:val="center"/>
              <w:textAlignment w:val="center"/>
            </w:pPr>
            <w:r>
              <w:rPr>
                <w:rFonts w:hint="eastAsia"/>
                <w:color w:val="000000"/>
                <w:kern w:val="0"/>
                <w:lang w:bidi="ar"/>
              </w:rPr>
              <w:t>/</w:t>
            </w:r>
          </w:p>
        </w:tc>
      </w:tr>
      <w:tr w:rsidR="00A11B36" w14:paraId="29A35816" w14:textId="77777777" w:rsidTr="00FB0984">
        <w:trPr>
          <w:trHeight w:val="57"/>
          <w:jc w:val="center"/>
        </w:trPr>
        <w:tc>
          <w:tcPr>
            <w:tcW w:w="1127" w:type="dxa"/>
            <w:vMerge/>
            <w:tcBorders>
              <w:tl2br w:val="nil"/>
              <w:tr2bl w:val="nil"/>
            </w:tcBorders>
            <w:vAlign w:val="center"/>
          </w:tcPr>
          <w:p w14:paraId="2D4FF8CE" w14:textId="77777777" w:rsidR="00A11B36" w:rsidRDefault="00A11B36" w:rsidP="00A11B36">
            <w:pPr>
              <w:adjustRightInd w:val="0"/>
              <w:snapToGrid w:val="0"/>
              <w:jc w:val="center"/>
            </w:pPr>
          </w:p>
        </w:tc>
        <w:tc>
          <w:tcPr>
            <w:tcW w:w="1130" w:type="dxa"/>
            <w:vMerge/>
            <w:tcBorders>
              <w:tl2br w:val="nil"/>
              <w:tr2bl w:val="nil"/>
            </w:tcBorders>
            <w:vAlign w:val="center"/>
          </w:tcPr>
          <w:p w14:paraId="7008D039" w14:textId="77777777" w:rsidR="00A11B36" w:rsidRDefault="00A11B36" w:rsidP="00A11B36">
            <w:pPr>
              <w:adjustRightInd w:val="0"/>
              <w:snapToGrid w:val="0"/>
              <w:jc w:val="center"/>
            </w:pPr>
          </w:p>
        </w:tc>
        <w:tc>
          <w:tcPr>
            <w:tcW w:w="1905" w:type="dxa"/>
            <w:tcBorders>
              <w:tl2br w:val="nil"/>
              <w:tr2bl w:val="nil"/>
            </w:tcBorders>
            <w:vAlign w:val="center"/>
          </w:tcPr>
          <w:p w14:paraId="1D290F4C" w14:textId="55108EA3" w:rsidR="00A11B36" w:rsidRDefault="00A11B36" w:rsidP="00A11B36">
            <w:pPr>
              <w:adjustRightInd w:val="0"/>
              <w:snapToGrid w:val="0"/>
              <w:jc w:val="center"/>
            </w:pPr>
            <w:r>
              <w:t>标准指数</w:t>
            </w:r>
          </w:p>
        </w:tc>
        <w:tc>
          <w:tcPr>
            <w:tcW w:w="2149" w:type="dxa"/>
            <w:tcBorders>
              <w:top w:val="single" w:sz="6" w:space="0" w:color="auto"/>
              <w:bottom w:val="single" w:sz="6" w:space="0" w:color="auto"/>
              <w:right w:val="single" w:sz="4" w:space="0" w:color="auto"/>
              <w:tl2br w:val="nil"/>
              <w:tr2bl w:val="nil"/>
            </w:tcBorders>
            <w:vAlign w:val="center"/>
          </w:tcPr>
          <w:p w14:paraId="4B3CA25D" w14:textId="45C2923E" w:rsidR="00A11B36" w:rsidRDefault="00A11B36" w:rsidP="00A11B36">
            <w:pPr>
              <w:widowControl/>
              <w:adjustRightInd w:val="0"/>
              <w:snapToGrid w:val="0"/>
              <w:jc w:val="center"/>
              <w:textAlignment w:val="center"/>
            </w:pPr>
            <w:r>
              <w:rPr>
                <w:rFonts w:hint="eastAsia"/>
              </w:rPr>
              <w:t>/</w:t>
            </w:r>
          </w:p>
        </w:tc>
        <w:tc>
          <w:tcPr>
            <w:tcW w:w="2150" w:type="dxa"/>
            <w:tcBorders>
              <w:top w:val="single" w:sz="6" w:space="0" w:color="auto"/>
              <w:left w:val="single" w:sz="4" w:space="0" w:color="auto"/>
              <w:bottom w:val="single" w:sz="6" w:space="0" w:color="auto"/>
              <w:right w:val="single" w:sz="4" w:space="0" w:color="auto"/>
            </w:tcBorders>
          </w:tcPr>
          <w:p w14:paraId="32124DF8" w14:textId="16144584" w:rsidR="00A11B36" w:rsidRDefault="00A11B36" w:rsidP="00A11B36">
            <w:pPr>
              <w:widowControl/>
              <w:adjustRightInd w:val="0"/>
              <w:snapToGrid w:val="0"/>
              <w:jc w:val="center"/>
              <w:textAlignment w:val="center"/>
              <w:rPr>
                <w:color w:val="000000"/>
                <w:kern w:val="0"/>
                <w:lang w:bidi="ar"/>
              </w:rPr>
            </w:pPr>
            <w:r w:rsidRPr="00024CAC">
              <w:rPr>
                <w:rFonts w:hint="eastAsia"/>
              </w:rPr>
              <w:t>/</w:t>
            </w:r>
          </w:p>
        </w:tc>
        <w:tc>
          <w:tcPr>
            <w:tcW w:w="2149" w:type="dxa"/>
            <w:tcBorders>
              <w:top w:val="single" w:sz="6" w:space="0" w:color="auto"/>
              <w:left w:val="single" w:sz="4" w:space="0" w:color="auto"/>
              <w:bottom w:val="single" w:sz="6" w:space="0" w:color="auto"/>
              <w:right w:val="single" w:sz="4" w:space="0" w:color="auto"/>
              <w:tl2br w:val="nil"/>
              <w:tr2bl w:val="nil"/>
            </w:tcBorders>
          </w:tcPr>
          <w:p w14:paraId="702D95C3" w14:textId="22BB951F" w:rsidR="00A11B36" w:rsidRDefault="00A11B36" w:rsidP="00A11B36">
            <w:pPr>
              <w:widowControl/>
              <w:adjustRightInd w:val="0"/>
              <w:snapToGrid w:val="0"/>
              <w:jc w:val="center"/>
              <w:textAlignment w:val="center"/>
            </w:pPr>
            <w:r w:rsidRPr="00024CAC">
              <w:rPr>
                <w:rFonts w:hint="eastAsia"/>
              </w:rPr>
              <w:t>/</w:t>
            </w:r>
          </w:p>
        </w:tc>
        <w:tc>
          <w:tcPr>
            <w:tcW w:w="2150" w:type="dxa"/>
            <w:tcBorders>
              <w:top w:val="single" w:sz="6" w:space="0" w:color="auto"/>
              <w:left w:val="single" w:sz="4" w:space="0" w:color="auto"/>
              <w:bottom w:val="single" w:sz="6" w:space="0" w:color="auto"/>
              <w:tl2br w:val="nil"/>
              <w:tr2bl w:val="nil"/>
            </w:tcBorders>
          </w:tcPr>
          <w:p w14:paraId="1FD73AB9" w14:textId="11549AA2" w:rsidR="00A11B36" w:rsidRDefault="00A11B36" w:rsidP="00A11B36">
            <w:pPr>
              <w:widowControl/>
              <w:adjustRightInd w:val="0"/>
              <w:snapToGrid w:val="0"/>
              <w:jc w:val="center"/>
              <w:textAlignment w:val="center"/>
            </w:pPr>
            <w:r w:rsidRPr="00024CAC">
              <w:rPr>
                <w:rFonts w:hint="eastAsia"/>
              </w:rPr>
              <w:t>/</w:t>
            </w:r>
          </w:p>
        </w:tc>
        <w:tc>
          <w:tcPr>
            <w:tcW w:w="1467" w:type="dxa"/>
            <w:vMerge/>
            <w:tcBorders>
              <w:tl2br w:val="nil"/>
              <w:tr2bl w:val="nil"/>
            </w:tcBorders>
            <w:vAlign w:val="center"/>
          </w:tcPr>
          <w:p w14:paraId="1EF49FCE" w14:textId="77777777" w:rsidR="00A11B36" w:rsidRDefault="00A11B36" w:rsidP="00A11B36">
            <w:pPr>
              <w:adjustRightInd w:val="0"/>
              <w:snapToGrid w:val="0"/>
              <w:jc w:val="center"/>
              <w:rPr>
                <w:lang w:val="en-CA"/>
              </w:rPr>
            </w:pPr>
          </w:p>
        </w:tc>
      </w:tr>
      <w:tr w:rsidR="00960DCF" w14:paraId="0A047870" w14:textId="77777777" w:rsidTr="00FB0984">
        <w:trPr>
          <w:trHeight w:val="57"/>
          <w:jc w:val="center"/>
        </w:trPr>
        <w:tc>
          <w:tcPr>
            <w:tcW w:w="1127" w:type="dxa"/>
            <w:vMerge w:val="restart"/>
            <w:tcBorders>
              <w:tl2br w:val="nil"/>
              <w:tr2bl w:val="nil"/>
            </w:tcBorders>
            <w:vAlign w:val="center"/>
          </w:tcPr>
          <w:p w14:paraId="18E48AA4" w14:textId="6D9CAF41" w:rsidR="00960DCF" w:rsidRDefault="00960DCF" w:rsidP="00960DCF">
            <w:pPr>
              <w:widowControl/>
              <w:adjustRightInd w:val="0"/>
              <w:snapToGrid w:val="0"/>
              <w:jc w:val="center"/>
              <w:textAlignment w:val="center"/>
            </w:pPr>
            <w:r>
              <w:rPr>
                <w:color w:val="000000"/>
                <w:kern w:val="0"/>
                <w:lang w:bidi="ar"/>
              </w:rPr>
              <w:t>化学需氧量</w:t>
            </w:r>
          </w:p>
        </w:tc>
        <w:tc>
          <w:tcPr>
            <w:tcW w:w="1130" w:type="dxa"/>
            <w:vMerge w:val="restart"/>
            <w:tcBorders>
              <w:tl2br w:val="nil"/>
              <w:tr2bl w:val="nil"/>
            </w:tcBorders>
            <w:vAlign w:val="center"/>
          </w:tcPr>
          <w:p w14:paraId="12A76FBA" w14:textId="1E1771E2" w:rsidR="00960DCF" w:rsidRDefault="00960DCF" w:rsidP="00960DCF">
            <w:pPr>
              <w:adjustRightInd w:val="0"/>
              <w:snapToGrid w:val="0"/>
              <w:jc w:val="center"/>
            </w:pPr>
            <w:r>
              <w:t>mg/L</w:t>
            </w:r>
          </w:p>
        </w:tc>
        <w:tc>
          <w:tcPr>
            <w:tcW w:w="1905" w:type="dxa"/>
            <w:tcBorders>
              <w:tl2br w:val="nil"/>
              <w:tr2bl w:val="nil"/>
            </w:tcBorders>
            <w:vAlign w:val="center"/>
          </w:tcPr>
          <w:p w14:paraId="3C75E440" w14:textId="2498EC39" w:rsidR="00960DCF" w:rsidRDefault="00960DCF" w:rsidP="00960DCF">
            <w:pPr>
              <w:adjustRightInd w:val="0"/>
              <w:snapToGrid w:val="0"/>
              <w:jc w:val="center"/>
            </w:pPr>
            <w:r>
              <w:t>监测值（</w:t>
            </w:r>
            <w:r>
              <w:t>Max</w:t>
            </w:r>
            <w:r>
              <w:t>）</w:t>
            </w:r>
          </w:p>
        </w:tc>
        <w:tc>
          <w:tcPr>
            <w:tcW w:w="2149" w:type="dxa"/>
            <w:tcBorders>
              <w:top w:val="single" w:sz="6" w:space="0" w:color="auto"/>
              <w:bottom w:val="single" w:sz="6" w:space="0" w:color="auto"/>
              <w:right w:val="single" w:sz="4" w:space="0" w:color="auto"/>
              <w:tl2br w:val="nil"/>
              <w:tr2bl w:val="nil"/>
            </w:tcBorders>
            <w:vAlign w:val="center"/>
          </w:tcPr>
          <w:p w14:paraId="11C22F23" w14:textId="4F890C08" w:rsidR="00960DCF" w:rsidRDefault="00960DCF" w:rsidP="00960DCF">
            <w:pPr>
              <w:widowControl/>
              <w:adjustRightInd w:val="0"/>
              <w:snapToGrid w:val="0"/>
              <w:jc w:val="center"/>
              <w:textAlignment w:val="center"/>
            </w:pPr>
            <w:r>
              <w:rPr>
                <w:rFonts w:hint="eastAsia"/>
                <w:color w:val="000000"/>
                <w:kern w:val="0"/>
                <w:lang w:bidi="ar"/>
              </w:rPr>
              <w:t>38</w:t>
            </w:r>
          </w:p>
        </w:tc>
        <w:tc>
          <w:tcPr>
            <w:tcW w:w="2150" w:type="dxa"/>
            <w:tcBorders>
              <w:top w:val="single" w:sz="6" w:space="0" w:color="auto"/>
              <w:left w:val="single" w:sz="4" w:space="0" w:color="auto"/>
              <w:bottom w:val="single" w:sz="6" w:space="0" w:color="auto"/>
              <w:right w:val="single" w:sz="4" w:space="0" w:color="auto"/>
            </w:tcBorders>
            <w:vAlign w:val="center"/>
          </w:tcPr>
          <w:p w14:paraId="264B7A68" w14:textId="531FAB65" w:rsidR="00960DCF" w:rsidRDefault="00F75678" w:rsidP="00960DCF">
            <w:pPr>
              <w:widowControl/>
              <w:adjustRightInd w:val="0"/>
              <w:snapToGrid w:val="0"/>
              <w:jc w:val="center"/>
              <w:textAlignment w:val="center"/>
              <w:rPr>
                <w:color w:val="000000"/>
                <w:kern w:val="0"/>
                <w:lang w:bidi="ar"/>
              </w:rPr>
            </w:pPr>
            <w:r>
              <w:rPr>
                <w:rFonts w:hint="eastAsia"/>
                <w:color w:val="000000"/>
                <w:kern w:val="0"/>
                <w:lang w:bidi="ar"/>
              </w:rPr>
              <w:t>38</w:t>
            </w:r>
          </w:p>
        </w:tc>
        <w:tc>
          <w:tcPr>
            <w:tcW w:w="2149" w:type="dxa"/>
            <w:tcBorders>
              <w:top w:val="single" w:sz="6" w:space="0" w:color="auto"/>
              <w:left w:val="single" w:sz="4" w:space="0" w:color="auto"/>
              <w:bottom w:val="single" w:sz="6" w:space="0" w:color="auto"/>
              <w:right w:val="single" w:sz="4" w:space="0" w:color="auto"/>
              <w:tl2br w:val="nil"/>
              <w:tr2bl w:val="nil"/>
            </w:tcBorders>
            <w:vAlign w:val="center"/>
          </w:tcPr>
          <w:p w14:paraId="61971AEB" w14:textId="4D4CEC24" w:rsidR="00960DCF" w:rsidRDefault="00336A9A" w:rsidP="00960DCF">
            <w:pPr>
              <w:widowControl/>
              <w:adjustRightInd w:val="0"/>
              <w:snapToGrid w:val="0"/>
              <w:jc w:val="center"/>
              <w:textAlignment w:val="center"/>
            </w:pPr>
            <w:r>
              <w:rPr>
                <w:rFonts w:hint="eastAsia"/>
              </w:rPr>
              <w:t>39</w:t>
            </w:r>
          </w:p>
        </w:tc>
        <w:tc>
          <w:tcPr>
            <w:tcW w:w="2150" w:type="dxa"/>
            <w:tcBorders>
              <w:top w:val="single" w:sz="6" w:space="0" w:color="auto"/>
              <w:left w:val="single" w:sz="4" w:space="0" w:color="auto"/>
              <w:bottom w:val="single" w:sz="6" w:space="0" w:color="auto"/>
              <w:tl2br w:val="nil"/>
              <w:tr2bl w:val="nil"/>
            </w:tcBorders>
            <w:vAlign w:val="center"/>
          </w:tcPr>
          <w:p w14:paraId="7CF094F7" w14:textId="1CEA2EC1" w:rsidR="00960DCF" w:rsidRDefault="00526855" w:rsidP="00960DCF">
            <w:pPr>
              <w:widowControl/>
              <w:adjustRightInd w:val="0"/>
              <w:snapToGrid w:val="0"/>
              <w:jc w:val="center"/>
              <w:textAlignment w:val="center"/>
            </w:pPr>
            <w:r>
              <w:rPr>
                <w:rFonts w:hint="eastAsia"/>
              </w:rPr>
              <w:t>37</w:t>
            </w:r>
          </w:p>
        </w:tc>
        <w:tc>
          <w:tcPr>
            <w:tcW w:w="1467" w:type="dxa"/>
            <w:vMerge w:val="restart"/>
            <w:tcBorders>
              <w:tl2br w:val="nil"/>
              <w:tr2bl w:val="nil"/>
            </w:tcBorders>
            <w:vAlign w:val="center"/>
          </w:tcPr>
          <w:p w14:paraId="348FC1A4" w14:textId="58F6CCC6" w:rsidR="00960DCF" w:rsidRDefault="002438F3" w:rsidP="00960DCF">
            <w:pPr>
              <w:widowControl/>
              <w:adjustRightInd w:val="0"/>
              <w:snapToGrid w:val="0"/>
              <w:jc w:val="center"/>
              <w:textAlignment w:val="center"/>
            </w:pPr>
            <w:r>
              <w:rPr>
                <w:rFonts w:hint="eastAsia"/>
                <w:color w:val="000000"/>
                <w:kern w:val="0"/>
                <w:lang w:bidi="ar"/>
              </w:rPr>
              <w:t>40</w:t>
            </w:r>
          </w:p>
        </w:tc>
      </w:tr>
      <w:tr w:rsidR="00FB0984" w14:paraId="29587E05" w14:textId="77777777" w:rsidTr="00FB0984">
        <w:trPr>
          <w:trHeight w:val="57"/>
          <w:jc w:val="center"/>
        </w:trPr>
        <w:tc>
          <w:tcPr>
            <w:tcW w:w="1127" w:type="dxa"/>
            <w:vMerge/>
            <w:tcBorders>
              <w:tl2br w:val="nil"/>
              <w:tr2bl w:val="nil"/>
            </w:tcBorders>
            <w:vAlign w:val="center"/>
          </w:tcPr>
          <w:p w14:paraId="688D1B94" w14:textId="77777777" w:rsidR="00FB0984" w:rsidRDefault="00FB0984" w:rsidP="00FB0984">
            <w:pPr>
              <w:adjustRightInd w:val="0"/>
              <w:snapToGrid w:val="0"/>
              <w:jc w:val="center"/>
            </w:pPr>
          </w:p>
        </w:tc>
        <w:tc>
          <w:tcPr>
            <w:tcW w:w="1130" w:type="dxa"/>
            <w:vMerge/>
            <w:tcBorders>
              <w:tl2br w:val="nil"/>
              <w:tr2bl w:val="nil"/>
            </w:tcBorders>
            <w:vAlign w:val="center"/>
          </w:tcPr>
          <w:p w14:paraId="0867F421" w14:textId="77777777" w:rsidR="00FB0984" w:rsidRDefault="00FB0984" w:rsidP="00FB0984">
            <w:pPr>
              <w:adjustRightInd w:val="0"/>
              <w:snapToGrid w:val="0"/>
              <w:jc w:val="center"/>
            </w:pPr>
          </w:p>
        </w:tc>
        <w:tc>
          <w:tcPr>
            <w:tcW w:w="1905" w:type="dxa"/>
            <w:tcBorders>
              <w:tl2br w:val="nil"/>
              <w:tr2bl w:val="nil"/>
            </w:tcBorders>
            <w:vAlign w:val="center"/>
          </w:tcPr>
          <w:p w14:paraId="170D5707" w14:textId="17F86AC7" w:rsidR="00FB0984" w:rsidRDefault="00FB0984" w:rsidP="00FB0984">
            <w:pPr>
              <w:adjustRightInd w:val="0"/>
              <w:snapToGrid w:val="0"/>
              <w:jc w:val="center"/>
            </w:pPr>
            <w:r>
              <w:t>标准指数</w:t>
            </w:r>
          </w:p>
        </w:tc>
        <w:tc>
          <w:tcPr>
            <w:tcW w:w="2149" w:type="dxa"/>
            <w:tcBorders>
              <w:top w:val="single" w:sz="6" w:space="0" w:color="auto"/>
              <w:left w:val="nil"/>
              <w:bottom w:val="single" w:sz="6" w:space="0" w:color="auto"/>
              <w:right w:val="single" w:sz="4" w:space="0" w:color="auto"/>
            </w:tcBorders>
            <w:vAlign w:val="center"/>
          </w:tcPr>
          <w:p w14:paraId="75D0747E" w14:textId="55B2F0F5" w:rsidR="00FB0984" w:rsidRPr="000566AF" w:rsidRDefault="00FB0984" w:rsidP="00FB0984">
            <w:pPr>
              <w:widowControl/>
              <w:adjustRightInd w:val="0"/>
              <w:snapToGrid w:val="0"/>
              <w:jc w:val="center"/>
              <w:textAlignment w:val="center"/>
            </w:pPr>
            <w:r w:rsidRPr="000566AF">
              <w:rPr>
                <w:rFonts w:hint="eastAsia"/>
                <w:sz w:val="22"/>
                <w:szCs w:val="22"/>
              </w:rPr>
              <w:t>0.95</w:t>
            </w:r>
          </w:p>
        </w:tc>
        <w:tc>
          <w:tcPr>
            <w:tcW w:w="2150" w:type="dxa"/>
            <w:tcBorders>
              <w:top w:val="single" w:sz="6" w:space="0" w:color="auto"/>
              <w:left w:val="single" w:sz="4" w:space="0" w:color="auto"/>
              <w:bottom w:val="single" w:sz="6" w:space="0" w:color="auto"/>
              <w:right w:val="single" w:sz="4" w:space="0" w:color="auto"/>
            </w:tcBorders>
            <w:vAlign w:val="center"/>
          </w:tcPr>
          <w:p w14:paraId="7A84A23F" w14:textId="4CD2C26A" w:rsidR="00FB0984" w:rsidRPr="000566AF" w:rsidRDefault="00FB0984" w:rsidP="00FB0984">
            <w:pPr>
              <w:widowControl/>
              <w:adjustRightInd w:val="0"/>
              <w:snapToGrid w:val="0"/>
              <w:jc w:val="center"/>
              <w:textAlignment w:val="center"/>
              <w:rPr>
                <w:kern w:val="0"/>
                <w:lang w:bidi="ar"/>
              </w:rPr>
            </w:pPr>
            <w:r w:rsidRPr="000566AF">
              <w:rPr>
                <w:rFonts w:hint="eastAsia"/>
                <w:sz w:val="22"/>
                <w:szCs w:val="22"/>
              </w:rPr>
              <w:t>0.95</w:t>
            </w:r>
          </w:p>
        </w:tc>
        <w:tc>
          <w:tcPr>
            <w:tcW w:w="2149" w:type="dxa"/>
            <w:tcBorders>
              <w:top w:val="single" w:sz="6" w:space="0" w:color="auto"/>
              <w:left w:val="single" w:sz="4" w:space="0" w:color="auto"/>
              <w:bottom w:val="single" w:sz="6" w:space="0" w:color="auto"/>
              <w:right w:val="single" w:sz="4" w:space="0" w:color="auto"/>
            </w:tcBorders>
            <w:vAlign w:val="center"/>
          </w:tcPr>
          <w:p w14:paraId="5911F484" w14:textId="4C794D6D" w:rsidR="00FB0984" w:rsidRPr="000566AF" w:rsidRDefault="00FB0984" w:rsidP="00FB0984">
            <w:pPr>
              <w:widowControl/>
              <w:adjustRightInd w:val="0"/>
              <w:snapToGrid w:val="0"/>
              <w:jc w:val="center"/>
              <w:textAlignment w:val="center"/>
            </w:pPr>
            <w:r w:rsidRPr="000566AF">
              <w:rPr>
                <w:rFonts w:hint="eastAsia"/>
                <w:sz w:val="22"/>
                <w:szCs w:val="22"/>
              </w:rPr>
              <w:t>0.975</w:t>
            </w:r>
          </w:p>
        </w:tc>
        <w:tc>
          <w:tcPr>
            <w:tcW w:w="2150" w:type="dxa"/>
            <w:tcBorders>
              <w:top w:val="single" w:sz="6" w:space="0" w:color="auto"/>
              <w:left w:val="single" w:sz="4" w:space="0" w:color="auto"/>
              <w:bottom w:val="single" w:sz="6" w:space="0" w:color="auto"/>
              <w:right w:val="nil"/>
            </w:tcBorders>
            <w:vAlign w:val="center"/>
          </w:tcPr>
          <w:p w14:paraId="20DE57C7" w14:textId="649C1E2B" w:rsidR="00FB0984" w:rsidRPr="000566AF" w:rsidRDefault="00FB0984" w:rsidP="00FB0984">
            <w:pPr>
              <w:widowControl/>
              <w:adjustRightInd w:val="0"/>
              <w:snapToGrid w:val="0"/>
              <w:jc w:val="center"/>
              <w:textAlignment w:val="center"/>
            </w:pPr>
            <w:r w:rsidRPr="000566AF">
              <w:rPr>
                <w:rFonts w:hint="eastAsia"/>
                <w:sz w:val="22"/>
                <w:szCs w:val="22"/>
              </w:rPr>
              <w:t>0.925</w:t>
            </w:r>
          </w:p>
        </w:tc>
        <w:tc>
          <w:tcPr>
            <w:tcW w:w="1467" w:type="dxa"/>
            <w:vMerge/>
            <w:tcBorders>
              <w:tl2br w:val="nil"/>
              <w:tr2bl w:val="nil"/>
            </w:tcBorders>
            <w:vAlign w:val="center"/>
          </w:tcPr>
          <w:p w14:paraId="0CDA2F62" w14:textId="77777777" w:rsidR="00FB0984" w:rsidRDefault="00FB0984" w:rsidP="00FB0984">
            <w:pPr>
              <w:adjustRightInd w:val="0"/>
              <w:snapToGrid w:val="0"/>
              <w:jc w:val="center"/>
            </w:pPr>
          </w:p>
        </w:tc>
      </w:tr>
      <w:tr w:rsidR="002438F3" w14:paraId="45F133B8" w14:textId="77777777" w:rsidTr="00FB0984">
        <w:trPr>
          <w:trHeight w:val="57"/>
          <w:jc w:val="center"/>
        </w:trPr>
        <w:tc>
          <w:tcPr>
            <w:tcW w:w="1127" w:type="dxa"/>
            <w:vMerge w:val="restart"/>
            <w:tcBorders>
              <w:tl2br w:val="nil"/>
              <w:tr2bl w:val="nil"/>
            </w:tcBorders>
            <w:vAlign w:val="center"/>
          </w:tcPr>
          <w:p w14:paraId="673BFC6A" w14:textId="09C4C420" w:rsidR="002438F3" w:rsidRDefault="002438F3" w:rsidP="00960DCF">
            <w:pPr>
              <w:adjustRightInd w:val="0"/>
              <w:snapToGrid w:val="0"/>
              <w:jc w:val="center"/>
            </w:pPr>
            <w:r>
              <w:rPr>
                <w:color w:val="000000"/>
                <w:kern w:val="0"/>
                <w:lang w:bidi="ar"/>
              </w:rPr>
              <w:t>氨氮</w:t>
            </w:r>
          </w:p>
        </w:tc>
        <w:tc>
          <w:tcPr>
            <w:tcW w:w="1130" w:type="dxa"/>
            <w:vMerge w:val="restart"/>
            <w:tcBorders>
              <w:tl2br w:val="nil"/>
              <w:tr2bl w:val="nil"/>
            </w:tcBorders>
            <w:vAlign w:val="center"/>
          </w:tcPr>
          <w:p w14:paraId="034F6B91" w14:textId="5CA4AD68" w:rsidR="002438F3" w:rsidRDefault="002438F3" w:rsidP="00960DCF">
            <w:pPr>
              <w:adjustRightInd w:val="0"/>
              <w:snapToGrid w:val="0"/>
              <w:jc w:val="center"/>
            </w:pPr>
            <w:r>
              <w:t>mg/L</w:t>
            </w:r>
          </w:p>
        </w:tc>
        <w:tc>
          <w:tcPr>
            <w:tcW w:w="1905" w:type="dxa"/>
            <w:tcBorders>
              <w:tl2br w:val="nil"/>
              <w:tr2bl w:val="nil"/>
            </w:tcBorders>
            <w:vAlign w:val="center"/>
          </w:tcPr>
          <w:p w14:paraId="18DE5339" w14:textId="349D47F2" w:rsidR="002438F3" w:rsidRDefault="002438F3" w:rsidP="00960DCF">
            <w:pPr>
              <w:adjustRightInd w:val="0"/>
              <w:snapToGrid w:val="0"/>
              <w:jc w:val="center"/>
            </w:pPr>
            <w:r>
              <w:t>监测值（</w:t>
            </w:r>
            <w:r>
              <w:t>Max</w:t>
            </w:r>
            <w:r>
              <w:t>）</w:t>
            </w:r>
          </w:p>
        </w:tc>
        <w:tc>
          <w:tcPr>
            <w:tcW w:w="2149" w:type="dxa"/>
            <w:tcBorders>
              <w:top w:val="single" w:sz="6" w:space="0" w:color="auto"/>
              <w:bottom w:val="single" w:sz="6" w:space="0" w:color="auto"/>
              <w:right w:val="single" w:sz="4" w:space="0" w:color="auto"/>
              <w:tl2br w:val="nil"/>
              <w:tr2bl w:val="nil"/>
            </w:tcBorders>
            <w:vAlign w:val="center"/>
          </w:tcPr>
          <w:p w14:paraId="242B785E" w14:textId="7354838D" w:rsidR="002438F3" w:rsidRPr="000566AF" w:rsidRDefault="002438F3" w:rsidP="00960DCF">
            <w:pPr>
              <w:widowControl/>
              <w:adjustRightInd w:val="0"/>
              <w:snapToGrid w:val="0"/>
              <w:jc w:val="center"/>
              <w:textAlignment w:val="center"/>
              <w:rPr>
                <w:kern w:val="0"/>
                <w:lang w:bidi="ar"/>
              </w:rPr>
            </w:pPr>
            <w:r w:rsidRPr="000566AF">
              <w:rPr>
                <w:rFonts w:hint="eastAsia"/>
                <w:kern w:val="0"/>
                <w:lang w:bidi="ar"/>
              </w:rPr>
              <w:t>1.64</w:t>
            </w:r>
          </w:p>
        </w:tc>
        <w:tc>
          <w:tcPr>
            <w:tcW w:w="2150" w:type="dxa"/>
            <w:tcBorders>
              <w:top w:val="single" w:sz="6" w:space="0" w:color="auto"/>
              <w:left w:val="single" w:sz="4" w:space="0" w:color="auto"/>
              <w:bottom w:val="single" w:sz="6" w:space="0" w:color="auto"/>
              <w:right w:val="single" w:sz="4" w:space="0" w:color="auto"/>
            </w:tcBorders>
            <w:vAlign w:val="center"/>
          </w:tcPr>
          <w:p w14:paraId="32B583A5" w14:textId="46C918DE" w:rsidR="002438F3" w:rsidRPr="000566AF" w:rsidRDefault="002438F3" w:rsidP="00960DCF">
            <w:pPr>
              <w:widowControl/>
              <w:adjustRightInd w:val="0"/>
              <w:snapToGrid w:val="0"/>
              <w:jc w:val="center"/>
              <w:textAlignment w:val="center"/>
              <w:rPr>
                <w:kern w:val="0"/>
                <w:lang w:bidi="ar"/>
              </w:rPr>
            </w:pPr>
            <w:r w:rsidRPr="000566AF">
              <w:rPr>
                <w:rFonts w:hint="eastAsia"/>
                <w:kern w:val="0"/>
                <w:lang w:bidi="ar"/>
              </w:rPr>
              <w:t>1.72</w:t>
            </w:r>
          </w:p>
        </w:tc>
        <w:tc>
          <w:tcPr>
            <w:tcW w:w="2149" w:type="dxa"/>
            <w:tcBorders>
              <w:top w:val="single" w:sz="6" w:space="0" w:color="auto"/>
              <w:left w:val="single" w:sz="4" w:space="0" w:color="auto"/>
              <w:bottom w:val="single" w:sz="6" w:space="0" w:color="auto"/>
              <w:right w:val="single" w:sz="4" w:space="0" w:color="auto"/>
              <w:tl2br w:val="nil"/>
              <w:tr2bl w:val="nil"/>
            </w:tcBorders>
            <w:vAlign w:val="center"/>
          </w:tcPr>
          <w:p w14:paraId="78880E14" w14:textId="7F2508CE" w:rsidR="002438F3" w:rsidRPr="000566AF" w:rsidRDefault="002438F3" w:rsidP="00960DCF">
            <w:pPr>
              <w:widowControl/>
              <w:adjustRightInd w:val="0"/>
              <w:snapToGrid w:val="0"/>
              <w:jc w:val="center"/>
              <w:textAlignment w:val="center"/>
              <w:rPr>
                <w:kern w:val="0"/>
                <w:lang w:bidi="ar"/>
              </w:rPr>
            </w:pPr>
            <w:r w:rsidRPr="000566AF">
              <w:rPr>
                <w:rFonts w:hint="eastAsia"/>
                <w:kern w:val="0"/>
                <w:lang w:bidi="ar"/>
              </w:rPr>
              <w:t>1.58</w:t>
            </w:r>
          </w:p>
        </w:tc>
        <w:tc>
          <w:tcPr>
            <w:tcW w:w="2150" w:type="dxa"/>
            <w:tcBorders>
              <w:top w:val="single" w:sz="6" w:space="0" w:color="auto"/>
              <w:left w:val="single" w:sz="4" w:space="0" w:color="auto"/>
              <w:bottom w:val="single" w:sz="6" w:space="0" w:color="auto"/>
              <w:tl2br w:val="nil"/>
              <w:tr2bl w:val="nil"/>
            </w:tcBorders>
            <w:vAlign w:val="center"/>
          </w:tcPr>
          <w:p w14:paraId="16911DDD" w14:textId="2E7E27C1" w:rsidR="002438F3" w:rsidRPr="000566AF" w:rsidRDefault="002438F3" w:rsidP="00960DCF">
            <w:pPr>
              <w:widowControl/>
              <w:adjustRightInd w:val="0"/>
              <w:snapToGrid w:val="0"/>
              <w:jc w:val="center"/>
              <w:textAlignment w:val="center"/>
              <w:rPr>
                <w:kern w:val="0"/>
                <w:lang w:bidi="ar"/>
              </w:rPr>
            </w:pPr>
            <w:r w:rsidRPr="000566AF">
              <w:rPr>
                <w:rFonts w:hint="eastAsia"/>
                <w:kern w:val="0"/>
                <w:lang w:bidi="ar"/>
              </w:rPr>
              <w:t>1.86</w:t>
            </w:r>
          </w:p>
        </w:tc>
        <w:tc>
          <w:tcPr>
            <w:tcW w:w="1467" w:type="dxa"/>
            <w:vMerge w:val="restart"/>
            <w:tcBorders>
              <w:tl2br w:val="nil"/>
              <w:tr2bl w:val="nil"/>
            </w:tcBorders>
            <w:vAlign w:val="center"/>
          </w:tcPr>
          <w:p w14:paraId="58335FDB" w14:textId="5353A0FF" w:rsidR="002438F3" w:rsidRDefault="002438F3" w:rsidP="00960DCF">
            <w:pPr>
              <w:adjustRightInd w:val="0"/>
              <w:snapToGrid w:val="0"/>
              <w:jc w:val="center"/>
            </w:pPr>
            <w:r>
              <w:rPr>
                <w:rFonts w:hint="eastAsia"/>
              </w:rPr>
              <w:t>2.0</w:t>
            </w:r>
          </w:p>
        </w:tc>
      </w:tr>
      <w:tr w:rsidR="00FB0984" w14:paraId="31550078" w14:textId="77777777" w:rsidTr="00FB0984">
        <w:trPr>
          <w:trHeight w:val="57"/>
          <w:jc w:val="center"/>
        </w:trPr>
        <w:tc>
          <w:tcPr>
            <w:tcW w:w="1127" w:type="dxa"/>
            <w:vMerge/>
            <w:tcBorders>
              <w:tl2br w:val="nil"/>
              <w:tr2bl w:val="nil"/>
            </w:tcBorders>
            <w:vAlign w:val="center"/>
          </w:tcPr>
          <w:p w14:paraId="3D943081" w14:textId="77777777" w:rsidR="00FB0984" w:rsidRDefault="00FB0984" w:rsidP="00FB0984">
            <w:pPr>
              <w:adjustRightInd w:val="0"/>
              <w:snapToGrid w:val="0"/>
              <w:jc w:val="center"/>
            </w:pPr>
          </w:p>
        </w:tc>
        <w:tc>
          <w:tcPr>
            <w:tcW w:w="1130" w:type="dxa"/>
            <w:vMerge/>
            <w:tcBorders>
              <w:tl2br w:val="nil"/>
              <w:tr2bl w:val="nil"/>
            </w:tcBorders>
            <w:vAlign w:val="center"/>
          </w:tcPr>
          <w:p w14:paraId="7915AA03" w14:textId="77777777" w:rsidR="00FB0984" w:rsidRDefault="00FB0984" w:rsidP="00FB0984">
            <w:pPr>
              <w:adjustRightInd w:val="0"/>
              <w:snapToGrid w:val="0"/>
              <w:jc w:val="center"/>
            </w:pPr>
          </w:p>
        </w:tc>
        <w:tc>
          <w:tcPr>
            <w:tcW w:w="1905" w:type="dxa"/>
            <w:tcBorders>
              <w:tl2br w:val="nil"/>
              <w:tr2bl w:val="nil"/>
            </w:tcBorders>
            <w:vAlign w:val="center"/>
          </w:tcPr>
          <w:p w14:paraId="4F283D89" w14:textId="10DDEE9A" w:rsidR="00FB0984" w:rsidRDefault="00FB0984" w:rsidP="00FB0984">
            <w:pPr>
              <w:adjustRightInd w:val="0"/>
              <w:snapToGrid w:val="0"/>
              <w:jc w:val="center"/>
            </w:pPr>
            <w:r>
              <w:t>标准指数</w:t>
            </w:r>
          </w:p>
        </w:tc>
        <w:tc>
          <w:tcPr>
            <w:tcW w:w="2149" w:type="dxa"/>
            <w:tcBorders>
              <w:top w:val="single" w:sz="6" w:space="0" w:color="auto"/>
              <w:left w:val="nil"/>
              <w:bottom w:val="single" w:sz="6" w:space="0" w:color="auto"/>
              <w:right w:val="single" w:sz="4" w:space="0" w:color="auto"/>
            </w:tcBorders>
            <w:vAlign w:val="center"/>
          </w:tcPr>
          <w:p w14:paraId="55CD81C4" w14:textId="66C1CB38" w:rsidR="00FB0984" w:rsidRPr="000566AF" w:rsidRDefault="00FB0984" w:rsidP="00FB0984">
            <w:pPr>
              <w:widowControl/>
              <w:adjustRightInd w:val="0"/>
              <w:snapToGrid w:val="0"/>
              <w:jc w:val="center"/>
              <w:textAlignment w:val="center"/>
              <w:rPr>
                <w:kern w:val="0"/>
                <w:lang w:bidi="ar"/>
              </w:rPr>
            </w:pPr>
            <w:r w:rsidRPr="000566AF">
              <w:rPr>
                <w:rFonts w:hint="eastAsia"/>
                <w:sz w:val="22"/>
                <w:szCs w:val="22"/>
              </w:rPr>
              <w:t>0.82</w:t>
            </w:r>
          </w:p>
        </w:tc>
        <w:tc>
          <w:tcPr>
            <w:tcW w:w="2150" w:type="dxa"/>
            <w:tcBorders>
              <w:top w:val="single" w:sz="6" w:space="0" w:color="auto"/>
              <w:left w:val="single" w:sz="4" w:space="0" w:color="auto"/>
              <w:bottom w:val="single" w:sz="6" w:space="0" w:color="auto"/>
              <w:right w:val="single" w:sz="4" w:space="0" w:color="auto"/>
            </w:tcBorders>
            <w:vAlign w:val="center"/>
          </w:tcPr>
          <w:p w14:paraId="47F8239B" w14:textId="339E1336" w:rsidR="00FB0984" w:rsidRPr="000566AF" w:rsidRDefault="00FB0984" w:rsidP="00FB0984">
            <w:pPr>
              <w:widowControl/>
              <w:adjustRightInd w:val="0"/>
              <w:snapToGrid w:val="0"/>
              <w:jc w:val="center"/>
              <w:textAlignment w:val="center"/>
              <w:rPr>
                <w:kern w:val="0"/>
                <w:lang w:bidi="ar"/>
              </w:rPr>
            </w:pPr>
            <w:r w:rsidRPr="000566AF">
              <w:rPr>
                <w:rFonts w:hint="eastAsia"/>
                <w:sz w:val="22"/>
                <w:szCs w:val="22"/>
              </w:rPr>
              <w:t>0.86</w:t>
            </w:r>
          </w:p>
        </w:tc>
        <w:tc>
          <w:tcPr>
            <w:tcW w:w="2149" w:type="dxa"/>
            <w:tcBorders>
              <w:top w:val="single" w:sz="6" w:space="0" w:color="auto"/>
              <w:left w:val="single" w:sz="4" w:space="0" w:color="auto"/>
              <w:bottom w:val="single" w:sz="6" w:space="0" w:color="auto"/>
              <w:right w:val="single" w:sz="4" w:space="0" w:color="auto"/>
            </w:tcBorders>
            <w:vAlign w:val="center"/>
          </w:tcPr>
          <w:p w14:paraId="157ABE43" w14:textId="5253DFB9" w:rsidR="00FB0984" w:rsidRPr="000566AF" w:rsidRDefault="00FB0984" w:rsidP="00FB0984">
            <w:pPr>
              <w:widowControl/>
              <w:adjustRightInd w:val="0"/>
              <w:snapToGrid w:val="0"/>
              <w:jc w:val="center"/>
              <w:textAlignment w:val="center"/>
              <w:rPr>
                <w:kern w:val="0"/>
                <w:lang w:bidi="ar"/>
              </w:rPr>
            </w:pPr>
            <w:r w:rsidRPr="000566AF">
              <w:rPr>
                <w:rFonts w:hint="eastAsia"/>
                <w:sz w:val="22"/>
                <w:szCs w:val="22"/>
              </w:rPr>
              <w:t>0.79</w:t>
            </w:r>
          </w:p>
        </w:tc>
        <w:tc>
          <w:tcPr>
            <w:tcW w:w="2150" w:type="dxa"/>
            <w:tcBorders>
              <w:top w:val="single" w:sz="6" w:space="0" w:color="auto"/>
              <w:left w:val="single" w:sz="4" w:space="0" w:color="auto"/>
              <w:bottom w:val="single" w:sz="6" w:space="0" w:color="auto"/>
              <w:right w:val="nil"/>
            </w:tcBorders>
            <w:vAlign w:val="center"/>
          </w:tcPr>
          <w:p w14:paraId="20E1D8B9" w14:textId="76BAA5A1" w:rsidR="00FB0984" w:rsidRPr="000566AF" w:rsidRDefault="00FB0984" w:rsidP="00FB0984">
            <w:pPr>
              <w:widowControl/>
              <w:adjustRightInd w:val="0"/>
              <w:snapToGrid w:val="0"/>
              <w:jc w:val="center"/>
              <w:textAlignment w:val="center"/>
              <w:rPr>
                <w:kern w:val="0"/>
                <w:lang w:bidi="ar"/>
              </w:rPr>
            </w:pPr>
            <w:r w:rsidRPr="000566AF">
              <w:rPr>
                <w:rFonts w:hint="eastAsia"/>
                <w:sz w:val="22"/>
                <w:szCs w:val="22"/>
              </w:rPr>
              <w:t>0.93</w:t>
            </w:r>
          </w:p>
        </w:tc>
        <w:tc>
          <w:tcPr>
            <w:tcW w:w="1467" w:type="dxa"/>
            <w:vMerge/>
            <w:tcBorders>
              <w:tl2br w:val="nil"/>
              <w:tr2bl w:val="nil"/>
            </w:tcBorders>
            <w:vAlign w:val="center"/>
          </w:tcPr>
          <w:p w14:paraId="1343F685" w14:textId="77777777" w:rsidR="00FB0984" w:rsidRDefault="00FB0984" w:rsidP="00FB0984">
            <w:pPr>
              <w:adjustRightInd w:val="0"/>
              <w:snapToGrid w:val="0"/>
              <w:jc w:val="center"/>
            </w:pPr>
          </w:p>
        </w:tc>
      </w:tr>
      <w:tr w:rsidR="00960DCF" w14:paraId="7B48A740" w14:textId="77777777" w:rsidTr="00FB0984">
        <w:trPr>
          <w:trHeight w:val="57"/>
          <w:jc w:val="center"/>
        </w:trPr>
        <w:tc>
          <w:tcPr>
            <w:tcW w:w="1127" w:type="dxa"/>
            <w:vMerge w:val="restart"/>
            <w:tcBorders>
              <w:tl2br w:val="nil"/>
              <w:tr2bl w:val="nil"/>
            </w:tcBorders>
            <w:vAlign w:val="center"/>
          </w:tcPr>
          <w:p w14:paraId="4190F0BA" w14:textId="469310CA" w:rsidR="00960DCF" w:rsidRDefault="00960DCF" w:rsidP="00960DCF">
            <w:pPr>
              <w:widowControl/>
              <w:adjustRightInd w:val="0"/>
              <w:snapToGrid w:val="0"/>
              <w:jc w:val="center"/>
              <w:textAlignment w:val="center"/>
            </w:pPr>
            <w:r>
              <w:rPr>
                <w:rFonts w:hint="eastAsia"/>
              </w:rPr>
              <w:t>五日生化需氧量</w:t>
            </w:r>
          </w:p>
        </w:tc>
        <w:tc>
          <w:tcPr>
            <w:tcW w:w="1130" w:type="dxa"/>
            <w:vMerge w:val="restart"/>
            <w:tcBorders>
              <w:tl2br w:val="nil"/>
              <w:tr2bl w:val="nil"/>
            </w:tcBorders>
            <w:vAlign w:val="center"/>
          </w:tcPr>
          <w:p w14:paraId="706FDFE4" w14:textId="4E505BFB" w:rsidR="00960DCF" w:rsidRDefault="00960DCF" w:rsidP="00960DCF">
            <w:pPr>
              <w:adjustRightInd w:val="0"/>
              <w:snapToGrid w:val="0"/>
              <w:jc w:val="center"/>
            </w:pPr>
            <w:r>
              <w:t>mg/L</w:t>
            </w:r>
          </w:p>
        </w:tc>
        <w:tc>
          <w:tcPr>
            <w:tcW w:w="1905" w:type="dxa"/>
            <w:tcBorders>
              <w:tl2br w:val="nil"/>
              <w:tr2bl w:val="nil"/>
            </w:tcBorders>
            <w:vAlign w:val="center"/>
          </w:tcPr>
          <w:p w14:paraId="0EED233E" w14:textId="46D6F452" w:rsidR="00960DCF" w:rsidRDefault="00960DCF" w:rsidP="00960DCF">
            <w:pPr>
              <w:adjustRightInd w:val="0"/>
              <w:snapToGrid w:val="0"/>
              <w:jc w:val="center"/>
            </w:pPr>
            <w:r>
              <w:t>监测值（</w:t>
            </w:r>
            <w:r>
              <w:t>Max</w:t>
            </w:r>
            <w:r>
              <w:t>）</w:t>
            </w:r>
          </w:p>
        </w:tc>
        <w:tc>
          <w:tcPr>
            <w:tcW w:w="2149" w:type="dxa"/>
            <w:tcBorders>
              <w:top w:val="single" w:sz="6" w:space="0" w:color="auto"/>
              <w:bottom w:val="single" w:sz="6" w:space="0" w:color="auto"/>
              <w:right w:val="single" w:sz="4" w:space="0" w:color="auto"/>
              <w:tl2br w:val="nil"/>
              <w:tr2bl w:val="nil"/>
            </w:tcBorders>
            <w:vAlign w:val="center"/>
          </w:tcPr>
          <w:p w14:paraId="3A6DCD47" w14:textId="1BDCBCBC" w:rsidR="00960DCF" w:rsidRPr="000566AF" w:rsidRDefault="00960DCF" w:rsidP="00960DCF">
            <w:pPr>
              <w:widowControl/>
              <w:adjustRightInd w:val="0"/>
              <w:snapToGrid w:val="0"/>
              <w:jc w:val="center"/>
              <w:textAlignment w:val="center"/>
            </w:pPr>
            <w:r w:rsidRPr="000566AF">
              <w:rPr>
                <w:rFonts w:hint="eastAsia"/>
              </w:rPr>
              <w:t>7.8</w:t>
            </w:r>
          </w:p>
        </w:tc>
        <w:tc>
          <w:tcPr>
            <w:tcW w:w="2150" w:type="dxa"/>
            <w:tcBorders>
              <w:top w:val="single" w:sz="6" w:space="0" w:color="auto"/>
              <w:left w:val="single" w:sz="4" w:space="0" w:color="auto"/>
              <w:bottom w:val="single" w:sz="6" w:space="0" w:color="auto"/>
              <w:right w:val="single" w:sz="4" w:space="0" w:color="auto"/>
            </w:tcBorders>
            <w:vAlign w:val="center"/>
          </w:tcPr>
          <w:p w14:paraId="643B181C" w14:textId="51B23006" w:rsidR="00960DCF" w:rsidRPr="000566AF" w:rsidRDefault="00F75678" w:rsidP="00960DCF">
            <w:pPr>
              <w:widowControl/>
              <w:adjustRightInd w:val="0"/>
              <w:snapToGrid w:val="0"/>
              <w:jc w:val="center"/>
              <w:textAlignment w:val="center"/>
              <w:rPr>
                <w:kern w:val="0"/>
                <w:lang w:bidi="ar"/>
              </w:rPr>
            </w:pPr>
            <w:r w:rsidRPr="000566AF">
              <w:rPr>
                <w:rFonts w:hint="eastAsia"/>
                <w:kern w:val="0"/>
                <w:lang w:bidi="ar"/>
              </w:rPr>
              <w:t>7.7</w:t>
            </w:r>
          </w:p>
        </w:tc>
        <w:tc>
          <w:tcPr>
            <w:tcW w:w="2149" w:type="dxa"/>
            <w:tcBorders>
              <w:top w:val="single" w:sz="6" w:space="0" w:color="auto"/>
              <w:left w:val="single" w:sz="4" w:space="0" w:color="auto"/>
              <w:bottom w:val="single" w:sz="6" w:space="0" w:color="auto"/>
              <w:right w:val="single" w:sz="4" w:space="0" w:color="auto"/>
              <w:tl2br w:val="nil"/>
              <w:tr2bl w:val="nil"/>
            </w:tcBorders>
            <w:vAlign w:val="center"/>
          </w:tcPr>
          <w:p w14:paraId="2168E8C6" w14:textId="45379042" w:rsidR="00960DCF" w:rsidRPr="000566AF" w:rsidRDefault="00336A9A" w:rsidP="00960DCF">
            <w:pPr>
              <w:widowControl/>
              <w:adjustRightInd w:val="0"/>
              <w:snapToGrid w:val="0"/>
              <w:jc w:val="center"/>
              <w:textAlignment w:val="center"/>
            </w:pPr>
            <w:r w:rsidRPr="000566AF">
              <w:rPr>
                <w:rFonts w:hint="eastAsia"/>
              </w:rPr>
              <w:t>7.5</w:t>
            </w:r>
          </w:p>
        </w:tc>
        <w:tc>
          <w:tcPr>
            <w:tcW w:w="2150" w:type="dxa"/>
            <w:tcBorders>
              <w:top w:val="single" w:sz="6" w:space="0" w:color="auto"/>
              <w:left w:val="single" w:sz="4" w:space="0" w:color="auto"/>
              <w:bottom w:val="single" w:sz="6" w:space="0" w:color="auto"/>
              <w:tl2br w:val="nil"/>
              <w:tr2bl w:val="nil"/>
            </w:tcBorders>
            <w:vAlign w:val="center"/>
          </w:tcPr>
          <w:p w14:paraId="50B6AE73" w14:textId="29AB972F" w:rsidR="00960DCF" w:rsidRPr="000566AF" w:rsidRDefault="00526855" w:rsidP="00960DCF">
            <w:pPr>
              <w:widowControl/>
              <w:adjustRightInd w:val="0"/>
              <w:snapToGrid w:val="0"/>
              <w:jc w:val="center"/>
              <w:textAlignment w:val="center"/>
            </w:pPr>
            <w:r w:rsidRPr="000566AF">
              <w:rPr>
                <w:rFonts w:hint="eastAsia"/>
              </w:rPr>
              <w:t>7.7</w:t>
            </w:r>
          </w:p>
        </w:tc>
        <w:tc>
          <w:tcPr>
            <w:tcW w:w="1467" w:type="dxa"/>
            <w:vMerge w:val="restart"/>
            <w:tcBorders>
              <w:tl2br w:val="nil"/>
              <w:tr2bl w:val="nil"/>
            </w:tcBorders>
            <w:vAlign w:val="center"/>
          </w:tcPr>
          <w:p w14:paraId="0B4F464D" w14:textId="03C2800D" w:rsidR="00960DCF" w:rsidRDefault="002438F3" w:rsidP="00960DCF">
            <w:pPr>
              <w:widowControl/>
              <w:adjustRightInd w:val="0"/>
              <w:snapToGrid w:val="0"/>
              <w:jc w:val="center"/>
              <w:textAlignment w:val="center"/>
            </w:pPr>
            <w:r>
              <w:rPr>
                <w:rFonts w:hint="eastAsia"/>
                <w:color w:val="000000"/>
                <w:kern w:val="0"/>
                <w:lang w:bidi="ar"/>
              </w:rPr>
              <w:t>10</w:t>
            </w:r>
          </w:p>
        </w:tc>
      </w:tr>
      <w:tr w:rsidR="00FB0984" w14:paraId="74862B94" w14:textId="77777777" w:rsidTr="00FB0984">
        <w:trPr>
          <w:trHeight w:val="57"/>
          <w:jc w:val="center"/>
        </w:trPr>
        <w:tc>
          <w:tcPr>
            <w:tcW w:w="1127" w:type="dxa"/>
            <w:vMerge/>
            <w:tcBorders>
              <w:tl2br w:val="nil"/>
              <w:tr2bl w:val="nil"/>
            </w:tcBorders>
            <w:vAlign w:val="center"/>
          </w:tcPr>
          <w:p w14:paraId="2D4533B1" w14:textId="77777777" w:rsidR="00FB0984" w:rsidRDefault="00FB0984" w:rsidP="00FB0984">
            <w:pPr>
              <w:adjustRightInd w:val="0"/>
              <w:snapToGrid w:val="0"/>
              <w:jc w:val="center"/>
            </w:pPr>
          </w:p>
        </w:tc>
        <w:tc>
          <w:tcPr>
            <w:tcW w:w="1130" w:type="dxa"/>
            <w:vMerge/>
            <w:tcBorders>
              <w:tl2br w:val="nil"/>
              <w:tr2bl w:val="nil"/>
            </w:tcBorders>
            <w:vAlign w:val="center"/>
          </w:tcPr>
          <w:p w14:paraId="52DCE770" w14:textId="77777777" w:rsidR="00FB0984" w:rsidRDefault="00FB0984" w:rsidP="00FB0984">
            <w:pPr>
              <w:adjustRightInd w:val="0"/>
              <w:snapToGrid w:val="0"/>
              <w:jc w:val="center"/>
            </w:pPr>
          </w:p>
        </w:tc>
        <w:tc>
          <w:tcPr>
            <w:tcW w:w="1905" w:type="dxa"/>
            <w:tcBorders>
              <w:tl2br w:val="nil"/>
              <w:tr2bl w:val="nil"/>
            </w:tcBorders>
            <w:vAlign w:val="center"/>
          </w:tcPr>
          <w:p w14:paraId="7FA7A13B" w14:textId="3F67BF16" w:rsidR="00FB0984" w:rsidRDefault="00FB0984" w:rsidP="00FB0984">
            <w:pPr>
              <w:adjustRightInd w:val="0"/>
              <w:snapToGrid w:val="0"/>
              <w:jc w:val="center"/>
            </w:pPr>
            <w:r>
              <w:t>标准指数</w:t>
            </w:r>
          </w:p>
        </w:tc>
        <w:tc>
          <w:tcPr>
            <w:tcW w:w="2149" w:type="dxa"/>
            <w:tcBorders>
              <w:top w:val="single" w:sz="6" w:space="0" w:color="auto"/>
              <w:bottom w:val="single" w:sz="6" w:space="0" w:color="auto"/>
              <w:right w:val="single" w:sz="4" w:space="0" w:color="auto"/>
              <w:tl2br w:val="nil"/>
              <w:tr2bl w:val="nil"/>
            </w:tcBorders>
            <w:vAlign w:val="center"/>
          </w:tcPr>
          <w:p w14:paraId="5CE143B3" w14:textId="21AC9BE9" w:rsidR="00FB0984" w:rsidRPr="000566AF" w:rsidRDefault="00FB0984" w:rsidP="00FB0984">
            <w:pPr>
              <w:widowControl/>
              <w:adjustRightInd w:val="0"/>
              <w:snapToGrid w:val="0"/>
              <w:jc w:val="center"/>
              <w:textAlignment w:val="center"/>
            </w:pPr>
            <w:r w:rsidRPr="000566AF">
              <w:rPr>
                <w:rFonts w:hint="eastAsia"/>
                <w:sz w:val="22"/>
                <w:szCs w:val="22"/>
              </w:rPr>
              <w:t>0.78</w:t>
            </w:r>
          </w:p>
        </w:tc>
        <w:tc>
          <w:tcPr>
            <w:tcW w:w="2150" w:type="dxa"/>
            <w:tcBorders>
              <w:top w:val="single" w:sz="6" w:space="0" w:color="auto"/>
              <w:left w:val="single" w:sz="4" w:space="0" w:color="auto"/>
              <w:bottom w:val="single" w:sz="6" w:space="0" w:color="auto"/>
              <w:right w:val="single" w:sz="4" w:space="0" w:color="auto"/>
            </w:tcBorders>
            <w:vAlign w:val="center"/>
          </w:tcPr>
          <w:p w14:paraId="342FCCBC" w14:textId="75E60EFC" w:rsidR="00FB0984" w:rsidRPr="000566AF" w:rsidRDefault="00FB0984" w:rsidP="00FB0984">
            <w:pPr>
              <w:widowControl/>
              <w:adjustRightInd w:val="0"/>
              <w:snapToGrid w:val="0"/>
              <w:jc w:val="center"/>
              <w:textAlignment w:val="center"/>
              <w:rPr>
                <w:kern w:val="0"/>
                <w:lang w:bidi="ar"/>
              </w:rPr>
            </w:pPr>
            <w:r w:rsidRPr="000566AF">
              <w:rPr>
                <w:rFonts w:hint="eastAsia"/>
                <w:sz w:val="22"/>
                <w:szCs w:val="22"/>
              </w:rPr>
              <w:t>0.77</w:t>
            </w:r>
          </w:p>
        </w:tc>
        <w:tc>
          <w:tcPr>
            <w:tcW w:w="2149" w:type="dxa"/>
            <w:tcBorders>
              <w:top w:val="single" w:sz="6" w:space="0" w:color="auto"/>
              <w:left w:val="single" w:sz="4" w:space="0" w:color="auto"/>
              <w:bottom w:val="single" w:sz="6" w:space="0" w:color="auto"/>
              <w:right w:val="single" w:sz="4" w:space="0" w:color="auto"/>
              <w:tl2br w:val="nil"/>
              <w:tr2bl w:val="nil"/>
            </w:tcBorders>
            <w:vAlign w:val="center"/>
          </w:tcPr>
          <w:p w14:paraId="48EF2030" w14:textId="15D9D57B" w:rsidR="00FB0984" w:rsidRPr="000566AF" w:rsidRDefault="00FB0984" w:rsidP="00FB0984">
            <w:pPr>
              <w:widowControl/>
              <w:adjustRightInd w:val="0"/>
              <w:snapToGrid w:val="0"/>
              <w:jc w:val="center"/>
              <w:textAlignment w:val="center"/>
            </w:pPr>
            <w:r w:rsidRPr="000566AF">
              <w:rPr>
                <w:rFonts w:hint="eastAsia"/>
                <w:sz w:val="22"/>
                <w:szCs w:val="22"/>
              </w:rPr>
              <w:t>0.75</w:t>
            </w:r>
          </w:p>
        </w:tc>
        <w:tc>
          <w:tcPr>
            <w:tcW w:w="2150" w:type="dxa"/>
            <w:tcBorders>
              <w:top w:val="single" w:sz="6" w:space="0" w:color="auto"/>
              <w:left w:val="single" w:sz="4" w:space="0" w:color="auto"/>
              <w:bottom w:val="single" w:sz="6" w:space="0" w:color="auto"/>
              <w:tl2br w:val="nil"/>
              <w:tr2bl w:val="nil"/>
            </w:tcBorders>
            <w:vAlign w:val="center"/>
          </w:tcPr>
          <w:p w14:paraId="18B2BC70" w14:textId="60DF93F1" w:rsidR="00FB0984" w:rsidRPr="000566AF" w:rsidRDefault="00FB0984" w:rsidP="00FB0984">
            <w:pPr>
              <w:widowControl/>
              <w:adjustRightInd w:val="0"/>
              <w:snapToGrid w:val="0"/>
              <w:jc w:val="center"/>
              <w:textAlignment w:val="center"/>
            </w:pPr>
            <w:r w:rsidRPr="000566AF">
              <w:rPr>
                <w:rFonts w:hint="eastAsia"/>
                <w:sz w:val="22"/>
                <w:szCs w:val="22"/>
              </w:rPr>
              <w:t>0.77</w:t>
            </w:r>
          </w:p>
        </w:tc>
        <w:tc>
          <w:tcPr>
            <w:tcW w:w="1467" w:type="dxa"/>
            <w:vMerge/>
            <w:tcBorders>
              <w:tl2br w:val="nil"/>
              <w:tr2bl w:val="nil"/>
            </w:tcBorders>
            <w:vAlign w:val="center"/>
          </w:tcPr>
          <w:p w14:paraId="1BF3D6DA" w14:textId="77777777" w:rsidR="00FB0984" w:rsidRDefault="00FB0984" w:rsidP="00FB0984">
            <w:pPr>
              <w:adjustRightInd w:val="0"/>
              <w:snapToGrid w:val="0"/>
              <w:jc w:val="center"/>
            </w:pPr>
          </w:p>
        </w:tc>
      </w:tr>
      <w:tr w:rsidR="00960DCF" w14:paraId="4C9522C7" w14:textId="77777777" w:rsidTr="00FB0984">
        <w:trPr>
          <w:trHeight w:val="57"/>
          <w:jc w:val="center"/>
        </w:trPr>
        <w:tc>
          <w:tcPr>
            <w:tcW w:w="1127" w:type="dxa"/>
            <w:vMerge w:val="restart"/>
            <w:tcBorders>
              <w:tl2br w:val="nil"/>
              <w:tr2bl w:val="nil"/>
            </w:tcBorders>
            <w:vAlign w:val="center"/>
          </w:tcPr>
          <w:p w14:paraId="67F01430" w14:textId="276CF6A4" w:rsidR="00960DCF" w:rsidRDefault="00960DCF" w:rsidP="00960DCF">
            <w:pPr>
              <w:widowControl/>
              <w:adjustRightInd w:val="0"/>
              <w:snapToGrid w:val="0"/>
              <w:jc w:val="center"/>
              <w:textAlignment w:val="center"/>
            </w:pPr>
            <w:r>
              <w:rPr>
                <w:rFonts w:hint="eastAsia"/>
                <w:color w:val="000000"/>
                <w:kern w:val="0"/>
                <w:lang w:bidi="ar"/>
              </w:rPr>
              <w:t>总磷</w:t>
            </w:r>
          </w:p>
        </w:tc>
        <w:tc>
          <w:tcPr>
            <w:tcW w:w="1130" w:type="dxa"/>
            <w:vMerge w:val="restart"/>
            <w:tcBorders>
              <w:tl2br w:val="nil"/>
              <w:tr2bl w:val="nil"/>
            </w:tcBorders>
            <w:vAlign w:val="center"/>
          </w:tcPr>
          <w:p w14:paraId="00436768" w14:textId="757EE002" w:rsidR="00960DCF" w:rsidRDefault="00960DCF" w:rsidP="00960DCF">
            <w:pPr>
              <w:adjustRightInd w:val="0"/>
              <w:snapToGrid w:val="0"/>
              <w:jc w:val="center"/>
            </w:pPr>
            <w:r>
              <w:rPr>
                <w:color w:val="000000"/>
                <w:kern w:val="0"/>
                <w:lang w:bidi="ar"/>
              </w:rPr>
              <w:t>mg/L</w:t>
            </w:r>
          </w:p>
        </w:tc>
        <w:tc>
          <w:tcPr>
            <w:tcW w:w="1905" w:type="dxa"/>
            <w:tcBorders>
              <w:tl2br w:val="nil"/>
              <w:tr2bl w:val="nil"/>
            </w:tcBorders>
            <w:vAlign w:val="center"/>
          </w:tcPr>
          <w:p w14:paraId="34E2BED3" w14:textId="709C22A0" w:rsidR="00960DCF" w:rsidRDefault="00960DCF" w:rsidP="00960DCF">
            <w:pPr>
              <w:adjustRightInd w:val="0"/>
              <w:snapToGrid w:val="0"/>
              <w:jc w:val="center"/>
            </w:pPr>
            <w:r>
              <w:t>监测值（</w:t>
            </w:r>
            <w:r>
              <w:t>Max</w:t>
            </w:r>
            <w:r>
              <w:t>）</w:t>
            </w:r>
          </w:p>
        </w:tc>
        <w:tc>
          <w:tcPr>
            <w:tcW w:w="2149" w:type="dxa"/>
            <w:tcBorders>
              <w:top w:val="single" w:sz="6" w:space="0" w:color="auto"/>
              <w:bottom w:val="single" w:sz="6" w:space="0" w:color="auto"/>
              <w:right w:val="single" w:sz="4" w:space="0" w:color="auto"/>
              <w:tl2br w:val="nil"/>
              <w:tr2bl w:val="nil"/>
            </w:tcBorders>
            <w:vAlign w:val="center"/>
          </w:tcPr>
          <w:p w14:paraId="79BF6769" w14:textId="7EE833C7" w:rsidR="00960DCF" w:rsidRPr="000566AF" w:rsidRDefault="00960DCF" w:rsidP="00960DCF">
            <w:pPr>
              <w:widowControl/>
              <w:adjustRightInd w:val="0"/>
              <w:snapToGrid w:val="0"/>
              <w:jc w:val="center"/>
              <w:textAlignment w:val="center"/>
            </w:pPr>
            <w:r w:rsidRPr="000566AF">
              <w:rPr>
                <w:rFonts w:hint="eastAsia"/>
                <w:kern w:val="0"/>
                <w:lang w:bidi="ar"/>
              </w:rPr>
              <w:t>0.26</w:t>
            </w:r>
          </w:p>
        </w:tc>
        <w:tc>
          <w:tcPr>
            <w:tcW w:w="2150" w:type="dxa"/>
            <w:tcBorders>
              <w:top w:val="single" w:sz="6" w:space="0" w:color="auto"/>
              <w:left w:val="single" w:sz="4" w:space="0" w:color="auto"/>
              <w:bottom w:val="single" w:sz="6" w:space="0" w:color="auto"/>
              <w:right w:val="single" w:sz="4" w:space="0" w:color="auto"/>
            </w:tcBorders>
            <w:vAlign w:val="center"/>
          </w:tcPr>
          <w:p w14:paraId="706BEE14" w14:textId="7C584BF6" w:rsidR="00960DCF" w:rsidRPr="000566AF" w:rsidRDefault="00336A9A" w:rsidP="00960DCF">
            <w:pPr>
              <w:widowControl/>
              <w:adjustRightInd w:val="0"/>
              <w:snapToGrid w:val="0"/>
              <w:jc w:val="center"/>
              <w:textAlignment w:val="center"/>
              <w:rPr>
                <w:kern w:val="0"/>
                <w:lang w:bidi="ar"/>
              </w:rPr>
            </w:pPr>
            <w:r w:rsidRPr="000566AF">
              <w:rPr>
                <w:rFonts w:hint="eastAsia"/>
                <w:kern w:val="0"/>
                <w:lang w:bidi="ar"/>
              </w:rPr>
              <w:t>0.25</w:t>
            </w:r>
          </w:p>
        </w:tc>
        <w:tc>
          <w:tcPr>
            <w:tcW w:w="2149" w:type="dxa"/>
            <w:tcBorders>
              <w:top w:val="single" w:sz="6" w:space="0" w:color="auto"/>
              <w:left w:val="single" w:sz="4" w:space="0" w:color="auto"/>
              <w:bottom w:val="single" w:sz="6" w:space="0" w:color="auto"/>
              <w:right w:val="single" w:sz="4" w:space="0" w:color="auto"/>
              <w:tl2br w:val="nil"/>
              <w:tr2bl w:val="nil"/>
            </w:tcBorders>
            <w:vAlign w:val="center"/>
          </w:tcPr>
          <w:p w14:paraId="3EEF2FAA" w14:textId="6BD96177" w:rsidR="00960DCF" w:rsidRPr="000566AF" w:rsidRDefault="00336A9A" w:rsidP="00960DCF">
            <w:pPr>
              <w:widowControl/>
              <w:adjustRightInd w:val="0"/>
              <w:snapToGrid w:val="0"/>
              <w:jc w:val="center"/>
              <w:textAlignment w:val="center"/>
            </w:pPr>
            <w:r w:rsidRPr="000566AF">
              <w:rPr>
                <w:rFonts w:hint="eastAsia"/>
              </w:rPr>
              <w:t>0.28</w:t>
            </w:r>
          </w:p>
        </w:tc>
        <w:tc>
          <w:tcPr>
            <w:tcW w:w="2150" w:type="dxa"/>
            <w:tcBorders>
              <w:top w:val="single" w:sz="6" w:space="0" w:color="auto"/>
              <w:left w:val="single" w:sz="4" w:space="0" w:color="auto"/>
              <w:bottom w:val="single" w:sz="6" w:space="0" w:color="auto"/>
              <w:tl2br w:val="nil"/>
              <w:tr2bl w:val="nil"/>
            </w:tcBorders>
            <w:vAlign w:val="center"/>
          </w:tcPr>
          <w:p w14:paraId="790464CC" w14:textId="3A7CF884" w:rsidR="00960DCF" w:rsidRPr="000566AF" w:rsidRDefault="00526855" w:rsidP="00960DCF">
            <w:pPr>
              <w:widowControl/>
              <w:adjustRightInd w:val="0"/>
              <w:snapToGrid w:val="0"/>
              <w:jc w:val="center"/>
              <w:textAlignment w:val="center"/>
            </w:pPr>
            <w:r w:rsidRPr="000566AF">
              <w:rPr>
                <w:rFonts w:hint="eastAsia"/>
              </w:rPr>
              <w:t>0.30</w:t>
            </w:r>
          </w:p>
        </w:tc>
        <w:tc>
          <w:tcPr>
            <w:tcW w:w="1467" w:type="dxa"/>
            <w:vMerge w:val="restart"/>
            <w:tcBorders>
              <w:tl2br w:val="nil"/>
              <w:tr2bl w:val="nil"/>
            </w:tcBorders>
            <w:vAlign w:val="center"/>
          </w:tcPr>
          <w:p w14:paraId="389BD05C" w14:textId="368CAB27" w:rsidR="00960DCF" w:rsidRPr="00A11B36" w:rsidRDefault="00A11B36" w:rsidP="00A11B36">
            <w:pPr>
              <w:widowControl/>
              <w:adjustRightInd w:val="0"/>
              <w:snapToGrid w:val="0"/>
              <w:jc w:val="center"/>
              <w:textAlignment w:val="center"/>
              <w:rPr>
                <w:color w:val="000000"/>
                <w:kern w:val="0"/>
                <w:lang w:bidi="ar"/>
              </w:rPr>
            </w:pPr>
            <w:r>
              <w:rPr>
                <w:rFonts w:hint="eastAsia"/>
                <w:color w:val="000000"/>
                <w:kern w:val="0"/>
                <w:lang w:bidi="ar"/>
              </w:rPr>
              <w:t>0.2</w:t>
            </w:r>
            <w:r>
              <w:rPr>
                <w:rFonts w:hint="eastAsia"/>
                <w:color w:val="000000"/>
                <w:kern w:val="0"/>
                <w:lang w:bidi="ar"/>
              </w:rPr>
              <w:t>（河流</w:t>
            </w:r>
            <w:r>
              <w:rPr>
                <w:rFonts w:hint="eastAsia"/>
                <w:color w:val="000000"/>
                <w:kern w:val="0"/>
                <w:lang w:bidi="ar"/>
              </w:rPr>
              <w:t>0.4</w:t>
            </w:r>
            <w:r>
              <w:rPr>
                <w:rFonts w:hint="eastAsia"/>
                <w:color w:val="000000"/>
                <w:kern w:val="0"/>
                <w:lang w:bidi="ar"/>
              </w:rPr>
              <w:t>）</w:t>
            </w:r>
          </w:p>
        </w:tc>
      </w:tr>
      <w:tr w:rsidR="00FB0984" w14:paraId="7DE81DFB" w14:textId="77777777" w:rsidTr="00FB0984">
        <w:trPr>
          <w:trHeight w:val="57"/>
          <w:jc w:val="center"/>
        </w:trPr>
        <w:tc>
          <w:tcPr>
            <w:tcW w:w="1127" w:type="dxa"/>
            <w:vMerge/>
            <w:tcBorders>
              <w:tl2br w:val="nil"/>
              <w:tr2bl w:val="nil"/>
            </w:tcBorders>
            <w:vAlign w:val="center"/>
          </w:tcPr>
          <w:p w14:paraId="1063FF77" w14:textId="77777777" w:rsidR="00FB0984" w:rsidRDefault="00FB0984" w:rsidP="00FB0984">
            <w:pPr>
              <w:adjustRightInd w:val="0"/>
              <w:snapToGrid w:val="0"/>
              <w:jc w:val="center"/>
            </w:pPr>
          </w:p>
        </w:tc>
        <w:tc>
          <w:tcPr>
            <w:tcW w:w="1130" w:type="dxa"/>
            <w:vMerge/>
            <w:tcBorders>
              <w:tl2br w:val="nil"/>
              <w:tr2bl w:val="nil"/>
            </w:tcBorders>
            <w:vAlign w:val="center"/>
          </w:tcPr>
          <w:p w14:paraId="674C4388" w14:textId="77777777" w:rsidR="00FB0984" w:rsidRDefault="00FB0984" w:rsidP="00FB0984">
            <w:pPr>
              <w:adjustRightInd w:val="0"/>
              <w:snapToGrid w:val="0"/>
              <w:jc w:val="center"/>
            </w:pPr>
          </w:p>
        </w:tc>
        <w:tc>
          <w:tcPr>
            <w:tcW w:w="1905" w:type="dxa"/>
            <w:tcBorders>
              <w:tl2br w:val="nil"/>
              <w:tr2bl w:val="nil"/>
            </w:tcBorders>
            <w:vAlign w:val="center"/>
          </w:tcPr>
          <w:p w14:paraId="73C7A74C" w14:textId="747AC753" w:rsidR="00FB0984" w:rsidRDefault="00FB0984" w:rsidP="00FB0984">
            <w:pPr>
              <w:adjustRightInd w:val="0"/>
              <w:snapToGrid w:val="0"/>
              <w:jc w:val="center"/>
            </w:pPr>
            <w:r>
              <w:t>标准指数</w:t>
            </w:r>
          </w:p>
        </w:tc>
        <w:tc>
          <w:tcPr>
            <w:tcW w:w="2149" w:type="dxa"/>
            <w:tcBorders>
              <w:top w:val="single" w:sz="6" w:space="0" w:color="auto"/>
              <w:left w:val="nil"/>
              <w:bottom w:val="single" w:sz="6" w:space="0" w:color="auto"/>
              <w:right w:val="single" w:sz="4" w:space="0" w:color="auto"/>
            </w:tcBorders>
            <w:vAlign w:val="center"/>
          </w:tcPr>
          <w:p w14:paraId="4D6A0838" w14:textId="1204FCF3" w:rsidR="00FB0984" w:rsidRPr="000566AF" w:rsidRDefault="00FB0984" w:rsidP="00FB0984">
            <w:pPr>
              <w:widowControl/>
              <w:adjustRightInd w:val="0"/>
              <w:snapToGrid w:val="0"/>
              <w:jc w:val="center"/>
              <w:textAlignment w:val="center"/>
            </w:pPr>
            <w:r w:rsidRPr="000566AF">
              <w:rPr>
                <w:rFonts w:hint="eastAsia"/>
                <w:sz w:val="22"/>
                <w:szCs w:val="22"/>
              </w:rPr>
              <w:t>0.65</w:t>
            </w:r>
          </w:p>
        </w:tc>
        <w:tc>
          <w:tcPr>
            <w:tcW w:w="2150" w:type="dxa"/>
            <w:tcBorders>
              <w:top w:val="single" w:sz="6" w:space="0" w:color="auto"/>
              <w:left w:val="single" w:sz="4" w:space="0" w:color="auto"/>
              <w:bottom w:val="single" w:sz="6" w:space="0" w:color="auto"/>
              <w:right w:val="single" w:sz="4" w:space="0" w:color="auto"/>
            </w:tcBorders>
            <w:vAlign w:val="center"/>
          </w:tcPr>
          <w:p w14:paraId="53A700A6" w14:textId="6468B0CB" w:rsidR="00FB0984" w:rsidRPr="000566AF" w:rsidRDefault="00FB0984" w:rsidP="00FB0984">
            <w:pPr>
              <w:widowControl/>
              <w:adjustRightInd w:val="0"/>
              <w:snapToGrid w:val="0"/>
              <w:jc w:val="center"/>
              <w:textAlignment w:val="center"/>
              <w:rPr>
                <w:kern w:val="0"/>
                <w:lang w:bidi="ar"/>
              </w:rPr>
            </w:pPr>
            <w:r w:rsidRPr="000566AF">
              <w:rPr>
                <w:rFonts w:hint="eastAsia"/>
                <w:sz w:val="22"/>
                <w:szCs w:val="22"/>
              </w:rPr>
              <w:t>1.25</w:t>
            </w:r>
          </w:p>
        </w:tc>
        <w:tc>
          <w:tcPr>
            <w:tcW w:w="2149" w:type="dxa"/>
            <w:tcBorders>
              <w:top w:val="single" w:sz="6" w:space="0" w:color="auto"/>
              <w:left w:val="single" w:sz="4" w:space="0" w:color="auto"/>
              <w:bottom w:val="single" w:sz="6" w:space="0" w:color="auto"/>
              <w:right w:val="single" w:sz="4" w:space="0" w:color="auto"/>
            </w:tcBorders>
            <w:vAlign w:val="center"/>
          </w:tcPr>
          <w:p w14:paraId="77CA1EB0" w14:textId="1F5356A1" w:rsidR="00FB0984" w:rsidRPr="000566AF" w:rsidRDefault="00FB0984" w:rsidP="00FB0984">
            <w:pPr>
              <w:widowControl/>
              <w:adjustRightInd w:val="0"/>
              <w:snapToGrid w:val="0"/>
              <w:jc w:val="center"/>
              <w:textAlignment w:val="center"/>
            </w:pPr>
            <w:r w:rsidRPr="000566AF">
              <w:rPr>
                <w:rFonts w:hint="eastAsia"/>
                <w:sz w:val="22"/>
                <w:szCs w:val="22"/>
              </w:rPr>
              <w:t>1.4</w:t>
            </w:r>
          </w:p>
        </w:tc>
        <w:tc>
          <w:tcPr>
            <w:tcW w:w="2150" w:type="dxa"/>
            <w:tcBorders>
              <w:top w:val="single" w:sz="6" w:space="0" w:color="auto"/>
              <w:left w:val="single" w:sz="4" w:space="0" w:color="auto"/>
              <w:bottom w:val="single" w:sz="6" w:space="0" w:color="auto"/>
              <w:right w:val="nil"/>
            </w:tcBorders>
            <w:vAlign w:val="center"/>
          </w:tcPr>
          <w:p w14:paraId="200837AE" w14:textId="5B2F3421" w:rsidR="00FB0984" w:rsidRPr="000566AF" w:rsidRDefault="00FB0984" w:rsidP="00FB0984">
            <w:pPr>
              <w:widowControl/>
              <w:adjustRightInd w:val="0"/>
              <w:snapToGrid w:val="0"/>
              <w:jc w:val="center"/>
              <w:textAlignment w:val="center"/>
            </w:pPr>
            <w:r w:rsidRPr="000566AF">
              <w:rPr>
                <w:rFonts w:hint="eastAsia"/>
                <w:sz w:val="22"/>
                <w:szCs w:val="22"/>
              </w:rPr>
              <w:t>1.5</w:t>
            </w:r>
          </w:p>
        </w:tc>
        <w:tc>
          <w:tcPr>
            <w:tcW w:w="1467" w:type="dxa"/>
            <w:vMerge/>
            <w:tcBorders>
              <w:tl2br w:val="nil"/>
              <w:tr2bl w:val="nil"/>
            </w:tcBorders>
            <w:vAlign w:val="center"/>
          </w:tcPr>
          <w:p w14:paraId="764CDDDB" w14:textId="77777777" w:rsidR="00FB0984" w:rsidRDefault="00FB0984" w:rsidP="00FB0984">
            <w:pPr>
              <w:adjustRightInd w:val="0"/>
              <w:snapToGrid w:val="0"/>
              <w:jc w:val="center"/>
            </w:pPr>
          </w:p>
        </w:tc>
      </w:tr>
      <w:tr w:rsidR="00960DCF" w14:paraId="2FCC3629" w14:textId="77777777" w:rsidTr="00FB0984">
        <w:trPr>
          <w:trHeight w:val="57"/>
          <w:jc w:val="center"/>
        </w:trPr>
        <w:tc>
          <w:tcPr>
            <w:tcW w:w="1127" w:type="dxa"/>
            <w:vMerge w:val="restart"/>
            <w:vAlign w:val="center"/>
          </w:tcPr>
          <w:p w14:paraId="1DACFEDB" w14:textId="2DB41215" w:rsidR="00960DCF" w:rsidRPr="00FB0984" w:rsidRDefault="00960DCF" w:rsidP="00960DCF">
            <w:pPr>
              <w:widowControl/>
              <w:adjustRightInd w:val="0"/>
              <w:snapToGrid w:val="0"/>
              <w:jc w:val="center"/>
              <w:textAlignment w:val="center"/>
            </w:pPr>
            <w:r w:rsidRPr="00FB0984">
              <w:rPr>
                <w:bCs/>
              </w:rPr>
              <w:t>阴离子表面活性剂</w:t>
            </w:r>
          </w:p>
        </w:tc>
        <w:tc>
          <w:tcPr>
            <w:tcW w:w="1130" w:type="dxa"/>
            <w:vMerge w:val="restart"/>
            <w:tcBorders>
              <w:tl2br w:val="nil"/>
              <w:tr2bl w:val="nil"/>
            </w:tcBorders>
            <w:vAlign w:val="center"/>
          </w:tcPr>
          <w:p w14:paraId="10B9CFD5" w14:textId="77777777" w:rsidR="00960DCF" w:rsidRPr="00FB0984" w:rsidRDefault="00960DCF" w:rsidP="00960DCF">
            <w:pPr>
              <w:adjustRightInd w:val="0"/>
              <w:snapToGrid w:val="0"/>
              <w:jc w:val="center"/>
            </w:pPr>
            <w:r w:rsidRPr="00FB0984">
              <w:t>mg/L</w:t>
            </w:r>
          </w:p>
        </w:tc>
        <w:tc>
          <w:tcPr>
            <w:tcW w:w="1905" w:type="dxa"/>
            <w:tcBorders>
              <w:tl2br w:val="nil"/>
              <w:tr2bl w:val="nil"/>
            </w:tcBorders>
            <w:vAlign w:val="center"/>
          </w:tcPr>
          <w:p w14:paraId="4366E1AA" w14:textId="77777777" w:rsidR="00960DCF" w:rsidRDefault="00960DCF" w:rsidP="00960DCF">
            <w:pPr>
              <w:adjustRightInd w:val="0"/>
              <w:snapToGrid w:val="0"/>
              <w:jc w:val="center"/>
            </w:pPr>
            <w:r>
              <w:t>监测值（</w:t>
            </w:r>
            <w:r>
              <w:t>Max</w:t>
            </w:r>
            <w:r>
              <w:t>）</w:t>
            </w:r>
          </w:p>
        </w:tc>
        <w:tc>
          <w:tcPr>
            <w:tcW w:w="2149" w:type="dxa"/>
            <w:tcBorders>
              <w:top w:val="single" w:sz="6" w:space="0" w:color="auto"/>
              <w:bottom w:val="single" w:sz="6" w:space="0" w:color="auto"/>
              <w:right w:val="single" w:sz="4" w:space="0" w:color="auto"/>
              <w:tl2br w:val="nil"/>
              <w:tr2bl w:val="nil"/>
            </w:tcBorders>
            <w:vAlign w:val="center"/>
          </w:tcPr>
          <w:p w14:paraId="5CEC14F1" w14:textId="61F029A2" w:rsidR="00960DCF" w:rsidRDefault="00960DCF" w:rsidP="00960DCF">
            <w:pPr>
              <w:widowControl/>
              <w:adjustRightInd w:val="0"/>
              <w:snapToGrid w:val="0"/>
              <w:jc w:val="center"/>
              <w:textAlignment w:val="center"/>
            </w:pPr>
            <w:r>
              <w:rPr>
                <w:rFonts w:hint="eastAsia"/>
                <w:color w:val="000000"/>
                <w:kern w:val="0"/>
                <w:lang w:bidi="ar"/>
              </w:rPr>
              <w:t>0.131</w:t>
            </w:r>
          </w:p>
        </w:tc>
        <w:tc>
          <w:tcPr>
            <w:tcW w:w="2150" w:type="dxa"/>
            <w:tcBorders>
              <w:top w:val="single" w:sz="6" w:space="0" w:color="auto"/>
              <w:left w:val="single" w:sz="4" w:space="0" w:color="auto"/>
              <w:bottom w:val="single" w:sz="6" w:space="0" w:color="auto"/>
              <w:right w:val="single" w:sz="4" w:space="0" w:color="auto"/>
            </w:tcBorders>
            <w:vAlign w:val="center"/>
          </w:tcPr>
          <w:p w14:paraId="487CFA3B" w14:textId="24358E8F" w:rsidR="00960DCF" w:rsidRDefault="00F75678" w:rsidP="00960DCF">
            <w:pPr>
              <w:widowControl/>
              <w:adjustRightInd w:val="0"/>
              <w:snapToGrid w:val="0"/>
              <w:jc w:val="center"/>
              <w:textAlignment w:val="center"/>
              <w:rPr>
                <w:color w:val="000000"/>
                <w:kern w:val="0"/>
                <w:lang w:bidi="ar"/>
              </w:rPr>
            </w:pPr>
            <w:r>
              <w:rPr>
                <w:rFonts w:hint="eastAsia"/>
                <w:color w:val="000000"/>
                <w:kern w:val="0"/>
                <w:lang w:bidi="ar"/>
              </w:rPr>
              <w:t>0.154</w:t>
            </w:r>
          </w:p>
        </w:tc>
        <w:tc>
          <w:tcPr>
            <w:tcW w:w="2149" w:type="dxa"/>
            <w:tcBorders>
              <w:top w:val="single" w:sz="6" w:space="0" w:color="auto"/>
              <w:left w:val="single" w:sz="4" w:space="0" w:color="auto"/>
              <w:bottom w:val="single" w:sz="6" w:space="0" w:color="auto"/>
              <w:right w:val="single" w:sz="4" w:space="0" w:color="auto"/>
              <w:tl2br w:val="nil"/>
              <w:tr2bl w:val="nil"/>
            </w:tcBorders>
            <w:vAlign w:val="center"/>
          </w:tcPr>
          <w:p w14:paraId="67EC47C0" w14:textId="5A6633F1" w:rsidR="00960DCF" w:rsidRDefault="00336A9A" w:rsidP="00960DCF">
            <w:pPr>
              <w:widowControl/>
              <w:adjustRightInd w:val="0"/>
              <w:snapToGrid w:val="0"/>
              <w:jc w:val="center"/>
              <w:textAlignment w:val="center"/>
            </w:pPr>
            <w:r>
              <w:rPr>
                <w:rFonts w:hint="eastAsia"/>
              </w:rPr>
              <w:t>0.111</w:t>
            </w:r>
          </w:p>
        </w:tc>
        <w:tc>
          <w:tcPr>
            <w:tcW w:w="2150" w:type="dxa"/>
            <w:tcBorders>
              <w:top w:val="single" w:sz="6" w:space="0" w:color="auto"/>
              <w:left w:val="single" w:sz="4" w:space="0" w:color="auto"/>
              <w:bottom w:val="single" w:sz="6" w:space="0" w:color="auto"/>
              <w:tl2br w:val="nil"/>
              <w:tr2bl w:val="nil"/>
            </w:tcBorders>
            <w:vAlign w:val="center"/>
          </w:tcPr>
          <w:p w14:paraId="6E8987A9" w14:textId="15D5EBFC" w:rsidR="00960DCF" w:rsidRDefault="00526855" w:rsidP="00960DCF">
            <w:pPr>
              <w:widowControl/>
              <w:adjustRightInd w:val="0"/>
              <w:snapToGrid w:val="0"/>
              <w:jc w:val="center"/>
              <w:textAlignment w:val="center"/>
            </w:pPr>
            <w:r>
              <w:rPr>
                <w:rFonts w:hint="eastAsia"/>
              </w:rPr>
              <w:t>0.097</w:t>
            </w:r>
          </w:p>
        </w:tc>
        <w:tc>
          <w:tcPr>
            <w:tcW w:w="1467" w:type="dxa"/>
            <w:vMerge w:val="restart"/>
            <w:tcBorders>
              <w:tl2br w:val="nil"/>
              <w:tr2bl w:val="nil"/>
            </w:tcBorders>
            <w:vAlign w:val="center"/>
          </w:tcPr>
          <w:p w14:paraId="2D26425A" w14:textId="5602EA5F" w:rsidR="00960DCF" w:rsidRDefault="00A11B36" w:rsidP="00960DCF">
            <w:pPr>
              <w:widowControl/>
              <w:adjustRightInd w:val="0"/>
              <w:snapToGrid w:val="0"/>
              <w:jc w:val="center"/>
              <w:textAlignment w:val="center"/>
            </w:pPr>
            <w:r>
              <w:rPr>
                <w:rFonts w:hint="eastAsia"/>
                <w:color w:val="000000"/>
                <w:kern w:val="0"/>
                <w:lang w:bidi="ar"/>
              </w:rPr>
              <w:t>0.3</w:t>
            </w:r>
          </w:p>
        </w:tc>
      </w:tr>
      <w:tr w:rsidR="00FB0984" w14:paraId="54EEDD87" w14:textId="77777777" w:rsidTr="00FB0984">
        <w:trPr>
          <w:trHeight w:val="57"/>
          <w:jc w:val="center"/>
        </w:trPr>
        <w:tc>
          <w:tcPr>
            <w:tcW w:w="1127" w:type="dxa"/>
            <w:vMerge/>
            <w:vAlign w:val="center"/>
          </w:tcPr>
          <w:p w14:paraId="484696F7" w14:textId="77777777" w:rsidR="00FB0984" w:rsidRPr="00FB0984" w:rsidRDefault="00FB0984" w:rsidP="00FB0984">
            <w:pPr>
              <w:adjustRightInd w:val="0"/>
              <w:snapToGrid w:val="0"/>
              <w:jc w:val="center"/>
            </w:pPr>
          </w:p>
        </w:tc>
        <w:tc>
          <w:tcPr>
            <w:tcW w:w="1130" w:type="dxa"/>
            <w:vMerge/>
            <w:tcBorders>
              <w:tl2br w:val="nil"/>
              <w:tr2bl w:val="nil"/>
            </w:tcBorders>
            <w:vAlign w:val="center"/>
          </w:tcPr>
          <w:p w14:paraId="571A53ED" w14:textId="77777777" w:rsidR="00FB0984" w:rsidRPr="00FB0984" w:rsidRDefault="00FB0984" w:rsidP="00FB0984">
            <w:pPr>
              <w:adjustRightInd w:val="0"/>
              <w:snapToGrid w:val="0"/>
              <w:jc w:val="center"/>
            </w:pPr>
          </w:p>
        </w:tc>
        <w:tc>
          <w:tcPr>
            <w:tcW w:w="1905" w:type="dxa"/>
            <w:tcBorders>
              <w:tl2br w:val="nil"/>
              <w:tr2bl w:val="nil"/>
            </w:tcBorders>
            <w:vAlign w:val="center"/>
          </w:tcPr>
          <w:p w14:paraId="28128EE7" w14:textId="77777777" w:rsidR="00FB0984" w:rsidRDefault="00FB0984" w:rsidP="00FB0984">
            <w:pPr>
              <w:adjustRightInd w:val="0"/>
              <w:snapToGrid w:val="0"/>
              <w:jc w:val="center"/>
            </w:pPr>
            <w:r>
              <w:t>标准指数</w:t>
            </w:r>
          </w:p>
        </w:tc>
        <w:tc>
          <w:tcPr>
            <w:tcW w:w="2149" w:type="dxa"/>
            <w:tcBorders>
              <w:top w:val="single" w:sz="6" w:space="0" w:color="auto"/>
              <w:left w:val="nil"/>
              <w:bottom w:val="single" w:sz="6" w:space="0" w:color="auto"/>
              <w:right w:val="single" w:sz="4" w:space="0" w:color="auto"/>
            </w:tcBorders>
            <w:vAlign w:val="center"/>
          </w:tcPr>
          <w:p w14:paraId="6B010BA8" w14:textId="4E99BC7D" w:rsidR="00FB0984" w:rsidRDefault="00FB0984" w:rsidP="00FB0984">
            <w:pPr>
              <w:widowControl/>
              <w:adjustRightInd w:val="0"/>
              <w:snapToGrid w:val="0"/>
              <w:jc w:val="center"/>
              <w:textAlignment w:val="center"/>
            </w:pPr>
            <w:r>
              <w:rPr>
                <w:rFonts w:hint="eastAsia"/>
                <w:color w:val="000000"/>
                <w:sz w:val="22"/>
                <w:szCs w:val="22"/>
              </w:rPr>
              <w:t xml:space="preserve">0.44 </w:t>
            </w:r>
          </w:p>
        </w:tc>
        <w:tc>
          <w:tcPr>
            <w:tcW w:w="2150" w:type="dxa"/>
            <w:tcBorders>
              <w:top w:val="single" w:sz="6" w:space="0" w:color="auto"/>
              <w:left w:val="single" w:sz="4" w:space="0" w:color="auto"/>
              <w:bottom w:val="single" w:sz="6" w:space="0" w:color="auto"/>
              <w:right w:val="single" w:sz="4" w:space="0" w:color="auto"/>
            </w:tcBorders>
            <w:vAlign w:val="center"/>
          </w:tcPr>
          <w:p w14:paraId="5FB45D4E" w14:textId="7AE0F302" w:rsidR="00FB0984" w:rsidRDefault="00FB0984" w:rsidP="00FB0984">
            <w:pPr>
              <w:widowControl/>
              <w:adjustRightInd w:val="0"/>
              <w:snapToGrid w:val="0"/>
              <w:jc w:val="center"/>
              <w:textAlignment w:val="center"/>
              <w:rPr>
                <w:color w:val="000000"/>
                <w:kern w:val="0"/>
                <w:lang w:bidi="ar"/>
              </w:rPr>
            </w:pPr>
            <w:r>
              <w:rPr>
                <w:rFonts w:hint="eastAsia"/>
                <w:color w:val="000000"/>
                <w:sz w:val="22"/>
                <w:szCs w:val="22"/>
              </w:rPr>
              <w:t xml:space="preserve">0.51 </w:t>
            </w:r>
          </w:p>
        </w:tc>
        <w:tc>
          <w:tcPr>
            <w:tcW w:w="2149" w:type="dxa"/>
            <w:tcBorders>
              <w:top w:val="single" w:sz="6" w:space="0" w:color="auto"/>
              <w:left w:val="single" w:sz="4" w:space="0" w:color="auto"/>
              <w:bottom w:val="single" w:sz="6" w:space="0" w:color="auto"/>
              <w:right w:val="single" w:sz="4" w:space="0" w:color="auto"/>
            </w:tcBorders>
            <w:vAlign w:val="center"/>
          </w:tcPr>
          <w:p w14:paraId="222920C6" w14:textId="22D77E47" w:rsidR="00FB0984" w:rsidRDefault="00FB0984" w:rsidP="00FB0984">
            <w:pPr>
              <w:widowControl/>
              <w:adjustRightInd w:val="0"/>
              <w:snapToGrid w:val="0"/>
              <w:jc w:val="center"/>
              <w:textAlignment w:val="center"/>
            </w:pPr>
            <w:r>
              <w:rPr>
                <w:rFonts w:hint="eastAsia"/>
                <w:color w:val="000000"/>
                <w:sz w:val="22"/>
                <w:szCs w:val="22"/>
              </w:rPr>
              <w:t xml:space="preserve">0.37 </w:t>
            </w:r>
          </w:p>
        </w:tc>
        <w:tc>
          <w:tcPr>
            <w:tcW w:w="2150" w:type="dxa"/>
            <w:tcBorders>
              <w:top w:val="single" w:sz="6" w:space="0" w:color="auto"/>
              <w:left w:val="single" w:sz="4" w:space="0" w:color="auto"/>
              <w:bottom w:val="single" w:sz="6" w:space="0" w:color="auto"/>
              <w:right w:val="nil"/>
            </w:tcBorders>
            <w:vAlign w:val="center"/>
          </w:tcPr>
          <w:p w14:paraId="1EDAFF68" w14:textId="401428A8" w:rsidR="00FB0984" w:rsidRDefault="00FB0984" w:rsidP="00FB0984">
            <w:pPr>
              <w:widowControl/>
              <w:adjustRightInd w:val="0"/>
              <w:snapToGrid w:val="0"/>
              <w:jc w:val="center"/>
              <w:textAlignment w:val="center"/>
            </w:pPr>
            <w:r>
              <w:rPr>
                <w:rFonts w:hint="eastAsia"/>
                <w:color w:val="000000"/>
                <w:sz w:val="22"/>
                <w:szCs w:val="22"/>
              </w:rPr>
              <w:t xml:space="preserve">0.32 </w:t>
            </w:r>
          </w:p>
        </w:tc>
        <w:tc>
          <w:tcPr>
            <w:tcW w:w="1467" w:type="dxa"/>
            <w:vMerge/>
            <w:tcBorders>
              <w:tl2br w:val="nil"/>
              <w:tr2bl w:val="nil"/>
            </w:tcBorders>
            <w:vAlign w:val="center"/>
          </w:tcPr>
          <w:p w14:paraId="52850A74" w14:textId="77777777" w:rsidR="00FB0984" w:rsidRDefault="00FB0984" w:rsidP="00FB0984">
            <w:pPr>
              <w:adjustRightInd w:val="0"/>
              <w:snapToGrid w:val="0"/>
              <w:jc w:val="center"/>
            </w:pPr>
          </w:p>
        </w:tc>
      </w:tr>
      <w:tr w:rsidR="00960DCF" w14:paraId="42630CA8" w14:textId="77777777" w:rsidTr="006412DE">
        <w:trPr>
          <w:trHeight w:val="57"/>
          <w:jc w:val="center"/>
        </w:trPr>
        <w:tc>
          <w:tcPr>
            <w:tcW w:w="1127" w:type="dxa"/>
            <w:vMerge w:val="restart"/>
            <w:vAlign w:val="center"/>
          </w:tcPr>
          <w:p w14:paraId="4CA5C0A6" w14:textId="70268A5D" w:rsidR="00960DCF" w:rsidRPr="00FB0984" w:rsidRDefault="00960DCF" w:rsidP="00960DCF">
            <w:pPr>
              <w:widowControl/>
              <w:adjustRightInd w:val="0"/>
              <w:snapToGrid w:val="0"/>
              <w:jc w:val="center"/>
              <w:textAlignment w:val="center"/>
            </w:pPr>
            <w:r w:rsidRPr="00FB0984">
              <w:rPr>
                <w:rFonts w:hint="eastAsia"/>
                <w:bCs/>
              </w:rPr>
              <w:t>溶解氧</w:t>
            </w:r>
          </w:p>
        </w:tc>
        <w:tc>
          <w:tcPr>
            <w:tcW w:w="1130" w:type="dxa"/>
            <w:vMerge w:val="restart"/>
            <w:tcBorders>
              <w:tl2br w:val="nil"/>
              <w:tr2bl w:val="nil"/>
            </w:tcBorders>
            <w:vAlign w:val="center"/>
          </w:tcPr>
          <w:p w14:paraId="0DDC7D72" w14:textId="77777777" w:rsidR="00960DCF" w:rsidRPr="00FB0984" w:rsidRDefault="00960DCF" w:rsidP="00960DCF">
            <w:pPr>
              <w:adjustRightInd w:val="0"/>
              <w:snapToGrid w:val="0"/>
              <w:jc w:val="center"/>
            </w:pPr>
            <w:r w:rsidRPr="00FB0984">
              <w:rPr>
                <w:kern w:val="0"/>
                <w:lang w:bidi="ar"/>
              </w:rPr>
              <w:t>mg/L</w:t>
            </w:r>
          </w:p>
        </w:tc>
        <w:tc>
          <w:tcPr>
            <w:tcW w:w="1905" w:type="dxa"/>
            <w:tcBorders>
              <w:tl2br w:val="nil"/>
              <w:tr2bl w:val="nil"/>
            </w:tcBorders>
            <w:vAlign w:val="center"/>
          </w:tcPr>
          <w:p w14:paraId="5EC5296C" w14:textId="77777777" w:rsidR="00960DCF" w:rsidRDefault="00960DCF" w:rsidP="00960DCF">
            <w:pPr>
              <w:adjustRightInd w:val="0"/>
              <w:snapToGrid w:val="0"/>
              <w:jc w:val="center"/>
            </w:pPr>
            <w:r>
              <w:t>监测值（</w:t>
            </w:r>
            <w:r>
              <w:t>Max</w:t>
            </w:r>
            <w:r>
              <w:t>）</w:t>
            </w:r>
          </w:p>
        </w:tc>
        <w:tc>
          <w:tcPr>
            <w:tcW w:w="2149" w:type="dxa"/>
            <w:tcBorders>
              <w:top w:val="single" w:sz="6" w:space="0" w:color="auto"/>
              <w:bottom w:val="single" w:sz="6" w:space="0" w:color="auto"/>
              <w:right w:val="single" w:sz="4" w:space="0" w:color="auto"/>
              <w:tl2br w:val="nil"/>
              <w:tr2bl w:val="nil"/>
            </w:tcBorders>
            <w:vAlign w:val="center"/>
          </w:tcPr>
          <w:p w14:paraId="4CD2F81D" w14:textId="12039328" w:rsidR="00960DCF" w:rsidRDefault="00960DCF" w:rsidP="00960DCF">
            <w:pPr>
              <w:widowControl/>
              <w:adjustRightInd w:val="0"/>
              <w:snapToGrid w:val="0"/>
              <w:jc w:val="center"/>
              <w:textAlignment w:val="center"/>
            </w:pPr>
            <w:r>
              <w:rPr>
                <w:rFonts w:hint="eastAsia"/>
                <w:color w:val="000000"/>
                <w:kern w:val="0"/>
                <w:lang w:bidi="ar"/>
              </w:rPr>
              <w:t>4.9</w:t>
            </w:r>
          </w:p>
        </w:tc>
        <w:tc>
          <w:tcPr>
            <w:tcW w:w="2150" w:type="dxa"/>
            <w:tcBorders>
              <w:top w:val="single" w:sz="6" w:space="0" w:color="auto"/>
              <w:left w:val="single" w:sz="4" w:space="0" w:color="auto"/>
              <w:bottom w:val="single" w:sz="6" w:space="0" w:color="auto"/>
              <w:right w:val="single" w:sz="4" w:space="0" w:color="auto"/>
            </w:tcBorders>
            <w:vAlign w:val="center"/>
          </w:tcPr>
          <w:p w14:paraId="0D4DD0FF" w14:textId="2BFD1AA2" w:rsidR="00960DCF" w:rsidRDefault="00F75678" w:rsidP="00960DCF">
            <w:pPr>
              <w:widowControl/>
              <w:adjustRightInd w:val="0"/>
              <w:snapToGrid w:val="0"/>
              <w:jc w:val="center"/>
              <w:textAlignment w:val="center"/>
              <w:rPr>
                <w:color w:val="000000"/>
                <w:kern w:val="0"/>
                <w:lang w:bidi="ar"/>
              </w:rPr>
            </w:pPr>
            <w:r>
              <w:rPr>
                <w:rFonts w:hint="eastAsia"/>
                <w:color w:val="000000"/>
                <w:kern w:val="0"/>
                <w:lang w:bidi="ar"/>
              </w:rPr>
              <w:t>4.7</w:t>
            </w:r>
          </w:p>
        </w:tc>
        <w:tc>
          <w:tcPr>
            <w:tcW w:w="2149" w:type="dxa"/>
            <w:tcBorders>
              <w:top w:val="single" w:sz="6" w:space="0" w:color="auto"/>
              <w:left w:val="single" w:sz="4" w:space="0" w:color="auto"/>
              <w:bottom w:val="single" w:sz="6" w:space="0" w:color="auto"/>
              <w:right w:val="single" w:sz="4" w:space="0" w:color="auto"/>
              <w:tl2br w:val="nil"/>
              <w:tr2bl w:val="nil"/>
            </w:tcBorders>
            <w:vAlign w:val="center"/>
          </w:tcPr>
          <w:p w14:paraId="54854F3E" w14:textId="399160E4" w:rsidR="00960DCF" w:rsidRDefault="00336A9A" w:rsidP="00960DCF">
            <w:pPr>
              <w:widowControl/>
              <w:adjustRightInd w:val="0"/>
              <w:snapToGrid w:val="0"/>
              <w:jc w:val="center"/>
              <w:textAlignment w:val="center"/>
            </w:pPr>
            <w:r>
              <w:rPr>
                <w:rFonts w:hint="eastAsia"/>
              </w:rPr>
              <w:t>4.8</w:t>
            </w:r>
          </w:p>
        </w:tc>
        <w:tc>
          <w:tcPr>
            <w:tcW w:w="2150" w:type="dxa"/>
            <w:tcBorders>
              <w:top w:val="single" w:sz="6" w:space="0" w:color="auto"/>
              <w:left w:val="single" w:sz="4" w:space="0" w:color="auto"/>
              <w:bottom w:val="single" w:sz="6" w:space="0" w:color="auto"/>
              <w:tl2br w:val="nil"/>
              <w:tr2bl w:val="nil"/>
            </w:tcBorders>
            <w:vAlign w:val="center"/>
          </w:tcPr>
          <w:p w14:paraId="193DEE25" w14:textId="2B469A86" w:rsidR="00960DCF" w:rsidRDefault="00526855" w:rsidP="00960DCF">
            <w:pPr>
              <w:widowControl/>
              <w:adjustRightInd w:val="0"/>
              <w:snapToGrid w:val="0"/>
              <w:jc w:val="center"/>
              <w:textAlignment w:val="center"/>
            </w:pPr>
            <w:r>
              <w:rPr>
                <w:rFonts w:hint="eastAsia"/>
              </w:rPr>
              <w:t>4.8</w:t>
            </w:r>
          </w:p>
        </w:tc>
        <w:tc>
          <w:tcPr>
            <w:tcW w:w="1467" w:type="dxa"/>
            <w:vMerge w:val="restart"/>
            <w:tcBorders>
              <w:tl2br w:val="nil"/>
              <w:tr2bl w:val="nil"/>
            </w:tcBorders>
            <w:vAlign w:val="center"/>
          </w:tcPr>
          <w:p w14:paraId="77E5B524" w14:textId="1C7097F1" w:rsidR="00960DCF" w:rsidRDefault="002438F3" w:rsidP="00960DCF">
            <w:pPr>
              <w:widowControl/>
              <w:adjustRightInd w:val="0"/>
              <w:snapToGrid w:val="0"/>
              <w:jc w:val="center"/>
              <w:textAlignment w:val="center"/>
            </w:pPr>
            <w:r>
              <w:rPr>
                <w:rFonts w:hint="eastAsia"/>
                <w:color w:val="000000"/>
                <w:kern w:val="0"/>
                <w:lang w:bidi="ar"/>
              </w:rPr>
              <w:t>2</w:t>
            </w:r>
          </w:p>
        </w:tc>
      </w:tr>
      <w:tr w:rsidR="006412DE" w14:paraId="1CAF45C6" w14:textId="77777777" w:rsidTr="006412DE">
        <w:trPr>
          <w:trHeight w:val="57"/>
          <w:jc w:val="center"/>
        </w:trPr>
        <w:tc>
          <w:tcPr>
            <w:tcW w:w="1127" w:type="dxa"/>
            <w:vMerge/>
            <w:vAlign w:val="center"/>
          </w:tcPr>
          <w:p w14:paraId="6CE95621" w14:textId="77777777" w:rsidR="006412DE" w:rsidRPr="00FB0984" w:rsidRDefault="006412DE" w:rsidP="006412DE">
            <w:pPr>
              <w:adjustRightInd w:val="0"/>
              <w:snapToGrid w:val="0"/>
              <w:jc w:val="center"/>
            </w:pPr>
          </w:p>
        </w:tc>
        <w:tc>
          <w:tcPr>
            <w:tcW w:w="1130" w:type="dxa"/>
            <w:vMerge/>
            <w:tcBorders>
              <w:tl2br w:val="nil"/>
              <w:tr2bl w:val="nil"/>
            </w:tcBorders>
            <w:vAlign w:val="center"/>
          </w:tcPr>
          <w:p w14:paraId="4E9A2CAB" w14:textId="77777777" w:rsidR="006412DE" w:rsidRPr="00FB0984" w:rsidRDefault="006412DE" w:rsidP="006412DE">
            <w:pPr>
              <w:adjustRightInd w:val="0"/>
              <w:snapToGrid w:val="0"/>
              <w:jc w:val="center"/>
            </w:pPr>
          </w:p>
        </w:tc>
        <w:tc>
          <w:tcPr>
            <w:tcW w:w="1905" w:type="dxa"/>
            <w:tcBorders>
              <w:tl2br w:val="nil"/>
              <w:tr2bl w:val="nil"/>
            </w:tcBorders>
            <w:vAlign w:val="center"/>
          </w:tcPr>
          <w:p w14:paraId="0BB07F8E" w14:textId="77777777" w:rsidR="006412DE" w:rsidRDefault="006412DE" w:rsidP="006412DE">
            <w:pPr>
              <w:adjustRightInd w:val="0"/>
              <w:snapToGrid w:val="0"/>
              <w:jc w:val="center"/>
            </w:pPr>
            <w:r>
              <w:t>标准指数</w:t>
            </w:r>
          </w:p>
        </w:tc>
        <w:tc>
          <w:tcPr>
            <w:tcW w:w="2149" w:type="dxa"/>
            <w:tcBorders>
              <w:top w:val="single" w:sz="6" w:space="0" w:color="auto"/>
              <w:left w:val="nil"/>
              <w:bottom w:val="single" w:sz="6" w:space="0" w:color="auto"/>
              <w:right w:val="single" w:sz="6" w:space="0" w:color="auto"/>
            </w:tcBorders>
            <w:vAlign w:val="center"/>
          </w:tcPr>
          <w:p w14:paraId="0D1A1F7D" w14:textId="11CE99E8" w:rsidR="006412DE" w:rsidRDefault="006412DE" w:rsidP="006412DE">
            <w:pPr>
              <w:widowControl/>
              <w:adjustRightInd w:val="0"/>
              <w:snapToGrid w:val="0"/>
              <w:jc w:val="center"/>
              <w:textAlignment w:val="center"/>
            </w:pPr>
            <w:r>
              <w:rPr>
                <w:rFonts w:hint="eastAsia"/>
                <w:color w:val="000000"/>
                <w:sz w:val="22"/>
                <w:szCs w:val="22"/>
              </w:rPr>
              <w:t xml:space="preserve">0.41 </w:t>
            </w:r>
          </w:p>
        </w:tc>
        <w:tc>
          <w:tcPr>
            <w:tcW w:w="2150" w:type="dxa"/>
            <w:tcBorders>
              <w:top w:val="single" w:sz="6" w:space="0" w:color="auto"/>
              <w:left w:val="single" w:sz="6" w:space="0" w:color="auto"/>
              <w:bottom w:val="single" w:sz="6" w:space="0" w:color="auto"/>
              <w:right w:val="single" w:sz="6" w:space="0" w:color="auto"/>
            </w:tcBorders>
            <w:vAlign w:val="center"/>
          </w:tcPr>
          <w:p w14:paraId="210E2F89" w14:textId="3DF32688" w:rsidR="006412DE" w:rsidRDefault="006412DE" w:rsidP="006412DE">
            <w:pPr>
              <w:widowControl/>
              <w:adjustRightInd w:val="0"/>
              <w:snapToGrid w:val="0"/>
              <w:jc w:val="center"/>
              <w:textAlignment w:val="center"/>
              <w:rPr>
                <w:color w:val="000000"/>
                <w:kern w:val="0"/>
                <w:lang w:bidi="ar"/>
              </w:rPr>
            </w:pPr>
            <w:r>
              <w:rPr>
                <w:rFonts w:hint="eastAsia"/>
                <w:color w:val="000000"/>
                <w:sz w:val="22"/>
                <w:szCs w:val="22"/>
              </w:rPr>
              <w:t xml:space="preserve">0.43 </w:t>
            </w:r>
          </w:p>
        </w:tc>
        <w:tc>
          <w:tcPr>
            <w:tcW w:w="2149" w:type="dxa"/>
            <w:tcBorders>
              <w:top w:val="single" w:sz="6" w:space="0" w:color="auto"/>
              <w:left w:val="single" w:sz="6" w:space="0" w:color="auto"/>
              <w:bottom w:val="single" w:sz="6" w:space="0" w:color="auto"/>
              <w:right w:val="single" w:sz="6" w:space="0" w:color="auto"/>
            </w:tcBorders>
            <w:vAlign w:val="center"/>
          </w:tcPr>
          <w:p w14:paraId="3E36BB07" w14:textId="341A13A9" w:rsidR="006412DE" w:rsidRDefault="006412DE" w:rsidP="006412DE">
            <w:pPr>
              <w:widowControl/>
              <w:adjustRightInd w:val="0"/>
              <w:snapToGrid w:val="0"/>
              <w:jc w:val="center"/>
              <w:textAlignment w:val="center"/>
            </w:pPr>
            <w:r>
              <w:rPr>
                <w:rFonts w:hint="eastAsia"/>
                <w:color w:val="000000"/>
                <w:sz w:val="22"/>
                <w:szCs w:val="22"/>
              </w:rPr>
              <w:t xml:space="preserve">0.42 </w:t>
            </w:r>
          </w:p>
        </w:tc>
        <w:tc>
          <w:tcPr>
            <w:tcW w:w="2150" w:type="dxa"/>
            <w:tcBorders>
              <w:top w:val="single" w:sz="6" w:space="0" w:color="auto"/>
              <w:left w:val="single" w:sz="6" w:space="0" w:color="auto"/>
              <w:bottom w:val="single" w:sz="6" w:space="0" w:color="auto"/>
              <w:right w:val="nil"/>
            </w:tcBorders>
            <w:vAlign w:val="center"/>
          </w:tcPr>
          <w:p w14:paraId="54B1D35C" w14:textId="67711595" w:rsidR="006412DE" w:rsidRDefault="006412DE" w:rsidP="006412DE">
            <w:pPr>
              <w:widowControl/>
              <w:adjustRightInd w:val="0"/>
              <w:snapToGrid w:val="0"/>
              <w:jc w:val="center"/>
              <w:textAlignment w:val="center"/>
            </w:pPr>
            <w:r>
              <w:rPr>
                <w:rFonts w:hint="eastAsia"/>
                <w:color w:val="000000"/>
                <w:sz w:val="22"/>
                <w:szCs w:val="22"/>
              </w:rPr>
              <w:t xml:space="preserve">0.42 </w:t>
            </w:r>
          </w:p>
        </w:tc>
        <w:tc>
          <w:tcPr>
            <w:tcW w:w="1467" w:type="dxa"/>
            <w:vMerge/>
            <w:tcBorders>
              <w:tl2br w:val="nil"/>
              <w:tr2bl w:val="nil"/>
            </w:tcBorders>
            <w:vAlign w:val="center"/>
          </w:tcPr>
          <w:p w14:paraId="450645C4" w14:textId="77777777" w:rsidR="006412DE" w:rsidRDefault="006412DE" w:rsidP="006412DE">
            <w:pPr>
              <w:adjustRightInd w:val="0"/>
              <w:snapToGrid w:val="0"/>
              <w:jc w:val="center"/>
            </w:pPr>
          </w:p>
        </w:tc>
      </w:tr>
      <w:tr w:rsidR="00A11B36" w14:paraId="08912A8F" w14:textId="77777777" w:rsidTr="006412DE">
        <w:trPr>
          <w:trHeight w:val="57"/>
          <w:jc w:val="center"/>
        </w:trPr>
        <w:tc>
          <w:tcPr>
            <w:tcW w:w="1127" w:type="dxa"/>
            <w:vMerge w:val="restart"/>
            <w:vAlign w:val="center"/>
          </w:tcPr>
          <w:p w14:paraId="5BBDD4CB" w14:textId="5984A43D" w:rsidR="00A11B36" w:rsidRPr="00FB0984" w:rsidRDefault="00A11B36" w:rsidP="00F75678">
            <w:pPr>
              <w:adjustRightInd w:val="0"/>
              <w:snapToGrid w:val="0"/>
              <w:jc w:val="center"/>
            </w:pPr>
            <w:r w:rsidRPr="00FB0984">
              <w:rPr>
                <w:rFonts w:hint="eastAsia"/>
              </w:rPr>
              <w:t>高锰酸盐指数</w:t>
            </w:r>
          </w:p>
        </w:tc>
        <w:tc>
          <w:tcPr>
            <w:tcW w:w="1130" w:type="dxa"/>
            <w:vMerge w:val="restart"/>
            <w:tcBorders>
              <w:tl2br w:val="nil"/>
              <w:tr2bl w:val="nil"/>
            </w:tcBorders>
            <w:vAlign w:val="center"/>
          </w:tcPr>
          <w:p w14:paraId="1C9943E5" w14:textId="06CD0E22" w:rsidR="00A11B36" w:rsidRPr="00FB0984" w:rsidRDefault="00A11B36" w:rsidP="00F75678">
            <w:pPr>
              <w:adjustRightInd w:val="0"/>
              <w:snapToGrid w:val="0"/>
              <w:jc w:val="center"/>
            </w:pPr>
            <w:r w:rsidRPr="00FB0984">
              <w:rPr>
                <w:kern w:val="0"/>
                <w:lang w:bidi="ar"/>
              </w:rPr>
              <w:t>mg/L</w:t>
            </w:r>
          </w:p>
        </w:tc>
        <w:tc>
          <w:tcPr>
            <w:tcW w:w="1905" w:type="dxa"/>
            <w:tcBorders>
              <w:tl2br w:val="nil"/>
              <w:tr2bl w:val="nil"/>
            </w:tcBorders>
            <w:vAlign w:val="center"/>
          </w:tcPr>
          <w:p w14:paraId="3ECE5AFE" w14:textId="372E09E1" w:rsidR="00A11B36" w:rsidRDefault="00A11B36" w:rsidP="00F75678">
            <w:pPr>
              <w:adjustRightInd w:val="0"/>
              <w:snapToGrid w:val="0"/>
              <w:jc w:val="center"/>
            </w:pPr>
            <w:r>
              <w:t>监测值（</w:t>
            </w:r>
            <w:r>
              <w:t>Max</w:t>
            </w:r>
            <w:r>
              <w:t>）</w:t>
            </w:r>
          </w:p>
        </w:tc>
        <w:tc>
          <w:tcPr>
            <w:tcW w:w="2149" w:type="dxa"/>
            <w:tcBorders>
              <w:top w:val="single" w:sz="6" w:space="0" w:color="auto"/>
              <w:bottom w:val="single" w:sz="6" w:space="0" w:color="auto"/>
              <w:right w:val="single" w:sz="4" w:space="0" w:color="auto"/>
              <w:tl2br w:val="nil"/>
              <w:tr2bl w:val="nil"/>
            </w:tcBorders>
            <w:vAlign w:val="center"/>
          </w:tcPr>
          <w:p w14:paraId="0D85A1F6" w14:textId="30D6E10A" w:rsidR="00A11B36" w:rsidRDefault="00A11B36" w:rsidP="00F75678">
            <w:pPr>
              <w:widowControl/>
              <w:adjustRightInd w:val="0"/>
              <w:snapToGrid w:val="0"/>
              <w:jc w:val="center"/>
              <w:textAlignment w:val="center"/>
              <w:rPr>
                <w:color w:val="000000"/>
                <w:kern w:val="0"/>
                <w:lang w:bidi="ar"/>
              </w:rPr>
            </w:pPr>
            <w:r>
              <w:rPr>
                <w:rFonts w:hint="eastAsia"/>
                <w:color w:val="000000"/>
                <w:kern w:val="0"/>
                <w:lang w:bidi="ar"/>
              </w:rPr>
              <w:t>6.4</w:t>
            </w:r>
          </w:p>
        </w:tc>
        <w:tc>
          <w:tcPr>
            <w:tcW w:w="2150" w:type="dxa"/>
            <w:tcBorders>
              <w:top w:val="single" w:sz="6" w:space="0" w:color="auto"/>
              <w:left w:val="single" w:sz="4" w:space="0" w:color="auto"/>
              <w:bottom w:val="single" w:sz="6" w:space="0" w:color="auto"/>
              <w:right w:val="single" w:sz="4" w:space="0" w:color="auto"/>
            </w:tcBorders>
            <w:vAlign w:val="center"/>
          </w:tcPr>
          <w:p w14:paraId="5AA30C1E" w14:textId="15748939" w:rsidR="00A11B36" w:rsidRDefault="00A11B36" w:rsidP="00F75678">
            <w:pPr>
              <w:widowControl/>
              <w:adjustRightInd w:val="0"/>
              <w:snapToGrid w:val="0"/>
              <w:jc w:val="center"/>
              <w:textAlignment w:val="center"/>
              <w:rPr>
                <w:color w:val="000000"/>
                <w:kern w:val="0"/>
                <w:lang w:bidi="ar"/>
              </w:rPr>
            </w:pPr>
            <w:r>
              <w:rPr>
                <w:rFonts w:hint="eastAsia"/>
                <w:color w:val="000000"/>
                <w:kern w:val="0"/>
                <w:lang w:bidi="ar"/>
              </w:rPr>
              <w:t>6.5</w:t>
            </w:r>
          </w:p>
        </w:tc>
        <w:tc>
          <w:tcPr>
            <w:tcW w:w="2149" w:type="dxa"/>
            <w:tcBorders>
              <w:top w:val="single" w:sz="6" w:space="0" w:color="auto"/>
              <w:left w:val="single" w:sz="4" w:space="0" w:color="auto"/>
              <w:bottom w:val="single" w:sz="6" w:space="0" w:color="auto"/>
              <w:right w:val="single" w:sz="4" w:space="0" w:color="auto"/>
              <w:tl2br w:val="nil"/>
              <w:tr2bl w:val="nil"/>
            </w:tcBorders>
            <w:vAlign w:val="center"/>
          </w:tcPr>
          <w:p w14:paraId="3C14CC1E" w14:textId="58F90A93" w:rsidR="00A11B36" w:rsidRDefault="00A11B36" w:rsidP="00F75678">
            <w:pPr>
              <w:widowControl/>
              <w:adjustRightInd w:val="0"/>
              <w:snapToGrid w:val="0"/>
              <w:jc w:val="center"/>
              <w:textAlignment w:val="center"/>
            </w:pPr>
            <w:r>
              <w:rPr>
                <w:rFonts w:hint="eastAsia"/>
              </w:rPr>
              <w:t>7.0</w:t>
            </w:r>
          </w:p>
        </w:tc>
        <w:tc>
          <w:tcPr>
            <w:tcW w:w="2150" w:type="dxa"/>
            <w:tcBorders>
              <w:top w:val="single" w:sz="6" w:space="0" w:color="auto"/>
              <w:left w:val="single" w:sz="4" w:space="0" w:color="auto"/>
              <w:bottom w:val="single" w:sz="6" w:space="0" w:color="auto"/>
              <w:tl2br w:val="nil"/>
              <w:tr2bl w:val="nil"/>
            </w:tcBorders>
            <w:vAlign w:val="center"/>
          </w:tcPr>
          <w:p w14:paraId="04E75FFC" w14:textId="7993D1F0" w:rsidR="00A11B36" w:rsidRDefault="00A11B36" w:rsidP="00F75678">
            <w:pPr>
              <w:widowControl/>
              <w:adjustRightInd w:val="0"/>
              <w:snapToGrid w:val="0"/>
              <w:jc w:val="center"/>
              <w:textAlignment w:val="center"/>
            </w:pPr>
            <w:r>
              <w:rPr>
                <w:rFonts w:hint="eastAsia"/>
              </w:rPr>
              <w:t>6.9</w:t>
            </w:r>
          </w:p>
        </w:tc>
        <w:tc>
          <w:tcPr>
            <w:tcW w:w="1467" w:type="dxa"/>
            <w:vMerge w:val="restart"/>
            <w:tcBorders>
              <w:tl2br w:val="nil"/>
              <w:tr2bl w:val="nil"/>
            </w:tcBorders>
            <w:vAlign w:val="center"/>
          </w:tcPr>
          <w:p w14:paraId="3B5A0C28" w14:textId="0DE6F7B5" w:rsidR="00A11B36" w:rsidRDefault="00A11B36" w:rsidP="00F75678">
            <w:pPr>
              <w:adjustRightInd w:val="0"/>
              <w:snapToGrid w:val="0"/>
              <w:jc w:val="center"/>
            </w:pPr>
            <w:r>
              <w:rPr>
                <w:rFonts w:hint="eastAsia"/>
              </w:rPr>
              <w:t>/</w:t>
            </w:r>
          </w:p>
        </w:tc>
      </w:tr>
      <w:tr w:rsidR="00FB0984" w14:paraId="6472B0AD" w14:textId="77777777" w:rsidTr="007B3904">
        <w:trPr>
          <w:trHeight w:val="57"/>
          <w:jc w:val="center"/>
        </w:trPr>
        <w:tc>
          <w:tcPr>
            <w:tcW w:w="1127" w:type="dxa"/>
            <w:vMerge/>
            <w:vAlign w:val="center"/>
          </w:tcPr>
          <w:p w14:paraId="68F8ACC8" w14:textId="77777777" w:rsidR="00FB0984" w:rsidRDefault="00FB0984" w:rsidP="00FB0984">
            <w:pPr>
              <w:adjustRightInd w:val="0"/>
              <w:snapToGrid w:val="0"/>
              <w:jc w:val="center"/>
            </w:pPr>
          </w:p>
        </w:tc>
        <w:tc>
          <w:tcPr>
            <w:tcW w:w="1130" w:type="dxa"/>
            <w:vMerge/>
            <w:tcBorders>
              <w:tl2br w:val="nil"/>
              <w:tr2bl w:val="nil"/>
            </w:tcBorders>
            <w:vAlign w:val="center"/>
          </w:tcPr>
          <w:p w14:paraId="27096700" w14:textId="77777777" w:rsidR="00FB0984" w:rsidRDefault="00FB0984" w:rsidP="00FB0984">
            <w:pPr>
              <w:adjustRightInd w:val="0"/>
              <w:snapToGrid w:val="0"/>
              <w:jc w:val="center"/>
            </w:pPr>
          </w:p>
        </w:tc>
        <w:tc>
          <w:tcPr>
            <w:tcW w:w="1905" w:type="dxa"/>
            <w:tcBorders>
              <w:tl2br w:val="nil"/>
              <w:tr2bl w:val="nil"/>
            </w:tcBorders>
            <w:vAlign w:val="center"/>
          </w:tcPr>
          <w:p w14:paraId="2EC12585" w14:textId="7C3DDDFE" w:rsidR="00FB0984" w:rsidRDefault="00FB0984" w:rsidP="00FB0984">
            <w:pPr>
              <w:adjustRightInd w:val="0"/>
              <w:snapToGrid w:val="0"/>
              <w:jc w:val="center"/>
            </w:pPr>
            <w:r>
              <w:t>标准指数</w:t>
            </w:r>
          </w:p>
        </w:tc>
        <w:tc>
          <w:tcPr>
            <w:tcW w:w="2149" w:type="dxa"/>
            <w:tcBorders>
              <w:top w:val="single" w:sz="6" w:space="0" w:color="auto"/>
              <w:bottom w:val="single" w:sz="6" w:space="0" w:color="auto"/>
              <w:right w:val="single" w:sz="4" w:space="0" w:color="auto"/>
              <w:tl2br w:val="nil"/>
              <w:tr2bl w:val="nil"/>
            </w:tcBorders>
          </w:tcPr>
          <w:p w14:paraId="42C933D6" w14:textId="121F7CB5" w:rsidR="00FB0984" w:rsidRDefault="00FB0984" w:rsidP="00FB0984">
            <w:pPr>
              <w:widowControl/>
              <w:adjustRightInd w:val="0"/>
              <w:snapToGrid w:val="0"/>
              <w:jc w:val="center"/>
              <w:textAlignment w:val="center"/>
              <w:rPr>
                <w:color w:val="000000"/>
                <w:kern w:val="0"/>
                <w:lang w:bidi="ar"/>
              </w:rPr>
            </w:pPr>
            <w:r w:rsidRPr="00B51632">
              <w:rPr>
                <w:color w:val="000000"/>
                <w:kern w:val="0"/>
                <w:lang w:bidi="ar"/>
              </w:rPr>
              <w:t>/</w:t>
            </w:r>
          </w:p>
        </w:tc>
        <w:tc>
          <w:tcPr>
            <w:tcW w:w="2150" w:type="dxa"/>
            <w:tcBorders>
              <w:top w:val="single" w:sz="6" w:space="0" w:color="auto"/>
              <w:left w:val="single" w:sz="4" w:space="0" w:color="auto"/>
              <w:bottom w:val="single" w:sz="6" w:space="0" w:color="auto"/>
              <w:right w:val="single" w:sz="4" w:space="0" w:color="auto"/>
            </w:tcBorders>
          </w:tcPr>
          <w:p w14:paraId="3BD66E63" w14:textId="5CFFDF74" w:rsidR="00FB0984" w:rsidRDefault="00FB0984" w:rsidP="00FB0984">
            <w:pPr>
              <w:widowControl/>
              <w:adjustRightInd w:val="0"/>
              <w:snapToGrid w:val="0"/>
              <w:jc w:val="center"/>
              <w:textAlignment w:val="center"/>
              <w:rPr>
                <w:color w:val="000000"/>
                <w:kern w:val="0"/>
                <w:lang w:bidi="ar"/>
              </w:rPr>
            </w:pPr>
            <w:r w:rsidRPr="00B51632">
              <w:rPr>
                <w:color w:val="000000"/>
                <w:kern w:val="0"/>
                <w:lang w:bidi="ar"/>
              </w:rPr>
              <w:t>/</w:t>
            </w:r>
          </w:p>
        </w:tc>
        <w:tc>
          <w:tcPr>
            <w:tcW w:w="2149" w:type="dxa"/>
            <w:tcBorders>
              <w:top w:val="single" w:sz="6" w:space="0" w:color="auto"/>
              <w:left w:val="single" w:sz="4" w:space="0" w:color="auto"/>
              <w:bottom w:val="single" w:sz="6" w:space="0" w:color="auto"/>
              <w:right w:val="single" w:sz="4" w:space="0" w:color="auto"/>
              <w:tl2br w:val="nil"/>
              <w:tr2bl w:val="nil"/>
            </w:tcBorders>
          </w:tcPr>
          <w:p w14:paraId="2C55970B" w14:textId="5F2C4BB7" w:rsidR="00FB0984" w:rsidRDefault="00FB0984" w:rsidP="00FB0984">
            <w:pPr>
              <w:widowControl/>
              <w:adjustRightInd w:val="0"/>
              <w:snapToGrid w:val="0"/>
              <w:jc w:val="center"/>
              <w:textAlignment w:val="center"/>
            </w:pPr>
            <w:r w:rsidRPr="00B51632">
              <w:rPr>
                <w:color w:val="000000"/>
                <w:kern w:val="0"/>
                <w:lang w:bidi="ar"/>
              </w:rPr>
              <w:t>/</w:t>
            </w:r>
          </w:p>
        </w:tc>
        <w:tc>
          <w:tcPr>
            <w:tcW w:w="2150" w:type="dxa"/>
            <w:tcBorders>
              <w:top w:val="single" w:sz="6" w:space="0" w:color="auto"/>
              <w:left w:val="single" w:sz="4" w:space="0" w:color="auto"/>
              <w:bottom w:val="single" w:sz="6" w:space="0" w:color="auto"/>
              <w:tl2br w:val="nil"/>
              <w:tr2bl w:val="nil"/>
            </w:tcBorders>
          </w:tcPr>
          <w:p w14:paraId="6A905AFC" w14:textId="41619EDF" w:rsidR="00FB0984" w:rsidRDefault="00FB0984" w:rsidP="00FB0984">
            <w:pPr>
              <w:widowControl/>
              <w:adjustRightInd w:val="0"/>
              <w:snapToGrid w:val="0"/>
              <w:jc w:val="center"/>
              <w:textAlignment w:val="center"/>
            </w:pPr>
            <w:r w:rsidRPr="00B51632">
              <w:rPr>
                <w:color w:val="000000"/>
                <w:kern w:val="0"/>
                <w:lang w:bidi="ar"/>
              </w:rPr>
              <w:t>/</w:t>
            </w:r>
          </w:p>
        </w:tc>
        <w:tc>
          <w:tcPr>
            <w:tcW w:w="1467" w:type="dxa"/>
            <w:vMerge/>
            <w:tcBorders>
              <w:tl2br w:val="nil"/>
              <w:tr2bl w:val="nil"/>
            </w:tcBorders>
            <w:vAlign w:val="center"/>
          </w:tcPr>
          <w:p w14:paraId="3EFF5528" w14:textId="77777777" w:rsidR="00FB0984" w:rsidRDefault="00FB0984" w:rsidP="00FB0984">
            <w:pPr>
              <w:adjustRightInd w:val="0"/>
              <w:snapToGrid w:val="0"/>
              <w:jc w:val="center"/>
            </w:pPr>
          </w:p>
        </w:tc>
      </w:tr>
      <w:tr w:rsidR="00960DCF" w14:paraId="28F65665" w14:textId="77777777" w:rsidTr="00FB0984">
        <w:trPr>
          <w:trHeight w:val="57"/>
          <w:jc w:val="center"/>
        </w:trPr>
        <w:tc>
          <w:tcPr>
            <w:tcW w:w="1127" w:type="dxa"/>
            <w:vMerge w:val="restart"/>
            <w:vAlign w:val="center"/>
          </w:tcPr>
          <w:p w14:paraId="71747CF2" w14:textId="49C724AE" w:rsidR="00960DCF" w:rsidRDefault="00F75678" w:rsidP="00960DCF">
            <w:pPr>
              <w:widowControl/>
              <w:adjustRightInd w:val="0"/>
              <w:snapToGrid w:val="0"/>
              <w:jc w:val="center"/>
              <w:textAlignment w:val="center"/>
            </w:pPr>
            <w:r w:rsidRPr="00F75678">
              <w:rPr>
                <w:rFonts w:hint="eastAsia"/>
              </w:rPr>
              <w:t>氟化物</w:t>
            </w:r>
          </w:p>
        </w:tc>
        <w:tc>
          <w:tcPr>
            <w:tcW w:w="1130" w:type="dxa"/>
            <w:vMerge w:val="restart"/>
            <w:tcBorders>
              <w:tl2br w:val="nil"/>
              <w:tr2bl w:val="nil"/>
            </w:tcBorders>
            <w:vAlign w:val="center"/>
          </w:tcPr>
          <w:p w14:paraId="1CEA4900" w14:textId="77777777" w:rsidR="00960DCF" w:rsidRDefault="00960DCF" w:rsidP="00960DCF">
            <w:pPr>
              <w:adjustRightInd w:val="0"/>
              <w:snapToGrid w:val="0"/>
              <w:jc w:val="center"/>
            </w:pPr>
            <w:r>
              <w:t>mg/L</w:t>
            </w:r>
          </w:p>
        </w:tc>
        <w:tc>
          <w:tcPr>
            <w:tcW w:w="1905" w:type="dxa"/>
            <w:tcBorders>
              <w:tl2br w:val="nil"/>
              <w:tr2bl w:val="nil"/>
            </w:tcBorders>
            <w:vAlign w:val="center"/>
          </w:tcPr>
          <w:p w14:paraId="62FF4CDB" w14:textId="77777777" w:rsidR="00960DCF" w:rsidRDefault="00960DCF" w:rsidP="00960DCF">
            <w:pPr>
              <w:adjustRightInd w:val="0"/>
              <w:snapToGrid w:val="0"/>
              <w:jc w:val="center"/>
            </w:pPr>
            <w:r>
              <w:t>监测值（</w:t>
            </w:r>
            <w:r>
              <w:t>Max</w:t>
            </w:r>
            <w:r>
              <w:t>）</w:t>
            </w:r>
          </w:p>
        </w:tc>
        <w:tc>
          <w:tcPr>
            <w:tcW w:w="2149" w:type="dxa"/>
            <w:tcBorders>
              <w:top w:val="single" w:sz="6" w:space="0" w:color="auto"/>
              <w:bottom w:val="single" w:sz="6" w:space="0" w:color="auto"/>
              <w:right w:val="single" w:sz="4" w:space="0" w:color="auto"/>
              <w:tl2br w:val="nil"/>
              <w:tr2bl w:val="nil"/>
            </w:tcBorders>
            <w:vAlign w:val="center"/>
          </w:tcPr>
          <w:p w14:paraId="77344ED0" w14:textId="63510E5A" w:rsidR="00960DCF" w:rsidRDefault="00F75678" w:rsidP="00960DCF">
            <w:pPr>
              <w:widowControl/>
              <w:adjustRightInd w:val="0"/>
              <w:snapToGrid w:val="0"/>
              <w:jc w:val="center"/>
              <w:textAlignment w:val="center"/>
            </w:pPr>
            <w:r>
              <w:rPr>
                <w:rFonts w:hint="eastAsia"/>
                <w:color w:val="000000"/>
                <w:kern w:val="0"/>
                <w:lang w:bidi="ar"/>
              </w:rPr>
              <w:t>0.798</w:t>
            </w:r>
          </w:p>
        </w:tc>
        <w:tc>
          <w:tcPr>
            <w:tcW w:w="2150" w:type="dxa"/>
            <w:tcBorders>
              <w:top w:val="single" w:sz="6" w:space="0" w:color="auto"/>
              <w:left w:val="single" w:sz="4" w:space="0" w:color="auto"/>
              <w:bottom w:val="single" w:sz="6" w:space="0" w:color="auto"/>
              <w:right w:val="single" w:sz="4" w:space="0" w:color="auto"/>
            </w:tcBorders>
            <w:vAlign w:val="center"/>
          </w:tcPr>
          <w:p w14:paraId="38E0EAAF" w14:textId="6C305CC0" w:rsidR="00960DCF" w:rsidRDefault="00F75678" w:rsidP="00960DCF">
            <w:pPr>
              <w:widowControl/>
              <w:adjustRightInd w:val="0"/>
              <w:snapToGrid w:val="0"/>
              <w:jc w:val="center"/>
              <w:textAlignment w:val="center"/>
              <w:rPr>
                <w:color w:val="000000"/>
                <w:kern w:val="0"/>
                <w:lang w:bidi="ar"/>
              </w:rPr>
            </w:pPr>
            <w:r>
              <w:rPr>
                <w:rFonts w:hint="eastAsia"/>
                <w:color w:val="000000"/>
                <w:kern w:val="0"/>
                <w:lang w:bidi="ar"/>
              </w:rPr>
              <w:t>0.798</w:t>
            </w:r>
          </w:p>
        </w:tc>
        <w:tc>
          <w:tcPr>
            <w:tcW w:w="2149" w:type="dxa"/>
            <w:tcBorders>
              <w:top w:val="single" w:sz="6" w:space="0" w:color="auto"/>
              <w:left w:val="single" w:sz="4" w:space="0" w:color="auto"/>
              <w:bottom w:val="single" w:sz="6" w:space="0" w:color="auto"/>
              <w:right w:val="single" w:sz="4" w:space="0" w:color="auto"/>
              <w:tl2br w:val="nil"/>
              <w:tr2bl w:val="nil"/>
            </w:tcBorders>
            <w:vAlign w:val="center"/>
          </w:tcPr>
          <w:p w14:paraId="2CC078ED" w14:textId="30DFEDA8" w:rsidR="00960DCF" w:rsidRDefault="00336A9A" w:rsidP="00960DCF">
            <w:pPr>
              <w:widowControl/>
              <w:adjustRightInd w:val="0"/>
              <w:snapToGrid w:val="0"/>
              <w:jc w:val="center"/>
              <w:textAlignment w:val="center"/>
            </w:pPr>
            <w:r>
              <w:rPr>
                <w:rFonts w:hint="eastAsia"/>
              </w:rPr>
              <w:t>0.773</w:t>
            </w:r>
          </w:p>
        </w:tc>
        <w:tc>
          <w:tcPr>
            <w:tcW w:w="2150" w:type="dxa"/>
            <w:tcBorders>
              <w:top w:val="single" w:sz="6" w:space="0" w:color="auto"/>
              <w:left w:val="single" w:sz="4" w:space="0" w:color="auto"/>
              <w:bottom w:val="single" w:sz="6" w:space="0" w:color="auto"/>
              <w:tl2br w:val="nil"/>
              <w:tr2bl w:val="nil"/>
            </w:tcBorders>
            <w:vAlign w:val="center"/>
          </w:tcPr>
          <w:p w14:paraId="6EEBDD35" w14:textId="3D76D1AC" w:rsidR="00960DCF" w:rsidRDefault="00526855" w:rsidP="00960DCF">
            <w:pPr>
              <w:widowControl/>
              <w:adjustRightInd w:val="0"/>
              <w:snapToGrid w:val="0"/>
              <w:jc w:val="center"/>
              <w:textAlignment w:val="center"/>
            </w:pPr>
            <w:r>
              <w:rPr>
                <w:rFonts w:hint="eastAsia"/>
              </w:rPr>
              <w:t>0.490</w:t>
            </w:r>
          </w:p>
        </w:tc>
        <w:tc>
          <w:tcPr>
            <w:tcW w:w="1467" w:type="dxa"/>
            <w:vMerge w:val="restart"/>
            <w:tcBorders>
              <w:tl2br w:val="nil"/>
              <w:tr2bl w:val="nil"/>
            </w:tcBorders>
            <w:vAlign w:val="center"/>
          </w:tcPr>
          <w:p w14:paraId="69923489" w14:textId="26F4A486" w:rsidR="00960DCF" w:rsidRDefault="00A11B36" w:rsidP="00960DCF">
            <w:pPr>
              <w:widowControl/>
              <w:adjustRightInd w:val="0"/>
              <w:snapToGrid w:val="0"/>
              <w:jc w:val="center"/>
              <w:textAlignment w:val="center"/>
            </w:pPr>
            <w:r>
              <w:rPr>
                <w:rFonts w:hint="eastAsia"/>
                <w:color w:val="000000"/>
                <w:kern w:val="0"/>
                <w:lang w:bidi="ar"/>
              </w:rPr>
              <w:t>1.5</w:t>
            </w:r>
          </w:p>
        </w:tc>
      </w:tr>
      <w:tr w:rsidR="00FB0984" w14:paraId="642D3E3F" w14:textId="77777777" w:rsidTr="00FB0984">
        <w:trPr>
          <w:trHeight w:val="57"/>
          <w:jc w:val="center"/>
        </w:trPr>
        <w:tc>
          <w:tcPr>
            <w:tcW w:w="1127" w:type="dxa"/>
            <w:vMerge/>
            <w:vAlign w:val="center"/>
          </w:tcPr>
          <w:p w14:paraId="0D5D2661" w14:textId="77777777" w:rsidR="00FB0984" w:rsidRDefault="00FB0984" w:rsidP="00FB0984">
            <w:pPr>
              <w:adjustRightInd w:val="0"/>
              <w:snapToGrid w:val="0"/>
              <w:jc w:val="center"/>
            </w:pPr>
          </w:p>
        </w:tc>
        <w:tc>
          <w:tcPr>
            <w:tcW w:w="1130" w:type="dxa"/>
            <w:vMerge/>
            <w:tcBorders>
              <w:tl2br w:val="nil"/>
              <w:tr2bl w:val="nil"/>
            </w:tcBorders>
            <w:vAlign w:val="center"/>
          </w:tcPr>
          <w:p w14:paraId="499607DE" w14:textId="77777777" w:rsidR="00FB0984" w:rsidRDefault="00FB0984" w:rsidP="00FB0984">
            <w:pPr>
              <w:adjustRightInd w:val="0"/>
              <w:snapToGrid w:val="0"/>
              <w:jc w:val="center"/>
            </w:pPr>
          </w:p>
        </w:tc>
        <w:tc>
          <w:tcPr>
            <w:tcW w:w="1905" w:type="dxa"/>
            <w:tcBorders>
              <w:tl2br w:val="nil"/>
              <w:tr2bl w:val="nil"/>
            </w:tcBorders>
            <w:vAlign w:val="center"/>
          </w:tcPr>
          <w:p w14:paraId="1BB8A512" w14:textId="77777777" w:rsidR="00FB0984" w:rsidRDefault="00FB0984" w:rsidP="00FB0984">
            <w:pPr>
              <w:adjustRightInd w:val="0"/>
              <w:snapToGrid w:val="0"/>
              <w:jc w:val="center"/>
            </w:pPr>
            <w:r>
              <w:t>标准指数</w:t>
            </w:r>
          </w:p>
        </w:tc>
        <w:tc>
          <w:tcPr>
            <w:tcW w:w="2149" w:type="dxa"/>
            <w:tcBorders>
              <w:top w:val="single" w:sz="6" w:space="0" w:color="auto"/>
              <w:left w:val="nil"/>
              <w:bottom w:val="single" w:sz="4" w:space="0" w:color="auto"/>
              <w:right w:val="single" w:sz="4" w:space="0" w:color="auto"/>
            </w:tcBorders>
            <w:vAlign w:val="center"/>
          </w:tcPr>
          <w:p w14:paraId="15A159B7" w14:textId="6E880410" w:rsidR="00FB0984" w:rsidRDefault="00FB0984" w:rsidP="00FB0984">
            <w:pPr>
              <w:widowControl/>
              <w:adjustRightInd w:val="0"/>
              <w:snapToGrid w:val="0"/>
              <w:jc w:val="center"/>
              <w:textAlignment w:val="center"/>
            </w:pPr>
            <w:r>
              <w:rPr>
                <w:rFonts w:hint="eastAsia"/>
                <w:color w:val="000000"/>
                <w:sz w:val="22"/>
                <w:szCs w:val="22"/>
              </w:rPr>
              <w:t xml:space="preserve">0.53 </w:t>
            </w:r>
          </w:p>
        </w:tc>
        <w:tc>
          <w:tcPr>
            <w:tcW w:w="2150" w:type="dxa"/>
            <w:tcBorders>
              <w:top w:val="single" w:sz="6" w:space="0" w:color="auto"/>
              <w:left w:val="single" w:sz="4" w:space="0" w:color="auto"/>
              <w:bottom w:val="single" w:sz="4" w:space="0" w:color="auto"/>
              <w:right w:val="single" w:sz="4" w:space="0" w:color="auto"/>
            </w:tcBorders>
            <w:vAlign w:val="center"/>
          </w:tcPr>
          <w:p w14:paraId="104C5741" w14:textId="7310DCDC" w:rsidR="00FB0984" w:rsidRDefault="00FB0984" w:rsidP="00FB0984">
            <w:pPr>
              <w:widowControl/>
              <w:adjustRightInd w:val="0"/>
              <w:snapToGrid w:val="0"/>
              <w:jc w:val="center"/>
              <w:textAlignment w:val="center"/>
              <w:rPr>
                <w:color w:val="000000"/>
                <w:kern w:val="0"/>
                <w:lang w:bidi="ar"/>
              </w:rPr>
            </w:pPr>
            <w:r>
              <w:rPr>
                <w:rFonts w:hint="eastAsia"/>
                <w:color w:val="000000"/>
                <w:sz w:val="22"/>
                <w:szCs w:val="22"/>
              </w:rPr>
              <w:t xml:space="preserve">0.53 </w:t>
            </w:r>
          </w:p>
        </w:tc>
        <w:tc>
          <w:tcPr>
            <w:tcW w:w="2149" w:type="dxa"/>
            <w:tcBorders>
              <w:top w:val="single" w:sz="6" w:space="0" w:color="auto"/>
              <w:left w:val="single" w:sz="4" w:space="0" w:color="auto"/>
              <w:bottom w:val="single" w:sz="4" w:space="0" w:color="auto"/>
              <w:right w:val="single" w:sz="4" w:space="0" w:color="auto"/>
            </w:tcBorders>
            <w:vAlign w:val="center"/>
          </w:tcPr>
          <w:p w14:paraId="69FB8178" w14:textId="68F5D849" w:rsidR="00FB0984" w:rsidRDefault="00FB0984" w:rsidP="00FB0984">
            <w:pPr>
              <w:widowControl/>
              <w:adjustRightInd w:val="0"/>
              <w:snapToGrid w:val="0"/>
              <w:jc w:val="center"/>
              <w:textAlignment w:val="center"/>
            </w:pPr>
            <w:r>
              <w:rPr>
                <w:rFonts w:hint="eastAsia"/>
                <w:color w:val="000000"/>
                <w:sz w:val="22"/>
                <w:szCs w:val="22"/>
              </w:rPr>
              <w:t xml:space="preserve">0.52 </w:t>
            </w:r>
          </w:p>
        </w:tc>
        <w:tc>
          <w:tcPr>
            <w:tcW w:w="2150" w:type="dxa"/>
            <w:tcBorders>
              <w:top w:val="single" w:sz="6" w:space="0" w:color="auto"/>
              <w:left w:val="single" w:sz="4" w:space="0" w:color="auto"/>
              <w:bottom w:val="single" w:sz="4" w:space="0" w:color="auto"/>
              <w:right w:val="nil"/>
            </w:tcBorders>
            <w:vAlign w:val="center"/>
          </w:tcPr>
          <w:p w14:paraId="70A2B713" w14:textId="3A7745CE" w:rsidR="00FB0984" w:rsidRDefault="00FB0984" w:rsidP="00FB0984">
            <w:pPr>
              <w:widowControl/>
              <w:adjustRightInd w:val="0"/>
              <w:snapToGrid w:val="0"/>
              <w:jc w:val="center"/>
              <w:textAlignment w:val="center"/>
            </w:pPr>
            <w:r>
              <w:rPr>
                <w:rFonts w:hint="eastAsia"/>
                <w:color w:val="000000"/>
                <w:sz w:val="22"/>
                <w:szCs w:val="22"/>
              </w:rPr>
              <w:t xml:space="preserve">0.33 </w:t>
            </w:r>
          </w:p>
        </w:tc>
        <w:tc>
          <w:tcPr>
            <w:tcW w:w="1467" w:type="dxa"/>
            <w:vMerge/>
            <w:tcBorders>
              <w:tl2br w:val="nil"/>
              <w:tr2bl w:val="nil"/>
            </w:tcBorders>
            <w:vAlign w:val="center"/>
          </w:tcPr>
          <w:p w14:paraId="2D5655FB" w14:textId="77777777" w:rsidR="00FB0984" w:rsidRDefault="00FB0984" w:rsidP="00FB0984">
            <w:pPr>
              <w:adjustRightInd w:val="0"/>
              <w:snapToGrid w:val="0"/>
              <w:jc w:val="center"/>
            </w:pPr>
          </w:p>
        </w:tc>
      </w:tr>
      <w:tr w:rsidR="000225D1" w14:paraId="30E304FF" w14:textId="77777777" w:rsidTr="00FB0984">
        <w:trPr>
          <w:trHeight w:val="57"/>
          <w:jc w:val="center"/>
        </w:trPr>
        <w:tc>
          <w:tcPr>
            <w:tcW w:w="1127" w:type="dxa"/>
            <w:vMerge w:val="restart"/>
            <w:vAlign w:val="center"/>
          </w:tcPr>
          <w:p w14:paraId="37CF94CC" w14:textId="24654F54" w:rsidR="000225D1" w:rsidRDefault="000225D1" w:rsidP="000225D1">
            <w:pPr>
              <w:widowControl/>
              <w:adjustRightInd w:val="0"/>
              <w:snapToGrid w:val="0"/>
              <w:jc w:val="center"/>
              <w:textAlignment w:val="center"/>
            </w:pPr>
            <w:r>
              <w:rPr>
                <w:bCs/>
              </w:rPr>
              <w:t>石油类</w:t>
            </w:r>
          </w:p>
        </w:tc>
        <w:tc>
          <w:tcPr>
            <w:tcW w:w="1130" w:type="dxa"/>
            <w:vMerge w:val="restart"/>
            <w:tcBorders>
              <w:tl2br w:val="nil"/>
              <w:tr2bl w:val="nil"/>
            </w:tcBorders>
            <w:vAlign w:val="center"/>
          </w:tcPr>
          <w:p w14:paraId="318C1F77" w14:textId="77777777" w:rsidR="000225D1" w:rsidRDefault="000225D1" w:rsidP="000225D1">
            <w:pPr>
              <w:adjustRightInd w:val="0"/>
              <w:snapToGrid w:val="0"/>
              <w:jc w:val="center"/>
            </w:pPr>
            <w:r>
              <w:rPr>
                <w:color w:val="000000"/>
                <w:kern w:val="0"/>
                <w:lang w:bidi="ar"/>
              </w:rPr>
              <w:t>mg/L</w:t>
            </w:r>
          </w:p>
        </w:tc>
        <w:tc>
          <w:tcPr>
            <w:tcW w:w="1905" w:type="dxa"/>
            <w:tcBorders>
              <w:tl2br w:val="nil"/>
              <w:tr2bl w:val="nil"/>
            </w:tcBorders>
            <w:vAlign w:val="center"/>
          </w:tcPr>
          <w:p w14:paraId="679FEB66" w14:textId="77777777" w:rsidR="000225D1" w:rsidRDefault="000225D1" w:rsidP="000225D1">
            <w:pPr>
              <w:adjustRightInd w:val="0"/>
              <w:snapToGrid w:val="0"/>
              <w:jc w:val="center"/>
            </w:pPr>
            <w:r>
              <w:t>监测值（</w:t>
            </w:r>
            <w:r>
              <w:t>Max</w:t>
            </w:r>
            <w:r>
              <w:t>）</w:t>
            </w:r>
          </w:p>
        </w:tc>
        <w:tc>
          <w:tcPr>
            <w:tcW w:w="2149" w:type="dxa"/>
            <w:tcBorders>
              <w:top w:val="single" w:sz="4" w:space="0" w:color="auto"/>
              <w:left w:val="nil"/>
              <w:bottom w:val="single" w:sz="4" w:space="0" w:color="auto"/>
              <w:right w:val="single" w:sz="4" w:space="0" w:color="auto"/>
            </w:tcBorders>
            <w:vAlign w:val="center"/>
          </w:tcPr>
          <w:p w14:paraId="7D1699B8" w14:textId="4109D0CE" w:rsidR="000225D1" w:rsidRDefault="000225D1" w:rsidP="000225D1">
            <w:pPr>
              <w:widowControl/>
              <w:adjustRightInd w:val="0"/>
              <w:snapToGrid w:val="0"/>
              <w:jc w:val="center"/>
              <w:textAlignment w:val="center"/>
            </w:pPr>
            <w:r>
              <w:rPr>
                <w:color w:val="000000"/>
              </w:rPr>
              <w:t>0.01L</w:t>
            </w:r>
          </w:p>
        </w:tc>
        <w:tc>
          <w:tcPr>
            <w:tcW w:w="2150" w:type="dxa"/>
            <w:tcBorders>
              <w:top w:val="single" w:sz="4" w:space="0" w:color="auto"/>
              <w:left w:val="single" w:sz="4" w:space="0" w:color="auto"/>
            </w:tcBorders>
            <w:vAlign w:val="center"/>
          </w:tcPr>
          <w:p w14:paraId="717EB4E6" w14:textId="3D654FC7" w:rsidR="000225D1" w:rsidRDefault="000225D1" w:rsidP="000225D1">
            <w:pPr>
              <w:widowControl/>
              <w:adjustRightInd w:val="0"/>
              <w:snapToGrid w:val="0"/>
              <w:jc w:val="center"/>
              <w:textAlignment w:val="center"/>
              <w:rPr>
                <w:color w:val="000000"/>
                <w:kern w:val="0"/>
                <w:lang w:bidi="ar"/>
              </w:rPr>
            </w:pPr>
            <w:r>
              <w:rPr>
                <w:color w:val="000000"/>
              </w:rPr>
              <w:t>0.01L</w:t>
            </w:r>
          </w:p>
        </w:tc>
        <w:tc>
          <w:tcPr>
            <w:tcW w:w="2149" w:type="dxa"/>
            <w:tcBorders>
              <w:top w:val="single" w:sz="4" w:space="0" w:color="auto"/>
              <w:tl2br w:val="nil"/>
              <w:tr2bl w:val="nil"/>
            </w:tcBorders>
            <w:vAlign w:val="center"/>
          </w:tcPr>
          <w:p w14:paraId="671416BC" w14:textId="152CE490" w:rsidR="000225D1" w:rsidRDefault="000225D1" w:rsidP="000225D1">
            <w:pPr>
              <w:widowControl/>
              <w:adjustRightInd w:val="0"/>
              <w:snapToGrid w:val="0"/>
              <w:jc w:val="center"/>
              <w:textAlignment w:val="center"/>
            </w:pPr>
            <w:r>
              <w:rPr>
                <w:color w:val="000000"/>
              </w:rPr>
              <w:t>0.01L</w:t>
            </w:r>
          </w:p>
        </w:tc>
        <w:tc>
          <w:tcPr>
            <w:tcW w:w="2150" w:type="dxa"/>
            <w:tcBorders>
              <w:top w:val="single" w:sz="4" w:space="0" w:color="auto"/>
              <w:tl2br w:val="nil"/>
              <w:tr2bl w:val="nil"/>
            </w:tcBorders>
            <w:vAlign w:val="center"/>
          </w:tcPr>
          <w:p w14:paraId="08B923E9" w14:textId="51E85A6E" w:rsidR="000225D1" w:rsidRDefault="000225D1" w:rsidP="000225D1">
            <w:pPr>
              <w:widowControl/>
              <w:adjustRightInd w:val="0"/>
              <w:snapToGrid w:val="0"/>
              <w:jc w:val="center"/>
              <w:textAlignment w:val="center"/>
            </w:pPr>
            <w:r>
              <w:rPr>
                <w:color w:val="000000"/>
              </w:rPr>
              <w:t>0.01L</w:t>
            </w:r>
          </w:p>
        </w:tc>
        <w:tc>
          <w:tcPr>
            <w:tcW w:w="1467" w:type="dxa"/>
            <w:vMerge w:val="restart"/>
            <w:tcBorders>
              <w:tl2br w:val="nil"/>
              <w:tr2bl w:val="nil"/>
            </w:tcBorders>
            <w:vAlign w:val="center"/>
          </w:tcPr>
          <w:p w14:paraId="41A34D8E" w14:textId="532A3367" w:rsidR="000225D1" w:rsidRDefault="00A11B36" w:rsidP="000225D1">
            <w:pPr>
              <w:widowControl/>
              <w:adjustRightInd w:val="0"/>
              <w:snapToGrid w:val="0"/>
              <w:jc w:val="center"/>
              <w:textAlignment w:val="center"/>
            </w:pPr>
            <w:r>
              <w:rPr>
                <w:rFonts w:hint="eastAsia"/>
                <w:color w:val="000000"/>
                <w:kern w:val="0"/>
                <w:lang w:bidi="ar"/>
              </w:rPr>
              <w:t>1.0</w:t>
            </w:r>
          </w:p>
        </w:tc>
      </w:tr>
      <w:tr w:rsidR="00FB0984" w14:paraId="7992F0FF" w14:textId="77777777" w:rsidTr="000C7D35">
        <w:trPr>
          <w:trHeight w:val="57"/>
          <w:jc w:val="center"/>
        </w:trPr>
        <w:tc>
          <w:tcPr>
            <w:tcW w:w="1127" w:type="dxa"/>
            <w:vMerge/>
            <w:vAlign w:val="center"/>
          </w:tcPr>
          <w:p w14:paraId="10437E43" w14:textId="77777777" w:rsidR="00FB0984" w:rsidRDefault="00FB0984" w:rsidP="00FB0984">
            <w:pPr>
              <w:adjustRightInd w:val="0"/>
              <w:snapToGrid w:val="0"/>
              <w:jc w:val="center"/>
            </w:pPr>
          </w:p>
        </w:tc>
        <w:tc>
          <w:tcPr>
            <w:tcW w:w="1130" w:type="dxa"/>
            <w:vMerge/>
            <w:tcBorders>
              <w:tl2br w:val="nil"/>
              <w:tr2bl w:val="nil"/>
            </w:tcBorders>
            <w:vAlign w:val="center"/>
          </w:tcPr>
          <w:p w14:paraId="084F78BB" w14:textId="77777777" w:rsidR="00FB0984" w:rsidRDefault="00FB0984" w:rsidP="00FB0984">
            <w:pPr>
              <w:adjustRightInd w:val="0"/>
              <w:snapToGrid w:val="0"/>
              <w:jc w:val="center"/>
            </w:pPr>
          </w:p>
        </w:tc>
        <w:tc>
          <w:tcPr>
            <w:tcW w:w="1905" w:type="dxa"/>
            <w:tcBorders>
              <w:tl2br w:val="nil"/>
              <w:tr2bl w:val="nil"/>
            </w:tcBorders>
            <w:vAlign w:val="center"/>
          </w:tcPr>
          <w:p w14:paraId="6BD74DBC" w14:textId="77777777" w:rsidR="00FB0984" w:rsidRDefault="00FB0984" w:rsidP="00FB0984">
            <w:pPr>
              <w:adjustRightInd w:val="0"/>
              <w:snapToGrid w:val="0"/>
              <w:jc w:val="center"/>
            </w:pPr>
            <w:r>
              <w:t>标准指数</w:t>
            </w:r>
          </w:p>
        </w:tc>
        <w:tc>
          <w:tcPr>
            <w:tcW w:w="2149" w:type="dxa"/>
            <w:tcBorders>
              <w:top w:val="single" w:sz="4" w:space="0" w:color="auto"/>
              <w:left w:val="nil"/>
              <w:bottom w:val="single" w:sz="4" w:space="0" w:color="auto"/>
              <w:right w:val="single" w:sz="4" w:space="0" w:color="auto"/>
            </w:tcBorders>
          </w:tcPr>
          <w:p w14:paraId="3DCE2127" w14:textId="1BEFE3ED" w:rsidR="00FB0984" w:rsidRDefault="00FB0984" w:rsidP="00FB0984">
            <w:pPr>
              <w:widowControl/>
              <w:adjustRightInd w:val="0"/>
              <w:snapToGrid w:val="0"/>
              <w:jc w:val="center"/>
              <w:textAlignment w:val="center"/>
            </w:pPr>
            <w:r w:rsidRPr="00F5101C">
              <w:rPr>
                <w:color w:val="000000"/>
                <w:kern w:val="0"/>
                <w:lang w:bidi="ar"/>
              </w:rPr>
              <w:t>/</w:t>
            </w:r>
          </w:p>
        </w:tc>
        <w:tc>
          <w:tcPr>
            <w:tcW w:w="2150" w:type="dxa"/>
            <w:tcBorders>
              <w:left w:val="single" w:sz="4" w:space="0" w:color="auto"/>
            </w:tcBorders>
          </w:tcPr>
          <w:p w14:paraId="79A27C88" w14:textId="5D07B577" w:rsidR="00FB0984" w:rsidRDefault="00FB0984" w:rsidP="00FB0984">
            <w:pPr>
              <w:widowControl/>
              <w:adjustRightInd w:val="0"/>
              <w:snapToGrid w:val="0"/>
              <w:jc w:val="center"/>
              <w:textAlignment w:val="center"/>
              <w:rPr>
                <w:color w:val="000000"/>
                <w:kern w:val="0"/>
                <w:lang w:bidi="ar"/>
              </w:rPr>
            </w:pPr>
            <w:r w:rsidRPr="00F5101C">
              <w:rPr>
                <w:color w:val="000000"/>
                <w:kern w:val="0"/>
                <w:lang w:bidi="ar"/>
              </w:rPr>
              <w:t>/</w:t>
            </w:r>
          </w:p>
        </w:tc>
        <w:tc>
          <w:tcPr>
            <w:tcW w:w="2149" w:type="dxa"/>
            <w:tcBorders>
              <w:tl2br w:val="nil"/>
              <w:tr2bl w:val="nil"/>
            </w:tcBorders>
          </w:tcPr>
          <w:p w14:paraId="27DAB8C0" w14:textId="0BC9832E" w:rsidR="00FB0984" w:rsidRDefault="00FB0984" w:rsidP="00FB0984">
            <w:pPr>
              <w:widowControl/>
              <w:adjustRightInd w:val="0"/>
              <w:snapToGrid w:val="0"/>
              <w:jc w:val="center"/>
              <w:textAlignment w:val="center"/>
            </w:pPr>
            <w:r w:rsidRPr="00F5101C">
              <w:rPr>
                <w:color w:val="000000"/>
                <w:kern w:val="0"/>
                <w:lang w:bidi="ar"/>
              </w:rPr>
              <w:t>/</w:t>
            </w:r>
          </w:p>
        </w:tc>
        <w:tc>
          <w:tcPr>
            <w:tcW w:w="2150" w:type="dxa"/>
            <w:tcBorders>
              <w:tl2br w:val="nil"/>
              <w:tr2bl w:val="nil"/>
            </w:tcBorders>
          </w:tcPr>
          <w:p w14:paraId="0CEE6097" w14:textId="4CBA333B" w:rsidR="00FB0984" w:rsidRDefault="00FB0984" w:rsidP="00FB0984">
            <w:pPr>
              <w:widowControl/>
              <w:adjustRightInd w:val="0"/>
              <w:snapToGrid w:val="0"/>
              <w:jc w:val="center"/>
              <w:textAlignment w:val="center"/>
            </w:pPr>
            <w:r w:rsidRPr="00F5101C">
              <w:rPr>
                <w:color w:val="000000"/>
                <w:kern w:val="0"/>
                <w:lang w:bidi="ar"/>
              </w:rPr>
              <w:t>/</w:t>
            </w:r>
          </w:p>
        </w:tc>
        <w:tc>
          <w:tcPr>
            <w:tcW w:w="1467" w:type="dxa"/>
            <w:vMerge/>
            <w:tcBorders>
              <w:tl2br w:val="nil"/>
              <w:tr2bl w:val="nil"/>
            </w:tcBorders>
            <w:vAlign w:val="center"/>
          </w:tcPr>
          <w:p w14:paraId="2FFC353B" w14:textId="77777777" w:rsidR="00FB0984" w:rsidRDefault="00FB0984" w:rsidP="00FB0984">
            <w:pPr>
              <w:adjustRightInd w:val="0"/>
              <w:snapToGrid w:val="0"/>
              <w:jc w:val="center"/>
            </w:pPr>
          </w:p>
        </w:tc>
      </w:tr>
      <w:tr w:rsidR="000225D1" w14:paraId="1A75F664" w14:textId="77777777" w:rsidTr="000225D1">
        <w:trPr>
          <w:trHeight w:val="57"/>
          <w:jc w:val="center"/>
        </w:trPr>
        <w:tc>
          <w:tcPr>
            <w:tcW w:w="1127" w:type="dxa"/>
            <w:vMerge w:val="restart"/>
            <w:vAlign w:val="center"/>
          </w:tcPr>
          <w:p w14:paraId="5C9333DD" w14:textId="2A17CFB7" w:rsidR="000225D1" w:rsidRDefault="000225D1" w:rsidP="000225D1">
            <w:pPr>
              <w:widowControl/>
              <w:adjustRightInd w:val="0"/>
              <w:snapToGrid w:val="0"/>
              <w:jc w:val="center"/>
              <w:textAlignment w:val="center"/>
            </w:pPr>
            <w:r>
              <w:rPr>
                <w:rFonts w:hint="eastAsia"/>
                <w:bCs/>
              </w:rPr>
              <w:t>硫化物</w:t>
            </w:r>
          </w:p>
        </w:tc>
        <w:tc>
          <w:tcPr>
            <w:tcW w:w="1130" w:type="dxa"/>
            <w:vMerge w:val="restart"/>
            <w:tcBorders>
              <w:tl2br w:val="nil"/>
              <w:tr2bl w:val="nil"/>
            </w:tcBorders>
            <w:vAlign w:val="center"/>
          </w:tcPr>
          <w:p w14:paraId="16398113" w14:textId="77777777" w:rsidR="000225D1" w:rsidRDefault="000225D1" w:rsidP="000225D1">
            <w:pPr>
              <w:adjustRightInd w:val="0"/>
              <w:snapToGrid w:val="0"/>
              <w:jc w:val="center"/>
            </w:pPr>
            <w:r>
              <w:t>mg/L</w:t>
            </w:r>
          </w:p>
        </w:tc>
        <w:tc>
          <w:tcPr>
            <w:tcW w:w="1905" w:type="dxa"/>
            <w:tcBorders>
              <w:tl2br w:val="nil"/>
              <w:tr2bl w:val="nil"/>
            </w:tcBorders>
            <w:vAlign w:val="center"/>
          </w:tcPr>
          <w:p w14:paraId="37197CEF" w14:textId="77777777" w:rsidR="000225D1" w:rsidRDefault="000225D1" w:rsidP="000225D1">
            <w:pPr>
              <w:adjustRightInd w:val="0"/>
              <w:snapToGrid w:val="0"/>
              <w:jc w:val="center"/>
            </w:pPr>
            <w:r>
              <w:t>监测值（</w:t>
            </w:r>
            <w:r>
              <w:t>Max</w:t>
            </w:r>
            <w:r>
              <w:t>）</w:t>
            </w:r>
          </w:p>
        </w:tc>
        <w:tc>
          <w:tcPr>
            <w:tcW w:w="2149" w:type="dxa"/>
            <w:tcBorders>
              <w:top w:val="single" w:sz="4" w:space="0" w:color="auto"/>
              <w:left w:val="nil"/>
              <w:bottom w:val="single" w:sz="4" w:space="0" w:color="auto"/>
              <w:right w:val="single" w:sz="4" w:space="0" w:color="auto"/>
            </w:tcBorders>
            <w:vAlign w:val="center"/>
          </w:tcPr>
          <w:p w14:paraId="67DABE27" w14:textId="458E06A2" w:rsidR="000225D1" w:rsidRDefault="000225D1" w:rsidP="000225D1">
            <w:pPr>
              <w:widowControl/>
              <w:adjustRightInd w:val="0"/>
              <w:snapToGrid w:val="0"/>
              <w:jc w:val="center"/>
              <w:textAlignment w:val="center"/>
            </w:pPr>
            <w:r>
              <w:rPr>
                <w:color w:val="000000"/>
              </w:rPr>
              <w:t>0.01L</w:t>
            </w:r>
          </w:p>
        </w:tc>
        <w:tc>
          <w:tcPr>
            <w:tcW w:w="2150" w:type="dxa"/>
            <w:tcBorders>
              <w:left w:val="single" w:sz="4" w:space="0" w:color="auto"/>
            </w:tcBorders>
            <w:vAlign w:val="center"/>
          </w:tcPr>
          <w:p w14:paraId="1E26B97F" w14:textId="40ECC208" w:rsidR="000225D1" w:rsidRDefault="000225D1" w:rsidP="000225D1">
            <w:pPr>
              <w:widowControl/>
              <w:adjustRightInd w:val="0"/>
              <w:snapToGrid w:val="0"/>
              <w:jc w:val="center"/>
              <w:textAlignment w:val="center"/>
              <w:rPr>
                <w:color w:val="000000"/>
                <w:kern w:val="0"/>
                <w:lang w:bidi="ar"/>
              </w:rPr>
            </w:pPr>
            <w:r>
              <w:rPr>
                <w:color w:val="000000"/>
              </w:rPr>
              <w:t>0.01L</w:t>
            </w:r>
          </w:p>
        </w:tc>
        <w:tc>
          <w:tcPr>
            <w:tcW w:w="2149" w:type="dxa"/>
            <w:tcBorders>
              <w:tl2br w:val="nil"/>
              <w:tr2bl w:val="nil"/>
            </w:tcBorders>
            <w:vAlign w:val="center"/>
          </w:tcPr>
          <w:p w14:paraId="4DBDDC7F" w14:textId="6FCCCE42" w:rsidR="000225D1" w:rsidRDefault="000225D1" w:rsidP="000225D1">
            <w:pPr>
              <w:widowControl/>
              <w:adjustRightInd w:val="0"/>
              <w:snapToGrid w:val="0"/>
              <w:jc w:val="center"/>
              <w:textAlignment w:val="center"/>
            </w:pPr>
            <w:r>
              <w:rPr>
                <w:color w:val="000000"/>
              </w:rPr>
              <w:t>0.01L</w:t>
            </w:r>
          </w:p>
        </w:tc>
        <w:tc>
          <w:tcPr>
            <w:tcW w:w="2150" w:type="dxa"/>
            <w:tcBorders>
              <w:tl2br w:val="nil"/>
              <w:tr2bl w:val="nil"/>
            </w:tcBorders>
            <w:vAlign w:val="center"/>
          </w:tcPr>
          <w:p w14:paraId="07C0D76C" w14:textId="4F0198C4" w:rsidR="000225D1" w:rsidRDefault="000225D1" w:rsidP="000225D1">
            <w:pPr>
              <w:widowControl/>
              <w:adjustRightInd w:val="0"/>
              <w:snapToGrid w:val="0"/>
              <w:jc w:val="center"/>
              <w:textAlignment w:val="center"/>
            </w:pPr>
            <w:r>
              <w:rPr>
                <w:color w:val="000000"/>
              </w:rPr>
              <w:t>0.01L</w:t>
            </w:r>
          </w:p>
        </w:tc>
        <w:tc>
          <w:tcPr>
            <w:tcW w:w="1467" w:type="dxa"/>
            <w:vMerge w:val="restart"/>
            <w:tcBorders>
              <w:tl2br w:val="nil"/>
              <w:tr2bl w:val="nil"/>
            </w:tcBorders>
            <w:vAlign w:val="center"/>
          </w:tcPr>
          <w:p w14:paraId="0C14F133" w14:textId="1848023D" w:rsidR="000225D1" w:rsidRDefault="00A11B36" w:rsidP="000225D1">
            <w:pPr>
              <w:widowControl/>
              <w:adjustRightInd w:val="0"/>
              <w:snapToGrid w:val="0"/>
              <w:jc w:val="center"/>
              <w:textAlignment w:val="center"/>
            </w:pPr>
            <w:r>
              <w:rPr>
                <w:rFonts w:hint="eastAsia"/>
                <w:color w:val="000000"/>
                <w:kern w:val="0"/>
                <w:lang w:bidi="ar"/>
              </w:rPr>
              <w:t>1.0</w:t>
            </w:r>
          </w:p>
        </w:tc>
      </w:tr>
      <w:tr w:rsidR="00FB0984" w14:paraId="5BF4C305" w14:textId="77777777" w:rsidTr="00486F2F">
        <w:trPr>
          <w:trHeight w:val="57"/>
          <w:jc w:val="center"/>
        </w:trPr>
        <w:tc>
          <w:tcPr>
            <w:tcW w:w="1127" w:type="dxa"/>
            <w:vMerge/>
            <w:tcBorders>
              <w:tl2br w:val="nil"/>
              <w:tr2bl w:val="nil"/>
            </w:tcBorders>
            <w:vAlign w:val="center"/>
          </w:tcPr>
          <w:p w14:paraId="3A7A0B08" w14:textId="77777777" w:rsidR="00FB0984" w:rsidRDefault="00FB0984" w:rsidP="00FB0984">
            <w:pPr>
              <w:adjustRightInd w:val="0"/>
              <w:snapToGrid w:val="0"/>
              <w:jc w:val="center"/>
            </w:pPr>
          </w:p>
        </w:tc>
        <w:tc>
          <w:tcPr>
            <w:tcW w:w="1130" w:type="dxa"/>
            <w:vMerge/>
            <w:tcBorders>
              <w:tl2br w:val="nil"/>
              <w:tr2bl w:val="nil"/>
            </w:tcBorders>
            <w:vAlign w:val="center"/>
          </w:tcPr>
          <w:p w14:paraId="77060E4A" w14:textId="77777777" w:rsidR="00FB0984" w:rsidRDefault="00FB0984" w:rsidP="00FB0984">
            <w:pPr>
              <w:adjustRightInd w:val="0"/>
              <w:snapToGrid w:val="0"/>
              <w:jc w:val="center"/>
            </w:pPr>
          </w:p>
        </w:tc>
        <w:tc>
          <w:tcPr>
            <w:tcW w:w="1905" w:type="dxa"/>
            <w:tcBorders>
              <w:tl2br w:val="nil"/>
              <w:tr2bl w:val="nil"/>
            </w:tcBorders>
            <w:vAlign w:val="center"/>
          </w:tcPr>
          <w:p w14:paraId="3E5F2BA9" w14:textId="77777777" w:rsidR="00FB0984" w:rsidRDefault="00FB0984" w:rsidP="00FB0984">
            <w:pPr>
              <w:adjustRightInd w:val="0"/>
              <w:snapToGrid w:val="0"/>
              <w:jc w:val="center"/>
            </w:pPr>
            <w:r>
              <w:t>标准指数</w:t>
            </w:r>
          </w:p>
        </w:tc>
        <w:tc>
          <w:tcPr>
            <w:tcW w:w="2149" w:type="dxa"/>
            <w:tcBorders>
              <w:top w:val="single" w:sz="4" w:space="0" w:color="auto"/>
              <w:left w:val="nil"/>
              <w:bottom w:val="single" w:sz="4" w:space="0" w:color="auto"/>
              <w:right w:val="single" w:sz="4" w:space="0" w:color="auto"/>
            </w:tcBorders>
          </w:tcPr>
          <w:p w14:paraId="641AD91F" w14:textId="3641CBA6" w:rsidR="00FB0984" w:rsidRDefault="00FB0984" w:rsidP="00FB0984">
            <w:pPr>
              <w:widowControl/>
              <w:adjustRightInd w:val="0"/>
              <w:snapToGrid w:val="0"/>
              <w:jc w:val="center"/>
              <w:textAlignment w:val="center"/>
            </w:pPr>
            <w:r w:rsidRPr="00AC2F7C">
              <w:rPr>
                <w:color w:val="000000"/>
                <w:kern w:val="0"/>
                <w:lang w:bidi="ar"/>
              </w:rPr>
              <w:t>/</w:t>
            </w:r>
          </w:p>
        </w:tc>
        <w:tc>
          <w:tcPr>
            <w:tcW w:w="2150" w:type="dxa"/>
            <w:tcBorders>
              <w:left w:val="single" w:sz="4" w:space="0" w:color="auto"/>
            </w:tcBorders>
          </w:tcPr>
          <w:p w14:paraId="7646DEBF" w14:textId="152E721A" w:rsidR="00FB0984" w:rsidRDefault="00FB0984" w:rsidP="00FB0984">
            <w:pPr>
              <w:widowControl/>
              <w:adjustRightInd w:val="0"/>
              <w:snapToGrid w:val="0"/>
              <w:jc w:val="center"/>
              <w:textAlignment w:val="center"/>
              <w:rPr>
                <w:color w:val="000000"/>
                <w:kern w:val="0"/>
                <w:lang w:bidi="ar"/>
              </w:rPr>
            </w:pPr>
            <w:r w:rsidRPr="00AC2F7C">
              <w:rPr>
                <w:color w:val="000000"/>
                <w:kern w:val="0"/>
                <w:lang w:bidi="ar"/>
              </w:rPr>
              <w:t>/</w:t>
            </w:r>
          </w:p>
        </w:tc>
        <w:tc>
          <w:tcPr>
            <w:tcW w:w="2149" w:type="dxa"/>
            <w:tcBorders>
              <w:tl2br w:val="nil"/>
              <w:tr2bl w:val="nil"/>
            </w:tcBorders>
          </w:tcPr>
          <w:p w14:paraId="75085539" w14:textId="31DC1E45" w:rsidR="00FB0984" w:rsidRDefault="00FB0984" w:rsidP="00FB0984">
            <w:pPr>
              <w:widowControl/>
              <w:adjustRightInd w:val="0"/>
              <w:snapToGrid w:val="0"/>
              <w:jc w:val="center"/>
              <w:textAlignment w:val="center"/>
            </w:pPr>
            <w:r w:rsidRPr="00AC2F7C">
              <w:rPr>
                <w:color w:val="000000"/>
                <w:kern w:val="0"/>
                <w:lang w:bidi="ar"/>
              </w:rPr>
              <w:t>/</w:t>
            </w:r>
          </w:p>
        </w:tc>
        <w:tc>
          <w:tcPr>
            <w:tcW w:w="2150" w:type="dxa"/>
            <w:tcBorders>
              <w:tl2br w:val="nil"/>
              <w:tr2bl w:val="nil"/>
            </w:tcBorders>
          </w:tcPr>
          <w:p w14:paraId="5BBA592D" w14:textId="64821A33" w:rsidR="00FB0984" w:rsidRDefault="00FB0984" w:rsidP="00FB0984">
            <w:pPr>
              <w:widowControl/>
              <w:adjustRightInd w:val="0"/>
              <w:snapToGrid w:val="0"/>
              <w:jc w:val="center"/>
              <w:textAlignment w:val="center"/>
            </w:pPr>
            <w:r w:rsidRPr="00AC2F7C">
              <w:rPr>
                <w:color w:val="000000"/>
                <w:kern w:val="0"/>
                <w:lang w:bidi="ar"/>
              </w:rPr>
              <w:t>/</w:t>
            </w:r>
          </w:p>
        </w:tc>
        <w:tc>
          <w:tcPr>
            <w:tcW w:w="1467" w:type="dxa"/>
            <w:vMerge/>
            <w:tcBorders>
              <w:tl2br w:val="nil"/>
              <w:tr2bl w:val="nil"/>
            </w:tcBorders>
            <w:vAlign w:val="center"/>
          </w:tcPr>
          <w:p w14:paraId="16FBFBBA" w14:textId="77777777" w:rsidR="00FB0984" w:rsidRDefault="00FB0984" w:rsidP="00FB0984">
            <w:pPr>
              <w:adjustRightInd w:val="0"/>
              <w:snapToGrid w:val="0"/>
              <w:jc w:val="center"/>
            </w:pPr>
          </w:p>
        </w:tc>
      </w:tr>
      <w:tr w:rsidR="000225D1" w14:paraId="54FE7AB2" w14:textId="77777777" w:rsidTr="000225D1">
        <w:trPr>
          <w:trHeight w:val="57"/>
          <w:jc w:val="center"/>
        </w:trPr>
        <w:tc>
          <w:tcPr>
            <w:tcW w:w="1127" w:type="dxa"/>
            <w:vMerge w:val="restart"/>
            <w:vAlign w:val="center"/>
          </w:tcPr>
          <w:p w14:paraId="48D1E6EB" w14:textId="2A775F3C" w:rsidR="000225D1" w:rsidRDefault="000225D1" w:rsidP="000225D1">
            <w:pPr>
              <w:widowControl/>
              <w:adjustRightInd w:val="0"/>
              <w:snapToGrid w:val="0"/>
              <w:jc w:val="center"/>
              <w:textAlignment w:val="center"/>
            </w:pPr>
            <w:r>
              <w:rPr>
                <w:bCs/>
              </w:rPr>
              <w:t>挥发酚</w:t>
            </w:r>
          </w:p>
        </w:tc>
        <w:tc>
          <w:tcPr>
            <w:tcW w:w="1130" w:type="dxa"/>
            <w:vMerge w:val="restart"/>
            <w:tcBorders>
              <w:tl2br w:val="nil"/>
              <w:tr2bl w:val="nil"/>
            </w:tcBorders>
            <w:vAlign w:val="center"/>
          </w:tcPr>
          <w:p w14:paraId="3794A235" w14:textId="77777777" w:rsidR="000225D1" w:rsidRDefault="000225D1" w:rsidP="000225D1">
            <w:pPr>
              <w:adjustRightInd w:val="0"/>
              <w:snapToGrid w:val="0"/>
              <w:jc w:val="center"/>
            </w:pPr>
            <w:r>
              <w:t>mg/L</w:t>
            </w:r>
          </w:p>
        </w:tc>
        <w:tc>
          <w:tcPr>
            <w:tcW w:w="1905" w:type="dxa"/>
            <w:tcBorders>
              <w:tl2br w:val="nil"/>
              <w:tr2bl w:val="nil"/>
            </w:tcBorders>
            <w:vAlign w:val="center"/>
          </w:tcPr>
          <w:p w14:paraId="5C1FA71D" w14:textId="77777777" w:rsidR="000225D1" w:rsidRDefault="000225D1" w:rsidP="000225D1">
            <w:pPr>
              <w:adjustRightInd w:val="0"/>
              <w:snapToGrid w:val="0"/>
              <w:jc w:val="center"/>
            </w:pPr>
            <w:r>
              <w:t>监测值（</w:t>
            </w:r>
            <w:r>
              <w:t>Max</w:t>
            </w:r>
            <w:r>
              <w:t>）</w:t>
            </w:r>
          </w:p>
        </w:tc>
        <w:tc>
          <w:tcPr>
            <w:tcW w:w="2149" w:type="dxa"/>
            <w:tcBorders>
              <w:top w:val="single" w:sz="4" w:space="0" w:color="auto"/>
              <w:left w:val="nil"/>
              <w:bottom w:val="single" w:sz="4" w:space="0" w:color="auto"/>
              <w:right w:val="single" w:sz="4" w:space="0" w:color="auto"/>
            </w:tcBorders>
            <w:vAlign w:val="center"/>
          </w:tcPr>
          <w:p w14:paraId="455AF7E6" w14:textId="68D4DE33" w:rsidR="000225D1" w:rsidRDefault="000225D1" w:rsidP="000225D1">
            <w:pPr>
              <w:widowControl/>
              <w:adjustRightInd w:val="0"/>
              <w:snapToGrid w:val="0"/>
              <w:jc w:val="center"/>
              <w:textAlignment w:val="center"/>
            </w:pPr>
            <w:r>
              <w:rPr>
                <w:color w:val="000000"/>
              </w:rPr>
              <w:t>0.0003L</w:t>
            </w:r>
          </w:p>
        </w:tc>
        <w:tc>
          <w:tcPr>
            <w:tcW w:w="2150" w:type="dxa"/>
            <w:tcBorders>
              <w:left w:val="single" w:sz="4" w:space="0" w:color="auto"/>
            </w:tcBorders>
            <w:vAlign w:val="center"/>
          </w:tcPr>
          <w:p w14:paraId="51A0F614" w14:textId="075B2860" w:rsidR="000225D1" w:rsidRDefault="000225D1" w:rsidP="000225D1">
            <w:pPr>
              <w:widowControl/>
              <w:adjustRightInd w:val="0"/>
              <w:snapToGrid w:val="0"/>
              <w:jc w:val="center"/>
              <w:textAlignment w:val="center"/>
              <w:rPr>
                <w:color w:val="000000"/>
                <w:kern w:val="0"/>
                <w:lang w:bidi="ar"/>
              </w:rPr>
            </w:pPr>
            <w:r>
              <w:rPr>
                <w:color w:val="000000"/>
              </w:rPr>
              <w:t>0.0003L</w:t>
            </w:r>
          </w:p>
        </w:tc>
        <w:tc>
          <w:tcPr>
            <w:tcW w:w="2149" w:type="dxa"/>
            <w:tcBorders>
              <w:tl2br w:val="nil"/>
              <w:tr2bl w:val="nil"/>
            </w:tcBorders>
            <w:vAlign w:val="center"/>
          </w:tcPr>
          <w:p w14:paraId="4DE50FC4" w14:textId="01ADFBAD" w:rsidR="000225D1" w:rsidRDefault="000225D1" w:rsidP="000225D1">
            <w:pPr>
              <w:widowControl/>
              <w:adjustRightInd w:val="0"/>
              <w:snapToGrid w:val="0"/>
              <w:jc w:val="center"/>
              <w:textAlignment w:val="center"/>
            </w:pPr>
            <w:r>
              <w:rPr>
                <w:color w:val="000000"/>
              </w:rPr>
              <w:t>0.0003L</w:t>
            </w:r>
          </w:p>
        </w:tc>
        <w:tc>
          <w:tcPr>
            <w:tcW w:w="2150" w:type="dxa"/>
            <w:tcBorders>
              <w:tl2br w:val="nil"/>
              <w:tr2bl w:val="nil"/>
            </w:tcBorders>
            <w:vAlign w:val="center"/>
          </w:tcPr>
          <w:p w14:paraId="679AAA8B" w14:textId="5B4DC4ED" w:rsidR="000225D1" w:rsidRDefault="000225D1" w:rsidP="000225D1">
            <w:pPr>
              <w:widowControl/>
              <w:adjustRightInd w:val="0"/>
              <w:snapToGrid w:val="0"/>
              <w:jc w:val="center"/>
              <w:textAlignment w:val="center"/>
            </w:pPr>
            <w:r>
              <w:rPr>
                <w:color w:val="000000"/>
              </w:rPr>
              <w:t>0.0003L</w:t>
            </w:r>
          </w:p>
        </w:tc>
        <w:tc>
          <w:tcPr>
            <w:tcW w:w="1467" w:type="dxa"/>
            <w:vMerge w:val="restart"/>
            <w:tcBorders>
              <w:tl2br w:val="nil"/>
              <w:tr2bl w:val="nil"/>
            </w:tcBorders>
            <w:vAlign w:val="center"/>
          </w:tcPr>
          <w:p w14:paraId="338D7641" w14:textId="77777777" w:rsidR="000225D1" w:rsidRDefault="000225D1" w:rsidP="000225D1">
            <w:pPr>
              <w:widowControl/>
              <w:adjustRightInd w:val="0"/>
              <w:snapToGrid w:val="0"/>
              <w:jc w:val="center"/>
              <w:textAlignment w:val="center"/>
            </w:pPr>
            <w:r>
              <w:rPr>
                <w:color w:val="000000"/>
                <w:kern w:val="0"/>
                <w:lang w:bidi="ar"/>
              </w:rPr>
              <w:t>0.1</w:t>
            </w:r>
          </w:p>
        </w:tc>
      </w:tr>
      <w:tr w:rsidR="00FB0984" w14:paraId="1EBBCEE2" w14:textId="77777777" w:rsidTr="009C2C1C">
        <w:trPr>
          <w:trHeight w:val="57"/>
          <w:jc w:val="center"/>
        </w:trPr>
        <w:tc>
          <w:tcPr>
            <w:tcW w:w="1127" w:type="dxa"/>
            <w:vMerge/>
            <w:vAlign w:val="center"/>
          </w:tcPr>
          <w:p w14:paraId="41B5EBC3" w14:textId="77777777" w:rsidR="00FB0984" w:rsidRDefault="00FB0984" w:rsidP="00FB0984">
            <w:pPr>
              <w:adjustRightInd w:val="0"/>
              <w:snapToGrid w:val="0"/>
              <w:jc w:val="center"/>
            </w:pPr>
          </w:p>
        </w:tc>
        <w:tc>
          <w:tcPr>
            <w:tcW w:w="1130" w:type="dxa"/>
            <w:vMerge/>
            <w:tcBorders>
              <w:tl2br w:val="nil"/>
              <w:tr2bl w:val="nil"/>
            </w:tcBorders>
            <w:vAlign w:val="center"/>
          </w:tcPr>
          <w:p w14:paraId="7B225D4C" w14:textId="77777777" w:rsidR="00FB0984" w:rsidRDefault="00FB0984" w:rsidP="00FB0984">
            <w:pPr>
              <w:adjustRightInd w:val="0"/>
              <w:snapToGrid w:val="0"/>
              <w:jc w:val="center"/>
            </w:pPr>
          </w:p>
        </w:tc>
        <w:tc>
          <w:tcPr>
            <w:tcW w:w="1905" w:type="dxa"/>
            <w:tcBorders>
              <w:tl2br w:val="nil"/>
              <w:tr2bl w:val="nil"/>
            </w:tcBorders>
            <w:vAlign w:val="center"/>
          </w:tcPr>
          <w:p w14:paraId="7062150F" w14:textId="77777777" w:rsidR="00FB0984" w:rsidRDefault="00FB0984" w:rsidP="00FB0984">
            <w:pPr>
              <w:adjustRightInd w:val="0"/>
              <w:snapToGrid w:val="0"/>
              <w:jc w:val="center"/>
            </w:pPr>
            <w:r>
              <w:t>标准指数</w:t>
            </w:r>
          </w:p>
        </w:tc>
        <w:tc>
          <w:tcPr>
            <w:tcW w:w="2149" w:type="dxa"/>
            <w:tcBorders>
              <w:top w:val="single" w:sz="4" w:space="0" w:color="auto"/>
              <w:left w:val="nil"/>
              <w:bottom w:val="single" w:sz="4" w:space="0" w:color="auto"/>
              <w:right w:val="single" w:sz="4" w:space="0" w:color="auto"/>
            </w:tcBorders>
          </w:tcPr>
          <w:p w14:paraId="7DCEC261" w14:textId="721198E3" w:rsidR="00FB0984" w:rsidRDefault="00FB0984" w:rsidP="00FB0984">
            <w:pPr>
              <w:widowControl/>
              <w:adjustRightInd w:val="0"/>
              <w:snapToGrid w:val="0"/>
              <w:jc w:val="center"/>
              <w:textAlignment w:val="center"/>
            </w:pPr>
            <w:r w:rsidRPr="00FF6E33">
              <w:rPr>
                <w:color w:val="000000"/>
                <w:kern w:val="0"/>
                <w:lang w:bidi="ar"/>
              </w:rPr>
              <w:t>/</w:t>
            </w:r>
          </w:p>
        </w:tc>
        <w:tc>
          <w:tcPr>
            <w:tcW w:w="2150" w:type="dxa"/>
            <w:tcBorders>
              <w:left w:val="single" w:sz="4" w:space="0" w:color="auto"/>
            </w:tcBorders>
          </w:tcPr>
          <w:p w14:paraId="42E7E2E2" w14:textId="2823333A" w:rsidR="00FB0984" w:rsidRDefault="00FB0984" w:rsidP="00FB0984">
            <w:pPr>
              <w:widowControl/>
              <w:adjustRightInd w:val="0"/>
              <w:snapToGrid w:val="0"/>
              <w:jc w:val="center"/>
              <w:textAlignment w:val="center"/>
              <w:rPr>
                <w:color w:val="000000"/>
                <w:kern w:val="0"/>
                <w:lang w:bidi="ar"/>
              </w:rPr>
            </w:pPr>
            <w:r w:rsidRPr="00FF6E33">
              <w:rPr>
                <w:color w:val="000000"/>
                <w:kern w:val="0"/>
                <w:lang w:bidi="ar"/>
              </w:rPr>
              <w:t>/</w:t>
            </w:r>
          </w:p>
        </w:tc>
        <w:tc>
          <w:tcPr>
            <w:tcW w:w="2149" w:type="dxa"/>
            <w:tcBorders>
              <w:tl2br w:val="nil"/>
              <w:tr2bl w:val="nil"/>
            </w:tcBorders>
          </w:tcPr>
          <w:p w14:paraId="0003ECAB" w14:textId="69710E29" w:rsidR="00FB0984" w:rsidRDefault="00FB0984" w:rsidP="00FB0984">
            <w:pPr>
              <w:widowControl/>
              <w:adjustRightInd w:val="0"/>
              <w:snapToGrid w:val="0"/>
              <w:jc w:val="center"/>
              <w:textAlignment w:val="center"/>
            </w:pPr>
            <w:r w:rsidRPr="00FF6E33">
              <w:rPr>
                <w:color w:val="000000"/>
                <w:kern w:val="0"/>
                <w:lang w:bidi="ar"/>
              </w:rPr>
              <w:t>/</w:t>
            </w:r>
          </w:p>
        </w:tc>
        <w:tc>
          <w:tcPr>
            <w:tcW w:w="2150" w:type="dxa"/>
            <w:tcBorders>
              <w:tl2br w:val="nil"/>
              <w:tr2bl w:val="nil"/>
            </w:tcBorders>
          </w:tcPr>
          <w:p w14:paraId="319AFF1D" w14:textId="31392FC9" w:rsidR="00FB0984" w:rsidRDefault="00FB0984" w:rsidP="00FB0984">
            <w:pPr>
              <w:widowControl/>
              <w:adjustRightInd w:val="0"/>
              <w:snapToGrid w:val="0"/>
              <w:jc w:val="center"/>
              <w:textAlignment w:val="center"/>
            </w:pPr>
            <w:r w:rsidRPr="00FF6E33">
              <w:rPr>
                <w:color w:val="000000"/>
                <w:kern w:val="0"/>
                <w:lang w:bidi="ar"/>
              </w:rPr>
              <w:t>/</w:t>
            </w:r>
          </w:p>
        </w:tc>
        <w:tc>
          <w:tcPr>
            <w:tcW w:w="1467" w:type="dxa"/>
            <w:vMerge/>
            <w:tcBorders>
              <w:tl2br w:val="nil"/>
              <w:tr2bl w:val="nil"/>
            </w:tcBorders>
            <w:vAlign w:val="center"/>
          </w:tcPr>
          <w:p w14:paraId="2239CEB6" w14:textId="77777777" w:rsidR="00FB0984" w:rsidRDefault="00FB0984" w:rsidP="00FB0984">
            <w:pPr>
              <w:adjustRightInd w:val="0"/>
              <w:snapToGrid w:val="0"/>
              <w:jc w:val="center"/>
            </w:pPr>
          </w:p>
        </w:tc>
      </w:tr>
      <w:tr w:rsidR="000225D1" w14:paraId="6E2700A5" w14:textId="77777777" w:rsidTr="000225D1">
        <w:trPr>
          <w:trHeight w:val="57"/>
          <w:jc w:val="center"/>
        </w:trPr>
        <w:tc>
          <w:tcPr>
            <w:tcW w:w="1127" w:type="dxa"/>
            <w:vMerge w:val="restart"/>
            <w:vAlign w:val="center"/>
          </w:tcPr>
          <w:p w14:paraId="3827FCD5" w14:textId="53DDC135" w:rsidR="000225D1" w:rsidRDefault="000225D1" w:rsidP="000225D1">
            <w:pPr>
              <w:widowControl/>
              <w:adjustRightInd w:val="0"/>
              <w:snapToGrid w:val="0"/>
              <w:jc w:val="center"/>
              <w:textAlignment w:val="center"/>
            </w:pPr>
            <w:r>
              <w:rPr>
                <w:rFonts w:hint="eastAsia"/>
                <w:bCs/>
              </w:rPr>
              <w:t>汞</w:t>
            </w:r>
          </w:p>
        </w:tc>
        <w:tc>
          <w:tcPr>
            <w:tcW w:w="1130" w:type="dxa"/>
            <w:vMerge w:val="restart"/>
            <w:tcBorders>
              <w:tl2br w:val="nil"/>
              <w:tr2bl w:val="nil"/>
            </w:tcBorders>
            <w:vAlign w:val="center"/>
          </w:tcPr>
          <w:p w14:paraId="711B4AB2" w14:textId="77777777" w:rsidR="000225D1" w:rsidRDefault="000225D1" w:rsidP="000225D1">
            <w:pPr>
              <w:adjustRightInd w:val="0"/>
              <w:snapToGrid w:val="0"/>
              <w:jc w:val="center"/>
            </w:pPr>
            <w:r>
              <w:t>mg/L</w:t>
            </w:r>
          </w:p>
        </w:tc>
        <w:tc>
          <w:tcPr>
            <w:tcW w:w="1905" w:type="dxa"/>
            <w:tcBorders>
              <w:tl2br w:val="nil"/>
              <w:tr2bl w:val="nil"/>
            </w:tcBorders>
            <w:vAlign w:val="center"/>
          </w:tcPr>
          <w:p w14:paraId="3F0D8E44" w14:textId="77777777" w:rsidR="000225D1" w:rsidRDefault="000225D1" w:rsidP="000225D1">
            <w:pPr>
              <w:adjustRightInd w:val="0"/>
              <w:snapToGrid w:val="0"/>
              <w:jc w:val="center"/>
            </w:pPr>
            <w:r>
              <w:t>监测值（</w:t>
            </w:r>
            <w:r>
              <w:t>Max</w:t>
            </w:r>
            <w:r>
              <w:t>）</w:t>
            </w:r>
          </w:p>
        </w:tc>
        <w:tc>
          <w:tcPr>
            <w:tcW w:w="2149" w:type="dxa"/>
            <w:tcBorders>
              <w:top w:val="single" w:sz="4" w:space="0" w:color="auto"/>
              <w:left w:val="nil"/>
              <w:bottom w:val="single" w:sz="4" w:space="0" w:color="auto"/>
              <w:right w:val="single" w:sz="4" w:space="0" w:color="auto"/>
            </w:tcBorders>
            <w:vAlign w:val="center"/>
          </w:tcPr>
          <w:p w14:paraId="0617AD6F" w14:textId="5F668FAF" w:rsidR="000225D1" w:rsidRDefault="000225D1" w:rsidP="000225D1">
            <w:pPr>
              <w:widowControl/>
              <w:adjustRightInd w:val="0"/>
              <w:snapToGrid w:val="0"/>
              <w:jc w:val="center"/>
              <w:textAlignment w:val="center"/>
            </w:pPr>
            <w:r>
              <w:rPr>
                <w:color w:val="000000"/>
              </w:rPr>
              <w:t>0.00004L</w:t>
            </w:r>
          </w:p>
        </w:tc>
        <w:tc>
          <w:tcPr>
            <w:tcW w:w="2150" w:type="dxa"/>
            <w:tcBorders>
              <w:left w:val="single" w:sz="4" w:space="0" w:color="auto"/>
            </w:tcBorders>
            <w:vAlign w:val="center"/>
          </w:tcPr>
          <w:p w14:paraId="431F7260" w14:textId="62B786BB" w:rsidR="000225D1" w:rsidRDefault="000225D1" w:rsidP="000225D1">
            <w:pPr>
              <w:widowControl/>
              <w:adjustRightInd w:val="0"/>
              <w:snapToGrid w:val="0"/>
              <w:jc w:val="center"/>
              <w:textAlignment w:val="center"/>
              <w:rPr>
                <w:color w:val="000000"/>
                <w:kern w:val="0"/>
                <w:lang w:bidi="ar"/>
              </w:rPr>
            </w:pPr>
            <w:r>
              <w:rPr>
                <w:color w:val="000000"/>
              </w:rPr>
              <w:t>0.00004L</w:t>
            </w:r>
          </w:p>
        </w:tc>
        <w:tc>
          <w:tcPr>
            <w:tcW w:w="2149" w:type="dxa"/>
            <w:tcBorders>
              <w:tl2br w:val="nil"/>
              <w:tr2bl w:val="nil"/>
            </w:tcBorders>
            <w:vAlign w:val="center"/>
          </w:tcPr>
          <w:p w14:paraId="55652FEC" w14:textId="3B1E2819" w:rsidR="000225D1" w:rsidRDefault="000225D1" w:rsidP="000225D1">
            <w:pPr>
              <w:widowControl/>
              <w:adjustRightInd w:val="0"/>
              <w:snapToGrid w:val="0"/>
              <w:jc w:val="center"/>
              <w:textAlignment w:val="center"/>
            </w:pPr>
            <w:r>
              <w:rPr>
                <w:color w:val="000000"/>
              </w:rPr>
              <w:t>0.00004L</w:t>
            </w:r>
          </w:p>
        </w:tc>
        <w:tc>
          <w:tcPr>
            <w:tcW w:w="2150" w:type="dxa"/>
            <w:tcBorders>
              <w:tl2br w:val="nil"/>
              <w:tr2bl w:val="nil"/>
            </w:tcBorders>
            <w:vAlign w:val="center"/>
          </w:tcPr>
          <w:p w14:paraId="25EC5E35" w14:textId="007E686A" w:rsidR="000225D1" w:rsidRDefault="000225D1" w:rsidP="000225D1">
            <w:pPr>
              <w:widowControl/>
              <w:adjustRightInd w:val="0"/>
              <w:snapToGrid w:val="0"/>
              <w:jc w:val="center"/>
              <w:textAlignment w:val="center"/>
            </w:pPr>
            <w:r>
              <w:rPr>
                <w:color w:val="000000"/>
              </w:rPr>
              <w:t>0.00004L</w:t>
            </w:r>
          </w:p>
        </w:tc>
        <w:tc>
          <w:tcPr>
            <w:tcW w:w="1467" w:type="dxa"/>
            <w:vMerge w:val="restart"/>
            <w:tcBorders>
              <w:tl2br w:val="nil"/>
              <w:tr2bl w:val="nil"/>
            </w:tcBorders>
            <w:vAlign w:val="center"/>
          </w:tcPr>
          <w:p w14:paraId="77E6D930" w14:textId="5A1E5F91" w:rsidR="000225D1" w:rsidRDefault="00A11B36" w:rsidP="000225D1">
            <w:pPr>
              <w:widowControl/>
              <w:adjustRightInd w:val="0"/>
              <w:snapToGrid w:val="0"/>
              <w:jc w:val="center"/>
              <w:textAlignment w:val="center"/>
            </w:pPr>
            <w:r>
              <w:rPr>
                <w:rFonts w:hint="eastAsia"/>
                <w:color w:val="000000"/>
                <w:kern w:val="0"/>
                <w:lang w:bidi="ar"/>
              </w:rPr>
              <w:t>0.001</w:t>
            </w:r>
          </w:p>
        </w:tc>
      </w:tr>
      <w:tr w:rsidR="00FB0984" w14:paraId="7650EED0" w14:textId="77777777" w:rsidTr="005A79B6">
        <w:trPr>
          <w:trHeight w:val="57"/>
          <w:jc w:val="center"/>
        </w:trPr>
        <w:tc>
          <w:tcPr>
            <w:tcW w:w="1127" w:type="dxa"/>
            <w:vMerge/>
            <w:vAlign w:val="center"/>
          </w:tcPr>
          <w:p w14:paraId="69509DAB" w14:textId="77777777" w:rsidR="00FB0984" w:rsidRDefault="00FB0984" w:rsidP="00FB0984">
            <w:pPr>
              <w:adjustRightInd w:val="0"/>
              <w:snapToGrid w:val="0"/>
              <w:jc w:val="center"/>
            </w:pPr>
          </w:p>
        </w:tc>
        <w:tc>
          <w:tcPr>
            <w:tcW w:w="1130" w:type="dxa"/>
            <w:vMerge/>
            <w:tcBorders>
              <w:tl2br w:val="nil"/>
              <w:tr2bl w:val="nil"/>
            </w:tcBorders>
            <w:vAlign w:val="center"/>
          </w:tcPr>
          <w:p w14:paraId="54BDA055" w14:textId="77777777" w:rsidR="00FB0984" w:rsidRDefault="00FB0984" w:rsidP="00FB0984">
            <w:pPr>
              <w:adjustRightInd w:val="0"/>
              <w:snapToGrid w:val="0"/>
              <w:jc w:val="center"/>
            </w:pPr>
          </w:p>
        </w:tc>
        <w:tc>
          <w:tcPr>
            <w:tcW w:w="1905" w:type="dxa"/>
            <w:tcBorders>
              <w:tl2br w:val="nil"/>
              <w:tr2bl w:val="nil"/>
            </w:tcBorders>
            <w:vAlign w:val="center"/>
          </w:tcPr>
          <w:p w14:paraId="09BCB659" w14:textId="77777777" w:rsidR="00FB0984" w:rsidRDefault="00FB0984" w:rsidP="00FB0984">
            <w:pPr>
              <w:adjustRightInd w:val="0"/>
              <w:snapToGrid w:val="0"/>
              <w:jc w:val="center"/>
            </w:pPr>
            <w:r>
              <w:t>标准指数</w:t>
            </w:r>
          </w:p>
        </w:tc>
        <w:tc>
          <w:tcPr>
            <w:tcW w:w="2149" w:type="dxa"/>
            <w:tcBorders>
              <w:top w:val="single" w:sz="4" w:space="0" w:color="auto"/>
              <w:left w:val="nil"/>
              <w:bottom w:val="single" w:sz="4" w:space="0" w:color="auto"/>
              <w:right w:val="single" w:sz="4" w:space="0" w:color="auto"/>
            </w:tcBorders>
          </w:tcPr>
          <w:p w14:paraId="27AC232A" w14:textId="7D99B36F" w:rsidR="00FB0984" w:rsidRDefault="00FB0984" w:rsidP="00FB0984">
            <w:pPr>
              <w:widowControl/>
              <w:adjustRightInd w:val="0"/>
              <w:snapToGrid w:val="0"/>
              <w:jc w:val="center"/>
              <w:textAlignment w:val="center"/>
            </w:pPr>
            <w:r w:rsidRPr="00ED782F">
              <w:rPr>
                <w:color w:val="000000"/>
                <w:kern w:val="0"/>
                <w:lang w:bidi="ar"/>
              </w:rPr>
              <w:t>/</w:t>
            </w:r>
          </w:p>
        </w:tc>
        <w:tc>
          <w:tcPr>
            <w:tcW w:w="2150" w:type="dxa"/>
            <w:tcBorders>
              <w:left w:val="single" w:sz="4" w:space="0" w:color="auto"/>
            </w:tcBorders>
          </w:tcPr>
          <w:p w14:paraId="79C0D5C7" w14:textId="0C85B4EB" w:rsidR="00FB0984" w:rsidRDefault="00FB0984" w:rsidP="00FB0984">
            <w:pPr>
              <w:widowControl/>
              <w:adjustRightInd w:val="0"/>
              <w:snapToGrid w:val="0"/>
              <w:jc w:val="center"/>
              <w:textAlignment w:val="center"/>
              <w:rPr>
                <w:color w:val="000000"/>
                <w:kern w:val="0"/>
                <w:lang w:bidi="ar"/>
              </w:rPr>
            </w:pPr>
            <w:r w:rsidRPr="00ED782F">
              <w:rPr>
                <w:color w:val="000000"/>
                <w:kern w:val="0"/>
                <w:lang w:bidi="ar"/>
              </w:rPr>
              <w:t>/</w:t>
            </w:r>
          </w:p>
        </w:tc>
        <w:tc>
          <w:tcPr>
            <w:tcW w:w="2149" w:type="dxa"/>
            <w:tcBorders>
              <w:tl2br w:val="nil"/>
              <w:tr2bl w:val="nil"/>
            </w:tcBorders>
          </w:tcPr>
          <w:p w14:paraId="11CDC9E4" w14:textId="007A5E23" w:rsidR="00FB0984" w:rsidRDefault="00FB0984" w:rsidP="00FB0984">
            <w:pPr>
              <w:widowControl/>
              <w:adjustRightInd w:val="0"/>
              <w:snapToGrid w:val="0"/>
              <w:jc w:val="center"/>
              <w:textAlignment w:val="center"/>
            </w:pPr>
            <w:r w:rsidRPr="00ED782F">
              <w:rPr>
                <w:color w:val="000000"/>
                <w:kern w:val="0"/>
                <w:lang w:bidi="ar"/>
              </w:rPr>
              <w:t>/</w:t>
            </w:r>
          </w:p>
        </w:tc>
        <w:tc>
          <w:tcPr>
            <w:tcW w:w="2150" w:type="dxa"/>
            <w:tcBorders>
              <w:tl2br w:val="nil"/>
              <w:tr2bl w:val="nil"/>
            </w:tcBorders>
          </w:tcPr>
          <w:p w14:paraId="1EC6FC2F" w14:textId="717A121E" w:rsidR="00FB0984" w:rsidRDefault="00FB0984" w:rsidP="00FB0984">
            <w:pPr>
              <w:widowControl/>
              <w:adjustRightInd w:val="0"/>
              <w:snapToGrid w:val="0"/>
              <w:jc w:val="center"/>
              <w:textAlignment w:val="center"/>
            </w:pPr>
            <w:r w:rsidRPr="00ED782F">
              <w:rPr>
                <w:color w:val="000000"/>
                <w:kern w:val="0"/>
                <w:lang w:bidi="ar"/>
              </w:rPr>
              <w:t>/</w:t>
            </w:r>
          </w:p>
        </w:tc>
        <w:tc>
          <w:tcPr>
            <w:tcW w:w="1467" w:type="dxa"/>
            <w:vMerge/>
            <w:tcBorders>
              <w:tl2br w:val="nil"/>
              <w:tr2bl w:val="nil"/>
            </w:tcBorders>
            <w:vAlign w:val="center"/>
          </w:tcPr>
          <w:p w14:paraId="52C54E12" w14:textId="77777777" w:rsidR="00FB0984" w:rsidRDefault="00FB0984" w:rsidP="00FB0984">
            <w:pPr>
              <w:adjustRightInd w:val="0"/>
              <w:snapToGrid w:val="0"/>
              <w:jc w:val="center"/>
            </w:pPr>
          </w:p>
        </w:tc>
      </w:tr>
      <w:tr w:rsidR="000225D1" w14:paraId="2710AD0C" w14:textId="77777777" w:rsidTr="000225D1">
        <w:trPr>
          <w:trHeight w:val="57"/>
          <w:jc w:val="center"/>
        </w:trPr>
        <w:tc>
          <w:tcPr>
            <w:tcW w:w="1127" w:type="dxa"/>
            <w:vMerge w:val="restart"/>
            <w:vAlign w:val="center"/>
          </w:tcPr>
          <w:p w14:paraId="56780CF5" w14:textId="17904FF0" w:rsidR="000225D1" w:rsidRDefault="000225D1" w:rsidP="000225D1">
            <w:pPr>
              <w:widowControl/>
              <w:adjustRightInd w:val="0"/>
              <w:snapToGrid w:val="0"/>
              <w:jc w:val="center"/>
              <w:textAlignment w:val="center"/>
            </w:pPr>
            <w:r>
              <w:rPr>
                <w:rFonts w:hint="eastAsia"/>
                <w:bCs/>
              </w:rPr>
              <w:t>砷</w:t>
            </w:r>
          </w:p>
        </w:tc>
        <w:tc>
          <w:tcPr>
            <w:tcW w:w="1130" w:type="dxa"/>
            <w:vMerge w:val="restart"/>
            <w:tcBorders>
              <w:tl2br w:val="nil"/>
              <w:tr2bl w:val="nil"/>
            </w:tcBorders>
            <w:vAlign w:val="center"/>
          </w:tcPr>
          <w:p w14:paraId="5695EEA4" w14:textId="77777777" w:rsidR="000225D1" w:rsidRDefault="000225D1" w:rsidP="000225D1">
            <w:pPr>
              <w:adjustRightInd w:val="0"/>
              <w:snapToGrid w:val="0"/>
              <w:jc w:val="center"/>
            </w:pPr>
            <w:r>
              <w:t>mg/L</w:t>
            </w:r>
          </w:p>
        </w:tc>
        <w:tc>
          <w:tcPr>
            <w:tcW w:w="1905" w:type="dxa"/>
            <w:tcBorders>
              <w:tl2br w:val="nil"/>
              <w:tr2bl w:val="nil"/>
            </w:tcBorders>
            <w:vAlign w:val="center"/>
          </w:tcPr>
          <w:p w14:paraId="50F0E909" w14:textId="77777777" w:rsidR="000225D1" w:rsidRDefault="000225D1" w:rsidP="000225D1">
            <w:pPr>
              <w:adjustRightInd w:val="0"/>
              <w:snapToGrid w:val="0"/>
              <w:jc w:val="center"/>
            </w:pPr>
            <w:r>
              <w:t>监测值（</w:t>
            </w:r>
            <w:r>
              <w:t>Max</w:t>
            </w:r>
            <w:r>
              <w:t>）</w:t>
            </w:r>
          </w:p>
        </w:tc>
        <w:tc>
          <w:tcPr>
            <w:tcW w:w="2149" w:type="dxa"/>
            <w:tcBorders>
              <w:top w:val="single" w:sz="4" w:space="0" w:color="auto"/>
              <w:left w:val="nil"/>
              <w:bottom w:val="single" w:sz="4" w:space="0" w:color="auto"/>
              <w:right w:val="single" w:sz="4" w:space="0" w:color="auto"/>
            </w:tcBorders>
            <w:vAlign w:val="center"/>
          </w:tcPr>
          <w:p w14:paraId="4528E7D8" w14:textId="5D9C6A61" w:rsidR="000225D1" w:rsidRDefault="000225D1" w:rsidP="000225D1">
            <w:pPr>
              <w:widowControl/>
              <w:adjustRightInd w:val="0"/>
              <w:snapToGrid w:val="0"/>
              <w:jc w:val="center"/>
              <w:textAlignment w:val="center"/>
            </w:pPr>
            <w:r>
              <w:rPr>
                <w:color w:val="000000"/>
              </w:rPr>
              <w:t>0.0003L</w:t>
            </w:r>
          </w:p>
        </w:tc>
        <w:tc>
          <w:tcPr>
            <w:tcW w:w="2150" w:type="dxa"/>
            <w:tcBorders>
              <w:left w:val="single" w:sz="4" w:space="0" w:color="auto"/>
            </w:tcBorders>
            <w:vAlign w:val="center"/>
          </w:tcPr>
          <w:p w14:paraId="4FE89AE3" w14:textId="05882692" w:rsidR="000225D1" w:rsidRDefault="000225D1" w:rsidP="000225D1">
            <w:pPr>
              <w:widowControl/>
              <w:adjustRightInd w:val="0"/>
              <w:snapToGrid w:val="0"/>
              <w:jc w:val="center"/>
              <w:textAlignment w:val="center"/>
              <w:rPr>
                <w:color w:val="000000"/>
                <w:kern w:val="0"/>
                <w:lang w:bidi="ar"/>
              </w:rPr>
            </w:pPr>
            <w:r>
              <w:rPr>
                <w:color w:val="000000"/>
              </w:rPr>
              <w:t>0.0003L</w:t>
            </w:r>
          </w:p>
        </w:tc>
        <w:tc>
          <w:tcPr>
            <w:tcW w:w="2149" w:type="dxa"/>
            <w:tcBorders>
              <w:tl2br w:val="nil"/>
              <w:tr2bl w:val="nil"/>
            </w:tcBorders>
            <w:vAlign w:val="center"/>
          </w:tcPr>
          <w:p w14:paraId="4D5320AF" w14:textId="6AA68E4B" w:rsidR="000225D1" w:rsidRDefault="000225D1" w:rsidP="000225D1">
            <w:pPr>
              <w:widowControl/>
              <w:adjustRightInd w:val="0"/>
              <w:snapToGrid w:val="0"/>
              <w:jc w:val="center"/>
              <w:textAlignment w:val="center"/>
            </w:pPr>
            <w:r>
              <w:rPr>
                <w:color w:val="000000"/>
              </w:rPr>
              <w:t>0.0003L</w:t>
            </w:r>
          </w:p>
        </w:tc>
        <w:tc>
          <w:tcPr>
            <w:tcW w:w="2150" w:type="dxa"/>
            <w:tcBorders>
              <w:tl2br w:val="nil"/>
              <w:tr2bl w:val="nil"/>
            </w:tcBorders>
            <w:vAlign w:val="center"/>
          </w:tcPr>
          <w:p w14:paraId="0919C3E7" w14:textId="7FAC2A5F" w:rsidR="000225D1" w:rsidRDefault="000225D1" w:rsidP="000225D1">
            <w:pPr>
              <w:widowControl/>
              <w:adjustRightInd w:val="0"/>
              <w:snapToGrid w:val="0"/>
              <w:jc w:val="center"/>
              <w:textAlignment w:val="center"/>
            </w:pPr>
            <w:r>
              <w:rPr>
                <w:color w:val="000000"/>
              </w:rPr>
              <w:t>0.0003L</w:t>
            </w:r>
          </w:p>
        </w:tc>
        <w:tc>
          <w:tcPr>
            <w:tcW w:w="1467" w:type="dxa"/>
            <w:vMerge w:val="restart"/>
            <w:tcBorders>
              <w:tl2br w:val="nil"/>
              <w:tr2bl w:val="nil"/>
            </w:tcBorders>
            <w:vAlign w:val="center"/>
          </w:tcPr>
          <w:p w14:paraId="3C7D1EBA" w14:textId="492DD2D6" w:rsidR="000225D1" w:rsidRDefault="00A11B36" w:rsidP="000225D1">
            <w:pPr>
              <w:widowControl/>
              <w:adjustRightInd w:val="0"/>
              <w:snapToGrid w:val="0"/>
              <w:jc w:val="center"/>
              <w:textAlignment w:val="center"/>
            </w:pPr>
            <w:r>
              <w:rPr>
                <w:rFonts w:hint="eastAsia"/>
                <w:color w:val="000000"/>
                <w:kern w:val="0"/>
                <w:lang w:bidi="ar"/>
              </w:rPr>
              <w:t>0.1</w:t>
            </w:r>
          </w:p>
        </w:tc>
      </w:tr>
      <w:tr w:rsidR="00FB0984" w14:paraId="7A8BFCD0" w14:textId="77777777" w:rsidTr="0071425B">
        <w:trPr>
          <w:trHeight w:val="57"/>
          <w:jc w:val="center"/>
        </w:trPr>
        <w:tc>
          <w:tcPr>
            <w:tcW w:w="1127" w:type="dxa"/>
            <w:vMerge/>
            <w:vAlign w:val="center"/>
          </w:tcPr>
          <w:p w14:paraId="45CB7947" w14:textId="77777777" w:rsidR="00FB0984" w:rsidRDefault="00FB0984" w:rsidP="00FB0984">
            <w:pPr>
              <w:adjustRightInd w:val="0"/>
              <w:snapToGrid w:val="0"/>
              <w:jc w:val="center"/>
            </w:pPr>
          </w:p>
        </w:tc>
        <w:tc>
          <w:tcPr>
            <w:tcW w:w="1130" w:type="dxa"/>
            <w:vMerge/>
            <w:tcBorders>
              <w:tl2br w:val="nil"/>
              <w:tr2bl w:val="nil"/>
            </w:tcBorders>
            <w:vAlign w:val="center"/>
          </w:tcPr>
          <w:p w14:paraId="29F8836B" w14:textId="77777777" w:rsidR="00FB0984" w:rsidRDefault="00FB0984" w:rsidP="00FB0984">
            <w:pPr>
              <w:adjustRightInd w:val="0"/>
              <w:snapToGrid w:val="0"/>
              <w:jc w:val="center"/>
            </w:pPr>
          </w:p>
        </w:tc>
        <w:tc>
          <w:tcPr>
            <w:tcW w:w="1905" w:type="dxa"/>
            <w:tcBorders>
              <w:tl2br w:val="nil"/>
              <w:tr2bl w:val="nil"/>
            </w:tcBorders>
            <w:vAlign w:val="center"/>
          </w:tcPr>
          <w:p w14:paraId="3DD6658E" w14:textId="77777777" w:rsidR="00FB0984" w:rsidRDefault="00FB0984" w:rsidP="00FB0984">
            <w:pPr>
              <w:adjustRightInd w:val="0"/>
              <w:snapToGrid w:val="0"/>
              <w:jc w:val="center"/>
            </w:pPr>
            <w:r>
              <w:t>标准指数</w:t>
            </w:r>
          </w:p>
        </w:tc>
        <w:tc>
          <w:tcPr>
            <w:tcW w:w="2149" w:type="dxa"/>
            <w:tcBorders>
              <w:top w:val="single" w:sz="4" w:space="0" w:color="auto"/>
              <w:left w:val="nil"/>
              <w:bottom w:val="single" w:sz="4" w:space="0" w:color="auto"/>
              <w:right w:val="single" w:sz="4" w:space="0" w:color="auto"/>
            </w:tcBorders>
          </w:tcPr>
          <w:p w14:paraId="6502CF93" w14:textId="506F5571" w:rsidR="00FB0984" w:rsidRDefault="00FB0984" w:rsidP="00FB0984">
            <w:pPr>
              <w:widowControl/>
              <w:adjustRightInd w:val="0"/>
              <w:snapToGrid w:val="0"/>
              <w:jc w:val="center"/>
              <w:textAlignment w:val="center"/>
            </w:pPr>
            <w:r w:rsidRPr="008040D7">
              <w:rPr>
                <w:color w:val="000000"/>
                <w:kern w:val="0"/>
                <w:lang w:bidi="ar"/>
              </w:rPr>
              <w:t>/</w:t>
            </w:r>
          </w:p>
        </w:tc>
        <w:tc>
          <w:tcPr>
            <w:tcW w:w="2150" w:type="dxa"/>
            <w:tcBorders>
              <w:left w:val="single" w:sz="4" w:space="0" w:color="auto"/>
            </w:tcBorders>
          </w:tcPr>
          <w:p w14:paraId="50852E0E" w14:textId="5A2DC397" w:rsidR="00FB0984" w:rsidRDefault="00FB0984" w:rsidP="00FB0984">
            <w:pPr>
              <w:widowControl/>
              <w:adjustRightInd w:val="0"/>
              <w:snapToGrid w:val="0"/>
              <w:jc w:val="center"/>
              <w:textAlignment w:val="center"/>
              <w:rPr>
                <w:color w:val="000000"/>
                <w:kern w:val="0"/>
                <w:lang w:bidi="ar"/>
              </w:rPr>
            </w:pPr>
            <w:r w:rsidRPr="008040D7">
              <w:rPr>
                <w:color w:val="000000"/>
                <w:kern w:val="0"/>
                <w:lang w:bidi="ar"/>
              </w:rPr>
              <w:t>/</w:t>
            </w:r>
          </w:p>
        </w:tc>
        <w:tc>
          <w:tcPr>
            <w:tcW w:w="2149" w:type="dxa"/>
            <w:tcBorders>
              <w:tl2br w:val="nil"/>
              <w:tr2bl w:val="nil"/>
            </w:tcBorders>
          </w:tcPr>
          <w:p w14:paraId="37E2362F" w14:textId="28B55525" w:rsidR="00FB0984" w:rsidRDefault="00FB0984" w:rsidP="00FB0984">
            <w:pPr>
              <w:widowControl/>
              <w:adjustRightInd w:val="0"/>
              <w:snapToGrid w:val="0"/>
              <w:jc w:val="center"/>
              <w:textAlignment w:val="center"/>
            </w:pPr>
            <w:r w:rsidRPr="008040D7">
              <w:rPr>
                <w:color w:val="000000"/>
                <w:kern w:val="0"/>
                <w:lang w:bidi="ar"/>
              </w:rPr>
              <w:t>/</w:t>
            </w:r>
          </w:p>
        </w:tc>
        <w:tc>
          <w:tcPr>
            <w:tcW w:w="2150" w:type="dxa"/>
            <w:tcBorders>
              <w:tl2br w:val="nil"/>
              <w:tr2bl w:val="nil"/>
            </w:tcBorders>
          </w:tcPr>
          <w:p w14:paraId="7C45859B" w14:textId="4F902563" w:rsidR="00FB0984" w:rsidRDefault="00FB0984" w:rsidP="00FB0984">
            <w:pPr>
              <w:widowControl/>
              <w:adjustRightInd w:val="0"/>
              <w:snapToGrid w:val="0"/>
              <w:jc w:val="center"/>
              <w:textAlignment w:val="center"/>
            </w:pPr>
            <w:r w:rsidRPr="008040D7">
              <w:rPr>
                <w:color w:val="000000"/>
                <w:kern w:val="0"/>
                <w:lang w:bidi="ar"/>
              </w:rPr>
              <w:t>/</w:t>
            </w:r>
          </w:p>
        </w:tc>
        <w:tc>
          <w:tcPr>
            <w:tcW w:w="1467" w:type="dxa"/>
            <w:vMerge/>
            <w:tcBorders>
              <w:tl2br w:val="nil"/>
              <w:tr2bl w:val="nil"/>
            </w:tcBorders>
            <w:vAlign w:val="center"/>
          </w:tcPr>
          <w:p w14:paraId="12239807" w14:textId="77777777" w:rsidR="00FB0984" w:rsidRDefault="00FB0984" w:rsidP="00FB0984">
            <w:pPr>
              <w:adjustRightInd w:val="0"/>
              <w:snapToGrid w:val="0"/>
              <w:jc w:val="center"/>
            </w:pPr>
          </w:p>
        </w:tc>
      </w:tr>
      <w:tr w:rsidR="000225D1" w14:paraId="6E0B5D32" w14:textId="77777777" w:rsidTr="000225D1">
        <w:trPr>
          <w:trHeight w:val="57"/>
          <w:jc w:val="center"/>
        </w:trPr>
        <w:tc>
          <w:tcPr>
            <w:tcW w:w="1127" w:type="dxa"/>
            <w:vMerge w:val="restart"/>
            <w:vAlign w:val="center"/>
          </w:tcPr>
          <w:p w14:paraId="75C2DF63" w14:textId="306657CB" w:rsidR="000225D1" w:rsidRDefault="000225D1" w:rsidP="000225D1">
            <w:pPr>
              <w:widowControl/>
              <w:adjustRightInd w:val="0"/>
              <w:snapToGrid w:val="0"/>
              <w:jc w:val="center"/>
              <w:textAlignment w:val="center"/>
            </w:pPr>
            <w:r>
              <w:rPr>
                <w:rFonts w:hint="eastAsia"/>
                <w:bCs/>
              </w:rPr>
              <w:t>铅</w:t>
            </w:r>
          </w:p>
        </w:tc>
        <w:tc>
          <w:tcPr>
            <w:tcW w:w="1130" w:type="dxa"/>
            <w:vMerge w:val="restart"/>
            <w:tcBorders>
              <w:tl2br w:val="nil"/>
              <w:tr2bl w:val="nil"/>
            </w:tcBorders>
            <w:vAlign w:val="center"/>
          </w:tcPr>
          <w:p w14:paraId="5000CFE0" w14:textId="77777777" w:rsidR="000225D1" w:rsidRDefault="000225D1" w:rsidP="000225D1">
            <w:pPr>
              <w:adjustRightInd w:val="0"/>
              <w:snapToGrid w:val="0"/>
              <w:jc w:val="center"/>
            </w:pPr>
            <w:r>
              <w:t>mg/L</w:t>
            </w:r>
          </w:p>
        </w:tc>
        <w:tc>
          <w:tcPr>
            <w:tcW w:w="1905" w:type="dxa"/>
            <w:tcBorders>
              <w:tl2br w:val="nil"/>
              <w:tr2bl w:val="nil"/>
            </w:tcBorders>
            <w:vAlign w:val="center"/>
          </w:tcPr>
          <w:p w14:paraId="4A33A867" w14:textId="77777777" w:rsidR="000225D1" w:rsidRDefault="000225D1" w:rsidP="000225D1">
            <w:pPr>
              <w:adjustRightInd w:val="0"/>
              <w:snapToGrid w:val="0"/>
              <w:jc w:val="center"/>
            </w:pPr>
            <w:r>
              <w:t>监测值（</w:t>
            </w:r>
            <w:r>
              <w:t>Max</w:t>
            </w:r>
            <w:r>
              <w:t>）</w:t>
            </w:r>
          </w:p>
        </w:tc>
        <w:tc>
          <w:tcPr>
            <w:tcW w:w="2149" w:type="dxa"/>
            <w:tcBorders>
              <w:top w:val="single" w:sz="4" w:space="0" w:color="auto"/>
              <w:left w:val="nil"/>
              <w:bottom w:val="single" w:sz="4" w:space="0" w:color="auto"/>
              <w:right w:val="single" w:sz="4" w:space="0" w:color="auto"/>
            </w:tcBorders>
            <w:vAlign w:val="center"/>
          </w:tcPr>
          <w:p w14:paraId="3AD06411" w14:textId="14D5B63F" w:rsidR="000225D1" w:rsidRDefault="000225D1" w:rsidP="000225D1">
            <w:pPr>
              <w:widowControl/>
              <w:adjustRightInd w:val="0"/>
              <w:snapToGrid w:val="0"/>
              <w:jc w:val="center"/>
              <w:textAlignment w:val="center"/>
            </w:pPr>
            <w:r>
              <w:rPr>
                <w:color w:val="000000"/>
              </w:rPr>
              <w:t>0.010L</w:t>
            </w:r>
          </w:p>
        </w:tc>
        <w:tc>
          <w:tcPr>
            <w:tcW w:w="2150" w:type="dxa"/>
            <w:tcBorders>
              <w:left w:val="single" w:sz="4" w:space="0" w:color="auto"/>
            </w:tcBorders>
            <w:vAlign w:val="center"/>
          </w:tcPr>
          <w:p w14:paraId="45E8BD35" w14:textId="4CB3899C" w:rsidR="000225D1" w:rsidRDefault="000225D1" w:rsidP="000225D1">
            <w:pPr>
              <w:widowControl/>
              <w:adjustRightInd w:val="0"/>
              <w:snapToGrid w:val="0"/>
              <w:jc w:val="center"/>
              <w:textAlignment w:val="center"/>
              <w:rPr>
                <w:color w:val="000000"/>
                <w:kern w:val="0"/>
                <w:lang w:bidi="ar"/>
              </w:rPr>
            </w:pPr>
            <w:r>
              <w:rPr>
                <w:color w:val="000000"/>
              </w:rPr>
              <w:t>0.010L</w:t>
            </w:r>
          </w:p>
        </w:tc>
        <w:tc>
          <w:tcPr>
            <w:tcW w:w="2149" w:type="dxa"/>
            <w:tcBorders>
              <w:tl2br w:val="nil"/>
              <w:tr2bl w:val="nil"/>
            </w:tcBorders>
            <w:vAlign w:val="center"/>
          </w:tcPr>
          <w:p w14:paraId="679BA22F" w14:textId="2D6E244D" w:rsidR="000225D1" w:rsidRDefault="000225D1" w:rsidP="000225D1">
            <w:pPr>
              <w:widowControl/>
              <w:adjustRightInd w:val="0"/>
              <w:snapToGrid w:val="0"/>
              <w:jc w:val="center"/>
              <w:textAlignment w:val="center"/>
            </w:pPr>
            <w:r>
              <w:rPr>
                <w:color w:val="000000"/>
              </w:rPr>
              <w:t>0.010L</w:t>
            </w:r>
          </w:p>
        </w:tc>
        <w:tc>
          <w:tcPr>
            <w:tcW w:w="2150" w:type="dxa"/>
            <w:tcBorders>
              <w:tl2br w:val="nil"/>
              <w:tr2bl w:val="nil"/>
            </w:tcBorders>
            <w:vAlign w:val="center"/>
          </w:tcPr>
          <w:p w14:paraId="58A9E640" w14:textId="305BBAB9" w:rsidR="000225D1" w:rsidRDefault="000225D1" w:rsidP="000225D1">
            <w:pPr>
              <w:widowControl/>
              <w:adjustRightInd w:val="0"/>
              <w:snapToGrid w:val="0"/>
              <w:jc w:val="center"/>
              <w:textAlignment w:val="center"/>
            </w:pPr>
            <w:r>
              <w:rPr>
                <w:color w:val="000000"/>
              </w:rPr>
              <w:t>0.010L</w:t>
            </w:r>
          </w:p>
        </w:tc>
        <w:tc>
          <w:tcPr>
            <w:tcW w:w="1467" w:type="dxa"/>
            <w:vMerge w:val="restart"/>
            <w:tcBorders>
              <w:tl2br w:val="nil"/>
              <w:tr2bl w:val="nil"/>
            </w:tcBorders>
            <w:vAlign w:val="center"/>
          </w:tcPr>
          <w:p w14:paraId="08F304CA" w14:textId="2606F879" w:rsidR="000225D1" w:rsidRDefault="00A11B36" w:rsidP="000225D1">
            <w:pPr>
              <w:widowControl/>
              <w:adjustRightInd w:val="0"/>
              <w:snapToGrid w:val="0"/>
              <w:jc w:val="center"/>
              <w:textAlignment w:val="center"/>
            </w:pPr>
            <w:r>
              <w:rPr>
                <w:rFonts w:hint="eastAsia"/>
                <w:color w:val="000000"/>
                <w:kern w:val="0"/>
                <w:lang w:bidi="ar"/>
              </w:rPr>
              <w:t>0.1</w:t>
            </w:r>
          </w:p>
        </w:tc>
      </w:tr>
      <w:tr w:rsidR="00FB0984" w14:paraId="5ACCFF31" w14:textId="77777777" w:rsidTr="0077232B">
        <w:trPr>
          <w:trHeight w:val="57"/>
          <w:jc w:val="center"/>
        </w:trPr>
        <w:tc>
          <w:tcPr>
            <w:tcW w:w="1127" w:type="dxa"/>
            <w:vMerge/>
            <w:vAlign w:val="center"/>
          </w:tcPr>
          <w:p w14:paraId="4503409F" w14:textId="77777777" w:rsidR="00FB0984" w:rsidRDefault="00FB0984" w:rsidP="00FB0984">
            <w:pPr>
              <w:adjustRightInd w:val="0"/>
              <w:snapToGrid w:val="0"/>
              <w:jc w:val="center"/>
            </w:pPr>
          </w:p>
        </w:tc>
        <w:tc>
          <w:tcPr>
            <w:tcW w:w="1130" w:type="dxa"/>
            <w:vMerge/>
            <w:tcBorders>
              <w:tl2br w:val="nil"/>
              <w:tr2bl w:val="nil"/>
            </w:tcBorders>
            <w:vAlign w:val="center"/>
          </w:tcPr>
          <w:p w14:paraId="28D2FE89" w14:textId="77777777" w:rsidR="00FB0984" w:rsidRDefault="00FB0984" w:rsidP="00FB0984">
            <w:pPr>
              <w:adjustRightInd w:val="0"/>
              <w:snapToGrid w:val="0"/>
              <w:jc w:val="center"/>
            </w:pPr>
          </w:p>
        </w:tc>
        <w:tc>
          <w:tcPr>
            <w:tcW w:w="1905" w:type="dxa"/>
            <w:tcBorders>
              <w:tl2br w:val="nil"/>
              <w:tr2bl w:val="nil"/>
            </w:tcBorders>
            <w:vAlign w:val="center"/>
          </w:tcPr>
          <w:p w14:paraId="417BA164" w14:textId="77777777" w:rsidR="00FB0984" w:rsidRDefault="00FB0984" w:rsidP="00FB0984">
            <w:pPr>
              <w:adjustRightInd w:val="0"/>
              <w:snapToGrid w:val="0"/>
              <w:jc w:val="center"/>
            </w:pPr>
            <w:r>
              <w:t>标准指数</w:t>
            </w:r>
          </w:p>
        </w:tc>
        <w:tc>
          <w:tcPr>
            <w:tcW w:w="2149" w:type="dxa"/>
            <w:tcBorders>
              <w:top w:val="single" w:sz="4" w:space="0" w:color="auto"/>
              <w:left w:val="nil"/>
              <w:bottom w:val="single" w:sz="4" w:space="0" w:color="auto"/>
              <w:right w:val="single" w:sz="4" w:space="0" w:color="auto"/>
            </w:tcBorders>
          </w:tcPr>
          <w:p w14:paraId="3EEB4814" w14:textId="5A1C561D" w:rsidR="00FB0984" w:rsidRDefault="00FB0984" w:rsidP="00FB0984">
            <w:pPr>
              <w:widowControl/>
              <w:adjustRightInd w:val="0"/>
              <w:snapToGrid w:val="0"/>
              <w:jc w:val="center"/>
              <w:textAlignment w:val="center"/>
            </w:pPr>
            <w:r w:rsidRPr="00960114">
              <w:rPr>
                <w:color w:val="000000"/>
                <w:kern w:val="0"/>
                <w:lang w:bidi="ar"/>
              </w:rPr>
              <w:t>/</w:t>
            </w:r>
          </w:p>
        </w:tc>
        <w:tc>
          <w:tcPr>
            <w:tcW w:w="2150" w:type="dxa"/>
            <w:tcBorders>
              <w:left w:val="single" w:sz="4" w:space="0" w:color="auto"/>
            </w:tcBorders>
          </w:tcPr>
          <w:p w14:paraId="40A11E6D" w14:textId="0C208A4E" w:rsidR="00FB0984" w:rsidRDefault="00FB0984" w:rsidP="00FB0984">
            <w:pPr>
              <w:widowControl/>
              <w:adjustRightInd w:val="0"/>
              <w:snapToGrid w:val="0"/>
              <w:jc w:val="center"/>
              <w:textAlignment w:val="center"/>
              <w:rPr>
                <w:color w:val="000000"/>
                <w:kern w:val="0"/>
                <w:lang w:bidi="ar"/>
              </w:rPr>
            </w:pPr>
            <w:r w:rsidRPr="00960114">
              <w:rPr>
                <w:color w:val="000000"/>
                <w:kern w:val="0"/>
                <w:lang w:bidi="ar"/>
              </w:rPr>
              <w:t>/</w:t>
            </w:r>
          </w:p>
        </w:tc>
        <w:tc>
          <w:tcPr>
            <w:tcW w:w="2149" w:type="dxa"/>
            <w:tcBorders>
              <w:tl2br w:val="nil"/>
              <w:tr2bl w:val="nil"/>
            </w:tcBorders>
          </w:tcPr>
          <w:p w14:paraId="6338FD6E" w14:textId="576677CD" w:rsidR="00FB0984" w:rsidRDefault="00FB0984" w:rsidP="00FB0984">
            <w:pPr>
              <w:widowControl/>
              <w:adjustRightInd w:val="0"/>
              <w:snapToGrid w:val="0"/>
              <w:jc w:val="center"/>
              <w:textAlignment w:val="center"/>
            </w:pPr>
            <w:r w:rsidRPr="00960114">
              <w:rPr>
                <w:color w:val="000000"/>
                <w:kern w:val="0"/>
                <w:lang w:bidi="ar"/>
              </w:rPr>
              <w:t>/</w:t>
            </w:r>
          </w:p>
        </w:tc>
        <w:tc>
          <w:tcPr>
            <w:tcW w:w="2150" w:type="dxa"/>
            <w:tcBorders>
              <w:tl2br w:val="nil"/>
              <w:tr2bl w:val="nil"/>
            </w:tcBorders>
          </w:tcPr>
          <w:p w14:paraId="1C5F60D2" w14:textId="110EC66C" w:rsidR="00FB0984" w:rsidRDefault="00FB0984" w:rsidP="00FB0984">
            <w:pPr>
              <w:widowControl/>
              <w:adjustRightInd w:val="0"/>
              <w:snapToGrid w:val="0"/>
              <w:jc w:val="center"/>
              <w:textAlignment w:val="center"/>
            </w:pPr>
            <w:r w:rsidRPr="00960114">
              <w:rPr>
                <w:color w:val="000000"/>
                <w:kern w:val="0"/>
                <w:lang w:bidi="ar"/>
              </w:rPr>
              <w:t>/</w:t>
            </w:r>
          </w:p>
        </w:tc>
        <w:tc>
          <w:tcPr>
            <w:tcW w:w="1467" w:type="dxa"/>
            <w:vMerge/>
            <w:tcBorders>
              <w:tl2br w:val="nil"/>
              <w:tr2bl w:val="nil"/>
            </w:tcBorders>
            <w:vAlign w:val="center"/>
          </w:tcPr>
          <w:p w14:paraId="1212156F" w14:textId="77777777" w:rsidR="00FB0984" w:rsidRDefault="00FB0984" w:rsidP="00FB0984">
            <w:pPr>
              <w:adjustRightInd w:val="0"/>
              <w:snapToGrid w:val="0"/>
              <w:jc w:val="center"/>
            </w:pPr>
          </w:p>
        </w:tc>
      </w:tr>
      <w:tr w:rsidR="000225D1" w14:paraId="7B7F5DF6" w14:textId="77777777" w:rsidTr="000225D1">
        <w:trPr>
          <w:trHeight w:val="57"/>
          <w:jc w:val="center"/>
        </w:trPr>
        <w:tc>
          <w:tcPr>
            <w:tcW w:w="1127" w:type="dxa"/>
            <w:vMerge w:val="restart"/>
            <w:vAlign w:val="center"/>
          </w:tcPr>
          <w:p w14:paraId="2EBE4DC8" w14:textId="5C6CBAA6" w:rsidR="000225D1" w:rsidRDefault="000225D1" w:rsidP="000225D1">
            <w:pPr>
              <w:widowControl/>
              <w:adjustRightInd w:val="0"/>
              <w:snapToGrid w:val="0"/>
              <w:jc w:val="center"/>
              <w:textAlignment w:val="center"/>
            </w:pPr>
            <w:r>
              <w:rPr>
                <w:rFonts w:hint="eastAsia"/>
                <w:bCs/>
              </w:rPr>
              <w:t>镉</w:t>
            </w:r>
          </w:p>
        </w:tc>
        <w:tc>
          <w:tcPr>
            <w:tcW w:w="1130" w:type="dxa"/>
            <w:vMerge w:val="restart"/>
            <w:tcBorders>
              <w:tl2br w:val="nil"/>
              <w:tr2bl w:val="nil"/>
            </w:tcBorders>
            <w:vAlign w:val="center"/>
          </w:tcPr>
          <w:p w14:paraId="55BAC6B3" w14:textId="77777777" w:rsidR="000225D1" w:rsidRDefault="000225D1" w:rsidP="000225D1">
            <w:pPr>
              <w:adjustRightInd w:val="0"/>
              <w:snapToGrid w:val="0"/>
              <w:jc w:val="center"/>
            </w:pPr>
            <w:r>
              <w:t>mg/L</w:t>
            </w:r>
          </w:p>
        </w:tc>
        <w:tc>
          <w:tcPr>
            <w:tcW w:w="1905" w:type="dxa"/>
            <w:tcBorders>
              <w:tl2br w:val="nil"/>
              <w:tr2bl w:val="nil"/>
            </w:tcBorders>
            <w:vAlign w:val="center"/>
          </w:tcPr>
          <w:p w14:paraId="7965A115" w14:textId="77777777" w:rsidR="000225D1" w:rsidRDefault="000225D1" w:rsidP="000225D1">
            <w:pPr>
              <w:adjustRightInd w:val="0"/>
              <w:snapToGrid w:val="0"/>
              <w:jc w:val="center"/>
            </w:pPr>
            <w:r>
              <w:t>监测值（</w:t>
            </w:r>
            <w:r>
              <w:t>Max</w:t>
            </w:r>
            <w:r>
              <w:t>）</w:t>
            </w:r>
          </w:p>
        </w:tc>
        <w:tc>
          <w:tcPr>
            <w:tcW w:w="2149" w:type="dxa"/>
            <w:tcBorders>
              <w:top w:val="single" w:sz="4" w:space="0" w:color="auto"/>
              <w:left w:val="nil"/>
              <w:bottom w:val="single" w:sz="4" w:space="0" w:color="auto"/>
              <w:right w:val="single" w:sz="4" w:space="0" w:color="auto"/>
            </w:tcBorders>
            <w:vAlign w:val="center"/>
          </w:tcPr>
          <w:p w14:paraId="4AE19D96" w14:textId="0D9BEB70" w:rsidR="000225D1" w:rsidRDefault="000225D1" w:rsidP="000225D1">
            <w:pPr>
              <w:widowControl/>
              <w:adjustRightInd w:val="0"/>
              <w:snapToGrid w:val="0"/>
              <w:jc w:val="center"/>
              <w:textAlignment w:val="center"/>
            </w:pPr>
            <w:r>
              <w:rPr>
                <w:color w:val="000000"/>
              </w:rPr>
              <w:t>0.001L</w:t>
            </w:r>
          </w:p>
        </w:tc>
        <w:tc>
          <w:tcPr>
            <w:tcW w:w="2150" w:type="dxa"/>
            <w:tcBorders>
              <w:left w:val="single" w:sz="4" w:space="0" w:color="auto"/>
            </w:tcBorders>
            <w:vAlign w:val="center"/>
          </w:tcPr>
          <w:p w14:paraId="63D3B476" w14:textId="557105B5" w:rsidR="000225D1" w:rsidRDefault="000225D1" w:rsidP="000225D1">
            <w:pPr>
              <w:widowControl/>
              <w:adjustRightInd w:val="0"/>
              <w:snapToGrid w:val="0"/>
              <w:jc w:val="center"/>
              <w:textAlignment w:val="center"/>
              <w:rPr>
                <w:color w:val="000000"/>
                <w:kern w:val="0"/>
                <w:lang w:bidi="ar"/>
              </w:rPr>
            </w:pPr>
            <w:r>
              <w:rPr>
                <w:color w:val="000000"/>
              </w:rPr>
              <w:t>0.001L</w:t>
            </w:r>
          </w:p>
        </w:tc>
        <w:tc>
          <w:tcPr>
            <w:tcW w:w="2149" w:type="dxa"/>
            <w:tcBorders>
              <w:tl2br w:val="nil"/>
              <w:tr2bl w:val="nil"/>
            </w:tcBorders>
            <w:vAlign w:val="center"/>
          </w:tcPr>
          <w:p w14:paraId="4C67602E" w14:textId="684149D2" w:rsidR="000225D1" w:rsidRDefault="000225D1" w:rsidP="000225D1">
            <w:pPr>
              <w:widowControl/>
              <w:adjustRightInd w:val="0"/>
              <w:snapToGrid w:val="0"/>
              <w:jc w:val="center"/>
              <w:textAlignment w:val="center"/>
            </w:pPr>
            <w:r>
              <w:rPr>
                <w:color w:val="000000"/>
              </w:rPr>
              <w:t>0.001L</w:t>
            </w:r>
          </w:p>
        </w:tc>
        <w:tc>
          <w:tcPr>
            <w:tcW w:w="2150" w:type="dxa"/>
            <w:tcBorders>
              <w:tl2br w:val="nil"/>
              <w:tr2bl w:val="nil"/>
            </w:tcBorders>
            <w:vAlign w:val="center"/>
          </w:tcPr>
          <w:p w14:paraId="34E192A3" w14:textId="75372C0E" w:rsidR="000225D1" w:rsidRDefault="000225D1" w:rsidP="000225D1">
            <w:pPr>
              <w:widowControl/>
              <w:adjustRightInd w:val="0"/>
              <w:snapToGrid w:val="0"/>
              <w:jc w:val="center"/>
              <w:textAlignment w:val="center"/>
            </w:pPr>
            <w:r>
              <w:rPr>
                <w:color w:val="000000"/>
              </w:rPr>
              <w:t>0.001L</w:t>
            </w:r>
          </w:p>
        </w:tc>
        <w:tc>
          <w:tcPr>
            <w:tcW w:w="1467" w:type="dxa"/>
            <w:vMerge w:val="restart"/>
            <w:tcBorders>
              <w:tl2br w:val="nil"/>
              <w:tr2bl w:val="nil"/>
            </w:tcBorders>
            <w:vAlign w:val="center"/>
          </w:tcPr>
          <w:p w14:paraId="4CC34D75" w14:textId="0D3A824C" w:rsidR="000225D1" w:rsidRDefault="00A11B36" w:rsidP="000225D1">
            <w:pPr>
              <w:widowControl/>
              <w:adjustRightInd w:val="0"/>
              <w:snapToGrid w:val="0"/>
              <w:jc w:val="center"/>
              <w:textAlignment w:val="center"/>
            </w:pPr>
            <w:r>
              <w:rPr>
                <w:rFonts w:hint="eastAsia"/>
                <w:color w:val="000000"/>
                <w:kern w:val="0"/>
                <w:lang w:bidi="ar"/>
              </w:rPr>
              <w:t>0.01</w:t>
            </w:r>
          </w:p>
        </w:tc>
      </w:tr>
      <w:tr w:rsidR="00FB0984" w14:paraId="4795A1D9" w14:textId="77777777" w:rsidTr="00A14EB7">
        <w:trPr>
          <w:trHeight w:val="57"/>
          <w:jc w:val="center"/>
        </w:trPr>
        <w:tc>
          <w:tcPr>
            <w:tcW w:w="1127" w:type="dxa"/>
            <w:vMerge/>
            <w:vAlign w:val="center"/>
          </w:tcPr>
          <w:p w14:paraId="6044AC1D" w14:textId="77777777" w:rsidR="00FB0984" w:rsidRDefault="00FB0984" w:rsidP="00FB0984">
            <w:pPr>
              <w:adjustRightInd w:val="0"/>
              <w:snapToGrid w:val="0"/>
              <w:jc w:val="center"/>
            </w:pPr>
          </w:p>
        </w:tc>
        <w:tc>
          <w:tcPr>
            <w:tcW w:w="1130" w:type="dxa"/>
            <w:vMerge/>
            <w:tcBorders>
              <w:tl2br w:val="nil"/>
              <w:tr2bl w:val="nil"/>
            </w:tcBorders>
            <w:vAlign w:val="center"/>
          </w:tcPr>
          <w:p w14:paraId="458BB737" w14:textId="77777777" w:rsidR="00FB0984" w:rsidRDefault="00FB0984" w:rsidP="00FB0984">
            <w:pPr>
              <w:adjustRightInd w:val="0"/>
              <w:snapToGrid w:val="0"/>
              <w:jc w:val="center"/>
            </w:pPr>
          </w:p>
        </w:tc>
        <w:tc>
          <w:tcPr>
            <w:tcW w:w="1905" w:type="dxa"/>
            <w:tcBorders>
              <w:tl2br w:val="nil"/>
              <w:tr2bl w:val="nil"/>
            </w:tcBorders>
            <w:vAlign w:val="center"/>
          </w:tcPr>
          <w:p w14:paraId="1C009B4A" w14:textId="77777777" w:rsidR="00FB0984" w:rsidRDefault="00FB0984" w:rsidP="00FB0984">
            <w:pPr>
              <w:adjustRightInd w:val="0"/>
              <w:snapToGrid w:val="0"/>
              <w:jc w:val="center"/>
            </w:pPr>
            <w:r>
              <w:t>标准指数</w:t>
            </w:r>
          </w:p>
        </w:tc>
        <w:tc>
          <w:tcPr>
            <w:tcW w:w="2149" w:type="dxa"/>
            <w:tcBorders>
              <w:top w:val="single" w:sz="4" w:space="0" w:color="auto"/>
              <w:left w:val="nil"/>
              <w:bottom w:val="single" w:sz="4" w:space="0" w:color="auto"/>
              <w:right w:val="single" w:sz="4" w:space="0" w:color="auto"/>
            </w:tcBorders>
          </w:tcPr>
          <w:p w14:paraId="5E522558" w14:textId="78CE6621" w:rsidR="00FB0984" w:rsidRDefault="00FB0984" w:rsidP="00FB0984">
            <w:pPr>
              <w:widowControl/>
              <w:adjustRightInd w:val="0"/>
              <w:snapToGrid w:val="0"/>
              <w:jc w:val="center"/>
              <w:textAlignment w:val="center"/>
            </w:pPr>
            <w:r w:rsidRPr="00832BAF">
              <w:rPr>
                <w:color w:val="000000"/>
                <w:kern w:val="0"/>
                <w:lang w:bidi="ar"/>
              </w:rPr>
              <w:t>/</w:t>
            </w:r>
          </w:p>
        </w:tc>
        <w:tc>
          <w:tcPr>
            <w:tcW w:w="2150" w:type="dxa"/>
            <w:tcBorders>
              <w:left w:val="single" w:sz="4" w:space="0" w:color="auto"/>
            </w:tcBorders>
          </w:tcPr>
          <w:p w14:paraId="779FA102" w14:textId="21310669" w:rsidR="00FB0984" w:rsidRDefault="00FB0984" w:rsidP="00FB0984">
            <w:pPr>
              <w:widowControl/>
              <w:adjustRightInd w:val="0"/>
              <w:snapToGrid w:val="0"/>
              <w:jc w:val="center"/>
              <w:textAlignment w:val="center"/>
              <w:rPr>
                <w:color w:val="000000"/>
                <w:kern w:val="0"/>
                <w:lang w:bidi="ar"/>
              </w:rPr>
            </w:pPr>
            <w:r w:rsidRPr="00832BAF">
              <w:rPr>
                <w:color w:val="000000"/>
                <w:kern w:val="0"/>
                <w:lang w:bidi="ar"/>
              </w:rPr>
              <w:t>/</w:t>
            </w:r>
          </w:p>
        </w:tc>
        <w:tc>
          <w:tcPr>
            <w:tcW w:w="2149" w:type="dxa"/>
            <w:tcBorders>
              <w:tl2br w:val="nil"/>
              <w:tr2bl w:val="nil"/>
            </w:tcBorders>
          </w:tcPr>
          <w:p w14:paraId="106F9B68" w14:textId="70CFBEE3" w:rsidR="00FB0984" w:rsidRDefault="00FB0984" w:rsidP="00FB0984">
            <w:pPr>
              <w:widowControl/>
              <w:adjustRightInd w:val="0"/>
              <w:snapToGrid w:val="0"/>
              <w:jc w:val="center"/>
              <w:textAlignment w:val="center"/>
            </w:pPr>
            <w:r w:rsidRPr="00832BAF">
              <w:rPr>
                <w:color w:val="000000"/>
                <w:kern w:val="0"/>
                <w:lang w:bidi="ar"/>
              </w:rPr>
              <w:t>/</w:t>
            </w:r>
          </w:p>
        </w:tc>
        <w:tc>
          <w:tcPr>
            <w:tcW w:w="2150" w:type="dxa"/>
            <w:tcBorders>
              <w:tl2br w:val="nil"/>
              <w:tr2bl w:val="nil"/>
            </w:tcBorders>
          </w:tcPr>
          <w:p w14:paraId="24A9909E" w14:textId="6CDAF503" w:rsidR="00FB0984" w:rsidRDefault="00FB0984" w:rsidP="00FB0984">
            <w:pPr>
              <w:widowControl/>
              <w:adjustRightInd w:val="0"/>
              <w:snapToGrid w:val="0"/>
              <w:jc w:val="center"/>
              <w:textAlignment w:val="center"/>
            </w:pPr>
            <w:r w:rsidRPr="00832BAF">
              <w:rPr>
                <w:color w:val="000000"/>
                <w:kern w:val="0"/>
                <w:lang w:bidi="ar"/>
              </w:rPr>
              <w:t>/</w:t>
            </w:r>
          </w:p>
        </w:tc>
        <w:tc>
          <w:tcPr>
            <w:tcW w:w="1467" w:type="dxa"/>
            <w:vMerge/>
            <w:tcBorders>
              <w:tl2br w:val="nil"/>
              <w:tr2bl w:val="nil"/>
            </w:tcBorders>
            <w:vAlign w:val="center"/>
          </w:tcPr>
          <w:p w14:paraId="181DBAD8" w14:textId="77777777" w:rsidR="00FB0984" w:rsidRDefault="00FB0984" w:rsidP="00FB0984">
            <w:pPr>
              <w:adjustRightInd w:val="0"/>
              <w:snapToGrid w:val="0"/>
              <w:jc w:val="center"/>
            </w:pPr>
          </w:p>
        </w:tc>
      </w:tr>
      <w:tr w:rsidR="000225D1" w14:paraId="32F9D468" w14:textId="77777777" w:rsidTr="000225D1">
        <w:trPr>
          <w:trHeight w:val="57"/>
          <w:jc w:val="center"/>
        </w:trPr>
        <w:tc>
          <w:tcPr>
            <w:tcW w:w="1127" w:type="dxa"/>
            <w:vMerge w:val="restart"/>
            <w:vAlign w:val="center"/>
          </w:tcPr>
          <w:p w14:paraId="594AA544" w14:textId="2E2FB7D2" w:rsidR="000225D1" w:rsidRDefault="000225D1" w:rsidP="000225D1">
            <w:pPr>
              <w:widowControl/>
              <w:adjustRightInd w:val="0"/>
              <w:snapToGrid w:val="0"/>
              <w:jc w:val="center"/>
              <w:textAlignment w:val="center"/>
            </w:pPr>
            <w:r>
              <w:rPr>
                <w:rFonts w:hint="eastAsia"/>
                <w:bCs/>
              </w:rPr>
              <w:t>六价铬</w:t>
            </w:r>
          </w:p>
        </w:tc>
        <w:tc>
          <w:tcPr>
            <w:tcW w:w="1130" w:type="dxa"/>
            <w:vMerge w:val="restart"/>
            <w:tcBorders>
              <w:tl2br w:val="nil"/>
              <w:tr2bl w:val="nil"/>
            </w:tcBorders>
            <w:vAlign w:val="center"/>
          </w:tcPr>
          <w:p w14:paraId="1FB3012A" w14:textId="77777777" w:rsidR="000225D1" w:rsidRDefault="000225D1" w:rsidP="000225D1">
            <w:pPr>
              <w:adjustRightInd w:val="0"/>
              <w:snapToGrid w:val="0"/>
              <w:jc w:val="center"/>
            </w:pPr>
            <w:r>
              <w:t>mg/L</w:t>
            </w:r>
          </w:p>
        </w:tc>
        <w:tc>
          <w:tcPr>
            <w:tcW w:w="1905" w:type="dxa"/>
            <w:tcBorders>
              <w:tl2br w:val="nil"/>
              <w:tr2bl w:val="nil"/>
            </w:tcBorders>
            <w:vAlign w:val="center"/>
          </w:tcPr>
          <w:p w14:paraId="31406B78" w14:textId="77777777" w:rsidR="000225D1" w:rsidRDefault="000225D1" w:rsidP="000225D1">
            <w:pPr>
              <w:adjustRightInd w:val="0"/>
              <w:snapToGrid w:val="0"/>
              <w:jc w:val="center"/>
            </w:pPr>
            <w:r>
              <w:t>监测值（</w:t>
            </w:r>
            <w:r>
              <w:t>Max</w:t>
            </w:r>
            <w:r>
              <w:t>）</w:t>
            </w:r>
          </w:p>
        </w:tc>
        <w:tc>
          <w:tcPr>
            <w:tcW w:w="2149" w:type="dxa"/>
            <w:tcBorders>
              <w:top w:val="single" w:sz="4" w:space="0" w:color="auto"/>
              <w:left w:val="nil"/>
              <w:bottom w:val="single" w:sz="4" w:space="0" w:color="auto"/>
              <w:right w:val="single" w:sz="4" w:space="0" w:color="auto"/>
            </w:tcBorders>
            <w:vAlign w:val="center"/>
          </w:tcPr>
          <w:p w14:paraId="0F67B1D0" w14:textId="77914358" w:rsidR="000225D1" w:rsidRDefault="000225D1" w:rsidP="000225D1">
            <w:pPr>
              <w:widowControl/>
              <w:adjustRightInd w:val="0"/>
              <w:snapToGrid w:val="0"/>
              <w:jc w:val="center"/>
              <w:textAlignment w:val="center"/>
            </w:pPr>
            <w:r>
              <w:rPr>
                <w:color w:val="000000"/>
              </w:rPr>
              <w:t>0.004L</w:t>
            </w:r>
          </w:p>
        </w:tc>
        <w:tc>
          <w:tcPr>
            <w:tcW w:w="2150" w:type="dxa"/>
            <w:tcBorders>
              <w:left w:val="single" w:sz="4" w:space="0" w:color="auto"/>
            </w:tcBorders>
            <w:vAlign w:val="center"/>
          </w:tcPr>
          <w:p w14:paraId="1F97857B" w14:textId="2A6BAB1D" w:rsidR="000225D1" w:rsidRDefault="000225D1" w:rsidP="000225D1">
            <w:pPr>
              <w:widowControl/>
              <w:adjustRightInd w:val="0"/>
              <w:snapToGrid w:val="0"/>
              <w:jc w:val="center"/>
              <w:textAlignment w:val="center"/>
              <w:rPr>
                <w:color w:val="000000"/>
                <w:kern w:val="0"/>
                <w:lang w:bidi="ar"/>
              </w:rPr>
            </w:pPr>
            <w:r>
              <w:rPr>
                <w:color w:val="000000"/>
              </w:rPr>
              <w:t>0.004L</w:t>
            </w:r>
          </w:p>
        </w:tc>
        <w:tc>
          <w:tcPr>
            <w:tcW w:w="2149" w:type="dxa"/>
            <w:tcBorders>
              <w:tl2br w:val="nil"/>
              <w:tr2bl w:val="nil"/>
            </w:tcBorders>
            <w:vAlign w:val="center"/>
          </w:tcPr>
          <w:p w14:paraId="181D3C86" w14:textId="16F436D5" w:rsidR="000225D1" w:rsidRDefault="000225D1" w:rsidP="000225D1">
            <w:pPr>
              <w:widowControl/>
              <w:adjustRightInd w:val="0"/>
              <w:snapToGrid w:val="0"/>
              <w:jc w:val="center"/>
              <w:textAlignment w:val="center"/>
            </w:pPr>
            <w:r>
              <w:rPr>
                <w:color w:val="000000"/>
              </w:rPr>
              <w:t>0.004L</w:t>
            </w:r>
          </w:p>
        </w:tc>
        <w:tc>
          <w:tcPr>
            <w:tcW w:w="2150" w:type="dxa"/>
            <w:tcBorders>
              <w:tl2br w:val="nil"/>
              <w:tr2bl w:val="nil"/>
            </w:tcBorders>
            <w:vAlign w:val="center"/>
          </w:tcPr>
          <w:p w14:paraId="34A7B0DB" w14:textId="42518980" w:rsidR="000225D1" w:rsidRDefault="000225D1" w:rsidP="000225D1">
            <w:pPr>
              <w:widowControl/>
              <w:adjustRightInd w:val="0"/>
              <w:snapToGrid w:val="0"/>
              <w:jc w:val="center"/>
              <w:textAlignment w:val="center"/>
            </w:pPr>
            <w:r>
              <w:rPr>
                <w:color w:val="000000"/>
              </w:rPr>
              <w:t>0.004L</w:t>
            </w:r>
          </w:p>
        </w:tc>
        <w:tc>
          <w:tcPr>
            <w:tcW w:w="1467" w:type="dxa"/>
            <w:vMerge w:val="restart"/>
            <w:tcBorders>
              <w:tl2br w:val="nil"/>
              <w:tr2bl w:val="nil"/>
            </w:tcBorders>
            <w:vAlign w:val="center"/>
          </w:tcPr>
          <w:p w14:paraId="203882AC" w14:textId="627409EE" w:rsidR="000225D1" w:rsidRDefault="00A11B36" w:rsidP="000225D1">
            <w:pPr>
              <w:widowControl/>
              <w:adjustRightInd w:val="0"/>
              <w:snapToGrid w:val="0"/>
              <w:jc w:val="center"/>
              <w:textAlignment w:val="center"/>
            </w:pPr>
            <w:r>
              <w:rPr>
                <w:rFonts w:hint="eastAsia"/>
                <w:color w:val="000000"/>
                <w:kern w:val="0"/>
                <w:lang w:bidi="ar"/>
              </w:rPr>
              <w:t>0.1</w:t>
            </w:r>
          </w:p>
        </w:tc>
      </w:tr>
      <w:tr w:rsidR="00FB0984" w14:paraId="2AD99A7D" w14:textId="77777777" w:rsidTr="00081464">
        <w:trPr>
          <w:trHeight w:val="57"/>
          <w:jc w:val="center"/>
        </w:trPr>
        <w:tc>
          <w:tcPr>
            <w:tcW w:w="1127" w:type="dxa"/>
            <w:vMerge/>
            <w:vAlign w:val="center"/>
          </w:tcPr>
          <w:p w14:paraId="35565E0B" w14:textId="77777777" w:rsidR="00FB0984" w:rsidRDefault="00FB0984" w:rsidP="00FB0984">
            <w:pPr>
              <w:adjustRightInd w:val="0"/>
              <w:snapToGrid w:val="0"/>
              <w:jc w:val="center"/>
            </w:pPr>
          </w:p>
        </w:tc>
        <w:tc>
          <w:tcPr>
            <w:tcW w:w="1130" w:type="dxa"/>
            <w:vMerge/>
            <w:tcBorders>
              <w:tl2br w:val="nil"/>
              <w:tr2bl w:val="nil"/>
            </w:tcBorders>
            <w:vAlign w:val="center"/>
          </w:tcPr>
          <w:p w14:paraId="4D6291AE" w14:textId="77777777" w:rsidR="00FB0984" w:rsidRDefault="00FB0984" w:rsidP="00FB0984">
            <w:pPr>
              <w:adjustRightInd w:val="0"/>
              <w:snapToGrid w:val="0"/>
              <w:jc w:val="center"/>
            </w:pPr>
          </w:p>
        </w:tc>
        <w:tc>
          <w:tcPr>
            <w:tcW w:w="1905" w:type="dxa"/>
            <w:tcBorders>
              <w:tl2br w:val="nil"/>
              <w:tr2bl w:val="nil"/>
            </w:tcBorders>
            <w:vAlign w:val="center"/>
          </w:tcPr>
          <w:p w14:paraId="597B9734" w14:textId="77777777" w:rsidR="00FB0984" w:rsidRDefault="00FB0984" w:rsidP="00FB0984">
            <w:pPr>
              <w:adjustRightInd w:val="0"/>
              <w:snapToGrid w:val="0"/>
              <w:jc w:val="center"/>
            </w:pPr>
            <w:r>
              <w:t>标准指数</w:t>
            </w:r>
          </w:p>
        </w:tc>
        <w:tc>
          <w:tcPr>
            <w:tcW w:w="2149" w:type="dxa"/>
            <w:tcBorders>
              <w:top w:val="single" w:sz="4" w:space="0" w:color="auto"/>
              <w:left w:val="nil"/>
              <w:bottom w:val="single" w:sz="4" w:space="0" w:color="auto"/>
              <w:right w:val="single" w:sz="4" w:space="0" w:color="auto"/>
            </w:tcBorders>
          </w:tcPr>
          <w:p w14:paraId="75647B4E" w14:textId="789A56BA" w:rsidR="00FB0984" w:rsidRDefault="00FB0984" w:rsidP="00FB0984">
            <w:pPr>
              <w:widowControl/>
              <w:adjustRightInd w:val="0"/>
              <w:snapToGrid w:val="0"/>
              <w:jc w:val="center"/>
              <w:textAlignment w:val="center"/>
            </w:pPr>
            <w:r w:rsidRPr="00902F94">
              <w:rPr>
                <w:color w:val="000000"/>
                <w:kern w:val="0"/>
                <w:lang w:bidi="ar"/>
              </w:rPr>
              <w:t>/</w:t>
            </w:r>
          </w:p>
        </w:tc>
        <w:tc>
          <w:tcPr>
            <w:tcW w:w="2150" w:type="dxa"/>
            <w:tcBorders>
              <w:left w:val="single" w:sz="4" w:space="0" w:color="auto"/>
            </w:tcBorders>
          </w:tcPr>
          <w:p w14:paraId="7FA7233D" w14:textId="53FE1B73" w:rsidR="00FB0984" w:rsidRDefault="00FB0984" w:rsidP="00FB0984">
            <w:pPr>
              <w:widowControl/>
              <w:adjustRightInd w:val="0"/>
              <w:snapToGrid w:val="0"/>
              <w:jc w:val="center"/>
              <w:textAlignment w:val="center"/>
              <w:rPr>
                <w:color w:val="000000"/>
                <w:kern w:val="0"/>
                <w:lang w:bidi="ar"/>
              </w:rPr>
            </w:pPr>
            <w:r w:rsidRPr="00902F94">
              <w:rPr>
                <w:color w:val="000000"/>
                <w:kern w:val="0"/>
                <w:lang w:bidi="ar"/>
              </w:rPr>
              <w:t>/</w:t>
            </w:r>
          </w:p>
        </w:tc>
        <w:tc>
          <w:tcPr>
            <w:tcW w:w="2149" w:type="dxa"/>
            <w:tcBorders>
              <w:tl2br w:val="nil"/>
              <w:tr2bl w:val="nil"/>
            </w:tcBorders>
          </w:tcPr>
          <w:p w14:paraId="2ADB623D" w14:textId="566FEA9C" w:rsidR="00FB0984" w:rsidRDefault="00FB0984" w:rsidP="00FB0984">
            <w:pPr>
              <w:widowControl/>
              <w:adjustRightInd w:val="0"/>
              <w:snapToGrid w:val="0"/>
              <w:jc w:val="center"/>
              <w:textAlignment w:val="center"/>
            </w:pPr>
            <w:r w:rsidRPr="00902F94">
              <w:rPr>
                <w:color w:val="000000"/>
                <w:kern w:val="0"/>
                <w:lang w:bidi="ar"/>
              </w:rPr>
              <w:t>/</w:t>
            </w:r>
          </w:p>
        </w:tc>
        <w:tc>
          <w:tcPr>
            <w:tcW w:w="2150" w:type="dxa"/>
            <w:tcBorders>
              <w:tl2br w:val="nil"/>
              <w:tr2bl w:val="nil"/>
            </w:tcBorders>
          </w:tcPr>
          <w:p w14:paraId="3D547E39" w14:textId="1E8848BA" w:rsidR="00FB0984" w:rsidRDefault="00FB0984" w:rsidP="00FB0984">
            <w:pPr>
              <w:widowControl/>
              <w:adjustRightInd w:val="0"/>
              <w:snapToGrid w:val="0"/>
              <w:jc w:val="center"/>
              <w:textAlignment w:val="center"/>
            </w:pPr>
            <w:r w:rsidRPr="00902F94">
              <w:rPr>
                <w:color w:val="000000"/>
                <w:kern w:val="0"/>
                <w:lang w:bidi="ar"/>
              </w:rPr>
              <w:t>/</w:t>
            </w:r>
          </w:p>
        </w:tc>
        <w:tc>
          <w:tcPr>
            <w:tcW w:w="1467" w:type="dxa"/>
            <w:vMerge/>
            <w:tcBorders>
              <w:tl2br w:val="nil"/>
              <w:tr2bl w:val="nil"/>
            </w:tcBorders>
            <w:vAlign w:val="center"/>
          </w:tcPr>
          <w:p w14:paraId="6D7B3628" w14:textId="77777777" w:rsidR="00FB0984" w:rsidRDefault="00FB0984" w:rsidP="00FB0984">
            <w:pPr>
              <w:adjustRightInd w:val="0"/>
              <w:snapToGrid w:val="0"/>
              <w:jc w:val="center"/>
            </w:pPr>
          </w:p>
        </w:tc>
      </w:tr>
      <w:tr w:rsidR="000225D1" w14:paraId="7FED8025" w14:textId="77777777" w:rsidTr="000225D1">
        <w:trPr>
          <w:trHeight w:val="57"/>
          <w:jc w:val="center"/>
        </w:trPr>
        <w:tc>
          <w:tcPr>
            <w:tcW w:w="1127" w:type="dxa"/>
            <w:vMerge w:val="restart"/>
            <w:vAlign w:val="center"/>
          </w:tcPr>
          <w:p w14:paraId="5C6ABC36" w14:textId="146AC25A" w:rsidR="000225D1" w:rsidRDefault="000225D1" w:rsidP="000225D1">
            <w:pPr>
              <w:widowControl/>
              <w:adjustRightInd w:val="0"/>
              <w:snapToGrid w:val="0"/>
              <w:jc w:val="center"/>
              <w:textAlignment w:val="center"/>
            </w:pPr>
            <w:r>
              <w:rPr>
                <w:rFonts w:hint="eastAsia"/>
                <w:bCs/>
              </w:rPr>
              <w:t>硒</w:t>
            </w:r>
          </w:p>
        </w:tc>
        <w:tc>
          <w:tcPr>
            <w:tcW w:w="1130" w:type="dxa"/>
            <w:vMerge w:val="restart"/>
            <w:tcBorders>
              <w:tl2br w:val="nil"/>
              <w:tr2bl w:val="nil"/>
            </w:tcBorders>
            <w:vAlign w:val="center"/>
          </w:tcPr>
          <w:p w14:paraId="05C33D9C" w14:textId="77777777" w:rsidR="000225D1" w:rsidRDefault="000225D1" w:rsidP="000225D1">
            <w:pPr>
              <w:adjustRightInd w:val="0"/>
              <w:snapToGrid w:val="0"/>
              <w:jc w:val="center"/>
            </w:pPr>
            <w:r>
              <w:t>mg/L</w:t>
            </w:r>
          </w:p>
        </w:tc>
        <w:tc>
          <w:tcPr>
            <w:tcW w:w="1905" w:type="dxa"/>
            <w:tcBorders>
              <w:tl2br w:val="nil"/>
              <w:tr2bl w:val="nil"/>
            </w:tcBorders>
            <w:vAlign w:val="center"/>
          </w:tcPr>
          <w:p w14:paraId="2E1F42EB" w14:textId="77777777" w:rsidR="000225D1" w:rsidRDefault="000225D1" w:rsidP="000225D1">
            <w:pPr>
              <w:adjustRightInd w:val="0"/>
              <w:snapToGrid w:val="0"/>
              <w:jc w:val="center"/>
            </w:pPr>
            <w:r>
              <w:t>监测值（</w:t>
            </w:r>
            <w:r>
              <w:t>Max</w:t>
            </w:r>
            <w:r>
              <w:t>）</w:t>
            </w:r>
          </w:p>
        </w:tc>
        <w:tc>
          <w:tcPr>
            <w:tcW w:w="2149" w:type="dxa"/>
            <w:tcBorders>
              <w:top w:val="single" w:sz="4" w:space="0" w:color="auto"/>
              <w:left w:val="nil"/>
              <w:bottom w:val="single" w:sz="4" w:space="0" w:color="auto"/>
              <w:right w:val="single" w:sz="4" w:space="0" w:color="auto"/>
            </w:tcBorders>
            <w:vAlign w:val="center"/>
          </w:tcPr>
          <w:p w14:paraId="00570286" w14:textId="05175F3A" w:rsidR="000225D1" w:rsidRDefault="000225D1" w:rsidP="000225D1">
            <w:pPr>
              <w:widowControl/>
              <w:adjustRightInd w:val="0"/>
              <w:snapToGrid w:val="0"/>
              <w:jc w:val="center"/>
              <w:textAlignment w:val="center"/>
            </w:pPr>
            <w:r>
              <w:rPr>
                <w:color w:val="000000"/>
              </w:rPr>
              <w:t>0.0004L</w:t>
            </w:r>
          </w:p>
        </w:tc>
        <w:tc>
          <w:tcPr>
            <w:tcW w:w="2150" w:type="dxa"/>
            <w:tcBorders>
              <w:left w:val="single" w:sz="4" w:space="0" w:color="auto"/>
            </w:tcBorders>
            <w:vAlign w:val="center"/>
          </w:tcPr>
          <w:p w14:paraId="4E268CEA" w14:textId="5DE2294E" w:rsidR="000225D1" w:rsidRDefault="000225D1" w:rsidP="000225D1">
            <w:pPr>
              <w:widowControl/>
              <w:adjustRightInd w:val="0"/>
              <w:snapToGrid w:val="0"/>
              <w:jc w:val="center"/>
              <w:textAlignment w:val="center"/>
              <w:rPr>
                <w:color w:val="000000"/>
                <w:kern w:val="0"/>
                <w:lang w:bidi="ar"/>
              </w:rPr>
            </w:pPr>
            <w:r>
              <w:rPr>
                <w:color w:val="000000"/>
              </w:rPr>
              <w:t>0.0004L</w:t>
            </w:r>
          </w:p>
        </w:tc>
        <w:tc>
          <w:tcPr>
            <w:tcW w:w="2149" w:type="dxa"/>
            <w:tcBorders>
              <w:tl2br w:val="nil"/>
              <w:tr2bl w:val="nil"/>
            </w:tcBorders>
            <w:vAlign w:val="center"/>
          </w:tcPr>
          <w:p w14:paraId="2508774B" w14:textId="34E3B5B3" w:rsidR="000225D1" w:rsidRDefault="000225D1" w:rsidP="000225D1">
            <w:pPr>
              <w:widowControl/>
              <w:adjustRightInd w:val="0"/>
              <w:snapToGrid w:val="0"/>
              <w:jc w:val="center"/>
              <w:textAlignment w:val="center"/>
            </w:pPr>
            <w:r>
              <w:rPr>
                <w:color w:val="000000"/>
              </w:rPr>
              <w:t>0.0004L</w:t>
            </w:r>
          </w:p>
        </w:tc>
        <w:tc>
          <w:tcPr>
            <w:tcW w:w="2150" w:type="dxa"/>
            <w:tcBorders>
              <w:tl2br w:val="nil"/>
              <w:tr2bl w:val="nil"/>
            </w:tcBorders>
            <w:vAlign w:val="center"/>
          </w:tcPr>
          <w:p w14:paraId="50D53CF5" w14:textId="2F5613F7" w:rsidR="000225D1" w:rsidRDefault="000225D1" w:rsidP="000225D1">
            <w:pPr>
              <w:widowControl/>
              <w:adjustRightInd w:val="0"/>
              <w:snapToGrid w:val="0"/>
              <w:jc w:val="center"/>
              <w:textAlignment w:val="center"/>
            </w:pPr>
            <w:r>
              <w:rPr>
                <w:color w:val="000000"/>
              </w:rPr>
              <w:t>0.0004L</w:t>
            </w:r>
          </w:p>
        </w:tc>
        <w:tc>
          <w:tcPr>
            <w:tcW w:w="1467" w:type="dxa"/>
            <w:vMerge w:val="restart"/>
            <w:tcBorders>
              <w:tl2br w:val="nil"/>
              <w:tr2bl w:val="nil"/>
            </w:tcBorders>
            <w:vAlign w:val="center"/>
          </w:tcPr>
          <w:p w14:paraId="1F905A86" w14:textId="705FE855" w:rsidR="000225D1" w:rsidRDefault="00A11B36" w:rsidP="000225D1">
            <w:pPr>
              <w:widowControl/>
              <w:adjustRightInd w:val="0"/>
              <w:snapToGrid w:val="0"/>
              <w:jc w:val="center"/>
              <w:textAlignment w:val="center"/>
            </w:pPr>
            <w:r>
              <w:rPr>
                <w:rFonts w:hint="eastAsia"/>
                <w:color w:val="000000"/>
                <w:kern w:val="0"/>
                <w:lang w:bidi="ar"/>
              </w:rPr>
              <w:t>0.02</w:t>
            </w:r>
          </w:p>
        </w:tc>
      </w:tr>
      <w:tr w:rsidR="00FB0984" w14:paraId="351DA6A8" w14:textId="77777777" w:rsidTr="00BA2845">
        <w:trPr>
          <w:trHeight w:val="57"/>
          <w:jc w:val="center"/>
        </w:trPr>
        <w:tc>
          <w:tcPr>
            <w:tcW w:w="1127" w:type="dxa"/>
            <w:vMerge/>
            <w:vAlign w:val="center"/>
          </w:tcPr>
          <w:p w14:paraId="555A17DB" w14:textId="77777777" w:rsidR="00FB0984" w:rsidRDefault="00FB0984" w:rsidP="00FB0984">
            <w:pPr>
              <w:adjustRightInd w:val="0"/>
              <w:snapToGrid w:val="0"/>
              <w:jc w:val="center"/>
            </w:pPr>
          </w:p>
        </w:tc>
        <w:tc>
          <w:tcPr>
            <w:tcW w:w="1130" w:type="dxa"/>
            <w:vMerge/>
            <w:tcBorders>
              <w:tl2br w:val="nil"/>
              <w:tr2bl w:val="nil"/>
            </w:tcBorders>
            <w:vAlign w:val="center"/>
          </w:tcPr>
          <w:p w14:paraId="7C5215AE" w14:textId="77777777" w:rsidR="00FB0984" w:rsidRDefault="00FB0984" w:rsidP="00FB0984">
            <w:pPr>
              <w:adjustRightInd w:val="0"/>
              <w:snapToGrid w:val="0"/>
              <w:jc w:val="center"/>
            </w:pPr>
          </w:p>
        </w:tc>
        <w:tc>
          <w:tcPr>
            <w:tcW w:w="1905" w:type="dxa"/>
            <w:tcBorders>
              <w:tl2br w:val="nil"/>
              <w:tr2bl w:val="nil"/>
            </w:tcBorders>
            <w:vAlign w:val="center"/>
          </w:tcPr>
          <w:p w14:paraId="7416AE57" w14:textId="77777777" w:rsidR="00FB0984" w:rsidRDefault="00FB0984" w:rsidP="00FB0984">
            <w:pPr>
              <w:adjustRightInd w:val="0"/>
              <w:snapToGrid w:val="0"/>
              <w:jc w:val="center"/>
            </w:pPr>
            <w:r>
              <w:t>标准指数</w:t>
            </w:r>
          </w:p>
        </w:tc>
        <w:tc>
          <w:tcPr>
            <w:tcW w:w="2149" w:type="dxa"/>
            <w:tcBorders>
              <w:top w:val="single" w:sz="4" w:space="0" w:color="auto"/>
              <w:left w:val="nil"/>
              <w:bottom w:val="single" w:sz="4" w:space="0" w:color="auto"/>
              <w:right w:val="single" w:sz="4" w:space="0" w:color="auto"/>
            </w:tcBorders>
          </w:tcPr>
          <w:p w14:paraId="252B42CF" w14:textId="1E372E3A" w:rsidR="00FB0984" w:rsidRDefault="00FB0984" w:rsidP="00FB0984">
            <w:pPr>
              <w:widowControl/>
              <w:adjustRightInd w:val="0"/>
              <w:snapToGrid w:val="0"/>
              <w:jc w:val="center"/>
              <w:textAlignment w:val="center"/>
            </w:pPr>
            <w:r w:rsidRPr="00D00511">
              <w:rPr>
                <w:color w:val="000000"/>
                <w:kern w:val="0"/>
                <w:lang w:bidi="ar"/>
              </w:rPr>
              <w:t>/</w:t>
            </w:r>
          </w:p>
        </w:tc>
        <w:tc>
          <w:tcPr>
            <w:tcW w:w="2150" w:type="dxa"/>
            <w:tcBorders>
              <w:left w:val="single" w:sz="4" w:space="0" w:color="auto"/>
            </w:tcBorders>
          </w:tcPr>
          <w:p w14:paraId="6135BEDE" w14:textId="45F520EA" w:rsidR="00FB0984" w:rsidRDefault="00FB0984" w:rsidP="00FB0984">
            <w:pPr>
              <w:widowControl/>
              <w:adjustRightInd w:val="0"/>
              <w:snapToGrid w:val="0"/>
              <w:jc w:val="center"/>
              <w:textAlignment w:val="center"/>
              <w:rPr>
                <w:color w:val="000000"/>
                <w:kern w:val="0"/>
                <w:lang w:bidi="ar"/>
              </w:rPr>
            </w:pPr>
            <w:r w:rsidRPr="00D00511">
              <w:rPr>
                <w:color w:val="000000"/>
                <w:kern w:val="0"/>
                <w:lang w:bidi="ar"/>
              </w:rPr>
              <w:t>/</w:t>
            </w:r>
          </w:p>
        </w:tc>
        <w:tc>
          <w:tcPr>
            <w:tcW w:w="2149" w:type="dxa"/>
            <w:tcBorders>
              <w:tl2br w:val="nil"/>
              <w:tr2bl w:val="nil"/>
            </w:tcBorders>
          </w:tcPr>
          <w:p w14:paraId="07AEB4C7" w14:textId="67FC9389" w:rsidR="00FB0984" w:rsidRDefault="00FB0984" w:rsidP="00FB0984">
            <w:pPr>
              <w:widowControl/>
              <w:adjustRightInd w:val="0"/>
              <w:snapToGrid w:val="0"/>
              <w:jc w:val="center"/>
              <w:textAlignment w:val="center"/>
            </w:pPr>
            <w:r w:rsidRPr="00D00511">
              <w:rPr>
                <w:color w:val="000000"/>
                <w:kern w:val="0"/>
                <w:lang w:bidi="ar"/>
              </w:rPr>
              <w:t>/</w:t>
            </w:r>
          </w:p>
        </w:tc>
        <w:tc>
          <w:tcPr>
            <w:tcW w:w="2150" w:type="dxa"/>
            <w:tcBorders>
              <w:tl2br w:val="nil"/>
              <w:tr2bl w:val="nil"/>
            </w:tcBorders>
          </w:tcPr>
          <w:p w14:paraId="5459E4E6" w14:textId="5FB4E980" w:rsidR="00FB0984" w:rsidRDefault="00FB0984" w:rsidP="00FB0984">
            <w:pPr>
              <w:widowControl/>
              <w:adjustRightInd w:val="0"/>
              <w:snapToGrid w:val="0"/>
              <w:jc w:val="center"/>
              <w:textAlignment w:val="center"/>
            </w:pPr>
            <w:r w:rsidRPr="00D00511">
              <w:rPr>
                <w:color w:val="000000"/>
                <w:kern w:val="0"/>
                <w:lang w:bidi="ar"/>
              </w:rPr>
              <w:t>/</w:t>
            </w:r>
          </w:p>
        </w:tc>
        <w:tc>
          <w:tcPr>
            <w:tcW w:w="1467" w:type="dxa"/>
            <w:vMerge/>
            <w:tcBorders>
              <w:tl2br w:val="nil"/>
              <w:tr2bl w:val="nil"/>
            </w:tcBorders>
            <w:vAlign w:val="center"/>
          </w:tcPr>
          <w:p w14:paraId="17AF24A6" w14:textId="77777777" w:rsidR="00FB0984" w:rsidRDefault="00FB0984" w:rsidP="00FB0984">
            <w:pPr>
              <w:adjustRightInd w:val="0"/>
              <w:snapToGrid w:val="0"/>
              <w:jc w:val="center"/>
            </w:pPr>
          </w:p>
        </w:tc>
      </w:tr>
      <w:tr w:rsidR="000225D1" w14:paraId="20AC3012" w14:textId="77777777" w:rsidTr="000225D1">
        <w:trPr>
          <w:trHeight w:val="57"/>
          <w:jc w:val="center"/>
        </w:trPr>
        <w:tc>
          <w:tcPr>
            <w:tcW w:w="1127" w:type="dxa"/>
            <w:vMerge w:val="restart"/>
            <w:vAlign w:val="center"/>
          </w:tcPr>
          <w:p w14:paraId="27733474" w14:textId="71E4FC10" w:rsidR="000225D1" w:rsidRDefault="000225D1" w:rsidP="000225D1">
            <w:pPr>
              <w:widowControl/>
              <w:adjustRightInd w:val="0"/>
              <w:snapToGrid w:val="0"/>
              <w:jc w:val="center"/>
              <w:textAlignment w:val="center"/>
            </w:pPr>
            <w:r>
              <w:rPr>
                <w:rFonts w:hint="eastAsia"/>
                <w:bCs/>
              </w:rPr>
              <w:t>铜</w:t>
            </w:r>
          </w:p>
        </w:tc>
        <w:tc>
          <w:tcPr>
            <w:tcW w:w="1130" w:type="dxa"/>
            <w:vMerge w:val="restart"/>
            <w:tcBorders>
              <w:tl2br w:val="nil"/>
              <w:tr2bl w:val="nil"/>
            </w:tcBorders>
            <w:vAlign w:val="center"/>
          </w:tcPr>
          <w:p w14:paraId="09B00310" w14:textId="77777777" w:rsidR="000225D1" w:rsidRDefault="000225D1" w:rsidP="000225D1">
            <w:pPr>
              <w:adjustRightInd w:val="0"/>
              <w:snapToGrid w:val="0"/>
              <w:jc w:val="center"/>
            </w:pPr>
            <w:r>
              <w:t>mg/L</w:t>
            </w:r>
          </w:p>
        </w:tc>
        <w:tc>
          <w:tcPr>
            <w:tcW w:w="1905" w:type="dxa"/>
            <w:tcBorders>
              <w:tl2br w:val="nil"/>
              <w:tr2bl w:val="nil"/>
            </w:tcBorders>
            <w:vAlign w:val="center"/>
          </w:tcPr>
          <w:p w14:paraId="407223C7" w14:textId="77777777" w:rsidR="000225D1" w:rsidRDefault="000225D1" w:rsidP="000225D1">
            <w:pPr>
              <w:adjustRightInd w:val="0"/>
              <w:snapToGrid w:val="0"/>
              <w:jc w:val="center"/>
            </w:pPr>
            <w:r>
              <w:t>监测值（</w:t>
            </w:r>
            <w:r>
              <w:t>Max</w:t>
            </w:r>
            <w:r>
              <w:t>）</w:t>
            </w:r>
          </w:p>
        </w:tc>
        <w:tc>
          <w:tcPr>
            <w:tcW w:w="2149" w:type="dxa"/>
            <w:tcBorders>
              <w:top w:val="single" w:sz="4" w:space="0" w:color="auto"/>
              <w:left w:val="nil"/>
              <w:bottom w:val="single" w:sz="4" w:space="0" w:color="auto"/>
              <w:right w:val="single" w:sz="4" w:space="0" w:color="auto"/>
            </w:tcBorders>
            <w:vAlign w:val="center"/>
          </w:tcPr>
          <w:p w14:paraId="75D34E26" w14:textId="7C2199C6" w:rsidR="000225D1" w:rsidRDefault="000225D1" w:rsidP="000225D1">
            <w:pPr>
              <w:widowControl/>
              <w:adjustRightInd w:val="0"/>
              <w:snapToGrid w:val="0"/>
              <w:jc w:val="center"/>
              <w:textAlignment w:val="center"/>
            </w:pPr>
            <w:r>
              <w:rPr>
                <w:color w:val="000000"/>
              </w:rPr>
              <w:t>0.001L</w:t>
            </w:r>
          </w:p>
        </w:tc>
        <w:tc>
          <w:tcPr>
            <w:tcW w:w="2150" w:type="dxa"/>
            <w:tcBorders>
              <w:left w:val="single" w:sz="4" w:space="0" w:color="auto"/>
            </w:tcBorders>
            <w:vAlign w:val="center"/>
          </w:tcPr>
          <w:p w14:paraId="6D6F75AC" w14:textId="5FD4C60D" w:rsidR="000225D1" w:rsidRDefault="000225D1" w:rsidP="000225D1">
            <w:pPr>
              <w:widowControl/>
              <w:adjustRightInd w:val="0"/>
              <w:snapToGrid w:val="0"/>
              <w:jc w:val="center"/>
              <w:textAlignment w:val="center"/>
              <w:rPr>
                <w:color w:val="000000"/>
                <w:kern w:val="0"/>
                <w:lang w:bidi="ar"/>
              </w:rPr>
            </w:pPr>
            <w:r>
              <w:rPr>
                <w:color w:val="000000"/>
              </w:rPr>
              <w:t>0.001L</w:t>
            </w:r>
          </w:p>
        </w:tc>
        <w:tc>
          <w:tcPr>
            <w:tcW w:w="2149" w:type="dxa"/>
            <w:tcBorders>
              <w:tl2br w:val="nil"/>
              <w:tr2bl w:val="nil"/>
            </w:tcBorders>
            <w:vAlign w:val="center"/>
          </w:tcPr>
          <w:p w14:paraId="466A053C" w14:textId="06DAD9BE" w:rsidR="000225D1" w:rsidRDefault="000225D1" w:rsidP="000225D1">
            <w:pPr>
              <w:widowControl/>
              <w:adjustRightInd w:val="0"/>
              <w:snapToGrid w:val="0"/>
              <w:jc w:val="center"/>
              <w:textAlignment w:val="center"/>
            </w:pPr>
            <w:r>
              <w:rPr>
                <w:color w:val="000000"/>
              </w:rPr>
              <w:t>0.001L</w:t>
            </w:r>
          </w:p>
        </w:tc>
        <w:tc>
          <w:tcPr>
            <w:tcW w:w="2150" w:type="dxa"/>
            <w:tcBorders>
              <w:tl2br w:val="nil"/>
              <w:tr2bl w:val="nil"/>
            </w:tcBorders>
            <w:vAlign w:val="center"/>
          </w:tcPr>
          <w:p w14:paraId="6C57AB55" w14:textId="42AD749F" w:rsidR="000225D1" w:rsidRDefault="000225D1" w:rsidP="000225D1">
            <w:pPr>
              <w:widowControl/>
              <w:adjustRightInd w:val="0"/>
              <w:snapToGrid w:val="0"/>
              <w:jc w:val="center"/>
              <w:textAlignment w:val="center"/>
            </w:pPr>
            <w:r>
              <w:rPr>
                <w:color w:val="000000"/>
              </w:rPr>
              <w:t>0.001L</w:t>
            </w:r>
          </w:p>
        </w:tc>
        <w:tc>
          <w:tcPr>
            <w:tcW w:w="1467" w:type="dxa"/>
            <w:vMerge w:val="restart"/>
            <w:tcBorders>
              <w:tl2br w:val="nil"/>
              <w:tr2bl w:val="nil"/>
            </w:tcBorders>
            <w:vAlign w:val="center"/>
          </w:tcPr>
          <w:p w14:paraId="7A54C23A" w14:textId="57343551" w:rsidR="000225D1" w:rsidRDefault="00A11B36" w:rsidP="000225D1">
            <w:pPr>
              <w:widowControl/>
              <w:adjustRightInd w:val="0"/>
              <w:snapToGrid w:val="0"/>
              <w:jc w:val="center"/>
              <w:textAlignment w:val="center"/>
            </w:pPr>
            <w:r>
              <w:rPr>
                <w:rFonts w:hint="eastAsia"/>
                <w:color w:val="000000"/>
                <w:kern w:val="0"/>
                <w:lang w:bidi="ar"/>
              </w:rPr>
              <w:t>1.0</w:t>
            </w:r>
          </w:p>
        </w:tc>
      </w:tr>
      <w:tr w:rsidR="00FB0984" w14:paraId="26742B6F" w14:textId="77777777" w:rsidTr="00726521">
        <w:trPr>
          <w:trHeight w:val="57"/>
          <w:jc w:val="center"/>
        </w:trPr>
        <w:tc>
          <w:tcPr>
            <w:tcW w:w="1127" w:type="dxa"/>
            <w:vMerge/>
            <w:tcBorders>
              <w:tl2br w:val="nil"/>
              <w:tr2bl w:val="nil"/>
            </w:tcBorders>
            <w:vAlign w:val="center"/>
          </w:tcPr>
          <w:p w14:paraId="08BCE5E7" w14:textId="77777777" w:rsidR="00FB0984" w:rsidRDefault="00FB0984" w:rsidP="00FB0984">
            <w:pPr>
              <w:adjustRightInd w:val="0"/>
              <w:snapToGrid w:val="0"/>
              <w:jc w:val="center"/>
            </w:pPr>
          </w:p>
        </w:tc>
        <w:tc>
          <w:tcPr>
            <w:tcW w:w="1130" w:type="dxa"/>
            <w:vMerge/>
            <w:tcBorders>
              <w:tl2br w:val="nil"/>
              <w:tr2bl w:val="nil"/>
            </w:tcBorders>
            <w:vAlign w:val="center"/>
          </w:tcPr>
          <w:p w14:paraId="51CC8DB5" w14:textId="77777777" w:rsidR="00FB0984" w:rsidRDefault="00FB0984" w:rsidP="00FB0984">
            <w:pPr>
              <w:adjustRightInd w:val="0"/>
              <w:snapToGrid w:val="0"/>
              <w:jc w:val="center"/>
            </w:pPr>
          </w:p>
        </w:tc>
        <w:tc>
          <w:tcPr>
            <w:tcW w:w="1905" w:type="dxa"/>
            <w:tcBorders>
              <w:tl2br w:val="nil"/>
              <w:tr2bl w:val="nil"/>
            </w:tcBorders>
            <w:vAlign w:val="center"/>
          </w:tcPr>
          <w:p w14:paraId="2F653AD6" w14:textId="77777777" w:rsidR="00FB0984" w:rsidRDefault="00FB0984" w:rsidP="00FB0984">
            <w:pPr>
              <w:adjustRightInd w:val="0"/>
              <w:snapToGrid w:val="0"/>
              <w:jc w:val="center"/>
            </w:pPr>
            <w:r>
              <w:t>标准指数</w:t>
            </w:r>
          </w:p>
        </w:tc>
        <w:tc>
          <w:tcPr>
            <w:tcW w:w="2149" w:type="dxa"/>
            <w:tcBorders>
              <w:top w:val="single" w:sz="4" w:space="0" w:color="auto"/>
              <w:left w:val="nil"/>
              <w:bottom w:val="single" w:sz="4" w:space="0" w:color="auto"/>
              <w:right w:val="single" w:sz="4" w:space="0" w:color="auto"/>
            </w:tcBorders>
          </w:tcPr>
          <w:p w14:paraId="598EF4AA" w14:textId="02B3DA14" w:rsidR="00FB0984" w:rsidRDefault="00FB0984" w:rsidP="00FB0984">
            <w:pPr>
              <w:widowControl/>
              <w:adjustRightInd w:val="0"/>
              <w:snapToGrid w:val="0"/>
              <w:jc w:val="center"/>
              <w:textAlignment w:val="center"/>
            </w:pPr>
            <w:r w:rsidRPr="008D118A">
              <w:rPr>
                <w:color w:val="000000"/>
                <w:kern w:val="0"/>
                <w:lang w:bidi="ar"/>
              </w:rPr>
              <w:t>/</w:t>
            </w:r>
          </w:p>
        </w:tc>
        <w:tc>
          <w:tcPr>
            <w:tcW w:w="2150" w:type="dxa"/>
            <w:tcBorders>
              <w:left w:val="single" w:sz="4" w:space="0" w:color="auto"/>
            </w:tcBorders>
          </w:tcPr>
          <w:p w14:paraId="370704D5" w14:textId="48C1D2AF" w:rsidR="00FB0984" w:rsidRDefault="00FB0984" w:rsidP="00FB0984">
            <w:pPr>
              <w:widowControl/>
              <w:adjustRightInd w:val="0"/>
              <w:snapToGrid w:val="0"/>
              <w:jc w:val="center"/>
              <w:textAlignment w:val="center"/>
              <w:rPr>
                <w:color w:val="000000"/>
                <w:kern w:val="0"/>
                <w:lang w:bidi="ar"/>
              </w:rPr>
            </w:pPr>
            <w:r w:rsidRPr="008D118A">
              <w:rPr>
                <w:color w:val="000000"/>
                <w:kern w:val="0"/>
                <w:lang w:bidi="ar"/>
              </w:rPr>
              <w:t>/</w:t>
            </w:r>
          </w:p>
        </w:tc>
        <w:tc>
          <w:tcPr>
            <w:tcW w:w="2149" w:type="dxa"/>
            <w:tcBorders>
              <w:tl2br w:val="nil"/>
              <w:tr2bl w:val="nil"/>
            </w:tcBorders>
          </w:tcPr>
          <w:p w14:paraId="5C4CFE30" w14:textId="4EBC5DDD" w:rsidR="00FB0984" w:rsidRDefault="00FB0984" w:rsidP="00FB0984">
            <w:pPr>
              <w:widowControl/>
              <w:adjustRightInd w:val="0"/>
              <w:snapToGrid w:val="0"/>
              <w:jc w:val="center"/>
              <w:textAlignment w:val="center"/>
            </w:pPr>
            <w:r w:rsidRPr="008D118A">
              <w:rPr>
                <w:color w:val="000000"/>
                <w:kern w:val="0"/>
                <w:lang w:bidi="ar"/>
              </w:rPr>
              <w:t>/</w:t>
            </w:r>
          </w:p>
        </w:tc>
        <w:tc>
          <w:tcPr>
            <w:tcW w:w="2150" w:type="dxa"/>
            <w:tcBorders>
              <w:tl2br w:val="nil"/>
              <w:tr2bl w:val="nil"/>
            </w:tcBorders>
          </w:tcPr>
          <w:p w14:paraId="10C06EE0" w14:textId="2B69D369" w:rsidR="00FB0984" w:rsidRDefault="00FB0984" w:rsidP="00FB0984">
            <w:pPr>
              <w:widowControl/>
              <w:adjustRightInd w:val="0"/>
              <w:snapToGrid w:val="0"/>
              <w:jc w:val="center"/>
              <w:textAlignment w:val="center"/>
            </w:pPr>
            <w:r w:rsidRPr="008D118A">
              <w:rPr>
                <w:color w:val="000000"/>
                <w:kern w:val="0"/>
                <w:lang w:bidi="ar"/>
              </w:rPr>
              <w:t>/</w:t>
            </w:r>
          </w:p>
        </w:tc>
        <w:tc>
          <w:tcPr>
            <w:tcW w:w="1467" w:type="dxa"/>
            <w:vMerge/>
            <w:tcBorders>
              <w:tl2br w:val="nil"/>
              <w:tr2bl w:val="nil"/>
            </w:tcBorders>
            <w:vAlign w:val="center"/>
          </w:tcPr>
          <w:p w14:paraId="416A4F62" w14:textId="77777777" w:rsidR="00FB0984" w:rsidRDefault="00FB0984" w:rsidP="00FB0984">
            <w:pPr>
              <w:adjustRightInd w:val="0"/>
              <w:snapToGrid w:val="0"/>
              <w:jc w:val="center"/>
            </w:pPr>
          </w:p>
        </w:tc>
      </w:tr>
      <w:tr w:rsidR="000225D1" w14:paraId="6E6A19FC" w14:textId="77777777" w:rsidTr="000225D1">
        <w:trPr>
          <w:trHeight w:val="57"/>
          <w:jc w:val="center"/>
        </w:trPr>
        <w:tc>
          <w:tcPr>
            <w:tcW w:w="1127" w:type="dxa"/>
            <w:vMerge w:val="restart"/>
            <w:tcBorders>
              <w:tl2br w:val="nil"/>
              <w:tr2bl w:val="nil"/>
            </w:tcBorders>
            <w:vAlign w:val="center"/>
          </w:tcPr>
          <w:p w14:paraId="43779FEF" w14:textId="34803927" w:rsidR="000225D1" w:rsidRDefault="000225D1" w:rsidP="000225D1">
            <w:pPr>
              <w:widowControl/>
              <w:adjustRightInd w:val="0"/>
              <w:snapToGrid w:val="0"/>
              <w:jc w:val="center"/>
              <w:textAlignment w:val="center"/>
            </w:pPr>
            <w:r>
              <w:rPr>
                <w:rFonts w:hint="eastAsia"/>
                <w:color w:val="000000"/>
                <w:kern w:val="0"/>
                <w:lang w:bidi="ar"/>
              </w:rPr>
              <w:t>锌</w:t>
            </w:r>
          </w:p>
        </w:tc>
        <w:tc>
          <w:tcPr>
            <w:tcW w:w="1130" w:type="dxa"/>
            <w:vMerge w:val="restart"/>
            <w:tcBorders>
              <w:tl2br w:val="nil"/>
              <w:tr2bl w:val="nil"/>
            </w:tcBorders>
            <w:vAlign w:val="center"/>
          </w:tcPr>
          <w:p w14:paraId="5F3F6BCA" w14:textId="77777777" w:rsidR="000225D1" w:rsidRDefault="000225D1" w:rsidP="000225D1">
            <w:pPr>
              <w:adjustRightInd w:val="0"/>
              <w:snapToGrid w:val="0"/>
              <w:jc w:val="center"/>
            </w:pPr>
            <w:r>
              <w:t>mg/L</w:t>
            </w:r>
          </w:p>
        </w:tc>
        <w:tc>
          <w:tcPr>
            <w:tcW w:w="1905" w:type="dxa"/>
            <w:tcBorders>
              <w:tl2br w:val="nil"/>
              <w:tr2bl w:val="nil"/>
            </w:tcBorders>
            <w:vAlign w:val="center"/>
          </w:tcPr>
          <w:p w14:paraId="1F1707AA" w14:textId="77777777" w:rsidR="000225D1" w:rsidRDefault="000225D1" w:rsidP="000225D1">
            <w:pPr>
              <w:adjustRightInd w:val="0"/>
              <w:snapToGrid w:val="0"/>
              <w:jc w:val="center"/>
            </w:pPr>
            <w:r>
              <w:t>监测值（</w:t>
            </w:r>
            <w:r>
              <w:t>Max</w:t>
            </w:r>
            <w:r>
              <w:t>）</w:t>
            </w:r>
          </w:p>
        </w:tc>
        <w:tc>
          <w:tcPr>
            <w:tcW w:w="2149" w:type="dxa"/>
            <w:tcBorders>
              <w:top w:val="single" w:sz="4" w:space="0" w:color="auto"/>
              <w:left w:val="nil"/>
              <w:bottom w:val="single" w:sz="4" w:space="0" w:color="auto"/>
              <w:right w:val="single" w:sz="4" w:space="0" w:color="auto"/>
            </w:tcBorders>
            <w:vAlign w:val="center"/>
          </w:tcPr>
          <w:p w14:paraId="518DD215" w14:textId="4271FE5D" w:rsidR="000225D1" w:rsidRDefault="000225D1" w:rsidP="000225D1">
            <w:pPr>
              <w:widowControl/>
              <w:adjustRightInd w:val="0"/>
              <w:snapToGrid w:val="0"/>
              <w:jc w:val="center"/>
              <w:textAlignment w:val="center"/>
            </w:pPr>
            <w:r>
              <w:rPr>
                <w:color w:val="000000"/>
              </w:rPr>
              <w:t>0.05L</w:t>
            </w:r>
          </w:p>
        </w:tc>
        <w:tc>
          <w:tcPr>
            <w:tcW w:w="2150" w:type="dxa"/>
            <w:tcBorders>
              <w:left w:val="single" w:sz="4" w:space="0" w:color="auto"/>
            </w:tcBorders>
            <w:vAlign w:val="center"/>
          </w:tcPr>
          <w:p w14:paraId="49824B0A" w14:textId="2F9ABCE6" w:rsidR="000225D1" w:rsidRDefault="000225D1" w:rsidP="000225D1">
            <w:pPr>
              <w:widowControl/>
              <w:adjustRightInd w:val="0"/>
              <w:snapToGrid w:val="0"/>
              <w:jc w:val="center"/>
              <w:textAlignment w:val="center"/>
              <w:rPr>
                <w:color w:val="000000"/>
                <w:kern w:val="0"/>
                <w:lang w:bidi="ar"/>
              </w:rPr>
            </w:pPr>
            <w:r>
              <w:rPr>
                <w:color w:val="000000"/>
              </w:rPr>
              <w:t>0.05L</w:t>
            </w:r>
          </w:p>
        </w:tc>
        <w:tc>
          <w:tcPr>
            <w:tcW w:w="2149" w:type="dxa"/>
            <w:tcBorders>
              <w:tl2br w:val="nil"/>
              <w:tr2bl w:val="nil"/>
            </w:tcBorders>
            <w:vAlign w:val="center"/>
          </w:tcPr>
          <w:p w14:paraId="48C15ADA" w14:textId="71EE0E6D" w:rsidR="000225D1" w:rsidRDefault="000225D1" w:rsidP="000225D1">
            <w:pPr>
              <w:widowControl/>
              <w:adjustRightInd w:val="0"/>
              <w:snapToGrid w:val="0"/>
              <w:jc w:val="center"/>
              <w:textAlignment w:val="center"/>
            </w:pPr>
            <w:r>
              <w:rPr>
                <w:color w:val="000000"/>
              </w:rPr>
              <w:t>0.05L</w:t>
            </w:r>
          </w:p>
        </w:tc>
        <w:tc>
          <w:tcPr>
            <w:tcW w:w="2150" w:type="dxa"/>
            <w:tcBorders>
              <w:tl2br w:val="nil"/>
              <w:tr2bl w:val="nil"/>
            </w:tcBorders>
            <w:vAlign w:val="center"/>
          </w:tcPr>
          <w:p w14:paraId="3CC73443" w14:textId="5EADEA78" w:rsidR="000225D1" w:rsidRDefault="000225D1" w:rsidP="000225D1">
            <w:pPr>
              <w:widowControl/>
              <w:adjustRightInd w:val="0"/>
              <w:snapToGrid w:val="0"/>
              <w:jc w:val="center"/>
              <w:textAlignment w:val="center"/>
            </w:pPr>
            <w:r>
              <w:rPr>
                <w:color w:val="000000"/>
              </w:rPr>
              <w:t>0.05L</w:t>
            </w:r>
          </w:p>
        </w:tc>
        <w:tc>
          <w:tcPr>
            <w:tcW w:w="1467" w:type="dxa"/>
            <w:vMerge w:val="restart"/>
            <w:tcBorders>
              <w:tl2br w:val="nil"/>
              <w:tr2bl w:val="nil"/>
            </w:tcBorders>
            <w:vAlign w:val="center"/>
          </w:tcPr>
          <w:p w14:paraId="412CCABA" w14:textId="1AD531C0" w:rsidR="000225D1" w:rsidRDefault="00A11B36" w:rsidP="000225D1">
            <w:pPr>
              <w:widowControl/>
              <w:adjustRightInd w:val="0"/>
              <w:snapToGrid w:val="0"/>
              <w:jc w:val="center"/>
              <w:textAlignment w:val="center"/>
            </w:pPr>
            <w:r>
              <w:rPr>
                <w:rFonts w:hint="eastAsia"/>
                <w:color w:val="000000"/>
                <w:kern w:val="0"/>
                <w:lang w:bidi="ar"/>
              </w:rPr>
              <w:t>2.0</w:t>
            </w:r>
          </w:p>
        </w:tc>
      </w:tr>
      <w:tr w:rsidR="00FB0984" w14:paraId="18FD8E70" w14:textId="77777777" w:rsidTr="008145FD">
        <w:trPr>
          <w:trHeight w:val="57"/>
          <w:jc w:val="center"/>
        </w:trPr>
        <w:tc>
          <w:tcPr>
            <w:tcW w:w="1127" w:type="dxa"/>
            <w:vMerge/>
            <w:tcBorders>
              <w:tl2br w:val="nil"/>
              <w:tr2bl w:val="nil"/>
            </w:tcBorders>
            <w:vAlign w:val="center"/>
          </w:tcPr>
          <w:p w14:paraId="7773BF45" w14:textId="77777777" w:rsidR="00FB0984" w:rsidRDefault="00FB0984" w:rsidP="00FB0984">
            <w:pPr>
              <w:adjustRightInd w:val="0"/>
              <w:snapToGrid w:val="0"/>
              <w:jc w:val="center"/>
            </w:pPr>
          </w:p>
        </w:tc>
        <w:tc>
          <w:tcPr>
            <w:tcW w:w="1130" w:type="dxa"/>
            <w:vMerge/>
            <w:tcBorders>
              <w:tl2br w:val="nil"/>
              <w:tr2bl w:val="nil"/>
            </w:tcBorders>
            <w:vAlign w:val="center"/>
          </w:tcPr>
          <w:p w14:paraId="2E7DBB78" w14:textId="77777777" w:rsidR="00FB0984" w:rsidRDefault="00FB0984" w:rsidP="00FB0984">
            <w:pPr>
              <w:adjustRightInd w:val="0"/>
              <w:snapToGrid w:val="0"/>
              <w:jc w:val="center"/>
            </w:pPr>
          </w:p>
        </w:tc>
        <w:tc>
          <w:tcPr>
            <w:tcW w:w="1905" w:type="dxa"/>
            <w:tcBorders>
              <w:tl2br w:val="nil"/>
              <w:tr2bl w:val="nil"/>
            </w:tcBorders>
            <w:vAlign w:val="center"/>
          </w:tcPr>
          <w:p w14:paraId="288DB8BF" w14:textId="77777777" w:rsidR="00FB0984" w:rsidRDefault="00FB0984" w:rsidP="00FB0984">
            <w:pPr>
              <w:adjustRightInd w:val="0"/>
              <w:snapToGrid w:val="0"/>
              <w:jc w:val="center"/>
            </w:pPr>
            <w:r>
              <w:t>标准指数</w:t>
            </w:r>
          </w:p>
        </w:tc>
        <w:tc>
          <w:tcPr>
            <w:tcW w:w="2149" w:type="dxa"/>
            <w:tcBorders>
              <w:top w:val="single" w:sz="4" w:space="0" w:color="auto"/>
              <w:left w:val="nil"/>
              <w:bottom w:val="single" w:sz="4" w:space="0" w:color="auto"/>
              <w:right w:val="single" w:sz="4" w:space="0" w:color="auto"/>
            </w:tcBorders>
          </w:tcPr>
          <w:p w14:paraId="5FF53C2B" w14:textId="3860A0C5" w:rsidR="00FB0984" w:rsidRDefault="00FB0984" w:rsidP="00FB0984">
            <w:pPr>
              <w:widowControl/>
              <w:adjustRightInd w:val="0"/>
              <w:snapToGrid w:val="0"/>
              <w:jc w:val="center"/>
              <w:textAlignment w:val="center"/>
            </w:pPr>
            <w:r w:rsidRPr="0026332A">
              <w:rPr>
                <w:color w:val="000000"/>
                <w:kern w:val="0"/>
                <w:lang w:bidi="ar"/>
              </w:rPr>
              <w:t>/</w:t>
            </w:r>
          </w:p>
        </w:tc>
        <w:tc>
          <w:tcPr>
            <w:tcW w:w="2150" w:type="dxa"/>
            <w:tcBorders>
              <w:left w:val="single" w:sz="4" w:space="0" w:color="auto"/>
            </w:tcBorders>
          </w:tcPr>
          <w:p w14:paraId="6E344BC1" w14:textId="6E0482A0" w:rsidR="00FB0984" w:rsidRDefault="00FB0984" w:rsidP="00FB0984">
            <w:pPr>
              <w:widowControl/>
              <w:adjustRightInd w:val="0"/>
              <w:snapToGrid w:val="0"/>
              <w:jc w:val="center"/>
              <w:textAlignment w:val="center"/>
              <w:rPr>
                <w:color w:val="000000"/>
                <w:kern w:val="0"/>
                <w:lang w:bidi="ar"/>
              </w:rPr>
            </w:pPr>
            <w:r w:rsidRPr="0026332A">
              <w:rPr>
                <w:color w:val="000000"/>
                <w:kern w:val="0"/>
                <w:lang w:bidi="ar"/>
              </w:rPr>
              <w:t>/</w:t>
            </w:r>
          </w:p>
        </w:tc>
        <w:tc>
          <w:tcPr>
            <w:tcW w:w="2149" w:type="dxa"/>
            <w:tcBorders>
              <w:tl2br w:val="nil"/>
              <w:tr2bl w:val="nil"/>
            </w:tcBorders>
          </w:tcPr>
          <w:p w14:paraId="5E123415" w14:textId="3E1424E4" w:rsidR="00FB0984" w:rsidRDefault="00FB0984" w:rsidP="00FB0984">
            <w:pPr>
              <w:widowControl/>
              <w:adjustRightInd w:val="0"/>
              <w:snapToGrid w:val="0"/>
              <w:jc w:val="center"/>
              <w:textAlignment w:val="center"/>
            </w:pPr>
            <w:r w:rsidRPr="0026332A">
              <w:rPr>
                <w:color w:val="000000"/>
                <w:kern w:val="0"/>
                <w:lang w:bidi="ar"/>
              </w:rPr>
              <w:t>/</w:t>
            </w:r>
          </w:p>
        </w:tc>
        <w:tc>
          <w:tcPr>
            <w:tcW w:w="2150" w:type="dxa"/>
            <w:tcBorders>
              <w:tl2br w:val="nil"/>
              <w:tr2bl w:val="nil"/>
            </w:tcBorders>
          </w:tcPr>
          <w:p w14:paraId="7B64EA22" w14:textId="25D826E8" w:rsidR="00FB0984" w:rsidRDefault="00FB0984" w:rsidP="00FB0984">
            <w:pPr>
              <w:widowControl/>
              <w:adjustRightInd w:val="0"/>
              <w:snapToGrid w:val="0"/>
              <w:jc w:val="center"/>
              <w:textAlignment w:val="center"/>
            </w:pPr>
            <w:r w:rsidRPr="0026332A">
              <w:rPr>
                <w:color w:val="000000"/>
                <w:kern w:val="0"/>
                <w:lang w:bidi="ar"/>
              </w:rPr>
              <w:t>/</w:t>
            </w:r>
          </w:p>
        </w:tc>
        <w:tc>
          <w:tcPr>
            <w:tcW w:w="1467" w:type="dxa"/>
            <w:vMerge/>
            <w:tcBorders>
              <w:tl2br w:val="nil"/>
              <w:tr2bl w:val="nil"/>
            </w:tcBorders>
            <w:vAlign w:val="center"/>
          </w:tcPr>
          <w:p w14:paraId="697718C1" w14:textId="77777777" w:rsidR="00FB0984" w:rsidRDefault="00FB0984" w:rsidP="00FB0984">
            <w:pPr>
              <w:adjustRightInd w:val="0"/>
              <w:snapToGrid w:val="0"/>
              <w:jc w:val="center"/>
            </w:pPr>
          </w:p>
        </w:tc>
      </w:tr>
      <w:tr w:rsidR="000225D1" w14:paraId="4C6F4EA3" w14:textId="77777777" w:rsidTr="000225D1">
        <w:trPr>
          <w:trHeight w:val="57"/>
          <w:jc w:val="center"/>
        </w:trPr>
        <w:tc>
          <w:tcPr>
            <w:tcW w:w="1127" w:type="dxa"/>
            <w:vMerge w:val="restart"/>
            <w:tcBorders>
              <w:tl2br w:val="nil"/>
              <w:tr2bl w:val="nil"/>
            </w:tcBorders>
            <w:vAlign w:val="center"/>
          </w:tcPr>
          <w:p w14:paraId="4D3B188E" w14:textId="4E371EEF" w:rsidR="000225D1" w:rsidRDefault="000225D1" w:rsidP="000225D1">
            <w:pPr>
              <w:widowControl/>
              <w:adjustRightInd w:val="0"/>
              <w:snapToGrid w:val="0"/>
              <w:jc w:val="center"/>
              <w:textAlignment w:val="center"/>
            </w:pPr>
            <w:r w:rsidRPr="00960DCF">
              <w:rPr>
                <w:rFonts w:hint="eastAsia"/>
              </w:rPr>
              <w:t>氰化物</w:t>
            </w:r>
          </w:p>
        </w:tc>
        <w:tc>
          <w:tcPr>
            <w:tcW w:w="1130" w:type="dxa"/>
            <w:vMerge w:val="restart"/>
            <w:tcBorders>
              <w:tl2br w:val="nil"/>
              <w:tr2bl w:val="nil"/>
            </w:tcBorders>
            <w:vAlign w:val="center"/>
          </w:tcPr>
          <w:p w14:paraId="6F29F093" w14:textId="77777777" w:rsidR="000225D1" w:rsidRDefault="000225D1" w:rsidP="000225D1">
            <w:pPr>
              <w:adjustRightInd w:val="0"/>
              <w:snapToGrid w:val="0"/>
              <w:jc w:val="center"/>
            </w:pPr>
            <w:r>
              <w:t>mg/L</w:t>
            </w:r>
          </w:p>
        </w:tc>
        <w:tc>
          <w:tcPr>
            <w:tcW w:w="1905" w:type="dxa"/>
            <w:tcBorders>
              <w:tl2br w:val="nil"/>
              <w:tr2bl w:val="nil"/>
            </w:tcBorders>
            <w:vAlign w:val="center"/>
          </w:tcPr>
          <w:p w14:paraId="36FF344F" w14:textId="77777777" w:rsidR="000225D1" w:rsidRDefault="000225D1" w:rsidP="000225D1">
            <w:pPr>
              <w:adjustRightInd w:val="0"/>
              <w:snapToGrid w:val="0"/>
              <w:jc w:val="center"/>
            </w:pPr>
            <w:r>
              <w:t>监测值（</w:t>
            </w:r>
            <w:r>
              <w:t>Max</w:t>
            </w:r>
            <w:r>
              <w:t>）</w:t>
            </w:r>
          </w:p>
        </w:tc>
        <w:tc>
          <w:tcPr>
            <w:tcW w:w="2149" w:type="dxa"/>
            <w:tcBorders>
              <w:top w:val="single" w:sz="4" w:space="0" w:color="auto"/>
              <w:left w:val="nil"/>
              <w:bottom w:val="single" w:sz="4" w:space="0" w:color="auto"/>
              <w:right w:val="single" w:sz="4" w:space="0" w:color="auto"/>
            </w:tcBorders>
            <w:vAlign w:val="center"/>
          </w:tcPr>
          <w:p w14:paraId="77868CBE" w14:textId="362AD845" w:rsidR="000225D1" w:rsidRDefault="000225D1" w:rsidP="000225D1">
            <w:pPr>
              <w:widowControl/>
              <w:adjustRightInd w:val="0"/>
              <w:snapToGrid w:val="0"/>
              <w:jc w:val="center"/>
              <w:textAlignment w:val="center"/>
            </w:pPr>
            <w:r>
              <w:rPr>
                <w:color w:val="000000"/>
              </w:rPr>
              <w:t>0.004L</w:t>
            </w:r>
          </w:p>
        </w:tc>
        <w:tc>
          <w:tcPr>
            <w:tcW w:w="2150" w:type="dxa"/>
            <w:tcBorders>
              <w:left w:val="single" w:sz="4" w:space="0" w:color="auto"/>
            </w:tcBorders>
            <w:vAlign w:val="center"/>
          </w:tcPr>
          <w:p w14:paraId="35DAB61E" w14:textId="63038435" w:rsidR="000225D1" w:rsidRDefault="000225D1" w:rsidP="000225D1">
            <w:pPr>
              <w:widowControl/>
              <w:adjustRightInd w:val="0"/>
              <w:snapToGrid w:val="0"/>
              <w:jc w:val="center"/>
              <w:textAlignment w:val="center"/>
              <w:rPr>
                <w:color w:val="000000"/>
                <w:kern w:val="0"/>
                <w:lang w:bidi="ar"/>
              </w:rPr>
            </w:pPr>
            <w:r>
              <w:rPr>
                <w:color w:val="000000"/>
              </w:rPr>
              <w:t>0.004L</w:t>
            </w:r>
          </w:p>
        </w:tc>
        <w:tc>
          <w:tcPr>
            <w:tcW w:w="2149" w:type="dxa"/>
            <w:tcBorders>
              <w:tl2br w:val="nil"/>
              <w:tr2bl w:val="nil"/>
            </w:tcBorders>
            <w:vAlign w:val="center"/>
          </w:tcPr>
          <w:p w14:paraId="7FD25140" w14:textId="7434FA4A" w:rsidR="000225D1" w:rsidRDefault="000225D1" w:rsidP="000225D1">
            <w:pPr>
              <w:widowControl/>
              <w:adjustRightInd w:val="0"/>
              <w:snapToGrid w:val="0"/>
              <w:jc w:val="center"/>
              <w:textAlignment w:val="center"/>
            </w:pPr>
            <w:r>
              <w:rPr>
                <w:color w:val="000000"/>
              </w:rPr>
              <w:t>0.004L</w:t>
            </w:r>
          </w:p>
        </w:tc>
        <w:tc>
          <w:tcPr>
            <w:tcW w:w="2150" w:type="dxa"/>
            <w:tcBorders>
              <w:tl2br w:val="nil"/>
              <w:tr2bl w:val="nil"/>
            </w:tcBorders>
            <w:vAlign w:val="center"/>
          </w:tcPr>
          <w:p w14:paraId="42840ABF" w14:textId="5C826061" w:rsidR="000225D1" w:rsidRDefault="000225D1" w:rsidP="000225D1">
            <w:pPr>
              <w:widowControl/>
              <w:adjustRightInd w:val="0"/>
              <w:snapToGrid w:val="0"/>
              <w:jc w:val="center"/>
              <w:textAlignment w:val="center"/>
            </w:pPr>
            <w:r>
              <w:rPr>
                <w:color w:val="000000"/>
              </w:rPr>
              <w:t>0.004L</w:t>
            </w:r>
          </w:p>
        </w:tc>
        <w:tc>
          <w:tcPr>
            <w:tcW w:w="1467" w:type="dxa"/>
            <w:vMerge w:val="restart"/>
            <w:tcBorders>
              <w:tl2br w:val="nil"/>
              <w:tr2bl w:val="nil"/>
            </w:tcBorders>
            <w:vAlign w:val="center"/>
          </w:tcPr>
          <w:p w14:paraId="5E9D1D06" w14:textId="3206B10A" w:rsidR="000225D1" w:rsidRDefault="00A11B36" w:rsidP="000225D1">
            <w:pPr>
              <w:widowControl/>
              <w:adjustRightInd w:val="0"/>
              <w:snapToGrid w:val="0"/>
              <w:jc w:val="center"/>
              <w:textAlignment w:val="center"/>
            </w:pPr>
            <w:r>
              <w:rPr>
                <w:rFonts w:hint="eastAsia"/>
                <w:color w:val="000000"/>
                <w:kern w:val="0"/>
                <w:lang w:bidi="ar"/>
              </w:rPr>
              <w:t>0.2</w:t>
            </w:r>
          </w:p>
        </w:tc>
      </w:tr>
      <w:tr w:rsidR="00FB0984" w14:paraId="06983B69" w14:textId="77777777" w:rsidTr="00EA1791">
        <w:trPr>
          <w:trHeight w:val="57"/>
          <w:jc w:val="center"/>
        </w:trPr>
        <w:tc>
          <w:tcPr>
            <w:tcW w:w="1127" w:type="dxa"/>
            <w:vMerge/>
            <w:tcBorders>
              <w:tl2br w:val="nil"/>
              <w:tr2bl w:val="nil"/>
            </w:tcBorders>
            <w:vAlign w:val="center"/>
          </w:tcPr>
          <w:p w14:paraId="6528ACC9" w14:textId="77777777" w:rsidR="00FB0984" w:rsidRDefault="00FB0984" w:rsidP="00FB0984">
            <w:pPr>
              <w:adjustRightInd w:val="0"/>
              <w:snapToGrid w:val="0"/>
              <w:jc w:val="center"/>
            </w:pPr>
          </w:p>
        </w:tc>
        <w:tc>
          <w:tcPr>
            <w:tcW w:w="1130" w:type="dxa"/>
            <w:vMerge/>
            <w:tcBorders>
              <w:tl2br w:val="nil"/>
              <w:tr2bl w:val="nil"/>
            </w:tcBorders>
            <w:vAlign w:val="center"/>
          </w:tcPr>
          <w:p w14:paraId="64799899" w14:textId="77777777" w:rsidR="00FB0984" w:rsidRDefault="00FB0984" w:rsidP="00FB0984">
            <w:pPr>
              <w:adjustRightInd w:val="0"/>
              <w:snapToGrid w:val="0"/>
              <w:jc w:val="center"/>
            </w:pPr>
          </w:p>
        </w:tc>
        <w:tc>
          <w:tcPr>
            <w:tcW w:w="1905" w:type="dxa"/>
            <w:tcBorders>
              <w:tl2br w:val="nil"/>
              <w:tr2bl w:val="nil"/>
            </w:tcBorders>
            <w:vAlign w:val="center"/>
          </w:tcPr>
          <w:p w14:paraId="27E00FE8" w14:textId="77777777" w:rsidR="00FB0984" w:rsidRDefault="00FB0984" w:rsidP="00FB0984">
            <w:pPr>
              <w:adjustRightInd w:val="0"/>
              <w:snapToGrid w:val="0"/>
              <w:jc w:val="center"/>
            </w:pPr>
            <w:r>
              <w:t>标准指数</w:t>
            </w:r>
          </w:p>
        </w:tc>
        <w:tc>
          <w:tcPr>
            <w:tcW w:w="2149" w:type="dxa"/>
            <w:tcBorders>
              <w:top w:val="single" w:sz="4" w:space="0" w:color="auto"/>
              <w:left w:val="nil"/>
              <w:bottom w:val="single" w:sz="4" w:space="0" w:color="auto"/>
              <w:right w:val="single" w:sz="4" w:space="0" w:color="auto"/>
            </w:tcBorders>
          </w:tcPr>
          <w:p w14:paraId="59CF0774" w14:textId="48E11137" w:rsidR="00FB0984" w:rsidRDefault="00FB0984" w:rsidP="00FB0984">
            <w:pPr>
              <w:widowControl/>
              <w:adjustRightInd w:val="0"/>
              <w:snapToGrid w:val="0"/>
              <w:jc w:val="center"/>
              <w:textAlignment w:val="center"/>
            </w:pPr>
            <w:r w:rsidRPr="0009358D">
              <w:rPr>
                <w:color w:val="000000"/>
                <w:kern w:val="0"/>
                <w:lang w:bidi="ar"/>
              </w:rPr>
              <w:t>/</w:t>
            </w:r>
          </w:p>
        </w:tc>
        <w:tc>
          <w:tcPr>
            <w:tcW w:w="2150" w:type="dxa"/>
            <w:tcBorders>
              <w:left w:val="single" w:sz="4" w:space="0" w:color="auto"/>
            </w:tcBorders>
          </w:tcPr>
          <w:p w14:paraId="0F663948" w14:textId="7D5E4AF6" w:rsidR="00FB0984" w:rsidRDefault="00FB0984" w:rsidP="00FB0984">
            <w:pPr>
              <w:widowControl/>
              <w:adjustRightInd w:val="0"/>
              <w:snapToGrid w:val="0"/>
              <w:jc w:val="center"/>
              <w:textAlignment w:val="center"/>
              <w:rPr>
                <w:color w:val="000000"/>
                <w:kern w:val="0"/>
                <w:lang w:bidi="ar"/>
              </w:rPr>
            </w:pPr>
            <w:r w:rsidRPr="0009358D">
              <w:rPr>
                <w:color w:val="000000"/>
                <w:kern w:val="0"/>
                <w:lang w:bidi="ar"/>
              </w:rPr>
              <w:t>/</w:t>
            </w:r>
          </w:p>
        </w:tc>
        <w:tc>
          <w:tcPr>
            <w:tcW w:w="2149" w:type="dxa"/>
            <w:tcBorders>
              <w:tl2br w:val="nil"/>
              <w:tr2bl w:val="nil"/>
            </w:tcBorders>
          </w:tcPr>
          <w:p w14:paraId="765DD49D" w14:textId="256EB35C" w:rsidR="00FB0984" w:rsidRDefault="00FB0984" w:rsidP="00FB0984">
            <w:pPr>
              <w:widowControl/>
              <w:adjustRightInd w:val="0"/>
              <w:snapToGrid w:val="0"/>
              <w:jc w:val="center"/>
              <w:textAlignment w:val="center"/>
            </w:pPr>
            <w:r w:rsidRPr="0009358D">
              <w:rPr>
                <w:color w:val="000000"/>
                <w:kern w:val="0"/>
                <w:lang w:bidi="ar"/>
              </w:rPr>
              <w:t>/</w:t>
            </w:r>
          </w:p>
        </w:tc>
        <w:tc>
          <w:tcPr>
            <w:tcW w:w="2150" w:type="dxa"/>
            <w:tcBorders>
              <w:tl2br w:val="nil"/>
              <w:tr2bl w:val="nil"/>
            </w:tcBorders>
          </w:tcPr>
          <w:p w14:paraId="08B28552" w14:textId="22E38ACB" w:rsidR="00FB0984" w:rsidRDefault="00FB0984" w:rsidP="00FB0984">
            <w:pPr>
              <w:widowControl/>
              <w:adjustRightInd w:val="0"/>
              <w:snapToGrid w:val="0"/>
              <w:jc w:val="center"/>
              <w:textAlignment w:val="center"/>
            </w:pPr>
            <w:r w:rsidRPr="0009358D">
              <w:rPr>
                <w:color w:val="000000"/>
                <w:kern w:val="0"/>
                <w:lang w:bidi="ar"/>
              </w:rPr>
              <w:t>/</w:t>
            </w:r>
          </w:p>
        </w:tc>
        <w:tc>
          <w:tcPr>
            <w:tcW w:w="1467" w:type="dxa"/>
            <w:vMerge/>
            <w:tcBorders>
              <w:tl2br w:val="nil"/>
              <w:tr2bl w:val="nil"/>
            </w:tcBorders>
            <w:vAlign w:val="center"/>
          </w:tcPr>
          <w:p w14:paraId="43B15F0D" w14:textId="77777777" w:rsidR="00FB0984" w:rsidRDefault="00FB0984" w:rsidP="00FB0984">
            <w:pPr>
              <w:adjustRightInd w:val="0"/>
              <w:snapToGrid w:val="0"/>
              <w:jc w:val="center"/>
            </w:pPr>
          </w:p>
        </w:tc>
      </w:tr>
    </w:tbl>
    <w:p w14:paraId="384529D9" w14:textId="77777777" w:rsidR="005C3264" w:rsidRDefault="005C3264">
      <w:pPr>
        <w:pStyle w:val="affffff4"/>
        <w:adjustRightInd/>
        <w:snapToGrid/>
        <w:spacing w:beforeLines="50" w:before="120"/>
        <w:sectPr w:rsidR="005C3264" w:rsidSect="00EA5215">
          <w:pgSz w:w="16838" w:h="11905" w:orient="landscape"/>
          <w:pgMar w:top="1474" w:right="1418" w:bottom="1474" w:left="1418" w:header="851" w:footer="851" w:gutter="113"/>
          <w:cols w:space="0"/>
          <w:docGrid w:linePitch="1"/>
        </w:sectPr>
      </w:pPr>
    </w:p>
    <w:p w14:paraId="2312B7EB" w14:textId="74BB0D33" w:rsidR="00606029" w:rsidRDefault="00A9512E">
      <w:pPr>
        <w:pStyle w:val="affffff4"/>
        <w:adjustRightInd/>
        <w:snapToGrid/>
        <w:spacing w:beforeLines="50" w:before="120"/>
      </w:pPr>
      <w:r>
        <w:rPr>
          <w:rFonts w:hint="eastAsia"/>
        </w:rPr>
        <w:lastRenderedPageBreak/>
        <w:t>由上表可知</w:t>
      </w:r>
      <w:r w:rsidR="00EA5B92">
        <w:t>，各监测断面除</w:t>
      </w:r>
      <w:r w:rsidR="00F17B4F">
        <w:rPr>
          <w:rFonts w:hint="eastAsia"/>
        </w:rPr>
        <w:t>总磷</w:t>
      </w:r>
      <w:r w:rsidR="00EA5B92">
        <w:t>超标外，其余因子均满足《地表水环境质量标准》（</w:t>
      </w:r>
      <w:r w:rsidR="00EA5B92">
        <w:t>GB3838-2002</w:t>
      </w:r>
      <w:r w:rsidR="00EA5B92">
        <w:t>）</w:t>
      </w:r>
      <w:r w:rsidR="00F17B4F">
        <w:rPr>
          <w:rFonts w:hint="eastAsia"/>
        </w:rPr>
        <w:t>V</w:t>
      </w:r>
      <w:r w:rsidR="00EA5B92">
        <w:t>类标准要求。</w:t>
      </w:r>
    </w:p>
    <w:p w14:paraId="20267E80" w14:textId="77777777" w:rsidR="00606029" w:rsidRDefault="00EA5B92">
      <w:pPr>
        <w:pStyle w:val="2"/>
      </w:pPr>
      <w:bookmarkStart w:id="209" w:name="_Toc4908"/>
      <w:bookmarkStart w:id="210" w:name="_Toc220680515"/>
      <w:r w:rsidRPr="00F17B4F">
        <w:t>5.2</w:t>
      </w:r>
      <w:r w:rsidRPr="00F17B4F">
        <w:t>地下</w:t>
      </w:r>
      <w:bookmarkStart w:id="211" w:name="_Toc131045889"/>
      <w:bookmarkStart w:id="212" w:name="_Toc141849898"/>
      <w:r w:rsidRPr="00F17B4F">
        <w:t>水环境质量现状调查与评价</w:t>
      </w:r>
      <w:bookmarkEnd w:id="209"/>
      <w:bookmarkEnd w:id="210"/>
    </w:p>
    <w:bookmarkEnd w:id="211"/>
    <w:bookmarkEnd w:id="212"/>
    <w:p w14:paraId="5F90CF48" w14:textId="77777777" w:rsidR="00606029" w:rsidRDefault="00EA5B92">
      <w:pPr>
        <w:widowControl/>
        <w:autoSpaceDE w:val="0"/>
        <w:autoSpaceDN w:val="0"/>
        <w:adjustRightInd w:val="0"/>
        <w:snapToGrid w:val="0"/>
        <w:spacing w:line="360" w:lineRule="auto"/>
        <w:ind w:firstLineChars="200" w:firstLine="480"/>
        <w:textAlignment w:val="baseline"/>
        <w:rPr>
          <w:snapToGrid w:val="0"/>
          <w:color w:val="000000"/>
          <w:kern w:val="0"/>
          <w:sz w:val="24"/>
        </w:rPr>
      </w:pPr>
      <w:r>
        <w:rPr>
          <w:snapToGrid w:val="0"/>
          <w:color w:val="000000"/>
          <w:kern w:val="0"/>
          <w:sz w:val="24"/>
        </w:rPr>
        <w:t>（</w:t>
      </w:r>
      <w:r>
        <w:rPr>
          <w:snapToGrid w:val="0"/>
          <w:color w:val="000000"/>
          <w:kern w:val="0"/>
          <w:sz w:val="24"/>
        </w:rPr>
        <w:t>1</w:t>
      </w:r>
      <w:r>
        <w:rPr>
          <w:snapToGrid w:val="0"/>
          <w:color w:val="000000"/>
          <w:kern w:val="0"/>
          <w:sz w:val="24"/>
        </w:rPr>
        <w:t>）监测点位的布设</w:t>
      </w:r>
    </w:p>
    <w:p w14:paraId="516CD3B3" w14:textId="16E14F27" w:rsidR="00606029" w:rsidRDefault="00A9512E">
      <w:pPr>
        <w:adjustRightInd w:val="0"/>
        <w:snapToGrid w:val="0"/>
        <w:spacing w:line="360" w:lineRule="auto"/>
        <w:ind w:firstLineChars="200" w:firstLine="480"/>
        <w:rPr>
          <w:sz w:val="24"/>
          <w:szCs w:val="26"/>
        </w:rPr>
      </w:pPr>
      <w:r w:rsidRPr="00A9512E">
        <w:rPr>
          <w:sz w:val="24"/>
          <w:szCs w:val="20"/>
        </w:rPr>
        <w:t>根据</w:t>
      </w:r>
      <w:r>
        <w:rPr>
          <w:rFonts w:hint="eastAsia"/>
          <w:sz w:val="24"/>
          <w:szCs w:val="20"/>
        </w:rPr>
        <w:t>地下水</w:t>
      </w:r>
      <w:r w:rsidRPr="00A9512E">
        <w:rPr>
          <w:sz w:val="24"/>
          <w:szCs w:val="20"/>
        </w:rPr>
        <w:t>环境评价工作等级要求，</w:t>
      </w:r>
      <w:r w:rsidR="00EA5B92">
        <w:rPr>
          <w:sz w:val="24"/>
          <w:szCs w:val="20"/>
        </w:rPr>
        <w:t>在调查评价区布置了</w:t>
      </w:r>
      <w:r w:rsidR="00621F05">
        <w:rPr>
          <w:rFonts w:hint="eastAsia"/>
          <w:sz w:val="24"/>
          <w:szCs w:val="20"/>
        </w:rPr>
        <w:t>7</w:t>
      </w:r>
      <w:r w:rsidR="00EA5B92">
        <w:rPr>
          <w:sz w:val="24"/>
          <w:szCs w:val="20"/>
        </w:rPr>
        <w:t>个</w:t>
      </w:r>
      <w:r w:rsidR="00621F05">
        <w:rPr>
          <w:rFonts w:hint="eastAsia"/>
          <w:sz w:val="24"/>
          <w:szCs w:val="20"/>
        </w:rPr>
        <w:t>水质</w:t>
      </w:r>
      <w:r w:rsidR="00EA5B92">
        <w:rPr>
          <w:sz w:val="24"/>
          <w:szCs w:val="20"/>
        </w:rPr>
        <w:t>监测点</w:t>
      </w:r>
      <w:r w:rsidR="00621F05">
        <w:rPr>
          <w:rFonts w:hint="eastAsia"/>
          <w:sz w:val="24"/>
          <w:szCs w:val="20"/>
        </w:rPr>
        <w:t>，</w:t>
      </w:r>
      <w:r w:rsidR="00621F05">
        <w:rPr>
          <w:rFonts w:hint="eastAsia"/>
          <w:sz w:val="24"/>
          <w:szCs w:val="20"/>
        </w:rPr>
        <w:t>15</w:t>
      </w:r>
      <w:r w:rsidR="00621F05">
        <w:rPr>
          <w:rFonts w:hint="eastAsia"/>
          <w:sz w:val="24"/>
          <w:szCs w:val="20"/>
        </w:rPr>
        <w:t>个水位监测点，调查时间为</w:t>
      </w:r>
      <w:r w:rsidR="00621F05">
        <w:rPr>
          <w:rFonts w:hint="eastAsia"/>
          <w:sz w:val="24"/>
          <w:szCs w:val="20"/>
        </w:rPr>
        <w:t>2025</w:t>
      </w:r>
      <w:r w:rsidR="00621F05">
        <w:rPr>
          <w:rFonts w:hint="eastAsia"/>
          <w:sz w:val="24"/>
          <w:szCs w:val="20"/>
        </w:rPr>
        <w:t>年</w:t>
      </w:r>
      <w:r w:rsidR="00621F05">
        <w:rPr>
          <w:rFonts w:hint="eastAsia"/>
          <w:sz w:val="24"/>
          <w:szCs w:val="20"/>
        </w:rPr>
        <w:t>12</w:t>
      </w:r>
      <w:r w:rsidR="00621F05">
        <w:rPr>
          <w:rFonts w:hint="eastAsia"/>
          <w:sz w:val="24"/>
          <w:szCs w:val="20"/>
        </w:rPr>
        <w:t>月</w:t>
      </w:r>
      <w:r w:rsidR="00621F05">
        <w:rPr>
          <w:rFonts w:hint="eastAsia"/>
          <w:sz w:val="24"/>
          <w:szCs w:val="20"/>
        </w:rPr>
        <w:t>10</w:t>
      </w:r>
      <w:r w:rsidR="00621F05">
        <w:rPr>
          <w:rFonts w:hint="eastAsia"/>
          <w:sz w:val="24"/>
          <w:szCs w:val="20"/>
        </w:rPr>
        <w:t>日</w:t>
      </w:r>
      <w:r w:rsidR="00EA5B92">
        <w:rPr>
          <w:sz w:val="24"/>
          <w:szCs w:val="26"/>
        </w:rPr>
        <w:t>。</w:t>
      </w:r>
    </w:p>
    <w:p w14:paraId="3A67F561" w14:textId="1363CF98" w:rsidR="00F95CB9" w:rsidRPr="00F95CB9" w:rsidRDefault="00F95CB9" w:rsidP="00621F05">
      <w:pPr>
        <w:pStyle w:val="affffff5"/>
      </w:pPr>
      <w:r w:rsidRPr="00F95CB9">
        <w:t>表</w:t>
      </w:r>
      <w:r w:rsidR="000566AF">
        <w:rPr>
          <w:rFonts w:hint="eastAsia"/>
        </w:rPr>
        <w:t xml:space="preserve">5.2-1  </w:t>
      </w:r>
      <w:r w:rsidRPr="00F95CB9">
        <w:rPr>
          <w:rFonts w:hint="eastAsia"/>
        </w:rPr>
        <w:t>地下水</w:t>
      </w:r>
      <w:r w:rsidR="00621F05">
        <w:rPr>
          <w:rFonts w:hint="eastAsia"/>
        </w:rPr>
        <w:t>监</w:t>
      </w:r>
      <w:r w:rsidRPr="00F95CB9">
        <w:rPr>
          <w:rFonts w:hint="eastAsia"/>
        </w:rPr>
        <w:t>测点</w:t>
      </w:r>
      <w:r w:rsidR="00621F05">
        <w:rPr>
          <w:rFonts w:hint="eastAsia"/>
        </w:rPr>
        <w:t>位</w:t>
      </w:r>
      <w:r w:rsidRPr="00F95CB9">
        <w:rPr>
          <w:rFonts w:hint="eastAsia"/>
        </w:rPr>
        <w:t>基本情况调查表</w:t>
      </w:r>
    </w:p>
    <w:tbl>
      <w:tblPr>
        <w:tblW w:w="5000" w:type="pct"/>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ook w:val="04A0" w:firstRow="1" w:lastRow="0" w:firstColumn="1" w:lastColumn="0" w:noHBand="0" w:noVBand="1"/>
      </w:tblPr>
      <w:tblGrid>
        <w:gridCol w:w="579"/>
        <w:gridCol w:w="1661"/>
        <w:gridCol w:w="1424"/>
        <w:gridCol w:w="867"/>
        <w:gridCol w:w="1201"/>
        <w:gridCol w:w="1034"/>
        <w:gridCol w:w="1034"/>
        <w:gridCol w:w="1034"/>
      </w:tblGrid>
      <w:tr w:rsidR="00BE3E89" w:rsidRPr="00F95CB9" w14:paraId="0500B6C5" w14:textId="0DD4F470" w:rsidTr="000566AF">
        <w:trPr>
          <w:cantSplit/>
          <w:trHeight w:val="547"/>
          <w:jc w:val="center"/>
        </w:trPr>
        <w:tc>
          <w:tcPr>
            <w:tcW w:w="328" w:type="pct"/>
            <w:vAlign w:val="center"/>
          </w:tcPr>
          <w:p w14:paraId="413D6F18" w14:textId="77777777" w:rsidR="00BE3E89" w:rsidRPr="00F95CB9" w:rsidRDefault="00BE3E89" w:rsidP="00F95CB9">
            <w:pPr>
              <w:autoSpaceDE w:val="0"/>
              <w:autoSpaceDN w:val="0"/>
              <w:jc w:val="center"/>
              <w:textAlignment w:val="baseline"/>
              <w:rPr>
                <w:snapToGrid w:val="0"/>
                <w:color w:val="000000"/>
              </w:rPr>
            </w:pPr>
            <w:r w:rsidRPr="00F95CB9">
              <w:rPr>
                <w:snapToGrid w:val="0"/>
                <w:color w:val="000000"/>
              </w:rPr>
              <w:t>序号</w:t>
            </w:r>
          </w:p>
        </w:tc>
        <w:tc>
          <w:tcPr>
            <w:tcW w:w="940" w:type="pct"/>
            <w:tcBorders>
              <w:right w:val="single" w:sz="4" w:space="0" w:color="auto"/>
            </w:tcBorders>
            <w:vAlign w:val="center"/>
          </w:tcPr>
          <w:p w14:paraId="6CDBB1ED" w14:textId="36D3C8BE" w:rsidR="00BE3E89" w:rsidRPr="00F95CB9" w:rsidRDefault="00BE3E89" w:rsidP="00F95CB9">
            <w:pPr>
              <w:autoSpaceDE w:val="0"/>
              <w:autoSpaceDN w:val="0"/>
              <w:jc w:val="center"/>
              <w:textAlignment w:val="baseline"/>
              <w:rPr>
                <w:snapToGrid w:val="0"/>
                <w:color w:val="000000"/>
              </w:rPr>
            </w:pPr>
            <w:r>
              <w:rPr>
                <w:rFonts w:hint="eastAsia"/>
                <w:snapToGrid w:val="0"/>
                <w:color w:val="000000"/>
              </w:rPr>
              <w:t>名称</w:t>
            </w:r>
          </w:p>
        </w:tc>
        <w:tc>
          <w:tcPr>
            <w:tcW w:w="806" w:type="pct"/>
            <w:tcBorders>
              <w:right w:val="single" w:sz="4" w:space="0" w:color="auto"/>
            </w:tcBorders>
            <w:vAlign w:val="center"/>
          </w:tcPr>
          <w:p w14:paraId="4345B281" w14:textId="5EDF1FC9" w:rsidR="00BE3E89" w:rsidRPr="00F95CB9" w:rsidRDefault="00BE3E89" w:rsidP="00F95CB9">
            <w:pPr>
              <w:autoSpaceDE w:val="0"/>
              <w:autoSpaceDN w:val="0"/>
              <w:jc w:val="center"/>
              <w:textAlignment w:val="baseline"/>
              <w:rPr>
                <w:snapToGrid w:val="0"/>
                <w:color w:val="000000"/>
              </w:rPr>
            </w:pPr>
            <w:r>
              <w:rPr>
                <w:rFonts w:hint="eastAsia"/>
                <w:snapToGrid w:val="0"/>
                <w:color w:val="000000"/>
              </w:rPr>
              <w:t>坐标</w:t>
            </w:r>
          </w:p>
        </w:tc>
        <w:tc>
          <w:tcPr>
            <w:tcW w:w="491" w:type="pct"/>
            <w:tcBorders>
              <w:left w:val="single" w:sz="4" w:space="0" w:color="auto"/>
              <w:right w:val="single" w:sz="4" w:space="0" w:color="auto"/>
            </w:tcBorders>
            <w:vAlign w:val="center"/>
          </w:tcPr>
          <w:p w14:paraId="63DDDDCC" w14:textId="77777777" w:rsidR="00BE3E89" w:rsidRPr="00F95CB9" w:rsidRDefault="00BE3E89" w:rsidP="00F95CB9">
            <w:pPr>
              <w:autoSpaceDE w:val="0"/>
              <w:autoSpaceDN w:val="0"/>
              <w:adjustRightInd w:val="0"/>
              <w:snapToGrid w:val="0"/>
              <w:jc w:val="center"/>
              <w:textAlignment w:val="baseline"/>
              <w:rPr>
                <w:snapToGrid w:val="0"/>
                <w:color w:val="000000"/>
              </w:rPr>
            </w:pPr>
            <w:r w:rsidRPr="00F95CB9">
              <w:rPr>
                <w:rFonts w:hint="eastAsia"/>
                <w:snapToGrid w:val="0"/>
                <w:color w:val="000000"/>
              </w:rPr>
              <w:t>井深</w:t>
            </w:r>
            <w:r w:rsidRPr="00F95CB9">
              <w:rPr>
                <w:snapToGrid w:val="0"/>
                <w:color w:val="000000"/>
              </w:rPr>
              <w:t>（</w:t>
            </w:r>
            <w:r w:rsidRPr="00F95CB9">
              <w:rPr>
                <w:snapToGrid w:val="0"/>
                <w:color w:val="000000"/>
              </w:rPr>
              <w:t>m</w:t>
            </w:r>
            <w:r w:rsidRPr="00F95CB9">
              <w:rPr>
                <w:snapToGrid w:val="0"/>
                <w:color w:val="000000"/>
              </w:rPr>
              <w:t>）</w:t>
            </w:r>
          </w:p>
        </w:tc>
        <w:tc>
          <w:tcPr>
            <w:tcW w:w="680" w:type="pct"/>
            <w:vAlign w:val="center"/>
          </w:tcPr>
          <w:p w14:paraId="5EB112A9" w14:textId="3A1653EC" w:rsidR="00BE3E89" w:rsidRPr="00621F05" w:rsidRDefault="00BE3E89" w:rsidP="00F95CB9">
            <w:pPr>
              <w:autoSpaceDE w:val="0"/>
              <w:autoSpaceDN w:val="0"/>
              <w:adjustRightInd w:val="0"/>
              <w:snapToGrid w:val="0"/>
              <w:jc w:val="center"/>
              <w:textAlignment w:val="baseline"/>
              <w:rPr>
                <w:snapToGrid w:val="0"/>
                <w:color w:val="EE0000"/>
              </w:rPr>
            </w:pPr>
            <w:r w:rsidRPr="000566AF">
              <w:rPr>
                <w:rFonts w:hint="eastAsia"/>
                <w:snapToGrid w:val="0"/>
              </w:rPr>
              <w:t>水位（标高</w:t>
            </w:r>
            <w:r w:rsidRPr="000566AF">
              <w:rPr>
                <w:rFonts w:hint="eastAsia"/>
                <w:snapToGrid w:val="0"/>
              </w:rPr>
              <w:t>m</w:t>
            </w:r>
            <w:r w:rsidRPr="000566AF">
              <w:rPr>
                <w:rFonts w:hint="eastAsia"/>
                <w:snapToGrid w:val="0"/>
              </w:rPr>
              <w:t>）</w:t>
            </w:r>
          </w:p>
        </w:tc>
        <w:tc>
          <w:tcPr>
            <w:tcW w:w="585" w:type="pct"/>
            <w:vAlign w:val="center"/>
          </w:tcPr>
          <w:p w14:paraId="5453C4BF" w14:textId="2AC4E5CF" w:rsidR="00BE3E89" w:rsidRPr="00F95CB9" w:rsidRDefault="00BE3E89" w:rsidP="00F95CB9">
            <w:pPr>
              <w:autoSpaceDE w:val="0"/>
              <w:autoSpaceDN w:val="0"/>
              <w:adjustRightInd w:val="0"/>
              <w:snapToGrid w:val="0"/>
              <w:jc w:val="center"/>
              <w:textAlignment w:val="baseline"/>
              <w:rPr>
                <w:snapToGrid w:val="0"/>
                <w:color w:val="000000"/>
              </w:rPr>
            </w:pPr>
            <w:r>
              <w:rPr>
                <w:rFonts w:hint="eastAsia"/>
                <w:snapToGrid w:val="0"/>
                <w:color w:val="000000"/>
              </w:rPr>
              <w:t>监测井功能</w:t>
            </w:r>
          </w:p>
        </w:tc>
        <w:tc>
          <w:tcPr>
            <w:tcW w:w="585" w:type="pct"/>
            <w:tcBorders>
              <w:left w:val="single" w:sz="4" w:space="0" w:color="auto"/>
              <w:right w:val="single" w:sz="4" w:space="0" w:color="auto"/>
            </w:tcBorders>
            <w:vAlign w:val="center"/>
          </w:tcPr>
          <w:p w14:paraId="5192BA44" w14:textId="5A4A3163" w:rsidR="00BE3E89" w:rsidRPr="00F95CB9" w:rsidRDefault="00BE3E89" w:rsidP="00BE3E89">
            <w:pPr>
              <w:autoSpaceDE w:val="0"/>
              <w:autoSpaceDN w:val="0"/>
              <w:adjustRightInd w:val="0"/>
              <w:snapToGrid w:val="0"/>
              <w:jc w:val="center"/>
              <w:textAlignment w:val="baseline"/>
              <w:rPr>
                <w:snapToGrid w:val="0"/>
                <w:color w:val="000000"/>
              </w:rPr>
            </w:pPr>
            <w:r>
              <w:rPr>
                <w:rFonts w:hint="eastAsia"/>
                <w:snapToGrid w:val="0"/>
                <w:color w:val="000000"/>
              </w:rPr>
              <w:t>监测层位</w:t>
            </w:r>
          </w:p>
        </w:tc>
        <w:tc>
          <w:tcPr>
            <w:tcW w:w="585" w:type="pct"/>
            <w:vAlign w:val="center"/>
          </w:tcPr>
          <w:p w14:paraId="3DB21D64" w14:textId="7C9982C5" w:rsidR="00BE3E89" w:rsidRDefault="00BE3E89" w:rsidP="00BE3E89">
            <w:pPr>
              <w:autoSpaceDE w:val="0"/>
              <w:autoSpaceDN w:val="0"/>
              <w:adjustRightInd w:val="0"/>
              <w:snapToGrid w:val="0"/>
              <w:jc w:val="center"/>
              <w:textAlignment w:val="baseline"/>
              <w:rPr>
                <w:snapToGrid w:val="0"/>
                <w:color w:val="000000"/>
              </w:rPr>
            </w:pPr>
            <w:r>
              <w:rPr>
                <w:rFonts w:hint="eastAsia"/>
                <w:snapToGrid w:val="0"/>
                <w:color w:val="000000"/>
              </w:rPr>
              <w:t>备注</w:t>
            </w:r>
          </w:p>
        </w:tc>
      </w:tr>
      <w:tr w:rsidR="000566AF" w:rsidRPr="00F95CB9" w14:paraId="6338AB88" w14:textId="751E61B6" w:rsidTr="000566AF">
        <w:trPr>
          <w:cantSplit/>
          <w:trHeight w:val="507"/>
          <w:jc w:val="center"/>
        </w:trPr>
        <w:tc>
          <w:tcPr>
            <w:tcW w:w="328" w:type="pct"/>
            <w:vAlign w:val="center"/>
          </w:tcPr>
          <w:p w14:paraId="077064E8" w14:textId="77777777" w:rsidR="000566AF" w:rsidRPr="00F95CB9" w:rsidRDefault="000566AF" w:rsidP="000566AF">
            <w:pPr>
              <w:autoSpaceDE w:val="0"/>
              <w:autoSpaceDN w:val="0"/>
              <w:jc w:val="center"/>
              <w:textAlignment w:val="baseline"/>
              <w:rPr>
                <w:snapToGrid w:val="0"/>
                <w:color w:val="000000"/>
              </w:rPr>
            </w:pPr>
            <w:r w:rsidRPr="00F95CB9">
              <w:rPr>
                <w:snapToGrid w:val="0"/>
                <w:color w:val="000000"/>
              </w:rPr>
              <w:t>D1</w:t>
            </w:r>
          </w:p>
        </w:tc>
        <w:tc>
          <w:tcPr>
            <w:tcW w:w="940" w:type="pct"/>
            <w:vAlign w:val="center"/>
          </w:tcPr>
          <w:p w14:paraId="7DDBDABD" w14:textId="1653CD41" w:rsidR="000566AF" w:rsidRPr="00F95CB9" w:rsidRDefault="000566AF" w:rsidP="000566AF">
            <w:pPr>
              <w:autoSpaceDE w:val="0"/>
              <w:autoSpaceDN w:val="0"/>
              <w:jc w:val="center"/>
              <w:textAlignment w:val="baseline"/>
              <w:rPr>
                <w:snapToGrid w:val="0"/>
                <w:color w:val="000000"/>
              </w:rPr>
            </w:pPr>
            <w:r w:rsidRPr="00F95CB9">
              <w:rPr>
                <w:snapToGrid w:val="0"/>
                <w:color w:val="000000"/>
              </w:rPr>
              <w:t>厂区东北侧</w:t>
            </w:r>
            <w:r w:rsidRPr="00F95CB9">
              <w:rPr>
                <w:snapToGrid w:val="0"/>
                <w:color w:val="000000"/>
              </w:rPr>
              <w:t>1#</w:t>
            </w:r>
            <w:r w:rsidRPr="00F95CB9">
              <w:rPr>
                <w:snapToGrid w:val="0"/>
                <w:color w:val="000000"/>
              </w:rPr>
              <w:t>监测井</w:t>
            </w:r>
          </w:p>
        </w:tc>
        <w:tc>
          <w:tcPr>
            <w:tcW w:w="806" w:type="pct"/>
            <w:tcBorders>
              <w:right w:val="single" w:sz="4" w:space="0" w:color="auto"/>
            </w:tcBorders>
            <w:vAlign w:val="center"/>
          </w:tcPr>
          <w:p w14:paraId="76638948" w14:textId="15A8BF38" w:rsidR="000566AF" w:rsidRPr="00F95CB9" w:rsidRDefault="000566AF" w:rsidP="000566AF">
            <w:pPr>
              <w:autoSpaceDE w:val="0"/>
              <w:autoSpaceDN w:val="0"/>
              <w:jc w:val="center"/>
              <w:textAlignment w:val="baseline"/>
              <w:rPr>
                <w:snapToGrid w:val="0"/>
                <w:color w:val="000000"/>
              </w:rPr>
            </w:pPr>
            <w:r w:rsidRPr="00F95CB9">
              <w:rPr>
                <w:snapToGrid w:val="0"/>
                <w:color w:val="000000"/>
              </w:rPr>
              <w:t>124.988400</w:t>
            </w:r>
            <w:r>
              <w:rPr>
                <w:rFonts w:hint="eastAsia"/>
                <w:snapToGrid w:val="0"/>
                <w:color w:val="000000"/>
              </w:rPr>
              <w:t>，</w:t>
            </w:r>
            <w:r w:rsidRPr="00F95CB9">
              <w:rPr>
                <w:snapToGrid w:val="0"/>
                <w:color w:val="000000"/>
              </w:rPr>
              <w:t>46.436516</w:t>
            </w:r>
          </w:p>
        </w:tc>
        <w:tc>
          <w:tcPr>
            <w:tcW w:w="491" w:type="pct"/>
            <w:tcBorders>
              <w:left w:val="single" w:sz="4" w:space="0" w:color="auto"/>
              <w:right w:val="single" w:sz="4" w:space="0" w:color="auto"/>
            </w:tcBorders>
            <w:vAlign w:val="center"/>
          </w:tcPr>
          <w:p w14:paraId="63967C7A" w14:textId="77777777" w:rsidR="000566AF" w:rsidRPr="00F95CB9" w:rsidRDefault="000566AF" w:rsidP="000566AF">
            <w:pPr>
              <w:autoSpaceDE w:val="0"/>
              <w:autoSpaceDN w:val="0"/>
              <w:jc w:val="center"/>
              <w:textAlignment w:val="baseline"/>
              <w:rPr>
                <w:snapToGrid w:val="0"/>
                <w:color w:val="000000"/>
              </w:rPr>
            </w:pPr>
            <w:r w:rsidRPr="00F95CB9">
              <w:rPr>
                <w:snapToGrid w:val="0"/>
                <w:color w:val="000000"/>
              </w:rPr>
              <w:t>10</w:t>
            </w:r>
          </w:p>
        </w:tc>
        <w:tc>
          <w:tcPr>
            <w:tcW w:w="680" w:type="pct"/>
            <w:tcBorders>
              <w:left w:val="single" w:sz="4" w:space="0" w:color="auto"/>
              <w:right w:val="single" w:sz="4" w:space="0" w:color="auto"/>
            </w:tcBorders>
            <w:vAlign w:val="center"/>
          </w:tcPr>
          <w:p w14:paraId="24C800E7" w14:textId="5F4FB412" w:rsidR="000566AF" w:rsidRPr="000566AF" w:rsidRDefault="000566AF" w:rsidP="000566AF">
            <w:pPr>
              <w:autoSpaceDE w:val="0"/>
              <w:autoSpaceDN w:val="0"/>
              <w:jc w:val="center"/>
              <w:textAlignment w:val="baseline"/>
              <w:rPr>
                <w:snapToGrid w:val="0"/>
              </w:rPr>
            </w:pPr>
            <w:r w:rsidRPr="000566AF">
              <w:t>139.1</w:t>
            </w:r>
          </w:p>
        </w:tc>
        <w:tc>
          <w:tcPr>
            <w:tcW w:w="585" w:type="pct"/>
            <w:vAlign w:val="center"/>
          </w:tcPr>
          <w:p w14:paraId="6B531334" w14:textId="4C3F8DF1" w:rsidR="000566AF" w:rsidRPr="00F95CB9" w:rsidRDefault="000566AF" w:rsidP="000566AF">
            <w:pPr>
              <w:autoSpaceDE w:val="0"/>
              <w:autoSpaceDN w:val="0"/>
              <w:jc w:val="center"/>
              <w:textAlignment w:val="baseline"/>
              <w:rPr>
                <w:snapToGrid w:val="0"/>
                <w:color w:val="000000"/>
              </w:rPr>
            </w:pPr>
            <w:r>
              <w:rPr>
                <w:rFonts w:hint="eastAsia"/>
                <w:snapToGrid w:val="0"/>
                <w:color w:val="000000"/>
              </w:rPr>
              <w:t>监测井</w:t>
            </w:r>
          </w:p>
        </w:tc>
        <w:tc>
          <w:tcPr>
            <w:tcW w:w="585" w:type="pct"/>
            <w:tcBorders>
              <w:left w:val="single" w:sz="4" w:space="0" w:color="auto"/>
              <w:right w:val="single" w:sz="4" w:space="0" w:color="auto"/>
            </w:tcBorders>
            <w:vAlign w:val="center"/>
          </w:tcPr>
          <w:p w14:paraId="1F322EC3" w14:textId="77F18783" w:rsidR="000566AF" w:rsidRPr="00F95CB9" w:rsidRDefault="000566AF" w:rsidP="000566AF">
            <w:pPr>
              <w:autoSpaceDE w:val="0"/>
              <w:autoSpaceDN w:val="0"/>
              <w:jc w:val="center"/>
              <w:textAlignment w:val="baseline"/>
              <w:rPr>
                <w:snapToGrid w:val="0"/>
                <w:color w:val="000000"/>
              </w:rPr>
            </w:pPr>
            <w:r>
              <w:rPr>
                <w:rFonts w:hint="eastAsia"/>
                <w:snapToGrid w:val="0"/>
                <w:color w:val="000000"/>
              </w:rPr>
              <w:t>潜水</w:t>
            </w:r>
          </w:p>
        </w:tc>
        <w:tc>
          <w:tcPr>
            <w:tcW w:w="585" w:type="pct"/>
            <w:vMerge w:val="restart"/>
            <w:vAlign w:val="center"/>
          </w:tcPr>
          <w:p w14:paraId="299781E6" w14:textId="51F1BA4F" w:rsidR="000566AF" w:rsidRPr="00F95CB9" w:rsidRDefault="000566AF" w:rsidP="000566AF">
            <w:pPr>
              <w:autoSpaceDE w:val="0"/>
              <w:autoSpaceDN w:val="0"/>
              <w:jc w:val="center"/>
              <w:textAlignment w:val="baseline"/>
              <w:rPr>
                <w:snapToGrid w:val="0"/>
                <w:color w:val="000000"/>
              </w:rPr>
            </w:pPr>
            <w:r>
              <w:rPr>
                <w:rFonts w:hint="eastAsia"/>
                <w:snapToGrid w:val="0"/>
                <w:color w:val="000000"/>
              </w:rPr>
              <w:t>水质、水位</w:t>
            </w:r>
          </w:p>
        </w:tc>
      </w:tr>
      <w:tr w:rsidR="000566AF" w:rsidRPr="00F95CB9" w14:paraId="634A0527" w14:textId="345F14EB" w:rsidTr="000566AF">
        <w:trPr>
          <w:cantSplit/>
          <w:trHeight w:val="507"/>
          <w:jc w:val="center"/>
        </w:trPr>
        <w:tc>
          <w:tcPr>
            <w:tcW w:w="328" w:type="pct"/>
            <w:vAlign w:val="center"/>
          </w:tcPr>
          <w:p w14:paraId="10195F32" w14:textId="77777777" w:rsidR="000566AF" w:rsidRPr="00F95CB9" w:rsidRDefault="000566AF" w:rsidP="000566AF">
            <w:pPr>
              <w:autoSpaceDE w:val="0"/>
              <w:autoSpaceDN w:val="0"/>
              <w:jc w:val="center"/>
              <w:textAlignment w:val="baseline"/>
              <w:rPr>
                <w:snapToGrid w:val="0"/>
                <w:color w:val="000000"/>
              </w:rPr>
            </w:pPr>
            <w:r w:rsidRPr="00F95CB9">
              <w:rPr>
                <w:snapToGrid w:val="0"/>
                <w:color w:val="000000"/>
              </w:rPr>
              <w:t>D2</w:t>
            </w:r>
          </w:p>
        </w:tc>
        <w:tc>
          <w:tcPr>
            <w:tcW w:w="940" w:type="pct"/>
            <w:vAlign w:val="center"/>
          </w:tcPr>
          <w:p w14:paraId="3865AC06" w14:textId="21A65492" w:rsidR="000566AF" w:rsidRPr="00F95CB9" w:rsidRDefault="000566AF" w:rsidP="000566AF">
            <w:pPr>
              <w:autoSpaceDE w:val="0"/>
              <w:autoSpaceDN w:val="0"/>
              <w:jc w:val="center"/>
              <w:textAlignment w:val="baseline"/>
              <w:rPr>
                <w:snapToGrid w:val="0"/>
                <w:color w:val="000000"/>
              </w:rPr>
            </w:pPr>
            <w:r w:rsidRPr="00F95CB9">
              <w:rPr>
                <w:snapToGrid w:val="0"/>
                <w:color w:val="000000"/>
              </w:rPr>
              <w:t>厂区中部地下水</w:t>
            </w:r>
            <w:r w:rsidRPr="00F95CB9">
              <w:rPr>
                <w:snapToGrid w:val="0"/>
                <w:color w:val="000000"/>
              </w:rPr>
              <w:t>2#</w:t>
            </w:r>
            <w:r w:rsidRPr="00F95CB9">
              <w:rPr>
                <w:snapToGrid w:val="0"/>
                <w:color w:val="000000"/>
              </w:rPr>
              <w:t>监测井</w:t>
            </w:r>
          </w:p>
        </w:tc>
        <w:tc>
          <w:tcPr>
            <w:tcW w:w="806" w:type="pct"/>
            <w:tcBorders>
              <w:right w:val="single" w:sz="4" w:space="0" w:color="auto"/>
            </w:tcBorders>
            <w:vAlign w:val="center"/>
          </w:tcPr>
          <w:p w14:paraId="2F853820" w14:textId="05BC9007" w:rsidR="000566AF" w:rsidRPr="00F95CB9" w:rsidRDefault="000566AF" w:rsidP="000566AF">
            <w:pPr>
              <w:autoSpaceDE w:val="0"/>
              <w:autoSpaceDN w:val="0"/>
              <w:jc w:val="center"/>
              <w:textAlignment w:val="baseline"/>
              <w:rPr>
                <w:snapToGrid w:val="0"/>
                <w:color w:val="000000"/>
              </w:rPr>
            </w:pPr>
            <w:r w:rsidRPr="00F95CB9">
              <w:rPr>
                <w:snapToGrid w:val="0"/>
                <w:color w:val="000000"/>
              </w:rPr>
              <w:t>124.985420</w:t>
            </w:r>
            <w:r>
              <w:rPr>
                <w:rFonts w:hint="eastAsia"/>
                <w:snapToGrid w:val="0"/>
                <w:color w:val="000000"/>
              </w:rPr>
              <w:t>，</w:t>
            </w:r>
            <w:r w:rsidRPr="00F95CB9">
              <w:rPr>
                <w:snapToGrid w:val="0"/>
                <w:color w:val="000000"/>
              </w:rPr>
              <w:t>46.434764</w:t>
            </w:r>
          </w:p>
        </w:tc>
        <w:tc>
          <w:tcPr>
            <w:tcW w:w="491" w:type="pct"/>
            <w:tcBorders>
              <w:left w:val="single" w:sz="4" w:space="0" w:color="auto"/>
              <w:right w:val="single" w:sz="4" w:space="0" w:color="auto"/>
            </w:tcBorders>
            <w:vAlign w:val="center"/>
          </w:tcPr>
          <w:p w14:paraId="24C6E437" w14:textId="77777777" w:rsidR="000566AF" w:rsidRPr="00F95CB9" w:rsidRDefault="000566AF" w:rsidP="000566AF">
            <w:pPr>
              <w:autoSpaceDE w:val="0"/>
              <w:autoSpaceDN w:val="0"/>
              <w:jc w:val="center"/>
              <w:textAlignment w:val="baseline"/>
              <w:rPr>
                <w:snapToGrid w:val="0"/>
                <w:color w:val="000000"/>
              </w:rPr>
            </w:pPr>
            <w:r w:rsidRPr="00F95CB9">
              <w:rPr>
                <w:snapToGrid w:val="0"/>
                <w:color w:val="000000"/>
              </w:rPr>
              <w:t>10</w:t>
            </w:r>
          </w:p>
        </w:tc>
        <w:tc>
          <w:tcPr>
            <w:tcW w:w="680" w:type="pct"/>
            <w:tcBorders>
              <w:left w:val="single" w:sz="4" w:space="0" w:color="auto"/>
              <w:right w:val="single" w:sz="4" w:space="0" w:color="auto"/>
            </w:tcBorders>
            <w:vAlign w:val="center"/>
          </w:tcPr>
          <w:p w14:paraId="0A93DEC8" w14:textId="0FBC0CB4" w:rsidR="000566AF" w:rsidRPr="000566AF" w:rsidRDefault="000566AF" w:rsidP="000566AF">
            <w:pPr>
              <w:autoSpaceDE w:val="0"/>
              <w:autoSpaceDN w:val="0"/>
              <w:jc w:val="center"/>
              <w:textAlignment w:val="baseline"/>
              <w:rPr>
                <w:snapToGrid w:val="0"/>
              </w:rPr>
            </w:pPr>
            <w:r w:rsidRPr="000566AF">
              <w:t>138.2</w:t>
            </w:r>
          </w:p>
        </w:tc>
        <w:tc>
          <w:tcPr>
            <w:tcW w:w="585" w:type="pct"/>
            <w:vAlign w:val="center"/>
          </w:tcPr>
          <w:p w14:paraId="4D6B9B31" w14:textId="34007A28" w:rsidR="000566AF" w:rsidRPr="00F95CB9" w:rsidRDefault="000566AF" w:rsidP="000566AF">
            <w:pPr>
              <w:autoSpaceDE w:val="0"/>
              <w:autoSpaceDN w:val="0"/>
              <w:jc w:val="center"/>
              <w:textAlignment w:val="baseline"/>
              <w:rPr>
                <w:snapToGrid w:val="0"/>
                <w:color w:val="000000"/>
              </w:rPr>
            </w:pPr>
            <w:r>
              <w:rPr>
                <w:rFonts w:hint="eastAsia"/>
                <w:snapToGrid w:val="0"/>
                <w:color w:val="000000"/>
              </w:rPr>
              <w:t>监测井</w:t>
            </w:r>
          </w:p>
        </w:tc>
        <w:tc>
          <w:tcPr>
            <w:tcW w:w="585" w:type="pct"/>
            <w:tcBorders>
              <w:left w:val="single" w:sz="4" w:space="0" w:color="auto"/>
              <w:right w:val="single" w:sz="4" w:space="0" w:color="auto"/>
            </w:tcBorders>
            <w:vAlign w:val="center"/>
          </w:tcPr>
          <w:p w14:paraId="7D2DDB7B" w14:textId="11DC90B4" w:rsidR="000566AF" w:rsidRPr="00F95CB9" w:rsidRDefault="000566AF" w:rsidP="000566AF">
            <w:pPr>
              <w:autoSpaceDE w:val="0"/>
              <w:autoSpaceDN w:val="0"/>
              <w:jc w:val="center"/>
              <w:textAlignment w:val="baseline"/>
              <w:rPr>
                <w:snapToGrid w:val="0"/>
                <w:color w:val="000000"/>
              </w:rPr>
            </w:pPr>
            <w:r>
              <w:rPr>
                <w:rFonts w:hint="eastAsia"/>
                <w:snapToGrid w:val="0"/>
                <w:color w:val="000000"/>
              </w:rPr>
              <w:t>潜水</w:t>
            </w:r>
          </w:p>
        </w:tc>
        <w:tc>
          <w:tcPr>
            <w:tcW w:w="585" w:type="pct"/>
            <w:vMerge/>
            <w:vAlign w:val="center"/>
          </w:tcPr>
          <w:p w14:paraId="3EB25656" w14:textId="77777777" w:rsidR="000566AF" w:rsidRPr="00F95CB9" w:rsidRDefault="000566AF" w:rsidP="000566AF">
            <w:pPr>
              <w:autoSpaceDE w:val="0"/>
              <w:autoSpaceDN w:val="0"/>
              <w:jc w:val="center"/>
              <w:textAlignment w:val="baseline"/>
              <w:rPr>
                <w:snapToGrid w:val="0"/>
                <w:color w:val="000000"/>
              </w:rPr>
            </w:pPr>
          </w:p>
        </w:tc>
      </w:tr>
      <w:tr w:rsidR="000566AF" w:rsidRPr="00F95CB9" w14:paraId="6A211278" w14:textId="5AA6E859" w:rsidTr="000566AF">
        <w:trPr>
          <w:cantSplit/>
          <w:trHeight w:val="507"/>
          <w:jc w:val="center"/>
        </w:trPr>
        <w:tc>
          <w:tcPr>
            <w:tcW w:w="328" w:type="pct"/>
            <w:vAlign w:val="center"/>
          </w:tcPr>
          <w:p w14:paraId="29B49298" w14:textId="77777777" w:rsidR="000566AF" w:rsidRPr="00F95CB9" w:rsidRDefault="000566AF" w:rsidP="000566AF">
            <w:pPr>
              <w:autoSpaceDE w:val="0"/>
              <w:autoSpaceDN w:val="0"/>
              <w:jc w:val="center"/>
              <w:textAlignment w:val="baseline"/>
              <w:rPr>
                <w:snapToGrid w:val="0"/>
                <w:color w:val="000000"/>
              </w:rPr>
            </w:pPr>
            <w:r w:rsidRPr="00F95CB9">
              <w:rPr>
                <w:snapToGrid w:val="0"/>
                <w:color w:val="000000"/>
              </w:rPr>
              <w:t>D3</w:t>
            </w:r>
          </w:p>
        </w:tc>
        <w:tc>
          <w:tcPr>
            <w:tcW w:w="940" w:type="pct"/>
            <w:vAlign w:val="center"/>
          </w:tcPr>
          <w:p w14:paraId="0F689A80" w14:textId="7F10116B" w:rsidR="000566AF" w:rsidRPr="00F95CB9" w:rsidRDefault="000566AF" w:rsidP="000566AF">
            <w:pPr>
              <w:autoSpaceDE w:val="0"/>
              <w:autoSpaceDN w:val="0"/>
              <w:jc w:val="center"/>
              <w:textAlignment w:val="baseline"/>
              <w:rPr>
                <w:snapToGrid w:val="0"/>
                <w:color w:val="000000"/>
              </w:rPr>
            </w:pPr>
            <w:r w:rsidRPr="00F95CB9">
              <w:rPr>
                <w:snapToGrid w:val="0"/>
                <w:color w:val="000000"/>
              </w:rPr>
              <w:t>厂区西南侧地下水</w:t>
            </w:r>
            <w:r w:rsidRPr="00F95CB9">
              <w:rPr>
                <w:snapToGrid w:val="0"/>
                <w:color w:val="000000"/>
              </w:rPr>
              <w:t>3#</w:t>
            </w:r>
            <w:r w:rsidRPr="00F95CB9">
              <w:rPr>
                <w:snapToGrid w:val="0"/>
                <w:color w:val="000000"/>
              </w:rPr>
              <w:t>监测井</w:t>
            </w:r>
          </w:p>
        </w:tc>
        <w:tc>
          <w:tcPr>
            <w:tcW w:w="806" w:type="pct"/>
            <w:tcBorders>
              <w:right w:val="single" w:sz="4" w:space="0" w:color="auto"/>
            </w:tcBorders>
            <w:vAlign w:val="center"/>
          </w:tcPr>
          <w:p w14:paraId="3AFBECB4" w14:textId="220314D1" w:rsidR="000566AF" w:rsidRPr="00F95CB9" w:rsidRDefault="000566AF" w:rsidP="000566AF">
            <w:pPr>
              <w:autoSpaceDE w:val="0"/>
              <w:autoSpaceDN w:val="0"/>
              <w:jc w:val="center"/>
              <w:textAlignment w:val="baseline"/>
              <w:rPr>
                <w:snapToGrid w:val="0"/>
                <w:color w:val="000000"/>
              </w:rPr>
            </w:pPr>
            <w:r w:rsidRPr="00F95CB9">
              <w:rPr>
                <w:snapToGrid w:val="0"/>
                <w:color w:val="000000"/>
              </w:rPr>
              <w:t>124.985028</w:t>
            </w:r>
            <w:r>
              <w:rPr>
                <w:rFonts w:hint="eastAsia"/>
                <w:snapToGrid w:val="0"/>
                <w:color w:val="000000"/>
              </w:rPr>
              <w:t>，</w:t>
            </w:r>
            <w:r w:rsidRPr="00F95CB9">
              <w:rPr>
                <w:snapToGrid w:val="0"/>
                <w:color w:val="000000"/>
              </w:rPr>
              <w:t>46.433438</w:t>
            </w:r>
          </w:p>
        </w:tc>
        <w:tc>
          <w:tcPr>
            <w:tcW w:w="491" w:type="pct"/>
            <w:tcBorders>
              <w:left w:val="single" w:sz="4" w:space="0" w:color="auto"/>
              <w:right w:val="single" w:sz="4" w:space="0" w:color="auto"/>
            </w:tcBorders>
            <w:vAlign w:val="center"/>
          </w:tcPr>
          <w:p w14:paraId="6DB484D0" w14:textId="77777777" w:rsidR="000566AF" w:rsidRPr="00F95CB9" w:rsidRDefault="000566AF" w:rsidP="000566AF">
            <w:pPr>
              <w:autoSpaceDE w:val="0"/>
              <w:autoSpaceDN w:val="0"/>
              <w:jc w:val="center"/>
              <w:textAlignment w:val="baseline"/>
              <w:rPr>
                <w:snapToGrid w:val="0"/>
                <w:color w:val="000000"/>
              </w:rPr>
            </w:pPr>
            <w:r w:rsidRPr="00F95CB9">
              <w:rPr>
                <w:snapToGrid w:val="0"/>
                <w:color w:val="000000"/>
              </w:rPr>
              <w:t>10</w:t>
            </w:r>
          </w:p>
        </w:tc>
        <w:tc>
          <w:tcPr>
            <w:tcW w:w="680" w:type="pct"/>
            <w:tcBorders>
              <w:left w:val="single" w:sz="4" w:space="0" w:color="auto"/>
              <w:right w:val="single" w:sz="4" w:space="0" w:color="auto"/>
            </w:tcBorders>
            <w:vAlign w:val="center"/>
          </w:tcPr>
          <w:p w14:paraId="692DFEA0" w14:textId="3C401A07" w:rsidR="000566AF" w:rsidRPr="000566AF" w:rsidRDefault="000566AF" w:rsidP="000566AF">
            <w:pPr>
              <w:autoSpaceDE w:val="0"/>
              <w:autoSpaceDN w:val="0"/>
              <w:jc w:val="center"/>
              <w:textAlignment w:val="baseline"/>
              <w:rPr>
                <w:snapToGrid w:val="0"/>
              </w:rPr>
            </w:pPr>
            <w:r w:rsidRPr="000566AF">
              <w:t>138</w:t>
            </w:r>
            <w:r w:rsidRPr="000566AF">
              <w:rPr>
                <w:rFonts w:hint="eastAsia"/>
              </w:rPr>
              <w:t>.0</w:t>
            </w:r>
          </w:p>
        </w:tc>
        <w:tc>
          <w:tcPr>
            <w:tcW w:w="585" w:type="pct"/>
            <w:vAlign w:val="center"/>
          </w:tcPr>
          <w:p w14:paraId="4F487549" w14:textId="115B1C23" w:rsidR="000566AF" w:rsidRPr="00F95CB9" w:rsidRDefault="000566AF" w:rsidP="000566AF">
            <w:pPr>
              <w:autoSpaceDE w:val="0"/>
              <w:autoSpaceDN w:val="0"/>
              <w:jc w:val="center"/>
              <w:textAlignment w:val="baseline"/>
              <w:rPr>
                <w:snapToGrid w:val="0"/>
                <w:color w:val="000000"/>
              </w:rPr>
            </w:pPr>
            <w:r>
              <w:rPr>
                <w:rFonts w:hint="eastAsia"/>
                <w:snapToGrid w:val="0"/>
                <w:color w:val="000000"/>
              </w:rPr>
              <w:t>监测井</w:t>
            </w:r>
          </w:p>
        </w:tc>
        <w:tc>
          <w:tcPr>
            <w:tcW w:w="585" w:type="pct"/>
            <w:tcBorders>
              <w:left w:val="single" w:sz="4" w:space="0" w:color="auto"/>
              <w:right w:val="single" w:sz="4" w:space="0" w:color="auto"/>
            </w:tcBorders>
            <w:vAlign w:val="center"/>
          </w:tcPr>
          <w:p w14:paraId="41580E15" w14:textId="27EA6A57" w:rsidR="000566AF" w:rsidRPr="00F95CB9" w:rsidRDefault="000566AF" w:rsidP="000566AF">
            <w:pPr>
              <w:autoSpaceDE w:val="0"/>
              <w:autoSpaceDN w:val="0"/>
              <w:jc w:val="center"/>
              <w:textAlignment w:val="baseline"/>
              <w:rPr>
                <w:snapToGrid w:val="0"/>
                <w:color w:val="000000"/>
              </w:rPr>
            </w:pPr>
            <w:r>
              <w:rPr>
                <w:rFonts w:hint="eastAsia"/>
                <w:snapToGrid w:val="0"/>
                <w:color w:val="000000"/>
              </w:rPr>
              <w:t>潜水</w:t>
            </w:r>
          </w:p>
        </w:tc>
        <w:tc>
          <w:tcPr>
            <w:tcW w:w="585" w:type="pct"/>
            <w:vMerge/>
            <w:vAlign w:val="center"/>
          </w:tcPr>
          <w:p w14:paraId="502C86A2" w14:textId="77777777" w:rsidR="000566AF" w:rsidRPr="00F95CB9" w:rsidRDefault="000566AF" w:rsidP="000566AF">
            <w:pPr>
              <w:autoSpaceDE w:val="0"/>
              <w:autoSpaceDN w:val="0"/>
              <w:jc w:val="center"/>
              <w:textAlignment w:val="baseline"/>
              <w:rPr>
                <w:snapToGrid w:val="0"/>
                <w:color w:val="000000"/>
              </w:rPr>
            </w:pPr>
          </w:p>
        </w:tc>
      </w:tr>
      <w:tr w:rsidR="000566AF" w:rsidRPr="00F95CB9" w14:paraId="76999AC8" w14:textId="5735C8B2" w:rsidTr="000566AF">
        <w:trPr>
          <w:cantSplit/>
          <w:trHeight w:val="442"/>
          <w:jc w:val="center"/>
        </w:trPr>
        <w:tc>
          <w:tcPr>
            <w:tcW w:w="328" w:type="pct"/>
            <w:vAlign w:val="center"/>
          </w:tcPr>
          <w:p w14:paraId="11CE7371" w14:textId="77777777" w:rsidR="000566AF" w:rsidRPr="00F95CB9" w:rsidRDefault="000566AF" w:rsidP="000566AF">
            <w:pPr>
              <w:autoSpaceDE w:val="0"/>
              <w:autoSpaceDN w:val="0"/>
              <w:jc w:val="center"/>
              <w:textAlignment w:val="baseline"/>
              <w:rPr>
                <w:snapToGrid w:val="0"/>
                <w:color w:val="000000"/>
              </w:rPr>
            </w:pPr>
            <w:r w:rsidRPr="00F95CB9">
              <w:rPr>
                <w:snapToGrid w:val="0"/>
                <w:color w:val="000000"/>
              </w:rPr>
              <w:t>D4</w:t>
            </w:r>
          </w:p>
        </w:tc>
        <w:tc>
          <w:tcPr>
            <w:tcW w:w="940" w:type="pct"/>
            <w:vAlign w:val="center"/>
          </w:tcPr>
          <w:p w14:paraId="382F7478" w14:textId="77777777" w:rsidR="000566AF" w:rsidRPr="00F95CB9" w:rsidRDefault="000566AF" w:rsidP="000566AF">
            <w:pPr>
              <w:autoSpaceDE w:val="0"/>
              <w:autoSpaceDN w:val="0"/>
              <w:jc w:val="center"/>
              <w:textAlignment w:val="baseline"/>
              <w:rPr>
                <w:snapToGrid w:val="0"/>
                <w:color w:val="000000"/>
              </w:rPr>
            </w:pPr>
            <w:r w:rsidRPr="00F95CB9">
              <w:rPr>
                <w:snapToGrid w:val="0"/>
                <w:color w:val="000000"/>
              </w:rPr>
              <w:t>厂区内排水井</w:t>
            </w:r>
          </w:p>
        </w:tc>
        <w:tc>
          <w:tcPr>
            <w:tcW w:w="806" w:type="pct"/>
            <w:tcBorders>
              <w:right w:val="single" w:sz="4" w:space="0" w:color="auto"/>
            </w:tcBorders>
            <w:vAlign w:val="center"/>
          </w:tcPr>
          <w:p w14:paraId="0F93DED6" w14:textId="6BAD2791" w:rsidR="000566AF" w:rsidRPr="00F95CB9" w:rsidRDefault="000566AF" w:rsidP="000566AF">
            <w:pPr>
              <w:autoSpaceDE w:val="0"/>
              <w:autoSpaceDN w:val="0"/>
              <w:jc w:val="center"/>
              <w:textAlignment w:val="baseline"/>
              <w:rPr>
                <w:snapToGrid w:val="0"/>
                <w:color w:val="000000"/>
              </w:rPr>
            </w:pPr>
            <w:r w:rsidRPr="00F95CB9">
              <w:rPr>
                <w:snapToGrid w:val="0"/>
                <w:color w:val="000000"/>
              </w:rPr>
              <w:t>124.984268</w:t>
            </w:r>
            <w:r>
              <w:rPr>
                <w:rFonts w:hint="eastAsia"/>
                <w:snapToGrid w:val="0"/>
                <w:color w:val="000000"/>
              </w:rPr>
              <w:t>，</w:t>
            </w:r>
            <w:r w:rsidRPr="00F95CB9">
              <w:rPr>
                <w:snapToGrid w:val="0"/>
                <w:color w:val="000000"/>
              </w:rPr>
              <w:t>46.431677</w:t>
            </w:r>
          </w:p>
        </w:tc>
        <w:tc>
          <w:tcPr>
            <w:tcW w:w="491" w:type="pct"/>
            <w:tcBorders>
              <w:left w:val="single" w:sz="4" w:space="0" w:color="auto"/>
              <w:right w:val="single" w:sz="4" w:space="0" w:color="auto"/>
            </w:tcBorders>
            <w:vAlign w:val="center"/>
          </w:tcPr>
          <w:p w14:paraId="36D876E8" w14:textId="77777777" w:rsidR="000566AF" w:rsidRPr="00F95CB9" w:rsidRDefault="000566AF" w:rsidP="000566AF">
            <w:pPr>
              <w:autoSpaceDE w:val="0"/>
              <w:autoSpaceDN w:val="0"/>
              <w:jc w:val="center"/>
              <w:textAlignment w:val="baseline"/>
              <w:rPr>
                <w:snapToGrid w:val="0"/>
                <w:color w:val="000000"/>
              </w:rPr>
            </w:pPr>
            <w:r w:rsidRPr="00F95CB9">
              <w:rPr>
                <w:rFonts w:hint="eastAsia"/>
                <w:snapToGrid w:val="0"/>
                <w:color w:val="000000"/>
              </w:rPr>
              <w:t>15</w:t>
            </w:r>
          </w:p>
        </w:tc>
        <w:tc>
          <w:tcPr>
            <w:tcW w:w="680" w:type="pct"/>
            <w:tcBorders>
              <w:left w:val="single" w:sz="4" w:space="0" w:color="auto"/>
              <w:right w:val="single" w:sz="4" w:space="0" w:color="auto"/>
            </w:tcBorders>
            <w:vAlign w:val="center"/>
          </w:tcPr>
          <w:p w14:paraId="7F1BB5A2" w14:textId="023340B5" w:rsidR="000566AF" w:rsidRPr="000566AF" w:rsidRDefault="000566AF" w:rsidP="000566AF">
            <w:pPr>
              <w:autoSpaceDE w:val="0"/>
              <w:autoSpaceDN w:val="0"/>
              <w:jc w:val="center"/>
              <w:textAlignment w:val="baseline"/>
              <w:rPr>
                <w:snapToGrid w:val="0"/>
              </w:rPr>
            </w:pPr>
            <w:r w:rsidRPr="000566AF">
              <w:t>139.3</w:t>
            </w:r>
          </w:p>
        </w:tc>
        <w:tc>
          <w:tcPr>
            <w:tcW w:w="585" w:type="pct"/>
            <w:vAlign w:val="center"/>
          </w:tcPr>
          <w:p w14:paraId="05C605AA" w14:textId="6F5328C1" w:rsidR="000566AF" w:rsidRPr="00F95CB9" w:rsidRDefault="000566AF" w:rsidP="000566AF">
            <w:pPr>
              <w:autoSpaceDE w:val="0"/>
              <w:autoSpaceDN w:val="0"/>
              <w:jc w:val="center"/>
              <w:textAlignment w:val="baseline"/>
              <w:rPr>
                <w:snapToGrid w:val="0"/>
                <w:color w:val="000000"/>
              </w:rPr>
            </w:pPr>
            <w:r>
              <w:rPr>
                <w:rFonts w:hint="eastAsia"/>
                <w:snapToGrid w:val="0"/>
                <w:color w:val="000000"/>
              </w:rPr>
              <w:t>排水井</w:t>
            </w:r>
          </w:p>
        </w:tc>
        <w:tc>
          <w:tcPr>
            <w:tcW w:w="585" w:type="pct"/>
            <w:tcBorders>
              <w:left w:val="single" w:sz="4" w:space="0" w:color="auto"/>
              <w:right w:val="single" w:sz="4" w:space="0" w:color="auto"/>
            </w:tcBorders>
            <w:vAlign w:val="center"/>
          </w:tcPr>
          <w:p w14:paraId="295680D8" w14:textId="46812F5D" w:rsidR="000566AF" w:rsidRPr="00F95CB9" w:rsidRDefault="000566AF" w:rsidP="000566AF">
            <w:pPr>
              <w:autoSpaceDE w:val="0"/>
              <w:autoSpaceDN w:val="0"/>
              <w:jc w:val="center"/>
              <w:textAlignment w:val="baseline"/>
              <w:rPr>
                <w:snapToGrid w:val="0"/>
                <w:color w:val="000000"/>
              </w:rPr>
            </w:pPr>
            <w:r>
              <w:rPr>
                <w:rFonts w:hint="eastAsia"/>
                <w:snapToGrid w:val="0"/>
                <w:color w:val="000000"/>
              </w:rPr>
              <w:t>潜水</w:t>
            </w:r>
          </w:p>
        </w:tc>
        <w:tc>
          <w:tcPr>
            <w:tcW w:w="585" w:type="pct"/>
            <w:vMerge/>
            <w:vAlign w:val="center"/>
          </w:tcPr>
          <w:p w14:paraId="45613852" w14:textId="77777777" w:rsidR="000566AF" w:rsidRPr="00F95CB9" w:rsidRDefault="000566AF" w:rsidP="000566AF">
            <w:pPr>
              <w:autoSpaceDE w:val="0"/>
              <w:autoSpaceDN w:val="0"/>
              <w:jc w:val="center"/>
              <w:textAlignment w:val="baseline"/>
              <w:rPr>
                <w:snapToGrid w:val="0"/>
                <w:color w:val="000000"/>
              </w:rPr>
            </w:pPr>
          </w:p>
        </w:tc>
      </w:tr>
      <w:tr w:rsidR="000566AF" w:rsidRPr="00F95CB9" w14:paraId="70FDCB4E" w14:textId="3DBA6B98" w:rsidTr="000566AF">
        <w:trPr>
          <w:cantSplit/>
          <w:trHeight w:val="507"/>
          <w:jc w:val="center"/>
        </w:trPr>
        <w:tc>
          <w:tcPr>
            <w:tcW w:w="328" w:type="pct"/>
            <w:vAlign w:val="center"/>
          </w:tcPr>
          <w:p w14:paraId="7DD3F352" w14:textId="77777777" w:rsidR="000566AF" w:rsidRPr="00F95CB9" w:rsidRDefault="000566AF" w:rsidP="000566AF">
            <w:pPr>
              <w:autoSpaceDE w:val="0"/>
              <w:autoSpaceDN w:val="0"/>
              <w:jc w:val="center"/>
              <w:textAlignment w:val="baseline"/>
              <w:rPr>
                <w:snapToGrid w:val="0"/>
                <w:color w:val="000000"/>
              </w:rPr>
            </w:pPr>
            <w:r w:rsidRPr="00F95CB9">
              <w:rPr>
                <w:snapToGrid w:val="0"/>
                <w:color w:val="000000"/>
              </w:rPr>
              <w:t>D5</w:t>
            </w:r>
          </w:p>
        </w:tc>
        <w:tc>
          <w:tcPr>
            <w:tcW w:w="940" w:type="pct"/>
            <w:vAlign w:val="center"/>
          </w:tcPr>
          <w:p w14:paraId="472A9CFB" w14:textId="77777777" w:rsidR="000566AF" w:rsidRPr="00F95CB9" w:rsidRDefault="000566AF" w:rsidP="000566AF">
            <w:pPr>
              <w:autoSpaceDE w:val="0"/>
              <w:autoSpaceDN w:val="0"/>
              <w:jc w:val="center"/>
              <w:textAlignment w:val="baseline"/>
              <w:rPr>
                <w:snapToGrid w:val="0"/>
                <w:color w:val="000000"/>
              </w:rPr>
            </w:pPr>
            <w:r w:rsidRPr="00F95CB9">
              <w:rPr>
                <w:snapToGrid w:val="0"/>
                <w:color w:val="000000"/>
              </w:rPr>
              <w:t>厂区内本底井</w:t>
            </w:r>
          </w:p>
        </w:tc>
        <w:tc>
          <w:tcPr>
            <w:tcW w:w="806" w:type="pct"/>
            <w:tcBorders>
              <w:right w:val="single" w:sz="4" w:space="0" w:color="auto"/>
            </w:tcBorders>
            <w:vAlign w:val="center"/>
          </w:tcPr>
          <w:p w14:paraId="48D51D54" w14:textId="1615D249" w:rsidR="000566AF" w:rsidRPr="00F95CB9" w:rsidRDefault="000566AF" w:rsidP="000566AF">
            <w:pPr>
              <w:autoSpaceDE w:val="0"/>
              <w:autoSpaceDN w:val="0"/>
              <w:jc w:val="center"/>
              <w:textAlignment w:val="baseline"/>
              <w:rPr>
                <w:snapToGrid w:val="0"/>
                <w:color w:val="000000"/>
              </w:rPr>
            </w:pPr>
            <w:r w:rsidRPr="00F95CB9">
              <w:rPr>
                <w:snapToGrid w:val="0"/>
                <w:color w:val="000000"/>
              </w:rPr>
              <w:t>124.988617</w:t>
            </w:r>
            <w:r>
              <w:rPr>
                <w:rFonts w:hint="eastAsia"/>
                <w:snapToGrid w:val="0"/>
                <w:color w:val="000000"/>
              </w:rPr>
              <w:t>，</w:t>
            </w:r>
            <w:r w:rsidRPr="00F95CB9">
              <w:rPr>
                <w:snapToGrid w:val="0"/>
                <w:color w:val="000000"/>
              </w:rPr>
              <w:t>46.436489</w:t>
            </w:r>
          </w:p>
        </w:tc>
        <w:tc>
          <w:tcPr>
            <w:tcW w:w="491" w:type="pct"/>
            <w:tcBorders>
              <w:left w:val="single" w:sz="4" w:space="0" w:color="auto"/>
              <w:right w:val="single" w:sz="4" w:space="0" w:color="auto"/>
            </w:tcBorders>
            <w:vAlign w:val="center"/>
          </w:tcPr>
          <w:p w14:paraId="32D2F8AE" w14:textId="77777777" w:rsidR="000566AF" w:rsidRPr="00F95CB9" w:rsidRDefault="000566AF" w:rsidP="000566AF">
            <w:pPr>
              <w:autoSpaceDE w:val="0"/>
              <w:autoSpaceDN w:val="0"/>
              <w:jc w:val="center"/>
              <w:textAlignment w:val="baseline"/>
              <w:rPr>
                <w:snapToGrid w:val="0"/>
                <w:color w:val="000000"/>
              </w:rPr>
            </w:pPr>
            <w:r w:rsidRPr="00F95CB9">
              <w:rPr>
                <w:rFonts w:hint="eastAsia"/>
                <w:snapToGrid w:val="0"/>
                <w:color w:val="000000"/>
              </w:rPr>
              <w:t>10</w:t>
            </w:r>
          </w:p>
        </w:tc>
        <w:tc>
          <w:tcPr>
            <w:tcW w:w="680" w:type="pct"/>
            <w:tcBorders>
              <w:left w:val="single" w:sz="4" w:space="0" w:color="auto"/>
              <w:right w:val="single" w:sz="4" w:space="0" w:color="auto"/>
            </w:tcBorders>
            <w:vAlign w:val="center"/>
          </w:tcPr>
          <w:p w14:paraId="4D71883A" w14:textId="03462225" w:rsidR="000566AF" w:rsidRPr="000566AF" w:rsidRDefault="000566AF" w:rsidP="000566AF">
            <w:pPr>
              <w:autoSpaceDE w:val="0"/>
              <w:autoSpaceDN w:val="0"/>
              <w:jc w:val="center"/>
              <w:textAlignment w:val="baseline"/>
              <w:rPr>
                <w:snapToGrid w:val="0"/>
              </w:rPr>
            </w:pPr>
            <w:r w:rsidRPr="000566AF">
              <w:t>139.1</w:t>
            </w:r>
          </w:p>
        </w:tc>
        <w:tc>
          <w:tcPr>
            <w:tcW w:w="585" w:type="pct"/>
            <w:vAlign w:val="center"/>
          </w:tcPr>
          <w:p w14:paraId="17E41470" w14:textId="644F5D3C" w:rsidR="000566AF" w:rsidRPr="00F95CB9" w:rsidRDefault="000566AF" w:rsidP="000566AF">
            <w:pPr>
              <w:autoSpaceDE w:val="0"/>
              <w:autoSpaceDN w:val="0"/>
              <w:jc w:val="center"/>
              <w:textAlignment w:val="baseline"/>
              <w:rPr>
                <w:snapToGrid w:val="0"/>
                <w:color w:val="000000"/>
              </w:rPr>
            </w:pPr>
            <w:r>
              <w:rPr>
                <w:rFonts w:hint="eastAsia"/>
                <w:snapToGrid w:val="0"/>
                <w:color w:val="000000"/>
              </w:rPr>
              <w:t>监测井</w:t>
            </w:r>
          </w:p>
        </w:tc>
        <w:tc>
          <w:tcPr>
            <w:tcW w:w="585" w:type="pct"/>
            <w:tcBorders>
              <w:left w:val="single" w:sz="4" w:space="0" w:color="auto"/>
              <w:right w:val="single" w:sz="4" w:space="0" w:color="auto"/>
            </w:tcBorders>
            <w:vAlign w:val="center"/>
          </w:tcPr>
          <w:p w14:paraId="629B0AE5" w14:textId="3BB3E254" w:rsidR="000566AF" w:rsidRPr="00F95CB9" w:rsidRDefault="000566AF" w:rsidP="000566AF">
            <w:pPr>
              <w:autoSpaceDE w:val="0"/>
              <w:autoSpaceDN w:val="0"/>
              <w:jc w:val="center"/>
              <w:textAlignment w:val="baseline"/>
              <w:rPr>
                <w:snapToGrid w:val="0"/>
                <w:color w:val="000000"/>
              </w:rPr>
            </w:pPr>
            <w:r>
              <w:rPr>
                <w:rFonts w:hint="eastAsia"/>
                <w:snapToGrid w:val="0"/>
                <w:color w:val="000000"/>
              </w:rPr>
              <w:t>潜水</w:t>
            </w:r>
          </w:p>
        </w:tc>
        <w:tc>
          <w:tcPr>
            <w:tcW w:w="585" w:type="pct"/>
            <w:vMerge/>
            <w:vAlign w:val="center"/>
          </w:tcPr>
          <w:p w14:paraId="33BE7CD6" w14:textId="77777777" w:rsidR="000566AF" w:rsidRPr="00F95CB9" w:rsidRDefault="000566AF" w:rsidP="000566AF">
            <w:pPr>
              <w:autoSpaceDE w:val="0"/>
              <w:autoSpaceDN w:val="0"/>
              <w:jc w:val="center"/>
              <w:textAlignment w:val="baseline"/>
              <w:rPr>
                <w:snapToGrid w:val="0"/>
                <w:color w:val="000000"/>
              </w:rPr>
            </w:pPr>
          </w:p>
        </w:tc>
      </w:tr>
      <w:tr w:rsidR="000566AF" w:rsidRPr="00F95CB9" w14:paraId="481E21D8" w14:textId="2DC7F6AF" w:rsidTr="000566AF">
        <w:trPr>
          <w:cantSplit/>
          <w:trHeight w:val="507"/>
          <w:jc w:val="center"/>
        </w:trPr>
        <w:tc>
          <w:tcPr>
            <w:tcW w:w="328" w:type="pct"/>
            <w:vAlign w:val="center"/>
          </w:tcPr>
          <w:p w14:paraId="536D608D" w14:textId="77777777" w:rsidR="000566AF" w:rsidRPr="00F95CB9" w:rsidRDefault="000566AF" w:rsidP="000566AF">
            <w:pPr>
              <w:autoSpaceDE w:val="0"/>
              <w:autoSpaceDN w:val="0"/>
              <w:jc w:val="center"/>
              <w:textAlignment w:val="baseline"/>
              <w:rPr>
                <w:snapToGrid w:val="0"/>
                <w:color w:val="000000"/>
              </w:rPr>
            </w:pPr>
            <w:r w:rsidRPr="00F95CB9">
              <w:rPr>
                <w:snapToGrid w:val="0"/>
                <w:color w:val="000000"/>
              </w:rPr>
              <w:t>D6</w:t>
            </w:r>
          </w:p>
        </w:tc>
        <w:tc>
          <w:tcPr>
            <w:tcW w:w="940" w:type="pct"/>
            <w:vAlign w:val="center"/>
          </w:tcPr>
          <w:p w14:paraId="261DECBF" w14:textId="147DD8D2" w:rsidR="000566AF" w:rsidRPr="00F95CB9" w:rsidRDefault="000566AF" w:rsidP="000566AF">
            <w:pPr>
              <w:autoSpaceDE w:val="0"/>
              <w:autoSpaceDN w:val="0"/>
              <w:jc w:val="center"/>
              <w:textAlignment w:val="baseline"/>
              <w:rPr>
                <w:snapToGrid w:val="0"/>
                <w:color w:val="000000"/>
              </w:rPr>
            </w:pPr>
            <w:r w:rsidRPr="00F95CB9">
              <w:rPr>
                <w:snapToGrid w:val="0"/>
                <w:color w:val="000000"/>
              </w:rPr>
              <w:t>红旗二村</w:t>
            </w:r>
            <w:r>
              <w:rPr>
                <w:rFonts w:hint="eastAsia"/>
                <w:snapToGrid w:val="0"/>
                <w:color w:val="000000"/>
              </w:rPr>
              <w:t>水井</w:t>
            </w:r>
          </w:p>
        </w:tc>
        <w:tc>
          <w:tcPr>
            <w:tcW w:w="806" w:type="pct"/>
            <w:tcBorders>
              <w:right w:val="single" w:sz="4" w:space="0" w:color="auto"/>
            </w:tcBorders>
            <w:vAlign w:val="center"/>
          </w:tcPr>
          <w:p w14:paraId="651027F6" w14:textId="15CB2573" w:rsidR="000566AF" w:rsidRPr="00F95CB9" w:rsidRDefault="000566AF" w:rsidP="000566AF">
            <w:pPr>
              <w:autoSpaceDE w:val="0"/>
              <w:autoSpaceDN w:val="0"/>
              <w:jc w:val="center"/>
              <w:textAlignment w:val="baseline"/>
              <w:rPr>
                <w:snapToGrid w:val="0"/>
                <w:color w:val="000000"/>
              </w:rPr>
            </w:pPr>
            <w:r w:rsidRPr="00F95CB9">
              <w:rPr>
                <w:snapToGrid w:val="0"/>
                <w:color w:val="000000"/>
              </w:rPr>
              <w:t>124.997602</w:t>
            </w:r>
            <w:r>
              <w:rPr>
                <w:rFonts w:hint="eastAsia"/>
                <w:snapToGrid w:val="0"/>
                <w:color w:val="000000"/>
              </w:rPr>
              <w:t>，</w:t>
            </w:r>
            <w:r w:rsidRPr="00F95CB9">
              <w:rPr>
                <w:snapToGrid w:val="0"/>
                <w:color w:val="000000"/>
              </w:rPr>
              <w:t>46.443143</w:t>
            </w:r>
          </w:p>
        </w:tc>
        <w:tc>
          <w:tcPr>
            <w:tcW w:w="491" w:type="pct"/>
            <w:tcBorders>
              <w:left w:val="single" w:sz="4" w:space="0" w:color="auto"/>
              <w:right w:val="single" w:sz="4" w:space="0" w:color="auto"/>
            </w:tcBorders>
            <w:vAlign w:val="center"/>
          </w:tcPr>
          <w:p w14:paraId="37D9FAA2" w14:textId="77777777" w:rsidR="000566AF" w:rsidRPr="00F95CB9" w:rsidRDefault="000566AF" w:rsidP="000566AF">
            <w:pPr>
              <w:autoSpaceDE w:val="0"/>
              <w:autoSpaceDN w:val="0"/>
              <w:jc w:val="center"/>
              <w:textAlignment w:val="baseline"/>
              <w:rPr>
                <w:snapToGrid w:val="0"/>
                <w:color w:val="000000"/>
              </w:rPr>
            </w:pPr>
            <w:r w:rsidRPr="00F95CB9">
              <w:rPr>
                <w:snapToGrid w:val="0"/>
                <w:color w:val="000000"/>
              </w:rPr>
              <w:t>80</w:t>
            </w:r>
          </w:p>
        </w:tc>
        <w:tc>
          <w:tcPr>
            <w:tcW w:w="680" w:type="pct"/>
            <w:tcBorders>
              <w:left w:val="single" w:sz="4" w:space="0" w:color="auto"/>
              <w:right w:val="single" w:sz="4" w:space="0" w:color="auto"/>
            </w:tcBorders>
            <w:vAlign w:val="center"/>
          </w:tcPr>
          <w:p w14:paraId="3E1E6E64" w14:textId="3498965F" w:rsidR="000566AF" w:rsidRPr="000566AF" w:rsidRDefault="000566AF" w:rsidP="000566AF">
            <w:pPr>
              <w:autoSpaceDE w:val="0"/>
              <w:autoSpaceDN w:val="0"/>
              <w:jc w:val="center"/>
              <w:textAlignment w:val="baseline"/>
              <w:rPr>
                <w:snapToGrid w:val="0"/>
              </w:rPr>
            </w:pPr>
            <w:r w:rsidRPr="000566AF">
              <w:t>139.5</w:t>
            </w:r>
          </w:p>
        </w:tc>
        <w:tc>
          <w:tcPr>
            <w:tcW w:w="585" w:type="pct"/>
            <w:vAlign w:val="center"/>
          </w:tcPr>
          <w:p w14:paraId="66C69464" w14:textId="53B8C101" w:rsidR="000566AF" w:rsidRPr="00F95CB9" w:rsidRDefault="000566AF" w:rsidP="000566AF">
            <w:pPr>
              <w:autoSpaceDE w:val="0"/>
              <w:autoSpaceDN w:val="0"/>
              <w:jc w:val="center"/>
              <w:textAlignment w:val="baseline"/>
              <w:rPr>
                <w:snapToGrid w:val="0"/>
                <w:color w:val="000000"/>
              </w:rPr>
            </w:pPr>
            <w:r>
              <w:rPr>
                <w:rFonts w:hint="eastAsia"/>
                <w:snapToGrid w:val="0"/>
                <w:color w:val="000000"/>
              </w:rPr>
              <w:t>饮用水井</w:t>
            </w:r>
          </w:p>
        </w:tc>
        <w:tc>
          <w:tcPr>
            <w:tcW w:w="585" w:type="pct"/>
            <w:tcBorders>
              <w:left w:val="single" w:sz="4" w:space="0" w:color="auto"/>
              <w:right w:val="single" w:sz="4" w:space="0" w:color="auto"/>
            </w:tcBorders>
            <w:vAlign w:val="center"/>
          </w:tcPr>
          <w:p w14:paraId="4070F2C4" w14:textId="0A4194C1" w:rsidR="000566AF" w:rsidRPr="00F95CB9" w:rsidRDefault="000566AF" w:rsidP="000566AF">
            <w:pPr>
              <w:autoSpaceDE w:val="0"/>
              <w:autoSpaceDN w:val="0"/>
              <w:jc w:val="center"/>
              <w:textAlignment w:val="baseline"/>
              <w:rPr>
                <w:snapToGrid w:val="0"/>
                <w:color w:val="000000"/>
              </w:rPr>
            </w:pPr>
            <w:r>
              <w:rPr>
                <w:rFonts w:hint="eastAsia"/>
                <w:snapToGrid w:val="0"/>
                <w:color w:val="000000"/>
              </w:rPr>
              <w:t>承压水</w:t>
            </w:r>
          </w:p>
        </w:tc>
        <w:tc>
          <w:tcPr>
            <w:tcW w:w="585" w:type="pct"/>
            <w:vMerge/>
            <w:vAlign w:val="center"/>
          </w:tcPr>
          <w:p w14:paraId="6B4F625A" w14:textId="77777777" w:rsidR="000566AF" w:rsidRPr="00F95CB9" w:rsidRDefault="000566AF" w:rsidP="000566AF">
            <w:pPr>
              <w:autoSpaceDE w:val="0"/>
              <w:autoSpaceDN w:val="0"/>
              <w:jc w:val="center"/>
              <w:textAlignment w:val="baseline"/>
              <w:rPr>
                <w:snapToGrid w:val="0"/>
                <w:color w:val="000000"/>
              </w:rPr>
            </w:pPr>
          </w:p>
        </w:tc>
      </w:tr>
      <w:tr w:rsidR="000566AF" w:rsidRPr="00F95CB9" w14:paraId="7AAB41B7" w14:textId="5F7CFB2C" w:rsidTr="000566AF">
        <w:trPr>
          <w:cantSplit/>
          <w:trHeight w:val="507"/>
          <w:jc w:val="center"/>
        </w:trPr>
        <w:tc>
          <w:tcPr>
            <w:tcW w:w="328" w:type="pct"/>
            <w:vAlign w:val="center"/>
          </w:tcPr>
          <w:p w14:paraId="470530BD" w14:textId="77777777" w:rsidR="000566AF" w:rsidRPr="00F95CB9" w:rsidRDefault="000566AF" w:rsidP="000566AF">
            <w:pPr>
              <w:autoSpaceDE w:val="0"/>
              <w:autoSpaceDN w:val="0"/>
              <w:jc w:val="center"/>
              <w:textAlignment w:val="baseline"/>
              <w:rPr>
                <w:snapToGrid w:val="0"/>
                <w:color w:val="000000"/>
              </w:rPr>
            </w:pPr>
            <w:r w:rsidRPr="00F95CB9">
              <w:rPr>
                <w:snapToGrid w:val="0"/>
                <w:color w:val="000000"/>
              </w:rPr>
              <w:t>D7</w:t>
            </w:r>
          </w:p>
        </w:tc>
        <w:tc>
          <w:tcPr>
            <w:tcW w:w="940" w:type="pct"/>
            <w:vAlign w:val="center"/>
          </w:tcPr>
          <w:p w14:paraId="2D2B9143" w14:textId="30AA7EB2" w:rsidR="000566AF" w:rsidRPr="00F95CB9" w:rsidRDefault="000566AF" w:rsidP="000566AF">
            <w:pPr>
              <w:autoSpaceDE w:val="0"/>
              <w:autoSpaceDN w:val="0"/>
              <w:jc w:val="center"/>
              <w:textAlignment w:val="baseline"/>
              <w:rPr>
                <w:snapToGrid w:val="0"/>
                <w:color w:val="000000"/>
              </w:rPr>
            </w:pPr>
            <w:r w:rsidRPr="00F95CB9">
              <w:rPr>
                <w:snapToGrid w:val="0"/>
                <w:color w:val="000000"/>
              </w:rPr>
              <w:t>杏六联地下水监测井</w:t>
            </w:r>
          </w:p>
        </w:tc>
        <w:tc>
          <w:tcPr>
            <w:tcW w:w="806" w:type="pct"/>
            <w:tcBorders>
              <w:right w:val="single" w:sz="4" w:space="0" w:color="auto"/>
            </w:tcBorders>
            <w:vAlign w:val="center"/>
          </w:tcPr>
          <w:p w14:paraId="7B707F91" w14:textId="1AB41318" w:rsidR="000566AF" w:rsidRPr="00F95CB9" w:rsidRDefault="000566AF" w:rsidP="000566AF">
            <w:pPr>
              <w:autoSpaceDE w:val="0"/>
              <w:autoSpaceDN w:val="0"/>
              <w:jc w:val="center"/>
              <w:textAlignment w:val="baseline"/>
              <w:rPr>
                <w:snapToGrid w:val="0"/>
                <w:color w:val="000000"/>
              </w:rPr>
            </w:pPr>
            <w:r w:rsidRPr="00F95CB9">
              <w:rPr>
                <w:snapToGrid w:val="0"/>
                <w:color w:val="000000"/>
              </w:rPr>
              <w:t>124.963988</w:t>
            </w:r>
            <w:r>
              <w:rPr>
                <w:rFonts w:hint="eastAsia"/>
                <w:snapToGrid w:val="0"/>
                <w:color w:val="000000"/>
              </w:rPr>
              <w:t>，</w:t>
            </w:r>
            <w:r w:rsidRPr="00F95CB9">
              <w:rPr>
                <w:snapToGrid w:val="0"/>
                <w:color w:val="000000"/>
              </w:rPr>
              <w:t>46.425375</w:t>
            </w:r>
          </w:p>
        </w:tc>
        <w:tc>
          <w:tcPr>
            <w:tcW w:w="491" w:type="pct"/>
            <w:tcBorders>
              <w:left w:val="single" w:sz="4" w:space="0" w:color="auto"/>
              <w:right w:val="single" w:sz="4" w:space="0" w:color="auto"/>
            </w:tcBorders>
            <w:vAlign w:val="center"/>
          </w:tcPr>
          <w:p w14:paraId="25DAE1C7" w14:textId="77777777" w:rsidR="000566AF" w:rsidRPr="00F95CB9" w:rsidRDefault="000566AF" w:rsidP="000566AF">
            <w:pPr>
              <w:autoSpaceDE w:val="0"/>
              <w:autoSpaceDN w:val="0"/>
              <w:jc w:val="center"/>
              <w:textAlignment w:val="baseline"/>
              <w:rPr>
                <w:snapToGrid w:val="0"/>
                <w:color w:val="000000"/>
              </w:rPr>
            </w:pPr>
            <w:r w:rsidRPr="00F95CB9">
              <w:rPr>
                <w:snapToGrid w:val="0"/>
                <w:color w:val="000000"/>
              </w:rPr>
              <w:t>60</w:t>
            </w:r>
          </w:p>
        </w:tc>
        <w:tc>
          <w:tcPr>
            <w:tcW w:w="680" w:type="pct"/>
            <w:tcBorders>
              <w:left w:val="single" w:sz="4" w:space="0" w:color="auto"/>
              <w:right w:val="single" w:sz="4" w:space="0" w:color="auto"/>
            </w:tcBorders>
            <w:vAlign w:val="center"/>
          </w:tcPr>
          <w:p w14:paraId="65B7F7A9" w14:textId="5CCD9C70" w:rsidR="000566AF" w:rsidRPr="000566AF" w:rsidRDefault="000566AF" w:rsidP="000566AF">
            <w:pPr>
              <w:autoSpaceDE w:val="0"/>
              <w:autoSpaceDN w:val="0"/>
              <w:jc w:val="center"/>
              <w:textAlignment w:val="baseline"/>
              <w:rPr>
                <w:snapToGrid w:val="0"/>
              </w:rPr>
            </w:pPr>
            <w:r w:rsidRPr="000566AF">
              <w:t>136.4</w:t>
            </w:r>
          </w:p>
        </w:tc>
        <w:tc>
          <w:tcPr>
            <w:tcW w:w="585" w:type="pct"/>
            <w:vAlign w:val="center"/>
          </w:tcPr>
          <w:p w14:paraId="544C79CD" w14:textId="71D12704" w:rsidR="000566AF" w:rsidRPr="00F95CB9" w:rsidRDefault="000566AF" w:rsidP="000566AF">
            <w:pPr>
              <w:autoSpaceDE w:val="0"/>
              <w:autoSpaceDN w:val="0"/>
              <w:jc w:val="center"/>
              <w:textAlignment w:val="baseline"/>
              <w:rPr>
                <w:snapToGrid w:val="0"/>
                <w:color w:val="000000"/>
              </w:rPr>
            </w:pPr>
            <w:r>
              <w:rPr>
                <w:rFonts w:hint="eastAsia"/>
                <w:snapToGrid w:val="0"/>
                <w:color w:val="000000"/>
              </w:rPr>
              <w:t>监测井</w:t>
            </w:r>
          </w:p>
        </w:tc>
        <w:tc>
          <w:tcPr>
            <w:tcW w:w="585" w:type="pct"/>
            <w:tcBorders>
              <w:left w:val="single" w:sz="4" w:space="0" w:color="auto"/>
              <w:right w:val="single" w:sz="4" w:space="0" w:color="auto"/>
            </w:tcBorders>
            <w:vAlign w:val="center"/>
          </w:tcPr>
          <w:p w14:paraId="59144BC2" w14:textId="0AC50A04" w:rsidR="000566AF" w:rsidRPr="00F95CB9" w:rsidRDefault="000566AF" w:rsidP="000566AF">
            <w:pPr>
              <w:autoSpaceDE w:val="0"/>
              <w:autoSpaceDN w:val="0"/>
              <w:jc w:val="center"/>
              <w:textAlignment w:val="baseline"/>
              <w:rPr>
                <w:snapToGrid w:val="0"/>
                <w:color w:val="000000"/>
              </w:rPr>
            </w:pPr>
            <w:r>
              <w:rPr>
                <w:rFonts w:hint="eastAsia"/>
                <w:snapToGrid w:val="0"/>
                <w:color w:val="000000"/>
              </w:rPr>
              <w:t>承压水</w:t>
            </w:r>
          </w:p>
        </w:tc>
        <w:tc>
          <w:tcPr>
            <w:tcW w:w="585" w:type="pct"/>
            <w:vMerge/>
            <w:vAlign w:val="center"/>
          </w:tcPr>
          <w:p w14:paraId="58BCB727" w14:textId="77777777" w:rsidR="000566AF" w:rsidRPr="00F95CB9" w:rsidRDefault="000566AF" w:rsidP="000566AF">
            <w:pPr>
              <w:autoSpaceDE w:val="0"/>
              <w:autoSpaceDN w:val="0"/>
              <w:jc w:val="center"/>
              <w:textAlignment w:val="baseline"/>
              <w:rPr>
                <w:snapToGrid w:val="0"/>
                <w:color w:val="000000"/>
              </w:rPr>
            </w:pPr>
          </w:p>
        </w:tc>
      </w:tr>
      <w:tr w:rsidR="000566AF" w:rsidRPr="00F95CB9" w14:paraId="0EAE58DC" w14:textId="5ACB29C9" w:rsidTr="000566AF">
        <w:trPr>
          <w:cantSplit/>
          <w:trHeight w:val="507"/>
          <w:jc w:val="center"/>
        </w:trPr>
        <w:tc>
          <w:tcPr>
            <w:tcW w:w="328" w:type="pct"/>
            <w:vAlign w:val="center"/>
          </w:tcPr>
          <w:p w14:paraId="17050D6F" w14:textId="77777777" w:rsidR="000566AF" w:rsidRPr="00F95CB9" w:rsidRDefault="000566AF" w:rsidP="000566AF">
            <w:pPr>
              <w:autoSpaceDE w:val="0"/>
              <w:autoSpaceDN w:val="0"/>
              <w:jc w:val="center"/>
              <w:textAlignment w:val="baseline"/>
              <w:rPr>
                <w:snapToGrid w:val="0"/>
                <w:color w:val="000000"/>
              </w:rPr>
            </w:pPr>
            <w:r w:rsidRPr="00F95CB9">
              <w:rPr>
                <w:snapToGrid w:val="0"/>
                <w:color w:val="000000"/>
              </w:rPr>
              <w:t>D8</w:t>
            </w:r>
          </w:p>
        </w:tc>
        <w:tc>
          <w:tcPr>
            <w:tcW w:w="940" w:type="pct"/>
            <w:vAlign w:val="center"/>
          </w:tcPr>
          <w:p w14:paraId="37E109DB" w14:textId="77777777" w:rsidR="000566AF" w:rsidRPr="00F95CB9" w:rsidRDefault="000566AF" w:rsidP="000566AF">
            <w:pPr>
              <w:autoSpaceDE w:val="0"/>
              <w:autoSpaceDN w:val="0"/>
              <w:jc w:val="center"/>
              <w:textAlignment w:val="baseline"/>
              <w:rPr>
                <w:snapToGrid w:val="0"/>
                <w:color w:val="000000"/>
              </w:rPr>
            </w:pPr>
            <w:r w:rsidRPr="00F95CB9">
              <w:rPr>
                <w:snapToGrid w:val="0"/>
                <w:color w:val="000000"/>
              </w:rPr>
              <w:t>地下水监测井</w:t>
            </w:r>
            <w:r w:rsidRPr="00F95CB9">
              <w:rPr>
                <w:snapToGrid w:val="0"/>
                <w:color w:val="000000"/>
              </w:rPr>
              <w:t>1</w:t>
            </w:r>
          </w:p>
        </w:tc>
        <w:tc>
          <w:tcPr>
            <w:tcW w:w="806" w:type="pct"/>
            <w:tcBorders>
              <w:right w:val="single" w:sz="4" w:space="0" w:color="auto"/>
            </w:tcBorders>
            <w:vAlign w:val="center"/>
          </w:tcPr>
          <w:p w14:paraId="4F43E8AE" w14:textId="74F93112" w:rsidR="000566AF" w:rsidRPr="00F95CB9" w:rsidRDefault="000566AF" w:rsidP="000566AF">
            <w:pPr>
              <w:autoSpaceDE w:val="0"/>
              <w:autoSpaceDN w:val="0"/>
              <w:jc w:val="center"/>
              <w:textAlignment w:val="baseline"/>
              <w:rPr>
                <w:snapToGrid w:val="0"/>
                <w:color w:val="000000"/>
              </w:rPr>
            </w:pPr>
            <w:r w:rsidRPr="00F95CB9">
              <w:rPr>
                <w:snapToGrid w:val="0"/>
                <w:color w:val="000000"/>
              </w:rPr>
              <w:t>124.982829</w:t>
            </w:r>
            <w:r>
              <w:rPr>
                <w:rFonts w:hint="eastAsia"/>
                <w:snapToGrid w:val="0"/>
                <w:color w:val="000000"/>
              </w:rPr>
              <w:t>，</w:t>
            </w:r>
            <w:r w:rsidRPr="00F95CB9">
              <w:rPr>
                <w:snapToGrid w:val="0"/>
                <w:color w:val="000000"/>
              </w:rPr>
              <w:t>46.436666</w:t>
            </w:r>
          </w:p>
        </w:tc>
        <w:tc>
          <w:tcPr>
            <w:tcW w:w="491" w:type="pct"/>
            <w:tcBorders>
              <w:left w:val="single" w:sz="4" w:space="0" w:color="auto"/>
              <w:right w:val="single" w:sz="4" w:space="0" w:color="auto"/>
            </w:tcBorders>
            <w:vAlign w:val="center"/>
          </w:tcPr>
          <w:p w14:paraId="7B42380B" w14:textId="77777777" w:rsidR="000566AF" w:rsidRPr="00F95CB9" w:rsidRDefault="000566AF" w:rsidP="000566AF">
            <w:pPr>
              <w:autoSpaceDE w:val="0"/>
              <w:autoSpaceDN w:val="0"/>
              <w:jc w:val="center"/>
              <w:textAlignment w:val="baseline"/>
              <w:rPr>
                <w:snapToGrid w:val="0"/>
                <w:color w:val="000000"/>
              </w:rPr>
            </w:pPr>
            <w:r w:rsidRPr="00F95CB9">
              <w:rPr>
                <w:rFonts w:hint="eastAsia"/>
                <w:snapToGrid w:val="0"/>
                <w:color w:val="000000"/>
              </w:rPr>
              <w:t>15</w:t>
            </w:r>
          </w:p>
        </w:tc>
        <w:tc>
          <w:tcPr>
            <w:tcW w:w="680" w:type="pct"/>
            <w:tcBorders>
              <w:left w:val="single" w:sz="4" w:space="0" w:color="auto"/>
              <w:right w:val="single" w:sz="4" w:space="0" w:color="auto"/>
            </w:tcBorders>
            <w:vAlign w:val="center"/>
          </w:tcPr>
          <w:p w14:paraId="1E2B4C68" w14:textId="56F75665" w:rsidR="000566AF" w:rsidRPr="000566AF" w:rsidRDefault="000566AF" w:rsidP="000566AF">
            <w:pPr>
              <w:autoSpaceDE w:val="0"/>
              <w:autoSpaceDN w:val="0"/>
              <w:jc w:val="center"/>
              <w:textAlignment w:val="baseline"/>
              <w:rPr>
                <w:snapToGrid w:val="0"/>
              </w:rPr>
            </w:pPr>
            <w:r w:rsidRPr="000566AF">
              <w:t>138.2</w:t>
            </w:r>
          </w:p>
        </w:tc>
        <w:tc>
          <w:tcPr>
            <w:tcW w:w="585" w:type="pct"/>
            <w:vAlign w:val="center"/>
          </w:tcPr>
          <w:p w14:paraId="614BB374" w14:textId="1FFF5820" w:rsidR="000566AF" w:rsidRPr="00F95CB9" w:rsidRDefault="000566AF" w:rsidP="000566AF">
            <w:pPr>
              <w:autoSpaceDE w:val="0"/>
              <w:autoSpaceDN w:val="0"/>
              <w:jc w:val="center"/>
              <w:textAlignment w:val="baseline"/>
              <w:rPr>
                <w:snapToGrid w:val="0"/>
                <w:color w:val="000000"/>
              </w:rPr>
            </w:pPr>
            <w:r>
              <w:rPr>
                <w:rFonts w:hint="eastAsia"/>
                <w:snapToGrid w:val="0"/>
                <w:color w:val="000000"/>
              </w:rPr>
              <w:t>监测井</w:t>
            </w:r>
          </w:p>
        </w:tc>
        <w:tc>
          <w:tcPr>
            <w:tcW w:w="585" w:type="pct"/>
            <w:tcBorders>
              <w:left w:val="single" w:sz="4" w:space="0" w:color="auto"/>
              <w:right w:val="single" w:sz="4" w:space="0" w:color="auto"/>
            </w:tcBorders>
            <w:vAlign w:val="center"/>
          </w:tcPr>
          <w:p w14:paraId="366D0039" w14:textId="06F48C63" w:rsidR="000566AF" w:rsidRPr="00F95CB9" w:rsidRDefault="000566AF" w:rsidP="000566AF">
            <w:pPr>
              <w:autoSpaceDE w:val="0"/>
              <w:autoSpaceDN w:val="0"/>
              <w:jc w:val="center"/>
              <w:textAlignment w:val="baseline"/>
              <w:rPr>
                <w:snapToGrid w:val="0"/>
                <w:color w:val="000000"/>
              </w:rPr>
            </w:pPr>
            <w:r>
              <w:rPr>
                <w:rFonts w:hint="eastAsia"/>
                <w:snapToGrid w:val="0"/>
                <w:color w:val="000000"/>
              </w:rPr>
              <w:t>潜水</w:t>
            </w:r>
          </w:p>
        </w:tc>
        <w:tc>
          <w:tcPr>
            <w:tcW w:w="585" w:type="pct"/>
            <w:vMerge w:val="restart"/>
            <w:vAlign w:val="center"/>
          </w:tcPr>
          <w:p w14:paraId="3F0EDCF6" w14:textId="5AB069A7" w:rsidR="000566AF" w:rsidRPr="00F95CB9" w:rsidRDefault="000566AF" w:rsidP="000566AF">
            <w:pPr>
              <w:autoSpaceDE w:val="0"/>
              <w:autoSpaceDN w:val="0"/>
              <w:jc w:val="center"/>
              <w:textAlignment w:val="baseline"/>
              <w:rPr>
                <w:snapToGrid w:val="0"/>
                <w:color w:val="000000"/>
              </w:rPr>
            </w:pPr>
            <w:r>
              <w:rPr>
                <w:rFonts w:hint="eastAsia"/>
                <w:snapToGrid w:val="0"/>
                <w:color w:val="000000"/>
              </w:rPr>
              <w:t>水位</w:t>
            </w:r>
          </w:p>
        </w:tc>
      </w:tr>
      <w:tr w:rsidR="000566AF" w:rsidRPr="00F95CB9" w14:paraId="18A381D3" w14:textId="383F9425" w:rsidTr="000566AF">
        <w:trPr>
          <w:cantSplit/>
          <w:trHeight w:val="507"/>
          <w:jc w:val="center"/>
        </w:trPr>
        <w:tc>
          <w:tcPr>
            <w:tcW w:w="328" w:type="pct"/>
            <w:vAlign w:val="center"/>
          </w:tcPr>
          <w:p w14:paraId="5193B4B5" w14:textId="77777777" w:rsidR="000566AF" w:rsidRPr="00F95CB9" w:rsidRDefault="000566AF" w:rsidP="000566AF">
            <w:pPr>
              <w:autoSpaceDE w:val="0"/>
              <w:autoSpaceDN w:val="0"/>
              <w:jc w:val="center"/>
              <w:textAlignment w:val="baseline"/>
              <w:rPr>
                <w:snapToGrid w:val="0"/>
                <w:color w:val="000000"/>
              </w:rPr>
            </w:pPr>
            <w:r w:rsidRPr="00F95CB9">
              <w:rPr>
                <w:snapToGrid w:val="0"/>
                <w:color w:val="000000"/>
              </w:rPr>
              <w:t>D9</w:t>
            </w:r>
          </w:p>
        </w:tc>
        <w:tc>
          <w:tcPr>
            <w:tcW w:w="940" w:type="pct"/>
            <w:vAlign w:val="center"/>
          </w:tcPr>
          <w:p w14:paraId="2A8853DB" w14:textId="77777777" w:rsidR="000566AF" w:rsidRPr="00F95CB9" w:rsidRDefault="000566AF" w:rsidP="000566AF">
            <w:pPr>
              <w:autoSpaceDE w:val="0"/>
              <w:autoSpaceDN w:val="0"/>
              <w:jc w:val="center"/>
              <w:textAlignment w:val="baseline"/>
              <w:rPr>
                <w:snapToGrid w:val="0"/>
                <w:color w:val="000000"/>
              </w:rPr>
            </w:pPr>
            <w:r w:rsidRPr="00F95CB9">
              <w:rPr>
                <w:snapToGrid w:val="0"/>
                <w:color w:val="000000"/>
              </w:rPr>
              <w:t>地下水监测井</w:t>
            </w:r>
            <w:r w:rsidRPr="00F95CB9">
              <w:rPr>
                <w:snapToGrid w:val="0"/>
                <w:color w:val="000000"/>
              </w:rPr>
              <w:t>2</w:t>
            </w:r>
          </w:p>
        </w:tc>
        <w:tc>
          <w:tcPr>
            <w:tcW w:w="806" w:type="pct"/>
            <w:tcBorders>
              <w:right w:val="single" w:sz="4" w:space="0" w:color="auto"/>
            </w:tcBorders>
            <w:vAlign w:val="center"/>
          </w:tcPr>
          <w:p w14:paraId="4B05B2B4" w14:textId="21EFC6DD" w:rsidR="000566AF" w:rsidRPr="00F95CB9" w:rsidRDefault="000566AF" w:rsidP="000566AF">
            <w:pPr>
              <w:autoSpaceDE w:val="0"/>
              <w:autoSpaceDN w:val="0"/>
              <w:jc w:val="center"/>
              <w:textAlignment w:val="baseline"/>
              <w:rPr>
                <w:snapToGrid w:val="0"/>
                <w:color w:val="000000"/>
              </w:rPr>
            </w:pPr>
            <w:r w:rsidRPr="00F95CB9">
              <w:rPr>
                <w:snapToGrid w:val="0"/>
                <w:color w:val="000000"/>
              </w:rPr>
              <w:t>124.984406</w:t>
            </w:r>
            <w:r>
              <w:rPr>
                <w:rFonts w:hint="eastAsia"/>
                <w:snapToGrid w:val="0"/>
                <w:color w:val="000000"/>
              </w:rPr>
              <w:t>，</w:t>
            </w:r>
            <w:r w:rsidRPr="00F95CB9">
              <w:rPr>
                <w:snapToGrid w:val="0"/>
                <w:color w:val="000000"/>
              </w:rPr>
              <w:t>46.433854</w:t>
            </w:r>
          </w:p>
        </w:tc>
        <w:tc>
          <w:tcPr>
            <w:tcW w:w="491" w:type="pct"/>
            <w:tcBorders>
              <w:left w:val="single" w:sz="4" w:space="0" w:color="auto"/>
              <w:right w:val="single" w:sz="4" w:space="0" w:color="auto"/>
            </w:tcBorders>
            <w:vAlign w:val="center"/>
          </w:tcPr>
          <w:p w14:paraId="34A57B6F" w14:textId="77777777" w:rsidR="000566AF" w:rsidRPr="00F95CB9" w:rsidRDefault="000566AF" w:rsidP="000566AF">
            <w:pPr>
              <w:autoSpaceDE w:val="0"/>
              <w:autoSpaceDN w:val="0"/>
              <w:jc w:val="center"/>
              <w:textAlignment w:val="baseline"/>
              <w:rPr>
                <w:snapToGrid w:val="0"/>
                <w:color w:val="000000"/>
              </w:rPr>
            </w:pPr>
            <w:r w:rsidRPr="00F95CB9">
              <w:rPr>
                <w:rFonts w:hint="eastAsia"/>
                <w:snapToGrid w:val="0"/>
                <w:color w:val="000000"/>
              </w:rPr>
              <w:t>15</w:t>
            </w:r>
          </w:p>
        </w:tc>
        <w:tc>
          <w:tcPr>
            <w:tcW w:w="680" w:type="pct"/>
            <w:tcBorders>
              <w:left w:val="single" w:sz="4" w:space="0" w:color="auto"/>
              <w:right w:val="single" w:sz="4" w:space="0" w:color="auto"/>
            </w:tcBorders>
            <w:vAlign w:val="center"/>
          </w:tcPr>
          <w:p w14:paraId="038CF84C" w14:textId="69BA3522" w:rsidR="000566AF" w:rsidRPr="000566AF" w:rsidRDefault="000566AF" w:rsidP="000566AF">
            <w:pPr>
              <w:autoSpaceDE w:val="0"/>
              <w:autoSpaceDN w:val="0"/>
              <w:jc w:val="center"/>
              <w:textAlignment w:val="baseline"/>
              <w:rPr>
                <w:snapToGrid w:val="0"/>
              </w:rPr>
            </w:pPr>
            <w:r w:rsidRPr="000566AF">
              <w:t>138.2</w:t>
            </w:r>
          </w:p>
        </w:tc>
        <w:tc>
          <w:tcPr>
            <w:tcW w:w="585" w:type="pct"/>
            <w:vAlign w:val="center"/>
          </w:tcPr>
          <w:p w14:paraId="47A01C2E" w14:textId="21E49141" w:rsidR="000566AF" w:rsidRPr="00F95CB9" w:rsidRDefault="000566AF" w:rsidP="000566AF">
            <w:pPr>
              <w:autoSpaceDE w:val="0"/>
              <w:autoSpaceDN w:val="0"/>
              <w:jc w:val="center"/>
              <w:textAlignment w:val="baseline"/>
              <w:rPr>
                <w:snapToGrid w:val="0"/>
                <w:color w:val="000000"/>
              </w:rPr>
            </w:pPr>
            <w:r>
              <w:rPr>
                <w:rFonts w:hint="eastAsia"/>
                <w:snapToGrid w:val="0"/>
                <w:color w:val="000000"/>
              </w:rPr>
              <w:t>监测井</w:t>
            </w:r>
          </w:p>
        </w:tc>
        <w:tc>
          <w:tcPr>
            <w:tcW w:w="585" w:type="pct"/>
            <w:tcBorders>
              <w:left w:val="single" w:sz="4" w:space="0" w:color="auto"/>
              <w:right w:val="single" w:sz="4" w:space="0" w:color="auto"/>
            </w:tcBorders>
            <w:vAlign w:val="center"/>
          </w:tcPr>
          <w:p w14:paraId="4B7D1535" w14:textId="021CD758" w:rsidR="000566AF" w:rsidRPr="00F95CB9" w:rsidRDefault="000566AF" w:rsidP="000566AF">
            <w:pPr>
              <w:autoSpaceDE w:val="0"/>
              <w:autoSpaceDN w:val="0"/>
              <w:jc w:val="center"/>
              <w:textAlignment w:val="baseline"/>
              <w:rPr>
                <w:snapToGrid w:val="0"/>
                <w:color w:val="000000"/>
              </w:rPr>
            </w:pPr>
            <w:r>
              <w:rPr>
                <w:rFonts w:hint="eastAsia"/>
                <w:snapToGrid w:val="0"/>
                <w:color w:val="000000"/>
              </w:rPr>
              <w:t>潜水</w:t>
            </w:r>
          </w:p>
        </w:tc>
        <w:tc>
          <w:tcPr>
            <w:tcW w:w="585" w:type="pct"/>
            <w:vMerge/>
            <w:vAlign w:val="center"/>
          </w:tcPr>
          <w:p w14:paraId="7A2333EB" w14:textId="77777777" w:rsidR="000566AF" w:rsidRPr="00F95CB9" w:rsidRDefault="000566AF" w:rsidP="000566AF">
            <w:pPr>
              <w:autoSpaceDE w:val="0"/>
              <w:autoSpaceDN w:val="0"/>
              <w:jc w:val="center"/>
              <w:textAlignment w:val="baseline"/>
              <w:rPr>
                <w:snapToGrid w:val="0"/>
                <w:color w:val="000000"/>
              </w:rPr>
            </w:pPr>
          </w:p>
        </w:tc>
      </w:tr>
      <w:tr w:rsidR="000566AF" w:rsidRPr="00F95CB9" w14:paraId="1198A341" w14:textId="338BAE77" w:rsidTr="000566AF">
        <w:trPr>
          <w:cantSplit/>
          <w:trHeight w:val="507"/>
          <w:jc w:val="center"/>
        </w:trPr>
        <w:tc>
          <w:tcPr>
            <w:tcW w:w="328" w:type="pct"/>
            <w:vAlign w:val="center"/>
          </w:tcPr>
          <w:p w14:paraId="53B840E3" w14:textId="77777777" w:rsidR="000566AF" w:rsidRPr="00F95CB9" w:rsidRDefault="000566AF" w:rsidP="000566AF">
            <w:pPr>
              <w:autoSpaceDE w:val="0"/>
              <w:autoSpaceDN w:val="0"/>
              <w:jc w:val="center"/>
              <w:textAlignment w:val="baseline"/>
              <w:rPr>
                <w:snapToGrid w:val="0"/>
                <w:color w:val="000000"/>
              </w:rPr>
            </w:pPr>
            <w:r w:rsidRPr="00F95CB9">
              <w:rPr>
                <w:snapToGrid w:val="0"/>
                <w:color w:val="000000"/>
              </w:rPr>
              <w:t>D10</w:t>
            </w:r>
          </w:p>
        </w:tc>
        <w:tc>
          <w:tcPr>
            <w:tcW w:w="940" w:type="pct"/>
            <w:vAlign w:val="center"/>
          </w:tcPr>
          <w:p w14:paraId="5E9E1802" w14:textId="77777777" w:rsidR="000566AF" w:rsidRPr="00F95CB9" w:rsidRDefault="000566AF" w:rsidP="000566AF">
            <w:pPr>
              <w:autoSpaceDE w:val="0"/>
              <w:autoSpaceDN w:val="0"/>
              <w:jc w:val="center"/>
              <w:textAlignment w:val="baseline"/>
              <w:rPr>
                <w:snapToGrid w:val="0"/>
                <w:color w:val="000000"/>
              </w:rPr>
            </w:pPr>
            <w:r w:rsidRPr="00F95CB9">
              <w:rPr>
                <w:snapToGrid w:val="0"/>
                <w:color w:val="000000"/>
              </w:rPr>
              <w:t>地下水监测井</w:t>
            </w:r>
            <w:r w:rsidRPr="00F95CB9">
              <w:rPr>
                <w:snapToGrid w:val="0"/>
                <w:color w:val="000000"/>
              </w:rPr>
              <w:t>3</w:t>
            </w:r>
          </w:p>
        </w:tc>
        <w:tc>
          <w:tcPr>
            <w:tcW w:w="806" w:type="pct"/>
            <w:tcBorders>
              <w:right w:val="single" w:sz="4" w:space="0" w:color="auto"/>
            </w:tcBorders>
            <w:vAlign w:val="center"/>
          </w:tcPr>
          <w:p w14:paraId="720BF2DE" w14:textId="2C53CCDE" w:rsidR="000566AF" w:rsidRPr="00F95CB9" w:rsidRDefault="000566AF" w:rsidP="000566AF">
            <w:pPr>
              <w:autoSpaceDE w:val="0"/>
              <w:autoSpaceDN w:val="0"/>
              <w:jc w:val="center"/>
              <w:textAlignment w:val="baseline"/>
              <w:rPr>
                <w:snapToGrid w:val="0"/>
                <w:color w:val="000000"/>
              </w:rPr>
            </w:pPr>
            <w:r w:rsidRPr="00F95CB9">
              <w:rPr>
                <w:snapToGrid w:val="0"/>
                <w:color w:val="000000"/>
              </w:rPr>
              <w:t>124.984945</w:t>
            </w:r>
            <w:r>
              <w:rPr>
                <w:rFonts w:hint="eastAsia"/>
                <w:snapToGrid w:val="0"/>
                <w:color w:val="000000"/>
              </w:rPr>
              <w:t>，</w:t>
            </w:r>
            <w:r w:rsidRPr="00F95CB9">
              <w:rPr>
                <w:snapToGrid w:val="0"/>
                <w:color w:val="000000"/>
              </w:rPr>
              <w:t>46.432947</w:t>
            </w:r>
          </w:p>
        </w:tc>
        <w:tc>
          <w:tcPr>
            <w:tcW w:w="491" w:type="pct"/>
            <w:tcBorders>
              <w:left w:val="single" w:sz="4" w:space="0" w:color="auto"/>
              <w:right w:val="single" w:sz="4" w:space="0" w:color="auto"/>
            </w:tcBorders>
            <w:vAlign w:val="center"/>
          </w:tcPr>
          <w:p w14:paraId="4F712F4D" w14:textId="77777777" w:rsidR="000566AF" w:rsidRPr="00F95CB9" w:rsidRDefault="000566AF" w:rsidP="000566AF">
            <w:pPr>
              <w:autoSpaceDE w:val="0"/>
              <w:autoSpaceDN w:val="0"/>
              <w:jc w:val="center"/>
              <w:textAlignment w:val="baseline"/>
              <w:rPr>
                <w:snapToGrid w:val="0"/>
                <w:color w:val="000000"/>
              </w:rPr>
            </w:pPr>
            <w:r w:rsidRPr="00F95CB9">
              <w:rPr>
                <w:rFonts w:hint="eastAsia"/>
                <w:snapToGrid w:val="0"/>
                <w:color w:val="000000"/>
              </w:rPr>
              <w:t>15</w:t>
            </w:r>
          </w:p>
        </w:tc>
        <w:tc>
          <w:tcPr>
            <w:tcW w:w="680" w:type="pct"/>
            <w:tcBorders>
              <w:left w:val="single" w:sz="4" w:space="0" w:color="auto"/>
              <w:right w:val="single" w:sz="4" w:space="0" w:color="auto"/>
            </w:tcBorders>
            <w:vAlign w:val="center"/>
          </w:tcPr>
          <w:p w14:paraId="6B62EC44" w14:textId="27954E64" w:rsidR="000566AF" w:rsidRPr="000566AF" w:rsidRDefault="000566AF" w:rsidP="000566AF">
            <w:pPr>
              <w:autoSpaceDE w:val="0"/>
              <w:autoSpaceDN w:val="0"/>
              <w:jc w:val="center"/>
              <w:textAlignment w:val="baseline"/>
              <w:rPr>
                <w:snapToGrid w:val="0"/>
              </w:rPr>
            </w:pPr>
            <w:r w:rsidRPr="000566AF">
              <w:t>138.2</w:t>
            </w:r>
          </w:p>
        </w:tc>
        <w:tc>
          <w:tcPr>
            <w:tcW w:w="585" w:type="pct"/>
            <w:vAlign w:val="center"/>
          </w:tcPr>
          <w:p w14:paraId="378A5660" w14:textId="58A524FB" w:rsidR="000566AF" w:rsidRPr="00F95CB9" w:rsidRDefault="000566AF" w:rsidP="000566AF">
            <w:pPr>
              <w:autoSpaceDE w:val="0"/>
              <w:autoSpaceDN w:val="0"/>
              <w:jc w:val="center"/>
              <w:textAlignment w:val="baseline"/>
              <w:rPr>
                <w:snapToGrid w:val="0"/>
                <w:color w:val="000000"/>
              </w:rPr>
            </w:pPr>
            <w:r>
              <w:rPr>
                <w:rFonts w:hint="eastAsia"/>
                <w:snapToGrid w:val="0"/>
                <w:color w:val="000000"/>
              </w:rPr>
              <w:t>监测井</w:t>
            </w:r>
          </w:p>
        </w:tc>
        <w:tc>
          <w:tcPr>
            <w:tcW w:w="585" w:type="pct"/>
            <w:tcBorders>
              <w:left w:val="single" w:sz="4" w:space="0" w:color="auto"/>
              <w:right w:val="single" w:sz="4" w:space="0" w:color="auto"/>
            </w:tcBorders>
            <w:vAlign w:val="center"/>
          </w:tcPr>
          <w:p w14:paraId="4430722B" w14:textId="280A27EB" w:rsidR="000566AF" w:rsidRPr="00F95CB9" w:rsidRDefault="000566AF" w:rsidP="000566AF">
            <w:pPr>
              <w:autoSpaceDE w:val="0"/>
              <w:autoSpaceDN w:val="0"/>
              <w:jc w:val="center"/>
              <w:textAlignment w:val="baseline"/>
              <w:rPr>
                <w:snapToGrid w:val="0"/>
                <w:color w:val="000000"/>
              </w:rPr>
            </w:pPr>
            <w:r>
              <w:rPr>
                <w:rFonts w:hint="eastAsia"/>
                <w:snapToGrid w:val="0"/>
                <w:color w:val="000000"/>
              </w:rPr>
              <w:t>潜水</w:t>
            </w:r>
          </w:p>
        </w:tc>
        <w:tc>
          <w:tcPr>
            <w:tcW w:w="585" w:type="pct"/>
            <w:vMerge/>
            <w:vAlign w:val="center"/>
          </w:tcPr>
          <w:p w14:paraId="10B0DAE2" w14:textId="77777777" w:rsidR="000566AF" w:rsidRPr="00F95CB9" w:rsidRDefault="000566AF" w:rsidP="000566AF">
            <w:pPr>
              <w:autoSpaceDE w:val="0"/>
              <w:autoSpaceDN w:val="0"/>
              <w:jc w:val="center"/>
              <w:textAlignment w:val="baseline"/>
              <w:rPr>
                <w:snapToGrid w:val="0"/>
                <w:color w:val="000000"/>
              </w:rPr>
            </w:pPr>
          </w:p>
        </w:tc>
      </w:tr>
      <w:tr w:rsidR="000566AF" w:rsidRPr="00F95CB9" w14:paraId="70C83B3C" w14:textId="6BC9C6CC" w:rsidTr="000566AF">
        <w:trPr>
          <w:cantSplit/>
          <w:trHeight w:val="507"/>
          <w:jc w:val="center"/>
        </w:trPr>
        <w:tc>
          <w:tcPr>
            <w:tcW w:w="328" w:type="pct"/>
            <w:vAlign w:val="center"/>
          </w:tcPr>
          <w:p w14:paraId="27BBC0F8" w14:textId="77777777" w:rsidR="000566AF" w:rsidRPr="00F95CB9" w:rsidRDefault="000566AF" w:rsidP="000566AF">
            <w:pPr>
              <w:autoSpaceDE w:val="0"/>
              <w:autoSpaceDN w:val="0"/>
              <w:jc w:val="center"/>
              <w:textAlignment w:val="baseline"/>
              <w:rPr>
                <w:snapToGrid w:val="0"/>
                <w:color w:val="000000"/>
              </w:rPr>
            </w:pPr>
            <w:r w:rsidRPr="00F95CB9">
              <w:rPr>
                <w:snapToGrid w:val="0"/>
                <w:color w:val="000000"/>
              </w:rPr>
              <w:t>D11</w:t>
            </w:r>
          </w:p>
        </w:tc>
        <w:tc>
          <w:tcPr>
            <w:tcW w:w="940" w:type="pct"/>
            <w:vAlign w:val="center"/>
          </w:tcPr>
          <w:p w14:paraId="68E6A117" w14:textId="77777777" w:rsidR="000566AF" w:rsidRPr="00F95CB9" w:rsidRDefault="000566AF" w:rsidP="000566AF">
            <w:pPr>
              <w:autoSpaceDE w:val="0"/>
              <w:autoSpaceDN w:val="0"/>
              <w:jc w:val="center"/>
              <w:textAlignment w:val="baseline"/>
              <w:rPr>
                <w:snapToGrid w:val="0"/>
                <w:color w:val="000000"/>
              </w:rPr>
            </w:pPr>
            <w:r w:rsidRPr="00F95CB9">
              <w:rPr>
                <w:snapToGrid w:val="0"/>
                <w:color w:val="000000"/>
              </w:rPr>
              <w:t>前进村承压井</w:t>
            </w:r>
          </w:p>
        </w:tc>
        <w:tc>
          <w:tcPr>
            <w:tcW w:w="806" w:type="pct"/>
            <w:tcBorders>
              <w:right w:val="single" w:sz="4" w:space="0" w:color="auto"/>
            </w:tcBorders>
            <w:vAlign w:val="center"/>
          </w:tcPr>
          <w:p w14:paraId="72BED5A1" w14:textId="2F93E36D" w:rsidR="000566AF" w:rsidRPr="00F95CB9" w:rsidRDefault="000566AF" w:rsidP="000566AF">
            <w:pPr>
              <w:autoSpaceDE w:val="0"/>
              <w:autoSpaceDN w:val="0"/>
              <w:jc w:val="center"/>
              <w:textAlignment w:val="baseline"/>
              <w:rPr>
                <w:snapToGrid w:val="0"/>
                <w:color w:val="000000"/>
              </w:rPr>
            </w:pPr>
            <w:r w:rsidRPr="00F95CB9">
              <w:rPr>
                <w:snapToGrid w:val="0"/>
                <w:color w:val="000000"/>
              </w:rPr>
              <w:t>125.003428</w:t>
            </w:r>
            <w:r>
              <w:rPr>
                <w:rFonts w:hint="eastAsia"/>
                <w:snapToGrid w:val="0"/>
                <w:color w:val="000000"/>
              </w:rPr>
              <w:t>，</w:t>
            </w:r>
            <w:r w:rsidRPr="00F95CB9">
              <w:rPr>
                <w:snapToGrid w:val="0"/>
                <w:color w:val="000000"/>
              </w:rPr>
              <w:t>46.415612</w:t>
            </w:r>
          </w:p>
        </w:tc>
        <w:tc>
          <w:tcPr>
            <w:tcW w:w="491" w:type="pct"/>
            <w:tcBorders>
              <w:left w:val="single" w:sz="4" w:space="0" w:color="auto"/>
              <w:right w:val="single" w:sz="4" w:space="0" w:color="auto"/>
            </w:tcBorders>
            <w:vAlign w:val="center"/>
          </w:tcPr>
          <w:p w14:paraId="1E167F5F" w14:textId="77777777" w:rsidR="000566AF" w:rsidRPr="00F95CB9" w:rsidRDefault="000566AF" w:rsidP="000566AF">
            <w:pPr>
              <w:autoSpaceDE w:val="0"/>
              <w:autoSpaceDN w:val="0"/>
              <w:jc w:val="center"/>
              <w:textAlignment w:val="baseline"/>
              <w:rPr>
                <w:snapToGrid w:val="0"/>
                <w:color w:val="000000"/>
              </w:rPr>
            </w:pPr>
            <w:r w:rsidRPr="00F95CB9">
              <w:rPr>
                <w:snapToGrid w:val="0"/>
                <w:color w:val="000000"/>
              </w:rPr>
              <w:t>75</w:t>
            </w:r>
          </w:p>
        </w:tc>
        <w:tc>
          <w:tcPr>
            <w:tcW w:w="680" w:type="pct"/>
            <w:tcBorders>
              <w:left w:val="single" w:sz="4" w:space="0" w:color="auto"/>
              <w:right w:val="single" w:sz="4" w:space="0" w:color="auto"/>
            </w:tcBorders>
            <w:vAlign w:val="center"/>
          </w:tcPr>
          <w:p w14:paraId="4CD1FE00" w14:textId="25ED2187" w:rsidR="000566AF" w:rsidRPr="000566AF" w:rsidRDefault="000566AF" w:rsidP="000566AF">
            <w:pPr>
              <w:autoSpaceDE w:val="0"/>
              <w:autoSpaceDN w:val="0"/>
              <w:jc w:val="center"/>
              <w:textAlignment w:val="baseline"/>
              <w:rPr>
                <w:snapToGrid w:val="0"/>
              </w:rPr>
            </w:pPr>
            <w:r w:rsidRPr="000566AF">
              <w:t>139.7</w:t>
            </w:r>
          </w:p>
        </w:tc>
        <w:tc>
          <w:tcPr>
            <w:tcW w:w="585" w:type="pct"/>
            <w:vAlign w:val="center"/>
          </w:tcPr>
          <w:p w14:paraId="63F9E834" w14:textId="214A9CB5" w:rsidR="000566AF" w:rsidRPr="00F95CB9" w:rsidRDefault="000566AF" w:rsidP="000566AF">
            <w:pPr>
              <w:autoSpaceDE w:val="0"/>
              <w:autoSpaceDN w:val="0"/>
              <w:jc w:val="center"/>
              <w:textAlignment w:val="baseline"/>
              <w:rPr>
                <w:snapToGrid w:val="0"/>
                <w:color w:val="000000"/>
              </w:rPr>
            </w:pPr>
            <w:r>
              <w:rPr>
                <w:rFonts w:hint="eastAsia"/>
                <w:snapToGrid w:val="0"/>
                <w:color w:val="000000"/>
              </w:rPr>
              <w:t>饮用水井</w:t>
            </w:r>
          </w:p>
        </w:tc>
        <w:tc>
          <w:tcPr>
            <w:tcW w:w="585" w:type="pct"/>
            <w:tcBorders>
              <w:left w:val="single" w:sz="4" w:space="0" w:color="auto"/>
              <w:right w:val="single" w:sz="4" w:space="0" w:color="auto"/>
            </w:tcBorders>
            <w:vAlign w:val="center"/>
          </w:tcPr>
          <w:p w14:paraId="602118FB" w14:textId="21C1443D" w:rsidR="000566AF" w:rsidRPr="00F95CB9" w:rsidRDefault="000566AF" w:rsidP="000566AF">
            <w:pPr>
              <w:autoSpaceDE w:val="0"/>
              <w:autoSpaceDN w:val="0"/>
              <w:jc w:val="center"/>
              <w:textAlignment w:val="baseline"/>
              <w:rPr>
                <w:snapToGrid w:val="0"/>
                <w:color w:val="000000"/>
              </w:rPr>
            </w:pPr>
            <w:r>
              <w:rPr>
                <w:rFonts w:hint="eastAsia"/>
                <w:snapToGrid w:val="0"/>
                <w:color w:val="000000"/>
              </w:rPr>
              <w:t>潜水</w:t>
            </w:r>
          </w:p>
        </w:tc>
        <w:tc>
          <w:tcPr>
            <w:tcW w:w="585" w:type="pct"/>
            <w:vMerge/>
            <w:vAlign w:val="center"/>
          </w:tcPr>
          <w:p w14:paraId="36DC70E1" w14:textId="77777777" w:rsidR="000566AF" w:rsidRPr="00F95CB9" w:rsidRDefault="000566AF" w:rsidP="000566AF">
            <w:pPr>
              <w:autoSpaceDE w:val="0"/>
              <w:autoSpaceDN w:val="0"/>
              <w:jc w:val="center"/>
              <w:textAlignment w:val="baseline"/>
              <w:rPr>
                <w:snapToGrid w:val="0"/>
                <w:color w:val="000000"/>
              </w:rPr>
            </w:pPr>
          </w:p>
        </w:tc>
      </w:tr>
      <w:tr w:rsidR="000566AF" w:rsidRPr="00F95CB9" w14:paraId="7089B060" w14:textId="41E32973" w:rsidTr="000566AF">
        <w:trPr>
          <w:cantSplit/>
          <w:trHeight w:val="507"/>
          <w:jc w:val="center"/>
        </w:trPr>
        <w:tc>
          <w:tcPr>
            <w:tcW w:w="328" w:type="pct"/>
            <w:vAlign w:val="center"/>
          </w:tcPr>
          <w:p w14:paraId="4C9555C5" w14:textId="77777777" w:rsidR="000566AF" w:rsidRPr="00F95CB9" w:rsidRDefault="000566AF" w:rsidP="000566AF">
            <w:pPr>
              <w:autoSpaceDE w:val="0"/>
              <w:autoSpaceDN w:val="0"/>
              <w:jc w:val="center"/>
              <w:textAlignment w:val="baseline"/>
              <w:rPr>
                <w:snapToGrid w:val="0"/>
                <w:color w:val="000000"/>
              </w:rPr>
            </w:pPr>
            <w:r w:rsidRPr="00F95CB9">
              <w:rPr>
                <w:snapToGrid w:val="0"/>
                <w:color w:val="000000"/>
              </w:rPr>
              <w:t>D12</w:t>
            </w:r>
          </w:p>
        </w:tc>
        <w:tc>
          <w:tcPr>
            <w:tcW w:w="940" w:type="pct"/>
            <w:vAlign w:val="center"/>
          </w:tcPr>
          <w:p w14:paraId="180852D7" w14:textId="77777777" w:rsidR="000566AF" w:rsidRPr="00F95CB9" w:rsidRDefault="000566AF" w:rsidP="000566AF">
            <w:pPr>
              <w:autoSpaceDE w:val="0"/>
              <w:autoSpaceDN w:val="0"/>
              <w:jc w:val="center"/>
              <w:textAlignment w:val="baseline"/>
              <w:rPr>
                <w:snapToGrid w:val="0"/>
                <w:color w:val="000000"/>
              </w:rPr>
            </w:pPr>
            <w:r w:rsidRPr="00F95CB9">
              <w:rPr>
                <w:snapToGrid w:val="0"/>
                <w:color w:val="000000"/>
              </w:rPr>
              <w:t>潜水井</w:t>
            </w:r>
            <w:r w:rsidRPr="00F95CB9">
              <w:rPr>
                <w:snapToGrid w:val="0"/>
                <w:color w:val="000000"/>
              </w:rPr>
              <w:t>1</w:t>
            </w:r>
          </w:p>
        </w:tc>
        <w:tc>
          <w:tcPr>
            <w:tcW w:w="806" w:type="pct"/>
            <w:tcBorders>
              <w:right w:val="single" w:sz="4" w:space="0" w:color="auto"/>
            </w:tcBorders>
            <w:vAlign w:val="center"/>
          </w:tcPr>
          <w:p w14:paraId="125EC7A4" w14:textId="2BA5FF11" w:rsidR="000566AF" w:rsidRPr="00F95CB9" w:rsidRDefault="000566AF" w:rsidP="000566AF">
            <w:pPr>
              <w:autoSpaceDE w:val="0"/>
              <w:autoSpaceDN w:val="0"/>
              <w:jc w:val="center"/>
              <w:textAlignment w:val="baseline"/>
              <w:rPr>
                <w:snapToGrid w:val="0"/>
                <w:color w:val="000000"/>
              </w:rPr>
            </w:pPr>
            <w:r w:rsidRPr="00F95CB9">
              <w:rPr>
                <w:snapToGrid w:val="0"/>
                <w:color w:val="000000"/>
              </w:rPr>
              <w:t>124.973301</w:t>
            </w:r>
            <w:r>
              <w:rPr>
                <w:rFonts w:hint="eastAsia"/>
                <w:snapToGrid w:val="0"/>
                <w:color w:val="000000"/>
              </w:rPr>
              <w:t>，</w:t>
            </w:r>
            <w:r w:rsidRPr="00F95CB9">
              <w:rPr>
                <w:snapToGrid w:val="0"/>
                <w:color w:val="000000"/>
              </w:rPr>
              <w:t>46.410611</w:t>
            </w:r>
          </w:p>
        </w:tc>
        <w:tc>
          <w:tcPr>
            <w:tcW w:w="491" w:type="pct"/>
            <w:tcBorders>
              <w:left w:val="single" w:sz="4" w:space="0" w:color="auto"/>
              <w:right w:val="single" w:sz="4" w:space="0" w:color="auto"/>
            </w:tcBorders>
            <w:vAlign w:val="center"/>
          </w:tcPr>
          <w:p w14:paraId="591DA7A2" w14:textId="77777777" w:rsidR="000566AF" w:rsidRPr="00F95CB9" w:rsidRDefault="000566AF" w:rsidP="000566AF">
            <w:pPr>
              <w:autoSpaceDE w:val="0"/>
              <w:autoSpaceDN w:val="0"/>
              <w:jc w:val="center"/>
              <w:textAlignment w:val="baseline"/>
              <w:rPr>
                <w:snapToGrid w:val="0"/>
                <w:color w:val="000000"/>
              </w:rPr>
            </w:pPr>
            <w:r w:rsidRPr="00F95CB9">
              <w:rPr>
                <w:snapToGrid w:val="0"/>
                <w:color w:val="000000"/>
              </w:rPr>
              <w:t>10</w:t>
            </w:r>
          </w:p>
        </w:tc>
        <w:tc>
          <w:tcPr>
            <w:tcW w:w="680" w:type="pct"/>
            <w:tcBorders>
              <w:left w:val="single" w:sz="4" w:space="0" w:color="auto"/>
              <w:right w:val="single" w:sz="4" w:space="0" w:color="auto"/>
            </w:tcBorders>
            <w:vAlign w:val="center"/>
          </w:tcPr>
          <w:p w14:paraId="30B10115" w14:textId="152C11A9" w:rsidR="000566AF" w:rsidRPr="000566AF" w:rsidRDefault="000566AF" w:rsidP="000566AF">
            <w:pPr>
              <w:autoSpaceDE w:val="0"/>
              <w:autoSpaceDN w:val="0"/>
              <w:jc w:val="center"/>
              <w:textAlignment w:val="baseline"/>
              <w:rPr>
                <w:snapToGrid w:val="0"/>
              </w:rPr>
            </w:pPr>
            <w:r w:rsidRPr="000566AF">
              <w:t>136.3</w:t>
            </w:r>
          </w:p>
        </w:tc>
        <w:tc>
          <w:tcPr>
            <w:tcW w:w="585" w:type="pct"/>
            <w:vAlign w:val="center"/>
          </w:tcPr>
          <w:p w14:paraId="1F115376" w14:textId="466A866C" w:rsidR="000566AF" w:rsidRPr="00F95CB9" w:rsidRDefault="000566AF" w:rsidP="000566AF">
            <w:pPr>
              <w:autoSpaceDE w:val="0"/>
              <w:autoSpaceDN w:val="0"/>
              <w:jc w:val="center"/>
              <w:textAlignment w:val="baseline"/>
              <w:rPr>
                <w:snapToGrid w:val="0"/>
                <w:color w:val="000000"/>
              </w:rPr>
            </w:pPr>
            <w:r>
              <w:rPr>
                <w:rFonts w:hint="eastAsia"/>
                <w:snapToGrid w:val="0"/>
                <w:color w:val="000000"/>
              </w:rPr>
              <w:t>灌溉井</w:t>
            </w:r>
          </w:p>
        </w:tc>
        <w:tc>
          <w:tcPr>
            <w:tcW w:w="585" w:type="pct"/>
            <w:tcBorders>
              <w:left w:val="single" w:sz="4" w:space="0" w:color="auto"/>
              <w:right w:val="single" w:sz="4" w:space="0" w:color="auto"/>
            </w:tcBorders>
            <w:vAlign w:val="center"/>
          </w:tcPr>
          <w:p w14:paraId="61B4CF83" w14:textId="1BD6DF0E" w:rsidR="000566AF" w:rsidRPr="00F95CB9" w:rsidRDefault="000566AF" w:rsidP="000566AF">
            <w:pPr>
              <w:autoSpaceDE w:val="0"/>
              <w:autoSpaceDN w:val="0"/>
              <w:jc w:val="center"/>
              <w:textAlignment w:val="baseline"/>
              <w:rPr>
                <w:snapToGrid w:val="0"/>
                <w:color w:val="000000"/>
              </w:rPr>
            </w:pPr>
            <w:r>
              <w:rPr>
                <w:rFonts w:hint="eastAsia"/>
                <w:snapToGrid w:val="0"/>
                <w:color w:val="000000"/>
              </w:rPr>
              <w:t>潜水</w:t>
            </w:r>
          </w:p>
        </w:tc>
        <w:tc>
          <w:tcPr>
            <w:tcW w:w="585" w:type="pct"/>
            <w:vMerge/>
            <w:vAlign w:val="center"/>
          </w:tcPr>
          <w:p w14:paraId="42BA0615" w14:textId="77777777" w:rsidR="000566AF" w:rsidRPr="00F95CB9" w:rsidRDefault="000566AF" w:rsidP="000566AF">
            <w:pPr>
              <w:autoSpaceDE w:val="0"/>
              <w:autoSpaceDN w:val="0"/>
              <w:jc w:val="center"/>
              <w:textAlignment w:val="baseline"/>
              <w:rPr>
                <w:snapToGrid w:val="0"/>
                <w:color w:val="000000"/>
              </w:rPr>
            </w:pPr>
          </w:p>
        </w:tc>
      </w:tr>
      <w:tr w:rsidR="000566AF" w:rsidRPr="00F95CB9" w14:paraId="518C4535" w14:textId="75881D48" w:rsidTr="000566AF">
        <w:trPr>
          <w:cantSplit/>
          <w:trHeight w:val="507"/>
          <w:jc w:val="center"/>
        </w:trPr>
        <w:tc>
          <w:tcPr>
            <w:tcW w:w="328" w:type="pct"/>
            <w:vAlign w:val="center"/>
          </w:tcPr>
          <w:p w14:paraId="6D404045" w14:textId="77777777" w:rsidR="000566AF" w:rsidRPr="00F95CB9" w:rsidRDefault="000566AF" w:rsidP="000566AF">
            <w:pPr>
              <w:autoSpaceDE w:val="0"/>
              <w:autoSpaceDN w:val="0"/>
              <w:jc w:val="center"/>
              <w:textAlignment w:val="baseline"/>
              <w:rPr>
                <w:snapToGrid w:val="0"/>
                <w:color w:val="000000"/>
              </w:rPr>
            </w:pPr>
            <w:r w:rsidRPr="00F95CB9">
              <w:rPr>
                <w:snapToGrid w:val="0"/>
                <w:color w:val="000000"/>
              </w:rPr>
              <w:t>D13</w:t>
            </w:r>
          </w:p>
        </w:tc>
        <w:tc>
          <w:tcPr>
            <w:tcW w:w="940" w:type="pct"/>
            <w:vAlign w:val="center"/>
          </w:tcPr>
          <w:p w14:paraId="54EE7866" w14:textId="77777777" w:rsidR="000566AF" w:rsidRPr="00F95CB9" w:rsidRDefault="000566AF" w:rsidP="000566AF">
            <w:pPr>
              <w:autoSpaceDE w:val="0"/>
              <w:autoSpaceDN w:val="0"/>
              <w:jc w:val="center"/>
              <w:textAlignment w:val="baseline"/>
              <w:rPr>
                <w:snapToGrid w:val="0"/>
                <w:color w:val="000000"/>
              </w:rPr>
            </w:pPr>
            <w:r w:rsidRPr="00F95CB9">
              <w:rPr>
                <w:snapToGrid w:val="0"/>
                <w:color w:val="000000"/>
              </w:rPr>
              <w:t>双发屯承压井</w:t>
            </w:r>
          </w:p>
        </w:tc>
        <w:tc>
          <w:tcPr>
            <w:tcW w:w="806" w:type="pct"/>
            <w:tcBorders>
              <w:right w:val="single" w:sz="4" w:space="0" w:color="auto"/>
            </w:tcBorders>
            <w:vAlign w:val="center"/>
          </w:tcPr>
          <w:p w14:paraId="5B8DB918" w14:textId="49177604" w:rsidR="000566AF" w:rsidRPr="00F95CB9" w:rsidRDefault="000566AF" w:rsidP="000566AF">
            <w:pPr>
              <w:autoSpaceDE w:val="0"/>
              <w:autoSpaceDN w:val="0"/>
              <w:jc w:val="center"/>
              <w:textAlignment w:val="baseline"/>
              <w:rPr>
                <w:snapToGrid w:val="0"/>
                <w:color w:val="000000"/>
              </w:rPr>
            </w:pPr>
            <w:r w:rsidRPr="00F95CB9">
              <w:rPr>
                <w:rFonts w:hint="eastAsia"/>
                <w:snapToGrid w:val="0"/>
                <w:color w:val="000000"/>
              </w:rPr>
              <w:t>124.969654</w:t>
            </w:r>
            <w:r>
              <w:rPr>
                <w:rFonts w:hint="eastAsia"/>
                <w:snapToGrid w:val="0"/>
                <w:color w:val="000000"/>
              </w:rPr>
              <w:t>，</w:t>
            </w:r>
            <w:r w:rsidRPr="00F95CB9">
              <w:rPr>
                <w:rFonts w:hint="eastAsia"/>
                <w:snapToGrid w:val="0"/>
                <w:color w:val="000000"/>
              </w:rPr>
              <w:t>46.416329</w:t>
            </w:r>
          </w:p>
        </w:tc>
        <w:tc>
          <w:tcPr>
            <w:tcW w:w="491" w:type="pct"/>
            <w:tcBorders>
              <w:left w:val="single" w:sz="4" w:space="0" w:color="auto"/>
              <w:right w:val="single" w:sz="4" w:space="0" w:color="auto"/>
            </w:tcBorders>
            <w:vAlign w:val="center"/>
          </w:tcPr>
          <w:p w14:paraId="6702B7F7" w14:textId="77777777" w:rsidR="000566AF" w:rsidRPr="00F95CB9" w:rsidRDefault="000566AF" w:rsidP="000566AF">
            <w:pPr>
              <w:autoSpaceDE w:val="0"/>
              <w:autoSpaceDN w:val="0"/>
              <w:jc w:val="center"/>
              <w:textAlignment w:val="baseline"/>
              <w:rPr>
                <w:snapToGrid w:val="0"/>
                <w:color w:val="000000"/>
              </w:rPr>
            </w:pPr>
            <w:r w:rsidRPr="00F95CB9">
              <w:rPr>
                <w:rFonts w:hint="eastAsia"/>
                <w:snapToGrid w:val="0"/>
                <w:color w:val="000000"/>
              </w:rPr>
              <w:t>75</w:t>
            </w:r>
          </w:p>
        </w:tc>
        <w:tc>
          <w:tcPr>
            <w:tcW w:w="680" w:type="pct"/>
            <w:tcBorders>
              <w:left w:val="single" w:sz="4" w:space="0" w:color="auto"/>
              <w:right w:val="single" w:sz="4" w:space="0" w:color="auto"/>
            </w:tcBorders>
            <w:vAlign w:val="center"/>
          </w:tcPr>
          <w:p w14:paraId="76A7A2F6" w14:textId="56AE3D29" w:rsidR="000566AF" w:rsidRPr="000566AF" w:rsidRDefault="000566AF" w:rsidP="000566AF">
            <w:pPr>
              <w:autoSpaceDE w:val="0"/>
              <w:autoSpaceDN w:val="0"/>
              <w:jc w:val="center"/>
              <w:textAlignment w:val="baseline"/>
              <w:rPr>
                <w:snapToGrid w:val="0"/>
              </w:rPr>
            </w:pPr>
            <w:r w:rsidRPr="000566AF">
              <w:t>136.3</w:t>
            </w:r>
          </w:p>
        </w:tc>
        <w:tc>
          <w:tcPr>
            <w:tcW w:w="585" w:type="pct"/>
            <w:vAlign w:val="center"/>
          </w:tcPr>
          <w:p w14:paraId="17A157D4" w14:textId="47E6E34B" w:rsidR="000566AF" w:rsidRPr="00F95CB9" w:rsidRDefault="000566AF" w:rsidP="000566AF">
            <w:pPr>
              <w:autoSpaceDE w:val="0"/>
              <w:autoSpaceDN w:val="0"/>
              <w:jc w:val="center"/>
              <w:textAlignment w:val="baseline"/>
              <w:rPr>
                <w:snapToGrid w:val="0"/>
                <w:color w:val="000000"/>
              </w:rPr>
            </w:pPr>
            <w:r>
              <w:rPr>
                <w:rFonts w:hint="eastAsia"/>
                <w:snapToGrid w:val="0"/>
                <w:color w:val="000000"/>
              </w:rPr>
              <w:t>饮用水井</w:t>
            </w:r>
          </w:p>
        </w:tc>
        <w:tc>
          <w:tcPr>
            <w:tcW w:w="585" w:type="pct"/>
            <w:tcBorders>
              <w:left w:val="single" w:sz="4" w:space="0" w:color="auto"/>
              <w:right w:val="single" w:sz="4" w:space="0" w:color="auto"/>
            </w:tcBorders>
            <w:vAlign w:val="center"/>
          </w:tcPr>
          <w:p w14:paraId="6E586E4C" w14:textId="492ACBBD" w:rsidR="000566AF" w:rsidRPr="00F95CB9" w:rsidRDefault="000566AF" w:rsidP="000566AF">
            <w:pPr>
              <w:autoSpaceDE w:val="0"/>
              <w:autoSpaceDN w:val="0"/>
              <w:jc w:val="center"/>
              <w:textAlignment w:val="baseline"/>
              <w:rPr>
                <w:snapToGrid w:val="0"/>
                <w:color w:val="000000"/>
              </w:rPr>
            </w:pPr>
            <w:r>
              <w:rPr>
                <w:rFonts w:hint="eastAsia"/>
                <w:snapToGrid w:val="0"/>
                <w:color w:val="000000"/>
              </w:rPr>
              <w:t>承压水</w:t>
            </w:r>
          </w:p>
        </w:tc>
        <w:tc>
          <w:tcPr>
            <w:tcW w:w="585" w:type="pct"/>
            <w:vMerge/>
            <w:vAlign w:val="center"/>
          </w:tcPr>
          <w:p w14:paraId="01D84234" w14:textId="77777777" w:rsidR="000566AF" w:rsidRPr="00F95CB9" w:rsidRDefault="000566AF" w:rsidP="000566AF">
            <w:pPr>
              <w:autoSpaceDE w:val="0"/>
              <w:autoSpaceDN w:val="0"/>
              <w:jc w:val="center"/>
              <w:textAlignment w:val="baseline"/>
              <w:rPr>
                <w:snapToGrid w:val="0"/>
                <w:color w:val="000000"/>
              </w:rPr>
            </w:pPr>
          </w:p>
        </w:tc>
      </w:tr>
      <w:tr w:rsidR="000566AF" w:rsidRPr="00F95CB9" w14:paraId="5D466315" w14:textId="60707FDC" w:rsidTr="000566AF">
        <w:trPr>
          <w:cantSplit/>
          <w:trHeight w:val="507"/>
          <w:jc w:val="center"/>
        </w:trPr>
        <w:tc>
          <w:tcPr>
            <w:tcW w:w="328" w:type="pct"/>
            <w:vAlign w:val="center"/>
          </w:tcPr>
          <w:p w14:paraId="0D47D5CD" w14:textId="77777777" w:rsidR="000566AF" w:rsidRPr="00F95CB9" w:rsidRDefault="000566AF" w:rsidP="000566AF">
            <w:pPr>
              <w:autoSpaceDE w:val="0"/>
              <w:autoSpaceDN w:val="0"/>
              <w:jc w:val="center"/>
              <w:textAlignment w:val="baseline"/>
              <w:rPr>
                <w:snapToGrid w:val="0"/>
                <w:color w:val="000000"/>
              </w:rPr>
            </w:pPr>
            <w:r w:rsidRPr="00F95CB9">
              <w:rPr>
                <w:snapToGrid w:val="0"/>
                <w:color w:val="000000"/>
              </w:rPr>
              <w:t>D14</w:t>
            </w:r>
          </w:p>
        </w:tc>
        <w:tc>
          <w:tcPr>
            <w:tcW w:w="940" w:type="pct"/>
            <w:vAlign w:val="center"/>
          </w:tcPr>
          <w:p w14:paraId="17E1E142" w14:textId="77777777" w:rsidR="000566AF" w:rsidRPr="00F95CB9" w:rsidRDefault="000566AF" w:rsidP="000566AF">
            <w:pPr>
              <w:autoSpaceDE w:val="0"/>
              <w:autoSpaceDN w:val="0"/>
              <w:jc w:val="center"/>
              <w:textAlignment w:val="baseline"/>
              <w:rPr>
                <w:snapToGrid w:val="0"/>
                <w:color w:val="000000"/>
              </w:rPr>
            </w:pPr>
            <w:r w:rsidRPr="00F95CB9">
              <w:rPr>
                <w:snapToGrid w:val="0"/>
                <w:color w:val="000000"/>
              </w:rPr>
              <w:t>潜水井</w:t>
            </w:r>
            <w:r w:rsidRPr="00F95CB9">
              <w:rPr>
                <w:snapToGrid w:val="0"/>
                <w:color w:val="000000"/>
              </w:rPr>
              <w:t>1</w:t>
            </w:r>
          </w:p>
        </w:tc>
        <w:tc>
          <w:tcPr>
            <w:tcW w:w="806" w:type="pct"/>
            <w:tcBorders>
              <w:right w:val="single" w:sz="4" w:space="0" w:color="auto"/>
            </w:tcBorders>
            <w:vAlign w:val="center"/>
          </w:tcPr>
          <w:p w14:paraId="4F8B54E7" w14:textId="303FBD45" w:rsidR="000566AF" w:rsidRPr="00F95CB9" w:rsidRDefault="000566AF" w:rsidP="000566AF">
            <w:pPr>
              <w:autoSpaceDE w:val="0"/>
              <w:autoSpaceDN w:val="0"/>
              <w:jc w:val="center"/>
              <w:textAlignment w:val="baseline"/>
              <w:rPr>
                <w:snapToGrid w:val="0"/>
                <w:color w:val="000000"/>
              </w:rPr>
            </w:pPr>
            <w:r w:rsidRPr="00F95CB9">
              <w:rPr>
                <w:rFonts w:hint="eastAsia"/>
                <w:snapToGrid w:val="0"/>
                <w:color w:val="000000"/>
              </w:rPr>
              <w:t>124.978966</w:t>
            </w:r>
            <w:r>
              <w:rPr>
                <w:rFonts w:hint="eastAsia"/>
                <w:snapToGrid w:val="0"/>
                <w:color w:val="000000"/>
              </w:rPr>
              <w:t>，</w:t>
            </w:r>
            <w:r w:rsidRPr="00F95CB9">
              <w:rPr>
                <w:rFonts w:hint="eastAsia"/>
                <w:snapToGrid w:val="0"/>
                <w:color w:val="000000"/>
              </w:rPr>
              <w:t>46.448310</w:t>
            </w:r>
          </w:p>
        </w:tc>
        <w:tc>
          <w:tcPr>
            <w:tcW w:w="491" w:type="pct"/>
            <w:tcBorders>
              <w:left w:val="single" w:sz="4" w:space="0" w:color="auto"/>
              <w:right w:val="single" w:sz="4" w:space="0" w:color="auto"/>
            </w:tcBorders>
            <w:vAlign w:val="center"/>
          </w:tcPr>
          <w:p w14:paraId="2F44F70A" w14:textId="77777777" w:rsidR="000566AF" w:rsidRPr="00F95CB9" w:rsidRDefault="000566AF" w:rsidP="000566AF">
            <w:pPr>
              <w:autoSpaceDE w:val="0"/>
              <w:autoSpaceDN w:val="0"/>
              <w:jc w:val="center"/>
              <w:textAlignment w:val="baseline"/>
              <w:rPr>
                <w:snapToGrid w:val="0"/>
                <w:color w:val="000000"/>
              </w:rPr>
            </w:pPr>
            <w:r w:rsidRPr="00F95CB9">
              <w:rPr>
                <w:rFonts w:hint="eastAsia"/>
                <w:snapToGrid w:val="0"/>
                <w:color w:val="000000"/>
              </w:rPr>
              <w:t>10</w:t>
            </w:r>
          </w:p>
        </w:tc>
        <w:tc>
          <w:tcPr>
            <w:tcW w:w="680" w:type="pct"/>
            <w:tcBorders>
              <w:left w:val="single" w:sz="4" w:space="0" w:color="auto"/>
              <w:right w:val="single" w:sz="4" w:space="0" w:color="auto"/>
            </w:tcBorders>
            <w:vAlign w:val="center"/>
          </w:tcPr>
          <w:p w14:paraId="2D884AE3" w14:textId="756D33A5" w:rsidR="000566AF" w:rsidRPr="000566AF" w:rsidRDefault="000566AF" w:rsidP="000566AF">
            <w:pPr>
              <w:autoSpaceDE w:val="0"/>
              <w:autoSpaceDN w:val="0"/>
              <w:jc w:val="center"/>
              <w:textAlignment w:val="baseline"/>
              <w:rPr>
                <w:snapToGrid w:val="0"/>
              </w:rPr>
            </w:pPr>
            <w:r w:rsidRPr="000566AF">
              <w:t>138.4</w:t>
            </w:r>
          </w:p>
        </w:tc>
        <w:tc>
          <w:tcPr>
            <w:tcW w:w="585" w:type="pct"/>
            <w:vAlign w:val="center"/>
          </w:tcPr>
          <w:p w14:paraId="289513B9" w14:textId="5C54C41D" w:rsidR="000566AF" w:rsidRPr="00F95CB9" w:rsidRDefault="000566AF" w:rsidP="000566AF">
            <w:pPr>
              <w:autoSpaceDE w:val="0"/>
              <w:autoSpaceDN w:val="0"/>
              <w:jc w:val="center"/>
              <w:textAlignment w:val="baseline"/>
              <w:rPr>
                <w:snapToGrid w:val="0"/>
                <w:color w:val="000000"/>
              </w:rPr>
            </w:pPr>
            <w:r>
              <w:rPr>
                <w:rFonts w:hint="eastAsia"/>
                <w:snapToGrid w:val="0"/>
                <w:color w:val="000000"/>
              </w:rPr>
              <w:t>灌溉井</w:t>
            </w:r>
          </w:p>
        </w:tc>
        <w:tc>
          <w:tcPr>
            <w:tcW w:w="585" w:type="pct"/>
            <w:tcBorders>
              <w:left w:val="single" w:sz="4" w:space="0" w:color="auto"/>
              <w:right w:val="single" w:sz="4" w:space="0" w:color="auto"/>
            </w:tcBorders>
            <w:vAlign w:val="center"/>
          </w:tcPr>
          <w:p w14:paraId="03C5FB4D" w14:textId="00E07BF7" w:rsidR="000566AF" w:rsidRPr="00F95CB9" w:rsidRDefault="000566AF" w:rsidP="000566AF">
            <w:pPr>
              <w:autoSpaceDE w:val="0"/>
              <w:autoSpaceDN w:val="0"/>
              <w:jc w:val="center"/>
              <w:textAlignment w:val="baseline"/>
              <w:rPr>
                <w:snapToGrid w:val="0"/>
                <w:color w:val="000000"/>
              </w:rPr>
            </w:pPr>
            <w:r>
              <w:rPr>
                <w:rFonts w:hint="eastAsia"/>
                <w:snapToGrid w:val="0"/>
                <w:color w:val="000000"/>
              </w:rPr>
              <w:t>潜水</w:t>
            </w:r>
          </w:p>
        </w:tc>
        <w:tc>
          <w:tcPr>
            <w:tcW w:w="585" w:type="pct"/>
            <w:vMerge/>
            <w:vAlign w:val="center"/>
          </w:tcPr>
          <w:p w14:paraId="56E5F2E4" w14:textId="77777777" w:rsidR="000566AF" w:rsidRPr="00F95CB9" w:rsidRDefault="000566AF" w:rsidP="000566AF">
            <w:pPr>
              <w:autoSpaceDE w:val="0"/>
              <w:autoSpaceDN w:val="0"/>
              <w:jc w:val="center"/>
              <w:textAlignment w:val="baseline"/>
              <w:rPr>
                <w:snapToGrid w:val="0"/>
                <w:color w:val="000000"/>
              </w:rPr>
            </w:pPr>
          </w:p>
        </w:tc>
      </w:tr>
      <w:tr w:rsidR="000566AF" w:rsidRPr="00F95CB9" w14:paraId="626E3C3E" w14:textId="4EA3E8BF" w:rsidTr="000566AF">
        <w:trPr>
          <w:cantSplit/>
          <w:trHeight w:val="507"/>
          <w:jc w:val="center"/>
        </w:trPr>
        <w:tc>
          <w:tcPr>
            <w:tcW w:w="328" w:type="pct"/>
            <w:vAlign w:val="center"/>
          </w:tcPr>
          <w:p w14:paraId="7053F99D" w14:textId="77777777" w:rsidR="000566AF" w:rsidRPr="00F95CB9" w:rsidRDefault="000566AF" w:rsidP="000566AF">
            <w:pPr>
              <w:autoSpaceDE w:val="0"/>
              <w:autoSpaceDN w:val="0"/>
              <w:jc w:val="center"/>
              <w:textAlignment w:val="baseline"/>
              <w:rPr>
                <w:snapToGrid w:val="0"/>
                <w:color w:val="000000"/>
              </w:rPr>
            </w:pPr>
            <w:r w:rsidRPr="00F95CB9">
              <w:rPr>
                <w:snapToGrid w:val="0"/>
                <w:color w:val="000000"/>
              </w:rPr>
              <w:t>D15</w:t>
            </w:r>
          </w:p>
        </w:tc>
        <w:tc>
          <w:tcPr>
            <w:tcW w:w="940" w:type="pct"/>
            <w:vAlign w:val="center"/>
          </w:tcPr>
          <w:p w14:paraId="609BE5D5" w14:textId="77777777" w:rsidR="000566AF" w:rsidRPr="00F95CB9" w:rsidRDefault="000566AF" w:rsidP="000566AF">
            <w:pPr>
              <w:autoSpaceDE w:val="0"/>
              <w:autoSpaceDN w:val="0"/>
              <w:jc w:val="center"/>
              <w:textAlignment w:val="baseline"/>
              <w:rPr>
                <w:snapToGrid w:val="0"/>
                <w:color w:val="000000"/>
              </w:rPr>
            </w:pPr>
            <w:r w:rsidRPr="00F95CB9">
              <w:rPr>
                <w:snapToGrid w:val="0"/>
                <w:color w:val="000000"/>
              </w:rPr>
              <w:t>刘高手屯承压井</w:t>
            </w:r>
          </w:p>
        </w:tc>
        <w:tc>
          <w:tcPr>
            <w:tcW w:w="806" w:type="pct"/>
            <w:tcBorders>
              <w:right w:val="single" w:sz="4" w:space="0" w:color="auto"/>
            </w:tcBorders>
            <w:vAlign w:val="center"/>
          </w:tcPr>
          <w:p w14:paraId="57CD0880" w14:textId="72DA3C61" w:rsidR="000566AF" w:rsidRPr="00F95CB9" w:rsidRDefault="000566AF" w:rsidP="000566AF">
            <w:pPr>
              <w:autoSpaceDE w:val="0"/>
              <w:autoSpaceDN w:val="0"/>
              <w:jc w:val="center"/>
              <w:textAlignment w:val="baseline"/>
              <w:rPr>
                <w:snapToGrid w:val="0"/>
                <w:color w:val="000000"/>
              </w:rPr>
            </w:pPr>
            <w:r w:rsidRPr="00F95CB9">
              <w:rPr>
                <w:rFonts w:hint="eastAsia"/>
                <w:snapToGrid w:val="0"/>
                <w:color w:val="000000"/>
              </w:rPr>
              <w:t>124.990521</w:t>
            </w:r>
            <w:r>
              <w:rPr>
                <w:rFonts w:hint="eastAsia"/>
                <w:snapToGrid w:val="0"/>
                <w:color w:val="000000"/>
              </w:rPr>
              <w:t>，</w:t>
            </w:r>
            <w:r w:rsidRPr="00F95CB9">
              <w:rPr>
                <w:rFonts w:hint="eastAsia"/>
                <w:snapToGrid w:val="0"/>
                <w:color w:val="000000"/>
              </w:rPr>
              <w:t>46.467667</w:t>
            </w:r>
          </w:p>
        </w:tc>
        <w:tc>
          <w:tcPr>
            <w:tcW w:w="491" w:type="pct"/>
            <w:tcBorders>
              <w:left w:val="single" w:sz="4" w:space="0" w:color="auto"/>
              <w:right w:val="single" w:sz="4" w:space="0" w:color="auto"/>
            </w:tcBorders>
            <w:vAlign w:val="center"/>
          </w:tcPr>
          <w:p w14:paraId="6FCBF475" w14:textId="77777777" w:rsidR="000566AF" w:rsidRPr="00F95CB9" w:rsidRDefault="000566AF" w:rsidP="000566AF">
            <w:pPr>
              <w:autoSpaceDE w:val="0"/>
              <w:autoSpaceDN w:val="0"/>
              <w:jc w:val="center"/>
              <w:textAlignment w:val="baseline"/>
              <w:rPr>
                <w:snapToGrid w:val="0"/>
                <w:color w:val="000000"/>
              </w:rPr>
            </w:pPr>
            <w:r w:rsidRPr="00F95CB9">
              <w:rPr>
                <w:rFonts w:hint="eastAsia"/>
                <w:snapToGrid w:val="0"/>
                <w:color w:val="000000"/>
              </w:rPr>
              <w:t>80</w:t>
            </w:r>
          </w:p>
        </w:tc>
        <w:tc>
          <w:tcPr>
            <w:tcW w:w="680" w:type="pct"/>
            <w:tcBorders>
              <w:left w:val="single" w:sz="4" w:space="0" w:color="auto"/>
              <w:right w:val="single" w:sz="4" w:space="0" w:color="auto"/>
            </w:tcBorders>
            <w:vAlign w:val="center"/>
          </w:tcPr>
          <w:p w14:paraId="0407E9E7" w14:textId="79633467" w:rsidR="000566AF" w:rsidRPr="000566AF" w:rsidRDefault="000566AF" w:rsidP="000566AF">
            <w:pPr>
              <w:autoSpaceDE w:val="0"/>
              <w:autoSpaceDN w:val="0"/>
              <w:jc w:val="center"/>
              <w:textAlignment w:val="baseline"/>
              <w:rPr>
                <w:snapToGrid w:val="0"/>
              </w:rPr>
            </w:pPr>
            <w:r w:rsidRPr="000566AF">
              <w:t>139.6</w:t>
            </w:r>
          </w:p>
        </w:tc>
        <w:tc>
          <w:tcPr>
            <w:tcW w:w="585" w:type="pct"/>
            <w:vAlign w:val="center"/>
          </w:tcPr>
          <w:p w14:paraId="1441579C" w14:textId="7FAA8E28" w:rsidR="000566AF" w:rsidRPr="00F95CB9" w:rsidRDefault="000566AF" w:rsidP="000566AF">
            <w:pPr>
              <w:autoSpaceDE w:val="0"/>
              <w:autoSpaceDN w:val="0"/>
              <w:jc w:val="center"/>
              <w:textAlignment w:val="baseline"/>
              <w:rPr>
                <w:snapToGrid w:val="0"/>
                <w:color w:val="000000"/>
              </w:rPr>
            </w:pPr>
            <w:r>
              <w:rPr>
                <w:rFonts w:hint="eastAsia"/>
                <w:snapToGrid w:val="0"/>
                <w:color w:val="000000"/>
              </w:rPr>
              <w:t>饮用水井</w:t>
            </w:r>
          </w:p>
        </w:tc>
        <w:tc>
          <w:tcPr>
            <w:tcW w:w="585" w:type="pct"/>
            <w:tcBorders>
              <w:left w:val="single" w:sz="4" w:space="0" w:color="auto"/>
              <w:right w:val="single" w:sz="4" w:space="0" w:color="auto"/>
            </w:tcBorders>
            <w:vAlign w:val="center"/>
          </w:tcPr>
          <w:p w14:paraId="7E6E2429" w14:textId="1690CE1B" w:rsidR="000566AF" w:rsidRPr="00F95CB9" w:rsidRDefault="000566AF" w:rsidP="000566AF">
            <w:pPr>
              <w:autoSpaceDE w:val="0"/>
              <w:autoSpaceDN w:val="0"/>
              <w:jc w:val="center"/>
              <w:textAlignment w:val="baseline"/>
              <w:rPr>
                <w:snapToGrid w:val="0"/>
                <w:color w:val="000000"/>
              </w:rPr>
            </w:pPr>
            <w:r>
              <w:rPr>
                <w:rFonts w:hint="eastAsia"/>
                <w:snapToGrid w:val="0"/>
                <w:color w:val="000000"/>
              </w:rPr>
              <w:t>承压水</w:t>
            </w:r>
          </w:p>
        </w:tc>
        <w:tc>
          <w:tcPr>
            <w:tcW w:w="585" w:type="pct"/>
            <w:vMerge/>
            <w:vAlign w:val="center"/>
          </w:tcPr>
          <w:p w14:paraId="0124D204" w14:textId="77777777" w:rsidR="000566AF" w:rsidRPr="00F95CB9" w:rsidRDefault="000566AF" w:rsidP="000566AF">
            <w:pPr>
              <w:autoSpaceDE w:val="0"/>
              <w:autoSpaceDN w:val="0"/>
              <w:jc w:val="center"/>
              <w:textAlignment w:val="baseline"/>
              <w:rPr>
                <w:snapToGrid w:val="0"/>
                <w:color w:val="000000"/>
              </w:rPr>
            </w:pPr>
          </w:p>
        </w:tc>
      </w:tr>
    </w:tbl>
    <w:p w14:paraId="4F9C421C" w14:textId="77777777" w:rsidR="00606029" w:rsidRDefault="00EA5B92">
      <w:pPr>
        <w:widowControl/>
        <w:autoSpaceDE w:val="0"/>
        <w:autoSpaceDN w:val="0"/>
        <w:adjustRightInd w:val="0"/>
        <w:snapToGrid w:val="0"/>
        <w:spacing w:beforeLines="50" w:before="120" w:line="360" w:lineRule="auto"/>
        <w:ind w:firstLineChars="200" w:firstLine="480"/>
        <w:textAlignment w:val="baseline"/>
        <w:rPr>
          <w:snapToGrid w:val="0"/>
          <w:color w:val="000000"/>
          <w:kern w:val="0"/>
          <w:sz w:val="24"/>
        </w:rPr>
      </w:pPr>
      <w:r>
        <w:rPr>
          <w:snapToGrid w:val="0"/>
          <w:color w:val="000000"/>
          <w:kern w:val="0"/>
          <w:sz w:val="24"/>
        </w:rPr>
        <w:t>（</w:t>
      </w:r>
      <w:r>
        <w:rPr>
          <w:snapToGrid w:val="0"/>
          <w:color w:val="000000"/>
          <w:kern w:val="0"/>
          <w:sz w:val="24"/>
        </w:rPr>
        <w:t>2</w:t>
      </w:r>
      <w:r>
        <w:rPr>
          <w:snapToGrid w:val="0"/>
          <w:color w:val="000000"/>
          <w:kern w:val="0"/>
          <w:sz w:val="24"/>
        </w:rPr>
        <w:t>）监测因子</w:t>
      </w:r>
    </w:p>
    <w:p w14:paraId="38A102A4" w14:textId="0C70778B" w:rsidR="00606029" w:rsidRDefault="00621F05">
      <w:pPr>
        <w:spacing w:line="360" w:lineRule="auto"/>
        <w:ind w:firstLineChars="200" w:firstLine="480"/>
        <w:rPr>
          <w:snapToGrid w:val="0"/>
          <w:color w:val="000000"/>
          <w:kern w:val="0"/>
          <w:sz w:val="24"/>
        </w:rPr>
      </w:pPr>
      <w:r w:rsidRPr="00621F05">
        <w:rPr>
          <w:rFonts w:hint="eastAsia"/>
          <w:color w:val="000000"/>
          <w:sz w:val="24"/>
          <w:szCs w:val="32"/>
        </w:rPr>
        <w:t>pH</w:t>
      </w:r>
      <w:r w:rsidRPr="00621F05">
        <w:rPr>
          <w:rFonts w:hint="eastAsia"/>
          <w:color w:val="000000"/>
          <w:sz w:val="24"/>
          <w:szCs w:val="32"/>
        </w:rPr>
        <w:t>、溶解性总固体、总硬度、钾、钠、钙、镁、碳酸根、碳酸氢根、硫酸根、氯离子、硫酸盐、氯化物、氨氮、硝酸盐氮、亚硝酸盐氮、挥发酚、氟化物、氰化物、铁、锰、铅、六价铬、镉、汞、砷、高锰酸盐指数、总大肠菌群、细菌总数、石油类、</w:t>
      </w:r>
      <w:r w:rsidRPr="00621F05">
        <w:rPr>
          <w:rFonts w:hint="eastAsia"/>
          <w:color w:val="000000"/>
          <w:sz w:val="24"/>
          <w:szCs w:val="32"/>
        </w:rPr>
        <w:lastRenderedPageBreak/>
        <w:t>二噁英类。</w:t>
      </w:r>
    </w:p>
    <w:p w14:paraId="13EF1896" w14:textId="77777777" w:rsidR="00606029" w:rsidRDefault="00EA5B92">
      <w:pPr>
        <w:widowControl/>
        <w:autoSpaceDE w:val="0"/>
        <w:autoSpaceDN w:val="0"/>
        <w:adjustRightInd w:val="0"/>
        <w:snapToGrid w:val="0"/>
        <w:spacing w:line="360" w:lineRule="auto"/>
        <w:ind w:firstLineChars="200" w:firstLine="480"/>
        <w:textAlignment w:val="baseline"/>
        <w:rPr>
          <w:snapToGrid w:val="0"/>
          <w:color w:val="000000"/>
          <w:kern w:val="0"/>
          <w:sz w:val="24"/>
        </w:rPr>
      </w:pPr>
      <w:r>
        <w:rPr>
          <w:snapToGrid w:val="0"/>
          <w:color w:val="000000"/>
          <w:kern w:val="0"/>
          <w:sz w:val="24"/>
        </w:rPr>
        <w:t>（</w:t>
      </w:r>
      <w:r>
        <w:rPr>
          <w:snapToGrid w:val="0"/>
          <w:color w:val="000000"/>
          <w:kern w:val="0"/>
          <w:sz w:val="24"/>
        </w:rPr>
        <w:t>3</w:t>
      </w:r>
      <w:r>
        <w:rPr>
          <w:snapToGrid w:val="0"/>
          <w:color w:val="000000"/>
          <w:kern w:val="0"/>
          <w:sz w:val="24"/>
        </w:rPr>
        <w:t>）监测时间与频率</w:t>
      </w:r>
    </w:p>
    <w:p w14:paraId="568EDF26" w14:textId="7C2B02BF" w:rsidR="00606029" w:rsidRDefault="00621F05">
      <w:pPr>
        <w:spacing w:line="360" w:lineRule="auto"/>
        <w:ind w:firstLineChars="200" w:firstLine="480"/>
        <w:jc w:val="left"/>
        <w:rPr>
          <w:sz w:val="24"/>
          <w:szCs w:val="20"/>
        </w:rPr>
      </w:pPr>
      <w:r>
        <w:rPr>
          <w:rFonts w:hint="eastAsia"/>
          <w:sz w:val="24"/>
          <w:szCs w:val="20"/>
        </w:rPr>
        <w:t>一次性监测。</w:t>
      </w:r>
    </w:p>
    <w:p w14:paraId="29B1FCAF" w14:textId="4EDE9333" w:rsidR="00606029" w:rsidRDefault="00EA5B92">
      <w:pPr>
        <w:widowControl/>
        <w:autoSpaceDE w:val="0"/>
        <w:autoSpaceDN w:val="0"/>
        <w:adjustRightInd w:val="0"/>
        <w:snapToGrid w:val="0"/>
        <w:spacing w:beforeLines="50" w:before="120" w:line="360" w:lineRule="auto"/>
        <w:ind w:firstLineChars="200" w:firstLine="480"/>
        <w:textAlignment w:val="baseline"/>
        <w:rPr>
          <w:snapToGrid w:val="0"/>
          <w:color w:val="000000"/>
          <w:kern w:val="0"/>
          <w:sz w:val="24"/>
        </w:rPr>
      </w:pPr>
      <w:r>
        <w:rPr>
          <w:snapToGrid w:val="0"/>
          <w:color w:val="000000"/>
          <w:kern w:val="0"/>
          <w:sz w:val="24"/>
        </w:rPr>
        <w:t>（</w:t>
      </w:r>
      <w:r w:rsidR="00621F05">
        <w:rPr>
          <w:rFonts w:hint="eastAsia"/>
          <w:snapToGrid w:val="0"/>
          <w:color w:val="000000"/>
          <w:kern w:val="0"/>
          <w:sz w:val="24"/>
        </w:rPr>
        <w:t>4</w:t>
      </w:r>
      <w:r>
        <w:rPr>
          <w:snapToGrid w:val="0"/>
          <w:color w:val="000000"/>
          <w:kern w:val="0"/>
          <w:sz w:val="24"/>
        </w:rPr>
        <w:t>）评价方法与标准</w:t>
      </w:r>
    </w:p>
    <w:p w14:paraId="2C3793CD" w14:textId="4B6464C2" w:rsidR="00606029" w:rsidRDefault="00EA5B92">
      <w:pPr>
        <w:widowControl/>
        <w:autoSpaceDE w:val="0"/>
        <w:autoSpaceDN w:val="0"/>
        <w:adjustRightInd w:val="0"/>
        <w:snapToGrid w:val="0"/>
        <w:spacing w:line="360" w:lineRule="auto"/>
        <w:ind w:firstLineChars="200" w:firstLine="480"/>
        <w:textAlignment w:val="baseline"/>
        <w:rPr>
          <w:snapToGrid w:val="0"/>
          <w:color w:val="000000"/>
          <w:kern w:val="0"/>
          <w:sz w:val="24"/>
        </w:rPr>
      </w:pPr>
      <w:r>
        <w:rPr>
          <w:snapToGrid w:val="0"/>
          <w:color w:val="000000"/>
          <w:kern w:val="0"/>
          <w:sz w:val="24"/>
        </w:rPr>
        <w:t>本项目地下水以《地下水质量标准》（</w:t>
      </w:r>
      <w:r>
        <w:rPr>
          <w:snapToGrid w:val="0"/>
          <w:color w:val="000000"/>
          <w:kern w:val="0"/>
          <w:sz w:val="24"/>
        </w:rPr>
        <w:t>GB/T14848-2017</w:t>
      </w:r>
      <w:r>
        <w:rPr>
          <w:snapToGrid w:val="0"/>
          <w:color w:val="000000"/>
          <w:kern w:val="0"/>
          <w:sz w:val="24"/>
        </w:rPr>
        <w:t>）</w:t>
      </w:r>
      <w:r>
        <w:rPr>
          <w:snapToGrid w:val="0"/>
          <w:color w:val="000000"/>
          <w:kern w:val="0"/>
          <w:sz w:val="24"/>
        </w:rPr>
        <w:t>Ⅲ</w:t>
      </w:r>
      <w:r>
        <w:rPr>
          <w:snapToGrid w:val="0"/>
          <w:color w:val="000000"/>
          <w:kern w:val="0"/>
          <w:sz w:val="24"/>
        </w:rPr>
        <w:t>类标准为评价标准。采用单项组分评价法进行评价。计算公式如下</w:t>
      </w:r>
      <w:r w:rsidR="006A52CC">
        <w:rPr>
          <w:snapToGrid w:val="0"/>
          <w:color w:val="000000"/>
          <w:kern w:val="0"/>
          <w:sz w:val="24"/>
        </w:rPr>
        <w:t>：</w:t>
      </w:r>
    </w:p>
    <w:p w14:paraId="6B2DEB39" w14:textId="77777777" w:rsidR="00606029" w:rsidRDefault="00EA5B92">
      <w:pPr>
        <w:snapToGrid w:val="0"/>
        <w:jc w:val="center"/>
        <w:rPr>
          <w:sz w:val="24"/>
          <w:szCs w:val="24"/>
        </w:rPr>
      </w:pPr>
      <w:r>
        <w:rPr>
          <w:i/>
          <w:iCs/>
          <w:position w:val="-30"/>
          <w:sz w:val="24"/>
          <w:szCs w:val="24"/>
        </w:rPr>
        <w:object w:dxaOrig="859" w:dyaOrig="680" w14:anchorId="79EB711C">
          <v:shape id="_x0000_i1026" type="#_x0000_t75" style="width:43.2pt;height:34.2pt" o:ole="" o:preferrelative="f">
            <v:imagedata r:id="rId72" o:title="" embosscolor="white"/>
          </v:shape>
          <o:OLEObject Type="Embed" ProgID="Equation.3" ShapeID="_x0000_i1026" DrawAspect="Content" ObjectID="_1831554258" r:id="rId73"/>
        </w:object>
      </w:r>
    </w:p>
    <w:p w14:paraId="5BA5DC0C" w14:textId="1E4FD19C" w:rsidR="00606029" w:rsidRDefault="00EA5B92">
      <w:pPr>
        <w:snapToGrid w:val="0"/>
        <w:spacing w:line="480" w:lineRule="exact"/>
        <w:jc w:val="center"/>
        <w:rPr>
          <w:sz w:val="24"/>
          <w:szCs w:val="24"/>
        </w:rPr>
      </w:pPr>
      <w:r>
        <w:rPr>
          <w:sz w:val="24"/>
          <w:szCs w:val="24"/>
        </w:rPr>
        <w:t>式中</w:t>
      </w:r>
      <w:r w:rsidR="006A52CC">
        <w:rPr>
          <w:sz w:val="24"/>
          <w:szCs w:val="24"/>
        </w:rPr>
        <w:t>：</w:t>
      </w:r>
      <w:r>
        <w:rPr>
          <w:sz w:val="24"/>
          <w:szCs w:val="24"/>
        </w:rPr>
        <w:t xml:space="preserve"> </w:t>
      </w:r>
      <w:r>
        <w:rPr>
          <w:i/>
          <w:iCs/>
          <w:sz w:val="24"/>
          <w:szCs w:val="24"/>
        </w:rPr>
        <w:t>P i</w:t>
      </w:r>
      <w:r>
        <w:rPr>
          <w:sz w:val="24"/>
          <w:szCs w:val="24"/>
        </w:rPr>
        <w:t>－第</w:t>
      </w:r>
      <w:r>
        <w:rPr>
          <w:sz w:val="24"/>
          <w:szCs w:val="24"/>
        </w:rPr>
        <w:t xml:space="preserve">i </w:t>
      </w:r>
      <w:r>
        <w:rPr>
          <w:sz w:val="24"/>
          <w:szCs w:val="24"/>
        </w:rPr>
        <w:t>项评价因子的单因子污染指数；</w:t>
      </w:r>
    </w:p>
    <w:p w14:paraId="04F79965" w14:textId="77777777" w:rsidR="00606029" w:rsidRDefault="00EA5B92">
      <w:pPr>
        <w:snapToGrid w:val="0"/>
        <w:spacing w:line="480" w:lineRule="exact"/>
        <w:jc w:val="center"/>
        <w:rPr>
          <w:sz w:val="24"/>
          <w:szCs w:val="24"/>
        </w:rPr>
      </w:pPr>
      <w:r>
        <w:rPr>
          <w:i/>
          <w:iCs/>
          <w:sz w:val="24"/>
          <w:szCs w:val="24"/>
        </w:rPr>
        <w:t>C i</w:t>
      </w:r>
      <w:r>
        <w:rPr>
          <w:sz w:val="24"/>
          <w:szCs w:val="24"/>
        </w:rPr>
        <w:t>－第</w:t>
      </w:r>
      <w:r>
        <w:rPr>
          <w:sz w:val="24"/>
          <w:szCs w:val="24"/>
        </w:rPr>
        <w:t xml:space="preserve">i </w:t>
      </w:r>
      <w:r>
        <w:rPr>
          <w:sz w:val="24"/>
          <w:szCs w:val="24"/>
        </w:rPr>
        <w:t>项评价因子的实测浓度值，</w:t>
      </w:r>
      <w:r>
        <w:rPr>
          <w:sz w:val="24"/>
          <w:szCs w:val="24"/>
        </w:rPr>
        <w:t>mg/L</w:t>
      </w:r>
      <w:r>
        <w:rPr>
          <w:sz w:val="24"/>
          <w:szCs w:val="24"/>
        </w:rPr>
        <w:t>；</w:t>
      </w:r>
    </w:p>
    <w:p w14:paraId="29C473C9" w14:textId="77777777" w:rsidR="00606029" w:rsidRDefault="00EA5B92">
      <w:pPr>
        <w:snapToGrid w:val="0"/>
        <w:spacing w:line="480" w:lineRule="exact"/>
        <w:jc w:val="center"/>
        <w:rPr>
          <w:sz w:val="24"/>
          <w:szCs w:val="24"/>
        </w:rPr>
      </w:pPr>
      <w:r>
        <w:rPr>
          <w:i/>
          <w:iCs/>
          <w:sz w:val="24"/>
          <w:szCs w:val="24"/>
        </w:rPr>
        <w:t>C oi</w:t>
      </w:r>
      <w:r>
        <w:rPr>
          <w:sz w:val="24"/>
          <w:szCs w:val="24"/>
        </w:rPr>
        <w:t>－第</w:t>
      </w:r>
      <w:r>
        <w:rPr>
          <w:sz w:val="24"/>
          <w:szCs w:val="24"/>
        </w:rPr>
        <w:t xml:space="preserve">i </w:t>
      </w:r>
      <w:r>
        <w:rPr>
          <w:sz w:val="24"/>
          <w:szCs w:val="24"/>
        </w:rPr>
        <w:t>项评价因子的评价标准，</w:t>
      </w:r>
      <w:r>
        <w:rPr>
          <w:sz w:val="24"/>
          <w:szCs w:val="24"/>
        </w:rPr>
        <w:t>mg/L</w:t>
      </w:r>
      <w:r>
        <w:rPr>
          <w:sz w:val="24"/>
          <w:szCs w:val="24"/>
        </w:rPr>
        <w:t>。</w:t>
      </w:r>
    </w:p>
    <w:p w14:paraId="709AB36B" w14:textId="7B9F3AA7" w:rsidR="00606029" w:rsidRDefault="00EA5B92">
      <w:pPr>
        <w:snapToGrid w:val="0"/>
        <w:spacing w:line="480" w:lineRule="exact"/>
        <w:ind w:firstLineChars="200" w:firstLine="480"/>
        <w:rPr>
          <w:sz w:val="24"/>
          <w:szCs w:val="24"/>
        </w:rPr>
      </w:pPr>
      <w:r>
        <w:rPr>
          <w:sz w:val="24"/>
          <w:szCs w:val="24"/>
        </w:rPr>
        <w:t>对于</w:t>
      </w:r>
      <w:r>
        <w:rPr>
          <w:sz w:val="24"/>
          <w:szCs w:val="24"/>
        </w:rPr>
        <w:t>pH</w:t>
      </w:r>
      <w:r>
        <w:rPr>
          <w:sz w:val="24"/>
          <w:szCs w:val="24"/>
        </w:rPr>
        <w:t>值标准指数用下式计算</w:t>
      </w:r>
      <w:r w:rsidR="006A52CC">
        <w:rPr>
          <w:sz w:val="24"/>
          <w:szCs w:val="24"/>
        </w:rPr>
        <w:t>：</w:t>
      </w:r>
    </w:p>
    <w:p w14:paraId="79E2020F" w14:textId="77777777" w:rsidR="00606029" w:rsidRDefault="00EA5B92">
      <w:pPr>
        <w:jc w:val="center"/>
        <w:rPr>
          <w:sz w:val="24"/>
          <w:szCs w:val="24"/>
        </w:rPr>
      </w:pPr>
      <w:r>
        <w:rPr>
          <w:noProof/>
          <w:sz w:val="24"/>
          <w:szCs w:val="24"/>
        </w:rPr>
        <w:drawing>
          <wp:inline distT="0" distB="0" distL="114300" distR="114300" wp14:anchorId="585F38DB" wp14:editId="581502CC">
            <wp:extent cx="1308100" cy="457200"/>
            <wp:effectExtent l="0" t="0" r="6350" b="0"/>
            <wp:docPr id="1671"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1" name="图片 66"/>
                    <pic:cNvPicPr preferRelativeResize="0">
                      <a:picLocks noChangeAspect="1"/>
                    </pic:cNvPicPr>
                  </pic:nvPicPr>
                  <pic:blipFill>
                    <a:blip r:embed="rId74"/>
                    <a:stretch>
                      <a:fillRect/>
                    </a:stretch>
                  </pic:blipFill>
                  <pic:spPr>
                    <a:xfrm>
                      <a:off x="0" y="0"/>
                      <a:ext cx="1308100" cy="457200"/>
                    </a:xfrm>
                    <a:prstGeom prst="rect">
                      <a:avLst/>
                    </a:prstGeom>
                    <a:noFill/>
                    <a:ln>
                      <a:noFill/>
                    </a:ln>
                  </pic:spPr>
                </pic:pic>
              </a:graphicData>
            </a:graphic>
          </wp:inline>
        </w:drawing>
      </w:r>
      <w:r>
        <w:rPr>
          <w:sz w:val="24"/>
          <w:szCs w:val="24"/>
        </w:rPr>
        <w:t xml:space="preserve">    pH</w:t>
      </w:r>
      <w:r>
        <w:rPr>
          <w:sz w:val="24"/>
          <w:szCs w:val="24"/>
          <w:vertAlign w:val="subscript"/>
        </w:rPr>
        <w:t>j</w:t>
      </w:r>
      <w:r>
        <w:rPr>
          <w:sz w:val="24"/>
          <w:szCs w:val="24"/>
        </w:rPr>
        <w:t>≤7.0</w:t>
      </w:r>
    </w:p>
    <w:p w14:paraId="6E75F2C1" w14:textId="77777777" w:rsidR="00606029" w:rsidRDefault="00EA5B92">
      <w:pPr>
        <w:jc w:val="center"/>
        <w:rPr>
          <w:sz w:val="24"/>
          <w:szCs w:val="24"/>
        </w:rPr>
      </w:pPr>
      <w:r>
        <w:rPr>
          <w:noProof/>
          <w:sz w:val="24"/>
          <w:szCs w:val="24"/>
        </w:rPr>
        <w:drawing>
          <wp:inline distT="0" distB="0" distL="114300" distR="114300" wp14:anchorId="391932C3" wp14:editId="16BD36D6">
            <wp:extent cx="1320165" cy="457200"/>
            <wp:effectExtent l="0" t="0" r="13335" b="0"/>
            <wp:docPr id="1672"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2" name="图片 67"/>
                    <pic:cNvPicPr preferRelativeResize="0">
                      <a:picLocks noChangeAspect="1"/>
                    </pic:cNvPicPr>
                  </pic:nvPicPr>
                  <pic:blipFill>
                    <a:blip r:embed="rId75"/>
                    <a:stretch>
                      <a:fillRect/>
                    </a:stretch>
                  </pic:blipFill>
                  <pic:spPr>
                    <a:xfrm>
                      <a:off x="0" y="0"/>
                      <a:ext cx="1320165" cy="457200"/>
                    </a:xfrm>
                    <a:prstGeom prst="rect">
                      <a:avLst/>
                    </a:prstGeom>
                    <a:noFill/>
                    <a:ln>
                      <a:noFill/>
                    </a:ln>
                  </pic:spPr>
                </pic:pic>
              </a:graphicData>
            </a:graphic>
          </wp:inline>
        </w:drawing>
      </w:r>
      <w:r>
        <w:rPr>
          <w:sz w:val="24"/>
          <w:szCs w:val="24"/>
        </w:rPr>
        <w:t xml:space="preserve">    pH</w:t>
      </w:r>
      <w:r>
        <w:rPr>
          <w:sz w:val="24"/>
          <w:szCs w:val="24"/>
          <w:vertAlign w:val="subscript"/>
        </w:rPr>
        <w:t>j</w:t>
      </w:r>
      <w:r>
        <w:rPr>
          <w:sz w:val="24"/>
          <w:szCs w:val="24"/>
        </w:rPr>
        <w:t>&gt;7.0</w:t>
      </w:r>
    </w:p>
    <w:p w14:paraId="3DEED950" w14:textId="019EEA6B" w:rsidR="00606029" w:rsidRDefault="00EA5B92">
      <w:pPr>
        <w:spacing w:line="360" w:lineRule="auto"/>
        <w:ind w:firstLineChars="800" w:firstLine="1920"/>
        <w:rPr>
          <w:sz w:val="24"/>
          <w:szCs w:val="24"/>
        </w:rPr>
      </w:pPr>
      <w:r>
        <w:rPr>
          <w:sz w:val="24"/>
          <w:szCs w:val="24"/>
        </w:rPr>
        <w:t>式中</w:t>
      </w:r>
      <w:r w:rsidR="006A52CC">
        <w:rPr>
          <w:sz w:val="24"/>
          <w:szCs w:val="24"/>
        </w:rPr>
        <w:t>：</w:t>
      </w:r>
      <w:r>
        <w:rPr>
          <w:sz w:val="24"/>
          <w:szCs w:val="24"/>
        </w:rPr>
        <w:t>pH</w:t>
      </w:r>
      <w:r>
        <w:rPr>
          <w:sz w:val="24"/>
          <w:szCs w:val="24"/>
          <w:vertAlign w:val="subscript"/>
        </w:rPr>
        <w:t>j</w:t>
      </w:r>
      <w:r>
        <w:rPr>
          <w:sz w:val="24"/>
          <w:szCs w:val="24"/>
        </w:rPr>
        <w:t>―</w:t>
      </w:r>
      <w:r>
        <w:rPr>
          <w:sz w:val="24"/>
          <w:szCs w:val="24"/>
        </w:rPr>
        <w:t>监测值；</w:t>
      </w:r>
    </w:p>
    <w:p w14:paraId="0F13AE01" w14:textId="77777777" w:rsidR="00606029" w:rsidRDefault="00EA5B92">
      <w:pPr>
        <w:spacing w:line="360" w:lineRule="auto"/>
        <w:jc w:val="center"/>
        <w:rPr>
          <w:sz w:val="24"/>
          <w:szCs w:val="24"/>
        </w:rPr>
      </w:pPr>
      <w:r>
        <w:rPr>
          <w:sz w:val="24"/>
          <w:szCs w:val="24"/>
        </w:rPr>
        <w:t>pH</w:t>
      </w:r>
      <w:r>
        <w:rPr>
          <w:sz w:val="24"/>
          <w:szCs w:val="24"/>
          <w:vertAlign w:val="subscript"/>
        </w:rPr>
        <w:t>LL</w:t>
      </w:r>
      <w:r>
        <w:rPr>
          <w:sz w:val="24"/>
          <w:szCs w:val="24"/>
        </w:rPr>
        <w:t>―</w:t>
      </w:r>
      <w:r>
        <w:rPr>
          <w:sz w:val="24"/>
          <w:szCs w:val="24"/>
        </w:rPr>
        <w:t>水质标准中规定的</w:t>
      </w:r>
      <w:r>
        <w:rPr>
          <w:sz w:val="24"/>
          <w:szCs w:val="24"/>
        </w:rPr>
        <w:t>pH</w:t>
      </w:r>
      <w:r>
        <w:rPr>
          <w:sz w:val="24"/>
          <w:szCs w:val="24"/>
        </w:rPr>
        <w:t>的下限；</w:t>
      </w:r>
    </w:p>
    <w:p w14:paraId="01070AF9" w14:textId="77777777" w:rsidR="00606029" w:rsidRDefault="00EA5B92">
      <w:pPr>
        <w:spacing w:line="360" w:lineRule="auto"/>
        <w:jc w:val="center"/>
        <w:rPr>
          <w:sz w:val="24"/>
          <w:szCs w:val="24"/>
        </w:rPr>
      </w:pPr>
      <w:r>
        <w:rPr>
          <w:sz w:val="24"/>
          <w:szCs w:val="24"/>
        </w:rPr>
        <w:t>pH</w:t>
      </w:r>
      <w:r>
        <w:rPr>
          <w:sz w:val="24"/>
          <w:szCs w:val="24"/>
          <w:vertAlign w:val="subscript"/>
        </w:rPr>
        <w:t>UL</w:t>
      </w:r>
      <w:r>
        <w:rPr>
          <w:sz w:val="24"/>
          <w:szCs w:val="24"/>
        </w:rPr>
        <w:t>―</w:t>
      </w:r>
      <w:r>
        <w:rPr>
          <w:sz w:val="24"/>
          <w:szCs w:val="24"/>
        </w:rPr>
        <w:t>水质标准中规定的</w:t>
      </w:r>
      <w:r>
        <w:rPr>
          <w:sz w:val="24"/>
          <w:szCs w:val="24"/>
        </w:rPr>
        <w:t>pH</w:t>
      </w:r>
      <w:r>
        <w:rPr>
          <w:sz w:val="24"/>
          <w:szCs w:val="24"/>
        </w:rPr>
        <w:t>的上限。</w:t>
      </w:r>
    </w:p>
    <w:p w14:paraId="063CA530" w14:textId="77777777" w:rsidR="00606029" w:rsidRDefault="00EA5B92">
      <w:pPr>
        <w:spacing w:line="360" w:lineRule="auto"/>
        <w:ind w:firstLineChars="200" w:firstLine="480"/>
        <w:jc w:val="left"/>
        <w:rPr>
          <w:sz w:val="24"/>
          <w:szCs w:val="24"/>
        </w:rPr>
      </w:pPr>
      <w:r>
        <w:rPr>
          <w:sz w:val="24"/>
          <w:szCs w:val="24"/>
        </w:rPr>
        <w:t>水质参数的标准指数</w:t>
      </w:r>
      <w:r>
        <w:rPr>
          <w:sz w:val="24"/>
          <w:szCs w:val="24"/>
        </w:rPr>
        <w:t>&gt;1</w:t>
      </w:r>
      <w:r>
        <w:rPr>
          <w:sz w:val="24"/>
          <w:szCs w:val="24"/>
        </w:rPr>
        <w:t>，表明该水质参数超过了规定的水质标准限值，已经不能满足水质功能要求。</w:t>
      </w:r>
      <w:r>
        <w:rPr>
          <w:bCs/>
          <w:sz w:val="24"/>
          <w:szCs w:val="24"/>
        </w:rPr>
        <w:t>水质参数的标准指数越大，说明该水质参数超标越严重。</w:t>
      </w:r>
    </w:p>
    <w:p w14:paraId="5F99D4CA" w14:textId="197D1BED" w:rsidR="00606029" w:rsidRDefault="00EA5B92">
      <w:pPr>
        <w:widowControl/>
        <w:autoSpaceDE w:val="0"/>
        <w:autoSpaceDN w:val="0"/>
        <w:adjustRightInd w:val="0"/>
        <w:snapToGrid w:val="0"/>
        <w:spacing w:line="360" w:lineRule="auto"/>
        <w:ind w:firstLineChars="200" w:firstLine="480"/>
        <w:textAlignment w:val="baseline"/>
        <w:rPr>
          <w:snapToGrid w:val="0"/>
          <w:color w:val="000000"/>
          <w:kern w:val="0"/>
          <w:sz w:val="24"/>
        </w:rPr>
      </w:pPr>
      <w:r>
        <w:rPr>
          <w:snapToGrid w:val="0"/>
          <w:color w:val="000000"/>
          <w:kern w:val="0"/>
          <w:sz w:val="24"/>
        </w:rPr>
        <w:t>（</w:t>
      </w:r>
      <w:r w:rsidR="00621F05">
        <w:rPr>
          <w:rFonts w:hint="eastAsia"/>
          <w:snapToGrid w:val="0"/>
          <w:color w:val="000000"/>
          <w:kern w:val="0"/>
          <w:sz w:val="24"/>
        </w:rPr>
        <w:t>5</w:t>
      </w:r>
      <w:r>
        <w:rPr>
          <w:snapToGrid w:val="0"/>
          <w:color w:val="000000"/>
          <w:kern w:val="0"/>
          <w:sz w:val="24"/>
        </w:rPr>
        <w:t>）监测统计评价结果</w:t>
      </w:r>
    </w:p>
    <w:p w14:paraId="2B85311E" w14:textId="77777777" w:rsidR="00606029" w:rsidRDefault="00EA5B92">
      <w:pPr>
        <w:spacing w:line="360" w:lineRule="auto"/>
        <w:ind w:firstLineChars="200" w:firstLine="480"/>
        <w:jc w:val="left"/>
        <w:rPr>
          <w:sz w:val="24"/>
          <w:szCs w:val="24"/>
        </w:rPr>
      </w:pPr>
      <w:r>
        <w:rPr>
          <w:sz w:val="24"/>
          <w:szCs w:val="24"/>
        </w:rPr>
        <w:t>对监测分析数据进行统计分析及评价，详细情况见下表。</w:t>
      </w:r>
    </w:p>
    <w:p w14:paraId="2FBA1D6C" w14:textId="77777777" w:rsidR="00606029" w:rsidRDefault="00606029">
      <w:pPr>
        <w:pStyle w:val="affffff5"/>
        <w:sectPr w:rsidR="00606029" w:rsidSect="00EA5215">
          <w:pgSz w:w="11905" w:h="16838"/>
          <w:pgMar w:top="1417" w:right="1474" w:bottom="1417" w:left="1474" w:header="850" w:footer="850" w:gutter="113"/>
          <w:cols w:space="0"/>
          <w:docGrid w:linePitch="1"/>
        </w:sectPr>
      </w:pPr>
    </w:p>
    <w:p w14:paraId="120783B1" w14:textId="371575A0" w:rsidR="00606029" w:rsidRDefault="00EA5B92">
      <w:pPr>
        <w:pStyle w:val="affffff5"/>
      </w:pPr>
      <w:r>
        <w:lastRenderedPageBreak/>
        <w:t>表</w:t>
      </w:r>
      <w:r>
        <w:t>5.2-</w:t>
      </w:r>
      <w:r w:rsidR="00E101A2">
        <w:rPr>
          <w:rFonts w:hint="eastAsia"/>
        </w:rPr>
        <w:t>2</w:t>
      </w:r>
      <w:r>
        <w:t xml:space="preserve">  </w:t>
      </w:r>
      <w:r>
        <w:t>地下水水质监测统计结果</w:t>
      </w:r>
      <w:r>
        <w:t xml:space="preserve">   </w:t>
      </w:r>
      <w:r>
        <w:t>单位</w:t>
      </w:r>
      <w:r w:rsidR="006A52CC">
        <w:t>：</w:t>
      </w:r>
      <w:r>
        <w:t>mg/L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1"/>
        <w:gridCol w:w="1640"/>
        <w:gridCol w:w="1338"/>
        <w:gridCol w:w="1125"/>
        <w:gridCol w:w="1125"/>
        <w:gridCol w:w="1125"/>
        <w:gridCol w:w="1139"/>
        <w:gridCol w:w="1083"/>
        <w:gridCol w:w="1105"/>
        <w:gridCol w:w="1027"/>
        <w:gridCol w:w="1304"/>
      </w:tblGrid>
      <w:tr w:rsidR="00E101A2" w:rsidRPr="00D32158" w14:paraId="61AA9E90" w14:textId="77777777" w:rsidTr="00E101A2">
        <w:trPr>
          <w:trHeight w:val="57"/>
          <w:jc w:val="center"/>
        </w:trPr>
        <w:tc>
          <w:tcPr>
            <w:tcW w:w="708" w:type="pct"/>
            <w:vMerge w:val="restart"/>
            <w:tcBorders>
              <w:tl2br w:val="nil"/>
              <w:tr2bl w:val="nil"/>
            </w:tcBorders>
            <w:vAlign w:val="center"/>
          </w:tcPr>
          <w:p w14:paraId="4553CD68" w14:textId="77777777" w:rsidR="00E101A2" w:rsidRPr="00D32158" w:rsidRDefault="00E101A2">
            <w:pPr>
              <w:adjustRightInd w:val="0"/>
              <w:snapToGrid w:val="0"/>
              <w:jc w:val="center"/>
            </w:pPr>
            <w:r w:rsidRPr="00D32158">
              <w:t>监测项目</w:t>
            </w:r>
          </w:p>
        </w:tc>
        <w:tc>
          <w:tcPr>
            <w:tcW w:w="586" w:type="pct"/>
            <w:vMerge w:val="restart"/>
            <w:vAlign w:val="center"/>
          </w:tcPr>
          <w:p w14:paraId="035D5F51" w14:textId="77777777" w:rsidR="00E101A2" w:rsidRPr="00D32158" w:rsidRDefault="00E101A2">
            <w:pPr>
              <w:adjustRightInd w:val="0"/>
              <w:snapToGrid w:val="0"/>
              <w:jc w:val="center"/>
            </w:pPr>
          </w:p>
        </w:tc>
        <w:tc>
          <w:tcPr>
            <w:tcW w:w="478" w:type="pct"/>
            <w:vMerge w:val="restart"/>
            <w:tcBorders>
              <w:tl2br w:val="nil"/>
              <w:tr2bl w:val="nil"/>
            </w:tcBorders>
            <w:vAlign w:val="center"/>
          </w:tcPr>
          <w:p w14:paraId="3AFBD9C9" w14:textId="33E56B97" w:rsidR="00E101A2" w:rsidRPr="00D32158" w:rsidRDefault="00E101A2">
            <w:pPr>
              <w:adjustRightInd w:val="0"/>
              <w:snapToGrid w:val="0"/>
              <w:jc w:val="center"/>
            </w:pPr>
            <w:r w:rsidRPr="00D32158">
              <w:t>单位</w:t>
            </w:r>
          </w:p>
        </w:tc>
        <w:tc>
          <w:tcPr>
            <w:tcW w:w="2762" w:type="pct"/>
            <w:gridSpan w:val="7"/>
            <w:tcBorders>
              <w:tl2br w:val="nil"/>
              <w:tr2bl w:val="nil"/>
            </w:tcBorders>
            <w:vAlign w:val="center"/>
          </w:tcPr>
          <w:p w14:paraId="7F86AE5C" w14:textId="596D61E9" w:rsidR="00E101A2" w:rsidRPr="00D32158" w:rsidRDefault="00E101A2">
            <w:pPr>
              <w:adjustRightInd w:val="0"/>
              <w:snapToGrid w:val="0"/>
              <w:jc w:val="center"/>
            </w:pPr>
            <w:r w:rsidRPr="00D32158">
              <w:t>监测结果</w:t>
            </w:r>
          </w:p>
        </w:tc>
        <w:tc>
          <w:tcPr>
            <w:tcW w:w="466" w:type="pct"/>
            <w:vMerge w:val="restart"/>
            <w:tcBorders>
              <w:tl2br w:val="nil"/>
              <w:tr2bl w:val="nil"/>
            </w:tcBorders>
            <w:vAlign w:val="center"/>
          </w:tcPr>
          <w:p w14:paraId="4D917E64" w14:textId="4A036C22" w:rsidR="00E101A2" w:rsidRPr="00D32158" w:rsidRDefault="00E101A2">
            <w:pPr>
              <w:adjustRightInd w:val="0"/>
              <w:snapToGrid w:val="0"/>
              <w:jc w:val="center"/>
            </w:pPr>
            <w:r w:rsidRPr="00D32158">
              <w:t>（</w:t>
            </w:r>
            <w:r w:rsidRPr="00D32158">
              <w:t>GB/T 14848-2017</w:t>
            </w:r>
            <w:r w:rsidRPr="00D32158">
              <w:t>）表</w:t>
            </w:r>
            <w:r w:rsidRPr="00D32158">
              <w:t>1</w:t>
            </w:r>
            <w:r w:rsidRPr="00D32158">
              <w:t>地下水</w:t>
            </w:r>
            <w:r w:rsidRPr="00D32158">
              <w:t>Ⅲ</w:t>
            </w:r>
            <w:r w:rsidRPr="00D32158">
              <w:t>类</w:t>
            </w:r>
          </w:p>
        </w:tc>
      </w:tr>
      <w:tr w:rsidR="00E101A2" w:rsidRPr="00D32158" w14:paraId="015C9689" w14:textId="77777777" w:rsidTr="00E101A2">
        <w:trPr>
          <w:trHeight w:val="57"/>
          <w:jc w:val="center"/>
        </w:trPr>
        <w:tc>
          <w:tcPr>
            <w:tcW w:w="708" w:type="pct"/>
            <w:vMerge/>
            <w:tcBorders>
              <w:bottom w:val="single" w:sz="4" w:space="0" w:color="auto"/>
              <w:tl2br w:val="nil"/>
              <w:tr2bl w:val="nil"/>
            </w:tcBorders>
            <w:vAlign w:val="center"/>
          </w:tcPr>
          <w:p w14:paraId="6991EB27" w14:textId="77777777" w:rsidR="00E101A2" w:rsidRPr="00D32158" w:rsidRDefault="00E101A2" w:rsidP="00A6719A">
            <w:pPr>
              <w:adjustRightInd w:val="0"/>
              <w:snapToGrid w:val="0"/>
              <w:jc w:val="center"/>
            </w:pPr>
          </w:p>
        </w:tc>
        <w:tc>
          <w:tcPr>
            <w:tcW w:w="586" w:type="pct"/>
            <w:vMerge/>
            <w:vAlign w:val="center"/>
          </w:tcPr>
          <w:p w14:paraId="19C7696F" w14:textId="77777777" w:rsidR="00E101A2" w:rsidRPr="00D32158" w:rsidRDefault="00E101A2" w:rsidP="00A6719A">
            <w:pPr>
              <w:adjustRightInd w:val="0"/>
              <w:snapToGrid w:val="0"/>
              <w:jc w:val="center"/>
            </w:pPr>
          </w:p>
        </w:tc>
        <w:tc>
          <w:tcPr>
            <w:tcW w:w="478" w:type="pct"/>
            <w:vMerge/>
            <w:tcBorders>
              <w:bottom w:val="single" w:sz="4" w:space="0" w:color="auto"/>
              <w:tl2br w:val="nil"/>
              <w:tr2bl w:val="nil"/>
            </w:tcBorders>
            <w:vAlign w:val="center"/>
          </w:tcPr>
          <w:p w14:paraId="1DF72624" w14:textId="301E69A3" w:rsidR="00E101A2" w:rsidRPr="00D32158" w:rsidRDefault="00E101A2" w:rsidP="00A6719A">
            <w:pPr>
              <w:adjustRightInd w:val="0"/>
              <w:snapToGrid w:val="0"/>
              <w:jc w:val="center"/>
            </w:pPr>
          </w:p>
        </w:tc>
        <w:tc>
          <w:tcPr>
            <w:tcW w:w="402" w:type="pct"/>
            <w:tcBorders>
              <w:bottom w:val="single" w:sz="4" w:space="0" w:color="auto"/>
              <w:tl2br w:val="nil"/>
              <w:tr2bl w:val="nil"/>
            </w:tcBorders>
            <w:vAlign w:val="center"/>
          </w:tcPr>
          <w:p w14:paraId="786E069C" w14:textId="2887C4F2" w:rsidR="00E101A2" w:rsidRPr="00D32158" w:rsidRDefault="00E101A2" w:rsidP="00A6719A">
            <w:pPr>
              <w:adjustRightInd w:val="0"/>
              <w:snapToGrid w:val="0"/>
              <w:jc w:val="center"/>
            </w:pPr>
            <w:r w:rsidRPr="00D32158">
              <w:t>区东北侧</w:t>
            </w:r>
            <w:r w:rsidRPr="00D32158">
              <w:t>1#</w:t>
            </w:r>
            <w:r w:rsidRPr="00D32158">
              <w:t>监测井</w:t>
            </w:r>
          </w:p>
        </w:tc>
        <w:tc>
          <w:tcPr>
            <w:tcW w:w="402" w:type="pct"/>
            <w:tcBorders>
              <w:bottom w:val="single" w:sz="4" w:space="0" w:color="auto"/>
              <w:tl2br w:val="nil"/>
              <w:tr2bl w:val="nil"/>
            </w:tcBorders>
            <w:vAlign w:val="center"/>
          </w:tcPr>
          <w:p w14:paraId="300079D2" w14:textId="0D07340B" w:rsidR="00E101A2" w:rsidRPr="00D32158" w:rsidRDefault="00E101A2" w:rsidP="00A6719A">
            <w:pPr>
              <w:adjustRightInd w:val="0"/>
              <w:snapToGrid w:val="0"/>
              <w:jc w:val="center"/>
            </w:pPr>
            <w:r w:rsidRPr="00D32158">
              <w:t>厂区中部地下水</w:t>
            </w:r>
            <w:r w:rsidRPr="00D32158">
              <w:t>2#</w:t>
            </w:r>
            <w:r w:rsidRPr="00D32158">
              <w:t>监测井</w:t>
            </w:r>
          </w:p>
        </w:tc>
        <w:tc>
          <w:tcPr>
            <w:tcW w:w="402" w:type="pct"/>
            <w:tcBorders>
              <w:bottom w:val="single" w:sz="4" w:space="0" w:color="auto"/>
              <w:tl2br w:val="nil"/>
              <w:tr2bl w:val="nil"/>
            </w:tcBorders>
            <w:vAlign w:val="center"/>
          </w:tcPr>
          <w:p w14:paraId="1D4E3D8A" w14:textId="6A128B8E" w:rsidR="00E101A2" w:rsidRPr="00D32158" w:rsidRDefault="00E101A2" w:rsidP="00A6719A">
            <w:pPr>
              <w:adjustRightInd w:val="0"/>
              <w:snapToGrid w:val="0"/>
              <w:jc w:val="center"/>
            </w:pPr>
            <w:r w:rsidRPr="00D32158">
              <w:t>厂区西南侧地下水</w:t>
            </w:r>
            <w:r w:rsidRPr="00D32158">
              <w:t>3#</w:t>
            </w:r>
            <w:r w:rsidRPr="00D32158">
              <w:t>监测井</w:t>
            </w:r>
          </w:p>
        </w:tc>
        <w:tc>
          <w:tcPr>
            <w:tcW w:w="407" w:type="pct"/>
            <w:tcBorders>
              <w:bottom w:val="single" w:sz="4" w:space="0" w:color="auto"/>
            </w:tcBorders>
            <w:vAlign w:val="center"/>
          </w:tcPr>
          <w:p w14:paraId="5D9B9F36" w14:textId="48B95D15" w:rsidR="00E101A2" w:rsidRPr="00D32158" w:rsidRDefault="00E101A2" w:rsidP="00A6719A">
            <w:pPr>
              <w:adjustRightInd w:val="0"/>
              <w:snapToGrid w:val="0"/>
              <w:jc w:val="center"/>
            </w:pPr>
            <w:r w:rsidRPr="00D32158">
              <w:t>厂区内排水井</w:t>
            </w:r>
          </w:p>
        </w:tc>
        <w:tc>
          <w:tcPr>
            <w:tcW w:w="387" w:type="pct"/>
            <w:tcBorders>
              <w:bottom w:val="single" w:sz="4" w:space="0" w:color="auto"/>
            </w:tcBorders>
            <w:vAlign w:val="center"/>
          </w:tcPr>
          <w:p w14:paraId="3637D0C8" w14:textId="0A34D369" w:rsidR="00E101A2" w:rsidRPr="00D32158" w:rsidRDefault="00E101A2" w:rsidP="00A6719A">
            <w:pPr>
              <w:adjustRightInd w:val="0"/>
              <w:snapToGrid w:val="0"/>
              <w:jc w:val="center"/>
            </w:pPr>
            <w:r w:rsidRPr="00D32158">
              <w:t>厂区内本底井</w:t>
            </w:r>
          </w:p>
        </w:tc>
        <w:tc>
          <w:tcPr>
            <w:tcW w:w="395" w:type="pct"/>
            <w:tcBorders>
              <w:bottom w:val="single" w:sz="4" w:space="0" w:color="auto"/>
            </w:tcBorders>
            <w:vAlign w:val="center"/>
          </w:tcPr>
          <w:p w14:paraId="456C7F2A" w14:textId="279F2263" w:rsidR="00E101A2" w:rsidRPr="00D32158" w:rsidRDefault="00E101A2" w:rsidP="00A6719A">
            <w:pPr>
              <w:adjustRightInd w:val="0"/>
              <w:snapToGrid w:val="0"/>
              <w:jc w:val="center"/>
              <w:rPr>
                <w:szCs w:val="18"/>
              </w:rPr>
            </w:pPr>
            <w:r w:rsidRPr="00D32158">
              <w:t>厂区东北红旗二村</w:t>
            </w:r>
          </w:p>
        </w:tc>
        <w:tc>
          <w:tcPr>
            <w:tcW w:w="367" w:type="pct"/>
            <w:tcBorders>
              <w:bottom w:val="single" w:sz="4" w:space="0" w:color="auto"/>
              <w:tl2br w:val="nil"/>
              <w:tr2bl w:val="nil"/>
            </w:tcBorders>
            <w:vAlign w:val="center"/>
          </w:tcPr>
          <w:p w14:paraId="16514D4B" w14:textId="5711BC25" w:rsidR="00E101A2" w:rsidRPr="00D32158" w:rsidRDefault="00E101A2" w:rsidP="00A6719A">
            <w:pPr>
              <w:adjustRightInd w:val="0"/>
              <w:snapToGrid w:val="0"/>
              <w:jc w:val="center"/>
              <w:rPr>
                <w:bCs/>
              </w:rPr>
            </w:pPr>
            <w:r w:rsidRPr="00D32158">
              <w:rPr>
                <w:bCs/>
              </w:rPr>
              <w:t>杏六联地下水监测井</w:t>
            </w:r>
          </w:p>
        </w:tc>
        <w:tc>
          <w:tcPr>
            <w:tcW w:w="466" w:type="pct"/>
            <w:vMerge/>
            <w:tcBorders>
              <w:bottom w:val="single" w:sz="4" w:space="0" w:color="auto"/>
              <w:tl2br w:val="nil"/>
              <w:tr2bl w:val="nil"/>
            </w:tcBorders>
            <w:vAlign w:val="center"/>
          </w:tcPr>
          <w:p w14:paraId="480EF868" w14:textId="77777777" w:rsidR="00E101A2" w:rsidRPr="00D32158" w:rsidRDefault="00E101A2" w:rsidP="00A6719A">
            <w:pPr>
              <w:adjustRightInd w:val="0"/>
              <w:snapToGrid w:val="0"/>
              <w:jc w:val="center"/>
            </w:pPr>
          </w:p>
        </w:tc>
      </w:tr>
      <w:tr w:rsidR="00E101A2" w:rsidRPr="00D32158" w14:paraId="28D83790" w14:textId="77777777" w:rsidTr="00E101A2">
        <w:trPr>
          <w:trHeight w:val="57"/>
          <w:jc w:val="center"/>
        </w:trPr>
        <w:tc>
          <w:tcPr>
            <w:tcW w:w="708" w:type="pct"/>
            <w:vMerge w:val="restart"/>
            <w:tcBorders>
              <w:top w:val="single" w:sz="4" w:space="0" w:color="auto"/>
              <w:right w:val="single" w:sz="4" w:space="0" w:color="auto"/>
            </w:tcBorders>
            <w:vAlign w:val="center"/>
          </w:tcPr>
          <w:p w14:paraId="5807B6B2" w14:textId="33634F24" w:rsidR="00E101A2" w:rsidRPr="00D32158" w:rsidRDefault="00E101A2" w:rsidP="00AF446D">
            <w:pPr>
              <w:adjustRightInd w:val="0"/>
              <w:snapToGrid w:val="0"/>
              <w:jc w:val="center"/>
            </w:pPr>
            <w:r w:rsidRPr="00D32158">
              <w:t>K</w:t>
            </w:r>
            <w:r w:rsidRPr="00D32158">
              <w:rPr>
                <w:vertAlign w:val="superscript"/>
              </w:rPr>
              <w:t>+</w:t>
            </w:r>
          </w:p>
        </w:tc>
        <w:tc>
          <w:tcPr>
            <w:tcW w:w="586" w:type="pct"/>
            <w:vAlign w:val="center"/>
          </w:tcPr>
          <w:p w14:paraId="1F003FB2" w14:textId="7A6DA600" w:rsidR="00E101A2" w:rsidRPr="00D32158" w:rsidRDefault="00E101A2" w:rsidP="00AF446D">
            <w:pPr>
              <w:adjustRightInd w:val="0"/>
              <w:snapToGrid w:val="0"/>
              <w:jc w:val="center"/>
            </w:pPr>
            <w:r>
              <w:rPr>
                <w:rFonts w:hint="eastAsia"/>
              </w:rPr>
              <w:t>监测值</w:t>
            </w:r>
          </w:p>
        </w:tc>
        <w:tc>
          <w:tcPr>
            <w:tcW w:w="478" w:type="pct"/>
            <w:vMerge w:val="restart"/>
            <w:tcBorders>
              <w:top w:val="single" w:sz="4" w:space="0" w:color="auto"/>
              <w:left w:val="single" w:sz="4" w:space="0" w:color="auto"/>
              <w:right w:val="single" w:sz="4" w:space="0" w:color="auto"/>
              <w:tl2br w:val="nil"/>
              <w:tr2bl w:val="nil"/>
            </w:tcBorders>
            <w:vAlign w:val="center"/>
          </w:tcPr>
          <w:p w14:paraId="3AF8BBF5" w14:textId="12248B4A" w:rsidR="00E101A2" w:rsidRPr="00D32158" w:rsidRDefault="00E101A2" w:rsidP="00AF446D">
            <w:pPr>
              <w:adjustRightInd w:val="0"/>
              <w:snapToGrid w:val="0"/>
              <w:jc w:val="center"/>
            </w:pPr>
            <w:r w:rsidRPr="00D32158">
              <w:t>mg/L</w:t>
            </w:r>
          </w:p>
        </w:tc>
        <w:tc>
          <w:tcPr>
            <w:tcW w:w="402" w:type="pct"/>
            <w:tcBorders>
              <w:top w:val="single" w:sz="4" w:space="0" w:color="auto"/>
              <w:left w:val="single" w:sz="4" w:space="0" w:color="auto"/>
              <w:bottom w:val="single" w:sz="4" w:space="0" w:color="auto"/>
              <w:right w:val="single" w:sz="4" w:space="0" w:color="auto"/>
            </w:tcBorders>
            <w:vAlign w:val="center"/>
          </w:tcPr>
          <w:p w14:paraId="4B8F3726" w14:textId="5A9AFAE4" w:rsidR="00E101A2" w:rsidRPr="00D32158" w:rsidRDefault="00E101A2" w:rsidP="00AF446D">
            <w:pPr>
              <w:widowControl/>
              <w:adjustRightInd w:val="0"/>
              <w:snapToGrid w:val="0"/>
              <w:jc w:val="center"/>
              <w:textAlignment w:val="center"/>
            </w:pPr>
            <w:r>
              <w:rPr>
                <w:color w:val="000000"/>
                <w:sz w:val="22"/>
                <w:szCs w:val="22"/>
              </w:rPr>
              <w:t>2.14</w:t>
            </w:r>
          </w:p>
        </w:tc>
        <w:tc>
          <w:tcPr>
            <w:tcW w:w="402" w:type="pct"/>
            <w:tcBorders>
              <w:top w:val="single" w:sz="4" w:space="0" w:color="auto"/>
              <w:left w:val="single" w:sz="4" w:space="0" w:color="auto"/>
              <w:bottom w:val="single" w:sz="4" w:space="0" w:color="auto"/>
              <w:right w:val="single" w:sz="4" w:space="0" w:color="auto"/>
            </w:tcBorders>
            <w:vAlign w:val="center"/>
          </w:tcPr>
          <w:p w14:paraId="504392EE" w14:textId="09865622" w:rsidR="00E101A2" w:rsidRPr="00D32158" w:rsidRDefault="00E101A2" w:rsidP="00AF446D">
            <w:pPr>
              <w:widowControl/>
              <w:adjustRightInd w:val="0"/>
              <w:snapToGrid w:val="0"/>
              <w:jc w:val="center"/>
              <w:textAlignment w:val="center"/>
            </w:pPr>
            <w:r>
              <w:rPr>
                <w:color w:val="000000"/>
                <w:sz w:val="22"/>
                <w:szCs w:val="22"/>
              </w:rPr>
              <w:t>2.06</w:t>
            </w:r>
          </w:p>
        </w:tc>
        <w:tc>
          <w:tcPr>
            <w:tcW w:w="402" w:type="pct"/>
            <w:tcBorders>
              <w:top w:val="single" w:sz="4" w:space="0" w:color="auto"/>
              <w:left w:val="single" w:sz="4" w:space="0" w:color="auto"/>
              <w:bottom w:val="single" w:sz="4" w:space="0" w:color="auto"/>
              <w:right w:val="single" w:sz="4" w:space="0" w:color="auto"/>
            </w:tcBorders>
            <w:vAlign w:val="center"/>
          </w:tcPr>
          <w:p w14:paraId="4B68A467" w14:textId="682FAB01" w:rsidR="00E101A2" w:rsidRPr="00D32158" w:rsidRDefault="00E101A2" w:rsidP="00AF446D">
            <w:pPr>
              <w:widowControl/>
              <w:adjustRightInd w:val="0"/>
              <w:snapToGrid w:val="0"/>
              <w:jc w:val="center"/>
              <w:textAlignment w:val="center"/>
            </w:pPr>
            <w:r>
              <w:rPr>
                <w:color w:val="000000"/>
                <w:sz w:val="22"/>
                <w:szCs w:val="22"/>
              </w:rPr>
              <w:t>2.23</w:t>
            </w:r>
          </w:p>
        </w:tc>
        <w:tc>
          <w:tcPr>
            <w:tcW w:w="407" w:type="pct"/>
            <w:tcBorders>
              <w:top w:val="single" w:sz="4" w:space="0" w:color="auto"/>
              <w:left w:val="single" w:sz="4" w:space="0" w:color="auto"/>
              <w:bottom w:val="single" w:sz="4" w:space="0" w:color="auto"/>
              <w:right w:val="single" w:sz="4" w:space="0" w:color="auto"/>
            </w:tcBorders>
            <w:vAlign w:val="center"/>
          </w:tcPr>
          <w:p w14:paraId="0877EB7F" w14:textId="713A825C" w:rsidR="00E101A2" w:rsidRPr="00D32158" w:rsidRDefault="00E101A2" w:rsidP="00AF446D">
            <w:pPr>
              <w:widowControl/>
              <w:adjustRightInd w:val="0"/>
              <w:snapToGrid w:val="0"/>
              <w:jc w:val="center"/>
              <w:textAlignment w:val="center"/>
            </w:pPr>
            <w:r>
              <w:rPr>
                <w:color w:val="000000"/>
              </w:rPr>
              <w:t>1.96</w:t>
            </w:r>
          </w:p>
        </w:tc>
        <w:tc>
          <w:tcPr>
            <w:tcW w:w="387" w:type="pct"/>
            <w:tcBorders>
              <w:top w:val="single" w:sz="4" w:space="0" w:color="auto"/>
              <w:left w:val="single" w:sz="4" w:space="0" w:color="auto"/>
              <w:bottom w:val="single" w:sz="4" w:space="0" w:color="auto"/>
              <w:right w:val="single" w:sz="4" w:space="0" w:color="auto"/>
            </w:tcBorders>
            <w:vAlign w:val="center"/>
          </w:tcPr>
          <w:p w14:paraId="7B922613" w14:textId="0238BE8D" w:rsidR="00E101A2" w:rsidRPr="00D32158" w:rsidRDefault="00E101A2" w:rsidP="00AF446D">
            <w:pPr>
              <w:widowControl/>
              <w:adjustRightInd w:val="0"/>
              <w:snapToGrid w:val="0"/>
              <w:jc w:val="center"/>
              <w:textAlignment w:val="center"/>
            </w:pPr>
            <w:r>
              <w:rPr>
                <w:color w:val="000000"/>
              </w:rPr>
              <w:t>2.11</w:t>
            </w:r>
          </w:p>
        </w:tc>
        <w:tc>
          <w:tcPr>
            <w:tcW w:w="395" w:type="pct"/>
            <w:tcBorders>
              <w:top w:val="single" w:sz="4" w:space="0" w:color="auto"/>
              <w:left w:val="single" w:sz="4" w:space="0" w:color="auto"/>
              <w:bottom w:val="single" w:sz="4" w:space="0" w:color="auto"/>
              <w:right w:val="single" w:sz="4" w:space="0" w:color="auto"/>
            </w:tcBorders>
            <w:vAlign w:val="center"/>
          </w:tcPr>
          <w:p w14:paraId="2655EEAB" w14:textId="61A88C18" w:rsidR="00E101A2" w:rsidRPr="00D32158" w:rsidRDefault="00E101A2" w:rsidP="00AF446D">
            <w:pPr>
              <w:widowControl/>
              <w:adjustRightInd w:val="0"/>
              <w:snapToGrid w:val="0"/>
              <w:jc w:val="center"/>
              <w:textAlignment w:val="center"/>
              <w:rPr>
                <w:color w:val="000000"/>
                <w:kern w:val="0"/>
                <w:lang w:bidi="ar"/>
              </w:rPr>
            </w:pPr>
            <w:r>
              <w:rPr>
                <w:color w:val="000000"/>
              </w:rPr>
              <w:t>2.01</w:t>
            </w:r>
          </w:p>
        </w:tc>
        <w:tc>
          <w:tcPr>
            <w:tcW w:w="367" w:type="pct"/>
            <w:tcBorders>
              <w:top w:val="single" w:sz="4" w:space="0" w:color="auto"/>
              <w:left w:val="single" w:sz="4" w:space="0" w:color="auto"/>
              <w:bottom w:val="single" w:sz="4" w:space="0" w:color="auto"/>
              <w:right w:val="single" w:sz="4" w:space="0" w:color="auto"/>
            </w:tcBorders>
            <w:vAlign w:val="center"/>
          </w:tcPr>
          <w:p w14:paraId="30CB96EC" w14:textId="76348204" w:rsidR="00E101A2" w:rsidRPr="00D32158" w:rsidRDefault="00E101A2" w:rsidP="00AF446D">
            <w:pPr>
              <w:widowControl/>
              <w:adjustRightInd w:val="0"/>
              <w:snapToGrid w:val="0"/>
              <w:jc w:val="center"/>
              <w:textAlignment w:val="center"/>
              <w:rPr>
                <w:color w:val="000000"/>
                <w:kern w:val="0"/>
              </w:rPr>
            </w:pPr>
            <w:r>
              <w:rPr>
                <w:color w:val="000000"/>
              </w:rPr>
              <w:t>2.25</w:t>
            </w:r>
          </w:p>
        </w:tc>
        <w:tc>
          <w:tcPr>
            <w:tcW w:w="466" w:type="pct"/>
            <w:vMerge w:val="restart"/>
            <w:tcBorders>
              <w:top w:val="single" w:sz="4" w:space="0" w:color="auto"/>
              <w:left w:val="single" w:sz="4" w:space="0" w:color="auto"/>
            </w:tcBorders>
            <w:vAlign w:val="center"/>
          </w:tcPr>
          <w:p w14:paraId="0D69A47E" w14:textId="492462FF" w:rsidR="00E101A2" w:rsidRPr="00D32158" w:rsidRDefault="00E101A2" w:rsidP="00AF446D">
            <w:pPr>
              <w:adjustRightInd w:val="0"/>
              <w:snapToGrid w:val="0"/>
              <w:jc w:val="center"/>
            </w:pPr>
            <w:r>
              <w:rPr>
                <w:rFonts w:ascii="仿宋" w:eastAsia="仿宋" w:hAnsi="仿宋" w:cs="仿宋" w:hint="eastAsia"/>
              </w:rPr>
              <w:t>/</w:t>
            </w:r>
          </w:p>
        </w:tc>
      </w:tr>
      <w:tr w:rsidR="00E101A2" w:rsidRPr="00D32158" w14:paraId="35B4A80F" w14:textId="77777777" w:rsidTr="00E101A2">
        <w:trPr>
          <w:trHeight w:val="57"/>
          <w:jc w:val="center"/>
        </w:trPr>
        <w:tc>
          <w:tcPr>
            <w:tcW w:w="708" w:type="pct"/>
            <w:vMerge/>
            <w:tcBorders>
              <w:bottom w:val="single" w:sz="4" w:space="0" w:color="auto"/>
              <w:right w:val="single" w:sz="4" w:space="0" w:color="auto"/>
            </w:tcBorders>
            <w:vAlign w:val="center"/>
          </w:tcPr>
          <w:p w14:paraId="252825F4" w14:textId="77777777" w:rsidR="00E101A2" w:rsidRPr="00D32158" w:rsidRDefault="00E101A2" w:rsidP="00AF446D">
            <w:pPr>
              <w:adjustRightInd w:val="0"/>
              <w:snapToGrid w:val="0"/>
              <w:jc w:val="center"/>
            </w:pPr>
          </w:p>
        </w:tc>
        <w:tc>
          <w:tcPr>
            <w:tcW w:w="586" w:type="pct"/>
            <w:vAlign w:val="center"/>
          </w:tcPr>
          <w:p w14:paraId="595FB636" w14:textId="4B058C1E" w:rsidR="00E101A2" w:rsidRPr="00D32158" w:rsidRDefault="00E101A2" w:rsidP="00AF446D">
            <w:pPr>
              <w:adjustRightInd w:val="0"/>
              <w:snapToGrid w:val="0"/>
              <w:jc w:val="center"/>
            </w:pPr>
            <w:r>
              <w:rPr>
                <w:rFonts w:hint="eastAsia"/>
              </w:rPr>
              <w:t>标准指数</w:t>
            </w:r>
          </w:p>
        </w:tc>
        <w:tc>
          <w:tcPr>
            <w:tcW w:w="478" w:type="pct"/>
            <w:vMerge/>
            <w:tcBorders>
              <w:left w:val="single" w:sz="4" w:space="0" w:color="auto"/>
              <w:bottom w:val="single" w:sz="4" w:space="0" w:color="auto"/>
              <w:right w:val="single" w:sz="4" w:space="0" w:color="auto"/>
              <w:tl2br w:val="nil"/>
              <w:tr2bl w:val="nil"/>
            </w:tcBorders>
            <w:vAlign w:val="center"/>
          </w:tcPr>
          <w:p w14:paraId="1044CF0B" w14:textId="679850C6" w:rsidR="00E101A2" w:rsidRPr="00D32158" w:rsidRDefault="00E101A2" w:rsidP="00AF446D">
            <w:pPr>
              <w:adjustRightInd w:val="0"/>
              <w:snapToGrid w:val="0"/>
              <w:jc w:val="center"/>
            </w:pPr>
          </w:p>
        </w:tc>
        <w:tc>
          <w:tcPr>
            <w:tcW w:w="402" w:type="pct"/>
            <w:tcBorders>
              <w:top w:val="single" w:sz="4" w:space="0" w:color="auto"/>
              <w:left w:val="single" w:sz="4" w:space="0" w:color="auto"/>
              <w:bottom w:val="single" w:sz="4" w:space="0" w:color="auto"/>
              <w:right w:val="single" w:sz="4" w:space="0" w:color="auto"/>
            </w:tcBorders>
            <w:vAlign w:val="center"/>
          </w:tcPr>
          <w:p w14:paraId="3AC7A4D3" w14:textId="6AD08E4F" w:rsidR="00E101A2" w:rsidRPr="00D32158" w:rsidRDefault="00E101A2" w:rsidP="00AF446D">
            <w:pPr>
              <w:widowControl/>
              <w:adjustRightInd w:val="0"/>
              <w:snapToGrid w:val="0"/>
              <w:jc w:val="center"/>
              <w:textAlignment w:val="center"/>
              <w:rPr>
                <w:color w:val="000000"/>
                <w:sz w:val="22"/>
                <w:szCs w:val="22"/>
              </w:rPr>
            </w:pPr>
            <w:r>
              <w:rPr>
                <w:rFonts w:eastAsia="仿宋" w:hint="eastAsia"/>
              </w:rPr>
              <w:t>/</w:t>
            </w:r>
          </w:p>
        </w:tc>
        <w:tc>
          <w:tcPr>
            <w:tcW w:w="402" w:type="pct"/>
            <w:tcBorders>
              <w:top w:val="single" w:sz="4" w:space="0" w:color="auto"/>
              <w:left w:val="single" w:sz="4" w:space="0" w:color="auto"/>
              <w:bottom w:val="single" w:sz="4" w:space="0" w:color="auto"/>
              <w:right w:val="single" w:sz="4" w:space="0" w:color="auto"/>
            </w:tcBorders>
          </w:tcPr>
          <w:p w14:paraId="180B059A" w14:textId="6847516D" w:rsidR="00E101A2" w:rsidRPr="00D32158" w:rsidRDefault="00E101A2" w:rsidP="00AF446D">
            <w:pPr>
              <w:widowControl/>
              <w:adjustRightInd w:val="0"/>
              <w:snapToGrid w:val="0"/>
              <w:jc w:val="center"/>
              <w:textAlignment w:val="center"/>
              <w:rPr>
                <w:color w:val="000000"/>
                <w:sz w:val="22"/>
                <w:szCs w:val="22"/>
              </w:rPr>
            </w:pPr>
            <w:r w:rsidRPr="00030223">
              <w:rPr>
                <w:rFonts w:eastAsia="仿宋" w:hint="eastAsia"/>
              </w:rPr>
              <w:t>/</w:t>
            </w:r>
          </w:p>
        </w:tc>
        <w:tc>
          <w:tcPr>
            <w:tcW w:w="402" w:type="pct"/>
            <w:tcBorders>
              <w:top w:val="single" w:sz="4" w:space="0" w:color="auto"/>
              <w:left w:val="single" w:sz="4" w:space="0" w:color="auto"/>
              <w:bottom w:val="single" w:sz="4" w:space="0" w:color="auto"/>
              <w:right w:val="single" w:sz="4" w:space="0" w:color="auto"/>
            </w:tcBorders>
          </w:tcPr>
          <w:p w14:paraId="79E29B57" w14:textId="4293C2CB" w:rsidR="00E101A2" w:rsidRPr="00D32158" w:rsidRDefault="00E101A2" w:rsidP="00AF446D">
            <w:pPr>
              <w:widowControl/>
              <w:adjustRightInd w:val="0"/>
              <w:snapToGrid w:val="0"/>
              <w:jc w:val="center"/>
              <w:textAlignment w:val="center"/>
              <w:rPr>
                <w:color w:val="000000"/>
                <w:sz w:val="22"/>
                <w:szCs w:val="22"/>
              </w:rPr>
            </w:pPr>
            <w:r w:rsidRPr="00030223">
              <w:rPr>
                <w:rFonts w:eastAsia="仿宋" w:hint="eastAsia"/>
              </w:rPr>
              <w:t>/</w:t>
            </w:r>
          </w:p>
        </w:tc>
        <w:tc>
          <w:tcPr>
            <w:tcW w:w="407" w:type="pct"/>
            <w:tcBorders>
              <w:top w:val="single" w:sz="4" w:space="0" w:color="auto"/>
              <w:left w:val="single" w:sz="4" w:space="0" w:color="auto"/>
              <w:bottom w:val="single" w:sz="4" w:space="0" w:color="auto"/>
              <w:right w:val="single" w:sz="4" w:space="0" w:color="auto"/>
            </w:tcBorders>
          </w:tcPr>
          <w:p w14:paraId="056E53DE" w14:textId="02E8F18D" w:rsidR="00E101A2" w:rsidRDefault="00E101A2" w:rsidP="00AF446D">
            <w:pPr>
              <w:widowControl/>
              <w:adjustRightInd w:val="0"/>
              <w:snapToGrid w:val="0"/>
              <w:jc w:val="center"/>
              <w:textAlignment w:val="center"/>
              <w:rPr>
                <w:rFonts w:eastAsia="仿宋"/>
              </w:rPr>
            </w:pPr>
            <w:r w:rsidRPr="00030223">
              <w:rPr>
                <w:rFonts w:eastAsia="仿宋" w:hint="eastAsia"/>
              </w:rPr>
              <w:t>/</w:t>
            </w:r>
          </w:p>
        </w:tc>
        <w:tc>
          <w:tcPr>
            <w:tcW w:w="387" w:type="pct"/>
            <w:tcBorders>
              <w:top w:val="single" w:sz="4" w:space="0" w:color="auto"/>
              <w:left w:val="single" w:sz="4" w:space="0" w:color="auto"/>
              <w:bottom w:val="single" w:sz="4" w:space="0" w:color="auto"/>
              <w:right w:val="single" w:sz="4" w:space="0" w:color="auto"/>
            </w:tcBorders>
          </w:tcPr>
          <w:p w14:paraId="7494177B" w14:textId="0FF7E7F8" w:rsidR="00E101A2" w:rsidRDefault="00E101A2" w:rsidP="00AF446D">
            <w:pPr>
              <w:widowControl/>
              <w:adjustRightInd w:val="0"/>
              <w:snapToGrid w:val="0"/>
              <w:jc w:val="center"/>
              <w:textAlignment w:val="center"/>
              <w:rPr>
                <w:rFonts w:eastAsia="仿宋"/>
              </w:rPr>
            </w:pPr>
            <w:r w:rsidRPr="00030223">
              <w:rPr>
                <w:rFonts w:eastAsia="仿宋" w:hint="eastAsia"/>
              </w:rPr>
              <w:t>/</w:t>
            </w:r>
          </w:p>
        </w:tc>
        <w:tc>
          <w:tcPr>
            <w:tcW w:w="395" w:type="pct"/>
            <w:tcBorders>
              <w:top w:val="single" w:sz="4" w:space="0" w:color="auto"/>
              <w:left w:val="single" w:sz="4" w:space="0" w:color="auto"/>
              <w:bottom w:val="single" w:sz="4" w:space="0" w:color="auto"/>
              <w:right w:val="single" w:sz="4" w:space="0" w:color="auto"/>
            </w:tcBorders>
          </w:tcPr>
          <w:p w14:paraId="7055AD7C" w14:textId="4C73CCBE" w:rsidR="00E101A2" w:rsidRDefault="00E101A2" w:rsidP="00AF446D">
            <w:pPr>
              <w:widowControl/>
              <w:adjustRightInd w:val="0"/>
              <w:snapToGrid w:val="0"/>
              <w:jc w:val="center"/>
              <w:textAlignment w:val="center"/>
              <w:rPr>
                <w:rFonts w:eastAsia="仿宋"/>
              </w:rPr>
            </w:pPr>
            <w:r w:rsidRPr="00030223">
              <w:rPr>
                <w:rFonts w:eastAsia="仿宋" w:hint="eastAsia"/>
              </w:rPr>
              <w:t>/</w:t>
            </w:r>
          </w:p>
        </w:tc>
        <w:tc>
          <w:tcPr>
            <w:tcW w:w="367" w:type="pct"/>
            <w:tcBorders>
              <w:top w:val="single" w:sz="4" w:space="0" w:color="auto"/>
              <w:left w:val="single" w:sz="4" w:space="0" w:color="auto"/>
              <w:bottom w:val="single" w:sz="4" w:space="0" w:color="auto"/>
              <w:right w:val="single" w:sz="4" w:space="0" w:color="auto"/>
            </w:tcBorders>
          </w:tcPr>
          <w:p w14:paraId="21ED6C27" w14:textId="561D0C59" w:rsidR="00E101A2" w:rsidRDefault="00E101A2" w:rsidP="00AF446D">
            <w:pPr>
              <w:widowControl/>
              <w:adjustRightInd w:val="0"/>
              <w:snapToGrid w:val="0"/>
              <w:jc w:val="center"/>
              <w:textAlignment w:val="center"/>
              <w:rPr>
                <w:rFonts w:eastAsia="仿宋"/>
              </w:rPr>
            </w:pPr>
            <w:r w:rsidRPr="00030223">
              <w:rPr>
                <w:rFonts w:eastAsia="仿宋" w:hint="eastAsia"/>
              </w:rPr>
              <w:t>/</w:t>
            </w:r>
          </w:p>
        </w:tc>
        <w:tc>
          <w:tcPr>
            <w:tcW w:w="466" w:type="pct"/>
            <w:vMerge/>
            <w:tcBorders>
              <w:left w:val="single" w:sz="4" w:space="0" w:color="auto"/>
              <w:bottom w:val="single" w:sz="4" w:space="0" w:color="auto"/>
            </w:tcBorders>
            <w:vAlign w:val="center"/>
          </w:tcPr>
          <w:p w14:paraId="2C5AE29F" w14:textId="77777777" w:rsidR="00E101A2" w:rsidRDefault="00E101A2" w:rsidP="00AF446D">
            <w:pPr>
              <w:adjustRightInd w:val="0"/>
              <w:snapToGrid w:val="0"/>
              <w:jc w:val="center"/>
              <w:rPr>
                <w:rFonts w:ascii="仿宋" w:eastAsia="仿宋" w:hAnsi="仿宋" w:cs="仿宋" w:hint="eastAsia"/>
              </w:rPr>
            </w:pPr>
          </w:p>
        </w:tc>
      </w:tr>
      <w:tr w:rsidR="00E101A2" w:rsidRPr="00D32158" w14:paraId="3F73D868" w14:textId="77777777" w:rsidTr="00E101A2">
        <w:trPr>
          <w:trHeight w:val="57"/>
          <w:jc w:val="center"/>
        </w:trPr>
        <w:tc>
          <w:tcPr>
            <w:tcW w:w="708" w:type="pct"/>
            <w:vMerge w:val="restart"/>
            <w:tcBorders>
              <w:top w:val="single" w:sz="4" w:space="0" w:color="auto"/>
              <w:right w:val="single" w:sz="4" w:space="0" w:color="auto"/>
            </w:tcBorders>
            <w:vAlign w:val="center"/>
          </w:tcPr>
          <w:p w14:paraId="7766CD64" w14:textId="364FD95D" w:rsidR="00E101A2" w:rsidRPr="00D32158" w:rsidRDefault="00E101A2" w:rsidP="00E101A2">
            <w:pPr>
              <w:adjustRightInd w:val="0"/>
              <w:snapToGrid w:val="0"/>
              <w:jc w:val="center"/>
            </w:pPr>
            <w:r w:rsidRPr="00D32158">
              <w:t>Na</w:t>
            </w:r>
            <w:r w:rsidRPr="00D32158">
              <w:rPr>
                <w:vertAlign w:val="superscript"/>
              </w:rPr>
              <w:t>+</w:t>
            </w:r>
          </w:p>
        </w:tc>
        <w:tc>
          <w:tcPr>
            <w:tcW w:w="586" w:type="pct"/>
            <w:vAlign w:val="center"/>
          </w:tcPr>
          <w:p w14:paraId="2F87B035" w14:textId="640BD83A" w:rsidR="00E101A2" w:rsidRPr="00D32158" w:rsidRDefault="00E101A2" w:rsidP="00E101A2">
            <w:pPr>
              <w:adjustRightInd w:val="0"/>
              <w:snapToGrid w:val="0"/>
              <w:jc w:val="center"/>
            </w:pPr>
            <w:r>
              <w:rPr>
                <w:rFonts w:hint="eastAsia"/>
              </w:rPr>
              <w:t>监测值</w:t>
            </w:r>
          </w:p>
        </w:tc>
        <w:tc>
          <w:tcPr>
            <w:tcW w:w="478" w:type="pct"/>
            <w:vMerge w:val="restart"/>
            <w:tcBorders>
              <w:top w:val="single" w:sz="4" w:space="0" w:color="auto"/>
              <w:left w:val="single" w:sz="4" w:space="0" w:color="auto"/>
              <w:right w:val="single" w:sz="4" w:space="0" w:color="auto"/>
              <w:tl2br w:val="nil"/>
              <w:tr2bl w:val="nil"/>
            </w:tcBorders>
            <w:vAlign w:val="center"/>
          </w:tcPr>
          <w:p w14:paraId="3DE270E3" w14:textId="47DE203D" w:rsidR="00E101A2" w:rsidRPr="00D32158" w:rsidRDefault="00E101A2" w:rsidP="00E101A2">
            <w:pPr>
              <w:adjustRightInd w:val="0"/>
              <w:snapToGrid w:val="0"/>
              <w:jc w:val="center"/>
            </w:pPr>
            <w:r w:rsidRPr="00D32158">
              <w:t>mg/L</w:t>
            </w:r>
          </w:p>
        </w:tc>
        <w:tc>
          <w:tcPr>
            <w:tcW w:w="402" w:type="pct"/>
            <w:tcBorders>
              <w:top w:val="single" w:sz="4" w:space="0" w:color="auto"/>
              <w:left w:val="single" w:sz="4" w:space="0" w:color="auto"/>
              <w:bottom w:val="single" w:sz="4" w:space="0" w:color="auto"/>
              <w:right w:val="single" w:sz="4" w:space="0" w:color="auto"/>
            </w:tcBorders>
            <w:vAlign w:val="center"/>
          </w:tcPr>
          <w:p w14:paraId="40D5774E" w14:textId="30CE1244" w:rsidR="00E101A2" w:rsidRPr="00D32158" w:rsidRDefault="00E101A2" w:rsidP="00E101A2">
            <w:pPr>
              <w:widowControl/>
              <w:adjustRightInd w:val="0"/>
              <w:snapToGrid w:val="0"/>
              <w:jc w:val="center"/>
              <w:textAlignment w:val="center"/>
            </w:pPr>
            <w:r>
              <w:rPr>
                <w:color w:val="000000"/>
                <w:sz w:val="22"/>
                <w:szCs w:val="22"/>
              </w:rPr>
              <w:t>114</w:t>
            </w:r>
          </w:p>
        </w:tc>
        <w:tc>
          <w:tcPr>
            <w:tcW w:w="402" w:type="pct"/>
            <w:tcBorders>
              <w:top w:val="single" w:sz="4" w:space="0" w:color="auto"/>
              <w:left w:val="single" w:sz="4" w:space="0" w:color="auto"/>
              <w:bottom w:val="single" w:sz="4" w:space="0" w:color="auto"/>
              <w:right w:val="single" w:sz="4" w:space="0" w:color="auto"/>
            </w:tcBorders>
            <w:vAlign w:val="center"/>
          </w:tcPr>
          <w:p w14:paraId="584EC493" w14:textId="3C721F73" w:rsidR="00E101A2" w:rsidRPr="00D32158" w:rsidRDefault="00E101A2" w:rsidP="00E101A2">
            <w:pPr>
              <w:widowControl/>
              <w:adjustRightInd w:val="0"/>
              <w:snapToGrid w:val="0"/>
              <w:jc w:val="center"/>
              <w:textAlignment w:val="center"/>
            </w:pPr>
            <w:r>
              <w:rPr>
                <w:color w:val="000000"/>
                <w:sz w:val="22"/>
                <w:szCs w:val="22"/>
              </w:rPr>
              <w:t>107</w:t>
            </w:r>
          </w:p>
        </w:tc>
        <w:tc>
          <w:tcPr>
            <w:tcW w:w="402" w:type="pct"/>
            <w:tcBorders>
              <w:top w:val="single" w:sz="4" w:space="0" w:color="auto"/>
              <w:left w:val="single" w:sz="4" w:space="0" w:color="auto"/>
              <w:bottom w:val="single" w:sz="4" w:space="0" w:color="auto"/>
              <w:right w:val="single" w:sz="4" w:space="0" w:color="auto"/>
            </w:tcBorders>
            <w:vAlign w:val="center"/>
          </w:tcPr>
          <w:p w14:paraId="60D8220D" w14:textId="451D6684" w:rsidR="00E101A2" w:rsidRPr="00D32158" w:rsidRDefault="00E101A2" w:rsidP="00E101A2">
            <w:pPr>
              <w:widowControl/>
              <w:adjustRightInd w:val="0"/>
              <w:snapToGrid w:val="0"/>
              <w:jc w:val="center"/>
              <w:textAlignment w:val="center"/>
            </w:pPr>
            <w:r>
              <w:rPr>
                <w:color w:val="000000"/>
                <w:sz w:val="22"/>
                <w:szCs w:val="22"/>
              </w:rPr>
              <w:t>123</w:t>
            </w:r>
          </w:p>
        </w:tc>
        <w:tc>
          <w:tcPr>
            <w:tcW w:w="407" w:type="pct"/>
            <w:tcBorders>
              <w:top w:val="single" w:sz="4" w:space="0" w:color="auto"/>
              <w:left w:val="single" w:sz="4" w:space="0" w:color="auto"/>
              <w:bottom w:val="single" w:sz="4" w:space="0" w:color="auto"/>
              <w:right w:val="single" w:sz="4" w:space="0" w:color="auto"/>
            </w:tcBorders>
            <w:vAlign w:val="center"/>
          </w:tcPr>
          <w:p w14:paraId="5E9F4714" w14:textId="61AD8C1A" w:rsidR="00E101A2" w:rsidRPr="00D32158" w:rsidRDefault="00E101A2" w:rsidP="00E101A2">
            <w:pPr>
              <w:widowControl/>
              <w:adjustRightInd w:val="0"/>
              <w:snapToGrid w:val="0"/>
              <w:jc w:val="center"/>
              <w:textAlignment w:val="center"/>
            </w:pPr>
            <w:r>
              <w:rPr>
                <w:color w:val="000000"/>
              </w:rPr>
              <w:t>105</w:t>
            </w:r>
          </w:p>
        </w:tc>
        <w:tc>
          <w:tcPr>
            <w:tcW w:w="387" w:type="pct"/>
            <w:tcBorders>
              <w:top w:val="single" w:sz="4" w:space="0" w:color="auto"/>
              <w:left w:val="single" w:sz="4" w:space="0" w:color="auto"/>
              <w:bottom w:val="single" w:sz="4" w:space="0" w:color="auto"/>
              <w:right w:val="single" w:sz="4" w:space="0" w:color="auto"/>
            </w:tcBorders>
            <w:vAlign w:val="center"/>
          </w:tcPr>
          <w:p w14:paraId="1F76BBDC" w14:textId="3605C493" w:rsidR="00E101A2" w:rsidRPr="00D32158" w:rsidRDefault="00E101A2" w:rsidP="00E101A2">
            <w:pPr>
              <w:widowControl/>
              <w:adjustRightInd w:val="0"/>
              <w:snapToGrid w:val="0"/>
              <w:jc w:val="center"/>
              <w:textAlignment w:val="center"/>
            </w:pPr>
            <w:r>
              <w:rPr>
                <w:color w:val="000000"/>
              </w:rPr>
              <w:t>117</w:t>
            </w:r>
          </w:p>
        </w:tc>
        <w:tc>
          <w:tcPr>
            <w:tcW w:w="395" w:type="pct"/>
            <w:tcBorders>
              <w:top w:val="single" w:sz="4" w:space="0" w:color="auto"/>
              <w:left w:val="single" w:sz="4" w:space="0" w:color="auto"/>
              <w:bottom w:val="single" w:sz="4" w:space="0" w:color="auto"/>
              <w:right w:val="single" w:sz="4" w:space="0" w:color="auto"/>
            </w:tcBorders>
            <w:vAlign w:val="center"/>
          </w:tcPr>
          <w:p w14:paraId="429F7E75" w14:textId="0BF861FC" w:rsidR="00E101A2" w:rsidRPr="00D32158" w:rsidRDefault="00E101A2" w:rsidP="00E101A2">
            <w:pPr>
              <w:widowControl/>
              <w:adjustRightInd w:val="0"/>
              <w:snapToGrid w:val="0"/>
              <w:jc w:val="center"/>
              <w:textAlignment w:val="center"/>
              <w:rPr>
                <w:color w:val="000000"/>
                <w:kern w:val="0"/>
                <w:lang w:bidi="ar"/>
              </w:rPr>
            </w:pPr>
            <w:r>
              <w:rPr>
                <w:color w:val="000000"/>
              </w:rPr>
              <w:t>128</w:t>
            </w:r>
          </w:p>
        </w:tc>
        <w:tc>
          <w:tcPr>
            <w:tcW w:w="367" w:type="pct"/>
            <w:tcBorders>
              <w:top w:val="single" w:sz="4" w:space="0" w:color="auto"/>
              <w:left w:val="single" w:sz="4" w:space="0" w:color="auto"/>
              <w:bottom w:val="single" w:sz="4" w:space="0" w:color="auto"/>
              <w:right w:val="single" w:sz="4" w:space="0" w:color="auto"/>
            </w:tcBorders>
            <w:vAlign w:val="center"/>
          </w:tcPr>
          <w:p w14:paraId="2911A87C" w14:textId="1E777E50" w:rsidR="00E101A2" w:rsidRPr="00D32158" w:rsidRDefault="00E101A2" w:rsidP="00E101A2">
            <w:pPr>
              <w:widowControl/>
              <w:adjustRightInd w:val="0"/>
              <w:snapToGrid w:val="0"/>
              <w:jc w:val="center"/>
              <w:textAlignment w:val="center"/>
              <w:rPr>
                <w:color w:val="000000"/>
                <w:kern w:val="0"/>
              </w:rPr>
            </w:pPr>
            <w:r>
              <w:rPr>
                <w:color w:val="000000"/>
              </w:rPr>
              <w:t>120</w:t>
            </w:r>
          </w:p>
        </w:tc>
        <w:tc>
          <w:tcPr>
            <w:tcW w:w="466" w:type="pct"/>
            <w:vMerge w:val="restart"/>
            <w:tcBorders>
              <w:top w:val="single" w:sz="4" w:space="0" w:color="auto"/>
              <w:left w:val="single" w:sz="4" w:space="0" w:color="auto"/>
            </w:tcBorders>
            <w:vAlign w:val="center"/>
          </w:tcPr>
          <w:p w14:paraId="2579746A" w14:textId="7B63C00E" w:rsidR="00E101A2" w:rsidRPr="00D32158" w:rsidRDefault="00E101A2" w:rsidP="00E101A2">
            <w:pPr>
              <w:adjustRightInd w:val="0"/>
              <w:snapToGrid w:val="0"/>
              <w:jc w:val="center"/>
            </w:pPr>
            <w:r>
              <w:rPr>
                <w:rFonts w:ascii="仿宋" w:eastAsia="仿宋" w:hAnsi="仿宋" w:cs="仿宋" w:hint="eastAsia"/>
              </w:rPr>
              <w:t>≤</w:t>
            </w:r>
            <w:r>
              <w:t>2</w:t>
            </w:r>
            <w:r>
              <w:rPr>
                <w:rFonts w:hint="eastAsia"/>
              </w:rPr>
              <w:t>00</w:t>
            </w:r>
          </w:p>
        </w:tc>
      </w:tr>
      <w:tr w:rsidR="00E101A2" w:rsidRPr="00D32158" w14:paraId="7AB5FD42" w14:textId="77777777" w:rsidTr="00E101A2">
        <w:trPr>
          <w:trHeight w:val="57"/>
          <w:jc w:val="center"/>
        </w:trPr>
        <w:tc>
          <w:tcPr>
            <w:tcW w:w="708" w:type="pct"/>
            <w:vMerge/>
            <w:tcBorders>
              <w:bottom w:val="single" w:sz="4" w:space="0" w:color="auto"/>
              <w:right w:val="single" w:sz="4" w:space="0" w:color="auto"/>
            </w:tcBorders>
            <w:vAlign w:val="center"/>
          </w:tcPr>
          <w:p w14:paraId="7A7CAD24" w14:textId="77777777" w:rsidR="00E101A2" w:rsidRPr="00D32158" w:rsidRDefault="00E101A2" w:rsidP="00E101A2">
            <w:pPr>
              <w:adjustRightInd w:val="0"/>
              <w:snapToGrid w:val="0"/>
              <w:jc w:val="center"/>
            </w:pPr>
          </w:p>
        </w:tc>
        <w:tc>
          <w:tcPr>
            <w:tcW w:w="586" w:type="pct"/>
            <w:vAlign w:val="center"/>
          </w:tcPr>
          <w:p w14:paraId="55CC1E4E" w14:textId="35731F4F" w:rsidR="00E101A2" w:rsidRPr="00D32158" w:rsidRDefault="00E101A2" w:rsidP="00E101A2">
            <w:pPr>
              <w:adjustRightInd w:val="0"/>
              <w:snapToGrid w:val="0"/>
              <w:jc w:val="center"/>
            </w:pPr>
            <w:r>
              <w:rPr>
                <w:rFonts w:hint="eastAsia"/>
              </w:rPr>
              <w:t>标准指数</w:t>
            </w:r>
          </w:p>
        </w:tc>
        <w:tc>
          <w:tcPr>
            <w:tcW w:w="478" w:type="pct"/>
            <w:vMerge/>
            <w:tcBorders>
              <w:left w:val="single" w:sz="4" w:space="0" w:color="auto"/>
              <w:bottom w:val="single" w:sz="4" w:space="0" w:color="auto"/>
              <w:right w:val="single" w:sz="4" w:space="0" w:color="auto"/>
              <w:tl2br w:val="nil"/>
              <w:tr2bl w:val="nil"/>
            </w:tcBorders>
            <w:vAlign w:val="center"/>
          </w:tcPr>
          <w:p w14:paraId="1C0B3E35" w14:textId="037FB840" w:rsidR="00E101A2" w:rsidRPr="00D32158" w:rsidRDefault="00E101A2" w:rsidP="00E101A2">
            <w:pPr>
              <w:adjustRightInd w:val="0"/>
              <w:snapToGrid w:val="0"/>
              <w:jc w:val="center"/>
            </w:pPr>
          </w:p>
        </w:tc>
        <w:tc>
          <w:tcPr>
            <w:tcW w:w="402" w:type="pct"/>
            <w:tcBorders>
              <w:top w:val="single" w:sz="4" w:space="0" w:color="auto"/>
              <w:left w:val="single" w:sz="4" w:space="0" w:color="auto"/>
              <w:bottom w:val="single" w:sz="4" w:space="0" w:color="auto"/>
              <w:right w:val="single" w:sz="4" w:space="0" w:color="auto"/>
            </w:tcBorders>
            <w:vAlign w:val="center"/>
          </w:tcPr>
          <w:p w14:paraId="765E421B" w14:textId="707F798F" w:rsidR="00E101A2" w:rsidRPr="00D32158" w:rsidRDefault="00E101A2" w:rsidP="00E101A2">
            <w:pPr>
              <w:widowControl/>
              <w:adjustRightInd w:val="0"/>
              <w:snapToGrid w:val="0"/>
              <w:jc w:val="center"/>
              <w:textAlignment w:val="center"/>
              <w:rPr>
                <w:color w:val="000000"/>
                <w:sz w:val="22"/>
                <w:szCs w:val="22"/>
              </w:rPr>
            </w:pPr>
            <w:r>
              <w:rPr>
                <w:color w:val="000000"/>
                <w:sz w:val="22"/>
                <w:szCs w:val="22"/>
              </w:rPr>
              <w:t>0.57</w:t>
            </w:r>
          </w:p>
        </w:tc>
        <w:tc>
          <w:tcPr>
            <w:tcW w:w="402" w:type="pct"/>
            <w:tcBorders>
              <w:top w:val="single" w:sz="4" w:space="0" w:color="auto"/>
              <w:left w:val="single" w:sz="4" w:space="0" w:color="auto"/>
              <w:bottom w:val="single" w:sz="4" w:space="0" w:color="auto"/>
              <w:right w:val="single" w:sz="4" w:space="0" w:color="auto"/>
            </w:tcBorders>
            <w:vAlign w:val="center"/>
          </w:tcPr>
          <w:p w14:paraId="191AF142" w14:textId="6567487A" w:rsidR="00E101A2" w:rsidRPr="00D32158" w:rsidRDefault="00E101A2" w:rsidP="00E101A2">
            <w:pPr>
              <w:widowControl/>
              <w:adjustRightInd w:val="0"/>
              <w:snapToGrid w:val="0"/>
              <w:jc w:val="center"/>
              <w:textAlignment w:val="center"/>
              <w:rPr>
                <w:color w:val="000000"/>
                <w:sz w:val="22"/>
                <w:szCs w:val="22"/>
              </w:rPr>
            </w:pPr>
            <w:r>
              <w:rPr>
                <w:color w:val="000000"/>
                <w:sz w:val="22"/>
                <w:szCs w:val="22"/>
              </w:rPr>
              <w:t>0.535</w:t>
            </w:r>
          </w:p>
        </w:tc>
        <w:tc>
          <w:tcPr>
            <w:tcW w:w="402" w:type="pct"/>
            <w:tcBorders>
              <w:top w:val="single" w:sz="4" w:space="0" w:color="auto"/>
              <w:left w:val="single" w:sz="4" w:space="0" w:color="auto"/>
              <w:bottom w:val="single" w:sz="4" w:space="0" w:color="auto"/>
              <w:right w:val="single" w:sz="4" w:space="0" w:color="auto"/>
            </w:tcBorders>
            <w:vAlign w:val="center"/>
          </w:tcPr>
          <w:p w14:paraId="39A636BC" w14:textId="46544EF4" w:rsidR="00E101A2" w:rsidRPr="00D32158" w:rsidRDefault="00E101A2" w:rsidP="00E101A2">
            <w:pPr>
              <w:widowControl/>
              <w:adjustRightInd w:val="0"/>
              <w:snapToGrid w:val="0"/>
              <w:jc w:val="center"/>
              <w:textAlignment w:val="center"/>
              <w:rPr>
                <w:color w:val="000000"/>
                <w:sz w:val="22"/>
                <w:szCs w:val="22"/>
              </w:rPr>
            </w:pPr>
            <w:r>
              <w:rPr>
                <w:color w:val="000000"/>
                <w:sz w:val="22"/>
                <w:szCs w:val="22"/>
              </w:rPr>
              <w:t>0.615</w:t>
            </w:r>
          </w:p>
        </w:tc>
        <w:tc>
          <w:tcPr>
            <w:tcW w:w="407" w:type="pct"/>
            <w:tcBorders>
              <w:top w:val="single" w:sz="4" w:space="0" w:color="auto"/>
              <w:left w:val="single" w:sz="4" w:space="0" w:color="auto"/>
              <w:bottom w:val="single" w:sz="4" w:space="0" w:color="auto"/>
              <w:right w:val="single" w:sz="4" w:space="0" w:color="auto"/>
            </w:tcBorders>
            <w:vAlign w:val="center"/>
          </w:tcPr>
          <w:p w14:paraId="388EA842" w14:textId="2B65D04B" w:rsidR="00E101A2" w:rsidRDefault="00E101A2" w:rsidP="00E101A2">
            <w:pPr>
              <w:widowControl/>
              <w:adjustRightInd w:val="0"/>
              <w:snapToGrid w:val="0"/>
              <w:jc w:val="center"/>
              <w:textAlignment w:val="center"/>
              <w:rPr>
                <w:rFonts w:eastAsia="仿宋"/>
              </w:rPr>
            </w:pPr>
            <w:r>
              <w:rPr>
                <w:color w:val="000000"/>
                <w:sz w:val="22"/>
                <w:szCs w:val="22"/>
              </w:rPr>
              <w:t>0.525</w:t>
            </w:r>
          </w:p>
        </w:tc>
        <w:tc>
          <w:tcPr>
            <w:tcW w:w="387" w:type="pct"/>
            <w:tcBorders>
              <w:top w:val="single" w:sz="4" w:space="0" w:color="auto"/>
              <w:left w:val="single" w:sz="4" w:space="0" w:color="auto"/>
              <w:bottom w:val="single" w:sz="4" w:space="0" w:color="auto"/>
              <w:right w:val="single" w:sz="4" w:space="0" w:color="auto"/>
            </w:tcBorders>
            <w:vAlign w:val="center"/>
          </w:tcPr>
          <w:p w14:paraId="53D9BD46" w14:textId="7BF48510" w:rsidR="00E101A2" w:rsidRDefault="00E101A2" w:rsidP="00E101A2">
            <w:pPr>
              <w:widowControl/>
              <w:adjustRightInd w:val="0"/>
              <w:snapToGrid w:val="0"/>
              <w:jc w:val="center"/>
              <w:textAlignment w:val="center"/>
              <w:rPr>
                <w:rFonts w:eastAsia="仿宋"/>
              </w:rPr>
            </w:pPr>
            <w:r>
              <w:rPr>
                <w:color w:val="000000"/>
                <w:sz w:val="22"/>
                <w:szCs w:val="22"/>
              </w:rPr>
              <w:t>0.585</w:t>
            </w:r>
          </w:p>
        </w:tc>
        <w:tc>
          <w:tcPr>
            <w:tcW w:w="395" w:type="pct"/>
            <w:tcBorders>
              <w:top w:val="single" w:sz="4" w:space="0" w:color="auto"/>
              <w:left w:val="single" w:sz="4" w:space="0" w:color="auto"/>
              <w:bottom w:val="single" w:sz="4" w:space="0" w:color="auto"/>
              <w:right w:val="single" w:sz="4" w:space="0" w:color="auto"/>
            </w:tcBorders>
            <w:vAlign w:val="center"/>
          </w:tcPr>
          <w:p w14:paraId="633F0357" w14:textId="6EA1C360" w:rsidR="00E101A2" w:rsidRDefault="00E101A2" w:rsidP="00E101A2">
            <w:pPr>
              <w:widowControl/>
              <w:adjustRightInd w:val="0"/>
              <w:snapToGrid w:val="0"/>
              <w:jc w:val="center"/>
              <w:textAlignment w:val="center"/>
              <w:rPr>
                <w:rFonts w:eastAsia="仿宋"/>
              </w:rPr>
            </w:pPr>
            <w:r>
              <w:rPr>
                <w:color w:val="000000"/>
                <w:sz w:val="22"/>
                <w:szCs w:val="22"/>
              </w:rPr>
              <w:t>0.64</w:t>
            </w:r>
          </w:p>
        </w:tc>
        <w:tc>
          <w:tcPr>
            <w:tcW w:w="367" w:type="pct"/>
            <w:tcBorders>
              <w:top w:val="single" w:sz="4" w:space="0" w:color="auto"/>
              <w:left w:val="single" w:sz="4" w:space="0" w:color="auto"/>
              <w:bottom w:val="single" w:sz="4" w:space="0" w:color="auto"/>
              <w:right w:val="single" w:sz="4" w:space="0" w:color="auto"/>
            </w:tcBorders>
            <w:vAlign w:val="center"/>
          </w:tcPr>
          <w:p w14:paraId="03700371" w14:textId="4ED130C9" w:rsidR="00E101A2" w:rsidRDefault="00E101A2" w:rsidP="00E101A2">
            <w:pPr>
              <w:widowControl/>
              <w:adjustRightInd w:val="0"/>
              <w:snapToGrid w:val="0"/>
              <w:jc w:val="center"/>
              <w:textAlignment w:val="center"/>
              <w:rPr>
                <w:rFonts w:eastAsia="仿宋"/>
              </w:rPr>
            </w:pPr>
            <w:r>
              <w:rPr>
                <w:color w:val="000000"/>
                <w:sz w:val="22"/>
                <w:szCs w:val="22"/>
              </w:rPr>
              <w:t>0.6</w:t>
            </w:r>
          </w:p>
        </w:tc>
        <w:tc>
          <w:tcPr>
            <w:tcW w:w="466" w:type="pct"/>
            <w:vMerge/>
            <w:tcBorders>
              <w:left w:val="single" w:sz="4" w:space="0" w:color="auto"/>
              <w:bottom w:val="single" w:sz="4" w:space="0" w:color="auto"/>
            </w:tcBorders>
            <w:vAlign w:val="center"/>
          </w:tcPr>
          <w:p w14:paraId="7B40A990" w14:textId="77777777" w:rsidR="00E101A2" w:rsidRDefault="00E101A2" w:rsidP="00E101A2">
            <w:pPr>
              <w:adjustRightInd w:val="0"/>
              <w:snapToGrid w:val="0"/>
              <w:jc w:val="center"/>
              <w:rPr>
                <w:rFonts w:ascii="仿宋" w:eastAsia="仿宋" w:hAnsi="仿宋" w:cs="仿宋" w:hint="eastAsia"/>
              </w:rPr>
            </w:pPr>
          </w:p>
        </w:tc>
      </w:tr>
      <w:tr w:rsidR="00E101A2" w:rsidRPr="00D32158" w14:paraId="06FF1F96" w14:textId="77777777" w:rsidTr="00E101A2">
        <w:trPr>
          <w:trHeight w:val="57"/>
          <w:jc w:val="center"/>
        </w:trPr>
        <w:tc>
          <w:tcPr>
            <w:tcW w:w="708" w:type="pct"/>
            <w:vMerge w:val="restart"/>
            <w:tcBorders>
              <w:top w:val="single" w:sz="4" w:space="0" w:color="auto"/>
              <w:right w:val="single" w:sz="4" w:space="0" w:color="auto"/>
            </w:tcBorders>
            <w:vAlign w:val="center"/>
          </w:tcPr>
          <w:p w14:paraId="5A41D5B6" w14:textId="3052946F" w:rsidR="00E101A2" w:rsidRPr="00D32158" w:rsidRDefault="00E101A2" w:rsidP="00E101A2">
            <w:pPr>
              <w:adjustRightInd w:val="0"/>
              <w:snapToGrid w:val="0"/>
              <w:jc w:val="center"/>
            </w:pPr>
            <w:r w:rsidRPr="00D32158">
              <w:rPr>
                <w:bCs/>
              </w:rPr>
              <w:t>Ca</w:t>
            </w:r>
            <w:r w:rsidRPr="00D32158">
              <w:rPr>
                <w:bCs/>
                <w:vertAlign w:val="superscript"/>
              </w:rPr>
              <w:t>2+</w:t>
            </w:r>
          </w:p>
        </w:tc>
        <w:tc>
          <w:tcPr>
            <w:tcW w:w="586" w:type="pct"/>
            <w:vAlign w:val="center"/>
          </w:tcPr>
          <w:p w14:paraId="094ABB5E" w14:textId="1C84E54E" w:rsidR="00E101A2" w:rsidRPr="00D32158" w:rsidRDefault="00E101A2" w:rsidP="00E101A2">
            <w:pPr>
              <w:adjustRightInd w:val="0"/>
              <w:snapToGrid w:val="0"/>
              <w:jc w:val="center"/>
            </w:pPr>
            <w:r>
              <w:rPr>
                <w:rFonts w:hint="eastAsia"/>
              </w:rPr>
              <w:t>监测值</w:t>
            </w:r>
          </w:p>
        </w:tc>
        <w:tc>
          <w:tcPr>
            <w:tcW w:w="478" w:type="pct"/>
            <w:vMerge w:val="restart"/>
            <w:tcBorders>
              <w:top w:val="single" w:sz="4" w:space="0" w:color="auto"/>
              <w:left w:val="single" w:sz="4" w:space="0" w:color="auto"/>
              <w:right w:val="single" w:sz="4" w:space="0" w:color="auto"/>
              <w:tl2br w:val="nil"/>
              <w:tr2bl w:val="nil"/>
            </w:tcBorders>
            <w:vAlign w:val="center"/>
          </w:tcPr>
          <w:p w14:paraId="2AB08F58" w14:textId="12B372E0" w:rsidR="00E101A2" w:rsidRPr="00D32158" w:rsidRDefault="00E101A2" w:rsidP="00E101A2">
            <w:pPr>
              <w:adjustRightInd w:val="0"/>
              <w:snapToGrid w:val="0"/>
              <w:jc w:val="center"/>
            </w:pPr>
            <w:r w:rsidRPr="00D32158">
              <w:t>mg/L</w:t>
            </w:r>
          </w:p>
        </w:tc>
        <w:tc>
          <w:tcPr>
            <w:tcW w:w="402" w:type="pct"/>
            <w:tcBorders>
              <w:top w:val="single" w:sz="4" w:space="0" w:color="auto"/>
              <w:left w:val="single" w:sz="4" w:space="0" w:color="auto"/>
              <w:bottom w:val="single" w:sz="4" w:space="0" w:color="auto"/>
              <w:right w:val="single" w:sz="4" w:space="0" w:color="auto"/>
            </w:tcBorders>
            <w:vAlign w:val="center"/>
          </w:tcPr>
          <w:p w14:paraId="5E39193E" w14:textId="7ECF8000" w:rsidR="00E101A2" w:rsidRPr="00D32158" w:rsidRDefault="00E101A2" w:rsidP="00E101A2">
            <w:pPr>
              <w:widowControl/>
              <w:adjustRightInd w:val="0"/>
              <w:snapToGrid w:val="0"/>
              <w:jc w:val="center"/>
              <w:textAlignment w:val="center"/>
            </w:pPr>
            <w:r>
              <w:rPr>
                <w:color w:val="000000"/>
                <w:sz w:val="22"/>
                <w:szCs w:val="22"/>
              </w:rPr>
              <w:t>48</w:t>
            </w:r>
          </w:p>
        </w:tc>
        <w:tc>
          <w:tcPr>
            <w:tcW w:w="402" w:type="pct"/>
            <w:tcBorders>
              <w:top w:val="single" w:sz="4" w:space="0" w:color="auto"/>
              <w:left w:val="single" w:sz="4" w:space="0" w:color="auto"/>
              <w:bottom w:val="single" w:sz="4" w:space="0" w:color="auto"/>
              <w:right w:val="single" w:sz="4" w:space="0" w:color="auto"/>
            </w:tcBorders>
            <w:vAlign w:val="center"/>
          </w:tcPr>
          <w:p w14:paraId="4F8A4F51" w14:textId="2166C38D" w:rsidR="00E101A2" w:rsidRPr="00D32158" w:rsidRDefault="00E101A2" w:rsidP="00E101A2">
            <w:pPr>
              <w:widowControl/>
              <w:adjustRightInd w:val="0"/>
              <w:snapToGrid w:val="0"/>
              <w:jc w:val="center"/>
              <w:textAlignment w:val="center"/>
            </w:pPr>
            <w:r>
              <w:rPr>
                <w:color w:val="000000"/>
                <w:sz w:val="22"/>
                <w:szCs w:val="22"/>
              </w:rPr>
              <w:t>43.7</w:t>
            </w:r>
          </w:p>
        </w:tc>
        <w:tc>
          <w:tcPr>
            <w:tcW w:w="402" w:type="pct"/>
            <w:tcBorders>
              <w:top w:val="single" w:sz="4" w:space="0" w:color="auto"/>
              <w:left w:val="single" w:sz="4" w:space="0" w:color="auto"/>
              <w:bottom w:val="single" w:sz="4" w:space="0" w:color="auto"/>
              <w:right w:val="single" w:sz="4" w:space="0" w:color="auto"/>
            </w:tcBorders>
            <w:vAlign w:val="center"/>
          </w:tcPr>
          <w:p w14:paraId="0811B091" w14:textId="12786DB8" w:rsidR="00E101A2" w:rsidRPr="00D32158" w:rsidRDefault="00E101A2" w:rsidP="00E101A2">
            <w:pPr>
              <w:widowControl/>
              <w:adjustRightInd w:val="0"/>
              <w:snapToGrid w:val="0"/>
              <w:jc w:val="center"/>
              <w:textAlignment w:val="center"/>
            </w:pPr>
            <w:r>
              <w:rPr>
                <w:color w:val="000000"/>
                <w:sz w:val="22"/>
                <w:szCs w:val="22"/>
              </w:rPr>
              <w:t>46.6</w:t>
            </w:r>
          </w:p>
        </w:tc>
        <w:tc>
          <w:tcPr>
            <w:tcW w:w="407" w:type="pct"/>
            <w:tcBorders>
              <w:top w:val="single" w:sz="4" w:space="0" w:color="auto"/>
              <w:left w:val="single" w:sz="4" w:space="0" w:color="auto"/>
              <w:bottom w:val="single" w:sz="4" w:space="0" w:color="auto"/>
              <w:right w:val="single" w:sz="4" w:space="0" w:color="auto"/>
            </w:tcBorders>
            <w:vAlign w:val="center"/>
          </w:tcPr>
          <w:p w14:paraId="29AF71DC" w14:textId="2D92B091" w:rsidR="00E101A2" w:rsidRPr="00D32158" w:rsidRDefault="00E101A2" w:rsidP="00E101A2">
            <w:pPr>
              <w:widowControl/>
              <w:adjustRightInd w:val="0"/>
              <w:snapToGrid w:val="0"/>
              <w:jc w:val="center"/>
              <w:textAlignment w:val="center"/>
            </w:pPr>
            <w:r>
              <w:rPr>
                <w:color w:val="000000"/>
              </w:rPr>
              <w:t>49.7</w:t>
            </w:r>
          </w:p>
        </w:tc>
        <w:tc>
          <w:tcPr>
            <w:tcW w:w="387" w:type="pct"/>
            <w:tcBorders>
              <w:top w:val="single" w:sz="4" w:space="0" w:color="auto"/>
              <w:left w:val="single" w:sz="4" w:space="0" w:color="auto"/>
              <w:bottom w:val="single" w:sz="4" w:space="0" w:color="auto"/>
              <w:right w:val="single" w:sz="4" w:space="0" w:color="auto"/>
            </w:tcBorders>
            <w:vAlign w:val="center"/>
          </w:tcPr>
          <w:p w14:paraId="4AAFCDD4" w14:textId="7CECCBD0" w:rsidR="00E101A2" w:rsidRPr="00D32158" w:rsidRDefault="00E101A2" w:rsidP="00E101A2">
            <w:pPr>
              <w:widowControl/>
              <w:adjustRightInd w:val="0"/>
              <w:snapToGrid w:val="0"/>
              <w:jc w:val="center"/>
              <w:textAlignment w:val="center"/>
            </w:pPr>
            <w:r>
              <w:rPr>
                <w:color w:val="000000"/>
              </w:rPr>
              <w:t>47.6</w:t>
            </w:r>
          </w:p>
        </w:tc>
        <w:tc>
          <w:tcPr>
            <w:tcW w:w="395" w:type="pct"/>
            <w:tcBorders>
              <w:top w:val="single" w:sz="4" w:space="0" w:color="auto"/>
              <w:left w:val="single" w:sz="4" w:space="0" w:color="auto"/>
              <w:bottom w:val="single" w:sz="4" w:space="0" w:color="auto"/>
              <w:right w:val="single" w:sz="4" w:space="0" w:color="auto"/>
            </w:tcBorders>
            <w:vAlign w:val="center"/>
          </w:tcPr>
          <w:p w14:paraId="0B56ADF8" w14:textId="626B5517" w:rsidR="00E101A2" w:rsidRPr="00D32158" w:rsidRDefault="00E101A2" w:rsidP="00E101A2">
            <w:pPr>
              <w:widowControl/>
              <w:adjustRightInd w:val="0"/>
              <w:snapToGrid w:val="0"/>
              <w:jc w:val="center"/>
              <w:textAlignment w:val="center"/>
              <w:rPr>
                <w:color w:val="000000"/>
                <w:kern w:val="0"/>
                <w:lang w:bidi="ar"/>
              </w:rPr>
            </w:pPr>
            <w:r>
              <w:rPr>
                <w:color w:val="000000"/>
              </w:rPr>
              <w:t>48.8</w:t>
            </w:r>
          </w:p>
        </w:tc>
        <w:tc>
          <w:tcPr>
            <w:tcW w:w="367" w:type="pct"/>
            <w:tcBorders>
              <w:top w:val="single" w:sz="4" w:space="0" w:color="auto"/>
              <w:left w:val="single" w:sz="4" w:space="0" w:color="auto"/>
              <w:bottom w:val="single" w:sz="4" w:space="0" w:color="auto"/>
              <w:right w:val="single" w:sz="4" w:space="0" w:color="auto"/>
            </w:tcBorders>
            <w:vAlign w:val="center"/>
          </w:tcPr>
          <w:p w14:paraId="55780DBD" w14:textId="4D59A5CA" w:rsidR="00E101A2" w:rsidRPr="00D32158" w:rsidRDefault="00E101A2" w:rsidP="00E101A2">
            <w:pPr>
              <w:widowControl/>
              <w:adjustRightInd w:val="0"/>
              <w:snapToGrid w:val="0"/>
              <w:jc w:val="center"/>
              <w:textAlignment w:val="center"/>
              <w:rPr>
                <w:color w:val="000000"/>
                <w:kern w:val="0"/>
              </w:rPr>
            </w:pPr>
            <w:r>
              <w:rPr>
                <w:color w:val="000000"/>
              </w:rPr>
              <w:t>45.1</w:t>
            </w:r>
          </w:p>
        </w:tc>
        <w:tc>
          <w:tcPr>
            <w:tcW w:w="466" w:type="pct"/>
            <w:vMerge w:val="restart"/>
            <w:tcBorders>
              <w:top w:val="single" w:sz="4" w:space="0" w:color="auto"/>
              <w:left w:val="single" w:sz="4" w:space="0" w:color="auto"/>
            </w:tcBorders>
            <w:vAlign w:val="center"/>
          </w:tcPr>
          <w:p w14:paraId="79B3EFB0" w14:textId="721F8BDA" w:rsidR="00E101A2" w:rsidRPr="00D32158" w:rsidRDefault="00E101A2" w:rsidP="00E101A2">
            <w:pPr>
              <w:widowControl/>
              <w:adjustRightInd w:val="0"/>
              <w:snapToGrid w:val="0"/>
              <w:jc w:val="center"/>
              <w:textAlignment w:val="center"/>
            </w:pPr>
            <w:r>
              <w:rPr>
                <w:rFonts w:ascii="仿宋" w:eastAsia="仿宋" w:hAnsi="仿宋" w:cs="仿宋" w:hint="eastAsia"/>
              </w:rPr>
              <w:t>/</w:t>
            </w:r>
          </w:p>
        </w:tc>
      </w:tr>
      <w:tr w:rsidR="00E101A2" w:rsidRPr="00D32158" w14:paraId="1CFE0895" w14:textId="77777777" w:rsidTr="00E101A2">
        <w:trPr>
          <w:trHeight w:val="57"/>
          <w:jc w:val="center"/>
        </w:trPr>
        <w:tc>
          <w:tcPr>
            <w:tcW w:w="708" w:type="pct"/>
            <w:vMerge/>
            <w:tcBorders>
              <w:bottom w:val="single" w:sz="4" w:space="0" w:color="auto"/>
              <w:right w:val="single" w:sz="4" w:space="0" w:color="auto"/>
            </w:tcBorders>
            <w:vAlign w:val="center"/>
          </w:tcPr>
          <w:p w14:paraId="1673BFD7" w14:textId="77777777" w:rsidR="00E101A2" w:rsidRPr="00D32158" w:rsidRDefault="00E101A2" w:rsidP="00E101A2">
            <w:pPr>
              <w:adjustRightInd w:val="0"/>
              <w:snapToGrid w:val="0"/>
              <w:jc w:val="center"/>
              <w:rPr>
                <w:bCs/>
              </w:rPr>
            </w:pPr>
          </w:p>
        </w:tc>
        <w:tc>
          <w:tcPr>
            <w:tcW w:w="586" w:type="pct"/>
            <w:vAlign w:val="center"/>
          </w:tcPr>
          <w:p w14:paraId="6B23DBC7" w14:textId="315D9F61" w:rsidR="00E101A2" w:rsidRPr="00D32158" w:rsidRDefault="00E101A2" w:rsidP="00E101A2">
            <w:pPr>
              <w:adjustRightInd w:val="0"/>
              <w:snapToGrid w:val="0"/>
              <w:jc w:val="center"/>
            </w:pPr>
            <w:r>
              <w:rPr>
                <w:rFonts w:hint="eastAsia"/>
              </w:rPr>
              <w:t>标准指数</w:t>
            </w:r>
          </w:p>
        </w:tc>
        <w:tc>
          <w:tcPr>
            <w:tcW w:w="478" w:type="pct"/>
            <w:vMerge/>
            <w:tcBorders>
              <w:left w:val="single" w:sz="4" w:space="0" w:color="auto"/>
              <w:bottom w:val="single" w:sz="4" w:space="0" w:color="auto"/>
              <w:right w:val="single" w:sz="4" w:space="0" w:color="auto"/>
              <w:tl2br w:val="nil"/>
              <w:tr2bl w:val="nil"/>
            </w:tcBorders>
            <w:vAlign w:val="center"/>
          </w:tcPr>
          <w:p w14:paraId="71935A91" w14:textId="1302BD46" w:rsidR="00E101A2" w:rsidRPr="00D32158" w:rsidRDefault="00E101A2" w:rsidP="00E101A2">
            <w:pPr>
              <w:adjustRightInd w:val="0"/>
              <w:snapToGrid w:val="0"/>
              <w:jc w:val="center"/>
            </w:pPr>
          </w:p>
        </w:tc>
        <w:tc>
          <w:tcPr>
            <w:tcW w:w="402" w:type="pct"/>
            <w:tcBorders>
              <w:top w:val="single" w:sz="4" w:space="0" w:color="auto"/>
              <w:left w:val="single" w:sz="4" w:space="0" w:color="auto"/>
              <w:bottom w:val="single" w:sz="4" w:space="0" w:color="auto"/>
              <w:right w:val="single" w:sz="4" w:space="0" w:color="auto"/>
            </w:tcBorders>
            <w:vAlign w:val="center"/>
          </w:tcPr>
          <w:p w14:paraId="3D06671C" w14:textId="4A456FA3" w:rsidR="00E101A2" w:rsidRPr="00D32158" w:rsidRDefault="00E101A2" w:rsidP="00E101A2">
            <w:pPr>
              <w:widowControl/>
              <w:adjustRightInd w:val="0"/>
              <w:snapToGrid w:val="0"/>
              <w:jc w:val="center"/>
              <w:textAlignment w:val="center"/>
              <w:rPr>
                <w:color w:val="000000"/>
                <w:sz w:val="22"/>
                <w:szCs w:val="22"/>
              </w:rPr>
            </w:pPr>
            <w:r>
              <w:rPr>
                <w:rFonts w:eastAsia="仿宋" w:hint="eastAsia"/>
              </w:rPr>
              <w:t>/</w:t>
            </w:r>
          </w:p>
        </w:tc>
        <w:tc>
          <w:tcPr>
            <w:tcW w:w="402" w:type="pct"/>
            <w:tcBorders>
              <w:top w:val="single" w:sz="4" w:space="0" w:color="auto"/>
              <w:left w:val="single" w:sz="4" w:space="0" w:color="auto"/>
              <w:bottom w:val="single" w:sz="4" w:space="0" w:color="auto"/>
              <w:right w:val="single" w:sz="4" w:space="0" w:color="auto"/>
            </w:tcBorders>
          </w:tcPr>
          <w:p w14:paraId="39AE6F85" w14:textId="65A070FD" w:rsidR="00E101A2" w:rsidRPr="00D32158" w:rsidRDefault="00E101A2" w:rsidP="00E101A2">
            <w:pPr>
              <w:widowControl/>
              <w:adjustRightInd w:val="0"/>
              <w:snapToGrid w:val="0"/>
              <w:jc w:val="center"/>
              <w:textAlignment w:val="center"/>
              <w:rPr>
                <w:color w:val="000000"/>
                <w:sz w:val="22"/>
                <w:szCs w:val="22"/>
              </w:rPr>
            </w:pPr>
            <w:r w:rsidRPr="00030223">
              <w:rPr>
                <w:rFonts w:eastAsia="仿宋" w:hint="eastAsia"/>
              </w:rPr>
              <w:t>/</w:t>
            </w:r>
          </w:p>
        </w:tc>
        <w:tc>
          <w:tcPr>
            <w:tcW w:w="402" w:type="pct"/>
            <w:tcBorders>
              <w:top w:val="single" w:sz="4" w:space="0" w:color="auto"/>
              <w:left w:val="single" w:sz="4" w:space="0" w:color="auto"/>
              <w:bottom w:val="single" w:sz="4" w:space="0" w:color="auto"/>
              <w:right w:val="single" w:sz="4" w:space="0" w:color="auto"/>
            </w:tcBorders>
          </w:tcPr>
          <w:p w14:paraId="73F90CB1" w14:textId="546DB053" w:rsidR="00E101A2" w:rsidRPr="00D32158" w:rsidRDefault="00E101A2" w:rsidP="00E101A2">
            <w:pPr>
              <w:widowControl/>
              <w:adjustRightInd w:val="0"/>
              <w:snapToGrid w:val="0"/>
              <w:jc w:val="center"/>
              <w:textAlignment w:val="center"/>
              <w:rPr>
                <w:color w:val="000000"/>
                <w:sz w:val="22"/>
                <w:szCs w:val="22"/>
              </w:rPr>
            </w:pPr>
            <w:r w:rsidRPr="00030223">
              <w:rPr>
                <w:rFonts w:eastAsia="仿宋" w:hint="eastAsia"/>
              </w:rPr>
              <w:t>/</w:t>
            </w:r>
          </w:p>
        </w:tc>
        <w:tc>
          <w:tcPr>
            <w:tcW w:w="407" w:type="pct"/>
            <w:tcBorders>
              <w:top w:val="single" w:sz="4" w:space="0" w:color="auto"/>
              <w:left w:val="single" w:sz="4" w:space="0" w:color="auto"/>
              <w:bottom w:val="single" w:sz="4" w:space="0" w:color="auto"/>
              <w:right w:val="single" w:sz="4" w:space="0" w:color="auto"/>
            </w:tcBorders>
          </w:tcPr>
          <w:p w14:paraId="3468D82A" w14:textId="4AE2A474" w:rsidR="00E101A2" w:rsidRDefault="00E101A2" w:rsidP="00E101A2">
            <w:pPr>
              <w:widowControl/>
              <w:adjustRightInd w:val="0"/>
              <w:snapToGrid w:val="0"/>
              <w:jc w:val="center"/>
              <w:textAlignment w:val="center"/>
              <w:rPr>
                <w:rFonts w:eastAsia="仿宋"/>
              </w:rPr>
            </w:pPr>
            <w:r w:rsidRPr="00030223">
              <w:rPr>
                <w:rFonts w:eastAsia="仿宋" w:hint="eastAsia"/>
              </w:rPr>
              <w:t>/</w:t>
            </w:r>
          </w:p>
        </w:tc>
        <w:tc>
          <w:tcPr>
            <w:tcW w:w="387" w:type="pct"/>
            <w:tcBorders>
              <w:top w:val="single" w:sz="4" w:space="0" w:color="auto"/>
              <w:left w:val="single" w:sz="4" w:space="0" w:color="auto"/>
              <w:bottom w:val="single" w:sz="4" w:space="0" w:color="auto"/>
              <w:right w:val="single" w:sz="4" w:space="0" w:color="auto"/>
            </w:tcBorders>
          </w:tcPr>
          <w:p w14:paraId="35399275" w14:textId="6AD19A8E" w:rsidR="00E101A2" w:rsidRDefault="00E101A2" w:rsidP="00E101A2">
            <w:pPr>
              <w:widowControl/>
              <w:adjustRightInd w:val="0"/>
              <w:snapToGrid w:val="0"/>
              <w:jc w:val="center"/>
              <w:textAlignment w:val="center"/>
              <w:rPr>
                <w:rFonts w:eastAsia="仿宋"/>
              </w:rPr>
            </w:pPr>
            <w:r w:rsidRPr="00030223">
              <w:rPr>
                <w:rFonts w:eastAsia="仿宋" w:hint="eastAsia"/>
              </w:rPr>
              <w:t>/</w:t>
            </w:r>
          </w:p>
        </w:tc>
        <w:tc>
          <w:tcPr>
            <w:tcW w:w="395" w:type="pct"/>
            <w:tcBorders>
              <w:top w:val="single" w:sz="4" w:space="0" w:color="auto"/>
              <w:left w:val="single" w:sz="4" w:space="0" w:color="auto"/>
              <w:bottom w:val="single" w:sz="4" w:space="0" w:color="auto"/>
              <w:right w:val="single" w:sz="4" w:space="0" w:color="auto"/>
            </w:tcBorders>
          </w:tcPr>
          <w:p w14:paraId="7CB46C1D" w14:textId="0D986CB9" w:rsidR="00E101A2" w:rsidRDefault="00E101A2" w:rsidP="00E101A2">
            <w:pPr>
              <w:widowControl/>
              <w:adjustRightInd w:val="0"/>
              <w:snapToGrid w:val="0"/>
              <w:jc w:val="center"/>
              <w:textAlignment w:val="center"/>
              <w:rPr>
                <w:rFonts w:eastAsia="仿宋"/>
              </w:rPr>
            </w:pPr>
            <w:r w:rsidRPr="00030223">
              <w:rPr>
                <w:rFonts w:eastAsia="仿宋" w:hint="eastAsia"/>
              </w:rPr>
              <w:t>/</w:t>
            </w:r>
          </w:p>
        </w:tc>
        <w:tc>
          <w:tcPr>
            <w:tcW w:w="367" w:type="pct"/>
            <w:tcBorders>
              <w:top w:val="single" w:sz="4" w:space="0" w:color="auto"/>
              <w:left w:val="single" w:sz="4" w:space="0" w:color="auto"/>
              <w:bottom w:val="single" w:sz="4" w:space="0" w:color="auto"/>
              <w:right w:val="single" w:sz="4" w:space="0" w:color="auto"/>
            </w:tcBorders>
          </w:tcPr>
          <w:p w14:paraId="30A49E08" w14:textId="42A8A357" w:rsidR="00E101A2" w:rsidRDefault="00E101A2" w:rsidP="00E101A2">
            <w:pPr>
              <w:widowControl/>
              <w:adjustRightInd w:val="0"/>
              <w:snapToGrid w:val="0"/>
              <w:jc w:val="center"/>
              <w:textAlignment w:val="center"/>
              <w:rPr>
                <w:rFonts w:eastAsia="仿宋"/>
              </w:rPr>
            </w:pPr>
            <w:r w:rsidRPr="00030223">
              <w:rPr>
                <w:rFonts w:eastAsia="仿宋" w:hint="eastAsia"/>
              </w:rPr>
              <w:t>/</w:t>
            </w:r>
          </w:p>
        </w:tc>
        <w:tc>
          <w:tcPr>
            <w:tcW w:w="466" w:type="pct"/>
            <w:vMerge/>
            <w:tcBorders>
              <w:left w:val="single" w:sz="4" w:space="0" w:color="auto"/>
              <w:bottom w:val="single" w:sz="4" w:space="0" w:color="auto"/>
            </w:tcBorders>
            <w:vAlign w:val="center"/>
          </w:tcPr>
          <w:p w14:paraId="364F585F" w14:textId="77777777" w:rsidR="00E101A2" w:rsidRDefault="00E101A2" w:rsidP="00E101A2">
            <w:pPr>
              <w:widowControl/>
              <w:adjustRightInd w:val="0"/>
              <w:snapToGrid w:val="0"/>
              <w:jc w:val="center"/>
              <w:textAlignment w:val="center"/>
              <w:rPr>
                <w:rFonts w:ascii="仿宋" w:eastAsia="仿宋" w:hAnsi="仿宋" w:cs="仿宋" w:hint="eastAsia"/>
              </w:rPr>
            </w:pPr>
          </w:p>
        </w:tc>
      </w:tr>
      <w:tr w:rsidR="00E101A2" w:rsidRPr="00D32158" w14:paraId="737E4FA6" w14:textId="77777777" w:rsidTr="00E101A2">
        <w:trPr>
          <w:trHeight w:val="57"/>
          <w:jc w:val="center"/>
        </w:trPr>
        <w:tc>
          <w:tcPr>
            <w:tcW w:w="708" w:type="pct"/>
            <w:vMerge w:val="restart"/>
            <w:tcBorders>
              <w:top w:val="single" w:sz="4" w:space="0" w:color="auto"/>
              <w:right w:val="single" w:sz="4" w:space="0" w:color="auto"/>
            </w:tcBorders>
            <w:vAlign w:val="center"/>
          </w:tcPr>
          <w:p w14:paraId="4E072F23" w14:textId="6B154362" w:rsidR="00E101A2" w:rsidRPr="00D32158" w:rsidRDefault="00E101A2" w:rsidP="00E101A2">
            <w:pPr>
              <w:widowControl/>
              <w:adjustRightInd w:val="0"/>
              <w:snapToGrid w:val="0"/>
              <w:jc w:val="center"/>
              <w:textAlignment w:val="center"/>
            </w:pPr>
            <w:r w:rsidRPr="00D32158">
              <w:t>Mg</w:t>
            </w:r>
            <w:r w:rsidRPr="00D32158">
              <w:rPr>
                <w:vertAlign w:val="superscript"/>
              </w:rPr>
              <w:t>2+</w:t>
            </w:r>
          </w:p>
        </w:tc>
        <w:tc>
          <w:tcPr>
            <w:tcW w:w="586" w:type="pct"/>
            <w:vAlign w:val="center"/>
          </w:tcPr>
          <w:p w14:paraId="4DD3435F" w14:textId="6FB80EFF" w:rsidR="00E101A2" w:rsidRPr="00D32158" w:rsidRDefault="00E101A2" w:rsidP="00E101A2">
            <w:pPr>
              <w:adjustRightInd w:val="0"/>
              <w:snapToGrid w:val="0"/>
              <w:jc w:val="center"/>
            </w:pPr>
            <w:r>
              <w:rPr>
                <w:rFonts w:hint="eastAsia"/>
              </w:rPr>
              <w:t>监测值</w:t>
            </w:r>
          </w:p>
        </w:tc>
        <w:tc>
          <w:tcPr>
            <w:tcW w:w="478" w:type="pct"/>
            <w:vMerge w:val="restart"/>
            <w:tcBorders>
              <w:top w:val="single" w:sz="4" w:space="0" w:color="auto"/>
              <w:left w:val="single" w:sz="4" w:space="0" w:color="auto"/>
              <w:right w:val="single" w:sz="4" w:space="0" w:color="auto"/>
              <w:tl2br w:val="nil"/>
              <w:tr2bl w:val="nil"/>
            </w:tcBorders>
            <w:vAlign w:val="center"/>
          </w:tcPr>
          <w:p w14:paraId="04A83752" w14:textId="59B347B8" w:rsidR="00E101A2" w:rsidRPr="00D32158" w:rsidRDefault="00E101A2" w:rsidP="00E101A2">
            <w:pPr>
              <w:adjustRightInd w:val="0"/>
              <w:snapToGrid w:val="0"/>
              <w:jc w:val="center"/>
            </w:pPr>
            <w:r w:rsidRPr="00D32158">
              <w:t>mg/L</w:t>
            </w:r>
          </w:p>
        </w:tc>
        <w:tc>
          <w:tcPr>
            <w:tcW w:w="402" w:type="pct"/>
            <w:tcBorders>
              <w:top w:val="single" w:sz="4" w:space="0" w:color="auto"/>
              <w:left w:val="single" w:sz="4" w:space="0" w:color="auto"/>
              <w:bottom w:val="single" w:sz="4" w:space="0" w:color="auto"/>
              <w:right w:val="single" w:sz="4" w:space="0" w:color="auto"/>
            </w:tcBorders>
            <w:vAlign w:val="center"/>
          </w:tcPr>
          <w:p w14:paraId="0C278634" w14:textId="71949345" w:rsidR="00E101A2" w:rsidRPr="00D32158" w:rsidRDefault="00E101A2" w:rsidP="00E101A2">
            <w:pPr>
              <w:widowControl/>
              <w:adjustRightInd w:val="0"/>
              <w:snapToGrid w:val="0"/>
              <w:jc w:val="center"/>
              <w:textAlignment w:val="center"/>
            </w:pPr>
            <w:r>
              <w:rPr>
                <w:color w:val="000000"/>
                <w:sz w:val="22"/>
                <w:szCs w:val="22"/>
              </w:rPr>
              <w:t>11.7</w:t>
            </w:r>
          </w:p>
        </w:tc>
        <w:tc>
          <w:tcPr>
            <w:tcW w:w="402" w:type="pct"/>
            <w:tcBorders>
              <w:top w:val="single" w:sz="4" w:space="0" w:color="auto"/>
              <w:left w:val="single" w:sz="4" w:space="0" w:color="auto"/>
              <w:bottom w:val="single" w:sz="4" w:space="0" w:color="auto"/>
              <w:right w:val="single" w:sz="4" w:space="0" w:color="auto"/>
            </w:tcBorders>
            <w:vAlign w:val="center"/>
          </w:tcPr>
          <w:p w14:paraId="63543535" w14:textId="725CE966" w:rsidR="00E101A2" w:rsidRPr="00D32158" w:rsidRDefault="00E101A2" w:rsidP="00E101A2">
            <w:pPr>
              <w:widowControl/>
              <w:adjustRightInd w:val="0"/>
              <w:snapToGrid w:val="0"/>
              <w:jc w:val="center"/>
              <w:textAlignment w:val="center"/>
            </w:pPr>
            <w:r>
              <w:rPr>
                <w:color w:val="000000"/>
                <w:sz w:val="22"/>
                <w:szCs w:val="22"/>
              </w:rPr>
              <w:t>12.8</w:t>
            </w:r>
          </w:p>
        </w:tc>
        <w:tc>
          <w:tcPr>
            <w:tcW w:w="402" w:type="pct"/>
            <w:tcBorders>
              <w:top w:val="single" w:sz="4" w:space="0" w:color="auto"/>
              <w:left w:val="single" w:sz="4" w:space="0" w:color="auto"/>
              <w:bottom w:val="single" w:sz="4" w:space="0" w:color="auto"/>
              <w:right w:val="single" w:sz="4" w:space="0" w:color="auto"/>
            </w:tcBorders>
            <w:vAlign w:val="center"/>
          </w:tcPr>
          <w:p w14:paraId="308A1490" w14:textId="5D93551B" w:rsidR="00E101A2" w:rsidRPr="00D32158" w:rsidRDefault="00E101A2" w:rsidP="00E101A2">
            <w:pPr>
              <w:widowControl/>
              <w:adjustRightInd w:val="0"/>
              <w:snapToGrid w:val="0"/>
              <w:jc w:val="center"/>
              <w:textAlignment w:val="center"/>
            </w:pPr>
            <w:r>
              <w:rPr>
                <w:color w:val="000000"/>
                <w:sz w:val="22"/>
                <w:szCs w:val="22"/>
              </w:rPr>
              <w:t>10.9</w:t>
            </w:r>
          </w:p>
        </w:tc>
        <w:tc>
          <w:tcPr>
            <w:tcW w:w="407" w:type="pct"/>
            <w:tcBorders>
              <w:top w:val="single" w:sz="4" w:space="0" w:color="auto"/>
              <w:left w:val="single" w:sz="4" w:space="0" w:color="auto"/>
              <w:bottom w:val="single" w:sz="4" w:space="0" w:color="auto"/>
              <w:right w:val="single" w:sz="4" w:space="0" w:color="auto"/>
            </w:tcBorders>
            <w:vAlign w:val="center"/>
          </w:tcPr>
          <w:p w14:paraId="3C4397C7" w14:textId="1EDA7BC5" w:rsidR="00E101A2" w:rsidRPr="00D32158" w:rsidRDefault="00E101A2" w:rsidP="00E101A2">
            <w:pPr>
              <w:widowControl/>
              <w:adjustRightInd w:val="0"/>
              <w:snapToGrid w:val="0"/>
              <w:jc w:val="center"/>
              <w:textAlignment w:val="center"/>
            </w:pPr>
            <w:r>
              <w:rPr>
                <w:color w:val="000000"/>
              </w:rPr>
              <w:t>11.1</w:t>
            </w:r>
          </w:p>
        </w:tc>
        <w:tc>
          <w:tcPr>
            <w:tcW w:w="387" w:type="pct"/>
            <w:tcBorders>
              <w:top w:val="single" w:sz="4" w:space="0" w:color="auto"/>
              <w:left w:val="single" w:sz="4" w:space="0" w:color="auto"/>
              <w:bottom w:val="single" w:sz="4" w:space="0" w:color="auto"/>
              <w:right w:val="single" w:sz="4" w:space="0" w:color="auto"/>
            </w:tcBorders>
            <w:vAlign w:val="center"/>
          </w:tcPr>
          <w:p w14:paraId="0822815E" w14:textId="08B6455D" w:rsidR="00E101A2" w:rsidRPr="00D32158" w:rsidRDefault="00E101A2" w:rsidP="00E101A2">
            <w:pPr>
              <w:widowControl/>
              <w:adjustRightInd w:val="0"/>
              <w:snapToGrid w:val="0"/>
              <w:jc w:val="center"/>
              <w:textAlignment w:val="center"/>
            </w:pPr>
            <w:r>
              <w:rPr>
                <w:color w:val="000000"/>
              </w:rPr>
              <w:t>11.5</w:t>
            </w:r>
          </w:p>
        </w:tc>
        <w:tc>
          <w:tcPr>
            <w:tcW w:w="395" w:type="pct"/>
            <w:tcBorders>
              <w:top w:val="single" w:sz="4" w:space="0" w:color="auto"/>
              <w:left w:val="single" w:sz="4" w:space="0" w:color="auto"/>
              <w:bottom w:val="single" w:sz="4" w:space="0" w:color="auto"/>
              <w:right w:val="single" w:sz="4" w:space="0" w:color="auto"/>
            </w:tcBorders>
            <w:vAlign w:val="center"/>
          </w:tcPr>
          <w:p w14:paraId="3D80322B" w14:textId="495F92E5" w:rsidR="00E101A2" w:rsidRPr="00D32158" w:rsidRDefault="00E101A2" w:rsidP="00E101A2">
            <w:pPr>
              <w:widowControl/>
              <w:adjustRightInd w:val="0"/>
              <w:snapToGrid w:val="0"/>
              <w:jc w:val="center"/>
              <w:textAlignment w:val="center"/>
              <w:rPr>
                <w:color w:val="000000"/>
                <w:kern w:val="0"/>
                <w:lang w:bidi="ar"/>
              </w:rPr>
            </w:pPr>
            <w:r>
              <w:rPr>
                <w:color w:val="000000"/>
              </w:rPr>
              <w:t>12</w:t>
            </w:r>
          </w:p>
        </w:tc>
        <w:tc>
          <w:tcPr>
            <w:tcW w:w="367" w:type="pct"/>
            <w:tcBorders>
              <w:top w:val="single" w:sz="4" w:space="0" w:color="auto"/>
              <w:left w:val="single" w:sz="4" w:space="0" w:color="auto"/>
              <w:bottom w:val="single" w:sz="4" w:space="0" w:color="auto"/>
              <w:right w:val="single" w:sz="4" w:space="0" w:color="auto"/>
            </w:tcBorders>
            <w:vAlign w:val="center"/>
          </w:tcPr>
          <w:p w14:paraId="2EC99EFC" w14:textId="12835B4F" w:rsidR="00E101A2" w:rsidRPr="00D32158" w:rsidRDefault="00E101A2" w:rsidP="00E101A2">
            <w:pPr>
              <w:widowControl/>
              <w:adjustRightInd w:val="0"/>
              <w:snapToGrid w:val="0"/>
              <w:jc w:val="center"/>
              <w:textAlignment w:val="center"/>
              <w:rPr>
                <w:color w:val="000000"/>
                <w:kern w:val="0"/>
              </w:rPr>
            </w:pPr>
            <w:r>
              <w:rPr>
                <w:color w:val="000000"/>
              </w:rPr>
              <w:t>11.9</w:t>
            </w:r>
          </w:p>
        </w:tc>
        <w:tc>
          <w:tcPr>
            <w:tcW w:w="466" w:type="pct"/>
            <w:vMerge w:val="restart"/>
            <w:tcBorders>
              <w:top w:val="single" w:sz="4" w:space="0" w:color="auto"/>
              <w:left w:val="single" w:sz="4" w:space="0" w:color="auto"/>
            </w:tcBorders>
            <w:vAlign w:val="center"/>
          </w:tcPr>
          <w:p w14:paraId="07E4E6FE" w14:textId="5B643DA1" w:rsidR="00E101A2" w:rsidRPr="00D32158" w:rsidRDefault="00E101A2" w:rsidP="00E101A2">
            <w:pPr>
              <w:widowControl/>
              <w:adjustRightInd w:val="0"/>
              <w:snapToGrid w:val="0"/>
              <w:jc w:val="center"/>
              <w:textAlignment w:val="center"/>
            </w:pPr>
            <w:r>
              <w:rPr>
                <w:rFonts w:ascii="仿宋" w:eastAsia="仿宋" w:hAnsi="仿宋" w:cs="仿宋" w:hint="eastAsia"/>
              </w:rPr>
              <w:t>/</w:t>
            </w:r>
          </w:p>
        </w:tc>
      </w:tr>
      <w:tr w:rsidR="00E101A2" w:rsidRPr="00D32158" w14:paraId="75F96A49" w14:textId="77777777" w:rsidTr="00E101A2">
        <w:trPr>
          <w:trHeight w:val="57"/>
          <w:jc w:val="center"/>
        </w:trPr>
        <w:tc>
          <w:tcPr>
            <w:tcW w:w="708" w:type="pct"/>
            <w:vMerge/>
            <w:tcBorders>
              <w:bottom w:val="single" w:sz="4" w:space="0" w:color="auto"/>
              <w:right w:val="single" w:sz="4" w:space="0" w:color="auto"/>
            </w:tcBorders>
            <w:vAlign w:val="center"/>
          </w:tcPr>
          <w:p w14:paraId="47B67485" w14:textId="77777777" w:rsidR="00E101A2" w:rsidRPr="00D32158" w:rsidRDefault="00E101A2" w:rsidP="00E101A2">
            <w:pPr>
              <w:widowControl/>
              <w:adjustRightInd w:val="0"/>
              <w:snapToGrid w:val="0"/>
              <w:jc w:val="center"/>
              <w:textAlignment w:val="center"/>
            </w:pPr>
          </w:p>
        </w:tc>
        <w:tc>
          <w:tcPr>
            <w:tcW w:w="586" w:type="pct"/>
            <w:vAlign w:val="center"/>
          </w:tcPr>
          <w:p w14:paraId="0A40FF39" w14:textId="032446C6" w:rsidR="00E101A2" w:rsidRPr="00D32158" w:rsidRDefault="00E101A2" w:rsidP="00E101A2">
            <w:pPr>
              <w:adjustRightInd w:val="0"/>
              <w:snapToGrid w:val="0"/>
              <w:jc w:val="center"/>
            </w:pPr>
            <w:r>
              <w:rPr>
                <w:rFonts w:hint="eastAsia"/>
              </w:rPr>
              <w:t>标准指数</w:t>
            </w:r>
          </w:p>
        </w:tc>
        <w:tc>
          <w:tcPr>
            <w:tcW w:w="478" w:type="pct"/>
            <w:vMerge/>
            <w:tcBorders>
              <w:left w:val="single" w:sz="4" w:space="0" w:color="auto"/>
              <w:bottom w:val="single" w:sz="4" w:space="0" w:color="auto"/>
              <w:right w:val="single" w:sz="4" w:space="0" w:color="auto"/>
              <w:tl2br w:val="nil"/>
              <w:tr2bl w:val="nil"/>
            </w:tcBorders>
            <w:vAlign w:val="center"/>
          </w:tcPr>
          <w:p w14:paraId="3DA0F692" w14:textId="3CCC7212" w:rsidR="00E101A2" w:rsidRPr="00D32158" w:rsidRDefault="00E101A2" w:rsidP="00E101A2">
            <w:pPr>
              <w:adjustRightInd w:val="0"/>
              <w:snapToGrid w:val="0"/>
              <w:jc w:val="center"/>
            </w:pPr>
          </w:p>
        </w:tc>
        <w:tc>
          <w:tcPr>
            <w:tcW w:w="402" w:type="pct"/>
            <w:tcBorders>
              <w:top w:val="single" w:sz="4" w:space="0" w:color="auto"/>
              <w:left w:val="single" w:sz="4" w:space="0" w:color="auto"/>
              <w:bottom w:val="single" w:sz="4" w:space="0" w:color="auto"/>
              <w:right w:val="single" w:sz="4" w:space="0" w:color="auto"/>
            </w:tcBorders>
            <w:vAlign w:val="center"/>
          </w:tcPr>
          <w:p w14:paraId="63201A3A" w14:textId="3781F3EA" w:rsidR="00E101A2" w:rsidRPr="00D32158" w:rsidRDefault="00E101A2" w:rsidP="00E101A2">
            <w:pPr>
              <w:widowControl/>
              <w:adjustRightInd w:val="0"/>
              <w:snapToGrid w:val="0"/>
              <w:jc w:val="center"/>
              <w:textAlignment w:val="center"/>
              <w:rPr>
                <w:color w:val="000000"/>
                <w:sz w:val="22"/>
                <w:szCs w:val="22"/>
              </w:rPr>
            </w:pPr>
            <w:r>
              <w:rPr>
                <w:rFonts w:eastAsia="仿宋" w:hint="eastAsia"/>
              </w:rPr>
              <w:t>/</w:t>
            </w:r>
          </w:p>
        </w:tc>
        <w:tc>
          <w:tcPr>
            <w:tcW w:w="402" w:type="pct"/>
            <w:tcBorders>
              <w:top w:val="single" w:sz="4" w:space="0" w:color="auto"/>
              <w:left w:val="single" w:sz="4" w:space="0" w:color="auto"/>
              <w:bottom w:val="single" w:sz="4" w:space="0" w:color="auto"/>
              <w:right w:val="single" w:sz="4" w:space="0" w:color="auto"/>
            </w:tcBorders>
          </w:tcPr>
          <w:p w14:paraId="619AFF15" w14:textId="679867D8" w:rsidR="00E101A2" w:rsidRPr="00D32158" w:rsidRDefault="00E101A2" w:rsidP="00E101A2">
            <w:pPr>
              <w:widowControl/>
              <w:adjustRightInd w:val="0"/>
              <w:snapToGrid w:val="0"/>
              <w:jc w:val="center"/>
              <w:textAlignment w:val="center"/>
              <w:rPr>
                <w:color w:val="000000"/>
                <w:sz w:val="22"/>
                <w:szCs w:val="22"/>
              </w:rPr>
            </w:pPr>
            <w:r w:rsidRPr="00030223">
              <w:rPr>
                <w:rFonts w:eastAsia="仿宋" w:hint="eastAsia"/>
              </w:rPr>
              <w:t>/</w:t>
            </w:r>
          </w:p>
        </w:tc>
        <w:tc>
          <w:tcPr>
            <w:tcW w:w="402" w:type="pct"/>
            <w:tcBorders>
              <w:top w:val="single" w:sz="4" w:space="0" w:color="auto"/>
              <w:left w:val="single" w:sz="4" w:space="0" w:color="auto"/>
              <w:bottom w:val="single" w:sz="4" w:space="0" w:color="auto"/>
              <w:right w:val="single" w:sz="4" w:space="0" w:color="auto"/>
            </w:tcBorders>
          </w:tcPr>
          <w:p w14:paraId="1238A492" w14:textId="6589B3DC" w:rsidR="00E101A2" w:rsidRPr="00D32158" w:rsidRDefault="00E101A2" w:rsidP="00E101A2">
            <w:pPr>
              <w:widowControl/>
              <w:adjustRightInd w:val="0"/>
              <w:snapToGrid w:val="0"/>
              <w:jc w:val="center"/>
              <w:textAlignment w:val="center"/>
              <w:rPr>
                <w:color w:val="000000"/>
                <w:sz w:val="22"/>
                <w:szCs w:val="22"/>
              </w:rPr>
            </w:pPr>
            <w:r w:rsidRPr="00030223">
              <w:rPr>
                <w:rFonts w:eastAsia="仿宋" w:hint="eastAsia"/>
              </w:rPr>
              <w:t>/</w:t>
            </w:r>
          </w:p>
        </w:tc>
        <w:tc>
          <w:tcPr>
            <w:tcW w:w="407" w:type="pct"/>
            <w:tcBorders>
              <w:top w:val="single" w:sz="4" w:space="0" w:color="auto"/>
              <w:left w:val="single" w:sz="4" w:space="0" w:color="auto"/>
              <w:bottom w:val="single" w:sz="4" w:space="0" w:color="auto"/>
              <w:right w:val="single" w:sz="4" w:space="0" w:color="auto"/>
            </w:tcBorders>
          </w:tcPr>
          <w:p w14:paraId="220E23A6" w14:textId="398F0631" w:rsidR="00E101A2" w:rsidRDefault="00E101A2" w:rsidP="00E101A2">
            <w:pPr>
              <w:widowControl/>
              <w:adjustRightInd w:val="0"/>
              <w:snapToGrid w:val="0"/>
              <w:jc w:val="center"/>
              <w:textAlignment w:val="center"/>
              <w:rPr>
                <w:rFonts w:eastAsia="仿宋"/>
              </w:rPr>
            </w:pPr>
            <w:r w:rsidRPr="00030223">
              <w:rPr>
                <w:rFonts w:eastAsia="仿宋" w:hint="eastAsia"/>
              </w:rPr>
              <w:t>/</w:t>
            </w:r>
          </w:p>
        </w:tc>
        <w:tc>
          <w:tcPr>
            <w:tcW w:w="387" w:type="pct"/>
            <w:tcBorders>
              <w:top w:val="single" w:sz="4" w:space="0" w:color="auto"/>
              <w:left w:val="single" w:sz="4" w:space="0" w:color="auto"/>
              <w:bottom w:val="single" w:sz="4" w:space="0" w:color="auto"/>
              <w:right w:val="single" w:sz="4" w:space="0" w:color="auto"/>
            </w:tcBorders>
          </w:tcPr>
          <w:p w14:paraId="137A4A09" w14:textId="30674BB0" w:rsidR="00E101A2" w:rsidRDefault="00E101A2" w:rsidP="00E101A2">
            <w:pPr>
              <w:widowControl/>
              <w:adjustRightInd w:val="0"/>
              <w:snapToGrid w:val="0"/>
              <w:jc w:val="center"/>
              <w:textAlignment w:val="center"/>
              <w:rPr>
                <w:rFonts w:eastAsia="仿宋"/>
              </w:rPr>
            </w:pPr>
            <w:r w:rsidRPr="00030223">
              <w:rPr>
                <w:rFonts w:eastAsia="仿宋" w:hint="eastAsia"/>
              </w:rPr>
              <w:t>/</w:t>
            </w:r>
          </w:p>
        </w:tc>
        <w:tc>
          <w:tcPr>
            <w:tcW w:w="395" w:type="pct"/>
            <w:tcBorders>
              <w:top w:val="single" w:sz="4" w:space="0" w:color="auto"/>
              <w:left w:val="single" w:sz="4" w:space="0" w:color="auto"/>
              <w:bottom w:val="single" w:sz="4" w:space="0" w:color="auto"/>
              <w:right w:val="single" w:sz="4" w:space="0" w:color="auto"/>
            </w:tcBorders>
          </w:tcPr>
          <w:p w14:paraId="5576ED9F" w14:textId="00066240" w:rsidR="00E101A2" w:rsidRDefault="00E101A2" w:rsidP="00E101A2">
            <w:pPr>
              <w:widowControl/>
              <w:adjustRightInd w:val="0"/>
              <w:snapToGrid w:val="0"/>
              <w:jc w:val="center"/>
              <w:textAlignment w:val="center"/>
              <w:rPr>
                <w:rFonts w:eastAsia="仿宋"/>
              </w:rPr>
            </w:pPr>
            <w:r w:rsidRPr="00030223">
              <w:rPr>
                <w:rFonts w:eastAsia="仿宋" w:hint="eastAsia"/>
              </w:rPr>
              <w:t>/</w:t>
            </w:r>
          </w:p>
        </w:tc>
        <w:tc>
          <w:tcPr>
            <w:tcW w:w="367" w:type="pct"/>
            <w:tcBorders>
              <w:top w:val="single" w:sz="4" w:space="0" w:color="auto"/>
              <w:left w:val="single" w:sz="4" w:space="0" w:color="auto"/>
              <w:bottom w:val="single" w:sz="4" w:space="0" w:color="auto"/>
              <w:right w:val="single" w:sz="4" w:space="0" w:color="auto"/>
            </w:tcBorders>
          </w:tcPr>
          <w:p w14:paraId="4E86C8FF" w14:textId="195E5379" w:rsidR="00E101A2" w:rsidRDefault="00E101A2" w:rsidP="00E101A2">
            <w:pPr>
              <w:widowControl/>
              <w:adjustRightInd w:val="0"/>
              <w:snapToGrid w:val="0"/>
              <w:jc w:val="center"/>
              <w:textAlignment w:val="center"/>
              <w:rPr>
                <w:rFonts w:eastAsia="仿宋"/>
              </w:rPr>
            </w:pPr>
            <w:r w:rsidRPr="00030223">
              <w:rPr>
                <w:rFonts w:eastAsia="仿宋" w:hint="eastAsia"/>
              </w:rPr>
              <w:t>/</w:t>
            </w:r>
          </w:p>
        </w:tc>
        <w:tc>
          <w:tcPr>
            <w:tcW w:w="466" w:type="pct"/>
            <w:vMerge/>
            <w:tcBorders>
              <w:left w:val="single" w:sz="4" w:space="0" w:color="auto"/>
              <w:bottom w:val="single" w:sz="4" w:space="0" w:color="auto"/>
            </w:tcBorders>
            <w:vAlign w:val="center"/>
          </w:tcPr>
          <w:p w14:paraId="23D9CF7B" w14:textId="77777777" w:rsidR="00E101A2" w:rsidRDefault="00E101A2" w:rsidP="00E101A2">
            <w:pPr>
              <w:widowControl/>
              <w:adjustRightInd w:val="0"/>
              <w:snapToGrid w:val="0"/>
              <w:jc w:val="center"/>
              <w:textAlignment w:val="center"/>
              <w:rPr>
                <w:rFonts w:ascii="仿宋" w:eastAsia="仿宋" w:hAnsi="仿宋" w:cs="仿宋" w:hint="eastAsia"/>
              </w:rPr>
            </w:pPr>
          </w:p>
        </w:tc>
      </w:tr>
      <w:tr w:rsidR="00E101A2" w:rsidRPr="00D32158" w14:paraId="67349B62" w14:textId="77777777" w:rsidTr="00E101A2">
        <w:trPr>
          <w:trHeight w:val="57"/>
          <w:jc w:val="center"/>
        </w:trPr>
        <w:tc>
          <w:tcPr>
            <w:tcW w:w="708" w:type="pct"/>
            <w:vMerge w:val="restart"/>
            <w:tcBorders>
              <w:top w:val="single" w:sz="4" w:space="0" w:color="auto"/>
              <w:right w:val="single" w:sz="4" w:space="0" w:color="auto"/>
            </w:tcBorders>
            <w:vAlign w:val="center"/>
          </w:tcPr>
          <w:p w14:paraId="592D136E" w14:textId="29C6F75F" w:rsidR="00E101A2" w:rsidRPr="00D32158" w:rsidRDefault="00E101A2" w:rsidP="00E101A2">
            <w:pPr>
              <w:widowControl/>
              <w:adjustRightInd w:val="0"/>
              <w:snapToGrid w:val="0"/>
              <w:jc w:val="center"/>
              <w:textAlignment w:val="center"/>
            </w:pPr>
            <w:r w:rsidRPr="00D32158">
              <w:rPr>
                <w:bCs/>
              </w:rPr>
              <w:t>CO</w:t>
            </w:r>
            <w:r w:rsidRPr="00D32158">
              <w:rPr>
                <w:bCs/>
                <w:vertAlign w:val="subscript"/>
              </w:rPr>
              <w:t>3</w:t>
            </w:r>
            <w:r w:rsidRPr="00D32158">
              <w:rPr>
                <w:bCs/>
                <w:vertAlign w:val="superscript"/>
              </w:rPr>
              <w:t>2-</w:t>
            </w:r>
          </w:p>
        </w:tc>
        <w:tc>
          <w:tcPr>
            <w:tcW w:w="586" w:type="pct"/>
            <w:vAlign w:val="center"/>
          </w:tcPr>
          <w:p w14:paraId="648F6B21" w14:textId="21BBD068" w:rsidR="00E101A2" w:rsidRPr="00D32158" w:rsidRDefault="00E101A2" w:rsidP="00E101A2">
            <w:pPr>
              <w:adjustRightInd w:val="0"/>
              <w:snapToGrid w:val="0"/>
              <w:jc w:val="center"/>
            </w:pPr>
            <w:r>
              <w:rPr>
                <w:rFonts w:hint="eastAsia"/>
              </w:rPr>
              <w:t>监测值</w:t>
            </w:r>
          </w:p>
        </w:tc>
        <w:tc>
          <w:tcPr>
            <w:tcW w:w="478" w:type="pct"/>
            <w:vMerge w:val="restart"/>
            <w:tcBorders>
              <w:top w:val="single" w:sz="4" w:space="0" w:color="auto"/>
              <w:left w:val="single" w:sz="4" w:space="0" w:color="auto"/>
              <w:right w:val="single" w:sz="4" w:space="0" w:color="auto"/>
              <w:tl2br w:val="nil"/>
              <w:tr2bl w:val="nil"/>
            </w:tcBorders>
            <w:vAlign w:val="center"/>
          </w:tcPr>
          <w:p w14:paraId="314F3E00" w14:textId="7A8BE9A5" w:rsidR="00E101A2" w:rsidRPr="00D32158" w:rsidRDefault="00E101A2" w:rsidP="00E101A2">
            <w:pPr>
              <w:adjustRightInd w:val="0"/>
              <w:snapToGrid w:val="0"/>
              <w:jc w:val="center"/>
            </w:pPr>
            <w:r w:rsidRPr="00D32158">
              <w:t>mg/L</w:t>
            </w:r>
          </w:p>
        </w:tc>
        <w:tc>
          <w:tcPr>
            <w:tcW w:w="402" w:type="pct"/>
            <w:tcBorders>
              <w:top w:val="single" w:sz="4" w:space="0" w:color="auto"/>
              <w:left w:val="single" w:sz="4" w:space="0" w:color="auto"/>
              <w:bottom w:val="single" w:sz="4" w:space="0" w:color="auto"/>
              <w:right w:val="single" w:sz="4" w:space="0" w:color="auto"/>
            </w:tcBorders>
            <w:vAlign w:val="center"/>
          </w:tcPr>
          <w:p w14:paraId="4F484115" w14:textId="15A309CF" w:rsidR="00E101A2" w:rsidRPr="00D32158" w:rsidRDefault="00E101A2" w:rsidP="00E101A2">
            <w:pPr>
              <w:widowControl/>
              <w:adjustRightInd w:val="0"/>
              <w:snapToGrid w:val="0"/>
              <w:jc w:val="center"/>
              <w:textAlignment w:val="center"/>
            </w:pPr>
            <w:r>
              <w:rPr>
                <w:color w:val="000000"/>
                <w:sz w:val="22"/>
                <w:szCs w:val="22"/>
              </w:rPr>
              <w:t>5L</w:t>
            </w:r>
          </w:p>
        </w:tc>
        <w:tc>
          <w:tcPr>
            <w:tcW w:w="402" w:type="pct"/>
            <w:tcBorders>
              <w:top w:val="single" w:sz="4" w:space="0" w:color="auto"/>
              <w:left w:val="single" w:sz="4" w:space="0" w:color="auto"/>
              <w:bottom w:val="single" w:sz="4" w:space="0" w:color="auto"/>
              <w:right w:val="single" w:sz="4" w:space="0" w:color="auto"/>
            </w:tcBorders>
            <w:vAlign w:val="center"/>
          </w:tcPr>
          <w:p w14:paraId="21F596DA" w14:textId="09A93FE5" w:rsidR="00E101A2" w:rsidRPr="00D32158" w:rsidRDefault="00E101A2" w:rsidP="00E101A2">
            <w:pPr>
              <w:widowControl/>
              <w:adjustRightInd w:val="0"/>
              <w:snapToGrid w:val="0"/>
              <w:jc w:val="center"/>
              <w:textAlignment w:val="center"/>
            </w:pPr>
            <w:r>
              <w:rPr>
                <w:color w:val="000000"/>
                <w:sz w:val="22"/>
                <w:szCs w:val="22"/>
              </w:rPr>
              <w:t>5L</w:t>
            </w:r>
          </w:p>
        </w:tc>
        <w:tc>
          <w:tcPr>
            <w:tcW w:w="402" w:type="pct"/>
            <w:tcBorders>
              <w:top w:val="single" w:sz="4" w:space="0" w:color="auto"/>
              <w:left w:val="single" w:sz="4" w:space="0" w:color="auto"/>
              <w:bottom w:val="single" w:sz="4" w:space="0" w:color="auto"/>
              <w:right w:val="single" w:sz="4" w:space="0" w:color="auto"/>
            </w:tcBorders>
            <w:vAlign w:val="center"/>
          </w:tcPr>
          <w:p w14:paraId="65A8E2F7" w14:textId="7E35D3F0" w:rsidR="00E101A2" w:rsidRPr="00D32158" w:rsidRDefault="00E101A2" w:rsidP="00E101A2">
            <w:pPr>
              <w:widowControl/>
              <w:adjustRightInd w:val="0"/>
              <w:snapToGrid w:val="0"/>
              <w:jc w:val="center"/>
              <w:textAlignment w:val="center"/>
            </w:pPr>
            <w:r>
              <w:rPr>
                <w:color w:val="000000"/>
                <w:sz w:val="22"/>
                <w:szCs w:val="22"/>
              </w:rPr>
              <w:t>5L</w:t>
            </w:r>
          </w:p>
        </w:tc>
        <w:tc>
          <w:tcPr>
            <w:tcW w:w="407" w:type="pct"/>
            <w:tcBorders>
              <w:top w:val="single" w:sz="4" w:space="0" w:color="auto"/>
              <w:left w:val="single" w:sz="4" w:space="0" w:color="auto"/>
              <w:bottom w:val="single" w:sz="4" w:space="0" w:color="auto"/>
              <w:right w:val="single" w:sz="4" w:space="0" w:color="auto"/>
            </w:tcBorders>
            <w:vAlign w:val="center"/>
          </w:tcPr>
          <w:p w14:paraId="1B17F94C" w14:textId="03D845CC" w:rsidR="00E101A2" w:rsidRPr="00D32158" w:rsidRDefault="00E101A2" w:rsidP="00E101A2">
            <w:pPr>
              <w:widowControl/>
              <w:adjustRightInd w:val="0"/>
              <w:snapToGrid w:val="0"/>
              <w:jc w:val="center"/>
              <w:textAlignment w:val="center"/>
            </w:pPr>
            <w:r>
              <w:rPr>
                <w:color w:val="000000"/>
              </w:rPr>
              <w:t>5L</w:t>
            </w:r>
          </w:p>
        </w:tc>
        <w:tc>
          <w:tcPr>
            <w:tcW w:w="387" w:type="pct"/>
            <w:tcBorders>
              <w:top w:val="single" w:sz="4" w:space="0" w:color="auto"/>
              <w:left w:val="single" w:sz="4" w:space="0" w:color="auto"/>
              <w:bottom w:val="single" w:sz="4" w:space="0" w:color="auto"/>
              <w:right w:val="single" w:sz="4" w:space="0" w:color="auto"/>
            </w:tcBorders>
            <w:vAlign w:val="center"/>
          </w:tcPr>
          <w:p w14:paraId="01C38ABE" w14:textId="1350EDB7" w:rsidR="00E101A2" w:rsidRPr="00D32158" w:rsidRDefault="00E101A2" w:rsidP="00E101A2">
            <w:pPr>
              <w:widowControl/>
              <w:adjustRightInd w:val="0"/>
              <w:snapToGrid w:val="0"/>
              <w:jc w:val="center"/>
              <w:textAlignment w:val="center"/>
            </w:pPr>
            <w:r>
              <w:rPr>
                <w:color w:val="000000"/>
              </w:rPr>
              <w:t>5L</w:t>
            </w:r>
          </w:p>
        </w:tc>
        <w:tc>
          <w:tcPr>
            <w:tcW w:w="395" w:type="pct"/>
            <w:tcBorders>
              <w:top w:val="single" w:sz="4" w:space="0" w:color="auto"/>
              <w:left w:val="single" w:sz="4" w:space="0" w:color="auto"/>
              <w:bottom w:val="single" w:sz="4" w:space="0" w:color="auto"/>
              <w:right w:val="single" w:sz="4" w:space="0" w:color="auto"/>
            </w:tcBorders>
            <w:vAlign w:val="center"/>
          </w:tcPr>
          <w:p w14:paraId="1388FAD7" w14:textId="2BED0924" w:rsidR="00E101A2" w:rsidRPr="00D32158" w:rsidRDefault="00E101A2" w:rsidP="00E101A2">
            <w:pPr>
              <w:widowControl/>
              <w:adjustRightInd w:val="0"/>
              <w:snapToGrid w:val="0"/>
              <w:jc w:val="center"/>
              <w:textAlignment w:val="center"/>
              <w:rPr>
                <w:color w:val="000000"/>
                <w:kern w:val="0"/>
                <w:lang w:bidi="ar"/>
              </w:rPr>
            </w:pPr>
            <w:r>
              <w:rPr>
                <w:color w:val="000000"/>
              </w:rPr>
              <w:t>5L</w:t>
            </w:r>
          </w:p>
        </w:tc>
        <w:tc>
          <w:tcPr>
            <w:tcW w:w="367" w:type="pct"/>
            <w:tcBorders>
              <w:top w:val="single" w:sz="4" w:space="0" w:color="auto"/>
              <w:left w:val="single" w:sz="4" w:space="0" w:color="auto"/>
              <w:bottom w:val="single" w:sz="4" w:space="0" w:color="auto"/>
              <w:right w:val="single" w:sz="4" w:space="0" w:color="auto"/>
            </w:tcBorders>
            <w:vAlign w:val="center"/>
          </w:tcPr>
          <w:p w14:paraId="45AE3BFE" w14:textId="5689C54A" w:rsidR="00E101A2" w:rsidRPr="00D32158" w:rsidRDefault="00E101A2" w:rsidP="00E101A2">
            <w:pPr>
              <w:widowControl/>
              <w:adjustRightInd w:val="0"/>
              <w:snapToGrid w:val="0"/>
              <w:jc w:val="center"/>
              <w:textAlignment w:val="center"/>
              <w:rPr>
                <w:color w:val="000000"/>
                <w:kern w:val="0"/>
              </w:rPr>
            </w:pPr>
            <w:r>
              <w:rPr>
                <w:color w:val="000000"/>
              </w:rPr>
              <w:t>5L</w:t>
            </w:r>
          </w:p>
        </w:tc>
        <w:tc>
          <w:tcPr>
            <w:tcW w:w="466" w:type="pct"/>
            <w:vMerge w:val="restart"/>
            <w:tcBorders>
              <w:top w:val="single" w:sz="4" w:space="0" w:color="auto"/>
              <w:left w:val="single" w:sz="4" w:space="0" w:color="auto"/>
            </w:tcBorders>
            <w:vAlign w:val="center"/>
          </w:tcPr>
          <w:p w14:paraId="4840561E" w14:textId="3EA28E2C" w:rsidR="00E101A2" w:rsidRPr="00D32158" w:rsidRDefault="00E101A2" w:rsidP="00E101A2">
            <w:pPr>
              <w:widowControl/>
              <w:adjustRightInd w:val="0"/>
              <w:snapToGrid w:val="0"/>
              <w:jc w:val="center"/>
              <w:textAlignment w:val="center"/>
            </w:pPr>
            <w:r>
              <w:rPr>
                <w:rFonts w:ascii="仿宋" w:eastAsia="仿宋" w:hAnsi="仿宋" w:cs="仿宋" w:hint="eastAsia"/>
              </w:rPr>
              <w:t>/</w:t>
            </w:r>
          </w:p>
        </w:tc>
      </w:tr>
      <w:tr w:rsidR="00E101A2" w:rsidRPr="00D32158" w14:paraId="3F8F6B2C" w14:textId="77777777" w:rsidTr="00E101A2">
        <w:trPr>
          <w:trHeight w:val="57"/>
          <w:jc w:val="center"/>
        </w:trPr>
        <w:tc>
          <w:tcPr>
            <w:tcW w:w="708" w:type="pct"/>
            <w:vMerge/>
            <w:tcBorders>
              <w:bottom w:val="single" w:sz="4" w:space="0" w:color="auto"/>
              <w:right w:val="single" w:sz="4" w:space="0" w:color="auto"/>
            </w:tcBorders>
            <w:vAlign w:val="center"/>
          </w:tcPr>
          <w:p w14:paraId="204CF799" w14:textId="77777777" w:rsidR="00E101A2" w:rsidRPr="00D32158" w:rsidRDefault="00E101A2" w:rsidP="00E101A2">
            <w:pPr>
              <w:widowControl/>
              <w:adjustRightInd w:val="0"/>
              <w:snapToGrid w:val="0"/>
              <w:jc w:val="center"/>
              <w:textAlignment w:val="center"/>
              <w:rPr>
                <w:bCs/>
              </w:rPr>
            </w:pPr>
          </w:p>
        </w:tc>
        <w:tc>
          <w:tcPr>
            <w:tcW w:w="586" w:type="pct"/>
            <w:vAlign w:val="center"/>
          </w:tcPr>
          <w:p w14:paraId="4544A04D" w14:textId="3D36DB48" w:rsidR="00E101A2" w:rsidRPr="00D32158" w:rsidRDefault="00E101A2" w:rsidP="00E101A2">
            <w:pPr>
              <w:adjustRightInd w:val="0"/>
              <w:snapToGrid w:val="0"/>
              <w:jc w:val="center"/>
            </w:pPr>
            <w:r>
              <w:rPr>
                <w:rFonts w:hint="eastAsia"/>
              </w:rPr>
              <w:t>标准指数</w:t>
            </w:r>
          </w:p>
        </w:tc>
        <w:tc>
          <w:tcPr>
            <w:tcW w:w="478" w:type="pct"/>
            <w:vMerge/>
            <w:tcBorders>
              <w:left w:val="single" w:sz="4" w:space="0" w:color="auto"/>
              <w:bottom w:val="single" w:sz="4" w:space="0" w:color="auto"/>
              <w:right w:val="single" w:sz="4" w:space="0" w:color="auto"/>
              <w:tl2br w:val="nil"/>
              <w:tr2bl w:val="nil"/>
            </w:tcBorders>
            <w:vAlign w:val="center"/>
          </w:tcPr>
          <w:p w14:paraId="43C35CA8" w14:textId="6D0DCB7E" w:rsidR="00E101A2" w:rsidRPr="00D32158" w:rsidRDefault="00E101A2" w:rsidP="00E101A2">
            <w:pPr>
              <w:adjustRightInd w:val="0"/>
              <w:snapToGrid w:val="0"/>
              <w:jc w:val="center"/>
            </w:pPr>
          </w:p>
        </w:tc>
        <w:tc>
          <w:tcPr>
            <w:tcW w:w="402" w:type="pct"/>
            <w:tcBorders>
              <w:top w:val="single" w:sz="4" w:space="0" w:color="auto"/>
              <w:left w:val="single" w:sz="4" w:space="0" w:color="auto"/>
              <w:bottom w:val="single" w:sz="4" w:space="0" w:color="auto"/>
              <w:right w:val="single" w:sz="4" w:space="0" w:color="auto"/>
            </w:tcBorders>
            <w:vAlign w:val="center"/>
          </w:tcPr>
          <w:p w14:paraId="38C67C16" w14:textId="39EC45C5" w:rsidR="00E101A2" w:rsidRPr="00D32158" w:rsidRDefault="00E101A2" w:rsidP="00E101A2">
            <w:pPr>
              <w:widowControl/>
              <w:adjustRightInd w:val="0"/>
              <w:snapToGrid w:val="0"/>
              <w:jc w:val="center"/>
              <w:textAlignment w:val="center"/>
              <w:rPr>
                <w:color w:val="000000"/>
                <w:sz w:val="22"/>
                <w:szCs w:val="22"/>
              </w:rPr>
            </w:pPr>
            <w:r>
              <w:rPr>
                <w:rFonts w:eastAsia="仿宋" w:hint="eastAsia"/>
              </w:rPr>
              <w:t>/</w:t>
            </w:r>
          </w:p>
        </w:tc>
        <w:tc>
          <w:tcPr>
            <w:tcW w:w="402" w:type="pct"/>
            <w:tcBorders>
              <w:top w:val="single" w:sz="4" w:space="0" w:color="auto"/>
              <w:left w:val="single" w:sz="4" w:space="0" w:color="auto"/>
              <w:bottom w:val="single" w:sz="4" w:space="0" w:color="auto"/>
              <w:right w:val="single" w:sz="4" w:space="0" w:color="auto"/>
            </w:tcBorders>
          </w:tcPr>
          <w:p w14:paraId="319336C7" w14:textId="28D46E88" w:rsidR="00E101A2" w:rsidRPr="00D32158" w:rsidRDefault="00E101A2" w:rsidP="00E101A2">
            <w:pPr>
              <w:widowControl/>
              <w:adjustRightInd w:val="0"/>
              <w:snapToGrid w:val="0"/>
              <w:jc w:val="center"/>
              <w:textAlignment w:val="center"/>
              <w:rPr>
                <w:color w:val="000000"/>
                <w:sz w:val="22"/>
                <w:szCs w:val="22"/>
              </w:rPr>
            </w:pPr>
            <w:r w:rsidRPr="00030223">
              <w:rPr>
                <w:rFonts w:eastAsia="仿宋" w:hint="eastAsia"/>
              </w:rPr>
              <w:t>/</w:t>
            </w:r>
          </w:p>
        </w:tc>
        <w:tc>
          <w:tcPr>
            <w:tcW w:w="402" w:type="pct"/>
            <w:tcBorders>
              <w:top w:val="single" w:sz="4" w:space="0" w:color="auto"/>
              <w:left w:val="single" w:sz="4" w:space="0" w:color="auto"/>
              <w:bottom w:val="single" w:sz="4" w:space="0" w:color="auto"/>
              <w:right w:val="single" w:sz="4" w:space="0" w:color="auto"/>
            </w:tcBorders>
          </w:tcPr>
          <w:p w14:paraId="77A94183" w14:textId="587B4B9F" w:rsidR="00E101A2" w:rsidRPr="00D32158" w:rsidRDefault="00E101A2" w:rsidP="00E101A2">
            <w:pPr>
              <w:widowControl/>
              <w:adjustRightInd w:val="0"/>
              <w:snapToGrid w:val="0"/>
              <w:jc w:val="center"/>
              <w:textAlignment w:val="center"/>
              <w:rPr>
                <w:color w:val="000000"/>
                <w:sz w:val="22"/>
                <w:szCs w:val="22"/>
              </w:rPr>
            </w:pPr>
            <w:r w:rsidRPr="00030223">
              <w:rPr>
                <w:rFonts w:eastAsia="仿宋" w:hint="eastAsia"/>
              </w:rPr>
              <w:t>/</w:t>
            </w:r>
          </w:p>
        </w:tc>
        <w:tc>
          <w:tcPr>
            <w:tcW w:w="407" w:type="pct"/>
            <w:tcBorders>
              <w:top w:val="single" w:sz="4" w:space="0" w:color="auto"/>
              <w:left w:val="single" w:sz="4" w:space="0" w:color="auto"/>
              <w:bottom w:val="single" w:sz="4" w:space="0" w:color="auto"/>
              <w:right w:val="single" w:sz="4" w:space="0" w:color="auto"/>
            </w:tcBorders>
          </w:tcPr>
          <w:p w14:paraId="33433AE6" w14:textId="5F0C4DB3" w:rsidR="00E101A2" w:rsidRDefault="00E101A2" w:rsidP="00E101A2">
            <w:pPr>
              <w:widowControl/>
              <w:adjustRightInd w:val="0"/>
              <w:snapToGrid w:val="0"/>
              <w:jc w:val="center"/>
              <w:textAlignment w:val="center"/>
              <w:rPr>
                <w:rFonts w:eastAsia="仿宋"/>
              </w:rPr>
            </w:pPr>
            <w:r w:rsidRPr="00030223">
              <w:rPr>
                <w:rFonts w:eastAsia="仿宋" w:hint="eastAsia"/>
              </w:rPr>
              <w:t>/</w:t>
            </w:r>
          </w:p>
        </w:tc>
        <w:tc>
          <w:tcPr>
            <w:tcW w:w="387" w:type="pct"/>
            <w:tcBorders>
              <w:top w:val="single" w:sz="4" w:space="0" w:color="auto"/>
              <w:left w:val="single" w:sz="4" w:space="0" w:color="auto"/>
              <w:bottom w:val="single" w:sz="4" w:space="0" w:color="auto"/>
              <w:right w:val="single" w:sz="4" w:space="0" w:color="auto"/>
            </w:tcBorders>
          </w:tcPr>
          <w:p w14:paraId="35374A38" w14:textId="073069D6" w:rsidR="00E101A2" w:rsidRDefault="00E101A2" w:rsidP="00E101A2">
            <w:pPr>
              <w:widowControl/>
              <w:adjustRightInd w:val="0"/>
              <w:snapToGrid w:val="0"/>
              <w:jc w:val="center"/>
              <w:textAlignment w:val="center"/>
              <w:rPr>
                <w:rFonts w:eastAsia="仿宋"/>
              </w:rPr>
            </w:pPr>
            <w:r w:rsidRPr="00030223">
              <w:rPr>
                <w:rFonts w:eastAsia="仿宋" w:hint="eastAsia"/>
              </w:rPr>
              <w:t>/</w:t>
            </w:r>
          </w:p>
        </w:tc>
        <w:tc>
          <w:tcPr>
            <w:tcW w:w="395" w:type="pct"/>
            <w:tcBorders>
              <w:top w:val="single" w:sz="4" w:space="0" w:color="auto"/>
              <w:left w:val="single" w:sz="4" w:space="0" w:color="auto"/>
              <w:bottom w:val="single" w:sz="4" w:space="0" w:color="auto"/>
              <w:right w:val="single" w:sz="4" w:space="0" w:color="auto"/>
            </w:tcBorders>
          </w:tcPr>
          <w:p w14:paraId="252716D2" w14:textId="5BFE16E8" w:rsidR="00E101A2" w:rsidRDefault="00E101A2" w:rsidP="00E101A2">
            <w:pPr>
              <w:widowControl/>
              <w:adjustRightInd w:val="0"/>
              <w:snapToGrid w:val="0"/>
              <w:jc w:val="center"/>
              <w:textAlignment w:val="center"/>
              <w:rPr>
                <w:rFonts w:eastAsia="仿宋"/>
              </w:rPr>
            </w:pPr>
            <w:r w:rsidRPr="00030223">
              <w:rPr>
                <w:rFonts w:eastAsia="仿宋" w:hint="eastAsia"/>
              </w:rPr>
              <w:t>/</w:t>
            </w:r>
          </w:p>
        </w:tc>
        <w:tc>
          <w:tcPr>
            <w:tcW w:w="367" w:type="pct"/>
            <w:tcBorders>
              <w:top w:val="single" w:sz="4" w:space="0" w:color="auto"/>
              <w:left w:val="single" w:sz="4" w:space="0" w:color="auto"/>
              <w:bottom w:val="single" w:sz="4" w:space="0" w:color="auto"/>
              <w:right w:val="single" w:sz="4" w:space="0" w:color="auto"/>
            </w:tcBorders>
          </w:tcPr>
          <w:p w14:paraId="67A32CE9" w14:textId="4A5DC29A" w:rsidR="00E101A2" w:rsidRDefault="00E101A2" w:rsidP="00E101A2">
            <w:pPr>
              <w:widowControl/>
              <w:adjustRightInd w:val="0"/>
              <w:snapToGrid w:val="0"/>
              <w:jc w:val="center"/>
              <w:textAlignment w:val="center"/>
              <w:rPr>
                <w:rFonts w:eastAsia="仿宋"/>
              </w:rPr>
            </w:pPr>
            <w:r w:rsidRPr="00030223">
              <w:rPr>
                <w:rFonts w:eastAsia="仿宋" w:hint="eastAsia"/>
              </w:rPr>
              <w:t>/</w:t>
            </w:r>
          </w:p>
        </w:tc>
        <w:tc>
          <w:tcPr>
            <w:tcW w:w="466" w:type="pct"/>
            <w:vMerge/>
            <w:tcBorders>
              <w:left w:val="single" w:sz="4" w:space="0" w:color="auto"/>
              <w:bottom w:val="single" w:sz="4" w:space="0" w:color="auto"/>
            </w:tcBorders>
            <w:vAlign w:val="center"/>
          </w:tcPr>
          <w:p w14:paraId="79FED071" w14:textId="77777777" w:rsidR="00E101A2" w:rsidRDefault="00E101A2" w:rsidP="00E101A2">
            <w:pPr>
              <w:widowControl/>
              <w:adjustRightInd w:val="0"/>
              <w:snapToGrid w:val="0"/>
              <w:jc w:val="center"/>
              <w:textAlignment w:val="center"/>
              <w:rPr>
                <w:rFonts w:ascii="仿宋" w:eastAsia="仿宋" w:hAnsi="仿宋" w:cs="仿宋" w:hint="eastAsia"/>
              </w:rPr>
            </w:pPr>
          </w:p>
        </w:tc>
      </w:tr>
      <w:tr w:rsidR="00E101A2" w:rsidRPr="00D32158" w14:paraId="7603A4E0" w14:textId="77777777" w:rsidTr="00E101A2">
        <w:trPr>
          <w:trHeight w:val="57"/>
          <w:jc w:val="center"/>
        </w:trPr>
        <w:tc>
          <w:tcPr>
            <w:tcW w:w="708" w:type="pct"/>
            <w:vMerge w:val="restart"/>
            <w:tcBorders>
              <w:top w:val="single" w:sz="4" w:space="0" w:color="auto"/>
              <w:right w:val="single" w:sz="4" w:space="0" w:color="auto"/>
            </w:tcBorders>
            <w:vAlign w:val="center"/>
          </w:tcPr>
          <w:p w14:paraId="72E5709D" w14:textId="510CB939" w:rsidR="00E101A2" w:rsidRPr="00D32158" w:rsidRDefault="00E101A2" w:rsidP="00E101A2">
            <w:pPr>
              <w:widowControl/>
              <w:adjustRightInd w:val="0"/>
              <w:snapToGrid w:val="0"/>
              <w:jc w:val="center"/>
              <w:textAlignment w:val="center"/>
            </w:pPr>
            <w:r w:rsidRPr="00D32158">
              <w:rPr>
                <w:bCs/>
              </w:rPr>
              <w:t>HCO</w:t>
            </w:r>
            <w:r w:rsidRPr="00D32158">
              <w:rPr>
                <w:bCs/>
                <w:vertAlign w:val="subscript"/>
              </w:rPr>
              <w:t>3</w:t>
            </w:r>
            <w:r w:rsidRPr="00D32158">
              <w:rPr>
                <w:bCs/>
                <w:vertAlign w:val="superscript"/>
              </w:rPr>
              <w:t>-</w:t>
            </w:r>
          </w:p>
        </w:tc>
        <w:tc>
          <w:tcPr>
            <w:tcW w:w="586" w:type="pct"/>
            <w:vAlign w:val="center"/>
          </w:tcPr>
          <w:p w14:paraId="7FA189E2" w14:textId="7C873E28" w:rsidR="00E101A2" w:rsidRPr="00D32158" w:rsidRDefault="00E101A2" w:rsidP="00E101A2">
            <w:pPr>
              <w:adjustRightInd w:val="0"/>
              <w:snapToGrid w:val="0"/>
              <w:jc w:val="center"/>
            </w:pPr>
            <w:r>
              <w:rPr>
                <w:rFonts w:hint="eastAsia"/>
              </w:rPr>
              <w:t>监测值</w:t>
            </w:r>
          </w:p>
        </w:tc>
        <w:tc>
          <w:tcPr>
            <w:tcW w:w="478" w:type="pct"/>
            <w:vMerge w:val="restart"/>
            <w:tcBorders>
              <w:top w:val="single" w:sz="4" w:space="0" w:color="auto"/>
              <w:left w:val="single" w:sz="4" w:space="0" w:color="auto"/>
              <w:right w:val="single" w:sz="4" w:space="0" w:color="auto"/>
              <w:tl2br w:val="nil"/>
              <w:tr2bl w:val="nil"/>
            </w:tcBorders>
            <w:vAlign w:val="center"/>
          </w:tcPr>
          <w:p w14:paraId="671E2B8C" w14:textId="74C689CE" w:rsidR="00E101A2" w:rsidRPr="00D32158" w:rsidRDefault="00E101A2" w:rsidP="00E101A2">
            <w:pPr>
              <w:adjustRightInd w:val="0"/>
              <w:snapToGrid w:val="0"/>
              <w:jc w:val="center"/>
            </w:pPr>
            <w:r w:rsidRPr="00D32158">
              <w:t>mg/L</w:t>
            </w:r>
          </w:p>
        </w:tc>
        <w:tc>
          <w:tcPr>
            <w:tcW w:w="402" w:type="pct"/>
            <w:tcBorders>
              <w:top w:val="single" w:sz="4" w:space="0" w:color="auto"/>
              <w:left w:val="single" w:sz="4" w:space="0" w:color="auto"/>
              <w:bottom w:val="single" w:sz="4" w:space="0" w:color="auto"/>
              <w:right w:val="single" w:sz="4" w:space="0" w:color="auto"/>
            </w:tcBorders>
            <w:vAlign w:val="center"/>
          </w:tcPr>
          <w:p w14:paraId="4FF34DB2" w14:textId="37403B91" w:rsidR="00E101A2" w:rsidRPr="00D32158" w:rsidRDefault="00E101A2" w:rsidP="00E101A2">
            <w:pPr>
              <w:widowControl/>
              <w:adjustRightInd w:val="0"/>
              <w:snapToGrid w:val="0"/>
              <w:jc w:val="center"/>
              <w:textAlignment w:val="center"/>
            </w:pPr>
            <w:r>
              <w:rPr>
                <w:color w:val="000000"/>
                <w:sz w:val="22"/>
                <w:szCs w:val="22"/>
              </w:rPr>
              <w:t>435</w:t>
            </w:r>
          </w:p>
        </w:tc>
        <w:tc>
          <w:tcPr>
            <w:tcW w:w="402" w:type="pct"/>
            <w:tcBorders>
              <w:top w:val="single" w:sz="4" w:space="0" w:color="auto"/>
              <w:left w:val="single" w:sz="4" w:space="0" w:color="auto"/>
              <w:bottom w:val="single" w:sz="4" w:space="0" w:color="auto"/>
              <w:right w:val="single" w:sz="4" w:space="0" w:color="auto"/>
            </w:tcBorders>
            <w:vAlign w:val="center"/>
          </w:tcPr>
          <w:p w14:paraId="43F8820D" w14:textId="6719597D" w:rsidR="00E101A2" w:rsidRPr="00D32158" w:rsidRDefault="00E101A2" w:rsidP="00E101A2">
            <w:pPr>
              <w:widowControl/>
              <w:adjustRightInd w:val="0"/>
              <w:snapToGrid w:val="0"/>
              <w:jc w:val="center"/>
              <w:textAlignment w:val="center"/>
            </w:pPr>
            <w:r>
              <w:rPr>
                <w:color w:val="000000"/>
                <w:sz w:val="22"/>
                <w:szCs w:val="22"/>
              </w:rPr>
              <w:t>421</w:t>
            </w:r>
          </w:p>
        </w:tc>
        <w:tc>
          <w:tcPr>
            <w:tcW w:w="402" w:type="pct"/>
            <w:tcBorders>
              <w:top w:val="single" w:sz="4" w:space="0" w:color="auto"/>
              <w:left w:val="single" w:sz="4" w:space="0" w:color="auto"/>
              <w:bottom w:val="single" w:sz="4" w:space="0" w:color="auto"/>
              <w:right w:val="single" w:sz="4" w:space="0" w:color="auto"/>
            </w:tcBorders>
            <w:vAlign w:val="center"/>
          </w:tcPr>
          <w:p w14:paraId="2FA20524" w14:textId="3BA76D1B" w:rsidR="00E101A2" w:rsidRPr="00D32158" w:rsidRDefault="00E101A2" w:rsidP="00E101A2">
            <w:pPr>
              <w:widowControl/>
              <w:adjustRightInd w:val="0"/>
              <w:snapToGrid w:val="0"/>
              <w:jc w:val="center"/>
              <w:textAlignment w:val="center"/>
            </w:pPr>
            <w:r>
              <w:rPr>
                <w:color w:val="000000"/>
                <w:sz w:val="22"/>
                <w:szCs w:val="22"/>
              </w:rPr>
              <w:t>446</w:t>
            </w:r>
          </w:p>
        </w:tc>
        <w:tc>
          <w:tcPr>
            <w:tcW w:w="407" w:type="pct"/>
            <w:tcBorders>
              <w:top w:val="single" w:sz="4" w:space="0" w:color="auto"/>
              <w:left w:val="single" w:sz="4" w:space="0" w:color="auto"/>
              <w:bottom w:val="single" w:sz="4" w:space="0" w:color="auto"/>
              <w:right w:val="single" w:sz="4" w:space="0" w:color="auto"/>
            </w:tcBorders>
            <w:vAlign w:val="center"/>
          </w:tcPr>
          <w:p w14:paraId="75ABF670" w14:textId="35238FC6" w:rsidR="00E101A2" w:rsidRPr="00D32158" w:rsidRDefault="00E101A2" w:rsidP="00E101A2">
            <w:pPr>
              <w:widowControl/>
              <w:adjustRightInd w:val="0"/>
              <w:snapToGrid w:val="0"/>
              <w:jc w:val="center"/>
              <w:textAlignment w:val="center"/>
            </w:pPr>
            <w:r>
              <w:rPr>
                <w:color w:val="000000"/>
              </w:rPr>
              <w:t>418</w:t>
            </w:r>
          </w:p>
        </w:tc>
        <w:tc>
          <w:tcPr>
            <w:tcW w:w="387" w:type="pct"/>
            <w:tcBorders>
              <w:top w:val="single" w:sz="4" w:space="0" w:color="auto"/>
              <w:left w:val="single" w:sz="4" w:space="0" w:color="auto"/>
              <w:bottom w:val="single" w:sz="4" w:space="0" w:color="auto"/>
              <w:right w:val="single" w:sz="4" w:space="0" w:color="auto"/>
            </w:tcBorders>
            <w:vAlign w:val="center"/>
          </w:tcPr>
          <w:p w14:paraId="611A2803" w14:textId="726EBF88" w:rsidR="00E101A2" w:rsidRPr="00D32158" w:rsidRDefault="00E101A2" w:rsidP="00E101A2">
            <w:pPr>
              <w:widowControl/>
              <w:adjustRightInd w:val="0"/>
              <w:snapToGrid w:val="0"/>
              <w:jc w:val="center"/>
              <w:textAlignment w:val="center"/>
            </w:pPr>
            <w:r>
              <w:rPr>
                <w:color w:val="000000"/>
              </w:rPr>
              <w:t>452</w:t>
            </w:r>
          </w:p>
        </w:tc>
        <w:tc>
          <w:tcPr>
            <w:tcW w:w="395" w:type="pct"/>
            <w:tcBorders>
              <w:top w:val="single" w:sz="4" w:space="0" w:color="auto"/>
              <w:left w:val="single" w:sz="4" w:space="0" w:color="auto"/>
              <w:bottom w:val="single" w:sz="4" w:space="0" w:color="auto"/>
              <w:right w:val="single" w:sz="4" w:space="0" w:color="auto"/>
            </w:tcBorders>
            <w:vAlign w:val="center"/>
          </w:tcPr>
          <w:p w14:paraId="7158A8E2" w14:textId="04E405FA" w:rsidR="00E101A2" w:rsidRPr="00D32158" w:rsidRDefault="00E101A2" w:rsidP="00E101A2">
            <w:pPr>
              <w:widowControl/>
              <w:adjustRightInd w:val="0"/>
              <w:snapToGrid w:val="0"/>
              <w:jc w:val="center"/>
              <w:textAlignment w:val="center"/>
              <w:rPr>
                <w:color w:val="000000"/>
                <w:kern w:val="0"/>
                <w:lang w:bidi="ar"/>
              </w:rPr>
            </w:pPr>
            <w:r>
              <w:rPr>
                <w:color w:val="000000"/>
              </w:rPr>
              <w:t>493</w:t>
            </w:r>
          </w:p>
        </w:tc>
        <w:tc>
          <w:tcPr>
            <w:tcW w:w="367" w:type="pct"/>
            <w:tcBorders>
              <w:top w:val="single" w:sz="4" w:space="0" w:color="auto"/>
              <w:left w:val="single" w:sz="4" w:space="0" w:color="auto"/>
              <w:bottom w:val="single" w:sz="4" w:space="0" w:color="auto"/>
              <w:right w:val="single" w:sz="4" w:space="0" w:color="auto"/>
            </w:tcBorders>
            <w:vAlign w:val="center"/>
          </w:tcPr>
          <w:p w14:paraId="437DE8B6" w14:textId="5A76EB10" w:rsidR="00E101A2" w:rsidRPr="00D32158" w:rsidRDefault="00E101A2" w:rsidP="00E101A2">
            <w:pPr>
              <w:widowControl/>
              <w:adjustRightInd w:val="0"/>
              <w:snapToGrid w:val="0"/>
              <w:jc w:val="center"/>
              <w:textAlignment w:val="center"/>
              <w:rPr>
                <w:color w:val="000000"/>
                <w:kern w:val="0"/>
              </w:rPr>
            </w:pPr>
            <w:r>
              <w:rPr>
                <w:color w:val="000000"/>
              </w:rPr>
              <w:t>454</w:t>
            </w:r>
          </w:p>
        </w:tc>
        <w:tc>
          <w:tcPr>
            <w:tcW w:w="466" w:type="pct"/>
            <w:vMerge w:val="restart"/>
            <w:tcBorders>
              <w:top w:val="single" w:sz="4" w:space="0" w:color="auto"/>
              <w:left w:val="single" w:sz="4" w:space="0" w:color="auto"/>
            </w:tcBorders>
            <w:vAlign w:val="center"/>
          </w:tcPr>
          <w:p w14:paraId="50555DFD" w14:textId="780F4916" w:rsidR="00E101A2" w:rsidRPr="00D32158" w:rsidRDefault="00E101A2" w:rsidP="00E101A2">
            <w:pPr>
              <w:widowControl/>
              <w:adjustRightInd w:val="0"/>
              <w:snapToGrid w:val="0"/>
              <w:jc w:val="center"/>
              <w:textAlignment w:val="center"/>
            </w:pPr>
            <w:r>
              <w:rPr>
                <w:rFonts w:ascii="仿宋" w:eastAsia="仿宋" w:hAnsi="仿宋" w:cs="仿宋" w:hint="eastAsia"/>
              </w:rPr>
              <w:t>/</w:t>
            </w:r>
          </w:p>
        </w:tc>
      </w:tr>
      <w:tr w:rsidR="00E101A2" w:rsidRPr="00D32158" w14:paraId="44430673" w14:textId="77777777" w:rsidTr="00E101A2">
        <w:trPr>
          <w:trHeight w:val="57"/>
          <w:jc w:val="center"/>
        </w:trPr>
        <w:tc>
          <w:tcPr>
            <w:tcW w:w="708" w:type="pct"/>
            <w:vMerge/>
            <w:tcBorders>
              <w:bottom w:val="single" w:sz="4" w:space="0" w:color="auto"/>
              <w:right w:val="single" w:sz="4" w:space="0" w:color="auto"/>
            </w:tcBorders>
            <w:vAlign w:val="center"/>
          </w:tcPr>
          <w:p w14:paraId="3ABD310E" w14:textId="77777777" w:rsidR="00E101A2" w:rsidRPr="00D32158" w:rsidRDefault="00E101A2" w:rsidP="00E101A2">
            <w:pPr>
              <w:widowControl/>
              <w:adjustRightInd w:val="0"/>
              <w:snapToGrid w:val="0"/>
              <w:jc w:val="center"/>
              <w:textAlignment w:val="center"/>
              <w:rPr>
                <w:bCs/>
              </w:rPr>
            </w:pPr>
          </w:p>
        </w:tc>
        <w:tc>
          <w:tcPr>
            <w:tcW w:w="586" w:type="pct"/>
            <w:vAlign w:val="center"/>
          </w:tcPr>
          <w:p w14:paraId="21571EB4" w14:textId="6B687F09" w:rsidR="00E101A2" w:rsidRPr="00D32158" w:rsidRDefault="00E101A2" w:rsidP="00E101A2">
            <w:pPr>
              <w:adjustRightInd w:val="0"/>
              <w:snapToGrid w:val="0"/>
              <w:jc w:val="center"/>
            </w:pPr>
            <w:r>
              <w:rPr>
                <w:rFonts w:hint="eastAsia"/>
              </w:rPr>
              <w:t>标准指数</w:t>
            </w:r>
          </w:p>
        </w:tc>
        <w:tc>
          <w:tcPr>
            <w:tcW w:w="478" w:type="pct"/>
            <w:vMerge/>
            <w:tcBorders>
              <w:left w:val="single" w:sz="4" w:space="0" w:color="auto"/>
              <w:bottom w:val="single" w:sz="4" w:space="0" w:color="auto"/>
              <w:right w:val="single" w:sz="4" w:space="0" w:color="auto"/>
              <w:tl2br w:val="nil"/>
              <w:tr2bl w:val="nil"/>
            </w:tcBorders>
            <w:vAlign w:val="center"/>
          </w:tcPr>
          <w:p w14:paraId="070FC3AD" w14:textId="7333B296" w:rsidR="00E101A2" w:rsidRPr="00D32158" w:rsidRDefault="00E101A2" w:rsidP="00E101A2">
            <w:pPr>
              <w:adjustRightInd w:val="0"/>
              <w:snapToGrid w:val="0"/>
              <w:jc w:val="center"/>
            </w:pPr>
          </w:p>
        </w:tc>
        <w:tc>
          <w:tcPr>
            <w:tcW w:w="402" w:type="pct"/>
            <w:tcBorders>
              <w:top w:val="single" w:sz="4" w:space="0" w:color="auto"/>
              <w:left w:val="single" w:sz="4" w:space="0" w:color="auto"/>
              <w:bottom w:val="single" w:sz="4" w:space="0" w:color="auto"/>
              <w:right w:val="single" w:sz="4" w:space="0" w:color="auto"/>
            </w:tcBorders>
            <w:vAlign w:val="center"/>
          </w:tcPr>
          <w:p w14:paraId="02D2724F" w14:textId="2C7624E3" w:rsidR="00E101A2" w:rsidRPr="00D32158" w:rsidRDefault="00E101A2" w:rsidP="00E101A2">
            <w:pPr>
              <w:widowControl/>
              <w:adjustRightInd w:val="0"/>
              <w:snapToGrid w:val="0"/>
              <w:jc w:val="center"/>
              <w:textAlignment w:val="center"/>
              <w:rPr>
                <w:color w:val="000000"/>
                <w:sz w:val="22"/>
                <w:szCs w:val="22"/>
              </w:rPr>
            </w:pPr>
            <w:r>
              <w:rPr>
                <w:rFonts w:eastAsia="仿宋" w:hint="eastAsia"/>
              </w:rPr>
              <w:t>/</w:t>
            </w:r>
          </w:p>
        </w:tc>
        <w:tc>
          <w:tcPr>
            <w:tcW w:w="402" w:type="pct"/>
            <w:tcBorders>
              <w:top w:val="single" w:sz="4" w:space="0" w:color="auto"/>
              <w:left w:val="single" w:sz="4" w:space="0" w:color="auto"/>
              <w:bottom w:val="single" w:sz="4" w:space="0" w:color="auto"/>
              <w:right w:val="single" w:sz="4" w:space="0" w:color="auto"/>
            </w:tcBorders>
          </w:tcPr>
          <w:p w14:paraId="5E77E57D" w14:textId="6A055310" w:rsidR="00E101A2" w:rsidRPr="00D32158" w:rsidRDefault="00E101A2" w:rsidP="00E101A2">
            <w:pPr>
              <w:widowControl/>
              <w:adjustRightInd w:val="0"/>
              <w:snapToGrid w:val="0"/>
              <w:jc w:val="center"/>
              <w:textAlignment w:val="center"/>
              <w:rPr>
                <w:color w:val="000000"/>
                <w:sz w:val="22"/>
                <w:szCs w:val="22"/>
              </w:rPr>
            </w:pPr>
            <w:r w:rsidRPr="00030223">
              <w:rPr>
                <w:rFonts w:eastAsia="仿宋" w:hint="eastAsia"/>
              </w:rPr>
              <w:t>/</w:t>
            </w:r>
          </w:p>
        </w:tc>
        <w:tc>
          <w:tcPr>
            <w:tcW w:w="402" w:type="pct"/>
            <w:tcBorders>
              <w:top w:val="single" w:sz="4" w:space="0" w:color="auto"/>
              <w:left w:val="single" w:sz="4" w:space="0" w:color="auto"/>
              <w:bottom w:val="single" w:sz="4" w:space="0" w:color="auto"/>
              <w:right w:val="single" w:sz="4" w:space="0" w:color="auto"/>
            </w:tcBorders>
          </w:tcPr>
          <w:p w14:paraId="38ABCD5F" w14:textId="4EF749E3" w:rsidR="00E101A2" w:rsidRPr="00D32158" w:rsidRDefault="00E101A2" w:rsidP="00E101A2">
            <w:pPr>
              <w:widowControl/>
              <w:adjustRightInd w:val="0"/>
              <w:snapToGrid w:val="0"/>
              <w:jc w:val="center"/>
              <w:textAlignment w:val="center"/>
              <w:rPr>
                <w:color w:val="000000"/>
                <w:sz w:val="22"/>
                <w:szCs w:val="22"/>
              </w:rPr>
            </w:pPr>
            <w:r w:rsidRPr="00030223">
              <w:rPr>
                <w:rFonts w:eastAsia="仿宋" w:hint="eastAsia"/>
              </w:rPr>
              <w:t>/</w:t>
            </w:r>
          </w:p>
        </w:tc>
        <w:tc>
          <w:tcPr>
            <w:tcW w:w="407" w:type="pct"/>
            <w:tcBorders>
              <w:top w:val="single" w:sz="4" w:space="0" w:color="auto"/>
              <w:left w:val="single" w:sz="4" w:space="0" w:color="auto"/>
              <w:bottom w:val="single" w:sz="4" w:space="0" w:color="auto"/>
              <w:right w:val="single" w:sz="4" w:space="0" w:color="auto"/>
            </w:tcBorders>
          </w:tcPr>
          <w:p w14:paraId="31F281A4" w14:textId="7A2BA178" w:rsidR="00E101A2" w:rsidRDefault="00E101A2" w:rsidP="00E101A2">
            <w:pPr>
              <w:widowControl/>
              <w:adjustRightInd w:val="0"/>
              <w:snapToGrid w:val="0"/>
              <w:jc w:val="center"/>
              <w:textAlignment w:val="center"/>
              <w:rPr>
                <w:rFonts w:eastAsia="仿宋"/>
              </w:rPr>
            </w:pPr>
            <w:r w:rsidRPr="00030223">
              <w:rPr>
                <w:rFonts w:eastAsia="仿宋" w:hint="eastAsia"/>
              </w:rPr>
              <w:t>/</w:t>
            </w:r>
          </w:p>
        </w:tc>
        <w:tc>
          <w:tcPr>
            <w:tcW w:w="387" w:type="pct"/>
            <w:tcBorders>
              <w:top w:val="single" w:sz="4" w:space="0" w:color="auto"/>
              <w:left w:val="single" w:sz="4" w:space="0" w:color="auto"/>
              <w:bottom w:val="single" w:sz="4" w:space="0" w:color="auto"/>
              <w:right w:val="single" w:sz="4" w:space="0" w:color="auto"/>
            </w:tcBorders>
          </w:tcPr>
          <w:p w14:paraId="3F643909" w14:textId="4C91211A" w:rsidR="00E101A2" w:rsidRDefault="00E101A2" w:rsidP="00E101A2">
            <w:pPr>
              <w:widowControl/>
              <w:adjustRightInd w:val="0"/>
              <w:snapToGrid w:val="0"/>
              <w:jc w:val="center"/>
              <w:textAlignment w:val="center"/>
              <w:rPr>
                <w:rFonts w:eastAsia="仿宋"/>
              </w:rPr>
            </w:pPr>
            <w:r w:rsidRPr="00030223">
              <w:rPr>
                <w:rFonts w:eastAsia="仿宋" w:hint="eastAsia"/>
              </w:rPr>
              <w:t>/</w:t>
            </w:r>
          </w:p>
        </w:tc>
        <w:tc>
          <w:tcPr>
            <w:tcW w:w="395" w:type="pct"/>
            <w:tcBorders>
              <w:top w:val="single" w:sz="4" w:space="0" w:color="auto"/>
              <w:left w:val="single" w:sz="4" w:space="0" w:color="auto"/>
              <w:bottom w:val="single" w:sz="4" w:space="0" w:color="auto"/>
              <w:right w:val="single" w:sz="4" w:space="0" w:color="auto"/>
            </w:tcBorders>
          </w:tcPr>
          <w:p w14:paraId="02ECDA8D" w14:textId="4F7806F3" w:rsidR="00E101A2" w:rsidRDefault="00E101A2" w:rsidP="00E101A2">
            <w:pPr>
              <w:widowControl/>
              <w:adjustRightInd w:val="0"/>
              <w:snapToGrid w:val="0"/>
              <w:jc w:val="center"/>
              <w:textAlignment w:val="center"/>
              <w:rPr>
                <w:rFonts w:eastAsia="仿宋"/>
              </w:rPr>
            </w:pPr>
            <w:r w:rsidRPr="00030223">
              <w:rPr>
                <w:rFonts w:eastAsia="仿宋" w:hint="eastAsia"/>
              </w:rPr>
              <w:t>/</w:t>
            </w:r>
          </w:p>
        </w:tc>
        <w:tc>
          <w:tcPr>
            <w:tcW w:w="367" w:type="pct"/>
            <w:tcBorders>
              <w:top w:val="single" w:sz="4" w:space="0" w:color="auto"/>
              <w:left w:val="single" w:sz="4" w:space="0" w:color="auto"/>
              <w:bottom w:val="single" w:sz="4" w:space="0" w:color="auto"/>
              <w:right w:val="single" w:sz="4" w:space="0" w:color="auto"/>
            </w:tcBorders>
          </w:tcPr>
          <w:p w14:paraId="53890340" w14:textId="47973C1F" w:rsidR="00E101A2" w:rsidRDefault="00E101A2" w:rsidP="00E101A2">
            <w:pPr>
              <w:widowControl/>
              <w:adjustRightInd w:val="0"/>
              <w:snapToGrid w:val="0"/>
              <w:jc w:val="center"/>
              <w:textAlignment w:val="center"/>
              <w:rPr>
                <w:rFonts w:eastAsia="仿宋"/>
              </w:rPr>
            </w:pPr>
            <w:r w:rsidRPr="00030223">
              <w:rPr>
                <w:rFonts w:eastAsia="仿宋" w:hint="eastAsia"/>
              </w:rPr>
              <w:t>/</w:t>
            </w:r>
          </w:p>
        </w:tc>
        <w:tc>
          <w:tcPr>
            <w:tcW w:w="466" w:type="pct"/>
            <w:vMerge/>
            <w:tcBorders>
              <w:left w:val="single" w:sz="4" w:space="0" w:color="auto"/>
              <w:bottom w:val="single" w:sz="4" w:space="0" w:color="auto"/>
            </w:tcBorders>
            <w:vAlign w:val="center"/>
          </w:tcPr>
          <w:p w14:paraId="4A4E98A6" w14:textId="77777777" w:rsidR="00E101A2" w:rsidRDefault="00E101A2" w:rsidP="00E101A2">
            <w:pPr>
              <w:widowControl/>
              <w:adjustRightInd w:val="0"/>
              <w:snapToGrid w:val="0"/>
              <w:jc w:val="center"/>
              <w:textAlignment w:val="center"/>
              <w:rPr>
                <w:rFonts w:ascii="仿宋" w:eastAsia="仿宋" w:hAnsi="仿宋" w:cs="仿宋" w:hint="eastAsia"/>
              </w:rPr>
            </w:pPr>
          </w:p>
        </w:tc>
      </w:tr>
      <w:tr w:rsidR="00E101A2" w:rsidRPr="00D32158" w14:paraId="0AFDB8C7" w14:textId="77777777" w:rsidTr="00E101A2">
        <w:trPr>
          <w:trHeight w:val="57"/>
          <w:jc w:val="center"/>
        </w:trPr>
        <w:tc>
          <w:tcPr>
            <w:tcW w:w="708" w:type="pct"/>
            <w:vMerge w:val="restart"/>
            <w:tcBorders>
              <w:top w:val="single" w:sz="4" w:space="0" w:color="auto"/>
              <w:right w:val="single" w:sz="4" w:space="0" w:color="auto"/>
            </w:tcBorders>
            <w:vAlign w:val="center"/>
          </w:tcPr>
          <w:p w14:paraId="6C21B8DF" w14:textId="702AA502" w:rsidR="00E101A2" w:rsidRPr="00D32158" w:rsidRDefault="00E101A2" w:rsidP="00E101A2">
            <w:pPr>
              <w:widowControl/>
              <w:adjustRightInd w:val="0"/>
              <w:snapToGrid w:val="0"/>
              <w:jc w:val="center"/>
              <w:textAlignment w:val="center"/>
            </w:pPr>
            <w:r w:rsidRPr="00D32158">
              <w:rPr>
                <w:bCs/>
              </w:rPr>
              <w:t>SO</w:t>
            </w:r>
            <w:r w:rsidRPr="00D32158">
              <w:rPr>
                <w:bCs/>
                <w:vertAlign w:val="subscript"/>
              </w:rPr>
              <w:t>4</w:t>
            </w:r>
            <w:r w:rsidRPr="00D32158">
              <w:rPr>
                <w:bCs/>
                <w:vertAlign w:val="superscript"/>
              </w:rPr>
              <w:t>2-</w:t>
            </w:r>
          </w:p>
        </w:tc>
        <w:tc>
          <w:tcPr>
            <w:tcW w:w="586" w:type="pct"/>
            <w:vAlign w:val="center"/>
          </w:tcPr>
          <w:p w14:paraId="3E278F40" w14:textId="22DE7BE0" w:rsidR="00E101A2" w:rsidRPr="00D32158" w:rsidRDefault="00E101A2" w:rsidP="00E101A2">
            <w:pPr>
              <w:adjustRightInd w:val="0"/>
              <w:snapToGrid w:val="0"/>
              <w:jc w:val="center"/>
            </w:pPr>
            <w:r>
              <w:rPr>
                <w:rFonts w:hint="eastAsia"/>
              </w:rPr>
              <w:t>监测值</w:t>
            </w:r>
          </w:p>
        </w:tc>
        <w:tc>
          <w:tcPr>
            <w:tcW w:w="478" w:type="pct"/>
            <w:vMerge w:val="restart"/>
            <w:tcBorders>
              <w:top w:val="single" w:sz="4" w:space="0" w:color="auto"/>
              <w:left w:val="single" w:sz="4" w:space="0" w:color="auto"/>
              <w:right w:val="single" w:sz="4" w:space="0" w:color="auto"/>
              <w:tl2br w:val="nil"/>
              <w:tr2bl w:val="nil"/>
            </w:tcBorders>
            <w:vAlign w:val="center"/>
          </w:tcPr>
          <w:p w14:paraId="64BE3739" w14:textId="26419CC2" w:rsidR="00E101A2" w:rsidRPr="00D32158" w:rsidRDefault="00E101A2" w:rsidP="00E101A2">
            <w:pPr>
              <w:adjustRightInd w:val="0"/>
              <w:snapToGrid w:val="0"/>
              <w:jc w:val="center"/>
            </w:pPr>
            <w:r w:rsidRPr="00D32158">
              <w:t>mg/L</w:t>
            </w:r>
          </w:p>
        </w:tc>
        <w:tc>
          <w:tcPr>
            <w:tcW w:w="402" w:type="pct"/>
            <w:tcBorders>
              <w:top w:val="single" w:sz="4" w:space="0" w:color="auto"/>
              <w:left w:val="single" w:sz="4" w:space="0" w:color="auto"/>
              <w:bottom w:val="single" w:sz="4" w:space="0" w:color="auto"/>
              <w:right w:val="single" w:sz="4" w:space="0" w:color="auto"/>
            </w:tcBorders>
            <w:vAlign w:val="center"/>
          </w:tcPr>
          <w:p w14:paraId="33E09F6C" w14:textId="6ACEE151" w:rsidR="00E101A2" w:rsidRPr="00D32158" w:rsidRDefault="00E101A2" w:rsidP="00E101A2">
            <w:pPr>
              <w:widowControl/>
              <w:adjustRightInd w:val="0"/>
              <w:snapToGrid w:val="0"/>
              <w:jc w:val="center"/>
              <w:textAlignment w:val="center"/>
            </w:pPr>
            <w:r>
              <w:rPr>
                <w:color w:val="000000"/>
                <w:sz w:val="22"/>
                <w:szCs w:val="22"/>
              </w:rPr>
              <w:t>36.9</w:t>
            </w:r>
          </w:p>
        </w:tc>
        <w:tc>
          <w:tcPr>
            <w:tcW w:w="402" w:type="pct"/>
            <w:tcBorders>
              <w:top w:val="single" w:sz="4" w:space="0" w:color="auto"/>
              <w:left w:val="single" w:sz="4" w:space="0" w:color="auto"/>
              <w:bottom w:val="single" w:sz="4" w:space="0" w:color="auto"/>
              <w:right w:val="single" w:sz="4" w:space="0" w:color="auto"/>
            </w:tcBorders>
            <w:vAlign w:val="center"/>
          </w:tcPr>
          <w:p w14:paraId="4B50CD46" w14:textId="23B70CD3" w:rsidR="00E101A2" w:rsidRPr="00D32158" w:rsidRDefault="00E101A2" w:rsidP="00E101A2">
            <w:pPr>
              <w:widowControl/>
              <w:adjustRightInd w:val="0"/>
              <w:snapToGrid w:val="0"/>
              <w:jc w:val="center"/>
              <w:textAlignment w:val="center"/>
            </w:pPr>
            <w:r>
              <w:rPr>
                <w:color w:val="000000"/>
                <w:sz w:val="22"/>
                <w:szCs w:val="22"/>
              </w:rPr>
              <w:t>37.9</w:t>
            </w:r>
          </w:p>
        </w:tc>
        <w:tc>
          <w:tcPr>
            <w:tcW w:w="402" w:type="pct"/>
            <w:tcBorders>
              <w:top w:val="single" w:sz="4" w:space="0" w:color="auto"/>
              <w:left w:val="single" w:sz="4" w:space="0" w:color="auto"/>
              <w:bottom w:val="single" w:sz="4" w:space="0" w:color="auto"/>
              <w:right w:val="single" w:sz="4" w:space="0" w:color="auto"/>
            </w:tcBorders>
            <w:vAlign w:val="center"/>
          </w:tcPr>
          <w:p w14:paraId="75DFC481" w14:textId="331100F6" w:rsidR="00E101A2" w:rsidRPr="00D32158" w:rsidRDefault="00E101A2" w:rsidP="00E101A2">
            <w:pPr>
              <w:widowControl/>
              <w:adjustRightInd w:val="0"/>
              <w:snapToGrid w:val="0"/>
              <w:jc w:val="center"/>
              <w:textAlignment w:val="center"/>
            </w:pPr>
            <w:r>
              <w:rPr>
                <w:color w:val="000000"/>
                <w:sz w:val="22"/>
                <w:szCs w:val="22"/>
              </w:rPr>
              <w:t>38.5</w:t>
            </w:r>
          </w:p>
        </w:tc>
        <w:tc>
          <w:tcPr>
            <w:tcW w:w="407" w:type="pct"/>
            <w:tcBorders>
              <w:top w:val="single" w:sz="4" w:space="0" w:color="auto"/>
              <w:left w:val="single" w:sz="4" w:space="0" w:color="auto"/>
              <w:bottom w:val="single" w:sz="4" w:space="0" w:color="auto"/>
              <w:right w:val="single" w:sz="4" w:space="0" w:color="auto"/>
            </w:tcBorders>
            <w:vAlign w:val="center"/>
          </w:tcPr>
          <w:p w14:paraId="24826D0B" w14:textId="7F9C40F8" w:rsidR="00E101A2" w:rsidRPr="00D32158" w:rsidRDefault="00E101A2" w:rsidP="00E101A2">
            <w:pPr>
              <w:widowControl/>
              <w:adjustRightInd w:val="0"/>
              <w:snapToGrid w:val="0"/>
              <w:jc w:val="center"/>
              <w:textAlignment w:val="center"/>
            </w:pPr>
            <w:r>
              <w:rPr>
                <w:color w:val="000000"/>
              </w:rPr>
              <w:t>35.6</w:t>
            </w:r>
          </w:p>
        </w:tc>
        <w:tc>
          <w:tcPr>
            <w:tcW w:w="387" w:type="pct"/>
            <w:tcBorders>
              <w:top w:val="single" w:sz="4" w:space="0" w:color="auto"/>
              <w:left w:val="single" w:sz="4" w:space="0" w:color="auto"/>
              <w:bottom w:val="single" w:sz="4" w:space="0" w:color="auto"/>
              <w:right w:val="single" w:sz="4" w:space="0" w:color="auto"/>
            </w:tcBorders>
            <w:vAlign w:val="center"/>
          </w:tcPr>
          <w:p w14:paraId="3A9E134B" w14:textId="3C0E50D6" w:rsidR="00E101A2" w:rsidRPr="00D32158" w:rsidRDefault="00E101A2" w:rsidP="00E101A2">
            <w:pPr>
              <w:widowControl/>
              <w:adjustRightInd w:val="0"/>
              <w:snapToGrid w:val="0"/>
              <w:jc w:val="center"/>
              <w:textAlignment w:val="center"/>
            </w:pPr>
            <w:r>
              <w:rPr>
                <w:color w:val="000000"/>
              </w:rPr>
              <w:t>37.8</w:t>
            </w:r>
          </w:p>
        </w:tc>
        <w:tc>
          <w:tcPr>
            <w:tcW w:w="395" w:type="pct"/>
            <w:tcBorders>
              <w:top w:val="single" w:sz="4" w:space="0" w:color="auto"/>
              <w:left w:val="single" w:sz="4" w:space="0" w:color="auto"/>
              <w:bottom w:val="single" w:sz="4" w:space="0" w:color="auto"/>
              <w:right w:val="single" w:sz="4" w:space="0" w:color="auto"/>
            </w:tcBorders>
            <w:vAlign w:val="center"/>
          </w:tcPr>
          <w:p w14:paraId="1A4595CC" w14:textId="0CE87D36" w:rsidR="00E101A2" w:rsidRPr="00D32158" w:rsidRDefault="00E101A2" w:rsidP="00E101A2">
            <w:pPr>
              <w:widowControl/>
              <w:adjustRightInd w:val="0"/>
              <w:snapToGrid w:val="0"/>
              <w:jc w:val="center"/>
              <w:textAlignment w:val="center"/>
              <w:rPr>
                <w:color w:val="000000"/>
                <w:kern w:val="0"/>
                <w:lang w:bidi="ar"/>
              </w:rPr>
            </w:pPr>
            <w:r>
              <w:rPr>
                <w:color w:val="000000"/>
              </w:rPr>
              <w:t>38.5</w:t>
            </w:r>
          </w:p>
        </w:tc>
        <w:tc>
          <w:tcPr>
            <w:tcW w:w="367" w:type="pct"/>
            <w:tcBorders>
              <w:top w:val="single" w:sz="4" w:space="0" w:color="auto"/>
              <w:left w:val="single" w:sz="4" w:space="0" w:color="auto"/>
              <w:bottom w:val="single" w:sz="4" w:space="0" w:color="auto"/>
              <w:right w:val="single" w:sz="4" w:space="0" w:color="auto"/>
            </w:tcBorders>
            <w:vAlign w:val="center"/>
          </w:tcPr>
          <w:p w14:paraId="5D56E4FC" w14:textId="11683055" w:rsidR="00E101A2" w:rsidRPr="00D32158" w:rsidRDefault="00E101A2" w:rsidP="00E101A2">
            <w:pPr>
              <w:widowControl/>
              <w:adjustRightInd w:val="0"/>
              <w:snapToGrid w:val="0"/>
              <w:jc w:val="center"/>
              <w:textAlignment w:val="center"/>
              <w:rPr>
                <w:color w:val="000000"/>
                <w:kern w:val="0"/>
              </w:rPr>
            </w:pPr>
            <w:r>
              <w:rPr>
                <w:color w:val="000000"/>
              </w:rPr>
              <w:t>38.6</w:t>
            </w:r>
          </w:p>
        </w:tc>
        <w:tc>
          <w:tcPr>
            <w:tcW w:w="466" w:type="pct"/>
            <w:vMerge w:val="restart"/>
            <w:tcBorders>
              <w:top w:val="single" w:sz="4" w:space="0" w:color="auto"/>
              <w:left w:val="single" w:sz="4" w:space="0" w:color="auto"/>
            </w:tcBorders>
            <w:vAlign w:val="center"/>
          </w:tcPr>
          <w:p w14:paraId="699B6EFC" w14:textId="5E474741" w:rsidR="00E101A2" w:rsidRPr="00D32158" w:rsidRDefault="00E101A2" w:rsidP="00E101A2">
            <w:pPr>
              <w:widowControl/>
              <w:adjustRightInd w:val="0"/>
              <w:snapToGrid w:val="0"/>
              <w:jc w:val="center"/>
              <w:textAlignment w:val="center"/>
            </w:pPr>
            <w:r>
              <w:rPr>
                <w:rFonts w:ascii="仿宋" w:eastAsia="仿宋" w:hAnsi="仿宋" w:cs="仿宋" w:hint="eastAsia"/>
              </w:rPr>
              <w:t>≤</w:t>
            </w:r>
            <w:r>
              <w:t>250</w:t>
            </w:r>
          </w:p>
        </w:tc>
      </w:tr>
      <w:tr w:rsidR="00E101A2" w:rsidRPr="00D32158" w14:paraId="455E0527" w14:textId="77777777" w:rsidTr="00E101A2">
        <w:trPr>
          <w:trHeight w:val="57"/>
          <w:jc w:val="center"/>
        </w:trPr>
        <w:tc>
          <w:tcPr>
            <w:tcW w:w="708" w:type="pct"/>
            <w:vMerge/>
            <w:tcBorders>
              <w:bottom w:val="single" w:sz="4" w:space="0" w:color="auto"/>
              <w:right w:val="single" w:sz="4" w:space="0" w:color="auto"/>
            </w:tcBorders>
            <w:vAlign w:val="center"/>
          </w:tcPr>
          <w:p w14:paraId="0670E205" w14:textId="77777777" w:rsidR="00E101A2" w:rsidRPr="00D32158" w:rsidRDefault="00E101A2" w:rsidP="00E101A2">
            <w:pPr>
              <w:widowControl/>
              <w:adjustRightInd w:val="0"/>
              <w:snapToGrid w:val="0"/>
              <w:jc w:val="center"/>
              <w:textAlignment w:val="center"/>
              <w:rPr>
                <w:bCs/>
              </w:rPr>
            </w:pPr>
          </w:p>
        </w:tc>
        <w:tc>
          <w:tcPr>
            <w:tcW w:w="586" w:type="pct"/>
            <w:vAlign w:val="center"/>
          </w:tcPr>
          <w:p w14:paraId="7885E4B3" w14:textId="4C4300BD" w:rsidR="00E101A2" w:rsidRPr="00D32158" w:rsidRDefault="00E101A2" w:rsidP="00E101A2">
            <w:pPr>
              <w:adjustRightInd w:val="0"/>
              <w:snapToGrid w:val="0"/>
              <w:jc w:val="center"/>
            </w:pPr>
            <w:r>
              <w:rPr>
                <w:rFonts w:hint="eastAsia"/>
              </w:rPr>
              <w:t>标准指数</w:t>
            </w:r>
          </w:p>
        </w:tc>
        <w:tc>
          <w:tcPr>
            <w:tcW w:w="478" w:type="pct"/>
            <w:vMerge/>
            <w:tcBorders>
              <w:left w:val="single" w:sz="4" w:space="0" w:color="auto"/>
              <w:bottom w:val="single" w:sz="4" w:space="0" w:color="auto"/>
              <w:right w:val="single" w:sz="4" w:space="0" w:color="auto"/>
              <w:tl2br w:val="nil"/>
              <w:tr2bl w:val="nil"/>
            </w:tcBorders>
            <w:vAlign w:val="center"/>
          </w:tcPr>
          <w:p w14:paraId="339B84E7" w14:textId="0EAF5CC0" w:rsidR="00E101A2" w:rsidRPr="00D32158" w:rsidRDefault="00E101A2" w:rsidP="00E101A2">
            <w:pPr>
              <w:adjustRightInd w:val="0"/>
              <w:snapToGrid w:val="0"/>
              <w:jc w:val="center"/>
            </w:pPr>
          </w:p>
        </w:tc>
        <w:tc>
          <w:tcPr>
            <w:tcW w:w="402" w:type="pct"/>
            <w:tcBorders>
              <w:top w:val="single" w:sz="4" w:space="0" w:color="auto"/>
              <w:left w:val="single" w:sz="4" w:space="0" w:color="auto"/>
              <w:bottom w:val="single" w:sz="4" w:space="0" w:color="auto"/>
              <w:right w:val="single" w:sz="4" w:space="0" w:color="auto"/>
            </w:tcBorders>
            <w:vAlign w:val="center"/>
          </w:tcPr>
          <w:p w14:paraId="70465666" w14:textId="3C07E922" w:rsidR="00E101A2" w:rsidRPr="00D32158" w:rsidRDefault="00E101A2" w:rsidP="00E101A2">
            <w:pPr>
              <w:widowControl/>
              <w:adjustRightInd w:val="0"/>
              <w:snapToGrid w:val="0"/>
              <w:jc w:val="center"/>
              <w:textAlignment w:val="center"/>
              <w:rPr>
                <w:color w:val="000000"/>
                <w:sz w:val="22"/>
                <w:szCs w:val="22"/>
              </w:rPr>
            </w:pPr>
            <w:r>
              <w:rPr>
                <w:color w:val="000000"/>
                <w:sz w:val="22"/>
                <w:szCs w:val="22"/>
              </w:rPr>
              <w:t xml:space="preserve">0.15 </w:t>
            </w:r>
          </w:p>
        </w:tc>
        <w:tc>
          <w:tcPr>
            <w:tcW w:w="402" w:type="pct"/>
            <w:tcBorders>
              <w:top w:val="single" w:sz="4" w:space="0" w:color="auto"/>
              <w:left w:val="single" w:sz="4" w:space="0" w:color="auto"/>
              <w:bottom w:val="single" w:sz="4" w:space="0" w:color="auto"/>
              <w:right w:val="single" w:sz="4" w:space="0" w:color="auto"/>
            </w:tcBorders>
            <w:vAlign w:val="center"/>
          </w:tcPr>
          <w:p w14:paraId="556D8801" w14:textId="1687A37B" w:rsidR="00E101A2" w:rsidRPr="00D32158" w:rsidRDefault="00E101A2" w:rsidP="00E101A2">
            <w:pPr>
              <w:widowControl/>
              <w:adjustRightInd w:val="0"/>
              <w:snapToGrid w:val="0"/>
              <w:jc w:val="center"/>
              <w:textAlignment w:val="center"/>
              <w:rPr>
                <w:color w:val="000000"/>
                <w:sz w:val="22"/>
                <w:szCs w:val="22"/>
              </w:rPr>
            </w:pPr>
            <w:r>
              <w:rPr>
                <w:color w:val="000000"/>
                <w:sz w:val="22"/>
                <w:szCs w:val="22"/>
              </w:rPr>
              <w:t xml:space="preserve">0.15 </w:t>
            </w:r>
          </w:p>
        </w:tc>
        <w:tc>
          <w:tcPr>
            <w:tcW w:w="402" w:type="pct"/>
            <w:tcBorders>
              <w:top w:val="single" w:sz="4" w:space="0" w:color="auto"/>
              <w:left w:val="single" w:sz="4" w:space="0" w:color="auto"/>
              <w:bottom w:val="single" w:sz="4" w:space="0" w:color="auto"/>
              <w:right w:val="single" w:sz="4" w:space="0" w:color="auto"/>
            </w:tcBorders>
            <w:vAlign w:val="center"/>
          </w:tcPr>
          <w:p w14:paraId="66077F6E" w14:textId="6C976F43" w:rsidR="00E101A2" w:rsidRPr="00D32158" w:rsidRDefault="00E101A2" w:rsidP="00E101A2">
            <w:pPr>
              <w:widowControl/>
              <w:adjustRightInd w:val="0"/>
              <w:snapToGrid w:val="0"/>
              <w:jc w:val="center"/>
              <w:textAlignment w:val="center"/>
              <w:rPr>
                <w:color w:val="000000"/>
                <w:sz w:val="22"/>
                <w:szCs w:val="22"/>
              </w:rPr>
            </w:pPr>
            <w:r>
              <w:rPr>
                <w:color w:val="000000"/>
                <w:sz w:val="22"/>
                <w:szCs w:val="22"/>
              </w:rPr>
              <w:t xml:space="preserve">0.15 </w:t>
            </w:r>
          </w:p>
        </w:tc>
        <w:tc>
          <w:tcPr>
            <w:tcW w:w="407" w:type="pct"/>
            <w:tcBorders>
              <w:top w:val="single" w:sz="4" w:space="0" w:color="auto"/>
              <w:left w:val="single" w:sz="4" w:space="0" w:color="auto"/>
              <w:bottom w:val="single" w:sz="4" w:space="0" w:color="auto"/>
              <w:right w:val="single" w:sz="4" w:space="0" w:color="auto"/>
            </w:tcBorders>
            <w:vAlign w:val="center"/>
          </w:tcPr>
          <w:p w14:paraId="48B07C79" w14:textId="0894456B" w:rsidR="00E101A2" w:rsidRDefault="00E101A2" w:rsidP="00E101A2">
            <w:pPr>
              <w:widowControl/>
              <w:adjustRightInd w:val="0"/>
              <w:snapToGrid w:val="0"/>
              <w:jc w:val="center"/>
              <w:textAlignment w:val="center"/>
              <w:rPr>
                <w:rFonts w:eastAsia="仿宋"/>
              </w:rPr>
            </w:pPr>
            <w:r>
              <w:rPr>
                <w:color w:val="000000"/>
                <w:sz w:val="22"/>
                <w:szCs w:val="22"/>
              </w:rPr>
              <w:t xml:space="preserve">0.14 </w:t>
            </w:r>
          </w:p>
        </w:tc>
        <w:tc>
          <w:tcPr>
            <w:tcW w:w="387" w:type="pct"/>
            <w:tcBorders>
              <w:top w:val="single" w:sz="4" w:space="0" w:color="auto"/>
              <w:left w:val="single" w:sz="4" w:space="0" w:color="auto"/>
              <w:bottom w:val="single" w:sz="4" w:space="0" w:color="auto"/>
              <w:right w:val="single" w:sz="4" w:space="0" w:color="auto"/>
            </w:tcBorders>
            <w:vAlign w:val="center"/>
          </w:tcPr>
          <w:p w14:paraId="35A3FBCF" w14:textId="3B37D8E3" w:rsidR="00E101A2" w:rsidRDefault="00E101A2" w:rsidP="00E101A2">
            <w:pPr>
              <w:widowControl/>
              <w:adjustRightInd w:val="0"/>
              <w:snapToGrid w:val="0"/>
              <w:jc w:val="center"/>
              <w:textAlignment w:val="center"/>
              <w:rPr>
                <w:rFonts w:eastAsia="仿宋"/>
              </w:rPr>
            </w:pPr>
            <w:r>
              <w:rPr>
                <w:color w:val="000000"/>
                <w:sz w:val="22"/>
                <w:szCs w:val="22"/>
              </w:rPr>
              <w:t xml:space="preserve">0.15 </w:t>
            </w:r>
          </w:p>
        </w:tc>
        <w:tc>
          <w:tcPr>
            <w:tcW w:w="395" w:type="pct"/>
            <w:tcBorders>
              <w:top w:val="single" w:sz="4" w:space="0" w:color="auto"/>
              <w:left w:val="single" w:sz="4" w:space="0" w:color="auto"/>
              <w:bottom w:val="single" w:sz="4" w:space="0" w:color="auto"/>
              <w:right w:val="single" w:sz="4" w:space="0" w:color="auto"/>
            </w:tcBorders>
            <w:vAlign w:val="center"/>
          </w:tcPr>
          <w:p w14:paraId="6F000379" w14:textId="68884D16" w:rsidR="00E101A2" w:rsidRDefault="00E101A2" w:rsidP="00E101A2">
            <w:pPr>
              <w:widowControl/>
              <w:adjustRightInd w:val="0"/>
              <w:snapToGrid w:val="0"/>
              <w:jc w:val="center"/>
              <w:textAlignment w:val="center"/>
              <w:rPr>
                <w:rFonts w:eastAsia="仿宋"/>
              </w:rPr>
            </w:pPr>
            <w:r>
              <w:rPr>
                <w:color w:val="000000"/>
                <w:sz w:val="22"/>
                <w:szCs w:val="22"/>
              </w:rPr>
              <w:t xml:space="preserve">0.15 </w:t>
            </w:r>
          </w:p>
        </w:tc>
        <w:tc>
          <w:tcPr>
            <w:tcW w:w="367" w:type="pct"/>
            <w:tcBorders>
              <w:top w:val="single" w:sz="4" w:space="0" w:color="auto"/>
              <w:left w:val="single" w:sz="4" w:space="0" w:color="auto"/>
              <w:bottom w:val="single" w:sz="4" w:space="0" w:color="auto"/>
              <w:right w:val="single" w:sz="4" w:space="0" w:color="auto"/>
            </w:tcBorders>
            <w:vAlign w:val="center"/>
          </w:tcPr>
          <w:p w14:paraId="6E921989" w14:textId="50022FEA" w:rsidR="00E101A2" w:rsidRDefault="00E101A2" w:rsidP="00E101A2">
            <w:pPr>
              <w:widowControl/>
              <w:adjustRightInd w:val="0"/>
              <w:snapToGrid w:val="0"/>
              <w:jc w:val="center"/>
              <w:textAlignment w:val="center"/>
              <w:rPr>
                <w:rFonts w:eastAsia="仿宋"/>
              </w:rPr>
            </w:pPr>
            <w:r>
              <w:rPr>
                <w:color w:val="000000"/>
                <w:sz w:val="22"/>
                <w:szCs w:val="22"/>
              </w:rPr>
              <w:t xml:space="preserve">0.15 </w:t>
            </w:r>
          </w:p>
        </w:tc>
        <w:tc>
          <w:tcPr>
            <w:tcW w:w="466" w:type="pct"/>
            <w:vMerge/>
            <w:tcBorders>
              <w:left w:val="single" w:sz="4" w:space="0" w:color="auto"/>
              <w:bottom w:val="single" w:sz="4" w:space="0" w:color="auto"/>
            </w:tcBorders>
            <w:vAlign w:val="center"/>
          </w:tcPr>
          <w:p w14:paraId="75EAA237" w14:textId="77777777" w:rsidR="00E101A2" w:rsidRDefault="00E101A2" w:rsidP="00E101A2">
            <w:pPr>
              <w:widowControl/>
              <w:adjustRightInd w:val="0"/>
              <w:snapToGrid w:val="0"/>
              <w:jc w:val="center"/>
              <w:textAlignment w:val="center"/>
              <w:rPr>
                <w:rFonts w:ascii="仿宋" w:eastAsia="仿宋" w:hAnsi="仿宋" w:cs="仿宋" w:hint="eastAsia"/>
              </w:rPr>
            </w:pPr>
          </w:p>
        </w:tc>
      </w:tr>
      <w:tr w:rsidR="00E101A2" w:rsidRPr="00D32158" w14:paraId="5BB5DC1C" w14:textId="77777777" w:rsidTr="00E101A2">
        <w:trPr>
          <w:trHeight w:val="57"/>
          <w:jc w:val="center"/>
        </w:trPr>
        <w:tc>
          <w:tcPr>
            <w:tcW w:w="708" w:type="pct"/>
            <w:vMerge w:val="restart"/>
            <w:tcBorders>
              <w:top w:val="single" w:sz="4" w:space="0" w:color="auto"/>
              <w:right w:val="single" w:sz="4" w:space="0" w:color="auto"/>
            </w:tcBorders>
            <w:vAlign w:val="center"/>
          </w:tcPr>
          <w:p w14:paraId="594DE0BC" w14:textId="2F092DBF" w:rsidR="00E101A2" w:rsidRPr="00D32158" w:rsidRDefault="00E101A2" w:rsidP="00E101A2">
            <w:pPr>
              <w:widowControl/>
              <w:adjustRightInd w:val="0"/>
              <w:snapToGrid w:val="0"/>
              <w:jc w:val="center"/>
              <w:textAlignment w:val="center"/>
            </w:pPr>
            <w:r w:rsidRPr="00D32158">
              <w:t>Cl</w:t>
            </w:r>
            <w:r w:rsidRPr="00D32158">
              <w:rPr>
                <w:vertAlign w:val="superscript"/>
              </w:rPr>
              <w:t>-</w:t>
            </w:r>
          </w:p>
        </w:tc>
        <w:tc>
          <w:tcPr>
            <w:tcW w:w="586" w:type="pct"/>
            <w:vAlign w:val="center"/>
          </w:tcPr>
          <w:p w14:paraId="758A7440" w14:textId="41802DA0" w:rsidR="00E101A2" w:rsidRPr="00D32158" w:rsidRDefault="00E101A2" w:rsidP="00E101A2">
            <w:pPr>
              <w:adjustRightInd w:val="0"/>
              <w:snapToGrid w:val="0"/>
              <w:jc w:val="center"/>
            </w:pPr>
            <w:r>
              <w:rPr>
                <w:rFonts w:hint="eastAsia"/>
              </w:rPr>
              <w:t>监测值</w:t>
            </w:r>
          </w:p>
        </w:tc>
        <w:tc>
          <w:tcPr>
            <w:tcW w:w="478" w:type="pct"/>
            <w:vMerge w:val="restart"/>
            <w:tcBorders>
              <w:top w:val="single" w:sz="4" w:space="0" w:color="auto"/>
              <w:left w:val="single" w:sz="4" w:space="0" w:color="auto"/>
              <w:right w:val="single" w:sz="4" w:space="0" w:color="auto"/>
              <w:tl2br w:val="nil"/>
              <w:tr2bl w:val="nil"/>
            </w:tcBorders>
            <w:vAlign w:val="center"/>
          </w:tcPr>
          <w:p w14:paraId="1BB38515" w14:textId="43A394A6" w:rsidR="00E101A2" w:rsidRPr="00D32158" w:rsidRDefault="00E101A2" w:rsidP="00E101A2">
            <w:pPr>
              <w:adjustRightInd w:val="0"/>
              <w:snapToGrid w:val="0"/>
              <w:jc w:val="center"/>
            </w:pPr>
            <w:r w:rsidRPr="00D32158">
              <w:t>mg/L</w:t>
            </w:r>
          </w:p>
        </w:tc>
        <w:tc>
          <w:tcPr>
            <w:tcW w:w="402" w:type="pct"/>
            <w:tcBorders>
              <w:top w:val="single" w:sz="4" w:space="0" w:color="auto"/>
              <w:left w:val="single" w:sz="4" w:space="0" w:color="auto"/>
              <w:bottom w:val="single" w:sz="4" w:space="0" w:color="auto"/>
              <w:right w:val="single" w:sz="4" w:space="0" w:color="auto"/>
            </w:tcBorders>
            <w:vAlign w:val="center"/>
          </w:tcPr>
          <w:p w14:paraId="52CD6A33" w14:textId="18E35230" w:rsidR="00E101A2" w:rsidRPr="00D32158" w:rsidRDefault="00E101A2" w:rsidP="00E101A2">
            <w:pPr>
              <w:widowControl/>
              <w:adjustRightInd w:val="0"/>
              <w:snapToGrid w:val="0"/>
              <w:jc w:val="center"/>
              <w:textAlignment w:val="center"/>
            </w:pPr>
            <w:r>
              <w:rPr>
                <w:color w:val="000000"/>
                <w:sz w:val="22"/>
                <w:szCs w:val="22"/>
              </w:rPr>
              <w:t>45.8</w:t>
            </w:r>
          </w:p>
        </w:tc>
        <w:tc>
          <w:tcPr>
            <w:tcW w:w="402" w:type="pct"/>
            <w:tcBorders>
              <w:top w:val="single" w:sz="4" w:space="0" w:color="auto"/>
              <w:left w:val="single" w:sz="4" w:space="0" w:color="auto"/>
              <w:bottom w:val="single" w:sz="4" w:space="0" w:color="auto"/>
              <w:right w:val="single" w:sz="4" w:space="0" w:color="auto"/>
            </w:tcBorders>
            <w:vAlign w:val="center"/>
          </w:tcPr>
          <w:p w14:paraId="2D6FF607" w14:textId="70D9DD97" w:rsidR="00E101A2" w:rsidRPr="00D32158" w:rsidRDefault="00E101A2" w:rsidP="00E101A2">
            <w:pPr>
              <w:widowControl/>
              <w:adjustRightInd w:val="0"/>
              <w:snapToGrid w:val="0"/>
              <w:jc w:val="center"/>
              <w:textAlignment w:val="center"/>
            </w:pPr>
            <w:r>
              <w:rPr>
                <w:color w:val="000000"/>
                <w:sz w:val="22"/>
                <w:szCs w:val="22"/>
              </w:rPr>
              <w:t>46.9</w:t>
            </w:r>
          </w:p>
        </w:tc>
        <w:tc>
          <w:tcPr>
            <w:tcW w:w="402" w:type="pct"/>
            <w:tcBorders>
              <w:top w:val="single" w:sz="4" w:space="0" w:color="auto"/>
              <w:left w:val="single" w:sz="4" w:space="0" w:color="auto"/>
              <w:bottom w:val="single" w:sz="4" w:space="0" w:color="auto"/>
              <w:right w:val="single" w:sz="4" w:space="0" w:color="auto"/>
            </w:tcBorders>
            <w:vAlign w:val="center"/>
          </w:tcPr>
          <w:p w14:paraId="3B3E39AB" w14:textId="17858E8B" w:rsidR="00E101A2" w:rsidRPr="00D32158" w:rsidRDefault="00E101A2" w:rsidP="00E101A2">
            <w:pPr>
              <w:widowControl/>
              <w:adjustRightInd w:val="0"/>
              <w:snapToGrid w:val="0"/>
              <w:jc w:val="center"/>
              <w:textAlignment w:val="center"/>
            </w:pPr>
            <w:r>
              <w:rPr>
                <w:color w:val="000000"/>
                <w:sz w:val="22"/>
                <w:szCs w:val="22"/>
              </w:rPr>
              <w:t>46.8</w:t>
            </w:r>
          </w:p>
        </w:tc>
        <w:tc>
          <w:tcPr>
            <w:tcW w:w="407" w:type="pct"/>
            <w:tcBorders>
              <w:top w:val="single" w:sz="4" w:space="0" w:color="auto"/>
              <w:left w:val="single" w:sz="4" w:space="0" w:color="auto"/>
              <w:bottom w:val="single" w:sz="4" w:space="0" w:color="auto"/>
              <w:right w:val="single" w:sz="4" w:space="0" w:color="auto"/>
            </w:tcBorders>
            <w:vAlign w:val="center"/>
          </w:tcPr>
          <w:p w14:paraId="5D3727C4" w14:textId="75DD16F3" w:rsidR="00E101A2" w:rsidRPr="00D32158" w:rsidRDefault="00E101A2" w:rsidP="00E101A2">
            <w:pPr>
              <w:widowControl/>
              <w:adjustRightInd w:val="0"/>
              <w:snapToGrid w:val="0"/>
              <w:jc w:val="center"/>
              <w:textAlignment w:val="center"/>
            </w:pPr>
            <w:r>
              <w:rPr>
                <w:color w:val="000000"/>
              </w:rPr>
              <w:t>47.8</w:t>
            </w:r>
          </w:p>
        </w:tc>
        <w:tc>
          <w:tcPr>
            <w:tcW w:w="387" w:type="pct"/>
            <w:tcBorders>
              <w:top w:val="single" w:sz="4" w:space="0" w:color="auto"/>
              <w:left w:val="single" w:sz="4" w:space="0" w:color="auto"/>
              <w:bottom w:val="single" w:sz="4" w:space="0" w:color="auto"/>
              <w:right w:val="single" w:sz="4" w:space="0" w:color="auto"/>
            </w:tcBorders>
            <w:vAlign w:val="center"/>
          </w:tcPr>
          <w:p w14:paraId="27FD7175" w14:textId="00FBF8EA" w:rsidR="00E101A2" w:rsidRPr="00D32158" w:rsidRDefault="00E101A2" w:rsidP="00E101A2">
            <w:pPr>
              <w:widowControl/>
              <w:adjustRightInd w:val="0"/>
              <w:snapToGrid w:val="0"/>
              <w:jc w:val="center"/>
              <w:textAlignment w:val="center"/>
            </w:pPr>
            <w:r>
              <w:rPr>
                <w:color w:val="000000"/>
              </w:rPr>
              <w:t>46.3</w:t>
            </w:r>
          </w:p>
        </w:tc>
        <w:tc>
          <w:tcPr>
            <w:tcW w:w="395" w:type="pct"/>
            <w:tcBorders>
              <w:top w:val="single" w:sz="4" w:space="0" w:color="auto"/>
              <w:left w:val="single" w:sz="4" w:space="0" w:color="auto"/>
              <w:bottom w:val="single" w:sz="4" w:space="0" w:color="auto"/>
              <w:right w:val="single" w:sz="4" w:space="0" w:color="auto"/>
            </w:tcBorders>
            <w:vAlign w:val="center"/>
          </w:tcPr>
          <w:p w14:paraId="3F39C03C" w14:textId="681A6039" w:rsidR="00E101A2" w:rsidRPr="00D32158" w:rsidRDefault="00E101A2" w:rsidP="00E101A2">
            <w:pPr>
              <w:widowControl/>
              <w:adjustRightInd w:val="0"/>
              <w:snapToGrid w:val="0"/>
              <w:jc w:val="center"/>
              <w:textAlignment w:val="center"/>
              <w:rPr>
                <w:color w:val="000000"/>
                <w:kern w:val="0"/>
                <w:lang w:bidi="ar"/>
              </w:rPr>
            </w:pPr>
            <w:r>
              <w:rPr>
                <w:color w:val="000000"/>
              </w:rPr>
              <w:t>45.2</w:t>
            </w:r>
          </w:p>
        </w:tc>
        <w:tc>
          <w:tcPr>
            <w:tcW w:w="367" w:type="pct"/>
            <w:tcBorders>
              <w:top w:val="single" w:sz="4" w:space="0" w:color="auto"/>
              <w:left w:val="single" w:sz="4" w:space="0" w:color="auto"/>
              <w:bottom w:val="single" w:sz="4" w:space="0" w:color="auto"/>
              <w:right w:val="single" w:sz="4" w:space="0" w:color="auto"/>
            </w:tcBorders>
            <w:vAlign w:val="center"/>
          </w:tcPr>
          <w:p w14:paraId="40F65485" w14:textId="79A7033A" w:rsidR="00E101A2" w:rsidRPr="00D32158" w:rsidRDefault="00E101A2" w:rsidP="00E101A2">
            <w:pPr>
              <w:widowControl/>
              <w:adjustRightInd w:val="0"/>
              <w:snapToGrid w:val="0"/>
              <w:jc w:val="center"/>
              <w:textAlignment w:val="center"/>
              <w:rPr>
                <w:color w:val="000000"/>
                <w:kern w:val="0"/>
              </w:rPr>
            </w:pPr>
            <w:r>
              <w:rPr>
                <w:color w:val="000000"/>
              </w:rPr>
              <w:t>46.2</w:t>
            </w:r>
          </w:p>
        </w:tc>
        <w:tc>
          <w:tcPr>
            <w:tcW w:w="466" w:type="pct"/>
            <w:vMerge w:val="restart"/>
            <w:tcBorders>
              <w:top w:val="single" w:sz="4" w:space="0" w:color="auto"/>
              <w:left w:val="single" w:sz="4" w:space="0" w:color="auto"/>
            </w:tcBorders>
            <w:vAlign w:val="center"/>
          </w:tcPr>
          <w:p w14:paraId="451542F0" w14:textId="6F859B1D" w:rsidR="00E101A2" w:rsidRPr="00D32158" w:rsidRDefault="00E101A2" w:rsidP="00E101A2">
            <w:pPr>
              <w:widowControl/>
              <w:adjustRightInd w:val="0"/>
              <w:snapToGrid w:val="0"/>
              <w:jc w:val="center"/>
              <w:textAlignment w:val="center"/>
            </w:pPr>
            <w:r>
              <w:rPr>
                <w:rFonts w:ascii="仿宋" w:eastAsia="仿宋" w:hAnsi="仿宋" w:cs="仿宋" w:hint="eastAsia"/>
              </w:rPr>
              <w:t>≤</w:t>
            </w:r>
            <w:r>
              <w:t>250</w:t>
            </w:r>
          </w:p>
        </w:tc>
      </w:tr>
      <w:tr w:rsidR="00E101A2" w:rsidRPr="00D32158" w14:paraId="57280E44" w14:textId="77777777" w:rsidTr="00E101A2">
        <w:trPr>
          <w:trHeight w:val="57"/>
          <w:jc w:val="center"/>
        </w:trPr>
        <w:tc>
          <w:tcPr>
            <w:tcW w:w="708" w:type="pct"/>
            <w:vMerge/>
            <w:tcBorders>
              <w:bottom w:val="single" w:sz="4" w:space="0" w:color="auto"/>
              <w:right w:val="single" w:sz="4" w:space="0" w:color="auto"/>
            </w:tcBorders>
            <w:vAlign w:val="center"/>
          </w:tcPr>
          <w:p w14:paraId="249189E0" w14:textId="77777777" w:rsidR="00E101A2" w:rsidRPr="00D32158" w:rsidRDefault="00E101A2" w:rsidP="00E101A2">
            <w:pPr>
              <w:widowControl/>
              <w:adjustRightInd w:val="0"/>
              <w:snapToGrid w:val="0"/>
              <w:jc w:val="center"/>
              <w:textAlignment w:val="center"/>
            </w:pPr>
          </w:p>
        </w:tc>
        <w:tc>
          <w:tcPr>
            <w:tcW w:w="586" w:type="pct"/>
            <w:vAlign w:val="center"/>
          </w:tcPr>
          <w:p w14:paraId="58FF4F81" w14:textId="6D631A3B" w:rsidR="00E101A2" w:rsidRPr="00D32158" w:rsidRDefault="00E101A2" w:rsidP="00E101A2">
            <w:pPr>
              <w:adjustRightInd w:val="0"/>
              <w:snapToGrid w:val="0"/>
              <w:jc w:val="center"/>
            </w:pPr>
            <w:r>
              <w:rPr>
                <w:rFonts w:hint="eastAsia"/>
              </w:rPr>
              <w:t>标准指数</w:t>
            </w:r>
          </w:p>
        </w:tc>
        <w:tc>
          <w:tcPr>
            <w:tcW w:w="478" w:type="pct"/>
            <w:vMerge/>
            <w:tcBorders>
              <w:left w:val="single" w:sz="4" w:space="0" w:color="auto"/>
              <w:bottom w:val="single" w:sz="4" w:space="0" w:color="auto"/>
              <w:right w:val="single" w:sz="4" w:space="0" w:color="auto"/>
              <w:tl2br w:val="nil"/>
              <w:tr2bl w:val="nil"/>
            </w:tcBorders>
            <w:vAlign w:val="center"/>
          </w:tcPr>
          <w:p w14:paraId="7E631802" w14:textId="5B9AB42F" w:rsidR="00E101A2" w:rsidRPr="00D32158" w:rsidRDefault="00E101A2" w:rsidP="00E101A2">
            <w:pPr>
              <w:adjustRightInd w:val="0"/>
              <w:snapToGrid w:val="0"/>
              <w:jc w:val="center"/>
            </w:pPr>
          </w:p>
        </w:tc>
        <w:tc>
          <w:tcPr>
            <w:tcW w:w="402" w:type="pct"/>
            <w:tcBorders>
              <w:top w:val="single" w:sz="4" w:space="0" w:color="auto"/>
              <w:left w:val="single" w:sz="4" w:space="0" w:color="auto"/>
              <w:bottom w:val="single" w:sz="4" w:space="0" w:color="auto"/>
              <w:right w:val="single" w:sz="4" w:space="0" w:color="auto"/>
            </w:tcBorders>
            <w:vAlign w:val="center"/>
          </w:tcPr>
          <w:p w14:paraId="3A9D096D" w14:textId="1E4646B0" w:rsidR="00E101A2" w:rsidRPr="00D32158" w:rsidRDefault="00E101A2" w:rsidP="00E101A2">
            <w:pPr>
              <w:widowControl/>
              <w:adjustRightInd w:val="0"/>
              <w:snapToGrid w:val="0"/>
              <w:jc w:val="center"/>
              <w:textAlignment w:val="center"/>
              <w:rPr>
                <w:color w:val="000000"/>
                <w:sz w:val="22"/>
                <w:szCs w:val="22"/>
              </w:rPr>
            </w:pPr>
            <w:r>
              <w:rPr>
                <w:color w:val="000000"/>
                <w:sz w:val="22"/>
                <w:szCs w:val="22"/>
              </w:rPr>
              <w:t xml:space="preserve">0.18 </w:t>
            </w:r>
          </w:p>
        </w:tc>
        <w:tc>
          <w:tcPr>
            <w:tcW w:w="402" w:type="pct"/>
            <w:tcBorders>
              <w:top w:val="single" w:sz="4" w:space="0" w:color="auto"/>
              <w:left w:val="single" w:sz="4" w:space="0" w:color="auto"/>
              <w:bottom w:val="single" w:sz="4" w:space="0" w:color="auto"/>
              <w:right w:val="single" w:sz="4" w:space="0" w:color="auto"/>
            </w:tcBorders>
            <w:vAlign w:val="center"/>
          </w:tcPr>
          <w:p w14:paraId="357F6873" w14:textId="091285EA" w:rsidR="00E101A2" w:rsidRPr="00D32158" w:rsidRDefault="00E101A2" w:rsidP="00E101A2">
            <w:pPr>
              <w:widowControl/>
              <w:adjustRightInd w:val="0"/>
              <w:snapToGrid w:val="0"/>
              <w:jc w:val="center"/>
              <w:textAlignment w:val="center"/>
              <w:rPr>
                <w:color w:val="000000"/>
                <w:sz w:val="22"/>
                <w:szCs w:val="22"/>
              </w:rPr>
            </w:pPr>
            <w:r>
              <w:rPr>
                <w:color w:val="000000"/>
                <w:sz w:val="22"/>
                <w:szCs w:val="22"/>
              </w:rPr>
              <w:t xml:space="preserve">0.19 </w:t>
            </w:r>
          </w:p>
        </w:tc>
        <w:tc>
          <w:tcPr>
            <w:tcW w:w="402" w:type="pct"/>
            <w:tcBorders>
              <w:top w:val="single" w:sz="4" w:space="0" w:color="auto"/>
              <w:left w:val="single" w:sz="4" w:space="0" w:color="auto"/>
              <w:bottom w:val="single" w:sz="4" w:space="0" w:color="auto"/>
              <w:right w:val="single" w:sz="4" w:space="0" w:color="auto"/>
            </w:tcBorders>
            <w:vAlign w:val="center"/>
          </w:tcPr>
          <w:p w14:paraId="73D6D30C" w14:textId="26A8096C" w:rsidR="00E101A2" w:rsidRPr="00D32158" w:rsidRDefault="00E101A2" w:rsidP="00E101A2">
            <w:pPr>
              <w:widowControl/>
              <w:adjustRightInd w:val="0"/>
              <w:snapToGrid w:val="0"/>
              <w:jc w:val="center"/>
              <w:textAlignment w:val="center"/>
              <w:rPr>
                <w:color w:val="000000"/>
                <w:sz w:val="22"/>
                <w:szCs w:val="22"/>
              </w:rPr>
            </w:pPr>
            <w:r>
              <w:rPr>
                <w:color w:val="000000"/>
                <w:sz w:val="22"/>
                <w:szCs w:val="22"/>
              </w:rPr>
              <w:t xml:space="preserve">0.19 </w:t>
            </w:r>
          </w:p>
        </w:tc>
        <w:tc>
          <w:tcPr>
            <w:tcW w:w="407" w:type="pct"/>
            <w:tcBorders>
              <w:top w:val="single" w:sz="4" w:space="0" w:color="auto"/>
              <w:left w:val="single" w:sz="4" w:space="0" w:color="auto"/>
              <w:bottom w:val="single" w:sz="4" w:space="0" w:color="auto"/>
              <w:right w:val="single" w:sz="4" w:space="0" w:color="auto"/>
            </w:tcBorders>
            <w:vAlign w:val="center"/>
          </w:tcPr>
          <w:p w14:paraId="136B7A4F" w14:textId="177E3C8B" w:rsidR="00E101A2" w:rsidRDefault="00E101A2" w:rsidP="00E101A2">
            <w:pPr>
              <w:widowControl/>
              <w:adjustRightInd w:val="0"/>
              <w:snapToGrid w:val="0"/>
              <w:jc w:val="center"/>
              <w:textAlignment w:val="center"/>
              <w:rPr>
                <w:rFonts w:eastAsia="仿宋"/>
              </w:rPr>
            </w:pPr>
            <w:r>
              <w:rPr>
                <w:color w:val="000000"/>
                <w:sz w:val="22"/>
                <w:szCs w:val="22"/>
              </w:rPr>
              <w:t xml:space="preserve">0.19 </w:t>
            </w:r>
          </w:p>
        </w:tc>
        <w:tc>
          <w:tcPr>
            <w:tcW w:w="387" w:type="pct"/>
            <w:tcBorders>
              <w:top w:val="single" w:sz="4" w:space="0" w:color="auto"/>
              <w:left w:val="single" w:sz="4" w:space="0" w:color="auto"/>
              <w:bottom w:val="single" w:sz="4" w:space="0" w:color="auto"/>
              <w:right w:val="single" w:sz="4" w:space="0" w:color="auto"/>
            </w:tcBorders>
            <w:vAlign w:val="center"/>
          </w:tcPr>
          <w:p w14:paraId="1D3FE16C" w14:textId="60E55ED6" w:rsidR="00E101A2" w:rsidRDefault="00E101A2" w:rsidP="00E101A2">
            <w:pPr>
              <w:widowControl/>
              <w:adjustRightInd w:val="0"/>
              <w:snapToGrid w:val="0"/>
              <w:jc w:val="center"/>
              <w:textAlignment w:val="center"/>
              <w:rPr>
                <w:rFonts w:eastAsia="仿宋"/>
              </w:rPr>
            </w:pPr>
            <w:r>
              <w:rPr>
                <w:color w:val="000000"/>
                <w:sz w:val="22"/>
                <w:szCs w:val="22"/>
              </w:rPr>
              <w:t xml:space="preserve">0.19 </w:t>
            </w:r>
          </w:p>
        </w:tc>
        <w:tc>
          <w:tcPr>
            <w:tcW w:w="395" w:type="pct"/>
            <w:tcBorders>
              <w:top w:val="single" w:sz="4" w:space="0" w:color="auto"/>
              <w:left w:val="single" w:sz="4" w:space="0" w:color="auto"/>
              <w:bottom w:val="single" w:sz="4" w:space="0" w:color="auto"/>
              <w:right w:val="single" w:sz="4" w:space="0" w:color="auto"/>
            </w:tcBorders>
            <w:vAlign w:val="center"/>
          </w:tcPr>
          <w:p w14:paraId="36B7B2F8" w14:textId="5A741660" w:rsidR="00E101A2" w:rsidRDefault="00E101A2" w:rsidP="00E101A2">
            <w:pPr>
              <w:widowControl/>
              <w:adjustRightInd w:val="0"/>
              <w:snapToGrid w:val="0"/>
              <w:jc w:val="center"/>
              <w:textAlignment w:val="center"/>
              <w:rPr>
                <w:rFonts w:eastAsia="仿宋"/>
              </w:rPr>
            </w:pPr>
            <w:r>
              <w:rPr>
                <w:color w:val="000000"/>
                <w:sz w:val="22"/>
                <w:szCs w:val="22"/>
              </w:rPr>
              <w:t xml:space="preserve">0.18 </w:t>
            </w:r>
          </w:p>
        </w:tc>
        <w:tc>
          <w:tcPr>
            <w:tcW w:w="367" w:type="pct"/>
            <w:tcBorders>
              <w:top w:val="single" w:sz="4" w:space="0" w:color="auto"/>
              <w:left w:val="single" w:sz="4" w:space="0" w:color="auto"/>
              <w:bottom w:val="single" w:sz="4" w:space="0" w:color="auto"/>
              <w:right w:val="single" w:sz="4" w:space="0" w:color="auto"/>
            </w:tcBorders>
            <w:vAlign w:val="center"/>
          </w:tcPr>
          <w:p w14:paraId="4059998D" w14:textId="328B4A86" w:rsidR="00E101A2" w:rsidRDefault="00E101A2" w:rsidP="00E101A2">
            <w:pPr>
              <w:widowControl/>
              <w:adjustRightInd w:val="0"/>
              <w:snapToGrid w:val="0"/>
              <w:jc w:val="center"/>
              <w:textAlignment w:val="center"/>
              <w:rPr>
                <w:rFonts w:eastAsia="仿宋"/>
              </w:rPr>
            </w:pPr>
            <w:r>
              <w:rPr>
                <w:color w:val="000000"/>
                <w:sz w:val="22"/>
                <w:szCs w:val="22"/>
              </w:rPr>
              <w:t xml:space="preserve">0.18 </w:t>
            </w:r>
          </w:p>
        </w:tc>
        <w:tc>
          <w:tcPr>
            <w:tcW w:w="466" w:type="pct"/>
            <w:vMerge/>
            <w:tcBorders>
              <w:left w:val="single" w:sz="4" w:space="0" w:color="auto"/>
              <w:bottom w:val="single" w:sz="4" w:space="0" w:color="auto"/>
            </w:tcBorders>
            <w:vAlign w:val="center"/>
          </w:tcPr>
          <w:p w14:paraId="48649EAC" w14:textId="77777777" w:rsidR="00E101A2" w:rsidRDefault="00E101A2" w:rsidP="00E101A2">
            <w:pPr>
              <w:widowControl/>
              <w:adjustRightInd w:val="0"/>
              <w:snapToGrid w:val="0"/>
              <w:jc w:val="center"/>
              <w:textAlignment w:val="center"/>
              <w:rPr>
                <w:rFonts w:ascii="仿宋" w:eastAsia="仿宋" w:hAnsi="仿宋" w:cs="仿宋" w:hint="eastAsia"/>
              </w:rPr>
            </w:pPr>
          </w:p>
        </w:tc>
      </w:tr>
      <w:tr w:rsidR="00E101A2" w:rsidRPr="00D32158" w14:paraId="3EAFC3C4" w14:textId="77777777" w:rsidTr="00E101A2">
        <w:trPr>
          <w:trHeight w:val="57"/>
          <w:jc w:val="center"/>
        </w:trPr>
        <w:tc>
          <w:tcPr>
            <w:tcW w:w="708" w:type="pct"/>
            <w:vMerge w:val="restart"/>
            <w:tcBorders>
              <w:top w:val="single" w:sz="4" w:space="0" w:color="auto"/>
              <w:right w:val="single" w:sz="4" w:space="0" w:color="auto"/>
            </w:tcBorders>
            <w:vAlign w:val="center"/>
          </w:tcPr>
          <w:p w14:paraId="0098BC05" w14:textId="42920EFD" w:rsidR="00E101A2" w:rsidRPr="00D32158" w:rsidRDefault="00E101A2" w:rsidP="00E101A2">
            <w:pPr>
              <w:widowControl/>
              <w:adjustRightInd w:val="0"/>
              <w:snapToGrid w:val="0"/>
              <w:jc w:val="center"/>
              <w:textAlignment w:val="center"/>
            </w:pPr>
            <w:r w:rsidRPr="00D32158">
              <w:t>pH</w:t>
            </w:r>
          </w:p>
        </w:tc>
        <w:tc>
          <w:tcPr>
            <w:tcW w:w="586" w:type="pct"/>
            <w:vAlign w:val="center"/>
          </w:tcPr>
          <w:p w14:paraId="0FE3F4FB" w14:textId="0DF231BD" w:rsidR="00E101A2" w:rsidRPr="00D32158" w:rsidRDefault="00E101A2" w:rsidP="00E101A2">
            <w:pPr>
              <w:adjustRightInd w:val="0"/>
              <w:snapToGrid w:val="0"/>
              <w:jc w:val="center"/>
              <w:rPr>
                <w:color w:val="000000"/>
                <w:kern w:val="0"/>
                <w:lang w:bidi="ar"/>
              </w:rPr>
            </w:pPr>
            <w:r>
              <w:rPr>
                <w:rFonts w:hint="eastAsia"/>
              </w:rPr>
              <w:t>监测值</w:t>
            </w:r>
          </w:p>
        </w:tc>
        <w:tc>
          <w:tcPr>
            <w:tcW w:w="478" w:type="pct"/>
            <w:vMerge w:val="restart"/>
            <w:tcBorders>
              <w:top w:val="single" w:sz="4" w:space="0" w:color="auto"/>
              <w:left w:val="single" w:sz="4" w:space="0" w:color="auto"/>
              <w:right w:val="single" w:sz="4" w:space="0" w:color="auto"/>
              <w:tl2br w:val="nil"/>
              <w:tr2bl w:val="nil"/>
            </w:tcBorders>
            <w:vAlign w:val="center"/>
          </w:tcPr>
          <w:p w14:paraId="7E71AF1B" w14:textId="5599FF4C" w:rsidR="00E101A2" w:rsidRPr="00D32158" w:rsidRDefault="00E101A2" w:rsidP="00E101A2">
            <w:pPr>
              <w:adjustRightInd w:val="0"/>
              <w:snapToGrid w:val="0"/>
              <w:jc w:val="center"/>
            </w:pPr>
            <w:r w:rsidRPr="00D32158">
              <w:rPr>
                <w:color w:val="000000"/>
                <w:kern w:val="0"/>
                <w:lang w:bidi="ar"/>
              </w:rPr>
              <w:t>无量纲</w:t>
            </w:r>
          </w:p>
        </w:tc>
        <w:tc>
          <w:tcPr>
            <w:tcW w:w="402" w:type="pct"/>
            <w:tcBorders>
              <w:top w:val="single" w:sz="4" w:space="0" w:color="auto"/>
              <w:left w:val="single" w:sz="4" w:space="0" w:color="auto"/>
              <w:bottom w:val="single" w:sz="4" w:space="0" w:color="auto"/>
              <w:right w:val="single" w:sz="4" w:space="0" w:color="auto"/>
            </w:tcBorders>
            <w:vAlign w:val="center"/>
          </w:tcPr>
          <w:p w14:paraId="3BE9D0EB" w14:textId="1511087E" w:rsidR="00E101A2" w:rsidRPr="00D32158" w:rsidRDefault="00E101A2" w:rsidP="00E101A2">
            <w:pPr>
              <w:widowControl/>
              <w:adjustRightInd w:val="0"/>
              <w:snapToGrid w:val="0"/>
              <w:jc w:val="center"/>
              <w:textAlignment w:val="center"/>
            </w:pPr>
            <w:r>
              <w:rPr>
                <w:color w:val="000000"/>
                <w:sz w:val="22"/>
                <w:szCs w:val="22"/>
              </w:rPr>
              <w:t>7.6</w:t>
            </w:r>
          </w:p>
        </w:tc>
        <w:tc>
          <w:tcPr>
            <w:tcW w:w="402" w:type="pct"/>
            <w:tcBorders>
              <w:top w:val="single" w:sz="4" w:space="0" w:color="auto"/>
              <w:left w:val="single" w:sz="4" w:space="0" w:color="auto"/>
              <w:bottom w:val="single" w:sz="4" w:space="0" w:color="auto"/>
              <w:right w:val="single" w:sz="4" w:space="0" w:color="auto"/>
            </w:tcBorders>
            <w:vAlign w:val="center"/>
          </w:tcPr>
          <w:p w14:paraId="1400905B" w14:textId="399061F5" w:rsidR="00E101A2" w:rsidRPr="00D32158" w:rsidRDefault="00E101A2" w:rsidP="00E101A2">
            <w:pPr>
              <w:widowControl/>
              <w:adjustRightInd w:val="0"/>
              <w:snapToGrid w:val="0"/>
              <w:jc w:val="center"/>
              <w:textAlignment w:val="center"/>
            </w:pPr>
            <w:r>
              <w:rPr>
                <w:color w:val="000000"/>
                <w:sz w:val="22"/>
                <w:szCs w:val="22"/>
              </w:rPr>
              <w:t>7.5</w:t>
            </w:r>
          </w:p>
        </w:tc>
        <w:tc>
          <w:tcPr>
            <w:tcW w:w="402" w:type="pct"/>
            <w:tcBorders>
              <w:top w:val="single" w:sz="4" w:space="0" w:color="auto"/>
              <w:left w:val="single" w:sz="4" w:space="0" w:color="auto"/>
              <w:bottom w:val="single" w:sz="4" w:space="0" w:color="auto"/>
              <w:right w:val="single" w:sz="4" w:space="0" w:color="auto"/>
            </w:tcBorders>
            <w:vAlign w:val="center"/>
          </w:tcPr>
          <w:p w14:paraId="74AEA362" w14:textId="024DD4B6" w:rsidR="00E101A2" w:rsidRPr="00D32158" w:rsidRDefault="00E101A2" w:rsidP="00E101A2">
            <w:pPr>
              <w:widowControl/>
              <w:adjustRightInd w:val="0"/>
              <w:snapToGrid w:val="0"/>
              <w:jc w:val="center"/>
              <w:textAlignment w:val="center"/>
            </w:pPr>
            <w:r>
              <w:rPr>
                <w:color w:val="000000"/>
                <w:sz w:val="22"/>
                <w:szCs w:val="22"/>
              </w:rPr>
              <w:t>7.5</w:t>
            </w:r>
          </w:p>
        </w:tc>
        <w:tc>
          <w:tcPr>
            <w:tcW w:w="407" w:type="pct"/>
            <w:tcBorders>
              <w:top w:val="single" w:sz="4" w:space="0" w:color="auto"/>
              <w:left w:val="single" w:sz="4" w:space="0" w:color="auto"/>
              <w:bottom w:val="single" w:sz="4" w:space="0" w:color="auto"/>
              <w:right w:val="single" w:sz="4" w:space="0" w:color="auto"/>
            </w:tcBorders>
            <w:vAlign w:val="center"/>
          </w:tcPr>
          <w:p w14:paraId="6ABEECDF" w14:textId="585580DB" w:rsidR="00E101A2" w:rsidRPr="00D32158" w:rsidRDefault="00E101A2" w:rsidP="00E101A2">
            <w:pPr>
              <w:widowControl/>
              <w:adjustRightInd w:val="0"/>
              <w:snapToGrid w:val="0"/>
              <w:jc w:val="center"/>
              <w:textAlignment w:val="center"/>
            </w:pPr>
            <w:r>
              <w:rPr>
                <w:color w:val="000000"/>
              </w:rPr>
              <w:t>7.4</w:t>
            </w:r>
          </w:p>
        </w:tc>
        <w:tc>
          <w:tcPr>
            <w:tcW w:w="387" w:type="pct"/>
            <w:tcBorders>
              <w:top w:val="single" w:sz="4" w:space="0" w:color="auto"/>
              <w:left w:val="single" w:sz="4" w:space="0" w:color="auto"/>
              <w:bottom w:val="single" w:sz="4" w:space="0" w:color="auto"/>
              <w:right w:val="single" w:sz="4" w:space="0" w:color="auto"/>
            </w:tcBorders>
            <w:vAlign w:val="center"/>
          </w:tcPr>
          <w:p w14:paraId="39921408" w14:textId="40E9C95C" w:rsidR="00E101A2" w:rsidRPr="00D32158" w:rsidRDefault="00E101A2" w:rsidP="00E101A2">
            <w:pPr>
              <w:widowControl/>
              <w:adjustRightInd w:val="0"/>
              <w:snapToGrid w:val="0"/>
              <w:jc w:val="center"/>
              <w:textAlignment w:val="center"/>
            </w:pPr>
            <w:r>
              <w:rPr>
                <w:color w:val="000000"/>
              </w:rPr>
              <w:t>7.5</w:t>
            </w:r>
          </w:p>
        </w:tc>
        <w:tc>
          <w:tcPr>
            <w:tcW w:w="395" w:type="pct"/>
            <w:tcBorders>
              <w:top w:val="single" w:sz="4" w:space="0" w:color="auto"/>
              <w:left w:val="single" w:sz="4" w:space="0" w:color="auto"/>
              <w:bottom w:val="single" w:sz="4" w:space="0" w:color="auto"/>
              <w:right w:val="single" w:sz="4" w:space="0" w:color="auto"/>
            </w:tcBorders>
            <w:vAlign w:val="center"/>
          </w:tcPr>
          <w:p w14:paraId="4FE6E6EA" w14:textId="6ED5F06D" w:rsidR="00E101A2" w:rsidRPr="00D32158" w:rsidRDefault="00E101A2" w:rsidP="00E101A2">
            <w:pPr>
              <w:widowControl/>
              <w:adjustRightInd w:val="0"/>
              <w:snapToGrid w:val="0"/>
              <w:jc w:val="center"/>
              <w:textAlignment w:val="center"/>
              <w:rPr>
                <w:color w:val="000000"/>
                <w:kern w:val="0"/>
                <w:lang w:bidi="ar"/>
              </w:rPr>
            </w:pPr>
            <w:r>
              <w:rPr>
                <w:color w:val="000000"/>
              </w:rPr>
              <w:t>7.4</w:t>
            </w:r>
          </w:p>
        </w:tc>
        <w:tc>
          <w:tcPr>
            <w:tcW w:w="367" w:type="pct"/>
            <w:tcBorders>
              <w:top w:val="single" w:sz="4" w:space="0" w:color="auto"/>
              <w:left w:val="single" w:sz="4" w:space="0" w:color="auto"/>
              <w:bottom w:val="single" w:sz="4" w:space="0" w:color="auto"/>
              <w:right w:val="single" w:sz="4" w:space="0" w:color="auto"/>
            </w:tcBorders>
            <w:vAlign w:val="center"/>
          </w:tcPr>
          <w:p w14:paraId="34175BC3" w14:textId="5395C984" w:rsidR="00E101A2" w:rsidRPr="00D32158" w:rsidRDefault="00E101A2" w:rsidP="00E101A2">
            <w:pPr>
              <w:widowControl/>
              <w:adjustRightInd w:val="0"/>
              <w:snapToGrid w:val="0"/>
              <w:jc w:val="center"/>
              <w:textAlignment w:val="center"/>
              <w:rPr>
                <w:color w:val="000000"/>
                <w:kern w:val="0"/>
              </w:rPr>
            </w:pPr>
            <w:r>
              <w:rPr>
                <w:color w:val="000000"/>
              </w:rPr>
              <w:t>7.5</w:t>
            </w:r>
          </w:p>
        </w:tc>
        <w:tc>
          <w:tcPr>
            <w:tcW w:w="466" w:type="pct"/>
            <w:vMerge w:val="restart"/>
            <w:tcBorders>
              <w:top w:val="single" w:sz="4" w:space="0" w:color="auto"/>
              <w:left w:val="single" w:sz="4" w:space="0" w:color="auto"/>
            </w:tcBorders>
            <w:vAlign w:val="center"/>
          </w:tcPr>
          <w:p w14:paraId="7F280E0B" w14:textId="01FD842B" w:rsidR="00E101A2" w:rsidRPr="00D32158" w:rsidRDefault="00E101A2" w:rsidP="00E101A2">
            <w:pPr>
              <w:widowControl/>
              <w:adjustRightInd w:val="0"/>
              <w:snapToGrid w:val="0"/>
              <w:jc w:val="center"/>
              <w:textAlignment w:val="center"/>
            </w:pPr>
            <w:r>
              <w:t>6.5</w:t>
            </w:r>
            <w:r>
              <w:rPr>
                <w:rFonts w:ascii="宋体" w:hAnsi="宋体" w:cs="宋体" w:hint="eastAsia"/>
              </w:rPr>
              <w:t>≤</w:t>
            </w:r>
            <w:r>
              <w:t>pH</w:t>
            </w:r>
            <w:r>
              <w:rPr>
                <w:rFonts w:ascii="宋体" w:hAnsi="宋体" w:cs="宋体" w:hint="eastAsia"/>
              </w:rPr>
              <w:t>≤</w:t>
            </w:r>
            <w:r>
              <w:t>8.5</w:t>
            </w:r>
          </w:p>
        </w:tc>
      </w:tr>
      <w:tr w:rsidR="00E101A2" w:rsidRPr="00D32158" w14:paraId="1B1EF659" w14:textId="77777777" w:rsidTr="00E101A2">
        <w:trPr>
          <w:trHeight w:val="57"/>
          <w:jc w:val="center"/>
        </w:trPr>
        <w:tc>
          <w:tcPr>
            <w:tcW w:w="708" w:type="pct"/>
            <w:vMerge/>
            <w:tcBorders>
              <w:bottom w:val="single" w:sz="4" w:space="0" w:color="auto"/>
              <w:right w:val="single" w:sz="4" w:space="0" w:color="auto"/>
            </w:tcBorders>
            <w:vAlign w:val="center"/>
          </w:tcPr>
          <w:p w14:paraId="097F2FE8" w14:textId="77777777" w:rsidR="00E101A2" w:rsidRPr="00D32158" w:rsidRDefault="00E101A2" w:rsidP="00E101A2">
            <w:pPr>
              <w:widowControl/>
              <w:adjustRightInd w:val="0"/>
              <w:snapToGrid w:val="0"/>
              <w:jc w:val="center"/>
              <w:textAlignment w:val="center"/>
            </w:pPr>
          </w:p>
        </w:tc>
        <w:tc>
          <w:tcPr>
            <w:tcW w:w="586" w:type="pct"/>
            <w:vAlign w:val="center"/>
          </w:tcPr>
          <w:p w14:paraId="489F0435" w14:textId="1F6ACD25" w:rsidR="00E101A2" w:rsidRPr="00D32158" w:rsidRDefault="00E101A2" w:rsidP="00E101A2">
            <w:pPr>
              <w:adjustRightInd w:val="0"/>
              <w:snapToGrid w:val="0"/>
              <w:jc w:val="center"/>
              <w:rPr>
                <w:color w:val="000000"/>
                <w:kern w:val="0"/>
                <w:lang w:bidi="ar"/>
              </w:rPr>
            </w:pPr>
            <w:r>
              <w:rPr>
                <w:rFonts w:hint="eastAsia"/>
              </w:rPr>
              <w:t>标准指数</w:t>
            </w:r>
          </w:p>
        </w:tc>
        <w:tc>
          <w:tcPr>
            <w:tcW w:w="478" w:type="pct"/>
            <w:vMerge/>
            <w:tcBorders>
              <w:left w:val="single" w:sz="4" w:space="0" w:color="auto"/>
              <w:bottom w:val="single" w:sz="4" w:space="0" w:color="auto"/>
              <w:right w:val="single" w:sz="4" w:space="0" w:color="auto"/>
              <w:tl2br w:val="nil"/>
              <w:tr2bl w:val="nil"/>
            </w:tcBorders>
            <w:vAlign w:val="center"/>
          </w:tcPr>
          <w:p w14:paraId="6F5D9266" w14:textId="373A0A04" w:rsidR="00E101A2" w:rsidRPr="00D32158" w:rsidRDefault="00E101A2" w:rsidP="00E101A2">
            <w:pPr>
              <w:adjustRightInd w:val="0"/>
              <w:snapToGrid w:val="0"/>
              <w:jc w:val="center"/>
              <w:rPr>
                <w:color w:val="000000"/>
                <w:kern w:val="0"/>
                <w:lang w:bidi="ar"/>
              </w:rPr>
            </w:pPr>
          </w:p>
        </w:tc>
        <w:tc>
          <w:tcPr>
            <w:tcW w:w="402" w:type="pct"/>
            <w:tcBorders>
              <w:top w:val="nil"/>
              <w:left w:val="single" w:sz="8" w:space="0" w:color="auto"/>
              <w:bottom w:val="single" w:sz="8" w:space="0" w:color="auto"/>
              <w:right w:val="single" w:sz="8" w:space="0" w:color="auto"/>
            </w:tcBorders>
            <w:vAlign w:val="center"/>
          </w:tcPr>
          <w:p w14:paraId="73C638F4" w14:textId="15D8391F" w:rsidR="00E101A2" w:rsidRPr="00D32158" w:rsidRDefault="00E101A2" w:rsidP="00E101A2">
            <w:pPr>
              <w:widowControl/>
              <w:adjustRightInd w:val="0"/>
              <w:snapToGrid w:val="0"/>
              <w:jc w:val="center"/>
              <w:textAlignment w:val="center"/>
              <w:rPr>
                <w:color w:val="000000"/>
                <w:sz w:val="22"/>
                <w:szCs w:val="22"/>
              </w:rPr>
            </w:pPr>
            <w:r>
              <w:rPr>
                <w:color w:val="000000"/>
                <w:sz w:val="22"/>
                <w:szCs w:val="22"/>
              </w:rPr>
              <w:t>0.3</w:t>
            </w:r>
          </w:p>
        </w:tc>
        <w:tc>
          <w:tcPr>
            <w:tcW w:w="402" w:type="pct"/>
            <w:tcBorders>
              <w:top w:val="nil"/>
              <w:left w:val="nil"/>
              <w:bottom w:val="single" w:sz="8" w:space="0" w:color="auto"/>
              <w:right w:val="single" w:sz="8" w:space="0" w:color="auto"/>
            </w:tcBorders>
            <w:vAlign w:val="center"/>
          </w:tcPr>
          <w:p w14:paraId="1683EA0B" w14:textId="57706E84" w:rsidR="00E101A2" w:rsidRPr="00D32158" w:rsidRDefault="00E101A2" w:rsidP="00E101A2">
            <w:pPr>
              <w:widowControl/>
              <w:adjustRightInd w:val="0"/>
              <w:snapToGrid w:val="0"/>
              <w:jc w:val="center"/>
              <w:textAlignment w:val="center"/>
              <w:rPr>
                <w:color w:val="000000"/>
                <w:sz w:val="22"/>
                <w:szCs w:val="22"/>
              </w:rPr>
            </w:pPr>
            <w:r>
              <w:rPr>
                <w:color w:val="000000"/>
                <w:sz w:val="22"/>
                <w:szCs w:val="22"/>
              </w:rPr>
              <w:t>0.25</w:t>
            </w:r>
          </w:p>
        </w:tc>
        <w:tc>
          <w:tcPr>
            <w:tcW w:w="402" w:type="pct"/>
            <w:tcBorders>
              <w:top w:val="nil"/>
              <w:left w:val="nil"/>
              <w:bottom w:val="single" w:sz="8" w:space="0" w:color="auto"/>
              <w:right w:val="single" w:sz="8" w:space="0" w:color="auto"/>
            </w:tcBorders>
            <w:vAlign w:val="center"/>
          </w:tcPr>
          <w:p w14:paraId="5DB67625" w14:textId="08FD91B2" w:rsidR="00E101A2" w:rsidRPr="00D32158" w:rsidRDefault="00E101A2" w:rsidP="00E101A2">
            <w:pPr>
              <w:widowControl/>
              <w:adjustRightInd w:val="0"/>
              <w:snapToGrid w:val="0"/>
              <w:jc w:val="center"/>
              <w:textAlignment w:val="center"/>
              <w:rPr>
                <w:color w:val="000000"/>
                <w:sz w:val="22"/>
                <w:szCs w:val="22"/>
              </w:rPr>
            </w:pPr>
            <w:r>
              <w:rPr>
                <w:color w:val="000000"/>
                <w:sz w:val="22"/>
                <w:szCs w:val="22"/>
              </w:rPr>
              <w:t>0.25</w:t>
            </w:r>
          </w:p>
        </w:tc>
        <w:tc>
          <w:tcPr>
            <w:tcW w:w="407" w:type="pct"/>
            <w:tcBorders>
              <w:top w:val="nil"/>
              <w:left w:val="nil"/>
              <w:bottom w:val="single" w:sz="8" w:space="0" w:color="auto"/>
              <w:right w:val="single" w:sz="8" w:space="0" w:color="auto"/>
            </w:tcBorders>
            <w:vAlign w:val="center"/>
          </w:tcPr>
          <w:p w14:paraId="3BDF5497" w14:textId="4514151C" w:rsidR="00E101A2" w:rsidRDefault="00E101A2" w:rsidP="00E101A2">
            <w:pPr>
              <w:widowControl/>
              <w:adjustRightInd w:val="0"/>
              <w:snapToGrid w:val="0"/>
              <w:jc w:val="center"/>
              <w:textAlignment w:val="center"/>
            </w:pPr>
            <w:r>
              <w:rPr>
                <w:color w:val="000000"/>
                <w:sz w:val="22"/>
                <w:szCs w:val="22"/>
              </w:rPr>
              <w:t>0.2</w:t>
            </w:r>
          </w:p>
        </w:tc>
        <w:tc>
          <w:tcPr>
            <w:tcW w:w="387" w:type="pct"/>
            <w:tcBorders>
              <w:top w:val="nil"/>
              <w:left w:val="nil"/>
              <w:bottom w:val="single" w:sz="8" w:space="0" w:color="auto"/>
              <w:right w:val="single" w:sz="8" w:space="0" w:color="auto"/>
            </w:tcBorders>
            <w:vAlign w:val="center"/>
          </w:tcPr>
          <w:p w14:paraId="01BCF4F5" w14:textId="327D3E14" w:rsidR="00E101A2" w:rsidRDefault="00E101A2" w:rsidP="00E101A2">
            <w:pPr>
              <w:widowControl/>
              <w:adjustRightInd w:val="0"/>
              <w:snapToGrid w:val="0"/>
              <w:jc w:val="center"/>
              <w:textAlignment w:val="center"/>
            </w:pPr>
            <w:r>
              <w:rPr>
                <w:color w:val="000000"/>
                <w:sz w:val="22"/>
                <w:szCs w:val="22"/>
              </w:rPr>
              <w:t>0.25</w:t>
            </w:r>
          </w:p>
        </w:tc>
        <w:tc>
          <w:tcPr>
            <w:tcW w:w="395" w:type="pct"/>
            <w:tcBorders>
              <w:top w:val="nil"/>
              <w:left w:val="nil"/>
              <w:bottom w:val="single" w:sz="8" w:space="0" w:color="auto"/>
              <w:right w:val="single" w:sz="8" w:space="0" w:color="auto"/>
            </w:tcBorders>
            <w:vAlign w:val="center"/>
          </w:tcPr>
          <w:p w14:paraId="490E1526" w14:textId="2430627F" w:rsidR="00E101A2" w:rsidRDefault="00E101A2" w:rsidP="00E101A2">
            <w:pPr>
              <w:widowControl/>
              <w:adjustRightInd w:val="0"/>
              <w:snapToGrid w:val="0"/>
              <w:jc w:val="center"/>
              <w:textAlignment w:val="center"/>
            </w:pPr>
            <w:r>
              <w:rPr>
                <w:color w:val="000000"/>
                <w:sz w:val="22"/>
                <w:szCs w:val="22"/>
              </w:rPr>
              <w:t>0.2</w:t>
            </w:r>
          </w:p>
        </w:tc>
        <w:tc>
          <w:tcPr>
            <w:tcW w:w="367" w:type="pct"/>
            <w:tcBorders>
              <w:top w:val="nil"/>
              <w:left w:val="nil"/>
              <w:bottom w:val="single" w:sz="8" w:space="0" w:color="auto"/>
              <w:right w:val="single" w:sz="8" w:space="0" w:color="auto"/>
            </w:tcBorders>
            <w:vAlign w:val="center"/>
          </w:tcPr>
          <w:p w14:paraId="3C4E2AD9" w14:textId="6D25C9CC" w:rsidR="00E101A2" w:rsidRDefault="00E101A2" w:rsidP="00E101A2">
            <w:pPr>
              <w:widowControl/>
              <w:adjustRightInd w:val="0"/>
              <w:snapToGrid w:val="0"/>
              <w:jc w:val="center"/>
              <w:textAlignment w:val="center"/>
            </w:pPr>
            <w:r>
              <w:rPr>
                <w:color w:val="000000"/>
                <w:sz w:val="22"/>
                <w:szCs w:val="22"/>
              </w:rPr>
              <w:t>0.25</w:t>
            </w:r>
          </w:p>
        </w:tc>
        <w:tc>
          <w:tcPr>
            <w:tcW w:w="466" w:type="pct"/>
            <w:vMerge/>
            <w:tcBorders>
              <w:left w:val="single" w:sz="4" w:space="0" w:color="auto"/>
              <w:bottom w:val="single" w:sz="4" w:space="0" w:color="auto"/>
            </w:tcBorders>
            <w:vAlign w:val="center"/>
          </w:tcPr>
          <w:p w14:paraId="1DCEA1B9" w14:textId="77777777" w:rsidR="00E101A2" w:rsidRDefault="00E101A2" w:rsidP="00E101A2">
            <w:pPr>
              <w:widowControl/>
              <w:adjustRightInd w:val="0"/>
              <w:snapToGrid w:val="0"/>
              <w:jc w:val="center"/>
              <w:textAlignment w:val="center"/>
            </w:pPr>
          </w:p>
        </w:tc>
      </w:tr>
      <w:tr w:rsidR="00E101A2" w:rsidRPr="00D32158" w14:paraId="0192B7A0" w14:textId="77777777" w:rsidTr="00E101A2">
        <w:trPr>
          <w:trHeight w:val="57"/>
          <w:jc w:val="center"/>
        </w:trPr>
        <w:tc>
          <w:tcPr>
            <w:tcW w:w="708" w:type="pct"/>
            <w:vMerge w:val="restart"/>
            <w:tcBorders>
              <w:top w:val="single" w:sz="4" w:space="0" w:color="auto"/>
              <w:right w:val="single" w:sz="4" w:space="0" w:color="auto"/>
            </w:tcBorders>
            <w:vAlign w:val="center"/>
          </w:tcPr>
          <w:p w14:paraId="18E746BF" w14:textId="72E0D61F" w:rsidR="00E101A2" w:rsidRPr="00D32158" w:rsidRDefault="00E101A2" w:rsidP="00E101A2">
            <w:pPr>
              <w:widowControl/>
              <w:adjustRightInd w:val="0"/>
              <w:snapToGrid w:val="0"/>
              <w:jc w:val="center"/>
              <w:textAlignment w:val="center"/>
            </w:pPr>
            <w:r w:rsidRPr="00D32158">
              <w:t>水温</w:t>
            </w:r>
          </w:p>
        </w:tc>
        <w:tc>
          <w:tcPr>
            <w:tcW w:w="586" w:type="pct"/>
            <w:vAlign w:val="center"/>
          </w:tcPr>
          <w:p w14:paraId="70B354B0" w14:textId="5F4CC1BB" w:rsidR="00E101A2" w:rsidRPr="00D32158" w:rsidRDefault="00E101A2" w:rsidP="00E101A2">
            <w:pPr>
              <w:adjustRightInd w:val="0"/>
              <w:snapToGrid w:val="0"/>
              <w:jc w:val="center"/>
            </w:pPr>
            <w:r>
              <w:rPr>
                <w:rFonts w:hint="eastAsia"/>
              </w:rPr>
              <w:t>监测值</w:t>
            </w:r>
          </w:p>
        </w:tc>
        <w:tc>
          <w:tcPr>
            <w:tcW w:w="478" w:type="pct"/>
            <w:vMerge w:val="restart"/>
            <w:tcBorders>
              <w:top w:val="single" w:sz="4" w:space="0" w:color="auto"/>
              <w:left w:val="single" w:sz="4" w:space="0" w:color="auto"/>
              <w:right w:val="single" w:sz="4" w:space="0" w:color="auto"/>
              <w:tl2br w:val="nil"/>
              <w:tr2bl w:val="nil"/>
            </w:tcBorders>
            <w:vAlign w:val="center"/>
          </w:tcPr>
          <w:p w14:paraId="7B91D5D7" w14:textId="17714D68" w:rsidR="00E101A2" w:rsidRPr="00D32158" w:rsidRDefault="00E101A2" w:rsidP="00E101A2">
            <w:pPr>
              <w:adjustRightInd w:val="0"/>
              <w:snapToGrid w:val="0"/>
              <w:jc w:val="center"/>
            </w:pPr>
            <w:r w:rsidRPr="00D32158">
              <w:t>℃</w:t>
            </w:r>
          </w:p>
        </w:tc>
        <w:tc>
          <w:tcPr>
            <w:tcW w:w="402" w:type="pct"/>
            <w:tcBorders>
              <w:top w:val="single" w:sz="4" w:space="0" w:color="auto"/>
              <w:left w:val="single" w:sz="4" w:space="0" w:color="auto"/>
              <w:bottom w:val="single" w:sz="4" w:space="0" w:color="auto"/>
              <w:right w:val="single" w:sz="4" w:space="0" w:color="auto"/>
            </w:tcBorders>
            <w:vAlign w:val="center"/>
          </w:tcPr>
          <w:p w14:paraId="498EF4EE" w14:textId="5B70EE5D" w:rsidR="00E101A2" w:rsidRPr="00D32158" w:rsidRDefault="00E101A2" w:rsidP="00E101A2">
            <w:pPr>
              <w:widowControl/>
              <w:adjustRightInd w:val="0"/>
              <w:snapToGrid w:val="0"/>
              <w:jc w:val="center"/>
              <w:textAlignment w:val="center"/>
            </w:pPr>
            <w:r>
              <w:rPr>
                <w:color w:val="000000"/>
                <w:sz w:val="22"/>
                <w:szCs w:val="22"/>
              </w:rPr>
              <w:t>6.8</w:t>
            </w:r>
          </w:p>
        </w:tc>
        <w:tc>
          <w:tcPr>
            <w:tcW w:w="402" w:type="pct"/>
            <w:tcBorders>
              <w:top w:val="single" w:sz="4" w:space="0" w:color="auto"/>
              <w:left w:val="single" w:sz="4" w:space="0" w:color="auto"/>
              <w:bottom w:val="single" w:sz="4" w:space="0" w:color="auto"/>
              <w:right w:val="single" w:sz="4" w:space="0" w:color="auto"/>
            </w:tcBorders>
            <w:vAlign w:val="center"/>
          </w:tcPr>
          <w:p w14:paraId="0C572070" w14:textId="2F581DC9" w:rsidR="00E101A2" w:rsidRPr="00D32158" w:rsidRDefault="00E101A2" w:rsidP="00E101A2">
            <w:pPr>
              <w:widowControl/>
              <w:adjustRightInd w:val="0"/>
              <w:snapToGrid w:val="0"/>
              <w:jc w:val="center"/>
              <w:textAlignment w:val="center"/>
            </w:pPr>
            <w:r>
              <w:rPr>
                <w:color w:val="000000"/>
                <w:sz w:val="22"/>
                <w:szCs w:val="22"/>
              </w:rPr>
              <w:t>6.6</w:t>
            </w:r>
          </w:p>
        </w:tc>
        <w:tc>
          <w:tcPr>
            <w:tcW w:w="402" w:type="pct"/>
            <w:tcBorders>
              <w:top w:val="single" w:sz="4" w:space="0" w:color="auto"/>
              <w:left w:val="single" w:sz="4" w:space="0" w:color="auto"/>
              <w:bottom w:val="single" w:sz="4" w:space="0" w:color="auto"/>
              <w:right w:val="single" w:sz="4" w:space="0" w:color="auto"/>
            </w:tcBorders>
            <w:vAlign w:val="center"/>
          </w:tcPr>
          <w:p w14:paraId="0584113A" w14:textId="33073693" w:rsidR="00E101A2" w:rsidRPr="00D32158" w:rsidRDefault="00E101A2" w:rsidP="00E101A2">
            <w:pPr>
              <w:widowControl/>
              <w:adjustRightInd w:val="0"/>
              <w:snapToGrid w:val="0"/>
              <w:jc w:val="center"/>
              <w:textAlignment w:val="center"/>
            </w:pPr>
            <w:r>
              <w:rPr>
                <w:color w:val="000000"/>
                <w:sz w:val="22"/>
                <w:szCs w:val="22"/>
              </w:rPr>
              <w:t>6.7</w:t>
            </w:r>
          </w:p>
        </w:tc>
        <w:tc>
          <w:tcPr>
            <w:tcW w:w="407" w:type="pct"/>
            <w:tcBorders>
              <w:top w:val="single" w:sz="4" w:space="0" w:color="auto"/>
              <w:left w:val="single" w:sz="4" w:space="0" w:color="auto"/>
              <w:bottom w:val="single" w:sz="4" w:space="0" w:color="auto"/>
              <w:right w:val="single" w:sz="4" w:space="0" w:color="auto"/>
            </w:tcBorders>
            <w:vAlign w:val="center"/>
          </w:tcPr>
          <w:p w14:paraId="36959BD0" w14:textId="50C669AC" w:rsidR="00E101A2" w:rsidRPr="00D32158" w:rsidRDefault="00E101A2" w:rsidP="00E101A2">
            <w:pPr>
              <w:widowControl/>
              <w:adjustRightInd w:val="0"/>
              <w:snapToGrid w:val="0"/>
              <w:jc w:val="center"/>
              <w:textAlignment w:val="center"/>
            </w:pPr>
            <w:r>
              <w:rPr>
                <w:color w:val="000000"/>
              </w:rPr>
              <w:t>6.5</w:t>
            </w:r>
          </w:p>
        </w:tc>
        <w:tc>
          <w:tcPr>
            <w:tcW w:w="387" w:type="pct"/>
            <w:tcBorders>
              <w:top w:val="single" w:sz="4" w:space="0" w:color="auto"/>
              <w:left w:val="single" w:sz="4" w:space="0" w:color="auto"/>
              <w:bottom w:val="single" w:sz="4" w:space="0" w:color="auto"/>
              <w:right w:val="single" w:sz="4" w:space="0" w:color="auto"/>
            </w:tcBorders>
            <w:vAlign w:val="center"/>
          </w:tcPr>
          <w:p w14:paraId="248747D1" w14:textId="7065C762" w:rsidR="00E101A2" w:rsidRPr="00D32158" w:rsidRDefault="00E101A2" w:rsidP="00E101A2">
            <w:pPr>
              <w:widowControl/>
              <w:adjustRightInd w:val="0"/>
              <w:snapToGrid w:val="0"/>
              <w:jc w:val="center"/>
              <w:textAlignment w:val="center"/>
            </w:pPr>
            <w:r>
              <w:rPr>
                <w:color w:val="000000"/>
              </w:rPr>
              <w:t>6.7</w:t>
            </w:r>
          </w:p>
        </w:tc>
        <w:tc>
          <w:tcPr>
            <w:tcW w:w="395" w:type="pct"/>
            <w:tcBorders>
              <w:top w:val="single" w:sz="4" w:space="0" w:color="auto"/>
              <w:left w:val="single" w:sz="4" w:space="0" w:color="auto"/>
              <w:bottom w:val="single" w:sz="4" w:space="0" w:color="auto"/>
              <w:right w:val="single" w:sz="4" w:space="0" w:color="auto"/>
            </w:tcBorders>
            <w:vAlign w:val="center"/>
          </w:tcPr>
          <w:p w14:paraId="1FC49239" w14:textId="6D6D1E21" w:rsidR="00E101A2" w:rsidRPr="00D32158" w:rsidRDefault="00E101A2" w:rsidP="00E101A2">
            <w:pPr>
              <w:widowControl/>
              <w:adjustRightInd w:val="0"/>
              <w:snapToGrid w:val="0"/>
              <w:jc w:val="center"/>
              <w:textAlignment w:val="center"/>
              <w:rPr>
                <w:color w:val="000000"/>
                <w:kern w:val="0"/>
                <w:lang w:bidi="ar"/>
              </w:rPr>
            </w:pPr>
            <w:r>
              <w:rPr>
                <w:color w:val="000000"/>
              </w:rPr>
              <w:t>7.6</w:t>
            </w:r>
          </w:p>
        </w:tc>
        <w:tc>
          <w:tcPr>
            <w:tcW w:w="367" w:type="pct"/>
            <w:tcBorders>
              <w:top w:val="single" w:sz="4" w:space="0" w:color="auto"/>
              <w:left w:val="single" w:sz="4" w:space="0" w:color="auto"/>
              <w:bottom w:val="single" w:sz="4" w:space="0" w:color="auto"/>
              <w:right w:val="single" w:sz="4" w:space="0" w:color="auto"/>
            </w:tcBorders>
            <w:vAlign w:val="center"/>
          </w:tcPr>
          <w:p w14:paraId="74DADAD0" w14:textId="73FEDCA6" w:rsidR="00E101A2" w:rsidRPr="00D32158" w:rsidRDefault="00E101A2" w:rsidP="00E101A2">
            <w:pPr>
              <w:widowControl/>
              <w:adjustRightInd w:val="0"/>
              <w:snapToGrid w:val="0"/>
              <w:jc w:val="center"/>
              <w:textAlignment w:val="center"/>
              <w:rPr>
                <w:color w:val="000000"/>
                <w:kern w:val="0"/>
              </w:rPr>
            </w:pPr>
            <w:r>
              <w:rPr>
                <w:color w:val="000000"/>
              </w:rPr>
              <w:t>7.4</w:t>
            </w:r>
          </w:p>
        </w:tc>
        <w:tc>
          <w:tcPr>
            <w:tcW w:w="466" w:type="pct"/>
            <w:vMerge w:val="restart"/>
            <w:tcBorders>
              <w:top w:val="single" w:sz="4" w:space="0" w:color="auto"/>
              <w:left w:val="single" w:sz="4" w:space="0" w:color="auto"/>
            </w:tcBorders>
            <w:vAlign w:val="center"/>
          </w:tcPr>
          <w:p w14:paraId="0B095F1E" w14:textId="7CDBBE95" w:rsidR="00E101A2" w:rsidRPr="00D32158" w:rsidRDefault="00E101A2" w:rsidP="00E101A2">
            <w:pPr>
              <w:widowControl/>
              <w:adjustRightInd w:val="0"/>
              <w:snapToGrid w:val="0"/>
              <w:jc w:val="center"/>
              <w:textAlignment w:val="center"/>
            </w:pPr>
            <w:r>
              <w:rPr>
                <w:rFonts w:hint="eastAsia"/>
              </w:rPr>
              <w:t>/</w:t>
            </w:r>
          </w:p>
        </w:tc>
      </w:tr>
      <w:tr w:rsidR="00E101A2" w:rsidRPr="00D32158" w14:paraId="72AE9BA3" w14:textId="77777777" w:rsidTr="00E101A2">
        <w:trPr>
          <w:trHeight w:val="57"/>
          <w:jc w:val="center"/>
        </w:trPr>
        <w:tc>
          <w:tcPr>
            <w:tcW w:w="708" w:type="pct"/>
            <w:vMerge/>
            <w:tcBorders>
              <w:bottom w:val="single" w:sz="4" w:space="0" w:color="auto"/>
              <w:right w:val="single" w:sz="4" w:space="0" w:color="auto"/>
            </w:tcBorders>
            <w:vAlign w:val="center"/>
          </w:tcPr>
          <w:p w14:paraId="31A347B8" w14:textId="77777777" w:rsidR="00E101A2" w:rsidRPr="00D32158" w:rsidRDefault="00E101A2" w:rsidP="00E101A2">
            <w:pPr>
              <w:widowControl/>
              <w:adjustRightInd w:val="0"/>
              <w:snapToGrid w:val="0"/>
              <w:jc w:val="center"/>
              <w:textAlignment w:val="center"/>
            </w:pPr>
          </w:p>
        </w:tc>
        <w:tc>
          <w:tcPr>
            <w:tcW w:w="586" w:type="pct"/>
            <w:vAlign w:val="center"/>
          </w:tcPr>
          <w:p w14:paraId="5B660DCC" w14:textId="1EB1131B" w:rsidR="00E101A2" w:rsidRPr="00D32158" w:rsidRDefault="00E101A2" w:rsidP="00E101A2">
            <w:pPr>
              <w:adjustRightInd w:val="0"/>
              <w:snapToGrid w:val="0"/>
              <w:jc w:val="center"/>
            </w:pPr>
            <w:r>
              <w:rPr>
                <w:rFonts w:hint="eastAsia"/>
              </w:rPr>
              <w:t>标准指数</w:t>
            </w:r>
          </w:p>
        </w:tc>
        <w:tc>
          <w:tcPr>
            <w:tcW w:w="478" w:type="pct"/>
            <w:vMerge/>
            <w:tcBorders>
              <w:left w:val="single" w:sz="4" w:space="0" w:color="auto"/>
              <w:bottom w:val="single" w:sz="4" w:space="0" w:color="auto"/>
              <w:right w:val="single" w:sz="4" w:space="0" w:color="auto"/>
              <w:tl2br w:val="nil"/>
              <w:tr2bl w:val="nil"/>
            </w:tcBorders>
            <w:vAlign w:val="center"/>
          </w:tcPr>
          <w:p w14:paraId="60031E35" w14:textId="2AC4CFD6" w:rsidR="00E101A2" w:rsidRPr="00D32158" w:rsidRDefault="00E101A2" w:rsidP="00E101A2">
            <w:pPr>
              <w:adjustRightInd w:val="0"/>
              <w:snapToGrid w:val="0"/>
              <w:jc w:val="center"/>
            </w:pPr>
          </w:p>
        </w:tc>
        <w:tc>
          <w:tcPr>
            <w:tcW w:w="402" w:type="pct"/>
            <w:tcBorders>
              <w:top w:val="single" w:sz="4" w:space="0" w:color="auto"/>
              <w:left w:val="single" w:sz="4" w:space="0" w:color="auto"/>
              <w:bottom w:val="single" w:sz="4" w:space="0" w:color="auto"/>
              <w:right w:val="single" w:sz="4" w:space="0" w:color="auto"/>
            </w:tcBorders>
            <w:vAlign w:val="center"/>
          </w:tcPr>
          <w:p w14:paraId="72AAB237" w14:textId="32460FD5" w:rsidR="00E101A2" w:rsidRPr="00D32158" w:rsidRDefault="00E101A2" w:rsidP="00E101A2">
            <w:pPr>
              <w:widowControl/>
              <w:adjustRightInd w:val="0"/>
              <w:snapToGrid w:val="0"/>
              <w:jc w:val="center"/>
              <w:textAlignment w:val="center"/>
              <w:rPr>
                <w:color w:val="000000"/>
                <w:sz w:val="22"/>
                <w:szCs w:val="22"/>
              </w:rPr>
            </w:pPr>
            <w:r>
              <w:rPr>
                <w:rFonts w:eastAsia="仿宋" w:hint="eastAsia"/>
              </w:rPr>
              <w:t>/</w:t>
            </w:r>
          </w:p>
        </w:tc>
        <w:tc>
          <w:tcPr>
            <w:tcW w:w="402" w:type="pct"/>
            <w:tcBorders>
              <w:top w:val="single" w:sz="4" w:space="0" w:color="auto"/>
              <w:left w:val="single" w:sz="4" w:space="0" w:color="auto"/>
              <w:bottom w:val="single" w:sz="4" w:space="0" w:color="auto"/>
              <w:right w:val="single" w:sz="4" w:space="0" w:color="auto"/>
            </w:tcBorders>
          </w:tcPr>
          <w:p w14:paraId="1983D574" w14:textId="0394638B" w:rsidR="00E101A2" w:rsidRPr="00D32158" w:rsidRDefault="00E101A2" w:rsidP="00E101A2">
            <w:pPr>
              <w:widowControl/>
              <w:adjustRightInd w:val="0"/>
              <w:snapToGrid w:val="0"/>
              <w:jc w:val="center"/>
              <w:textAlignment w:val="center"/>
              <w:rPr>
                <w:color w:val="000000"/>
                <w:sz w:val="22"/>
                <w:szCs w:val="22"/>
              </w:rPr>
            </w:pPr>
            <w:r w:rsidRPr="00030223">
              <w:rPr>
                <w:rFonts w:eastAsia="仿宋" w:hint="eastAsia"/>
              </w:rPr>
              <w:t>/</w:t>
            </w:r>
          </w:p>
        </w:tc>
        <w:tc>
          <w:tcPr>
            <w:tcW w:w="402" w:type="pct"/>
            <w:tcBorders>
              <w:top w:val="single" w:sz="4" w:space="0" w:color="auto"/>
              <w:left w:val="single" w:sz="4" w:space="0" w:color="auto"/>
              <w:bottom w:val="single" w:sz="4" w:space="0" w:color="auto"/>
              <w:right w:val="single" w:sz="4" w:space="0" w:color="auto"/>
            </w:tcBorders>
          </w:tcPr>
          <w:p w14:paraId="71A08526" w14:textId="2BA9751F" w:rsidR="00E101A2" w:rsidRPr="00D32158" w:rsidRDefault="00E101A2" w:rsidP="00E101A2">
            <w:pPr>
              <w:widowControl/>
              <w:adjustRightInd w:val="0"/>
              <w:snapToGrid w:val="0"/>
              <w:jc w:val="center"/>
              <w:textAlignment w:val="center"/>
              <w:rPr>
                <w:color w:val="000000"/>
                <w:sz w:val="22"/>
                <w:szCs w:val="22"/>
              </w:rPr>
            </w:pPr>
            <w:r w:rsidRPr="00030223">
              <w:rPr>
                <w:rFonts w:eastAsia="仿宋" w:hint="eastAsia"/>
              </w:rPr>
              <w:t>/</w:t>
            </w:r>
          </w:p>
        </w:tc>
        <w:tc>
          <w:tcPr>
            <w:tcW w:w="407" w:type="pct"/>
            <w:tcBorders>
              <w:top w:val="single" w:sz="4" w:space="0" w:color="auto"/>
              <w:left w:val="single" w:sz="4" w:space="0" w:color="auto"/>
              <w:bottom w:val="single" w:sz="4" w:space="0" w:color="auto"/>
              <w:right w:val="single" w:sz="4" w:space="0" w:color="auto"/>
            </w:tcBorders>
          </w:tcPr>
          <w:p w14:paraId="362103FB" w14:textId="33192C24" w:rsidR="00E101A2" w:rsidRDefault="00E101A2" w:rsidP="00E101A2">
            <w:pPr>
              <w:widowControl/>
              <w:adjustRightInd w:val="0"/>
              <w:snapToGrid w:val="0"/>
              <w:jc w:val="center"/>
              <w:textAlignment w:val="center"/>
            </w:pPr>
            <w:r w:rsidRPr="00030223">
              <w:rPr>
                <w:rFonts w:eastAsia="仿宋" w:hint="eastAsia"/>
              </w:rPr>
              <w:t>/</w:t>
            </w:r>
          </w:p>
        </w:tc>
        <w:tc>
          <w:tcPr>
            <w:tcW w:w="387" w:type="pct"/>
            <w:tcBorders>
              <w:top w:val="single" w:sz="4" w:space="0" w:color="auto"/>
              <w:left w:val="single" w:sz="4" w:space="0" w:color="auto"/>
              <w:bottom w:val="single" w:sz="4" w:space="0" w:color="auto"/>
              <w:right w:val="single" w:sz="4" w:space="0" w:color="auto"/>
            </w:tcBorders>
          </w:tcPr>
          <w:p w14:paraId="2BA293B8" w14:textId="2E7218FA" w:rsidR="00E101A2" w:rsidRDefault="00E101A2" w:rsidP="00E101A2">
            <w:pPr>
              <w:widowControl/>
              <w:adjustRightInd w:val="0"/>
              <w:snapToGrid w:val="0"/>
              <w:jc w:val="center"/>
              <w:textAlignment w:val="center"/>
            </w:pPr>
            <w:r w:rsidRPr="00030223">
              <w:rPr>
                <w:rFonts w:eastAsia="仿宋" w:hint="eastAsia"/>
              </w:rPr>
              <w:t>/</w:t>
            </w:r>
          </w:p>
        </w:tc>
        <w:tc>
          <w:tcPr>
            <w:tcW w:w="395" w:type="pct"/>
            <w:tcBorders>
              <w:top w:val="single" w:sz="4" w:space="0" w:color="auto"/>
              <w:left w:val="single" w:sz="4" w:space="0" w:color="auto"/>
              <w:bottom w:val="single" w:sz="4" w:space="0" w:color="auto"/>
              <w:right w:val="single" w:sz="4" w:space="0" w:color="auto"/>
            </w:tcBorders>
          </w:tcPr>
          <w:p w14:paraId="1709C407" w14:textId="0B66FD70" w:rsidR="00E101A2" w:rsidRDefault="00E101A2" w:rsidP="00E101A2">
            <w:pPr>
              <w:widowControl/>
              <w:adjustRightInd w:val="0"/>
              <w:snapToGrid w:val="0"/>
              <w:jc w:val="center"/>
              <w:textAlignment w:val="center"/>
            </w:pPr>
            <w:r w:rsidRPr="00030223">
              <w:rPr>
                <w:rFonts w:eastAsia="仿宋" w:hint="eastAsia"/>
              </w:rPr>
              <w:t>/</w:t>
            </w:r>
          </w:p>
        </w:tc>
        <w:tc>
          <w:tcPr>
            <w:tcW w:w="367" w:type="pct"/>
            <w:tcBorders>
              <w:top w:val="single" w:sz="4" w:space="0" w:color="auto"/>
              <w:left w:val="single" w:sz="4" w:space="0" w:color="auto"/>
              <w:bottom w:val="single" w:sz="4" w:space="0" w:color="auto"/>
              <w:right w:val="single" w:sz="4" w:space="0" w:color="auto"/>
            </w:tcBorders>
          </w:tcPr>
          <w:p w14:paraId="6CB1ED46" w14:textId="15C84312" w:rsidR="00E101A2" w:rsidRDefault="00E101A2" w:rsidP="00E101A2">
            <w:pPr>
              <w:widowControl/>
              <w:adjustRightInd w:val="0"/>
              <w:snapToGrid w:val="0"/>
              <w:jc w:val="center"/>
              <w:textAlignment w:val="center"/>
            </w:pPr>
            <w:r w:rsidRPr="00030223">
              <w:rPr>
                <w:rFonts w:eastAsia="仿宋" w:hint="eastAsia"/>
              </w:rPr>
              <w:t>/</w:t>
            </w:r>
          </w:p>
        </w:tc>
        <w:tc>
          <w:tcPr>
            <w:tcW w:w="466" w:type="pct"/>
            <w:vMerge/>
            <w:tcBorders>
              <w:left w:val="single" w:sz="4" w:space="0" w:color="auto"/>
              <w:bottom w:val="single" w:sz="4" w:space="0" w:color="auto"/>
            </w:tcBorders>
            <w:vAlign w:val="center"/>
          </w:tcPr>
          <w:p w14:paraId="00E88122" w14:textId="77777777" w:rsidR="00E101A2" w:rsidRDefault="00E101A2" w:rsidP="00E101A2">
            <w:pPr>
              <w:widowControl/>
              <w:adjustRightInd w:val="0"/>
              <w:snapToGrid w:val="0"/>
              <w:jc w:val="center"/>
              <w:textAlignment w:val="center"/>
            </w:pPr>
          </w:p>
        </w:tc>
      </w:tr>
      <w:tr w:rsidR="00E101A2" w:rsidRPr="00D32158" w14:paraId="08DF7962" w14:textId="77777777" w:rsidTr="00E101A2">
        <w:trPr>
          <w:trHeight w:val="57"/>
          <w:jc w:val="center"/>
        </w:trPr>
        <w:tc>
          <w:tcPr>
            <w:tcW w:w="708" w:type="pct"/>
            <w:vMerge w:val="restart"/>
            <w:tcBorders>
              <w:top w:val="single" w:sz="4" w:space="0" w:color="auto"/>
              <w:right w:val="single" w:sz="4" w:space="0" w:color="auto"/>
            </w:tcBorders>
            <w:vAlign w:val="center"/>
          </w:tcPr>
          <w:p w14:paraId="4CB5C2F3" w14:textId="52CA1F57" w:rsidR="00E101A2" w:rsidRPr="00D32158" w:rsidRDefault="00E101A2" w:rsidP="00E101A2">
            <w:pPr>
              <w:widowControl/>
              <w:adjustRightInd w:val="0"/>
              <w:snapToGrid w:val="0"/>
              <w:jc w:val="center"/>
              <w:textAlignment w:val="center"/>
            </w:pPr>
            <w:r w:rsidRPr="00D32158">
              <w:t>总硬度</w:t>
            </w:r>
          </w:p>
        </w:tc>
        <w:tc>
          <w:tcPr>
            <w:tcW w:w="586" w:type="pct"/>
            <w:vAlign w:val="center"/>
          </w:tcPr>
          <w:p w14:paraId="3A24E95B" w14:textId="0A36A311" w:rsidR="00E101A2" w:rsidRPr="00D32158" w:rsidRDefault="00E101A2" w:rsidP="00E101A2">
            <w:pPr>
              <w:adjustRightInd w:val="0"/>
              <w:snapToGrid w:val="0"/>
              <w:jc w:val="center"/>
            </w:pPr>
            <w:r>
              <w:rPr>
                <w:rFonts w:hint="eastAsia"/>
              </w:rPr>
              <w:t>监测值</w:t>
            </w:r>
          </w:p>
        </w:tc>
        <w:tc>
          <w:tcPr>
            <w:tcW w:w="478" w:type="pct"/>
            <w:vMerge w:val="restart"/>
            <w:tcBorders>
              <w:top w:val="single" w:sz="4" w:space="0" w:color="auto"/>
              <w:left w:val="single" w:sz="4" w:space="0" w:color="auto"/>
              <w:right w:val="single" w:sz="4" w:space="0" w:color="auto"/>
              <w:tl2br w:val="nil"/>
              <w:tr2bl w:val="nil"/>
            </w:tcBorders>
            <w:vAlign w:val="center"/>
          </w:tcPr>
          <w:p w14:paraId="7404B546" w14:textId="752C28C4" w:rsidR="00E101A2" w:rsidRPr="00D32158" w:rsidRDefault="00E101A2" w:rsidP="00E101A2">
            <w:pPr>
              <w:adjustRightInd w:val="0"/>
              <w:snapToGrid w:val="0"/>
              <w:jc w:val="center"/>
            </w:pPr>
            <w:r w:rsidRPr="00D32158">
              <w:t>mg/L</w:t>
            </w:r>
          </w:p>
        </w:tc>
        <w:tc>
          <w:tcPr>
            <w:tcW w:w="402" w:type="pct"/>
            <w:tcBorders>
              <w:top w:val="single" w:sz="4" w:space="0" w:color="auto"/>
              <w:left w:val="single" w:sz="4" w:space="0" w:color="auto"/>
              <w:bottom w:val="single" w:sz="4" w:space="0" w:color="auto"/>
              <w:right w:val="single" w:sz="4" w:space="0" w:color="auto"/>
            </w:tcBorders>
            <w:vAlign w:val="center"/>
          </w:tcPr>
          <w:p w14:paraId="07D72956" w14:textId="58C5FFB7" w:rsidR="00E101A2" w:rsidRPr="00D32158" w:rsidRDefault="00E101A2" w:rsidP="00E101A2">
            <w:pPr>
              <w:widowControl/>
              <w:adjustRightInd w:val="0"/>
              <w:snapToGrid w:val="0"/>
              <w:jc w:val="center"/>
              <w:textAlignment w:val="center"/>
            </w:pPr>
            <w:r>
              <w:rPr>
                <w:color w:val="000000"/>
                <w:sz w:val="22"/>
                <w:szCs w:val="22"/>
              </w:rPr>
              <w:t>183</w:t>
            </w:r>
          </w:p>
        </w:tc>
        <w:tc>
          <w:tcPr>
            <w:tcW w:w="402" w:type="pct"/>
            <w:tcBorders>
              <w:top w:val="single" w:sz="4" w:space="0" w:color="auto"/>
              <w:left w:val="single" w:sz="4" w:space="0" w:color="auto"/>
              <w:bottom w:val="single" w:sz="4" w:space="0" w:color="auto"/>
              <w:right w:val="single" w:sz="4" w:space="0" w:color="auto"/>
            </w:tcBorders>
            <w:vAlign w:val="center"/>
          </w:tcPr>
          <w:p w14:paraId="64596A55" w14:textId="1615D21C" w:rsidR="00E101A2" w:rsidRPr="00D32158" w:rsidRDefault="00E101A2" w:rsidP="00E101A2">
            <w:pPr>
              <w:widowControl/>
              <w:adjustRightInd w:val="0"/>
              <w:snapToGrid w:val="0"/>
              <w:jc w:val="center"/>
              <w:textAlignment w:val="center"/>
            </w:pPr>
            <w:r>
              <w:rPr>
                <w:color w:val="000000"/>
                <w:sz w:val="22"/>
                <w:szCs w:val="22"/>
              </w:rPr>
              <w:t>248</w:t>
            </w:r>
          </w:p>
        </w:tc>
        <w:tc>
          <w:tcPr>
            <w:tcW w:w="402" w:type="pct"/>
            <w:tcBorders>
              <w:top w:val="single" w:sz="4" w:space="0" w:color="auto"/>
              <w:left w:val="single" w:sz="4" w:space="0" w:color="auto"/>
              <w:bottom w:val="single" w:sz="4" w:space="0" w:color="auto"/>
              <w:right w:val="single" w:sz="4" w:space="0" w:color="auto"/>
            </w:tcBorders>
            <w:vAlign w:val="center"/>
          </w:tcPr>
          <w:p w14:paraId="55513185" w14:textId="13D1A0B6" w:rsidR="00E101A2" w:rsidRPr="00D32158" w:rsidRDefault="00E101A2" w:rsidP="00E101A2">
            <w:pPr>
              <w:widowControl/>
              <w:adjustRightInd w:val="0"/>
              <w:snapToGrid w:val="0"/>
              <w:jc w:val="center"/>
              <w:textAlignment w:val="center"/>
            </w:pPr>
            <w:r>
              <w:rPr>
                <w:color w:val="000000"/>
                <w:sz w:val="22"/>
                <w:szCs w:val="22"/>
              </w:rPr>
              <w:t>230</w:t>
            </w:r>
          </w:p>
        </w:tc>
        <w:tc>
          <w:tcPr>
            <w:tcW w:w="407" w:type="pct"/>
            <w:tcBorders>
              <w:top w:val="single" w:sz="4" w:space="0" w:color="auto"/>
              <w:left w:val="single" w:sz="4" w:space="0" w:color="auto"/>
              <w:bottom w:val="single" w:sz="4" w:space="0" w:color="auto"/>
              <w:right w:val="single" w:sz="4" w:space="0" w:color="auto"/>
            </w:tcBorders>
            <w:vAlign w:val="center"/>
          </w:tcPr>
          <w:p w14:paraId="26E591B6" w14:textId="1CE23089" w:rsidR="00E101A2" w:rsidRPr="00D32158" w:rsidRDefault="00E101A2" w:rsidP="00E101A2">
            <w:pPr>
              <w:widowControl/>
              <w:adjustRightInd w:val="0"/>
              <w:snapToGrid w:val="0"/>
              <w:jc w:val="center"/>
              <w:textAlignment w:val="center"/>
            </w:pPr>
            <w:r>
              <w:rPr>
                <w:color w:val="000000"/>
              </w:rPr>
              <w:t>179</w:t>
            </w:r>
          </w:p>
        </w:tc>
        <w:tc>
          <w:tcPr>
            <w:tcW w:w="387" w:type="pct"/>
            <w:tcBorders>
              <w:top w:val="single" w:sz="4" w:space="0" w:color="auto"/>
              <w:left w:val="single" w:sz="4" w:space="0" w:color="auto"/>
              <w:bottom w:val="single" w:sz="4" w:space="0" w:color="auto"/>
              <w:right w:val="single" w:sz="4" w:space="0" w:color="auto"/>
            </w:tcBorders>
            <w:vAlign w:val="center"/>
          </w:tcPr>
          <w:p w14:paraId="5013B727" w14:textId="636D7977" w:rsidR="00E101A2" w:rsidRPr="00D32158" w:rsidRDefault="00E101A2" w:rsidP="00E101A2">
            <w:pPr>
              <w:widowControl/>
              <w:adjustRightInd w:val="0"/>
              <w:snapToGrid w:val="0"/>
              <w:jc w:val="center"/>
              <w:textAlignment w:val="center"/>
            </w:pPr>
            <w:r>
              <w:rPr>
                <w:color w:val="000000"/>
              </w:rPr>
              <w:t>170</w:t>
            </w:r>
          </w:p>
        </w:tc>
        <w:tc>
          <w:tcPr>
            <w:tcW w:w="395" w:type="pct"/>
            <w:tcBorders>
              <w:top w:val="single" w:sz="4" w:space="0" w:color="auto"/>
              <w:left w:val="single" w:sz="4" w:space="0" w:color="auto"/>
              <w:bottom w:val="single" w:sz="4" w:space="0" w:color="auto"/>
              <w:right w:val="single" w:sz="4" w:space="0" w:color="auto"/>
            </w:tcBorders>
            <w:vAlign w:val="center"/>
          </w:tcPr>
          <w:p w14:paraId="102E693C" w14:textId="316BEAB0" w:rsidR="00E101A2" w:rsidRPr="00D32158" w:rsidRDefault="00E101A2" w:rsidP="00E101A2">
            <w:pPr>
              <w:widowControl/>
              <w:adjustRightInd w:val="0"/>
              <w:snapToGrid w:val="0"/>
              <w:jc w:val="center"/>
              <w:textAlignment w:val="center"/>
              <w:rPr>
                <w:color w:val="000000"/>
                <w:kern w:val="0"/>
                <w:lang w:bidi="ar"/>
              </w:rPr>
            </w:pPr>
            <w:r>
              <w:rPr>
                <w:color w:val="000000"/>
              </w:rPr>
              <w:t>188</w:t>
            </w:r>
          </w:p>
        </w:tc>
        <w:tc>
          <w:tcPr>
            <w:tcW w:w="367" w:type="pct"/>
            <w:tcBorders>
              <w:top w:val="single" w:sz="4" w:space="0" w:color="auto"/>
              <w:left w:val="single" w:sz="4" w:space="0" w:color="auto"/>
              <w:bottom w:val="single" w:sz="4" w:space="0" w:color="auto"/>
              <w:right w:val="single" w:sz="4" w:space="0" w:color="auto"/>
            </w:tcBorders>
            <w:vAlign w:val="center"/>
          </w:tcPr>
          <w:p w14:paraId="1F662A50" w14:textId="5B658711" w:rsidR="00E101A2" w:rsidRPr="00D32158" w:rsidRDefault="00E101A2" w:rsidP="00E101A2">
            <w:pPr>
              <w:widowControl/>
              <w:adjustRightInd w:val="0"/>
              <w:snapToGrid w:val="0"/>
              <w:jc w:val="center"/>
              <w:textAlignment w:val="center"/>
              <w:rPr>
                <w:color w:val="000000"/>
                <w:kern w:val="0"/>
              </w:rPr>
            </w:pPr>
            <w:r>
              <w:rPr>
                <w:color w:val="000000"/>
              </w:rPr>
              <w:t>167</w:t>
            </w:r>
          </w:p>
        </w:tc>
        <w:tc>
          <w:tcPr>
            <w:tcW w:w="466" w:type="pct"/>
            <w:vMerge w:val="restart"/>
            <w:tcBorders>
              <w:top w:val="single" w:sz="4" w:space="0" w:color="auto"/>
              <w:left w:val="single" w:sz="4" w:space="0" w:color="auto"/>
            </w:tcBorders>
            <w:vAlign w:val="center"/>
          </w:tcPr>
          <w:p w14:paraId="2D71FC0E" w14:textId="3C717266" w:rsidR="00E101A2" w:rsidRPr="00D32158" w:rsidRDefault="00E101A2" w:rsidP="00E101A2">
            <w:pPr>
              <w:widowControl/>
              <w:adjustRightInd w:val="0"/>
              <w:snapToGrid w:val="0"/>
              <w:jc w:val="center"/>
              <w:textAlignment w:val="center"/>
            </w:pPr>
            <w:r>
              <w:rPr>
                <w:rFonts w:ascii="仿宋" w:eastAsia="仿宋" w:hAnsi="仿宋" w:cs="仿宋" w:hint="eastAsia"/>
              </w:rPr>
              <w:t>≤</w:t>
            </w:r>
            <w:r>
              <w:t>450</w:t>
            </w:r>
          </w:p>
        </w:tc>
      </w:tr>
      <w:tr w:rsidR="00E101A2" w:rsidRPr="00D32158" w14:paraId="5B727A0B" w14:textId="77777777" w:rsidTr="00E101A2">
        <w:trPr>
          <w:trHeight w:val="57"/>
          <w:jc w:val="center"/>
        </w:trPr>
        <w:tc>
          <w:tcPr>
            <w:tcW w:w="708" w:type="pct"/>
            <w:vMerge/>
            <w:tcBorders>
              <w:bottom w:val="single" w:sz="4" w:space="0" w:color="auto"/>
              <w:right w:val="single" w:sz="4" w:space="0" w:color="auto"/>
            </w:tcBorders>
            <w:vAlign w:val="center"/>
          </w:tcPr>
          <w:p w14:paraId="3BF276D7" w14:textId="77777777" w:rsidR="00E101A2" w:rsidRPr="00D32158" w:rsidRDefault="00E101A2" w:rsidP="00E101A2">
            <w:pPr>
              <w:widowControl/>
              <w:adjustRightInd w:val="0"/>
              <w:snapToGrid w:val="0"/>
              <w:jc w:val="center"/>
              <w:textAlignment w:val="center"/>
            </w:pPr>
          </w:p>
        </w:tc>
        <w:tc>
          <w:tcPr>
            <w:tcW w:w="586" w:type="pct"/>
            <w:vAlign w:val="center"/>
          </w:tcPr>
          <w:p w14:paraId="1D67A68F" w14:textId="6D1A75C0" w:rsidR="00E101A2" w:rsidRPr="00D32158" w:rsidRDefault="00E101A2" w:rsidP="00E101A2">
            <w:pPr>
              <w:adjustRightInd w:val="0"/>
              <w:snapToGrid w:val="0"/>
              <w:jc w:val="center"/>
            </w:pPr>
            <w:r>
              <w:rPr>
                <w:rFonts w:hint="eastAsia"/>
              </w:rPr>
              <w:t>标准指数</w:t>
            </w:r>
          </w:p>
        </w:tc>
        <w:tc>
          <w:tcPr>
            <w:tcW w:w="478" w:type="pct"/>
            <w:vMerge/>
            <w:tcBorders>
              <w:left w:val="single" w:sz="4" w:space="0" w:color="auto"/>
              <w:bottom w:val="single" w:sz="4" w:space="0" w:color="auto"/>
              <w:right w:val="single" w:sz="4" w:space="0" w:color="auto"/>
              <w:tl2br w:val="nil"/>
              <w:tr2bl w:val="nil"/>
            </w:tcBorders>
            <w:vAlign w:val="center"/>
          </w:tcPr>
          <w:p w14:paraId="5FC5E59A" w14:textId="35190F2B" w:rsidR="00E101A2" w:rsidRPr="00D32158" w:rsidRDefault="00E101A2" w:rsidP="00E101A2">
            <w:pPr>
              <w:adjustRightInd w:val="0"/>
              <w:snapToGrid w:val="0"/>
              <w:jc w:val="center"/>
            </w:pPr>
          </w:p>
        </w:tc>
        <w:tc>
          <w:tcPr>
            <w:tcW w:w="402" w:type="pct"/>
            <w:tcBorders>
              <w:top w:val="single" w:sz="4" w:space="0" w:color="auto"/>
              <w:left w:val="single" w:sz="4" w:space="0" w:color="auto"/>
              <w:bottom w:val="single" w:sz="4" w:space="0" w:color="auto"/>
              <w:right w:val="single" w:sz="4" w:space="0" w:color="auto"/>
            </w:tcBorders>
            <w:vAlign w:val="center"/>
          </w:tcPr>
          <w:p w14:paraId="46063A6F" w14:textId="61BF2894" w:rsidR="00E101A2" w:rsidRPr="00D32158" w:rsidRDefault="00E101A2" w:rsidP="00E101A2">
            <w:pPr>
              <w:widowControl/>
              <w:adjustRightInd w:val="0"/>
              <w:snapToGrid w:val="0"/>
              <w:jc w:val="center"/>
              <w:textAlignment w:val="center"/>
              <w:rPr>
                <w:color w:val="000000"/>
                <w:sz w:val="22"/>
                <w:szCs w:val="22"/>
              </w:rPr>
            </w:pPr>
            <w:r>
              <w:rPr>
                <w:color w:val="000000"/>
                <w:sz w:val="22"/>
                <w:szCs w:val="22"/>
              </w:rPr>
              <w:t xml:space="preserve">0.41 </w:t>
            </w:r>
          </w:p>
        </w:tc>
        <w:tc>
          <w:tcPr>
            <w:tcW w:w="402" w:type="pct"/>
            <w:tcBorders>
              <w:top w:val="single" w:sz="4" w:space="0" w:color="auto"/>
              <w:left w:val="single" w:sz="4" w:space="0" w:color="auto"/>
              <w:bottom w:val="single" w:sz="4" w:space="0" w:color="auto"/>
              <w:right w:val="single" w:sz="4" w:space="0" w:color="auto"/>
            </w:tcBorders>
            <w:vAlign w:val="center"/>
          </w:tcPr>
          <w:p w14:paraId="77FC86F8" w14:textId="7D84B105" w:rsidR="00E101A2" w:rsidRPr="00D32158" w:rsidRDefault="00E101A2" w:rsidP="00E101A2">
            <w:pPr>
              <w:widowControl/>
              <w:adjustRightInd w:val="0"/>
              <w:snapToGrid w:val="0"/>
              <w:jc w:val="center"/>
              <w:textAlignment w:val="center"/>
              <w:rPr>
                <w:color w:val="000000"/>
                <w:sz w:val="22"/>
                <w:szCs w:val="22"/>
              </w:rPr>
            </w:pPr>
            <w:r>
              <w:rPr>
                <w:color w:val="000000"/>
                <w:sz w:val="22"/>
                <w:szCs w:val="22"/>
              </w:rPr>
              <w:t xml:space="preserve">0.55 </w:t>
            </w:r>
          </w:p>
        </w:tc>
        <w:tc>
          <w:tcPr>
            <w:tcW w:w="402" w:type="pct"/>
            <w:tcBorders>
              <w:top w:val="single" w:sz="4" w:space="0" w:color="auto"/>
              <w:left w:val="single" w:sz="4" w:space="0" w:color="auto"/>
              <w:bottom w:val="single" w:sz="4" w:space="0" w:color="auto"/>
              <w:right w:val="single" w:sz="4" w:space="0" w:color="auto"/>
            </w:tcBorders>
            <w:vAlign w:val="center"/>
          </w:tcPr>
          <w:p w14:paraId="2DD2BF59" w14:textId="6688054D" w:rsidR="00E101A2" w:rsidRPr="00D32158" w:rsidRDefault="00E101A2" w:rsidP="00E101A2">
            <w:pPr>
              <w:widowControl/>
              <w:adjustRightInd w:val="0"/>
              <w:snapToGrid w:val="0"/>
              <w:jc w:val="center"/>
              <w:textAlignment w:val="center"/>
              <w:rPr>
                <w:color w:val="000000"/>
                <w:sz w:val="22"/>
                <w:szCs w:val="22"/>
              </w:rPr>
            </w:pPr>
            <w:r>
              <w:rPr>
                <w:color w:val="000000"/>
                <w:sz w:val="22"/>
                <w:szCs w:val="22"/>
              </w:rPr>
              <w:t xml:space="preserve">0.51 </w:t>
            </w:r>
          </w:p>
        </w:tc>
        <w:tc>
          <w:tcPr>
            <w:tcW w:w="407" w:type="pct"/>
            <w:tcBorders>
              <w:top w:val="single" w:sz="4" w:space="0" w:color="auto"/>
              <w:left w:val="single" w:sz="4" w:space="0" w:color="auto"/>
              <w:bottom w:val="single" w:sz="4" w:space="0" w:color="auto"/>
              <w:right w:val="single" w:sz="4" w:space="0" w:color="auto"/>
            </w:tcBorders>
            <w:vAlign w:val="center"/>
          </w:tcPr>
          <w:p w14:paraId="09037880" w14:textId="0B4037D0" w:rsidR="00E101A2" w:rsidRDefault="00E101A2" w:rsidP="00E101A2">
            <w:pPr>
              <w:widowControl/>
              <w:adjustRightInd w:val="0"/>
              <w:snapToGrid w:val="0"/>
              <w:jc w:val="center"/>
              <w:textAlignment w:val="center"/>
              <w:rPr>
                <w:rFonts w:eastAsia="仿宋"/>
              </w:rPr>
            </w:pPr>
            <w:r>
              <w:rPr>
                <w:color w:val="000000"/>
                <w:sz w:val="22"/>
                <w:szCs w:val="22"/>
              </w:rPr>
              <w:t xml:space="preserve">0.40 </w:t>
            </w:r>
          </w:p>
        </w:tc>
        <w:tc>
          <w:tcPr>
            <w:tcW w:w="387" w:type="pct"/>
            <w:tcBorders>
              <w:top w:val="single" w:sz="4" w:space="0" w:color="auto"/>
              <w:left w:val="single" w:sz="4" w:space="0" w:color="auto"/>
              <w:bottom w:val="single" w:sz="4" w:space="0" w:color="auto"/>
              <w:right w:val="single" w:sz="4" w:space="0" w:color="auto"/>
            </w:tcBorders>
            <w:vAlign w:val="center"/>
          </w:tcPr>
          <w:p w14:paraId="65327EB2" w14:textId="39A9DC10" w:rsidR="00E101A2" w:rsidRDefault="00E101A2" w:rsidP="00E101A2">
            <w:pPr>
              <w:widowControl/>
              <w:adjustRightInd w:val="0"/>
              <w:snapToGrid w:val="0"/>
              <w:jc w:val="center"/>
              <w:textAlignment w:val="center"/>
              <w:rPr>
                <w:rFonts w:eastAsia="仿宋"/>
              </w:rPr>
            </w:pPr>
            <w:r>
              <w:rPr>
                <w:color w:val="000000"/>
                <w:sz w:val="22"/>
                <w:szCs w:val="22"/>
              </w:rPr>
              <w:t xml:space="preserve">0.38 </w:t>
            </w:r>
          </w:p>
        </w:tc>
        <w:tc>
          <w:tcPr>
            <w:tcW w:w="395" w:type="pct"/>
            <w:tcBorders>
              <w:top w:val="single" w:sz="4" w:space="0" w:color="auto"/>
              <w:left w:val="single" w:sz="4" w:space="0" w:color="auto"/>
              <w:bottom w:val="single" w:sz="4" w:space="0" w:color="auto"/>
              <w:right w:val="single" w:sz="4" w:space="0" w:color="auto"/>
            </w:tcBorders>
            <w:vAlign w:val="center"/>
          </w:tcPr>
          <w:p w14:paraId="5D335558" w14:textId="446C1FD0" w:rsidR="00E101A2" w:rsidRDefault="00E101A2" w:rsidP="00E101A2">
            <w:pPr>
              <w:widowControl/>
              <w:adjustRightInd w:val="0"/>
              <w:snapToGrid w:val="0"/>
              <w:jc w:val="center"/>
              <w:textAlignment w:val="center"/>
              <w:rPr>
                <w:rFonts w:eastAsia="仿宋"/>
              </w:rPr>
            </w:pPr>
            <w:r>
              <w:rPr>
                <w:color w:val="000000"/>
                <w:sz w:val="22"/>
                <w:szCs w:val="22"/>
              </w:rPr>
              <w:t xml:space="preserve">0.42 </w:t>
            </w:r>
          </w:p>
        </w:tc>
        <w:tc>
          <w:tcPr>
            <w:tcW w:w="367" w:type="pct"/>
            <w:tcBorders>
              <w:top w:val="single" w:sz="4" w:space="0" w:color="auto"/>
              <w:left w:val="single" w:sz="4" w:space="0" w:color="auto"/>
              <w:bottom w:val="single" w:sz="4" w:space="0" w:color="auto"/>
              <w:right w:val="single" w:sz="4" w:space="0" w:color="auto"/>
            </w:tcBorders>
            <w:vAlign w:val="center"/>
          </w:tcPr>
          <w:p w14:paraId="155DF347" w14:textId="030D4BC7" w:rsidR="00E101A2" w:rsidRDefault="00E101A2" w:rsidP="00E101A2">
            <w:pPr>
              <w:widowControl/>
              <w:adjustRightInd w:val="0"/>
              <w:snapToGrid w:val="0"/>
              <w:jc w:val="center"/>
              <w:textAlignment w:val="center"/>
              <w:rPr>
                <w:rFonts w:eastAsia="仿宋"/>
              </w:rPr>
            </w:pPr>
            <w:r>
              <w:rPr>
                <w:color w:val="000000"/>
                <w:sz w:val="22"/>
                <w:szCs w:val="22"/>
              </w:rPr>
              <w:t xml:space="preserve">0.37 </w:t>
            </w:r>
          </w:p>
        </w:tc>
        <w:tc>
          <w:tcPr>
            <w:tcW w:w="466" w:type="pct"/>
            <w:vMerge/>
            <w:tcBorders>
              <w:left w:val="single" w:sz="4" w:space="0" w:color="auto"/>
              <w:bottom w:val="single" w:sz="4" w:space="0" w:color="auto"/>
            </w:tcBorders>
            <w:vAlign w:val="center"/>
          </w:tcPr>
          <w:p w14:paraId="504AAA42" w14:textId="77777777" w:rsidR="00E101A2" w:rsidRDefault="00E101A2" w:rsidP="00E101A2">
            <w:pPr>
              <w:widowControl/>
              <w:adjustRightInd w:val="0"/>
              <w:snapToGrid w:val="0"/>
              <w:jc w:val="center"/>
              <w:textAlignment w:val="center"/>
              <w:rPr>
                <w:rFonts w:ascii="仿宋" w:eastAsia="仿宋" w:hAnsi="仿宋" w:cs="仿宋" w:hint="eastAsia"/>
              </w:rPr>
            </w:pPr>
          </w:p>
        </w:tc>
      </w:tr>
      <w:tr w:rsidR="00E101A2" w:rsidRPr="00D32158" w14:paraId="0660A5D3" w14:textId="77777777" w:rsidTr="00E101A2">
        <w:trPr>
          <w:trHeight w:val="57"/>
          <w:jc w:val="center"/>
        </w:trPr>
        <w:tc>
          <w:tcPr>
            <w:tcW w:w="708" w:type="pct"/>
            <w:vMerge w:val="restart"/>
            <w:tcBorders>
              <w:top w:val="single" w:sz="4" w:space="0" w:color="auto"/>
              <w:right w:val="single" w:sz="4" w:space="0" w:color="auto"/>
            </w:tcBorders>
            <w:vAlign w:val="center"/>
          </w:tcPr>
          <w:p w14:paraId="4718A8CD" w14:textId="2F213881" w:rsidR="00E101A2" w:rsidRPr="00D32158" w:rsidRDefault="00E101A2" w:rsidP="00E101A2">
            <w:pPr>
              <w:widowControl/>
              <w:adjustRightInd w:val="0"/>
              <w:snapToGrid w:val="0"/>
              <w:jc w:val="center"/>
              <w:textAlignment w:val="center"/>
            </w:pPr>
            <w:r w:rsidRPr="00D32158">
              <w:t>氨氮</w:t>
            </w:r>
          </w:p>
        </w:tc>
        <w:tc>
          <w:tcPr>
            <w:tcW w:w="586" w:type="pct"/>
            <w:vAlign w:val="center"/>
          </w:tcPr>
          <w:p w14:paraId="02324268" w14:textId="2B2437E5" w:rsidR="00E101A2" w:rsidRPr="00D32158" w:rsidRDefault="00E101A2" w:rsidP="00E101A2">
            <w:pPr>
              <w:adjustRightInd w:val="0"/>
              <w:snapToGrid w:val="0"/>
              <w:jc w:val="center"/>
            </w:pPr>
            <w:r>
              <w:rPr>
                <w:rFonts w:hint="eastAsia"/>
              </w:rPr>
              <w:t>监测值</w:t>
            </w:r>
          </w:p>
        </w:tc>
        <w:tc>
          <w:tcPr>
            <w:tcW w:w="478" w:type="pct"/>
            <w:vMerge w:val="restart"/>
            <w:tcBorders>
              <w:top w:val="single" w:sz="4" w:space="0" w:color="auto"/>
              <w:left w:val="single" w:sz="4" w:space="0" w:color="auto"/>
              <w:right w:val="single" w:sz="4" w:space="0" w:color="auto"/>
              <w:tl2br w:val="nil"/>
              <w:tr2bl w:val="nil"/>
            </w:tcBorders>
            <w:vAlign w:val="center"/>
          </w:tcPr>
          <w:p w14:paraId="1810ADDF" w14:textId="2C6D8FCC" w:rsidR="00E101A2" w:rsidRPr="00D32158" w:rsidRDefault="00E101A2" w:rsidP="00E101A2">
            <w:pPr>
              <w:adjustRightInd w:val="0"/>
              <w:snapToGrid w:val="0"/>
              <w:jc w:val="center"/>
            </w:pPr>
            <w:r w:rsidRPr="00D32158">
              <w:t>mg/L</w:t>
            </w:r>
          </w:p>
        </w:tc>
        <w:tc>
          <w:tcPr>
            <w:tcW w:w="402" w:type="pct"/>
            <w:tcBorders>
              <w:top w:val="single" w:sz="4" w:space="0" w:color="auto"/>
              <w:left w:val="single" w:sz="4" w:space="0" w:color="auto"/>
              <w:bottom w:val="single" w:sz="4" w:space="0" w:color="auto"/>
              <w:right w:val="single" w:sz="4" w:space="0" w:color="auto"/>
            </w:tcBorders>
            <w:vAlign w:val="center"/>
          </w:tcPr>
          <w:p w14:paraId="1C44BB27" w14:textId="73F00DD3" w:rsidR="00E101A2" w:rsidRPr="00D32158" w:rsidRDefault="00E101A2" w:rsidP="00E101A2">
            <w:pPr>
              <w:widowControl/>
              <w:adjustRightInd w:val="0"/>
              <w:snapToGrid w:val="0"/>
              <w:jc w:val="center"/>
              <w:textAlignment w:val="center"/>
            </w:pPr>
            <w:r>
              <w:rPr>
                <w:color w:val="000000"/>
                <w:sz w:val="22"/>
                <w:szCs w:val="22"/>
              </w:rPr>
              <w:t>0.306</w:t>
            </w:r>
          </w:p>
        </w:tc>
        <w:tc>
          <w:tcPr>
            <w:tcW w:w="402" w:type="pct"/>
            <w:tcBorders>
              <w:top w:val="single" w:sz="4" w:space="0" w:color="auto"/>
              <w:left w:val="single" w:sz="4" w:space="0" w:color="auto"/>
              <w:bottom w:val="single" w:sz="4" w:space="0" w:color="auto"/>
              <w:right w:val="single" w:sz="4" w:space="0" w:color="auto"/>
            </w:tcBorders>
            <w:vAlign w:val="center"/>
          </w:tcPr>
          <w:p w14:paraId="13CC8416" w14:textId="0C662FB1" w:rsidR="00E101A2" w:rsidRPr="00D32158" w:rsidRDefault="00E101A2" w:rsidP="00E101A2">
            <w:pPr>
              <w:widowControl/>
              <w:adjustRightInd w:val="0"/>
              <w:snapToGrid w:val="0"/>
              <w:jc w:val="center"/>
              <w:textAlignment w:val="center"/>
            </w:pPr>
            <w:r>
              <w:rPr>
                <w:color w:val="000000"/>
                <w:sz w:val="22"/>
                <w:szCs w:val="22"/>
              </w:rPr>
              <w:t>0.312</w:t>
            </w:r>
          </w:p>
        </w:tc>
        <w:tc>
          <w:tcPr>
            <w:tcW w:w="402" w:type="pct"/>
            <w:tcBorders>
              <w:top w:val="single" w:sz="4" w:space="0" w:color="auto"/>
              <w:left w:val="single" w:sz="4" w:space="0" w:color="auto"/>
              <w:bottom w:val="single" w:sz="4" w:space="0" w:color="auto"/>
              <w:right w:val="single" w:sz="4" w:space="0" w:color="auto"/>
            </w:tcBorders>
            <w:vAlign w:val="center"/>
          </w:tcPr>
          <w:p w14:paraId="27F40D52" w14:textId="0B9FBF82" w:rsidR="00E101A2" w:rsidRPr="00D32158" w:rsidRDefault="00E101A2" w:rsidP="00E101A2">
            <w:pPr>
              <w:widowControl/>
              <w:adjustRightInd w:val="0"/>
              <w:snapToGrid w:val="0"/>
              <w:jc w:val="center"/>
              <w:textAlignment w:val="center"/>
            </w:pPr>
            <w:r>
              <w:rPr>
                <w:color w:val="000000"/>
                <w:sz w:val="22"/>
                <w:szCs w:val="22"/>
              </w:rPr>
              <w:t>0.322</w:t>
            </w:r>
          </w:p>
        </w:tc>
        <w:tc>
          <w:tcPr>
            <w:tcW w:w="407" w:type="pct"/>
            <w:tcBorders>
              <w:top w:val="single" w:sz="4" w:space="0" w:color="auto"/>
              <w:left w:val="single" w:sz="4" w:space="0" w:color="auto"/>
              <w:bottom w:val="single" w:sz="4" w:space="0" w:color="auto"/>
              <w:right w:val="single" w:sz="4" w:space="0" w:color="auto"/>
            </w:tcBorders>
            <w:vAlign w:val="center"/>
          </w:tcPr>
          <w:p w14:paraId="58AFC7A6" w14:textId="4E41D661" w:rsidR="00E101A2" w:rsidRPr="00D32158" w:rsidRDefault="00E101A2" w:rsidP="00E101A2">
            <w:pPr>
              <w:widowControl/>
              <w:adjustRightInd w:val="0"/>
              <w:snapToGrid w:val="0"/>
              <w:jc w:val="center"/>
              <w:textAlignment w:val="center"/>
            </w:pPr>
            <w:r>
              <w:rPr>
                <w:color w:val="000000"/>
              </w:rPr>
              <w:t>0.288</w:t>
            </w:r>
          </w:p>
        </w:tc>
        <w:tc>
          <w:tcPr>
            <w:tcW w:w="387" w:type="pct"/>
            <w:tcBorders>
              <w:top w:val="single" w:sz="4" w:space="0" w:color="auto"/>
              <w:left w:val="single" w:sz="4" w:space="0" w:color="auto"/>
              <w:bottom w:val="single" w:sz="4" w:space="0" w:color="auto"/>
              <w:right w:val="single" w:sz="4" w:space="0" w:color="auto"/>
            </w:tcBorders>
            <w:vAlign w:val="center"/>
          </w:tcPr>
          <w:p w14:paraId="6A8B025E" w14:textId="3ECAC6C1" w:rsidR="00E101A2" w:rsidRPr="00D32158" w:rsidRDefault="00E101A2" w:rsidP="00E101A2">
            <w:pPr>
              <w:widowControl/>
              <w:adjustRightInd w:val="0"/>
              <w:snapToGrid w:val="0"/>
              <w:jc w:val="center"/>
              <w:textAlignment w:val="center"/>
            </w:pPr>
            <w:r>
              <w:rPr>
                <w:color w:val="000000"/>
              </w:rPr>
              <w:t>0.28</w:t>
            </w:r>
          </w:p>
        </w:tc>
        <w:tc>
          <w:tcPr>
            <w:tcW w:w="395" w:type="pct"/>
            <w:tcBorders>
              <w:top w:val="single" w:sz="4" w:space="0" w:color="auto"/>
              <w:left w:val="single" w:sz="4" w:space="0" w:color="auto"/>
              <w:bottom w:val="single" w:sz="4" w:space="0" w:color="auto"/>
              <w:right w:val="single" w:sz="4" w:space="0" w:color="auto"/>
            </w:tcBorders>
            <w:vAlign w:val="center"/>
          </w:tcPr>
          <w:p w14:paraId="5F4AD416" w14:textId="64C66E6D" w:rsidR="00E101A2" w:rsidRPr="00D32158" w:rsidRDefault="00E101A2" w:rsidP="00E101A2">
            <w:pPr>
              <w:widowControl/>
              <w:adjustRightInd w:val="0"/>
              <w:snapToGrid w:val="0"/>
              <w:jc w:val="center"/>
              <w:textAlignment w:val="center"/>
              <w:rPr>
                <w:color w:val="000000"/>
                <w:kern w:val="0"/>
                <w:lang w:bidi="ar"/>
              </w:rPr>
            </w:pPr>
            <w:r>
              <w:rPr>
                <w:color w:val="000000"/>
              </w:rPr>
              <w:t>0.272</w:t>
            </w:r>
          </w:p>
        </w:tc>
        <w:tc>
          <w:tcPr>
            <w:tcW w:w="367" w:type="pct"/>
            <w:tcBorders>
              <w:top w:val="single" w:sz="4" w:space="0" w:color="auto"/>
              <w:left w:val="single" w:sz="4" w:space="0" w:color="auto"/>
              <w:bottom w:val="single" w:sz="4" w:space="0" w:color="auto"/>
              <w:right w:val="single" w:sz="4" w:space="0" w:color="auto"/>
            </w:tcBorders>
            <w:vAlign w:val="center"/>
          </w:tcPr>
          <w:p w14:paraId="71E6D2E5" w14:textId="7F68752B" w:rsidR="00E101A2" w:rsidRPr="00D32158" w:rsidRDefault="00E101A2" w:rsidP="00E101A2">
            <w:pPr>
              <w:widowControl/>
              <w:adjustRightInd w:val="0"/>
              <w:snapToGrid w:val="0"/>
              <w:jc w:val="center"/>
              <w:textAlignment w:val="center"/>
              <w:rPr>
                <w:color w:val="000000"/>
                <w:kern w:val="0"/>
              </w:rPr>
            </w:pPr>
            <w:r>
              <w:rPr>
                <w:color w:val="000000"/>
              </w:rPr>
              <w:t>0.296</w:t>
            </w:r>
          </w:p>
        </w:tc>
        <w:tc>
          <w:tcPr>
            <w:tcW w:w="466" w:type="pct"/>
            <w:vMerge w:val="restart"/>
            <w:tcBorders>
              <w:top w:val="single" w:sz="4" w:space="0" w:color="auto"/>
              <w:left w:val="single" w:sz="4" w:space="0" w:color="auto"/>
            </w:tcBorders>
            <w:vAlign w:val="center"/>
          </w:tcPr>
          <w:p w14:paraId="3F3599F8" w14:textId="67B84774" w:rsidR="00E101A2" w:rsidRPr="00D32158" w:rsidRDefault="00E101A2" w:rsidP="00E101A2">
            <w:pPr>
              <w:widowControl/>
              <w:adjustRightInd w:val="0"/>
              <w:snapToGrid w:val="0"/>
              <w:jc w:val="center"/>
              <w:textAlignment w:val="center"/>
            </w:pPr>
            <w:r>
              <w:rPr>
                <w:rFonts w:ascii="仿宋" w:eastAsia="仿宋" w:hAnsi="仿宋" w:cs="仿宋" w:hint="eastAsia"/>
              </w:rPr>
              <w:t>≤</w:t>
            </w:r>
            <w:r>
              <w:t>0.50</w:t>
            </w:r>
          </w:p>
        </w:tc>
      </w:tr>
      <w:tr w:rsidR="00E101A2" w:rsidRPr="00D32158" w14:paraId="24F887AB" w14:textId="77777777" w:rsidTr="00E101A2">
        <w:trPr>
          <w:trHeight w:val="57"/>
          <w:jc w:val="center"/>
        </w:trPr>
        <w:tc>
          <w:tcPr>
            <w:tcW w:w="708" w:type="pct"/>
            <w:vMerge/>
            <w:tcBorders>
              <w:bottom w:val="single" w:sz="4" w:space="0" w:color="auto"/>
              <w:right w:val="single" w:sz="4" w:space="0" w:color="auto"/>
            </w:tcBorders>
            <w:vAlign w:val="center"/>
          </w:tcPr>
          <w:p w14:paraId="11FE6323" w14:textId="77777777" w:rsidR="00E101A2" w:rsidRPr="00D32158" w:rsidRDefault="00E101A2" w:rsidP="00E101A2">
            <w:pPr>
              <w:widowControl/>
              <w:adjustRightInd w:val="0"/>
              <w:snapToGrid w:val="0"/>
              <w:jc w:val="center"/>
              <w:textAlignment w:val="center"/>
            </w:pPr>
          </w:p>
        </w:tc>
        <w:tc>
          <w:tcPr>
            <w:tcW w:w="586" w:type="pct"/>
            <w:vAlign w:val="center"/>
          </w:tcPr>
          <w:p w14:paraId="36FBE854" w14:textId="27810A75" w:rsidR="00E101A2" w:rsidRPr="00D32158" w:rsidRDefault="00E101A2" w:rsidP="00E101A2">
            <w:pPr>
              <w:adjustRightInd w:val="0"/>
              <w:snapToGrid w:val="0"/>
              <w:jc w:val="center"/>
            </w:pPr>
            <w:r>
              <w:rPr>
                <w:rFonts w:hint="eastAsia"/>
              </w:rPr>
              <w:t>标准指数</w:t>
            </w:r>
          </w:p>
        </w:tc>
        <w:tc>
          <w:tcPr>
            <w:tcW w:w="478" w:type="pct"/>
            <w:vMerge/>
            <w:tcBorders>
              <w:left w:val="single" w:sz="4" w:space="0" w:color="auto"/>
              <w:bottom w:val="single" w:sz="4" w:space="0" w:color="auto"/>
              <w:right w:val="single" w:sz="4" w:space="0" w:color="auto"/>
              <w:tl2br w:val="nil"/>
              <w:tr2bl w:val="nil"/>
            </w:tcBorders>
            <w:vAlign w:val="center"/>
          </w:tcPr>
          <w:p w14:paraId="672DFE51" w14:textId="5D2A3339" w:rsidR="00E101A2" w:rsidRPr="00D32158" w:rsidRDefault="00E101A2" w:rsidP="00E101A2">
            <w:pPr>
              <w:adjustRightInd w:val="0"/>
              <w:snapToGrid w:val="0"/>
              <w:jc w:val="center"/>
            </w:pPr>
          </w:p>
        </w:tc>
        <w:tc>
          <w:tcPr>
            <w:tcW w:w="402" w:type="pct"/>
            <w:tcBorders>
              <w:top w:val="single" w:sz="4" w:space="0" w:color="auto"/>
              <w:left w:val="single" w:sz="4" w:space="0" w:color="auto"/>
              <w:bottom w:val="single" w:sz="4" w:space="0" w:color="auto"/>
              <w:right w:val="single" w:sz="4" w:space="0" w:color="auto"/>
            </w:tcBorders>
            <w:vAlign w:val="center"/>
          </w:tcPr>
          <w:p w14:paraId="6A826A00" w14:textId="7DE5C78F" w:rsidR="00E101A2" w:rsidRPr="00D32158" w:rsidRDefault="00E101A2" w:rsidP="00E101A2">
            <w:pPr>
              <w:widowControl/>
              <w:adjustRightInd w:val="0"/>
              <w:snapToGrid w:val="0"/>
              <w:jc w:val="center"/>
              <w:textAlignment w:val="center"/>
              <w:rPr>
                <w:color w:val="000000"/>
                <w:sz w:val="22"/>
                <w:szCs w:val="22"/>
              </w:rPr>
            </w:pPr>
            <w:r>
              <w:rPr>
                <w:color w:val="000000"/>
                <w:sz w:val="22"/>
                <w:szCs w:val="22"/>
              </w:rPr>
              <w:t>0.612</w:t>
            </w:r>
          </w:p>
        </w:tc>
        <w:tc>
          <w:tcPr>
            <w:tcW w:w="402" w:type="pct"/>
            <w:tcBorders>
              <w:top w:val="single" w:sz="4" w:space="0" w:color="auto"/>
              <w:left w:val="single" w:sz="4" w:space="0" w:color="auto"/>
              <w:bottom w:val="single" w:sz="4" w:space="0" w:color="auto"/>
              <w:right w:val="single" w:sz="4" w:space="0" w:color="auto"/>
            </w:tcBorders>
            <w:vAlign w:val="center"/>
          </w:tcPr>
          <w:p w14:paraId="28297684" w14:textId="7325A358" w:rsidR="00E101A2" w:rsidRPr="00D32158" w:rsidRDefault="00E101A2" w:rsidP="00E101A2">
            <w:pPr>
              <w:widowControl/>
              <w:adjustRightInd w:val="0"/>
              <w:snapToGrid w:val="0"/>
              <w:jc w:val="center"/>
              <w:textAlignment w:val="center"/>
              <w:rPr>
                <w:color w:val="000000"/>
                <w:sz w:val="22"/>
                <w:szCs w:val="22"/>
              </w:rPr>
            </w:pPr>
            <w:r>
              <w:rPr>
                <w:color w:val="000000"/>
                <w:sz w:val="22"/>
                <w:szCs w:val="22"/>
              </w:rPr>
              <w:t>0.624</w:t>
            </w:r>
          </w:p>
        </w:tc>
        <w:tc>
          <w:tcPr>
            <w:tcW w:w="402" w:type="pct"/>
            <w:tcBorders>
              <w:top w:val="single" w:sz="4" w:space="0" w:color="auto"/>
              <w:left w:val="single" w:sz="4" w:space="0" w:color="auto"/>
              <w:bottom w:val="single" w:sz="4" w:space="0" w:color="auto"/>
              <w:right w:val="single" w:sz="4" w:space="0" w:color="auto"/>
            </w:tcBorders>
            <w:vAlign w:val="center"/>
          </w:tcPr>
          <w:p w14:paraId="59B46ABC" w14:textId="05F8647A" w:rsidR="00E101A2" w:rsidRPr="00D32158" w:rsidRDefault="00E101A2" w:rsidP="00E101A2">
            <w:pPr>
              <w:widowControl/>
              <w:adjustRightInd w:val="0"/>
              <w:snapToGrid w:val="0"/>
              <w:jc w:val="center"/>
              <w:textAlignment w:val="center"/>
              <w:rPr>
                <w:color w:val="000000"/>
                <w:sz w:val="22"/>
                <w:szCs w:val="22"/>
              </w:rPr>
            </w:pPr>
            <w:r>
              <w:rPr>
                <w:color w:val="000000"/>
                <w:sz w:val="22"/>
                <w:szCs w:val="22"/>
              </w:rPr>
              <w:t>0.644</w:t>
            </w:r>
          </w:p>
        </w:tc>
        <w:tc>
          <w:tcPr>
            <w:tcW w:w="407" w:type="pct"/>
            <w:tcBorders>
              <w:top w:val="single" w:sz="4" w:space="0" w:color="auto"/>
              <w:left w:val="single" w:sz="4" w:space="0" w:color="auto"/>
              <w:bottom w:val="single" w:sz="4" w:space="0" w:color="auto"/>
              <w:right w:val="single" w:sz="4" w:space="0" w:color="auto"/>
            </w:tcBorders>
            <w:vAlign w:val="center"/>
          </w:tcPr>
          <w:p w14:paraId="796FA4C1" w14:textId="25335964" w:rsidR="00E101A2" w:rsidRDefault="00E101A2" w:rsidP="00E101A2">
            <w:pPr>
              <w:widowControl/>
              <w:adjustRightInd w:val="0"/>
              <w:snapToGrid w:val="0"/>
              <w:jc w:val="center"/>
              <w:textAlignment w:val="center"/>
              <w:rPr>
                <w:rFonts w:eastAsia="仿宋"/>
              </w:rPr>
            </w:pPr>
            <w:r>
              <w:rPr>
                <w:color w:val="000000"/>
                <w:sz w:val="22"/>
                <w:szCs w:val="22"/>
              </w:rPr>
              <w:t>0.576</w:t>
            </w:r>
          </w:p>
        </w:tc>
        <w:tc>
          <w:tcPr>
            <w:tcW w:w="387" w:type="pct"/>
            <w:tcBorders>
              <w:top w:val="single" w:sz="4" w:space="0" w:color="auto"/>
              <w:left w:val="single" w:sz="4" w:space="0" w:color="auto"/>
              <w:bottom w:val="single" w:sz="4" w:space="0" w:color="auto"/>
              <w:right w:val="single" w:sz="4" w:space="0" w:color="auto"/>
            </w:tcBorders>
            <w:vAlign w:val="center"/>
          </w:tcPr>
          <w:p w14:paraId="4B1086FC" w14:textId="3DF9063A" w:rsidR="00E101A2" w:rsidRDefault="00E101A2" w:rsidP="00E101A2">
            <w:pPr>
              <w:widowControl/>
              <w:adjustRightInd w:val="0"/>
              <w:snapToGrid w:val="0"/>
              <w:jc w:val="center"/>
              <w:textAlignment w:val="center"/>
              <w:rPr>
                <w:rFonts w:eastAsia="仿宋"/>
              </w:rPr>
            </w:pPr>
            <w:r>
              <w:rPr>
                <w:color w:val="000000"/>
                <w:sz w:val="22"/>
                <w:szCs w:val="22"/>
              </w:rPr>
              <w:t>0.56</w:t>
            </w:r>
          </w:p>
        </w:tc>
        <w:tc>
          <w:tcPr>
            <w:tcW w:w="395" w:type="pct"/>
            <w:tcBorders>
              <w:top w:val="single" w:sz="4" w:space="0" w:color="auto"/>
              <w:left w:val="single" w:sz="4" w:space="0" w:color="auto"/>
              <w:bottom w:val="single" w:sz="4" w:space="0" w:color="auto"/>
              <w:right w:val="single" w:sz="4" w:space="0" w:color="auto"/>
            </w:tcBorders>
            <w:vAlign w:val="center"/>
          </w:tcPr>
          <w:p w14:paraId="54174996" w14:textId="1570C20E" w:rsidR="00E101A2" w:rsidRDefault="00E101A2" w:rsidP="00E101A2">
            <w:pPr>
              <w:widowControl/>
              <w:adjustRightInd w:val="0"/>
              <w:snapToGrid w:val="0"/>
              <w:jc w:val="center"/>
              <w:textAlignment w:val="center"/>
              <w:rPr>
                <w:rFonts w:eastAsia="仿宋"/>
              </w:rPr>
            </w:pPr>
            <w:r>
              <w:rPr>
                <w:color w:val="000000"/>
                <w:sz w:val="22"/>
                <w:szCs w:val="22"/>
              </w:rPr>
              <w:t>0.544</w:t>
            </w:r>
          </w:p>
        </w:tc>
        <w:tc>
          <w:tcPr>
            <w:tcW w:w="367" w:type="pct"/>
            <w:tcBorders>
              <w:top w:val="single" w:sz="4" w:space="0" w:color="auto"/>
              <w:left w:val="single" w:sz="4" w:space="0" w:color="auto"/>
              <w:bottom w:val="single" w:sz="4" w:space="0" w:color="auto"/>
              <w:right w:val="single" w:sz="4" w:space="0" w:color="auto"/>
            </w:tcBorders>
            <w:vAlign w:val="center"/>
          </w:tcPr>
          <w:p w14:paraId="1C6EE9BE" w14:textId="21D1448A" w:rsidR="00E101A2" w:rsidRDefault="00E101A2" w:rsidP="00E101A2">
            <w:pPr>
              <w:widowControl/>
              <w:adjustRightInd w:val="0"/>
              <w:snapToGrid w:val="0"/>
              <w:jc w:val="center"/>
              <w:textAlignment w:val="center"/>
              <w:rPr>
                <w:rFonts w:eastAsia="仿宋"/>
              </w:rPr>
            </w:pPr>
            <w:r>
              <w:rPr>
                <w:color w:val="000000"/>
                <w:sz w:val="22"/>
                <w:szCs w:val="22"/>
              </w:rPr>
              <w:t>0.592</w:t>
            </w:r>
          </w:p>
        </w:tc>
        <w:tc>
          <w:tcPr>
            <w:tcW w:w="466" w:type="pct"/>
            <w:vMerge/>
            <w:tcBorders>
              <w:left w:val="single" w:sz="4" w:space="0" w:color="auto"/>
              <w:bottom w:val="single" w:sz="4" w:space="0" w:color="auto"/>
            </w:tcBorders>
            <w:vAlign w:val="center"/>
          </w:tcPr>
          <w:p w14:paraId="6609E73A" w14:textId="77777777" w:rsidR="00E101A2" w:rsidRDefault="00E101A2" w:rsidP="00E101A2">
            <w:pPr>
              <w:widowControl/>
              <w:adjustRightInd w:val="0"/>
              <w:snapToGrid w:val="0"/>
              <w:jc w:val="center"/>
              <w:textAlignment w:val="center"/>
              <w:rPr>
                <w:rFonts w:ascii="仿宋" w:eastAsia="仿宋" w:hAnsi="仿宋" w:cs="仿宋" w:hint="eastAsia"/>
              </w:rPr>
            </w:pPr>
          </w:p>
        </w:tc>
      </w:tr>
      <w:tr w:rsidR="00E101A2" w:rsidRPr="00D32158" w14:paraId="5D9086ED" w14:textId="77777777" w:rsidTr="00E101A2">
        <w:trPr>
          <w:trHeight w:val="57"/>
          <w:jc w:val="center"/>
        </w:trPr>
        <w:tc>
          <w:tcPr>
            <w:tcW w:w="708" w:type="pct"/>
            <w:vMerge w:val="restart"/>
            <w:tcBorders>
              <w:top w:val="single" w:sz="4" w:space="0" w:color="auto"/>
              <w:right w:val="single" w:sz="4" w:space="0" w:color="auto"/>
            </w:tcBorders>
            <w:vAlign w:val="center"/>
          </w:tcPr>
          <w:p w14:paraId="65175651" w14:textId="288175EC" w:rsidR="00E101A2" w:rsidRPr="00D32158" w:rsidRDefault="00E101A2" w:rsidP="00E101A2">
            <w:pPr>
              <w:widowControl/>
              <w:adjustRightInd w:val="0"/>
              <w:snapToGrid w:val="0"/>
              <w:jc w:val="center"/>
              <w:textAlignment w:val="center"/>
            </w:pPr>
            <w:r w:rsidRPr="00D32158">
              <w:t>氰化物</w:t>
            </w:r>
          </w:p>
        </w:tc>
        <w:tc>
          <w:tcPr>
            <w:tcW w:w="586" w:type="pct"/>
            <w:vAlign w:val="center"/>
          </w:tcPr>
          <w:p w14:paraId="759988CB" w14:textId="1C7B022C" w:rsidR="00E101A2" w:rsidRPr="00D32158" w:rsidRDefault="00E101A2" w:rsidP="00E101A2">
            <w:pPr>
              <w:adjustRightInd w:val="0"/>
              <w:snapToGrid w:val="0"/>
              <w:jc w:val="center"/>
            </w:pPr>
            <w:r>
              <w:rPr>
                <w:rFonts w:hint="eastAsia"/>
              </w:rPr>
              <w:t>监测值</w:t>
            </w:r>
          </w:p>
        </w:tc>
        <w:tc>
          <w:tcPr>
            <w:tcW w:w="478" w:type="pct"/>
            <w:vMerge w:val="restart"/>
            <w:tcBorders>
              <w:top w:val="single" w:sz="4" w:space="0" w:color="auto"/>
              <w:left w:val="single" w:sz="4" w:space="0" w:color="auto"/>
              <w:right w:val="single" w:sz="4" w:space="0" w:color="auto"/>
              <w:tl2br w:val="nil"/>
              <w:tr2bl w:val="nil"/>
            </w:tcBorders>
            <w:vAlign w:val="center"/>
          </w:tcPr>
          <w:p w14:paraId="4B57508B" w14:textId="790CA818" w:rsidR="00E101A2" w:rsidRPr="00D32158" w:rsidRDefault="00E101A2" w:rsidP="00E101A2">
            <w:pPr>
              <w:adjustRightInd w:val="0"/>
              <w:snapToGrid w:val="0"/>
              <w:jc w:val="center"/>
            </w:pPr>
            <w:r w:rsidRPr="00D32158">
              <w:t>mg/L</w:t>
            </w:r>
          </w:p>
        </w:tc>
        <w:tc>
          <w:tcPr>
            <w:tcW w:w="402" w:type="pct"/>
            <w:tcBorders>
              <w:top w:val="single" w:sz="4" w:space="0" w:color="auto"/>
              <w:left w:val="single" w:sz="4" w:space="0" w:color="auto"/>
              <w:bottom w:val="single" w:sz="4" w:space="0" w:color="auto"/>
              <w:right w:val="single" w:sz="4" w:space="0" w:color="auto"/>
            </w:tcBorders>
            <w:vAlign w:val="center"/>
          </w:tcPr>
          <w:p w14:paraId="45ECC236" w14:textId="384018E4" w:rsidR="00E101A2" w:rsidRPr="00D32158" w:rsidRDefault="00E101A2" w:rsidP="00E101A2">
            <w:pPr>
              <w:widowControl/>
              <w:adjustRightInd w:val="0"/>
              <w:snapToGrid w:val="0"/>
              <w:jc w:val="center"/>
              <w:textAlignment w:val="center"/>
            </w:pPr>
            <w:r>
              <w:rPr>
                <w:color w:val="000000"/>
                <w:sz w:val="22"/>
                <w:szCs w:val="22"/>
              </w:rPr>
              <w:t>0.002L</w:t>
            </w:r>
          </w:p>
        </w:tc>
        <w:tc>
          <w:tcPr>
            <w:tcW w:w="402" w:type="pct"/>
            <w:tcBorders>
              <w:top w:val="single" w:sz="4" w:space="0" w:color="auto"/>
              <w:left w:val="single" w:sz="4" w:space="0" w:color="auto"/>
              <w:bottom w:val="single" w:sz="4" w:space="0" w:color="auto"/>
              <w:right w:val="single" w:sz="4" w:space="0" w:color="auto"/>
            </w:tcBorders>
            <w:vAlign w:val="center"/>
          </w:tcPr>
          <w:p w14:paraId="26E37D97" w14:textId="56A1E30A" w:rsidR="00E101A2" w:rsidRPr="00D32158" w:rsidRDefault="00E101A2" w:rsidP="00E101A2">
            <w:pPr>
              <w:widowControl/>
              <w:adjustRightInd w:val="0"/>
              <w:snapToGrid w:val="0"/>
              <w:jc w:val="center"/>
              <w:textAlignment w:val="center"/>
            </w:pPr>
            <w:r>
              <w:rPr>
                <w:color w:val="000000"/>
                <w:sz w:val="22"/>
                <w:szCs w:val="22"/>
              </w:rPr>
              <w:t>0.002L</w:t>
            </w:r>
          </w:p>
        </w:tc>
        <w:tc>
          <w:tcPr>
            <w:tcW w:w="402" w:type="pct"/>
            <w:tcBorders>
              <w:top w:val="single" w:sz="4" w:space="0" w:color="auto"/>
              <w:left w:val="single" w:sz="4" w:space="0" w:color="auto"/>
              <w:bottom w:val="single" w:sz="4" w:space="0" w:color="auto"/>
              <w:right w:val="single" w:sz="4" w:space="0" w:color="auto"/>
            </w:tcBorders>
            <w:vAlign w:val="center"/>
          </w:tcPr>
          <w:p w14:paraId="0055D9E2" w14:textId="76D0488A" w:rsidR="00E101A2" w:rsidRPr="00D32158" w:rsidRDefault="00E101A2" w:rsidP="00E101A2">
            <w:pPr>
              <w:widowControl/>
              <w:adjustRightInd w:val="0"/>
              <w:snapToGrid w:val="0"/>
              <w:jc w:val="center"/>
              <w:textAlignment w:val="center"/>
            </w:pPr>
            <w:r>
              <w:rPr>
                <w:color w:val="000000"/>
                <w:sz w:val="22"/>
                <w:szCs w:val="22"/>
              </w:rPr>
              <w:t>0.002L</w:t>
            </w:r>
          </w:p>
        </w:tc>
        <w:tc>
          <w:tcPr>
            <w:tcW w:w="407" w:type="pct"/>
            <w:tcBorders>
              <w:top w:val="single" w:sz="4" w:space="0" w:color="auto"/>
              <w:left w:val="single" w:sz="4" w:space="0" w:color="auto"/>
              <w:bottom w:val="single" w:sz="4" w:space="0" w:color="auto"/>
              <w:right w:val="single" w:sz="4" w:space="0" w:color="auto"/>
            </w:tcBorders>
            <w:vAlign w:val="center"/>
          </w:tcPr>
          <w:p w14:paraId="78946646" w14:textId="3D41EE55" w:rsidR="00E101A2" w:rsidRPr="00D32158" w:rsidRDefault="00E101A2" w:rsidP="00E101A2">
            <w:pPr>
              <w:widowControl/>
              <w:adjustRightInd w:val="0"/>
              <w:snapToGrid w:val="0"/>
              <w:jc w:val="center"/>
              <w:textAlignment w:val="center"/>
            </w:pPr>
            <w:r>
              <w:rPr>
                <w:color w:val="000000"/>
              </w:rPr>
              <w:t>0.002L</w:t>
            </w:r>
          </w:p>
        </w:tc>
        <w:tc>
          <w:tcPr>
            <w:tcW w:w="387" w:type="pct"/>
            <w:tcBorders>
              <w:top w:val="single" w:sz="4" w:space="0" w:color="auto"/>
              <w:left w:val="single" w:sz="4" w:space="0" w:color="auto"/>
              <w:bottom w:val="single" w:sz="4" w:space="0" w:color="auto"/>
              <w:right w:val="single" w:sz="4" w:space="0" w:color="auto"/>
            </w:tcBorders>
            <w:vAlign w:val="center"/>
          </w:tcPr>
          <w:p w14:paraId="70248DF4" w14:textId="18EF4C79" w:rsidR="00E101A2" w:rsidRPr="00D32158" w:rsidRDefault="00E101A2" w:rsidP="00E101A2">
            <w:pPr>
              <w:widowControl/>
              <w:adjustRightInd w:val="0"/>
              <w:snapToGrid w:val="0"/>
              <w:jc w:val="center"/>
              <w:textAlignment w:val="center"/>
            </w:pPr>
            <w:r>
              <w:rPr>
                <w:color w:val="000000"/>
              </w:rPr>
              <w:t>0.002L</w:t>
            </w:r>
          </w:p>
        </w:tc>
        <w:tc>
          <w:tcPr>
            <w:tcW w:w="395" w:type="pct"/>
            <w:tcBorders>
              <w:top w:val="single" w:sz="4" w:space="0" w:color="auto"/>
              <w:left w:val="single" w:sz="4" w:space="0" w:color="auto"/>
              <w:bottom w:val="single" w:sz="4" w:space="0" w:color="auto"/>
              <w:right w:val="single" w:sz="4" w:space="0" w:color="auto"/>
            </w:tcBorders>
            <w:vAlign w:val="center"/>
          </w:tcPr>
          <w:p w14:paraId="2296924E" w14:textId="7DDECA9F" w:rsidR="00E101A2" w:rsidRPr="00D32158" w:rsidRDefault="00E101A2" w:rsidP="00E101A2">
            <w:pPr>
              <w:widowControl/>
              <w:adjustRightInd w:val="0"/>
              <w:snapToGrid w:val="0"/>
              <w:jc w:val="center"/>
              <w:textAlignment w:val="center"/>
              <w:rPr>
                <w:color w:val="000000"/>
                <w:kern w:val="0"/>
                <w:lang w:bidi="ar"/>
              </w:rPr>
            </w:pPr>
            <w:r>
              <w:rPr>
                <w:color w:val="000000"/>
              </w:rPr>
              <w:t>0.002L</w:t>
            </w:r>
          </w:p>
        </w:tc>
        <w:tc>
          <w:tcPr>
            <w:tcW w:w="367" w:type="pct"/>
            <w:tcBorders>
              <w:top w:val="single" w:sz="4" w:space="0" w:color="auto"/>
              <w:left w:val="single" w:sz="4" w:space="0" w:color="auto"/>
              <w:bottom w:val="single" w:sz="4" w:space="0" w:color="auto"/>
              <w:right w:val="single" w:sz="4" w:space="0" w:color="auto"/>
            </w:tcBorders>
            <w:vAlign w:val="center"/>
          </w:tcPr>
          <w:p w14:paraId="4566C1E7" w14:textId="70865DFE" w:rsidR="00E101A2" w:rsidRPr="00D32158" w:rsidRDefault="00E101A2" w:rsidP="00E101A2">
            <w:pPr>
              <w:widowControl/>
              <w:adjustRightInd w:val="0"/>
              <w:snapToGrid w:val="0"/>
              <w:jc w:val="center"/>
              <w:textAlignment w:val="center"/>
              <w:rPr>
                <w:color w:val="000000"/>
                <w:kern w:val="0"/>
              </w:rPr>
            </w:pPr>
            <w:r>
              <w:rPr>
                <w:color w:val="000000"/>
              </w:rPr>
              <w:t>0.002L</w:t>
            </w:r>
          </w:p>
        </w:tc>
        <w:tc>
          <w:tcPr>
            <w:tcW w:w="466" w:type="pct"/>
            <w:vMerge w:val="restart"/>
            <w:tcBorders>
              <w:top w:val="single" w:sz="4" w:space="0" w:color="auto"/>
              <w:left w:val="single" w:sz="4" w:space="0" w:color="auto"/>
            </w:tcBorders>
            <w:vAlign w:val="center"/>
          </w:tcPr>
          <w:p w14:paraId="122982ED" w14:textId="6A2C98C5" w:rsidR="00E101A2" w:rsidRPr="00D32158" w:rsidRDefault="00E101A2" w:rsidP="00E101A2">
            <w:pPr>
              <w:widowControl/>
              <w:adjustRightInd w:val="0"/>
              <w:snapToGrid w:val="0"/>
              <w:jc w:val="center"/>
              <w:textAlignment w:val="center"/>
            </w:pPr>
            <w:r>
              <w:rPr>
                <w:rFonts w:ascii="仿宋" w:eastAsia="仿宋" w:hAnsi="仿宋" w:cs="仿宋" w:hint="eastAsia"/>
              </w:rPr>
              <w:t>≤</w:t>
            </w:r>
            <w:r>
              <w:t>0.05</w:t>
            </w:r>
          </w:p>
        </w:tc>
      </w:tr>
      <w:tr w:rsidR="00E101A2" w:rsidRPr="00D32158" w14:paraId="0848C2F0" w14:textId="77777777" w:rsidTr="00E101A2">
        <w:trPr>
          <w:trHeight w:val="57"/>
          <w:jc w:val="center"/>
        </w:trPr>
        <w:tc>
          <w:tcPr>
            <w:tcW w:w="708" w:type="pct"/>
            <w:vMerge/>
            <w:tcBorders>
              <w:bottom w:val="single" w:sz="4" w:space="0" w:color="auto"/>
              <w:right w:val="single" w:sz="4" w:space="0" w:color="auto"/>
            </w:tcBorders>
            <w:vAlign w:val="center"/>
          </w:tcPr>
          <w:p w14:paraId="2FA667EE" w14:textId="77777777" w:rsidR="00E101A2" w:rsidRPr="00D32158" w:rsidRDefault="00E101A2" w:rsidP="00E101A2">
            <w:pPr>
              <w:widowControl/>
              <w:adjustRightInd w:val="0"/>
              <w:snapToGrid w:val="0"/>
              <w:jc w:val="center"/>
              <w:textAlignment w:val="center"/>
            </w:pPr>
          </w:p>
        </w:tc>
        <w:tc>
          <w:tcPr>
            <w:tcW w:w="586" w:type="pct"/>
            <w:vAlign w:val="center"/>
          </w:tcPr>
          <w:p w14:paraId="0EC7D153" w14:textId="360F1964" w:rsidR="00E101A2" w:rsidRPr="00D32158" w:rsidRDefault="00E101A2" w:rsidP="00E101A2">
            <w:pPr>
              <w:adjustRightInd w:val="0"/>
              <w:snapToGrid w:val="0"/>
              <w:jc w:val="center"/>
            </w:pPr>
            <w:r>
              <w:rPr>
                <w:rFonts w:hint="eastAsia"/>
              </w:rPr>
              <w:t>标准指数</w:t>
            </w:r>
          </w:p>
        </w:tc>
        <w:tc>
          <w:tcPr>
            <w:tcW w:w="478" w:type="pct"/>
            <w:vMerge/>
            <w:tcBorders>
              <w:left w:val="single" w:sz="4" w:space="0" w:color="auto"/>
              <w:bottom w:val="single" w:sz="4" w:space="0" w:color="auto"/>
              <w:right w:val="single" w:sz="4" w:space="0" w:color="auto"/>
              <w:tl2br w:val="nil"/>
              <w:tr2bl w:val="nil"/>
            </w:tcBorders>
            <w:vAlign w:val="center"/>
          </w:tcPr>
          <w:p w14:paraId="1DEDEFAD" w14:textId="1E21B920" w:rsidR="00E101A2" w:rsidRPr="00D32158" w:rsidRDefault="00E101A2" w:rsidP="00E101A2">
            <w:pPr>
              <w:adjustRightInd w:val="0"/>
              <w:snapToGrid w:val="0"/>
              <w:jc w:val="center"/>
            </w:pPr>
          </w:p>
        </w:tc>
        <w:tc>
          <w:tcPr>
            <w:tcW w:w="402" w:type="pct"/>
            <w:tcBorders>
              <w:top w:val="single" w:sz="4" w:space="0" w:color="auto"/>
              <w:left w:val="single" w:sz="4" w:space="0" w:color="auto"/>
              <w:bottom w:val="single" w:sz="4" w:space="0" w:color="auto"/>
              <w:right w:val="single" w:sz="4" w:space="0" w:color="auto"/>
            </w:tcBorders>
            <w:vAlign w:val="center"/>
          </w:tcPr>
          <w:p w14:paraId="4C108DFF" w14:textId="7DDCFB12" w:rsidR="00E101A2" w:rsidRPr="00D32158" w:rsidRDefault="00E101A2" w:rsidP="00E101A2">
            <w:pPr>
              <w:widowControl/>
              <w:adjustRightInd w:val="0"/>
              <w:snapToGrid w:val="0"/>
              <w:jc w:val="center"/>
              <w:textAlignment w:val="center"/>
              <w:rPr>
                <w:color w:val="000000"/>
                <w:sz w:val="22"/>
                <w:szCs w:val="22"/>
              </w:rPr>
            </w:pPr>
            <w:r>
              <w:rPr>
                <w:rFonts w:eastAsia="仿宋" w:hint="eastAsia"/>
              </w:rPr>
              <w:t>/</w:t>
            </w:r>
          </w:p>
        </w:tc>
        <w:tc>
          <w:tcPr>
            <w:tcW w:w="402" w:type="pct"/>
            <w:tcBorders>
              <w:top w:val="single" w:sz="4" w:space="0" w:color="auto"/>
              <w:left w:val="single" w:sz="4" w:space="0" w:color="auto"/>
              <w:bottom w:val="single" w:sz="4" w:space="0" w:color="auto"/>
              <w:right w:val="single" w:sz="4" w:space="0" w:color="auto"/>
            </w:tcBorders>
          </w:tcPr>
          <w:p w14:paraId="32245AC9" w14:textId="02245BAC" w:rsidR="00E101A2" w:rsidRPr="00D32158" w:rsidRDefault="00E101A2" w:rsidP="00E101A2">
            <w:pPr>
              <w:widowControl/>
              <w:adjustRightInd w:val="0"/>
              <w:snapToGrid w:val="0"/>
              <w:jc w:val="center"/>
              <w:textAlignment w:val="center"/>
              <w:rPr>
                <w:color w:val="000000"/>
                <w:sz w:val="22"/>
                <w:szCs w:val="22"/>
              </w:rPr>
            </w:pPr>
            <w:r w:rsidRPr="00030223">
              <w:rPr>
                <w:rFonts w:eastAsia="仿宋" w:hint="eastAsia"/>
              </w:rPr>
              <w:t>/</w:t>
            </w:r>
          </w:p>
        </w:tc>
        <w:tc>
          <w:tcPr>
            <w:tcW w:w="402" w:type="pct"/>
            <w:tcBorders>
              <w:top w:val="single" w:sz="4" w:space="0" w:color="auto"/>
              <w:left w:val="single" w:sz="4" w:space="0" w:color="auto"/>
              <w:bottom w:val="single" w:sz="4" w:space="0" w:color="auto"/>
              <w:right w:val="single" w:sz="4" w:space="0" w:color="auto"/>
            </w:tcBorders>
          </w:tcPr>
          <w:p w14:paraId="37BBA11E" w14:textId="18D9372C" w:rsidR="00E101A2" w:rsidRPr="00D32158" w:rsidRDefault="00E101A2" w:rsidP="00E101A2">
            <w:pPr>
              <w:widowControl/>
              <w:adjustRightInd w:val="0"/>
              <w:snapToGrid w:val="0"/>
              <w:jc w:val="center"/>
              <w:textAlignment w:val="center"/>
              <w:rPr>
                <w:color w:val="000000"/>
                <w:sz w:val="22"/>
                <w:szCs w:val="22"/>
              </w:rPr>
            </w:pPr>
            <w:r w:rsidRPr="00030223">
              <w:rPr>
                <w:rFonts w:eastAsia="仿宋" w:hint="eastAsia"/>
              </w:rPr>
              <w:t>/</w:t>
            </w:r>
          </w:p>
        </w:tc>
        <w:tc>
          <w:tcPr>
            <w:tcW w:w="407" w:type="pct"/>
            <w:tcBorders>
              <w:top w:val="single" w:sz="4" w:space="0" w:color="auto"/>
              <w:left w:val="single" w:sz="4" w:space="0" w:color="auto"/>
              <w:bottom w:val="single" w:sz="4" w:space="0" w:color="auto"/>
              <w:right w:val="single" w:sz="4" w:space="0" w:color="auto"/>
            </w:tcBorders>
          </w:tcPr>
          <w:p w14:paraId="3420DC68" w14:textId="3B694080" w:rsidR="00E101A2" w:rsidRDefault="00E101A2" w:rsidP="00E101A2">
            <w:pPr>
              <w:widowControl/>
              <w:adjustRightInd w:val="0"/>
              <w:snapToGrid w:val="0"/>
              <w:jc w:val="center"/>
              <w:textAlignment w:val="center"/>
              <w:rPr>
                <w:rFonts w:eastAsia="仿宋"/>
              </w:rPr>
            </w:pPr>
            <w:r w:rsidRPr="00030223">
              <w:rPr>
                <w:rFonts w:eastAsia="仿宋" w:hint="eastAsia"/>
              </w:rPr>
              <w:t>/</w:t>
            </w:r>
          </w:p>
        </w:tc>
        <w:tc>
          <w:tcPr>
            <w:tcW w:w="387" w:type="pct"/>
            <w:tcBorders>
              <w:top w:val="single" w:sz="4" w:space="0" w:color="auto"/>
              <w:left w:val="single" w:sz="4" w:space="0" w:color="auto"/>
              <w:bottom w:val="single" w:sz="4" w:space="0" w:color="auto"/>
              <w:right w:val="single" w:sz="4" w:space="0" w:color="auto"/>
            </w:tcBorders>
          </w:tcPr>
          <w:p w14:paraId="6BB459D2" w14:textId="4F5A5417" w:rsidR="00E101A2" w:rsidRDefault="00E101A2" w:rsidP="00E101A2">
            <w:pPr>
              <w:widowControl/>
              <w:adjustRightInd w:val="0"/>
              <w:snapToGrid w:val="0"/>
              <w:jc w:val="center"/>
              <w:textAlignment w:val="center"/>
              <w:rPr>
                <w:rFonts w:eastAsia="仿宋"/>
              </w:rPr>
            </w:pPr>
            <w:r w:rsidRPr="00030223">
              <w:rPr>
                <w:rFonts w:eastAsia="仿宋" w:hint="eastAsia"/>
              </w:rPr>
              <w:t>/</w:t>
            </w:r>
          </w:p>
        </w:tc>
        <w:tc>
          <w:tcPr>
            <w:tcW w:w="395" w:type="pct"/>
            <w:tcBorders>
              <w:top w:val="single" w:sz="4" w:space="0" w:color="auto"/>
              <w:left w:val="single" w:sz="4" w:space="0" w:color="auto"/>
              <w:bottom w:val="single" w:sz="4" w:space="0" w:color="auto"/>
              <w:right w:val="single" w:sz="4" w:space="0" w:color="auto"/>
            </w:tcBorders>
          </w:tcPr>
          <w:p w14:paraId="00E6B78B" w14:textId="04F2E2F2" w:rsidR="00E101A2" w:rsidRDefault="00E101A2" w:rsidP="00E101A2">
            <w:pPr>
              <w:widowControl/>
              <w:adjustRightInd w:val="0"/>
              <w:snapToGrid w:val="0"/>
              <w:jc w:val="center"/>
              <w:textAlignment w:val="center"/>
              <w:rPr>
                <w:rFonts w:eastAsia="仿宋"/>
              </w:rPr>
            </w:pPr>
            <w:r w:rsidRPr="00030223">
              <w:rPr>
                <w:rFonts w:eastAsia="仿宋" w:hint="eastAsia"/>
              </w:rPr>
              <w:t>/</w:t>
            </w:r>
          </w:p>
        </w:tc>
        <w:tc>
          <w:tcPr>
            <w:tcW w:w="367" w:type="pct"/>
            <w:tcBorders>
              <w:top w:val="single" w:sz="4" w:space="0" w:color="auto"/>
              <w:left w:val="single" w:sz="4" w:space="0" w:color="auto"/>
              <w:bottom w:val="single" w:sz="4" w:space="0" w:color="auto"/>
              <w:right w:val="single" w:sz="4" w:space="0" w:color="auto"/>
            </w:tcBorders>
          </w:tcPr>
          <w:p w14:paraId="2E1BF27D" w14:textId="0F9ED7B7" w:rsidR="00E101A2" w:rsidRDefault="00E101A2" w:rsidP="00E101A2">
            <w:pPr>
              <w:widowControl/>
              <w:adjustRightInd w:val="0"/>
              <w:snapToGrid w:val="0"/>
              <w:jc w:val="center"/>
              <w:textAlignment w:val="center"/>
              <w:rPr>
                <w:rFonts w:eastAsia="仿宋"/>
              </w:rPr>
            </w:pPr>
            <w:r w:rsidRPr="00030223">
              <w:rPr>
                <w:rFonts w:eastAsia="仿宋" w:hint="eastAsia"/>
              </w:rPr>
              <w:t>/</w:t>
            </w:r>
          </w:p>
        </w:tc>
        <w:tc>
          <w:tcPr>
            <w:tcW w:w="466" w:type="pct"/>
            <w:vMerge/>
            <w:tcBorders>
              <w:left w:val="single" w:sz="4" w:space="0" w:color="auto"/>
              <w:bottom w:val="single" w:sz="4" w:space="0" w:color="auto"/>
            </w:tcBorders>
            <w:vAlign w:val="center"/>
          </w:tcPr>
          <w:p w14:paraId="01327896" w14:textId="77777777" w:rsidR="00E101A2" w:rsidRDefault="00E101A2" w:rsidP="00E101A2">
            <w:pPr>
              <w:widowControl/>
              <w:adjustRightInd w:val="0"/>
              <w:snapToGrid w:val="0"/>
              <w:jc w:val="center"/>
              <w:textAlignment w:val="center"/>
              <w:rPr>
                <w:rFonts w:ascii="仿宋" w:eastAsia="仿宋" w:hAnsi="仿宋" w:cs="仿宋" w:hint="eastAsia"/>
              </w:rPr>
            </w:pPr>
          </w:p>
        </w:tc>
      </w:tr>
      <w:tr w:rsidR="00E101A2" w:rsidRPr="00D32158" w14:paraId="2CB7130C" w14:textId="77777777" w:rsidTr="00E101A2">
        <w:trPr>
          <w:trHeight w:val="57"/>
          <w:jc w:val="center"/>
        </w:trPr>
        <w:tc>
          <w:tcPr>
            <w:tcW w:w="708" w:type="pct"/>
            <w:vMerge w:val="restart"/>
            <w:tcBorders>
              <w:top w:val="single" w:sz="4" w:space="0" w:color="auto"/>
              <w:right w:val="single" w:sz="4" w:space="0" w:color="auto"/>
            </w:tcBorders>
            <w:vAlign w:val="center"/>
          </w:tcPr>
          <w:p w14:paraId="3B5BD788" w14:textId="09959609" w:rsidR="00E101A2" w:rsidRPr="00D32158" w:rsidRDefault="00E101A2" w:rsidP="00E101A2">
            <w:pPr>
              <w:widowControl/>
              <w:adjustRightInd w:val="0"/>
              <w:snapToGrid w:val="0"/>
              <w:jc w:val="center"/>
              <w:textAlignment w:val="center"/>
            </w:pPr>
            <w:r w:rsidRPr="00D32158">
              <w:lastRenderedPageBreak/>
              <w:t>挥发性酚类</w:t>
            </w:r>
          </w:p>
        </w:tc>
        <w:tc>
          <w:tcPr>
            <w:tcW w:w="586" w:type="pct"/>
            <w:vAlign w:val="center"/>
          </w:tcPr>
          <w:p w14:paraId="414378A6" w14:textId="7C4DEF23" w:rsidR="00E101A2" w:rsidRPr="00D32158" w:rsidRDefault="00E101A2" w:rsidP="00E101A2">
            <w:pPr>
              <w:adjustRightInd w:val="0"/>
              <w:snapToGrid w:val="0"/>
              <w:jc w:val="center"/>
            </w:pPr>
            <w:r>
              <w:rPr>
                <w:rFonts w:hint="eastAsia"/>
              </w:rPr>
              <w:t>监测值</w:t>
            </w:r>
          </w:p>
        </w:tc>
        <w:tc>
          <w:tcPr>
            <w:tcW w:w="478" w:type="pct"/>
            <w:vMerge w:val="restart"/>
            <w:tcBorders>
              <w:top w:val="single" w:sz="4" w:space="0" w:color="auto"/>
              <w:left w:val="single" w:sz="4" w:space="0" w:color="auto"/>
              <w:right w:val="single" w:sz="4" w:space="0" w:color="auto"/>
              <w:tl2br w:val="nil"/>
              <w:tr2bl w:val="nil"/>
            </w:tcBorders>
            <w:vAlign w:val="center"/>
          </w:tcPr>
          <w:p w14:paraId="4D686096" w14:textId="22B628AF" w:rsidR="00E101A2" w:rsidRPr="00D32158" w:rsidRDefault="00E101A2" w:rsidP="00E101A2">
            <w:pPr>
              <w:adjustRightInd w:val="0"/>
              <w:snapToGrid w:val="0"/>
              <w:jc w:val="center"/>
            </w:pPr>
            <w:r w:rsidRPr="00D32158">
              <w:t>mg/L</w:t>
            </w:r>
          </w:p>
        </w:tc>
        <w:tc>
          <w:tcPr>
            <w:tcW w:w="402" w:type="pct"/>
            <w:tcBorders>
              <w:top w:val="single" w:sz="4" w:space="0" w:color="auto"/>
              <w:left w:val="single" w:sz="4" w:space="0" w:color="auto"/>
              <w:bottom w:val="single" w:sz="4" w:space="0" w:color="auto"/>
              <w:right w:val="single" w:sz="4" w:space="0" w:color="auto"/>
            </w:tcBorders>
            <w:vAlign w:val="center"/>
          </w:tcPr>
          <w:p w14:paraId="2A62DC40" w14:textId="73AAE4A4" w:rsidR="00E101A2" w:rsidRPr="00D32158" w:rsidRDefault="00E101A2" w:rsidP="00E101A2">
            <w:pPr>
              <w:widowControl/>
              <w:adjustRightInd w:val="0"/>
              <w:snapToGrid w:val="0"/>
              <w:jc w:val="center"/>
              <w:textAlignment w:val="center"/>
            </w:pPr>
            <w:r>
              <w:rPr>
                <w:color w:val="000000"/>
                <w:sz w:val="22"/>
                <w:szCs w:val="22"/>
              </w:rPr>
              <w:t>0.0003L</w:t>
            </w:r>
          </w:p>
        </w:tc>
        <w:tc>
          <w:tcPr>
            <w:tcW w:w="402" w:type="pct"/>
            <w:tcBorders>
              <w:top w:val="single" w:sz="4" w:space="0" w:color="auto"/>
              <w:left w:val="single" w:sz="4" w:space="0" w:color="auto"/>
              <w:bottom w:val="single" w:sz="4" w:space="0" w:color="auto"/>
              <w:right w:val="single" w:sz="4" w:space="0" w:color="auto"/>
            </w:tcBorders>
            <w:vAlign w:val="center"/>
          </w:tcPr>
          <w:p w14:paraId="2DA85ED0" w14:textId="233B345F" w:rsidR="00E101A2" w:rsidRPr="00D32158" w:rsidRDefault="00E101A2" w:rsidP="00E101A2">
            <w:pPr>
              <w:widowControl/>
              <w:adjustRightInd w:val="0"/>
              <w:snapToGrid w:val="0"/>
              <w:jc w:val="center"/>
              <w:textAlignment w:val="center"/>
            </w:pPr>
            <w:r>
              <w:rPr>
                <w:color w:val="000000"/>
                <w:sz w:val="22"/>
                <w:szCs w:val="22"/>
              </w:rPr>
              <w:t>0.0003L</w:t>
            </w:r>
          </w:p>
        </w:tc>
        <w:tc>
          <w:tcPr>
            <w:tcW w:w="402" w:type="pct"/>
            <w:tcBorders>
              <w:top w:val="single" w:sz="4" w:space="0" w:color="auto"/>
              <w:left w:val="single" w:sz="4" w:space="0" w:color="auto"/>
              <w:bottom w:val="single" w:sz="4" w:space="0" w:color="auto"/>
              <w:right w:val="single" w:sz="4" w:space="0" w:color="auto"/>
            </w:tcBorders>
            <w:vAlign w:val="center"/>
          </w:tcPr>
          <w:p w14:paraId="2F4A2A0E" w14:textId="20214DE4" w:rsidR="00E101A2" w:rsidRPr="00D32158" w:rsidRDefault="00E101A2" w:rsidP="00E101A2">
            <w:pPr>
              <w:widowControl/>
              <w:adjustRightInd w:val="0"/>
              <w:snapToGrid w:val="0"/>
              <w:jc w:val="center"/>
              <w:textAlignment w:val="center"/>
            </w:pPr>
            <w:r>
              <w:rPr>
                <w:color w:val="000000"/>
                <w:sz w:val="22"/>
                <w:szCs w:val="22"/>
              </w:rPr>
              <w:t>0.0003L</w:t>
            </w:r>
          </w:p>
        </w:tc>
        <w:tc>
          <w:tcPr>
            <w:tcW w:w="407" w:type="pct"/>
            <w:tcBorders>
              <w:top w:val="single" w:sz="4" w:space="0" w:color="auto"/>
              <w:left w:val="single" w:sz="4" w:space="0" w:color="auto"/>
              <w:bottom w:val="single" w:sz="4" w:space="0" w:color="auto"/>
              <w:right w:val="single" w:sz="4" w:space="0" w:color="auto"/>
            </w:tcBorders>
            <w:vAlign w:val="center"/>
          </w:tcPr>
          <w:p w14:paraId="4B3C226B" w14:textId="37AC27FC" w:rsidR="00E101A2" w:rsidRPr="00D32158" w:rsidRDefault="00E101A2" w:rsidP="00E101A2">
            <w:pPr>
              <w:widowControl/>
              <w:adjustRightInd w:val="0"/>
              <w:snapToGrid w:val="0"/>
              <w:jc w:val="center"/>
              <w:textAlignment w:val="center"/>
            </w:pPr>
            <w:r>
              <w:rPr>
                <w:color w:val="000000"/>
              </w:rPr>
              <w:t>0.0003L</w:t>
            </w:r>
          </w:p>
        </w:tc>
        <w:tc>
          <w:tcPr>
            <w:tcW w:w="387" w:type="pct"/>
            <w:tcBorders>
              <w:top w:val="single" w:sz="4" w:space="0" w:color="auto"/>
              <w:left w:val="single" w:sz="4" w:space="0" w:color="auto"/>
              <w:bottom w:val="single" w:sz="4" w:space="0" w:color="auto"/>
              <w:right w:val="single" w:sz="4" w:space="0" w:color="auto"/>
            </w:tcBorders>
            <w:vAlign w:val="center"/>
          </w:tcPr>
          <w:p w14:paraId="5D0139B6" w14:textId="6771D341" w:rsidR="00E101A2" w:rsidRPr="00D32158" w:rsidRDefault="00E101A2" w:rsidP="00E101A2">
            <w:pPr>
              <w:widowControl/>
              <w:adjustRightInd w:val="0"/>
              <w:snapToGrid w:val="0"/>
              <w:jc w:val="center"/>
              <w:textAlignment w:val="center"/>
            </w:pPr>
            <w:r>
              <w:rPr>
                <w:color w:val="000000"/>
              </w:rPr>
              <w:t>0.0003L</w:t>
            </w:r>
          </w:p>
        </w:tc>
        <w:tc>
          <w:tcPr>
            <w:tcW w:w="395" w:type="pct"/>
            <w:tcBorders>
              <w:top w:val="single" w:sz="4" w:space="0" w:color="auto"/>
              <w:left w:val="single" w:sz="4" w:space="0" w:color="auto"/>
              <w:bottom w:val="single" w:sz="4" w:space="0" w:color="auto"/>
              <w:right w:val="single" w:sz="4" w:space="0" w:color="auto"/>
            </w:tcBorders>
            <w:vAlign w:val="center"/>
          </w:tcPr>
          <w:p w14:paraId="32122120" w14:textId="009CB7DC" w:rsidR="00E101A2" w:rsidRPr="00D32158" w:rsidRDefault="00E101A2" w:rsidP="00E101A2">
            <w:pPr>
              <w:widowControl/>
              <w:adjustRightInd w:val="0"/>
              <w:snapToGrid w:val="0"/>
              <w:jc w:val="center"/>
              <w:textAlignment w:val="center"/>
              <w:rPr>
                <w:color w:val="000000"/>
                <w:kern w:val="0"/>
                <w:lang w:bidi="ar"/>
              </w:rPr>
            </w:pPr>
            <w:r>
              <w:rPr>
                <w:color w:val="000000"/>
              </w:rPr>
              <w:t>0.0003L</w:t>
            </w:r>
          </w:p>
        </w:tc>
        <w:tc>
          <w:tcPr>
            <w:tcW w:w="367" w:type="pct"/>
            <w:tcBorders>
              <w:top w:val="single" w:sz="4" w:space="0" w:color="auto"/>
              <w:left w:val="single" w:sz="4" w:space="0" w:color="auto"/>
              <w:bottom w:val="single" w:sz="4" w:space="0" w:color="auto"/>
              <w:right w:val="single" w:sz="4" w:space="0" w:color="auto"/>
            </w:tcBorders>
            <w:vAlign w:val="center"/>
          </w:tcPr>
          <w:p w14:paraId="130FE8F7" w14:textId="7A66DB46" w:rsidR="00E101A2" w:rsidRPr="00D32158" w:rsidRDefault="00E101A2" w:rsidP="00E101A2">
            <w:pPr>
              <w:widowControl/>
              <w:adjustRightInd w:val="0"/>
              <w:snapToGrid w:val="0"/>
              <w:jc w:val="center"/>
              <w:textAlignment w:val="center"/>
              <w:rPr>
                <w:color w:val="000000"/>
                <w:kern w:val="0"/>
              </w:rPr>
            </w:pPr>
            <w:r>
              <w:rPr>
                <w:color w:val="000000"/>
              </w:rPr>
              <w:t>0.0003L</w:t>
            </w:r>
          </w:p>
        </w:tc>
        <w:tc>
          <w:tcPr>
            <w:tcW w:w="466" w:type="pct"/>
            <w:vMerge w:val="restart"/>
            <w:tcBorders>
              <w:top w:val="single" w:sz="4" w:space="0" w:color="auto"/>
              <w:left w:val="single" w:sz="4" w:space="0" w:color="auto"/>
            </w:tcBorders>
            <w:vAlign w:val="center"/>
          </w:tcPr>
          <w:p w14:paraId="64690A25" w14:textId="7AAFDF12" w:rsidR="00E101A2" w:rsidRPr="00D32158" w:rsidRDefault="00E101A2" w:rsidP="00E101A2">
            <w:pPr>
              <w:widowControl/>
              <w:adjustRightInd w:val="0"/>
              <w:snapToGrid w:val="0"/>
              <w:jc w:val="center"/>
              <w:textAlignment w:val="center"/>
            </w:pPr>
            <w:r>
              <w:rPr>
                <w:rFonts w:ascii="仿宋" w:eastAsia="仿宋" w:hAnsi="仿宋" w:cs="仿宋" w:hint="eastAsia"/>
              </w:rPr>
              <w:t>≤</w:t>
            </w:r>
            <w:r>
              <w:t>0.002</w:t>
            </w:r>
          </w:p>
        </w:tc>
      </w:tr>
      <w:tr w:rsidR="00E101A2" w:rsidRPr="00D32158" w14:paraId="4A0109C9" w14:textId="77777777" w:rsidTr="00E101A2">
        <w:trPr>
          <w:trHeight w:val="57"/>
          <w:jc w:val="center"/>
        </w:trPr>
        <w:tc>
          <w:tcPr>
            <w:tcW w:w="708" w:type="pct"/>
            <w:vMerge/>
            <w:tcBorders>
              <w:bottom w:val="single" w:sz="4" w:space="0" w:color="auto"/>
              <w:right w:val="single" w:sz="4" w:space="0" w:color="auto"/>
            </w:tcBorders>
            <w:vAlign w:val="center"/>
          </w:tcPr>
          <w:p w14:paraId="51FEF5F8" w14:textId="77777777" w:rsidR="00E101A2" w:rsidRPr="00D32158" w:rsidRDefault="00E101A2" w:rsidP="00E101A2">
            <w:pPr>
              <w:widowControl/>
              <w:adjustRightInd w:val="0"/>
              <w:snapToGrid w:val="0"/>
              <w:jc w:val="center"/>
              <w:textAlignment w:val="center"/>
            </w:pPr>
          </w:p>
        </w:tc>
        <w:tc>
          <w:tcPr>
            <w:tcW w:w="586" w:type="pct"/>
            <w:vAlign w:val="center"/>
          </w:tcPr>
          <w:p w14:paraId="241CE7D6" w14:textId="54DBFB70" w:rsidR="00E101A2" w:rsidRPr="00D32158" w:rsidRDefault="00E101A2" w:rsidP="00E101A2">
            <w:pPr>
              <w:adjustRightInd w:val="0"/>
              <w:snapToGrid w:val="0"/>
              <w:jc w:val="center"/>
            </w:pPr>
            <w:r>
              <w:rPr>
                <w:rFonts w:hint="eastAsia"/>
              </w:rPr>
              <w:t>标准指数</w:t>
            </w:r>
          </w:p>
        </w:tc>
        <w:tc>
          <w:tcPr>
            <w:tcW w:w="478" w:type="pct"/>
            <w:vMerge/>
            <w:tcBorders>
              <w:left w:val="single" w:sz="4" w:space="0" w:color="auto"/>
              <w:bottom w:val="single" w:sz="4" w:space="0" w:color="auto"/>
              <w:right w:val="single" w:sz="4" w:space="0" w:color="auto"/>
              <w:tl2br w:val="nil"/>
              <w:tr2bl w:val="nil"/>
            </w:tcBorders>
            <w:vAlign w:val="center"/>
          </w:tcPr>
          <w:p w14:paraId="3D2F1558" w14:textId="54783F30" w:rsidR="00E101A2" w:rsidRPr="00D32158" w:rsidRDefault="00E101A2" w:rsidP="00E101A2">
            <w:pPr>
              <w:adjustRightInd w:val="0"/>
              <w:snapToGrid w:val="0"/>
              <w:jc w:val="center"/>
            </w:pPr>
          </w:p>
        </w:tc>
        <w:tc>
          <w:tcPr>
            <w:tcW w:w="402" w:type="pct"/>
            <w:tcBorders>
              <w:top w:val="single" w:sz="4" w:space="0" w:color="auto"/>
              <w:left w:val="single" w:sz="4" w:space="0" w:color="auto"/>
              <w:bottom w:val="single" w:sz="4" w:space="0" w:color="auto"/>
              <w:right w:val="single" w:sz="4" w:space="0" w:color="auto"/>
            </w:tcBorders>
            <w:vAlign w:val="center"/>
          </w:tcPr>
          <w:p w14:paraId="52529A2C" w14:textId="6F075277" w:rsidR="00E101A2" w:rsidRPr="00D32158" w:rsidRDefault="00E101A2" w:rsidP="00E101A2">
            <w:pPr>
              <w:widowControl/>
              <w:adjustRightInd w:val="0"/>
              <w:snapToGrid w:val="0"/>
              <w:jc w:val="center"/>
              <w:textAlignment w:val="center"/>
              <w:rPr>
                <w:color w:val="000000"/>
                <w:sz w:val="22"/>
                <w:szCs w:val="22"/>
              </w:rPr>
            </w:pPr>
            <w:r>
              <w:rPr>
                <w:rFonts w:eastAsia="仿宋" w:hint="eastAsia"/>
              </w:rPr>
              <w:t>/</w:t>
            </w:r>
          </w:p>
        </w:tc>
        <w:tc>
          <w:tcPr>
            <w:tcW w:w="402" w:type="pct"/>
            <w:tcBorders>
              <w:top w:val="single" w:sz="4" w:space="0" w:color="auto"/>
              <w:left w:val="single" w:sz="4" w:space="0" w:color="auto"/>
              <w:bottom w:val="single" w:sz="4" w:space="0" w:color="auto"/>
              <w:right w:val="single" w:sz="4" w:space="0" w:color="auto"/>
            </w:tcBorders>
          </w:tcPr>
          <w:p w14:paraId="45F17595" w14:textId="48B1743E" w:rsidR="00E101A2" w:rsidRPr="00D32158" w:rsidRDefault="00E101A2" w:rsidP="00E101A2">
            <w:pPr>
              <w:widowControl/>
              <w:adjustRightInd w:val="0"/>
              <w:snapToGrid w:val="0"/>
              <w:jc w:val="center"/>
              <w:textAlignment w:val="center"/>
              <w:rPr>
                <w:color w:val="000000"/>
                <w:sz w:val="22"/>
                <w:szCs w:val="22"/>
              </w:rPr>
            </w:pPr>
            <w:r w:rsidRPr="00030223">
              <w:rPr>
                <w:rFonts w:eastAsia="仿宋" w:hint="eastAsia"/>
              </w:rPr>
              <w:t>/</w:t>
            </w:r>
          </w:p>
        </w:tc>
        <w:tc>
          <w:tcPr>
            <w:tcW w:w="402" w:type="pct"/>
            <w:tcBorders>
              <w:top w:val="single" w:sz="4" w:space="0" w:color="auto"/>
              <w:left w:val="single" w:sz="4" w:space="0" w:color="auto"/>
              <w:bottom w:val="single" w:sz="4" w:space="0" w:color="auto"/>
              <w:right w:val="single" w:sz="4" w:space="0" w:color="auto"/>
            </w:tcBorders>
          </w:tcPr>
          <w:p w14:paraId="5B38A8AC" w14:textId="607566ED" w:rsidR="00E101A2" w:rsidRPr="00D32158" w:rsidRDefault="00E101A2" w:rsidP="00E101A2">
            <w:pPr>
              <w:widowControl/>
              <w:adjustRightInd w:val="0"/>
              <w:snapToGrid w:val="0"/>
              <w:jc w:val="center"/>
              <w:textAlignment w:val="center"/>
              <w:rPr>
                <w:color w:val="000000"/>
                <w:sz w:val="22"/>
                <w:szCs w:val="22"/>
              </w:rPr>
            </w:pPr>
            <w:r w:rsidRPr="00030223">
              <w:rPr>
                <w:rFonts w:eastAsia="仿宋" w:hint="eastAsia"/>
              </w:rPr>
              <w:t>/</w:t>
            </w:r>
          </w:p>
        </w:tc>
        <w:tc>
          <w:tcPr>
            <w:tcW w:w="407" w:type="pct"/>
            <w:tcBorders>
              <w:top w:val="single" w:sz="4" w:space="0" w:color="auto"/>
              <w:left w:val="single" w:sz="4" w:space="0" w:color="auto"/>
              <w:bottom w:val="single" w:sz="4" w:space="0" w:color="auto"/>
              <w:right w:val="single" w:sz="4" w:space="0" w:color="auto"/>
            </w:tcBorders>
          </w:tcPr>
          <w:p w14:paraId="27ABBCA1" w14:textId="2DCEF38E" w:rsidR="00E101A2" w:rsidRDefault="00E101A2" w:rsidP="00E101A2">
            <w:pPr>
              <w:widowControl/>
              <w:adjustRightInd w:val="0"/>
              <w:snapToGrid w:val="0"/>
              <w:jc w:val="center"/>
              <w:textAlignment w:val="center"/>
              <w:rPr>
                <w:rFonts w:eastAsia="仿宋"/>
              </w:rPr>
            </w:pPr>
            <w:r w:rsidRPr="00030223">
              <w:rPr>
                <w:rFonts w:eastAsia="仿宋" w:hint="eastAsia"/>
              </w:rPr>
              <w:t>/</w:t>
            </w:r>
          </w:p>
        </w:tc>
        <w:tc>
          <w:tcPr>
            <w:tcW w:w="387" w:type="pct"/>
            <w:tcBorders>
              <w:top w:val="single" w:sz="4" w:space="0" w:color="auto"/>
              <w:left w:val="single" w:sz="4" w:space="0" w:color="auto"/>
              <w:bottom w:val="single" w:sz="4" w:space="0" w:color="auto"/>
              <w:right w:val="single" w:sz="4" w:space="0" w:color="auto"/>
            </w:tcBorders>
          </w:tcPr>
          <w:p w14:paraId="027046C8" w14:textId="16020720" w:rsidR="00E101A2" w:rsidRDefault="00E101A2" w:rsidP="00E101A2">
            <w:pPr>
              <w:widowControl/>
              <w:adjustRightInd w:val="0"/>
              <w:snapToGrid w:val="0"/>
              <w:jc w:val="center"/>
              <w:textAlignment w:val="center"/>
              <w:rPr>
                <w:rFonts w:eastAsia="仿宋"/>
              </w:rPr>
            </w:pPr>
            <w:r w:rsidRPr="00030223">
              <w:rPr>
                <w:rFonts w:eastAsia="仿宋" w:hint="eastAsia"/>
              </w:rPr>
              <w:t>/</w:t>
            </w:r>
          </w:p>
        </w:tc>
        <w:tc>
          <w:tcPr>
            <w:tcW w:w="395" w:type="pct"/>
            <w:tcBorders>
              <w:top w:val="single" w:sz="4" w:space="0" w:color="auto"/>
              <w:left w:val="single" w:sz="4" w:space="0" w:color="auto"/>
              <w:bottom w:val="single" w:sz="4" w:space="0" w:color="auto"/>
              <w:right w:val="single" w:sz="4" w:space="0" w:color="auto"/>
            </w:tcBorders>
          </w:tcPr>
          <w:p w14:paraId="2858156A" w14:textId="0A500A61" w:rsidR="00E101A2" w:rsidRDefault="00E101A2" w:rsidP="00E101A2">
            <w:pPr>
              <w:widowControl/>
              <w:adjustRightInd w:val="0"/>
              <w:snapToGrid w:val="0"/>
              <w:jc w:val="center"/>
              <w:textAlignment w:val="center"/>
              <w:rPr>
                <w:rFonts w:eastAsia="仿宋"/>
              </w:rPr>
            </w:pPr>
            <w:r w:rsidRPr="00030223">
              <w:rPr>
                <w:rFonts w:eastAsia="仿宋" w:hint="eastAsia"/>
              </w:rPr>
              <w:t>/</w:t>
            </w:r>
          </w:p>
        </w:tc>
        <w:tc>
          <w:tcPr>
            <w:tcW w:w="367" w:type="pct"/>
            <w:tcBorders>
              <w:top w:val="single" w:sz="4" w:space="0" w:color="auto"/>
              <w:left w:val="single" w:sz="4" w:space="0" w:color="auto"/>
              <w:bottom w:val="single" w:sz="4" w:space="0" w:color="auto"/>
              <w:right w:val="single" w:sz="4" w:space="0" w:color="auto"/>
            </w:tcBorders>
          </w:tcPr>
          <w:p w14:paraId="563A442C" w14:textId="23B3753A" w:rsidR="00E101A2" w:rsidRDefault="00E101A2" w:rsidP="00E101A2">
            <w:pPr>
              <w:widowControl/>
              <w:adjustRightInd w:val="0"/>
              <w:snapToGrid w:val="0"/>
              <w:jc w:val="center"/>
              <w:textAlignment w:val="center"/>
              <w:rPr>
                <w:rFonts w:eastAsia="仿宋"/>
              </w:rPr>
            </w:pPr>
            <w:r w:rsidRPr="00030223">
              <w:rPr>
                <w:rFonts w:eastAsia="仿宋" w:hint="eastAsia"/>
              </w:rPr>
              <w:t>/</w:t>
            </w:r>
          </w:p>
        </w:tc>
        <w:tc>
          <w:tcPr>
            <w:tcW w:w="466" w:type="pct"/>
            <w:vMerge/>
            <w:tcBorders>
              <w:left w:val="single" w:sz="4" w:space="0" w:color="auto"/>
              <w:bottom w:val="single" w:sz="4" w:space="0" w:color="auto"/>
            </w:tcBorders>
            <w:vAlign w:val="center"/>
          </w:tcPr>
          <w:p w14:paraId="14563377" w14:textId="77777777" w:rsidR="00E101A2" w:rsidRDefault="00E101A2" w:rsidP="00E101A2">
            <w:pPr>
              <w:widowControl/>
              <w:adjustRightInd w:val="0"/>
              <w:snapToGrid w:val="0"/>
              <w:jc w:val="center"/>
              <w:textAlignment w:val="center"/>
              <w:rPr>
                <w:rFonts w:ascii="仿宋" w:eastAsia="仿宋" w:hAnsi="仿宋" w:cs="仿宋" w:hint="eastAsia"/>
              </w:rPr>
            </w:pPr>
          </w:p>
        </w:tc>
      </w:tr>
      <w:tr w:rsidR="00E101A2" w:rsidRPr="00D32158" w14:paraId="689B691D" w14:textId="77777777" w:rsidTr="00E101A2">
        <w:trPr>
          <w:trHeight w:val="57"/>
          <w:jc w:val="center"/>
        </w:trPr>
        <w:tc>
          <w:tcPr>
            <w:tcW w:w="708" w:type="pct"/>
            <w:vMerge w:val="restart"/>
            <w:tcBorders>
              <w:top w:val="single" w:sz="4" w:space="0" w:color="auto"/>
              <w:right w:val="single" w:sz="4" w:space="0" w:color="auto"/>
            </w:tcBorders>
            <w:vAlign w:val="center"/>
          </w:tcPr>
          <w:p w14:paraId="62E329D7" w14:textId="4AA98CB1" w:rsidR="00E101A2" w:rsidRPr="00D32158" w:rsidRDefault="00E101A2" w:rsidP="00E101A2">
            <w:pPr>
              <w:widowControl/>
              <w:adjustRightInd w:val="0"/>
              <w:snapToGrid w:val="0"/>
              <w:jc w:val="center"/>
              <w:textAlignment w:val="center"/>
            </w:pPr>
            <w:r w:rsidRPr="00D32158">
              <w:t>耗氧量（</w:t>
            </w:r>
            <w:r w:rsidRPr="00D32158">
              <w:t>COD</w:t>
            </w:r>
            <w:r w:rsidRPr="00D32158">
              <w:rPr>
                <w:vertAlign w:val="subscript"/>
              </w:rPr>
              <w:t>Mn</w:t>
            </w:r>
            <w:r w:rsidRPr="00D32158">
              <w:t>法，以</w:t>
            </w:r>
            <w:r w:rsidRPr="00D32158">
              <w:t>O</w:t>
            </w:r>
            <w:r w:rsidRPr="00D32158">
              <w:rPr>
                <w:vertAlign w:val="subscript"/>
              </w:rPr>
              <w:t>2</w:t>
            </w:r>
            <w:r w:rsidRPr="00D32158">
              <w:t>计）</w:t>
            </w:r>
          </w:p>
        </w:tc>
        <w:tc>
          <w:tcPr>
            <w:tcW w:w="586" w:type="pct"/>
            <w:vAlign w:val="center"/>
          </w:tcPr>
          <w:p w14:paraId="2AC77B06" w14:textId="5D6168EB" w:rsidR="00E101A2" w:rsidRPr="00D32158" w:rsidRDefault="00E101A2" w:rsidP="00E101A2">
            <w:pPr>
              <w:adjustRightInd w:val="0"/>
              <w:snapToGrid w:val="0"/>
              <w:jc w:val="center"/>
            </w:pPr>
            <w:r>
              <w:rPr>
                <w:rFonts w:hint="eastAsia"/>
              </w:rPr>
              <w:t>监测值</w:t>
            </w:r>
          </w:p>
        </w:tc>
        <w:tc>
          <w:tcPr>
            <w:tcW w:w="478" w:type="pct"/>
            <w:vMerge w:val="restart"/>
            <w:tcBorders>
              <w:top w:val="single" w:sz="4" w:space="0" w:color="auto"/>
              <w:left w:val="single" w:sz="4" w:space="0" w:color="auto"/>
              <w:right w:val="single" w:sz="4" w:space="0" w:color="auto"/>
              <w:tl2br w:val="nil"/>
              <w:tr2bl w:val="nil"/>
            </w:tcBorders>
            <w:vAlign w:val="center"/>
          </w:tcPr>
          <w:p w14:paraId="3FC90388" w14:textId="03F6B697" w:rsidR="00E101A2" w:rsidRPr="00D32158" w:rsidRDefault="00E101A2" w:rsidP="00E101A2">
            <w:pPr>
              <w:adjustRightInd w:val="0"/>
              <w:snapToGrid w:val="0"/>
              <w:jc w:val="center"/>
            </w:pPr>
            <w:r w:rsidRPr="00D32158">
              <w:t>mg/L</w:t>
            </w:r>
          </w:p>
        </w:tc>
        <w:tc>
          <w:tcPr>
            <w:tcW w:w="402" w:type="pct"/>
            <w:tcBorders>
              <w:top w:val="single" w:sz="4" w:space="0" w:color="auto"/>
              <w:left w:val="single" w:sz="4" w:space="0" w:color="auto"/>
              <w:bottom w:val="single" w:sz="4" w:space="0" w:color="auto"/>
              <w:right w:val="single" w:sz="4" w:space="0" w:color="auto"/>
            </w:tcBorders>
            <w:vAlign w:val="center"/>
          </w:tcPr>
          <w:p w14:paraId="1FB29884" w14:textId="6FB7E095" w:rsidR="00E101A2" w:rsidRPr="00D32158" w:rsidRDefault="00E101A2" w:rsidP="00E101A2">
            <w:pPr>
              <w:widowControl/>
              <w:adjustRightInd w:val="0"/>
              <w:snapToGrid w:val="0"/>
              <w:jc w:val="center"/>
              <w:textAlignment w:val="center"/>
            </w:pPr>
            <w:r>
              <w:rPr>
                <w:color w:val="000000"/>
                <w:sz w:val="22"/>
                <w:szCs w:val="22"/>
              </w:rPr>
              <w:t>2.6</w:t>
            </w:r>
          </w:p>
        </w:tc>
        <w:tc>
          <w:tcPr>
            <w:tcW w:w="402" w:type="pct"/>
            <w:tcBorders>
              <w:top w:val="single" w:sz="4" w:space="0" w:color="auto"/>
              <w:left w:val="single" w:sz="4" w:space="0" w:color="auto"/>
              <w:bottom w:val="single" w:sz="4" w:space="0" w:color="auto"/>
              <w:right w:val="single" w:sz="4" w:space="0" w:color="auto"/>
            </w:tcBorders>
            <w:vAlign w:val="center"/>
          </w:tcPr>
          <w:p w14:paraId="2191C065" w14:textId="4CFDB470" w:rsidR="00E101A2" w:rsidRPr="00D32158" w:rsidRDefault="00E101A2" w:rsidP="00E101A2">
            <w:pPr>
              <w:widowControl/>
              <w:adjustRightInd w:val="0"/>
              <w:snapToGrid w:val="0"/>
              <w:jc w:val="center"/>
              <w:textAlignment w:val="center"/>
            </w:pPr>
            <w:r>
              <w:rPr>
                <w:color w:val="000000"/>
                <w:sz w:val="22"/>
                <w:szCs w:val="22"/>
              </w:rPr>
              <w:t>2.5</w:t>
            </w:r>
          </w:p>
        </w:tc>
        <w:tc>
          <w:tcPr>
            <w:tcW w:w="402" w:type="pct"/>
            <w:tcBorders>
              <w:top w:val="single" w:sz="4" w:space="0" w:color="auto"/>
              <w:left w:val="single" w:sz="4" w:space="0" w:color="auto"/>
              <w:bottom w:val="single" w:sz="4" w:space="0" w:color="auto"/>
              <w:right w:val="single" w:sz="4" w:space="0" w:color="auto"/>
            </w:tcBorders>
            <w:vAlign w:val="center"/>
          </w:tcPr>
          <w:p w14:paraId="6F8E9E42" w14:textId="662A102E" w:rsidR="00E101A2" w:rsidRPr="00D32158" w:rsidRDefault="00E101A2" w:rsidP="00E101A2">
            <w:pPr>
              <w:widowControl/>
              <w:adjustRightInd w:val="0"/>
              <w:snapToGrid w:val="0"/>
              <w:jc w:val="center"/>
              <w:textAlignment w:val="center"/>
            </w:pPr>
            <w:r>
              <w:rPr>
                <w:color w:val="000000"/>
                <w:sz w:val="22"/>
                <w:szCs w:val="22"/>
              </w:rPr>
              <w:t>2.3</w:t>
            </w:r>
          </w:p>
        </w:tc>
        <w:tc>
          <w:tcPr>
            <w:tcW w:w="407" w:type="pct"/>
            <w:tcBorders>
              <w:top w:val="single" w:sz="4" w:space="0" w:color="auto"/>
              <w:left w:val="single" w:sz="4" w:space="0" w:color="auto"/>
              <w:bottom w:val="single" w:sz="4" w:space="0" w:color="auto"/>
              <w:right w:val="single" w:sz="4" w:space="0" w:color="auto"/>
            </w:tcBorders>
            <w:vAlign w:val="center"/>
          </w:tcPr>
          <w:p w14:paraId="4D5A3353" w14:textId="190FD295" w:rsidR="00E101A2" w:rsidRPr="00D32158" w:rsidRDefault="00E101A2" w:rsidP="00E101A2">
            <w:pPr>
              <w:widowControl/>
              <w:adjustRightInd w:val="0"/>
              <w:snapToGrid w:val="0"/>
              <w:jc w:val="center"/>
              <w:textAlignment w:val="center"/>
            </w:pPr>
            <w:r>
              <w:rPr>
                <w:color w:val="000000"/>
              </w:rPr>
              <w:t>2.2</w:t>
            </w:r>
          </w:p>
        </w:tc>
        <w:tc>
          <w:tcPr>
            <w:tcW w:w="387" w:type="pct"/>
            <w:tcBorders>
              <w:top w:val="single" w:sz="4" w:space="0" w:color="auto"/>
              <w:left w:val="single" w:sz="4" w:space="0" w:color="auto"/>
              <w:bottom w:val="single" w:sz="4" w:space="0" w:color="auto"/>
              <w:right w:val="single" w:sz="4" w:space="0" w:color="auto"/>
            </w:tcBorders>
            <w:vAlign w:val="center"/>
          </w:tcPr>
          <w:p w14:paraId="186FDFFB" w14:textId="32A58142" w:rsidR="00E101A2" w:rsidRPr="00D32158" w:rsidRDefault="00E101A2" w:rsidP="00E101A2">
            <w:pPr>
              <w:widowControl/>
              <w:adjustRightInd w:val="0"/>
              <w:snapToGrid w:val="0"/>
              <w:jc w:val="center"/>
              <w:textAlignment w:val="center"/>
            </w:pPr>
            <w:r>
              <w:rPr>
                <w:color w:val="000000"/>
              </w:rPr>
              <w:t>2.4</w:t>
            </w:r>
          </w:p>
        </w:tc>
        <w:tc>
          <w:tcPr>
            <w:tcW w:w="395" w:type="pct"/>
            <w:tcBorders>
              <w:top w:val="single" w:sz="4" w:space="0" w:color="auto"/>
              <w:left w:val="single" w:sz="4" w:space="0" w:color="auto"/>
              <w:bottom w:val="single" w:sz="4" w:space="0" w:color="auto"/>
              <w:right w:val="single" w:sz="4" w:space="0" w:color="auto"/>
            </w:tcBorders>
            <w:vAlign w:val="center"/>
          </w:tcPr>
          <w:p w14:paraId="2D0FF1D0" w14:textId="04E2DEA8" w:rsidR="00E101A2" w:rsidRPr="00D32158" w:rsidRDefault="00E101A2" w:rsidP="00E101A2">
            <w:pPr>
              <w:widowControl/>
              <w:adjustRightInd w:val="0"/>
              <w:snapToGrid w:val="0"/>
              <w:jc w:val="center"/>
              <w:textAlignment w:val="center"/>
              <w:rPr>
                <w:color w:val="000000"/>
                <w:kern w:val="0"/>
                <w:lang w:bidi="ar"/>
              </w:rPr>
            </w:pPr>
            <w:r>
              <w:rPr>
                <w:color w:val="000000"/>
              </w:rPr>
              <w:t>2.3</w:t>
            </w:r>
          </w:p>
        </w:tc>
        <w:tc>
          <w:tcPr>
            <w:tcW w:w="367" w:type="pct"/>
            <w:tcBorders>
              <w:top w:val="single" w:sz="4" w:space="0" w:color="auto"/>
              <w:left w:val="single" w:sz="4" w:space="0" w:color="auto"/>
              <w:bottom w:val="single" w:sz="4" w:space="0" w:color="auto"/>
              <w:right w:val="single" w:sz="4" w:space="0" w:color="auto"/>
            </w:tcBorders>
            <w:vAlign w:val="center"/>
          </w:tcPr>
          <w:p w14:paraId="16F05815" w14:textId="0A549B7E" w:rsidR="00E101A2" w:rsidRPr="00D32158" w:rsidRDefault="00E101A2" w:rsidP="00E101A2">
            <w:pPr>
              <w:widowControl/>
              <w:adjustRightInd w:val="0"/>
              <w:snapToGrid w:val="0"/>
              <w:jc w:val="center"/>
              <w:textAlignment w:val="center"/>
              <w:rPr>
                <w:color w:val="000000"/>
                <w:kern w:val="0"/>
              </w:rPr>
            </w:pPr>
            <w:r>
              <w:rPr>
                <w:color w:val="000000"/>
              </w:rPr>
              <w:t>2.4</w:t>
            </w:r>
          </w:p>
        </w:tc>
        <w:tc>
          <w:tcPr>
            <w:tcW w:w="466" w:type="pct"/>
            <w:vMerge w:val="restart"/>
            <w:tcBorders>
              <w:top w:val="single" w:sz="4" w:space="0" w:color="auto"/>
              <w:left w:val="single" w:sz="4" w:space="0" w:color="auto"/>
            </w:tcBorders>
            <w:vAlign w:val="center"/>
          </w:tcPr>
          <w:p w14:paraId="1D6FE470" w14:textId="5121AA6C" w:rsidR="00E101A2" w:rsidRPr="00D32158" w:rsidRDefault="00E101A2" w:rsidP="00E101A2">
            <w:pPr>
              <w:adjustRightInd w:val="0"/>
              <w:snapToGrid w:val="0"/>
              <w:jc w:val="center"/>
            </w:pPr>
            <w:r>
              <w:rPr>
                <w:rFonts w:ascii="仿宋" w:eastAsia="仿宋" w:hAnsi="仿宋" w:cs="仿宋" w:hint="eastAsia"/>
              </w:rPr>
              <w:t>≤</w:t>
            </w:r>
            <w:r>
              <w:t>3.0</w:t>
            </w:r>
          </w:p>
        </w:tc>
      </w:tr>
      <w:tr w:rsidR="00E101A2" w:rsidRPr="00D32158" w14:paraId="528F0D22" w14:textId="77777777" w:rsidTr="00E101A2">
        <w:trPr>
          <w:trHeight w:val="57"/>
          <w:jc w:val="center"/>
        </w:trPr>
        <w:tc>
          <w:tcPr>
            <w:tcW w:w="708" w:type="pct"/>
            <w:vMerge/>
            <w:tcBorders>
              <w:bottom w:val="single" w:sz="4" w:space="0" w:color="auto"/>
              <w:right w:val="single" w:sz="4" w:space="0" w:color="auto"/>
            </w:tcBorders>
            <w:vAlign w:val="center"/>
          </w:tcPr>
          <w:p w14:paraId="04CB343E" w14:textId="77777777" w:rsidR="00E101A2" w:rsidRPr="00D32158" w:rsidRDefault="00E101A2" w:rsidP="00E101A2">
            <w:pPr>
              <w:widowControl/>
              <w:adjustRightInd w:val="0"/>
              <w:snapToGrid w:val="0"/>
              <w:jc w:val="center"/>
              <w:textAlignment w:val="center"/>
            </w:pPr>
          </w:p>
        </w:tc>
        <w:tc>
          <w:tcPr>
            <w:tcW w:w="586" w:type="pct"/>
            <w:vAlign w:val="center"/>
          </w:tcPr>
          <w:p w14:paraId="1A290DEF" w14:textId="7D02E01A" w:rsidR="00E101A2" w:rsidRPr="00D32158" w:rsidRDefault="00E101A2" w:rsidP="00E101A2">
            <w:pPr>
              <w:adjustRightInd w:val="0"/>
              <w:snapToGrid w:val="0"/>
              <w:jc w:val="center"/>
            </w:pPr>
            <w:r>
              <w:rPr>
                <w:rFonts w:hint="eastAsia"/>
              </w:rPr>
              <w:t>标准指数</w:t>
            </w:r>
          </w:p>
        </w:tc>
        <w:tc>
          <w:tcPr>
            <w:tcW w:w="478" w:type="pct"/>
            <w:vMerge/>
            <w:tcBorders>
              <w:left w:val="single" w:sz="4" w:space="0" w:color="auto"/>
              <w:bottom w:val="single" w:sz="4" w:space="0" w:color="auto"/>
              <w:right w:val="single" w:sz="4" w:space="0" w:color="auto"/>
              <w:tl2br w:val="nil"/>
              <w:tr2bl w:val="nil"/>
            </w:tcBorders>
            <w:vAlign w:val="center"/>
          </w:tcPr>
          <w:p w14:paraId="029FF0EA" w14:textId="41C7698D" w:rsidR="00E101A2" w:rsidRPr="00D32158" w:rsidRDefault="00E101A2" w:rsidP="00E101A2">
            <w:pPr>
              <w:adjustRightInd w:val="0"/>
              <w:snapToGrid w:val="0"/>
              <w:jc w:val="center"/>
            </w:pPr>
          </w:p>
        </w:tc>
        <w:tc>
          <w:tcPr>
            <w:tcW w:w="402" w:type="pct"/>
            <w:tcBorders>
              <w:top w:val="single" w:sz="4" w:space="0" w:color="auto"/>
              <w:left w:val="single" w:sz="4" w:space="0" w:color="auto"/>
              <w:bottom w:val="single" w:sz="4" w:space="0" w:color="auto"/>
              <w:right w:val="single" w:sz="4" w:space="0" w:color="auto"/>
            </w:tcBorders>
            <w:vAlign w:val="center"/>
          </w:tcPr>
          <w:p w14:paraId="4CE9F1EF" w14:textId="4369EA59" w:rsidR="00E101A2" w:rsidRPr="00D32158" w:rsidRDefault="00E101A2" w:rsidP="00E101A2">
            <w:pPr>
              <w:widowControl/>
              <w:adjustRightInd w:val="0"/>
              <w:snapToGrid w:val="0"/>
              <w:jc w:val="center"/>
              <w:textAlignment w:val="center"/>
              <w:rPr>
                <w:color w:val="000000"/>
                <w:sz w:val="22"/>
                <w:szCs w:val="22"/>
              </w:rPr>
            </w:pPr>
            <w:r>
              <w:rPr>
                <w:color w:val="000000"/>
                <w:sz w:val="22"/>
                <w:szCs w:val="22"/>
              </w:rPr>
              <w:t xml:space="preserve">0.87 </w:t>
            </w:r>
          </w:p>
        </w:tc>
        <w:tc>
          <w:tcPr>
            <w:tcW w:w="402" w:type="pct"/>
            <w:tcBorders>
              <w:top w:val="single" w:sz="4" w:space="0" w:color="auto"/>
              <w:left w:val="single" w:sz="4" w:space="0" w:color="auto"/>
              <w:bottom w:val="single" w:sz="4" w:space="0" w:color="auto"/>
              <w:right w:val="single" w:sz="4" w:space="0" w:color="auto"/>
            </w:tcBorders>
            <w:vAlign w:val="center"/>
          </w:tcPr>
          <w:p w14:paraId="45F34F1E" w14:textId="51503E9C" w:rsidR="00E101A2" w:rsidRPr="00D32158" w:rsidRDefault="00E101A2" w:rsidP="00E101A2">
            <w:pPr>
              <w:widowControl/>
              <w:adjustRightInd w:val="0"/>
              <w:snapToGrid w:val="0"/>
              <w:jc w:val="center"/>
              <w:textAlignment w:val="center"/>
              <w:rPr>
                <w:color w:val="000000"/>
                <w:sz w:val="22"/>
                <w:szCs w:val="22"/>
              </w:rPr>
            </w:pPr>
            <w:r>
              <w:rPr>
                <w:color w:val="000000"/>
                <w:sz w:val="22"/>
                <w:szCs w:val="22"/>
              </w:rPr>
              <w:t xml:space="preserve">0.83 </w:t>
            </w:r>
          </w:p>
        </w:tc>
        <w:tc>
          <w:tcPr>
            <w:tcW w:w="402" w:type="pct"/>
            <w:tcBorders>
              <w:top w:val="single" w:sz="4" w:space="0" w:color="auto"/>
              <w:left w:val="single" w:sz="4" w:space="0" w:color="auto"/>
              <w:bottom w:val="single" w:sz="4" w:space="0" w:color="auto"/>
              <w:right w:val="single" w:sz="4" w:space="0" w:color="auto"/>
            </w:tcBorders>
            <w:vAlign w:val="center"/>
          </w:tcPr>
          <w:p w14:paraId="222F14F5" w14:textId="0E7EBE31" w:rsidR="00E101A2" w:rsidRPr="00D32158" w:rsidRDefault="00E101A2" w:rsidP="00E101A2">
            <w:pPr>
              <w:widowControl/>
              <w:adjustRightInd w:val="0"/>
              <w:snapToGrid w:val="0"/>
              <w:jc w:val="center"/>
              <w:textAlignment w:val="center"/>
              <w:rPr>
                <w:color w:val="000000"/>
                <w:sz w:val="22"/>
                <w:szCs w:val="22"/>
              </w:rPr>
            </w:pPr>
            <w:r>
              <w:rPr>
                <w:color w:val="000000"/>
                <w:sz w:val="22"/>
                <w:szCs w:val="22"/>
              </w:rPr>
              <w:t xml:space="preserve">0.77 </w:t>
            </w:r>
          </w:p>
        </w:tc>
        <w:tc>
          <w:tcPr>
            <w:tcW w:w="407" w:type="pct"/>
            <w:tcBorders>
              <w:top w:val="single" w:sz="4" w:space="0" w:color="auto"/>
              <w:left w:val="single" w:sz="4" w:space="0" w:color="auto"/>
              <w:bottom w:val="single" w:sz="4" w:space="0" w:color="auto"/>
              <w:right w:val="single" w:sz="4" w:space="0" w:color="auto"/>
            </w:tcBorders>
            <w:vAlign w:val="center"/>
          </w:tcPr>
          <w:p w14:paraId="0343B36E" w14:textId="2F531746" w:rsidR="00E101A2" w:rsidRDefault="00E101A2" w:rsidP="00E101A2">
            <w:pPr>
              <w:widowControl/>
              <w:adjustRightInd w:val="0"/>
              <w:snapToGrid w:val="0"/>
              <w:jc w:val="center"/>
              <w:textAlignment w:val="center"/>
              <w:rPr>
                <w:rFonts w:eastAsia="仿宋"/>
              </w:rPr>
            </w:pPr>
            <w:r>
              <w:rPr>
                <w:color w:val="000000"/>
                <w:sz w:val="22"/>
                <w:szCs w:val="22"/>
              </w:rPr>
              <w:t xml:space="preserve">0.73 </w:t>
            </w:r>
          </w:p>
        </w:tc>
        <w:tc>
          <w:tcPr>
            <w:tcW w:w="387" w:type="pct"/>
            <w:tcBorders>
              <w:top w:val="single" w:sz="4" w:space="0" w:color="auto"/>
              <w:left w:val="single" w:sz="4" w:space="0" w:color="auto"/>
              <w:bottom w:val="single" w:sz="4" w:space="0" w:color="auto"/>
              <w:right w:val="single" w:sz="4" w:space="0" w:color="auto"/>
            </w:tcBorders>
            <w:vAlign w:val="center"/>
          </w:tcPr>
          <w:p w14:paraId="57472DD2" w14:textId="21B0981F" w:rsidR="00E101A2" w:rsidRDefault="00E101A2" w:rsidP="00E101A2">
            <w:pPr>
              <w:widowControl/>
              <w:adjustRightInd w:val="0"/>
              <w:snapToGrid w:val="0"/>
              <w:jc w:val="center"/>
              <w:textAlignment w:val="center"/>
              <w:rPr>
                <w:rFonts w:eastAsia="仿宋"/>
              </w:rPr>
            </w:pPr>
            <w:r>
              <w:rPr>
                <w:color w:val="000000"/>
                <w:sz w:val="22"/>
                <w:szCs w:val="22"/>
              </w:rPr>
              <w:t xml:space="preserve">0.80 </w:t>
            </w:r>
          </w:p>
        </w:tc>
        <w:tc>
          <w:tcPr>
            <w:tcW w:w="395" w:type="pct"/>
            <w:tcBorders>
              <w:top w:val="single" w:sz="4" w:space="0" w:color="auto"/>
              <w:left w:val="single" w:sz="4" w:space="0" w:color="auto"/>
              <w:bottom w:val="single" w:sz="4" w:space="0" w:color="auto"/>
              <w:right w:val="single" w:sz="4" w:space="0" w:color="auto"/>
            </w:tcBorders>
            <w:vAlign w:val="center"/>
          </w:tcPr>
          <w:p w14:paraId="60B5A73C" w14:textId="0EC89FE0" w:rsidR="00E101A2" w:rsidRDefault="00E101A2" w:rsidP="00E101A2">
            <w:pPr>
              <w:widowControl/>
              <w:adjustRightInd w:val="0"/>
              <w:snapToGrid w:val="0"/>
              <w:jc w:val="center"/>
              <w:textAlignment w:val="center"/>
              <w:rPr>
                <w:rFonts w:eastAsia="仿宋"/>
              </w:rPr>
            </w:pPr>
            <w:r>
              <w:rPr>
                <w:color w:val="000000"/>
                <w:sz w:val="22"/>
                <w:szCs w:val="22"/>
              </w:rPr>
              <w:t xml:space="preserve">0.77 </w:t>
            </w:r>
          </w:p>
        </w:tc>
        <w:tc>
          <w:tcPr>
            <w:tcW w:w="367" w:type="pct"/>
            <w:tcBorders>
              <w:top w:val="single" w:sz="4" w:space="0" w:color="auto"/>
              <w:left w:val="single" w:sz="4" w:space="0" w:color="auto"/>
              <w:bottom w:val="single" w:sz="4" w:space="0" w:color="auto"/>
              <w:right w:val="single" w:sz="4" w:space="0" w:color="auto"/>
            </w:tcBorders>
            <w:vAlign w:val="center"/>
          </w:tcPr>
          <w:p w14:paraId="33DD8064" w14:textId="41AA1A35" w:rsidR="00E101A2" w:rsidRDefault="00E101A2" w:rsidP="00E101A2">
            <w:pPr>
              <w:widowControl/>
              <w:adjustRightInd w:val="0"/>
              <w:snapToGrid w:val="0"/>
              <w:jc w:val="center"/>
              <w:textAlignment w:val="center"/>
              <w:rPr>
                <w:rFonts w:eastAsia="仿宋"/>
              </w:rPr>
            </w:pPr>
            <w:r>
              <w:rPr>
                <w:color w:val="000000"/>
                <w:sz w:val="22"/>
                <w:szCs w:val="22"/>
              </w:rPr>
              <w:t xml:space="preserve">0.80 </w:t>
            </w:r>
          </w:p>
        </w:tc>
        <w:tc>
          <w:tcPr>
            <w:tcW w:w="466" w:type="pct"/>
            <w:vMerge/>
            <w:tcBorders>
              <w:left w:val="single" w:sz="4" w:space="0" w:color="auto"/>
              <w:bottom w:val="single" w:sz="4" w:space="0" w:color="auto"/>
            </w:tcBorders>
            <w:vAlign w:val="center"/>
          </w:tcPr>
          <w:p w14:paraId="53933CC4" w14:textId="77777777" w:rsidR="00E101A2" w:rsidRDefault="00E101A2" w:rsidP="00E101A2">
            <w:pPr>
              <w:adjustRightInd w:val="0"/>
              <w:snapToGrid w:val="0"/>
              <w:jc w:val="center"/>
              <w:rPr>
                <w:rFonts w:ascii="仿宋" w:eastAsia="仿宋" w:hAnsi="仿宋" w:cs="仿宋" w:hint="eastAsia"/>
              </w:rPr>
            </w:pPr>
          </w:p>
        </w:tc>
      </w:tr>
      <w:tr w:rsidR="00E101A2" w:rsidRPr="00D32158" w14:paraId="4A175A24" w14:textId="77777777" w:rsidTr="00E101A2">
        <w:trPr>
          <w:trHeight w:val="57"/>
          <w:jc w:val="center"/>
        </w:trPr>
        <w:tc>
          <w:tcPr>
            <w:tcW w:w="708" w:type="pct"/>
            <w:vMerge w:val="restart"/>
            <w:tcBorders>
              <w:top w:val="single" w:sz="4" w:space="0" w:color="auto"/>
              <w:right w:val="single" w:sz="4" w:space="0" w:color="auto"/>
            </w:tcBorders>
            <w:vAlign w:val="center"/>
          </w:tcPr>
          <w:p w14:paraId="3E01C193" w14:textId="65874FB2" w:rsidR="00E101A2" w:rsidRPr="00D32158" w:rsidRDefault="00E101A2" w:rsidP="00E101A2">
            <w:pPr>
              <w:widowControl/>
              <w:adjustRightInd w:val="0"/>
              <w:snapToGrid w:val="0"/>
              <w:jc w:val="center"/>
              <w:textAlignment w:val="center"/>
            </w:pPr>
            <w:r w:rsidRPr="00D32158">
              <w:t>氟化物</w:t>
            </w:r>
          </w:p>
        </w:tc>
        <w:tc>
          <w:tcPr>
            <w:tcW w:w="586" w:type="pct"/>
            <w:vAlign w:val="center"/>
          </w:tcPr>
          <w:p w14:paraId="3A2A6FE6" w14:textId="725C3263" w:rsidR="00E101A2" w:rsidRPr="00D32158" w:rsidRDefault="00E101A2" w:rsidP="00E101A2">
            <w:pPr>
              <w:adjustRightInd w:val="0"/>
              <w:snapToGrid w:val="0"/>
              <w:jc w:val="center"/>
            </w:pPr>
            <w:r>
              <w:rPr>
                <w:rFonts w:hint="eastAsia"/>
              </w:rPr>
              <w:t>监测值</w:t>
            </w:r>
          </w:p>
        </w:tc>
        <w:tc>
          <w:tcPr>
            <w:tcW w:w="478" w:type="pct"/>
            <w:vMerge w:val="restart"/>
            <w:tcBorders>
              <w:top w:val="single" w:sz="4" w:space="0" w:color="auto"/>
              <w:left w:val="single" w:sz="4" w:space="0" w:color="auto"/>
              <w:right w:val="single" w:sz="4" w:space="0" w:color="auto"/>
              <w:tl2br w:val="nil"/>
              <w:tr2bl w:val="nil"/>
            </w:tcBorders>
            <w:vAlign w:val="center"/>
          </w:tcPr>
          <w:p w14:paraId="646BFBD7" w14:textId="340836C8" w:rsidR="00E101A2" w:rsidRPr="00D32158" w:rsidRDefault="00E101A2" w:rsidP="00E101A2">
            <w:pPr>
              <w:adjustRightInd w:val="0"/>
              <w:snapToGrid w:val="0"/>
              <w:jc w:val="center"/>
            </w:pPr>
            <w:r w:rsidRPr="00D32158">
              <w:t>mg/L</w:t>
            </w:r>
          </w:p>
        </w:tc>
        <w:tc>
          <w:tcPr>
            <w:tcW w:w="402" w:type="pct"/>
            <w:tcBorders>
              <w:top w:val="single" w:sz="4" w:space="0" w:color="auto"/>
              <w:left w:val="single" w:sz="4" w:space="0" w:color="auto"/>
              <w:bottom w:val="single" w:sz="4" w:space="0" w:color="auto"/>
              <w:right w:val="single" w:sz="4" w:space="0" w:color="auto"/>
            </w:tcBorders>
            <w:vAlign w:val="center"/>
          </w:tcPr>
          <w:p w14:paraId="06C7B50E" w14:textId="132A0041" w:rsidR="00E101A2" w:rsidRPr="00D32158" w:rsidRDefault="00E101A2" w:rsidP="00E101A2">
            <w:pPr>
              <w:widowControl/>
              <w:adjustRightInd w:val="0"/>
              <w:snapToGrid w:val="0"/>
              <w:jc w:val="center"/>
              <w:textAlignment w:val="center"/>
            </w:pPr>
            <w:r>
              <w:rPr>
                <w:color w:val="000000"/>
                <w:sz w:val="22"/>
                <w:szCs w:val="22"/>
              </w:rPr>
              <w:t>0.633</w:t>
            </w:r>
          </w:p>
        </w:tc>
        <w:tc>
          <w:tcPr>
            <w:tcW w:w="402" w:type="pct"/>
            <w:tcBorders>
              <w:top w:val="single" w:sz="4" w:space="0" w:color="auto"/>
              <w:left w:val="single" w:sz="4" w:space="0" w:color="auto"/>
              <w:bottom w:val="single" w:sz="4" w:space="0" w:color="auto"/>
              <w:right w:val="single" w:sz="4" w:space="0" w:color="auto"/>
            </w:tcBorders>
            <w:vAlign w:val="center"/>
          </w:tcPr>
          <w:p w14:paraId="36799C53" w14:textId="557B8B14" w:rsidR="00E101A2" w:rsidRPr="00D32158" w:rsidRDefault="00E101A2" w:rsidP="00E101A2">
            <w:pPr>
              <w:widowControl/>
              <w:adjustRightInd w:val="0"/>
              <w:snapToGrid w:val="0"/>
              <w:jc w:val="center"/>
              <w:textAlignment w:val="center"/>
            </w:pPr>
            <w:r>
              <w:rPr>
                <w:color w:val="000000"/>
                <w:sz w:val="22"/>
                <w:szCs w:val="22"/>
              </w:rPr>
              <w:t>0.709</w:t>
            </w:r>
          </w:p>
        </w:tc>
        <w:tc>
          <w:tcPr>
            <w:tcW w:w="402" w:type="pct"/>
            <w:tcBorders>
              <w:top w:val="single" w:sz="4" w:space="0" w:color="auto"/>
              <w:left w:val="single" w:sz="4" w:space="0" w:color="auto"/>
              <w:bottom w:val="single" w:sz="4" w:space="0" w:color="auto"/>
              <w:right w:val="single" w:sz="4" w:space="0" w:color="auto"/>
            </w:tcBorders>
            <w:vAlign w:val="center"/>
          </w:tcPr>
          <w:p w14:paraId="726EE581" w14:textId="52ECD260" w:rsidR="00E101A2" w:rsidRPr="00D32158" w:rsidRDefault="00E101A2" w:rsidP="00E101A2">
            <w:pPr>
              <w:widowControl/>
              <w:adjustRightInd w:val="0"/>
              <w:snapToGrid w:val="0"/>
              <w:jc w:val="center"/>
              <w:textAlignment w:val="center"/>
            </w:pPr>
            <w:r>
              <w:rPr>
                <w:color w:val="000000"/>
                <w:sz w:val="22"/>
                <w:szCs w:val="22"/>
              </w:rPr>
              <w:t>0.698</w:t>
            </w:r>
          </w:p>
        </w:tc>
        <w:tc>
          <w:tcPr>
            <w:tcW w:w="407" w:type="pct"/>
            <w:tcBorders>
              <w:top w:val="single" w:sz="4" w:space="0" w:color="auto"/>
              <w:left w:val="single" w:sz="4" w:space="0" w:color="auto"/>
              <w:bottom w:val="single" w:sz="4" w:space="0" w:color="auto"/>
              <w:right w:val="single" w:sz="4" w:space="0" w:color="auto"/>
            </w:tcBorders>
            <w:vAlign w:val="center"/>
          </w:tcPr>
          <w:p w14:paraId="23677F66" w14:textId="225150BD" w:rsidR="00E101A2" w:rsidRPr="00D32158" w:rsidRDefault="00E101A2" w:rsidP="00E101A2">
            <w:pPr>
              <w:widowControl/>
              <w:adjustRightInd w:val="0"/>
              <w:snapToGrid w:val="0"/>
              <w:jc w:val="center"/>
              <w:textAlignment w:val="center"/>
            </w:pPr>
            <w:r>
              <w:rPr>
                <w:color w:val="000000"/>
              </w:rPr>
              <w:t>0.668</w:t>
            </w:r>
          </w:p>
        </w:tc>
        <w:tc>
          <w:tcPr>
            <w:tcW w:w="387" w:type="pct"/>
            <w:tcBorders>
              <w:top w:val="single" w:sz="4" w:space="0" w:color="auto"/>
              <w:left w:val="single" w:sz="4" w:space="0" w:color="auto"/>
              <w:bottom w:val="single" w:sz="4" w:space="0" w:color="auto"/>
              <w:right w:val="single" w:sz="4" w:space="0" w:color="auto"/>
            </w:tcBorders>
            <w:vAlign w:val="center"/>
          </w:tcPr>
          <w:p w14:paraId="548F3782" w14:textId="3B014029" w:rsidR="00E101A2" w:rsidRPr="00D32158" w:rsidRDefault="00E101A2" w:rsidP="00E101A2">
            <w:pPr>
              <w:widowControl/>
              <w:adjustRightInd w:val="0"/>
              <w:snapToGrid w:val="0"/>
              <w:jc w:val="center"/>
              <w:textAlignment w:val="center"/>
            </w:pPr>
            <w:r>
              <w:rPr>
                <w:color w:val="000000"/>
              </w:rPr>
              <w:t>0.696</w:t>
            </w:r>
          </w:p>
        </w:tc>
        <w:tc>
          <w:tcPr>
            <w:tcW w:w="395" w:type="pct"/>
            <w:tcBorders>
              <w:top w:val="single" w:sz="4" w:space="0" w:color="auto"/>
              <w:left w:val="single" w:sz="4" w:space="0" w:color="auto"/>
              <w:bottom w:val="single" w:sz="4" w:space="0" w:color="auto"/>
              <w:right w:val="single" w:sz="4" w:space="0" w:color="auto"/>
            </w:tcBorders>
            <w:vAlign w:val="center"/>
          </w:tcPr>
          <w:p w14:paraId="40EF2070" w14:textId="43FB7897" w:rsidR="00E101A2" w:rsidRPr="00D32158" w:rsidRDefault="00E101A2" w:rsidP="00E101A2">
            <w:pPr>
              <w:widowControl/>
              <w:adjustRightInd w:val="0"/>
              <w:snapToGrid w:val="0"/>
              <w:jc w:val="center"/>
              <w:textAlignment w:val="center"/>
              <w:rPr>
                <w:color w:val="000000"/>
                <w:kern w:val="0"/>
                <w:lang w:bidi="ar"/>
              </w:rPr>
            </w:pPr>
            <w:r>
              <w:rPr>
                <w:color w:val="000000"/>
              </w:rPr>
              <w:t>0.658</w:t>
            </w:r>
          </w:p>
        </w:tc>
        <w:tc>
          <w:tcPr>
            <w:tcW w:w="367" w:type="pct"/>
            <w:tcBorders>
              <w:top w:val="single" w:sz="4" w:space="0" w:color="auto"/>
              <w:left w:val="single" w:sz="4" w:space="0" w:color="auto"/>
              <w:bottom w:val="single" w:sz="4" w:space="0" w:color="auto"/>
              <w:right w:val="single" w:sz="4" w:space="0" w:color="auto"/>
            </w:tcBorders>
            <w:vAlign w:val="center"/>
          </w:tcPr>
          <w:p w14:paraId="15514CB2" w14:textId="4883E71E" w:rsidR="00E101A2" w:rsidRPr="00D32158" w:rsidRDefault="00E101A2" w:rsidP="00E101A2">
            <w:pPr>
              <w:widowControl/>
              <w:adjustRightInd w:val="0"/>
              <w:snapToGrid w:val="0"/>
              <w:jc w:val="center"/>
              <w:textAlignment w:val="center"/>
              <w:rPr>
                <w:color w:val="000000"/>
                <w:kern w:val="0"/>
              </w:rPr>
            </w:pPr>
            <w:r>
              <w:rPr>
                <w:color w:val="000000"/>
              </w:rPr>
              <w:t>0.672</w:t>
            </w:r>
          </w:p>
        </w:tc>
        <w:tc>
          <w:tcPr>
            <w:tcW w:w="466" w:type="pct"/>
            <w:vMerge w:val="restart"/>
            <w:tcBorders>
              <w:top w:val="single" w:sz="4" w:space="0" w:color="auto"/>
              <w:left w:val="single" w:sz="4" w:space="0" w:color="auto"/>
            </w:tcBorders>
            <w:vAlign w:val="center"/>
          </w:tcPr>
          <w:p w14:paraId="6AF813AA" w14:textId="28DC7E53" w:rsidR="00E101A2" w:rsidRPr="00D32158" w:rsidRDefault="00E101A2" w:rsidP="00E101A2">
            <w:pPr>
              <w:widowControl/>
              <w:adjustRightInd w:val="0"/>
              <w:snapToGrid w:val="0"/>
              <w:jc w:val="center"/>
              <w:textAlignment w:val="center"/>
            </w:pPr>
            <w:r>
              <w:rPr>
                <w:rFonts w:ascii="仿宋" w:eastAsia="仿宋" w:hAnsi="仿宋" w:cs="仿宋" w:hint="eastAsia"/>
              </w:rPr>
              <w:t>≤</w:t>
            </w:r>
            <w:r>
              <w:t>1</w:t>
            </w:r>
            <w:r>
              <w:rPr>
                <w:rFonts w:hint="eastAsia"/>
              </w:rPr>
              <w:t>.0</w:t>
            </w:r>
          </w:p>
        </w:tc>
      </w:tr>
      <w:tr w:rsidR="00E101A2" w:rsidRPr="00D32158" w14:paraId="5A621E51" w14:textId="77777777" w:rsidTr="00E101A2">
        <w:trPr>
          <w:trHeight w:val="57"/>
          <w:jc w:val="center"/>
        </w:trPr>
        <w:tc>
          <w:tcPr>
            <w:tcW w:w="708" w:type="pct"/>
            <w:vMerge/>
            <w:tcBorders>
              <w:bottom w:val="single" w:sz="4" w:space="0" w:color="auto"/>
              <w:right w:val="single" w:sz="4" w:space="0" w:color="auto"/>
            </w:tcBorders>
            <w:vAlign w:val="center"/>
          </w:tcPr>
          <w:p w14:paraId="2C54FD48" w14:textId="77777777" w:rsidR="00E101A2" w:rsidRPr="00D32158" w:rsidRDefault="00E101A2" w:rsidP="00E101A2">
            <w:pPr>
              <w:widowControl/>
              <w:adjustRightInd w:val="0"/>
              <w:snapToGrid w:val="0"/>
              <w:jc w:val="center"/>
              <w:textAlignment w:val="center"/>
            </w:pPr>
          </w:p>
        </w:tc>
        <w:tc>
          <w:tcPr>
            <w:tcW w:w="586" w:type="pct"/>
            <w:vAlign w:val="center"/>
          </w:tcPr>
          <w:p w14:paraId="4DC25476" w14:textId="5606045D" w:rsidR="00E101A2" w:rsidRPr="00D32158" w:rsidRDefault="00E101A2" w:rsidP="00E101A2">
            <w:pPr>
              <w:adjustRightInd w:val="0"/>
              <w:snapToGrid w:val="0"/>
              <w:jc w:val="center"/>
            </w:pPr>
            <w:r>
              <w:rPr>
                <w:rFonts w:hint="eastAsia"/>
              </w:rPr>
              <w:t>标准指数</w:t>
            </w:r>
          </w:p>
        </w:tc>
        <w:tc>
          <w:tcPr>
            <w:tcW w:w="478" w:type="pct"/>
            <w:vMerge/>
            <w:tcBorders>
              <w:left w:val="single" w:sz="4" w:space="0" w:color="auto"/>
              <w:bottom w:val="single" w:sz="4" w:space="0" w:color="auto"/>
              <w:right w:val="single" w:sz="4" w:space="0" w:color="auto"/>
              <w:tl2br w:val="nil"/>
              <w:tr2bl w:val="nil"/>
            </w:tcBorders>
            <w:vAlign w:val="center"/>
          </w:tcPr>
          <w:p w14:paraId="538584FA" w14:textId="09138AD9" w:rsidR="00E101A2" w:rsidRPr="00D32158" w:rsidRDefault="00E101A2" w:rsidP="00E101A2">
            <w:pPr>
              <w:adjustRightInd w:val="0"/>
              <w:snapToGrid w:val="0"/>
              <w:jc w:val="center"/>
            </w:pPr>
          </w:p>
        </w:tc>
        <w:tc>
          <w:tcPr>
            <w:tcW w:w="402" w:type="pct"/>
            <w:tcBorders>
              <w:top w:val="single" w:sz="4" w:space="0" w:color="auto"/>
              <w:left w:val="single" w:sz="4" w:space="0" w:color="auto"/>
              <w:bottom w:val="single" w:sz="4" w:space="0" w:color="auto"/>
              <w:right w:val="single" w:sz="4" w:space="0" w:color="auto"/>
            </w:tcBorders>
            <w:vAlign w:val="center"/>
          </w:tcPr>
          <w:p w14:paraId="444B5226" w14:textId="6B2ACC2E" w:rsidR="00E101A2" w:rsidRPr="00D32158" w:rsidRDefault="00E101A2" w:rsidP="00E101A2">
            <w:pPr>
              <w:widowControl/>
              <w:adjustRightInd w:val="0"/>
              <w:snapToGrid w:val="0"/>
              <w:jc w:val="center"/>
              <w:textAlignment w:val="center"/>
              <w:rPr>
                <w:color w:val="000000"/>
                <w:sz w:val="22"/>
                <w:szCs w:val="22"/>
              </w:rPr>
            </w:pPr>
            <w:r>
              <w:rPr>
                <w:color w:val="000000"/>
                <w:sz w:val="22"/>
                <w:szCs w:val="22"/>
              </w:rPr>
              <w:t>0.633</w:t>
            </w:r>
          </w:p>
        </w:tc>
        <w:tc>
          <w:tcPr>
            <w:tcW w:w="402" w:type="pct"/>
            <w:tcBorders>
              <w:top w:val="single" w:sz="4" w:space="0" w:color="auto"/>
              <w:left w:val="single" w:sz="4" w:space="0" w:color="auto"/>
              <w:bottom w:val="single" w:sz="4" w:space="0" w:color="auto"/>
              <w:right w:val="single" w:sz="4" w:space="0" w:color="auto"/>
            </w:tcBorders>
            <w:vAlign w:val="center"/>
          </w:tcPr>
          <w:p w14:paraId="189B41CA" w14:textId="63E80029" w:rsidR="00E101A2" w:rsidRPr="00D32158" w:rsidRDefault="00E101A2" w:rsidP="00E101A2">
            <w:pPr>
              <w:widowControl/>
              <w:adjustRightInd w:val="0"/>
              <w:snapToGrid w:val="0"/>
              <w:jc w:val="center"/>
              <w:textAlignment w:val="center"/>
              <w:rPr>
                <w:color w:val="000000"/>
                <w:sz w:val="22"/>
                <w:szCs w:val="22"/>
              </w:rPr>
            </w:pPr>
            <w:r>
              <w:rPr>
                <w:color w:val="000000"/>
                <w:sz w:val="22"/>
                <w:szCs w:val="22"/>
              </w:rPr>
              <w:t>0.709</w:t>
            </w:r>
          </w:p>
        </w:tc>
        <w:tc>
          <w:tcPr>
            <w:tcW w:w="402" w:type="pct"/>
            <w:tcBorders>
              <w:top w:val="single" w:sz="4" w:space="0" w:color="auto"/>
              <w:left w:val="single" w:sz="4" w:space="0" w:color="auto"/>
              <w:bottom w:val="single" w:sz="4" w:space="0" w:color="auto"/>
              <w:right w:val="single" w:sz="4" w:space="0" w:color="auto"/>
            </w:tcBorders>
            <w:vAlign w:val="center"/>
          </w:tcPr>
          <w:p w14:paraId="1737AEE3" w14:textId="565B240C" w:rsidR="00E101A2" w:rsidRPr="00D32158" w:rsidRDefault="00E101A2" w:rsidP="00E101A2">
            <w:pPr>
              <w:widowControl/>
              <w:adjustRightInd w:val="0"/>
              <w:snapToGrid w:val="0"/>
              <w:jc w:val="center"/>
              <w:textAlignment w:val="center"/>
              <w:rPr>
                <w:color w:val="000000"/>
                <w:sz w:val="22"/>
                <w:szCs w:val="22"/>
              </w:rPr>
            </w:pPr>
            <w:r>
              <w:rPr>
                <w:color w:val="000000"/>
                <w:sz w:val="22"/>
                <w:szCs w:val="22"/>
              </w:rPr>
              <w:t>0.698</w:t>
            </w:r>
          </w:p>
        </w:tc>
        <w:tc>
          <w:tcPr>
            <w:tcW w:w="407" w:type="pct"/>
            <w:tcBorders>
              <w:top w:val="single" w:sz="4" w:space="0" w:color="auto"/>
              <w:left w:val="single" w:sz="4" w:space="0" w:color="auto"/>
              <w:bottom w:val="single" w:sz="4" w:space="0" w:color="auto"/>
              <w:right w:val="single" w:sz="4" w:space="0" w:color="auto"/>
            </w:tcBorders>
            <w:vAlign w:val="center"/>
          </w:tcPr>
          <w:p w14:paraId="4E3CFF66" w14:textId="0182C392" w:rsidR="00E101A2" w:rsidRDefault="00E101A2" w:rsidP="00E101A2">
            <w:pPr>
              <w:widowControl/>
              <w:adjustRightInd w:val="0"/>
              <w:snapToGrid w:val="0"/>
              <w:jc w:val="center"/>
              <w:textAlignment w:val="center"/>
              <w:rPr>
                <w:rFonts w:eastAsia="仿宋"/>
              </w:rPr>
            </w:pPr>
            <w:r>
              <w:rPr>
                <w:color w:val="000000"/>
                <w:sz w:val="22"/>
                <w:szCs w:val="22"/>
              </w:rPr>
              <w:t>0.668</w:t>
            </w:r>
          </w:p>
        </w:tc>
        <w:tc>
          <w:tcPr>
            <w:tcW w:w="387" w:type="pct"/>
            <w:tcBorders>
              <w:top w:val="single" w:sz="4" w:space="0" w:color="auto"/>
              <w:left w:val="single" w:sz="4" w:space="0" w:color="auto"/>
              <w:bottom w:val="single" w:sz="4" w:space="0" w:color="auto"/>
              <w:right w:val="single" w:sz="4" w:space="0" w:color="auto"/>
            </w:tcBorders>
            <w:vAlign w:val="center"/>
          </w:tcPr>
          <w:p w14:paraId="151ECA18" w14:textId="10955809" w:rsidR="00E101A2" w:rsidRDefault="00E101A2" w:rsidP="00E101A2">
            <w:pPr>
              <w:widowControl/>
              <w:adjustRightInd w:val="0"/>
              <w:snapToGrid w:val="0"/>
              <w:jc w:val="center"/>
              <w:textAlignment w:val="center"/>
              <w:rPr>
                <w:rFonts w:eastAsia="仿宋"/>
              </w:rPr>
            </w:pPr>
            <w:r>
              <w:rPr>
                <w:color w:val="000000"/>
                <w:sz w:val="22"/>
                <w:szCs w:val="22"/>
              </w:rPr>
              <w:t>0.696</w:t>
            </w:r>
          </w:p>
        </w:tc>
        <w:tc>
          <w:tcPr>
            <w:tcW w:w="395" w:type="pct"/>
            <w:tcBorders>
              <w:top w:val="single" w:sz="4" w:space="0" w:color="auto"/>
              <w:left w:val="single" w:sz="4" w:space="0" w:color="auto"/>
              <w:bottom w:val="single" w:sz="4" w:space="0" w:color="auto"/>
              <w:right w:val="single" w:sz="4" w:space="0" w:color="auto"/>
            </w:tcBorders>
            <w:vAlign w:val="center"/>
          </w:tcPr>
          <w:p w14:paraId="593BAC9F" w14:textId="4C5F1A40" w:rsidR="00E101A2" w:rsidRDefault="00E101A2" w:rsidP="00E101A2">
            <w:pPr>
              <w:widowControl/>
              <w:adjustRightInd w:val="0"/>
              <w:snapToGrid w:val="0"/>
              <w:jc w:val="center"/>
              <w:textAlignment w:val="center"/>
              <w:rPr>
                <w:rFonts w:eastAsia="仿宋"/>
              </w:rPr>
            </w:pPr>
            <w:r>
              <w:rPr>
                <w:color w:val="000000"/>
                <w:sz w:val="22"/>
                <w:szCs w:val="22"/>
              </w:rPr>
              <w:t>0.658</w:t>
            </w:r>
          </w:p>
        </w:tc>
        <w:tc>
          <w:tcPr>
            <w:tcW w:w="367" w:type="pct"/>
            <w:tcBorders>
              <w:top w:val="single" w:sz="4" w:space="0" w:color="auto"/>
              <w:left w:val="single" w:sz="4" w:space="0" w:color="auto"/>
              <w:bottom w:val="single" w:sz="4" w:space="0" w:color="auto"/>
              <w:right w:val="single" w:sz="4" w:space="0" w:color="auto"/>
            </w:tcBorders>
            <w:vAlign w:val="center"/>
          </w:tcPr>
          <w:p w14:paraId="615A288D" w14:textId="777EEB71" w:rsidR="00E101A2" w:rsidRDefault="00E101A2" w:rsidP="00E101A2">
            <w:pPr>
              <w:widowControl/>
              <w:adjustRightInd w:val="0"/>
              <w:snapToGrid w:val="0"/>
              <w:jc w:val="center"/>
              <w:textAlignment w:val="center"/>
              <w:rPr>
                <w:rFonts w:eastAsia="仿宋"/>
              </w:rPr>
            </w:pPr>
            <w:r>
              <w:rPr>
                <w:color w:val="000000"/>
                <w:sz w:val="22"/>
                <w:szCs w:val="22"/>
              </w:rPr>
              <w:t>0.672</w:t>
            </w:r>
          </w:p>
        </w:tc>
        <w:tc>
          <w:tcPr>
            <w:tcW w:w="466" w:type="pct"/>
            <w:vMerge/>
            <w:tcBorders>
              <w:left w:val="single" w:sz="4" w:space="0" w:color="auto"/>
              <w:bottom w:val="single" w:sz="4" w:space="0" w:color="auto"/>
            </w:tcBorders>
            <w:vAlign w:val="center"/>
          </w:tcPr>
          <w:p w14:paraId="5AD28C6D" w14:textId="77777777" w:rsidR="00E101A2" w:rsidRDefault="00E101A2" w:rsidP="00E101A2">
            <w:pPr>
              <w:widowControl/>
              <w:adjustRightInd w:val="0"/>
              <w:snapToGrid w:val="0"/>
              <w:jc w:val="center"/>
              <w:textAlignment w:val="center"/>
              <w:rPr>
                <w:rFonts w:ascii="仿宋" w:eastAsia="仿宋" w:hAnsi="仿宋" w:cs="仿宋" w:hint="eastAsia"/>
              </w:rPr>
            </w:pPr>
          </w:p>
        </w:tc>
      </w:tr>
      <w:tr w:rsidR="00E101A2" w:rsidRPr="00D32158" w14:paraId="2BD33183" w14:textId="77777777" w:rsidTr="00E101A2">
        <w:trPr>
          <w:trHeight w:val="57"/>
          <w:jc w:val="center"/>
        </w:trPr>
        <w:tc>
          <w:tcPr>
            <w:tcW w:w="708" w:type="pct"/>
            <w:vMerge w:val="restart"/>
            <w:tcBorders>
              <w:top w:val="single" w:sz="4" w:space="0" w:color="auto"/>
              <w:right w:val="single" w:sz="4" w:space="0" w:color="auto"/>
            </w:tcBorders>
            <w:vAlign w:val="center"/>
          </w:tcPr>
          <w:p w14:paraId="7B6E064C" w14:textId="13094100" w:rsidR="00E101A2" w:rsidRPr="00D32158" w:rsidRDefault="00E101A2" w:rsidP="00E101A2">
            <w:pPr>
              <w:widowControl/>
              <w:adjustRightInd w:val="0"/>
              <w:snapToGrid w:val="0"/>
              <w:jc w:val="center"/>
              <w:textAlignment w:val="center"/>
            </w:pPr>
            <w:r w:rsidRPr="00D32158">
              <w:t>汞</w:t>
            </w:r>
          </w:p>
        </w:tc>
        <w:tc>
          <w:tcPr>
            <w:tcW w:w="586" w:type="pct"/>
            <w:vAlign w:val="center"/>
          </w:tcPr>
          <w:p w14:paraId="3296846E" w14:textId="3FE23C20" w:rsidR="00E101A2" w:rsidRPr="00D32158" w:rsidRDefault="00E101A2" w:rsidP="00E101A2">
            <w:pPr>
              <w:adjustRightInd w:val="0"/>
              <w:snapToGrid w:val="0"/>
              <w:jc w:val="center"/>
            </w:pPr>
            <w:r>
              <w:rPr>
                <w:rFonts w:hint="eastAsia"/>
              </w:rPr>
              <w:t>监测值</w:t>
            </w:r>
          </w:p>
        </w:tc>
        <w:tc>
          <w:tcPr>
            <w:tcW w:w="478" w:type="pct"/>
            <w:vMerge w:val="restart"/>
            <w:tcBorders>
              <w:top w:val="single" w:sz="4" w:space="0" w:color="auto"/>
              <w:left w:val="single" w:sz="4" w:space="0" w:color="auto"/>
              <w:right w:val="single" w:sz="4" w:space="0" w:color="auto"/>
              <w:tl2br w:val="nil"/>
              <w:tr2bl w:val="nil"/>
            </w:tcBorders>
            <w:vAlign w:val="center"/>
          </w:tcPr>
          <w:p w14:paraId="46F48812" w14:textId="332F2476" w:rsidR="00E101A2" w:rsidRPr="00D32158" w:rsidRDefault="00E101A2" w:rsidP="00E101A2">
            <w:pPr>
              <w:adjustRightInd w:val="0"/>
              <w:snapToGrid w:val="0"/>
              <w:jc w:val="center"/>
            </w:pPr>
            <w:r w:rsidRPr="00D32158">
              <w:t>mg/L</w:t>
            </w:r>
          </w:p>
        </w:tc>
        <w:tc>
          <w:tcPr>
            <w:tcW w:w="402" w:type="pct"/>
            <w:tcBorders>
              <w:top w:val="single" w:sz="4" w:space="0" w:color="auto"/>
              <w:left w:val="single" w:sz="4" w:space="0" w:color="auto"/>
              <w:bottom w:val="single" w:sz="4" w:space="0" w:color="auto"/>
              <w:right w:val="single" w:sz="4" w:space="0" w:color="auto"/>
            </w:tcBorders>
            <w:vAlign w:val="center"/>
          </w:tcPr>
          <w:p w14:paraId="75F2B345" w14:textId="3EF263AD" w:rsidR="00E101A2" w:rsidRPr="00D32158" w:rsidRDefault="00E101A2" w:rsidP="00E101A2">
            <w:pPr>
              <w:widowControl/>
              <w:adjustRightInd w:val="0"/>
              <w:snapToGrid w:val="0"/>
              <w:jc w:val="center"/>
              <w:textAlignment w:val="center"/>
            </w:pPr>
            <w:r>
              <w:rPr>
                <w:color w:val="000000"/>
                <w:sz w:val="22"/>
                <w:szCs w:val="22"/>
              </w:rPr>
              <w:t>0.00004L</w:t>
            </w:r>
          </w:p>
        </w:tc>
        <w:tc>
          <w:tcPr>
            <w:tcW w:w="402" w:type="pct"/>
            <w:tcBorders>
              <w:top w:val="single" w:sz="4" w:space="0" w:color="auto"/>
              <w:left w:val="single" w:sz="4" w:space="0" w:color="auto"/>
              <w:bottom w:val="single" w:sz="4" w:space="0" w:color="auto"/>
              <w:right w:val="single" w:sz="4" w:space="0" w:color="auto"/>
            </w:tcBorders>
            <w:vAlign w:val="center"/>
          </w:tcPr>
          <w:p w14:paraId="7AD44431" w14:textId="775DEB37" w:rsidR="00E101A2" w:rsidRPr="00D32158" w:rsidRDefault="00E101A2" w:rsidP="00E101A2">
            <w:pPr>
              <w:widowControl/>
              <w:adjustRightInd w:val="0"/>
              <w:snapToGrid w:val="0"/>
              <w:jc w:val="center"/>
              <w:textAlignment w:val="center"/>
            </w:pPr>
            <w:r>
              <w:rPr>
                <w:color w:val="000000"/>
                <w:sz w:val="22"/>
                <w:szCs w:val="22"/>
              </w:rPr>
              <w:t>0.00004L</w:t>
            </w:r>
          </w:p>
        </w:tc>
        <w:tc>
          <w:tcPr>
            <w:tcW w:w="402" w:type="pct"/>
            <w:tcBorders>
              <w:top w:val="single" w:sz="4" w:space="0" w:color="auto"/>
              <w:left w:val="single" w:sz="4" w:space="0" w:color="auto"/>
              <w:bottom w:val="single" w:sz="4" w:space="0" w:color="auto"/>
              <w:right w:val="single" w:sz="4" w:space="0" w:color="auto"/>
            </w:tcBorders>
            <w:vAlign w:val="center"/>
          </w:tcPr>
          <w:p w14:paraId="3C48FBD2" w14:textId="7E6C981C" w:rsidR="00E101A2" w:rsidRPr="00D32158" w:rsidRDefault="00E101A2" w:rsidP="00E101A2">
            <w:pPr>
              <w:widowControl/>
              <w:adjustRightInd w:val="0"/>
              <w:snapToGrid w:val="0"/>
              <w:jc w:val="center"/>
              <w:textAlignment w:val="center"/>
            </w:pPr>
            <w:r>
              <w:rPr>
                <w:color w:val="000000"/>
                <w:sz w:val="22"/>
                <w:szCs w:val="22"/>
              </w:rPr>
              <w:t>0.00004L</w:t>
            </w:r>
          </w:p>
        </w:tc>
        <w:tc>
          <w:tcPr>
            <w:tcW w:w="407" w:type="pct"/>
            <w:tcBorders>
              <w:top w:val="single" w:sz="4" w:space="0" w:color="auto"/>
              <w:left w:val="single" w:sz="4" w:space="0" w:color="auto"/>
              <w:bottom w:val="single" w:sz="4" w:space="0" w:color="auto"/>
              <w:right w:val="single" w:sz="4" w:space="0" w:color="auto"/>
            </w:tcBorders>
            <w:vAlign w:val="center"/>
          </w:tcPr>
          <w:p w14:paraId="56F1700B" w14:textId="5402A4E7" w:rsidR="00E101A2" w:rsidRPr="00D32158" w:rsidRDefault="00E101A2" w:rsidP="00E101A2">
            <w:pPr>
              <w:widowControl/>
              <w:adjustRightInd w:val="0"/>
              <w:snapToGrid w:val="0"/>
              <w:jc w:val="center"/>
              <w:textAlignment w:val="center"/>
            </w:pPr>
            <w:r>
              <w:rPr>
                <w:color w:val="000000"/>
              </w:rPr>
              <w:t>0.00004L</w:t>
            </w:r>
          </w:p>
        </w:tc>
        <w:tc>
          <w:tcPr>
            <w:tcW w:w="387" w:type="pct"/>
            <w:tcBorders>
              <w:top w:val="single" w:sz="4" w:space="0" w:color="auto"/>
              <w:left w:val="single" w:sz="4" w:space="0" w:color="auto"/>
              <w:bottom w:val="single" w:sz="4" w:space="0" w:color="auto"/>
              <w:right w:val="single" w:sz="4" w:space="0" w:color="auto"/>
            </w:tcBorders>
            <w:vAlign w:val="center"/>
          </w:tcPr>
          <w:p w14:paraId="07643E26" w14:textId="4BB788F8" w:rsidR="00E101A2" w:rsidRPr="00D32158" w:rsidRDefault="00E101A2" w:rsidP="00E101A2">
            <w:pPr>
              <w:widowControl/>
              <w:adjustRightInd w:val="0"/>
              <w:snapToGrid w:val="0"/>
              <w:jc w:val="center"/>
              <w:textAlignment w:val="center"/>
            </w:pPr>
            <w:r>
              <w:rPr>
                <w:color w:val="000000"/>
              </w:rPr>
              <w:t>0.00004L</w:t>
            </w:r>
          </w:p>
        </w:tc>
        <w:tc>
          <w:tcPr>
            <w:tcW w:w="395" w:type="pct"/>
            <w:tcBorders>
              <w:top w:val="single" w:sz="4" w:space="0" w:color="auto"/>
              <w:left w:val="single" w:sz="4" w:space="0" w:color="auto"/>
              <w:bottom w:val="single" w:sz="4" w:space="0" w:color="auto"/>
              <w:right w:val="single" w:sz="4" w:space="0" w:color="auto"/>
            </w:tcBorders>
            <w:vAlign w:val="center"/>
          </w:tcPr>
          <w:p w14:paraId="2411FBAC" w14:textId="5249ED44" w:rsidR="00E101A2" w:rsidRPr="00D32158" w:rsidRDefault="00E101A2" w:rsidP="00E101A2">
            <w:pPr>
              <w:widowControl/>
              <w:adjustRightInd w:val="0"/>
              <w:snapToGrid w:val="0"/>
              <w:jc w:val="center"/>
              <w:textAlignment w:val="center"/>
              <w:rPr>
                <w:color w:val="000000"/>
                <w:kern w:val="0"/>
                <w:lang w:bidi="ar"/>
              </w:rPr>
            </w:pPr>
            <w:r>
              <w:rPr>
                <w:color w:val="000000"/>
              </w:rPr>
              <w:t>0.00004L</w:t>
            </w:r>
          </w:p>
        </w:tc>
        <w:tc>
          <w:tcPr>
            <w:tcW w:w="367" w:type="pct"/>
            <w:tcBorders>
              <w:top w:val="single" w:sz="4" w:space="0" w:color="auto"/>
              <w:left w:val="single" w:sz="4" w:space="0" w:color="auto"/>
              <w:bottom w:val="single" w:sz="4" w:space="0" w:color="auto"/>
              <w:right w:val="single" w:sz="4" w:space="0" w:color="auto"/>
            </w:tcBorders>
            <w:vAlign w:val="center"/>
          </w:tcPr>
          <w:p w14:paraId="2BB0FDB7" w14:textId="5FA48CD1" w:rsidR="00E101A2" w:rsidRPr="00D32158" w:rsidRDefault="00E101A2" w:rsidP="00E101A2">
            <w:pPr>
              <w:widowControl/>
              <w:adjustRightInd w:val="0"/>
              <w:snapToGrid w:val="0"/>
              <w:jc w:val="center"/>
              <w:textAlignment w:val="center"/>
              <w:rPr>
                <w:color w:val="000000"/>
                <w:kern w:val="0"/>
              </w:rPr>
            </w:pPr>
            <w:r>
              <w:rPr>
                <w:color w:val="000000"/>
              </w:rPr>
              <w:t>0.00004L</w:t>
            </w:r>
          </w:p>
        </w:tc>
        <w:tc>
          <w:tcPr>
            <w:tcW w:w="466" w:type="pct"/>
            <w:vMerge w:val="restart"/>
            <w:tcBorders>
              <w:top w:val="single" w:sz="4" w:space="0" w:color="auto"/>
              <w:left w:val="single" w:sz="4" w:space="0" w:color="auto"/>
            </w:tcBorders>
            <w:vAlign w:val="center"/>
          </w:tcPr>
          <w:p w14:paraId="40021B04" w14:textId="124F4C9D" w:rsidR="00E101A2" w:rsidRPr="00D32158" w:rsidRDefault="00E101A2" w:rsidP="00E101A2">
            <w:pPr>
              <w:widowControl/>
              <w:adjustRightInd w:val="0"/>
              <w:snapToGrid w:val="0"/>
              <w:jc w:val="center"/>
              <w:textAlignment w:val="center"/>
            </w:pPr>
            <w:r>
              <w:rPr>
                <w:rFonts w:ascii="仿宋" w:eastAsia="仿宋" w:hAnsi="仿宋" w:cs="仿宋" w:hint="eastAsia"/>
              </w:rPr>
              <w:t>≤</w:t>
            </w:r>
            <w:r>
              <w:t>0.001</w:t>
            </w:r>
          </w:p>
        </w:tc>
      </w:tr>
      <w:tr w:rsidR="00E101A2" w:rsidRPr="00D32158" w14:paraId="2AE9E534" w14:textId="77777777" w:rsidTr="00E101A2">
        <w:trPr>
          <w:trHeight w:val="57"/>
          <w:jc w:val="center"/>
        </w:trPr>
        <w:tc>
          <w:tcPr>
            <w:tcW w:w="708" w:type="pct"/>
            <w:vMerge/>
            <w:tcBorders>
              <w:bottom w:val="single" w:sz="4" w:space="0" w:color="auto"/>
              <w:right w:val="single" w:sz="4" w:space="0" w:color="auto"/>
            </w:tcBorders>
            <w:vAlign w:val="center"/>
          </w:tcPr>
          <w:p w14:paraId="5001FC37" w14:textId="77777777" w:rsidR="00E101A2" w:rsidRPr="00D32158" w:rsidRDefault="00E101A2" w:rsidP="00E101A2">
            <w:pPr>
              <w:widowControl/>
              <w:adjustRightInd w:val="0"/>
              <w:snapToGrid w:val="0"/>
              <w:jc w:val="center"/>
              <w:textAlignment w:val="center"/>
            </w:pPr>
          </w:p>
        </w:tc>
        <w:tc>
          <w:tcPr>
            <w:tcW w:w="586" w:type="pct"/>
            <w:vAlign w:val="center"/>
          </w:tcPr>
          <w:p w14:paraId="22B4336A" w14:textId="65297762" w:rsidR="00E101A2" w:rsidRPr="00D32158" w:rsidRDefault="00E101A2" w:rsidP="00E101A2">
            <w:pPr>
              <w:adjustRightInd w:val="0"/>
              <w:snapToGrid w:val="0"/>
              <w:jc w:val="center"/>
            </w:pPr>
            <w:r>
              <w:rPr>
                <w:rFonts w:hint="eastAsia"/>
              </w:rPr>
              <w:t>标准指数</w:t>
            </w:r>
          </w:p>
        </w:tc>
        <w:tc>
          <w:tcPr>
            <w:tcW w:w="478" w:type="pct"/>
            <w:vMerge/>
            <w:tcBorders>
              <w:left w:val="single" w:sz="4" w:space="0" w:color="auto"/>
              <w:bottom w:val="single" w:sz="4" w:space="0" w:color="auto"/>
              <w:right w:val="single" w:sz="4" w:space="0" w:color="auto"/>
              <w:tl2br w:val="nil"/>
              <w:tr2bl w:val="nil"/>
            </w:tcBorders>
            <w:vAlign w:val="center"/>
          </w:tcPr>
          <w:p w14:paraId="7735A0F8" w14:textId="53634754" w:rsidR="00E101A2" w:rsidRPr="00D32158" w:rsidRDefault="00E101A2" w:rsidP="00E101A2">
            <w:pPr>
              <w:adjustRightInd w:val="0"/>
              <w:snapToGrid w:val="0"/>
              <w:jc w:val="center"/>
            </w:pPr>
          </w:p>
        </w:tc>
        <w:tc>
          <w:tcPr>
            <w:tcW w:w="402" w:type="pct"/>
            <w:tcBorders>
              <w:top w:val="single" w:sz="4" w:space="0" w:color="auto"/>
              <w:left w:val="single" w:sz="4" w:space="0" w:color="auto"/>
              <w:bottom w:val="single" w:sz="4" w:space="0" w:color="auto"/>
              <w:right w:val="single" w:sz="4" w:space="0" w:color="auto"/>
            </w:tcBorders>
            <w:vAlign w:val="center"/>
          </w:tcPr>
          <w:p w14:paraId="5F6D45E0" w14:textId="129590EB" w:rsidR="00E101A2" w:rsidRPr="00D32158" w:rsidRDefault="00E101A2" w:rsidP="00E101A2">
            <w:pPr>
              <w:widowControl/>
              <w:adjustRightInd w:val="0"/>
              <w:snapToGrid w:val="0"/>
              <w:jc w:val="center"/>
              <w:textAlignment w:val="center"/>
              <w:rPr>
                <w:color w:val="000000"/>
                <w:sz w:val="22"/>
                <w:szCs w:val="22"/>
              </w:rPr>
            </w:pPr>
            <w:r>
              <w:rPr>
                <w:rFonts w:eastAsia="仿宋" w:hint="eastAsia"/>
              </w:rPr>
              <w:t>/</w:t>
            </w:r>
          </w:p>
        </w:tc>
        <w:tc>
          <w:tcPr>
            <w:tcW w:w="402" w:type="pct"/>
            <w:tcBorders>
              <w:top w:val="single" w:sz="4" w:space="0" w:color="auto"/>
              <w:left w:val="single" w:sz="4" w:space="0" w:color="auto"/>
              <w:bottom w:val="single" w:sz="4" w:space="0" w:color="auto"/>
              <w:right w:val="single" w:sz="4" w:space="0" w:color="auto"/>
            </w:tcBorders>
          </w:tcPr>
          <w:p w14:paraId="7E1E7EE8" w14:textId="0DE6A7CA" w:rsidR="00E101A2" w:rsidRPr="00D32158" w:rsidRDefault="00E101A2" w:rsidP="00E101A2">
            <w:pPr>
              <w:widowControl/>
              <w:adjustRightInd w:val="0"/>
              <w:snapToGrid w:val="0"/>
              <w:jc w:val="center"/>
              <w:textAlignment w:val="center"/>
              <w:rPr>
                <w:color w:val="000000"/>
                <w:sz w:val="22"/>
                <w:szCs w:val="22"/>
              </w:rPr>
            </w:pPr>
            <w:r w:rsidRPr="00030223">
              <w:rPr>
                <w:rFonts w:eastAsia="仿宋" w:hint="eastAsia"/>
              </w:rPr>
              <w:t>/</w:t>
            </w:r>
          </w:p>
        </w:tc>
        <w:tc>
          <w:tcPr>
            <w:tcW w:w="402" w:type="pct"/>
            <w:tcBorders>
              <w:top w:val="single" w:sz="4" w:space="0" w:color="auto"/>
              <w:left w:val="single" w:sz="4" w:space="0" w:color="auto"/>
              <w:bottom w:val="single" w:sz="4" w:space="0" w:color="auto"/>
              <w:right w:val="single" w:sz="4" w:space="0" w:color="auto"/>
            </w:tcBorders>
          </w:tcPr>
          <w:p w14:paraId="72F796FE" w14:textId="25E72D24" w:rsidR="00E101A2" w:rsidRPr="00D32158" w:rsidRDefault="00E101A2" w:rsidP="00E101A2">
            <w:pPr>
              <w:widowControl/>
              <w:adjustRightInd w:val="0"/>
              <w:snapToGrid w:val="0"/>
              <w:jc w:val="center"/>
              <w:textAlignment w:val="center"/>
              <w:rPr>
                <w:color w:val="000000"/>
                <w:sz w:val="22"/>
                <w:szCs w:val="22"/>
              </w:rPr>
            </w:pPr>
            <w:r w:rsidRPr="00030223">
              <w:rPr>
                <w:rFonts w:eastAsia="仿宋" w:hint="eastAsia"/>
              </w:rPr>
              <w:t>/</w:t>
            </w:r>
          </w:p>
        </w:tc>
        <w:tc>
          <w:tcPr>
            <w:tcW w:w="407" w:type="pct"/>
            <w:tcBorders>
              <w:top w:val="single" w:sz="4" w:space="0" w:color="auto"/>
              <w:left w:val="single" w:sz="4" w:space="0" w:color="auto"/>
              <w:bottom w:val="single" w:sz="4" w:space="0" w:color="auto"/>
              <w:right w:val="single" w:sz="4" w:space="0" w:color="auto"/>
            </w:tcBorders>
          </w:tcPr>
          <w:p w14:paraId="1F689346" w14:textId="2458EB3B" w:rsidR="00E101A2" w:rsidRDefault="00E101A2" w:rsidP="00E101A2">
            <w:pPr>
              <w:widowControl/>
              <w:adjustRightInd w:val="0"/>
              <w:snapToGrid w:val="0"/>
              <w:jc w:val="center"/>
              <w:textAlignment w:val="center"/>
              <w:rPr>
                <w:rFonts w:eastAsia="仿宋"/>
              </w:rPr>
            </w:pPr>
            <w:r w:rsidRPr="00030223">
              <w:rPr>
                <w:rFonts w:eastAsia="仿宋" w:hint="eastAsia"/>
              </w:rPr>
              <w:t>/</w:t>
            </w:r>
          </w:p>
        </w:tc>
        <w:tc>
          <w:tcPr>
            <w:tcW w:w="387" w:type="pct"/>
            <w:tcBorders>
              <w:top w:val="single" w:sz="4" w:space="0" w:color="auto"/>
              <w:left w:val="single" w:sz="4" w:space="0" w:color="auto"/>
              <w:bottom w:val="single" w:sz="4" w:space="0" w:color="auto"/>
              <w:right w:val="single" w:sz="4" w:space="0" w:color="auto"/>
            </w:tcBorders>
          </w:tcPr>
          <w:p w14:paraId="09E6A7CB" w14:textId="2BE4DDC1" w:rsidR="00E101A2" w:rsidRDefault="00E101A2" w:rsidP="00E101A2">
            <w:pPr>
              <w:widowControl/>
              <w:adjustRightInd w:val="0"/>
              <w:snapToGrid w:val="0"/>
              <w:jc w:val="center"/>
              <w:textAlignment w:val="center"/>
              <w:rPr>
                <w:rFonts w:eastAsia="仿宋"/>
              </w:rPr>
            </w:pPr>
            <w:r w:rsidRPr="00030223">
              <w:rPr>
                <w:rFonts w:eastAsia="仿宋" w:hint="eastAsia"/>
              </w:rPr>
              <w:t>/</w:t>
            </w:r>
          </w:p>
        </w:tc>
        <w:tc>
          <w:tcPr>
            <w:tcW w:w="395" w:type="pct"/>
            <w:tcBorders>
              <w:top w:val="single" w:sz="4" w:space="0" w:color="auto"/>
              <w:left w:val="single" w:sz="4" w:space="0" w:color="auto"/>
              <w:bottom w:val="single" w:sz="4" w:space="0" w:color="auto"/>
              <w:right w:val="single" w:sz="4" w:space="0" w:color="auto"/>
            </w:tcBorders>
          </w:tcPr>
          <w:p w14:paraId="70BFD589" w14:textId="7A4913E9" w:rsidR="00E101A2" w:rsidRDefault="00E101A2" w:rsidP="00E101A2">
            <w:pPr>
              <w:widowControl/>
              <w:adjustRightInd w:val="0"/>
              <w:snapToGrid w:val="0"/>
              <w:jc w:val="center"/>
              <w:textAlignment w:val="center"/>
              <w:rPr>
                <w:rFonts w:eastAsia="仿宋"/>
              </w:rPr>
            </w:pPr>
            <w:r w:rsidRPr="00030223">
              <w:rPr>
                <w:rFonts w:eastAsia="仿宋" w:hint="eastAsia"/>
              </w:rPr>
              <w:t>/</w:t>
            </w:r>
          </w:p>
        </w:tc>
        <w:tc>
          <w:tcPr>
            <w:tcW w:w="367" w:type="pct"/>
            <w:tcBorders>
              <w:top w:val="single" w:sz="4" w:space="0" w:color="auto"/>
              <w:left w:val="single" w:sz="4" w:space="0" w:color="auto"/>
              <w:bottom w:val="single" w:sz="4" w:space="0" w:color="auto"/>
              <w:right w:val="single" w:sz="4" w:space="0" w:color="auto"/>
            </w:tcBorders>
          </w:tcPr>
          <w:p w14:paraId="0A6FCADB" w14:textId="3C98797E" w:rsidR="00E101A2" w:rsidRDefault="00E101A2" w:rsidP="00E101A2">
            <w:pPr>
              <w:widowControl/>
              <w:adjustRightInd w:val="0"/>
              <w:snapToGrid w:val="0"/>
              <w:jc w:val="center"/>
              <w:textAlignment w:val="center"/>
              <w:rPr>
                <w:rFonts w:eastAsia="仿宋"/>
              </w:rPr>
            </w:pPr>
            <w:r w:rsidRPr="00030223">
              <w:rPr>
                <w:rFonts w:eastAsia="仿宋" w:hint="eastAsia"/>
              </w:rPr>
              <w:t>/</w:t>
            </w:r>
          </w:p>
        </w:tc>
        <w:tc>
          <w:tcPr>
            <w:tcW w:w="466" w:type="pct"/>
            <w:vMerge/>
            <w:tcBorders>
              <w:left w:val="single" w:sz="4" w:space="0" w:color="auto"/>
              <w:bottom w:val="single" w:sz="4" w:space="0" w:color="auto"/>
            </w:tcBorders>
            <w:vAlign w:val="center"/>
          </w:tcPr>
          <w:p w14:paraId="7DC5DE30" w14:textId="77777777" w:rsidR="00E101A2" w:rsidRDefault="00E101A2" w:rsidP="00E101A2">
            <w:pPr>
              <w:widowControl/>
              <w:adjustRightInd w:val="0"/>
              <w:snapToGrid w:val="0"/>
              <w:jc w:val="center"/>
              <w:textAlignment w:val="center"/>
              <w:rPr>
                <w:rFonts w:ascii="仿宋" w:eastAsia="仿宋" w:hAnsi="仿宋" w:cs="仿宋" w:hint="eastAsia"/>
              </w:rPr>
            </w:pPr>
          </w:p>
        </w:tc>
      </w:tr>
      <w:tr w:rsidR="00E101A2" w:rsidRPr="00D32158" w14:paraId="6A9E3D6B" w14:textId="77777777" w:rsidTr="00E101A2">
        <w:trPr>
          <w:trHeight w:val="57"/>
          <w:jc w:val="center"/>
        </w:trPr>
        <w:tc>
          <w:tcPr>
            <w:tcW w:w="708" w:type="pct"/>
            <w:vMerge w:val="restart"/>
            <w:tcBorders>
              <w:top w:val="single" w:sz="4" w:space="0" w:color="auto"/>
              <w:right w:val="single" w:sz="4" w:space="0" w:color="auto"/>
            </w:tcBorders>
            <w:vAlign w:val="center"/>
          </w:tcPr>
          <w:p w14:paraId="473E68C0" w14:textId="650F4E9A" w:rsidR="00E101A2" w:rsidRPr="00D32158" w:rsidRDefault="00E101A2" w:rsidP="00E101A2">
            <w:pPr>
              <w:widowControl/>
              <w:adjustRightInd w:val="0"/>
              <w:snapToGrid w:val="0"/>
              <w:jc w:val="center"/>
              <w:textAlignment w:val="center"/>
            </w:pPr>
            <w:r w:rsidRPr="00D32158">
              <w:t>砷</w:t>
            </w:r>
          </w:p>
        </w:tc>
        <w:tc>
          <w:tcPr>
            <w:tcW w:w="586" w:type="pct"/>
            <w:vAlign w:val="center"/>
          </w:tcPr>
          <w:p w14:paraId="0BE67DEB" w14:textId="02D5C9B1" w:rsidR="00E101A2" w:rsidRPr="00D32158" w:rsidRDefault="00E101A2" w:rsidP="00E101A2">
            <w:pPr>
              <w:adjustRightInd w:val="0"/>
              <w:snapToGrid w:val="0"/>
              <w:jc w:val="center"/>
            </w:pPr>
            <w:r>
              <w:rPr>
                <w:rFonts w:hint="eastAsia"/>
              </w:rPr>
              <w:t>监测值</w:t>
            </w:r>
          </w:p>
        </w:tc>
        <w:tc>
          <w:tcPr>
            <w:tcW w:w="478" w:type="pct"/>
            <w:vMerge w:val="restart"/>
            <w:tcBorders>
              <w:top w:val="single" w:sz="4" w:space="0" w:color="auto"/>
              <w:left w:val="single" w:sz="4" w:space="0" w:color="auto"/>
              <w:right w:val="single" w:sz="4" w:space="0" w:color="auto"/>
              <w:tl2br w:val="nil"/>
              <w:tr2bl w:val="nil"/>
            </w:tcBorders>
            <w:vAlign w:val="center"/>
          </w:tcPr>
          <w:p w14:paraId="404561E5" w14:textId="76253170" w:rsidR="00E101A2" w:rsidRPr="00D32158" w:rsidRDefault="00E101A2" w:rsidP="00E101A2">
            <w:pPr>
              <w:adjustRightInd w:val="0"/>
              <w:snapToGrid w:val="0"/>
              <w:jc w:val="center"/>
            </w:pPr>
            <w:r w:rsidRPr="00D32158">
              <w:t>mg/L</w:t>
            </w:r>
          </w:p>
        </w:tc>
        <w:tc>
          <w:tcPr>
            <w:tcW w:w="402" w:type="pct"/>
            <w:tcBorders>
              <w:top w:val="single" w:sz="4" w:space="0" w:color="auto"/>
              <w:left w:val="single" w:sz="4" w:space="0" w:color="auto"/>
              <w:bottom w:val="single" w:sz="4" w:space="0" w:color="auto"/>
              <w:right w:val="single" w:sz="4" w:space="0" w:color="auto"/>
            </w:tcBorders>
            <w:vAlign w:val="center"/>
          </w:tcPr>
          <w:p w14:paraId="098EEDBF" w14:textId="14A6A7B9" w:rsidR="00E101A2" w:rsidRPr="00D32158" w:rsidRDefault="00E101A2" w:rsidP="00E101A2">
            <w:pPr>
              <w:widowControl/>
              <w:adjustRightInd w:val="0"/>
              <w:snapToGrid w:val="0"/>
              <w:jc w:val="center"/>
              <w:textAlignment w:val="center"/>
            </w:pPr>
            <w:r>
              <w:rPr>
                <w:color w:val="000000"/>
                <w:sz w:val="22"/>
                <w:szCs w:val="22"/>
              </w:rPr>
              <w:t>0.0003L</w:t>
            </w:r>
          </w:p>
        </w:tc>
        <w:tc>
          <w:tcPr>
            <w:tcW w:w="402" w:type="pct"/>
            <w:tcBorders>
              <w:top w:val="single" w:sz="4" w:space="0" w:color="auto"/>
              <w:left w:val="single" w:sz="4" w:space="0" w:color="auto"/>
              <w:bottom w:val="single" w:sz="4" w:space="0" w:color="auto"/>
              <w:right w:val="single" w:sz="4" w:space="0" w:color="auto"/>
            </w:tcBorders>
            <w:vAlign w:val="center"/>
          </w:tcPr>
          <w:p w14:paraId="4B436A24" w14:textId="51C8E8D5" w:rsidR="00E101A2" w:rsidRPr="00D32158" w:rsidRDefault="00E101A2" w:rsidP="00E101A2">
            <w:pPr>
              <w:widowControl/>
              <w:adjustRightInd w:val="0"/>
              <w:snapToGrid w:val="0"/>
              <w:jc w:val="center"/>
              <w:textAlignment w:val="center"/>
            </w:pPr>
            <w:r>
              <w:rPr>
                <w:color w:val="000000"/>
                <w:sz w:val="22"/>
                <w:szCs w:val="22"/>
              </w:rPr>
              <w:t>0.0003L</w:t>
            </w:r>
          </w:p>
        </w:tc>
        <w:tc>
          <w:tcPr>
            <w:tcW w:w="402" w:type="pct"/>
            <w:tcBorders>
              <w:top w:val="single" w:sz="4" w:space="0" w:color="auto"/>
              <w:left w:val="single" w:sz="4" w:space="0" w:color="auto"/>
              <w:bottom w:val="single" w:sz="4" w:space="0" w:color="auto"/>
              <w:right w:val="single" w:sz="4" w:space="0" w:color="auto"/>
            </w:tcBorders>
            <w:vAlign w:val="center"/>
          </w:tcPr>
          <w:p w14:paraId="744BB1EE" w14:textId="426625F7" w:rsidR="00E101A2" w:rsidRPr="00D32158" w:rsidRDefault="00E101A2" w:rsidP="00E101A2">
            <w:pPr>
              <w:widowControl/>
              <w:adjustRightInd w:val="0"/>
              <w:snapToGrid w:val="0"/>
              <w:jc w:val="center"/>
              <w:textAlignment w:val="center"/>
            </w:pPr>
            <w:r>
              <w:rPr>
                <w:color w:val="000000"/>
                <w:sz w:val="22"/>
                <w:szCs w:val="22"/>
              </w:rPr>
              <w:t>0.0003L</w:t>
            </w:r>
          </w:p>
        </w:tc>
        <w:tc>
          <w:tcPr>
            <w:tcW w:w="407" w:type="pct"/>
            <w:tcBorders>
              <w:top w:val="single" w:sz="4" w:space="0" w:color="auto"/>
              <w:left w:val="single" w:sz="4" w:space="0" w:color="auto"/>
              <w:bottom w:val="single" w:sz="4" w:space="0" w:color="auto"/>
              <w:right w:val="single" w:sz="4" w:space="0" w:color="auto"/>
            </w:tcBorders>
            <w:vAlign w:val="center"/>
          </w:tcPr>
          <w:p w14:paraId="16F5E2E9" w14:textId="06842BE4" w:rsidR="00E101A2" w:rsidRPr="00D32158" w:rsidRDefault="00E101A2" w:rsidP="00E101A2">
            <w:pPr>
              <w:widowControl/>
              <w:adjustRightInd w:val="0"/>
              <w:snapToGrid w:val="0"/>
              <w:jc w:val="center"/>
              <w:textAlignment w:val="center"/>
            </w:pPr>
            <w:r>
              <w:rPr>
                <w:color w:val="000000"/>
              </w:rPr>
              <w:t>0.0003L</w:t>
            </w:r>
          </w:p>
        </w:tc>
        <w:tc>
          <w:tcPr>
            <w:tcW w:w="387" w:type="pct"/>
            <w:tcBorders>
              <w:top w:val="single" w:sz="4" w:space="0" w:color="auto"/>
              <w:left w:val="single" w:sz="4" w:space="0" w:color="auto"/>
              <w:bottom w:val="single" w:sz="4" w:space="0" w:color="auto"/>
              <w:right w:val="single" w:sz="4" w:space="0" w:color="auto"/>
            </w:tcBorders>
            <w:vAlign w:val="center"/>
          </w:tcPr>
          <w:p w14:paraId="720ECA66" w14:textId="37C89D4D" w:rsidR="00E101A2" w:rsidRPr="00D32158" w:rsidRDefault="00E101A2" w:rsidP="00E101A2">
            <w:pPr>
              <w:widowControl/>
              <w:adjustRightInd w:val="0"/>
              <w:snapToGrid w:val="0"/>
              <w:jc w:val="center"/>
              <w:textAlignment w:val="center"/>
            </w:pPr>
            <w:r>
              <w:rPr>
                <w:color w:val="000000"/>
              </w:rPr>
              <w:t>0.0003L</w:t>
            </w:r>
          </w:p>
        </w:tc>
        <w:tc>
          <w:tcPr>
            <w:tcW w:w="395" w:type="pct"/>
            <w:tcBorders>
              <w:top w:val="single" w:sz="4" w:space="0" w:color="auto"/>
              <w:left w:val="single" w:sz="4" w:space="0" w:color="auto"/>
              <w:bottom w:val="single" w:sz="4" w:space="0" w:color="auto"/>
              <w:right w:val="single" w:sz="4" w:space="0" w:color="auto"/>
            </w:tcBorders>
            <w:vAlign w:val="center"/>
          </w:tcPr>
          <w:p w14:paraId="43C1CE27" w14:textId="1ADBD39F" w:rsidR="00E101A2" w:rsidRPr="00D32158" w:rsidRDefault="00E101A2" w:rsidP="00E101A2">
            <w:pPr>
              <w:widowControl/>
              <w:adjustRightInd w:val="0"/>
              <w:snapToGrid w:val="0"/>
              <w:jc w:val="center"/>
              <w:textAlignment w:val="center"/>
              <w:rPr>
                <w:color w:val="000000"/>
                <w:kern w:val="0"/>
                <w:lang w:bidi="ar"/>
              </w:rPr>
            </w:pPr>
            <w:r>
              <w:rPr>
                <w:color w:val="000000"/>
              </w:rPr>
              <w:t>0.0003L</w:t>
            </w:r>
          </w:p>
        </w:tc>
        <w:tc>
          <w:tcPr>
            <w:tcW w:w="367" w:type="pct"/>
            <w:tcBorders>
              <w:top w:val="single" w:sz="4" w:space="0" w:color="auto"/>
              <w:left w:val="single" w:sz="4" w:space="0" w:color="auto"/>
              <w:bottom w:val="single" w:sz="4" w:space="0" w:color="auto"/>
              <w:right w:val="single" w:sz="4" w:space="0" w:color="auto"/>
            </w:tcBorders>
            <w:vAlign w:val="center"/>
          </w:tcPr>
          <w:p w14:paraId="3C77AF61" w14:textId="3134F24D" w:rsidR="00E101A2" w:rsidRPr="00D32158" w:rsidRDefault="00E101A2" w:rsidP="00E101A2">
            <w:pPr>
              <w:widowControl/>
              <w:adjustRightInd w:val="0"/>
              <w:snapToGrid w:val="0"/>
              <w:jc w:val="center"/>
              <w:textAlignment w:val="center"/>
              <w:rPr>
                <w:color w:val="000000"/>
                <w:kern w:val="0"/>
              </w:rPr>
            </w:pPr>
            <w:r>
              <w:rPr>
                <w:color w:val="000000"/>
              </w:rPr>
              <w:t>0.0003L</w:t>
            </w:r>
          </w:p>
        </w:tc>
        <w:tc>
          <w:tcPr>
            <w:tcW w:w="466" w:type="pct"/>
            <w:vMerge w:val="restart"/>
            <w:tcBorders>
              <w:top w:val="single" w:sz="4" w:space="0" w:color="auto"/>
              <w:left w:val="single" w:sz="4" w:space="0" w:color="auto"/>
            </w:tcBorders>
            <w:vAlign w:val="center"/>
          </w:tcPr>
          <w:p w14:paraId="568FEDAF" w14:textId="7AFBA674" w:rsidR="00E101A2" w:rsidRPr="00D32158" w:rsidRDefault="00E101A2" w:rsidP="00E101A2">
            <w:pPr>
              <w:widowControl/>
              <w:adjustRightInd w:val="0"/>
              <w:snapToGrid w:val="0"/>
              <w:jc w:val="center"/>
              <w:textAlignment w:val="center"/>
            </w:pPr>
            <w:r>
              <w:rPr>
                <w:rFonts w:ascii="仿宋" w:eastAsia="仿宋" w:hAnsi="仿宋" w:cs="仿宋" w:hint="eastAsia"/>
              </w:rPr>
              <w:t>≤</w:t>
            </w:r>
            <w:r>
              <w:t>0.01</w:t>
            </w:r>
          </w:p>
        </w:tc>
      </w:tr>
      <w:tr w:rsidR="00E101A2" w:rsidRPr="00D32158" w14:paraId="788606BE" w14:textId="77777777" w:rsidTr="00E101A2">
        <w:trPr>
          <w:trHeight w:val="57"/>
          <w:jc w:val="center"/>
        </w:trPr>
        <w:tc>
          <w:tcPr>
            <w:tcW w:w="708" w:type="pct"/>
            <w:vMerge/>
            <w:tcBorders>
              <w:bottom w:val="single" w:sz="4" w:space="0" w:color="auto"/>
              <w:right w:val="single" w:sz="4" w:space="0" w:color="auto"/>
            </w:tcBorders>
            <w:vAlign w:val="center"/>
          </w:tcPr>
          <w:p w14:paraId="617DA87A" w14:textId="77777777" w:rsidR="00E101A2" w:rsidRPr="00D32158" w:rsidRDefault="00E101A2" w:rsidP="00E101A2">
            <w:pPr>
              <w:widowControl/>
              <w:adjustRightInd w:val="0"/>
              <w:snapToGrid w:val="0"/>
              <w:jc w:val="center"/>
              <w:textAlignment w:val="center"/>
            </w:pPr>
          </w:p>
        </w:tc>
        <w:tc>
          <w:tcPr>
            <w:tcW w:w="586" w:type="pct"/>
            <w:vAlign w:val="center"/>
          </w:tcPr>
          <w:p w14:paraId="5BA413BF" w14:textId="5EA72BAB" w:rsidR="00E101A2" w:rsidRPr="00D32158" w:rsidRDefault="00E101A2" w:rsidP="00E101A2">
            <w:pPr>
              <w:adjustRightInd w:val="0"/>
              <w:snapToGrid w:val="0"/>
              <w:jc w:val="center"/>
            </w:pPr>
            <w:r>
              <w:rPr>
                <w:rFonts w:hint="eastAsia"/>
              </w:rPr>
              <w:t>标准指数</w:t>
            </w:r>
          </w:p>
        </w:tc>
        <w:tc>
          <w:tcPr>
            <w:tcW w:w="478" w:type="pct"/>
            <w:vMerge/>
            <w:tcBorders>
              <w:left w:val="single" w:sz="4" w:space="0" w:color="auto"/>
              <w:bottom w:val="single" w:sz="4" w:space="0" w:color="auto"/>
              <w:right w:val="single" w:sz="4" w:space="0" w:color="auto"/>
              <w:tl2br w:val="nil"/>
              <w:tr2bl w:val="nil"/>
            </w:tcBorders>
            <w:vAlign w:val="center"/>
          </w:tcPr>
          <w:p w14:paraId="2CB545E2" w14:textId="247946F6" w:rsidR="00E101A2" w:rsidRPr="00D32158" w:rsidRDefault="00E101A2" w:rsidP="00E101A2">
            <w:pPr>
              <w:adjustRightInd w:val="0"/>
              <w:snapToGrid w:val="0"/>
              <w:jc w:val="center"/>
            </w:pPr>
          </w:p>
        </w:tc>
        <w:tc>
          <w:tcPr>
            <w:tcW w:w="402" w:type="pct"/>
            <w:tcBorders>
              <w:top w:val="single" w:sz="4" w:space="0" w:color="auto"/>
              <w:left w:val="single" w:sz="4" w:space="0" w:color="auto"/>
              <w:bottom w:val="single" w:sz="4" w:space="0" w:color="auto"/>
              <w:right w:val="single" w:sz="4" w:space="0" w:color="auto"/>
            </w:tcBorders>
            <w:vAlign w:val="center"/>
          </w:tcPr>
          <w:p w14:paraId="4146C8B7" w14:textId="3F2D0465" w:rsidR="00E101A2" w:rsidRPr="00D32158" w:rsidRDefault="00E101A2" w:rsidP="00E101A2">
            <w:pPr>
              <w:widowControl/>
              <w:adjustRightInd w:val="0"/>
              <w:snapToGrid w:val="0"/>
              <w:jc w:val="center"/>
              <w:textAlignment w:val="center"/>
              <w:rPr>
                <w:color w:val="000000"/>
                <w:sz w:val="22"/>
                <w:szCs w:val="22"/>
              </w:rPr>
            </w:pPr>
            <w:r>
              <w:rPr>
                <w:rFonts w:eastAsia="仿宋" w:hint="eastAsia"/>
              </w:rPr>
              <w:t>/</w:t>
            </w:r>
          </w:p>
        </w:tc>
        <w:tc>
          <w:tcPr>
            <w:tcW w:w="402" w:type="pct"/>
            <w:tcBorders>
              <w:top w:val="single" w:sz="4" w:space="0" w:color="auto"/>
              <w:left w:val="single" w:sz="4" w:space="0" w:color="auto"/>
              <w:bottom w:val="single" w:sz="4" w:space="0" w:color="auto"/>
              <w:right w:val="single" w:sz="4" w:space="0" w:color="auto"/>
            </w:tcBorders>
          </w:tcPr>
          <w:p w14:paraId="538EF79C" w14:textId="6CA9D277" w:rsidR="00E101A2" w:rsidRPr="00D32158" w:rsidRDefault="00E101A2" w:rsidP="00E101A2">
            <w:pPr>
              <w:widowControl/>
              <w:adjustRightInd w:val="0"/>
              <w:snapToGrid w:val="0"/>
              <w:jc w:val="center"/>
              <w:textAlignment w:val="center"/>
              <w:rPr>
                <w:color w:val="000000"/>
                <w:sz w:val="22"/>
                <w:szCs w:val="22"/>
              </w:rPr>
            </w:pPr>
            <w:r w:rsidRPr="00030223">
              <w:rPr>
                <w:rFonts w:eastAsia="仿宋" w:hint="eastAsia"/>
              </w:rPr>
              <w:t>/</w:t>
            </w:r>
          </w:p>
        </w:tc>
        <w:tc>
          <w:tcPr>
            <w:tcW w:w="402" w:type="pct"/>
            <w:tcBorders>
              <w:top w:val="single" w:sz="4" w:space="0" w:color="auto"/>
              <w:left w:val="single" w:sz="4" w:space="0" w:color="auto"/>
              <w:bottom w:val="single" w:sz="4" w:space="0" w:color="auto"/>
              <w:right w:val="single" w:sz="4" w:space="0" w:color="auto"/>
            </w:tcBorders>
          </w:tcPr>
          <w:p w14:paraId="2EBE016D" w14:textId="66FE6646" w:rsidR="00E101A2" w:rsidRPr="00D32158" w:rsidRDefault="00E101A2" w:rsidP="00E101A2">
            <w:pPr>
              <w:widowControl/>
              <w:adjustRightInd w:val="0"/>
              <w:snapToGrid w:val="0"/>
              <w:jc w:val="center"/>
              <w:textAlignment w:val="center"/>
              <w:rPr>
                <w:color w:val="000000"/>
                <w:sz w:val="22"/>
                <w:szCs w:val="22"/>
              </w:rPr>
            </w:pPr>
            <w:r w:rsidRPr="00030223">
              <w:rPr>
                <w:rFonts w:eastAsia="仿宋" w:hint="eastAsia"/>
              </w:rPr>
              <w:t>/</w:t>
            </w:r>
          </w:p>
        </w:tc>
        <w:tc>
          <w:tcPr>
            <w:tcW w:w="407" w:type="pct"/>
            <w:tcBorders>
              <w:top w:val="single" w:sz="4" w:space="0" w:color="auto"/>
              <w:left w:val="single" w:sz="4" w:space="0" w:color="auto"/>
              <w:bottom w:val="single" w:sz="4" w:space="0" w:color="auto"/>
              <w:right w:val="single" w:sz="4" w:space="0" w:color="auto"/>
            </w:tcBorders>
          </w:tcPr>
          <w:p w14:paraId="4A497FB3" w14:textId="37D1BCD4" w:rsidR="00E101A2" w:rsidRDefault="00E101A2" w:rsidP="00E101A2">
            <w:pPr>
              <w:widowControl/>
              <w:adjustRightInd w:val="0"/>
              <w:snapToGrid w:val="0"/>
              <w:jc w:val="center"/>
              <w:textAlignment w:val="center"/>
              <w:rPr>
                <w:rFonts w:eastAsia="仿宋"/>
              </w:rPr>
            </w:pPr>
            <w:r w:rsidRPr="00030223">
              <w:rPr>
                <w:rFonts w:eastAsia="仿宋" w:hint="eastAsia"/>
              </w:rPr>
              <w:t>/</w:t>
            </w:r>
          </w:p>
        </w:tc>
        <w:tc>
          <w:tcPr>
            <w:tcW w:w="387" w:type="pct"/>
            <w:tcBorders>
              <w:top w:val="single" w:sz="4" w:space="0" w:color="auto"/>
              <w:left w:val="single" w:sz="4" w:space="0" w:color="auto"/>
              <w:bottom w:val="single" w:sz="4" w:space="0" w:color="auto"/>
              <w:right w:val="single" w:sz="4" w:space="0" w:color="auto"/>
            </w:tcBorders>
          </w:tcPr>
          <w:p w14:paraId="00B4CC59" w14:textId="05D1AD74" w:rsidR="00E101A2" w:rsidRDefault="00E101A2" w:rsidP="00E101A2">
            <w:pPr>
              <w:widowControl/>
              <w:adjustRightInd w:val="0"/>
              <w:snapToGrid w:val="0"/>
              <w:jc w:val="center"/>
              <w:textAlignment w:val="center"/>
              <w:rPr>
                <w:rFonts w:eastAsia="仿宋"/>
              </w:rPr>
            </w:pPr>
            <w:r w:rsidRPr="00030223">
              <w:rPr>
                <w:rFonts w:eastAsia="仿宋" w:hint="eastAsia"/>
              </w:rPr>
              <w:t>/</w:t>
            </w:r>
          </w:p>
        </w:tc>
        <w:tc>
          <w:tcPr>
            <w:tcW w:w="395" w:type="pct"/>
            <w:tcBorders>
              <w:top w:val="single" w:sz="4" w:space="0" w:color="auto"/>
              <w:left w:val="single" w:sz="4" w:space="0" w:color="auto"/>
              <w:bottom w:val="single" w:sz="4" w:space="0" w:color="auto"/>
              <w:right w:val="single" w:sz="4" w:space="0" w:color="auto"/>
            </w:tcBorders>
          </w:tcPr>
          <w:p w14:paraId="33102F66" w14:textId="5FD17AD1" w:rsidR="00E101A2" w:rsidRDefault="00E101A2" w:rsidP="00E101A2">
            <w:pPr>
              <w:widowControl/>
              <w:adjustRightInd w:val="0"/>
              <w:snapToGrid w:val="0"/>
              <w:jc w:val="center"/>
              <w:textAlignment w:val="center"/>
              <w:rPr>
                <w:rFonts w:eastAsia="仿宋"/>
              </w:rPr>
            </w:pPr>
            <w:r w:rsidRPr="00030223">
              <w:rPr>
                <w:rFonts w:eastAsia="仿宋" w:hint="eastAsia"/>
              </w:rPr>
              <w:t>/</w:t>
            </w:r>
          </w:p>
        </w:tc>
        <w:tc>
          <w:tcPr>
            <w:tcW w:w="367" w:type="pct"/>
            <w:tcBorders>
              <w:top w:val="single" w:sz="4" w:space="0" w:color="auto"/>
              <w:left w:val="single" w:sz="4" w:space="0" w:color="auto"/>
              <w:bottom w:val="single" w:sz="4" w:space="0" w:color="auto"/>
              <w:right w:val="single" w:sz="4" w:space="0" w:color="auto"/>
            </w:tcBorders>
          </w:tcPr>
          <w:p w14:paraId="0EF73752" w14:textId="722DEDD8" w:rsidR="00E101A2" w:rsidRDefault="00E101A2" w:rsidP="00E101A2">
            <w:pPr>
              <w:widowControl/>
              <w:adjustRightInd w:val="0"/>
              <w:snapToGrid w:val="0"/>
              <w:jc w:val="center"/>
              <w:textAlignment w:val="center"/>
              <w:rPr>
                <w:rFonts w:eastAsia="仿宋"/>
              </w:rPr>
            </w:pPr>
            <w:r w:rsidRPr="00030223">
              <w:rPr>
                <w:rFonts w:eastAsia="仿宋" w:hint="eastAsia"/>
              </w:rPr>
              <w:t>/</w:t>
            </w:r>
          </w:p>
        </w:tc>
        <w:tc>
          <w:tcPr>
            <w:tcW w:w="466" w:type="pct"/>
            <w:vMerge/>
            <w:tcBorders>
              <w:left w:val="single" w:sz="4" w:space="0" w:color="auto"/>
              <w:bottom w:val="single" w:sz="4" w:space="0" w:color="auto"/>
            </w:tcBorders>
            <w:vAlign w:val="center"/>
          </w:tcPr>
          <w:p w14:paraId="3D120CE8" w14:textId="77777777" w:rsidR="00E101A2" w:rsidRDefault="00E101A2" w:rsidP="00E101A2">
            <w:pPr>
              <w:widowControl/>
              <w:adjustRightInd w:val="0"/>
              <w:snapToGrid w:val="0"/>
              <w:jc w:val="center"/>
              <w:textAlignment w:val="center"/>
              <w:rPr>
                <w:rFonts w:ascii="仿宋" w:eastAsia="仿宋" w:hAnsi="仿宋" w:cs="仿宋" w:hint="eastAsia"/>
              </w:rPr>
            </w:pPr>
          </w:p>
        </w:tc>
      </w:tr>
      <w:tr w:rsidR="00E101A2" w:rsidRPr="00D32158" w14:paraId="46795F13" w14:textId="77777777" w:rsidTr="00E101A2">
        <w:trPr>
          <w:trHeight w:val="57"/>
          <w:jc w:val="center"/>
        </w:trPr>
        <w:tc>
          <w:tcPr>
            <w:tcW w:w="708" w:type="pct"/>
            <w:vMerge w:val="restart"/>
            <w:tcBorders>
              <w:top w:val="single" w:sz="4" w:space="0" w:color="auto"/>
              <w:right w:val="single" w:sz="4" w:space="0" w:color="auto"/>
            </w:tcBorders>
            <w:vAlign w:val="center"/>
          </w:tcPr>
          <w:p w14:paraId="47B4F80E" w14:textId="17474D3A" w:rsidR="00E101A2" w:rsidRPr="00D32158" w:rsidRDefault="00E101A2" w:rsidP="00E101A2">
            <w:pPr>
              <w:widowControl/>
              <w:adjustRightInd w:val="0"/>
              <w:snapToGrid w:val="0"/>
              <w:jc w:val="center"/>
              <w:textAlignment w:val="center"/>
            </w:pPr>
            <w:r w:rsidRPr="00D32158">
              <w:t>镉</w:t>
            </w:r>
          </w:p>
        </w:tc>
        <w:tc>
          <w:tcPr>
            <w:tcW w:w="586" w:type="pct"/>
            <w:vAlign w:val="center"/>
          </w:tcPr>
          <w:p w14:paraId="66A283F6" w14:textId="4E432AF2" w:rsidR="00E101A2" w:rsidRPr="00D32158" w:rsidRDefault="00E101A2" w:rsidP="00E101A2">
            <w:pPr>
              <w:adjustRightInd w:val="0"/>
              <w:snapToGrid w:val="0"/>
              <w:jc w:val="center"/>
            </w:pPr>
            <w:r>
              <w:rPr>
                <w:rFonts w:hint="eastAsia"/>
              </w:rPr>
              <w:t>监测值</w:t>
            </w:r>
          </w:p>
        </w:tc>
        <w:tc>
          <w:tcPr>
            <w:tcW w:w="478" w:type="pct"/>
            <w:vMerge w:val="restart"/>
            <w:tcBorders>
              <w:top w:val="single" w:sz="4" w:space="0" w:color="auto"/>
              <w:left w:val="single" w:sz="4" w:space="0" w:color="auto"/>
              <w:right w:val="single" w:sz="4" w:space="0" w:color="auto"/>
              <w:tl2br w:val="nil"/>
              <w:tr2bl w:val="nil"/>
            </w:tcBorders>
            <w:vAlign w:val="center"/>
          </w:tcPr>
          <w:p w14:paraId="049D1019" w14:textId="4096720F" w:rsidR="00E101A2" w:rsidRPr="00D32158" w:rsidRDefault="00E101A2" w:rsidP="00E101A2">
            <w:pPr>
              <w:adjustRightInd w:val="0"/>
              <w:snapToGrid w:val="0"/>
              <w:jc w:val="center"/>
            </w:pPr>
            <w:r w:rsidRPr="00D32158">
              <w:t>mg/L</w:t>
            </w:r>
          </w:p>
        </w:tc>
        <w:tc>
          <w:tcPr>
            <w:tcW w:w="402" w:type="pct"/>
            <w:tcBorders>
              <w:top w:val="single" w:sz="4" w:space="0" w:color="auto"/>
              <w:left w:val="single" w:sz="4" w:space="0" w:color="auto"/>
              <w:bottom w:val="single" w:sz="4" w:space="0" w:color="auto"/>
              <w:right w:val="single" w:sz="4" w:space="0" w:color="auto"/>
            </w:tcBorders>
            <w:vAlign w:val="center"/>
          </w:tcPr>
          <w:p w14:paraId="6700A469" w14:textId="7084EC21" w:rsidR="00E101A2" w:rsidRPr="00D32158" w:rsidRDefault="00E101A2" w:rsidP="00E101A2">
            <w:pPr>
              <w:widowControl/>
              <w:adjustRightInd w:val="0"/>
              <w:snapToGrid w:val="0"/>
              <w:jc w:val="center"/>
              <w:textAlignment w:val="center"/>
            </w:pPr>
            <w:r>
              <w:rPr>
                <w:color w:val="000000"/>
                <w:sz w:val="22"/>
                <w:szCs w:val="22"/>
              </w:rPr>
              <w:t>0.001L</w:t>
            </w:r>
          </w:p>
        </w:tc>
        <w:tc>
          <w:tcPr>
            <w:tcW w:w="402" w:type="pct"/>
            <w:tcBorders>
              <w:top w:val="single" w:sz="4" w:space="0" w:color="auto"/>
              <w:left w:val="single" w:sz="4" w:space="0" w:color="auto"/>
              <w:bottom w:val="single" w:sz="4" w:space="0" w:color="auto"/>
              <w:right w:val="single" w:sz="4" w:space="0" w:color="auto"/>
            </w:tcBorders>
            <w:vAlign w:val="center"/>
          </w:tcPr>
          <w:p w14:paraId="1EB03839" w14:textId="2666BED9" w:rsidR="00E101A2" w:rsidRPr="00D32158" w:rsidRDefault="00E101A2" w:rsidP="00E101A2">
            <w:pPr>
              <w:widowControl/>
              <w:adjustRightInd w:val="0"/>
              <w:snapToGrid w:val="0"/>
              <w:jc w:val="center"/>
              <w:textAlignment w:val="center"/>
            </w:pPr>
            <w:r>
              <w:rPr>
                <w:color w:val="000000"/>
                <w:sz w:val="22"/>
                <w:szCs w:val="22"/>
              </w:rPr>
              <w:t>0.001L</w:t>
            </w:r>
          </w:p>
        </w:tc>
        <w:tc>
          <w:tcPr>
            <w:tcW w:w="402" w:type="pct"/>
            <w:tcBorders>
              <w:top w:val="single" w:sz="4" w:space="0" w:color="auto"/>
              <w:left w:val="single" w:sz="4" w:space="0" w:color="auto"/>
              <w:bottom w:val="single" w:sz="4" w:space="0" w:color="auto"/>
              <w:right w:val="single" w:sz="4" w:space="0" w:color="auto"/>
            </w:tcBorders>
            <w:vAlign w:val="center"/>
          </w:tcPr>
          <w:p w14:paraId="6969A1A5" w14:textId="74BB8360" w:rsidR="00E101A2" w:rsidRPr="00D32158" w:rsidRDefault="00E101A2" w:rsidP="00E101A2">
            <w:pPr>
              <w:widowControl/>
              <w:adjustRightInd w:val="0"/>
              <w:snapToGrid w:val="0"/>
              <w:jc w:val="center"/>
              <w:textAlignment w:val="center"/>
            </w:pPr>
            <w:r>
              <w:rPr>
                <w:color w:val="000000"/>
                <w:sz w:val="22"/>
                <w:szCs w:val="22"/>
              </w:rPr>
              <w:t>0.001L</w:t>
            </w:r>
          </w:p>
        </w:tc>
        <w:tc>
          <w:tcPr>
            <w:tcW w:w="407" w:type="pct"/>
            <w:tcBorders>
              <w:top w:val="single" w:sz="4" w:space="0" w:color="auto"/>
              <w:left w:val="single" w:sz="4" w:space="0" w:color="auto"/>
              <w:bottom w:val="single" w:sz="4" w:space="0" w:color="auto"/>
              <w:right w:val="single" w:sz="4" w:space="0" w:color="auto"/>
            </w:tcBorders>
            <w:vAlign w:val="center"/>
          </w:tcPr>
          <w:p w14:paraId="146B26F6" w14:textId="57D3CC87" w:rsidR="00E101A2" w:rsidRPr="00D32158" w:rsidRDefault="00E101A2" w:rsidP="00E101A2">
            <w:pPr>
              <w:widowControl/>
              <w:adjustRightInd w:val="0"/>
              <w:snapToGrid w:val="0"/>
              <w:jc w:val="center"/>
              <w:textAlignment w:val="center"/>
            </w:pPr>
            <w:r>
              <w:rPr>
                <w:color w:val="000000"/>
              </w:rPr>
              <w:t>0.001L</w:t>
            </w:r>
          </w:p>
        </w:tc>
        <w:tc>
          <w:tcPr>
            <w:tcW w:w="387" w:type="pct"/>
            <w:tcBorders>
              <w:top w:val="single" w:sz="4" w:space="0" w:color="auto"/>
              <w:left w:val="single" w:sz="4" w:space="0" w:color="auto"/>
              <w:bottom w:val="single" w:sz="4" w:space="0" w:color="auto"/>
              <w:right w:val="single" w:sz="4" w:space="0" w:color="auto"/>
            </w:tcBorders>
            <w:vAlign w:val="center"/>
          </w:tcPr>
          <w:p w14:paraId="6DC2740C" w14:textId="672EB2F8" w:rsidR="00E101A2" w:rsidRPr="00D32158" w:rsidRDefault="00E101A2" w:rsidP="00E101A2">
            <w:pPr>
              <w:widowControl/>
              <w:adjustRightInd w:val="0"/>
              <w:snapToGrid w:val="0"/>
              <w:jc w:val="center"/>
              <w:textAlignment w:val="center"/>
            </w:pPr>
            <w:r>
              <w:rPr>
                <w:color w:val="000000"/>
              </w:rPr>
              <w:t>0.001L</w:t>
            </w:r>
          </w:p>
        </w:tc>
        <w:tc>
          <w:tcPr>
            <w:tcW w:w="395" w:type="pct"/>
            <w:tcBorders>
              <w:top w:val="single" w:sz="4" w:space="0" w:color="auto"/>
              <w:left w:val="single" w:sz="4" w:space="0" w:color="auto"/>
              <w:bottom w:val="single" w:sz="4" w:space="0" w:color="auto"/>
              <w:right w:val="single" w:sz="4" w:space="0" w:color="auto"/>
            </w:tcBorders>
            <w:vAlign w:val="center"/>
          </w:tcPr>
          <w:p w14:paraId="6A4EAE66" w14:textId="35ECA3F6" w:rsidR="00E101A2" w:rsidRPr="00D32158" w:rsidRDefault="00E101A2" w:rsidP="00E101A2">
            <w:pPr>
              <w:widowControl/>
              <w:adjustRightInd w:val="0"/>
              <w:snapToGrid w:val="0"/>
              <w:jc w:val="center"/>
              <w:textAlignment w:val="center"/>
              <w:rPr>
                <w:color w:val="000000"/>
                <w:kern w:val="0"/>
                <w:lang w:bidi="ar"/>
              </w:rPr>
            </w:pPr>
            <w:r>
              <w:rPr>
                <w:color w:val="000000"/>
              </w:rPr>
              <w:t>0.001L</w:t>
            </w:r>
          </w:p>
        </w:tc>
        <w:tc>
          <w:tcPr>
            <w:tcW w:w="367" w:type="pct"/>
            <w:tcBorders>
              <w:top w:val="single" w:sz="4" w:space="0" w:color="auto"/>
              <w:left w:val="single" w:sz="4" w:space="0" w:color="auto"/>
              <w:bottom w:val="single" w:sz="4" w:space="0" w:color="auto"/>
              <w:right w:val="single" w:sz="4" w:space="0" w:color="auto"/>
            </w:tcBorders>
            <w:vAlign w:val="center"/>
          </w:tcPr>
          <w:p w14:paraId="57EAD18A" w14:textId="02355E2D" w:rsidR="00E101A2" w:rsidRPr="00D32158" w:rsidRDefault="00E101A2" w:rsidP="00E101A2">
            <w:pPr>
              <w:widowControl/>
              <w:adjustRightInd w:val="0"/>
              <w:snapToGrid w:val="0"/>
              <w:jc w:val="center"/>
              <w:textAlignment w:val="center"/>
              <w:rPr>
                <w:color w:val="000000"/>
                <w:kern w:val="0"/>
              </w:rPr>
            </w:pPr>
            <w:r>
              <w:rPr>
                <w:color w:val="000000"/>
              </w:rPr>
              <w:t>0.001L</w:t>
            </w:r>
          </w:p>
        </w:tc>
        <w:tc>
          <w:tcPr>
            <w:tcW w:w="466" w:type="pct"/>
            <w:vMerge w:val="restart"/>
            <w:tcBorders>
              <w:top w:val="single" w:sz="4" w:space="0" w:color="auto"/>
              <w:left w:val="single" w:sz="4" w:space="0" w:color="auto"/>
            </w:tcBorders>
            <w:vAlign w:val="center"/>
          </w:tcPr>
          <w:p w14:paraId="66758B99" w14:textId="278E7747" w:rsidR="00E101A2" w:rsidRPr="00D32158" w:rsidRDefault="00E101A2" w:rsidP="00E101A2">
            <w:pPr>
              <w:widowControl/>
              <w:adjustRightInd w:val="0"/>
              <w:snapToGrid w:val="0"/>
              <w:jc w:val="center"/>
              <w:textAlignment w:val="center"/>
            </w:pPr>
            <w:r>
              <w:rPr>
                <w:rFonts w:ascii="仿宋" w:eastAsia="仿宋" w:hAnsi="仿宋" w:cs="仿宋" w:hint="eastAsia"/>
              </w:rPr>
              <w:t>≤</w:t>
            </w:r>
            <w:r>
              <w:t>0.005</w:t>
            </w:r>
          </w:p>
        </w:tc>
      </w:tr>
      <w:tr w:rsidR="00E101A2" w:rsidRPr="00D32158" w14:paraId="0AD3303F" w14:textId="77777777" w:rsidTr="00E101A2">
        <w:trPr>
          <w:trHeight w:val="57"/>
          <w:jc w:val="center"/>
        </w:trPr>
        <w:tc>
          <w:tcPr>
            <w:tcW w:w="708" w:type="pct"/>
            <w:vMerge/>
            <w:tcBorders>
              <w:bottom w:val="single" w:sz="4" w:space="0" w:color="auto"/>
              <w:right w:val="single" w:sz="4" w:space="0" w:color="auto"/>
            </w:tcBorders>
            <w:vAlign w:val="center"/>
          </w:tcPr>
          <w:p w14:paraId="0C90D04B" w14:textId="77777777" w:rsidR="00E101A2" w:rsidRPr="00D32158" w:rsidRDefault="00E101A2" w:rsidP="00E101A2">
            <w:pPr>
              <w:widowControl/>
              <w:adjustRightInd w:val="0"/>
              <w:snapToGrid w:val="0"/>
              <w:jc w:val="center"/>
              <w:textAlignment w:val="center"/>
            </w:pPr>
          </w:p>
        </w:tc>
        <w:tc>
          <w:tcPr>
            <w:tcW w:w="586" w:type="pct"/>
            <w:vAlign w:val="center"/>
          </w:tcPr>
          <w:p w14:paraId="2D0AFCFE" w14:textId="01D35F02" w:rsidR="00E101A2" w:rsidRPr="00D32158" w:rsidRDefault="00E101A2" w:rsidP="00E101A2">
            <w:pPr>
              <w:adjustRightInd w:val="0"/>
              <w:snapToGrid w:val="0"/>
              <w:jc w:val="center"/>
            </w:pPr>
            <w:r>
              <w:rPr>
                <w:rFonts w:hint="eastAsia"/>
              </w:rPr>
              <w:t>标准指数</w:t>
            </w:r>
          </w:p>
        </w:tc>
        <w:tc>
          <w:tcPr>
            <w:tcW w:w="478" w:type="pct"/>
            <w:vMerge/>
            <w:tcBorders>
              <w:left w:val="single" w:sz="4" w:space="0" w:color="auto"/>
              <w:bottom w:val="single" w:sz="4" w:space="0" w:color="auto"/>
              <w:right w:val="single" w:sz="4" w:space="0" w:color="auto"/>
              <w:tl2br w:val="nil"/>
              <w:tr2bl w:val="nil"/>
            </w:tcBorders>
            <w:vAlign w:val="center"/>
          </w:tcPr>
          <w:p w14:paraId="2A937449" w14:textId="03AD5E65" w:rsidR="00E101A2" w:rsidRPr="00D32158" w:rsidRDefault="00E101A2" w:rsidP="00E101A2">
            <w:pPr>
              <w:adjustRightInd w:val="0"/>
              <w:snapToGrid w:val="0"/>
              <w:jc w:val="center"/>
            </w:pPr>
          </w:p>
        </w:tc>
        <w:tc>
          <w:tcPr>
            <w:tcW w:w="402" w:type="pct"/>
            <w:tcBorders>
              <w:top w:val="single" w:sz="4" w:space="0" w:color="auto"/>
              <w:left w:val="single" w:sz="4" w:space="0" w:color="auto"/>
              <w:bottom w:val="single" w:sz="4" w:space="0" w:color="auto"/>
              <w:right w:val="single" w:sz="4" w:space="0" w:color="auto"/>
            </w:tcBorders>
            <w:vAlign w:val="center"/>
          </w:tcPr>
          <w:p w14:paraId="75E0E058" w14:textId="3C3FDBCE" w:rsidR="00E101A2" w:rsidRPr="00D32158" w:rsidRDefault="00E101A2" w:rsidP="00E101A2">
            <w:pPr>
              <w:widowControl/>
              <w:adjustRightInd w:val="0"/>
              <w:snapToGrid w:val="0"/>
              <w:jc w:val="center"/>
              <w:textAlignment w:val="center"/>
              <w:rPr>
                <w:color w:val="000000"/>
                <w:sz w:val="22"/>
                <w:szCs w:val="22"/>
              </w:rPr>
            </w:pPr>
            <w:r>
              <w:rPr>
                <w:rFonts w:eastAsia="仿宋" w:hint="eastAsia"/>
              </w:rPr>
              <w:t>/</w:t>
            </w:r>
          </w:p>
        </w:tc>
        <w:tc>
          <w:tcPr>
            <w:tcW w:w="402" w:type="pct"/>
            <w:tcBorders>
              <w:top w:val="single" w:sz="4" w:space="0" w:color="auto"/>
              <w:left w:val="single" w:sz="4" w:space="0" w:color="auto"/>
              <w:bottom w:val="single" w:sz="4" w:space="0" w:color="auto"/>
              <w:right w:val="single" w:sz="4" w:space="0" w:color="auto"/>
            </w:tcBorders>
          </w:tcPr>
          <w:p w14:paraId="4F0B8947" w14:textId="4CB7E5B6" w:rsidR="00E101A2" w:rsidRPr="00D32158" w:rsidRDefault="00E101A2" w:rsidP="00E101A2">
            <w:pPr>
              <w:widowControl/>
              <w:adjustRightInd w:val="0"/>
              <w:snapToGrid w:val="0"/>
              <w:jc w:val="center"/>
              <w:textAlignment w:val="center"/>
              <w:rPr>
                <w:color w:val="000000"/>
                <w:sz w:val="22"/>
                <w:szCs w:val="22"/>
              </w:rPr>
            </w:pPr>
            <w:r w:rsidRPr="00030223">
              <w:rPr>
                <w:rFonts w:eastAsia="仿宋" w:hint="eastAsia"/>
              </w:rPr>
              <w:t>/</w:t>
            </w:r>
          </w:p>
        </w:tc>
        <w:tc>
          <w:tcPr>
            <w:tcW w:w="402" w:type="pct"/>
            <w:tcBorders>
              <w:top w:val="single" w:sz="4" w:space="0" w:color="auto"/>
              <w:left w:val="single" w:sz="4" w:space="0" w:color="auto"/>
              <w:bottom w:val="single" w:sz="4" w:space="0" w:color="auto"/>
              <w:right w:val="single" w:sz="4" w:space="0" w:color="auto"/>
            </w:tcBorders>
          </w:tcPr>
          <w:p w14:paraId="089E45A2" w14:textId="4B287DC7" w:rsidR="00E101A2" w:rsidRPr="00D32158" w:rsidRDefault="00E101A2" w:rsidP="00E101A2">
            <w:pPr>
              <w:widowControl/>
              <w:adjustRightInd w:val="0"/>
              <w:snapToGrid w:val="0"/>
              <w:jc w:val="center"/>
              <w:textAlignment w:val="center"/>
              <w:rPr>
                <w:color w:val="000000"/>
                <w:sz w:val="22"/>
                <w:szCs w:val="22"/>
              </w:rPr>
            </w:pPr>
            <w:r w:rsidRPr="00030223">
              <w:rPr>
                <w:rFonts w:eastAsia="仿宋" w:hint="eastAsia"/>
              </w:rPr>
              <w:t>/</w:t>
            </w:r>
          </w:p>
        </w:tc>
        <w:tc>
          <w:tcPr>
            <w:tcW w:w="407" w:type="pct"/>
            <w:tcBorders>
              <w:top w:val="single" w:sz="4" w:space="0" w:color="auto"/>
              <w:left w:val="single" w:sz="4" w:space="0" w:color="auto"/>
              <w:bottom w:val="single" w:sz="4" w:space="0" w:color="auto"/>
              <w:right w:val="single" w:sz="4" w:space="0" w:color="auto"/>
            </w:tcBorders>
          </w:tcPr>
          <w:p w14:paraId="3AE20D5A" w14:textId="7722628F" w:rsidR="00E101A2" w:rsidRDefault="00E101A2" w:rsidP="00E101A2">
            <w:pPr>
              <w:widowControl/>
              <w:adjustRightInd w:val="0"/>
              <w:snapToGrid w:val="0"/>
              <w:jc w:val="center"/>
              <w:textAlignment w:val="center"/>
              <w:rPr>
                <w:rFonts w:eastAsia="仿宋"/>
              </w:rPr>
            </w:pPr>
            <w:r w:rsidRPr="00030223">
              <w:rPr>
                <w:rFonts w:eastAsia="仿宋" w:hint="eastAsia"/>
              </w:rPr>
              <w:t>/</w:t>
            </w:r>
          </w:p>
        </w:tc>
        <w:tc>
          <w:tcPr>
            <w:tcW w:w="387" w:type="pct"/>
            <w:tcBorders>
              <w:top w:val="single" w:sz="4" w:space="0" w:color="auto"/>
              <w:left w:val="single" w:sz="4" w:space="0" w:color="auto"/>
              <w:bottom w:val="single" w:sz="4" w:space="0" w:color="auto"/>
              <w:right w:val="single" w:sz="4" w:space="0" w:color="auto"/>
            </w:tcBorders>
          </w:tcPr>
          <w:p w14:paraId="0D2703B3" w14:textId="1A9B3070" w:rsidR="00E101A2" w:rsidRDefault="00E101A2" w:rsidP="00E101A2">
            <w:pPr>
              <w:widowControl/>
              <w:adjustRightInd w:val="0"/>
              <w:snapToGrid w:val="0"/>
              <w:jc w:val="center"/>
              <w:textAlignment w:val="center"/>
              <w:rPr>
                <w:rFonts w:eastAsia="仿宋"/>
              </w:rPr>
            </w:pPr>
            <w:r w:rsidRPr="00030223">
              <w:rPr>
                <w:rFonts w:eastAsia="仿宋" w:hint="eastAsia"/>
              </w:rPr>
              <w:t>/</w:t>
            </w:r>
          </w:p>
        </w:tc>
        <w:tc>
          <w:tcPr>
            <w:tcW w:w="395" w:type="pct"/>
            <w:tcBorders>
              <w:top w:val="single" w:sz="4" w:space="0" w:color="auto"/>
              <w:left w:val="single" w:sz="4" w:space="0" w:color="auto"/>
              <w:bottom w:val="single" w:sz="4" w:space="0" w:color="auto"/>
              <w:right w:val="single" w:sz="4" w:space="0" w:color="auto"/>
            </w:tcBorders>
          </w:tcPr>
          <w:p w14:paraId="2CC5A0E0" w14:textId="1E7C3646" w:rsidR="00E101A2" w:rsidRDefault="00E101A2" w:rsidP="00E101A2">
            <w:pPr>
              <w:widowControl/>
              <w:adjustRightInd w:val="0"/>
              <w:snapToGrid w:val="0"/>
              <w:jc w:val="center"/>
              <w:textAlignment w:val="center"/>
              <w:rPr>
                <w:rFonts w:eastAsia="仿宋"/>
              </w:rPr>
            </w:pPr>
            <w:r w:rsidRPr="00030223">
              <w:rPr>
                <w:rFonts w:eastAsia="仿宋" w:hint="eastAsia"/>
              </w:rPr>
              <w:t>/</w:t>
            </w:r>
          </w:p>
        </w:tc>
        <w:tc>
          <w:tcPr>
            <w:tcW w:w="367" w:type="pct"/>
            <w:tcBorders>
              <w:top w:val="single" w:sz="4" w:space="0" w:color="auto"/>
              <w:left w:val="single" w:sz="4" w:space="0" w:color="auto"/>
              <w:bottom w:val="single" w:sz="4" w:space="0" w:color="auto"/>
              <w:right w:val="single" w:sz="4" w:space="0" w:color="auto"/>
            </w:tcBorders>
          </w:tcPr>
          <w:p w14:paraId="34B989B7" w14:textId="52459EC3" w:rsidR="00E101A2" w:rsidRDefault="00E101A2" w:rsidP="00E101A2">
            <w:pPr>
              <w:widowControl/>
              <w:adjustRightInd w:val="0"/>
              <w:snapToGrid w:val="0"/>
              <w:jc w:val="center"/>
              <w:textAlignment w:val="center"/>
              <w:rPr>
                <w:rFonts w:eastAsia="仿宋"/>
              </w:rPr>
            </w:pPr>
            <w:r w:rsidRPr="00030223">
              <w:rPr>
                <w:rFonts w:eastAsia="仿宋" w:hint="eastAsia"/>
              </w:rPr>
              <w:t>/</w:t>
            </w:r>
          </w:p>
        </w:tc>
        <w:tc>
          <w:tcPr>
            <w:tcW w:w="466" w:type="pct"/>
            <w:vMerge/>
            <w:tcBorders>
              <w:left w:val="single" w:sz="4" w:space="0" w:color="auto"/>
              <w:bottom w:val="single" w:sz="4" w:space="0" w:color="auto"/>
            </w:tcBorders>
            <w:vAlign w:val="center"/>
          </w:tcPr>
          <w:p w14:paraId="4CE5113D" w14:textId="77777777" w:rsidR="00E101A2" w:rsidRDefault="00E101A2" w:rsidP="00E101A2">
            <w:pPr>
              <w:widowControl/>
              <w:adjustRightInd w:val="0"/>
              <w:snapToGrid w:val="0"/>
              <w:jc w:val="center"/>
              <w:textAlignment w:val="center"/>
              <w:rPr>
                <w:rFonts w:ascii="仿宋" w:eastAsia="仿宋" w:hAnsi="仿宋" w:cs="仿宋" w:hint="eastAsia"/>
              </w:rPr>
            </w:pPr>
          </w:p>
        </w:tc>
      </w:tr>
      <w:tr w:rsidR="00E101A2" w:rsidRPr="00D32158" w14:paraId="749959ED" w14:textId="77777777" w:rsidTr="00E101A2">
        <w:trPr>
          <w:trHeight w:val="57"/>
          <w:jc w:val="center"/>
        </w:trPr>
        <w:tc>
          <w:tcPr>
            <w:tcW w:w="708" w:type="pct"/>
            <w:vMerge w:val="restart"/>
            <w:tcBorders>
              <w:top w:val="single" w:sz="4" w:space="0" w:color="auto"/>
              <w:right w:val="single" w:sz="4" w:space="0" w:color="auto"/>
            </w:tcBorders>
            <w:vAlign w:val="center"/>
          </w:tcPr>
          <w:p w14:paraId="48AE7CEC" w14:textId="256A7766" w:rsidR="00E101A2" w:rsidRPr="00D32158" w:rsidRDefault="00E101A2" w:rsidP="00E101A2">
            <w:pPr>
              <w:widowControl/>
              <w:adjustRightInd w:val="0"/>
              <w:snapToGrid w:val="0"/>
              <w:jc w:val="center"/>
              <w:textAlignment w:val="center"/>
            </w:pPr>
            <w:r w:rsidRPr="00D32158">
              <w:t>六价铬</w:t>
            </w:r>
          </w:p>
        </w:tc>
        <w:tc>
          <w:tcPr>
            <w:tcW w:w="586" w:type="pct"/>
            <w:vAlign w:val="center"/>
          </w:tcPr>
          <w:p w14:paraId="07BBD670" w14:textId="24F08215" w:rsidR="00E101A2" w:rsidRPr="00D32158" w:rsidRDefault="00E101A2" w:rsidP="00E101A2">
            <w:pPr>
              <w:adjustRightInd w:val="0"/>
              <w:snapToGrid w:val="0"/>
              <w:jc w:val="center"/>
            </w:pPr>
            <w:r>
              <w:rPr>
                <w:rFonts w:hint="eastAsia"/>
              </w:rPr>
              <w:t>监测值</w:t>
            </w:r>
          </w:p>
        </w:tc>
        <w:tc>
          <w:tcPr>
            <w:tcW w:w="478" w:type="pct"/>
            <w:vMerge w:val="restart"/>
            <w:tcBorders>
              <w:top w:val="single" w:sz="4" w:space="0" w:color="auto"/>
              <w:left w:val="single" w:sz="4" w:space="0" w:color="auto"/>
              <w:right w:val="single" w:sz="4" w:space="0" w:color="auto"/>
              <w:tl2br w:val="nil"/>
              <w:tr2bl w:val="nil"/>
            </w:tcBorders>
            <w:vAlign w:val="center"/>
          </w:tcPr>
          <w:p w14:paraId="68FB56D4" w14:textId="19986DDF" w:rsidR="00E101A2" w:rsidRPr="00D32158" w:rsidRDefault="00E101A2" w:rsidP="00E101A2">
            <w:pPr>
              <w:adjustRightInd w:val="0"/>
              <w:snapToGrid w:val="0"/>
              <w:jc w:val="center"/>
            </w:pPr>
            <w:r w:rsidRPr="00D32158">
              <w:t>mg/L</w:t>
            </w:r>
          </w:p>
        </w:tc>
        <w:tc>
          <w:tcPr>
            <w:tcW w:w="402" w:type="pct"/>
            <w:tcBorders>
              <w:top w:val="single" w:sz="4" w:space="0" w:color="auto"/>
              <w:left w:val="single" w:sz="4" w:space="0" w:color="auto"/>
              <w:bottom w:val="single" w:sz="4" w:space="0" w:color="auto"/>
              <w:right w:val="single" w:sz="4" w:space="0" w:color="auto"/>
            </w:tcBorders>
            <w:vAlign w:val="center"/>
          </w:tcPr>
          <w:p w14:paraId="425D7031" w14:textId="6F43730C" w:rsidR="00E101A2" w:rsidRPr="00D32158" w:rsidRDefault="00E101A2" w:rsidP="00E101A2">
            <w:pPr>
              <w:widowControl/>
              <w:adjustRightInd w:val="0"/>
              <w:snapToGrid w:val="0"/>
              <w:jc w:val="center"/>
              <w:textAlignment w:val="center"/>
            </w:pPr>
            <w:r>
              <w:rPr>
                <w:color w:val="000000"/>
                <w:sz w:val="22"/>
                <w:szCs w:val="22"/>
              </w:rPr>
              <w:t>0.004L</w:t>
            </w:r>
          </w:p>
        </w:tc>
        <w:tc>
          <w:tcPr>
            <w:tcW w:w="402" w:type="pct"/>
            <w:tcBorders>
              <w:top w:val="single" w:sz="4" w:space="0" w:color="auto"/>
              <w:left w:val="single" w:sz="4" w:space="0" w:color="auto"/>
              <w:bottom w:val="single" w:sz="4" w:space="0" w:color="auto"/>
              <w:right w:val="single" w:sz="4" w:space="0" w:color="auto"/>
            </w:tcBorders>
            <w:vAlign w:val="center"/>
          </w:tcPr>
          <w:p w14:paraId="15A5E996" w14:textId="1256FEB9" w:rsidR="00E101A2" w:rsidRPr="00D32158" w:rsidRDefault="00E101A2" w:rsidP="00E101A2">
            <w:pPr>
              <w:widowControl/>
              <w:adjustRightInd w:val="0"/>
              <w:snapToGrid w:val="0"/>
              <w:jc w:val="center"/>
              <w:textAlignment w:val="center"/>
            </w:pPr>
            <w:r>
              <w:rPr>
                <w:color w:val="000000"/>
                <w:sz w:val="22"/>
                <w:szCs w:val="22"/>
              </w:rPr>
              <w:t>0.004L</w:t>
            </w:r>
          </w:p>
        </w:tc>
        <w:tc>
          <w:tcPr>
            <w:tcW w:w="402" w:type="pct"/>
            <w:tcBorders>
              <w:top w:val="single" w:sz="4" w:space="0" w:color="auto"/>
              <w:left w:val="single" w:sz="4" w:space="0" w:color="auto"/>
              <w:bottom w:val="single" w:sz="4" w:space="0" w:color="auto"/>
              <w:right w:val="single" w:sz="4" w:space="0" w:color="auto"/>
            </w:tcBorders>
            <w:vAlign w:val="center"/>
          </w:tcPr>
          <w:p w14:paraId="18FED48B" w14:textId="1D1BB972" w:rsidR="00E101A2" w:rsidRPr="00D32158" w:rsidRDefault="00E101A2" w:rsidP="00E101A2">
            <w:pPr>
              <w:widowControl/>
              <w:adjustRightInd w:val="0"/>
              <w:snapToGrid w:val="0"/>
              <w:jc w:val="center"/>
              <w:textAlignment w:val="center"/>
            </w:pPr>
            <w:r>
              <w:rPr>
                <w:color w:val="000000"/>
                <w:sz w:val="22"/>
                <w:szCs w:val="22"/>
              </w:rPr>
              <w:t>0.004L</w:t>
            </w:r>
          </w:p>
        </w:tc>
        <w:tc>
          <w:tcPr>
            <w:tcW w:w="407" w:type="pct"/>
            <w:tcBorders>
              <w:top w:val="single" w:sz="4" w:space="0" w:color="auto"/>
              <w:left w:val="single" w:sz="4" w:space="0" w:color="auto"/>
              <w:bottom w:val="single" w:sz="4" w:space="0" w:color="auto"/>
              <w:right w:val="single" w:sz="4" w:space="0" w:color="auto"/>
            </w:tcBorders>
            <w:vAlign w:val="center"/>
          </w:tcPr>
          <w:p w14:paraId="032CA30E" w14:textId="396BCC9D" w:rsidR="00E101A2" w:rsidRPr="00D32158" w:rsidRDefault="00E101A2" w:rsidP="00E101A2">
            <w:pPr>
              <w:widowControl/>
              <w:adjustRightInd w:val="0"/>
              <w:snapToGrid w:val="0"/>
              <w:jc w:val="center"/>
              <w:textAlignment w:val="center"/>
            </w:pPr>
            <w:r>
              <w:rPr>
                <w:color w:val="000000"/>
              </w:rPr>
              <w:t>0.004L</w:t>
            </w:r>
          </w:p>
        </w:tc>
        <w:tc>
          <w:tcPr>
            <w:tcW w:w="387" w:type="pct"/>
            <w:tcBorders>
              <w:top w:val="single" w:sz="4" w:space="0" w:color="auto"/>
              <w:left w:val="single" w:sz="4" w:space="0" w:color="auto"/>
              <w:bottom w:val="single" w:sz="4" w:space="0" w:color="auto"/>
              <w:right w:val="single" w:sz="4" w:space="0" w:color="auto"/>
            </w:tcBorders>
            <w:vAlign w:val="center"/>
          </w:tcPr>
          <w:p w14:paraId="6277F94B" w14:textId="3C4C15E7" w:rsidR="00E101A2" w:rsidRPr="00D32158" w:rsidRDefault="00E101A2" w:rsidP="00E101A2">
            <w:pPr>
              <w:widowControl/>
              <w:adjustRightInd w:val="0"/>
              <w:snapToGrid w:val="0"/>
              <w:jc w:val="center"/>
              <w:textAlignment w:val="center"/>
            </w:pPr>
            <w:r>
              <w:rPr>
                <w:color w:val="000000"/>
              </w:rPr>
              <w:t>0.004L</w:t>
            </w:r>
          </w:p>
        </w:tc>
        <w:tc>
          <w:tcPr>
            <w:tcW w:w="395" w:type="pct"/>
            <w:tcBorders>
              <w:top w:val="single" w:sz="4" w:space="0" w:color="auto"/>
              <w:left w:val="single" w:sz="4" w:space="0" w:color="auto"/>
              <w:bottom w:val="single" w:sz="4" w:space="0" w:color="auto"/>
              <w:right w:val="single" w:sz="4" w:space="0" w:color="auto"/>
            </w:tcBorders>
            <w:vAlign w:val="center"/>
          </w:tcPr>
          <w:p w14:paraId="6DEAD78E" w14:textId="337DF11A" w:rsidR="00E101A2" w:rsidRPr="00D32158" w:rsidRDefault="00E101A2" w:rsidP="00E101A2">
            <w:pPr>
              <w:widowControl/>
              <w:adjustRightInd w:val="0"/>
              <w:snapToGrid w:val="0"/>
              <w:jc w:val="center"/>
              <w:textAlignment w:val="center"/>
              <w:rPr>
                <w:color w:val="000000"/>
                <w:kern w:val="0"/>
                <w:lang w:bidi="ar"/>
              </w:rPr>
            </w:pPr>
            <w:r>
              <w:rPr>
                <w:color w:val="000000"/>
              </w:rPr>
              <w:t>0.004L</w:t>
            </w:r>
          </w:p>
        </w:tc>
        <w:tc>
          <w:tcPr>
            <w:tcW w:w="367" w:type="pct"/>
            <w:tcBorders>
              <w:top w:val="single" w:sz="4" w:space="0" w:color="auto"/>
              <w:left w:val="single" w:sz="4" w:space="0" w:color="auto"/>
              <w:bottom w:val="single" w:sz="4" w:space="0" w:color="auto"/>
              <w:right w:val="single" w:sz="4" w:space="0" w:color="auto"/>
            </w:tcBorders>
            <w:vAlign w:val="center"/>
          </w:tcPr>
          <w:p w14:paraId="2FA3AEB5" w14:textId="20D5868B" w:rsidR="00E101A2" w:rsidRPr="00D32158" w:rsidRDefault="00E101A2" w:rsidP="00E101A2">
            <w:pPr>
              <w:widowControl/>
              <w:adjustRightInd w:val="0"/>
              <w:snapToGrid w:val="0"/>
              <w:jc w:val="center"/>
              <w:textAlignment w:val="center"/>
              <w:rPr>
                <w:color w:val="000000"/>
                <w:kern w:val="0"/>
              </w:rPr>
            </w:pPr>
            <w:r>
              <w:rPr>
                <w:color w:val="000000"/>
              </w:rPr>
              <w:t>0.004L</w:t>
            </w:r>
          </w:p>
        </w:tc>
        <w:tc>
          <w:tcPr>
            <w:tcW w:w="466" w:type="pct"/>
            <w:vMerge w:val="restart"/>
            <w:tcBorders>
              <w:top w:val="single" w:sz="4" w:space="0" w:color="auto"/>
              <w:left w:val="single" w:sz="4" w:space="0" w:color="auto"/>
            </w:tcBorders>
            <w:vAlign w:val="center"/>
          </w:tcPr>
          <w:p w14:paraId="357214EB" w14:textId="709F4250" w:rsidR="00E101A2" w:rsidRPr="00D32158" w:rsidRDefault="00E101A2" w:rsidP="00E101A2">
            <w:pPr>
              <w:widowControl/>
              <w:adjustRightInd w:val="0"/>
              <w:snapToGrid w:val="0"/>
              <w:jc w:val="center"/>
              <w:textAlignment w:val="center"/>
            </w:pPr>
            <w:r>
              <w:rPr>
                <w:rFonts w:ascii="仿宋" w:eastAsia="仿宋" w:hAnsi="仿宋" w:cs="仿宋" w:hint="eastAsia"/>
              </w:rPr>
              <w:t>≤</w:t>
            </w:r>
            <w:r>
              <w:t>0.05</w:t>
            </w:r>
          </w:p>
        </w:tc>
      </w:tr>
      <w:tr w:rsidR="00E101A2" w:rsidRPr="00D32158" w14:paraId="017CA71B" w14:textId="77777777" w:rsidTr="00E101A2">
        <w:trPr>
          <w:trHeight w:val="57"/>
          <w:jc w:val="center"/>
        </w:trPr>
        <w:tc>
          <w:tcPr>
            <w:tcW w:w="708" w:type="pct"/>
            <w:vMerge/>
            <w:tcBorders>
              <w:bottom w:val="single" w:sz="4" w:space="0" w:color="auto"/>
              <w:right w:val="single" w:sz="4" w:space="0" w:color="auto"/>
            </w:tcBorders>
            <w:vAlign w:val="center"/>
          </w:tcPr>
          <w:p w14:paraId="70D6F7C6" w14:textId="77777777" w:rsidR="00E101A2" w:rsidRPr="00D32158" w:rsidRDefault="00E101A2" w:rsidP="00E101A2">
            <w:pPr>
              <w:widowControl/>
              <w:adjustRightInd w:val="0"/>
              <w:snapToGrid w:val="0"/>
              <w:jc w:val="center"/>
              <w:textAlignment w:val="center"/>
            </w:pPr>
          </w:p>
        </w:tc>
        <w:tc>
          <w:tcPr>
            <w:tcW w:w="586" w:type="pct"/>
            <w:vAlign w:val="center"/>
          </w:tcPr>
          <w:p w14:paraId="3D8ABBDD" w14:textId="39BB1581" w:rsidR="00E101A2" w:rsidRPr="00D32158" w:rsidRDefault="00E101A2" w:rsidP="00E101A2">
            <w:pPr>
              <w:adjustRightInd w:val="0"/>
              <w:snapToGrid w:val="0"/>
              <w:jc w:val="center"/>
            </w:pPr>
            <w:r>
              <w:rPr>
                <w:rFonts w:hint="eastAsia"/>
              </w:rPr>
              <w:t>标准指数</w:t>
            </w:r>
          </w:p>
        </w:tc>
        <w:tc>
          <w:tcPr>
            <w:tcW w:w="478" w:type="pct"/>
            <w:vMerge/>
            <w:tcBorders>
              <w:left w:val="single" w:sz="4" w:space="0" w:color="auto"/>
              <w:bottom w:val="single" w:sz="4" w:space="0" w:color="auto"/>
              <w:right w:val="single" w:sz="4" w:space="0" w:color="auto"/>
              <w:tl2br w:val="nil"/>
              <w:tr2bl w:val="nil"/>
            </w:tcBorders>
            <w:vAlign w:val="center"/>
          </w:tcPr>
          <w:p w14:paraId="01EC4CE9" w14:textId="4C1E32AC" w:rsidR="00E101A2" w:rsidRPr="00D32158" w:rsidRDefault="00E101A2" w:rsidP="00E101A2">
            <w:pPr>
              <w:adjustRightInd w:val="0"/>
              <w:snapToGrid w:val="0"/>
              <w:jc w:val="center"/>
            </w:pPr>
          </w:p>
        </w:tc>
        <w:tc>
          <w:tcPr>
            <w:tcW w:w="402" w:type="pct"/>
            <w:tcBorders>
              <w:top w:val="single" w:sz="4" w:space="0" w:color="auto"/>
              <w:left w:val="single" w:sz="4" w:space="0" w:color="auto"/>
              <w:bottom w:val="single" w:sz="4" w:space="0" w:color="auto"/>
              <w:right w:val="single" w:sz="4" w:space="0" w:color="auto"/>
            </w:tcBorders>
            <w:vAlign w:val="center"/>
          </w:tcPr>
          <w:p w14:paraId="614F425C" w14:textId="25C7D5A9" w:rsidR="00E101A2" w:rsidRPr="00D32158" w:rsidRDefault="00E101A2" w:rsidP="00E101A2">
            <w:pPr>
              <w:widowControl/>
              <w:adjustRightInd w:val="0"/>
              <w:snapToGrid w:val="0"/>
              <w:jc w:val="center"/>
              <w:textAlignment w:val="center"/>
              <w:rPr>
                <w:color w:val="000000"/>
                <w:sz w:val="22"/>
                <w:szCs w:val="22"/>
              </w:rPr>
            </w:pPr>
            <w:r>
              <w:rPr>
                <w:rFonts w:eastAsia="仿宋" w:hint="eastAsia"/>
              </w:rPr>
              <w:t>/</w:t>
            </w:r>
          </w:p>
        </w:tc>
        <w:tc>
          <w:tcPr>
            <w:tcW w:w="402" w:type="pct"/>
            <w:tcBorders>
              <w:top w:val="single" w:sz="4" w:space="0" w:color="auto"/>
              <w:left w:val="single" w:sz="4" w:space="0" w:color="auto"/>
              <w:bottom w:val="single" w:sz="4" w:space="0" w:color="auto"/>
              <w:right w:val="single" w:sz="4" w:space="0" w:color="auto"/>
            </w:tcBorders>
          </w:tcPr>
          <w:p w14:paraId="38B1BAB6" w14:textId="3DE95B11" w:rsidR="00E101A2" w:rsidRPr="00D32158" w:rsidRDefault="00E101A2" w:rsidP="00E101A2">
            <w:pPr>
              <w:widowControl/>
              <w:adjustRightInd w:val="0"/>
              <w:snapToGrid w:val="0"/>
              <w:jc w:val="center"/>
              <w:textAlignment w:val="center"/>
              <w:rPr>
                <w:color w:val="000000"/>
                <w:sz w:val="22"/>
                <w:szCs w:val="22"/>
              </w:rPr>
            </w:pPr>
            <w:r w:rsidRPr="00030223">
              <w:rPr>
                <w:rFonts w:eastAsia="仿宋" w:hint="eastAsia"/>
              </w:rPr>
              <w:t>/</w:t>
            </w:r>
          </w:p>
        </w:tc>
        <w:tc>
          <w:tcPr>
            <w:tcW w:w="402" w:type="pct"/>
            <w:tcBorders>
              <w:top w:val="single" w:sz="4" w:space="0" w:color="auto"/>
              <w:left w:val="single" w:sz="4" w:space="0" w:color="auto"/>
              <w:bottom w:val="single" w:sz="4" w:space="0" w:color="auto"/>
              <w:right w:val="single" w:sz="4" w:space="0" w:color="auto"/>
            </w:tcBorders>
          </w:tcPr>
          <w:p w14:paraId="1554A931" w14:textId="01C970C9" w:rsidR="00E101A2" w:rsidRPr="00D32158" w:rsidRDefault="00E101A2" w:rsidP="00E101A2">
            <w:pPr>
              <w:widowControl/>
              <w:adjustRightInd w:val="0"/>
              <w:snapToGrid w:val="0"/>
              <w:jc w:val="center"/>
              <w:textAlignment w:val="center"/>
              <w:rPr>
                <w:color w:val="000000"/>
                <w:sz w:val="22"/>
                <w:szCs w:val="22"/>
              </w:rPr>
            </w:pPr>
            <w:r w:rsidRPr="00030223">
              <w:rPr>
                <w:rFonts w:eastAsia="仿宋" w:hint="eastAsia"/>
              </w:rPr>
              <w:t>/</w:t>
            </w:r>
          </w:p>
        </w:tc>
        <w:tc>
          <w:tcPr>
            <w:tcW w:w="407" w:type="pct"/>
            <w:tcBorders>
              <w:top w:val="single" w:sz="4" w:space="0" w:color="auto"/>
              <w:left w:val="single" w:sz="4" w:space="0" w:color="auto"/>
              <w:bottom w:val="single" w:sz="4" w:space="0" w:color="auto"/>
              <w:right w:val="single" w:sz="4" w:space="0" w:color="auto"/>
            </w:tcBorders>
          </w:tcPr>
          <w:p w14:paraId="6BEB84CE" w14:textId="02DE5D63" w:rsidR="00E101A2" w:rsidRDefault="00E101A2" w:rsidP="00E101A2">
            <w:pPr>
              <w:widowControl/>
              <w:adjustRightInd w:val="0"/>
              <w:snapToGrid w:val="0"/>
              <w:jc w:val="center"/>
              <w:textAlignment w:val="center"/>
              <w:rPr>
                <w:rFonts w:eastAsia="仿宋"/>
              </w:rPr>
            </w:pPr>
            <w:r w:rsidRPr="00030223">
              <w:rPr>
                <w:rFonts w:eastAsia="仿宋" w:hint="eastAsia"/>
              </w:rPr>
              <w:t>/</w:t>
            </w:r>
          </w:p>
        </w:tc>
        <w:tc>
          <w:tcPr>
            <w:tcW w:w="387" w:type="pct"/>
            <w:tcBorders>
              <w:top w:val="single" w:sz="4" w:space="0" w:color="auto"/>
              <w:left w:val="single" w:sz="4" w:space="0" w:color="auto"/>
              <w:bottom w:val="single" w:sz="4" w:space="0" w:color="auto"/>
              <w:right w:val="single" w:sz="4" w:space="0" w:color="auto"/>
            </w:tcBorders>
          </w:tcPr>
          <w:p w14:paraId="4552C208" w14:textId="560B4960" w:rsidR="00E101A2" w:rsidRDefault="00E101A2" w:rsidP="00E101A2">
            <w:pPr>
              <w:widowControl/>
              <w:adjustRightInd w:val="0"/>
              <w:snapToGrid w:val="0"/>
              <w:jc w:val="center"/>
              <w:textAlignment w:val="center"/>
              <w:rPr>
                <w:rFonts w:eastAsia="仿宋"/>
              </w:rPr>
            </w:pPr>
            <w:r w:rsidRPr="00030223">
              <w:rPr>
                <w:rFonts w:eastAsia="仿宋" w:hint="eastAsia"/>
              </w:rPr>
              <w:t>/</w:t>
            </w:r>
          </w:p>
        </w:tc>
        <w:tc>
          <w:tcPr>
            <w:tcW w:w="395" w:type="pct"/>
            <w:tcBorders>
              <w:top w:val="single" w:sz="4" w:space="0" w:color="auto"/>
              <w:left w:val="single" w:sz="4" w:space="0" w:color="auto"/>
              <w:bottom w:val="single" w:sz="4" w:space="0" w:color="auto"/>
              <w:right w:val="single" w:sz="4" w:space="0" w:color="auto"/>
            </w:tcBorders>
          </w:tcPr>
          <w:p w14:paraId="12EA75AA" w14:textId="59FB580C" w:rsidR="00E101A2" w:rsidRDefault="00E101A2" w:rsidP="00E101A2">
            <w:pPr>
              <w:widowControl/>
              <w:adjustRightInd w:val="0"/>
              <w:snapToGrid w:val="0"/>
              <w:jc w:val="center"/>
              <w:textAlignment w:val="center"/>
              <w:rPr>
                <w:rFonts w:eastAsia="仿宋"/>
              </w:rPr>
            </w:pPr>
            <w:r w:rsidRPr="00030223">
              <w:rPr>
                <w:rFonts w:eastAsia="仿宋" w:hint="eastAsia"/>
              </w:rPr>
              <w:t>/</w:t>
            </w:r>
          </w:p>
        </w:tc>
        <w:tc>
          <w:tcPr>
            <w:tcW w:w="367" w:type="pct"/>
            <w:tcBorders>
              <w:top w:val="single" w:sz="4" w:space="0" w:color="auto"/>
              <w:left w:val="single" w:sz="4" w:space="0" w:color="auto"/>
              <w:bottom w:val="single" w:sz="4" w:space="0" w:color="auto"/>
              <w:right w:val="single" w:sz="4" w:space="0" w:color="auto"/>
            </w:tcBorders>
          </w:tcPr>
          <w:p w14:paraId="47B0BC8B" w14:textId="7CB6810A" w:rsidR="00E101A2" w:rsidRDefault="00E101A2" w:rsidP="00E101A2">
            <w:pPr>
              <w:widowControl/>
              <w:adjustRightInd w:val="0"/>
              <w:snapToGrid w:val="0"/>
              <w:jc w:val="center"/>
              <w:textAlignment w:val="center"/>
              <w:rPr>
                <w:rFonts w:eastAsia="仿宋"/>
              </w:rPr>
            </w:pPr>
            <w:r w:rsidRPr="00030223">
              <w:rPr>
                <w:rFonts w:eastAsia="仿宋" w:hint="eastAsia"/>
              </w:rPr>
              <w:t>/</w:t>
            </w:r>
          </w:p>
        </w:tc>
        <w:tc>
          <w:tcPr>
            <w:tcW w:w="466" w:type="pct"/>
            <w:vMerge/>
            <w:tcBorders>
              <w:left w:val="single" w:sz="4" w:space="0" w:color="auto"/>
              <w:bottom w:val="single" w:sz="4" w:space="0" w:color="auto"/>
            </w:tcBorders>
            <w:vAlign w:val="center"/>
          </w:tcPr>
          <w:p w14:paraId="623E0CC4" w14:textId="77777777" w:rsidR="00E101A2" w:rsidRDefault="00E101A2" w:rsidP="00E101A2">
            <w:pPr>
              <w:widowControl/>
              <w:adjustRightInd w:val="0"/>
              <w:snapToGrid w:val="0"/>
              <w:jc w:val="center"/>
              <w:textAlignment w:val="center"/>
              <w:rPr>
                <w:rFonts w:ascii="仿宋" w:eastAsia="仿宋" w:hAnsi="仿宋" w:cs="仿宋" w:hint="eastAsia"/>
              </w:rPr>
            </w:pPr>
          </w:p>
        </w:tc>
      </w:tr>
      <w:tr w:rsidR="00E101A2" w:rsidRPr="00D32158" w14:paraId="01373C1D" w14:textId="77777777" w:rsidTr="00E101A2">
        <w:trPr>
          <w:trHeight w:val="57"/>
          <w:jc w:val="center"/>
        </w:trPr>
        <w:tc>
          <w:tcPr>
            <w:tcW w:w="708" w:type="pct"/>
            <w:vMerge w:val="restart"/>
            <w:tcBorders>
              <w:top w:val="single" w:sz="4" w:space="0" w:color="auto"/>
              <w:right w:val="single" w:sz="4" w:space="0" w:color="auto"/>
            </w:tcBorders>
            <w:vAlign w:val="center"/>
          </w:tcPr>
          <w:p w14:paraId="3066EAEC" w14:textId="007348EB" w:rsidR="00E101A2" w:rsidRPr="00D32158" w:rsidRDefault="00E101A2" w:rsidP="00E101A2">
            <w:pPr>
              <w:widowControl/>
              <w:adjustRightInd w:val="0"/>
              <w:snapToGrid w:val="0"/>
              <w:jc w:val="center"/>
              <w:textAlignment w:val="center"/>
            </w:pPr>
            <w:r w:rsidRPr="00D32158">
              <w:t>铁</w:t>
            </w:r>
          </w:p>
        </w:tc>
        <w:tc>
          <w:tcPr>
            <w:tcW w:w="586" w:type="pct"/>
            <w:vAlign w:val="center"/>
          </w:tcPr>
          <w:p w14:paraId="0F03DA26" w14:textId="5934D758" w:rsidR="00E101A2" w:rsidRPr="00D32158" w:rsidRDefault="00E101A2" w:rsidP="00E101A2">
            <w:pPr>
              <w:adjustRightInd w:val="0"/>
              <w:snapToGrid w:val="0"/>
              <w:jc w:val="center"/>
            </w:pPr>
            <w:r>
              <w:rPr>
                <w:rFonts w:hint="eastAsia"/>
              </w:rPr>
              <w:t>监测值</w:t>
            </w:r>
          </w:p>
        </w:tc>
        <w:tc>
          <w:tcPr>
            <w:tcW w:w="478" w:type="pct"/>
            <w:vMerge w:val="restart"/>
            <w:tcBorders>
              <w:top w:val="single" w:sz="4" w:space="0" w:color="auto"/>
              <w:left w:val="single" w:sz="4" w:space="0" w:color="auto"/>
              <w:right w:val="single" w:sz="4" w:space="0" w:color="auto"/>
              <w:tl2br w:val="nil"/>
              <w:tr2bl w:val="nil"/>
            </w:tcBorders>
            <w:vAlign w:val="center"/>
          </w:tcPr>
          <w:p w14:paraId="774F36CC" w14:textId="0E55DCCA" w:rsidR="00E101A2" w:rsidRPr="00D32158" w:rsidRDefault="00E101A2" w:rsidP="00E101A2">
            <w:pPr>
              <w:adjustRightInd w:val="0"/>
              <w:snapToGrid w:val="0"/>
              <w:jc w:val="center"/>
            </w:pPr>
            <w:r w:rsidRPr="00D32158">
              <w:t>mg/L</w:t>
            </w:r>
          </w:p>
        </w:tc>
        <w:tc>
          <w:tcPr>
            <w:tcW w:w="402" w:type="pct"/>
            <w:tcBorders>
              <w:top w:val="single" w:sz="4" w:space="0" w:color="auto"/>
              <w:left w:val="single" w:sz="4" w:space="0" w:color="auto"/>
              <w:bottom w:val="single" w:sz="4" w:space="0" w:color="auto"/>
              <w:right w:val="single" w:sz="4" w:space="0" w:color="auto"/>
            </w:tcBorders>
            <w:vAlign w:val="center"/>
          </w:tcPr>
          <w:p w14:paraId="6409FA69" w14:textId="7AC73E4E" w:rsidR="00E101A2" w:rsidRPr="00D32158" w:rsidRDefault="00E101A2" w:rsidP="00E101A2">
            <w:pPr>
              <w:widowControl/>
              <w:adjustRightInd w:val="0"/>
              <w:snapToGrid w:val="0"/>
              <w:jc w:val="center"/>
              <w:textAlignment w:val="center"/>
            </w:pPr>
            <w:r>
              <w:rPr>
                <w:color w:val="000000"/>
                <w:sz w:val="22"/>
                <w:szCs w:val="22"/>
              </w:rPr>
              <w:t>0.2</w:t>
            </w:r>
          </w:p>
        </w:tc>
        <w:tc>
          <w:tcPr>
            <w:tcW w:w="402" w:type="pct"/>
            <w:tcBorders>
              <w:top w:val="single" w:sz="4" w:space="0" w:color="auto"/>
              <w:left w:val="single" w:sz="4" w:space="0" w:color="auto"/>
              <w:bottom w:val="single" w:sz="4" w:space="0" w:color="auto"/>
              <w:right w:val="single" w:sz="4" w:space="0" w:color="auto"/>
            </w:tcBorders>
            <w:vAlign w:val="center"/>
          </w:tcPr>
          <w:p w14:paraId="6DD87BD6" w14:textId="5ED3D05B" w:rsidR="00E101A2" w:rsidRPr="00D32158" w:rsidRDefault="00E101A2" w:rsidP="00E101A2">
            <w:pPr>
              <w:widowControl/>
              <w:adjustRightInd w:val="0"/>
              <w:snapToGrid w:val="0"/>
              <w:jc w:val="center"/>
              <w:textAlignment w:val="center"/>
            </w:pPr>
            <w:r>
              <w:rPr>
                <w:color w:val="000000"/>
                <w:sz w:val="22"/>
                <w:szCs w:val="22"/>
              </w:rPr>
              <w:t>0.22</w:t>
            </w:r>
          </w:p>
        </w:tc>
        <w:tc>
          <w:tcPr>
            <w:tcW w:w="402" w:type="pct"/>
            <w:tcBorders>
              <w:top w:val="single" w:sz="4" w:space="0" w:color="auto"/>
              <w:left w:val="single" w:sz="4" w:space="0" w:color="auto"/>
              <w:bottom w:val="single" w:sz="4" w:space="0" w:color="auto"/>
              <w:right w:val="single" w:sz="4" w:space="0" w:color="auto"/>
            </w:tcBorders>
            <w:vAlign w:val="center"/>
          </w:tcPr>
          <w:p w14:paraId="2513BDF3" w14:textId="681479B7" w:rsidR="00E101A2" w:rsidRPr="00D32158" w:rsidRDefault="00E101A2" w:rsidP="00E101A2">
            <w:pPr>
              <w:widowControl/>
              <w:adjustRightInd w:val="0"/>
              <w:snapToGrid w:val="0"/>
              <w:jc w:val="center"/>
              <w:textAlignment w:val="center"/>
            </w:pPr>
            <w:r>
              <w:rPr>
                <w:color w:val="000000"/>
                <w:sz w:val="22"/>
                <w:szCs w:val="22"/>
              </w:rPr>
              <w:t>0.18</w:t>
            </w:r>
          </w:p>
        </w:tc>
        <w:tc>
          <w:tcPr>
            <w:tcW w:w="407" w:type="pct"/>
            <w:tcBorders>
              <w:top w:val="single" w:sz="4" w:space="0" w:color="auto"/>
              <w:left w:val="single" w:sz="4" w:space="0" w:color="auto"/>
              <w:bottom w:val="single" w:sz="4" w:space="0" w:color="auto"/>
              <w:right w:val="single" w:sz="4" w:space="0" w:color="auto"/>
            </w:tcBorders>
            <w:vAlign w:val="center"/>
          </w:tcPr>
          <w:p w14:paraId="016ADAD7" w14:textId="11FEEE03" w:rsidR="00E101A2" w:rsidRPr="00D32158" w:rsidRDefault="00E101A2" w:rsidP="00E101A2">
            <w:pPr>
              <w:widowControl/>
              <w:adjustRightInd w:val="0"/>
              <w:snapToGrid w:val="0"/>
              <w:jc w:val="center"/>
              <w:textAlignment w:val="center"/>
            </w:pPr>
            <w:r>
              <w:rPr>
                <w:color w:val="000000"/>
              </w:rPr>
              <w:t>0.18</w:t>
            </w:r>
          </w:p>
        </w:tc>
        <w:tc>
          <w:tcPr>
            <w:tcW w:w="387" w:type="pct"/>
            <w:tcBorders>
              <w:top w:val="single" w:sz="4" w:space="0" w:color="auto"/>
              <w:left w:val="single" w:sz="4" w:space="0" w:color="auto"/>
              <w:bottom w:val="single" w:sz="4" w:space="0" w:color="auto"/>
              <w:right w:val="single" w:sz="4" w:space="0" w:color="auto"/>
            </w:tcBorders>
            <w:vAlign w:val="center"/>
          </w:tcPr>
          <w:p w14:paraId="7B5A091F" w14:textId="4D7D208D" w:rsidR="00E101A2" w:rsidRPr="00D32158" w:rsidRDefault="00E101A2" w:rsidP="00E101A2">
            <w:pPr>
              <w:widowControl/>
              <w:adjustRightInd w:val="0"/>
              <w:snapToGrid w:val="0"/>
              <w:jc w:val="center"/>
              <w:textAlignment w:val="center"/>
            </w:pPr>
            <w:r>
              <w:rPr>
                <w:color w:val="000000"/>
              </w:rPr>
              <w:t>0.22</w:t>
            </w:r>
          </w:p>
        </w:tc>
        <w:tc>
          <w:tcPr>
            <w:tcW w:w="395" w:type="pct"/>
            <w:tcBorders>
              <w:top w:val="single" w:sz="4" w:space="0" w:color="auto"/>
              <w:left w:val="single" w:sz="4" w:space="0" w:color="auto"/>
              <w:bottom w:val="single" w:sz="4" w:space="0" w:color="auto"/>
              <w:right w:val="single" w:sz="4" w:space="0" w:color="auto"/>
            </w:tcBorders>
            <w:vAlign w:val="center"/>
          </w:tcPr>
          <w:p w14:paraId="79C4C31E" w14:textId="1AD4F77C" w:rsidR="00E101A2" w:rsidRPr="00D32158" w:rsidRDefault="00E101A2" w:rsidP="00E101A2">
            <w:pPr>
              <w:widowControl/>
              <w:adjustRightInd w:val="0"/>
              <w:snapToGrid w:val="0"/>
              <w:jc w:val="center"/>
              <w:textAlignment w:val="center"/>
              <w:rPr>
                <w:color w:val="000000"/>
                <w:kern w:val="0"/>
                <w:lang w:bidi="ar"/>
              </w:rPr>
            </w:pPr>
            <w:r>
              <w:rPr>
                <w:color w:val="000000"/>
              </w:rPr>
              <w:t>0.15</w:t>
            </w:r>
          </w:p>
        </w:tc>
        <w:tc>
          <w:tcPr>
            <w:tcW w:w="367" w:type="pct"/>
            <w:tcBorders>
              <w:top w:val="single" w:sz="4" w:space="0" w:color="auto"/>
              <w:left w:val="single" w:sz="4" w:space="0" w:color="auto"/>
              <w:bottom w:val="single" w:sz="4" w:space="0" w:color="auto"/>
              <w:right w:val="single" w:sz="4" w:space="0" w:color="auto"/>
            </w:tcBorders>
            <w:vAlign w:val="center"/>
          </w:tcPr>
          <w:p w14:paraId="481CF21C" w14:textId="31C71A6F" w:rsidR="00E101A2" w:rsidRPr="00D32158" w:rsidRDefault="00E101A2" w:rsidP="00E101A2">
            <w:pPr>
              <w:widowControl/>
              <w:adjustRightInd w:val="0"/>
              <w:snapToGrid w:val="0"/>
              <w:jc w:val="center"/>
              <w:textAlignment w:val="center"/>
              <w:rPr>
                <w:color w:val="000000"/>
                <w:kern w:val="0"/>
              </w:rPr>
            </w:pPr>
            <w:r>
              <w:rPr>
                <w:color w:val="000000"/>
              </w:rPr>
              <w:t>0.24</w:t>
            </w:r>
          </w:p>
        </w:tc>
        <w:tc>
          <w:tcPr>
            <w:tcW w:w="466" w:type="pct"/>
            <w:vMerge w:val="restart"/>
            <w:tcBorders>
              <w:top w:val="single" w:sz="4" w:space="0" w:color="auto"/>
              <w:left w:val="single" w:sz="4" w:space="0" w:color="auto"/>
            </w:tcBorders>
            <w:vAlign w:val="center"/>
          </w:tcPr>
          <w:p w14:paraId="1980E754" w14:textId="63BAC8B3" w:rsidR="00E101A2" w:rsidRPr="00D32158" w:rsidRDefault="00E101A2" w:rsidP="00E101A2">
            <w:pPr>
              <w:widowControl/>
              <w:adjustRightInd w:val="0"/>
              <w:snapToGrid w:val="0"/>
              <w:jc w:val="center"/>
              <w:textAlignment w:val="center"/>
            </w:pPr>
            <w:r>
              <w:rPr>
                <w:rFonts w:ascii="仿宋" w:eastAsia="仿宋" w:hAnsi="仿宋" w:cs="仿宋" w:hint="eastAsia"/>
              </w:rPr>
              <w:t>≤</w:t>
            </w:r>
            <w:r>
              <w:t>0.3</w:t>
            </w:r>
          </w:p>
        </w:tc>
      </w:tr>
      <w:tr w:rsidR="00E101A2" w:rsidRPr="00D32158" w14:paraId="4F90BBAB" w14:textId="77777777" w:rsidTr="00E101A2">
        <w:trPr>
          <w:trHeight w:val="57"/>
          <w:jc w:val="center"/>
        </w:trPr>
        <w:tc>
          <w:tcPr>
            <w:tcW w:w="708" w:type="pct"/>
            <w:vMerge/>
            <w:tcBorders>
              <w:bottom w:val="single" w:sz="4" w:space="0" w:color="auto"/>
              <w:right w:val="single" w:sz="4" w:space="0" w:color="auto"/>
            </w:tcBorders>
            <w:vAlign w:val="center"/>
          </w:tcPr>
          <w:p w14:paraId="3CBCAB3F" w14:textId="77777777" w:rsidR="00E101A2" w:rsidRPr="00D32158" w:rsidRDefault="00E101A2" w:rsidP="00E101A2">
            <w:pPr>
              <w:widowControl/>
              <w:adjustRightInd w:val="0"/>
              <w:snapToGrid w:val="0"/>
              <w:jc w:val="center"/>
              <w:textAlignment w:val="center"/>
            </w:pPr>
          </w:p>
        </w:tc>
        <w:tc>
          <w:tcPr>
            <w:tcW w:w="586" w:type="pct"/>
            <w:vAlign w:val="center"/>
          </w:tcPr>
          <w:p w14:paraId="72A8833E" w14:textId="5B3630DF" w:rsidR="00E101A2" w:rsidRPr="00D32158" w:rsidRDefault="00E101A2" w:rsidP="00E101A2">
            <w:pPr>
              <w:adjustRightInd w:val="0"/>
              <w:snapToGrid w:val="0"/>
              <w:jc w:val="center"/>
            </w:pPr>
            <w:r>
              <w:rPr>
                <w:rFonts w:hint="eastAsia"/>
              </w:rPr>
              <w:t>标准指数</w:t>
            </w:r>
          </w:p>
        </w:tc>
        <w:tc>
          <w:tcPr>
            <w:tcW w:w="478" w:type="pct"/>
            <w:vMerge/>
            <w:tcBorders>
              <w:left w:val="single" w:sz="4" w:space="0" w:color="auto"/>
              <w:bottom w:val="single" w:sz="4" w:space="0" w:color="auto"/>
              <w:right w:val="single" w:sz="4" w:space="0" w:color="auto"/>
              <w:tl2br w:val="nil"/>
              <w:tr2bl w:val="nil"/>
            </w:tcBorders>
            <w:vAlign w:val="center"/>
          </w:tcPr>
          <w:p w14:paraId="2D02580B" w14:textId="21D49017" w:rsidR="00E101A2" w:rsidRPr="00D32158" w:rsidRDefault="00E101A2" w:rsidP="00E101A2">
            <w:pPr>
              <w:adjustRightInd w:val="0"/>
              <w:snapToGrid w:val="0"/>
              <w:jc w:val="center"/>
            </w:pPr>
          </w:p>
        </w:tc>
        <w:tc>
          <w:tcPr>
            <w:tcW w:w="402" w:type="pct"/>
            <w:tcBorders>
              <w:top w:val="single" w:sz="4" w:space="0" w:color="auto"/>
              <w:left w:val="single" w:sz="4" w:space="0" w:color="auto"/>
              <w:bottom w:val="single" w:sz="4" w:space="0" w:color="auto"/>
              <w:right w:val="single" w:sz="4" w:space="0" w:color="auto"/>
            </w:tcBorders>
            <w:vAlign w:val="center"/>
          </w:tcPr>
          <w:p w14:paraId="4DF874C3" w14:textId="795C0534" w:rsidR="00E101A2" w:rsidRPr="00D32158" w:rsidRDefault="00E101A2" w:rsidP="00E101A2">
            <w:pPr>
              <w:widowControl/>
              <w:adjustRightInd w:val="0"/>
              <w:snapToGrid w:val="0"/>
              <w:jc w:val="center"/>
              <w:textAlignment w:val="center"/>
              <w:rPr>
                <w:color w:val="000000"/>
                <w:sz w:val="22"/>
                <w:szCs w:val="22"/>
              </w:rPr>
            </w:pPr>
            <w:r>
              <w:rPr>
                <w:color w:val="000000"/>
                <w:sz w:val="22"/>
                <w:szCs w:val="22"/>
              </w:rPr>
              <w:t xml:space="preserve">0.67 </w:t>
            </w:r>
          </w:p>
        </w:tc>
        <w:tc>
          <w:tcPr>
            <w:tcW w:w="402" w:type="pct"/>
            <w:tcBorders>
              <w:top w:val="single" w:sz="4" w:space="0" w:color="auto"/>
              <w:left w:val="single" w:sz="4" w:space="0" w:color="auto"/>
              <w:bottom w:val="single" w:sz="4" w:space="0" w:color="auto"/>
              <w:right w:val="single" w:sz="4" w:space="0" w:color="auto"/>
            </w:tcBorders>
            <w:vAlign w:val="center"/>
          </w:tcPr>
          <w:p w14:paraId="4FA443B7" w14:textId="5A40A263" w:rsidR="00E101A2" w:rsidRPr="00D32158" w:rsidRDefault="00E101A2" w:rsidP="00E101A2">
            <w:pPr>
              <w:widowControl/>
              <w:adjustRightInd w:val="0"/>
              <w:snapToGrid w:val="0"/>
              <w:jc w:val="center"/>
              <w:textAlignment w:val="center"/>
              <w:rPr>
                <w:color w:val="000000"/>
                <w:sz w:val="22"/>
                <w:szCs w:val="22"/>
              </w:rPr>
            </w:pPr>
            <w:r>
              <w:rPr>
                <w:color w:val="000000"/>
                <w:sz w:val="22"/>
                <w:szCs w:val="22"/>
              </w:rPr>
              <w:t xml:space="preserve">0.73 </w:t>
            </w:r>
          </w:p>
        </w:tc>
        <w:tc>
          <w:tcPr>
            <w:tcW w:w="402" w:type="pct"/>
            <w:tcBorders>
              <w:top w:val="single" w:sz="4" w:space="0" w:color="auto"/>
              <w:left w:val="single" w:sz="4" w:space="0" w:color="auto"/>
              <w:bottom w:val="single" w:sz="4" w:space="0" w:color="auto"/>
              <w:right w:val="single" w:sz="4" w:space="0" w:color="auto"/>
            </w:tcBorders>
            <w:vAlign w:val="center"/>
          </w:tcPr>
          <w:p w14:paraId="6BC6AC61" w14:textId="7CA28B99" w:rsidR="00E101A2" w:rsidRPr="00D32158" w:rsidRDefault="00E101A2" w:rsidP="00E101A2">
            <w:pPr>
              <w:widowControl/>
              <w:adjustRightInd w:val="0"/>
              <w:snapToGrid w:val="0"/>
              <w:jc w:val="center"/>
              <w:textAlignment w:val="center"/>
              <w:rPr>
                <w:color w:val="000000"/>
                <w:sz w:val="22"/>
                <w:szCs w:val="22"/>
              </w:rPr>
            </w:pPr>
            <w:r>
              <w:rPr>
                <w:color w:val="000000"/>
                <w:sz w:val="22"/>
                <w:szCs w:val="22"/>
              </w:rPr>
              <w:t xml:space="preserve">0.60 </w:t>
            </w:r>
          </w:p>
        </w:tc>
        <w:tc>
          <w:tcPr>
            <w:tcW w:w="407" w:type="pct"/>
            <w:tcBorders>
              <w:top w:val="single" w:sz="4" w:space="0" w:color="auto"/>
              <w:left w:val="single" w:sz="4" w:space="0" w:color="auto"/>
              <w:bottom w:val="single" w:sz="4" w:space="0" w:color="auto"/>
              <w:right w:val="single" w:sz="4" w:space="0" w:color="auto"/>
            </w:tcBorders>
            <w:vAlign w:val="center"/>
          </w:tcPr>
          <w:p w14:paraId="3FCFEA77" w14:textId="02D27268" w:rsidR="00E101A2" w:rsidRDefault="00E101A2" w:rsidP="00E101A2">
            <w:pPr>
              <w:widowControl/>
              <w:adjustRightInd w:val="0"/>
              <w:snapToGrid w:val="0"/>
              <w:jc w:val="center"/>
              <w:textAlignment w:val="center"/>
              <w:rPr>
                <w:rFonts w:eastAsia="仿宋"/>
              </w:rPr>
            </w:pPr>
            <w:r>
              <w:rPr>
                <w:color w:val="000000"/>
                <w:sz w:val="22"/>
                <w:szCs w:val="22"/>
              </w:rPr>
              <w:t xml:space="preserve">0.60 </w:t>
            </w:r>
          </w:p>
        </w:tc>
        <w:tc>
          <w:tcPr>
            <w:tcW w:w="387" w:type="pct"/>
            <w:tcBorders>
              <w:top w:val="single" w:sz="4" w:space="0" w:color="auto"/>
              <w:left w:val="single" w:sz="4" w:space="0" w:color="auto"/>
              <w:bottom w:val="single" w:sz="4" w:space="0" w:color="auto"/>
              <w:right w:val="single" w:sz="4" w:space="0" w:color="auto"/>
            </w:tcBorders>
            <w:vAlign w:val="center"/>
          </w:tcPr>
          <w:p w14:paraId="2662C05B" w14:textId="5E7BC324" w:rsidR="00E101A2" w:rsidRDefault="00E101A2" w:rsidP="00E101A2">
            <w:pPr>
              <w:widowControl/>
              <w:adjustRightInd w:val="0"/>
              <w:snapToGrid w:val="0"/>
              <w:jc w:val="center"/>
              <w:textAlignment w:val="center"/>
              <w:rPr>
                <w:rFonts w:eastAsia="仿宋"/>
              </w:rPr>
            </w:pPr>
            <w:r>
              <w:rPr>
                <w:color w:val="000000"/>
                <w:sz w:val="22"/>
                <w:szCs w:val="22"/>
              </w:rPr>
              <w:t xml:space="preserve">0.73 </w:t>
            </w:r>
          </w:p>
        </w:tc>
        <w:tc>
          <w:tcPr>
            <w:tcW w:w="395" w:type="pct"/>
            <w:tcBorders>
              <w:top w:val="single" w:sz="4" w:space="0" w:color="auto"/>
              <w:left w:val="single" w:sz="4" w:space="0" w:color="auto"/>
              <w:bottom w:val="single" w:sz="4" w:space="0" w:color="auto"/>
              <w:right w:val="single" w:sz="4" w:space="0" w:color="auto"/>
            </w:tcBorders>
            <w:vAlign w:val="center"/>
          </w:tcPr>
          <w:p w14:paraId="357A36D4" w14:textId="4CFA213C" w:rsidR="00E101A2" w:rsidRDefault="00E101A2" w:rsidP="00E101A2">
            <w:pPr>
              <w:widowControl/>
              <w:adjustRightInd w:val="0"/>
              <w:snapToGrid w:val="0"/>
              <w:jc w:val="center"/>
              <w:textAlignment w:val="center"/>
              <w:rPr>
                <w:rFonts w:eastAsia="仿宋"/>
              </w:rPr>
            </w:pPr>
            <w:r>
              <w:rPr>
                <w:color w:val="000000"/>
                <w:sz w:val="22"/>
                <w:szCs w:val="22"/>
              </w:rPr>
              <w:t xml:space="preserve">0.50 </w:t>
            </w:r>
          </w:p>
        </w:tc>
        <w:tc>
          <w:tcPr>
            <w:tcW w:w="367" w:type="pct"/>
            <w:tcBorders>
              <w:top w:val="single" w:sz="4" w:space="0" w:color="auto"/>
              <w:left w:val="single" w:sz="4" w:space="0" w:color="auto"/>
              <w:bottom w:val="single" w:sz="4" w:space="0" w:color="auto"/>
              <w:right w:val="single" w:sz="4" w:space="0" w:color="auto"/>
            </w:tcBorders>
            <w:vAlign w:val="center"/>
          </w:tcPr>
          <w:p w14:paraId="2C963FB4" w14:textId="32D9CD85" w:rsidR="00E101A2" w:rsidRDefault="00E101A2" w:rsidP="00E101A2">
            <w:pPr>
              <w:widowControl/>
              <w:adjustRightInd w:val="0"/>
              <w:snapToGrid w:val="0"/>
              <w:jc w:val="center"/>
              <w:textAlignment w:val="center"/>
              <w:rPr>
                <w:rFonts w:eastAsia="仿宋"/>
              </w:rPr>
            </w:pPr>
            <w:r>
              <w:rPr>
                <w:color w:val="000000"/>
                <w:sz w:val="22"/>
                <w:szCs w:val="22"/>
              </w:rPr>
              <w:t xml:space="preserve">0.80 </w:t>
            </w:r>
          </w:p>
        </w:tc>
        <w:tc>
          <w:tcPr>
            <w:tcW w:w="466" w:type="pct"/>
            <w:vMerge/>
            <w:tcBorders>
              <w:left w:val="single" w:sz="4" w:space="0" w:color="auto"/>
              <w:bottom w:val="single" w:sz="4" w:space="0" w:color="auto"/>
            </w:tcBorders>
            <w:vAlign w:val="center"/>
          </w:tcPr>
          <w:p w14:paraId="1B16AA52" w14:textId="77777777" w:rsidR="00E101A2" w:rsidRDefault="00E101A2" w:rsidP="00E101A2">
            <w:pPr>
              <w:widowControl/>
              <w:adjustRightInd w:val="0"/>
              <w:snapToGrid w:val="0"/>
              <w:jc w:val="center"/>
              <w:textAlignment w:val="center"/>
              <w:rPr>
                <w:rFonts w:ascii="仿宋" w:eastAsia="仿宋" w:hAnsi="仿宋" w:cs="仿宋" w:hint="eastAsia"/>
              </w:rPr>
            </w:pPr>
          </w:p>
        </w:tc>
      </w:tr>
      <w:tr w:rsidR="00E101A2" w:rsidRPr="00D32158" w14:paraId="227E0EED" w14:textId="77777777" w:rsidTr="00E101A2">
        <w:trPr>
          <w:trHeight w:val="57"/>
          <w:jc w:val="center"/>
        </w:trPr>
        <w:tc>
          <w:tcPr>
            <w:tcW w:w="708" w:type="pct"/>
            <w:vMerge w:val="restart"/>
            <w:tcBorders>
              <w:top w:val="single" w:sz="4" w:space="0" w:color="auto"/>
              <w:right w:val="single" w:sz="4" w:space="0" w:color="auto"/>
            </w:tcBorders>
            <w:vAlign w:val="center"/>
          </w:tcPr>
          <w:p w14:paraId="5A9C2BC4" w14:textId="61C11013" w:rsidR="00E101A2" w:rsidRPr="00D32158" w:rsidRDefault="00E101A2" w:rsidP="00E101A2">
            <w:pPr>
              <w:widowControl/>
              <w:adjustRightInd w:val="0"/>
              <w:snapToGrid w:val="0"/>
              <w:jc w:val="center"/>
              <w:textAlignment w:val="center"/>
            </w:pPr>
            <w:r w:rsidRPr="00D32158">
              <w:t>锰</w:t>
            </w:r>
          </w:p>
        </w:tc>
        <w:tc>
          <w:tcPr>
            <w:tcW w:w="586" w:type="pct"/>
            <w:vAlign w:val="center"/>
          </w:tcPr>
          <w:p w14:paraId="693E5C9D" w14:textId="48FDB60D" w:rsidR="00E101A2" w:rsidRPr="00D32158" w:rsidRDefault="00E101A2" w:rsidP="00E101A2">
            <w:pPr>
              <w:adjustRightInd w:val="0"/>
              <w:snapToGrid w:val="0"/>
              <w:jc w:val="center"/>
            </w:pPr>
            <w:r>
              <w:rPr>
                <w:rFonts w:hint="eastAsia"/>
              </w:rPr>
              <w:t>监测值</w:t>
            </w:r>
          </w:p>
        </w:tc>
        <w:tc>
          <w:tcPr>
            <w:tcW w:w="478" w:type="pct"/>
            <w:vMerge w:val="restart"/>
            <w:tcBorders>
              <w:top w:val="single" w:sz="4" w:space="0" w:color="auto"/>
              <w:left w:val="single" w:sz="4" w:space="0" w:color="auto"/>
              <w:right w:val="single" w:sz="4" w:space="0" w:color="auto"/>
              <w:tl2br w:val="nil"/>
              <w:tr2bl w:val="nil"/>
            </w:tcBorders>
            <w:vAlign w:val="center"/>
          </w:tcPr>
          <w:p w14:paraId="3447EBD3" w14:textId="45BFC6E7" w:rsidR="00E101A2" w:rsidRPr="00D32158" w:rsidRDefault="00E101A2" w:rsidP="00E101A2">
            <w:pPr>
              <w:adjustRightInd w:val="0"/>
              <w:snapToGrid w:val="0"/>
              <w:jc w:val="center"/>
            </w:pPr>
            <w:r w:rsidRPr="00D32158">
              <w:t>mg/L</w:t>
            </w:r>
          </w:p>
        </w:tc>
        <w:tc>
          <w:tcPr>
            <w:tcW w:w="402" w:type="pct"/>
            <w:tcBorders>
              <w:top w:val="single" w:sz="4" w:space="0" w:color="auto"/>
              <w:left w:val="single" w:sz="4" w:space="0" w:color="auto"/>
              <w:bottom w:val="single" w:sz="4" w:space="0" w:color="auto"/>
              <w:right w:val="single" w:sz="4" w:space="0" w:color="auto"/>
            </w:tcBorders>
            <w:vAlign w:val="center"/>
          </w:tcPr>
          <w:p w14:paraId="0C8F7FA6" w14:textId="7D548C3D" w:rsidR="00E101A2" w:rsidRPr="00D32158" w:rsidRDefault="00E101A2" w:rsidP="00E101A2">
            <w:pPr>
              <w:widowControl/>
              <w:adjustRightInd w:val="0"/>
              <w:snapToGrid w:val="0"/>
              <w:jc w:val="center"/>
              <w:textAlignment w:val="center"/>
            </w:pPr>
            <w:r>
              <w:rPr>
                <w:color w:val="000000"/>
                <w:sz w:val="22"/>
                <w:szCs w:val="22"/>
              </w:rPr>
              <w:t>0.06</w:t>
            </w:r>
          </w:p>
        </w:tc>
        <w:tc>
          <w:tcPr>
            <w:tcW w:w="402" w:type="pct"/>
            <w:tcBorders>
              <w:top w:val="single" w:sz="4" w:space="0" w:color="auto"/>
              <w:left w:val="single" w:sz="4" w:space="0" w:color="auto"/>
              <w:bottom w:val="single" w:sz="4" w:space="0" w:color="auto"/>
              <w:right w:val="single" w:sz="4" w:space="0" w:color="auto"/>
            </w:tcBorders>
            <w:vAlign w:val="center"/>
          </w:tcPr>
          <w:p w14:paraId="7820C158" w14:textId="00E890CC" w:rsidR="00E101A2" w:rsidRPr="00D32158" w:rsidRDefault="00E101A2" w:rsidP="00E101A2">
            <w:pPr>
              <w:widowControl/>
              <w:adjustRightInd w:val="0"/>
              <w:snapToGrid w:val="0"/>
              <w:jc w:val="center"/>
              <w:textAlignment w:val="center"/>
            </w:pPr>
            <w:r>
              <w:rPr>
                <w:color w:val="000000"/>
                <w:sz w:val="22"/>
                <w:szCs w:val="22"/>
              </w:rPr>
              <w:t>0.05</w:t>
            </w:r>
          </w:p>
        </w:tc>
        <w:tc>
          <w:tcPr>
            <w:tcW w:w="402" w:type="pct"/>
            <w:tcBorders>
              <w:top w:val="single" w:sz="4" w:space="0" w:color="auto"/>
              <w:left w:val="single" w:sz="4" w:space="0" w:color="auto"/>
              <w:bottom w:val="single" w:sz="4" w:space="0" w:color="auto"/>
              <w:right w:val="single" w:sz="4" w:space="0" w:color="auto"/>
            </w:tcBorders>
            <w:vAlign w:val="center"/>
          </w:tcPr>
          <w:p w14:paraId="1BA63618" w14:textId="3E1F5762" w:rsidR="00E101A2" w:rsidRPr="00D32158" w:rsidRDefault="00E101A2" w:rsidP="00E101A2">
            <w:pPr>
              <w:widowControl/>
              <w:adjustRightInd w:val="0"/>
              <w:snapToGrid w:val="0"/>
              <w:jc w:val="center"/>
              <w:textAlignment w:val="center"/>
            </w:pPr>
            <w:r>
              <w:rPr>
                <w:color w:val="000000"/>
                <w:sz w:val="22"/>
                <w:szCs w:val="22"/>
              </w:rPr>
              <w:t>0.07</w:t>
            </w:r>
          </w:p>
        </w:tc>
        <w:tc>
          <w:tcPr>
            <w:tcW w:w="407" w:type="pct"/>
            <w:tcBorders>
              <w:top w:val="single" w:sz="4" w:space="0" w:color="auto"/>
              <w:left w:val="single" w:sz="4" w:space="0" w:color="auto"/>
              <w:bottom w:val="single" w:sz="4" w:space="0" w:color="auto"/>
              <w:right w:val="single" w:sz="4" w:space="0" w:color="auto"/>
            </w:tcBorders>
            <w:vAlign w:val="center"/>
          </w:tcPr>
          <w:p w14:paraId="52760A90" w14:textId="5C032377" w:rsidR="00E101A2" w:rsidRPr="00D32158" w:rsidRDefault="00E101A2" w:rsidP="00E101A2">
            <w:pPr>
              <w:widowControl/>
              <w:adjustRightInd w:val="0"/>
              <w:snapToGrid w:val="0"/>
              <w:jc w:val="center"/>
              <w:textAlignment w:val="center"/>
            </w:pPr>
            <w:r>
              <w:rPr>
                <w:color w:val="000000"/>
              </w:rPr>
              <w:t>0.07</w:t>
            </w:r>
          </w:p>
        </w:tc>
        <w:tc>
          <w:tcPr>
            <w:tcW w:w="387" w:type="pct"/>
            <w:tcBorders>
              <w:top w:val="single" w:sz="4" w:space="0" w:color="auto"/>
              <w:left w:val="single" w:sz="4" w:space="0" w:color="auto"/>
              <w:bottom w:val="single" w:sz="4" w:space="0" w:color="auto"/>
              <w:right w:val="single" w:sz="4" w:space="0" w:color="auto"/>
            </w:tcBorders>
            <w:vAlign w:val="center"/>
          </w:tcPr>
          <w:p w14:paraId="158019F8" w14:textId="30D582B1" w:rsidR="00E101A2" w:rsidRPr="00D32158" w:rsidRDefault="00E101A2" w:rsidP="00E101A2">
            <w:pPr>
              <w:widowControl/>
              <w:adjustRightInd w:val="0"/>
              <w:snapToGrid w:val="0"/>
              <w:jc w:val="center"/>
              <w:textAlignment w:val="center"/>
            </w:pPr>
            <w:r>
              <w:rPr>
                <w:color w:val="000000"/>
              </w:rPr>
              <w:t>0.06</w:t>
            </w:r>
          </w:p>
        </w:tc>
        <w:tc>
          <w:tcPr>
            <w:tcW w:w="395" w:type="pct"/>
            <w:tcBorders>
              <w:top w:val="single" w:sz="4" w:space="0" w:color="auto"/>
              <w:left w:val="single" w:sz="4" w:space="0" w:color="auto"/>
              <w:bottom w:val="single" w:sz="4" w:space="0" w:color="auto"/>
              <w:right w:val="single" w:sz="4" w:space="0" w:color="auto"/>
            </w:tcBorders>
            <w:vAlign w:val="center"/>
          </w:tcPr>
          <w:p w14:paraId="7C05FA5A" w14:textId="47D2A206" w:rsidR="00E101A2" w:rsidRPr="00D32158" w:rsidRDefault="00E101A2" w:rsidP="00E101A2">
            <w:pPr>
              <w:widowControl/>
              <w:adjustRightInd w:val="0"/>
              <w:snapToGrid w:val="0"/>
              <w:jc w:val="center"/>
              <w:textAlignment w:val="center"/>
              <w:rPr>
                <w:color w:val="000000"/>
                <w:kern w:val="0"/>
                <w:lang w:bidi="ar"/>
              </w:rPr>
            </w:pPr>
            <w:r>
              <w:rPr>
                <w:color w:val="000000"/>
              </w:rPr>
              <w:t>0.08</w:t>
            </w:r>
          </w:p>
        </w:tc>
        <w:tc>
          <w:tcPr>
            <w:tcW w:w="367" w:type="pct"/>
            <w:tcBorders>
              <w:top w:val="single" w:sz="4" w:space="0" w:color="auto"/>
              <w:left w:val="single" w:sz="4" w:space="0" w:color="auto"/>
              <w:bottom w:val="single" w:sz="4" w:space="0" w:color="auto"/>
              <w:right w:val="single" w:sz="4" w:space="0" w:color="auto"/>
            </w:tcBorders>
            <w:vAlign w:val="center"/>
          </w:tcPr>
          <w:p w14:paraId="6E7108E5" w14:textId="3FD7A8D9" w:rsidR="00E101A2" w:rsidRPr="00D32158" w:rsidRDefault="00E101A2" w:rsidP="00E101A2">
            <w:pPr>
              <w:widowControl/>
              <w:adjustRightInd w:val="0"/>
              <w:snapToGrid w:val="0"/>
              <w:jc w:val="center"/>
              <w:textAlignment w:val="center"/>
              <w:rPr>
                <w:color w:val="000000"/>
                <w:kern w:val="0"/>
              </w:rPr>
            </w:pPr>
            <w:r>
              <w:rPr>
                <w:color w:val="000000"/>
              </w:rPr>
              <w:t>0.06</w:t>
            </w:r>
          </w:p>
        </w:tc>
        <w:tc>
          <w:tcPr>
            <w:tcW w:w="466" w:type="pct"/>
            <w:vMerge w:val="restart"/>
            <w:tcBorders>
              <w:top w:val="single" w:sz="4" w:space="0" w:color="auto"/>
              <w:left w:val="single" w:sz="4" w:space="0" w:color="auto"/>
            </w:tcBorders>
            <w:vAlign w:val="center"/>
          </w:tcPr>
          <w:p w14:paraId="016F362D" w14:textId="47493C00" w:rsidR="00E101A2" w:rsidRPr="00D32158" w:rsidRDefault="00E101A2" w:rsidP="00E101A2">
            <w:pPr>
              <w:widowControl/>
              <w:adjustRightInd w:val="0"/>
              <w:snapToGrid w:val="0"/>
              <w:jc w:val="center"/>
              <w:textAlignment w:val="center"/>
            </w:pPr>
            <w:r>
              <w:rPr>
                <w:rFonts w:ascii="仿宋" w:eastAsia="仿宋" w:hAnsi="仿宋" w:cs="仿宋" w:hint="eastAsia"/>
              </w:rPr>
              <w:t>≤</w:t>
            </w:r>
            <w:r>
              <w:t>0.10</w:t>
            </w:r>
          </w:p>
        </w:tc>
      </w:tr>
      <w:tr w:rsidR="00E101A2" w:rsidRPr="00D32158" w14:paraId="0418AAC2" w14:textId="77777777" w:rsidTr="00E101A2">
        <w:trPr>
          <w:trHeight w:val="57"/>
          <w:jc w:val="center"/>
        </w:trPr>
        <w:tc>
          <w:tcPr>
            <w:tcW w:w="708" w:type="pct"/>
            <w:vMerge/>
            <w:tcBorders>
              <w:bottom w:val="single" w:sz="4" w:space="0" w:color="auto"/>
              <w:right w:val="single" w:sz="4" w:space="0" w:color="auto"/>
            </w:tcBorders>
            <w:vAlign w:val="center"/>
          </w:tcPr>
          <w:p w14:paraId="44C7E4F8" w14:textId="77777777" w:rsidR="00E101A2" w:rsidRPr="00D32158" w:rsidRDefault="00E101A2" w:rsidP="00E101A2">
            <w:pPr>
              <w:widowControl/>
              <w:adjustRightInd w:val="0"/>
              <w:snapToGrid w:val="0"/>
              <w:jc w:val="center"/>
              <w:textAlignment w:val="center"/>
            </w:pPr>
          </w:p>
        </w:tc>
        <w:tc>
          <w:tcPr>
            <w:tcW w:w="586" w:type="pct"/>
            <w:vAlign w:val="center"/>
          </w:tcPr>
          <w:p w14:paraId="31223589" w14:textId="483DDECC" w:rsidR="00E101A2" w:rsidRPr="00D32158" w:rsidRDefault="00E101A2" w:rsidP="00E101A2">
            <w:pPr>
              <w:adjustRightInd w:val="0"/>
              <w:snapToGrid w:val="0"/>
              <w:jc w:val="center"/>
            </w:pPr>
            <w:r>
              <w:rPr>
                <w:rFonts w:hint="eastAsia"/>
              </w:rPr>
              <w:t>标准指数</w:t>
            </w:r>
          </w:p>
        </w:tc>
        <w:tc>
          <w:tcPr>
            <w:tcW w:w="478" w:type="pct"/>
            <w:vMerge/>
            <w:tcBorders>
              <w:left w:val="single" w:sz="4" w:space="0" w:color="auto"/>
              <w:bottom w:val="single" w:sz="4" w:space="0" w:color="auto"/>
              <w:right w:val="single" w:sz="4" w:space="0" w:color="auto"/>
              <w:tl2br w:val="nil"/>
              <w:tr2bl w:val="nil"/>
            </w:tcBorders>
            <w:vAlign w:val="center"/>
          </w:tcPr>
          <w:p w14:paraId="43A7D84F" w14:textId="1873E4EE" w:rsidR="00E101A2" w:rsidRPr="00D32158" w:rsidRDefault="00E101A2" w:rsidP="00E101A2">
            <w:pPr>
              <w:adjustRightInd w:val="0"/>
              <w:snapToGrid w:val="0"/>
              <w:jc w:val="center"/>
            </w:pPr>
          </w:p>
        </w:tc>
        <w:tc>
          <w:tcPr>
            <w:tcW w:w="402" w:type="pct"/>
            <w:tcBorders>
              <w:top w:val="single" w:sz="4" w:space="0" w:color="auto"/>
              <w:left w:val="single" w:sz="4" w:space="0" w:color="auto"/>
              <w:bottom w:val="single" w:sz="4" w:space="0" w:color="auto"/>
              <w:right w:val="single" w:sz="4" w:space="0" w:color="auto"/>
            </w:tcBorders>
            <w:vAlign w:val="center"/>
          </w:tcPr>
          <w:p w14:paraId="19221CDA" w14:textId="5ED80B0D" w:rsidR="00E101A2" w:rsidRPr="00D32158" w:rsidRDefault="00E101A2" w:rsidP="00E101A2">
            <w:pPr>
              <w:widowControl/>
              <w:adjustRightInd w:val="0"/>
              <w:snapToGrid w:val="0"/>
              <w:jc w:val="center"/>
              <w:textAlignment w:val="center"/>
              <w:rPr>
                <w:color w:val="000000"/>
                <w:sz w:val="22"/>
                <w:szCs w:val="22"/>
              </w:rPr>
            </w:pPr>
            <w:r>
              <w:rPr>
                <w:color w:val="000000"/>
                <w:sz w:val="22"/>
                <w:szCs w:val="22"/>
              </w:rPr>
              <w:t>0.6</w:t>
            </w:r>
          </w:p>
        </w:tc>
        <w:tc>
          <w:tcPr>
            <w:tcW w:w="402" w:type="pct"/>
            <w:tcBorders>
              <w:top w:val="single" w:sz="4" w:space="0" w:color="auto"/>
              <w:left w:val="single" w:sz="4" w:space="0" w:color="auto"/>
              <w:bottom w:val="single" w:sz="4" w:space="0" w:color="auto"/>
              <w:right w:val="single" w:sz="4" w:space="0" w:color="auto"/>
            </w:tcBorders>
            <w:vAlign w:val="center"/>
          </w:tcPr>
          <w:p w14:paraId="4CB99BFB" w14:textId="212CD528" w:rsidR="00E101A2" w:rsidRPr="00D32158" w:rsidRDefault="00E101A2" w:rsidP="00E101A2">
            <w:pPr>
              <w:widowControl/>
              <w:adjustRightInd w:val="0"/>
              <w:snapToGrid w:val="0"/>
              <w:jc w:val="center"/>
              <w:textAlignment w:val="center"/>
              <w:rPr>
                <w:color w:val="000000"/>
                <w:sz w:val="22"/>
                <w:szCs w:val="22"/>
              </w:rPr>
            </w:pPr>
            <w:r>
              <w:rPr>
                <w:color w:val="000000"/>
                <w:sz w:val="22"/>
                <w:szCs w:val="22"/>
              </w:rPr>
              <w:t>0.5</w:t>
            </w:r>
          </w:p>
        </w:tc>
        <w:tc>
          <w:tcPr>
            <w:tcW w:w="402" w:type="pct"/>
            <w:tcBorders>
              <w:top w:val="single" w:sz="4" w:space="0" w:color="auto"/>
              <w:left w:val="single" w:sz="4" w:space="0" w:color="auto"/>
              <w:bottom w:val="single" w:sz="4" w:space="0" w:color="auto"/>
              <w:right w:val="single" w:sz="4" w:space="0" w:color="auto"/>
            </w:tcBorders>
            <w:vAlign w:val="center"/>
          </w:tcPr>
          <w:p w14:paraId="07A1BC49" w14:textId="4FFA146E" w:rsidR="00E101A2" w:rsidRPr="00D32158" w:rsidRDefault="00E101A2" w:rsidP="00E101A2">
            <w:pPr>
              <w:widowControl/>
              <w:adjustRightInd w:val="0"/>
              <w:snapToGrid w:val="0"/>
              <w:jc w:val="center"/>
              <w:textAlignment w:val="center"/>
              <w:rPr>
                <w:color w:val="000000"/>
                <w:sz w:val="22"/>
                <w:szCs w:val="22"/>
              </w:rPr>
            </w:pPr>
            <w:r>
              <w:rPr>
                <w:color w:val="000000"/>
                <w:sz w:val="22"/>
                <w:szCs w:val="22"/>
              </w:rPr>
              <w:t>0.7</w:t>
            </w:r>
          </w:p>
        </w:tc>
        <w:tc>
          <w:tcPr>
            <w:tcW w:w="407" w:type="pct"/>
            <w:tcBorders>
              <w:top w:val="single" w:sz="4" w:space="0" w:color="auto"/>
              <w:left w:val="single" w:sz="4" w:space="0" w:color="auto"/>
              <w:bottom w:val="single" w:sz="4" w:space="0" w:color="auto"/>
              <w:right w:val="single" w:sz="4" w:space="0" w:color="auto"/>
            </w:tcBorders>
            <w:vAlign w:val="center"/>
          </w:tcPr>
          <w:p w14:paraId="62C0F6A9" w14:textId="47EEA2F1" w:rsidR="00E101A2" w:rsidRDefault="00E101A2" w:rsidP="00E101A2">
            <w:pPr>
              <w:widowControl/>
              <w:adjustRightInd w:val="0"/>
              <w:snapToGrid w:val="0"/>
              <w:jc w:val="center"/>
              <w:textAlignment w:val="center"/>
              <w:rPr>
                <w:rFonts w:eastAsia="仿宋"/>
              </w:rPr>
            </w:pPr>
            <w:r>
              <w:rPr>
                <w:color w:val="000000"/>
                <w:sz w:val="22"/>
                <w:szCs w:val="22"/>
              </w:rPr>
              <w:t>0.7</w:t>
            </w:r>
          </w:p>
        </w:tc>
        <w:tc>
          <w:tcPr>
            <w:tcW w:w="387" w:type="pct"/>
            <w:tcBorders>
              <w:top w:val="single" w:sz="4" w:space="0" w:color="auto"/>
              <w:left w:val="single" w:sz="4" w:space="0" w:color="auto"/>
              <w:bottom w:val="single" w:sz="4" w:space="0" w:color="auto"/>
              <w:right w:val="single" w:sz="4" w:space="0" w:color="auto"/>
            </w:tcBorders>
            <w:vAlign w:val="center"/>
          </w:tcPr>
          <w:p w14:paraId="1FC3AFCD" w14:textId="28EDCF5E" w:rsidR="00E101A2" w:rsidRDefault="00E101A2" w:rsidP="00E101A2">
            <w:pPr>
              <w:widowControl/>
              <w:adjustRightInd w:val="0"/>
              <w:snapToGrid w:val="0"/>
              <w:jc w:val="center"/>
              <w:textAlignment w:val="center"/>
              <w:rPr>
                <w:rFonts w:eastAsia="仿宋"/>
              </w:rPr>
            </w:pPr>
            <w:r>
              <w:rPr>
                <w:color w:val="000000"/>
                <w:sz w:val="22"/>
                <w:szCs w:val="22"/>
              </w:rPr>
              <w:t>0.6</w:t>
            </w:r>
          </w:p>
        </w:tc>
        <w:tc>
          <w:tcPr>
            <w:tcW w:w="395" w:type="pct"/>
            <w:tcBorders>
              <w:top w:val="single" w:sz="4" w:space="0" w:color="auto"/>
              <w:left w:val="single" w:sz="4" w:space="0" w:color="auto"/>
              <w:bottom w:val="single" w:sz="4" w:space="0" w:color="auto"/>
              <w:right w:val="single" w:sz="4" w:space="0" w:color="auto"/>
            </w:tcBorders>
            <w:vAlign w:val="center"/>
          </w:tcPr>
          <w:p w14:paraId="313C0F5C" w14:textId="46391E7E" w:rsidR="00E101A2" w:rsidRDefault="00E101A2" w:rsidP="00E101A2">
            <w:pPr>
              <w:widowControl/>
              <w:adjustRightInd w:val="0"/>
              <w:snapToGrid w:val="0"/>
              <w:jc w:val="center"/>
              <w:textAlignment w:val="center"/>
              <w:rPr>
                <w:rFonts w:eastAsia="仿宋"/>
              </w:rPr>
            </w:pPr>
            <w:r>
              <w:rPr>
                <w:color w:val="000000"/>
                <w:sz w:val="22"/>
                <w:szCs w:val="22"/>
              </w:rPr>
              <w:t>0.8</w:t>
            </w:r>
          </w:p>
        </w:tc>
        <w:tc>
          <w:tcPr>
            <w:tcW w:w="367" w:type="pct"/>
            <w:tcBorders>
              <w:top w:val="single" w:sz="4" w:space="0" w:color="auto"/>
              <w:left w:val="single" w:sz="4" w:space="0" w:color="auto"/>
              <w:bottom w:val="single" w:sz="4" w:space="0" w:color="auto"/>
              <w:right w:val="single" w:sz="4" w:space="0" w:color="auto"/>
            </w:tcBorders>
            <w:vAlign w:val="center"/>
          </w:tcPr>
          <w:p w14:paraId="682605A0" w14:textId="18539D58" w:rsidR="00E101A2" w:rsidRDefault="00E101A2" w:rsidP="00E101A2">
            <w:pPr>
              <w:widowControl/>
              <w:adjustRightInd w:val="0"/>
              <w:snapToGrid w:val="0"/>
              <w:jc w:val="center"/>
              <w:textAlignment w:val="center"/>
              <w:rPr>
                <w:rFonts w:eastAsia="仿宋"/>
              </w:rPr>
            </w:pPr>
            <w:r>
              <w:rPr>
                <w:color w:val="000000"/>
                <w:sz w:val="22"/>
                <w:szCs w:val="22"/>
              </w:rPr>
              <w:t>0.6</w:t>
            </w:r>
          </w:p>
        </w:tc>
        <w:tc>
          <w:tcPr>
            <w:tcW w:w="466" w:type="pct"/>
            <w:vMerge/>
            <w:tcBorders>
              <w:left w:val="single" w:sz="4" w:space="0" w:color="auto"/>
              <w:bottom w:val="single" w:sz="4" w:space="0" w:color="auto"/>
            </w:tcBorders>
            <w:vAlign w:val="center"/>
          </w:tcPr>
          <w:p w14:paraId="15B2B6BA" w14:textId="77777777" w:rsidR="00E101A2" w:rsidRDefault="00E101A2" w:rsidP="00E101A2">
            <w:pPr>
              <w:widowControl/>
              <w:adjustRightInd w:val="0"/>
              <w:snapToGrid w:val="0"/>
              <w:jc w:val="center"/>
              <w:textAlignment w:val="center"/>
              <w:rPr>
                <w:rFonts w:ascii="仿宋" w:eastAsia="仿宋" w:hAnsi="仿宋" w:cs="仿宋" w:hint="eastAsia"/>
              </w:rPr>
            </w:pPr>
          </w:p>
        </w:tc>
      </w:tr>
      <w:tr w:rsidR="00E101A2" w:rsidRPr="00D32158" w14:paraId="62B36BD9" w14:textId="77777777" w:rsidTr="00E101A2">
        <w:trPr>
          <w:trHeight w:val="57"/>
          <w:jc w:val="center"/>
        </w:trPr>
        <w:tc>
          <w:tcPr>
            <w:tcW w:w="708" w:type="pct"/>
            <w:vMerge w:val="restart"/>
            <w:tcBorders>
              <w:top w:val="single" w:sz="4" w:space="0" w:color="auto"/>
              <w:right w:val="single" w:sz="4" w:space="0" w:color="auto"/>
            </w:tcBorders>
            <w:vAlign w:val="center"/>
          </w:tcPr>
          <w:p w14:paraId="21B29F7A" w14:textId="4692854A" w:rsidR="00E101A2" w:rsidRPr="00D32158" w:rsidRDefault="00E101A2" w:rsidP="00E101A2">
            <w:pPr>
              <w:widowControl/>
              <w:adjustRightInd w:val="0"/>
              <w:snapToGrid w:val="0"/>
              <w:jc w:val="center"/>
              <w:textAlignment w:val="center"/>
            </w:pPr>
            <w:r w:rsidRPr="00D32158">
              <w:t>铅</w:t>
            </w:r>
          </w:p>
        </w:tc>
        <w:tc>
          <w:tcPr>
            <w:tcW w:w="586" w:type="pct"/>
            <w:vAlign w:val="center"/>
          </w:tcPr>
          <w:p w14:paraId="47CFCD10" w14:textId="08991C4B" w:rsidR="00E101A2" w:rsidRPr="00D32158" w:rsidRDefault="00E101A2" w:rsidP="00E101A2">
            <w:pPr>
              <w:adjustRightInd w:val="0"/>
              <w:snapToGrid w:val="0"/>
              <w:jc w:val="center"/>
            </w:pPr>
            <w:r>
              <w:rPr>
                <w:rFonts w:hint="eastAsia"/>
              </w:rPr>
              <w:t>监测值</w:t>
            </w:r>
          </w:p>
        </w:tc>
        <w:tc>
          <w:tcPr>
            <w:tcW w:w="478" w:type="pct"/>
            <w:vMerge w:val="restart"/>
            <w:tcBorders>
              <w:top w:val="single" w:sz="4" w:space="0" w:color="auto"/>
              <w:left w:val="single" w:sz="4" w:space="0" w:color="auto"/>
              <w:right w:val="single" w:sz="4" w:space="0" w:color="auto"/>
              <w:tl2br w:val="nil"/>
              <w:tr2bl w:val="nil"/>
            </w:tcBorders>
            <w:vAlign w:val="center"/>
          </w:tcPr>
          <w:p w14:paraId="5C9CC550" w14:textId="086C8FA8" w:rsidR="00E101A2" w:rsidRPr="00D32158" w:rsidRDefault="00E101A2" w:rsidP="00E101A2">
            <w:pPr>
              <w:adjustRightInd w:val="0"/>
              <w:snapToGrid w:val="0"/>
              <w:jc w:val="center"/>
            </w:pPr>
            <w:r w:rsidRPr="00D32158">
              <w:t>mg/L</w:t>
            </w:r>
          </w:p>
        </w:tc>
        <w:tc>
          <w:tcPr>
            <w:tcW w:w="402" w:type="pct"/>
            <w:tcBorders>
              <w:top w:val="single" w:sz="4" w:space="0" w:color="auto"/>
              <w:left w:val="single" w:sz="4" w:space="0" w:color="auto"/>
              <w:bottom w:val="single" w:sz="4" w:space="0" w:color="auto"/>
              <w:right w:val="single" w:sz="4" w:space="0" w:color="auto"/>
            </w:tcBorders>
            <w:vAlign w:val="center"/>
          </w:tcPr>
          <w:p w14:paraId="15E4F389" w14:textId="4544C660" w:rsidR="00E101A2" w:rsidRPr="00D32158" w:rsidRDefault="00E101A2" w:rsidP="00E101A2">
            <w:pPr>
              <w:widowControl/>
              <w:adjustRightInd w:val="0"/>
              <w:snapToGrid w:val="0"/>
              <w:jc w:val="center"/>
              <w:textAlignment w:val="center"/>
            </w:pPr>
            <w:r>
              <w:rPr>
                <w:color w:val="000000"/>
                <w:sz w:val="22"/>
                <w:szCs w:val="22"/>
              </w:rPr>
              <w:t>0.010L</w:t>
            </w:r>
          </w:p>
        </w:tc>
        <w:tc>
          <w:tcPr>
            <w:tcW w:w="402" w:type="pct"/>
            <w:tcBorders>
              <w:top w:val="single" w:sz="4" w:space="0" w:color="auto"/>
              <w:left w:val="single" w:sz="4" w:space="0" w:color="auto"/>
              <w:bottom w:val="single" w:sz="4" w:space="0" w:color="auto"/>
              <w:right w:val="single" w:sz="4" w:space="0" w:color="auto"/>
            </w:tcBorders>
            <w:vAlign w:val="center"/>
          </w:tcPr>
          <w:p w14:paraId="0B5F973B" w14:textId="62F176D7" w:rsidR="00E101A2" w:rsidRPr="00D32158" w:rsidRDefault="00E101A2" w:rsidP="00E101A2">
            <w:pPr>
              <w:widowControl/>
              <w:adjustRightInd w:val="0"/>
              <w:snapToGrid w:val="0"/>
              <w:jc w:val="center"/>
              <w:textAlignment w:val="center"/>
            </w:pPr>
            <w:r>
              <w:rPr>
                <w:color w:val="000000"/>
                <w:sz w:val="22"/>
                <w:szCs w:val="22"/>
              </w:rPr>
              <w:t>0.010L</w:t>
            </w:r>
          </w:p>
        </w:tc>
        <w:tc>
          <w:tcPr>
            <w:tcW w:w="402" w:type="pct"/>
            <w:tcBorders>
              <w:top w:val="single" w:sz="4" w:space="0" w:color="auto"/>
              <w:left w:val="single" w:sz="4" w:space="0" w:color="auto"/>
              <w:bottom w:val="single" w:sz="4" w:space="0" w:color="auto"/>
              <w:right w:val="single" w:sz="4" w:space="0" w:color="auto"/>
            </w:tcBorders>
            <w:vAlign w:val="center"/>
          </w:tcPr>
          <w:p w14:paraId="6D395858" w14:textId="2A455784" w:rsidR="00E101A2" w:rsidRPr="00D32158" w:rsidRDefault="00E101A2" w:rsidP="00E101A2">
            <w:pPr>
              <w:widowControl/>
              <w:adjustRightInd w:val="0"/>
              <w:snapToGrid w:val="0"/>
              <w:jc w:val="center"/>
              <w:textAlignment w:val="center"/>
            </w:pPr>
            <w:r>
              <w:rPr>
                <w:color w:val="000000"/>
                <w:sz w:val="22"/>
                <w:szCs w:val="22"/>
              </w:rPr>
              <w:t>0.010L</w:t>
            </w:r>
          </w:p>
        </w:tc>
        <w:tc>
          <w:tcPr>
            <w:tcW w:w="407" w:type="pct"/>
            <w:tcBorders>
              <w:top w:val="single" w:sz="4" w:space="0" w:color="auto"/>
              <w:left w:val="single" w:sz="4" w:space="0" w:color="auto"/>
              <w:bottom w:val="single" w:sz="4" w:space="0" w:color="auto"/>
              <w:right w:val="single" w:sz="4" w:space="0" w:color="auto"/>
            </w:tcBorders>
            <w:vAlign w:val="center"/>
          </w:tcPr>
          <w:p w14:paraId="4BFF24B9" w14:textId="177E5618" w:rsidR="00E101A2" w:rsidRPr="00D32158" w:rsidRDefault="00E101A2" w:rsidP="00E101A2">
            <w:pPr>
              <w:widowControl/>
              <w:adjustRightInd w:val="0"/>
              <w:snapToGrid w:val="0"/>
              <w:jc w:val="center"/>
              <w:textAlignment w:val="center"/>
            </w:pPr>
            <w:r>
              <w:rPr>
                <w:color w:val="000000"/>
              </w:rPr>
              <w:t>0.010L</w:t>
            </w:r>
          </w:p>
        </w:tc>
        <w:tc>
          <w:tcPr>
            <w:tcW w:w="387" w:type="pct"/>
            <w:tcBorders>
              <w:top w:val="single" w:sz="4" w:space="0" w:color="auto"/>
              <w:left w:val="single" w:sz="4" w:space="0" w:color="auto"/>
              <w:bottom w:val="single" w:sz="4" w:space="0" w:color="auto"/>
              <w:right w:val="single" w:sz="4" w:space="0" w:color="auto"/>
            </w:tcBorders>
            <w:vAlign w:val="center"/>
          </w:tcPr>
          <w:p w14:paraId="1630B7AF" w14:textId="3FEE4FB2" w:rsidR="00E101A2" w:rsidRPr="00D32158" w:rsidRDefault="00E101A2" w:rsidP="00E101A2">
            <w:pPr>
              <w:widowControl/>
              <w:adjustRightInd w:val="0"/>
              <w:snapToGrid w:val="0"/>
              <w:jc w:val="center"/>
              <w:textAlignment w:val="center"/>
            </w:pPr>
            <w:r>
              <w:rPr>
                <w:color w:val="000000"/>
              </w:rPr>
              <w:t>0.010L</w:t>
            </w:r>
          </w:p>
        </w:tc>
        <w:tc>
          <w:tcPr>
            <w:tcW w:w="395" w:type="pct"/>
            <w:tcBorders>
              <w:top w:val="single" w:sz="4" w:space="0" w:color="auto"/>
              <w:left w:val="single" w:sz="4" w:space="0" w:color="auto"/>
              <w:bottom w:val="single" w:sz="4" w:space="0" w:color="auto"/>
              <w:right w:val="single" w:sz="4" w:space="0" w:color="auto"/>
            </w:tcBorders>
            <w:vAlign w:val="center"/>
          </w:tcPr>
          <w:p w14:paraId="797C8DE4" w14:textId="67ACB41B" w:rsidR="00E101A2" w:rsidRPr="00D32158" w:rsidRDefault="00E101A2" w:rsidP="00E101A2">
            <w:pPr>
              <w:widowControl/>
              <w:adjustRightInd w:val="0"/>
              <w:snapToGrid w:val="0"/>
              <w:jc w:val="center"/>
              <w:textAlignment w:val="center"/>
              <w:rPr>
                <w:color w:val="000000"/>
                <w:kern w:val="0"/>
                <w:lang w:bidi="ar"/>
              </w:rPr>
            </w:pPr>
            <w:r>
              <w:rPr>
                <w:color w:val="000000"/>
              </w:rPr>
              <w:t>0.010L</w:t>
            </w:r>
          </w:p>
        </w:tc>
        <w:tc>
          <w:tcPr>
            <w:tcW w:w="367" w:type="pct"/>
            <w:tcBorders>
              <w:top w:val="single" w:sz="4" w:space="0" w:color="auto"/>
              <w:left w:val="single" w:sz="4" w:space="0" w:color="auto"/>
              <w:bottom w:val="single" w:sz="4" w:space="0" w:color="auto"/>
              <w:right w:val="single" w:sz="4" w:space="0" w:color="auto"/>
            </w:tcBorders>
            <w:vAlign w:val="center"/>
          </w:tcPr>
          <w:p w14:paraId="66036C52" w14:textId="280E9C99" w:rsidR="00E101A2" w:rsidRPr="00D32158" w:rsidRDefault="00E101A2" w:rsidP="00E101A2">
            <w:pPr>
              <w:widowControl/>
              <w:adjustRightInd w:val="0"/>
              <w:snapToGrid w:val="0"/>
              <w:jc w:val="center"/>
              <w:textAlignment w:val="center"/>
              <w:rPr>
                <w:color w:val="000000"/>
                <w:kern w:val="0"/>
              </w:rPr>
            </w:pPr>
            <w:r>
              <w:rPr>
                <w:color w:val="000000"/>
              </w:rPr>
              <w:t>0.010L</w:t>
            </w:r>
          </w:p>
        </w:tc>
        <w:tc>
          <w:tcPr>
            <w:tcW w:w="466" w:type="pct"/>
            <w:vMerge w:val="restart"/>
            <w:tcBorders>
              <w:top w:val="single" w:sz="4" w:space="0" w:color="auto"/>
              <w:left w:val="single" w:sz="4" w:space="0" w:color="auto"/>
            </w:tcBorders>
            <w:vAlign w:val="center"/>
          </w:tcPr>
          <w:p w14:paraId="2C5F6506" w14:textId="2710414D" w:rsidR="00E101A2" w:rsidRPr="00D32158" w:rsidRDefault="00E101A2" w:rsidP="00E101A2">
            <w:pPr>
              <w:widowControl/>
              <w:adjustRightInd w:val="0"/>
              <w:snapToGrid w:val="0"/>
              <w:jc w:val="center"/>
              <w:textAlignment w:val="center"/>
            </w:pPr>
            <w:r>
              <w:rPr>
                <w:rFonts w:ascii="仿宋" w:eastAsia="仿宋" w:hAnsi="仿宋" w:cs="仿宋" w:hint="eastAsia"/>
              </w:rPr>
              <w:t>≤</w:t>
            </w:r>
            <w:r>
              <w:t>0.01</w:t>
            </w:r>
          </w:p>
        </w:tc>
      </w:tr>
      <w:tr w:rsidR="00E101A2" w:rsidRPr="00D32158" w14:paraId="30075B31" w14:textId="77777777" w:rsidTr="00E101A2">
        <w:trPr>
          <w:trHeight w:val="57"/>
          <w:jc w:val="center"/>
        </w:trPr>
        <w:tc>
          <w:tcPr>
            <w:tcW w:w="708" w:type="pct"/>
            <w:vMerge/>
            <w:tcBorders>
              <w:bottom w:val="single" w:sz="4" w:space="0" w:color="auto"/>
              <w:right w:val="single" w:sz="4" w:space="0" w:color="auto"/>
            </w:tcBorders>
            <w:vAlign w:val="center"/>
          </w:tcPr>
          <w:p w14:paraId="2436BE26" w14:textId="77777777" w:rsidR="00E101A2" w:rsidRPr="00D32158" w:rsidRDefault="00E101A2" w:rsidP="00E101A2">
            <w:pPr>
              <w:widowControl/>
              <w:adjustRightInd w:val="0"/>
              <w:snapToGrid w:val="0"/>
              <w:jc w:val="center"/>
              <w:textAlignment w:val="center"/>
            </w:pPr>
          </w:p>
        </w:tc>
        <w:tc>
          <w:tcPr>
            <w:tcW w:w="586" w:type="pct"/>
            <w:vAlign w:val="center"/>
          </w:tcPr>
          <w:p w14:paraId="737F0558" w14:textId="74DF1719" w:rsidR="00E101A2" w:rsidRPr="00D32158" w:rsidRDefault="00E101A2" w:rsidP="00E101A2">
            <w:pPr>
              <w:adjustRightInd w:val="0"/>
              <w:snapToGrid w:val="0"/>
              <w:jc w:val="center"/>
            </w:pPr>
            <w:r>
              <w:rPr>
                <w:rFonts w:hint="eastAsia"/>
              </w:rPr>
              <w:t>标准指数</w:t>
            </w:r>
          </w:p>
        </w:tc>
        <w:tc>
          <w:tcPr>
            <w:tcW w:w="478" w:type="pct"/>
            <w:vMerge/>
            <w:tcBorders>
              <w:left w:val="single" w:sz="4" w:space="0" w:color="auto"/>
              <w:bottom w:val="single" w:sz="4" w:space="0" w:color="auto"/>
              <w:right w:val="single" w:sz="4" w:space="0" w:color="auto"/>
              <w:tl2br w:val="nil"/>
              <w:tr2bl w:val="nil"/>
            </w:tcBorders>
            <w:vAlign w:val="center"/>
          </w:tcPr>
          <w:p w14:paraId="63296C8D" w14:textId="09FABF06" w:rsidR="00E101A2" w:rsidRPr="00D32158" w:rsidRDefault="00E101A2" w:rsidP="00E101A2">
            <w:pPr>
              <w:adjustRightInd w:val="0"/>
              <w:snapToGrid w:val="0"/>
              <w:jc w:val="center"/>
            </w:pPr>
          </w:p>
        </w:tc>
        <w:tc>
          <w:tcPr>
            <w:tcW w:w="402" w:type="pct"/>
            <w:tcBorders>
              <w:top w:val="single" w:sz="4" w:space="0" w:color="auto"/>
              <w:left w:val="single" w:sz="4" w:space="0" w:color="auto"/>
              <w:bottom w:val="single" w:sz="4" w:space="0" w:color="auto"/>
              <w:right w:val="single" w:sz="4" w:space="0" w:color="auto"/>
            </w:tcBorders>
            <w:vAlign w:val="center"/>
          </w:tcPr>
          <w:p w14:paraId="473658A1" w14:textId="0D0593B1" w:rsidR="00E101A2" w:rsidRPr="00D32158" w:rsidRDefault="00E101A2" w:rsidP="00E101A2">
            <w:pPr>
              <w:widowControl/>
              <w:adjustRightInd w:val="0"/>
              <w:snapToGrid w:val="0"/>
              <w:jc w:val="center"/>
              <w:textAlignment w:val="center"/>
              <w:rPr>
                <w:color w:val="000000"/>
                <w:sz w:val="22"/>
                <w:szCs w:val="22"/>
              </w:rPr>
            </w:pPr>
            <w:r>
              <w:rPr>
                <w:rFonts w:eastAsia="仿宋" w:hint="eastAsia"/>
              </w:rPr>
              <w:t>/</w:t>
            </w:r>
          </w:p>
        </w:tc>
        <w:tc>
          <w:tcPr>
            <w:tcW w:w="402" w:type="pct"/>
            <w:tcBorders>
              <w:top w:val="single" w:sz="4" w:space="0" w:color="auto"/>
              <w:left w:val="single" w:sz="4" w:space="0" w:color="auto"/>
              <w:bottom w:val="single" w:sz="4" w:space="0" w:color="auto"/>
              <w:right w:val="single" w:sz="4" w:space="0" w:color="auto"/>
            </w:tcBorders>
          </w:tcPr>
          <w:p w14:paraId="0AF2F88D" w14:textId="5176C50E" w:rsidR="00E101A2" w:rsidRPr="00D32158" w:rsidRDefault="00E101A2" w:rsidP="00E101A2">
            <w:pPr>
              <w:widowControl/>
              <w:adjustRightInd w:val="0"/>
              <w:snapToGrid w:val="0"/>
              <w:jc w:val="center"/>
              <w:textAlignment w:val="center"/>
              <w:rPr>
                <w:color w:val="000000"/>
                <w:sz w:val="22"/>
                <w:szCs w:val="22"/>
              </w:rPr>
            </w:pPr>
            <w:r w:rsidRPr="00030223">
              <w:rPr>
                <w:rFonts w:eastAsia="仿宋" w:hint="eastAsia"/>
              </w:rPr>
              <w:t>/</w:t>
            </w:r>
          </w:p>
        </w:tc>
        <w:tc>
          <w:tcPr>
            <w:tcW w:w="402" w:type="pct"/>
            <w:tcBorders>
              <w:top w:val="single" w:sz="4" w:space="0" w:color="auto"/>
              <w:left w:val="single" w:sz="4" w:space="0" w:color="auto"/>
              <w:bottom w:val="single" w:sz="4" w:space="0" w:color="auto"/>
              <w:right w:val="single" w:sz="4" w:space="0" w:color="auto"/>
            </w:tcBorders>
          </w:tcPr>
          <w:p w14:paraId="2635E775" w14:textId="4A0AB7F3" w:rsidR="00E101A2" w:rsidRPr="00D32158" w:rsidRDefault="00E101A2" w:rsidP="00E101A2">
            <w:pPr>
              <w:widowControl/>
              <w:adjustRightInd w:val="0"/>
              <w:snapToGrid w:val="0"/>
              <w:jc w:val="center"/>
              <w:textAlignment w:val="center"/>
              <w:rPr>
                <w:color w:val="000000"/>
                <w:sz w:val="22"/>
                <w:szCs w:val="22"/>
              </w:rPr>
            </w:pPr>
            <w:r w:rsidRPr="00030223">
              <w:rPr>
                <w:rFonts w:eastAsia="仿宋" w:hint="eastAsia"/>
              </w:rPr>
              <w:t>/</w:t>
            </w:r>
          </w:p>
        </w:tc>
        <w:tc>
          <w:tcPr>
            <w:tcW w:w="407" w:type="pct"/>
            <w:tcBorders>
              <w:top w:val="single" w:sz="4" w:space="0" w:color="auto"/>
              <w:left w:val="single" w:sz="4" w:space="0" w:color="auto"/>
              <w:bottom w:val="single" w:sz="4" w:space="0" w:color="auto"/>
              <w:right w:val="single" w:sz="4" w:space="0" w:color="auto"/>
            </w:tcBorders>
          </w:tcPr>
          <w:p w14:paraId="7CFD29C0" w14:textId="5ED067DF" w:rsidR="00E101A2" w:rsidRDefault="00E101A2" w:rsidP="00E101A2">
            <w:pPr>
              <w:widowControl/>
              <w:adjustRightInd w:val="0"/>
              <w:snapToGrid w:val="0"/>
              <w:jc w:val="center"/>
              <w:textAlignment w:val="center"/>
              <w:rPr>
                <w:rFonts w:eastAsia="仿宋"/>
              </w:rPr>
            </w:pPr>
            <w:r w:rsidRPr="00030223">
              <w:rPr>
                <w:rFonts w:eastAsia="仿宋" w:hint="eastAsia"/>
              </w:rPr>
              <w:t>/</w:t>
            </w:r>
          </w:p>
        </w:tc>
        <w:tc>
          <w:tcPr>
            <w:tcW w:w="387" w:type="pct"/>
            <w:tcBorders>
              <w:top w:val="single" w:sz="4" w:space="0" w:color="auto"/>
              <w:left w:val="single" w:sz="4" w:space="0" w:color="auto"/>
              <w:bottom w:val="single" w:sz="4" w:space="0" w:color="auto"/>
              <w:right w:val="single" w:sz="4" w:space="0" w:color="auto"/>
            </w:tcBorders>
          </w:tcPr>
          <w:p w14:paraId="17379813" w14:textId="04A8375B" w:rsidR="00E101A2" w:rsidRDefault="00E101A2" w:rsidP="00E101A2">
            <w:pPr>
              <w:widowControl/>
              <w:adjustRightInd w:val="0"/>
              <w:snapToGrid w:val="0"/>
              <w:jc w:val="center"/>
              <w:textAlignment w:val="center"/>
              <w:rPr>
                <w:rFonts w:eastAsia="仿宋"/>
              </w:rPr>
            </w:pPr>
            <w:r w:rsidRPr="00030223">
              <w:rPr>
                <w:rFonts w:eastAsia="仿宋" w:hint="eastAsia"/>
              </w:rPr>
              <w:t>/</w:t>
            </w:r>
          </w:p>
        </w:tc>
        <w:tc>
          <w:tcPr>
            <w:tcW w:w="395" w:type="pct"/>
            <w:tcBorders>
              <w:top w:val="single" w:sz="4" w:space="0" w:color="auto"/>
              <w:left w:val="single" w:sz="4" w:space="0" w:color="auto"/>
              <w:bottom w:val="single" w:sz="4" w:space="0" w:color="auto"/>
              <w:right w:val="single" w:sz="4" w:space="0" w:color="auto"/>
            </w:tcBorders>
          </w:tcPr>
          <w:p w14:paraId="4AD1C4FA" w14:textId="3E69C357" w:rsidR="00E101A2" w:rsidRDefault="00E101A2" w:rsidP="00E101A2">
            <w:pPr>
              <w:widowControl/>
              <w:adjustRightInd w:val="0"/>
              <w:snapToGrid w:val="0"/>
              <w:jc w:val="center"/>
              <w:textAlignment w:val="center"/>
              <w:rPr>
                <w:rFonts w:eastAsia="仿宋"/>
              </w:rPr>
            </w:pPr>
            <w:r w:rsidRPr="00030223">
              <w:rPr>
                <w:rFonts w:eastAsia="仿宋" w:hint="eastAsia"/>
              </w:rPr>
              <w:t>/</w:t>
            </w:r>
          </w:p>
        </w:tc>
        <w:tc>
          <w:tcPr>
            <w:tcW w:w="367" w:type="pct"/>
            <w:tcBorders>
              <w:top w:val="single" w:sz="4" w:space="0" w:color="auto"/>
              <w:left w:val="single" w:sz="4" w:space="0" w:color="auto"/>
              <w:bottom w:val="single" w:sz="4" w:space="0" w:color="auto"/>
              <w:right w:val="single" w:sz="4" w:space="0" w:color="auto"/>
            </w:tcBorders>
          </w:tcPr>
          <w:p w14:paraId="6C7E8DE0" w14:textId="5AD46024" w:rsidR="00E101A2" w:rsidRDefault="00E101A2" w:rsidP="00E101A2">
            <w:pPr>
              <w:widowControl/>
              <w:adjustRightInd w:val="0"/>
              <w:snapToGrid w:val="0"/>
              <w:jc w:val="center"/>
              <w:textAlignment w:val="center"/>
              <w:rPr>
                <w:rFonts w:eastAsia="仿宋"/>
              </w:rPr>
            </w:pPr>
            <w:r w:rsidRPr="00030223">
              <w:rPr>
                <w:rFonts w:eastAsia="仿宋" w:hint="eastAsia"/>
              </w:rPr>
              <w:t>/</w:t>
            </w:r>
          </w:p>
        </w:tc>
        <w:tc>
          <w:tcPr>
            <w:tcW w:w="466" w:type="pct"/>
            <w:vMerge/>
            <w:tcBorders>
              <w:left w:val="single" w:sz="4" w:space="0" w:color="auto"/>
              <w:bottom w:val="single" w:sz="4" w:space="0" w:color="auto"/>
            </w:tcBorders>
            <w:vAlign w:val="center"/>
          </w:tcPr>
          <w:p w14:paraId="4E15A929" w14:textId="77777777" w:rsidR="00E101A2" w:rsidRDefault="00E101A2" w:rsidP="00E101A2">
            <w:pPr>
              <w:widowControl/>
              <w:adjustRightInd w:val="0"/>
              <w:snapToGrid w:val="0"/>
              <w:jc w:val="center"/>
              <w:textAlignment w:val="center"/>
              <w:rPr>
                <w:rFonts w:ascii="仿宋" w:eastAsia="仿宋" w:hAnsi="仿宋" w:cs="仿宋" w:hint="eastAsia"/>
              </w:rPr>
            </w:pPr>
          </w:p>
        </w:tc>
      </w:tr>
      <w:tr w:rsidR="00E101A2" w:rsidRPr="00D32158" w14:paraId="104E59A5" w14:textId="77777777" w:rsidTr="00E101A2">
        <w:trPr>
          <w:trHeight w:val="57"/>
          <w:jc w:val="center"/>
        </w:trPr>
        <w:tc>
          <w:tcPr>
            <w:tcW w:w="708" w:type="pct"/>
            <w:vMerge w:val="restart"/>
            <w:tcBorders>
              <w:top w:val="single" w:sz="4" w:space="0" w:color="auto"/>
              <w:right w:val="single" w:sz="4" w:space="0" w:color="auto"/>
            </w:tcBorders>
            <w:vAlign w:val="center"/>
          </w:tcPr>
          <w:p w14:paraId="78F76E72" w14:textId="7E104BC2" w:rsidR="00E101A2" w:rsidRPr="00D32158" w:rsidRDefault="00E101A2" w:rsidP="00E101A2">
            <w:pPr>
              <w:widowControl/>
              <w:adjustRightInd w:val="0"/>
              <w:snapToGrid w:val="0"/>
              <w:jc w:val="center"/>
              <w:textAlignment w:val="center"/>
            </w:pPr>
            <w:r w:rsidRPr="00D32158">
              <w:t>亚硝酸盐（以</w:t>
            </w:r>
            <w:r w:rsidRPr="00D32158">
              <w:t>N</w:t>
            </w:r>
            <w:r w:rsidRPr="00D32158">
              <w:t>计）</w:t>
            </w:r>
          </w:p>
        </w:tc>
        <w:tc>
          <w:tcPr>
            <w:tcW w:w="586" w:type="pct"/>
            <w:vAlign w:val="center"/>
          </w:tcPr>
          <w:p w14:paraId="0650F040" w14:textId="2D862094" w:rsidR="00E101A2" w:rsidRPr="00D32158" w:rsidRDefault="00E101A2" w:rsidP="00E101A2">
            <w:pPr>
              <w:adjustRightInd w:val="0"/>
              <w:snapToGrid w:val="0"/>
              <w:jc w:val="center"/>
            </w:pPr>
            <w:r>
              <w:rPr>
                <w:rFonts w:hint="eastAsia"/>
              </w:rPr>
              <w:t>监测值</w:t>
            </w:r>
          </w:p>
        </w:tc>
        <w:tc>
          <w:tcPr>
            <w:tcW w:w="478" w:type="pct"/>
            <w:vMerge w:val="restart"/>
            <w:tcBorders>
              <w:top w:val="single" w:sz="4" w:space="0" w:color="auto"/>
              <w:left w:val="single" w:sz="4" w:space="0" w:color="auto"/>
              <w:right w:val="single" w:sz="4" w:space="0" w:color="auto"/>
              <w:tl2br w:val="nil"/>
              <w:tr2bl w:val="nil"/>
            </w:tcBorders>
            <w:vAlign w:val="center"/>
          </w:tcPr>
          <w:p w14:paraId="47550207" w14:textId="6AFCFBB3" w:rsidR="00E101A2" w:rsidRPr="00D32158" w:rsidRDefault="00E101A2" w:rsidP="00E101A2">
            <w:pPr>
              <w:adjustRightInd w:val="0"/>
              <w:snapToGrid w:val="0"/>
              <w:jc w:val="center"/>
            </w:pPr>
            <w:r w:rsidRPr="00D32158">
              <w:t>mg/L</w:t>
            </w:r>
          </w:p>
        </w:tc>
        <w:tc>
          <w:tcPr>
            <w:tcW w:w="402" w:type="pct"/>
            <w:tcBorders>
              <w:top w:val="single" w:sz="4" w:space="0" w:color="auto"/>
              <w:left w:val="single" w:sz="4" w:space="0" w:color="auto"/>
              <w:bottom w:val="single" w:sz="4" w:space="0" w:color="auto"/>
              <w:right w:val="single" w:sz="4" w:space="0" w:color="auto"/>
            </w:tcBorders>
            <w:vAlign w:val="center"/>
          </w:tcPr>
          <w:p w14:paraId="3EDE3FCB" w14:textId="1DA293C2" w:rsidR="00E101A2" w:rsidRPr="00D32158" w:rsidRDefault="00E101A2" w:rsidP="00E101A2">
            <w:pPr>
              <w:widowControl/>
              <w:adjustRightInd w:val="0"/>
              <w:snapToGrid w:val="0"/>
              <w:jc w:val="center"/>
              <w:textAlignment w:val="center"/>
            </w:pPr>
            <w:r>
              <w:rPr>
                <w:color w:val="000000"/>
                <w:sz w:val="22"/>
                <w:szCs w:val="22"/>
              </w:rPr>
              <w:t>0.003L</w:t>
            </w:r>
          </w:p>
        </w:tc>
        <w:tc>
          <w:tcPr>
            <w:tcW w:w="402" w:type="pct"/>
            <w:tcBorders>
              <w:top w:val="single" w:sz="4" w:space="0" w:color="auto"/>
              <w:left w:val="single" w:sz="4" w:space="0" w:color="auto"/>
              <w:bottom w:val="single" w:sz="4" w:space="0" w:color="auto"/>
              <w:right w:val="single" w:sz="4" w:space="0" w:color="auto"/>
            </w:tcBorders>
            <w:vAlign w:val="center"/>
          </w:tcPr>
          <w:p w14:paraId="6F42359F" w14:textId="248EE0E7" w:rsidR="00E101A2" w:rsidRPr="00D32158" w:rsidRDefault="00E101A2" w:rsidP="00E101A2">
            <w:pPr>
              <w:widowControl/>
              <w:adjustRightInd w:val="0"/>
              <w:snapToGrid w:val="0"/>
              <w:jc w:val="center"/>
              <w:textAlignment w:val="center"/>
            </w:pPr>
            <w:r>
              <w:rPr>
                <w:color w:val="000000"/>
                <w:sz w:val="22"/>
                <w:szCs w:val="22"/>
              </w:rPr>
              <w:t>0.003L</w:t>
            </w:r>
          </w:p>
        </w:tc>
        <w:tc>
          <w:tcPr>
            <w:tcW w:w="402" w:type="pct"/>
            <w:tcBorders>
              <w:top w:val="single" w:sz="4" w:space="0" w:color="auto"/>
              <w:left w:val="single" w:sz="4" w:space="0" w:color="auto"/>
              <w:bottom w:val="single" w:sz="4" w:space="0" w:color="auto"/>
              <w:right w:val="single" w:sz="4" w:space="0" w:color="auto"/>
            </w:tcBorders>
            <w:vAlign w:val="center"/>
          </w:tcPr>
          <w:p w14:paraId="5A0FFDA9" w14:textId="51A983D0" w:rsidR="00E101A2" w:rsidRPr="00D32158" w:rsidRDefault="00E101A2" w:rsidP="00E101A2">
            <w:pPr>
              <w:widowControl/>
              <w:adjustRightInd w:val="0"/>
              <w:snapToGrid w:val="0"/>
              <w:jc w:val="center"/>
              <w:textAlignment w:val="center"/>
            </w:pPr>
            <w:r>
              <w:rPr>
                <w:color w:val="000000"/>
                <w:sz w:val="22"/>
                <w:szCs w:val="22"/>
              </w:rPr>
              <w:t>0.003L</w:t>
            </w:r>
          </w:p>
        </w:tc>
        <w:tc>
          <w:tcPr>
            <w:tcW w:w="407" w:type="pct"/>
            <w:tcBorders>
              <w:top w:val="single" w:sz="4" w:space="0" w:color="auto"/>
              <w:left w:val="single" w:sz="4" w:space="0" w:color="auto"/>
              <w:bottom w:val="single" w:sz="4" w:space="0" w:color="auto"/>
              <w:right w:val="single" w:sz="4" w:space="0" w:color="auto"/>
            </w:tcBorders>
            <w:vAlign w:val="center"/>
          </w:tcPr>
          <w:p w14:paraId="328321A0" w14:textId="02CB0706" w:rsidR="00E101A2" w:rsidRPr="00D32158" w:rsidRDefault="00E101A2" w:rsidP="00E101A2">
            <w:pPr>
              <w:widowControl/>
              <w:adjustRightInd w:val="0"/>
              <w:snapToGrid w:val="0"/>
              <w:jc w:val="center"/>
              <w:textAlignment w:val="center"/>
            </w:pPr>
            <w:r>
              <w:rPr>
                <w:color w:val="000000"/>
              </w:rPr>
              <w:t>0.003L</w:t>
            </w:r>
          </w:p>
        </w:tc>
        <w:tc>
          <w:tcPr>
            <w:tcW w:w="387" w:type="pct"/>
            <w:tcBorders>
              <w:top w:val="single" w:sz="4" w:space="0" w:color="auto"/>
              <w:left w:val="single" w:sz="4" w:space="0" w:color="auto"/>
              <w:bottom w:val="single" w:sz="4" w:space="0" w:color="auto"/>
              <w:right w:val="single" w:sz="4" w:space="0" w:color="auto"/>
            </w:tcBorders>
            <w:vAlign w:val="center"/>
          </w:tcPr>
          <w:p w14:paraId="6BADB9CF" w14:textId="4414FF0C" w:rsidR="00E101A2" w:rsidRPr="00D32158" w:rsidRDefault="00E101A2" w:rsidP="00E101A2">
            <w:pPr>
              <w:widowControl/>
              <w:adjustRightInd w:val="0"/>
              <w:snapToGrid w:val="0"/>
              <w:jc w:val="center"/>
              <w:textAlignment w:val="center"/>
            </w:pPr>
            <w:r>
              <w:rPr>
                <w:color w:val="000000"/>
              </w:rPr>
              <w:t>0.003L</w:t>
            </w:r>
          </w:p>
        </w:tc>
        <w:tc>
          <w:tcPr>
            <w:tcW w:w="395" w:type="pct"/>
            <w:tcBorders>
              <w:top w:val="single" w:sz="4" w:space="0" w:color="auto"/>
              <w:left w:val="single" w:sz="4" w:space="0" w:color="auto"/>
              <w:bottom w:val="single" w:sz="4" w:space="0" w:color="auto"/>
              <w:right w:val="single" w:sz="4" w:space="0" w:color="auto"/>
            </w:tcBorders>
            <w:vAlign w:val="center"/>
          </w:tcPr>
          <w:p w14:paraId="30A3165F" w14:textId="534849FF" w:rsidR="00E101A2" w:rsidRPr="00D32158" w:rsidRDefault="00E101A2" w:rsidP="00E101A2">
            <w:pPr>
              <w:widowControl/>
              <w:adjustRightInd w:val="0"/>
              <w:snapToGrid w:val="0"/>
              <w:jc w:val="center"/>
              <w:textAlignment w:val="center"/>
              <w:rPr>
                <w:color w:val="000000"/>
                <w:kern w:val="0"/>
                <w:lang w:bidi="ar"/>
              </w:rPr>
            </w:pPr>
            <w:r>
              <w:rPr>
                <w:color w:val="000000"/>
              </w:rPr>
              <w:t>0.003L</w:t>
            </w:r>
          </w:p>
        </w:tc>
        <w:tc>
          <w:tcPr>
            <w:tcW w:w="367" w:type="pct"/>
            <w:tcBorders>
              <w:top w:val="single" w:sz="4" w:space="0" w:color="auto"/>
              <w:left w:val="single" w:sz="4" w:space="0" w:color="auto"/>
              <w:bottom w:val="single" w:sz="4" w:space="0" w:color="auto"/>
              <w:right w:val="single" w:sz="4" w:space="0" w:color="auto"/>
            </w:tcBorders>
            <w:vAlign w:val="center"/>
          </w:tcPr>
          <w:p w14:paraId="02BE2D5E" w14:textId="4DBD0C6F" w:rsidR="00E101A2" w:rsidRPr="00D32158" w:rsidRDefault="00E101A2" w:rsidP="00E101A2">
            <w:pPr>
              <w:widowControl/>
              <w:adjustRightInd w:val="0"/>
              <w:snapToGrid w:val="0"/>
              <w:jc w:val="center"/>
              <w:textAlignment w:val="center"/>
              <w:rPr>
                <w:color w:val="000000"/>
                <w:kern w:val="0"/>
              </w:rPr>
            </w:pPr>
            <w:r>
              <w:rPr>
                <w:color w:val="000000"/>
              </w:rPr>
              <w:t>0.003</w:t>
            </w:r>
          </w:p>
        </w:tc>
        <w:tc>
          <w:tcPr>
            <w:tcW w:w="466" w:type="pct"/>
            <w:vMerge w:val="restart"/>
            <w:tcBorders>
              <w:top w:val="single" w:sz="4" w:space="0" w:color="auto"/>
              <w:left w:val="single" w:sz="4" w:space="0" w:color="auto"/>
            </w:tcBorders>
            <w:vAlign w:val="center"/>
          </w:tcPr>
          <w:p w14:paraId="54DF29AB" w14:textId="3B7A28BF" w:rsidR="00E101A2" w:rsidRPr="00D32158" w:rsidRDefault="00E101A2" w:rsidP="00E101A2">
            <w:pPr>
              <w:widowControl/>
              <w:adjustRightInd w:val="0"/>
              <w:snapToGrid w:val="0"/>
              <w:jc w:val="center"/>
              <w:textAlignment w:val="center"/>
            </w:pPr>
            <w:r>
              <w:rPr>
                <w:rFonts w:ascii="仿宋" w:eastAsia="仿宋" w:hAnsi="仿宋" w:cs="仿宋" w:hint="eastAsia"/>
              </w:rPr>
              <w:t>≤</w:t>
            </w:r>
            <w:r>
              <w:t>1.00</w:t>
            </w:r>
          </w:p>
        </w:tc>
      </w:tr>
      <w:tr w:rsidR="00E101A2" w:rsidRPr="00D32158" w14:paraId="3E84B0DD" w14:textId="77777777" w:rsidTr="00E101A2">
        <w:trPr>
          <w:trHeight w:val="57"/>
          <w:jc w:val="center"/>
        </w:trPr>
        <w:tc>
          <w:tcPr>
            <w:tcW w:w="708" w:type="pct"/>
            <w:vMerge/>
            <w:tcBorders>
              <w:bottom w:val="single" w:sz="4" w:space="0" w:color="auto"/>
              <w:right w:val="single" w:sz="4" w:space="0" w:color="auto"/>
            </w:tcBorders>
            <w:vAlign w:val="center"/>
          </w:tcPr>
          <w:p w14:paraId="02E42C35" w14:textId="77777777" w:rsidR="00E101A2" w:rsidRPr="00D32158" w:rsidRDefault="00E101A2" w:rsidP="00E101A2">
            <w:pPr>
              <w:widowControl/>
              <w:adjustRightInd w:val="0"/>
              <w:snapToGrid w:val="0"/>
              <w:jc w:val="center"/>
              <w:textAlignment w:val="center"/>
            </w:pPr>
          </w:p>
        </w:tc>
        <w:tc>
          <w:tcPr>
            <w:tcW w:w="586" w:type="pct"/>
            <w:vAlign w:val="center"/>
          </w:tcPr>
          <w:p w14:paraId="09197650" w14:textId="0D9CA968" w:rsidR="00E101A2" w:rsidRPr="00D32158" w:rsidRDefault="00E101A2" w:rsidP="00E101A2">
            <w:pPr>
              <w:adjustRightInd w:val="0"/>
              <w:snapToGrid w:val="0"/>
              <w:jc w:val="center"/>
            </w:pPr>
            <w:r>
              <w:rPr>
                <w:rFonts w:hint="eastAsia"/>
              </w:rPr>
              <w:t>标准指数</w:t>
            </w:r>
          </w:p>
        </w:tc>
        <w:tc>
          <w:tcPr>
            <w:tcW w:w="478" w:type="pct"/>
            <w:vMerge/>
            <w:tcBorders>
              <w:left w:val="single" w:sz="4" w:space="0" w:color="auto"/>
              <w:bottom w:val="single" w:sz="4" w:space="0" w:color="auto"/>
              <w:right w:val="single" w:sz="4" w:space="0" w:color="auto"/>
              <w:tl2br w:val="nil"/>
              <w:tr2bl w:val="nil"/>
            </w:tcBorders>
            <w:vAlign w:val="center"/>
          </w:tcPr>
          <w:p w14:paraId="0680A0F5" w14:textId="6A1D8237" w:rsidR="00E101A2" w:rsidRPr="00D32158" w:rsidRDefault="00E101A2" w:rsidP="00E101A2">
            <w:pPr>
              <w:adjustRightInd w:val="0"/>
              <w:snapToGrid w:val="0"/>
              <w:jc w:val="center"/>
            </w:pPr>
          </w:p>
        </w:tc>
        <w:tc>
          <w:tcPr>
            <w:tcW w:w="402" w:type="pct"/>
            <w:tcBorders>
              <w:top w:val="single" w:sz="4" w:space="0" w:color="auto"/>
              <w:left w:val="single" w:sz="4" w:space="0" w:color="auto"/>
              <w:bottom w:val="single" w:sz="4" w:space="0" w:color="auto"/>
              <w:right w:val="single" w:sz="4" w:space="0" w:color="auto"/>
            </w:tcBorders>
          </w:tcPr>
          <w:p w14:paraId="0FAB9739" w14:textId="402FA01D" w:rsidR="00E101A2" w:rsidRPr="00D32158" w:rsidRDefault="00E101A2" w:rsidP="00E101A2">
            <w:pPr>
              <w:widowControl/>
              <w:adjustRightInd w:val="0"/>
              <w:snapToGrid w:val="0"/>
              <w:jc w:val="center"/>
              <w:textAlignment w:val="center"/>
              <w:rPr>
                <w:color w:val="000000"/>
                <w:sz w:val="22"/>
                <w:szCs w:val="22"/>
              </w:rPr>
            </w:pPr>
            <w:r w:rsidRPr="00030223">
              <w:rPr>
                <w:rFonts w:eastAsia="仿宋" w:hint="eastAsia"/>
              </w:rPr>
              <w:t>/</w:t>
            </w:r>
          </w:p>
        </w:tc>
        <w:tc>
          <w:tcPr>
            <w:tcW w:w="402" w:type="pct"/>
            <w:tcBorders>
              <w:top w:val="single" w:sz="4" w:space="0" w:color="auto"/>
              <w:left w:val="single" w:sz="4" w:space="0" w:color="auto"/>
              <w:bottom w:val="single" w:sz="4" w:space="0" w:color="auto"/>
              <w:right w:val="single" w:sz="4" w:space="0" w:color="auto"/>
            </w:tcBorders>
          </w:tcPr>
          <w:p w14:paraId="44D5235D" w14:textId="6CAF9A05" w:rsidR="00E101A2" w:rsidRPr="00D32158" w:rsidRDefault="00E101A2" w:rsidP="00E101A2">
            <w:pPr>
              <w:widowControl/>
              <w:adjustRightInd w:val="0"/>
              <w:snapToGrid w:val="0"/>
              <w:jc w:val="center"/>
              <w:textAlignment w:val="center"/>
              <w:rPr>
                <w:color w:val="000000"/>
                <w:sz w:val="22"/>
                <w:szCs w:val="22"/>
              </w:rPr>
            </w:pPr>
            <w:r w:rsidRPr="00030223">
              <w:rPr>
                <w:rFonts w:eastAsia="仿宋" w:hint="eastAsia"/>
              </w:rPr>
              <w:t>/</w:t>
            </w:r>
          </w:p>
        </w:tc>
        <w:tc>
          <w:tcPr>
            <w:tcW w:w="402" w:type="pct"/>
            <w:tcBorders>
              <w:top w:val="single" w:sz="4" w:space="0" w:color="auto"/>
              <w:left w:val="single" w:sz="4" w:space="0" w:color="auto"/>
              <w:bottom w:val="single" w:sz="4" w:space="0" w:color="auto"/>
              <w:right w:val="single" w:sz="4" w:space="0" w:color="auto"/>
            </w:tcBorders>
          </w:tcPr>
          <w:p w14:paraId="3FBA842F" w14:textId="55B1AE84" w:rsidR="00E101A2" w:rsidRPr="00D32158" w:rsidRDefault="00E101A2" w:rsidP="00E101A2">
            <w:pPr>
              <w:widowControl/>
              <w:adjustRightInd w:val="0"/>
              <w:snapToGrid w:val="0"/>
              <w:jc w:val="center"/>
              <w:textAlignment w:val="center"/>
              <w:rPr>
                <w:color w:val="000000"/>
                <w:sz w:val="22"/>
                <w:szCs w:val="22"/>
              </w:rPr>
            </w:pPr>
            <w:r w:rsidRPr="00030223">
              <w:rPr>
                <w:rFonts w:eastAsia="仿宋" w:hint="eastAsia"/>
              </w:rPr>
              <w:t>/</w:t>
            </w:r>
          </w:p>
        </w:tc>
        <w:tc>
          <w:tcPr>
            <w:tcW w:w="407" w:type="pct"/>
            <w:tcBorders>
              <w:top w:val="single" w:sz="4" w:space="0" w:color="auto"/>
              <w:left w:val="single" w:sz="4" w:space="0" w:color="auto"/>
              <w:bottom w:val="single" w:sz="4" w:space="0" w:color="auto"/>
              <w:right w:val="single" w:sz="4" w:space="0" w:color="auto"/>
            </w:tcBorders>
          </w:tcPr>
          <w:p w14:paraId="716DD5B0" w14:textId="18BA97B4" w:rsidR="00E101A2" w:rsidRDefault="00E101A2" w:rsidP="00E101A2">
            <w:pPr>
              <w:widowControl/>
              <w:adjustRightInd w:val="0"/>
              <w:snapToGrid w:val="0"/>
              <w:jc w:val="center"/>
              <w:textAlignment w:val="center"/>
              <w:rPr>
                <w:rFonts w:eastAsia="仿宋"/>
              </w:rPr>
            </w:pPr>
            <w:r w:rsidRPr="00030223">
              <w:rPr>
                <w:rFonts w:eastAsia="仿宋" w:hint="eastAsia"/>
              </w:rPr>
              <w:t>/</w:t>
            </w:r>
          </w:p>
        </w:tc>
        <w:tc>
          <w:tcPr>
            <w:tcW w:w="387" w:type="pct"/>
            <w:tcBorders>
              <w:top w:val="single" w:sz="4" w:space="0" w:color="auto"/>
              <w:left w:val="single" w:sz="4" w:space="0" w:color="auto"/>
              <w:bottom w:val="single" w:sz="4" w:space="0" w:color="auto"/>
              <w:right w:val="single" w:sz="4" w:space="0" w:color="auto"/>
            </w:tcBorders>
          </w:tcPr>
          <w:p w14:paraId="1DABC03E" w14:textId="30044DDE" w:rsidR="00E101A2" w:rsidRDefault="00E101A2" w:rsidP="00E101A2">
            <w:pPr>
              <w:widowControl/>
              <w:adjustRightInd w:val="0"/>
              <w:snapToGrid w:val="0"/>
              <w:jc w:val="center"/>
              <w:textAlignment w:val="center"/>
              <w:rPr>
                <w:rFonts w:eastAsia="仿宋"/>
              </w:rPr>
            </w:pPr>
            <w:r w:rsidRPr="00030223">
              <w:rPr>
                <w:rFonts w:eastAsia="仿宋" w:hint="eastAsia"/>
              </w:rPr>
              <w:t>/</w:t>
            </w:r>
          </w:p>
        </w:tc>
        <w:tc>
          <w:tcPr>
            <w:tcW w:w="395" w:type="pct"/>
            <w:tcBorders>
              <w:top w:val="single" w:sz="4" w:space="0" w:color="auto"/>
              <w:left w:val="single" w:sz="4" w:space="0" w:color="auto"/>
              <w:bottom w:val="single" w:sz="4" w:space="0" w:color="auto"/>
              <w:right w:val="single" w:sz="4" w:space="0" w:color="auto"/>
            </w:tcBorders>
          </w:tcPr>
          <w:p w14:paraId="60FAD560" w14:textId="2326EF45" w:rsidR="00E101A2" w:rsidRDefault="00E101A2" w:rsidP="00E101A2">
            <w:pPr>
              <w:widowControl/>
              <w:adjustRightInd w:val="0"/>
              <w:snapToGrid w:val="0"/>
              <w:jc w:val="center"/>
              <w:textAlignment w:val="center"/>
              <w:rPr>
                <w:rFonts w:eastAsia="仿宋"/>
              </w:rPr>
            </w:pPr>
            <w:r w:rsidRPr="00030223">
              <w:rPr>
                <w:rFonts w:eastAsia="仿宋" w:hint="eastAsia"/>
              </w:rPr>
              <w:t>/</w:t>
            </w:r>
          </w:p>
        </w:tc>
        <w:tc>
          <w:tcPr>
            <w:tcW w:w="367" w:type="pct"/>
            <w:tcBorders>
              <w:top w:val="single" w:sz="4" w:space="0" w:color="auto"/>
              <w:left w:val="single" w:sz="4" w:space="0" w:color="auto"/>
              <w:bottom w:val="single" w:sz="4" w:space="0" w:color="auto"/>
              <w:right w:val="single" w:sz="4" w:space="0" w:color="auto"/>
            </w:tcBorders>
            <w:vAlign w:val="center"/>
          </w:tcPr>
          <w:p w14:paraId="11D8AF53" w14:textId="0A176B9B" w:rsidR="00E101A2" w:rsidRDefault="00E101A2" w:rsidP="00E101A2">
            <w:pPr>
              <w:widowControl/>
              <w:adjustRightInd w:val="0"/>
              <w:snapToGrid w:val="0"/>
              <w:jc w:val="center"/>
              <w:textAlignment w:val="center"/>
              <w:rPr>
                <w:rFonts w:eastAsia="仿宋"/>
              </w:rPr>
            </w:pPr>
            <w:r>
              <w:rPr>
                <w:rFonts w:eastAsia="仿宋" w:hint="eastAsia"/>
              </w:rPr>
              <w:t>/</w:t>
            </w:r>
          </w:p>
        </w:tc>
        <w:tc>
          <w:tcPr>
            <w:tcW w:w="466" w:type="pct"/>
            <w:vMerge/>
            <w:tcBorders>
              <w:left w:val="single" w:sz="4" w:space="0" w:color="auto"/>
              <w:bottom w:val="single" w:sz="4" w:space="0" w:color="auto"/>
            </w:tcBorders>
            <w:vAlign w:val="center"/>
          </w:tcPr>
          <w:p w14:paraId="40CAC8C3" w14:textId="77777777" w:rsidR="00E101A2" w:rsidRDefault="00E101A2" w:rsidP="00E101A2">
            <w:pPr>
              <w:widowControl/>
              <w:adjustRightInd w:val="0"/>
              <w:snapToGrid w:val="0"/>
              <w:jc w:val="center"/>
              <w:textAlignment w:val="center"/>
              <w:rPr>
                <w:rFonts w:ascii="仿宋" w:eastAsia="仿宋" w:hAnsi="仿宋" w:cs="仿宋" w:hint="eastAsia"/>
              </w:rPr>
            </w:pPr>
          </w:p>
        </w:tc>
      </w:tr>
      <w:tr w:rsidR="00E101A2" w:rsidRPr="00D32158" w14:paraId="0F2CF8C0" w14:textId="77777777" w:rsidTr="00E101A2">
        <w:trPr>
          <w:trHeight w:val="57"/>
          <w:jc w:val="center"/>
        </w:trPr>
        <w:tc>
          <w:tcPr>
            <w:tcW w:w="708" w:type="pct"/>
            <w:vMerge w:val="restart"/>
            <w:tcBorders>
              <w:top w:val="single" w:sz="4" w:space="0" w:color="auto"/>
              <w:right w:val="single" w:sz="4" w:space="0" w:color="auto"/>
            </w:tcBorders>
            <w:vAlign w:val="center"/>
          </w:tcPr>
          <w:p w14:paraId="1CE29C32" w14:textId="5237568C" w:rsidR="00E101A2" w:rsidRPr="00D32158" w:rsidRDefault="00E101A2" w:rsidP="00E101A2">
            <w:pPr>
              <w:widowControl/>
              <w:adjustRightInd w:val="0"/>
              <w:snapToGrid w:val="0"/>
              <w:jc w:val="center"/>
              <w:textAlignment w:val="center"/>
            </w:pPr>
            <w:r w:rsidRPr="00D32158">
              <w:t>硝酸盐（以</w:t>
            </w:r>
            <w:r w:rsidRPr="00D32158">
              <w:t>N</w:t>
            </w:r>
            <w:r w:rsidRPr="00D32158">
              <w:t>计）</w:t>
            </w:r>
          </w:p>
        </w:tc>
        <w:tc>
          <w:tcPr>
            <w:tcW w:w="586" w:type="pct"/>
            <w:vAlign w:val="center"/>
          </w:tcPr>
          <w:p w14:paraId="19BF4583" w14:textId="4E1BB3E0" w:rsidR="00E101A2" w:rsidRPr="00D32158" w:rsidRDefault="00E101A2" w:rsidP="00E101A2">
            <w:pPr>
              <w:adjustRightInd w:val="0"/>
              <w:snapToGrid w:val="0"/>
              <w:jc w:val="center"/>
            </w:pPr>
            <w:r>
              <w:rPr>
                <w:rFonts w:hint="eastAsia"/>
              </w:rPr>
              <w:t>监测值</w:t>
            </w:r>
          </w:p>
        </w:tc>
        <w:tc>
          <w:tcPr>
            <w:tcW w:w="478" w:type="pct"/>
            <w:vMerge w:val="restart"/>
            <w:tcBorders>
              <w:top w:val="single" w:sz="4" w:space="0" w:color="auto"/>
              <w:left w:val="single" w:sz="4" w:space="0" w:color="auto"/>
              <w:right w:val="single" w:sz="4" w:space="0" w:color="auto"/>
              <w:tl2br w:val="nil"/>
              <w:tr2bl w:val="nil"/>
            </w:tcBorders>
            <w:vAlign w:val="center"/>
          </w:tcPr>
          <w:p w14:paraId="3C8EEF10" w14:textId="30DC97FB" w:rsidR="00E101A2" w:rsidRPr="00D32158" w:rsidRDefault="00E101A2" w:rsidP="00E101A2">
            <w:pPr>
              <w:adjustRightInd w:val="0"/>
              <w:snapToGrid w:val="0"/>
              <w:jc w:val="center"/>
            </w:pPr>
            <w:r w:rsidRPr="00D32158">
              <w:t>mg/L</w:t>
            </w:r>
          </w:p>
        </w:tc>
        <w:tc>
          <w:tcPr>
            <w:tcW w:w="402" w:type="pct"/>
            <w:tcBorders>
              <w:top w:val="single" w:sz="4" w:space="0" w:color="auto"/>
              <w:left w:val="single" w:sz="4" w:space="0" w:color="auto"/>
              <w:bottom w:val="single" w:sz="4" w:space="0" w:color="auto"/>
              <w:right w:val="single" w:sz="4" w:space="0" w:color="auto"/>
            </w:tcBorders>
            <w:vAlign w:val="center"/>
          </w:tcPr>
          <w:p w14:paraId="13F1D242" w14:textId="7EAE76F8" w:rsidR="00E101A2" w:rsidRPr="00D32158" w:rsidRDefault="00E101A2" w:rsidP="00E101A2">
            <w:pPr>
              <w:widowControl/>
              <w:adjustRightInd w:val="0"/>
              <w:snapToGrid w:val="0"/>
              <w:jc w:val="center"/>
              <w:textAlignment w:val="center"/>
            </w:pPr>
            <w:r>
              <w:rPr>
                <w:color w:val="000000"/>
                <w:sz w:val="22"/>
                <w:szCs w:val="22"/>
              </w:rPr>
              <w:t>4.93</w:t>
            </w:r>
          </w:p>
        </w:tc>
        <w:tc>
          <w:tcPr>
            <w:tcW w:w="402" w:type="pct"/>
            <w:tcBorders>
              <w:top w:val="single" w:sz="4" w:space="0" w:color="auto"/>
              <w:left w:val="single" w:sz="4" w:space="0" w:color="auto"/>
              <w:bottom w:val="single" w:sz="4" w:space="0" w:color="auto"/>
              <w:right w:val="single" w:sz="4" w:space="0" w:color="auto"/>
            </w:tcBorders>
            <w:vAlign w:val="center"/>
          </w:tcPr>
          <w:p w14:paraId="3F1BF6E2" w14:textId="3D301726" w:rsidR="00E101A2" w:rsidRPr="00D32158" w:rsidRDefault="00E101A2" w:rsidP="00E101A2">
            <w:pPr>
              <w:widowControl/>
              <w:adjustRightInd w:val="0"/>
              <w:snapToGrid w:val="0"/>
              <w:jc w:val="center"/>
              <w:textAlignment w:val="center"/>
            </w:pPr>
            <w:r>
              <w:rPr>
                <w:color w:val="000000"/>
                <w:sz w:val="22"/>
                <w:szCs w:val="22"/>
              </w:rPr>
              <w:t>4.69</w:t>
            </w:r>
          </w:p>
        </w:tc>
        <w:tc>
          <w:tcPr>
            <w:tcW w:w="402" w:type="pct"/>
            <w:tcBorders>
              <w:top w:val="single" w:sz="4" w:space="0" w:color="auto"/>
              <w:left w:val="single" w:sz="4" w:space="0" w:color="auto"/>
              <w:bottom w:val="single" w:sz="4" w:space="0" w:color="auto"/>
              <w:right w:val="single" w:sz="4" w:space="0" w:color="auto"/>
            </w:tcBorders>
            <w:vAlign w:val="center"/>
          </w:tcPr>
          <w:p w14:paraId="2EDB0BD4" w14:textId="665538B5" w:rsidR="00E101A2" w:rsidRPr="00D32158" w:rsidRDefault="00E101A2" w:rsidP="00E101A2">
            <w:pPr>
              <w:widowControl/>
              <w:adjustRightInd w:val="0"/>
              <w:snapToGrid w:val="0"/>
              <w:jc w:val="center"/>
              <w:textAlignment w:val="center"/>
            </w:pPr>
            <w:r>
              <w:rPr>
                <w:color w:val="000000"/>
                <w:sz w:val="22"/>
                <w:szCs w:val="22"/>
              </w:rPr>
              <w:t>4.46</w:t>
            </w:r>
          </w:p>
        </w:tc>
        <w:tc>
          <w:tcPr>
            <w:tcW w:w="407" w:type="pct"/>
            <w:tcBorders>
              <w:top w:val="single" w:sz="4" w:space="0" w:color="auto"/>
              <w:left w:val="single" w:sz="4" w:space="0" w:color="auto"/>
              <w:bottom w:val="single" w:sz="4" w:space="0" w:color="auto"/>
              <w:right w:val="single" w:sz="4" w:space="0" w:color="auto"/>
            </w:tcBorders>
            <w:vAlign w:val="center"/>
          </w:tcPr>
          <w:p w14:paraId="246181AF" w14:textId="743EB61C" w:rsidR="00E101A2" w:rsidRPr="00D32158" w:rsidRDefault="00E101A2" w:rsidP="00E101A2">
            <w:pPr>
              <w:widowControl/>
              <w:adjustRightInd w:val="0"/>
              <w:snapToGrid w:val="0"/>
              <w:jc w:val="center"/>
              <w:textAlignment w:val="center"/>
            </w:pPr>
            <w:r>
              <w:rPr>
                <w:color w:val="000000"/>
              </w:rPr>
              <w:t>3.52</w:t>
            </w:r>
          </w:p>
        </w:tc>
        <w:tc>
          <w:tcPr>
            <w:tcW w:w="387" w:type="pct"/>
            <w:tcBorders>
              <w:top w:val="single" w:sz="4" w:space="0" w:color="auto"/>
              <w:left w:val="single" w:sz="4" w:space="0" w:color="auto"/>
              <w:bottom w:val="single" w:sz="4" w:space="0" w:color="auto"/>
              <w:right w:val="single" w:sz="4" w:space="0" w:color="auto"/>
            </w:tcBorders>
            <w:vAlign w:val="center"/>
          </w:tcPr>
          <w:p w14:paraId="4BB8DCDB" w14:textId="58B4CC61" w:rsidR="00E101A2" w:rsidRPr="00D32158" w:rsidRDefault="00E101A2" w:rsidP="00E101A2">
            <w:pPr>
              <w:widowControl/>
              <w:adjustRightInd w:val="0"/>
              <w:snapToGrid w:val="0"/>
              <w:jc w:val="center"/>
              <w:textAlignment w:val="center"/>
            </w:pPr>
            <w:r>
              <w:rPr>
                <w:color w:val="000000"/>
              </w:rPr>
              <w:t>3.76</w:t>
            </w:r>
          </w:p>
        </w:tc>
        <w:tc>
          <w:tcPr>
            <w:tcW w:w="395" w:type="pct"/>
            <w:tcBorders>
              <w:top w:val="single" w:sz="4" w:space="0" w:color="auto"/>
              <w:left w:val="single" w:sz="4" w:space="0" w:color="auto"/>
              <w:bottom w:val="single" w:sz="4" w:space="0" w:color="auto"/>
              <w:right w:val="single" w:sz="4" w:space="0" w:color="auto"/>
            </w:tcBorders>
            <w:vAlign w:val="center"/>
          </w:tcPr>
          <w:p w14:paraId="65FC95A4" w14:textId="5CCE6B33" w:rsidR="00E101A2" w:rsidRPr="00D32158" w:rsidRDefault="00E101A2" w:rsidP="00E101A2">
            <w:pPr>
              <w:widowControl/>
              <w:adjustRightInd w:val="0"/>
              <w:snapToGrid w:val="0"/>
              <w:jc w:val="center"/>
              <w:textAlignment w:val="center"/>
              <w:rPr>
                <w:color w:val="000000"/>
                <w:kern w:val="0"/>
                <w:lang w:bidi="ar"/>
              </w:rPr>
            </w:pPr>
            <w:r>
              <w:rPr>
                <w:color w:val="000000"/>
              </w:rPr>
              <w:t>3.99</w:t>
            </w:r>
          </w:p>
        </w:tc>
        <w:tc>
          <w:tcPr>
            <w:tcW w:w="367" w:type="pct"/>
            <w:tcBorders>
              <w:top w:val="single" w:sz="4" w:space="0" w:color="auto"/>
              <w:left w:val="single" w:sz="4" w:space="0" w:color="auto"/>
              <w:bottom w:val="single" w:sz="4" w:space="0" w:color="auto"/>
              <w:right w:val="single" w:sz="4" w:space="0" w:color="auto"/>
            </w:tcBorders>
            <w:vAlign w:val="center"/>
          </w:tcPr>
          <w:p w14:paraId="0DFDA5F0" w14:textId="152F06DD" w:rsidR="00E101A2" w:rsidRPr="00D32158" w:rsidRDefault="00E101A2" w:rsidP="00E101A2">
            <w:pPr>
              <w:widowControl/>
              <w:adjustRightInd w:val="0"/>
              <w:snapToGrid w:val="0"/>
              <w:jc w:val="center"/>
              <w:textAlignment w:val="center"/>
              <w:rPr>
                <w:color w:val="000000"/>
                <w:kern w:val="0"/>
              </w:rPr>
            </w:pPr>
            <w:r>
              <w:rPr>
                <w:color w:val="000000"/>
              </w:rPr>
              <w:t>4.23</w:t>
            </w:r>
          </w:p>
        </w:tc>
        <w:tc>
          <w:tcPr>
            <w:tcW w:w="466" w:type="pct"/>
            <w:vMerge w:val="restart"/>
            <w:tcBorders>
              <w:top w:val="single" w:sz="4" w:space="0" w:color="auto"/>
              <w:left w:val="single" w:sz="4" w:space="0" w:color="auto"/>
            </w:tcBorders>
            <w:vAlign w:val="center"/>
          </w:tcPr>
          <w:p w14:paraId="56D39CA3" w14:textId="58F5DD9D" w:rsidR="00E101A2" w:rsidRPr="00D32158" w:rsidRDefault="00E101A2" w:rsidP="00E101A2">
            <w:pPr>
              <w:widowControl/>
              <w:adjustRightInd w:val="0"/>
              <w:snapToGrid w:val="0"/>
              <w:jc w:val="center"/>
              <w:textAlignment w:val="center"/>
            </w:pPr>
            <w:r>
              <w:rPr>
                <w:rFonts w:ascii="仿宋" w:eastAsia="仿宋" w:hAnsi="仿宋" w:cs="仿宋" w:hint="eastAsia"/>
              </w:rPr>
              <w:t>≤</w:t>
            </w:r>
            <w:r>
              <w:t>20.0</w:t>
            </w:r>
          </w:p>
        </w:tc>
      </w:tr>
      <w:tr w:rsidR="00E101A2" w:rsidRPr="00D32158" w14:paraId="77885142" w14:textId="77777777" w:rsidTr="00E101A2">
        <w:trPr>
          <w:trHeight w:val="57"/>
          <w:jc w:val="center"/>
        </w:trPr>
        <w:tc>
          <w:tcPr>
            <w:tcW w:w="708" w:type="pct"/>
            <w:vMerge/>
            <w:tcBorders>
              <w:bottom w:val="single" w:sz="4" w:space="0" w:color="auto"/>
              <w:right w:val="single" w:sz="4" w:space="0" w:color="auto"/>
            </w:tcBorders>
            <w:vAlign w:val="center"/>
          </w:tcPr>
          <w:p w14:paraId="568F42D2" w14:textId="77777777" w:rsidR="00E101A2" w:rsidRPr="00D32158" w:rsidRDefault="00E101A2" w:rsidP="00E101A2">
            <w:pPr>
              <w:widowControl/>
              <w:adjustRightInd w:val="0"/>
              <w:snapToGrid w:val="0"/>
              <w:jc w:val="center"/>
              <w:textAlignment w:val="center"/>
            </w:pPr>
          </w:p>
        </w:tc>
        <w:tc>
          <w:tcPr>
            <w:tcW w:w="586" w:type="pct"/>
            <w:vAlign w:val="center"/>
          </w:tcPr>
          <w:p w14:paraId="2D254DD8" w14:textId="17D081F4" w:rsidR="00E101A2" w:rsidRPr="00D32158" w:rsidRDefault="00E101A2" w:rsidP="00E101A2">
            <w:pPr>
              <w:adjustRightInd w:val="0"/>
              <w:snapToGrid w:val="0"/>
              <w:jc w:val="center"/>
            </w:pPr>
            <w:r>
              <w:rPr>
                <w:rFonts w:hint="eastAsia"/>
              </w:rPr>
              <w:t>标准指数</w:t>
            </w:r>
          </w:p>
        </w:tc>
        <w:tc>
          <w:tcPr>
            <w:tcW w:w="478" w:type="pct"/>
            <w:vMerge/>
            <w:tcBorders>
              <w:left w:val="single" w:sz="4" w:space="0" w:color="auto"/>
              <w:bottom w:val="single" w:sz="4" w:space="0" w:color="auto"/>
              <w:right w:val="single" w:sz="4" w:space="0" w:color="auto"/>
              <w:tl2br w:val="nil"/>
              <w:tr2bl w:val="nil"/>
            </w:tcBorders>
            <w:vAlign w:val="center"/>
          </w:tcPr>
          <w:p w14:paraId="51036288" w14:textId="59DA7773" w:rsidR="00E101A2" w:rsidRPr="00D32158" w:rsidRDefault="00E101A2" w:rsidP="00E101A2">
            <w:pPr>
              <w:adjustRightInd w:val="0"/>
              <w:snapToGrid w:val="0"/>
              <w:jc w:val="center"/>
            </w:pPr>
          </w:p>
        </w:tc>
        <w:tc>
          <w:tcPr>
            <w:tcW w:w="402" w:type="pct"/>
            <w:tcBorders>
              <w:top w:val="single" w:sz="4" w:space="0" w:color="auto"/>
              <w:left w:val="single" w:sz="4" w:space="0" w:color="auto"/>
              <w:bottom w:val="single" w:sz="4" w:space="0" w:color="auto"/>
              <w:right w:val="single" w:sz="4" w:space="0" w:color="auto"/>
            </w:tcBorders>
            <w:vAlign w:val="center"/>
          </w:tcPr>
          <w:p w14:paraId="09E7D8FF" w14:textId="5118E91A" w:rsidR="00E101A2" w:rsidRPr="00D32158" w:rsidRDefault="00E101A2" w:rsidP="00E101A2">
            <w:pPr>
              <w:widowControl/>
              <w:adjustRightInd w:val="0"/>
              <w:snapToGrid w:val="0"/>
              <w:jc w:val="center"/>
              <w:textAlignment w:val="center"/>
              <w:rPr>
                <w:color w:val="000000"/>
                <w:sz w:val="22"/>
                <w:szCs w:val="22"/>
              </w:rPr>
            </w:pPr>
            <w:r>
              <w:rPr>
                <w:color w:val="000000"/>
                <w:sz w:val="22"/>
                <w:szCs w:val="22"/>
              </w:rPr>
              <w:t>0.2465</w:t>
            </w:r>
          </w:p>
        </w:tc>
        <w:tc>
          <w:tcPr>
            <w:tcW w:w="402" w:type="pct"/>
            <w:tcBorders>
              <w:top w:val="single" w:sz="4" w:space="0" w:color="auto"/>
              <w:left w:val="single" w:sz="4" w:space="0" w:color="auto"/>
              <w:bottom w:val="single" w:sz="4" w:space="0" w:color="auto"/>
              <w:right w:val="single" w:sz="4" w:space="0" w:color="auto"/>
            </w:tcBorders>
            <w:vAlign w:val="center"/>
          </w:tcPr>
          <w:p w14:paraId="1E7C5D18" w14:textId="43B37BA9" w:rsidR="00E101A2" w:rsidRPr="00D32158" w:rsidRDefault="00E101A2" w:rsidP="00E101A2">
            <w:pPr>
              <w:widowControl/>
              <w:adjustRightInd w:val="0"/>
              <w:snapToGrid w:val="0"/>
              <w:jc w:val="center"/>
              <w:textAlignment w:val="center"/>
              <w:rPr>
                <w:color w:val="000000"/>
                <w:sz w:val="22"/>
                <w:szCs w:val="22"/>
              </w:rPr>
            </w:pPr>
            <w:r>
              <w:rPr>
                <w:color w:val="000000"/>
                <w:sz w:val="22"/>
                <w:szCs w:val="22"/>
              </w:rPr>
              <w:t>0.2345</w:t>
            </w:r>
          </w:p>
        </w:tc>
        <w:tc>
          <w:tcPr>
            <w:tcW w:w="402" w:type="pct"/>
            <w:tcBorders>
              <w:top w:val="single" w:sz="4" w:space="0" w:color="auto"/>
              <w:left w:val="single" w:sz="4" w:space="0" w:color="auto"/>
              <w:bottom w:val="single" w:sz="4" w:space="0" w:color="auto"/>
              <w:right w:val="single" w:sz="4" w:space="0" w:color="auto"/>
            </w:tcBorders>
            <w:vAlign w:val="center"/>
          </w:tcPr>
          <w:p w14:paraId="240C2CE0" w14:textId="579BEDD7" w:rsidR="00E101A2" w:rsidRPr="00D32158" w:rsidRDefault="00E101A2" w:rsidP="00E101A2">
            <w:pPr>
              <w:widowControl/>
              <w:adjustRightInd w:val="0"/>
              <w:snapToGrid w:val="0"/>
              <w:jc w:val="center"/>
              <w:textAlignment w:val="center"/>
              <w:rPr>
                <w:color w:val="000000"/>
                <w:sz w:val="22"/>
                <w:szCs w:val="22"/>
              </w:rPr>
            </w:pPr>
            <w:r>
              <w:rPr>
                <w:color w:val="000000"/>
                <w:sz w:val="22"/>
                <w:szCs w:val="22"/>
              </w:rPr>
              <w:t>0.223</w:t>
            </w:r>
          </w:p>
        </w:tc>
        <w:tc>
          <w:tcPr>
            <w:tcW w:w="407" w:type="pct"/>
            <w:tcBorders>
              <w:top w:val="single" w:sz="4" w:space="0" w:color="auto"/>
              <w:left w:val="single" w:sz="4" w:space="0" w:color="auto"/>
              <w:bottom w:val="single" w:sz="4" w:space="0" w:color="auto"/>
              <w:right w:val="single" w:sz="4" w:space="0" w:color="auto"/>
            </w:tcBorders>
            <w:vAlign w:val="center"/>
          </w:tcPr>
          <w:p w14:paraId="022247F9" w14:textId="14003D15" w:rsidR="00E101A2" w:rsidRDefault="00E101A2" w:rsidP="00E101A2">
            <w:pPr>
              <w:widowControl/>
              <w:adjustRightInd w:val="0"/>
              <w:snapToGrid w:val="0"/>
              <w:jc w:val="center"/>
              <w:textAlignment w:val="center"/>
              <w:rPr>
                <w:rFonts w:eastAsia="仿宋"/>
              </w:rPr>
            </w:pPr>
            <w:r>
              <w:rPr>
                <w:color w:val="000000"/>
                <w:sz w:val="22"/>
                <w:szCs w:val="22"/>
              </w:rPr>
              <w:t>0.176</w:t>
            </w:r>
          </w:p>
        </w:tc>
        <w:tc>
          <w:tcPr>
            <w:tcW w:w="387" w:type="pct"/>
            <w:tcBorders>
              <w:top w:val="single" w:sz="4" w:space="0" w:color="auto"/>
              <w:left w:val="single" w:sz="4" w:space="0" w:color="auto"/>
              <w:bottom w:val="single" w:sz="4" w:space="0" w:color="auto"/>
              <w:right w:val="single" w:sz="4" w:space="0" w:color="auto"/>
            </w:tcBorders>
            <w:vAlign w:val="center"/>
          </w:tcPr>
          <w:p w14:paraId="782FD094" w14:textId="6833F849" w:rsidR="00E101A2" w:rsidRDefault="00E101A2" w:rsidP="00E101A2">
            <w:pPr>
              <w:widowControl/>
              <w:adjustRightInd w:val="0"/>
              <w:snapToGrid w:val="0"/>
              <w:jc w:val="center"/>
              <w:textAlignment w:val="center"/>
              <w:rPr>
                <w:rFonts w:eastAsia="仿宋"/>
              </w:rPr>
            </w:pPr>
            <w:r>
              <w:rPr>
                <w:color w:val="000000"/>
                <w:sz w:val="22"/>
                <w:szCs w:val="22"/>
              </w:rPr>
              <w:t>0.188</w:t>
            </w:r>
          </w:p>
        </w:tc>
        <w:tc>
          <w:tcPr>
            <w:tcW w:w="395" w:type="pct"/>
            <w:tcBorders>
              <w:top w:val="single" w:sz="4" w:space="0" w:color="auto"/>
              <w:left w:val="single" w:sz="4" w:space="0" w:color="auto"/>
              <w:bottom w:val="single" w:sz="4" w:space="0" w:color="auto"/>
              <w:right w:val="single" w:sz="4" w:space="0" w:color="auto"/>
            </w:tcBorders>
            <w:vAlign w:val="center"/>
          </w:tcPr>
          <w:p w14:paraId="5D61B5A7" w14:textId="2CC9086C" w:rsidR="00E101A2" w:rsidRDefault="00E101A2" w:rsidP="00E101A2">
            <w:pPr>
              <w:widowControl/>
              <w:adjustRightInd w:val="0"/>
              <w:snapToGrid w:val="0"/>
              <w:jc w:val="center"/>
              <w:textAlignment w:val="center"/>
              <w:rPr>
                <w:rFonts w:eastAsia="仿宋"/>
              </w:rPr>
            </w:pPr>
            <w:r>
              <w:rPr>
                <w:color w:val="000000"/>
                <w:sz w:val="22"/>
                <w:szCs w:val="22"/>
              </w:rPr>
              <w:t>0.1995</w:t>
            </w:r>
          </w:p>
        </w:tc>
        <w:tc>
          <w:tcPr>
            <w:tcW w:w="367" w:type="pct"/>
            <w:tcBorders>
              <w:top w:val="single" w:sz="4" w:space="0" w:color="auto"/>
              <w:left w:val="single" w:sz="4" w:space="0" w:color="auto"/>
              <w:bottom w:val="single" w:sz="4" w:space="0" w:color="auto"/>
              <w:right w:val="single" w:sz="4" w:space="0" w:color="auto"/>
            </w:tcBorders>
            <w:vAlign w:val="center"/>
          </w:tcPr>
          <w:p w14:paraId="0882AA34" w14:textId="3754F366" w:rsidR="00E101A2" w:rsidRDefault="00E101A2" w:rsidP="00E101A2">
            <w:pPr>
              <w:widowControl/>
              <w:adjustRightInd w:val="0"/>
              <w:snapToGrid w:val="0"/>
              <w:jc w:val="center"/>
              <w:textAlignment w:val="center"/>
              <w:rPr>
                <w:rFonts w:eastAsia="仿宋"/>
              </w:rPr>
            </w:pPr>
            <w:r>
              <w:rPr>
                <w:color w:val="000000"/>
                <w:sz w:val="22"/>
                <w:szCs w:val="22"/>
              </w:rPr>
              <w:t>0.2115</w:t>
            </w:r>
          </w:p>
        </w:tc>
        <w:tc>
          <w:tcPr>
            <w:tcW w:w="466" w:type="pct"/>
            <w:vMerge/>
            <w:tcBorders>
              <w:left w:val="single" w:sz="4" w:space="0" w:color="auto"/>
              <w:bottom w:val="single" w:sz="4" w:space="0" w:color="auto"/>
            </w:tcBorders>
            <w:vAlign w:val="center"/>
          </w:tcPr>
          <w:p w14:paraId="17C83AE6" w14:textId="77777777" w:rsidR="00E101A2" w:rsidRDefault="00E101A2" w:rsidP="00E101A2">
            <w:pPr>
              <w:widowControl/>
              <w:adjustRightInd w:val="0"/>
              <w:snapToGrid w:val="0"/>
              <w:jc w:val="center"/>
              <w:textAlignment w:val="center"/>
              <w:rPr>
                <w:rFonts w:ascii="仿宋" w:eastAsia="仿宋" w:hAnsi="仿宋" w:cs="仿宋" w:hint="eastAsia"/>
              </w:rPr>
            </w:pPr>
          </w:p>
        </w:tc>
      </w:tr>
      <w:tr w:rsidR="00E101A2" w:rsidRPr="00D32158" w14:paraId="25E76344" w14:textId="77777777" w:rsidTr="00E101A2">
        <w:trPr>
          <w:trHeight w:val="57"/>
          <w:jc w:val="center"/>
        </w:trPr>
        <w:tc>
          <w:tcPr>
            <w:tcW w:w="708" w:type="pct"/>
            <w:vMerge w:val="restart"/>
            <w:tcBorders>
              <w:top w:val="single" w:sz="4" w:space="0" w:color="auto"/>
              <w:right w:val="single" w:sz="4" w:space="0" w:color="auto"/>
            </w:tcBorders>
            <w:vAlign w:val="center"/>
          </w:tcPr>
          <w:p w14:paraId="745695FE" w14:textId="3000297A" w:rsidR="00E101A2" w:rsidRPr="00D32158" w:rsidRDefault="00E101A2" w:rsidP="00E101A2">
            <w:pPr>
              <w:widowControl/>
              <w:adjustRightInd w:val="0"/>
              <w:snapToGrid w:val="0"/>
              <w:jc w:val="center"/>
              <w:textAlignment w:val="center"/>
            </w:pPr>
            <w:r w:rsidRPr="00D32158">
              <w:t>溶解性总固体</w:t>
            </w:r>
          </w:p>
        </w:tc>
        <w:tc>
          <w:tcPr>
            <w:tcW w:w="586" w:type="pct"/>
            <w:vAlign w:val="center"/>
          </w:tcPr>
          <w:p w14:paraId="205A30FA" w14:textId="35161E7F" w:rsidR="00E101A2" w:rsidRPr="00D32158" w:rsidRDefault="00E101A2" w:rsidP="00E101A2">
            <w:pPr>
              <w:adjustRightInd w:val="0"/>
              <w:snapToGrid w:val="0"/>
              <w:jc w:val="center"/>
            </w:pPr>
            <w:r>
              <w:rPr>
                <w:rFonts w:hint="eastAsia"/>
              </w:rPr>
              <w:t>监测值</w:t>
            </w:r>
          </w:p>
        </w:tc>
        <w:tc>
          <w:tcPr>
            <w:tcW w:w="478" w:type="pct"/>
            <w:vMerge w:val="restart"/>
            <w:tcBorders>
              <w:top w:val="single" w:sz="4" w:space="0" w:color="auto"/>
              <w:left w:val="single" w:sz="4" w:space="0" w:color="auto"/>
              <w:right w:val="single" w:sz="4" w:space="0" w:color="auto"/>
              <w:tl2br w:val="nil"/>
              <w:tr2bl w:val="nil"/>
            </w:tcBorders>
            <w:vAlign w:val="center"/>
          </w:tcPr>
          <w:p w14:paraId="38C520FE" w14:textId="0B2833DC" w:rsidR="00E101A2" w:rsidRPr="00D32158" w:rsidRDefault="00E101A2" w:rsidP="00E101A2">
            <w:pPr>
              <w:adjustRightInd w:val="0"/>
              <w:snapToGrid w:val="0"/>
              <w:jc w:val="center"/>
            </w:pPr>
            <w:r w:rsidRPr="00D32158">
              <w:t>mg/L</w:t>
            </w:r>
          </w:p>
        </w:tc>
        <w:tc>
          <w:tcPr>
            <w:tcW w:w="402" w:type="pct"/>
            <w:tcBorders>
              <w:top w:val="single" w:sz="4" w:space="0" w:color="auto"/>
              <w:left w:val="single" w:sz="4" w:space="0" w:color="auto"/>
              <w:bottom w:val="single" w:sz="4" w:space="0" w:color="auto"/>
              <w:right w:val="single" w:sz="4" w:space="0" w:color="auto"/>
            </w:tcBorders>
            <w:vAlign w:val="center"/>
          </w:tcPr>
          <w:p w14:paraId="05B55797" w14:textId="1434AE68" w:rsidR="00E101A2" w:rsidRPr="00D32158" w:rsidRDefault="00E101A2" w:rsidP="00E101A2">
            <w:pPr>
              <w:widowControl/>
              <w:adjustRightInd w:val="0"/>
              <w:snapToGrid w:val="0"/>
              <w:jc w:val="center"/>
              <w:textAlignment w:val="center"/>
            </w:pPr>
            <w:r>
              <w:rPr>
                <w:color w:val="000000"/>
                <w:sz w:val="22"/>
                <w:szCs w:val="22"/>
              </w:rPr>
              <w:t>476</w:t>
            </w:r>
          </w:p>
        </w:tc>
        <w:tc>
          <w:tcPr>
            <w:tcW w:w="402" w:type="pct"/>
            <w:tcBorders>
              <w:top w:val="single" w:sz="4" w:space="0" w:color="auto"/>
              <w:left w:val="single" w:sz="4" w:space="0" w:color="auto"/>
              <w:bottom w:val="single" w:sz="4" w:space="0" w:color="auto"/>
              <w:right w:val="single" w:sz="4" w:space="0" w:color="auto"/>
            </w:tcBorders>
            <w:vAlign w:val="center"/>
          </w:tcPr>
          <w:p w14:paraId="18EE006B" w14:textId="3B05D8A6" w:rsidR="00E101A2" w:rsidRPr="00D32158" w:rsidRDefault="00E101A2" w:rsidP="00E101A2">
            <w:pPr>
              <w:widowControl/>
              <w:adjustRightInd w:val="0"/>
              <w:snapToGrid w:val="0"/>
              <w:jc w:val="center"/>
              <w:textAlignment w:val="center"/>
            </w:pPr>
            <w:r>
              <w:rPr>
                <w:color w:val="000000"/>
                <w:sz w:val="22"/>
                <w:szCs w:val="22"/>
              </w:rPr>
              <w:t>606</w:t>
            </w:r>
          </w:p>
        </w:tc>
        <w:tc>
          <w:tcPr>
            <w:tcW w:w="402" w:type="pct"/>
            <w:tcBorders>
              <w:top w:val="single" w:sz="4" w:space="0" w:color="auto"/>
              <w:left w:val="single" w:sz="4" w:space="0" w:color="auto"/>
              <w:bottom w:val="single" w:sz="4" w:space="0" w:color="auto"/>
              <w:right w:val="single" w:sz="4" w:space="0" w:color="auto"/>
            </w:tcBorders>
            <w:vAlign w:val="center"/>
          </w:tcPr>
          <w:p w14:paraId="7D92C410" w14:textId="616047E3" w:rsidR="00E101A2" w:rsidRPr="00D32158" w:rsidRDefault="00E101A2" w:rsidP="00E101A2">
            <w:pPr>
              <w:widowControl/>
              <w:adjustRightInd w:val="0"/>
              <w:snapToGrid w:val="0"/>
              <w:jc w:val="center"/>
              <w:textAlignment w:val="center"/>
            </w:pPr>
            <w:r>
              <w:rPr>
                <w:color w:val="000000"/>
                <w:sz w:val="22"/>
                <w:szCs w:val="22"/>
              </w:rPr>
              <w:t>576</w:t>
            </w:r>
          </w:p>
        </w:tc>
        <w:tc>
          <w:tcPr>
            <w:tcW w:w="407" w:type="pct"/>
            <w:tcBorders>
              <w:top w:val="single" w:sz="4" w:space="0" w:color="auto"/>
              <w:left w:val="single" w:sz="4" w:space="0" w:color="auto"/>
              <w:bottom w:val="single" w:sz="4" w:space="0" w:color="auto"/>
              <w:right w:val="single" w:sz="4" w:space="0" w:color="auto"/>
            </w:tcBorders>
            <w:vAlign w:val="center"/>
          </w:tcPr>
          <w:p w14:paraId="027886B0" w14:textId="75B93D1A" w:rsidR="00E101A2" w:rsidRPr="00D32158" w:rsidRDefault="00E101A2" w:rsidP="00E101A2">
            <w:pPr>
              <w:widowControl/>
              <w:adjustRightInd w:val="0"/>
              <w:snapToGrid w:val="0"/>
              <w:jc w:val="center"/>
              <w:textAlignment w:val="center"/>
            </w:pPr>
            <w:r>
              <w:rPr>
                <w:color w:val="000000"/>
              </w:rPr>
              <w:t>468</w:t>
            </w:r>
          </w:p>
        </w:tc>
        <w:tc>
          <w:tcPr>
            <w:tcW w:w="387" w:type="pct"/>
            <w:tcBorders>
              <w:top w:val="single" w:sz="4" w:space="0" w:color="auto"/>
              <w:left w:val="single" w:sz="4" w:space="0" w:color="auto"/>
              <w:bottom w:val="single" w:sz="4" w:space="0" w:color="auto"/>
              <w:right w:val="single" w:sz="4" w:space="0" w:color="auto"/>
            </w:tcBorders>
            <w:vAlign w:val="center"/>
          </w:tcPr>
          <w:p w14:paraId="64D3BE90" w14:textId="26CEFBE6" w:rsidR="00E101A2" w:rsidRPr="00D32158" w:rsidRDefault="00E101A2" w:rsidP="00E101A2">
            <w:pPr>
              <w:widowControl/>
              <w:adjustRightInd w:val="0"/>
              <w:snapToGrid w:val="0"/>
              <w:jc w:val="center"/>
              <w:textAlignment w:val="center"/>
            </w:pPr>
            <w:r>
              <w:rPr>
                <w:color w:val="000000"/>
              </w:rPr>
              <w:t>460</w:t>
            </w:r>
          </w:p>
        </w:tc>
        <w:tc>
          <w:tcPr>
            <w:tcW w:w="395" w:type="pct"/>
            <w:tcBorders>
              <w:top w:val="single" w:sz="4" w:space="0" w:color="auto"/>
              <w:left w:val="single" w:sz="4" w:space="0" w:color="auto"/>
              <w:bottom w:val="single" w:sz="4" w:space="0" w:color="auto"/>
              <w:right w:val="single" w:sz="4" w:space="0" w:color="auto"/>
            </w:tcBorders>
            <w:vAlign w:val="center"/>
          </w:tcPr>
          <w:p w14:paraId="5ACF4DA9" w14:textId="08CF11CC" w:rsidR="00E101A2" w:rsidRPr="00D32158" w:rsidRDefault="00E101A2" w:rsidP="00E101A2">
            <w:pPr>
              <w:widowControl/>
              <w:adjustRightInd w:val="0"/>
              <w:snapToGrid w:val="0"/>
              <w:jc w:val="center"/>
              <w:textAlignment w:val="center"/>
              <w:rPr>
                <w:color w:val="000000"/>
                <w:kern w:val="0"/>
                <w:lang w:bidi="ar"/>
              </w:rPr>
            </w:pPr>
            <w:r>
              <w:rPr>
                <w:color w:val="000000"/>
              </w:rPr>
              <w:t>475</w:t>
            </w:r>
          </w:p>
        </w:tc>
        <w:tc>
          <w:tcPr>
            <w:tcW w:w="367" w:type="pct"/>
            <w:tcBorders>
              <w:top w:val="single" w:sz="4" w:space="0" w:color="auto"/>
              <w:left w:val="single" w:sz="4" w:space="0" w:color="auto"/>
              <w:bottom w:val="single" w:sz="4" w:space="0" w:color="auto"/>
              <w:right w:val="single" w:sz="4" w:space="0" w:color="auto"/>
            </w:tcBorders>
            <w:vAlign w:val="center"/>
          </w:tcPr>
          <w:p w14:paraId="2A429619" w14:textId="5F51B521" w:rsidR="00E101A2" w:rsidRPr="00D32158" w:rsidRDefault="00E101A2" w:rsidP="00E101A2">
            <w:pPr>
              <w:widowControl/>
              <w:adjustRightInd w:val="0"/>
              <w:snapToGrid w:val="0"/>
              <w:jc w:val="center"/>
              <w:textAlignment w:val="center"/>
              <w:rPr>
                <w:color w:val="000000"/>
                <w:kern w:val="0"/>
              </w:rPr>
            </w:pPr>
            <w:r>
              <w:rPr>
                <w:color w:val="000000"/>
              </w:rPr>
              <w:t>445</w:t>
            </w:r>
          </w:p>
        </w:tc>
        <w:tc>
          <w:tcPr>
            <w:tcW w:w="466" w:type="pct"/>
            <w:vMerge w:val="restart"/>
            <w:tcBorders>
              <w:top w:val="single" w:sz="4" w:space="0" w:color="auto"/>
              <w:left w:val="single" w:sz="4" w:space="0" w:color="auto"/>
            </w:tcBorders>
            <w:vAlign w:val="center"/>
          </w:tcPr>
          <w:p w14:paraId="57850A42" w14:textId="227632E5" w:rsidR="00E101A2" w:rsidRPr="00D32158" w:rsidRDefault="00E101A2" w:rsidP="00E101A2">
            <w:pPr>
              <w:widowControl/>
              <w:adjustRightInd w:val="0"/>
              <w:snapToGrid w:val="0"/>
              <w:jc w:val="center"/>
              <w:textAlignment w:val="center"/>
            </w:pPr>
            <w:r>
              <w:rPr>
                <w:rFonts w:ascii="仿宋" w:eastAsia="仿宋" w:hAnsi="仿宋" w:cs="仿宋" w:hint="eastAsia"/>
              </w:rPr>
              <w:t>≤</w:t>
            </w:r>
            <w:r>
              <w:t>1000</w:t>
            </w:r>
          </w:p>
        </w:tc>
      </w:tr>
      <w:tr w:rsidR="00E101A2" w:rsidRPr="00D32158" w14:paraId="1B21EBA0" w14:textId="77777777" w:rsidTr="00E101A2">
        <w:trPr>
          <w:trHeight w:val="57"/>
          <w:jc w:val="center"/>
        </w:trPr>
        <w:tc>
          <w:tcPr>
            <w:tcW w:w="708" w:type="pct"/>
            <w:vMerge/>
            <w:tcBorders>
              <w:bottom w:val="single" w:sz="4" w:space="0" w:color="auto"/>
              <w:right w:val="single" w:sz="4" w:space="0" w:color="auto"/>
            </w:tcBorders>
            <w:vAlign w:val="center"/>
          </w:tcPr>
          <w:p w14:paraId="7A14E87B" w14:textId="77777777" w:rsidR="00E101A2" w:rsidRPr="00D32158" w:rsidRDefault="00E101A2" w:rsidP="00E101A2">
            <w:pPr>
              <w:widowControl/>
              <w:adjustRightInd w:val="0"/>
              <w:snapToGrid w:val="0"/>
              <w:jc w:val="center"/>
              <w:textAlignment w:val="center"/>
            </w:pPr>
          </w:p>
        </w:tc>
        <w:tc>
          <w:tcPr>
            <w:tcW w:w="586" w:type="pct"/>
            <w:vAlign w:val="center"/>
          </w:tcPr>
          <w:p w14:paraId="3CBB910A" w14:textId="2C9CB219" w:rsidR="00E101A2" w:rsidRPr="00D32158" w:rsidRDefault="00E101A2" w:rsidP="00E101A2">
            <w:pPr>
              <w:adjustRightInd w:val="0"/>
              <w:snapToGrid w:val="0"/>
              <w:jc w:val="center"/>
            </w:pPr>
            <w:r>
              <w:rPr>
                <w:rFonts w:hint="eastAsia"/>
              </w:rPr>
              <w:t>标准指数</w:t>
            </w:r>
          </w:p>
        </w:tc>
        <w:tc>
          <w:tcPr>
            <w:tcW w:w="478" w:type="pct"/>
            <w:vMerge/>
            <w:tcBorders>
              <w:left w:val="single" w:sz="4" w:space="0" w:color="auto"/>
              <w:bottom w:val="single" w:sz="4" w:space="0" w:color="auto"/>
              <w:right w:val="single" w:sz="4" w:space="0" w:color="auto"/>
              <w:tl2br w:val="nil"/>
              <w:tr2bl w:val="nil"/>
            </w:tcBorders>
            <w:vAlign w:val="center"/>
          </w:tcPr>
          <w:p w14:paraId="0F27A49B" w14:textId="3F15A72F" w:rsidR="00E101A2" w:rsidRPr="00D32158" w:rsidRDefault="00E101A2" w:rsidP="00E101A2">
            <w:pPr>
              <w:adjustRightInd w:val="0"/>
              <w:snapToGrid w:val="0"/>
              <w:jc w:val="center"/>
            </w:pPr>
          </w:p>
        </w:tc>
        <w:tc>
          <w:tcPr>
            <w:tcW w:w="402" w:type="pct"/>
            <w:tcBorders>
              <w:top w:val="single" w:sz="4" w:space="0" w:color="auto"/>
              <w:left w:val="single" w:sz="4" w:space="0" w:color="auto"/>
              <w:bottom w:val="single" w:sz="4" w:space="0" w:color="auto"/>
              <w:right w:val="single" w:sz="4" w:space="0" w:color="auto"/>
            </w:tcBorders>
            <w:vAlign w:val="center"/>
          </w:tcPr>
          <w:p w14:paraId="7EE293C3" w14:textId="4EBA0AFC" w:rsidR="00E101A2" w:rsidRPr="00D32158" w:rsidRDefault="00E101A2" w:rsidP="00E101A2">
            <w:pPr>
              <w:widowControl/>
              <w:adjustRightInd w:val="0"/>
              <w:snapToGrid w:val="0"/>
              <w:jc w:val="center"/>
              <w:textAlignment w:val="center"/>
              <w:rPr>
                <w:color w:val="000000"/>
                <w:sz w:val="22"/>
                <w:szCs w:val="22"/>
              </w:rPr>
            </w:pPr>
            <w:r>
              <w:rPr>
                <w:color w:val="000000"/>
                <w:sz w:val="22"/>
                <w:szCs w:val="22"/>
              </w:rPr>
              <w:t xml:space="preserve">　</w:t>
            </w:r>
            <w:r>
              <w:rPr>
                <w:rFonts w:hint="eastAsia"/>
                <w:color w:val="000000"/>
                <w:sz w:val="22"/>
                <w:szCs w:val="22"/>
              </w:rPr>
              <w:t>0.476</w:t>
            </w:r>
          </w:p>
        </w:tc>
        <w:tc>
          <w:tcPr>
            <w:tcW w:w="402" w:type="pct"/>
            <w:tcBorders>
              <w:top w:val="single" w:sz="4" w:space="0" w:color="auto"/>
              <w:left w:val="single" w:sz="4" w:space="0" w:color="auto"/>
              <w:bottom w:val="single" w:sz="4" w:space="0" w:color="auto"/>
              <w:right w:val="single" w:sz="4" w:space="0" w:color="auto"/>
            </w:tcBorders>
            <w:vAlign w:val="center"/>
          </w:tcPr>
          <w:p w14:paraId="554BAEA7" w14:textId="2E1DBEE2" w:rsidR="00E101A2" w:rsidRPr="00D32158" w:rsidRDefault="00E101A2" w:rsidP="00E101A2">
            <w:pPr>
              <w:widowControl/>
              <w:adjustRightInd w:val="0"/>
              <w:snapToGrid w:val="0"/>
              <w:jc w:val="center"/>
              <w:textAlignment w:val="center"/>
              <w:rPr>
                <w:color w:val="000000"/>
                <w:sz w:val="22"/>
                <w:szCs w:val="22"/>
              </w:rPr>
            </w:pPr>
            <w:r>
              <w:rPr>
                <w:color w:val="000000"/>
                <w:sz w:val="22"/>
                <w:szCs w:val="22"/>
              </w:rPr>
              <w:t xml:space="preserve">　</w:t>
            </w:r>
            <w:r>
              <w:rPr>
                <w:rFonts w:hint="eastAsia"/>
                <w:color w:val="000000"/>
                <w:sz w:val="22"/>
                <w:szCs w:val="22"/>
              </w:rPr>
              <w:t>0.606</w:t>
            </w:r>
          </w:p>
        </w:tc>
        <w:tc>
          <w:tcPr>
            <w:tcW w:w="402" w:type="pct"/>
            <w:tcBorders>
              <w:top w:val="single" w:sz="4" w:space="0" w:color="auto"/>
              <w:left w:val="single" w:sz="4" w:space="0" w:color="auto"/>
              <w:bottom w:val="single" w:sz="4" w:space="0" w:color="auto"/>
              <w:right w:val="single" w:sz="4" w:space="0" w:color="auto"/>
            </w:tcBorders>
            <w:vAlign w:val="center"/>
          </w:tcPr>
          <w:p w14:paraId="53781E99" w14:textId="5221437A" w:rsidR="00E101A2" w:rsidRPr="00D32158" w:rsidRDefault="00E101A2" w:rsidP="00E101A2">
            <w:pPr>
              <w:widowControl/>
              <w:adjustRightInd w:val="0"/>
              <w:snapToGrid w:val="0"/>
              <w:jc w:val="center"/>
              <w:textAlignment w:val="center"/>
              <w:rPr>
                <w:color w:val="000000"/>
                <w:sz w:val="22"/>
                <w:szCs w:val="22"/>
              </w:rPr>
            </w:pPr>
            <w:r>
              <w:rPr>
                <w:rFonts w:hint="eastAsia"/>
                <w:color w:val="000000"/>
                <w:sz w:val="22"/>
                <w:szCs w:val="22"/>
              </w:rPr>
              <w:t>0.576</w:t>
            </w:r>
          </w:p>
        </w:tc>
        <w:tc>
          <w:tcPr>
            <w:tcW w:w="407" w:type="pct"/>
            <w:tcBorders>
              <w:top w:val="single" w:sz="4" w:space="0" w:color="auto"/>
              <w:left w:val="single" w:sz="4" w:space="0" w:color="auto"/>
              <w:bottom w:val="single" w:sz="4" w:space="0" w:color="auto"/>
              <w:right w:val="single" w:sz="4" w:space="0" w:color="auto"/>
            </w:tcBorders>
            <w:vAlign w:val="center"/>
          </w:tcPr>
          <w:p w14:paraId="423ABCEE" w14:textId="17E548A9" w:rsidR="00E101A2" w:rsidRDefault="00E101A2" w:rsidP="00E101A2">
            <w:pPr>
              <w:widowControl/>
              <w:adjustRightInd w:val="0"/>
              <w:snapToGrid w:val="0"/>
              <w:jc w:val="center"/>
              <w:textAlignment w:val="center"/>
              <w:rPr>
                <w:rFonts w:eastAsia="仿宋"/>
              </w:rPr>
            </w:pPr>
            <w:r>
              <w:rPr>
                <w:rFonts w:hint="eastAsia"/>
                <w:color w:val="000000"/>
              </w:rPr>
              <w:t>0.468</w:t>
            </w:r>
          </w:p>
        </w:tc>
        <w:tc>
          <w:tcPr>
            <w:tcW w:w="387" w:type="pct"/>
            <w:tcBorders>
              <w:top w:val="single" w:sz="4" w:space="0" w:color="auto"/>
              <w:left w:val="single" w:sz="4" w:space="0" w:color="auto"/>
              <w:bottom w:val="single" w:sz="4" w:space="0" w:color="auto"/>
              <w:right w:val="single" w:sz="4" w:space="0" w:color="auto"/>
            </w:tcBorders>
            <w:vAlign w:val="center"/>
          </w:tcPr>
          <w:p w14:paraId="626EDF22" w14:textId="04EBFCE1" w:rsidR="00E101A2" w:rsidRDefault="00E101A2" w:rsidP="00E101A2">
            <w:pPr>
              <w:widowControl/>
              <w:adjustRightInd w:val="0"/>
              <w:snapToGrid w:val="0"/>
              <w:jc w:val="center"/>
              <w:textAlignment w:val="center"/>
              <w:rPr>
                <w:rFonts w:eastAsia="仿宋"/>
              </w:rPr>
            </w:pPr>
            <w:r>
              <w:rPr>
                <w:rFonts w:hint="eastAsia"/>
                <w:color w:val="000000"/>
              </w:rPr>
              <w:t>0.46</w:t>
            </w:r>
          </w:p>
        </w:tc>
        <w:tc>
          <w:tcPr>
            <w:tcW w:w="395" w:type="pct"/>
            <w:tcBorders>
              <w:top w:val="single" w:sz="4" w:space="0" w:color="auto"/>
              <w:left w:val="single" w:sz="4" w:space="0" w:color="auto"/>
              <w:bottom w:val="single" w:sz="4" w:space="0" w:color="auto"/>
              <w:right w:val="single" w:sz="4" w:space="0" w:color="auto"/>
            </w:tcBorders>
            <w:vAlign w:val="center"/>
          </w:tcPr>
          <w:p w14:paraId="5273120A" w14:textId="5CA08B3B" w:rsidR="00E101A2" w:rsidRDefault="00E101A2" w:rsidP="00E101A2">
            <w:pPr>
              <w:widowControl/>
              <w:adjustRightInd w:val="0"/>
              <w:snapToGrid w:val="0"/>
              <w:jc w:val="center"/>
              <w:textAlignment w:val="center"/>
              <w:rPr>
                <w:rFonts w:eastAsia="仿宋"/>
              </w:rPr>
            </w:pPr>
            <w:r>
              <w:rPr>
                <w:rFonts w:hint="eastAsia"/>
                <w:color w:val="000000"/>
              </w:rPr>
              <w:t>0.475</w:t>
            </w:r>
          </w:p>
        </w:tc>
        <w:tc>
          <w:tcPr>
            <w:tcW w:w="367" w:type="pct"/>
            <w:tcBorders>
              <w:top w:val="single" w:sz="4" w:space="0" w:color="auto"/>
              <w:left w:val="single" w:sz="4" w:space="0" w:color="auto"/>
              <w:bottom w:val="single" w:sz="4" w:space="0" w:color="auto"/>
              <w:right w:val="single" w:sz="4" w:space="0" w:color="auto"/>
            </w:tcBorders>
            <w:vAlign w:val="center"/>
          </w:tcPr>
          <w:p w14:paraId="2387D8AF" w14:textId="6D4D6451" w:rsidR="00E101A2" w:rsidRDefault="00E101A2" w:rsidP="00E101A2">
            <w:pPr>
              <w:widowControl/>
              <w:adjustRightInd w:val="0"/>
              <w:snapToGrid w:val="0"/>
              <w:jc w:val="center"/>
              <w:textAlignment w:val="center"/>
              <w:rPr>
                <w:rFonts w:eastAsia="仿宋"/>
              </w:rPr>
            </w:pPr>
            <w:r>
              <w:rPr>
                <w:rFonts w:hint="eastAsia"/>
                <w:color w:val="000000"/>
              </w:rPr>
              <w:t>0.445</w:t>
            </w:r>
          </w:p>
        </w:tc>
        <w:tc>
          <w:tcPr>
            <w:tcW w:w="466" w:type="pct"/>
            <w:vMerge/>
            <w:tcBorders>
              <w:left w:val="single" w:sz="4" w:space="0" w:color="auto"/>
              <w:bottom w:val="single" w:sz="4" w:space="0" w:color="auto"/>
            </w:tcBorders>
            <w:vAlign w:val="center"/>
          </w:tcPr>
          <w:p w14:paraId="2D907D41" w14:textId="77777777" w:rsidR="00E101A2" w:rsidRDefault="00E101A2" w:rsidP="00E101A2">
            <w:pPr>
              <w:widowControl/>
              <w:adjustRightInd w:val="0"/>
              <w:snapToGrid w:val="0"/>
              <w:jc w:val="center"/>
              <w:textAlignment w:val="center"/>
              <w:rPr>
                <w:rFonts w:ascii="仿宋" w:eastAsia="仿宋" w:hAnsi="仿宋" w:cs="仿宋" w:hint="eastAsia"/>
              </w:rPr>
            </w:pPr>
          </w:p>
        </w:tc>
      </w:tr>
      <w:tr w:rsidR="00E101A2" w:rsidRPr="00D32158" w14:paraId="77C72686" w14:textId="77777777" w:rsidTr="00E101A2">
        <w:trPr>
          <w:trHeight w:val="57"/>
          <w:jc w:val="center"/>
        </w:trPr>
        <w:tc>
          <w:tcPr>
            <w:tcW w:w="708" w:type="pct"/>
            <w:vMerge w:val="restart"/>
            <w:tcBorders>
              <w:top w:val="single" w:sz="4" w:space="0" w:color="auto"/>
              <w:right w:val="single" w:sz="4" w:space="0" w:color="auto"/>
            </w:tcBorders>
            <w:vAlign w:val="center"/>
          </w:tcPr>
          <w:p w14:paraId="775ED7B3" w14:textId="3683638A" w:rsidR="00E101A2" w:rsidRPr="00D32158" w:rsidRDefault="00E101A2" w:rsidP="00E101A2">
            <w:pPr>
              <w:widowControl/>
              <w:adjustRightInd w:val="0"/>
              <w:snapToGrid w:val="0"/>
              <w:jc w:val="center"/>
              <w:textAlignment w:val="center"/>
            </w:pPr>
            <w:r w:rsidRPr="00D32158">
              <w:t>总大肠菌群</w:t>
            </w:r>
          </w:p>
        </w:tc>
        <w:tc>
          <w:tcPr>
            <w:tcW w:w="586" w:type="pct"/>
            <w:vAlign w:val="center"/>
          </w:tcPr>
          <w:p w14:paraId="660E81F5" w14:textId="12693942" w:rsidR="00E101A2" w:rsidRPr="00D32158" w:rsidRDefault="00E101A2" w:rsidP="00E101A2">
            <w:pPr>
              <w:adjustRightInd w:val="0"/>
              <w:snapToGrid w:val="0"/>
              <w:jc w:val="center"/>
            </w:pPr>
            <w:r>
              <w:rPr>
                <w:rFonts w:hint="eastAsia"/>
              </w:rPr>
              <w:t>监测值</w:t>
            </w:r>
          </w:p>
        </w:tc>
        <w:tc>
          <w:tcPr>
            <w:tcW w:w="478" w:type="pct"/>
            <w:vMerge w:val="restart"/>
            <w:tcBorders>
              <w:top w:val="single" w:sz="4" w:space="0" w:color="auto"/>
              <w:left w:val="single" w:sz="4" w:space="0" w:color="auto"/>
              <w:right w:val="single" w:sz="4" w:space="0" w:color="auto"/>
              <w:tl2br w:val="nil"/>
              <w:tr2bl w:val="nil"/>
            </w:tcBorders>
            <w:vAlign w:val="center"/>
          </w:tcPr>
          <w:p w14:paraId="0C85E458" w14:textId="02B7F3BE" w:rsidR="00E101A2" w:rsidRPr="00D32158" w:rsidRDefault="00E101A2" w:rsidP="00E101A2">
            <w:pPr>
              <w:adjustRightInd w:val="0"/>
              <w:snapToGrid w:val="0"/>
              <w:jc w:val="center"/>
            </w:pPr>
            <w:r w:rsidRPr="00D32158">
              <w:t>MPN/100mL</w:t>
            </w:r>
          </w:p>
        </w:tc>
        <w:tc>
          <w:tcPr>
            <w:tcW w:w="402" w:type="pct"/>
            <w:tcBorders>
              <w:top w:val="single" w:sz="4" w:space="0" w:color="auto"/>
              <w:left w:val="single" w:sz="4" w:space="0" w:color="auto"/>
              <w:bottom w:val="single" w:sz="4" w:space="0" w:color="auto"/>
              <w:right w:val="single" w:sz="4" w:space="0" w:color="auto"/>
            </w:tcBorders>
            <w:vAlign w:val="center"/>
          </w:tcPr>
          <w:p w14:paraId="14976E81" w14:textId="06CE9C64" w:rsidR="00E101A2" w:rsidRPr="00D32158" w:rsidRDefault="00E101A2" w:rsidP="00E101A2">
            <w:pPr>
              <w:widowControl/>
              <w:adjustRightInd w:val="0"/>
              <w:snapToGrid w:val="0"/>
              <w:jc w:val="center"/>
              <w:textAlignment w:val="center"/>
            </w:pPr>
            <w:r>
              <w:rPr>
                <w:rFonts w:hint="eastAsia"/>
                <w:color w:val="000000"/>
                <w:sz w:val="22"/>
                <w:szCs w:val="22"/>
              </w:rPr>
              <w:t>＜</w:t>
            </w:r>
            <w:r>
              <w:rPr>
                <w:color w:val="000000"/>
                <w:sz w:val="22"/>
                <w:szCs w:val="22"/>
              </w:rPr>
              <w:t>2</w:t>
            </w:r>
          </w:p>
        </w:tc>
        <w:tc>
          <w:tcPr>
            <w:tcW w:w="402" w:type="pct"/>
            <w:tcBorders>
              <w:top w:val="single" w:sz="4" w:space="0" w:color="auto"/>
              <w:left w:val="single" w:sz="4" w:space="0" w:color="auto"/>
              <w:bottom w:val="single" w:sz="4" w:space="0" w:color="auto"/>
              <w:right w:val="single" w:sz="4" w:space="0" w:color="auto"/>
            </w:tcBorders>
            <w:vAlign w:val="center"/>
          </w:tcPr>
          <w:p w14:paraId="107709E2" w14:textId="53A49602" w:rsidR="00E101A2" w:rsidRPr="00D32158" w:rsidRDefault="00E101A2" w:rsidP="00E101A2">
            <w:pPr>
              <w:widowControl/>
              <w:adjustRightInd w:val="0"/>
              <w:snapToGrid w:val="0"/>
              <w:jc w:val="center"/>
              <w:textAlignment w:val="center"/>
            </w:pPr>
            <w:r>
              <w:rPr>
                <w:rFonts w:hint="eastAsia"/>
                <w:color w:val="000000"/>
                <w:sz w:val="22"/>
                <w:szCs w:val="22"/>
              </w:rPr>
              <w:t>＜</w:t>
            </w:r>
            <w:r>
              <w:rPr>
                <w:color w:val="000000"/>
                <w:sz w:val="22"/>
                <w:szCs w:val="22"/>
              </w:rPr>
              <w:t>2</w:t>
            </w:r>
          </w:p>
        </w:tc>
        <w:tc>
          <w:tcPr>
            <w:tcW w:w="402" w:type="pct"/>
            <w:tcBorders>
              <w:top w:val="single" w:sz="4" w:space="0" w:color="auto"/>
              <w:left w:val="single" w:sz="4" w:space="0" w:color="auto"/>
              <w:bottom w:val="single" w:sz="4" w:space="0" w:color="auto"/>
              <w:right w:val="single" w:sz="4" w:space="0" w:color="auto"/>
            </w:tcBorders>
            <w:vAlign w:val="center"/>
          </w:tcPr>
          <w:p w14:paraId="41C2CD5D" w14:textId="7F6D7357" w:rsidR="00E101A2" w:rsidRPr="00D32158" w:rsidRDefault="00E101A2" w:rsidP="00E101A2">
            <w:pPr>
              <w:widowControl/>
              <w:adjustRightInd w:val="0"/>
              <w:snapToGrid w:val="0"/>
              <w:jc w:val="center"/>
              <w:textAlignment w:val="center"/>
            </w:pPr>
            <w:r>
              <w:rPr>
                <w:rFonts w:hint="eastAsia"/>
                <w:color w:val="000000"/>
                <w:sz w:val="22"/>
                <w:szCs w:val="22"/>
              </w:rPr>
              <w:t>＜</w:t>
            </w:r>
            <w:r>
              <w:rPr>
                <w:color w:val="000000"/>
                <w:sz w:val="22"/>
                <w:szCs w:val="22"/>
              </w:rPr>
              <w:t>2</w:t>
            </w:r>
          </w:p>
        </w:tc>
        <w:tc>
          <w:tcPr>
            <w:tcW w:w="407" w:type="pct"/>
            <w:tcBorders>
              <w:top w:val="single" w:sz="4" w:space="0" w:color="auto"/>
              <w:left w:val="single" w:sz="4" w:space="0" w:color="auto"/>
              <w:bottom w:val="single" w:sz="4" w:space="0" w:color="auto"/>
              <w:right w:val="single" w:sz="4" w:space="0" w:color="auto"/>
            </w:tcBorders>
            <w:vAlign w:val="center"/>
          </w:tcPr>
          <w:p w14:paraId="694D2D58" w14:textId="768E80CF" w:rsidR="00E101A2" w:rsidRPr="00D32158" w:rsidRDefault="00E101A2" w:rsidP="00E101A2">
            <w:pPr>
              <w:widowControl/>
              <w:adjustRightInd w:val="0"/>
              <w:snapToGrid w:val="0"/>
              <w:jc w:val="center"/>
              <w:textAlignment w:val="center"/>
            </w:pPr>
            <w:r>
              <w:rPr>
                <w:rFonts w:ascii="仿宋" w:eastAsia="仿宋" w:hAnsi="仿宋" w:hint="eastAsia"/>
                <w:color w:val="000000"/>
              </w:rPr>
              <w:t>＜</w:t>
            </w:r>
            <w:r>
              <w:rPr>
                <w:rFonts w:eastAsia="仿宋"/>
                <w:color w:val="000000"/>
              </w:rPr>
              <w:t>2</w:t>
            </w:r>
          </w:p>
        </w:tc>
        <w:tc>
          <w:tcPr>
            <w:tcW w:w="387" w:type="pct"/>
            <w:tcBorders>
              <w:top w:val="single" w:sz="4" w:space="0" w:color="auto"/>
              <w:left w:val="single" w:sz="4" w:space="0" w:color="auto"/>
              <w:bottom w:val="single" w:sz="4" w:space="0" w:color="auto"/>
              <w:right w:val="single" w:sz="4" w:space="0" w:color="auto"/>
            </w:tcBorders>
            <w:vAlign w:val="center"/>
          </w:tcPr>
          <w:p w14:paraId="50D16A86" w14:textId="4B3DC921" w:rsidR="00E101A2" w:rsidRPr="00D32158" w:rsidRDefault="00E101A2" w:rsidP="00E101A2">
            <w:pPr>
              <w:widowControl/>
              <w:adjustRightInd w:val="0"/>
              <w:snapToGrid w:val="0"/>
              <w:jc w:val="center"/>
              <w:textAlignment w:val="center"/>
            </w:pPr>
            <w:r>
              <w:rPr>
                <w:rFonts w:ascii="仿宋" w:eastAsia="仿宋" w:hAnsi="仿宋" w:hint="eastAsia"/>
                <w:color w:val="000000"/>
              </w:rPr>
              <w:t>＜</w:t>
            </w:r>
            <w:r>
              <w:rPr>
                <w:rFonts w:eastAsia="仿宋"/>
                <w:color w:val="000000"/>
              </w:rPr>
              <w:t>2</w:t>
            </w:r>
          </w:p>
        </w:tc>
        <w:tc>
          <w:tcPr>
            <w:tcW w:w="395" w:type="pct"/>
            <w:tcBorders>
              <w:top w:val="single" w:sz="4" w:space="0" w:color="auto"/>
              <w:left w:val="single" w:sz="4" w:space="0" w:color="auto"/>
              <w:bottom w:val="single" w:sz="4" w:space="0" w:color="auto"/>
              <w:right w:val="single" w:sz="4" w:space="0" w:color="auto"/>
            </w:tcBorders>
            <w:vAlign w:val="center"/>
          </w:tcPr>
          <w:p w14:paraId="693DD3BE" w14:textId="3EC6AE81" w:rsidR="00E101A2" w:rsidRPr="00D32158" w:rsidRDefault="00E101A2" w:rsidP="00E101A2">
            <w:pPr>
              <w:widowControl/>
              <w:adjustRightInd w:val="0"/>
              <w:snapToGrid w:val="0"/>
              <w:jc w:val="center"/>
              <w:textAlignment w:val="center"/>
              <w:rPr>
                <w:color w:val="000000"/>
                <w:kern w:val="0"/>
                <w:lang w:bidi="ar"/>
              </w:rPr>
            </w:pPr>
            <w:r>
              <w:rPr>
                <w:rFonts w:ascii="仿宋" w:eastAsia="仿宋" w:hAnsi="仿宋" w:hint="eastAsia"/>
                <w:color w:val="000000"/>
              </w:rPr>
              <w:t>＜</w:t>
            </w:r>
            <w:r>
              <w:rPr>
                <w:rFonts w:eastAsia="仿宋"/>
                <w:color w:val="000000"/>
              </w:rPr>
              <w:t>2</w:t>
            </w:r>
          </w:p>
        </w:tc>
        <w:tc>
          <w:tcPr>
            <w:tcW w:w="367" w:type="pct"/>
            <w:tcBorders>
              <w:top w:val="single" w:sz="4" w:space="0" w:color="auto"/>
              <w:left w:val="single" w:sz="4" w:space="0" w:color="auto"/>
              <w:bottom w:val="single" w:sz="4" w:space="0" w:color="auto"/>
              <w:right w:val="single" w:sz="4" w:space="0" w:color="auto"/>
            </w:tcBorders>
            <w:vAlign w:val="center"/>
          </w:tcPr>
          <w:p w14:paraId="0CF0838E" w14:textId="068E85A9" w:rsidR="00E101A2" w:rsidRPr="00D32158" w:rsidRDefault="00E101A2" w:rsidP="00E101A2">
            <w:pPr>
              <w:widowControl/>
              <w:adjustRightInd w:val="0"/>
              <w:snapToGrid w:val="0"/>
              <w:jc w:val="center"/>
              <w:textAlignment w:val="center"/>
              <w:rPr>
                <w:color w:val="000000"/>
                <w:kern w:val="0"/>
              </w:rPr>
            </w:pPr>
            <w:r>
              <w:rPr>
                <w:rFonts w:ascii="仿宋" w:eastAsia="仿宋" w:hAnsi="仿宋" w:hint="eastAsia"/>
                <w:color w:val="000000"/>
              </w:rPr>
              <w:t>＜</w:t>
            </w:r>
            <w:r>
              <w:rPr>
                <w:rFonts w:eastAsia="仿宋"/>
                <w:color w:val="000000"/>
              </w:rPr>
              <w:t>2</w:t>
            </w:r>
          </w:p>
        </w:tc>
        <w:tc>
          <w:tcPr>
            <w:tcW w:w="466" w:type="pct"/>
            <w:vMerge w:val="restart"/>
            <w:tcBorders>
              <w:top w:val="single" w:sz="4" w:space="0" w:color="auto"/>
              <w:left w:val="single" w:sz="4" w:space="0" w:color="auto"/>
            </w:tcBorders>
            <w:vAlign w:val="center"/>
          </w:tcPr>
          <w:p w14:paraId="01F38F25" w14:textId="1A5E302F" w:rsidR="00E101A2" w:rsidRPr="00D32158" w:rsidRDefault="00E101A2" w:rsidP="00E101A2">
            <w:pPr>
              <w:widowControl/>
              <w:adjustRightInd w:val="0"/>
              <w:snapToGrid w:val="0"/>
              <w:jc w:val="center"/>
              <w:textAlignment w:val="center"/>
            </w:pPr>
            <w:r>
              <w:rPr>
                <w:rFonts w:ascii="仿宋" w:eastAsia="仿宋" w:hAnsi="仿宋" w:cs="仿宋" w:hint="eastAsia"/>
              </w:rPr>
              <w:t>≤</w:t>
            </w:r>
            <w:r>
              <w:t>3.0</w:t>
            </w:r>
          </w:p>
        </w:tc>
      </w:tr>
      <w:tr w:rsidR="00E101A2" w:rsidRPr="00D32158" w14:paraId="50F8995F" w14:textId="77777777" w:rsidTr="00E101A2">
        <w:trPr>
          <w:trHeight w:val="57"/>
          <w:jc w:val="center"/>
        </w:trPr>
        <w:tc>
          <w:tcPr>
            <w:tcW w:w="708" w:type="pct"/>
            <w:vMerge/>
            <w:tcBorders>
              <w:bottom w:val="single" w:sz="4" w:space="0" w:color="auto"/>
              <w:right w:val="single" w:sz="4" w:space="0" w:color="auto"/>
            </w:tcBorders>
            <w:vAlign w:val="center"/>
          </w:tcPr>
          <w:p w14:paraId="65A2F73E" w14:textId="77777777" w:rsidR="00E101A2" w:rsidRPr="00D32158" w:rsidRDefault="00E101A2" w:rsidP="00E101A2">
            <w:pPr>
              <w:widowControl/>
              <w:adjustRightInd w:val="0"/>
              <w:snapToGrid w:val="0"/>
              <w:jc w:val="center"/>
              <w:textAlignment w:val="center"/>
            </w:pPr>
          </w:p>
        </w:tc>
        <w:tc>
          <w:tcPr>
            <w:tcW w:w="586" w:type="pct"/>
            <w:vAlign w:val="center"/>
          </w:tcPr>
          <w:p w14:paraId="7208A846" w14:textId="69C65A16" w:rsidR="00E101A2" w:rsidRPr="00D32158" w:rsidRDefault="00E101A2" w:rsidP="00E101A2">
            <w:pPr>
              <w:adjustRightInd w:val="0"/>
              <w:snapToGrid w:val="0"/>
              <w:jc w:val="center"/>
            </w:pPr>
            <w:r>
              <w:rPr>
                <w:rFonts w:hint="eastAsia"/>
              </w:rPr>
              <w:t>标准指数</w:t>
            </w:r>
          </w:p>
        </w:tc>
        <w:tc>
          <w:tcPr>
            <w:tcW w:w="478" w:type="pct"/>
            <w:vMerge/>
            <w:tcBorders>
              <w:left w:val="single" w:sz="4" w:space="0" w:color="auto"/>
              <w:bottom w:val="single" w:sz="4" w:space="0" w:color="auto"/>
              <w:right w:val="single" w:sz="4" w:space="0" w:color="auto"/>
              <w:tl2br w:val="nil"/>
              <w:tr2bl w:val="nil"/>
            </w:tcBorders>
            <w:vAlign w:val="center"/>
          </w:tcPr>
          <w:p w14:paraId="37F3E2A9" w14:textId="559C8E37" w:rsidR="00E101A2" w:rsidRPr="00D32158" w:rsidRDefault="00E101A2" w:rsidP="00E101A2">
            <w:pPr>
              <w:adjustRightInd w:val="0"/>
              <w:snapToGrid w:val="0"/>
              <w:jc w:val="center"/>
            </w:pPr>
          </w:p>
        </w:tc>
        <w:tc>
          <w:tcPr>
            <w:tcW w:w="402" w:type="pct"/>
            <w:tcBorders>
              <w:top w:val="single" w:sz="4" w:space="0" w:color="auto"/>
              <w:left w:val="single" w:sz="4" w:space="0" w:color="auto"/>
              <w:bottom w:val="single" w:sz="4" w:space="0" w:color="auto"/>
              <w:right w:val="single" w:sz="4" w:space="0" w:color="auto"/>
            </w:tcBorders>
            <w:vAlign w:val="center"/>
          </w:tcPr>
          <w:p w14:paraId="224B3EC5" w14:textId="5E6EB563" w:rsidR="00E101A2" w:rsidRPr="00D32158" w:rsidRDefault="00E101A2" w:rsidP="00E101A2">
            <w:pPr>
              <w:widowControl/>
              <w:adjustRightInd w:val="0"/>
              <w:snapToGrid w:val="0"/>
              <w:jc w:val="center"/>
              <w:textAlignment w:val="center"/>
              <w:rPr>
                <w:color w:val="000000"/>
                <w:sz w:val="22"/>
                <w:szCs w:val="22"/>
              </w:rPr>
            </w:pPr>
            <w:r>
              <w:rPr>
                <w:rFonts w:eastAsia="仿宋" w:hint="eastAsia"/>
              </w:rPr>
              <w:t>/</w:t>
            </w:r>
          </w:p>
        </w:tc>
        <w:tc>
          <w:tcPr>
            <w:tcW w:w="402" w:type="pct"/>
            <w:tcBorders>
              <w:top w:val="single" w:sz="4" w:space="0" w:color="auto"/>
              <w:left w:val="single" w:sz="4" w:space="0" w:color="auto"/>
              <w:bottom w:val="single" w:sz="4" w:space="0" w:color="auto"/>
              <w:right w:val="single" w:sz="4" w:space="0" w:color="auto"/>
            </w:tcBorders>
          </w:tcPr>
          <w:p w14:paraId="3BB3C915" w14:textId="7E5682C2" w:rsidR="00E101A2" w:rsidRPr="00D32158" w:rsidRDefault="00E101A2" w:rsidP="00E101A2">
            <w:pPr>
              <w:widowControl/>
              <w:adjustRightInd w:val="0"/>
              <w:snapToGrid w:val="0"/>
              <w:jc w:val="center"/>
              <w:textAlignment w:val="center"/>
              <w:rPr>
                <w:color w:val="000000"/>
                <w:sz w:val="22"/>
                <w:szCs w:val="22"/>
              </w:rPr>
            </w:pPr>
            <w:r w:rsidRPr="00030223">
              <w:rPr>
                <w:rFonts w:eastAsia="仿宋" w:hint="eastAsia"/>
              </w:rPr>
              <w:t>/</w:t>
            </w:r>
          </w:p>
        </w:tc>
        <w:tc>
          <w:tcPr>
            <w:tcW w:w="402" w:type="pct"/>
            <w:tcBorders>
              <w:top w:val="single" w:sz="4" w:space="0" w:color="auto"/>
              <w:left w:val="single" w:sz="4" w:space="0" w:color="auto"/>
              <w:bottom w:val="single" w:sz="4" w:space="0" w:color="auto"/>
              <w:right w:val="single" w:sz="4" w:space="0" w:color="auto"/>
            </w:tcBorders>
          </w:tcPr>
          <w:p w14:paraId="7B360956" w14:textId="479F6E56" w:rsidR="00E101A2" w:rsidRPr="00D32158" w:rsidRDefault="00E101A2" w:rsidP="00E101A2">
            <w:pPr>
              <w:widowControl/>
              <w:adjustRightInd w:val="0"/>
              <w:snapToGrid w:val="0"/>
              <w:jc w:val="center"/>
              <w:textAlignment w:val="center"/>
              <w:rPr>
                <w:color w:val="000000"/>
                <w:sz w:val="22"/>
                <w:szCs w:val="22"/>
              </w:rPr>
            </w:pPr>
            <w:r w:rsidRPr="00030223">
              <w:rPr>
                <w:rFonts w:eastAsia="仿宋" w:hint="eastAsia"/>
              </w:rPr>
              <w:t>/</w:t>
            </w:r>
          </w:p>
        </w:tc>
        <w:tc>
          <w:tcPr>
            <w:tcW w:w="407" w:type="pct"/>
            <w:tcBorders>
              <w:top w:val="single" w:sz="4" w:space="0" w:color="auto"/>
              <w:left w:val="single" w:sz="4" w:space="0" w:color="auto"/>
              <w:bottom w:val="single" w:sz="4" w:space="0" w:color="auto"/>
              <w:right w:val="single" w:sz="4" w:space="0" w:color="auto"/>
            </w:tcBorders>
          </w:tcPr>
          <w:p w14:paraId="631118DC" w14:textId="46233216" w:rsidR="00E101A2" w:rsidRDefault="00E101A2" w:rsidP="00E101A2">
            <w:pPr>
              <w:widowControl/>
              <w:adjustRightInd w:val="0"/>
              <w:snapToGrid w:val="0"/>
              <w:jc w:val="center"/>
              <w:textAlignment w:val="center"/>
              <w:rPr>
                <w:rFonts w:eastAsia="仿宋"/>
              </w:rPr>
            </w:pPr>
            <w:r w:rsidRPr="00030223">
              <w:rPr>
                <w:rFonts w:eastAsia="仿宋" w:hint="eastAsia"/>
              </w:rPr>
              <w:t>/</w:t>
            </w:r>
          </w:p>
        </w:tc>
        <w:tc>
          <w:tcPr>
            <w:tcW w:w="387" w:type="pct"/>
            <w:tcBorders>
              <w:top w:val="single" w:sz="4" w:space="0" w:color="auto"/>
              <w:left w:val="single" w:sz="4" w:space="0" w:color="auto"/>
              <w:bottom w:val="single" w:sz="4" w:space="0" w:color="auto"/>
              <w:right w:val="single" w:sz="4" w:space="0" w:color="auto"/>
            </w:tcBorders>
          </w:tcPr>
          <w:p w14:paraId="21F38A10" w14:textId="338433FD" w:rsidR="00E101A2" w:rsidRDefault="00E101A2" w:rsidP="00E101A2">
            <w:pPr>
              <w:widowControl/>
              <w:adjustRightInd w:val="0"/>
              <w:snapToGrid w:val="0"/>
              <w:jc w:val="center"/>
              <w:textAlignment w:val="center"/>
              <w:rPr>
                <w:rFonts w:eastAsia="仿宋"/>
              </w:rPr>
            </w:pPr>
            <w:r w:rsidRPr="00030223">
              <w:rPr>
                <w:rFonts w:eastAsia="仿宋" w:hint="eastAsia"/>
              </w:rPr>
              <w:t>/</w:t>
            </w:r>
          </w:p>
        </w:tc>
        <w:tc>
          <w:tcPr>
            <w:tcW w:w="395" w:type="pct"/>
            <w:tcBorders>
              <w:top w:val="single" w:sz="4" w:space="0" w:color="auto"/>
              <w:left w:val="single" w:sz="4" w:space="0" w:color="auto"/>
              <w:bottom w:val="single" w:sz="4" w:space="0" w:color="auto"/>
              <w:right w:val="single" w:sz="4" w:space="0" w:color="auto"/>
            </w:tcBorders>
          </w:tcPr>
          <w:p w14:paraId="17044EFF" w14:textId="1D252EC3" w:rsidR="00E101A2" w:rsidRDefault="00E101A2" w:rsidP="00E101A2">
            <w:pPr>
              <w:widowControl/>
              <w:adjustRightInd w:val="0"/>
              <w:snapToGrid w:val="0"/>
              <w:jc w:val="center"/>
              <w:textAlignment w:val="center"/>
              <w:rPr>
                <w:rFonts w:eastAsia="仿宋"/>
              </w:rPr>
            </w:pPr>
            <w:r w:rsidRPr="00030223">
              <w:rPr>
                <w:rFonts w:eastAsia="仿宋" w:hint="eastAsia"/>
              </w:rPr>
              <w:t>/</w:t>
            </w:r>
          </w:p>
        </w:tc>
        <w:tc>
          <w:tcPr>
            <w:tcW w:w="367" w:type="pct"/>
            <w:tcBorders>
              <w:top w:val="single" w:sz="4" w:space="0" w:color="auto"/>
              <w:left w:val="single" w:sz="4" w:space="0" w:color="auto"/>
              <w:bottom w:val="single" w:sz="4" w:space="0" w:color="auto"/>
              <w:right w:val="single" w:sz="4" w:space="0" w:color="auto"/>
            </w:tcBorders>
          </w:tcPr>
          <w:p w14:paraId="1B57558B" w14:textId="5D9EDFC3" w:rsidR="00E101A2" w:rsidRDefault="00E101A2" w:rsidP="00E101A2">
            <w:pPr>
              <w:widowControl/>
              <w:adjustRightInd w:val="0"/>
              <w:snapToGrid w:val="0"/>
              <w:jc w:val="center"/>
              <w:textAlignment w:val="center"/>
              <w:rPr>
                <w:rFonts w:eastAsia="仿宋"/>
              </w:rPr>
            </w:pPr>
            <w:r w:rsidRPr="00030223">
              <w:rPr>
                <w:rFonts w:eastAsia="仿宋" w:hint="eastAsia"/>
              </w:rPr>
              <w:t>/</w:t>
            </w:r>
          </w:p>
        </w:tc>
        <w:tc>
          <w:tcPr>
            <w:tcW w:w="466" w:type="pct"/>
            <w:vMerge/>
            <w:tcBorders>
              <w:left w:val="single" w:sz="4" w:space="0" w:color="auto"/>
              <w:bottom w:val="single" w:sz="4" w:space="0" w:color="auto"/>
            </w:tcBorders>
            <w:vAlign w:val="center"/>
          </w:tcPr>
          <w:p w14:paraId="00798539" w14:textId="77777777" w:rsidR="00E101A2" w:rsidRDefault="00E101A2" w:rsidP="00E101A2">
            <w:pPr>
              <w:widowControl/>
              <w:adjustRightInd w:val="0"/>
              <w:snapToGrid w:val="0"/>
              <w:jc w:val="center"/>
              <w:textAlignment w:val="center"/>
              <w:rPr>
                <w:rFonts w:ascii="仿宋" w:eastAsia="仿宋" w:hAnsi="仿宋" w:cs="仿宋" w:hint="eastAsia"/>
              </w:rPr>
            </w:pPr>
          </w:p>
        </w:tc>
      </w:tr>
      <w:tr w:rsidR="00E101A2" w:rsidRPr="00D32158" w14:paraId="57528E8E" w14:textId="77777777" w:rsidTr="00E101A2">
        <w:trPr>
          <w:trHeight w:val="57"/>
          <w:jc w:val="center"/>
        </w:trPr>
        <w:tc>
          <w:tcPr>
            <w:tcW w:w="708" w:type="pct"/>
            <w:vMerge w:val="restart"/>
            <w:tcBorders>
              <w:top w:val="single" w:sz="4" w:space="0" w:color="auto"/>
              <w:right w:val="single" w:sz="4" w:space="0" w:color="auto"/>
            </w:tcBorders>
            <w:vAlign w:val="center"/>
          </w:tcPr>
          <w:p w14:paraId="31E6A6CD" w14:textId="698E7DC5" w:rsidR="00E101A2" w:rsidRPr="00D32158" w:rsidRDefault="00E101A2" w:rsidP="00E101A2">
            <w:pPr>
              <w:widowControl/>
              <w:adjustRightInd w:val="0"/>
              <w:snapToGrid w:val="0"/>
              <w:jc w:val="center"/>
              <w:textAlignment w:val="center"/>
            </w:pPr>
            <w:r w:rsidRPr="00D32158">
              <w:t>菌落总数</w:t>
            </w:r>
          </w:p>
        </w:tc>
        <w:tc>
          <w:tcPr>
            <w:tcW w:w="586" w:type="pct"/>
            <w:vAlign w:val="center"/>
          </w:tcPr>
          <w:p w14:paraId="304C74D9" w14:textId="797AF846" w:rsidR="00E101A2" w:rsidRPr="00D32158" w:rsidRDefault="00E101A2" w:rsidP="00E101A2">
            <w:pPr>
              <w:adjustRightInd w:val="0"/>
              <w:snapToGrid w:val="0"/>
              <w:jc w:val="center"/>
            </w:pPr>
            <w:r>
              <w:rPr>
                <w:rFonts w:hint="eastAsia"/>
              </w:rPr>
              <w:t>监测值</w:t>
            </w:r>
          </w:p>
        </w:tc>
        <w:tc>
          <w:tcPr>
            <w:tcW w:w="478" w:type="pct"/>
            <w:vMerge w:val="restart"/>
            <w:tcBorders>
              <w:top w:val="single" w:sz="4" w:space="0" w:color="auto"/>
              <w:left w:val="single" w:sz="4" w:space="0" w:color="auto"/>
              <w:right w:val="single" w:sz="4" w:space="0" w:color="auto"/>
              <w:tl2br w:val="nil"/>
              <w:tr2bl w:val="nil"/>
            </w:tcBorders>
            <w:vAlign w:val="center"/>
          </w:tcPr>
          <w:p w14:paraId="7899C81B" w14:textId="512C6C88" w:rsidR="00E101A2" w:rsidRPr="00D32158" w:rsidRDefault="00E101A2" w:rsidP="00E101A2">
            <w:pPr>
              <w:adjustRightInd w:val="0"/>
              <w:snapToGrid w:val="0"/>
              <w:jc w:val="center"/>
            </w:pPr>
            <w:r w:rsidRPr="00D32158">
              <w:t>CFU/mL</w:t>
            </w:r>
          </w:p>
        </w:tc>
        <w:tc>
          <w:tcPr>
            <w:tcW w:w="402" w:type="pct"/>
            <w:tcBorders>
              <w:top w:val="single" w:sz="4" w:space="0" w:color="auto"/>
              <w:left w:val="single" w:sz="4" w:space="0" w:color="auto"/>
              <w:bottom w:val="single" w:sz="4" w:space="0" w:color="auto"/>
              <w:right w:val="single" w:sz="4" w:space="0" w:color="auto"/>
            </w:tcBorders>
            <w:vAlign w:val="center"/>
          </w:tcPr>
          <w:p w14:paraId="6A192113" w14:textId="2DCD8CA9" w:rsidR="00E101A2" w:rsidRPr="00D32158" w:rsidRDefault="00E101A2" w:rsidP="00E101A2">
            <w:pPr>
              <w:widowControl/>
              <w:adjustRightInd w:val="0"/>
              <w:snapToGrid w:val="0"/>
              <w:jc w:val="center"/>
              <w:textAlignment w:val="center"/>
              <w:rPr>
                <w:color w:val="000000"/>
                <w:sz w:val="22"/>
                <w:szCs w:val="22"/>
              </w:rPr>
            </w:pPr>
            <w:r>
              <w:rPr>
                <w:color w:val="000000"/>
              </w:rPr>
              <w:t>16</w:t>
            </w:r>
          </w:p>
        </w:tc>
        <w:tc>
          <w:tcPr>
            <w:tcW w:w="402" w:type="pct"/>
            <w:tcBorders>
              <w:top w:val="single" w:sz="4" w:space="0" w:color="auto"/>
              <w:left w:val="single" w:sz="4" w:space="0" w:color="auto"/>
              <w:bottom w:val="single" w:sz="4" w:space="0" w:color="auto"/>
              <w:right w:val="single" w:sz="4" w:space="0" w:color="auto"/>
            </w:tcBorders>
            <w:vAlign w:val="center"/>
          </w:tcPr>
          <w:p w14:paraId="6116CB8A" w14:textId="4A339911" w:rsidR="00E101A2" w:rsidRPr="00D32158" w:rsidRDefault="00E101A2" w:rsidP="00E101A2">
            <w:pPr>
              <w:widowControl/>
              <w:adjustRightInd w:val="0"/>
              <w:snapToGrid w:val="0"/>
              <w:jc w:val="center"/>
              <w:textAlignment w:val="center"/>
              <w:rPr>
                <w:color w:val="000000"/>
                <w:sz w:val="22"/>
                <w:szCs w:val="22"/>
              </w:rPr>
            </w:pPr>
            <w:r>
              <w:rPr>
                <w:color w:val="000000"/>
              </w:rPr>
              <w:t>18</w:t>
            </w:r>
          </w:p>
        </w:tc>
        <w:tc>
          <w:tcPr>
            <w:tcW w:w="402" w:type="pct"/>
            <w:tcBorders>
              <w:top w:val="single" w:sz="4" w:space="0" w:color="auto"/>
              <w:left w:val="single" w:sz="4" w:space="0" w:color="auto"/>
              <w:bottom w:val="single" w:sz="4" w:space="0" w:color="auto"/>
              <w:right w:val="single" w:sz="4" w:space="0" w:color="auto"/>
            </w:tcBorders>
            <w:vAlign w:val="center"/>
          </w:tcPr>
          <w:p w14:paraId="428B4DB7" w14:textId="3C7DA064" w:rsidR="00E101A2" w:rsidRPr="00D32158" w:rsidRDefault="00E101A2" w:rsidP="00E101A2">
            <w:pPr>
              <w:widowControl/>
              <w:adjustRightInd w:val="0"/>
              <w:snapToGrid w:val="0"/>
              <w:jc w:val="center"/>
              <w:textAlignment w:val="center"/>
              <w:rPr>
                <w:color w:val="000000"/>
                <w:sz w:val="22"/>
                <w:szCs w:val="22"/>
              </w:rPr>
            </w:pPr>
            <w:r>
              <w:rPr>
                <w:color w:val="000000"/>
              </w:rPr>
              <w:t>20</w:t>
            </w:r>
          </w:p>
        </w:tc>
        <w:tc>
          <w:tcPr>
            <w:tcW w:w="407" w:type="pct"/>
            <w:tcBorders>
              <w:top w:val="single" w:sz="4" w:space="0" w:color="auto"/>
              <w:left w:val="single" w:sz="4" w:space="0" w:color="auto"/>
              <w:bottom w:val="single" w:sz="4" w:space="0" w:color="auto"/>
              <w:right w:val="single" w:sz="4" w:space="0" w:color="auto"/>
            </w:tcBorders>
            <w:vAlign w:val="center"/>
          </w:tcPr>
          <w:p w14:paraId="7531447D" w14:textId="317A9B08" w:rsidR="00E101A2" w:rsidRPr="00D32158" w:rsidRDefault="00E101A2" w:rsidP="00E101A2">
            <w:pPr>
              <w:widowControl/>
              <w:adjustRightInd w:val="0"/>
              <w:snapToGrid w:val="0"/>
              <w:jc w:val="center"/>
              <w:textAlignment w:val="center"/>
              <w:rPr>
                <w:color w:val="000000"/>
                <w:kern w:val="0"/>
                <w:lang w:bidi="ar"/>
              </w:rPr>
            </w:pPr>
            <w:r>
              <w:rPr>
                <w:color w:val="000000"/>
              </w:rPr>
              <w:t>10</w:t>
            </w:r>
          </w:p>
        </w:tc>
        <w:tc>
          <w:tcPr>
            <w:tcW w:w="387" w:type="pct"/>
            <w:tcBorders>
              <w:top w:val="single" w:sz="4" w:space="0" w:color="auto"/>
              <w:left w:val="single" w:sz="4" w:space="0" w:color="auto"/>
              <w:bottom w:val="single" w:sz="4" w:space="0" w:color="auto"/>
              <w:right w:val="single" w:sz="4" w:space="0" w:color="auto"/>
            </w:tcBorders>
            <w:vAlign w:val="center"/>
          </w:tcPr>
          <w:p w14:paraId="7E1D5589" w14:textId="04184A18" w:rsidR="00E101A2" w:rsidRPr="00D32158" w:rsidRDefault="00E101A2" w:rsidP="00E101A2">
            <w:pPr>
              <w:widowControl/>
              <w:adjustRightInd w:val="0"/>
              <w:snapToGrid w:val="0"/>
              <w:jc w:val="center"/>
              <w:textAlignment w:val="center"/>
              <w:rPr>
                <w:color w:val="000000"/>
                <w:kern w:val="0"/>
                <w:lang w:bidi="ar"/>
              </w:rPr>
            </w:pPr>
            <w:r>
              <w:rPr>
                <w:color w:val="000000"/>
              </w:rPr>
              <w:t>15</w:t>
            </w:r>
          </w:p>
        </w:tc>
        <w:tc>
          <w:tcPr>
            <w:tcW w:w="395" w:type="pct"/>
            <w:tcBorders>
              <w:top w:val="single" w:sz="4" w:space="0" w:color="auto"/>
              <w:left w:val="single" w:sz="4" w:space="0" w:color="auto"/>
              <w:bottom w:val="single" w:sz="4" w:space="0" w:color="auto"/>
              <w:right w:val="single" w:sz="4" w:space="0" w:color="auto"/>
            </w:tcBorders>
            <w:vAlign w:val="center"/>
          </w:tcPr>
          <w:p w14:paraId="466758CA" w14:textId="36696C6F" w:rsidR="00E101A2" w:rsidRPr="00D32158" w:rsidRDefault="00E101A2" w:rsidP="00E101A2">
            <w:pPr>
              <w:widowControl/>
              <w:adjustRightInd w:val="0"/>
              <w:snapToGrid w:val="0"/>
              <w:jc w:val="center"/>
              <w:textAlignment w:val="center"/>
              <w:rPr>
                <w:color w:val="000000"/>
                <w:kern w:val="0"/>
                <w:lang w:bidi="ar"/>
              </w:rPr>
            </w:pPr>
            <w:r>
              <w:rPr>
                <w:color w:val="000000"/>
              </w:rPr>
              <w:t>13</w:t>
            </w:r>
          </w:p>
        </w:tc>
        <w:tc>
          <w:tcPr>
            <w:tcW w:w="367" w:type="pct"/>
            <w:tcBorders>
              <w:top w:val="single" w:sz="4" w:space="0" w:color="auto"/>
              <w:left w:val="single" w:sz="4" w:space="0" w:color="auto"/>
              <w:bottom w:val="single" w:sz="4" w:space="0" w:color="auto"/>
              <w:right w:val="single" w:sz="4" w:space="0" w:color="auto"/>
            </w:tcBorders>
            <w:vAlign w:val="center"/>
          </w:tcPr>
          <w:p w14:paraId="05C60624" w14:textId="73A2383C" w:rsidR="00E101A2" w:rsidRPr="00D32158" w:rsidRDefault="00E101A2" w:rsidP="00E101A2">
            <w:pPr>
              <w:widowControl/>
              <w:adjustRightInd w:val="0"/>
              <w:snapToGrid w:val="0"/>
              <w:jc w:val="center"/>
              <w:textAlignment w:val="center"/>
              <w:rPr>
                <w:color w:val="000000"/>
                <w:kern w:val="0"/>
                <w:lang w:bidi="ar"/>
              </w:rPr>
            </w:pPr>
            <w:r>
              <w:rPr>
                <w:color w:val="000000"/>
              </w:rPr>
              <w:t>12</w:t>
            </w:r>
          </w:p>
        </w:tc>
        <w:tc>
          <w:tcPr>
            <w:tcW w:w="466" w:type="pct"/>
            <w:vMerge w:val="restart"/>
            <w:tcBorders>
              <w:top w:val="single" w:sz="4" w:space="0" w:color="auto"/>
              <w:left w:val="single" w:sz="4" w:space="0" w:color="auto"/>
            </w:tcBorders>
            <w:vAlign w:val="center"/>
          </w:tcPr>
          <w:p w14:paraId="18E654DE" w14:textId="717A7420" w:rsidR="00E101A2" w:rsidRPr="00D32158" w:rsidRDefault="00E101A2" w:rsidP="00E101A2">
            <w:pPr>
              <w:widowControl/>
              <w:adjustRightInd w:val="0"/>
              <w:snapToGrid w:val="0"/>
              <w:jc w:val="center"/>
              <w:textAlignment w:val="center"/>
              <w:rPr>
                <w:color w:val="000000"/>
                <w:kern w:val="0"/>
                <w:lang w:bidi="ar"/>
              </w:rPr>
            </w:pPr>
            <w:r>
              <w:rPr>
                <w:rFonts w:ascii="仿宋" w:eastAsia="仿宋" w:hAnsi="仿宋" w:cs="仿宋" w:hint="eastAsia"/>
              </w:rPr>
              <w:t>≤</w:t>
            </w:r>
            <w:r>
              <w:t>100</w:t>
            </w:r>
          </w:p>
        </w:tc>
      </w:tr>
      <w:tr w:rsidR="00E101A2" w:rsidRPr="00D32158" w14:paraId="3F8AF5B0" w14:textId="77777777" w:rsidTr="00E101A2">
        <w:trPr>
          <w:trHeight w:val="57"/>
          <w:jc w:val="center"/>
        </w:trPr>
        <w:tc>
          <w:tcPr>
            <w:tcW w:w="708" w:type="pct"/>
            <w:vMerge/>
            <w:tcBorders>
              <w:bottom w:val="single" w:sz="4" w:space="0" w:color="auto"/>
              <w:right w:val="single" w:sz="4" w:space="0" w:color="auto"/>
            </w:tcBorders>
            <w:vAlign w:val="center"/>
          </w:tcPr>
          <w:p w14:paraId="3B9339F9" w14:textId="77777777" w:rsidR="00E101A2" w:rsidRPr="00D32158" w:rsidRDefault="00E101A2" w:rsidP="00E101A2">
            <w:pPr>
              <w:widowControl/>
              <w:adjustRightInd w:val="0"/>
              <w:snapToGrid w:val="0"/>
              <w:jc w:val="center"/>
              <w:textAlignment w:val="center"/>
            </w:pPr>
          </w:p>
        </w:tc>
        <w:tc>
          <w:tcPr>
            <w:tcW w:w="586" w:type="pct"/>
            <w:vAlign w:val="center"/>
          </w:tcPr>
          <w:p w14:paraId="201B73D7" w14:textId="7D93800D" w:rsidR="00E101A2" w:rsidRPr="00D32158" w:rsidRDefault="00E101A2" w:rsidP="00E101A2">
            <w:pPr>
              <w:adjustRightInd w:val="0"/>
              <w:snapToGrid w:val="0"/>
              <w:jc w:val="center"/>
            </w:pPr>
            <w:r>
              <w:rPr>
                <w:rFonts w:hint="eastAsia"/>
              </w:rPr>
              <w:t>标准指数</w:t>
            </w:r>
          </w:p>
        </w:tc>
        <w:tc>
          <w:tcPr>
            <w:tcW w:w="478" w:type="pct"/>
            <w:vMerge/>
            <w:tcBorders>
              <w:left w:val="single" w:sz="4" w:space="0" w:color="auto"/>
              <w:bottom w:val="single" w:sz="4" w:space="0" w:color="auto"/>
              <w:right w:val="single" w:sz="4" w:space="0" w:color="auto"/>
              <w:tl2br w:val="nil"/>
              <w:tr2bl w:val="nil"/>
            </w:tcBorders>
            <w:vAlign w:val="center"/>
          </w:tcPr>
          <w:p w14:paraId="1A23DB07" w14:textId="002B81B4" w:rsidR="00E101A2" w:rsidRPr="00D32158" w:rsidRDefault="00E101A2" w:rsidP="00E101A2">
            <w:pPr>
              <w:adjustRightInd w:val="0"/>
              <w:snapToGrid w:val="0"/>
              <w:jc w:val="center"/>
            </w:pPr>
          </w:p>
        </w:tc>
        <w:tc>
          <w:tcPr>
            <w:tcW w:w="402" w:type="pct"/>
            <w:tcBorders>
              <w:top w:val="single" w:sz="4" w:space="0" w:color="auto"/>
              <w:left w:val="single" w:sz="4" w:space="0" w:color="auto"/>
              <w:bottom w:val="single" w:sz="4" w:space="0" w:color="auto"/>
              <w:right w:val="single" w:sz="4" w:space="0" w:color="auto"/>
            </w:tcBorders>
            <w:vAlign w:val="center"/>
          </w:tcPr>
          <w:p w14:paraId="6C965FA7" w14:textId="01EA0345" w:rsidR="00E101A2" w:rsidRPr="00D32158" w:rsidRDefault="00E101A2" w:rsidP="00E101A2">
            <w:pPr>
              <w:widowControl/>
              <w:adjustRightInd w:val="0"/>
              <w:snapToGrid w:val="0"/>
              <w:jc w:val="center"/>
              <w:textAlignment w:val="center"/>
              <w:rPr>
                <w:rFonts w:eastAsia="仿宋"/>
              </w:rPr>
            </w:pPr>
            <w:r>
              <w:rPr>
                <w:color w:val="000000"/>
              </w:rPr>
              <w:t>0.16</w:t>
            </w:r>
          </w:p>
        </w:tc>
        <w:tc>
          <w:tcPr>
            <w:tcW w:w="402" w:type="pct"/>
            <w:tcBorders>
              <w:top w:val="single" w:sz="4" w:space="0" w:color="auto"/>
              <w:left w:val="single" w:sz="4" w:space="0" w:color="auto"/>
              <w:bottom w:val="single" w:sz="4" w:space="0" w:color="auto"/>
              <w:right w:val="single" w:sz="4" w:space="0" w:color="auto"/>
            </w:tcBorders>
            <w:vAlign w:val="center"/>
          </w:tcPr>
          <w:p w14:paraId="5FE067C7" w14:textId="098C316E" w:rsidR="00E101A2" w:rsidRPr="00D32158" w:rsidRDefault="00E101A2" w:rsidP="00E101A2">
            <w:pPr>
              <w:widowControl/>
              <w:adjustRightInd w:val="0"/>
              <w:snapToGrid w:val="0"/>
              <w:jc w:val="center"/>
              <w:textAlignment w:val="center"/>
              <w:rPr>
                <w:rFonts w:eastAsia="仿宋"/>
              </w:rPr>
            </w:pPr>
            <w:r>
              <w:rPr>
                <w:color w:val="000000"/>
              </w:rPr>
              <w:t>0.18</w:t>
            </w:r>
          </w:p>
        </w:tc>
        <w:tc>
          <w:tcPr>
            <w:tcW w:w="402" w:type="pct"/>
            <w:tcBorders>
              <w:top w:val="single" w:sz="4" w:space="0" w:color="auto"/>
              <w:left w:val="single" w:sz="4" w:space="0" w:color="auto"/>
              <w:bottom w:val="single" w:sz="4" w:space="0" w:color="auto"/>
              <w:right w:val="single" w:sz="4" w:space="0" w:color="auto"/>
            </w:tcBorders>
            <w:vAlign w:val="center"/>
          </w:tcPr>
          <w:p w14:paraId="3EFA1C87" w14:textId="625107C0" w:rsidR="00E101A2" w:rsidRPr="00D32158" w:rsidRDefault="00E101A2" w:rsidP="00E101A2">
            <w:pPr>
              <w:widowControl/>
              <w:adjustRightInd w:val="0"/>
              <w:snapToGrid w:val="0"/>
              <w:jc w:val="center"/>
              <w:textAlignment w:val="center"/>
              <w:rPr>
                <w:rFonts w:eastAsia="仿宋"/>
              </w:rPr>
            </w:pPr>
            <w:r>
              <w:rPr>
                <w:color w:val="000000"/>
              </w:rPr>
              <w:t>0.2</w:t>
            </w:r>
          </w:p>
        </w:tc>
        <w:tc>
          <w:tcPr>
            <w:tcW w:w="407" w:type="pct"/>
            <w:tcBorders>
              <w:top w:val="single" w:sz="4" w:space="0" w:color="auto"/>
              <w:left w:val="single" w:sz="4" w:space="0" w:color="auto"/>
              <w:bottom w:val="single" w:sz="4" w:space="0" w:color="auto"/>
              <w:right w:val="single" w:sz="4" w:space="0" w:color="auto"/>
            </w:tcBorders>
            <w:vAlign w:val="center"/>
          </w:tcPr>
          <w:p w14:paraId="1C253BB7" w14:textId="59A349D3" w:rsidR="00E101A2" w:rsidRDefault="00E101A2" w:rsidP="00E101A2">
            <w:pPr>
              <w:widowControl/>
              <w:adjustRightInd w:val="0"/>
              <w:snapToGrid w:val="0"/>
              <w:jc w:val="center"/>
              <w:textAlignment w:val="center"/>
              <w:rPr>
                <w:rFonts w:eastAsia="仿宋"/>
              </w:rPr>
            </w:pPr>
            <w:r>
              <w:rPr>
                <w:color w:val="000000"/>
              </w:rPr>
              <w:t>0.1</w:t>
            </w:r>
          </w:p>
        </w:tc>
        <w:tc>
          <w:tcPr>
            <w:tcW w:w="387" w:type="pct"/>
            <w:tcBorders>
              <w:top w:val="single" w:sz="4" w:space="0" w:color="auto"/>
              <w:left w:val="single" w:sz="4" w:space="0" w:color="auto"/>
              <w:bottom w:val="single" w:sz="4" w:space="0" w:color="auto"/>
              <w:right w:val="single" w:sz="4" w:space="0" w:color="auto"/>
            </w:tcBorders>
            <w:vAlign w:val="center"/>
          </w:tcPr>
          <w:p w14:paraId="5B7098B2" w14:textId="68540296" w:rsidR="00E101A2" w:rsidRDefault="00E101A2" w:rsidP="00E101A2">
            <w:pPr>
              <w:widowControl/>
              <w:adjustRightInd w:val="0"/>
              <w:snapToGrid w:val="0"/>
              <w:jc w:val="center"/>
              <w:textAlignment w:val="center"/>
              <w:rPr>
                <w:rFonts w:eastAsia="仿宋"/>
              </w:rPr>
            </w:pPr>
            <w:r>
              <w:rPr>
                <w:color w:val="000000"/>
              </w:rPr>
              <w:t>0.15</w:t>
            </w:r>
          </w:p>
        </w:tc>
        <w:tc>
          <w:tcPr>
            <w:tcW w:w="395" w:type="pct"/>
            <w:tcBorders>
              <w:top w:val="single" w:sz="4" w:space="0" w:color="auto"/>
              <w:left w:val="single" w:sz="4" w:space="0" w:color="auto"/>
              <w:bottom w:val="single" w:sz="4" w:space="0" w:color="auto"/>
              <w:right w:val="single" w:sz="4" w:space="0" w:color="auto"/>
            </w:tcBorders>
            <w:vAlign w:val="center"/>
          </w:tcPr>
          <w:p w14:paraId="099ECDDE" w14:textId="79F413A6" w:rsidR="00E101A2" w:rsidRDefault="00E101A2" w:rsidP="00E101A2">
            <w:pPr>
              <w:widowControl/>
              <w:adjustRightInd w:val="0"/>
              <w:snapToGrid w:val="0"/>
              <w:jc w:val="center"/>
              <w:textAlignment w:val="center"/>
              <w:rPr>
                <w:rFonts w:eastAsia="仿宋"/>
              </w:rPr>
            </w:pPr>
            <w:r>
              <w:rPr>
                <w:color w:val="000000"/>
              </w:rPr>
              <w:t>0.13</w:t>
            </w:r>
          </w:p>
        </w:tc>
        <w:tc>
          <w:tcPr>
            <w:tcW w:w="367" w:type="pct"/>
            <w:tcBorders>
              <w:top w:val="single" w:sz="4" w:space="0" w:color="auto"/>
              <w:left w:val="single" w:sz="4" w:space="0" w:color="auto"/>
              <w:bottom w:val="single" w:sz="4" w:space="0" w:color="auto"/>
              <w:right w:val="single" w:sz="4" w:space="0" w:color="auto"/>
            </w:tcBorders>
            <w:vAlign w:val="center"/>
          </w:tcPr>
          <w:p w14:paraId="2C4C7206" w14:textId="23A2BB5F" w:rsidR="00E101A2" w:rsidRDefault="00E101A2" w:rsidP="00E101A2">
            <w:pPr>
              <w:widowControl/>
              <w:adjustRightInd w:val="0"/>
              <w:snapToGrid w:val="0"/>
              <w:jc w:val="center"/>
              <w:textAlignment w:val="center"/>
              <w:rPr>
                <w:rFonts w:eastAsia="仿宋"/>
              </w:rPr>
            </w:pPr>
            <w:r>
              <w:rPr>
                <w:color w:val="000000"/>
              </w:rPr>
              <w:t>0.12</w:t>
            </w:r>
          </w:p>
        </w:tc>
        <w:tc>
          <w:tcPr>
            <w:tcW w:w="466" w:type="pct"/>
            <w:vMerge/>
            <w:tcBorders>
              <w:left w:val="single" w:sz="4" w:space="0" w:color="auto"/>
              <w:bottom w:val="single" w:sz="4" w:space="0" w:color="auto"/>
            </w:tcBorders>
            <w:vAlign w:val="center"/>
          </w:tcPr>
          <w:p w14:paraId="0BBF28C0" w14:textId="77777777" w:rsidR="00E101A2" w:rsidRDefault="00E101A2" w:rsidP="00E101A2">
            <w:pPr>
              <w:widowControl/>
              <w:adjustRightInd w:val="0"/>
              <w:snapToGrid w:val="0"/>
              <w:jc w:val="center"/>
              <w:textAlignment w:val="center"/>
              <w:rPr>
                <w:rFonts w:ascii="仿宋" w:eastAsia="仿宋" w:hAnsi="仿宋" w:cs="仿宋" w:hint="eastAsia"/>
              </w:rPr>
            </w:pPr>
          </w:p>
        </w:tc>
      </w:tr>
      <w:tr w:rsidR="00E101A2" w:rsidRPr="00D32158" w14:paraId="5E2904EC" w14:textId="77777777" w:rsidTr="00E101A2">
        <w:trPr>
          <w:trHeight w:val="57"/>
          <w:jc w:val="center"/>
        </w:trPr>
        <w:tc>
          <w:tcPr>
            <w:tcW w:w="708" w:type="pct"/>
            <w:vMerge w:val="restart"/>
            <w:tcBorders>
              <w:top w:val="single" w:sz="4" w:space="0" w:color="auto"/>
              <w:right w:val="single" w:sz="4" w:space="0" w:color="auto"/>
            </w:tcBorders>
            <w:vAlign w:val="center"/>
          </w:tcPr>
          <w:p w14:paraId="6942E8E7" w14:textId="11440763" w:rsidR="00E101A2" w:rsidRPr="00D32158" w:rsidRDefault="00E101A2" w:rsidP="00E101A2">
            <w:pPr>
              <w:widowControl/>
              <w:adjustRightInd w:val="0"/>
              <w:snapToGrid w:val="0"/>
              <w:jc w:val="center"/>
              <w:textAlignment w:val="center"/>
            </w:pPr>
            <w:r w:rsidRPr="00D32158">
              <w:t>石油类</w:t>
            </w:r>
          </w:p>
        </w:tc>
        <w:tc>
          <w:tcPr>
            <w:tcW w:w="586" w:type="pct"/>
            <w:vAlign w:val="center"/>
          </w:tcPr>
          <w:p w14:paraId="6E0124B5" w14:textId="1EA45ED9" w:rsidR="00E101A2" w:rsidRPr="00D32158" w:rsidRDefault="00E101A2" w:rsidP="00E101A2">
            <w:pPr>
              <w:adjustRightInd w:val="0"/>
              <w:snapToGrid w:val="0"/>
              <w:jc w:val="center"/>
            </w:pPr>
            <w:r>
              <w:rPr>
                <w:rFonts w:hint="eastAsia"/>
              </w:rPr>
              <w:t>监测值</w:t>
            </w:r>
          </w:p>
        </w:tc>
        <w:tc>
          <w:tcPr>
            <w:tcW w:w="478" w:type="pct"/>
            <w:vMerge w:val="restart"/>
            <w:tcBorders>
              <w:top w:val="single" w:sz="4" w:space="0" w:color="auto"/>
              <w:left w:val="single" w:sz="4" w:space="0" w:color="auto"/>
              <w:right w:val="single" w:sz="4" w:space="0" w:color="auto"/>
              <w:tl2br w:val="nil"/>
              <w:tr2bl w:val="nil"/>
            </w:tcBorders>
            <w:vAlign w:val="center"/>
          </w:tcPr>
          <w:p w14:paraId="46EDD0FE" w14:textId="5837C158" w:rsidR="00E101A2" w:rsidRPr="00D32158" w:rsidRDefault="00E101A2" w:rsidP="00E101A2">
            <w:pPr>
              <w:adjustRightInd w:val="0"/>
              <w:snapToGrid w:val="0"/>
              <w:jc w:val="center"/>
            </w:pPr>
            <w:r w:rsidRPr="00D32158">
              <w:t>mg/L</w:t>
            </w:r>
          </w:p>
        </w:tc>
        <w:tc>
          <w:tcPr>
            <w:tcW w:w="402" w:type="pct"/>
            <w:tcBorders>
              <w:top w:val="single" w:sz="4" w:space="0" w:color="auto"/>
              <w:left w:val="single" w:sz="4" w:space="0" w:color="auto"/>
              <w:bottom w:val="single" w:sz="4" w:space="0" w:color="auto"/>
              <w:right w:val="single" w:sz="4" w:space="0" w:color="auto"/>
            </w:tcBorders>
            <w:vAlign w:val="center"/>
          </w:tcPr>
          <w:p w14:paraId="7F85F157" w14:textId="19600988" w:rsidR="00E101A2" w:rsidRPr="00D32158" w:rsidRDefault="00E101A2" w:rsidP="00E101A2">
            <w:pPr>
              <w:widowControl/>
              <w:adjustRightInd w:val="0"/>
              <w:snapToGrid w:val="0"/>
              <w:jc w:val="center"/>
              <w:textAlignment w:val="center"/>
              <w:rPr>
                <w:color w:val="000000"/>
                <w:sz w:val="22"/>
                <w:szCs w:val="22"/>
              </w:rPr>
            </w:pPr>
            <w:r>
              <w:rPr>
                <w:color w:val="000000"/>
              </w:rPr>
              <w:t>0.01L</w:t>
            </w:r>
          </w:p>
        </w:tc>
        <w:tc>
          <w:tcPr>
            <w:tcW w:w="402" w:type="pct"/>
            <w:tcBorders>
              <w:top w:val="single" w:sz="4" w:space="0" w:color="auto"/>
              <w:left w:val="single" w:sz="4" w:space="0" w:color="auto"/>
              <w:bottom w:val="single" w:sz="4" w:space="0" w:color="auto"/>
              <w:right w:val="single" w:sz="4" w:space="0" w:color="auto"/>
            </w:tcBorders>
            <w:vAlign w:val="center"/>
          </w:tcPr>
          <w:p w14:paraId="50889575" w14:textId="69428441" w:rsidR="00E101A2" w:rsidRPr="00D32158" w:rsidRDefault="00E101A2" w:rsidP="00E101A2">
            <w:pPr>
              <w:widowControl/>
              <w:adjustRightInd w:val="0"/>
              <w:snapToGrid w:val="0"/>
              <w:jc w:val="center"/>
              <w:textAlignment w:val="center"/>
              <w:rPr>
                <w:color w:val="000000"/>
                <w:sz w:val="22"/>
                <w:szCs w:val="22"/>
              </w:rPr>
            </w:pPr>
            <w:r>
              <w:rPr>
                <w:color w:val="000000"/>
              </w:rPr>
              <w:t>0.01L</w:t>
            </w:r>
          </w:p>
        </w:tc>
        <w:tc>
          <w:tcPr>
            <w:tcW w:w="402" w:type="pct"/>
            <w:tcBorders>
              <w:top w:val="single" w:sz="4" w:space="0" w:color="auto"/>
              <w:left w:val="single" w:sz="4" w:space="0" w:color="auto"/>
              <w:bottom w:val="single" w:sz="4" w:space="0" w:color="auto"/>
              <w:right w:val="single" w:sz="4" w:space="0" w:color="auto"/>
            </w:tcBorders>
            <w:vAlign w:val="center"/>
          </w:tcPr>
          <w:p w14:paraId="22DA9747" w14:textId="0CA0CDD4" w:rsidR="00E101A2" w:rsidRPr="00D32158" w:rsidRDefault="00E101A2" w:rsidP="00E101A2">
            <w:pPr>
              <w:widowControl/>
              <w:adjustRightInd w:val="0"/>
              <w:snapToGrid w:val="0"/>
              <w:jc w:val="center"/>
              <w:textAlignment w:val="center"/>
              <w:rPr>
                <w:color w:val="000000"/>
                <w:sz w:val="22"/>
                <w:szCs w:val="22"/>
              </w:rPr>
            </w:pPr>
            <w:r>
              <w:rPr>
                <w:color w:val="000000"/>
              </w:rPr>
              <w:t>0.01L</w:t>
            </w:r>
          </w:p>
        </w:tc>
        <w:tc>
          <w:tcPr>
            <w:tcW w:w="407" w:type="pct"/>
            <w:tcBorders>
              <w:top w:val="single" w:sz="4" w:space="0" w:color="auto"/>
              <w:left w:val="single" w:sz="4" w:space="0" w:color="auto"/>
              <w:bottom w:val="single" w:sz="4" w:space="0" w:color="auto"/>
              <w:right w:val="single" w:sz="4" w:space="0" w:color="auto"/>
            </w:tcBorders>
            <w:vAlign w:val="center"/>
          </w:tcPr>
          <w:p w14:paraId="36EA363E" w14:textId="2A382EDC" w:rsidR="00E101A2" w:rsidRPr="00D32158" w:rsidRDefault="00E101A2" w:rsidP="00E101A2">
            <w:pPr>
              <w:widowControl/>
              <w:adjustRightInd w:val="0"/>
              <w:snapToGrid w:val="0"/>
              <w:jc w:val="center"/>
              <w:textAlignment w:val="center"/>
              <w:rPr>
                <w:color w:val="000000"/>
                <w:kern w:val="0"/>
                <w:lang w:bidi="ar"/>
              </w:rPr>
            </w:pPr>
            <w:r>
              <w:rPr>
                <w:color w:val="000000"/>
              </w:rPr>
              <w:t>0.01L</w:t>
            </w:r>
          </w:p>
        </w:tc>
        <w:tc>
          <w:tcPr>
            <w:tcW w:w="387" w:type="pct"/>
            <w:tcBorders>
              <w:top w:val="single" w:sz="4" w:space="0" w:color="auto"/>
              <w:left w:val="single" w:sz="4" w:space="0" w:color="auto"/>
              <w:bottom w:val="single" w:sz="4" w:space="0" w:color="auto"/>
              <w:right w:val="single" w:sz="4" w:space="0" w:color="auto"/>
            </w:tcBorders>
            <w:vAlign w:val="center"/>
          </w:tcPr>
          <w:p w14:paraId="522FABE2" w14:textId="3654FEA3" w:rsidR="00E101A2" w:rsidRPr="00D32158" w:rsidRDefault="00E101A2" w:rsidP="00E101A2">
            <w:pPr>
              <w:widowControl/>
              <w:adjustRightInd w:val="0"/>
              <w:snapToGrid w:val="0"/>
              <w:jc w:val="center"/>
              <w:textAlignment w:val="center"/>
              <w:rPr>
                <w:color w:val="000000"/>
                <w:kern w:val="0"/>
                <w:lang w:bidi="ar"/>
              </w:rPr>
            </w:pPr>
            <w:r>
              <w:rPr>
                <w:color w:val="000000"/>
              </w:rPr>
              <w:t>0.01L</w:t>
            </w:r>
          </w:p>
        </w:tc>
        <w:tc>
          <w:tcPr>
            <w:tcW w:w="395" w:type="pct"/>
            <w:tcBorders>
              <w:top w:val="single" w:sz="4" w:space="0" w:color="auto"/>
              <w:left w:val="single" w:sz="4" w:space="0" w:color="auto"/>
              <w:bottom w:val="single" w:sz="4" w:space="0" w:color="auto"/>
              <w:right w:val="single" w:sz="4" w:space="0" w:color="auto"/>
            </w:tcBorders>
            <w:vAlign w:val="center"/>
          </w:tcPr>
          <w:p w14:paraId="09E1E242" w14:textId="6B3F99ED" w:rsidR="00E101A2" w:rsidRPr="00D32158" w:rsidRDefault="00E101A2" w:rsidP="00E101A2">
            <w:pPr>
              <w:widowControl/>
              <w:adjustRightInd w:val="0"/>
              <w:snapToGrid w:val="0"/>
              <w:jc w:val="center"/>
              <w:textAlignment w:val="center"/>
              <w:rPr>
                <w:color w:val="000000"/>
                <w:kern w:val="0"/>
                <w:lang w:bidi="ar"/>
              </w:rPr>
            </w:pPr>
            <w:r>
              <w:rPr>
                <w:color w:val="000000"/>
              </w:rPr>
              <w:t>0.01L</w:t>
            </w:r>
          </w:p>
        </w:tc>
        <w:tc>
          <w:tcPr>
            <w:tcW w:w="367" w:type="pct"/>
            <w:tcBorders>
              <w:top w:val="single" w:sz="4" w:space="0" w:color="auto"/>
              <w:left w:val="single" w:sz="4" w:space="0" w:color="auto"/>
              <w:bottom w:val="single" w:sz="4" w:space="0" w:color="auto"/>
              <w:right w:val="single" w:sz="4" w:space="0" w:color="auto"/>
            </w:tcBorders>
            <w:vAlign w:val="center"/>
          </w:tcPr>
          <w:p w14:paraId="39B1B9B2" w14:textId="7E377C19" w:rsidR="00E101A2" w:rsidRPr="00D32158" w:rsidRDefault="00E101A2" w:rsidP="00E101A2">
            <w:pPr>
              <w:widowControl/>
              <w:adjustRightInd w:val="0"/>
              <w:snapToGrid w:val="0"/>
              <w:jc w:val="center"/>
              <w:textAlignment w:val="center"/>
              <w:rPr>
                <w:color w:val="000000"/>
                <w:kern w:val="0"/>
                <w:lang w:bidi="ar"/>
              </w:rPr>
            </w:pPr>
            <w:r>
              <w:rPr>
                <w:color w:val="000000"/>
              </w:rPr>
              <w:t>0.01L</w:t>
            </w:r>
          </w:p>
        </w:tc>
        <w:tc>
          <w:tcPr>
            <w:tcW w:w="466" w:type="pct"/>
            <w:vMerge w:val="restart"/>
            <w:tcBorders>
              <w:top w:val="single" w:sz="4" w:space="0" w:color="auto"/>
              <w:left w:val="single" w:sz="4" w:space="0" w:color="auto"/>
            </w:tcBorders>
            <w:vAlign w:val="center"/>
          </w:tcPr>
          <w:p w14:paraId="722DB295" w14:textId="227A1F29" w:rsidR="00E101A2" w:rsidRPr="00D32158" w:rsidRDefault="00E101A2" w:rsidP="00E101A2">
            <w:pPr>
              <w:widowControl/>
              <w:adjustRightInd w:val="0"/>
              <w:snapToGrid w:val="0"/>
              <w:jc w:val="center"/>
              <w:textAlignment w:val="center"/>
              <w:rPr>
                <w:color w:val="000000"/>
                <w:kern w:val="0"/>
                <w:lang w:bidi="ar"/>
              </w:rPr>
            </w:pPr>
            <w:r>
              <w:rPr>
                <w:rFonts w:ascii="仿宋" w:eastAsia="仿宋" w:hAnsi="仿宋" w:cs="仿宋"/>
              </w:rPr>
              <w:t>≤</w:t>
            </w:r>
            <w:r>
              <w:rPr>
                <w:rFonts w:eastAsia="仿宋"/>
              </w:rPr>
              <w:t>0.05</w:t>
            </w:r>
          </w:p>
        </w:tc>
      </w:tr>
      <w:tr w:rsidR="00E101A2" w:rsidRPr="00D32158" w14:paraId="57542F2C" w14:textId="77777777" w:rsidTr="00E101A2">
        <w:trPr>
          <w:trHeight w:val="57"/>
          <w:jc w:val="center"/>
        </w:trPr>
        <w:tc>
          <w:tcPr>
            <w:tcW w:w="708" w:type="pct"/>
            <w:vMerge/>
            <w:tcBorders>
              <w:right w:val="single" w:sz="4" w:space="0" w:color="auto"/>
            </w:tcBorders>
            <w:vAlign w:val="center"/>
          </w:tcPr>
          <w:p w14:paraId="63B7E3E6" w14:textId="77777777" w:rsidR="00E101A2" w:rsidRPr="00D32158" w:rsidRDefault="00E101A2" w:rsidP="00E101A2">
            <w:pPr>
              <w:widowControl/>
              <w:adjustRightInd w:val="0"/>
              <w:snapToGrid w:val="0"/>
              <w:jc w:val="center"/>
              <w:textAlignment w:val="center"/>
            </w:pPr>
          </w:p>
        </w:tc>
        <w:tc>
          <w:tcPr>
            <w:tcW w:w="586" w:type="pct"/>
            <w:vAlign w:val="center"/>
          </w:tcPr>
          <w:p w14:paraId="7E20439C" w14:textId="22D76282" w:rsidR="00E101A2" w:rsidRPr="00D32158" w:rsidRDefault="00E101A2" w:rsidP="00E101A2">
            <w:pPr>
              <w:adjustRightInd w:val="0"/>
              <w:snapToGrid w:val="0"/>
              <w:jc w:val="center"/>
            </w:pPr>
            <w:r>
              <w:rPr>
                <w:rFonts w:hint="eastAsia"/>
              </w:rPr>
              <w:t>标准指数</w:t>
            </w:r>
          </w:p>
        </w:tc>
        <w:tc>
          <w:tcPr>
            <w:tcW w:w="478" w:type="pct"/>
            <w:vMerge/>
            <w:tcBorders>
              <w:left w:val="single" w:sz="4" w:space="0" w:color="auto"/>
              <w:right w:val="single" w:sz="4" w:space="0" w:color="auto"/>
              <w:tl2br w:val="nil"/>
              <w:tr2bl w:val="nil"/>
            </w:tcBorders>
            <w:vAlign w:val="center"/>
          </w:tcPr>
          <w:p w14:paraId="20AED0CA" w14:textId="3CEA287E" w:rsidR="00E101A2" w:rsidRPr="00D32158" w:rsidRDefault="00E101A2" w:rsidP="00E101A2">
            <w:pPr>
              <w:adjustRightInd w:val="0"/>
              <w:snapToGrid w:val="0"/>
              <w:jc w:val="center"/>
            </w:pPr>
          </w:p>
        </w:tc>
        <w:tc>
          <w:tcPr>
            <w:tcW w:w="402" w:type="pct"/>
            <w:tcBorders>
              <w:left w:val="single" w:sz="4" w:space="0" w:color="auto"/>
            </w:tcBorders>
            <w:vAlign w:val="center"/>
          </w:tcPr>
          <w:p w14:paraId="6D8C8DE0" w14:textId="0FA7FC03" w:rsidR="00E101A2" w:rsidRPr="00D32158" w:rsidRDefault="00E101A2" w:rsidP="00E101A2">
            <w:pPr>
              <w:widowControl/>
              <w:adjustRightInd w:val="0"/>
              <w:snapToGrid w:val="0"/>
              <w:jc w:val="center"/>
              <w:textAlignment w:val="center"/>
              <w:rPr>
                <w:rFonts w:eastAsia="仿宋"/>
              </w:rPr>
            </w:pPr>
            <w:r>
              <w:rPr>
                <w:rFonts w:eastAsia="仿宋" w:hint="eastAsia"/>
              </w:rPr>
              <w:t>/</w:t>
            </w:r>
          </w:p>
        </w:tc>
        <w:tc>
          <w:tcPr>
            <w:tcW w:w="402" w:type="pct"/>
          </w:tcPr>
          <w:p w14:paraId="442BC8EE" w14:textId="46DA2F33" w:rsidR="00E101A2" w:rsidRPr="00D32158" w:rsidRDefault="00E101A2" w:rsidP="00E101A2">
            <w:pPr>
              <w:widowControl/>
              <w:adjustRightInd w:val="0"/>
              <w:snapToGrid w:val="0"/>
              <w:jc w:val="center"/>
              <w:textAlignment w:val="center"/>
              <w:rPr>
                <w:rFonts w:eastAsia="仿宋"/>
              </w:rPr>
            </w:pPr>
            <w:r w:rsidRPr="00030223">
              <w:rPr>
                <w:rFonts w:eastAsia="仿宋" w:hint="eastAsia"/>
              </w:rPr>
              <w:t>/</w:t>
            </w:r>
          </w:p>
        </w:tc>
        <w:tc>
          <w:tcPr>
            <w:tcW w:w="402" w:type="pct"/>
          </w:tcPr>
          <w:p w14:paraId="5EC8245B" w14:textId="3B519AFF" w:rsidR="00E101A2" w:rsidRPr="00D32158" w:rsidRDefault="00E101A2" w:rsidP="00E101A2">
            <w:pPr>
              <w:widowControl/>
              <w:adjustRightInd w:val="0"/>
              <w:snapToGrid w:val="0"/>
              <w:jc w:val="center"/>
              <w:textAlignment w:val="center"/>
              <w:rPr>
                <w:rFonts w:eastAsia="仿宋"/>
              </w:rPr>
            </w:pPr>
            <w:r w:rsidRPr="00030223">
              <w:rPr>
                <w:rFonts w:eastAsia="仿宋" w:hint="eastAsia"/>
              </w:rPr>
              <w:t>/</w:t>
            </w:r>
          </w:p>
        </w:tc>
        <w:tc>
          <w:tcPr>
            <w:tcW w:w="407" w:type="pct"/>
          </w:tcPr>
          <w:p w14:paraId="3F27A55A" w14:textId="44B3F42A" w:rsidR="00E101A2" w:rsidRDefault="00E101A2" w:rsidP="00E101A2">
            <w:pPr>
              <w:widowControl/>
              <w:adjustRightInd w:val="0"/>
              <w:snapToGrid w:val="0"/>
              <w:jc w:val="center"/>
              <w:textAlignment w:val="center"/>
              <w:rPr>
                <w:rFonts w:eastAsia="仿宋"/>
              </w:rPr>
            </w:pPr>
            <w:r w:rsidRPr="00030223">
              <w:rPr>
                <w:rFonts w:eastAsia="仿宋" w:hint="eastAsia"/>
              </w:rPr>
              <w:t>/</w:t>
            </w:r>
          </w:p>
        </w:tc>
        <w:tc>
          <w:tcPr>
            <w:tcW w:w="387" w:type="pct"/>
          </w:tcPr>
          <w:p w14:paraId="6EFF55EB" w14:textId="46AACCB1" w:rsidR="00E101A2" w:rsidRDefault="00E101A2" w:rsidP="00E101A2">
            <w:pPr>
              <w:widowControl/>
              <w:adjustRightInd w:val="0"/>
              <w:snapToGrid w:val="0"/>
              <w:jc w:val="center"/>
              <w:textAlignment w:val="center"/>
              <w:rPr>
                <w:rFonts w:eastAsia="仿宋"/>
              </w:rPr>
            </w:pPr>
            <w:r w:rsidRPr="00030223">
              <w:rPr>
                <w:rFonts w:eastAsia="仿宋" w:hint="eastAsia"/>
              </w:rPr>
              <w:t>/</w:t>
            </w:r>
          </w:p>
        </w:tc>
        <w:tc>
          <w:tcPr>
            <w:tcW w:w="395" w:type="pct"/>
          </w:tcPr>
          <w:p w14:paraId="54900B9C" w14:textId="217B8F8C" w:rsidR="00E101A2" w:rsidRDefault="00E101A2" w:rsidP="00E101A2">
            <w:pPr>
              <w:widowControl/>
              <w:adjustRightInd w:val="0"/>
              <w:snapToGrid w:val="0"/>
              <w:jc w:val="center"/>
              <w:textAlignment w:val="center"/>
              <w:rPr>
                <w:rFonts w:eastAsia="仿宋"/>
              </w:rPr>
            </w:pPr>
            <w:r w:rsidRPr="00030223">
              <w:rPr>
                <w:rFonts w:eastAsia="仿宋" w:hint="eastAsia"/>
              </w:rPr>
              <w:t>/</w:t>
            </w:r>
          </w:p>
        </w:tc>
        <w:tc>
          <w:tcPr>
            <w:tcW w:w="367" w:type="pct"/>
            <w:tcBorders>
              <w:right w:val="single" w:sz="4" w:space="0" w:color="auto"/>
            </w:tcBorders>
          </w:tcPr>
          <w:p w14:paraId="351A4799" w14:textId="1C3EC142" w:rsidR="00E101A2" w:rsidRDefault="00E101A2" w:rsidP="00E101A2">
            <w:pPr>
              <w:widowControl/>
              <w:adjustRightInd w:val="0"/>
              <w:snapToGrid w:val="0"/>
              <w:jc w:val="center"/>
              <w:textAlignment w:val="center"/>
              <w:rPr>
                <w:rFonts w:eastAsia="仿宋"/>
              </w:rPr>
            </w:pPr>
            <w:r w:rsidRPr="00030223">
              <w:rPr>
                <w:rFonts w:eastAsia="仿宋" w:hint="eastAsia"/>
              </w:rPr>
              <w:t>/</w:t>
            </w:r>
          </w:p>
        </w:tc>
        <w:tc>
          <w:tcPr>
            <w:tcW w:w="466" w:type="pct"/>
            <w:vMerge/>
            <w:tcBorders>
              <w:left w:val="single" w:sz="4" w:space="0" w:color="auto"/>
            </w:tcBorders>
            <w:vAlign w:val="center"/>
          </w:tcPr>
          <w:p w14:paraId="4C398FF3" w14:textId="77777777" w:rsidR="00E101A2" w:rsidRDefault="00E101A2" w:rsidP="00E101A2">
            <w:pPr>
              <w:widowControl/>
              <w:adjustRightInd w:val="0"/>
              <w:snapToGrid w:val="0"/>
              <w:jc w:val="center"/>
              <w:textAlignment w:val="center"/>
              <w:rPr>
                <w:rFonts w:ascii="仿宋" w:eastAsia="仿宋" w:hAnsi="仿宋" w:cs="仿宋" w:hint="eastAsia"/>
              </w:rPr>
            </w:pPr>
          </w:p>
        </w:tc>
      </w:tr>
      <w:tr w:rsidR="00E101A2" w:rsidRPr="00D32158" w14:paraId="0CD29499" w14:textId="77777777" w:rsidTr="00E101A2">
        <w:trPr>
          <w:trHeight w:val="57"/>
          <w:jc w:val="center"/>
        </w:trPr>
        <w:tc>
          <w:tcPr>
            <w:tcW w:w="5000" w:type="pct"/>
            <w:gridSpan w:val="11"/>
          </w:tcPr>
          <w:p w14:paraId="19A29248" w14:textId="36CEAFB5" w:rsidR="00E101A2" w:rsidRPr="006A2BC8" w:rsidRDefault="00E101A2" w:rsidP="006A2BC8">
            <w:pPr>
              <w:widowControl/>
              <w:adjustRightInd w:val="0"/>
              <w:snapToGrid w:val="0"/>
              <w:jc w:val="left"/>
              <w:textAlignment w:val="center"/>
              <w:rPr>
                <w:rFonts w:eastAsia="仿宋"/>
              </w:rPr>
            </w:pPr>
            <w:r w:rsidRPr="006A2BC8">
              <w:rPr>
                <w:rFonts w:eastAsia="仿宋"/>
              </w:rPr>
              <w:t>石油类执行《地表水环境质量标准》（</w:t>
            </w:r>
            <w:r w:rsidRPr="006A2BC8">
              <w:rPr>
                <w:rFonts w:eastAsia="仿宋"/>
              </w:rPr>
              <w:t>GB3838-2002</w:t>
            </w:r>
            <w:r w:rsidRPr="006A2BC8">
              <w:rPr>
                <w:rFonts w:eastAsia="仿宋"/>
              </w:rPr>
              <w:t>）</w:t>
            </w:r>
            <w:r w:rsidRPr="006A2BC8">
              <w:rPr>
                <w:rFonts w:eastAsia="仿宋"/>
              </w:rPr>
              <w:t>Ⅱ</w:t>
            </w:r>
            <w:r w:rsidRPr="006A2BC8">
              <w:rPr>
                <w:rFonts w:eastAsia="仿宋"/>
              </w:rPr>
              <w:t>类标准</w:t>
            </w:r>
            <w:r w:rsidRPr="006A2BC8">
              <w:rPr>
                <w:rFonts w:eastAsia="仿宋"/>
              </w:rPr>
              <w:t>≤0.05mg/L</w:t>
            </w:r>
          </w:p>
        </w:tc>
      </w:tr>
    </w:tbl>
    <w:p w14:paraId="6FA50718" w14:textId="77777777" w:rsidR="00621F05" w:rsidRDefault="00621F05" w:rsidP="00F17B4F">
      <w:pPr>
        <w:spacing w:beforeLines="50" w:before="120" w:line="360" w:lineRule="auto"/>
        <w:ind w:firstLineChars="200" w:firstLine="480"/>
        <w:jc w:val="left"/>
        <w:rPr>
          <w:sz w:val="24"/>
          <w:szCs w:val="26"/>
        </w:rPr>
        <w:sectPr w:rsidR="00621F05" w:rsidSect="00EA5215">
          <w:pgSz w:w="16838" w:h="11905" w:orient="landscape"/>
          <w:pgMar w:top="1474" w:right="1418" w:bottom="1474" w:left="1418" w:header="851" w:footer="851" w:gutter="113"/>
          <w:cols w:space="0"/>
          <w:docGrid w:linePitch="1"/>
        </w:sectPr>
      </w:pPr>
    </w:p>
    <w:p w14:paraId="056E4C92" w14:textId="06E45FE9" w:rsidR="00606029" w:rsidRDefault="00EA5B92" w:rsidP="00F17B4F">
      <w:pPr>
        <w:spacing w:beforeLines="50" w:before="120" w:line="360" w:lineRule="auto"/>
        <w:ind w:firstLineChars="200" w:firstLine="480"/>
        <w:jc w:val="left"/>
        <w:rPr>
          <w:sz w:val="24"/>
          <w:szCs w:val="24"/>
        </w:rPr>
      </w:pPr>
      <w:r>
        <w:rPr>
          <w:sz w:val="24"/>
          <w:szCs w:val="26"/>
        </w:rPr>
        <w:lastRenderedPageBreak/>
        <w:t>由上表地下水现状监测结果表明，各地下水点位现状监测点均满足《地下水质量标准》（</w:t>
      </w:r>
      <w:r>
        <w:rPr>
          <w:sz w:val="24"/>
          <w:szCs w:val="26"/>
        </w:rPr>
        <w:t>GB/T14848-2017</w:t>
      </w:r>
      <w:r>
        <w:rPr>
          <w:sz w:val="24"/>
          <w:szCs w:val="26"/>
        </w:rPr>
        <w:t>）中的</w:t>
      </w:r>
      <w:r>
        <w:rPr>
          <w:sz w:val="24"/>
          <w:szCs w:val="26"/>
        </w:rPr>
        <w:t>Ⅲ</w:t>
      </w:r>
      <w:r>
        <w:rPr>
          <w:sz w:val="24"/>
          <w:szCs w:val="26"/>
        </w:rPr>
        <w:t>类标准限值</w:t>
      </w:r>
      <w:r w:rsidR="005249DA">
        <w:rPr>
          <w:rFonts w:hint="eastAsia"/>
          <w:sz w:val="24"/>
          <w:szCs w:val="26"/>
        </w:rPr>
        <w:t>，</w:t>
      </w:r>
      <w:r w:rsidR="00A4213B">
        <w:rPr>
          <w:rFonts w:hint="eastAsia"/>
          <w:sz w:val="24"/>
          <w:szCs w:val="24"/>
        </w:rPr>
        <w:t>石油类满足</w:t>
      </w:r>
      <w:r>
        <w:rPr>
          <w:sz w:val="24"/>
          <w:szCs w:val="24"/>
        </w:rPr>
        <w:t>《</w:t>
      </w:r>
      <w:r w:rsidR="00A4213B">
        <w:rPr>
          <w:rFonts w:hint="eastAsia"/>
          <w:sz w:val="24"/>
          <w:szCs w:val="24"/>
        </w:rPr>
        <w:t>地表水环境</w:t>
      </w:r>
      <w:r>
        <w:rPr>
          <w:sz w:val="24"/>
          <w:szCs w:val="24"/>
        </w:rPr>
        <w:t>质量标准》（</w:t>
      </w:r>
      <w:r>
        <w:rPr>
          <w:sz w:val="24"/>
          <w:szCs w:val="24"/>
        </w:rPr>
        <w:t>GB</w:t>
      </w:r>
      <w:r w:rsidR="00A4213B">
        <w:rPr>
          <w:rFonts w:hint="eastAsia"/>
          <w:sz w:val="24"/>
          <w:szCs w:val="24"/>
        </w:rPr>
        <w:t>3838</w:t>
      </w:r>
      <w:r>
        <w:rPr>
          <w:sz w:val="24"/>
          <w:szCs w:val="24"/>
        </w:rPr>
        <w:t>-20</w:t>
      </w:r>
      <w:r w:rsidR="00A4213B">
        <w:rPr>
          <w:rFonts w:hint="eastAsia"/>
          <w:sz w:val="24"/>
          <w:szCs w:val="24"/>
        </w:rPr>
        <w:t>02</w:t>
      </w:r>
      <w:r>
        <w:rPr>
          <w:sz w:val="24"/>
          <w:szCs w:val="24"/>
        </w:rPr>
        <w:t>）中的</w:t>
      </w:r>
      <w:r w:rsidR="005249DA" w:rsidRPr="006A2BC8">
        <w:rPr>
          <w:rFonts w:eastAsia="仿宋"/>
        </w:rPr>
        <w:t>Ⅱ</w:t>
      </w:r>
      <w:r>
        <w:rPr>
          <w:sz w:val="24"/>
          <w:szCs w:val="24"/>
        </w:rPr>
        <w:t>类标准限值。</w:t>
      </w:r>
    </w:p>
    <w:p w14:paraId="737C2BCB" w14:textId="77777777" w:rsidR="00606029" w:rsidRPr="005249DA" w:rsidRDefault="00606029">
      <w:pPr>
        <w:spacing w:line="360" w:lineRule="auto"/>
        <w:ind w:firstLineChars="200" w:firstLine="480"/>
        <w:jc w:val="left"/>
        <w:rPr>
          <w:sz w:val="24"/>
          <w:szCs w:val="24"/>
        </w:rPr>
        <w:sectPr w:rsidR="00606029" w:rsidRPr="005249DA" w:rsidSect="00EA5215">
          <w:pgSz w:w="11905" w:h="16838"/>
          <w:pgMar w:top="1417" w:right="1474" w:bottom="1417" w:left="1474" w:header="850" w:footer="850" w:gutter="113"/>
          <w:cols w:space="0"/>
          <w:docGrid w:linePitch="1"/>
        </w:sectPr>
      </w:pPr>
    </w:p>
    <w:p w14:paraId="7DA8F1C5" w14:textId="77777777" w:rsidR="00606029" w:rsidRDefault="00EA5B92">
      <w:pPr>
        <w:pStyle w:val="2"/>
      </w:pPr>
      <w:bookmarkStart w:id="213" w:name="_Toc3771"/>
      <w:bookmarkStart w:id="214" w:name="_Toc220680516"/>
      <w:r>
        <w:lastRenderedPageBreak/>
        <w:t>5.3</w:t>
      </w:r>
      <w:bookmarkStart w:id="215" w:name="_Toc81644767"/>
      <w:bookmarkStart w:id="216" w:name="_Toc131045888"/>
      <w:bookmarkStart w:id="217" w:name="_Toc141849897"/>
      <w:bookmarkStart w:id="218" w:name="_Toc64969318"/>
      <w:r>
        <w:t>环境空气质量现状调查与评价</w:t>
      </w:r>
      <w:bookmarkEnd w:id="213"/>
      <w:bookmarkEnd w:id="214"/>
    </w:p>
    <w:bookmarkEnd w:id="215"/>
    <w:bookmarkEnd w:id="216"/>
    <w:bookmarkEnd w:id="217"/>
    <w:bookmarkEnd w:id="218"/>
    <w:p w14:paraId="5550097A" w14:textId="77777777" w:rsidR="00606029" w:rsidRDefault="00EA5B92">
      <w:pPr>
        <w:widowControl/>
        <w:autoSpaceDE w:val="0"/>
        <w:autoSpaceDN w:val="0"/>
        <w:adjustRightInd w:val="0"/>
        <w:snapToGrid w:val="0"/>
        <w:spacing w:line="360" w:lineRule="auto"/>
        <w:ind w:firstLineChars="200" w:firstLine="480"/>
        <w:textAlignment w:val="baseline"/>
        <w:rPr>
          <w:snapToGrid w:val="0"/>
          <w:color w:val="000000"/>
          <w:kern w:val="0"/>
          <w:sz w:val="24"/>
        </w:rPr>
      </w:pPr>
      <w:r>
        <w:rPr>
          <w:snapToGrid w:val="0"/>
          <w:color w:val="000000"/>
          <w:kern w:val="0"/>
          <w:sz w:val="24"/>
        </w:rPr>
        <w:t>（</w:t>
      </w:r>
      <w:r>
        <w:rPr>
          <w:snapToGrid w:val="0"/>
          <w:color w:val="000000"/>
          <w:kern w:val="0"/>
          <w:sz w:val="24"/>
        </w:rPr>
        <w:t>1</w:t>
      </w:r>
      <w:r>
        <w:rPr>
          <w:snapToGrid w:val="0"/>
          <w:color w:val="000000"/>
          <w:kern w:val="0"/>
          <w:sz w:val="24"/>
        </w:rPr>
        <w:t>）项目所在区域空气环境质量情况</w:t>
      </w:r>
    </w:p>
    <w:p w14:paraId="4082D176" w14:textId="77777777" w:rsidR="00DD05DF" w:rsidRPr="00DD05DF" w:rsidRDefault="00DD05DF" w:rsidP="00DD05DF">
      <w:pPr>
        <w:spacing w:beforeLines="50" w:before="120" w:line="360" w:lineRule="auto"/>
        <w:ind w:firstLineChars="200" w:firstLine="480"/>
        <w:jc w:val="left"/>
        <w:rPr>
          <w:sz w:val="24"/>
          <w:szCs w:val="24"/>
        </w:rPr>
      </w:pPr>
      <w:r w:rsidRPr="00DD05DF">
        <w:rPr>
          <w:rFonts w:hint="eastAsia"/>
          <w:sz w:val="24"/>
          <w:szCs w:val="24"/>
        </w:rPr>
        <w:t>根据《</w:t>
      </w:r>
      <w:r w:rsidRPr="00DD05DF">
        <w:rPr>
          <w:rFonts w:hint="eastAsia"/>
          <w:sz w:val="24"/>
          <w:szCs w:val="24"/>
        </w:rPr>
        <w:t>2024</w:t>
      </w:r>
      <w:r w:rsidRPr="00DD05DF">
        <w:rPr>
          <w:rFonts w:hint="eastAsia"/>
          <w:sz w:val="24"/>
          <w:szCs w:val="24"/>
        </w:rPr>
        <w:t>年大庆市生态环境状况公报》，</w:t>
      </w:r>
      <w:r w:rsidRPr="00DD05DF">
        <w:rPr>
          <w:rFonts w:hint="eastAsia"/>
          <w:sz w:val="24"/>
          <w:szCs w:val="24"/>
        </w:rPr>
        <w:t>2024</w:t>
      </w:r>
      <w:r w:rsidRPr="00DD05DF">
        <w:rPr>
          <w:rFonts w:hint="eastAsia"/>
          <w:sz w:val="24"/>
          <w:szCs w:val="24"/>
        </w:rPr>
        <w:t>年，大庆市共进行了</w:t>
      </w:r>
      <w:r w:rsidRPr="00DD05DF">
        <w:rPr>
          <w:rFonts w:hint="eastAsia"/>
          <w:sz w:val="24"/>
          <w:szCs w:val="24"/>
        </w:rPr>
        <w:t>366</w:t>
      </w:r>
      <w:r w:rsidRPr="00DD05DF">
        <w:rPr>
          <w:rFonts w:hint="eastAsia"/>
          <w:sz w:val="24"/>
          <w:szCs w:val="24"/>
        </w:rPr>
        <w:t>天有效环境空气质量自动监测，其中：全年环境空气质量优良天数为</w:t>
      </w:r>
      <w:r w:rsidRPr="00DD05DF">
        <w:rPr>
          <w:rFonts w:hint="eastAsia"/>
          <w:sz w:val="24"/>
          <w:szCs w:val="24"/>
        </w:rPr>
        <w:t>337</w:t>
      </w:r>
      <w:r w:rsidRPr="00DD05DF">
        <w:rPr>
          <w:rFonts w:hint="eastAsia"/>
          <w:sz w:val="24"/>
          <w:szCs w:val="24"/>
        </w:rPr>
        <w:t>天，优良天数比例为</w:t>
      </w:r>
      <w:r w:rsidRPr="00DD05DF">
        <w:rPr>
          <w:rFonts w:hint="eastAsia"/>
          <w:sz w:val="24"/>
          <w:szCs w:val="24"/>
        </w:rPr>
        <w:t>92.1%</w:t>
      </w:r>
      <w:r w:rsidRPr="00DD05DF">
        <w:rPr>
          <w:rFonts w:hint="eastAsia"/>
          <w:sz w:val="24"/>
          <w:szCs w:val="24"/>
        </w:rPr>
        <w:t>。</w:t>
      </w:r>
    </w:p>
    <w:p w14:paraId="75AA7255" w14:textId="77777777" w:rsidR="00DD05DF" w:rsidRPr="00DD05DF" w:rsidRDefault="00DD05DF" w:rsidP="00DD05DF">
      <w:pPr>
        <w:spacing w:beforeLines="50" w:before="120" w:line="360" w:lineRule="auto"/>
        <w:ind w:firstLineChars="200" w:firstLine="480"/>
        <w:jc w:val="left"/>
        <w:rPr>
          <w:sz w:val="24"/>
          <w:szCs w:val="24"/>
        </w:rPr>
      </w:pPr>
      <w:r w:rsidRPr="00DD05DF">
        <w:rPr>
          <w:rFonts w:hint="eastAsia"/>
          <w:sz w:val="24"/>
          <w:szCs w:val="24"/>
        </w:rPr>
        <w:t>2024</w:t>
      </w:r>
      <w:r w:rsidRPr="00DD05DF">
        <w:rPr>
          <w:rFonts w:hint="eastAsia"/>
          <w:sz w:val="24"/>
          <w:szCs w:val="24"/>
        </w:rPr>
        <w:t>年环境空气质量为</w:t>
      </w:r>
      <w:r w:rsidRPr="00DD05DF">
        <w:rPr>
          <w:rFonts w:hint="eastAsia"/>
          <w:sz w:val="24"/>
          <w:szCs w:val="24"/>
        </w:rPr>
        <w:t>6</w:t>
      </w:r>
      <w:r w:rsidRPr="00DD05DF">
        <w:rPr>
          <w:rFonts w:hint="eastAsia"/>
          <w:sz w:val="24"/>
          <w:szCs w:val="24"/>
        </w:rPr>
        <w:t>个监测项目，执行标准为《环境空气质量标准》（</w:t>
      </w:r>
      <w:r w:rsidRPr="00DD05DF">
        <w:rPr>
          <w:rFonts w:hint="eastAsia"/>
          <w:sz w:val="24"/>
          <w:szCs w:val="24"/>
        </w:rPr>
        <w:t>GB3095-2012</w:t>
      </w:r>
      <w:r w:rsidRPr="00DD05DF">
        <w:rPr>
          <w:rFonts w:hint="eastAsia"/>
          <w:sz w:val="24"/>
          <w:szCs w:val="24"/>
        </w:rPr>
        <w:t>）及修改单，评价方法为环境空气质量指数（</w:t>
      </w:r>
      <w:r w:rsidRPr="00DD05DF">
        <w:rPr>
          <w:rFonts w:hint="eastAsia"/>
          <w:sz w:val="24"/>
          <w:szCs w:val="24"/>
        </w:rPr>
        <w:t>AQI</w:t>
      </w:r>
      <w:r w:rsidRPr="00DD05DF">
        <w:rPr>
          <w:rFonts w:hint="eastAsia"/>
          <w:sz w:val="24"/>
          <w:szCs w:val="24"/>
        </w:rPr>
        <w:t>）技术规定（</w:t>
      </w:r>
      <w:r w:rsidRPr="00DD05DF">
        <w:rPr>
          <w:rFonts w:hint="eastAsia"/>
          <w:sz w:val="24"/>
          <w:szCs w:val="24"/>
        </w:rPr>
        <w:t>HJ633-2012</w:t>
      </w:r>
      <w:r w:rsidRPr="00DD05DF">
        <w:rPr>
          <w:rFonts w:hint="eastAsia"/>
          <w:sz w:val="24"/>
          <w:szCs w:val="24"/>
        </w:rPr>
        <w:t>）。</w:t>
      </w:r>
    </w:p>
    <w:p w14:paraId="26F1183F" w14:textId="77777777" w:rsidR="00DD05DF" w:rsidRPr="00DD05DF" w:rsidRDefault="00DD05DF" w:rsidP="00DD05DF">
      <w:pPr>
        <w:spacing w:beforeLines="50" w:before="120" w:line="360" w:lineRule="auto"/>
        <w:ind w:firstLineChars="200" w:firstLine="480"/>
        <w:jc w:val="left"/>
        <w:rPr>
          <w:sz w:val="24"/>
          <w:szCs w:val="24"/>
        </w:rPr>
      </w:pPr>
      <w:r w:rsidRPr="00DD05DF">
        <w:rPr>
          <w:rFonts w:hint="eastAsia"/>
          <w:sz w:val="24"/>
          <w:szCs w:val="24"/>
        </w:rPr>
        <w:t>2024</w:t>
      </w:r>
      <w:r w:rsidRPr="00DD05DF">
        <w:rPr>
          <w:rFonts w:hint="eastAsia"/>
          <w:sz w:val="24"/>
          <w:szCs w:val="24"/>
        </w:rPr>
        <w:t>年，大庆市城区环境空气中二氧化硫年均浓度为</w:t>
      </w:r>
      <w:r w:rsidRPr="00DD05DF">
        <w:rPr>
          <w:rFonts w:hint="eastAsia"/>
          <w:sz w:val="24"/>
          <w:szCs w:val="24"/>
        </w:rPr>
        <w:t>7</w:t>
      </w:r>
      <w:r w:rsidRPr="00DD05DF">
        <w:rPr>
          <w:rFonts w:hint="eastAsia"/>
          <w:sz w:val="24"/>
          <w:szCs w:val="24"/>
        </w:rPr>
        <w:t>微克</w:t>
      </w:r>
      <w:r w:rsidRPr="00DD05DF">
        <w:rPr>
          <w:rFonts w:hint="eastAsia"/>
          <w:sz w:val="24"/>
          <w:szCs w:val="24"/>
        </w:rPr>
        <w:t>/</w:t>
      </w:r>
      <w:r w:rsidRPr="00DD05DF">
        <w:rPr>
          <w:rFonts w:hint="eastAsia"/>
          <w:sz w:val="24"/>
          <w:szCs w:val="24"/>
        </w:rPr>
        <w:t>立方米，日均值浓度范围为</w:t>
      </w:r>
      <w:r w:rsidRPr="00DD05DF">
        <w:rPr>
          <w:rFonts w:hint="eastAsia"/>
          <w:sz w:val="24"/>
          <w:szCs w:val="24"/>
        </w:rPr>
        <w:t>4</w:t>
      </w:r>
      <w:r w:rsidRPr="00DD05DF">
        <w:rPr>
          <w:rFonts w:hint="eastAsia"/>
          <w:sz w:val="24"/>
          <w:szCs w:val="24"/>
        </w:rPr>
        <w:t>～</w:t>
      </w:r>
      <w:r w:rsidRPr="00DD05DF">
        <w:rPr>
          <w:rFonts w:hint="eastAsia"/>
          <w:sz w:val="24"/>
          <w:szCs w:val="24"/>
        </w:rPr>
        <w:t>17</w:t>
      </w:r>
      <w:r w:rsidRPr="00DD05DF">
        <w:rPr>
          <w:rFonts w:hint="eastAsia"/>
          <w:sz w:val="24"/>
          <w:szCs w:val="24"/>
        </w:rPr>
        <w:t>微克</w:t>
      </w:r>
      <w:r w:rsidRPr="00DD05DF">
        <w:rPr>
          <w:rFonts w:hint="eastAsia"/>
          <w:sz w:val="24"/>
          <w:szCs w:val="24"/>
        </w:rPr>
        <w:t>/</w:t>
      </w:r>
      <w:r w:rsidRPr="00DD05DF">
        <w:rPr>
          <w:rFonts w:hint="eastAsia"/>
          <w:sz w:val="24"/>
          <w:szCs w:val="24"/>
        </w:rPr>
        <w:t>立方米，优于国家环境空气质量一级标准限值；二氧化氮年均浓度为</w:t>
      </w:r>
      <w:r w:rsidRPr="00DD05DF">
        <w:rPr>
          <w:rFonts w:hint="eastAsia"/>
          <w:sz w:val="24"/>
          <w:szCs w:val="24"/>
        </w:rPr>
        <w:t>18</w:t>
      </w:r>
      <w:r w:rsidRPr="00DD05DF">
        <w:rPr>
          <w:rFonts w:hint="eastAsia"/>
          <w:sz w:val="24"/>
          <w:szCs w:val="24"/>
        </w:rPr>
        <w:t>微克</w:t>
      </w:r>
      <w:r w:rsidRPr="00DD05DF">
        <w:rPr>
          <w:rFonts w:hint="eastAsia"/>
          <w:sz w:val="24"/>
          <w:szCs w:val="24"/>
        </w:rPr>
        <w:t>/</w:t>
      </w:r>
      <w:r w:rsidRPr="00DD05DF">
        <w:rPr>
          <w:rFonts w:hint="eastAsia"/>
          <w:sz w:val="24"/>
          <w:szCs w:val="24"/>
        </w:rPr>
        <w:t>立方米，日均值浓度范围为</w:t>
      </w:r>
      <w:r w:rsidRPr="00DD05DF">
        <w:rPr>
          <w:rFonts w:hint="eastAsia"/>
          <w:sz w:val="24"/>
          <w:szCs w:val="24"/>
        </w:rPr>
        <w:t>4</w:t>
      </w:r>
      <w:r w:rsidRPr="00DD05DF">
        <w:rPr>
          <w:rFonts w:hint="eastAsia"/>
          <w:sz w:val="24"/>
          <w:szCs w:val="24"/>
        </w:rPr>
        <w:t>～</w:t>
      </w:r>
      <w:r w:rsidRPr="00DD05DF">
        <w:rPr>
          <w:rFonts w:hint="eastAsia"/>
          <w:sz w:val="24"/>
          <w:szCs w:val="24"/>
        </w:rPr>
        <w:t>48</w:t>
      </w:r>
      <w:r w:rsidRPr="00DD05DF">
        <w:rPr>
          <w:rFonts w:hint="eastAsia"/>
          <w:sz w:val="24"/>
          <w:szCs w:val="24"/>
        </w:rPr>
        <w:t>微克</w:t>
      </w:r>
      <w:r w:rsidRPr="00DD05DF">
        <w:rPr>
          <w:rFonts w:hint="eastAsia"/>
          <w:sz w:val="24"/>
          <w:szCs w:val="24"/>
        </w:rPr>
        <w:t>/</w:t>
      </w:r>
      <w:r w:rsidRPr="00DD05DF">
        <w:rPr>
          <w:rFonts w:hint="eastAsia"/>
          <w:sz w:val="24"/>
          <w:szCs w:val="24"/>
        </w:rPr>
        <w:t>立方米，优于国家环境空气质量一级标准限值；可吸入颗粒物（</w:t>
      </w:r>
      <w:r w:rsidRPr="00DD05DF">
        <w:rPr>
          <w:rFonts w:hint="eastAsia"/>
          <w:sz w:val="24"/>
          <w:szCs w:val="24"/>
        </w:rPr>
        <w:t>PM10</w:t>
      </w:r>
      <w:r w:rsidRPr="00DD05DF">
        <w:rPr>
          <w:rFonts w:hint="eastAsia"/>
          <w:sz w:val="24"/>
          <w:szCs w:val="24"/>
        </w:rPr>
        <w:t>）年均浓度为</w:t>
      </w:r>
      <w:r w:rsidRPr="00DD05DF">
        <w:rPr>
          <w:rFonts w:hint="eastAsia"/>
          <w:sz w:val="24"/>
          <w:szCs w:val="24"/>
        </w:rPr>
        <w:t>48</w:t>
      </w:r>
      <w:r w:rsidRPr="00DD05DF">
        <w:rPr>
          <w:rFonts w:hint="eastAsia"/>
          <w:sz w:val="24"/>
          <w:szCs w:val="24"/>
        </w:rPr>
        <w:t>微克</w:t>
      </w:r>
      <w:r w:rsidRPr="00DD05DF">
        <w:rPr>
          <w:rFonts w:hint="eastAsia"/>
          <w:sz w:val="24"/>
          <w:szCs w:val="24"/>
        </w:rPr>
        <w:t>/</w:t>
      </w:r>
      <w:r w:rsidRPr="00DD05DF">
        <w:rPr>
          <w:rFonts w:hint="eastAsia"/>
          <w:sz w:val="24"/>
          <w:szCs w:val="24"/>
        </w:rPr>
        <w:t>立方米，日均值浓度范围为</w:t>
      </w:r>
      <w:r w:rsidRPr="00DD05DF">
        <w:rPr>
          <w:rFonts w:hint="eastAsia"/>
          <w:sz w:val="24"/>
          <w:szCs w:val="24"/>
        </w:rPr>
        <w:t>12</w:t>
      </w:r>
      <w:r w:rsidRPr="00DD05DF">
        <w:rPr>
          <w:rFonts w:hint="eastAsia"/>
          <w:sz w:val="24"/>
          <w:szCs w:val="24"/>
        </w:rPr>
        <w:t>～</w:t>
      </w:r>
      <w:r w:rsidRPr="00DD05DF">
        <w:rPr>
          <w:rFonts w:hint="eastAsia"/>
          <w:sz w:val="24"/>
          <w:szCs w:val="24"/>
        </w:rPr>
        <w:t>287</w:t>
      </w:r>
      <w:r w:rsidRPr="00DD05DF">
        <w:rPr>
          <w:rFonts w:hint="eastAsia"/>
          <w:sz w:val="24"/>
          <w:szCs w:val="24"/>
        </w:rPr>
        <w:t>微克</w:t>
      </w:r>
      <w:r w:rsidRPr="00DD05DF">
        <w:rPr>
          <w:rFonts w:hint="eastAsia"/>
          <w:sz w:val="24"/>
          <w:szCs w:val="24"/>
        </w:rPr>
        <w:t>/</w:t>
      </w:r>
      <w:r w:rsidRPr="00DD05DF">
        <w:rPr>
          <w:rFonts w:hint="eastAsia"/>
          <w:sz w:val="24"/>
          <w:szCs w:val="24"/>
        </w:rPr>
        <w:t>立方米，优于国家环境空气质量二级标准限值；细颗粒物（</w:t>
      </w:r>
      <w:r w:rsidRPr="00DD05DF">
        <w:rPr>
          <w:rFonts w:hint="eastAsia"/>
          <w:sz w:val="24"/>
          <w:szCs w:val="24"/>
        </w:rPr>
        <w:t>PM2.5</w:t>
      </w:r>
      <w:r w:rsidRPr="00DD05DF">
        <w:rPr>
          <w:rFonts w:hint="eastAsia"/>
          <w:sz w:val="24"/>
          <w:szCs w:val="24"/>
        </w:rPr>
        <w:t>）年均浓度为</w:t>
      </w:r>
      <w:r w:rsidRPr="00DD05DF">
        <w:rPr>
          <w:rFonts w:hint="eastAsia"/>
          <w:sz w:val="24"/>
          <w:szCs w:val="24"/>
        </w:rPr>
        <w:t>32</w:t>
      </w:r>
      <w:r w:rsidRPr="00DD05DF">
        <w:rPr>
          <w:rFonts w:hint="eastAsia"/>
          <w:sz w:val="24"/>
          <w:szCs w:val="24"/>
        </w:rPr>
        <w:t>微克</w:t>
      </w:r>
      <w:r w:rsidRPr="00DD05DF">
        <w:rPr>
          <w:rFonts w:hint="eastAsia"/>
          <w:sz w:val="24"/>
          <w:szCs w:val="24"/>
        </w:rPr>
        <w:t>/</w:t>
      </w:r>
      <w:r w:rsidRPr="00DD05DF">
        <w:rPr>
          <w:rFonts w:hint="eastAsia"/>
          <w:sz w:val="24"/>
          <w:szCs w:val="24"/>
        </w:rPr>
        <w:t>立方米，日均值浓度范围为</w:t>
      </w:r>
      <w:r w:rsidRPr="00DD05DF">
        <w:rPr>
          <w:rFonts w:hint="eastAsia"/>
          <w:sz w:val="24"/>
          <w:szCs w:val="24"/>
        </w:rPr>
        <w:t>8</w:t>
      </w:r>
      <w:r w:rsidRPr="00DD05DF">
        <w:rPr>
          <w:rFonts w:hint="eastAsia"/>
          <w:sz w:val="24"/>
          <w:szCs w:val="24"/>
        </w:rPr>
        <w:t>～</w:t>
      </w:r>
      <w:r w:rsidRPr="00DD05DF">
        <w:rPr>
          <w:rFonts w:hint="eastAsia"/>
          <w:sz w:val="24"/>
          <w:szCs w:val="24"/>
        </w:rPr>
        <w:t>241</w:t>
      </w:r>
      <w:r w:rsidRPr="00DD05DF">
        <w:rPr>
          <w:rFonts w:hint="eastAsia"/>
          <w:sz w:val="24"/>
          <w:szCs w:val="24"/>
        </w:rPr>
        <w:t>微克</w:t>
      </w:r>
      <w:r w:rsidRPr="00DD05DF">
        <w:rPr>
          <w:rFonts w:hint="eastAsia"/>
          <w:sz w:val="24"/>
          <w:szCs w:val="24"/>
        </w:rPr>
        <w:t>/</w:t>
      </w:r>
      <w:r w:rsidRPr="00DD05DF">
        <w:rPr>
          <w:rFonts w:hint="eastAsia"/>
          <w:sz w:val="24"/>
          <w:szCs w:val="24"/>
        </w:rPr>
        <w:t>立方米，优于国家环境空气质量二级标准限值；一氧化碳</w:t>
      </w:r>
      <w:r w:rsidRPr="00DD05DF">
        <w:rPr>
          <w:rFonts w:hint="eastAsia"/>
          <w:sz w:val="24"/>
          <w:szCs w:val="24"/>
        </w:rPr>
        <w:t>24</w:t>
      </w:r>
      <w:r w:rsidRPr="00DD05DF">
        <w:rPr>
          <w:rFonts w:hint="eastAsia"/>
          <w:sz w:val="24"/>
          <w:szCs w:val="24"/>
        </w:rPr>
        <w:t>小时平均浓度第</w:t>
      </w:r>
      <w:r w:rsidRPr="00DD05DF">
        <w:rPr>
          <w:rFonts w:hint="eastAsia"/>
          <w:sz w:val="24"/>
          <w:szCs w:val="24"/>
        </w:rPr>
        <w:t>95</w:t>
      </w:r>
      <w:r w:rsidRPr="00DD05DF">
        <w:rPr>
          <w:rFonts w:hint="eastAsia"/>
          <w:sz w:val="24"/>
          <w:szCs w:val="24"/>
        </w:rPr>
        <w:t>百分位数为</w:t>
      </w:r>
      <w:r w:rsidRPr="00DD05DF">
        <w:rPr>
          <w:rFonts w:hint="eastAsia"/>
          <w:sz w:val="24"/>
          <w:szCs w:val="24"/>
        </w:rPr>
        <w:t>0.8</w:t>
      </w:r>
      <w:r w:rsidRPr="00DD05DF">
        <w:rPr>
          <w:rFonts w:hint="eastAsia"/>
          <w:sz w:val="24"/>
          <w:szCs w:val="24"/>
        </w:rPr>
        <w:t>毫克</w:t>
      </w:r>
      <w:r w:rsidRPr="00DD05DF">
        <w:rPr>
          <w:rFonts w:hint="eastAsia"/>
          <w:sz w:val="24"/>
          <w:szCs w:val="24"/>
        </w:rPr>
        <w:t>/</w:t>
      </w:r>
      <w:r w:rsidRPr="00DD05DF">
        <w:rPr>
          <w:rFonts w:hint="eastAsia"/>
          <w:sz w:val="24"/>
          <w:szCs w:val="24"/>
        </w:rPr>
        <w:t>立方米，</w:t>
      </w:r>
      <w:r w:rsidRPr="00DD05DF">
        <w:rPr>
          <w:rFonts w:hint="eastAsia"/>
          <w:sz w:val="24"/>
          <w:szCs w:val="24"/>
        </w:rPr>
        <w:t>24</w:t>
      </w:r>
      <w:r w:rsidRPr="00DD05DF">
        <w:rPr>
          <w:rFonts w:hint="eastAsia"/>
          <w:sz w:val="24"/>
          <w:szCs w:val="24"/>
        </w:rPr>
        <w:t>小时平均浓度范围为</w:t>
      </w:r>
      <w:r w:rsidRPr="00DD05DF">
        <w:rPr>
          <w:rFonts w:hint="eastAsia"/>
          <w:sz w:val="24"/>
          <w:szCs w:val="24"/>
        </w:rPr>
        <w:t>0.2</w:t>
      </w:r>
      <w:r w:rsidRPr="00DD05DF">
        <w:rPr>
          <w:rFonts w:hint="eastAsia"/>
          <w:sz w:val="24"/>
          <w:szCs w:val="24"/>
        </w:rPr>
        <w:t>～</w:t>
      </w:r>
      <w:r w:rsidRPr="00DD05DF">
        <w:rPr>
          <w:rFonts w:hint="eastAsia"/>
          <w:sz w:val="24"/>
          <w:szCs w:val="24"/>
        </w:rPr>
        <w:t>1.3</w:t>
      </w:r>
      <w:r w:rsidRPr="00DD05DF">
        <w:rPr>
          <w:rFonts w:hint="eastAsia"/>
          <w:sz w:val="24"/>
          <w:szCs w:val="24"/>
        </w:rPr>
        <w:t>毫克</w:t>
      </w:r>
      <w:r w:rsidRPr="00DD05DF">
        <w:rPr>
          <w:rFonts w:hint="eastAsia"/>
          <w:sz w:val="24"/>
          <w:szCs w:val="24"/>
        </w:rPr>
        <w:t>/</w:t>
      </w:r>
      <w:r w:rsidRPr="00DD05DF">
        <w:rPr>
          <w:rFonts w:hint="eastAsia"/>
          <w:sz w:val="24"/>
          <w:szCs w:val="24"/>
        </w:rPr>
        <w:t>立方米，优于国家环境空气质量一级标准限值；臭氧日最大</w:t>
      </w:r>
      <w:r w:rsidRPr="00DD05DF">
        <w:rPr>
          <w:rFonts w:hint="eastAsia"/>
          <w:sz w:val="24"/>
          <w:szCs w:val="24"/>
        </w:rPr>
        <w:t>8</w:t>
      </w:r>
      <w:r w:rsidRPr="00DD05DF">
        <w:rPr>
          <w:rFonts w:hint="eastAsia"/>
          <w:sz w:val="24"/>
          <w:szCs w:val="24"/>
        </w:rPr>
        <w:t>小时平均浓度第</w:t>
      </w:r>
      <w:r w:rsidRPr="00DD05DF">
        <w:rPr>
          <w:rFonts w:hint="eastAsia"/>
          <w:sz w:val="24"/>
          <w:szCs w:val="24"/>
        </w:rPr>
        <w:t>90</w:t>
      </w:r>
      <w:r w:rsidRPr="00DD05DF">
        <w:rPr>
          <w:rFonts w:hint="eastAsia"/>
          <w:sz w:val="24"/>
          <w:szCs w:val="24"/>
        </w:rPr>
        <w:t>百分位数为</w:t>
      </w:r>
      <w:r w:rsidRPr="00DD05DF">
        <w:rPr>
          <w:rFonts w:hint="eastAsia"/>
          <w:sz w:val="24"/>
          <w:szCs w:val="24"/>
        </w:rPr>
        <w:t>114</w:t>
      </w:r>
      <w:r w:rsidRPr="00DD05DF">
        <w:rPr>
          <w:rFonts w:hint="eastAsia"/>
          <w:sz w:val="24"/>
          <w:szCs w:val="24"/>
        </w:rPr>
        <w:t>微克</w:t>
      </w:r>
      <w:r w:rsidRPr="00DD05DF">
        <w:rPr>
          <w:rFonts w:hint="eastAsia"/>
          <w:sz w:val="24"/>
          <w:szCs w:val="24"/>
        </w:rPr>
        <w:t>/</w:t>
      </w:r>
      <w:r w:rsidRPr="00DD05DF">
        <w:rPr>
          <w:rFonts w:hint="eastAsia"/>
          <w:sz w:val="24"/>
          <w:szCs w:val="24"/>
        </w:rPr>
        <w:t>立方米，日最大</w:t>
      </w:r>
      <w:r w:rsidRPr="00DD05DF">
        <w:rPr>
          <w:rFonts w:hint="eastAsia"/>
          <w:sz w:val="24"/>
          <w:szCs w:val="24"/>
        </w:rPr>
        <w:t>8</w:t>
      </w:r>
      <w:r w:rsidRPr="00DD05DF">
        <w:rPr>
          <w:rFonts w:hint="eastAsia"/>
          <w:sz w:val="24"/>
          <w:szCs w:val="24"/>
        </w:rPr>
        <w:t>小时平均浓度范围为</w:t>
      </w:r>
      <w:r w:rsidRPr="00DD05DF">
        <w:rPr>
          <w:rFonts w:hint="eastAsia"/>
          <w:sz w:val="24"/>
          <w:szCs w:val="24"/>
        </w:rPr>
        <w:t>13</w:t>
      </w:r>
      <w:r w:rsidRPr="00DD05DF">
        <w:rPr>
          <w:rFonts w:hint="eastAsia"/>
          <w:sz w:val="24"/>
          <w:szCs w:val="24"/>
        </w:rPr>
        <w:t>～</w:t>
      </w:r>
      <w:r w:rsidRPr="00DD05DF">
        <w:rPr>
          <w:rFonts w:hint="eastAsia"/>
          <w:sz w:val="24"/>
          <w:szCs w:val="24"/>
        </w:rPr>
        <w:t>182</w:t>
      </w:r>
      <w:r w:rsidRPr="00DD05DF">
        <w:rPr>
          <w:rFonts w:hint="eastAsia"/>
          <w:sz w:val="24"/>
          <w:szCs w:val="24"/>
        </w:rPr>
        <w:t>微克</w:t>
      </w:r>
      <w:r w:rsidRPr="00DD05DF">
        <w:rPr>
          <w:rFonts w:hint="eastAsia"/>
          <w:sz w:val="24"/>
          <w:szCs w:val="24"/>
        </w:rPr>
        <w:t>/</w:t>
      </w:r>
      <w:r w:rsidRPr="00DD05DF">
        <w:rPr>
          <w:rFonts w:hint="eastAsia"/>
          <w:sz w:val="24"/>
          <w:szCs w:val="24"/>
        </w:rPr>
        <w:t>立方米，优于国家环境空气质量二级标准限值。</w:t>
      </w:r>
    </w:p>
    <w:p w14:paraId="0A3BFBFC" w14:textId="44453843" w:rsidR="00DD05DF" w:rsidRPr="00DD05DF" w:rsidRDefault="00DD05DF" w:rsidP="00DD05DF">
      <w:pPr>
        <w:pStyle w:val="affffff5"/>
      </w:pPr>
      <w:r w:rsidRPr="00F4314C">
        <w:t>表</w:t>
      </w:r>
      <w:r w:rsidR="00F515A2" w:rsidRPr="00F4314C">
        <w:rPr>
          <w:rFonts w:hint="eastAsia"/>
        </w:rPr>
        <w:t>5.</w:t>
      </w:r>
      <w:r w:rsidRPr="00F4314C">
        <w:t xml:space="preserve">3-1 </w:t>
      </w:r>
      <w:r w:rsidRPr="00F4314C">
        <w:t>区域空气质量现状评价表</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1754"/>
        <w:gridCol w:w="2297"/>
        <w:gridCol w:w="1633"/>
        <w:gridCol w:w="1464"/>
        <w:gridCol w:w="826"/>
        <w:gridCol w:w="854"/>
      </w:tblGrid>
      <w:tr w:rsidR="00DD05DF" w:rsidRPr="00DD05DF" w14:paraId="79310195" w14:textId="77777777" w:rsidTr="00E24385">
        <w:trPr>
          <w:trHeight w:val="425"/>
          <w:jc w:val="center"/>
        </w:trPr>
        <w:tc>
          <w:tcPr>
            <w:tcW w:w="1669" w:type="dxa"/>
            <w:tcBorders>
              <w:top w:val="single" w:sz="6" w:space="0" w:color="auto"/>
              <w:left w:val="single" w:sz="6" w:space="0" w:color="auto"/>
              <w:bottom w:val="single" w:sz="6" w:space="0" w:color="auto"/>
              <w:right w:val="single" w:sz="6" w:space="0" w:color="auto"/>
            </w:tcBorders>
            <w:noWrap/>
            <w:vAlign w:val="center"/>
          </w:tcPr>
          <w:p w14:paraId="3A3EB6E2" w14:textId="77777777" w:rsidR="00DD05DF" w:rsidRPr="00DD05DF" w:rsidRDefault="00DD05DF" w:rsidP="00DD05DF">
            <w:pPr>
              <w:widowControl/>
              <w:adjustRightInd w:val="0"/>
              <w:snapToGrid w:val="0"/>
              <w:jc w:val="center"/>
            </w:pPr>
            <w:r w:rsidRPr="00DD05DF">
              <w:t>污染物</w:t>
            </w:r>
          </w:p>
        </w:tc>
        <w:tc>
          <w:tcPr>
            <w:tcW w:w="2187" w:type="dxa"/>
            <w:tcBorders>
              <w:top w:val="single" w:sz="6" w:space="0" w:color="auto"/>
              <w:left w:val="single" w:sz="6" w:space="0" w:color="auto"/>
              <w:bottom w:val="single" w:sz="6" w:space="0" w:color="auto"/>
              <w:right w:val="single" w:sz="6" w:space="0" w:color="auto"/>
            </w:tcBorders>
            <w:noWrap/>
            <w:vAlign w:val="center"/>
          </w:tcPr>
          <w:p w14:paraId="12FAC8C2" w14:textId="77777777" w:rsidR="00DD05DF" w:rsidRPr="00DD05DF" w:rsidRDefault="00DD05DF" w:rsidP="00DD05DF">
            <w:pPr>
              <w:widowControl/>
              <w:adjustRightInd w:val="0"/>
              <w:snapToGrid w:val="0"/>
              <w:jc w:val="center"/>
            </w:pPr>
            <w:r w:rsidRPr="00DD05DF">
              <w:t>年评价指标</w:t>
            </w:r>
          </w:p>
        </w:tc>
        <w:tc>
          <w:tcPr>
            <w:tcW w:w="1555" w:type="dxa"/>
            <w:tcBorders>
              <w:top w:val="single" w:sz="6" w:space="0" w:color="auto"/>
              <w:left w:val="single" w:sz="6" w:space="0" w:color="auto"/>
              <w:bottom w:val="single" w:sz="6" w:space="0" w:color="auto"/>
              <w:right w:val="single" w:sz="6" w:space="0" w:color="auto"/>
            </w:tcBorders>
            <w:noWrap/>
            <w:vAlign w:val="center"/>
          </w:tcPr>
          <w:p w14:paraId="39F466FC" w14:textId="77777777" w:rsidR="00DD05DF" w:rsidRPr="00DD05DF" w:rsidRDefault="00DD05DF" w:rsidP="00DD05DF">
            <w:pPr>
              <w:widowControl/>
              <w:adjustRightInd w:val="0"/>
              <w:snapToGrid w:val="0"/>
              <w:jc w:val="center"/>
            </w:pPr>
            <w:r w:rsidRPr="00DD05DF">
              <w:t>现状浓度（</w:t>
            </w:r>
            <w:r w:rsidRPr="00DD05DF">
              <w:t>μg/m</w:t>
            </w:r>
            <w:r w:rsidRPr="00DD05DF">
              <w:rPr>
                <w:vertAlign w:val="superscript"/>
              </w:rPr>
              <w:t>3</w:t>
            </w:r>
            <w:r w:rsidRPr="00DD05DF">
              <w:t>）</w:t>
            </w:r>
          </w:p>
        </w:tc>
        <w:tc>
          <w:tcPr>
            <w:tcW w:w="1394" w:type="dxa"/>
            <w:tcBorders>
              <w:top w:val="single" w:sz="6" w:space="0" w:color="auto"/>
              <w:left w:val="single" w:sz="6" w:space="0" w:color="auto"/>
              <w:bottom w:val="single" w:sz="6" w:space="0" w:color="auto"/>
              <w:right w:val="single" w:sz="6" w:space="0" w:color="auto"/>
            </w:tcBorders>
            <w:noWrap/>
            <w:vAlign w:val="center"/>
          </w:tcPr>
          <w:p w14:paraId="701FA756" w14:textId="77777777" w:rsidR="00DD05DF" w:rsidRPr="00DD05DF" w:rsidRDefault="00DD05DF" w:rsidP="00DD05DF">
            <w:pPr>
              <w:widowControl/>
              <w:adjustRightInd w:val="0"/>
              <w:snapToGrid w:val="0"/>
              <w:jc w:val="center"/>
            </w:pPr>
            <w:r w:rsidRPr="00DD05DF">
              <w:t>标准值（</w:t>
            </w:r>
            <w:r w:rsidRPr="00DD05DF">
              <w:t>μg/m</w:t>
            </w:r>
            <w:r w:rsidRPr="00DD05DF">
              <w:rPr>
                <w:vertAlign w:val="superscript"/>
              </w:rPr>
              <w:t>3</w:t>
            </w:r>
            <w:r w:rsidRPr="00DD05DF">
              <w:t>）</w:t>
            </w:r>
          </w:p>
        </w:tc>
        <w:tc>
          <w:tcPr>
            <w:tcW w:w="786" w:type="dxa"/>
            <w:tcBorders>
              <w:top w:val="single" w:sz="6" w:space="0" w:color="auto"/>
              <w:left w:val="single" w:sz="6" w:space="0" w:color="auto"/>
              <w:bottom w:val="single" w:sz="6" w:space="0" w:color="auto"/>
              <w:right w:val="single" w:sz="6" w:space="0" w:color="auto"/>
            </w:tcBorders>
            <w:noWrap/>
            <w:vAlign w:val="center"/>
          </w:tcPr>
          <w:p w14:paraId="09638DA0" w14:textId="77777777" w:rsidR="00DD05DF" w:rsidRPr="00DD05DF" w:rsidRDefault="00DD05DF" w:rsidP="00DD05DF">
            <w:pPr>
              <w:widowControl/>
              <w:adjustRightInd w:val="0"/>
              <w:snapToGrid w:val="0"/>
              <w:jc w:val="center"/>
            </w:pPr>
            <w:r w:rsidRPr="00DD05DF">
              <w:t>占标率</w:t>
            </w:r>
            <w:r w:rsidRPr="00DD05DF">
              <w:t>%</w:t>
            </w:r>
          </w:p>
        </w:tc>
        <w:tc>
          <w:tcPr>
            <w:tcW w:w="813" w:type="dxa"/>
            <w:tcBorders>
              <w:top w:val="single" w:sz="6" w:space="0" w:color="auto"/>
              <w:left w:val="single" w:sz="6" w:space="0" w:color="auto"/>
              <w:bottom w:val="single" w:sz="6" w:space="0" w:color="auto"/>
              <w:right w:val="single" w:sz="6" w:space="0" w:color="auto"/>
            </w:tcBorders>
            <w:noWrap/>
            <w:vAlign w:val="center"/>
          </w:tcPr>
          <w:p w14:paraId="4B3CDE82" w14:textId="77777777" w:rsidR="00DD05DF" w:rsidRPr="00DD05DF" w:rsidRDefault="00DD05DF" w:rsidP="00DD05DF">
            <w:pPr>
              <w:widowControl/>
              <w:adjustRightInd w:val="0"/>
              <w:snapToGrid w:val="0"/>
              <w:jc w:val="center"/>
            </w:pPr>
            <w:r w:rsidRPr="00DD05DF">
              <w:t>达标情况</w:t>
            </w:r>
          </w:p>
        </w:tc>
      </w:tr>
      <w:tr w:rsidR="00DD05DF" w:rsidRPr="00DD05DF" w14:paraId="74AECBC1" w14:textId="77777777" w:rsidTr="00E24385">
        <w:trPr>
          <w:trHeight w:val="425"/>
          <w:jc w:val="center"/>
        </w:trPr>
        <w:tc>
          <w:tcPr>
            <w:tcW w:w="1669" w:type="dxa"/>
            <w:tcBorders>
              <w:top w:val="single" w:sz="6" w:space="0" w:color="auto"/>
              <w:left w:val="single" w:sz="6" w:space="0" w:color="auto"/>
              <w:bottom w:val="single" w:sz="6" w:space="0" w:color="auto"/>
              <w:right w:val="single" w:sz="6" w:space="0" w:color="auto"/>
            </w:tcBorders>
            <w:noWrap/>
            <w:vAlign w:val="center"/>
          </w:tcPr>
          <w:p w14:paraId="6816A198" w14:textId="77777777" w:rsidR="00DD05DF" w:rsidRPr="00DD05DF" w:rsidRDefault="00DD05DF" w:rsidP="00DD05DF">
            <w:pPr>
              <w:widowControl/>
              <w:adjustRightInd w:val="0"/>
              <w:snapToGrid w:val="0"/>
              <w:jc w:val="center"/>
            </w:pPr>
            <w:r w:rsidRPr="00DD05DF">
              <w:t>SO</w:t>
            </w:r>
            <w:r w:rsidRPr="00DD05DF">
              <w:rPr>
                <w:vertAlign w:val="subscript"/>
              </w:rPr>
              <w:t>2</w:t>
            </w:r>
          </w:p>
        </w:tc>
        <w:tc>
          <w:tcPr>
            <w:tcW w:w="2187" w:type="dxa"/>
            <w:tcBorders>
              <w:top w:val="single" w:sz="6" w:space="0" w:color="auto"/>
              <w:left w:val="single" w:sz="6" w:space="0" w:color="auto"/>
              <w:bottom w:val="single" w:sz="6" w:space="0" w:color="auto"/>
              <w:right w:val="single" w:sz="6" w:space="0" w:color="auto"/>
            </w:tcBorders>
            <w:noWrap/>
            <w:vAlign w:val="center"/>
          </w:tcPr>
          <w:p w14:paraId="474236C9" w14:textId="77777777" w:rsidR="00DD05DF" w:rsidRPr="00DD05DF" w:rsidRDefault="00DD05DF" w:rsidP="00DD05DF">
            <w:pPr>
              <w:widowControl/>
              <w:adjustRightInd w:val="0"/>
              <w:snapToGrid w:val="0"/>
              <w:jc w:val="center"/>
            </w:pPr>
            <w:r w:rsidRPr="00DD05DF">
              <w:t>年平均质量浓度</w:t>
            </w:r>
          </w:p>
        </w:tc>
        <w:tc>
          <w:tcPr>
            <w:tcW w:w="1555" w:type="dxa"/>
            <w:tcBorders>
              <w:top w:val="single" w:sz="6" w:space="0" w:color="auto"/>
              <w:left w:val="single" w:sz="6" w:space="0" w:color="auto"/>
              <w:bottom w:val="single" w:sz="6" w:space="0" w:color="auto"/>
              <w:right w:val="single" w:sz="6" w:space="0" w:color="auto"/>
            </w:tcBorders>
            <w:noWrap/>
            <w:vAlign w:val="center"/>
          </w:tcPr>
          <w:p w14:paraId="523C8C71" w14:textId="77777777" w:rsidR="00DD05DF" w:rsidRPr="00DD05DF" w:rsidRDefault="00DD05DF" w:rsidP="00DD05DF">
            <w:pPr>
              <w:widowControl/>
              <w:adjustRightInd w:val="0"/>
              <w:snapToGrid w:val="0"/>
              <w:jc w:val="center"/>
            </w:pPr>
            <w:r w:rsidRPr="00DD05DF">
              <w:rPr>
                <w:rFonts w:hint="eastAsia"/>
              </w:rPr>
              <w:t>7</w:t>
            </w:r>
          </w:p>
        </w:tc>
        <w:tc>
          <w:tcPr>
            <w:tcW w:w="1394" w:type="dxa"/>
            <w:tcBorders>
              <w:top w:val="single" w:sz="6" w:space="0" w:color="auto"/>
              <w:left w:val="single" w:sz="6" w:space="0" w:color="auto"/>
              <w:bottom w:val="single" w:sz="6" w:space="0" w:color="auto"/>
              <w:right w:val="single" w:sz="6" w:space="0" w:color="auto"/>
            </w:tcBorders>
            <w:noWrap/>
            <w:vAlign w:val="center"/>
          </w:tcPr>
          <w:p w14:paraId="77E4B991" w14:textId="77777777" w:rsidR="00DD05DF" w:rsidRPr="00DD05DF" w:rsidRDefault="00DD05DF" w:rsidP="00DD05DF">
            <w:pPr>
              <w:widowControl/>
              <w:adjustRightInd w:val="0"/>
              <w:snapToGrid w:val="0"/>
              <w:jc w:val="center"/>
            </w:pPr>
            <w:r w:rsidRPr="00DD05DF">
              <w:t>60</w:t>
            </w:r>
          </w:p>
        </w:tc>
        <w:tc>
          <w:tcPr>
            <w:tcW w:w="786" w:type="dxa"/>
            <w:tcBorders>
              <w:top w:val="single" w:sz="6" w:space="0" w:color="auto"/>
              <w:left w:val="single" w:sz="6" w:space="0" w:color="auto"/>
              <w:bottom w:val="single" w:sz="6" w:space="0" w:color="auto"/>
              <w:right w:val="single" w:sz="6" w:space="0" w:color="auto"/>
            </w:tcBorders>
            <w:noWrap/>
            <w:vAlign w:val="center"/>
          </w:tcPr>
          <w:p w14:paraId="1CAFECCF" w14:textId="77777777" w:rsidR="00DD05DF" w:rsidRPr="00DD05DF" w:rsidRDefault="00DD05DF" w:rsidP="00DD05DF">
            <w:pPr>
              <w:widowControl/>
              <w:adjustRightInd w:val="0"/>
              <w:snapToGrid w:val="0"/>
              <w:jc w:val="center"/>
            </w:pPr>
            <w:r w:rsidRPr="00DD05DF">
              <w:rPr>
                <w:rFonts w:hint="eastAsia"/>
              </w:rPr>
              <w:t>11.7</w:t>
            </w:r>
          </w:p>
        </w:tc>
        <w:tc>
          <w:tcPr>
            <w:tcW w:w="813" w:type="dxa"/>
            <w:tcBorders>
              <w:top w:val="single" w:sz="6" w:space="0" w:color="auto"/>
              <w:left w:val="single" w:sz="6" w:space="0" w:color="auto"/>
              <w:bottom w:val="single" w:sz="6" w:space="0" w:color="auto"/>
              <w:right w:val="single" w:sz="6" w:space="0" w:color="auto"/>
            </w:tcBorders>
            <w:noWrap/>
            <w:vAlign w:val="center"/>
          </w:tcPr>
          <w:p w14:paraId="241C81DD" w14:textId="77777777" w:rsidR="00DD05DF" w:rsidRPr="00DD05DF" w:rsidRDefault="00DD05DF" w:rsidP="00DD05DF">
            <w:pPr>
              <w:widowControl/>
              <w:adjustRightInd w:val="0"/>
              <w:snapToGrid w:val="0"/>
              <w:jc w:val="center"/>
            </w:pPr>
            <w:r w:rsidRPr="00DD05DF">
              <w:t>达标</w:t>
            </w:r>
          </w:p>
        </w:tc>
      </w:tr>
      <w:tr w:rsidR="00DD05DF" w:rsidRPr="00DD05DF" w14:paraId="386C33EB" w14:textId="77777777" w:rsidTr="00E24385">
        <w:trPr>
          <w:trHeight w:val="425"/>
          <w:jc w:val="center"/>
        </w:trPr>
        <w:tc>
          <w:tcPr>
            <w:tcW w:w="1669" w:type="dxa"/>
            <w:tcBorders>
              <w:top w:val="single" w:sz="6" w:space="0" w:color="auto"/>
              <w:left w:val="single" w:sz="6" w:space="0" w:color="auto"/>
              <w:bottom w:val="single" w:sz="6" w:space="0" w:color="auto"/>
              <w:right w:val="single" w:sz="6" w:space="0" w:color="auto"/>
            </w:tcBorders>
            <w:noWrap/>
            <w:vAlign w:val="center"/>
          </w:tcPr>
          <w:p w14:paraId="70CBAE76" w14:textId="77777777" w:rsidR="00DD05DF" w:rsidRPr="00DD05DF" w:rsidRDefault="00DD05DF" w:rsidP="00DD05DF">
            <w:pPr>
              <w:widowControl/>
              <w:adjustRightInd w:val="0"/>
              <w:snapToGrid w:val="0"/>
              <w:jc w:val="center"/>
            </w:pPr>
            <w:r w:rsidRPr="00DD05DF">
              <w:t>NO</w:t>
            </w:r>
            <w:r w:rsidRPr="00DD05DF">
              <w:rPr>
                <w:vertAlign w:val="subscript"/>
              </w:rPr>
              <w:t>2</w:t>
            </w:r>
          </w:p>
        </w:tc>
        <w:tc>
          <w:tcPr>
            <w:tcW w:w="2187" w:type="dxa"/>
            <w:tcBorders>
              <w:top w:val="single" w:sz="6" w:space="0" w:color="auto"/>
              <w:left w:val="single" w:sz="6" w:space="0" w:color="auto"/>
              <w:bottom w:val="single" w:sz="6" w:space="0" w:color="auto"/>
              <w:right w:val="single" w:sz="6" w:space="0" w:color="auto"/>
            </w:tcBorders>
            <w:noWrap/>
            <w:vAlign w:val="center"/>
          </w:tcPr>
          <w:p w14:paraId="50F0CEBD" w14:textId="77777777" w:rsidR="00DD05DF" w:rsidRPr="00DD05DF" w:rsidRDefault="00DD05DF" w:rsidP="00DD05DF">
            <w:pPr>
              <w:widowControl/>
              <w:adjustRightInd w:val="0"/>
              <w:snapToGrid w:val="0"/>
              <w:jc w:val="center"/>
            </w:pPr>
            <w:r w:rsidRPr="00DD05DF">
              <w:t>年平均质量浓度</w:t>
            </w:r>
          </w:p>
        </w:tc>
        <w:tc>
          <w:tcPr>
            <w:tcW w:w="1555" w:type="dxa"/>
            <w:tcBorders>
              <w:top w:val="single" w:sz="6" w:space="0" w:color="auto"/>
              <w:left w:val="single" w:sz="6" w:space="0" w:color="auto"/>
              <w:bottom w:val="single" w:sz="6" w:space="0" w:color="auto"/>
              <w:right w:val="single" w:sz="6" w:space="0" w:color="auto"/>
            </w:tcBorders>
            <w:noWrap/>
            <w:vAlign w:val="center"/>
          </w:tcPr>
          <w:p w14:paraId="41381BD3" w14:textId="77777777" w:rsidR="00DD05DF" w:rsidRPr="00DD05DF" w:rsidRDefault="00DD05DF" w:rsidP="00DD05DF">
            <w:pPr>
              <w:widowControl/>
              <w:adjustRightInd w:val="0"/>
              <w:snapToGrid w:val="0"/>
              <w:jc w:val="center"/>
            </w:pPr>
            <w:r w:rsidRPr="00DD05DF">
              <w:rPr>
                <w:rFonts w:hint="eastAsia"/>
              </w:rPr>
              <w:t>18</w:t>
            </w:r>
          </w:p>
        </w:tc>
        <w:tc>
          <w:tcPr>
            <w:tcW w:w="1394" w:type="dxa"/>
            <w:tcBorders>
              <w:top w:val="single" w:sz="6" w:space="0" w:color="auto"/>
              <w:left w:val="single" w:sz="6" w:space="0" w:color="auto"/>
              <w:bottom w:val="single" w:sz="6" w:space="0" w:color="auto"/>
              <w:right w:val="single" w:sz="6" w:space="0" w:color="auto"/>
            </w:tcBorders>
            <w:noWrap/>
            <w:vAlign w:val="center"/>
          </w:tcPr>
          <w:p w14:paraId="20904E76" w14:textId="77777777" w:rsidR="00DD05DF" w:rsidRPr="00DD05DF" w:rsidRDefault="00DD05DF" w:rsidP="00DD05DF">
            <w:pPr>
              <w:widowControl/>
              <w:adjustRightInd w:val="0"/>
              <w:snapToGrid w:val="0"/>
              <w:jc w:val="center"/>
            </w:pPr>
            <w:r w:rsidRPr="00DD05DF">
              <w:t>40</w:t>
            </w:r>
          </w:p>
        </w:tc>
        <w:tc>
          <w:tcPr>
            <w:tcW w:w="786" w:type="dxa"/>
            <w:tcBorders>
              <w:top w:val="single" w:sz="6" w:space="0" w:color="auto"/>
              <w:left w:val="single" w:sz="6" w:space="0" w:color="auto"/>
              <w:bottom w:val="single" w:sz="6" w:space="0" w:color="auto"/>
              <w:right w:val="single" w:sz="6" w:space="0" w:color="auto"/>
            </w:tcBorders>
            <w:noWrap/>
            <w:vAlign w:val="center"/>
          </w:tcPr>
          <w:p w14:paraId="5B1ED26B" w14:textId="77777777" w:rsidR="00DD05DF" w:rsidRPr="00DD05DF" w:rsidRDefault="00DD05DF" w:rsidP="00DD05DF">
            <w:pPr>
              <w:widowControl/>
              <w:adjustRightInd w:val="0"/>
              <w:snapToGrid w:val="0"/>
              <w:jc w:val="center"/>
            </w:pPr>
            <w:r w:rsidRPr="00DD05DF">
              <w:rPr>
                <w:rFonts w:hint="eastAsia"/>
              </w:rPr>
              <w:t>45</w:t>
            </w:r>
          </w:p>
        </w:tc>
        <w:tc>
          <w:tcPr>
            <w:tcW w:w="813" w:type="dxa"/>
            <w:tcBorders>
              <w:top w:val="single" w:sz="6" w:space="0" w:color="auto"/>
              <w:left w:val="single" w:sz="6" w:space="0" w:color="auto"/>
              <w:bottom w:val="single" w:sz="6" w:space="0" w:color="auto"/>
              <w:right w:val="single" w:sz="6" w:space="0" w:color="auto"/>
            </w:tcBorders>
            <w:noWrap/>
            <w:vAlign w:val="center"/>
          </w:tcPr>
          <w:p w14:paraId="487B2CA3" w14:textId="77777777" w:rsidR="00DD05DF" w:rsidRPr="00DD05DF" w:rsidRDefault="00DD05DF" w:rsidP="00DD05DF">
            <w:pPr>
              <w:widowControl/>
              <w:adjustRightInd w:val="0"/>
              <w:snapToGrid w:val="0"/>
              <w:jc w:val="center"/>
            </w:pPr>
            <w:r w:rsidRPr="00DD05DF">
              <w:t>达标</w:t>
            </w:r>
          </w:p>
        </w:tc>
      </w:tr>
      <w:tr w:rsidR="00DD05DF" w:rsidRPr="00DD05DF" w14:paraId="6E248D16" w14:textId="77777777" w:rsidTr="00E24385">
        <w:trPr>
          <w:trHeight w:val="425"/>
          <w:jc w:val="center"/>
        </w:trPr>
        <w:tc>
          <w:tcPr>
            <w:tcW w:w="1669" w:type="dxa"/>
            <w:tcBorders>
              <w:top w:val="single" w:sz="6" w:space="0" w:color="auto"/>
              <w:left w:val="single" w:sz="6" w:space="0" w:color="auto"/>
              <w:bottom w:val="single" w:sz="6" w:space="0" w:color="auto"/>
              <w:right w:val="single" w:sz="6" w:space="0" w:color="auto"/>
            </w:tcBorders>
            <w:noWrap/>
            <w:vAlign w:val="center"/>
          </w:tcPr>
          <w:p w14:paraId="2A109BE2" w14:textId="77777777" w:rsidR="00DD05DF" w:rsidRPr="00DD05DF" w:rsidRDefault="00DD05DF" w:rsidP="00DD05DF">
            <w:pPr>
              <w:widowControl/>
              <w:adjustRightInd w:val="0"/>
              <w:snapToGrid w:val="0"/>
              <w:jc w:val="center"/>
            </w:pPr>
            <w:r w:rsidRPr="00DD05DF">
              <w:t>PM</w:t>
            </w:r>
            <w:r w:rsidRPr="00DD05DF">
              <w:rPr>
                <w:vertAlign w:val="subscript"/>
              </w:rPr>
              <w:t>10</w:t>
            </w:r>
          </w:p>
        </w:tc>
        <w:tc>
          <w:tcPr>
            <w:tcW w:w="2187" w:type="dxa"/>
            <w:tcBorders>
              <w:top w:val="single" w:sz="6" w:space="0" w:color="auto"/>
              <w:left w:val="single" w:sz="6" w:space="0" w:color="auto"/>
              <w:bottom w:val="single" w:sz="6" w:space="0" w:color="auto"/>
              <w:right w:val="single" w:sz="6" w:space="0" w:color="auto"/>
            </w:tcBorders>
            <w:noWrap/>
            <w:vAlign w:val="center"/>
          </w:tcPr>
          <w:p w14:paraId="5A38FAF3" w14:textId="77777777" w:rsidR="00DD05DF" w:rsidRPr="00DD05DF" w:rsidRDefault="00DD05DF" w:rsidP="00DD05DF">
            <w:pPr>
              <w:widowControl/>
              <w:adjustRightInd w:val="0"/>
              <w:snapToGrid w:val="0"/>
              <w:jc w:val="center"/>
            </w:pPr>
            <w:r w:rsidRPr="00DD05DF">
              <w:t>年平均质量浓度</w:t>
            </w:r>
          </w:p>
        </w:tc>
        <w:tc>
          <w:tcPr>
            <w:tcW w:w="1555" w:type="dxa"/>
            <w:tcBorders>
              <w:top w:val="single" w:sz="6" w:space="0" w:color="auto"/>
              <w:left w:val="single" w:sz="6" w:space="0" w:color="auto"/>
              <w:bottom w:val="single" w:sz="6" w:space="0" w:color="auto"/>
              <w:right w:val="single" w:sz="6" w:space="0" w:color="auto"/>
            </w:tcBorders>
            <w:noWrap/>
            <w:vAlign w:val="center"/>
          </w:tcPr>
          <w:p w14:paraId="570031EA" w14:textId="77777777" w:rsidR="00DD05DF" w:rsidRPr="00DD05DF" w:rsidRDefault="00DD05DF" w:rsidP="00DD05DF">
            <w:pPr>
              <w:widowControl/>
              <w:adjustRightInd w:val="0"/>
              <w:snapToGrid w:val="0"/>
              <w:jc w:val="center"/>
            </w:pPr>
            <w:r w:rsidRPr="00DD05DF">
              <w:rPr>
                <w:rFonts w:hint="eastAsia"/>
              </w:rPr>
              <w:t>48</w:t>
            </w:r>
          </w:p>
        </w:tc>
        <w:tc>
          <w:tcPr>
            <w:tcW w:w="1394" w:type="dxa"/>
            <w:tcBorders>
              <w:top w:val="single" w:sz="6" w:space="0" w:color="auto"/>
              <w:left w:val="single" w:sz="6" w:space="0" w:color="auto"/>
              <w:bottom w:val="single" w:sz="6" w:space="0" w:color="auto"/>
              <w:right w:val="single" w:sz="6" w:space="0" w:color="auto"/>
            </w:tcBorders>
            <w:noWrap/>
            <w:vAlign w:val="center"/>
          </w:tcPr>
          <w:p w14:paraId="3D87BE97" w14:textId="77777777" w:rsidR="00DD05DF" w:rsidRPr="00DD05DF" w:rsidRDefault="00DD05DF" w:rsidP="00DD05DF">
            <w:pPr>
              <w:widowControl/>
              <w:adjustRightInd w:val="0"/>
              <w:snapToGrid w:val="0"/>
              <w:jc w:val="center"/>
            </w:pPr>
            <w:r w:rsidRPr="00DD05DF">
              <w:t>70</w:t>
            </w:r>
          </w:p>
        </w:tc>
        <w:tc>
          <w:tcPr>
            <w:tcW w:w="786" w:type="dxa"/>
            <w:tcBorders>
              <w:top w:val="single" w:sz="6" w:space="0" w:color="auto"/>
              <w:left w:val="single" w:sz="6" w:space="0" w:color="auto"/>
              <w:bottom w:val="single" w:sz="6" w:space="0" w:color="auto"/>
              <w:right w:val="single" w:sz="6" w:space="0" w:color="auto"/>
            </w:tcBorders>
            <w:noWrap/>
            <w:vAlign w:val="center"/>
          </w:tcPr>
          <w:p w14:paraId="1BA785DE" w14:textId="77777777" w:rsidR="00DD05DF" w:rsidRPr="00DD05DF" w:rsidRDefault="00DD05DF" w:rsidP="00DD05DF">
            <w:pPr>
              <w:widowControl/>
              <w:adjustRightInd w:val="0"/>
              <w:snapToGrid w:val="0"/>
              <w:jc w:val="center"/>
            </w:pPr>
            <w:r w:rsidRPr="00DD05DF">
              <w:rPr>
                <w:rFonts w:hint="eastAsia"/>
              </w:rPr>
              <w:t>68.6</w:t>
            </w:r>
          </w:p>
        </w:tc>
        <w:tc>
          <w:tcPr>
            <w:tcW w:w="813" w:type="dxa"/>
            <w:tcBorders>
              <w:top w:val="single" w:sz="6" w:space="0" w:color="auto"/>
              <w:left w:val="single" w:sz="6" w:space="0" w:color="auto"/>
              <w:bottom w:val="single" w:sz="6" w:space="0" w:color="auto"/>
              <w:right w:val="single" w:sz="6" w:space="0" w:color="auto"/>
            </w:tcBorders>
            <w:noWrap/>
            <w:vAlign w:val="center"/>
          </w:tcPr>
          <w:p w14:paraId="04C7556B" w14:textId="77777777" w:rsidR="00DD05DF" w:rsidRPr="00DD05DF" w:rsidRDefault="00DD05DF" w:rsidP="00DD05DF">
            <w:pPr>
              <w:widowControl/>
              <w:adjustRightInd w:val="0"/>
              <w:snapToGrid w:val="0"/>
              <w:jc w:val="center"/>
            </w:pPr>
            <w:r w:rsidRPr="00DD05DF">
              <w:t>达标</w:t>
            </w:r>
          </w:p>
        </w:tc>
      </w:tr>
      <w:tr w:rsidR="00DD05DF" w:rsidRPr="00DD05DF" w14:paraId="64534994" w14:textId="77777777" w:rsidTr="00E24385">
        <w:trPr>
          <w:trHeight w:val="425"/>
          <w:jc w:val="center"/>
        </w:trPr>
        <w:tc>
          <w:tcPr>
            <w:tcW w:w="1669" w:type="dxa"/>
            <w:tcBorders>
              <w:top w:val="single" w:sz="6" w:space="0" w:color="auto"/>
              <w:left w:val="single" w:sz="6" w:space="0" w:color="auto"/>
              <w:bottom w:val="single" w:sz="6" w:space="0" w:color="auto"/>
              <w:right w:val="single" w:sz="6" w:space="0" w:color="auto"/>
            </w:tcBorders>
            <w:noWrap/>
            <w:vAlign w:val="center"/>
          </w:tcPr>
          <w:p w14:paraId="0B456D12" w14:textId="77777777" w:rsidR="00DD05DF" w:rsidRPr="00DD05DF" w:rsidRDefault="00DD05DF" w:rsidP="00DD05DF">
            <w:pPr>
              <w:widowControl/>
              <w:adjustRightInd w:val="0"/>
              <w:snapToGrid w:val="0"/>
              <w:jc w:val="center"/>
            </w:pPr>
            <w:r w:rsidRPr="00DD05DF">
              <w:t>PM</w:t>
            </w:r>
            <w:r w:rsidRPr="00DD05DF">
              <w:rPr>
                <w:vertAlign w:val="subscript"/>
              </w:rPr>
              <w:t>2.5</w:t>
            </w:r>
          </w:p>
        </w:tc>
        <w:tc>
          <w:tcPr>
            <w:tcW w:w="2187" w:type="dxa"/>
            <w:tcBorders>
              <w:top w:val="single" w:sz="6" w:space="0" w:color="auto"/>
              <w:left w:val="single" w:sz="6" w:space="0" w:color="auto"/>
              <w:bottom w:val="single" w:sz="6" w:space="0" w:color="auto"/>
              <w:right w:val="single" w:sz="6" w:space="0" w:color="auto"/>
            </w:tcBorders>
            <w:noWrap/>
            <w:vAlign w:val="center"/>
          </w:tcPr>
          <w:p w14:paraId="01760A8F" w14:textId="77777777" w:rsidR="00DD05DF" w:rsidRPr="00DD05DF" w:rsidRDefault="00DD05DF" w:rsidP="00DD05DF">
            <w:pPr>
              <w:widowControl/>
              <w:adjustRightInd w:val="0"/>
              <w:snapToGrid w:val="0"/>
              <w:jc w:val="center"/>
            </w:pPr>
            <w:r w:rsidRPr="00DD05DF">
              <w:t>年平均质量浓度</w:t>
            </w:r>
          </w:p>
        </w:tc>
        <w:tc>
          <w:tcPr>
            <w:tcW w:w="1555" w:type="dxa"/>
            <w:tcBorders>
              <w:top w:val="single" w:sz="6" w:space="0" w:color="auto"/>
              <w:left w:val="single" w:sz="6" w:space="0" w:color="auto"/>
              <w:bottom w:val="single" w:sz="6" w:space="0" w:color="auto"/>
              <w:right w:val="single" w:sz="6" w:space="0" w:color="auto"/>
            </w:tcBorders>
            <w:noWrap/>
            <w:vAlign w:val="center"/>
          </w:tcPr>
          <w:p w14:paraId="287FBA36" w14:textId="77777777" w:rsidR="00DD05DF" w:rsidRPr="00DD05DF" w:rsidRDefault="00DD05DF" w:rsidP="00DD05DF">
            <w:pPr>
              <w:widowControl/>
              <w:adjustRightInd w:val="0"/>
              <w:snapToGrid w:val="0"/>
              <w:jc w:val="center"/>
            </w:pPr>
            <w:r w:rsidRPr="00DD05DF">
              <w:rPr>
                <w:rFonts w:hint="eastAsia"/>
              </w:rPr>
              <w:t>32</w:t>
            </w:r>
          </w:p>
        </w:tc>
        <w:tc>
          <w:tcPr>
            <w:tcW w:w="1394" w:type="dxa"/>
            <w:tcBorders>
              <w:top w:val="single" w:sz="6" w:space="0" w:color="auto"/>
              <w:left w:val="single" w:sz="6" w:space="0" w:color="auto"/>
              <w:bottom w:val="single" w:sz="6" w:space="0" w:color="auto"/>
              <w:right w:val="single" w:sz="6" w:space="0" w:color="auto"/>
            </w:tcBorders>
            <w:noWrap/>
            <w:vAlign w:val="center"/>
          </w:tcPr>
          <w:p w14:paraId="47176E2D" w14:textId="77777777" w:rsidR="00DD05DF" w:rsidRPr="00DD05DF" w:rsidRDefault="00DD05DF" w:rsidP="00DD05DF">
            <w:pPr>
              <w:widowControl/>
              <w:adjustRightInd w:val="0"/>
              <w:snapToGrid w:val="0"/>
              <w:jc w:val="center"/>
            </w:pPr>
            <w:r w:rsidRPr="00DD05DF">
              <w:t>35</w:t>
            </w:r>
          </w:p>
        </w:tc>
        <w:tc>
          <w:tcPr>
            <w:tcW w:w="786" w:type="dxa"/>
            <w:tcBorders>
              <w:top w:val="single" w:sz="6" w:space="0" w:color="auto"/>
              <w:left w:val="single" w:sz="6" w:space="0" w:color="auto"/>
              <w:bottom w:val="single" w:sz="6" w:space="0" w:color="auto"/>
              <w:right w:val="single" w:sz="6" w:space="0" w:color="auto"/>
            </w:tcBorders>
            <w:noWrap/>
            <w:vAlign w:val="center"/>
          </w:tcPr>
          <w:p w14:paraId="68EAA167" w14:textId="77777777" w:rsidR="00DD05DF" w:rsidRPr="00DD05DF" w:rsidRDefault="00DD05DF" w:rsidP="00DD05DF">
            <w:pPr>
              <w:widowControl/>
              <w:adjustRightInd w:val="0"/>
              <w:snapToGrid w:val="0"/>
              <w:jc w:val="center"/>
            </w:pPr>
            <w:r w:rsidRPr="00DD05DF">
              <w:rPr>
                <w:rFonts w:hint="eastAsia"/>
              </w:rPr>
              <w:t>91.4</w:t>
            </w:r>
          </w:p>
        </w:tc>
        <w:tc>
          <w:tcPr>
            <w:tcW w:w="813" w:type="dxa"/>
            <w:tcBorders>
              <w:top w:val="single" w:sz="6" w:space="0" w:color="auto"/>
              <w:left w:val="single" w:sz="6" w:space="0" w:color="auto"/>
              <w:bottom w:val="single" w:sz="6" w:space="0" w:color="auto"/>
              <w:right w:val="single" w:sz="6" w:space="0" w:color="auto"/>
            </w:tcBorders>
            <w:noWrap/>
            <w:vAlign w:val="center"/>
          </w:tcPr>
          <w:p w14:paraId="0C3EE7E7" w14:textId="77777777" w:rsidR="00DD05DF" w:rsidRPr="00DD05DF" w:rsidRDefault="00DD05DF" w:rsidP="00DD05DF">
            <w:pPr>
              <w:widowControl/>
              <w:adjustRightInd w:val="0"/>
              <w:snapToGrid w:val="0"/>
              <w:jc w:val="center"/>
            </w:pPr>
            <w:r w:rsidRPr="00DD05DF">
              <w:t>达标</w:t>
            </w:r>
          </w:p>
        </w:tc>
      </w:tr>
      <w:tr w:rsidR="00DD05DF" w:rsidRPr="00DD05DF" w14:paraId="3EAE2F28" w14:textId="77777777" w:rsidTr="00E24385">
        <w:trPr>
          <w:trHeight w:val="425"/>
          <w:jc w:val="center"/>
        </w:trPr>
        <w:tc>
          <w:tcPr>
            <w:tcW w:w="1669" w:type="dxa"/>
            <w:tcBorders>
              <w:top w:val="single" w:sz="6" w:space="0" w:color="auto"/>
              <w:left w:val="single" w:sz="6" w:space="0" w:color="auto"/>
              <w:bottom w:val="single" w:sz="6" w:space="0" w:color="auto"/>
              <w:right w:val="single" w:sz="6" w:space="0" w:color="auto"/>
            </w:tcBorders>
            <w:noWrap/>
            <w:vAlign w:val="center"/>
          </w:tcPr>
          <w:p w14:paraId="6A3AA99A" w14:textId="77777777" w:rsidR="00DD05DF" w:rsidRPr="00DD05DF" w:rsidRDefault="00DD05DF" w:rsidP="00DD05DF">
            <w:pPr>
              <w:widowControl/>
              <w:adjustRightInd w:val="0"/>
              <w:snapToGrid w:val="0"/>
              <w:jc w:val="center"/>
            </w:pPr>
            <w:r w:rsidRPr="00DD05DF">
              <w:t>CO</w:t>
            </w:r>
          </w:p>
        </w:tc>
        <w:tc>
          <w:tcPr>
            <w:tcW w:w="2187" w:type="dxa"/>
            <w:tcBorders>
              <w:top w:val="single" w:sz="6" w:space="0" w:color="auto"/>
              <w:left w:val="single" w:sz="6" w:space="0" w:color="auto"/>
              <w:bottom w:val="single" w:sz="6" w:space="0" w:color="auto"/>
              <w:right w:val="single" w:sz="6" w:space="0" w:color="auto"/>
            </w:tcBorders>
            <w:noWrap/>
            <w:vAlign w:val="center"/>
          </w:tcPr>
          <w:p w14:paraId="678955EE" w14:textId="77777777" w:rsidR="00DD05DF" w:rsidRPr="00DD05DF" w:rsidRDefault="00DD05DF" w:rsidP="00DD05DF">
            <w:pPr>
              <w:widowControl/>
              <w:adjustRightInd w:val="0"/>
              <w:snapToGrid w:val="0"/>
              <w:jc w:val="center"/>
            </w:pPr>
            <w:r w:rsidRPr="00DD05DF">
              <w:t>24</w:t>
            </w:r>
            <w:r w:rsidRPr="00DD05DF">
              <w:t>小时平均第</w:t>
            </w:r>
            <w:r w:rsidRPr="00DD05DF">
              <w:t>95</w:t>
            </w:r>
            <w:r w:rsidRPr="00DD05DF">
              <w:t>百分位数</w:t>
            </w:r>
          </w:p>
        </w:tc>
        <w:tc>
          <w:tcPr>
            <w:tcW w:w="1555" w:type="dxa"/>
            <w:tcBorders>
              <w:top w:val="single" w:sz="6" w:space="0" w:color="auto"/>
              <w:left w:val="single" w:sz="6" w:space="0" w:color="auto"/>
              <w:bottom w:val="single" w:sz="6" w:space="0" w:color="auto"/>
              <w:right w:val="single" w:sz="6" w:space="0" w:color="auto"/>
            </w:tcBorders>
            <w:noWrap/>
            <w:vAlign w:val="center"/>
          </w:tcPr>
          <w:p w14:paraId="1AB27543" w14:textId="77777777" w:rsidR="00DD05DF" w:rsidRPr="00DD05DF" w:rsidRDefault="00DD05DF" w:rsidP="00DD05DF">
            <w:pPr>
              <w:widowControl/>
              <w:adjustRightInd w:val="0"/>
              <w:snapToGrid w:val="0"/>
              <w:jc w:val="center"/>
            </w:pPr>
            <w:r w:rsidRPr="00DD05DF">
              <w:t>800</w:t>
            </w:r>
          </w:p>
        </w:tc>
        <w:tc>
          <w:tcPr>
            <w:tcW w:w="1394" w:type="dxa"/>
            <w:tcBorders>
              <w:top w:val="single" w:sz="6" w:space="0" w:color="auto"/>
              <w:left w:val="single" w:sz="6" w:space="0" w:color="auto"/>
              <w:bottom w:val="single" w:sz="6" w:space="0" w:color="auto"/>
              <w:right w:val="single" w:sz="6" w:space="0" w:color="auto"/>
            </w:tcBorders>
            <w:noWrap/>
            <w:vAlign w:val="center"/>
          </w:tcPr>
          <w:p w14:paraId="4B495119" w14:textId="77777777" w:rsidR="00DD05DF" w:rsidRPr="00DD05DF" w:rsidRDefault="00DD05DF" w:rsidP="00DD05DF">
            <w:pPr>
              <w:widowControl/>
              <w:adjustRightInd w:val="0"/>
              <w:snapToGrid w:val="0"/>
              <w:jc w:val="center"/>
            </w:pPr>
            <w:r w:rsidRPr="00DD05DF">
              <w:t>4000</w:t>
            </w:r>
          </w:p>
        </w:tc>
        <w:tc>
          <w:tcPr>
            <w:tcW w:w="786" w:type="dxa"/>
            <w:tcBorders>
              <w:top w:val="single" w:sz="6" w:space="0" w:color="auto"/>
              <w:left w:val="single" w:sz="6" w:space="0" w:color="auto"/>
              <w:bottom w:val="single" w:sz="6" w:space="0" w:color="auto"/>
              <w:right w:val="single" w:sz="6" w:space="0" w:color="auto"/>
            </w:tcBorders>
            <w:noWrap/>
            <w:vAlign w:val="center"/>
          </w:tcPr>
          <w:p w14:paraId="56B90A0B" w14:textId="77777777" w:rsidR="00DD05DF" w:rsidRPr="00DD05DF" w:rsidRDefault="00DD05DF" w:rsidP="00DD05DF">
            <w:pPr>
              <w:widowControl/>
              <w:adjustRightInd w:val="0"/>
              <w:snapToGrid w:val="0"/>
              <w:jc w:val="center"/>
            </w:pPr>
            <w:r w:rsidRPr="00DD05DF">
              <w:t>20</w:t>
            </w:r>
          </w:p>
        </w:tc>
        <w:tc>
          <w:tcPr>
            <w:tcW w:w="813" w:type="dxa"/>
            <w:tcBorders>
              <w:top w:val="single" w:sz="6" w:space="0" w:color="auto"/>
              <w:left w:val="single" w:sz="6" w:space="0" w:color="auto"/>
              <w:bottom w:val="single" w:sz="6" w:space="0" w:color="auto"/>
              <w:right w:val="single" w:sz="6" w:space="0" w:color="auto"/>
            </w:tcBorders>
            <w:noWrap/>
            <w:vAlign w:val="center"/>
          </w:tcPr>
          <w:p w14:paraId="13C3194C" w14:textId="77777777" w:rsidR="00DD05DF" w:rsidRPr="00DD05DF" w:rsidRDefault="00DD05DF" w:rsidP="00DD05DF">
            <w:pPr>
              <w:widowControl/>
              <w:adjustRightInd w:val="0"/>
              <w:snapToGrid w:val="0"/>
              <w:jc w:val="center"/>
            </w:pPr>
            <w:r w:rsidRPr="00DD05DF">
              <w:t>达标</w:t>
            </w:r>
          </w:p>
        </w:tc>
      </w:tr>
      <w:tr w:rsidR="00DD05DF" w:rsidRPr="00DD05DF" w14:paraId="54574735" w14:textId="77777777" w:rsidTr="00E24385">
        <w:trPr>
          <w:trHeight w:val="425"/>
          <w:jc w:val="center"/>
        </w:trPr>
        <w:tc>
          <w:tcPr>
            <w:tcW w:w="1669" w:type="dxa"/>
            <w:tcBorders>
              <w:top w:val="single" w:sz="6" w:space="0" w:color="auto"/>
              <w:left w:val="single" w:sz="6" w:space="0" w:color="auto"/>
              <w:bottom w:val="single" w:sz="6" w:space="0" w:color="auto"/>
              <w:right w:val="single" w:sz="6" w:space="0" w:color="auto"/>
            </w:tcBorders>
            <w:noWrap/>
            <w:vAlign w:val="center"/>
          </w:tcPr>
          <w:p w14:paraId="3B53F45D" w14:textId="77777777" w:rsidR="00DD05DF" w:rsidRPr="00DD05DF" w:rsidRDefault="00DD05DF" w:rsidP="00DD05DF">
            <w:pPr>
              <w:widowControl/>
              <w:adjustRightInd w:val="0"/>
              <w:snapToGrid w:val="0"/>
              <w:jc w:val="center"/>
            </w:pPr>
            <w:r w:rsidRPr="00DD05DF">
              <w:t>O</w:t>
            </w:r>
            <w:r w:rsidRPr="00DD05DF">
              <w:rPr>
                <w:vertAlign w:val="subscript"/>
              </w:rPr>
              <w:t>3</w:t>
            </w:r>
            <w:r w:rsidRPr="00DD05DF">
              <w:t>日最大</w:t>
            </w:r>
            <w:r w:rsidRPr="00DD05DF">
              <w:t>8</w:t>
            </w:r>
            <w:r w:rsidRPr="00DD05DF">
              <w:t>小时平均</w:t>
            </w:r>
          </w:p>
        </w:tc>
        <w:tc>
          <w:tcPr>
            <w:tcW w:w="2187" w:type="dxa"/>
            <w:tcBorders>
              <w:top w:val="single" w:sz="6" w:space="0" w:color="auto"/>
              <w:left w:val="single" w:sz="6" w:space="0" w:color="auto"/>
              <w:bottom w:val="single" w:sz="6" w:space="0" w:color="auto"/>
              <w:right w:val="single" w:sz="6" w:space="0" w:color="auto"/>
            </w:tcBorders>
            <w:noWrap/>
            <w:vAlign w:val="center"/>
          </w:tcPr>
          <w:p w14:paraId="1ED25DAB" w14:textId="77777777" w:rsidR="00DD05DF" w:rsidRPr="00DD05DF" w:rsidRDefault="00DD05DF" w:rsidP="00DD05DF">
            <w:pPr>
              <w:widowControl/>
              <w:adjustRightInd w:val="0"/>
              <w:snapToGrid w:val="0"/>
              <w:jc w:val="center"/>
            </w:pPr>
            <w:r w:rsidRPr="00DD05DF">
              <w:t>第</w:t>
            </w:r>
            <w:r w:rsidRPr="00DD05DF">
              <w:t>90</w:t>
            </w:r>
            <w:r w:rsidRPr="00DD05DF">
              <w:t>百分位数平均质量浓度</w:t>
            </w:r>
          </w:p>
        </w:tc>
        <w:tc>
          <w:tcPr>
            <w:tcW w:w="1555" w:type="dxa"/>
            <w:tcBorders>
              <w:top w:val="single" w:sz="6" w:space="0" w:color="auto"/>
              <w:left w:val="single" w:sz="6" w:space="0" w:color="auto"/>
              <w:bottom w:val="single" w:sz="6" w:space="0" w:color="auto"/>
              <w:right w:val="single" w:sz="6" w:space="0" w:color="auto"/>
            </w:tcBorders>
            <w:noWrap/>
            <w:vAlign w:val="center"/>
          </w:tcPr>
          <w:p w14:paraId="07602059" w14:textId="77777777" w:rsidR="00DD05DF" w:rsidRPr="00DD05DF" w:rsidRDefault="00DD05DF" w:rsidP="00DD05DF">
            <w:pPr>
              <w:widowControl/>
              <w:adjustRightInd w:val="0"/>
              <w:snapToGrid w:val="0"/>
              <w:jc w:val="center"/>
            </w:pPr>
            <w:r w:rsidRPr="00DD05DF">
              <w:t>1</w:t>
            </w:r>
            <w:r w:rsidRPr="00DD05DF">
              <w:rPr>
                <w:rFonts w:hint="eastAsia"/>
              </w:rPr>
              <w:t>14</w:t>
            </w:r>
          </w:p>
        </w:tc>
        <w:tc>
          <w:tcPr>
            <w:tcW w:w="1394" w:type="dxa"/>
            <w:tcBorders>
              <w:top w:val="single" w:sz="6" w:space="0" w:color="auto"/>
              <w:left w:val="single" w:sz="6" w:space="0" w:color="auto"/>
              <w:bottom w:val="single" w:sz="6" w:space="0" w:color="auto"/>
              <w:right w:val="single" w:sz="6" w:space="0" w:color="auto"/>
            </w:tcBorders>
            <w:noWrap/>
            <w:vAlign w:val="center"/>
          </w:tcPr>
          <w:p w14:paraId="0DC5A4CA" w14:textId="77777777" w:rsidR="00DD05DF" w:rsidRPr="00DD05DF" w:rsidRDefault="00DD05DF" w:rsidP="00DD05DF">
            <w:pPr>
              <w:widowControl/>
              <w:adjustRightInd w:val="0"/>
              <w:snapToGrid w:val="0"/>
              <w:jc w:val="center"/>
            </w:pPr>
            <w:r w:rsidRPr="00DD05DF">
              <w:t>160</w:t>
            </w:r>
          </w:p>
        </w:tc>
        <w:tc>
          <w:tcPr>
            <w:tcW w:w="786" w:type="dxa"/>
            <w:tcBorders>
              <w:top w:val="single" w:sz="6" w:space="0" w:color="auto"/>
              <w:left w:val="single" w:sz="6" w:space="0" w:color="auto"/>
              <w:bottom w:val="single" w:sz="6" w:space="0" w:color="auto"/>
              <w:right w:val="single" w:sz="6" w:space="0" w:color="auto"/>
            </w:tcBorders>
            <w:noWrap/>
            <w:vAlign w:val="center"/>
          </w:tcPr>
          <w:p w14:paraId="724FA488" w14:textId="77777777" w:rsidR="00DD05DF" w:rsidRPr="00DD05DF" w:rsidRDefault="00DD05DF" w:rsidP="00DD05DF">
            <w:pPr>
              <w:widowControl/>
              <w:adjustRightInd w:val="0"/>
              <w:snapToGrid w:val="0"/>
              <w:jc w:val="center"/>
            </w:pPr>
            <w:r w:rsidRPr="00DD05DF">
              <w:rPr>
                <w:rFonts w:hint="eastAsia"/>
              </w:rPr>
              <w:t>71.3</w:t>
            </w:r>
          </w:p>
        </w:tc>
        <w:tc>
          <w:tcPr>
            <w:tcW w:w="813" w:type="dxa"/>
            <w:tcBorders>
              <w:top w:val="single" w:sz="6" w:space="0" w:color="auto"/>
              <w:left w:val="single" w:sz="6" w:space="0" w:color="auto"/>
              <w:bottom w:val="single" w:sz="6" w:space="0" w:color="auto"/>
              <w:right w:val="single" w:sz="6" w:space="0" w:color="auto"/>
            </w:tcBorders>
            <w:noWrap/>
            <w:vAlign w:val="center"/>
          </w:tcPr>
          <w:p w14:paraId="7467FCB9" w14:textId="77777777" w:rsidR="00DD05DF" w:rsidRPr="00DD05DF" w:rsidRDefault="00DD05DF" w:rsidP="00DD05DF">
            <w:pPr>
              <w:widowControl/>
              <w:adjustRightInd w:val="0"/>
              <w:snapToGrid w:val="0"/>
              <w:jc w:val="center"/>
            </w:pPr>
            <w:r w:rsidRPr="00DD05DF">
              <w:t>达标</w:t>
            </w:r>
          </w:p>
        </w:tc>
      </w:tr>
    </w:tbl>
    <w:p w14:paraId="33539BCA" w14:textId="77777777" w:rsidR="00DD05DF" w:rsidRPr="00DD05DF" w:rsidRDefault="00DD05DF" w:rsidP="00DD05DF">
      <w:pPr>
        <w:spacing w:line="360" w:lineRule="auto"/>
        <w:ind w:firstLineChars="200" w:firstLine="420"/>
      </w:pPr>
      <w:r w:rsidRPr="00DD05DF">
        <w:t>由上表可知，</w:t>
      </w:r>
      <w:r w:rsidRPr="00DD05DF">
        <w:t>202</w:t>
      </w:r>
      <w:r w:rsidRPr="00DD05DF">
        <w:rPr>
          <w:rFonts w:hint="eastAsia"/>
        </w:rPr>
        <w:t>4</w:t>
      </w:r>
      <w:r w:rsidRPr="00DD05DF">
        <w:t>年大庆市基本污染物</w:t>
      </w:r>
      <w:r w:rsidRPr="00DD05DF">
        <w:t xml:space="preserve"> PM</w:t>
      </w:r>
      <w:r w:rsidRPr="00DD05DF">
        <w:rPr>
          <w:vertAlign w:val="subscript"/>
        </w:rPr>
        <w:t>2.5</w:t>
      </w:r>
      <w:r w:rsidRPr="00DD05DF">
        <w:t>、</w:t>
      </w:r>
      <w:r w:rsidRPr="00DD05DF">
        <w:t>PM</w:t>
      </w:r>
      <w:r w:rsidRPr="00DD05DF">
        <w:rPr>
          <w:vertAlign w:val="subscript"/>
        </w:rPr>
        <w:t>10</w:t>
      </w:r>
      <w:r w:rsidRPr="00DD05DF">
        <w:t>、</w:t>
      </w:r>
      <w:r w:rsidRPr="00DD05DF">
        <w:t>SO</w:t>
      </w:r>
      <w:r w:rsidRPr="00DD05DF">
        <w:rPr>
          <w:vertAlign w:val="subscript"/>
        </w:rPr>
        <w:t>2</w:t>
      </w:r>
      <w:r w:rsidRPr="00DD05DF">
        <w:t>、</w:t>
      </w:r>
      <w:r w:rsidRPr="00DD05DF">
        <w:t>NO</w:t>
      </w:r>
      <w:r w:rsidRPr="00DD05DF">
        <w:rPr>
          <w:vertAlign w:val="subscript"/>
        </w:rPr>
        <w:t>2</w:t>
      </w:r>
      <w:r w:rsidRPr="00DD05DF">
        <w:t>、</w:t>
      </w:r>
      <w:r w:rsidRPr="00DD05DF">
        <w:t>CO</w:t>
      </w:r>
      <w:r w:rsidRPr="00DD05DF">
        <w:t>、</w:t>
      </w:r>
      <w:r w:rsidRPr="00DD05DF">
        <w:t>O</w:t>
      </w:r>
      <w:r w:rsidRPr="00DD05DF">
        <w:rPr>
          <w:vertAlign w:val="subscript"/>
        </w:rPr>
        <w:t>3</w:t>
      </w:r>
      <w:r w:rsidRPr="00DD05DF">
        <w:t>均能满足《环境空气质量标准》（</w:t>
      </w:r>
      <w:r w:rsidRPr="00DD05DF">
        <w:t>GB3095-2012</w:t>
      </w:r>
      <w:r w:rsidRPr="00DD05DF">
        <w:t>）及其修改单中二级标准限值，属于达标区。</w:t>
      </w:r>
    </w:p>
    <w:p w14:paraId="7D8ADDE5" w14:textId="3C312698" w:rsidR="00606029" w:rsidRDefault="00EA5B92" w:rsidP="00B4188C">
      <w:pPr>
        <w:widowControl/>
        <w:autoSpaceDE w:val="0"/>
        <w:autoSpaceDN w:val="0"/>
        <w:adjustRightInd w:val="0"/>
        <w:snapToGrid w:val="0"/>
        <w:spacing w:line="360" w:lineRule="auto"/>
        <w:ind w:firstLineChars="200" w:firstLine="480"/>
        <w:textAlignment w:val="baseline"/>
        <w:rPr>
          <w:snapToGrid w:val="0"/>
          <w:color w:val="000000"/>
          <w:kern w:val="0"/>
          <w:sz w:val="24"/>
        </w:rPr>
      </w:pPr>
      <w:r w:rsidRPr="00B028AD">
        <w:rPr>
          <w:snapToGrid w:val="0"/>
          <w:color w:val="000000"/>
          <w:kern w:val="0"/>
          <w:sz w:val="24"/>
        </w:rPr>
        <w:lastRenderedPageBreak/>
        <w:t>（</w:t>
      </w:r>
      <w:r w:rsidRPr="00B028AD">
        <w:rPr>
          <w:snapToGrid w:val="0"/>
          <w:color w:val="000000"/>
          <w:kern w:val="0"/>
          <w:sz w:val="24"/>
        </w:rPr>
        <w:t>2</w:t>
      </w:r>
      <w:r w:rsidRPr="00B028AD">
        <w:rPr>
          <w:snapToGrid w:val="0"/>
          <w:color w:val="000000"/>
          <w:kern w:val="0"/>
          <w:sz w:val="24"/>
        </w:rPr>
        <w:t>）补充监测</w:t>
      </w:r>
    </w:p>
    <w:p w14:paraId="536F8D6E" w14:textId="4E9057E5" w:rsidR="00606029" w:rsidRDefault="00EA5B92">
      <w:pPr>
        <w:spacing w:line="360" w:lineRule="auto"/>
        <w:ind w:firstLineChars="200" w:firstLine="480"/>
        <w:rPr>
          <w:sz w:val="24"/>
          <w:szCs w:val="24"/>
        </w:rPr>
      </w:pPr>
      <w:r>
        <w:rPr>
          <w:sz w:val="24"/>
          <w:szCs w:val="24"/>
        </w:rPr>
        <w:t>为了解项目区域特征污染物环境质量现状，</w:t>
      </w:r>
      <w:r w:rsidR="00A9512E">
        <w:rPr>
          <w:rFonts w:hint="eastAsia"/>
          <w:sz w:val="24"/>
          <w:szCs w:val="24"/>
        </w:rPr>
        <w:t>根据</w:t>
      </w:r>
      <w:r>
        <w:rPr>
          <w:sz w:val="24"/>
          <w:szCs w:val="24"/>
        </w:rPr>
        <w:t>《环境影响评价技术导则</w:t>
      </w:r>
      <w:r>
        <w:rPr>
          <w:sz w:val="24"/>
          <w:szCs w:val="24"/>
        </w:rPr>
        <w:t xml:space="preserve"> </w:t>
      </w:r>
      <w:r>
        <w:rPr>
          <w:sz w:val="24"/>
          <w:szCs w:val="24"/>
        </w:rPr>
        <w:t>大气环境》（</w:t>
      </w:r>
      <w:r>
        <w:rPr>
          <w:sz w:val="24"/>
          <w:szCs w:val="24"/>
        </w:rPr>
        <w:t>HJ2.2-2018</w:t>
      </w:r>
      <w:r>
        <w:rPr>
          <w:sz w:val="24"/>
          <w:szCs w:val="24"/>
        </w:rPr>
        <w:t>）的要求，共设置了</w:t>
      </w:r>
      <w:r>
        <w:rPr>
          <w:sz w:val="24"/>
          <w:szCs w:val="24"/>
        </w:rPr>
        <w:t>2</w:t>
      </w:r>
      <w:r>
        <w:rPr>
          <w:sz w:val="24"/>
          <w:szCs w:val="24"/>
        </w:rPr>
        <w:t>个监测点位对项目区域内的环境空气质量现状进行了监测。</w:t>
      </w:r>
      <w:r w:rsidR="00413E54">
        <w:rPr>
          <w:rFonts w:hint="eastAsia"/>
          <w:sz w:val="24"/>
          <w:szCs w:val="24"/>
        </w:rPr>
        <w:t>监测时间</w:t>
      </w:r>
      <w:r w:rsidR="00413E54">
        <w:rPr>
          <w:rFonts w:hint="eastAsia"/>
          <w:sz w:val="24"/>
          <w:szCs w:val="24"/>
        </w:rPr>
        <w:t>2025</w:t>
      </w:r>
      <w:r w:rsidR="00413E54">
        <w:rPr>
          <w:rFonts w:hint="eastAsia"/>
          <w:sz w:val="24"/>
          <w:szCs w:val="24"/>
        </w:rPr>
        <w:t>年</w:t>
      </w:r>
      <w:r w:rsidR="00413E54">
        <w:rPr>
          <w:rFonts w:hint="eastAsia"/>
          <w:sz w:val="24"/>
          <w:szCs w:val="24"/>
        </w:rPr>
        <w:t>12</w:t>
      </w:r>
      <w:r w:rsidR="00413E54">
        <w:rPr>
          <w:rFonts w:hint="eastAsia"/>
          <w:sz w:val="24"/>
          <w:szCs w:val="24"/>
        </w:rPr>
        <w:t>月</w:t>
      </w:r>
      <w:r w:rsidR="00413E54">
        <w:rPr>
          <w:rFonts w:hint="eastAsia"/>
          <w:sz w:val="24"/>
          <w:szCs w:val="24"/>
        </w:rPr>
        <w:t>10~16</w:t>
      </w:r>
      <w:r w:rsidR="00413E54">
        <w:rPr>
          <w:rFonts w:hint="eastAsia"/>
          <w:sz w:val="24"/>
          <w:szCs w:val="24"/>
        </w:rPr>
        <w:t>日</w:t>
      </w:r>
    </w:p>
    <w:p w14:paraId="79919CE2" w14:textId="77777777" w:rsidR="00606029" w:rsidRDefault="00EA5B92">
      <w:pPr>
        <w:adjustRightInd w:val="0"/>
        <w:snapToGrid w:val="0"/>
        <w:spacing w:line="360" w:lineRule="auto"/>
        <w:ind w:firstLineChars="200" w:firstLine="480"/>
        <w:rPr>
          <w:sz w:val="24"/>
          <w:szCs w:val="26"/>
        </w:rPr>
      </w:pPr>
      <w:r>
        <w:rPr>
          <w:sz w:val="24"/>
          <w:szCs w:val="26"/>
        </w:rPr>
        <w:t>①</w:t>
      </w:r>
      <w:r>
        <w:rPr>
          <w:sz w:val="24"/>
          <w:szCs w:val="26"/>
        </w:rPr>
        <w:t>监测点位</w:t>
      </w:r>
    </w:p>
    <w:p w14:paraId="623C87D4" w14:textId="37A48719" w:rsidR="00606029" w:rsidRDefault="00A9512E">
      <w:pPr>
        <w:adjustRightInd w:val="0"/>
        <w:snapToGrid w:val="0"/>
        <w:spacing w:line="360" w:lineRule="auto"/>
        <w:ind w:firstLineChars="200" w:firstLine="480"/>
        <w:rPr>
          <w:sz w:val="24"/>
          <w:szCs w:val="26"/>
        </w:rPr>
      </w:pPr>
      <w:r>
        <w:rPr>
          <w:rFonts w:hint="eastAsia"/>
          <w:sz w:val="24"/>
          <w:szCs w:val="26"/>
        </w:rPr>
        <w:t>监测点位布置见下表</w:t>
      </w:r>
      <w:r w:rsidR="00EA5B92">
        <w:rPr>
          <w:sz w:val="24"/>
          <w:szCs w:val="26"/>
        </w:rPr>
        <w:t>。</w:t>
      </w:r>
    </w:p>
    <w:p w14:paraId="4733C86D" w14:textId="77777777" w:rsidR="00606029" w:rsidRDefault="00EA5B92">
      <w:pPr>
        <w:pStyle w:val="affffff5"/>
      </w:pPr>
      <w:r>
        <w:t>表</w:t>
      </w:r>
      <w:r>
        <w:t xml:space="preserve">5.3-2  </w:t>
      </w:r>
      <w:r>
        <w:t>环境空气监测点位布置</w:t>
      </w:r>
    </w:p>
    <w:tbl>
      <w:tblPr>
        <w:tblW w:w="5000" w:type="pct"/>
        <w:jc w:val="center"/>
        <w:tblBorders>
          <w:top w:val="single" w:sz="4" w:space="0" w:color="auto"/>
          <w:left w:val="single" w:sz="4" w:space="0" w:color="auto"/>
          <w:bottom w:val="single" w:sz="4" w:space="0" w:color="auto"/>
          <w:right w:val="single" w:sz="4" w:space="0" w:color="auto"/>
          <w:insideH w:val="single" w:sz="2" w:space="0" w:color="auto"/>
          <w:insideV w:val="single" w:sz="2" w:space="0" w:color="auto"/>
        </w:tblBorders>
        <w:tblLook w:val="04A0" w:firstRow="1" w:lastRow="0" w:firstColumn="1" w:lastColumn="0" w:noHBand="0" w:noVBand="1"/>
      </w:tblPr>
      <w:tblGrid>
        <w:gridCol w:w="703"/>
        <w:gridCol w:w="1419"/>
        <w:gridCol w:w="2975"/>
        <w:gridCol w:w="2359"/>
        <w:gridCol w:w="1378"/>
      </w:tblGrid>
      <w:tr w:rsidR="00B4188C" w14:paraId="441349FF" w14:textId="77777777" w:rsidTr="00B4188C">
        <w:trPr>
          <w:jc w:val="center"/>
        </w:trPr>
        <w:tc>
          <w:tcPr>
            <w:tcW w:w="398" w:type="pct"/>
            <w:vAlign w:val="center"/>
          </w:tcPr>
          <w:p w14:paraId="289CD378" w14:textId="360E45FE" w:rsidR="00B4188C" w:rsidRDefault="00413E54">
            <w:pPr>
              <w:adjustRightInd w:val="0"/>
              <w:snapToGrid w:val="0"/>
              <w:spacing w:line="280" w:lineRule="exact"/>
              <w:jc w:val="center"/>
            </w:pPr>
            <w:r>
              <w:rPr>
                <w:rFonts w:hint="eastAsia"/>
              </w:rPr>
              <w:t>编号</w:t>
            </w:r>
          </w:p>
        </w:tc>
        <w:tc>
          <w:tcPr>
            <w:tcW w:w="803" w:type="pct"/>
            <w:vAlign w:val="center"/>
          </w:tcPr>
          <w:p w14:paraId="23695C37" w14:textId="77777777" w:rsidR="00B4188C" w:rsidRDefault="00B4188C">
            <w:pPr>
              <w:adjustRightInd w:val="0"/>
              <w:snapToGrid w:val="0"/>
              <w:spacing w:line="280" w:lineRule="exact"/>
              <w:jc w:val="center"/>
            </w:pPr>
            <w:r>
              <w:t>监测点名称</w:t>
            </w:r>
          </w:p>
        </w:tc>
        <w:tc>
          <w:tcPr>
            <w:tcW w:w="1684" w:type="pct"/>
            <w:tcBorders>
              <w:right w:val="single" w:sz="4" w:space="0" w:color="auto"/>
            </w:tcBorders>
            <w:vAlign w:val="center"/>
          </w:tcPr>
          <w:p w14:paraId="4C10560A" w14:textId="77777777" w:rsidR="00B4188C" w:rsidRDefault="00B4188C">
            <w:pPr>
              <w:adjustRightInd w:val="0"/>
              <w:snapToGrid w:val="0"/>
              <w:spacing w:line="280" w:lineRule="exact"/>
              <w:jc w:val="center"/>
            </w:pPr>
            <w:r>
              <w:t>坐标</w:t>
            </w:r>
          </w:p>
        </w:tc>
        <w:tc>
          <w:tcPr>
            <w:tcW w:w="1335" w:type="pct"/>
            <w:tcBorders>
              <w:left w:val="single" w:sz="4" w:space="0" w:color="auto"/>
            </w:tcBorders>
            <w:vAlign w:val="center"/>
          </w:tcPr>
          <w:p w14:paraId="29C1AA95" w14:textId="39EC4C91" w:rsidR="00B4188C" w:rsidRDefault="00B4188C">
            <w:pPr>
              <w:adjustRightInd w:val="0"/>
              <w:snapToGrid w:val="0"/>
              <w:spacing w:line="280" w:lineRule="exact"/>
              <w:jc w:val="center"/>
            </w:pPr>
            <w:r>
              <w:rPr>
                <w:rFonts w:hint="eastAsia"/>
              </w:rPr>
              <w:t>方位距离</w:t>
            </w:r>
            <w:r>
              <w:t>m</w:t>
            </w:r>
          </w:p>
        </w:tc>
        <w:tc>
          <w:tcPr>
            <w:tcW w:w="780" w:type="pct"/>
            <w:vAlign w:val="center"/>
          </w:tcPr>
          <w:p w14:paraId="05B9CDA8" w14:textId="512B364B" w:rsidR="00B4188C" w:rsidRDefault="00B4188C">
            <w:pPr>
              <w:adjustRightInd w:val="0"/>
              <w:snapToGrid w:val="0"/>
              <w:spacing w:line="280" w:lineRule="exact"/>
              <w:jc w:val="center"/>
            </w:pPr>
            <w:r>
              <w:t>功能</w:t>
            </w:r>
          </w:p>
        </w:tc>
      </w:tr>
      <w:tr w:rsidR="00B4188C" w14:paraId="4978CFFD" w14:textId="77777777" w:rsidTr="00B4188C">
        <w:trPr>
          <w:jc w:val="center"/>
        </w:trPr>
        <w:tc>
          <w:tcPr>
            <w:tcW w:w="398" w:type="pct"/>
            <w:vAlign w:val="center"/>
          </w:tcPr>
          <w:p w14:paraId="330A9CAC" w14:textId="64707B97" w:rsidR="00B4188C" w:rsidRDefault="00413E54">
            <w:pPr>
              <w:adjustRightInd w:val="0"/>
              <w:snapToGrid w:val="0"/>
              <w:spacing w:line="280" w:lineRule="exact"/>
              <w:jc w:val="center"/>
            </w:pPr>
            <w:r>
              <w:rPr>
                <w:rFonts w:hint="eastAsia"/>
              </w:rPr>
              <w:t>A1</w:t>
            </w:r>
          </w:p>
        </w:tc>
        <w:tc>
          <w:tcPr>
            <w:tcW w:w="803" w:type="pct"/>
            <w:vAlign w:val="center"/>
          </w:tcPr>
          <w:p w14:paraId="39292E94" w14:textId="77777777" w:rsidR="00B4188C" w:rsidRDefault="00B4188C">
            <w:pPr>
              <w:adjustRightInd w:val="0"/>
              <w:snapToGrid w:val="0"/>
              <w:spacing w:line="280" w:lineRule="exact"/>
              <w:jc w:val="center"/>
            </w:pPr>
            <w:r>
              <w:t>厂址</w:t>
            </w:r>
          </w:p>
        </w:tc>
        <w:tc>
          <w:tcPr>
            <w:tcW w:w="1684" w:type="pct"/>
            <w:tcBorders>
              <w:right w:val="single" w:sz="4" w:space="0" w:color="auto"/>
            </w:tcBorders>
            <w:vAlign w:val="center"/>
          </w:tcPr>
          <w:p w14:paraId="42558A73" w14:textId="550EBE26" w:rsidR="00B4188C" w:rsidRDefault="00B4188C">
            <w:pPr>
              <w:adjustRightInd w:val="0"/>
              <w:snapToGrid w:val="0"/>
              <w:spacing w:line="280" w:lineRule="exact"/>
              <w:jc w:val="center"/>
            </w:pPr>
            <w:r w:rsidRPr="008D4DFE">
              <w:rPr>
                <w:rFonts w:eastAsia="仿宋"/>
              </w:rPr>
              <w:t>124.98152543</w:t>
            </w:r>
            <w:r w:rsidR="00CF2405">
              <w:rPr>
                <w:rFonts w:eastAsia="仿宋" w:hint="eastAsia"/>
              </w:rPr>
              <w:t>，</w:t>
            </w:r>
            <w:r w:rsidRPr="008D4DFE">
              <w:rPr>
                <w:rFonts w:eastAsia="仿宋"/>
              </w:rPr>
              <w:t>46.43260548</w:t>
            </w:r>
          </w:p>
        </w:tc>
        <w:tc>
          <w:tcPr>
            <w:tcW w:w="1335" w:type="pct"/>
            <w:tcBorders>
              <w:left w:val="single" w:sz="4" w:space="0" w:color="auto"/>
            </w:tcBorders>
            <w:vAlign w:val="center"/>
          </w:tcPr>
          <w:p w14:paraId="66AD30B9" w14:textId="6FDA6FCE" w:rsidR="00B4188C" w:rsidRDefault="00B4188C">
            <w:pPr>
              <w:adjustRightInd w:val="0"/>
              <w:snapToGrid w:val="0"/>
              <w:spacing w:line="280" w:lineRule="exact"/>
              <w:jc w:val="center"/>
            </w:pPr>
            <w:r>
              <w:rPr>
                <w:rFonts w:hint="eastAsia"/>
              </w:rPr>
              <w:t>/</w:t>
            </w:r>
          </w:p>
        </w:tc>
        <w:tc>
          <w:tcPr>
            <w:tcW w:w="780" w:type="pct"/>
            <w:vAlign w:val="center"/>
          </w:tcPr>
          <w:p w14:paraId="1D3305F9" w14:textId="733970D3" w:rsidR="00B4188C" w:rsidRDefault="00B4188C">
            <w:pPr>
              <w:adjustRightInd w:val="0"/>
              <w:snapToGrid w:val="0"/>
              <w:spacing w:line="280" w:lineRule="exact"/>
              <w:jc w:val="center"/>
            </w:pPr>
            <w:r>
              <w:t>/</w:t>
            </w:r>
          </w:p>
        </w:tc>
      </w:tr>
      <w:tr w:rsidR="00B4188C" w14:paraId="0F04DC8E" w14:textId="77777777" w:rsidTr="00B4188C">
        <w:trPr>
          <w:jc w:val="center"/>
        </w:trPr>
        <w:tc>
          <w:tcPr>
            <w:tcW w:w="398" w:type="pct"/>
            <w:vAlign w:val="center"/>
          </w:tcPr>
          <w:p w14:paraId="3ACFEF08" w14:textId="4A4248DD" w:rsidR="00B4188C" w:rsidRDefault="00413E54">
            <w:pPr>
              <w:adjustRightInd w:val="0"/>
              <w:snapToGrid w:val="0"/>
              <w:spacing w:line="280" w:lineRule="exact"/>
              <w:jc w:val="center"/>
            </w:pPr>
            <w:r>
              <w:rPr>
                <w:rFonts w:hint="eastAsia"/>
              </w:rPr>
              <w:t>A</w:t>
            </w:r>
            <w:r w:rsidR="00B4188C">
              <w:t>2</w:t>
            </w:r>
          </w:p>
        </w:tc>
        <w:tc>
          <w:tcPr>
            <w:tcW w:w="803" w:type="pct"/>
            <w:vAlign w:val="center"/>
          </w:tcPr>
          <w:p w14:paraId="5611E2BE" w14:textId="7CA5A778" w:rsidR="00B4188C" w:rsidRDefault="00B4188C">
            <w:pPr>
              <w:adjustRightInd w:val="0"/>
              <w:snapToGrid w:val="0"/>
              <w:spacing w:line="280" w:lineRule="exact"/>
              <w:jc w:val="center"/>
            </w:pPr>
            <w:r w:rsidRPr="00B4188C">
              <w:rPr>
                <w:rFonts w:hint="eastAsia"/>
              </w:rPr>
              <w:t>红旗二村</w:t>
            </w:r>
          </w:p>
        </w:tc>
        <w:tc>
          <w:tcPr>
            <w:tcW w:w="1684" w:type="pct"/>
            <w:tcBorders>
              <w:right w:val="single" w:sz="4" w:space="0" w:color="auto"/>
            </w:tcBorders>
            <w:vAlign w:val="center"/>
          </w:tcPr>
          <w:p w14:paraId="018EC878" w14:textId="1D68E39C" w:rsidR="00B4188C" w:rsidRDefault="00B4188C">
            <w:pPr>
              <w:adjustRightInd w:val="0"/>
              <w:snapToGrid w:val="0"/>
              <w:spacing w:line="280" w:lineRule="exact"/>
              <w:jc w:val="center"/>
            </w:pPr>
            <w:r w:rsidRPr="00B4188C">
              <w:t>124.99026082</w:t>
            </w:r>
            <w:r w:rsidR="00CF2405">
              <w:rPr>
                <w:rFonts w:hint="eastAsia"/>
              </w:rPr>
              <w:t>，</w:t>
            </w:r>
            <w:r w:rsidRPr="00B4188C">
              <w:t>46.44162463</w:t>
            </w:r>
          </w:p>
        </w:tc>
        <w:tc>
          <w:tcPr>
            <w:tcW w:w="1335" w:type="pct"/>
            <w:tcBorders>
              <w:left w:val="single" w:sz="4" w:space="0" w:color="auto"/>
            </w:tcBorders>
            <w:vAlign w:val="center"/>
          </w:tcPr>
          <w:p w14:paraId="5DAD5A71" w14:textId="73FF9316" w:rsidR="00B4188C" w:rsidRDefault="00B4188C">
            <w:pPr>
              <w:adjustRightInd w:val="0"/>
              <w:snapToGrid w:val="0"/>
              <w:spacing w:line="280" w:lineRule="exact"/>
              <w:jc w:val="center"/>
            </w:pPr>
            <w:r>
              <w:rPr>
                <w:rFonts w:hint="eastAsia"/>
              </w:rPr>
              <w:t>厂区</w:t>
            </w:r>
            <w:r w:rsidR="00FB11D6">
              <w:rPr>
                <w:rFonts w:hint="eastAsia"/>
              </w:rPr>
              <w:t>东</w:t>
            </w:r>
            <w:r>
              <w:rPr>
                <w:rFonts w:hint="eastAsia"/>
              </w:rPr>
              <w:t>北侧</w:t>
            </w:r>
            <w:r>
              <w:rPr>
                <w:rFonts w:hint="eastAsia"/>
              </w:rPr>
              <w:t>790m</w:t>
            </w:r>
          </w:p>
        </w:tc>
        <w:tc>
          <w:tcPr>
            <w:tcW w:w="780" w:type="pct"/>
            <w:vAlign w:val="center"/>
          </w:tcPr>
          <w:p w14:paraId="5E737964" w14:textId="06B791CF" w:rsidR="00B4188C" w:rsidRDefault="00B4188C">
            <w:pPr>
              <w:adjustRightInd w:val="0"/>
              <w:snapToGrid w:val="0"/>
              <w:spacing w:line="280" w:lineRule="exact"/>
              <w:jc w:val="center"/>
            </w:pPr>
            <w:r>
              <w:t>居住区</w:t>
            </w:r>
          </w:p>
        </w:tc>
      </w:tr>
    </w:tbl>
    <w:p w14:paraId="488DE44A" w14:textId="77777777" w:rsidR="00606029" w:rsidRDefault="00EA5B92">
      <w:pPr>
        <w:spacing w:line="480" w:lineRule="exact"/>
        <w:ind w:firstLineChars="200" w:firstLine="480"/>
        <w:rPr>
          <w:sz w:val="24"/>
          <w:szCs w:val="24"/>
        </w:rPr>
      </w:pPr>
      <w:r>
        <w:rPr>
          <w:sz w:val="24"/>
          <w:szCs w:val="24"/>
        </w:rPr>
        <w:t>②</w:t>
      </w:r>
      <w:r>
        <w:rPr>
          <w:sz w:val="24"/>
          <w:szCs w:val="24"/>
        </w:rPr>
        <w:t>监测项目</w:t>
      </w:r>
    </w:p>
    <w:p w14:paraId="067BC746" w14:textId="77777777" w:rsidR="00606029" w:rsidRDefault="00EA5B92">
      <w:pPr>
        <w:adjustRightInd w:val="0"/>
        <w:snapToGrid w:val="0"/>
        <w:spacing w:line="480" w:lineRule="exact"/>
        <w:ind w:firstLineChars="200" w:firstLine="480"/>
        <w:rPr>
          <w:sz w:val="24"/>
          <w:szCs w:val="26"/>
        </w:rPr>
      </w:pPr>
      <w:r>
        <w:rPr>
          <w:snapToGrid w:val="0"/>
          <w:color w:val="000000"/>
          <w:kern w:val="0"/>
          <w:sz w:val="24"/>
        </w:rPr>
        <w:t>TSP</w:t>
      </w:r>
      <w:r>
        <w:rPr>
          <w:snapToGrid w:val="0"/>
          <w:color w:val="000000"/>
          <w:kern w:val="0"/>
          <w:sz w:val="24"/>
        </w:rPr>
        <w:t>、</w:t>
      </w:r>
      <w:r>
        <w:rPr>
          <w:snapToGrid w:val="0"/>
          <w:color w:val="000000"/>
          <w:kern w:val="0"/>
          <w:sz w:val="24"/>
        </w:rPr>
        <w:t>H</w:t>
      </w:r>
      <w:r>
        <w:rPr>
          <w:snapToGrid w:val="0"/>
          <w:color w:val="000000"/>
          <w:kern w:val="0"/>
          <w:sz w:val="24"/>
          <w:vertAlign w:val="subscript"/>
        </w:rPr>
        <w:t>2</w:t>
      </w:r>
      <w:r>
        <w:rPr>
          <w:snapToGrid w:val="0"/>
          <w:color w:val="000000"/>
          <w:kern w:val="0"/>
          <w:sz w:val="24"/>
        </w:rPr>
        <w:t>S</w:t>
      </w:r>
      <w:r>
        <w:rPr>
          <w:snapToGrid w:val="0"/>
          <w:color w:val="000000"/>
          <w:kern w:val="0"/>
          <w:sz w:val="24"/>
        </w:rPr>
        <w:t>、</w:t>
      </w:r>
      <w:r>
        <w:rPr>
          <w:snapToGrid w:val="0"/>
          <w:color w:val="000000"/>
          <w:kern w:val="0"/>
          <w:sz w:val="24"/>
        </w:rPr>
        <w:t>NH</w:t>
      </w:r>
      <w:r>
        <w:rPr>
          <w:snapToGrid w:val="0"/>
          <w:color w:val="000000"/>
          <w:kern w:val="0"/>
          <w:sz w:val="24"/>
          <w:vertAlign w:val="subscript"/>
        </w:rPr>
        <w:t>3</w:t>
      </w:r>
      <w:r>
        <w:rPr>
          <w:snapToGrid w:val="0"/>
          <w:color w:val="000000"/>
          <w:kern w:val="0"/>
          <w:sz w:val="24"/>
        </w:rPr>
        <w:t>、非甲烷总烃、臭气浓度，同时测定地面风向、风速、气温、气压及云量等气象要素。</w:t>
      </w:r>
    </w:p>
    <w:p w14:paraId="55987A7B" w14:textId="77777777" w:rsidR="00606029" w:rsidRDefault="00EA5B92">
      <w:pPr>
        <w:snapToGrid w:val="0"/>
        <w:spacing w:line="480" w:lineRule="exact"/>
        <w:ind w:firstLineChars="200" w:firstLine="480"/>
        <w:jc w:val="left"/>
        <w:rPr>
          <w:sz w:val="24"/>
          <w:szCs w:val="24"/>
        </w:rPr>
      </w:pPr>
      <w:r>
        <w:rPr>
          <w:sz w:val="24"/>
          <w:szCs w:val="24"/>
        </w:rPr>
        <w:t>③</w:t>
      </w:r>
      <w:r>
        <w:rPr>
          <w:sz w:val="24"/>
          <w:szCs w:val="24"/>
        </w:rPr>
        <w:t>监测频次</w:t>
      </w:r>
    </w:p>
    <w:p w14:paraId="559FA769" w14:textId="0523F423" w:rsidR="00606029" w:rsidRDefault="00EA5B92">
      <w:pPr>
        <w:adjustRightInd w:val="0"/>
        <w:snapToGrid w:val="0"/>
        <w:spacing w:line="480" w:lineRule="exact"/>
        <w:ind w:firstLineChars="200" w:firstLine="480"/>
        <w:rPr>
          <w:sz w:val="24"/>
          <w:szCs w:val="24"/>
        </w:rPr>
      </w:pPr>
      <w:r>
        <w:rPr>
          <w:snapToGrid w:val="0"/>
          <w:color w:val="000000"/>
          <w:kern w:val="0"/>
          <w:sz w:val="24"/>
        </w:rPr>
        <w:t>各监测因子连续监测</w:t>
      </w:r>
      <w:r>
        <w:rPr>
          <w:snapToGrid w:val="0"/>
          <w:color w:val="000000"/>
          <w:kern w:val="0"/>
          <w:sz w:val="24"/>
        </w:rPr>
        <w:t>7</w:t>
      </w:r>
      <w:r>
        <w:rPr>
          <w:snapToGrid w:val="0"/>
          <w:color w:val="000000"/>
          <w:kern w:val="0"/>
          <w:sz w:val="24"/>
        </w:rPr>
        <w:t>天。日均值</w:t>
      </w:r>
      <w:r w:rsidR="006A52CC">
        <w:rPr>
          <w:snapToGrid w:val="0"/>
          <w:color w:val="000000"/>
          <w:kern w:val="0"/>
          <w:sz w:val="24"/>
        </w:rPr>
        <w:t>：</w:t>
      </w:r>
      <w:r>
        <w:rPr>
          <w:snapToGrid w:val="0"/>
          <w:color w:val="000000"/>
          <w:kern w:val="0"/>
          <w:sz w:val="24"/>
        </w:rPr>
        <w:t>TSP</w:t>
      </w:r>
      <w:r>
        <w:rPr>
          <w:snapToGrid w:val="0"/>
          <w:color w:val="000000"/>
          <w:kern w:val="0"/>
          <w:sz w:val="24"/>
        </w:rPr>
        <w:t>每日连续采样</w:t>
      </w:r>
      <w:r>
        <w:rPr>
          <w:snapToGrid w:val="0"/>
          <w:color w:val="000000"/>
          <w:kern w:val="0"/>
          <w:sz w:val="24"/>
        </w:rPr>
        <w:t>24</w:t>
      </w:r>
      <w:r>
        <w:rPr>
          <w:snapToGrid w:val="0"/>
          <w:color w:val="000000"/>
          <w:kern w:val="0"/>
          <w:sz w:val="24"/>
        </w:rPr>
        <w:t>小时；</w:t>
      </w:r>
      <w:r>
        <w:rPr>
          <w:snapToGrid w:val="0"/>
          <w:color w:val="000000"/>
          <w:kern w:val="0"/>
          <w:sz w:val="24"/>
        </w:rPr>
        <w:t>1</w:t>
      </w:r>
      <w:r>
        <w:rPr>
          <w:snapToGrid w:val="0"/>
          <w:color w:val="000000"/>
          <w:kern w:val="0"/>
          <w:sz w:val="24"/>
        </w:rPr>
        <w:t>次值</w:t>
      </w:r>
      <w:r w:rsidR="006A52CC">
        <w:rPr>
          <w:snapToGrid w:val="0"/>
          <w:color w:val="000000"/>
          <w:kern w:val="0"/>
          <w:sz w:val="24"/>
        </w:rPr>
        <w:t>：</w:t>
      </w:r>
      <w:r>
        <w:rPr>
          <w:snapToGrid w:val="0"/>
          <w:color w:val="000000"/>
          <w:kern w:val="0"/>
          <w:sz w:val="24"/>
        </w:rPr>
        <w:t>臭气浓度、非甲烷总烃每日采样</w:t>
      </w:r>
      <w:r>
        <w:rPr>
          <w:snapToGrid w:val="0"/>
          <w:color w:val="000000"/>
          <w:kern w:val="0"/>
          <w:sz w:val="24"/>
        </w:rPr>
        <w:t>4</w:t>
      </w:r>
      <w:r>
        <w:rPr>
          <w:snapToGrid w:val="0"/>
          <w:color w:val="000000"/>
          <w:kern w:val="0"/>
          <w:sz w:val="24"/>
        </w:rPr>
        <w:t>次；小时值</w:t>
      </w:r>
      <w:r w:rsidR="006A52CC">
        <w:rPr>
          <w:snapToGrid w:val="0"/>
          <w:color w:val="000000"/>
          <w:kern w:val="0"/>
          <w:sz w:val="24"/>
        </w:rPr>
        <w:t>：</w:t>
      </w:r>
      <w:r>
        <w:rPr>
          <w:snapToGrid w:val="0"/>
          <w:color w:val="000000"/>
          <w:kern w:val="0"/>
          <w:sz w:val="24"/>
        </w:rPr>
        <w:t>氨、硫化氢每日采样</w:t>
      </w:r>
      <w:r>
        <w:rPr>
          <w:snapToGrid w:val="0"/>
          <w:color w:val="000000"/>
          <w:kern w:val="0"/>
          <w:sz w:val="24"/>
        </w:rPr>
        <w:t>4</w:t>
      </w:r>
      <w:r>
        <w:rPr>
          <w:snapToGrid w:val="0"/>
          <w:color w:val="000000"/>
          <w:kern w:val="0"/>
          <w:sz w:val="24"/>
        </w:rPr>
        <w:t>次、每次采样时间</w:t>
      </w:r>
      <w:r>
        <w:rPr>
          <w:snapToGrid w:val="0"/>
          <w:color w:val="000000"/>
          <w:kern w:val="0"/>
          <w:sz w:val="24"/>
        </w:rPr>
        <w:t>45min</w:t>
      </w:r>
      <w:r>
        <w:rPr>
          <w:snapToGrid w:val="0"/>
          <w:color w:val="000000"/>
          <w:kern w:val="0"/>
          <w:sz w:val="24"/>
        </w:rPr>
        <w:t>、采样时段分别为</w:t>
      </w:r>
      <w:r>
        <w:rPr>
          <w:snapToGrid w:val="0"/>
          <w:color w:val="000000"/>
          <w:kern w:val="0"/>
          <w:sz w:val="24"/>
        </w:rPr>
        <w:t>02</w:t>
      </w:r>
      <w:r w:rsidR="006A52CC">
        <w:rPr>
          <w:snapToGrid w:val="0"/>
          <w:color w:val="000000"/>
          <w:kern w:val="0"/>
          <w:sz w:val="24"/>
        </w:rPr>
        <w:t>：</w:t>
      </w:r>
      <w:r>
        <w:rPr>
          <w:snapToGrid w:val="0"/>
          <w:color w:val="000000"/>
          <w:kern w:val="0"/>
          <w:sz w:val="24"/>
        </w:rPr>
        <w:t>00</w:t>
      </w:r>
      <w:r>
        <w:rPr>
          <w:snapToGrid w:val="0"/>
          <w:color w:val="000000"/>
          <w:kern w:val="0"/>
          <w:sz w:val="24"/>
        </w:rPr>
        <w:t>、</w:t>
      </w:r>
      <w:r>
        <w:rPr>
          <w:snapToGrid w:val="0"/>
          <w:color w:val="000000"/>
          <w:kern w:val="0"/>
          <w:sz w:val="24"/>
        </w:rPr>
        <w:t>08</w:t>
      </w:r>
      <w:r w:rsidR="006A52CC">
        <w:rPr>
          <w:snapToGrid w:val="0"/>
          <w:color w:val="000000"/>
          <w:kern w:val="0"/>
          <w:sz w:val="24"/>
        </w:rPr>
        <w:t>：</w:t>
      </w:r>
      <w:r>
        <w:rPr>
          <w:snapToGrid w:val="0"/>
          <w:color w:val="000000"/>
          <w:kern w:val="0"/>
          <w:sz w:val="24"/>
        </w:rPr>
        <w:t>00</w:t>
      </w:r>
      <w:r>
        <w:rPr>
          <w:snapToGrid w:val="0"/>
          <w:color w:val="000000"/>
          <w:kern w:val="0"/>
          <w:sz w:val="24"/>
        </w:rPr>
        <w:t>、</w:t>
      </w:r>
      <w:r>
        <w:rPr>
          <w:snapToGrid w:val="0"/>
          <w:color w:val="000000"/>
          <w:kern w:val="0"/>
          <w:sz w:val="24"/>
        </w:rPr>
        <w:t>14</w:t>
      </w:r>
      <w:r w:rsidR="006A52CC">
        <w:rPr>
          <w:snapToGrid w:val="0"/>
          <w:color w:val="000000"/>
          <w:kern w:val="0"/>
          <w:sz w:val="24"/>
        </w:rPr>
        <w:t>：</w:t>
      </w:r>
      <w:r>
        <w:rPr>
          <w:snapToGrid w:val="0"/>
          <w:color w:val="000000"/>
          <w:kern w:val="0"/>
          <w:sz w:val="24"/>
        </w:rPr>
        <w:t>00</w:t>
      </w:r>
      <w:r>
        <w:rPr>
          <w:snapToGrid w:val="0"/>
          <w:color w:val="000000"/>
          <w:kern w:val="0"/>
          <w:sz w:val="24"/>
        </w:rPr>
        <w:t>、</w:t>
      </w:r>
      <w:r>
        <w:rPr>
          <w:snapToGrid w:val="0"/>
          <w:color w:val="000000"/>
          <w:kern w:val="0"/>
          <w:sz w:val="24"/>
        </w:rPr>
        <w:t>20</w:t>
      </w:r>
      <w:r w:rsidR="006A52CC">
        <w:rPr>
          <w:snapToGrid w:val="0"/>
          <w:color w:val="000000"/>
          <w:kern w:val="0"/>
          <w:sz w:val="24"/>
        </w:rPr>
        <w:t>：</w:t>
      </w:r>
      <w:r>
        <w:rPr>
          <w:snapToGrid w:val="0"/>
          <w:color w:val="000000"/>
          <w:kern w:val="0"/>
          <w:sz w:val="24"/>
        </w:rPr>
        <w:t>00</w:t>
      </w:r>
      <w:r>
        <w:rPr>
          <w:snapToGrid w:val="0"/>
          <w:color w:val="000000"/>
          <w:kern w:val="0"/>
          <w:sz w:val="24"/>
        </w:rPr>
        <w:t>，并同步测定气温、气压、风向、风速等气象参数。</w:t>
      </w:r>
    </w:p>
    <w:p w14:paraId="0F2FA9E2" w14:textId="5B3DF8F3" w:rsidR="00606029" w:rsidRDefault="008D4DFE">
      <w:pPr>
        <w:adjustRightInd w:val="0"/>
        <w:snapToGrid w:val="0"/>
        <w:spacing w:line="480" w:lineRule="exact"/>
        <w:ind w:firstLineChars="200" w:firstLine="480"/>
        <w:rPr>
          <w:sz w:val="24"/>
          <w:szCs w:val="24"/>
        </w:rPr>
      </w:pPr>
      <w:r>
        <w:rPr>
          <w:rFonts w:hint="eastAsia"/>
          <w:sz w:val="24"/>
          <w:szCs w:val="24"/>
        </w:rPr>
        <w:t>④</w:t>
      </w:r>
      <w:r w:rsidR="00EA5B92">
        <w:rPr>
          <w:sz w:val="24"/>
          <w:szCs w:val="24"/>
        </w:rPr>
        <w:t>现状评价</w:t>
      </w:r>
    </w:p>
    <w:p w14:paraId="3294F90D" w14:textId="77777777" w:rsidR="00606029" w:rsidRDefault="00EA5B92">
      <w:pPr>
        <w:snapToGrid w:val="0"/>
        <w:spacing w:line="440" w:lineRule="exact"/>
        <w:ind w:firstLineChars="200" w:firstLine="480"/>
        <w:jc w:val="left"/>
        <w:rPr>
          <w:sz w:val="24"/>
          <w:szCs w:val="24"/>
        </w:rPr>
      </w:pPr>
      <w:r>
        <w:rPr>
          <w:sz w:val="24"/>
          <w:szCs w:val="24"/>
        </w:rPr>
        <w:t>A.</w:t>
      </w:r>
      <w:r>
        <w:rPr>
          <w:sz w:val="24"/>
          <w:szCs w:val="24"/>
        </w:rPr>
        <w:t>评价方法</w:t>
      </w:r>
    </w:p>
    <w:p w14:paraId="1823392C" w14:textId="77777777" w:rsidR="00606029" w:rsidRDefault="00EA5B92">
      <w:pPr>
        <w:snapToGrid w:val="0"/>
        <w:spacing w:line="440" w:lineRule="exact"/>
        <w:ind w:firstLineChars="200" w:firstLine="480"/>
        <w:jc w:val="left"/>
        <w:rPr>
          <w:sz w:val="24"/>
          <w:szCs w:val="24"/>
        </w:rPr>
      </w:pPr>
      <w:r>
        <w:rPr>
          <w:sz w:val="24"/>
          <w:szCs w:val="24"/>
        </w:rPr>
        <w:t>采用单项指数法进行评价。</w:t>
      </w:r>
    </w:p>
    <w:p w14:paraId="1A551179" w14:textId="0904AB4C" w:rsidR="00606029" w:rsidRDefault="00EA5B92">
      <w:pPr>
        <w:spacing w:line="440" w:lineRule="exact"/>
        <w:ind w:firstLineChars="200" w:firstLine="480"/>
        <w:rPr>
          <w:sz w:val="24"/>
          <w:szCs w:val="24"/>
          <w:vertAlign w:val="subscript"/>
        </w:rPr>
      </w:pPr>
      <w:r>
        <w:rPr>
          <w:sz w:val="24"/>
          <w:szCs w:val="24"/>
        </w:rPr>
        <w:t>评价指数</w:t>
      </w:r>
      <w:r w:rsidR="006A52CC">
        <w:rPr>
          <w:sz w:val="24"/>
          <w:szCs w:val="24"/>
        </w:rPr>
        <w:t>：</w:t>
      </w:r>
      <w:r>
        <w:rPr>
          <w:sz w:val="24"/>
          <w:szCs w:val="24"/>
        </w:rPr>
        <w:t>I</w:t>
      </w:r>
      <w:r>
        <w:rPr>
          <w:sz w:val="24"/>
          <w:szCs w:val="24"/>
          <w:vertAlign w:val="subscript"/>
        </w:rPr>
        <w:t>i</w:t>
      </w:r>
      <w:r>
        <w:rPr>
          <w:sz w:val="24"/>
          <w:szCs w:val="24"/>
        </w:rPr>
        <w:t>=C</w:t>
      </w:r>
      <w:r>
        <w:rPr>
          <w:sz w:val="24"/>
          <w:szCs w:val="24"/>
          <w:vertAlign w:val="subscript"/>
        </w:rPr>
        <w:t>i</w:t>
      </w:r>
      <w:r>
        <w:rPr>
          <w:sz w:val="24"/>
          <w:szCs w:val="24"/>
        </w:rPr>
        <w:t>/C</w:t>
      </w:r>
      <w:r>
        <w:rPr>
          <w:sz w:val="24"/>
          <w:szCs w:val="24"/>
          <w:vertAlign w:val="subscript"/>
        </w:rPr>
        <w:t>0i</w:t>
      </w:r>
    </w:p>
    <w:p w14:paraId="4C8C032E" w14:textId="24A1DEF5" w:rsidR="00606029" w:rsidRDefault="00EA5B92">
      <w:pPr>
        <w:spacing w:line="440" w:lineRule="exact"/>
        <w:ind w:firstLineChars="200" w:firstLine="480"/>
        <w:rPr>
          <w:sz w:val="24"/>
          <w:szCs w:val="24"/>
        </w:rPr>
      </w:pPr>
      <w:r>
        <w:rPr>
          <w:sz w:val="24"/>
          <w:szCs w:val="24"/>
        </w:rPr>
        <w:t>式中</w:t>
      </w:r>
      <w:r w:rsidR="006A52CC">
        <w:rPr>
          <w:sz w:val="24"/>
          <w:szCs w:val="24"/>
        </w:rPr>
        <w:t>：</w:t>
      </w:r>
      <w:r>
        <w:rPr>
          <w:sz w:val="24"/>
          <w:szCs w:val="24"/>
        </w:rPr>
        <w:t>C</w:t>
      </w:r>
      <w:r>
        <w:rPr>
          <w:sz w:val="24"/>
          <w:szCs w:val="24"/>
          <w:vertAlign w:val="subscript"/>
        </w:rPr>
        <w:t>i</w:t>
      </w:r>
      <w:r>
        <w:rPr>
          <w:sz w:val="24"/>
          <w:szCs w:val="24"/>
        </w:rPr>
        <w:t xml:space="preserve"> ——</w:t>
      </w:r>
      <w:r>
        <w:rPr>
          <w:sz w:val="24"/>
          <w:szCs w:val="24"/>
        </w:rPr>
        <w:t>某种污染因子现状监测值，</w:t>
      </w:r>
      <w:r>
        <w:rPr>
          <w:kern w:val="0"/>
          <w:sz w:val="24"/>
        </w:rPr>
        <w:t>µg</w:t>
      </w:r>
      <w:r>
        <w:rPr>
          <w:sz w:val="24"/>
          <w:szCs w:val="24"/>
        </w:rPr>
        <w:t>/N</w:t>
      </w:r>
      <w:r>
        <w:t>m</w:t>
      </w:r>
      <w:r>
        <w:rPr>
          <w:vertAlign w:val="superscript"/>
        </w:rPr>
        <w:t>3</w:t>
      </w:r>
      <w:r>
        <w:rPr>
          <w:sz w:val="24"/>
          <w:szCs w:val="24"/>
        </w:rPr>
        <w:t>；</w:t>
      </w:r>
    </w:p>
    <w:p w14:paraId="3262ECB4" w14:textId="77777777" w:rsidR="00606029" w:rsidRDefault="00EA5B92">
      <w:pPr>
        <w:snapToGrid w:val="0"/>
        <w:spacing w:line="440" w:lineRule="exact"/>
        <w:ind w:firstLineChars="200" w:firstLine="480"/>
        <w:jc w:val="left"/>
        <w:rPr>
          <w:sz w:val="24"/>
          <w:szCs w:val="24"/>
        </w:rPr>
      </w:pPr>
      <w:r>
        <w:rPr>
          <w:sz w:val="24"/>
          <w:szCs w:val="24"/>
        </w:rPr>
        <w:t xml:space="preserve">      C</w:t>
      </w:r>
      <w:r>
        <w:rPr>
          <w:sz w:val="24"/>
          <w:szCs w:val="24"/>
          <w:vertAlign w:val="subscript"/>
        </w:rPr>
        <w:t>0i</w:t>
      </w:r>
      <w:r>
        <w:rPr>
          <w:sz w:val="24"/>
          <w:szCs w:val="24"/>
        </w:rPr>
        <w:t>——</w:t>
      </w:r>
      <w:r>
        <w:rPr>
          <w:sz w:val="24"/>
          <w:szCs w:val="24"/>
        </w:rPr>
        <w:t>环境空气质量标准，</w:t>
      </w:r>
      <w:r>
        <w:rPr>
          <w:kern w:val="0"/>
          <w:sz w:val="24"/>
        </w:rPr>
        <w:t>µg</w:t>
      </w:r>
      <w:r>
        <w:rPr>
          <w:sz w:val="24"/>
          <w:szCs w:val="24"/>
        </w:rPr>
        <w:t>/N</w:t>
      </w:r>
      <w:r>
        <w:t>m</w:t>
      </w:r>
      <w:r>
        <w:rPr>
          <w:vertAlign w:val="superscript"/>
        </w:rPr>
        <w:t>3</w:t>
      </w:r>
      <w:r>
        <w:rPr>
          <w:sz w:val="24"/>
          <w:szCs w:val="24"/>
        </w:rPr>
        <w:t>。</w:t>
      </w:r>
    </w:p>
    <w:p w14:paraId="181F8BF0" w14:textId="77777777" w:rsidR="00606029" w:rsidRDefault="00EA5B92">
      <w:pPr>
        <w:spacing w:line="440" w:lineRule="exact"/>
        <w:ind w:firstLineChars="200" w:firstLine="480"/>
        <w:rPr>
          <w:sz w:val="24"/>
          <w:szCs w:val="24"/>
        </w:rPr>
      </w:pPr>
      <w:r>
        <w:rPr>
          <w:sz w:val="24"/>
          <w:szCs w:val="24"/>
        </w:rPr>
        <w:t>B.</w:t>
      </w:r>
      <w:r>
        <w:rPr>
          <w:sz w:val="24"/>
          <w:szCs w:val="24"/>
        </w:rPr>
        <w:t>评价标准</w:t>
      </w:r>
    </w:p>
    <w:p w14:paraId="0D4821CD" w14:textId="3BDDB199" w:rsidR="00606029" w:rsidRDefault="00EA5B92">
      <w:pPr>
        <w:spacing w:before="49"/>
        <w:ind w:left="420"/>
        <w:jc w:val="center"/>
        <w:rPr>
          <w:b/>
          <w:bCs/>
          <w:szCs w:val="24"/>
        </w:rPr>
      </w:pPr>
      <w:r>
        <w:rPr>
          <w:b/>
          <w:bCs/>
          <w:szCs w:val="24"/>
        </w:rPr>
        <w:t>表</w:t>
      </w:r>
      <w:r>
        <w:rPr>
          <w:b/>
          <w:bCs/>
          <w:szCs w:val="24"/>
        </w:rPr>
        <w:t>5.3-</w:t>
      </w:r>
      <w:r w:rsidR="00F4314C">
        <w:rPr>
          <w:rFonts w:hint="eastAsia"/>
          <w:b/>
          <w:bCs/>
          <w:szCs w:val="24"/>
        </w:rPr>
        <w:t>3</w:t>
      </w:r>
      <w:r>
        <w:rPr>
          <w:b/>
          <w:bCs/>
          <w:szCs w:val="24"/>
        </w:rPr>
        <w:t xml:space="preserve">  </w:t>
      </w:r>
      <w:r>
        <w:rPr>
          <w:b/>
          <w:bCs/>
          <w:szCs w:val="24"/>
        </w:rPr>
        <w:t>环境空气质量标准值</w:t>
      </w:r>
    </w:p>
    <w:tbl>
      <w:tblPr>
        <w:tblW w:w="5026" w:type="pct"/>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4A0" w:firstRow="1" w:lastRow="0" w:firstColumn="1" w:lastColumn="0" w:noHBand="0" w:noVBand="1"/>
      </w:tblPr>
      <w:tblGrid>
        <w:gridCol w:w="2270"/>
        <w:gridCol w:w="1607"/>
        <w:gridCol w:w="1642"/>
        <w:gridCol w:w="1886"/>
        <w:gridCol w:w="1459"/>
      </w:tblGrid>
      <w:tr w:rsidR="00606029" w14:paraId="3B8E295F" w14:textId="77777777">
        <w:trPr>
          <w:trHeight w:val="57"/>
        </w:trPr>
        <w:tc>
          <w:tcPr>
            <w:tcW w:w="1279" w:type="pct"/>
            <w:vMerge w:val="restart"/>
            <w:tcBorders>
              <w:top w:val="single" w:sz="10" w:space="0" w:color="000000"/>
              <w:left w:val="single" w:sz="10" w:space="0" w:color="000000"/>
              <w:bottom w:val="nil"/>
              <w:right w:val="single" w:sz="2" w:space="0" w:color="000000"/>
            </w:tcBorders>
            <w:vAlign w:val="center"/>
          </w:tcPr>
          <w:p w14:paraId="23455E03" w14:textId="77777777" w:rsidR="00606029" w:rsidRDefault="00EA5B92">
            <w:pPr>
              <w:pStyle w:val="afff0"/>
              <w:adjustRightInd w:val="0"/>
              <w:snapToGrid w:val="0"/>
              <w:spacing w:line="280" w:lineRule="exact"/>
              <w:rPr>
                <w:rFonts w:ascii="Times New Roman" w:hAnsi="Times New Roman"/>
                <w:b w:val="0"/>
                <w:bCs/>
                <w:sz w:val="21"/>
                <w:szCs w:val="21"/>
              </w:rPr>
            </w:pPr>
            <w:r>
              <w:rPr>
                <w:rFonts w:ascii="Times New Roman" w:hAnsi="Times New Roman"/>
                <w:b w:val="0"/>
                <w:bCs/>
                <w:sz w:val="21"/>
                <w:szCs w:val="21"/>
              </w:rPr>
              <w:t>标准名称及代号</w:t>
            </w:r>
          </w:p>
        </w:tc>
        <w:tc>
          <w:tcPr>
            <w:tcW w:w="906" w:type="pct"/>
            <w:vMerge w:val="restart"/>
            <w:tcBorders>
              <w:top w:val="single" w:sz="10" w:space="0" w:color="000000"/>
              <w:left w:val="single" w:sz="2" w:space="0" w:color="000000"/>
              <w:bottom w:val="nil"/>
              <w:right w:val="single" w:sz="2" w:space="0" w:color="000000"/>
            </w:tcBorders>
            <w:vAlign w:val="center"/>
          </w:tcPr>
          <w:p w14:paraId="373456D5" w14:textId="77777777" w:rsidR="00606029" w:rsidRDefault="00EA5B92">
            <w:pPr>
              <w:pStyle w:val="afff0"/>
              <w:adjustRightInd w:val="0"/>
              <w:snapToGrid w:val="0"/>
              <w:spacing w:line="280" w:lineRule="exact"/>
              <w:rPr>
                <w:rFonts w:ascii="Times New Roman" w:hAnsi="Times New Roman"/>
                <w:b w:val="0"/>
                <w:bCs/>
                <w:sz w:val="21"/>
                <w:szCs w:val="21"/>
              </w:rPr>
            </w:pPr>
            <w:r>
              <w:rPr>
                <w:rFonts w:ascii="Times New Roman" w:hAnsi="Times New Roman"/>
                <w:b w:val="0"/>
                <w:bCs/>
                <w:sz w:val="21"/>
                <w:szCs w:val="21"/>
              </w:rPr>
              <w:t>污染物</w:t>
            </w:r>
          </w:p>
        </w:tc>
        <w:tc>
          <w:tcPr>
            <w:tcW w:w="926" w:type="pct"/>
            <w:tcBorders>
              <w:top w:val="single" w:sz="10" w:space="0" w:color="000000"/>
              <w:left w:val="single" w:sz="2" w:space="0" w:color="000000"/>
              <w:bottom w:val="single" w:sz="2" w:space="0" w:color="000000"/>
              <w:right w:val="single" w:sz="2" w:space="0" w:color="000000"/>
            </w:tcBorders>
            <w:vAlign w:val="center"/>
          </w:tcPr>
          <w:p w14:paraId="6DF3F6A1" w14:textId="77777777" w:rsidR="00606029" w:rsidRDefault="00EA5B92">
            <w:pPr>
              <w:pStyle w:val="afff0"/>
              <w:adjustRightInd w:val="0"/>
              <w:snapToGrid w:val="0"/>
              <w:spacing w:line="280" w:lineRule="exact"/>
              <w:rPr>
                <w:rFonts w:ascii="Times New Roman" w:hAnsi="Times New Roman"/>
                <w:b w:val="0"/>
                <w:bCs/>
                <w:sz w:val="21"/>
                <w:szCs w:val="21"/>
              </w:rPr>
            </w:pPr>
            <w:r>
              <w:rPr>
                <w:rFonts w:ascii="Times New Roman" w:hAnsi="Times New Roman"/>
                <w:b w:val="0"/>
                <w:bCs/>
                <w:sz w:val="21"/>
                <w:szCs w:val="21"/>
              </w:rPr>
              <w:t>1</w:t>
            </w:r>
            <w:r>
              <w:rPr>
                <w:rFonts w:ascii="Times New Roman" w:hAnsi="Times New Roman"/>
                <w:b w:val="0"/>
                <w:bCs/>
                <w:sz w:val="21"/>
                <w:szCs w:val="21"/>
              </w:rPr>
              <w:t>小时（</w:t>
            </w:r>
            <w:r>
              <w:rPr>
                <w:rFonts w:ascii="Times New Roman" w:hAnsi="Times New Roman"/>
                <w:b w:val="0"/>
                <w:bCs/>
                <w:sz w:val="21"/>
                <w:szCs w:val="21"/>
              </w:rPr>
              <w:t>mg/m</w:t>
            </w:r>
            <w:r>
              <w:rPr>
                <w:rFonts w:ascii="Times New Roman" w:hAnsi="Times New Roman"/>
                <w:b w:val="0"/>
                <w:bCs/>
                <w:sz w:val="21"/>
                <w:szCs w:val="21"/>
                <w:vertAlign w:val="superscript"/>
              </w:rPr>
              <w:t>3</w:t>
            </w:r>
            <w:r>
              <w:rPr>
                <w:rFonts w:ascii="Times New Roman" w:hAnsi="Times New Roman"/>
                <w:b w:val="0"/>
                <w:bCs/>
                <w:sz w:val="21"/>
                <w:szCs w:val="21"/>
              </w:rPr>
              <w:t>）</w:t>
            </w:r>
          </w:p>
        </w:tc>
        <w:tc>
          <w:tcPr>
            <w:tcW w:w="1064" w:type="pct"/>
            <w:tcBorders>
              <w:top w:val="single" w:sz="10" w:space="0" w:color="000000"/>
              <w:left w:val="single" w:sz="2" w:space="0" w:color="000000"/>
              <w:bottom w:val="single" w:sz="2" w:space="0" w:color="000000"/>
              <w:right w:val="single" w:sz="2" w:space="0" w:color="000000"/>
            </w:tcBorders>
            <w:vAlign w:val="center"/>
          </w:tcPr>
          <w:p w14:paraId="434962BE" w14:textId="77777777" w:rsidR="00606029" w:rsidRDefault="00EA5B92">
            <w:pPr>
              <w:pStyle w:val="afff0"/>
              <w:adjustRightInd w:val="0"/>
              <w:snapToGrid w:val="0"/>
              <w:spacing w:line="280" w:lineRule="exact"/>
              <w:rPr>
                <w:rFonts w:ascii="Times New Roman" w:hAnsi="Times New Roman"/>
                <w:b w:val="0"/>
                <w:bCs/>
                <w:sz w:val="21"/>
                <w:szCs w:val="21"/>
              </w:rPr>
            </w:pPr>
            <w:r>
              <w:rPr>
                <w:rFonts w:ascii="Times New Roman" w:hAnsi="Times New Roman"/>
                <w:b w:val="0"/>
                <w:bCs/>
                <w:sz w:val="21"/>
                <w:szCs w:val="21"/>
              </w:rPr>
              <w:t>日平均（</w:t>
            </w:r>
            <w:r>
              <w:rPr>
                <w:rFonts w:ascii="Times New Roman" w:hAnsi="Times New Roman"/>
                <w:b w:val="0"/>
                <w:bCs/>
                <w:sz w:val="21"/>
                <w:szCs w:val="21"/>
              </w:rPr>
              <w:t>mg/m</w:t>
            </w:r>
            <w:r>
              <w:rPr>
                <w:rFonts w:ascii="Times New Roman" w:hAnsi="Times New Roman"/>
                <w:b w:val="0"/>
                <w:bCs/>
                <w:sz w:val="21"/>
                <w:szCs w:val="21"/>
                <w:vertAlign w:val="superscript"/>
              </w:rPr>
              <w:t>3</w:t>
            </w:r>
            <w:r>
              <w:rPr>
                <w:rFonts w:ascii="Times New Roman" w:hAnsi="Times New Roman"/>
                <w:b w:val="0"/>
                <w:bCs/>
                <w:sz w:val="21"/>
                <w:szCs w:val="21"/>
              </w:rPr>
              <w:t>）（</w:t>
            </w:r>
            <w:r>
              <w:rPr>
                <w:rFonts w:ascii="Times New Roman" w:hAnsi="Times New Roman"/>
                <w:b w:val="0"/>
                <w:bCs/>
                <w:sz w:val="21"/>
                <w:szCs w:val="21"/>
              </w:rPr>
              <w:t>Pb</w:t>
            </w:r>
            <w:r>
              <w:rPr>
                <w:rFonts w:ascii="Times New Roman" w:hAnsi="Times New Roman"/>
                <w:b w:val="0"/>
                <w:bCs/>
                <w:sz w:val="21"/>
                <w:szCs w:val="21"/>
              </w:rPr>
              <w:t>为季平均值）</w:t>
            </w:r>
          </w:p>
        </w:tc>
        <w:tc>
          <w:tcPr>
            <w:tcW w:w="823" w:type="pct"/>
            <w:tcBorders>
              <w:top w:val="single" w:sz="10" w:space="0" w:color="000000"/>
              <w:left w:val="single" w:sz="2" w:space="0" w:color="000000"/>
              <w:bottom w:val="single" w:sz="2" w:space="0" w:color="000000"/>
              <w:right w:val="single" w:sz="10" w:space="0" w:color="000000"/>
            </w:tcBorders>
            <w:vAlign w:val="center"/>
          </w:tcPr>
          <w:p w14:paraId="715DEE5C" w14:textId="77777777" w:rsidR="00606029" w:rsidRDefault="00EA5B92">
            <w:pPr>
              <w:pStyle w:val="afff0"/>
              <w:adjustRightInd w:val="0"/>
              <w:snapToGrid w:val="0"/>
              <w:spacing w:line="280" w:lineRule="exact"/>
              <w:rPr>
                <w:rFonts w:ascii="Times New Roman" w:hAnsi="Times New Roman"/>
                <w:b w:val="0"/>
                <w:bCs/>
                <w:sz w:val="21"/>
                <w:szCs w:val="21"/>
              </w:rPr>
            </w:pPr>
            <w:r>
              <w:rPr>
                <w:rFonts w:ascii="Times New Roman" w:hAnsi="Times New Roman"/>
                <w:b w:val="0"/>
                <w:bCs/>
                <w:sz w:val="21"/>
                <w:szCs w:val="21"/>
              </w:rPr>
              <w:t>年平均（</w:t>
            </w:r>
            <w:r>
              <w:rPr>
                <w:rFonts w:ascii="Times New Roman" w:hAnsi="Times New Roman"/>
                <w:b w:val="0"/>
                <w:bCs/>
                <w:sz w:val="21"/>
                <w:szCs w:val="21"/>
              </w:rPr>
              <w:t>mg/m</w:t>
            </w:r>
            <w:r>
              <w:rPr>
                <w:rFonts w:ascii="Times New Roman" w:hAnsi="Times New Roman"/>
                <w:b w:val="0"/>
                <w:bCs/>
                <w:sz w:val="21"/>
                <w:szCs w:val="21"/>
                <w:vertAlign w:val="superscript"/>
              </w:rPr>
              <w:t>3</w:t>
            </w:r>
            <w:r>
              <w:rPr>
                <w:rFonts w:ascii="Times New Roman" w:hAnsi="Times New Roman"/>
                <w:b w:val="0"/>
                <w:bCs/>
                <w:sz w:val="21"/>
                <w:szCs w:val="21"/>
              </w:rPr>
              <w:t>，铬单位为</w:t>
            </w:r>
            <w:r>
              <w:rPr>
                <w:rFonts w:ascii="Times New Roman" w:hAnsi="Times New Roman"/>
                <w:b w:val="0"/>
                <w:bCs/>
                <w:sz w:val="21"/>
                <w:szCs w:val="21"/>
              </w:rPr>
              <w:t>μg/m</w:t>
            </w:r>
            <w:r>
              <w:rPr>
                <w:rFonts w:ascii="Times New Roman" w:hAnsi="Times New Roman"/>
                <w:b w:val="0"/>
                <w:bCs/>
                <w:sz w:val="21"/>
                <w:szCs w:val="21"/>
                <w:vertAlign w:val="superscript"/>
              </w:rPr>
              <w:t>3</w:t>
            </w:r>
            <w:r>
              <w:rPr>
                <w:rFonts w:ascii="Times New Roman" w:hAnsi="Times New Roman"/>
                <w:b w:val="0"/>
                <w:bCs/>
                <w:sz w:val="21"/>
                <w:szCs w:val="21"/>
              </w:rPr>
              <w:t>）</w:t>
            </w:r>
          </w:p>
        </w:tc>
      </w:tr>
      <w:tr w:rsidR="00606029" w14:paraId="6442D6CF" w14:textId="77777777">
        <w:trPr>
          <w:trHeight w:val="57"/>
        </w:trPr>
        <w:tc>
          <w:tcPr>
            <w:tcW w:w="1279" w:type="pct"/>
            <w:vMerge/>
            <w:tcBorders>
              <w:top w:val="nil"/>
              <w:left w:val="single" w:sz="10" w:space="0" w:color="000000"/>
              <w:bottom w:val="single" w:sz="2" w:space="0" w:color="000000"/>
              <w:right w:val="single" w:sz="2" w:space="0" w:color="000000"/>
            </w:tcBorders>
            <w:vAlign w:val="center"/>
          </w:tcPr>
          <w:p w14:paraId="57D5F55B" w14:textId="77777777" w:rsidR="00606029" w:rsidRDefault="00606029">
            <w:pPr>
              <w:pStyle w:val="afff0"/>
              <w:adjustRightInd w:val="0"/>
              <w:snapToGrid w:val="0"/>
              <w:spacing w:line="280" w:lineRule="exact"/>
              <w:rPr>
                <w:rFonts w:ascii="Times New Roman" w:hAnsi="Times New Roman"/>
                <w:b w:val="0"/>
                <w:bCs/>
                <w:sz w:val="21"/>
                <w:szCs w:val="21"/>
              </w:rPr>
            </w:pPr>
          </w:p>
        </w:tc>
        <w:tc>
          <w:tcPr>
            <w:tcW w:w="906" w:type="pct"/>
            <w:vMerge/>
            <w:tcBorders>
              <w:top w:val="nil"/>
              <w:left w:val="single" w:sz="2" w:space="0" w:color="000000"/>
              <w:bottom w:val="single" w:sz="2" w:space="0" w:color="000000"/>
              <w:right w:val="single" w:sz="2" w:space="0" w:color="000000"/>
            </w:tcBorders>
            <w:vAlign w:val="center"/>
          </w:tcPr>
          <w:p w14:paraId="463287B7" w14:textId="77777777" w:rsidR="00606029" w:rsidRDefault="00606029">
            <w:pPr>
              <w:pStyle w:val="afff0"/>
              <w:adjustRightInd w:val="0"/>
              <w:snapToGrid w:val="0"/>
              <w:spacing w:line="280" w:lineRule="exact"/>
              <w:rPr>
                <w:rFonts w:ascii="Times New Roman" w:hAnsi="Times New Roman"/>
                <w:b w:val="0"/>
                <w:bCs/>
                <w:sz w:val="21"/>
                <w:szCs w:val="21"/>
              </w:rPr>
            </w:pPr>
          </w:p>
        </w:tc>
        <w:tc>
          <w:tcPr>
            <w:tcW w:w="926" w:type="pct"/>
            <w:tcBorders>
              <w:top w:val="single" w:sz="2" w:space="0" w:color="000000"/>
              <w:left w:val="single" w:sz="2" w:space="0" w:color="000000"/>
              <w:bottom w:val="single" w:sz="2" w:space="0" w:color="000000"/>
              <w:right w:val="single" w:sz="2" w:space="0" w:color="000000"/>
            </w:tcBorders>
            <w:vAlign w:val="center"/>
          </w:tcPr>
          <w:p w14:paraId="1B8D414A" w14:textId="77777777" w:rsidR="00606029" w:rsidRDefault="00EA5B92">
            <w:pPr>
              <w:pStyle w:val="afff0"/>
              <w:adjustRightInd w:val="0"/>
              <w:snapToGrid w:val="0"/>
              <w:spacing w:line="280" w:lineRule="exact"/>
              <w:rPr>
                <w:rFonts w:ascii="Times New Roman" w:hAnsi="Times New Roman"/>
                <w:b w:val="0"/>
                <w:bCs/>
                <w:sz w:val="21"/>
                <w:szCs w:val="21"/>
              </w:rPr>
            </w:pPr>
            <w:r>
              <w:rPr>
                <w:rFonts w:ascii="Times New Roman" w:hAnsi="Times New Roman"/>
                <w:b w:val="0"/>
                <w:bCs/>
                <w:sz w:val="21"/>
                <w:szCs w:val="21"/>
              </w:rPr>
              <w:t>二级</w:t>
            </w:r>
          </w:p>
        </w:tc>
        <w:tc>
          <w:tcPr>
            <w:tcW w:w="1064" w:type="pct"/>
            <w:tcBorders>
              <w:top w:val="single" w:sz="2" w:space="0" w:color="000000"/>
              <w:left w:val="single" w:sz="2" w:space="0" w:color="000000"/>
              <w:bottom w:val="single" w:sz="2" w:space="0" w:color="000000"/>
              <w:right w:val="single" w:sz="2" w:space="0" w:color="000000"/>
            </w:tcBorders>
            <w:vAlign w:val="center"/>
          </w:tcPr>
          <w:p w14:paraId="150E6424" w14:textId="77777777" w:rsidR="00606029" w:rsidRDefault="00EA5B92">
            <w:pPr>
              <w:pStyle w:val="afff0"/>
              <w:adjustRightInd w:val="0"/>
              <w:snapToGrid w:val="0"/>
              <w:spacing w:line="280" w:lineRule="exact"/>
              <w:rPr>
                <w:rFonts w:ascii="Times New Roman" w:hAnsi="Times New Roman"/>
                <w:b w:val="0"/>
                <w:bCs/>
                <w:sz w:val="21"/>
                <w:szCs w:val="21"/>
              </w:rPr>
            </w:pPr>
            <w:r>
              <w:rPr>
                <w:rFonts w:ascii="Times New Roman" w:hAnsi="Times New Roman"/>
                <w:b w:val="0"/>
                <w:bCs/>
                <w:sz w:val="21"/>
                <w:szCs w:val="21"/>
              </w:rPr>
              <w:t>二级</w:t>
            </w:r>
          </w:p>
        </w:tc>
        <w:tc>
          <w:tcPr>
            <w:tcW w:w="823" w:type="pct"/>
            <w:tcBorders>
              <w:top w:val="single" w:sz="2" w:space="0" w:color="000000"/>
              <w:left w:val="single" w:sz="2" w:space="0" w:color="000000"/>
              <w:bottom w:val="single" w:sz="2" w:space="0" w:color="000000"/>
              <w:right w:val="single" w:sz="10" w:space="0" w:color="000000"/>
            </w:tcBorders>
            <w:vAlign w:val="center"/>
          </w:tcPr>
          <w:p w14:paraId="64246BA7" w14:textId="77777777" w:rsidR="00606029" w:rsidRDefault="00EA5B92">
            <w:pPr>
              <w:pStyle w:val="afff0"/>
              <w:adjustRightInd w:val="0"/>
              <w:snapToGrid w:val="0"/>
              <w:spacing w:line="280" w:lineRule="exact"/>
              <w:rPr>
                <w:rFonts w:ascii="Times New Roman" w:hAnsi="Times New Roman"/>
                <w:b w:val="0"/>
                <w:bCs/>
                <w:sz w:val="21"/>
                <w:szCs w:val="21"/>
              </w:rPr>
            </w:pPr>
            <w:r>
              <w:rPr>
                <w:rFonts w:ascii="Times New Roman" w:hAnsi="Times New Roman"/>
                <w:b w:val="0"/>
                <w:bCs/>
                <w:sz w:val="21"/>
                <w:szCs w:val="21"/>
              </w:rPr>
              <w:t>二级</w:t>
            </w:r>
          </w:p>
        </w:tc>
      </w:tr>
      <w:tr w:rsidR="00606029" w14:paraId="4EB0CBFA" w14:textId="77777777">
        <w:trPr>
          <w:trHeight w:val="57"/>
        </w:trPr>
        <w:tc>
          <w:tcPr>
            <w:tcW w:w="1279" w:type="pct"/>
            <w:tcBorders>
              <w:top w:val="single" w:sz="4" w:space="0" w:color="auto"/>
              <w:left w:val="single" w:sz="10" w:space="0" w:color="000000"/>
              <w:right w:val="single" w:sz="2" w:space="0" w:color="000000"/>
            </w:tcBorders>
            <w:vAlign w:val="center"/>
          </w:tcPr>
          <w:p w14:paraId="7337A7AD" w14:textId="77777777" w:rsidR="00606029" w:rsidRDefault="00EA5B92">
            <w:pPr>
              <w:pStyle w:val="afff0"/>
              <w:adjustRightInd w:val="0"/>
              <w:snapToGrid w:val="0"/>
              <w:spacing w:line="280" w:lineRule="exact"/>
              <w:rPr>
                <w:rFonts w:ascii="Times New Roman" w:hAnsi="Times New Roman"/>
                <w:b w:val="0"/>
                <w:bCs/>
                <w:sz w:val="21"/>
                <w:szCs w:val="21"/>
              </w:rPr>
            </w:pPr>
            <w:r>
              <w:rPr>
                <w:rFonts w:ascii="Times New Roman" w:hAnsi="Times New Roman"/>
                <w:b w:val="0"/>
                <w:bCs/>
                <w:sz w:val="21"/>
                <w:szCs w:val="21"/>
              </w:rPr>
              <w:t>《环境空气质量标准》（</w:t>
            </w:r>
            <w:r>
              <w:rPr>
                <w:rFonts w:ascii="Times New Roman" w:hAnsi="Times New Roman"/>
                <w:b w:val="0"/>
                <w:bCs/>
                <w:sz w:val="21"/>
                <w:szCs w:val="21"/>
              </w:rPr>
              <w:t>GB3095-2012</w:t>
            </w:r>
            <w:r>
              <w:rPr>
                <w:rFonts w:ascii="Times New Roman" w:hAnsi="Times New Roman"/>
                <w:b w:val="0"/>
                <w:bCs/>
                <w:sz w:val="21"/>
                <w:szCs w:val="21"/>
              </w:rPr>
              <w:t>）二级标准及</w:t>
            </w:r>
            <w:r>
              <w:rPr>
                <w:rFonts w:ascii="Times New Roman" w:hAnsi="Times New Roman"/>
                <w:b w:val="0"/>
                <w:bCs/>
                <w:sz w:val="21"/>
                <w:szCs w:val="21"/>
              </w:rPr>
              <w:t>2018</w:t>
            </w:r>
            <w:r>
              <w:rPr>
                <w:rFonts w:ascii="Times New Roman" w:hAnsi="Times New Roman"/>
                <w:b w:val="0"/>
                <w:bCs/>
                <w:sz w:val="21"/>
                <w:szCs w:val="21"/>
              </w:rPr>
              <w:t>年修改单</w:t>
            </w:r>
          </w:p>
        </w:tc>
        <w:tc>
          <w:tcPr>
            <w:tcW w:w="906" w:type="pct"/>
            <w:tcBorders>
              <w:top w:val="single" w:sz="4" w:space="0" w:color="auto"/>
              <w:left w:val="single" w:sz="2" w:space="0" w:color="000000"/>
              <w:bottom w:val="single" w:sz="2" w:space="0" w:color="000000"/>
              <w:right w:val="single" w:sz="2" w:space="0" w:color="000000"/>
            </w:tcBorders>
            <w:vAlign w:val="center"/>
          </w:tcPr>
          <w:p w14:paraId="392887F1" w14:textId="77777777" w:rsidR="00606029" w:rsidRDefault="00EA5B92">
            <w:pPr>
              <w:pStyle w:val="afff0"/>
              <w:adjustRightInd w:val="0"/>
              <w:snapToGrid w:val="0"/>
              <w:spacing w:line="280" w:lineRule="exact"/>
              <w:rPr>
                <w:rFonts w:ascii="Times New Roman" w:hAnsi="Times New Roman"/>
                <w:b w:val="0"/>
                <w:bCs/>
                <w:sz w:val="21"/>
                <w:szCs w:val="21"/>
              </w:rPr>
            </w:pPr>
            <w:r>
              <w:rPr>
                <w:rFonts w:ascii="Times New Roman" w:hAnsi="Times New Roman"/>
                <w:b w:val="0"/>
                <w:bCs/>
                <w:sz w:val="21"/>
                <w:szCs w:val="21"/>
              </w:rPr>
              <w:t>TSP</w:t>
            </w:r>
          </w:p>
        </w:tc>
        <w:tc>
          <w:tcPr>
            <w:tcW w:w="926" w:type="pct"/>
            <w:tcBorders>
              <w:top w:val="single" w:sz="2" w:space="0" w:color="000000"/>
              <w:left w:val="single" w:sz="2" w:space="0" w:color="000000"/>
              <w:bottom w:val="single" w:sz="2" w:space="0" w:color="000000"/>
              <w:right w:val="single" w:sz="2" w:space="0" w:color="000000"/>
            </w:tcBorders>
            <w:vAlign w:val="center"/>
          </w:tcPr>
          <w:p w14:paraId="62F3F833" w14:textId="77777777" w:rsidR="00606029" w:rsidRDefault="00EA5B92">
            <w:pPr>
              <w:pStyle w:val="afff0"/>
              <w:adjustRightInd w:val="0"/>
              <w:snapToGrid w:val="0"/>
              <w:spacing w:line="280" w:lineRule="exact"/>
              <w:rPr>
                <w:rFonts w:ascii="Times New Roman" w:hAnsi="Times New Roman"/>
                <w:b w:val="0"/>
                <w:bCs/>
                <w:sz w:val="21"/>
                <w:szCs w:val="21"/>
              </w:rPr>
            </w:pPr>
            <w:r>
              <w:rPr>
                <w:rFonts w:ascii="Times New Roman" w:hAnsi="Times New Roman"/>
                <w:b w:val="0"/>
                <w:bCs/>
                <w:sz w:val="21"/>
                <w:szCs w:val="21"/>
              </w:rPr>
              <w:t>/</w:t>
            </w:r>
          </w:p>
        </w:tc>
        <w:tc>
          <w:tcPr>
            <w:tcW w:w="1064" w:type="pct"/>
            <w:tcBorders>
              <w:top w:val="single" w:sz="2" w:space="0" w:color="000000"/>
              <w:left w:val="single" w:sz="2" w:space="0" w:color="000000"/>
              <w:bottom w:val="single" w:sz="2" w:space="0" w:color="000000"/>
              <w:right w:val="single" w:sz="2" w:space="0" w:color="000000"/>
            </w:tcBorders>
            <w:vAlign w:val="center"/>
          </w:tcPr>
          <w:p w14:paraId="44859997" w14:textId="77777777" w:rsidR="00606029" w:rsidRDefault="00EA5B92">
            <w:pPr>
              <w:pStyle w:val="afff0"/>
              <w:adjustRightInd w:val="0"/>
              <w:snapToGrid w:val="0"/>
              <w:spacing w:line="280" w:lineRule="exact"/>
              <w:rPr>
                <w:rFonts w:ascii="Times New Roman" w:hAnsi="Times New Roman"/>
                <w:b w:val="0"/>
                <w:bCs/>
                <w:sz w:val="21"/>
                <w:szCs w:val="21"/>
              </w:rPr>
            </w:pPr>
            <w:r>
              <w:rPr>
                <w:rFonts w:ascii="Times New Roman" w:hAnsi="Times New Roman"/>
                <w:b w:val="0"/>
                <w:bCs/>
                <w:sz w:val="21"/>
                <w:szCs w:val="21"/>
              </w:rPr>
              <w:t>0.3</w:t>
            </w:r>
          </w:p>
        </w:tc>
        <w:tc>
          <w:tcPr>
            <w:tcW w:w="823" w:type="pct"/>
            <w:tcBorders>
              <w:top w:val="single" w:sz="2" w:space="0" w:color="000000"/>
              <w:left w:val="single" w:sz="2" w:space="0" w:color="000000"/>
              <w:bottom w:val="single" w:sz="2" w:space="0" w:color="000000"/>
              <w:right w:val="single" w:sz="10" w:space="0" w:color="000000"/>
            </w:tcBorders>
            <w:vAlign w:val="center"/>
          </w:tcPr>
          <w:p w14:paraId="54620042" w14:textId="77777777" w:rsidR="00606029" w:rsidRDefault="00EA5B92">
            <w:pPr>
              <w:pStyle w:val="afff0"/>
              <w:adjustRightInd w:val="0"/>
              <w:snapToGrid w:val="0"/>
              <w:spacing w:line="280" w:lineRule="exact"/>
              <w:rPr>
                <w:rFonts w:ascii="Times New Roman" w:hAnsi="Times New Roman"/>
                <w:b w:val="0"/>
                <w:bCs/>
                <w:sz w:val="21"/>
                <w:szCs w:val="21"/>
              </w:rPr>
            </w:pPr>
            <w:r>
              <w:rPr>
                <w:rFonts w:ascii="Times New Roman" w:hAnsi="Times New Roman"/>
                <w:b w:val="0"/>
                <w:bCs/>
                <w:sz w:val="21"/>
                <w:szCs w:val="21"/>
              </w:rPr>
              <w:t>0.2</w:t>
            </w:r>
          </w:p>
        </w:tc>
      </w:tr>
      <w:tr w:rsidR="00606029" w14:paraId="03CEDF42" w14:textId="77777777">
        <w:trPr>
          <w:trHeight w:val="57"/>
        </w:trPr>
        <w:tc>
          <w:tcPr>
            <w:tcW w:w="1279" w:type="pct"/>
            <w:vMerge w:val="restart"/>
            <w:tcBorders>
              <w:top w:val="single" w:sz="4" w:space="0" w:color="auto"/>
              <w:left w:val="single" w:sz="10" w:space="0" w:color="000000"/>
              <w:right w:val="single" w:sz="2" w:space="0" w:color="000000"/>
            </w:tcBorders>
            <w:vAlign w:val="center"/>
          </w:tcPr>
          <w:p w14:paraId="6F8E1427" w14:textId="77777777" w:rsidR="00606029" w:rsidRDefault="00EA5B92">
            <w:pPr>
              <w:pStyle w:val="afff0"/>
              <w:adjustRightInd w:val="0"/>
              <w:snapToGrid w:val="0"/>
              <w:spacing w:line="280" w:lineRule="exact"/>
              <w:rPr>
                <w:rFonts w:ascii="Times New Roman" w:hAnsi="Times New Roman"/>
                <w:b w:val="0"/>
                <w:bCs/>
                <w:sz w:val="21"/>
                <w:szCs w:val="21"/>
              </w:rPr>
            </w:pPr>
            <w:r>
              <w:rPr>
                <w:rFonts w:ascii="Times New Roman" w:hAnsi="Times New Roman"/>
                <w:b w:val="0"/>
                <w:bCs/>
                <w:sz w:val="21"/>
                <w:szCs w:val="21"/>
              </w:rPr>
              <w:t>《环境影响评价技术导则</w:t>
            </w:r>
            <w:r>
              <w:rPr>
                <w:rFonts w:ascii="Times New Roman" w:hAnsi="Times New Roman"/>
                <w:b w:val="0"/>
                <w:bCs/>
                <w:sz w:val="21"/>
                <w:szCs w:val="21"/>
              </w:rPr>
              <w:t xml:space="preserve"> </w:t>
            </w:r>
            <w:r>
              <w:rPr>
                <w:rFonts w:ascii="Times New Roman" w:hAnsi="Times New Roman"/>
                <w:b w:val="0"/>
                <w:bCs/>
                <w:sz w:val="21"/>
                <w:szCs w:val="21"/>
              </w:rPr>
              <w:t>大气环境》（</w:t>
            </w:r>
            <w:r>
              <w:rPr>
                <w:rFonts w:ascii="Times New Roman" w:hAnsi="Times New Roman"/>
                <w:b w:val="0"/>
                <w:bCs/>
                <w:sz w:val="21"/>
                <w:szCs w:val="21"/>
              </w:rPr>
              <w:t>HJ2.2-</w:t>
            </w:r>
            <w:r>
              <w:rPr>
                <w:rFonts w:ascii="Times New Roman" w:hAnsi="Times New Roman"/>
                <w:b w:val="0"/>
                <w:bCs/>
                <w:sz w:val="21"/>
                <w:szCs w:val="21"/>
              </w:rPr>
              <w:lastRenderedPageBreak/>
              <w:t>2018</w:t>
            </w:r>
            <w:r>
              <w:rPr>
                <w:rFonts w:ascii="Times New Roman" w:hAnsi="Times New Roman"/>
                <w:b w:val="0"/>
                <w:bCs/>
                <w:sz w:val="21"/>
                <w:szCs w:val="21"/>
              </w:rPr>
              <w:t>）表</w:t>
            </w:r>
            <w:r>
              <w:rPr>
                <w:rFonts w:ascii="Times New Roman" w:hAnsi="Times New Roman"/>
                <w:b w:val="0"/>
                <w:bCs/>
                <w:sz w:val="21"/>
                <w:szCs w:val="21"/>
              </w:rPr>
              <w:t>D.1</w:t>
            </w:r>
          </w:p>
        </w:tc>
        <w:tc>
          <w:tcPr>
            <w:tcW w:w="906" w:type="pct"/>
            <w:tcBorders>
              <w:top w:val="single" w:sz="4" w:space="0" w:color="auto"/>
              <w:left w:val="single" w:sz="2" w:space="0" w:color="000000"/>
              <w:bottom w:val="single" w:sz="2" w:space="0" w:color="000000"/>
              <w:right w:val="single" w:sz="2" w:space="0" w:color="000000"/>
            </w:tcBorders>
            <w:vAlign w:val="center"/>
          </w:tcPr>
          <w:p w14:paraId="38A8104F" w14:textId="77777777" w:rsidR="00606029" w:rsidRDefault="00EA5B92">
            <w:pPr>
              <w:pStyle w:val="afff0"/>
              <w:adjustRightInd w:val="0"/>
              <w:snapToGrid w:val="0"/>
              <w:spacing w:line="280" w:lineRule="exact"/>
              <w:rPr>
                <w:rFonts w:ascii="Times New Roman" w:hAnsi="Times New Roman"/>
                <w:b w:val="0"/>
                <w:bCs/>
                <w:sz w:val="21"/>
                <w:szCs w:val="21"/>
              </w:rPr>
            </w:pPr>
            <w:r>
              <w:rPr>
                <w:rFonts w:ascii="Times New Roman" w:hAnsi="Times New Roman"/>
                <w:b w:val="0"/>
                <w:bCs/>
                <w:sz w:val="21"/>
                <w:szCs w:val="21"/>
              </w:rPr>
              <w:lastRenderedPageBreak/>
              <w:t>H</w:t>
            </w:r>
            <w:r>
              <w:rPr>
                <w:rFonts w:ascii="Times New Roman" w:hAnsi="Times New Roman"/>
                <w:b w:val="0"/>
                <w:bCs/>
                <w:sz w:val="21"/>
                <w:szCs w:val="21"/>
                <w:vertAlign w:val="subscript"/>
              </w:rPr>
              <w:t>2</w:t>
            </w:r>
            <w:r>
              <w:rPr>
                <w:rFonts w:ascii="Times New Roman" w:hAnsi="Times New Roman"/>
                <w:b w:val="0"/>
                <w:bCs/>
                <w:sz w:val="21"/>
                <w:szCs w:val="21"/>
              </w:rPr>
              <w:t>S</w:t>
            </w:r>
          </w:p>
        </w:tc>
        <w:tc>
          <w:tcPr>
            <w:tcW w:w="926" w:type="pct"/>
            <w:tcBorders>
              <w:top w:val="single" w:sz="2" w:space="0" w:color="000000"/>
              <w:left w:val="single" w:sz="2" w:space="0" w:color="000000"/>
              <w:bottom w:val="single" w:sz="2" w:space="0" w:color="000000"/>
              <w:right w:val="single" w:sz="2" w:space="0" w:color="000000"/>
            </w:tcBorders>
            <w:vAlign w:val="center"/>
          </w:tcPr>
          <w:p w14:paraId="22866F28" w14:textId="77777777" w:rsidR="00606029" w:rsidRDefault="00EA5B92">
            <w:pPr>
              <w:pStyle w:val="afff0"/>
              <w:adjustRightInd w:val="0"/>
              <w:snapToGrid w:val="0"/>
              <w:spacing w:line="280" w:lineRule="exact"/>
              <w:rPr>
                <w:rFonts w:ascii="Times New Roman" w:hAnsi="Times New Roman"/>
                <w:b w:val="0"/>
                <w:bCs/>
                <w:sz w:val="21"/>
                <w:szCs w:val="21"/>
              </w:rPr>
            </w:pPr>
            <w:r>
              <w:rPr>
                <w:rFonts w:ascii="Times New Roman" w:hAnsi="Times New Roman"/>
                <w:b w:val="0"/>
                <w:bCs/>
                <w:sz w:val="21"/>
                <w:szCs w:val="21"/>
              </w:rPr>
              <w:t>0.01</w:t>
            </w:r>
          </w:p>
        </w:tc>
        <w:tc>
          <w:tcPr>
            <w:tcW w:w="1064" w:type="pct"/>
            <w:tcBorders>
              <w:top w:val="single" w:sz="2" w:space="0" w:color="000000"/>
              <w:left w:val="single" w:sz="2" w:space="0" w:color="000000"/>
              <w:bottom w:val="single" w:sz="2" w:space="0" w:color="000000"/>
              <w:right w:val="single" w:sz="2" w:space="0" w:color="000000"/>
            </w:tcBorders>
            <w:vAlign w:val="center"/>
          </w:tcPr>
          <w:p w14:paraId="1A631DD0" w14:textId="77777777" w:rsidR="00606029" w:rsidRDefault="00EA5B92">
            <w:pPr>
              <w:pStyle w:val="afff0"/>
              <w:adjustRightInd w:val="0"/>
              <w:snapToGrid w:val="0"/>
              <w:spacing w:line="280" w:lineRule="exact"/>
              <w:rPr>
                <w:rFonts w:ascii="Times New Roman" w:hAnsi="Times New Roman"/>
                <w:b w:val="0"/>
                <w:bCs/>
                <w:sz w:val="21"/>
                <w:szCs w:val="21"/>
              </w:rPr>
            </w:pPr>
            <w:r>
              <w:rPr>
                <w:rFonts w:ascii="Times New Roman" w:hAnsi="Times New Roman"/>
                <w:b w:val="0"/>
                <w:bCs/>
                <w:sz w:val="21"/>
                <w:szCs w:val="21"/>
              </w:rPr>
              <w:t>/</w:t>
            </w:r>
          </w:p>
        </w:tc>
        <w:tc>
          <w:tcPr>
            <w:tcW w:w="823" w:type="pct"/>
            <w:tcBorders>
              <w:top w:val="single" w:sz="2" w:space="0" w:color="000000"/>
              <w:left w:val="single" w:sz="2" w:space="0" w:color="000000"/>
              <w:bottom w:val="single" w:sz="2" w:space="0" w:color="000000"/>
              <w:right w:val="single" w:sz="10" w:space="0" w:color="000000"/>
            </w:tcBorders>
            <w:vAlign w:val="center"/>
          </w:tcPr>
          <w:p w14:paraId="677B6497" w14:textId="77777777" w:rsidR="00606029" w:rsidRDefault="00EA5B92">
            <w:pPr>
              <w:pStyle w:val="afff0"/>
              <w:adjustRightInd w:val="0"/>
              <w:snapToGrid w:val="0"/>
              <w:spacing w:line="280" w:lineRule="exact"/>
              <w:rPr>
                <w:rFonts w:ascii="Times New Roman" w:hAnsi="Times New Roman"/>
                <w:b w:val="0"/>
                <w:bCs/>
                <w:sz w:val="21"/>
                <w:szCs w:val="21"/>
              </w:rPr>
            </w:pPr>
            <w:r>
              <w:rPr>
                <w:rFonts w:ascii="Times New Roman" w:hAnsi="Times New Roman"/>
                <w:b w:val="0"/>
                <w:bCs/>
                <w:sz w:val="21"/>
                <w:szCs w:val="21"/>
              </w:rPr>
              <w:t>/</w:t>
            </w:r>
          </w:p>
        </w:tc>
      </w:tr>
      <w:tr w:rsidR="00606029" w14:paraId="0E59B9C4" w14:textId="77777777">
        <w:trPr>
          <w:trHeight w:val="57"/>
        </w:trPr>
        <w:tc>
          <w:tcPr>
            <w:tcW w:w="1279" w:type="pct"/>
            <w:vMerge/>
            <w:tcBorders>
              <w:left w:val="single" w:sz="10" w:space="0" w:color="000000"/>
              <w:bottom w:val="single" w:sz="2" w:space="0" w:color="000000"/>
              <w:right w:val="single" w:sz="2" w:space="0" w:color="000000"/>
            </w:tcBorders>
            <w:vAlign w:val="center"/>
          </w:tcPr>
          <w:p w14:paraId="325797C2" w14:textId="77777777" w:rsidR="00606029" w:rsidRDefault="00606029">
            <w:pPr>
              <w:pStyle w:val="afff0"/>
              <w:adjustRightInd w:val="0"/>
              <w:snapToGrid w:val="0"/>
              <w:spacing w:line="280" w:lineRule="exact"/>
              <w:rPr>
                <w:rFonts w:ascii="Times New Roman" w:hAnsi="Times New Roman"/>
                <w:b w:val="0"/>
                <w:bCs/>
                <w:sz w:val="21"/>
                <w:szCs w:val="21"/>
              </w:rPr>
            </w:pPr>
          </w:p>
        </w:tc>
        <w:tc>
          <w:tcPr>
            <w:tcW w:w="906" w:type="pct"/>
            <w:tcBorders>
              <w:top w:val="single" w:sz="2" w:space="0" w:color="000000"/>
              <w:left w:val="single" w:sz="2" w:space="0" w:color="000000"/>
              <w:bottom w:val="single" w:sz="2" w:space="0" w:color="000000"/>
              <w:right w:val="single" w:sz="2" w:space="0" w:color="000000"/>
            </w:tcBorders>
            <w:vAlign w:val="center"/>
          </w:tcPr>
          <w:p w14:paraId="6565AA77" w14:textId="77777777" w:rsidR="00606029" w:rsidRDefault="00EA5B92">
            <w:pPr>
              <w:pStyle w:val="afff0"/>
              <w:adjustRightInd w:val="0"/>
              <w:snapToGrid w:val="0"/>
              <w:spacing w:line="280" w:lineRule="exact"/>
              <w:rPr>
                <w:rFonts w:ascii="Times New Roman" w:hAnsi="Times New Roman"/>
                <w:b w:val="0"/>
                <w:bCs/>
                <w:sz w:val="21"/>
                <w:szCs w:val="21"/>
              </w:rPr>
            </w:pPr>
            <w:r>
              <w:rPr>
                <w:rFonts w:ascii="Times New Roman" w:hAnsi="Times New Roman"/>
                <w:b w:val="0"/>
                <w:bCs/>
                <w:sz w:val="21"/>
                <w:szCs w:val="21"/>
              </w:rPr>
              <w:t>NH</w:t>
            </w:r>
            <w:r>
              <w:rPr>
                <w:rFonts w:ascii="Times New Roman" w:hAnsi="Times New Roman"/>
                <w:b w:val="0"/>
                <w:bCs/>
                <w:sz w:val="21"/>
                <w:szCs w:val="21"/>
                <w:vertAlign w:val="subscript"/>
              </w:rPr>
              <w:t>3</w:t>
            </w:r>
          </w:p>
        </w:tc>
        <w:tc>
          <w:tcPr>
            <w:tcW w:w="926" w:type="pct"/>
            <w:tcBorders>
              <w:top w:val="single" w:sz="2" w:space="0" w:color="000000"/>
              <w:left w:val="single" w:sz="2" w:space="0" w:color="000000"/>
              <w:bottom w:val="single" w:sz="2" w:space="0" w:color="000000"/>
              <w:right w:val="single" w:sz="2" w:space="0" w:color="000000"/>
            </w:tcBorders>
            <w:vAlign w:val="center"/>
          </w:tcPr>
          <w:p w14:paraId="084991E4" w14:textId="77777777" w:rsidR="00606029" w:rsidRDefault="00EA5B92">
            <w:pPr>
              <w:pStyle w:val="afff0"/>
              <w:adjustRightInd w:val="0"/>
              <w:snapToGrid w:val="0"/>
              <w:spacing w:line="280" w:lineRule="exact"/>
              <w:rPr>
                <w:rFonts w:ascii="Times New Roman" w:hAnsi="Times New Roman"/>
                <w:b w:val="0"/>
                <w:bCs/>
                <w:sz w:val="21"/>
                <w:szCs w:val="21"/>
              </w:rPr>
            </w:pPr>
            <w:r>
              <w:rPr>
                <w:rFonts w:ascii="Times New Roman" w:hAnsi="Times New Roman"/>
                <w:b w:val="0"/>
                <w:bCs/>
                <w:sz w:val="21"/>
                <w:szCs w:val="21"/>
              </w:rPr>
              <w:t>0.2</w:t>
            </w:r>
          </w:p>
        </w:tc>
        <w:tc>
          <w:tcPr>
            <w:tcW w:w="1064" w:type="pct"/>
            <w:tcBorders>
              <w:top w:val="single" w:sz="2" w:space="0" w:color="000000"/>
              <w:left w:val="single" w:sz="2" w:space="0" w:color="000000"/>
              <w:bottom w:val="single" w:sz="2" w:space="0" w:color="000000"/>
              <w:right w:val="single" w:sz="2" w:space="0" w:color="000000"/>
            </w:tcBorders>
            <w:vAlign w:val="center"/>
          </w:tcPr>
          <w:p w14:paraId="096E9892" w14:textId="77777777" w:rsidR="00606029" w:rsidRDefault="00EA5B92">
            <w:pPr>
              <w:pStyle w:val="afff0"/>
              <w:adjustRightInd w:val="0"/>
              <w:snapToGrid w:val="0"/>
              <w:spacing w:line="280" w:lineRule="exact"/>
              <w:rPr>
                <w:rFonts w:ascii="Times New Roman" w:hAnsi="Times New Roman"/>
                <w:b w:val="0"/>
                <w:bCs/>
                <w:sz w:val="21"/>
                <w:szCs w:val="21"/>
              </w:rPr>
            </w:pPr>
            <w:r>
              <w:rPr>
                <w:rFonts w:ascii="Times New Roman" w:hAnsi="Times New Roman"/>
                <w:b w:val="0"/>
                <w:bCs/>
                <w:sz w:val="21"/>
                <w:szCs w:val="21"/>
              </w:rPr>
              <w:t>/</w:t>
            </w:r>
          </w:p>
        </w:tc>
        <w:tc>
          <w:tcPr>
            <w:tcW w:w="823" w:type="pct"/>
            <w:tcBorders>
              <w:top w:val="single" w:sz="2" w:space="0" w:color="000000"/>
              <w:left w:val="single" w:sz="2" w:space="0" w:color="000000"/>
              <w:bottom w:val="single" w:sz="2" w:space="0" w:color="000000"/>
              <w:right w:val="single" w:sz="10" w:space="0" w:color="000000"/>
            </w:tcBorders>
            <w:vAlign w:val="center"/>
          </w:tcPr>
          <w:p w14:paraId="72DFCA1D" w14:textId="77777777" w:rsidR="00606029" w:rsidRDefault="00EA5B92">
            <w:pPr>
              <w:pStyle w:val="afff0"/>
              <w:adjustRightInd w:val="0"/>
              <w:snapToGrid w:val="0"/>
              <w:spacing w:line="280" w:lineRule="exact"/>
              <w:rPr>
                <w:rFonts w:ascii="Times New Roman" w:hAnsi="Times New Roman"/>
                <w:b w:val="0"/>
                <w:bCs/>
                <w:sz w:val="21"/>
                <w:szCs w:val="21"/>
              </w:rPr>
            </w:pPr>
            <w:r>
              <w:rPr>
                <w:rFonts w:ascii="Times New Roman" w:hAnsi="Times New Roman"/>
                <w:b w:val="0"/>
                <w:bCs/>
                <w:sz w:val="21"/>
                <w:szCs w:val="21"/>
              </w:rPr>
              <w:t>/</w:t>
            </w:r>
          </w:p>
        </w:tc>
      </w:tr>
      <w:tr w:rsidR="00606029" w14:paraId="6B3F9881" w14:textId="77777777">
        <w:trPr>
          <w:trHeight w:val="57"/>
        </w:trPr>
        <w:tc>
          <w:tcPr>
            <w:tcW w:w="1279" w:type="pct"/>
            <w:tcBorders>
              <w:top w:val="single" w:sz="2" w:space="0" w:color="000000"/>
              <w:left w:val="single" w:sz="10" w:space="0" w:color="000000"/>
              <w:bottom w:val="single" w:sz="10" w:space="0" w:color="000000"/>
              <w:right w:val="single" w:sz="2" w:space="0" w:color="000000"/>
            </w:tcBorders>
            <w:vAlign w:val="center"/>
          </w:tcPr>
          <w:p w14:paraId="2338582A" w14:textId="77777777" w:rsidR="00606029" w:rsidRDefault="00EA5B92">
            <w:pPr>
              <w:pStyle w:val="afff0"/>
              <w:adjustRightInd w:val="0"/>
              <w:snapToGrid w:val="0"/>
              <w:spacing w:line="280" w:lineRule="exact"/>
              <w:rPr>
                <w:rFonts w:ascii="Times New Roman" w:hAnsi="Times New Roman"/>
                <w:b w:val="0"/>
                <w:bCs/>
                <w:sz w:val="21"/>
                <w:szCs w:val="21"/>
              </w:rPr>
            </w:pPr>
            <w:r>
              <w:rPr>
                <w:rFonts w:ascii="Times New Roman" w:hAnsi="Times New Roman"/>
                <w:b w:val="0"/>
                <w:bCs/>
                <w:sz w:val="21"/>
                <w:szCs w:val="21"/>
              </w:rPr>
              <w:t>《大气污染物综合排放标准详解》中的环境背景浓度取值</w:t>
            </w:r>
          </w:p>
        </w:tc>
        <w:tc>
          <w:tcPr>
            <w:tcW w:w="906" w:type="pct"/>
            <w:tcBorders>
              <w:top w:val="single" w:sz="2" w:space="0" w:color="000000"/>
              <w:left w:val="single" w:sz="2" w:space="0" w:color="000000"/>
              <w:bottom w:val="single" w:sz="10" w:space="0" w:color="000000"/>
              <w:right w:val="single" w:sz="2" w:space="0" w:color="000000"/>
            </w:tcBorders>
            <w:vAlign w:val="center"/>
          </w:tcPr>
          <w:p w14:paraId="439B136E" w14:textId="77777777" w:rsidR="00606029" w:rsidRDefault="00EA5B92">
            <w:pPr>
              <w:pStyle w:val="afff0"/>
              <w:adjustRightInd w:val="0"/>
              <w:snapToGrid w:val="0"/>
              <w:spacing w:line="280" w:lineRule="exact"/>
              <w:rPr>
                <w:rFonts w:ascii="Times New Roman" w:hAnsi="Times New Roman"/>
                <w:b w:val="0"/>
                <w:bCs/>
                <w:sz w:val="21"/>
                <w:szCs w:val="21"/>
              </w:rPr>
            </w:pPr>
            <w:r>
              <w:rPr>
                <w:rFonts w:ascii="Times New Roman" w:hAnsi="Times New Roman"/>
                <w:b w:val="0"/>
                <w:bCs/>
                <w:sz w:val="21"/>
                <w:szCs w:val="21"/>
              </w:rPr>
              <w:t>非甲烷总烃</w:t>
            </w:r>
          </w:p>
        </w:tc>
        <w:tc>
          <w:tcPr>
            <w:tcW w:w="926" w:type="pct"/>
            <w:tcBorders>
              <w:top w:val="single" w:sz="2" w:space="0" w:color="000000"/>
              <w:left w:val="single" w:sz="2" w:space="0" w:color="000000"/>
              <w:bottom w:val="single" w:sz="10" w:space="0" w:color="000000"/>
              <w:right w:val="single" w:sz="2" w:space="0" w:color="000000"/>
            </w:tcBorders>
            <w:vAlign w:val="center"/>
          </w:tcPr>
          <w:p w14:paraId="2F454A70" w14:textId="77777777" w:rsidR="00606029" w:rsidRDefault="00EA5B92">
            <w:pPr>
              <w:pStyle w:val="afff0"/>
              <w:adjustRightInd w:val="0"/>
              <w:snapToGrid w:val="0"/>
              <w:spacing w:line="280" w:lineRule="exact"/>
              <w:rPr>
                <w:rFonts w:ascii="Times New Roman" w:hAnsi="Times New Roman"/>
                <w:b w:val="0"/>
                <w:bCs/>
                <w:sz w:val="21"/>
                <w:szCs w:val="21"/>
              </w:rPr>
            </w:pPr>
            <w:r>
              <w:rPr>
                <w:rFonts w:ascii="Times New Roman" w:hAnsi="Times New Roman"/>
                <w:b w:val="0"/>
                <w:bCs/>
                <w:sz w:val="21"/>
                <w:szCs w:val="21"/>
              </w:rPr>
              <w:t>2.0</w:t>
            </w:r>
            <w:r>
              <w:rPr>
                <w:rFonts w:ascii="Times New Roman" w:hAnsi="Times New Roman"/>
                <w:b w:val="0"/>
                <w:bCs/>
                <w:sz w:val="21"/>
                <w:szCs w:val="21"/>
              </w:rPr>
              <w:t>（一次值）</w:t>
            </w:r>
          </w:p>
        </w:tc>
        <w:tc>
          <w:tcPr>
            <w:tcW w:w="1064" w:type="pct"/>
            <w:tcBorders>
              <w:top w:val="single" w:sz="2" w:space="0" w:color="000000"/>
              <w:left w:val="single" w:sz="2" w:space="0" w:color="000000"/>
              <w:bottom w:val="single" w:sz="10" w:space="0" w:color="000000"/>
              <w:right w:val="single" w:sz="2" w:space="0" w:color="000000"/>
            </w:tcBorders>
            <w:vAlign w:val="center"/>
          </w:tcPr>
          <w:p w14:paraId="10457E9C" w14:textId="77777777" w:rsidR="00606029" w:rsidRDefault="00EA5B92">
            <w:pPr>
              <w:pStyle w:val="afff0"/>
              <w:adjustRightInd w:val="0"/>
              <w:snapToGrid w:val="0"/>
              <w:spacing w:line="280" w:lineRule="exact"/>
              <w:rPr>
                <w:rFonts w:ascii="Times New Roman" w:hAnsi="Times New Roman"/>
                <w:b w:val="0"/>
                <w:bCs/>
                <w:sz w:val="21"/>
                <w:szCs w:val="21"/>
              </w:rPr>
            </w:pPr>
            <w:r>
              <w:rPr>
                <w:rFonts w:ascii="Times New Roman" w:hAnsi="Times New Roman"/>
                <w:b w:val="0"/>
                <w:bCs/>
                <w:sz w:val="21"/>
                <w:szCs w:val="21"/>
              </w:rPr>
              <w:t>/</w:t>
            </w:r>
          </w:p>
        </w:tc>
        <w:tc>
          <w:tcPr>
            <w:tcW w:w="823" w:type="pct"/>
            <w:tcBorders>
              <w:top w:val="single" w:sz="2" w:space="0" w:color="000000"/>
              <w:left w:val="single" w:sz="2" w:space="0" w:color="000000"/>
              <w:bottom w:val="single" w:sz="10" w:space="0" w:color="000000"/>
              <w:right w:val="single" w:sz="10" w:space="0" w:color="000000"/>
            </w:tcBorders>
            <w:vAlign w:val="center"/>
          </w:tcPr>
          <w:p w14:paraId="5516EAEE" w14:textId="77777777" w:rsidR="00606029" w:rsidRDefault="00EA5B92">
            <w:pPr>
              <w:pStyle w:val="afff0"/>
              <w:adjustRightInd w:val="0"/>
              <w:snapToGrid w:val="0"/>
              <w:spacing w:line="280" w:lineRule="exact"/>
              <w:rPr>
                <w:rFonts w:ascii="Times New Roman" w:hAnsi="Times New Roman"/>
                <w:b w:val="0"/>
                <w:bCs/>
                <w:sz w:val="21"/>
                <w:szCs w:val="21"/>
              </w:rPr>
            </w:pPr>
            <w:r>
              <w:rPr>
                <w:rFonts w:ascii="Times New Roman" w:hAnsi="Times New Roman"/>
                <w:b w:val="0"/>
                <w:bCs/>
                <w:sz w:val="21"/>
                <w:szCs w:val="21"/>
              </w:rPr>
              <w:t>/</w:t>
            </w:r>
          </w:p>
        </w:tc>
      </w:tr>
    </w:tbl>
    <w:p w14:paraId="01CA8A39" w14:textId="77777777" w:rsidR="00606029" w:rsidRDefault="00EA5B92">
      <w:pPr>
        <w:snapToGrid w:val="0"/>
        <w:spacing w:line="440" w:lineRule="exact"/>
        <w:ind w:firstLineChars="200" w:firstLine="480"/>
        <w:jc w:val="left"/>
        <w:rPr>
          <w:sz w:val="24"/>
          <w:szCs w:val="24"/>
        </w:rPr>
      </w:pPr>
      <w:r>
        <w:rPr>
          <w:sz w:val="24"/>
          <w:szCs w:val="24"/>
        </w:rPr>
        <w:t>C.</w:t>
      </w:r>
      <w:r>
        <w:rPr>
          <w:sz w:val="24"/>
          <w:szCs w:val="24"/>
        </w:rPr>
        <w:t>评价结果。</w:t>
      </w:r>
    </w:p>
    <w:p w14:paraId="52255BD6" w14:textId="77777777" w:rsidR="00606029" w:rsidRDefault="00EA5B92">
      <w:pPr>
        <w:snapToGrid w:val="0"/>
        <w:spacing w:line="440" w:lineRule="exact"/>
        <w:ind w:firstLineChars="200" w:firstLine="480"/>
        <w:jc w:val="left"/>
        <w:rPr>
          <w:sz w:val="24"/>
          <w:szCs w:val="24"/>
        </w:rPr>
      </w:pPr>
      <w:r>
        <w:rPr>
          <w:sz w:val="24"/>
          <w:szCs w:val="24"/>
        </w:rPr>
        <w:t>现状评价结果见下表。</w:t>
      </w:r>
    </w:p>
    <w:p w14:paraId="1F4CDE1F" w14:textId="7FB443D0" w:rsidR="00606029" w:rsidRDefault="00EA5B92">
      <w:pPr>
        <w:pStyle w:val="affffff5"/>
      </w:pPr>
      <w:r>
        <w:t>表</w:t>
      </w:r>
      <w:r>
        <w:t>5.3-</w:t>
      </w:r>
      <w:r w:rsidR="00F4314C">
        <w:rPr>
          <w:rFonts w:hint="eastAsia"/>
        </w:rPr>
        <w:t>4</w:t>
      </w:r>
      <w:r>
        <w:t xml:space="preserve">  </w:t>
      </w:r>
      <w:r>
        <w:t>环境空气质量现状监测结果统计表（日均值）</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1" w:type="dxa"/>
          <w:right w:w="51" w:type="dxa"/>
        </w:tblCellMar>
        <w:tblLook w:val="04A0" w:firstRow="1" w:lastRow="0" w:firstColumn="1" w:lastColumn="0" w:noHBand="0" w:noVBand="1"/>
      </w:tblPr>
      <w:tblGrid>
        <w:gridCol w:w="815"/>
        <w:gridCol w:w="2091"/>
        <w:gridCol w:w="1293"/>
        <w:gridCol w:w="1229"/>
        <w:gridCol w:w="1293"/>
        <w:gridCol w:w="1298"/>
        <w:gridCol w:w="813"/>
      </w:tblGrid>
      <w:tr w:rsidR="00606029" w14:paraId="55F438D4" w14:textId="77777777" w:rsidTr="00413E54">
        <w:trPr>
          <w:trHeight w:val="57"/>
          <w:jc w:val="center"/>
        </w:trPr>
        <w:tc>
          <w:tcPr>
            <w:tcW w:w="461" w:type="pct"/>
            <w:vMerge w:val="restart"/>
            <w:tcBorders>
              <w:tl2br w:val="nil"/>
              <w:tr2bl w:val="nil"/>
            </w:tcBorders>
            <w:vAlign w:val="center"/>
          </w:tcPr>
          <w:p w14:paraId="62F22134" w14:textId="77777777" w:rsidR="00606029" w:rsidRDefault="00EA5B92">
            <w:pPr>
              <w:adjustRightInd w:val="0"/>
              <w:snapToGrid w:val="0"/>
              <w:spacing w:line="280" w:lineRule="exact"/>
              <w:jc w:val="center"/>
            </w:pPr>
            <w:r>
              <w:t>污染物</w:t>
            </w:r>
          </w:p>
        </w:tc>
        <w:tc>
          <w:tcPr>
            <w:tcW w:w="1184" w:type="pct"/>
            <w:vMerge w:val="restart"/>
            <w:tcBorders>
              <w:tl2br w:val="nil"/>
              <w:tr2bl w:val="nil"/>
            </w:tcBorders>
            <w:vAlign w:val="center"/>
          </w:tcPr>
          <w:p w14:paraId="7DF0AED7" w14:textId="22236A1E" w:rsidR="00606029" w:rsidRDefault="00EA5B92">
            <w:pPr>
              <w:adjustRightInd w:val="0"/>
              <w:snapToGrid w:val="0"/>
              <w:spacing w:line="280" w:lineRule="exact"/>
              <w:jc w:val="center"/>
            </w:pPr>
            <w:r>
              <w:t>质量标准（</w:t>
            </w:r>
            <w:r w:rsidR="00413E54">
              <w:rPr>
                <w:rFonts w:hint="eastAsia"/>
              </w:rPr>
              <w:t>m</w:t>
            </w:r>
            <w:r>
              <w:t>g/m</w:t>
            </w:r>
            <w:r>
              <w:rPr>
                <w:vertAlign w:val="superscript"/>
              </w:rPr>
              <w:t>3</w:t>
            </w:r>
            <w:r>
              <w:t>）</w:t>
            </w:r>
          </w:p>
        </w:tc>
        <w:tc>
          <w:tcPr>
            <w:tcW w:w="2895" w:type="pct"/>
            <w:gridSpan w:val="4"/>
            <w:tcBorders>
              <w:tl2br w:val="nil"/>
              <w:tr2bl w:val="nil"/>
            </w:tcBorders>
            <w:vAlign w:val="center"/>
          </w:tcPr>
          <w:p w14:paraId="15705DFA" w14:textId="77777777" w:rsidR="00606029" w:rsidRDefault="00EA5B92">
            <w:pPr>
              <w:adjustRightInd w:val="0"/>
              <w:snapToGrid w:val="0"/>
              <w:spacing w:line="280" w:lineRule="exact"/>
              <w:jc w:val="center"/>
            </w:pPr>
            <w:r>
              <w:t>浓度（</w:t>
            </w:r>
            <w:r>
              <w:t>µg/m³</w:t>
            </w:r>
            <w:r>
              <w:t>）</w:t>
            </w:r>
          </w:p>
        </w:tc>
        <w:tc>
          <w:tcPr>
            <w:tcW w:w="461" w:type="pct"/>
            <w:vMerge w:val="restart"/>
            <w:tcBorders>
              <w:tl2br w:val="nil"/>
              <w:tr2bl w:val="nil"/>
            </w:tcBorders>
            <w:vAlign w:val="center"/>
          </w:tcPr>
          <w:p w14:paraId="12D1FAA4" w14:textId="77777777" w:rsidR="00606029" w:rsidRDefault="00EA5B92">
            <w:pPr>
              <w:adjustRightInd w:val="0"/>
              <w:snapToGrid w:val="0"/>
              <w:spacing w:line="280" w:lineRule="exact"/>
              <w:jc w:val="center"/>
            </w:pPr>
            <w:r>
              <w:t>超标率</w:t>
            </w:r>
          </w:p>
          <w:p w14:paraId="1C892F9C" w14:textId="77777777" w:rsidR="00606029" w:rsidRDefault="00EA5B92">
            <w:pPr>
              <w:adjustRightInd w:val="0"/>
              <w:snapToGrid w:val="0"/>
              <w:spacing w:line="280" w:lineRule="exact"/>
              <w:jc w:val="center"/>
            </w:pPr>
            <w:r>
              <w:t>（</w:t>
            </w:r>
            <w:r>
              <w:t>%</w:t>
            </w:r>
            <w:r>
              <w:t>）</w:t>
            </w:r>
          </w:p>
        </w:tc>
      </w:tr>
      <w:tr w:rsidR="00606029" w14:paraId="29794B9D" w14:textId="77777777" w:rsidTr="00413E54">
        <w:trPr>
          <w:trHeight w:val="57"/>
          <w:jc w:val="center"/>
        </w:trPr>
        <w:tc>
          <w:tcPr>
            <w:tcW w:w="461" w:type="pct"/>
            <w:vMerge/>
            <w:tcBorders>
              <w:tl2br w:val="nil"/>
              <w:tr2bl w:val="nil"/>
            </w:tcBorders>
            <w:vAlign w:val="center"/>
          </w:tcPr>
          <w:p w14:paraId="15350FF5" w14:textId="77777777" w:rsidR="00606029" w:rsidRDefault="00606029">
            <w:pPr>
              <w:adjustRightInd w:val="0"/>
              <w:snapToGrid w:val="0"/>
              <w:spacing w:line="280" w:lineRule="exact"/>
              <w:jc w:val="center"/>
            </w:pPr>
          </w:p>
        </w:tc>
        <w:tc>
          <w:tcPr>
            <w:tcW w:w="1184" w:type="pct"/>
            <w:vMerge/>
            <w:tcBorders>
              <w:tl2br w:val="nil"/>
              <w:tr2bl w:val="nil"/>
            </w:tcBorders>
            <w:vAlign w:val="center"/>
          </w:tcPr>
          <w:p w14:paraId="2FB1F5E8" w14:textId="77777777" w:rsidR="00606029" w:rsidRDefault="00606029">
            <w:pPr>
              <w:adjustRightInd w:val="0"/>
              <w:snapToGrid w:val="0"/>
              <w:spacing w:line="280" w:lineRule="exact"/>
              <w:jc w:val="center"/>
            </w:pPr>
          </w:p>
        </w:tc>
        <w:tc>
          <w:tcPr>
            <w:tcW w:w="732" w:type="pct"/>
            <w:tcBorders>
              <w:tl2br w:val="nil"/>
              <w:tr2bl w:val="nil"/>
            </w:tcBorders>
            <w:vAlign w:val="center"/>
          </w:tcPr>
          <w:p w14:paraId="59339F32" w14:textId="77777777" w:rsidR="00606029" w:rsidRDefault="00EA5B92">
            <w:pPr>
              <w:adjustRightInd w:val="0"/>
              <w:snapToGrid w:val="0"/>
              <w:spacing w:line="280" w:lineRule="exact"/>
              <w:jc w:val="center"/>
            </w:pPr>
            <w:r>
              <w:t>A1</w:t>
            </w:r>
            <w:r>
              <w:t>（</w:t>
            </w:r>
            <w:r>
              <w:t>Max</w:t>
            </w:r>
            <w:r>
              <w:t>）</w:t>
            </w:r>
          </w:p>
        </w:tc>
        <w:tc>
          <w:tcPr>
            <w:tcW w:w="696" w:type="pct"/>
            <w:tcBorders>
              <w:tl2br w:val="nil"/>
              <w:tr2bl w:val="nil"/>
            </w:tcBorders>
            <w:vAlign w:val="center"/>
          </w:tcPr>
          <w:p w14:paraId="2C6F19CE" w14:textId="77777777" w:rsidR="00606029" w:rsidRDefault="00EA5B92">
            <w:pPr>
              <w:adjustRightInd w:val="0"/>
              <w:snapToGrid w:val="0"/>
              <w:spacing w:line="280" w:lineRule="exact"/>
              <w:jc w:val="center"/>
            </w:pPr>
            <w:r>
              <w:t>A1</w:t>
            </w:r>
            <w:r>
              <w:t>（</w:t>
            </w:r>
            <w:r>
              <w:t>min</w:t>
            </w:r>
            <w:r>
              <w:t>）</w:t>
            </w:r>
          </w:p>
        </w:tc>
        <w:tc>
          <w:tcPr>
            <w:tcW w:w="732" w:type="pct"/>
            <w:tcBorders>
              <w:tl2br w:val="nil"/>
              <w:tr2bl w:val="nil"/>
            </w:tcBorders>
            <w:vAlign w:val="center"/>
          </w:tcPr>
          <w:p w14:paraId="3D3DC91B" w14:textId="77777777" w:rsidR="00606029" w:rsidRDefault="00EA5B92">
            <w:pPr>
              <w:adjustRightInd w:val="0"/>
              <w:snapToGrid w:val="0"/>
              <w:spacing w:line="280" w:lineRule="exact"/>
              <w:jc w:val="center"/>
            </w:pPr>
            <w:r>
              <w:t>A2</w:t>
            </w:r>
            <w:r>
              <w:t>（</w:t>
            </w:r>
            <w:r>
              <w:t>Max</w:t>
            </w:r>
            <w:r>
              <w:t>）</w:t>
            </w:r>
          </w:p>
        </w:tc>
        <w:tc>
          <w:tcPr>
            <w:tcW w:w="735" w:type="pct"/>
            <w:tcBorders>
              <w:tl2br w:val="nil"/>
              <w:tr2bl w:val="nil"/>
            </w:tcBorders>
            <w:vAlign w:val="center"/>
          </w:tcPr>
          <w:p w14:paraId="0658DF6A" w14:textId="77777777" w:rsidR="00606029" w:rsidRDefault="00EA5B92">
            <w:pPr>
              <w:adjustRightInd w:val="0"/>
              <w:snapToGrid w:val="0"/>
              <w:spacing w:line="280" w:lineRule="exact"/>
              <w:jc w:val="center"/>
            </w:pPr>
            <w:r>
              <w:t>A2</w:t>
            </w:r>
            <w:r>
              <w:t>（</w:t>
            </w:r>
            <w:r>
              <w:t>Max</w:t>
            </w:r>
            <w:r>
              <w:t>）</w:t>
            </w:r>
          </w:p>
        </w:tc>
        <w:tc>
          <w:tcPr>
            <w:tcW w:w="461" w:type="pct"/>
            <w:vMerge/>
            <w:tcBorders>
              <w:tl2br w:val="nil"/>
              <w:tr2bl w:val="nil"/>
            </w:tcBorders>
            <w:vAlign w:val="center"/>
          </w:tcPr>
          <w:p w14:paraId="1A7F8761" w14:textId="77777777" w:rsidR="00606029" w:rsidRDefault="00606029">
            <w:pPr>
              <w:adjustRightInd w:val="0"/>
              <w:snapToGrid w:val="0"/>
              <w:spacing w:line="280" w:lineRule="exact"/>
              <w:jc w:val="center"/>
            </w:pPr>
          </w:p>
        </w:tc>
      </w:tr>
      <w:tr w:rsidR="00606029" w14:paraId="6250F400" w14:textId="77777777" w:rsidTr="00413E54">
        <w:trPr>
          <w:trHeight w:val="57"/>
          <w:jc w:val="center"/>
        </w:trPr>
        <w:tc>
          <w:tcPr>
            <w:tcW w:w="461" w:type="pct"/>
            <w:vMerge w:val="restart"/>
            <w:tcBorders>
              <w:tl2br w:val="nil"/>
              <w:tr2bl w:val="nil"/>
            </w:tcBorders>
            <w:vAlign w:val="center"/>
          </w:tcPr>
          <w:p w14:paraId="2D56826E" w14:textId="77777777" w:rsidR="00606029" w:rsidRDefault="00EA5B92">
            <w:pPr>
              <w:adjustRightInd w:val="0"/>
              <w:snapToGrid w:val="0"/>
              <w:spacing w:line="280" w:lineRule="exact"/>
              <w:jc w:val="center"/>
            </w:pPr>
            <w:r>
              <w:t>TSP</w:t>
            </w:r>
          </w:p>
        </w:tc>
        <w:tc>
          <w:tcPr>
            <w:tcW w:w="1184" w:type="pct"/>
            <w:tcBorders>
              <w:tl2br w:val="nil"/>
              <w:tr2bl w:val="nil"/>
            </w:tcBorders>
            <w:vAlign w:val="center"/>
          </w:tcPr>
          <w:p w14:paraId="6AD678DF" w14:textId="69DF84BC" w:rsidR="00606029" w:rsidRDefault="00413E54">
            <w:pPr>
              <w:adjustRightInd w:val="0"/>
              <w:snapToGrid w:val="0"/>
              <w:spacing w:line="280" w:lineRule="exact"/>
              <w:jc w:val="center"/>
            </w:pPr>
            <w:r>
              <w:rPr>
                <w:rFonts w:hint="eastAsia"/>
              </w:rPr>
              <w:t>0.3</w:t>
            </w:r>
          </w:p>
        </w:tc>
        <w:tc>
          <w:tcPr>
            <w:tcW w:w="732" w:type="pct"/>
            <w:tcBorders>
              <w:bottom w:val="single" w:sz="4" w:space="0" w:color="auto"/>
              <w:tl2br w:val="nil"/>
              <w:tr2bl w:val="nil"/>
            </w:tcBorders>
            <w:vAlign w:val="center"/>
          </w:tcPr>
          <w:p w14:paraId="40E7E4B8" w14:textId="21D0C090" w:rsidR="00606029" w:rsidRDefault="00413E54">
            <w:pPr>
              <w:widowControl/>
              <w:jc w:val="center"/>
              <w:textAlignment w:val="center"/>
            </w:pPr>
            <w:r>
              <w:rPr>
                <w:rFonts w:hint="eastAsia"/>
                <w:color w:val="000000"/>
                <w:kern w:val="0"/>
                <w:lang w:bidi="ar"/>
              </w:rPr>
              <w:t>0.2</w:t>
            </w:r>
            <w:r w:rsidR="0046193D">
              <w:rPr>
                <w:rFonts w:hint="eastAsia"/>
                <w:color w:val="000000"/>
                <w:kern w:val="0"/>
                <w:lang w:bidi="ar"/>
              </w:rPr>
              <w:t>30</w:t>
            </w:r>
          </w:p>
        </w:tc>
        <w:tc>
          <w:tcPr>
            <w:tcW w:w="696" w:type="pct"/>
            <w:tcBorders>
              <w:bottom w:val="single" w:sz="4" w:space="0" w:color="auto"/>
              <w:tl2br w:val="nil"/>
              <w:tr2bl w:val="nil"/>
            </w:tcBorders>
            <w:vAlign w:val="center"/>
          </w:tcPr>
          <w:p w14:paraId="1B3E3B4A" w14:textId="4E4F5167" w:rsidR="00606029" w:rsidRDefault="00413E54">
            <w:pPr>
              <w:widowControl/>
              <w:jc w:val="center"/>
              <w:textAlignment w:val="center"/>
            </w:pPr>
            <w:r>
              <w:rPr>
                <w:rFonts w:hint="eastAsia"/>
                <w:color w:val="000000"/>
                <w:kern w:val="0"/>
                <w:lang w:bidi="ar"/>
              </w:rPr>
              <w:t>0.</w:t>
            </w:r>
            <w:r w:rsidR="0046193D">
              <w:rPr>
                <w:rFonts w:hint="eastAsia"/>
                <w:color w:val="000000"/>
                <w:kern w:val="0"/>
                <w:lang w:bidi="ar"/>
              </w:rPr>
              <w:t>203</w:t>
            </w:r>
          </w:p>
        </w:tc>
        <w:tc>
          <w:tcPr>
            <w:tcW w:w="732" w:type="pct"/>
            <w:tcBorders>
              <w:bottom w:val="single" w:sz="4" w:space="0" w:color="auto"/>
              <w:tl2br w:val="nil"/>
              <w:tr2bl w:val="nil"/>
            </w:tcBorders>
            <w:vAlign w:val="center"/>
          </w:tcPr>
          <w:p w14:paraId="3D75548F" w14:textId="50AA69C3" w:rsidR="00606029" w:rsidRDefault="00413E54">
            <w:pPr>
              <w:widowControl/>
              <w:jc w:val="center"/>
              <w:textAlignment w:val="center"/>
            </w:pPr>
            <w:r>
              <w:rPr>
                <w:rFonts w:hint="eastAsia"/>
                <w:color w:val="000000"/>
                <w:kern w:val="0"/>
                <w:lang w:bidi="ar"/>
              </w:rPr>
              <w:t>0.19</w:t>
            </w:r>
          </w:p>
        </w:tc>
        <w:tc>
          <w:tcPr>
            <w:tcW w:w="735" w:type="pct"/>
            <w:tcBorders>
              <w:bottom w:val="single" w:sz="4" w:space="0" w:color="auto"/>
              <w:tl2br w:val="nil"/>
              <w:tr2bl w:val="nil"/>
            </w:tcBorders>
            <w:vAlign w:val="center"/>
          </w:tcPr>
          <w:p w14:paraId="5939C126" w14:textId="6BB4F9DB" w:rsidR="00606029" w:rsidRDefault="00413E54">
            <w:pPr>
              <w:widowControl/>
              <w:jc w:val="center"/>
              <w:textAlignment w:val="center"/>
            </w:pPr>
            <w:r>
              <w:rPr>
                <w:rFonts w:hint="eastAsia"/>
                <w:color w:val="000000"/>
                <w:kern w:val="0"/>
                <w:lang w:bidi="ar"/>
              </w:rPr>
              <w:t>0.211</w:t>
            </w:r>
          </w:p>
        </w:tc>
        <w:tc>
          <w:tcPr>
            <w:tcW w:w="461" w:type="pct"/>
            <w:vMerge w:val="restart"/>
            <w:tcBorders>
              <w:tl2br w:val="nil"/>
              <w:tr2bl w:val="nil"/>
            </w:tcBorders>
            <w:vAlign w:val="center"/>
          </w:tcPr>
          <w:p w14:paraId="17B3A86C" w14:textId="77777777" w:rsidR="00606029" w:rsidRDefault="00EA5B92">
            <w:pPr>
              <w:adjustRightInd w:val="0"/>
              <w:snapToGrid w:val="0"/>
              <w:spacing w:line="280" w:lineRule="exact"/>
              <w:jc w:val="center"/>
            </w:pPr>
            <w:r>
              <w:t>0</w:t>
            </w:r>
          </w:p>
        </w:tc>
      </w:tr>
      <w:tr w:rsidR="00413E54" w14:paraId="793D3FD0" w14:textId="77777777" w:rsidTr="00413E54">
        <w:trPr>
          <w:trHeight w:val="57"/>
          <w:jc w:val="center"/>
        </w:trPr>
        <w:tc>
          <w:tcPr>
            <w:tcW w:w="461" w:type="pct"/>
            <w:vMerge/>
            <w:tcBorders>
              <w:tl2br w:val="nil"/>
              <w:tr2bl w:val="nil"/>
            </w:tcBorders>
            <w:vAlign w:val="center"/>
          </w:tcPr>
          <w:p w14:paraId="56AD89C0" w14:textId="77777777" w:rsidR="00413E54" w:rsidRDefault="00413E54" w:rsidP="00413E54">
            <w:pPr>
              <w:adjustRightInd w:val="0"/>
              <w:snapToGrid w:val="0"/>
              <w:spacing w:line="280" w:lineRule="exact"/>
              <w:jc w:val="center"/>
            </w:pPr>
          </w:p>
        </w:tc>
        <w:tc>
          <w:tcPr>
            <w:tcW w:w="1184" w:type="pct"/>
            <w:tcBorders>
              <w:tl2br w:val="nil"/>
              <w:tr2bl w:val="nil"/>
            </w:tcBorders>
            <w:vAlign w:val="center"/>
          </w:tcPr>
          <w:p w14:paraId="5A8A7E37" w14:textId="77777777" w:rsidR="00413E54" w:rsidRDefault="00413E54" w:rsidP="00413E54">
            <w:pPr>
              <w:adjustRightInd w:val="0"/>
              <w:snapToGrid w:val="0"/>
              <w:spacing w:line="280" w:lineRule="exact"/>
              <w:jc w:val="center"/>
            </w:pPr>
            <w:r>
              <w:t>标准指数</w:t>
            </w:r>
          </w:p>
        </w:tc>
        <w:tc>
          <w:tcPr>
            <w:tcW w:w="732" w:type="pct"/>
            <w:tcBorders>
              <w:top w:val="single" w:sz="4" w:space="0" w:color="auto"/>
              <w:left w:val="nil"/>
              <w:bottom w:val="single" w:sz="4" w:space="0" w:color="auto"/>
              <w:right w:val="single" w:sz="4" w:space="0" w:color="auto"/>
            </w:tcBorders>
            <w:vAlign w:val="center"/>
          </w:tcPr>
          <w:p w14:paraId="0E18DA4D" w14:textId="05E21B51" w:rsidR="00413E54" w:rsidRDefault="00413E54" w:rsidP="00413E54">
            <w:pPr>
              <w:widowControl/>
              <w:jc w:val="center"/>
              <w:textAlignment w:val="center"/>
            </w:pPr>
            <w:r>
              <w:rPr>
                <w:rFonts w:hint="eastAsia"/>
                <w:color w:val="000000"/>
                <w:sz w:val="22"/>
                <w:szCs w:val="22"/>
              </w:rPr>
              <w:t xml:space="preserve">0.77 </w:t>
            </w:r>
          </w:p>
        </w:tc>
        <w:tc>
          <w:tcPr>
            <w:tcW w:w="696" w:type="pct"/>
            <w:tcBorders>
              <w:top w:val="single" w:sz="4" w:space="0" w:color="auto"/>
              <w:left w:val="single" w:sz="4" w:space="0" w:color="auto"/>
              <w:bottom w:val="single" w:sz="4" w:space="0" w:color="auto"/>
              <w:right w:val="single" w:sz="4" w:space="0" w:color="auto"/>
            </w:tcBorders>
            <w:vAlign w:val="center"/>
          </w:tcPr>
          <w:p w14:paraId="6A7B7909" w14:textId="57100254" w:rsidR="00413E54" w:rsidRDefault="00413E54" w:rsidP="00413E54">
            <w:pPr>
              <w:widowControl/>
              <w:jc w:val="center"/>
              <w:textAlignment w:val="center"/>
            </w:pPr>
            <w:r>
              <w:rPr>
                <w:rFonts w:hint="eastAsia"/>
                <w:color w:val="000000"/>
                <w:sz w:val="22"/>
                <w:szCs w:val="22"/>
              </w:rPr>
              <w:t xml:space="preserve">0.68 </w:t>
            </w:r>
          </w:p>
        </w:tc>
        <w:tc>
          <w:tcPr>
            <w:tcW w:w="732" w:type="pct"/>
            <w:tcBorders>
              <w:top w:val="single" w:sz="4" w:space="0" w:color="auto"/>
              <w:left w:val="single" w:sz="4" w:space="0" w:color="auto"/>
              <w:bottom w:val="single" w:sz="4" w:space="0" w:color="auto"/>
              <w:right w:val="single" w:sz="4" w:space="0" w:color="auto"/>
            </w:tcBorders>
            <w:vAlign w:val="center"/>
          </w:tcPr>
          <w:p w14:paraId="1DDF4FE6" w14:textId="6429408F" w:rsidR="00413E54" w:rsidRDefault="00413E54" w:rsidP="00413E54">
            <w:pPr>
              <w:widowControl/>
              <w:jc w:val="center"/>
              <w:textAlignment w:val="center"/>
            </w:pPr>
            <w:r>
              <w:rPr>
                <w:rFonts w:hint="eastAsia"/>
                <w:color w:val="000000"/>
                <w:sz w:val="22"/>
                <w:szCs w:val="22"/>
              </w:rPr>
              <w:t xml:space="preserve">0.63 </w:t>
            </w:r>
          </w:p>
        </w:tc>
        <w:tc>
          <w:tcPr>
            <w:tcW w:w="735" w:type="pct"/>
            <w:tcBorders>
              <w:top w:val="single" w:sz="4" w:space="0" w:color="auto"/>
              <w:left w:val="single" w:sz="4" w:space="0" w:color="auto"/>
              <w:bottom w:val="single" w:sz="4" w:space="0" w:color="auto"/>
              <w:right w:val="nil"/>
            </w:tcBorders>
            <w:vAlign w:val="center"/>
          </w:tcPr>
          <w:p w14:paraId="1B08E72D" w14:textId="53F2C445" w:rsidR="00413E54" w:rsidRDefault="00413E54" w:rsidP="00413E54">
            <w:pPr>
              <w:widowControl/>
              <w:jc w:val="center"/>
              <w:textAlignment w:val="center"/>
            </w:pPr>
            <w:r>
              <w:rPr>
                <w:rFonts w:hint="eastAsia"/>
                <w:color w:val="000000"/>
                <w:sz w:val="22"/>
                <w:szCs w:val="22"/>
              </w:rPr>
              <w:t>0.70</w:t>
            </w:r>
          </w:p>
        </w:tc>
        <w:tc>
          <w:tcPr>
            <w:tcW w:w="461" w:type="pct"/>
            <w:vMerge/>
            <w:tcBorders>
              <w:tl2br w:val="nil"/>
              <w:tr2bl w:val="nil"/>
            </w:tcBorders>
            <w:vAlign w:val="center"/>
          </w:tcPr>
          <w:p w14:paraId="3F995ACD" w14:textId="77777777" w:rsidR="00413E54" w:rsidRDefault="00413E54" w:rsidP="00413E54">
            <w:pPr>
              <w:adjustRightInd w:val="0"/>
              <w:snapToGrid w:val="0"/>
              <w:spacing w:line="280" w:lineRule="exact"/>
              <w:jc w:val="center"/>
            </w:pPr>
          </w:p>
        </w:tc>
      </w:tr>
      <w:tr w:rsidR="00606029" w14:paraId="59D104BD" w14:textId="77777777" w:rsidTr="00413E54">
        <w:trPr>
          <w:trHeight w:val="57"/>
          <w:jc w:val="center"/>
        </w:trPr>
        <w:tc>
          <w:tcPr>
            <w:tcW w:w="1645" w:type="pct"/>
            <w:gridSpan w:val="2"/>
            <w:tcBorders>
              <w:tl2br w:val="nil"/>
              <w:tr2bl w:val="nil"/>
            </w:tcBorders>
            <w:vAlign w:val="center"/>
          </w:tcPr>
          <w:p w14:paraId="3DC60A7F" w14:textId="77777777" w:rsidR="00606029" w:rsidRDefault="00EA5B92">
            <w:pPr>
              <w:adjustRightInd w:val="0"/>
              <w:snapToGrid w:val="0"/>
              <w:spacing w:line="280" w:lineRule="exact"/>
              <w:jc w:val="center"/>
            </w:pPr>
            <w:r>
              <w:t>备注</w:t>
            </w:r>
          </w:p>
        </w:tc>
        <w:tc>
          <w:tcPr>
            <w:tcW w:w="3355" w:type="pct"/>
            <w:gridSpan w:val="5"/>
            <w:tcBorders>
              <w:tl2br w:val="nil"/>
              <w:tr2bl w:val="nil"/>
            </w:tcBorders>
            <w:vAlign w:val="center"/>
          </w:tcPr>
          <w:p w14:paraId="718D6E65" w14:textId="77777777" w:rsidR="00606029" w:rsidRDefault="00EA5B92">
            <w:pPr>
              <w:adjustRightInd w:val="0"/>
              <w:snapToGrid w:val="0"/>
              <w:spacing w:line="280" w:lineRule="exact"/>
              <w:jc w:val="center"/>
            </w:pPr>
            <w:r>
              <w:t>检测结果低于标准检出限时，用</w:t>
            </w:r>
            <w:r>
              <w:t>“</w:t>
            </w:r>
            <w:r>
              <w:t>检出限</w:t>
            </w:r>
            <w:r>
              <w:t>+L”</w:t>
            </w:r>
            <w:r>
              <w:t>表示</w:t>
            </w:r>
          </w:p>
        </w:tc>
      </w:tr>
    </w:tbl>
    <w:p w14:paraId="42AF9DCD" w14:textId="5DA62166" w:rsidR="00606029" w:rsidRDefault="00EA5B92">
      <w:pPr>
        <w:pStyle w:val="affffff5"/>
      </w:pPr>
      <w:r>
        <w:t>表</w:t>
      </w:r>
      <w:r>
        <w:t>5.3-</w:t>
      </w:r>
      <w:r w:rsidR="00F4314C">
        <w:rPr>
          <w:rFonts w:hint="eastAsia"/>
        </w:rPr>
        <w:t>5</w:t>
      </w:r>
      <w:r>
        <w:t xml:space="preserve">  </w:t>
      </w:r>
      <w:r>
        <w:t>环境空气质量现状监测结果统计表（小时值）</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1" w:type="dxa"/>
          <w:right w:w="51" w:type="dxa"/>
        </w:tblCellMar>
        <w:tblLook w:val="04A0" w:firstRow="1" w:lastRow="0" w:firstColumn="1" w:lastColumn="0" w:noHBand="0" w:noVBand="1"/>
      </w:tblPr>
      <w:tblGrid>
        <w:gridCol w:w="1241"/>
        <w:gridCol w:w="2884"/>
        <w:gridCol w:w="1014"/>
        <w:gridCol w:w="849"/>
        <w:gridCol w:w="1014"/>
        <w:gridCol w:w="849"/>
        <w:gridCol w:w="978"/>
      </w:tblGrid>
      <w:tr w:rsidR="00606029" w14:paraId="74F6AF2F" w14:textId="77777777" w:rsidTr="00762B39">
        <w:trPr>
          <w:trHeight w:val="57"/>
          <w:tblHeader/>
          <w:jc w:val="center"/>
        </w:trPr>
        <w:tc>
          <w:tcPr>
            <w:tcW w:w="703" w:type="pct"/>
            <w:vMerge w:val="restart"/>
            <w:tcBorders>
              <w:tl2br w:val="nil"/>
              <w:tr2bl w:val="nil"/>
            </w:tcBorders>
            <w:vAlign w:val="center"/>
          </w:tcPr>
          <w:p w14:paraId="6645A4D3" w14:textId="77777777" w:rsidR="00606029" w:rsidRDefault="00EA5B92">
            <w:pPr>
              <w:adjustRightInd w:val="0"/>
              <w:snapToGrid w:val="0"/>
              <w:spacing w:line="280" w:lineRule="exact"/>
              <w:jc w:val="center"/>
            </w:pPr>
            <w:r>
              <w:t>污染物</w:t>
            </w:r>
          </w:p>
        </w:tc>
        <w:tc>
          <w:tcPr>
            <w:tcW w:w="1633" w:type="pct"/>
            <w:vMerge w:val="restart"/>
            <w:tcBorders>
              <w:tl2br w:val="nil"/>
              <w:tr2bl w:val="nil"/>
            </w:tcBorders>
            <w:vAlign w:val="center"/>
          </w:tcPr>
          <w:p w14:paraId="18D12D50" w14:textId="4B533A9C" w:rsidR="00606029" w:rsidRDefault="00EA5B92">
            <w:pPr>
              <w:adjustRightInd w:val="0"/>
              <w:snapToGrid w:val="0"/>
              <w:spacing w:line="280" w:lineRule="exact"/>
              <w:jc w:val="center"/>
            </w:pPr>
            <w:r>
              <w:t>质量标准（</w:t>
            </w:r>
            <w:r w:rsidR="00762B39">
              <w:rPr>
                <w:rFonts w:hint="eastAsia"/>
              </w:rPr>
              <w:t>m</w:t>
            </w:r>
            <w:r>
              <w:t>g/m</w:t>
            </w:r>
            <w:r>
              <w:rPr>
                <w:vertAlign w:val="superscript"/>
              </w:rPr>
              <w:t>3</w:t>
            </w:r>
            <w:r>
              <w:t>）</w:t>
            </w:r>
          </w:p>
        </w:tc>
        <w:tc>
          <w:tcPr>
            <w:tcW w:w="2110" w:type="pct"/>
            <w:gridSpan w:val="4"/>
            <w:tcBorders>
              <w:tl2br w:val="nil"/>
              <w:tr2bl w:val="nil"/>
            </w:tcBorders>
            <w:vAlign w:val="center"/>
          </w:tcPr>
          <w:p w14:paraId="2BC416CD" w14:textId="77777777" w:rsidR="00606029" w:rsidRDefault="00EA5B92">
            <w:pPr>
              <w:adjustRightInd w:val="0"/>
              <w:snapToGrid w:val="0"/>
              <w:spacing w:line="280" w:lineRule="exact"/>
              <w:jc w:val="center"/>
            </w:pPr>
            <w:r>
              <w:t>浓度（</w:t>
            </w:r>
            <w:r>
              <w:t>µg/m³</w:t>
            </w:r>
            <w:r>
              <w:t>）</w:t>
            </w:r>
          </w:p>
        </w:tc>
        <w:tc>
          <w:tcPr>
            <w:tcW w:w="554" w:type="pct"/>
            <w:vMerge w:val="restart"/>
            <w:tcBorders>
              <w:tl2br w:val="nil"/>
              <w:tr2bl w:val="nil"/>
            </w:tcBorders>
            <w:vAlign w:val="center"/>
          </w:tcPr>
          <w:p w14:paraId="1CAB8DEB" w14:textId="77777777" w:rsidR="00606029" w:rsidRDefault="00EA5B92">
            <w:pPr>
              <w:adjustRightInd w:val="0"/>
              <w:snapToGrid w:val="0"/>
              <w:spacing w:line="280" w:lineRule="exact"/>
              <w:jc w:val="center"/>
            </w:pPr>
            <w:r>
              <w:t>超标率</w:t>
            </w:r>
          </w:p>
          <w:p w14:paraId="7C7022DF" w14:textId="77777777" w:rsidR="00606029" w:rsidRDefault="00EA5B92">
            <w:pPr>
              <w:adjustRightInd w:val="0"/>
              <w:snapToGrid w:val="0"/>
              <w:spacing w:line="280" w:lineRule="exact"/>
              <w:jc w:val="center"/>
            </w:pPr>
            <w:r>
              <w:t>（</w:t>
            </w:r>
            <w:r>
              <w:t>%</w:t>
            </w:r>
            <w:r>
              <w:t>）</w:t>
            </w:r>
          </w:p>
        </w:tc>
      </w:tr>
      <w:tr w:rsidR="00606029" w14:paraId="3836B888" w14:textId="77777777" w:rsidTr="00762B39">
        <w:trPr>
          <w:trHeight w:val="57"/>
          <w:tblHeader/>
          <w:jc w:val="center"/>
        </w:trPr>
        <w:tc>
          <w:tcPr>
            <w:tcW w:w="703" w:type="pct"/>
            <w:vMerge/>
            <w:tcBorders>
              <w:tl2br w:val="nil"/>
              <w:tr2bl w:val="nil"/>
            </w:tcBorders>
            <w:vAlign w:val="center"/>
          </w:tcPr>
          <w:p w14:paraId="36AB86C0" w14:textId="77777777" w:rsidR="00606029" w:rsidRDefault="00606029">
            <w:pPr>
              <w:adjustRightInd w:val="0"/>
              <w:snapToGrid w:val="0"/>
              <w:spacing w:line="280" w:lineRule="exact"/>
              <w:jc w:val="center"/>
            </w:pPr>
          </w:p>
        </w:tc>
        <w:tc>
          <w:tcPr>
            <w:tcW w:w="1633" w:type="pct"/>
            <w:vMerge/>
            <w:tcBorders>
              <w:tl2br w:val="nil"/>
              <w:tr2bl w:val="nil"/>
            </w:tcBorders>
            <w:vAlign w:val="center"/>
          </w:tcPr>
          <w:p w14:paraId="6D5D4425" w14:textId="77777777" w:rsidR="00606029" w:rsidRDefault="00606029">
            <w:pPr>
              <w:adjustRightInd w:val="0"/>
              <w:snapToGrid w:val="0"/>
              <w:spacing w:line="280" w:lineRule="exact"/>
              <w:jc w:val="center"/>
            </w:pPr>
          </w:p>
        </w:tc>
        <w:tc>
          <w:tcPr>
            <w:tcW w:w="574" w:type="pct"/>
            <w:tcBorders>
              <w:tl2br w:val="nil"/>
              <w:tr2bl w:val="nil"/>
            </w:tcBorders>
            <w:vAlign w:val="center"/>
          </w:tcPr>
          <w:p w14:paraId="2E0C3BD3" w14:textId="77777777" w:rsidR="00606029" w:rsidRDefault="00EA5B92">
            <w:pPr>
              <w:adjustRightInd w:val="0"/>
              <w:snapToGrid w:val="0"/>
              <w:spacing w:line="280" w:lineRule="exact"/>
              <w:jc w:val="center"/>
            </w:pPr>
            <w:r>
              <w:t>A1</w:t>
            </w:r>
            <w:r>
              <w:t>（</w:t>
            </w:r>
            <w:r>
              <w:t>Max</w:t>
            </w:r>
            <w:r>
              <w:t>）</w:t>
            </w:r>
          </w:p>
        </w:tc>
        <w:tc>
          <w:tcPr>
            <w:tcW w:w="481" w:type="pct"/>
            <w:tcBorders>
              <w:tl2br w:val="nil"/>
              <w:tr2bl w:val="nil"/>
            </w:tcBorders>
            <w:vAlign w:val="center"/>
          </w:tcPr>
          <w:p w14:paraId="265FD536" w14:textId="77777777" w:rsidR="00606029" w:rsidRDefault="00EA5B92">
            <w:pPr>
              <w:adjustRightInd w:val="0"/>
              <w:snapToGrid w:val="0"/>
              <w:spacing w:line="280" w:lineRule="exact"/>
              <w:jc w:val="center"/>
            </w:pPr>
            <w:r>
              <w:t>A1</w:t>
            </w:r>
            <w:r>
              <w:t>（</w:t>
            </w:r>
            <w:r>
              <w:t>min</w:t>
            </w:r>
            <w:r>
              <w:t>）</w:t>
            </w:r>
          </w:p>
        </w:tc>
        <w:tc>
          <w:tcPr>
            <w:tcW w:w="574" w:type="pct"/>
            <w:tcBorders>
              <w:tl2br w:val="nil"/>
              <w:tr2bl w:val="nil"/>
            </w:tcBorders>
            <w:vAlign w:val="center"/>
          </w:tcPr>
          <w:p w14:paraId="45833E00" w14:textId="77777777" w:rsidR="00606029" w:rsidRDefault="00EA5B92">
            <w:pPr>
              <w:adjustRightInd w:val="0"/>
              <w:snapToGrid w:val="0"/>
              <w:spacing w:line="280" w:lineRule="exact"/>
              <w:jc w:val="center"/>
            </w:pPr>
            <w:r>
              <w:t>A2</w:t>
            </w:r>
            <w:r>
              <w:t>（</w:t>
            </w:r>
            <w:r>
              <w:t>Max</w:t>
            </w:r>
            <w:r>
              <w:t>）</w:t>
            </w:r>
          </w:p>
        </w:tc>
        <w:tc>
          <w:tcPr>
            <w:tcW w:w="481" w:type="pct"/>
            <w:tcBorders>
              <w:tl2br w:val="nil"/>
              <w:tr2bl w:val="nil"/>
            </w:tcBorders>
            <w:vAlign w:val="center"/>
          </w:tcPr>
          <w:p w14:paraId="56EE677B" w14:textId="77777777" w:rsidR="00606029" w:rsidRDefault="00EA5B92">
            <w:pPr>
              <w:adjustRightInd w:val="0"/>
              <w:snapToGrid w:val="0"/>
              <w:spacing w:line="280" w:lineRule="exact"/>
              <w:jc w:val="center"/>
            </w:pPr>
            <w:r>
              <w:t>A2</w:t>
            </w:r>
            <w:r>
              <w:t>（</w:t>
            </w:r>
            <w:r>
              <w:t>min</w:t>
            </w:r>
            <w:r>
              <w:t>）</w:t>
            </w:r>
          </w:p>
        </w:tc>
        <w:tc>
          <w:tcPr>
            <w:tcW w:w="554" w:type="pct"/>
            <w:vMerge/>
            <w:tcBorders>
              <w:tl2br w:val="nil"/>
              <w:tr2bl w:val="nil"/>
            </w:tcBorders>
            <w:vAlign w:val="center"/>
          </w:tcPr>
          <w:p w14:paraId="1304BF97" w14:textId="77777777" w:rsidR="00606029" w:rsidRDefault="00606029">
            <w:pPr>
              <w:adjustRightInd w:val="0"/>
              <w:snapToGrid w:val="0"/>
              <w:spacing w:line="280" w:lineRule="exact"/>
              <w:jc w:val="center"/>
            </w:pPr>
          </w:p>
        </w:tc>
      </w:tr>
      <w:tr w:rsidR="0046193D" w14:paraId="7211DFBD" w14:textId="77777777" w:rsidTr="00762B39">
        <w:trPr>
          <w:trHeight w:val="57"/>
          <w:jc w:val="center"/>
        </w:trPr>
        <w:tc>
          <w:tcPr>
            <w:tcW w:w="703" w:type="pct"/>
            <w:vMerge w:val="restart"/>
            <w:tcBorders>
              <w:tl2br w:val="nil"/>
              <w:tr2bl w:val="nil"/>
            </w:tcBorders>
            <w:vAlign w:val="center"/>
          </w:tcPr>
          <w:p w14:paraId="2652077C" w14:textId="77777777" w:rsidR="0046193D" w:rsidRDefault="0046193D" w:rsidP="0046193D">
            <w:pPr>
              <w:adjustRightInd w:val="0"/>
              <w:snapToGrid w:val="0"/>
              <w:spacing w:line="280" w:lineRule="exact"/>
              <w:jc w:val="center"/>
              <w:rPr>
                <w:lang w:val="zh-CN"/>
              </w:rPr>
            </w:pPr>
            <w:r>
              <w:t>NH</w:t>
            </w:r>
            <w:r>
              <w:rPr>
                <w:vertAlign w:val="subscript"/>
              </w:rPr>
              <w:t>3</w:t>
            </w:r>
          </w:p>
        </w:tc>
        <w:tc>
          <w:tcPr>
            <w:tcW w:w="1633" w:type="pct"/>
            <w:tcBorders>
              <w:tl2br w:val="nil"/>
              <w:tr2bl w:val="nil"/>
            </w:tcBorders>
            <w:vAlign w:val="center"/>
          </w:tcPr>
          <w:p w14:paraId="33F5DDDD" w14:textId="636AF6CE" w:rsidR="0046193D" w:rsidRDefault="0046193D" w:rsidP="0046193D">
            <w:pPr>
              <w:adjustRightInd w:val="0"/>
              <w:snapToGrid w:val="0"/>
              <w:spacing w:line="280" w:lineRule="exact"/>
              <w:jc w:val="center"/>
            </w:pPr>
            <w:r>
              <w:rPr>
                <w:rFonts w:hint="eastAsia"/>
              </w:rPr>
              <w:t>0.2</w:t>
            </w:r>
          </w:p>
        </w:tc>
        <w:tc>
          <w:tcPr>
            <w:tcW w:w="574" w:type="pct"/>
            <w:tcBorders>
              <w:bottom w:val="single" w:sz="4" w:space="0" w:color="auto"/>
              <w:tl2br w:val="nil"/>
              <w:tr2bl w:val="nil"/>
            </w:tcBorders>
            <w:vAlign w:val="center"/>
          </w:tcPr>
          <w:p w14:paraId="7A4D3B80" w14:textId="153A8B40" w:rsidR="0046193D" w:rsidRDefault="0046193D" w:rsidP="0046193D">
            <w:pPr>
              <w:adjustRightInd w:val="0"/>
              <w:snapToGrid w:val="0"/>
              <w:spacing w:line="280" w:lineRule="exact"/>
              <w:jc w:val="center"/>
            </w:pPr>
            <w:r>
              <w:rPr>
                <w:rFonts w:hint="eastAsia"/>
              </w:rPr>
              <w:t>0.05</w:t>
            </w:r>
          </w:p>
        </w:tc>
        <w:tc>
          <w:tcPr>
            <w:tcW w:w="481" w:type="pct"/>
            <w:tcBorders>
              <w:bottom w:val="single" w:sz="4" w:space="0" w:color="auto"/>
              <w:tl2br w:val="nil"/>
              <w:tr2bl w:val="nil"/>
            </w:tcBorders>
            <w:vAlign w:val="center"/>
          </w:tcPr>
          <w:p w14:paraId="7FF0A3FE" w14:textId="5CBF149E" w:rsidR="0046193D" w:rsidRDefault="0046193D" w:rsidP="0046193D">
            <w:pPr>
              <w:adjustRightInd w:val="0"/>
              <w:snapToGrid w:val="0"/>
              <w:spacing w:line="280" w:lineRule="exact"/>
              <w:jc w:val="center"/>
            </w:pPr>
            <w:r>
              <w:rPr>
                <w:rFonts w:hint="eastAsia"/>
              </w:rPr>
              <w:t>0.02</w:t>
            </w:r>
          </w:p>
        </w:tc>
        <w:tc>
          <w:tcPr>
            <w:tcW w:w="574" w:type="pct"/>
            <w:tcBorders>
              <w:bottom w:val="single" w:sz="4" w:space="0" w:color="auto"/>
              <w:tl2br w:val="nil"/>
              <w:tr2bl w:val="nil"/>
            </w:tcBorders>
            <w:vAlign w:val="center"/>
          </w:tcPr>
          <w:p w14:paraId="4DD04946" w14:textId="1D30DB6E" w:rsidR="0046193D" w:rsidRDefault="0046193D" w:rsidP="0046193D">
            <w:pPr>
              <w:adjustRightInd w:val="0"/>
              <w:snapToGrid w:val="0"/>
              <w:spacing w:line="280" w:lineRule="exact"/>
              <w:jc w:val="center"/>
            </w:pPr>
            <w:r>
              <w:rPr>
                <w:rFonts w:hint="eastAsia"/>
              </w:rPr>
              <w:t>0.11</w:t>
            </w:r>
          </w:p>
        </w:tc>
        <w:tc>
          <w:tcPr>
            <w:tcW w:w="481" w:type="pct"/>
            <w:tcBorders>
              <w:bottom w:val="single" w:sz="4" w:space="0" w:color="auto"/>
              <w:tl2br w:val="nil"/>
              <w:tr2bl w:val="nil"/>
            </w:tcBorders>
            <w:vAlign w:val="center"/>
          </w:tcPr>
          <w:p w14:paraId="4A97E1F7" w14:textId="2FA2137C" w:rsidR="0046193D" w:rsidRDefault="0046193D" w:rsidP="0046193D">
            <w:pPr>
              <w:adjustRightInd w:val="0"/>
              <w:snapToGrid w:val="0"/>
              <w:spacing w:line="280" w:lineRule="exact"/>
              <w:jc w:val="center"/>
            </w:pPr>
            <w:r>
              <w:rPr>
                <w:rFonts w:hint="eastAsia"/>
              </w:rPr>
              <w:t>0.04</w:t>
            </w:r>
          </w:p>
        </w:tc>
        <w:tc>
          <w:tcPr>
            <w:tcW w:w="554" w:type="pct"/>
            <w:vMerge w:val="restart"/>
            <w:tcBorders>
              <w:tl2br w:val="nil"/>
              <w:tr2bl w:val="nil"/>
            </w:tcBorders>
            <w:vAlign w:val="center"/>
          </w:tcPr>
          <w:p w14:paraId="3FC48AE9" w14:textId="77777777" w:rsidR="0046193D" w:rsidRDefault="0046193D" w:rsidP="0046193D">
            <w:pPr>
              <w:adjustRightInd w:val="0"/>
              <w:snapToGrid w:val="0"/>
              <w:spacing w:line="280" w:lineRule="exact"/>
              <w:jc w:val="center"/>
            </w:pPr>
            <w:r>
              <w:t>0</w:t>
            </w:r>
          </w:p>
        </w:tc>
      </w:tr>
      <w:tr w:rsidR="0046193D" w14:paraId="5A388E9A" w14:textId="77777777" w:rsidTr="00B7753F">
        <w:trPr>
          <w:trHeight w:val="57"/>
          <w:jc w:val="center"/>
        </w:trPr>
        <w:tc>
          <w:tcPr>
            <w:tcW w:w="703" w:type="pct"/>
            <w:vMerge/>
            <w:tcBorders>
              <w:tl2br w:val="nil"/>
              <w:tr2bl w:val="nil"/>
            </w:tcBorders>
            <w:vAlign w:val="center"/>
          </w:tcPr>
          <w:p w14:paraId="32C1405C" w14:textId="77777777" w:rsidR="0046193D" w:rsidRDefault="0046193D" w:rsidP="0046193D">
            <w:pPr>
              <w:adjustRightInd w:val="0"/>
              <w:snapToGrid w:val="0"/>
              <w:spacing w:line="280" w:lineRule="exact"/>
              <w:jc w:val="center"/>
            </w:pPr>
          </w:p>
        </w:tc>
        <w:tc>
          <w:tcPr>
            <w:tcW w:w="1633" w:type="pct"/>
            <w:tcBorders>
              <w:tl2br w:val="nil"/>
              <w:tr2bl w:val="nil"/>
            </w:tcBorders>
            <w:vAlign w:val="center"/>
          </w:tcPr>
          <w:p w14:paraId="3ACED613" w14:textId="77777777" w:rsidR="0046193D" w:rsidRDefault="0046193D" w:rsidP="0046193D">
            <w:pPr>
              <w:adjustRightInd w:val="0"/>
              <w:snapToGrid w:val="0"/>
              <w:spacing w:line="280" w:lineRule="exact"/>
              <w:jc w:val="center"/>
            </w:pPr>
            <w:r>
              <w:t>标准指数</w:t>
            </w:r>
          </w:p>
        </w:tc>
        <w:tc>
          <w:tcPr>
            <w:tcW w:w="574" w:type="pct"/>
            <w:tcBorders>
              <w:top w:val="single" w:sz="4" w:space="0" w:color="auto"/>
              <w:left w:val="nil"/>
              <w:bottom w:val="single" w:sz="4" w:space="0" w:color="auto"/>
              <w:right w:val="single" w:sz="4" w:space="0" w:color="auto"/>
            </w:tcBorders>
            <w:vAlign w:val="center"/>
          </w:tcPr>
          <w:p w14:paraId="2BF769C6" w14:textId="5BBB05F3" w:rsidR="0046193D" w:rsidRDefault="0046193D" w:rsidP="0046193D">
            <w:pPr>
              <w:adjustRightInd w:val="0"/>
              <w:snapToGrid w:val="0"/>
              <w:spacing w:line="280" w:lineRule="exact"/>
              <w:jc w:val="center"/>
            </w:pPr>
            <w:r>
              <w:rPr>
                <w:rFonts w:hint="eastAsia"/>
                <w:color w:val="000000"/>
                <w:sz w:val="22"/>
                <w:szCs w:val="22"/>
              </w:rPr>
              <w:t xml:space="preserve">0.25 </w:t>
            </w:r>
          </w:p>
        </w:tc>
        <w:tc>
          <w:tcPr>
            <w:tcW w:w="481" w:type="pct"/>
            <w:tcBorders>
              <w:top w:val="single" w:sz="4" w:space="0" w:color="auto"/>
              <w:left w:val="single" w:sz="4" w:space="0" w:color="auto"/>
              <w:bottom w:val="single" w:sz="4" w:space="0" w:color="auto"/>
              <w:right w:val="single" w:sz="4" w:space="0" w:color="auto"/>
            </w:tcBorders>
            <w:vAlign w:val="center"/>
          </w:tcPr>
          <w:p w14:paraId="4DA1A6B9" w14:textId="37EC09C9" w:rsidR="0046193D" w:rsidRDefault="0046193D" w:rsidP="0046193D">
            <w:pPr>
              <w:adjustRightInd w:val="0"/>
              <w:snapToGrid w:val="0"/>
              <w:spacing w:line="280" w:lineRule="exact"/>
              <w:jc w:val="center"/>
            </w:pPr>
            <w:r>
              <w:rPr>
                <w:rFonts w:hint="eastAsia"/>
                <w:color w:val="000000"/>
                <w:sz w:val="22"/>
                <w:szCs w:val="22"/>
              </w:rPr>
              <w:t xml:space="preserve">0.10 </w:t>
            </w:r>
          </w:p>
        </w:tc>
        <w:tc>
          <w:tcPr>
            <w:tcW w:w="574" w:type="pct"/>
            <w:tcBorders>
              <w:top w:val="single" w:sz="4" w:space="0" w:color="auto"/>
              <w:left w:val="nil"/>
              <w:bottom w:val="single" w:sz="4" w:space="0" w:color="auto"/>
              <w:right w:val="single" w:sz="4" w:space="0" w:color="auto"/>
            </w:tcBorders>
            <w:vAlign w:val="center"/>
          </w:tcPr>
          <w:p w14:paraId="4D85E039" w14:textId="59920A04" w:rsidR="0046193D" w:rsidRDefault="0046193D" w:rsidP="0046193D">
            <w:pPr>
              <w:adjustRightInd w:val="0"/>
              <w:snapToGrid w:val="0"/>
              <w:spacing w:line="280" w:lineRule="exact"/>
              <w:jc w:val="center"/>
            </w:pPr>
            <w:r>
              <w:rPr>
                <w:rFonts w:hint="eastAsia"/>
                <w:color w:val="000000"/>
                <w:sz w:val="22"/>
                <w:szCs w:val="22"/>
              </w:rPr>
              <w:t xml:space="preserve">0.55 </w:t>
            </w:r>
          </w:p>
        </w:tc>
        <w:tc>
          <w:tcPr>
            <w:tcW w:w="481" w:type="pct"/>
            <w:tcBorders>
              <w:top w:val="single" w:sz="4" w:space="0" w:color="auto"/>
              <w:left w:val="single" w:sz="4" w:space="0" w:color="auto"/>
              <w:bottom w:val="single" w:sz="4" w:space="0" w:color="auto"/>
              <w:right w:val="single" w:sz="4" w:space="0" w:color="auto"/>
            </w:tcBorders>
            <w:vAlign w:val="center"/>
          </w:tcPr>
          <w:p w14:paraId="23F7BC75" w14:textId="0CF5836F" w:rsidR="0046193D" w:rsidRDefault="0046193D" w:rsidP="0046193D">
            <w:pPr>
              <w:adjustRightInd w:val="0"/>
              <w:snapToGrid w:val="0"/>
              <w:spacing w:line="280" w:lineRule="exact"/>
              <w:jc w:val="center"/>
            </w:pPr>
            <w:r>
              <w:rPr>
                <w:rFonts w:hint="eastAsia"/>
                <w:color w:val="000000"/>
                <w:sz w:val="22"/>
                <w:szCs w:val="22"/>
              </w:rPr>
              <w:t xml:space="preserve">0.20 </w:t>
            </w:r>
          </w:p>
        </w:tc>
        <w:tc>
          <w:tcPr>
            <w:tcW w:w="554" w:type="pct"/>
            <w:vMerge/>
            <w:tcBorders>
              <w:tl2br w:val="nil"/>
              <w:tr2bl w:val="nil"/>
            </w:tcBorders>
            <w:vAlign w:val="center"/>
          </w:tcPr>
          <w:p w14:paraId="72058E7F" w14:textId="77777777" w:rsidR="0046193D" w:rsidRDefault="0046193D" w:rsidP="0046193D">
            <w:pPr>
              <w:adjustRightInd w:val="0"/>
              <w:snapToGrid w:val="0"/>
              <w:spacing w:line="280" w:lineRule="exact"/>
              <w:jc w:val="center"/>
            </w:pPr>
          </w:p>
        </w:tc>
      </w:tr>
      <w:tr w:rsidR="00606029" w14:paraId="5559EC84" w14:textId="77777777" w:rsidTr="00762B39">
        <w:trPr>
          <w:trHeight w:val="57"/>
          <w:jc w:val="center"/>
        </w:trPr>
        <w:tc>
          <w:tcPr>
            <w:tcW w:w="703" w:type="pct"/>
            <w:vMerge w:val="restart"/>
            <w:tcBorders>
              <w:tl2br w:val="nil"/>
              <w:tr2bl w:val="nil"/>
            </w:tcBorders>
            <w:vAlign w:val="center"/>
          </w:tcPr>
          <w:p w14:paraId="46C39C83" w14:textId="77777777" w:rsidR="00606029" w:rsidRDefault="00EA5B92">
            <w:pPr>
              <w:adjustRightInd w:val="0"/>
              <w:snapToGrid w:val="0"/>
              <w:spacing w:line="280" w:lineRule="exact"/>
              <w:jc w:val="center"/>
            </w:pPr>
            <w:r>
              <w:t>H</w:t>
            </w:r>
            <w:r>
              <w:rPr>
                <w:vertAlign w:val="subscript"/>
              </w:rPr>
              <w:t>2</w:t>
            </w:r>
            <w:r>
              <w:t>S</w:t>
            </w:r>
          </w:p>
        </w:tc>
        <w:tc>
          <w:tcPr>
            <w:tcW w:w="1633" w:type="pct"/>
            <w:tcBorders>
              <w:tl2br w:val="nil"/>
              <w:tr2bl w:val="nil"/>
            </w:tcBorders>
            <w:vAlign w:val="center"/>
          </w:tcPr>
          <w:p w14:paraId="59581D03" w14:textId="64EF4278" w:rsidR="00606029" w:rsidRDefault="00762B39">
            <w:pPr>
              <w:adjustRightInd w:val="0"/>
              <w:snapToGrid w:val="0"/>
              <w:spacing w:line="280" w:lineRule="exact"/>
              <w:jc w:val="center"/>
            </w:pPr>
            <w:r>
              <w:rPr>
                <w:rFonts w:hint="eastAsia"/>
              </w:rPr>
              <w:t>0.01</w:t>
            </w:r>
          </w:p>
        </w:tc>
        <w:tc>
          <w:tcPr>
            <w:tcW w:w="574" w:type="pct"/>
            <w:tcBorders>
              <w:top w:val="single" w:sz="4" w:space="0" w:color="auto"/>
              <w:tl2br w:val="nil"/>
              <w:tr2bl w:val="nil"/>
            </w:tcBorders>
            <w:vAlign w:val="center"/>
          </w:tcPr>
          <w:p w14:paraId="245DEA9C" w14:textId="5A5442E6" w:rsidR="00606029" w:rsidRDefault="00762B39">
            <w:pPr>
              <w:adjustRightInd w:val="0"/>
              <w:snapToGrid w:val="0"/>
              <w:spacing w:line="280" w:lineRule="exact"/>
              <w:jc w:val="center"/>
            </w:pPr>
            <w:r>
              <w:rPr>
                <w:rFonts w:hint="eastAsia"/>
              </w:rPr>
              <w:t>0.01</w:t>
            </w:r>
          </w:p>
        </w:tc>
        <w:tc>
          <w:tcPr>
            <w:tcW w:w="481" w:type="pct"/>
            <w:tcBorders>
              <w:top w:val="single" w:sz="4" w:space="0" w:color="auto"/>
              <w:tl2br w:val="nil"/>
              <w:tr2bl w:val="nil"/>
            </w:tcBorders>
            <w:vAlign w:val="center"/>
          </w:tcPr>
          <w:p w14:paraId="41FE3970" w14:textId="139F4B0A" w:rsidR="00606029" w:rsidRDefault="00762B39">
            <w:pPr>
              <w:adjustRightInd w:val="0"/>
              <w:snapToGrid w:val="0"/>
              <w:spacing w:line="280" w:lineRule="exact"/>
              <w:jc w:val="center"/>
            </w:pPr>
            <w:r>
              <w:rPr>
                <w:rFonts w:hint="eastAsia"/>
              </w:rPr>
              <w:t>0.004</w:t>
            </w:r>
          </w:p>
        </w:tc>
        <w:tc>
          <w:tcPr>
            <w:tcW w:w="574" w:type="pct"/>
            <w:tcBorders>
              <w:top w:val="single" w:sz="4" w:space="0" w:color="auto"/>
              <w:tl2br w:val="nil"/>
              <w:tr2bl w:val="nil"/>
            </w:tcBorders>
            <w:vAlign w:val="center"/>
          </w:tcPr>
          <w:p w14:paraId="50EE6490" w14:textId="3BC45379" w:rsidR="00606029" w:rsidRDefault="00762B39">
            <w:pPr>
              <w:adjustRightInd w:val="0"/>
              <w:snapToGrid w:val="0"/>
              <w:spacing w:line="280" w:lineRule="exact"/>
              <w:jc w:val="center"/>
            </w:pPr>
            <w:r w:rsidRPr="00762B39">
              <w:t>0.001L</w:t>
            </w:r>
          </w:p>
        </w:tc>
        <w:tc>
          <w:tcPr>
            <w:tcW w:w="481" w:type="pct"/>
            <w:tcBorders>
              <w:top w:val="single" w:sz="4" w:space="0" w:color="auto"/>
              <w:tl2br w:val="nil"/>
              <w:tr2bl w:val="nil"/>
            </w:tcBorders>
            <w:vAlign w:val="center"/>
          </w:tcPr>
          <w:p w14:paraId="6494D136" w14:textId="51F93CA2" w:rsidR="00606029" w:rsidRDefault="00762B39">
            <w:pPr>
              <w:adjustRightInd w:val="0"/>
              <w:snapToGrid w:val="0"/>
              <w:spacing w:line="280" w:lineRule="exact"/>
              <w:jc w:val="center"/>
            </w:pPr>
            <w:r w:rsidRPr="00762B39">
              <w:t>0.001L</w:t>
            </w:r>
          </w:p>
        </w:tc>
        <w:tc>
          <w:tcPr>
            <w:tcW w:w="554" w:type="pct"/>
            <w:vMerge w:val="restart"/>
            <w:tcBorders>
              <w:tl2br w:val="nil"/>
              <w:tr2bl w:val="nil"/>
            </w:tcBorders>
            <w:vAlign w:val="center"/>
          </w:tcPr>
          <w:p w14:paraId="3C2AE9D9" w14:textId="77777777" w:rsidR="00606029" w:rsidRDefault="00EA5B92">
            <w:pPr>
              <w:adjustRightInd w:val="0"/>
              <w:snapToGrid w:val="0"/>
              <w:spacing w:line="280" w:lineRule="exact"/>
              <w:jc w:val="center"/>
            </w:pPr>
            <w:r>
              <w:t>0</w:t>
            </w:r>
          </w:p>
        </w:tc>
      </w:tr>
      <w:tr w:rsidR="00606029" w14:paraId="3649DE5D" w14:textId="77777777" w:rsidTr="00762B39">
        <w:trPr>
          <w:trHeight w:val="57"/>
          <w:jc w:val="center"/>
        </w:trPr>
        <w:tc>
          <w:tcPr>
            <w:tcW w:w="703" w:type="pct"/>
            <w:vMerge/>
            <w:tcBorders>
              <w:tl2br w:val="nil"/>
              <w:tr2bl w:val="nil"/>
            </w:tcBorders>
            <w:vAlign w:val="center"/>
          </w:tcPr>
          <w:p w14:paraId="75D3771D" w14:textId="77777777" w:rsidR="00606029" w:rsidRDefault="00606029">
            <w:pPr>
              <w:adjustRightInd w:val="0"/>
              <w:snapToGrid w:val="0"/>
              <w:spacing w:line="280" w:lineRule="exact"/>
              <w:jc w:val="center"/>
            </w:pPr>
          </w:p>
        </w:tc>
        <w:tc>
          <w:tcPr>
            <w:tcW w:w="1633" w:type="pct"/>
            <w:tcBorders>
              <w:tl2br w:val="nil"/>
              <w:tr2bl w:val="nil"/>
            </w:tcBorders>
            <w:vAlign w:val="center"/>
          </w:tcPr>
          <w:p w14:paraId="4C8D9AB5" w14:textId="77777777" w:rsidR="00606029" w:rsidRDefault="00EA5B92">
            <w:pPr>
              <w:adjustRightInd w:val="0"/>
              <w:snapToGrid w:val="0"/>
              <w:spacing w:line="280" w:lineRule="exact"/>
              <w:jc w:val="center"/>
            </w:pPr>
            <w:r>
              <w:t>标准指数</w:t>
            </w:r>
          </w:p>
        </w:tc>
        <w:tc>
          <w:tcPr>
            <w:tcW w:w="574" w:type="pct"/>
            <w:tcBorders>
              <w:tl2br w:val="nil"/>
              <w:tr2bl w:val="nil"/>
            </w:tcBorders>
            <w:vAlign w:val="center"/>
          </w:tcPr>
          <w:p w14:paraId="6F74DF4D" w14:textId="36D6C0D3" w:rsidR="00606029" w:rsidRDefault="00762B39">
            <w:pPr>
              <w:adjustRightInd w:val="0"/>
              <w:snapToGrid w:val="0"/>
              <w:spacing w:line="280" w:lineRule="exact"/>
              <w:jc w:val="center"/>
            </w:pPr>
            <w:r>
              <w:rPr>
                <w:rFonts w:hint="eastAsia"/>
              </w:rPr>
              <w:t>1</w:t>
            </w:r>
          </w:p>
        </w:tc>
        <w:tc>
          <w:tcPr>
            <w:tcW w:w="481" w:type="pct"/>
            <w:tcBorders>
              <w:tl2br w:val="nil"/>
              <w:tr2bl w:val="nil"/>
            </w:tcBorders>
            <w:vAlign w:val="center"/>
          </w:tcPr>
          <w:p w14:paraId="71A78D19" w14:textId="695941B8" w:rsidR="00606029" w:rsidRDefault="00EA5B92">
            <w:pPr>
              <w:adjustRightInd w:val="0"/>
              <w:snapToGrid w:val="0"/>
              <w:spacing w:line="280" w:lineRule="exact"/>
              <w:jc w:val="center"/>
            </w:pPr>
            <w:r>
              <w:t>0.</w:t>
            </w:r>
            <w:r w:rsidR="0031512A">
              <w:rPr>
                <w:rFonts w:hint="eastAsia"/>
              </w:rPr>
              <w:t>4</w:t>
            </w:r>
          </w:p>
        </w:tc>
        <w:tc>
          <w:tcPr>
            <w:tcW w:w="574" w:type="pct"/>
            <w:tcBorders>
              <w:tl2br w:val="nil"/>
              <w:tr2bl w:val="nil"/>
            </w:tcBorders>
            <w:vAlign w:val="center"/>
          </w:tcPr>
          <w:p w14:paraId="43DCE94C" w14:textId="3D8EA749" w:rsidR="00606029" w:rsidRDefault="00762B39">
            <w:pPr>
              <w:adjustRightInd w:val="0"/>
              <w:snapToGrid w:val="0"/>
              <w:spacing w:line="280" w:lineRule="exact"/>
              <w:jc w:val="center"/>
            </w:pPr>
            <w:r>
              <w:rPr>
                <w:rFonts w:hint="eastAsia"/>
              </w:rPr>
              <w:t>/</w:t>
            </w:r>
          </w:p>
        </w:tc>
        <w:tc>
          <w:tcPr>
            <w:tcW w:w="481" w:type="pct"/>
            <w:tcBorders>
              <w:tl2br w:val="nil"/>
              <w:tr2bl w:val="nil"/>
            </w:tcBorders>
            <w:vAlign w:val="center"/>
          </w:tcPr>
          <w:p w14:paraId="0CEEF423" w14:textId="1ACEFF0D" w:rsidR="00606029" w:rsidRDefault="00762B39">
            <w:pPr>
              <w:adjustRightInd w:val="0"/>
              <w:snapToGrid w:val="0"/>
              <w:spacing w:line="280" w:lineRule="exact"/>
              <w:jc w:val="center"/>
            </w:pPr>
            <w:r>
              <w:rPr>
                <w:rFonts w:hint="eastAsia"/>
              </w:rPr>
              <w:t>/</w:t>
            </w:r>
          </w:p>
        </w:tc>
        <w:tc>
          <w:tcPr>
            <w:tcW w:w="554" w:type="pct"/>
            <w:vMerge/>
            <w:tcBorders>
              <w:tl2br w:val="nil"/>
              <w:tr2bl w:val="nil"/>
            </w:tcBorders>
            <w:vAlign w:val="center"/>
          </w:tcPr>
          <w:p w14:paraId="461888EE" w14:textId="77777777" w:rsidR="00606029" w:rsidRDefault="00606029">
            <w:pPr>
              <w:adjustRightInd w:val="0"/>
              <w:snapToGrid w:val="0"/>
              <w:spacing w:line="280" w:lineRule="exact"/>
              <w:jc w:val="center"/>
            </w:pPr>
          </w:p>
        </w:tc>
      </w:tr>
      <w:tr w:rsidR="00606029" w14:paraId="203FBB64" w14:textId="77777777" w:rsidTr="00762B39">
        <w:trPr>
          <w:trHeight w:val="57"/>
          <w:jc w:val="center"/>
        </w:trPr>
        <w:tc>
          <w:tcPr>
            <w:tcW w:w="2336" w:type="pct"/>
            <w:gridSpan w:val="2"/>
            <w:tcBorders>
              <w:tl2br w:val="nil"/>
              <w:tr2bl w:val="nil"/>
            </w:tcBorders>
            <w:vAlign w:val="center"/>
          </w:tcPr>
          <w:p w14:paraId="4AE46FB3" w14:textId="77777777" w:rsidR="00606029" w:rsidRDefault="00EA5B92">
            <w:pPr>
              <w:adjustRightInd w:val="0"/>
              <w:snapToGrid w:val="0"/>
              <w:spacing w:line="280" w:lineRule="exact"/>
              <w:jc w:val="center"/>
            </w:pPr>
            <w:r>
              <w:t>备注</w:t>
            </w:r>
          </w:p>
        </w:tc>
        <w:tc>
          <w:tcPr>
            <w:tcW w:w="2664" w:type="pct"/>
            <w:gridSpan w:val="5"/>
            <w:tcBorders>
              <w:tl2br w:val="nil"/>
              <w:tr2bl w:val="nil"/>
            </w:tcBorders>
            <w:vAlign w:val="center"/>
          </w:tcPr>
          <w:p w14:paraId="389DFEAB" w14:textId="77777777" w:rsidR="00606029" w:rsidRDefault="00EA5B92">
            <w:pPr>
              <w:adjustRightInd w:val="0"/>
              <w:snapToGrid w:val="0"/>
              <w:spacing w:line="280" w:lineRule="exact"/>
              <w:jc w:val="center"/>
            </w:pPr>
            <w:r>
              <w:t>检测结果低于标准检出限时，用</w:t>
            </w:r>
            <w:r>
              <w:t>“</w:t>
            </w:r>
            <w:r>
              <w:t>检出限</w:t>
            </w:r>
            <w:r>
              <w:t>+L”</w:t>
            </w:r>
            <w:r>
              <w:t>表示</w:t>
            </w:r>
          </w:p>
        </w:tc>
      </w:tr>
    </w:tbl>
    <w:p w14:paraId="4804B9EE" w14:textId="40749117" w:rsidR="00606029" w:rsidRDefault="00EA5B92">
      <w:pPr>
        <w:pStyle w:val="affffff5"/>
      </w:pPr>
      <w:r>
        <w:t>表</w:t>
      </w:r>
      <w:r>
        <w:t>5.3-</w:t>
      </w:r>
      <w:r w:rsidR="006932D2">
        <w:rPr>
          <w:rFonts w:hint="eastAsia"/>
        </w:rPr>
        <w:t>6</w:t>
      </w:r>
      <w:r>
        <w:t xml:space="preserve">  </w:t>
      </w:r>
      <w:r>
        <w:t>环境空气质量现状监测结果统计表（</w:t>
      </w:r>
      <w:r>
        <w:t>1</w:t>
      </w:r>
      <w:r>
        <w:t>次值）</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1" w:type="dxa"/>
          <w:right w:w="51" w:type="dxa"/>
        </w:tblCellMar>
        <w:tblLook w:val="04A0" w:firstRow="1" w:lastRow="0" w:firstColumn="1" w:lastColumn="0" w:noHBand="0" w:noVBand="1"/>
      </w:tblPr>
      <w:tblGrid>
        <w:gridCol w:w="1241"/>
        <w:gridCol w:w="2884"/>
        <w:gridCol w:w="1014"/>
        <w:gridCol w:w="849"/>
        <w:gridCol w:w="1014"/>
        <w:gridCol w:w="849"/>
        <w:gridCol w:w="978"/>
      </w:tblGrid>
      <w:tr w:rsidR="00606029" w14:paraId="2CF7F27B" w14:textId="77777777" w:rsidTr="0031512A">
        <w:trPr>
          <w:trHeight w:val="57"/>
          <w:tblHeader/>
          <w:jc w:val="center"/>
        </w:trPr>
        <w:tc>
          <w:tcPr>
            <w:tcW w:w="703" w:type="pct"/>
            <w:vMerge w:val="restart"/>
            <w:tcBorders>
              <w:tl2br w:val="nil"/>
              <w:tr2bl w:val="nil"/>
            </w:tcBorders>
            <w:vAlign w:val="center"/>
          </w:tcPr>
          <w:p w14:paraId="785DA7B0" w14:textId="77777777" w:rsidR="00606029" w:rsidRDefault="00EA5B92">
            <w:pPr>
              <w:adjustRightInd w:val="0"/>
              <w:snapToGrid w:val="0"/>
              <w:spacing w:line="280" w:lineRule="exact"/>
              <w:jc w:val="center"/>
            </w:pPr>
            <w:r>
              <w:t>污染物</w:t>
            </w:r>
          </w:p>
        </w:tc>
        <w:tc>
          <w:tcPr>
            <w:tcW w:w="1633" w:type="pct"/>
            <w:vMerge w:val="restart"/>
            <w:tcBorders>
              <w:tl2br w:val="nil"/>
              <w:tr2bl w:val="nil"/>
            </w:tcBorders>
            <w:vAlign w:val="center"/>
          </w:tcPr>
          <w:p w14:paraId="3BF70F09" w14:textId="55D44476" w:rsidR="00606029" w:rsidRDefault="00EA5B92">
            <w:pPr>
              <w:adjustRightInd w:val="0"/>
              <w:snapToGrid w:val="0"/>
              <w:spacing w:line="280" w:lineRule="exact"/>
              <w:jc w:val="center"/>
            </w:pPr>
            <w:r>
              <w:t>质量标准（</w:t>
            </w:r>
            <w:r w:rsidR="0031512A">
              <w:rPr>
                <w:rFonts w:hint="eastAsia"/>
              </w:rPr>
              <w:t>m</w:t>
            </w:r>
            <w:r>
              <w:t>g/m</w:t>
            </w:r>
            <w:r>
              <w:rPr>
                <w:vertAlign w:val="superscript"/>
              </w:rPr>
              <w:t>3</w:t>
            </w:r>
            <w:r>
              <w:t>）</w:t>
            </w:r>
          </w:p>
        </w:tc>
        <w:tc>
          <w:tcPr>
            <w:tcW w:w="2109" w:type="pct"/>
            <w:gridSpan w:val="4"/>
            <w:tcBorders>
              <w:tl2br w:val="nil"/>
              <w:tr2bl w:val="nil"/>
            </w:tcBorders>
            <w:vAlign w:val="center"/>
          </w:tcPr>
          <w:p w14:paraId="1008AF1A" w14:textId="77777777" w:rsidR="00606029" w:rsidRDefault="00EA5B92">
            <w:pPr>
              <w:adjustRightInd w:val="0"/>
              <w:snapToGrid w:val="0"/>
              <w:spacing w:line="280" w:lineRule="exact"/>
              <w:jc w:val="center"/>
            </w:pPr>
            <w:r>
              <w:t>浓度（</w:t>
            </w:r>
            <w:r>
              <w:t>µg/m³</w:t>
            </w:r>
            <w:r>
              <w:t>）</w:t>
            </w:r>
          </w:p>
        </w:tc>
        <w:tc>
          <w:tcPr>
            <w:tcW w:w="556" w:type="pct"/>
            <w:vMerge w:val="restart"/>
            <w:tcBorders>
              <w:tl2br w:val="nil"/>
              <w:tr2bl w:val="nil"/>
            </w:tcBorders>
            <w:vAlign w:val="center"/>
          </w:tcPr>
          <w:p w14:paraId="38324253" w14:textId="77777777" w:rsidR="00606029" w:rsidRDefault="00EA5B92">
            <w:pPr>
              <w:adjustRightInd w:val="0"/>
              <w:snapToGrid w:val="0"/>
              <w:spacing w:line="280" w:lineRule="exact"/>
              <w:jc w:val="center"/>
            </w:pPr>
            <w:r>
              <w:t>超标率</w:t>
            </w:r>
          </w:p>
          <w:p w14:paraId="7B2747BC" w14:textId="77777777" w:rsidR="00606029" w:rsidRDefault="00EA5B92">
            <w:pPr>
              <w:adjustRightInd w:val="0"/>
              <w:snapToGrid w:val="0"/>
              <w:spacing w:line="280" w:lineRule="exact"/>
              <w:jc w:val="center"/>
            </w:pPr>
            <w:r>
              <w:t>（</w:t>
            </w:r>
            <w:r>
              <w:t>%</w:t>
            </w:r>
            <w:r>
              <w:t>）</w:t>
            </w:r>
          </w:p>
        </w:tc>
      </w:tr>
      <w:tr w:rsidR="00606029" w14:paraId="0E8575B9" w14:textId="77777777" w:rsidTr="0031512A">
        <w:trPr>
          <w:trHeight w:val="57"/>
          <w:tblHeader/>
          <w:jc w:val="center"/>
        </w:trPr>
        <w:tc>
          <w:tcPr>
            <w:tcW w:w="703" w:type="pct"/>
            <w:vMerge/>
            <w:tcBorders>
              <w:tl2br w:val="nil"/>
              <w:tr2bl w:val="nil"/>
            </w:tcBorders>
            <w:vAlign w:val="center"/>
          </w:tcPr>
          <w:p w14:paraId="3F1E23D6" w14:textId="77777777" w:rsidR="00606029" w:rsidRDefault="00606029">
            <w:pPr>
              <w:adjustRightInd w:val="0"/>
              <w:snapToGrid w:val="0"/>
              <w:spacing w:line="280" w:lineRule="exact"/>
              <w:jc w:val="center"/>
            </w:pPr>
          </w:p>
        </w:tc>
        <w:tc>
          <w:tcPr>
            <w:tcW w:w="1633" w:type="pct"/>
            <w:vMerge/>
            <w:tcBorders>
              <w:tl2br w:val="nil"/>
              <w:tr2bl w:val="nil"/>
            </w:tcBorders>
            <w:vAlign w:val="center"/>
          </w:tcPr>
          <w:p w14:paraId="0251A9B4" w14:textId="77777777" w:rsidR="00606029" w:rsidRDefault="00606029">
            <w:pPr>
              <w:adjustRightInd w:val="0"/>
              <w:snapToGrid w:val="0"/>
              <w:spacing w:line="280" w:lineRule="exact"/>
              <w:jc w:val="center"/>
            </w:pPr>
          </w:p>
        </w:tc>
        <w:tc>
          <w:tcPr>
            <w:tcW w:w="574" w:type="pct"/>
            <w:tcBorders>
              <w:tl2br w:val="nil"/>
              <w:tr2bl w:val="nil"/>
            </w:tcBorders>
            <w:vAlign w:val="center"/>
          </w:tcPr>
          <w:p w14:paraId="11E81385" w14:textId="77777777" w:rsidR="00606029" w:rsidRDefault="00EA5B92">
            <w:pPr>
              <w:adjustRightInd w:val="0"/>
              <w:snapToGrid w:val="0"/>
              <w:spacing w:line="280" w:lineRule="exact"/>
              <w:jc w:val="center"/>
            </w:pPr>
            <w:r>
              <w:t>A1</w:t>
            </w:r>
            <w:r>
              <w:t>（</w:t>
            </w:r>
            <w:r>
              <w:t>Max</w:t>
            </w:r>
            <w:r>
              <w:t>）</w:t>
            </w:r>
          </w:p>
        </w:tc>
        <w:tc>
          <w:tcPr>
            <w:tcW w:w="481" w:type="pct"/>
            <w:tcBorders>
              <w:tl2br w:val="nil"/>
              <w:tr2bl w:val="nil"/>
            </w:tcBorders>
            <w:vAlign w:val="center"/>
          </w:tcPr>
          <w:p w14:paraId="0F41807B" w14:textId="77777777" w:rsidR="00606029" w:rsidRDefault="00EA5B92">
            <w:pPr>
              <w:adjustRightInd w:val="0"/>
              <w:snapToGrid w:val="0"/>
              <w:spacing w:line="280" w:lineRule="exact"/>
              <w:jc w:val="center"/>
            </w:pPr>
            <w:r>
              <w:t>A1</w:t>
            </w:r>
            <w:r>
              <w:t>（</w:t>
            </w:r>
            <w:r>
              <w:t>min</w:t>
            </w:r>
            <w:r>
              <w:t>）</w:t>
            </w:r>
          </w:p>
        </w:tc>
        <w:tc>
          <w:tcPr>
            <w:tcW w:w="574" w:type="pct"/>
            <w:tcBorders>
              <w:tl2br w:val="nil"/>
              <w:tr2bl w:val="nil"/>
            </w:tcBorders>
            <w:vAlign w:val="center"/>
          </w:tcPr>
          <w:p w14:paraId="5EEAAAC6" w14:textId="77777777" w:rsidR="00606029" w:rsidRDefault="00EA5B92">
            <w:pPr>
              <w:adjustRightInd w:val="0"/>
              <w:snapToGrid w:val="0"/>
              <w:spacing w:line="280" w:lineRule="exact"/>
              <w:jc w:val="center"/>
            </w:pPr>
            <w:r>
              <w:t>A2</w:t>
            </w:r>
            <w:r>
              <w:t>（</w:t>
            </w:r>
            <w:r>
              <w:t>Max</w:t>
            </w:r>
            <w:r>
              <w:t>）</w:t>
            </w:r>
          </w:p>
        </w:tc>
        <w:tc>
          <w:tcPr>
            <w:tcW w:w="481" w:type="pct"/>
            <w:tcBorders>
              <w:tl2br w:val="nil"/>
              <w:tr2bl w:val="nil"/>
            </w:tcBorders>
            <w:vAlign w:val="center"/>
          </w:tcPr>
          <w:p w14:paraId="6BA661B1" w14:textId="77777777" w:rsidR="00606029" w:rsidRDefault="00EA5B92">
            <w:pPr>
              <w:adjustRightInd w:val="0"/>
              <w:snapToGrid w:val="0"/>
              <w:spacing w:line="280" w:lineRule="exact"/>
              <w:jc w:val="center"/>
            </w:pPr>
            <w:r>
              <w:t>A2</w:t>
            </w:r>
            <w:r>
              <w:t>（</w:t>
            </w:r>
            <w:r>
              <w:t>min</w:t>
            </w:r>
            <w:r>
              <w:t>）</w:t>
            </w:r>
          </w:p>
        </w:tc>
        <w:tc>
          <w:tcPr>
            <w:tcW w:w="556" w:type="pct"/>
            <w:vMerge/>
            <w:tcBorders>
              <w:tl2br w:val="nil"/>
              <w:tr2bl w:val="nil"/>
            </w:tcBorders>
            <w:vAlign w:val="center"/>
          </w:tcPr>
          <w:p w14:paraId="68FEB57D" w14:textId="77777777" w:rsidR="00606029" w:rsidRDefault="00606029">
            <w:pPr>
              <w:adjustRightInd w:val="0"/>
              <w:snapToGrid w:val="0"/>
              <w:spacing w:line="280" w:lineRule="exact"/>
              <w:jc w:val="center"/>
            </w:pPr>
          </w:p>
        </w:tc>
      </w:tr>
      <w:tr w:rsidR="00606029" w14:paraId="455505C3" w14:textId="77777777" w:rsidTr="0031512A">
        <w:trPr>
          <w:trHeight w:val="57"/>
          <w:jc w:val="center"/>
        </w:trPr>
        <w:tc>
          <w:tcPr>
            <w:tcW w:w="703" w:type="pct"/>
            <w:vMerge w:val="restart"/>
            <w:tcBorders>
              <w:tl2br w:val="nil"/>
              <w:tr2bl w:val="nil"/>
            </w:tcBorders>
            <w:vAlign w:val="center"/>
          </w:tcPr>
          <w:p w14:paraId="3101F09B" w14:textId="77777777" w:rsidR="00606029" w:rsidRDefault="00EA5B92">
            <w:pPr>
              <w:adjustRightInd w:val="0"/>
              <w:snapToGrid w:val="0"/>
              <w:spacing w:line="280" w:lineRule="exact"/>
              <w:jc w:val="center"/>
              <w:rPr>
                <w:lang w:val="zh-CN"/>
              </w:rPr>
            </w:pPr>
            <w:r>
              <w:t>非甲烷总烃</w:t>
            </w:r>
          </w:p>
        </w:tc>
        <w:tc>
          <w:tcPr>
            <w:tcW w:w="1633" w:type="pct"/>
            <w:tcBorders>
              <w:tl2br w:val="nil"/>
              <w:tr2bl w:val="nil"/>
            </w:tcBorders>
            <w:vAlign w:val="center"/>
          </w:tcPr>
          <w:p w14:paraId="32783F34" w14:textId="203B15AC" w:rsidR="00606029" w:rsidRDefault="00EA5B92">
            <w:pPr>
              <w:adjustRightInd w:val="0"/>
              <w:snapToGrid w:val="0"/>
              <w:spacing w:line="280" w:lineRule="exact"/>
              <w:jc w:val="center"/>
            </w:pPr>
            <w:r>
              <w:t>2</w:t>
            </w:r>
          </w:p>
        </w:tc>
        <w:tc>
          <w:tcPr>
            <w:tcW w:w="574" w:type="pct"/>
            <w:tcBorders>
              <w:bottom w:val="single" w:sz="4" w:space="0" w:color="auto"/>
              <w:tl2br w:val="nil"/>
              <w:tr2bl w:val="nil"/>
            </w:tcBorders>
            <w:vAlign w:val="center"/>
          </w:tcPr>
          <w:p w14:paraId="4A1D8003" w14:textId="06D6C345" w:rsidR="00606029" w:rsidRDefault="0031512A">
            <w:pPr>
              <w:adjustRightInd w:val="0"/>
              <w:snapToGrid w:val="0"/>
              <w:spacing w:line="280" w:lineRule="exact"/>
              <w:jc w:val="center"/>
            </w:pPr>
            <w:r>
              <w:rPr>
                <w:rFonts w:hint="eastAsia"/>
              </w:rPr>
              <w:t>0.92</w:t>
            </w:r>
          </w:p>
        </w:tc>
        <w:tc>
          <w:tcPr>
            <w:tcW w:w="481" w:type="pct"/>
            <w:tcBorders>
              <w:bottom w:val="single" w:sz="4" w:space="0" w:color="auto"/>
              <w:tl2br w:val="nil"/>
              <w:tr2bl w:val="nil"/>
            </w:tcBorders>
            <w:vAlign w:val="center"/>
          </w:tcPr>
          <w:p w14:paraId="68C4CFED" w14:textId="1FEDF0B4" w:rsidR="00606029" w:rsidRDefault="0031512A">
            <w:pPr>
              <w:adjustRightInd w:val="0"/>
              <w:snapToGrid w:val="0"/>
              <w:spacing w:line="280" w:lineRule="exact"/>
              <w:jc w:val="center"/>
            </w:pPr>
            <w:r>
              <w:rPr>
                <w:rFonts w:hint="eastAsia"/>
              </w:rPr>
              <w:t>0.74</w:t>
            </w:r>
          </w:p>
        </w:tc>
        <w:tc>
          <w:tcPr>
            <w:tcW w:w="574" w:type="pct"/>
            <w:tcBorders>
              <w:bottom w:val="single" w:sz="4" w:space="0" w:color="auto"/>
              <w:tl2br w:val="nil"/>
              <w:tr2bl w:val="nil"/>
            </w:tcBorders>
            <w:vAlign w:val="center"/>
          </w:tcPr>
          <w:p w14:paraId="616992F5" w14:textId="6696D7E4" w:rsidR="00606029" w:rsidRDefault="0031512A">
            <w:pPr>
              <w:adjustRightInd w:val="0"/>
              <w:snapToGrid w:val="0"/>
              <w:spacing w:line="280" w:lineRule="exact"/>
              <w:jc w:val="center"/>
            </w:pPr>
            <w:r>
              <w:rPr>
                <w:rFonts w:hint="eastAsia"/>
              </w:rPr>
              <w:t>0.78</w:t>
            </w:r>
          </w:p>
        </w:tc>
        <w:tc>
          <w:tcPr>
            <w:tcW w:w="481" w:type="pct"/>
            <w:tcBorders>
              <w:bottom w:val="single" w:sz="4" w:space="0" w:color="auto"/>
              <w:tl2br w:val="nil"/>
              <w:tr2bl w:val="nil"/>
            </w:tcBorders>
            <w:vAlign w:val="center"/>
          </w:tcPr>
          <w:p w14:paraId="2A37B55F" w14:textId="79DA08C0" w:rsidR="00606029" w:rsidRDefault="0031512A">
            <w:pPr>
              <w:adjustRightInd w:val="0"/>
              <w:snapToGrid w:val="0"/>
              <w:spacing w:line="280" w:lineRule="exact"/>
              <w:jc w:val="center"/>
            </w:pPr>
            <w:r>
              <w:rPr>
                <w:rFonts w:hint="eastAsia"/>
              </w:rPr>
              <w:t>0.61</w:t>
            </w:r>
          </w:p>
        </w:tc>
        <w:tc>
          <w:tcPr>
            <w:tcW w:w="556" w:type="pct"/>
            <w:vMerge w:val="restart"/>
            <w:tcBorders>
              <w:tl2br w:val="nil"/>
              <w:tr2bl w:val="nil"/>
            </w:tcBorders>
            <w:vAlign w:val="center"/>
          </w:tcPr>
          <w:p w14:paraId="3635B45C" w14:textId="77777777" w:rsidR="00606029" w:rsidRDefault="00EA5B92">
            <w:pPr>
              <w:adjustRightInd w:val="0"/>
              <w:snapToGrid w:val="0"/>
              <w:spacing w:line="280" w:lineRule="exact"/>
              <w:jc w:val="center"/>
            </w:pPr>
            <w:r>
              <w:t>0</w:t>
            </w:r>
          </w:p>
        </w:tc>
      </w:tr>
      <w:tr w:rsidR="0031512A" w14:paraId="05FA39D0" w14:textId="77777777" w:rsidTr="0031512A">
        <w:trPr>
          <w:trHeight w:val="57"/>
          <w:jc w:val="center"/>
        </w:trPr>
        <w:tc>
          <w:tcPr>
            <w:tcW w:w="703" w:type="pct"/>
            <w:vMerge/>
            <w:tcBorders>
              <w:tl2br w:val="nil"/>
              <w:tr2bl w:val="nil"/>
            </w:tcBorders>
            <w:vAlign w:val="center"/>
          </w:tcPr>
          <w:p w14:paraId="69CAE999" w14:textId="77777777" w:rsidR="0031512A" w:rsidRDefault="0031512A" w:rsidP="0031512A">
            <w:pPr>
              <w:adjustRightInd w:val="0"/>
              <w:snapToGrid w:val="0"/>
              <w:spacing w:line="280" w:lineRule="exact"/>
              <w:jc w:val="center"/>
            </w:pPr>
          </w:p>
        </w:tc>
        <w:tc>
          <w:tcPr>
            <w:tcW w:w="1633" w:type="pct"/>
            <w:tcBorders>
              <w:tl2br w:val="nil"/>
              <w:tr2bl w:val="nil"/>
            </w:tcBorders>
            <w:vAlign w:val="center"/>
          </w:tcPr>
          <w:p w14:paraId="287071AB" w14:textId="77777777" w:rsidR="0031512A" w:rsidRDefault="0031512A" w:rsidP="0031512A">
            <w:pPr>
              <w:adjustRightInd w:val="0"/>
              <w:snapToGrid w:val="0"/>
              <w:spacing w:line="280" w:lineRule="exact"/>
              <w:jc w:val="center"/>
            </w:pPr>
            <w:r>
              <w:t>标准指数</w:t>
            </w:r>
          </w:p>
        </w:tc>
        <w:tc>
          <w:tcPr>
            <w:tcW w:w="574" w:type="pct"/>
            <w:tcBorders>
              <w:top w:val="single" w:sz="4" w:space="0" w:color="auto"/>
              <w:left w:val="nil"/>
              <w:bottom w:val="single" w:sz="4" w:space="0" w:color="auto"/>
              <w:right w:val="single" w:sz="4" w:space="0" w:color="auto"/>
            </w:tcBorders>
            <w:vAlign w:val="center"/>
          </w:tcPr>
          <w:p w14:paraId="7CC573DA" w14:textId="77E6CC39" w:rsidR="0031512A" w:rsidRDefault="0031512A" w:rsidP="0031512A">
            <w:pPr>
              <w:adjustRightInd w:val="0"/>
              <w:snapToGrid w:val="0"/>
              <w:spacing w:line="280" w:lineRule="exact"/>
              <w:jc w:val="center"/>
            </w:pPr>
            <w:r>
              <w:rPr>
                <w:rFonts w:hint="eastAsia"/>
                <w:color w:val="000000"/>
                <w:sz w:val="22"/>
                <w:szCs w:val="22"/>
              </w:rPr>
              <w:t xml:space="preserve">0.46 </w:t>
            </w:r>
          </w:p>
        </w:tc>
        <w:tc>
          <w:tcPr>
            <w:tcW w:w="481" w:type="pct"/>
            <w:tcBorders>
              <w:top w:val="single" w:sz="4" w:space="0" w:color="auto"/>
              <w:left w:val="single" w:sz="4" w:space="0" w:color="auto"/>
              <w:bottom w:val="single" w:sz="4" w:space="0" w:color="auto"/>
              <w:right w:val="single" w:sz="4" w:space="0" w:color="auto"/>
            </w:tcBorders>
            <w:vAlign w:val="center"/>
          </w:tcPr>
          <w:p w14:paraId="3DFA5E05" w14:textId="6C35979F" w:rsidR="0031512A" w:rsidRDefault="0031512A" w:rsidP="0031512A">
            <w:pPr>
              <w:adjustRightInd w:val="0"/>
              <w:snapToGrid w:val="0"/>
              <w:spacing w:line="280" w:lineRule="exact"/>
              <w:jc w:val="center"/>
            </w:pPr>
            <w:r>
              <w:rPr>
                <w:rFonts w:hint="eastAsia"/>
                <w:color w:val="000000"/>
                <w:sz w:val="22"/>
                <w:szCs w:val="22"/>
              </w:rPr>
              <w:t xml:space="preserve">0.37 </w:t>
            </w:r>
          </w:p>
        </w:tc>
        <w:tc>
          <w:tcPr>
            <w:tcW w:w="574" w:type="pct"/>
            <w:tcBorders>
              <w:top w:val="single" w:sz="4" w:space="0" w:color="auto"/>
              <w:left w:val="single" w:sz="4" w:space="0" w:color="auto"/>
              <w:bottom w:val="single" w:sz="4" w:space="0" w:color="auto"/>
              <w:right w:val="single" w:sz="4" w:space="0" w:color="auto"/>
            </w:tcBorders>
            <w:vAlign w:val="center"/>
          </w:tcPr>
          <w:p w14:paraId="48F5A7FA" w14:textId="1CEC1D11" w:rsidR="0031512A" w:rsidRDefault="0031512A" w:rsidP="0031512A">
            <w:pPr>
              <w:adjustRightInd w:val="0"/>
              <w:snapToGrid w:val="0"/>
              <w:spacing w:line="280" w:lineRule="exact"/>
              <w:jc w:val="center"/>
            </w:pPr>
            <w:r>
              <w:rPr>
                <w:rFonts w:hint="eastAsia"/>
                <w:color w:val="000000"/>
                <w:sz w:val="22"/>
                <w:szCs w:val="22"/>
              </w:rPr>
              <w:t xml:space="preserve">0.39 </w:t>
            </w:r>
          </w:p>
        </w:tc>
        <w:tc>
          <w:tcPr>
            <w:tcW w:w="481" w:type="pct"/>
            <w:tcBorders>
              <w:top w:val="single" w:sz="4" w:space="0" w:color="auto"/>
              <w:left w:val="single" w:sz="4" w:space="0" w:color="auto"/>
              <w:bottom w:val="single" w:sz="4" w:space="0" w:color="auto"/>
              <w:right w:val="nil"/>
            </w:tcBorders>
            <w:vAlign w:val="center"/>
          </w:tcPr>
          <w:p w14:paraId="133A0A93" w14:textId="61506CBD" w:rsidR="0031512A" w:rsidRDefault="0031512A" w:rsidP="0031512A">
            <w:pPr>
              <w:adjustRightInd w:val="0"/>
              <w:snapToGrid w:val="0"/>
              <w:spacing w:line="280" w:lineRule="exact"/>
              <w:jc w:val="center"/>
            </w:pPr>
            <w:r>
              <w:rPr>
                <w:rFonts w:hint="eastAsia"/>
                <w:color w:val="000000"/>
                <w:sz w:val="22"/>
                <w:szCs w:val="22"/>
              </w:rPr>
              <w:t xml:space="preserve">0.31 </w:t>
            </w:r>
          </w:p>
        </w:tc>
        <w:tc>
          <w:tcPr>
            <w:tcW w:w="556" w:type="pct"/>
            <w:vMerge/>
            <w:tcBorders>
              <w:tl2br w:val="nil"/>
              <w:tr2bl w:val="nil"/>
            </w:tcBorders>
            <w:vAlign w:val="center"/>
          </w:tcPr>
          <w:p w14:paraId="34B45A55" w14:textId="77777777" w:rsidR="0031512A" w:rsidRDefault="0031512A" w:rsidP="0031512A">
            <w:pPr>
              <w:adjustRightInd w:val="0"/>
              <w:snapToGrid w:val="0"/>
              <w:spacing w:line="280" w:lineRule="exact"/>
              <w:jc w:val="center"/>
            </w:pPr>
          </w:p>
        </w:tc>
      </w:tr>
      <w:tr w:rsidR="00606029" w14:paraId="184E8B81" w14:textId="77777777" w:rsidTr="0031512A">
        <w:trPr>
          <w:trHeight w:val="57"/>
          <w:jc w:val="center"/>
        </w:trPr>
        <w:tc>
          <w:tcPr>
            <w:tcW w:w="703" w:type="pct"/>
            <w:vMerge w:val="restart"/>
            <w:tcBorders>
              <w:tl2br w:val="nil"/>
              <w:tr2bl w:val="nil"/>
            </w:tcBorders>
            <w:vAlign w:val="center"/>
          </w:tcPr>
          <w:p w14:paraId="6B888640" w14:textId="77777777" w:rsidR="00606029" w:rsidRDefault="00EA5B92">
            <w:pPr>
              <w:adjustRightInd w:val="0"/>
              <w:snapToGrid w:val="0"/>
              <w:spacing w:line="280" w:lineRule="exact"/>
              <w:jc w:val="center"/>
            </w:pPr>
            <w:r>
              <w:t>臭气浓度</w:t>
            </w:r>
          </w:p>
        </w:tc>
        <w:tc>
          <w:tcPr>
            <w:tcW w:w="1633" w:type="pct"/>
            <w:tcBorders>
              <w:tl2br w:val="nil"/>
              <w:tr2bl w:val="nil"/>
            </w:tcBorders>
            <w:vAlign w:val="center"/>
          </w:tcPr>
          <w:p w14:paraId="6F932D19" w14:textId="77777777" w:rsidR="00606029" w:rsidRDefault="00EA5B92">
            <w:pPr>
              <w:adjustRightInd w:val="0"/>
              <w:snapToGrid w:val="0"/>
              <w:spacing w:line="280" w:lineRule="exact"/>
              <w:jc w:val="center"/>
            </w:pPr>
            <w:r>
              <w:t>/</w:t>
            </w:r>
          </w:p>
        </w:tc>
        <w:tc>
          <w:tcPr>
            <w:tcW w:w="574" w:type="pct"/>
            <w:tcBorders>
              <w:top w:val="single" w:sz="4" w:space="0" w:color="auto"/>
              <w:tl2br w:val="nil"/>
              <w:tr2bl w:val="nil"/>
            </w:tcBorders>
            <w:vAlign w:val="center"/>
          </w:tcPr>
          <w:p w14:paraId="7C360EFD" w14:textId="6AA50F8B" w:rsidR="00606029" w:rsidRDefault="00413E54">
            <w:pPr>
              <w:adjustRightInd w:val="0"/>
              <w:snapToGrid w:val="0"/>
              <w:spacing w:line="280" w:lineRule="exact"/>
              <w:jc w:val="center"/>
            </w:pPr>
            <w:r>
              <w:rPr>
                <w:rFonts w:hint="eastAsia"/>
              </w:rPr>
              <w:t>17</w:t>
            </w:r>
          </w:p>
        </w:tc>
        <w:tc>
          <w:tcPr>
            <w:tcW w:w="481" w:type="pct"/>
            <w:tcBorders>
              <w:top w:val="single" w:sz="4" w:space="0" w:color="auto"/>
              <w:tl2br w:val="nil"/>
              <w:tr2bl w:val="nil"/>
            </w:tcBorders>
            <w:vAlign w:val="center"/>
          </w:tcPr>
          <w:p w14:paraId="40EA0A4E" w14:textId="6B1731E1" w:rsidR="00606029" w:rsidRDefault="00413E54">
            <w:pPr>
              <w:adjustRightInd w:val="0"/>
              <w:snapToGrid w:val="0"/>
              <w:spacing w:line="280" w:lineRule="exact"/>
              <w:jc w:val="center"/>
            </w:pPr>
            <w:r>
              <w:rPr>
                <w:rFonts w:hint="eastAsia"/>
              </w:rPr>
              <w:t>11</w:t>
            </w:r>
          </w:p>
        </w:tc>
        <w:tc>
          <w:tcPr>
            <w:tcW w:w="574" w:type="pct"/>
            <w:tcBorders>
              <w:top w:val="single" w:sz="4" w:space="0" w:color="auto"/>
              <w:tl2br w:val="nil"/>
              <w:tr2bl w:val="nil"/>
            </w:tcBorders>
            <w:vAlign w:val="center"/>
          </w:tcPr>
          <w:p w14:paraId="6D9A18B1" w14:textId="77777777" w:rsidR="00606029" w:rsidRDefault="00EA5B92">
            <w:pPr>
              <w:adjustRightInd w:val="0"/>
              <w:snapToGrid w:val="0"/>
              <w:spacing w:line="280" w:lineRule="exact"/>
              <w:jc w:val="center"/>
            </w:pPr>
            <w:r>
              <w:t>10L</w:t>
            </w:r>
          </w:p>
        </w:tc>
        <w:tc>
          <w:tcPr>
            <w:tcW w:w="481" w:type="pct"/>
            <w:tcBorders>
              <w:top w:val="single" w:sz="4" w:space="0" w:color="auto"/>
              <w:tl2br w:val="nil"/>
              <w:tr2bl w:val="nil"/>
            </w:tcBorders>
            <w:vAlign w:val="center"/>
          </w:tcPr>
          <w:p w14:paraId="4BB22DA5" w14:textId="77777777" w:rsidR="00606029" w:rsidRDefault="00EA5B92">
            <w:pPr>
              <w:adjustRightInd w:val="0"/>
              <w:snapToGrid w:val="0"/>
              <w:spacing w:line="280" w:lineRule="exact"/>
              <w:jc w:val="center"/>
            </w:pPr>
            <w:r>
              <w:t>10L</w:t>
            </w:r>
          </w:p>
        </w:tc>
        <w:tc>
          <w:tcPr>
            <w:tcW w:w="556" w:type="pct"/>
            <w:vMerge w:val="restart"/>
            <w:tcBorders>
              <w:tl2br w:val="nil"/>
              <w:tr2bl w:val="nil"/>
            </w:tcBorders>
            <w:vAlign w:val="center"/>
          </w:tcPr>
          <w:p w14:paraId="0D8DE9C9" w14:textId="77777777" w:rsidR="00606029" w:rsidRDefault="00EA5B92">
            <w:pPr>
              <w:adjustRightInd w:val="0"/>
              <w:snapToGrid w:val="0"/>
              <w:spacing w:line="280" w:lineRule="exact"/>
              <w:jc w:val="center"/>
            </w:pPr>
            <w:r>
              <w:t>/</w:t>
            </w:r>
          </w:p>
        </w:tc>
      </w:tr>
      <w:tr w:rsidR="00606029" w14:paraId="4B34A6A1" w14:textId="77777777" w:rsidTr="0031512A">
        <w:trPr>
          <w:trHeight w:val="57"/>
          <w:jc w:val="center"/>
        </w:trPr>
        <w:tc>
          <w:tcPr>
            <w:tcW w:w="703" w:type="pct"/>
            <w:vMerge/>
            <w:tcBorders>
              <w:tl2br w:val="nil"/>
              <w:tr2bl w:val="nil"/>
            </w:tcBorders>
            <w:vAlign w:val="center"/>
          </w:tcPr>
          <w:p w14:paraId="184A9248" w14:textId="77777777" w:rsidR="00606029" w:rsidRDefault="00606029">
            <w:pPr>
              <w:adjustRightInd w:val="0"/>
              <w:snapToGrid w:val="0"/>
              <w:spacing w:line="280" w:lineRule="exact"/>
              <w:jc w:val="center"/>
            </w:pPr>
          </w:p>
        </w:tc>
        <w:tc>
          <w:tcPr>
            <w:tcW w:w="1633" w:type="pct"/>
            <w:tcBorders>
              <w:tl2br w:val="nil"/>
              <w:tr2bl w:val="nil"/>
            </w:tcBorders>
            <w:vAlign w:val="center"/>
          </w:tcPr>
          <w:p w14:paraId="7FDA9364" w14:textId="77777777" w:rsidR="00606029" w:rsidRDefault="00EA5B92">
            <w:pPr>
              <w:adjustRightInd w:val="0"/>
              <w:snapToGrid w:val="0"/>
              <w:spacing w:line="280" w:lineRule="exact"/>
              <w:jc w:val="center"/>
            </w:pPr>
            <w:r>
              <w:t>标准指数</w:t>
            </w:r>
          </w:p>
        </w:tc>
        <w:tc>
          <w:tcPr>
            <w:tcW w:w="574" w:type="pct"/>
            <w:tcBorders>
              <w:tl2br w:val="nil"/>
              <w:tr2bl w:val="nil"/>
            </w:tcBorders>
            <w:vAlign w:val="center"/>
          </w:tcPr>
          <w:p w14:paraId="7F556F37" w14:textId="77777777" w:rsidR="00606029" w:rsidRDefault="00EA5B92">
            <w:pPr>
              <w:adjustRightInd w:val="0"/>
              <w:snapToGrid w:val="0"/>
              <w:spacing w:line="280" w:lineRule="exact"/>
              <w:jc w:val="center"/>
            </w:pPr>
            <w:r>
              <w:t>/</w:t>
            </w:r>
          </w:p>
        </w:tc>
        <w:tc>
          <w:tcPr>
            <w:tcW w:w="481" w:type="pct"/>
            <w:tcBorders>
              <w:tl2br w:val="nil"/>
              <w:tr2bl w:val="nil"/>
            </w:tcBorders>
            <w:vAlign w:val="center"/>
          </w:tcPr>
          <w:p w14:paraId="0B9895FB" w14:textId="77777777" w:rsidR="00606029" w:rsidRDefault="00EA5B92">
            <w:pPr>
              <w:adjustRightInd w:val="0"/>
              <w:snapToGrid w:val="0"/>
              <w:spacing w:line="280" w:lineRule="exact"/>
              <w:jc w:val="center"/>
            </w:pPr>
            <w:r>
              <w:t>/</w:t>
            </w:r>
          </w:p>
        </w:tc>
        <w:tc>
          <w:tcPr>
            <w:tcW w:w="574" w:type="pct"/>
            <w:tcBorders>
              <w:tl2br w:val="nil"/>
              <w:tr2bl w:val="nil"/>
            </w:tcBorders>
            <w:vAlign w:val="center"/>
          </w:tcPr>
          <w:p w14:paraId="77BE818B" w14:textId="77777777" w:rsidR="00606029" w:rsidRDefault="00EA5B92">
            <w:pPr>
              <w:adjustRightInd w:val="0"/>
              <w:snapToGrid w:val="0"/>
              <w:spacing w:line="280" w:lineRule="exact"/>
              <w:jc w:val="center"/>
            </w:pPr>
            <w:r>
              <w:t>/</w:t>
            </w:r>
          </w:p>
        </w:tc>
        <w:tc>
          <w:tcPr>
            <w:tcW w:w="481" w:type="pct"/>
            <w:tcBorders>
              <w:tl2br w:val="nil"/>
              <w:tr2bl w:val="nil"/>
            </w:tcBorders>
            <w:vAlign w:val="center"/>
          </w:tcPr>
          <w:p w14:paraId="627C96A6" w14:textId="77777777" w:rsidR="00606029" w:rsidRDefault="00EA5B92">
            <w:pPr>
              <w:adjustRightInd w:val="0"/>
              <w:snapToGrid w:val="0"/>
              <w:spacing w:line="280" w:lineRule="exact"/>
              <w:jc w:val="center"/>
            </w:pPr>
            <w:r>
              <w:t>/</w:t>
            </w:r>
          </w:p>
        </w:tc>
        <w:tc>
          <w:tcPr>
            <w:tcW w:w="556" w:type="pct"/>
            <w:vMerge/>
            <w:tcBorders>
              <w:tl2br w:val="nil"/>
              <w:tr2bl w:val="nil"/>
            </w:tcBorders>
            <w:vAlign w:val="center"/>
          </w:tcPr>
          <w:p w14:paraId="60AC4089" w14:textId="77777777" w:rsidR="00606029" w:rsidRDefault="00606029">
            <w:pPr>
              <w:adjustRightInd w:val="0"/>
              <w:snapToGrid w:val="0"/>
              <w:spacing w:line="280" w:lineRule="exact"/>
              <w:jc w:val="center"/>
            </w:pPr>
          </w:p>
        </w:tc>
      </w:tr>
      <w:tr w:rsidR="00606029" w14:paraId="4D03413B" w14:textId="77777777" w:rsidTr="0031512A">
        <w:trPr>
          <w:trHeight w:val="57"/>
          <w:jc w:val="center"/>
        </w:trPr>
        <w:tc>
          <w:tcPr>
            <w:tcW w:w="2335" w:type="pct"/>
            <w:gridSpan w:val="2"/>
            <w:tcBorders>
              <w:tl2br w:val="nil"/>
              <w:tr2bl w:val="nil"/>
            </w:tcBorders>
            <w:vAlign w:val="center"/>
          </w:tcPr>
          <w:p w14:paraId="3DE946AE" w14:textId="77777777" w:rsidR="00606029" w:rsidRDefault="00EA5B92">
            <w:pPr>
              <w:adjustRightInd w:val="0"/>
              <w:snapToGrid w:val="0"/>
              <w:spacing w:line="280" w:lineRule="exact"/>
              <w:jc w:val="center"/>
            </w:pPr>
            <w:r>
              <w:t>备注</w:t>
            </w:r>
          </w:p>
        </w:tc>
        <w:tc>
          <w:tcPr>
            <w:tcW w:w="2665" w:type="pct"/>
            <w:gridSpan w:val="5"/>
            <w:tcBorders>
              <w:tl2br w:val="nil"/>
              <w:tr2bl w:val="nil"/>
            </w:tcBorders>
            <w:vAlign w:val="center"/>
          </w:tcPr>
          <w:p w14:paraId="39495309" w14:textId="77777777" w:rsidR="00606029" w:rsidRDefault="00EA5B92">
            <w:pPr>
              <w:adjustRightInd w:val="0"/>
              <w:snapToGrid w:val="0"/>
              <w:spacing w:line="280" w:lineRule="exact"/>
              <w:jc w:val="center"/>
            </w:pPr>
            <w:r>
              <w:t>检测结果低于标准检出限时，用</w:t>
            </w:r>
            <w:r>
              <w:t>“</w:t>
            </w:r>
            <w:r>
              <w:t>检出限</w:t>
            </w:r>
            <w:r>
              <w:t>+L”</w:t>
            </w:r>
            <w:r>
              <w:t>表示</w:t>
            </w:r>
          </w:p>
        </w:tc>
      </w:tr>
    </w:tbl>
    <w:p w14:paraId="10EA60C8" w14:textId="667FAA0E" w:rsidR="00606029" w:rsidRDefault="00EA5B92">
      <w:pPr>
        <w:autoSpaceDE w:val="0"/>
        <w:autoSpaceDN w:val="0"/>
        <w:adjustRightInd w:val="0"/>
        <w:snapToGrid w:val="0"/>
        <w:spacing w:beforeLines="50" w:before="120" w:line="360" w:lineRule="auto"/>
        <w:ind w:firstLineChars="200" w:firstLine="480"/>
        <w:textAlignment w:val="baseline"/>
        <w:rPr>
          <w:snapToGrid w:val="0"/>
          <w:sz w:val="24"/>
          <w:szCs w:val="24"/>
        </w:rPr>
      </w:pPr>
      <w:r>
        <w:rPr>
          <w:snapToGrid w:val="0"/>
          <w:sz w:val="24"/>
          <w:szCs w:val="24"/>
        </w:rPr>
        <w:t>根据</w:t>
      </w:r>
      <w:r w:rsidR="00971C07">
        <w:rPr>
          <w:rFonts w:hint="eastAsia"/>
          <w:snapToGrid w:val="0"/>
          <w:sz w:val="24"/>
          <w:szCs w:val="24"/>
        </w:rPr>
        <w:t>上表</w:t>
      </w:r>
      <w:r>
        <w:rPr>
          <w:snapToGrid w:val="0"/>
          <w:sz w:val="24"/>
          <w:szCs w:val="24"/>
        </w:rPr>
        <w:t>可知，本项目的非甲烷总烃满足《大气污染物综合排放标准》（</w:t>
      </w:r>
      <w:r>
        <w:rPr>
          <w:snapToGrid w:val="0"/>
          <w:sz w:val="24"/>
          <w:szCs w:val="24"/>
        </w:rPr>
        <w:t>GB16297-1996</w:t>
      </w:r>
      <w:r>
        <w:rPr>
          <w:snapToGrid w:val="0"/>
          <w:sz w:val="24"/>
          <w:szCs w:val="24"/>
        </w:rPr>
        <w:t>）详解的标准值。</w:t>
      </w:r>
      <w:r>
        <w:rPr>
          <w:snapToGrid w:val="0"/>
          <w:sz w:val="24"/>
          <w:szCs w:val="24"/>
        </w:rPr>
        <w:t>NH</w:t>
      </w:r>
      <w:r>
        <w:rPr>
          <w:snapToGrid w:val="0"/>
          <w:sz w:val="24"/>
          <w:szCs w:val="24"/>
          <w:vertAlign w:val="subscript"/>
        </w:rPr>
        <w:t>3</w:t>
      </w:r>
      <w:r>
        <w:rPr>
          <w:snapToGrid w:val="0"/>
          <w:sz w:val="24"/>
          <w:szCs w:val="24"/>
        </w:rPr>
        <w:t>、</w:t>
      </w:r>
      <w:r>
        <w:rPr>
          <w:snapToGrid w:val="0"/>
          <w:sz w:val="24"/>
          <w:szCs w:val="24"/>
        </w:rPr>
        <w:t>H</w:t>
      </w:r>
      <w:r>
        <w:rPr>
          <w:snapToGrid w:val="0"/>
          <w:sz w:val="24"/>
          <w:szCs w:val="24"/>
          <w:vertAlign w:val="subscript"/>
        </w:rPr>
        <w:t>2</w:t>
      </w:r>
      <w:r>
        <w:rPr>
          <w:snapToGrid w:val="0"/>
          <w:sz w:val="24"/>
          <w:szCs w:val="24"/>
        </w:rPr>
        <w:t>S</w:t>
      </w:r>
      <w:r>
        <w:rPr>
          <w:snapToGrid w:val="0"/>
          <w:sz w:val="24"/>
          <w:szCs w:val="24"/>
        </w:rPr>
        <w:t>满足《环境影响评价技术导则</w:t>
      </w:r>
      <w:r>
        <w:rPr>
          <w:snapToGrid w:val="0"/>
          <w:sz w:val="24"/>
          <w:szCs w:val="24"/>
        </w:rPr>
        <w:t xml:space="preserve"> </w:t>
      </w:r>
      <w:r>
        <w:rPr>
          <w:snapToGrid w:val="0"/>
          <w:sz w:val="24"/>
          <w:szCs w:val="24"/>
        </w:rPr>
        <w:t>大气环境》</w:t>
      </w:r>
      <w:r>
        <w:rPr>
          <w:snapToGrid w:val="0"/>
          <w:sz w:val="24"/>
          <w:szCs w:val="24"/>
        </w:rPr>
        <w:t>HJ2.2-2018</w:t>
      </w:r>
      <w:r>
        <w:rPr>
          <w:snapToGrid w:val="0"/>
          <w:sz w:val="24"/>
          <w:szCs w:val="24"/>
        </w:rPr>
        <w:t>附录</w:t>
      </w:r>
      <w:r>
        <w:rPr>
          <w:snapToGrid w:val="0"/>
          <w:sz w:val="24"/>
          <w:szCs w:val="24"/>
        </w:rPr>
        <w:t>D</w:t>
      </w:r>
      <w:r>
        <w:rPr>
          <w:snapToGrid w:val="0"/>
          <w:sz w:val="24"/>
          <w:szCs w:val="24"/>
        </w:rPr>
        <w:t>限值，</w:t>
      </w:r>
      <w:r>
        <w:rPr>
          <w:snapToGrid w:val="0"/>
          <w:sz w:val="24"/>
          <w:szCs w:val="24"/>
        </w:rPr>
        <w:t>TSP</w:t>
      </w:r>
      <w:r>
        <w:rPr>
          <w:snapToGrid w:val="0"/>
          <w:sz w:val="24"/>
          <w:szCs w:val="24"/>
        </w:rPr>
        <w:t>满足《环境空气质量标准》（</w:t>
      </w:r>
      <w:r>
        <w:rPr>
          <w:snapToGrid w:val="0"/>
          <w:sz w:val="24"/>
          <w:szCs w:val="24"/>
        </w:rPr>
        <w:t>GB3095-2012</w:t>
      </w:r>
      <w:r>
        <w:rPr>
          <w:snapToGrid w:val="0"/>
          <w:sz w:val="24"/>
          <w:szCs w:val="24"/>
        </w:rPr>
        <w:t>）及修改单（公告</w:t>
      </w:r>
      <w:r>
        <w:rPr>
          <w:snapToGrid w:val="0"/>
          <w:sz w:val="24"/>
          <w:szCs w:val="24"/>
        </w:rPr>
        <w:t>2018</w:t>
      </w:r>
      <w:r>
        <w:rPr>
          <w:snapToGrid w:val="0"/>
          <w:sz w:val="24"/>
          <w:szCs w:val="24"/>
        </w:rPr>
        <w:t>年第</w:t>
      </w:r>
      <w:r>
        <w:rPr>
          <w:snapToGrid w:val="0"/>
          <w:sz w:val="24"/>
          <w:szCs w:val="24"/>
        </w:rPr>
        <w:t>29</w:t>
      </w:r>
      <w:r>
        <w:rPr>
          <w:snapToGrid w:val="0"/>
          <w:sz w:val="24"/>
          <w:szCs w:val="24"/>
        </w:rPr>
        <w:t>号）中二级标准，说明区域环境空气质量较好，具有一定的环境容量。</w:t>
      </w:r>
    </w:p>
    <w:p w14:paraId="0A8FA529" w14:textId="77777777" w:rsidR="00606029" w:rsidRDefault="00606029">
      <w:pPr>
        <w:pStyle w:val="2"/>
        <w:sectPr w:rsidR="00606029" w:rsidSect="00EA5215">
          <w:pgSz w:w="11905" w:h="16838"/>
          <w:pgMar w:top="1417" w:right="1474" w:bottom="1417" w:left="1474" w:header="850" w:footer="850" w:gutter="113"/>
          <w:cols w:space="0"/>
          <w:docGrid w:linePitch="1"/>
        </w:sectPr>
      </w:pPr>
      <w:bookmarkStart w:id="219" w:name="_Toc6556"/>
    </w:p>
    <w:p w14:paraId="43BFDAD4" w14:textId="77777777" w:rsidR="00606029" w:rsidRDefault="00EA5B92">
      <w:pPr>
        <w:pStyle w:val="2"/>
      </w:pPr>
      <w:bookmarkStart w:id="220" w:name="_Toc220680517"/>
      <w:r w:rsidRPr="0031512A">
        <w:lastRenderedPageBreak/>
        <w:t>5.4</w:t>
      </w:r>
      <w:r w:rsidRPr="0031512A">
        <w:t>声环</w:t>
      </w:r>
      <w:bookmarkStart w:id="221" w:name="_Toc141849899"/>
      <w:bookmarkStart w:id="222" w:name="_Toc122180149"/>
      <w:bookmarkStart w:id="223" w:name="_Toc131045890"/>
      <w:r w:rsidRPr="0031512A">
        <w:t>境的现状调查与评价</w:t>
      </w:r>
      <w:bookmarkEnd w:id="219"/>
      <w:bookmarkEnd w:id="220"/>
    </w:p>
    <w:bookmarkEnd w:id="221"/>
    <w:bookmarkEnd w:id="222"/>
    <w:bookmarkEnd w:id="223"/>
    <w:p w14:paraId="3DF72D6A" w14:textId="79A5FE15" w:rsidR="00994AEB" w:rsidRDefault="00994AEB">
      <w:pPr>
        <w:pStyle w:val="affffff4"/>
      </w:pPr>
      <w:r w:rsidRPr="00994AEB">
        <w:rPr>
          <w:rFonts w:hint="eastAsia"/>
        </w:rPr>
        <w:t>根据《</w:t>
      </w:r>
      <w:r w:rsidRPr="00994AEB">
        <w:rPr>
          <w:rFonts w:hint="eastAsia"/>
        </w:rPr>
        <w:t>2024</w:t>
      </w:r>
      <w:r w:rsidRPr="00994AEB">
        <w:rPr>
          <w:rFonts w:hint="eastAsia"/>
        </w:rPr>
        <w:t>年大庆市生态环境状况公报》，</w:t>
      </w:r>
      <w:r w:rsidRPr="00994AEB">
        <w:rPr>
          <w:rFonts w:hint="eastAsia"/>
        </w:rPr>
        <w:t xml:space="preserve">2024 </w:t>
      </w:r>
      <w:r w:rsidRPr="00994AEB">
        <w:rPr>
          <w:rFonts w:hint="eastAsia"/>
        </w:rPr>
        <w:t>年，建成区布设</w:t>
      </w:r>
      <w:r w:rsidRPr="00994AEB">
        <w:rPr>
          <w:rFonts w:hint="eastAsia"/>
        </w:rPr>
        <w:t>251</w:t>
      </w:r>
      <w:r w:rsidRPr="00994AEB">
        <w:rPr>
          <w:rFonts w:hint="eastAsia"/>
        </w:rPr>
        <w:t>个监测网格，覆盖</w:t>
      </w:r>
      <w:r w:rsidRPr="00994AEB">
        <w:rPr>
          <w:rFonts w:hint="eastAsia"/>
        </w:rPr>
        <w:t>141.19</w:t>
      </w:r>
      <w:r w:rsidRPr="00994AEB">
        <w:rPr>
          <w:rFonts w:hint="eastAsia"/>
        </w:rPr>
        <w:t>平方千米和</w:t>
      </w:r>
      <w:r w:rsidRPr="00994AEB">
        <w:rPr>
          <w:rFonts w:hint="eastAsia"/>
        </w:rPr>
        <w:t>78.6</w:t>
      </w:r>
      <w:r w:rsidRPr="00994AEB">
        <w:rPr>
          <w:rFonts w:hint="eastAsia"/>
        </w:rPr>
        <w:t>万人口。噪声等效声级分布在</w:t>
      </w:r>
      <w:r w:rsidRPr="00994AEB">
        <w:rPr>
          <w:rFonts w:hint="eastAsia"/>
        </w:rPr>
        <w:t>46.4</w:t>
      </w:r>
      <w:r w:rsidRPr="00994AEB">
        <w:rPr>
          <w:rFonts w:hint="eastAsia"/>
        </w:rPr>
        <w:t>～</w:t>
      </w:r>
      <w:r w:rsidRPr="00994AEB">
        <w:rPr>
          <w:rFonts w:hint="eastAsia"/>
        </w:rPr>
        <w:t>64.7dB</w:t>
      </w:r>
      <w:r w:rsidRPr="00994AEB">
        <w:rPr>
          <w:rFonts w:hint="eastAsia"/>
        </w:rPr>
        <w:t>（</w:t>
      </w:r>
      <w:r w:rsidRPr="00994AEB">
        <w:rPr>
          <w:rFonts w:hint="eastAsia"/>
        </w:rPr>
        <w:t>A</w:t>
      </w:r>
      <w:r w:rsidRPr="00994AEB">
        <w:rPr>
          <w:rFonts w:hint="eastAsia"/>
        </w:rPr>
        <w:t>）之间，昼间平均等效声级为</w:t>
      </w:r>
      <w:r w:rsidRPr="00994AEB">
        <w:rPr>
          <w:rFonts w:hint="eastAsia"/>
        </w:rPr>
        <w:t>53.6dB</w:t>
      </w:r>
      <w:r w:rsidRPr="00994AEB">
        <w:rPr>
          <w:rFonts w:hint="eastAsia"/>
        </w:rPr>
        <w:t>（</w:t>
      </w:r>
      <w:r w:rsidRPr="00994AEB">
        <w:rPr>
          <w:rFonts w:hint="eastAsia"/>
        </w:rPr>
        <w:t>A</w:t>
      </w:r>
      <w:r w:rsidRPr="00994AEB">
        <w:rPr>
          <w:rFonts w:hint="eastAsia"/>
        </w:rPr>
        <w:t>），按照《环境噪声监测技术规范</w:t>
      </w:r>
      <w:r w:rsidRPr="00994AEB">
        <w:rPr>
          <w:rFonts w:hint="eastAsia"/>
        </w:rPr>
        <w:t xml:space="preserve"> </w:t>
      </w:r>
      <w:r w:rsidRPr="00994AEB">
        <w:rPr>
          <w:rFonts w:hint="eastAsia"/>
        </w:rPr>
        <w:t>城市声环境常规监测》（</w:t>
      </w:r>
      <w:r w:rsidRPr="00994AEB">
        <w:rPr>
          <w:rFonts w:hint="eastAsia"/>
        </w:rPr>
        <w:t>HJ640-2012</w:t>
      </w:r>
      <w:r w:rsidRPr="00994AEB">
        <w:rPr>
          <w:rFonts w:hint="eastAsia"/>
        </w:rPr>
        <w:t>），区域环境噪声总体水平等级为二级，评价为“较好”。</w:t>
      </w:r>
    </w:p>
    <w:p w14:paraId="323AD50D" w14:textId="3C5C5A0B" w:rsidR="00606029" w:rsidRDefault="00EA5B92">
      <w:pPr>
        <w:pStyle w:val="affffff4"/>
      </w:pPr>
      <w:r>
        <w:t>（</w:t>
      </w:r>
      <w:r>
        <w:t>1</w:t>
      </w:r>
      <w:r>
        <w:t>）监测布点</w:t>
      </w:r>
    </w:p>
    <w:p w14:paraId="160C2BFE" w14:textId="7C73A5B1" w:rsidR="00606029" w:rsidRDefault="00B04315">
      <w:pPr>
        <w:pStyle w:val="affffff4"/>
      </w:pPr>
      <w:r>
        <w:rPr>
          <w:rFonts w:hint="eastAsia"/>
        </w:rPr>
        <w:t>本项目声环境</w:t>
      </w:r>
      <w:r w:rsidR="00EA5B92">
        <w:t>监测点</w:t>
      </w:r>
      <w:r>
        <w:rPr>
          <w:rFonts w:hint="eastAsia"/>
        </w:rPr>
        <w:t>布设</w:t>
      </w:r>
      <w:r w:rsidR="00EA5B92">
        <w:t>情况见下表。</w:t>
      </w:r>
      <w:r w:rsidR="00FB11D6">
        <w:rPr>
          <w:rFonts w:hint="eastAsia"/>
        </w:rPr>
        <w:t>监测时间</w:t>
      </w:r>
      <w:r w:rsidR="00FB11D6">
        <w:rPr>
          <w:rFonts w:hint="eastAsia"/>
        </w:rPr>
        <w:t>2025</w:t>
      </w:r>
      <w:r w:rsidR="00FB11D6">
        <w:rPr>
          <w:rFonts w:hint="eastAsia"/>
        </w:rPr>
        <w:t>年</w:t>
      </w:r>
      <w:r w:rsidR="00FB11D6">
        <w:rPr>
          <w:rFonts w:hint="eastAsia"/>
        </w:rPr>
        <w:t>12</w:t>
      </w:r>
      <w:r w:rsidR="00FB11D6">
        <w:rPr>
          <w:rFonts w:hint="eastAsia"/>
        </w:rPr>
        <w:t>月</w:t>
      </w:r>
      <w:r w:rsidR="00FB11D6">
        <w:rPr>
          <w:rFonts w:hint="eastAsia"/>
        </w:rPr>
        <w:t>10~11</w:t>
      </w:r>
      <w:r w:rsidR="00FB11D6">
        <w:rPr>
          <w:rFonts w:hint="eastAsia"/>
        </w:rPr>
        <w:t>日</w:t>
      </w:r>
    </w:p>
    <w:p w14:paraId="6C0061B3" w14:textId="77777777" w:rsidR="00606029" w:rsidRDefault="00EA5B92">
      <w:pPr>
        <w:autoSpaceDE w:val="0"/>
        <w:autoSpaceDN w:val="0"/>
        <w:adjustRightInd w:val="0"/>
        <w:snapToGrid w:val="0"/>
        <w:ind w:firstLineChars="200" w:firstLine="422"/>
        <w:jc w:val="center"/>
        <w:textAlignment w:val="baseline"/>
        <w:rPr>
          <w:b/>
          <w:bCs/>
          <w:snapToGrid w:val="0"/>
        </w:rPr>
      </w:pPr>
      <w:r>
        <w:rPr>
          <w:b/>
          <w:bCs/>
          <w:snapToGrid w:val="0"/>
        </w:rPr>
        <w:t>表</w:t>
      </w:r>
      <w:r>
        <w:rPr>
          <w:b/>
          <w:bCs/>
          <w:snapToGrid w:val="0"/>
        </w:rPr>
        <w:t xml:space="preserve">5.4-1 </w:t>
      </w:r>
      <w:r>
        <w:rPr>
          <w:b/>
          <w:bCs/>
          <w:snapToGrid w:val="0"/>
        </w:rPr>
        <w:t>声环境现状监测布点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bottom w:w="28" w:type="dxa"/>
        </w:tblCellMar>
        <w:tblLook w:val="04A0" w:firstRow="1" w:lastRow="0" w:firstColumn="1" w:lastColumn="0" w:noHBand="0" w:noVBand="1"/>
      </w:tblPr>
      <w:tblGrid>
        <w:gridCol w:w="2433"/>
        <w:gridCol w:w="2841"/>
        <w:gridCol w:w="3560"/>
      </w:tblGrid>
      <w:tr w:rsidR="00FB11D6" w14:paraId="0B24B825" w14:textId="77777777" w:rsidTr="00FB11D6">
        <w:trPr>
          <w:trHeight w:val="57"/>
          <w:tblHeader/>
          <w:jc w:val="center"/>
        </w:trPr>
        <w:tc>
          <w:tcPr>
            <w:tcW w:w="1377" w:type="pct"/>
            <w:tcBorders>
              <w:tl2br w:val="nil"/>
              <w:tr2bl w:val="nil"/>
            </w:tcBorders>
            <w:vAlign w:val="center"/>
          </w:tcPr>
          <w:p w14:paraId="65B0F33B" w14:textId="50453121" w:rsidR="00FB11D6" w:rsidRDefault="00FB11D6">
            <w:pPr>
              <w:adjustRightInd w:val="0"/>
              <w:snapToGrid w:val="0"/>
              <w:jc w:val="center"/>
            </w:pPr>
            <w:r>
              <w:t>编号</w:t>
            </w:r>
          </w:p>
        </w:tc>
        <w:tc>
          <w:tcPr>
            <w:tcW w:w="1608" w:type="pct"/>
            <w:tcBorders>
              <w:tl2br w:val="nil"/>
              <w:tr2bl w:val="nil"/>
            </w:tcBorders>
            <w:vAlign w:val="center"/>
          </w:tcPr>
          <w:p w14:paraId="50700B27" w14:textId="77777777" w:rsidR="00FB11D6" w:rsidRDefault="00FB11D6">
            <w:pPr>
              <w:adjustRightInd w:val="0"/>
              <w:snapToGrid w:val="0"/>
              <w:jc w:val="center"/>
            </w:pPr>
            <w:r>
              <w:t>监测点名称</w:t>
            </w:r>
          </w:p>
        </w:tc>
        <w:tc>
          <w:tcPr>
            <w:tcW w:w="2015" w:type="pct"/>
            <w:tcBorders>
              <w:tl2br w:val="nil"/>
              <w:tr2bl w:val="nil"/>
            </w:tcBorders>
            <w:vAlign w:val="center"/>
          </w:tcPr>
          <w:p w14:paraId="4F946648" w14:textId="58BBE7CA" w:rsidR="00FB11D6" w:rsidRDefault="00FB11D6">
            <w:pPr>
              <w:adjustRightInd w:val="0"/>
              <w:snapToGrid w:val="0"/>
              <w:jc w:val="center"/>
            </w:pPr>
            <w:r>
              <w:rPr>
                <w:rFonts w:hint="eastAsia"/>
              </w:rPr>
              <w:t>位置关系</w:t>
            </w:r>
          </w:p>
        </w:tc>
      </w:tr>
      <w:tr w:rsidR="00FB11D6" w14:paraId="0C1F707C" w14:textId="77777777" w:rsidTr="00FB11D6">
        <w:trPr>
          <w:trHeight w:val="57"/>
          <w:jc w:val="center"/>
        </w:trPr>
        <w:tc>
          <w:tcPr>
            <w:tcW w:w="1377" w:type="pct"/>
            <w:tcBorders>
              <w:tl2br w:val="nil"/>
              <w:tr2bl w:val="nil"/>
            </w:tcBorders>
            <w:vAlign w:val="center"/>
          </w:tcPr>
          <w:p w14:paraId="1AB90AB5" w14:textId="77777777" w:rsidR="00FB11D6" w:rsidRDefault="00FB11D6" w:rsidP="00FB11D6">
            <w:pPr>
              <w:adjustRightInd w:val="0"/>
              <w:snapToGrid w:val="0"/>
              <w:jc w:val="center"/>
            </w:pPr>
            <w:r>
              <w:t>N1</w:t>
            </w:r>
          </w:p>
        </w:tc>
        <w:tc>
          <w:tcPr>
            <w:tcW w:w="1608" w:type="pct"/>
            <w:vAlign w:val="center"/>
          </w:tcPr>
          <w:p w14:paraId="47DC7C1F" w14:textId="2E6F43E6" w:rsidR="00FB11D6" w:rsidRDefault="00FB11D6" w:rsidP="00FB11D6">
            <w:pPr>
              <w:adjustRightInd w:val="0"/>
              <w:snapToGrid w:val="0"/>
              <w:jc w:val="center"/>
            </w:pPr>
            <w:r>
              <w:rPr>
                <w:rFonts w:hint="eastAsia"/>
                <w:bCs/>
              </w:rPr>
              <w:t>前进村</w:t>
            </w:r>
          </w:p>
        </w:tc>
        <w:tc>
          <w:tcPr>
            <w:tcW w:w="2015" w:type="pct"/>
            <w:tcBorders>
              <w:tl2br w:val="nil"/>
              <w:tr2bl w:val="nil"/>
            </w:tcBorders>
            <w:vAlign w:val="center"/>
          </w:tcPr>
          <w:p w14:paraId="43CC3524" w14:textId="22ECAE98" w:rsidR="00FB11D6" w:rsidRDefault="00FB11D6" w:rsidP="00FB11D6">
            <w:pPr>
              <w:adjustRightInd w:val="0"/>
              <w:snapToGrid w:val="0"/>
              <w:jc w:val="center"/>
            </w:pPr>
            <w:r>
              <w:rPr>
                <w:rFonts w:hint="eastAsia"/>
              </w:rPr>
              <w:t>厂区东北侧</w:t>
            </w:r>
            <w:r>
              <w:rPr>
                <w:rFonts w:hint="eastAsia"/>
              </w:rPr>
              <w:t>1870m</w:t>
            </w:r>
          </w:p>
        </w:tc>
      </w:tr>
      <w:tr w:rsidR="00FB11D6" w14:paraId="12E61EEA" w14:textId="77777777" w:rsidTr="00FB11D6">
        <w:trPr>
          <w:trHeight w:val="57"/>
          <w:jc w:val="center"/>
        </w:trPr>
        <w:tc>
          <w:tcPr>
            <w:tcW w:w="1377" w:type="pct"/>
            <w:tcBorders>
              <w:tl2br w:val="nil"/>
              <w:tr2bl w:val="nil"/>
            </w:tcBorders>
            <w:vAlign w:val="center"/>
          </w:tcPr>
          <w:p w14:paraId="2D2B06AF" w14:textId="77777777" w:rsidR="00FB11D6" w:rsidRDefault="00FB11D6" w:rsidP="00FB11D6">
            <w:pPr>
              <w:adjustRightInd w:val="0"/>
              <w:snapToGrid w:val="0"/>
              <w:jc w:val="center"/>
            </w:pPr>
            <w:r>
              <w:t>N2</w:t>
            </w:r>
          </w:p>
        </w:tc>
        <w:tc>
          <w:tcPr>
            <w:tcW w:w="1608" w:type="pct"/>
            <w:vAlign w:val="center"/>
          </w:tcPr>
          <w:p w14:paraId="66AC45E8" w14:textId="0B263014" w:rsidR="00FB11D6" w:rsidRDefault="00FB11D6" w:rsidP="00FB11D6">
            <w:pPr>
              <w:adjustRightInd w:val="0"/>
              <w:snapToGrid w:val="0"/>
              <w:jc w:val="center"/>
            </w:pPr>
            <w:r>
              <w:rPr>
                <w:rFonts w:hint="eastAsia"/>
              </w:rPr>
              <w:t>红旗二村</w:t>
            </w:r>
          </w:p>
        </w:tc>
        <w:tc>
          <w:tcPr>
            <w:tcW w:w="2015" w:type="pct"/>
            <w:tcBorders>
              <w:tl2br w:val="nil"/>
              <w:tr2bl w:val="nil"/>
            </w:tcBorders>
            <w:vAlign w:val="center"/>
          </w:tcPr>
          <w:p w14:paraId="57F5FC8A" w14:textId="6E2A863B" w:rsidR="00FB11D6" w:rsidRDefault="00FB11D6" w:rsidP="00FB11D6">
            <w:pPr>
              <w:adjustRightInd w:val="0"/>
              <w:snapToGrid w:val="0"/>
              <w:jc w:val="center"/>
            </w:pPr>
            <w:r>
              <w:rPr>
                <w:rFonts w:hint="eastAsia"/>
              </w:rPr>
              <w:t>厂区东北侧</w:t>
            </w:r>
            <w:r>
              <w:rPr>
                <w:rFonts w:hint="eastAsia"/>
              </w:rPr>
              <w:t>790m</w:t>
            </w:r>
          </w:p>
        </w:tc>
      </w:tr>
    </w:tbl>
    <w:p w14:paraId="7AE5D593" w14:textId="77777777" w:rsidR="00606029" w:rsidRDefault="00EA5B92">
      <w:pPr>
        <w:widowControl/>
        <w:autoSpaceDE w:val="0"/>
        <w:autoSpaceDN w:val="0"/>
        <w:adjustRightInd w:val="0"/>
        <w:snapToGrid w:val="0"/>
        <w:spacing w:beforeLines="50" w:before="120" w:line="360" w:lineRule="auto"/>
        <w:ind w:firstLineChars="200" w:firstLine="480"/>
        <w:textAlignment w:val="baseline"/>
        <w:rPr>
          <w:snapToGrid w:val="0"/>
          <w:color w:val="000000"/>
          <w:kern w:val="0"/>
          <w:sz w:val="24"/>
        </w:rPr>
      </w:pPr>
      <w:r>
        <w:rPr>
          <w:snapToGrid w:val="0"/>
          <w:color w:val="000000"/>
          <w:kern w:val="0"/>
          <w:sz w:val="24"/>
        </w:rPr>
        <w:t>（</w:t>
      </w:r>
      <w:r>
        <w:rPr>
          <w:snapToGrid w:val="0"/>
          <w:color w:val="000000"/>
          <w:kern w:val="0"/>
          <w:sz w:val="24"/>
        </w:rPr>
        <w:t>2</w:t>
      </w:r>
      <w:r>
        <w:rPr>
          <w:snapToGrid w:val="0"/>
          <w:color w:val="000000"/>
          <w:kern w:val="0"/>
          <w:sz w:val="24"/>
        </w:rPr>
        <w:t>）监测项目</w:t>
      </w:r>
    </w:p>
    <w:p w14:paraId="5E3F5592" w14:textId="77777777" w:rsidR="00606029" w:rsidRDefault="00EA5B92">
      <w:pPr>
        <w:autoSpaceDE w:val="0"/>
        <w:autoSpaceDN w:val="0"/>
        <w:adjustRightInd w:val="0"/>
        <w:snapToGrid w:val="0"/>
        <w:spacing w:line="360" w:lineRule="auto"/>
        <w:ind w:firstLineChars="200" w:firstLine="480"/>
        <w:jc w:val="left"/>
        <w:textAlignment w:val="baseline"/>
        <w:rPr>
          <w:snapToGrid w:val="0"/>
          <w:sz w:val="24"/>
          <w:szCs w:val="24"/>
        </w:rPr>
      </w:pPr>
      <w:r>
        <w:rPr>
          <w:snapToGrid w:val="0"/>
          <w:sz w:val="24"/>
          <w:szCs w:val="24"/>
        </w:rPr>
        <w:t>等效连续声级</w:t>
      </w:r>
      <w:r>
        <w:rPr>
          <w:snapToGrid w:val="0"/>
          <w:sz w:val="24"/>
          <w:szCs w:val="24"/>
        </w:rPr>
        <w:t>Leq</w:t>
      </w:r>
      <w:r>
        <w:rPr>
          <w:snapToGrid w:val="0"/>
          <w:sz w:val="24"/>
          <w:szCs w:val="24"/>
        </w:rPr>
        <w:t>（昼间</w:t>
      </w:r>
      <w:r>
        <w:rPr>
          <w:snapToGrid w:val="0"/>
          <w:sz w:val="24"/>
          <w:szCs w:val="24"/>
        </w:rPr>
        <w:t>Ld</w:t>
      </w:r>
      <w:r>
        <w:rPr>
          <w:snapToGrid w:val="0"/>
          <w:sz w:val="24"/>
          <w:szCs w:val="24"/>
        </w:rPr>
        <w:t>，夜间</w:t>
      </w:r>
      <w:r>
        <w:rPr>
          <w:snapToGrid w:val="0"/>
          <w:sz w:val="24"/>
          <w:szCs w:val="24"/>
        </w:rPr>
        <w:t>Ln</w:t>
      </w:r>
      <w:r>
        <w:rPr>
          <w:snapToGrid w:val="0"/>
          <w:sz w:val="24"/>
          <w:szCs w:val="24"/>
        </w:rPr>
        <w:t>）</w:t>
      </w:r>
    </w:p>
    <w:p w14:paraId="3EC2B4E8" w14:textId="77777777" w:rsidR="00606029" w:rsidRDefault="00EA5B92">
      <w:pPr>
        <w:widowControl/>
        <w:autoSpaceDE w:val="0"/>
        <w:autoSpaceDN w:val="0"/>
        <w:adjustRightInd w:val="0"/>
        <w:snapToGrid w:val="0"/>
        <w:spacing w:line="360" w:lineRule="auto"/>
        <w:ind w:firstLineChars="200" w:firstLine="480"/>
        <w:textAlignment w:val="baseline"/>
        <w:rPr>
          <w:snapToGrid w:val="0"/>
          <w:color w:val="000000"/>
          <w:kern w:val="0"/>
          <w:sz w:val="24"/>
        </w:rPr>
      </w:pPr>
      <w:r>
        <w:rPr>
          <w:snapToGrid w:val="0"/>
          <w:color w:val="000000"/>
          <w:kern w:val="0"/>
          <w:sz w:val="24"/>
        </w:rPr>
        <w:t>（</w:t>
      </w:r>
      <w:r>
        <w:rPr>
          <w:snapToGrid w:val="0"/>
          <w:color w:val="000000"/>
          <w:kern w:val="0"/>
          <w:sz w:val="24"/>
        </w:rPr>
        <w:t>3</w:t>
      </w:r>
      <w:r>
        <w:rPr>
          <w:snapToGrid w:val="0"/>
          <w:color w:val="000000"/>
          <w:kern w:val="0"/>
          <w:sz w:val="24"/>
        </w:rPr>
        <w:t>）监测频次</w:t>
      </w:r>
    </w:p>
    <w:p w14:paraId="4EA2ED37" w14:textId="6CF2BF4E" w:rsidR="00606029" w:rsidRDefault="00EA5B92">
      <w:pPr>
        <w:autoSpaceDE w:val="0"/>
        <w:autoSpaceDN w:val="0"/>
        <w:adjustRightInd w:val="0"/>
        <w:snapToGrid w:val="0"/>
        <w:spacing w:line="360" w:lineRule="auto"/>
        <w:ind w:firstLineChars="200" w:firstLine="480"/>
        <w:jc w:val="left"/>
        <w:textAlignment w:val="baseline"/>
        <w:rPr>
          <w:snapToGrid w:val="0"/>
          <w:sz w:val="24"/>
          <w:szCs w:val="24"/>
        </w:rPr>
      </w:pPr>
      <w:r>
        <w:rPr>
          <w:snapToGrid w:val="0"/>
          <w:sz w:val="24"/>
          <w:szCs w:val="24"/>
        </w:rPr>
        <w:t>连续监测</w:t>
      </w:r>
      <w:r>
        <w:rPr>
          <w:snapToGrid w:val="0"/>
          <w:sz w:val="24"/>
          <w:szCs w:val="24"/>
        </w:rPr>
        <w:t>2</w:t>
      </w:r>
      <w:r>
        <w:rPr>
          <w:snapToGrid w:val="0"/>
          <w:sz w:val="24"/>
          <w:szCs w:val="24"/>
        </w:rPr>
        <w:t>天，昼间和夜间各测一次，每次</w:t>
      </w:r>
      <w:r>
        <w:rPr>
          <w:snapToGrid w:val="0"/>
          <w:sz w:val="24"/>
          <w:szCs w:val="24"/>
        </w:rPr>
        <w:t>10min</w:t>
      </w:r>
      <w:r>
        <w:rPr>
          <w:snapToGrid w:val="0"/>
          <w:sz w:val="24"/>
          <w:szCs w:val="24"/>
        </w:rPr>
        <w:t>。</w:t>
      </w:r>
    </w:p>
    <w:p w14:paraId="5B733504" w14:textId="77777777" w:rsidR="00606029" w:rsidRDefault="00EA5B92">
      <w:pPr>
        <w:widowControl/>
        <w:autoSpaceDE w:val="0"/>
        <w:autoSpaceDN w:val="0"/>
        <w:adjustRightInd w:val="0"/>
        <w:snapToGrid w:val="0"/>
        <w:spacing w:line="360" w:lineRule="auto"/>
        <w:ind w:firstLineChars="200" w:firstLine="480"/>
        <w:textAlignment w:val="baseline"/>
        <w:rPr>
          <w:snapToGrid w:val="0"/>
          <w:color w:val="000000"/>
          <w:kern w:val="0"/>
          <w:sz w:val="24"/>
        </w:rPr>
      </w:pPr>
      <w:r>
        <w:rPr>
          <w:snapToGrid w:val="0"/>
          <w:color w:val="000000"/>
          <w:kern w:val="0"/>
          <w:sz w:val="24"/>
        </w:rPr>
        <w:t>（</w:t>
      </w:r>
      <w:r>
        <w:rPr>
          <w:snapToGrid w:val="0"/>
          <w:color w:val="000000"/>
          <w:kern w:val="0"/>
          <w:sz w:val="24"/>
        </w:rPr>
        <w:t>4</w:t>
      </w:r>
      <w:r>
        <w:rPr>
          <w:snapToGrid w:val="0"/>
          <w:color w:val="000000"/>
          <w:kern w:val="0"/>
          <w:sz w:val="24"/>
        </w:rPr>
        <w:t>）监测方法</w:t>
      </w:r>
    </w:p>
    <w:p w14:paraId="6DC5B2B7" w14:textId="77777777" w:rsidR="00606029" w:rsidRDefault="00EA5B92">
      <w:pPr>
        <w:pStyle w:val="affffff5"/>
      </w:pPr>
      <w:r>
        <w:t>表</w:t>
      </w:r>
      <w:r>
        <w:t xml:space="preserve">5.4-2 </w:t>
      </w:r>
      <w:r>
        <w:t>检测分析方法（噪声）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7"/>
        <w:gridCol w:w="2687"/>
        <w:gridCol w:w="3481"/>
        <w:gridCol w:w="1389"/>
      </w:tblGrid>
      <w:tr w:rsidR="00606029" w14:paraId="56ADC59B" w14:textId="77777777" w:rsidTr="001E6EF7">
        <w:trPr>
          <w:trHeight w:val="57"/>
          <w:jc w:val="center"/>
        </w:trPr>
        <w:tc>
          <w:tcPr>
            <w:tcW w:w="1277" w:type="dxa"/>
            <w:tcBorders>
              <w:tl2br w:val="nil"/>
              <w:tr2bl w:val="nil"/>
            </w:tcBorders>
            <w:vAlign w:val="center"/>
          </w:tcPr>
          <w:p w14:paraId="546615A2" w14:textId="77777777" w:rsidR="00606029" w:rsidRDefault="00EA5B92">
            <w:pPr>
              <w:adjustRightInd w:val="0"/>
              <w:snapToGrid w:val="0"/>
              <w:spacing w:line="280" w:lineRule="exact"/>
              <w:jc w:val="center"/>
            </w:pPr>
            <w:r>
              <w:t>检测项目</w:t>
            </w:r>
          </w:p>
        </w:tc>
        <w:tc>
          <w:tcPr>
            <w:tcW w:w="2687" w:type="dxa"/>
            <w:tcBorders>
              <w:tl2br w:val="nil"/>
              <w:tr2bl w:val="nil"/>
            </w:tcBorders>
            <w:vAlign w:val="center"/>
          </w:tcPr>
          <w:p w14:paraId="6B58CB21" w14:textId="77777777" w:rsidR="00606029" w:rsidRDefault="00EA5B92">
            <w:pPr>
              <w:adjustRightInd w:val="0"/>
              <w:snapToGrid w:val="0"/>
              <w:spacing w:line="280" w:lineRule="exact"/>
              <w:jc w:val="center"/>
            </w:pPr>
            <w:r>
              <w:t>检测分析方法及来源</w:t>
            </w:r>
          </w:p>
        </w:tc>
        <w:tc>
          <w:tcPr>
            <w:tcW w:w="3481" w:type="dxa"/>
            <w:tcBorders>
              <w:tl2br w:val="nil"/>
              <w:tr2bl w:val="nil"/>
            </w:tcBorders>
            <w:vAlign w:val="center"/>
          </w:tcPr>
          <w:p w14:paraId="4875A4AD" w14:textId="77777777" w:rsidR="00606029" w:rsidRDefault="00EA5B92">
            <w:pPr>
              <w:adjustRightInd w:val="0"/>
              <w:snapToGrid w:val="0"/>
              <w:spacing w:line="280" w:lineRule="exact"/>
              <w:jc w:val="center"/>
            </w:pPr>
            <w:r>
              <w:t>仪器名称</w:t>
            </w:r>
            <w:r>
              <w:t>/</w:t>
            </w:r>
            <w:r>
              <w:t>型号</w:t>
            </w:r>
          </w:p>
        </w:tc>
        <w:tc>
          <w:tcPr>
            <w:tcW w:w="1389" w:type="dxa"/>
            <w:tcBorders>
              <w:tl2br w:val="nil"/>
              <w:tr2bl w:val="nil"/>
            </w:tcBorders>
            <w:vAlign w:val="center"/>
          </w:tcPr>
          <w:p w14:paraId="643B6C11" w14:textId="77777777" w:rsidR="00606029" w:rsidRDefault="00EA5B92">
            <w:pPr>
              <w:adjustRightInd w:val="0"/>
              <w:snapToGrid w:val="0"/>
              <w:spacing w:line="280" w:lineRule="exact"/>
              <w:jc w:val="center"/>
            </w:pPr>
            <w:r>
              <w:t>方法检出限</w:t>
            </w:r>
          </w:p>
        </w:tc>
      </w:tr>
      <w:tr w:rsidR="001E6EF7" w14:paraId="178C0745" w14:textId="77777777" w:rsidTr="001E6EF7">
        <w:trPr>
          <w:trHeight w:val="57"/>
          <w:jc w:val="center"/>
        </w:trPr>
        <w:tc>
          <w:tcPr>
            <w:tcW w:w="1277" w:type="dxa"/>
            <w:vAlign w:val="center"/>
          </w:tcPr>
          <w:p w14:paraId="6382A7B1" w14:textId="36DB80B5" w:rsidR="001E6EF7" w:rsidRDefault="001E6EF7" w:rsidP="001E6EF7">
            <w:pPr>
              <w:adjustRightInd w:val="0"/>
              <w:snapToGrid w:val="0"/>
              <w:spacing w:line="280" w:lineRule="exact"/>
              <w:jc w:val="center"/>
            </w:pPr>
            <w:r>
              <w:t>环境噪声</w:t>
            </w:r>
          </w:p>
        </w:tc>
        <w:tc>
          <w:tcPr>
            <w:tcW w:w="2687" w:type="dxa"/>
            <w:vAlign w:val="center"/>
          </w:tcPr>
          <w:p w14:paraId="26683015" w14:textId="0406F578" w:rsidR="001E6EF7" w:rsidRDefault="001E6EF7" w:rsidP="001E6EF7">
            <w:pPr>
              <w:adjustRightInd w:val="0"/>
              <w:snapToGrid w:val="0"/>
              <w:spacing w:line="280" w:lineRule="exact"/>
              <w:jc w:val="center"/>
            </w:pPr>
            <w:r>
              <w:rPr>
                <w:lang w:val="zh-CN"/>
              </w:rPr>
              <w:t>声环境质量标准</w:t>
            </w:r>
          </w:p>
        </w:tc>
        <w:tc>
          <w:tcPr>
            <w:tcW w:w="3481" w:type="dxa"/>
            <w:tcBorders>
              <w:tl2br w:val="nil"/>
              <w:tr2bl w:val="nil"/>
            </w:tcBorders>
            <w:vAlign w:val="center"/>
          </w:tcPr>
          <w:p w14:paraId="060955FF" w14:textId="0301803F" w:rsidR="001E6EF7" w:rsidRDefault="001E6EF7" w:rsidP="001E6EF7">
            <w:pPr>
              <w:adjustRightInd w:val="0"/>
              <w:snapToGrid w:val="0"/>
              <w:spacing w:line="280" w:lineRule="exact"/>
            </w:pPr>
            <w:r>
              <w:rPr>
                <w:rFonts w:hint="eastAsia"/>
              </w:rPr>
              <w:t>AWA6292</w:t>
            </w:r>
            <w:r>
              <w:rPr>
                <w:rFonts w:hint="eastAsia"/>
              </w:rPr>
              <w:t>型多功能声级计</w:t>
            </w:r>
            <w:r>
              <w:t>910729</w:t>
            </w:r>
          </w:p>
        </w:tc>
        <w:tc>
          <w:tcPr>
            <w:tcW w:w="1389" w:type="dxa"/>
            <w:tcBorders>
              <w:tl2br w:val="nil"/>
              <w:tr2bl w:val="nil"/>
            </w:tcBorders>
            <w:vAlign w:val="center"/>
          </w:tcPr>
          <w:p w14:paraId="2F34CC3D" w14:textId="77777777" w:rsidR="001E6EF7" w:rsidRDefault="001E6EF7" w:rsidP="001E6EF7">
            <w:pPr>
              <w:adjustRightInd w:val="0"/>
              <w:snapToGrid w:val="0"/>
              <w:spacing w:line="280" w:lineRule="exact"/>
              <w:jc w:val="center"/>
            </w:pPr>
            <w:r>
              <w:t>/</w:t>
            </w:r>
          </w:p>
        </w:tc>
      </w:tr>
    </w:tbl>
    <w:p w14:paraId="71FFA400" w14:textId="77777777" w:rsidR="00606029" w:rsidRDefault="00EA5B92">
      <w:pPr>
        <w:widowControl/>
        <w:autoSpaceDE w:val="0"/>
        <w:autoSpaceDN w:val="0"/>
        <w:adjustRightInd w:val="0"/>
        <w:snapToGrid w:val="0"/>
        <w:spacing w:beforeLines="50" w:before="120" w:line="360" w:lineRule="auto"/>
        <w:ind w:firstLineChars="200" w:firstLine="480"/>
        <w:textAlignment w:val="baseline"/>
        <w:rPr>
          <w:snapToGrid w:val="0"/>
          <w:color w:val="000000"/>
          <w:kern w:val="0"/>
          <w:sz w:val="24"/>
        </w:rPr>
      </w:pPr>
      <w:r>
        <w:rPr>
          <w:snapToGrid w:val="0"/>
          <w:color w:val="000000"/>
          <w:kern w:val="0"/>
          <w:sz w:val="24"/>
        </w:rPr>
        <w:t>（</w:t>
      </w:r>
      <w:r>
        <w:rPr>
          <w:snapToGrid w:val="0"/>
          <w:color w:val="000000"/>
          <w:kern w:val="0"/>
          <w:sz w:val="24"/>
        </w:rPr>
        <w:t>5</w:t>
      </w:r>
      <w:r>
        <w:rPr>
          <w:snapToGrid w:val="0"/>
          <w:color w:val="000000"/>
          <w:kern w:val="0"/>
          <w:sz w:val="24"/>
        </w:rPr>
        <w:t>）现状评价</w:t>
      </w:r>
    </w:p>
    <w:p w14:paraId="77438E34" w14:textId="77777777" w:rsidR="00606029" w:rsidRDefault="00EA5B92">
      <w:pPr>
        <w:pStyle w:val="affffff4"/>
      </w:pPr>
      <w:r>
        <w:t>①</w:t>
      </w:r>
      <w:r>
        <w:t>评价标准</w:t>
      </w:r>
    </w:p>
    <w:p w14:paraId="75B36AFB" w14:textId="77777777" w:rsidR="00606029" w:rsidRDefault="00EA5B92">
      <w:pPr>
        <w:pStyle w:val="affffff4"/>
      </w:pPr>
      <w:r>
        <w:t>评价标准执行《声环境质量标准》（</w:t>
      </w:r>
      <w:r>
        <w:t>GB3096-2008</w:t>
      </w:r>
      <w:r>
        <w:t>）中的</w:t>
      </w:r>
      <w:r>
        <w:t>2</w:t>
      </w:r>
      <w:r>
        <w:t>类区标准。</w:t>
      </w:r>
    </w:p>
    <w:p w14:paraId="7F1C1664" w14:textId="77777777" w:rsidR="00606029" w:rsidRDefault="00EA5B92">
      <w:pPr>
        <w:pStyle w:val="affffff4"/>
      </w:pPr>
      <w:r>
        <w:t>②</w:t>
      </w:r>
      <w:r>
        <w:t>评价方法</w:t>
      </w:r>
    </w:p>
    <w:p w14:paraId="7393FA3A" w14:textId="389B070B" w:rsidR="00606029" w:rsidRDefault="00EA5B92">
      <w:pPr>
        <w:pStyle w:val="affffff4"/>
      </w:pPr>
      <w:r>
        <w:t>采用超标值法，公式如下</w:t>
      </w:r>
      <w:r w:rsidR="006A52CC">
        <w:t>：</w:t>
      </w:r>
    </w:p>
    <w:p w14:paraId="0EF385AC" w14:textId="77777777" w:rsidR="00606029" w:rsidRDefault="00EA5B92">
      <w:pPr>
        <w:autoSpaceDE w:val="0"/>
        <w:autoSpaceDN w:val="0"/>
        <w:adjustRightInd w:val="0"/>
        <w:snapToGrid w:val="0"/>
        <w:spacing w:line="360" w:lineRule="auto"/>
        <w:ind w:firstLineChars="200" w:firstLine="480"/>
        <w:jc w:val="center"/>
        <w:textAlignment w:val="baseline"/>
        <w:rPr>
          <w:bCs/>
          <w:snapToGrid w:val="0"/>
          <w:sz w:val="24"/>
          <w:szCs w:val="24"/>
          <w:vertAlign w:val="subscript"/>
        </w:rPr>
      </w:pPr>
      <w:r>
        <w:rPr>
          <w:bCs/>
          <w:snapToGrid w:val="0"/>
          <w:sz w:val="24"/>
          <w:szCs w:val="24"/>
        </w:rPr>
        <w:t>P</w:t>
      </w:r>
      <w:r>
        <w:rPr>
          <w:bCs/>
          <w:snapToGrid w:val="0"/>
          <w:sz w:val="24"/>
          <w:szCs w:val="24"/>
          <w:vertAlign w:val="subscript"/>
        </w:rPr>
        <w:t>i</w:t>
      </w:r>
      <w:r>
        <w:rPr>
          <w:bCs/>
          <w:snapToGrid w:val="0"/>
          <w:sz w:val="24"/>
          <w:szCs w:val="24"/>
        </w:rPr>
        <w:t>=L</w:t>
      </w:r>
      <w:r>
        <w:rPr>
          <w:bCs/>
          <w:snapToGrid w:val="0"/>
          <w:sz w:val="24"/>
          <w:szCs w:val="24"/>
          <w:vertAlign w:val="subscript"/>
        </w:rPr>
        <w:t>i</w:t>
      </w:r>
      <w:r>
        <w:rPr>
          <w:bCs/>
          <w:snapToGrid w:val="0"/>
          <w:sz w:val="24"/>
          <w:szCs w:val="24"/>
        </w:rPr>
        <w:t>-L</w:t>
      </w:r>
      <w:r>
        <w:rPr>
          <w:bCs/>
          <w:snapToGrid w:val="0"/>
          <w:sz w:val="24"/>
          <w:szCs w:val="24"/>
          <w:vertAlign w:val="subscript"/>
        </w:rPr>
        <w:t>0</w:t>
      </w:r>
    </w:p>
    <w:p w14:paraId="2F5BE20A" w14:textId="36A9F458" w:rsidR="00606029" w:rsidRDefault="00EA5B92">
      <w:pPr>
        <w:autoSpaceDE w:val="0"/>
        <w:autoSpaceDN w:val="0"/>
        <w:adjustRightInd w:val="0"/>
        <w:snapToGrid w:val="0"/>
        <w:spacing w:line="360" w:lineRule="auto"/>
        <w:ind w:firstLineChars="100" w:firstLine="240"/>
        <w:jc w:val="left"/>
        <w:textAlignment w:val="baseline"/>
        <w:rPr>
          <w:snapToGrid w:val="0"/>
          <w:sz w:val="24"/>
          <w:szCs w:val="24"/>
        </w:rPr>
      </w:pPr>
      <w:r>
        <w:rPr>
          <w:snapToGrid w:val="0"/>
          <w:sz w:val="24"/>
          <w:szCs w:val="24"/>
        </w:rPr>
        <w:t>式中</w:t>
      </w:r>
      <w:r w:rsidR="006A52CC">
        <w:rPr>
          <w:snapToGrid w:val="0"/>
          <w:sz w:val="24"/>
          <w:szCs w:val="24"/>
        </w:rPr>
        <w:t>：</w:t>
      </w:r>
      <w:r>
        <w:rPr>
          <w:snapToGrid w:val="0"/>
          <w:sz w:val="24"/>
          <w:szCs w:val="24"/>
        </w:rPr>
        <w:t>P</w:t>
      </w:r>
      <w:r>
        <w:rPr>
          <w:snapToGrid w:val="0"/>
          <w:sz w:val="24"/>
          <w:szCs w:val="24"/>
          <w:vertAlign w:val="subscript"/>
        </w:rPr>
        <w:t>i</w:t>
      </w:r>
      <w:r>
        <w:rPr>
          <w:snapToGrid w:val="0"/>
          <w:sz w:val="24"/>
          <w:szCs w:val="24"/>
        </w:rPr>
        <w:t>—</w:t>
      </w:r>
      <w:r>
        <w:rPr>
          <w:snapToGrid w:val="0"/>
          <w:sz w:val="24"/>
          <w:szCs w:val="24"/>
        </w:rPr>
        <w:t>监测点的超标值，</w:t>
      </w:r>
      <w:r>
        <w:rPr>
          <w:snapToGrid w:val="0"/>
          <w:sz w:val="24"/>
          <w:szCs w:val="24"/>
        </w:rPr>
        <w:t>dB</w:t>
      </w:r>
      <w:r>
        <w:rPr>
          <w:snapToGrid w:val="0"/>
          <w:sz w:val="24"/>
          <w:szCs w:val="24"/>
        </w:rPr>
        <w:t>；</w:t>
      </w:r>
    </w:p>
    <w:p w14:paraId="72FB6934" w14:textId="77777777" w:rsidR="00606029" w:rsidRDefault="00EA5B92">
      <w:pPr>
        <w:autoSpaceDE w:val="0"/>
        <w:autoSpaceDN w:val="0"/>
        <w:adjustRightInd w:val="0"/>
        <w:snapToGrid w:val="0"/>
        <w:spacing w:line="360" w:lineRule="auto"/>
        <w:ind w:firstLineChars="200" w:firstLine="480"/>
        <w:jc w:val="left"/>
        <w:textAlignment w:val="baseline"/>
        <w:rPr>
          <w:snapToGrid w:val="0"/>
          <w:sz w:val="24"/>
          <w:szCs w:val="24"/>
        </w:rPr>
      </w:pPr>
      <w:r>
        <w:rPr>
          <w:snapToGrid w:val="0"/>
          <w:sz w:val="24"/>
          <w:szCs w:val="24"/>
        </w:rPr>
        <w:t>L</w:t>
      </w:r>
      <w:r>
        <w:rPr>
          <w:snapToGrid w:val="0"/>
          <w:sz w:val="24"/>
          <w:szCs w:val="24"/>
          <w:vertAlign w:val="subscript"/>
        </w:rPr>
        <w:t>i</w:t>
      </w:r>
      <w:r>
        <w:rPr>
          <w:snapToGrid w:val="0"/>
          <w:sz w:val="24"/>
          <w:szCs w:val="24"/>
        </w:rPr>
        <w:t>—</w:t>
      </w:r>
      <w:r>
        <w:rPr>
          <w:snapToGrid w:val="0"/>
          <w:sz w:val="24"/>
          <w:szCs w:val="24"/>
        </w:rPr>
        <w:t>监测点的噪声监测值，</w:t>
      </w:r>
      <w:r>
        <w:rPr>
          <w:snapToGrid w:val="0"/>
          <w:sz w:val="24"/>
          <w:szCs w:val="24"/>
        </w:rPr>
        <w:t>dB</w:t>
      </w:r>
      <w:r>
        <w:rPr>
          <w:snapToGrid w:val="0"/>
          <w:sz w:val="24"/>
          <w:szCs w:val="24"/>
        </w:rPr>
        <w:t>；</w:t>
      </w:r>
      <w:r>
        <w:rPr>
          <w:snapToGrid w:val="0"/>
          <w:sz w:val="24"/>
          <w:szCs w:val="24"/>
        </w:rPr>
        <w:t>L</w:t>
      </w:r>
      <w:r>
        <w:rPr>
          <w:snapToGrid w:val="0"/>
          <w:sz w:val="24"/>
          <w:szCs w:val="24"/>
          <w:vertAlign w:val="subscript"/>
        </w:rPr>
        <w:t>0</w:t>
      </w:r>
      <w:r>
        <w:rPr>
          <w:snapToGrid w:val="0"/>
          <w:sz w:val="24"/>
          <w:szCs w:val="24"/>
        </w:rPr>
        <w:t>—</w:t>
      </w:r>
      <w:r>
        <w:rPr>
          <w:snapToGrid w:val="0"/>
          <w:sz w:val="24"/>
          <w:szCs w:val="24"/>
        </w:rPr>
        <w:t>适用标准，</w:t>
      </w:r>
      <w:r>
        <w:rPr>
          <w:snapToGrid w:val="0"/>
          <w:sz w:val="24"/>
          <w:szCs w:val="24"/>
        </w:rPr>
        <w:t>dB</w:t>
      </w:r>
      <w:r>
        <w:rPr>
          <w:snapToGrid w:val="0"/>
          <w:sz w:val="24"/>
          <w:szCs w:val="24"/>
        </w:rPr>
        <w:t>；</w:t>
      </w:r>
    </w:p>
    <w:p w14:paraId="31FFEC59" w14:textId="77777777" w:rsidR="00606029" w:rsidRDefault="00EA5B92">
      <w:pPr>
        <w:autoSpaceDE w:val="0"/>
        <w:autoSpaceDN w:val="0"/>
        <w:adjustRightInd w:val="0"/>
        <w:snapToGrid w:val="0"/>
        <w:spacing w:line="360" w:lineRule="auto"/>
        <w:ind w:firstLineChars="200" w:firstLine="480"/>
        <w:jc w:val="left"/>
        <w:textAlignment w:val="baseline"/>
        <w:rPr>
          <w:snapToGrid w:val="0"/>
          <w:sz w:val="24"/>
          <w:szCs w:val="24"/>
        </w:rPr>
      </w:pPr>
      <w:r>
        <w:rPr>
          <w:snapToGrid w:val="0"/>
          <w:sz w:val="24"/>
          <w:szCs w:val="24"/>
        </w:rPr>
        <w:t>P</w:t>
      </w:r>
      <w:r>
        <w:rPr>
          <w:snapToGrid w:val="0"/>
          <w:sz w:val="24"/>
          <w:szCs w:val="24"/>
          <w:vertAlign w:val="subscript"/>
        </w:rPr>
        <w:t>i</w:t>
      </w:r>
      <w:r>
        <w:rPr>
          <w:snapToGrid w:val="0"/>
          <w:sz w:val="24"/>
          <w:szCs w:val="24"/>
        </w:rPr>
        <w:t>≤0</w:t>
      </w:r>
      <w:r>
        <w:rPr>
          <w:snapToGrid w:val="0"/>
          <w:sz w:val="24"/>
          <w:szCs w:val="24"/>
        </w:rPr>
        <w:t>，表明该监测点噪声达到相应标准；</w:t>
      </w:r>
    </w:p>
    <w:p w14:paraId="421AE0EF" w14:textId="77777777" w:rsidR="00606029" w:rsidRDefault="00EA5B92">
      <w:pPr>
        <w:autoSpaceDE w:val="0"/>
        <w:autoSpaceDN w:val="0"/>
        <w:adjustRightInd w:val="0"/>
        <w:snapToGrid w:val="0"/>
        <w:spacing w:line="360" w:lineRule="auto"/>
        <w:ind w:firstLineChars="200" w:firstLine="480"/>
        <w:jc w:val="left"/>
        <w:textAlignment w:val="baseline"/>
        <w:rPr>
          <w:snapToGrid w:val="0"/>
          <w:sz w:val="24"/>
          <w:szCs w:val="24"/>
        </w:rPr>
      </w:pPr>
      <w:r>
        <w:rPr>
          <w:snapToGrid w:val="0"/>
          <w:sz w:val="24"/>
          <w:szCs w:val="24"/>
        </w:rPr>
        <w:t>P</w:t>
      </w:r>
      <w:r>
        <w:rPr>
          <w:snapToGrid w:val="0"/>
          <w:sz w:val="24"/>
          <w:szCs w:val="24"/>
          <w:vertAlign w:val="subscript"/>
        </w:rPr>
        <w:t>i</w:t>
      </w:r>
      <w:r>
        <w:rPr>
          <w:snapToGrid w:val="0"/>
          <w:sz w:val="24"/>
          <w:szCs w:val="24"/>
        </w:rPr>
        <w:t>&gt;0</w:t>
      </w:r>
      <w:r>
        <w:rPr>
          <w:snapToGrid w:val="0"/>
          <w:sz w:val="24"/>
          <w:szCs w:val="24"/>
        </w:rPr>
        <w:t>，表明该监测点噪声超过相应标准。</w:t>
      </w:r>
    </w:p>
    <w:p w14:paraId="1C33F90F" w14:textId="77777777" w:rsidR="00606029" w:rsidRDefault="00EA5B92">
      <w:pPr>
        <w:autoSpaceDE w:val="0"/>
        <w:autoSpaceDN w:val="0"/>
        <w:adjustRightInd w:val="0"/>
        <w:snapToGrid w:val="0"/>
        <w:spacing w:line="360" w:lineRule="auto"/>
        <w:ind w:firstLineChars="200" w:firstLine="480"/>
        <w:jc w:val="left"/>
        <w:textAlignment w:val="baseline"/>
        <w:rPr>
          <w:snapToGrid w:val="0"/>
          <w:sz w:val="24"/>
          <w:szCs w:val="24"/>
        </w:rPr>
      </w:pPr>
      <w:r>
        <w:rPr>
          <w:snapToGrid w:val="0"/>
          <w:sz w:val="24"/>
          <w:szCs w:val="24"/>
        </w:rPr>
        <w:t>③</w:t>
      </w:r>
      <w:r>
        <w:rPr>
          <w:snapToGrid w:val="0"/>
          <w:sz w:val="24"/>
          <w:szCs w:val="24"/>
        </w:rPr>
        <w:t>监测统计及评价结果</w:t>
      </w:r>
    </w:p>
    <w:p w14:paraId="10E66BD3" w14:textId="4071FC8C" w:rsidR="00606029" w:rsidRDefault="00EA5B92">
      <w:pPr>
        <w:autoSpaceDE w:val="0"/>
        <w:autoSpaceDN w:val="0"/>
        <w:adjustRightInd w:val="0"/>
        <w:snapToGrid w:val="0"/>
        <w:ind w:firstLineChars="200" w:firstLine="422"/>
        <w:jc w:val="center"/>
        <w:textAlignment w:val="baseline"/>
        <w:rPr>
          <w:b/>
          <w:bCs/>
          <w:snapToGrid w:val="0"/>
        </w:rPr>
      </w:pPr>
      <w:r>
        <w:rPr>
          <w:b/>
          <w:bCs/>
          <w:snapToGrid w:val="0"/>
        </w:rPr>
        <w:t>表</w:t>
      </w:r>
      <w:r>
        <w:rPr>
          <w:b/>
          <w:bCs/>
          <w:snapToGrid w:val="0"/>
        </w:rPr>
        <w:t xml:space="preserve">5.4-3  </w:t>
      </w:r>
      <w:r>
        <w:rPr>
          <w:b/>
          <w:bCs/>
          <w:snapToGrid w:val="0"/>
        </w:rPr>
        <w:t>声环境质量现状监测结果统计一览表（单位</w:t>
      </w:r>
      <w:r w:rsidR="006A52CC">
        <w:rPr>
          <w:b/>
          <w:bCs/>
          <w:snapToGrid w:val="0"/>
        </w:rPr>
        <w:t>：</w:t>
      </w:r>
      <w:r>
        <w:rPr>
          <w:b/>
          <w:bCs/>
          <w:snapToGrid w:val="0"/>
        </w:rPr>
        <w:t>dB</w:t>
      </w:r>
      <w:r>
        <w:rPr>
          <w:b/>
          <w:bCs/>
          <w:snapToGrid w:val="0"/>
        </w:rPr>
        <w:t>（</w:t>
      </w:r>
      <w:r>
        <w:rPr>
          <w:b/>
          <w:bCs/>
          <w:snapToGrid w:val="0"/>
        </w:rPr>
        <w:t>A</w:t>
      </w:r>
      <w:r>
        <w:rPr>
          <w:b/>
          <w:bCs/>
          <w:snapToGrid w:val="0"/>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9"/>
        <w:gridCol w:w="1219"/>
        <w:gridCol w:w="1161"/>
        <w:gridCol w:w="834"/>
        <w:gridCol w:w="1541"/>
        <w:gridCol w:w="2557"/>
        <w:gridCol w:w="753"/>
      </w:tblGrid>
      <w:tr w:rsidR="00606029" w14:paraId="0838CE39" w14:textId="77777777" w:rsidTr="00C07D5B">
        <w:trPr>
          <w:trHeight w:val="57"/>
        </w:trPr>
        <w:tc>
          <w:tcPr>
            <w:tcW w:w="436" w:type="pct"/>
            <w:vMerge w:val="restart"/>
            <w:vAlign w:val="center"/>
          </w:tcPr>
          <w:p w14:paraId="72C33A0B" w14:textId="77777777" w:rsidR="00606029" w:rsidRDefault="00EA5B92">
            <w:pPr>
              <w:adjustRightInd w:val="0"/>
              <w:snapToGrid w:val="0"/>
              <w:jc w:val="center"/>
              <w:rPr>
                <w:color w:val="000000"/>
              </w:rPr>
            </w:pPr>
            <w:r>
              <w:rPr>
                <w:color w:val="000000"/>
              </w:rPr>
              <w:t>测点编号</w:t>
            </w:r>
          </w:p>
        </w:tc>
        <w:tc>
          <w:tcPr>
            <w:tcW w:w="690" w:type="pct"/>
            <w:vMerge w:val="restart"/>
            <w:vAlign w:val="center"/>
          </w:tcPr>
          <w:p w14:paraId="4696A145" w14:textId="77777777" w:rsidR="00606029" w:rsidRDefault="00EA5B92">
            <w:pPr>
              <w:adjustRightInd w:val="0"/>
              <w:snapToGrid w:val="0"/>
              <w:jc w:val="center"/>
              <w:rPr>
                <w:color w:val="000000"/>
              </w:rPr>
            </w:pPr>
            <w:r>
              <w:rPr>
                <w:color w:val="000000"/>
              </w:rPr>
              <w:t>检测点名称</w:t>
            </w:r>
          </w:p>
        </w:tc>
        <w:tc>
          <w:tcPr>
            <w:tcW w:w="657" w:type="pct"/>
            <w:vMerge w:val="restart"/>
            <w:vAlign w:val="center"/>
          </w:tcPr>
          <w:p w14:paraId="1BB5B5DA" w14:textId="77777777" w:rsidR="00606029" w:rsidRDefault="00EA5B92">
            <w:pPr>
              <w:adjustRightInd w:val="0"/>
              <w:snapToGrid w:val="0"/>
              <w:jc w:val="center"/>
              <w:rPr>
                <w:color w:val="000000"/>
              </w:rPr>
            </w:pPr>
            <w:r>
              <w:rPr>
                <w:color w:val="000000"/>
              </w:rPr>
              <w:t>检测日期</w:t>
            </w:r>
          </w:p>
        </w:tc>
        <w:tc>
          <w:tcPr>
            <w:tcW w:w="1344" w:type="pct"/>
            <w:gridSpan w:val="2"/>
            <w:vAlign w:val="center"/>
          </w:tcPr>
          <w:p w14:paraId="250E213F" w14:textId="77777777" w:rsidR="00606029" w:rsidRDefault="00EA5B92">
            <w:pPr>
              <w:adjustRightInd w:val="0"/>
              <w:snapToGrid w:val="0"/>
              <w:jc w:val="center"/>
              <w:rPr>
                <w:color w:val="000000"/>
              </w:rPr>
            </w:pPr>
            <w:r>
              <w:rPr>
                <w:color w:val="000000"/>
              </w:rPr>
              <w:t>检测结果</w:t>
            </w:r>
            <w:r>
              <w:rPr>
                <w:color w:val="000000"/>
              </w:rPr>
              <w:t>Leq dB</w:t>
            </w:r>
            <w:r>
              <w:rPr>
                <w:color w:val="000000"/>
              </w:rPr>
              <w:t>（</w:t>
            </w:r>
            <w:r>
              <w:rPr>
                <w:color w:val="000000"/>
              </w:rPr>
              <w:t>A</w:t>
            </w:r>
            <w:r>
              <w:rPr>
                <w:color w:val="000000"/>
              </w:rPr>
              <w:t>）</w:t>
            </w:r>
          </w:p>
        </w:tc>
        <w:tc>
          <w:tcPr>
            <w:tcW w:w="1447" w:type="pct"/>
            <w:vMerge w:val="restart"/>
            <w:vAlign w:val="center"/>
          </w:tcPr>
          <w:p w14:paraId="2A1E3871" w14:textId="7B3F337C" w:rsidR="00606029" w:rsidRDefault="00EA5B92">
            <w:pPr>
              <w:adjustRightInd w:val="0"/>
              <w:snapToGrid w:val="0"/>
              <w:jc w:val="center"/>
              <w:rPr>
                <w:color w:val="000000"/>
              </w:rPr>
            </w:pPr>
            <w:r>
              <w:rPr>
                <w:color w:val="000000"/>
              </w:rPr>
              <w:t>《声环境质量标准》（</w:t>
            </w:r>
            <w:r>
              <w:rPr>
                <w:color w:val="000000"/>
              </w:rPr>
              <w:t>GB3096-2008</w:t>
            </w:r>
            <w:r>
              <w:rPr>
                <w:color w:val="000000"/>
              </w:rPr>
              <w:t>）</w:t>
            </w:r>
            <w:r>
              <w:rPr>
                <w:color w:val="000000"/>
              </w:rPr>
              <w:t>2</w:t>
            </w:r>
            <w:r>
              <w:rPr>
                <w:color w:val="000000"/>
              </w:rPr>
              <w:t>类</w:t>
            </w:r>
          </w:p>
        </w:tc>
        <w:tc>
          <w:tcPr>
            <w:tcW w:w="427" w:type="pct"/>
            <w:vMerge w:val="restart"/>
            <w:vAlign w:val="center"/>
          </w:tcPr>
          <w:p w14:paraId="6468169F" w14:textId="77777777" w:rsidR="00606029" w:rsidRDefault="00EA5B92">
            <w:pPr>
              <w:adjustRightInd w:val="0"/>
              <w:snapToGrid w:val="0"/>
              <w:jc w:val="center"/>
              <w:rPr>
                <w:color w:val="000000"/>
              </w:rPr>
            </w:pPr>
            <w:r>
              <w:rPr>
                <w:color w:val="000000"/>
              </w:rPr>
              <w:t>达标情况</w:t>
            </w:r>
          </w:p>
        </w:tc>
      </w:tr>
      <w:tr w:rsidR="00606029" w14:paraId="70D4D996" w14:textId="77777777" w:rsidTr="00C07D5B">
        <w:trPr>
          <w:trHeight w:val="57"/>
        </w:trPr>
        <w:tc>
          <w:tcPr>
            <w:tcW w:w="436" w:type="pct"/>
            <w:vMerge/>
            <w:vAlign w:val="center"/>
          </w:tcPr>
          <w:p w14:paraId="064C08DF" w14:textId="77777777" w:rsidR="00606029" w:rsidRDefault="00606029">
            <w:pPr>
              <w:adjustRightInd w:val="0"/>
              <w:snapToGrid w:val="0"/>
              <w:jc w:val="center"/>
              <w:rPr>
                <w:color w:val="000000"/>
              </w:rPr>
            </w:pPr>
          </w:p>
        </w:tc>
        <w:tc>
          <w:tcPr>
            <w:tcW w:w="690" w:type="pct"/>
            <w:vMerge/>
            <w:vAlign w:val="center"/>
          </w:tcPr>
          <w:p w14:paraId="2DFD1447" w14:textId="77777777" w:rsidR="00606029" w:rsidRDefault="00606029">
            <w:pPr>
              <w:adjustRightInd w:val="0"/>
              <w:snapToGrid w:val="0"/>
              <w:jc w:val="center"/>
              <w:rPr>
                <w:color w:val="000000"/>
              </w:rPr>
            </w:pPr>
          </w:p>
        </w:tc>
        <w:tc>
          <w:tcPr>
            <w:tcW w:w="657" w:type="pct"/>
            <w:vMerge/>
            <w:vAlign w:val="center"/>
          </w:tcPr>
          <w:p w14:paraId="60FFA349" w14:textId="77777777" w:rsidR="00606029" w:rsidRDefault="00606029">
            <w:pPr>
              <w:adjustRightInd w:val="0"/>
              <w:snapToGrid w:val="0"/>
              <w:jc w:val="center"/>
              <w:rPr>
                <w:color w:val="000000"/>
              </w:rPr>
            </w:pPr>
          </w:p>
        </w:tc>
        <w:tc>
          <w:tcPr>
            <w:tcW w:w="1344" w:type="pct"/>
            <w:gridSpan w:val="2"/>
            <w:vAlign w:val="center"/>
          </w:tcPr>
          <w:p w14:paraId="4A2809E6" w14:textId="3DABA4C6" w:rsidR="00606029" w:rsidRDefault="00EA5B92">
            <w:pPr>
              <w:adjustRightInd w:val="0"/>
              <w:snapToGrid w:val="0"/>
              <w:jc w:val="center"/>
              <w:rPr>
                <w:color w:val="000000"/>
              </w:rPr>
            </w:pPr>
            <w:r>
              <w:rPr>
                <w:color w:val="000000"/>
              </w:rPr>
              <w:t>单位</w:t>
            </w:r>
            <w:r w:rsidR="006A52CC">
              <w:rPr>
                <w:color w:val="000000"/>
              </w:rPr>
              <w:t>：</w:t>
            </w:r>
            <w:r>
              <w:rPr>
                <w:color w:val="000000"/>
              </w:rPr>
              <w:t>dB</w:t>
            </w:r>
            <w:r>
              <w:rPr>
                <w:color w:val="000000"/>
              </w:rPr>
              <w:t>（</w:t>
            </w:r>
            <w:r>
              <w:rPr>
                <w:color w:val="000000"/>
              </w:rPr>
              <w:t>A</w:t>
            </w:r>
            <w:r>
              <w:rPr>
                <w:color w:val="000000"/>
              </w:rPr>
              <w:t>）</w:t>
            </w:r>
          </w:p>
        </w:tc>
        <w:tc>
          <w:tcPr>
            <w:tcW w:w="1447" w:type="pct"/>
            <w:vMerge/>
            <w:vAlign w:val="center"/>
          </w:tcPr>
          <w:p w14:paraId="7D10A959" w14:textId="77777777" w:rsidR="00606029" w:rsidRDefault="00606029">
            <w:pPr>
              <w:adjustRightInd w:val="0"/>
              <w:snapToGrid w:val="0"/>
              <w:jc w:val="center"/>
              <w:rPr>
                <w:color w:val="000000"/>
              </w:rPr>
            </w:pPr>
          </w:p>
        </w:tc>
        <w:tc>
          <w:tcPr>
            <w:tcW w:w="427" w:type="pct"/>
            <w:vMerge/>
            <w:vAlign w:val="center"/>
          </w:tcPr>
          <w:p w14:paraId="033DB1A6" w14:textId="77777777" w:rsidR="00606029" w:rsidRDefault="00606029">
            <w:pPr>
              <w:adjustRightInd w:val="0"/>
              <w:snapToGrid w:val="0"/>
              <w:jc w:val="center"/>
              <w:rPr>
                <w:color w:val="000000"/>
              </w:rPr>
            </w:pPr>
          </w:p>
        </w:tc>
      </w:tr>
      <w:tr w:rsidR="00C07D5B" w14:paraId="513DE530" w14:textId="77777777" w:rsidTr="00C07D5B">
        <w:trPr>
          <w:trHeight w:val="57"/>
        </w:trPr>
        <w:tc>
          <w:tcPr>
            <w:tcW w:w="436" w:type="pct"/>
            <w:vMerge w:val="restart"/>
            <w:vAlign w:val="center"/>
          </w:tcPr>
          <w:p w14:paraId="30AC36BF" w14:textId="77777777" w:rsidR="00C07D5B" w:rsidRDefault="00C07D5B" w:rsidP="00C07D5B">
            <w:pPr>
              <w:tabs>
                <w:tab w:val="left" w:pos="900"/>
                <w:tab w:val="left" w:pos="1080"/>
              </w:tabs>
              <w:adjustRightInd w:val="0"/>
              <w:snapToGrid w:val="0"/>
              <w:jc w:val="center"/>
              <w:rPr>
                <w:color w:val="000000"/>
              </w:rPr>
            </w:pPr>
            <w:r>
              <w:rPr>
                <w:color w:val="000000"/>
              </w:rPr>
              <w:lastRenderedPageBreak/>
              <w:t>N1</w:t>
            </w:r>
          </w:p>
        </w:tc>
        <w:tc>
          <w:tcPr>
            <w:tcW w:w="690" w:type="pct"/>
            <w:vMerge w:val="restart"/>
            <w:vAlign w:val="center"/>
          </w:tcPr>
          <w:p w14:paraId="59BD137A" w14:textId="02B6F481" w:rsidR="00C07D5B" w:rsidRDefault="00C07D5B" w:rsidP="00C07D5B">
            <w:pPr>
              <w:adjustRightInd w:val="0"/>
              <w:snapToGrid w:val="0"/>
              <w:jc w:val="center"/>
              <w:rPr>
                <w:color w:val="000000"/>
              </w:rPr>
            </w:pPr>
            <w:r>
              <w:rPr>
                <w:rFonts w:hint="eastAsia"/>
                <w:bCs/>
              </w:rPr>
              <w:t>前进村</w:t>
            </w:r>
          </w:p>
        </w:tc>
        <w:tc>
          <w:tcPr>
            <w:tcW w:w="657" w:type="pct"/>
            <w:vAlign w:val="center"/>
          </w:tcPr>
          <w:p w14:paraId="45A12435" w14:textId="1D2F97C6" w:rsidR="00C07D5B" w:rsidRDefault="00C07D5B" w:rsidP="00C07D5B">
            <w:pPr>
              <w:adjustRightInd w:val="0"/>
              <w:snapToGrid w:val="0"/>
              <w:jc w:val="center"/>
              <w:rPr>
                <w:color w:val="000000"/>
                <w:kern w:val="0"/>
                <w:lang w:bidi="ar"/>
              </w:rPr>
            </w:pPr>
            <w:r>
              <w:rPr>
                <w:color w:val="000000"/>
                <w:kern w:val="0"/>
                <w:lang w:bidi="ar"/>
              </w:rPr>
              <w:t>202</w:t>
            </w:r>
            <w:r>
              <w:rPr>
                <w:rFonts w:hint="eastAsia"/>
                <w:color w:val="000000"/>
                <w:kern w:val="0"/>
                <w:lang w:bidi="ar"/>
              </w:rPr>
              <w:t>5.12.10</w:t>
            </w:r>
          </w:p>
        </w:tc>
        <w:tc>
          <w:tcPr>
            <w:tcW w:w="472" w:type="pct"/>
            <w:vAlign w:val="center"/>
          </w:tcPr>
          <w:p w14:paraId="51F6ECE1" w14:textId="77777777" w:rsidR="00C07D5B" w:rsidRDefault="00C07D5B" w:rsidP="00C07D5B">
            <w:pPr>
              <w:adjustRightInd w:val="0"/>
              <w:snapToGrid w:val="0"/>
              <w:jc w:val="center"/>
              <w:rPr>
                <w:color w:val="000000"/>
              </w:rPr>
            </w:pPr>
            <w:r>
              <w:rPr>
                <w:color w:val="000000"/>
              </w:rPr>
              <w:t>昼间</w:t>
            </w:r>
          </w:p>
        </w:tc>
        <w:tc>
          <w:tcPr>
            <w:tcW w:w="872" w:type="pct"/>
            <w:vAlign w:val="center"/>
          </w:tcPr>
          <w:p w14:paraId="08EA5599" w14:textId="7FE341DD" w:rsidR="00C07D5B" w:rsidRDefault="00C07D5B" w:rsidP="00C07D5B">
            <w:pPr>
              <w:adjustRightInd w:val="0"/>
              <w:snapToGrid w:val="0"/>
              <w:jc w:val="center"/>
              <w:rPr>
                <w:color w:val="000000"/>
              </w:rPr>
            </w:pPr>
            <w:r>
              <w:rPr>
                <w:rFonts w:hint="eastAsia"/>
                <w:color w:val="000000"/>
              </w:rPr>
              <w:t>52~53</w:t>
            </w:r>
          </w:p>
        </w:tc>
        <w:tc>
          <w:tcPr>
            <w:tcW w:w="1447" w:type="pct"/>
            <w:vAlign w:val="center"/>
          </w:tcPr>
          <w:p w14:paraId="20E28A9A" w14:textId="77777777" w:rsidR="00C07D5B" w:rsidRDefault="00C07D5B" w:rsidP="00C07D5B">
            <w:pPr>
              <w:adjustRightInd w:val="0"/>
              <w:snapToGrid w:val="0"/>
              <w:jc w:val="center"/>
              <w:rPr>
                <w:color w:val="000000"/>
              </w:rPr>
            </w:pPr>
            <w:r>
              <w:rPr>
                <w:color w:val="000000"/>
              </w:rPr>
              <w:t>60</w:t>
            </w:r>
          </w:p>
        </w:tc>
        <w:tc>
          <w:tcPr>
            <w:tcW w:w="427" w:type="pct"/>
            <w:vAlign w:val="center"/>
          </w:tcPr>
          <w:p w14:paraId="2DEBFC61" w14:textId="77777777" w:rsidR="00C07D5B" w:rsidRDefault="00C07D5B" w:rsidP="00C07D5B">
            <w:pPr>
              <w:adjustRightInd w:val="0"/>
              <w:snapToGrid w:val="0"/>
              <w:jc w:val="center"/>
              <w:rPr>
                <w:color w:val="000000"/>
              </w:rPr>
            </w:pPr>
            <w:r>
              <w:rPr>
                <w:color w:val="000000"/>
              </w:rPr>
              <w:t>达标</w:t>
            </w:r>
          </w:p>
        </w:tc>
      </w:tr>
      <w:tr w:rsidR="00C07D5B" w14:paraId="41C482B0" w14:textId="77777777" w:rsidTr="00C07D5B">
        <w:trPr>
          <w:trHeight w:val="57"/>
        </w:trPr>
        <w:tc>
          <w:tcPr>
            <w:tcW w:w="436" w:type="pct"/>
            <w:vMerge/>
            <w:vAlign w:val="center"/>
          </w:tcPr>
          <w:p w14:paraId="4E8E3502" w14:textId="77777777" w:rsidR="00C07D5B" w:rsidRDefault="00C07D5B" w:rsidP="00C07D5B">
            <w:pPr>
              <w:tabs>
                <w:tab w:val="left" w:pos="900"/>
                <w:tab w:val="left" w:pos="1080"/>
              </w:tabs>
              <w:adjustRightInd w:val="0"/>
              <w:snapToGrid w:val="0"/>
              <w:jc w:val="center"/>
              <w:rPr>
                <w:color w:val="000000"/>
              </w:rPr>
            </w:pPr>
          </w:p>
        </w:tc>
        <w:tc>
          <w:tcPr>
            <w:tcW w:w="690" w:type="pct"/>
            <w:vMerge/>
            <w:vAlign w:val="center"/>
          </w:tcPr>
          <w:p w14:paraId="40946E02" w14:textId="77777777" w:rsidR="00C07D5B" w:rsidRDefault="00C07D5B" w:rsidP="00C07D5B">
            <w:pPr>
              <w:adjustRightInd w:val="0"/>
              <w:snapToGrid w:val="0"/>
              <w:jc w:val="center"/>
              <w:rPr>
                <w:color w:val="000000"/>
              </w:rPr>
            </w:pPr>
          </w:p>
        </w:tc>
        <w:tc>
          <w:tcPr>
            <w:tcW w:w="657" w:type="pct"/>
            <w:vAlign w:val="center"/>
          </w:tcPr>
          <w:p w14:paraId="194D2C3A" w14:textId="71EB72FD" w:rsidR="00C07D5B" w:rsidRDefault="00C07D5B" w:rsidP="00C07D5B">
            <w:pPr>
              <w:adjustRightInd w:val="0"/>
              <w:snapToGrid w:val="0"/>
              <w:jc w:val="center"/>
              <w:rPr>
                <w:color w:val="000000"/>
                <w:kern w:val="0"/>
                <w:lang w:bidi="ar"/>
              </w:rPr>
            </w:pPr>
            <w:r>
              <w:rPr>
                <w:color w:val="000000"/>
                <w:kern w:val="0"/>
                <w:lang w:bidi="ar"/>
              </w:rPr>
              <w:t>202</w:t>
            </w:r>
            <w:r>
              <w:rPr>
                <w:rFonts w:hint="eastAsia"/>
                <w:color w:val="000000"/>
                <w:kern w:val="0"/>
                <w:lang w:bidi="ar"/>
              </w:rPr>
              <w:t>5.12.11</w:t>
            </w:r>
          </w:p>
        </w:tc>
        <w:tc>
          <w:tcPr>
            <w:tcW w:w="472" w:type="pct"/>
            <w:vAlign w:val="center"/>
          </w:tcPr>
          <w:p w14:paraId="40A67D52" w14:textId="77777777" w:rsidR="00C07D5B" w:rsidRDefault="00C07D5B" w:rsidP="00C07D5B">
            <w:pPr>
              <w:adjustRightInd w:val="0"/>
              <w:snapToGrid w:val="0"/>
              <w:jc w:val="center"/>
              <w:rPr>
                <w:color w:val="000000"/>
              </w:rPr>
            </w:pPr>
            <w:r>
              <w:rPr>
                <w:color w:val="000000"/>
              </w:rPr>
              <w:t>夜间</w:t>
            </w:r>
          </w:p>
        </w:tc>
        <w:tc>
          <w:tcPr>
            <w:tcW w:w="872" w:type="pct"/>
            <w:vAlign w:val="center"/>
          </w:tcPr>
          <w:p w14:paraId="4E227ADF" w14:textId="068B2547" w:rsidR="00C07D5B" w:rsidRDefault="00C07D5B" w:rsidP="00C07D5B">
            <w:pPr>
              <w:adjustRightInd w:val="0"/>
              <w:snapToGrid w:val="0"/>
              <w:jc w:val="center"/>
              <w:rPr>
                <w:color w:val="000000"/>
              </w:rPr>
            </w:pPr>
            <w:r>
              <w:rPr>
                <w:rFonts w:hint="eastAsia"/>
                <w:color w:val="000000"/>
              </w:rPr>
              <w:t>46~47</w:t>
            </w:r>
          </w:p>
        </w:tc>
        <w:tc>
          <w:tcPr>
            <w:tcW w:w="1447" w:type="pct"/>
            <w:vAlign w:val="center"/>
          </w:tcPr>
          <w:p w14:paraId="1BD08CD0" w14:textId="77777777" w:rsidR="00C07D5B" w:rsidRDefault="00C07D5B" w:rsidP="00C07D5B">
            <w:pPr>
              <w:adjustRightInd w:val="0"/>
              <w:snapToGrid w:val="0"/>
              <w:jc w:val="center"/>
              <w:rPr>
                <w:color w:val="000000"/>
              </w:rPr>
            </w:pPr>
            <w:r>
              <w:rPr>
                <w:color w:val="000000"/>
              </w:rPr>
              <w:t>50</w:t>
            </w:r>
          </w:p>
        </w:tc>
        <w:tc>
          <w:tcPr>
            <w:tcW w:w="427" w:type="pct"/>
            <w:vAlign w:val="center"/>
          </w:tcPr>
          <w:p w14:paraId="2AB6CC33" w14:textId="77777777" w:rsidR="00C07D5B" w:rsidRDefault="00C07D5B" w:rsidP="00C07D5B">
            <w:pPr>
              <w:adjustRightInd w:val="0"/>
              <w:snapToGrid w:val="0"/>
              <w:jc w:val="center"/>
              <w:rPr>
                <w:color w:val="000000"/>
              </w:rPr>
            </w:pPr>
            <w:r>
              <w:rPr>
                <w:color w:val="000000"/>
              </w:rPr>
              <w:t>达标</w:t>
            </w:r>
          </w:p>
        </w:tc>
      </w:tr>
      <w:tr w:rsidR="00C07D5B" w14:paraId="1B75AFAE" w14:textId="77777777" w:rsidTr="00C07D5B">
        <w:trPr>
          <w:trHeight w:val="57"/>
        </w:trPr>
        <w:tc>
          <w:tcPr>
            <w:tcW w:w="436" w:type="pct"/>
            <w:vMerge w:val="restart"/>
            <w:vAlign w:val="center"/>
          </w:tcPr>
          <w:p w14:paraId="2AD682B0" w14:textId="77777777" w:rsidR="00C07D5B" w:rsidRDefault="00C07D5B" w:rsidP="00C07D5B">
            <w:pPr>
              <w:tabs>
                <w:tab w:val="left" w:pos="900"/>
                <w:tab w:val="left" w:pos="1080"/>
              </w:tabs>
              <w:adjustRightInd w:val="0"/>
              <w:snapToGrid w:val="0"/>
              <w:jc w:val="center"/>
              <w:rPr>
                <w:color w:val="000000"/>
              </w:rPr>
            </w:pPr>
            <w:r>
              <w:rPr>
                <w:color w:val="000000"/>
              </w:rPr>
              <w:t>N2</w:t>
            </w:r>
          </w:p>
        </w:tc>
        <w:tc>
          <w:tcPr>
            <w:tcW w:w="690" w:type="pct"/>
            <w:vMerge w:val="restart"/>
            <w:vAlign w:val="center"/>
          </w:tcPr>
          <w:p w14:paraId="0260713C" w14:textId="6C60FFBD" w:rsidR="00C07D5B" w:rsidRDefault="00C07D5B" w:rsidP="00C07D5B">
            <w:pPr>
              <w:adjustRightInd w:val="0"/>
              <w:snapToGrid w:val="0"/>
              <w:jc w:val="center"/>
              <w:rPr>
                <w:color w:val="000000"/>
              </w:rPr>
            </w:pPr>
            <w:r w:rsidRPr="00C07D5B">
              <w:rPr>
                <w:rFonts w:hint="eastAsia"/>
                <w:bCs/>
              </w:rPr>
              <w:t>红旗二村</w:t>
            </w:r>
          </w:p>
        </w:tc>
        <w:tc>
          <w:tcPr>
            <w:tcW w:w="657" w:type="pct"/>
            <w:vAlign w:val="center"/>
          </w:tcPr>
          <w:p w14:paraId="48E4AF5D" w14:textId="479C4C76" w:rsidR="00C07D5B" w:rsidRDefault="00C07D5B" w:rsidP="00C07D5B">
            <w:pPr>
              <w:adjustRightInd w:val="0"/>
              <w:snapToGrid w:val="0"/>
              <w:jc w:val="center"/>
              <w:rPr>
                <w:color w:val="000000"/>
                <w:kern w:val="0"/>
                <w:lang w:bidi="ar"/>
              </w:rPr>
            </w:pPr>
            <w:r>
              <w:rPr>
                <w:color w:val="000000"/>
                <w:kern w:val="0"/>
                <w:lang w:bidi="ar"/>
              </w:rPr>
              <w:t>202</w:t>
            </w:r>
            <w:r>
              <w:rPr>
                <w:rFonts w:hint="eastAsia"/>
                <w:color w:val="000000"/>
                <w:kern w:val="0"/>
                <w:lang w:bidi="ar"/>
              </w:rPr>
              <w:t>5.12.10</w:t>
            </w:r>
          </w:p>
        </w:tc>
        <w:tc>
          <w:tcPr>
            <w:tcW w:w="472" w:type="pct"/>
            <w:vAlign w:val="center"/>
          </w:tcPr>
          <w:p w14:paraId="08284ED8" w14:textId="77777777" w:rsidR="00C07D5B" w:rsidRDefault="00C07D5B" w:rsidP="00C07D5B">
            <w:pPr>
              <w:adjustRightInd w:val="0"/>
              <w:snapToGrid w:val="0"/>
              <w:jc w:val="center"/>
              <w:rPr>
                <w:color w:val="000000"/>
              </w:rPr>
            </w:pPr>
            <w:r>
              <w:rPr>
                <w:color w:val="000000"/>
              </w:rPr>
              <w:t>昼间</w:t>
            </w:r>
          </w:p>
        </w:tc>
        <w:tc>
          <w:tcPr>
            <w:tcW w:w="872" w:type="pct"/>
            <w:vAlign w:val="center"/>
          </w:tcPr>
          <w:p w14:paraId="0D656699" w14:textId="602A2DBB" w:rsidR="00C07D5B" w:rsidRDefault="00C07D5B" w:rsidP="00C07D5B">
            <w:pPr>
              <w:adjustRightInd w:val="0"/>
              <w:snapToGrid w:val="0"/>
              <w:jc w:val="center"/>
              <w:rPr>
                <w:color w:val="000000"/>
              </w:rPr>
            </w:pPr>
            <w:r>
              <w:rPr>
                <w:rFonts w:hint="eastAsia"/>
                <w:color w:val="000000"/>
              </w:rPr>
              <w:t>52</w:t>
            </w:r>
          </w:p>
        </w:tc>
        <w:tc>
          <w:tcPr>
            <w:tcW w:w="1447" w:type="pct"/>
            <w:vAlign w:val="center"/>
          </w:tcPr>
          <w:p w14:paraId="061DC2EB" w14:textId="77777777" w:rsidR="00C07D5B" w:rsidRDefault="00C07D5B" w:rsidP="00C07D5B">
            <w:pPr>
              <w:adjustRightInd w:val="0"/>
              <w:snapToGrid w:val="0"/>
              <w:jc w:val="center"/>
              <w:rPr>
                <w:color w:val="000000"/>
              </w:rPr>
            </w:pPr>
            <w:r>
              <w:rPr>
                <w:color w:val="000000"/>
              </w:rPr>
              <w:t>60</w:t>
            </w:r>
          </w:p>
        </w:tc>
        <w:tc>
          <w:tcPr>
            <w:tcW w:w="427" w:type="pct"/>
            <w:vAlign w:val="center"/>
          </w:tcPr>
          <w:p w14:paraId="3ECB61DA" w14:textId="77777777" w:rsidR="00C07D5B" w:rsidRDefault="00C07D5B" w:rsidP="00C07D5B">
            <w:pPr>
              <w:adjustRightInd w:val="0"/>
              <w:snapToGrid w:val="0"/>
              <w:jc w:val="center"/>
              <w:rPr>
                <w:color w:val="000000"/>
              </w:rPr>
            </w:pPr>
            <w:r>
              <w:rPr>
                <w:color w:val="000000"/>
              </w:rPr>
              <w:t>达标</w:t>
            </w:r>
          </w:p>
        </w:tc>
      </w:tr>
      <w:tr w:rsidR="00C07D5B" w14:paraId="4A0A779E" w14:textId="77777777" w:rsidTr="00C07D5B">
        <w:trPr>
          <w:trHeight w:val="57"/>
        </w:trPr>
        <w:tc>
          <w:tcPr>
            <w:tcW w:w="436" w:type="pct"/>
            <w:vMerge/>
            <w:vAlign w:val="center"/>
          </w:tcPr>
          <w:p w14:paraId="0CE164A1" w14:textId="77777777" w:rsidR="00C07D5B" w:rsidRDefault="00C07D5B" w:rsidP="00C07D5B">
            <w:pPr>
              <w:tabs>
                <w:tab w:val="left" w:pos="900"/>
                <w:tab w:val="left" w:pos="1080"/>
              </w:tabs>
              <w:adjustRightInd w:val="0"/>
              <w:snapToGrid w:val="0"/>
              <w:jc w:val="center"/>
              <w:rPr>
                <w:color w:val="000000"/>
              </w:rPr>
            </w:pPr>
          </w:p>
        </w:tc>
        <w:tc>
          <w:tcPr>
            <w:tcW w:w="690" w:type="pct"/>
            <w:vMerge/>
            <w:vAlign w:val="center"/>
          </w:tcPr>
          <w:p w14:paraId="3DDE33BA" w14:textId="77777777" w:rsidR="00C07D5B" w:rsidRDefault="00C07D5B" w:rsidP="00C07D5B">
            <w:pPr>
              <w:adjustRightInd w:val="0"/>
              <w:snapToGrid w:val="0"/>
              <w:jc w:val="center"/>
              <w:rPr>
                <w:color w:val="000000"/>
              </w:rPr>
            </w:pPr>
          </w:p>
        </w:tc>
        <w:tc>
          <w:tcPr>
            <w:tcW w:w="657" w:type="pct"/>
            <w:vAlign w:val="center"/>
          </w:tcPr>
          <w:p w14:paraId="10734C1A" w14:textId="4E405111" w:rsidR="00C07D5B" w:rsidRDefault="00C07D5B" w:rsidP="00C07D5B">
            <w:pPr>
              <w:adjustRightInd w:val="0"/>
              <w:snapToGrid w:val="0"/>
              <w:jc w:val="center"/>
              <w:rPr>
                <w:color w:val="000000"/>
                <w:kern w:val="0"/>
                <w:lang w:bidi="ar"/>
              </w:rPr>
            </w:pPr>
            <w:r>
              <w:rPr>
                <w:color w:val="000000"/>
                <w:kern w:val="0"/>
                <w:lang w:bidi="ar"/>
              </w:rPr>
              <w:t>202</w:t>
            </w:r>
            <w:r>
              <w:rPr>
                <w:rFonts w:hint="eastAsia"/>
                <w:color w:val="000000"/>
                <w:kern w:val="0"/>
                <w:lang w:bidi="ar"/>
              </w:rPr>
              <w:t>5.12.11</w:t>
            </w:r>
          </w:p>
        </w:tc>
        <w:tc>
          <w:tcPr>
            <w:tcW w:w="472" w:type="pct"/>
            <w:vAlign w:val="center"/>
          </w:tcPr>
          <w:p w14:paraId="323B39A5" w14:textId="77777777" w:rsidR="00C07D5B" w:rsidRDefault="00C07D5B" w:rsidP="00C07D5B">
            <w:pPr>
              <w:adjustRightInd w:val="0"/>
              <w:snapToGrid w:val="0"/>
              <w:jc w:val="center"/>
              <w:rPr>
                <w:color w:val="000000"/>
              </w:rPr>
            </w:pPr>
            <w:r>
              <w:rPr>
                <w:color w:val="000000"/>
              </w:rPr>
              <w:t>夜间</w:t>
            </w:r>
          </w:p>
        </w:tc>
        <w:tc>
          <w:tcPr>
            <w:tcW w:w="872" w:type="pct"/>
            <w:vAlign w:val="center"/>
          </w:tcPr>
          <w:p w14:paraId="251F2B43" w14:textId="3AA173F3" w:rsidR="00C07D5B" w:rsidRDefault="00C07D5B" w:rsidP="00C07D5B">
            <w:pPr>
              <w:adjustRightInd w:val="0"/>
              <w:snapToGrid w:val="0"/>
              <w:jc w:val="center"/>
              <w:rPr>
                <w:color w:val="000000"/>
              </w:rPr>
            </w:pPr>
            <w:r>
              <w:rPr>
                <w:rFonts w:hint="eastAsia"/>
                <w:color w:val="000000"/>
              </w:rPr>
              <w:t>46</w:t>
            </w:r>
          </w:p>
        </w:tc>
        <w:tc>
          <w:tcPr>
            <w:tcW w:w="1447" w:type="pct"/>
            <w:vAlign w:val="center"/>
          </w:tcPr>
          <w:p w14:paraId="37CB6549" w14:textId="77777777" w:rsidR="00C07D5B" w:rsidRDefault="00C07D5B" w:rsidP="00C07D5B">
            <w:pPr>
              <w:adjustRightInd w:val="0"/>
              <w:snapToGrid w:val="0"/>
              <w:jc w:val="center"/>
              <w:rPr>
                <w:color w:val="000000"/>
              </w:rPr>
            </w:pPr>
            <w:r>
              <w:rPr>
                <w:color w:val="000000"/>
              </w:rPr>
              <w:t>50</w:t>
            </w:r>
          </w:p>
        </w:tc>
        <w:tc>
          <w:tcPr>
            <w:tcW w:w="427" w:type="pct"/>
            <w:vAlign w:val="center"/>
          </w:tcPr>
          <w:p w14:paraId="10F960FD" w14:textId="77777777" w:rsidR="00C07D5B" w:rsidRDefault="00C07D5B" w:rsidP="00C07D5B">
            <w:pPr>
              <w:adjustRightInd w:val="0"/>
              <w:snapToGrid w:val="0"/>
              <w:jc w:val="center"/>
              <w:rPr>
                <w:color w:val="000000"/>
              </w:rPr>
            </w:pPr>
            <w:r>
              <w:rPr>
                <w:color w:val="000000"/>
              </w:rPr>
              <w:t>达标</w:t>
            </w:r>
          </w:p>
        </w:tc>
      </w:tr>
    </w:tbl>
    <w:p w14:paraId="02EF875E" w14:textId="55D40D6A" w:rsidR="00606029" w:rsidRDefault="00EA5B92">
      <w:pPr>
        <w:widowControl/>
        <w:autoSpaceDE w:val="0"/>
        <w:autoSpaceDN w:val="0"/>
        <w:adjustRightInd w:val="0"/>
        <w:snapToGrid w:val="0"/>
        <w:spacing w:beforeLines="50" w:before="120" w:line="360" w:lineRule="auto"/>
        <w:ind w:firstLineChars="200" w:firstLine="480"/>
        <w:textAlignment w:val="baseline"/>
        <w:rPr>
          <w:snapToGrid w:val="0"/>
          <w:color w:val="000000"/>
          <w:kern w:val="0"/>
          <w:sz w:val="24"/>
        </w:rPr>
      </w:pPr>
      <w:r>
        <w:rPr>
          <w:snapToGrid w:val="0"/>
          <w:color w:val="000000"/>
          <w:kern w:val="0"/>
          <w:sz w:val="24"/>
        </w:rPr>
        <w:t>由上表可知，项目</w:t>
      </w:r>
      <w:r w:rsidR="00A92D37">
        <w:rPr>
          <w:rFonts w:hint="eastAsia"/>
          <w:snapToGrid w:val="0"/>
          <w:color w:val="000000"/>
          <w:kern w:val="0"/>
          <w:sz w:val="24"/>
        </w:rPr>
        <w:t>区域</w:t>
      </w:r>
      <w:r>
        <w:rPr>
          <w:snapToGrid w:val="0"/>
          <w:color w:val="000000"/>
          <w:kern w:val="0"/>
          <w:sz w:val="24"/>
        </w:rPr>
        <w:t>声环境质量能达到《声环境质量标准》（</w:t>
      </w:r>
      <w:r>
        <w:rPr>
          <w:snapToGrid w:val="0"/>
          <w:color w:val="000000"/>
          <w:kern w:val="0"/>
          <w:sz w:val="24"/>
        </w:rPr>
        <w:t>GB3096-2008</w:t>
      </w:r>
      <w:r>
        <w:rPr>
          <w:snapToGrid w:val="0"/>
          <w:color w:val="000000"/>
          <w:kern w:val="0"/>
          <w:sz w:val="24"/>
        </w:rPr>
        <w:t>）</w:t>
      </w:r>
      <w:r>
        <w:rPr>
          <w:snapToGrid w:val="0"/>
          <w:color w:val="000000"/>
          <w:kern w:val="0"/>
          <w:sz w:val="24"/>
        </w:rPr>
        <w:t>2</w:t>
      </w:r>
      <w:r>
        <w:rPr>
          <w:snapToGrid w:val="0"/>
          <w:color w:val="000000"/>
          <w:kern w:val="0"/>
          <w:sz w:val="24"/>
        </w:rPr>
        <w:t>类区标准，区域声环境质量较好。</w:t>
      </w:r>
    </w:p>
    <w:p w14:paraId="3A28DC44" w14:textId="77777777" w:rsidR="00606029" w:rsidRDefault="00EA5B92">
      <w:pPr>
        <w:pStyle w:val="2"/>
      </w:pPr>
      <w:bookmarkStart w:id="224" w:name="_Toc27775"/>
      <w:bookmarkStart w:id="225" w:name="_Toc220680518"/>
      <w:r w:rsidRPr="0003327E">
        <w:t>5.5</w:t>
      </w:r>
      <w:r w:rsidRPr="0003327E">
        <w:t>土壤环境的现状调查与评价</w:t>
      </w:r>
      <w:bookmarkEnd w:id="224"/>
      <w:bookmarkEnd w:id="225"/>
    </w:p>
    <w:p w14:paraId="4C97029C" w14:textId="77777777" w:rsidR="00606029" w:rsidRDefault="00EA5B92">
      <w:pPr>
        <w:autoSpaceDE w:val="0"/>
        <w:autoSpaceDN w:val="0"/>
        <w:adjustRightInd w:val="0"/>
        <w:spacing w:line="360" w:lineRule="auto"/>
        <w:ind w:firstLineChars="200" w:firstLine="480"/>
        <w:jc w:val="left"/>
        <w:textAlignment w:val="baseline"/>
        <w:rPr>
          <w:snapToGrid w:val="0"/>
          <w:sz w:val="24"/>
          <w:szCs w:val="24"/>
        </w:rPr>
      </w:pPr>
      <w:r>
        <w:rPr>
          <w:snapToGrid w:val="0"/>
          <w:sz w:val="24"/>
          <w:szCs w:val="24"/>
        </w:rPr>
        <w:t>（</w:t>
      </w:r>
      <w:r>
        <w:rPr>
          <w:snapToGrid w:val="0"/>
          <w:sz w:val="24"/>
          <w:szCs w:val="24"/>
        </w:rPr>
        <w:t>1</w:t>
      </w:r>
      <w:r>
        <w:rPr>
          <w:snapToGrid w:val="0"/>
          <w:sz w:val="24"/>
          <w:szCs w:val="24"/>
        </w:rPr>
        <w:t>）监测布点</w:t>
      </w:r>
    </w:p>
    <w:p w14:paraId="584BE659" w14:textId="5B2EF345" w:rsidR="00606029" w:rsidRDefault="00B04315">
      <w:pPr>
        <w:autoSpaceDE w:val="0"/>
        <w:autoSpaceDN w:val="0"/>
        <w:adjustRightInd w:val="0"/>
        <w:spacing w:line="360" w:lineRule="auto"/>
        <w:ind w:firstLineChars="200" w:firstLine="480"/>
        <w:jc w:val="left"/>
        <w:textAlignment w:val="baseline"/>
        <w:rPr>
          <w:snapToGrid w:val="0"/>
          <w:color w:val="000000"/>
          <w:kern w:val="0"/>
          <w:sz w:val="24"/>
          <w:szCs w:val="24"/>
        </w:rPr>
      </w:pPr>
      <w:r>
        <w:rPr>
          <w:rFonts w:hint="eastAsia"/>
          <w:snapToGrid w:val="0"/>
          <w:color w:val="000000"/>
          <w:kern w:val="0"/>
          <w:sz w:val="24"/>
          <w:szCs w:val="24"/>
        </w:rPr>
        <w:t>根据土壤评价工作等级的要求，</w:t>
      </w:r>
      <w:r w:rsidR="00EA5B92">
        <w:rPr>
          <w:snapToGrid w:val="0"/>
          <w:color w:val="000000"/>
          <w:kern w:val="0"/>
          <w:sz w:val="24"/>
          <w:szCs w:val="24"/>
        </w:rPr>
        <w:t>共布置了</w:t>
      </w:r>
      <w:r w:rsidR="00EA5B92">
        <w:rPr>
          <w:snapToGrid w:val="0"/>
          <w:color w:val="000000"/>
          <w:kern w:val="0"/>
          <w:sz w:val="24"/>
          <w:szCs w:val="24"/>
        </w:rPr>
        <w:t>6</w:t>
      </w:r>
      <w:r w:rsidR="00EA5B92">
        <w:rPr>
          <w:snapToGrid w:val="0"/>
          <w:color w:val="000000"/>
          <w:kern w:val="0"/>
          <w:sz w:val="24"/>
          <w:szCs w:val="24"/>
        </w:rPr>
        <w:t>个样点，</w:t>
      </w:r>
      <w:r w:rsidR="0037401C">
        <w:rPr>
          <w:rFonts w:hint="eastAsia"/>
          <w:snapToGrid w:val="0"/>
          <w:color w:val="000000"/>
          <w:kern w:val="0"/>
          <w:sz w:val="24"/>
          <w:szCs w:val="24"/>
        </w:rPr>
        <w:t>监测时间</w:t>
      </w:r>
      <w:r w:rsidR="0037401C">
        <w:rPr>
          <w:rFonts w:hint="eastAsia"/>
          <w:snapToGrid w:val="0"/>
          <w:color w:val="000000"/>
          <w:kern w:val="0"/>
          <w:sz w:val="24"/>
          <w:szCs w:val="24"/>
        </w:rPr>
        <w:t>2025</w:t>
      </w:r>
      <w:r w:rsidR="0037401C">
        <w:rPr>
          <w:rFonts w:hint="eastAsia"/>
          <w:snapToGrid w:val="0"/>
          <w:color w:val="000000"/>
          <w:kern w:val="0"/>
          <w:sz w:val="24"/>
          <w:szCs w:val="24"/>
        </w:rPr>
        <w:t>年</w:t>
      </w:r>
      <w:r w:rsidR="0037401C">
        <w:rPr>
          <w:rFonts w:hint="eastAsia"/>
          <w:snapToGrid w:val="0"/>
          <w:color w:val="000000"/>
          <w:kern w:val="0"/>
          <w:sz w:val="24"/>
          <w:szCs w:val="24"/>
        </w:rPr>
        <w:t>12</w:t>
      </w:r>
      <w:r w:rsidR="0037401C">
        <w:rPr>
          <w:rFonts w:hint="eastAsia"/>
          <w:snapToGrid w:val="0"/>
          <w:color w:val="000000"/>
          <w:kern w:val="0"/>
          <w:sz w:val="24"/>
          <w:szCs w:val="24"/>
        </w:rPr>
        <w:t>月</w:t>
      </w:r>
      <w:r w:rsidR="0037401C">
        <w:rPr>
          <w:rFonts w:hint="eastAsia"/>
          <w:snapToGrid w:val="0"/>
          <w:color w:val="000000"/>
          <w:kern w:val="0"/>
          <w:sz w:val="24"/>
          <w:szCs w:val="24"/>
        </w:rPr>
        <w:t>10</w:t>
      </w:r>
      <w:r w:rsidR="0037401C">
        <w:rPr>
          <w:rFonts w:hint="eastAsia"/>
          <w:snapToGrid w:val="0"/>
          <w:color w:val="000000"/>
          <w:kern w:val="0"/>
          <w:sz w:val="24"/>
          <w:szCs w:val="24"/>
        </w:rPr>
        <w:t>日，</w:t>
      </w:r>
      <w:r w:rsidR="00EA5B92">
        <w:rPr>
          <w:snapToGrid w:val="0"/>
          <w:color w:val="000000"/>
          <w:kern w:val="0"/>
          <w:sz w:val="24"/>
          <w:szCs w:val="24"/>
        </w:rPr>
        <w:t>具体点位</w:t>
      </w:r>
      <w:r>
        <w:rPr>
          <w:rFonts w:hint="eastAsia"/>
          <w:snapToGrid w:val="0"/>
          <w:color w:val="000000"/>
          <w:kern w:val="0"/>
          <w:sz w:val="24"/>
          <w:szCs w:val="24"/>
        </w:rPr>
        <w:t>见下表。</w:t>
      </w:r>
    </w:p>
    <w:p w14:paraId="72D0CFB4" w14:textId="7CA6516C" w:rsidR="00606029" w:rsidRDefault="00EA5B92">
      <w:pPr>
        <w:ind w:firstLineChars="200" w:firstLine="422"/>
        <w:jc w:val="center"/>
        <w:rPr>
          <w:b/>
        </w:rPr>
      </w:pPr>
      <w:r>
        <w:rPr>
          <w:b/>
        </w:rPr>
        <w:t>表</w:t>
      </w:r>
      <w:r>
        <w:rPr>
          <w:b/>
        </w:rPr>
        <w:t xml:space="preserve">5.5-1  </w:t>
      </w:r>
      <w:r>
        <w:rPr>
          <w:b/>
        </w:rPr>
        <w:t>土壤监测点位设置</w:t>
      </w:r>
    </w:p>
    <w:tbl>
      <w:tblPr>
        <w:tblW w:w="5000"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firstRow="1" w:lastRow="0" w:firstColumn="1" w:lastColumn="0" w:noHBand="0" w:noVBand="1"/>
      </w:tblPr>
      <w:tblGrid>
        <w:gridCol w:w="699"/>
        <w:gridCol w:w="2693"/>
        <w:gridCol w:w="2552"/>
        <w:gridCol w:w="2880"/>
      </w:tblGrid>
      <w:tr w:rsidR="002503F1" w14:paraId="63C820F6" w14:textId="77777777" w:rsidTr="002503F1">
        <w:trPr>
          <w:trHeight w:val="57"/>
          <w:jc w:val="center"/>
        </w:trPr>
        <w:tc>
          <w:tcPr>
            <w:tcW w:w="396" w:type="pct"/>
            <w:tcBorders>
              <w:tl2br w:val="nil"/>
              <w:tr2bl w:val="nil"/>
            </w:tcBorders>
            <w:vAlign w:val="center"/>
          </w:tcPr>
          <w:p w14:paraId="4FBD1165" w14:textId="5F6239E3" w:rsidR="002503F1" w:rsidRDefault="002503F1">
            <w:pPr>
              <w:jc w:val="center"/>
              <w:rPr>
                <w:snapToGrid w:val="0"/>
                <w:color w:val="000000"/>
                <w:kern w:val="0"/>
              </w:rPr>
            </w:pPr>
            <w:r>
              <w:rPr>
                <w:rFonts w:hint="eastAsia"/>
                <w:snapToGrid w:val="0"/>
                <w:color w:val="000000"/>
                <w:kern w:val="0"/>
              </w:rPr>
              <w:t>编号</w:t>
            </w:r>
          </w:p>
        </w:tc>
        <w:tc>
          <w:tcPr>
            <w:tcW w:w="1526" w:type="pct"/>
            <w:tcBorders>
              <w:tl2br w:val="nil"/>
              <w:tr2bl w:val="nil"/>
            </w:tcBorders>
            <w:vAlign w:val="center"/>
          </w:tcPr>
          <w:p w14:paraId="235123D7" w14:textId="1DDF3FD8" w:rsidR="002503F1" w:rsidRDefault="002503F1">
            <w:pPr>
              <w:jc w:val="center"/>
              <w:rPr>
                <w:snapToGrid w:val="0"/>
                <w:color w:val="000000"/>
                <w:kern w:val="0"/>
              </w:rPr>
            </w:pPr>
            <w:r>
              <w:rPr>
                <w:snapToGrid w:val="0"/>
                <w:color w:val="000000"/>
                <w:kern w:val="0"/>
              </w:rPr>
              <w:t>监测点</w:t>
            </w:r>
            <w:r>
              <w:rPr>
                <w:rFonts w:hint="eastAsia"/>
                <w:snapToGrid w:val="0"/>
                <w:color w:val="000000"/>
                <w:kern w:val="0"/>
              </w:rPr>
              <w:t>位</w:t>
            </w:r>
          </w:p>
        </w:tc>
        <w:tc>
          <w:tcPr>
            <w:tcW w:w="1446" w:type="pct"/>
            <w:vAlign w:val="center"/>
          </w:tcPr>
          <w:p w14:paraId="27581BA4" w14:textId="28108C33" w:rsidR="002503F1" w:rsidRDefault="002503F1">
            <w:pPr>
              <w:jc w:val="center"/>
              <w:rPr>
                <w:snapToGrid w:val="0"/>
                <w:color w:val="000000"/>
                <w:kern w:val="0"/>
              </w:rPr>
            </w:pPr>
            <w:r>
              <w:rPr>
                <w:rFonts w:hint="eastAsia"/>
                <w:snapToGrid w:val="0"/>
                <w:color w:val="000000"/>
                <w:kern w:val="0"/>
              </w:rPr>
              <w:t>坐标</w:t>
            </w:r>
          </w:p>
        </w:tc>
        <w:tc>
          <w:tcPr>
            <w:tcW w:w="1632" w:type="pct"/>
            <w:tcBorders>
              <w:tl2br w:val="nil"/>
              <w:tr2bl w:val="nil"/>
            </w:tcBorders>
            <w:vAlign w:val="center"/>
          </w:tcPr>
          <w:p w14:paraId="7AD8A1E7" w14:textId="1238C7DD" w:rsidR="002503F1" w:rsidRDefault="002503F1">
            <w:pPr>
              <w:jc w:val="center"/>
              <w:rPr>
                <w:snapToGrid w:val="0"/>
                <w:color w:val="000000"/>
                <w:kern w:val="0"/>
              </w:rPr>
            </w:pPr>
            <w:r>
              <w:rPr>
                <w:snapToGrid w:val="0"/>
                <w:color w:val="000000"/>
                <w:kern w:val="0"/>
              </w:rPr>
              <w:t>监测频次</w:t>
            </w:r>
          </w:p>
        </w:tc>
      </w:tr>
      <w:tr w:rsidR="002503F1" w14:paraId="7D49DAFD" w14:textId="77777777" w:rsidTr="002503F1">
        <w:trPr>
          <w:trHeight w:val="57"/>
          <w:jc w:val="center"/>
        </w:trPr>
        <w:tc>
          <w:tcPr>
            <w:tcW w:w="396" w:type="pct"/>
            <w:tcBorders>
              <w:tl2br w:val="nil"/>
              <w:tr2bl w:val="nil"/>
            </w:tcBorders>
            <w:vAlign w:val="center"/>
          </w:tcPr>
          <w:p w14:paraId="0FA57BED" w14:textId="77777777" w:rsidR="002503F1" w:rsidRDefault="002503F1">
            <w:pPr>
              <w:jc w:val="center"/>
              <w:rPr>
                <w:snapToGrid w:val="0"/>
                <w:color w:val="000000"/>
                <w:kern w:val="0"/>
              </w:rPr>
            </w:pPr>
            <w:r>
              <w:rPr>
                <w:snapToGrid w:val="0"/>
                <w:color w:val="000000"/>
                <w:kern w:val="0"/>
              </w:rPr>
              <w:t>S1</w:t>
            </w:r>
          </w:p>
        </w:tc>
        <w:tc>
          <w:tcPr>
            <w:tcW w:w="1526" w:type="pct"/>
            <w:tcBorders>
              <w:tl2br w:val="nil"/>
              <w:tr2bl w:val="nil"/>
            </w:tcBorders>
            <w:vAlign w:val="center"/>
          </w:tcPr>
          <w:p w14:paraId="5A8FDE8E" w14:textId="5543A21C" w:rsidR="002503F1" w:rsidRDefault="002503F1" w:rsidP="002503F1">
            <w:pPr>
              <w:jc w:val="center"/>
              <w:rPr>
                <w:snapToGrid w:val="0"/>
                <w:color w:val="000000"/>
                <w:kern w:val="0"/>
              </w:rPr>
            </w:pPr>
            <w:r>
              <w:rPr>
                <w:rFonts w:hint="eastAsia"/>
              </w:rPr>
              <w:t>渗滤液调节池</w:t>
            </w:r>
          </w:p>
        </w:tc>
        <w:tc>
          <w:tcPr>
            <w:tcW w:w="1446" w:type="pct"/>
            <w:vAlign w:val="center"/>
          </w:tcPr>
          <w:p w14:paraId="159BE49F" w14:textId="72119867" w:rsidR="002503F1" w:rsidRDefault="002503F1" w:rsidP="002503F1">
            <w:pPr>
              <w:jc w:val="center"/>
              <w:rPr>
                <w:snapToGrid w:val="0"/>
                <w:color w:val="000000"/>
                <w:kern w:val="0"/>
              </w:rPr>
            </w:pPr>
            <w:r w:rsidRPr="002503F1">
              <w:rPr>
                <w:snapToGrid w:val="0"/>
                <w:color w:val="000000"/>
                <w:kern w:val="0"/>
              </w:rPr>
              <w:t>124.988805</w:t>
            </w:r>
            <w:r>
              <w:rPr>
                <w:rFonts w:hint="eastAsia"/>
                <w:snapToGrid w:val="0"/>
                <w:color w:val="000000"/>
                <w:kern w:val="0"/>
              </w:rPr>
              <w:t>，</w:t>
            </w:r>
            <w:r w:rsidRPr="002503F1">
              <w:rPr>
                <w:snapToGrid w:val="0"/>
                <w:color w:val="000000"/>
                <w:kern w:val="0"/>
              </w:rPr>
              <w:t>46.434274</w:t>
            </w:r>
          </w:p>
        </w:tc>
        <w:tc>
          <w:tcPr>
            <w:tcW w:w="1632" w:type="pct"/>
            <w:vMerge w:val="restart"/>
            <w:tcBorders>
              <w:tl2br w:val="nil"/>
              <w:tr2bl w:val="nil"/>
            </w:tcBorders>
            <w:vAlign w:val="center"/>
          </w:tcPr>
          <w:p w14:paraId="5C59D4E9" w14:textId="0C4E19F3" w:rsidR="002503F1" w:rsidRDefault="002503F1">
            <w:pPr>
              <w:jc w:val="center"/>
              <w:rPr>
                <w:snapToGrid w:val="0"/>
                <w:color w:val="000000"/>
                <w:kern w:val="0"/>
              </w:rPr>
            </w:pPr>
            <w:r>
              <w:rPr>
                <w:snapToGrid w:val="0"/>
                <w:color w:val="000000"/>
                <w:kern w:val="0"/>
              </w:rPr>
              <w:t>1</w:t>
            </w:r>
            <w:r>
              <w:rPr>
                <w:snapToGrid w:val="0"/>
                <w:color w:val="000000"/>
                <w:kern w:val="0"/>
              </w:rPr>
              <w:t>次</w:t>
            </w:r>
            <w:r>
              <w:rPr>
                <w:rFonts w:hint="eastAsia"/>
                <w:snapToGrid w:val="0"/>
                <w:color w:val="000000"/>
                <w:kern w:val="0"/>
              </w:rPr>
              <w:t>性监测，</w:t>
            </w:r>
            <w:r>
              <w:rPr>
                <w:snapToGrid w:val="0"/>
                <w:color w:val="000000"/>
                <w:kern w:val="0"/>
              </w:rPr>
              <w:t>S1</w:t>
            </w:r>
            <w:r>
              <w:rPr>
                <w:rFonts w:hint="eastAsia"/>
                <w:snapToGrid w:val="0"/>
                <w:color w:val="000000"/>
                <w:kern w:val="0"/>
              </w:rPr>
              <w:t>~S3</w:t>
            </w:r>
            <w:r>
              <w:rPr>
                <w:snapToGrid w:val="0"/>
                <w:color w:val="000000"/>
                <w:kern w:val="0"/>
              </w:rPr>
              <w:t>柱状样品（</w:t>
            </w:r>
            <w:r>
              <w:rPr>
                <w:snapToGrid w:val="0"/>
                <w:color w:val="000000"/>
                <w:kern w:val="0"/>
              </w:rPr>
              <w:t>0~0.5m</w:t>
            </w:r>
            <w:r>
              <w:rPr>
                <w:snapToGrid w:val="0"/>
                <w:color w:val="000000"/>
                <w:kern w:val="0"/>
              </w:rPr>
              <w:t>、</w:t>
            </w:r>
            <w:r>
              <w:rPr>
                <w:snapToGrid w:val="0"/>
                <w:color w:val="000000"/>
                <w:kern w:val="0"/>
              </w:rPr>
              <w:t>0.5~1.5m</w:t>
            </w:r>
            <w:r>
              <w:rPr>
                <w:snapToGrid w:val="0"/>
                <w:color w:val="000000"/>
                <w:kern w:val="0"/>
              </w:rPr>
              <w:t>、</w:t>
            </w:r>
            <w:r>
              <w:rPr>
                <w:snapToGrid w:val="0"/>
                <w:color w:val="000000"/>
                <w:kern w:val="0"/>
              </w:rPr>
              <w:t>1.5~3m</w:t>
            </w:r>
            <w:r>
              <w:rPr>
                <w:snapToGrid w:val="0"/>
                <w:color w:val="000000"/>
                <w:kern w:val="0"/>
              </w:rPr>
              <w:t>）</w:t>
            </w:r>
          </w:p>
        </w:tc>
      </w:tr>
      <w:tr w:rsidR="002503F1" w14:paraId="5A3115F7" w14:textId="77777777" w:rsidTr="002503F1">
        <w:trPr>
          <w:trHeight w:val="57"/>
          <w:jc w:val="center"/>
        </w:trPr>
        <w:tc>
          <w:tcPr>
            <w:tcW w:w="396" w:type="pct"/>
            <w:tcBorders>
              <w:tl2br w:val="nil"/>
              <w:tr2bl w:val="nil"/>
            </w:tcBorders>
            <w:vAlign w:val="center"/>
          </w:tcPr>
          <w:p w14:paraId="15630EC7" w14:textId="77777777" w:rsidR="002503F1" w:rsidRDefault="002503F1">
            <w:pPr>
              <w:jc w:val="center"/>
              <w:rPr>
                <w:snapToGrid w:val="0"/>
                <w:color w:val="000000"/>
                <w:kern w:val="0"/>
              </w:rPr>
            </w:pPr>
            <w:r>
              <w:rPr>
                <w:snapToGrid w:val="0"/>
                <w:color w:val="000000"/>
                <w:kern w:val="0"/>
              </w:rPr>
              <w:t>S2</w:t>
            </w:r>
          </w:p>
        </w:tc>
        <w:tc>
          <w:tcPr>
            <w:tcW w:w="1526" w:type="pct"/>
            <w:tcBorders>
              <w:tl2br w:val="nil"/>
              <w:tr2bl w:val="nil"/>
            </w:tcBorders>
            <w:vAlign w:val="center"/>
          </w:tcPr>
          <w:p w14:paraId="143AAD4E" w14:textId="109D385B" w:rsidR="002503F1" w:rsidRDefault="002503F1" w:rsidP="002503F1">
            <w:pPr>
              <w:jc w:val="center"/>
              <w:rPr>
                <w:snapToGrid w:val="0"/>
                <w:color w:val="000000"/>
                <w:kern w:val="0"/>
              </w:rPr>
            </w:pPr>
            <w:r>
              <w:rPr>
                <w:rFonts w:hint="eastAsia"/>
              </w:rPr>
              <w:t>污泥处理区</w:t>
            </w:r>
          </w:p>
        </w:tc>
        <w:tc>
          <w:tcPr>
            <w:tcW w:w="1446" w:type="pct"/>
            <w:vAlign w:val="center"/>
          </w:tcPr>
          <w:p w14:paraId="114F601B" w14:textId="1B201C51" w:rsidR="002503F1" w:rsidRDefault="002503F1">
            <w:pPr>
              <w:jc w:val="center"/>
              <w:rPr>
                <w:snapToGrid w:val="0"/>
                <w:color w:val="000000"/>
                <w:kern w:val="0"/>
              </w:rPr>
            </w:pPr>
            <w:r w:rsidRPr="002503F1">
              <w:rPr>
                <w:snapToGrid w:val="0"/>
                <w:color w:val="000000"/>
                <w:kern w:val="0"/>
              </w:rPr>
              <w:t>124.985377</w:t>
            </w:r>
            <w:r>
              <w:rPr>
                <w:rFonts w:hint="eastAsia"/>
                <w:snapToGrid w:val="0"/>
                <w:color w:val="000000"/>
                <w:kern w:val="0"/>
              </w:rPr>
              <w:t>，</w:t>
            </w:r>
            <w:r w:rsidRPr="002503F1">
              <w:rPr>
                <w:snapToGrid w:val="0"/>
                <w:color w:val="000000"/>
                <w:kern w:val="0"/>
              </w:rPr>
              <w:t>46.434649</w:t>
            </w:r>
          </w:p>
        </w:tc>
        <w:tc>
          <w:tcPr>
            <w:tcW w:w="1632" w:type="pct"/>
            <w:vMerge/>
            <w:tcBorders>
              <w:tl2br w:val="nil"/>
              <w:tr2bl w:val="nil"/>
            </w:tcBorders>
            <w:vAlign w:val="center"/>
          </w:tcPr>
          <w:p w14:paraId="2A1747FA" w14:textId="189E7085" w:rsidR="002503F1" w:rsidRDefault="002503F1">
            <w:pPr>
              <w:jc w:val="center"/>
              <w:rPr>
                <w:snapToGrid w:val="0"/>
                <w:color w:val="000000"/>
                <w:kern w:val="0"/>
              </w:rPr>
            </w:pPr>
          </w:p>
        </w:tc>
      </w:tr>
      <w:tr w:rsidR="002503F1" w14:paraId="2E6CF2A1" w14:textId="77777777" w:rsidTr="002503F1">
        <w:trPr>
          <w:trHeight w:val="57"/>
          <w:jc w:val="center"/>
        </w:trPr>
        <w:tc>
          <w:tcPr>
            <w:tcW w:w="396" w:type="pct"/>
            <w:tcBorders>
              <w:tl2br w:val="nil"/>
              <w:tr2bl w:val="nil"/>
            </w:tcBorders>
            <w:vAlign w:val="center"/>
          </w:tcPr>
          <w:p w14:paraId="28247DE6" w14:textId="77777777" w:rsidR="002503F1" w:rsidRDefault="002503F1">
            <w:pPr>
              <w:jc w:val="center"/>
              <w:rPr>
                <w:snapToGrid w:val="0"/>
                <w:color w:val="000000"/>
                <w:kern w:val="0"/>
              </w:rPr>
            </w:pPr>
            <w:r>
              <w:rPr>
                <w:snapToGrid w:val="0"/>
                <w:color w:val="000000"/>
                <w:kern w:val="0"/>
              </w:rPr>
              <w:t>S3</w:t>
            </w:r>
          </w:p>
        </w:tc>
        <w:tc>
          <w:tcPr>
            <w:tcW w:w="1526" w:type="pct"/>
            <w:tcBorders>
              <w:tl2br w:val="nil"/>
              <w:tr2bl w:val="nil"/>
            </w:tcBorders>
            <w:vAlign w:val="center"/>
          </w:tcPr>
          <w:p w14:paraId="1AFE99E1" w14:textId="6C91E48D" w:rsidR="002503F1" w:rsidRDefault="002503F1">
            <w:pPr>
              <w:jc w:val="center"/>
              <w:rPr>
                <w:snapToGrid w:val="0"/>
                <w:color w:val="000000"/>
                <w:kern w:val="0"/>
              </w:rPr>
            </w:pPr>
            <w:r w:rsidRPr="002503F1">
              <w:rPr>
                <w:rFonts w:hint="eastAsia"/>
              </w:rPr>
              <w:t>生活垃圾填埋区</w:t>
            </w:r>
            <w:r>
              <w:t>旁</w:t>
            </w:r>
          </w:p>
        </w:tc>
        <w:tc>
          <w:tcPr>
            <w:tcW w:w="1446" w:type="pct"/>
            <w:vAlign w:val="center"/>
          </w:tcPr>
          <w:p w14:paraId="407CA561" w14:textId="12E81AC9" w:rsidR="002503F1" w:rsidRDefault="002503F1" w:rsidP="002503F1">
            <w:pPr>
              <w:jc w:val="center"/>
              <w:rPr>
                <w:snapToGrid w:val="0"/>
                <w:color w:val="000000"/>
                <w:kern w:val="0"/>
              </w:rPr>
            </w:pPr>
            <w:r w:rsidRPr="002503F1">
              <w:rPr>
                <w:snapToGrid w:val="0"/>
                <w:color w:val="000000"/>
                <w:kern w:val="0"/>
              </w:rPr>
              <w:t>124.994174</w:t>
            </w:r>
            <w:r>
              <w:rPr>
                <w:rFonts w:hint="eastAsia"/>
                <w:snapToGrid w:val="0"/>
                <w:color w:val="000000"/>
                <w:kern w:val="0"/>
              </w:rPr>
              <w:t>，</w:t>
            </w:r>
            <w:r w:rsidRPr="002503F1">
              <w:rPr>
                <w:snapToGrid w:val="0"/>
                <w:color w:val="000000"/>
                <w:kern w:val="0"/>
              </w:rPr>
              <w:t>46.435287</w:t>
            </w:r>
          </w:p>
        </w:tc>
        <w:tc>
          <w:tcPr>
            <w:tcW w:w="1632" w:type="pct"/>
            <w:vMerge/>
            <w:tcBorders>
              <w:tl2br w:val="nil"/>
              <w:tr2bl w:val="nil"/>
            </w:tcBorders>
            <w:vAlign w:val="center"/>
          </w:tcPr>
          <w:p w14:paraId="3461FE7E" w14:textId="2D26B1B8" w:rsidR="002503F1" w:rsidRDefault="002503F1">
            <w:pPr>
              <w:jc w:val="center"/>
              <w:rPr>
                <w:snapToGrid w:val="0"/>
                <w:color w:val="000000"/>
                <w:kern w:val="0"/>
              </w:rPr>
            </w:pPr>
          </w:p>
        </w:tc>
      </w:tr>
      <w:tr w:rsidR="002503F1" w14:paraId="6F708912" w14:textId="77777777" w:rsidTr="002503F1">
        <w:trPr>
          <w:trHeight w:val="57"/>
          <w:jc w:val="center"/>
        </w:trPr>
        <w:tc>
          <w:tcPr>
            <w:tcW w:w="396" w:type="pct"/>
            <w:tcBorders>
              <w:tl2br w:val="nil"/>
              <w:tr2bl w:val="nil"/>
            </w:tcBorders>
            <w:vAlign w:val="center"/>
          </w:tcPr>
          <w:p w14:paraId="24A4CF93" w14:textId="77777777" w:rsidR="002503F1" w:rsidRDefault="002503F1">
            <w:pPr>
              <w:jc w:val="center"/>
              <w:rPr>
                <w:snapToGrid w:val="0"/>
                <w:color w:val="000000"/>
                <w:kern w:val="0"/>
              </w:rPr>
            </w:pPr>
            <w:r>
              <w:rPr>
                <w:snapToGrid w:val="0"/>
                <w:color w:val="000000"/>
                <w:kern w:val="0"/>
              </w:rPr>
              <w:t>S4</w:t>
            </w:r>
          </w:p>
        </w:tc>
        <w:tc>
          <w:tcPr>
            <w:tcW w:w="1526" w:type="pct"/>
            <w:tcBorders>
              <w:tl2br w:val="nil"/>
              <w:tr2bl w:val="nil"/>
            </w:tcBorders>
            <w:vAlign w:val="center"/>
          </w:tcPr>
          <w:p w14:paraId="61BC0002" w14:textId="58FEA79F" w:rsidR="002503F1" w:rsidRDefault="002503F1">
            <w:pPr>
              <w:jc w:val="center"/>
              <w:rPr>
                <w:snapToGrid w:val="0"/>
                <w:color w:val="000000"/>
                <w:kern w:val="0"/>
              </w:rPr>
            </w:pPr>
            <w:r w:rsidRPr="002503F1">
              <w:rPr>
                <w:rFonts w:hint="eastAsia"/>
              </w:rPr>
              <w:t>飞灰填埋区</w:t>
            </w:r>
            <w:r>
              <w:rPr>
                <w:rFonts w:hint="eastAsia"/>
              </w:rPr>
              <w:t>旁</w:t>
            </w:r>
          </w:p>
        </w:tc>
        <w:tc>
          <w:tcPr>
            <w:tcW w:w="1446" w:type="pct"/>
            <w:vAlign w:val="center"/>
          </w:tcPr>
          <w:p w14:paraId="44DF71E8" w14:textId="04A4AF3F" w:rsidR="002503F1" w:rsidRDefault="002503F1">
            <w:pPr>
              <w:jc w:val="center"/>
              <w:rPr>
                <w:snapToGrid w:val="0"/>
                <w:color w:val="000000"/>
                <w:kern w:val="0"/>
              </w:rPr>
            </w:pPr>
            <w:r w:rsidRPr="002503F1">
              <w:rPr>
                <w:snapToGrid w:val="0"/>
                <w:color w:val="000000"/>
                <w:kern w:val="0"/>
              </w:rPr>
              <w:t>124.992586</w:t>
            </w:r>
            <w:r>
              <w:rPr>
                <w:rFonts w:hint="eastAsia"/>
                <w:snapToGrid w:val="0"/>
                <w:color w:val="000000"/>
                <w:kern w:val="0"/>
              </w:rPr>
              <w:t>，</w:t>
            </w:r>
            <w:r w:rsidRPr="002503F1">
              <w:rPr>
                <w:snapToGrid w:val="0"/>
                <w:color w:val="000000"/>
                <w:kern w:val="0"/>
              </w:rPr>
              <w:t>46.434858</w:t>
            </w:r>
          </w:p>
        </w:tc>
        <w:tc>
          <w:tcPr>
            <w:tcW w:w="1632" w:type="pct"/>
            <w:tcBorders>
              <w:tl2br w:val="nil"/>
              <w:tr2bl w:val="nil"/>
            </w:tcBorders>
            <w:vAlign w:val="center"/>
          </w:tcPr>
          <w:p w14:paraId="0459431E" w14:textId="4EC7BFE8" w:rsidR="002503F1" w:rsidRDefault="002503F1">
            <w:pPr>
              <w:jc w:val="center"/>
              <w:rPr>
                <w:snapToGrid w:val="0"/>
                <w:color w:val="000000"/>
                <w:kern w:val="0"/>
              </w:rPr>
            </w:pPr>
            <w:r>
              <w:rPr>
                <w:snapToGrid w:val="0"/>
                <w:color w:val="000000"/>
                <w:kern w:val="0"/>
              </w:rPr>
              <w:t>1</w:t>
            </w:r>
            <w:r>
              <w:rPr>
                <w:snapToGrid w:val="0"/>
                <w:color w:val="000000"/>
                <w:kern w:val="0"/>
              </w:rPr>
              <w:t>次</w:t>
            </w:r>
            <w:r>
              <w:rPr>
                <w:rFonts w:hint="eastAsia"/>
                <w:snapToGrid w:val="0"/>
                <w:color w:val="000000"/>
                <w:kern w:val="0"/>
              </w:rPr>
              <w:t>性监测，</w:t>
            </w:r>
            <w:r>
              <w:rPr>
                <w:snapToGrid w:val="0"/>
                <w:color w:val="000000"/>
                <w:kern w:val="0"/>
              </w:rPr>
              <w:t>表层样品（</w:t>
            </w:r>
            <w:r>
              <w:rPr>
                <w:snapToGrid w:val="0"/>
                <w:color w:val="000000"/>
                <w:kern w:val="0"/>
              </w:rPr>
              <w:t>0~0.2m</w:t>
            </w:r>
            <w:r>
              <w:rPr>
                <w:snapToGrid w:val="0"/>
                <w:color w:val="000000"/>
                <w:kern w:val="0"/>
              </w:rPr>
              <w:t>）</w:t>
            </w:r>
          </w:p>
        </w:tc>
      </w:tr>
      <w:tr w:rsidR="002503F1" w14:paraId="00838C62" w14:textId="77777777" w:rsidTr="002503F1">
        <w:trPr>
          <w:trHeight w:val="57"/>
          <w:jc w:val="center"/>
        </w:trPr>
        <w:tc>
          <w:tcPr>
            <w:tcW w:w="396" w:type="pct"/>
            <w:tcBorders>
              <w:tl2br w:val="nil"/>
              <w:tr2bl w:val="nil"/>
            </w:tcBorders>
            <w:vAlign w:val="center"/>
          </w:tcPr>
          <w:p w14:paraId="4B477A10" w14:textId="77777777" w:rsidR="002503F1" w:rsidRDefault="002503F1" w:rsidP="002503F1">
            <w:pPr>
              <w:jc w:val="center"/>
              <w:rPr>
                <w:snapToGrid w:val="0"/>
                <w:color w:val="000000"/>
              </w:rPr>
            </w:pPr>
            <w:bookmarkStart w:id="226" w:name="_Hlk220530160"/>
            <w:r>
              <w:rPr>
                <w:snapToGrid w:val="0"/>
                <w:color w:val="000000"/>
                <w:kern w:val="0"/>
              </w:rPr>
              <w:t>S5</w:t>
            </w:r>
          </w:p>
        </w:tc>
        <w:tc>
          <w:tcPr>
            <w:tcW w:w="1526" w:type="pct"/>
            <w:vAlign w:val="center"/>
          </w:tcPr>
          <w:p w14:paraId="1022A1D7" w14:textId="3CE3C2AD" w:rsidR="002503F1" w:rsidRDefault="002503F1" w:rsidP="002503F1">
            <w:pPr>
              <w:jc w:val="center"/>
              <w:rPr>
                <w:snapToGrid w:val="0"/>
                <w:color w:val="000000"/>
                <w:kern w:val="0"/>
              </w:rPr>
            </w:pPr>
            <w:r>
              <w:rPr>
                <w:rFonts w:hint="eastAsia"/>
              </w:rPr>
              <w:t>厂区西侧</w:t>
            </w:r>
            <w:r>
              <w:rPr>
                <w:rFonts w:hint="eastAsia"/>
              </w:rPr>
              <w:t>200m</w:t>
            </w:r>
            <w:r>
              <w:rPr>
                <w:rFonts w:hint="eastAsia"/>
              </w:rPr>
              <w:t>（草地）</w:t>
            </w:r>
          </w:p>
        </w:tc>
        <w:tc>
          <w:tcPr>
            <w:tcW w:w="1446" w:type="pct"/>
            <w:tcBorders>
              <w:tl2br w:val="nil"/>
              <w:tr2bl w:val="nil"/>
            </w:tcBorders>
            <w:vAlign w:val="center"/>
          </w:tcPr>
          <w:p w14:paraId="65F95292" w14:textId="1BAC46C4" w:rsidR="002503F1" w:rsidRDefault="002503F1" w:rsidP="002503F1">
            <w:pPr>
              <w:jc w:val="center"/>
              <w:rPr>
                <w:snapToGrid w:val="0"/>
                <w:color w:val="000000"/>
                <w:kern w:val="0"/>
              </w:rPr>
            </w:pPr>
            <w:r>
              <w:t>124.979567</w:t>
            </w:r>
            <w:r>
              <w:rPr>
                <w:rFonts w:hint="eastAsia"/>
              </w:rPr>
              <w:t>，</w:t>
            </w:r>
            <w:r>
              <w:t>46.435679</w:t>
            </w:r>
          </w:p>
        </w:tc>
        <w:tc>
          <w:tcPr>
            <w:tcW w:w="1632" w:type="pct"/>
            <w:vMerge w:val="restart"/>
            <w:tcBorders>
              <w:tl2br w:val="nil"/>
              <w:tr2bl w:val="nil"/>
            </w:tcBorders>
            <w:vAlign w:val="center"/>
          </w:tcPr>
          <w:p w14:paraId="1BA76968" w14:textId="57D12B7E" w:rsidR="002503F1" w:rsidRDefault="002503F1" w:rsidP="002503F1">
            <w:pPr>
              <w:jc w:val="center"/>
              <w:rPr>
                <w:snapToGrid w:val="0"/>
                <w:color w:val="000000"/>
                <w:kern w:val="0"/>
              </w:rPr>
            </w:pPr>
            <w:r>
              <w:rPr>
                <w:snapToGrid w:val="0"/>
                <w:color w:val="000000"/>
                <w:kern w:val="0"/>
              </w:rPr>
              <w:t>1</w:t>
            </w:r>
            <w:r>
              <w:rPr>
                <w:snapToGrid w:val="0"/>
                <w:color w:val="000000"/>
                <w:kern w:val="0"/>
              </w:rPr>
              <w:t>次</w:t>
            </w:r>
            <w:r>
              <w:rPr>
                <w:rFonts w:hint="eastAsia"/>
                <w:snapToGrid w:val="0"/>
                <w:color w:val="000000"/>
                <w:kern w:val="0"/>
              </w:rPr>
              <w:t>性监测，</w:t>
            </w:r>
            <w:r>
              <w:rPr>
                <w:snapToGrid w:val="0"/>
                <w:color w:val="000000"/>
                <w:kern w:val="0"/>
              </w:rPr>
              <w:t>表层样品（</w:t>
            </w:r>
            <w:r>
              <w:rPr>
                <w:snapToGrid w:val="0"/>
                <w:color w:val="000000"/>
                <w:kern w:val="0"/>
              </w:rPr>
              <w:t>0~0.2m</w:t>
            </w:r>
            <w:r>
              <w:rPr>
                <w:snapToGrid w:val="0"/>
                <w:color w:val="000000"/>
                <w:kern w:val="0"/>
              </w:rPr>
              <w:t>）</w:t>
            </w:r>
          </w:p>
        </w:tc>
      </w:tr>
      <w:tr w:rsidR="002503F1" w14:paraId="7087DF34" w14:textId="77777777" w:rsidTr="002503F1">
        <w:trPr>
          <w:trHeight w:val="57"/>
          <w:jc w:val="center"/>
        </w:trPr>
        <w:tc>
          <w:tcPr>
            <w:tcW w:w="396" w:type="pct"/>
            <w:tcBorders>
              <w:tl2br w:val="nil"/>
              <w:tr2bl w:val="nil"/>
            </w:tcBorders>
            <w:vAlign w:val="center"/>
          </w:tcPr>
          <w:p w14:paraId="51AD37A9" w14:textId="77777777" w:rsidR="002503F1" w:rsidRDefault="002503F1" w:rsidP="002503F1">
            <w:pPr>
              <w:jc w:val="center"/>
              <w:rPr>
                <w:snapToGrid w:val="0"/>
                <w:color w:val="000000"/>
              </w:rPr>
            </w:pPr>
            <w:r>
              <w:rPr>
                <w:snapToGrid w:val="0"/>
                <w:color w:val="000000"/>
                <w:kern w:val="0"/>
              </w:rPr>
              <w:t>S6</w:t>
            </w:r>
          </w:p>
        </w:tc>
        <w:tc>
          <w:tcPr>
            <w:tcW w:w="1526" w:type="pct"/>
            <w:vAlign w:val="center"/>
          </w:tcPr>
          <w:p w14:paraId="7D3D20BD" w14:textId="1165B4C0" w:rsidR="002503F1" w:rsidRDefault="002503F1" w:rsidP="002503F1">
            <w:pPr>
              <w:jc w:val="center"/>
              <w:rPr>
                <w:snapToGrid w:val="0"/>
                <w:color w:val="000000"/>
                <w:kern w:val="0"/>
              </w:rPr>
            </w:pPr>
            <w:r>
              <w:rPr>
                <w:rFonts w:hint="eastAsia"/>
              </w:rPr>
              <w:t>厂区东北侧</w:t>
            </w:r>
            <w:r>
              <w:rPr>
                <w:rFonts w:hint="eastAsia"/>
              </w:rPr>
              <w:t>200m</w:t>
            </w:r>
            <w:r>
              <w:rPr>
                <w:rFonts w:hint="eastAsia"/>
              </w:rPr>
              <w:t>（耕地）</w:t>
            </w:r>
          </w:p>
        </w:tc>
        <w:tc>
          <w:tcPr>
            <w:tcW w:w="1446" w:type="pct"/>
            <w:tcBorders>
              <w:tl2br w:val="nil"/>
              <w:tr2bl w:val="nil"/>
            </w:tcBorders>
            <w:vAlign w:val="center"/>
          </w:tcPr>
          <w:p w14:paraId="6FD2F07A" w14:textId="1308F7E0" w:rsidR="002503F1" w:rsidRDefault="002503F1" w:rsidP="002503F1">
            <w:pPr>
              <w:jc w:val="center"/>
              <w:rPr>
                <w:snapToGrid w:val="0"/>
                <w:color w:val="000000"/>
                <w:kern w:val="0"/>
              </w:rPr>
            </w:pPr>
            <w:r>
              <w:t>124.995145</w:t>
            </w:r>
            <w:r>
              <w:rPr>
                <w:rFonts w:hint="eastAsia"/>
              </w:rPr>
              <w:t>，</w:t>
            </w:r>
            <w:r>
              <w:t>46.432499</w:t>
            </w:r>
          </w:p>
        </w:tc>
        <w:tc>
          <w:tcPr>
            <w:tcW w:w="1632" w:type="pct"/>
            <w:vMerge/>
            <w:tcBorders>
              <w:tl2br w:val="nil"/>
              <w:tr2bl w:val="nil"/>
            </w:tcBorders>
            <w:vAlign w:val="center"/>
          </w:tcPr>
          <w:p w14:paraId="2D1DEFDE" w14:textId="28E18C5F" w:rsidR="002503F1" w:rsidRDefault="002503F1" w:rsidP="002503F1">
            <w:pPr>
              <w:jc w:val="center"/>
              <w:rPr>
                <w:snapToGrid w:val="0"/>
                <w:color w:val="000000"/>
                <w:kern w:val="0"/>
              </w:rPr>
            </w:pPr>
          </w:p>
        </w:tc>
      </w:tr>
    </w:tbl>
    <w:bookmarkEnd w:id="226"/>
    <w:p w14:paraId="278AB9A4" w14:textId="77777777" w:rsidR="00606029" w:rsidRDefault="00EA5B92">
      <w:pPr>
        <w:spacing w:beforeLines="50" w:before="120" w:line="360" w:lineRule="auto"/>
        <w:ind w:firstLineChars="200" w:firstLine="480"/>
        <w:rPr>
          <w:sz w:val="24"/>
          <w:szCs w:val="24"/>
        </w:rPr>
      </w:pPr>
      <w:r>
        <w:rPr>
          <w:sz w:val="24"/>
          <w:szCs w:val="24"/>
        </w:rPr>
        <w:t>（</w:t>
      </w:r>
      <w:r>
        <w:rPr>
          <w:sz w:val="24"/>
          <w:szCs w:val="24"/>
        </w:rPr>
        <w:t>2</w:t>
      </w:r>
      <w:r>
        <w:rPr>
          <w:sz w:val="24"/>
          <w:szCs w:val="24"/>
        </w:rPr>
        <w:t>）监测项目</w:t>
      </w:r>
    </w:p>
    <w:p w14:paraId="100083DA" w14:textId="654B1A3A" w:rsidR="00606029" w:rsidRDefault="00EA5B92">
      <w:pPr>
        <w:widowControl/>
        <w:autoSpaceDE w:val="0"/>
        <w:autoSpaceDN w:val="0"/>
        <w:adjustRightInd w:val="0"/>
        <w:snapToGrid w:val="0"/>
        <w:spacing w:line="360" w:lineRule="auto"/>
        <w:ind w:firstLineChars="200" w:firstLine="480"/>
        <w:textAlignment w:val="baseline"/>
        <w:rPr>
          <w:snapToGrid w:val="0"/>
          <w:color w:val="000000"/>
          <w:kern w:val="0"/>
          <w:sz w:val="24"/>
        </w:rPr>
      </w:pPr>
      <w:r>
        <w:rPr>
          <w:snapToGrid w:val="0"/>
          <w:color w:val="000000"/>
          <w:kern w:val="0"/>
          <w:sz w:val="24"/>
        </w:rPr>
        <w:t>S1~S4</w:t>
      </w:r>
      <w:r w:rsidR="006A52CC">
        <w:rPr>
          <w:snapToGrid w:val="0"/>
          <w:color w:val="000000"/>
          <w:kern w:val="0"/>
          <w:sz w:val="24"/>
        </w:rPr>
        <w:t>：</w:t>
      </w:r>
      <w:r w:rsidR="002503F1" w:rsidRPr="002503F1">
        <w:rPr>
          <w:rFonts w:hint="eastAsia"/>
          <w:snapToGrid w:val="0"/>
          <w:color w:val="000000"/>
          <w:kern w:val="0"/>
          <w:sz w:val="24"/>
        </w:rPr>
        <w:t>pH</w:t>
      </w:r>
      <w:r w:rsidR="002503F1" w:rsidRPr="002503F1">
        <w:rPr>
          <w:rFonts w:hint="eastAsia"/>
          <w:snapToGrid w:val="0"/>
          <w:color w:val="000000"/>
          <w:kern w:val="0"/>
          <w:sz w:val="24"/>
        </w:rPr>
        <w:t>、石油烃（</w:t>
      </w:r>
      <w:r w:rsidR="002503F1" w:rsidRPr="002503F1">
        <w:rPr>
          <w:rFonts w:hint="eastAsia"/>
          <w:snapToGrid w:val="0"/>
          <w:color w:val="000000"/>
          <w:kern w:val="0"/>
          <w:sz w:val="24"/>
        </w:rPr>
        <w:t>C</w:t>
      </w:r>
      <w:r w:rsidR="002503F1" w:rsidRPr="002503F1">
        <w:rPr>
          <w:rFonts w:hint="eastAsia"/>
          <w:snapToGrid w:val="0"/>
          <w:color w:val="000000"/>
          <w:kern w:val="0"/>
          <w:sz w:val="24"/>
          <w:vertAlign w:val="subscript"/>
        </w:rPr>
        <w:t>10</w:t>
      </w:r>
      <w:r w:rsidR="002503F1" w:rsidRPr="002503F1">
        <w:rPr>
          <w:rFonts w:hint="eastAsia"/>
          <w:snapToGrid w:val="0"/>
          <w:color w:val="000000"/>
          <w:kern w:val="0"/>
          <w:sz w:val="24"/>
        </w:rPr>
        <w:t>-C</w:t>
      </w:r>
      <w:r w:rsidR="002503F1" w:rsidRPr="002503F1">
        <w:rPr>
          <w:rFonts w:hint="eastAsia"/>
          <w:snapToGrid w:val="0"/>
          <w:color w:val="000000"/>
          <w:kern w:val="0"/>
          <w:sz w:val="24"/>
          <w:vertAlign w:val="subscript"/>
        </w:rPr>
        <w:t>40</w:t>
      </w:r>
      <w:r w:rsidR="002503F1" w:rsidRPr="002503F1">
        <w:rPr>
          <w:rFonts w:hint="eastAsia"/>
          <w:snapToGrid w:val="0"/>
          <w:color w:val="000000"/>
          <w:kern w:val="0"/>
          <w:sz w:val="24"/>
        </w:rPr>
        <w:t>）、砷、镉、铬（六价）、铜、铅、汞、镍、四氯化碳、氯仿、氯甲烷、</w:t>
      </w:r>
      <w:r w:rsidR="002503F1" w:rsidRPr="002503F1">
        <w:rPr>
          <w:rFonts w:hint="eastAsia"/>
          <w:snapToGrid w:val="0"/>
          <w:color w:val="000000"/>
          <w:kern w:val="0"/>
          <w:sz w:val="24"/>
        </w:rPr>
        <w:t>1,1-</w:t>
      </w:r>
      <w:r w:rsidR="002503F1" w:rsidRPr="002503F1">
        <w:rPr>
          <w:rFonts w:hint="eastAsia"/>
          <w:snapToGrid w:val="0"/>
          <w:color w:val="000000"/>
          <w:kern w:val="0"/>
          <w:sz w:val="24"/>
        </w:rPr>
        <w:t>二氯乙烷、</w:t>
      </w:r>
      <w:r w:rsidR="002503F1" w:rsidRPr="002503F1">
        <w:rPr>
          <w:rFonts w:hint="eastAsia"/>
          <w:snapToGrid w:val="0"/>
          <w:color w:val="000000"/>
          <w:kern w:val="0"/>
          <w:sz w:val="24"/>
        </w:rPr>
        <w:t>1,2-</w:t>
      </w:r>
      <w:r w:rsidR="002503F1" w:rsidRPr="002503F1">
        <w:rPr>
          <w:rFonts w:hint="eastAsia"/>
          <w:snapToGrid w:val="0"/>
          <w:color w:val="000000"/>
          <w:kern w:val="0"/>
          <w:sz w:val="24"/>
        </w:rPr>
        <w:t>二氯乙烷、</w:t>
      </w:r>
      <w:r w:rsidR="002503F1" w:rsidRPr="002503F1">
        <w:rPr>
          <w:rFonts w:hint="eastAsia"/>
          <w:snapToGrid w:val="0"/>
          <w:color w:val="000000"/>
          <w:kern w:val="0"/>
          <w:sz w:val="24"/>
        </w:rPr>
        <w:t>1,1-</w:t>
      </w:r>
      <w:r w:rsidR="002503F1" w:rsidRPr="002503F1">
        <w:rPr>
          <w:rFonts w:hint="eastAsia"/>
          <w:snapToGrid w:val="0"/>
          <w:color w:val="000000"/>
          <w:kern w:val="0"/>
          <w:sz w:val="24"/>
        </w:rPr>
        <w:t>二氯乙烯、顺</w:t>
      </w:r>
      <w:r w:rsidR="002503F1" w:rsidRPr="002503F1">
        <w:rPr>
          <w:rFonts w:hint="eastAsia"/>
          <w:snapToGrid w:val="0"/>
          <w:color w:val="000000"/>
          <w:kern w:val="0"/>
          <w:sz w:val="24"/>
        </w:rPr>
        <w:t>-1,2-</w:t>
      </w:r>
      <w:r w:rsidR="002503F1" w:rsidRPr="002503F1">
        <w:rPr>
          <w:rFonts w:hint="eastAsia"/>
          <w:snapToGrid w:val="0"/>
          <w:color w:val="000000"/>
          <w:kern w:val="0"/>
          <w:sz w:val="24"/>
        </w:rPr>
        <w:t>二氯乙烯、反</w:t>
      </w:r>
      <w:r w:rsidR="002503F1" w:rsidRPr="002503F1">
        <w:rPr>
          <w:rFonts w:hint="eastAsia"/>
          <w:snapToGrid w:val="0"/>
          <w:color w:val="000000"/>
          <w:kern w:val="0"/>
          <w:sz w:val="24"/>
        </w:rPr>
        <w:t>-1,2-</w:t>
      </w:r>
      <w:r w:rsidR="002503F1" w:rsidRPr="002503F1">
        <w:rPr>
          <w:rFonts w:hint="eastAsia"/>
          <w:snapToGrid w:val="0"/>
          <w:color w:val="000000"/>
          <w:kern w:val="0"/>
          <w:sz w:val="24"/>
        </w:rPr>
        <w:t>二氯乙烯、二氯甲烷、</w:t>
      </w:r>
      <w:r w:rsidR="002503F1" w:rsidRPr="002503F1">
        <w:rPr>
          <w:rFonts w:hint="eastAsia"/>
          <w:snapToGrid w:val="0"/>
          <w:color w:val="000000"/>
          <w:kern w:val="0"/>
          <w:sz w:val="24"/>
        </w:rPr>
        <w:t>1,2-</w:t>
      </w:r>
      <w:r w:rsidR="002503F1" w:rsidRPr="002503F1">
        <w:rPr>
          <w:rFonts w:hint="eastAsia"/>
          <w:snapToGrid w:val="0"/>
          <w:color w:val="000000"/>
          <w:kern w:val="0"/>
          <w:sz w:val="24"/>
        </w:rPr>
        <w:t>二氯丙烷、</w:t>
      </w:r>
      <w:r w:rsidR="002503F1" w:rsidRPr="002503F1">
        <w:rPr>
          <w:rFonts w:hint="eastAsia"/>
          <w:snapToGrid w:val="0"/>
          <w:color w:val="000000"/>
          <w:kern w:val="0"/>
          <w:sz w:val="24"/>
        </w:rPr>
        <w:t>1,1,1,2-</w:t>
      </w:r>
      <w:r w:rsidR="002503F1" w:rsidRPr="002503F1">
        <w:rPr>
          <w:rFonts w:hint="eastAsia"/>
          <w:snapToGrid w:val="0"/>
          <w:color w:val="000000"/>
          <w:kern w:val="0"/>
          <w:sz w:val="24"/>
        </w:rPr>
        <w:t>四氯乙烷、</w:t>
      </w:r>
      <w:r w:rsidR="002503F1" w:rsidRPr="002503F1">
        <w:rPr>
          <w:rFonts w:hint="eastAsia"/>
          <w:snapToGrid w:val="0"/>
          <w:color w:val="000000"/>
          <w:kern w:val="0"/>
          <w:sz w:val="24"/>
        </w:rPr>
        <w:t>1,1,2,2-</w:t>
      </w:r>
      <w:r w:rsidR="002503F1" w:rsidRPr="002503F1">
        <w:rPr>
          <w:rFonts w:hint="eastAsia"/>
          <w:snapToGrid w:val="0"/>
          <w:color w:val="000000"/>
          <w:kern w:val="0"/>
          <w:sz w:val="24"/>
        </w:rPr>
        <w:t>四氯乙烷、四氯乙烯、</w:t>
      </w:r>
      <w:r w:rsidR="002503F1" w:rsidRPr="002503F1">
        <w:rPr>
          <w:rFonts w:hint="eastAsia"/>
          <w:snapToGrid w:val="0"/>
          <w:color w:val="000000"/>
          <w:kern w:val="0"/>
          <w:sz w:val="24"/>
        </w:rPr>
        <w:t>1,1,1-</w:t>
      </w:r>
      <w:r w:rsidR="002503F1" w:rsidRPr="002503F1">
        <w:rPr>
          <w:rFonts w:hint="eastAsia"/>
          <w:snapToGrid w:val="0"/>
          <w:color w:val="000000"/>
          <w:kern w:val="0"/>
          <w:sz w:val="24"/>
        </w:rPr>
        <w:t>三氯乙烷、</w:t>
      </w:r>
      <w:r w:rsidR="002503F1" w:rsidRPr="002503F1">
        <w:rPr>
          <w:rFonts w:hint="eastAsia"/>
          <w:snapToGrid w:val="0"/>
          <w:color w:val="000000"/>
          <w:kern w:val="0"/>
          <w:sz w:val="24"/>
        </w:rPr>
        <w:t>1,1,2-</w:t>
      </w:r>
      <w:r w:rsidR="002503F1" w:rsidRPr="002503F1">
        <w:rPr>
          <w:rFonts w:hint="eastAsia"/>
          <w:snapToGrid w:val="0"/>
          <w:color w:val="000000"/>
          <w:kern w:val="0"/>
          <w:sz w:val="24"/>
        </w:rPr>
        <w:t>三氯乙烷、三氯乙烯、</w:t>
      </w:r>
      <w:r w:rsidR="002503F1" w:rsidRPr="002503F1">
        <w:rPr>
          <w:rFonts w:hint="eastAsia"/>
          <w:snapToGrid w:val="0"/>
          <w:color w:val="000000"/>
          <w:kern w:val="0"/>
          <w:sz w:val="24"/>
        </w:rPr>
        <w:t>1,2,3-</w:t>
      </w:r>
      <w:r w:rsidR="002503F1" w:rsidRPr="002503F1">
        <w:rPr>
          <w:rFonts w:hint="eastAsia"/>
          <w:snapToGrid w:val="0"/>
          <w:color w:val="000000"/>
          <w:kern w:val="0"/>
          <w:sz w:val="24"/>
        </w:rPr>
        <w:t>三氯丙烷、氯乙烯、苯、氯苯、</w:t>
      </w:r>
      <w:r w:rsidR="002503F1" w:rsidRPr="002503F1">
        <w:rPr>
          <w:rFonts w:hint="eastAsia"/>
          <w:snapToGrid w:val="0"/>
          <w:color w:val="000000"/>
          <w:kern w:val="0"/>
          <w:sz w:val="24"/>
        </w:rPr>
        <w:t>1,2-</w:t>
      </w:r>
      <w:r w:rsidR="002503F1" w:rsidRPr="002503F1">
        <w:rPr>
          <w:rFonts w:hint="eastAsia"/>
          <w:snapToGrid w:val="0"/>
          <w:color w:val="000000"/>
          <w:kern w:val="0"/>
          <w:sz w:val="24"/>
        </w:rPr>
        <w:t>二氯苯、</w:t>
      </w:r>
      <w:r w:rsidR="002503F1" w:rsidRPr="002503F1">
        <w:rPr>
          <w:rFonts w:hint="eastAsia"/>
          <w:snapToGrid w:val="0"/>
          <w:color w:val="000000"/>
          <w:kern w:val="0"/>
          <w:sz w:val="24"/>
        </w:rPr>
        <w:t>1,4-</w:t>
      </w:r>
      <w:r w:rsidR="002503F1" w:rsidRPr="002503F1">
        <w:rPr>
          <w:rFonts w:hint="eastAsia"/>
          <w:snapToGrid w:val="0"/>
          <w:color w:val="000000"/>
          <w:kern w:val="0"/>
          <w:sz w:val="24"/>
        </w:rPr>
        <w:t>二氯苯、乙苯、苯乙烯、甲苯、间二甲苯</w:t>
      </w:r>
      <w:r w:rsidR="002503F1" w:rsidRPr="002503F1">
        <w:rPr>
          <w:rFonts w:hint="eastAsia"/>
          <w:snapToGrid w:val="0"/>
          <w:color w:val="000000"/>
          <w:kern w:val="0"/>
          <w:sz w:val="24"/>
        </w:rPr>
        <w:t>+</w:t>
      </w:r>
      <w:r w:rsidR="002503F1" w:rsidRPr="002503F1">
        <w:rPr>
          <w:rFonts w:hint="eastAsia"/>
          <w:snapToGrid w:val="0"/>
          <w:color w:val="000000"/>
          <w:kern w:val="0"/>
          <w:sz w:val="24"/>
        </w:rPr>
        <w:t>对二甲苯、邻二甲苯、硝基苯、苯胺、</w:t>
      </w:r>
      <w:r w:rsidR="002503F1" w:rsidRPr="002503F1">
        <w:rPr>
          <w:rFonts w:hint="eastAsia"/>
          <w:snapToGrid w:val="0"/>
          <w:color w:val="000000"/>
          <w:kern w:val="0"/>
          <w:sz w:val="24"/>
        </w:rPr>
        <w:t>2-</w:t>
      </w:r>
      <w:r w:rsidR="002503F1" w:rsidRPr="002503F1">
        <w:rPr>
          <w:rFonts w:hint="eastAsia"/>
          <w:snapToGrid w:val="0"/>
          <w:color w:val="000000"/>
          <w:kern w:val="0"/>
          <w:sz w:val="24"/>
        </w:rPr>
        <w:t>氯酚、苯并</w:t>
      </w:r>
      <w:r w:rsidR="002503F1" w:rsidRPr="002503F1">
        <w:rPr>
          <w:rFonts w:hint="eastAsia"/>
          <w:snapToGrid w:val="0"/>
          <w:color w:val="000000"/>
          <w:kern w:val="0"/>
          <w:sz w:val="24"/>
        </w:rPr>
        <w:t>[a]</w:t>
      </w:r>
      <w:r w:rsidR="002503F1" w:rsidRPr="002503F1">
        <w:rPr>
          <w:rFonts w:hint="eastAsia"/>
          <w:snapToGrid w:val="0"/>
          <w:color w:val="000000"/>
          <w:kern w:val="0"/>
          <w:sz w:val="24"/>
        </w:rPr>
        <w:t>蒽、苯并</w:t>
      </w:r>
      <w:r w:rsidR="002503F1" w:rsidRPr="002503F1">
        <w:rPr>
          <w:rFonts w:hint="eastAsia"/>
          <w:snapToGrid w:val="0"/>
          <w:color w:val="000000"/>
          <w:kern w:val="0"/>
          <w:sz w:val="24"/>
        </w:rPr>
        <w:t>[a]</w:t>
      </w:r>
      <w:r w:rsidR="002503F1" w:rsidRPr="002503F1">
        <w:rPr>
          <w:rFonts w:hint="eastAsia"/>
          <w:snapToGrid w:val="0"/>
          <w:color w:val="000000"/>
          <w:kern w:val="0"/>
          <w:sz w:val="24"/>
        </w:rPr>
        <w:t>芘、苯并</w:t>
      </w:r>
      <w:r w:rsidR="002503F1" w:rsidRPr="002503F1">
        <w:rPr>
          <w:snapToGrid w:val="0"/>
          <w:color w:val="000000"/>
          <w:kern w:val="0"/>
          <w:sz w:val="24"/>
        </w:rPr>
        <w:t>[b]</w:t>
      </w:r>
      <w:r w:rsidR="002503F1" w:rsidRPr="002503F1">
        <w:rPr>
          <w:rFonts w:hint="eastAsia"/>
          <w:snapToGrid w:val="0"/>
          <w:color w:val="000000"/>
          <w:kern w:val="0"/>
          <w:sz w:val="24"/>
        </w:rPr>
        <w:t>荧蒽、苯并</w:t>
      </w:r>
      <w:r w:rsidR="002503F1" w:rsidRPr="002503F1">
        <w:rPr>
          <w:snapToGrid w:val="0"/>
          <w:color w:val="000000"/>
          <w:kern w:val="0"/>
          <w:sz w:val="24"/>
        </w:rPr>
        <w:t>[k]</w:t>
      </w:r>
      <w:r w:rsidR="002503F1" w:rsidRPr="002503F1">
        <w:rPr>
          <w:rFonts w:hint="eastAsia"/>
          <w:snapToGrid w:val="0"/>
          <w:color w:val="000000"/>
          <w:kern w:val="0"/>
          <w:sz w:val="24"/>
        </w:rPr>
        <w:t>荧蒽、䓛、二苯并</w:t>
      </w:r>
      <w:r w:rsidR="002503F1" w:rsidRPr="002503F1">
        <w:rPr>
          <w:snapToGrid w:val="0"/>
          <w:color w:val="000000"/>
          <w:kern w:val="0"/>
          <w:sz w:val="24"/>
        </w:rPr>
        <w:t>[a, h]</w:t>
      </w:r>
      <w:r w:rsidR="002503F1" w:rsidRPr="002503F1">
        <w:rPr>
          <w:rFonts w:hint="eastAsia"/>
          <w:snapToGrid w:val="0"/>
          <w:color w:val="000000"/>
          <w:kern w:val="0"/>
          <w:sz w:val="24"/>
        </w:rPr>
        <w:t>蒽、茚并</w:t>
      </w:r>
      <w:r w:rsidR="002503F1" w:rsidRPr="002503F1">
        <w:rPr>
          <w:snapToGrid w:val="0"/>
          <w:color w:val="000000"/>
          <w:kern w:val="0"/>
          <w:sz w:val="24"/>
        </w:rPr>
        <w:t>[1,2,3-cd]</w:t>
      </w:r>
      <w:r w:rsidR="002503F1" w:rsidRPr="002503F1">
        <w:rPr>
          <w:rFonts w:hint="eastAsia"/>
          <w:snapToGrid w:val="0"/>
          <w:color w:val="000000"/>
          <w:kern w:val="0"/>
          <w:sz w:val="24"/>
        </w:rPr>
        <w:t>芘、萘</w:t>
      </w:r>
      <w:r>
        <w:rPr>
          <w:snapToGrid w:val="0"/>
          <w:color w:val="000000"/>
          <w:kern w:val="0"/>
          <w:sz w:val="24"/>
        </w:rPr>
        <w:t>。</w:t>
      </w:r>
    </w:p>
    <w:p w14:paraId="7ECEE94E" w14:textId="5BB5B770" w:rsidR="00606029" w:rsidRDefault="00EA5B92">
      <w:pPr>
        <w:widowControl/>
        <w:autoSpaceDE w:val="0"/>
        <w:autoSpaceDN w:val="0"/>
        <w:adjustRightInd w:val="0"/>
        <w:snapToGrid w:val="0"/>
        <w:spacing w:line="360" w:lineRule="auto"/>
        <w:ind w:firstLineChars="200" w:firstLine="480"/>
        <w:textAlignment w:val="baseline"/>
        <w:rPr>
          <w:snapToGrid w:val="0"/>
          <w:color w:val="000000"/>
          <w:kern w:val="0"/>
          <w:sz w:val="24"/>
        </w:rPr>
      </w:pPr>
      <w:r>
        <w:rPr>
          <w:snapToGrid w:val="0"/>
          <w:color w:val="000000"/>
          <w:kern w:val="0"/>
          <w:sz w:val="24"/>
        </w:rPr>
        <w:t>S5~S6</w:t>
      </w:r>
      <w:r w:rsidR="006A52CC">
        <w:rPr>
          <w:snapToGrid w:val="0"/>
          <w:color w:val="000000"/>
          <w:kern w:val="0"/>
          <w:sz w:val="24"/>
        </w:rPr>
        <w:t>：</w:t>
      </w:r>
      <w:r w:rsidR="002503F1" w:rsidRPr="002503F1">
        <w:rPr>
          <w:rFonts w:hint="eastAsia"/>
          <w:snapToGrid w:val="0"/>
          <w:color w:val="000000"/>
          <w:kern w:val="0"/>
          <w:sz w:val="24"/>
        </w:rPr>
        <w:t>pH</w:t>
      </w:r>
      <w:r w:rsidR="002503F1" w:rsidRPr="002503F1">
        <w:rPr>
          <w:rFonts w:hint="eastAsia"/>
          <w:snapToGrid w:val="0"/>
          <w:color w:val="000000"/>
          <w:kern w:val="0"/>
          <w:sz w:val="24"/>
        </w:rPr>
        <w:t>、石油烃（</w:t>
      </w:r>
      <w:r w:rsidR="002503F1" w:rsidRPr="002503F1">
        <w:rPr>
          <w:rFonts w:hint="eastAsia"/>
          <w:snapToGrid w:val="0"/>
          <w:color w:val="000000"/>
          <w:kern w:val="0"/>
          <w:sz w:val="24"/>
        </w:rPr>
        <w:t>C</w:t>
      </w:r>
      <w:r w:rsidR="002503F1" w:rsidRPr="002503F1">
        <w:rPr>
          <w:rFonts w:hint="eastAsia"/>
          <w:snapToGrid w:val="0"/>
          <w:color w:val="000000"/>
          <w:kern w:val="0"/>
          <w:sz w:val="24"/>
          <w:vertAlign w:val="subscript"/>
        </w:rPr>
        <w:t>10</w:t>
      </w:r>
      <w:r w:rsidR="002503F1" w:rsidRPr="002503F1">
        <w:rPr>
          <w:rFonts w:hint="eastAsia"/>
          <w:snapToGrid w:val="0"/>
          <w:color w:val="000000"/>
          <w:kern w:val="0"/>
          <w:sz w:val="24"/>
        </w:rPr>
        <w:t>-C</w:t>
      </w:r>
      <w:r w:rsidR="002503F1" w:rsidRPr="002503F1">
        <w:rPr>
          <w:rFonts w:hint="eastAsia"/>
          <w:snapToGrid w:val="0"/>
          <w:color w:val="000000"/>
          <w:kern w:val="0"/>
          <w:sz w:val="24"/>
          <w:vertAlign w:val="subscript"/>
        </w:rPr>
        <w:t>40</w:t>
      </w:r>
      <w:r w:rsidR="002503F1" w:rsidRPr="002503F1">
        <w:rPr>
          <w:rFonts w:hint="eastAsia"/>
          <w:snapToGrid w:val="0"/>
          <w:color w:val="000000"/>
          <w:kern w:val="0"/>
          <w:sz w:val="24"/>
        </w:rPr>
        <w:t>）、镉、铬、汞、铜、砷、镍、铅、锌</w:t>
      </w:r>
      <w:r>
        <w:rPr>
          <w:snapToGrid w:val="0"/>
          <w:color w:val="000000"/>
          <w:kern w:val="0"/>
          <w:sz w:val="24"/>
        </w:rPr>
        <w:t>。</w:t>
      </w:r>
    </w:p>
    <w:p w14:paraId="62D94E7E" w14:textId="77777777" w:rsidR="00606029" w:rsidRDefault="00EA5B92">
      <w:pPr>
        <w:widowControl/>
        <w:autoSpaceDE w:val="0"/>
        <w:autoSpaceDN w:val="0"/>
        <w:adjustRightInd w:val="0"/>
        <w:snapToGrid w:val="0"/>
        <w:spacing w:line="360" w:lineRule="auto"/>
        <w:ind w:firstLineChars="200" w:firstLine="480"/>
        <w:textAlignment w:val="baseline"/>
        <w:rPr>
          <w:snapToGrid w:val="0"/>
          <w:color w:val="000000"/>
          <w:kern w:val="0"/>
          <w:sz w:val="24"/>
        </w:rPr>
      </w:pPr>
      <w:r>
        <w:rPr>
          <w:snapToGrid w:val="0"/>
          <w:color w:val="000000"/>
          <w:kern w:val="0"/>
          <w:sz w:val="24"/>
        </w:rPr>
        <w:t>（</w:t>
      </w:r>
      <w:r>
        <w:rPr>
          <w:snapToGrid w:val="0"/>
          <w:color w:val="000000"/>
          <w:kern w:val="0"/>
          <w:sz w:val="24"/>
        </w:rPr>
        <w:t>3</w:t>
      </w:r>
      <w:r>
        <w:rPr>
          <w:snapToGrid w:val="0"/>
          <w:color w:val="000000"/>
          <w:kern w:val="0"/>
          <w:sz w:val="24"/>
        </w:rPr>
        <w:t>）监测频次</w:t>
      </w:r>
    </w:p>
    <w:p w14:paraId="45A52D09" w14:textId="26D8CEFC" w:rsidR="00606029" w:rsidRDefault="00EA5B92">
      <w:pPr>
        <w:widowControl/>
        <w:autoSpaceDE w:val="0"/>
        <w:autoSpaceDN w:val="0"/>
        <w:adjustRightInd w:val="0"/>
        <w:snapToGrid w:val="0"/>
        <w:spacing w:line="360" w:lineRule="auto"/>
        <w:ind w:firstLineChars="200" w:firstLine="480"/>
        <w:textAlignment w:val="baseline"/>
        <w:rPr>
          <w:snapToGrid w:val="0"/>
          <w:color w:val="000000"/>
          <w:kern w:val="0"/>
          <w:sz w:val="24"/>
        </w:rPr>
      </w:pPr>
      <w:r>
        <w:rPr>
          <w:snapToGrid w:val="0"/>
          <w:color w:val="000000"/>
          <w:kern w:val="0"/>
          <w:sz w:val="24"/>
        </w:rPr>
        <w:t>一次</w:t>
      </w:r>
      <w:r w:rsidR="004B1E41">
        <w:rPr>
          <w:rFonts w:hint="eastAsia"/>
          <w:snapToGrid w:val="0"/>
          <w:color w:val="000000"/>
          <w:kern w:val="0"/>
          <w:sz w:val="24"/>
        </w:rPr>
        <w:t>性监测</w:t>
      </w:r>
      <w:r>
        <w:rPr>
          <w:snapToGrid w:val="0"/>
          <w:color w:val="000000"/>
          <w:kern w:val="0"/>
          <w:sz w:val="24"/>
        </w:rPr>
        <w:t>。</w:t>
      </w:r>
    </w:p>
    <w:p w14:paraId="3FAAE5F4" w14:textId="3FFA4735" w:rsidR="00606029" w:rsidRDefault="00EA5B92">
      <w:pPr>
        <w:widowControl/>
        <w:autoSpaceDE w:val="0"/>
        <w:autoSpaceDN w:val="0"/>
        <w:adjustRightInd w:val="0"/>
        <w:snapToGrid w:val="0"/>
        <w:spacing w:line="360" w:lineRule="auto"/>
        <w:ind w:firstLineChars="200" w:firstLine="480"/>
        <w:textAlignment w:val="baseline"/>
        <w:rPr>
          <w:snapToGrid w:val="0"/>
          <w:color w:val="000000"/>
          <w:kern w:val="0"/>
          <w:sz w:val="24"/>
        </w:rPr>
      </w:pPr>
      <w:r>
        <w:rPr>
          <w:snapToGrid w:val="0"/>
          <w:sz w:val="24"/>
          <w:szCs w:val="24"/>
        </w:rPr>
        <w:t>（</w:t>
      </w:r>
      <w:r w:rsidR="004B1E41">
        <w:rPr>
          <w:rFonts w:hint="eastAsia"/>
          <w:snapToGrid w:val="0"/>
          <w:sz w:val="24"/>
          <w:szCs w:val="24"/>
        </w:rPr>
        <w:t>4</w:t>
      </w:r>
      <w:r>
        <w:rPr>
          <w:snapToGrid w:val="0"/>
          <w:sz w:val="24"/>
          <w:szCs w:val="24"/>
        </w:rPr>
        <w:t>）</w:t>
      </w:r>
      <w:r>
        <w:rPr>
          <w:snapToGrid w:val="0"/>
          <w:color w:val="000000"/>
          <w:kern w:val="0"/>
          <w:sz w:val="24"/>
        </w:rPr>
        <w:t>评价标准</w:t>
      </w:r>
    </w:p>
    <w:p w14:paraId="1A44A3CD" w14:textId="762A40F8" w:rsidR="00606029" w:rsidRDefault="00EA5B92">
      <w:pPr>
        <w:widowControl/>
        <w:autoSpaceDE w:val="0"/>
        <w:autoSpaceDN w:val="0"/>
        <w:adjustRightInd w:val="0"/>
        <w:snapToGrid w:val="0"/>
        <w:spacing w:line="360" w:lineRule="auto"/>
        <w:ind w:firstLineChars="200" w:firstLine="480"/>
        <w:textAlignment w:val="baseline"/>
        <w:rPr>
          <w:snapToGrid w:val="0"/>
          <w:color w:val="000000"/>
          <w:kern w:val="0"/>
          <w:sz w:val="24"/>
        </w:rPr>
      </w:pPr>
      <w:r>
        <w:rPr>
          <w:snapToGrid w:val="0"/>
          <w:color w:val="000000"/>
          <w:kern w:val="0"/>
          <w:sz w:val="24"/>
        </w:rPr>
        <w:t>建设项目所在地土壤执行《土壤环境质量</w:t>
      </w:r>
      <w:r>
        <w:rPr>
          <w:snapToGrid w:val="0"/>
          <w:color w:val="000000"/>
          <w:kern w:val="0"/>
          <w:sz w:val="24"/>
        </w:rPr>
        <w:t xml:space="preserve"> </w:t>
      </w:r>
      <w:r>
        <w:rPr>
          <w:snapToGrid w:val="0"/>
          <w:color w:val="000000"/>
          <w:kern w:val="0"/>
          <w:sz w:val="24"/>
        </w:rPr>
        <w:t>建设用地土壤污染风险管控标准（试行）》（</w:t>
      </w:r>
      <w:r>
        <w:rPr>
          <w:snapToGrid w:val="0"/>
          <w:color w:val="000000"/>
          <w:kern w:val="0"/>
          <w:sz w:val="24"/>
        </w:rPr>
        <w:t>GB36600-2018</w:t>
      </w:r>
      <w:r>
        <w:rPr>
          <w:snapToGrid w:val="0"/>
          <w:color w:val="000000"/>
          <w:kern w:val="0"/>
          <w:sz w:val="24"/>
        </w:rPr>
        <w:t>）表</w:t>
      </w:r>
      <w:r>
        <w:rPr>
          <w:snapToGrid w:val="0"/>
          <w:color w:val="000000"/>
          <w:kern w:val="0"/>
          <w:sz w:val="24"/>
        </w:rPr>
        <w:t>1</w:t>
      </w:r>
      <w:r>
        <w:rPr>
          <w:snapToGrid w:val="0"/>
          <w:color w:val="000000"/>
          <w:kern w:val="0"/>
          <w:sz w:val="24"/>
        </w:rPr>
        <w:t>中第二类用地的筛选值。周边农用地执行《土壤环境质量</w:t>
      </w:r>
      <w:r>
        <w:rPr>
          <w:snapToGrid w:val="0"/>
          <w:color w:val="000000"/>
          <w:kern w:val="0"/>
          <w:sz w:val="24"/>
        </w:rPr>
        <w:t xml:space="preserve"> </w:t>
      </w:r>
      <w:r>
        <w:rPr>
          <w:snapToGrid w:val="0"/>
          <w:color w:val="000000"/>
          <w:kern w:val="0"/>
          <w:sz w:val="24"/>
        </w:rPr>
        <w:t>农用地土壤污染风险管控标准（试行）》（</w:t>
      </w:r>
      <w:r>
        <w:rPr>
          <w:snapToGrid w:val="0"/>
          <w:color w:val="000000"/>
          <w:kern w:val="0"/>
          <w:sz w:val="24"/>
        </w:rPr>
        <w:t>GB15618-2018</w:t>
      </w:r>
      <w:r>
        <w:rPr>
          <w:snapToGrid w:val="0"/>
          <w:color w:val="000000"/>
          <w:kern w:val="0"/>
          <w:sz w:val="24"/>
        </w:rPr>
        <w:t>）中表</w:t>
      </w:r>
      <w:r>
        <w:rPr>
          <w:snapToGrid w:val="0"/>
          <w:color w:val="000000"/>
          <w:kern w:val="0"/>
          <w:sz w:val="24"/>
        </w:rPr>
        <w:t>1</w:t>
      </w:r>
      <w:r>
        <w:rPr>
          <w:snapToGrid w:val="0"/>
          <w:color w:val="000000"/>
          <w:kern w:val="0"/>
          <w:sz w:val="24"/>
        </w:rPr>
        <w:t>筛选值。</w:t>
      </w:r>
    </w:p>
    <w:p w14:paraId="564CA100" w14:textId="04F74E03" w:rsidR="00606029" w:rsidRDefault="00EA5B92">
      <w:pPr>
        <w:widowControl/>
        <w:autoSpaceDE w:val="0"/>
        <w:autoSpaceDN w:val="0"/>
        <w:adjustRightInd w:val="0"/>
        <w:snapToGrid w:val="0"/>
        <w:spacing w:line="360" w:lineRule="auto"/>
        <w:ind w:firstLineChars="200" w:firstLine="480"/>
        <w:textAlignment w:val="baseline"/>
        <w:rPr>
          <w:snapToGrid w:val="0"/>
          <w:color w:val="000000"/>
          <w:kern w:val="0"/>
          <w:sz w:val="24"/>
        </w:rPr>
      </w:pPr>
      <w:r>
        <w:rPr>
          <w:snapToGrid w:val="0"/>
          <w:color w:val="000000"/>
          <w:kern w:val="0"/>
          <w:sz w:val="24"/>
        </w:rPr>
        <w:lastRenderedPageBreak/>
        <w:t>（</w:t>
      </w:r>
      <w:r w:rsidR="004B1E41">
        <w:rPr>
          <w:rFonts w:hint="eastAsia"/>
          <w:snapToGrid w:val="0"/>
          <w:color w:val="000000"/>
          <w:kern w:val="0"/>
          <w:sz w:val="24"/>
        </w:rPr>
        <w:t>5</w:t>
      </w:r>
      <w:r>
        <w:rPr>
          <w:snapToGrid w:val="0"/>
          <w:color w:val="000000"/>
          <w:kern w:val="0"/>
          <w:sz w:val="24"/>
        </w:rPr>
        <w:t>）评价方法</w:t>
      </w:r>
    </w:p>
    <w:p w14:paraId="54C95950" w14:textId="33D09DD6" w:rsidR="00606029" w:rsidRDefault="00EA5B92">
      <w:pPr>
        <w:widowControl/>
        <w:autoSpaceDE w:val="0"/>
        <w:autoSpaceDN w:val="0"/>
        <w:adjustRightInd w:val="0"/>
        <w:snapToGrid w:val="0"/>
        <w:spacing w:line="360" w:lineRule="auto"/>
        <w:ind w:firstLineChars="200" w:firstLine="480"/>
        <w:textAlignment w:val="baseline"/>
        <w:rPr>
          <w:snapToGrid w:val="0"/>
          <w:color w:val="000000"/>
          <w:kern w:val="0"/>
          <w:sz w:val="24"/>
        </w:rPr>
      </w:pPr>
      <w:r>
        <w:rPr>
          <w:snapToGrid w:val="0"/>
          <w:color w:val="000000"/>
          <w:kern w:val="0"/>
          <w:sz w:val="24"/>
        </w:rPr>
        <w:t>根据《环境影响评价技术导则土壤环境（试行）》（</w:t>
      </w:r>
      <w:r>
        <w:rPr>
          <w:snapToGrid w:val="0"/>
          <w:color w:val="000000"/>
          <w:kern w:val="0"/>
          <w:sz w:val="24"/>
        </w:rPr>
        <w:t>HJ964-2018</w:t>
      </w:r>
      <w:r>
        <w:rPr>
          <w:snapToGrid w:val="0"/>
          <w:color w:val="000000"/>
          <w:kern w:val="0"/>
          <w:sz w:val="24"/>
        </w:rPr>
        <w:t>），土壤环境质量现状评价采用标准指数法。标准指数计算公式</w:t>
      </w:r>
      <w:r w:rsidR="006A52CC">
        <w:rPr>
          <w:snapToGrid w:val="0"/>
          <w:color w:val="000000"/>
          <w:kern w:val="0"/>
          <w:sz w:val="24"/>
        </w:rPr>
        <w:t>：</w:t>
      </w:r>
    </w:p>
    <w:p w14:paraId="4B742382" w14:textId="77777777" w:rsidR="00606029" w:rsidRDefault="00EA5B92">
      <w:pPr>
        <w:spacing w:line="360" w:lineRule="auto"/>
        <w:ind w:firstLineChars="200" w:firstLine="562"/>
        <w:jc w:val="center"/>
        <w:rPr>
          <w:b/>
          <w:sz w:val="28"/>
          <w:szCs w:val="28"/>
        </w:rPr>
      </w:pPr>
      <w:r>
        <w:rPr>
          <w:b/>
          <w:sz w:val="28"/>
          <w:szCs w:val="28"/>
        </w:rPr>
        <w:t>S</w:t>
      </w:r>
      <w:r>
        <w:rPr>
          <w:b/>
          <w:sz w:val="28"/>
          <w:szCs w:val="28"/>
          <w:vertAlign w:val="subscript"/>
        </w:rPr>
        <w:t>i</w:t>
      </w:r>
      <w:r>
        <w:rPr>
          <w:b/>
          <w:sz w:val="28"/>
          <w:szCs w:val="28"/>
          <w:vertAlign w:val="subscript"/>
        </w:rPr>
        <w:t>，</w:t>
      </w:r>
      <w:r>
        <w:rPr>
          <w:b/>
          <w:sz w:val="28"/>
          <w:szCs w:val="28"/>
          <w:vertAlign w:val="subscript"/>
        </w:rPr>
        <w:t xml:space="preserve">j </w:t>
      </w:r>
      <w:r>
        <w:rPr>
          <w:b/>
          <w:sz w:val="28"/>
          <w:szCs w:val="28"/>
        </w:rPr>
        <w:t>=C</w:t>
      </w:r>
      <w:r>
        <w:rPr>
          <w:b/>
          <w:sz w:val="28"/>
          <w:szCs w:val="28"/>
          <w:vertAlign w:val="subscript"/>
        </w:rPr>
        <w:t xml:space="preserve"> i</w:t>
      </w:r>
      <w:r>
        <w:rPr>
          <w:b/>
          <w:sz w:val="28"/>
          <w:szCs w:val="28"/>
          <w:vertAlign w:val="subscript"/>
        </w:rPr>
        <w:t>，</w:t>
      </w:r>
      <w:r>
        <w:rPr>
          <w:b/>
          <w:sz w:val="28"/>
          <w:szCs w:val="28"/>
          <w:vertAlign w:val="subscript"/>
        </w:rPr>
        <w:t>j</w:t>
      </w:r>
      <w:r>
        <w:rPr>
          <w:b/>
          <w:sz w:val="28"/>
          <w:szCs w:val="28"/>
        </w:rPr>
        <w:t>/C</w:t>
      </w:r>
      <w:r>
        <w:rPr>
          <w:b/>
          <w:sz w:val="28"/>
          <w:szCs w:val="28"/>
          <w:vertAlign w:val="subscript"/>
        </w:rPr>
        <w:t>Si</w:t>
      </w:r>
    </w:p>
    <w:p w14:paraId="41831D13" w14:textId="7A4D1255" w:rsidR="00606029" w:rsidRDefault="00EA5B92">
      <w:pPr>
        <w:widowControl/>
        <w:autoSpaceDE w:val="0"/>
        <w:autoSpaceDN w:val="0"/>
        <w:adjustRightInd w:val="0"/>
        <w:snapToGrid w:val="0"/>
        <w:spacing w:line="360" w:lineRule="auto"/>
        <w:ind w:firstLineChars="200" w:firstLine="480"/>
        <w:textAlignment w:val="baseline"/>
        <w:rPr>
          <w:snapToGrid w:val="0"/>
          <w:color w:val="000000"/>
          <w:kern w:val="0"/>
          <w:sz w:val="24"/>
        </w:rPr>
      </w:pPr>
      <w:r>
        <w:rPr>
          <w:snapToGrid w:val="0"/>
          <w:color w:val="000000"/>
          <w:kern w:val="0"/>
          <w:sz w:val="24"/>
        </w:rPr>
        <w:t>式中</w:t>
      </w:r>
      <w:r w:rsidR="006A52CC">
        <w:rPr>
          <w:snapToGrid w:val="0"/>
          <w:color w:val="000000"/>
          <w:kern w:val="0"/>
          <w:sz w:val="24"/>
        </w:rPr>
        <w:t>：</w:t>
      </w:r>
      <w:r>
        <w:rPr>
          <w:snapToGrid w:val="0"/>
          <w:color w:val="000000"/>
          <w:kern w:val="0"/>
          <w:sz w:val="24"/>
        </w:rPr>
        <w:t>Si</w:t>
      </w:r>
      <w:r>
        <w:rPr>
          <w:snapToGrid w:val="0"/>
          <w:color w:val="000000"/>
          <w:kern w:val="0"/>
          <w:sz w:val="24"/>
        </w:rPr>
        <w:t>，</w:t>
      </w:r>
      <w:r>
        <w:rPr>
          <w:snapToGrid w:val="0"/>
          <w:color w:val="000000"/>
          <w:kern w:val="0"/>
          <w:sz w:val="24"/>
        </w:rPr>
        <w:t>j ——</w:t>
      </w:r>
      <w:r>
        <w:rPr>
          <w:snapToGrid w:val="0"/>
          <w:color w:val="000000"/>
          <w:kern w:val="0"/>
          <w:sz w:val="24"/>
        </w:rPr>
        <w:t>评价因子</w:t>
      </w:r>
      <w:r>
        <w:rPr>
          <w:snapToGrid w:val="0"/>
          <w:color w:val="000000"/>
          <w:kern w:val="0"/>
          <w:sz w:val="24"/>
        </w:rPr>
        <w:t xml:space="preserve">i </w:t>
      </w:r>
      <w:r>
        <w:rPr>
          <w:snapToGrid w:val="0"/>
          <w:color w:val="000000"/>
          <w:kern w:val="0"/>
          <w:sz w:val="24"/>
        </w:rPr>
        <w:t>的标准指数，大于</w:t>
      </w:r>
      <w:r>
        <w:rPr>
          <w:snapToGrid w:val="0"/>
          <w:color w:val="000000"/>
          <w:kern w:val="0"/>
          <w:sz w:val="24"/>
        </w:rPr>
        <w:t>1</w:t>
      </w:r>
      <w:r>
        <w:rPr>
          <w:snapToGrid w:val="0"/>
          <w:color w:val="000000"/>
          <w:kern w:val="0"/>
          <w:sz w:val="24"/>
        </w:rPr>
        <w:t>表明该因子超标；</w:t>
      </w:r>
    </w:p>
    <w:p w14:paraId="5DFF3C7D" w14:textId="77777777" w:rsidR="00606029" w:rsidRDefault="00EA5B92">
      <w:pPr>
        <w:widowControl/>
        <w:autoSpaceDE w:val="0"/>
        <w:autoSpaceDN w:val="0"/>
        <w:adjustRightInd w:val="0"/>
        <w:snapToGrid w:val="0"/>
        <w:spacing w:line="360" w:lineRule="auto"/>
        <w:ind w:firstLineChars="200" w:firstLine="480"/>
        <w:textAlignment w:val="baseline"/>
        <w:rPr>
          <w:snapToGrid w:val="0"/>
          <w:color w:val="000000"/>
          <w:kern w:val="0"/>
          <w:sz w:val="24"/>
        </w:rPr>
      </w:pPr>
      <w:r>
        <w:rPr>
          <w:snapToGrid w:val="0"/>
          <w:color w:val="000000"/>
          <w:kern w:val="0"/>
          <w:sz w:val="24"/>
        </w:rPr>
        <w:t>C i</w:t>
      </w:r>
      <w:r>
        <w:rPr>
          <w:snapToGrid w:val="0"/>
          <w:color w:val="000000"/>
          <w:kern w:val="0"/>
          <w:sz w:val="24"/>
        </w:rPr>
        <w:t>，</w:t>
      </w:r>
      <w:r>
        <w:rPr>
          <w:snapToGrid w:val="0"/>
          <w:color w:val="000000"/>
          <w:kern w:val="0"/>
          <w:sz w:val="24"/>
        </w:rPr>
        <w:t>j ——</w:t>
      </w:r>
      <w:r>
        <w:rPr>
          <w:snapToGrid w:val="0"/>
          <w:color w:val="000000"/>
          <w:kern w:val="0"/>
          <w:sz w:val="24"/>
        </w:rPr>
        <w:t>评价因子</w:t>
      </w:r>
      <w:r>
        <w:rPr>
          <w:snapToGrid w:val="0"/>
          <w:color w:val="000000"/>
          <w:kern w:val="0"/>
          <w:sz w:val="24"/>
        </w:rPr>
        <w:t xml:space="preserve">i </w:t>
      </w:r>
      <w:r>
        <w:rPr>
          <w:snapToGrid w:val="0"/>
          <w:color w:val="000000"/>
          <w:kern w:val="0"/>
          <w:sz w:val="24"/>
        </w:rPr>
        <w:t>在</w:t>
      </w:r>
      <w:r>
        <w:rPr>
          <w:snapToGrid w:val="0"/>
          <w:color w:val="000000"/>
          <w:kern w:val="0"/>
          <w:sz w:val="24"/>
        </w:rPr>
        <w:t xml:space="preserve">j </w:t>
      </w:r>
      <w:r>
        <w:rPr>
          <w:snapToGrid w:val="0"/>
          <w:color w:val="000000"/>
          <w:kern w:val="0"/>
          <w:sz w:val="24"/>
        </w:rPr>
        <w:t>点的实测统计代表值，</w:t>
      </w:r>
      <w:r>
        <w:rPr>
          <w:snapToGrid w:val="0"/>
          <w:color w:val="000000"/>
          <w:kern w:val="0"/>
          <w:sz w:val="24"/>
        </w:rPr>
        <w:t>mg/kg</w:t>
      </w:r>
      <w:r>
        <w:rPr>
          <w:snapToGrid w:val="0"/>
          <w:color w:val="000000"/>
          <w:kern w:val="0"/>
          <w:sz w:val="24"/>
        </w:rPr>
        <w:t>；</w:t>
      </w:r>
    </w:p>
    <w:p w14:paraId="23C07867" w14:textId="77777777" w:rsidR="00606029" w:rsidRDefault="00EA5B92">
      <w:pPr>
        <w:widowControl/>
        <w:autoSpaceDE w:val="0"/>
        <w:autoSpaceDN w:val="0"/>
        <w:adjustRightInd w:val="0"/>
        <w:snapToGrid w:val="0"/>
        <w:spacing w:line="360" w:lineRule="auto"/>
        <w:ind w:firstLineChars="200" w:firstLine="480"/>
        <w:textAlignment w:val="baseline"/>
        <w:rPr>
          <w:snapToGrid w:val="0"/>
          <w:color w:val="000000"/>
          <w:kern w:val="0"/>
          <w:sz w:val="24"/>
        </w:rPr>
      </w:pPr>
      <w:r>
        <w:rPr>
          <w:snapToGrid w:val="0"/>
          <w:color w:val="000000"/>
          <w:kern w:val="0"/>
          <w:sz w:val="24"/>
        </w:rPr>
        <w:t>C Si ——</w:t>
      </w:r>
      <w:r>
        <w:rPr>
          <w:snapToGrid w:val="0"/>
          <w:color w:val="000000"/>
          <w:kern w:val="0"/>
          <w:sz w:val="24"/>
        </w:rPr>
        <w:t>评价因子</w:t>
      </w:r>
      <w:r>
        <w:rPr>
          <w:snapToGrid w:val="0"/>
          <w:color w:val="000000"/>
          <w:kern w:val="0"/>
          <w:sz w:val="24"/>
        </w:rPr>
        <w:t xml:space="preserve">i </w:t>
      </w:r>
      <w:r>
        <w:rPr>
          <w:snapToGrid w:val="0"/>
          <w:color w:val="000000"/>
          <w:kern w:val="0"/>
          <w:sz w:val="24"/>
        </w:rPr>
        <w:t>的土壤评价标准限值，</w:t>
      </w:r>
      <w:r>
        <w:rPr>
          <w:snapToGrid w:val="0"/>
          <w:color w:val="000000"/>
          <w:kern w:val="0"/>
          <w:sz w:val="24"/>
        </w:rPr>
        <w:t>mg/kg</w:t>
      </w:r>
      <w:r>
        <w:rPr>
          <w:snapToGrid w:val="0"/>
          <w:color w:val="000000"/>
          <w:kern w:val="0"/>
          <w:sz w:val="24"/>
        </w:rPr>
        <w:t>。</w:t>
      </w:r>
    </w:p>
    <w:p w14:paraId="29D7DDF6" w14:textId="77777777" w:rsidR="00606029" w:rsidRDefault="00EA5B92">
      <w:pPr>
        <w:autoSpaceDE w:val="0"/>
        <w:autoSpaceDN w:val="0"/>
        <w:adjustRightInd w:val="0"/>
        <w:snapToGrid w:val="0"/>
        <w:spacing w:line="360" w:lineRule="auto"/>
        <w:ind w:firstLineChars="200" w:firstLine="480"/>
        <w:jc w:val="left"/>
        <w:textAlignment w:val="baseline"/>
        <w:rPr>
          <w:snapToGrid w:val="0"/>
          <w:sz w:val="24"/>
          <w:szCs w:val="24"/>
        </w:rPr>
      </w:pPr>
      <w:r>
        <w:rPr>
          <w:snapToGrid w:val="0"/>
          <w:sz w:val="24"/>
          <w:szCs w:val="24"/>
        </w:rPr>
        <w:t>（</w:t>
      </w:r>
      <w:r>
        <w:rPr>
          <w:snapToGrid w:val="0"/>
          <w:sz w:val="24"/>
          <w:szCs w:val="24"/>
        </w:rPr>
        <w:t>7</w:t>
      </w:r>
      <w:r>
        <w:rPr>
          <w:snapToGrid w:val="0"/>
          <w:sz w:val="24"/>
          <w:szCs w:val="24"/>
        </w:rPr>
        <w:t>）监测统计及评价结果</w:t>
      </w:r>
    </w:p>
    <w:p w14:paraId="596AF856" w14:textId="77777777" w:rsidR="00606029" w:rsidRDefault="00EA5B92">
      <w:pPr>
        <w:spacing w:line="360" w:lineRule="auto"/>
        <w:ind w:firstLineChars="200" w:firstLine="480"/>
        <w:jc w:val="left"/>
        <w:rPr>
          <w:sz w:val="24"/>
          <w:szCs w:val="24"/>
        </w:rPr>
        <w:sectPr w:rsidR="00606029" w:rsidSect="00EA5215">
          <w:pgSz w:w="11905" w:h="16838"/>
          <w:pgMar w:top="1417" w:right="1474" w:bottom="1417" w:left="1474" w:header="850" w:footer="850" w:gutter="113"/>
          <w:cols w:space="0"/>
          <w:docGrid w:linePitch="1"/>
        </w:sectPr>
      </w:pPr>
      <w:r>
        <w:rPr>
          <w:snapToGrid w:val="0"/>
          <w:sz w:val="24"/>
          <w:szCs w:val="24"/>
        </w:rPr>
        <w:t>各点位监测数据统计分析及评价的详细情况见下表。</w:t>
      </w:r>
    </w:p>
    <w:p w14:paraId="77C5F080" w14:textId="70C31DE8" w:rsidR="00606029" w:rsidRPr="00BE6003" w:rsidRDefault="00EA5B92">
      <w:pPr>
        <w:ind w:firstLineChars="200" w:firstLine="422"/>
        <w:jc w:val="center"/>
        <w:rPr>
          <w:b/>
        </w:rPr>
      </w:pPr>
      <w:r>
        <w:rPr>
          <w:b/>
        </w:rPr>
        <w:lastRenderedPageBreak/>
        <w:t>表</w:t>
      </w:r>
      <w:r>
        <w:rPr>
          <w:b/>
        </w:rPr>
        <w:t xml:space="preserve">5.5-2  </w:t>
      </w:r>
      <w:r>
        <w:rPr>
          <w:b/>
        </w:rPr>
        <w:t>建设用地土壤监测数据一览表</w:t>
      </w:r>
      <w:r w:rsidR="00BE6003">
        <w:rPr>
          <w:rFonts w:hint="eastAsia"/>
          <w:b/>
        </w:rPr>
        <w:t xml:space="preserve">  </w:t>
      </w:r>
      <w:r w:rsidR="00BE6003">
        <w:rPr>
          <w:rFonts w:hint="eastAsia"/>
          <w:b/>
        </w:rPr>
        <w:t>单位：</w:t>
      </w:r>
      <w:r w:rsidR="00BE6003" w:rsidRPr="00BE6003">
        <w:rPr>
          <w:rFonts w:hint="eastAsia"/>
          <w:b/>
        </w:rPr>
        <w:t>mg/kg</w:t>
      </w:r>
    </w:p>
    <w:tbl>
      <w:tblPr>
        <w:tblStyle w:val="aff4"/>
        <w:tblW w:w="5000" w:type="pct"/>
        <w:jc w:val="center"/>
        <w:tblLook w:val="04A0" w:firstRow="1" w:lastRow="0" w:firstColumn="1" w:lastColumn="0" w:noHBand="0" w:noVBand="1"/>
      </w:tblPr>
      <w:tblGrid>
        <w:gridCol w:w="1284"/>
        <w:gridCol w:w="908"/>
        <w:gridCol w:w="1065"/>
        <w:gridCol w:w="908"/>
        <w:gridCol w:w="908"/>
        <w:gridCol w:w="1065"/>
        <w:gridCol w:w="918"/>
        <w:gridCol w:w="952"/>
        <w:gridCol w:w="1065"/>
        <w:gridCol w:w="957"/>
        <w:gridCol w:w="2651"/>
        <w:gridCol w:w="1313"/>
      </w:tblGrid>
      <w:tr w:rsidR="004A2F7D" w14:paraId="1F132CB9" w14:textId="77777777" w:rsidTr="00600DE0">
        <w:trPr>
          <w:trHeight w:val="57"/>
          <w:jc w:val="center"/>
        </w:trPr>
        <w:tc>
          <w:tcPr>
            <w:tcW w:w="466" w:type="pct"/>
            <w:vMerge w:val="restart"/>
            <w:tcBorders>
              <w:tl2br w:val="single" w:sz="4" w:space="0" w:color="auto"/>
            </w:tcBorders>
            <w:vAlign w:val="center"/>
          </w:tcPr>
          <w:p w14:paraId="7ACFBF57" w14:textId="77777777" w:rsidR="004A2F7D" w:rsidRDefault="004A2F7D" w:rsidP="004A2F7D">
            <w:pPr>
              <w:adjustRightInd w:val="0"/>
              <w:snapToGrid w:val="0"/>
              <w:jc w:val="center"/>
            </w:pPr>
            <w:r>
              <w:t>检测点位</w:t>
            </w:r>
          </w:p>
          <w:p w14:paraId="748A2EF9" w14:textId="77777777" w:rsidR="004A2F7D" w:rsidRDefault="004A2F7D" w:rsidP="004A2F7D">
            <w:pPr>
              <w:adjustRightInd w:val="0"/>
              <w:snapToGrid w:val="0"/>
              <w:jc w:val="center"/>
            </w:pPr>
          </w:p>
          <w:p w14:paraId="47549AA9" w14:textId="77777777" w:rsidR="004A2F7D" w:rsidRDefault="004A2F7D" w:rsidP="004A2F7D">
            <w:pPr>
              <w:adjustRightInd w:val="0"/>
              <w:snapToGrid w:val="0"/>
              <w:jc w:val="center"/>
            </w:pPr>
          </w:p>
          <w:p w14:paraId="0EEC774D" w14:textId="77777777" w:rsidR="004A2F7D" w:rsidRDefault="004A2F7D" w:rsidP="004A2F7D">
            <w:pPr>
              <w:adjustRightInd w:val="0"/>
              <w:snapToGrid w:val="0"/>
              <w:jc w:val="center"/>
            </w:pPr>
            <w:r>
              <w:t>检测项目</w:t>
            </w:r>
          </w:p>
        </w:tc>
        <w:tc>
          <w:tcPr>
            <w:tcW w:w="1037" w:type="pct"/>
            <w:gridSpan w:val="3"/>
            <w:vAlign w:val="center"/>
          </w:tcPr>
          <w:p w14:paraId="21C096F8" w14:textId="73C6B482" w:rsidR="004A2F7D" w:rsidRDefault="004A2F7D" w:rsidP="004A2F7D">
            <w:pPr>
              <w:adjustRightInd w:val="0"/>
              <w:snapToGrid w:val="0"/>
              <w:jc w:val="center"/>
            </w:pPr>
            <w:r w:rsidRPr="003C3F50">
              <w:rPr>
                <w:rFonts w:hint="eastAsia"/>
                <w:kern w:val="0"/>
              </w:rPr>
              <w:t>渗滤液调节池</w:t>
            </w:r>
            <w:r>
              <w:rPr>
                <w:kern w:val="0"/>
              </w:rPr>
              <w:t>旁</w:t>
            </w:r>
            <w:r>
              <w:rPr>
                <w:kern w:val="0"/>
              </w:rPr>
              <w:t>S1</w:t>
            </w:r>
          </w:p>
        </w:tc>
        <w:tc>
          <w:tcPr>
            <w:tcW w:w="1068" w:type="pct"/>
            <w:gridSpan w:val="3"/>
            <w:vAlign w:val="center"/>
          </w:tcPr>
          <w:p w14:paraId="746C59EB" w14:textId="2DBFF489" w:rsidR="004A2F7D" w:rsidRDefault="004A2F7D" w:rsidP="004A2F7D">
            <w:pPr>
              <w:adjustRightInd w:val="0"/>
              <w:snapToGrid w:val="0"/>
              <w:jc w:val="center"/>
            </w:pPr>
            <w:r w:rsidRPr="004A2F7D">
              <w:rPr>
                <w:rFonts w:hint="eastAsia"/>
                <w:kern w:val="0"/>
              </w:rPr>
              <w:t>污泥处理区</w:t>
            </w:r>
            <w:r>
              <w:rPr>
                <w:kern w:val="0"/>
              </w:rPr>
              <w:t>旁</w:t>
            </w:r>
            <w:r>
              <w:rPr>
                <w:kern w:val="0"/>
              </w:rPr>
              <w:t>S2</w:t>
            </w:r>
          </w:p>
        </w:tc>
        <w:tc>
          <w:tcPr>
            <w:tcW w:w="1083" w:type="pct"/>
            <w:gridSpan w:val="3"/>
            <w:vAlign w:val="center"/>
          </w:tcPr>
          <w:p w14:paraId="7BC2848E" w14:textId="167446A7" w:rsidR="004A2F7D" w:rsidRDefault="004A2F7D" w:rsidP="004A2F7D">
            <w:pPr>
              <w:adjustRightInd w:val="0"/>
              <w:snapToGrid w:val="0"/>
              <w:jc w:val="center"/>
            </w:pPr>
            <w:r w:rsidRPr="004A2F7D">
              <w:rPr>
                <w:rFonts w:hint="eastAsia"/>
                <w:kern w:val="0"/>
              </w:rPr>
              <w:t>生活垃圾填埋区</w:t>
            </w:r>
            <w:r>
              <w:rPr>
                <w:kern w:val="0"/>
              </w:rPr>
              <w:t>旁</w:t>
            </w:r>
            <w:r>
              <w:rPr>
                <w:kern w:val="0"/>
              </w:rPr>
              <w:t>S3</w:t>
            </w:r>
          </w:p>
        </w:tc>
        <w:tc>
          <w:tcPr>
            <w:tcW w:w="954" w:type="pct"/>
            <w:vAlign w:val="center"/>
          </w:tcPr>
          <w:p w14:paraId="706422E9" w14:textId="69DE0653" w:rsidR="004A2F7D" w:rsidRDefault="004A2F7D" w:rsidP="004A2F7D">
            <w:pPr>
              <w:jc w:val="center"/>
            </w:pPr>
            <w:r w:rsidRPr="004A2F7D">
              <w:rPr>
                <w:rFonts w:hint="eastAsia"/>
                <w:kern w:val="0"/>
              </w:rPr>
              <w:t>飞灰填埋区</w:t>
            </w:r>
            <w:r>
              <w:rPr>
                <w:rFonts w:hint="eastAsia"/>
                <w:kern w:val="0"/>
              </w:rPr>
              <w:t>旁</w:t>
            </w:r>
            <w:r>
              <w:rPr>
                <w:kern w:val="0"/>
              </w:rPr>
              <w:t>S4</w:t>
            </w:r>
          </w:p>
        </w:tc>
        <w:tc>
          <w:tcPr>
            <w:tcW w:w="393" w:type="pct"/>
            <w:vMerge w:val="restart"/>
            <w:vAlign w:val="center"/>
          </w:tcPr>
          <w:p w14:paraId="4DF046A7" w14:textId="29AFE1BB" w:rsidR="004A2F7D" w:rsidRDefault="004A2F7D" w:rsidP="00484B04">
            <w:pPr>
              <w:adjustRightInd w:val="0"/>
              <w:snapToGrid w:val="0"/>
              <w:jc w:val="center"/>
              <w:rPr>
                <w:highlight w:val="red"/>
              </w:rPr>
            </w:pPr>
            <w:r w:rsidRPr="004A2F7D">
              <w:rPr>
                <w:rFonts w:hint="eastAsia"/>
              </w:rPr>
              <w:t>（</w:t>
            </w:r>
            <w:r w:rsidRPr="004A2F7D">
              <w:rPr>
                <w:rFonts w:hint="eastAsia"/>
              </w:rPr>
              <w:t>GB36600-2018</w:t>
            </w:r>
            <w:r w:rsidRPr="004A2F7D">
              <w:rPr>
                <w:rFonts w:hint="eastAsia"/>
              </w:rPr>
              <w:t>）</w:t>
            </w:r>
          </w:p>
        </w:tc>
      </w:tr>
      <w:tr w:rsidR="004A2F7D" w14:paraId="32E52460" w14:textId="77777777" w:rsidTr="00600DE0">
        <w:trPr>
          <w:trHeight w:val="57"/>
          <w:jc w:val="center"/>
        </w:trPr>
        <w:tc>
          <w:tcPr>
            <w:tcW w:w="466" w:type="pct"/>
            <w:vMerge/>
            <w:tcBorders>
              <w:bottom w:val="single" w:sz="4" w:space="0" w:color="auto"/>
              <w:tl2br w:val="single" w:sz="4" w:space="0" w:color="auto"/>
            </w:tcBorders>
            <w:vAlign w:val="center"/>
          </w:tcPr>
          <w:p w14:paraId="54D585B2" w14:textId="77777777" w:rsidR="004A2F7D" w:rsidRDefault="004A2F7D">
            <w:pPr>
              <w:adjustRightInd w:val="0"/>
              <w:snapToGrid w:val="0"/>
              <w:jc w:val="center"/>
            </w:pPr>
          </w:p>
        </w:tc>
        <w:tc>
          <w:tcPr>
            <w:tcW w:w="325" w:type="pct"/>
            <w:vAlign w:val="center"/>
          </w:tcPr>
          <w:p w14:paraId="4EEE9047" w14:textId="77777777" w:rsidR="004A2F7D" w:rsidRDefault="004A2F7D">
            <w:pPr>
              <w:adjustRightInd w:val="0"/>
              <w:snapToGrid w:val="0"/>
              <w:jc w:val="center"/>
              <w:rPr>
                <w:bCs/>
              </w:rPr>
            </w:pPr>
            <w:r>
              <w:rPr>
                <w:kern w:val="0"/>
              </w:rPr>
              <w:t>（</w:t>
            </w:r>
            <w:r>
              <w:t>0~0.5 m</w:t>
            </w:r>
            <w:r>
              <w:rPr>
                <w:kern w:val="0"/>
              </w:rPr>
              <w:t>）</w:t>
            </w:r>
          </w:p>
        </w:tc>
        <w:tc>
          <w:tcPr>
            <w:tcW w:w="387" w:type="pct"/>
            <w:vAlign w:val="center"/>
          </w:tcPr>
          <w:p w14:paraId="3121D6A0" w14:textId="77777777" w:rsidR="004A2F7D" w:rsidRDefault="004A2F7D">
            <w:pPr>
              <w:adjustRightInd w:val="0"/>
              <w:snapToGrid w:val="0"/>
              <w:jc w:val="center"/>
              <w:rPr>
                <w:bCs/>
              </w:rPr>
            </w:pPr>
            <w:r>
              <w:rPr>
                <w:kern w:val="0"/>
              </w:rPr>
              <w:t>（</w:t>
            </w:r>
            <w:r>
              <w:t>0.5~1.5 m</w:t>
            </w:r>
            <w:r>
              <w:rPr>
                <w:kern w:val="0"/>
              </w:rPr>
              <w:t>）</w:t>
            </w:r>
          </w:p>
        </w:tc>
        <w:tc>
          <w:tcPr>
            <w:tcW w:w="325" w:type="pct"/>
            <w:vAlign w:val="center"/>
          </w:tcPr>
          <w:p w14:paraId="7A338200" w14:textId="77777777" w:rsidR="004A2F7D" w:rsidRDefault="004A2F7D">
            <w:pPr>
              <w:adjustRightInd w:val="0"/>
              <w:snapToGrid w:val="0"/>
              <w:jc w:val="center"/>
              <w:rPr>
                <w:kern w:val="0"/>
              </w:rPr>
            </w:pPr>
            <w:r>
              <w:rPr>
                <w:kern w:val="0"/>
              </w:rPr>
              <w:t>（</w:t>
            </w:r>
            <w:r>
              <w:t>1.5~3 m</w:t>
            </w:r>
            <w:r>
              <w:rPr>
                <w:kern w:val="0"/>
              </w:rPr>
              <w:t>）</w:t>
            </w:r>
          </w:p>
        </w:tc>
        <w:tc>
          <w:tcPr>
            <w:tcW w:w="333" w:type="pct"/>
            <w:vAlign w:val="center"/>
          </w:tcPr>
          <w:p w14:paraId="250F3DF3" w14:textId="77777777" w:rsidR="004A2F7D" w:rsidRDefault="004A2F7D">
            <w:pPr>
              <w:adjustRightInd w:val="0"/>
              <w:snapToGrid w:val="0"/>
              <w:jc w:val="center"/>
              <w:rPr>
                <w:kern w:val="0"/>
              </w:rPr>
            </w:pPr>
            <w:r>
              <w:rPr>
                <w:kern w:val="0"/>
              </w:rPr>
              <w:t>（</w:t>
            </w:r>
            <w:r>
              <w:t>0~0.5 m</w:t>
            </w:r>
            <w:r>
              <w:rPr>
                <w:kern w:val="0"/>
              </w:rPr>
              <w:t>）</w:t>
            </w:r>
          </w:p>
        </w:tc>
        <w:tc>
          <w:tcPr>
            <w:tcW w:w="387" w:type="pct"/>
            <w:vAlign w:val="center"/>
          </w:tcPr>
          <w:p w14:paraId="54C8682C" w14:textId="77777777" w:rsidR="004A2F7D" w:rsidRDefault="004A2F7D">
            <w:pPr>
              <w:adjustRightInd w:val="0"/>
              <w:snapToGrid w:val="0"/>
              <w:jc w:val="center"/>
              <w:rPr>
                <w:kern w:val="0"/>
              </w:rPr>
            </w:pPr>
            <w:r>
              <w:rPr>
                <w:kern w:val="0"/>
              </w:rPr>
              <w:t>（</w:t>
            </w:r>
            <w:r>
              <w:t>0.5~1.5 m</w:t>
            </w:r>
            <w:r>
              <w:rPr>
                <w:kern w:val="0"/>
              </w:rPr>
              <w:t>）</w:t>
            </w:r>
          </w:p>
        </w:tc>
        <w:tc>
          <w:tcPr>
            <w:tcW w:w="348" w:type="pct"/>
            <w:vAlign w:val="center"/>
          </w:tcPr>
          <w:p w14:paraId="2751321C" w14:textId="77777777" w:rsidR="004A2F7D" w:rsidRDefault="004A2F7D">
            <w:pPr>
              <w:adjustRightInd w:val="0"/>
              <w:snapToGrid w:val="0"/>
              <w:jc w:val="center"/>
              <w:rPr>
                <w:kern w:val="0"/>
              </w:rPr>
            </w:pPr>
            <w:r>
              <w:rPr>
                <w:kern w:val="0"/>
              </w:rPr>
              <w:t>（</w:t>
            </w:r>
            <w:r>
              <w:t>1.5~3 m</w:t>
            </w:r>
            <w:r>
              <w:rPr>
                <w:kern w:val="0"/>
              </w:rPr>
              <w:t>）</w:t>
            </w:r>
          </w:p>
        </w:tc>
        <w:tc>
          <w:tcPr>
            <w:tcW w:w="347" w:type="pct"/>
            <w:vAlign w:val="center"/>
          </w:tcPr>
          <w:p w14:paraId="70FC12A4" w14:textId="77777777" w:rsidR="004A2F7D" w:rsidRDefault="004A2F7D">
            <w:pPr>
              <w:adjustRightInd w:val="0"/>
              <w:snapToGrid w:val="0"/>
              <w:jc w:val="center"/>
              <w:rPr>
                <w:kern w:val="0"/>
              </w:rPr>
            </w:pPr>
            <w:r>
              <w:rPr>
                <w:kern w:val="0"/>
              </w:rPr>
              <w:t>（</w:t>
            </w:r>
            <w:r>
              <w:t>0~0.5 m</w:t>
            </w:r>
            <w:r>
              <w:rPr>
                <w:kern w:val="0"/>
              </w:rPr>
              <w:t>）</w:t>
            </w:r>
          </w:p>
        </w:tc>
        <w:tc>
          <w:tcPr>
            <w:tcW w:w="387" w:type="pct"/>
            <w:vAlign w:val="center"/>
          </w:tcPr>
          <w:p w14:paraId="11641FCF" w14:textId="77777777" w:rsidR="004A2F7D" w:rsidRDefault="004A2F7D">
            <w:pPr>
              <w:adjustRightInd w:val="0"/>
              <w:snapToGrid w:val="0"/>
              <w:jc w:val="center"/>
              <w:rPr>
                <w:kern w:val="0"/>
              </w:rPr>
            </w:pPr>
            <w:r>
              <w:rPr>
                <w:kern w:val="0"/>
              </w:rPr>
              <w:t>（</w:t>
            </w:r>
            <w:r>
              <w:t>0.5~1.5 m</w:t>
            </w:r>
            <w:r>
              <w:rPr>
                <w:kern w:val="0"/>
              </w:rPr>
              <w:t>）</w:t>
            </w:r>
          </w:p>
        </w:tc>
        <w:tc>
          <w:tcPr>
            <w:tcW w:w="349" w:type="pct"/>
            <w:vAlign w:val="center"/>
          </w:tcPr>
          <w:p w14:paraId="4924EFFC" w14:textId="77777777" w:rsidR="004A2F7D" w:rsidRDefault="004A2F7D">
            <w:pPr>
              <w:adjustRightInd w:val="0"/>
              <w:snapToGrid w:val="0"/>
              <w:jc w:val="center"/>
              <w:rPr>
                <w:kern w:val="0"/>
              </w:rPr>
            </w:pPr>
            <w:r>
              <w:rPr>
                <w:kern w:val="0"/>
              </w:rPr>
              <w:t>（</w:t>
            </w:r>
            <w:r>
              <w:t>1.5~3 m</w:t>
            </w:r>
            <w:r>
              <w:rPr>
                <w:kern w:val="0"/>
              </w:rPr>
              <w:t>）</w:t>
            </w:r>
          </w:p>
        </w:tc>
        <w:tc>
          <w:tcPr>
            <w:tcW w:w="954" w:type="pct"/>
            <w:vAlign w:val="center"/>
          </w:tcPr>
          <w:p w14:paraId="291781B2" w14:textId="77777777" w:rsidR="004A2F7D" w:rsidRDefault="004A2F7D">
            <w:pPr>
              <w:jc w:val="center"/>
              <w:rPr>
                <w:kern w:val="0"/>
              </w:rPr>
            </w:pPr>
            <w:r>
              <w:rPr>
                <w:kern w:val="0"/>
                <w:szCs w:val="24"/>
              </w:rPr>
              <w:t>（</w:t>
            </w:r>
            <w:r>
              <w:t>0~0.2 m</w:t>
            </w:r>
            <w:r>
              <w:rPr>
                <w:kern w:val="0"/>
                <w:szCs w:val="24"/>
              </w:rPr>
              <w:t>）</w:t>
            </w:r>
          </w:p>
        </w:tc>
        <w:tc>
          <w:tcPr>
            <w:tcW w:w="393" w:type="pct"/>
            <w:vMerge/>
            <w:vAlign w:val="center"/>
          </w:tcPr>
          <w:p w14:paraId="05D759C4" w14:textId="3FECC2C1" w:rsidR="004A2F7D" w:rsidRDefault="004A2F7D">
            <w:pPr>
              <w:adjustRightInd w:val="0"/>
              <w:snapToGrid w:val="0"/>
              <w:jc w:val="center"/>
            </w:pPr>
          </w:p>
        </w:tc>
      </w:tr>
      <w:tr w:rsidR="00B9174A" w14:paraId="322B9DDF" w14:textId="77777777" w:rsidTr="00600DE0">
        <w:trPr>
          <w:trHeight w:val="57"/>
          <w:jc w:val="center"/>
        </w:trPr>
        <w:tc>
          <w:tcPr>
            <w:tcW w:w="466" w:type="pct"/>
            <w:vAlign w:val="center"/>
          </w:tcPr>
          <w:p w14:paraId="1BB13AC3" w14:textId="17F94231" w:rsidR="00B9174A" w:rsidRDefault="00B9174A" w:rsidP="004A2F7D">
            <w:pPr>
              <w:adjustRightInd w:val="0"/>
              <w:snapToGrid w:val="0"/>
              <w:jc w:val="center"/>
            </w:pPr>
            <w:r>
              <w:t>镉</w:t>
            </w:r>
          </w:p>
        </w:tc>
        <w:tc>
          <w:tcPr>
            <w:tcW w:w="325" w:type="pct"/>
            <w:tcBorders>
              <w:bottom w:val="single" w:sz="4" w:space="0" w:color="auto"/>
            </w:tcBorders>
            <w:vAlign w:val="center"/>
          </w:tcPr>
          <w:p w14:paraId="1195D599" w14:textId="190AC082" w:rsidR="00B9174A" w:rsidRDefault="00B9174A" w:rsidP="004A2F7D">
            <w:pPr>
              <w:adjustRightInd w:val="0"/>
              <w:snapToGrid w:val="0"/>
              <w:jc w:val="center"/>
              <w:rPr>
                <w:bCs/>
              </w:rPr>
            </w:pPr>
            <w:r>
              <w:rPr>
                <w:kern w:val="0"/>
              </w:rPr>
              <w:t>0.35</w:t>
            </w:r>
          </w:p>
        </w:tc>
        <w:tc>
          <w:tcPr>
            <w:tcW w:w="387" w:type="pct"/>
            <w:tcBorders>
              <w:bottom w:val="single" w:sz="4" w:space="0" w:color="auto"/>
            </w:tcBorders>
            <w:vAlign w:val="center"/>
          </w:tcPr>
          <w:p w14:paraId="3C2FFBC4" w14:textId="16D755D0" w:rsidR="00B9174A" w:rsidRDefault="00B9174A" w:rsidP="004A2F7D">
            <w:pPr>
              <w:adjustRightInd w:val="0"/>
              <w:snapToGrid w:val="0"/>
              <w:jc w:val="center"/>
              <w:rPr>
                <w:bCs/>
              </w:rPr>
            </w:pPr>
            <w:r>
              <w:rPr>
                <w:kern w:val="0"/>
              </w:rPr>
              <w:t>0.32</w:t>
            </w:r>
          </w:p>
        </w:tc>
        <w:tc>
          <w:tcPr>
            <w:tcW w:w="325" w:type="pct"/>
            <w:tcBorders>
              <w:bottom w:val="single" w:sz="4" w:space="0" w:color="auto"/>
            </w:tcBorders>
            <w:vAlign w:val="center"/>
          </w:tcPr>
          <w:p w14:paraId="17DA55FD" w14:textId="549CC6C1" w:rsidR="00B9174A" w:rsidRDefault="00B9174A" w:rsidP="004A2F7D">
            <w:pPr>
              <w:adjustRightInd w:val="0"/>
              <w:snapToGrid w:val="0"/>
              <w:jc w:val="center"/>
              <w:rPr>
                <w:bCs/>
              </w:rPr>
            </w:pPr>
            <w:r>
              <w:rPr>
                <w:kern w:val="0"/>
              </w:rPr>
              <w:t>0.29</w:t>
            </w:r>
          </w:p>
        </w:tc>
        <w:tc>
          <w:tcPr>
            <w:tcW w:w="333" w:type="pct"/>
            <w:tcBorders>
              <w:bottom w:val="single" w:sz="4" w:space="0" w:color="auto"/>
            </w:tcBorders>
            <w:vAlign w:val="center"/>
          </w:tcPr>
          <w:p w14:paraId="2E217ED6" w14:textId="443647DD" w:rsidR="00B9174A" w:rsidRDefault="00B9174A" w:rsidP="004A2F7D">
            <w:pPr>
              <w:pStyle w:val="TableText"/>
              <w:adjustRightInd w:val="0"/>
              <w:snapToGrid w:val="0"/>
              <w:jc w:val="center"/>
              <w:rPr>
                <w:rFonts w:ascii="Times New Roman" w:hAnsi="Times New Roman" w:cs="Times New Roman"/>
                <w:bCs/>
                <w:lang w:eastAsia="zh-CN"/>
              </w:rPr>
            </w:pPr>
            <w:r>
              <w:rPr>
                <w:rFonts w:ascii="Times New Roman" w:hAnsi="Times New Roman" w:cs="Times New Roman"/>
                <w:kern w:val="0"/>
                <w:lang w:eastAsia="zh-CN"/>
              </w:rPr>
              <w:t>0.42</w:t>
            </w:r>
          </w:p>
        </w:tc>
        <w:tc>
          <w:tcPr>
            <w:tcW w:w="387" w:type="pct"/>
            <w:tcBorders>
              <w:bottom w:val="single" w:sz="4" w:space="0" w:color="auto"/>
            </w:tcBorders>
            <w:vAlign w:val="center"/>
          </w:tcPr>
          <w:p w14:paraId="560BACDC" w14:textId="69C83B56" w:rsidR="00B9174A" w:rsidRDefault="00B9174A" w:rsidP="004A2F7D">
            <w:pPr>
              <w:pStyle w:val="TableText"/>
              <w:adjustRightInd w:val="0"/>
              <w:snapToGrid w:val="0"/>
              <w:jc w:val="center"/>
              <w:rPr>
                <w:rFonts w:ascii="Times New Roman" w:hAnsi="Times New Roman" w:cs="Times New Roman"/>
                <w:bCs/>
                <w:lang w:eastAsia="zh-CN"/>
              </w:rPr>
            </w:pPr>
            <w:r>
              <w:rPr>
                <w:rFonts w:ascii="Times New Roman" w:hAnsi="Times New Roman" w:cs="Times New Roman"/>
                <w:kern w:val="0"/>
                <w:lang w:eastAsia="zh-CN"/>
              </w:rPr>
              <w:t>0.40</w:t>
            </w:r>
          </w:p>
        </w:tc>
        <w:tc>
          <w:tcPr>
            <w:tcW w:w="348" w:type="pct"/>
            <w:tcBorders>
              <w:bottom w:val="single" w:sz="4" w:space="0" w:color="auto"/>
            </w:tcBorders>
            <w:vAlign w:val="center"/>
          </w:tcPr>
          <w:p w14:paraId="18F35AF3" w14:textId="2DB8623B" w:rsidR="00B9174A" w:rsidRDefault="00B9174A" w:rsidP="004A2F7D">
            <w:pPr>
              <w:pStyle w:val="TableText"/>
              <w:adjustRightInd w:val="0"/>
              <w:snapToGrid w:val="0"/>
              <w:jc w:val="center"/>
              <w:rPr>
                <w:rFonts w:ascii="Times New Roman" w:hAnsi="Times New Roman" w:cs="Times New Roman"/>
                <w:bCs/>
                <w:lang w:eastAsia="zh-CN"/>
              </w:rPr>
            </w:pPr>
            <w:r>
              <w:rPr>
                <w:rFonts w:ascii="Times New Roman" w:hAnsi="Times New Roman" w:cs="Times New Roman"/>
                <w:kern w:val="0"/>
                <w:lang w:eastAsia="zh-CN"/>
              </w:rPr>
              <w:t>0.38</w:t>
            </w:r>
          </w:p>
        </w:tc>
        <w:tc>
          <w:tcPr>
            <w:tcW w:w="347" w:type="pct"/>
            <w:tcBorders>
              <w:bottom w:val="single" w:sz="4" w:space="0" w:color="auto"/>
            </w:tcBorders>
            <w:vAlign w:val="center"/>
          </w:tcPr>
          <w:p w14:paraId="4AF4ECC0" w14:textId="5CDB3D69" w:rsidR="00B9174A" w:rsidRDefault="00B9174A" w:rsidP="004A2F7D">
            <w:pPr>
              <w:pStyle w:val="TableText"/>
              <w:adjustRightInd w:val="0"/>
              <w:snapToGrid w:val="0"/>
              <w:jc w:val="center"/>
              <w:rPr>
                <w:rFonts w:ascii="Times New Roman" w:hAnsi="Times New Roman" w:cs="Times New Roman"/>
                <w:bCs/>
                <w:lang w:eastAsia="zh-CN"/>
              </w:rPr>
            </w:pPr>
            <w:r>
              <w:rPr>
                <w:rFonts w:ascii="Times New Roman" w:hAnsi="Times New Roman" w:cs="Times New Roman" w:hint="eastAsia"/>
                <w:lang w:eastAsia="zh-CN"/>
              </w:rPr>
              <w:t>0.47</w:t>
            </w:r>
          </w:p>
        </w:tc>
        <w:tc>
          <w:tcPr>
            <w:tcW w:w="387" w:type="pct"/>
            <w:tcBorders>
              <w:bottom w:val="single" w:sz="4" w:space="0" w:color="auto"/>
            </w:tcBorders>
            <w:vAlign w:val="center"/>
          </w:tcPr>
          <w:p w14:paraId="312B5EBD" w14:textId="7937EE2E" w:rsidR="00B9174A" w:rsidRDefault="00B9174A" w:rsidP="004A2F7D">
            <w:pPr>
              <w:pStyle w:val="TableText"/>
              <w:adjustRightInd w:val="0"/>
              <w:snapToGrid w:val="0"/>
              <w:jc w:val="center"/>
              <w:rPr>
                <w:rFonts w:ascii="Times New Roman" w:hAnsi="Times New Roman" w:cs="Times New Roman"/>
                <w:bCs/>
                <w:lang w:eastAsia="zh-CN"/>
              </w:rPr>
            </w:pPr>
            <w:r>
              <w:rPr>
                <w:rFonts w:ascii="Times New Roman" w:hAnsi="Times New Roman" w:cs="Times New Roman" w:hint="eastAsia"/>
                <w:lang w:eastAsia="zh-CN"/>
              </w:rPr>
              <w:t>0.50</w:t>
            </w:r>
          </w:p>
        </w:tc>
        <w:tc>
          <w:tcPr>
            <w:tcW w:w="349" w:type="pct"/>
            <w:tcBorders>
              <w:bottom w:val="single" w:sz="4" w:space="0" w:color="auto"/>
            </w:tcBorders>
            <w:vAlign w:val="center"/>
          </w:tcPr>
          <w:p w14:paraId="67DE3C18" w14:textId="6EEFF408" w:rsidR="00B9174A" w:rsidRDefault="00B9174A" w:rsidP="004A2F7D">
            <w:pPr>
              <w:pStyle w:val="TableText"/>
              <w:adjustRightInd w:val="0"/>
              <w:snapToGrid w:val="0"/>
              <w:jc w:val="center"/>
              <w:rPr>
                <w:rFonts w:ascii="Times New Roman" w:hAnsi="Times New Roman" w:cs="Times New Roman"/>
                <w:bCs/>
                <w:lang w:eastAsia="zh-CN"/>
              </w:rPr>
            </w:pPr>
            <w:r>
              <w:rPr>
                <w:rFonts w:ascii="Times New Roman" w:hAnsi="Times New Roman" w:cs="Times New Roman" w:hint="eastAsia"/>
                <w:lang w:eastAsia="zh-CN"/>
              </w:rPr>
              <w:t>0.46</w:t>
            </w:r>
          </w:p>
        </w:tc>
        <w:tc>
          <w:tcPr>
            <w:tcW w:w="954" w:type="pct"/>
            <w:tcBorders>
              <w:bottom w:val="single" w:sz="4" w:space="0" w:color="auto"/>
            </w:tcBorders>
            <w:vAlign w:val="center"/>
          </w:tcPr>
          <w:p w14:paraId="53B450D7" w14:textId="23ADC741" w:rsidR="00B9174A" w:rsidRDefault="00B9174A" w:rsidP="004A2F7D">
            <w:pPr>
              <w:pStyle w:val="TableText"/>
              <w:adjustRightInd w:val="0"/>
              <w:snapToGrid w:val="0"/>
              <w:jc w:val="center"/>
              <w:rPr>
                <w:rFonts w:ascii="Times New Roman" w:hAnsi="Times New Roman" w:cs="Times New Roman"/>
                <w:b/>
                <w:bCs/>
                <w:position w:val="-2"/>
                <w:lang w:eastAsia="zh-CN"/>
              </w:rPr>
            </w:pPr>
            <w:r>
              <w:rPr>
                <w:rFonts w:ascii="Times New Roman" w:hAnsi="Times New Roman" w:cs="Times New Roman"/>
                <w:kern w:val="0"/>
                <w:lang w:eastAsia="zh-CN"/>
              </w:rPr>
              <w:t>0.31</w:t>
            </w:r>
          </w:p>
        </w:tc>
        <w:tc>
          <w:tcPr>
            <w:tcW w:w="393" w:type="pct"/>
            <w:vMerge w:val="restart"/>
            <w:vAlign w:val="center"/>
          </w:tcPr>
          <w:p w14:paraId="478E2611" w14:textId="1E72A264" w:rsidR="00B9174A" w:rsidRDefault="00B9174A" w:rsidP="004A2F7D">
            <w:pPr>
              <w:adjustRightInd w:val="0"/>
              <w:snapToGrid w:val="0"/>
              <w:jc w:val="center"/>
              <w:rPr>
                <w:bCs/>
              </w:rPr>
            </w:pPr>
            <w:r>
              <w:rPr>
                <w:rFonts w:hint="eastAsia"/>
                <w:kern w:val="0"/>
              </w:rPr>
              <w:t>65</w:t>
            </w:r>
          </w:p>
        </w:tc>
      </w:tr>
      <w:tr w:rsidR="00B9174A" w14:paraId="4F74C445" w14:textId="77777777" w:rsidTr="00600DE0">
        <w:trPr>
          <w:trHeight w:val="57"/>
          <w:jc w:val="center"/>
        </w:trPr>
        <w:tc>
          <w:tcPr>
            <w:tcW w:w="466" w:type="pct"/>
            <w:vAlign w:val="center"/>
          </w:tcPr>
          <w:p w14:paraId="18BC2DBA" w14:textId="00D4096C" w:rsidR="00B9174A" w:rsidRDefault="00600DE0" w:rsidP="00B11C82">
            <w:pPr>
              <w:adjustRightInd w:val="0"/>
              <w:snapToGrid w:val="0"/>
              <w:jc w:val="center"/>
            </w:pPr>
            <w:r>
              <w:rPr>
                <w:rFonts w:hint="eastAsia"/>
              </w:rPr>
              <w:t>标准指数</w:t>
            </w:r>
          </w:p>
        </w:tc>
        <w:tc>
          <w:tcPr>
            <w:tcW w:w="325" w:type="pct"/>
            <w:tcBorders>
              <w:top w:val="single" w:sz="4" w:space="0" w:color="auto"/>
              <w:left w:val="nil"/>
              <w:bottom w:val="single" w:sz="4" w:space="0" w:color="auto"/>
              <w:right w:val="single" w:sz="4" w:space="0" w:color="auto"/>
            </w:tcBorders>
            <w:vAlign w:val="center"/>
          </w:tcPr>
          <w:p w14:paraId="063308F9" w14:textId="200518B4" w:rsidR="00B9174A" w:rsidRDefault="00B9174A" w:rsidP="00B11C82">
            <w:pPr>
              <w:adjustRightInd w:val="0"/>
              <w:snapToGrid w:val="0"/>
              <w:jc w:val="center"/>
              <w:rPr>
                <w:kern w:val="0"/>
              </w:rPr>
            </w:pPr>
            <w:r>
              <w:rPr>
                <w:rFonts w:hint="eastAsia"/>
                <w:color w:val="000000"/>
                <w:sz w:val="22"/>
                <w:szCs w:val="22"/>
              </w:rPr>
              <w:t xml:space="preserve">0.0054 </w:t>
            </w:r>
          </w:p>
        </w:tc>
        <w:tc>
          <w:tcPr>
            <w:tcW w:w="387" w:type="pct"/>
            <w:tcBorders>
              <w:top w:val="single" w:sz="4" w:space="0" w:color="auto"/>
              <w:left w:val="single" w:sz="4" w:space="0" w:color="auto"/>
              <w:bottom w:val="single" w:sz="4" w:space="0" w:color="auto"/>
              <w:right w:val="single" w:sz="4" w:space="0" w:color="auto"/>
            </w:tcBorders>
            <w:vAlign w:val="center"/>
          </w:tcPr>
          <w:p w14:paraId="6EEBE81C" w14:textId="7E916F34" w:rsidR="00B9174A" w:rsidRDefault="00B9174A" w:rsidP="00B11C82">
            <w:pPr>
              <w:adjustRightInd w:val="0"/>
              <w:snapToGrid w:val="0"/>
              <w:jc w:val="center"/>
              <w:rPr>
                <w:kern w:val="0"/>
              </w:rPr>
            </w:pPr>
            <w:r>
              <w:rPr>
                <w:rFonts w:hint="eastAsia"/>
                <w:color w:val="000000"/>
                <w:sz w:val="22"/>
                <w:szCs w:val="22"/>
              </w:rPr>
              <w:t xml:space="preserve">0.0049 </w:t>
            </w:r>
          </w:p>
        </w:tc>
        <w:tc>
          <w:tcPr>
            <w:tcW w:w="325" w:type="pct"/>
            <w:tcBorders>
              <w:top w:val="single" w:sz="4" w:space="0" w:color="auto"/>
              <w:left w:val="single" w:sz="4" w:space="0" w:color="auto"/>
              <w:bottom w:val="single" w:sz="4" w:space="0" w:color="auto"/>
              <w:right w:val="single" w:sz="4" w:space="0" w:color="auto"/>
            </w:tcBorders>
            <w:vAlign w:val="center"/>
          </w:tcPr>
          <w:p w14:paraId="6B346817" w14:textId="2C64187A" w:rsidR="00B9174A" w:rsidRDefault="00B9174A" w:rsidP="00B11C82">
            <w:pPr>
              <w:adjustRightInd w:val="0"/>
              <w:snapToGrid w:val="0"/>
              <w:jc w:val="center"/>
              <w:rPr>
                <w:kern w:val="0"/>
              </w:rPr>
            </w:pPr>
            <w:r>
              <w:rPr>
                <w:rFonts w:hint="eastAsia"/>
                <w:color w:val="000000"/>
                <w:sz w:val="22"/>
                <w:szCs w:val="22"/>
              </w:rPr>
              <w:t xml:space="preserve">0.0045 </w:t>
            </w:r>
          </w:p>
        </w:tc>
        <w:tc>
          <w:tcPr>
            <w:tcW w:w="333" w:type="pct"/>
            <w:tcBorders>
              <w:top w:val="single" w:sz="4" w:space="0" w:color="auto"/>
              <w:left w:val="single" w:sz="4" w:space="0" w:color="auto"/>
              <w:bottom w:val="single" w:sz="4" w:space="0" w:color="auto"/>
              <w:right w:val="single" w:sz="4" w:space="0" w:color="auto"/>
            </w:tcBorders>
            <w:vAlign w:val="center"/>
          </w:tcPr>
          <w:p w14:paraId="548A262D" w14:textId="170BBA18" w:rsidR="00B9174A" w:rsidRDefault="00B9174A" w:rsidP="00B11C82">
            <w:pPr>
              <w:pStyle w:val="TableText"/>
              <w:adjustRightInd w:val="0"/>
              <w:snapToGrid w:val="0"/>
              <w:jc w:val="center"/>
              <w:rPr>
                <w:rFonts w:ascii="Times New Roman" w:hAnsi="Times New Roman" w:cs="Times New Roman"/>
                <w:kern w:val="0"/>
                <w:lang w:eastAsia="zh-CN"/>
              </w:rPr>
            </w:pPr>
            <w:r>
              <w:rPr>
                <w:rFonts w:hint="eastAsia"/>
                <w:color w:val="000000"/>
                <w:sz w:val="22"/>
                <w:szCs w:val="22"/>
              </w:rPr>
              <w:t xml:space="preserve">0.0065 </w:t>
            </w:r>
          </w:p>
        </w:tc>
        <w:tc>
          <w:tcPr>
            <w:tcW w:w="387" w:type="pct"/>
            <w:tcBorders>
              <w:top w:val="single" w:sz="4" w:space="0" w:color="auto"/>
              <w:left w:val="single" w:sz="4" w:space="0" w:color="auto"/>
              <w:bottom w:val="single" w:sz="4" w:space="0" w:color="auto"/>
              <w:right w:val="single" w:sz="4" w:space="0" w:color="auto"/>
            </w:tcBorders>
            <w:vAlign w:val="center"/>
          </w:tcPr>
          <w:p w14:paraId="52E774DF" w14:textId="37EEDFEB" w:rsidR="00B9174A" w:rsidRDefault="00B9174A" w:rsidP="00B11C82">
            <w:pPr>
              <w:pStyle w:val="TableText"/>
              <w:adjustRightInd w:val="0"/>
              <w:snapToGrid w:val="0"/>
              <w:jc w:val="center"/>
              <w:rPr>
                <w:rFonts w:ascii="Times New Roman" w:hAnsi="Times New Roman" w:cs="Times New Roman"/>
                <w:kern w:val="0"/>
                <w:lang w:eastAsia="zh-CN"/>
              </w:rPr>
            </w:pPr>
            <w:r>
              <w:rPr>
                <w:rFonts w:hint="eastAsia"/>
                <w:color w:val="000000"/>
                <w:sz w:val="22"/>
                <w:szCs w:val="22"/>
              </w:rPr>
              <w:t xml:space="preserve">0.0062 </w:t>
            </w:r>
          </w:p>
        </w:tc>
        <w:tc>
          <w:tcPr>
            <w:tcW w:w="348" w:type="pct"/>
            <w:tcBorders>
              <w:top w:val="single" w:sz="4" w:space="0" w:color="auto"/>
              <w:left w:val="single" w:sz="4" w:space="0" w:color="auto"/>
              <w:bottom w:val="single" w:sz="4" w:space="0" w:color="auto"/>
              <w:right w:val="single" w:sz="4" w:space="0" w:color="auto"/>
            </w:tcBorders>
            <w:vAlign w:val="center"/>
          </w:tcPr>
          <w:p w14:paraId="147B77C4" w14:textId="621112DC" w:rsidR="00B9174A" w:rsidRDefault="00B9174A" w:rsidP="00B11C82">
            <w:pPr>
              <w:pStyle w:val="TableText"/>
              <w:adjustRightInd w:val="0"/>
              <w:snapToGrid w:val="0"/>
              <w:jc w:val="center"/>
              <w:rPr>
                <w:rFonts w:ascii="Times New Roman" w:hAnsi="Times New Roman" w:cs="Times New Roman"/>
                <w:kern w:val="0"/>
                <w:lang w:eastAsia="zh-CN"/>
              </w:rPr>
            </w:pPr>
            <w:r>
              <w:rPr>
                <w:rFonts w:hint="eastAsia"/>
                <w:color w:val="000000"/>
                <w:sz w:val="22"/>
                <w:szCs w:val="22"/>
              </w:rPr>
              <w:t xml:space="preserve">0.0058 </w:t>
            </w:r>
          </w:p>
        </w:tc>
        <w:tc>
          <w:tcPr>
            <w:tcW w:w="347" w:type="pct"/>
            <w:tcBorders>
              <w:top w:val="single" w:sz="4" w:space="0" w:color="auto"/>
              <w:left w:val="single" w:sz="4" w:space="0" w:color="auto"/>
              <w:bottom w:val="single" w:sz="4" w:space="0" w:color="auto"/>
              <w:right w:val="single" w:sz="4" w:space="0" w:color="auto"/>
            </w:tcBorders>
            <w:vAlign w:val="center"/>
          </w:tcPr>
          <w:p w14:paraId="5FAE4B21" w14:textId="440D6F9E" w:rsidR="00B9174A" w:rsidRDefault="00B9174A" w:rsidP="00B11C82">
            <w:pPr>
              <w:pStyle w:val="TableText"/>
              <w:adjustRightInd w:val="0"/>
              <w:snapToGrid w:val="0"/>
              <w:jc w:val="center"/>
              <w:rPr>
                <w:rFonts w:ascii="Times New Roman" w:hAnsi="Times New Roman" w:cs="Times New Roman"/>
                <w:lang w:eastAsia="zh-CN"/>
              </w:rPr>
            </w:pPr>
            <w:r>
              <w:rPr>
                <w:rFonts w:hint="eastAsia"/>
                <w:color w:val="000000"/>
                <w:sz w:val="22"/>
                <w:szCs w:val="22"/>
              </w:rPr>
              <w:t xml:space="preserve">0.0072 </w:t>
            </w:r>
          </w:p>
        </w:tc>
        <w:tc>
          <w:tcPr>
            <w:tcW w:w="387" w:type="pct"/>
            <w:tcBorders>
              <w:top w:val="single" w:sz="4" w:space="0" w:color="auto"/>
              <w:left w:val="single" w:sz="4" w:space="0" w:color="auto"/>
              <w:bottom w:val="single" w:sz="4" w:space="0" w:color="auto"/>
              <w:right w:val="single" w:sz="4" w:space="0" w:color="auto"/>
            </w:tcBorders>
            <w:vAlign w:val="center"/>
          </w:tcPr>
          <w:p w14:paraId="3C852248" w14:textId="527FD73D" w:rsidR="00B9174A" w:rsidRDefault="00B9174A" w:rsidP="00B11C82">
            <w:pPr>
              <w:pStyle w:val="TableText"/>
              <w:adjustRightInd w:val="0"/>
              <w:snapToGrid w:val="0"/>
              <w:jc w:val="center"/>
              <w:rPr>
                <w:rFonts w:ascii="Times New Roman" w:hAnsi="Times New Roman" w:cs="Times New Roman"/>
                <w:lang w:eastAsia="zh-CN"/>
              </w:rPr>
            </w:pPr>
            <w:r>
              <w:rPr>
                <w:rFonts w:hint="eastAsia"/>
                <w:color w:val="000000"/>
                <w:sz w:val="22"/>
                <w:szCs w:val="22"/>
              </w:rPr>
              <w:t xml:space="preserve">0.0077 </w:t>
            </w:r>
          </w:p>
        </w:tc>
        <w:tc>
          <w:tcPr>
            <w:tcW w:w="349" w:type="pct"/>
            <w:tcBorders>
              <w:top w:val="single" w:sz="4" w:space="0" w:color="auto"/>
              <w:left w:val="single" w:sz="4" w:space="0" w:color="auto"/>
              <w:bottom w:val="single" w:sz="4" w:space="0" w:color="auto"/>
              <w:right w:val="single" w:sz="4" w:space="0" w:color="auto"/>
            </w:tcBorders>
            <w:vAlign w:val="center"/>
          </w:tcPr>
          <w:p w14:paraId="5A80F035" w14:textId="0D712D02" w:rsidR="00B9174A" w:rsidRDefault="00B9174A" w:rsidP="00B11C82">
            <w:pPr>
              <w:pStyle w:val="TableText"/>
              <w:adjustRightInd w:val="0"/>
              <w:snapToGrid w:val="0"/>
              <w:jc w:val="center"/>
              <w:rPr>
                <w:rFonts w:ascii="Times New Roman" w:hAnsi="Times New Roman" w:cs="Times New Roman"/>
                <w:lang w:eastAsia="zh-CN"/>
              </w:rPr>
            </w:pPr>
            <w:r>
              <w:rPr>
                <w:rFonts w:hint="eastAsia"/>
                <w:color w:val="000000"/>
                <w:sz w:val="22"/>
                <w:szCs w:val="22"/>
              </w:rPr>
              <w:t xml:space="preserve">0.0071 </w:t>
            </w:r>
          </w:p>
        </w:tc>
        <w:tc>
          <w:tcPr>
            <w:tcW w:w="954" w:type="pct"/>
            <w:tcBorders>
              <w:top w:val="single" w:sz="4" w:space="0" w:color="auto"/>
              <w:left w:val="single" w:sz="4" w:space="0" w:color="auto"/>
              <w:bottom w:val="single" w:sz="4" w:space="0" w:color="auto"/>
              <w:right w:val="nil"/>
            </w:tcBorders>
            <w:vAlign w:val="center"/>
          </w:tcPr>
          <w:p w14:paraId="1F8C091B" w14:textId="49D86424" w:rsidR="00B9174A" w:rsidRDefault="00B9174A" w:rsidP="00B11C82">
            <w:pPr>
              <w:pStyle w:val="TableText"/>
              <w:adjustRightInd w:val="0"/>
              <w:snapToGrid w:val="0"/>
              <w:jc w:val="center"/>
              <w:rPr>
                <w:rFonts w:ascii="Times New Roman" w:hAnsi="Times New Roman" w:cs="Times New Roman"/>
                <w:kern w:val="0"/>
                <w:lang w:eastAsia="zh-CN"/>
              </w:rPr>
            </w:pPr>
            <w:r>
              <w:rPr>
                <w:rFonts w:hint="eastAsia"/>
                <w:color w:val="000000"/>
                <w:sz w:val="22"/>
                <w:szCs w:val="22"/>
              </w:rPr>
              <w:t xml:space="preserve">0.0048 </w:t>
            </w:r>
          </w:p>
        </w:tc>
        <w:tc>
          <w:tcPr>
            <w:tcW w:w="393" w:type="pct"/>
            <w:vMerge/>
            <w:vAlign w:val="center"/>
          </w:tcPr>
          <w:p w14:paraId="5A462135" w14:textId="77777777" w:rsidR="00B9174A" w:rsidRDefault="00B9174A" w:rsidP="00B11C82">
            <w:pPr>
              <w:adjustRightInd w:val="0"/>
              <w:snapToGrid w:val="0"/>
              <w:jc w:val="center"/>
              <w:rPr>
                <w:kern w:val="0"/>
              </w:rPr>
            </w:pPr>
          </w:p>
        </w:tc>
      </w:tr>
      <w:tr w:rsidR="00B9174A" w14:paraId="5CA6F249" w14:textId="77777777" w:rsidTr="00600DE0">
        <w:trPr>
          <w:trHeight w:val="57"/>
          <w:jc w:val="center"/>
        </w:trPr>
        <w:tc>
          <w:tcPr>
            <w:tcW w:w="466" w:type="pct"/>
            <w:vAlign w:val="center"/>
          </w:tcPr>
          <w:p w14:paraId="4E54307A" w14:textId="506D0AAC" w:rsidR="00B9174A" w:rsidRDefault="00B9174A" w:rsidP="00B11C82">
            <w:pPr>
              <w:adjustRightInd w:val="0"/>
              <w:snapToGrid w:val="0"/>
              <w:jc w:val="center"/>
            </w:pPr>
            <w:r>
              <w:t>砷</w:t>
            </w:r>
          </w:p>
        </w:tc>
        <w:tc>
          <w:tcPr>
            <w:tcW w:w="325" w:type="pct"/>
            <w:tcBorders>
              <w:top w:val="single" w:sz="4" w:space="0" w:color="auto"/>
              <w:left w:val="nil"/>
              <w:bottom w:val="single" w:sz="4" w:space="0" w:color="auto"/>
              <w:right w:val="single" w:sz="4" w:space="0" w:color="auto"/>
            </w:tcBorders>
            <w:vAlign w:val="center"/>
          </w:tcPr>
          <w:p w14:paraId="0F5379E7" w14:textId="00825EBE" w:rsidR="00B9174A" w:rsidRDefault="00B9174A" w:rsidP="00B11C82">
            <w:pPr>
              <w:adjustRightInd w:val="0"/>
              <w:snapToGrid w:val="0"/>
              <w:jc w:val="center"/>
              <w:rPr>
                <w:bCs/>
              </w:rPr>
            </w:pPr>
            <w:r>
              <w:rPr>
                <w:rFonts w:hint="eastAsia"/>
                <w:color w:val="000000"/>
                <w:sz w:val="22"/>
                <w:szCs w:val="22"/>
              </w:rPr>
              <w:t>3.56</w:t>
            </w:r>
          </w:p>
        </w:tc>
        <w:tc>
          <w:tcPr>
            <w:tcW w:w="387" w:type="pct"/>
            <w:tcBorders>
              <w:top w:val="single" w:sz="4" w:space="0" w:color="auto"/>
              <w:left w:val="single" w:sz="4" w:space="0" w:color="auto"/>
              <w:bottom w:val="single" w:sz="4" w:space="0" w:color="auto"/>
              <w:right w:val="single" w:sz="4" w:space="0" w:color="auto"/>
            </w:tcBorders>
            <w:vAlign w:val="center"/>
          </w:tcPr>
          <w:p w14:paraId="10784160" w14:textId="5E13E206" w:rsidR="00B9174A" w:rsidRDefault="00B9174A" w:rsidP="00B11C82">
            <w:pPr>
              <w:adjustRightInd w:val="0"/>
              <w:snapToGrid w:val="0"/>
              <w:jc w:val="center"/>
              <w:rPr>
                <w:bCs/>
              </w:rPr>
            </w:pPr>
            <w:r>
              <w:rPr>
                <w:rFonts w:hint="eastAsia"/>
                <w:color w:val="000000"/>
                <w:sz w:val="22"/>
                <w:szCs w:val="22"/>
              </w:rPr>
              <w:t>3.21</w:t>
            </w:r>
          </w:p>
        </w:tc>
        <w:tc>
          <w:tcPr>
            <w:tcW w:w="325" w:type="pct"/>
            <w:tcBorders>
              <w:top w:val="single" w:sz="4" w:space="0" w:color="auto"/>
              <w:left w:val="single" w:sz="4" w:space="0" w:color="auto"/>
              <w:bottom w:val="single" w:sz="4" w:space="0" w:color="auto"/>
              <w:right w:val="single" w:sz="4" w:space="0" w:color="auto"/>
            </w:tcBorders>
            <w:vAlign w:val="center"/>
          </w:tcPr>
          <w:p w14:paraId="7070CB07" w14:textId="2600D0FD" w:rsidR="00B9174A" w:rsidRDefault="00B9174A" w:rsidP="00B11C82">
            <w:pPr>
              <w:adjustRightInd w:val="0"/>
              <w:snapToGrid w:val="0"/>
              <w:jc w:val="center"/>
              <w:rPr>
                <w:bCs/>
              </w:rPr>
            </w:pPr>
            <w:r>
              <w:rPr>
                <w:rFonts w:hint="eastAsia"/>
                <w:color w:val="000000"/>
                <w:sz w:val="22"/>
                <w:szCs w:val="22"/>
              </w:rPr>
              <w:t>3.17</w:t>
            </w:r>
          </w:p>
        </w:tc>
        <w:tc>
          <w:tcPr>
            <w:tcW w:w="333" w:type="pct"/>
            <w:tcBorders>
              <w:top w:val="single" w:sz="4" w:space="0" w:color="auto"/>
              <w:left w:val="single" w:sz="4" w:space="0" w:color="auto"/>
              <w:bottom w:val="single" w:sz="4" w:space="0" w:color="auto"/>
              <w:right w:val="single" w:sz="4" w:space="0" w:color="auto"/>
            </w:tcBorders>
            <w:vAlign w:val="center"/>
          </w:tcPr>
          <w:p w14:paraId="3229AC80" w14:textId="218CAECB" w:rsidR="00B9174A" w:rsidRDefault="00B9174A" w:rsidP="00B11C82">
            <w:pPr>
              <w:adjustRightInd w:val="0"/>
              <w:snapToGrid w:val="0"/>
              <w:jc w:val="center"/>
              <w:rPr>
                <w:bCs/>
              </w:rPr>
            </w:pPr>
            <w:r>
              <w:rPr>
                <w:rFonts w:hint="eastAsia"/>
                <w:color w:val="000000"/>
                <w:sz w:val="22"/>
                <w:szCs w:val="22"/>
              </w:rPr>
              <w:t>4.53</w:t>
            </w:r>
          </w:p>
        </w:tc>
        <w:tc>
          <w:tcPr>
            <w:tcW w:w="387" w:type="pct"/>
            <w:tcBorders>
              <w:top w:val="single" w:sz="4" w:space="0" w:color="auto"/>
              <w:left w:val="single" w:sz="4" w:space="0" w:color="auto"/>
              <w:bottom w:val="single" w:sz="4" w:space="0" w:color="auto"/>
              <w:right w:val="single" w:sz="4" w:space="0" w:color="auto"/>
            </w:tcBorders>
            <w:vAlign w:val="center"/>
          </w:tcPr>
          <w:p w14:paraId="03CB8624" w14:textId="6735B283" w:rsidR="00B9174A" w:rsidRDefault="00B9174A" w:rsidP="00B11C82">
            <w:pPr>
              <w:adjustRightInd w:val="0"/>
              <w:snapToGrid w:val="0"/>
              <w:jc w:val="center"/>
              <w:rPr>
                <w:bCs/>
              </w:rPr>
            </w:pPr>
            <w:r>
              <w:rPr>
                <w:rFonts w:hint="eastAsia"/>
                <w:color w:val="000000"/>
                <w:sz w:val="22"/>
                <w:szCs w:val="22"/>
              </w:rPr>
              <w:t>4.26</w:t>
            </w:r>
          </w:p>
        </w:tc>
        <w:tc>
          <w:tcPr>
            <w:tcW w:w="348" w:type="pct"/>
            <w:tcBorders>
              <w:top w:val="single" w:sz="4" w:space="0" w:color="auto"/>
              <w:left w:val="single" w:sz="4" w:space="0" w:color="auto"/>
              <w:bottom w:val="single" w:sz="4" w:space="0" w:color="auto"/>
              <w:right w:val="single" w:sz="4" w:space="0" w:color="auto"/>
            </w:tcBorders>
            <w:vAlign w:val="center"/>
          </w:tcPr>
          <w:p w14:paraId="31E5CC2D" w14:textId="494ABEBF" w:rsidR="00B9174A" w:rsidRDefault="00B9174A" w:rsidP="00B11C82">
            <w:pPr>
              <w:adjustRightInd w:val="0"/>
              <w:snapToGrid w:val="0"/>
              <w:jc w:val="center"/>
              <w:rPr>
                <w:bCs/>
              </w:rPr>
            </w:pPr>
            <w:r>
              <w:rPr>
                <w:rFonts w:hint="eastAsia"/>
                <w:color w:val="000000"/>
                <w:sz w:val="22"/>
                <w:szCs w:val="22"/>
              </w:rPr>
              <w:t>4.17</w:t>
            </w:r>
          </w:p>
        </w:tc>
        <w:tc>
          <w:tcPr>
            <w:tcW w:w="347" w:type="pct"/>
            <w:tcBorders>
              <w:top w:val="single" w:sz="4" w:space="0" w:color="auto"/>
              <w:left w:val="single" w:sz="4" w:space="0" w:color="auto"/>
              <w:bottom w:val="single" w:sz="4" w:space="0" w:color="auto"/>
              <w:right w:val="single" w:sz="4" w:space="0" w:color="auto"/>
            </w:tcBorders>
            <w:vAlign w:val="center"/>
          </w:tcPr>
          <w:p w14:paraId="57D69D8F" w14:textId="1C9EAAEB" w:rsidR="00B9174A" w:rsidRDefault="00B9174A" w:rsidP="00B11C82">
            <w:pPr>
              <w:adjustRightInd w:val="0"/>
              <w:snapToGrid w:val="0"/>
              <w:jc w:val="center"/>
              <w:rPr>
                <w:bCs/>
              </w:rPr>
            </w:pPr>
            <w:r>
              <w:rPr>
                <w:rFonts w:hint="eastAsia"/>
                <w:color w:val="000000"/>
                <w:sz w:val="22"/>
                <w:szCs w:val="22"/>
              </w:rPr>
              <w:t>3.89</w:t>
            </w:r>
          </w:p>
        </w:tc>
        <w:tc>
          <w:tcPr>
            <w:tcW w:w="387" w:type="pct"/>
            <w:tcBorders>
              <w:top w:val="single" w:sz="4" w:space="0" w:color="auto"/>
              <w:left w:val="single" w:sz="4" w:space="0" w:color="auto"/>
              <w:bottom w:val="single" w:sz="4" w:space="0" w:color="auto"/>
              <w:right w:val="single" w:sz="4" w:space="0" w:color="auto"/>
            </w:tcBorders>
            <w:vAlign w:val="center"/>
          </w:tcPr>
          <w:p w14:paraId="5F674E2A" w14:textId="0C0A7FA0" w:rsidR="00B9174A" w:rsidRDefault="00B9174A" w:rsidP="00B11C82">
            <w:pPr>
              <w:adjustRightInd w:val="0"/>
              <w:snapToGrid w:val="0"/>
              <w:jc w:val="center"/>
              <w:rPr>
                <w:bCs/>
              </w:rPr>
            </w:pPr>
            <w:r>
              <w:rPr>
                <w:rFonts w:hint="eastAsia"/>
                <w:color w:val="000000"/>
                <w:sz w:val="22"/>
                <w:szCs w:val="22"/>
              </w:rPr>
              <w:t>3.77</w:t>
            </w:r>
          </w:p>
        </w:tc>
        <w:tc>
          <w:tcPr>
            <w:tcW w:w="349" w:type="pct"/>
            <w:tcBorders>
              <w:top w:val="single" w:sz="4" w:space="0" w:color="auto"/>
              <w:left w:val="single" w:sz="4" w:space="0" w:color="auto"/>
              <w:bottom w:val="single" w:sz="4" w:space="0" w:color="auto"/>
              <w:right w:val="single" w:sz="4" w:space="0" w:color="auto"/>
            </w:tcBorders>
            <w:vAlign w:val="center"/>
          </w:tcPr>
          <w:p w14:paraId="192E8B95" w14:textId="5FE5E171" w:rsidR="00B9174A" w:rsidRDefault="00B9174A" w:rsidP="00B11C82">
            <w:pPr>
              <w:adjustRightInd w:val="0"/>
              <w:snapToGrid w:val="0"/>
              <w:jc w:val="center"/>
              <w:rPr>
                <w:bCs/>
              </w:rPr>
            </w:pPr>
            <w:r>
              <w:rPr>
                <w:rFonts w:hint="eastAsia"/>
                <w:color w:val="000000"/>
                <w:sz w:val="22"/>
                <w:szCs w:val="22"/>
              </w:rPr>
              <w:t>3.63</w:t>
            </w:r>
          </w:p>
        </w:tc>
        <w:tc>
          <w:tcPr>
            <w:tcW w:w="954" w:type="pct"/>
            <w:tcBorders>
              <w:top w:val="single" w:sz="4" w:space="0" w:color="auto"/>
              <w:left w:val="single" w:sz="4" w:space="0" w:color="auto"/>
              <w:bottom w:val="single" w:sz="4" w:space="0" w:color="auto"/>
              <w:right w:val="nil"/>
            </w:tcBorders>
            <w:vAlign w:val="center"/>
          </w:tcPr>
          <w:p w14:paraId="29ADA34E" w14:textId="439E7E3D" w:rsidR="00B9174A" w:rsidRDefault="00B9174A" w:rsidP="00B11C82">
            <w:pPr>
              <w:jc w:val="center"/>
              <w:rPr>
                <w:bCs/>
              </w:rPr>
            </w:pPr>
            <w:r>
              <w:rPr>
                <w:rFonts w:hint="eastAsia"/>
                <w:color w:val="000000"/>
                <w:sz w:val="22"/>
                <w:szCs w:val="22"/>
              </w:rPr>
              <w:t>4.06</w:t>
            </w:r>
          </w:p>
        </w:tc>
        <w:tc>
          <w:tcPr>
            <w:tcW w:w="393" w:type="pct"/>
            <w:vMerge w:val="restart"/>
            <w:vAlign w:val="center"/>
          </w:tcPr>
          <w:p w14:paraId="055EA874" w14:textId="7B954A0D" w:rsidR="00B9174A" w:rsidRDefault="00B9174A" w:rsidP="00B11C82">
            <w:pPr>
              <w:adjustRightInd w:val="0"/>
              <w:snapToGrid w:val="0"/>
              <w:jc w:val="center"/>
              <w:rPr>
                <w:bCs/>
              </w:rPr>
            </w:pPr>
            <w:r>
              <w:rPr>
                <w:rFonts w:hint="eastAsia"/>
                <w:kern w:val="0"/>
              </w:rPr>
              <w:t>60</w:t>
            </w:r>
          </w:p>
        </w:tc>
      </w:tr>
      <w:tr w:rsidR="00B9174A" w14:paraId="1A980F18" w14:textId="77777777" w:rsidTr="00600DE0">
        <w:trPr>
          <w:trHeight w:val="57"/>
          <w:jc w:val="center"/>
        </w:trPr>
        <w:tc>
          <w:tcPr>
            <w:tcW w:w="466" w:type="pct"/>
            <w:vAlign w:val="center"/>
          </w:tcPr>
          <w:p w14:paraId="5588CB26" w14:textId="256978C4" w:rsidR="00B9174A" w:rsidRDefault="00600DE0" w:rsidP="00B11C82">
            <w:pPr>
              <w:adjustRightInd w:val="0"/>
              <w:snapToGrid w:val="0"/>
              <w:jc w:val="center"/>
            </w:pPr>
            <w:r>
              <w:rPr>
                <w:rFonts w:hint="eastAsia"/>
              </w:rPr>
              <w:t>标准指数</w:t>
            </w:r>
          </w:p>
        </w:tc>
        <w:tc>
          <w:tcPr>
            <w:tcW w:w="325" w:type="pct"/>
            <w:tcBorders>
              <w:top w:val="single" w:sz="4" w:space="0" w:color="auto"/>
              <w:left w:val="nil"/>
              <w:bottom w:val="single" w:sz="4" w:space="0" w:color="auto"/>
              <w:right w:val="single" w:sz="4" w:space="0" w:color="auto"/>
            </w:tcBorders>
            <w:vAlign w:val="center"/>
          </w:tcPr>
          <w:p w14:paraId="7BE66278" w14:textId="325DCFFD" w:rsidR="00B9174A" w:rsidRDefault="00B9174A" w:rsidP="00B11C82">
            <w:pPr>
              <w:adjustRightInd w:val="0"/>
              <w:snapToGrid w:val="0"/>
              <w:jc w:val="center"/>
              <w:rPr>
                <w:kern w:val="0"/>
              </w:rPr>
            </w:pPr>
            <w:r>
              <w:rPr>
                <w:rFonts w:hint="eastAsia"/>
                <w:color w:val="000000"/>
                <w:sz w:val="22"/>
                <w:szCs w:val="22"/>
              </w:rPr>
              <w:t xml:space="preserve">0.0593 </w:t>
            </w:r>
          </w:p>
        </w:tc>
        <w:tc>
          <w:tcPr>
            <w:tcW w:w="387" w:type="pct"/>
            <w:tcBorders>
              <w:top w:val="single" w:sz="4" w:space="0" w:color="auto"/>
              <w:left w:val="single" w:sz="4" w:space="0" w:color="auto"/>
              <w:bottom w:val="single" w:sz="4" w:space="0" w:color="auto"/>
              <w:right w:val="single" w:sz="4" w:space="0" w:color="auto"/>
            </w:tcBorders>
            <w:vAlign w:val="center"/>
          </w:tcPr>
          <w:p w14:paraId="505C847D" w14:textId="5400F0FB" w:rsidR="00B9174A" w:rsidRDefault="00B9174A" w:rsidP="00B11C82">
            <w:pPr>
              <w:adjustRightInd w:val="0"/>
              <w:snapToGrid w:val="0"/>
              <w:jc w:val="center"/>
              <w:rPr>
                <w:kern w:val="0"/>
              </w:rPr>
            </w:pPr>
            <w:r>
              <w:rPr>
                <w:rFonts w:hint="eastAsia"/>
                <w:color w:val="000000"/>
                <w:sz w:val="22"/>
                <w:szCs w:val="22"/>
              </w:rPr>
              <w:t xml:space="preserve">0.0535 </w:t>
            </w:r>
          </w:p>
        </w:tc>
        <w:tc>
          <w:tcPr>
            <w:tcW w:w="325" w:type="pct"/>
            <w:tcBorders>
              <w:top w:val="single" w:sz="4" w:space="0" w:color="auto"/>
              <w:left w:val="single" w:sz="4" w:space="0" w:color="auto"/>
              <w:bottom w:val="single" w:sz="4" w:space="0" w:color="auto"/>
              <w:right w:val="single" w:sz="4" w:space="0" w:color="auto"/>
            </w:tcBorders>
            <w:vAlign w:val="center"/>
          </w:tcPr>
          <w:p w14:paraId="085382A9" w14:textId="43299F61" w:rsidR="00B9174A" w:rsidRDefault="00B9174A" w:rsidP="00B11C82">
            <w:pPr>
              <w:adjustRightInd w:val="0"/>
              <w:snapToGrid w:val="0"/>
              <w:jc w:val="center"/>
              <w:rPr>
                <w:kern w:val="0"/>
              </w:rPr>
            </w:pPr>
            <w:r>
              <w:rPr>
                <w:rFonts w:hint="eastAsia"/>
                <w:color w:val="000000"/>
                <w:sz w:val="22"/>
                <w:szCs w:val="22"/>
              </w:rPr>
              <w:t xml:space="preserve">0.0528 </w:t>
            </w:r>
          </w:p>
        </w:tc>
        <w:tc>
          <w:tcPr>
            <w:tcW w:w="333" w:type="pct"/>
            <w:tcBorders>
              <w:top w:val="single" w:sz="4" w:space="0" w:color="auto"/>
              <w:left w:val="single" w:sz="4" w:space="0" w:color="auto"/>
              <w:bottom w:val="single" w:sz="4" w:space="0" w:color="auto"/>
              <w:right w:val="single" w:sz="4" w:space="0" w:color="auto"/>
            </w:tcBorders>
            <w:vAlign w:val="center"/>
          </w:tcPr>
          <w:p w14:paraId="06C8394E" w14:textId="2ED4300B" w:rsidR="00B9174A" w:rsidRDefault="00B9174A" w:rsidP="00B11C82">
            <w:pPr>
              <w:adjustRightInd w:val="0"/>
              <w:snapToGrid w:val="0"/>
              <w:jc w:val="center"/>
              <w:rPr>
                <w:kern w:val="0"/>
              </w:rPr>
            </w:pPr>
            <w:r>
              <w:rPr>
                <w:rFonts w:hint="eastAsia"/>
                <w:color w:val="000000"/>
                <w:sz w:val="22"/>
                <w:szCs w:val="22"/>
              </w:rPr>
              <w:t xml:space="preserve">0.0755 </w:t>
            </w:r>
          </w:p>
        </w:tc>
        <w:tc>
          <w:tcPr>
            <w:tcW w:w="387" w:type="pct"/>
            <w:tcBorders>
              <w:top w:val="single" w:sz="4" w:space="0" w:color="auto"/>
              <w:left w:val="single" w:sz="4" w:space="0" w:color="auto"/>
              <w:bottom w:val="single" w:sz="4" w:space="0" w:color="auto"/>
              <w:right w:val="single" w:sz="4" w:space="0" w:color="auto"/>
            </w:tcBorders>
            <w:vAlign w:val="center"/>
          </w:tcPr>
          <w:p w14:paraId="4A4B29BF" w14:textId="1D43EDBD" w:rsidR="00B9174A" w:rsidRDefault="00B9174A" w:rsidP="00B11C82">
            <w:pPr>
              <w:adjustRightInd w:val="0"/>
              <w:snapToGrid w:val="0"/>
              <w:jc w:val="center"/>
              <w:rPr>
                <w:kern w:val="0"/>
              </w:rPr>
            </w:pPr>
            <w:r>
              <w:rPr>
                <w:rFonts w:hint="eastAsia"/>
                <w:color w:val="000000"/>
                <w:sz w:val="22"/>
                <w:szCs w:val="22"/>
              </w:rPr>
              <w:t xml:space="preserve">0.0710 </w:t>
            </w:r>
          </w:p>
        </w:tc>
        <w:tc>
          <w:tcPr>
            <w:tcW w:w="348" w:type="pct"/>
            <w:tcBorders>
              <w:top w:val="single" w:sz="4" w:space="0" w:color="auto"/>
              <w:left w:val="single" w:sz="4" w:space="0" w:color="auto"/>
              <w:bottom w:val="single" w:sz="4" w:space="0" w:color="auto"/>
              <w:right w:val="single" w:sz="4" w:space="0" w:color="auto"/>
            </w:tcBorders>
            <w:vAlign w:val="center"/>
          </w:tcPr>
          <w:p w14:paraId="408D5802" w14:textId="52043A09" w:rsidR="00B9174A" w:rsidRDefault="00B9174A" w:rsidP="00B11C82">
            <w:pPr>
              <w:adjustRightInd w:val="0"/>
              <w:snapToGrid w:val="0"/>
              <w:jc w:val="center"/>
              <w:rPr>
                <w:kern w:val="0"/>
              </w:rPr>
            </w:pPr>
            <w:r>
              <w:rPr>
                <w:rFonts w:hint="eastAsia"/>
                <w:color w:val="000000"/>
                <w:sz w:val="22"/>
                <w:szCs w:val="22"/>
              </w:rPr>
              <w:t xml:space="preserve">0.0695 </w:t>
            </w:r>
          </w:p>
        </w:tc>
        <w:tc>
          <w:tcPr>
            <w:tcW w:w="347" w:type="pct"/>
            <w:tcBorders>
              <w:top w:val="single" w:sz="4" w:space="0" w:color="auto"/>
              <w:left w:val="single" w:sz="4" w:space="0" w:color="auto"/>
              <w:bottom w:val="single" w:sz="4" w:space="0" w:color="auto"/>
              <w:right w:val="single" w:sz="4" w:space="0" w:color="auto"/>
            </w:tcBorders>
            <w:vAlign w:val="center"/>
          </w:tcPr>
          <w:p w14:paraId="0976137B" w14:textId="073344F6" w:rsidR="00B9174A" w:rsidRDefault="00B9174A" w:rsidP="00B11C82">
            <w:pPr>
              <w:adjustRightInd w:val="0"/>
              <w:snapToGrid w:val="0"/>
              <w:jc w:val="center"/>
            </w:pPr>
            <w:r>
              <w:rPr>
                <w:rFonts w:hint="eastAsia"/>
                <w:color w:val="000000"/>
                <w:sz w:val="22"/>
                <w:szCs w:val="22"/>
              </w:rPr>
              <w:t xml:space="preserve">0.0648 </w:t>
            </w:r>
          </w:p>
        </w:tc>
        <w:tc>
          <w:tcPr>
            <w:tcW w:w="387" w:type="pct"/>
            <w:tcBorders>
              <w:top w:val="single" w:sz="4" w:space="0" w:color="auto"/>
              <w:left w:val="single" w:sz="4" w:space="0" w:color="auto"/>
              <w:bottom w:val="single" w:sz="4" w:space="0" w:color="auto"/>
              <w:right w:val="single" w:sz="4" w:space="0" w:color="auto"/>
            </w:tcBorders>
            <w:vAlign w:val="center"/>
          </w:tcPr>
          <w:p w14:paraId="11D6057E" w14:textId="54E9551A" w:rsidR="00B9174A" w:rsidRDefault="00B9174A" w:rsidP="00B11C82">
            <w:pPr>
              <w:adjustRightInd w:val="0"/>
              <w:snapToGrid w:val="0"/>
              <w:jc w:val="center"/>
            </w:pPr>
            <w:r>
              <w:rPr>
                <w:rFonts w:hint="eastAsia"/>
                <w:color w:val="000000"/>
                <w:sz w:val="22"/>
                <w:szCs w:val="22"/>
              </w:rPr>
              <w:t xml:space="preserve">0.0628 </w:t>
            </w:r>
          </w:p>
        </w:tc>
        <w:tc>
          <w:tcPr>
            <w:tcW w:w="349" w:type="pct"/>
            <w:tcBorders>
              <w:top w:val="single" w:sz="4" w:space="0" w:color="auto"/>
              <w:left w:val="single" w:sz="4" w:space="0" w:color="auto"/>
              <w:bottom w:val="single" w:sz="4" w:space="0" w:color="auto"/>
              <w:right w:val="single" w:sz="4" w:space="0" w:color="auto"/>
            </w:tcBorders>
            <w:vAlign w:val="center"/>
          </w:tcPr>
          <w:p w14:paraId="5A9D61E7" w14:textId="1672A814" w:rsidR="00B9174A" w:rsidRDefault="00B9174A" w:rsidP="00B11C82">
            <w:pPr>
              <w:adjustRightInd w:val="0"/>
              <w:snapToGrid w:val="0"/>
              <w:jc w:val="center"/>
            </w:pPr>
            <w:r>
              <w:rPr>
                <w:rFonts w:hint="eastAsia"/>
                <w:color w:val="000000"/>
                <w:sz w:val="22"/>
                <w:szCs w:val="22"/>
              </w:rPr>
              <w:t xml:space="preserve">0.0605 </w:t>
            </w:r>
          </w:p>
        </w:tc>
        <w:tc>
          <w:tcPr>
            <w:tcW w:w="954" w:type="pct"/>
            <w:tcBorders>
              <w:top w:val="single" w:sz="4" w:space="0" w:color="auto"/>
              <w:left w:val="single" w:sz="4" w:space="0" w:color="auto"/>
              <w:bottom w:val="single" w:sz="4" w:space="0" w:color="auto"/>
              <w:right w:val="nil"/>
            </w:tcBorders>
            <w:vAlign w:val="center"/>
          </w:tcPr>
          <w:p w14:paraId="62C1BE6C" w14:textId="47A6D4BE" w:rsidR="00B9174A" w:rsidRDefault="00B9174A" w:rsidP="00B11C82">
            <w:pPr>
              <w:jc w:val="center"/>
              <w:rPr>
                <w:kern w:val="0"/>
              </w:rPr>
            </w:pPr>
            <w:r>
              <w:rPr>
                <w:rFonts w:hint="eastAsia"/>
                <w:color w:val="000000"/>
                <w:sz w:val="22"/>
                <w:szCs w:val="22"/>
              </w:rPr>
              <w:t xml:space="preserve">0.0677 </w:t>
            </w:r>
          </w:p>
        </w:tc>
        <w:tc>
          <w:tcPr>
            <w:tcW w:w="393" w:type="pct"/>
            <w:vMerge/>
            <w:vAlign w:val="center"/>
          </w:tcPr>
          <w:p w14:paraId="3DB31777" w14:textId="77777777" w:rsidR="00B9174A" w:rsidRDefault="00B9174A" w:rsidP="00B11C82">
            <w:pPr>
              <w:adjustRightInd w:val="0"/>
              <w:snapToGrid w:val="0"/>
              <w:jc w:val="center"/>
              <w:rPr>
                <w:kern w:val="0"/>
              </w:rPr>
            </w:pPr>
          </w:p>
        </w:tc>
      </w:tr>
      <w:tr w:rsidR="00B9174A" w14:paraId="522EC421" w14:textId="77777777" w:rsidTr="00600DE0">
        <w:trPr>
          <w:trHeight w:val="57"/>
          <w:jc w:val="center"/>
        </w:trPr>
        <w:tc>
          <w:tcPr>
            <w:tcW w:w="466" w:type="pct"/>
            <w:vAlign w:val="center"/>
          </w:tcPr>
          <w:p w14:paraId="0BA9C692" w14:textId="023F3D28" w:rsidR="00B9174A" w:rsidRDefault="00B9174A" w:rsidP="00B11C82">
            <w:pPr>
              <w:adjustRightInd w:val="0"/>
              <w:snapToGrid w:val="0"/>
              <w:jc w:val="center"/>
            </w:pPr>
            <w:r>
              <w:t>铅</w:t>
            </w:r>
          </w:p>
        </w:tc>
        <w:tc>
          <w:tcPr>
            <w:tcW w:w="325" w:type="pct"/>
            <w:tcBorders>
              <w:top w:val="single" w:sz="4" w:space="0" w:color="auto"/>
              <w:left w:val="nil"/>
              <w:bottom w:val="single" w:sz="4" w:space="0" w:color="auto"/>
              <w:right w:val="single" w:sz="4" w:space="0" w:color="auto"/>
            </w:tcBorders>
            <w:vAlign w:val="center"/>
          </w:tcPr>
          <w:p w14:paraId="51B5988A" w14:textId="32CEFA1D" w:rsidR="00B9174A" w:rsidRDefault="00B9174A" w:rsidP="00B11C82">
            <w:pPr>
              <w:adjustRightInd w:val="0"/>
              <w:snapToGrid w:val="0"/>
              <w:jc w:val="center"/>
              <w:rPr>
                <w:bCs/>
              </w:rPr>
            </w:pPr>
            <w:r>
              <w:rPr>
                <w:rFonts w:hint="eastAsia"/>
                <w:color w:val="000000"/>
                <w:sz w:val="22"/>
                <w:szCs w:val="22"/>
              </w:rPr>
              <w:t>36.7</w:t>
            </w:r>
          </w:p>
        </w:tc>
        <w:tc>
          <w:tcPr>
            <w:tcW w:w="387" w:type="pct"/>
            <w:tcBorders>
              <w:top w:val="single" w:sz="4" w:space="0" w:color="auto"/>
              <w:left w:val="single" w:sz="4" w:space="0" w:color="auto"/>
              <w:bottom w:val="single" w:sz="4" w:space="0" w:color="auto"/>
              <w:right w:val="single" w:sz="4" w:space="0" w:color="auto"/>
            </w:tcBorders>
            <w:vAlign w:val="center"/>
          </w:tcPr>
          <w:p w14:paraId="3EA9C2AB" w14:textId="375922DB" w:rsidR="00B9174A" w:rsidRDefault="00B9174A" w:rsidP="00B11C82">
            <w:pPr>
              <w:adjustRightInd w:val="0"/>
              <w:snapToGrid w:val="0"/>
              <w:jc w:val="center"/>
              <w:rPr>
                <w:bCs/>
              </w:rPr>
            </w:pPr>
            <w:r>
              <w:rPr>
                <w:rFonts w:hint="eastAsia"/>
                <w:color w:val="000000"/>
                <w:sz w:val="22"/>
                <w:szCs w:val="22"/>
              </w:rPr>
              <w:t>35.1</w:t>
            </w:r>
          </w:p>
        </w:tc>
        <w:tc>
          <w:tcPr>
            <w:tcW w:w="325" w:type="pct"/>
            <w:tcBorders>
              <w:top w:val="single" w:sz="4" w:space="0" w:color="auto"/>
              <w:left w:val="single" w:sz="4" w:space="0" w:color="auto"/>
              <w:bottom w:val="single" w:sz="4" w:space="0" w:color="auto"/>
              <w:right w:val="single" w:sz="4" w:space="0" w:color="auto"/>
            </w:tcBorders>
            <w:vAlign w:val="center"/>
          </w:tcPr>
          <w:p w14:paraId="119E007A" w14:textId="64AC1A65" w:rsidR="00B9174A" w:rsidRDefault="00B9174A" w:rsidP="00B11C82">
            <w:pPr>
              <w:adjustRightInd w:val="0"/>
              <w:snapToGrid w:val="0"/>
              <w:jc w:val="center"/>
              <w:rPr>
                <w:bCs/>
              </w:rPr>
            </w:pPr>
            <w:r>
              <w:rPr>
                <w:rFonts w:hint="eastAsia"/>
                <w:color w:val="000000"/>
                <w:sz w:val="22"/>
                <w:szCs w:val="22"/>
              </w:rPr>
              <w:t>34.8</w:t>
            </w:r>
          </w:p>
        </w:tc>
        <w:tc>
          <w:tcPr>
            <w:tcW w:w="333" w:type="pct"/>
            <w:tcBorders>
              <w:top w:val="single" w:sz="4" w:space="0" w:color="auto"/>
              <w:left w:val="single" w:sz="4" w:space="0" w:color="auto"/>
              <w:bottom w:val="single" w:sz="4" w:space="0" w:color="auto"/>
              <w:right w:val="single" w:sz="4" w:space="0" w:color="auto"/>
            </w:tcBorders>
            <w:vAlign w:val="center"/>
          </w:tcPr>
          <w:p w14:paraId="75850070" w14:textId="1F7001C4" w:rsidR="00B9174A" w:rsidRDefault="00B9174A" w:rsidP="00B11C82">
            <w:pPr>
              <w:adjustRightInd w:val="0"/>
              <w:snapToGrid w:val="0"/>
              <w:jc w:val="center"/>
              <w:rPr>
                <w:bCs/>
              </w:rPr>
            </w:pPr>
            <w:r>
              <w:rPr>
                <w:rFonts w:hint="eastAsia"/>
                <w:color w:val="000000"/>
                <w:sz w:val="22"/>
                <w:szCs w:val="22"/>
              </w:rPr>
              <w:t>26.1</w:t>
            </w:r>
          </w:p>
        </w:tc>
        <w:tc>
          <w:tcPr>
            <w:tcW w:w="387" w:type="pct"/>
            <w:tcBorders>
              <w:top w:val="single" w:sz="4" w:space="0" w:color="auto"/>
              <w:left w:val="single" w:sz="4" w:space="0" w:color="auto"/>
              <w:bottom w:val="single" w:sz="4" w:space="0" w:color="auto"/>
              <w:right w:val="single" w:sz="4" w:space="0" w:color="auto"/>
            </w:tcBorders>
            <w:vAlign w:val="center"/>
          </w:tcPr>
          <w:p w14:paraId="0A6ECAC4" w14:textId="58B1E1E5" w:rsidR="00B9174A" w:rsidRDefault="00B9174A" w:rsidP="00B11C82">
            <w:pPr>
              <w:adjustRightInd w:val="0"/>
              <w:snapToGrid w:val="0"/>
              <w:jc w:val="center"/>
              <w:rPr>
                <w:bCs/>
              </w:rPr>
            </w:pPr>
            <w:r>
              <w:rPr>
                <w:rFonts w:hint="eastAsia"/>
                <w:color w:val="000000"/>
                <w:sz w:val="22"/>
                <w:szCs w:val="22"/>
              </w:rPr>
              <w:t>24.5</w:t>
            </w:r>
          </w:p>
        </w:tc>
        <w:tc>
          <w:tcPr>
            <w:tcW w:w="348" w:type="pct"/>
            <w:tcBorders>
              <w:top w:val="single" w:sz="4" w:space="0" w:color="auto"/>
              <w:left w:val="single" w:sz="4" w:space="0" w:color="auto"/>
              <w:bottom w:val="single" w:sz="4" w:space="0" w:color="auto"/>
              <w:right w:val="single" w:sz="4" w:space="0" w:color="auto"/>
            </w:tcBorders>
            <w:vAlign w:val="center"/>
          </w:tcPr>
          <w:p w14:paraId="57658144" w14:textId="55869C78" w:rsidR="00B9174A" w:rsidRDefault="00B9174A" w:rsidP="00B11C82">
            <w:pPr>
              <w:adjustRightInd w:val="0"/>
              <w:snapToGrid w:val="0"/>
              <w:jc w:val="center"/>
              <w:rPr>
                <w:bCs/>
              </w:rPr>
            </w:pPr>
            <w:r>
              <w:rPr>
                <w:rFonts w:hint="eastAsia"/>
                <w:color w:val="000000"/>
                <w:sz w:val="22"/>
                <w:szCs w:val="22"/>
              </w:rPr>
              <w:t>23.6</w:t>
            </w:r>
          </w:p>
        </w:tc>
        <w:tc>
          <w:tcPr>
            <w:tcW w:w="347" w:type="pct"/>
            <w:tcBorders>
              <w:top w:val="single" w:sz="4" w:space="0" w:color="auto"/>
              <w:left w:val="single" w:sz="4" w:space="0" w:color="auto"/>
              <w:bottom w:val="single" w:sz="4" w:space="0" w:color="auto"/>
              <w:right w:val="single" w:sz="4" w:space="0" w:color="auto"/>
            </w:tcBorders>
            <w:vAlign w:val="center"/>
          </w:tcPr>
          <w:p w14:paraId="6C1CF327" w14:textId="74F38F2F" w:rsidR="00B9174A" w:rsidRDefault="00B9174A" w:rsidP="00B11C82">
            <w:pPr>
              <w:adjustRightInd w:val="0"/>
              <w:snapToGrid w:val="0"/>
              <w:jc w:val="center"/>
              <w:rPr>
                <w:bCs/>
              </w:rPr>
            </w:pPr>
            <w:r>
              <w:rPr>
                <w:rFonts w:hint="eastAsia"/>
                <w:color w:val="000000"/>
                <w:sz w:val="22"/>
                <w:szCs w:val="22"/>
              </w:rPr>
              <w:t>37.9</w:t>
            </w:r>
          </w:p>
        </w:tc>
        <w:tc>
          <w:tcPr>
            <w:tcW w:w="387" w:type="pct"/>
            <w:tcBorders>
              <w:top w:val="single" w:sz="4" w:space="0" w:color="auto"/>
              <w:left w:val="single" w:sz="4" w:space="0" w:color="auto"/>
              <w:bottom w:val="single" w:sz="4" w:space="0" w:color="auto"/>
              <w:right w:val="single" w:sz="4" w:space="0" w:color="auto"/>
            </w:tcBorders>
            <w:vAlign w:val="center"/>
          </w:tcPr>
          <w:p w14:paraId="2DA91D20" w14:textId="3CD8DDAF" w:rsidR="00B9174A" w:rsidRDefault="00B9174A" w:rsidP="00B11C82">
            <w:pPr>
              <w:adjustRightInd w:val="0"/>
              <w:snapToGrid w:val="0"/>
              <w:jc w:val="center"/>
              <w:rPr>
                <w:bCs/>
              </w:rPr>
            </w:pPr>
            <w:r>
              <w:rPr>
                <w:rFonts w:hint="eastAsia"/>
                <w:color w:val="000000"/>
                <w:sz w:val="22"/>
                <w:szCs w:val="22"/>
              </w:rPr>
              <w:t>36.4</w:t>
            </w:r>
          </w:p>
        </w:tc>
        <w:tc>
          <w:tcPr>
            <w:tcW w:w="349" w:type="pct"/>
            <w:tcBorders>
              <w:top w:val="single" w:sz="4" w:space="0" w:color="auto"/>
              <w:left w:val="single" w:sz="4" w:space="0" w:color="auto"/>
              <w:bottom w:val="single" w:sz="4" w:space="0" w:color="auto"/>
              <w:right w:val="single" w:sz="4" w:space="0" w:color="auto"/>
            </w:tcBorders>
            <w:vAlign w:val="center"/>
          </w:tcPr>
          <w:p w14:paraId="4BCF1523" w14:textId="06DA5F5A" w:rsidR="00B9174A" w:rsidRDefault="00B9174A" w:rsidP="00B11C82">
            <w:pPr>
              <w:adjustRightInd w:val="0"/>
              <w:snapToGrid w:val="0"/>
              <w:jc w:val="center"/>
              <w:rPr>
                <w:bCs/>
              </w:rPr>
            </w:pPr>
            <w:r>
              <w:rPr>
                <w:rFonts w:hint="eastAsia"/>
                <w:color w:val="000000"/>
                <w:sz w:val="22"/>
                <w:szCs w:val="22"/>
              </w:rPr>
              <w:t>35.8</w:t>
            </w:r>
          </w:p>
        </w:tc>
        <w:tc>
          <w:tcPr>
            <w:tcW w:w="954" w:type="pct"/>
            <w:tcBorders>
              <w:top w:val="single" w:sz="4" w:space="0" w:color="auto"/>
              <w:left w:val="single" w:sz="4" w:space="0" w:color="auto"/>
              <w:bottom w:val="single" w:sz="4" w:space="0" w:color="auto"/>
              <w:right w:val="nil"/>
            </w:tcBorders>
            <w:vAlign w:val="center"/>
          </w:tcPr>
          <w:p w14:paraId="626AC89D" w14:textId="509958CE" w:rsidR="00B9174A" w:rsidRDefault="00B9174A" w:rsidP="00B11C82">
            <w:pPr>
              <w:jc w:val="center"/>
              <w:rPr>
                <w:bCs/>
              </w:rPr>
            </w:pPr>
            <w:r>
              <w:rPr>
                <w:rFonts w:hint="eastAsia"/>
                <w:color w:val="000000"/>
                <w:sz w:val="22"/>
                <w:szCs w:val="22"/>
              </w:rPr>
              <w:t>30.4</w:t>
            </w:r>
          </w:p>
        </w:tc>
        <w:tc>
          <w:tcPr>
            <w:tcW w:w="393" w:type="pct"/>
            <w:vMerge w:val="restart"/>
            <w:vAlign w:val="center"/>
          </w:tcPr>
          <w:p w14:paraId="359F1444" w14:textId="1CC820D5" w:rsidR="00B9174A" w:rsidRDefault="00B9174A" w:rsidP="00B11C82">
            <w:pPr>
              <w:adjustRightInd w:val="0"/>
              <w:snapToGrid w:val="0"/>
              <w:jc w:val="center"/>
              <w:rPr>
                <w:bCs/>
              </w:rPr>
            </w:pPr>
            <w:r>
              <w:rPr>
                <w:rFonts w:hint="eastAsia"/>
                <w:kern w:val="0"/>
              </w:rPr>
              <w:t>800</w:t>
            </w:r>
          </w:p>
        </w:tc>
      </w:tr>
      <w:tr w:rsidR="00B9174A" w14:paraId="579E7F1D" w14:textId="77777777" w:rsidTr="00600DE0">
        <w:trPr>
          <w:trHeight w:val="57"/>
          <w:jc w:val="center"/>
        </w:trPr>
        <w:tc>
          <w:tcPr>
            <w:tcW w:w="466" w:type="pct"/>
            <w:vAlign w:val="center"/>
          </w:tcPr>
          <w:p w14:paraId="167EF0B8" w14:textId="5A4ABCCF" w:rsidR="00B9174A" w:rsidRDefault="00600DE0" w:rsidP="00B11C82">
            <w:pPr>
              <w:adjustRightInd w:val="0"/>
              <w:snapToGrid w:val="0"/>
              <w:jc w:val="center"/>
            </w:pPr>
            <w:r>
              <w:rPr>
                <w:rFonts w:hint="eastAsia"/>
              </w:rPr>
              <w:t>标准指数</w:t>
            </w:r>
          </w:p>
        </w:tc>
        <w:tc>
          <w:tcPr>
            <w:tcW w:w="325" w:type="pct"/>
            <w:tcBorders>
              <w:top w:val="single" w:sz="4" w:space="0" w:color="auto"/>
              <w:left w:val="nil"/>
              <w:bottom w:val="single" w:sz="4" w:space="0" w:color="auto"/>
              <w:right w:val="single" w:sz="4" w:space="0" w:color="auto"/>
            </w:tcBorders>
            <w:vAlign w:val="center"/>
          </w:tcPr>
          <w:p w14:paraId="1EE58A1A" w14:textId="25F0A750" w:rsidR="00B9174A" w:rsidRDefault="00B9174A" w:rsidP="00B11C82">
            <w:pPr>
              <w:adjustRightInd w:val="0"/>
              <w:snapToGrid w:val="0"/>
              <w:jc w:val="center"/>
              <w:rPr>
                <w:kern w:val="0"/>
              </w:rPr>
            </w:pPr>
            <w:r>
              <w:rPr>
                <w:rFonts w:hint="eastAsia"/>
                <w:color w:val="000000"/>
                <w:sz w:val="22"/>
                <w:szCs w:val="22"/>
              </w:rPr>
              <w:t xml:space="preserve">0.0459 </w:t>
            </w:r>
          </w:p>
        </w:tc>
        <w:tc>
          <w:tcPr>
            <w:tcW w:w="387" w:type="pct"/>
            <w:tcBorders>
              <w:top w:val="single" w:sz="4" w:space="0" w:color="auto"/>
              <w:left w:val="single" w:sz="4" w:space="0" w:color="auto"/>
              <w:bottom w:val="single" w:sz="4" w:space="0" w:color="auto"/>
              <w:right w:val="single" w:sz="4" w:space="0" w:color="auto"/>
            </w:tcBorders>
            <w:vAlign w:val="center"/>
          </w:tcPr>
          <w:p w14:paraId="66EFD751" w14:textId="1C4F75B1" w:rsidR="00B9174A" w:rsidRDefault="00B9174A" w:rsidP="00B11C82">
            <w:pPr>
              <w:adjustRightInd w:val="0"/>
              <w:snapToGrid w:val="0"/>
              <w:jc w:val="center"/>
              <w:rPr>
                <w:kern w:val="0"/>
              </w:rPr>
            </w:pPr>
            <w:r>
              <w:rPr>
                <w:rFonts w:hint="eastAsia"/>
                <w:color w:val="000000"/>
                <w:sz w:val="22"/>
                <w:szCs w:val="22"/>
              </w:rPr>
              <w:t xml:space="preserve">0.0439 </w:t>
            </w:r>
          </w:p>
        </w:tc>
        <w:tc>
          <w:tcPr>
            <w:tcW w:w="325" w:type="pct"/>
            <w:tcBorders>
              <w:top w:val="single" w:sz="4" w:space="0" w:color="auto"/>
              <w:left w:val="single" w:sz="4" w:space="0" w:color="auto"/>
              <w:bottom w:val="single" w:sz="4" w:space="0" w:color="auto"/>
              <w:right w:val="single" w:sz="4" w:space="0" w:color="auto"/>
            </w:tcBorders>
            <w:vAlign w:val="center"/>
          </w:tcPr>
          <w:p w14:paraId="1A243065" w14:textId="2F62C1AC" w:rsidR="00B9174A" w:rsidRDefault="00B9174A" w:rsidP="00B11C82">
            <w:pPr>
              <w:adjustRightInd w:val="0"/>
              <w:snapToGrid w:val="0"/>
              <w:jc w:val="center"/>
              <w:rPr>
                <w:kern w:val="0"/>
              </w:rPr>
            </w:pPr>
            <w:r>
              <w:rPr>
                <w:rFonts w:hint="eastAsia"/>
                <w:color w:val="000000"/>
                <w:sz w:val="22"/>
                <w:szCs w:val="22"/>
              </w:rPr>
              <w:t xml:space="preserve">0.0435 </w:t>
            </w:r>
          </w:p>
        </w:tc>
        <w:tc>
          <w:tcPr>
            <w:tcW w:w="333" w:type="pct"/>
            <w:tcBorders>
              <w:top w:val="single" w:sz="4" w:space="0" w:color="auto"/>
              <w:left w:val="single" w:sz="4" w:space="0" w:color="auto"/>
              <w:bottom w:val="single" w:sz="4" w:space="0" w:color="auto"/>
              <w:right w:val="single" w:sz="4" w:space="0" w:color="auto"/>
            </w:tcBorders>
            <w:vAlign w:val="center"/>
          </w:tcPr>
          <w:p w14:paraId="796150BB" w14:textId="7AACAA10" w:rsidR="00B9174A" w:rsidRDefault="00B9174A" w:rsidP="00B11C82">
            <w:pPr>
              <w:adjustRightInd w:val="0"/>
              <w:snapToGrid w:val="0"/>
              <w:jc w:val="center"/>
              <w:rPr>
                <w:kern w:val="0"/>
              </w:rPr>
            </w:pPr>
            <w:r>
              <w:rPr>
                <w:rFonts w:hint="eastAsia"/>
                <w:color w:val="000000"/>
                <w:sz w:val="22"/>
                <w:szCs w:val="22"/>
              </w:rPr>
              <w:t xml:space="preserve">0.0326 </w:t>
            </w:r>
          </w:p>
        </w:tc>
        <w:tc>
          <w:tcPr>
            <w:tcW w:w="387" w:type="pct"/>
            <w:tcBorders>
              <w:top w:val="single" w:sz="4" w:space="0" w:color="auto"/>
              <w:left w:val="single" w:sz="4" w:space="0" w:color="auto"/>
              <w:bottom w:val="single" w:sz="4" w:space="0" w:color="auto"/>
              <w:right w:val="single" w:sz="4" w:space="0" w:color="auto"/>
            </w:tcBorders>
            <w:vAlign w:val="center"/>
          </w:tcPr>
          <w:p w14:paraId="2562FF0F" w14:textId="4D052C0F" w:rsidR="00B9174A" w:rsidRDefault="00B9174A" w:rsidP="00B11C82">
            <w:pPr>
              <w:adjustRightInd w:val="0"/>
              <w:snapToGrid w:val="0"/>
              <w:jc w:val="center"/>
              <w:rPr>
                <w:kern w:val="0"/>
              </w:rPr>
            </w:pPr>
            <w:r>
              <w:rPr>
                <w:rFonts w:hint="eastAsia"/>
                <w:color w:val="000000"/>
                <w:sz w:val="22"/>
                <w:szCs w:val="22"/>
              </w:rPr>
              <w:t xml:space="preserve">0.0306 </w:t>
            </w:r>
          </w:p>
        </w:tc>
        <w:tc>
          <w:tcPr>
            <w:tcW w:w="348" w:type="pct"/>
            <w:tcBorders>
              <w:top w:val="single" w:sz="4" w:space="0" w:color="auto"/>
              <w:left w:val="single" w:sz="4" w:space="0" w:color="auto"/>
              <w:bottom w:val="single" w:sz="4" w:space="0" w:color="auto"/>
              <w:right w:val="single" w:sz="4" w:space="0" w:color="auto"/>
            </w:tcBorders>
            <w:vAlign w:val="center"/>
          </w:tcPr>
          <w:p w14:paraId="61DFB64B" w14:textId="5A782C37" w:rsidR="00B9174A" w:rsidRDefault="00B9174A" w:rsidP="00B11C82">
            <w:pPr>
              <w:adjustRightInd w:val="0"/>
              <w:snapToGrid w:val="0"/>
              <w:jc w:val="center"/>
              <w:rPr>
                <w:kern w:val="0"/>
              </w:rPr>
            </w:pPr>
            <w:r>
              <w:rPr>
                <w:rFonts w:hint="eastAsia"/>
                <w:color w:val="000000"/>
                <w:sz w:val="22"/>
                <w:szCs w:val="22"/>
              </w:rPr>
              <w:t xml:space="preserve">0.0295 </w:t>
            </w:r>
          </w:p>
        </w:tc>
        <w:tc>
          <w:tcPr>
            <w:tcW w:w="347" w:type="pct"/>
            <w:tcBorders>
              <w:top w:val="single" w:sz="4" w:space="0" w:color="auto"/>
              <w:left w:val="single" w:sz="4" w:space="0" w:color="auto"/>
              <w:bottom w:val="single" w:sz="4" w:space="0" w:color="auto"/>
              <w:right w:val="single" w:sz="4" w:space="0" w:color="auto"/>
            </w:tcBorders>
            <w:vAlign w:val="center"/>
          </w:tcPr>
          <w:p w14:paraId="5E613EE6" w14:textId="4F4521FB" w:rsidR="00B9174A" w:rsidRDefault="00B9174A" w:rsidP="00B11C82">
            <w:pPr>
              <w:adjustRightInd w:val="0"/>
              <w:snapToGrid w:val="0"/>
              <w:jc w:val="center"/>
            </w:pPr>
            <w:r>
              <w:rPr>
                <w:rFonts w:hint="eastAsia"/>
                <w:color w:val="000000"/>
                <w:sz w:val="22"/>
                <w:szCs w:val="22"/>
              </w:rPr>
              <w:t xml:space="preserve">0.0474 </w:t>
            </w:r>
          </w:p>
        </w:tc>
        <w:tc>
          <w:tcPr>
            <w:tcW w:w="387" w:type="pct"/>
            <w:tcBorders>
              <w:top w:val="single" w:sz="4" w:space="0" w:color="auto"/>
              <w:left w:val="single" w:sz="4" w:space="0" w:color="auto"/>
              <w:bottom w:val="single" w:sz="4" w:space="0" w:color="auto"/>
              <w:right w:val="single" w:sz="4" w:space="0" w:color="auto"/>
            </w:tcBorders>
            <w:vAlign w:val="center"/>
          </w:tcPr>
          <w:p w14:paraId="53B6EDB9" w14:textId="2A357885" w:rsidR="00B9174A" w:rsidRDefault="00B9174A" w:rsidP="00B11C82">
            <w:pPr>
              <w:adjustRightInd w:val="0"/>
              <w:snapToGrid w:val="0"/>
              <w:jc w:val="center"/>
            </w:pPr>
            <w:r>
              <w:rPr>
                <w:rFonts w:hint="eastAsia"/>
                <w:color w:val="000000"/>
                <w:sz w:val="22"/>
                <w:szCs w:val="22"/>
              </w:rPr>
              <w:t xml:space="preserve">0.0455 </w:t>
            </w:r>
          </w:p>
        </w:tc>
        <w:tc>
          <w:tcPr>
            <w:tcW w:w="349" w:type="pct"/>
            <w:tcBorders>
              <w:top w:val="single" w:sz="4" w:space="0" w:color="auto"/>
              <w:left w:val="single" w:sz="4" w:space="0" w:color="auto"/>
              <w:bottom w:val="single" w:sz="4" w:space="0" w:color="auto"/>
              <w:right w:val="single" w:sz="4" w:space="0" w:color="auto"/>
            </w:tcBorders>
            <w:vAlign w:val="center"/>
          </w:tcPr>
          <w:p w14:paraId="2BCAA8D3" w14:textId="605D5417" w:rsidR="00B9174A" w:rsidRDefault="00B9174A" w:rsidP="00B11C82">
            <w:pPr>
              <w:adjustRightInd w:val="0"/>
              <w:snapToGrid w:val="0"/>
              <w:jc w:val="center"/>
            </w:pPr>
            <w:r>
              <w:rPr>
                <w:rFonts w:hint="eastAsia"/>
                <w:color w:val="000000"/>
                <w:sz w:val="22"/>
                <w:szCs w:val="22"/>
              </w:rPr>
              <w:t xml:space="preserve">0.0448 </w:t>
            </w:r>
          </w:p>
        </w:tc>
        <w:tc>
          <w:tcPr>
            <w:tcW w:w="954" w:type="pct"/>
            <w:tcBorders>
              <w:top w:val="single" w:sz="4" w:space="0" w:color="auto"/>
              <w:left w:val="single" w:sz="4" w:space="0" w:color="auto"/>
              <w:bottom w:val="single" w:sz="4" w:space="0" w:color="auto"/>
              <w:right w:val="nil"/>
            </w:tcBorders>
            <w:vAlign w:val="center"/>
          </w:tcPr>
          <w:p w14:paraId="18BB7F98" w14:textId="776FE506" w:rsidR="00B9174A" w:rsidRDefault="00B9174A" w:rsidP="00B11C82">
            <w:pPr>
              <w:jc w:val="center"/>
              <w:rPr>
                <w:kern w:val="0"/>
              </w:rPr>
            </w:pPr>
            <w:r>
              <w:rPr>
                <w:rFonts w:hint="eastAsia"/>
                <w:color w:val="000000"/>
                <w:sz w:val="22"/>
                <w:szCs w:val="22"/>
              </w:rPr>
              <w:t xml:space="preserve">0.0380 </w:t>
            </w:r>
          </w:p>
        </w:tc>
        <w:tc>
          <w:tcPr>
            <w:tcW w:w="393" w:type="pct"/>
            <w:vMerge/>
            <w:vAlign w:val="center"/>
          </w:tcPr>
          <w:p w14:paraId="6C1AB4FF" w14:textId="77777777" w:rsidR="00B9174A" w:rsidRDefault="00B9174A" w:rsidP="00B11C82">
            <w:pPr>
              <w:adjustRightInd w:val="0"/>
              <w:snapToGrid w:val="0"/>
              <w:jc w:val="center"/>
              <w:rPr>
                <w:kern w:val="0"/>
              </w:rPr>
            </w:pPr>
          </w:p>
        </w:tc>
      </w:tr>
      <w:tr w:rsidR="00B9174A" w14:paraId="21B0377F" w14:textId="77777777" w:rsidTr="00600DE0">
        <w:trPr>
          <w:trHeight w:val="57"/>
          <w:jc w:val="center"/>
        </w:trPr>
        <w:tc>
          <w:tcPr>
            <w:tcW w:w="466" w:type="pct"/>
            <w:vAlign w:val="center"/>
          </w:tcPr>
          <w:p w14:paraId="672706CB" w14:textId="4F19E4BF" w:rsidR="00B9174A" w:rsidRDefault="00B9174A" w:rsidP="00B11C82">
            <w:pPr>
              <w:adjustRightInd w:val="0"/>
              <w:snapToGrid w:val="0"/>
              <w:jc w:val="center"/>
            </w:pPr>
            <w:r>
              <w:t>铬</w:t>
            </w:r>
            <w:r>
              <w:rPr>
                <w:rFonts w:hint="eastAsia"/>
              </w:rPr>
              <w:t>（</w:t>
            </w:r>
            <w:r>
              <w:t>六价</w:t>
            </w:r>
            <w:r>
              <w:rPr>
                <w:rFonts w:hint="eastAsia"/>
              </w:rPr>
              <w:t>）</w:t>
            </w:r>
          </w:p>
        </w:tc>
        <w:tc>
          <w:tcPr>
            <w:tcW w:w="325" w:type="pct"/>
            <w:tcBorders>
              <w:top w:val="single" w:sz="4" w:space="0" w:color="auto"/>
              <w:left w:val="nil"/>
              <w:bottom w:val="single" w:sz="4" w:space="0" w:color="auto"/>
              <w:right w:val="single" w:sz="4" w:space="0" w:color="auto"/>
            </w:tcBorders>
            <w:vAlign w:val="center"/>
          </w:tcPr>
          <w:p w14:paraId="31136629" w14:textId="3918EBBD" w:rsidR="00B9174A" w:rsidRDefault="00B9174A" w:rsidP="00B11C82">
            <w:pPr>
              <w:adjustRightInd w:val="0"/>
              <w:snapToGrid w:val="0"/>
              <w:jc w:val="center"/>
              <w:rPr>
                <w:bCs/>
              </w:rPr>
            </w:pPr>
            <w:r>
              <w:rPr>
                <w:rFonts w:hint="eastAsia"/>
                <w:color w:val="000000"/>
                <w:sz w:val="22"/>
                <w:szCs w:val="22"/>
              </w:rPr>
              <w:t>0.5L</w:t>
            </w:r>
          </w:p>
        </w:tc>
        <w:tc>
          <w:tcPr>
            <w:tcW w:w="387" w:type="pct"/>
            <w:tcBorders>
              <w:top w:val="single" w:sz="4" w:space="0" w:color="auto"/>
              <w:left w:val="single" w:sz="4" w:space="0" w:color="auto"/>
              <w:bottom w:val="single" w:sz="4" w:space="0" w:color="auto"/>
              <w:right w:val="single" w:sz="4" w:space="0" w:color="auto"/>
            </w:tcBorders>
            <w:vAlign w:val="center"/>
          </w:tcPr>
          <w:p w14:paraId="5042FD99" w14:textId="214B461A" w:rsidR="00B9174A" w:rsidRDefault="00B9174A" w:rsidP="00B11C82">
            <w:pPr>
              <w:adjustRightInd w:val="0"/>
              <w:snapToGrid w:val="0"/>
              <w:jc w:val="center"/>
              <w:rPr>
                <w:bCs/>
              </w:rPr>
            </w:pPr>
            <w:r>
              <w:rPr>
                <w:rFonts w:hint="eastAsia"/>
                <w:color w:val="000000"/>
                <w:sz w:val="22"/>
                <w:szCs w:val="22"/>
              </w:rPr>
              <w:t>0.5L</w:t>
            </w:r>
          </w:p>
        </w:tc>
        <w:tc>
          <w:tcPr>
            <w:tcW w:w="325" w:type="pct"/>
            <w:tcBorders>
              <w:top w:val="single" w:sz="4" w:space="0" w:color="auto"/>
              <w:left w:val="single" w:sz="4" w:space="0" w:color="auto"/>
              <w:bottom w:val="single" w:sz="4" w:space="0" w:color="auto"/>
              <w:right w:val="single" w:sz="4" w:space="0" w:color="auto"/>
            </w:tcBorders>
            <w:vAlign w:val="center"/>
          </w:tcPr>
          <w:p w14:paraId="3507B418" w14:textId="5969A811" w:rsidR="00B9174A" w:rsidRDefault="00B9174A" w:rsidP="00B11C82">
            <w:pPr>
              <w:adjustRightInd w:val="0"/>
              <w:snapToGrid w:val="0"/>
              <w:jc w:val="center"/>
              <w:rPr>
                <w:bCs/>
              </w:rPr>
            </w:pPr>
            <w:r>
              <w:rPr>
                <w:rFonts w:hint="eastAsia"/>
                <w:color w:val="000000"/>
                <w:sz w:val="22"/>
                <w:szCs w:val="22"/>
              </w:rPr>
              <w:t>0.5L</w:t>
            </w:r>
          </w:p>
        </w:tc>
        <w:tc>
          <w:tcPr>
            <w:tcW w:w="333" w:type="pct"/>
            <w:tcBorders>
              <w:top w:val="single" w:sz="4" w:space="0" w:color="auto"/>
              <w:left w:val="single" w:sz="4" w:space="0" w:color="auto"/>
              <w:bottom w:val="single" w:sz="4" w:space="0" w:color="auto"/>
              <w:right w:val="single" w:sz="4" w:space="0" w:color="auto"/>
            </w:tcBorders>
            <w:vAlign w:val="center"/>
          </w:tcPr>
          <w:p w14:paraId="0394CA93" w14:textId="474A6FAA" w:rsidR="00B9174A" w:rsidRDefault="00B9174A" w:rsidP="00B11C82">
            <w:pPr>
              <w:adjustRightInd w:val="0"/>
              <w:snapToGrid w:val="0"/>
              <w:jc w:val="center"/>
              <w:rPr>
                <w:bCs/>
              </w:rPr>
            </w:pPr>
            <w:r>
              <w:rPr>
                <w:rFonts w:hint="eastAsia"/>
                <w:color w:val="000000"/>
                <w:sz w:val="22"/>
                <w:szCs w:val="22"/>
              </w:rPr>
              <w:t>0.5L</w:t>
            </w:r>
          </w:p>
        </w:tc>
        <w:tc>
          <w:tcPr>
            <w:tcW w:w="387" w:type="pct"/>
            <w:tcBorders>
              <w:top w:val="single" w:sz="4" w:space="0" w:color="auto"/>
              <w:left w:val="single" w:sz="4" w:space="0" w:color="auto"/>
              <w:bottom w:val="single" w:sz="4" w:space="0" w:color="auto"/>
              <w:right w:val="single" w:sz="4" w:space="0" w:color="auto"/>
            </w:tcBorders>
            <w:vAlign w:val="center"/>
          </w:tcPr>
          <w:p w14:paraId="7E2C124F" w14:textId="6991CD0D" w:rsidR="00B9174A" w:rsidRDefault="00B9174A" w:rsidP="00B11C82">
            <w:pPr>
              <w:adjustRightInd w:val="0"/>
              <w:snapToGrid w:val="0"/>
              <w:jc w:val="center"/>
              <w:rPr>
                <w:bCs/>
              </w:rPr>
            </w:pPr>
            <w:r>
              <w:rPr>
                <w:rFonts w:hint="eastAsia"/>
                <w:color w:val="000000"/>
                <w:sz w:val="22"/>
                <w:szCs w:val="22"/>
              </w:rPr>
              <w:t>0.5L</w:t>
            </w:r>
          </w:p>
        </w:tc>
        <w:tc>
          <w:tcPr>
            <w:tcW w:w="348" w:type="pct"/>
            <w:tcBorders>
              <w:top w:val="single" w:sz="4" w:space="0" w:color="auto"/>
              <w:left w:val="single" w:sz="4" w:space="0" w:color="auto"/>
              <w:bottom w:val="single" w:sz="4" w:space="0" w:color="auto"/>
              <w:right w:val="single" w:sz="4" w:space="0" w:color="auto"/>
            </w:tcBorders>
            <w:vAlign w:val="center"/>
          </w:tcPr>
          <w:p w14:paraId="7BC767A4" w14:textId="1DFF0714" w:rsidR="00B9174A" w:rsidRDefault="00B9174A" w:rsidP="00B11C82">
            <w:pPr>
              <w:adjustRightInd w:val="0"/>
              <w:snapToGrid w:val="0"/>
              <w:jc w:val="center"/>
              <w:rPr>
                <w:bCs/>
              </w:rPr>
            </w:pPr>
            <w:r>
              <w:rPr>
                <w:rFonts w:hint="eastAsia"/>
                <w:color w:val="000000"/>
                <w:sz w:val="22"/>
                <w:szCs w:val="22"/>
              </w:rPr>
              <w:t>0.5L</w:t>
            </w:r>
          </w:p>
        </w:tc>
        <w:tc>
          <w:tcPr>
            <w:tcW w:w="347" w:type="pct"/>
            <w:tcBorders>
              <w:top w:val="single" w:sz="4" w:space="0" w:color="auto"/>
              <w:left w:val="single" w:sz="4" w:space="0" w:color="auto"/>
              <w:bottom w:val="single" w:sz="4" w:space="0" w:color="auto"/>
              <w:right w:val="single" w:sz="4" w:space="0" w:color="auto"/>
            </w:tcBorders>
            <w:vAlign w:val="center"/>
          </w:tcPr>
          <w:p w14:paraId="2BE00407" w14:textId="5725A05A" w:rsidR="00B9174A" w:rsidRDefault="00B9174A" w:rsidP="00B11C82">
            <w:pPr>
              <w:adjustRightInd w:val="0"/>
              <w:snapToGrid w:val="0"/>
              <w:jc w:val="center"/>
              <w:rPr>
                <w:bCs/>
              </w:rPr>
            </w:pPr>
            <w:r>
              <w:rPr>
                <w:rFonts w:hint="eastAsia"/>
                <w:color w:val="000000"/>
                <w:sz w:val="22"/>
                <w:szCs w:val="22"/>
              </w:rPr>
              <w:t>0.5L</w:t>
            </w:r>
          </w:p>
        </w:tc>
        <w:tc>
          <w:tcPr>
            <w:tcW w:w="387" w:type="pct"/>
            <w:tcBorders>
              <w:top w:val="single" w:sz="4" w:space="0" w:color="auto"/>
              <w:left w:val="single" w:sz="4" w:space="0" w:color="auto"/>
              <w:bottom w:val="single" w:sz="4" w:space="0" w:color="auto"/>
              <w:right w:val="single" w:sz="4" w:space="0" w:color="auto"/>
            </w:tcBorders>
            <w:vAlign w:val="center"/>
          </w:tcPr>
          <w:p w14:paraId="4C07475A" w14:textId="721840CE" w:rsidR="00B9174A" w:rsidRDefault="00B9174A" w:rsidP="00B11C82">
            <w:pPr>
              <w:adjustRightInd w:val="0"/>
              <w:snapToGrid w:val="0"/>
              <w:jc w:val="center"/>
              <w:rPr>
                <w:bCs/>
              </w:rPr>
            </w:pPr>
            <w:r>
              <w:rPr>
                <w:rFonts w:hint="eastAsia"/>
                <w:color w:val="000000"/>
                <w:sz w:val="22"/>
                <w:szCs w:val="22"/>
              </w:rPr>
              <w:t>0.5L</w:t>
            </w:r>
          </w:p>
        </w:tc>
        <w:tc>
          <w:tcPr>
            <w:tcW w:w="349" w:type="pct"/>
            <w:tcBorders>
              <w:top w:val="single" w:sz="4" w:space="0" w:color="auto"/>
              <w:left w:val="single" w:sz="4" w:space="0" w:color="auto"/>
              <w:bottom w:val="single" w:sz="4" w:space="0" w:color="auto"/>
              <w:right w:val="single" w:sz="4" w:space="0" w:color="auto"/>
            </w:tcBorders>
            <w:vAlign w:val="center"/>
          </w:tcPr>
          <w:p w14:paraId="4E49141F" w14:textId="3A7967C3" w:rsidR="00B9174A" w:rsidRDefault="00B9174A" w:rsidP="00B11C82">
            <w:pPr>
              <w:adjustRightInd w:val="0"/>
              <w:snapToGrid w:val="0"/>
              <w:jc w:val="center"/>
              <w:rPr>
                <w:bCs/>
              </w:rPr>
            </w:pPr>
            <w:r>
              <w:rPr>
                <w:rFonts w:hint="eastAsia"/>
                <w:color w:val="000000"/>
                <w:sz w:val="22"/>
                <w:szCs w:val="22"/>
              </w:rPr>
              <w:t>0.5L</w:t>
            </w:r>
          </w:p>
        </w:tc>
        <w:tc>
          <w:tcPr>
            <w:tcW w:w="954" w:type="pct"/>
            <w:tcBorders>
              <w:top w:val="single" w:sz="4" w:space="0" w:color="auto"/>
              <w:left w:val="single" w:sz="4" w:space="0" w:color="auto"/>
              <w:bottom w:val="single" w:sz="4" w:space="0" w:color="auto"/>
              <w:right w:val="nil"/>
            </w:tcBorders>
            <w:vAlign w:val="center"/>
          </w:tcPr>
          <w:p w14:paraId="6495CD97" w14:textId="18FD0A77" w:rsidR="00B9174A" w:rsidRDefault="00B9174A" w:rsidP="00B11C82">
            <w:pPr>
              <w:jc w:val="center"/>
              <w:rPr>
                <w:bCs/>
              </w:rPr>
            </w:pPr>
            <w:r>
              <w:rPr>
                <w:rFonts w:hint="eastAsia"/>
                <w:color w:val="000000"/>
                <w:sz w:val="22"/>
                <w:szCs w:val="22"/>
              </w:rPr>
              <w:t>0.5L</w:t>
            </w:r>
          </w:p>
        </w:tc>
        <w:tc>
          <w:tcPr>
            <w:tcW w:w="393" w:type="pct"/>
            <w:vMerge w:val="restart"/>
            <w:vAlign w:val="center"/>
          </w:tcPr>
          <w:p w14:paraId="61FCFC03" w14:textId="526D0B2B" w:rsidR="00B9174A" w:rsidRDefault="00B9174A" w:rsidP="00B11C82">
            <w:pPr>
              <w:adjustRightInd w:val="0"/>
              <w:snapToGrid w:val="0"/>
              <w:jc w:val="center"/>
              <w:rPr>
                <w:bCs/>
              </w:rPr>
            </w:pPr>
            <w:r>
              <w:rPr>
                <w:rFonts w:hint="eastAsia"/>
                <w:kern w:val="0"/>
              </w:rPr>
              <w:t>5.7</w:t>
            </w:r>
          </w:p>
        </w:tc>
      </w:tr>
      <w:tr w:rsidR="00B9174A" w14:paraId="14C8EAE6" w14:textId="77777777" w:rsidTr="00600DE0">
        <w:trPr>
          <w:trHeight w:val="57"/>
          <w:jc w:val="center"/>
        </w:trPr>
        <w:tc>
          <w:tcPr>
            <w:tcW w:w="466" w:type="pct"/>
            <w:vAlign w:val="center"/>
          </w:tcPr>
          <w:p w14:paraId="517BBE1B" w14:textId="003A4797" w:rsidR="00B9174A" w:rsidRDefault="00600DE0" w:rsidP="00B11C82">
            <w:pPr>
              <w:adjustRightInd w:val="0"/>
              <w:snapToGrid w:val="0"/>
              <w:jc w:val="center"/>
            </w:pPr>
            <w:r>
              <w:rPr>
                <w:rFonts w:hint="eastAsia"/>
              </w:rPr>
              <w:t>标准指数</w:t>
            </w:r>
          </w:p>
        </w:tc>
        <w:tc>
          <w:tcPr>
            <w:tcW w:w="325" w:type="pct"/>
            <w:tcBorders>
              <w:top w:val="single" w:sz="4" w:space="0" w:color="auto"/>
              <w:left w:val="nil"/>
              <w:bottom w:val="single" w:sz="4" w:space="0" w:color="auto"/>
              <w:right w:val="single" w:sz="4" w:space="0" w:color="auto"/>
            </w:tcBorders>
            <w:vAlign w:val="center"/>
          </w:tcPr>
          <w:p w14:paraId="1338F265" w14:textId="3E8746A8" w:rsidR="00B9174A" w:rsidRDefault="00B9174A" w:rsidP="00B11C82">
            <w:pPr>
              <w:adjustRightInd w:val="0"/>
              <w:snapToGrid w:val="0"/>
              <w:jc w:val="center"/>
              <w:rPr>
                <w:kern w:val="0"/>
              </w:rPr>
            </w:pPr>
            <w:r>
              <w:rPr>
                <w:rFonts w:hint="eastAsia"/>
                <w:color w:val="000000"/>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14:paraId="0AB7C557" w14:textId="66AE632F" w:rsidR="00B9174A" w:rsidRDefault="00B9174A" w:rsidP="00B11C82">
            <w:pPr>
              <w:adjustRightInd w:val="0"/>
              <w:snapToGrid w:val="0"/>
              <w:jc w:val="center"/>
              <w:rPr>
                <w:kern w:val="0"/>
              </w:rPr>
            </w:pPr>
            <w:r>
              <w:rPr>
                <w:rFonts w:hint="eastAsia"/>
                <w:color w:val="000000"/>
                <w:sz w:val="22"/>
                <w:szCs w:val="22"/>
              </w:rPr>
              <w:t>/</w:t>
            </w:r>
          </w:p>
        </w:tc>
        <w:tc>
          <w:tcPr>
            <w:tcW w:w="325" w:type="pct"/>
            <w:tcBorders>
              <w:top w:val="single" w:sz="4" w:space="0" w:color="auto"/>
              <w:left w:val="single" w:sz="4" w:space="0" w:color="auto"/>
              <w:bottom w:val="single" w:sz="4" w:space="0" w:color="auto"/>
              <w:right w:val="single" w:sz="4" w:space="0" w:color="auto"/>
            </w:tcBorders>
            <w:vAlign w:val="center"/>
          </w:tcPr>
          <w:p w14:paraId="471A5A5F" w14:textId="4B1FFF34" w:rsidR="00B9174A" w:rsidRDefault="00B9174A" w:rsidP="00B11C82">
            <w:pPr>
              <w:adjustRightInd w:val="0"/>
              <w:snapToGrid w:val="0"/>
              <w:jc w:val="center"/>
              <w:rPr>
                <w:kern w:val="0"/>
              </w:rPr>
            </w:pPr>
            <w:r>
              <w:rPr>
                <w:rFonts w:hint="eastAsia"/>
                <w:color w:val="000000"/>
                <w:sz w:val="22"/>
                <w:szCs w:val="22"/>
              </w:rPr>
              <w:t>/</w:t>
            </w:r>
          </w:p>
        </w:tc>
        <w:tc>
          <w:tcPr>
            <w:tcW w:w="333" w:type="pct"/>
            <w:tcBorders>
              <w:top w:val="single" w:sz="4" w:space="0" w:color="auto"/>
              <w:left w:val="single" w:sz="4" w:space="0" w:color="auto"/>
              <w:bottom w:val="single" w:sz="4" w:space="0" w:color="auto"/>
              <w:right w:val="single" w:sz="4" w:space="0" w:color="auto"/>
            </w:tcBorders>
            <w:vAlign w:val="center"/>
          </w:tcPr>
          <w:p w14:paraId="5909B817" w14:textId="258E54C5" w:rsidR="00B9174A" w:rsidRDefault="00B9174A" w:rsidP="00B11C82">
            <w:pPr>
              <w:adjustRightInd w:val="0"/>
              <w:snapToGrid w:val="0"/>
              <w:jc w:val="center"/>
              <w:rPr>
                <w:kern w:val="0"/>
              </w:rPr>
            </w:pPr>
            <w:r>
              <w:rPr>
                <w:rFonts w:hint="eastAsia"/>
                <w:color w:val="000000"/>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14:paraId="64E8326E" w14:textId="6056CC1A" w:rsidR="00B9174A" w:rsidRDefault="00B9174A" w:rsidP="00B11C82">
            <w:pPr>
              <w:adjustRightInd w:val="0"/>
              <w:snapToGrid w:val="0"/>
              <w:jc w:val="center"/>
              <w:rPr>
                <w:kern w:val="0"/>
              </w:rPr>
            </w:pPr>
            <w:r>
              <w:rPr>
                <w:rFonts w:hint="eastAsia"/>
                <w:color w:val="000000"/>
                <w:sz w:val="22"/>
                <w:szCs w:val="22"/>
              </w:rPr>
              <w:t>/</w:t>
            </w:r>
          </w:p>
        </w:tc>
        <w:tc>
          <w:tcPr>
            <w:tcW w:w="348" w:type="pct"/>
            <w:tcBorders>
              <w:top w:val="single" w:sz="4" w:space="0" w:color="auto"/>
              <w:left w:val="single" w:sz="4" w:space="0" w:color="auto"/>
              <w:bottom w:val="single" w:sz="4" w:space="0" w:color="auto"/>
              <w:right w:val="single" w:sz="4" w:space="0" w:color="auto"/>
            </w:tcBorders>
            <w:vAlign w:val="center"/>
          </w:tcPr>
          <w:p w14:paraId="3AE38B44" w14:textId="7CE0E6AC" w:rsidR="00B9174A" w:rsidRDefault="00B9174A" w:rsidP="00B11C82">
            <w:pPr>
              <w:adjustRightInd w:val="0"/>
              <w:snapToGrid w:val="0"/>
              <w:jc w:val="center"/>
              <w:rPr>
                <w:kern w:val="0"/>
              </w:rPr>
            </w:pPr>
            <w:r>
              <w:rPr>
                <w:rFonts w:hint="eastAsia"/>
                <w:color w:val="000000"/>
                <w:sz w:val="22"/>
                <w:szCs w:val="22"/>
              </w:rPr>
              <w:t>/</w:t>
            </w:r>
          </w:p>
        </w:tc>
        <w:tc>
          <w:tcPr>
            <w:tcW w:w="347" w:type="pct"/>
            <w:tcBorders>
              <w:top w:val="single" w:sz="4" w:space="0" w:color="auto"/>
              <w:left w:val="single" w:sz="4" w:space="0" w:color="auto"/>
              <w:bottom w:val="single" w:sz="4" w:space="0" w:color="auto"/>
              <w:right w:val="single" w:sz="4" w:space="0" w:color="auto"/>
            </w:tcBorders>
            <w:vAlign w:val="center"/>
          </w:tcPr>
          <w:p w14:paraId="4662795C" w14:textId="5AFE3D88" w:rsidR="00B9174A" w:rsidRDefault="00B9174A" w:rsidP="00B11C82">
            <w:pPr>
              <w:adjustRightInd w:val="0"/>
              <w:snapToGrid w:val="0"/>
              <w:jc w:val="center"/>
            </w:pPr>
            <w:r>
              <w:rPr>
                <w:rFonts w:hint="eastAsia"/>
                <w:color w:val="000000"/>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14:paraId="4AD6871A" w14:textId="668B7DB8" w:rsidR="00B9174A" w:rsidRDefault="00B9174A" w:rsidP="00B11C82">
            <w:pPr>
              <w:adjustRightInd w:val="0"/>
              <w:snapToGrid w:val="0"/>
              <w:jc w:val="center"/>
            </w:pPr>
            <w:r>
              <w:rPr>
                <w:rFonts w:hint="eastAsia"/>
                <w:color w:val="000000"/>
                <w:sz w:val="22"/>
                <w:szCs w:val="22"/>
              </w:rPr>
              <w:t>/</w:t>
            </w:r>
          </w:p>
        </w:tc>
        <w:tc>
          <w:tcPr>
            <w:tcW w:w="349" w:type="pct"/>
            <w:tcBorders>
              <w:top w:val="single" w:sz="4" w:space="0" w:color="auto"/>
              <w:left w:val="single" w:sz="4" w:space="0" w:color="auto"/>
              <w:bottom w:val="single" w:sz="4" w:space="0" w:color="auto"/>
              <w:right w:val="single" w:sz="4" w:space="0" w:color="auto"/>
            </w:tcBorders>
            <w:vAlign w:val="center"/>
          </w:tcPr>
          <w:p w14:paraId="2309D1A1" w14:textId="1062EA97" w:rsidR="00B9174A" w:rsidRDefault="00B9174A" w:rsidP="00B11C82">
            <w:pPr>
              <w:adjustRightInd w:val="0"/>
              <w:snapToGrid w:val="0"/>
              <w:jc w:val="center"/>
            </w:pPr>
            <w:r>
              <w:rPr>
                <w:rFonts w:hint="eastAsia"/>
                <w:color w:val="000000"/>
                <w:sz w:val="22"/>
                <w:szCs w:val="22"/>
              </w:rPr>
              <w:t>/</w:t>
            </w:r>
          </w:p>
        </w:tc>
        <w:tc>
          <w:tcPr>
            <w:tcW w:w="954" w:type="pct"/>
            <w:tcBorders>
              <w:top w:val="single" w:sz="4" w:space="0" w:color="auto"/>
              <w:left w:val="single" w:sz="4" w:space="0" w:color="auto"/>
              <w:bottom w:val="single" w:sz="4" w:space="0" w:color="auto"/>
              <w:right w:val="nil"/>
            </w:tcBorders>
            <w:vAlign w:val="center"/>
          </w:tcPr>
          <w:p w14:paraId="4ABBD784" w14:textId="3DCE682A" w:rsidR="00B9174A" w:rsidRDefault="00B9174A" w:rsidP="00B11C82">
            <w:pPr>
              <w:jc w:val="center"/>
              <w:rPr>
                <w:kern w:val="0"/>
              </w:rPr>
            </w:pPr>
            <w:r>
              <w:rPr>
                <w:rFonts w:hint="eastAsia"/>
                <w:color w:val="000000"/>
                <w:sz w:val="22"/>
                <w:szCs w:val="22"/>
              </w:rPr>
              <w:t>/</w:t>
            </w:r>
          </w:p>
        </w:tc>
        <w:tc>
          <w:tcPr>
            <w:tcW w:w="393" w:type="pct"/>
            <w:vMerge/>
            <w:vAlign w:val="center"/>
          </w:tcPr>
          <w:p w14:paraId="2347CE7A" w14:textId="77777777" w:rsidR="00B9174A" w:rsidRDefault="00B9174A" w:rsidP="00B11C82">
            <w:pPr>
              <w:adjustRightInd w:val="0"/>
              <w:snapToGrid w:val="0"/>
              <w:jc w:val="center"/>
              <w:rPr>
                <w:kern w:val="0"/>
              </w:rPr>
            </w:pPr>
          </w:p>
        </w:tc>
      </w:tr>
      <w:tr w:rsidR="00B9174A" w14:paraId="0CCB5149" w14:textId="77777777" w:rsidTr="00600DE0">
        <w:trPr>
          <w:trHeight w:val="57"/>
          <w:jc w:val="center"/>
        </w:trPr>
        <w:tc>
          <w:tcPr>
            <w:tcW w:w="466" w:type="pct"/>
            <w:vAlign w:val="center"/>
          </w:tcPr>
          <w:p w14:paraId="004DD497" w14:textId="2F695C97" w:rsidR="00B9174A" w:rsidRDefault="00B9174A" w:rsidP="00B11C82">
            <w:pPr>
              <w:adjustRightInd w:val="0"/>
              <w:snapToGrid w:val="0"/>
              <w:jc w:val="center"/>
            </w:pPr>
            <w:r>
              <w:t>铜</w:t>
            </w:r>
          </w:p>
        </w:tc>
        <w:tc>
          <w:tcPr>
            <w:tcW w:w="325" w:type="pct"/>
            <w:tcBorders>
              <w:top w:val="single" w:sz="4" w:space="0" w:color="auto"/>
              <w:left w:val="nil"/>
              <w:bottom w:val="single" w:sz="4" w:space="0" w:color="auto"/>
              <w:right w:val="single" w:sz="4" w:space="0" w:color="auto"/>
            </w:tcBorders>
            <w:vAlign w:val="center"/>
          </w:tcPr>
          <w:p w14:paraId="10D34B6A" w14:textId="4A748897" w:rsidR="00B9174A" w:rsidRDefault="00B9174A" w:rsidP="00B11C82">
            <w:pPr>
              <w:adjustRightInd w:val="0"/>
              <w:snapToGrid w:val="0"/>
              <w:jc w:val="center"/>
              <w:rPr>
                <w:bCs/>
              </w:rPr>
            </w:pPr>
            <w:r>
              <w:rPr>
                <w:rFonts w:hint="eastAsia"/>
                <w:color w:val="000000"/>
                <w:sz w:val="22"/>
                <w:szCs w:val="22"/>
              </w:rPr>
              <w:t>19</w:t>
            </w:r>
          </w:p>
        </w:tc>
        <w:tc>
          <w:tcPr>
            <w:tcW w:w="387" w:type="pct"/>
            <w:tcBorders>
              <w:top w:val="single" w:sz="4" w:space="0" w:color="auto"/>
              <w:left w:val="single" w:sz="4" w:space="0" w:color="auto"/>
              <w:bottom w:val="single" w:sz="4" w:space="0" w:color="auto"/>
              <w:right w:val="single" w:sz="4" w:space="0" w:color="auto"/>
            </w:tcBorders>
            <w:vAlign w:val="center"/>
          </w:tcPr>
          <w:p w14:paraId="1500D42A" w14:textId="312D36EA" w:rsidR="00B9174A" w:rsidRDefault="00B9174A" w:rsidP="00B11C82">
            <w:pPr>
              <w:adjustRightInd w:val="0"/>
              <w:snapToGrid w:val="0"/>
              <w:jc w:val="center"/>
              <w:rPr>
                <w:bCs/>
              </w:rPr>
            </w:pPr>
            <w:r>
              <w:rPr>
                <w:rFonts w:hint="eastAsia"/>
                <w:color w:val="000000"/>
                <w:sz w:val="22"/>
                <w:szCs w:val="22"/>
              </w:rPr>
              <w:t>19</w:t>
            </w:r>
          </w:p>
        </w:tc>
        <w:tc>
          <w:tcPr>
            <w:tcW w:w="325" w:type="pct"/>
            <w:tcBorders>
              <w:top w:val="single" w:sz="4" w:space="0" w:color="auto"/>
              <w:left w:val="single" w:sz="4" w:space="0" w:color="auto"/>
              <w:bottom w:val="single" w:sz="4" w:space="0" w:color="auto"/>
              <w:right w:val="single" w:sz="4" w:space="0" w:color="auto"/>
            </w:tcBorders>
            <w:vAlign w:val="center"/>
          </w:tcPr>
          <w:p w14:paraId="5BD7FAA4" w14:textId="5E950B2D" w:rsidR="00B9174A" w:rsidRDefault="00B9174A" w:rsidP="00B11C82">
            <w:pPr>
              <w:adjustRightInd w:val="0"/>
              <w:snapToGrid w:val="0"/>
              <w:jc w:val="center"/>
              <w:rPr>
                <w:bCs/>
              </w:rPr>
            </w:pPr>
            <w:r>
              <w:rPr>
                <w:rFonts w:hint="eastAsia"/>
                <w:color w:val="000000"/>
                <w:sz w:val="22"/>
                <w:szCs w:val="22"/>
              </w:rPr>
              <w:t>17</w:t>
            </w:r>
          </w:p>
        </w:tc>
        <w:tc>
          <w:tcPr>
            <w:tcW w:w="333" w:type="pct"/>
            <w:tcBorders>
              <w:top w:val="single" w:sz="4" w:space="0" w:color="auto"/>
              <w:left w:val="single" w:sz="4" w:space="0" w:color="auto"/>
              <w:bottom w:val="single" w:sz="4" w:space="0" w:color="auto"/>
              <w:right w:val="single" w:sz="4" w:space="0" w:color="auto"/>
            </w:tcBorders>
            <w:vAlign w:val="center"/>
          </w:tcPr>
          <w:p w14:paraId="07B745F1" w14:textId="5DDDBBF7" w:rsidR="00B9174A" w:rsidRDefault="00B9174A" w:rsidP="00B11C82">
            <w:pPr>
              <w:adjustRightInd w:val="0"/>
              <w:snapToGrid w:val="0"/>
              <w:jc w:val="center"/>
              <w:rPr>
                <w:bCs/>
              </w:rPr>
            </w:pPr>
            <w:r>
              <w:rPr>
                <w:rFonts w:hint="eastAsia"/>
                <w:color w:val="000000"/>
                <w:sz w:val="22"/>
                <w:szCs w:val="22"/>
              </w:rPr>
              <w:t>41</w:t>
            </w:r>
          </w:p>
        </w:tc>
        <w:tc>
          <w:tcPr>
            <w:tcW w:w="387" w:type="pct"/>
            <w:tcBorders>
              <w:top w:val="single" w:sz="4" w:space="0" w:color="auto"/>
              <w:left w:val="single" w:sz="4" w:space="0" w:color="auto"/>
              <w:bottom w:val="single" w:sz="4" w:space="0" w:color="auto"/>
              <w:right w:val="single" w:sz="4" w:space="0" w:color="auto"/>
            </w:tcBorders>
            <w:vAlign w:val="center"/>
          </w:tcPr>
          <w:p w14:paraId="1D02D24B" w14:textId="51D26511" w:rsidR="00B9174A" w:rsidRDefault="00B9174A" w:rsidP="00B11C82">
            <w:pPr>
              <w:adjustRightInd w:val="0"/>
              <w:snapToGrid w:val="0"/>
              <w:jc w:val="center"/>
              <w:rPr>
                <w:bCs/>
              </w:rPr>
            </w:pPr>
            <w:r>
              <w:rPr>
                <w:rFonts w:hint="eastAsia"/>
                <w:color w:val="000000"/>
                <w:sz w:val="22"/>
                <w:szCs w:val="22"/>
              </w:rPr>
              <w:t>40</w:t>
            </w:r>
          </w:p>
        </w:tc>
        <w:tc>
          <w:tcPr>
            <w:tcW w:w="348" w:type="pct"/>
            <w:tcBorders>
              <w:top w:val="single" w:sz="4" w:space="0" w:color="auto"/>
              <w:left w:val="single" w:sz="4" w:space="0" w:color="auto"/>
              <w:bottom w:val="single" w:sz="4" w:space="0" w:color="auto"/>
              <w:right w:val="single" w:sz="4" w:space="0" w:color="auto"/>
            </w:tcBorders>
            <w:vAlign w:val="center"/>
          </w:tcPr>
          <w:p w14:paraId="104A5360" w14:textId="28D62BBF" w:rsidR="00B9174A" w:rsidRDefault="00B9174A" w:rsidP="00B11C82">
            <w:pPr>
              <w:adjustRightInd w:val="0"/>
              <w:snapToGrid w:val="0"/>
              <w:jc w:val="center"/>
              <w:rPr>
                <w:bCs/>
              </w:rPr>
            </w:pPr>
            <w:r>
              <w:rPr>
                <w:rFonts w:hint="eastAsia"/>
                <w:color w:val="000000"/>
                <w:sz w:val="22"/>
                <w:szCs w:val="22"/>
              </w:rPr>
              <w:t>38</w:t>
            </w:r>
          </w:p>
        </w:tc>
        <w:tc>
          <w:tcPr>
            <w:tcW w:w="347" w:type="pct"/>
            <w:tcBorders>
              <w:top w:val="single" w:sz="4" w:space="0" w:color="auto"/>
              <w:left w:val="single" w:sz="4" w:space="0" w:color="auto"/>
              <w:bottom w:val="single" w:sz="4" w:space="0" w:color="auto"/>
              <w:right w:val="single" w:sz="4" w:space="0" w:color="auto"/>
            </w:tcBorders>
            <w:vAlign w:val="center"/>
          </w:tcPr>
          <w:p w14:paraId="0E6D5256" w14:textId="5EB0B80B" w:rsidR="00B9174A" w:rsidRDefault="00B9174A" w:rsidP="00B11C82">
            <w:pPr>
              <w:adjustRightInd w:val="0"/>
              <w:snapToGrid w:val="0"/>
              <w:jc w:val="center"/>
              <w:rPr>
                <w:bCs/>
              </w:rPr>
            </w:pPr>
            <w:r>
              <w:rPr>
                <w:rFonts w:hint="eastAsia"/>
                <w:color w:val="000000"/>
                <w:sz w:val="22"/>
                <w:szCs w:val="22"/>
              </w:rPr>
              <w:t>44</w:t>
            </w:r>
          </w:p>
        </w:tc>
        <w:tc>
          <w:tcPr>
            <w:tcW w:w="387" w:type="pct"/>
            <w:tcBorders>
              <w:top w:val="single" w:sz="4" w:space="0" w:color="auto"/>
              <w:left w:val="single" w:sz="4" w:space="0" w:color="auto"/>
              <w:bottom w:val="single" w:sz="4" w:space="0" w:color="auto"/>
              <w:right w:val="single" w:sz="4" w:space="0" w:color="auto"/>
            </w:tcBorders>
            <w:vAlign w:val="center"/>
          </w:tcPr>
          <w:p w14:paraId="12FC5329" w14:textId="2E5984A0" w:rsidR="00B9174A" w:rsidRDefault="00B9174A" w:rsidP="00B11C82">
            <w:pPr>
              <w:adjustRightInd w:val="0"/>
              <w:snapToGrid w:val="0"/>
              <w:jc w:val="center"/>
              <w:rPr>
                <w:bCs/>
              </w:rPr>
            </w:pPr>
            <w:r>
              <w:rPr>
                <w:rFonts w:hint="eastAsia"/>
                <w:color w:val="000000"/>
                <w:sz w:val="22"/>
                <w:szCs w:val="22"/>
              </w:rPr>
              <w:t>45</w:t>
            </w:r>
          </w:p>
        </w:tc>
        <w:tc>
          <w:tcPr>
            <w:tcW w:w="349" w:type="pct"/>
            <w:tcBorders>
              <w:top w:val="single" w:sz="4" w:space="0" w:color="auto"/>
              <w:left w:val="single" w:sz="4" w:space="0" w:color="auto"/>
              <w:bottom w:val="single" w:sz="4" w:space="0" w:color="auto"/>
              <w:right w:val="single" w:sz="4" w:space="0" w:color="auto"/>
            </w:tcBorders>
            <w:vAlign w:val="center"/>
          </w:tcPr>
          <w:p w14:paraId="750EFBEC" w14:textId="60B6190C" w:rsidR="00B9174A" w:rsidRDefault="00B9174A" w:rsidP="00B11C82">
            <w:pPr>
              <w:adjustRightInd w:val="0"/>
              <w:snapToGrid w:val="0"/>
              <w:jc w:val="center"/>
              <w:rPr>
                <w:bCs/>
              </w:rPr>
            </w:pPr>
            <w:r>
              <w:rPr>
                <w:rFonts w:hint="eastAsia"/>
                <w:color w:val="000000"/>
                <w:sz w:val="22"/>
                <w:szCs w:val="22"/>
              </w:rPr>
              <w:t>43</w:t>
            </w:r>
          </w:p>
        </w:tc>
        <w:tc>
          <w:tcPr>
            <w:tcW w:w="954" w:type="pct"/>
            <w:tcBorders>
              <w:top w:val="single" w:sz="4" w:space="0" w:color="auto"/>
              <w:left w:val="single" w:sz="4" w:space="0" w:color="auto"/>
              <w:bottom w:val="single" w:sz="4" w:space="0" w:color="auto"/>
              <w:right w:val="nil"/>
            </w:tcBorders>
            <w:vAlign w:val="center"/>
          </w:tcPr>
          <w:p w14:paraId="5AE37722" w14:textId="22B2E29D" w:rsidR="00B9174A" w:rsidRDefault="00B9174A" w:rsidP="00B11C82">
            <w:pPr>
              <w:jc w:val="center"/>
              <w:rPr>
                <w:bCs/>
              </w:rPr>
            </w:pPr>
            <w:r>
              <w:rPr>
                <w:rFonts w:hint="eastAsia"/>
                <w:color w:val="000000"/>
                <w:sz w:val="22"/>
                <w:szCs w:val="22"/>
              </w:rPr>
              <w:t>36</w:t>
            </w:r>
          </w:p>
        </w:tc>
        <w:tc>
          <w:tcPr>
            <w:tcW w:w="393" w:type="pct"/>
            <w:vMerge w:val="restart"/>
            <w:vAlign w:val="center"/>
          </w:tcPr>
          <w:p w14:paraId="635E2A7E" w14:textId="3F71DAD6" w:rsidR="00B9174A" w:rsidRDefault="00B9174A" w:rsidP="00B11C82">
            <w:pPr>
              <w:adjustRightInd w:val="0"/>
              <w:snapToGrid w:val="0"/>
              <w:jc w:val="center"/>
              <w:rPr>
                <w:bCs/>
              </w:rPr>
            </w:pPr>
            <w:r>
              <w:rPr>
                <w:rFonts w:hint="eastAsia"/>
                <w:kern w:val="0"/>
              </w:rPr>
              <w:t>18000</w:t>
            </w:r>
          </w:p>
        </w:tc>
      </w:tr>
      <w:tr w:rsidR="00B9174A" w14:paraId="52E1E134" w14:textId="77777777" w:rsidTr="00600DE0">
        <w:trPr>
          <w:trHeight w:val="57"/>
          <w:jc w:val="center"/>
        </w:trPr>
        <w:tc>
          <w:tcPr>
            <w:tcW w:w="466" w:type="pct"/>
            <w:vAlign w:val="center"/>
          </w:tcPr>
          <w:p w14:paraId="736426E3" w14:textId="56D91F08" w:rsidR="00B9174A" w:rsidRDefault="00600DE0" w:rsidP="00B11C82">
            <w:pPr>
              <w:adjustRightInd w:val="0"/>
              <w:snapToGrid w:val="0"/>
              <w:jc w:val="center"/>
            </w:pPr>
            <w:r>
              <w:rPr>
                <w:rFonts w:hint="eastAsia"/>
              </w:rPr>
              <w:t>标准指数</w:t>
            </w:r>
          </w:p>
        </w:tc>
        <w:tc>
          <w:tcPr>
            <w:tcW w:w="325" w:type="pct"/>
            <w:tcBorders>
              <w:top w:val="single" w:sz="4" w:space="0" w:color="auto"/>
              <w:left w:val="nil"/>
              <w:bottom w:val="single" w:sz="4" w:space="0" w:color="auto"/>
              <w:right w:val="single" w:sz="4" w:space="0" w:color="auto"/>
            </w:tcBorders>
            <w:vAlign w:val="center"/>
          </w:tcPr>
          <w:p w14:paraId="6434D7AF" w14:textId="43AC74BB" w:rsidR="00B9174A" w:rsidRDefault="00B9174A" w:rsidP="00B11C82">
            <w:pPr>
              <w:adjustRightInd w:val="0"/>
              <w:snapToGrid w:val="0"/>
              <w:jc w:val="center"/>
              <w:rPr>
                <w:kern w:val="0"/>
              </w:rPr>
            </w:pPr>
            <w:r>
              <w:rPr>
                <w:rFonts w:hint="eastAsia"/>
                <w:color w:val="000000"/>
                <w:sz w:val="22"/>
                <w:szCs w:val="22"/>
              </w:rPr>
              <w:t xml:space="preserve">0.0011 </w:t>
            </w:r>
          </w:p>
        </w:tc>
        <w:tc>
          <w:tcPr>
            <w:tcW w:w="387" w:type="pct"/>
            <w:tcBorders>
              <w:top w:val="single" w:sz="4" w:space="0" w:color="auto"/>
              <w:left w:val="single" w:sz="4" w:space="0" w:color="auto"/>
              <w:bottom w:val="single" w:sz="4" w:space="0" w:color="auto"/>
              <w:right w:val="single" w:sz="4" w:space="0" w:color="auto"/>
            </w:tcBorders>
            <w:vAlign w:val="center"/>
          </w:tcPr>
          <w:p w14:paraId="5A435347" w14:textId="4A06FFA7" w:rsidR="00B9174A" w:rsidRDefault="00B9174A" w:rsidP="00B11C82">
            <w:pPr>
              <w:adjustRightInd w:val="0"/>
              <w:snapToGrid w:val="0"/>
              <w:jc w:val="center"/>
              <w:rPr>
                <w:kern w:val="0"/>
              </w:rPr>
            </w:pPr>
            <w:r>
              <w:rPr>
                <w:rFonts w:hint="eastAsia"/>
                <w:color w:val="000000"/>
                <w:sz w:val="22"/>
                <w:szCs w:val="22"/>
              </w:rPr>
              <w:t xml:space="preserve">0.0011 </w:t>
            </w:r>
          </w:p>
        </w:tc>
        <w:tc>
          <w:tcPr>
            <w:tcW w:w="325" w:type="pct"/>
            <w:tcBorders>
              <w:top w:val="single" w:sz="4" w:space="0" w:color="auto"/>
              <w:left w:val="single" w:sz="4" w:space="0" w:color="auto"/>
              <w:bottom w:val="single" w:sz="4" w:space="0" w:color="auto"/>
              <w:right w:val="single" w:sz="4" w:space="0" w:color="auto"/>
            </w:tcBorders>
            <w:vAlign w:val="center"/>
          </w:tcPr>
          <w:p w14:paraId="63DEAA8D" w14:textId="098A7BB8" w:rsidR="00B9174A" w:rsidRDefault="00B9174A" w:rsidP="00B11C82">
            <w:pPr>
              <w:adjustRightInd w:val="0"/>
              <w:snapToGrid w:val="0"/>
              <w:jc w:val="center"/>
              <w:rPr>
                <w:kern w:val="0"/>
              </w:rPr>
            </w:pPr>
            <w:r>
              <w:rPr>
                <w:rFonts w:hint="eastAsia"/>
                <w:color w:val="000000"/>
                <w:sz w:val="22"/>
                <w:szCs w:val="22"/>
              </w:rPr>
              <w:t xml:space="preserve">0.0009 </w:t>
            </w:r>
          </w:p>
        </w:tc>
        <w:tc>
          <w:tcPr>
            <w:tcW w:w="333" w:type="pct"/>
            <w:tcBorders>
              <w:top w:val="single" w:sz="4" w:space="0" w:color="auto"/>
              <w:left w:val="single" w:sz="4" w:space="0" w:color="auto"/>
              <w:bottom w:val="single" w:sz="4" w:space="0" w:color="auto"/>
              <w:right w:val="single" w:sz="4" w:space="0" w:color="auto"/>
            </w:tcBorders>
            <w:vAlign w:val="center"/>
          </w:tcPr>
          <w:p w14:paraId="7041C24E" w14:textId="20B8F15A" w:rsidR="00B9174A" w:rsidRDefault="00B9174A" w:rsidP="00B11C82">
            <w:pPr>
              <w:adjustRightInd w:val="0"/>
              <w:snapToGrid w:val="0"/>
              <w:jc w:val="center"/>
              <w:rPr>
                <w:kern w:val="0"/>
              </w:rPr>
            </w:pPr>
            <w:r>
              <w:rPr>
                <w:rFonts w:hint="eastAsia"/>
                <w:color w:val="000000"/>
                <w:sz w:val="22"/>
                <w:szCs w:val="22"/>
              </w:rPr>
              <w:t xml:space="preserve">0.0023 </w:t>
            </w:r>
          </w:p>
        </w:tc>
        <w:tc>
          <w:tcPr>
            <w:tcW w:w="387" w:type="pct"/>
            <w:tcBorders>
              <w:top w:val="single" w:sz="4" w:space="0" w:color="auto"/>
              <w:left w:val="single" w:sz="4" w:space="0" w:color="auto"/>
              <w:bottom w:val="single" w:sz="4" w:space="0" w:color="auto"/>
              <w:right w:val="single" w:sz="4" w:space="0" w:color="auto"/>
            </w:tcBorders>
            <w:vAlign w:val="center"/>
          </w:tcPr>
          <w:p w14:paraId="25C8176F" w14:textId="720FC350" w:rsidR="00B9174A" w:rsidRDefault="00B9174A" w:rsidP="00B11C82">
            <w:pPr>
              <w:adjustRightInd w:val="0"/>
              <w:snapToGrid w:val="0"/>
              <w:jc w:val="center"/>
              <w:rPr>
                <w:kern w:val="0"/>
              </w:rPr>
            </w:pPr>
            <w:r>
              <w:rPr>
                <w:rFonts w:hint="eastAsia"/>
                <w:color w:val="000000"/>
                <w:sz w:val="22"/>
                <w:szCs w:val="22"/>
              </w:rPr>
              <w:t xml:space="preserve">0.0022 </w:t>
            </w:r>
          </w:p>
        </w:tc>
        <w:tc>
          <w:tcPr>
            <w:tcW w:w="348" w:type="pct"/>
            <w:tcBorders>
              <w:top w:val="single" w:sz="4" w:space="0" w:color="auto"/>
              <w:left w:val="single" w:sz="4" w:space="0" w:color="auto"/>
              <w:bottom w:val="single" w:sz="4" w:space="0" w:color="auto"/>
              <w:right w:val="single" w:sz="4" w:space="0" w:color="auto"/>
            </w:tcBorders>
            <w:vAlign w:val="center"/>
          </w:tcPr>
          <w:p w14:paraId="0837C2C9" w14:textId="61C4C80D" w:rsidR="00B9174A" w:rsidRDefault="00B9174A" w:rsidP="00B11C82">
            <w:pPr>
              <w:adjustRightInd w:val="0"/>
              <w:snapToGrid w:val="0"/>
              <w:jc w:val="center"/>
              <w:rPr>
                <w:kern w:val="0"/>
              </w:rPr>
            </w:pPr>
            <w:r>
              <w:rPr>
                <w:rFonts w:hint="eastAsia"/>
                <w:color w:val="000000"/>
                <w:sz w:val="22"/>
                <w:szCs w:val="22"/>
              </w:rPr>
              <w:t xml:space="preserve">0.0021 </w:t>
            </w:r>
          </w:p>
        </w:tc>
        <w:tc>
          <w:tcPr>
            <w:tcW w:w="347" w:type="pct"/>
            <w:tcBorders>
              <w:top w:val="single" w:sz="4" w:space="0" w:color="auto"/>
              <w:left w:val="single" w:sz="4" w:space="0" w:color="auto"/>
              <w:bottom w:val="single" w:sz="4" w:space="0" w:color="auto"/>
              <w:right w:val="single" w:sz="4" w:space="0" w:color="auto"/>
            </w:tcBorders>
            <w:vAlign w:val="center"/>
          </w:tcPr>
          <w:p w14:paraId="5E385B1B" w14:textId="553B7B74" w:rsidR="00B9174A" w:rsidRDefault="00B9174A" w:rsidP="00B11C82">
            <w:pPr>
              <w:adjustRightInd w:val="0"/>
              <w:snapToGrid w:val="0"/>
              <w:jc w:val="center"/>
            </w:pPr>
            <w:r>
              <w:rPr>
                <w:rFonts w:hint="eastAsia"/>
                <w:color w:val="000000"/>
                <w:sz w:val="22"/>
                <w:szCs w:val="22"/>
              </w:rPr>
              <w:t xml:space="preserve">0.0024 </w:t>
            </w:r>
          </w:p>
        </w:tc>
        <w:tc>
          <w:tcPr>
            <w:tcW w:w="387" w:type="pct"/>
            <w:tcBorders>
              <w:top w:val="single" w:sz="4" w:space="0" w:color="auto"/>
              <w:left w:val="single" w:sz="4" w:space="0" w:color="auto"/>
              <w:bottom w:val="single" w:sz="4" w:space="0" w:color="auto"/>
              <w:right w:val="single" w:sz="4" w:space="0" w:color="auto"/>
            </w:tcBorders>
            <w:vAlign w:val="center"/>
          </w:tcPr>
          <w:p w14:paraId="330BFC97" w14:textId="65FBFE16" w:rsidR="00B9174A" w:rsidRDefault="00B9174A" w:rsidP="00B11C82">
            <w:pPr>
              <w:adjustRightInd w:val="0"/>
              <w:snapToGrid w:val="0"/>
              <w:jc w:val="center"/>
            </w:pPr>
            <w:r>
              <w:rPr>
                <w:rFonts w:hint="eastAsia"/>
                <w:color w:val="000000"/>
                <w:sz w:val="22"/>
                <w:szCs w:val="22"/>
              </w:rPr>
              <w:t xml:space="preserve">0.0025 </w:t>
            </w:r>
          </w:p>
        </w:tc>
        <w:tc>
          <w:tcPr>
            <w:tcW w:w="349" w:type="pct"/>
            <w:tcBorders>
              <w:top w:val="single" w:sz="4" w:space="0" w:color="auto"/>
              <w:left w:val="single" w:sz="4" w:space="0" w:color="auto"/>
              <w:bottom w:val="single" w:sz="4" w:space="0" w:color="auto"/>
              <w:right w:val="single" w:sz="4" w:space="0" w:color="auto"/>
            </w:tcBorders>
            <w:vAlign w:val="center"/>
          </w:tcPr>
          <w:p w14:paraId="6DE60844" w14:textId="0F4F6FE1" w:rsidR="00B9174A" w:rsidRDefault="00B9174A" w:rsidP="00B11C82">
            <w:pPr>
              <w:adjustRightInd w:val="0"/>
              <w:snapToGrid w:val="0"/>
              <w:jc w:val="center"/>
            </w:pPr>
            <w:r>
              <w:rPr>
                <w:rFonts w:hint="eastAsia"/>
                <w:color w:val="000000"/>
                <w:sz w:val="22"/>
                <w:szCs w:val="22"/>
              </w:rPr>
              <w:t xml:space="preserve">0.0024 </w:t>
            </w:r>
          </w:p>
        </w:tc>
        <w:tc>
          <w:tcPr>
            <w:tcW w:w="954" w:type="pct"/>
            <w:tcBorders>
              <w:top w:val="single" w:sz="4" w:space="0" w:color="auto"/>
              <w:left w:val="single" w:sz="4" w:space="0" w:color="auto"/>
              <w:bottom w:val="single" w:sz="4" w:space="0" w:color="auto"/>
              <w:right w:val="nil"/>
            </w:tcBorders>
            <w:vAlign w:val="center"/>
          </w:tcPr>
          <w:p w14:paraId="2CD8099F" w14:textId="7583D510" w:rsidR="00B9174A" w:rsidRDefault="00B9174A" w:rsidP="00B11C82">
            <w:pPr>
              <w:jc w:val="center"/>
              <w:rPr>
                <w:kern w:val="0"/>
              </w:rPr>
            </w:pPr>
            <w:r>
              <w:rPr>
                <w:rFonts w:hint="eastAsia"/>
                <w:color w:val="000000"/>
                <w:sz w:val="22"/>
                <w:szCs w:val="22"/>
              </w:rPr>
              <w:t xml:space="preserve">0.0020 </w:t>
            </w:r>
          </w:p>
        </w:tc>
        <w:tc>
          <w:tcPr>
            <w:tcW w:w="393" w:type="pct"/>
            <w:vMerge/>
            <w:vAlign w:val="center"/>
          </w:tcPr>
          <w:p w14:paraId="76F5E868" w14:textId="77777777" w:rsidR="00B9174A" w:rsidRDefault="00B9174A" w:rsidP="00B11C82">
            <w:pPr>
              <w:adjustRightInd w:val="0"/>
              <w:snapToGrid w:val="0"/>
              <w:jc w:val="center"/>
              <w:rPr>
                <w:kern w:val="0"/>
              </w:rPr>
            </w:pPr>
          </w:p>
        </w:tc>
      </w:tr>
      <w:tr w:rsidR="00B9174A" w14:paraId="10C2E7A2" w14:textId="77777777" w:rsidTr="00600DE0">
        <w:trPr>
          <w:trHeight w:val="57"/>
          <w:jc w:val="center"/>
        </w:trPr>
        <w:tc>
          <w:tcPr>
            <w:tcW w:w="466" w:type="pct"/>
            <w:vAlign w:val="center"/>
          </w:tcPr>
          <w:p w14:paraId="6EFA1E41" w14:textId="7811D83B" w:rsidR="00B9174A" w:rsidRDefault="00B9174A" w:rsidP="00B11C82">
            <w:pPr>
              <w:adjustRightInd w:val="0"/>
              <w:snapToGrid w:val="0"/>
              <w:jc w:val="center"/>
            </w:pPr>
            <w:r>
              <w:t>镍</w:t>
            </w:r>
          </w:p>
        </w:tc>
        <w:tc>
          <w:tcPr>
            <w:tcW w:w="325" w:type="pct"/>
            <w:tcBorders>
              <w:top w:val="single" w:sz="4" w:space="0" w:color="auto"/>
              <w:left w:val="nil"/>
              <w:bottom w:val="single" w:sz="4" w:space="0" w:color="auto"/>
              <w:right w:val="single" w:sz="4" w:space="0" w:color="auto"/>
            </w:tcBorders>
            <w:vAlign w:val="center"/>
          </w:tcPr>
          <w:p w14:paraId="7EA85ECF" w14:textId="3DA0A9C9" w:rsidR="00B9174A" w:rsidRDefault="00B9174A" w:rsidP="00B11C82">
            <w:pPr>
              <w:adjustRightInd w:val="0"/>
              <w:snapToGrid w:val="0"/>
              <w:jc w:val="center"/>
              <w:rPr>
                <w:bCs/>
              </w:rPr>
            </w:pPr>
            <w:r>
              <w:rPr>
                <w:rFonts w:hint="eastAsia"/>
                <w:color w:val="000000"/>
                <w:sz w:val="22"/>
                <w:szCs w:val="22"/>
              </w:rPr>
              <w:t>21</w:t>
            </w:r>
          </w:p>
        </w:tc>
        <w:tc>
          <w:tcPr>
            <w:tcW w:w="387" w:type="pct"/>
            <w:tcBorders>
              <w:top w:val="single" w:sz="4" w:space="0" w:color="auto"/>
              <w:left w:val="single" w:sz="4" w:space="0" w:color="auto"/>
              <w:bottom w:val="single" w:sz="4" w:space="0" w:color="auto"/>
              <w:right w:val="single" w:sz="4" w:space="0" w:color="auto"/>
            </w:tcBorders>
            <w:vAlign w:val="center"/>
          </w:tcPr>
          <w:p w14:paraId="1C4A1C58" w14:textId="70B1BC08" w:rsidR="00B9174A" w:rsidRDefault="00B9174A" w:rsidP="00B11C82">
            <w:pPr>
              <w:adjustRightInd w:val="0"/>
              <w:snapToGrid w:val="0"/>
              <w:jc w:val="center"/>
              <w:rPr>
                <w:bCs/>
              </w:rPr>
            </w:pPr>
            <w:r>
              <w:rPr>
                <w:rFonts w:hint="eastAsia"/>
                <w:color w:val="000000"/>
                <w:sz w:val="22"/>
                <w:szCs w:val="22"/>
              </w:rPr>
              <w:t>22</w:t>
            </w:r>
          </w:p>
        </w:tc>
        <w:tc>
          <w:tcPr>
            <w:tcW w:w="325" w:type="pct"/>
            <w:tcBorders>
              <w:top w:val="single" w:sz="4" w:space="0" w:color="auto"/>
              <w:left w:val="single" w:sz="4" w:space="0" w:color="auto"/>
              <w:bottom w:val="single" w:sz="4" w:space="0" w:color="auto"/>
              <w:right w:val="single" w:sz="4" w:space="0" w:color="auto"/>
            </w:tcBorders>
            <w:vAlign w:val="center"/>
          </w:tcPr>
          <w:p w14:paraId="622E1A3B" w14:textId="012A1219" w:rsidR="00B9174A" w:rsidRDefault="00B9174A" w:rsidP="00B11C82">
            <w:pPr>
              <w:adjustRightInd w:val="0"/>
              <w:snapToGrid w:val="0"/>
              <w:jc w:val="center"/>
              <w:rPr>
                <w:bCs/>
              </w:rPr>
            </w:pPr>
            <w:r>
              <w:rPr>
                <w:rFonts w:hint="eastAsia"/>
                <w:color w:val="000000"/>
                <w:sz w:val="22"/>
                <w:szCs w:val="22"/>
              </w:rPr>
              <w:t>20</w:t>
            </w:r>
          </w:p>
        </w:tc>
        <w:tc>
          <w:tcPr>
            <w:tcW w:w="333" w:type="pct"/>
            <w:tcBorders>
              <w:top w:val="single" w:sz="4" w:space="0" w:color="auto"/>
              <w:left w:val="single" w:sz="4" w:space="0" w:color="auto"/>
              <w:bottom w:val="single" w:sz="4" w:space="0" w:color="auto"/>
              <w:right w:val="single" w:sz="4" w:space="0" w:color="auto"/>
            </w:tcBorders>
            <w:vAlign w:val="center"/>
          </w:tcPr>
          <w:p w14:paraId="1DB14777" w14:textId="4A483561" w:rsidR="00B9174A" w:rsidRDefault="00B9174A" w:rsidP="00B11C82">
            <w:pPr>
              <w:adjustRightInd w:val="0"/>
              <w:snapToGrid w:val="0"/>
              <w:jc w:val="center"/>
              <w:rPr>
                <w:bCs/>
              </w:rPr>
            </w:pPr>
            <w:r>
              <w:rPr>
                <w:rFonts w:hint="eastAsia"/>
                <w:color w:val="000000"/>
                <w:sz w:val="22"/>
                <w:szCs w:val="22"/>
              </w:rPr>
              <w:t>29</w:t>
            </w:r>
          </w:p>
        </w:tc>
        <w:tc>
          <w:tcPr>
            <w:tcW w:w="387" w:type="pct"/>
            <w:tcBorders>
              <w:top w:val="single" w:sz="4" w:space="0" w:color="auto"/>
              <w:left w:val="single" w:sz="4" w:space="0" w:color="auto"/>
              <w:bottom w:val="single" w:sz="4" w:space="0" w:color="auto"/>
              <w:right w:val="single" w:sz="4" w:space="0" w:color="auto"/>
            </w:tcBorders>
            <w:vAlign w:val="center"/>
          </w:tcPr>
          <w:p w14:paraId="350F67A3" w14:textId="3070917C" w:rsidR="00B9174A" w:rsidRDefault="00B9174A" w:rsidP="00B11C82">
            <w:pPr>
              <w:adjustRightInd w:val="0"/>
              <w:snapToGrid w:val="0"/>
              <w:jc w:val="center"/>
              <w:rPr>
                <w:bCs/>
              </w:rPr>
            </w:pPr>
            <w:r>
              <w:rPr>
                <w:rFonts w:hint="eastAsia"/>
                <w:color w:val="000000"/>
                <w:sz w:val="22"/>
                <w:szCs w:val="22"/>
              </w:rPr>
              <w:t>27</w:t>
            </w:r>
          </w:p>
        </w:tc>
        <w:tc>
          <w:tcPr>
            <w:tcW w:w="348" w:type="pct"/>
            <w:tcBorders>
              <w:top w:val="single" w:sz="4" w:space="0" w:color="auto"/>
              <w:left w:val="single" w:sz="4" w:space="0" w:color="auto"/>
              <w:bottom w:val="single" w:sz="4" w:space="0" w:color="auto"/>
              <w:right w:val="single" w:sz="4" w:space="0" w:color="auto"/>
            </w:tcBorders>
            <w:vAlign w:val="center"/>
          </w:tcPr>
          <w:p w14:paraId="2B07B607" w14:textId="6EF5AC52" w:rsidR="00B9174A" w:rsidRDefault="00B9174A" w:rsidP="00B11C82">
            <w:pPr>
              <w:adjustRightInd w:val="0"/>
              <w:snapToGrid w:val="0"/>
              <w:jc w:val="center"/>
              <w:rPr>
                <w:bCs/>
              </w:rPr>
            </w:pPr>
            <w:r>
              <w:rPr>
                <w:rFonts w:hint="eastAsia"/>
                <w:color w:val="000000"/>
                <w:sz w:val="22"/>
                <w:szCs w:val="22"/>
              </w:rPr>
              <w:t>26</w:t>
            </w:r>
          </w:p>
        </w:tc>
        <w:tc>
          <w:tcPr>
            <w:tcW w:w="347" w:type="pct"/>
            <w:tcBorders>
              <w:top w:val="single" w:sz="4" w:space="0" w:color="auto"/>
              <w:left w:val="single" w:sz="4" w:space="0" w:color="auto"/>
              <w:bottom w:val="single" w:sz="4" w:space="0" w:color="auto"/>
              <w:right w:val="single" w:sz="4" w:space="0" w:color="auto"/>
            </w:tcBorders>
            <w:vAlign w:val="center"/>
          </w:tcPr>
          <w:p w14:paraId="61DEEDE7" w14:textId="046F31C0" w:rsidR="00B9174A" w:rsidRDefault="00B9174A" w:rsidP="00B11C82">
            <w:pPr>
              <w:adjustRightInd w:val="0"/>
              <w:snapToGrid w:val="0"/>
              <w:jc w:val="center"/>
              <w:rPr>
                <w:bCs/>
              </w:rPr>
            </w:pPr>
            <w:r>
              <w:rPr>
                <w:rFonts w:hint="eastAsia"/>
                <w:color w:val="000000"/>
                <w:sz w:val="22"/>
                <w:szCs w:val="22"/>
              </w:rPr>
              <w:t>35</w:t>
            </w:r>
          </w:p>
        </w:tc>
        <w:tc>
          <w:tcPr>
            <w:tcW w:w="387" w:type="pct"/>
            <w:tcBorders>
              <w:top w:val="single" w:sz="4" w:space="0" w:color="auto"/>
              <w:left w:val="single" w:sz="4" w:space="0" w:color="auto"/>
              <w:bottom w:val="single" w:sz="4" w:space="0" w:color="auto"/>
              <w:right w:val="single" w:sz="4" w:space="0" w:color="auto"/>
            </w:tcBorders>
            <w:vAlign w:val="center"/>
          </w:tcPr>
          <w:p w14:paraId="40599C12" w14:textId="41801D49" w:rsidR="00B9174A" w:rsidRDefault="00B9174A" w:rsidP="00B11C82">
            <w:pPr>
              <w:adjustRightInd w:val="0"/>
              <w:snapToGrid w:val="0"/>
              <w:jc w:val="center"/>
              <w:rPr>
                <w:bCs/>
              </w:rPr>
            </w:pPr>
            <w:r>
              <w:rPr>
                <w:rFonts w:hint="eastAsia"/>
                <w:color w:val="000000"/>
                <w:sz w:val="22"/>
                <w:szCs w:val="22"/>
              </w:rPr>
              <w:t>36</w:t>
            </w:r>
          </w:p>
        </w:tc>
        <w:tc>
          <w:tcPr>
            <w:tcW w:w="349" w:type="pct"/>
            <w:tcBorders>
              <w:top w:val="single" w:sz="4" w:space="0" w:color="auto"/>
              <w:left w:val="single" w:sz="4" w:space="0" w:color="auto"/>
              <w:bottom w:val="single" w:sz="4" w:space="0" w:color="auto"/>
              <w:right w:val="single" w:sz="4" w:space="0" w:color="auto"/>
            </w:tcBorders>
            <w:vAlign w:val="center"/>
          </w:tcPr>
          <w:p w14:paraId="48C5409F" w14:textId="23138711" w:rsidR="00B9174A" w:rsidRDefault="00B9174A" w:rsidP="00B11C82">
            <w:pPr>
              <w:adjustRightInd w:val="0"/>
              <w:snapToGrid w:val="0"/>
              <w:jc w:val="center"/>
              <w:rPr>
                <w:bCs/>
              </w:rPr>
            </w:pPr>
            <w:r>
              <w:rPr>
                <w:rFonts w:hint="eastAsia"/>
                <w:color w:val="000000"/>
                <w:sz w:val="22"/>
                <w:szCs w:val="22"/>
              </w:rPr>
              <w:t>33</w:t>
            </w:r>
          </w:p>
        </w:tc>
        <w:tc>
          <w:tcPr>
            <w:tcW w:w="954" w:type="pct"/>
            <w:tcBorders>
              <w:top w:val="single" w:sz="4" w:space="0" w:color="auto"/>
              <w:left w:val="single" w:sz="4" w:space="0" w:color="auto"/>
              <w:bottom w:val="single" w:sz="4" w:space="0" w:color="auto"/>
              <w:right w:val="nil"/>
            </w:tcBorders>
            <w:vAlign w:val="center"/>
          </w:tcPr>
          <w:p w14:paraId="524CE4AF" w14:textId="642316A5" w:rsidR="00B9174A" w:rsidRDefault="00B9174A" w:rsidP="00B11C82">
            <w:pPr>
              <w:jc w:val="center"/>
              <w:rPr>
                <w:bCs/>
              </w:rPr>
            </w:pPr>
            <w:r>
              <w:rPr>
                <w:rFonts w:hint="eastAsia"/>
                <w:color w:val="000000"/>
                <w:sz w:val="22"/>
                <w:szCs w:val="22"/>
              </w:rPr>
              <w:t>27</w:t>
            </w:r>
          </w:p>
        </w:tc>
        <w:tc>
          <w:tcPr>
            <w:tcW w:w="393" w:type="pct"/>
            <w:vMerge w:val="restart"/>
            <w:vAlign w:val="center"/>
          </w:tcPr>
          <w:p w14:paraId="6AEDEE01" w14:textId="29BB0E28" w:rsidR="00B9174A" w:rsidRDefault="00B9174A" w:rsidP="00B11C82">
            <w:pPr>
              <w:adjustRightInd w:val="0"/>
              <w:snapToGrid w:val="0"/>
              <w:jc w:val="center"/>
            </w:pPr>
            <w:r>
              <w:rPr>
                <w:rFonts w:hint="eastAsia"/>
                <w:kern w:val="0"/>
              </w:rPr>
              <w:t>900</w:t>
            </w:r>
          </w:p>
        </w:tc>
      </w:tr>
      <w:tr w:rsidR="00B9174A" w14:paraId="05FD05F7" w14:textId="77777777" w:rsidTr="00600DE0">
        <w:trPr>
          <w:trHeight w:val="57"/>
          <w:jc w:val="center"/>
        </w:trPr>
        <w:tc>
          <w:tcPr>
            <w:tcW w:w="466" w:type="pct"/>
            <w:vAlign w:val="center"/>
          </w:tcPr>
          <w:p w14:paraId="5ABAB188" w14:textId="62885211" w:rsidR="00B9174A" w:rsidRDefault="00600DE0" w:rsidP="00B11C82">
            <w:pPr>
              <w:adjustRightInd w:val="0"/>
              <w:snapToGrid w:val="0"/>
              <w:jc w:val="center"/>
            </w:pPr>
            <w:r>
              <w:rPr>
                <w:rFonts w:hint="eastAsia"/>
              </w:rPr>
              <w:t>标准指数</w:t>
            </w:r>
          </w:p>
        </w:tc>
        <w:tc>
          <w:tcPr>
            <w:tcW w:w="325" w:type="pct"/>
            <w:tcBorders>
              <w:top w:val="single" w:sz="4" w:space="0" w:color="auto"/>
              <w:left w:val="nil"/>
              <w:bottom w:val="single" w:sz="4" w:space="0" w:color="auto"/>
              <w:right w:val="single" w:sz="4" w:space="0" w:color="auto"/>
            </w:tcBorders>
            <w:vAlign w:val="center"/>
          </w:tcPr>
          <w:p w14:paraId="47399954" w14:textId="31289ED2" w:rsidR="00B9174A" w:rsidRDefault="00B9174A" w:rsidP="00B11C82">
            <w:pPr>
              <w:adjustRightInd w:val="0"/>
              <w:snapToGrid w:val="0"/>
              <w:jc w:val="center"/>
              <w:rPr>
                <w:kern w:val="0"/>
              </w:rPr>
            </w:pPr>
            <w:r>
              <w:rPr>
                <w:rFonts w:hint="eastAsia"/>
                <w:color w:val="000000"/>
                <w:sz w:val="22"/>
                <w:szCs w:val="22"/>
              </w:rPr>
              <w:t xml:space="preserve">0.0233 </w:t>
            </w:r>
          </w:p>
        </w:tc>
        <w:tc>
          <w:tcPr>
            <w:tcW w:w="387" w:type="pct"/>
            <w:tcBorders>
              <w:top w:val="single" w:sz="4" w:space="0" w:color="auto"/>
              <w:left w:val="single" w:sz="4" w:space="0" w:color="auto"/>
              <w:bottom w:val="single" w:sz="4" w:space="0" w:color="auto"/>
              <w:right w:val="single" w:sz="4" w:space="0" w:color="auto"/>
            </w:tcBorders>
            <w:vAlign w:val="center"/>
          </w:tcPr>
          <w:p w14:paraId="07BC0D13" w14:textId="7E61A0D2" w:rsidR="00B9174A" w:rsidRDefault="00B9174A" w:rsidP="00B11C82">
            <w:pPr>
              <w:adjustRightInd w:val="0"/>
              <w:snapToGrid w:val="0"/>
              <w:jc w:val="center"/>
              <w:rPr>
                <w:kern w:val="0"/>
              </w:rPr>
            </w:pPr>
            <w:r>
              <w:rPr>
                <w:rFonts w:hint="eastAsia"/>
                <w:color w:val="000000"/>
                <w:sz w:val="22"/>
                <w:szCs w:val="22"/>
              </w:rPr>
              <w:t xml:space="preserve">0.0244 </w:t>
            </w:r>
          </w:p>
        </w:tc>
        <w:tc>
          <w:tcPr>
            <w:tcW w:w="325" w:type="pct"/>
            <w:tcBorders>
              <w:top w:val="single" w:sz="4" w:space="0" w:color="auto"/>
              <w:left w:val="single" w:sz="4" w:space="0" w:color="auto"/>
              <w:bottom w:val="single" w:sz="4" w:space="0" w:color="auto"/>
              <w:right w:val="single" w:sz="4" w:space="0" w:color="auto"/>
            </w:tcBorders>
            <w:vAlign w:val="center"/>
          </w:tcPr>
          <w:p w14:paraId="544E5869" w14:textId="0263A3E2" w:rsidR="00B9174A" w:rsidRDefault="00B9174A" w:rsidP="00B11C82">
            <w:pPr>
              <w:adjustRightInd w:val="0"/>
              <w:snapToGrid w:val="0"/>
              <w:jc w:val="center"/>
              <w:rPr>
                <w:kern w:val="0"/>
              </w:rPr>
            </w:pPr>
            <w:r>
              <w:rPr>
                <w:rFonts w:hint="eastAsia"/>
                <w:color w:val="000000"/>
                <w:sz w:val="22"/>
                <w:szCs w:val="22"/>
              </w:rPr>
              <w:t xml:space="preserve">0.0222 </w:t>
            </w:r>
          </w:p>
        </w:tc>
        <w:tc>
          <w:tcPr>
            <w:tcW w:w="333" w:type="pct"/>
            <w:tcBorders>
              <w:top w:val="single" w:sz="4" w:space="0" w:color="auto"/>
              <w:left w:val="single" w:sz="4" w:space="0" w:color="auto"/>
              <w:bottom w:val="single" w:sz="4" w:space="0" w:color="auto"/>
              <w:right w:val="single" w:sz="4" w:space="0" w:color="auto"/>
            </w:tcBorders>
            <w:vAlign w:val="center"/>
          </w:tcPr>
          <w:p w14:paraId="5CA28B0F" w14:textId="4392D7DD" w:rsidR="00B9174A" w:rsidRDefault="00B9174A" w:rsidP="00B11C82">
            <w:pPr>
              <w:adjustRightInd w:val="0"/>
              <w:snapToGrid w:val="0"/>
              <w:jc w:val="center"/>
              <w:rPr>
                <w:kern w:val="0"/>
              </w:rPr>
            </w:pPr>
            <w:r>
              <w:rPr>
                <w:rFonts w:hint="eastAsia"/>
                <w:color w:val="000000"/>
                <w:sz w:val="22"/>
                <w:szCs w:val="22"/>
              </w:rPr>
              <w:t xml:space="preserve">0.0322 </w:t>
            </w:r>
          </w:p>
        </w:tc>
        <w:tc>
          <w:tcPr>
            <w:tcW w:w="387" w:type="pct"/>
            <w:tcBorders>
              <w:top w:val="single" w:sz="4" w:space="0" w:color="auto"/>
              <w:left w:val="single" w:sz="4" w:space="0" w:color="auto"/>
              <w:bottom w:val="single" w:sz="4" w:space="0" w:color="auto"/>
              <w:right w:val="single" w:sz="4" w:space="0" w:color="auto"/>
            </w:tcBorders>
            <w:vAlign w:val="center"/>
          </w:tcPr>
          <w:p w14:paraId="62BDB343" w14:textId="73700D0E" w:rsidR="00B9174A" w:rsidRDefault="00B9174A" w:rsidP="00B11C82">
            <w:pPr>
              <w:adjustRightInd w:val="0"/>
              <w:snapToGrid w:val="0"/>
              <w:jc w:val="center"/>
              <w:rPr>
                <w:kern w:val="0"/>
              </w:rPr>
            </w:pPr>
            <w:r>
              <w:rPr>
                <w:rFonts w:hint="eastAsia"/>
                <w:color w:val="000000"/>
                <w:sz w:val="22"/>
                <w:szCs w:val="22"/>
              </w:rPr>
              <w:t xml:space="preserve">0.0300 </w:t>
            </w:r>
          </w:p>
        </w:tc>
        <w:tc>
          <w:tcPr>
            <w:tcW w:w="348" w:type="pct"/>
            <w:tcBorders>
              <w:top w:val="single" w:sz="4" w:space="0" w:color="auto"/>
              <w:left w:val="single" w:sz="4" w:space="0" w:color="auto"/>
              <w:bottom w:val="single" w:sz="4" w:space="0" w:color="auto"/>
              <w:right w:val="single" w:sz="4" w:space="0" w:color="auto"/>
            </w:tcBorders>
            <w:vAlign w:val="center"/>
          </w:tcPr>
          <w:p w14:paraId="2292F200" w14:textId="2CB1C5C7" w:rsidR="00B9174A" w:rsidRDefault="00B9174A" w:rsidP="00B11C82">
            <w:pPr>
              <w:adjustRightInd w:val="0"/>
              <w:snapToGrid w:val="0"/>
              <w:jc w:val="center"/>
              <w:rPr>
                <w:kern w:val="0"/>
              </w:rPr>
            </w:pPr>
            <w:r>
              <w:rPr>
                <w:rFonts w:hint="eastAsia"/>
                <w:color w:val="000000"/>
                <w:sz w:val="22"/>
                <w:szCs w:val="22"/>
              </w:rPr>
              <w:t xml:space="preserve">0.0289 </w:t>
            </w:r>
          </w:p>
        </w:tc>
        <w:tc>
          <w:tcPr>
            <w:tcW w:w="347" w:type="pct"/>
            <w:tcBorders>
              <w:top w:val="single" w:sz="4" w:space="0" w:color="auto"/>
              <w:left w:val="single" w:sz="4" w:space="0" w:color="auto"/>
              <w:bottom w:val="single" w:sz="4" w:space="0" w:color="auto"/>
              <w:right w:val="single" w:sz="4" w:space="0" w:color="auto"/>
            </w:tcBorders>
            <w:vAlign w:val="center"/>
          </w:tcPr>
          <w:p w14:paraId="7A5AA99C" w14:textId="3AFD2827" w:rsidR="00B9174A" w:rsidRDefault="00B9174A" w:rsidP="00B11C82">
            <w:pPr>
              <w:adjustRightInd w:val="0"/>
              <w:snapToGrid w:val="0"/>
              <w:jc w:val="center"/>
            </w:pPr>
            <w:r>
              <w:rPr>
                <w:rFonts w:hint="eastAsia"/>
                <w:color w:val="000000"/>
                <w:sz w:val="22"/>
                <w:szCs w:val="22"/>
              </w:rPr>
              <w:t xml:space="preserve">0.0389 </w:t>
            </w:r>
          </w:p>
        </w:tc>
        <w:tc>
          <w:tcPr>
            <w:tcW w:w="387" w:type="pct"/>
            <w:tcBorders>
              <w:top w:val="single" w:sz="4" w:space="0" w:color="auto"/>
              <w:left w:val="single" w:sz="4" w:space="0" w:color="auto"/>
              <w:bottom w:val="single" w:sz="4" w:space="0" w:color="auto"/>
              <w:right w:val="single" w:sz="4" w:space="0" w:color="auto"/>
            </w:tcBorders>
            <w:vAlign w:val="center"/>
          </w:tcPr>
          <w:p w14:paraId="0329CE0C" w14:textId="1CFA373D" w:rsidR="00B9174A" w:rsidRDefault="00B9174A" w:rsidP="00B11C82">
            <w:pPr>
              <w:adjustRightInd w:val="0"/>
              <w:snapToGrid w:val="0"/>
              <w:jc w:val="center"/>
            </w:pPr>
            <w:r>
              <w:rPr>
                <w:rFonts w:hint="eastAsia"/>
                <w:color w:val="000000"/>
                <w:sz w:val="22"/>
                <w:szCs w:val="22"/>
              </w:rPr>
              <w:t xml:space="preserve">0.0400 </w:t>
            </w:r>
          </w:p>
        </w:tc>
        <w:tc>
          <w:tcPr>
            <w:tcW w:w="349" w:type="pct"/>
            <w:tcBorders>
              <w:top w:val="single" w:sz="4" w:space="0" w:color="auto"/>
              <w:left w:val="single" w:sz="4" w:space="0" w:color="auto"/>
              <w:bottom w:val="single" w:sz="4" w:space="0" w:color="auto"/>
              <w:right w:val="single" w:sz="4" w:space="0" w:color="auto"/>
            </w:tcBorders>
            <w:vAlign w:val="center"/>
          </w:tcPr>
          <w:p w14:paraId="75D245F3" w14:textId="4625D52F" w:rsidR="00B9174A" w:rsidRDefault="00B9174A" w:rsidP="00B11C82">
            <w:pPr>
              <w:adjustRightInd w:val="0"/>
              <w:snapToGrid w:val="0"/>
              <w:jc w:val="center"/>
            </w:pPr>
            <w:r>
              <w:rPr>
                <w:rFonts w:hint="eastAsia"/>
                <w:color w:val="000000"/>
                <w:sz w:val="22"/>
                <w:szCs w:val="22"/>
              </w:rPr>
              <w:t xml:space="preserve">0.0367 </w:t>
            </w:r>
          </w:p>
        </w:tc>
        <w:tc>
          <w:tcPr>
            <w:tcW w:w="954" w:type="pct"/>
            <w:tcBorders>
              <w:top w:val="single" w:sz="4" w:space="0" w:color="auto"/>
              <w:left w:val="single" w:sz="4" w:space="0" w:color="auto"/>
              <w:bottom w:val="single" w:sz="4" w:space="0" w:color="auto"/>
              <w:right w:val="nil"/>
            </w:tcBorders>
            <w:vAlign w:val="center"/>
          </w:tcPr>
          <w:p w14:paraId="1ED25FD6" w14:textId="3470447E" w:rsidR="00B9174A" w:rsidRDefault="00B9174A" w:rsidP="00B11C82">
            <w:pPr>
              <w:jc w:val="center"/>
              <w:rPr>
                <w:kern w:val="0"/>
              </w:rPr>
            </w:pPr>
            <w:r>
              <w:rPr>
                <w:rFonts w:hint="eastAsia"/>
                <w:color w:val="000000"/>
                <w:sz w:val="22"/>
                <w:szCs w:val="22"/>
              </w:rPr>
              <w:t xml:space="preserve">0.0300 </w:t>
            </w:r>
          </w:p>
        </w:tc>
        <w:tc>
          <w:tcPr>
            <w:tcW w:w="393" w:type="pct"/>
            <w:vMerge/>
            <w:vAlign w:val="center"/>
          </w:tcPr>
          <w:p w14:paraId="07B35629" w14:textId="77777777" w:rsidR="00B9174A" w:rsidRDefault="00B9174A" w:rsidP="00B11C82">
            <w:pPr>
              <w:adjustRightInd w:val="0"/>
              <w:snapToGrid w:val="0"/>
              <w:jc w:val="center"/>
              <w:rPr>
                <w:kern w:val="0"/>
              </w:rPr>
            </w:pPr>
          </w:p>
        </w:tc>
      </w:tr>
      <w:tr w:rsidR="00B9174A" w14:paraId="77A780E0" w14:textId="77777777" w:rsidTr="00600DE0">
        <w:trPr>
          <w:trHeight w:val="57"/>
          <w:jc w:val="center"/>
        </w:trPr>
        <w:tc>
          <w:tcPr>
            <w:tcW w:w="466" w:type="pct"/>
            <w:vAlign w:val="center"/>
          </w:tcPr>
          <w:p w14:paraId="203CE242" w14:textId="5FA1454B" w:rsidR="00B9174A" w:rsidRDefault="00B9174A" w:rsidP="00B11C82">
            <w:pPr>
              <w:adjustRightInd w:val="0"/>
              <w:snapToGrid w:val="0"/>
              <w:jc w:val="center"/>
            </w:pPr>
            <w:r>
              <w:t>汞</w:t>
            </w:r>
          </w:p>
        </w:tc>
        <w:tc>
          <w:tcPr>
            <w:tcW w:w="325" w:type="pct"/>
            <w:tcBorders>
              <w:top w:val="single" w:sz="4" w:space="0" w:color="auto"/>
              <w:left w:val="nil"/>
              <w:bottom w:val="single" w:sz="4" w:space="0" w:color="auto"/>
              <w:right w:val="single" w:sz="4" w:space="0" w:color="auto"/>
            </w:tcBorders>
            <w:vAlign w:val="center"/>
          </w:tcPr>
          <w:p w14:paraId="2F58AA50" w14:textId="71F557AD" w:rsidR="00B9174A" w:rsidRDefault="00B9174A" w:rsidP="00B11C82">
            <w:pPr>
              <w:adjustRightInd w:val="0"/>
              <w:snapToGrid w:val="0"/>
              <w:jc w:val="center"/>
              <w:rPr>
                <w:bCs/>
              </w:rPr>
            </w:pPr>
            <w:r>
              <w:rPr>
                <w:rFonts w:hint="eastAsia"/>
                <w:color w:val="000000"/>
                <w:sz w:val="22"/>
                <w:szCs w:val="22"/>
              </w:rPr>
              <w:t>0.023</w:t>
            </w:r>
          </w:p>
        </w:tc>
        <w:tc>
          <w:tcPr>
            <w:tcW w:w="387" w:type="pct"/>
            <w:tcBorders>
              <w:top w:val="single" w:sz="4" w:space="0" w:color="auto"/>
              <w:left w:val="single" w:sz="4" w:space="0" w:color="auto"/>
              <w:bottom w:val="single" w:sz="4" w:space="0" w:color="auto"/>
              <w:right w:val="single" w:sz="4" w:space="0" w:color="auto"/>
            </w:tcBorders>
            <w:vAlign w:val="center"/>
          </w:tcPr>
          <w:p w14:paraId="778A7DED" w14:textId="406E8CCD" w:rsidR="00B9174A" w:rsidRDefault="00B9174A" w:rsidP="00B11C82">
            <w:pPr>
              <w:adjustRightInd w:val="0"/>
              <w:snapToGrid w:val="0"/>
              <w:jc w:val="center"/>
              <w:rPr>
                <w:bCs/>
              </w:rPr>
            </w:pPr>
            <w:r>
              <w:rPr>
                <w:rFonts w:hint="eastAsia"/>
                <w:color w:val="000000"/>
                <w:sz w:val="22"/>
                <w:szCs w:val="22"/>
              </w:rPr>
              <w:t>0.021</w:t>
            </w:r>
          </w:p>
        </w:tc>
        <w:tc>
          <w:tcPr>
            <w:tcW w:w="325" w:type="pct"/>
            <w:tcBorders>
              <w:top w:val="single" w:sz="4" w:space="0" w:color="auto"/>
              <w:left w:val="single" w:sz="4" w:space="0" w:color="auto"/>
              <w:bottom w:val="single" w:sz="4" w:space="0" w:color="auto"/>
              <w:right w:val="single" w:sz="4" w:space="0" w:color="auto"/>
            </w:tcBorders>
            <w:vAlign w:val="center"/>
          </w:tcPr>
          <w:p w14:paraId="170DD626" w14:textId="19E902ED" w:rsidR="00B9174A" w:rsidRDefault="00B9174A" w:rsidP="00B11C82">
            <w:pPr>
              <w:adjustRightInd w:val="0"/>
              <w:snapToGrid w:val="0"/>
              <w:jc w:val="center"/>
              <w:rPr>
                <w:bCs/>
              </w:rPr>
            </w:pPr>
            <w:r>
              <w:rPr>
                <w:rFonts w:hint="eastAsia"/>
                <w:color w:val="000000"/>
                <w:sz w:val="22"/>
                <w:szCs w:val="22"/>
              </w:rPr>
              <w:t>0.02</w:t>
            </w:r>
          </w:p>
        </w:tc>
        <w:tc>
          <w:tcPr>
            <w:tcW w:w="333" w:type="pct"/>
            <w:tcBorders>
              <w:top w:val="single" w:sz="4" w:space="0" w:color="auto"/>
              <w:left w:val="single" w:sz="4" w:space="0" w:color="auto"/>
              <w:bottom w:val="single" w:sz="4" w:space="0" w:color="auto"/>
              <w:right w:val="single" w:sz="4" w:space="0" w:color="auto"/>
            </w:tcBorders>
            <w:vAlign w:val="center"/>
          </w:tcPr>
          <w:p w14:paraId="08DD3CC2" w14:textId="03064601" w:rsidR="00B9174A" w:rsidRDefault="00B9174A" w:rsidP="00B11C82">
            <w:pPr>
              <w:adjustRightInd w:val="0"/>
              <w:snapToGrid w:val="0"/>
              <w:jc w:val="center"/>
              <w:rPr>
                <w:bCs/>
              </w:rPr>
            </w:pPr>
            <w:r>
              <w:rPr>
                <w:rFonts w:hint="eastAsia"/>
                <w:color w:val="000000"/>
                <w:sz w:val="22"/>
                <w:szCs w:val="22"/>
              </w:rPr>
              <w:t>0.024</w:t>
            </w:r>
          </w:p>
        </w:tc>
        <w:tc>
          <w:tcPr>
            <w:tcW w:w="387" w:type="pct"/>
            <w:tcBorders>
              <w:top w:val="single" w:sz="4" w:space="0" w:color="auto"/>
              <w:left w:val="single" w:sz="4" w:space="0" w:color="auto"/>
              <w:bottom w:val="single" w:sz="4" w:space="0" w:color="auto"/>
              <w:right w:val="single" w:sz="4" w:space="0" w:color="auto"/>
            </w:tcBorders>
            <w:vAlign w:val="center"/>
          </w:tcPr>
          <w:p w14:paraId="2A70A6DC" w14:textId="14A87DC3" w:rsidR="00B9174A" w:rsidRDefault="00B9174A" w:rsidP="00B11C82">
            <w:pPr>
              <w:adjustRightInd w:val="0"/>
              <w:snapToGrid w:val="0"/>
              <w:jc w:val="center"/>
              <w:rPr>
                <w:bCs/>
              </w:rPr>
            </w:pPr>
            <w:r>
              <w:rPr>
                <w:rFonts w:hint="eastAsia"/>
                <w:color w:val="000000"/>
                <w:sz w:val="22"/>
                <w:szCs w:val="22"/>
              </w:rPr>
              <w:t>0.023</w:t>
            </w:r>
          </w:p>
        </w:tc>
        <w:tc>
          <w:tcPr>
            <w:tcW w:w="348" w:type="pct"/>
            <w:tcBorders>
              <w:top w:val="single" w:sz="4" w:space="0" w:color="auto"/>
              <w:left w:val="single" w:sz="4" w:space="0" w:color="auto"/>
              <w:bottom w:val="single" w:sz="4" w:space="0" w:color="auto"/>
              <w:right w:val="single" w:sz="4" w:space="0" w:color="auto"/>
            </w:tcBorders>
            <w:vAlign w:val="center"/>
          </w:tcPr>
          <w:p w14:paraId="3EBE0B3B" w14:textId="149DD731" w:rsidR="00B9174A" w:rsidRDefault="00B9174A" w:rsidP="00B11C82">
            <w:pPr>
              <w:adjustRightInd w:val="0"/>
              <w:snapToGrid w:val="0"/>
              <w:jc w:val="center"/>
              <w:rPr>
                <w:bCs/>
              </w:rPr>
            </w:pPr>
            <w:r>
              <w:rPr>
                <w:rFonts w:hint="eastAsia"/>
                <w:color w:val="000000"/>
                <w:sz w:val="22"/>
                <w:szCs w:val="22"/>
              </w:rPr>
              <w:t>0.02</w:t>
            </w:r>
          </w:p>
        </w:tc>
        <w:tc>
          <w:tcPr>
            <w:tcW w:w="347" w:type="pct"/>
            <w:tcBorders>
              <w:top w:val="single" w:sz="4" w:space="0" w:color="auto"/>
              <w:left w:val="single" w:sz="4" w:space="0" w:color="auto"/>
              <w:bottom w:val="single" w:sz="4" w:space="0" w:color="auto"/>
              <w:right w:val="single" w:sz="4" w:space="0" w:color="auto"/>
            </w:tcBorders>
            <w:vAlign w:val="center"/>
          </w:tcPr>
          <w:p w14:paraId="1BC1B0F3" w14:textId="0D790EA6" w:rsidR="00B9174A" w:rsidRDefault="00B9174A" w:rsidP="00B11C82">
            <w:pPr>
              <w:adjustRightInd w:val="0"/>
              <w:snapToGrid w:val="0"/>
              <w:jc w:val="center"/>
              <w:rPr>
                <w:bCs/>
              </w:rPr>
            </w:pPr>
            <w:r>
              <w:rPr>
                <w:rFonts w:hint="eastAsia"/>
                <w:color w:val="000000"/>
                <w:sz w:val="22"/>
                <w:szCs w:val="22"/>
              </w:rPr>
              <w:t>0.021</w:t>
            </w:r>
          </w:p>
        </w:tc>
        <w:tc>
          <w:tcPr>
            <w:tcW w:w="387" w:type="pct"/>
            <w:tcBorders>
              <w:top w:val="single" w:sz="4" w:space="0" w:color="auto"/>
              <w:left w:val="single" w:sz="4" w:space="0" w:color="auto"/>
              <w:bottom w:val="single" w:sz="4" w:space="0" w:color="auto"/>
              <w:right w:val="single" w:sz="4" w:space="0" w:color="auto"/>
            </w:tcBorders>
            <w:vAlign w:val="center"/>
          </w:tcPr>
          <w:p w14:paraId="70AE1DEF" w14:textId="6F41E3A1" w:rsidR="00B9174A" w:rsidRDefault="00B9174A" w:rsidP="00B11C82">
            <w:pPr>
              <w:adjustRightInd w:val="0"/>
              <w:snapToGrid w:val="0"/>
              <w:jc w:val="center"/>
              <w:rPr>
                <w:bCs/>
              </w:rPr>
            </w:pPr>
            <w:r>
              <w:rPr>
                <w:rFonts w:hint="eastAsia"/>
                <w:color w:val="000000"/>
                <w:sz w:val="22"/>
                <w:szCs w:val="22"/>
              </w:rPr>
              <w:t>0.022</w:t>
            </w:r>
          </w:p>
        </w:tc>
        <w:tc>
          <w:tcPr>
            <w:tcW w:w="349" w:type="pct"/>
            <w:tcBorders>
              <w:top w:val="single" w:sz="4" w:space="0" w:color="auto"/>
              <w:left w:val="single" w:sz="4" w:space="0" w:color="auto"/>
              <w:bottom w:val="single" w:sz="4" w:space="0" w:color="auto"/>
              <w:right w:val="single" w:sz="4" w:space="0" w:color="auto"/>
            </w:tcBorders>
            <w:vAlign w:val="center"/>
          </w:tcPr>
          <w:p w14:paraId="62BF5AD9" w14:textId="55E17C9E" w:rsidR="00B9174A" w:rsidRDefault="00B9174A" w:rsidP="00B11C82">
            <w:pPr>
              <w:adjustRightInd w:val="0"/>
              <w:snapToGrid w:val="0"/>
              <w:jc w:val="center"/>
              <w:rPr>
                <w:bCs/>
              </w:rPr>
            </w:pPr>
            <w:r>
              <w:rPr>
                <w:rFonts w:hint="eastAsia"/>
                <w:color w:val="000000"/>
                <w:sz w:val="22"/>
                <w:szCs w:val="22"/>
              </w:rPr>
              <w:t>0.019</w:t>
            </w:r>
          </w:p>
        </w:tc>
        <w:tc>
          <w:tcPr>
            <w:tcW w:w="954" w:type="pct"/>
            <w:tcBorders>
              <w:top w:val="single" w:sz="4" w:space="0" w:color="auto"/>
              <w:left w:val="single" w:sz="4" w:space="0" w:color="auto"/>
              <w:bottom w:val="single" w:sz="4" w:space="0" w:color="auto"/>
              <w:right w:val="nil"/>
            </w:tcBorders>
            <w:vAlign w:val="center"/>
          </w:tcPr>
          <w:p w14:paraId="620D2EF1" w14:textId="4EAAB4F1" w:rsidR="00B9174A" w:rsidRDefault="00B9174A" w:rsidP="00B11C82">
            <w:pPr>
              <w:jc w:val="center"/>
              <w:rPr>
                <w:bCs/>
              </w:rPr>
            </w:pPr>
            <w:r>
              <w:rPr>
                <w:rFonts w:hint="eastAsia"/>
                <w:color w:val="000000"/>
                <w:sz w:val="22"/>
                <w:szCs w:val="22"/>
              </w:rPr>
              <w:t>0.019</w:t>
            </w:r>
          </w:p>
        </w:tc>
        <w:tc>
          <w:tcPr>
            <w:tcW w:w="393" w:type="pct"/>
            <w:vMerge w:val="restart"/>
            <w:vAlign w:val="center"/>
          </w:tcPr>
          <w:p w14:paraId="2ECEB3E9" w14:textId="090FC887" w:rsidR="00B9174A" w:rsidRDefault="00B9174A" w:rsidP="00B11C82">
            <w:pPr>
              <w:adjustRightInd w:val="0"/>
              <w:snapToGrid w:val="0"/>
              <w:jc w:val="center"/>
              <w:rPr>
                <w:bCs/>
              </w:rPr>
            </w:pPr>
            <w:r>
              <w:rPr>
                <w:rFonts w:hint="eastAsia"/>
              </w:rPr>
              <w:t>38</w:t>
            </w:r>
          </w:p>
        </w:tc>
      </w:tr>
      <w:tr w:rsidR="00B9174A" w14:paraId="3AB15DA1" w14:textId="77777777" w:rsidTr="00600DE0">
        <w:trPr>
          <w:trHeight w:val="57"/>
          <w:jc w:val="center"/>
        </w:trPr>
        <w:tc>
          <w:tcPr>
            <w:tcW w:w="466" w:type="pct"/>
            <w:vAlign w:val="center"/>
          </w:tcPr>
          <w:p w14:paraId="5D6244B6" w14:textId="22C14E70" w:rsidR="00B9174A" w:rsidRDefault="00600DE0" w:rsidP="00B11C82">
            <w:pPr>
              <w:adjustRightInd w:val="0"/>
              <w:snapToGrid w:val="0"/>
              <w:jc w:val="center"/>
            </w:pPr>
            <w:r>
              <w:rPr>
                <w:rFonts w:hint="eastAsia"/>
              </w:rPr>
              <w:t>标准指数</w:t>
            </w:r>
          </w:p>
        </w:tc>
        <w:tc>
          <w:tcPr>
            <w:tcW w:w="325" w:type="pct"/>
            <w:tcBorders>
              <w:top w:val="single" w:sz="4" w:space="0" w:color="auto"/>
              <w:left w:val="nil"/>
              <w:bottom w:val="single" w:sz="4" w:space="0" w:color="auto"/>
              <w:right w:val="single" w:sz="4" w:space="0" w:color="auto"/>
            </w:tcBorders>
            <w:vAlign w:val="center"/>
          </w:tcPr>
          <w:p w14:paraId="1DF2F53A" w14:textId="05EC6C1A" w:rsidR="00B9174A" w:rsidRDefault="00B9174A" w:rsidP="00B11C82">
            <w:pPr>
              <w:adjustRightInd w:val="0"/>
              <w:snapToGrid w:val="0"/>
              <w:jc w:val="center"/>
            </w:pPr>
            <w:r>
              <w:rPr>
                <w:rFonts w:hint="eastAsia"/>
                <w:color w:val="000000"/>
                <w:sz w:val="22"/>
                <w:szCs w:val="22"/>
              </w:rPr>
              <w:t xml:space="preserve">0.0006 </w:t>
            </w:r>
          </w:p>
        </w:tc>
        <w:tc>
          <w:tcPr>
            <w:tcW w:w="387" w:type="pct"/>
            <w:tcBorders>
              <w:top w:val="single" w:sz="4" w:space="0" w:color="auto"/>
              <w:left w:val="single" w:sz="4" w:space="0" w:color="auto"/>
              <w:bottom w:val="single" w:sz="4" w:space="0" w:color="auto"/>
              <w:right w:val="single" w:sz="4" w:space="0" w:color="auto"/>
            </w:tcBorders>
            <w:vAlign w:val="center"/>
          </w:tcPr>
          <w:p w14:paraId="0CB67642" w14:textId="59FBE029" w:rsidR="00B9174A" w:rsidRDefault="00B9174A" w:rsidP="00B11C82">
            <w:pPr>
              <w:adjustRightInd w:val="0"/>
              <w:snapToGrid w:val="0"/>
              <w:jc w:val="center"/>
              <w:rPr>
                <w:kern w:val="0"/>
              </w:rPr>
            </w:pPr>
            <w:r>
              <w:rPr>
                <w:rFonts w:hint="eastAsia"/>
                <w:color w:val="000000"/>
                <w:sz w:val="22"/>
                <w:szCs w:val="22"/>
              </w:rPr>
              <w:t xml:space="preserve">0.0006 </w:t>
            </w:r>
          </w:p>
        </w:tc>
        <w:tc>
          <w:tcPr>
            <w:tcW w:w="325" w:type="pct"/>
            <w:tcBorders>
              <w:top w:val="single" w:sz="4" w:space="0" w:color="auto"/>
              <w:left w:val="single" w:sz="4" w:space="0" w:color="auto"/>
              <w:bottom w:val="single" w:sz="4" w:space="0" w:color="auto"/>
              <w:right w:val="single" w:sz="4" w:space="0" w:color="auto"/>
            </w:tcBorders>
            <w:vAlign w:val="center"/>
          </w:tcPr>
          <w:p w14:paraId="4EE380B1" w14:textId="2ED36002" w:rsidR="00B9174A" w:rsidRDefault="00B9174A" w:rsidP="00B11C82">
            <w:pPr>
              <w:adjustRightInd w:val="0"/>
              <w:snapToGrid w:val="0"/>
              <w:jc w:val="center"/>
              <w:rPr>
                <w:kern w:val="0"/>
              </w:rPr>
            </w:pPr>
            <w:r>
              <w:rPr>
                <w:rFonts w:hint="eastAsia"/>
                <w:color w:val="000000"/>
                <w:sz w:val="22"/>
                <w:szCs w:val="22"/>
              </w:rPr>
              <w:t xml:space="preserve">0.0005 </w:t>
            </w:r>
          </w:p>
        </w:tc>
        <w:tc>
          <w:tcPr>
            <w:tcW w:w="333" w:type="pct"/>
            <w:tcBorders>
              <w:top w:val="single" w:sz="4" w:space="0" w:color="auto"/>
              <w:left w:val="single" w:sz="4" w:space="0" w:color="auto"/>
              <w:bottom w:val="single" w:sz="4" w:space="0" w:color="auto"/>
              <w:right w:val="single" w:sz="4" w:space="0" w:color="auto"/>
            </w:tcBorders>
            <w:vAlign w:val="center"/>
          </w:tcPr>
          <w:p w14:paraId="08CCE16B" w14:textId="7E1701C4" w:rsidR="00B9174A" w:rsidRDefault="00B9174A" w:rsidP="00B11C82">
            <w:pPr>
              <w:adjustRightInd w:val="0"/>
              <w:snapToGrid w:val="0"/>
              <w:jc w:val="center"/>
            </w:pPr>
            <w:r>
              <w:rPr>
                <w:rFonts w:hint="eastAsia"/>
                <w:color w:val="000000"/>
                <w:sz w:val="22"/>
                <w:szCs w:val="22"/>
              </w:rPr>
              <w:t xml:space="preserve">0.0006 </w:t>
            </w:r>
          </w:p>
        </w:tc>
        <w:tc>
          <w:tcPr>
            <w:tcW w:w="387" w:type="pct"/>
            <w:tcBorders>
              <w:top w:val="single" w:sz="4" w:space="0" w:color="auto"/>
              <w:left w:val="single" w:sz="4" w:space="0" w:color="auto"/>
              <w:bottom w:val="single" w:sz="4" w:space="0" w:color="auto"/>
              <w:right w:val="single" w:sz="4" w:space="0" w:color="auto"/>
            </w:tcBorders>
            <w:vAlign w:val="center"/>
          </w:tcPr>
          <w:p w14:paraId="36F0748D" w14:textId="53ABC2A0" w:rsidR="00B9174A" w:rsidRDefault="00B9174A" w:rsidP="00B11C82">
            <w:pPr>
              <w:adjustRightInd w:val="0"/>
              <w:snapToGrid w:val="0"/>
              <w:jc w:val="center"/>
              <w:rPr>
                <w:kern w:val="0"/>
              </w:rPr>
            </w:pPr>
            <w:r>
              <w:rPr>
                <w:rFonts w:hint="eastAsia"/>
                <w:color w:val="000000"/>
                <w:sz w:val="22"/>
                <w:szCs w:val="22"/>
              </w:rPr>
              <w:t xml:space="preserve">0.0006 </w:t>
            </w:r>
          </w:p>
        </w:tc>
        <w:tc>
          <w:tcPr>
            <w:tcW w:w="348" w:type="pct"/>
            <w:tcBorders>
              <w:top w:val="single" w:sz="4" w:space="0" w:color="auto"/>
              <w:left w:val="single" w:sz="4" w:space="0" w:color="auto"/>
              <w:bottom w:val="single" w:sz="4" w:space="0" w:color="auto"/>
              <w:right w:val="single" w:sz="4" w:space="0" w:color="auto"/>
            </w:tcBorders>
            <w:vAlign w:val="center"/>
          </w:tcPr>
          <w:p w14:paraId="41B42548" w14:textId="7F5648DE" w:rsidR="00B9174A" w:rsidRDefault="00B9174A" w:rsidP="00B11C82">
            <w:pPr>
              <w:adjustRightInd w:val="0"/>
              <w:snapToGrid w:val="0"/>
              <w:jc w:val="center"/>
              <w:rPr>
                <w:kern w:val="0"/>
              </w:rPr>
            </w:pPr>
            <w:r>
              <w:rPr>
                <w:rFonts w:hint="eastAsia"/>
                <w:color w:val="000000"/>
                <w:sz w:val="22"/>
                <w:szCs w:val="22"/>
              </w:rPr>
              <w:t xml:space="preserve">0.0005 </w:t>
            </w:r>
          </w:p>
        </w:tc>
        <w:tc>
          <w:tcPr>
            <w:tcW w:w="347" w:type="pct"/>
            <w:tcBorders>
              <w:top w:val="single" w:sz="4" w:space="0" w:color="auto"/>
              <w:left w:val="single" w:sz="4" w:space="0" w:color="auto"/>
              <w:bottom w:val="single" w:sz="4" w:space="0" w:color="auto"/>
              <w:right w:val="single" w:sz="4" w:space="0" w:color="auto"/>
            </w:tcBorders>
            <w:vAlign w:val="center"/>
          </w:tcPr>
          <w:p w14:paraId="37070FC0" w14:textId="2C365733" w:rsidR="00B9174A" w:rsidRDefault="00B9174A" w:rsidP="00B11C82">
            <w:pPr>
              <w:adjustRightInd w:val="0"/>
              <w:snapToGrid w:val="0"/>
              <w:jc w:val="center"/>
            </w:pPr>
            <w:r>
              <w:rPr>
                <w:rFonts w:hint="eastAsia"/>
                <w:color w:val="000000"/>
                <w:sz w:val="22"/>
                <w:szCs w:val="22"/>
              </w:rPr>
              <w:t xml:space="preserve">0.0006 </w:t>
            </w:r>
          </w:p>
        </w:tc>
        <w:tc>
          <w:tcPr>
            <w:tcW w:w="387" w:type="pct"/>
            <w:tcBorders>
              <w:top w:val="single" w:sz="4" w:space="0" w:color="auto"/>
              <w:left w:val="single" w:sz="4" w:space="0" w:color="auto"/>
              <w:bottom w:val="single" w:sz="4" w:space="0" w:color="auto"/>
              <w:right w:val="single" w:sz="4" w:space="0" w:color="auto"/>
            </w:tcBorders>
            <w:vAlign w:val="center"/>
          </w:tcPr>
          <w:p w14:paraId="24F4155D" w14:textId="3BBBFE65" w:rsidR="00B9174A" w:rsidRDefault="00B9174A" w:rsidP="00B11C82">
            <w:pPr>
              <w:adjustRightInd w:val="0"/>
              <w:snapToGrid w:val="0"/>
              <w:jc w:val="center"/>
            </w:pPr>
            <w:r>
              <w:rPr>
                <w:rFonts w:hint="eastAsia"/>
                <w:color w:val="000000"/>
                <w:sz w:val="22"/>
                <w:szCs w:val="22"/>
              </w:rPr>
              <w:t xml:space="preserve">0.0006 </w:t>
            </w:r>
          </w:p>
        </w:tc>
        <w:tc>
          <w:tcPr>
            <w:tcW w:w="349" w:type="pct"/>
            <w:tcBorders>
              <w:top w:val="single" w:sz="4" w:space="0" w:color="auto"/>
              <w:left w:val="single" w:sz="4" w:space="0" w:color="auto"/>
              <w:bottom w:val="single" w:sz="4" w:space="0" w:color="auto"/>
              <w:right w:val="single" w:sz="4" w:space="0" w:color="auto"/>
            </w:tcBorders>
            <w:vAlign w:val="center"/>
          </w:tcPr>
          <w:p w14:paraId="42E457BE" w14:textId="361B2B61" w:rsidR="00B9174A" w:rsidRDefault="00B9174A" w:rsidP="00B11C82">
            <w:pPr>
              <w:adjustRightInd w:val="0"/>
              <w:snapToGrid w:val="0"/>
              <w:jc w:val="center"/>
            </w:pPr>
            <w:r>
              <w:rPr>
                <w:rFonts w:hint="eastAsia"/>
                <w:color w:val="000000"/>
                <w:sz w:val="22"/>
                <w:szCs w:val="22"/>
              </w:rPr>
              <w:t xml:space="preserve">0.0005 </w:t>
            </w:r>
          </w:p>
        </w:tc>
        <w:tc>
          <w:tcPr>
            <w:tcW w:w="954" w:type="pct"/>
            <w:tcBorders>
              <w:top w:val="single" w:sz="4" w:space="0" w:color="auto"/>
              <w:left w:val="single" w:sz="4" w:space="0" w:color="auto"/>
              <w:bottom w:val="single" w:sz="4" w:space="0" w:color="auto"/>
              <w:right w:val="nil"/>
            </w:tcBorders>
            <w:vAlign w:val="center"/>
          </w:tcPr>
          <w:p w14:paraId="4D06EE63" w14:textId="4B5BF50A" w:rsidR="00B9174A" w:rsidRDefault="00B9174A" w:rsidP="00B11C82">
            <w:pPr>
              <w:jc w:val="center"/>
            </w:pPr>
            <w:r>
              <w:rPr>
                <w:rFonts w:hint="eastAsia"/>
                <w:color w:val="000000"/>
                <w:sz w:val="22"/>
                <w:szCs w:val="22"/>
              </w:rPr>
              <w:t xml:space="preserve">0.0005 </w:t>
            </w:r>
          </w:p>
        </w:tc>
        <w:tc>
          <w:tcPr>
            <w:tcW w:w="393" w:type="pct"/>
            <w:vMerge/>
            <w:vAlign w:val="center"/>
          </w:tcPr>
          <w:p w14:paraId="1DF4280E" w14:textId="77777777" w:rsidR="00B9174A" w:rsidRDefault="00B9174A" w:rsidP="00B11C82">
            <w:pPr>
              <w:adjustRightInd w:val="0"/>
              <w:snapToGrid w:val="0"/>
              <w:jc w:val="center"/>
            </w:pPr>
          </w:p>
        </w:tc>
      </w:tr>
      <w:tr w:rsidR="00B9174A" w14:paraId="118AD39E" w14:textId="77777777" w:rsidTr="00600DE0">
        <w:trPr>
          <w:trHeight w:val="57"/>
          <w:jc w:val="center"/>
        </w:trPr>
        <w:tc>
          <w:tcPr>
            <w:tcW w:w="466" w:type="pct"/>
            <w:vAlign w:val="center"/>
          </w:tcPr>
          <w:p w14:paraId="70080031" w14:textId="48EC43CF" w:rsidR="00B9174A" w:rsidRDefault="00B9174A" w:rsidP="00B11C82">
            <w:pPr>
              <w:adjustRightInd w:val="0"/>
              <w:snapToGrid w:val="0"/>
              <w:jc w:val="center"/>
            </w:pPr>
            <w:r>
              <w:rPr>
                <w:rFonts w:hint="eastAsia"/>
              </w:rPr>
              <w:t>石油烃（</w:t>
            </w:r>
            <w:r>
              <w:rPr>
                <w:rFonts w:hint="eastAsia"/>
              </w:rPr>
              <w:t>C</w:t>
            </w:r>
            <w:r>
              <w:rPr>
                <w:rFonts w:hint="eastAsia"/>
                <w:vertAlign w:val="subscript"/>
              </w:rPr>
              <w:t>10</w:t>
            </w:r>
            <w:r>
              <w:rPr>
                <w:rFonts w:hint="eastAsia"/>
              </w:rPr>
              <w:t>-C</w:t>
            </w:r>
            <w:r>
              <w:rPr>
                <w:rFonts w:hint="eastAsia"/>
                <w:vertAlign w:val="subscript"/>
              </w:rPr>
              <w:t>40</w:t>
            </w:r>
            <w:r>
              <w:rPr>
                <w:rFonts w:hint="eastAsia"/>
              </w:rPr>
              <w:t>）</w:t>
            </w:r>
          </w:p>
        </w:tc>
        <w:tc>
          <w:tcPr>
            <w:tcW w:w="325" w:type="pct"/>
            <w:tcBorders>
              <w:top w:val="single" w:sz="4" w:space="0" w:color="auto"/>
              <w:left w:val="nil"/>
              <w:bottom w:val="single" w:sz="4" w:space="0" w:color="auto"/>
              <w:right w:val="single" w:sz="4" w:space="0" w:color="auto"/>
            </w:tcBorders>
            <w:vAlign w:val="center"/>
          </w:tcPr>
          <w:p w14:paraId="52C38763" w14:textId="6BAAF999" w:rsidR="00B9174A" w:rsidRDefault="00B9174A" w:rsidP="00B11C82">
            <w:pPr>
              <w:adjustRightInd w:val="0"/>
              <w:snapToGrid w:val="0"/>
              <w:jc w:val="center"/>
              <w:rPr>
                <w:bCs/>
              </w:rPr>
            </w:pPr>
            <w:r>
              <w:rPr>
                <w:rFonts w:hint="eastAsia"/>
                <w:color w:val="000000"/>
                <w:sz w:val="22"/>
                <w:szCs w:val="22"/>
              </w:rPr>
              <w:t>33</w:t>
            </w:r>
          </w:p>
        </w:tc>
        <w:tc>
          <w:tcPr>
            <w:tcW w:w="387" w:type="pct"/>
            <w:tcBorders>
              <w:top w:val="single" w:sz="4" w:space="0" w:color="auto"/>
              <w:left w:val="single" w:sz="4" w:space="0" w:color="auto"/>
              <w:bottom w:val="single" w:sz="4" w:space="0" w:color="auto"/>
              <w:right w:val="single" w:sz="4" w:space="0" w:color="auto"/>
            </w:tcBorders>
            <w:vAlign w:val="center"/>
          </w:tcPr>
          <w:p w14:paraId="322DCE49" w14:textId="5675AAF8" w:rsidR="00B9174A" w:rsidRDefault="00B9174A" w:rsidP="00B11C82">
            <w:pPr>
              <w:adjustRightInd w:val="0"/>
              <w:snapToGrid w:val="0"/>
              <w:jc w:val="center"/>
              <w:rPr>
                <w:bCs/>
              </w:rPr>
            </w:pPr>
            <w:r>
              <w:rPr>
                <w:rFonts w:hint="eastAsia"/>
                <w:color w:val="000000"/>
                <w:sz w:val="22"/>
                <w:szCs w:val="22"/>
              </w:rPr>
              <w:t>6L</w:t>
            </w:r>
          </w:p>
        </w:tc>
        <w:tc>
          <w:tcPr>
            <w:tcW w:w="325" w:type="pct"/>
            <w:tcBorders>
              <w:top w:val="single" w:sz="4" w:space="0" w:color="auto"/>
              <w:left w:val="single" w:sz="4" w:space="0" w:color="auto"/>
              <w:bottom w:val="single" w:sz="4" w:space="0" w:color="auto"/>
              <w:right w:val="single" w:sz="4" w:space="0" w:color="auto"/>
            </w:tcBorders>
            <w:vAlign w:val="center"/>
          </w:tcPr>
          <w:p w14:paraId="224FA0E3" w14:textId="0255B51C" w:rsidR="00B9174A" w:rsidRDefault="00B9174A" w:rsidP="00B11C82">
            <w:pPr>
              <w:adjustRightInd w:val="0"/>
              <w:snapToGrid w:val="0"/>
              <w:jc w:val="center"/>
              <w:rPr>
                <w:bCs/>
              </w:rPr>
            </w:pPr>
            <w:r>
              <w:rPr>
                <w:rFonts w:hint="eastAsia"/>
                <w:color w:val="000000"/>
                <w:sz w:val="22"/>
                <w:szCs w:val="22"/>
              </w:rPr>
              <w:t>6L</w:t>
            </w:r>
          </w:p>
        </w:tc>
        <w:tc>
          <w:tcPr>
            <w:tcW w:w="333" w:type="pct"/>
            <w:tcBorders>
              <w:top w:val="single" w:sz="4" w:space="0" w:color="auto"/>
              <w:left w:val="single" w:sz="4" w:space="0" w:color="auto"/>
              <w:bottom w:val="single" w:sz="4" w:space="0" w:color="auto"/>
              <w:right w:val="single" w:sz="4" w:space="0" w:color="auto"/>
            </w:tcBorders>
            <w:vAlign w:val="center"/>
          </w:tcPr>
          <w:p w14:paraId="63DBDA30" w14:textId="17BD50CB" w:rsidR="00B9174A" w:rsidRDefault="00B9174A" w:rsidP="00B11C82">
            <w:pPr>
              <w:adjustRightInd w:val="0"/>
              <w:snapToGrid w:val="0"/>
              <w:jc w:val="center"/>
              <w:rPr>
                <w:bCs/>
              </w:rPr>
            </w:pPr>
            <w:r>
              <w:rPr>
                <w:rFonts w:hint="eastAsia"/>
                <w:color w:val="000000"/>
                <w:sz w:val="22"/>
                <w:szCs w:val="22"/>
              </w:rPr>
              <w:t>35</w:t>
            </w:r>
          </w:p>
        </w:tc>
        <w:tc>
          <w:tcPr>
            <w:tcW w:w="387" w:type="pct"/>
            <w:tcBorders>
              <w:top w:val="single" w:sz="4" w:space="0" w:color="auto"/>
              <w:left w:val="single" w:sz="4" w:space="0" w:color="auto"/>
              <w:bottom w:val="single" w:sz="4" w:space="0" w:color="auto"/>
              <w:right w:val="single" w:sz="4" w:space="0" w:color="auto"/>
            </w:tcBorders>
            <w:vAlign w:val="center"/>
          </w:tcPr>
          <w:p w14:paraId="044E4659" w14:textId="7B3AEAC7" w:rsidR="00B9174A" w:rsidRDefault="00B9174A" w:rsidP="00B11C82">
            <w:pPr>
              <w:adjustRightInd w:val="0"/>
              <w:snapToGrid w:val="0"/>
              <w:jc w:val="center"/>
              <w:rPr>
                <w:bCs/>
              </w:rPr>
            </w:pPr>
            <w:r>
              <w:rPr>
                <w:rFonts w:hint="eastAsia"/>
                <w:color w:val="000000"/>
                <w:sz w:val="22"/>
                <w:szCs w:val="22"/>
              </w:rPr>
              <w:t>6L</w:t>
            </w:r>
          </w:p>
        </w:tc>
        <w:tc>
          <w:tcPr>
            <w:tcW w:w="348" w:type="pct"/>
            <w:tcBorders>
              <w:top w:val="single" w:sz="4" w:space="0" w:color="auto"/>
              <w:left w:val="single" w:sz="4" w:space="0" w:color="auto"/>
              <w:bottom w:val="single" w:sz="4" w:space="0" w:color="auto"/>
              <w:right w:val="single" w:sz="4" w:space="0" w:color="auto"/>
            </w:tcBorders>
            <w:vAlign w:val="center"/>
          </w:tcPr>
          <w:p w14:paraId="49ED6ED1" w14:textId="287F5919" w:rsidR="00B9174A" w:rsidRDefault="00B9174A" w:rsidP="00B11C82">
            <w:pPr>
              <w:adjustRightInd w:val="0"/>
              <w:snapToGrid w:val="0"/>
              <w:jc w:val="center"/>
              <w:rPr>
                <w:bCs/>
              </w:rPr>
            </w:pPr>
            <w:r>
              <w:rPr>
                <w:rFonts w:hint="eastAsia"/>
                <w:color w:val="000000"/>
                <w:sz w:val="22"/>
                <w:szCs w:val="22"/>
              </w:rPr>
              <w:t>6L</w:t>
            </w:r>
          </w:p>
        </w:tc>
        <w:tc>
          <w:tcPr>
            <w:tcW w:w="347" w:type="pct"/>
            <w:tcBorders>
              <w:top w:val="single" w:sz="4" w:space="0" w:color="auto"/>
              <w:left w:val="single" w:sz="4" w:space="0" w:color="auto"/>
              <w:bottom w:val="single" w:sz="4" w:space="0" w:color="auto"/>
              <w:right w:val="single" w:sz="4" w:space="0" w:color="auto"/>
            </w:tcBorders>
            <w:vAlign w:val="center"/>
          </w:tcPr>
          <w:p w14:paraId="34C12164" w14:textId="1C7C7F4D" w:rsidR="00B9174A" w:rsidRDefault="00B9174A" w:rsidP="00B11C82">
            <w:pPr>
              <w:adjustRightInd w:val="0"/>
              <w:snapToGrid w:val="0"/>
              <w:jc w:val="center"/>
              <w:rPr>
                <w:bCs/>
              </w:rPr>
            </w:pPr>
            <w:r>
              <w:rPr>
                <w:rFonts w:hint="eastAsia"/>
                <w:color w:val="000000"/>
                <w:sz w:val="22"/>
                <w:szCs w:val="22"/>
              </w:rPr>
              <w:t>6L</w:t>
            </w:r>
          </w:p>
        </w:tc>
        <w:tc>
          <w:tcPr>
            <w:tcW w:w="387" w:type="pct"/>
            <w:tcBorders>
              <w:top w:val="single" w:sz="4" w:space="0" w:color="auto"/>
              <w:left w:val="single" w:sz="4" w:space="0" w:color="auto"/>
              <w:bottom w:val="single" w:sz="4" w:space="0" w:color="auto"/>
              <w:right w:val="single" w:sz="4" w:space="0" w:color="auto"/>
            </w:tcBorders>
            <w:vAlign w:val="center"/>
          </w:tcPr>
          <w:p w14:paraId="702ACE85" w14:textId="147FCD53" w:rsidR="00B9174A" w:rsidRDefault="00B9174A" w:rsidP="00B11C82">
            <w:pPr>
              <w:adjustRightInd w:val="0"/>
              <w:snapToGrid w:val="0"/>
              <w:jc w:val="center"/>
              <w:rPr>
                <w:bCs/>
              </w:rPr>
            </w:pPr>
            <w:r>
              <w:rPr>
                <w:rFonts w:hint="eastAsia"/>
                <w:color w:val="000000"/>
                <w:sz w:val="22"/>
                <w:szCs w:val="22"/>
              </w:rPr>
              <w:t>6L</w:t>
            </w:r>
          </w:p>
        </w:tc>
        <w:tc>
          <w:tcPr>
            <w:tcW w:w="349" w:type="pct"/>
            <w:tcBorders>
              <w:top w:val="single" w:sz="4" w:space="0" w:color="auto"/>
              <w:left w:val="single" w:sz="4" w:space="0" w:color="auto"/>
              <w:bottom w:val="single" w:sz="4" w:space="0" w:color="auto"/>
              <w:right w:val="single" w:sz="4" w:space="0" w:color="auto"/>
            </w:tcBorders>
            <w:vAlign w:val="center"/>
          </w:tcPr>
          <w:p w14:paraId="3541B250" w14:textId="137D25EC" w:rsidR="00B9174A" w:rsidRDefault="00B9174A" w:rsidP="00B11C82">
            <w:pPr>
              <w:adjustRightInd w:val="0"/>
              <w:snapToGrid w:val="0"/>
              <w:jc w:val="center"/>
              <w:rPr>
                <w:bCs/>
              </w:rPr>
            </w:pPr>
            <w:r>
              <w:rPr>
                <w:rFonts w:hint="eastAsia"/>
                <w:color w:val="000000"/>
                <w:sz w:val="22"/>
                <w:szCs w:val="22"/>
              </w:rPr>
              <w:t>6L</w:t>
            </w:r>
          </w:p>
        </w:tc>
        <w:tc>
          <w:tcPr>
            <w:tcW w:w="954" w:type="pct"/>
            <w:tcBorders>
              <w:top w:val="single" w:sz="4" w:space="0" w:color="auto"/>
              <w:left w:val="single" w:sz="4" w:space="0" w:color="auto"/>
              <w:bottom w:val="single" w:sz="4" w:space="0" w:color="auto"/>
              <w:right w:val="nil"/>
            </w:tcBorders>
            <w:vAlign w:val="center"/>
          </w:tcPr>
          <w:p w14:paraId="3462736A" w14:textId="6D224694" w:rsidR="00B9174A" w:rsidRDefault="00B9174A" w:rsidP="00B11C82">
            <w:pPr>
              <w:jc w:val="center"/>
              <w:rPr>
                <w:bCs/>
              </w:rPr>
            </w:pPr>
            <w:r>
              <w:rPr>
                <w:rFonts w:hint="eastAsia"/>
                <w:color w:val="000000"/>
                <w:sz w:val="22"/>
                <w:szCs w:val="22"/>
              </w:rPr>
              <w:t>6L</w:t>
            </w:r>
          </w:p>
        </w:tc>
        <w:tc>
          <w:tcPr>
            <w:tcW w:w="393" w:type="pct"/>
            <w:vMerge w:val="restart"/>
            <w:vAlign w:val="center"/>
          </w:tcPr>
          <w:p w14:paraId="3FF286DE" w14:textId="5677127A" w:rsidR="00B9174A" w:rsidRDefault="00B9174A" w:rsidP="00B11C82">
            <w:pPr>
              <w:adjustRightInd w:val="0"/>
              <w:snapToGrid w:val="0"/>
              <w:jc w:val="center"/>
              <w:rPr>
                <w:bCs/>
              </w:rPr>
            </w:pPr>
            <w:r>
              <w:rPr>
                <w:rFonts w:hint="eastAsia"/>
              </w:rPr>
              <w:t>4500</w:t>
            </w:r>
          </w:p>
        </w:tc>
      </w:tr>
      <w:tr w:rsidR="00B9174A" w14:paraId="1F4121A6" w14:textId="77777777" w:rsidTr="00600DE0">
        <w:trPr>
          <w:trHeight w:val="57"/>
          <w:jc w:val="center"/>
        </w:trPr>
        <w:tc>
          <w:tcPr>
            <w:tcW w:w="466" w:type="pct"/>
            <w:vAlign w:val="center"/>
          </w:tcPr>
          <w:p w14:paraId="258A89AC" w14:textId="6CEAE69E" w:rsidR="00B9174A" w:rsidRDefault="00600DE0" w:rsidP="00B11C82">
            <w:pPr>
              <w:adjustRightInd w:val="0"/>
              <w:snapToGrid w:val="0"/>
              <w:jc w:val="center"/>
            </w:pPr>
            <w:r>
              <w:rPr>
                <w:rFonts w:hint="eastAsia"/>
              </w:rPr>
              <w:t>标准指数</w:t>
            </w:r>
          </w:p>
        </w:tc>
        <w:tc>
          <w:tcPr>
            <w:tcW w:w="325" w:type="pct"/>
            <w:tcBorders>
              <w:top w:val="single" w:sz="4" w:space="0" w:color="auto"/>
              <w:left w:val="nil"/>
              <w:bottom w:val="single" w:sz="4" w:space="0" w:color="auto"/>
              <w:right w:val="single" w:sz="4" w:space="0" w:color="auto"/>
            </w:tcBorders>
            <w:vAlign w:val="center"/>
          </w:tcPr>
          <w:p w14:paraId="4ED0548A" w14:textId="56FA7B00" w:rsidR="00B9174A" w:rsidRDefault="00B9174A" w:rsidP="00B11C82">
            <w:pPr>
              <w:adjustRightInd w:val="0"/>
              <w:snapToGrid w:val="0"/>
              <w:jc w:val="center"/>
            </w:pPr>
            <w:r>
              <w:rPr>
                <w:rFonts w:hint="eastAsia"/>
                <w:color w:val="000000"/>
                <w:sz w:val="22"/>
                <w:szCs w:val="22"/>
              </w:rPr>
              <w:t xml:space="preserve">0.0073 </w:t>
            </w:r>
          </w:p>
        </w:tc>
        <w:tc>
          <w:tcPr>
            <w:tcW w:w="387" w:type="pct"/>
            <w:tcBorders>
              <w:top w:val="single" w:sz="4" w:space="0" w:color="auto"/>
              <w:left w:val="single" w:sz="4" w:space="0" w:color="auto"/>
              <w:bottom w:val="single" w:sz="4" w:space="0" w:color="auto"/>
              <w:right w:val="single" w:sz="4" w:space="0" w:color="auto"/>
            </w:tcBorders>
            <w:vAlign w:val="center"/>
          </w:tcPr>
          <w:p w14:paraId="29480FCB" w14:textId="624D83BE" w:rsidR="00B9174A" w:rsidRDefault="00B9174A" w:rsidP="00B11C82">
            <w:pPr>
              <w:adjustRightInd w:val="0"/>
              <w:snapToGrid w:val="0"/>
              <w:jc w:val="center"/>
            </w:pPr>
            <w:r>
              <w:rPr>
                <w:rFonts w:hint="eastAsia"/>
                <w:color w:val="000000"/>
                <w:sz w:val="22"/>
                <w:szCs w:val="22"/>
              </w:rPr>
              <w:t>/</w:t>
            </w:r>
          </w:p>
        </w:tc>
        <w:tc>
          <w:tcPr>
            <w:tcW w:w="325" w:type="pct"/>
            <w:tcBorders>
              <w:top w:val="single" w:sz="4" w:space="0" w:color="auto"/>
              <w:left w:val="single" w:sz="4" w:space="0" w:color="auto"/>
              <w:bottom w:val="single" w:sz="4" w:space="0" w:color="auto"/>
              <w:right w:val="single" w:sz="4" w:space="0" w:color="auto"/>
            </w:tcBorders>
            <w:vAlign w:val="center"/>
          </w:tcPr>
          <w:p w14:paraId="4C92BA88" w14:textId="52C3FA92" w:rsidR="00B9174A" w:rsidRDefault="00B9174A" w:rsidP="00B11C82">
            <w:pPr>
              <w:adjustRightInd w:val="0"/>
              <w:snapToGrid w:val="0"/>
              <w:jc w:val="center"/>
            </w:pPr>
            <w:r>
              <w:rPr>
                <w:rFonts w:hint="eastAsia"/>
                <w:color w:val="000000"/>
                <w:sz w:val="22"/>
                <w:szCs w:val="22"/>
              </w:rPr>
              <w:t>/</w:t>
            </w:r>
          </w:p>
        </w:tc>
        <w:tc>
          <w:tcPr>
            <w:tcW w:w="333" w:type="pct"/>
            <w:tcBorders>
              <w:top w:val="single" w:sz="4" w:space="0" w:color="auto"/>
              <w:left w:val="single" w:sz="4" w:space="0" w:color="auto"/>
              <w:bottom w:val="single" w:sz="4" w:space="0" w:color="auto"/>
              <w:right w:val="single" w:sz="4" w:space="0" w:color="auto"/>
            </w:tcBorders>
            <w:vAlign w:val="center"/>
          </w:tcPr>
          <w:p w14:paraId="340AE0CD" w14:textId="4370981E" w:rsidR="00B9174A" w:rsidRDefault="00B9174A" w:rsidP="00B11C82">
            <w:pPr>
              <w:adjustRightInd w:val="0"/>
              <w:snapToGrid w:val="0"/>
              <w:jc w:val="center"/>
            </w:pPr>
            <w:r>
              <w:rPr>
                <w:rFonts w:hint="eastAsia"/>
                <w:color w:val="000000"/>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14:paraId="205EF9CF" w14:textId="51889203" w:rsidR="00B9174A" w:rsidRDefault="00B9174A" w:rsidP="00B11C82">
            <w:pPr>
              <w:adjustRightInd w:val="0"/>
              <w:snapToGrid w:val="0"/>
              <w:jc w:val="center"/>
            </w:pPr>
            <w:r>
              <w:rPr>
                <w:rFonts w:hint="eastAsia"/>
                <w:color w:val="000000"/>
                <w:sz w:val="22"/>
                <w:szCs w:val="22"/>
              </w:rPr>
              <w:t>/</w:t>
            </w:r>
          </w:p>
        </w:tc>
        <w:tc>
          <w:tcPr>
            <w:tcW w:w="348" w:type="pct"/>
            <w:tcBorders>
              <w:top w:val="single" w:sz="4" w:space="0" w:color="auto"/>
              <w:left w:val="single" w:sz="4" w:space="0" w:color="auto"/>
              <w:bottom w:val="single" w:sz="4" w:space="0" w:color="auto"/>
              <w:right w:val="single" w:sz="4" w:space="0" w:color="auto"/>
            </w:tcBorders>
            <w:vAlign w:val="center"/>
          </w:tcPr>
          <w:p w14:paraId="76A22BCC" w14:textId="7F565221" w:rsidR="00B9174A" w:rsidRDefault="00B9174A" w:rsidP="00B11C82">
            <w:pPr>
              <w:adjustRightInd w:val="0"/>
              <w:snapToGrid w:val="0"/>
              <w:jc w:val="center"/>
            </w:pPr>
            <w:r>
              <w:rPr>
                <w:rFonts w:hint="eastAsia"/>
                <w:color w:val="000000"/>
                <w:sz w:val="22"/>
                <w:szCs w:val="22"/>
              </w:rPr>
              <w:t>/</w:t>
            </w:r>
          </w:p>
        </w:tc>
        <w:tc>
          <w:tcPr>
            <w:tcW w:w="347" w:type="pct"/>
            <w:tcBorders>
              <w:top w:val="single" w:sz="4" w:space="0" w:color="auto"/>
              <w:left w:val="single" w:sz="4" w:space="0" w:color="auto"/>
              <w:bottom w:val="single" w:sz="4" w:space="0" w:color="auto"/>
              <w:right w:val="single" w:sz="4" w:space="0" w:color="auto"/>
            </w:tcBorders>
            <w:vAlign w:val="center"/>
          </w:tcPr>
          <w:p w14:paraId="46773AC1" w14:textId="2D99C269" w:rsidR="00B9174A" w:rsidRDefault="00B9174A" w:rsidP="00B11C82">
            <w:pPr>
              <w:adjustRightInd w:val="0"/>
              <w:snapToGrid w:val="0"/>
              <w:jc w:val="center"/>
            </w:pPr>
            <w:r>
              <w:rPr>
                <w:rFonts w:hint="eastAsia"/>
                <w:color w:val="000000"/>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14:paraId="6715CB83" w14:textId="7EC40AE3" w:rsidR="00B9174A" w:rsidRDefault="00B9174A" w:rsidP="00B11C82">
            <w:pPr>
              <w:adjustRightInd w:val="0"/>
              <w:snapToGrid w:val="0"/>
              <w:jc w:val="center"/>
            </w:pPr>
            <w:r>
              <w:rPr>
                <w:rFonts w:hint="eastAsia"/>
                <w:color w:val="000000"/>
                <w:sz w:val="22"/>
                <w:szCs w:val="22"/>
              </w:rPr>
              <w:t>/</w:t>
            </w:r>
          </w:p>
        </w:tc>
        <w:tc>
          <w:tcPr>
            <w:tcW w:w="349" w:type="pct"/>
            <w:tcBorders>
              <w:top w:val="single" w:sz="4" w:space="0" w:color="auto"/>
              <w:left w:val="single" w:sz="4" w:space="0" w:color="auto"/>
              <w:bottom w:val="single" w:sz="4" w:space="0" w:color="auto"/>
              <w:right w:val="single" w:sz="4" w:space="0" w:color="auto"/>
            </w:tcBorders>
            <w:vAlign w:val="center"/>
          </w:tcPr>
          <w:p w14:paraId="4A2D52C8" w14:textId="41E29103" w:rsidR="00B9174A" w:rsidRDefault="00B9174A" w:rsidP="00B11C82">
            <w:pPr>
              <w:adjustRightInd w:val="0"/>
              <w:snapToGrid w:val="0"/>
              <w:jc w:val="center"/>
            </w:pPr>
            <w:r>
              <w:rPr>
                <w:rFonts w:hint="eastAsia"/>
                <w:color w:val="000000"/>
                <w:sz w:val="22"/>
                <w:szCs w:val="22"/>
              </w:rPr>
              <w:t>/</w:t>
            </w:r>
          </w:p>
        </w:tc>
        <w:tc>
          <w:tcPr>
            <w:tcW w:w="954" w:type="pct"/>
            <w:tcBorders>
              <w:top w:val="single" w:sz="4" w:space="0" w:color="auto"/>
              <w:left w:val="single" w:sz="4" w:space="0" w:color="auto"/>
              <w:bottom w:val="single" w:sz="4" w:space="0" w:color="auto"/>
              <w:right w:val="nil"/>
            </w:tcBorders>
            <w:vAlign w:val="center"/>
          </w:tcPr>
          <w:p w14:paraId="47CD959A" w14:textId="2BE20552" w:rsidR="00B9174A" w:rsidRDefault="00B9174A" w:rsidP="00B11C82">
            <w:pPr>
              <w:jc w:val="center"/>
            </w:pPr>
            <w:r>
              <w:rPr>
                <w:rFonts w:hint="eastAsia"/>
                <w:color w:val="000000"/>
                <w:sz w:val="22"/>
                <w:szCs w:val="22"/>
              </w:rPr>
              <w:t>/</w:t>
            </w:r>
          </w:p>
        </w:tc>
        <w:tc>
          <w:tcPr>
            <w:tcW w:w="393" w:type="pct"/>
            <w:vMerge/>
            <w:vAlign w:val="center"/>
          </w:tcPr>
          <w:p w14:paraId="34F111B5" w14:textId="77777777" w:rsidR="00B9174A" w:rsidRDefault="00B9174A" w:rsidP="00B11C82">
            <w:pPr>
              <w:adjustRightInd w:val="0"/>
              <w:snapToGrid w:val="0"/>
              <w:jc w:val="center"/>
            </w:pPr>
          </w:p>
        </w:tc>
      </w:tr>
      <w:tr w:rsidR="00B9174A" w14:paraId="3C9518E5" w14:textId="77777777" w:rsidTr="00600DE0">
        <w:trPr>
          <w:trHeight w:val="57"/>
          <w:jc w:val="center"/>
        </w:trPr>
        <w:tc>
          <w:tcPr>
            <w:tcW w:w="466" w:type="pct"/>
            <w:vAlign w:val="center"/>
          </w:tcPr>
          <w:p w14:paraId="15E50DDF" w14:textId="00F4C492" w:rsidR="00B9174A" w:rsidRDefault="00B9174A" w:rsidP="004A2F7D">
            <w:pPr>
              <w:adjustRightInd w:val="0"/>
              <w:snapToGrid w:val="0"/>
              <w:jc w:val="center"/>
            </w:pPr>
            <w:r>
              <w:rPr>
                <w:rFonts w:hint="eastAsia"/>
              </w:rPr>
              <w:t>pH</w:t>
            </w:r>
            <w:r>
              <w:rPr>
                <w:rFonts w:hint="eastAsia"/>
              </w:rPr>
              <w:t>（无量纲）</w:t>
            </w:r>
          </w:p>
        </w:tc>
        <w:tc>
          <w:tcPr>
            <w:tcW w:w="325" w:type="pct"/>
            <w:tcBorders>
              <w:top w:val="single" w:sz="4" w:space="0" w:color="auto"/>
            </w:tcBorders>
            <w:vAlign w:val="center"/>
          </w:tcPr>
          <w:p w14:paraId="53993300" w14:textId="4A6D5769" w:rsidR="00B9174A" w:rsidRDefault="00B9174A" w:rsidP="004A2F7D">
            <w:pPr>
              <w:adjustRightInd w:val="0"/>
              <w:snapToGrid w:val="0"/>
              <w:jc w:val="center"/>
              <w:rPr>
                <w:bCs/>
              </w:rPr>
            </w:pPr>
            <w:r>
              <w:t>8.2</w:t>
            </w:r>
          </w:p>
        </w:tc>
        <w:tc>
          <w:tcPr>
            <w:tcW w:w="387" w:type="pct"/>
            <w:tcBorders>
              <w:top w:val="single" w:sz="4" w:space="0" w:color="auto"/>
            </w:tcBorders>
            <w:vAlign w:val="center"/>
          </w:tcPr>
          <w:p w14:paraId="37467333" w14:textId="43A1D269" w:rsidR="00B9174A" w:rsidRDefault="00B9174A" w:rsidP="004A2F7D">
            <w:pPr>
              <w:adjustRightInd w:val="0"/>
              <w:snapToGrid w:val="0"/>
              <w:jc w:val="center"/>
              <w:rPr>
                <w:bCs/>
              </w:rPr>
            </w:pPr>
            <w:r>
              <w:t>8.1</w:t>
            </w:r>
          </w:p>
        </w:tc>
        <w:tc>
          <w:tcPr>
            <w:tcW w:w="325" w:type="pct"/>
            <w:tcBorders>
              <w:top w:val="single" w:sz="4" w:space="0" w:color="auto"/>
            </w:tcBorders>
            <w:vAlign w:val="center"/>
          </w:tcPr>
          <w:p w14:paraId="24BE2A18" w14:textId="727A1BD6" w:rsidR="00B9174A" w:rsidRDefault="00B9174A" w:rsidP="004A2F7D">
            <w:pPr>
              <w:adjustRightInd w:val="0"/>
              <w:snapToGrid w:val="0"/>
              <w:jc w:val="center"/>
              <w:rPr>
                <w:bCs/>
              </w:rPr>
            </w:pPr>
            <w:r>
              <w:t>8.0</w:t>
            </w:r>
          </w:p>
        </w:tc>
        <w:tc>
          <w:tcPr>
            <w:tcW w:w="333" w:type="pct"/>
            <w:tcBorders>
              <w:top w:val="single" w:sz="4" w:space="0" w:color="auto"/>
            </w:tcBorders>
            <w:vAlign w:val="center"/>
          </w:tcPr>
          <w:p w14:paraId="2E61A7E5" w14:textId="566FFB80" w:rsidR="00B9174A" w:rsidRDefault="00B9174A" w:rsidP="004A2F7D">
            <w:pPr>
              <w:adjustRightInd w:val="0"/>
              <w:snapToGrid w:val="0"/>
              <w:jc w:val="center"/>
              <w:rPr>
                <w:bCs/>
              </w:rPr>
            </w:pPr>
            <w:r>
              <w:t>8.4</w:t>
            </w:r>
          </w:p>
        </w:tc>
        <w:tc>
          <w:tcPr>
            <w:tcW w:w="387" w:type="pct"/>
            <w:tcBorders>
              <w:top w:val="single" w:sz="4" w:space="0" w:color="auto"/>
            </w:tcBorders>
            <w:vAlign w:val="center"/>
          </w:tcPr>
          <w:p w14:paraId="7372D979" w14:textId="0769C7CC" w:rsidR="00B9174A" w:rsidRDefault="00B9174A" w:rsidP="004A2F7D">
            <w:pPr>
              <w:adjustRightInd w:val="0"/>
              <w:snapToGrid w:val="0"/>
              <w:jc w:val="center"/>
              <w:rPr>
                <w:bCs/>
              </w:rPr>
            </w:pPr>
            <w:r>
              <w:t>8.3</w:t>
            </w:r>
          </w:p>
        </w:tc>
        <w:tc>
          <w:tcPr>
            <w:tcW w:w="348" w:type="pct"/>
            <w:tcBorders>
              <w:top w:val="single" w:sz="4" w:space="0" w:color="auto"/>
            </w:tcBorders>
            <w:vAlign w:val="center"/>
          </w:tcPr>
          <w:p w14:paraId="180DFCA2" w14:textId="48D25F02" w:rsidR="00B9174A" w:rsidRDefault="00B9174A" w:rsidP="004A2F7D">
            <w:pPr>
              <w:adjustRightInd w:val="0"/>
              <w:snapToGrid w:val="0"/>
              <w:jc w:val="center"/>
              <w:rPr>
                <w:bCs/>
              </w:rPr>
            </w:pPr>
            <w:r>
              <w:t>8.3</w:t>
            </w:r>
          </w:p>
        </w:tc>
        <w:tc>
          <w:tcPr>
            <w:tcW w:w="347" w:type="pct"/>
            <w:tcBorders>
              <w:top w:val="single" w:sz="4" w:space="0" w:color="auto"/>
            </w:tcBorders>
            <w:vAlign w:val="center"/>
          </w:tcPr>
          <w:p w14:paraId="6BA18820" w14:textId="7C3B8A13" w:rsidR="00B9174A" w:rsidRDefault="00B9174A" w:rsidP="004A2F7D">
            <w:pPr>
              <w:adjustRightInd w:val="0"/>
              <w:snapToGrid w:val="0"/>
              <w:jc w:val="center"/>
              <w:rPr>
                <w:bCs/>
              </w:rPr>
            </w:pPr>
            <w:r>
              <w:t>8.0</w:t>
            </w:r>
          </w:p>
        </w:tc>
        <w:tc>
          <w:tcPr>
            <w:tcW w:w="387" w:type="pct"/>
            <w:tcBorders>
              <w:top w:val="single" w:sz="4" w:space="0" w:color="auto"/>
            </w:tcBorders>
            <w:vAlign w:val="center"/>
          </w:tcPr>
          <w:p w14:paraId="2EF01316" w14:textId="3E6DDAC8" w:rsidR="00B9174A" w:rsidRDefault="00B9174A" w:rsidP="004A2F7D">
            <w:pPr>
              <w:adjustRightInd w:val="0"/>
              <w:snapToGrid w:val="0"/>
              <w:jc w:val="center"/>
              <w:rPr>
                <w:bCs/>
              </w:rPr>
            </w:pPr>
            <w:r>
              <w:t>8.1</w:t>
            </w:r>
          </w:p>
        </w:tc>
        <w:tc>
          <w:tcPr>
            <w:tcW w:w="349" w:type="pct"/>
            <w:tcBorders>
              <w:top w:val="single" w:sz="4" w:space="0" w:color="auto"/>
            </w:tcBorders>
            <w:vAlign w:val="center"/>
          </w:tcPr>
          <w:p w14:paraId="4B18F65A" w14:textId="18F82EB7" w:rsidR="00B9174A" w:rsidRDefault="00B9174A" w:rsidP="004A2F7D">
            <w:pPr>
              <w:adjustRightInd w:val="0"/>
              <w:snapToGrid w:val="0"/>
              <w:jc w:val="center"/>
              <w:rPr>
                <w:bCs/>
              </w:rPr>
            </w:pPr>
            <w:r>
              <w:t>8.1</w:t>
            </w:r>
          </w:p>
        </w:tc>
        <w:tc>
          <w:tcPr>
            <w:tcW w:w="954" w:type="pct"/>
            <w:tcBorders>
              <w:top w:val="single" w:sz="4" w:space="0" w:color="auto"/>
            </w:tcBorders>
            <w:vAlign w:val="center"/>
          </w:tcPr>
          <w:p w14:paraId="17AFBFDA" w14:textId="5CAB5181" w:rsidR="00B9174A" w:rsidRDefault="00B9174A" w:rsidP="004A2F7D">
            <w:pPr>
              <w:jc w:val="center"/>
              <w:rPr>
                <w:bCs/>
              </w:rPr>
            </w:pPr>
            <w:r>
              <w:t>8.3</w:t>
            </w:r>
          </w:p>
        </w:tc>
        <w:tc>
          <w:tcPr>
            <w:tcW w:w="393" w:type="pct"/>
            <w:vMerge w:val="restart"/>
            <w:vAlign w:val="center"/>
          </w:tcPr>
          <w:p w14:paraId="4C5FC9EA" w14:textId="50AAF63E" w:rsidR="00B9174A" w:rsidRDefault="00B9174A" w:rsidP="004A2F7D">
            <w:pPr>
              <w:adjustRightInd w:val="0"/>
              <w:snapToGrid w:val="0"/>
              <w:jc w:val="center"/>
              <w:rPr>
                <w:bCs/>
              </w:rPr>
            </w:pPr>
            <w:r>
              <w:rPr>
                <w:rFonts w:hint="eastAsia"/>
              </w:rPr>
              <w:t>/</w:t>
            </w:r>
          </w:p>
        </w:tc>
      </w:tr>
      <w:tr w:rsidR="00B9174A" w14:paraId="2ED5085C" w14:textId="77777777" w:rsidTr="00600DE0">
        <w:trPr>
          <w:trHeight w:val="57"/>
          <w:jc w:val="center"/>
        </w:trPr>
        <w:tc>
          <w:tcPr>
            <w:tcW w:w="466" w:type="pct"/>
            <w:vAlign w:val="center"/>
          </w:tcPr>
          <w:p w14:paraId="7D9BD806" w14:textId="0A9E23A1" w:rsidR="00B9174A" w:rsidRDefault="00600DE0" w:rsidP="00B11C82">
            <w:pPr>
              <w:adjustRightInd w:val="0"/>
              <w:snapToGrid w:val="0"/>
              <w:jc w:val="center"/>
            </w:pPr>
            <w:r>
              <w:rPr>
                <w:rFonts w:hint="eastAsia"/>
              </w:rPr>
              <w:t>标准指数</w:t>
            </w:r>
          </w:p>
        </w:tc>
        <w:tc>
          <w:tcPr>
            <w:tcW w:w="325" w:type="pct"/>
            <w:vAlign w:val="center"/>
          </w:tcPr>
          <w:p w14:paraId="5EBB5876" w14:textId="1984D692" w:rsidR="00B9174A" w:rsidRDefault="00B9174A" w:rsidP="00B11C82">
            <w:pPr>
              <w:adjustRightInd w:val="0"/>
              <w:snapToGrid w:val="0"/>
              <w:jc w:val="center"/>
            </w:pPr>
            <w:r>
              <w:rPr>
                <w:rFonts w:hint="eastAsia"/>
                <w:color w:val="000000"/>
                <w:sz w:val="22"/>
                <w:szCs w:val="22"/>
              </w:rPr>
              <w:t>/</w:t>
            </w:r>
          </w:p>
        </w:tc>
        <w:tc>
          <w:tcPr>
            <w:tcW w:w="387" w:type="pct"/>
            <w:vAlign w:val="center"/>
          </w:tcPr>
          <w:p w14:paraId="543D917D" w14:textId="18284DF2" w:rsidR="00B9174A" w:rsidRDefault="00B9174A" w:rsidP="00B11C82">
            <w:pPr>
              <w:adjustRightInd w:val="0"/>
              <w:snapToGrid w:val="0"/>
              <w:jc w:val="center"/>
            </w:pPr>
            <w:r>
              <w:rPr>
                <w:rFonts w:hint="eastAsia"/>
                <w:color w:val="000000"/>
                <w:sz w:val="22"/>
                <w:szCs w:val="22"/>
              </w:rPr>
              <w:t>/</w:t>
            </w:r>
          </w:p>
        </w:tc>
        <w:tc>
          <w:tcPr>
            <w:tcW w:w="325" w:type="pct"/>
            <w:vAlign w:val="center"/>
          </w:tcPr>
          <w:p w14:paraId="59035475" w14:textId="5D430B83" w:rsidR="00B9174A" w:rsidRDefault="00B9174A" w:rsidP="00B11C82">
            <w:pPr>
              <w:adjustRightInd w:val="0"/>
              <w:snapToGrid w:val="0"/>
              <w:jc w:val="center"/>
            </w:pPr>
            <w:r>
              <w:rPr>
                <w:rFonts w:hint="eastAsia"/>
                <w:color w:val="000000"/>
                <w:sz w:val="22"/>
                <w:szCs w:val="22"/>
              </w:rPr>
              <w:t>/</w:t>
            </w:r>
          </w:p>
        </w:tc>
        <w:tc>
          <w:tcPr>
            <w:tcW w:w="333" w:type="pct"/>
            <w:vAlign w:val="center"/>
          </w:tcPr>
          <w:p w14:paraId="6FCBE37E" w14:textId="701D8F2E" w:rsidR="00B9174A" w:rsidRDefault="00B9174A" w:rsidP="00B11C82">
            <w:pPr>
              <w:adjustRightInd w:val="0"/>
              <w:snapToGrid w:val="0"/>
              <w:jc w:val="center"/>
            </w:pPr>
            <w:r>
              <w:rPr>
                <w:rFonts w:hint="eastAsia"/>
                <w:color w:val="000000"/>
                <w:sz w:val="22"/>
                <w:szCs w:val="22"/>
              </w:rPr>
              <w:t>/</w:t>
            </w:r>
          </w:p>
        </w:tc>
        <w:tc>
          <w:tcPr>
            <w:tcW w:w="387" w:type="pct"/>
            <w:vAlign w:val="center"/>
          </w:tcPr>
          <w:p w14:paraId="7BE3548D" w14:textId="390ADBCF" w:rsidR="00B9174A" w:rsidRDefault="00B9174A" w:rsidP="00B11C82">
            <w:pPr>
              <w:adjustRightInd w:val="0"/>
              <w:snapToGrid w:val="0"/>
              <w:jc w:val="center"/>
            </w:pPr>
            <w:r>
              <w:rPr>
                <w:rFonts w:hint="eastAsia"/>
                <w:color w:val="000000"/>
                <w:sz w:val="22"/>
                <w:szCs w:val="22"/>
              </w:rPr>
              <w:t>/</w:t>
            </w:r>
          </w:p>
        </w:tc>
        <w:tc>
          <w:tcPr>
            <w:tcW w:w="348" w:type="pct"/>
            <w:vAlign w:val="center"/>
          </w:tcPr>
          <w:p w14:paraId="5B2FA81F" w14:textId="709F7707" w:rsidR="00B9174A" w:rsidRDefault="00B9174A" w:rsidP="00B11C82">
            <w:pPr>
              <w:adjustRightInd w:val="0"/>
              <w:snapToGrid w:val="0"/>
              <w:jc w:val="center"/>
            </w:pPr>
            <w:r>
              <w:rPr>
                <w:rFonts w:hint="eastAsia"/>
                <w:color w:val="000000"/>
                <w:sz w:val="22"/>
                <w:szCs w:val="22"/>
              </w:rPr>
              <w:t>/</w:t>
            </w:r>
          </w:p>
        </w:tc>
        <w:tc>
          <w:tcPr>
            <w:tcW w:w="347" w:type="pct"/>
            <w:vAlign w:val="center"/>
          </w:tcPr>
          <w:p w14:paraId="4E5193B0" w14:textId="30A637C9" w:rsidR="00B9174A" w:rsidRDefault="00B9174A" w:rsidP="00B11C82">
            <w:pPr>
              <w:adjustRightInd w:val="0"/>
              <w:snapToGrid w:val="0"/>
              <w:jc w:val="center"/>
            </w:pPr>
            <w:r>
              <w:rPr>
                <w:rFonts w:hint="eastAsia"/>
                <w:color w:val="000000"/>
                <w:sz w:val="22"/>
                <w:szCs w:val="22"/>
              </w:rPr>
              <w:t>/</w:t>
            </w:r>
          </w:p>
        </w:tc>
        <w:tc>
          <w:tcPr>
            <w:tcW w:w="387" w:type="pct"/>
            <w:vAlign w:val="center"/>
          </w:tcPr>
          <w:p w14:paraId="2A9BAC64" w14:textId="73B6F7C1" w:rsidR="00B9174A" w:rsidRDefault="00B9174A" w:rsidP="00B11C82">
            <w:pPr>
              <w:adjustRightInd w:val="0"/>
              <w:snapToGrid w:val="0"/>
              <w:jc w:val="center"/>
            </w:pPr>
            <w:r>
              <w:rPr>
                <w:rFonts w:hint="eastAsia"/>
                <w:color w:val="000000"/>
                <w:sz w:val="22"/>
                <w:szCs w:val="22"/>
              </w:rPr>
              <w:t>/</w:t>
            </w:r>
          </w:p>
        </w:tc>
        <w:tc>
          <w:tcPr>
            <w:tcW w:w="349" w:type="pct"/>
            <w:vAlign w:val="center"/>
          </w:tcPr>
          <w:p w14:paraId="31314FEC" w14:textId="4D4B89DE" w:rsidR="00B9174A" w:rsidRDefault="00B9174A" w:rsidP="00B11C82">
            <w:pPr>
              <w:adjustRightInd w:val="0"/>
              <w:snapToGrid w:val="0"/>
              <w:jc w:val="center"/>
            </w:pPr>
            <w:r>
              <w:rPr>
                <w:rFonts w:hint="eastAsia"/>
                <w:color w:val="000000"/>
                <w:sz w:val="22"/>
                <w:szCs w:val="22"/>
              </w:rPr>
              <w:t>/</w:t>
            </w:r>
          </w:p>
        </w:tc>
        <w:tc>
          <w:tcPr>
            <w:tcW w:w="954" w:type="pct"/>
            <w:vAlign w:val="center"/>
          </w:tcPr>
          <w:p w14:paraId="4BD3D12C" w14:textId="65F4F312" w:rsidR="00B9174A" w:rsidRDefault="00B9174A" w:rsidP="00B11C82">
            <w:pPr>
              <w:jc w:val="center"/>
            </w:pPr>
            <w:r>
              <w:rPr>
                <w:rFonts w:hint="eastAsia"/>
                <w:color w:val="000000"/>
                <w:sz w:val="22"/>
                <w:szCs w:val="22"/>
              </w:rPr>
              <w:t>/</w:t>
            </w:r>
          </w:p>
        </w:tc>
        <w:tc>
          <w:tcPr>
            <w:tcW w:w="393" w:type="pct"/>
            <w:vMerge/>
            <w:vAlign w:val="center"/>
          </w:tcPr>
          <w:p w14:paraId="180C66EB" w14:textId="77777777" w:rsidR="00B9174A" w:rsidRDefault="00B9174A" w:rsidP="00B11C82">
            <w:pPr>
              <w:adjustRightInd w:val="0"/>
              <w:snapToGrid w:val="0"/>
              <w:jc w:val="center"/>
            </w:pPr>
          </w:p>
        </w:tc>
      </w:tr>
      <w:tr w:rsidR="00B9174A" w14:paraId="69AC824C" w14:textId="77777777" w:rsidTr="00600DE0">
        <w:trPr>
          <w:trHeight w:val="57"/>
          <w:jc w:val="center"/>
        </w:trPr>
        <w:tc>
          <w:tcPr>
            <w:tcW w:w="466" w:type="pct"/>
            <w:vAlign w:val="center"/>
          </w:tcPr>
          <w:p w14:paraId="3EE8DA44" w14:textId="2AF235D1" w:rsidR="00B9174A" w:rsidRDefault="00B9174A" w:rsidP="004A2F7D">
            <w:pPr>
              <w:adjustRightInd w:val="0"/>
              <w:snapToGrid w:val="0"/>
              <w:jc w:val="center"/>
            </w:pPr>
            <w:r>
              <w:t>四氯化碳</w:t>
            </w:r>
          </w:p>
        </w:tc>
        <w:tc>
          <w:tcPr>
            <w:tcW w:w="325" w:type="pct"/>
            <w:vAlign w:val="center"/>
          </w:tcPr>
          <w:p w14:paraId="4F1550F2" w14:textId="14C479D1" w:rsidR="00B9174A" w:rsidRDefault="00B9174A" w:rsidP="004A2F7D">
            <w:pPr>
              <w:adjustRightInd w:val="0"/>
              <w:snapToGrid w:val="0"/>
              <w:jc w:val="center"/>
              <w:rPr>
                <w:bCs/>
              </w:rPr>
            </w:pPr>
            <w:r>
              <w:rPr>
                <w:lang w:bidi="ar"/>
              </w:rPr>
              <w:t>1.3×10</w:t>
            </w:r>
            <w:r>
              <w:rPr>
                <w:vertAlign w:val="superscript"/>
                <w:lang w:bidi="ar"/>
              </w:rPr>
              <w:t>-3</w:t>
            </w:r>
            <w:r>
              <w:rPr>
                <w:lang w:bidi="ar"/>
              </w:rPr>
              <w:t>L</w:t>
            </w:r>
          </w:p>
        </w:tc>
        <w:tc>
          <w:tcPr>
            <w:tcW w:w="387" w:type="pct"/>
            <w:vAlign w:val="center"/>
          </w:tcPr>
          <w:p w14:paraId="7FCF4307" w14:textId="24703E9A" w:rsidR="00B9174A" w:rsidRDefault="00B9174A" w:rsidP="004A2F7D">
            <w:pPr>
              <w:adjustRightInd w:val="0"/>
              <w:snapToGrid w:val="0"/>
              <w:jc w:val="center"/>
              <w:rPr>
                <w:bCs/>
              </w:rPr>
            </w:pPr>
            <w:r>
              <w:rPr>
                <w:lang w:bidi="ar"/>
              </w:rPr>
              <w:t>1.3×10</w:t>
            </w:r>
            <w:r>
              <w:rPr>
                <w:vertAlign w:val="superscript"/>
                <w:lang w:bidi="ar"/>
              </w:rPr>
              <w:t>-3</w:t>
            </w:r>
            <w:r>
              <w:rPr>
                <w:lang w:bidi="ar"/>
              </w:rPr>
              <w:t>L</w:t>
            </w:r>
          </w:p>
        </w:tc>
        <w:tc>
          <w:tcPr>
            <w:tcW w:w="325" w:type="pct"/>
            <w:vAlign w:val="center"/>
          </w:tcPr>
          <w:p w14:paraId="4D4B720E" w14:textId="05B4B592" w:rsidR="00B9174A" w:rsidRDefault="00B9174A" w:rsidP="004A2F7D">
            <w:pPr>
              <w:adjustRightInd w:val="0"/>
              <w:snapToGrid w:val="0"/>
              <w:jc w:val="center"/>
              <w:rPr>
                <w:bCs/>
              </w:rPr>
            </w:pPr>
            <w:r>
              <w:rPr>
                <w:lang w:bidi="ar"/>
              </w:rPr>
              <w:t>1.3×10</w:t>
            </w:r>
            <w:r>
              <w:rPr>
                <w:vertAlign w:val="superscript"/>
                <w:lang w:bidi="ar"/>
              </w:rPr>
              <w:t>-3</w:t>
            </w:r>
            <w:r>
              <w:rPr>
                <w:lang w:bidi="ar"/>
              </w:rPr>
              <w:t>L</w:t>
            </w:r>
          </w:p>
        </w:tc>
        <w:tc>
          <w:tcPr>
            <w:tcW w:w="333" w:type="pct"/>
            <w:vAlign w:val="center"/>
          </w:tcPr>
          <w:p w14:paraId="62636F81" w14:textId="42E26875" w:rsidR="00B9174A" w:rsidRDefault="00B9174A" w:rsidP="004A2F7D">
            <w:pPr>
              <w:adjustRightInd w:val="0"/>
              <w:snapToGrid w:val="0"/>
              <w:jc w:val="center"/>
              <w:rPr>
                <w:bCs/>
              </w:rPr>
            </w:pPr>
            <w:r>
              <w:rPr>
                <w:lang w:bidi="ar"/>
              </w:rPr>
              <w:t>1.3×10</w:t>
            </w:r>
            <w:r>
              <w:rPr>
                <w:vertAlign w:val="superscript"/>
                <w:lang w:bidi="ar"/>
              </w:rPr>
              <w:t>-3</w:t>
            </w:r>
            <w:r>
              <w:rPr>
                <w:lang w:bidi="ar"/>
              </w:rPr>
              <w:t>L</w:t>
            </w:r>
          </w:p>
        </w:tc>
        <w:tc>
          <w:tcPr>
            <w:tcW w:w="387" w:type="pct"/>
            <w:vAlign w:val="center"/>
          </w:tcPr>
          <w:p w14:paraId="1BB9A1B3" w14:textId="3783A2F0" w:rsidR="00B9174A" w:rsidRDefault="00B9174A" w:rsidP="004A2F7D">
            <w:pPr>
              <w:adjustRightInd w:val="0"/>
              <w:snapToGrid w:val="0"/>
              <w:jc w:val="center"/>
              <w:rPr>
                <w:bCs/>
              </w:rPr>
            </w:pPr>
            <w:r>
              <w:rPr>
                <w:lang w:bidi="ar"/>
              </w:rPr>
              <w:t>1.3×10</w:t>
            </w:r>
            <w:r>
              <w:rPr>
                <w:vertAlign w:val="superscript"/>
                <w:lang w:bidi="ar"/>
              </w:rPr>
              <w:t>-3</w:t>
            </w:r>
            <w:r>
              <w:rPr>
                <w:lang w:bidi="ar"/>
              </w:rPr>
              <w:t>L</w:t>
            </w:r>
          </w:p>
        </w:tc>
        <w:tc>
          <w:tcPr>
            <w:tcW w:w="348" w:type="pct"/>
            <w:vAlign w:val="center"/>
          </w:tcPr>
          <w:p w14:paraId="3B7D10D7" w14:textId="5DAD1540" w:rsidR="00B9174A" w:rsidRDefault="00B9174A" w:rsidP="004A2F7D">
            <w:pPr>
              <w:adjustRightInd w:val="0"/>
              <w:snapToGrid w:val="0"/>
              <w:jc w:val="center"/>
              <w:rPr>
                <w:bCs/>
              </w:rPr>
            </w:pPr>
            <w:r>
              <w:rPr>
                <w:lang w:bidi="ar"/>
              </w:rPr>
              <w:t>1.3×10</w:t>
            </w:r>
            <w:r>
              <w:rPr>
                <w:vertAlign w:val="superscript"/>
                <w:lang w:bidi="ar"/>
              </w:rPr>
              <w:t>-3</w:t>
            </w:r>
            <w:r>
              <w:rPr>
                <w:lang w:bidi="ar"/>
              </w:rPr>
              <w:t>L</w:t>
            </w:r>
          </w:p>
        </w:tc>
        <w:tc>
          <w:tcPr>
            <w:tcW w:w="347" w:type="pct"/>
            <w:vAlign w:val="center"/>
          </w:tcPr>
          <w:p w14:paraId="47FBE684" w14:textId="187258AA" w:rsidR="00B9174A" w:rsidRDefault="00B9174A" w:rsidP="004A2F7D">
            <w:pPr>
              <w:adjustRightInd w:val="0"/>
              <w:snapToGrid w:val="0"/>
              <w:jc w:val="center"/>
              <w:rPr>
                <w:bCs/>
              </w:rPr>
            </w:pPr>
            <w:r>
              <w:rPr>
                <w:lang w:bidi="ar"/>
              </w:rPr>
              <w:t>1.3×10</w:t>
            </w:r>
            <w:r>
              <w:rPr>
                <w:vertAlign w:val="superscript"/>
                <w:lang w:bidi="ar"/>
              </w:rPr>
              <w:t>-3</w:t>
            </w:r>
            <w:r>
              <w:rPr>
                <w:lang w:bidi="ar"/>
              </w:rPr>
              <w:t>L</w:t>
            </w:r>
          </w:p>
        </w:tc>
        <w:tc>
          <w:tcPr>
            <w:tcW w:w="387" w:type="pct"/>
            <w:vAlign w:val="center"/>
          </w:tcPr>
          <w:p w14:paraId="25C72AB3" w14:textId="68F68E3B" w:rsidR="00B9174A" w:rsidRDefault="00B9174A" w:rsidP="004A2F7D">
            <w:pPr>
              <w:adjustRightInd w:val="0"/>
              <w:snapToGrid w:val="0"/>
              <w:jc w:val="center"/>
              <w:rPr>
                <w:bCs/>
              </w:rPr>
            </w:pPr>
            <w:r>
              <w:rPr>
                <w:lang w:bidi="ar"/>
              </w:rPr>
              <w:t>1.3×10</w:t>
            </w:r>
            <w:r>
              <w:rPr>
                <w:vertAlign w:val="superscript"/>
                <w:lang w:bidi="ar"/>
              </w:rPr>
              <w:t>-3</w:t>
            </w:r>
            <w:r>
              <w:rPr>
                <w:lang w:bidi="ar"/>
              </w:rPr>
              <w:t>L</w:t>
            </w:r>
          </w:p>
        </w:tc>
        <w:tc>
          <w:tcPr>
            <w:tcW w:w="349" w:type="pct"/>
            <w:vAlign w:val="center"/>
          </w:tcPr>
          <w:p w14:paraId="64BDD936" w14:textId="1183E23C" w:rsidR="00B9174A" w:rsidRDefault="00B9174A" w:rsidP="004A2F7D">
            <w:pPr>
              <w:adjustRightInd w:val="0"/>
              <w:snapToGrid w:val="0"/>
              <w:jc w:val="center"/>
              <w:rPr>
                <w:bCs/>
              </w:rPr>
            </w:pPr>
            <w:r>
              <w:rPr>
                <w:lang w:bidi="ar"/>
              </w:rPr>
              <w:t>1.3×10</w:t>
            </w:r>
            <w:r>
              <w:rPr>
                <w:vertAlign w:val="superscript"/>
                <w:lang w:bidi="ar"/>
              </w:rPr>
              <w:t>-3</w:t>
            </w:r>
            <w:r>
              <w:rPr>
                <w:lang w:bidi="ar"/>
              </w:rPr>
              <w:t>L</w:t>
            </w:r>
          </w:p>
        </w:tc>
        <w:tc>
          <w:tcPr>
            <w:tcW w:w="954" w:type="pct"/>
            <w:vAlign w:val="center"/>
          </w:tcPr>
          <w:p w14:paraId="6242D1B2" w14:textId="6901D9CD" w:rsidR="00B9174A" w:rsidRDefault="00B9174A" w:rsidP="004A2F7D">
            <w:pPr>
              <w:jc w:val="center"/>
              <w:rPr>
                <w:bCs/>
              </w:rPr>
            </w:pPr>
            <w:r>
              <w:rPr>
                <w:lang w:bidi="ar"/>
              </w:rPr>
              <w:t>1.3×10</w:t>
            </w:r>
            <w:r>
              <w:rPr>
                <w:vertAlign w:val="superscript"/>
                <w:lang w:bidi="ar"/>
              </w:rPr>
              <w:t>-3</w:t>
            </w:r>
            <w:r>
              <w:rPr>
                <w:lang w:bidi="ar"/>
              </w:rPr>
              <w:t>L</w:t>
            </w:r>
          </w:p>
        </w:tc>
        <w:tc>
          <w:tcPr>
            <w:tcW w:w="393" w:type="pct"/>
            <w:vMerge w:val="restart"/>
            <w:vAlign w:val="center"/>
          </w:tcPr>
          <w:p w14:paraId="387374C7" w14:textId="56003CCE" w:rsidR="00B9174A" w:rsidRDefault="00B9174A" w:rsidP="004A2F7D">
            <w:pPr>
              <w:adjustRightInd w:val="0"/>
              <w:snapToGrid w:val="0"/>
              <w:jc w:val="center"/>
              <w:rPr>
                <w:bCs/>
              </w:rPr>
            </w:pPr>
            <w:r>
              <w:rPr>
                <w:rFonts w:hint="eastAsia"/>
              </w:rPr>
              <w:t>2.8</w:t>
            </w:r>
          </w:p>
        </w:tc>
      </w:tr>
      <w:tr w:rsidR="00B9174A" w14:paraId="22B77E45" w14:textId="77777777" w:rsidTr="00600DE0">
        <w:trPr>
          <w:trHeight w:val="57"/>
          <w:jc w:val="center"/>
        </w:trPr>
        <w:tc>
          <w:tcPr>
            <w:tcW w:w="466" w:type="pct"/>
            <w:vAlign w:val="center"/>
          </w:tcPr>
          <w:p w14:paraId="638F1165" w14:textId="6FC97E13" w:rsidR="00B9174A" w:rsidRDefault="00600DE0" w:rsidP="00B11C82">
            <w:pPr>
              <w:adjustRightInd w:val="0"/>
              <w:snapToGrid w:val="0"/>
              <w:jc w:val="center"/>
            </w:pPr>
            <w:r>
              <w:rPr>
                <w:rFonts w:hint="eastAsia"/>
              </w:rPr>
              <w:t>标准指数</w:t>
            </w:r>
          </w:p>
        </w:tc>
        <w:tc>
          <w:tcPr>
            <w:tcW w:w="325" w:type="pct"/>
            <w:vAlign w:val="center"/>
          </w:tcPr>
          <w:p w14:paraId="029B4A34" w14:textId="46FD0330" w:rsidR="00B9174A" w:rsidRDefault="00B9174A" w:rsidP="00B11C82">
            <w:pPr>
              <w:adjustRightInd w:val="0"/>
              <w:snapToGrid w:val="0"/>
              <w:jc w:val="center"/>
              <w:rPr>
                <w:lang w:bidi="ar"/>
              </w:rPr>
            </w:pPr>
            <w:r>
              <w:rPr>
                <w:rFonts w:hint="eastAsia"/>
                <w:color w:val="000000"/>
                <w:sz w:val="22"/>
                <w:szCs w:val="22"/>
              </w:rPr>
              <w:t>/</w:t>
            </w:r>
          </w:p>
        </w:tc>
        <w:tc>
          <w:tcPr>
            <w:tcW w:w="387" w:type="pct"/>
            <w:vAlign w:val="center"/>
          </w:tcPr>
          <w:p w14:paraId="1A7A5FB2" w14:textId="7370292B" w:rsidR="00B9174A" w:rsidRDefault="00B9174A" w:rsidP="00B11C82">
            <w:pPr>
              <w:adjustRightInd w:val="0"/>
              <w:snapToGrid w:val="0"/>
              <w:jc w:val="center"/>
              <w:rPr>
                <w:lang w:bidi="ar"/>
              </w:rPr>
            </w:pPr>
            <w:r>
              <w:rPr>
                <w:rFonts w:hint="eastAsia"/>
                <w:color w:val="000000"/>
                <w:sz w:val="22"/>
                <w:szCs w:val="22"/>
              </w:rPr>
              <w:t>/</w:t>
            </w:r>
          </w:p>
        </w:tc>
        <w:tc>
          <w:tcPr>
            <w:tcW w:w="325" w:type="pct"/>
            <w:vAlign w:val="center"/>
          </w:tcPr>
          <w:p w14:paraId="63B5E8FC" w14:textId="30E84391" w:rsidR="00B9174A" w:rsidRDefault="00B9174A" w:rsidP="00B11C82">
            <w:pPr>
              <w:adjustRightInd w:val="0"/>
              <w:snapToGrid w:val="0"/>
              <w:jc w:val="center"/>
              <w:rPr>
                <w:lang w:bidi="ar"/>
              </w:rPr>
            </w:pPr>
            <w:r>
              <w:rPr>
                <w:rFonts w:hint="eastAsia"/>
                <w:color w:val="000000"/>
                <w:sz w:val="22"/>
                <w:szCs w:val="22"/>
              </w:rPr>
              <w:t>/</w:t>
            </w:r>
          </w:p>
        </w:tc>
        <w:tc>
          <w:tcPr>
            <w:tcW w:w="333" w:type="pct"/>
            <w:vAlign w:val="center"/>
          </w:tcPr>
          <w:p w14:paraId="54B7FAAA" w14:textId="5974EFB6" w:rsidR="00B9174A" w:rsidRDefault="00B9174A" w:rsidP="00B11C82">
            <w:pPr>
              <w:adjustRightInd w:val="0"/>
              <w:snapToGrid w:val="0"/>
              <w:jc w:val="center"/>
              <w:rPr>
                <w:lang w:bidi="ar"/>
              </w:rPr>
            </w:pPr>
            <w:r>
              <w:rPr>
                <w:rFonts w:hint="eastAsia"/>
                <w:color w:val="000000"/>
                <w:sz w:val="22"/>
                <w:szCs w:val="22"/>
              </w:rPr>
              <w:t>/</w:t>
            </w:r>
          </w:p>
        </w:tc>
        <w:tc>
          <w:tcPr>
            <w:tcW w:w="387" w:type="pct"/>
            <w:vAlign w:val="center"/>
          </w:tcPr>
          <w:p w14:paraId="311833E9" w14:textId="761CF161" w:rsidR="00B9174A" w:rsidRDefault="00B9174A" w:rsidP="00B11C82">
            <w:pPr>
              <w:adjustRightInd w:val="0"/>
              <w:snapToGrid w:val="0"/>
              <w:jc w:val="center"/>
              <w:rPr>
                <w:lang w:bidi="ar"/>
              </w:rPr>
            </w:pPr>
            <w:r>
              <w:rPr>
                <w:rFonts w:hint="eastAsia"/>
                <w:color w:val="000000"/>
                <w:sz w:val="22"/>
                <w:szCs w:val="22"/>
              </w:rPr>
              <w:t>/</w:t>
            </w:r>
          </w:p>
        </w:tc>
        <w:tc>
          <w:tcPr>
            <w:tcW w:w="348" w:type="pct"/>
            <w:vAlign w:val="center"/>
          </w:tcPr>
          <w:p w14:paraId="088C378E" w14:textId="4F651564" w:rsidR="00B9174A" w:rsidRDefault="00B9174A" w:rsidP="00B11C82">
            <w:pPr>
              <w:adjustRightInd w:val="0"/>
              <w:snapToGrid w:val="0"/>
              <w:jc w:val="center"/>
              <w:rPr>
                <w:lang w:bidi="ar"/>
              </w:rPr>
            </w:pPr>
            <w:r>
              <w:rPr>
                <w:rFonts w:hint="eastAsia"/>
                <w:color w:val="000000"/>
                <w:sz w:val="22"/>
                <w:szCs w:val="22"/>
              </w:rPr>
              <w:t>/</w:t>
            </w:r>
          </w:p>
        </w:tc>
        <w:tc>
          <w:tcPr>
            <w:tcW w:w="347" w:type="pct"/>
            <w:vAlign w:val="center"/>
          </w:tcPr>
          <w:p w14:paraId="063C0820" w14:textId="73F2809B" w:rsidR="00B9174A" w:rsidRDefault="00B9174A" w:rsidP="00B11C82">
            <w:pPr>
              <w:adjustRightInd w:val="0"/>
              <w:snapToGrid w:val="0"/>
              <w:jc w:val="center"/>
              <w:rPr>
                <w:lang w:bidi="ar"/>
              </w:rPr>
            </w:pPr>
            <w:r>
              <w:rPr>
                <w:rFonts w:hint="eastAsia"/>
                <w:color w:val="000000"/>
                <w:sz w:val="22"/>
                <w:szCs w:val="22"/>
              </w:rPr>
              <w:t>/</w:t>
            </w:r>
          </w:p>
        </w:tc>
        <w:tc>
          <w:tcPr>
            <w:tcW w:w="387" w:type="pct"/>
            <w:vAlign w:val="center"/>
          </w:tcPr>
          <w:p w14:paraId="48105651" w14:textId="393CAE00" w:rsidR="00B9174A" w:rsidRDefault="00B9174A" w:rsidP="00B11C82">
            <w:pPr>
              <w:adjustRightInd w:val="0"/>
              <w:snapToGrid w:val="0"/>
              <w:jc w:val="center"/>
              <w:rPr>
                <w:lang w:bidi="ar"/>
              </w:rPr>
            </w:pPr>
            <w:r>
              <w:rPr>
                <w:rFonts w:hint="eastAsia"/>
                <w:color w:val="000000"/>
                <w:sz w:val="22"/>
                <w:szCs w:val="22"/>
              </w:rPr>
              <w:t>/</w:t>
            </w:r>
          </w:p>
        </w:tc>
        <w:tc>
          <w:tcPr>
            <w:tcW w:w="349" w:type="pct"/>
            <w:vAlign w:val="center"/>
          </w:tcPr>
          <w:p w14:paraId="35CC3F16" w14:textId="67EBFADB" w:rsidR="00B9174A" w:rsidRDefault="00B9174A" w:rsidP="00B11C82">
            <w:pPr>
              <w:adjustRightInd w:val="0"/>
              <w:snapToGrid w:val="0"/>
              <w:jc w:val="center"/>
              <w:rPr>
                <w:lang w:bidi="ar"/>
              </w:rPr>
            </w:pPr>
            <w:r>
              <w:rPr>
                <w:rFonts w:hint="eastAsia"/>
                <w:color w:val="000000"/>
                <w:sz w:val="22"/>
                <w:szCs w:val="22"/>
              </w:rPr>
              <w:t>/</w:t>
            </w:r>
          </w:p>
        </w:tc>
        <w:tc>
          <w:tcPr>
            <w:tcW w:w="954" w:type="pct"/>
            <w:vAlign w:val="center"/>
          </w:tcPr>
          <w:p w14:paraId="779D0AC7" w14:textId="6303A0FD" w:rsidR="00B9174A" w:rsidRDefault="00B9174A" w:rsidP="00B11C82">
            <w:pPr>
              <w:jc w:val="center"/>
              <w:rPr>
                <w:lang w:bidi="ar"/>
              </w:rPr>
            </w:pPr>
            <w:r>
              <w:rPr>
                <w:rFonts w:hint="eastAsia"/>
                <w:color w:val="000000"/>
                <w:sz w:val="22"/>
                <w:szCs w:val="22"/>
              </w:rPr>
              <w:t>/</w:t>
            </w:r>
          </w:p>
        </w:tc>
        <w:tc>
          <w:tcPr>
            <w:tcW w:w="393" w:type="pct"/>
            <w:vMerge/>
            <w:vAlign w:val="center"/>
          </w:tcPr>
          <w:p w14:paraId="5EB361B0" w14:textId="77777777" w:rsidR="00B9174A" w:rsidRDefault="00B9174A" w:rsidP="00B11C82">
            <w:pPr>
              <w:adjustRightInd w:val="0"/>
              <w:snapToGrid w:val="0"/>
              <w:jc w:val="center"/>
            </w:pPr>
          </w:p>
        </w:tc>
      </w:tr>
      <w:tr w:rsidR="00B9174A" w14:paraId="74CF3C8B" w14:textId="77777777" w:rsidTr="00600DE0">
        <w:trPr>
          <w:trHeight w:val="57"/>
          <w:jc w:val="center"/>
        </w:trPr>
        <w:tc>
          <w:tcPr>
            <w:tcW w:w="466" w:type="pct"/>
            <w:vAlign w:val="center"/>
          </w:tcPr>
          <w:p w14:paraId="1A0F9892" w14:textId="29074FB2" w:rsidR="00B9174A" w:rsidRDefault="00B9174A" w:rsidP="004A2F7D">
            <w:pPr>
              <w:adjustRightInd w:val="0"/>
              <w:snapToGrid w:val="0"/>
              <w:jc w:val="center"/>
            </w:pPr>
            <w:r>
              <w:t>氯仿</w:t>
            </w:r>
          </w:p>
        </w:tc>
        <w:tc>
          <w:tcPr>
            <w:tcW w:w="325" w:type="pct"/>
            <w:vAlign w:val="center"/>
          </w:tcPr>
          <w:p w14:paraId="7A8910D6" w14:textId="434085CB" w:rsidR="00B9174A" w:rsidRDefault="00B9174A" w:rsidP="004A2F7D">
            <w:pPr>
              <w:adjustRightInd w:val="0"/>
              <w:snapToGrid w:val="0"/>
              <w:jc w:val="center"/>
              <w:rPr>
                <w:bCs/>
              </w:rPr>
            </w:pPr>
            <w:r>
              <w:rPr>
                <w:lang w:bidi="ar"/>
              </w:rPr>
              <w:t>1.1×10</w:t>
            </w:r>
            <w:r>
              <w:rPr>
                <w:vertAlign w:val="superscript"/>
                <w:lang w:bidi="ar"/>
              </w:rPr>
              <w:t>-3</w:t>
            </w:r>
            <w:r>
              <w:rPr>
                <w:lang w:bidi="ar"/>
              </w:rPr>
              <w:t>L</w:t>
            </w:r>
          </w:p>
        </w:tc>
        <w:tc>
          <w:tcPr>
            <w:tcW w:w="387" w:type="pct"/>
            <w:vAlign w:val="center"/>
          </w:tcPr>
          <w:p w14:paraId="7757E277" w14:textId="12E0D7E9" w:rsidR="00B9174A" w:rsidRDefault="00B9174A" w:rsidP="004A2F7D">
            <w:pPr>
              <w:adjustRightInd w:val="0"/>
              <w:snapToGrid w:val="0"/>
              <w:jc w:val="center"/>
              <w:rPr>
                <w:bCs/>
              </w:rPr>
            </w:pPr>
            <w:r>
              <w:rPr>
                <w:lang w:bidi="ar"/>
              </w:rPr>
              <w:t>1.1×10</w:t>
            </w:r>
            <w:r>
              <w:rPr>
                <w:vertAlign w:val="superscript"/>
                <w:lang w:bidi="ar"/>
              </w:rPr>
              <w:t>-3</w:t>
            </w:r>
            <w:r>
              <w:rPr>
                <w:lang w:bidi="ar"/>
              </w:rPr>
              <w:t>L</w:t>
            </w:r>
          </w:p>
        </w:tc>
        <w:tc>
          <w:tcPr>
            <w:tcW w:w="325" w:type="pct"/>
            <w:vAlign w:val="center"/>
          </w:tcPr>
          <w:p w14:paraId="0197F1D6" w14:textId="49B64DAC" w:rsidR="00B9174A" w:rsidRDefault="00B9174A" w:rsidP="004A2F7D">
            <w:pPr>
              <w:adjustRightInd w:val="0"/>
              <w:snapToGrid w:val="0"/>
              <w:jc w:val="center"/>
              <w:rPr>
                <w:bCs/>
              </w:rPr>
            </w:pPr>
            <w:r>
              <w:rPr>
                <w:lang w:bidi="ar"/>
              </w:rPr>
              <w:t>1.1×10</w:t>
            </w:r>
            <w:r>
              <w:rPr>
                <w:vertAlign w:val="superscript"/>
                <w:lang w:bidi="ar"/>
              </w:rPr>
              <w:t>-3</w:t>
            </w:r>
            <w:r>
              <w:rPr>
                <w:lang w:bidi="ar"/>
              </w:rPr>
              <w:t>L</w:t>
            </w:r>
          </w:p>
        </w:tc>
        <w:tc>
          <w:tcPr>
            <w:tcW w:w="333" w:type="pct"/>
            <w:vAlign w:val="center"/>
          </w:tcPr>
          <w:p w14:paraId="3D2542EF" w14:textId="4AE7858C" w:rsidR="00B9174A" w:rsidRDefault="00B9174A" w:rsidP="004A2F7D">
            <w:pPr>
              <w:adjustRightInd w:val="0"/>
              <w:snapToGrid w:val="0"/>
              <w:jc w:val="center"/>
              <w:rPr>
                <w:bCs/>
              </w:rPr>
            </w:pPr>
            <w:r>
              <w:rPr>
                <w:lang w:bidi="ar"/>
              </w:rPr>
              <w:t>1.1×10</w:t>
            </w:r>
            <w:r>
              <w:rPr>
                <w:vertAlign w:val="superscript"/>
                <w:lang w:bidi="ar"/>
              </w:rPr>
              <w:t>-3</w:t>
            </w:r>
            <w:r>
              <w:rPr>
                <w:lang w:bidi="ar"/>
              </w:rPr>
              <w:t>L</w:t>
            </w:r>
          </w:p>
        </w:tc>
        <w:tc>
          <w:tcPr>
            <w:tcW w:w="387" w:type="pct"/>
            <w:vAlign w:val="center"/>
          </w:tcPr>
          <w:p w14:paraId="59859A66" w14:textId="75FB9D83" w:rsidR="00B9174A" w:rsidRDefault="00B9174A" w:rsidP="004A2F7D">
            <w:pPr>
              <w:adjustRightInd w:val="0"/>
              <w:snapToGrid w:val="0"/>
              <w:jc w:val="center"/>
              <w:rPr>
                <w:bCs/>
              </w:rPr>
            </w:pPr>
            <w:r>
              <w:rPr>
                <w:lang w:bidi="ar"/>
              </w:rPr>
              <w:t>1.1×10</w:t>
            </w:r>
            <w:r>
              <w:rPr>
                <w:vertAlign w:val="superscript"/>
                <w:lang w:bidi="ar"/>
              </w:rPr>
              <w:t>-3</w:t>
            </w:r>
            <w:r>
              <w:rPr>
                <w:lang w:bidi="ar"/>
              </w:rPr>
              <w:t>L</w:t>
            </w:r>
          </w:p>
        </w:tc>
        <w:tc>
          <w:tcPr>
            <w:tcW w:w="348" w:type="pct"/>
            <w:vAlign w:val="center"/>
          </w:tcPr>
          <w:p w14:paraId="75811C9C" w14:textId="55D06603" w:rsidR="00B9174A" w:rsidRDefault="00B9174A" w:rsidP="004A2F7D">
            <w:pPr>
              <w:adjustRightInd w:val="0"/>
              <w:snapToGrid w:val="0"/>
              <w:jc w:val="center"/>
              <w:rPr>
                <w:bCs/>
              </w:rPr>
            </w:pPr>
            <w:r>
              <w:rPr>
                <w:lang w:bidi="ar"/>
              </w:rPr>
              <w:t>1.1×10</w:t>
            </w:r>
            <w:r>
              <w:rPr>
                <w:vertAlign w:val="superscript"/>
                <w:lang w:bidi="ar"/>
              </w:rPr>
              <w:t>-3</w:t>
            </w:r>
            <w:r>
              <w:rPr>
                <w:lang w:bidi="ar"/>
              </w:rPr>
              <w:t>L</w:t>
            </w:r>
          </w:p>
        </w:tc>
        <w:tc>
          <w:tcPr>
            <w:tcW w:w="347" w:type="pct"/>
            <w:vAlign w:val="center"/>
          </w:tcPr>
          <w:p w14:paraId="7533798A" w14:textId="69FDA78F" w:rsidR="00B9174A" w:rsidRDefault="00B9174A" w:rsidP="004A2F7D">
            <w:pPr>
              <w:adjustRightInd w:val="0"/>
              <w:snapToGrid w:val="0"/>
              <w:jc w:val="center"/>
              <w:rPr>
                <w:bCs/>
              </w:rPr>
            </w:pPr>
            <w:r>
              <w:rPr>
                <w:lang w:bidi="ar"/>
              </w:rPr>
              <w:t>1.1×10</w:t>
            </w:r>
            <w:r>
              <w:rPr>
                <w:vertAlign w:val="superscript"/>
                <w:lang w:bidi="ar"/>
              </w:rPr>
              <w:t>-3</w:t>
            </w:r>
            <w:r>
              <w:rPr>
                <w:lang w:bidi="ar"/>
              </w:rPr>
              <w:t>L</w:t>
            </w:r>
          </w:p>
        </w:tc>
        <w:tc>
          <w:tcPr>
            <w:tcW w:w="387" w:type="pct"/>
            <w:vAlign w:val="center"/>
          </w:tcPr>
          <w:p w14:paraId="52CAA07D" w14:textId="28394065" w:rsidR="00B9174A" w:rsidRDefault="00B9174A" w:rsidP="004A2F7D">
            <w:pPr>
              <w:adjustRightInd w:val="0"/>
              <w:snapToGrid w:val="0"/>
              <w:jc w:val="center"/>
              <w:rPr>
                <w:bCs/>
              </w:rPr>
            </w:pPr>
            <w:r>
              <w:rPr>
                <w:lang w:bidi="ar"/>
              </w:rPr>
              <w:t>1.1×10</w:t>
            </w:r>
            <w:r>
              <w:rPr>
                <w:vertAlign w:val="superscript"/>
                <w:lang w:bidi="ar"/>
              </w:rPr>
              <w:t>-3</w:t>
            </w:r>
            <w:r>
              <w:rPr>
                <w:lang w:bidi="ar"/>
              </w:rPr>
              <w:t>L</w:t>
            </w:r>
          </w:p>
        </w:tc>
        <w:tc>
          <w:tcPr>
            <w:tcW w:w="349" w:type="pct"/>
            <w:vAlign w:val="center"/>
          </w:tcPr>
          <w:p w14:paraId="427BB0E7" w14:textId="30BF6EEE" w:rsidR="00B9174A" w:rsidRDefault="00B9174A" w:rsidP="004A2F7D">
            <w:pPr>
              <w:adjustRightInd w:val="0"/>
              <w:snapToGrid w:val="0"/>
              <w:jc w:val="center"/>
              <w:rPr>
                <w:bCs/>
              </w:rPr>
            </w:pPr>
            <w:r>
              <w:rPr>
                <w:lang w:bidi="ar"/>
              </w:rPr>
              <w:t>1.1×10</w:t>
            </w:r>
            <w:r>
              <w:rPr>
                <w:vertAlign w:val="superscript"/>
                <w:lang w:bidi="ar"/>
              </w:rPr>
              <w:t>-3</w:t>
            </w:r>
            <w:r>
              <w:rPr>
                <w:lang w:bidi="ar"/>
              </w:rPr>
              <w:t>L</w:t>
            </w:r>
          </w:p>
        </w:tc>
        <w:tc>
          <w:tcPr>
            <w:tcW w:w="954" w:type="pct"/>
            <w:vAlign w:val="center"/>
          </w:tcPr>
          <w:p w14:paraId="1E3E716D" w14:textId="2CB38686" w:rsidR="00B9174A" w:rsidRDefault="00B9174A" w:rsidP="004A2F7D">
            <w:pPr>
              <w:jc w:val="center"/>
              <w:rPr>
                <w:bCs/>
              </w:rPr>
            </w:pPr>
            <w:r>
              <w:rPr>
                <w:lang w:bidi="ar"/>
              </w:rPr>
              <w:t>1.1×10</w:t>
            </w:r>
            <w:r>
              <w:rPr>
                <w:vertAlign w:val="superscript"/>
                <w:lang w:bidi="ar"/>
              </w:rPr>
              <w:t>-3</w:t>
            </w:r>
            <w:r>
              <w:rPr>
                <w:lang w:bidi="ar"/>
              </w:rPr>
              <w:t>L</w:t>
            </w:r>
          </w:p>
        </w:tc>
        <w:tc>
          <w:tcPr>
            <w:tcW w:w="393" w:type="pct"/>
            <w:vMerge w:val="restart"/>
            <w:vAlign w:val="center"/>
          </w:tcPr>
          <w:p w14:paraId="5C921E77" w14:textId="70DEAF78" w:rsidR="00B9174A" w:rsidRDefault="00B9174A" w:rsidP="004A2F7D">
            <w:pPr>
              <w:adjustRightInd w:val="0"/>
              <w:snapToGrid w:val="0"/>
              <w:jc w:val="center"/>
              <w:rPr>
                <w:bCs/>
              </w:rPr>
            </w:pPr>
            <w:r>
              <w:rPr>
                <w:rFonts w:hint="eastAsia"/>
              </w:rPr>
              <w:t>0.9</w:t>
            </w:r>
          </w:p>
        </w:tc>
      </w:tr>
      <w:tr w:rsidR="00B9174A" w14:paraId="229A3F7C" w14:textId="77777777" w:rsidTr="00600DE0">
        <w:trPr>
          <w:trHeight w:val="57"/>
          <w:jc w:val="center"/>
        </w:trPr>
        <w:tc>
          <w:tcPr>
            <w:tcW w:w="466" w:type="pct"/>
            <w:vAlign w:val="center"/>
          </w:tcPr>
          <w:p w14:paraId="34B27AC4" w14:textId="1FF68DA6" w:rsidR="00B9174A" w:rsidRDefault="00600DE0" w:rsidP="00B11C82">
            <w:pPr>
              <w:adjustRightInd w:val="0"/>
              <w:snapToGrid w:val="0"/>
              <w:jc w:val="center"/>
            </w:pPr>
            <w:r>
              <w:rPr>
                <w:rFonts w:hint="eastAsia"/>
              </w:rPr>
              <w:t>标准指数</w:t>
            </w:r>
          </w:p>
        </w:tc>
        <w:tc>
          <w:tcPr>
            <w:tcW w:w="325" w:type="pct"/>
            <w:vAlign w:val="center"/>
          </w:tcPr>
          <w:p w14:paraId="3E1C758A" w14:textId="4800652C" w:rsidR="00B9174A" w:rsidRDefault="00B9174A" w:rsidP="00B11C82">
            <w:pPr>
              <w:adjustRightInd w:val="0"/>
              <w:snapToGrid w:val="0"/>
              <w:jc w:val="center"/>
              <w:rPr>
                <w:lang w:bidi="ar"/>
              </w:rPr>
            </w:pPr>
            <w:r>
              <w:rPr>
                <w:rFonts w:hint="eastAsia"/>
                <w:color w:val="000000"/>
                <w:sz w:val="22"/>
                <w:szCs w:val="22"/>
              </w:rPr>
              <w:t>/</w:t>
            </w:r>
          </w:p>
        </w:tc>
        <w:tc>
          <w:tcPr>
            <w:tcW w:w="387" w:type="pct"/>
            <w:vAlign w:val="center"/>
          </w:tcPr>
          <w:p w14:paraId="64D5FBC8" w14:textId="52361B7B" w:rsidR="00B9174A" w:rsidRDefault="00B9174A" w:rsidP="00B11C82">
            <w:pPr>
              <w:adjustRightInd w:val="0"/>
              <w:snapToGrid w:val="0"/>
              <w:jc w:val="center"/>
              <w:rPr>
                <w:lang w:bidi="ar"/>
              </w:rPr>
            </w:pPr>
            <w:r>
              <w:rPr>
                <w:rFonts w:hint="eastAsia"/>
                <w:color w:val="000000"/>
                <w:sz w:val="22"/>
                <w:szCs w:val="22"/>
              </w:rPr>
              <w:t>/</w:t>
            </w:r>
          </w:p>
        </w:tc>
        <w:tc>
          <w:tcPr>
            <w:tcW w:w="325" w:type="pct"/>
            <w:vAlign w:val="center"/>
          </w:tcPr>
          <w:p w14:paraId="002920E5" w14:textId="00C91701" w:rsidR="00B9174A" w:rsidRDefault="00B9174A" w:rsidP="00B11C82">
            <w:pPr>
              <w:adjustRightInd w:val="0"/>
              <w:snapToGrid w:val="0"/>
              <w:jc w:val="center"/>
              <w:rPr>
                <w:lang w:bidi="ar"/>
              </w:rPr>
            </w:pPr>
            <w:r>
              <w:rPr>
                <w:rFonts w:hint="eastAsia"/>
                <w:color w:val="000000"/>
                <w:sz w:val="22"/>
                <w:szCs w:val="22"/>
              </w:rPr>
              <w:t>/</w:t>
            </w:r>
          </w:p>
        </w:tc>
        <w:tc>
          <w:tcPr>
            <w:tcW w:w="333" w:type="pct"/>
            <w:vAlign w:val="center"/>
          </w:tcPr>
          <w:p w14:paraId="44DFA09F" w14:textId="3D842242" w:rsidR="00B9174A" w:rsidRDefault="00B9174A" w:rsidP="00B11C82">
            <w:pPr>
              <w:adjustRightInd w:val="0"/>
              <w:snapToGrid w:val="0"/>
              <w:jc w:val="center"/>
              <w:rPr>
                <w:lang w:bidi="ar"/>
              </w:rPr>
            </w:pPr>
            <w:r>
              <w:rPr>
                <w:rFonts w:hint="eastAsia"/>
                <w:color w:val="000000"/>
                <w:sz w:val="22"/>
                <w:szCs w:val="22"/>
              </w:rPr>
              <w:t>/</w:t>
            </w:r>
          </w:p>
        </w:tc>
        <w:tc>
          <w:tcPr>
            <w:tcW w:w="387" w:type="pct"/>
            <w:vAlign w:val="center"/>
          </w:tcPr>
          <w:p w14:paraId="5221CCC7" w14:textId="11230DDB" w:rsidR="00B9174A" w:rsidRDefault="00B9174A" w:rsidP="00B11C82">
            <w:pPr>
              <w:adjustRightInd w:val="0"/>
              <w:snapToGrid w:val="0"/>
              <w:jc w:val="center"/>
              <w:rPr>
                <w:lang w:bidi="ar"/>
              </w:rPr>
            </w:pPr>
            <w:r>
              <w:rPr>
                <w:rFonts w:hint="eastAsia"/>
                <w:color w:val="000000"/>
                <w:sz w:val="22"/>
                <w:szCs w:val="22"/>
              </w:rPr>
              <w:t>/</w:t>
            </w:r>
          </w:p>
        </w:tc>
        <w:tc>
          <w:tcPr>
            <w:tcW w:w="348" w:type="pct"/>
            <w:vAlign w:val="center"/>
          </w:tcPr>
          <w:p w14:paraId="75B9CE6C" w14:textId="08D73B44" w:rsidR="00B9174A" w:rsidRDefault="00B9174A" w:rsidP="00B11C82">
            <w:pPr>
              <w:adjustRightInd w:val="0"/>
              <w:snapToGrid w:val="0"/>
              <w:jc w:val="center"/>
              <w:rPr>
                <w:lang w:bidi="ar"/>
              </w:rPr>
            </w:pPr>
            <w:r>
              <w:rPr>
                <w:rFonts w:hint="eastAsia"/>
                <w:color w:val="000000"/>
                <w:sz w:val="22"/>
                <w:szCs w:val="22"/>
              </w:rPr>
              <w:t>/</w:t>
            </w:r>
          </w:p>
        </w:tc>
        <w:tc>
          <w:tcPr>
            <w:tcW w:w="347" w:type="pct"/>
            <w:vAlign w:val="center"/>
          </w:tcPr>
          <w:p w14:paraId="74310728" w14:textId="440955BA" w:rsidR="00B9174A" w:rsidRDefault="00B9174A" w:rsidP="00B11C82">
            <w:pPr>
              <w:adjustRightInd w:val="0"/>
              <w:snapToGrid w:val="0"/>
              <w:jc w:val="center"/>
              <w:rPr>
                <w:lang w:bidi="ar"/>
              </w:rPr>
            </w:pPr>
            <w:r>
              <w:rPr>
                <w:rFonts w:hint="eastAsia"/>
                <w:color w:val="000000"/>
                <w:sz w:val="22"/>
                <w:szCs w:val="22"/>
              </w:rPr>
              <w:t>/</w:t>
            </w:r>
          </w:p>
        </w:tc>
        <w:tc>
          <w:tcPr>
            <w:tcW w:w="387" w:type="pct"/>
            <w:vAlign w:val="center"/>
          </w:tcPr>
          <w:p w14:paraId="17EC888A" w14:textId="352A98FD" w:rsidR="00B9174A" w:rsidRDefault="00B9174A" w:rsidP="00B11C82">
            <w:pPr>
              <w:adjustRightInd w:val="0"/>
              <w:snapToGrid w:val="0"/>
              <w:jc w:val="center"/>
              <w:rPr>
                <w:lang w:bidi="ar"/>
              </w:rPr>
            </w:pPr>
            <w:r>
              <w:rPr>
                <w:rFonts w:hint="eastAsia"/>
                <w:color w:val="000000"/>
                <w:sz w:val="22"/>
                <w:szCs w:val="22"/>
              </w:rPr>
              <w:t>/</w:t>
            </w:r>
          </w:p>
        </w:tc>
        <w:tc>
          <w:tcPr>
            <w:tcW w:w="349" w:type="pct"/>
            <w:vAlign w:val="center"/>
          </w:tcPr>
          <w:p w14:paraId="683EC51C" w14:textId="3E3BE246" w:rsidR="00B9174A" w:rsidRDefault="00B9174A" w:rsidP="00B11C82">
            <w:pPr>
              <w:adjustRightInd w:val="0"/>
              <w:snapToGrid w:val="0"/>
              <w:jc w:val="center"/>
              <w:rPr>
                <w:lang w:bidi="ar"/>
              </w:rPr>
            </w:pPr>
            <w:r>
              <w:rPr>
                <w:rFonts w:hint="eastAsia"/>
                <w:color w:val="000000"/>
                <w:sz w:val="22"/>
                <w:szCs w:val="22"/>
              </w:rPr>
              <w:t>/</w:t>
            </w:r>
          </w:p>
        </w:tc>
        <w:tc>
          <w:tcPr>
            <w:tcW w:w="954" w:type="pct"/>
            <w:vAlign w:val="center"/>
          </w:tcPr>
          <w:p w14:paraId="4B1CBF1A" w14:textId="1A647265" w:rsidR="00B9174A" w:rsidRDefault="00B9174A" w:rsidP="00B11C82">
            <w:pPr>
              <w:jc w:val="center"/>
              <w:rPr>
                <w:lang w:bidi="ar"/>
              </w:rPr>
            </w:pPr>
            <w:r>
              <w:rPr>
                <w:rFonts w:hint="eastAsia"/>
                <w:color w:val="000000"/>
                <w:sz w:val="22"/>
                <w:szCs w:val="22"/>
              </w:rPr>
              <w:t>/</w:t>
            </w:r>
          </w:p>
        </w:tc>
        <w:tc>
          <w:tcPr>
            <w:tcW w:w="393" w:type="pct"/>
            <w:vMerge/>
            <w:vAlign w:val="center"/>
          </w:tcPr>
          <w:p w14:paraId="28DC32EC" w14:textId="77777777" w:rsidR="00B9174A" w:rsidRDefault="00B9174A" w:rsidP="00B11C82">
            <w:pPr>
              <w:adjustRightInd w:val="0"/>
              <w:snapToGrid w:val="0"/>
              <w:jc w:val="center"/>
            </w:pPr>
          </w:p>
        </w:tc>
      </w:tr>
      <w:tr w:rsidR="00B9174A" w14:paraId="066FB8F2" w14:textId="77777777" w:rsidTr="00600DE0">
        <w:trPr>
          <w:trHeight w:val="57"/>
          <w:jc w:val="center"/>
        </w:trPr>
        <w:tc>
          <w:tcPr>
            <w:tcW w:w="466" w:type="pct"/>
            <w:vAlign w:val="center"/>
          </w:tcPr>
          <w:p w14:paraId="4D5298C1" w14:textId="18891F0E" w:rsidR="00B9174A" w:rsidRDefault="00B9174A" w:rsidP="004A2F7D">
            <w:pPr>
              <w:adjustRightInd w:val="0"/>
              <w:snapToGrid w:val="0"/>
              <w:jc w:val="center"/>
            </w:pPr>
            <w:r>
              <w:t>氯甲烷</w:t>
            </w:r>
          </w:p>
        </w:tc>
        <w:tc>
          <w:tcPr>
            <w:tcW w:w="325" w:type="pct"/>
            <w:vAlign w:val="center"/>
          </w:tcPr>
          <w:p w14:paraId="47C0E7E1" w14:textId="3FC6028D" w:rsidR="00B9174A" w:rsidRDefault="00B9174A" w:rsidP="004A2F7D">
            <w:pPr>
              <w:adjustRightInd w:val="0"/>
              <w:snapToGrid w:val="0"/>
              <w:jc w:val="center"/>
              <w:rPr>
                <w:bCs/>
              </w:rPr>
            </w:pPr>
            <w:r>
              <w:rPr>
                <w:lang w:bidi="ar"/>
              </w:rPr>
              <w:t>1.0×10</w:t>
            </w:r>
            <w:r>
              <w:rPr>
                <w:vertAlign w:val="superscript"/>
                <w:lang w:bidi="ar"/>
              </w:rPr>
              <w:t>-</w:t>
            </w:r>
            <w:r>
              <w:rPr>
                <w:vertAlign w:val="superscript"/>
                <w:lang w:bidi="ar"/>
              </w:rPr>
              <w:lastRenderedPageBreak/>
              <w:t>3</w:t>
            </w:r>
            <w:r>
              <w:rPr>
                <w:lang w:bidi="ar"/>
              </w:rPr>
              <w:t>L</w:t>
            </w:r>
          </w:p>
        </w:tc>
        <w:tc>
          <w:tcPr>
            <w:tcW w:w="387" w:type="pct"/>
            <w:vAlign w:val="center"/>
          </w:tcPr>
          <w:p w14:paraId="4E8C6B7E" w14:textId="43E55E1A" w:rsidR="00B9174A" w:rsidRDefault="00B9174A" w:rsidP="004A2F7D">
            <w:pPr>
              <w:adjustRightInd w:val="0"/>
              <w:snapToGrid w:val="0"/>
              <w:jc w:val="center"/>
              <w:rPr>
                <w:bCs/>
              </w:rPr>
            </w:pPr>
            <w:r>
              <w:rPr>
                <w:lang w:bidi="ar"/>
              </w:rPr>
              <w:lastRenderedPageBreak/>
              <w:t>1.0×10</w:t>
            </w:r>
            <w:r>
              <w:rPr>
                <w:vertAlign w:val="superscript"/>
                <w:lang w:bidi="ar"/>
              </w:rPr>
              <w:t>-3</w:t>
            </w:r>
            <w:r>
              <w:rPr>
                <w:lang w:bidi="ar"/>
              </w:rPr>
              <w:t>L</w:t>
            </w:r>
          </w:p>
        </w:tc>
        <w:tc>
          <w:tcPr>
            <w:tcW w:w="325" w:type="pct"/>
            <w:vAlign w:val="center"/>
          </w:tcPr>
          <w:p w14:paraId="7C04A8EC" w14:textId="34712E47" w:rsidR="00B9174A" w:rsidRDefault="00B9174A" w:rsidP="004A2F7D">
            <w:pPr>
              <w:adjustRightInd w:val="0"/>
              <w:snapToGrid w:val="0"/>
              <w:jc w:val="center"/>
              <w:rPr>
                <w:bCs/>
              </w:rPr>
            </w:pPr>
            <w:r>
              <w:rPr>
                <w:lang w:bidi="ar"/>
              </w:rPr>
              <w:t>1.0×10</w:t>
            </w:r>
            <w:r>
              <w:rPr>
                <w:vertAlign w:val="superscript"/>
                <w:lang w:bidi="ar"/>
              </w:rPr>
              <w:t>-</w:t>
            </w:r>
            <w:r>
              <w:rPr>
                <w:vertAlign w:val="superscript"/>
                <w:lang w:bidi="ar"/>
              </w:rPr>
              <w:lastRenderedPageBreak/>
              <w:t>3</w:t>
            </w:r>
            <w:r>
              <w:rPr>
                <w:lang w:bidi="ar"/>
              </w:rPr>
              <w:t>L</w:t>
            </w:r>
          </w:p>
        </w:tc>
        <w:tc>
          <w:tcPr>
            <w:tcW w:w="333" w:type="pct"/>
            <w:vAlign w:val="center"/>
          </w:tcPr>
          <w:p w14:paraId="59D15201" w14:textId="40EA2F39" w:rsidR="00B9174A" w:rsidRDefault="00B9174A" w:rsidP="004A2F7D">
            <w:pPr>
              <w:adjustRightInd w:val="0"/>
              <w:snapToGrid w:val="0"/>
              <w:jc w:val="center"/>
              <w:rPr>
                <w:bCs/>
              </w:rPr>
            </w:pPr>
            <w:r>
              <w:rPr>
                <w:lang w:bidi="ar"/>
              </w:rPr>
              <w:lastRenderedPageBreak/>
              <w:t>1.0×10</w:t>
            </w:r>
            <w:r>
              <w:rPr>
                <w:vertAlign w:val="superscript"/>
                <w:lang w:bidi="ar"/>
              </w:rPr>
              <w:t>-</w:t>
            </w:r>
            <w:r>
              <w:rPr>
                <w:vertAlign w:val="superscript"/>
                <w:lang w:bidi="ar"/>
              </w:rPr>
              <w:lastRenderedPageBreak/>
              <w:t>3</w:t>
            </w:r>
            <w:r>
              <w:rPr>
                <w:lang w:bidi="ar"/>
              </w:rPr>
              <w:t>L</w:t>
            </w:r>
          </w:p>
        </w:tc>
        <w:tc>
          <w:tcPr>
            <w:tcW w:w="387" w:type="pct"/>
            <w:vAlign w:val="center"/>
          </w:tcPr>
          <w:p w14:paraId="4E43DC56" w14:textId="0E1FD2B7" w:rsidR="00B9174A" w:rsidRDefault="00B9174A" w:rsidP="004A2F7D">
            <w:pPr>
              <w:adjustRightInd w:val="0"/>
              <w:snapToGrid w:val="0"/>
              <w:jc w:val="center"/>
              <w:rPr>
                <w:bCs/>
              </w:rPr>
            </w:pPr>
            <w:r>
              <w:rPr>
                <w:lang w:bidi="ar"/>
              </w:rPr>
              <w:lastRenderedPageBreak/>
              <w:t>1.0×10</w:t>
            </w:r>
            <w:r>
              <w:rPr>
                <w:vertAlign w:val="superscript"/>
                <w:lang w:bidi="ar"/>
              </w:rPr>
              <w:t>-3</w:t>
            </w:r>
            <w:r>
              <w:rPr>
                <w:lang w:bidi="ar"/>
              </w:rPr>
              <w:t>L</w:t>
            </w:r>
          </w:p>
        </w:tc>
        <w:tc>
          <w:tcPr>
            <w:tcW w:w="348" w:type="pct"/>
            <w:vAlign w:val="center"/>
          </w:tcPr>
          <w:p w14:paraId="1C689F45" w14:textId="2EA441DA" w:rsidR="00B9174A" w:rsidRDefault="00B9174A" w:rsidP="004A2F7D">
            <w:pPr>
              <w:adjustRightInd w:val="0"/>
              <w:snapToGrid w:val="0"/>
              <w:jc w:val="center"/>
              <w:rPr>
                <w:bCs/>
              </w:rPr>
            </w:pPr>
            <w:r>
              <w:rPr>
                <w:lang w:bidi="ar"/>
              </w:rPr>
              <w:t>1.0×10</w:t>
            </w:r>
            <w:r>
              <w:rPr>
                <w:vertAlign w:val="superscript"/>
                <w:lang w:bidi="ar"/>
              </w:rPr>
              <w:t>-</w:t>
            </w:r>
            <w:r>
              <w:rPr>
                <w:vertAlign w:val="superscript"/>
                <w:lang w:bidi="ar"/>
              </w:rPr>
              <w:lastRenderedPageBreak/>
              <w:t>3</w:t>
            </w:r>
            <w:r>
              <w:rPr>
                <w:lang w:bidi="ar"/>
              </w:rPr>
              <w:t>L</w:t>
            </w:r>
          </w:p>
        </w:tc>
        <w:tc>
          <w:tcPr>
            <w:tcW w:w="347" w:type="pct"/>
            <w:vAlign w:val="center"/>
          </w:tcPr>
          <w:p w14:paraId="74B2CD3D" w14:textId="5A4CBF3B" w:rsidR="00B9174A" w:rsidRDefault="00B9174A" w:rsidP="004A2F7D">
            <w:pPr>
              <w:adjustRightInd w:val="0"/>
              <w:snapToGrid w:val="0"/>
              <w:jc w:val="center"/>
              <w:rPr>
                <w:bCs/>
              </w:rPr>
            </w:pPr>
            <w:r>
              <w:rPr>
                <w:lang w:bidi="ar"/>
              </w:rPr>
              <w:lastRenderedPageBreak/>
              <w:t>1.0×10</w:t>
            </w:r>
            <w:r>
              <w:rPr>
                <w:vertAlign w:val="superscript"/>
                <w:lang w:bidi="ar"/>
              </w:rPr>
              <w:t>-</w:t>
            </w:r>
            <w:r>
              <w:rPr>
                <w:vertAlign w:val="superscript"/>
                <w:lang w:bidi="ar"/>
              </w:rPr>
              <w:lastRenderedPageBreak/>
              <w:t>3</w:t>
            </w:r>
            <w:r>
              <w:rPr>
                <w:lang w:bidi="ar"/>
              </w:rPr>
              <w:t>L</w:t>
            </w:r>
          </w:p>
        </w:tc>
        <w:tc>
          <w:tcPr>
            <w:tcW w:w="387" w:type="pct"/>
            <w:vAlign w:val="center"/>
          </w:tcPr>
          <w:p w14:paraId="0A789FB0" w14:textId="3DF32B87" w:rsidR="00B9174A" w:rsidRDefault="00B9174A" w:rsidP="004A2F7D">
            <w:pPr>
              <w:adjustRightInd w:val="0"/>
              <w:snapToGrid w:val="0"/>
              <w:jc w:val="center"/>
              <w:rPr>
                <w:bCs/>
              </w:rPr>
            </w:pPr>
            <w:r>
              <w:rPr>
                <w:lang w:bidi="ar"/>
              </w:rPr>
              <w:lastRenderedPageBreak/>
              <w:t>1.0×10</w:t>
            </w:r>
            <w:r>
              <w:rPr>
                <w:vertAlign w:val="superscript"/>
                <w:lang w:bidi="ar"/>
              </w:rPr>
              <w:t>-3</w:t>
            </w:r>
            <w:r>
              <w:rPr>
                <w:lang w:bidi="ar"/>
              </w:rPr>
              <w:t>L</w:t>
            </w:r>
          </w:p>
        </w:tc>
        <w:tc>
          <w:tcPr>
            <w:tcW w:w="349" w:type="pct"/>
            <w:vAlign w:val="center"/>
          </w:tcPr>
          <w:p w14:paraId="5092E699" w14:textId="1F832F04" w:rsidR="00B9174A" w:rsidRDefault="00B9174A" w:rsidP="004A2F7D">
            <w:pPr>
              <w:adjustRightInd w:val="0"/>
              <w:snapToGrid w:val="0"/>
              <w:jc w:val="center"/>
              <w:rPr>
                <w:bCs/>
              </w:rPr>
            </w:pPr>
            <w:r>
              <w:rPr>
                <w:lang w:bidi="ar"/>
              </w:rPr>
              <w:t>1.0×10</w:t>
            </w:r>
            <w:r>
              <w:rPr>
                <w:vertAlign w:val="superscript"/>
                <w:lang w:bidi="ar"/>
              </w:rPr>
              <w:t>-</w:t>
            </w:r>
            <w:r>
              <w:rPr>
                <w:vertAlign w:val="superscript"/>
                <w:lang w:bidi="ar"/>
              </w:rPr>
              <w:lastRenderedPageBreak/>
              <w:t>3</w:t>
            </w:r>
            <w:r>
              <w:rPr>
                <w:lang w:bidi="ar"/>
              </w:rPr>
              <w:t>L</w:t>
            </w:r>
          </w:p>
        </w:tc>
        <w:tc>
          <w:tcPr>
            <w:tcW w:w="954" w:type="pct"/>
            <w:vAlign w:val="center"/>
          </w:tcPr>
          <w:p w14:paraId="2EA5563F" w14:textId="7322D075" w:rsidR="00B9174A" w:rsidRDefault="00B9174A" w:rsidP="004A2F7D">
            <w:pPr>
              <w:jc w:val="center"/>
              <w:rPr>
                <w:bCs/>
              </w:rPr>
            </w:pPr>
            <w:r>
              <w:rPr>
                <w:lang w:bidi="ar"/>
              </w:rPr>
              <w:lastRenderedPageBreak/>
              <w:t>1.0×10</w:t>
            </w:r>
            <w:r>
              <w:rPr>
                <w:vertAlign w:val="superscript"/>
                <w:lang w:bidi="ar"/>
              </w:rPr>
              <w:t>-3</w:t>
            </w:r>
            <w:r>
              <w:rPr>
                <w:lang w:bidi="ar"/>
              </w:rPr>
              <w:t>L</w:t>
            </w:r>
          </w:p>
        </w:tc>
        <w:tc>
          <w:tcPr>
            <w:tcW w:w="393" w:type="pct"/>
            <w:vMerge w:val="restart"/>
            <w:vAlign w:val="center"/>
          </w:tcPr>
          <w:p w14:paraId="17EA807D" w14:textId="2503E1EE" w:rsidR="00B9174A" w:rsidRDefault="00B9174A" w:rsidP="004A2F7D">
            <w:pPr>
              <w:adjustRightInd w:val="0"/>
              <w:snapToGrid w:val="0"/>
              <w:jc w:val="center"/>
              <w:rPr>
                <w:bCs/>
              </w:rPr>
            </w:pPr>
            <w:r>
              <w:rPr>
                <w:rFonts w:hint="eastAsia"/>
              </w:rPr>
              <w:t>37</w:t>
            </w:r>
          </w:p>
        </w:tc>
      </w:tr>
      <w:tr w:rsidR="00B9174A" w14:paraId="65573FE5" w14:textId="77777777" w:rsidTr="00600DE0">
        <w:trPr>
          <w:trHeight w:val="57"/>
          <w:jc w:val="center"/>
        </w:trPr>
        <w:tc>
          <w:tcPr>
            <w:tcW w:w="466" w:type="pct"/>
            <w:vAlign w:val="center"/>
          </w:tcPr>
          <w:p w14:paraId="2A616401" w14:textId="50A4DEC3" w:rsidR="00B9174A" w:rsidRDefault="00600DE0" w:rsidP="00B11C82">
            <w:pPr>
              <w:adjustRightInd w:val="0"/>
              <w:snapToGrid w:val="0"/>
              <w:jc w:val="center"/>
            </w:pPr>
            <w:r>
              <w:rPr>
                <w:rFonts w:hint="eastAsia"/>
              </w:rPr>
              <w:t>标准指数</w:t>
            </w:r>
          </w:p>
        </w:tc>
        <w:tc>
          <w:tcPr>
            <w:tcW w:w="325" w:type="pct"/>
            <w:vAlign w:val="center"/>
          </w:tcPr>
          <w:p w14:paraId="75464D9B" w14:textId="7D02967F" w:rsidR="00B9174A" w:rsidRDefault="00B9174A" w:rsidP="00B11C82">
            <w:pPr>
              <w:adjustRightInd w:val="0"/>
              <w:snapToGrid w:val="0"/>
              <w:jc w:val="center"/>
              <w:rPr>
                <w:lang w:bidi="ar"/>
              </w:rPr>
            </w:pPr>
            <w:r>
              <w:rPr>
                <w:rFonts w:hint="eastAsia"/>
                <w:color w:val="000000"/>
                <w:sz w:val="22"/>
                <w:szCs w:val="22"/>
              </w:rPr>
              <w:t>/</w:t>
            </w:r>
          </w:p>
        </w:tc>
        <w:tc>
          <w:tcPr>
            <w:tcW w:w="387" w:type="pct"/>
            <w:vAlign w:val="center"/>
          </w:tcPr>
          <w:p w14:paraId="251C2BF2" w14:textId="6754764D" w:rsidR="00B9174A" w:rsidRDefault="00B9174A" w:rsidP="00B11C82">
            <w:pPr>
              <w:adjustRightInd w:val="0"/>
              <w:snapToGrid w:val="0"/>
              <w:jc w:val="center"/>
              <w:rPr>
                <w:lang w:bidi="ar"/>
              </w:rPr>
            </w:pPr>
            <w:r>
              <w:rPr>
                <w:rFonts w:hint="eastAsia"/>
                <w:color w:val="000000"/>
                <w:sz w:val="22"/>
                <w:szCs w:val="22"/>
              </w:rPr>
              <w:t>/</w:t>
            </w:r>
          </w:p>
        </w:tc>
        <w:tc>
          <w:tcPr>
            <w:tcW w:w="325" w:type="pct"/>
            <w:vAlign w:val="center"/>
          </w:tcPr>
          <w:p w14:paraId="44CEA779" w14:textId="2E4B6508" w:rsidR="00B9174A" w:rsidRDefault="00B9174A" w:rsidP="00B11C82">
            <w:pPr>
              <w:adjustRightInd w:val="0"/>
              <w:snapToGrid w:val="0"/>
              <w:jc w:val="center"/>
              <w:rPr>
                <w:lang w:bidi="ar"/>
              </w:rPr>
            </w:pPr>
            <w:r>
              <w:rPr>
                <w:rFonts w:hint="eastAsia"/>
                <w:color w:val="000000"/>
                <w:sz w:val="22"/>
                <w:szCs w:val="22"/>
              </w:rPr>
              <w:t>/</w:t>
            </w:r>
          </w:p>
        </w:tc>
        <w:tc>
          <w:tcPr>
            <w:tcW w:w="333" w:type="pct"/>
            <w:vAlign w:val="center"/>
          </w:tcPr>
          <w:p w14:paraId="46FBAE83" w14:textId="1D6F9D74" w:rsidR="00B9174A" w:rsidRDefault="00B9174A" w:rsidP="00B11C82">
            <w:pPr>
              <w:adjustRightInd w:val="0"/>
              <w:snapToGrid w:val="0"/>
              <w:jc w:val="center"/>
              <w:rPr>
                <w:lang w:bidi="ar"/>
              </w:rPr>
            </w:pPr>
            <w:r>
              <w:rPr>
                <w:rFonts w:hint="eastAsia"/>
                <w:color w:val="000000"/>
                <w:sz w:val="22"/>
                <w:szCs w:val="22"/>
              </w:rPr>
              <w:t>/</w:t>
            </w:r>
          </w:p>
        </w:tc>
        <w:tc>
          <w:tcPr>
            <w:tcW w:w="387" w:type="pct"/>
            <w:vAlign w:val="center"/>
          </w:tcPr>
          <w:p w14:paraId="4062C476" w14:textId="5DF831CC" w:rsidR="00B9174A" w:rsidRDefault="00B9174A" w:rsidP="00B11C82">
            <w:pPr>
              <w:adjustRightInd w:val="0"/>
              <w:snapToGrid w:val="0"/>
              <w:jc w:val="center"/>
              <w:rPr>
                <w:lang w:bidi="ar"/>
              </w:rPr>
            </w:pPr>
            <w:r>
              <w:rPr>
                <w:rFonts w:hint="eastAsia"/>
                <w:color w:val="000000"/>
                <w:sz w:val="22"/>
                <w:szCs w:val="22"/>
              </w:rPr>
              <w:t>/</w:t>
            </w:r>
          </w:p>
        </w:tc>
        <w:tc>
          <w:tcPr>
            <w:tcW w:w="348" w:type="pct"/>
            <w:vAlign w:val="center"/>
          </w:tcPr>
          <w:p w14:paraId="2817B9C9" w14:textId="159B43F7" w:rsidR="00B9174A" w:rsidRDefault="00B9174A" w:rsidP="00B11C82">
            <w:pPr>
              <w:adjustRightInd w:val="0"/>
              <w:snapToGrid w:val="0"/>
              <w:jc w:val="center"/>
              <w:rPr>
                <w:lang w:bidi="ar"/>
              </w:rPr>
            </w:pPr>
            <w:r>
              <w:rPr>
                <w:rFonts w:hint="eastAsia"/>
                <w:color w:val="000000"/>
                <w:sz w:val="22"/>
                <w:szCs w:val="22"/>
              </w:rPr>
              <w:t>/</w:t>
            </w:r>
          </w:p>
        </w:tc>
        <w:tc>
          <w:tcPr>
            <w:tcW w:w="347" w:type="pct"/>
            <w:vAlign w:val="center"/>
          </w:tcPr>
          <w:p w14:paraId="313F2278" w14:textId="008B20F1" w:rsidR="00B9174A" w:rsidRDefault="00B9174A" w:rsidP="00B11C82">
            <w:pPr>
              <w:adjustRightInd w:val="0"/>
              <w:snapToGrid w:val="0"/>
              <w:jc w:val="center"/>
              <w:rPr>
                <w:lang w:bidi="ar"/>
              </w:rPr>
            </w:pPr>
            <w:r>
              <w:rPr>
                <w:rFonts w:hint="eastAsia"/>
                <w:color w:val="000000"/>
                <w:sz w:val="22"/>
                <w:szCs w:val="22"/>
              </w:rPr>
              <w:t>/</w:t>
            </w:r>
          </w:p>
        </w:tc>
        <w:tc>
          <w:tcPr>
            <w:tcW w:w="387" w:type="pct"/>
            <w:vAlign w:val="center"/>
          </w:tcPr>
          <w:p w14:paraId="5E1A3640" w14:textId="747B7897" w:rsidR="00B9174A" w:rsidRDefault="00B9174A" w:rsidP="00B11C82">
            <w:pPr>
              <w:adjustRightInd w:val="0"/>
              <w:snapToGrid w:val="0"/>
              <w:jc w:val="center"/>
              <w:rPr>
                <w:lang w:bidi="ar"/>
              </w:rPr>
            </w:pPr>
            <w:r>
              <w:rPr>
                <w:rFonts w:hint="eastAsia"/>
                <w:color w:val="000000"/>
                <w:sz w:val="22"/>
                <w:szCs w:val="22"/>
              </w:rPr>
              <w:t>/</w:t>
            </w:r>
          </w:p>
        </w:tc>
        <w:tc>
          <w:tcPr>
            <w:tcW w:w="349" w:type="pct"/>
            <w:vAlign w:val="center"/>
          </w:tcPr>
          <w:p w14:paraId="2EA01B3B" w14:textId="3FCE3E28" w:rsidR="00B9174A" w:rsidRDefault="00B9174A" w:rsidP="00B11C82">
            <w:pPr>
              <w:adjustRightInd w:val="0"/>
              <w:snapToGrid w:val="0"/>
              <w:jc w:val="center"/>
              <w:rPr>
                <w:lang w:bidi="ar"/>
              </w:rPr>
            </w:pPr>
            <w:r>
              <w:rPr>
                <w:rFonts w:hint="eastAsia"/>
                <w:color w:val="000000"/>
                <w:sz w:val="22"/>
                <w:szCs w:val="22"/>
              </w:rPr>
              <w:t>/</w:t>
            </w:r>
          </w:p>
        </w:tc>
        <w:tc>
          <w:tcPr>
            <w:tcW w:w="954" w:type="pct"/>
            <w:vAlign w:val="center"/>
          </w:tcPr>
          <w:p w14:paraId="4F416213" w14:textId="663348F0" w:rsidR="00B9174A" w:rsidRDefault="00B9174A" w:rsidP="00B11C82">
            <w:pPr>
              <w:jc w:val="center"/>
              <w:rPr>
                <w:lang w:bidi="ar"/>
              </w:rPr>
            </w:pPr>
            <w:r>
              <w:rPr>
                <w:rFonts w:hint="eastAsia"/>
                <w:color w:val="000000"/>
                <w:sz w:val="22"/>
                <w:szCs w:val="22"/>
              </w:rPr>
              <w:t>/</w:t>
            </w:r>
          </w:p>
        </w:tc>
        <w:tc>
          <w:tcPr>
            <w:tcW w:w="393" w:type="pct"/>
            <w:vMerge/>
            <w:vAlign w:val="center"/>
          </w:tcPr>
          <w:p w14:paraId="1A5C6339" w14:textId="77777777" w:rsidR="00B9174A" w:rsidRDefault="00B9174A" w:rsidP="00B11C82">
            <w:pPr>
              <w:adjustRightInd w:val="0"/>
              <w:snapToGrid w:val="0"/>
              <w:jc w:val="center"/>
            </w:pPr>
          </w:p>
        </w:tc>
      </w:tr>
      <w:tr w:rsidR="00B9174A" w14:paraId="13838238" w14:textId="77777777" w:rsidTr="00600DE0">
        <w:trPr>
          <w:trHeight w:val="57"/>
          <w:jc w:val="center"/>
        </w:trPr>
        <w:tc>
          <w:tcPr>
            <w:tcW w:w="466" w:type="pct"/>
            <w:vAlign w:val="center"/>
          </w:tcPr>
          <w:p w14:paraId="0716C0EF" w14:textId="5F792930" w:rsidR="00B9174A" w:rsidRDefault="00B9174A" w:rsidP="004A2F7D">
            <w:pPr>
              <w:adjustRightInd w:val="0"/>
              <w:snapToGrid w:val="0"/>
              <w:jc w:val="center"/>
            </w:pPr>
            <w:r>
              <w:t>1,1-</w:t>
            </w:r>
            <w:r>
              <w:t>二氯乙烷</w:t>
            </w:r>
          </w:p>
        </w:tc>
        <w:tc>
          <w:tcPr>
            <w:tcW w:w="325" w:type="pct"/>
            <w:vAlign w:val="center"/>
          </w:tcPr>
          <w:p w14:paraId="4A60617E" w14:textId="57EE83D9" w:rsidR="00B9174A" w:rsidRDefault="00B9174A" w:rsidP="004A2F7D">
            <w:pPr>
              <w:adjustRightInd w:val="0"/>
              <w:snapToGrid w:val="0"/>
              <w:jc w:val="center"/>
              <w:rPr>
                <w:bCs/>
              </w:rPr>
            </w:pPr>
            <w:r>
              <w:rPr>
                <w:lang w:bidi="ar"/>
              </w:rPr>
              <w:t>1.2×10</w:t>
            </w:r>
            <w:r>
              <w:rPr>
                <w:vertAlign w:val="superscript"/>
                <w:lang w:bidi="ar"/>
              </w:rPr>
              <w:t>-3</w:t>
            </w:r>
            <w:r>
              <w:rPr>
                <w:lang w:bidi="ar"/>
              </w:rPr>
              <w:t>L</w:t>
            </w:r>
          </w:p>
        </w:tc>
        <w:tc>
          <w:tcPr>
            <w:tcW w:w="387" w:type="pct"/>
            <w:vAlign w:val="center"/>
          </w:tcPr>
          <w:p w14:paraId="6E88F16B" w14:textId="149A38C5" w:rsidR="00B9174A" w:rsidRDefault="00B9174A" w:rsidP="004A2F7D">
            <w:pPr>
              <w:adjustRightInd w:val="0"/>
              <w:snapToGrid w:val="0"/>
              <w:jc w:val="center"/>
              <w:rPr>
                <w:bCs/>
              </w:rPr>
            </w:pPr>
            <w:r>
              <w:rPr>
                <w:lang w:bidi="ar"/>
              </w:rPr>
              <w:t>1.2×10</w:t>
            </w:r>
            <w:r>
              <w:rPr>
                <w:vertAlign w:val="superscript"/>
                <w:lang w:bidi="ar"/>
              </w:rPr>
              <w:t>-3</w:t>
            </w:r>
            <w:r>
              <w:rPr>
                <w:lang w:bidi="ar"/>
              </w:rPr>
              <w:t>L</w:t>
            </w:r>
          </w:p>
        </w:tc>
        <w:tc>
          <w:tcPr>
            <w:tcW w:w="325" w:type="pct"/>
            <w:vAlign w:val="center"/>
          </w:tcPr>
          <w:p w14:paraId="16A27D20" w14:textId="12203871" w:rsidR="00B9174A" w:rsidRDefault="00B9174A" w:rsidP="004A2F7D">
            <w:pPr>
              <w:adjustRightInd w:val="0"/>
              <w:snapToGrid w:val="0"/>
              <w:jc w:val="center"/>
              <w:rPr>
                <w:bCs/>
              </w:rPr>
            </w:pPr>
            <w:r>
              <w:rPr>
                <w:lang w:bidi="ar"/>
              </w:rPr>
              <w:t>1.2×10</w:t>
            </w:r>
            <w:r>
              <w:rPr>
                <w:vertAlign w:val="superscript"/>
                <w:lang w:bidi="ar"/>
              </w:rPr>
              <w:t>-3</w:t>
            </w:r>
            <w:r>
              <w:rPr>
                <w:lang w:bidi="ar"/>
              </w:rPr>
              <w:t>L</w:t>
            </w:r>
          </w:p>
        </w:tc>
        <w:tc>
          <w:tcPr>
            <w:tcW w:w="333" w:type="pct"/>
            <w:vAlign w:val="center"/>
          </w:tcPr>
          <w:p w14:paraId="72A6F3C9" w14:textId="1CD9957F" w:rsidR="00B9174A" w:rsidRDefault="00B9174A" w:rsidP="004A2F7D">
            <w:pPr>
              <w:adjustRightInd w:val="0"/>
              <w:snapToGrid w:val="0"/>
              <w:jc w:val="center"/>
              <w:rPr>
                <w:bCs/>
              </w:rPr>
            </w:pPr>
            <w:r>
              <w:rPr>
                <w:lang w:bidi="ar"/>
              </w:rPr>
              <w:t>1.2×10</w:t>
            </w:r>
            <w:r>
              <w:rPr>
                <w:vertAlign w:val="superscript"/>
                <w:lang w:bidi="ar"/>
              </w:rPr>
              <w:t>-3</w:t>
            </w:r>
            <w:r>
              <w:rPr>
                <w:lang w:bidi="ar"/>
              </w:rPr>
              <w:t>L</w:t>
            </w:r>
          </w:p>
        </w:tc>
        <w:tc>
          <w:tcPr>
            <w:tcW w:w="387" w:type="pct"/>
            <w:vAlign w:val="center"/>
          </w:tcPr>
          <w:p w14:paraId="09E36AF2" w14:textId="24889391" w:rsidR="00B9174A" w:rsidRDefault="00B9174A" w:rsidP="004A2F7D">
            <w:pPr>
              <w:adjustRightInd w:val="0"/>
              <w:snapToGrid w:val="0"/>
              <w:jc w:val="center"/>
              <w:rPr>
                <w:bCs/>
              </w:rPr>
            </w:pPr>
            <w:r>
              <w:rPr>
                <w:lang w:bidi="ar"/>
              </w:rPr>
              <w:t>1.2×10</w:t>
            </w:r>
            <w:r>
              <w:rPr>
                <w:vertAlign w:val="superscript"/>
                <w:lang w:bidi="ar"/>
              </w:rPr>
              <w:t>-3</w:t>
            </w:r>
            <w:r>
              <w:rPr>
                <w:lang w:bidi="ar"/>
              </w:rPr>
              <w:t>L</w:t>
            </w:r>
          </w:p>
        </w:tc>
        <w:tc>
          <w:tcPr>
            <w:tcW w:w="348" w:type="pct"/>
            <w:vAlign w:val="center"/>
          </w:tcPr>
          <w:p w14:paraId="748A8261" w14:textId="44A23FB8" w:rsidR="00B9174A" w:rsidRDefault="00B9174A" w:rsidP="004A2F7D">
            <w:pPr>
              <w:adjustRightInd w:val="0"/>
              <w:snapToGrid w:val="0"/>
              <w:jc w:val="center"/>
              <w:rPr>
                <w:bCs/>
              </w:rPr>
            </w:pPr>
            <w:r>
              <w:rPr>
                <w:lang w:bidi="ar"/>
              </w:rPr>
              <w:t>1.2×10</w:t>
            </w:r>
            <w:r>
              <w:rPr>
                <w:vertAlign w:val="superscript"/>
                <w:lang w:bidi="ar"/>
              </w:rPr>
              <w:t>-3</w:t>
            </w:r>
            <w:r>
              <w:rPr>
                <w:lang w:bidi="ar"/>
              </w:rPr>
              <w:t>L</w:t>
            </w:r>
          </w:p>
        </w:tc>
        <w:tc>
          <w:tcPr>
            <w:tcW w:w="347" w:type="pct"/>
            <w:vAlign w:val="center"/>
          </w:tcPr>
          <w:p w14:paraId="00B8B37C" w14:textId="141F1B2F" w:rsidR="00B9174A" w:rsidRDefault="00B9174A" w:rsidP="004A2F7D">
            <w:pPr>
              <w:adjustRightInd w:val="0"/>
              <w:snapToGrid w:val="0"/>
              <w:jc w:val="center"/>
              <w:rPr>
                <w:bCs/>
              </w:rPr>
            </w:pPr>
            <w:r>
              <w:rPr>
                <w:lang w:bidi="ar"/>
              </w:rPr>
              <w:t>1.2×10</w:t>
            </w:r>
            <w:r>
              <w:rPr>
                <w:vertAlign w:val="superscript"/>
                <w:lang w:bidi="ar"/>
              </w:rPr>
              <w:t>-3</w:t>
            </w:r>
            <w:r>
              <w:rPr>
                <w:lang w:bidi="ar"/>
              </w:rPr>
              <w:t>L</w:t>
            </w:r>
          </w:p>
        </w:tc>
        <w:tc>
          <w:tcPr>
            <w:tcW w:w="387" w:type="pct"/>
            <w:vAlign w:val="center"/>
          </w:tcPr>
          <w:p w14:paraId="48CA536B" w14:textId="4895239E" w:rsidR="00B9174A" w:rsidRDefault="00B9174A" w:rsidP="004A2F7D">
            <w:pPr>
              <w:adjustRightInd w:val="0"/>
              <w:snapToGrid w:val="0"/>
              <w:jc w:val="center"/>
              <w:rPr>
                <w:bCs/>
              </w:rPr>
            </w:pPr>
            <w:r>
              <w:rPr>
                <w:lang w:bidi="ar"/>
              </w:rPr>
              <w:t>1.2×10</w:t>
            </w:r>
            <w:r>
              <w:rPr>
                <w:vertAlign w:val="superscript"/>
                <w:lang w:bidi="ar"/>
              </w:rPr>
              <w:t>-3</w:t>
            </w:r>
            <w:r>
              <w:rPr>
                <w:lang w:bidi="ar"/>
              </w:rPr>
              <w:t>L</w:t>
            </w:r>
          </w:p>
        </w:tc>
        <w:tc>
          <w:tcPr>
            <w:tcW w:w="349" w:type="pct"/>
            <w:vAlign w:val="center"/>
          </w:tcPr>
          <w:p w14:paraId="14EF12A1" w14:textId="18FB3455" w:rsidR="00B9174A" w:rsidRDefault="00B9174A" w:rsidP="004A2F7D">
            <w:pPr>
              <w:adjustRightInd w:val="0"/>
              <w:snapToGrid w:val="0"/>
              <w:jc w:val="center"/>
              <w:rPr>
                <w:bCs/>
              </w:rPr>
            </w:pPr>
            <w:r>
              <w:rPr>
                <w:lang w:bidi="ar"/>
              </w:rPr>
              <w:t>1.2×10</w:t>
            </w:r>
            <w:r>
              <w:rPr>
                <w:vertAlign w:val="superscript"/>
                <w:lang w:bidi="ar"/>
              </w:rPr>
              <w:t>-3</w:t>
            </w:r>
            <w:r>
              <w:rPr>
                <w:lang w:bidi="ar"/>
              </w:rPr>
              <w:t>L</w:t>
            </w:r>
          </w:p>
        </w:tc>
        <w:tc>
          <w:tcPr>
            <w:tcW w:w="954" w:type="pct"/>
            <w:vAlign w:val="center"/>
          </w:tcPr>
          <w:p w14:paraId="32AA78DD" w14:textId="4332D918" w:rsidR="00B9174A" w:rsidRDefault="00B9174A" w:rsidP="004A2F7D">
            <w:pPr>
              <w:jc w:val="center"/>
              <w:rPr>
                <w:bCs/>
              </w:rPr>
            </w:pPr>
            <w:r>
              <w:rPr>
                <w:lang w:bidi="ar"/>
              </w:rPr>
              <w:t>1.2×10</w:t>
            </w:r>
            <w:r>
              <w:rPr>
                <w:vertAlign w:val="superscript"/>
                <w:lang w:bidi="ar"/>
              </w:rPr>
              <w:t>-3</w:t>
            </w:r>
            <w:r>
              <w:rPr>
                <w:lang w:bidi="ar"/>
              </w:rPr>
              <w:t>L</w:t>
            </w:r>
          </w:p>
        </w:tc>
        <w:tc>
          <w:tcPr>
            <w:tcW w:w="393" w:type="pct"/>
            <w:vMerge w:val="restart"/>
            <w:vAlign w:val="center"/>
          </w:tcPr>
          <w:p w14:paraId="50EB8FF9" w14:textId="7A11A8CF" w:rsidR="00B9174A" w:rsidRDefault="00B9174A" w:rsidP="004A2F7D">
            <w:pPr>
              <w:adjustRightInd w:val="0"/>
              <w:snapToGrid w:val="0"/>
              <w:jc w:val="center"/>
              <w:rPr>
                <w:bCs/>
              </w:rPr>
            </w:pPr>
            <w:r>
              <w:rPr>
                <w:rFonts w:hint="eastAsia"/>
              </w:rPr>
              <w:t>9</w:t>
            </w:r>
          </w:p>
        </w:tc>
      </w:tr>
      <w:tr w:rsidR="00B9174A" w14:paraId="74DBDF58" w14:textId="77777777" w:rsidTr="00600DE0">
        <w:trPr>
          <w:trHeight w:val="57"/>
          <w:jc w:val="center"/>
        </w:trPr>
        <w:tc>
          <w:tcPr>
            <w:tcW w:w="466" w:type="pct"/>
            <w:vAlign w:val="center"/>
          </w:tcPr>
          <w:p w14:paraId="3F0D6EFE" w14:textId="6002C74A" w:rsidR="00B9174A" w:rsidRDefault="00600DE0" w:rsidP="00B11C82">
            <w:pPr>
              <w:adjustRightInd w:val="0"/>
              <w:snapToGrid w:val="0"/>
              <w:jc w:val="center"/>
            </w:pPr>
            <w:r>
              <w:rPr>
                <w:rFonts w:hint="eastAsia"/>
              </w:rPr>
              <w:t>标准指数</w:t>
            </w:r>
          </w:p>
        </w:tc>
        <w:tc>
          <w:tcPr>
            <w:tcW w:w="325" w:type="pct"/>
            <w:vAlign w:val="center"/>
          </w:tcPr>
          <w:p w14:paraId="0167ECB4" w14:textId="02026119" w:rsidR="00B9174A" w:rsidRDefault="00B9174A" w:rsidP="00B11C82">
            <w:pPr>
              <w:adjustRightInd w:val="0"/>
              <w:snapToGrid w:val="0"/>
              <w:jc w:val="center"/>
              <w:rPr>
                <w:lang w:bidi="ar"/>
              </w:rPr>
            </w:pPr>
            <w:r>
              <w:rPr>
                <w:rFonts w:hint="eastAsia"/>
                <w:color w:val="000000"/>
                <w:sz w:val="22"/>
                <w:szCs w:val="22"/>
              </w:rPr>
              <w:t>/</w:t>
            </w:r>
          </w:p>
        </w:tc>
        <w:tc>
          <w:tcPr>
            <w:tcW w:w="387" w:type="pct"/>
            <w:vAlign w:val="center"/>
          </w:tcPr>
          <w:p w14:paraId="0AF0747C" w14:textId="3053BD0C" w:rsidR="00B9174A" w:rsidRDefault="00B9174A" w:rsidP="00B11C82">
            <w:pPr>
              <w:adjustRightInd w:val="0"/>
              <w:snapToGrid w:val="0"/>
              <w:jc w:val="center"/>
              <w:rPr>
                <w:lang w:bidi="ar"/>
              </w:rPr>
            </w:pPr>
            <w:r>
              <w:rPr>
                <w:rFonts w:hint="eastAsia"/>
                <w:color w:val="000000"/>
                <w:sz w:val="22"/>
                <w:szCs w:val="22"/>
              </w:rPr>
              <w:t>/</w:t>
            </w:r>
          </w:p>
        </w:tc>
        <w:tc>
          <w:tcPr>
            <w:tcW w:w="325" w:type="pct"/>
            <w:vAlign w:val="center"/>
          </w:tcPr>
          <w:p w14:paraId="45B16A47" w14:textId="17883B59" w:rsidR="00B9174A" w:rsidRDefault="00B9174A" w:rsidP="00B11C82">
            <w:pPr>
              <w:adjustRightInd w:val="0"/>
              <w:snapToGrid w:val="0"/>
              <w:jc w:val="center"/>
              <w:rPr>
                <w:lang w:bidi="ar"/>
              </w:rPr>
            </w:pPr>
            <w:r>
              <w:rPr>
                <w:rFonts w:hint="eastAsia"/>
                <w:color w:val="000000"/>
                <w:sz w:val="22"/>
                <w:szCs w:val="22"/>
              </w:rPr>
              <w:t>/</w:t>
            </w:r>
          </w:p>
        </w:tc>
        <w:tc>
          <w:tcPr>
            <w:tcW w:w="333" w:type="pct"/>
            <w:vAlign w:val="center"/>
          </w:tcPr>
          <w:p w14:paraId="4246F1BC" w14:textId="60598279" w:rsidR="00B9174A" w:rsidRDefault="00B9174A" w:rsidP="00B11C82">
            <w:pPr>
              <w:adjustRightInd w:val="0"/>
              <w:snapToGrid w:val="0"/>
              <w:jc w:val="center"/>
              <w:rPr>
                <w:lang w:bidi="ar"/>
              </w:rPr>
            </w:pPr>
            <w:r>
              <w:rPr>
                <w:rFonts w:hint="eastAsia"/>
                <w:color w:val="000000"/>
                <w:sz w:val="22"/>
                <w:szCs w:val="22"/>
              </w:rPr>
              <w:t>/</w:t>
            </w:r>
          </w:p>
        </w:tc>
        <w:tc>
          <w:tcPr>
            <w:tcW w:w="387" w:type="pct"/>
            <w:vAlign w:val="center"/>
          </w:tcPr>
          <w:p w14:paraId="36B4837A" w14:textId="64EF3E30" w:rsidR="00B9174A" w:rsidRDefault="00B9174A" w:rsidP="00B11C82">
            <w:pPr>
              <w:adjustRightInd w:val="0"/>
              <w:snapToGrid w:val="0"/>
              <w:jc w:val="center"/>
              <w:rPr>
                <w:lang w:bidi="ar"/>
              </w:rPr>
            </w:pPr>
            <w:r>
              <w:rPr>
                <w:rFonts w:hint="eastAsia"/>
                <w:color w:val="000000"/>
                <w:sz w:val="22"/>
                <w:szCs w:val="22"/>
              </w:rPr>
              <w:t>/</w:t>
            </w:r>
          </w:p>
        </w:tc>
        <w:tc>
          <w:tcPr>
            <w:tcW w:w="348" w:type="pct"/>
            <w:vAlign w:val="center"/>
          </w:tcPr>
          <w:p w14:paraId="4624B26A" w14:textId="4931964C" w:rsidR="00B9174A" w:rsidRDefault="00B9174A" w:rsidP="00B11C82">
            <w:pPr>
              <w:adjustRightInd w:val="0"/>
              <w:snapToGrid w:val="0"/>
              <w:jc w:val="center"/>
              <w:rPr>
                <w:lang w:bidi="ar"/>
              </w:rPr>
            </w:pPr>
            <w:r>
              <w:rPr>
                <w:rFonts w:hint="eastAsia"/>
                <w:color w:val="000000"/>
                <w:sz w:val="22"/>
                <w:szCs w:val="22"/>
              </w:rPr>
              <w:t>/</w:t>
            </w:r>
          </w:p>
        </w:tc>
        <w:tc>
          <w:tcPr>
            <w:tcW w:w="347" w:type="pct"/>
            <w:vAlign w:val="center"/>
          </w:tcPr>
          <w:p w14:paraId="08DD7736" w14:textId="0E5FB9CE" w:rsidR="00B9174A" w:rsidRDefault="00B9174A" w:rsidP="00B11C82">
            <w:pPr>
              <w:adjustRightInd w:val="0"/>
              <w:snapToGrid w:val="0"/>
              <w:jc w:val="center"/>
              <w:rPr>
                <w:lang w:bidi="ar"/>
              </w:rPr>
            </w:pPr>
            <w:r>
              <w:rPr>
                <w:rFonts w:hint="eastAsia"/>
                <w:color w:val="000000"/>
                <w:sz w:val="22"/>
                <w:szCs w:val="22"/>
              </w:rPr>
              <w:t>/</w:t>
            </w:r>
          </w:p>
        </w:tc>
        <w:tc>
          <w:tcPr>
            <w:tcW w:w="387" w:type="pct"/>
            <w:vAlign w:val="center"/>
          </w:tcPr>
          <w:p w14:paraId="3332F8E8" w14:textId="0967BF4C" w:rsidR="00B9174A" w:rsidRDefault="00B9174A" w:rsidP="00B11C82">
            <w:pPr>
              <w:adjustRightInd w:val="0"/>
              <w:snapToGrid w:val="0"/>
              <w:jc w:val="center"/>
              <w:rPr>
                <w:lang w:bidi="ar"/>
              </w:rPr>
            </w:pPr>
            <w:r>
              <w:rPr>
                <w:rFonts w:hint="eastAsia"/>
                <w:color w:val="000000"/>
                <w:sz w:val="22"/>
                <w:szCs w:val="22"/>
              </w:rPr>
              <w:t>/</w:t>
            </w:r>
          </w:p>
        </w:tc>
        <w:tc>
          <w:tcPr>
            <w:tcW w:w="349" w:type="pct"/>
            <w:vAlign w:val="center"/>
          </w:tcPr>
          <w:p w14:paraId="4583AF27" w14:textId="6C228792" w:rsidR="00B9174A" w:rsidRDefault="00B9174A" w:rsidP="00B11C82">
            <w:pPr>
              <w:adjustRightInd w:val="0"/>
              <w:snapToGrid w:val="0"/>
              <w:jc w:val="center"/>
              <w:rPr>
                <w:lang w:bidi="ar"/>
              </w:rPr>
            </w:pPr>
            <w:r>
              <w:rPr>
                <w:rFonts w:hint="eastAsia"/>
                <w:color w:val="000000"/>
                <w:sz w:val="22"/>
                <w:szCs w:val="22"/>
              </w:rPr>
              <w:t>/</w:t>
            </w:r>
          </w:p>
        </w:tc>
        <w:tc>
          <w:tcPr>
            <w:tcW w:w="954" w:type="pct"/>
            <w:vAlign w:val="center"/>
          </w:tcPr>
          <w:p w14:paraId="67E340F5" w14:textId="03B7D864" w:rsidR="00B9174A" w:rsidRDefault="00B9174A" w:rsidP="00B11C82">
            <w:pPr>
              <w:jc w:val="center"/>
              <w:rPr>
                <w:lang w:bidi="ar"/>
              </w:rPr>
            </w:pPr>
            <w:r>
              <w:rPr>
                <w:rFonts w:hint="eastAsia"/>
                <w:color w:val="000000"/>
                <w:sz w:val="22"/>
                <w:szCs w:val="22"/>
              </w:rPr>
              <w:t>/</w:t>
            </w:r>
          </w:p>
        </w:tc>
        <w:tc>
          <w:tcPr>
            <w:tcW w:w="393" w:type="pct"/>
            <w:vMerge/>
            <w:vAlign w:val="center"/>
          </w:tcPr>
          <w:p w14:paraId="143FF663" w14:textId="77777777" w:rsidR="00B9174A" w:rsidRDefault="00B9174A" w:rsidP="00B11C82">
            <w:pPr>
              <w:adjustRightInd w:val="0"/>
              <w:snapToGrid w:val="0"/>
              <w:jc w:val="center"/>
            </w:pPr>
          </w:p>
        </w:tc>
      </w:tr>
      <w:tr w:rsidR="00B9174A" w14:paraId="7FB9762E" w14:textId="77777777" w:rsidTr="00600DE0">
        <w:trPr>
          <w:trHeight w:val="57"/>
          <w:jc w:val="center"/>
        </w:trPr>
        <w:tc>
          <w:tcPr>
            <w:tcW w:w="466" w:type="pct"/>
            <w:vAlign w:val="center"/>
          </w:tcPr>
          <w:p w14:paraId="37276BE5" w14:textId="462DECC1" w:rsidR="00B9174A" w:rsidRDefault="00B9174A" w:rsidP="004A2F7D">
            <w:pPr>
              <w:adjustRightInd w:val="0"/>
              <w:snapToGrid w:val="0"/>
              <w:jc w:val="center"/>
            </w:pPr>
            <w:r>
              <w:t>1,2-</w:t>
            </w:r>
            <w:r>
              <w:t>二氯乙烷</w:t>
            </w:r>
          </w:p>
        </w:tc>
        <w:tc>
          <w:tcPr>
            <w:tcW w:w="325" w:type="pct"/>
            <w:vAlign w:val="center"/>
          </w:tcPr>
          <w:p w14:paraId="3881C6B5" w14:textId="370371EF" w:rsidR="00B9174A" w:rsidRDefault="00B9174A" w:rsidP="004A2F7D">
            <w:pPr>
              <w:adjustRightInd w:val="0"/>
              <w:snapToGrid w:val="0"/>
              <w:jc w:val="center"/>
              <w:rPr>
                <w:bCs/>
              </w:rPr>
            </w:pPr>
            <w:r>
              <w:rPr>
                <w:lang w:bidi="ar"/>
              </w:rPr>
              <w:t>1.3×10</w:t>
            </w:r>
            <w:r>
              <w:rPr>
                <w:vertAlign w:val="superscript"/>
                <w:lang w:bidi="ar"/>
              </w:rPr>
              <w:t>-3</w:t>
            </w:r>
            <w:r>
              <w:rPr>
                <w:lang w:bidi="ar"/>
              </w:rPr>
              <w:t>L</w:t>
            </w:r>
          </w:p>
        </w:tc>
        <w:tc>
          <w:tcPr>
            <w:tcW w:w="387" w:type="pct"/>
            <w:vAlign w:val="center"/>
          </w:tcPr>
          <w:p w14:paraId="65B0EB56" w14:textId="3E481C6A" w:rsidR="00B9174A" w:rsidRDefault="00B9174A" w:rsidP="004A2F7D">
            <w:pPr>
              <w:adjustRightInd w:val="0"/>
              <w:snapToGrid w:val="0"/>
              <w:jc w:val="center"/>
              <w:rPr>
                <w:bCs/>
              </w:rPr>
            </w:pPr>
            <w:r>
              <w:rPr>
                <w:lang w:bidi="ar"/>
              </w:rPr>
              <w:t>1.3×10</w:t>
            </w:r>
            <w:r>
              <w:rPr>
                <w:vertAlign w:val="superscript"/>
                <w:lang w:bidi="ar"/>
              </w:rPr>
              <w:t>-3</w:t>
            </w:r>
            <w:r>
              <w:rPr>
                <w:lang w:bidi="ar"/>
              </w:rPr>
              <w:t>L</w:t>
            </w:r>
          </w:p>
        </w:tc>
        <w:tc>
          <w:tcPr>
            <w:tcW w:w="325" w:type="pct"/>
            <w:vAlign w:val="center"/>
          </w:tcPr>
          <w:p w14:paraId="4F413D6C" w14:textId="412C5F73" w:rsidR="00B9174A" w:rsidRDefault="00B9174A" w:rsidP="004A2F7D">
            <w:pPr>
              <w:adjustRightInd w:val="0"/>
              <w:snapToGrid w:val="0"/>
              <w:jc w:val="center"/>
              <w:rPr>
                <w:bCs/>
              </w:rPr>
            </w:pPr>
            <w:r>
              <w:rPr>
                <w:lang w:bidi="ar"/>
              </w:rPr>
              <w:t>1.3×10</w:t>
            </w:r>
            <w:r>
              <w:rPr>
                <w:vertAlign w:val="superscript"/>
                <w:lang w:bidi="ar"/>
              </w:rPr>
              <w:t>-3</w:t>
            </w:r>
            <w:r>
              <w:rPr>
                <w:lang w:bidi="ar"/>
              </w:rPr>
              <w:t>L</w:t>
            </w:r>
          </w:p>
        </w:tc>
        <w:tc>
          <w:tcPr>
            <w:tcW w:w="333" w:type="pct"/>
            <w:vAlign w:val="center"/>
          </w:tcPr>
          <w:p w14:paraId="14DE49C1" w14:textId="2454CECD" w:rsidR="00B9174A" w:rsidRDefault="00B9174A" w:rsidP="004A2F7D">
            <w:pPr>
              <w:adjustRightInd w:val="0"/>
              <w:snapToGrid w:val="0"/>
              <w:jc w:val="center"/>
              <w:rPr>
                <w:bCs/>
              </w:rPr>
            </w:pPr>
            <w:r>
              <w:rPr>
                <w:lang w:bidi="ar"/>
              </w:rPr>
              <w:t>1.3×10</w:t>
            </w:r>
            <w:r>
              <w:rPr>
                <w:vertAlign w:val="superscript"/>
                <w:lang w:bidi="ar"/>
              </w:rPr>
              <w:t>-3</w:t>
            </w:r>
            <w:r>
              <w:rPr>
                <w:lang w:bidi="ar"/>
              </w:rPr>
              <w:t>L</w:t>
            </w:r>
          </w:p>
        </w:tc>
        <w:tc>
          <w:tcPr>
            <w:tcW w:w="387" w:type="pct"/>
            <w:vAlign w:val="center"/>
          </w:tcPr>
          <w:p w14:paraId="2EC02BB5" w14:textId="44C36810" w:rsidR="00B9174A" w:rsidRDefault="00B9174A" w:rsidP="004A2F7D">
            <w:pPr>
              <w:adjustRightInd w:val="0"/>
              <w:snapToGrid w:val="0"/>
              <w:jc w:val="center"/>
              <w:rPr>
                <w:bCs/>
              </w:rPr>
            </w:pPr>
            <w:r>
              <w:rPr>
                <w:lang w:bidi="ar"/>
              </w:rPr>
              <w:t>1.3×10</w:t>
            </w:r>
            <w:r>
              <w:rPr>
                <w:vertAlign w:val="superscript"/>
                <w:lang w:bidi="ar"/>
              </w:rPr>
              <w:t>-3</w:t>
            </w:r>
            <w:r>
              <w:rPr>
                <w:lang w:bidi="ar"/>
              </w:rPr>
              <w:t>L</w:t>
            </w:r>
          </w:p>
        </w:tc>
        <w:tc>
          <w:tcPr>
            <w:tcW w:w="348" w:type="pct"/>
            <w:vAlign w:val="center"/>
          </w:tcPr>
          <w:p w14:paraId="1D599A3E" w14:textId="0E71C9FF" w:rsidR="00B9174A" w:rsidRDefault="00B9174A" w:rsidP="004A2F7D">
            <w:pPr>
              <w:adjustRightInd w:val="0"/>
              <w:snapToGrid w:val="0"/>
              <w:jc w:val="center"/>
              <w:rPr>
                <w:bCs/>
              </w:rPr>
            </w:pPr>
            <w:r>
              <w:rPr>
                <w:lang w:bidi="ar"/>
              </w:rPr>
              <w:t>1.3×10</w:t>
            </w:r>
            <w:r>
              <w:rPr>
                <w:vertAlign w:val="superscript"/>
                <w:lang w:bidi="ar"/>
              </w:rPr>
              <w:t>-3</w:t>
            </w:r>
            <w:r>
              <w:rPr>
                <w:lang w:bidi="ar"/>
              </w:rPr>
              <w:t>L</w:t>
            </w:r>
          </w:p>
        </w:tc>
        <w:tc>
          <w:tcPr>
            <w:tcW w:w="347" w:type="pct"/>
            <w:vAlign w:val="center"/>
          </w:tcPr>
          <w:p w14:paraId="117F0E0C" w14:textId="1CF3468E" w:rsidR="00B9174A" w:rsidRDefault="00B9174A" w:rsidP="004A2F7D">
            <w:pPr>
              <w:adjustRightInd w:val="0"/>
              <w:snapToGrid w:val="0"/>
              <w:jc w:val="center"/>
              <w:rPr>
                <w:bCs/>
              </w:rPr>
            </w:pPr>
            <w:r>
              <w:rPr>
                <w:lang w:bidi="ar"/>
              </w:rPr>
              <w:t>1.3×10</w:t>
            </w:r>
            <w:r>
              <w:rPr>
                <w:vertAlign w:val="superscript"/>
                <w:lang w:bidi="ar"/>
              </w:rPr>
              <w:t>-3</w:t>
            </w:r>
            <w:r>
              <w:rPr>
                <w:lang w:bidi="ar"/>
              </w:rPr>
              <w:t>L</w:t>
            </w:r>
          </w:p>
        </w:tc>
        <w:tc>
          <w:tcPr>
            <w:tcW w:w="387" w:type="pct"/>
            <w:vAlign w:val="center"/>
          </w:tcPr>
          <w:p w14:paraId="524AADD0" w14:textId="132547CC" w:rsidR="00B9174A" w:rsidRDefault="00B9174A" w:rsidP="004A2F7D">
            <w:pPr>
              <w:adjustRightInd w:val="0"/>
              <w:snapToGrid w:val="0"/>
              <w:jc w:val="center"/>
              <w:rPr>
                <w:bCs/>
              </w:rPr>
            </w:pPr>
            <w:r>
              <w:rPr>
                <w:lang w:bidi="ar"/>
              </w:rPr>
              <w:t>1.3×10</w:t>
            </w:r>
            <w:r>
              <w:rPr>
                <w:vertAlign w:val="superscript"/>
                <w:lang w:bidi="ar"/>
              </w:rPr>
              <w:t>-3</w:t>
            </w:r>
            <w:r>
              <w:rPr>
                <w:lang w:bidi="ar"/>
              </w:rPr>
              <w:t>L</w:t>
            </w:r>
          </w:p>
        </w:tc>
        <w:tc>
          <w:tcPr>
            <w:tcW w:w="349" w:type="pct"/>
            <w:vAlign w:val="center"/>
          </w:tcPr>
          <w:p w14:paraId="15FADB08" w14:textId="6BA3E95A" w:rsidR="00B9174A" w:rsidRDefault="00B9174A" w:rsidP="004A2F7D">
            <w:pPr>
              <w:adjustRightInd w:val="0"/>
              <w:snapToGrid w:val="0"/>
              <w:jc w:val="center"/>
              <w:rPr>
                <w:bCs/>
              </w:rPr>
            </w:pPr>
            <w:r>
              <w:rPr>
                <w:lang w:bidi="ar"/>
              </w:rPr>
              <w:t>1.3×10</w:t>
            </w:r>
            <w:r>
              <w:rPr>
                <w:vertAlign w:val="superscript"/>
                <w:lang w:bidi="ar"/>
              </w:rPr>
              <w:t>-3</w:t>
            </w:r>
            <w:r>
              <w:rPr>
                <w:lang w:bidi="ar"/>
              </w:rPr>
              <w:t>L</w:t>
            </w:r>
          </w:p>
        </w:tc>
        <w:tc>
          <w:tcPr>
            <w:tcW w:w="954" w:type="pct"/>
            <w:vAlign w:val="center"/>
          </w:tcPr>
          <w:p w14:paraId="53B18CE9" w14:textId="13713E69" w:rsidR="00B9174A" w:rsidRDefault="00B9174A" w:rsidP="004A2F7D">
            <w:pPr>
              <w:jc w:val="center"/>
              <w:rPr>
                <w:bCs/>
              </w:rPr>
            </w:pPr>
            <w:r>
              <w:rPr>
                <w:lang w:bidi="ar"/>
              </w:rPr>
              <w:t>1.3×10</w:t>
            </w:r>
            <w:r>
              <w:rPr>
                <w:vertAlign w:val="superscript"/>
                <w:lang w:bidi="ar"/>
              </w:rPr>
              <w:t>-3</w:t>
            </w:r>
            <w:r>
              <w:rPr>
                <w:lang w:bidi="ar"/>
              </w:rPr>
              <w:t>L</w:t>
            </w:r>
          </w:p>
        </w:tc>
        <w:tc>
          <w:tcPr>
            <w:tcW w:w="393" w:type="pct"/>
            <w:vMerge w:val="restart"/>
            <w:vAlign w:val="center"/>
          </w:tcPr>
          <w:p w14:paraId="5D7799AA" w14:textId="386180C2" w:rsidR="00B9174A" w:rsidRDefault="00B9174A" w:rsidP="004A2F7D">
            <w:pPr>
              <w:adjustRightInd w:val="0"/>
              <w:snapToGrid w:val="0"/>
              <w:jc w:val="center"/>
              <w:rPr>
                <w:bCs/>
              </w:rPr>
            </w:pPr>
            <w:r>
              <w:rPr>
                <w:rFonts w:hint="eastAsia"/>
              </w:rPr>
              <w:t>5</w:t>
            </w:r>
          </w:p>
        </w:tc>
      </w:tr>
      <w:tr w:rsidR="00B9174A" w14:paraId="30E2593E" w14:textId="77777777" w:rsidTr="00600DE0">
        <w:trPr>
          <w:trHeight w:val="57"/>
          <w:jc w:val="center"/>
        </w:trPr>
        <w:tc>
          <w:tcPr>
            <w:tcW w:w="466" w:type="pct"/>
            <w:vAlign w:val="center"/>
          </w:tcPr>
          <w:p w14:paraId="0693A575" w14:textId="65A443AA" w:rsidR="00B9174A" w:rsidRDefault="00600DE0" w:rsidP="00B11C82">
            <w:pPr>
              <w:adjustRightInd w:val="0"/>
              <w:snapToGrid w:val="0"/>
              <w:jc w:val="center"/>
            </w:pPr>
            <w:r>
              <w:rPr>
                <w:rFonts w:hint="eastAsia"/>
              </w:rPr>
              <w:t>标准指数</w:t>
            </w:r>
          </w:p>
        </w:tc>
        <w:tc>
          <w:tcPr>
            <w:tcW w:w="325" w:type="pct"/>
            <w:vAlign w:val="center"/>
          </w:tcPr>
          <w:p w14:paraId="693F2855" w14:textId="688EA08F" w:rsidR="00B9174A" w:rsidRDefault="00B9174A" w:rsidP="00B11C82">
            <w:pPr>
              <w:adjustRightInd w:val="0"/>
              <w:snapToGrid w:val="0"/>
              <w:jc w:val="center"/>
              <w:rPr>
                <w:lang w:bidi="ar"/>
              </w:rPr>
            </w:pPr>
            <w:r>
              <w:rPr>
                <w:rFonts w:hint="eastAsia"/>
                <w:color w:val="000000"/>
                <w:sz w:val="22"/>
                <w:szCs w:val="22"/>
              </w:rPr>
              <w:t>/</w:t>
            </w:r>
          </w:p>
        </w:tc>
        <w:tc>
          <w:tcPr>
            <w:tcW w:w="387" w:type="pct"/>
            <w:vAlign w:val="center"/>
          </w:tcPr>
          <w:p w14:paraId="36FB32E0" w14:textId="42B280AA" w:rsidR="00B9174A" w:rsidRDefault="00B9174A" w:rsidP="00B11C82">
            <w:pPr>
              <w:adjustRightInd w:val="0"/>
              <w:snapToGrid w:val="0"/>
              <w:jc w:val="center"/>
              <w:rPr>
                <w:lang w:bidi="ar"/>
              </w:rPr>
            </w:pPr>
            <w:r>
              <w:rPr>
                <w:rFonts w:hint="eastAsia"/>
                <w:color w:val="000000"/>
                <w:sz w:val="22"/>
                <w:szCs w:val="22"/>
              </w:rPr>
              <w:t>/</w:t>
            </w:r>
          </w:p>
        </w:tc>
        <w:tc>
          <w:tcPr>
            <w:tcW w:w="325" w:type="pct"/>
            <w:vAlign w:val="center"/>
          </w:tcPr>
          <w:p w14:paraId="5DDB87BA" w14:textId="54FED71E" w:rsidR="00B9174A" w:rsidRDefault="00B9174A" w:rsidP="00B11C82">
            <w:pPr>
              <w:adjustRightInd w:val="0"/>
              <w:snapToGrid w:val="0"/>
              <w:jc w:val="center"/>
              <w:rPr>
                <w:lang w:bidi="ar"/>
              </w:rPr>
            </w:pPr>
            <w:r>
              <w:rPr>
                <w:rFonts w:hint="eastAsia"/>
                <w:color w:val="000000"/>
                <w:sz w:val="22"/>
                <w:szCs w:val="22"/>
              </w:rPr>
              <w:t>/</w:t>
            </w:r>
          </w:p>
        </w:tc>
        <w:tc>
          <w:tcPr>
            <w:tcW w:w="333" w:type="pct"/>
            <w:vAlign w:val="center"/>
          </w:tcPr>
          <w:p w14:paraId="49F2C7EE" w14:textId="4F8F802D" w:rsidR="00B9174A" w:rsidRDefault="00B9174A" w:rsidP="00B11C82">
            <w:pPr>
              <w:adjustRightInd w:val="0"/>
              <w:snapToGrid w:val="0"/>
              <w:jc w:val="center"/>
              <w:rPr>
                <w:lang w:bidi="ar"/>
              </w:rPr>
            </w:pPr>
            <w:r>
              <w:rPr>
                <w:rFonts w:hint="eastAsia"/>
                <w:color w:val="000000"/>
                <w:sz w:val="22"/>
                <w:szCs w:val="22"/>
              </w:rPr>
              <w:t>/</w:t>
            </w:r>
          </w:p>
        </w:tc>
        <w:tc>
          <w:tcPr>
            <w:tcW w:w="387" w:type="pct"/>
            <w:vAlign w:val="center"/>
          </w:tcPr>
          <w:p w14:paraId="01ECDBBE" w14:textId="4F3515DD" w:rsidR="00B9174A" w:rsidRDefault="00B9174A" w:rsidP="00B11C82">
            <w:pPr>
              <w:adjustRightInd w:val="0"/>
              <w:snapToGrid w:val="0"/>
              <w:jc w:val="center"/>
              <w:rPr>
                <w:lang w:bidi="ar"/>
              </w:rPr>
            </w:pPr>
            <w:r>
              <w:rPr>
                <w:rFonts w:hint="eastAsia"/>
                <w:color w:val="000000"/>
                <w:sz w:val="22"/>
                <w:szCs w:val="22"/>
              </w:rPr>
              <w:t>/</w:t>
            </w:r>
          </w:p>
        </w:tc>
        <w:tc>
          <w:tcPr>
            <w:tcW w:w="348" w:type="pct"/>
            <w:vAlign w:val="center"/>
          </w:tcPr>
          <w:p w14:paraId="76B6B92C" w14:textId="42949F1E" w:rsidR="00B9174A" w:rsidRDefault="00B9174A" w:rsidP="00B11C82">
            <w:pPr>
              <w:adjustRightInd w:val="0"/>
              <w:snapToGrid w:val="0"/>
              <w:jc w:val="center"/>
              <w:rPr>
                <w:lang w:bidi="ar"/>
              </w:rPr>
            </w:pPr>
            <w:r>
              <w:rPr>
                <w:rFonts w:hint="eastAsia"/>
                <w:color w:val="000000"/>
                <w:sz w:val="22"/>
                <w:szCs w:val="22"/>
              </w:rPr>
              <w:t>/</w:t>
            </w:r>
          </w:p>
        </w:tc>
        <w:tc>
          <w:tcPr>
            <w:tcW w:w="347" w:type="pct"/>
            <w:vAlign w:val="center"/>
          </w:tcPr>
          <w:p w14:paraId="5AEAD32F" w14:textId="5AA927F3" w:rsidR="00B9174A" w:rsidRDefault="00B9174A" w:rsidP="00B11C82">
            <w:pPr>
              <w:adjustRightInd w:val="0"/>
              <w:snapToGrid w:val="0"/>
              <w:jc w:val="center"/>
              <w:rPr>
                <w:lang w:bidi="ar"/>
              </w:rPr>
            </w:pPr>
            <w:r>
              <w:rPr>
                <w:rFonts w:hint="eastAsia"/>
                <w:color w:val="000000"/>
                <w:sz w:val="22"/>
                <w:szCs w:val="22"/>
              </w:rPr>
              <w:t>/</w:t>
            </w:r>
          </w:p>
        </w:tc>
        <w:tc>
          <w:tcPr>
            <w:tcW w:w="387" w:type="pct"/>
            <w:vAlign w:val="center"/>
          </w:tcPr>
          <w:p w14:paraId="7DB488C3" w14:textId="266E7E41" w:rsidR="00B9174A" w:rsidRDefault="00B9174A" w:rsidP="00B11C82">
            <w:pPr>
              <w:adjustRightInd w:val="0"/>
              <w:snapToGrid w:val="0"/>
              <w:jc w:val="center"/>
              <w:rPr>
                <w:lang w:bidi="ar"/>
              </w:rPr>
            </w:pPr>
            <w:r>
              <w:rPr>
                <w:rFonts w:hint="eastAsia"/>
                <w:color w:val="000000"/>
                <w:sz w:val="22"/>
                <w:szCs w:val="22"/>
              </w:rPr>
              <w:t>/</w:t>
            </w:r>
          </w:p>
        </w:tc>
        <w:tc>
          <w:tcPr>
            <w:tcW w:w="349" w:type="pct"/>
            <w:vAlign w:val="center"/>
          </w:tcPr>
          <w:p w14:paraId="11EFA71D" w14:textId="77EE4972" w:rsidR="00B9174A" w:rsidRDefault="00B9174A" w:rsidP="00B11C82">
            <w:pPr>
              <w:adjustRightInd w:val="0"/>
              <w:snapToGrid w:val="0"/>
              <w:jc w:val="center"/>
              <w:rPr>
                <w:lang w:bidi="ar"/>
              </w:rPr>
            </w:pPr>
            <w:r>
              <w:rPr>
                <w:rFonts w:hint="eastAsia"/>
                <w:color w:val="000000"/>
                <w:sz w:val="22"/>
                <w:szCs w:val="22"/>
              </w:rPr>
              <w:t>/</w:t>
            </w:r>
          </w:p>
        </w:tc>
        <w:tc>
          <w:tcPr>
            <w:tcW w:w="954" w:type="pct"/>
            <w:vAlign w:val="center"/>
          </w:tcPr>
          <w:p w14:paraId="31EACA32" w14:textId="0B847F59" w:rsidR="00B9174A" w:rsidRDefault="00B9174A" w:rsidP="00B11C82">
            <w:pPr>
              <w:jc w:val="center"/>
              <w:rPr>
                <w:lang w:bidi="ar"/>
              </w:rPr>
            </w:pPr>
            <w:r>
              <w:rPr>
                <w:rFonts w:hint="eastAsia"/>
                <w:color w:val="000000"/>
                <w:sz w:val="22"/>
                <w:szCs w:val="22"/>
              </w:rPr>
              <w:t>/</w:t>
            </w:r>
          </w:p>
        </w:tc>
        <w:tc>
          <w:tcPr>
            <w:tcW w:w="393" w:type="pct"/>
            <w:vMerge/>
            <w:vAlign w:val="center"/>
          </w:tcPr>
          <w:p w14:paraId="175B9EA8" w14:textId="77777777" w:rsidR="00B9174A" w:rsidRDefault="00B9174A" w:rsidP="00B11C82">
            <w:pPr>
              <w:adjustRightInd w:val="0"/>
              <w:snapToGrid w:val="0"/>
              <w:jc w:val="center"/>
            </w:pPr>
          </w:p>
        </w:tc>
      </w:tr>
      <w:tr w:rsidR="00B9174A" w14:paraId="472BD0F7" w14:textId="77777777" w:rsidTr="00600DE0">
        <w:trPr>
          <w:trHeight w:val="57"/>
          <w:jc w:val="center"/>
        </w:trPr>
        <w:tc>
          <w:tcPr>
            <w:tcW w:w="466" w:type="pct"/>
            <w:vAlign w:val="center"/>
          </w:tcPr>
          <w:p w14:paraId="08F7BB93" w14:textId="6AE08B8A" w:rsidR="00B9174A" w:rsidRDefault="00B9174A" w:rsidP="004A2F7D">
            <w:pPr>
              <w:adjustRightInd w:val="0"/>
              <w:snapToGrid w:val="0"/>
              <w:jc w:val="center"/>
            </w:pPr>
            <w:r>
              <w:t>1,1-</w:t>
            </w:r>
            <w:r>
              <w:t>二氯乙烯</w:t>
            </w:r>
          </w:p>
        </w:tc>
        <w:tc>
          <w:tcPr>
            <w:tcW w:w="325" w:type="pct"/>
            <w:vAlign w:val="center"/>
          </w:tcPr>
          <w:p w14:paraId="12E7AF30" w14:textId="204A7FD5" w:rsidR="00B9174A" w:rsidRDefault="00B9174A" w:rsidP="004A2F7D">
            <w:pPr>
              <w:adjustRightInd w:val="0"/>
              <w:snapToGrid w:val="0"/>
              <w:jc w:val="center"/>
              <w:rPr>
                <w:bCs/>
              </w:rPr>
            </w:pPr>
            <w:r>
              <w:rPr>
                <w:lang w:bidi="ar"/>
              </w:rPr>
              <w:t>1.0×10</w:t>
            </w:r>
            <w:r>
              <w:rPr>
                <w:vertAlign w:val="superscript"/>
                <w:lang w:bidi="ar"/>
              </w:rPr>
              <w:t>-3</w:t>
            </w:r>
            <w:r>
              <w:rPr>
                <w:lang w:bidi="ar"/>
              </w:rPr>
              <w:t>L</w:t>
            </w:r>
          </w:p>
        </w:tc>
        <w:tc>
          <w:tcPr>
            <w:tcW w:w="387" w:type="pct"/>
            <w:vAlign w:val="center"/>
          </w:tcPr>
          <w:p w14:paraId="5D389030" w14:textId="3687AFAD" w:rsidR="00B9174A" w:rsidRDefault="00B9174A" w:rsidP="004A2F7D">
            <w:pPr>
              <w:adjustRightInd w:val="0"/>
              <w:snapToGrid w:val="0"/>
              <w:jc w:val="center"/>
              <w:rPr>
                <w:bCs/>
              </w:rPr>
            </w:pPr>
            <w:r>
              <w:rPr>
                <w:lang w:bidi="ar"/>
              </w:rPr>
              <w:t>1.0×10</w:t>
            </w:r>
            <w:r>
              <w:rPr>
                <w:vertAlign w:val="superscript"/>
                <w:lang w:bidi="ar"/>
              </w:rPr>
              <w:t>-3</w:t>
            </w:r>
            <w:r>
              <w:rPr>
                <w:lang w:bidi="ar"/>
              </w:rPr>
              <w:t>L</w:t>
            </w:r>
          </w:p>
        </w:tc>
        <w:tc>
          <w:tcPr>
            <w:tcW w:w="325" w:type="pct"/>
            <w:vAlign w:val="center"/>
          </w:tcPr>
          <w:p w14:paraId="5E0073C7" w14:textId="48BB36D5" w:rsidR="00B9174A" w:rsidRDefault="00B9174A" w:rsidP="004A2F7D">
            <w:pPr>
              <w:adjustRightInd w:val="0"/>
              <w:snapToGrid w:val="0"/>
              <w:jc w:val="center"/>
              <w:rPr>
                <w:bCs/>
              </w:rPr>
            </w:pPr>
            <w:r>
              <w:rPr>
                <w:lang w:bidi="ar"/>
              </w:rPr>
              <w:t>1.0×10</w:t>
            </w:r>
            <w:r>
              <w:rPr>
                <w:vertAlign w:val="superscript"/>
                <w:lang w:bidi="ar"/>
              </w:rPr>
              <w:t>-3</w:t>
            </w:r>
            <w:r>
              <w:rPr>
                <w:lang w:bidi="ar"/>
              </w:rPr>
              <w:t>L</w:t>
            </w:r>
          </w:p>
        </w:tc>
        <w:tc>
          <w:tcPr>
            <w:tcW w:w="333" w:type="pct"/>
            <w:vAlign w:val="center"/>
          </w:tcPr>
          <w:p w14:paraId="52667A2D" w14:textId="5AA6419A" w:rsidR="00B9174A" w:rsidRDefault="00B9174A" w:rsidP="004A2F7D">
            <w:pPr>
              <w:adjustRightInd w:val="0"/>
              <w:snapToGrid w:val="0"/>
              <w:jc w:val="center"/>
              <w:rPr>
                <w:bCs/>
              </w:rPr>
            </w:pPr>
            <w:r>
              <w:rPr>
                <w:lang w:bidi="ar"/>
              </w:rPr>
              <w:t>1.0×10</w:t>
            </w:r>
            <w:r>
              <w:rPr>
                <w:vertAlign w:val="superscript"/>
                <w:lang w:bidi="ar"/>
              </w:rPr>
              <w:t>-3</w:t>
            </w:r>
            <w:r>
              <w:rPr>
                <w:lang w:bidi="ar"/>
              </w:rPr>
              <w:t>L</w:t>
            </w:r>
          </w:p>
        </w:tc>
        <w:tc>
          <w:tcPr>
            <w:tcW w:w="387" w:type="pct"/>
            <w:vAlign w:val="center"/>
          </w:tcPr>
          <w:p w14:paraId="4069E4DE" w14:textId="399AE846" w:rsidR="00B9174A" w:rsidRDefault="00B9174A" w:rsidP="004A2F7D">
            <w:pPr>
              <w:adjustRightInd w:val="0"/>
              <w:snapToGrid w:val="0"/>
              <w:jc w:val="center"/>
              <w:rPr>
                <w:bCs/>
              </w:rPr>
            </w:pPr>
            <w:r>
              <w:rPr>
                <w:lang w:bidi="ar"/>
              </w:rPr>
              <w:t>1.0×10</w:t>
            </w:r>
            <w:r>
              <w:rPr>
                <w:vertAlign w:val="superscript"/>
                <w:lang w:bidi="ar"/>
              </w:rPr>
              <w:t>-3</w:t>
            </w:r>
            <w:r>
              <w:rPr>
                <w:lang w:bidi="ar"/>
              </w:rPr>
              <w:t>L</w:t>
            </w:r>
          </w:p>
        </w:tc>
        <w:tc>
          <w:tcPr>
            <w:tcW w:w="348" w:type="pct"/>
            <w:vAlign w:val="center"/>
          </w:tcPr>
          <w:p w14:paraId="397DEE4B" w14:textId="17F9BC09" w:rsidR="00B9174A" w:rsidRDefault="00B9174A" w:rsidP="004A2F7D">
            <w:pPr>
              <w:adjustRightInd w:val="0"/>
              <w:snapToGrid w:val="0"/>
              <w:jc w:val="center"/>
              <w:rPr>
                <w:bCs/>
              </w:rPr>
            </w:pPr>
            <w:r>
              <w:rPr>
                <w:lang w:bidi="ar"/>
              </w:rPr>
              <w:t>1.0×10</w:t>
            </w:r>
            <w:r>
              <w:rPr>
                <w:vertAlign w:val="superscript"/>
                <w:lang w:bidi="ar"/>
              </w:rPr>
              <w:t>-3</w:t>
            </w:r>
            <w:r>
              <w:rPr>
                <w:lang w:bidi="ar"/>
              </w:rPr>
              <w:t>L</w:t>
            </w:r>
          </w:p>
        </w:tc>
        <w:tc>
          <w:tcPr>
            <w:tcW w:w="347" w:type="pct"/>
            <w:vAlign w:val="center"/>
          </w:tcPr>
          <w:p w14:paraId="2F2B7E53" w14:textId="3F9CC9EC" w:rsidR="00B9174A" w:rsidRDefault="00B9174A" w:rsidP="004A2F7D">
            <w:pPr>
              <w:adjustRightInd w:val="0"/>
              <w:snapToGrid w:val="0"/>
              <w:jc w:val="center"/>
              <w:rPr>
                <w:bCs/>
              </w:rPr>
            </w:pPr>
            <w:r>
              <w:rPr>
                <w:lang w:bidi="ar"/>
              </w:rPr>
              <w:t>1.0×10</w:t>
            </w:r>
            <w:r>
              <w:rPr>
                <w:vertAlign w:val="superscript"/>
                <w:lang w:bidi="ar"/>
              </w:rPr>
              <w:t>-3</w:t>
            </w:r>
            <w:r>
              <w:rPr>
                <w:lang w:bidi="ar"/>
              </w:rPr>
              <w:t>L</w:t>
            </w:r>
          </w:p>
        </w:tc>
        <w:tc>
          <w:tcPr>
            <w:tcW w:w="387" w:type="pct"/>
            <w:vAlign w:val="center"/>
          </w:tcPr>
          <w:p w14:paraId="329A1024" w14:textId="4E55394E" w:rsidR="00B9174A" w:rsidRDefault="00B9174A" w:rsidP="004A2F7D">
            <w:pPr>
              <w:adjustRightInd w:val="0"/>
              <w:snapToGrid w:val="0"/>
              <w:jc w:val="center"/>
              <w:rPr>
                <w:bCs/>
              </w:rPr>
            </w:pPr>
            <w:r>
              <w:rPr>
                <w:lang w:bidi="ar"/>
              </w:rPr>
              <w:t>1.0×10</w:t>
            </w:r>
            <w:r>
              <w:rPr>
                <w:vertAlign w:val="superscript"/>
                <w:lang w:bidi="ar"/>
              </w:rPr>
              <w:t>-3</w:t>
            </w:r>
            <w:r>
              <w:rPr>
                <w:lang w:bidi="ar"/>
              </w:rPr>
              <w:t>L</w:t>
            </w:r>
          </w:p>
        </w:tc>
        <w:tc>
          <w:tcPr>
            <w:tcW w:w="349" w:type="pct"/>
            <w:vAlign w:val="center"/>
          </w:tcPr>
          <w:p w14:paraId="5B6A14AF" w14:textId="0BB4A4CC" w:rsidR="00B9174A" w:rsidRDefault="00B9174A" w:rsidP="004A2F7D">
            <w:pPr>
              <w:adjustRightInd w:val="0"/>
              <w:snapToGrid w:val="0"/>
              <w:jc w:val="center"/>
              <w:rPr>
                <w:bCs/>
              </w:rPr>
            </w:pPr>
            <w:r>
              <w:rPr>
                <w:lang w:bidi="ar"/>
              </w:rPr>
              <w:t>1.0×10</w:t>
            </w:r>
            <w:r>
              <w:rPr>
                <w:vertAlign w:val="superscript"/>
                <w:lang w:bidi="ar"/>
              </w:rPr>
              <w:t>-3</w:t>
            </w:r>
            <w:r>
              <w:rPr>
                <w:lang w:bidi="ar"/>
              </w:rPr>
              <w:t>L</w:t>
            </w:r>
          </w:p>
        </w:tc>
        <w:tc>
          <w:tcPr>
            <w:tcW w:w="954" w:type="pct"/>
            <w:vAlign w:val="center"/>
          </w:tcPr>
          <w:p w14:paraId="0FA87517" w14:textId="50126A5F" w:rsidR="00B9174A" w:rsidRDefault="00B9174A" w:rsidP="004A2F7D">
            <w:pPr>
              <w:jc w:val="center"/>
              <w:rPr>
                <w:bCs/>
              </w:rPr>
            </w:pPr>
            <w:r>
              <w:rPr>
                <w:lang w:bidi="ar"/>
              </w:rPr>
              <w:t>1.0×10</w:t>
            </w:r>
            <w:r>
              <w:rPr>
                <w:vertAlign w:val="superscript"/>
                <w:lang w:bidi="ar"/>
              </w:rPr>
              <w:t>-3</w:t>
            </w:r>
            <w:r>
              <w:rPr>
                <w:lang w:bidi="ar"/>
              </w:rPr>
              <w:t>L</w:t>
            </w:r>
          </w:p>
        </w:tc>
        <w:tc>
          <w:tcPr>
            <w:tcW w:w="393" w:type="pct"/>
            <w:vMerge w:val="restart"/>
            <w:vAlign w:val="center"/>
          </w:tcPr>
          <w:p w14:paraId="4CA09BF7" w14:textId="730749FB" w:rsidR="00B9174A" w:rsidRDefault="00B9174A" w:rsidP="004A2F7D">
            <w:pPr>
              <w:adjustRightInd w:val="0"/>
              <w:snapToGrid w:val="0"/>
              <w:jc w:val="center"/>
              <w:rPr>
                <w:bCs/>
              </w:rPr>
            </w:pPr>
            <w:r>
              <w:rPr>
                <w:rFonts w:hint="eastAsia"/>
              </w:rPr>
              <w:t>66</w:t>
            </w:r>
          </w:p>
        </w:tc>
      </w:tr>
      <w:tr w:rsidR="00B9174A" w14:paraId="0A27564A" w14:textId="77777777" w:rsidTr="00600DE0">
        <w:trPr>
          <w:trHeight w:val="57"/>
          <w:jc w:val="center"/>
        </w:trPr>
        <w:tc>
          <w:tcPr>
            <w:tcW w:w="466" w:type="pct"/>
            <w:vAlign w:val="center"/>
          </w:tcPr>
          <w:p w14:paraId="7F559ECE" w14:textId="69C4AC2B" w:rsidR="00B9174A" w:rsidRDefault="00600DE0" w:rsidP="00B11C82">
            <w:pPr>
              <w:adjustRightInd w:val="0"/>
              <w:snapToGrid w:val="0"/>
              <w:jc w:val="center"/>
            </w:pPr>
            <w:r>
              <w:rPr>
                <w:rFonts w:hint="eastAsia"/>
              </w:rPr>
              <w:t>标准指数</w:t>
            </w:r>
          </w:p>
        </w:tc>
        <w:tc>
          <w:tcPr>
            <w:tcW w:w="325" w:type="pct"/>
            <w:vAlign w:val="center"/>
          </w:tcPr>
          <w:p w14:paraId="12BA3B73" w14:textId="33F43BB2" w:rsidR="00B9174A" w:rsidRDefault="00B9174A" w:rsidP="00B11C82">
            <w:pPr>
              <w:adjustRightInd w:val="0"/>
              <w:snapToGrid w:val="0"/>
              <w:jc w:val="center"/>
              <w:rPr>
                <w:lang w:bidi="ar"/>
              </w:rPr>
            </w:pPr>
            <w:r>
              <w:rPr>
                <w:rFonts w:hint="eastAsia"/>
                <w:color w:val="000000"/>
                <w:sz w:val="22"/>
                <w:szCs w:val="22"/>
              </w:rPr>
              <w:t>/</w:t>
            </w:r>
          </w:p>
        </w:tc>
        <w:tc>
          <w:tcPr>
            <w:tcW w:w="387" w:type="pct"/>
            <w:vAlign w:val="center"/>
          </w:tcPr>
          <w:p w14:paraId="0D8772F0" w14:textId="3BA2F2C5" w:rsidR="00B9174A" w:rsidRDefault="00B9174A" w:rsidP="00B11C82">
            <w:pPr>
              <w:adjustRightInd w:val="0"/>
              <w:snapToGrid w:val="0"/>
              <w:jc w:val="center"/>
              <w:rPr>
                <w:lang w:bidi="ar"/>
              </w:rPr>
            </w:pPr>
            <w:r>
              <w:rPr>
                <w:rFonts w:hint="eastAsia"/>
                <w:color w:val="000000"/>
                <w:sz w:val="22"/>
                <w:szCs w:val="22"/>
              </w:rPr>
              <w:t>/</w:t>
            </w:r>
          </w:p>
        </w:tc>
        <w:tc>
          <w:tcPr>
            <w:tcW w:w="325" w:type="pct"/>
            <w:vAlign w:val="center"/>
          </w:tcPr>
          <w:p w14:paraId="20511198" w14:textId="75483C41" w:rsidR="00B9174A" w:rsidRDefault="00B9174A" w:rsidP="00B11C82">
            <w:pPr>
              <w:adjustRightInd w:val="0"/>
              <w:snapToGrid w:val="0"/>
              <w:jc w:val="center"/>
              <w:rPr>
                <w:lang w:bidi="ar"/>
              </w:rPr>
            </w:pPr>
            <w:r>
              <w:rPr>
                <w:rFonts w:hint="eastAsia"/>
                <w:color w:val="000000"/>
                <w:sz w:val="22"/>
                <w:szCs w:val="22"/>
              </w:rPr>
              <w:t>/</w:t>
            </w:r>
          </w:p>
        </w:tc>
        <w:tc>
          <w:tcPr>
            <w:tcW w:w="333" w:type="pct"/>
            <w:vAlign w:val="center"/>
          </w:tcPr>
          <w:p w14:paraId="611CB4BB" w14:textId="6F3C731C" w:rsidR="00B9174A" w:rsidRDefault="00B9174A" w:rsidP="00B11C82">
            <w:pPr>
              <w:adjustRightInd w:val="0"/>
              <w:snapToGrid w:val="0"/>
              <w:jc w:val="center"/>
              <w:rPr>
                <w:lang w:bidi="ar"/>
              </w:rPr>
            </w:pPr>
            <w:r>
              <w:rPr>
                <w:rFonts w:hint="eastAsia"/>
                <w:color w:val="000000"/>
                <w:sz w:val="22"/>
                <w:szCs w:val="22"/>
              </w:rPr>
              <w:t>/</w:t>
            </w:r>
          </w:p>
        </w:tc>
        <w:tc>
          <w:tcPr>
            <w:tcW w:w="387" w:type="pct"/>
            <w:vAlign w:val="center"/>
          </w:tcPr>
          <w:p w14:paraId="254E52D6" w14:textId="7D18EFC8" w:rsidR="00B9174A" w:rsidRDefault="00B9174A" w:rsidP="00B11C82">
            <w:pPr>
              <w:adjustRightInd w:val="0"/>
              <w:snapToGrid w:val="0"/>
              <w:jc w:val="center"/>
              <w:rPr>
                <w:lang w:bidi="ar"/>
              </w:rPr>
            </w:pPr>
            <w:r>
              <w:rPr>
                <w:rFonts w:hint="eastAsia"/>
                <w:color w:val="000000"/>
                <w:sz w:val="22"/>
                <w:szCs w:val="22"/>
              </w:rPr>
              <w:t>/</w:t>
            </w:r>
          </w:p>
        </w:tc>
        <w:tc>
          <w:tcPr>
            <w:tcW w:w="348" w:type="pct"/>
            <w:vAlign w:val="center"/>
          </w:tcPr>
          <w:p w14:paraId="48CC9A9B" w14:textId="40B3BA2D" w:rsidR="00B9174A" w:rsidRDefault="00B9174A" w:rsidP="00B11C82">
            <w:pPr>
              <w:adjustRightInd w:val="0"/>
              <w:snapToGrid w:val="0"/>
              <w:jc w:val="center"/>
              <w:rPr>
                <w:lang w:bidi="ar"/>
              </w:rPr>
            </w:pPr>
            <w:r>
              <w:rPr>
                <w:rFonts w:hint="eastAsia"/>
                <w:color w:val="000000"/>
                <w:sz w:val="22"/>
                <w:szCs w:val="22"/>
              </w:rPr>
              <w:t>/</w:t>
            </w:r>
          </w:p>
        </w:tc>
        <w:tc>
          <w:tcPr>
            <w:tcW w:w="347" w:type="pct"/>
            <w:vAlign w:val="center"/>
          </w:tcPr>
          <w:p w14:paraId="6C54155B" w14:textId="49FA2730" w:rsidR="00B9174A" w:rsidRDefault="00B9174A" w:rsidP="00B11C82">
            <w:pPr>
              <w:adjustRightInd w:val="0"/>
              <w:snapToGrid w:val="0"/>
              <w:jc w:val="center"/>
              <w:rPr>
                <w:lang w:bidi="ar"/>
              </w:rPr>
            </w:pPr>
            <w:r>
              <w:rPr>
                <w:rFonts w:hint="eastAsia"/>
                <w:color w:val="000000"/>
                <w:sz w:val="22"/>
                <w:szCs w:val="22"/>
              </w:rPr>
              <w:t>/</w:t>
            </w:r>
          </w:p>
        </w:tc>
        <w:tc>
          <w:tcPr>
            <w:tcW w:w="387" w:type="pct"/>
            <w:vAlign w:val="center"/>
          </w:tcPr>
          <w:p w14:paraId="70C43739" w14:textId="1CBE4A49" w:rsidR="00B9174A" w:rsidRDefault="00B9174A" w:rsidP="00B11C82">
            <w:pPr>
              <w:adjustRightInd w:val="0"/>
              <w:snapToGrid w:val="0"/>
              <w:jc w:val="center"/>
              <w:rPr>
                <w:lang w:bidi="ar"/>
              </w:rPr>
            </w:pPr>
            <w:r>
              <w:rPr>
                <w:rFonts w:hint="eastAsia"/>
                <w:color w:val="000000"/>
                <w:sz w:val="22"/>
                <w:szCs w:val="22"/>
              </w:rPr>
              <w:t>/</w:t>
            </w:r>
          </w:p>
        </w:tc>
        <w:tc>
          <w:tcPr>
            <w:tcW w:w="349" w:type="pct"/>
            <w:vAlign w:val="center"/>
          </w:tcPr>
          <w:p w14:paraId="32876697" w14:textId="4B3490EF" w:rsidR="00B9174A" w:rsidRDefault="00B9174A" w:rsidP="00B11C82">
            <w:pPr>
              <w:adjustRightInd w:val="0"/>
              <w:snapToGrid w:val="0"/>
              <w:jc w:val="center"/>
              <w:rPr>
                <w:lang w:bidi="ar"/>
              </w:rPr>
            </w:pPr>
            <w:r>
              <w:rPr>
                <w:rFonts w:hint="eastAsia"/>
                <w:color w:val="000000"/>
                <w:sz w:val="22"/>
                <w:szCs w:val="22"/>
              </w:rPr>
              <w:t>/</w:t>
            </w:r>
          </w:p>
        </w:tc>
        <w:tc>
          <w:tcPr>
            <w:tcW w:w="954" w:type="pct"/>
            <w:vAlign w:val="center"/>
          </w:tcPr>
          <w:p w14:paraId="0F778374" w14:textId="3AA9066D" w:rsidR="00B9174A" w:rsidRDefault="00B9174A" w:rsidP="00B11C82">
            <w:pPr>
              <w:jc w:val="center"/>
              <w:rPr>
                <w:lang w:bidi="ar"/>
              </w:rPr>
            </w:pPr>
            <w:r>
              <w:rPr>
                <w:rFonts w:hint="eastAsia"/>
                <w:color w:val="000000"/>
                <w:sz w:val="22"/>
                <w:szCs w:val="22"/>
              </w:rPr>
              <w:t>/</w:t>
            </w:r>
          </w:p>
        </w:tc>
        <w:tc>
          <w:tcPr>
            <w:tcW w:w="393" w:type="pct"/>
            <w:vMerge/>
            <w:vAlign w:val="center"/>
          </w:tcPr>
          <w:p w14:paraId="76FAAF63" w14:textId="77777777" w:rsidR="00B9174A" w:rsidRDefault="00B9174A" w:rsidP="00B11C82">
            <w:pPr>
              <w:adjustRightInd w:val="0"/>
              <w:snapToGrid w:val="0"/>
              <w:jc w:val="center"/>
            </w:pPr>
          </w:p>
        </w:tc>
      </w:tr>
      <w:tr w:rsidR="00B9174A" w14:paraId="028B2952" w14:textId="77777777" w:rsidTr="00600DE0">
        <w:trPr>
          <w:trHeight w:val="57"/>
          <w:jc w:val="center"/>
        </w:trPr>
        <w:tc>
          <w:tcPr>
            <w:tcW w:w="466" w:type="pct"/>
            <w:vAlign w:val="center"/>
          </w:tcPr>
          <w:p w14:paraId="76FC785B" w14:textId="43562EC2" w:rsidR="00B9174A" w:rsidRDefault="00B9174A" w:rsidP="004A2F7D">
            <w:pPr>
              <w:adjustRightInd w:val="0"/>
              <w:snapToGrid w:val="0"/>
              <w:jc w:val="center"/>
            </w:pPr>
            <w:r>
              <w:t>顺</w:t>
            </w:r>
            <w:r>
              <w:t>-1,2-</w:t>
            </w:r>
            <w:r>
              <w:t>二氯乙烯</w:t>
            </w:r>
          </w:p>
        </w:tc>
        <w:tc>
          <w:tcPr>
            <w:tcW w:w="325" w:type="pct"/>
            <w:vAlign w:val="center"/>
          </w:tcPr>
          <w:p w14:paraId="4074EEEA" w14:textId="32F71F87" w:rsidR="00B9174A" w:rsidRDefault="00B9174A" w:rsidP="004A2F7D">
            <w:pPr>
              <w:adjustRightInd w:val="0"/>
              <w:snapToGrid w:val="0"/>
              <w:jc w:val="center"/>
              <w:rPr>
                <w:bCs/>
              </w:rPr>
            </w:pPr>
            <w:r>
              <w:rPr>
                <w:lang w:bidi="ar"/>
              </w:rPr>
              <w:t>1.3×10</w:t>
            </w:r>
            <w:r>
              <w:rPr>
                <w:vertAlign w:val="superscript"/>
                <w:lang w:bidi="ar"/>
              </w:rPr>
              <w:t>-3</w:t>
            </w:r>
            <w:r>
              <w:rPr>
                <w:lang w:bidi="ar"/>
              </w:rPr>
              <w:t>L</w:t>
            </w:r>
          </w:p>
        </w:tc>
        <w:tc>
          <w:tcPr>
            <w:tcW w:w="387" w:type="pct"/>
            <w:vAlign w:val="center"/>
          </w:tcPr>
          <w:p w14:paraId="60FE4C64" w14:textId="76E44175" w:rsidR="00B9174A" w:rsidRDefault="00B9174A" w:rsidP="004A2F7D">
            <w:pPr>
              <w:adjustRightInd w:val="0"/>
              <w:snapToGrid w:val="0"/>
              <w:jc w:val="center"/>
              <w:rPr>
                <w:bCs/>
              </w:rPr>
            </w:pPr>
            <w:r>
              <w:rPr>
                <w:lang w:bidi="ar"/>
              </w:rPr>
              <w:t>1.3×10</w:t>
            </w:r>
            <w:r>
              <w:rPr>
                <w:vertAlign w:val="superscript"/>
                <w:lang w:bidi="ar"/>
              </w:rPr>
              <w:t>-3</w:t>
            </w:r>
            <w:r>
              <w:rPr>
                <w:lang w:bidi="ar"/>
              </w:rPr>
              <w:t>L</w:t>
            </w:r>
          </w:p>
        </w:tc>
        <w:tc>
          <w:tcPr>
            <w:tcW w:w="325" w:type="pct"/>
            <w:vAlign w:val="center"/>
          </w:tcPr>
          <w:p w14:paraId="16C579D0" w14:textId="5B1911B0" w:rsidR="00B9174A" w:rsidRDefault="00B9174A" w:rsidP="004A2F7D">
            <w:pPr>
              <w:adjustRightInd w:val="0"/>
              <w:snapToGrid w:val="0"/>
              <w:jc w:val="center"/>
              <w:rPr>
                <w:bCs/>
              </w:rPr>
            </w:pPr>
            <w:r>
              <w:rPr>
                <w:lang w:bidi="ar"/>
              </w:rPr>
              <w:t>1.3×10</w:t>
            </w:r>
            <w:r>
              <w:rPr>
                <w:vertAlign w:val="superscript"/>
                <w:lang w:bidi="ar"/>
              </w:rPr>
              <w:t>-3</w:t>
            </w:r>
            <w:r>
              <w:rPr>
                <w:lang w:bidi="ar"/>
              </w:rPr>
              <w:t>L</w:t>
            </w:r>
          </w:p>
        </w:tc>
        <w:tc>
          <w:tcPr>
            <w:tcW w:w="333" w:type="pct"/>
            <w:vAlign w:val="center"/>
          </w:tcPr>
          <w:p w14:paraId="30DEE01A" w14:textId="7EEEC665" w:rsidR="00B9174A" w:rsidRDefault="00B9174A" w:rsidP="004A2F7D">
            <w:pPr>
              <w:pStyle w:val="TableText"/>
              <w:adjustRightInd w:val="0"/>
              <w:snapToGrid w:val="0"/>
              <w:jc w:val="center"/>
              <w:rPr>
                <w:rFonts w:ascii="Times New Roman" w:hAnsi="Times New Roman" w:cs="Times New Roman"/>
                <w:bCs/>
                <w:lang w:eastAsia="zh-CN"/>
              </w:rPr>
            </w:pPr>
            <w:r>
              <w:rPr>
                <w:rFonts w:ascii="Times New Roman" w:hAnsi="Times New Roman" w:cs="Times New Roman"/>
                <w:lang w:eastAsia="zh-CN" w:bidi="ar"/>
              </w:rPr>
              <w:t>1.3×10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87" w:type="pct"/>
            <w:vAlign w:val="center"/>
          </w:tcPr>
          <w:p w14:paraId="7148207B" w14:textId="4E4025BF" w:rsidR="00B9174A" w:rsidRDefault="00B9174A" w:rsidP="004A2F7D">
            <w:pPr>
              <w:pStyle w:val="TableText"/>
              <w:adjustRightInd w:val="0"/>
              <w:snapToGrid w:val="0"/>
              <w:jc w:val="center"/>
              <w:rPr>
                <w:rFonts w:ascii="Times New Roman" w:hAnsi="Times New Roman" w:cs="Times New Roman"/>
                <w:bCs/>
                <w:lang w:eastAsia="zh-CN"/>
              </w:rPr>
            </w:pPr>
            <w:r>
              <w:rPr>
                <w:rFonts w:ascii="Times New Roman" w:hAnsi="Times New Roman" w:cs="Times New Roman"/>
                <w:lang w:eastAsia="zh-CN" w:bidi="ar"/>
              </w:rPr>
              <w:t>1.3×10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48" w:type="pct"/>
            <w:vAlign w:val="center"/>
          </w:tcPr>
          <w:p w14:paraId="7713031E" w14:textId="0903D6A6" w:rsidR="00B9174A" w:rsidRDefault="00B9174A" w:rsidP="004A2F7D">
            <w:pPr>
              <w:pStyle w:val="TableText"/>
              <w:adjustRightInd w:val="0"/>
              <w:snapToGrid w:val="0"/>
              <w:jc w:val="center"/>
              <w:rPr>
                <w:rFonts w:ascii="Times New Roman" w:hAnsi="Times New Roman" w:cs="Times New Roman"/>
                <w:bCs/>
                <w:lang w:eastAsia="zh-CN"/>
              </w:rPr>
            </w:pPr>
            <w:r>
              <w:rPr>
                <w:rFonts w:ascii="Times New Roman" w:hAnsi="Times New Roman" w:cs="Times New Roman"/>
                <w:lang w:eastAsia="zh-CN" w:bidi="ar"/>
              </w:rPr>
              <w:t>1.3×10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47" w:type="pct"/>
            <w:vAlign w:val="center"/>
          </w:tcPr>
          <w:p w14:paraId="2F6BA098" w14:textId="50FF15C8" w:rsidR="00B9174A" w:rsidRDefault="00B9174A" w:rsidP="004A2F7D">
            <w:pPr>
              <w:pStyle w:val="TableText"/>
              <w:adjustRightInd w:val="0"/>
              <w:snapToGrid w:val="0"/>
              <w:jc w:val="center"/>
              <w:rPr>
                <w:rFonts w:ascii="Times New Roman" w:hAnsi="Times New Roman" w:cs="Times New Roman"/>
                <w:bCs/>
                <w:lang w:eastAsia="zh-CN"/>
              </w:rPr>
            </w:pPr>
            <w:r>
              <w:rPr>
                <w:rFonts w:ascii="Times New Roman" w:hAnsi="Times New Roman" w:cs="Times New Roman"/>
                <w:lang w:eastAsia="zh-CN" w:bidi="ar"/>
              </w:rPr>
              <w:t>1.3×10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87" w:type="pct"/>
            <w:vAlign w:val="center"/>
          </w:tcPr>
          <w:p w14:paraId="4EFCA316" w14:textId="6DB63D5F" w:rsidR="00B9174A" w:rsidRDefault="00B9174A" w:rsidP="004A2F7D">
            <w:pPr>
              <w:pStyle w:val="TableText"/>
              <w:adjustRightInd w:val="0"/>
              <w:snapToGrid w:val="0"/>
              <w:jc w:val="center"/>
              <w:rPr>
                <w:rFonts w:ascii="Times New Roman" w:hAnsi="Times New Roman" w:cs="Times New Roman"/>
                <w:bCs/>
                <w:lang w:eastAsia="zh-CN"/>
              </w:rPr>
            </w:pPr>
            <w:r>
              <w:rPr>
                <w:rFonts w:ascii="Times New Roman" w:hAnsi="Times New Roman" w:cs="Times New Roman"/>
                <w:lang w:eastAsia="zh-CN" w:bidi="ar"/>
              </w:rPr>
              <w:t>1.3×10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49" w:type="pct"/>
            <w:vAlign w:val="center"/>
          </w:tcPr>
          <w:p w14:paraId="4D0961DA" w14:textId="2E848CB7" w:rsidR="00B9174A" w:rsidRDefault="00B9174A" w:rsidP="004A2F7D">
            <w:pPr>
              <w:pStyle w:val="TableText"/>
              <w:adjustRightInd w:val="0"/>
              <w:snapToGrid w:val="0"/>
              <w:jc w:val="center"/>
              <w:rPr>
                <w:rFonts w:ascii="Times New Roman" w:hAnsi="Times New Roman" w:cs="Times New Roman"/>
                <w:bCs/>
                <w:lang w:eastAsia="zh-CN"/>
              </w:rPr>
            </w:pPr>
            <w:r>
              <w:rPr>
                <w:rFonts w:ascii="Times New Roman" w:hAnsi="Times New Roman" w:cs="Times New Roman"/>
                <w:lang w:eastAsia="zh-CN" w:bidi="ar"/>
              </w:rPr>
              <w:t>1.3×10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954" w:type="pct"/>
            <w:vAlign w:val="center"/>
          </w:tcPr>
          <w:p w14:paraId="7BFBC062" w14:textId="04151B95" w:rsidR="00B9174A" w:rsidRDefault="00B9174A" w:rsidP="004A2F7D">
            <w:pPr>
              <w:pStyle w:val="TableText"/>
              <w:adjustRightInd w:val="0"/>
              <w:snapToGrid w:val="0"/>
              <w:jc w:val="center"/>
              <w:rPr>
                <w:rFonts w:ascii="Times New Roman" w:hAnsi="Times New Roman" w:cs="Times New Roman"/>
                <w:b/>
                <w:bCs/>
                <w:lang w:eastAsia="zh-CN"/>
              </w:rPr>
            </w:pPr>
            <w:r>
              <w:rPr>
                <w:rFonts w:ascii="Times New Roman" w:hAnsi="Times New Roman" w:cs="Times New Roman"/>
                <w:lang w:eastAsia="zh-CN" w:bidi="ar"/>
              </w:rPr>
              <w:t>1.3×10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93" w:type="pct"/>
            <w:vMerge w:val="restart"/>
            <w:vAlign w:val="center"/>
          </w:tcPr>
          <w:p w14:paraId="041067CA" w14:textId="28DFDC56" w:rsidR="00B9174A" w:rsidRDefault="00B9174A" w:rsidP="004A2F7D">
            <w:pPr>
              <w:adjustRightInd w:val="0"/>
              <w:snapToGrid w:val="0"/>
              <w:jc w:val="center"/>
              <w:rPr>
                <w:bCs/>
              </w:rPr>
            </w:pPr>
            <w:r>
              <w:rPr>
                <w:rFonts w:hint="eastAsia"/>
              </w:rPr>
              <w:t>596</w:t>
            </w:r>
          </w:p>
        </w:tc>
      </w:tr>
      <w:tr w:rsidR="00B9174A" w14:paraId="35B7C5B1" w14:textId="77777777" w:rsidTr="00600DE0">
        <w:trPr>
          <w:trHeight w:val="57"/>
          <w:jc w:val="center"/>
        </w:trPr>
        <w:tc>
          <w:tcPr>
            <w:tcW w:w="466" w:type="pct"/>
            <w:vAlign w:val="center"/>
          </w:tcPr>
          <w:p w14:paraId="1AD5A499" w14:textId="390DDE8A" w:rsidR="00B9174A" w:rsidRDefault="00600DE0" w:rsidP="00B11C82">
            <w:pPr>
              <w:adjustRightInd w:val="0"/>
              <w:snapToGrid w:val="0"/>
              <w:jc w:val="center"/>
            </w:pPr>
            <w:r>
              <w:rPr>
                <w:rFonts w:hint="eastAsia"/>
              </w:rPr>
              <w:t>标准指数</w:t>
            </w:r>
          </w:p>
        </w:tc>
        <w:tc>
          <w:tcPr>
            <w:tcW w:w="325" w:type="pct"/>
            <w:vAlign w:val="center"/>
          </w:tcPr>
          <w:p w14:paraId="111831FD" w14:textId="763DF983" w:rsidR="00B9174A" w:rsidRDefault="00B9174A" w:rsidP="00B11C82">
            <w:pPr>
              <w:adjustRightInd w:val="0"/>
              <w:snapToGrid w:val="0"/>
              <w:jc w:val="center"/>
              <w:rPr>
                <w:lang w:bidi="ar"/>
              </w:rPr>
            </w:pPr>
            <w:r>
              <w:rPr>
                <w:rFonts w:hint="eastAsia"/>
                <w:color w:val="000000"/>
                <w:sz w:val="22"/>
                <w:szCs w:val="22"/>
              </w:rPr>
              <w:t>/</w:t>
            </w:r>
          </w:p>
        </w:tc>
        <w:tc>
          <w:tcPr>
            <w:tcW w:w="387" w:type="pct"/>
            <w:vAlign w:val="center"/>
          </w:tcPr>
          <w:p w14:paraId="6842776C" w14:textId="429A1E23" w:rsidR="00B9174A" w:rsidRDefault="00B9174A" w:rsidP="00B11C82">
            <w:pPr>
              <w:adjustRightInd w:val="0"/>
              <w:snapToGrid w:val="0"/>
              <w:jc w:val="center"/>
              <w:rPr>
                <w:lang w:bidi="ar"/>
              </w:rPr>
            </w:pPr>
            <w:r>
              <w:rPr>
                <w:rFonts w:hint="eastAsia"/>
                <w:color w:val="000000"/>
                <w:sz w:val="22"/>
                <w:szCs w:val="22"/>
              </w:rPr>
              <w:t>/</w:t>
            </w:r>
          </w:p>
        </w:tc>
        <w:tc>
          <w:tcPr>
            <w:tcW w:w="325" w:type="pct"/>
            <w:vAlign w:val="center"/>
          </w:tcPr>
          <w:p w14:paraId="58EC5322" w14:textId="2D82EED2" w:rsidR="00B9174A" w:rsidRDefault="00B9174A" w:rsidP="00B11C82">
            <w:pPr>
              <w:adjustRightInd w:val="0"/>
              <w:snapToGrid w:val="0"/>
              <w:jc w:val="center"/>
              <w:rPr>
                <w:lang w:bidi="ar"/>
              </w:rPr>
            </w:pPr>
            <w:r>
              <w:rPr>
                <w:rFonts w:hint="eastAsia"/>
                <w:color w:val="000000"/>
                <w:sz w:val="22"/>
                <w:szCs w:val="22"/>
              </w:rPr>
              <w:t>/</w:t>
            </w:r>
          </w:p>
        </w:tc>
        <w:tc>
          <w:tcPr>
            <w:tcW w:w="333" w:type="pct"/>
            <w:vAlign w:val="center"/>
          </w:tcPr>
          <w:p w14:paraId="7D3E2494" w14:textId="1310BA6B" w:rsidR="00B9174A" w:rsidRDefault="00B9174A"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87" w:type="pct"/>
            <w:vAlign w:val="center"/>
          </w:tcPr>
          <w:p w14:paraId="540E2AD0" w14:textId="03CC6355" w:rsidR="00B9174A" w:rsidRDefault="00B9174A"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48" w:type="pct"/>
            <w:vAlign w:val="center"/>
          </w:tcPr>
          <w:p w14:paraId="3E8D60E1" w14:textId="530B59CB" w:rsidR="00B9174A" w:rsidRDefault="00B9174A"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47" w:type="pct"/>
            <w:vAlign w:val="center"/>
          </w:tcPr>
          <w:p w14:paraId="50CA601E" w14:textId="75809723" w:rsidR="00B9174A" w:rsidRDefault="00B9174A"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87" w:type="pct"/>
            <w:vAlign w:val="center"/>
          </w:tcPr>
          <w:p w14:paraId="7ED64A91" w14:textId="6133041C" w:rsidR="00B9174A" w:rsidRDefault="00B9174A"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49" w:type="pct"/>
            <w:vAlign w:val="center"/>
          </w:tcPr>
          <w:p w14:paraId="7DF79D8D" w14:textId="7D31A3AC" w:rsidR="00B9174A" w:rsidRDefault="00B9174A"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954" w:type="pct"/>
            <w:vAlign w:val="center"/>
          </w:tcPr>
          <w:p w14:paraId="1F641440" w14:textId="74610733" w:rsidR="00B9174A" w:rsidRDefault="00B9174A"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93" w:type="pct"/>
            <w:vMerge/>
            <w:vAlign w:val="center"/>
          </w:tcPr>
          <w:p w14:paraId="5D698FA0" w14:textId="77777777" w:rsidR="00B9174A" w:rsidRDefault="00B9174A" w:rsidP="00B11C82">
            <w:pPr>
              <w:adjustRightInd w:val="0"/>
              <w:snapToGrid w:val="0"/>
              <w:jc w:val="center"/>
            </w:pPr>
          </w:p>
        </w:tc>
      </w:tr>
      <w:tr w:rsidR="00B9174A" w14:paraId="096B7172" w14:textId="77777777" w:rsidTr="00600DE0">
        <w:trPr>
          <w:trHeight w:val="57"/>
          <w:jc w:val="center"/>
        </w:trPr>
        <w:tc>
          <w:tcPr>
            <w:tcW w:w="466" w:type="pct"/>
            <w:vAlign w:val="center"/>
          </w:tcPr>
          <w:p w14:paraId="2FBCD4EE" w14:textId="5C4CAB9B" w:rsidR="00B9174A" w:rsidRDefault="00B9174A" w:rsidP="004A2F7D">
            <w:pPr>
              <w:adjustRightInd w:val="0"/>
              <w:snapToGrid w:val="0"/>
              <w:jc w:val="center"/>
            </w:pPr>
            <w:r>
              <w:t>反</w:t>
            </w:r>
            <w:r>
              <w:t>-1,2-</w:t>
            </w:r>
            <w:r>
              <w:t>二氯乙烯</w:t>
            </w:r>
          </w:p>
        </w:tc>
        <w:tc>
          <w:tcPr>
            <w:tcW w:w="325" w:type="pct"/>
            <w:vAlign w:val="center"/>
          </w:tcPr>
          <w:p w14:paraId="3BF4DEBB" w14:textId="65B77AA6" w:rsidR="00B9174A" w:rsidRDefault="00B9174A" w:rsidP="004A2F7D">
            <w:pPr>
              <w:adjustRightInd w:val="0"/>
              <w:snapToGrid w:val="0"/>
              <w:jc w:val="center"/>
              <w:rPr>
                <w:bCs/>
              </w:rPr>
            </w:pPr>
            <w:r>
              <w:rPr>
                <w:lang w:bidi="ar"/>
              </w:rPr>
              <w:t>1.4×10</w:t>
            </w:r>
            <w:r>
              <w:rPr>
                <w:vertAlign w:val="superscript"/>
                <w:lang w:bidi="ar"/>
              </w:rPr>
              <w:t>-3</w:t>
            </w:r>
            <w:r>
              <w:rPr>
                <w:lang w:bidi="ar"/>
              </w:rPr>
              <w:t>L</w:t>
            </w:r>
          </w:p>
        </w:tc>
        <w:tc>
          <w:tcPr>
            <w:tcW w:w="387" w:type="pct"/>
            <w:vAlign w:val="center"/>
          </w:tcPr>
          <w:p w14:paraId="3C117B49" w14:textId="6C4F78E9" w:rsidR="00B9174A" w:rsidRDefault="00B9174A" w:rsidP="004A2F7D">
            <w:pPr>
              <w:adjustRightInd w:val="0"/>
              <w:snapToGrid w:val="0"/>
              <w:jc w:val="center"/>
              <w:rPr>
                <w:bCs/>
              </w:rPr>
            </w:pPr>
            <w:r>
              <w:rPr>
                <w:lang w:bidi="ar"/>
              </w:rPr>
              <w:t>1.4×10</w:t>
            </w:r>
            <w:r>
              <w:rPr>
                <w:vertAlign w:val="superscript"/>
                <w:lang w:bidi="ar"/>
              </w:rPr>
              <w:t>-3</w:t>
            </w:r>
            <w:r>
              <w:rPr>
                <w:lang w:bidi="ar"/>
              </w:rPr>
              <w:t>L</w:t>
            </w:r>
          </w:p>
        </w:tc>
        <w:tc>
          <w:tcPr>
            <w:tcW w:w="325" w:type="pct"/>
            <w:vAlign w:val="center"/>
          </w:tcPr>
          <w:p w14:paraId="05B360B6" w14:textId="51F062F6" w:rsidR="00B9174A" w:rsidRDefault="00B9174A" w:rsidP="004A2F7D">
            <w:pPr>
              <w:adjustRightInd w:val="0"/>
              <w:snapToGrid w:val="0"/>
              <w:jc w:val="center"/>
              <w:rPr>
                <w:bCs/>
              </w:rPr>
            </w:pPr>
            <w:r>
              <w:rPr>
                <w:lang w:bidi="ar"/>
              </w:rPr>
              <w:t>1.4×10</w:t>
            </w:r>
            <w:r>
              <w:rPr>
                <w:vertAlign w:val="superscript"/>
                <w:lang w:bidi="ar"/>
              </w:rPr>
              <w:t>-3</w:t>
            </w:r>
            <w:r>
              <w:rPr>
                <w:lang w:bidi="ar"/>
              </w:rPr>
              <w:t>L</w:t>
            </w:r>
          </w:p>
        </w:tc>
        <w:tc>
          <w:tcPr>
            <w:tcW w:w="333" w:type="pct"/>
            <w:vAlign w:val="center"/>
          </w:tcPr>
          <w:p w14:paraId="4D91DAA4" w14:textId="203F44D6" w:rsidR="00B9174A" w:rsidRDefault="00B9174A" w:rsidP="004A2F7D">
            <w:pPr>
              <w:pStyle w:val="TableText"/>
              <w:adjustRightInd w:val="0"/>
              <w:snapToGrid w:val="0"/>
              <w:jc w:val="center"/>
              <w:rPr>
                <w:rFonts w:ascii="Times New Roman" w:hAnsi="Times New Roman" w:cs="Times New Roman"/>
                <w:bCs/>
                <w:lang w:eastAsia="zh-CN"/>
              </w:rPr>
            </w:pPr>
            <w:r>
              <w:rPr>
                <w:rFonts w:ascii="Times New Roman" w:hAnsi="Times New Roman" w:cs="Times New Roman"/>
                <w:lang w:eastAsia="zh-CN" w:bidi="ar"/>
              </w:rPr>
              <w:t>1.4×10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87" w:type="pct"/>
            <w:vAlign w:val="center"/>
          </w:tcPr>
          <w:p w14:paraId="6F7DAC14" w14:textId="6614C15F" w:rsidR="00B9174A" w:rsidRDefault="00B9174A" w:rsidP="004A2F7D">
            <w:pPr>
              <w:pStyle w:val="TableText"/>
              <w:adjustRightInd w:val="0"/>
              <w:snapToGrid w:val="0"/>
              <w:jc w:val="center"/>
              <w:rPr>
                <w:rFonts w:ascii="Times New Roman" w:hAnsi="Times New Roman" w:cs="Times New Roman"/>
                <w:bCs/>
                <w:lang w:eastAsia="zh-CN"/>
              </w:rPr>
            </w:pPr>
            <w:r>
              <w:rPr>
                <w:rFonts w:ascii="Times New Roman" w:hAnsi="Times New Roman" w:cs="Times New Roman"/>
                <w:lang w:eastAsia="zh-CN" w:bidi="ar"/>
              </w:rPr>
              <w:t>1.4×10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48" w:type="pct"/>
            <w:vAlign w:val="center"/>
          </w:tcPr>
          <w:p w14:paraId="433F67B0" w14:textId="73483AFB" w:rsidR="00B9174A" w:rsidRDefault="00B9174A" w:rsidP="004A2F7D">
            <w:pPr>
              <w:pStyle w:val="TableText"/>
              <w:adjustRightInd w:val="0"/>
              <w:snapToGrid w:val="0"/>
              <w:jc w:val="center"/>
              <w:rPr>
                <w:rFonts w:ascii="Times New Roman" w:hAnsi="Times New Roman" w:cs="Times New Roman"/>
                <w:bCs/>
                <w:lang w:eastAsia="zh-CN"/>
              </w:rPr>
            </w:pPr>
            <w:r>
              <w:rPr>
                <w:rFonts w:ascii="Times New Roman" w:hAnsi="Times New Roman" w:cs="Times New Roman"/>
                <w:lang w:eastAsia="zh-CN" w:bidi="ar"/>
              </w:rPr>
              <w:t>1.4×10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47" w:type="pct"/>
            <w:vAlign w:val="center"/>
          </w:tcPr>
          <w:p w14:paraId="72799E7B" w14:textId="469B2BD6" w:rsidR="00B9174A" w:rsidRDefault="00B9174A" w:rsidP="004A2F7D">
            <w:pPr>
              <w:pStyle w:val="TableText"/>
              <w:adjustRightInd w:val="0"/>
              <w:snapToGrid w:val="0"/>
              <w:jc w:val="center"/>
              <w:rPr>
                <w:rFonts w:ascii="Times New Roman" w:hAnsi="Times New Roman" w:cs="Times New Roman"/>
                <w:bCs/>
                <w:lang w:eastAsia="zh-CN"/>
              </w:rPr>
            </w:pPr>
            <w:r>
              <w:rPr>
                <w:rFonts w:ascii="Times New Roman" w:hAnsi="Times New Roman" w:cs="Times New Roman"/>
                <w:lang w:eastAsia="zh-CN" w:bidi="ar"/>
              </w:rPr>
              <w:t>1.4×10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87" w:type="pct"/>
            <w:vAlign w:val="center"/>
          </w:tcPr>
          <w:p w14:paraId="3EC1C2D4" w14:textId="3674C420" w:rsidR="00B9174A" w:rsidRDefault="00B9174A" w:rsidP="004A2F7D">
            <w:pPr>
              <w:pStyle w:val="TableText"/>
              <w:adjustRightInd w:val="0"/>
              <w:snapToGrid w:val="0"/>
              <w:jc w:val="center"/>
              <w:rPr>
                <w:rFonts w:ascii="Times New Roman" w:hAnsi="Times New Roman" w:cs="Times New Roman"/>
                <w:bCs/>
                <w:lang w:eastAsia="zh-CN"/>
              </w:rPr>
            </w:pPr>
            <w:r>
              <w:rPr>
                <w:rFonts w:ascii="Times New Roman" w:hAnsi="Times New Roman" w:cs="Times New Roman"/>
                <w:lang w:eastAsia="zh-CN" w:bidi="ar"/>
              </w:rPr>
              <w:t>1.4×10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49" w:type="pct"/>
            <w:vAlign w:val="center"/>
          </w:tcPr>
          <w:p w14:paraId="2A5C1975" w14:textId="3E9BBC1B" w:rsidR="00B9174A" w:rsidRDefault="00B9174A" w:rsidP="004A2F7D">
            <w:pPr>
              <w:pStyle w:val="TableText"/>
              <w:adjustRightInd w:val="0"/>
              <w:snapToGrid w:val="0"/>
              <w:jc w:val="center"/>
              <w:rPr>
                <w:rFonts w:ascii="Times New Roman" w:hAnsi="Times New Roman" w:cs="Times New Roman"/>
                <w:bCs/>
                <w:lang w:eastAsia="zh-CN"/>
              </w:rPr>
            </w:pPr>
            <w:r>
              <w:rPr>
                <w:rFonts w:ascii="Times New Roman" w:hAnsi="Times New Roman" w:cs="Times New Roman"/>
                <w:lang w:eastAsia="zh-CN" w:bidi="ar"/>
              </w:rPr>
              <w:t>1.4×10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954" w:type="pct"/>
            <w:vAlign w:val="center"/>
          </w:tcPr>
          <w:p w14:paraId="2A495A33" w14:textId="1629E3D9" w:rsidR="00B9174A" w:rsidRDefault="00B9174A" w:rsidP="004A2F7D">
            <w:pPr>
              <w:pStyle w:val="TableText"/>
              <w:adjustRightInd w:val="0"/>
              <w:snapToGrid w:val="0"/>
              <w:jc w:val="center"/>
              <w:rPr>
                <w:rFonts w:ascii="Times New Roman" w:hAnsi="Times New Roman" w:cs="Times New Roman"/>
              </w:rPr>
            </w:pPr>
            <w:r>
              <w:rPr>
                <w:rFonts w:ascii="Times New Roman" w:hAnsi="Times New Roman" w:cs="Times New Roman"/>
                <w:lang w:eastAsia="zh-CN" w:bidi="ar"/>
              </w:rPr>
              <w:t>1.4×10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93" w:type="pct"/>
            <w:vMerge w:val="restart"/>
            <w:vAlign w:val="center"/>
          </w:tcPr>
          <w:p w14:paraId="5B160EF2" w14:textId="4445F7B8" w:rsidR="00B9174A" w:rsidRDefault="00B9174A" w:rsidP="004A2F7D">
            <w:pPr>
              <w:adjustRightInd w:val="0"/>
              <w:snapToGrid w:val="0"/>
              <w:jc w:val="center"/>
              <w:rPr>
                <w:bCs/>
              </w:rPr>
            </w:pPr>
            <w:r>
              <w:rPr>
                <w:rFonts w:hint="eastAsia"/>
              </w:rPr>
              <w:t>54</w:t>
            </w:r>
          </w:p>
        </w:tc>
      </w:tr>
      <w:tr w:rsidR="00B9174A" w14:paraId="12EE3D0E" w14:textId="77777777" w:rsidTr="00600DE0">
        <w:trPr>
          <w:trHeight w:val="57"/>
          <w:jc w:val="center"/>
        </w:trPr>
        <w:tc>
          <w:tcPr>
            <w:tcW w:w="466" w:type="pct"/>
            <w:vAlign w:val="center"/>
          </w:tcPr>
          <w:p w14:paraId="46DDAAF2" w14:textId="641F23B4" w:rsidR="00B9174A" w:rsidRDefault="00600DE0" w:rsidP="00B11C82">
            <w:pPr>
              <w:adjustRightInd w:val="0"/>
              <w:snapToGrid w:val="0"/>
              <w:jc w:val="center"/>
            </w:pPr>
            <w:r>
              <w:rPr>
                <w:rFonts w:hint="eastAsia"/>
              </w:rPr>
              <w:t>标准指数</w:t>
            </w:r>
          </w:p>
        </w:tc>
        <w:tc>
          <w:tcPr>
            <w:tcW w:w="325" w:type="pct"/>
            <w:vAlign w:val="center"/>
          </w:tcPr>
          <w:p w14:paraId="40F3E0A7" w14:textId="26C50667" w:rsidR="00B9174A" w:rsidRDefault="00B9174A" w:rsidP="00B11C82">
            <w:pPr>
              <w:adjustRightInd w:val="0"/>
              <w:snapToGrid w:val="0"/>
              <w:jc w:val="center"/>
              <w:rPr>
                <w:lang w:bidi="ar"/>
              </w:rPr>
            </w:pPr>
            <w:r>
              <w:rPr>
                <w:rFonts w:hint="eastAsia"/>
                <w:color w:val="000000"/>
                <w:sz w:val="22"/>
                <w:szCs w:val="22"/>
              </w:rPr>
              <w:t>/</w:t>
            </w:r>
          </w:p>
        </w:tc>
        <w:tc>
          <w:tcPr>
            <w:tcW w:w="387" w:type="pct"/>
            <w:vAlign w:val="center"/>
          </w:tcPr>
          <w:p w14:paraId="66FE3F3B" w14:textId="6F935EC1" w:rsidR="00B9174A" w:rsidRDefault="00B9174A" w:rsidP="00B11C82">
            <w:pPr>
              <w:adjustRightInd w:val="0"/>
              <w:snapToGrid w:val="0"/>
              <w:jc w:val="center"/>
              <w:rPr>
                <w:lang w:bidi="ar"/>
              </w:rPr>
            </w:pPr>
            <w:r>
              <w:rPr>
                <w:rFonts w:hint="eastAsia"/>
                <w:color w:val="000000"/>
                <w:sz w:val="22"/>
                <w:szCs w:val="22"/>
              </w:rPr>
              <w:t>/</w:t>
            </w:r>
          </w:p>
        </w:tc>
        <w:tc>
          <w:tcPr>
            <w:tcW w:w="325" w:type="pct"/>
            <w:vAlign w:val="center"/>
          </w:tcPr>
          <w:p w14:paraId="42CCAF19" w14:textId="03A6FAF1" w:rsidR="00B9174A" w:rsidRDefault="00B9174A" w:rsidP="00B11C82">
            <w:pPr>
              <w:adjustRightInd w:val="0"/>
              <w:snapToGrid w:val="0"/>
              <w:jc w:val="center"/>
              <w:rPr>
                <w:lang w:bidi="ar"/>
              </w:rPr>
            </w:pPr>
            <w:r>
              <w:rPr>
                <w:rFonts w:hint="eastAsia"/>
                <w:color w:val="000000"/>
                <w:sz w:val="22"/>
                <w:szCs w:val="22"/>
              </w:rPr>
              <w:t>/</w:t>
            </w:r>
          </w:p>
        </w:tc>
        <w:tc>
          <w:tcPr>
            <w:tcW w:w="333" w:type="pct"/>
            <w:vAlign w:val="center"/>
          </w:tcPr>
          <w:p w14:paraId="416624CE" w14:textId="37F5A786" w:rsidR="00B9174A" w:rsidRDefault="00B9174A"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87" w:type="pct"/>
            <w:vAlign w:val="center"/>
          </w:tcPr>
          <w:p w14:paraId="069EBAB2" w14:textId="66288D74" w:rsidR="00B9174A" w:rsidRDefault="00B9174A"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48" w:type="pct"/>
            <w:vAlign w:val="center"/>
          </w:tcPr>
          <w:p w14:paraId="126CF990" w14:textId="3CC789CF" w:rsidR="00B9174A" w:rsidRDefault="00B9174A"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47" w:type="pct"/>
            <w:vAlign w:val="center"/>
          </w:tcPr>
          <w:p w14:paraId="79AEB3F2" w14:textId="4DFEAEE7" w:rsidR="00B9174A" w:rsidRDefault="00B9174A"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87" w:type="pct"/>
            <w:vAlign w:val="center"/>
          </w:tcPr>
          <w:p w14:paraId="3E3A3251" w14:textId="3E88B28E" w:rsidR="00B9174A" w:rsidRDefault="00B9174A"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49" w:type="pct"/>
            <w:vAlign w:val="center"/>
          </w:tcPr>
          <w:p w14:paraId="59A91A60" w14:textId="1D36B4E0" w:rsidR="00B9174A" w:rsidRDefault="00B9174A"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954" w:type="pct"/>
            <w:vAlign w:val="center"/>
          </w:tcPr>
          <w:p w14:paraId="4765C39E" w14:textId="56C5AD32" w:rsidR="00B9174A" w:rsidRDefault="00B9174A"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93" w:type="pct"/>
            <w:vMerge/>
            <w:vAlign w:val="center"/>
          </w:tcPr>
          <w:p w14:paraId="260E7013" w14:textId="77777777" w:rsidR="00B9174A" w:rsidRDefault="00B9174A" w:rsidP="00B11C82">
            <w:pPr>
              <w:adjustRightInd w:val="0"/>
              <w:snapToGrid w:val="0"/>
              <w:jc w:val="center"/>
            </w:pPr>
          </w:p>
        </w:tc>
      </w:tr>
      <w:tr w:rsidR="00B9174A" w14:paraId="2AFA1B8C" w14:textId="77777777" w:rsidTr="00600DE0">
        <w:trPr>
          <w:trHeight w:val="57"/>
          <w:jc w:val="center"/>
        </w:trPr>
        <w:tc>
          <w:tcPr>
            <w:tcW w:w="466" w:type="pct"/>
            <w:vAlign w:val="center"/>
          </w:tcPr>
          <w:p w14:paraId="79EBE313" w14:textId="04603F11" w:rsidR="00B9174A" w:rsidRDefault="00B9174A" w:rsidP="004A2F7D">
            <w:pPr>
              <w:adjustRightInd w:val="0"/>
              <w:snapToGrid w:val="0"/>
              <w:jc w:val="center"/>
            </w:pPr>
            <w:r>
              <w:t>二氯甲烷</w:t>
            </w:r>
          </w:p>
        </w:tc>
        <w:tc>
          <w:tcPr>
            <w:tcW w:w="325" w:type="pct"/>
            <w:vAlign w:val="center"/>
          </w:tcPr>
          <w:p w14:paraId="066D9DCD" w14:textId="78CE7807" w:rsidR="00B9174A" w:rsidRDefault="00B9174A" w:rsidP="004A2F7D">
            <w:pPr>
              <w:adjustRightInd w:val="0"/>
              <w:snapToGrid w:val="0"/>
              <w:jc w:val="center"/>
              <w:rPr>
                <w:bCs/>
              </w:rPr>
            </w:pPr>
            <w:r>
              <w:rPr>
                <w:lang w:bidi="ar"/>
              </w:rPr>
              <w:t>1.5×10</w:t>
            </w:r>
            <w:r>
              <w:rPr>
                <w:vertAlign w:val="superscript"/>
                <w:lang w:bidi="ar"/>
              </w:rPr>
              <w:t>-3</w:t>
            </w:r>
            <w:r>
              <w:rPr>
                <w:lang w:bidi="ar"/>
              </w:rPr>
              <w:t>L</w:t>
            </w:r>
          </w:p>
        </w:tc>
        <w:tc>
          <w:tcPr>
            <w:tcW w:w="387" w:type="pct"/>
            <w:vAlign w:val="center"/>
          </w:tcPr>
          <w:p w14:paraId="364B6C7B" w14:textId="56699D94" w:rsidR="00B9174A" w:rsidRDefault="00B9174A" w:rsidP="004A2F7D">
            <w:pPr>
              <w:adjustRightInd w:val="0"/>
              <w:snapToGrid w:val="0"/>
              <w:jc w:val="center"/>
              <w:rPr>
                <w:bCs/>
              </w:rPr>
            </w:pPr>
            <w:r>
              <w:rPr>
                <w:lang w:bidi="ar"/>
              </w:rPr>
              <w:t>1.5×10</w:t>
            </w:r>
            <w:r>
              <w:rPr>
                <w:vertAlign w:val="superscript"/>
                <w:lang w:bidi="ar"/>
              </w:rPr>
              <w:t>-3</w:t>
            </w:r>
            <w:r>
              <w:rPr>
                <w:lang w:bidi="ar"/>
              </w:rPr>
              <w:t>L</w:t>
            </w:r>
          </w:p>
        </w:tc>
        <w:tc>
          <w:tcPr>
            <w:tcW w:w="325" w:type="pct"/>
            <w:vAlign w:val="center"/>
          </w:tcPr>
          <w:p w14:paraId="068D8E91" w14:textId="1ED0FB14" w:rsidR="00B9174A" w:rsidRDefault="00B9174A" w:rsidP="004A2F7D">
            <w:pPr>
              <w:adjustRightInd w:val="0"/>
              <w:snapToGrid w:val="0"/>
              <w:jc w:val="center"/>
              <w:rPr>
                <w:bCs/>
              </w:rPr>
            </w:pPr>
            <w:r>
              <w:rPr>
                <w:lang w:bidi="ar"/>
              </w:rPr>
              <w:t>1.5×10</w:t>
            </w:r>
            <w:r>
              <w:rPr>
                <w:vertAlign w:val="superscript"/>
                <w:lang w:bidi="ar"/>
              </w:rPr>
              <w:t>-3</w:t>
            </w:r>
            <w:r>
              <w:rPr>
                <w:lang w:bidi="ar"/>
              </w:rPr>
              <w:t>L</w:t>
            </w:r>
          </w:p>
        </w:tc>
        <w:tc>
          <w:tcPr>
            <w:tcW w:w="333" w:type="pct"/>
            <w:vAlign w:val="center"/>
          </w:tcPr>
          <w:p w14:paraId="7FA30905" w14:textId="1CC175CD" w:rsidR="00B9174A" w:rsidRDefault="00B9174A" w:rsidP="004A2F7D">
            <w:pPr>
              <w:pStyle w:val="TableText"/>
              <w:adjustRightInd w:val="0"/>
              <w:snapToGrid w:val="0"/>
              <w:jc w:val="center"/>
              <w:rPr>
                <w:rFonts w:ascii="Times New Roman" w:hAnsi="Times New Roman" w:cs="Times New Roman"/>
                <w:bCs/>
                <w:lang w:eastAsia="zh-CN"/>
              </w:rPr>
            </w:pPr>
            <w:r>
              <w:rPr>
                <w:rFonts w:ascii="Times New Roman" w:hAnsi="Times New Roman" w:cs="Times New Roman"/>
                <w:lang w:eastAsia="zh-CN" w:bidi="ar"/>
              </w:rPr>
              <w:t>1.5×10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87" w:type="pct"/>
            <w:vAlign w:val="center"/>
          </w:tcPr>
          <w:p w14:paraId="2C9DF56F" w14:textId="1EA05222" w:rsidR="00B9174A" w:rsidRDefault="00B9174A" w:rsidP="004A2F7D">
            <w:pPr>
              <w:pStyle w:val="TableText"/>
              <w:adjustRightInd w:val="0"/>
              <w:snapToGrid w:val="0"/>
              <w:jc w:val="center"/>
              <w:rPr>
                <w:rFonts w:ascii="Times New Roman" w:hAnsi="Times New Roman" w:cs="Times New Roman"/>
                <w:bCs/>
                <w:lang w:eastAsia="zh-CN"/>
              </w:rPr>
            </w:pPr>
            <w:r>
              <w:rPr>
                <w:rFonts w:ascii="Times New Roman" w:hAnsi="Times New Roman" w:cs="Times New Roman"/>
                <w:lang w:eastAsia="zh-CN" w:bidi="ar"/>
              </w:rPr>
              <w:t>1.5×10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48" w:type="pct"/>
            <w:vAlign w:val="center"/>
          </w:tcPr>
          <w:p w14:paraId="42DD7D77" w14:textId="2C12CD79" w:rsidR="00B9174A" w:rsidRDefault="00B9174A" w:rsidP="004A2F7D">
            <w:pPr>
              <w:pStyle w:val="TableText"/>
              <w:adjustRightInd w:val="0"/>
              <w:snapToGrid w:val="0"/>
              <w:jc w:val="center"/>
              <w:rPr>
                <w:rFonts w:ascii="Times New Roman" w:hAnsi="Times New Roman" w:cs="Times New Roman"/>
                <w:bCs/>
                <w:lang w:eastAsia="zh-CN"/>
              </w:rPr>
            </w:pPr>
            <w:r>
              <w:rPr>
                <w:rFonts w:ascii="Times New Roman" w:hAnsi="Times New Roman" w:cs="Times New Roman"/>
                <w:lang w:eastAsia="zh-CN" w:bidi="ar"/>
              </w:rPr>
              <w:t>1.5×10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47" w:type="pct"/>
            <w:vAlign w:val="center"/>
          </w:tcPr>
          <w:p w14:paraId="4623056A" w14:textId="56D5706F" w:rsidR="00B9174A" w:rsidRDefault="00B9174A" w:rsidP="004A2F7D">
            <w:pPr>
              <w:pStyle w:val="TableText"/>
              <w:adjustRightInd w:val="0"/>
              <w:snapToGrid w:val="0"/>
              <w:jc w:val="center"/>
              <w:rPr>
                <w:rFonts w:ascii="Times New Roman" w:hAnsi="Times New Roman" w:cs="Times New Roman"/>
                <w:bCs/>
                <w:lang w:eastAsia="zh-CN"/>
              </w:rPr>
            </w:pPr>
            <w:r>
              <w:rPr>
                <w:rFonts w:ascii="Times New Roman" w:hAnsi="Times New Roman" w:cs="Times New Roman"/>
                <w:lang w:eastAsia="zh-CN" w:bidi="ar"/>
              </w:rPr>
              <w:t>1.5×10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87" w:type="pct"/>
            <w:vAlign w:val="center"/>
          </w:tcPr>
          <w:p w14:paraId="48937C6A" w14:textId="294A7857" w:rsidR="00B9174A" w:rsidRDefault="00B9174A" w:rsidP="004A2F7D">
            <w:pPr>
              <w:pStyle w:val="TableText"/>
              <w:adjustRightInd w:val="0"/>
              <w:snapToGrid w:val="0"/>
              <w:jc w:val="center"/>
              <w:rPr>
                <w:rFonts w:ascii="Times New Roman" w:hAnsi="Times New Roman" w:cs="Times New Roman"/>
                <w:bCs/>
                <w:lang w:eastAsia="zh-CN"/>
              </w:rPr>
            </w:pPr>
            <w:r>
              <w:rPr>
                <w:rFonts w:ascii="Times New Roman" w:hAnsi="Times New Roman" w:cs="Times New Roman"/>
                <w:lang w:eastAsia="zh-CN" w:bidi="ar"/>
              </w:rPr>
              <w:t>1.5×10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49" w:type="pct"/>
            <w:vAlign w:val="center"/>
          </w:tcPr>
          <w:p w14:paraId="5D18BE3B" w14:textId="38CEDB85" w:rsidR="00B9174A" w:rsidRDefault="00B9174A" w:rsidP="004A2F7D">
            <w:pPr>
              <w:pStyle w:val="TableText"/>
              <w:adjustRightInd w:val="0"/>
              <w:snapToGrid w:val="0"/>
              <w:jc w:val="center"/>
              <w:rPr>
                <w:rFonts w:ascii="Times New Roman" w:hAnsi="Times New Roman" w:cs="Times New Roman"/>
                <w:bCs/>
                <w:lang w:eastAsia="zh-CN"/>
              </w:rPr>
            </w:pPr>
            <w:r>
              <w:rPr>
                <w:rFonts w:ascii="Times New Roman" w:hAnsi="Times New Roman" w:cs="Times New Roman"/>
                <w:lang w:eastAsia="zh-CN" w:bidi="ar"/>
              </w:rPr>
              <w:t>1.5×10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954" w:type="pct"/>
            <w:vAlign w:val="center"/>
          </w:tcPr>
          <w:p w14:paraId="1946C177" w14:textId="6407DC13" w:rsidR="00B9174A" w:rsidRDefault="00B9174A" w:rsidP="004A2F7D">
            <w:pPr>
              <w:pStyle w:val="TableText"/>
              <w:adjustRightInd w:val="0"/>
              <w:snapToGrid w:val="0"/>
              <w:jc w:val="center"/>
              <w:rPr>
                <w:rFonts w:ascii="Times New Roman" w:hAnsi="Times New Roman" w:cs="Times New Roman"/>
              </w:rPr>
            </w:pPr>
            <w:r>
              <w:rPr>
                <w:rFonts w:ascii="Times New Roman" w:hAnsi="Times New Roman" w:cs="Times New Roman"/>
                <w:lang w:eastAsia="zh-CN" w:bidi="ar"/>
              </w:rPr>
              <w:t>1.5×10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93" w:type="pct"/>
            <w:vMerge w:val="restart"/>
            <w:vAlign w:val="center"/>
          </w:tcPr>
          <w:p w14:paraId="4A78B883" w14:textId="02C98607" w:rsidR="00B9174A" w:rsidRDefault="00B9174A" w:rsidP="004A2F7D">
            <w:pPr>
              <w:adjustRightInd w:val="0"/>
              <w:snapToGrid w:val="0"/>
              <w:jc w:val="center"/>
              <w:rPr>
                <w:bCs/>
              </w:rPr>
            </w:pPr>
            <w:r>
              <w:rPr>
                <w:rFonts w:hint="eastAsia"/>
              </w:rPr>
              <w:t>616</w:t>
            </w:r>
          </w:p>
        </w:tc>
      </w:tr>
      <w:tr w:rsidR="00B9174A" w14:paraId="141A04C4" w14:textId="77777777" w:rsidTr="00600DE0">
        <w:trPr>
          <w:trHeight w:val="57"/>
          <w:jc w:val="center"/>
        </w:trPr>
        <w:tc>
          <w:tcPr>
            <w:tcW w:w="466" w:type="pct"/>
            <w:vAlign w:val="center"/>
          </w:tcPr>
          <w:p w14:paraId="59932725" w14:textId="19A9ACD9" w:rsidR="00B9174A" w:rsidRDefault="00600DE0" w:rsidP="00B11C82">
            <w:pPr>
              <w:adjustRightInd w:val="0"/>
              <w:snapToGrid w:val="0"/>
              <w:jc w:val="center"/>
            </w:pPr>
            <w:r>
              <w:rPr>
                <w:rFonts w:hint="eastAsia"/>
              </w:rPr>
              <w:t>标准指数</w:t>
            </w:r>
          </w:p>
        </w:tc>
        <w:tc>
          <w:tcPr>
            <w:tcW w:w="325" w:type="pct"/>
            <w:vAlign w:val="center"/>
          </w:tcPr>
          <w:p w14:paraId="7D51A40F" w14:textId="75EE9B0D" w:rsidR="00B9174A" w:rsidRDefault="00B9174A" w:rsidP="00B11C82">
            <w:pPr>
              <w:adjustRightInd w:val="0"/>
              <w:snapToGrid w:val="0"/>
              <w:jc w:val="center"/>
              <w:rPr>
                <w:lang w:bidi="ar"/>
              </w:rPr>
            </w:pPr>
            <w:r>
              <w:rPr>
                <w:rFonts w:hint="eastAsia"/>
                <w:color w:val="000000"/>
                <w:sz w:val="22"/>
                <w:szCs w:val="22"/>
              </w:rPr>
              <w:t>/</w:t>
            </w:r>
          </w:p>
        </w:tc>
        <w:tc>
          <w:tcPr>
            <w:tcW w:w="387" w:type="pct"/>
            <w:vAlign w:val="center"/>
          </w:tcPr>
          <w:p w14:paraId="400FC9B0" w14:textId="5DBF28E6" w:rsidR="00B9174A" w:rsidRDefault="00B9174A" w:rsidP="00B11C82">
            <w:pPr>
              <w:adjustRightInd w:val="0"/>
              <w:snapToGrid w:val="0"/>
              <w:jc w:val="center"/>
              <w:rPr>
                <w:lang w:bidi="ar"/>
              </w:rPr>
            </w:pPr>
            <w:r>
              <w:rPr>
                <w:rFonts w:hint="eastAsia"/>
                <w:color w:val="000000"/>
                <w:sz w:val="22"/>
                <w:szCs w:val="22"/>
              </w:rPr>
              <w:t>/</w:t>
            </w:r>
          </w:p>
        </w:tc>
        <w:tc>
          <w:tcPr>
            <w:tcW w:w="325" w:type="pct"/>
            <w:vAlign w:val="center"/>
          </w:tcPr>
          <w:p w14:paraId="38B930B1" w14:textId="0990DE0B" w:rsidR="00B9174A" w:rsidRDefault="00B9174A" w:rsidP="00B11C82">
            <w:pPr>
              <w:adjustRightInd w:val="0"/>
              <w:snapToGrid w:val="0"/>
              <w:jc w:val="center"/>
              <w:rPr>
                <w:lang w:bidi="ar"/>
              </w:rPr>
            </w:pPr>
            <w:r>
              <w:rPr>
                <w:rFonts w:hint="eastAsia"/>
                <w:color w:val="000000"/>
                <w:sz w:val="22"/>
                <w:szCs w:val="22"/>
              </w:rPr>
              <w:t>/</w:t>
            </w:r>
          </w:p>
        </w:tc>
        <w:tc>
          <w:tcPr>
            <w:tcW w:w="333" w:type="pct"/>
            <w:vAlign w:val="center"/>
          </w:tcPr>
          <w:p w14:paraId="338DC247" w14:textId="15A30159" w:rsidR="00B9174A" w:rsidRDefault="00B9174A"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87" w:type="pct"/>
            <w:vAlign w:val="center"/>
          </w:tcPr>
          <w:p w14:paraId="6062FEAC" w14:textId="29777366" w:rsidR="00B9174A" w:rsidRDefault="00B9174A"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48" w:type="pct"/>
            <w:vAlign w:val="center"/>
          </w:tcPr>
          <w:p w14:paraId="50D1075E" w14:textId="6692CF24" w:rsidR="00B9174A" w:rsidRDefault="00B9174A"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47" w:type="pct"/>
            <w:vAlign w:val="center"/>
          </w:tcPr>
          <w:p w14:paraId="7E1476CA" w14:textId="29219609" w:rsidR="00B9174A" w:rsidRDefault="00B9174A"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87" w:type="pct"/>
            <w:vAlign w:val="center"/>
          </w:tcPr>
          <w:p w14:paraId="721E14D2" w14:textId="088597B6" w:rsidR="00B9174A" w:rsidRDefault="00B9174A"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49" w:type="pct"/>
            <w:vAlign w:val="center"/>
          </w:tcPr>
          <w:p w14:paraId="0711BCCB" w14:textId="0819DCB0" w:rsidR="00B9174A" w:rsidRDefault="00B9174A"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954" w:type="pct"/>
            <w:vAlign w:val="center"/>
          </w:tcPr>
          <w:p w14:paraId="4E847F01" w14:textId="63340EEC" w:rsidR="00B9174A" w:rsidRDefault="00B9174A"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93" w:type="pct"/>
            <w:vMerge/>
            <w:vAlign w:val="center"/>
          </w:tcPr>
          <w:p w14:paraId="4C09193D" w14:textId="77777777" w:rsidR="00B9174A" w:rsidRDefault="00B9174A" w:rsidP="00B11C82">
            <w:pPr>
              <w:adjustRightInd w:val="0"/>
              <w:snapToGrid w:val="0"/>
              <w:jc w:val="center"/>
            </w:pPr>
          </w:p>
        </w:tc>
      </w:tr>
      <w:tr w:rsidR="00600DE0" w14:paraId="76B79D05" w14:textId="77777777" w:rsidTr="00600DE0">
        <w:trPr>
          <w:trHeight w:val="57"/>
          <w:jc w:val="center"/>
        </w:trPr>
        <w:tc>
          <w:tcPr>
            <w:tcW w:w="466" w:type="pct"/>
            <w:vAlign w:val="center"/>
          </w:tcPr>
          <w:p w14:paraId="57FF8307" w14:textId="7B6015E9" w:rsidR="00600DE0" w:rsidRDefault="00600DE0" w:rsidP="004A2F7D">
            <w:pPr>
              <w:adjustRightInd w:val="0"/>
              <w:snapToGrid w:val="0"/>
              <w:jc w:val="center"/>
            </w:pPr>
            <w:r>
              <w:t>1,2-</w:t>
            </w:r>
            <w:r>
              <w:t>二氯丙烷</w:t>
            </w:r>
          </w:p>
        </w:tc>
        <w:tc>
          <w:tcPr>
            <w:tcW w:w="325" w:type="pct"/>
            <w:vAlign w:val="center"/>
          </w:tcPr>
          <w:p w14:paraId="7B07E316" w14:textId="0865FCD9" w:rsidR="00600DE0" w:rsidRDefault="00600DE0" w:rsidP="004A2F7D">
            <w:pPr>
              <w:adjustRightInd w:val="0"/>
              <w:snapToGrid w:val="0"/>
              <w:jc w:val="center"/>
              <w:rPr>
                <w:bCs/>
              </w:rPr>
            </w:pPr>
            <w:r>
              <w:rPr>
                <w:lang w:bidi="ar"/>
              </w:rPr>
              <w:t>1.1×10</w:t>
            </w:r>
            <w:r>
              <w:rPr>
                <w:vertAlign w:val="superscript"/>
                <w:lang w:bidi="ar"/>
              </w:rPr>
              <w:t>-3</w:t>
            </w:r>
            <w:r>
              <w:rPr>
                <w:lang w:bidi="ar"/>
              </w:rPr>
              <w:t>L</w:t>
            </w:r>
          </w:p>
        </w:tc>
        <w:tc>
          <w:tcPr>
            <w:tcW w:w="387" w:type="pct"/>
            <w:vAlign w:val="center"/>
          </w:tcPr>
          <w:p w14:paraId="789FADB0" w14:textId="1AFA1996" w:rsidR="00600DE0" w:rsidRDefault="00600DE0" w:rsidP="004A2F7D">
            <w:pPr>
              <w:adjustRightInd w:val="0"/>
              <w:snapToGrid w:val="0"/>
              <w:jc w:val="center"/>
              <w:rPr>
                <w:bCs/>
              </w:rPr>
            </w:pPr>
            <w:r>
              <w:rPr>
                <w:lang w:bidi="ar"/>
              </w:rPr>
              <w:t>1.1×10</w:t>
            </w:r>
            <w:r>
              <w:rPr>
                <w:vertAlign w:val="superscript"/>
                <w:lang w:bidi="ar"/>
              </w:rPr>
              <w:t>-3</w:t>
            </w:r>
            <w:r>
              <w:rPr>
                <w:lang w:bidi="ar"/>
              </w:rPr>
              <w:t>L</w:t>
            </w:r>
          </w:p>
        </w:tc>
        <w:tc>
          <w:tcPr>
            <w:tcW w:w="325" w:type="pct"/>
            <w:vAlign w:val="center"/>
          </w:tcPr>
          <w:p w14:paraId="20D73A57" w14:textId="2A010FB0" w:rsidR="00600DE0" w:rsidRDefault="00600DE0" w:rsidP="004A2F7D">
            <w:pPr>
              <w:adjustRightInd w:val="0"/>
              <w:snapToGrid w:val="0"/>
              <w:jc w:val="center"/>
              <w:rPr>
                <w:bCs/>
              </w:rPr>
            </w:pPr>
            <w:r>
              <w:rPr>
                <w:lang w:bidi="ar"/>
              </w:rPr>
              <w:t>1.1×10</w:t>
            </w:r>
            <w:r>
              <w:rPr>
                <w:vertAlign w:val="superscript"/>
                <w:lang w:bidi="ar"/>
              </w:rPr>
              <w:t>-3</w:t>
            </w:r>
            <w:r>
              <w:rPr>
                <w:lang w:bidi="ar"/>
              </w:rPr>
              <w:t>L</w:t>
            </w:r>
          </w:p>
        </w:tc>
        <w:tc>
          <w:tcPr>
            <w:tcW w:w="333" w:type="pct"/>
            <w:vAlign w:val="center"/>
          </w:tcPr>
          <w:p w14:paraId="7BE5E9C1" w14:textId="7AED88C2" w:rsidR="00600DE0" w:rsidRDefault="00600DE0" w:rsidP="004A2F7D">
            <w:pPr>
              <w:pStyle w:val="TableText"/>
              <w:adjustRightInd w:val="0"/>
              <w:snapToGrid w:val="0"/>
              <w:jc w:val="center"/>
              <w:rPr>
                <w:rFonts w:ascii="Times New Roman" w:hAnsi="Times New Roman" w:cs="Times New Roman"/>
                <w:bCs/>
                <w:lang w:eastAsia="zh-CN"/>
              </w:rPr>
            </w:pPr>
            <w:r>
              <w:rPr>
                <w:rFonts w:ascii="Times New Roman" w:hAnsi="Times New Roman" w:cs="Times New Roman"/>
                <w:lang w:eastAsia="zh-CN" w:bidi="ar"/>
              </w:rPr>
              <w:t>1.1×10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87" w:type="pct"/>
            <w:vAlign w:val="center"/>
          </w:tcPr>
          <w:p w14:paraId="3E457C43" w14:textId="0E740008" w:rsidR="00600DE0" w:rsidRDefault="00600DE0" w:rsidP="004A2F7D">
            <w:pPr>
              <w:pStyle w:val="TableText"/>
              <w:adjustRightInd w:val="0"/>
              <w:snapToGrid w:val="0"/>
              <w:jc w:val="center"/>
              <w:rPr>
                <w:rFonts w:ascii="Times New Roman" w:hAnsi="Times New Roman" w:cs="Times New Roman"/>
                <w:bCs/>
                <w:lang w:eastAsia="zh-CN"/>
              </w:rPr>
            </w:pPr>
            <w:r>
              <w:rPr>
                <w:rFonts w:ascii="Times New Roman" w:hAnsi="Times New Roman" w:cs="Times New Roman"/>
                <w:lang w:eastAsia="zh-CN" w:bidi="ar"/>
              </w:rPr>
              <w:t>1.1×10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48" w:type="pct"/>
            <w:vAlign w:val="center"/>
          </w:tcPr>
          <w:p w14:paraId="0ABCE697" w14:textId="7EB31480" w:rsidR="00600DE0" w:rsidRDefault="00600DE0" w:rsidP="004A2F7D">
            <w:pPr>
              <w:pStyle w:val="TableText"/>
              <w:adjustRightInd w:val="0"/>
              <w:snapToGrid w:val="0"/>
              <w:jc w:val="center"/>
              <w:rPr>
                <w:rFonts w:ascii="Times New Roman" w:hAnsi="Times New Roman" w:cs="Times New Roman"/>
                <w:bCs/>
                <w:lang w:eastAsia="zh-CN"/>
              </w:rPr>
            </w:pPr>
            <w:r>
              <w:rPr>
                <w:rFonts w:ascii="Times New Roman" w:hAnsi="Times New Roman" w:cs="Times New Roman"/>
                <w:lang w:eastAsia="zh-CN" w:bidi="ar"/>
              </w:rPr>
              <w:t>1.1×10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47" w:type="pct"/>
            <w:vAlign w:val="center"/>
          </w:tcPr>
          <w:p w14:paraId="0BE6F6F1" w14:textId="07E48C50" w:rsidR="00600DE0" w:rsidRDefault="00600DE0" w:rsidP="004A2F7D">
            <w:pPr>
              <w:pStyle w:val="TableText"/>
              <w:adjustRightInd w:val="0"/>
              <w:snapToGrid w:val="0"/>
              <w:jc w:val="center"/>
              <w:rPr>
                <w:rFonts w:ascii="Times New Roman" w:hAnsi="Times New Roman" w:cs="Times New Roman"/>
                <w:bCs/>
                <w:lang w:eastAsia="zh-CN"/>
              </w:rPr>
            </w:pPr>
            <w:r>
              <w:rPr>
                <w:rFonts w:ascii="Times New Roman" w:hAnsi="Times New Roman" w:cs="Times New Roman"/>
                <w:lang w:eastAsia="zh-CN" w:bidi="ar"/>
              </w:rPr>
              <w:t>1.1×10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87" w:type="pct"/>
            <w:vAlign w:val="center"/>
          </w:tcPr>
          <w:p w14:paraId="369C24FD" w14:textId="01DBBB38" w:rsidR="00600DE0" w:rsidRDefault="00600DE0" w:rsidP="004A2F7D">
            <w:pPr>
              <w:pStyle w:val="TableText"/>
              <w:adjustRightInd w:val="0"/>
              <w:snapToGrid w:val="0"/>
              <w:jc w:val="center"/>
              <w:rPr>
                <w:rFonts w:ascii="Times New Roman" w:hAnsi="Times New Roman" w:cs="Times New Roman"/>
                <w:bCs/>
                <w:lang w:eastAsia="zh-CN"/>
              </w:rPr>
            </w:pPr>
            <w:r>
              <w:rPr>
                <w:rFonts w:ascii="Times New Roman" w:hAnsi="Times New Roman" w:cs="Times New Roman"/>
                <w:lang w:eastAsia="zh-CN" w:bidi="ar"/>
              </w:rPr>
              <w:t>1.1×10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49" w:type="pct"/>
            <w:vAlign w:val="center"/>
          </w:tcPr>
          <w:p w14:paraId="1F43C28C" w14:textId="465BBD65" w:rsidR="00600DE0" w:rsidRDefault="00600DE0" w:rsidP="004A2F7D">
            <w:pPr>
              <w:pStyle w:val="TableText"/>
              <w:adjustRightInd w:val="0"/>
              <w:snapToGrid w:val="0"/>
              <w:jc w:val="center"/>
              <w:rPr>
                <w:rFonts w:ascii="Times New Roman" w:hAnsi="Times New Roman" w:cs="Times New Roman"/>
                <w:bCs/>
                <w:lang w:eastAsia="zh-CN"/>
              </w:rPr>
            </w:pPr>
            <w:r>
              <w:rPr>
                <w:rFonts w:ascii="Times New Roman" w:hAnsi="Times New Roman" w:cs="Times New Roman"/>
                <w:lang w:eastAsia="zh-CN" w:bidi="ar"/>
              </w:rPr>
              <w:t>1.1×10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954" w:type="pct"/>
            <w:vAlign w:val="center"/>
          </w:tcPr>
          <w:p w14:paraId="058B3706" w14:textId="3FD53137" w:rsidR="00600DE0" w:rsidRDefault="00600DE0" w:rsidP="004A2F7D">
            <w:pPr>
              <w:pStyle w:val="TableText"/>
              <w:adjustRightInd w:val="0"/>
              <w:snapToGrid w:val="0"/>
              <w:jc w:val="center"/>
              <w:rPr>
                <w:rFonts w:ascii="Times New Roman" w:hAnsi="Times New Roman" w:cs="Times New Roman"/>
              </w:rPr>
            </w:pPr>
            <w:r>
              <w:rPr>
                <w:rFonts w:ascii="Times New Roman" w:hAnsi="Times New Roman" w:cs="Times New Roman"/>
                <w:lang w:eastAsia="zh-CN" w:bidi="ar"/>
              </w:rPr>
              <w:t>1.1×10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93" w:type="pct"/>
            <w:vMerge w:val="restart"/>
            <w:vAlign w:val="center"/>
          </w:tcPr>
          <w:p w14:paraId="48CAA391" w14:textId="6C3E8148" w:rsidR="00600DE0" w:rsidRDefault="00600DE0" w:rsidP="004A2F7D">
            <w:pPr>
              <w:adjustRightInd w:val="0"/>
              <w:snapToGrid w:val="0"/>
              <w:jc w:val="center"/>
              <w:rPr>
                <w:bCs/>
              </w:rPr>
            </w:pPr>
            <w:r>
              <w:rPr>
                <w:rFonts w:hint="eastAsia"/>
              </w:rPr>
              <w:t>5</w:t>
            </w:r>
          </w:p>
        </w:tc>
      </w:tr>
      <w:tr w:rsidR="00600DE0" w14:paraId="745AFABF" w14:textId="77777777" w:rsidTr="00600DE0">
        <w:trPr>
          <w:trHeight w:val="57"/>
          <w:jc w:val="center"/>
        </w:trPr>
        <w:tc>
          <w:tcPr>
            <w:tcW w:w="466" w:type="pct"/>
            <w:vAlign w:val="center"/>
          </w:tcPr>
          <w:p w14:paraId="2602638F" w14:textId="1D58CF5C" w:rsidR="00600DE0" w:rsidRDefault="00600DE0" w:rsidP="00B11C82">
            <w:pPr>
              <w:adjustRightInd w:val="0"/>
              <w:snapToGrid w:val="0"/>
              <w:jc w:val="center"/>
            </w:pPr>
            <w:r>
              <w:rPr>
                <w:rFonts w:hint="eastAsia"/>
              </w:rPr>
              <w:t>标准指数</w:t>
            </w:r>
          </w:p>
        </w:tc>
        <w:tc>
          <w:tcPr>
            <w:tcW w:w="325" w:type="pct"/>
            <w:vAlign w:val="center"/>
          </w:tcPr>
          <w:p w14:paraId="44B21EF2" w14:textId="11840BF1" w:rsidR="00600DE0" w:rsidRDefault="00600DE0" w:rsidP="00B11C82">
            <w:pPr>
              <w:adjustRightInd w:val="0"/>
              <w:snapToGrid w:val="0"/>
              <w:jc w:val="center"/>
              <w:rPr>
                <w:lang w:bidi="ar"/>
              </w:rPr>
            </w:pPr>
            <w:r>
              <w:rPr>
                <w:rFonts w:hint="eastAsia"/>
                <w:color w:val="000000"/>
                <w:sz w:val="22"/>
                <w:szCs w:val="22"/>
              </w:rPr>
              <w:t>/</w:t>
            </w:r>
          </w:p>
        </w:tc>
        <w:tc>
          <w:tcPr>
            <w:tcW w:w="387" w:type="pct"/>
            <w:vAlign w:val="center"/>
          </w:tcPr>
          <w:p w14:paraId="0059F406" w14:textId="11CACB3C" w:rsidR="00600DE0" w:rsidRDefault="00600DE0" w:rsidP="00B11C82">
            <w:pPr>
              <w:adjustRightInd w:val="0"/>
              <w:snapToGrid w:val="0"/>
              <w:jc w:val="center"/>
              <w:rPr>
                <w:lang w:bidi="ar"/>
              </w:rPr>
            </w:pPr>
            <w:r>
              <w:rPr>
                <w:rFonts w:hint="eastAsia"/>
                <w:color w:val="000000"/>
                <w:sz w:val="22"/>
                <w:szCs w:val="22"/>
              </w:rPr>
              <w:t>/</w:t>
            </w:r>
          </w:p>
        </w:tc>
        <w:tc>
          <w:tcPr>
            <w:tcW w:w="325" w:type="pct"/>
            <w:vAlign w:val="center"/>
          </w:tcPr>
          <w:p w14:paraId="15F32FF2" w14:textId="2BE3767E" w:rsidR="00600DE0" w:rsidRDefault="00600DE0" w:rsidP="00B11C82">
            <w:pPr>
              <w:adjustRightInd w:val="0"/>
              <w:snapToGrid w:val="0"/>
              <w:jc w:val="center"/>
              <w:rPr>
                <w:lang w:bidi="ar"/>
              </w:rPr>
            </w:pPr>
            <w:r>
              <w:rPr>
                <w:rFonts w:hint="eastAsia"/>
                <w:color w:val="000000"/>
                <w:sz w:val="22"/>
                <w:szCs w:val="22"/>
              </w:rPr>
              <w:t>/</w:t>
            </w:r>
          </w:p>
        </w:tc>
        <w:tc>
          <w:tcPr>
            <w:tcW w:w="333" w:type="pct"/>
            <w:vAlign w:val="center"/>
          </w:tcPr>
          <w:p w14:paraId="2D831F5F" w14:textId="5045945E"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87" w:type="pct"/>
            <w:vAlign w:val="center"/>
          </w:tcPr>
          <w:p w14:paraId="1A575A29" w14:textId="1859B6C3"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48" w:type="pct"/>
            <w:vAlign w:val="center"/>
          </w:tcPr>
          <w:p w14:paraId="242A89FF" w14:textId="44C51DCC"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47" w:type="pct"/>
            <w:vAlign w:val="center"/>
          </w:tcPr>
          <w:p w14:paraId="0EFCD0D5" w14:textId="5914F579"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87" w:type="pct"/>
            <w:vAlign w:val="center"/>
          </w:tcPr>
          <w:p w14:paraId="13E44303" w14:textId="1419FF0C"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49" w:type="pct"/>
            <w:vAlign w:val="center"/>
          </w:tcPr>
          <w:p w14:paraId="36EB9671" w14:textId="445A2BE7"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954" w:type="pct"/>
            <w:vAlign w:val="center"/>
          </w:tcPr>
          <w:p w14:paraId="06F74A6A" w14:textId="52530DC4"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93" w:type="pct"/>
            <w:vMerge/>
            <w:vAlign w:val="center"/>
          </w:tcPr>
          <w:p w14:paraId="57EE846C" w14:textId="77777777" w:rsidR="00600DE0" w:rsidRDefault="00600DE0" w:rsidP="00B11C82">
            <w:pPr>
              <w:adjustRightInd w:val="0"/>
              <w:snapToGrid w:val="0"/>
              <w:jc w:val="center"/>
            </w:pPr>
          </w:p>
        </w:tc>
      </w:tr>
      <w:tr w:rsidR="00600DE0" w14:paraId="134BD6DE" w14:textId="77777777" w:rsidTr="00600DE0">
        <w:trPr>
          <w:trHeight w:val="57"/>
          <w:jc w:val="center"/>
        </w:trPr>
        <w:tc>
          <w:tcPr>
            <w:tcW w:w="466" w:type="pct"/>
            <w:vAlign w:val="center"/>
          </w:tcPr>
          <w:p w14:paraId="7D0FBB3A" w14:textId="30358854" w:rsidR="00600DE0" w:rsidRDefault="00600DE0" w:rsidP="004A2F7D">
            <w:pPr>
              <w:adjustRightInd w:val="0"/>
              <w:snapToGrid w:val="0"/>
              <w:jc w:val="center"/>
            </w:pPr>
            <w:r>
              <w:t>1,1,1,2-</w:t>
            </w:r>
            <w:r>
              <w:t>四氯乙烷</w:t>
            </w:r>
          </w:p>
        </w:tc>
        <w:tc>
          <w:tcPr>
            <w:tcW w:w="325" w:type="pct"/>
            <w:vAlign w:val="center"/>
          </w:tcPr>
          <w:p w14:paraId="7FC3D6DC" w14:textId="27C25D34" w:rsidR="00600DE0" w:rsidRDefault="00600DE0" w:rsidP="004A2F7D">
            <w:pPr>
              <w:adjustRightInd w:val="0"/>
              <w:snapToGrid w:val="0"/>
              <w:jc w:val="center"/>
              <w:rPr>
                <w:bCs/>
              </w:rPr>
            </w:pPr>
            <w:r>
              <w:rPr>
                <w:lang w:bidi="ar"/>
              </w:rPr>
              <w:t>1.2×10</w:t>
            </w:r>
            <w:r>
              <w:rPr>
                <w:vertAlign w:val="superscript"/>
                <w:lang w:bidi="ar"/>
              </w:rPr>
              <w:t>-3</w:t>
            </w:r>
            <w:r>
              <w:rPr>
                <w:lang w:bidi="ar"/>
              </w:rPr>
              <w:t>L</w:t>
            </w:r>
          </w:p>
        </w:tc>
        <w:tc>
          <w:tcPr>
            <w:tcW w:w="387" w:type="pct"/>
            <w:vAlign w:val="center"/>
          </w:tcPr>
          <w:p w14:paraId="1716B527" w14:textId="1844F323" w:rsidR="00600DE0" w:rsidRDefault="00600DE0" w:rsidP="004A2F7D">
            <w:pPr>
              <w:adjustRightInd w:val="0"/>
              <w:snapToGrid w:val="0"/>
              <w:jc w:val="center"/>
              <w:rPr>
                <w:bCs/>
              </w:rPr>
            </w:pPr>
            <w:r>
              <w:rPr>
                <w:lang w:bidi="ar"/>
              </w:rPr>
              <w:t>1.2×10</w:t>
            </w:r>
            <w:r>
              <w:rPr>
                <w:vertAlign w:val="superscript"/>
                <w:lang w:bidi="ar"/>
              </w:rPr>
              <w:t>-3</w:t>
            </w:r>
            <w:r>
              <w:rPr>
                <w:lang w:bidi="ar"/>
              </w:rPr>
              <w:t>L</w:t>
            </w:r>
          </w:p>
        </w:tc>
        <w:tc>
          <w:tcPr>
            <w:tcW w:w="325" w:type="pct"/>
            <w:vAlign w:val="center"/>
          </w:tcPr>
          <w:p w14:paraId="5D305D20" w14:textId="60E8D21D" w:rsidR="00600DE0" w:rsidRDefault="00600DE0" w:rsidP="004A2F7D">
            <w:pPr>
              <w:adjustRightInd w:val="0"/>
              <w:snapToGrid w:val="0"/>
              <w:jc w:val="center"/>
              <w:rPr>
                <w:bCs/>
              </w:rPr>
            </w:pPr>
            <w:r>
              <w:rPr>
                <w:lang w:bidi="ar"/>
              </w:rPr>
              <w:t>1.2×10</w:t>
            </w:r>
            <w:r>
              <w:rPr>
                <w:vertAlign w:val="superscript"/>
                <w:lang w:bidi="ar"/>
              </w:rPr>
              <w:t>-3</w:t>
            </w:r>
            <w:r>
              <w:rPr>
                <w:lang w:bidi="ar"/>
              </w:rPr>
              <w:t>L</w:t>
            </w:r>
          </w:p>
        </w:tc>
        <w:tc>
          <w:tcPr>
            <w:tcW w:w="333" w:type="pct"/>
            <w:vAlign w:val="center"/>
          </w:tcPr>
          <w:p w14:paraId="23718B2A" w14:textId="579E257C" w:rsidR="00600DE0" w:rsidRDefault="00600DE0" w:rsidP="004A2F7D">
            <w:pPr>
              <w:pStyle w:val="TableText"/>
              <w:adjustRightInd w:val="0"/>
              <w:snapToGrid w:val="0"/>
              <w:jc w:val="center"/>
              <w:rPr>
                <w:rFonts w:ascii="Times New Roman" w:hAnsi="Times New Roman" w:cs="Times New Roman"/>
                <w:bCs/>
                <w:lang w:eastAsia="zh-CN"/>
              </w:rPr>
            </w:pPr>
            <w:r>
              <w:rPr>
                <w:rFonts w:ascii="Times New Roman" w:hAnsi="Times New Roman" w:cs="Times New Roman"/>
                <w:lang w:eastAsia="zh-CN" w:bidi="ar"/>
              </w:rPr>
              <w:t>1.2×10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87" w:type="pct"/>
            <w:vAlign w:val="center"/>
          </w:tcPr>
          <w:p w14:paraId="55F48B5F" w14:textId="4B0A4F5D" w:rsidR="00600DE0" w:rsidRDefault="00600DE0" w:rsidP="004A2F7D">
            <w:pPr>
              <w:pStyle w:val="TableText"/>
              <w:adjustRightInd w:val="0"/>
              <w:snapToGrid w:val="0"/>
              <w:jc w:val="center"/>
              <w:rPr>
                <w:rFonts w:ascii="Times New Roman" w:hAnsi="Times New Roman" w:cs="Times New Roman"/>
                <w:bCs/>
                <w:lang w:eastAsia="zh-CN"/>
              </w:rPr>
            </w:pPr>
            <w:r>
              <w:rPr>
                <w:rFonts w:ascii="Times New Roman" w:hAnsi="Times New Roman" w:cs="Times New Roman"/>
                <w:lang w:eastAsia="zh-CN" w:bidi="ar"/>
              </w:rPr>
              <w:t>1.2×10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48" w:type="pct"/>
            <w:vAlign w:val="center"/>
          </w:tcPr>
          <w:p w14:paraId="21938F6F" w14:textId="67CD2486" w:rsidR="00600DE0" w:rsidRDefault="00600DE0" w:rsidP="004A2F7D">
            <w:pPr>
              <w:pStyle w:val="TableText"/>
              <w:adjustRightInd w:val="0"/>
              <w:snapToGrid w:val="0"/>
              <w:jc w:val="center"/>
              <w:rPr>
                <w:rFonts w:ascii="Times New Roman" w:hAnsi="Times New Roman" w:cs="Times New Roman"/>
                <w:bCs/>
                <w:lang w:eastAsia="zh-CN"/>
              </w:rPr>
            </w:pPr>
            <w:r>
              <w:rPr>
                <w:rFonts w:ascii="Times New Roman" w:hAnsi="Times New Roman" w:cs="Times New Roman"/>
                <w:lang w:eastAsia="zh-CN" w:bidi="ar"/>
              </w:rPr>
              <w:t>1.2×10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47" w:type="pct"/>
            <w:vAlign w:val="center"/>
          </w:tcPr>
          <w:p w14:paraId="34F25996" w14:textId="17D6BD7C" w:rsidR="00600DE0" w:rsidRDefault="00600DE0" w:rsidP="004A2F7D">
            <w:pPr>
              <w:pStyle w:val="TableText"/>
              <w:adjustRightInd w:val="0"/>
              <w:snapToGrid w:val="0"/>
              <w:jc w:val="center"/>
              <w:rPr>
                <w:rFonts w:ascii="Times New Roman" w:hAnsi="Times New Roman" w:cs="Times New Roman"/>
                <w:bCs/>
                <w:lang w:eastAsia="zh-CN"/>
              </w:rPr>
            </w:pPr>
            <w:r>
              <w:rPr>
                <w:rFonts w:ascii="Times New Roman" w:hAnsi="Times New Roman" w:cs="Times New Roman"/>
                <w:lang w:eastAsia="zh-CN" w:bidi="ar"/>
              </w:rPr>
              <w:t>1.2×10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87" w:type="pct"/>
            <w:vAlign w:val="center"/>
          </w:tcPr>
          <w:p w14:paraId="5063952D" w14:textId="613FB199" w:rsidR="00600DE0" w:rsidRDefault="00600DE0" w:rsidP="004A2F7D">
            <w:pPr>
              <w:pStyle w:val="TableText"/>
              <w:adjustRightInd w:val="0"/>
              <w:snapToGrid w:val="0"/>
              <w:jc w:val="center"/>
              <w:rPr>
                <w:rFonts w:ascii="Times New Roman" w:hAnsi="Times New Roman" w:cs="Times New Roman"/>
                <w:bCs/>
                <w:lang w:eastAsia="zh-CN"/>
              </w:rPr>
            </w:pPr>
            <w:r>
              <w:rPr>
                <w:rFonts w:ascii="Times New Roman" w:hAnsi="Times New Roman" w:cs="Times New Roman"/>
                <w:lang w:eastAsia="zh-CN" w:bidi="ar"/>
              </w:rPr>
              <w:t>1.2×10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49" w:type="pct"/>
            <w:vAlign w:val="center"/>
          </w:tcPr>
          <w:p w14:paraId="175EB658" w14:textId="360D6824" w:rsidR="00600DE0" w:rsidRDefault="00600DE0" w:rsidP="004A2F7D">
            <w:pPr>
              <w:pStyle w:val="TableText"/>
              <w:adjustRightInd w:val="0"/>
              <w:snapToGrid w:val="0"/>
              <w:jc w:val="center"/>
              <w:rPr>
                <w:rFonts w:ascii="Times New Roman" w:hAnsi="Times New Roman" w:cs="Times New Roman"/>
                <w:bCs/>
                <w:lang w:eastAsia="zh-CN"/>
              </w:rPr>
            </w:pPr>
            <w:r>
              <w:rPr>
                <w:rFonts w:ascii="Times New Roman" w:hAnsi="Times New Roman" w:cs="Times New Roman"/>
                <w:lang w:eastAsia="zh-CN" w:bidi="ar"/>
              </w:rPr>
              <w:t>1.2×10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954" w:type="pct"/>
            <w:vAlign w:val="center"/>
          </w:tcPr>
          <w:p w14:paraId="2785FD07" w14:textId="22778481" w:rsidR="00600DE0" w:rsidRDefault="00600DE0" w:rsidP="004A2F7D">
            <w:pPr>
              <w:pStyle w:val="TableText"/>
              <w:adjustRightInd w:val="0"/>
              <w:snapToGrid w:val="0"/>
              <w:jc w:val="center"/>
              <w:rPr>
                <w:rFonts w:ascii="Times New Roman" w:hAnsi="Times New Roman" w:cs="Times New Roman"/>
              </w:rPr>
            </w:pPr>
            <w:r>
              <w:rPr>
                <w:rFonts w:ascii="Times New Roman" w:hAnsi="Times New Roman" w:cs="Times New Roman"/>
                <w:lang w:eastAsia="zh-CN" w:bidi="ar"/>
              </w:rPr>
              <w:t>1.2×10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93" w:type="pct"/>
            <w:vMerge w:val="restart"/>
            <w:vAlign w:val="center"/>
          </w:tcPr>
          <w:p w14:paraId="5A48ABB7" w14:textId="58C66FDD" w:rsidR="00600DE0" w:rsidRDefault="00600DE0" w:rsidP="004A2F7D">
            <w:pPr>
              <w:adjustRightInd w:val="0"/>
              <w:snapToGrid w:val="0"/>
              <w:jc w:val="center"/>
              <w:rPr>
                <w:bCs/>
              </w:rPr>
            </w:pPr>
            <w:r>
              <w:rPr>
                <w:rFonts w:hint="eastAsia"/>
              </w:rPr>
              <w:t>10</w:t>
            </w:r>
          </w:p>
        </w:tc>
      </w:tr>
      <w:tr w:rsidR="00600DE0" w14:paraId="16D58A53" w14:textId="77777777" w:rsidTr="00600DE0">
        <w:trPr>
          <w:trHeight w:val="57"/>
          <w:jc w:val="center"/>
        </w:trPr>
        <w:tc>
          <w:tcPr>
            <w:tcW w:w="466" w:type="pct"/>
            <w:vAlign w:val="center"/>
          </w:tcPr>
          <w:p w14:paraId="0744BF62" w14:textId="7317BDAE" w:rsidR="00600DE0" w:rsidRDefault="00600DE0" w:rsidP="00B11C82">
            <w:pPr>
              <w:adjustRightInd w:val="0"/>
              <w:snapToGrid w:val="0"/>
              <w:jc w:val="center"/>
            </w:pPr>
            <w:r>
              <w:rPr>
                <w:rFonts w:hint="eastAsia"/>
              </w:rPr>
              <w:t>标准指数</w:t>
            </w:r>
          </w:p>
        </w:tc>
        <w:tc>
          <w:tcPr>
            <w:tcW w:w="325" w:type="pct"/>
            <w:vAlign w:val="center"/>
          </w:tcPr>
          <w:p w14:paraId="736ED9A1" w14:textId="2501C85C" w:rsidR="00600DE0" w:rsidRDefault="00600DE0" w:rsidP="00B11C82">
            <w:pPr>
              <w:adjustRightInd w:val="0"/>
              <w:snapToGrid w:val="0"/>
              <w:jc w:val="center"/>
              <w:rPr>
                <w:lang w:bidi="ar"/>
              </w:rPr>
            </w:pPr>
            <w:r>
              <w:rPr>
                <w:rFonts w:hint="eastAsia"/>
                <w:color w:val="000000"/>
                <w:sz w:val="22"/>
                <w:szCs w:val="22"/>
              </w:rPr>
              <w:t>/</w:t>
            </w:r>
          </w:p>
        </w:tc>
        <w:tc>
          <w:tcPr>
            <w:tcW w:w="387" w:type="pct"/>
            <w:vAlign w:val="center"/>
          </w:tcPr>
          <w:p w14:paraId="7E9FFD2E" w14:textId="507024AC" w:rsidR="00600DE0" w:rsidRDefault="00600DE0" w:rsidP="00B11C82">
            <w:pPr>
              <w:adjustRightInd w:val="0"/>
              <w:snapToGrid w:val="0"/>
              <w:jc w:val="center"/>
              <w:rPr>
                <w:lang w:bidi="ar"/>
              </w:rPr>
            </w:pPr>
            <w:r>
              <w:rPr>
                <w:rFonts w:hint="eastAsia"/>
                <w:color w:val="000000"/>
                <w:sz w:val="22"/>
                <w:szCs w:val="22"/>
              </w:rPr>
              <w:t>/</w:t>
            </w:r>
          </w:p>
        </w:tc>
        <w:tc>
          <w:tcPr>
            <w:tcW w:w="325" w:type="pct"/>
            <w:vAlign w:val="center"/>
          </w:tcPr>
          <w:p w14:paraId="5AC0CC1D" w14:textId="793BBD9D" w:rsidR="00600DE0" w:rsidRDefault="00600DE0" w:rsidP="00B11C82">
            <w:pPr>
              <w:adjustRightInd w:val="0"/>
              <w:snapToGrid w:val="0"/>
              <w:jc w:val="center"/>
              <w:rPr>
                <w:lang w:bidi="ar"/>
              </w:rPr>
            </w:pPr>
            <w:r>
              <w:rPr>
                <w:rFonts w:hint="eastAsia"/>
                <w:color w:val="000000"/>
                <w:sz w:val="22"/>
                <w:szCs w:val="22"/>
              </w:rPr>
              <w:t>/</w:t>
            </w:r>
          </w:p>
        </w:tc>
        <w:tc>
          <w:tcPr>
            <w:tcW w:w="333" w:type="pct"/>
            <w:vAlign w:val="center"/>
          </w:tcPr>
          <w:p w14:paraId="31635EDC" w14:textId="03E615CB"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87" w:type="pct"/>
            <w:vAlign w:val="center"/>
          </w:tcPr>
          <w:p w14:paraId="4C3AEE18" w14:textId="2CDEB3A3"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48" w:type="pct"/>
            <w:vAlign w:val="center"/>
          </w:tcPr>
          <w:p w14:paraId="0BCCF633" w14:textId="769E321A"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47" w:type="pct"/>
            <w:vAlign w:val="center"/>
          </w:tcPr>
          <w:p w14:paraId="510DB015" w14:textId="2DF510FF"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87" w:type="pct"/>
            <w:vAlign w:val="center"/>
          </w:tcPr>
          <w:p w14:paraId="15290041" w14:textId="2D99E2BA"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49" w:type="pct"/>
            <w:vAlign w:val="center"/>
          </w:tcPr>
          <w:p w14:paraId="60FB834B" w14:textId="039BB61E"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954" w:type="pct"/>
            <w:vAlign w:val="center"/>
          </w:tcPr>
          <w:p w14:paraId="2BE8D19A" w14:textId="07A64763"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93" w:type="pct"/>
            <w:vMerge/>
            <w:vAlign w:val="center"/>
          </w:tcPr>
          <w:p w14:paraId="1DBDD65E" w14:textId="77777777" w:rsidR="00600DE0" w:rsidRDefault="00600DE0" w:rsidP="00B11C82">
            <w:pPr>
              <w:adjustRightInd w:val="0"/>
              <w:snapToGrid w:val="0"/>
              <w:jc w:val="center"/>
            </w:pPr>
          </w:p>
        </w:tc>
      </w:tr>
      <w:tr w:rsidR="00600DE0" w14:paraId="5FF59D4A" w14:textId="77777777" w:rsidTr="00600DE0">
        <w:trPr>
          <w:trHeight w:val="57"/>
          <w:jc w:val="center"/>
        </w:trPr>
        <w:tc>
          <w:tcPr>
            <w:tcW w:w="466" w:type="pct"/>
            <w:vAlign w:val="center"/>
          </w:tcPr>
          <w:p w14:paraId="5F7EB7FF" w14:textId="10BBBB96" w:rsidR="00600DE0" w:rsidRDefault="00600DE0" w:rsidP="004A2F7D">
            <w:pPr>
              <w:adjustRightInd w:val="0"/>
              <w:snapToGrid w:val="0"/>
              <w:jc w:val="center"/>
            </w:pPr>
            <w:r>
              <w:t>1,1,2,2-</w:t>
            </w:r>
            <w:r>
              <w:t>四氯乙烷</w:t>
            </w:r>
          </w:p>
        </w:tc>
        <w:tc>
          <w:tcPr>
            <w:tcW w:w="325" w:type="pct"/>
            <w:vAlign w:val="center"/>
          </w:tcPr>
          <w:p w14:paraId="23878344" w14:textId="4D528847" w:rsidR="00600DE0" w:rsidRDefault="00600DE0" w:rsidP="004A2F7D">
            <w:pPr>
              <w:adjustRightInd w:val="0"/>
              <w:snapToGrid w:val="0"/>
              <w:jc w:val="center"/>
              <w:rPr>
                <w:bCs/>
              </w:rPr>
            </w:pPr>
            <w:r>
              <w:rPr>
                <w:lang w:bidi="ar"/>
              </w:rPr>
              <w:t>1.2×10</w:t>
            </w:r>
            <w:r>
              <w:rPr>
                <w:vertAlign w:val="superscript"/>
                <w:lang w:bidi="ar"/>
              </w:rPr>
              <w:t>-3</w:t>
            </w:r>
            <w:r>
              <w:rPr>
                <w:lang w:bidi="ar"/>
              </w:rPr>
              <w:t>L</w:t>
            </w:r>
          </w:p>
        </w:tc>
        <w:tc>
          <w:tcPr>
            <w:tcW w:w="387" w:type="pct"/>
            <w:vAlign w:val="center"/>
          </w:tcPr>
          <w:p w14:paraId="20C39F4C" w14:textId="0B0BAE0E" w:rsidR="00600DE0" w:rsidRDefault="00600DE0" w:rsidP="004A2F7D">
            <w:pPr>
              <w:adjustRightInd w:val="0"/>
              <w:snapToGrid w:val="0"/>
              <w:jc w:val="center"/>
              <w:rPr>
                <w:bCs/>
              </w:rPr>
            </w:pPr>
            <w:r>
              <w:rPr>
                <w:lang w:bidi="ar"/>
              </w:rPr>
              <w:t>1.2×10</w:t>
            </w:r>
            <w:r>
              <w:rPr>
                <w:vertAlign w:val="superscript"/>
                <w:lang w:bidi="ar"/>
              </w:rPr>
              <w:t>-3</w:t>
            </w:r>
            <w:r>
              <w:rPr>
                <w:lang w:bidi="ar"/>
              </w:rPr>
              <w:t>L</w:t>
            </w:r>
          </w:p>
        </w:tc>
        <w:tc>
          <w:tcPr>
            <w:tcW w:w="325" w:type="pct"/>
            <w:vAlign w:val="center"/>
          </w:tcPr>
          <w:p w14:paraId="0BC2E70D" w14:textId="3DFC308A" w:rsidR="00600DE0" w:rsidRDefault="00600DE0" w:rsidP="004A2F7D">
            <w:pPr>
              <w:adjustRightInd w:val="0"/>
              <w:snapToGrid w:val="0"/>
              <w:jc w:val="center"/>
              <w:rPr>
                <w:bCs/>
              </w:rPr>
            </w:pPr>
            <w:r>
              <w:rPr>
                <w:lang w:bidi="ar"/>
              </w:rPr>
              <w:t>1.2×10</w:t>
            </w:r>
            <w:r>
              <w:rPr>
                <w:vertAlign w:val="superscript"/>
                <w:lang w:bidi="ar"/>
              </w:rPr>
              <w:t>-3</w:t>
            </w:r>
            <w:r>
              <w:rPr>
                <w:lang w:bidi="ar"/>
              </w:rPr>
              <w:t>L</w:t>
            </w:r>
          </w:p>
        </w:tc>
        <w:tc>
          <w:tcPr>
            <w:tcW w:w="333" w:type="pct"/>
            <w:vAlign w:val="center"/>
          </w:tcPr>
          <w:p w14:paraId="4F26994A" w14:textId="2EB658F0" w:rsidR="00600DE0" w:rsidRDefault="00600DE0" w:rsidP="004A2F7D">
            <w:pPr>
              <w:pStyle w:val="TableText"/>
              <w:adjustRightInd w:val="0"/>
              <w:snapToGrid w:val="0"/>
              <w:jc w:val="center"/>
              <w:rPr>
                <w:rFonts w:ascii="Times New Roman" w:hAnsi="Times New Roman" w:cs="Times New Roman"/>
                <w:bCs/>
                <w:lang w:eastAsia="zh-CN"/>
              </w:rPr>
            </w:pPr>
            <w:r>
              <w:rPr>
                <w:rFonts w:ascii="Times New Roman" w:hAnsi="Times New Roman" w:cs="Times New Roman"/>
                <w:lang w:eastAsia="zh-CN" w:bidi="ar"/>
              </w:rPr>
              <w:t>1.2×10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87" w:type="pct"/>
            <w:vAlign w:val="center"/>
          </w:tcPr>
          <w:p w14:paraId="16D3953C" w14:textId="2EB0C631" w:rsidR="00600DE0" w:rsidRDefault="00600DE0" w:rsidP="004A2F7D">
            <w:pPr>
              <w:pStyle w:val="TableText"/>
              <w:adjustRightInd w:val="0"/>
              <w:snapToGrid w:val="0"/>
              <w:jc w:val="center"/>
              <w:rPr>
                <w:rFonts w:ascii="Times New Roman" w:hAnsi="Times New Roman" w:cs="Times New Roman"/>
                <w:bCs/>
                <w:lang w:eastAsia="zh-CN"/>
              </w:rPr>
            </w:pPr>
            <w:r>
              <w:rPr>
                <w:rFonts w:ascii="Times New Roman" w:hAnsi="Times New Roman" w:cs="Times New Roman"/>
                <w:lang w:eastAsia="zh-CN" w:bidi="ar"/>
              </w:rPr>
              <w:t>1.2×10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48" w:type="pct"/>
            <w:vAlign w:val="center"/>
          </w:tcPr>
          <w:p w14:paraId="4E10E11C" w14:textId="529E6C13" w:rsidR="00600DE0" w:rsidRDefault="00600DE0" w:rsidP="004A2F7D">
            <w:pPr>
              <w:pStyle w:val="TableText"/>
              <w:adjustRightInd w:val="0"/>
              <w:snapToGrid w:val="0"/>
              <w:jc w:val="center"/>
              <w:rPr>
                <w:rFonts w:ascii="Times New Roman" w:hAnsi="Times New Roman" w:cs="Times New Roman"/>
                <w:bCs/>
                <w:lang w:eastAsia="zh-CN"/>
              </w:rPr>
            </w:pPr>
            <w:r>
              <w:rPr>
                <w:rFonts w:ascii="Times New Roman" w:hAnsi="Times New Roman" w:cs="Times New Roman"/>
                <w:lang w:eastAsia="zh-CN" w:bidi="ar"/>
              </w:rPr>
              <w:t>1.2×10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47" w:type="pct"/>
            <w:vAlign w:val="center"/>
          </w:tcPr>
          <w:p w14:paraId="7898BF7E" w14:textId="12732CA5" w:rsidR="00600DE0" w:rsidRDefault="00600DE0" w:rsidP="004A2F7D">
            <w:pPr>
              <w:pStyle w:val="TableText"/>
              <w:adjustRightInd w:val="0"/>
              <w:snapToGrid w:val="0"/>
              <w:jc w:val="center"/>
              <w:rPr>
                <w:rFonts w:ascii="Times New Roman" w:hAnsi="Times New Roman" w:cs="Times New Roman"/>
                <w:bCs/>
                <w:lang w:eastAsia="zh-CN"/>
              </w:rPr>
            </w:pPr>
            <w:r>
              <w:rPr>
                <w:rFonts w:ascii="Times New Roman" w:hAnsi="Times New Roman" w:cs="Times New Roman"/>
                <w:lang w:eastAsia="zh-CN" w:bidi="ar"/>
              </w:rPr>
              <w:t>1.2×10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87" w:type="pct"/>
            <w:vAlign w:val="center"/>
          </w:tcPr>
          <w:p w14:paraId="16F73A30" w14:textId="5D62A454" w:rsidR="00600DE0" w:rsidRDefault="00600DE0" w:rsidP="004A2F7D">
            <w:pPr>
              <w:pStyle w:val="TableText"/>
              <w:adjustRightInd w:val="0"/>
              <w:snapToGrid w:val="0"/>
              <w:jc w:val="center"/>
              <w:rPr>
                <w:rFonts w:ascii="Times New Roman" w:hAnsi="Times New Roman" w:cs="Times New Roman"/>
                <w:bCs/>
                <w:lang w:eastAsia="zh-CN"/>
              </w:rPr>
            </w:pPr>
            <w:r>
              <w:rPr>
                <w:rFonts w:ascii="Times New Roman" w:hAnsi="Times New Roman" w:cs="Times New Roman"/>
                <w:lang w:eastAsia="zh-CN" w:bidi="ar"/>
              </w:rPr>
              <w:t>1.2×10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49" w:type="pct"/>
            <w:vAlign w:val="center"/>
          </w:tcPr>
          <w:p w14:paraId="25800F31" w14:textId="3B484B30" w:rsidR="00600DE0" w:rsidRDefault="00600DE0" w:rsidP="004A2F7D">
            <w:pPr>
              <w:pStyle w:val="TableText"/>
              <w:adjustRightInd w:val="0"/>
              <w:snapToGrid w:val="0"/>
              <w:jc w:val="center"/>
              <w:rPr>
                <w:rFonts w:ascii="Times New Roman" w:hAnsi="Times New Roman" w:cs="Times New Roman"/>
                <w:bCs/>
                <w:lang w:eastAsia="zh-CN"/>
              </w:rPr>
            </w:pPr>
            <w:r>
              <w:rPr>
                <w:rFonts w:ascii="Times New Roman" w:hAnsi="Times New Roman" w:cs="Times New Roman"/>
                <w:lang w:eastAsia="zh-CN" w:bidi="ar"/>
              </w:rPr>
              <w:t>1.2×10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954" w:type="pct"/>
            <w:vAlign w:val="center"/>
          </w:tcPr>
          <w:p w14:paraId="3CD396C7" w14:textId="7F376746" w:rsidR="00600DE0" w:rsidRDefault="00600DE0" w:rsidP="004A2F7D">
            <w:pPr>
              <w:pStyle w:val="TableText"/>
              <w:adjustRightInd w:val="0"/>
              <w:snapToGrid w:val="0"/>
              <w:jc w:val="center"/>
              <w:rPr>
                <w:rFonts w:ascii="Times New Roman" w:hAnsi="Times New Roman" w:cs="Times New Roman"/>
              </w:rPr>
            </w:pPr>
            <w:r>
              <w:rPr>
                <w:rFonts w:ascii="Times New Roman" w:hAnsi="Times New Roman" w:cs="Times New Roman"/>
                <w:lang w:eastAsia="zh-CN" w:bidi="ar"/>
              </w:rPr>
              <w:t>1.2×10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93" w:type="pct"/>
            <w:vMerge w:val="restart"/>
            <w:vAlign w:val="center"/>
          </w:tcPr>
          <w:p w14:paraId="1C4C312E" w14:textId="55881770" w:rsidR="00600DE0" w:rsidRDefault="00600DE0" w:rsidP="004A2F7D">
            <w:pPr>
              <w:adjustRightInd w:val="0"/>
              <w:snapToGrid w:val="0"/>
              <w:jc w:val="center"/>
              <w:rPr>
                <w:bCs/>
              </w:rPr>
            </w:pPr>
            <w:r>
              <w:rPr>
                <w:rFonts w:hint="eastAsia"/>
              </w:rPr>
              <w:t>6.8</w:t>
            </w:r>
          </w:p>
        </w:tc>
      </w:tr>
      <w:tr w:rsidR="00600DE0" w14:paraId="1DB330B2" w14:textId="77777777" w:rsidTr="00600DE0">
        <w:trPr>
          <w:trHeight w:val="57"/>
          <w:jc w:val="center"/>
        </w:trPr>
        <w:tc>
          <w:tcPr>
            <w:tcW w:w="466" w:type="pct"/>
            <w:vAlign w:val="center"/>
          </w:tcPr>
          <w:p w14:paraId="019A0FFE" w14:textId="70D4C46E" w:rsidR="00600DE0" w:rsidRDefault="00600DE0" w:rsidP="00B11C82">
            <w:pPr>
              <w:adjustRightInd w:val="0"/>
              <w:snapToGrid w:val="0"/>
              <w:jc w:val="center"/>
            </w:pPr>
            <w:r>
              <w:rPr>
                <w:rFonts w:hint="eastAsia"/>
              </w:rPr>
              <w:t>标准指数</w:t>
            </w:r>
          </w:p>
        </w:tc>
        <w:tc>
          <w:tcPr>
            <w:tcW w:w="325" w:type="pct"/>
            <w:vAlign w:val="center"/>
          </w:tcPr>
          <w:p w14:paraId="0E6421EC" w14:textId="7724BA80" w:rsidR="00600DE0" w:rsidRDefault="00600DE0" w:rsidP="00B11C82">
            <w:pPr>
              <w:adjustRightInd w:val="0"/>
              <w:snapToGrid w:val="0"/>
              <w:jc w:val="center"/>
              <w:rPr>
                <w:lang w:bidi="ar"/>
              </w:rPr>
            </w:pPr>
            <w:r>
              <w:rPr>
                <w:rFonts w:hint="eastAsia"/>
                <w:color w:val="000000"/>
                <w:sz w:val="22"/>
                <w:szCs w:val="22"/>
              </w:rPr>
              <w:t>/</w:t>
            </w:r>
          </w:p>
        </w:tc>
        <w:tc>
          <w:tcPr>
            <w:tcW w:w="387" w:type="pct"/>
            <w:vAlign w:val="center"/>
          </w:tcPr>
          <w:p w14:paraId="32761960" w14:textId="5713A979" w:rsidR="00600DE0" w:rsidRDefault="00600DE0" w:rsidP="00B11C82">
            <w:pPr>
              <w:adjustRightInd w:val="0"/>
              <w:snapToGrid w:val="0"/>
              <w:jc w:val="center"/>
              <w:rPr>
                <w:lang w:bidi="ar"/>
              </w:rPr>
            </w:pPr>
            <w:r>
              <w:rPr>
                <w:rFonts w:hint="eastAsia"/>
                <w:color w:val="000000"/>
                <w:sz w:val="22"/>
                <w:szCs w:val="22"/>
              </w:rPr>
              <w:t>/</w:t>
            </w:r>
          </w:p>
        </w:tc>
        <w:tc>
          <w:tcPr>
            <w:tcW w:w="325" w:type="pct"/>
            <w:vAlign w:val="center"/>
          </w:tcPr>
          <w:p w14:paraId="77B85785" w14:textId="2859733B" w:rsidR="00600DE0" w:rsidRDefault="00600DE0" w:rsidP="00B11C82">
            <w:pPr>
              <w:adjustRightInd w:val="0"/>
              <w:snapToGrid w:val="0"/>
              <w:jc w:val="center"/>
              <w:rPr>
                <w:lang w:bidi="ar"/>
              </w:rPr>
            </w:pPr>
            <w:r>
              <w:rPr>
                <w:rFonts w:hint="eastAsia"/>
                <w:color w:val="000000"/>
                <w:sz w:val="22"/>
                <w:szCs w:val="22"/>
              </w:rPr>
              <w:t>/</w:t>
            </w:r>
          </w:p>
        </w:tc>
        <w:tc>
          <w:tcPr>
            <w:tcW w:w="333" w:type="pct"/>
            <w:vAlign w:val="center"/>
          </w:tcPr>
          <w:p w14:paraId="76027120" w14:textId="0AA663F8"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87" w:type="pct"/>
            <w:vAlign w:val="center"/>
          </w:tcPr>
          <w:p w14:paraId="56BADF1F" w14:textId="2C55EA26"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48" w:type="pct"/>
            <w:vAlign w:val="center"/>
          </w:tcPr>
          <w:p w14:paraId="5A0E83E6" w14:textId="77049176"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47" w:type="pct"/>
            <w:vAlign w:val="center"/>
          </w:tcPr>
          <w:p w14:paraId="79E6EE03" w14:textId="054D5E06"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87" w:type="pct"/>
            <w:vAlign w:val="center"/>
          </w:tcPr>
          <w:p w14:paraId="2B45D2AA" w14:textId="041CACED"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49" w:type="pct"/>
            <w:vAlign w:val="center"/>
          </w:tcPr>
          <w:p w14:paraId="30AF9B0D" w14:textId="5B22C209"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954" w:type="pct"/>
            <w:vAlign w:val="center"/>
          </w:tcPr>
          <w:p w14:paraId="5BDC0CA6" w14:textId="5F7AA71D"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93" w:type="pct"/>
            <w:vMerge/>
            <w:vAlign w:val="center"/>
          </w:tcPr>
          <w:p w14:paraId="23DE2EB9" w14:textId="77777777" w:rsidR="00600DE0" w:rsidRDefault="00600DE0" w:rsidP="00B11C82">
            <w:pPr>
              <w:adjustRightInd w:val="0"/>
              <w:snapToGrid w:val="0"/>
              <w:jc w:val="center"/>
            </w:pPr>
          </w:p>
        </w:tc>
      </w:tr>
      <w:tr w:rsidR="00600DE0" w14:paraId="24455DAE" w14:textId="77777777" w:rsidTr="00600DE0">
        <w:trPr>
          <w:trHeight w:val="57"/>
          <w:jc w:val="center"/>
        </w:trPr>
        <w:tc>
          <w:tcPr>
            <w:tcW w:w="466" w:type="pct"/>
            <w:vAlign w:val="center"/>
          </w:tcPr>
          <w:p w14:paraId="6CA01152" w14:textId="0D181E65" w:rsidR="00600DE0" w:rsidRDefault="00600DE0" w:rsidP="004A2F7D">
            <w:pPr>
              <w:adjustRightInd w:val="0"/>
              <w:snapToGrid w:val="0"/>
              <w:jc w:val="center"/>
            </w:pPr>
            <w:r>
              <w:t>四氯乙烯</w:t>
            </w:r>
          </w:p>
        </w:tc>
        <w:tc>
          <w:tcPr>
            <w:tcW w:w="325" w:type="pct"/>
            <w:vAlign w:val="center"/>
          </w:tcPr>
          <w:p w14:paraId="59787FC3" w14:textId="268BA04B" w:rsidR="00600DE0" w:rsidRDefault="00600DE0" w:rsidP="004A2F7D">
            <w:pPr>
              <w:adjustRightInd w:val="0"/>
              <w:snapToGrid w:val="0"/>
              <w:jc w:val="center"/>
              <w:rPr>
                <w:bCs/>
              </w:rPr>
            </w:pPr>
            <w:r>
              <w:rPr>
                <w:lang w:bidi="ar"/>
              </w:rPr>
              <w:t>1.4×10</w:t>
            </w:r>
            <w:r>
              <w:rPr>
                <w:vertAlign w:val="superscript"/>
                <w:lang w:bidi="ar"/>
              </w:rPr>
              <w:t>-3</w:t>
            </w:r>
            <w:r>
              <w:rPr>
                <w:lang w:bidi="ar"/>
              </w:rPr>
              <w:t>L</w:t>
            </w:r>
          </w:p>
        </w:tc>
        <w:tc>
          <w:tcPr>
            <w:tcW w:w="387" w:type="pct"/>
            <w:vAlign w:val="center"/>
          </w:tcPr>
          <w:p w14:paraId="7ECA33F4" w14:textId="3E995D10" w:rsidR="00600DE0" w:rsidRDefault="00600DE0" w:rsidP="004A2F7D">
            <w:pPr>
              <w:adjustRightInd w:val="0"/>
              <w:snapToGrid w:val="0"/>
              <w:jc w:val="center"/>
              <w:rPr>
                <w:bCs/>
              </w:rPr>
            </w:pPr>
            <w:r>
              <w:rPr>
                <w:lang w:bidi="ar"/>
              </w:rPr>
              <w:t>1.4×10</w:t>
            </w:r>
            <w:r>
              <w:rPr>
                <w:vertAlign w:val="superscript"/>
                <w:lang w:bidi="ar"/>
              </w:rPr>
              <w:t>-3</w:t>
            </w:r>
            <w:r>
              <w:rPr>
                <w:lang w:bidi="ar"/>
              </w:rPr>
              <w:t>L</w:t>
            </w:r>
          </w:p>
        </w:tc>
        <w:tc>
          <w:tcPr>
            <w:tcW w:w="325" w:type="pct"/>
            <w:vAlign w:val="center"/>
          </w:tcPr>
          <w:p w14:paraId="2E3808DC" w14:textId="740BD822" w:rsidR="00600DE0" w:rsidRDefault="00600DE0" w:rsidP="004A2F7D">
            <w:pPr>
              <w:adjustRightInd w:val="0"/>
              <w:snapToGrid w:val="0"/>
              <w:jc w:val="center"/>
              <w:rPr>
                <w:bCs/>
              </w:rPr>
            </w:pPr>
            <w:r>
              <w:rPr>
                <w:lang w:bidi="ar"/>
              </w:rPr>
              <w:t>1.4×10</w:t>
            </w:r>
            <w:r>
              <w:rPr>
                <w:vertAlign w:val="superscript"/>
                <w:lang w:bidi="ar"/>
              </w:rPr>
              <w:t>-3</w:t>
            </w:r>
            <w:r>
              <w:rPr>
                <w:lang w:bidi="ar"/>
              </w:rPr>
              <w:t>L</w:t>
            </w:r>
          </w:p>
        </w:tc>
        <w:tc>
          <w:tcPr>
            <w:tcW w:w="333" w:type="pct"/>
            <w:vAlign w:val="center"/>
          </w:tcPr>
          <w:p w14:paraId="36B8A515" w14:textId="2AEF31A3" w:rsidR="00600DE0" w:rsidRDefault="00600DE0" w:rsidP="004A2F7D">
            <w:pPr>
              <w:pStyle w:val="TableText"/>
              <w:adjustRightInd w:val="0"/>
              <w:snapToGrid w:val="0"/>
              <w:jc w:val="center"/>
              <w:rPr>
                <w:rFonts w:ascii="Times New Roman" w:hAnsi="Times New Roman" w:cs="Times New Roman"/>
                <w:bCs/>
                <w:lang w:eastAsia="zh-CN"/>
              </w:rPr>
            </w:pPr>
            <w:r>
              <w:rPr>
                <w:rFonts w:ascii="Times New Roman" w:hAnsi="Times New Roman" w:cs="Times New Roman"/>
                <w:lang w:eastAsia="zh-CN" w:bidi="ar"/>
              </w:rPr>
              <w:t>1.4×10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87" w:type="pct"/>
            <w:vAlign w:val="center"/>
          </w:tcPr>
          <w:p w14:paraId="64A1E334" w14:textId="5C774ABF" w:rsidR="00600DE0" w:rsidRDefault="00600DE0" w:rsidP="004A2F7D">
            <w:pPr>
              <w:pStyle w:val="TableText"/>
              <w:adjustRightInd w:val="0"/>
              <w:snapToGrid w:val="0"/>
              <w:jc w:val="center"/>
              <w:rPr>
                <w:rFonts w:ascii="Times New Roman" w:hAnsi="Times New Roman" w:cs="Times New Roman"/>
                <w:bCs/>
                <w:lang w:eastAsia="zh-CN"/>
              </w:rPr>
            </w:pPr>
            <w:r>
              <w:rPr>
                <w:rFonts w:ascii="Times New Roman" w:hAnsi="Times New Roman" w:cs="Times New Roman"/>
                <w:lang w:eastAsia="zh-CN" w:bidi="ar"/>
              </w:rPr>
              <w:t>1.4×10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48" w:type="pct"/>
            <w:vAlign w:val="center"/>
          </w:tcPr>
          <w:p w14:paraId="31963428" w14:textId="0630462A" w:rsidR="00600DE0" w:rsidRDefault="00600DE0" w:rsidP="004A2F7D">
            <w:pPr>
              <w:pStyle w:val="TableText"/>
              <w:adjustRightInd w:val="0"/>
              <w:snapToGrid w:val="0"/>
              <w:jc w:val="center"/>
              <w:rPr>
                <w:rFonts w:ascii="Times New Roman" w:hAnsi="Times New Roman" w:cs="Times New Roman"/>
                <w:bCs/>
                <w:lang w:eastAsia="zh-CN"/>
              </w:rPr>
            </w:pPr>
            <w:r>
              <w:rPr>
                <w:rFonts w:ascii="Times New Roman" w:hAnsi="Times New Roman" w:cs="Times New Roman"/>
                <w:lang w:eastAsia="zh-CN" w:bidi="ar"/>
              </w:rPr>
              <w:t>1.4×10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47" w:type="pct"/>
            <w:vAlign w:val="center"/>
          </w:tcPr>
          <w:p w14:paraId="6A5BBC71" w14:textId="4B4E7586" w:rsidR="00600DE0" w:rsidRDefault="00600DE0" w:rsidP="004A2F7D">
            <w:pPr>
              <w:pStyle w:val="TableText"/>
              <w:adjustRightInd w:val="0"/>
              <w:snapToGrid w:val="0"/>
              <w:jc w:val="center"/>
              <w:rPr>
                <w:rFonts w:ascii="Times New Roman" w:hAnsi="Times New Roman" w:cs="Times New Roman"/>
                <w:bCs/>
                <w:lang w:eastAsia="zh-CN"/>
              </w:rPr>
            </w:pPr>
            <w:r>
              <w:rPr>
                <w:rFonts w:ascii="Times New Roman" w:hAnsi="Times New Roman" w:cs="Times New Roman"/>
                <w:lang w:eastAsia="zh-CN" w:bidi="ar"/>
              </w:rPr>
              <w:t>1.4×10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87" w:type="pct"/>
            <w:vAlign w:val="center"/>
          </w:tcPr>
          <w:p w14:paraId="5C593A0E" w14:textId="3390DA08" w:rsidR="00600DE0" w:rsidRDefault="00600DE0" w:rsidP="004A2F7D">
            <w:pPr>
              <w:pStyle w:val="TableText"/>
              <w:adjustRightInd w:val="0"/>
              <w:snapToGrid w:val="0"/>
              <w:jc w:val="center"/>
              <w:rPr>
                <w:rFonts w:ascii="Times New Roman" w:hAnsi="Times New Roman" w:cs="Times New Roman"/>
                <w:bCs/>
                <w:lang w:eastAsia="zh-CN"/>
              </w:rPr>
            </w:pPr>
            <w:r>
              <w:rPr>
                <w:rFonts w:ascii="Times New Roman" w:hAnsi="Times New Roman" w:cs="Times New Roman"/>
                <w:lang w:eastAsia="zh-CN" w:bidi="ar"/>
              </w:rPr>
              <w:t>1.4×10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49" w:type="pct"/>
            <w:vAlign w:val="center"/>
          </w:tcPr>
          <w:p w14:paraId="6615005A" w14:textId="1471C856" w:rsidR="00600DE0" w:rsidRDefault="00600DE0" w:rsidP="004A2F7D">
            <w:pPr>
              <w:pStyle w:val="TableText"/>
              <w:adjustRightInd w:val="0"/>
              <w:snapToGrid w:val="0"/>
              <w:jc w:val="center"/>
              <w:rPr>
                <w:rFonts w:ascii="Times New Roman" w:hAnsi="Times New Roman" w:cs="Times New Roman"/>
                <w:bCs/>
                <w:lang w:eastAsia="zh-CN"/>
              </w:rPr>
            </w:pPr>
            <w:r>
              <w:rPr>
                <w:rFonts w:ascii="Times New Roman" w:hAnsi="Times New Roman" w:cs="Times New Roman"/>
                <w:lang w:eastAsia="zh-CN" w:bidi="ar"/>
              </w:rPr>
              <w:t>1.4×10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954" w:type="pct"/>
            <w:vAlign w:val="center"/>
          </w:tcPr>
          <w:p w14:paraId="4EBB71A8" w14:textId="11B52161" w:rsidR="00600DE0" w:rsidRDefault="00600DE0" w:rsidP="004A2F7D">
            <w:pPr>
              <w:pStyle w:val="TableText"/>
              <w:adjustRightInd w:val="0"/>
              <w:snapToGrid w:val="0"/>
              <w:jc w:val="center"/>
              <w:rPr>
                <w:rFonts w:ascii="Times New Roman" w:hAnsi="Times New Roman" w:cs="Times New Roman"/>
              </w:rPr>
            </w:pPr>
            <w:r>
              <w:rPr>
                <w:rFonts w:ascii="Times New Roman" w:hAnsi="Times New Roman" w:cs="Times New Roman"/>
                <w:lang w:eastAsia="zh-CN" w:bidi="ar"/>
              </w:rPr>
              <w:t>1.4×10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93" w:type="pct"/>
            <w:vMerge w:val="restart"/>
            <w:vAlign w:val="center"/>
          </w:tcPr>
          <w:p w14:paraId="080428A1" w14:textId="26EAFD04" w:rsidR="00600DE0" w:rsidRDefault="00600DE0" w:rsidP="004A2F7D">
            <w:pPr>
              <w:adjustRightInd w:val="0"/>
              <w:snapToGrid w:val="0"/>
              <w:jc w:val="center"/>
              <w:rPr>
                <w:bCs/>
              </w:rPr>
            </w:pPr>
            <w:r>
              <w:rPr>
                <w:rFonts w:hint="eastAsia"/>
              </w:rPr>
              <w:t>53</w:t>
            </w:r>
          </w:p>
        </w:tc>
      </w:tr>
      <w:tr w:rsidR="00600DE0" w14:paraId="2BF2F659" w14:textId="77777777" w:rsidTr="00600DE0">
        <w:trPr>
          <w:trHeight w:val="57"/>
          <w:jc w:val="center"/>
        </w:trPr>
        <w:tc>
          <w:tcPr>
            <w:tcW w:w="466" w:type="pct"/>
            <w:vAlign w:val="center"/>
          </w:tcPr>
          <w:p w14:paraId="211FE837" w14:textId="2D80927E" w:rsidR="00600DE0" w:rsidRDefault="00600DE0" w:rsidP="00B11C82">
            <w:pPr>
              <w:adjustRightInd w:val="0"/>
              <w:snapToGrid w:val="0"/>
              <w:jc w:val="center"/>
            </w:pPr>
            <w:r>
              <w:rPr>
                <w:rFonts w:hint="eastAsia"/>
              </w:rPr>
              <w:lastRenderedPageBreak/>
              <w:t>标准指数</w:t>
            </w:r>
          </w:p>
        </w:tc>
        <w:tc>
          <w:tcPr>
            <w:tcW w:w="325" w:type="pct"/>
            <w:vAlign w:val="center"/>
          </w:tcPr>
          <w:p w14:paraId="601C4F2F" w14:textId="5CCE8169" w:rsidR="00600DE0" w:rsidRDefault="00600DE0" w:rsidP="00B11C82">
            <w:pPr>
              <w:adjustRightInd w:val="0"/>
              <w:snapToGrid w:val="0"/>
              <w:jc w:val="center"/>
              <w:rPr>
                <w:lang w:bidi="ar"/>
              </w:rPr>
            </w:pPr>
            <w:r>
              <w:rPr>
                <w:rFonts w:hint="eastAsia"/>
                <w:color w:val="000000"/>
                <w:sz w:val="22"/>
                <w:szCs w:val="22"/>
              </w:rPr>
              <w:t>/</w:t>
            </w:r>
          </w:p>
        </w:tc>
        <w:tc>
          <w:tcPr>
            <w:tcW w:w="387" w:type="pct"/>
            <w:vAlign w:val="center"/>
          </w:tcPr>
          <w:p w14:paraId="3916B52C" w14:textId="794770E2" w:rsidR="00600DE0" w:rsidRDefault="00600DE0" w:rsidP="00B11C82">
            <w:pPr>
              <w:adjustRightInd w:val="0"/>
              <w:snapToGrid w:val="0"/>
              <w:jc w:val="center"/>
              <w:rPr>
                <w:lang w:bidi="ar"/>
              </w:rPr>
            </w:pPr>
            <w:r>
              <w:rPr>
                <w:rFonts w:hint="eastAsia"/>
                <w:color w:val="000000"/>
                <w:sz w:val="22"/>
                <w:szCs w:val="22"/>
              </w:rPr>
              <w:t>/</w:t>
            </w:r>
          </w:p>
        </w:tc>
        <w:tc>
          <w:tcPr>
            <w:tcW w:w="325" w:type="pct"/>
            <w:vAlign w:val="center"/>
          </w:tcPr>
          <w:p w14:paraId="37313B24" w14:textId="44C282D7" w:rsidR="00600DE0" w:rsidRDefault="00600DE0" w:rsidP="00B11C82">
            <w:pPr>
              <w:adjustRightInd w:val="0"/>
              <w:snapToGrid w:val="0"/>
              <w:jc w:val="center"/>
              <w:rPr>
                <w:lang w:bidi="ar"/>
              </w:rPr>
            </w:pPr>
            <w:r>
              <w:rPr>
                <w:rFonts w:hint="eastAsia"/>
                <w:color w:val="000000"/>
                <w:sz w:val="22"/>
                <w:szCs w:val="22"/>
              </w:rPr>
              <w:t>/</w:t>
            </w:r>
          </w:p>
        </w:tc>
        <w:tc>
          <w:tcPr>
            <w:tcW w:w="333" w:type="pct"/>
            <w:vAlign w:val="center"/>
          </w:tcPr>
          <w:p w14:paraId="76B6ABF7" w14:textId="75224BF1"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87" w:type="pct"/>
            <w:vAlign w:val="center"/>
          </w:tcPr>
          <w:p w14:paraId="58F02567" w14:textId="3FC85496"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48" w:type="pct"/>
            <w:vAlign w:val="center"/>
          </w:tcPr>
          <w:p w14:paraId="0FD7D83B" w14:textId="0361D809"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47" w:type="pct"/>
            <w:vAlign w:val="center"/>
          </w:tcPr>
          <w:p w14:paraId="668F13EB" w14:textId="5BA98711"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87" w:type="pct"/>
            <w:vAlign w:val="center"/>
          </w:tcPr>
          <w:p w14:paraId="19FBF8F6" w14:textId="11AF810D"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49" w:type="pct"/>
            <w:vAlign w:val="center"/>
          </w:tcPr>
          <w:p w14:paraId="728ABFFE" w14:textId="14F69C74"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954" w:type="pct"/>
            <w:vAlign w:val="center"/>
          </w:tcPr>
          <w:p w14:paraId="4FF4702E" w14:textId="53DCC19E"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93" w:type="pct"/>
            <w:vMerge/>
            <w:vAlign w:val="center"/>
          </w:tcPr>
          <w:p w14:paraId="6F8066C1" w14:textId="77777777" w:rsidR="00600DE0" w:rsidRDefault="00600DE0" w:rsidP="00B11C82">
            <w:pPr>
              <w:adjustRightInd w:val="0"/>
              <w:snapToGrid w:val="0"/>
              <w:jc w:val="center"/>
            </w:pPr>
          </w:p>
        </w:tc>
      </w:tr>
      <w:tr w:rsidR="00600DE0" w14:paraId="4DE5708A" w14:textId="77777777" w:rsidTr="00600DE0">
        <w:trPr>
          <w:trHeight w:val="57"/>
          <w:jc w:val="center"/>
        </w:trPr>
        <w:tc>
          <w:tcPr>
            <w:tcW w:w="466" w:type="pct"/>
            <w:vAlign w:val="center"/>
          </w:tcPr>
          <w:p w14:paraId="14279F20" w14:textId="7152C54E" w:rsidR="00600DE0" w:rsidRDefault="00600DE0" w:rsidP="004A2F7D">
            <w:pPr>
              <w:adjustRightInd w:val="0"/>
              <w:snapToGrid w:val="0"/>
              <w:jc w:val="center"/>
            </w:pPr>
            <w:r>
              <w:t>1,1,1-</w:t>
            </w:r>
            <w:r>
              <w:t>三氯乙烷</w:t>
            </w:r>
          </w:p>
        </w:tc>
        <w:tc>
          <w:tcPr>
            <w:tcW w:w="325" w:type="pct"/>
            <w:vAlign w:val="center"/>
          </w:tcPr>
          <w:p w14:paraId="3EF2838A" w14:textId="360AEEB7" w:rsidR="00600DE0" w:rsidRDefault="00600DE0" w:rsidP="004A2F7D">
            <w:pPr>
              <w:adjustRightInd w:val="0"/>
              <w:snapToGrid w:val="0"/>
              <w:jc w:val="center"/>
              <w:rPr>
                <w:bCs/>
              </w:rPr>
            </w:pPr>
            <w:r>
              <w:rPr>
                <w:lang w:bidi="ar"/>
              </w:rPr>
              <w:t>1.3×10</w:t>
            </w:r>
            <w:r>
              <w:rPr>
                <w:vertAlign w:val="superscript"/>
                <w:lang w:bidi="ar"/>
              </w:rPr>
              <w:t>-3</w:t>
            </w:r>
            <w:r>
              <w:rPr>
                <w:lang w:bidi="ar"/>
              </w:rPr>
              <w:t>L</w:t>
            </w:r>
          </w:p>
        </w:tc>
        <w:tc>
          <w:tcPr>
            <w:tcW w:w="387" w:type="pct"/>
            <w:vAlign w:val="center"/>
          </w:tcPr>
          <w:p w14:paraId="78AD13CE" w14:textId="069CF9A0" w:rsidR="00600DE0" w:rsidRDefault="00600DE0" w:rsidP="004A2F7D">
            <w:pPr>
              <w:adjustRightInd w:val="0"/>
              <w:snapToGrid w:val="0"/>
              <w:jc w:val="center"/>
              <w:rPr>
                <w:bCs/>
              </w:rPr>
            </w:pPr>
            <w:r>
              <w:rPr>
                <w:lang w:bidi="ar"/>
              </w:rPr>
              <w:t>1.3×10</w:t>
            </w:r>
            <w:r>
              <w:rPr>
                <w:vertAlign w:val="superscript"/>
                <w:lang w:bidi="ar"/>
              </w:rPr>
              <w:t>-3</w:t>
            </w:r>
            <w:r>
              <w:rPr>
                <w:lang w:bidi="ar"/>
              </w:rPr>
              <w:t>L</w:t>
            </w:r>
          </w:p>
        </w:tc>
        <w:tc>
          <w:tcPr>
            <w:tcW w:w="325" w:type="pct"/>
            <w:vAlign w:val="center"/>
          </w:tcPr>
          <w:p w14:paraId="22DDBB67" w14:textId="48107EE6" w:rsidR="00600DE0" w:rsidRDefault="00600DE0" w:rsidP="004A2F7D">
            <w:pPr>
              <w:adjustRightInd w:val="0"/>
              <w:snapToGrid w:val="0"/>
              <w:jc w:val="center"/>
              <w:rPr>
                <w:bCs/>
              </w:rPr>
            </w:pPr>
            <w:r>
              <w:rPr>
                <w:lang w:bidi="ar"/>
              </w:rPr>
              <w:t>1.3×10</w:t>
            </w:r>
            <w:r>
              <w:rPr>
                <w:vertAlign w:val="superscript"/>
                <w:lang w:bidi="ar"/>
              </w:rPr>
              <w:t>-3</w:t>
            </w:r>
            <w:r>
              <w:rPr>
                <w:lang w:bidi="ar"/>
              </w:rPr>
              <w:t>L</w:t>
            </w:r>
          </w:p>
        </w:tc>
        <w:tc>
          <w:tcPr>
            <w:tcW w:w="333" w:type="pct"/>
            <w:vAlign w:val="center"/>
          </w:tcPr>
          <w:p w14:paraId="2F6B11BF" w14:textId="7B1EE810" w:rsidR="00600DE0" w:rsidRDefault="00600DE0" w:rsidP="004A2F7D">
            <w:pPr>
              <w:pStyle w:val="TableText"/>
              <w:adjustRightInd w:val="0"/>
              <w:snapToGrid w:val="0"/>
              <w:jc w:val="center"/>
              <w:rPr>
                <w:rFonts w:ascii="Times New Roman" w:hAnsi="Times New Roman" w:cs="Times New Roman"/>
                <w:bCs/>
                <w:lang w:eastAsia="zh-CN"/>
              </w:rPr>
            </w:pPr>
            <w:r>
              <w:rPr>
                <w:rFonts w:ascii="Times New Roman" w:hAnsi="Times New Roman" w:cs="Times New Roman"/>
                <w:lang w:eastAsia="zh-CN" w:bidi="ar"/>
              </w:rPr>
              <w:t>1.3×10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87" w:type="pct"/>
            <w:vAlign w:val="center"/>
          </w:tcPr>
          <w:p w14:paraId="3994901F" w14:textId="4B98152C" w:rsidR="00600DE0" w:rsidRDefault="00600DE0" w:rsidP="004A2F7D">
            <w:pPr>
              <w:pStyle w:val="TableText"/>
              <w:adjustRightInd w:val="0"/>
              <w:snapToGrid w:val="0"/>
              <w:jc w:val="center"/>
              <w:rPr>
                <w:rFonts w:ascii="Times New Roman" w:hAnsi="Times New Roman" w:cs="Times New Roman"/>
                <w:bCs/>
                <w:lang w:eastAsia="zh-CN"/>
              </w:rPr>
            </w:pPr>
            <w:r>
              <w:rPr>
                <w:rFonts w:ascii="Times New Roman" w:hAnsi="Times New Roman" w:cs="Times New Roman"/>
                <w:lang w:eastAsia="zh-CN" w:bidi="ar"/>
              </w:rPr>
              <w:t>1.3×10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48" w:type="pct"/>
            <w:vAlign w:val="center"/>
          </w:tcPr>
          <w:p w14:paraId="1369D6E5" w14:textId="1EDB121F" w:rsidR="00600DE0" w:rsidRDefault="00600DE0" w:rsidP="004A2F7D">
            <w:pPr>
              <w:pStyle w:val="TableText"/>
              <w:adjustRightInd w:val="0"/>
              <w:snapToGrid w:val="0"/>
              <w:jc w:val="center"/>
              <w:rPr>
                <w:rFonts w:ascii="Times New Roman" w:hAnsi="Times New Roman" w:cs="Times New Roman"/>
                <w:bCs/>
                <w:lang w:eastAsia="zh-CN"/>
              </w:rPr>
            </w:pPr>
            <w:r>
              <w:rPr>
                <w:rFonts w:ascii="Times New Roman" w:hAnsi="Times New Roman" w:cs="Times New Roman"/>
                <w:lang w:eastAsia="zh-CN" w:bidi="ar"/>
              </w:rPr>
              <w:t>1.3×10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47" w:type="pct"/>
            <w:vAlign w:val="center"/>
          </w:tcPr>
          <w:p w14:paraId="5E65DCAA" w14:textId="053A5015" w:rsidR="00600DE0" w:rsidRDefault="00600DE0" w:rsidP="004A2F7D">
            <w:pPr>
              <w:pStyle w:val="TableText"/>
              <w:adjustRightInd w:val="0"/>
              <w:snapToGrid w:val="0"/>
              <w:jc w:val="center"/>
              <w:rPr>
                <w:rFonts w:ascii="Times New Roman" w:hAnsi="Times New Roman" w:cs="Times New Roman"/>
                <w:bCs/>
                <w:lang w:eastAsia="zh-CN"/>
              </w:rPr>
            </w:pPr>
            <w:r>
              <w:rPr>
                <w:rFonts w:ascii="Times New Roman" w:hAnsi="Times New Roman" w:cs="Times New Roman"/>
                <w:lang w:eastAsia="zh-CN" w:bidi="ar"/>
              </w:rPr>
              <w:t>1.3×10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87" w:type="pct"/>
            <w:vAlign w:val="center"/>
          </w:tcPr>
          <w:p w14:paraId="04CF5EEC" w14:textId="1FA29C59" w:rsidR="00600DE0" w:rsidRDefault="00600DE0" w:rsidP="004A2F7D">
            <w:pPr>
              <w:pStyle w:val="TableText"/>
              <w:adjustRightInd w:val="0"/>
              <w:snapToGrid w:val="0"/>
              <w:jc w:val="center"/>
              <w:rPr>
                <w:rFonts w:ascii="Times New Roman" w:hAnsi="Times New Roman" w:cs="Times New Roman"/>
                <w:bCs/>
                <w:lang w:eastAsia="zh-CN"/>
              </w:rPr>
            </w:pPr>
            <w:r>
              <w:rPr>
                <w:rFonts w:ascii="Times New Roman" w:hAnsi="Times New Roman" w:cs="Times New Roman"/>
                <w:lang w:eastAsia="zh-CN" w:bidi="ar"/>
              </w:rPr>
              <w:t>1.3×10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49" w:type="pct"/>
            <w:vAlign w:val="center"/>
          </w:tcPr>
          <w:p w14:paraId="22792C33" w14:textId="1B873894" w:rsidR="00600DE0" w:rsidRDefault="00600DE0" w:rsidP="004A2F7D">
            <w:pPr>
              <w:pStyle w:val="TableText"/>
              <w:adjustRightInd w:val="0"/>
              <w:snapToGrid w:val="0"/>
              <w:jc w:val="center"/>
              <w:rPr>
                <w:rFonts w:ascii="Times New Roman" w:hAnsi="Times New Roman" w:cs="Times New Roman"/>
                <w:bCs/>
                <w:lang w:eastAsia="zh-CN"/>
              </w:rPr>
            </w:pPr>
            <w:r>
              <w:rPr>
                <w:rFonts w:ascii="Times New Roman" w:hAnsi="Times New Roman" w:cs="Times New Roman"/>
                <w:lang w:eastAsia="zh-CN" w:bidi="ar"/>
              </w:rPr>
              <w:t>1.3×10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954" w:type="pct"/>
            <w:vAlign w:val="center"/>
          </w:tcPr>
          <w:p w14:paraId="1DA1574D" w14:textId="3D77DF70" w:rsidR="00600DE0" w:rsidRDefault="00600DE0" w:rsidP="004A2F7D">
            <w:pPr>
              <w:pStyle w:val="TableText"/>
              <w:adjustRightInd w:val="0"/>
              <w:snapToGrid w:val="0"/>
              <w:jc w:val="center"/>
              <w:rPr>
                <w:rFonts w:ascii="Times New Roman" w:hAnsi="Times New Roman" w:cs="Times New Roman"/>
              </w:rPr>
            </w:pPr>
            <w:r>
              <w:rPr>
                <w:rFonts w:ascii="Times New Roman" w:hAnsi="Times New Roman" w:cs="Times New Roman"/>
                <w:lang w:eastAsia="zh-CN" w:bidi="ar"/>
              </w:rPr>
              <w:t>1.3×10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93" w:type="pct"/>
            <w:vMerge w:val="restart"/>
            <w:vAlign w:val="center"/>
          </w:tcPr>
          <w:p w14:paraId="519EF658" w14:textId="394B7DF7" w:rsidR="00600DE0" w:rsidRDefault="00600DE0" w:rsidP="004A2F7D">
            <w:pPr>
              <w:adjustRightInd w:val="0"/>
              <w:snapToGrid w:val="0"/>
              <w:jc w:val="center"/>
              <w:rPr>
                <w:bCs/>
              </w:rPr>
            </w:pPr>
            <w:r>
              <w:rPr>
                <w:rFonts w:hint="eastAsia"/>
              </w:rPr>
              <w:t>840</w:t>
            </w:r>
          </w:p>
        </w:tc>
      </w:tr>
      <w:tr w:rsidR="00600DE0" w14:paraId="0AB387EC" w14:textId="77777777" w:rsidTr="00600DE0">
        <w:trPr>
          <w:trHeight w:val="57"/>
          <w:jc w:val="center"/>
        </w:trPr>
        <w:tc>
          <w:tcPr>
            <w:tcW w:w="466" w:type="pct"/>
            <w:vAlign w:val="center"/>
          </w:tcPr>
          <w:p w14:paraId="049C747F" w14:textId="3880C038" w:rsidR="00600DE0" w:rsidRDefault="00600DE0" w:rsidP="00B11C82">
            <w:pPr>
              <w:adjustRightInd w:val="0"/>
              <w:snapToGrid w:val="0"/>
              <w:jc w:val="center"/>
            </w:pPr>
            <w:r>
              <w:rPr>
                <w:rFonts w:hint="eastAsia"/>
              </w:rPr>
              <w:t>标准指数</w:t>
            </w:r>
          </w:p>
        </w:tc>
        <w:tc>
          <w:tcPr>
            <w:tcW w:w="325" w:type="pct"/>
            <w:vAlign w:val="center"/>
          </w:tcPr>
          <w:p w14:paraId="012DD14E" w14:textId="70C98631" w:rsidR="00600DE0" w:rsidRDefault="00600DE0" w:rsidP="00B11C82">
            <w:pPr>
              <w:adjustRightInd w:val="0"/>
              <w:snapToGrid w:val="0"/>
              <w:jc w:val="center"/>
              <w:rPr>
                <w:lang w:bidi="ar"/>
              </w:rPr>
            </w:pPr>
            <w:r>
              <w:rPr>
                <w:rFonts w:hint="eastAsia"/>
                <w:color w:val="000000"/>
                <w:sz w:val="22"/>
                <w:szCs w:val="22"/>
              </w:rPr>
              <w:t>/</w:t>
            </w:r>
          </w:p>
        </w:tc>
        <w:tc>
          <w:tcPr>
            <w:tcW w:w="387" w:type="pct"/>
            <w:vAlign w:val="center"/>
          </w:tcPr>
          <w:p w14:paraId="55C35468" w14:textId="7E2DF18B" w:rsidR="00600DE0" w:rsidRDefault="00600DE0" w:rsidP="00B11C82">
            <w:pPr>
              <w:adjustRightInd w:val="0"/>
              <w:snapToGrid w:val="0"/>
              <w:jc w:val="center"/>
              <w:rPr>
                <w:lang w:bidi="ar"/>
              </w:rPr>
            </w:pPr>
            <w:r>
              <w:rPr>
                <w:rFonts w:hint="eastAsia"/>
                <w:color w:val="000000"/>
                <w:sz w:val="22"/>
                <w:szCs w:val="22"/>
              </w:rPr>
              <w:t>/</w:t>
            </w:r>
          </w:p>
        </w:tc>
        <w:tc>
          <w:tcPr>
            <w:tcW w:w="325" w:type="pct"/>
            <w:vAlign w:val="center"/>
          </w:tcPr>
          <w:p w14:paraId="418A0707" w14:textId="4398697E" w:rsidR="00600DE0" w:rsidRDefault="00600DE0" w:rsidP="00B11C82">
            <w:pPr>
              <w:adjustRightInd w:val="0"/>
              <w:snapToGrid w:val="0"/>
              <w:jc w:val="center"/>
              <w:rPr>
                <w:lang w:bidi="ar"/>
              </w:rPr>
            </w:pPr>
            <w:r>
              <w:rPr>
                <w:rFonts w:hint="eastAsia"/>
                <w:color w:val="000000"/>
                <w:sz w:val="22"/>
                <w:szCs w:val="22"/>
              </w:rPr>
              <w:t>/</w:t>
            </w:r>
          </w:p>
        </w:tc>
        <w:tc>
          <w:tcPr>
            <w:tcW w:w="333" w:type="pct"/>
            <w:vAlign w:val="center"/>
          </w:tcPr>
          <w:p w14:paraId="673C7666" w14:textId="4913D453"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87" w:type="pct"/>
            <w:vAlign w:val="center"/>
          </w:tcPr>
          <w:p w14:paraId="1597259D" w14:textId="18C54DEB"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48" w:type="pct"/>
            <w:vAlign w:val="center"/>
          </w:tcPr>
          <w:p w14:paraId="628AA37E" w14:textId="644AFB13"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47" w:type="pct"/>
            <w:vAlign w:val="center"/>
          </w:tcPr>
          <w:p w14:paraId="7BAF0019" w14:textId="2B8EE56A"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87" w:type="pct"/>
            <w:vAlign w:val="center"/>
          </w:tcPr>
          <w:p w14:paraId="03A3AB6F" w14:textId="2403E15C"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49" w:type="pct"/>
            <w:vAlign w:val="center"/>
          </w:tcPr>
          <w:p w14:paraId="38F4679D" w14:textId="43E955B2"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954" w:type="pct"/>
            <w:vAlign w:val="center"/>
          </w:tcPr>
          <w:p w14:paraId="1337C4E9" w14:textId="69896E3F"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93" w:type="pct"/>
            <w:vMerge/>
            <w:vAlign w:val="center"/>
          </w:tcPr>
          <w:p w14:paraId="5D89CE13" w14:textId="77777777" w:rsidR="00600DE0" w:rsidRDefault="00600DE0" w:rsidP="00B11C82">
            <w:pPr>
              <w:adjustRightInd w:val="0"/>
              <w:snapToGrid w:val="0"/>
              <w:jc w:val="center"/>
            </w:pPr>
          </w:p>
        </w:tc>
      </w:tr>
      <w:tr w:rsidR="00600DE0" w14:paraId="6B50A803" w14:textId="77777777" w:rsidTr="00600DE0">
        <w:trPr>
          <w:trHeight w:val="57"/>
          <w:jc w:val="center"/>
        </w:trPr>
        <w:tc>
          <w:tcPr>
            <w:tcW w:w="466" w:type="pct"/>
            <w:vAlign w:val="center"/>
          </w:tcPr>
          <w:p w14:paraId="761B4EBF" w14:textId="0F683F85" w:rsidR="00600DE0" w:rsidRDefault="00600DE0" w:rsidP="004A2F7D">
            <w:pPr>
              <w:adjustRightInd w:val="0"/>
              <w:snapToGrid w:val="0"/>
              <w:jc w:val="center"/>
            </w:pPr>
            <w:r>
              <w:t>1,1,2-</w:t>
            </w:r>
            <w:r>
              <w:t>三氯乙烷</w:t>
            </w:r>
          </w:p>
        </w:tc>
        <w:tc>
          <w:tcPr>
            <w:tcW w:w="325" w:type="pct"/>
            <w:vAlign w:val="center"/>
          </w:tcPr>
          <w:p w14:paraId="3CEB134A" w14:textId="202E34E8" w:rsidR="00600DE0" w:rsidRDefault="00600DE0" w:rsidP="004A2F7D">
            <w:pPr>
              <w:adjustRightInd w:val="0"/>
              <w:snapToGrid w:val="0"/>
              <w:jc w:val="center"/>
              <w:rPr>
                <w:bCs/>
              </w:rPr>
            </w:pPr>
            <w:r>
              <w:rPr>
                <w:lang w:bidi="ar"/>
              </w:rPr>
              <w:t>1.2×10</w:t>
            </w:r>
            <w:r>
              <w:rPr>
                <w:vertAlign w:val="superscript"/>
                <w:lang w:bidi="ar"/>
              </w:rPr>
              <w:t>-3</w:t>
            </w:r>
            <w:r>
              <w:rPr>
                <w:lang w:bidi="ar"/>
              </w:rPr>
              <w:t>L</w:t>
            </w:r>
          </w:p>
        </w:tc>
        <w:tc>
          <w:tcPr>
            <w:tcW w:w="387" w:type="pct"/>
            <w:vAlign w:val="center"/>
          </w:tcPr>
          <w:p w14:paraId="214FD8D9" w14:textId="36D36F96" w:rsidR="00600DE0" w:rsidRDefault="00600DE0" w:rsidP="004A2F7D">
            <w:pPr>
              <w:adjustRightInd w:val="0"/>
              <w:snapToGrid w:val="0"/>
              <w:jc w:val="center"/>
              <w:rPr>
                <w:bCs/>
              </w:rPr>
            </w:pPr>
            <w:r>
              <w:rPr>
                <w:lang w:bidi="ar"/>
              </w:rPr>
              <w:t>1.2×10</w:t>
            </w:r>
            <w:r>
              <w:rPr>
                <w:vertAlign w:val="superscript"/>
                <w:lang w:bidi="ar"/>
              </w:rPr>
              <w:t>-3</w:t>
            </w:r>
            <w:r>
              <w:rPr>
                <w:lang w:bidi="ar"/>
              </w:rPr>
              <w:t>L</w:t>
            </w:r>
          </w:p>
        </w:tc>
        <w:tc>
          <w:tcPr>
            <w:tcW w:w="325" w:type="pct"/>
            <w:vAlign w:val="center"/>
          </w:tcPr>
          <w:p w14:paraId="0F3EC3F1" w14:textId="282EBE27" w:rsidR="00600DE0" w:rsidRDefault="00600DE0" w:rsidP="004A2F7D">
            <w:pPr>
              <w:adjustRightInd w:val="0"/>
              <w:snapToGrid w:val="0"/>
              <w:jc w:val="center"/>
              <w:rPr>
                <w:bCs/>
              </w:rPr>
            </w:pPr>
            <w:r>
              <w:rPr>
                <w:lang w:bidi="ar"/>
              </w:rPr>
              <w:t>1.2×10</w:t>
            </w:r>
            <w:r>
              <w:rPr>
                <w:vertAlign w:val="superscript"/>
                <w:lang w:bidi="ar"/>
              </w:rPr>
              <w:t>-3</w:t>
            </w:r>
            <w:r>
              <w:rPr>
                <w:lang w:bidi="ar"/>
              </w:rPr>
              <w:t>L</w:t>
            </w:r>
          </w:p>
        </w:tc>
        <w:tc>
          <w:tcPr>
            <w:tcW w:w="333" w:type="pct"/>
            <w:vAlign w:val="center"/>
          </w:tcPr>
          <w:p w14:paraId="75EFB67C" w14:textId="6C26CC69" w:rsidR="00600DE0" w:rsidRDefault="00600DE0" w:rsidP="004A2F7D">
            <w:pPr>
              <w:pStyle w:val="TableText"/>
              <w:adjustRightInd w:val="0"/>
              <w:snapToGrid w:val="0"/>
              <w:jc w:val="center"/>
              <w:rPr>
                <w:rFonts w:ascii="Times New Roman" w:hAnsi="Times New Roman" w:cs="Times New Roman"/>
                <w:bCs/>
                <w:lang w:eastAsia="zh-CN"/>
              </w:rPr>
            </w:pPr>
            <w:r>
              <w:rPr>
                <w:rFonts w:ascii="Times New Roman" w:hAnsi="Times New Roman" w:cs="Times New Roman"/>
                <w:lang w:eastAsia="zh-CN" w:bidi="ar"/>
              </w:rPr>
              <w:t>1.2×10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87" w:type="pct"/>
            <w:vAlign w:val="center"/>
          </w:tcPr>
          <w:p w14:paraId="0838AD42" w14:textId="78C73FA2" w:rsidR="00600DE0" w:rsidRDefault="00600DE0" w:rsidP="004A2F7D">
            <w:pPr>
              <w:pStyle w:val="TableText"/>
              <w:adjustRightInd w:val="0"/>
              <w:snapToGrid w:val="0"/>
              <w:jc w:val="center"/>
              <w:rPr>
                <w:rFonts w:ascii="Times New Roman" w:hAnsi="Times New Roman" w:cs="Times New Roman"/>
                <w:bCs/>
                <w:lang w:eastAsia="zh-CN"/>
              </w:rPr>
            </w:pPr>
            <w:r>
              <w:rPr>
                <w:rFonts w:ascii="Times New Roman" w:hAnsi="Times New Roman" w:cs="Times New Roman"/>
                <w:lang w:eastAsia="zh-CN" w:bidi="ar"/>
              </w:rPr>
              <w:t>1.2×10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48" w:type="pct"/>
            <w:vAlign w:val="center"/>
          </w:tcPr>
          <w:p w14:paraId="015B7A59" w14:textId="6B87F5E7" w:rsidR="00600DE0" w:rsidRDefault="00600DE0" w:rsidP="004A2F7D">
            <w:pPr>
              <w:pStyle w:val="TableText"/>
              <w:adjustRightInd w:val="0"/>
              <w:snapToGrid w:val="0"/>
              <w:jc w:val="center"/>
              <w:rPr>
                <w:rFonts w:ascii="Times New Roman" w:hAnsi="Times New Roman" w:cs="Times New Roman"/>
                <w:bCs/>
                <w:lang w:eastAsia="zh-CN"/>
              </w:rPr>
            </w:pPr>
            <w:r>
              <w:rPr>
                <w:rFonts w:ascii="Times New Roman" w:hAnsi="Times New Roman" w:cs="Times New Roman"/>
                <w:lang w:eastAsia="zh-CN" w:bidi="ar"/>
              </w:rPr>
              <w:t>1.2×10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47" w:type="pct"/>
            <w:vAlign w:val="center"/>
          </w:tcPr>
          <w:p w14:paraId="2D7152BE" w14:textId="5D9F51B6" w:rsidR="00600DE0" w:rsidRDefault="00600DE0" w:rsidP="004A2F7D">
            <w:pPr>
              <w:pStyle w:val="TableText"/>
              <w:adjustRightInd w:val="0"/>
              <w:snapToGrid w:val="0"/>
              <w:jc w:val="center"/>
              <w:rPr>
                <w:rFonts w:ascii="Times New Roman" w:hAnsi="Times New Roman" w:cs="Times New Roman"/>
                <w:bCs/>
                <w:lang w:eastAsia="zh-CN"/>
              </w:rPr>
            </w:pPr>
            <w:r>
              <w:rPr>
                <w:rFonts w:ascii="Times New Roman" w:hAnsi="Times New Roman" w:cs="Times New Roman"/>
                <w:lang w:eastAsia="zh-CN" w:bidi="ar"/>
              </w:rPr>
              <w:t>1.2×10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87" w:type="pct"/>
            <w:vAlign w:val="center"/>
          </w:tcPr>
          <w:p w14:paraId="6F801585" w14:textId="7FA988FF" w:rsidR="00600DE0" w:rsidRDefault="00600DE0" w:rsidP="004A2F7D">
            <w:pPr>
              <w:pStyle w:val="TableText"/>
              <w:adjustRightInd w:val="0"/>
              <w:snapToGrid w:val="0"/>
              <w:jc w:val="center"/>
              <w:rPr>
                <w:rFonts w:ascii="Times New Roman" w:hAnsi="Times New Roman" w:cs="Times New Roman"/>
                <w:bCs/>
                <w:lang w:eastAsia="zh-CN"/>
              </w:rPr>
            </w:pPr>
            <w:r>
              <w:rPr>
                <w:rFonts w:ascii="Times New Roman" w:hAnsi="Times New Roman" w:cs="Times New Roman"/>
                <w:lang w:eastAsia="zh-CN" w:bidi="ar"/>
              </w:rPr>
              <w:t>1.2×10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49" w:type="pct"/>
            <w:vAlign w:val="center"/>
          </w:tcPr>
          <w:p w14:paraId="1FC67422" w14:textId="744F6FD9" w:rsidR="00600DE0" w:rsidRDefault="00600DE0" w:rsidP="004A2F7D">
            <w:pPr>
              <w:pStyle w:val="TableText"/>
              <w:adjustRightInd w:val="0"/>
              <w:snapToGrid w:val="0"/>
              <w:jc w:val="center"/>
              <w:rPr>
                <w:rFonts w:ascii="Times New Roman" w:hAnsi="Times New Roman" w:cs="Times New Roman"/>
                <w:bCs/>
                <w:lang w:eastAsia="zh-CN"/>
              </w:rPr>
            </w:pPr>
            <w:r>
              <w:rPr>
                <w:rFonts w:ascii="Times New Roman" w:hAnsi="Times New Roman" w:cs="Times New Roman"/>
                <w:lang w:eastAsia="zh-CN" w:bidi="ar"/>
              </w:rPr>
              <w:t>1.2×10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954" w:type="pct"/>
            <w:vAlign w:val="center"/>
          </w:tcPr>
          <w:p w14:paraId="1B62124C" w14:textId="7FD170C7" w:rsidR="00600DE0" w:rsidRDefault="00600DE0" w:rsidP="004A2F7D">
            <w:pPr>
              <w:pStyle w:val="TableText"/>
              <w:adjustRightInd w:val="0"/>
              <w:snapToGrid w:val="0"/>
              <w:jc w:val="center"/>
              <w:rPr>
                <w:rFonts w:ascii="Times New Roman" w:hAnsi="Times New Roman" w:cs="Times New Roman"/>
              </w:rPr>
            </w:pPr>
            <w:r>
              <w:rPr>
                <w:rFonts w:ascii="Times New Roman" w:hAnsi="Times New Roman" w:cs="Times New Roman"/>
                <w:lang w:eastAsia="zh-CN" w:bidi="ar"/>
              </w:rPr>
              <w:t>1.2×10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93" w:type="pct"/>
            <w:vMerge w:val="restart"/>
            <w:vAlign w:val="center"/>
          </w:tcPr>
          <w:p w14:paraId="1C64AE33" w14:textId="5E2EBA1D" w:rsidR="00600DE0" w:rsidRDefault="00600DE0" w:rsidP="004A2F7D">
            <w:pPr>
              <w:adjustRightInd w:val="0"/>
              <w:snapToGrid w:val="0"/>
              <w:jc w:val="center"/>
              <w:rPr>
                <w:bCs/>
              </w:rPr>
            </w:pPr>
            <w:r>
              <w:rPr>
                <w:rFonts w:hint="eastAsia"/>
              </w:rPr>
              <w:t>2.8</w:t>
            </w:r>
          </w:p>
        </w:tc>
      </w:tr>
      <w:tr w:rsidR="00600DE0" w14:paraId="1968437B" w14:textId="77777777" w:rsidTr="00600DE0">
        <w:trPr>
          <w:trHeight w:val="57"/>
          <w:jc w:val="center"/>
        </w:trPr>
        <w:tc>
          <w:tcPr>
            <w:tcW w:w="466" w:type="pct"/>
            <w:vAlign w:val="center"/>
          </w:tcPr>
          <w:p w14:paraId="1CC2F438" w14:textId="3E5AF305" w:rsidR="00600DE0" w:rsidRDefault="00600DE0" w:rsidP="00B11C82">
            <w:pPr>
              <w:adjustRightInd w:val="0"/>
              <w:snapToGrid w:val="0"/>
              <w:jc w:val="center"/>
            </w:pPr>
            <w:r>
              <w:rPr>
                <w:rFonts w:hint="eastAsia"/>
              </w:rPr>
              <w:t>标准指数</w:t>
            </w:r>
          </w:p>
        </w:tc>
        <w:tc>
          <w:tcPr>
            <w:tcW w:w="325" w:type="pct"/>
            <w:vAlign w:val="center"/>
          </w:tcPr>
          <w:p w14:paraId="7E1FBDB0" w14:textId="33411932" w:rsidR="00600DE0" w:rsidRDefault="00600DE0" w:rsidP="00B11C82">
            <w:pPr>
              <w:adjustRightInd w:val="0"/>
              <w:snapToGrid w:val="0"/>
              <w:jc w:val="center"/>
              <w:rPr>
                <w:lang w:bidi="ar"/>
              </w:rPr>
            </w:pPr>
            <w:r>
              <w:rPr>
                <w:rFonts w:hint="eastAsia"/>
                <w:color w:val="000000"/>
                <w:sz w:val="22"/>
                <w:szCs w:val="22"/>
              </w:rPr>
              <w:t>/</w:t>
            </w:r>
          </w:p>
        </w:tc>
        <w:tc>
          <w:tcPr>
            <w:tcW w:w="387" w:type="pct"/>
            <w:vAlign w:val="center"/>
          </w:tcPr>
          <w:p w14:paraId="22BD15BB" w14:textId="63705014" w:rsidR="00600DE0" w:rsidRDefault="00600DE0" w:rsidP="00B11C82">
            <w:pPr>
              <w:adjustRightInd w:val="0"/>
              <w:snapToGrid w:val="0"/>
              <w:jc w:val="center"/>
              <w:rPr>
                <w:lang w:bidi="ar"/>
              </w:rPr>
            </w:pPr>
            <w:r>
              <w:rPr>
                <w:rFonts w:hint="eastAsia"/>
                <w:color w:val="000000"/>
                <w:sz w:val="22"/>
                <w:szCs w:val="22"/>
              </w:rPr>
              <w:t>/</w:t>
            </w:r>
          </w:p>
        </w:tc>
        <w:tc>
          <w:tcPr>
            <w:tcW w:w="325" w:type="pct"/>
            <w:vAlign w:val="center"/>
          </w:tcPr>
          <w:p w14:paraId="4AF76619" w14:textId="66BD02F4" w:rsidR="00600DE0" w:rsidRDefault="00600DE0" w:rsidP="00B11C82">
            <w:pPr>
              <w:adjustRightInd w:val="0"/>
              <w:snapToGrid w:val="0"/>
              <w:jc w:val="center"/>
              <w:rPr>
                <w:lang w:bidi="ar"/>
              </w:rPr>
            </w:pPr>
            <w:r>
              <w:rPr>
                <w:rFonts w:hint="eastAsia"/>
                <w:color w:val="000000"/>
                <w:sz w:val="22"/>
                <w:szCs w:val="22"/>
              </w:rPr>
              <w:t>/</w:t>
            </w:r>
          </w:p>
        </w:tc>
        <w:tc>
          <w:tcPr>
            <w:tcW w:w="333" w:type="pct"/>
            <w:vAlign w:val="center"/>
          </w:tcPr>
          <w:p w14:paraId="1014ABA5" w14:textId="7C2735DC"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87" w:type="pct"/>
            <w:vAlign w:val="center"/>
          </w:tcPr>
          <w:p w14:paraId="04099543" w14:textId="074A365B"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48" w:type="pct"/>
            <w:vAlign w:val="center"/>
          </w:tcPr>
          <w:p w14:paraId="7EAFE747" w14:textId="4513F73B"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47" w:type="pct"/>
            <w:vAlign w:val="center"/>
          </w:tcPr>
          <w:p w14:paraId="3D489AFC" w14:textId="2A0078CA"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87" w:type="pct"/>
            <w:vAlign w:val="center"/>
          </w:tcPr>
          <w:p w14:paraId="256E89B1" w14:textId="6F269580"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49" w:type="pct"/>
            <w:vAlign w:val="center"/>
          </w:tcPr>
          <w:p w14:paraId="1CA52478" w14:textId="36425194"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954" w:type="pct"/>
            <w:vAlign w:val="center"/>
          </w:tcPr>
          <w:p w14:paraId="0674C8EB" w14:textId="29405AD5"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93" w:type="pct"/>
            <w:vMerge/>
            <w:vAlign w:val="center"/>
          </w:tcPr>
          <w:p w14:paraId="494C9120" w14:textId="77777777" w:rsidR="00600DE0" w:rsidRDefault="00600DE0" w:rsidP="00B11C82">
            <w:pPr>
              <w:adjustRightInd w:val="0"/>
              <w:snapToGrid w:val="0"/>
              <w:jc w:val="center"/>
            </w:pPr>
          </w:p>
        </w:tc>
      </w:tr>
      <w:tr w:rsidR="00600DE0" w14:paraId="2A386F63" w14:textId="77777777" w:rsidTr="00600DE0">
        <w:trPr>
          <w:trHeight w:val="57"/>
          <w:jc w:val="center"/>
        </w:trPr>
        <w:tc>
          <w:tcPr>
            <w:tcW w:w="466" w:type="pct"/>
            <w:vAlign w:val="center"/>
          </w:tcPr>
          <w:p w14:paraId="104A6484" w14:textId="2D59804C" w:rsidR="00600DE0" w:rsidRDefault="00600DE0" w:rsidP="004A2F7D">
            <w:pPr>
              <w:adjustRightInd w:val="0"/>
              <w:snapToGrid w:val="0"/>
              <w:jc w:val="center"/>
            </w:pPr>
            <w:r>
              <w:t>三氯乙烯</w:t>
            </w:r>
          </w:p>
        </w:tc>
        <w:tc>
          <w:tcPr>
            <w:tcW w:w="325" w:type="pct"/>
            <w:vAlign w:val="center"/>
          </w:tcPr>
          <w:p w14:paraId="1DAFDADF" w14:textId="1C8F542D" w:rsidR="00600DE0" w:rsidRDefault="00600DE0" w:rsidP="004A2F7D">
            <w:pPr>
              <w:adjustRightInd w:val="0"/>
              <w:snapToGrid w:val="0"/>
              <w:jc w:val="center"/>
              <w:rPr>
                <w:bCs/>
              </w:rPr>
            </w:pPr>
            <w:r>
              <w:rPr>
                <w:lang w:bidi="ar"/>
              </w:rPr>
              <w:t>1.2×10</w:t>
            </w:r>
            <w:r>
              <w:rPr>
                <w:vertAlign w:val="superscript"/>
                <w:lang w:bidi="ar"/>
              </w:rPr>
              <w:t>-3</w:t>
            </w:r>
            <w:r>
              <w:rPr>
                <w:lang w:bidi="ar"/>
              </w:rPr>
              <w:t>L</w:t>
            </w:r>
          </w:p>
        </w:tc>
        <w:tc>
          <w:tcPr>
            <w:tcW w:w="387" w:type="pct"/>
            <w:vAlign w:val="center"/>
          </w:tcPr>
          <w:p w14:paraId="7E6C6850" w14:textId="3FA8F924" w:rsidR="00600DE0" w:rsidRDefault="00600DE0" w:rsidP="004A2F7D">
            <w:pPr>
              <w:adjustRightInd w:val="0"/>
              <w:snapToGrid w:val="0"/>
              <w:jc w:val="center"/>
              <w:rPr>
                <w:bCs/>
              </w:rPr>
            </w:pPr>
            <w:r>
              <w:rPr>
                <w:lang w:bidi="ar"/>
              </w:rPr>
              <w:t>1.2×10</w:t>
            </w:r>
            <w:r>
              <w:rPr>
                <w:vertAlign w:val="superscript"/>
                <w:lang w:bidi="ar"/>
              </w:rPr>
              <w:t>-3</w:t>
            </w:r>
            <w:r>
              <w:rPr>
                <w:lang w:bidi="ar"/>
              </w:rPr>
              <w:t>L</w:t>
            </w:r>
          </w:p>
        </w:tc>
        <w:tc>
          <w:tcPr>
            <w:tcW w:w="325" w:type="pct"/>
            <w:vAlign w:val="center"/>
          </w:tcPr>
          <w:p w14:paraId="1FEAB3F5" w14:textId="27F276A4" w:rsidR="00600DE0" w:rsidRDefault="00600DE0" w:rsidP="004A2F7D">
            <w:pPr>
              <w:adjustRightInd w:val="0"/>
              <w:snapToGrid w:val="0"/>
              <w:jc w:val="center"/>
              <w:rPr>
                <w:bCs/>
              </w:rPr>
            </w:pPr>
            <w:r>
              <w:rPr>
                <w:lang w:bidi="ar"/>
              </w:rPr>
              <w:t>1.2×10</w:t>
            </w:r>
            <w:r>
              <w:rPr>
                <w:vertAlign w:val="superscript"/>
                <w:lang w:bidi="ar"/>
              </w:rPr>
              <w:t>-3</w:t>
            </w:r>
            <w:r>
              <w:rPr>
                <w:lang w:bidi="ar"/>
              </w:rPr>
              <w:t>L</w:t>
            </w:r>
          </w:p>
        </w:tc>
        <w:tc>
          <w:tcPr>
            <w:tcW w:w="333" w:type="pct"/>
            <w:vAlign w:val="center"/>
          </w:tcPr>
          <w:p w14:paraId="0A069141" w14:textId="22058188" w:rsidR="00600DE0" w:rsidRDefault="00600DE0" w:rsidP="004A2F7D">
            <w:pPr>
              <w:pStyle w:val="TableText"/>
              <w:adjustRightInd w:val="0"/>
              <w:snapToGrid w:val="0"/>
              <w:jc w:val="center"/>
              <w:rPr>
                <w:rFonts w:ascii="Times New Roman" w:hAnsi="Times New Roman" w:cs="Times New Roman"/>
                <w:bCs/>
                <w:lang w:eastAsia="zh-CN"/>
              </w:rPr>
            </w:pPr>
            <w:r>
              <w:rPr>
                <w:rFonts w:ascii="Times New Roman" w:hAnsi="Times New Roman" w:cs="Times New Roman"/>
                <w:lang w:eastAsia="zh-CN" w:bidi="ar"/>
              </w:rPr>
              <w:t>1.2×10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87" w:type="pct"/>
            <w:vAlign w:val="center"/>
          </w:tcPr>
          <w:p w14:paraId="38FF1686" w14:textId="6563D524" w:rsidR="00600DE0" w:rsidRDefault="00600DE0" w:rsidP="004A2F7D">
            <w:pPr>
              <w:pStyle w:val="TableText"/>
              <w:adjustRightInd w:val="0"/>
              <w:snapToGrid w:val="0"/>
              <w:jc w:val="center"/>
              <w:rPr>
                <w:rFonts w:ascii="Times New Roman" w:hAnsi="Times New Roman" w:cs="Times New Roman"/>
                <w:bCs/>
                <w:lang w:eastAsia="zh-CN"/>
              </w:rPr>
            </w:pPr>
            <w:r>
              <w:rPr>
                <w:rFonts w:ascii="Times New Roman" w:hAnsi="Times New Roman" w:cs="Times New Roman"/>
                <w:lang w:eastAsia="zh-CN" w:bidi="ar"/>
              </w:rPr>
              <w:t>1.2×10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48" w:type="pct"/>
            <w:vAlign w:val="center"/>
          </w:tcPr>
          <w:p w14:paraId="2D0FD717" w14:textId="646500FA" w:rsidR="00600DE0" w:rsidRDefault="00600DE0" w:rsidP="004A2F7D">
            <w:pPr>
              <w:pStyle w:val="TableText"/>
              <w:adjustRightInd w:val="0"/>
              <w:snapToGrid w:val="0"/>
              <w:jc w:val="center"/>
              <w:rPr>
                <w:rFonts w:ascii="Times New Roman" w:hAnsi="Times New Roman" w:cs="Times New Roman"/>
                <w:bCs/>
                <w:lang w:eastAsia="zh-CN"/>
              </w:rPr>
            </w:pPr>
            <w:r>
              <w:rPr>
                <w:rFonts w:ascii="Times New Roman" w:hAnsi="Times New Roman" w:cs="Times New Roman"/>
                <w:lang w:eastAsia="zh-CN" w:bidi="ar"/>
              </w:rPr>
              <w:t>1.2×10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47" w:type="pct"/>
            <w:vAlign w:val="center"/>
          </w:tcPr>
          <w:p w14:paraId="53BB60F9" w14:textId="05A0B7D8" w:rsidR="00600DE0" w:rsidRDefault="00600DE0" w:rsidP="004A2F7D">
            <w:pPr>
              <w:pStyle w:val="TableText"/>
              <w:adjustRightInd w:val="0"/>
              <w:snapToGrid w:val="0"/>
              <w:jc w:val="center"/>
              <w:rPr>
                <w:rFonts w:ascii="Times New Roman" w:hAnsi="Times New Roman" w:cs="Times New Roman"/>
                <w:bCs/>
                <w:lang w:eastAsia="zh-CN"/>
              </w:rPr>
            </w:pPr>
            <w:r>
              <w:rPr>
                <w:rFonts w:ascii="Times New Roman" w:hAnsi="Times New Roman" w:cs="Times New Roman"/>
                <w:lang w:eastAsia="zh-CN" w:bidi="ar"/>
              </w:rPr>
              <w:t>1.2×10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87" w:type="pct"/>
            <w:vAlign w:val="center"/>
          </w:tcPr>
          <w:p w14:paraId="56842592" w14:textId="46699133" w:rsidR="00600DE0" w:rsidRDefault="00600DE0" w:rsidP="004A2F7D">
            <w:pPr>
              <w:pStyle w:val="TableText"/>
              <w:adjustRightInd w:val="0"/>
              <w:snapToGrid w:val="0"/>
              <w:jc w:val="center"/>
              <w:rPr>
                <w:rFonts w:ascii="Times New Roman" w:hAnsi="Times New Roman" w:cs="Times New Roman"/>
                <w:bCs/>
                <w:lang w:eastAsia="zh-CN"/>
              </w:rPr>
            </w:pPr>
            <w:r>
              <w:rPr>
                <w:rFonts w:ascii="Times New Roman" w:hAnsi="Times New Roman" w:cs="Times New Roman"/>
                <w:lang w:eastAsia="zh-CN" w:bidi="ar"/>
              </w:rPr>
              <w:t>1.2×10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49" w:type="pct"/>
            <w:vAlign w:val="center"/>
          </w:tcPr>
          <w:p w14:paraId="26A22835" w14:textId="624513F0" w:rsidR="00600DE0" w:rsidRDefault="00600DE0" w:rsidP="004A2F7D">
            <w:pPr>
              <w:pStyle w:val="TableText"/>
              <w:adjustRightInd w:val="0"/>
              <w:snapToGrid w:val="0"/>
              <w:jc w:val="center"/>
              <w:rPr>
                <w:rFonts w:ascii="Times New Roman" w:hAnsi="Times New Roman" w:cs="Times New Roman"/>
                <w:bCs/>
                <w:lang w:eastAsia="zh-CN"/>
              </w:rPr>
            </w:pPr>
            <w:r>
              <w:rPr>
                <w:rFonts w:ascii="Times New Roman" w:hAnsi="Times New Roman" w:cs="Times New Roman"/>
                <w:lang w:eastAsia="zh-CN" w:bidi="ar"/>
              </w:rPr>
              <w:t>1.2×10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954" w:type="pct"/>
            <w:vAlign w:val="center"/>
          </w:tcPr>
          <w:p w14:paraId="35ED4EBF" w14:textId="61654396" w:rsidR="00600DE0" w:rsidRDefault="00600DE0" w:rsidP="004A2F7D">
            <w:pPr>
              <w:pStyle w:val="TableText"/>
              <w:adjustRightInd w:val="0"/>
              <w:snapToGrid w:val="0"/>
              <w:jc w:val="center"/>
              <w:rPr>
                <w:rFonts w:ascii="Times New Roman" w:hAnsi="Times New Roman" w:cs="Times New Roman"/>
              </w:rPr>
            </w:pPr>
            <w:r>
              <w:rPr>
                <w:rFonts w:ascii="Times New Roman" w:hAnsi="Times New Roman" w:cs="Times New Roman"/>
                <w:lang w:eastAsia="zh-CN" w:bidi="ar"/>
              </w:rPr>
              <w:t>1.2×10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93" w:type="pct"/>
            <w:vMerge w:val="restart"/>
            <w:vAlign w:val="center"/>
          </w:tcPr>
          <w:p w14:paraId="6BF2D8E4" w14:textId="38B6A6CB" w:rsidR="00600DE0" w:rsidRDefault="00600DE0" w:rsidP="004A2F7D">
            <w:pPr>
              <w:adjustRightInd w:val="0"/>
              <w:snapToGrid w:val="0"/>
              <w:jc w:val="center"/>
              <w:rPr>
                <w:bCs/>
              </w:rPr>
            </w:pPr>
            <w:r>
              <w:rPr>
                <w:rFonts w:hint="eastAsia"/>
              </w:rPr>
              <w:t>2.8</w:t>
            </w:r>
          </w:p>
        </w:tc>
      </w:tr>
      <w:tr w:rsidR="00600DE0" w14:paraId="2C936501" w14:textId="77777777" w:rsidTr="00600DE0">
        <w:trPr>
          <w:trHeight w:val="57"/>
          <w:jc w:val="center"/>
        </w:trPr>
        <w:tc>
          <w:tcPr>
            <w:tcW w:w="466" w:type="pct"/>
            <w:vAlign w:val="center"/>
          </w:tcPr>
          <w:p w14:paraId="06E5137B" w14:textId="4229D604" w:rsidR="00600DE0" w:rsidRDefault="00600DE0" w:rsidP="00B11C82">
            <w:pPr>
              <w:adjustRightInd w:val="0"/>
              <w:snapToGrid w:val="0"/>
              <w:jc w:val="center"/>
            </w:pPr>
            <w:r>
              <w:rPr>
                <w:rFonts w:hint="eastAsia"/>
              </w:rPr>
              <w:t>标准指数</w:t>
            </w:r>
          </w:p>
        </w:tc>
        <w:tc>
          <w:tcPr>
            <w:tcW w:w="325" w:type="pct"/>
            <w:vAlign w:val="center"/>
          </w:tcPr>
          <w:p w14:paraId="1D2910A8" w14:textId="6902602F" w:rsidR="00600DE0" w:rsidRDefault="00600DE0" w:rsidP="00B11C82">
            <w:pPr>
              <w:adjustRightInd w:val="0"/>
              <w:snapToGrid w:val="0"/>
              <w:jc w:val="center"/>
              <w:rPr>
                <w:lang w:bidi="ar"/>
              </w:rPr>
            </w:pPr>
            <w:r>
              <w:rPr>
                <w:rFonts w:hint="eastAsia"/>
                <w:color w:val="000000"/>
                <w:sz w:val="22"/>
                <w:szCs w:val="22"/>
              </w:rPr>
              <w:t>/</w:t>
            </w:r>
          </w:p>
        </w:tc>
        <w:tc>
          <w:tcPr>
            <w:tcW w:w="387" w:type="pct"/>
            <w:vAlign w:val="center"/>
          </w:tcPr>
          <w:p w14:paraId="4B70AEA2" w14:textId="1B30E835" w:rsidR="00600DE0" w:rsidRDefault="00600DE0" w:rsidP="00B11C82">
            <w:pPr>
              <w:adjustRightInd w:val="0"/>
              <w:snapToGrid w:val="0"/>
              <w:jc w:val="center"/>
              <w:rPr>
                <w:lang w:bidi="ar"/>
              </w:rPr>
            </w:pPr>
            <w:r>
              <w:rPr>
                <w:rFonts w:hint="eastAsia"/>
                <w:color w:val="000000"/>
                <w:sz w:val="22"/>
                <w:szCs w:val="22"/>
              </w:rPr>
              <w:t>/</w:t>
            </w:r>
          </w:p>
        </w:tc>
        <w:tc>
          <w:tcPr>
            <w:tcW w:w="325" w:type="pct"/>
            <w:vAlign w:val="center"/>
          </w:tcPr>
          <w:p w14:paraId="3CE86022" w14:textId="3E48F9C5" w:rsidR="00600DE0" w:rsidRDefault="00600DE0" w:rsidP="00B11C82">
            <w:pPr>
              <w:adjustRightInd w:val="0"/>
              <w:snapToGrid w:val="0"/>
              <w:jc w:val="center"/>
              <w:rPr>
                <w:lang w:bidi="ar"/>
              </w:rPr>
            </w:pPr>
            <w:r>
              <w:rPr>
                <w:rFonts w:hint="eastAsia"/>
                <w:color w:val="000000"/>
                <w:sz w:val="22"/>
                <w:szCs w:val="22"/>
              </w:rPr>
              <w:t>/</w:t>
            </w:r>
          </w:p>
        </w:tc>
        <w:tc>
          <w:tcPr>
            <w:tcW w:w="333" w:type="pct"/>
            <w:vAlign w:val="center"/>
          </w:tcPr>
          <w:p w14:paraId="39BCC5AE" w14:textId="10A2BD1B"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87" w:type="pct"/>
            <w:vAlign w:val="center"/>
          </w:tcPr>
          <w:p w14:paraId="19F86913" w14:textId="4E3D73AC"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48" w:type="pct"/>
            <w:vAlign w:val="center"/>
          </w:tcPr>
          <w:p w14:paraId="69E3AE9A" w14:textId="268B7689"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47" w:type="pct"/>
            <w:vAlign w:val="center"/>
          </w:tcPr>
          <w:p w14:paraId="5EAE4CB2" w14:textId="4F4F3292"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87" w:type="pct"/>
            <w:vAlign w:val="center"/>
          </w:tcPr>
          <w:p w14:paraId="5FC12114" w14:textId="2C53EBD9"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49" w:type="pct"/>
            <w:vAlign w:val="center"/>
          </w:tcPr>
          <w:p w14:paraId="0F1EE2FF" w14:textId="2A8BB162"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954" w:type="pct"/>
            <w:vAlign w:val="center"/>
          </w:tcPr>
          <w:p w14:paraId="2EF7053D" w14:textId="4C20D65E"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93" w:type="pct"/>
            <w:vMerge/>
            <w:vAlign w:val="center"/>
          </w:tcPr>
          <w:p w14:paraId="5590BC44" w14:textId="77777777" w:rsidR="00600DE0" w:rsidRDefault="00600DE0" w:rsidP="00B11C82">
            <w:pPr>
              <w:adjustRightInd w:val="0"/>
              <w:snapToGrid w:val="0"/>
              <w:jc w:val="center"/>
            </w:pPr>
          </w:p>
        </w:tc>
      </w:tr>
      <w:tr w:rsidR="00600DE0" w14:paraId="7DDFC8D8" w14:textId="77777777" w:rsidTr="00600DE0">
        <w:trPr>
          <w:trHeight w:val="57"/>
          <w:jc w:val="center"/>
        </w:trPr>
        <w:tc>
          <w:tcPr>
            <w:tcW w:w="466" w:type="pct"/>
            <w:vAlign w:val="center"/>
          </w:tcPr>
          <w:p w14:paraId="5215E1C2" w14:textId="5D9BB92D" w:rsidR="00600DE0" w:rsidRDefault="00600DE0" w:rsidP="004A2F7D">
            <w:pPr>
              <w:adjustRightInd w:val="0"/>
              <w:snapToGrid w:val="0"/>
              <w:jc w:val="center"/>
            </w:pPr>
            <w:r>
              <w:t>1,2,3-</w:t>
            </w:r>
            <w:r>
              <w:t>三氯丙烷</w:t>
            </w:r>
          </w:p>
        </w:tc>
        <w:tc>
          <w:tcPr>
            <w:tcW w:w="325" w:type="pct"/>
            <w:vAlign w:val="center"/>
          </w:tcPr>
          <w:p w14:paraId="2F946CD6" w14:textId="349FC556" w:rsidR="00600DE0" w:rsidRDefault="00600DE0" w:rsidP="004A2F7D">
            <w:pPr>
              <w:adjustRightInd w:val="0"/>
              <w:snapToGrid w:val="0"/>
              <w:jc w:val="center"/>
              <w:rPr>
                <w:bCs/>
              </w:rPr>
            </w:pPr>
            <w:r>
              <w:rPr>
                <w:lang w:bidi="ar"/>
              </w:rPr>
              <w:t>1.2×10</w:t>
            </w:r>
            <w:r>
              <w:rPr>
                <w:vertAlign w:val="superscript"/>
                <w:lang w:bidi="ar"/>
              </w:rPr>
              <w:t>-3</w:t>
            </w:r>
            <w:r>
              <w:rPr>
                <w:lang w:bidi="ar"/>
              </w:rPr>
              <w:t>L</w:t>
            </w:r>
          </w:p>
        </w:tc>
        <w:tc>
          <w:tcPr>
            <w:tcW w:w="387" w:type="pct"/>
            <w:vAlign w:val="center"/>
          </w:tcPr>
          <w:p w14:paraId="6C201034" w14:textId="0497019C" w:rsidR="00600DE0" w:rsidRDefault="00600DE0" w:rsidP="004A2F7D">
            <w:pPr>
              <w:adjustRightInd w:val="0"/>
              <w:snapToGrid w:val="0"/>
              <w:jc w:val="center"/>
              <w:rPr>
                <w:bCs/>
              </w:rPr>
            </w:pPr>
            <w:r>
              <w:rPr>
                <w:lang w:bidi="ar"/>
              </w:rPr>
              <w:t>1.2×10</w:t>
            </w:r>
            <w:r>
              <w:rPr>
                <w:vertAlign w:val="superscript"/>
                <w:lang w:bidi="ar"/>
              </w:rPr>
              <w:t>-3</w:t>
            </w:r>
            <w:r>
              <w:rPr>
                <w:lang w:bidi="ar"/>
              </w:rPr>
              <w:t>L</w:t>
            </w:r>
          </w:p>
        </w:tc>
        <w:tc>
          <w:tcPr>
            <w:tcW w:w="325" w:type="pct"/>
            <w:vAlign w:val="center"/>
          </w:tcPr>
          <w:p w14:paraId="251A7927" w14:textId="269DDA0C" w:rsidR="00600DE0" w:rsidRDefault="00600DE0" w:rsidP="004A2F7D">
            <w:pPr>
              <w:adjustRightInd w:val="0"/>
              <w:snapToGrid w:val="0"/>
              <w:jc w:val="center"/>
              <w:rPr>
                <w:bCs/>
              </w:rPr>
            </w:pPr>
            <w:r>
              <w:rPr>
                <w:lang w:bidi="ar"/>
              </w:rPr>
              <w:t>1.2×10</w:t>
            </w:r>
            <w:r>
              <w:rPr>
                <w:vertAlign w:val="superscript"/>
                <w:lang w:bidi="ar"/>
              </w:rPr>
              <w:t>-3</w:t>
            </w:r>
            <w:r>
              <w:rPr>
                <w:lang w:bidi="ar"/>
              </w:rPr>
              <w:t>L</w:t>
            </w:r>
          </w:p>
        </w:tc>
        <w:tc>
          <w:tcPr>
            <w:tcW w:w="333" w:type="pct"/>
            <w:vAlign w:val="center"/>
          </w:tcPr>
          <w:p w14:paraId="03A69421" w14:textId="59D946B6" w:rsidR="00600DE0" w:rsidRDefault="00600DE0" w:rsidP="004A2F7D">
            <w:pPr>
              <w:pStyle w:val="TableText"/>
              <w:adjustRightInd w:val="0"/>
              <w:snapToGrid w:val="0"/>
              <w:jc w:val="center"/>
              <w:rPr>
                <w:rFonts w:ascii="Times New Roman" w:hAnsi="Times New Roman" w:cs="Times New Roman"/>
                <w:bCs/>
                <w:lang w:eastAsia="zh-CN"/>
              </w:rPr>
            </w:pPr>
            <w:r>
              <w:rPr>
                <w:rFonts w:ascii="Times New Roman" w:hAnsi="Times New Roman" w:cs="Times New Roman"/>
                <w:lang w:eastAsia="zh-CN" w:bidi="ar"/>
              </w:rPr>
              <w:t>1.2×10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87" w:type="pct"/>
            <w:vAlign w:val="center"/>
          </w:tcPr>
          <w:p w14:paraId="288D69FE" w14:textId="1C039D69" w:rsidR="00600DE0" w:rsidRDefault="00600DE0" w:rsidP="004A2F7D">
            <w:pPr>
              <w:pStyle w:val="TableText"/>
              <w:adjustRightInd w:val="0"/>
              <w:snapToGrid w:val="0"/>
              <w:jc w:val="center"/>
              <w:rPr>
                <w:rFonts w:ascii="Times New Roman" w:hAnsi="Times New Roman" w:cs="Times New Roman"/>
                <w:bCs/>
                <w:lang w:eastAsia="zh-CN"/>
              </w:rPr>
            </w:pPr>
            <w:r>
              <w:rPr>
                <w:rFonts w:ascii="Times New Roman" w:hAnsi="Times New Roman" w:cs="Times New Roman"/>
                <w:lang w:eastAsia="zh-CN" w:bidi="ar"/>
              </w:rPr>
              <w:t>1.2×10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48" w:type="pct"/>
            <w:vAlign w:val="center"/>
          </w:tcPr>
          <w:p w14:paraId="5427EAFF" w14:textId="7C419FF2" w:rsidR="00600DE0" w:rsidRDefault="00600DE0" w:rsidP="004A2F7D">
            <w:pPr>
              <w:pStyle w:val="TableText"/>
              <w:adjustRightInd w:val="0"/>
              <w:snapToGrid w:val="0"/>
              <w:jc w:val="center"/>
              <w:rPr>
                <w:rFonts w:ascii="Times New Roman" w:hAnsi="Times New Roman" w:cs="Times New Roman"/>
                <w:bCs/>
                <w:lang w:eastAsia="zh-CN"/>
              </w:rPr>
            </w:pPr>
            <w:r>
              <w:rPr>
                <w:rFonts w:ascii="Times New Roman" w:hAnsi="Times New Roman" w:cs="Times New Roman"/>
                <w:lang w:eastAsia="zh-CN" w:bidi="ar"/>
              </w:rPr>
              <w:t>1.2×10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47" w:type="pct"/>
            <w:vAlign w:val="center"/>
          </w:tcPr>
          <w:p w14:paraId="1A6F1B8B" w14:textId="0FC4EE33" w:rsidR="00600DE0" w:rsidRDefault="00600DE0" w:rsidP="004A2F7D">
            <w:pPr>
              <w:pStyle w:val="TableText"/>
              <w:adjustRightInd w:val="0"/>
              <w:snapToGrid w:val="0"/>
              <w:jc w:val="center"/>
              <w:rPr>
                <w:rFonts w:ascii="Times New Roman" w:hAnsi="Times New Roman" w:cs="Times New Roman"/>
                <w:bCs/>
                <w:lang w:eastAsia="zh-CN"/>
              </w:rPr>
            </w:pPr>
            <w:r>
              <w:rPr>
                <w:rFonts w:ascii="Times New Roman" w:hAnsi="Times New Roman" w:cs="Times New Roman"/>
                <w:lang w:eastAsia="zh-CN" w:bidi="ar"/>
              </w:rPr>
              <w:t>1.2×10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87" w:type="pct"/>
            <w:vAlign w:val="center"/>
          </w:tcPr>
          <w:p w14:paraId="33807458" w14:textId="4FB8B84F" w:rsidR="00600DE0" w:rsidRDefault="00600DE0" w:rsidP="004A2F7D">
            <w:pPr>
              <w:pStyle w:val="TableText"/>
              <w:adjustRightInd w:val="0"/>
              <w:snapToGrid w:val="0"/>
              <w:jc w:val="center"/>
              <w:rPr>
                <w:rFonts w:ascii="Times New Roman" w:hAnsi="Times New Roman" w:cs="Times New Roman"/>
                <w:bCs/>
                <w:lang w:eastAsia="zh-CN"/>
              </w:rPr>
            </w:pPr>
            <w:r>
              <w:rPr>
                <w:rFonts w:ascii="Times New Roman" w:hAnsi="Times New Roman" w:cs="Times New Roman"/>
                <w:lang w:eastAsia="zh-CN" w:bidi="ar"/>
              </w:rPr>
              <w:t>1.2×10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49" w:type="pct"/>
            <w:vAlign w:val="center"/>
          </w:tcPr>
          <w:p w14:paraId="61FC2D6E" w14:textId="5CC3ABAF" w:rsidR="00600DE0" w:rsidRDefault="00600DE0" w:rsidP="004A2F7D">
            <w:pPr>
              <w:pStyle w:val="TableText"/>
              <w:adjustRightInd w:val="0"/>
              <w:snapToGrid w:val="0"/>
              <w:jc w:val="center"/>
              <w:rPr>
                <w:rFonts w:ascii="Times New Roman" w:hAnsi="Times New Roman" w:cs="Times New Roman"/>
                <w:bCs/>
                <w:lang w:eastAsia="zh-CN"/>
              </w:rPr>
            </w:pPr>
            <w:r>
              <w:rPr>
                <w:rFonts w:ascii="Times New Roman" w:hAnsi="Times New Roman" w:cs="Times New Roman"/>
                <w:lang w:eastAsia="zh-CN" w:bidi="ar"/>
              </w:rPr>
              <w:t>1.2×10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954" w:type="pct"/>
            <w:vAlign w:val="center"/>
          </w:tcPr>
          <w:p w14:paraId="2267D085" w14:textId="7105E384" w:rsidR="00600DE0" w:rsidRDefault="00600DE0" w:rsidP="004A2F7D">
            <w:pPr>
              <w:pStyle w:val="TableText"/>
              <w:adjustRightInd w:val="0"/>
              <w:snapToGrid w:val="0"/>
              <w:jc w:val="center"/>
              <w:rPr>
                <w:rFonts w:ascii="Times New Roman" w:hAnsi="Times New Roman" w:cs="Times New Roman"/>
              </w:rPr>
            </w:pPr>
            <w:r>
              <w:rPr>
                <w:rFonts w:ascii="Times New Roman" w:hAnsi="Times New Roman" w:cs="Times New Roman"/>
                <w:lang w:eastAsia="zh-CN" w:bidi="ar"/>
              </w:rPr>
              <w:t>1.2×10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93" w:type="pct"/>
            <w:vMerge w:val="restart"/>
            <w:vAlign w:val="center"/>
          </w:tcPr>
          <w:p w14:paraId="03B745F4" w14:textId="1FC7D666" w:rsidR="00600DE0" w:rsidRDefault="00600DE0" w:rsidP="004A2F7D">
            <w:pPr>
              <w:adjustRightInd w:val="0"/>
              <w:snapToGrid w:val="0"/>
              <w:jc w:val="center"/>
              <w:rPr>
                <w:bCs/>
              </w:rPr>
            </w:pPr>
            <w:r>
              <w:rPr>
                <w:rFonts w:hint="eastAsia"/>
              </w:rPr>
              <w:t>0.5</w:t>
            </w:r>
          </w:p>
        </w:tc>
      </w:tr>
      <w:tr w:rsidR="00600DE0" w14:paraId="19FA7063" w14:textId="77777777" w:rsidTr="00600DE0">
        <w:trPr>
          <w:trHeight w:val="57"/>
          <w:jc w:val="center"/>
        </w:trPr>
        <w:tc>
          <w:tcPr>
            <w:tcW w:w="466" w:type="pct"/>
            <w:vAlign w:val="center"/>
          </w:tcPr>
          <w:p w14:paraId="21A64D62" w14:textId="5A043111" w:rsidR="00600DE0" w:rsidRDefault="00600DE0" w:rsidP="00B11C82">
            <w:pPr>
              <w:adjustRightInd w:val="0"/>
              <w:snapToGrid w:val="0"/>
              <w:jc w:val="center"/>
            </w:pPr>
            <w:r>
              <w:rPr>
                <w:rFonts w:hint="eastAsia"/>
              </w:rPr>
              <w:t>标准指数</w:t>
            </w:r>
          </w:p>
        </w:tc>
        <w:tc>
          <w:tcPr>
            <w:tcW w:w="325" w:type="pct"/>
            <w:vAlign w:val="center"/>
          </w:tcPr>
          <w:p w14:paraId="03F37662" w14:textId="5EBD83A0" w:rsidR="00600DE0" w:rsidRDefault="00600DE0" w:rsidP="00B11C82">
            <w:pPr>
              <w:adjustRightInd w:val="0"/>
              <w:snapToGrid w:val="0"/>
              <w:jc w:val="center"/>
              <w:rPr>
                <w:lang w:bidi="ar"/>
              </w:rPr>
            </w:pPr>
            <w:r>
              <w:rPr>
                <w:rFonts w:hint="eastAsia"/>
                <w:color w:val="000000"/>
                <w:sz w:val="22"/>
                <w:szCs w:val="22"/>
              </w:rPr>
              <w:t>/</w:t>
            </w:r>
          </w:p>
        </w:tc>
        <w:tc>
          <w:tcPr>
            <w:tcW w:w="387" w:type="pct"/>
            <w:vAlign w:val="center"/>
          </w:tcPr>
          <w:p w14:paraId="2E112F8C" w14:textId="276F6F76" w:rsidR="00600DE0" w:rsidRDefault="00600DE0" w:rsidP="00B11C82">
            <w:pPr>
              <w:adjustRightInd w:val="0"/>
              <w:snapToGrid w:val="0"/>
              <w:jc w:val="center"/>
              <w:rPr>
                <w:lang w:bidi="ar"/>
              </w:rPr>
            </w:pPr>
            <w:r>
              <w:rPr>
                <w:rFonts w:hint="eastAsia"/>
                <w:color w:val="000000"/>
                <w:sz w:val="22"/>
                <w:szCs w:val="22"/>
              </w:rPr>
              <w:t>/</w:t>
            </w:r>
          </w:p>
        </w:tc>
        <w:tc>
          <w:tcPr>
            <w:tcW w:w="325" w:type="pct"/>
            <w:vAlign w:val="center"/>
          </w:tcPr>
          <w:p w14:paraId="6459CC33" w14:textId="7913CFA4" w:rsidR="00600DE0" w:rsidRDefault="00600DE0" w:rsidP="00B11C82">
            <w:pPr>
              <w:adjustRightInd w:val="0"/>
              <w:snapToGrid w:val="0"/>
              <w:jc w:val="center"/>
              <w:rPr>
                <w:lang w:bidi="ar"/>
              </w:rPr>
            </w:pPr>
            <w:r>
              <w:rPr>
                <w:rFonts w:hint="eastAsia"/>
                <w:color w:val="000000"/>
                <w:sz w:val="22"/>
                <w:szCs w:val="22"/>
              </w:rPr>
              <w:t>/</w:t>
            </w:r>
          </w:p>
        </w:tc>
        <w:tc>
          <w:tcPr>
            <w:tcW w:w="333" w:type="pct"/>
            <w:vAlign w:val="center"/>
          </w:tcPr>
          <w:p w14:paraId="63FB9F29" w14:textId="0811B540"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87" w:type="pct"/>
            <w:vAlign w:val="center"/>
          </w:tcPr>
          <w:p w14:paraId="4715D18B" w14:textId="2A6316AB"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48" w:type="pct"/>
            <w:vAlign w:val="center"/>
          </w:tcPr>
          <w:p w14:paraId="2B149FAF" w14:textId="36695D5D"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47" w:type="pct"/>
            <w:vAlign w:val="center"/>
          </w:tcPr>
          <w:p w14:paraId="513EBC6A" w14:textId="032F77F4"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87" w:type="pct"/>
            <w:vAlign w:val="center"/>
          </w:tcPr>
          <w:p w14:paraId="6ECEFF0E" w14:textId="4F1983D6"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49" w:type="pct"/>
            <w:vAlign w:val="center"/>
          </w:tcPr>
          <w:p w14:paraId="161BA00B" w14:textId="20E38B6D"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954" w:type="pct"/>
            <w:vAlign w:val="center"/>
          </w:tcPr>
          <w:p w14:paraId="3CD78576" w14:textId="5468A78B"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93" w:type="pct"/>
            <w:vMerge/>
            <w:vAlign w:val="center"/>
          </w:tcPr>
          <w:p w14:paraId="3327D3F0" w14:textId="77777777" w:rsidR="00600DE0" w:rsidRDefault="00600DE0" w:rsidP="00B11C82">
            <w:pPr>
              <w:adjustRightInd w:val="0"/>
              <w:snapToGrid w:val="0"/>
              <w:jc w:val="center"/>
            </w:pPr>
          </w:p>
        </w:tc>
      </w:tr>
      <w:tr w:rsidR="00600DE0" w14:paraId="5CD1A69D" w14:textId="77777777" w:rsidTr="00600DE0">
        <w:trPr>
          <w:trHeight w:val="57"/>
          <w:jc w:val="center"/>
        </w:trPr>
        <w:tc>
          <w:tcPr>
            <w:tcW w:w="466" w:type="pct"/>
            <w:vAlign w:val="center"/>
          </w:tcPr>
          <w:p w14:paraId="0D29131D" w14:textId="3A1BDDD2" w:rsidR="00600DE0" w:rsidRDefault="00600DE0" w:rsidP="004A2F7D">
            <w:pPr>
              <w:adjustRightInd w:val="0"/>
              <w:snapToGrid w:val="0"/>
              <w:jc w:val="center"/>
            </w:pPr>
            <w:r>
              <w:t>氯乙烯</w:t>
            </w:r>
          </w:p>
        </w:tc>
        <w:tc>
          <w:tcPr>
            <w:tcW w:w="325" w:type="pct"/>
            <w:vAlign w:val="center"/>
          </w:tcPr>
          <w:p w14:paraId="4CF74FA4" w14:textId="0F62461C" w:rsidR="00600DE0" w:rsidRDefault="00600DE0" w:rsidP="004A2F7D">
            <w:pPr>
              <w:adjustRightInd w:val="0"/>
              <w:snapToGrid w:val="0"/>
              <w:jc w:val="center"/>
              <w:rPr>
                <w:bCs/>
              </w:rPr>
            </w:pPr>
            <w:r>
              <w:rPr>
                <w:lang w:bidi="ar"/>
              </w:rPr>
              <w:t>1.0×10</w:t>
            </w:r>
            <w:r>
              <w:rPr>
                <w:vertAlign w:val="superscript"/>
                <w:lang w:bidi="ar"/>
              </w:rPr>
              <w:t>-3</w:t>
            </w:r>
            <w:r>
              <w:rPr>
                <w:lang w:bidi="ar"/>
              </w:rPr>
              <w:t>L</w:t>
            </w:r>
          </w:p>
        </w:tc>
        <w:tc>
          <w:tcPr>
            <w:tcW w:w="387" w:type="pct"/>
            <w:vAlign w:val="center"/>
          </w:tcPr>
          <w:p w14:paraId="46B72882" w14:textId="51653336" w:rsidR="00600DE0" w:rsidRDefault="00600DE0" w:rsidP="004A2F7D">
            <w:pPr>
              <w:adjustRightInd w:val="0"/>
              <w:snapToGrid w:val="0"/>
              <w:jc w:val="center"/>
              <w:rPr>
                <w:bCs/>
              </w:rPr>
            </w:pPr>
            <w:r>
              <w:rPr>
                <w:lang w:bidi="ar"/>
              </w:rPr>
              <w:t>1.0×10</w:t>
            </w:r>
            <w:r>
              <w:rPr>
                <w:vertAlign w:val="superscript"/>
                <w:lang w:bidi="ar"/>
              </w:rPr>
              <w:t>-3</w:t>
            </w:r>
            <w:r>
              <w:rPr>
                <w:lang w:bidi="ar"/>
              </w:rPr>
              <w:t>L</w:t>
            </w:r>
          </w:p>
        </w:tc>
        <w:tc>
          <w:tcPr>
            <w:tcW w:w="325" w:type="pct"/>
            <w:vAlign w:val="center"/>
          </w:tcPr>
          <w:p w14:paraId="7B99EC93" w14:textId="3D2E090D" w:rsidR="00600DE0" w:rsidRDefault="00600DE0" w:rsidP="004A2F7D">
            <w:pPr>
              <w:adjustRightInd w:val="0"/>
              <w:snapToGrid w:val="0"/>
              <w:jc w:val="center"/>
              <w:rPr>
                <w:bCs/>
              </w:rPr>
            </w:pPr>
            <w:r>
              <w:rPr>
                <w:lang w:bidi="ar"/>
              </w:rPr>
              <w:t>1.0×10</w:t>
            </w:r>
            <w:r>
              <w:rPr>
                <w:vertAlign w:val="superscript"/>
                <w:lang w:bidi="ar"/>
              </w:rPr>
              <w:t>-3</w:t>
            </w:r>
            <w:r>
              <w:rPr>
                <w:lang w:bidi="ar"/>
              </w:rPr>
              <w:t>L</w:t>
            </w:r>
          </w:p>
        </w:tc>
        <w:tc>
          <w:tcPr>
            <w:tcW w:w="333" w:type="pct"/>
            <w:vAlign w:val="center"/>
          </w:tcPr>
          <w:p w14:paraId="5B15AC13" w14:textId="6C123D02" w:rsidR="00600DE0" w:rsidRDefault="00600DE0" w:rsidP="004A2F7D">
            <w:pPr>
              <w:pStyle w:val="TableText"/>
              <w:adjustRightInd w:val="0"/>
              <w:snapToGrid w:val="0"/>
              <w:jc w:val="center"/>
              <w:rPr>
                <w:rFonts w:ascii="Times New Roman" w:hAnsi="Times New Roman" w:cs="Times New Roman"/>
                <w:bCs/>
                <w:lang w:eastAsia="zh-CN"/>
              </w:rPr>
            </w:pPr>
            <w:r>
              <w:rPr>
                <w:rFonts w:ascii="Times New Roman" w:hAnsi="Times New Roman" w:cs="Times New Roman"/>
                <w:lang w:eastAsia="zh-CN" w:bidi="ar"/>
              </w:rPr>
              <w:t>1.0×10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87" w:type="pct"/>
            <w:vAlign w:val="center"/>
          </w:tcPr>
          <w:p w14:paraId="69774BA9" w14:textId="3C0144B6" w:rsidR="00600DE0" w:rsidRDefault="00600DE0" w:rsidP="004A2F7D">
            <w:pPr>
              <w:pStyle w:val="TableText"/>
              <w:adjustRightInd w:val="0"/>
              <w:snapToGrid w:val="0"/>
              <w:jc w:val="center"/>
              <w:rPr>
                <w:rFonts w:ascii="Times New Roman" w:hAnsi="Times New Roman" w:cs="Times New Roman"/>
                <w:bCs/>
                <w:lang w:eastAsia="zh-CN"/>
              </w:rPr>
            </w:pPr>
            <w:r>
              <w:rPr>
                <w:rFonts w:ascii="Times New Roman" w:hAnsi="Times New Roman" w:cs="Times New Roman"/>
                <w:lang w:eastAsia="zh-CN" w:bidi="ar"/>
              </w:rPr>
              <w:t>1.0×10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48" w:type="pct"/>
            <w:vAlign w:val="center"/>
          </w:tcPr>
          <w:p w14:paraId="209E8EC7" w14:textId="321EB761" w:rsidR="00600DE0" w:rsidRDefault="00600DE0" w:rsidP="004A2F7D">
            <w:pPr>
              <w:pStyle w:val="TableText"/>
              <w:adjustRightInd w:val="0"/>
              <w:snapToGrid w:val="0"/>
              <w:jc w:val="center"/>
              <w:rPr>
                <w:rFonts w:ascii="Times New Roman" w:hAnsi="Times New Roman" w:cs="Times New Roman"/>
                <w:bCs/>
                <w:lang w:eastAsia="zh-CN"/>
              </w:rPr>
            </w:pPr>
            <w:r>
              <w:rPr>
                <w:rFonts w:ascii="Times New Roman" w:hAnsi="Times New Roman" w:cs="Times New Roman"/>
                <w:lang w:eastAsia="zh-CN" w:bidi="ar"/>
              </w:rPr>
              <w:t>1.0×10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47" w:type="pct"/>
            <w:vAlign w:val="center"/>
          </w:tcPr>
          <w:p w14:paraId="7DD82FD9" w14:textId="26375037" w:rsidR="00600DE0" w:rsidRDefault="00600DE0" w:rsidP="004A2F7D">
            <w:pPr>
              <w:pStyle w:val="TableText"/>
              <w:adjustRightInd w:val="0"/>
              <w:snapToGrid w:val="0"/>
              <w:jc w:val="center"/>
              <w:rPr>
                <w:rFonts w:ascii="Times New Roman" w:hAnsi="Times New Roman" w:cs="Times New Roman"/>
                <w:bCs/>
                <w:lang w:eastAsia="zh-CN"/>
              </w:rPr>
            </w:pPr>
            <w:r>
              <w:rPr>
                <w:rFonts w:ascii="Times New Roman" w:hAnsi="Times New Roman" w:cs="Times New Roman"/>
                <w:lang w:eastAsia="zh-CN" w:bidi="ar"/>
              </w:rPr>
              <w:t>1.0×10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87" w:type="pct"/>
            <w:vAlign w:val="center"/>
          </w:tcPr>
          <w:p w14:paraId="69B08394" w14:textId="1736DD92" w:rsidR="00600DE0" w:rsidRDefault="00600DE0" w:rsidP="004A2F7D">
            <w:pPr>
              <w:pStyle w:val="TableText"/>
              <w:adjustRightInd w:val="0"/>
              <w:snapToGrid w:val="0"/>
              <w:jc w:val="center"/>
              <w:rPr>
                <w:rFonts w:ascii="Times New Roman" w:hAnsi="Times New Roman" w:cs="Times New Roman"/>
                <w:bCs/>
                <w:lang w:eastAsia="zh-CN"/>
              </w:rPr>
            </w:pPr>
            <w:r>
              <w:rPr>
                <w:rFonts w:ascii="Times New Roman" w:hAnsi="Times New Roman" w:cs="Times New Roman"/>
                <w:lang w:eastAsia="zh-CN" w:bidi="ar"/>
              </w:rPr>
              <w:t>1.0×10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49" w:type="pct"/>
            <w:vAlign w:val="center"/>
          </w:tcPr>
          <w:p w14:paraId="33B4A666" w14:textId="3B06B309" w:rsidR="00600DE0" w:rsidRDefault="00600DE0" w:rsidP="004A2F7D">
            <w:pPr>
              <w:pStyle w:val="TableText"/>
              <w:adjustRightInd w:val="0"/>
              <w:snapToGrid w:val="0"/>
              <w:jc w:val="center"/>
              <w:rPr>
                <w:rFonts w:ascii="Times New Roman" w:hAnsi="Times New Roman" w:cs="Times New Roman"/>
                <w:bCs/>
                <w:lang w:eastAsia="zh-CN"/>
              </w:rPr>
            </w:pPr>
            <w:r>
              <w:rPr>
                <w:rFonts w:ascii="Times New Roman" w:hAnsi="Times New Roman" w:cs="Times New Roman"/>
                <w:lang w:eastAsia="zh-CN" w:bidi="ar"/>
              </w:rPr>
              <w:t>1.0×10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954" w:type="pct"/>
            <w:vAlign w:val="center"/>
          </w:tcPr>
          <w:p w14:paraId="34606488" w14:textId="4751CE4F" w:rsidR="00600DE0" w:rsidRDefault="00600DE0" w:rsidP="004A2F7D">
            <w:pPr>
              <w:pStyle w:val="TableText"/>
              <w:adjustRightInd w:val="0"/>
              <w:snapToGrid w:val="0"/>
              <w:jc w:val="center"/>
              <w:rPr>
                <w:rFonts w:ascii="Times New Roman" w:hAnsi="Times New Roman" w:cs="Times New Roman"/>
              </w:rPr>
            </w:pPr>
            <w:r>
              <w:rPr>
                <w:rFonts w:ascii="Times New Roman" w:hAnsi="Times New Roman" w:cs="Times New Roman"/>
                <w:lang w:eastAsia="zh-CN" w:bidi="ar"/>
              </w:rPr>
              <w:t>1.0×10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93" w:type="pct"/>
            <w:vMerge w:val="restart"/>
            <w:vAlign w:val="center"/>
          </w:tcPr>
          <w:p w14:paraId="70FD8833" w14:textId="46787876" w:rsidR="00600DE0" w:rsidRDefault="00600DE0" w:rsidP="004A2F7D">
            <w:pPr>
              <w:adjustRightInd w:val="0"/>
              <w:snapToGrid w:val="0"/>
              <w:jc w:val="center"/>
              <w:rPr>
                <w:bCs/>
              </w:rPr>
            </w:pPr>
            <w:r>
              <w:rPr>
                <w:rFonts w:hint="eastAsia"/>
              </w:rPr>
              <w:t>0.43</w:t>
            </w:r>
          </w:p>
        </w:tc>
      </w:tr>
      <w:tr w:rsidR="00600DE0" w14:paraId="576C58AE" w14:textId="77777777" w:rsidTr="00600DE0">
        <w:trPr>
          <w:trHeight w:val="57"/>
          <w:jc w:val="center"/>
        </w:trPr>
        <w:tc>
          <w:tcPr>
            <w:tcW w:w="466" w:type="pct"/>
            <w:vAlign w:val="center"/>
          </w:tcPr>
          <w:p w14:paraId="0AFC6531" w14:textId="6DDB3C4E" w:rsidR="00600DE0" w:rsidRDefault="00600DE0" w:rsidP="00B11C82">
            <w:pPr>
              <w:adjustRightInd w:val="0"/>
              <w:snapToGrid w:val="0"/>
              <w:jc w:val="center"/>
            </w:pPr>
            <w:r>
              <w:rPr>
                <w:rFonts w:hint="eastAsia"/>
              </w:rPr>
              <w:t>标准指数</w:t>
            </w:r>
          </w:p>
        </w:tc>
        <w:tc>
          <w:tcPr>
            <w:tcW w:w="325" w:type="pct"/>
            <w:vAlign w:val="center"/>
          </w:tcPr>
          <w:p w14:paraId="0FC2AFB1" w14:textId="6CA085A0" w:rsidR="00600DE0" w:rsidRDefault="00600DE0" w:rsidP="00B11C82">
            <w:pPr>
              <w:adjustRightInd w:val="0"/>
              <w:snapToGrid w:val="0"/>
              <w:jc w:val="center"/>
              <w:rPr>
                <w:lang w:bidi="ar"/>
              </w:rPr>
            </w:pPr>
            <w:r>
              <w:rPr>
                <w:rFonts w:hint="eastAsia"/>
                <w:color w:val="000000"/>
                <w:sz w:val="22"/>
                <w:szCs w:val="22"/>
              </w:rPr>
              <w:t>/</w:t>
            </w:r>
          </w:p>
        </w:tc>
        <w:tc>
          <w:tcPr>
            <w:tcW w:w="387" w:type="pct"/>
            <w:vAlign w:val="center"/>
          </w:tcPr>
          <w:p w14:paraId="3ADAD731" w14:textId="65332A35" w:rsidR="00600DE0" w:rsidRDefault="00600DE0" w:rsidP="00B11C82">
            <w:pPr>
              <w:adjustRightInd w:val="0"/>
              <w:snapToGrid w:val="0"/>
              <w:jc w:val="center"/>
              <w:rPr>
                <w:lang w:bidi="ar"/>
              </w:rPr>
            </w:pPr>
            <w:r>
              <w:rPr>
                <w:rFonts w:hint="eastAsia"/>
                <w:color w:val="000000"/>
                <w:sz w:val="22"/>
                <w:szCs w:val="22"/>
              </w:rPr>
              <w:t>/</w:t>
            </w:r>
          </w:p>
        </w:tc>
        <w:tc>
          <w:tcPr>
            <w:tcW w:w="325" w:type="pct"/>
            <w:vAlign w:val="center"/>
          </w:tcPr>
          <w:p w14:paraId="787E4DFC" w14:textId="76E7206C" w:rsidR="00600DE0" w:rsidRDefault="00600DE0" w:rsidP="00B11C82">
            <w:pPr>
              <w:adjustRightInd w:val="0"/>
              <w:snapToGrid w:val="0"/>
              <w:jc w:val="center"/>
              <w:rPr>
                <w:lang w:bidi="ar"/>
              </w:rPr>
            </w:pPr>
            <w:r>
              <w:rPr>
                <w:rFonts w:hint="eastAsia"/>
                <w:color w:val="000000"/>
                <w:sz w:val="22"/>
                <w:szCs w:val="22"/>
              </w:rPr>
              <w:t>/</w:t>
            </w:r>
          </w:p>
        </w:tc>
        <w:tc>
          <w:tcPr>
            <w:tcW w:w="333" w:type="pct"/>
            <w:vAlign w:val="center"/>
          </w:tcPr>
          <w:p w14:paraId="2082BEED" w14:textId="1BD3C207"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87" w:type="pct"/>
            <w:vAlign w:val="center"/>
          </w:tcPr>
          <w:p w14:paraId="52E33FAC" w14:textId="25C74483"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48" w:type="pct"/>
            <w:vAlign w:val="center"/>
          </w:tcPr>
          <w:p w14:paraId="730E7E73" w14:textId="689C1161"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47" w:type="pct"/>
            <w:vAlign w:val="center"/>
          </w:tcPr>
          <w:p w14:paraId="0E16013C" w14:textId="4653B47E"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87" w:type="pct"/>
            <w:vAlign w:val="center"/>
          </w:tcPr>
          <w:p w14:paraId="7D3A0D38" w14:textId="14402217"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49" w:type="pct"/>
            <w:vAlign w:val="center"/>
          </w:tcPr>
          <w:p w14:paraId="371A26EA" w14:textId="7B687770"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954" w:type="pct"/>
            <w:vAlign w:val="center"/>
          </w:tcPr>
          <w:p w14:paraId="0153A55F" w14:textId="71BAEE88"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93" w:type="pct"/>
            <w:vMerge/>
            <w:vAlign w:val="center"/>
          </w:tcPr>
          <w:p w14:paraId="00FBD022" w14:textId="77777777" w:rsidR="00600DE0" w:rsidRDefault="00600DE0" w:rsidP="00B11C82">
            <w:pPr>
              <w:adjustRightInd w:val="0"/>
              <w:snapToGrid w:val="0"/>
              <w:jc w:val="center"/>
            </w:pPr>
          </w:p>
        </w:tc>
      </w:tr>
      <w:tr w:rsidR="00600DE0" w14:paraId="3D621F12" w14:textId="77777777" w:rsidTr="00600DE0">
        <w:trPr>
          <w:trHeight w:val="57"/>
          <w:jc w:val="center"/>
        </w:trPr>
        <w:tc>
          <w:tcPr>
            <w:tcW w:w="466" w:type="pct"/>
            <w:vAlign w:val="center"/>
          </w:tcPr>
          <w:p w14:paraId="71F1CCC5" w14:textId="5A199F66" w:rsidR="00600DE0" w:rsidRDefault="00600DE0" w:rsidP="004A2F7D">
            <w:pPr>
              <w:adjustRightInd w:val="0"/>
              <w:snapToGrid w:val="0"/>
              <w:jc w:val="center"/>
            </w:pPr>
            <w:r>
              <w:t>苯</w:t>
            </w:r>
          </w:p>
        </w:tc>
        <w:tc>
          <w:tcPr>
            <w:tcW w:w="325" w:type="pct"/>
            <w:vAlign w:val="center"/>
          </w:tcPr>
          <w:p w14:paraId="73914532" w14:textId="3DF08192" w:rsidR="00600DE0" w:rsidRDefault="00600DE0" w:rsidP="004A2F7D">
            <w:pPr>
              <w:adjustRightInd w:val="0"/>
              <w:snapToGrid w:val="0"/>
              <w:jc w:val="center"/>
              <w:rPr>
                <w:bCs/>
              </w:rPr>
            </w:pPr>
            <w:r>
              <w:rPr>
                <w:lang w:bidi="ar"/>
              </w:rPr>
              <w:t>1.9×10</w:t>
            </w:r>
            <w:r>
              <w:rPr>
                <w:vertAlign w:val="superscript"/>
                <w:lang w:bidi="ar"/>
              </w:rPr>
              <w:t>-3</w:t>
            </w:r>
            <w:r>
              <w:rPr>
                <w:lang w:bidi="ar"/>
              </w:rPr>
              <w:t>L</w:t>
            </w:r>
          </w:p>
        </w:tc>
        <w:tc>
          <w:tcPr>
            <w:tcW w:w="387" w:type="pct"/>
            <w:vAlign w:val="center"/>
          </w:tcPr>
          <w:p w14:paraId="271886C0" w14:textId="0CD0F78E" w:rsidR="00600DE0" w:rsidRDefault="00600DE0" w:rsidP="004A2F7D">
            <w:pPr>
              <w:adjustRightInd w:val="0"/>
              <w:snapToGrid w:val="0"/>
              <w:jc w:val="center"/>
              <w:rPr>
                <w:bCs/>
              </w:rPr>
            </w:pPr>
            <w:r>
              <w:rPr>
                <w:lang w:bidi="ar"/>
              </w:rPr>
              <w:t>1.9×10</w:t>
            </w:r>
            <w:r>
              <w:rPr>
                <w:vertAlign w:val="superscript"/>
                <w:lang w:bidi="ar"/>
              </w:rPr>
              <w:t>-3</w:t>
            </w:r>
            <w:r>
              <w:rPr>
                <w:lang w:bidi="ar"/>
              </w:rPr>
              <w:t>L</w:t>
            </w:r>
          </w:p>
        </w:tc>
        <w:tc>
          <w:tcPr>
            <w:tcW w:w="325" w:type="pct"/>
            <w:vAlign w:val="center"/>
          </w:tcPr>
          <w:p w14:paraId="72F649B1" w14:textId="206F9CFD" w:rsidR="00600DE0" w:rsidRDefault="00600DE0" w:rsidP="004A2F7D">
            <w:pPr>
              <w:adjustRightInd w:val="0"/>
              <w:snapToGrid w:val="0"/>
              <w:jc w:val="center"/>
              <w:rPr>
                <w:bCs/>
              </w:rPr>
            </w:pPr>
            <w:r>
              <w:rPr>
                <w:lang w:bidi="ar"/>
              </w:rPr>
              <w:t>1.9×10</w:t>
            </w:r>
            <w:r>
              <w:rPr>
                <w:vertAlign w:val="superscript"/>
                <w:lang w:bidi="ar"/>
              </w:rPr>
              <w:t>-3</w:t>
            </w:r>
            <w:r>
              <w:rPr>
                <w:lang w:bidi="ar"/>
              </w:rPr>
              <w:t>L</w:t>
            </w:r>
          </w:p>
        </w:tc>
        <w:tc>
          <w:tcPr>
            <w:tcW w:w="333" w:type="pct"/>
            <w:vAlign w:val="center"/>
          </w:tcPr>
          <w:p w14:paraId="6D75F240" w14:textId="14BC9924" w:rsidR="00600DE0" w:rsidRDefault="00600DE0"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bidi="ar"/>
              </w:rPr>
              <w:t>1.9×10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87" w:type="pct"/>
            <w:vAlign w:val="center"/>
          </w:tcPr>
          <w:p w14:paraId="60DB7144" w14:textId="4B3CDE8B" w:rsidR="00600DE0" w:rsidRDefault="00600DE0"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bidi="ar"/>
              </w:rPr>
              <w:t>1.9×10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48" w:type="pct"/>
            <w:vAlign w:val="center"/>
          </w:tcPr>
          <w:p w14:paraId="5D952CD2" w14:textId="1BF6CC1D" w:rsidR="00600DE0" w:rsidRDefault="00600DE0"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bidi="ar"/>
              </w:rPr>
              <w:t>1.9×10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47" w:type="pct"/>
            <w:vAlign w:val="center"/>
          </w:tcPr>
          <w:p w14:paraId="3EE55C71" w14:textId="5F15F9CB" w:rsidR="00600DE0" w:rsidRDefault="00600DE0"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bidi="ar"/>
              </w:rPr>
              <w:t>1.9×10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87" w:type="pct"/>
            <w:vAlign w:val="center"/>
          </w:tcPr>
          <w:p w14:paraId="001820F7" w14:textId="131425C8" w:rsidR="00600DE0" w:rsidRDefault="00600DE0"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bidi="ar"/>
              </w:rPr>
              <w:t>1.9×10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49" w:type="pct"/>
            <w:vAlign w:val="center"/>
          </w:tcPr>
          <w:p w14:paraId="38B542E7" w14:textId="451CA8F0" w:rsidR="00600DE0" w:rsidRDefault="00600DE0"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bidi="ar"/>
              </w:rPr>
              <w:t>1.9×10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954" w:type="pct"/>
            <w:vAlign w:val="center"/>
          </w:tcPr>
          <w:p w14:paraId="1CD460FA" w14:textId="3478C312" w:rsidR="00600DE0" w:rsidRDefault="00600DE0" w:rsidP="004A2F7D">
            <w:pPr>
              <w:pStyle w:val="TableText"/>
              <w:adjustRightInd w:val="0"/>
              <w:snapToGrid w:val="0"/>
              <w:jc w:val="center"/>
              <w:rPr>
                <w:rFonts w:ascii="Times New Roman" w:hAnsi="Times New Roman" w:cs="Times New Roman"/>
              </w:rPr>
            </w:pPr>
            <w:r>
              <w:rPr>
                <w:rFonts w:ascii="Times New Roman" w:hAnsi="Times New Roman" w:cs="Times New Roman"/>
                <w:lang w:eastAsia="zh-CN" w:bidi="ar"/>
              </w:rPr>
              <w:t>1.9×10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93" w:type="pct"/>
            <w:vMerge w:val="restart"/>
            <w:vAlign w:val="center"/>
          </w:tcPr>
          <w:p w14:paraId="1A991BC2" w14:textId="4A333636" w:rsidR="00600DE0" w:rsidRDefault="00600DE0" w:rsidP="004A2F7D">
            <w:pPr>
              <w:adjustRightInd w:val="0"/>
              <w:snapToGrid w:val="0"/>
              <w:jc w:val="center"/>
              <w:rPr>
                <w:bCs/>
              </w:rPr>
            </w:pPr>
            <w:r>
              <w:rPr>
                <w:rFonts w:hint="eastAsia"/>
              </w:rPr>
              <w:t>4</w:t>
            </w:r>
          </w:p>
        </w:tc>
      </w:tr>
      <w:tr w:rsidR="00600DE0" w14:paraId="36A35711" w14:textId="77777777" w:rsidTr="00600DE0">
        <w:trPr>
          <w:trHeight w:val="57"/>
          <w:jc w:val="center"/>
        </w:trPr>
        <w:tc>
          <w:tcPr>
            <w:tcW w:w="466" w:type="pct"/>
            <w:vAlign w:val="center"/>
          </w:tcPr>
          <w:p w14:paraId="52DBA818" w14:textId="0EA56218" w:rsidR="00600DE0" w:rsidRDefault="00600DE0" w:rsidP="00B11C82">
            <w:pPr>
              <w:adjustRightInd w:val="0"/>
              <w:snapToGrid w:val="0"/>
              <w:jc w:val="center"/>
            </w:pPr>
            <w:r>
              <w:rPr>
                <w:rFonts w:hint="eastAsia"/>
              </w:rPr>
              <w:t>标准指数</w:t>
            </w:r>
          </w:p>
        </w:tc>
        <w:tc>
          <w:tcPr>
            <w:tcW w:w="325" w:type="pct"/>
            <w:vAlign w:val="center"/>
          </w:tcPr>
          <w:p w14:paraId="4FCC7E01" w14:textId="18E7E56D" w:rsidR="00600DE0" w:rsidRDefault="00600DE0" w:rsidP="00B11C82">
            <w:pPr>
              <w:adjustRightInd w:val="0"/>
              <w:snapToGrid w:val="0"/>
              <w:jc w:val="center"/>
              <w:rPr>
                <w:lang w:bidi="ar"/>
              </w:rPr>
            </w:pPr>
            <w:r>
              <w:rPr>
                <w:rFonts w:hint="eastAsia"/>
                <w:color w:val="000000"/>
                <w:sz w:val="22"/>
                <w:szCs w:val="22"/>
              </w:rPr>
              <w:t>/</w:t>
            </w:r>
          </w:p>
        </w:tc>
        <w:tc>
          <w:tcPr>
            <w:tcW w:w="387" w:type="pct"/>
            <w:vAlign w:val="center"/>
          </w:tcPr>
          <w:p w14:paraId="730ACBAB" w14:textId="135943B4" w:rsidR="00600DE0" w:rsidRDefault="00600DE0" w:rsidP="00B11C82">
            <w:pPr>
              <w:adjustRightInd w:val="0"/>
              <w:snapToGrid w:val="0"/>
              <w:jc w:val="center"/>
              <w:rPr>
                <w:lang w:bidi="ar"/>
              </w:rPr>
            </w:pPr>
            <w:r>
              <w:rPr>
                <w:rFonts w:hint="eastAsia"/>
                <w:color w:val="000000"/>
                <w:sz w:val="22"/>
                <w:szCs w:val="22"/>
              </w:rPr>
              <w:t>/</w:t>
            </w:r>
          </w:p>
        </w:tc>
        <w:tc>
          <w:tcPr>
            <w:tcW w:w="325" w:type="pct"/>
            <w:vAlign w:val="center"/>
          </w:tcPr>
          <w:p w14:paraId="00346120" w14:textId="62871BF4" w:rsidR="00600DE0" w:rsidRDefault="00600DE0" w:rsidP="00B11C82">
            <w:pPr>
              <w:adjustRightInd w:val="0"/>
              <w:snapToGrid w:val="0"/>
              <w:jc w:val="center"/>
              <w:rPr>
                <w:lang w:bidi="ar"/>
              </w:rPr>
            </w:pPr>
            <w:r>
              <w:rPr>
                <w:rFonts w:hint="eastAsia"/>
                <w:color w:val="000000"/>
                <w:sz w:val="22"/>
                <w:szCs w:val="22"/>
              </w:rPr>
              <w:t>/</w:t>
            </w:r>
          </w:p>
        </w:tc>
        <w:tc>
          <w:tcPr>
            <w:tcW w:w="333" w:type="pct"/>
            <w:vAlign w:val="center"/>
          </w:tcPr>
          <w:p w14:paraId="747EC1CB" w14:textId="744853BD"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87" w:type="pct"/>
            <w:vAlign w:val="center"/>
          </w:tcPr>
          <w:p w14:paraId="3DDD794A" w14:textId="15C177FE"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48" w:type="pct"/>
            <w:vAlign w:val="center"/>
          </w:tcPr>
          <w:p w14:paraId="7482ED5D" w14:textId="3A250857"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47" w:type="pct"/>
            <w:vAlign w:val="center"/>
          </w:tcPr>
          <w:p w14:paraId="5DD8EEB0" w14:textId="39BDCCDE"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87" w:type="pct"/>
            <w:vAlign w:val="center"/>
          </w:tcPr>
          <w:p w14:paraId="6649B0F9" w14:textId="416943A1"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49" w:type="pct"/>
            <w:vAlign w:val="center"/>
          </w:tcPr>
          <w:p w14:paraId="341734E6" w14:textId="7E544F4D"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954" w:type="pct"/>
            <w:vAlign w:val="center"/>
          </w:tcPr>
          <w:p w14:paraId="7955195E" w14:textId="037338AF"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93" w:type="pct"/>
            <w:vMerge/>
            <w:vAlign w:val="center"/>
          </w:tcPr>
          <w:p w14:paraId="50BB25BB" w14:textId="77777777" w:rsidR="00600DE0" w:rsidRDefault="00600DE0" w:rsidP="00B11C82">
            <w:pPr>
              <w:adjustRightInd w:val="0"/>
              <w:snapToGrid w:val="0"/>
              <w:jc w:val="center"/>
            </w:pPr>
          </w:p>
        </w:tc>
      </w:tr>
      <w:tr w:rsidR="00600DE0" w14:paraId="75F8307B" w14:textId="77777777" w:rsidTr="00600DE0">
        <w:trPr>
          <w:trHeight w:val="57"/>
          <w:jc w:val="center"/>
        </w:trPr>
        <w:tc>
          <w:tcPr>
            <w:tcW w:w="466" w:type="pct"/>
            <w:vAlign w:val="center"/>
          </w:tcPr>
          <w:p w14:paraId="784ECE7A" w14:textId="2404EB4A" w:rsidR="00600DE0" w:rsidRDefault="00600DE0" w:rsidP="004A2F7D">
            <w:pPr>
              <w:adjustRightInd w:val="0"/>
              <w:snapToGrid w:val="0"/>
              <w:jc w:val="center"/>
            </w:pPr>
            <w:r>
              <w:t>氯苯</w:t>
            </w:r>
          </w:p>
        </w:tc>
        <w:tc>
          <w:tcPr>
            <w:tcW w:w="325" w:type="pct"/>
            <w:vAlign w:val="center"/>
          </w:tcPr>
          <w:p w14:paraId="6DE2067E" w14:textId="1A03D8FD" w:rsidR="00600DE0" w:rsidRDefault="00600DE0" w:rsidP="004A2F7D">
            <w:pPr>
              <w:adjustRightInd w:val="0"/>
              <w:snapToGrid w:val="0"/>
              <w:jc w:val="center"/>
              <w:rPr>
                <w:bCs/>
              </w:rPr>
            </w:pPr>
            <w:r>
              <w:rPr>
                <w:lang w:bidi="ar"/>
              </w:rPr>
              <w:t>1.2×10</w:t>
            </w:r>
            <w:r>
              <w:rPr>
                <w:vertAlign w:val="superscript"/>
                <w:lang w:bidi="ar"/>
              </w:rPr>
              <w:t>-3</w:t>
            </w:r>
            <w:r>
              <w:rPr>
                <w:lang w:bidi="ar"/>
              </w:rPr>
              <w:t>L</w:t>
            </w:r>
          </w:p>
        </w:tc>
        <w:tc>
          <w:tcPr>
            <w:tcW w:w="387" w:type="pct"/>
            <w:vAlign w:val="center"/>
          </w:tcPr>
          <w:p w14:paraId="13200DCF" w14:textId="6C127F95" w:rsidR="00600DE0" w:rsidRDefault="00600DE0" w:rsidP="004A2F7D">
            <w:pPr>
              <w:adjustRightInd w:val="0"/>
              <w:snapToGrid w:val="0"/>
              <w:jc w:val="center"/>
              <w:rPr>
                <w:bCs/>
              </w:rPr>
            </w:pPr>
            <w:r>
              <w:rPr>
                <w:lang w:bidi="ar"/>
              </w:rPr>
              <w:t>1.2×10</w:t>
            </w:r>
            <w:r>
              <w:rPr>
                <w:vertAlign w:val="superscript"/>
                <w:lang w:bidi="ar"/>
              </w:rPr>
              <w:t>-3</w:t>
            </w:r>
            <w:r>
              <w:rPr>
                <w:lang w:bidi="ar"/>
              </w:rPr>
              <w:t>L</w:t>
            </w:r>
          </w:p>
        </w:tc>
        <w:tc>
          <w:tcPr>
            <w:tcW w:w="325" w:type="pct"/>
            <w:vAlign w:val="center"/>
          </w:tcPr>
          <w:p w14:paraId="4FBE7652" w14:textId="75A1ECCD" w:rsidR="00600DE0" w:rsidRDefault="00600DE0" w:rsidP="004A2F7D">
            <w:pPr>
              <w:adjustRightInd w:val="0"/>
              <w:snapToGrid w:val="0"/>
              <w:jc w:val="center"/>
              <w:rPr>
                <w:bCs/>
              </w:rPr>
            </w:pPr>
            <w:r>
              <w:rPr>
                <w:lang w:bidi="ar"/>
              </w:rPr>
              <w:t>1.2×10</w:t>
            </w:r>
            <w:r>
              <w:rPr>
                <w:vertAlign w:val="superscript"/>
                <w:lang w:bidi="ar"/>
              </w:rPr>
              <w:t>-3</w:t>
            </w:r>
            <w:r>
              <w:rPr>
                <w:lang w:bidi="ar"/>
              </w:rPr>
              <w:t>L</w:t>
            </w:r>
          </w:p>
        </w:tc>
        <w:tc>
          <w:tcPr>
            <w:tcW w:w="333" w:type="pct"/>
            <w:vAlign w:val="center"/>
          </w:tcPr>
          <w:p w14:paraId="58CE0380" w14:textId="5773F539" w:rsidR="00600DE0" w:rsidRDefault="00600DE0"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bidi="ar"/>
              </w:rPr>
              <w:t>1.2×10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87" w:type="pct"/>
            <w:vAlign w:val="center"/>
          </w:tcPr>
          <w:p w14:paraId="72692BED" w14:textId="322F6090" w:rsidR="00600DE0" w:rsidRDefault="00600DE0"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bidi="ar"/>
              </w:rPr>
              <w:t>1.2×10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48" w:type="pct"/>
            <w:vAlign w:val="center"/>
          </w:tcPr>
          <w:p w14:paraId="47C7088D" w14:textId="138DC4C2" w:rsidR="00600DE0" w:rsidRDefault="00600DE0"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bidi="ar"/>
              </w:rPr>
              <w:t>1.2×10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47" w:type="pct"/>
            <w:vAlign w:val="center"/>
          </w:tcPr>
          <w:p w14:paraId="399FE0F7" w14:textId="7C18CD14" w:rsidR="00600DE0" w:rsidRDefault="00600DE0"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bidi="ar"/>
              </w:rPr>
              <w:t>1.2×10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87" w:type="pct"/>
            <w:vAlign w:val="center"/>
          </w:tcPr>
          <w:p w14:paraId="4586321B" w14:textId="7E9807FF" w:rsidR="00600DE0" w:rsidRDefault="00600DE0"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bidi="ar"/>
              </w:rPr>
              <w:t>1.2×10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49" w:type="pct"/>
            <w:vAlign w:val="center"/>
          </w:tcPr>
          <w:p w14:paraId="483D0F7F" w14:textId="7217C9A4" w:rsidR="00600DE0" w:rsidRDefault="00600DE0"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bidi="ar"/>
              </w:rPr>
              <w:t>1.2×10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954" w:type="pct"/>
            <w:vAlign w:val="center"/>
          </w:tcPr>
          <w:p w14:paraId="6988653C" w14:textId="16BBAD21" w:rsidR="00600DE0" w:rsidRDefault="00600DE0" w:rsidP="004A2F7D">
            <w:pPr>
              <w:pStyle w:val="TableText"/>
              <w:adjustRightInd w:val="0"/>
              <w:snapToGrid w:val="0"/>
              <w:jc w:val="center"/>
              <w:rPr>
                <w:rFonts w:ascii="Times New Roman" w:hAnsi="Times New Roman" w:cs="Times New Roman"/>
              </w:rPr>
            </w:pPr>
            <w:r>
              <w:rPr>
                <w:rFonts w:ascii="Times New Roman" w:hAnsi="Times New Roman" w:cs="Times New Roman"/>
                <w:lang w:eastAsia="zh-CN" w:bidi="ar"/>
              </w:rPr>
              <w:t>1.2×10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93" w:type="pct"/>
            <w:vMerge w:val="restart"/>
            <w:vAlign w:val="center"/>
          </w:tcPr>
          <w:p w14:paraId="30A0906E" w14:textId="685CAFA1" w:rsidR="00600DE0" w:rsidRDefault="00600DE0" w:rsidP="004A2F7D">
            <w:pPr>
              <w:adjustRightInd w:val="0"/>
              <w:snapToGrid w:val="0"/>
              <w:jc w:val="center"/>
              <w:rPr>
                <w:bCs/>
              </w:rPr>
            </w:pPr>
            <w:r>
              <w:rPr>
                <w:rFonts w:hint="eastAsia"/>
              </w:rPr>
              <w:t>270</w:t>
            </w:r>
          </w:p>
        </w:tc>
      </w:tr>
      <w:tr w:rsidR="00600DE0" w14:paraId="200FFDA7" w14:textId="77777777" w:rsidTr="00600DE0">
        <w:trPr>
          <w:trHeight w:val="57"/>
          <w:jc w:val="center"/>
        </w:trPr>
        <w:tc>
          <w:tcPr>
            <w:tcW w:w="466" w:type="pct"/>
            <w:vAlign w:val="center"/>
          </w:tcPr>
          <w:p w14:paraId="755431CE" w14:textId="79B0D99A" w:rsidR="00600DE0" w:rsidRDefault="00600DE0" w:rsidP="00B11C82">
            <w:pPr>
              <w:adjustRightInd w:val="0"/>
              <w:snapToGrid w:val="0"/>
              <w:jc w:val="center"/>
            </w:pPr>
            <w:r>
              <w:rPr>
                <w:rFonts w:hint="eastAsia"/>
              </w:rPr>
              <w:t>标准指数</w:t>
            </w:r>
          </w:p>
        </w:tc>
        <w:tc>
          <w:tcPr>
            <w:tcW w:w="325" w:type="pct"/>
            <w:vAlign w:val="center"/>
          </w:tcPr>
          <w:p w14:paraId="3A07A9A4" w14:textId="78676561" w:rsidR="00600DE0" w:rsidRDefault="00600DE0" w:rsidP="00B11C82">
            <w:pPr>
              <w:adjustRightInd w:val="0"/>
              <w:snapToGrid w:val="0"/>
              <w:jc w:val="center"/>
              <w:rPr>
                <w:lang w:bidi="ar"/>
              </w:rPr>
            </w:pPr>
            <w:r>
              <w:rPr>
                <w:rFonts w:hint="eastAsia"/>
                <w:color w:val="000000"/>
                <w:sz w:val="22"/>
                <w:szCs w:val="22"/>
              </w:rPr>
              <w:t>/</w:t>
            </w:r>
          </w:p>
        </w:tc>
        <w:tc>
          <w:tcPr>
            <w:tcW w:w="387" w:type="pct"/>
            <w:vAlign w:val="center"/>
          </w:tcPr>
          <w:p w14:paraId="5303D184" w14:textId="31A922FD" w:rsidR="00600DE0" w:rsidRDefault="00600DE0" w:rsidP="00B11C82">
            <w:pPr>
              <w:adjustRightInd w:val="0"/>
              <w:snapToGrid w:val="0"/>
              <w:jc w:val="center"/>
              <w:rPr>
                <w:lang w:bidi="ar"/>
              </w:rPr>
            </w:pPr>
            <w:r>
              <w:rPr>
                <w:rFonts w:hint="eastAsia"/>
                <w:color w:val="000000"/>
                <w:sz w:val="22"/>
                <w:szCs w:val="22"/>
              </w:rPr>
              <w:t>/</w:t>
            </w:r>
          </w:p>
        </w:tc>
        <w:tc>
          <w:tcPr>
            <w:tcW w:w="325" w:type="pct"/>
            <w:vAlign w:val="center"/>
          </w:tcPr>
          <w:p w14:paraId="5489A618" w14:textId="40B01B5A" w:rsidR="00600DE0" w:rsidRDefault="00600DE0" w:rsidP="00B11C82">
            <w:pPr>
              <w:adjustRightInd w:val="0"/>
              <w:snapToGrid w:val="0"/>
              <w:jc w:val="center"/>
              <w:rPr>
                <w:lang w:bidi="ar"/>
              </w:rPr>
            </w:pPr>
            <w:r>
              <w:rPr>
                <w:rFonts w:hint="eastAsia"/>
                <w:color w:val="000000"/>
                <w:sz w:val="22"/>
                <w:szCs w:val="22"/>
              </w:rPr>
              <w:t>/</w:t>
            </w:r>
          </w:p>
        </w:tc>
        <w:tc>
          <w:tcPr>
            <w:tcW w:w="333" w:type="pct"/>
            <w:vAlign w:val="center"/>
          </w:tcPr>
          <w:p w14:paraId="3FB5CB33" w14:textId="3F162490"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87" w:type="pct"/>
            <w:vAlign w:val="center"/>
          </w:tcPr>
          <w:p w14:paraId="3C412D42" w14:textId="4F856C1F"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48" w:type="pct"/>
            <w:vAlign w:val="center"/>
          </w:tcPr>
          <w:p w14:paraId="2B720CA0" w14:textId="4C91C9DC"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47" w:type="pct"/>
            <w:vAlign w:val="center"/>
          </w:tcPr>
          <w:p w14:paraId="515B332F" w14:textId="0FF9ECA5"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87" w:type="pct"/>
            <w:vAlign w:val="center"/>
          </w:tcPr>
          <w:p w14:paraId="32C782D8" w14:textId="01F822C1"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49" w:type="pct"/>
            <w:vAlign w:val="center"/>
          </w:tcPr>
          <w:p w14:paraId="2AF35A1C" w14:textId="2759EB0E"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954" w:type="pct"/>
            <w:vAlign w:val="center"/>
          </w:tcPr>
          <w:p w14:paraId="54D49C24" w14:textId="3F9B409F"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93" w:type="pct"/>
            <w:vMerge/>
            <w:vAlign w:val="center"/>
          </w:tcPr>
          <w:p w14:paraId="7B770537" w14:textId="77777777" w:rsidR="00600DE0" w:rsidRDefault="00600DE0" w:rsidP="00B11C82">
            <w:pPr>
              <w:adjustRightInd w:val="0"/>
              <w:snapToGrid w:val="0"/>
              <w:jc w:val="center"/>
            </w:pPr>
          </w:p>
        </w:tc>
      </w:tr>
      <w:tr w:rsidR="00600DE0" w14:paraId="53EEC1CF" w14:textId="77777777" w:rsidTr="00600DE0">
        <w:trPr>
          <w:trHeight w:val="57"/>
          <w:jc w:val="center"/>
        </w:trPr>
        <w:tc>
          <w:tcPr>
            <w:tcW w:w="466" w:type="pct"/>
            <w:vAlign w:val="center"/>
          </w:tcPr>
          <w:p w14:paraId="4D68D3DF" w14:textId="6BC34A8D" w:rsidR="00600DE0" w:rsidRDefault="00600DE0" w:rsidP="004A2F7D">
            <w:pPr>
              <w:adjustRightInd w:val="0"/>
              <w:snapToGrid w:val="0"/>
              <w:jc w:val="center"/>
            </w:pPr>
            <w:r>
              <w:t>1,2-</w:t>
            </w:r>
            <w:r>
              <w:t>二氯苯</w:t>
            </w:r>
          </w:p>
        </w:tc>
        <w:tc>
          <w:tcPr>
            <w:tcW w:w="325" w:type="pct"/>
            <w:vAlign w:val="center"/>
          </w:tcPr>
          <w:p w14:paraId="71A7562D" w14:textId="5C4A6F71" w:rsidR="00600DE0" w:rsidRDefault="00600DE0" w:rsidP="004A2F7D">
            <w:pPr>
              <w:adjustRightInd w:val="0"/>
              <w:snapToGrid w:val="0"/>
              <w:jc w:val="center"/>
              <w:rPr>
                <w:bCs/>
              </w:rPr>
            </w:pPr>
            <w:r>
              <w:rPr>
                <w:lang w:bidi="ar"/>
              </w:rPr>
              <w:t>1.5×10</w:t>
            </w:r>
            <w:r>
              <w:rPr>
                <w:vertAlign w:val="superscript"/>
                <w:lang w:bidi="ar"/>
              </w:rPr>
              <w:t>-3</w:t>
            </w:r>
            <w:r>
              <w:rPr>
                <w:lang w:bidi="ar"/>
              </w:rPr>
              <w:t>L</w:t>
            </w:r>
          </w:p>
        </w:tc>
        <w:tc>
          <w:tcPr>
            <w:tcW w:w="387" w:type="pct"/>
            <w:vAlign w:val="center"/>
          </w:tcPr>
          <w:p w14:paraId="3BA1E03A" w14:textId="2061B9F8" w:rsidR="00600DE0" w:rsidRDefault="00600DE0" w:rsidP="004A2F7D">
            <w:pPr>
              <w:adjustRightInd w:val="0"/>
              <w:snapToGrid w:val="0"/>
              <w:jc w:val="center"/>
              <w:rPr>
                <w:bCs/>
              </w:rPr>
            </w:pPr>
            <w:r>
              <w:rPr>
                <w:lang w:bidi="ar"/>
              </w:rPr>
              <w:t>1.5×10</w:t>
            </w:r>
            <w:r>
              <w:rPr>
                <w:vertAlign w:val="superscript"/>
                <w:lang w:bidi="ar"/>
              </w:rPr>
              <w:t>-3</w:t>
            </w:r>
            <w:r>
              <w:rPr>
                <w:lang w:bidi="ar"/>
              </w:rPr>
              <w:t>L</w:t>
            </w:r>
          </w:p>
        </w:tc>
        <w:tc>
          <w:tcPr>
            <w:tcW w:w="325" w:type="pct"/>
            <w:vAlign w:val="center"/>
          </w:tcPr>
          <w:p w14:paraId="4C23EFDB" w14:textId="0139E4B8" w:rsidR="00600DE0" w:rsidRDefault="00600DE0" w:rsidP="004A2F7D">
            <w:pPr>
              <w:adjustRightInd w:val="0"/>
              <w:snapToGrid w:val="0"/>
              <w:jc w:val="center"/>
              <w:rPr>
                <w:bCs/>
              </w:rPr>
            </w:pPr>
            <w:r>
              <w:rPr>
                <w:lang w:bidi="ar"/>
              </w:rPr>
              <w:t>1.5×10</w:t>
            </w:r>
            <w:r>
              <w:rPr>
                <w:vertAlign w:val="superscript"/>
                <w:lang w:bidi="ar"/>
              </w:rPr>
              <w:t>-3</w:t>
            </w:r>
            <w:r>
              <w:rPr>
                <w:lang w:bidi="ar"/>
              </w:rPr>
              <w:t>L</w:t>
            </w:r>
          </w:p>
        </w:tc>
        <w:tc>
          <w:tcPr>
            <w:tcW w:w="333" w:type="pct"/>
            <w:vAlign w:val="center"/>
          </w:tcPr>
          <w:p w14:paraId="19B575C9" w14:textId="6D0652A8" w:rsidR="00600DE0" w:rsidRDefault="00600DE0"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bidi="ar"/>
              </w:rPr>
              <w:t>1.5×10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87" w:type="pct"/>
            <w:vAlign w:val="center"/>
          </w:tcPr>
          <w:p w14:paraId="61744F99" w14:textId="101504BE" w:rsidR="00600DE0" w:rsidRDefault="00600DE0"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bidi="ar"/>
              </w:rPr>
              <w:t>1.5×10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48" w:type="pct"/>
            <w:vAlign w:val="center"/>
          </w:tcPr>
          <w:p w14:paraId="461E8789" w14:textId="38FF5E6B" w:rsidR="00600DE0" w:rsidRDefault="00600DE0"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bidi="ar"/>
              </w:rPr>
              <w:t>1.5×10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47" w:type="pct"/>
            <w:vAlign w:val="center"/>
          </w:tcPr>
          <w:p w14:paraId="1C425C47" w14:textId="24733C79" w:rsidR="00600DE0" w:rsidRDefault="00600DE0"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bidi="ar"/>
              </w:rPr>
              <w:t>1.5×10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87" w:type="pct"/>
            <w:vAlign w:val="center"/>
          </w:tcPr>
          <w:p w14:paraId="38DACA8A" w14:textId="04215289" w:rsidR="00600DE0" w:rsidRDefault="00600DE0"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bidi="ar"/>
              </w:rPr>
              <w:t>1.5×10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49" w:type="pct"/>
            <w:vAlign w:val="center"/>
          </w:tcPr>
          <w:p w14:paraId="3C98D332" w14:textId="6B394C93" w:rsidR="00600DE0" w:rsidRDefault="00600DE0"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bidi="ar"/>
              </w:rPr>
              <w:t>1.5×10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954" w:type="pct"/>
            <w:vAlign w:val="center"/>
          </w:tcPr>
          <w:p w14:paraId="4DEAEE72" w14:textId="0A2D8C00" w:rsidR="00600DE0" w:rsidRDefault="00600DE0" w:rsidP="004A2F7D">
            <w:pPr>
              <w:pStyle w:val="TableText"/>
              <w:adjustRightInd w:val="0"/>
              <w:snapToGrid w:val="0"/>
              <w:jc w:val="center"/>
              <w:rPr>
                <w:rFonts w:ascii="Times New Roman" w:hAnsi="Times New Roman" w:cs="Times New Roman"/>
              </w:rPr>
            </w:pPr>
            <w:r>
              <w:rPr>
                <w:rFonts w:ascii="Times New Roman" w:hAnsi="Times New Roman" w:cs="Times New Roman"/>
                <w:lang w:eastAsia="zh-CN" w:bidi="ar"/>
              </w:rPr>
              <w:t>1.5×10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93" w:type="pct"/>
            <w:vMerge w:val="restart"/>
            <w:vAlign w:val="center"/>
          </w:tcPr>
          <w:p w14:paraId="48CA579E" w14:textId="69877D08" w:rsidR="00600DE0" w:rsidRDefault="00600DE0" w:rsidP="004A2F7D">
            <w:pPr>
              <w:adjustRightInd w:val="0"/>
              <w:snapToGrid w:val="0"/>
              <w:jc w:val="center"/>
              <w:rPr>
                <w:bCs/>
              </w:rPr>
            </w:pPr>
            <w:r>
              <w:rPr>
                <w:rFonts w:hint="eastAsia"/>
              </w:rPr>
              <w:t>560</w:t>
            </w:r>
          </w:p>
        </w:tc>
      </w:tr>
      <w:tr w:rsidR="00600DE0" w14:paraId="09150141" w14:textId="77777777" w:rsidTr="00600DE0">
        <w:trPr>
          <w:trHeight w:val="57"/>
          <w:jc w:val="center"/>
        </w:trPr>
        <w:tc>
          <w:tcPr>
            <w:tcW w:w="466" w:type="pct"/>
            <w:vAlign w:val="center"/>
          </w:tcPr>
          <w:p w14:paraId="74ED2EC7" w14:textId="1098F391" w:rsidR="00600DE0" w:rsidRDefault="00600DE0" w:rsidP="00B11C82">
            <w:pPr>
              <w:adjustRightInd w:val="0"/>
              <w:snapToGrid w:val="0"/>
              <w:jc w:val="center"/>
            </w:pPr>
            <w:r>
              <w:rPr>
                <w:rFonts w:hint="eastAsia"/>
              </w:rPr>
              <w:t>标准指数</w:t>
            </w:r>
          </w:p>
        </w:tc>
        <w:tc>
          <w:tcPr>
            <w:tcW w:w="325" w:type="pct"/>
            <w:vAlign w:val="center"/>
          </w:tcPr>
          <w:p w14:paraId="4A288606" w14:textId="1433BFEC" w:rsidR="00600DE0" w:rsidRDefault="00600DE0" w:rsidP="00B11C82">
            <w:pPr>
              <w:adjustRightInd w:val="0"/>
              <w:snapToGrid w:val="0"/>
              <w:jc w:val="center"/>
              <w:rPr>
                <w:lang w:bidi="ar"/>
              </w:rPr>
            </w:pPr>
            <w:r>
              <w:rPr>
                <w:rFonts w:hint="eastAsia"/>
                <w:color w:val="000000"/>
                <w:sz w:val="22"/>
                <w:szCs w:val="22"/>
              </w:rPr>
              <w:t>/</w:t>
            </w:r>
          </w:p>
        </w:tc>
        <w:tc>
          <w:tcPr>
            <w:tcW w:w="387" w:type="pct"/>
            <w:vAlign w:val="center"/>
          </w:tcPr>
          <w:p w14:paraId="0FAA663B" w14:textId="20567051" w:rsidR="00600DE0" w:rsidRDefault="00600DE0" w:rsidP="00B11C82">
            <w:pPr>
              <w:adjustRightInd w:val="0"/>
              <w:snapToGrid w:val="0"/>
              <w:jc w:val="center"/>
              <w:rPr>
                <w:lang w:bidi="ar"/>
              </w:rPr>
            </w:pPr>
            <w:r>
              <w:rPr>
                <w:rFonts w:hint="eastAsia"/>
                <w:color w:val="000000"/>
                <w:sz w:val="22"/>
                <w:szCs w:val="22"/>
              </w:rPr>
              <w:t>/</w:t>
            </w:r>
          </w:p>
        </w:tc>
        <w:tc>
          <w:tcPr>
            <w:tcW w:w="325" w:type="pct"/>
            <w:vAlign w:val="center"/>
          </w:tcPr>
          <w:p w14:paraId="172094F1" w14:textId="2F1F9404" w:rsidR="00600DE0" w:rsidRDefault="00600DE0" w:rsidP="00B11C82">
            <w:pPr>
              <w:adjustRightInd w:val="0"/>
              <w:snapToGrid w:val="0"/>
              <w:jc w:val="center"/>
              <w:rPr>
                <w:lang w:bidi="ar"/>
              </w:rPr>
            </w:pPr>
            <w:r>
              <w:rPr>
                <w:rFonts w:hint="eastAsia"/>
                <w:color w:val="000000"/>
                <w:sz w:val="22"/>
                <w:szCs w:val="22"/>
              </w:rPr>
              <w:t>/</w:t>
            </w:r>
          </w:p>
        </w:tc>
        <w:tc>
          <w:tcPr>
            <w:tcW w:w="333" w:type="pct"/>
            <w:vAlign w:val="center"/>
          </w:tcPr>
          <w:p w14:paraId="57FE9B2B" w14:textId="697E26F5"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87" w:type="pct"/>
            <w:vAlign w:val="center"/>
          </w:tcPr>
          <w:p w14:paraId="5D93B49C" w14:textId="27A9661D"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48" w:type="pct"/>
            <w:vAlign w:val="center"/>
          </w:tcPr>
          <w:p w14:paraId="0684A568" w14:textId="28BF2999"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47" w:type="pct"/>
            <w:vAlign w:val="center"/>
          </w:tcPr>
          <w:p w14:paraId="29CA4D5E" w14:textId="48AB9BDD"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87" w:type="pct"/>
            <w:vAlign w:val="center"/>
          </w:tcPr>
          <w:p w14:paraId="5106C6AB" w14:textId="7A87397C"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49" w:type="pct"/>
            <w:vAlign w:val="center"/>
          </w:tcPr>
          <w:p w14:paraId="0C007ED1" w14:textId="30B53FD6"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954" w:type="pct"/>
            <w:vAlign w:val="center"/>
          </w:tcPr>
          <w:p w14:paraId="0A0DD299" w14:textId="345EBCE6"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93" w:type="pct"/>
            <w:vMerge/>
            <w:vAlign w:val="center"/>
          </w:tcPr>
          <w:p w14:paraId="4F54F3AD" w14:textId="77777777" w:rsidR="00600DE0" w:rsidRDefault="00600DE0" w:rsidP="00B11C82">
            <w:pPr>
              <w:adjustRightInd w:val="0"/>
              <w:snapToGrid w:val="0"/>
              <w:jc w:val="center"/>
            </w:pPr>
          </w:p>
        </w:tc>
      </w:tr>
      <w:tr w:rsidR="00600DE0" w14:paraId="1EEDAF06" w14:textId="77777777" w:rsidTr="00600DE0">
        <w:trPr>
          <w:trHeight w:val="57"/>
          <w:jc w:val="center"/>
        </w:trPr>
        <w:tc>
          <w:tcPr>
            <w:tcW w:w="466" w:type="pct"/>
            <w:vAlign w:val="center"/>
          </w:tcPr>
          <w:p w14:paraId="098DF8F8" w14:textId="3E0FE6CE" w:rsidR="00600DE0" w:rsidRDefault="00600DE0" w:rsidP="004A2F7D">
            <w:pPr>
              <w:adjustRightInd w:val="0"/>
              <w:snapToGrid w:val="0"/>
              <w:jc w:val="center"/>
            </w:pPr>
            <w:r>
              <w:t>1,4-</w:t>
            </w:r>
            <w:r>
              <w:t>二氯苯</w:t>
            </w:r>
          </w:p>
        </w:tc>
        <w:tc>
          <w:tcPr>
            <w:tcW w:w="325" w:type="pct"/>
            <w:vAlign w:val="center"/>
          </w:tcPr>
          <w:p w14:paraId="3D91DD35" w14:textId="7804C4C4" w:rsidR="00600DE0" w:rsidRDefault="00600DE0" w:rsidP="004A2F7D">
            <w:pPr>
              <w:adjustRightInd w:val="0"/>
              <w:snapToGrid w:val="0"/>
              <w:jc w:val="center"/>
              <w:rPr>
                <w:bCs/>
              </w:rPr>
            </w:pPr>
            <w:r>
              <w:rPr>
                <w:lang w:bidi="ar"/>
              </w:rPr>
              <w:t>1.5×10</w:t>
            </w:r>
            <w:r>
              <w:rPr>
                <w:vertAlign w:val="superscript"/>
                <w:lang w:bidi="ar"/>
              </w:rPr>
              <w:t>-3</w:t>
            </w:r>
            <w:r>
              <w:rPr>
                <w:lang w:bidi="ar"/>
              </w:rPr>
              <w:t>L</w:t>
            </w:r>
          </w:p>
        </w:tc>
        <w:tc>
          <w:tcPr>
            <w:tcW w:w="387" w:type="pct"/>
            <w:vAlign w:val="center"/>
          </w:tcPr>
          <w:p w14:paraId="1FE01F7C" w14:textId="3E971F57" w:rsidR="00600DE0" w:rsidRDefault="00600DE0" w:rsidP="004A2F7D">
            <w:pPr>
              <w:adjustRightInd w:val="0"/>
              <w:snapToGrid w:val="0"/>
              <w:jc w:val="center"/>
              <w:rPr>
                <w:bCs/>
              </w:rPr>
            </w:pPr>
            <w:r>
              <w:rPr>
                <w:lang w:bidi="ar"/>
              </w:rPr>
              <w:t>1.5×10</w:t>
            </w:r>
            <w:r>
              <w:rPr>
                <w:vertAlign w:val="superscript"/>
                <w:lang w:bidi="ar"/>
              </w:rPr>
              <w:t>-3</w:t>
            </w:r>
            <w:r>
              <w:rPr>
                <w:lang w:bidi="ar"/>
              </w:rPr>
              <w:t>L</w:t>
            </w:r>
          </w:p>
        </w:tc>
        <w:tc>
          <w:tcPr>
            <w:tcW w:w="325" w:type="pct"/>
            <w:vAlign w:val="center"/>
          </w:tcPr>
          <w:p w14:paraId="74249ABB" w14:textId="23880C2A" w:rsidR="00600DE0" w:rsidRDefault="00600DE0" w:rsidP="004A2F7D">
            <w:pPr>
              <w:adjustRightInd w:val="0"/>
              <w:snapToGrid w:val="0"/>
              <w:jc w:val="center"/>
              <w:rPr>
                <w:bCs/>
              </w:rPr>
            </w:pPr>
            <w:r>
              <w:rPr>
                <w:lang w:bidi="ar"/>
              </w:rPr>
              <w:t>1.5×10</w:t>
            </w:r>
            <w:r>
              <w:rPr>
                <w:vertAlign w:val="superscript"/>
                <w:lang w:bidi="ar"/>
              </w:rPr>
              <w:t>-3</w:t>
            </w:r>
            <w:r>
              <w:rPr>
                <w:lang w:bidi="ar"/>
              </w:rPr>
              <w:t>L</w:t>
            </w:r>
          </w:p>
        </w:tc>
        <w:tc>
          <w:tcPr>
            <w:tcW w:w="333" w:type="pct"/>
            <w:vAlign w:val="center"/>
          </w:tcPr>
          <w:p w14:paraId="3B50EB19" w14:textId="28D12306" w:rsidR="00600DE0" w:rsidRDefault="00600DE0"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bidi="ar"/>
              </w:rPr>
              <w:t>1.5×10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87" w:type="pct"/>
            <w:vAlign w:val="center"/>
          </w:tcPr>
          <w:p w14:paraId="2A57FEF7" w14:textId="07B7C217" w:rsidR="00600DE0" w:rsidRDefault="00600DE0"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bidi="ar"/>
              </w:rPr>
              <w:t>1.5×10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48" w:type="pct"/>
            <w:vAlign w:val="center"/>
          </w:tcPr>
          <w:p w14:paraId="0CDD1E41" w14:textId="4CA204B5" w:rsidR="00600DE0" w:rsidRDefault="00600DE0"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bidi="ar"/>
              </w:rPr>
              <w:t>1.5×10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47" w:type="pct"/>
            <w:vAlign w:val="center"/>
          </w:tcPr>
          <w:p w14:paraId="19DE52E5" w14:textId="565478DB" w:rsidR="00600DE0" w:rsidRDefault="00600DE0"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bidi="ar"/>
              </w:rPr>
              <w:t>1.5×10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87" w:type="pct"/>
            <w:vAlign w:val="center"/>
          </w:tcPr>
          <w:p w14:paraId="011EE646" w14:textId="6E2D9B2A" w:rsidR="00600DE0" w:rsidRDefault="00600DE0"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bidi="ar"/>
              </w:rPr>
              <w:t>1.5×10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49" w:type="pct"/>
            <w:vAlign w:val="center"/>
          </w:tcPr>
          <w:p w14:paraId="1974BF0F" w14:textId="1F8674DF" w:rsidR="00600DE0" w:rsidRDefault="00600DE0"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bidi="ar"/>
              </w:rPr>
              <w:t>1.5×10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954" w:type="pct"/>
            <w:vAlign w:val="center"/>
          </w:tcPr>
          <w:p w14:paraId="2ED25BB2" w14:textId="64C8DD58" w:rsidR="00600DE0" w:rsidRDefault="00600DE0" w:rsidP="004A2F7D">
            <w:pPr>
              <w:pStyle w:val="TableText"/>
              <w:adjustRightInd w:val="0"/>
              <w:snapToGrid w:val="0"/>
              <w:jc w:val="center"/>
              <w:rPr>
                <w:rFonts w:ascii="Times New Roman" w:hAnsi="Times New Roman" w:cs="Times New Roman"/>
              </w:rPr>
            </w:pPr>
            <w:r>
              <w:rPr>
                <w:rFonts w:ascii="Times New Roman" w:hAnsi="Times New Roman" w:cs="Times New Roman"/>
                <w:lang w:eastAsia="zh-CN" w:bidi="ar"/>
              </w:rPr>
              <w:t>1.5×10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93" w:type="pct"/>
            <w:vMerge w:val="restart"/>
            <w:vAlign w:val="center"/>
          </w:tcPr>
          <w:p w14:paraId="57149850" w14:textId="2CE0B91A" w:rsidR="00600DE0" w:rsidRDefault="00600DE0" w:rsidP="004A2F7D">
            <w:pPr>
              <w:adjustRightInd w:val="0"/>
              <w:snapToGrid w:val="0"/>
              <w:jc w:val="center"/>
              <w:rPr>
                <w:bCs/>
              </w:rPr>
            </w:pPr>
            <w:r>
              <w:rPr>
                <w:rFonts w:hint="eastAsia"/>
              </w:rPr>
              <w:t>20</w:t>
            </w:r>
          </w:p>
        </w:tc>
      </w:tr>
      <w:tr w:rsidR="00600DE0" w14:paraId="5D1D9877" w14:textId="77777777" w:rsidTr="00600DE0">
        <w:trPr>
          <w:trHeight w:val="57"/>
          <w:jc w:val="center"/>
        </w:trPr>
        <w:tc>
          <w:tcPr>
            <w:tcW w:w="466" w:type="pct"/>
            <w:vAlign w:val="center"/>
          </w:tcPr>
          <w:p w14:paraId="6078E36F" w14:textId="56C4B6A6" w:rsidR="00600DE0" w:rsidRDefault="00600DE0" w:rsidP="00B11C82">
            <w:pPr>
              <w:adjustRightInd w:val="0"/>
              <w:snapToGrid w:val="0"/>
              <w:jc w:val="center"/>
            </w:pPr>
            <w:r>
              <w:rPr>
                <w:rFonts w:hint="eastAsia"/>
              </w:rPr>
              <w:t>标准指数</w:t>
            </w:r>
          </w:p>
        </w:tc>
        <w:tc>
          <w:tcPr>
            <w:tcW w:w="325" w:type="pct"/>
            <w:vAlign w:val="center"/>
          </w:tcPr>
          <w:p w14:paraId="18B9F08B" w14:textId="6E773587" w:rsidR="00600DE0" w:rsidRDefault="00600DE0" w:rsidP="00B11C82">
            <w:pPr>
              <w:adjustRightInd w:val="0"/>
              <w:snapToGrid w:val="0"/>
              <w:jc w:val="center"/>
              <w:rPr>
                <w:lang w:bidi="ar"/>
              </w:rPr>
            </w:pPr>
            <w:r>
              <w:rPr>
                <w:rFonts w:hint="eastAsia"/>
                <w:color w:val="000000"/>
                <w:sz w:val="22"/>
                <w:szCs w:val="22"/>
              </w:rPr>
              <w:t>/</w:t>
            </w:r>
          </w:p>
        </w:tc>
        <w:tc>
          <w:tcPr>
            <w:tcW w:w="387" w:type="pct"/>
            <w:vAlign w:val="center"/>
          </w:tcPr>
          <w:p w14:paraId="304DC875" w14:textId="6E4D6670" w:rsidR="00600DE0" w:rsidRDefault="00600DE0" w:rsidP="00B11C82">
            <w:pPr>
              <w:adjustRightInd w:val="0"/>
              <w:snapToGrid w:val="0"/>
              <w:jc w:val="center"/>
              <w:rPr>
                <w:lang w:bidi="ar"/>
              </w:rPr>
            </w:pPr>
            <w:r>
              <w:rPr>
                <w:rFonts w:hint="eastAsia"/>
                <w:color w:val="000000"/>
                <w:sz w:val="22"/>
                <w:szCs w:val="22"/>
              </w:rPr>
              <w:t>/</w:t>
            </w:r>
          </w:p>
        </w:tc>
        <w:tc>
          <w:tcPr>
            <w:tcW w:w="325" w:type="pct"/>
            <w:vAlign w:val="center"/>
          </w:tcPr>
          <w:p w14:paraId="331000AE" w14:textId="2A5FD432" w:rsidR="00600DE0" w:rsidRDefault="00600DE0" w:rsidP="00B11C82">
            <w:pPr>
              <w:adjustRightInd w:val="0"/>
              <w:snapToGrid w:val="0"/>
              <w:jc w:val="center"/>
              <w:rPr>
                <w:lang w:bidi="ar"/>
              </w:rPr>
            </w:pPr>
            <w:r>
              <w:rPr>
                <w:rFonts w:hint="eastAsia"/>
                <w:color w:val="000000"/>
                <w:sz w:val="22"/>
                <w:szCs w:val="22"/>
              </w:rPr>
              <w:t>/</w:t>
            </w:r>
          </w:p>
        </w:tc>
        <w:tc>
          <w:tcPr>
            <w:tcW w:w="333" w:type="pct"/>
            <w:vAlign w:val="center"/>
          </w:tcPr>
          <w:p w14:paraId="07F6D454" w14:textId="395C3F3B"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87" w:type="pct"/>
            <w:vAlign w:val="center"/>
          </w:tcPr>
          <w:p w14:paraId="233C4813" w14:textId="22F295B3"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48" w:type="pct"/>
            <w:vAlign w:val="center"/>
          </w:tcPr>
          <w:p w14:paraId="5AA5C529" w14:textId="4F65B0A5"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47" w:type="pct"/>
            <w:vAlign w:val="center"/>
          </w:tcPr>
          <w:p w14:paraId="2489A1F1" w14:textId="0B3681C3"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87" w:type="pct"/>
            <w:vAlign w:val="center"/>
          </w:tcPr>
          <w:p w14:paraId="4F16718B" w14:textId="451CC4D2"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49" w:type="pct"/>
            <w:vAlign w:val="center"/>
          </w:tcPr>
          <w:p w14:paraId="2B0EB6EA" w14:textId="7BB781DB"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954" w:type="pct"/>
            <w:vAlign w:val="center"/>
          </w:tcPr>
          <w:p w14:paraId="6E8C0B8B" w14:textId="49FD9908"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93" w:type="pct"/>
            <w:vMerge/>
            <w:vAlign w:val="center"/>
          </w:tcPr>
          <w:p w14:paraId="0DA3B9DA" w14:textId="77777777" w:rsidR="00600DE0" w:rsidRDefault="00600DE0" w:rsidP="00B11C82">
            <w:pPr>
              <w:adjustRightInd w:val="0"/>
              <w:snapToGrid w:val="0"/>
              <w:jc w:val="center"/>
            </w:pPr>
          </w:p>
        </w:tc>
      </w:tr>
      <w:tr w:rsidR="00600DE0" w14:paraId="073AC020" w14:textId="77777777" w:rsidTr="00600DE0">
        <w:trPr>
          <w:trHeight w:val="57"/>
          <w:jc w:val="center"/>
        </w:trPr>
        <w:tc>
          <w:tcPr>
            <w:tcW w:w="466" w:type="pct"/>
            <w:vAlign w:val="center"/>
          </w:tcPr>
          <w:p w14:paraId="1F603ECA" w14:textId="03162FC0" w:rsidR="00600DE0" w:rsidRDefault="00600DE0" w:rsidP="004A2F7D">
            <w:pPr>
              <w:adjustRightInd w:val="0"/>
              <w:snapToGrid w:val="0"/>
              <w:jc w:val="center"/>
            </w:pPr>
            <w:r>
              <w:t>乙苯</w:t>
            </w:r>
          </w:p>
        </w:tc>
        <w:tc>
          <w:tcPr>
            <w:tcW w:w="325" w:type="pct"/>
            <w:vAlign w:val="center"/>
          </w:tcPr>
          <w:p w14:paraId="5137BE52" w14:textId="05594D18" w:rsidR="00600DE0" w:rsidRDefault="00600DE0" w:rsidP="004A2F7D">
            <w:pPr>
              <w:adjustRightInd w:val="0"/>
              <w:snapToGrid w:val="0"/>
              <w:jc w:val="center"/>
              <w:rPr>
                <w:bCs/>
              </w:rPr>
            </w:pPr>
            <w:r>
              <w:rPr>
                <w:lang w:bidi="ar"/>
              </w:rPr>
              <w:t>1.2×10</w:t>
            </w:r>
            <w:r>
              <w:rPr>
                <w:vertAlign w:val="superscript"/>
                <w:lang w:bidi="ar"/>
              </w:rPr>
              <w:t>-3</w:t>
            </w:r>
            <w:r>
              <w:rPr>
                <w:lang w:bidi="ar"/>
              </w:rPr>
              <w:t>L</w:t>
            </w:r>
          </w:p>
        </w:tc>
        <w:tc>
          <w:tcPr>
            <w:tcW w:w="387" w:type="pct"/>
            <w:vAlign w:val="center"/>
          </w:tcPr>
          <w:p w14:paraId="628D2BF3" w14:textId="6CAC1E73" w:rsidR="00600DE0" w:rsidRDefault="00600DE0" w:rsidP="004A2F7D">
            <w:pPr>
              <w:adjustRightInd w:val="0"/>
              <w:snapToGrid w:val="0"/>
              <w:jc w:val="center"/>
              <w:rPr>
                <w:bCs/>
              </w:rPr>
            </w:pPr>
            <w:r>
              <w:rPr>
                <w:lang w:bidi="ar"/>
              </w:rPr>
              <w:t>1.2×10</w:t>
            </w:r>
            <w:r>
              <w:rPr>
                <w:vertAlign w:val="superscript"/>
                <w:lang w:bidi="ar"/>
              </w:rPr>
              <w:t>-3</w:t>
            </w:r>
            <w:r>
              <w:rPr>
                <w:lang w:bidi="ar"/>
              </w:rPr>
              <w:t>L</w:t>
            </w:r>
          </w:p>
        </w:tc>
        <w:tc>
          <w:tcPr>
            <w:tcW w:w="325" w:type="pct"/>
            <w:vAlign w:val="center"/>
          </w:tcPr>
          <w:p w14:paraId="5CDBF326" w14:textId="36DAE725" w:rsidR="00600DE0" w:rsidRDefault="00600DE0" w:rsidP="004A2F7D">
            <w:pPr>
              <w:adjustRightInd w:val="0"/>
              <w:snapToGrid w:val="0"/>
              <w:jc w:val="center"/>
              <w:rPr>
                <w:bCs/>
              </w:rPr>
            </w:pPr>
            <w:r>
              <w:rPr>
                <w:lang w:bidi="ar"/>
              </w:rPr>
              <w:t>1.2×10</w:t>
            </w:r>
            <w:r>
              <w:rPr>
                <w:vertAlign w:val="superscript"/>
                <w:lang w:bidi="ar"/>
              </w:rPr>
              <w:t>-3</w:t>
            </w:r>
            <w:r>
              <w:rPr>
                <w:lang w:bidi="ar"/>
              </w:rPr>
              <w:t>L</w:t>
            </w:r>
          </w:p>
        </w:tc>
        <w:tc>
          <w:tcPr>
            <w:tcW w:w="333" w:type="pct"/>
            <w:vAlign w:val="center"/>
          </w:tcPr>
          <w:p w14:paraId="7D0BEBE4" w14:textId="2AF37B76" w:rsidR="00600DE0" w:rsidRDefault="00600DE0"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bidi="ar"/>
              </w:rPr>
              <w:t>1.2×10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87" w:type="pct"/>
            <w:vAlign w:val="center"/>
          </w:tcPr>
          <w:p w14:paraId="4D658A08" w14:textId="3D0DF091" w:rsidR="00600DE0" w:rsidRDefault="00600DE0"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bidi="ar"/>
              </w:rPr>
              <w:t>1.2×10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48" w:type="pct"/>
            <w:vAlign w:val="center"/>
          </w:tcPr>
          <w:p w14:paraId="4B6D26A7" w14:textId="5F7CB3A5" w:rsidR="00600DE0" w:rsidRDefault="00600DE0"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bidi="ar"/>
              </w:rPr>
              <w:t>1.2×10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47" w:type="pct"/>
            <w:vAlign w:val="center"/>
          </w:tcPr>
          <w:p w14:paraId="3570B507" w14:textId="65249496" w:rsidR="00600DE0" w:rsidRDefault="00600DE0"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bidi="ar"/>
              </w:rPr>
              <w:t>1.2×10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87" w:type="pct"/>
            <w:vAlign w:val="center"/>
          </w:tcPr>
          <w:p w14:paraId="3FDD97A6" w14:textId="0FFDFD0A" w:rsidR="00600DE0" w:rsidRDefault="00600DE0"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bidi="ar"/>
              </w:rPr>
              <w:t>1.2×10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49" w:type="pct"/>
            <w:vAlign w:val="center"/>
          </w:tcPr>
          <w:p w14:paraId="330F876F" w14:textId="62E8AE59" w:rsidR="00600DE0" w:rsidRDefault="00600DE0"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bidi="ar"/>
              </w:rPr>
              <w:t>1.2×10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954" w:type="pct"/>
            <w:vAlign w:val="center"/>
          </w:tcPr>
          <w:p w14:paraId="75CB75C7" w14:textId="20C74185" w:rsidR="00600DE0" w:rsidRDefault="00600DE0" w:rsidP="004A2F7D">
            <w:pPr>
              <w:pStyle w:val="TableText"/>
              <w:adjustRightInd w:val="0"/>
              <w:snapToGrid w:val="0"/>
              <w:jc w:val="center"/>
              <w:rPr>
                <w:rFonts w:ascii="Times New Roman" w:hAnsi="Times New Roman" w:cs="Times New Roman"/>
              </w:rPr>
            </w:pPr>
            <w:r>
              <w:rPr>
                <w:rFonts w:ascii="Times New Roman" w:hAnsi="Times New Roman" w:cs="Times New Roman"/>
                <w:lang w:eastAsia="zh-CN" w:bidi="ar"/>
              </w:rPr>
              <w:t>1.2×10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93" w:type="pct"/>
            <w:vMerge w:val="restart"/>
            <w:vAlign w:val="center"/>
          </w:tcPr>
          <w:p w14:paraId="197245F0" w14:textId="14463778" w:rsidR="00600DE0" w:rsidRDefault="00600DE0" w:rsidP="004A2F7D">
            <w:pPr>
              <w:adjustRightInd w:val="0"/>
              <w:snapToGrid w:val="0"/>
              <w:jc w:val="center"/>
              <w:rPr>
                <w:bCs/>
              </w:rPr>
            </w:pPr>
            <w:r>
              <w:rPr>
                <w:rFonts w:hint="eastAsia"/>
              </w:rPr>
              <w:t>28</w:t>
            </w:r>
          </w:p>
        </w:tc>
      </w:tr>
      <w:tr w:rsidR="00600DE0" w14:paraId="1579604C" w14:textId="77777777" w:rsidTr="00600DE0">
        <w:trPr>
          <w:trHeight w:val="57"/>
          <w:jc w:val="center"/>
        </w:trPr>
        <w:tc>
          <w:tcPr>
            <w:tcW w:w="466" w:type="pct"/>
            <w:vAlign w:val="center"/>
          </w:tcPr>
          <w:p w14:paraId="434DB014" w14:textId="539FE841" w:rsidR="00600DE0" w:rsidRDefault="00600DE0" w:rsidP="00B11C82">
            <w:pPr>
              <w:adjustRightInd w:val="0"/>
              <w:snapToGrid w:val="0"/>
              <w:jc w:val="center"/>
            </w:pPr>
            <w:r>
              <w:rPr>
                <w:rFonts w:hint="eastAsia"/>
              </w:rPr>
              <w:t>标准指数</w:t>
            </w:r>
          </w:p>
        </w:tc>
        <w:tc>
          <w:tcPr>
            <w:tcW w:w="325" w:type="pct"/>
            <w:vAlign w:val="center"/>
          </w:tcPr>
          <w:p w14:paraId="1668CE47" w14:textId="1E70427D" w:rsidR="00600DE0" w:rsidRDefault="00600DE0" w:rsidP="00B11C82">
            <w:pPr>
              <w:adjustRightInd w:val="0"/>
              <w:snapToGrid w:val="0"/>
              <w:jc w:val="center"/>
              <w:rPr>
                <w:lang w:bidi="ar"/>
              </w:rPr>
            </w:pPr>
            <w:r>
              <w:rPr>
                <w:rFonts w:hint="eastAsia"/>
                <w:color w:val="000000"/>
                <w:sz w:val="22"/>
                <w:szCs w:val="22"/>
              </w:rPr>
              <w:t>/</w:t>
            </w:r>
          </w:p>
        </w:tc>
        <w:tc>
          <w:tcPr>
            <w:tcW w:w="387" w:type="pct"/>
            <w:vAlign w:val="center"/>
          </w:tcPr>
          <w:p w14:paraId="4DBE398E" w14:textId="53B384C2" w:rsidR="00600DE0" w:rsidRDefault="00600DE0" w:rsidP="00B11C82">
            <w:pPr>
              <w:adjustRightInd w:val="0"/>
              <w:snapToGrid w:val="0"/>
              <w:jc w:val="center"/>
              <w:rPr>
                <w:lang w:bidi="ar"/>
              </w:rPr>
            </w:pPr>
            <w:r>
              <w:rPr>
                <w:rFonts w:hint="eastAsia"/>
                <w:color w:val="000000"/>
                <w:sz w:val="22"/>
                <w:szCs w:val="22"/>
              </w:rPr>
              <w:t>/</w:t>
            </w:r>
          </w:p>
        </w:tc>
        <w:tc>
          <w:tcPr>
            <w:tcW w:w="325" w:type="pct"/>
            <w:vAlign w:val="center"/>
          </w:tcPr>
          <w:p w14:paraId="15B2EC88" w14:textId="28F8EE07" w:rsidR="00600DE0" w:rsidRDefault="00600DE0" w:rsidP="00B11C82">
            <w:pPr>
              <w:adjustRightInd w:val="0"/>
              <w:snapToGrid w:val="0"/>
              <w:jc w:val="center"/>
              <w:rPr>
                <w:lang w:bidi="ar"/>
              </w:rPr>
            </w:pPr>
            <w:r>
              <w:rPr>
                <w:rFonts w:hint="eastAsia"/>
                <w:color w:val="000000"/>
                <w:sz w:val="22"/>
                <w:szCs w:val="22"/>
              </w:rPr>
              <w:t>/</w:t>
            </w:r>
          </w:p>
        </w:tc>
        <w:tc>
          <w:tcPr>
            <w:tcW w:w="333" w:type="pct"/>
            <w:vAlign w:val="center"/>
          </w:tcPr>
          <w:p w14:paraId="0C28DF1F" w14:textId="70D05D6E"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87" w:type="pct"/>
            <w:vAlign w:val="center"/>
          </w:tcPr>
          <w:p w14:paraId="17046734" w14:textId="049D2B77"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48" w:type="pct"/>
            <w:vAlign w:val="center"/>
          </w:tcPr>
          <w:p w14:paraId="1EF7FF8C" w14:textId="1C993A4A"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47" w:type="pct"/>
            <w:vAlign w:val="center"/>
          </w:tcPr>
          <w:p w14:paraId="2B13668B" w14:textId="3D5DFC5A"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87" w:type="pct"/>
            <w:vAlign w:val="center"/>
          </w:tcPr>
          <w:p w14:paraId="22519D51" w14:textId="59A6EFDF"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49" w:type="pct"/>
            <w:vAlign w:val="center"/>
          </w:tcPr>
          <w:p w14:paraId="300CF675" w14:textId="744D1C6B"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954" w:type="pct"/>
            <w:vAlign w:val="center"/>
          </w:tcPr>
          <w:p w14:paraId="7C57ABA9" w14:textId="4D482FFA"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93" w:type="pct"/>
            <w:vMerge/>
            <w:vAlign w:val="center"/>
          </w:tcPr>
          <w:p w14:paraId="4A616556" w14:textId="77777777" w:rsidR="00600DE0" w:rsidRDefault="00600DE0" w:rsidP="00B11C82">
            <w:pPr>
              <w:adjustRightInd w:val="0"/>
              <w:snapToGrid w:val="0"/>
              <w:jc w:val="center"/>
            </w:pPr>
          </w:p>
        </w:tc>
      </w:tr>
      <w:tr w:rsidR="00600DE0" w14:paraId="1F9BC4F3" w14:textId="77777777" w:rsidTr="00600DE0">
        <w:trPr>
          <w:trHeight w:val="57"/>
          <w:jc w:val="center"/>
        </w:trPr>
        <w:tc>
          <w:tcPr>
            <w:tcW w:w="466" w:type="pct"/>
            <w:vAlign w:val="center"/>
          </w:tcPr>
          <w:p w14:paraId="73E93429" w14:textId="05329419" w:rsidR="00600DE0" w:rsidRDefault="00600DE0" w:rsidP="004A2F7D">
            <w:pPr>
              <w:adjustRightInd w:val="0"/>
              <w:snapToGrid w:val="0"/>
              <w:jc w:val="center"/>
            </w:pPr>
            <w:r>
              <w:t>苯乙烯</w:t>
            </w:r>
          </w:p>
        </w:tc>
        <w:tc>
          <w:tcPr>
            <w:tcW w:w="325" w:type="pct"/>
            <w:vAlign w:val="center"/>
          </w:tcPr>
          <w:p w14:paraId="3DCAE640" w14:textId="0AE5991F" w:rsidR="00600DE0" w:rsidRDefault="00600DE0" w:rsidP="004A2F7D">
            <w:pPr>
              <w:adjustRightInd w:val="0"/>
              <w:snapToGrid w:val="0"/>
              <w:jc w:val="center"/>
              <w:rPr>
                <w:bCs/>
              </w:rPr>
            </w:pPr>
            <w:r>
              <w:rPr>
                <w:lang w:bidi="ar"/>
              </w:rPr>
              <w:t>1.1×10</w:t>
            </w:r>
            <w:r>
              <w:rPr>
                <w:vertAlign w:val="superscript"/>
                <w:lang w:bidi="ar"/>
              </w:rPr>
              <w:t>-</w:t>
            </w:r>
            <w:r>
              <w:rPr>
                <w:vertAlign w:val="superscript"/>
                <w:lang w:bidi="ar"/>
              </w:rPr>
              <w:lastRenderedPageBreak/>
              <w:t>3</w:t>
            </w:r>
            <w:r>
              <w:rPr>
                <w:lang w:bidi="ar"/>
              </w:rPr>
              <w:t>L</w:t>
            </w:r>
          </w:p>
        </w:tc>
        <w:tc>
          <w:tcPr>
            <w:tcW w:w="387" w:type="pct"/>
            <w:vAlign w:val="center"/>
          </w:tcPr>
          <w:p w14:paraId="2BF00981" w14:textId="3A10E539" w:rsidR="00600DE0" w:rsidRDefault="00600DE0" w:rsidP="004A2F7D">
            <w:pPr>
              <w:adjustRightInd w:val="0"/>
              <w:snapToGrid w:val="0"/>
              <w:jc w:val="center"/>
              <w:rPr>
                <w:bCs/>
              </w:rPr>
            </w:pPr>
            <w:r>
              <w:rPr>
                <w:lang w:bidi="ar"/>
              </w:rPr>
              <w:lastRenderedPageBreak/>
              <w:t>1.1×10</w:t>
            </w:r>
            <w:r>
              <w:rPr>
                <w:vertAlign w:val="superscript"/>
                <w:lang w:bidi="ar"/>
              </w:rPr>
              <w:t>-3</w:t>
            </w:r>
            <w:r>
              <w:rPr>
                <w:lang w:bidi="ar"/>
              </w:rPr>
              <w:t>L</w:t>
            </w:r>
          </w:p>
        </w:tc>
        <w:tc>
          <w:tcPr>
            <w:tcW w:w="325" w:type="pct"/>
            <w:vAlign w:val="center"/>
          </w:tcPr>
          <w:p w14:paraId="32A9750D" w14:textId="07706BED" w:rsidR="00600DE0" w:rsidRDefault="00600DE0" w:rsidP="004A2F7D">
            <w:pPr>
              <w:adjustRightInd w:val="0"/>
              <w:snapToGrid w:val="0"/>
              <w:jc w:val="center"/>
              <w:rPr>
                <w:bCs/>
              </w:rPr>
            </w:pPr>
            <w:r>
              <w:rPr>
                <w:lang w:bidi="ar"/>
              </w:rPr>
              <w:t>1.1×10</w:t>
            </w:r>
            <w:r>
              <w:rPr>
                <w:vertAlign w:val="superscript"/>
                <w:lang w:bidi="ar"/>
              </w:rPr>
              <w:t>-</w:t>
            </w:r>
            <w:r>
              <w:rPr>
                <w:vertAlign w:val="superscript"/>
                <w:lang w:bidi="ar"/>
              </w:rPr>
              <w:lastRenderedPageBreak/>
              <w:t>3</w:t>
            </w:r>
            <w:r>
              <w:rPr>
                <w:lang w:bidi="ar"/>
              </w:rPr>
              <w:t>L</w:t>
            </w:r>
          </w:p>
        </w:tc>
        <w:tc>
          <w:tcPr>
            <w:tcW w:w="333" w:type="pct"/>
            <w:vAlign w:val="center"/>
          </w:tcPr>
          <w:p w14:paraId="29FC4FBC" w14:textId="24FA1691" w:rsidR="00600DE0" w:rsidRDefault="00600DE0"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bidi="ar"/>
              </w:rPr>
              <w:lastRenderedPageBreak/>
              <w:t>1.1×10</w:t>
            </w:r>
            <w:r>
              <w:rPr>
                <w:rFonts w:ascii="Times New Roman" w:hAnsi="Times New Roman" w:cs="Times New Roman"/>
                <w:vertAlign w:val="superscript"/>
                <w:lang w:eastAsia="zh-CN" w:bidi="ar"/>
              </w:rPr>
              <w:t>-</w:t>
            </w:r>
            <w:r>
              <w:rPr>
                <w:rFonts w:ascii="Times New Roman" w:hAnsi="Times New Roman" w:cs="Times New Roman"/>
                <w:vertAlign w:val="superscript"/>
                <w:lang w:eastAsia="zh-CN" w:bidi="ar"/>
              </w:rPr>
              <w:lastRenderedPageBreak/>
              <w:t>3</w:t>
            </w:r>
            <w:r>
              <w:rPr>
                <w:rFonts w:ascii="Times New Roman" w:hAnsi="Times New Roman" w:cs="Times New Roman"/>
                <w:lang w:eastAsia="zh-CN" w:bidi="ar"/>
              </w:rPr>
              <w:t>L</w:t>
            </w:r>
          </w:p>
        </w:tc>
        <w:tc>
          <w:tcPr>
            <w:tcW w:w="387" w:type="pct"/>
            <w:vAlign w:val="center"/>
          </w:tcPr>
          <w:p w14:paraId="4F8BBB3C" w14:textId="2B13FCB7" w:rsidR="00600DE0" w:rsidRDefault="00600DE0"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bidi="ar"/>
              </w:rPr>
              <w:lastRenderedPageBreak/>
              <w:t>1.1×10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48" w:type="pct"/>
            <w:vAlign w:val="center"/>
          </w:tcPr>
          <w:p w14:paraId="3E9AC1C4" w14:textId="09DE70D8" w:rsidR="00600DE0" w:rsidRDefault="00600DE0"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bidi="ar"/>
              </w:rPr>
              <w:t>1.1×10</w:t>
            </w:r>
            <w:r>
              <w:rPr>
                <w:rFonts w:ascii="Times New Roman" w:hAnsi="Times New Roman" w:cs="Times New Roman"/>
                <w:vertAlign w:val="superscript"/>
                <w:lang w:eastAsia="zh-CN" w:bidi="ar"/>
              </w:rPr>
              <w:t>-</w:t>
            </w:r>
            <w:r>
              <w:rPr>
                <w:rFonts w:ascii="Times New Roman" w:hAnsi="Times New Roman" w:cs="Times New Roman"/>
                <w:vertAlign w:val="superscript"/>
                <w:lang w:eastAsia="zh-CN" w:bidi="ar"/>
              </w:rPr>
              <w:lastRenderedPageBreak/>
              <w:t>3</w:t>
            </w:r>
            <w:r>
              <w:rPr>
                <w:rFonts w:ascii="Times New Roman" w:hAnsi="Times New Roman" w:cs="Times New Roman"/>
                <w:lang w:eastAsia="zh-CN" w:bidi="ar"/>
              </w:rPr>
              <w:t>L</w:t>
            </w:r>
          </w:p>
        </w:tc>
        <w:tc>
          <w:tcPr>
            <w:tcW w:w="347" w:type="pct"/>
            <w:vAlign w:val="center"/>
          </w:tcPr>
          <w:p w14:paraId="5208554B" w14:textId="1AD1CCAB" w:rsidR="00600DE0" w:rsidRDefault="00600DE0"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bidi="ar"/>
              </w:rPr>
              <w:lastRenderedPageBreak/>
              <w:t>1.1×10</w:t>
            </w:r>
            <w:r>
              <w:rPr>
                <w:rFonts w:ascii="Times New Roman" w:hAnsi="Times New Roman" w:cs="Times New Roman"/>
                <w:vertAlign w:val="superscript"/>
                <w:lang w:eastAsia="zh-CN" w:bidi="ar"/>
              </w:rPr>
              <w:t>-</w:t>
            </w:r>
            <w:r>
              <w:rPr>
                <w:rFonts w:ascii="Times New Roman" w:hAnsi="Times New Roman" w:cs="Times New Roman"/>
                <w:vertAlign w:val="superscript"/>
                <w:lang w:eastAsia="zh-CN" w:bidi="ar"/>
              </w:rPr>
              <w:lastRenderedPageBreak/>
              <w:t>3</w:t>
            </w:r>
            <w:r>
              <w:rPr>
                <w:rFonts w:ascii="Times New Roman" w:hAnsi="Times New Roman" w:cs="Times New Roman"/>
                <w:lang w:eastAsia="zh-CN" w:bidi="ar"/>
              </w:rPr>
              <w:t>L</w:t>
            </w:r>
          </w:p>
        </w:tc>
        <w:tc>
          <w:tcPr>
            <w:tcW w:w="387" w:type="pct"/>
            <w:vAlign w:val="center"/>
          </w:tcPr>
          <w:p w14:paraId="24BCF6F7" w14:textId="4DE53BB2" w:rsidR="00600DE0" w:rsidRDefault="00600DE0"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bidi="ar"/>
              </w:rPr>
              <w:lastRenderedPageBreak/>
              <w:t>1.1×10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49" w:type="pct"/>
            <w:vAlign w:val="center"/>
          </w:tcPr>
          <w:p w14:paraId="005B179C" w14:textId="3FF2F2A8" w:rsidR="00600DE0" w:rsidRDefault="00600DE0"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bidi="ar"/>
              </w:rPr>
              <w:t>1.1×10</w:t>
            </w:r>
            <w:r>
              <w:rPr>
                <w:rFonts w:ascii="Times New Roman" w:hAnsi="Times New Roman" w:cs="Times New Roman"/>
                <w:vertAlign w:val="superscript"/>
                <w:lang w:eastAsia="zh-CN" w:bidi="ar"/>
              </w:rPr>
              <w:t>-</w:t>
            </w:r>
            <w:r>
              <w:rPr>
                <w:rFonts w:ascii="Times New Roman" w:hAnsi="Times New Roman" w:cs="Times New Roman"/>
                <w:vertAlign w:val="superscript"/>
                <w:lang w:eastAsia="zh-CN" w:bidi="ar"/>
              </w:rPr>
              <w:lastRenderedPageBreak/>
              <w:t>3</w:t>
            </w:r>
            <w:r>
              <w:rPr>
                <w:rFonts w:ascii="Times New Roman" w:hAnsi="Times New Roman" w:cs="Times New Roman"/>
                <w:lang w:eastAsia="zh-CN" w:bidi="ar"/>
              </w:rPr>
              <w:t>L</w:t>
            </w:r>
          </w:p>
        </w:tc>
        <w:tc>
          <w:tcPr>
            <w:tcW w:w="954" w:type="pct"/>
            <w:vAlign w:val="center"/>
          </w:tcPr>
          <w:p w14:paraId="41A55FCA" w14:textId="276000A2" w:rsidR="00600DE0" w:rsidRDefault="00600DE0" w:rsidP="004A2F7D">
            <w:pPr>
              <w:pStyle w:val="TableText"/>
              <w:adjustRightInd w:val="0"/>
              <w:snapToGrid w:val="0"/>
              <w:jc w:val="center"/>
              <w:rPr>
                <w:rFonts w:ascii="Times New Roman" w:hAnsi="Times New Roman" w:cs="Times New Roman"/>
              </w:rPr>
            </w:pPr>
            <w:r>
              <w:rPr>
                <w:rFonts w:ascii="Times New Roman" w:hAnsi="Times New Roman" w:cs="Times New Roman"/>
                <w:lang w:eastAsia="zh-CN" w:bidi="ar"/>
              </w:rPr>
              <w:lastRenderedPageBreak/>
              <w:t>1.1×10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93" w:type="pct"/>
            <w:vMerge w:val="restart"/>
            <w:vAlign w:val="center"/>
          </w:tcPr>
          <w:p w14:paraId="005890FE" w14:textId="4D6FABC5" w:rsidR="00600DE0" w:rsidRDefault="00600DE0" w:rsidP="004A2F7D">
            <w:pPr>
              <w:adjustRightInd w:val="0"/>
              <w:snapToGrid w:val="0"/>
              <w:jc w:val="center"/>
              <w:rPr>
                <w:bCs/>
              </w:rPr>
            </w:pPr>
            <w:r>
              <w:rPr>
                <w:rFonts w:hint="eastAsia"/>
              </w:rPr>
              <w:t>1290</w:t>
            </w:r>
          </w:p>
        </w:tc>
      </w:tr>
      <w:tr w:rsidR="00600DE0" w14:paraId="7F302ACA" w14:textId="77777777" w:rsidTr="00600DE0">
        <w:trPr>
          <w:trHeight w:val="57"/>
          <w:jc w:val="center"/>
        </w:trPr>
        <w:tc>
          <w:tcPr>
            <w:tcW w:w="466" w:type="pct"/>
            <w:vAlign w:val="center"/>
          </w:tcPr>
          <w:p w14:paraId="4CFB8A00" w14:textId="389DD94F" w:rsidR="00600DE0" w:rsidRDefault="00600DE0" w:rsidP="00B11C82">
            <w:pPr>
              <w:adjustRightInd w:val="0"/>
              <w:snapToGrid w:val="0"/>
              <w:jc w:val="center"/>
            </w:pPr>
            <w:r>
              <w:rPr>
                <w:rFonts w:hint="eastAsia"/>
              </w:rPr>
              <w:t>标准指数</w:t>
            </w:r>
          </w:p>
        </w:tc>
        <w:tc>
          <w:tcPr>
            <w:tcW w:w="325" w:type="pct"/>
            <w:vAlign w:val="center"/>
          </w:tcPr>
          <w:p w14:paraId="68EA1011" w14:textId="28DCF37A" w:rsidR="00600DE0" w:rsidRDefault="00600DE0" w:rsidP="00B11C82">
            <w:pPr>
              <w:adjustRightInd w:val="0"/>
              <w:snapToGrid w:val="0"/>
              <w:jc w:val="center"/>
              <w:rPr>
                <w:lang w:bidi="ar"/>
              </w:rPr>
            </w:pPr>
            <w:r>
              <w:rPr>
                <w:rFonts w:hint="eastAsia"/>
                <w:color w:val="000000"/>
                <w:sz w:val="22"/>
                <w:szCs w:val="22"/>
              </w:rPr>
              <w:t>/</w:t>
            </w:r>
          </w:p>
        </w:tc>
        <w:tc>
          <w:tcPr>
            <w:tcW w:w="387" w:type="pct"/>
            <w:vAlign w:val="center"/>
          </w:tcPr>
          <w:p w14:paraId="767755DB" w14:textId="3F754618" w:rsidR="00600DE0" w:rsidRDefault="00600DE0" w:rsidP="00B11C82">
            <w:pPr>
              <w:adjustRightInd w:val="0"/>
              <w:snapToGrid w:val="0"/>
              <w:jc w:val="center"/>
              <w:rPr>
                <w:lang w:bidi="ar"/>
              </w:rPr>
            </w:pPr>
            <w:r>
              <w:rPr>
                <w:rFonts w:hint="eastAsia"/>
                <w:color w:val="000000"/>
                <w:sz w:val="22"/>
                <w:szCs w:val="22"/>
              </w:rPr>
              <w:t>/</w:t>
            </w:r>
          </w:p>
        </w:tc>
        <w:tc>
          <w:tcPr>
            <w:tcW w:w="325" w:type="pct"/>
            <w:vAlign w:val="center"/>
          </w:tcPr>
          <w:p w14:paraId="5B25B229" w14:textId="110ED818" w:rsidR="00600DE0" w:rsidRDefault="00600DE0" w:rsidP="00B11C82">
            <w:pPr>
              <w:adjustRightInd w:val="0"/>
              <w:snapToGrid w:val="0"/>
              <w:jc w:val="center"/>
              <w:rPr>
                <w:lang w:bidi="ar"/>
              </w:rPr>
            </w:pPr>
            <w:r>
              <w:rPr>
                <w:rFonts w:hint="eastAsia"/>
                <w:color w:val="000000"/>
                <w:sz w:val="22"/>
                <w:szCs w:val="22"/>
              </w:rPr>
              <w:t>/</w:t>
            </w:r>
          </w:p>
        </w:tc>
        <w:tc>
          <w:tcPr>
            <w:tcW w:w="333" w:type="pct"/>
            <w:vAlign w:val="center"/>
          </w:tcPr>
          <w:p w14:paraId="5030B59F" w14:textId="0184CE3D"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87" w:type="pct"/>
            <w:vAlign w:val="center"/>
          </w:tcPr>
          <w:p w14:paraId="77B46FB9" w14:textId="5EE8B281"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48" w:type="pct"/>
            <w:vAlign w:val="center"/>
          </w:tcPr>
          <w:p w14:paraId="602EF9AD" w14:textId="2014EF7C"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47" w:type="pct"/>
            <w:vAlign w:val="center"/>
          </w:tcPr>
          <w:p w14:paraId="052D4A3A" w14:textId="5E342736"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87" w:type="pct"/>
            <w:vAlign w:val="center"/>
          </w:tcPr>
          <w:p w14:paraId="35854785" w14:textId="11D1212E"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49" w:type="pct"/>
            <w:vAlign w:val="center"/>
          </w:tcPr>
          <w:p w14:paraId="551598D9" w14:textId="1EF29E08"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954" w:type="pct"/>
            <w:vAlign w:val="center"/>
          </w:tcPr>
          <w:p w14:paraId="3895AD60" w14:textId="5CA554D9"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93" w:type="pct"/>
            <w:vMerge/>
            <w:vAlign w:val="center"/>
          </w:tcPr>
          <w:p w14:paraId="61290EF8" w14:textId="77777777" w:rsidR="00600DE0" w:rsidRDefault="00600DE0" w:rsidP="00B11C82">
            <w:pPr>
              <w:adjustRightInd w:val="0"/>
              <w:snapToGrid w:val="0"/>
              <w:jc w:val="center"/>
            </w:pPr>
          </w:p>
        </w:tc>
      </w:tr>
      <w:tr w:rsidR="00600DE0" w14:paraId="6C59C4F9" w14:textId="77777777" w:rsidTr="00600DE0">
        <w:trPr>
          <w:trHeight w:val="57"/>
          <w:jc w:val="center"/>
        </w:trPr>
        <w:tc>
          <w:tcPr>
            <w:tcW w:w="466" w:type="pct"/>
            <w:vAlign w:val="center"/>
          </w:tcPr>
          <w:p w14:paraId="35DF5979" w14:textId="0068312B" w:rsidR="00600DE0" w:rsidRDefault="00600DE0" w:rsidP="004A2F7D">
            <w:pPr>
              <w:adjustRightInd w:val="0"/>
              <w:snapToGrid w:val="0"/>
              <w:jc w:val="center"/>
            </w:pPr>
            <w:r>
              <w:t>甲苯</w:t>
            </w:r>
          </w:p>
        </w:tc>
        <w:tc>
          <w:tcPr>
            <w:tcW w:w="325" w:type="pct"/>
            <w:vAlign w:val="center"/>
          </w:tcPr>
          <w:p w14:paraId="23DAD526" w14:textId="7202AC78" w:rsidR="00600DE0" w:rsidRDefault="00600DE0" w:rsidP="004A2F7D">
            <w:pPr>
              <w:adjustRightInd w:val="0"/>
              <w:snapToGrid w:val="0"/>
              <w:jc w:val="center"/>
              <w:rPr>
                <w:bCs/>
              </w:rPr>
            </w:pPr>
            <w:r>
              <w:rPr>
                <w:lang w:bidi="ar"/>
              </w:rPr>
              <w:t>1.3×10</w:t>
            </w:r>
            <w:r>
              <w:rPr>
                <w:vertAlign w:val="superscript"/>
                <w:lang w:bidi="ar"/>
              </w:rPr>
              <w:t>-3</w:t>
            </w:r>
            <w:r>
              <w:rPr>
                <w:lang w:bidi="ar"/>
              </w:rPr>
              <w:t>L</w:t>
            </w:r>
          </w:p>
        </w:tc>
        <w:tc>
          <w:tcPr>
            <w:tcW w:w="387" w:type="pct"/>
            <w:vAlign w:val="center"/>
          </w:tcPr>
          <w:p w14:paraId="1D2FE142" w14:textId="5D79393D" w:rsidR="00600DE0" w:rsidRDefault="00600DE0" w:rsidP="004A2F7D">
            <w:pPr>
              <w:adjustRightInd w:val="0"/>
              <w:snapToGrid w:val="0"/>
              <w:jc w:val="center"/>
              <w:rPr>
                <w:bCs/>
              </w:rPr>
            </w:pPr>
            <w:r>
              <w:rPr>
                <w:lang w:bidi="ar"/>
              </w:rPr>
              <w:t>1.3×10</w:t>
            </w:r>
            <w:r>
              <w:rPr>
                <w:vertAlign w:val="superscript"/>
                <w:lang w:bidi="ar"/>
              </w:rPr>
              <w:t>-3</w:t>
            </w:r>
            <w:r>
              <w:rPr>
                <w:lang w:bidi="ar"/>
              </w:rPr>
              <w:t>L</w:t>
            </w:r>
          </w:p>
        </w:tc>
        <w:tc>
          <w:tcPr>
            <w:tcW w:w="325" w:type="pct"/>
            <w:vAlign w:val="center"/>
          </w:tcPr>
          <w:p w14:paraId="50E15B45" w14:textId="207F52FC" w:rsidR="00600DE0" w:rsidRDefault="00600DE0" w:rsidP="004A2F7D">
            <w:pPr>
              <w:adjustRightInd w:val="0"/>
              <w:snapToGrid w:val="0"/>
              <w:jc w:val="center"/>
              <w:rPr>
                <w:bCs/>
              </w:rPr>
            </w:pPr>
            <w:r>
              <w:rPr>
                <w:lang w:bidi="ar"/>
              </w:rPr>
              <w:t>1.3×10</w:t>
            </w:r>
            <w:r>
              <w:rPr>
                <w:vertAlign w:val="superscript"/>
                <w:lang w:bidi="ar"/>
              </w:rPr>
              <w:t>-3</w:t>
            </w:r>
            <w:r>
              <w:rPr>
                <w:lang w:bidi="ar"/>
              </w:rPr>
              <w:t>L</w:t>
            </w:r>
          </w:p>
        </w:tc>
        <w:tc>
          <w:tcPr>
            <w:tcW w:w="333" w:type="pct"/>
            <w:vAlign w:val="center"/>
          </w:tcPr>
          <w:p w14:paraId="70774C0B" w14:textId="35F5D55C" w:rsidR="00600DE0" w:rsidRDefault="00600DE0"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bidi="ar"/>
              </w:rPr>
              <w:t>1.3×10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87" w:type="pct"/>
            <w:vAlign w:val="center"/>
          </w:tcPr>
          <w:p w14:paraId="2BAD2401" w14:textId="2D91E327" w:rsidR="00600DE0" w:rsidRDefault="00600DE0"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bidi="ar"/>
              </w:rPr>
              <w:t>1.3×10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48" w:type="pct"/>
            <w:vAlign w:val="center"/>
          </w:tcPr>
          <w:p w14:paraId="2C4B0452" w14:textId="0FBF4AE7" w:rsidR="00600DE0" w:rsidRDefault="00600DE0"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bidi="ar"/>
              </w:rPr>
              <w:t>1.3×10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47" w:type="pct"/>
            <w:vAlign w:val="center"/>
          </w:tcPr>
          <w:p w14:paraId="54F17BFB" w14:textId="3E99DDAF" w:rsidR="00600DE0" w:rsidRDefault="00600DE0"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bidi="ar"/>
              </w:rPr>
              <w:t>1.3×10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87" w:type="pct"/>
            <w:vAlign w:val="center"/>
          </w:tcPr>
          <w:p w14:paraId="4F2E1CE1" w14:textId="64607F7A" w:rsidR="00600DE0" w:rsidRDefault="00600DE0"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bidi="ar"/>
              </w:rPr>
              <w:t>1.3×10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49" w:type="pct"/>
            <w:vAlign w:val="center"/>
          </w:tcPr>
          <w:p w14:paraId="3716D5A1" w14:textId="62DE0899" w:rsidR="00600DE0" w:rsidRDefault="00600DE0"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bidi="ar"/>
              </w:rPr>
              <w:t>1.3×10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954" w:type="pct"/>
            <w:vAlign w:val="center"/>
          </w:tcPr>
          <w:p w14:paraId="020E5EEE" w14:textId="3F8B541C" w:rsidR="00600DE0" w:rsidRDefault="00600DE0" w:rsidP="004A2F7D">
            <w:pPr>
              <w:pStyle w:val="TableText"/>
              <w:adjustRightInd w:val="0"/>
              <w:snapToGrid w:val="0"/>
              <w:jc w:val="center"/>
              <w:rPr>
                <w:rFonts w:ascii="Times New Roman" w:hAnsi="Times New Roman" w:cs="Times New Roman"/>
              </w:rPr>
            </w:pPr>
            <w:r>
              <w:rPr>
                <w:rFonts w:ascii="Times New Roman" w:hAnsi="Times New Roman" w:cs="Times New Roman"/>
                <w:lang w:eastAsia="zh-CN" w:bidi="ar"/>
              </w:rPr>
              <w:t>1.3×10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93" w:type="pct"/>
            <w:vMerge w:val="restart"/>
            <w:vAlign w:val="center"/>
          </w:tcPr>
          <w:p w14:paraId="7C5C70FA" w14:textId="1A05253C" w:rsidR="00600DE0" w:rsidRDefault="00600DE0" w:rsidP="004A2F7D">
            <w:pPr>
              <w:adjustRightInd w:val="0"/>
              <w:snapToGrid w:val="0"/>
              <w:jc w:val="center"/>
              <w:rPr>
                <w:bCs/>
              </w:rPr>
            </w:pPr>
            <w:r>
              <w:rPr>
                <w:rFonts w:hint="eastAsia"/>
              </w:rPr>
              <w:t>1200</w:t>
            </w:r>
          </w:p>
        </w:tc>
      </w:tr>
      <w:tr w:rsidR="00600DE0" w14:paraId="6A684994" w14:textId="77777777" w:rsidTr="00600DE0">
        <w:trPr>
          <w:trHeight w:val="57"/>
          <w:jc w:val="center"/>
        </w:trPr>
        <w:tc>
          <w:tcPr>
            <w:tcW w:w="466" w:type="pct"/>
            <w:vAlign w:val="center"/>
          </w:tcPr>
          <w:p w14:paraId="1FB18745" w14:textId="1AA6816B" w:rsidR="00600DE0" w:rsidRDefault="00600DE0" w:rsidP="00B11C82">
            <w:pPr>
              <w:adjustRightInd w:val="0"/>
              <w:snapToGrid w:val="0"/>
              <w:jc w:val="center"/>
            </w:pPr>
            <w:r>
              <w:rPr>
                <w:rFonts w:hint="eastAsia"/>
              </w:rPr>
              <w:t>标准指数</w:t>
            </w:r>
          </w:p>
        </w:tc>
        <w:tc>
          <w:tcPr>
            <w:tcW w:w="325" w:type="pct"/>
            <w:vAlign w:val="center"/>
          </w:tcPr>
          <w:p w14:paraId="789F171D" w14:textId="47EA1240" w:rsidR="00600DE0" w:rsidRDefault="00600DE0" w:rsidP="00B11C82">
            <w:pPr>
              <w:adjustRightInd w:val="0"/>
              <w:snapToGrid w:val="0"/>
              <w:jc w:val="center"/>
              <w:rPr>
                <w:lang w:bidi="ar"/>
              </w:rPr>
            </w:pPr>
            <w:r>
              <w:rPr>
                <w:rFonts w:hint="eastAsia"/>
                <w:color w:val="000000"/>
                <w:sz w:val="22"/>
                <w:szCs w:val="22"/>
              </w:rPr>
              <w:t>/</w:t>
            </w:r>
          </w:p>
        </w:tc>
        <w:tc>
          <w:tcPr>
            <w:tcW w:w="387" w:type="pct"/>
            <w:vAlign w:val="center"/>
          </w:tcPr>
          <w:p w14:paraId="0A46A475" w14:textId="79CAEEB9" w:rsidR="00600DE0" w:rsidRDefault="00600DE0" w:rsidP="00B11C82">
            <w:pPr>
              <w:adjustRightInd w:val="0"/>
              <w:snapToGrid w:val="0"/>
              <w:jc w:val="center"/>
              <w:rPr>
                <w:lang w:bidi="ar"/>
              </w:rPr>
            </w:pPr>
            <w:r>
              <w:rPr>
                <w:rFonts w:hint="eastAsia"/>
                <w:color w:val="000000"/>
                <w:sz w:val="22"/>
                <w:szCs w:val="22"/>
              </w:rPr>
              <w:t>/</w:t>
            </w:r>
          </w:p>
        </w:tc>
        <w:tc>
          <w:tcPr>
            <w:tcW w:w="325" w:type="pct"/>
            <w:vAlign w:val="center"/>
          </w:tcPr>
          <w:p w14:paraId="531FC5CA" w14:textId="7935285D" w:rsidR="00600DE0" w:rsidRDefault="00600DE0" w:rsidP="00B11C82">
            <w:pPr>
              <w:adjustRightInd w:val="0"/>
              <w:snapToGrid w:val="0"/>
              <w:jc w:val="center"/>
              <w:rPr>
                <w:lang w:bidi="ar"/>
              </w:rPr>
            </w:pPr>
            <w:r>
              <w:rPr>
                <w:rFonts w:hint="eastAsia"/>
                <w:color w:val="000000"/>
                <w:sz w:val="22"/>
                <w:szCs w:val="22"/>
              </w:rPr>
              <w:t>/</w:t>
            </w:r>
          </w:p>
        </w:tc>
        <w:tc>
          <w:tcPr>
            <w:tcW w:w="333" w:type="pct"/>
            <w:vAlign w:val="center"/>
          </w:tcPr>
          <w:p w14:paraId="04F3B373" w14:textId="075A6D0D"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87" w:type="pct"/>
            <w:vAlign w:val="center"/>
          </w:tcPr>
          <w:p w14:paraId="1437E6D2" w14:textId="3316498A"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48" w:type="pct"/>
            <w:vAlign w:val="center"/>
          </w:tcPr>
          <w:p w14:paraId="3F9EC7ED" w14:textId="79100759"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47" w:type="pct"/>
            <w:vAlign w:val="center"/>
          </w:tcPr>
          <w:p w14:paraId="4968AD6F" w14:textId="76F6E7D3"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87" w:type="pct"/>
            <w:vAlign w:val="center"/>
          </w:tcPr>
          <w:p w14:paraId="4FD24919" w14:textId="79288BA6"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49" w:type="pct"/>
            <w:vAlign w:val="center"/>
          </w:tcPr>
          <w:p w14:paraId="514B32C0" w14:textId="23826534"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954" w:type="pct"/>
            <w:vAlign w:val="center"/>
          </w:tcPr>
          <w:p w14:paraId="4CE6D474" w14:textId="5C714625"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93" w:type="pct"/>
            <w:vMerge/>
            <w:vAlign w:val="center"/>
          </w:tcPr>
          <w:p w14:paraId="4E7144C6" w14:textId="77777777" w:rsidR="00600DE0" w:rsidRDefault="00600DE0" w:rsidP="00B11C82">
            <w:pPr>
              <w:adjustRightInd w:val="0"/>
              <w:snapToGrid w:val="0"/>
              <w:jc w:val="center"/>
            </w:pPr>
          </w:p>
        </w:tc>
      </w:tr>
      <w:tr w:rsidR="00600DE0" w14:paraId="28BE6044" w14:textId="77777777" w:rsidTr="00600DE0">
        <w:trPr>
          <w:trHeight w:val="57"/>
          <w:jc w:val="center"/>
        </w:trPr>
        <w:tc>
          <w:tcPr>
            <w:tcW w:w="466" w:type="pct"/>
            <w:vAlign w:val="center"/>
          </w:tcPr>
          <w:p w14:paraId="4AE68449" w14:textId="3832FDED" w:rsidR="00600DE0" w:rsidRDefault="00600DE0" w:rsidP="004A2F7D">
            <w:pPr>
              <w:adjustRightInd w:val="0"/>
              <w:snapToGrid w:val="0"/>
              <w:jc w:val="center"/>
            </w:pPr>
            <w:r>
              <w:t>间</w:t>
            </w:r>
            <w:r>
              <w:t>+</w:t>
            </w:r>
            <w:r>
              <w:t>对二甲苯</w:t>
            </w:r>
          </w:p>
        </w:tc>
        <w:tc>
          <w:tcPr>
            <w:tcW w:w="325" w:type="pct"/>
            <w:vAlign w:val="center"/>
          </w:tcPr>
          <w:p w14:paraId="76351531" w14:textId="68FA2BE3" w:rsidR="00600DE0" w:rsidRDefault="00600DE0" w:rsidP="004A2F7D">
            <w:pPr>
              <w:adjustRightInd w:val="0"/>
              <w:snapToGrid w:val="0"/>
              <w:jc w:val="center"/>
              <w:rPr>
                <w:bCs/>
              </w:rPr>
            </w:pPr>
            <w:r>
              <w:rPr>
                <w:lang w:bidi="ar"/>
              </w:rPr>
              <w:t>1.2×10</w:t>
            </w:r>
            <w:r>
              <w:rPr>
                <w:vertAlign w:val="superscript"/>
                <w:lang w:bidi="ar"/>
              </w:rPr>
              <w:t>-3</w:t>
            </w:r>
            <w:r>
              <w:rPr>
                <w:lang w:bidi="ar"/>
              </w:rPr>
              <w:t>L</w:t>
            </w:r>
          </w:p>
        </w:tc>
        <w:tc>
          <w:tcPr>
            <w:tcW w:w="387" w:type="pct"/>
            <w:vAlign w:val="center"/>
          </w:tcPr>
          <w:p w14:paraId="6D7AFD0C" w14:textId="25269506" w:rsidR="00600DE0" w:rsidRDefault="00600DE0" w:rsidP="004A2F7D">
            <w:pPr>
              <w:adjustRightInd w:val="0"/>
              <w:snapToGrid w:val="0"/>
              <w:jc w:val="center"/>
              <w:rPr>
                <w:bCs/>
              </w:rPr>
            </w:pPr>
            <w:r>
              <w:rPr>
                <w:lang w:bidi="ar"/>
              </w:rPr>
              <w:t>1.2×10</w:t>
            </w:r>
            <w:r>
              <w:rPr>
                <w:vertAlign w:val="superscript"/>
                <w:lang w:bidi="ar"/>
              </w:rPr>
              <w:t>-3</w:t>
            </w:r>
            <w:r>
              <w:rPr>
                <w:lang w:bidi="ar"/>
              </w:rPr>
              <w:t>L</w:t>
            </w:r>
          </w:p>
        </w:tc>
        <w:tc>
          <w:tcPr>
            <w:tcW w:w="325" w:type="pct"/>
            <w:vAlign w:val="center"/>
          </w:tcPr>
          <w:p w14:paraId="224AA621" w14:textId="4A45E098" w:rsidR="00600DE0" w:rsidRDefault="00600DE0" w:rsidP="004A2F7D">
            <w:pPr>
              <w:adjustRightInd w:val="0"/>
              <w:snapToGrid w:val="0"/>
              <w:jc w:val="center"/>
              <w:rPr>
                <w:bCs/>
              </w:rPr>
            </w:pPr>
            <w:r>
              <w:rPr>
                <w:lang w:bidi="ar"/>
              </w:rPr>
              <w:t>1.2×10</w:t>
            </w:r>
            <w:r>
              <w:rPr>
                <w:vertAlign w:val="superscript"/>
                <w:lang w:bidi="ar"/>
              </w:rPr>
              <w:t>-3</w:t>
            </w:r>
            <w:r>
              <w:rPr>
                <w:lang w:bidi="ar"/>
              </w:rPr>
              <w:t>L</w:t>
            </w:r>
          </w:p>
        </w:tc>
        <w:tc>
          <w:tcPr>
            <w:tcW w:w="333" w:type="pct"/>
            <w:vAlign w:val="center"/>
          </w:tcPr>
          <w:p w14:paraId="24D401B4" w14:textId="4F676CE1" w:rsidR="00600DE0" w:rsidRDefault="00600DE0"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bidi="ar"/>
              </w:rPr>
              <w:t>1.2×10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87" w:type="pct"/>
            <w:vAlign w:val="center"/>
          </w:tcPr>
          <w:p w14:paraId="74521554" w14:textId="2B443B49" w:rsidR="00600DE0" w:rsidRDefault="00600DE0"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bidi="ar"/>
              </w:rPr>
              <w:t>1.2×10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48" w:type="pct"/>
            <w:vAlign w:val="center"/>
          </w:tcPr>
          <w:p w14:paraId="0C092789" w14:textId="5421FB07" w:rsidR="00600DE0" w:rsidRDefault="00600DE0"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bidi="ar"/>
              </w:rPr>
              <w:t>1.2×10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47" w:type="pct"/>
            <w:vAlign w:val="center"/>
          </w:tcPr>
          <w:p w14:paraId="563E7B86" w14:textId="4FC21BC7" w:rsidR="00600DE0" w:rsidRDefault="00600DE0"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bidi="ar"/>
              </w:rPr>
              <w:t>1.2×10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87" w:type="pct"/>
            <w:vAlign w:val="center"/>
          </w:tcPr>
          <w:p w14:paraId="3615ABD5" w14:textId="638D00B5" w:rsidR="00600DE0" w:rsidRDefault="00600DE0"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bidi="ar"/>
              </w:rPr>
              <w:t>1.2×10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49" w:type="pct"/>
            <w:vAlign w:val="center"/>
          </w:tcPr>
          <w:p w14:paraId="786DD049" w14:textId="2EE31963" w:rsidR="00600DE0" w:rsidRDefault="00600DE0"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bidi="ar"/>
              </w:rPr>
              <w:t>1.2×10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954" w:type="pct"/>
            <w:vAlign w:val="center"/>
          </w:tcPr>
          <w:p w14:paraId="27DC6C6B" w14:textId="651678C5" w:rsidR="00600DE0" w:rsidRDefault="00600DE0" w:rsidP="004A2F7D">
            <w:pPr>
              <w:pStyle w:val="TableText"/>
              <w:adjustRightInd w:val="0"/>
              <w:snapToGrid w:val="0"/>
              <w:jc w:val="center"/>
              <w:rPr>
                <w:rFonts w:ascii="Times New Roman" w:hAnsi="Times New Roman" w:cs="Times New Roman"/>
              </w:rPr>
            </w:pPr>
            <w:r>
              <w:rPr>
                <w:rFonts w:ascii="Times New Roman" w:hAnsi="Times New Roman" w:cs="Times New Roman"/>
                <w:lang w:eastAsia="zh-CN" w:bidi="ar"/>
              </w:rPr>
              <w:t>1.2×10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93" w:type="pct"/>
            <w:vMerge w:val="restart"/>
            <w:vAlign w:val="center"/>
          </w:tcPr>
          <w:p w14:paraId="4E380DED" w14:textId="02EF62B2" w:rsidR="00600DE0" w:rsidRDefault="00600DE0" w:rsidP="004A2F7D">
            <w:pPr>
              <w:adjustRightInd w:val="0"/>
              <w:snapToGrid w:val="0"/>
              <w:jc w:val="center"/>
              <w:rPr>
                <w:bCs/>
              </w:rPr>
            </w:pPr>
            <w:r>
              <w:rPr>
                <w:rFonts w:hint="eastAsia"/>
              </w:rPr>
              <w:t>570</w:t>
            </w:r>
          </w:p>
        </w:tc>
      </w:tr>
      <w:tr w:rsidR="00600DE0" w14:paraId="387B7980" w14:textId="77777777" w:rsidTr="00600DE0">
        <w:trPr>
          <w:trHeight w:val="57"/>
          <w:jc w:val="center"/>
        </w:trPr>
        <w:tc>
          <w:tcPr>
            <w:tcW w:w="466" w:type="pct"/>
            <w:vAlign w:val="center"/>
          </w:tcPr>
          <w:p w14:paraId="572AEBF5" w14:textId="00BFB7EC" w:rsidR="00600DE0" w:rsidRDefault="00600DE0" w:rsidP="00B11C82">
            <w:pPr>
              <w:adjustRightInd w:val="0"/>
              <w:snapToGrid w:val="0"/>
              <w:jc w:val="center"/>
            </w:pPr>
            <w:r>
              <w:rPr>
                <w:rFonts w:hint="eastAsia"/>
              </w:rPr>
              <w:t>标准指数</w:t>
            </w:r>
          </w:p>
        </w:tc>
        <w:tc>
          <w:tcPr>
            <w:tcW w:w="325" w:type="pct"/>
            <w:vAlign w:val="center"/>
          </w:tcPr>
          <w:p w14:paraId="24AB032D" w14:textId="0EA3873D" w:rsidR="00600DE0" w:rsidRDefault="00600DE0" w:rsidP="00B11C82">
            <w:pPr>
              <w:adjustRightInd w:val="0"/>
              <w:snapToGrid w:val="0"/>
              <w:jc w:val="center"/>
              <w:rPr>
                <w:lang w:bidi="ar"/>
              </w:rPr>
            </w:pPr>
            <w:r>
              <w:rPr>
                <w:rFonts w:hint="eastAsia"/>
                <w:color w:val="000000"/>
                <w:sz w:val="22"/>
                <w:szCs w:val="22"/>
              </w:rPr>
              <w:t>/</w:t>
            </w:r>
          </w:p>
        </w:tc>
        <w:tc>
          <w:tcPr>
            <w:tcW w:w="387" w:type="pct"/>
            <w:vAlign w:val="center"/>
          </w:tcPr>
          <w:p w14:paraId="4FA5A1C6" w14:textId="3287EB7B" w:rsidR="00600DE0" w:rsidRDefault="00600DE0" w:rsidP="00B11C82">
            <w:pPr>
              <w:adjustRightInd w:val="0"/>
              <w:snapToGrid w:val="0"/>
              <w:jc w:val="center"/>
              <w:rPr>
                <w:lang w:bidi="ar"/>
              </w:rPr>
            </w:pPr>
            <w:r>
              <w:rPr>
                <w:rFonts w:hint="eastAsia"/>
                <w:color w:val="000000"/>
                <w:sz w:val="22"/>
                <w:szCs w:val="22"/>
              </w:rPr>
              <w:t>/</w:t>
            </w:r>
          </w:p>
        </w:tc>
        <w:tc>
          <w:tcPr>
            <w:tcW w:w="325" w:type="pct"/>
            <w:vAlign w:val="center"/>
          </w:tcPr>
          <w:p w14:paraId="203C0D43" w14:textId="236189A1" w:rsidR="00600DE0" w:rsidRDefault="00600DE0" w:rsidP="00B11C82">
            <w:pPr>
              <w:adjustRightInd w:val="0"/>
              <w:snapToGrid w:val="0"/>
              <w:jc w:val="center"/>
              <w:rPr>
                <w:lang w:bidi="ar"/>
              </w:rPr>
            </w:pPr>
            <w:r>
              <w:rPr>
                <w:rFonts w:hint="eastAsia"/>
                <w:color w:val="000000"/>
                <w:sz w:val="22"/>
                <w:szCs w:val="22"/>
              </w:rPr>
              <w:t>/</w:t>
            </w:r>
          </w:p>
        </w:tc>
        <w:tc>
          <w:tcPr>
            <w:tcW w:w="333" w:type="pct"/>
            <w:vAlign w:val="center"/>
          </w:tcPr>
          <w:p w14:paraId="3AD57F22" w14:textId="6FE9A4F3"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87" w:type="pct"/>
            <w:vAlign w:val="center"/>
          </w:tcPr>
          <w:p w14:paraId="2B7B133E" w14:textId="7169F8B5"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48" w:type="pct"/>
            <w:vAlign w:val="center"/>
          </w:tcPr>
          <w:p w14:paraId="2B9E0DD6" w14:textId="09773078"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47" w:type="pct"/>
            <w:vAlign w:val="center"/>
          </w:tcPr>
          <w:p w14:paraId="69859C30" w14:textId="3C8B10AF"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87" w:type="pct"/>
            <w:vAlign w:val="center"/>
          </w:tcPr>
          <w:p w14:paraId="45C5C849" w14:textId="3E0BE00B"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49" w:type="pct"/>
            <w:vAlign w:val="center"/>
          </w:tcPr>
          <w:p w14:paraId="4FA1731B" w14:textId="689ED0FF"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954" w:type="pct"/>
            <w:vAlign w:val="center"/>
          </w:tcPr>
          <w:p w14:paraId="7FC9C3CC" w14:textId="2FC4C006"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93" w:type="pct"/>
            <w:vMerge/>
            <w:vAlign w:val="center"/>
          </w:tcPr>
          <w:p w14:paraId="7A696603" w14:textId="77777777" w:rsidR="00600DE0" w:rsidRDefault="00600DE0" w:rsidP="00B11C82">
            <w:pPr>
              <w:adjustRightInd w:val="0"/>
              <w:snapToGrid w:val="0"/>
              <w:jc w:val="center"/>
            </w:pPr>
          </w:p>
        </w:tc>
      </w:tr>
      <w:tr w:rsidR="00600DE0" w14:paraId="3480759B" w14:textId="77777777" w:rsidTr="00600DE0">
        <w:trPr>
          <w:trHeight w:val="57"/>
          <w:jc w:val="center"/>
        </w:trPr>
        <w:tc>
          <w:tcPr>
            <w:tcW w:w="466" w:type="pct"/>
            <w:vAlign w:val="center"/>
          </w:tcPr>
          <w:p w14:paraId="2A7FD7BD" w14:textId="17444A57" w:rsidR="00600DE0" w:rsidRDefault="00600DE0" w:rsidP="004A2F7D">
            <w:pPr>
              <w:adjustRightInd w:val="0"/>
              <w:snapToGrid w:val="0"/>
              <w:jc w:val="center"/>
            </w:pPr>
            <w:r>
              <w:t>邻二甲苯</w:t>
            </w:r>
          </w:p>
        </w:tc>
        <w:tc>
          <w:tcPr>
            <w:tcW w:w="325" w:type="pct"/>
            <w:vAlign w:val="center"/>
          </w:tcPr>
          <w:p w14:paraId="3A178074" w14:textId="15685BBC" w:rsidR="00600DE0" w:rsidRDefault="00600DE0" w:rsidP="004A2F7D">
            <w:pPr>
              <w:adjustRightInd w:val="0"/>
              <w:snapToGrid w:val="0"/>
              <w:jc w:val="center"/>
              <w:rPr>
                <w:bCs/>
              </w:rPr>
            </w:pPr>
            <w:r>
              <w:rPr>
                <w:lang w:bidi="ar"/>
              </w:rPr>
              <w:t>1.2×10</w:t>
            </w:r>
            <w:r>
              <w:rPr>
                <w:vertAlign w:val="superscript"/>
                <w:lang w:bidi="ar"/>
              </w:rPr>
              <w:t>-3</w:t>
            </w:r>
            <w:r>
              <w:rPr>
                <w:lang w:bidi="ar"/>
              </w:rPr>
              <w:t>L</w:t>
            </w:r>
          </w:p>
        </w:tc>
        <w:tc>
          <w:tcPr>
            <w:tcW w:w="387" w:type="pct"/>
            <w:vAlign w:val="center"/>
          </w:tcPr>
          <w:p w14:paraId="32A7C56C" w14:textId="4B3B9C95" w:rsidR="00600DE0" w:rsidRDefault="00600DE0" w:rsidP="004A2F7D">
            <w:pPr>
              <w:adjustRightInd w:val="0"/>
              <w:snapToGrid w:val="0"/>
              <w:jc w:val="center"/>
              <w:rPr>
                <w:bCs/>
              </w:rPr>
            </w:pPr>
            <w:r>
              <w:rPr>
                <w:lang w:bidi="ar"/>
              </w:rPr>
              <w:t>1.2×10</w:t>
            </w:r>
            <w:r>
              <w:rPr>
                <w:vertAlign w:val="superscript"/>
                <w:lang w:bidi="ar"/>
              </w:rPr>
              <w:t>-3</w:t>
            </w:r>
            <w:r>
              <w:rPr>
                <w:lang w:bidi="ar"/>
              </w:rPr>
              <w:t>L</w:t>
            </w:r>
          </w:p>
        </w:tc>
        <w:tc>
          <w:tcPr>
            <w:tcW w:w="325" w:type="pct"/>
            <w:vAlign w:val="center"/>
          </w:tcPr>
          <w:p w14:paraId="694D8D8F" w14:textId="26DD5990" w:rsidR="00600DE0" w:rsidRDefault="00600DE0" w:rsidP="004A2F7D">
            <w:pPr>
              <w:adjustRightInd w:val="0"/>
              <w:snapToGrid w:val="0"/>
              <w:jc w:val="center"/>
              <w:rPr>
                <w:bCs/>
              </w:rPr>
            </w:pPr>
            <w:r>
              <w:rPr>
                <w:lang w:bidi="ar"/>
              </w:rPr>
              <w:t>1.2×10</w:t>
            </w:r>
            <w:r>
              <w:rPr>
                <w:vertAlign w:val="superscript"/>
                <w:lang w:bidi="ar"/>
              </w:rPr>
              <w:t>-3</w:t>
            </w:r>
            <w:r>
              <w:rPr>
                <w:lang w:bidi="ar"/>
              </w:rPr>
              <w:t>L</w:t>
            </w:r>
          </w:p>
        </w:tc>
        <w:tc>
          <w:tcPr>
            <w:tcW w:w="333" w:type="pct"/>
            <w:vAlign w:val="center"/>
          </w:tcPr>
          <w:p w14:paraId="5F3C922C" w14:textId="6D0EF6D1" w:rsidR="00600DE0" w:rsidRDefault="00600DE0"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bidi="ar"/>
              </w:rPr>
              <w:t>1.2×10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87" w:type="pct"/>
            <w:vAlign w:val="center"/>
          </w:tcPr>
          <w:p w14:paraId="31C0790D" w14:textId="44197AB8" w:rsidR="00600DE0" w:rsidRDefault="00600DE0"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bidi="ar"/>
              </w:rPr>
              <w:t>1.2×10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48" w:type="pct"/>
            <w:vAlign w:val="center"/>
          </w:tcPr>
          <w:p w14:paraId="3FF0C41C" w14:textId="45C8D30E" w:rsidR="00600DE0" w:rsidRDefault="00600DE0"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bidi="ar"/>
              </w:rPr>
              <w:t>1.2×10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47" w:type="pct"/>
            <w:vAlign w:val="center"/>
          </w:tcPr>
          <w:p w14:paraId="12A03E97" w14:textId="2D600DE5" w:rsidR="00600DE0" w:rsidRDefault="00600DE0"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bidi="ar"/>
              </w:rPr>
              <w:t>1.2×10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87" w:type="pct"/>
            <w:vAlign w:val="center"/>
          </w:tcPr>
          <w:p w14:paraId="288DE738" w14:textId="34ECC2BD" w:rsidR="00600DE0" w:rsidRDefault="00600DE0"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bidi="ar"/>
              </w:rPr>
              <w:t>1.2×10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49" w:type="pct"/>
            <w:vAlign w:val="center"/>
          </w:tcPr>
          <w:p w14:paraId="66EC2A4E" w14:textId="2CC6CDA8" w:rsidR="00600DE0" w:rsidRDefault="00600DE0"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bidi="ar"/>
              </w:rPr>
              <w:t>1.2×10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954" w:type="pct"/>
            <w:vAlign w:val="center"/>
          </w:tcPr>
          <w:p w14:paraId="0D1FDFCF" w14:textId="42ABAD60" w:rsidR="00600DE0" w:rsidRDefault="00600DE0" w:rsidP="004A2F7D">
            <w:pPr>
              <w:pStyle w:val="TableText"/>
              <w:adjustRightInd w:val="0"/>
              <w:snapToGrid w:val="0"/>
              <w:jc w:val="center"/>
              <w:rPr>
                <w:rFonts w:ascii="Times New Roman" w:hAnsi="Times New Roman" w:cs="Times New Roman"/>
              </w:rPr>
            </w:pPr>
            <w:r>
              <w:rPr>
                <w:rFonts w:ascii="Times New Roman" w:hAnsi="Times New Roman" w:cs="Times New Roman"/>
                <w:lang w:eastAsia="zh-CN" w:bidi="ar"/>
              </w:rPr>
              <w:t>1.2×10</w:t>
            </w:r>
            <w:r>
              <w:rPr>
                <w:rFonts w:ascii="Times New Roman" w:hAnsi="Times New Roman" w:cs="Times New Roman"/>
                <w:vertAlign w:val="superscript"/>
                <w:lang w:eastAsia="zh-CN" w:bidi="ar"/>
              </w:rPr>
              <w:t>-3</w:t>
            </w:r>
            <w:r>
              <w:rPr>
                <w:rFonts w:ascii="Times New Roman" w:hAnsi="Times New Roman" w:cs="Times New Roman"/>
                <w:lang w:eastAsia="zh-CN" w:bidi="ar"/>
              </w:rPr>
              <w:t>L</w:t>
            </w:r>
          </w:p>
        </w:tc>
        <w:tc>
          <w:tcPr>
            <w:tcW w:w="393" w:type="pct"/>
            <w:vMerge w:val="restart"/>
            <w:vAlign w:val="center"/>
          </w:tcPr>
          <w:p w14:paraId="1AD9CA24" w14:textId="7869A330" w:rsidR="00600DE0" w:rsidRDefault="00600DE0" w:rsidP="004A2F7D">
            <w:pPr>
              <w:adjustRightInd w:val="0"/>
              <w:snapToGrid w:val="0"/>
              <w:jc w:val="center"/>
              <w:rPr>
                <w:bCs/>
              </w:rPr>
            </w:pPr>
            <w:r>
              <w:rPr>
                <w:rFonts w:hint="eastAsia"/>
              </w:rPr>
              <w:t>640</w:t>
            </w:r>
          </w:p>
        </w:tc>
      </w:tr>
      <w:tr w:rsidR="00600DE0" w14:paraId="71F45CB7" w14:textId="77777777" w:rsidTr="00600DE0">
        <w:trPr>
          <w:trHeight w:val="57"/>
          <w:jc w:val="center"/>
        </w:trPr>
        <w:tc>
          <w:tcPr>
            <w:tcW w:w="466" w:type="pct"/>
            <w:vAlign w:val="center"/>
          </w:tcPr>
          <w:p w14:paraId="7554464F" w14:textId="55FF883D" w:rsidR="00600DE0" w:rsidRDefault="00600DE0" w:rsidP="00B11C82">
            <w:pPr>
              <w:adjustRightInd w:val="0"/>
              <w:snapToGrid w:val="0"/>
              <w:jc w:val="center"/>
            </w:pPr>
            <w:r>
              <w:rPr>
                <w:rFonts w:hint="eastAsia"/>
              </w:rPr>
              <w:t>标准指数</w:t>
            </w:r>
          </w:p>
        </w:tc>
        <w:tc>
          <w:tcPr>
            <w:tcW w:w="325" w:type="pct"/>
            <w:vAlign w:val="center"/>
          </w:tcPr>
          <w:p w14:paraId="3D1A4E58" w14:textId="6C04A74C" w:rsidR="00600DE0" w:rsidRDefault="00600DE0" w:rsidP="00B11C82">
            <w:pPr>
              <w:adjustRightInd w:val="0"/>
              <w:snapToGrid w:val="0"/>
              <w:jc w:val="center"/>
              <w:rPr>
                <w:lang w:bidi="ar"/>
              </w:rPr>
            </w:pPr>
            <w:r>
              <w:rPr>
                <w:rFonts w:hint="eastAsia"/>
                <w:color w:val="000000"/>
                <w:sz w:val="22"/>
                <w:szCs w:val="22"/>
              </w:rPr>
              <w:t>/</w:t>
            </w:r>
          </w:p>
        </w:tc>
        <w:tc>
          <w:tcPr>
            <w:tcW w:w="387" w:type="pct"/>
            <w:vAlign w:val="center"/>
          </w:tcPr>
          <w:p w14:paraId="353C535F" w14:textId="09930A9F" w:rsidR="00600DE0" w:rsidRDefault="00600DE0" w:rsidP="00B11C82">
            <w:pPr>
              <w:adjustRightInd w:val="0"/>
              <w:snapToGrid w:val="0"/>
              <w:jc w:val="center"/>
              <w:rPr>
                <w:lang w:bidi="ar"/>
              </w:rPr>
            </w:pPr>
            <w:r>
              <w:rPr>
                <w:rFonts w:hint="eastAsia"/>
                <w:color w:val="000000"/>
                <w:sz w:val="22"/>
                <w:szCs w:val="22"/>
              </w:rPr>
              <w:t>/</w:t>
            </w:r>
          </w:p>
        </w:tc>
        <w:tc>
          <w:tcPr>
            <w:tcW w:w="325" w:type="pct"/>
            <w:vAlign w:val="center"/>
          </w:tcPr>
          <w:p w14:paraId="66572F56" w14:textId="690B1A8D" w:rsidR="00600DE0" w:rsidRDefault="00600DE0" w:rsidP="00B11C82">
            <w:pPr>
              <w:adjustRightInd w:val="0"/>
              <w:snapToGrid w:val="0"/>
              <w:jc w:val="center"/>
              <w:rPr>
                <w:lang w:bidi="ar"/>
              </w:rPr>
            </w:pPr>
            <w:r>
              <w:rPr>
                <w:rFonts w:hint="eastAsia"/>
                <w:color w:val="000000"/>
                <w:sz w:val="22"/>
                <w:szCs w:val="22"/>
              </w:rPr>
              <w:t>/</w:t>
            </w:r>
          </w:p>
        </w:tc>
        <w:tc>
          <w:tcPr>
            <w:tcW w:w="333" w:type="pct"/>
            <w:vAlign w:val="center"/>
          </w:tcPr>
          <w:p w14:paraId="39BFEF8D" w14:textId="6A06742D"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87" w:type="pct"/>
            <w:vAlign w:val="center"/>
          </w:tcPr>
          <w:p w14:paraId="1355D0FD" w14:textId="14A3E434"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48" w:type="pct"/>
            <w:vAlign w:val="center"/>
          </w:tcPr>
          <w:p w14:paraId="5E3F2870" w14:textId="6E764A0C"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47" w:type="pct"/>
            <w:vAlign w:val="center"/>
          </w:tcPr>
          <w:p w14:paraId="37FF492C" w14:textId="4B03A02D"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87" w:type="pct"/>
            <w:vAlign w:val="center"/>
          </w:tcPr>
          <w:p w14:paraId="57A6F9D2" w14:textId="6524B4E3"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49" w:type="pct"/>
            <w:vAlign w:val="center"/>
          </w:tcPr>
          <w:p w14:paraId="3BCAC927" w14:textId="4C3C60CD"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954" w:type="pct"/>
            <w:vAlign w:val="center"/>
          </w:tcPr>
          <w:p w14:paraId="6D93AB2A" w14:textId="435A675F"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93" w:type="pct"/>
            <w:vMerge/>
            <w:vAlign w:val="center"/>
          </w:tcPr>
          <w:p w14:paraId="551A6DD5" w14:textId="77777777" w:rsidR="00600DE0" w:rsidRDefault="00600DE0" w:rsidP="00B11C82">
            <w:pPr>
              <w:adjustRightInd w:val="0"/>
              <w:snapToGrid w:val="0"/>
              <w:jc w:val="center"/>
            </w:pPr>
          </w:p>
        </w:tc>
      </w:tr>
      <w:tr w:rsidR="00600DE0" w14:paraId="16E5A153" w14:textId="77777777" w:rsidTr="00600DE0">
        <w:trPr>
          <w:trHeight w:val="57"/>
          <w:jc w:val="center"/>
        </w:trPr>
        <w:tc>
          <w:tcPr>
            <w:tcW w:w="466" w:type="pct"/>
            <w:vAlign w:val="center"/>
          </w:tcPr>
          <w:p w14:paraId="3F2C851D" w14:textId="31E4B363" w:rsidR="00600DE0" w:rsidRDefault="00600DE0" w:rsidP="004A2F7D">
            <w:pPr>
              <w:adjustRightInd w:val="0"/>
              <w:snapToGrid w:val="0"/>
              <w:jc w:val="center"/>
            </w:pPr>
            <w:r>
              <w:t>硝基苯</w:t>
            </w:r>
          </w:p>
        </w:tc>
        <w:tc>
          <w:tcPr>
            <w:tcW w:w="325" w:type="pct"/>
            <w:vAlign w:val="center"/>
          </w:tcPr>
          <w:p w14:paraId="3070311C" w14:textId="21A819F6" w:rsidR="00600DE0" w:rsidRDefault="00600DE0" w:rsidP="004A2F7D">
            <w:pPr>
              <w:adjustRightInd w:val="0"/>
              <w:snapToGrid w:val="0"/>
              <w:jc w:val="center"/>
              <w:rPr>
                <w:bCs/>
              </w:rPr>
            </w:pPr>
            <w:r>
              <w:rPr>
                <w:color w:val="000000"/>
                <w:kern w:val="0"/>
                <w:lang w:bidi="ar"/>
              </w:rPr>
              <w:t>0.09L</w:t>
            </w:r>
          </w:p>
        </w:tc>
        <w:tc>
          <w:tcPr>
            <w:tcW w:w="387" w:type="pct"/>
            <w:vAlign w:val="center"/>
          </w:tcPr>
          <w:p w14:paraId="5B18C9F3" w14:textId="0AF5A7FB" w:rsidR="00600DE0" w:rsidRDefault="00600DE0" w:rsidP="004A2F7D">
            <w:pPr>
              <w:adjustRightInd w:val="0"/>
              <w:snapToGrid w:val="0"/>
              <w:jc w:val="center"/>
              <w:rPr>
                <w:bCs/>
              </w:rPr>
            </w:pPr>
            <w:r>
              <w:rPr>
                <w:color w:val="000000"/>
                <w:kern w:val="0"/>
                <w:lang w:bidi="ar"/>
              </w:rPr>
              <w:t>0.09L</w:t>
            </w:r>
          </w:p>
        </w:tc>
        <w:tc>
          <w:tcPr>
            <w:tcW w:w="325" w:type="pct"/>
            <w:vAlign w:val="center"/>
          </w:tcPr>
          <w:p w14:paraId="610853C1" w14:textId="0763B272" w:rsidR="00600DE0" w:rsidRDefault="00600DE0" w:rsidP="004A2F7D">
            <w:pPr>
              <w:adjustRightInd w:val="0"/>
              <w:snapToGrid w:val="0"/>
              <w:jc w:val="center"/>
              <w:rPr>
                <w:bCs/>
              </w:rPr>
            </w:pPr>
            <w:r>
              <w:rPr>
                <w:color w:val="000000"/>
                <w:kern w:val="0"/>
                <w:lang w:bidi="ar"/>
              </w:rPr>
              <w:t>0.09L</w:t>
            </w:r>
          </w:p>
        </w:tc>
        <w:tc>
          <w:tcPr>
            <w:tcW w:w="333" w:type="pct"/>
            <w:vAlign w:val="center"/>
          </w:tcPr>
          <w:p w14:paraId="17820335" w14:textId="25D34A2E" w:rsidR="00600DE0" w:rsidRDefault="00600DE0"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color w:val="000000"/>
                <w:kern w:val="0"/>
                <w:lang w:eastAsia="zh-CN" w:bidi="ar"/>
              </w:rPr>
              <w:t>0.09L</w:t>
            </w:r>
          </w:p>
        </w:tc>
        <w:tc>
          <w:tcPr>
            <w:tcW w:w="387" w:type="pct"/>
            <w:vAlign w:val="center"/>
          </w:tcPr>
          <w:p w14:paraId="71C1D7E6" w14:textId="45905853" w:rsidR="00600DE0" w:rsidRDefault="00600DE0"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color w:val="000000"/>
                <w:kern w:val="0"/>
                <w:lang w:eastAsia="zh-CN" w:bidi="ar"/>
              </w:rPr>
              <w:t>0.09L</w:t>
            </w:r>
          </w:p>
        </w:tc>
        <w:tc>
          <w:tcPr>
            <w:tcW w:w="348" w:type="pct"/>
            <w:vAlign w:val="center"/>
          </w:tcPr>
          <w:p w14:paraId="348495FB" w14:textId="0E655DD7" w:rsidR="00600DE0" w:rsidRDefault="00600DE0"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color w:val="000000"/>
                <w:kern w:val="0"/>
                <w:lang w:eastAsia="zh-CN" w:bidi="ar"/>
              </w:rPr>
              <w:t>0.09L</w:t>
            </w:r>
          </w:p>
        </w:tc>
        <w:tc>
          <w:tcPr>
            <w:tcW w:w="347" w:type="pct"/>
            <w:vAlign w:val="center"/>
          </w:tcPr>
          <w:p w14:paraId="5D7A88BC" w14:textId="7ACE7CA6" w:rsidR="00600DE0" w:rsidRDefault="00600DE0"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color w:val="000000"/>
                <w:kern w:val="0"/>
                <w:lang w:eastAsia="zh-CN" w:bidi="ar"/>
              </w:rPr>
              <w:t>0.09L</w:t>
            </w:r>
          </w:p>
        </w:tc>
        <w:tc>
          <w:tcPr>
            <w:tcW w:w="387" w:type="pct"/>
            <w:vAlign w:val="center"/>
          </w:tcPr>
          <w:p w14:paraId="40DC8A3C" w14:textId="7918C59C" w:rsidR="00600DE0" w:rsidRDefault="00600DE0"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color w:val="000000"/>
                <w:kern w:val="0"/>
                <w:lang w:eastAsia="zh-CN" w:bidi="ar"/>
              </w:rPr>
              <w:t>0.09L</w:t>
            </w:r>
          </w:p>
        </w:tc>
        <w:tc>
          <w:tcPr>
            <w:tcW w:w="349" w:type="pct"/>
            <w:vAlign w:val="center"/>
          </w:tcPr>
          <w:p w14:paraId="67AFF5E3" w14:textId="32F3F94E" w:rsidR="00600DE0" w:rsidRDefault="00600DE0"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color w:val="000000"/>
                <w:kern w:val="0"/>
                <w:lang w:eastAsia="zh-CN" w:bidi="ar"/>
              </w:rPr>
              <w:t>0.09L</w:t>
            </w:r>
          </w:p>
        </w:tc>
        <w:tc>
          <w:tcPr>
            <w:tcW w:w="954" w:type="pct"/>
            <w:vAlign w:val="center"/>
          </w:tcPr>
          <w:p w14:paraId="6478FA5A" w14:textId="267961AF" w:rsidR="00600DE0" w:rsidRDefault="00600DE0" w:rsidP="004A2F7D">
            <w:pPr>
              <w:pStyle w:val="TableText"/>
              <w:adjustRightInd w:val="0"/>
              <w:snapToGrid w:val="0"/>
              <w:jc w:val="center"/>
              <w:rPr>
                <w:rFonts w:ascii="Times New Roman" w:hAnsi="Times New Roman" w:cs="Times New Roman"/>
              </w:rPr>
            </w:pPr>
            <w:r>
              <w:rPr>
                <w:rFonts w:ascii="Times New Roman" w:hAnsi="Times New Roman" w:cs="Times New Roman"/>
                <w:color w:val="000000"/>
                <w:kern w:val="0"/>
                <w:lang w:eastAsia="zh-CN" w:bidi="ar"/>
              </w:rPr>
              <w:t>0.09L</w:t>
            </w:r>
          </w:p>
        </w:tc>
        <w:tc>
          <w:tcPr>
            <w:tcW w:w="393" w:type="pct"/>
            <w:vMerge w:val="restart"/>
            <w:vAlign w:val="center"/>
          </w:tcPr>
          <w:p w14:paraId="10293653" w14:textId="15DB2F66" w:rsidR="00600DE0" w:rsidRDefault="00600DE0" w:rsidP="004A2F7D">
            <w:pPr>
              <w:adjustRightInd w:val="0"/>
              <w:snapToGrid w:val="0"/>
              <w:jc w:val="center"/>
              <w:rPr>
                <w:bCs/>
              </w:rPr>
            </w:pPr>
            <w:r>
              <w:rPr>
                <w:rFonts w:hint="eastAsia"/>
              </w:rPr>
              <w:t>76</w:t>
            </w:r>
          </w:p>
        </w:tc>
      </w:tr>
      <w:tr w:rsidR="00600DE0" w14:paraId="6E96EF12" w14:textId="77777777" w:rsidTr="00600DE0">
        <w:trPr>
          <w:trHeight w:val="57"/>
          <w:jc w:val="center"/>
        </w:trPr>
        <w:tc>
          <w:tcPr>
            <w:tcW w:w="466" w:type="pct"/>
            <w:vAlign w:val="center"/>
          </w:tcPr>
          <w:p w14:paraId="026734F2" w14:textId="471A6C25" w:rsidR="00600DE0" w:rsidRDefault="00600DE0" w:rsidP="00B11C82">
            <w:pPr>
              <w:adjustRightInd w:val="0"/>
              <w:snapToGrid w:val="0"/>
              <w:jc w:val="center"/>
            </w:pPr>
            <w:r>
              <w:rPr>
                <w:rFonts w:hint="eastAsia"/>
              </w:rPr>
              <w:t>标准指数</w:t>
            </w:r>
          </w:p>
        </w:tc>
        <w:tc>
          <w:tcPr>
            <w:tcW w:w="325" w:type="pct"/>
            <w:vAlign w:val="center"/>
          </w:tcPr>
          <w:p w14:paraId="4C66DDF0" w14:textId="0AB80B78" w:rsidR="00600DE0" w:rsidRDefault="00600DE0" w:rsidP="00B11C82">
            <w:pPr>
              <w:adjustRightInd w:val="0"/>
              <w:snapToGrid w:val="0"/>
              <w:jc w:val="center"/>
              <w:rPr>
                <w:color w:val="000000"/>
                <w:kern w:val="0"/>
                <w:lang w:bidi="ar"/>
              </w:rPr>
            </w:pPr>
            <w:r>
              <w:rPr>
                <w:rFonts w:hint="eastAsia"/>
                <w:color w:val="000000"/>
                <w:sz w:val="22"/>
                <w:szCs w:val="22"/>
              </w:rPr>
              <w:t>/</w:t>
            </w:r>
          </w:p>
        </w:tc>
        <w:tc>
          <w:tcPr>
            <w:tcW w:w="387" w:type="pct"/>
            <w:vAlign w:val="center"/>
          </w:tcPr>
          <w:p w14:paraId="215D189C" w14:textId="519CA7C6" w:rsidR="00600DE0" w:rsidRDefault="00600DE0" w:rsidP="00B11C82">
            <w:pPr>
              <w:adjustRightInd w:val="0"/>
              <w:snapToGrid w:val="0"/>
              <w:jc w:val="center"/>
              <w:rPr>
                <w:color w:val="000000"/>
                <w:kern w:val="0"/>
                <w:lang w:bidi="ar"/>
              </w:rPr>
            </w:pPr>
            <w:r>
              <w:rPr>
                <w:rFonts w:hint="eastAsia"/>
                <w:color w:val="000000"/>
                <w:sz w:val="22"/>
                <w:szCs w:val="22"/>
              </w:rPr>
              <w:t>/</w:t>
            </w:r>
          </w:p>
        </w:tc>
        <w:tc>
          <w:tcPr>
            <w:tcW w:w="325" w:type="pct"/>
            <w:vAlign w:val="center"/>
          </w:tcPr>
          <w:p w14:paraId="0B85C9AE" w14:textId="01DD4514" w:rsidR="00600DE0" w:rsidRDefault="00600DE0" w:rsidP="00B11C82">
            <w:pPr>
              <w:adjustRightInd w:val="0"/>
              <w:snapToGrid w:val="0"/>
              <w:jc w:val="center"/>
              <w:rPr>
                <w:color w:val="000000"/>
                <w:kern w:val="0"/>
                <w:lang w:bidi="ar"/>
              </w:rPr>
            </w:pPr>
            <w:r>
              <w:rPr>
                <w:rFonts w:hint="eastAsia"/>
                <w:color w:val="000000"/>
                <w:sz w:val="22"/>
                <w:szCs w:val="22"/>
              </w:rPr>
              <w:t>/</w:t>
            </w:r>
          </w:p>
        </w:tc>
        <w:tc>
          <w:tcPr>
            <w:tcW w:w="333" w:type="pct"/>
            <w:vAlign w:val="center"/>
          </w:tcPr>
          <w:p w14:paraId="2696C3BF" w14:textId="20AFC431" w:rsidR="00600DE0" w:rsidRDefault="00600DE0" w:rsidP="00B11C82">
            <w:pPr>
              <w:pStyle w:val="TableText"/>
              <w:adjustRightInd w:val="0"/>
              <w:snapToGrid w:val="0"/>
              <w:jc w:val="center"/>
              <w:rPr>
                <w:rFonts w:ascii="Times New Roman" w:hAnsi="Times New Roman" w:cs="Times New Roman"/>
                <w:color w:val="000000"/>
                <w:kern w:val="0"/>
                <w:lang w:eastAsia="zh-CN" w:bidi="ar"/>
              </w:rPr>
            </w:pPr>
            <w:r>
              <w:rPr>
                <w:rFonts w:hint="eastAsia"/>
                <w:color w:val="000000"/>
                <w:sz w:val="22"/>
                <w:szCs w:val="22"/>
              </w:rPr>
              <w:t>/</w:t>
            </w:r>
          </w:p>
        </w:tc>
        <w:tc>
          <w:tcPr>
            <w:tcW w:w="387" w:type="pct"/>
            <w:vAlign w:val="center"/>
          </w:tcPr>
          <w:p w14:paraId="00E03E52" w14:textId="120660ED" w:rsidR="00600DE0" w:rsidRDefault="00600DE0" w:rsidP="00B11C82">
            <w:pPr>
              <w:pStyle w:val="TableText"/>
              <w:adjustRightInd w:val="0"/>
              <w:snapToGrid w:val="0"/>
              <w:jc w:val="center"/>
              <w:rPr>
                <w:rFonts w:ascii="Times New Roman" w:hAnsi="Times New Roman" w:cs="Times New Roman"/>
                <w:color w:val="000000"/>
                <w:kern w:val="0"/>
                <w:lang w:eastAsia="zh-CN" w:bidi="ar"/>
              </w:rPr>
            </w:pPr>
            <w:r>
              <w:rPr>
                <w:rFonts w:hint="eastAsia"/>
                <w:color w:val="000000"/>
                <w:sz w:val="22"/>
                <w:szCs w:val="22"/>
              </w:rPr>
              <w:t>/</w:t>
            </w:r>
          </w:p>
        </w:tc>
        <w:tc>
          <w:tcPr>
            <w:tcW w:w="348" w:type="pct"/>
            <w:vAlign w:val="center"/>
          </w:tcPr>
          <w:p w14:paraId="35C391A7" w14:textId="19C11567" w:rsidR="00600DE0" w:rsidRDefault="00600DE0" w:rsidP="00B11C82">
            <w:pPr>
              <w:pStyle w:val="TableText"/>
              <w:adjustRightInd w:val="0"/>
              <w:snapToGrid w:val="0"/>
              <w:jc w:val="center"/>
              <w:rPr>
                <w:rFonts w:ascii="Times New Roman" w:hAnsi="Times New Roman" w:cs="Times New Roman"/>
                <w:color w:val="000000"/>
                <w:kern w:val="0"/>
                <w:lang w:eastAsia="zh-CN" w:bidi="ar"/>
              </w:rPr>
            </w:pPr>
            <w:r>
              <w:rPr>
                <w:rFonts w:hint="eastAsia"/>
                <w:color w:val="000000"/>
                <w:sz w:val="22"/>
                <w:szCs w:val="22"/>
              </w:rPr>
              <w:t>/</w:t>
            </w:r>
          </w:p>
        </w:tc>
        <w:tc>
          <w:tcPr>
            <w:tcW w:w="347" w:type="pct"/>
            <w:vAlign w:val="center"/>
          </w:tcPr>
          <w:p w14:paraId="2AB7808C" w14:textId="1F5ED7D4" w:rsidR="00600DE0" w:rsidRDefault="00600DE0" w:rsidP="00B11C82">
            <w:pPr>
              <w:pStyle w:val="TableText"/>
              <w:adjustRightInd w:val="0"/>
              <w:snapToGrid w:val="0"/>
              <w:jc w:val="center"/>
              <w:rPr>
                <w:rFonts w:ascii="Times New Roman" w:hAnsi="Times New Roman" w:cs="Times New Roman"/>
                <w:color w:val="000000"/>
                <w:kern w:val="0"/>
                <w:lang w:eastAsia="zh-CN" w:bidi="ar"/>
              </w:rPr>
            </w:pPr>
            <w:r>
              <w:rPr>
                <w:rFonts w:hint="eastAsia"/>
                <w:color w:val="000000"/>
                <w:sz w:val="22"/>
                <w:szCs w:val="22"/>
              </w:rPr>
              <w:t>/</w:t>
            </w:r>
          </w:p>
        </w:tc>
        <w:tc>
          <w:tcPr>
            <w:tcW w:w="387" w:type="pct"/>
            <w:vAlign w:val="center"/>
          </w:tcPr>
          <w:p w14:paraId="5CCB47BC" w14:textId="148A9777" w:rsidR="00600DE0" w:rsidRDefault="00600DE0" w:rsidP="00B11C82">
            <w:pPr>
              <w:pStyle w:val="TableText"/>
              <w:adjustRightInd w:val="0"/>
              <w:snapToGrid w:val="0"/>
              <w:jc w:val="center"/>
              <w:rPr>
                <w:rFonts w:ascii="Times New Roman" w:hAnsi="Times New Roman" w:cs="Times New Roman"/>
                <w:color w:val="000000"/>
                <w:kern w:val="0"/>
                <w:lang w:eastAsia="zh-CN" w:bidi="ar"/>
              </w:rPr>
            </w:pPr>
            <w:r>
              <w:rPr>
                <w:rFonts w:hint="eastAsia"/>
                <w:color w:val="000000"/>
                <w:sz w:val="22"/>
                <w:szCs w:val="22"/>
              </w:rPr>
              <w:t>/</w:t>
            </w:r>
          </w:p>
        </w:tc>
        <w:tc>
          <w:tcPr>
            <w:tcW w:w="349" w:type="pct"/>
            <w:vAlign w:val="center"/>
          </w:tcPr>
          <w:p w14:paraId="7D8BDF12" w14:textId="23E17398" w:rsidR="00600DE0" w:rsidRDefault="00600DE0" w:rsidP="00B11C82">
            <w:pPr>
              <w:pStyle w:val="TableText"/>
              <w:adjustRightInd w:val="0"/>
              <w:snapToGrid w:val="0"/>
              <w:jc w:val="center"/>
              <w:rPr>
                <w:rFonts w:ascii="Times New Roman" w:hAnsi="Times New Roman" w:cs="Times New Roman"/>
                <w:color w:val="000000"/>
                <w:kern w:val="0"/>
                <w:lang w:eastAsia="zh-CN" w:bidi="ar"/>
              </w:rPr>
            </w:pPr>
            <w:r>
              <w:rPr>
                <w:rFonts w:hint="eastAsia"/>
                <w:color w:val="000000"/>
                <w:sz w:val="22"/>
                <w:szCs w:val="22"/>
              </w:rPr>
              <w:t>/</w:t>
            </w:r>
          </w:p>
        </w:tc>
        <w:tc>
          <w:tcPr>
            <w:tcW w:w="954" w:type="pct"/>
            <w:vAlign w:val="center"/>
          </w:tcPr>
          <w:p w14:paraId="79F9A554" w14:textId="1B1C4D03" w:rsidR="00600DE0" w:rsidRDefault="00600DE0" w:rsidP="00B11C82">
            <w:pPr>
              <w:pStyle w:val="TableText"/>
              <w:adjustRightInd w:val="0"/>
              <w:snapToGrid w:val="0"/>
              <w:jc w:val="center"/>
              <w:rPr>
                <w:rFonts w:ascii="Times New Roman" w:hAnsi="Times New Roman" w:cs="Times New Roman"/>
                <w:color w:val="000000"/>
                <w:kern w:val="0"/>
                <w:lang w:eastAsia="zh-CN" w:bidi="ar"/>
              </w:rPr>
            </w:pPr>
            <w:r>
              <w:rPr>
                <w:rFonts w:hint="eastAsia"/>
                <w:color w:val="000000"/>
                <w:sz w:val="22"/>
                <w:szCs w:val="22"/>
              </w:rPr>
              <w:t>/</w:t>
            </w:r>
          </w:p>
        </w:tc>
        <w:tc>
          <w:tcPr>
            <w:tcW w:w="393" w:type="pct"/>
            <w:vMerge/>
            <w:vAlign w:val="center"/>
          </w:tcPr>
          <w:p w14:paraId="79488804" w14:textId="77777777" w:rsidR="00600DE0" w:rsidRDefault="00600DE0" w:rsidP="00B11C82">
            <w:pPr>
              <w:adjustRightInd w:val="0"/>
              <w:snapToGrid w:val="0"/>
              <w:jc w:val="center"/>
            </w:pPr>
          </w:p>
        </w:tc>
      </w:tr>
      <w:tr w:rsidR="00600DE0" w14:paraId="154E6C80" w14:textId="77777777" w:rsidTr="00600DE0">
        <w:trPr>
          <w:trHeight w:val="57"/>
          <w:jc w:val="center"/>
        </w:trPr>
        <w:tc>
          <w:tcPr>
            <w:tcW w:w="466" w:type="pct"/>
            <w:vAlign w:val="center"/>
          </w:tcPr>
          <w:p w14:paraId="026AB397" w14:textId="2DC2B741" w:rsidR="00600DE0" w:rsidRDefault="00600DE0" w:rsidP="004A2F7D">
            <w:pPr>
              <w:adjustRightInd w:val="0"/>
              <w:snapToGrid w:val="0"/>
              <w:jc w:val="center"/>
            </w:pPr>
            <w:r>
              <w:t>苯胺</w:t>
            </w:r>
          </w:p>
        </w:tc>
        <w:tc>
          <w:tcPr>
            <w:tcW w:w="325" w:type="pct"/>
            <w:vAlign w:val="center"/>
          </w:tcPr>
          <w:p w14:paraId="6CD92E9F" w14:textId="2E940023" w:rsidR="00600DE0" w:rsidRDefault="00600DE0" w:rsidP="004A2F7D">
            <w:pPr>
              <w:adjustRightInd w:val="0"/>
              <w:snapToGrid w:val="0"/>
              <w:jc w:val="center"/>
              <w:rPr>
                <w:bCs/>
              </w:rPr>
            </w:pPr>
            <w:r>
              <w:rPr>
                <w:lang w:bidi="ar"/>
              </w:rPr>
              <w:t>0.1L</w:t>
            </w:r>
          </w:p>
        </w:tc>
        <w:tc>
          <w:tcPr>
            <w:tcW w:w="387" w:type="pct"/>
            <w:vAlign w:val="center"/>
          </w:tcPr>
          <w:p w14:paraId="62DE810C" w14:textId="75C69946" w:rsidR="00600DE0" w:rsidRDefault="00600DE0" w:rsidP="004A2F7D">
            <w:pPr>
              <w:adjustRightInd w:val="0"/>
              <w:snapToGrid w:val="0"/>
              <w:jc w:val="center"/>
              <w:rPr>
                <w:bCs/>
              </w:rPr>
            </w:pPr>
            <w:r>
              <w:rPr>
                <w:lang w:bidi="ar"/>
              </w:rPr>
              <w:t>0.1L</w:t>
            </w:r>
          </w:p>
        </w:tc>
        <w:tc>
          <w:tcPr>
            <w:tcW w:w="325" w:type="pct"/>
            <w:vAlign w:val="center"/>
          </w:tcPr>
          <w:p w14:paraId="0D0989CC" w14:textId="2C1939E1" w:rsidR="00600DE0" w:rsidRDefault="00600DE0" w:rsidP="004A2F7D">
            <w:pPr>
              <w:adjustRightInd w:val="0"/>
              <w:snapToGrid w:val="0"/>
              <w:jc w:val="center"/>
              <w:rPr>
                <w:bCs/>
              </w:rPr>
            </w:pPr>
            <w:r>
              <w:rPr>
                <w:lang w:bidi="ar"/>
              </w:rPr>
              <w:t>0.1L</w:t>
            </w:r>
          </w:p>
        </w:tc>
        <w:tc>
          <w:tcPr>
            <w:tcW w:w="333" w:type="pct"/>
            <w:vAlign w:val="center"/>
          </w:tcPr>
          <w:p w14:paraId="41F801D2" w14:textId="2E642978" w:rsidR="00600DE0" w:rsidRDefault="00600DE0"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bidi="ar"/>
              </w:rPr>
              <w:t>0.1L</w:t>
            </w:r>
          </w:p>
        </w:tc>
        <w:tc>
          <w:tcPr>
            <w:tcW w:w="387" w:type="pct"/>
            <w:vAlign w:val="center"/>
          </w:tcPr>
          <w:p w14:paraId="626A9D4B" w14:textId="7F9B7D33" w:rsidR="00600DE0" w:rsidRDefault="00600DE0"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bidi="ar"/>
              </w:rPr>
              <w:t>0.1L</w:t>
            </w:r>
          </w:p>
        </w:tc>
        <w:tc>
          <w:tcPr>
            <w:tcW w:w="348" w:type="pct"/>
            <w:vAlign w:val="center"/>
          </w:tcPr>
          <w:p w14:paraId="2F213571" w14:textId="3F8CE5A2" w:rsidR="00600DE0" w:rsidRDefault="00600DE0"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bidi="ar"/>
              </w:rPr>
              <w:t>0.1L</w:t>
            </w:r>
          </w:p>
        </w:tc>
        <w:tc>
          <w:tcPr>
            <w:tcW w:w="347" w:type="pct"/>
            <w:vAlign w:val="center"/>
          </w:tcPr>
          <w:p w14:paraId="280BF8CF" w14:textId="7A96044A" w:rsidR="00600DE0" w:rsidRDefault="00600DE0"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bidi="ar"/>
              </w:rPr>
              <w:t>0.1L</w:t>
            </w:r>
          </w:p>
        </w:tc>
        <w:tc>
          <w:tcPr>
            <w:tcW w:w="387" w:type="pct"/>
            <w:vAlign w:val="center"/>
          </w:tcPr>
          <w:p w14:paraId="6E54DEFC" w14:textId="027C023B" w:rsidR="00600DE0" w:rsidRDefault="00600DE0"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bidi="ar"/>
              </w:rPr>
              <w:t>0.1L</w:t>
            </w:r>
          </w:p>
        </w:tc>
        <w:tc>
          <w:tcPr>
            <w:tcW w:w="349" w:type="pct"/>
            <w:vAlign w:val="center"/>
          </w:tcPr>
          <w:p w14:paraId="48FB55D1" w14:textId="2114AA51" w:rsidR="00600DE0" w:rsidRDefault="00600DE0"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bidi="ar"/>
              </w:rPr>
              <w:t>0.1L</w:t>
            </w:r>
          </w:p>
        </w:tc>
        <w:tc>
          <w:tcPr>
            <w:tcW w:w="954" w:type="pct"/>
            <w:vAlign w:val="center"/>
          </w:tcPr>
          <w:p w14:paraId="6D181EE5" w14:textId="7424FA08" w:rsidR="00600DE0" w:rsidRDefault="00600DE0" w:rsidP="004A2F7D">
            <w:pPr>
              <w:pStyle w:val="TableText"/>
              <w:adjustRightInd w:val="0"/>
              <w:snapToGrid w:val="0"/>
              <w:jc w:val="center"/>
              <w:rPr>
                <w:rFonts w:ascii="Times New Roman" w:hAnsi="Times New Roman" w:cs="Times New Roman"/>
              </w:rPr>
            </w:pPr>
            <w:r>
              <w:rPr>
                <w:rFonts w:ascii="Times New Roman" w:hAnsi="Times New Roman" w:cs="Times New Roman"/>
                <w:lang w:eastAsia="zh-CN" w:bidi="ar"/>
              </w:rPr>
              <w:t>0.1L</w:t>
            </w:r>
          </w:p>
        </w:tc>
        <w:tc>
          <w:tcPr>
            <w:tcW w:w="393" w:type="pct"/>
            <w:vMerge w:val="restart"/>
            <w:vAlign w:val="center"/>
          </w:tcPr>
          <w:p w14:paraId="51662D94" w14:textId="26DACD74" w:rsidR="00600DE0" w:rsidRDefault="00600DE0" w:rsidP="004A2F7D">
            <w:pPr>
              <w:adjustRightInd w:val="0"/>
              <w:snapToGrid w:val="0"/>
              <w:jc w:val="center"/>
              <w:rPr>
                <w:bCs/>
              </w:rPr>
            </w:pPr>
            <w:r>
              <w:rPr>
                <w:rFonts w:hint="eastAsia"/>
              </w:rPr>
              <w:t>260</w:t>
            </w:r>
          </w:p>
        </w:tc>
      </w:tr>
      <w:tr w:rsidR="00600DE0" w14:paraId="5DE50351" w14:textId="77777777" w:rsidTr="00600DE0">
        <w:trPr>
          <w:trHeight w:val="57"/>
          <w:jc w:val="center"/>
        </w:trPr>
        <w:tc>
          <w:tcPr>
            <w:tcW w:w="466" w:type="pct"/>
            <w:vAlign w:val="center"/>
          </w:tcPr>
          <w:p w14:paraId="2B592866" w14:textId="5BB3A088" w:rsidR="00600DE0" w:rsidRDefault="00600DE0" w:rsidP="00B11C82">
            <w:pPr>
              <w:adjustRightInd w:val="0"/>
              <w:snapToGrid w:val="0"/>
              <w:jc w:val="center"/>
            </w:pPr>
            <w:r>
              <w:rPr>
                <w:rFonts w:hint="eastAsia"/>
              </w:rPr>
              <w:t>标准指数</w:t>
            </w:r>
          </w:p>
        </w:tc>
        <w:tc>
          <w:tcPr>
            <w:tcW w:w="325" w:type="pct"/>
            <w:vAlign w:val="center"/>
          </w:tcPr>
          <w:p w14:paraId="166F8A01" w14:textId="12B7B488" w:rsidR="00600DE0" w:rsidRDefault="00600DE0" w:rsidP="00B11C82">
            <w:pPr>
              <w:adjustRightInd w:val="0"/>
              <w:snapToGrid w:val="0"/>
              <w:jc w:val="center"/>
              <w:rPr>
                <w:lang w:bidi="ar"/>
              </w:rPr>
            </w:pPr>
            <w:r>
              <w:rPr>
                <w:rFonts w:hint="eastAsia"/>
                <w:color w:val="000000"/>
                <w:sz w:val="22"/>
                <w:szCs w:val="22"/>
              </w:rPr>
              <w:t>/</w:t>
            </w:r>
          </w:p>
        </w:tc>
        <w:tc>
          <w:tcPr>
            <w:tcW w:w="387" w:type="pct"/>
            <w:vAlign w:val="center"/>
          </w:tcPr>
          <w:p w14:paraId="500DFDA3" w14:textId="2C957284" w:rsidR="00600DE0" w:rsidRDefault="00600DE0" w:rsidP="00B11C82">
            <w:pPr>
              <w:adjustRightInd w:val="0"/>
              <w:snapToGrid w:val="0"/>
              <w:jc w:val="center"/>
              <w:rPr>
                <w:lang w:bidi="ar"/>
              </w:rPr>
            </w:pPr>
            <w:r>
              <w:rPr>
                <w:rFonts w:hint="eastAsia"/>
                <w:color w:val="000000"/>
                <w:sz w:val="22"/>
                <w:szCs w:val="22"/>
              </w:rPr>
              <w:t>/</w:t>
            </w:r>
          </w:p>
        </w:tc>
        <w:tc>
          <w:tcPr>
            <w:tcW w:w="325" w:type="pct"/>
            <w:vAlign w:val="center"/>
          </w:tcPr>
          <w:p w14:paraId="43C835AC" w14:textId="7C56F2C3" w:rsidR="00600DE0" w:rsidRDefault="00600DE0" w:rsidP="00B11C82">
            <w:pPr>
              <w:adjustRightInd w:val="0"/>
              <w:snapToGrid w:val="0"/>
              <w:jc w:val="center"/>
              <w:rPr>
                <w:lang w:bidi="ar"/>
              </w:rPr>
            </w:pPr>
            <w:r>
              <w:rPr>
                <w:rFonts w:hint="eastAsia"/>
                <w:color w:val="000000"/>
                <w:sz w:val="22"/>
                <w:szCs w:val="22"/>
              </w:rPr>
              <w:t>/</w:t>
            </w:r>
          </w:p>
        </w:tc>
        <w:tc>
          <w:tcPr>
            <w:tcW w:w="333" w:type="pct"/>
            <w:vAlign w:val="center"/>
          </w:tcPr>
          <w:p w14:paraId="72BFF10E" w14:textId="2EAC279D"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87" w:type="pct"/>
            <w:vAlign w:val="center"/>
          </w:tcPr>
          <w:p w14:paraId="488FA3AA" w14:textId="1D7886C8"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48" w:type="pct"/>
            <w:vAlign w:val="center"/>
          </w:tcPr>
          <w:p w14:paraId="49869B15" w14:textId="33D76AD8"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47" w:type="pct"/>
            <w:vAlign w:val="center"/>
          </w:tcPr>
          <w:p w14:paraId="4BF844CD" w14:textId="6A2A9F2E"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87" w:type="pct"/>
            <w:vAlign w:val="center"/>
          </w:tcPr>
          <w:p w14:paraId="0E7453F4" w14:textId="0029A931"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49" w:type="pct"/>
            <w:vAlign w:val="center"/>
          </w:tcPr>
          <w:p w14:paraId="1FC56533" w14:textId="594C6B7B"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954" w:type="pct"/>
            <w:vAlign w:val="center"/>
          </w:tcPr>
          <w:p w14:paraId="72C819C9" w14:textId="63C42DBE"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93" w:type="pct"/>
            <w:vMerge/>
            <w:vAlign w:val="center"/>
          </w:tcPr>
          <w:p w14:paraId="01922012" w14:textId="77777777" w:rsidR="00600DE0" w:rsidRDefault="00600DE0" w:rsidP="00B11C82">
            <w:pPr>
              <w:adjustRightInd w:val="0"/>
              <w:snapToGrid w:val="0"/>
              <w:jc w:val="center"/>
            </w:pPr>
          </w:p>
        </w:tc>
      </w:tr>
      <w:tr w:rsidR="00600DE0" w14:paraId="1603A2D7" w14:textId="77777777" w:rsidTr="00600DE0">
        <w:trPr>
          <w:trHeight w:val="57"/>
          <w:jc w:val="center"/>
        </w:trPr>
        <w:tc>
          <w:tcPr>
            <w:tcW w:w="466" w:type="pct"/>
            <w:vAlign w:val="center"/>
          </w:tcPr>
          <w:p w14:paraId="7CA52E02" w14:textId="21FD0DBC" w:rsidR="00600DE0" w:rsidRDefault="00600DE0" w:rsidP="004A2F7D">
            <w:pPr>
              <w:adjustRightInd w:val="0"/>
              <w:snapToGrid w:val="0"/>
              <w:jc w:val="center"/>
            </w:pPr>
            <w:r>
              <w:t>2-</w:t>
            </w:r>
            <w:r>
              <w:t>氯酚</w:t>
            </w:r>
          </w:p>
        </w:tc>
        <w:tc>
          <w:tcPr>
            <w:tcW w:w="325" w:type="pct"/>
            <w:vAlign w:val="center"/>
          </w:tcPr>
          <w:p w14:paraId="08FD2CC5" w14:textId="30E8F931" w:rsidR="00600DE0" w:rsidRDefault="00600DE0" w:rsidP="004A2F7D">
            <w:pPr>
              <w:adjustRightInd w:val="0"/>
              <w:snapToGrid w:val="0"/>
              <w:jc w:val="center"/>
              <w:rPr>
                <w:bCs/>
              </w:rPr>
            </w:pPr>
            <w:r>
              <w:rPr>
                <w:color w:val="000000"/>
                <w:lang w:bidi="ar"/>
              </w:rPr>
              <w:t>0.04</w:t>
            </w:r>
            <w:r>
              <w:rPr>
                <w:color w:val="000000"/>
                <w:kern w:val="0"/>
                <w:lang w:bidi="ar"/>
              </w:rPr>
              <w:t>L</w:t>
            </w:r>
          </w:p>
        </w:tc>
        <w:tc>
          <w:tcPr>
            <w:tcW w:w="387" w:type="pct"/>
            <w:vAlign w:val="center"/>
          </w:tcPr>
          <w:p w14:paraId="73AB2CDF" w14:textId="1DAFDCB1" w:rsidR="00600DE0" w:rsidRDefault="00600DE0" w:rsidP="004A2F7D">
            <w:pPr>
              <w:adjustRightInd w:val="0"/>
              <w:snapToGrid w:val="0"/>
              <w:jc w:val="center"/>
              <w:rPr>
                <w:bCs/>
              </w:rPr>
            </w:pPr>
            <w:r>
              <w:rPr>
                <w:color w:val="000000"/>
                <w:lang w:bidi="ar"/>
              </w:rPr>
              <w:t>0.04</w:t>
            </w:r>
            <w:r>
              <w:rPr>
                <w:color w:val="000000"/>
                <w:kern w:val="0"/>
                <w:lang w:bidi="ar"/>
              </w:rPr>
              <w:t>L</w:t>
            </w:r>
          </w:p>
        </w:tc>
        <w:tc>
          <w:tcPr>
            <w:tcW w:w="325" w:type="pct"/>
            <w:vAlign w:val="center"/>
          </w:tcPr>
          <w:p w14:paraId="08E566C5" w14:textId="18289DE0" w:rsidR="00600DE0" w:rsidRDefault="00600DE0" w:rsidP="004A2F7D">
            <w:pPr>
              <w:adjustRightInd w:val="0"/>
              <w:snapToGrid w:val="0"/>
              <w:jc w:val="center"/>
              <w:rPr>
                <w:bCs/>
              </w:rPr>
            </w:pPr>
            <w:r>
              <w:rPr>
                <w:color w:val="000000"/>
                <w:lang w:bidi="ar"/>
              </w:rPr>
              <w:t>0.04</w:t>
            </w:r>
            <w:r>
              <w:rPr>
                <w:color w:val="000000"/>
                <w:kern w:val="0"/>
                <w:lang w:bidi="ar"/>
              </w:rPr>
              <w:t>L</w:t>
            </w:r>
          </w:p>
        </w:tc>
        <w:tc>
          <w:tcPr>
            <w:tcW w:w="333" w:type="pct"/>
            <w:vAlign w:val="center"/>
          </w:tcPr>
          <w:p w14:paraId="63A43B80" w14:textId="3D9F414C" w:rsidR="00600DE0" w:rsidRDefault="00600DE0"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color w:val="000000"/>
                <w:lang w:eastAsia="zh-CN" w:bidi="ar"/>
              </w:rPr>
              <w:t>0.04</w:t>
            </w:r>
            <w:r>
              <w:rPr>
                <w:rFonts w:ascii="Times New Roman" w:hAnsi="Times New Roman" w:cs="Times New Roman"/>
                <w:color w:val="000000"/>
                <w:kern w:val="0"/>
                <w:lang w:eastAsia="zh-CN" w:bidi="ar"/>
              </w:rPr>
              <w:t>L</w:t>
            </w:r>
          </w:p>
        </w:tc>
        <w:tc>
          <w:tcPr>
            <w:tcW w:w="387" w:type="pct"/>
            <w:vAlign w:val="center"/>
          </w:tcPr>
          <w:p w14:paraId="2E8B9696" w14:textId="7D357FA6" w:rsidR="00600DE0" w:rsidRDefault="00600DE0"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color w:val="000000"/>
                <w:lang w:eastAsia="zh-CN" w:bidi="ar"/>
              </w:rPr>
              <w:t>0.04</w:t>
            </w:r>
            <w:r>
              <w:rPr>
                <w:rFonts w:ascii="Times New Roman" w:hAnsi="Times New Roman" w:cs="Times New Roman"/>
                <w:color w:val="000000"/>
                <w:kern w:val="0"/>
                <w:lang w:eastAsia="zh-CN" w:bidi="ar"/>
              </w:rPr>
              <w:t>L</w:t>
            </w:r>
          </w:p>
        </w:tc>
        <w:tc>
          <w:tcPr>
            <w:tcW w:w="348" w:type="pct"/>
            <w:vAlign w:val="center"/>
          </w:tcPr>
          <w:p w14:paraId="3C1CC059" w14:textId="2462555C" w:rsidR="00600DE0" w:rsidRDefault="00600DE0"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color w:val="000000"/>
                <w:lang w:eastAsia="zh-CN" w:bidi="ar"/>
              </w:rPr>
              <w:t>0.04</w:t>
            </w:r>
            <w:r>
              <w:rPr>
                <w:rFonts w:ascii="Times New Roman" w:hAnsi="Times New Roman" w:cs="Times New Roman"/>
                <w:color w:val="000000"/>
                <w:kern w:val="0"/>
                <w:lang w:eastAsia="zh-CN" w:bidi="ar"/>
              </w:rPr>
              <w:t>L</w:t>
            </w:r>
          </w:p>
        </w:tc>
        <w:tc>
          <w:tcPr>
            <w:tcW w:w="347" w:type="pct"/>
            <w:vAlign w:val="center"/>
          </w:tcPr>
          <w:p w14:paraId="360BF797" w14:textId="34BD1BB1" w:rsidR="00600DE0" w:rsidRDefault="00600DE0"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color w:val="000000"/>
                <w:lang w:eastAsia="zh-CN" w:bidi="ar"/>
              </w:rPr>
              <w:t>0.04</w:t>
            </w:r>
            <w:r>
              <w:rPr>
                <w:rFonts w:ascii="Times New Roman" w:hAnsi="Times New Roman" w:cs="Times New Roman"/>
                <w:color w:val="000000"/>
                <w:kern w:val="0"/>
                <w:lang w:eastAsia="zh-CN" w:bidi="ar"/>
              </w:rPr>
              <w:t>L</w:t>
            </w:r>
          </w:p>
        </w:tc>
        <w:tc>
          <w:tcPr>
            <w:tcW w:w="387" w:type="pct"/>
            <w:vAlign w:val="center"/>
          </w:tcPr>
          <w:p w14:paraId="04262CDB" w14:textId="7BA482C3" w:rsidR="00600DE0" w:rsidRDefault="00600DE0"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color w:val="000000"/>
                <w:lang w:eastAsia="zh-CN" w:bidi="ar"/>
              </w:rPr>
              <w:t>0.04</w:t>
            </w:r>
            <w:r>
              <w:rPr>
                <w:rFonts w:ascii="Times New Roman" w:hAnsi="Times New Roman" w:cs="Times New Roman"/>
                <w:color w:val="000000"/>
                <w:kern w:val="0"/>
                <w:lang w:eastAsia="zh-CN" w:bidi="ar"/>
              </w:rPr>
              <w:t>L</w:t>
            </w:r>
          </w:p>
        </w:tc>
        <w:tc>
          <w:tcPr>
            <w:tcW w:w="349" w:type="pct"/>
            <w:vAlign w:val="center"/>
          </w:tcPr>
          <w:p w14:paraId="47938E99" w14:textId="45133254" w:rsidR="00600DE0" w:rsidRDefault="00600DE0"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color w:val="000000"/>
                <w:lang w:eastAsia="zh-CN" w:bidi="ar"/>
              </w:rPr>
              <w:t>0.04</w:t>
            </w:r>
            <w:r>
              <w:rPr>
                <w:rFonts w:ascii="Times New Roman" w:hAnsi="Times New Roman" w:cs="Times New Roman"/>
                <w:color w:val="000000"/>
                <w:kern w:val="0"/>
                <w:lang w:eastAsia="zh-CN" w:bidi="ar"/>
              </w:rPr>
              <w:t>L</w:t>
            </w:r>
          </w:p>
        </w:tc>
        <w:tc>
          <w:tcPr>
            <w:tcW w:w="954" w:type="pct"/>
            <w:vAlign w:val="center"/>
          </w:tcPr>
          <w:p w14:paraId="02D2508A" w14:textId="0F37AB68" w:rsidR="00600DE0" w:rsidRDefault="00600DE0" w:rsidP="004A2F7D">
            <w:pPr>
              <w:pStyle w:val="TableText"/>
              <w:adjustRightInd w:val="0"/>
              <w:snapToGrid w:val="0"/>
              <w:jc w:val="center"/>
              <w:rPr>
                <w:rFonts w:ascii="Times New Roman" w:hAnsi="Times New Roman" w:cs="Times New Roman"/>
              </w:rPr>
            </w:pPr>
            <w:r>
              <w:rPr>
                <w:rFonts w:ascii="Times New Roman" w:hAnsi="Times New Roman" w:cs="Times New Roman"/>
                <w:color w:val="000000"/>
                <w:lang w:eastAsia="zh-CN" w:bidi="ar"/>
              </w:rPr>
              <w:t>0.04</w:t>
            </w:r>
            <w:r>
              <w:rPr>
                <w:rFonts w:ascii="Times New Roman" w:hAnsi="Times New Roman" w:cs="Times New Roman"/>
                <w:color w:val="000000"/>
                <w:kern w:val="0"/>
                <w:lang w:eastAsia="zh-CN" w:bidi="ar"/>
              </w:rPr>
              <w:t>L</w:t>
            </w:r>
          </w:p>
        </w:tc>
        <w:tc>
          <w:tcPr>
            <w:tcW w:w="393" w:type="pct"/>
            <w:vMerge w:val="restart"/>
            <w:vAlign w:val="center"/>
          </w:tcPr>
          <w:p w14:paraId="59686026" w14:textId="6AF7EDB2" w:rsidR="00600DE0" w:rsidRDefault="00600DE0" w:rsidP="004A2F7D">
            <w:pPr>
              <w:adjustRightInd w:val="0"/>
              <w:snapToGrid w:val="0"/>
              <w:jc w:val="center"/>
              <w:rPr>
                <w:bCs/>
              </w:rPr>
            </w:pPr>
            <w:r>
              <w:rPr>
                <w:rFonts w:hint="eastAsia"/>
              </w:rPr>
              <w:t>2256</w:t>
            </w:r>
          </w:p>
        </w:tc>
      </w:tr>
      <w:tr w:rsidR="00600DE0" w14:paraId="5AF2E099" w14:textId="77777777" w:rsidTr="00600DE0">
        <w:trPr>
          <w:trHeight w:val="57"/>
          <w:jc w:val="center"/>
        </w:trPr>
        <w:tc>
          <w:tcPr>
            <w:tcW w:w="466" w:type="pct"/>
            <w:vAlign w:val="center"/>
          </w:tcPr>
          <w:p w14:paraId="3C371BDD" w14:textId="15225A20" w:rsidR="00600DE0" w:rsidRDefault="00600DE0" w:rsidP="00B11C82">
            <w:pPr>
              <w:adjustRightInd w:val="0"/>
              <w:snapToGrid w:val="0"/>
              <w:jc w:val="center"/>
            </w:pPr>
            <w:r>
              <w:rPr>
                <w:rFonts w:hint="eastAsia"/>
              </w:rPr>
              <w:t>标准指数</w:t>
            </w:r>
          </w:p>
        </w:tc>
        <w:tc>
          <w:tcPr>
            <w:tcW w:w="325" w:type="pct"/>
            <w:vAlign w:val="center"/>
          </w:tcPr>
          <w:p w14:paraId="2934CBFF" w14:textId="6F8ED5E5" w:rsidR="00600DE0" w:rsidRDefault="00600DE0" w:rsidP="00B11C82">
            <w:pPr>
              <w:adjustRightInd w:val="0"/>
              <w:snapToGrid w:val="0"/>
              <w:jc w:val="center"/>
              <w:rPr>
                <w:color w:val="000000"/>
                <w:lang w:bidi="ar"/>
              </w:rPr>
            </w:pPr>
            <w:r>
              <w:rPr>
                <w:rFonts w:hint="eastAsia"/>
                <w:color w:val="000000"/>
                <w:sz w:val="22"/>
                <w:szCs w:val="22"/>
              </w:rPr>
              <w:t>/</w:t>
            </w:r>
          </w:p>
        </w:tc>
        <w:tc>
          <w:tcPr>
            <w:tcW w:w="387" w:type="pct"/>
            <w:vAlign w:val="center"/>
          </w:tcPr>
          <w:p w14:paraId="6982BFE3" w14:textId="55B0A954" w:rsidR="00600DE0" w:rsidRDefault="00600DE0" w:rsidP="00B11C82">
            <w:pPr>
              <w:adjustRightInd w:val="0"/>
              <w:snapToGrid w:val="0"/>
              <w:jc w:val="center"/>
              <w:rPr>
                <w:color w:val="000000"/>
                <w:lang w:bidi="ar"/>
              </w:rPr>
            </w:pPr>
            <w:r>
              <w:rPr>
                <w:rFonts w:hint="eastAsia"/>
                <w:color w:val="000000"/>
                <w:sz w:val="22"/>
                <w:szCs w:val="22"/>
              </w:rPr>
              <w:t>/</w:t>
            </w:r>
          </w:p>
        </w:tc>
        <w:tc>
          <w:tcPr>
            <w:tcW w:w="325" w:type="pct"/>
            <w:vAlign w:val="center"/>
          </w:tcPr>
          <w:p w14:paraId="580867E4" w14:textId="755CCE29" w:rsidR="00600DE0" w:rsidRDefault="00600DE0" w:rsidP="00B11C82">
            <w:pPr>
              <w:adjustRightInd w:val="0"/>
              <w:snapToGrid w:val="0"/>
              <w:jc w:val="center"/>
              <w:rPr>
                <w:color w:val="000000"/>
                <w:lang w:bidi="ar"/>
              </w:rPr>
            </w:pPr>
            <w:r>
              <w:rPr>
                <w:rFonts w:hint="eastAsia"/>
                <w:color w:val="000000"/>
                <w:sz w:val="22"/>
                <w:szCs w:val="22"/>
              </w:rPr>
              <w:t>/</w:t>
            </w:r>
          </w:p>
        </w:tc>
        <w:tc>
          <w:tcPr>
            <w:tcW w:w="333" w:type="pct"/>
            <w:vAlign w:val="center"/>
          </w:tcPr>
          <w:p w14:paraId="55867C67" w14:textId="045DE226" w:rsidR="00600DE0" w:rsidRDefault="00600DE0" w:rsidP="00B11C82">
            <w:pPr>
              <w:pStyle w:val="TableText"/>
              <w:adjustRightInd w:val="0"/>
              <w:snapToGrid w:val="0"/>
              <w:jc w:val="center"/>
              <w:rPr>
                <w:rFonts w:ascii="Times New Roman" w:hAnsi="Times New Roman" w:cs="Times New Roman"/>
                <w:color w:val="000000"/>
                <w:lang w:eastAsia="zh-CN" w:bidi="ar"/>
              </w:rPr>
            </w:pPr>
            <w:r>
              <w:rPr>
                <w:rFonts w:hint="eastAsia"/>
                <w:color w:val="000000"/>
                <w:sz w:val="22"/>
                <w:szCs w:val="22"/>
              </w:rPr>
              <w:t>/</w:t>
            </w:r>
          </w:p>
        </w:tc>
        <w:tc>
          <w:tcPr>
            <w:tcW w:w="387" w:type="pct"/>
            <w:vAlign w:val="center"/>
          </w:tcPr>
          <w:p w14:paraId="235F6ECF" w14:textId="20B98AF9" w:rsidR="00600DE0" w:rsidRDefault="00600DE0" w:rsidP="00B11C82">
            <w:pPr>
              <w:pStyle w:val="TableText"/>
              <w:adjustRightInd w:val="0"/>
              <w:snapToGrid w:val="0"/>
              <w:jc w:val="center"/>
              <w:rPr>
                <w:rFonts w:ascii="Times New Roman" w:hAnsi="Times New Roman" w:cs="Times New Roman"/>
                <w:color w:val="000000"/>
                <w:lang w:eastAsia="zh-CN" w:bidi="ar"/>
              </w:rPr>
            </w:pPr>
            <w:r>
              <w:rPr>
                <w:rFonts w:hint="eastAsia"/>
                <w:color w:val="000000"/>
                <w:sz w:val="22"/>
                <w:szCs w:val="22"/>
              </w:rPr>
              <w:t>/</w:t>
            </w:r>
          </w:p>
        </w:tc>
        <w:tc>
          <w:tcPr>
            <w:tcW w:w="348" w:type="pct"/>
            <w:vAlign w:val="center"/>
          </w:tcPr>
          <w:p w14:paraId="1F2ACA8D" w14:textId="09152AA8" w:rsidR="00600DE0" w:rsidRDefault="00600DE0" w:rsidP="00B11C82">
            <w:pPr>
              <w:pStyle w:val="TableText"/>
              <w:adjustRightInd w:val="0"/>
              <w:snapToGrid w:val="0"/>
              <w:jc w:val="center"/>
              <w:rPr>
                <w:rFonts w:ascii="Times New Roman" w:hAnsi="Times New Roman" w:cs="Times New Roman"/>
                <w:color w:val="000000"/>
                <w:lang w:eastAsia="zh-CN" w:bidi="ar"/>
              </w:rPr>
            </w:pPr>
            <w:r>
              <w:rPr>
                <w:rFonts w:hint="eastAsia"/>
                <w:color w:val="000000"/>
                <w:sz w:val="22"/>
                <w:szCs w:val="22"/>
              </w:rPr>
              <w:t>/</w:t>
            </w:r>
          </w:p>
        </w:tc>
        <w:tc>
          <w:tcPr>
            <w:tcW w:w="347" w:type="pct"/>
            <w:vAlign w:val="center"/>
          </w:tcPr>
          <w:p w14:paraId="47A94469" w14:textId="0C122B5A" w:rsidR="00600DE0" w:rsidRDefault="00600DE0" w:rsidP="00B11C82">
            <w:pPr>
              <w:pStyle w:val="TableText"/>
              <w:adjustRightInd w:val="0"/>
              <w:snapToGrid w:val="0"/>
              <w:jc w:val="center"/>
              <w:rPr>
                <w:rFonts w:ascii="Times New Roman" w:hAnsi="Times New Roman" w:cs="Times New Roman"/>
                <w:color w:val="000000"/>
                <w:lang w:eastAsia="zh-CN" w:bidi="ar"/>
              </w:rPr>
            </w:pPr>
            <w:r>
              <w:rPr>
                <w:rFonts w:hint="eastAsia"/>
                <w:color w:val="000000"/>
                <w:sz w:val="22"/>
                <w:szCs w:val="22"/>
              </w:rPr>
              <w:t>/</w:t>
            </w:r>
          </w:p>
        </w:tc>
        <w:tc>
          <w:tcPr>
            <w:tcW w:w="387" w:type="pct"/>
            <w:vAlign w:val="center"/>
          </w:tcPr>
          <w:p w14:paraId="43B24B08" w14:textId="3015D7A4" w:rsidR="00600DE0" w:rsidRDefault="00600DE0" w:rsidP="00B11C82">
            <w:pPr>
              <w:pStyle w:val="TableText"/>
              <w:adjustRightInd w:val="0"/>
              <w:snapToGrid w:val="0"/>
              <w:jc w:val="center"/>
              <w:rPr>
                <w:rFonts w:ascii="Times New Roman" w:hAnsi="Times New Roman" w:cs="Times New Roman"/>
                <w:color w:val="000000"/>
                <w:lang w:eastAsia="zh-CN" w:bidi="ar"/>
              </w:rPr>
            </w:pPr>
            <w:r>
              <w:rPr>
                <w:rFonts w:hint="eastAsia"/>
                <w:color w:val="000000"/>
                <w:sz w:val="22"/>
                <w:szCs w:val="22"/>
              </w:rPr>
              <w:t>/</w:t>
            </w:r>
          </w:p>
        </w:tc>
        <w:tc>
          <w:tcPr>
            <w:tcW w:w="349" w:type="pct"/>
            <w:vAlign w:val="center"/>
          </w:tcPr>
          <w:p w14:paraId="29F55869" w14:textId="50FE6E0B" w:rsidR="00600DE0" w:rsidRDefault="00600DE0" w:rsidP="00B11C82">
            <w:pPr>
              <w:pStyle w:val="TableText"/>
              <w:adjustRightInd w:val="0"/>
              <w:snapToGrid w:val="0"/>
              <w:jc w:val="center"/>
              <w:rPr>
                <w:rFonts w:ascii="Times New Roman" w:hAnsi="Times New Roman" w:cs="Times New Roman"/>
                <w:color w:val="000000"/>
                <w:lang w:eastAsia="zh-CN" w:bidi="ar"/>
              </w:rPr>
            </w:pPr>
            <w:r>
              <w:rPr>
                <w:rFonts w:hint="eastAsia"/>
                <w:color w:val="000000"/>
                <w:sz w:val="22"/>
                <w:szCs w:val="22"/>
              </w:rPr>
              <w:t>/</w:t>
            </w:r>
          </w:p>
        </w:tc>
        <w:tc>
          <w:tcPr>
            <w:tcW w:w="954" w:type="pct"/>
            <w:vAlign w:val="center"/>
          </w:tcPr>
          <w:p w14:paraId="444D7A34" w14:textId="4BD07011" w:rsidR="00600DE0" w:rsidRDefault="00600DE0" w:rsidP="00B11C82">
            <w:pPr>
              <w:pStyle w:val="TableText"/>
              <w:adjustRightInd w:val="0"/>
              <w:snapToGrid w:val="0"/>
              <w:jc w:val="center"/>
              <w:rPr>
                <w:rFonts w:ascii="Times New Roman" w:hAnsi="Times New Roman" w:cs="Times New Roman"/>
                <w:color w:val="000000"/>
                <w:lang w:eastAsia="zh-CN" w:bidi="ar"/>
              </w:rPr>
            </w:pPr>
            <w:r>
              <w:rPr>
                <w:rFonts w:hint="eastAsia"/>
                <w:color w:val="000000"/>
                <w:sz w:val="22"/>
                <w:szCs w:val="22"/>
              </w:rPr>
              <w:t>/</w:t>
            </w:r>
          </w:p>
        </w:tc>
        <w:tc>
          <w:tcPr>
            <w:tcW w:w="393" w:type="pct"/>
            <w:vMerge/>
            <w:vAlign w:val="center"/>
          </w:tcPr>
          <w:p w14:paraId="6B55F05C" w14:textId="77777777" w:rsidR="00600DE0" w:rsidRDefault="00600DE0" w:rsidP="00B11C82">
            <w:pPr>
              <w:adjustRightInd w:val="0"/>
              <w:snapToGrid w:val="0"/>
              <w:jc w:val="center"/>
            </w:pPr>
          </w:p>
        </w:tc>
      </w:tr>
      <w:tr w:rsidR="00600DE0" w14:paraId="18F57641" w14:textId="77777777" w:rsidTr="00600DE0">
        <w:trPr>
          <w:trHeight w:val="57"/>
          <w:jc w:val="center"/>
        </w:trPr>
        <w:tc>
          <w:tcPr>
            <w:tcW w:w="466" w:type="pct"/>
            <w:vAlign w:val="center"/>
          </w:tcPr>
          <w:p w14:paraId="248ACCB4" w14:textId="0404A5F7" w:rsidR="00600DE0" w:rsidRDefault="00600DE0" w:rsidP="004A2F7D">
            <w:pPr>
              <w:adjustRightInd w:val="0"/>
              <w:snapToGrid w:val="0"/>
              <w:jc w:val="center"/>
            </w:pPr>
            <w:r>
              <w:t>苯并</w:t>
            </w:r>
            <w:r>
              <w:t>[a]</w:t>
            </w:r>
            <w:r>
              <w:t>蒽</w:t>
            </w:r>
          </w:p>
        </w:tc>
        <w:tc>
          <w:tcPr>
            <w:tcW w:w="325" w:type="pct"/>
            <w:vAlign w:val="center"/>
          </w:tcPr>
          <w:p w14:paraId="39F4FB7A" w14:textId="2A746875" w:rsidR="00600DE0" w:rsidRDefault="00600DE0" w:rsidP="004A2F7D">
            <w:pPr>
              <w:adjustRightInd w:val="0"/>
              <w:snapToGrid w:val="0"/>
              <w:jc w:val="center"/>
              <w:rPr>
                <w:bCs/>
              </w:rPr>
            </w:pPr>
            <w:r>
              <w:rPr>
                <w:lang w:bidi="ar"/>
              </w:rPr>
              <w:t>0.1L</w:t>
            </w:r>
          </w:p>
        </w:tc>
        <w:tc>
          <w:tcPr>
            <w:tcW w:w="387" w:type="pct"/>
            <w:vAlign w:val="center"/>
          </w:tcPr>
          <w:p w14:paraId="066042C7" w14:textId="5111DADD" w:rsidR="00600DE0" w:rsidRDefault="00600DE0" w:rsidP="004A2F7D">
            <w:pPr>
              <w:adjustRightInd w:val="0"/>
              <w:snapToGrid w:val="0"/>
              <w:jc w:val="center"/>
              <w:rPr>
                <w:bCs/>
              </w:rPr>
            </w:pPr>
            <w:r>
              <w:rPr>
                <w:lang w:bidi="ar"/>
              </w:rPr>
              <w:t>0.1L</w:t>
            </w:r>
          </w:p>
        </w:tc>
        <w:tc>
          <w:tcPr>
            <w:tcW w:w="325" w:type="pct"/>
            <w:vAlign w:val="center"/>
          </w:tcPr>
          <w:p w14:paraId="35EE7C66" w14:textId="47B908BD" w:rsidR="00600DE0" w:rsidRDefault="00600DE0" w:rsidP="004A2F7D">
            <w:pPr>
              <w:adjustRightInd w:val="0"/>
              <w:snapToGrid w:val="0"/>
              <w:jc w:val="center"/>
              <w:rPr>
                <w:bCs/>
              </w:rPr>
            </w:pPr>
            <w:r>
              <w:rPr>
                <w:lang w:bidi="ar"/>
              </w:rPr>
              <w:t>0.1L</w:t>
            </w:r>
          </w:p>
        </w:tc>
        <w:tc>
          <w:tcPr>
            <w:tcW w:w="333" w:type="pct"/>
            <w:vAlign w:val="center"/>
          </w:tcPr>
          <w:p w14:paraId="19272010" w14:textId="79FD91C3" w:rsidR="00600DE0" w:rsidRDefault="00600DE0"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bidi="ar"/>
              </w:rPr>
              <w:t>0.1L</w:t>
            </w:r>
          </w:p>
        </w:tc>
        <w:tc>
          <w:tcPr>
            <w:tcW w:w="387" w:type="pct"/>
            <w:vAlign w:val="center"/>
          </w:tcPr>
          <w:p w14:paraId="0D05B279" w14:textId="692743EE" w:rsidR="00600DE0" w:rsidRDefault="00600DE0"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bidi="ar"/>
              </w:rPr>
              <w:t>0.1L</w:t>
            </w:r>
          </w:p>
        </w:tc>
        <w:tc>
          <w:tcPr>
            <w:tcW w:w="348" w:type="pct"/>
            <w:vAlign w:val="center"/>
          </w:tcPr>
          <w:p w14:paraId="2E9C8953" w14:textId="3C6F1E8B" w:rsidR="00600DE0" w:rsidRDefault="00600DE0"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bidi="ar"/>
              </w:rPr>
              <w:t>0.1L</w:t>
            </w:r>
          </w:p>
        </w:tc>
        <w:tc>
          <w:tcPr>
            <w:tcW w:w="347" w:type="pct"/>
            <w:vAlign w:val="center"/>
          </w:tcPr>
          <w:p w14:paraId="464D05ED" w14:textId="6F25700A" w:rsidR="00600DE0" w:rsidRDefault="00600DE0"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bidi="ar"/>
              </w:rPr>
              <w:t>0.1L</w:t>
            </w:r>
          </w:p>
        </w:tc>
        <w:tc>
          <w:tcPr>
            <w:tcW w:w="387" w:type="pct"/>
            <w:vAlign w:val="center"/>
          </w:tcPr>
          <w:p w14:paraId="13E92799" w14:textId="0CC7C8DB" w:rsidR="00600DE0" w:rsidRDefault="00600DE0"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bidi="ar"/>
              </w:rPr>
              <w:t>0.1L</w:t>
            </w:r>
          </w:p>
        </w:tc>
        <w:tc>
          <w:tcPr>
            <w:tcW w:w="349" w:type="pct"/>
            <w:vAlign w:val="center"/>
          </w:tcPr>
          <w:p w14:paraId="72A0CB88" w14:textId="7E4947E0" w:rsidR="00600DE0" w:rsidRDefault="00600DE0"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bidi="ar"/>
              </w:rPr>
              <w:t>0.1L</w:t>
            </w:r>
          </w:p>
        </w:tc>
        <w:tc>
          <w:tcPr>
            <w:tcW w:w="954" w:type="pct"/>
            <w:vAlign w:val="center"/>
          </w:tcPr>
          <w:p w14:paraId="1DAD0E07" w14:textId="48FF13F3" w:rsidR="00600DE0" w:rsidRDefault="00600DE0" w:rsidP="004A2F7D">
            <w:pPr>
              <w:pStyle w:val="TableText"/>
              <w:adjustRightInd w:val="0"/>
              <w:snapToGrid w:val="0"/>
              <w:jc w:val="center"/>
              <w:rPr>
                <w:rFonts w:ascii="Times New Roman" w:hAnsi="Times New Roman" w:cs="Times New Roman"/>
              </w:rPr>
            </w:pPr>
            <w:r>
              <w:rPr>
                <w:rFonts w:ascii="Times New Roman" w:hAnsi="Times New Roman" w:cs="Times New Roman"/>
                <w:lang w:eastAsia="zh-CN" w:bidi="ar"/>
              </w:rPr>
              <w:t>0.1L</w:t>
            </w:r>
          </w:p>
        </w:tc>
        <w:tc>
          <w:tcPr>
            <w:tcW w:w="393" w:type="pct"/>
            <w:vMerge w:val="restart"/>
            <w:vAlign w:val="center"/>
          </w:tcPr>
          <w:p w14:paraId="12FFF27F" w14:textId="34FB5065" w:rsidR="00600DE0" w:rsidRDefault="00600DE0" w:rsidP="004A2F7D">
            <w:pPr>
              <w:adjustRightInd w:val="0"/>
              <w:snapToGrid w:val="0"/>
              <w:jc w:val="center"/>
              <w:rPr>
                <w:bCs/>
              </w:rPr>
            </w:pPr>
            <w:r>
              <w:rPr>
                <w:rFonts w:hint="eastAsia"/>
              </w:rPr>
              <w:t>15</w:t>
            </w:r>
          </w:p>
        </w:tc>
      </w:tr>
      <w:tr w:rsidR="00600DE0" w14:paraId="71B4AA4F" w14:textId="77777777" w:rsidTr="00600DE0">
        <w:trPr>
          <w:trHeight w:val="57"/>
          <w:jc w:val="center"/>
        </w:trPr>
        <w:tc>
          <w:tcPr>
            <w:tcW w:w="466" w:type="pct"/>
            <w:vAlign w:val="center"/>
          </w:tcPr>
          <w:p w14:paraId="196C3ADD" w14:textId="61E8337F" w:rsidR="00600DE0" w:rsidRDefault="00600DE0" w:rsidP="00B11C82">
            <w:pPr>
              <w:adjustRightInd w:val="0"/>
              <w:snapToGrid w:val="0"/>
              <w:jc w:val="center"/>
            </w:pPr>
            <w:r>
              <w:rPr>
                <w:rFonts w:hint="eastAsia"/>
              </w:rPr>
              <w:t>标准指数</w:t>
            </w:r>
          </w:p>
        </w:tc>
        <w:tc>
          <w:tcPr>
            <w:tcW w:w="325" w:type="pct"/>
            <w:vAlign w:val="center"/>
          </w:tcPr>
          <w:p w14:paraId="681AEEEC" w14:textId="46746D90" w:rsidR="00600DE0" w:rsidRDefault="00600DE0" w:rsidP="00B11C82">
            <w:pPr>
              <w:adjustRightInd w:val="0"/>
              <w:snapToGrid w:val="0"/>
              <w:jc w:val="center"/>
              <w:rPr>
                <w:lang w:bidi="ar"/>
              </w:rPr>
            </w:pPr>
            <w:r>
              <w:rPr>
                <w:rFonts w:hint="eastAsia"/>
                <w:color w:val="000000"/>
                <w:sz w:val="22"/>
                <w:szCs w:val="22"/>
              </w:rPr>
              <w:t>/</w:t>
            </w:r>
          </w:p>
        </w:tc>
        <w:tc>
          <w:tcPr>
            <w:tcW w:w="387" w:type="pct"/>
            <w:vAlign w:val="center"/>
          </w:tcPr>
          <w:p w14:paraId="6C4CCE3D" w14:textId="7B9BFC22" w:rsidR="00600DE0" w:rsidRDefault="00600DE0" w:rsidP="00B11C82">
            <w:pPr>
              <w:adjustRightInd w:val="0"/>
              <w:snapToGrid w:val="0"/>
              <w:jc w:val="center"/>
              <w:rPr>
                <w:lang w:bidi="ar"/>
              </w:rPr>
            </w:pPr>
            <w:r>
              <w:rPr>
                <w:rFonts w:hint="eastAsia"/>
                <w:color w:val="000000"/>
                <w:sz w:val="22"/>
                <w:szCs w:val="22"/>
              </w:rPr>
              <w:t>/</w:t>
            </w:r>
          </w:p>
        </w:tc>
        <w:tc>
          <w:tcPr>
            <w:tcW w:w="325" w:type="pct"/>
            <w:vAlign w:val="center"/>
          </w:tcPr>
          <w:p w14:paraId="5990F9B0" w14:textId="2A24A7DA" w:rsidR="00600DE0" w:rsidRDefault="00600DE0" w:rsidP="00B11C82">
            <w:pPr>
              <w:adjustRightInd w:val="0"/>
              <w:snapToGrid w:val="0"/>
              <w:jc w:val="center"/>
              <w:rPr>
                <w:lang w:bidi="ar"/>
              </w:rPr>
            </w:pPr>
            <w:r>
              <w:rPr>
                <w:rFonts w:hint="eastAsia"/>
                <w:color w:val="000000"/>
                <w:sz w:val="22"/>
                <w:szCs w:val="22"/>
              </w:rPr>
              <w:t>/</w:t>
            </w:r>
          </w:p>
        </w:tc>
        <w:tc>
          <w:tcPr>
            <w:tcW w:w="333" w:type="pct"/>
            <w:vAlign w:val="center"/>
          </w:tcPr>
          <w:p w14:paraId="29C7B4C6" w14:textId="5B4827A4"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87" w:type="pct"/>
            <w:vAlign w:val="center"/>
          </w:tcPr>
          <w:p w14:paraId="6D6ECF9E" w14:textId="7A25A96C"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48" w:type="pct"/>
            <w:vAlign w:val="center"/>
          </w:tcPr>
          <w:p w14:paraId="4F1FC95F" w14:textId="11E19530"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47" w:type="pct"/>
            <w:vAlign w:val="center"/>
          </w:tcPr>
          <w:p w14:paraId="117D2DC9" w14:textId="16251D25"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87" w:type="pct"/>
            <w:vAlign w:val="center"/>
          </w:tcPr>
          <w:p w14:paraId="0A523D8E" w14:textId="28DBCB97"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49" w:type="pct"/>
            <w:vAlign w:val="center"/>
          </w:tcPr>
          <w:p w14:paraId="101039A5" w14:textId="131E2DB6"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954" w:type="pct"/>
            <w:vAlign w:val="center"/>
          </w:tcPr>
          <w:p w14:paraId="5980263D" w14:textId="07CC4808"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93" w:type="pct"/>
            <w:vMerge/>
            <w:vAlign w:val="center"/>
          </w:tcPr>
          <w:p w14:paraId="2447CDF3" w14:textId="77777777" w:rsidR="00600DE0" w:rsidRDefault="00600DE0" w:rsidP="00B11C82">
            <w:pPr>
              <w:adjustRightInd w:val="0"/>
              <w:snapToGrid w:val="0"/>
              <w:jc w:val="center"/>
            </w:pPr>
          </w:p>
        </w:tc>
      </w:tr>
      <w:tr w:rsidR="00600DE0" w14:paraId="25C87A12" w14:textId="77777777" w:rsidTr="00600DE0">
        <w:trPr>
          <w:trHeight w:val="57"/>
          <w:jc w:val="center"/>
        </w:trPr>
        <w:tc>
          <w:tcPr>
            <w:tcW w:w="466" w:type="pct"/>
            <w:vAlign w:val="center"/>
          </w:tcPr>
          <w:p w14:paraId="1BC65EC1" w14:textId="415F9ED7" w:rsidR="00600DE0" w:rsidRDefault="00600DE0" w:rsidP="004A2F7D">
            <w:pPr>
              <w:adjustRightInd w:val="0"/>
              <w:snapToGrid w:val="0"/>
              <w:jc w:val="center"/>
            </w:pPr>
            <w:r>
              <w:t>苯并</w:t>
            </w:r>
            <w:r>
              <w:t>[a]</w:t>
            </w:r>
            <w:r>
              <w:t>芘</w:t>
            </w:r>
          </w:p>
        </w:tc>
        <w:tc>
          <w:tcPr>
            <w:tcW w:w="325" w:type="pct"/>
            <w:vAlign w:val="center"/>
          </w:tcPr>
          <w:p w14:paraId="0B9DF47F" w14:textId="1797609D" w:rsidR="00600DE0" w:rsidRDefault="00600DE0" w:rsidP="004A2F7D">
            <w:pPr>
              <w:adjustRightInd w:val="0"/>
              <w:snapToGrid w:val="0"/>
              <w:jc w:val="center"/>
              <w:rPr>
                <w:bCs/>
              </w:rPr>
            </w:pPr>
            <w:r>
              <w:rPr>
                <w:lang w:bidi="ar"/>
              </w:rPr>
              <w:t>0.1L</w:t>
            </w:r>
          </w:p>
        </w:tc>
        <w:tc>
          <w:tcPr>
            <w:tcW w:w="387" w:type="pct"/>
            <w:vAlign w:val="center"/>
          </w:tcPr>
          <w:p w14:paraId="45B96409" w14:textId="3F86066D" w:rsidR="00600DE0" w:rsidRDefault="00600DE0" w:rsidP="004A2F7D">
            <w:pPr>
              <w:adjustRightInd w:val="0"/>
              <w:snapToGrid w:val="0"/>
              <w:jc w:val="center"/>
              <w:rPr>
                <w:bCs/>
              </w:rPr>
            </w:pPr>
            <w:r>
              <w:rPr>
                <w:lang w:bidi="ar"/>
              </w:rPr>
              <w:t>0.1L</w:t>
            </w:r>
          </w:p>
        </w:tc>
        <w:tc>
          <w:tcPr>
            <w:tcW w:w="325" w:type="pct"/>
            <w:vAlign w:val="center"/>
          </w:tcPr>
          <w:p w14:paraId="743F7413" w14:textId="16184656" w:rsidR="00600DE0" w:rsidRDefault="00600DE0" w:rsidP="004A2F7D">
            <w:pPr>
              <w:adjustRightInd w:val="0"/>
              <w:snapToGrid w:val="0"/>
              <w:jc w:val="center"/>
              <w:rPr>
                <w:bCs/>
              </w:rPr>
            </w:pPr>
            <w:r>
              <w:rPr>
                <w:lang w:bidi="ar"/>
              </w:rPr>
              <w:t>0.1L</w:t>
            </w:r>
          </w:p>
        </w:tc>
        <w:tc>
          <w:tcPr>
            <w:tcW w:w="333" w:type="pct"/>
            <w:vAlign w:val="center"/>
          </w:tcPr>
          <w:p w14:paraId="4154EFB1" w14:textId="569C813F" w:rsidR="00600DE0" w:rsidRDefault="00600DE0"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bidi="ar"/>
              </w:rPr>
              <w:t>0.1L</w:t>
            </w:r>
          </w:p>
        </w:tc>
        <w:tc>
          <w:tcPr>
            <w:tcW w:w="387" w:type="pct"/>
            <w:vAlign w:val="center"/>
          </w:tcPr>
          <w:p w14:paraId="727C3DA1" w14:textId="0E41A664" w:rsidR="00600DE0" w:rsidRDefault="00600DE0"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bidi="ar"/>
              </w:rPr>
              <w:t>0.1L</w:t>
            </w:r>
          </w:p>
        </w:tc>
        <w:tc>
          <w:tcPr>
            <w:tcW w:w="348" w:type="pct"/>
            <w:vAlign w:val="center"/>
          </w:tcPr>
          <w:p w14:paraId="23552BA5" w14:textId="12594481" w:rsidR="00600DE0" w:rsidRDefault="00600DE0"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bidi="ar"/>
              </w:rPr>
              <w:t>0.1L</w:t>
            </w:r>
          </w:p>
        </w:tc>
        <w:tc>
          <w:tcPr>
            <w:tcW w:w="347" w:type="pct"/>
            <w:vAlign w:val="center"/>
          </w:tcPr>
          <w:p w14:paraId="157830FC" w14:textId="1CAD20EE" w:rsidR="00600DE0" w:rsidRDefault="00600DE0"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bidi="ar"/>
              </w:rPr>
              <w:t>0.1L</w:t>
            </w:r>
          </w:p>
        </w:tc>
        <w:tc>
          <w:tcPr>
            <w:tcW w:w="387" w:type="pct"/>
            <w:vAlign w:val="center"/>
          </w:tcPr>
          <w:p w14:paraId="3EFBF76F" w14:textId="5E8ECCD0" w:rsidR="00600DE0" w:rsidRDefault="00600DE0"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bidi="ar"/>
              </w:rPr>
              <w:t>0.1L</w:t>
            </w:r>
          </w:p>
        </w:tc>
        <w:tc>
          <w:tcPr>
            <w:tcW w:w="349" w:type="pct"/>
            <w:vAlign w:val="center"/>
          </w:tcPr>
          <w:p w14:paraId="63502687" w14:textId="6629E932" w:rsidR="00600DE0" w:rsidRDefault="00600DE0"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bidi="ar"/>
              </w:rPr>
              <w:t>0.1L</w:t>
            </w:r>
          </w:p>
        </w:tc>
        <w:tc>
          <w:tcPr>
            <w:tcW w:w="954" w:type="pct"/>
            <w:vAlign w:val="center"/>
          </w:tcPr>
          <w:p w14:paraId="14E2F4A5" w14:textId="19F75419" w:rsidR="00600DE0" w:rsidRDefault="00600DE0" w:rsidP="004A2F7D">
            <w:pPr>
              <w:pStyle w:val="TableText"/>
              <w:adjustRightInd w:val="0"/>
              <w:snapToGrid w:val="0"/>
              <w:jc w:val="center"/>
              <w:rPr>
                <w:rFonts w:ascii="Times New Roman" w:hAnsi="Times New Roman" w:cs="Times New Roman"/>
              </w:rPr>
            </w:pPr>
            <w:r>
              <w:rPr>
                <w:rFonts w:ascii="Times New Roman" w:hAnsi="Times New Roman" w:cs="Times New Roman"/>
                <w:lang w:eastAsia="zh-CN" w:bidi="ar"/>
              </w:rPr>
              <w:t>0.1L</w:t>
            </w:r>
          </w:p>
        </w:tc>
        <w:tc>
          <w:tcPr>
            <w:tcW w:w="393" w:type="pct"/>
            <w:vMerge w:val="restart"/>
            <w:vAlign w:val="center"/>
          </w:tcPr>
          <w:p w14:paraId="61D00B1F" w14:textId="6DB9BEB9" w:rsidR="00600DE0" w:rsidRDefault="00600DE0" w:rsidP="004A2F7D">
            <w:pPr>
              <w:adjustRightInd w:val="0"/>
              <w:snapToGrid w:val="0"/>
              <w:jc w:val="center"/>
              <w:rPr>
                <w:bCs/>
              </w:rPr>
            </w:pPr>
            <w:r>
              <w:rPr>
                <w:rFonts w:hint="eastAsia"/>
              </w:rPr>
              <w:t>1.5</w:t>
            </w:r>
          </w:p>
        </w:tc>
      </w:tr>
      <w:tr w:rsidR="00600DE0" w14:paraId="13FD209C" w14:textId="77777777" w:rsidTr="00600DE0">
        <w:trPr>
          <w:trHeight w:val="57"/>
          <w:jc w:val="center"/>
        </w:trPr>
        <w:tc>
          <w:tcPr>
            <w:tcW w:w="466" w:type="pct"/>
            <w:vAlign w:val="center"/>
          </w:tcPr>
          <w:p w14:paraId="014FF13D" w14:textId="240C7FFB" w:rsidR="00600DE0" w:rsidRDefault="00600DE0" w:rsidP="00B11C82">
            <w:pPr>
              <w:adjustRightInd w:val="0"/>
              <w:snapToGrid w:val="0"/>
              <w:jc w:val="center"/>
            </w:pPr>
            <w:r>
              <w:rPr>
                <w:rFonts w:hint="eastAsia"/>
              </w:rPr>
              <w:t>标准指数</w:t>
            </w:r>
          </w:p>
        </w:tc>
        <w:tc>
          <w:tcPr>
            <w:tcW w:w="325" w:type="pct"/>
            <w:vAlign w:val="center"/>
          </w:tcPr>
          <w:p w14:paraId="72E67112" w14:textId="6339B2B1" w:rsidR="00600DE0" w:rsidRDefault="00600DE0" w:rsidP="00B11C82">
            <w:pPr>
              <w:adjustRightInd w:val="0"/>
              <w:snapToGrid w:val="0"/>
              <w:jc w:val="center"/>
              <w:rPr>
                <w:lang w:bidi="ar"/>
              </w:rPr>
            </w:pPr>
            <w:r>
              <w:rPr>
                <w:rFonts w:hint="eastAsia"/>
                <w:color w:val="000000"/>
                <w:sz w:val="22"/>
                <w:szCs w:val="22"/>
              </w:rPr>
              <w:t>/</w:t>
            </w:r>
          </w:p>
        </w:tc>
        <w:tc>
          <w:tcPr>
            <w:tcW w:w="387" w:type="pct"/>
            <w:vAlign w:val="center"/>
          </w:tcPr>
          <w:p w14:paraId="0D8CBD6C" w14:textId="37891AB3" w:rsidR="00600DE0" w:rsidRDefault="00600DE0" w:rsidP="00B11C82">
            <w:pPr>
              <w:adjustRightInd w:val="0"/>
              <w:snapToGrid w:val="0"/>
              <w:jc w:val="center"/>
              <w:rPr>
                <w:lang w:bidi="ar"/>
              </w:rPr>
            </w:pPr>
            <w:r>
              <w:rPr>
                <w:rFonts w:hint="eastAsia"/>
                <w:color w:val="000000"/>
                <w:sz w:val="22"/>
                <w:szCs w:val="22"/>
              </w:rPr>
              <w:t>/</w:t>
            </w:r>
          </w:p>
        </w:tc>
        <w:tc>
          <w:tcPr>
            <w:tcW w:w="325" w:type="pct"/>
            <w:vAlign w:val="center"/>
          </w:tcPr>
          <w:p w14:paraId="6B4B9D3E" w14:textId="21D21C2C" w:rsidR="00600DE0" w:rsidRDefault="00600DE0" w:rsidP="00B11C82">
            <w:pPr>
              <w:adjustRightInd w:val="0"/>
              <w:snapToGrid w:val="0"/>
              <w:jc w:val="center"/>
              <w:rPr>
                <w:lang w:bidi="ar"/>
              </w:rPr>
            </w:pPr>
            <w:r>
              <w:rPr>
                <w:rFonts w:hint="eastAsia"/>
                <w:color w:val="000000"/>
                <w:sz w:val="22"/>
                <w:szCs w:val="22"/>
              </w:rPr>
              <w:t>/</w:t>
            </w:r>
          </w:p>
        </w:tc>
        <w:tc>
          <w:tcPr>
            <w:tcW w:w="333" w:type="pct"/>
            <w:vAlign w:val="center"/>
          </w:tcPr>
          <w:p w14:paraId="4EDC3887" w14:textId="148F80FB"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87" w:type="pct"/>
            <w:vAlign w:val="center"/>
          </w:tcPr>
          <w:p w14:paraId="7171672F" w14:textId="6053CB1D"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48" w:type="pct"/>
            <w:vAlign w:val="center"/>
          </w:tcPr>
          <w:p w14:paraId="2690759B" w14:textId="09A3FEA4"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47" w:type="pct"/>
            <w:vAlign w:val="center"/>
          </w:tcPr>
          <w:p w14:paraId="0EFC74C8" w14:textId="736C8AA7"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87" w:type="pct"/>
            <w:vAlign w:val="center"/>
          </w:tcPr>
          <w:p w14:paraId="0618DC59" w14:textId="261027E6"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49" w:type="pct"/>
            <w:vAlign w:val="center"/>
          </w:tcPr>
          <w:p w14:paraId="02CA04F3" w14:textId="54D76684"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954" w:type="pct"/>
            <w:vAlign w:val="center"/>
          </w:tcPr>
          <w:p w14:paraId="1B2C7DC0" w14:textId="6684A620"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93" w:type="pct"/>
            <w:vMerge/>
            <w:vAlign w:val="center"/>
          </w:tcPr>
          <w:p w14:paraId="14E0ED52" w14:textId="77777777" w:rsidR="00600DE0" w:rsidRDefault="00600DE0" w:rsidP="00B11C82">
            <w:pPr>
              <w:adjustRightInd w:val="0"/>
              <w:snapToGrid w:val="0"/>
              <w:jc w:val="center"/>
            </w:pPr>
          </w:p>
        </w:tc>
      </w:tr>
      <w:tr w:rsidR="00600DE0" w14:paraId="2B6FDE3C" w14:textId="77777777" w:rsidTr="00600DE0">
        <w:trPr>
          <w:trHeight w:val="57"/>
          <w:jc w:val="center"/>
        </w:trPr>
        <w:tc>
          <w:tcPr>
            <w:tcW w:w="466" w:type="pct"/>
            <w:vAlign w:val="center"/>
          </w:tcPr>
          <w:p w14:paraId="16FFD9A9" w14:textId="0C5D7B18" w:rsidR="00600DE0" w:rsidRDefault="00600DE0" w:rsidP="004A2F7D">
            <w:pPr>
              <w:adjustRightInd w:val="0"/>
              <w:snapToGrid w:val="0"/>
              <w:jc w:val="center"/>
            </w:pPr>
            <w:r>
              <w:t>苯并</w:t>
            </w:r>
            <w:r>
              <w:t>[b]</w:t>
            </w:r>
            <w:r>
              <w:t>荧蒽</w:t>
            </w:r>
          </w:p>
        </w:tc>
        <w:tc>
          <w:tcPr>
            <w:tcW w:w="325" w:type="pct"/>
            <w:vAlign w:val="center"/>
          </w:tcPr>
          <w:p w14:paraId="77F2B4EB" w14:textId="4A1DB2D8" w:rsidR="00600DE0" w:rsidRDefault="00600DE0" w:rsidP="004A2F7D">
            <w:pPr>
              <w:adjustRightInd w:val="0"/>
              <w:snapToGrid w:val="0"/>
              <w:jc w:val="center"/>
              <w:rPr>
                <w:bCs/>
              </w:rPr>
            </w:pPr>
            <w:r>
              <w:rPr>
                <w:lang w:bidi="ar"/>
              </w:rPr>
              <w:t>0.2L</w:t>
            </w:r>
          </w:p>
        </w:tc>
        <w:tc>
          <w:tcPr>
            <w:tcW w:w="387" w:type="pct"/>
            <w:vAlign w:val="center"/>
          </w:tcPr>
          <w:p w14:paraId="35139EDF" w14:textId="1CE9DE5D" w:rsidR="00600DE0" w:rsidRDefault="00600DE0" w:rsidP="004A2F7D">
            <w:pPr>
              <w:adjustRightInd w:val="0"/>
              <w:snapToGrid w:val="0"/>
              <w:jc w:val="center"/>
              <w:rPr>
                <w:bCs/>
              </w:rPr>
            </w:pPr>
            <w:r>
              <w:rPr>
                <w:lang w:bidi="ar"/>
              </w:rPr>
              <w:t>0.2L</w:t>
            </w:r>
          </w:p>
        </w:tc>
        <w:tc>
          <w:tcPr>
            <w:tcW w:w="325" w:type="pct"/>
            <w:vAlign w:val="center"/>
          </w:tcPr>
          <w:p w14:paraId="4CC2A275" w14:textId="6A46F54C" w:rsidR="00600DE0" w:rsidRDefault="00600DE0" w:rsidP="004A2F7D">
            <w:pPr>
              <w:adjustRightInd w:val="0"/>
              <w:snapToGrid w:val="0"/>
              <w:jc w:val="center"/>
              <w:rPr>
                <w:bCs/>
              </w:rPr>
            </w:pPr>
            <w:r>
              <w:rPr>
                <w:lang w:bidi="ar"/>
              </w:rPr>
              <w:t>0.2L</w:t>
            </w:r>
          </w:p>
        </w:tc>
        <w:tc>
          <w:tcPr>
            <w:tcW w:w="333" w:type="pct"/>
            <w:vAlign w:val="center"/>
          </w:tcPr>
          <w:p w14:paraId="61DF4D5A" w14:textId="42E67F63" w:rsidR="00600DE0" w:rsidRDefault="00600DE0"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bidi="ar"/>
              </w:rPr>
              <w:t>0.2L</w:t>
            </w:r>
          </w:p>
        </w:tc>
        <w:tc>
          <w:tcPr>
            <w:tcW w:w="387" w:type="pct"/>
            <w:vAlign w:val="center"/>
          </w:tcPr>
          <w:p w14:paraId="4EA75048" w14:textId="0671FDAC" w:rsidR="00600DE0" w:rsidRDefault="00600DE0"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bidi="ar"/>
              </w:rPr>
              <w:t>0.2L</w:t>
            </w:r>
          </w:p>
        </w:tc>
        <w:tc>
          <w:tcPr>
            <w:tcW w:w="348" w:type="pct"/>
            <w:vAlign w:val="center"/>
          </w:tcPr>
          <w:p w14:paraId="03BFCB27" w14:textId="289B26D8" w:rsidR="00600DE0" w:rsidRDefault="00600DE0"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bidi="ar"/>
              </w:rPr>
              <w:t>0.2L</w:t>
            </w:r>
          </w:p>
        </w:tc>
        <w:tc>
          <w:tcPr>
            <w:tcW w:w="347" w:type="pct"/>
            <w:vAlign w:val="center"/>
          </w:tcPr>
          <w:p w14:paraId="6FE14758" w14:textId="75BB7D8A" w:rsidR="00600DE0" w:rsidRDefault="00600DE0"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bidi="ar"/>
              </w:rPr>
              <w:t>0.2L</w:t>
            </w:r>
          </w:p>
        </w:tc>
        <w:tc>
          <w:tcPr>
            <w:tcW w:w="387" w:type="pct"/>
            <w:vAlign w:val="center"/>
          </w:tcPr>
          <w:p w14:paraId="307AF34E" w14:textId="152C4A0B" w:rsidR="00600DE0" w:rsidRDefault="00600DE0"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bidi="ar"/>
              </w:rPr>
              <w:t>0.2L</w:t>
            </w:r>
          </w:p>
        </w:tc>
        <w:tc>
          <w:tcPr>
            <w:tcW w:w="349" w:type="pct"/>
            <w:vAlign w:val="center"/>
          </w:tcPr>
          <w:p w14:paraId="77D4C662" w14:textId="1A43B380" w:rsidR="00600DE0" w:rsidRDefault="00600DE0"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bidi="ar"/>
              </w:rPr>
              <w:t>0.2L</w:t>
            </w:r>
          </w:p>
        </w:tc>
        <w:tc>
          <w:tcPr>
            <w:tcW w:w="954" w:type="pct"/>
            <w:vAlign w:val="center"/>
          </w:tcPr>
          <w:p w14:paraId="38CB8FA5" w14:textId="0D8C6BF7" w:rsidR="00600DE0" w:rsidRDefault="00600DE0" w:rsidP="004A2F7D">
            <w:pPr>
              <w:pStyle w:val="TableText"/>
              <w:adjustRightInd w:val="0"/>
              <w:snapToGrid w:val="0"/>
              <w:jc w:val="center"/>
              <w:rPr>
                <w:rFonts w:ascii="Times New Roman" w:hAnsi="Times New Roman" w:cs="Times New Roman"/>
              </w:rPr>
            </w:pPr>
            <w:r>
              <w:rPr>
                <w:rFonts w:ascii="Times New Roman" w:hAnsi="Times New Roman" w:cs="Times New Roman"/>
                <w:lang w:eastAsia="zh-CN" w:bidi="ar"/>
              </w:rPr>
              <w:t>0.2L</w:t>
            </w:r>
          </w:p>
        </w:tc>
        <w:tc>
          <w:tcPr>
            <w:tcW w:w="393" w:type="pct"/>
            <w:vMerge w:val="restart"/>
            <w:vAlign w:val="center"/>
          </w:tcPr>
          <w:p w14:paraId="74527219" w14:textId="0E65D1BA" w:rsidR="00600DE0" w:rsidRDefault="00600DE0" w:rsidP="004A2F7D">
            <w:pPr>
              <w:adjustRightInd w:val="0"/>
              <w:snapToGrid w:val="0"/>
              <w:jc w:val="center"/>
              <w:rPr>
                <w:bCs/>
              </w:rPr>
            </w:pPr>
            <w:r>
              <w:rPr>
                <w:rFonts w:hint="eastAsia"/>
              </w:rPr>
              <w:t>15</w:t>
            </w:r>
          </w:p>
        </w:tc>
      </w:tr>
      <w:tr w:rsidR="00600DE0" w14:paraId="6E4E8267" w14:textId="77777777" w:rsidTr="00600DE0">
        <w:trPr>
          <w:trHeight w:val="57"/>
          <w:jc w:val="center"/>
        </w:trPr>
        <w:tc>
          <w:tcPr>
            <w:tcW w:w="466" w:type="pct"/>
            <w:vAlign w:val="center"/>
          </w:tcPr>
          <w:p w14:paraId="0C99A3E1" w14:textId="0E9688CB" w:rsidR="00600DE0" w:rsidRDefault="00600DE0" w:rsidP="00B11C82">
            <w:pPr>
              <w:adjustRightInd w:val="0"/>
              <w:snapToGrid w:val="0"/>
              <w:jc w:val="center"/>
            </w:pPr>
            <w:r>
              <w:rPr>
                <w:rFonts w:hint="eastAsia"/>
              </w:rPr>
              <w:t>标准指数</w:t>
            </w:r>
          </w:p>
        </w:tc>
        <w:tc>
          <w:tcPr>
            <w:tcW w:w="325" w:type="pct"/>
            <w:vAlign w:val="center"/>
          </w:tcPr>
          <w:p w14:paraId="7D309A45" w14:textId="0C7FA979" w:rsidR="00600DE0" w:rsidRDefault="00600DE0" w:rsidP="00B11C82">
            <w:pPr>
              <w:adjustRightInd w:val="0"/>
              <w:snapToGrid w:val="0"/>
              <w:jc w:val="center"/>
              <w:rPr>
                <w:lang w:bidi="ar"/>
              </w:rPr>
            </w:pPr>
            <w:r>
              <w:rPr>
                <w:rFonts w:hint="eastAsia"/>
                <w:color w:val="000000"/>
                <w:sz w:val="22"/>
                <w:szCs w:val="22"/>
              </w:rPr>
              <w:t>/</w:t>
            </w:r>
          </w:p>
        </w:tc>
        <w:tc>
          <w:tcPr>
            <w:tcW w:w="387" w:type="pct"/>
            <w:vAlign w:val="center"/>
          </w:tcPr>
          <w:p w14:paraId="4C9B375C" w14:textId="18953C4F" w:rsidR="00600DE0" w:rsidRDefault="00600DE0" w:rsidP="00B11C82">
            <w:pPr>
              <w:adjustRightInd w:val="0"/>
              <w:snapToGrid w:val="0"/>
              <w:jc w:val="center"/>
              <w:rPr>
                <w:lang w:bidi="ar"/>
              </w:rPr>
            </w:pPr>
            <w:r>
              <w:rPr>
                <w:rFonts w:hint="eastAsia"/>
                <w:color w:val="000000"/>
                <w:sz w:val="22"/>
                <w:szCs w:val="22"/>
              </w:rPr>
              <w:t>/</w:t>
            </w:r>
          </w:p>
        </w:tc>
        <w:tc>
          <w:tcPr>
            <w:tcW w:w="325" w:type="pct"/>
            <w:vAlign w:val="center"/>
          </w:tcPr>
          <w:p w14:paraId="79A7ACA5" w14:textId="303762C4" w:rsidR="00600DE0" w:rsidRDefault="00600DE0" w:rsidP="00B11C82">
            <w:pPr>
              <w:adjustRightInd w:val="0"/>
              <w:snapToGrid w:val="0"/>
              <w:jc w:val="center"/>
              <w:rPr>
                <w:lang w:bidi="ar"/>
              </w:rPr>
            </w:pPr>
            <w:r>
              <w:rPr>
                <w:rFonts w:hint="eastAsia"/>
                <w:color w:val="000000"/>
                <w:sz w:val="22"/>
                <w:szCs w:val="22"/>
              </w:rPr>
              <w:t>/</w:t>
            </w:r>
          </w:p>
        </w:tc>
        <w:tc>
          <w:tcPr>
            <w:tcW w:w="333" w:type="pct"/>
            <w:vAlign w:val="center"/>
          </w:tcPr>
          <w:p w14:paraId="3097292F" w14:textId="57D4B84B"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87" w:type="pct"/>
            <w:vAlign w:val="center"/>
          </w:tcPr>
          <w:p w14:paraId="3213B1A3" w14:textId="16AEECD7"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48" w:type="pct"/>
            <w:vAlign w:val="center"/>
          </w:tcPr>
          <w:p w14:paraId="38929195" w14:textId="4FC0B48B"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47" w:type="pct"/>
            <w:vAlign w:val="center"/>
          </w:tcPr>
          <w:p w14:paraId="69E7D306" w14:textId="2EDB1A6E"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87" w:type="pct"/>
            <w:vAlign w:val="center"/>
          </w:tcPr>
          <w:p w14:paraId="7D977B78" w14:textId="2691B0F3"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49" w:type="pct"/>
            <w:vAlign w:val="center"/>
          </w:tcPr>
          <w:p w14:paraId="3768B92F" w14:textId="3E3E1C97"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954" w:type="pct"/>
            <w:vAlign w:val="center"/>
          </w:tcPr>
          <w:p w14:paraId="47950D07" w14:textId="6FDB9D2D"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93" w:type="pct"/>
            <w:vMerge/>
            <w:vAlign w:val="center"/>
          </w:tcPr>
          <w:p w14:paraId="3C218DED" w14:textId="77777777" w:rsidR="00600DE0" w:rsidRDefault="00600DE0" w:rsidP="00B11C82">
            <w:pPr>
              <w:adjustRightInd w:val="0"/>
              <w:snapToGrid w:val="0"/>
              <w:jc w:val="center"/>
            </w:pPr>
          </w:p>
        </w:tc>
      </w:tr>
      <w:tr w:rsidR="00600DE0" w14:paraId="108FF6A0" w14:textId="77777777" w:rsidTr="00600DE0">
        <w:trPr>
          <w:trHeight w:val="57"/>
          <w:jc w:val="center"/>
        </w:trPr>
        <w:tc>
          <w:tcPr>
            <w:tcW w:w="466" w:type="pct"/>
            <w:vAlign w:val="center"/>
          </w:tcPr>
          <w:p w14:paraId="7DAD6548" w14:textId="79480B27" w:rsidR="00600DE0" w:rsidRDefault="00600DE0" w:rsidP="004A2F7D">
            <w:pPr>
              <w:adjustRightInd w:val="0"/>
              <w:snapToGrid w:val="0"/>
              <w:jc w:val="center"/>
            </w:pPr>
            <w:r>
              <w:t>苯并</w:t>
            </w:r>
            <w:r>
              <w:t>[</w:t>
            </w:r>
            <w:r>
              <w:rPr>
                <w:rFonts w:hint="eastAsia"/>
              </w:rPr>
              <w:t>k</w:t>
            </w:r>
            <w:r>
              <w:t>]</w:t>
            </w:r>
            <w:r>
              <w:t>荧蒽</w:t>
            </w:r>
          </w:p>
        </w:tc>
        <w:tc>
          <w:tcPr>
            <w:tcW w:w="325" w:type="pct"/>
            <w:vAlign w:val="center"/>
          </w:tcPr>
          <w:p w14:paraId="05061A78" w14:textId="43AF5269" w:rsidR="00600DE0" w:rsidRDefault="00600DE0" w:rsidP="004A2F7D">
            <w:pPr>
              <w:adjustRightInd w:val="0"/>
              <w:snapToGrid w:val="0"/>
              <w:jc w:val="center"/>
              <w:rPr>
                <w:bCs/>
              </w:rPr>
            </w:pPr>
            <w:r>
              <w:rPr>
                <w:lang w:bidi="ar"/>
              </w:rPr>
              <w:t>0.1L</w:t>
            </w:r>
          </w:p>
        </w:tc>
        <w:tc>
          <w:tcPr>
            <w:tcW w:w="387" w:type="pct"/>
            <w:vAlign w:val="center"/>
          </w:tcPr>
          <w:p w14:paraId="563215C1" w14:textId="73182CE8" w:rsidR="00600DE0" w:rsidRDefault="00600DE0" w:rsidP="004A2F7D">
            <w:pPr>
              <w:adjustRightInd w:val="0"/>
              <w:snapToGrid w:val="0"/>
              <w:jc w:val="center"/>
              <w:rPr>
                <w:bCs/>
              </w:rPr>
            </w:pPr>
            <w:r>
              <w:rPr>
                <w:lang w:bidi="ar"/>
              </w:rPr>
              <w:t>0.1L</w:t>
            </w:r>
          </w:p>
        </w:tc>
        <w:tc>
          <w:tcPr>
            <w:tcW w:w="325" w:type="pct"/>
            <w:vAlign w:val="center"/>
          </w:tcPr>
          <w:p w14:paraId="5A798265" w14:textId="1E0ADB28" w:rsidR="00600DE0" w:rsidRDefault="00600DE0" w:rsidP="004A2F7D">
            <w:pPr>
              <w:adjustRightInd w:val="0"/>
              <w:snapToGrid w:val="0"/>
              <w:jc w:val="center"/>
              <w:rPr>
                <w:bCs/>
              </w:rPr>
            </w:pPr>
            <w:r>
              <w:rPr>
                <w:lang w:bidi="ar"/>
              </w:rPr>
              <w:t>0.1L</w:t>
            </w:r>
          </w:p>
        </w:tc>
        <w:tc>
          <w:tcPr>
            <w:tcW w:w="333" w:type="pct"/>
            <w:vAlign w:val="center"/>
          </w:tcPr>
          <w:p w14:paraId="028C38EF" w14:textId="72E3ADD9" w:rsidR="00600DE0" w:rsidRDefault="00600DE0"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bidi="ar"/>
              </w:rPr>
              <w:t>0.1L</w:t>
            </w:r>
          </w:p>
        </w:tc>
        <w:tc>
          <w:tcPr>
            <w:tcW w:w="387" w:type="pct"/>
            <w:vAlign w:val="center"/>
          </w:tcPr>
          <w:p w14:paraId="5870CCF0" w14:textId="1B3BAC29" w:rsidR="00600DE0" w:rsidRDefault="00600DE0"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bidi="ar"/>
              </w:rPr>
              <w:t>0.1L</w:t>
            </w:r>
          </w:p>
        </w:tc>
        <w:tc>
          <w:tcPr>
            <w:tcW w:w="348" w:type="pct"/>
            <w:vAlign w:val="center"/>
          </w:tcPr>
          <w:p w14:paraId="7A730228" w14:textId="00EDB148" w:rsidR="00600DE0" w:rsidRDefault="00600DE0"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bidi="ar"/>
              </w:rPr>
              <w:t>0.1L</w:t>
            </w:r>
          </w:p>
        </w:tc>
        <w:tc>
          <w:tcPr>
            <w:tcW w:w="347" w:type="pct"/>
            <w:vAlign w:val="center"/>
          </w:tcPr>
          <w:p w14:paraId="2926A9C0" w14:textId="5AE594B0" w:rsidR="00600DE0" w:rsidRDefault="00600DE0"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bidi="ar"/>
              </w:rPr>
              <w:t>0.1L</w:t>
            </w:r>
          </w:p>
        </w:tc>
        <w:tc>
          <w:tcPr>
            <w:tcW w:w="387" w:type="pct"/>
            <w:vAlign w:val="center"/>
          </w:tcPr>
          <w:p w14:paraId="4B4AEFE9" w14:textId="12C77415" w:rsidR="00600DE0" w:rsidRDefault="00600DE0"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bidi="ar"/>
              </w:rPr>
              <w:t>0.1L</w:t>
            </w:r>
          </w:p>
        </w:tc>
        <w:tc>
          <w:tcPr>
            <w:tcW w:w="349" w:type="pct"/>
            <w:vAlign w:val="center"/>
          </w:tcPr>
          <w:p w14:paraId="14E28A39" w14:textId="54AE6D55" w:rsidR="00600DE0" w:rsidRDefault="00600DE0"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bidi="ar"/>
              </w:rPr>
              <w:t>0.1L</w:t>
            </w:r>
          </w:p>
        </w:tc>
        <w:tc>
          <w:tcPr>
            <w:tcW w:w="954" w:type="pct"/>
            <w:vAlign w:val="center"/>
          </w:tcPr>
          <w:p w14:paraId="51DD789C" w14:textId="7F0C1240" w:rsidR="00600DE0" w:rsidRDefault="00600DE0" w:rsidP="004A2F7D">
            <w:pPr>
              <w:pStyle w:val="TableText"/>
              <w:adjustRightInd w:val="0"/>
              <w:snapToGrid w:val="0"/>
              <w:jc w:val="center"/>
              <w:rPr>
                <w:rFonts w:ascii="Times New Roman" w:hAnsi="Times New Roman" w:cs="Times New Roman"/>
              </w:rPr>
            </w:pPr>
            <w:r>
              <w:rPr>
                <w:rFonts w:ascii="Times New Roman" w:hAnsi="Times New Roman" w:cs="Times New Roman"/>
                <w:lang w:eastAsia="zh-CN" w:bidi="ar"/>
              </w:rPr>
              <w:t>0.1L</w:t>
            </w:r>
          </w:p>
        </w:tc>
        <w:tc>
          <w:tcPr>
            <w:tcW w:w="393" w:type="pct"/>
            <w:vMerge w:val="restart"/>
            <w:vAlign w:val="center"/>
          </w:tcPr>
          <w:p w14:paraId="3868D296" w14:textId="655DCF3B" w:rsidR="00600DE0" w:rsidRDefault="00600DE0" w:rsidP="004A2F7D">
            <w:pPr>
              <w:adjustRightInd w:val="0"/>
              <w:snapToGrid w:val="0"/>
              <w:jc w:val="center"/>
              <w:rPr>
                <w:bCs/>
              </w:rPr>
            </w:pPr>
            <w:r>
              <w:rPr>
                <w:rFonts w:hint="eastAsia"/>
              </w:rPr>
              <w:t>151</w:t>
            </w:r>
          </w:p>
        </w:tc>
      </w:tr>
      <w:tr w:rsidR="00600DE0" w14:paraId="2B54722B" w14:textId="77777777" w:rsidTr="00600DE0">
        <w:trPr>
          <w:trHeight w:val="57"/>
          <w:jc w:val="center"/>
        </w:trPr>
        <w:tc>
          <w:tcPr>
            <w:tcW w:w="466" w:type="pct"/>
            <w:vAlign w:val="center"/>
          </w:tcPr>
          <w:p w14:paraId="433F5BD2" w14:textId="400A8799" w:rsidR="00600DE0" w:rsidRDefault="00600DE0" w:rsidP="00B11C82">
            <w:pPr>
              <w:adjustRightInd w:val="0"/>
              <w:snapToGrid w:val="0"/>
              <w:jc w:val="center"/>
            </w:pPr>
            <w:r>
              <w:rPr>
                <w:rFonts w:hint="eastAsia"/>
              </w:rPr>
              <w:t>标准指数</w:t>
            </w:r>
          </w:p>
        </w:tc>
        <w:tc>
          <w:tcPr>
            <w:tcW w:w="325" w:type="pct"/>
            <w:vAlign w:val="center"/>
          </w:tcPr>
          <w:p w14:paraId="70B26E76" w14:textId="1A502BF4" w:rsidR="00600DE0" w:rsidRDefault="00600DE0" w:rsidP="00B11C82">
            <w:pPr>
              <w:adjustRightInd w:val="0"/>
              <w:snapToGrid w:val="0"/>
              <w:jc w:val="center"/>
              <w:rPr>
                <w:lang w:bidi="ar"/>
              </w:rPr>
            </w:pPr>
            <w:r>
              <w:rPr>
                <w:rFonts w:hint="eastAsia"/>
                <w:color w:val="000000"/>
                <w:sz w:val="22"/>
                <w:szCs w:val="22"/>
              </w:rPr>
              <w:t>/</w:t>
            </w:r>
          </w:p>
        </w:tc>
        <w:tc>
          <w:tcPr>
            <w:tcW w:w="387" w:type="pct"/>
            <w:vAlign w:val="center"/>
          </w:tcPr>
          <w:p w14:paraId="0844A9A5" w14:textId="10B2DE2D" w:rsidR="00600DE0" w:rsidRDefault="00600DE0" w:rsidP="00B11C82">
            <w:pPr>
              <w:adjustRightInd w:val="0"/>
              <w:snapToGrid w:val="0"/>
              <w:jc w:val="center"/>
              <w:rPr>
                <w:lang w:bidi="ar"/>
              </w:rPr>
            </w:pPr>
            <w:r>
              <w:rPr>
                <w:rFonts w:hint="eastAsia"/>
                <w:color w:val="000000"/>
                <w:sz w:val="22"/>
                <w:szCs w:val="22"/>
              </w:rPr>
              <w:t>/</w:t>
            </w:r>
          </w:p>
        </w:tc>
        <w:tc>
          <w:tcPr>
            <w:tcW w:w="325" w:type="pct"/>
            <w:vAlign w:val="center"/>
          </w:tcPr>
          <w:p w14:paraId="4D2CCD52" w14:textId="3902101B" w:rsidR="00600DE0" w:rsidRDefault="00600DE0" w:rsidP="00B11C82">
            <w:pPr>
              <w:adjustRightInd w:val="0"/>
              <w:snapToGrid w:val="0"/>
              <w:jc w:val="center"/>
              <w:rPr>
                <w:lang w:bidi="ar"/>
              </w:rPr>
            </w:pPr>
            <w:r>
              <w:rPr>
                <w:rFonts w:hint="eastAsia"/>
                <w:color w:val="000000"/>
                <w:sz w:val="22"/>
                <w:szCs w:val="22"/>
              </w:rPr>
              <w:t>/</w:t>
            </w:r>
          </w:p>
        </w:tc>
        <w:tc>
          <w:tcPr>
            <w:tcW w:w="333" w:type="pct"/>
            <w:vAlign w:val="center"/>
          </w:tcPr>
          <w:p w14:paraId="4ACDAD56" w14:textId="1F30B8A6"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87" w:type="pct"/>
            <w:vAlign w:val="center"/>
          </w:tcPr>
          <w:p w14:paraId="4F7FA152" w14:textId="2B286DCE"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48" w:type="pct"/>
            <w:vAlign w:val="center"/>
          </w:tcPr>
          <w:p w14:paraId="6E5CA1E6" w14:textId="490945D6"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47" w:type="pct"/>
            <w:vAlign w:val="center"/>
          </w:tcPr>
          <w:p w14:paraId="72BBEFF5" w14:textId="03C8FFF5"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87" w:type="pct"/>
            <w:vAlign w:val="center"/>
          </w:tcPr>
          <w:p w14:paraId="2EF19080" w14:textId="51100BFB"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49" w:type="pct"/>
            <w:vAlign w:val="center"/>
          </w:tcPr>
          <w:p w14:paraId="04415A24" w14:textId="6FA87BF0"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954" w:type="pct"/>
            <w:vAlign w:val="center"/>
          </w:tcPr>
          <w:p w14:paraId="5A2BD02C" w14:textId="2DA7ABA3" w:rsidR="00600DE0" w:rsidRDefault="00600DE0"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93" w:type="pct"/>
            <w:vMerge/>
            <w:vAlign w:val="center"/>
          </w:tcPr>
          <w:p w14:paraId="5DDE118F" w14:textId="77777777" w:rsidR="00600DE0" w:rsidRDefault="00600DE0" w:rsidP="00B11C82">
            <w:pPr>
              <w:adjustRightInd w:val="0"/>
              <w:snapToGrid w:val="0"/>
              <w:jc w:val="center"/>
            </w:pPr>
          </w:p>
        </w:tc>
      </w:tr>
      <w:tr w:rsidR="00B11C82" w14:paraId="7D0E6249" w14:textId="77777777" w:rsidTr="00600DE0">
        <w:trPr>
          <w:trHeight w:val="57"/>
          <w:jc w:val="center"/>
        </w:trPr>
        <w:tc>
          <w:tcPr>
            <w:tcW w:w="466" w:type="pct"/>
            <w:vAlign w:val="center"/>
          </w:tcPr>
          <w:p w14:paraId="7DF5005C" w14:textId="5BE0C34A" w:rsidR="00B11C82" w:rsidRDefault="00B11C82" w:rsidP="004A2F7D">
            <w:pPr>
              <w:adjustRightInd w:val="0"/>
              <w:snapToGrid w:val="0"/>
              <w:jc w:val="center"/>
            </w:pPr>
            <w:r>
              <w:t>䓛</w:t>
            </w:r>
          </w:p>
        </w:tc>
        <w:tc>
          <w:tcPr>
            <w:tcW w:w="325" w:type="pct"/>
            <w:vAlign w:val="center"/>
          </w:tcPr>
          <w:p w14:paraId="316F4F31" w14:textId="7C1112ED" w:rsidR="00B11C82" w:rsidRDefault="00B11C82" w:rsidP="004A2F7D">
            <w:pPr>
              <w:adjustRightInd w:val="0"/>
              <w:snapToGrid w:val="0"/>
              <w:jc w:val="center"/>
              <w:rPr>
                <w:bCs/>
              </w:rPr>
            </w:pPr>
            <w:r>
              <w:rPr>
                <w:lang w:bidi="ar"/>
              </w:rPr>
              <w:t>0.1L</w:t>
            </w:r>
          </w:p>
        </w:tc>
        <w:tc>
          <w:tcPr>
            <w:tcW w:w="387" w:type="pct"/>
            <w:vAlign w:val="center"/>
          </w:tcPr>
          <w:p w14:paraId="163DC732" w14:textId="20B6B516" w:rsidR="00B11C82" w:rsidRDefault="00B11C82" w:rsidP="004A2F7D">
            <w:pPr>
              <w:adjustRightInd w:val="0"/>
              <w:snapToGrid w:val="0"/>
              <w:jc w:val="center"/>
              <w:rPr>
                <w:bCs/>
              </w:rPr>
            </w:pPr>
            <w:r>
              <w:rPr>
                <w:lang w:bidi="ar"/>
              </w:rPr>
              <w:t>0.1L</w:t>
            </w:r>
          </w:p>
        </w:tc>
        <w:tc>
          <w:tcPr>
            <w:tcW w:w="325" w:type="pct"/>
            <w:vAlign w:val="center"/>
          </w:tcPr>
          <w:p w14:paraId="5B0F8C13" w14:textId="6DA6EFB8" w:rsidR="00B11C82" w:rsidRDefault="00B11C82" w:rsidP="004A2F7D">
            <w:pPr>
              <w:adjustRightInd w:val="0"/>
              <w:snapToGrid w:val="0"/>
              <w:jc w:val="center"/>
              <w:rPr>
                <w:bCs/>
              </w:rPr>
            </w:pPr>
            <w:r>
              <w:rPr>
                <w:lang w:bidi="ar"/>
              </w:rPr>
              <w:t>0.1L</w:t>
            </w:r>
          </w:p>
        </w:tc>
        <w:tc>
          <w:tcPr>
            <w:tcW w:w="333" w:type="pct"/>
            <w:vAlign w:val="center"/>
          </w:tcPr>
          <w:p w14:paraId="7E7D969B" w14:textId="35E44AE1" w:rsidR="00B11C82" w:rsidRDefault="00B11C82"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bidi="ar"/>
              </w:rPr>
              <w:t>0.1L</w:t>
            </w:r>
          </w:p>
        </w:tc>
        <w:tc>
          <w:tcPr>
            <w:tcW w:w="387" w:type="pct"/>
            <w:vAlign w:val="center"/>
          </w:tcPr>
          <w:p w14:paraId="3307B31E" w14:textId="715D7582" w:rsidR="00B11C82" w:rsidRDefault="00B11C82"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bidi="ar"/>
              </w:rPr>
              <w:t>0.1L</w:t>
            </w:r>
          </w:p>
        </w:tc>
        <w:tc>
          <w:tcPr>
            <w:tcW w:w="348" w:type="pct"/>
            <w:vAlign w:val="center"/>
          </w:tcPr>
          <w:p w14:paraId="496F54A6" w14:textId="157213C3" w:rsidR="00B11C82" w:rsidRDefault="00B11C82"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bidi="ar"/>
              </w:rPr>
              <w:t>0.1L</w:t>
            </w:r>
          </w:p>
        </w:tc>
        <w:tc>
          <w:tcPr>
            <w:tcW w:w="347" w:type="pct"/>
            <w:vAlign w:val="center"/>
          </w:tcPr>
          <w:p w14:paraId="4F0F3A79" w14:textId="5A0FAA61" w:rsidR="00B11C82" w:rsidRDefault="00B11C82"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bidi="ar"/>
              </w:rPr>
              <w:t>0.1L</w:t>
            </w:r>
          </w:p>
        </w:tc>
        <w:tc>
          <w:tcPr>
            <w:tcW w:w="387" w:type="pct"/>
            <w:vAlign w:val="center"/>
          </w:tcPr>
          <w:p w14:paraId="16430974" w14:textId="246040F6" w:rsidR="00B11C82" w:rsidRDefault="00B11C82"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bidi="ar"/>
              </w:rPr>
              <w:t>0.1L</w:t>
            </w:r>
          </w:p>
        </w:tc>
        <w:tc>
          <w:tcPr>
            <w:tcW w:w="349" w:type="pct"/>
            <w:vAlign w:val="center"/>
          </w:tcPr>
          <w:p w14:paraId="24CE6449" w14:textId="39CD78B2" w:rsidR="00B11C82" w:rsidRDefault="00B11C82"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bidi="ar"/>
              </w:rPr>
              <w:t>0.1L</w:t>
            </w:r>
          </w:p>
        </w:tc>
        <w:tc>
          <w:tcPr>
            <w:tcW w:w="954" w:type="pct"/>
            <w:vAlign w:val="center"/>
          </w:tcPr>
          <w:p w14:paraId="1CEA0064" w14:textId="66B4978A" w:rsidR="00B11C82" w:rsidRDefault="00B11C82" w:rsidP="004A2F7D">
            <w:pPr>
              <w:pStyle w:val="TableText"/>
              <w:adjustRightInd w:val="0"/>
              <w:snapToGrid w:val="0"/>
              <w:jc w:val="center"/>
              <w:rPr>
                <w:rFonts w:ascii="Times New Roman" w:hAnsi="Times New Roman" w:cs="Times New Roman"/>
              </w:rPr>
            </w:pPr>
            <w:r>
              <w:rPr>
                <w:rFonts w:ascii="Times New Roman" w:hAnsi="Times New Roman" w:cs="Times New Roman"/>
                <w:lang w:eastAsia="zh-CN" w:bidi="ar"/>
              </w:rPr>
              <w:t>0.1L</w:t>
            </w:r>
          </w:p>
        </w:tc>
        <w:tc>
          <w:tcPr>
            <w:tcW w:w="393" w:type="pct"/>
            <w:vMerge w:val="restart"/>
            <w:vAlign w:val="center"/>
          </w:tcPr>
          <w:p w14:paraId="581DB4D3" w14:textId="755150BC" w:rsidR="00B11C82" w:rsidRDefault="00B11C82" w:rsidP="004A2F7D">
            <w:pPr>
              <w:adjustRightInd w:val="0"/>
              <w:snapToGrid w:val="0"/>
              <w:jc w:val="center"/>
              <w:rPr>
                <w:bCs/>
              </w:rPr>
            </w:pPr>
            <w:r>
              <w:rPr>
                <w:rFonts w:hint="eastAsia"/>
              </w:rPr>
              <w:t>1293</w:t>
            </w:r>
          </w:p>
        </w:tc>
      </w:tr>
      <w:tr w:rsidR="00B11C82" w14:paraId="43D8FB79" w14:textId="77777777" w:rsidTr="00600DE0">
        <w:trPr>
          <w:trHeight w:val="57"/>
          <w:jc w:val="center"/>
        </w:trPr>
        <w:tc>
          <w:tcPr>
            <w:tcW w:w="466" w:type="pct"/>
            <w:vAlign w:val="center"/>
          </w:tcPr>
          <w:p w14:paraId="5DBC0444" w14:textId="6F00C6BB" w:rsidR="00B11C82" w:rsidRDefault="00600DE0" w:rsidP="00B11C82">
            <w:pPr>
              <w:adjustRightInd w:val="0"/>
              <w:snapToGrid w:val="0"/>
              <w:jc w:val="center"/>
            </w:pPr>
            <w:r>
              <w:rPr>
                <w:rFonts w:hint="eastAsia"/>
              </w:rPr>
              <w:t>标准指数</w:t>
            </w:r>
          </w:p>
        </w:tc>
        <w:tc>
          <w:tcPr>
            <w:tcW w:w="325" w:type="pct"/>
            <w:vAlign w:val="center"/>
          </w:tcPr>
          <w:p w14:paraId="10FC934D" w14:textId="1F88C295" w:rsidR="00B11C82" w:rsidRDefault="00B11C82" w:rsidP="00B11C82">
            <w:pPr>
              <w:adjustRightInd w:val="0"/>
              <w:snapToGrid w:val="0"/>
              <w:jc w:val="center"/>
              <w:rPr>
                <w:lang w:bidi="ar"/>
              </w:rPr>
            </w:pPr>
            <w:r>
              <w:rPr>
                <w:rFonts w:hint="eastAsia"/>
                <w:color w:val="000000"/>
                <w:sz w:val="22"/>
                <w:szCs w:val="22"/>
              </w:rPr>
              <w:t>/</w:t>
            </w:r>
          </w:p>
        </w:tc>
        <w:tc>
          <w:tcPr>
            <w:tcW w:w="387" w:type="pct"/>
            <w:vAlign w:val="center"/>
          </w:tcPr>
          <w:p w14:paraId="44ABA858" w14:textId="5C9D98C2" w:rsidR="00B11C82" w:rsidRDefault="00B11C82" w:rsidP="00B11C82">
            <w:pPr>
              <w:adjustRightInd w:val="0"/>
              <w:snapToGrid w:val="0"/>
              <w:jc w:val="center"/>
              <w:rPr>
                <w:lang w:bidi="ar"/>
              </w:rPr>
            </w:pPr>
            <w:r>
              <w:rPr>
                <w:rFonts w:hint="eastAsia"/>
                <w:color w:val="000000"/>
                <w:sz w:val="22"/>
                <w:szCs w:val="22"/>
              </w:rPr>
              <w:t>/</w:t>
            </w:r>
          </w:p>
        </w:tc>
        <w:tc>
          <w:tcPr>
            <w:tcW w:w="325" w:type="pct"/>
            <w:vAlign w:val="center"/>
          </w:tcPr>
          <w:p w14:paraId="08661ABA" w14:textId="24FA3806" w:rsidR="00B11C82" w:rsidRDefault="00B11C82" w:rsidP="00B11C82">
            <w:pPr>
              <w:adjustRightInd w:val="0"/>
              <w:snapToGrid w:val="0"/>
              <w:jc w:val="center"/>
              <w:rPr>
                <w:lang w:bidi="ar"/>
              </w:rPr>
            </w:pPr>
            <w:r>
              <w:rPr>
                <w:rFonts w:hint="eastAsia"/>
                <w:color w:val="000000"/>
                <w:sz w:val="22"/>
                <w:szCs w:val="22"/>
              </w:rPr>
              <w:t>/</w:t>
            </w:r>
          </w:p>
        </w:tc>
        <w:tc>
          <w:tcPr>
            <w:tcW w:w="333" w:type="pct"/>
            <w:vAlign w:val="center"/>
          </w:tcPr>
          <w:p w14:paraId="501C147B" w14:textId="2E440716" w:rsidR="00B11C82" w:rsidRDefault="00B11C82"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87" w:type="pct"/>
            <w:vAlign w:val="center"/>
          </w:tcPr>
          <w:p w14:paraId="604A9463" w14:textId="02D0A6B8" w:rsidR="00B11C82" w:rsidRDefault="00B11C82"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48" w:type="pct"/>
            <w:vAlign w:val="center"/>
          </w:tcPr>
          <w:p w14:paraId="282B94C6" w14:textId="19989E83" w:rsidR="00B11C82" w:rsidRDefault="00B11C82"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47" w:type="pct"/>
            <w:vAlign w:val="center"/>
          </w:tcPr>
          <w:p w14:paraId="2AF73E9B" w14:textId="0F05CDE1" w:rsidR="00B11C82" w:rsidRDefault="00B11C82"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87" w:type="pct"/>
            <w:vAlign w:val="center"/>
          </w:tcPr>
          <w:p w14:paraId="6A298F81" w14:textId="6CB7E363" w:rsidR="00B11C82" w:rsidRDefault="00B11C82"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49" w:type="pct"/>
            <w:vAlign w:val="center"/>
          </w:tcPr>
          <w:p w14:paraId="577347D7" w14:textId="659B4513" w:rsidR="00B11C82" w:rsidRDefault="00B11C82"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954" w:type="pct"/>
            <w:vAlign w:val="center"/>
          </w:tcPr>
          <w:p w14:paraId="7C97E63B" w14:textId="10B5CA57" w:rsidR="00B11C82" w:rsidRDefault="00B11C82"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93" w:type="pct"/>
            <w:vMerge/>
            <w:vAlign w:val="center"/>
          </w:tcPr>
          <w:p w14:paraId="6A68718C" w14:textId="77777777" w:rsidR="00B11C82" w:rsidRDefault="00B11C82" w:rsidP="00B11C82">
            <w:pPr>
              <w:adjustRightInd w:val="0"/>
              <w:snapToGrid w:val="0"/>
              <w:jc w:val="center"/>
            </w:pPr>
          </w:p>
        </w:tc>
      </w:tr>
      <w:tr w:rsidR="00B11C82" w14:paraId="224E914C" w14:textId="77777777" w:rsidTr="00600DE0">
        <w:trPr>
          <w:trHeight w:val="57"/>
          <w:jc w:val="center"/>
        </w:trPr>
        <w:tc>
          <w:tcPr>
            <w:tcW w:w="466" w:type="pct"/>
            <w:vAlign w:val="center"/>
          </w:tcPr>
          <w:p w14:paraId="2BDD9836" w14:textId="58B0CBEB" w:rsidR="00B11C82" w:rsidRDefault="00B11C82" w:rsidP="004A2F7D">
            <w:pPr>
              <w:adjustRightInd w:val="0"/>
              <w:snapToGrid w:val="0"/>
              <w:jc w:val="center"/>
            </w:pPr>
            <w:r>
              <w:t>二苯并</w:t>
            </w:r>
            <w:r>
              <w:t>[a</w:t>
            </w:r>
            <w:r>
              <w:t>，</w:t>
            </w:r>
            <w:r>
              <w:t>h]</w:t>
            </w:r>
            <w:r>
              <w:t>蒽</w:t>
            </w:r>
          </w:p>
        </w:tc>
        <w:tc>
          <w:tcPr>
            <w:tcW w:w="325" w:type="pct"/>
            <w:vAlign w:val="center"/>
          </w:tcPr>
          <w:p w14:paraId="7CBD6150" w14:textId="713520A8" w:rsidR="00B11C82" w:rsidRDefault="00B11C82" w:rsidP="004A2F7D">
            <w:pPr>
              <w:adjustRightInd w:val="0"/>
              <w:snapToGrid w:val="0"/>
              <w:jc w:val="center"/>
              <w:rPr>
                <w:bCs/>
              </w:rPr>
            </w:pPr>
            <w:r>
              <w:rPr>
                <w:lang w:bidi="ar"/>
              </w:rPr>
              <w:t>0.1L</w:t>
            </w:r>
          </w:p>
        </w:tc>
        <w:tc>
          <w:tcPr>
            <w:tcW w:w="387" w:type="pct"/>
            <w:vAlign w:val="center"/>
          </w:tcPr>
          <w:p w14:paraId="084B47C1" w14:textId="19CDD874" w:rsidR="00B11C82" w:rsidRDefault="00B11C82" w:rsidP="004A2F7D">
            <w:pPr>
              <w:adjustRightInd w:val="0"/>
              <w:snapToGrid w:val="0"/>
              <w:jc w:val="center"/>
              <w:rPr>
                <w:bCs/>
              </w:rPr>
            </w:pPr>
            <w:r>
              <w:rPr>
                <w:lang w:bidi="ar"/>
              </w:rPr>
              <w:t>0.1L</w:t>
            </w:r>
          </w:p>
        </w:tc>
        <w:tc>
          <w:tcPr>
            <w:tcW w:w="325" w:type="pct"/>
            <w:vAlign w:val="center"/>
          </w:tcPr>
          <w:p w14:paraId="4B0C7D2C" w14:textId="4E5DE28C" w:rsidR="00B11C82" w:rsidRDefault="00B11C82" w:rsidP="004A2F7D">
            <w:pPr>
              <w:adjustRightInd w:val="0"/>
              <w:snapToGrid w:val="0"/>
              <w:jc w:val="center"/>
              <w:rPr>
                <w:bCs/>
              </w:rPr>
            </w:pPr>
            <w:r>
              <w:rPr>
                <w:lang w:bidi="ar"/>
              </w:rPr>
              <w:t>0.1L</w:t>
            </w:r>
          </w:p>
        </w:tc>
        <w:tc>
          <w:tcPr>
            <w:tcW w:w="333" w:type="pct"/>
            <w:vAlign w:val="center"/>
          </w:tcPr>
          <w:p w14:paraId="392AD475" w14:textId="6F43ECF7" w:rsidR="00B11C82" w:rsidRDefault="00B11C82"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bidi="ar"/>
              </w:rPr>
              <w:t>0.1L</w:t>
            </w:r>
          </w:p>
        </w:tc>
        <w:tc>
          <w:tcPr>
            <w:tcW w:w="387" w:type="pct"/>
            <w:vAlign w:val="center"/>
          </w:tcPr>
          <w:p w14:paraId="3B254D51" w14:textId="7B084C0D" w:rsidR="00B11C82" w:rsidRDefault="00B11C82"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bidi="ar"/>
              </w:rPr>
              <w:t>0.1L</w:t>
            </w:r>
          </w:p>
        </w:tc>
        <w:tc>
          <w:tcPr>
            <w:tcW w:w="348" w:type="pct"/>
            <w:vAlign w:val="center"/>
          </w:tcPr>
          <w:p w14:paraId="2113FAD6" w14:textId="16A27AFB" w:rsidR="00B11C82" w:rsidRDefault="00B11C82"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bidi="ar"/>
              </w:rPr>
              <w:t>0.1L</w:t>
            </w:r>
          </w:p>
        </w:tc>
        <w:tc>
          <w:tcPr>
            <w:tcW w:w="347" w:type="pct"/>
            <w:vAlign w:val="center"/>
          </w:tcPr>
          <w:p w14:paraId="168AB87D" w14:textId="73959DA9" w:rsidR="00B11C82" w:rsidRDefault="00B11C82"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bidi="ar"/>
              </w:rPr>
              <w:t>0.1L</w:t>
            </w:r>
          </w:p>
        </w:tc>
        <w:tc>
          <w:tcPr>
            <w:tcW w:w="387" w:type="pct"/>
            <w:vAlign w:val="center"/>
          </w:tcPr>
          <w:p w14:paraId="62D45798" w14:textId="7EA9A36F" w:rsidR="00B11C82" w:rsidRDefault="00B11C82"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bidi="ar"/>
              </w:rPr>
              <w:t>0.1L</w:t>
            </w:r>
          </w:p>
        </w:tc>
        <w:tc>
          <w:tcPr>
            <w:tcW w:w="349" w:type="pct"/>
            <w:vAlign w:val="center"/>
          </w:tcPr>
          <w:p w14:paraId="0731474D" w14:textId="28E8FCD3" w:rsidR="00B11C82" w:rsidRDefault="00B11C82"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bidi="ar"/>
              </w:rPr>
              <w:t>0.1L</w:t>
            </w:r>
          </w:p>
        </w:tc>
        <w:tc>
          <w:tcPr>
            <w:tcW w:w="954" w:type="pct"/>
            <w:vAlign w:val="center"/>
          </w:tcPr>
          <w:p w14:paraId="088909BA" w14:textId="11595480" w:rsidR="00B11C82" w:rsidRDefault="00B11C82" w:rsidP="004A2F7D">
            <w:pPr>
              <w:pStyle w:val="TableText"/>
              <w:adjustRightInd w:val="0"/>
              <w:snapToGrid w:val="0"/>
              <w:jc w:val="center"/>
              <w:rPr>
                <w:rFonts w:ascii="Times New Roman" w:hAnsi="Times New Roman" w:cs="Times New Roman"/>
              </w:rPr>
            </w:pPr>
            <w:r>
              <w:rPr>
                <w:rFonts w:ascii="Times New Roman" w:hAnsi="Times New Roman" w:cs="Times New Roman"/>
                <w:lang w:eastAsia="zh-CN" w:bidi="ar"/>
              </w:rPr>
              <w:t>0.1L</w:t>
            </w:r>
          </w:p>
        </w:tc>
        <w:tc>
          <w:tcPr>
            <w:tcW w:w="393" w:type="pct"/>
            <w:vMerge w:val="restart"/>
            <w:vAlign w:val="center"/>
          </w:tcPr>
          <w:p w14:paraId="0C46D341" w14:textId="68FDDDD5" w:rsidR="00B11C82" w:rsidRDefault="00B11C82" w:rsidP="004A2F7D">
            <w:pPr>
              <w:adjustRightInd w:val="0"/>
              <w:snapToGrid w:val="0"/>
              <w:jc w:val="center"/>
              <w:rPr>
                <w:bCs/>
              </w:rPr>
            </w:pPr>
            <w:r>
              <w:rPr>
                <w:rFonts w:hint="eastAsia"/>
              </w:rPr>
              <w:t>1.5</w:t>
            </w:r>
          </w:p>
        </w:tc>
      </w:tr>
      <w:tr w:rsidR="00B11C82" w14:paraId="0757F75F" w14:textId="77777777" w:rsidTr="00600DE0">
        <w:trPr>
          <w:trHeight w:val="57"/>
          <w:jc w:val="center"/>
        </w:trPr>
        <w:tc>
          <w:tcPr>
            <w:tcW w:w="466" w:type="pct"/>
            <w:vAlign w:val="center"/>
          </w:tcPr>
          <w:p w14:paraId="190FEDED" w14:textId="0BD4DF16" w:rsidR="00B11C82" w:rsidRDefault="00600DE0" w:rsidP="00B11C82">
            <w:pPr>
              <w:adjustRightInd w:val="0"/>
              <w:snapToGrid w:val="0"/>
              <w:jc w:val="center"/>
            </w:pPr>
            <w:r>
              <w:rPr>
                <w:rFonts w:hint="eastAsia"/>
              </w:rPr>
              <w:lastRenderedPageBreak/>
              <w:t>标准指数</w:t>
            </w:r>
          </w:p>
        </w:tc>
        <w:tc>
          <w:tcPr>
            <w:tcW w:w="325" w:type="pct"/>
            <w:vAlign w:val="center"/>
          </w:tcPr>
          <w:p w14:paraId="13275FA3" w14:textId="0A966C2E" w:rsidR="00B11C82" w:rsidRDefault="00B11C82" w:rsidP="00B11C82">
            <w:pPr>
              <w:adjustRightInd w:val="0"/>
              <w:snapToGrid w:val="0"/>
              <w:jc w:val="center"/>
              <w:rPr>
                <w:lang w:bidi="ar"/>
              </w:rPr>
            </w:pPr>
            <w:r>
              <w:rPr>
                <w:rFonts w:hint="eastAsia"/>
                <w:color w:val="000000"/>
                <w:sz w:val="22"/>
                <w:szCs w:val="22"/>
              </w:rPr>
              <w:t>/</w:t>
            </w:r>
          </w:p>
        </w:tc>
        <w:tc>
          <w:tcPr>
            <w:tcW w:w="387" w:type="pct"/>
            <w:vAlign w:val="center"/>
          </w:tcPr>
          <w:p w14:paraId="688CAF14" w14:textId="47C0D682" w:rsidR="00B11C82" w:rsidRDefault="00B11C82" w:rsidP="00B11C82">
            <w:pPr>
              <w:adjustRightInd w:val="0"/>
              <w:snapToGrid w:val="0"/>
              <w:jc w:val="center"/>
              <w:rPr>
                <w:lang w:bidi="ar"/>
              </w:rPr>
            </w:pPr>
            <w:r>
              <w:rPr>
                <w:rFonts w:hint="eastAsia"/>
                <w:color w:val="000000"/>
                <w:sz w:val="22"/>
                <w:szCs w:val="22"/>
              </w:rPr>
              <w:t>/</w:t>
            </w:r>
          </w:p>
        </w:tc>
        <w:tc>
          <w:tcPr>
            <w:tcW w:w="325" w:type="pct"/>
            <w:vAlign w:val="center"/>
          </w:tcPr>
          <w:p w14:paraId="78257B50" w14:textId="4BF2231A" w:rsidR="00B11C82" w:rsidRDefault="00B11C82" w:rsidP="00B11C82">
            <w:pPr>
              <w:adjustRightInd w:val="0"/>
              <w:snapToGrid w:val="0"/>
              <w:jc w:val="center"/>
              <w:rPr>
                <w:lang w:bidi="ar"/>
              </w:rPr>
            </w:pPr>
            <w:r>
              <w:rPr>
                <w:rFonts w:hint="eastAsia"/>
                <w:color w:val="000000"/>
                <w:sz w:val="22"/>
                <w:szCs w:val="22"/>
              </w:rPr>
              <w:t>/</w:t>
            </w:r>
          </w:p>
        </w:tc>
        <w:tc>
          <w:tcPr>
            <w:tcW w:w="333" w:type="pct"/>
            <w:vAlign w:val="center"/>
          </w:tcPr>
          <w:p w14:paraId="50F89F3A" w14:textId="2339692D" w:rsidR="00B11C82" w:rsidRDefault="00B11C82"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87" w:type="pct"/>
            <w:vAlign w:val="center"/>
          </w:tcPr>
          <w:p w14:paraId="6D0154F3" w14:textId="6C8496D2" w:rsidR="00B11C82" w:rsidRDefault="00B11C82"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48" w:type="pct"/>
            <w:vAlign w:val="center"/>
          </w:tcPr>
          <w:p w14:paraId="6724E928" w14:textId="359AEE53" w:rsidR="00B11C82" w:rsidRDefault="00B11C82"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47" w:type="pct"/>
            <w:vAlign w:val="center"/>
          </w:tcPr>
          <w:p w14:paraId="0E119F8A" w14:textId="13B5BFB2" w:rsidR="00B11C82" w:rsidRDefault="00B11C82"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87" w:type="pct"/>
            <w:vAlign w:val="center"/>
          </w:tcPr>
          <w:p w14:paraId="55223C36" w14:textId="3E87C577" w:rsidR="00B11C82" w:rsidRDefault="00B11C82"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49" w:type="pct"/>
            <w:vAlign w:val="center"/>
          </w:tcPr>
          <w:p w14:paraId="1D6CBD9C" w14:textId="79AF29BD" w:rsidR="00B11C82" w:rsidRDefault="00B11C82"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954" w:type="pct"/>
            <w:vAlign w:val="center"/>
          </w:tcPr>
          <w:p w14:paraId="6FB2C2EA" w14:textId="4FE12AC0" w:rsidR="00B11C82" w:rsidRDefault="00B11C82"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93" w:type="pct"/>
            <w:vMerge/>
            <w:vAlign w:val="center"/>
          </w:tcPr>
          <w:p w14:paraId="37EC8285" w14:textId="77777777" w:rsidR="00B11C82" w:rsidRDefault="00B11C82" w:rsidP="00B11C82">
            <w:pPr>
              <w:adjustRightInd w:val="0"/>
              <w:snapToGrid w:val="0"/>
              <w:jc w:val="center"/>
            </w:pPr>
          </w:p>
        </w:tc>
      </w:tr>
      <w:tr w:rsidR="00B11C82" w14:paraId="7ED1896A" w14:textId="77777777" w:rsidTr="00600DE0">
        <w:trPr>
          <w:trHeight w:val="57"/>
          <w:jc w:val="center"/>
        </w:trPr>
        <w:tc>
          <w:tcPr>
            <w:tcW w:w="466" w:type="pct"/>
            <w:vAlign w:val="center"/>
          </w:tcPr>
          <w:p w14:paraId="3B28C6DC" w14:textId="118BCEA4" w:rsidR="00B11C82" w:rsidRDefault="00B11C82" w:rsidP="004A2F7D">
            <w:pPr>
              <w:adjustRightInd w:val="0"/>
              <w:snapToGrid w:val="0"/>
              <w:jc w:val="center"/>
            </w:pPr>
            <w:r>
              <w:t>茚并</w:t>
            </w:r>
            <w:r>
              <w:t>[1,2,3-c</w:t>
            </w:r>
            <w:r>
              <w:t>，</w:t>
            </w:r>
            <w:r>
              <w:t>d]</w:t>
            </w:r>
            <w:r>
              <w:t>芘</w:t>
            </w:r>
          </w:p>
        </w:tc>
        <w:tc>
          <w:tcPr>
            <w:tcW w:w="325" w:type="pct"/>
            <w:vAlign w:val="center"/>
          </w:tcPr>
          <w:p w14:paraId="0C320E1B" w14:textId="73B903EE" w:rsidR="00B11C82" w:rsidRDefault="00B11C82" w:rsidP="004A2F7D">
            <w:pPr>
              <w:adjustRightInd w:val="0"/>
              <w:snapToGrid w:val="0"/>
              <w:jc w:val="center"/>
              <w:rPr>
                <w:bCs/>
              </w:rPr>
            </w:pPr>
            <w:r>
              <w:rPr>
                <w:lang w:bidi="ar"/>
              </w:rPr>
              <w:t>0.1L</w:t>
            </w:r>
          </w:p>
        </w:tc>
        <w:tc>
          <w:tcPr>
            <w:tcW w:w="387" w:type="pct"/>
            <w:vAlign w:val="center"/>
          </w:tcPr>
          <w:p w14:paraId="7753D787" w14:textId="668D1CDD" w:rsidR="00B11C82" w:rsidRDefault="00B11C82" w:rsidP="004A2F7D">
            <w:pPr>
              <w:adjustRightInd w:val="0"/>
              <w:snapToGrid w:val="0"/>
              <w:jc w:val="center"/>
              <w:rPr>
                <w:bCs/>
              </w:rPr>
            </w:pPr>
            <w:r>
              <w:rPr>
                <w:lang w:bidi="ar"/>
              </w:rPr>
              <w:t>0.1L</w:t>
            </w:r>
          </w:p>
        </w:tc>
        <w:tc>
          <w:tcPr>
            <w:tcW w:w="325" w:type="pct"/>
            <w:vAlign w:val="center"/>
          </w:tcPr>
          <w:p w14:paraId="66805F4F" w14:textId="66EE700F" w:rsidR="00B11C82" w:rsidRDefault="00B11C82" w:rsidP="004A2F7D">
            <w:pPr>
              <w:adjustRightInd w:val="0"/>
              <w:snapToGrid w:val="0"/>
              <w:jc w:val="center"/>
              <w:rPr>
                <w:bCs/>
              </w:rPr>
            </w:pPr>
            <w:r>
              <w:rPr>
                <w:lang w:bidi="ar"/>
              </w:rPr>
              <w:t>0.1L</w:t>
            </w:r>
          </w:p>
        </w:tc>
        <w:tc>
          <w:tcPr>
            <w:tcW w:w="333" w:type="pct"/>
            <w:vAlign w:val="center"/>
          </w:tcPr>
          <w:p w14:paraId="65D550E8" w14:textId="358C0C93" w:rsidR="00B11C82" w:rsidRDefault="00B11C82"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bidi="ar"/>
              </w:rPr>
              <w:t>0.1L</w:t>
            </w:r>
          </w:p>
        </w:tc>
        <w:tc>
          <w:tcPr>
            <w:tcW w:w="387" w:type="pct"/>
            <w:vAlign w:val="center"/>
          </w:tcPr>
          <w:p w14:paraId="438DD41C" w14:textId="05D71DC5" w:rsidR="00B11C82" w:rsidRDefault="00B11C82"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bidi="ar"/>
              </w:rPr>
              <w:t>0.1L</w:t>
            </w:r>
          </w:p>
        </w:tc>
        <w:tc>
          <w:tcPr>
            <w:tcW w:w="348" w:type="pct"/>
            <w:vAlign w:val="center"/>
          </w:tcPr>
          <w:p w14:paraId="330F0B5E" w14:textId="49745749" w:rsidR="00B11C82" w:rsidRDefault="00B11C82"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bidi="ar"/>
              </w:rPr>
              <w:t>0.1L</w:t>
            </w:r>
          </w:p>
        </w:tc>
        <w:tc>
          <w:tcPr>
            <w:tcW w:w="347" w:type="pct"/>
            <w:vAlign w:val="center"/>
          </w:tcPr>
          <w:p w14:paraId="6333DCC7" w14:textId="343FFEED" w:rsidR="00B11C82" w:rsidRDefault="00B11C82"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bidi="ar"/>
              </w:rPr>
              <w:t>0.1L</w:t>
            </w:r>
          </w:p>
        </w:tc>
        <w:tc>
          <w:tcPr>
            <w:tcW w:w="387" w:type="pct"/>
            <w:vAlign w:val="center"/>
          </w:tcPr>
          <w:p w14:paraId="57A9B102" w14:textId="70BF5B12" w:rsidR="00B11C82" w:rsidRDefault="00B11C82"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bidi="ar"/>
              </w:rPr>
              <w:t>0.1L</w:t>
            </w:r>
          </w:p>
        </w:tc>
        <w:tc>
          <w:tcPr>
            <w:tcW w:w="349" w:type="pct"/>
            <w:vAlign w:val="center"/>
          </w:tcPr>
          <w:p w14:paraId="23F87717" w14:textId="75CA86F0" w:rsidR="00B11C82" w:rsidRDefault="00B11C82"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bidi="ar"/>
              </w:rPr>
              <w:t>0.1L</w:t>
            </w:r>
          </w:p>
        </w:tc>
        <w:tc>
          <w:tcPr>
            <w:tcW w:w="954" w:type="pct"/>
            <w:vAlign w:val="center"/>
          </w:tcPr>
          <w:p w14:paraId="0DFD6D46" w14:textId="73112E6D" w:rsidR="00B11C82" w:rsidRDefault="00B11C82" w:rsidP="004A2F7D">
            <w:pPr>
              <w:pStyle w:val="TableText"/>
              <w:adjustRightInd w:val="0"/>
              <w:snapToGrid w:val="0"/>
              <w:jc w:val="center"/>
              <w:rPr>
                <w:rFonts w:ascii="Times New Roman" w:hAnsi="Times New Roman" w:cs="Times New Roman"/>
              </w:rPr>
            </w:pPr>
            <w:r>
              <w:rPr>
                <w:rFonts w:ascii="Times New Roman" w:hAnsi="Times New Roman" w:cs="Times New Roman"/>
                <w:lang w:eastAsia="zh-CN" w:bidi="ar"/>
              </w:rPr>
              <w:t>0.1L</w:t>
            </w:r>
          </w:p>
        </w:tc>
        <w:tc>
          <w:tcPr>
            <w:tcW w:w="393" w:type="pct"/>
            <w:vMerge w:val="restart"/>
            <w:vAlign w:val="center"/>
          </w:tcPr>
          <w:p w14:paraId="4E55C795" w14:textId="628D386A" w:rsidR="00B11C82" w:rsidRDefault="00B11C82" w:rsidP="004A2F7D">
            <w:pPr>
              <w:adjustRightInd w:val="0"/>
              <w:snapToGrid w:val="0"/>
              <w:jc w:val="center"/>
              <w:rPr>
                <w:bCs/>
              </w:rPr>
            </w:pPr>
            <w:r>
              <w:rPr>
                <w:rFonts w:hint="eastAsia"/>
              </w:rPr>
              <w:t>15</w:t>
            </w:r>
          </w:p>
        </w:tc>
      </w:tr>
      <w:tr w:rsidR="00B11C82" w14:paraId="41ED62F5" w14:textId="77777777" w:rsidTr="00600DE0">
        <w:trPr>
          <w:trHeight w:val="57"/>
          <w:jc w:val="center"/>
        </w:trPr>
        <w:tc>
          <w:tcPr>
            <w:tcW w:w="466" w:type="pct"/>
            <w:vAlign w:val="center"/>
          </w:tcPr>
          <w:p w14:paraId="5160D1B1" w14:textId="007EF8E2" w:rsidR="00B11C82" w:rsidRDefault="00600DE0" w:rsidP="00B11C82">
            <w:pPr>
              <w:adjustRightInd w:val="0"/>
              <w:snapToGrid w:val="0"/>
              <w:jc w:val="center"/>
            </w:pPr>
            <w:r>
              <w:rPr>
                <w:rFonts w:hint="eastAsia"/>
              </w:rPr>
              <w:t>标准指数</w:t>
            </w:r>
          </w:p>
        </w:tc>
        <w:tc>
          <w:tcPr>
            <w:tcW w:w="325" w:type="pct"/>
            <w:vAlign w:val="center"/>
          </w:tcPr>
          <w:p w14:paraId="0A595D8D" w14:textId="354726AA" w:rsidR="00B11C82" w:rsidRDefault="00B11C82" w:rsidP="00B11C82">
            <w:pPr>
              <w:adjustRightInd w:val="0"/>
              <w:snapToGrid w:val="0"/>
              <w:jc w:val="center"/>
              <w:rPr>
                <w:lang w:bidi="ar"/>
              </w:rPr>
            </w:pPr>
            <w:r>
              <w:rPr>
                <w:rFonts w:hint="eastAsia"/>
                <w:color w:val="000000"/>
                <w:sz w:val="22"/>
                <w:szCs w:val="22"/>
              </w:rPr>
              <w:t>/</w:t>
            </w:r>
          </w:p>
        </w:tc>
        <w:tc>
          <w:tcPr>
            <w:tcW w:w="387" w:type="pct"/>
            <w:vAlign w:val="center"/>
          </w:tcPr>
          <w:p w14:paraId="2166B36E" w14:textId="05A32679" w:rsidR="00B11C82" w:rsidRDefault="00B11C82" w:rsidP="00B11C82">
            <w:pPr>
              <w:adjustRightInd w:val="0"/>
              <w:snapToGrid w:val="0"/>
              <w:jc w:val="center"/>
              <w:rPr>
                <w:lang w:bidi="ar"/>
              </w:rPr>
            </w:pPr>
            <w:r>
              <w:rPr>
                <w:rFonts w:hint="eastAsia"/>
                <w:color w:val="000000"/>
                <w:sz w:val="22"/>
                <w:szCs w:val="22"/>
              </w:rPr>
              <w:t>/</w:t>
            </w:r>
          </w:p>
        </w:tc>
        <w:tc>
          <w:tcPr>
            <w:tcW w:w="325" w:type="pct"/>
            <w:vAlign w:val="center"/>
          </w:tcPr>
          <w:p w14:paraId="7BFE4831" w14:textId="5F0793D9" w:rsidR="00B11C82" w:rsidRDefault="00B11C82" w:rsidP="00B11C82">
            <w:pPr>
              <w:adjustRightInd w:val="0"/>
              <w:snapToGrid w:val="0"/>
              <w:jc w:val="center"/>
              <w:rPr>
                <w:lang w:bidi="ar"/>
              </w:rPr>
            </w:pPr>
            <w:r>
              <w:rPr>
                <w:rFonts w:hint="eastAsia"/>
                <w:color w:val="000000"/>
                <w:sz w:val="22"/>
                <w:szCs w:val="22"/>
              </w:rPr>
              <w:t>/</w:t>
            </w:r>
          </w:p>
        </w:tc>
        <w:tc>
          <w:tcPr>
            <w:tcW w:w="333" w:type="pct"/>
            <w:vAlign w:val="center"/>
          </w:tcPr>
          <w:p w14:paraId="652479B5" w14:textId="40BFC5E5" w:rsidR="00B11C82" w:rsidRDefault="00B11C82"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87" w:type="pct"/>
            <w:vAlign w:val="center"/>
          </w:tcPr>
          <w:p w14:paraId="435E02F9" w14:textId="1817C8C5" w:rsidR="00B11C82" w:rsidRDefault="00B11C82"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48" w:type="pct"/>
            <w:vAlign w:val="center"/>
          </w:tcPr>
          <w:p w14:paraId="08A4EBB8" w14:textId="637DFA97" w:rsidR="00B11C82" w:rsidRDefault="00B11C82"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47" w:type="pct"/>
            <w:vAlign w:val="center"/>
          </w:tcPr>
          <w:p w14:paraId="39F39C7B" w14:textId="73036891" w:rsidR="00B11C82" w:rsidRDefault="00B11C82"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87" w:type="pct"/>
            <w:vAlign w:val="center"/>
          </w:tcPr>
          <w:p w14:paraId="51C6DBB8" w14:textId="64CF6A3A" w:rsidR="00B11C82" w:rsidRDefault="00B11C82"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49" w:type="pct"/>
            <w:vAlign w:val="center"/>
          </w:tcPr>
          <w:p w14:paraId="54E81528" w14:textId="042B0E1D" w:rsidR="00B11C82" w:rsidRDefault="00B11C82"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954" w:type="pct"/>
            <w:vAlign w:val="center"/>
          </w:tcPr>
          <w:p w14:paraId="66808E46" w14:textId="02C91640" w:rsidR="00B11C82" w:rsidRDefault="00B11C82" w:rsidP="00B11C82">
            <w:pPr>
              <w:pStyle w:val="TableText"/>
              <w:adjustRightInd w:val="0"/>
              <w:snapToGrid w:val="0"/>
              <w:jc w:val="center"/>
              <w:rPr>
                <w:rFonts w:ascii="Times New Roman" w:hAnsi="Times New Roman" w:cs="Times New Roman"/>
                <w:lang w:eastAsia="zh-CN" w:bidi="ar"/>
              </w:rPr>
            </w:pPr>
            <w:r>
              <w:rPr>
                <w:rFonts w:hint="eastAsia"/>
                <w:color w:val="000000"/>
                <w:sz w:val="22"/>
                <w:szCs w:val="22"/>
              </w:rPr>
              <w:t>/</w:t>
            </w:r>
          </w:p>
        </w:tc>
        <w:tc>
          <w:tcPr>
            <w:tcW w:w="393" w:type="pct"/>
            <w:vMerge/>
            <w:vAlign w:val="center"/>
          </w:tcPr>
          <w:p w14:paraId="6CDEFF19" w14:textId="77777777" w:rsidR="00B11C82" w:rsidRDefault="00B11C82" w:rsidP="00B11C82">
            <w:pPr>
              <w:adjustRightInd w:val="0"/>
              <w:snapToGrid w:val="0"/>
              <w:jc w:val="center"/>
            </w:pPr>
          </w:p>
        </w:tc>
      </w:tr>
      <w:tr w:rsidR="00B11C82" w14:paraId="6F0A0CE9" w14:textId="77777777" w:rsidTr="00600DE0">
        <w:trPr>
          <w:trHeight w:val="57"/>
          <w:jc w:val="center"/>
        </w:trPr>
        <w:tc>
          <w:tcPr>
            <w:tcW w:w="466" w:type="pct"/>
            <w:vAlign w:val="center"/>
          </w:tcPr>
          <w:p w14:paraId="4791B6D8" w14:textId="3B831C01" w:rsidR="00B11C82" w:rsidRDefault="00B11C82" w:rsidP="004A2F7D">
            <w:pPr>
              <w:adjustRightInd w:val="0"/>
              <w:snapToGrid w:val="0"/>
              <w:jc w:val="center"/>
            </w:pPr>
            <w:r>
              <w:t>萘</w:t>
            </w:r>
          </w:p>
        </w:tc>
        <w:tc>
          <w:tcPr>
            <w:tcW w:w="325" w:type="pct"/>
            <w:vAlign w:val="center"/>
          </w:tcPr>
          <w:p w14:paraId="425F068F" w14:textId="74131195" w:rsidR="00B11C82" w:rsidRDefault="00B11C82" w:rsidP="004A2F7D">
            <w:pPr>
              <w:adjustRightInd w:val="0"/>
              <w:snapToGrid w:val="0"/>
              <w:jc w:val="center"/>
              <w:rPr>
                <w:bCs/>
              </w:rPr>
            </w:pPr>
            <w:r>
              <w:t>0.009L</w:t>
            </w:r>
          </w:p>
        </w:tc>
        <w:tc>
          <w:tcPr>
            <w:tcW w:w="387" w:type="pct"/>
            <w:vAlign w:val="center"/>
          </w:tcPr>
          <w:p w14:paraId="528B6501" w14:textId="19629D6C" w:rsidR="00B11C82" w:rsidRDefault="00B11C82" w:rsidP="004A2F7D">
            <w:pPr>
              <w:adjustRightInd w:val="0"/>
              <w:snapToGrid w:val="0"/>
              <w:jc w:val="center"/>
              <w:rPr>
                <w:bCs/>
              </w:rPr>
            </w:pPr>
            <w:r>
              <w:t>0.009L</w:t>
            </w:r>
          </w:p>
        </w:tc>
        <w:tc>
          <w:tcPr>
            <w:tcW w:w="325" w:type="pct"/>
            <w:vAlign w:val="center"/>
          </w:tcPr>
          <w:p w14:paraId="48AEB506" w14:textId="1DED1244" w:rsidR="00B11C82" w:rsidRDefault="00B11C82" w:rsidP="004A2F7D">
            <w:pPr>
              <w:adjustRightInd w:val="0"/>
              <w:snapToGrid w:val="0"/>
              <w:jc w:val="center"/>
              <w:rPr>
                <w:bCs/>
              </w:rPr>
            </w:pPr>
            <w:r>
              <w:t>0.009L</w:t>
            </w:r>
          </w:p>
        </w:tc>
        <w:tc>
          <w:tcPr>
            <w:tcW w:w="333" w:type="pct"/>
            <w:vAlign w:val="center"/>
          </w:tcPr>
          <w:p w14:paraId="716382F7" w14:textId="74BB872D" w:rsidR="00B11C82" w:rsidRDefault="00B11C82"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rPr>
              <w:t>0.009L</w:t>
            </w:r>
          </w:p>
        </w:tc>
        <w:tc>
          <w:tcPr>
            <w:tcW w:w="387" w:type="pct"/>
            <w:vAlign w:val="center"/>
          </w:tcPr>
          <w:p w14:paraId="11A42B21" w14:textId="31DFFE2E" w:rsidR="00B11C82" w:rsidRDefault="00B11C82"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rPr>
              <w:t>0.009L</w:t>
            </w:r>
          </w:p>
        </w:tc>
        <w:tc>
          <w:tcPr>
            <w:tcW w:w="348" w:type="pct"/>
            <w:vAlign w:val="center"/>
          </w:tcPr>
          <w:p w14:paraId="62174BF5" w14:textId="6506B383" w:rsidR="00B11C82" w:rsidRDefault="00B11C82"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rPr>
              <w:t>0.009L</w:t>
            </w:r>
          </w:p>
        </w:tc>
        <w:tc>
          <w:tcPr>
            <w:tcW w:w="347" w:type="pct"/>
            <w:vAlign w:val="center"/>
          </w:tcPr>
          <w:p w14:paraId="32C9CDF9" w14:textId="39365975" w:rsidR="00B11C82" w:rsidRDefault="00B11C82"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rPr>
              <w:t>0.009L</w:t>
            </w:r>
          </w:p>
        </w:tc>
        <w:tc>
          <w:tcPr>
            <w:tcW w:w="387" w:type="pct"/>
            <w:vAlign w:val="center"/>
          </w:tcPr>
          <w:p w14:paraId="02EF8661" w14:textId="6A8EF6F3" w:rsidR="00B11C82" w:rsidRDefault="00B11C82"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rPr>
              <w:t>0.009L</w:t>
            </w:r>
          </w:p>
        </w:tc>
        <w:tc>
          <w:tcPr>
            <w:tcW w:w="349" w:type="pct"/>
            <w:vAlign w:val="center"/>
          </w:tcPr>
          <w:p w14:paraId="3A02DE34" w14:textId="0D7318FC" w:rsidR="00B11C82" w:rsidRDefault="00B11C82" w:rsidP="004A2F7D">
            <w:pPr>
              <w:pStyle w:val="TableText"/>
              <w:adjustRightInd w:val="0"/>
              <w:snapToGrid w:val="0"/>
              <w:jc w:val="center"/>
              <w:rPr>
                <w:rFonts w:ascii="Times New Roman" w:hAnsi="Times New Roman" w:cs="Times New Roman"/>
                <w:lang w:eastAsia="zh-CN"/>
              </w:rPr>
            </w:pPr>
            <w:r>
              <w:rPr>
                <w:rFonts w:ascii="Times New Roman" w:hAnsi="Times New Roman" w:cs="Times New Roman"/>
                <w:lang w:eastAsia="zh-CN"/>
              </w:rPr>
              <w:t>0.009L</w:t>
            </w:r>
          </w:p>
        </w:tc>
        <w:tc>
          <w:tcPr>
            <w:tcW w:w="954" w:type="pct"/>
            <w:vAlign w:val="center"/>
          </w:tcPr>
          <w:p w14:paraId="1B1335C1" w14:textId="2463DD28" w:rsidR="00B11C82" w:rsidRDefault="00B11C82" w:rsidP="004A2F7D">
            <w:pPr>
              <w:pStyle w:val="TableText"/>
              <w:adjustRightInd w:val="0"/>
              <w:snapToGrid w:val="0"/>
              <w:jc w:val="center"/>
              <w:rPr>
                <w:rFonts w:ascii="Times New Roman" w:hAnsi="Times New Roman" w:cs="Times New Roman"/>
              </w:rPr>
            </w:pPr>
            <w:r>
              <w:rPr>
                <w:rFonts w:ascii="Times New Roman" w:hAnsi="Times New Roman" w:cs="Times New Roman"/>
                <w:lang w:eastAsia="zh-CN"/>
              </w:rPr>
              <w:t>0.009L</w:t>
            </w:r>
          </w:p>
        </w:tc>
        <w:tc>
          <w:tcPr>
            <w:tcW w:w="393" w:type="pct"/>
            <w:vMerge w:val="restart"/>
            <w:vAlign w:val="center"/>
          </w:tcPr>
          <w:p w14:paraId="4B01F4D2" w14:textId="24692378" w:rsidR="00B11C82" w:rsidRDefault="00B11C82" w:rsidP="004A2F7D">
            <w:pPr>
              <w:adjustRightInd w:val="0"/>
              <w:snapToGrid w:val="0"/>
              <w:jc w:val="center"/>
              <w:rPr>
                <w:bCs/>
              </w:rPr>
            </w:pPr>
            <w:r>
              <w:rPr>
                <w:rFonts w:hint="eastAsia"/>
              </w:rPr>
              <w:t>70</w:t>
            </w:r>
          </w:p>
        </w:tc>
      </w:tr>
      <w:tr w:rsidR="00B11C82" w14:paraId="1BF2948D" w14:textId="77777777" w:rsidTr="00600DE0">
        <w:trPr>
          <w:trHeight w:val="57"/>
          <w:jc w:val="center"/>
        </w:trPr>
        <w:tc>
          <w:tcPr>
            <w:tcW w:w="466" w:type="pct"/>
            <w:vAlign w:val="center"/>
          </w:tcPr>
          <w:p w14:paraId="41650205" w14:textId="221E97D2" w:rsidR="00B11C82" w:rsidRDefault="00600DE0" w:rsidP="00B11C82">
            <w:pPr>
              <w:adjustRightInd w:val="0"/>
              <w:snapToGrid w:val="0"/>
              <w:jc w:val="center"/>
            </w:pPr>
            <w:r>
              <w:rPr>
                <w:rFonts w:hint="eastAsia"/>
              </w:rPr>
              <w:t>标准指数</w:t>
            </w:r>
          </w:p>
        </w:tc>
        <w:tc>
          <w:tcPr>
            <w:tcW w:w="325" w:type="pct"/>
            <w:vAlign w:val="center"/>
          </w:tcPr>
          <w:p w14:paraId="5B0B608B" w14:textId="31118113" w:rsidR="00B11C82" w:rsidRDefault="00B11C82" w:rsidP="00B11C82">
            <w:pPr>
              <w:adjustRightInd w:val="0"/>
              <w:snapToGrid w:val="0"/>
              <w:jc w:val="center"/>
            </w:pPr>
            <w:r>
              <w:rPr>
                <w:rFonts w:hint="eastAsia"/>
                <w:color w:val="000000"/>
                <w:sz w:val="22"/>
                <w:szCs w:val="22"/>
              </w:rPr>
              <w:t>/</w:t>
            </w:r>
          </w:p>
        </w:tc>
        <w:tc>
          <w:tcPr>
            <w:tcW w:w="387" w:type="pct"/>
            <w:vAlign w:val="center"/>
          </w:tcPr>
          <w:p w14:paraId="5E838F75" w14:textId="07918D6C" w:rsidR="00B11C82" w:rsidRDefault="00B11C82" w:rsidP="00B11C82">
            <w:pPr>
              <w:adjustRightInd w:val="0"/>
              <w:snapToGrid w:val="0"/>
              <w:jc w:val="center"/>
            </w:pPr>
            <w:r>
              <w:rPr>
                <w:rFonts w:hint="eastAsia"/>
                <w:color w:val="000000"/>
                <w:sz w:val="22"/>
                <w:szCs w:val="22"/>
              </w:rPr>
              <w:t>/</w:t>
            </w:r>
          </w:p>
        </w:tc>
        <w:tc>
          <w:tcPr>
            <w:tcW w:w="325" w:type="pct"/>
            <w:vAlign w:val="center"/>
          </w:tcPr>
          <w:p w14:paraId="782368F9" w14:textId="75EB21B4" w:rsidR="00B11C82" w:rsidRDefault="00B11C82" w:rsidP="00B11C82">
            <w:pPr>
              <w:adjustRightInd w:val="0"/>
              <w:snapToGrid w:val="0"/>
              <w:jc w:val="center"/>
            </w:pPr>
            <w:r>
              <w:rPr>
                <w:rFonts w:hint="eastAsia"/>
                <w:color w:val="000000"/>
                <w:sz w:val="22"/>
                <w:szCs w:val="22"/>
              </w:rPr>
              <w:t>/</w:t>
            </w:r>
          </w:p>
        </w:tc>
        <w:tc>
          <w:tcPr>
            <w:tcW w:w="333" w:type="pct"/>
            <w:vAlign w:val="center"/>
          </w:tcPr>
          <w:p w14:paraId="017F00C3" w14:textId="5878DC71" w:rsidR="00B11C82" w:rsidRDefault="00B11C82" w:rsidP="00B11C82">
            <w:pPr>
              <w:pStyle w:val="TableText"/>
              <w:adjustRightInd w:val="0"/>
              <w:snapToGrid w:val="0"/>
              <w:jc w:val="center"/>
              <w:rPr>
                <w:rFonts w:ascii="Times New Roman" w:hAnsi="Times New Roman" w:cs="Times New Roman"/>
                <w:lang w:eastAsia="zh-CN"/>
              </w:rPr>
            </w:pPr>
            <w:r>
              <w:rPr>
                <w:rFonts w:hint="eastAsia"/>
                <w:color w:val="000000"/>
                <w:sz w:val="22"/>
                <w:szCs w:val="22"/>
              </w:rPr>
              <w:t>/</w:t>
            </w:r>
          </w:p>
        </w:tc>
        <w:tc>
          <w:tcPr>
            <w:tcW w:w="387" w:type="pct"/>
            <w:vAlign w:val="center"/>
          </w:tcPr>
          <w:p w14:paraId="004CE653" w14:textId="2FADC42D" w:rsidR="00B11C82" w:rsidRDefault="00B11C82" w:rsidP="00B11C82">
            <w:pPr>
              <w:pStyle w:val="TableText"/>
              <w:adjustRightInd w:val="0"/>
              <w:snapToGrid w:val="0"/>
              <w:jc w:val="center"/>
              <w:rPr>
                <w:rFonts w:ascii="Times New Roman" w:hAnsi="Times New Roman" w:cs="Times New Roman"/>
                <w:lang w:eastAsia="zh-CN"/>
              </w:rPr>
            </w:pPr>
            <w:r>
              <w:rPr>
                <w:rFonts w:hint="eastAsia"/>
                <w:color w:val="000000"/>
                <w:sz w:val="22"/>
                <w:szCs w:val="22"/>
              </w:rPr>
              <w:t>/</w:t>
            </w:r>
          </w:p>
        </w:tc>
        <w:tc>
          <w:tcPr>
            <w:tcW w:w="348" w:type="pct"/>
            <w:vAlign w:val="center"/>
          </w:tcPr>
          <w:p w14:paraId="212CBB72" w14:textId="384BC61E" w:rsidR="00B11C82" w:rsidRDefault="00B11C82" w:rsidP="00B11C82">
            <w:pPr>
              <w:pStyle w:val="TableText"/>
              <w:adjustRightInd w:val="0"/>
              <w:snapToGrid w:val="0"/>
              <w:jc w:val="center"/>
              <w:rPr>
                <w:rFonts w:ascii="Times New Roman" w:hAnsi="Times New Roman" w:cs="Times New Roman"/>
                <w:lang w:eastAsia="zh-CN"/>
              </w:rPr>
            </w:pPr>
            <w:r>
              <w:rPr>
                <w:rFonts w:hint="eastAsia"/>
                <w:color w:val="000000"/>
                <w:sz w:val="22"/>
                <w:szCs w:val="22"/>
              </w:rPr>
              <w:t>/</w:t>
            </w:r>
          </w:p>
        </w:tc>
        <w:tc>
          <w:tcPr>
            <w:tcW w:w="347" w:type="pct"/>
            <w:vAlign w:val="center"/>
          </w:tcPr>
          <w:p w14:paraId="4C1FD9B8" w14:textId="4DFC4996" w:rsidR="00B11C82" w:rsidRDefault="00B11C82" w:rsidP="00B11C82">
            <w:pPr>
              <w:pStyle w:val="TableText"/>
              <w:adjustRightInd w:val="0"/>
              <w:snapToGrid w:val="0"/>
              <w:jc w:val="center"/>
              <w:rPr>
                <w:rFonts w:ascii="Times New Roman" w:hAnsi="Times New Roman" w:cs="Times New Roman"/>
                <w:lang w:eastAsia="zh-CN"/>
              </w:rPr>
            </w:pPr>
            <w:r>
              <w:rPr>
                <w:rFonts w:hint="eastAsia"/>
                <w:color w:val="000000"/>
                <w:sz w:val="22"/>
                <w:szCs w:val="22"/>
              </w:rPr>
              <w:t>/</w:t>
            </w:r>
          </w:p>
        </w:tc>
        <w:tc>
          <w:tcPr>
            <w:tcW w:w="387" w:type="pct"/>
            <w:vAlign w:val="center"/>
          </w:tcPr>
          <w:p w14:paraId="7CF038FD" w14:textId="629FCD6A" w:rsidR="00B11C82" w:rsidRDefault="00B11C82" w:rsidP="00B11C82">
            <w:pPr>
              <w:pStyle w:val="TableText"/>
              <w:adjustRightInd w:val="0"/>
              <w:snapToGrid w:val="0"/>
              <w:jc w:val="center"/>
              <w:rPr>
                <w:rFonts w:ascii="Times New Roman" w:hAnsi="Times New Roman" w:cs="Times New Roman"/>
                <w:lang w:eastAsia="zh-CN"/>
              </w:rPr>
            </w:pPr>
            <w:r>
              <w:rPr>
                <w:rFonts w:hint="eastAsia"/>
                <w:color w:val="000000"/>
                <w:sz w:val="22"/>
                <w:szCs w:val="22"/>
              </w:rPr>
              <w:t>/</w:t>
            </w:r>
          </w:p>
        </w:tc>
        <w:tc>
          <w:tcPr>
            <w:tcW w:w="349" w:type="pct"/>
            <w:vAlign w:val="center"/>
          </w:tcPr>
          <w:p w14:paraId="26C73740" w14:textId="2798581E" w:rsidR="00B11C82" w:rsidRDefault="00B11C82" w:rsidP="00B11C82">
            <w:pPr>
              <w:pStyle w:val="TableText"/>
              <w:adjustRightInd w:val="0"/>
              <w:snapToGrid w:val="0"/>
              <w:jc w:val="center"/>
              <w:rPr>
                <w:rFonts w:ascii="Times New Roman" w:hAnsi="Times New Roman" w:cs="Times New Roman"/>
                <w:lang w:eastAsia="zh-CN"/>
              </w:rPr>
            </w:pPr>
            <w:r>
              <w:rPr>
                <w:rFonts w:hint="eastAsia"/>
                <w:color w:val="000000"/>
                <w:sz w:val="22"/>
                <w:szCs w:val="22"/>
              </w:rPr>
              <w:t>/</w:t>
            </w:r>
          </w:p>
        </w:tc>
        <w:tc>
          <w:tcPr>
            <w:tcW w:w="954" w:type="pct"/>
            <w:vAlign w:val="center"/>
          </w:tcPr>
          <w:p w14:paraId="439F571C" w14:textId="1A792D00" w:rsidR="00B11C82" w:rsidRDefault="00B11C82" w:rsidP="00B11C82">
            <w:pPr>
              <w:pStyle w:val="TableText"/>
              <w:adjustRightInd w:val="0"/>
              <w:snapToGrid w:val="0"/>
              <w:jc w:val="center"/>
              <w:rPr>
                <w:rFonts w:ascii="Times New Roman" w:hAnsi="Times New Roman" w:cs="Times New Roman"/>
                <w:lang w:eastAsia="zh-CN"/>
              </w:rPr>
            </w:pPr>
            <w:r>
              <w:rPr>
                <w:rFonts w:hint="eastAsia"/>
                <w:color w:val="000000"/>
                <w:sz w:val="22"/>
                <w:szCs w:val="22"/>
              </w:rPr>
              <w:t>/</w:t>
            </w:r>
          </w:p>
        </w:tc>
        <w:tc>
          <w:tcPr>
            <w:tcW w:w="393" w:type="pct"/>
            <w:vMerge/>
            <w:vAlign w:val="center"/>
          </w:tcPr>
          <w:p w14:paraId="52DDA43D" w14:textId="77777777" w:rsidR="00B11C82" w:rsidRDefault="00B11C82" w:rsidP="00B11C82">
            <w:pPr>
              <w:adjustRightInd w:val="0"/>
              <w:snapToGrid w:val="0"/>
              <w:jc w:val="center"/>
            </w:pPr>
          </w:p>
        </w:tc>
      </w:tr>
    </w:tbl>
    <w:p w14:paraId="13724D6C" w14:textId="66F1A2AA" w:rsidR="00606029" w:rsidRDefault="00EA5B92">
      <w:pPr>
        <w:pStyle w:val="affffff5"/>
        <w:rPr>
          <w:snapToGrid w:val="0"/>
          <w:sz w:val="24"/>
          <w:szCs w:val="24"/>
        </w:rPr>
      </w:pPr>
      <w:r>
        <w:t>表</w:t>
      </w:r>
      <w:r>
        <w:t xml:space="preserve">5.5-3  </w:t>
      </w:r>
      <w:r>
        <w:t>农用地土壤监测数据一览表</w:t>
      </w:r>
      <w:r w:rsidR="00BE6003">
        <w:rPr>
          <w:rFonts w:hint="eastAsia"/>
        </w:rPr>
        <w:t xml:space="preserve">  </w:t>
      </w:r>
      <w:r w:rsidR="00BE6003" w:rsidRPr="00BE6003">
        <w:rPr>
          <w:rFonts w:hint="eastAsia"/>
        </w:rPr>
        <w:t>单位：</w:t>
      </w:r>
      <w:r w:rsidR="00BE6003" w:rsidRPr="00BE6003">
        <w:rPr>
          <w:rFonts w:hint="eastAsia"/>
        </w:rPr>
        <w:t>mg/kg</w:t>
      </w:r>
    </w:p>
    <w:tbl>
      <w:tblPr>
        <w:tblStyle w:val="aff4"/>
        <w:tblW w:w="5000" w:type="pct"/>
        <w:jc w:val="center"/>
        <w:tblLook w:val="04A0" w:firstRow="1" w:lastRow="0" w:firstColumn="1" w:lastColumn="0" w:noHBand="0" w:noVBand="1"/>
      </w:tblPr>
      <w:tblGrid>
        <w:gridCol w:w="2936"/>
        <w:gridCol w:w="4643"/>
        <w:gridCol w:w="4649"/>
        <w:gridCol w:w="1766"/>
      </w:tblGrid>
      <w:tr w:rsidR="00BE6003" w14:paraId="42008EA8" w14:textId="77777777" w:rsidTr="00BE6003">
        <w:trPr>
          <w:trHeight w:val="57"/>
          <w:jc w:val="center"/>
        </w:trPr>
        <w:tc>
          <w:tcPr>
            <w:tcW w:w="1049" w:type="pct"/>
            <w:vMerge w:val="restart"/>
            <w:tcBorders>
              <w:tl2br w:val="single" w:sz="4" w:space="0" w:color="auto"/>
            </w:tcBorders>
            <w:vAlign w:val="center"/>
          </w:tcPr>
          <w:p w14:paraId="57BE52D1" w14:textId="77777777" w:rsidR="00BE6003" w:rsidRDefault="00BE6003">
            <w:pPr>
              <w:adjustRightInd w:val="0"/>
              <w:snapToGrid w:val="0"/>
              <w:spacing w:line="0" w:lineRule="atLeast"/>
              <w:jc w:val="right"/>
            </w:pPr>
            <w:r>
              <w:t>检测点位</w:t>
            </w:r>
          </w:p>
          <w:p w14:paraId="3B7BF4F1" w14:textId="77777777" w:rsidR="00BE6003" w:rsidRDefault="00BE6003">
            <w:pPr>
              <w:adjustRightInd w:val="0"/>
              <w:snapToGrid w:val="0"/>
              <w:spacing w:line="0" w:lineRule="atLeast"/>
              <w:jc w:val="left"/>
            </w:pPr>
            <w:r>
              <w:t>检测项目</w:t>
            </w:r>
          </w:p>
        </w:tc>
        <w:tc>
          <w:tcPr>
            <w:tcW w:w="3320" w:type="pct"/>
            <w:gridSpan w:val="2"/>
            <w:vAlign w:val="center"/>
          </w:tcPr>
          <w:p w14:paraId="02CFAAF9" w14:textId="77777777" w:rsidR="00BE6003" w:rsidRDefault="00BE6003">
            <w:pPr>
              <w:adjustRightInd w:val="0"/>
              <w:snapToGrid w:val="0"/>
              <w:jc w:val="center"/>
            </w:pPr>
            <w:r>
              <w:t>2024.11.24</w:t>
            </w:r>
          </w:p>
        </w:tc>
        <w:tc>
          <w:tcPr>
            <w:tcW w:w="631" w:type="pct"/>
            <w:vMerge w:val="restart"/>
            <w:vAlign w:val="center"/>
          </w:tcPr>
          <w:p w14:paraId="3332A9AA" w14:textId="476D6E9B" w:rsidR="00BE6003" w:rsidRDefault="00BE6003" w:rsidP="00C30377">
            <w:pPr>
              <w:adjustRightInd w:val="0"/>
              <w:snapToGrid w:val="0"/>
              <w:jc w:val="center"/>
              <w:rPr>
                <w:highlight w:val="red"/>
              </w:rPr>
            </w:pPr>
            <w:r w:rsidRPr="00BE6003">
              <w:rPr>
                <w:rFonts w:hint="eastAsia"/>
              </w:rPr>
              <w:t>（</w:t>
            </w:r>
            <w:r w:rsidRPr="00BE6003">
              <w:rPr>
                <w:rFonts w:hint="eastAsia"/>
              </w:rPr>
              <w:t>GB15618-2018</w:t>
            </w:r>
            <w:r w:rsidRPr="00BE6003">
              <w:rPr>
                <w:rFonts w:hint="eastAsia"/>
              </w:rPr>
              <w:t>）</w:t>
            </w:r>
          </w:p>
        </w:tc>
      </w:tr>
      <w:tr w:rsidR="00BE6003" w14:paraId="60F7D057" w14:textId="77777777" w:rsidTr="00BE6003">
        <w:trPr>
          <w:trHeight w:val="57"/>
          <w:jc w:val="center"/>
        </w:trPr>
        <w:tc>
          <w:tcPr>
            <w:tcW w:w="1049" w:type="pct"/>
            <w:vMerge/>
            <w:tcBorders>
              <w:tl2br w:val="single" w:sz="4" w:space="0" w:color="auto"/>
            </w:tcBorders>
            <w:vAlign w:val="center"/>
          </w:tcPr>
          <w:p w14:paraId="2A6DA291" w14:textId="77777777" w:rsidR="00BE6003" w:rsidRDefault="00BE6003" w:rsidP="00BE6003">
            <w:pPr>
              <w:adjustRightInd w:val="0"/>
              <w:snapToGrid w:val="0"/>
              <w:spacing w:line="0" w:lineRule="atLeast"/>
              <w:jc w:val="center"/>
            </w:pPr>
          </w:p>
        </w:tc>
        <w:tc>
          <w:tcPr>
            <w:tcW w:w="1659" w:type="pct"/>
            <w:vAlign w:val="center"/>
          </w:tcPr>
          <w:p w14:paraId="34FDCAA8" w14:textId="0E72F8B4" w:rsidR="00BE6003" w:rsidRDefault="00BE6003" w:rsidP="00BE6003">
            <w:pPr>
              <w:adjustRightInd w:val="0"/>
              <w:snapToGrid w:val="0"/>
              <w:jc w:val="center"/>
              <w:rPr>
                <w:kern w:val="0"/>
                <w:szCs w:val="24"/>
              </w:rPr>
            </w:pPr>
            <w:r>
              <w:t xml:space="preserve"> </w:t>
            </w:r>
            <w:r>
              <w:rPr>
                <w:rFonts w:hint="eastAsia"/>
              </w:rPr>
              <w:t>厂区西侧</w:t>
            </w:r>
            <w:r>
              <w:rPr>
                <w:rFonts w:hint="eastAsia"/>
              </w:rPr>
              <w:t>200m</w:t>
            </w:r>
            <w:r>
              <w:rPr>
                <w:rFonts w:hint="eastAsia"/>
              </w:rPr>
              <w:t>（草地）</w:t>
            </w:r>
            <w:r>
              <w:rPr>
                <w:rFonts w:hint="eastAsia"/>
              </w:rPr>
              <w:t>S5</w:t>
            </w:r>
          </w:p>
        </w:tc>
        <w:tc>
          <w:tcPr>
            <w:tcW w:w="1661" w:type="pct"/>
            <w:vAlign w:val="center"/>
          </w:tcPr>
          <w:p w14:paraId="0754535F" w14:textId="1F0BD859" w:rsidR="00BE6003" w:rsidRDefault="00BE6003" w:rsidP="00BE6003">
            <w:pPr>
              <w:adjustRightInd w:val="0"/>
              <w:snapToGrid w:val="0"/>
              <w:jc w:val="center"/>
              <w:rPr>
                <w:kern w:val="0"/>
              </w:rPr>
            </w:pPr>
            <w:r>
              <w:rPr>
                <w:rFonts w:hint="eastAsia"/>
              </w:rPr>
              <w:t>厂区东北侧</w:t>
            </w:r>
            <w:r>
              <w:rPr>
                <w:rFonts w:hint="eastAsia"/>
              </w:rPr>
              <w:t>200m</w:t>
            </w:r>
            <w:r>
              <w:rPr>
                <w:rFonts w:hint="eastAsia"/>
              </w:rPr>
              <w:t>（耕地）</w:t>
            </w:r>
            <w:r>
              <w:rPr>
                <w:rFonts w:hint="eastAsia"/>
              </w:rPr>
              <w:t>S6</w:t>
            </w:r>
          </w:p>
        </w:tc>
        <w:tc>
          <w:tcPr>
            <w:tcW w:w="631" w:type="pct"/>
            <w:vMerge/>
            <w:vAlign w:val="center"/>
          </w:tcPr>
          <w:p w14:paraId="39E8F5BC" w14:textId="36EE999E" w:rsidR="00BE6003" w:rsidRDefault="00BE6003" w:rsidP="00C30377">
            <w:pPr>
              <w:adjustRightInd w:val="0"/>
              <w:snapToGrid w:val="0"/>
              <w:jc w:val="center"/>
              <w:rPr>
                <w:highlight w:val="red"/>
              </w:rPr>
            </w:pPr>
          </w:p>
        </w:tc>
      </w:tr>
      <w:tr w:rsidR="00BE6003" w14:paraId="7D04B51E" w14:textId="77777777" w:rsidTr="00BE6003">
        <w:trPr>
          <w:trHeight w:val="57"/>
          <w:jc w:val="center"/>
        </w:trPr>
        <w:tc>
          <w:tcPr>
            <w:tcW w:w="1049" w:type="pct"/>
            <w:vMerge/>
            <w:tcBorders>
              <w:bottom w:val="single" w:sz="4" w:space="0" w:color="auto"/>
              <w:tl2br w:val="single" w:sz="4" w:space="0" w:color="auto"/>
            </w:tcBorders>
            <w:vAlign w:val="center"/>
          </w:tcPr>
          <w:p w14:paraId="1E0095C4" w14:textId="77777777" w:rsidR="00BE6003" w:rsidRDefault="00BE6003">
            <w:pPr>
              <w:adjustRightInd w:val="0"/>
              <w:snapToGrid w:val="0"/>
              <w:spacing w:line="0" w:lineRule="atLeast"/>
              <w:jc w:val="center"/>
            </w:pPr>
          </w:p>
        </w:tc>
        <w:tc>
          <w:tcPr>
            <w:tcW w:w="1659" w:type="pct"/>
            <w:vAlign w:val="center"/>
          </w:tcPr>
          <w:p w14:paraId="5F71CD4E" w14:textId="77777777" w:rsidR="00BE6003" w:rsidRDefault="00BE6003">
            <w:pPr>
              <w:adjustRightInd w:val="0"/>
              <w:snapToGrid w:val="0"/>
              <w:jc w:val="center"/>
              <w:rPr>
                <w:kern w:val="0"/>
                <w:szCs w:val="24"/>
              </w:rPr>
            </w:pPr>
            <w:r>
              <w:rPr>
                <w:kern w:val="0"/>
                <w:szCs w:val="24"/>
              </w:rPr>
              <w:t>（</w:t>
            </w:r>
            <w:r>
              <w:t>0~</w:t>
            </w:r>
            <w:r>
              <w:rPr>
                <w:szCs w:val="24"/>
              </w:rPr>
              <w:t>0.2</w:t>
            </w:r>
            <w:r>
              <w:t xml:space="preserve"> m</w:t>
            </w:r>
            <w:r>
              <w:rPr>
                <w:kern w:val="0"/>
                <w:szCs w:val="24"/>
              </w:rPr>
              <w:t>）</w:t>
            </w:r>
          </w:p>
        </w:tc>
        <w:tc>
          <w:tcPr>
            <w:tcW w:w="1661" w:type="pct"/>
            <w:vAlign w:val="center"/>
          </w:tcPr>
          <w:p w14:paraId="2BDE09B2" w14:textId="77777777" w:rsidR="00BE6003" w:rsidRDefault="00BE6003">
            <w:pPr>
              <w:adjustRightInd w:val="0"/>
              <w:snapToGrid w:val="0"/>
              <w:jc w:val="center"/>
              <w:rPr>
                <w:kern w:val="0"/>
                <w:szCs w:val="24"/>
              </w:rPr>
            </w:pPr>
            <w:r>
              <w:rPr>
                <w:kern w:val="0"/>
                <w:szCs w:val="24"/>
              </w:rPr>
              <w:t>（</w:t>
            </w:r>
            <w:r>
              <w:t>0~</w:t>
            </w:r>
            <w:r>
              <w:rPr>
                <w:szCs w:val="24"/>
              </w:rPr>
              <w:t>0.2</w:t>
            </w:r>
            <w:r>
              <w:t xml:space="preserve"> m</w:t>
            </w:r>
            <w:r>
              <w:rPr>
                <w:kern w:val="0"/>
                <w:szCs w:val="24"/>
              </w:rPr>
              <w:t>）</w:t>
            </w:r>
          </w:p>
        </w:tc>
        <w:tc>
          <w:tcPr>
            <w:tcW w:w="631" w:type="pct"/>
            <w:vMerge/>
            <w:vAlign w:val="center"/>
          </w:tcPr>
          <w:p w14:paraId="0026BBC6" w14:textId="7C8F4D49" w:rsidR="00BE6003" w:rsidRDefault="00BE6003">
            <w:pPr>
              <w:adjustRightInd w:val="0"/>
              <w:snapToGrid w:val="0"/>
              <w:jc w:val="center"/>
            </w:pPr>
          </w:p>
        </w:tc>
      </w:tr>
      <w:tr w:rsidR="00530BEB" w14:paraId="583E324C" w14:textId="77777777" w:rsidTr="00BE6003">
        <w:trPr>
          <w:trHeight w:val="57"/>
          <w:jc w:val="center"/>
        </w:trPr>
        <w:tc>
          <w:tcPr>
            <w:tcW w:w="1049" w:type="pct"/>
            <w:vAlign w:val="center"/>
          </w:tcPr>
          <w:p w14:paraId="38A540ED" w14:textId="7379B59D" w:rsidR="00530BEB" w:rsidRDefault="00530BEB" w:rsidP="00BE6003">
            <w:pPr>
              <w:adjustRightInd w:val="0"/>
              <w:snapToGrid w:val="0"/>
              <w:jc w:val="center"/>
            </w:pPr>
            <w:r>
              <w:rPr>
                <w:rFonts w:hint="eastAsia"/>
              </w:rPr>
              <w:t>pH</w:t>
            </w:r>
            <w:r>
              <w:rPr>
                <w:rFonts w:hint="eastAsia"/>
              </w:rPr>
              <w:t>（无量纲</w:t>
            </w:r>
            <w:r>
              <w:rPr>
                <w:rFonts w:hint="eastAsia"/>
              </w:rPr>
              <w:t>)</w:t>
            </w:r>
          </w:p>
        </w:tc>
        <w:tc>
          <w:tcPr>
            <w:tcW w:w="1659" w:type="pct"/>
            <w:vAlign w:val="center"/>
          </w:tcPr>
          <w:p w14:paraId="62595FD3" w14:textId="7305645F" w:rsidR="00530BEB" w:rsidRDefault="00530BEB" w:rsidP="00BE6003">
            <w:pPr>
              <w:adjustRightInd w:val="0"/>
              <w:snapToGrid w:val="0"/>
              <w:jc w:val="center"/>
              <w:rPr>
                <w:bCs/>
              </w:rPr>
            </w:pPr>
            <w:r>
              <w:t>8.2</w:t>
            </w:r>
          </w:p>
        </w:tc>
        <w:tc>
          <w:tcPr>
            <w:tcW w:w="1661" w:type="pct"/>
            <w:vAlign w:val="center"/>
          </w:tcPr>
          <w:p w14:paraId="19BE121F" w14:textId="62610C8B" w:rsidR="00530BEB" w:rsidRDefault="00530BEB" w:rsidP="00BE6003">
            <w:pPr>
              <w:adjustRightInd w:val="0"/>
              <w:snapToGrid w:val="0"/>
              <w:jc w:val="center"/>
              <w:rPr>
                <w:bCs/>
              </w:rPr>
            </w:pPr>
            <w:r>
              <w:rPr>
                <w:bCs/>
              </w:rPr>
              <w:t>8.1</w:t>
            </w:r>
          </w:p>
        </w:tc>
        <w:tc>
          <w:tcPr>
            <w:tcW w:w="631" w:type="pct"/>
            <w:vMerge w:val="restart"/>
            <w:vAlign w:val="center"/>
          </w:tcPr>
          <w:p w14:paraId="2BC9FB64" w14:textId="4EF31329" w:rsidR="00530BEB" w:rsidRDefault="00530BEB" w:rsidP="00BE6003">
            <w:pPr>
              <w:adjustRightInd w:val="0"/>
              <w:snapToGrid w:val="0"/>
              <w:jc w:val="center"/>
            </w:pPr>
            <w:r>
              <w:rPr>
                <w:rFonts w:hint="eastAsia"/>
                <w:bCs/>
              </w:rPr>
              <w:t>pH</w:t>
            </w:r>
            <w:r>
              <w:rPr>
                <w:rFonts w:hint="eastAsia"/>
                <w:bCs/>
              </w:rPr>
              <w:t>＞</w:t>
            </w:r>
            <w:r>
              <w:rPr>
                <w:rFonts w:hint="eastAsia"/>
                <w:bCs/>
              </w:rPr>
              <w:t>7.5</w:t>
            </w:r>
          </w:p>
        </w:tc>
      </w:tr>
      <w:tr w:rsidR="00530BEB" w14:paraId="0B00CD34" w14:textId="77777777" w:rsidTr="00BE6003">
        <w:trPr>
          <w:trHeight w:val="57"/>
          <w:jc w:val="center"/>
        </w:trPr>
        <w:tc>
          <w:tcPr>
            <w:tcW w:w="1049" w:type="pct"/>
            <w:vAlign w:val="center"/>
          </w:tcPr>
          <w:p w14:paraId="0275C953" w14:textId="4C24CEE2" w:rsidR="00530BEB" w:rsidRDefault="00530BEB" w:rsidP="00600DE0">
            <w:pPr>
              <w:adjustRightInd w:val="0"/>
              <w:snapToGrid w:val="0"/>
              <w:jc w:val="center"/>
            </w:pPr>
            <w:r>
              <w:rPr>
                <w:rFonts w:hint="eastAsia"/>
              </w:rPr>
              <w:t>标准指数</w:t>
            </w:r>
          </w:p>
        </w:tc>
        <w:tc>
          <w:tcPr>
            <w:tcW w:w="1659" w:type="pct"/>
            <w:vAlign w:val="center"/>
          </w:tcPr>
          <w:p w14:paraId="7BB9163B" w14:textId="701AB176" w:rsidR="00530BEB" w:rsidRDefault="00530BEB" w:rsidP="00600DE0">
            <w:pPr>
              <w:adjustRightInd w:val="0"/>
              <w:snapToGrid w:val="0"/>
              <w:jc w:val="center"/>
            </w:pPr>
            <w:r>
              <w:rPr>
                <w:rFonts w:hint="eastAsia"/>
                <w:color w:val="000000"/>
                <w:sz w:val="22"/>
                <w:szCs w:val="22"/>
              </w:rPr>
              <w:t>/</w:t>
            </w:r>
          </w:p>
        </w:tc>
        <w:tc>
          <w:tcPr>
            <w:tcW w:w="1661" w:type="pct"/>
            <w:vAlign w:val="center"/>
          </w:tcPr>
          <w:p w14:paraId="0696C9EA" w14:textId="4B16E85D" w:rsidR="00530BEB" w:rsidRDefault="00530BEB" w:rsidP="00600DE0">
            <w:pPr>
              <w:adjustRightInd w:val="0"/>
              <w:snapToGrid w:val="0"/>
              <w:jc w:val="center"/>
              <w:rPr>
                <w:bCs/>
              </w:rPr>
            </w:pPr>
            <w:r>
              <w:rPr>
                <w:rFonts w:hint="eastAsia"/>
                <w:color w:val="000000"/>
                <w:sz w:val="22"/>
                <w:szCs w:val="22"/>
              </w:rPr>
              <w:t>/</w:t>
            </w:r>
          </w:p>
        </w:tc>
        <w:tc>
          <w:tcPr>
            <w:tcW w:w="631" w:type="pct"/>
            <w:vMerge/>
            <w:vAlign w:val="center"/>
          </w:tcPr>
          <w:p w14:paraId="61CCDB2A" w14:textId="77777777" w:rsidR="00530BEB" w:rsidRDefault="00530BEB" w:rsidP="00600DE0">
            <w:pPr>
              <w:adjustRightInd w:val="0"/>
              <w:snapToGrid w:val="0"/>
              <w:jc w:val="center"/>
              <w:rPr>
                <w:bCs/>
              </w:rPr>
            </w:pPr>
          </w:p>
        </w:tc>
      </w:tr>
      <w:tr w:rsidR="00530BEB" w14:paraId="5AD48BAE" w14:textId="77777777" w:rsidTr="00BE6003">
        <w:trPr>
          <w:trHeight w:val="57"/>
          <w:jc w:val="center"/>
        </w:trPr>
        <w:tc>
          <w:tcPr>
            <w:tcW w:w="1049" w:type="pct"/>
            <w:vAlign w:val="center"/>
          </w:tcPr>
          <w:p w14:paraId="651C6426" w14:textId="45544359" w:rsidR="00530BEB" w:rsidRDefault="00530BEB" w:rsidP="00BE6003">
            <w:pPr>
              <w:adjustRightInd w:val="0"/>
              <w:snapToGrid w:val="0"/>
              <w:jc w:val="center"/>
              <w:rPr>
                <w:highlight w:val="yellow"/>
              </w:rPr>
            </w:pPr>
            <w:r>
              <w:rPr>
                <w:rFonts w:hint="eastAsia"/>
              </w:rPr>
              <w:t>石油烃（</w:t>
            </w:r>
            <w:r>
              <w:rPr>
                <w:rFonts w:hint="eastAsia"/>
              </w:rPr>
              <w:t>C</w:t>
            </w:r>
            <w:r>
              <w:rPr>
                <w:rFonts w:hint="eastAsia"/>
                <w:vertAlign w:val="subscript"/>
              </w:rPr>
              <w:t>10</w:t>
            </w:r>
            <w:r>
              <w:rPr>
                <w:rFonts w:hint="eastAsia"/>
              </w:rPr>
              <w:t>-C</w:t>
            </w:r>
            <w:r>
              <w:rPr>
                <w:rFonts w:hint="eastAsia"/>
                <w:vertAlign w:val="subscript"/>
              </w:rPr>
              <w:t>40</w:t>
            </w:r>
            <w:r>
              <w:rPr>
                <w:rFonts w:hint="eastAsia"/>
              </w:rPr>
              <w:t>）</w:t>
            </w:r>
          </w:p>
        </w:tc>
        <w:tc>
          <w:tcPr>
            <w:tcW w:w="1659" w:type="pct"/>
            <w:vAlign w:val="center"/>
          </w:tcPr>
          <w:p w14:paraId="2B3479FB" w14:textId="4C72E769" w:rsidR="00530BEB" w:rsidRDefault="00530BEB" w:rsidP="00BE6003">
            <w:pPr>
              <w:adjustRightInd w:val="0"/>
              <w:snapToGrid w:val="0"/>
              <w:jc w:val="center"/>
              <w:rPr>
                <w:bCs/>
                <w:highlight w:val="yellow"/>
              </w:rPr>
            </w:pPr>
            <w:r>
              <w:t>6L</w:t>
            </w:r>
          </w:p>
        </w:tc>
        <w:tc>
          <w:tcPr>
            <w:tcW w:w="1661" w:type="pct"/>
            <w:vAlign w:val="center"/>
          </w:tcPr>
          <w:p w14:paraId="17384FED" w14:textId="64C8C87D" w:rsidR="00530BEB" w:rsidRDefault="00530BEB" w:rsidP="00BE6003">
            <w:pPr>
              <w:adjustRightInd w:val="0"/>
              <w:snapToGrid w:val="0"/>
              <w:jc w:val="center"/>
              <w:rPr>
                <w:bCs/>
              </w:rPr>
            </w:pPr>
            <w:r>
              <w:t>6L</w:t>
            </w:r>
          </w:p>
        </w:tc>
        <w:tc>
          <w:tcPr>
            <w:tcW w:w="631" w:type="pct"/>
            <w:vMerge w:val="restart"/>
            <w:vAlign w:val="center"/>
          </w:tcPr>
          <w:p w14:paraId="665F0459" w14:textId="3BB7C6EC" w:rsidR="00530BEB" w:rsidRDefault="00530BEB" w:rsidP="00BE6003">
            <w:pPr>
              <w:adjustRightInd w:val="0"/>
              <w:snapToGrid w:val="0"/>
              <w:jc w:val="center"/>
            </w:pPr>
            <w:r>
              <w:rPr>
                <w:rFonts w:hint="eastAsia"/>
              </w:rPr>
              <w:t>/</w:t>
            </w:r>
          </w:p>
        </w:tc>
      </w:tr>
      <w:tr w:rsidR="00530BEB" w14:paraId="49250059" w14:textId="77777777" w:rsidTr="00BE6003">
        <w:trPr>
          <w:trHeight w:val="57"/>
          <w:jc w:val="center"/>
        </w:trPr>
        <w:tc>
          <w:tcPr>
            <w:tcW w:w="1049" w:type="pct"/>
            <w:vAlign w:val="center"/>
          </w:tcPr>
          <w:p w14:paraId="111499CF" w14:textId="3B21846D" w:rsidR="00530BEB" w:rsidRDefault="00530BEB" w:rsidP="00600DE0">
            <w:pPr>
              <w:adjustRightInd w:val="0"/>
              <w:snapToGrid w:val="0"/>
              <w:jc w:val="center"/>
            </w:pPr>
            <w:r>
              <w:rPr>
                <w:rFonts w:hint="eastAsia"/>
              </w:rPr>
              <w:t>标准指数</w:t>
            </w:r>
          </w:p>
        </w:tc>
        <w:tc>
          <w:tcPr>
            <w:tcW w:w="1659" w:type="pct"/>
            <w:vAlign w:val="center"/>
          </w:tcPr>
          <w:p w14:paraId="5E5D6281" w14:textId="0B79086F" w:rsidR="00530BEB" w:rsidRDefault="00530BEB" w:rsidP="00600DE0">
            <w:pPr>
              <w:adjustRightInd w:val="0"/>
              <w:snapToGrid w:val="0"/>
              <w:jc w:val="center"/>
            </w:pPr>
            <w:r>
              <w:rPr>
                <w:rFonts w:hint="eastAsia"/>
                <w:color w:val="000000"/>
                <w:sz w:val="22"/>
                <w:szCs w:val="22"/>
              </w:rPr>
              <w:t>/</w:t>
            </w:r>
          </w:p>
        </w:tc>
        <w:tc>
          <w:tcPr>
            <w:tcW w:w="1661" w:type="pct"/>
            <w:vAlign w:val="center"/>
          </w:tcPr>
          <w:p w14:paraId="3F98D391" w14:textId="3D45539B" w:rsidR="00530BEB" w:rsidRDefault="00530BEB" w:rsidP="00600DE0">
            <w:pPr>
              <w:adjustRightInd w:val="0"/>
              <w:snapToGrid w:val="0"/>
              <w:jc w:val="center"/>
            </w:pPr>
            <w:r>
              <w:rPr>
                <w:rFonts w:hint="eastAsia"/>
                <w:color w:val="000000"/>
                <w:sz w:val="22"/>
                <w:szCs w:val="22"/>
              </w:rPr>
              <w:t>/</w:t>
            </w:r>
          </w:p>
        </w:tc>
        <w:tc>
          <w:tcPr>
            <w:tcW w:w="631" w:type="pct"/>
            <w:vMerge/>
            <w:vAlign w:val="center"/>
          </w:tcPr>
          <w:p w14:paraId="64F9404F" w14:textId="77777777" w:rsidR="00530BEB" w:rsidRDefault="00530BEB" w:rsidP="00600DE0">
            <w:pPr>
              <w:adjustRightInd w:val="0"/>
              <w:snapToGrid w:val="0"/>
              <w:jc w:val="center"/>
            </w:pPr>
          </w:p>
        </w:tc>
      </w:tr>
      <w:tr w:rsidR="00530BEB" w14:paraId="72A9E9FE" w14:textId="77777777" w:rsidTr="00530BEB">
        <w:trPr>
          <w:trHeight w:val="57"/>
          <w:jc w:val="center"/>
        </w:trPr>
        <w:tc>
          <w:tcPr>
            <w:tcW w:w="1049" w:type="pct"/>
            <w:vAlign w:val="center"/>
          </w:tcPr>
          <w:p w14:paraId="26FF6E3A" w14:textId="4CA895C8" w:rsidR="00530BEB" w:rsidRDefault="00530BEB" w:rsidP="00BE6003">
            <w:pPr>
              <w:adjustRightInd w:val="0"/>
              <w:snapToGrid w:val="0"/>
              <w:jc w:val="center"/>
            </w:pPr>
            <w:r>
              <w:t>镉</w:t>
            </w:r>
          </w:p>
        </w:tc>
        <w:tc>
          <w:tcPr>
            <w:tcW w:w="1659" w:type="pct"/>
            <w:tcBorders>
              <w:bottom w:val="single" w:sz="4" w:space="0" w:color="auto"/>
            </w:tcBorders>
            <w:vAlign w:val="center"/>
          </w:tcPr>
          <w:p w14:paraId="63D2FAE9" w14:textId="17EFCD73" w:rsidR="00530BEB" w:rsidRDefault="00530BEB" w:rsidP="00BE6003">
            <w:pPr>
              <w:adjustRightInd w:val="0"/>
              <w:snapToGrid w:val="0"/>
              <w:jc w:val="center"/>
              <w:rPr>
                <w:bCs/>
              </w:rPr>
            </w:pPr>
            <w:r>
              <w:rPr>
                <w:kern w:val="0"/>
              </w:rPr>
              <w:t>0.19</w:t>
            </w:r>
          </w:p>
        </w:tc>
        <w:tc>
          <w:tcPr>
            <w:tcW w:w="1661" w:type="pct"/>
            <w:tcBorders>
              <w:bottom w:val="single" w:sz="4" w:space="0" w:color="auto"/>
            </w:tcBorders>
            <w:vAlign w:val="center"/>
          </w:tcPr>
          <w:p w14:paraId="2FF095BC" w14:textId="2E032371" w:rsidR="00530BEB" w:rsidRDefault="00530BEB" w:rsidP="00BE6003">
            <w:pPr>
              <w:adjustRightInd w:val="0"/>
              <w:snapToGrid w:val="0"/>
              <w:jc w:val="center"/>
              <w:rPr>
                <w:bCs/>
              </w:rPr>
            </w:pPr>
            <w:r>
              <w:rPr>
                <w:kern w:val="0"/>
              </w:rPr>
              <w:t>0.17</w:t>
            </w:r>
          </w:p>
        </w:tc>
        <w:tc>
          <w:tcPr>
            <w:tcW w:w="631" w:type="pct"/>
            <w:vMerge w:val="restart"/>
            <w:vAlign w:val="center"/>
          </w:tcPr>
          <w:p w14:paraId="3BAD2603" w14:textId="6F7CDC3C" w:rsidR="00530BEB" w:rsidRDefault="00530BEB" w:rsidP="00BE6003">
            <w:pPr>
              <w:adjustRightInd w:val="0"/>
              <w:snapToGrid w:val="0"/>
              <w:spacing w:line="0" w:lineRule="atLeast"/>
              <w:jc w:val="center"/>
              <w:rPr>
                <w:bCs/>
              </w:rPr>
            </w:pPr>
            <w:r>
              <w:rPr>
                <w:rFonts w:hint="eastAsia"/>
                <w:kern w:val="0"/>
              </w:rPr>
              <w:t>0.6</w:t>
            </w:r>
          </w:p>
        </w:tc>
      </w:tr>
      <w:tr w:rsidR="00530BEB" w14:paraId="5CDD90A6" w14:textId="77777777" w:rsidTr="000731F0">
        <w:trPr>
          <w:trHeight w:val="57"/>
          <w:jc w:val="center"/>
        </w:trPr>
        <w:tc>
          <w:tcPr>
            <w:tcW w:w="1049" w:type="pct"/>
            <w:tcBorders>
              <w:right w:val="single" w:sz="4" w:space="0" w:color="auto"/>
            </w:tcBorders>
            <w:vAlign w:val="center"/>
          </w:tcPr>
          <w:p w14:paraId="69492205" w14:textId="0FE218A6" w:rsidR="00530BEB" w:rsidRDefault="00530BEB" w:rsidP="00530BEB">
            <w:pPr>
              <w:adjustRightInd w:val="0"/>
              <w:snapToGrid w:val="0"/>
              <w:jc w:val="center"/>
            </w:pPr>
            <w:r>
              <w:rPr>
                <w:rFonts w:hint="eastAsia"/>
              </w:rPr>
              <w:t>标准指数</w:t>
            </w:r>
          </w:p>
        </w:tc>
        <w:tc>
          <w:tcPr>
            <w:tcW w:w="1659" w:type="pct"/>
            <w:tcBorders>
              <w:top w:val="single" w:sz="4" w:space="0" w:color="auto"/>
              <w:left w:val="single" w:sz="4" w:space="0" w:color="auto"/>
              <w:bottom w:val="single" w:sz="4" w:space="0" w:color="auto"/>
              <w:right w:val="single" w:sz="4" w:space="0" w:color="auto"/>
            </w:tcBorders>
            <w:vAlign w:val="center"/>
          </w:tcPr>
          <w:p w14:paraId="35AB0663" w14:textId="2936C09F" w:rsidR="00530BEB" w:rsidRDefault="00530BEB" w:rsidP="00530BEB">
            <w:pPr>
              <w:adjustRightInd w:val="0"/>
              <w:snapToGrid w:val="0"/>
              <w:jc w:val="center"/>
              <w:rPr>
                <w:kern w:val="0"/>
              </w:rPr>
            </w:pPr>
            <w:r>
              <w:rPr>
                <w:color w:val="000000"/>
              </w:rPr>
              <w:t xml:space="preserve">0.3167 </w:t>
            </w:r>
          </w:p>
        </w:tc>
        <w:tc>
          <w:tcPr>
            <w:tcW w:w="1661" w:type="pct"/>
            <w:tcBorders>
              <w:top w:val="single" w:sz="4" w:space="0" w:color="auto"/>
              <w:left w:val="single" w:sz="4" w:space="0" w:color="auto"/>
              <w:bottom w:val="single" w:sz="4" w:space="0" w:color="auto"/>
            </w:tcBorders>
            <w:vAlign w:val="center"/>
          </w:tcPr>
          <w:p w14:paraId="7D20E55E" w14:textId="34885DB8" w:rsidR="00530BEB" w:rsidRDefault="00530BEB" w:rsidP="00530BEB">
            <w:pPr>
              <w:adjustRightInd w:val="0"/>
              <w:snapToGrid w:val="0"/>
              <w:jc w:val="center"/>
              <w:rPr>
                <w:kern w:val="0"/>
              </w:rPr>
            </w:pPr>
            <w:r>
              <w:rPr>
                <w:color w:val="000000"/>
              </w:rPr>
              <w:t xml:space="preserve">0.2833 </w:t>
            </w:r>
          </w:p>
        </w:tc>
        <w:tc>
          <w:tcPr>
            <w:tcW w:w="631" w:type="pct"/>
            <w:vMerge/>
            <w:vAlign w:val="center"/>
          </w:tcPr>
          <w:p w14:paraId="720C4C71" w14:textId="77777777" w:rsidR="00530BEB" w:rsidRDefault="00530BEB" w:rsidP="00530BEB">
            <w:pPr>
              <w:adjustRightInd w:val="0"/>
              <w:snapToGrid w:val="0"/>
              <w:spacing w:line="0" w:lineRule="atLeast"/>
              <w:jc w:val="center"/>
              <w:rPr>
                <w:kern w:val="0"/>
              </w:rPr>
            </w:pPr>
          </w:p>
        </w:tc>
      </w:tr>
      <w:tr w:rsidR="00530BEB" w14:paraId="1FF7D839" w14:textId="77777777" w:rsidTr="00530BEB">
        <w:trPr>
          <w:trHeight w:val="57"/>
          <w:jc w:val="center"/>
        </w:trPr>
        <w:tc>
          <w:tcPr>
            <w:tcW w:w="1049" w:type="pct"/>
            <w:tcBorders>
              <w:right w:val="single" w:sz="4" w:space="0" w:color="auto"/>
            </w:tcBorders>
            <w:vAlign w:val="center"/>
          </w:tcPr>
          <w:p w14:paraId="7B82A464" w14:textId="7A86FB6F" w:rsidR="00530BEB" w:rsidRDefault="00530BEB" w:rsidP="00530BEB">
            <w:pPr>
              <w:adjustRightInd w:val="0"/>
              <w:snapToGrid w:val="0"/>
              <w:jc w:val="center"/>
            </w:pPr>
            <w:r>
              <w:t>砷</w:t>
            </w:r>
          </w:p>
        </w:tc>
        <w:tc>
          <w:tcPr>
            <w:tcW w:w="1659" w:type="pct"/>
            <w:tcBorders>
              <w:top w:val="single" w:sz="4" w:space="0" w:color="auto"/>
              <w:left w:val="single" w:sz="4" w:space="0" w:color="auto"/>
              <w:bottom w:val="single" w:sz="4" w:space="0" w:color="auto"/>
              <w:right w:val="single" w:sz="4" w:space="0" w:color="auto"/>
            </w:tcBorders>
            <w:vAlign w:val="center"/>
          </w:tcPr>
          <w:p w14:paraId="60C2AC89" w14:textId="43739BF8" w:rsidR="00530BEB" w:rsidRDefault="00530BEB" w:rsidP="00530BEB">
            <w:pPr>
              <w:adjustRightInd w:val="0"/>
              <w:snapToGrid w:val="0"/>
              <w:jc w:val="center"/>
              <w:rPr>
                <w:bCs/>
              </w:rPr>
            </w:pPr>
            <w:r>
              <w:rPr>
                <w:color w:val="000000"/>
              </w:rPr>
              <w:t>3.88</w:t>
            </w:r>
          </w:p>
        </w:tc>
        <w:tc>
          <w:tcPr>
            <w:tcW w:w="1661" w:type="pct"/>
            <w:tcBorders>
              <w:top w:val="single" w:sz="4" w:space="0" w:color="auto"/>
              <w:left w:val="single" w:sz="4" w:space="0" w:color="auto"/>
              <w:bottom w:val="single" w:sz="4" w:space="0" w:color="auto"/>
              <w:right w:val="single" w:sz="4" w:space="0" w:color="auto"/>
            </w:tcBorders>
            <w:vAlign w:val="center"/>
          </w:tcPr>
          <w:p w14:paraId="2761F284" w14:textId="5ADF4511" w:rsidR="00530BEB" w:rsidRDefault="00530BEB" w:rsidP="00530BEB">
            <w:pPr>
              <w:adjustRightInd w:val="0"/>
              <w:snapToGrid w:val="0"/>
              <w:jc w:val="center"/>
              <w:rPr>
                <w:bCs/>
              </w:rPr>
            </w:pPr>
            <w:r>
              <w:rPr>
                <w:color w:val="000000"/>
              </w:rPr>
              <w:t>4.04</w:t>
            </w:r>
          </w:p>
        </w:tc>
        <w:tc>
          <w:tcPr>
            <w:tcW w:w="631" w:type="pct"/>
            <w:vMerge w:val="restart"/>
            <w:tcBorders>
              <w:left w:val="single" w:sz="4" w:space="0" w:color="auto"/>
            </w:tcBorders>
            <w:vAlign w:val="center"/>
          </w:tcPr>
          <w:p w14:paraId="73A17742" w14:textId="0E4A552C" w:rsidR="00530BEB" w:rsidRDefault="00530BEB" w:rsidP="00530BEB">
            <w:pPr>
              <w:adjustRightInd w:val="0"/>
              <w:snapToGrid w:val="0"/>
              <w:spacing w:line="0" w:lineRule="atLeast"/>
              <w:jc w:val="center"/>
              <w:rPr>
                <w:bCs/>
              </w:rPr>
            </w:pPr>
            <w:r>
              <w:rPr>
                <w:rFonts w:hint="eastAsia"/>
                <w:kern w:val="0"/>
              </w:rPr>
              <w:t>25</w:t>
            </w:r>
          </w:p>
        </w:tc>
      </w:tr>
      <w:tr w:rsidR="00530BEB" w14:paraId="6D19966C" w14:textId="77777777" w:rsidTr="00530BEB">
        <w:trPr>
          <w:trHeight w:val="57"/>
          <w:jc w:val="center"/>
        </w:trPr>
        <w:tc>
          <w:tcPr>
            <w:tcW w:w="1049" w:type="pct"/>
            <w:tcBorders>
              <w:right w:val="single" w:sz="4" w:space="0" w:color="auto"/>
            </w:tcBorders>
            <w:vAlign w:val="center"/>
          </w:tcPr>
          <w:p w14:paraId="134E24B0" w14:textId="6FD863FB" w:rsidR="00530BEB" w:rsidRDefault="00530BEB" w:rsidP="00530BEB">
            <w:pPr>
              <w:adjustRightInd w:val="0"/>
              <w:snapToGrid w:val="0"/>
              <w:jc w:val="center"/>
            </w:pPr>
            <w:r>
              <w:rPr>
                <w:rFonts w:hint="eastAsia"/>
              </w:rPr>
              <w:t>标准指数</w:t>
            </w:r>
          </w:p>
        </w:tc>
        <w:tc>
          <w:tcPr>
            <w:tcW w:w="1659" w:type="pct"/>
            <w:tcBorders>
              <w:top w:val="single" w:sz="4" w:space="0" w:color="auto"/>
              <w:left w:val="single" w:sz="4" w:space="0" w:color="auto"/>
              <w:bottom w:val="single" w:sz="4" w:space="0" w:color="auto"/>
              <w:right w:val="single" w:sz="4" w:space="0" w:color="auto"/>
            </w:tcBorders>
            <w:vAlign w:val="center"/>
          </w:tcPr>
          <w:p w14:paraId="37E22983" w14:textId="4269864D" w:rsidR="00530BEB" w:rsidRDefault="00530BEB" w:rsidP="00530BEB">
            <w:pPr>
              <w:adjustRightInd w:val="0"/>
              <w:snapToGrid w:val="0"/>
              <w:jc w:val="center"/>
              <w:rPr>
                <w:kern w:val="0"/>
              </w:rPr>
            </w:pPr>
            <w:r>
              <w:rPr>
                <w:color w:val="000000"/>
              </w:rPr>
              <w:t>0.1552</w:t>
            </w:r>
          </w:p>
        </w:tc>
        <w:tc>
          <w:tcPr>
            <w:tcW w:w="1661" w:type="pct"/>
            <w:tcBorders>
              <w:top w:val="single" w:sz="4" w:space="0" w:color="auto"/>
              <w:left w:val="single" w:sz="4" w:space="0" w:color="auto"/>
              <w:bottom w:val="single" w:sz="4" w:space="0" w:color="auto"/>
              <w:right w:val="single" w:sz="4" w:space="0" w:color="auto"/>
            </w:tcBorders>
            <w:vAlign w:val="center"/>
          </w:tcPr>
          <w:p w14:paraId="7A5F5B8E" w14:textId="65520BBE" w:rsidR="00530BEB" w:rsidRDefault="00530BEB" w:rsidP="00530BEB">
            <w:pPr>
              <w:adjustRightInd w:val="0"/>
              <w:snapToGrid w:val="0"/>
              <w:jc w:val="center"/>
              <w:rPr>
                <w:kern w:val="0"/>
              </w:rPr>
            </w:pPr>
            <w:r>
              <w:rPr>
                <w:color w:val="000000"/>
              </w:rPr>
              <w:t>0.1616</w:t>
            </w:r>
          </w:p>
        </w:tc>
        <w:tc>
          <w:tcPr>
            <w:tcW w:w="631" w:type="pct"/>
            <w:vMerge/>
            <w:tcBorders>
              <w:left w:val="single" w:sz="4" w:space="0" w:color="auto"/>
            </w:tcBorders>
            <w:vAlign w:val="center"/>
          </w:tcPr>
          <w:p w14:paraId="3748560A" w14:textId="77777777" w:rsidR="00530BEB" w:rsidRDefault="00530BEB" w:rsidP="00530BEB">
            <w:pPr>
              <w:adjustRightInd w:val="0"/>
              <w:snapToGrid w:val="0"/>
              <w:spacing w:line="0" w:lineRule="atLeast"/>
              <w:jc w:val="center"/>
              <w:rPr>
                <w:kern w:val="0"/>
              </w:rPr>
            </w:pPr>
          </w:p>
        </w:tc>
      </w:tr>
      <w:tr w:rsidR="00530BEB" w14:paraId="2F3C72C9" w14:textId="77777777" w:rsidTr="00530BEB">
        <w:trPr>
          <w:trHeight w:val="57"/>
          <w:jc w:val="center"/>
        </w:trPr>
        <w:tc>
          <w:tcPr>
            <w:tcW w:w="1049" w:type="pct"/>
            <w:tcBorders>
              <w:right w:val="single" w:sz="4" w:space="0" w:color="auto"/>
            </w:tcBorders>
            <w:vAlign w:val="center"/>
          </w:tcPr>
          <w:p w14:paraId="022EB703" w14:textId="2768D31A" w:rsidR="00530BEB" w:rsidRDefault="00530BEB" w:rsidP="00530BEB">
            <w:pPr>
              <w:adjustRightInd w:val="0"/>
              <w:snapToGrid w:val="0"/>
              <w:jc w:val="center"/>
            </w:pPr>
            <w:r>
              <w:t>铅</w:t>
            </w:r>
          </w:p>
        </w:tc>
        <w:tc>
          <w:tcPr>
            <w:tcW w:w="1659" w:type="pct"/>
            <w:tcBorders>
              <w:top w:val="single" w:sz="4" w:space="0" w:color="auto"/>
              <w:left w:val="single" w:sz="4" w:space="0" w:color="auto"/>
              <w:bottom w:val="single" w:sz="4" w:space="0" w:color="auto"/>
              <w:right w:val="single" w:sz="4" w:space="0" w:color="auto"/>
            </w:tcBorders>
            <w:vAlign w:val="center"/>
          </w:tcPr>
          <w:p w14:paraId="1E19D794" w14:textId="7053980A" w:rsidR="00530BEB" w:rsidRDefault="00530BEB" w:rsidP="00530BEB">
            <w:pPr>
              <w:adjustRightInd w:val="0"/>
              <w:snapToGrid w:val="0"/>
              <w:jc w:val="center"/>
              <w:rPr>
                <w:bCs/>
              </w:rPr>
            </w:pPr>
            <w:r>
              <w:rPr>
                <w:color w:val="000000"/>
              </w:rPr>
              <w:t>24.7</w:t>
            </w:r>
          </w:p>
        </w:tc>
        <w:tc>
          <w:tcPr>
            <w:tcW w:w="1661" w:type="pct"/>
            <w:tcBorders>
              <w:top w:val="single" w:sz="4" w:space="0" w:color="auto"/>
              <w:left w:val="single" w:sz="4" w:space="0" w:color="auto"/>
              <w:bottom w:val="single" w:sz="4" w:space="0" w:color="auto"/>
              <w:right w:val="single" w:sz="4" w:space="0" w:color="auto"/>
            </w:tcBorders>
            <w:vAlign w:val="center"/>
          </w:tcPr>
          <w:p w14:paraId="60700BC0" w14:textId="669B64B2" w:rsidR="00530BEB" w:rsidRDefault="00530BEB" w:rsidP="00530BEB">
            <w:pPr>
              <w:adjustRightInd w:val="0"/>
              <w:snapToGrid w:val="0"/>
              <w:jc w:val="center"/>
              <w:rPr>
                <w:bCs/>
              </w:rPr>
            </w:pPr>
            <w:r>
              <w:rPr>
                <w:color w:val="000000"/>
              </w:rPr>
              <w:t>23.1</w:t>
            </w:r>
          </w:p>
        </w:tc>
        <w:tc>
          <w:tcPr>
            <w:tcW w:w="631" w:type="pct"/>
            <w:vMerge w:val="restart"/>
            <w:tcBorders>
              <w:left w:val="single" w:sz="4" w:space="0" w:color="auto"/>
            </w:tcBorders>
            <w:vAlign w:val="center"/>
          </w:tcPr>
          <w:p w14:paraId="457FAD6D" w14:textId="5149A915" w:rsidR="00530BEB" w:rsidRDefault="00530BEB" w:rsidP="00530BEB">
            <w:pPr>
              <w:adjustRightInd w:val="0"/>
              <w:snapToGrid w:val="0"/>
              <w:jc w:val="center"/>
            </w:pPr>
            <w:r>
              <w:rPr>
                <w:rFonts w:hint="eastAsia"/>
                <w:kern w:val="0"/>
              </w:rPr>
              <w:t>170</w:t>
            </w:r>
          </w:p>
        </w:tc>
      </w:tr>
      <w:tr w:rsidR="00530BEB" w14:paraId="545FFC07" w14:textId="77777777" w:rsidTr="00530BEB">
        <w:trPr>
          <w:trHeight w:val="57"/>
          <w:jc w:val="center"/>
        </w:trPr>
        <w:tc>
          <w:tcPr>
            <w:tcW w:w="1049" w:type="pct"/>
            <w:tcBorders>
              <w:right w:val="single" w:sz="4" w:space="0" w:color="auto"/>
            </w:tcBorders>
            <w:vAlign w:val="center"/>
          </w:tcPr>
          <w:p w14:paraId="7177ADD0" w14:textId="5B807F8E" w:rsidR="00530BEB" w:rsidRDefault="00530BEB" w:rsidP="00530BEB">
            <w:pPr>
              <w:adjustRightInd w:val="0"/>
              <w:snapToGrid w:val="0"/>
              <w:jc w:val="center"/>
            </w:pPr>
            <w:r>
              <w:rPr>
                <w:rFonts w:hint="eastAsia"/>
              </w:rPr>
              <w:t>标准指数</w:t>
            </w:r>
          </w:p>
        </w:tc>
        <w:tc>
          <w:tcPr>
            <w:tcW w:w="1659" w:type="pct"/>
            <w:tcBorders>
              <w:top w:val="single" w:sz="4" w:space="0" w:color="auto"/>
              <w:left w:val="single" w:sz="4" w:space="0" w:color="auto"/>
              <w:bottom w:val="single" w:sz="4" w:space="0" w:color="auto"/>
              <w:right w:val="single" w:sz="4" w:space="0" w:color="auto"/>
            </w:tcBorders>
            <w:vAlign w:val="center"/>
          </w:tcPr>
          <w:p w14:paraId="1753ECA4" w14:textId="7272E703" w:rsidR="00530BEB" w:rsidRDefault="00530BEB" w:rsidP="00530BEB">
            <w:pPr>
              <w:adjustRightInd w:val="0"/>
              <w:snapToGrid w:val="0"/>
              <w:jc w:val="center"/>
              <w:rPr>
                <w:kern w:val="0"/>
              </w:rPr>
            </w:pPr>
            <w:r>
              <w:rPr>
                <w:color w:val="000000"/>
              </w:rPr>
              <w:t xml:space="preserve">0.1453 </w:t>
            </w:r>
          </w:p>
        </w:tc>
        <w:tc>
          <w:tcPr>
            <w:tcW w:w="1661" w:type="pct"/>
            <w:tcBorders>
              <w:top w:val="single" w:sz="4" w:space="0" w:color="auto"/>
              <w:left w:val="single" w:sz="4" w:space="0" w:color="auto"/>
              <w:bottom w:val="single" w:sz="4" w:space="0" w:color="auto"/>
              <w:right w:val="single" w:sz="4" w:space="0" w:color="auto"/>
            </w:tcBorders>
            <w:vAlign w:val="center"/>
          </w:tcPr>
          <w:p w14:paraId="09AA0E99" w14:textId="3D1562F0" w:rsidR="00530BEB" w:rsidRDefault="00530BEB" w:rsidP="00530BEB">
            <w:pPr>
              <w:adjustRightInd w:val="0"/>
              <w:snapToGrid w:val="0"/>
              <w:jc w:val="center"/>
              <w:rPr>
                <w:kern w:val="0"/>
              </w:rPr>
            </w:pPr>
            <w:r>
              <w:rPr>
                <w:color w:val="000000"/>
              </w:rPr>
              <w:t xml:space="preserve">0.1359 </w:t>
            </w:r>
          </w:p>
        </w:tc>
        <w:tc>
          <w:tcPr>
            <w:tcW w:w="631" w:type="pct"/>
            <w:vMerge/>
            <w:tcBorders>
              <w:left w:val="single" w:sz="4" w:space="0" w:color="auto"/>
            </w:tcBorders>
            <w:vAlign w:val="center"/>
          </w:tcPr>
          <w:p w14:paraId="5BFEADD7" w14:textId="77777777" w:rsidR="00530BEB" w:rsidRDefault="00530BEB" w:rsidP="00530BEB">
            <w:pPr>
              <w:adjustRightInd w:val="0"/>
              <w:snapToGrid w:val="0"/>
              <w:jc w:val="center"/>
              <w:rPr>
                <w:kern w:val="0"/>
              </w:rPr>
            </w:pPr>
          </w:p>
        </w:tc>
      </w:tr>
      <w:tr w:rsidR="00530BEB" w14:paraId="0055929E" w14:textId="77777777" w:rsidTr="00530BEB">
        <w:trPr>
          <w:trHeight w:val="57"/>
          <w:jc w:val="center"/>
        </w:trPr>
        <w:tc>
          <w:tcPr>
            <w:tcW w:w="1049" w:type="pct"/>
            <w:tcBorders>
              <w:right w:val="single" w:sz="4" w:space="0" w:color="auto"/>
            </w:tcBorders>
            <w:vAlign w:val="center"/>
          </w:tcPr>
          <w:p w14:paraId="3D0C54B3" w14:textId="7B7756FF" w:rsidR="00530BEB" w:rsidRDefault="00530BEB" w:rsidP="00530BEB">
            <w:pPr>
              <w:adjustRightInd w:val="0"/>
              <w:snapToGrid w:val="0"/>
              <w:jc w:val="center"/>
            </w:pPr>
            <w:r>
              <w:t>汞</w:t>
            </w:r>
          </w:p>
        </w:tc>
        <w:tc>
          <w:tcPr>
            <w:tcW w:w="1659" w:type="pct"/>
            <w:tcBorders>
              <w:top w:val="single" w:sz="4" w:space="0" w:color="auto"/>
              <w:left w:val="single" w:sz="4" w:space="0" w:color="auto"/>
              <w:bottom w:val="single" w:sz="4" w:space="0" w:color="auto"/>
              <w:right w:val="single" w:sz="4" w:space="0" w:color="auto"/>
            </w:tcBorders>
            <w:vAlign w:val="center"/>
          </w:tcPr>
          <w:p w14:paraId="0DB26A47" w14:textId="183E79DB" w:rsidR="00530BEB" w:rsidRDefault="00530BEB" w:rsidP="00530BEB">
            <w:pPr>
              <w:adjustRightInd w:val="0"/>
              <w:snapToGrid w:val="0"/>
              <w:jc w:val="center"/>
              <w:rPr>
                <w:bCs/>
              </w:rPr>
            </w:pPr>
            <w:r>
              <w:rPr>
                <w:color w:val="000000"/>
              </w:rPr>
              <w:t>0.021</w:t>
            </w:r>
          </w:p>
        </w:tc>
        <w:tc>
          <w:tcPr>
            <w:tcW w:w="1661" w:type="pct"/>
            <w:tcBorders>
              <w:top w:val="single" w:sz="4" w:space="0" w:color="auto"/>
              <w:left w:val="single" w:sz="4" w:space="0" w:color="auto"/>
              <w:bottom w:val="single" w:sz="4" w:space="0" w:color="auto"/>
              <w:right w:val="single" w:sz="4" w:space="0" w:color="auto"/>
            </w:tcBorders>
            <w:vAlign w:val="center"/>
          </w:tcPr>
          <w:p w14:paraId="10A3D394" w14:textId="2CD6F003" w:rsidR="00530BEB" w:rsidRDefault="00530BEB" w:rsidP="00530BEB">
            <w:pPr>
              <w:adjustRightInd w:val="0"/>
              <w:snapToGrid w:val="0"/>
              <w:jc w:val="center"/>
              <w:rPr>
                <w:bCs/>
              </w:rPr>
            </w:pPr>
            <w:r>
              <w:rPr>
                <w:color w:val="000000"/>
              </w:rPr>
              <w:t>0.018</w:t>
            </w:r>
          </w:p>
        </w:tc>
        <w:tc>
          <w:tcPr>
            <w:tcW w:w="631" w:type="pct"/>
            <w:vMerge w:val="restart"/>
            <w:tcBorders>
              <w:left w:val="single" w:sz="4" w:space="0" w:color="auto"/>
            </w:tcBorders>
            <w:vAlign w:val="center"/>
          </w:tcPr>
          <w:p w14:paraId="77F88790" w14:textId="1DBBE63D" w:rsidR="00530BEB" w:rsidRDefault="00530BEB" w:rsidP="00530BEB">
            <w:pPr>
              <w:adjustRightInd w:val="0"/>
              <w:snapToGrid w:val="0"/>
              <w:spacing w:line="0" w:lineRule="atLeast"/>
              <w:jc w:val="center"/>
              <w:rPr>
                <w:bCs/>
              </w:rPr>
            </w:pPr>
            <w:r>
              <w:rPr>
                <w:rFonts w:hint="eastAsia"/>
              </w:rPr>
              <w:t>3.4</w:t>
            </w:r>
          </w:p>
        </w:tc>
      </w:tr>
      <w:tr w:rsidR="00530BEB" w14:paraId="3D7AFF91" w14:textId="77777777" w:rsidTr="00530BEB">
        <w:trPr>
          <w:trHeight w:val="57"/>
          <w:jc w:val="center"/>
        </w:trPr>
        <w:tc>
          <w:tcPr>
            <w:tcW w:w="1049" w:type="pct"/>
            <w:tcBorders>
              <w:right w:val="single" w:sz="4" w:space="0" w:color="auto"/>
            </w:tcBorders>
            <w:vAlign w:val="center"/>
          </w:tcPr>
          <w:p w14:paraId="60F06355" w14:textId="6BAA4FA9" w:rsidR="00530BEB" w:rsidRDefault="00530BEB" w:rsidP="00530BEB">
            <w:pPr>
              <w:adjustRightInd w:val="0"/>
              <w:snapToGrid w:val="0"/>
              <w:jc w:val="center"/>
            </w:pPr>
            <w:r>
              <w:rPr>
                <w:rFonts w:hint="eastAsia"/>
              </w:rPr>
              <w:t>标准指数</w:t>
            </w:r>
          </w:p>
        </w:tc>
        <w:tc>
          <w:tcPr>
            <w:tcW w:w="1659" w:type="pct"/>
            <w:tcBorders>
              <w:top w:val="single" w:sz="4" w:space="0" w:color="auto"/>
              <w:left w:val="single" w:sz="4" w:space="0" w:color="auto"/>
              <w:bottom w:val="single" w:sz="4" w:space="0" w:color="auto"/>
              <w:right w:val="single" w:sz="4" w:space="0" w:color="auto"/>
            </w:tcBorders>
            <w:vAlign w:val="center"/>
          </w:tcPr>
          <w:p w14:paraId="011FA0E7" w14:textId="4CC26002" w:rsidR="00530BEB" w:rsidRDefault="00530BEB" w:rsidP="00530BEB">
            <w:pPr>
              <w:adjustRightInd w:val="0"/>
              <w:snapToGrid w:val="0"/>
              <w:jc w:val="center"/>
            </w:pPr>
            <w:r>
              <w:rPr>
                <w:color w:val="000000"/>
              </w:rPr>
              <w:t xml:space="preserve">0.0062 </w:t>
            </w:r>
          </w:p>
        </w:tc>
        <w:tc>
          <w:tcPr>
            <w:tcW w:w="1661" w:type="pct"/>
            <w:tcBorders>
              <w:top w:val="single" w:sz="4" w:space="0" w:color="auto"/>
              <w:left w:val="single" w:sz="4" w:space="0" w:color="auto"/>
              <w:bottom w:val="single" w:sz="4" w:space="0" w:color="auto"/>
              <w:right w:val="single" w:sz="4" w:space="0" w:color="auto"/>
            </w:tcBorders>
            <w:vAlign w:val="center"/>
          </w:tcPr>
          <w:p w14:paraId="356C7C69" w14:textId="57E9FA0D" w:rsidR="00530BEB" w:rsidRDefault="00530BEB" w:rsidP="00530BEB">
            <w:pPr>
              <w:adjustRightInd w:val="0"/>
              <w:snapToGrid w:val="0"/>
              <w:jc w:val="center"/>
              <w:rPr>
                <w:kern w:val="0"/>
              </w:rPr>
            </w:pPr>
            <w:r>
              <w:rPr>
                <w:color w:val="000000"/>
              </w:rPr>
              <w:t xml:space="preserve">0.0053 </w:t>
            </w:r>
          </w:p>
        </w:tc>
        <w:tc>
          <w:tcPr>
            <w:tcW w:w="631" w:type="pct"/>
            <w:vMerge/>
            <w:tcBorders>
              <w:left w:val="single" w:sz="4" w:space="0" w:color="auto"/>
            </w:tcBorders>
            <w:vAlign w:val="center"/>
          </w:tcPr>
          <w:p w14:paraId="1DED8E5B" w14:textId="77777777" w:rsidR="00530BEB" w:rsidRDefault="00530BEB" w:rsidP="00530BEB">
            <w:pPr>
              <w:adjustRightInd w:val="0"/>
              <w:snapToGrid w:val="0"/>
              <w:spacing w:line="0" w:lineRule="atLeast"/>
              <w:jc w:val="center"/>
            </w:pPr>
          </w:p>
        </w:tc>
      </w:tr>
      <w:tr w:rsidR="00530BEB" w14:paraId="321F85D0" w14:textId="77777777" w:rsidTr="00530BEB">
        <w:trPr>
          <w:trHeight w:val="57"/>
          <w:jc w:val="center"/>
        </w:trPr>
        <w:tc>
          <w:tcPr>
            <w:tcW w:w="1049" w:type="pct"/>
            <w:tcBorders>
              <w:right w:val="single" w:sz="4" w:space="0" w:color="auto"/>
            </w:tcBorders>
            <w:vAlign w:val="center"/>
          </w:tcPr>
          <w:p w14:paraId="6DE662DB" w14:textId="2C516A93" w:rsidR="00530BEB" w:rsidRDefault="00530BEB" w:rsidP="00530BEB">
            <w:pPr>
              <w:adjustRightInd w:val="0"/>
              <w:snapToGrid w:val="0"/>
              <w:jc w:val="center"/>
            </w:pPr>
            <w:r>
              <w:rPr>
                <w:rFonts w:hint="eastAsia"/>
              </w:rPr>
              <w:t>铬</w:t>
            </w:r>
          </w:p>
        </w:tc>
        <w:tc>
          <w:tcPr>
            <w:tcW w:w="1659" w:type="pct"/>
            <w:tcBorders>
              <w:top w:val="single" w:sz="4" w:space="0" w:color="auto"/>
              <w:left w:val="single" w:sz="4" w:space="0" w:color="auto"/>
              <w:bottom w:val="single" w:sz="4" w:space="0" w:color="auto"/>
              <w:right w:val="single" w:sz="4" w:space="0" w:color="auto"/>
            </w:tcBorders>
            <w:vAlign w:val="center"/>
          </w:tcPr>
          <w:p w14:paraId="4257A2E9" w14:textId="6EACADFA" w:rsidR="00530BEB" w:rsidRDefault="00530BEB" w:rsidP="00530BEB">
            <w:pPr>
              <w:adjustRightInd w:val="0"/>
              <w:snapToGrid w:val="0"/>
              <w:jc w:val="center"/>
              <w:rPr>
                <w:bCs/>
              </w:rPr>
            </w:pPr>
            <w:r>
              <w:rPr>
                <w:color w:val="000000"/>
              </w:rPr>
              <w:t>53</w:t>
            </w:r>
          </w:p>
        </w:tc>
        <w:tc>
          <w:tcPr>
            <w:tcW w:w="1661" w:type="pct"/>
            <w:tcBorders>
              <w:top w:val="single" w:sz="4" w:space="0" w:color="auto"/>
              <w:left w:val="single" w:sz="4" w:space="0" w:color="auto"/>
              <w:bottom w:val="single" w:sz="4" w:space="0" w:color="auto"/>
              <w:right w:val="single" w:sz="4" w:space="0" w:color="auto"/>
            </w:tcBorders>
            <w:vAlign w:val="center"/>
          </w:tcPr>
          <w:p w14:paraId="37119352" w14:textId="6EBB8387" w:rsidR="00530BEB" w:rsidRDefault="00530BEB" w:rsidP="00530BEB">
            <w:pPr>
              <w:adjustRightInd w:val="0"/>
              <w:snapToGrid w:val="0"/>
              <w:jc w:val="center"/>
              <w:rPr>
                <w:bCs/>
              </w:rPr>
            </w:pPr>
            <w:r>
              <w:rPr>
                <w:color w:val="000000"/>
              </w:rPr>
              <w:t>49</w:t>
            </w:r>
          </w:p>
        </w:tc>
        <w:tc>
          <w:tcPr>
            <w:tcW w:w="631" w:type="pct"/>
            <w:vMerge w:val="restart"/>
            <w:tcBorders>
              <w:left w:val="single" w:sz="4" w:space="0" w:color="auto"/>
            </w:tcBorders>
            <w:vAlign w:val="center"/>
          </w:tcPr>
          <w:p w14:paraId="384D7FFD" w14:textId="5E6A6C52" w:rsidR="00530BEB" w:rsidRDefault="00530BEB" w:rsidP="00530BEB">
            <w:pPr>
              <w:adjustRightInd w:val="0"/>
              <w:snapToGrid w:val="0"/>
              <w:spacing w:line="0" w:lineRule="atLeast"/>
              <w:jc w:val="center"/>
              <w:rPr>
                <w:bCs/>
              </w:rPr>
            </w:pPr>
            <w:r>
              <w:rPr>
                <w:rFonts w:hint="eastAsia"/>
              </w:rPr>
              <w:t>250</w:t>
            </w:r>
          </w:p>
        </w:tc>
      </w:tr>
      <w:tr w:rsidR="00530BEB" w14:paraId="60BD630E" w14:textId="77777777" w:rsidTr="00530BEB">
        <w:trPr>
          <w:trHeight w:val="57"/>
          <w:jc w:val="center"/>
        </w:trPr>
        <w:tc>
          <w:tcPr>
            <w:tcW w:w="1049" w:type="pct"/>
            <w:tcBorders>
              <w:right w:val="single" w:sz="4" w:space="0" w:color="auto"/>
            </w:tcBorders>
            <w:vAlign w:val="center"/>
          </w:tcPr>
          <w:p w14:paraId="09FB01E7" w14:textId="7FBF07DE" w:rsidR="00530BEB" w:rsidRDefault="00530BEB" w:rsidP="00530BEB">
            <w:pPr>
              <w:adjustRightInd w:val="0"/>
              <w:snapToGrid w:val="0"/>
              <w:jc w:val="center"/>
            </w:pPr>
            <w:r>
              <w:rPr>
                <w:rFonts w:hint="eastAsia"/>
              </w:rPr>
              <w:t>标准指数</w:t>
            </w:r>
          </w:p>
        </w:tc>
        <w:tc>
          <w:tcPr>
            <w:tcW w:w="1659" w:type="pct"/>
            <w:tcBorders>
              <w:top w:val="single" w:sz="4" w:space="0" w:color="auto"/>
              <w:left w:val="single" w:sz="4" w:space="0" w:color="auto"/>
              <w:bottom w:val="single" w:sz="4" w:space="0" w:color="auto"/>
              <w:right w:val="single" w:sz="4" w:space="0" w:color="auto"/>
            </w:tcBorders>
            <w:vAlign w:val="center"/>
          </w:tcPr>
          <w:p w14:paraId="7D84AB3E" w14:textId="2AB1BFD1" w:rsidR="00530BEB" w:rsidRDefault="00530BEB" w:rsidP="00530BEB">
            <w:pPr>
              <w:adjustRightInd w:val="0"/>
              <w:snapToGrid w:val="0"/>
              <w:jc w:val="center"/>
            </w:pPr>
            <w:r>
              <w:rPr>
                <w:color w:val="000000"/>
              </w:rPr>
              <w:t>0.212</w:t>
            </w:r>
          </w:p>
        </w:tc>
        <w:tc>
          <w:tcPr>
            <w:tcW w:w="1661" w:type="pct"/>
            <w:tcBorders>
              <w:top w:val="single" w:sz="4" w:space="0" w:color="auto"/>
              <w:left w:val="single" w:sz="4" w:space="0" w:color="auto"/>
              <w:bottom w:val="single" w:sz="4" w:space="0" w:color="auto"/>
              <w:right w:val="single" w:sz="4" w:space="0" w:color="auto"/>
            </w:tcBorders>
            <w:vAlign w:val="center"/>
          </w:tcPr>
          <w:p w14:paraId="65AA6FCB" w14:textId="00186C74" w:rsidR="00530BEB" w:rsidRDefault="00530BEB" w:rsidP="00530BEB">
            <w:pPr>
              <w:adjustRightInd w:val="0"/>
              <w:snapToGrid w:val="0"/>
              <w:jc w:val="center"/>
              <w:rPr>
                <w:kern w:val="0"/>
              </w:rPr>
            </w:pPr>
            <w:r>
              <w:rPr>
                <w:color w:val="000000"/>
              </w:rPr>
              <w:t>0.196</w:t>
            </w:r>
          </w:p>
        </w:tc>
        <w:tc>
          <w:tcPr>
            <w:tcW w:w="631" w:type="pct"/>
            <w:vMerge/>
            <w:tcBorders>
              <w:left w:val="single" w:sz="4" w:space="0" w:color="auto"/>
            </w:tcBorders>
            <w:vAlign w:val="center"/>
          </w:tcPr>
          <w:p w14:paraId="568FABC4" w14:textId="77777777" w:rsidR="00530BEB" w:rsidRDefault="00530BEB" w:rsidP="00530BEB">
            <w:pPr>
              <w:adjustRightInd w:val="0"/>
              <w:snapToGrid w:val="0"/>
              <w:spacing w:line="0" w:lineRule="atLeast"/>
              <w:jc w:val="center"/>
            </w:pPr>
          </w:p>
        </w:tc>
      </w:tr>
      <w:tr w:rsidR="00530BEB" w14:paraId="1FAB0927" w14:textId="77777777" w:rsidTr="00530BEB">
        <w:trPr>
          <w:trHeight w:val="57"/>
          <w:jc w:val="center"/>
        </w:trPr>
        <w:tc>
          <w:tcPr>
            <w:tcW w:w="1049" w:type="pct"/>
            <w:tcBorders>
              <w:right w:val="single" w:sz="4" w:space="0" w:color="auto"/>
            </w:tcBorders>
            <w:vAlign w:val="center"/>
          </w:tcPr>
          <w:p w14:paraId="7E5D3BF3" w14:textId="4A725FA5" w:rsidR="00530BEB" w:rsidRDefault="00530BEB" w:rsidP="00530BEB">
            <w:pPr>
              <w:adjustRightInd w:val="0"/>
              <w:snapToGrid w:val="0"/>
              <w:jc w:val="center"/>
            </w:pPr>
            <w:r>
              <w:rPr>
                <w:rFonts w:hint="eastAsia"/>
              </w:rPr>
              <w:t>铜</w:t>
            </w:r>
          </w:p>
        </w:tc>
        <w:tc>
          <w:tcPr>
            <w:tcW w:w="1659" w:type="pct"/>
            <w:tcBorders>
              <w:top w:val="single" w:sz="4" w:space="0" w:color="auto"/>
              <w:left w:val="single" w:sz="4" w:space="0" w:color="auto"/>
              <w:bottom w:val="single" w:sz="4" w:space="0" w:color="auto"/>
              <w:right w:val="single" w:sz="4" w:space="0" w:color="auto"/>
            </w:tcBorders>
            <w:vAlign w:val="center"/>
          </w:tcPr>
          <w:p w14:paraId="60A86B6A" w14:textId="18C5E6D8" w:rsidR="00530BEB" w:rsidRDefault="00530BEB" w:rsidP="00530BEB">
            <w:pPr>
              <w:adjustRightInd w:val="0"/>
              <w:snapToGrid w:val="0"/>
              <w:jc w:val="center"/>
            </w:pPr>
            <w:r>
              <w:rPr>
                <w:color w:val="000000"/>
              </w:rPr>
              <w:t>21</w:t>
            </w:r>
          </w:p>
        </w:tc>
        <w:tc>
          <w:tcPr>
            <w:tcW w:w="1661" w:type="pct"/>
            <w:tcBorders>
              <w:top w:val="single" w:sz="4" w:space="0" w:color="auto"/>
              <w:left w:val="single" w:sz="4" w:space="0" w:color="auto"/>
              <w:bottom w:val="single" w:sz="4" w:space="0" w:color="auto"/>
              <w:right w:val="single" w:sz="4" w:space="0" w:color="auto"/>
            </w:tcBorders>
            <w:vAlign w:val="center"/>
          </w:tcPr>
          <w:p w14:paraId="382DABE8" w14:textId="569B922D" w:rsidR="00530BEB" w:rsidRDefault="00530BEB" w:rsidP="00530BEB">
            <w:pPr>
              <w:adjustRightInd w:val="0"/>
              <w:snapToGrid w:val="0"/>
              <w:jc w:val="center"/>
            </w:pPr>
            <w:r>
              <w:rPr>
                <w:color w:val="000000"/>
              </w:rPr>
              <w:t>24</w:t>
            </w:r>
          </w:p>
        </w:tc>
        <w:tc>
          <w:tcPr>
            <w:tcW w:w="631" w:type="pct"/>
            <w:vMerge w:val="restart"/>
            <w:tcBorders>
              <w:left w:val="single" w:sz="4" w:space="0" w:color="auto"/>
            </w:tcBorders>
            <w:vAlign w:val="center"/>
          </w:tcPr>
          <w:p w14:paraId="4B28BA6C" w14:textId="7855B78B" w:rsidR="00530BEB" w:rsidRDefault="00530BEB" w:rsidP="00530BEB">
            <w:pPr>
              <w:adjustRightInd w:val="0"/>
              <w:snapToGrid w:val="0"/>
              <w:jc w:val="center"/>
            </w:pPr>
            <w:r>
              <w:rPr>
                <w:rFonts w:hint="eastAsia"/>
              </w:rPr>
              <w:t>100</w:t>
            </w:r>
          </w:p>
        </w:tc>
      </w:tr>
      <w:tr w:rsidR="00530BEB" w14:paraId="31C843EF" w14:textId="77777777" w:rsidTr="00530BEB">
        <w:trPr>
          <w:trHeight w:val="57"/>
          <w:jc w:val="center"/>
        </w:trPr>
        <w:tc>
          <w:tcPr>
            <w:tcW w:w="1049" w:type="pct"/>
            <w:tcBorders>
              <w:right w:val="single" w:sz="4" w:space="0" w:color="auto"/>
            </w:tcBorders>
            <w:vAlign w:val="center"/>
          </w:tcPr>
          <w:p w14:paraId="2E80F670" w14:textId="5E9DCB0E" w:rsidR="00530BEB" w:rsidRDefault="00530BEB" w:rsidP="00530BEB">
            <w:pPr>
              <w:adjustRightInd w:val="0"/>
              <w:snapToGrid w:val="0"/>
              <w:jc w:val="center"/>
            </w:pPr>
            <w:r>
              <w:rPr>
                <w:rFonts w:hint="eastAsia"/>
              </w:rPr>
              <w:t>标准指数</w:t>
            </w:r>
          </w:p>
        </w:tc>
        <w:tc>
          <w:tcPr>
            <w:tcW w:w="1659" w:type="pct"/>
            <w:tcBorders>
              <w:top w:val="single" w:sz="4" w:space="0" w:color="auto"/>
              <w:left w:val="single" w:sz="4" w:space="0" w:color="auto"/>
              <w:bottom w:val="single" w:sz="4" w:space="0" w:color="auto"/>
              <w:right w:val="single" w:sz="4" w:space="0" w:color="auto"/>
            </w:tcBorders>
            <w:vAlign w:val="center"/>
          </w:tcPr>
          <w:p w14:paraId="247AE807" w14:textId="2943A57C" w:rsidR="00530BEB" w:rsidRDefault="00530BEB" w:rsidP="00530BEB">
            <w:pPr>
              <w:adjustRightInd w:val="0"/>
              <w:snapToGrid w:val="0"/>
              <w:jc w:val="center"/>
            </w:pPr>
            <w:r>
              <w:rPr>
                <w:color w:val="000000"/>
              </w:rPr>
              <w:t>0.21</w:t>
            </w:r>
          </w:p>
        </w:tc>
        <w:tc>
          <w:tcPr>
            <w:tcW w:w="1661" w:type="pct"/>
            <w:tcBorders>
              <w:top w:val="single" w:sz="4" w:space="0" w:color="auto"/>
              <w:left w:val="single" w:sz="4" w:space="0" w:color="auto"/>
              <w:bottom w:val="single" w:sz="4" w:space="0" w:color="auto"/>
              <w:right w:val="single" w:sz="4" w:space="0" w:color="auto"/>
            </w:tcBorders>
            <w:vAlign w:val="center"/>
          </w:tcPr>
          <w:p w14:paraId="1A241702" w14:textId="2330576C" w:rsidR="00530BEB" w:rsidRDefault="00530BEB" w:rsidP="00530BEB">
            <w:pPr>
              <w:adjustRightInd w:val="0"/>
              <w:snapToGrid w:val="0"/>
              <w:jc w:val="center"/>
              <w:rPr>
                <w:kern w:val="0"/>
              </w:rPr>
            </w:pPr>
            <w:r>
              <w:rPr>
                <w:color w:val="000000"/>
              </w:rPr>
              <w:t>0.24</w:t>
            </w:r>
          </w:p>
        </w:tc>
        <w:tc>
          <w:tcPr>
            <w:tcW w:w="631" w:type="pct"/>
            <w:vMerge/>
            <w:tcBorders>
              <w:left w:val="single" w:sz="4" w:space="0" w:color="auto"/>
            </w:tcBorders>
            <w:vAlign w:val="center"/>
          </w:tcPr>
          <w:p w14:paraId="75935F9F" w14:textId="77777777" w:rsidR="00530BEB" w:rsidRDefault="00530BEB" w:rsidP="00530BEB">
            <w:pPr>
              <w:adjustRightInd w:val="0"/>
              <w:snapToGrid w:val="0"/>
              <w:jc w:val="center"/>
            </w:pPr>
          </w:p>
        </w:tc>
      </w:tr>
      <w:tr w:rsidR="00530BEB" w14:paraId="600E13DA" w14:textId="77777777" w:rsidTr="00530BEB">
        <w:trPr>
          <w:trHeight w:val="57"/>
          <w:jc w:val="center"/>
        </w:trPr>
        <w:tc>
          <w:tcPr>
            <w:tcW w:w="1049" w:type="pct"/>
            <w:tcBorders>
              <w:right w:val="single" w:sz="4" w:space="0" w:color="auto"/>
            </w:tcBorders>
            <w:vAlign w:val="center"/>
          </w:tcPr>
          <w:p w14:paraId="7F8ADDFA" w14:textId="20CC1968" w:rsidR="00530BEB" w:rsidRDefault="00530BEB" w:rsidP="00530BEB">
            <w:pPr>
              <w:adjustRightInd w:val="0"/>
              <w:snapToGrid w:val="0"/>
              <w:jc w:val="center"/>
            </w:pPr>
            <w:r>
              <w:rPr>
                <w:rFonts w:hint="eastAsia"/>
              </w:rPr>
              <w:t>镍</w:t>
            </w:r>
          </w:p>
        </w:tc>
        <w:tc>
          <w:tcPr>
            <w:tcW w:w="1659" w:type="pct"/>
            <w:tcBorders>
              <w:top w:val="single" w:sz="4" w:space="0" w:color="auto"/>
              <w:left w:val="single" w:sz="4" w:space="0" w:color="auto"/>
              <w:bottom w:val="single" w:sz="4" w:space="0" w:color="auto"/>
              <w:right w:val="single" w:sz="4" w:space="0" w:color="auto"/>
            </w:tcBorders>
            <w:vAlign w:val="center"/>
          </w:tcPr>
          <w:p w14:paraId="06ECCFF7" w14:textId="79E2AF75" w:rsidR="00530BEB" w:rsidRDefault="00530BEB" w:rsidP="00530BEB">
            <w:pPr>
              <w:adjustRightInd w:val="0"/>
              <w:snapToGrid w:val="0"/>
              <w:jc w:val="center"/>
            </w:pPr>
            <w:r>
              <w:rPr>
                <w:color w:val="000000"/>
              </w:rPr>
              <w:t>19</w:t>
            </w:r>
          </w:p>
        </w:tc>
        <w:tc>
          <w:tcPr>
            <w:tcW w:w="1661" w:type="pct"/>
            <w:tcBorders>
              <w:top w:val="single" w:sz="4" w:space="0" w:color="auto"/>
              <w:left w:val="single" w:sz="4" w:space="0" w:color="auto"/>
              <w:bottom w:val="single" w:sz="4" w:space="0" w:color="auto"/>
              <w:right w:val="single" w:sz="4" w:space="0" w:color="auto"/>
            </w:tcBorders>
            <w:vAlign w:val="center"/>
          </w:tcPr>
          <w:p w14:paraId="45F2FAEA" w14:textId="1A47DB67" w:rsidR="00530BEB" w:rsidRDefault="00530BEB" w:rsidP="00530BEB">
            <w:pPr>
              <w:adjustRightInd w:val="0"/>
              <w:snapToGrid w:val="0"/>
              <w:jc w:val="center"/>
            </w:pPr>
            <w:r>
              <w:rPr>
                <w:color w:val="000000"/>
              </w:rPr>
              <w:t>17</w:t>
            </w:r>
          </w:p>
        </w:tc>
        <w:tc>
          <w:tcPr>
            <w:tcW w:w="631" w:type="pct"/>
            <w:vMerge w:val="restart"/>
            <w:tcBorders>
              <w:left w:val="single" w:sz="4" w:space="0" w:color="auto"/>
            </w:tcBorders>
            <w:vAlign w:val="center"/>
          </w:tcPr>
          <w:p w14:paraId="1590C817" w14:textId="44CDA054" w:rsidR="00530BEB" w:rsidRDefault="00530BEB" w:rsidP="00530BEB">
            <w:pPr>
              <w:adjustRightInd w:val="0"/>
              <w:snapToGrid w:val="0"/>
              <w:spacing w:line="0" w:lineRule="atLeast"/>
              <w:jc w:val="center"/>
              <w:rPr>
                <w:bCs/>
              </w:rPr>
            </w:pPr>
            <w:r>
              <w:rPr>
                <w:rFonts w:hint="eastAsia"/>
              </w:rPr>
              <w:t>190</w:t>
            </w:r>
          </w:p>
        </w:tc>
      </w:tr>
      <w:tr w:rsidR="00530BEB" w14:paraId="69BB5831" w14:textId="77777777" w:rsidTr="00530BEB">
        <w:trPr>
          <w:trHeight w:val="57"/>
          <w:jc w:val="center"/>
        </w:trPr>
        <w:tc>
          <w:tcPr>
            <w:tcW w:w="1049" w:type="pct"/>
            <w:tcBorders>
              <w:right w:val="single" w:sz="4" w:space="0" w:color="auto"/>
            </w:tcBorders>
            <w:vAlign w:val="center"/>
          </w:tcPr>
          <w:p w14:paraId="17BE50CF" w14:textId="6683B838" w:rsidR="00530BEB" w:rsidRDefault="00530BEB" w:rsidP="00530BEB">
            <w:pPr>
              <w:adjustRightInd w:val="0"/>
              <w:snapToGrid w:val="0"/>
              <w:jc w:val="center"/>
            </w:pPr>
            <w:r>
              <w:rPr>
                <w:rFonts w:hint="eastAsia"/>
              </w:rPr>
              <w:t>标准指数</w:t>
            </w:r>
          </w:p>
        </w:tc>
        <w:tc>
          <w:tcPr>
            <w:tcW w:w="1659" w:type="pct"/>
            <w:tcBorders>
              <w:top w:val="single" w:sz="4" w:space="0" w:color="auto"/>
              <w:left w:val="single" w:sz="4" w:space="0" w:color="auto"/>
              <w:bottom w:val="single" w:sz="4" w:space="0" w:color="auto"/>
              <w:right w:val="single" w:sz="4" w:space="0" w:color="auto"/>
            </w:tcBorders>
            <w:vAlign w:val="center"/>
          </w:tcPr>
          <w:p w14:paraId="7B2ED20A" w14:textId="51B8C599" w:rsidR="00530BEB" w:rsidRDefault="00530BEB" w:rsidP="00530BEB">
            <w:pPr>
              <w:adjustRightInd w:val="0"/>
              <w:snapToGrid w:val="0"/>
              <w:jc w:val="center"/>
            </w:pPr>
            <w:r>
              <w:rPr>
                <w:color w:val="000000"/>
              </w:rPr>
              <w:t>0.1</w:t>
            </w:r>
          </w:p>
        </w:tc>
        <w:tc>
          <w:tcPr>
            <w:tcW w:w="1661" w:type="pct"/>
            <w:tcBorders>
              <w:top w:val="single" w:sz="4" w:space="0" w:color="auto"/>
              <w:left w:val="single" w:sz="4" w:space="0" w:color="auto"/>
              <w:bottom w:val="single" w:sz="4" w:space="0" w:color="auto"/>
              <w:right w:val="single" w:sz="4" w:space="0" w:color="auto"/>
            </w:tcBorders>
            <w:vAlign w:val="center"/>
          </w:tcPr>
          <w:p w14:paraId="4E3CB65A" w14:textId="38816DDA" w:rsidR="00530BEB" w:rsidRDefault="00530BEB" w:rsidP="00530BEB">
            <w:pPr>
              <w:adjustRightInd w:val="0"/>
              <w:snapToGrid w:val="0"/>
              <w:jc w:val="center"/>
              <w:rPr>
                <w:kern w:val="0"/>
              </w:rPr>
            </w:pPr>
            <w:r>
              <w:rPr>
                <w:color w:val="000000"/>
              </w:rPr>
              <w:t xml:space="preserve">0.0895 </w:t>
            </w:r>
          </w:p>
        </w:tc>
        <w:tc>
          <w:tcPr>
            <w:tcW w:w="631" w:type="pct"/>
            <w:vMerge/>
            <w:tcBorders>
              <w:left w:val="single" w:sz="4" w:space="0" w:color="auto"/>
            </w:tcBorders>
            <w:vAlign w:val="center"/>
          </w:tcPr>
          <w:p w14:paraId="0A2C8A1E" w14:textId="77777777" w:rsidR="00530BEB" w:rsidRDefault="00530BEB" w:rsidP="00530BEB">
            <w:pPr>
              <w:adjustRightInd w:val="0"/>
              <w:snapToGrid w:val="0"/>
              <w:spacing w:line="0" w:lineRule="atLeast"/>
              <w:jc w:val="center"/>
            </w:pPr>
          </w:p>
        </w:tc>
      </w:tr>
      <w:tr w:rsidR="00530BEB" w14:paraId="34DCF240" w14:textId="77777777" w:rsidTr="00530BEB">
        <w:trPr>
          <w:trHeight w:val="57"/>
          <w:jc w:val="center"/>
        </w:trPr>
        <w:tc>
          <w:tcPr>
            <w:tcW w:w="1049" w:type="pct"/>
            <w:tcBorders>
              <w:right w:val="single" w:sz="4" w:space="0" w:color="auto"/>
            </w:tcBorders>
            <w:vAlign w:val="center"/>
          </w:tcPr>
          <w:p w14:paraId="171C7255" w14:textId="50F763CD" w:rsidR="00530BEB" w:rsidRDefault="00530BEB" w:rsidP="00530BEB">
            <w:pPr>
              <w:adjustRightInd w:val="0"/>
              <w:snapToGrid w:val="0"/>
              <w:jc w:val="center"/>
            </w:pPr>
            <w:r>
              <w:rPr>
                <w:rFonts w:hint="eastAsia"/>
              </w:rPr>
              <w:t>锌</w:t>
            </w:r>
          </w:p>
        </w:tc>
        <w:tc>
          <w:tcPr>
            <w:tcW w:w="1659" w:type="pct"/>
            <w:tcBorders>
              <w:top w:val="single" w:sz="4" w:space="0" w:color="auto"/>
              <w:left w:val="single" w:sz="4" w:space="0" w:color="auto"/>
              <w:bottom w:val="single" w:sz="4" w:space="0" w:color="auto"/>
              <w:right w:val="single" w:sz="4" w:space="0" w:color="auto"/>
            </w:tcBorders>
            <w:vAlign w:val="center"/>
          </w:tcPr>
          <w:p w14:paraId="6DB9C3C1" w14:textId="78E90266" w:rsidR="00530BEB" w:rsidRDefault="00530BEB" w:rsidP="00530BEB">
            <w:pPr>
              <w:adjustRightInd w:val="0"/>
              <w:snapToGrid w:val="0"/>
              <w:jc w:val="center"/>
            </w:pPr>
            <w:r>
              <w:rPr>
                <w:color w:val="000000"/>
              </w:rPr>
              <w:t>63</w:t>
            </w:r>
          </w:p>
        </w:tc>
        <w:tc>
          <w:tcPr>
            <w:tcW w:w="1661" w:type="pct"/>
            <w:tcBorders>
              <w:top w:val="single" w:sz="4" w:space="0" w:color="auto"/>
              <w:left w:val="single" w:sz="4" w:space="0" w:color="auto"/>
              <w:bottom w:val="single" w:sz="4" w:space="0" w:color="auto"/>
              <w:right w:val="single" w:sz="4" w:space="0" w:color="auto"/>
            </w:tcBorders>
            <w:vAlign w:val="center"/>
          </w:tcPr>
          <w:p w14:paraId="0A97B0D0" w14:textId="17B18E8E" w:rsidR="00530BEB" w:rsidRDefault="00530BEB" w:rsidP="00530BEB">
            <w:pPr>
              <w:adjustRightInd w:val="0"/>
              <w:snapToGrid w:val="0"/>
              <w:jc w:val="center"/>
            </w:pPr>
            <w:r>
              <w:rPr>
                <w:color w:val="000000"/>
              </w:rPr>
              <w:t>57</w:t>
            </w:r>
          </w:p>
        </w:tc>
        <w:tc>
          <w:tcPr>
            <w:tcW w:w="631" w:type="pct"/>
            <w:vMerge w:val="restart"/>
            <w:tcBorders>
              <w:left w:val="single" w:sz="4" w:space="0" w:color="auto"/>
            </w:tcBorders>
            <w:vAlign w:val="center"/>
          </w:tcPr>
          <w:p w14:paraId="7866CC0A" w14:textId="6E656669" w:rsidR="00530BEB" w:rsidRDefault="00530BEB" w:rsidP="00530BEB">
            <w:pPr>
              <w:adjustRightInd w:val="0"/>
              <w:snapToGrid w:val="0"/>
              <w:spacing w:line="0" w:lineRule="atLeast"/>
              <w:jc w:val="center"/>
            </w:pPr>
            <w:r>
              <w:rPr>
                <w:rFonts w:hint="eastAsia"/>
              </w:rPr>
              <w:t>300</w:t>
            </w:r>
          </w:p>
        </w:tc>
      </w:tr>
      <w:tr w:rsidR="00530BEB" w14:paraId="213011BA" w14:textId="77777777" w:rsidTr="00B72FDB">
        <w:trPr>
          <w:trHeight w:val="57"/>
          <w:jc w:val="center"/>
        </w:trPr>
        <w:tc>
          <w:tcPr>
            <w:tcW w:w="1049" w:type="pct"/>
            <w:vAlign w:val="center"/>
          </w:tcPr>
          <w:p w14:paraId="7761C60D" w14:textId="663F17E7" w:rsidR="00530BEB" w:rsidRDefault="00530BEB" w:rsidP="00530BEB">
            <w:pPr>
              <w:adjustRightInd w:val="0"/>
              <w:snapToGrid w:val="0"/>
              <w:jc w:val="center"/>
            </w:pPr>
            <w:r>
              <w:rPr>
                <w:rFonts w:hint="eastAsia"/>
              </w:rPr>
              <w:t>标准指数</w:t>
            </w:r>
          </w:p>
        </w:tc>
        <w:tc>
          <w:tcPr>
            <w:tcW w:w="1659" w:type="pct"/>
            <w:tcBorders>
              <w:top w:val="single" w:sz="4" w:space="0" w:color="auto"/>
              <w:left w:val="nil"/>
              <w:bottom w:val="single" w:sz="4" w:space="0" w:color="auto"/>
              <w:right w:val="single" w:sz="4" w:space="0" w:color="auto"/>
            </w:tcBorders>
            <w:vAlign w:val="center"/>
          </w:tcPr>
          <w:p w14:paraId="7CF7D741" w14:textId="11B69FFA" w:rsidR="00530BEB" w:rsidRDefault="00530BEB" w:rsidP="00530BEB">
            <w:pPr>
              <w:adjustRightInd w:val="0"/>
              <w:snapToGrid w:val="0"/>
              <w:jc w:val="center"/>
            </w:pPr>
            <w:r>
              <w:rPr>
                <w:rFonts w:hint="eastAsia"/>
                <w:color w:val="000000"/>
                <w:sz w:val="22"/>
                <w:szCs w:val="22"/>
              </w:rPr>
              <w:t>0.21</w:t>
            </w:r>
          </w:p>
        </w:tc>
        <w:tc>
          <w:tcPr>
            <w:tcW w:w="1661" w:type="pct"/>
            <w:tcBorders>
              <w:top w:val="single" w:sz="4" w:space="0" w:color="auto"/>
              <w:left w:val="single" w:sz="4" w:space="0" w:color="auto"/>
              <w:bottom w:val="single" w:sz="4" w:space="0" w:color="auto"/>
              <w:right w:val="single" w:sz="4" w:space="0" w:color="auto"/>
            </w:tcBorders>
            <w:vAlign w:val="center"/>
          </w:tcPr>
          <w:p w14:paraId="4B09E69A" w14:textId="2623EAC0" w:rsidR="00530BEB" w:rsidRDefault="00530BEB" w:rsidP="00530BEB">
            <w:pPr>
              <w:adjustRightInd w:val="0"/>
              <w:snapToGrid w:val="0"/>
              <w:jc w:val="center"/>
              <w:rPr>
                <w:kern w:val="0"/>
              </w:rPr>
            </w:pPr>
            <w:r>
              <w:rPr>
                <w:rFonts w:hint="eastAsia"/>
                <w:color w:val="000000"/>
                <w:sz w:val="22"/>
                <w:szCs w:val="22"/>
              </w:rPr>
              <w:t>0.19</w:t>
            </w:r>
          </w:p>
        </w:tc>
        <w:tc>
          <w:tcPr>
            <w:tcW w:w="631" w:type="pct"/>
            <w:vMerge/>
            <w:tcBorders>
              <w:left w:val="single" w:sz="4" w:space="0" w:color="auto"/>
            </w:tcBorders>
            <w:vAlign w:val="center"/>
          </w:tcPr>
          <w:p w14:paraId="55E083E0" w14:textId="77777777" w:rsidR="00530BEB" w:rsidRDefault="00530BEB" w:rsidP="00530BEB">
            <w:pPr>
              <w:adjustRightInd w:val="0"/>
              <w:snapToGrid w:val="0"/>
              <w:spacing w:line="0" w:lineRule="atLeast"/>
              <w:jc w:val="center"/>
            </w:pPr>
          </w:p>
        </w:tc>
      </w:tr>
    </w:tbl>
    <w:p w14:paraId="0B255CE9" w14:textId="77777777" w:rsidR="00352E51" w:rsidRDefault="00352E51">
      <w:pPr>
        <w:pStyle w:val="affffff4"/>
        <w:spacing w:beforeLines="50" w:before="120"/>
        <w:rPr>
          <w:lang w:val="zh-CN"/>
        </w:rPr>
        <w:sectPr w:rsidR="00352E51" w:rsidSect="00EA5215">
          <w:pgSz w:w="16838" w:h="11905" w:orient="landscape"/>
          <w:pgMar w:top="1474" w:right="1417" w:bottom="1474" w:left="1417" w:header="850" w:footer="850" w:gutter="113"/>
          <w:cols w:space="0"/>
          <w:docGrid w:linePitch="1"/>
        </w:sectPr>
      </w:pPr>
    </w:p>
    <w:p w14:paraId="336A1A4E" w14:textId="4AB3DA8B" w:rsidR="00352E51" w:rsidRDefault="00352E51">
      <w:pPr>
        <w:pStyle w:val="affffff4"/>
      </w:pPr>
      <w:r>
        <w:rPr>
          <w:lang w:val="zh-CN"/>
        </w:rPr>
        <w:lastRenderedPageBreak/>
        <w:t>根据</w:t>
      </w:r>
      <w:r w:rsidR="00530BEB">
        <w:rPr>
          <w:rFonts w:hint="eastAsia"/>
          <w:lang w:val="zh-CN"/>
        </w:rPr>
        <w:t>上表</w:t>
      </w:r>
      <w:r>
        <w:rPr>
          <w:lang w:val="zh-CN"/>
        </w:rPr>
        <w:t>可知，区域内</w:t>
      </w:r>
      <w:r w:rsidR="006E49DA">
        <w:rPr>
          <w:rFonts w:hint="eastAsia"/>
          <w:lang w:val="zh-CN"/>
        </w:rPr>
        <w:t>耕地、草地</w:t>
      </w:r>
      <w:r>
        <w:rPr>
          <w:lang w:val="zh-CN"/>
        </w:rPr>
        <w:t>满足《土壤环境质量</w:t>
      </w:r>
      <w:r>
        <w:rPr>
          <w:lang w:val="zh-CN"/>
        </w:rPr>
        <w:t xml:space="preserve"> </w:t>
      </w:r>
      <w:r>
        <w:rPr>
          <w:lang w:val="zh-CN"/>
        </w:rPr>
        <w:t>农用地土壤污染风险管控标准（试行）》（</w:t>
      </w:r>
      <w:r>
        <w:rPr>
          <w:lang w:val="zh-CN"/>
        </w:rPr>
        <w:t>GB15618-2018</w:t>
      </w:r>
      <w:r>
        <w:rPr>
          <w:lang w:val="zh-CN"/>
        </w:rPr>
        <w:t>）</w:t>
      </w:r>
      <w:r w:rsidR="00530BEB">
        <w:rPr>
          <w:rFonts w:hint="eastAsia"/>
          <w:lang w:val="zh-CN"/>
        </w:rPr>
        <w:t>表</w:t>
      </w:r>
      <w:r w:rsidR="00530BEB">
        <w:rPr>
          <w:rFonts w:hint="eastAsia"/>
          <w:lang w:val="zh-CN"/>
        </w:rPr>
        <w:t>1</w:t>
      </w:r>
      <w:r w:rsidR="00530BEB">
        <w:rPr>
          <w:rFonts w:hint="eastAsia"/>
          <w:lang w:val="zh-CN"/>
        </w:rPr>
        <w:t>筛选值</w:t>
      </w:r>
      <w:r w:rsidR="006E49DA">
        <w:rPr>
          <w:rFonts w:hint="eastAsia"/>
          <w:lang w:val="zh-CN"/>
        </w:rPr>
        <w:t>；建设用地满足</w:t>
      </w:r>
      <w:r>
        <w:rPr>
          <w:lang w:val="zh-CN"/>
        </w:rPr>
        <w:t>《土壤环境质量</w:t>
      </w:r>
      <w:r>
        <w:rPr>
          <w:lang w:val="zh-CN"/>
        </w:rPr>
        <w:t xml:space="preserve"> </w:t>
      </w:r>
      <w:r>
        <w:rPr>
          <w:lang w:val="zh-CN"/>
        </w:rPr>
        <w:t>建设用地土壤污染风险管控标准（试行）》（</w:t>
      </w:r>
      <w:r>
        <w:rPr>
          <w:lang w:val="zh-CN"/>
        </w:rPr>
        <w:t>GB36600-2018</w:t>
      </w:r>
      <w:r>
        <w:rPr>
          <w:lang w:val="zh-CN"/>
        </w:rPr>
        <w:t>）</w:t>
      </w:r>
      <w:r w:rsidR="00530BEB">
        <w:rPr>
          <w:rFonts w:hint="eastAsia"/>
          <w:lang w:val="zh-CN"/>
        </w:rPr>
        <w:t>表</w:t>
      </w:r>
      <w:r w:rsidR="00530BEB">
        <w:rPr>
          <w:rFonts w:hint="eastAsia"/>
          <w:lang w:val="zh-CN"/>
        </w:rPr>
        <w:t>1</w:t>
      </w:r>
      <w:r w:rsidR="00530BEB">
        <w:rPr>
          <w:rFonts w:hint="eastAsia"/>
          <w:lang w:val="zh-CN"/>
        </w:rPr>
        <w:t>第二类用地筛选值</w:t>
      </w:r>
      <w:r>
        <w:rPr>
          <w:lang w:val="zh-CN"/>
        </w:rPr>
        <w:t>。</w:t>
      </w:r>
    </w:p>
    <w:p w14:paraId="087FFD01" w14:textId="77777777" w:rsidR="00352E51" w:rsidRPr="00B67C22" w:rsidRDefault="00352E51">
      <w:pPr>
        <w:pStyle w:val="affffff4"/>
        <w:sectPr w:rsidR="00352E51" w:rsidRPr="00B67C22" w:rsidSect="00EA5215">
          <w:pgSz w:w="11905" w:h="16838"/>
          <w:pgMar w:top="1418" w:right="1474" w:bottom="1418" w:left="1474" w:header="851" w:footer="851" w:gutter="113"/>
          <w:cols w:space="0"/>
          <w:docGrid w:linePitch="1"/>
        </w:sectPr>
      </w:pPr>
    </w:p>
    <w:p w14:paraId="3119BA99" w14:textId="77777777" w:rsidR="00352E51" w:rsidRDefault="00352E51">
      <w:pPr>
        <w:pStyle w:val="2"/>
      </w:pPr>
      <w:bookmarkStart w:id="227" w:name="_Toc220680519"/>
      <w:bookmarkStart w:id="228" w:name="_Toc5294"/>
      <w:r w:rsidRPr="00112744">
        <w:lastRenderedPageBreak/>
        <w:t>5.6</w:t>
      </w:r>
      <w:r w:rsidRPr="00112744">
        <w:t>包气带现状调查与评价</w:t>
      </w:r>
      <w:bookmarkEnd w:id="227"/>
    </w:p>
    <w:p w14:paraId="43185201" w14:textId="77777777" w:rsidR="00352E51" w:rsidRDefault="00352E51">
      <w:pPr>
        <w:pStyle w:val="affffff4"/>
        <w:rPr>
          <w:lang w:val="zh-CN"/>
        </w:rPr>
      </w:pPr>
      <w:r>
        <w:rPr>
          <w:lang w:val="zh-CN"/>
        </w:rPr>
        <w:t>（</w:t>
      </w:r>
      <w:r>
        <w:t>1</w:t>
      </w:r>
      <w:r>
        <w:rPr>
          <w:lang w:val="zh-CN"/>
        </w:rPr>
        <w:t>）监测布点</w:t>
      </w:r>
    </w:p>
    <w:p w14:paraId="170EC2B6" w14:textId="0F9A544D" w:rsidR="00352E51" w:rsidRDefault="00352E51">
      <w:pPr>
        <w:pStyle w:val="affffff4"/>
        <w:rPr>
          <w:lang w:val="zh-CN"/>
        </w:rPr>
      </w:pPr>
      <w:r>
        <w:rPr>
          <w:lang w:val="zh-CN"/>
        </w:rPr>
        <w:t>本次共</w:t>
      </w:r>
      <w:r w:rsidR="00F833C1">
        <w:rPr>
          <w:rFonts w:hint="eastAsia"/>
          <w:lang w:val="zh-CN"/>
        </w:rPr>
        <w:t>选</w:t>
      </w:r>
      <w:r>
        <w:rPr>
          <w:lang w:val="zh-CN"/>
        </w:rPr>
        <w:t>取了</w:t>
      </w:r>
      <w:r>
        <w:rPr>
          <w:rFonts w:hint="eastAsia"/>
        </w:rPr>
        <w:t>2</w:t>
      </w:r>
      <w:r>
        <w:rPr>
          <w:lang w:val="zh-CN"/>
        </w:rPr>
        <w:t>个点采集土样进行室内土样浸溶试验，</w:t>
      </w:r>
      <w:r>
        <w:rPr>
          <w:rFonts w:hint="eastAsia"/>
          <w:lang w:val="zh-CN"/>
        </w:rPr>
        <w:t>监测时间为</w:t>
      </w:r>
      <w:r>
        <w:rPr>
          <w:rFonts w:hint="eastAsia"/>
          <w:lang w:val="zh-CN"/>
        </w:rPr>
        <w:t>2025</w:t>
      </w:r>
      <w:r>
        <w:rPr>
          <w:rFonts w:hint="eastAsia"/>
          <w:lang w:val="zh-CN"/>
        </w:rPr>
        <w:t>年</w:t>
      </w:r>
      <w:r>
        <w:rPr>
          <w:rFonts w:hint="eastAsia"/>
          <w:lang w:val="zh-CN"/>
        </w:rPr>
        <w:t>12</w:t>
      </w:r>
      <w:r>
        <w:rPr>
          <w:rFonts w:hint="eastAsia"/>
          <w:lang w:val="zh-CN"/>
        </w:rPr>
        <w:t>月</w:t>
      </w:r>
      <w:r>
        <w:rPr>
          <w:rFonts w:hint="eastAsia"/>
          <w:lang w:val="zh-CN"/>
        </w:rPr>
        <w:t>10</w:t>
      </w:r>
      <w:r>
        <w:rPr>
          <w:rFonts w:hint="eastAsia"/>
          <w:lang w:val="zh-CN"/>
        </w:rPr>
        <w:t>日，</w:t>
      </w:r>
      <w:r>
        <w:rPr>
          <w:lang w:val="zh-CN"/>
        </w:rPr>
        <w:t>包气带监测布点见下表。</w:t>
      </w:r>
    </w:p>
    <w:p w14:paraId="2C508B7F" w14:textId="7B302A6B" w:rsidR="00352E51" w:rsidRDefault="00352E51">
      <w:pPr>
        <w:pStyle w:val="affffff5"/>
      </w:pPr>
      <w:r>
        <w:rPr>
          <w:lang w:val="zh-CN"/>
        </w:rPr>
        <w:t>表</w:t>
      </w:r>
      <w:r>
        <w:t xml:space="preserve"> 5.</w:t>
      </w:r>
      <w:r w:rsidR="00E71CAE">
        <w:rPr>
          <w:rFonts w:hint="eastAsia"/>
        </w:rPr>
        <w:t>6</w:t>
      </w:r>
      <w:r>
        <w:t xml:space="preserve">-1 </w:t>
      </w:r>
      <w:r>
        <w:t>场地包气带浸溶液监测点位</w:t>
      </w:r>
    </w:p>
    <w:tbl>
      <w:tblPr>
        <w:tblW w:w="5000"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firstRow="1" w:lastRow="0" w:firstColumn="1" w:lastColumn="0" w:noHBand="0" w:noVBand="1"/>
      </w:tblPr>
      <w:tblGrid>
        <w:gridCol w:w="927"/>
        <w:gridCol w:w="1929"/>
        <w:gridCol w:w="1634"/>
        <w:gridCol w:w="2167"/>
        <w:gridCol w:w="2167"/>
      </w:tblGrid>
      <w:tr w:rsidR="00352E51" w14:paraId="6A6D436F" w14:textId="77777777" w:rsidTr="00CC1912">
        <w:trPr>
          <w:trHeight w:val="57"/>
          <w:jc w:val="center"/>
        </w:trPr>
        <w:tc>
          <w:tcPr>
            <w:tcW w:w="557" w:type="pct"/>
            <w:tcBorders>
              <w:tl2br w:val="nil"/>
              <w:tr2bl w:val="nil"/>
            </w:tcBorders>
            <w:vAlign w:val="center"/>
          </w:tcPr>
          <w:p w14:paraId="290456A3" w14:textId="77777777" w:rsidR="00352E51" w:rsidRDefault="00352E51">
            <w:pPr>
              <w:jc w:val="center"/>
              <w:rPr>
                <w:b/>
              </w:rPr>
            </w:pPr>
            <w:r>
              <w:rPr>
                <w:rFonts w:hint="eastAsia"/>
                <w:b/>
              </w:rPr>
              <w:t>编号</w:t>
            </w:r>
          </w:p>
        </w:tc>
        <w:tc>
          <w:tcPr>
            <w:tcW w:w="1124" w:type="pct"/>
            <w:tcBorders>
              <w:tl2br w:val="nil"/>
              <w:tr2bl w:val="nil"/>
            </w:tcBorders>
            <w:vAlign w:val="center"/>
          </w:tcPr>
          <w:p w14:paraId="267C7A57" w14:textId="77777777" w:rsidR="00352E51" w:rsidRDefault="00352E51">
            <w:pPr>
              <w:jc w:val="center"/>
              <w:rPr>
                <w:b/>
              </w:rPr>
            </w:pPr>
            <w:r>
              <w:rPr>
                <w:rFonts w:hint="eastAsia"/>
                <w:b/>
              </w:rPr>
              <w:t>监测点位</w:t>
            </w:r>
          </w:p>
        </w:tc>
        <w:tc>
          <w:tcPr>
            <w:tcW w:w="801" w:type="pct"/>
            <w:vAlign w:val="center"/>
          </w:tcPr>
          <w:p w14:paraId="106E2E41" w14:textId="77777777" w:rsidR="00352E51" w:rsidRDefault="00352E51">
            <w:pPr>
              <w:jc w:val="center"/>
              <w:rPr>
                <w:b/>
              </w:rPr>
            </w:pPr>
            <w:r>
              <w:rPr>
                <w:rFonts w:hint="eastAsia"/>
                <w:b/>
              </w:rPr>
              <w:t>坐标</w:t>
            </w:r>
          </w:p>
        </w:tc>
        <w:tc>
          <w:tcPr>
            <w:tcW w:w="1259" w:type="pct"/>
            <w:vAlign w:val="center"/>
          </w:tcPr>
          <w:p w14:paraId="6DF13480" w14:textId="77777777" w:rsidR="00352E51" w:rsidRDefault="00352E51">
            <w:pPr>
              <w:jc w:val="center"/>
              <w:rPr>
                <w:b/>
              </w:rPr>
            </w:pPr>
            <w:r>
              <w:rPr>
                <w:rFonts w:hint="eastAsia"/>
                <w:b/>
              </w:rPr>
              <w:t>相对位置关系</w:t>
            </w:r>
          </w:p>
        </w:tc>
        <w:tc>
          <w:tcPr>
            <w:tcW w:w="1259" w:type="pct"/>
            <w:tcBorders>
              <w:tl2br w:val="nil"/>
              <w:tr2bl w:val="nil"/>
            </w:tcBorders>
            <w:vAlign w:val="center"/>
          </w:tcPr>
          <w:p w14:paraId="5977F7E0" w14:textId="77777777" w:rsidR="00352E51" w:rsidRDefault="00352E51">
            <w:pPr>
              <w:jc w:val="center"/>
              <w:rPr>
                <w:b/>
              </w:rPr>
            </w:pPr>
            <w:r>
              <w:rPr>
                <w:b/>
              </w:rPr>
              <w:t>取样要求</w:t>
            </w:r>
          </w:p>
        </w:tc>
      </w:tr>
      <w:tr w:rsidR="00352E51" w14:paraId="7304800E" w14:textId="77777777" w:rsidTr="00CC1912">
        <w:trPr>
          <w:trHeight w:val="57"/>
          <w:jc w:val="center"/>
        </w:trPr>
        <w:tc>
          <w:tcPr>
            <w:tcW w:w="557" w:type="pct"/>
            <w:tcBorders>
              <w:tl2br w:val="nil"/>
              <w:tr2bl w:val="nil"/>
            </w:tcBorders>
            <w:vAlign w:val="center"/>
          </w:tcPr>
          <w:p w14:paraId="7CC0EB36" w14:textId="77777777" w:rsidR="00352E51" w:rsidRDefault="00352E51">
            <w:pPr>
              <w:jc w:val="center"/>
            </w:pPr>
            <w:r>
              <w:rPr>
                <w:bCs/>
              </w:rPr>
              <w:t>SW1</w:t>
            </w:r>
          </w:p>
        </w:tc>
        <w:tc>
          <w:tcPr>
            <w:tcW w:w="1124" w:type="pct"/>
            <w:tcBorders>
              <w:tl2br w:val="nil"/>
              <w:tr2bl w:val="nil"/>
            </w:tcBorders>
            <w:vAlign w:val="center"/>
          </w:tcPr>
          <w:p w14:paraId="100C7A6B" w14:textId="77777777" w:rsidR="00352E51" w:rsidRDefault="00352E51">
            <w:pPr>
              <w:jc w:val="center"/>
              <w:rPr>
                <w:bCs/>
              </w:rPr>
            </w:pPr>
            <w:r w:rsidRPr="00CC1912">
              <w:rPr>
                <w:rFonts w:hint="eastAsia"/>
                <w:bCs/>
              </w:rPr>
              <w:t>厂区内污染控制点</w:t>
            </w:r>
          </w:p>
        </w:tc>
        <w:tc>
          <w:tcPr>
            <w:tcW w:w="801" w:type="pct"/>
            <w:vAlign w:val="center"/>
          </w:tcPr>
          <w:p w14:paraId="49C121D4" w14:textId="77777777" w:rsidR="00352E51" w:rsidRDefault="00352E51">
            <w:pPr>
              <w:jc w:val="center"/>
              <w:rPr>
                <w:snapToGrid w:val="0"/>
                <w:kern w:val="0"/>
              </w:rPr>
            </w:pPr>
            <w:r w:rsidRPr="00CC1912">
              <w:rPr>
                <w:snapToGrid w:val="0"/>
                <w:kern w:val="0"/>
              </w:rPr>
              <w:t>124.98152543</w:t>
            </w:r>
            <w:r>
              <w:rPr>
                <w:rFonts w:hint="eastAsia"/>
                <w:snapToGrid w:val="0"/>
                <w:kern w:val="0"/>
              </w:rPr>
              <w:t>，</w:t>
            </w:r>
            <w:r w:rsidRPr="00CC1912">
              <w:rPr>
                <w:snapToGrid w:val="0"/>
                <w:kern w:val="0"/>
              </w:rPr>
              <w:t xml:space="preserve"> 46.43260548</w:t>
            </w:r>
          </w:p>
        </w:tc>
        <w:tc>
          <w:tcPr>
            <w:tcW w:w="1259" w:type="pct"/>
            <w:vAlign w:val="center"/>
          </w:tcPr>
          <w:p w14:paraId="113B9C62" w14:textId="77777777" w:rsidR="00352E51" w:rsidRDefault="00352E51">
            <w:pPr>
              <w:jc w:val="center"/>
              <w:rPr>
                <w:snapToGrid w:val="0"/>
                <w:kern w:val="0"/>
              </w:rPr>
            </w:pPr>
            <w:r>
              <w:rPr>
                <w:rFonts w:hint="eastAsia"/>
                <w:snapToGrid w:val="0"/>
                <w:kern w:val="0"/>
              </w:rPr>
              <w:t>厂区内</w:t>
            </w:r>
          </w:p>
        </w:tc>
        <w:tc>
          <w:tcPr>
            <w:tcW w:w="1259" w:type="pct"/>
            <w:vMerge w:val="restart"/>
            <w:tcBorders>
              <w:tl2br w:val="nil"/>
              <w:tr2bl w:val="nil"/>
            </w:tcBorders>
            <w:vAlign w:val="center"/>
          </w:tcPr>
          <w:p w14:paraId="36EB1153" w14:textId="77777777" w:rsidR="00352E51" w:rsidRDefault="00352E51">
            <w:pPr>
              <w:jc w:val="center"/>
              <w:rPr>
                <w:bCs/>
              </w:rPr>
            </w:pPr>
            <w:r>
              <w:rPr>
                <w:snapToGrid w:val="0"/>
                <w:kern w:val="0"/>
              </w:rPr>
              <w:t>在</w:t>
            </w:r>
            <w:r>
              <w:rPr>
                <w:snapToGrid w:val="0"/>
                <w:kern w:val="0"/>
              </w:rPr>
              <w:t>0~0.2m</w:t>
            </w:r>
            <w:r>
              <w:rPr>
                <w:snapToGrid w:val="0"/>
                <w:kern w:val="0"/>
              </w:rPr>
              <w:t>取样进行浸溶试验</w:t>
            </w:r>
          </w:p>
        </w:tc>
      </w:tr>
      <w:tr w:rsidR="00352E51" w14:paraId="7556B11B" w14:textId="77777777" w:rsidTr="00CC1912">
        <w:trPr>
          <w:trHeight w:val="57"/>
          <w:jc w:val="center"/>
        </w:trPr>
        <w:tc>
          <w:tcPr>
            <w:tcW w:w="557" w:type="pct"/>
            <w:tcBorders>
              <w:tl2br w:val="nil"/>
              <w:tr2bl w:val="nil"/>
            </w:tcBorders>
            <w:vAlign w:val="center"/>
          </w:tcPr>
          <w:p w14:paraId="0EB1904D" w14:textId="77777777" w:rsidR="00352E51" w:rsidRDefault="00352E51">
            <w:pPr>
              <w:jc w:val="center"/>
            </w:pPr>
            <w:r>
              <w:t>SW2</w:t>
            </w:r>
          </w:p>
        </w:tc>
        <w:tc>
          <w:tcPr>
            <w:tcW w:w="1124" w:type="pct"/>
            <w:tcBorders>
              <w:tl2br w:val="nil"/>
              <w:tr2bl w:val="nil"/>
            </w:tcBorders>
            <w:vAlign w:val="center"/>
          </w:tcPr>
          <w:p w14:paraId="4CF98D26" w14:textId="77777777" w:rsidR="00352E51" w:rsidRDefault="00352E51">
            <w:pPr>
              <w:jc w:val="center"/>
            </w:pPr>
            <w:r w:rsidRPr="00CC1912">
              <w:rPr>
                <w:rFonts w:hint="eastAsia"/>
              </w:rPr>
              <w:t>厂区外清洁对照点</w:t>
            </w:r>
          </w:p>
        </w:tc>
        <w:tc>
          <w:tcPr>
            <w:tcW w:w="801" w:type="pct"/>
            <w:vAlign w:val="center"/>
          </w:tcPr>
          <w:p w14:paraId="1CA8C6F8" w14:textId="77777777" w:rsidR="00352E51" w:rsidRDefault="00352E51">
            <w:pPr>
              <w:jc w:val="center"/>
              <w:rPr>
                <w:snapToGrid w:val="0"/>
                <w:kern w:val="0"/>
              </w:rPr>
            </w:pPr>
            <w:r w:rsidRPr="00CC1912">
              <w:rPr>
                <w:snapToGrid w:val="0"/>
                <w:kern w:val="0"/>
              </w:rPr>
              <w:t>124.97780987 46.42569894</w:t>
            </w:r>
          </w:p>
        </w:tc>
        <w:tc>
          <w:tcPr>
            <w:tcW w:w="1259" w:type="pct"/>
            <w:vAlign w:val="center"/>
          </w:tcPr>
          <w:p w14:paraId="11E5DB9B" w14:textId="77777777" w:rsidR="00352E51" w:rsidRDefault="00352E51">
            <w:pPr>
              <w:jc w:val="center"/>
              <w:rPr>
                <w:snapToGrid w:val="0"/>
                <w:kern w:val="0"/>
              </w:rPr>
            </w:pPr>
            <w:r w:rsidRPr="00CC1912">
              <w:rPr>
                <w:rFonts w:hint="eastAsia"/>
                <w:snapToGrid w:val="0"/>
                <w:kern w:val="0"/>
              </w:rPr>
              <w:t>厂区西南侧</w:t>
            </w:r>
            <w:r w:rsidRPr="00CC1912">
              <w:rPr>
                <w:rFonts w:hint="eastAsia"/>
                <w:snapToGrid w:val="0"/>
                <w:kern w:val="0"/>
              </w:rPr>
              <w:t>700m</w:t>
            </w:r>
          </w:p>
        </w:tc>
        <w:tc>
          <w:tcPr>
            <w:tcW w:w="1259" w:type="pct"/>
            <w:vMerge/>
            <w:tcBorders>
              <w:tl2br w:val="nil"/>
              <w:tr2bl w:val="nil"/>
            </w:tcBorders>
            <w:vAlign w:val="center"/>
          </w:tcPr>
          <w:p w14:paraId="3A269609" w14:textId="77777777" w:rsidR="00352E51" w:rsidRDefault="00352E51">
            <w:pPr>
              <w:jc w:val="center"/>
              <w:rPr>
                <w:snapToGrid w:val="0"/>
                <w:kern w:val="0"/>
              </w:rPr>
            </w:pPr>
          </w:p>
        </w:tc>
      </w:tr>
    </w:tbl>
    <w:p w14:paraId="19D550D9" w14:textId="77777777" w:rsidR="00352E51" w:rsidRDefault="00352E51">
      <w:pPr>
        <w:pStyle w:val="affffff4"/>
        <w:adjustRightInd/>
        <w:snapToGrid/>
        <w:spacing w:beforeLines="50" w:before="120"/>
        <w:rPr>
          <w:lang w:val="zh-CN"/>
        </w:rPr>
      </w:pPr>
      <w:r>
        <w:rPr>
          <w:lang w:val="zh-CN"/>
        </w:rPr>
        <w:t>（</w:t>
      </w:r>
      <w:r>
        <w:t>2</w:t>
      </w:r>
      <w:r>
        <w:rPr>
          <w:lang w:val="zh-CN"/>
        </w:rPr>
        <w:t>）监测因子</w:t>
      </w:r>
    </w:p>
    <w:p w14:paraId="278B4803" w14:textId="77777777" w:rsidR="00352E51" w:rsidRDefault="00352E51">
      <w:pPr>
        <w:pStyle w:val="affffff4"/>
        <w:rPr>
          <w:lang w:val="zh-CN"/>
        </w:rPr>
      </w:pPr>
      <w:r>
        <w:rPr>
          <w:lang w:val="zh-CN"/>
        </w:rPr>
        <w:t>本次监测：</w:t>
      </w:r>
      <w:r w:rsidRPr="004D13F7">
        <w:rPr>
          <w:rFonts w:hint="eastAsia"/>
          <w:lang w:val="zh-CN"/>
        </w:rPr>
        <w:t>pH</w:t>
      </w:r>
      <w:r w:rsidRPr="004D13F7">
        <w:rPr>
          <w:rFonts w:hint="eastAsia"/>
          <w:lang w:val="zh-CN"/>
        </w:rPr>
        <w:t>、铜、汞、锌、铅、镉、镍、砷、铬、六价铬</w:t>
      </w:r>
      <w:r>
        <w:rPr>
          <w:lang w:val="zh-CN"/>
        </w:rPr>
        <w:t>。</w:t>
      </w:r>
    </w:p>
    <w:p w14:paraId="255650E4" w14:textId="77777777" w:rsidR="00352E51" w:rsidRDefault="00352E51">
      <w:pPr>
        <w:pStyle w:val="affffff4"/>
        <w:rPr>
          <w:lang w:val="zh-CN"/>
        </w:rPr>
      </w:pPr>
      <w:r>
        <w:rPr>
          <w:lang w:val="zh-CN"/>
        </w:rPr>
        <w:t>（</w:t>
      </w:r>
      <w:r>
        <w:t>3</w:t>
      </w:r>
      <w:r>
        <w:rPr>
          <w:lang w:val="zh-CN"/>
        </w:rPr>
        <w:t>）监测频次</w:t>
      </w:r>
    </w:p>
    <w:p w14:paraId="7B69FE56" w14:textId="77777777" w:rsidR="00352E51" w:rsidRDefault="00352E51">
      <w:pPr>
        <w:pStyle w:val="affffff4"/>
        <w:rPr>
          <w:lang w:val="zh-CN"/>
        </w:rPr>
      </w:pPr>
      <w:r>
        <w:rPr>
          <w:rFonts w:hint="eastAsia"/>
          <w:lang w:val="zh-CN"/>
        </w:rPr>
        <w:t>1</w:t>
      </w:r>
      <w:r>
        <w:rPr>
          <w:rFonts w:hint="eastAsia"/>
          <w:lang w:val="zh-CN"/>
        </w:rPr>
        <w:t>次性监测</w:t>
      </w:r>
      <w:r>
        <w:rPr>
          <w:lang w:val="zh-CN"/>
        </w:rPr>
        <w:t>。</w:t>
      </w:r>
    </w:p>
    <w:p w14:paraId="2C4F1C55" w14:textId="77777777" w:rsidR="00352E51" w:rsidRDefault="00352E51">
      <w:pPr>
        <w:pStyle w:val="affffff4"/>
        <w:adjustRightInd/>
        <w:snapToGrid/>
        <w:spacing w:beforeLines="50" w:before="120"/>
        <w:rPr>
          <w:lang w:val="zh-CN"/>
        </w:rPr>
      </w:pPr>
      <w:r>
        <w:rPr>
          <w:rFonts w:hint="eastAsia"/>
          <w:lang w:val="zh-CN"/>
        </w:rPr>
        <w:t>（</w:t>
      </w:r>
      <w:r>
        <w:rPr>
          <w:rFonts w:hint="eastAsia"/>
          <w:lang w:val="zh-CN"/>
        </w:rPr>
        <w:t>4</w:t>
      </w:r>
      <w:r>
        <w:rPr>
          <w:rFonts w:hint="eastAsia"/>
          <w:lang w:val="zh-CN"/>
        </w:rPr>
        <w:t>）</w:t>
      </w:r>
      <w:r>
        <w:rPr>
          <w:lang w:val="zh-CN"/>
        </w:rPr>
        <w:t>检测结果</w:t>
      </w:r>
    </w:p>
    <w:p w14:paraId="71FEC2B7" w14:textId="02A786BD" w:rsidR="00352E51" w:rsidRDefault="00352E51">
      <w:pPr>
        <w:pStyle w:val="affffff5"/>
        <w:rPr>
          <w:lang w:val="zh-CN"/>
        </w:rPr>
      </w:pPr>
      <w:r>
        <w:rPr>
          <w:lang w:val="zh-CN"/>
        </w:rPr>
        <w:t>表</w:t>
      </w:r>
      <w:r>
        <w:t xml:space="preserve"> 5.</w:t>
      </w:r>
      <w:r w:rsidR="00E71CAE">
        <w:rPr>
          <w:rFonts w:hint="eastAsia"/>
        </w:rPr>
        <w:t>6</w:t>
      </w:r>
      <w:r>
        <w:t>-</w:t>
      </w:r>
      <w:r w:rsidR="00E71CAE">
        <w:rPr>
          <w:rFonts w:hint="eastAsia"/>
        </w:rPr>
        <w:t>2</w:t>
      </w:r>
      <w:r>
        <w:t xml:space="preserve"> </w:t>
      </w:r>
      <w:r>
        <w:rPr>
          <w:lang w:val="zh-CN"/>
        </w:rPr>
        <w:t>浸溶试验检测结果</w:t>
      </w:r>
    </w:p>
    <w:tbl>
      <w:tblPr>
        <w:tblStyle w:val="aff4"/>
        <w:tblW w:w="5000" w:type="pct"/>
        <w:jc w:val="center"/>
        <w:tblLook w:val="04A0" w:firstRow="1" w:lastRow="0" w:firstColumn="1" w:lastColumn="0" w:noHBand="0" w:noVBand="1"/>
      </w:tblPr>
      <w:tblGrid>
        <w:gridCol w:w="2850"/>
        <w:gridCol w:w="2991"/>
        <w:gridCol w:w="2993"/>
      </w:tblGrid>
      <w:tr w:rsidR="00352E51" w14:paraId="14DDF9C2" w14:textId="77777777" w:rsidTr="004D13F7">
        <w:trPr>
          <w:trHeight w:val="57"/>
          <w:jc w:val="center"/>
        </w:trPr>
        <w:tc>
          <w:tcPr>
            <w:tcW w:w="1613" w:type="pct"/>
            <w:tcBorders>
              <w:tl2br w:val="single" w:sz="4" w:space="0" w:color="auto"/>
            </w:tcBorders>
            <w:vAlign w:val="center"/>
          </w:tcPr>
          <w:p w14:paraId="5580DE84" w14:textId="77777777" w:rsidR="00352E51" w:rsidRDefault="00352E51" w:rsidP="004D13F7">
            <w:pPr>
              <w:adjustRightInd w:val="0"/>
              <w:snapToGrid w:val="0"/>
              <w:jc w:val="right"/>
            </w:pPr>
            <w:r>
              <w:t>检测点位</w:t>
            </w:r>
          </w:p>
          <w:p w14:paraId="4BE5477E" w14:textId="77777777" w:rsidR="00352E51" w:rsidRDefault="00352E51" w:rsidP="004D13F7">
            <w:pPr>
              <w:adjustRightInd w:val="0"/>
              <w:snapToGrid w:val="0"/>
              <w:jc w:val="left"/>
            </w:pPr>
            <w:r>
              <w:t>检测项目</w:t>
            </w:r>
          </w:p>
        </w:tc>
        <w:tc>
          <w:tcPr>
            <w:tcW w:w="1693" w:type="pct"/>
            <w:vAlign w:val="center"/>
          </w:tcPr>
          <w:p w14:paraId="35F488F0" w14:textId="77777777" w:rsidR="00352E51" w:rsidRDefault="00352E51" w:rsidP="004D13F7">
            <w:pPr>
              <w:adjustRightInd w:val="0"/>
              <w:snapToGrid w:val="0"/>
              <w:jc w:val="center"/>
            </w:pPr>
            <w:r>
              <w:rPr>
                <w:rFonts w:hint="eastAsia"/>
              </w:rPr>
              <w:t>厂区内</w:t>
            </w:r>
            <w:r>
              <w:t>污染控制点</w:t>
            </w:r>
            <w:r>
              <w:rPr>
                <w:rFonts w:hint="eastAsia"/>
              </w:rPr>
              <w:t>SW1</w:t>
            </w:r>
          </w:p>
        </w:tc>
        <w:tc>
          <w:tcPr>
            <w:tcW w:w="1694" w:type="pct"/>
            <w:vAlign w:val="center"/>
          </w:tcPr>
          <w:p w14:paraId="013622B4" w14:textId="77777777" w:rsidR="00352E51" w:rsidRDefault="00352E51" w:rsidP="004D13F7">
            <w:pPr>
              <w:adjustRightInd w:val="0"/>
              <w:snapToGrid w:val="0"/>
              <w:jc w:val="center"/>
            </w:pPr>
            <w:r>
              <w:rPr>
                <w:rFonts w:hint="eastAsia"/>
              </w:rPr>
              <w:t>厂区外</w:t>
            </w:r>
            <w:r>
              <w:t>清洁对照点</w:t>
            </w:r>
            <w:r>
              <w:rPr>
                <w:rFonts w:hint="eastAsia"/>
              </w:rPr>
              <w:t>SW2</w:t>
            </w:r>
          </w:p>
        </w:tc>
      </w:tr>
      <w:tr w:rsidR="00352E51" w14:paraId="3060809F" w14:textId="77777777" w:rsidTr="004D13F7">
        <w:trPr>
          <w:trHeight w:val="57"/>
          <w:jc w:val="center"/>
        </w:trPr>
        <w:tc>
          <w:tcPr>
            <w:tcW w:w="1613" w:type="pct"/>
            <w:vAlign w:val="center"/>
          </w:tcPr>
          <w:p w14:paraId="22C33AF5" w14:textId="77777777" w:rsidR="00352E51" w:rsidRDefault="00352E51" w:rsidP="004D13F7">
            <w:pPr>
              <w:adjustRightInd w:val="0"/>
              <w:snapToGrid w:val="0"/>
              <w:jc w:val="center"/>
            </w:pPr>
            <w:r>
              <w:rPr>
                <w:rFonts w:hint="eastAsia"/>
                <w:bCs/>
              </w:rPr>
              <w:t>六价铬</w:t>
            </w:r>
            <w:r>
              <w:rPr>
                <w:bCs/>
              </w:rPr>
              <w:t>（</w:t>
            </w:r>
            <w:r>
              <w:rPr>
                <w:bCs/>
              </w:rPr>
              <w:t>mg/L</w:t>
            </w:r>
            <w:r>
              <w:rPr>
                <w:bCs/>
              </w:rPr>
              <w:t>）</w:t>
            </w:r>
          </w:p>
        </w:tc>
        <w:tc>
          <w:tcPr>
            <w:tcW w:w="1693" w:type="pct"/>
            <w:vAlign w:val="center"/>
          </w:tcPr>
          <w:p w14:paraId="36B97FD1" w14:textId="77777777" w:rsidR="00352E51" w:rsidRDefault="00352E51" w:rsidP="004D13F7">
            <w:pPr>
              <w:adjustRightInd w:val="0"/>
              <w:snapToGrid w:val="0"/>
              <w:jc w:val="center"/>
            </w:pPr>
            <w:r>
              <w:t>0.004L</w:t>
            </w:r>
          </w:p>
        </w:tc>
        <w:tc>
          <w:tcPr>
            <w:tcW w:w="1694" w:type="pct"/>
            <w:vAlign w:val="center"/>
          </w:tcPr>
          <w:p w14:paraId="0569369B" w14:textId="77777777" w:rsidR="00352E51" w:rsidRDefault="00352E51" w:rsidP="004D13F7">
            <w:pPr>
              <w:adjustRightInd w:val="0"/>
              <w:snapToGrid w:val="0"/>
              <w:jc w:val="center"/>
            </w:pPr>
            <w:r>
              <w:rPr>
                <w:rFonts w:hint="eastAsia"/>
              </w:rPr>
              <w:t>0.004L</w:t>
            </w:r>
          </w:p>
        </w:tc>
      </w:tr>
      <w:tr w:rsidR="00352E51" w14:paraId="5166FE51" w14:textId="77777777" w:rsidTr="004D13F7">
        <w:trPr>
          <w:trHeight w:val="57"/>
          <w:jc w:val="center"/>
        </w:trPr>
        <w:tc>
          <w:tcPr>
            <w:tcW w:w="1613" w:type="pct"/>
            <w:vAlign w:val="center"/>
          </w:tcPr>
          <w:p w14:paraId="013322F7" w14:textId="77777777" w:rsidR="00352E51" w:rsidRDefault="00352E51" w:rsidP="004D13F7">
            <w:pPr>
              <w:adjustRightInd w:val="0"/>
              <w:snapToGrid w:val="0"/>
              <w:jc w:val="center"/>
              <w:rPr>
                <w:lang w:bidi="ar"/>
              </w:rPr>
            </w:pPr>
            <w:r>
              <w:rPr>
                <w:kern w:val="0"/>
              </w:rPr>
              <w:t>镉</w:t>
            </w:r>
            <w:r>
              <w:rPr>
                <w:bCs/>
              </w:rPr>
              <w:t>（</w:t>
            </w:r>
            <w:r>
              <w:rPr>
                <w:bCs/>
              </w:rPr>
              <w:t>mg/L</w:t>
            </w:r>
            <w:r>
              <w:rPr>
                <w:bCs/>
              </w:rPr>
              <w:t>）</w:t>
            </w:r>
          </w:p>
        </w:tc>
        <w:tc>
          <w:tcPr>
            <w:tcW w:w="1693" w:type="pct"/>
            <w:vAlign w:val="center"/>
          </w:tcPr>
          <w:p w14:paraId="21D110FC" w14:textId="77777777" w:rsidR="00352E51" w:rsidRDefault="00352E51" w:rsidP="004D13F7">
            <w:pPr>
              <w:adjustRightInd w:val="0"/>
              <w:snapToGrid w:val="0"/>
              <w:jc w:val="center"/>
              <w:rPr>
                <w:lang w:bidi="ar"/>
              </w:rPr>
            </w:pPr>
            <w:r>
              <w:t>0.001L</w:t>
            </w:r>
          </w:p>
        </w:tc>
        <w:tc>
          <w:tcPr>
            <w:tcW w:w="1694" w:type="pct"/>
            <w:vAlign w:val="center"/>
          </w:tcPr>
          <w:p w14:paraId="6C855050" w14:textId="77777777" w:rsidR="00352E51" w:rsidRDefault="00352E51" w:rsidP="004D13F7">
            <w:pPr>
              <w:adjustRightInd w:val="0"/>
              <w:snapToGrid w:val="0"/>
              <w:jc w:val="center"/>
              <w:rPr>
                <w:lang w:bidi="ar"/>
              </w:rPr>
            </w:pPr>
            <w:r>
              <w:t>0.001L</w:t>
            </w:r>
          </w:p>
        </w:tc>
      </w:tr>
      <w:tr w:rsidR="00352E51" w14:paraId="4D9AD133" w14:textId="77777777" w:rsidTr="004D13F7">
        <w:trPr>
          <w:trHeight w:val="57"/>
          <w:jc w:val="center"/>
        </w:trPr>
        <w:tc>
          <w:tcPr>
            <w:tcW w:w="1613" w:type="pct"/>
            <w:vAlign w:val="center"/>
          </w:tcPr>
          <w:p w14:paraId="77374536" w14:textId="77777777" w:rsidR="00352E51" w:rsidRDefault="00352E51" w:rsidP="004D13F7">
            <w:pPr>
              <w:adjustRightInd w:val="0"/>
              <w:snapToGrid w:val="0"/>
              <w:jc w:val="center"/>
              <w:rPr>
                <w:lang w:bidi="ar"/>
              </w:rPr>
            </w:pPr>
            <w:r>
              <w:rPr>
                <w:kern w:val="0"/>
              </w:rPr>
              <w:t>砷</w:t>
            </w:r>
            <w:r>
              <w:rPr>
                <w:bCs/>
              </w:rPr>
              <w:t>（</w:t>
            </w:r>
            <w:r>
              <w:rPr>
                <w:bCs/>
              </w:rPr>
              <w:t>mg/L</w:t>
            </w:r>
            <w:r>
              <w:rPr>
                <w:bCs/>
              </w:rPr>
              <w:t>）</w:t>
            </w:r>
          </w:p>
        </w:tc>
        <w:tc>
          <w:tcPr>
            <w:tcW w:w="1693" w:type="pct"/>
            <w:vAlign w:val="center"/>
          </w:tcPr>
          <w:p w14:paraId="1E671604" w14:textId="77777777" w:rsidR="00352E51" w:rsidRDefault="00352E51" w:rsidP="004D13F7">
            <w:pPr>
              <w:adjustRightInd w:val="0"/>
              <w:snapToGrid w:val="0"/>
              <w:jc w:val="center"/>
              <w:rPr>
                <w:lang w:bidi="ar"/>
              </w:rPr>
            </w:pPr>
            <w:r>
              <w:t>0.0003L</w:t>
            </w:r>
          </w:p>
        </w:tc>
        <w:tc>
          <w:tcPr>
            <w:tcW w:w="1694" w:type="pct"/>
            <w:vAlign w:val="center"/>
          </w:tcPr>
          <w:p w14:paraId="73C4526B" w14:textId="77777777" w:rsidR="00352E51" w:rsidRDefault="00352E51" w:rsidP="004D13F7">
            <w:pPr>
              <w:adjustRightInd w:val="0"/>
              <w:snapToGrid w:val="0"/>
              <w:jc w:val="center"/>
              <w:rPr>
                <w:lang w:bidi="ar"/>
              </w:rPr>
            </w:pPr>
            <w:r>
              <w:t>0.0003L</w:t>
            </w:r>
          </w:p>
        </w:tc>
      </w:tr>
      <w:tr w:rsidR="00352E51" w14:paraId="5B6ADE64" w14:textId="77777777" w:rsidTr="004D13F7">
        <w:trPr>
          <w:trHeight w:val="57"/>
          <w:jc w:val="center"/>
        </w:trPr>
        <w:tc>
          <w:tcPr>
            <w:tcW w:w="1613" w:type="pct"/>
            <w:vAlign w:val="center"/>
          </w:tcPr>
          <w:p w14:paraId="475874F5" w14:textId="77777777" w:rsidR="00352E51" w:rsidRDefault="00352E51" w:rsidP="004D13F7">
            <w:pPr>
              <w:adjustRightInd w:val="0"/>
              <w:snapToGrid w:val="0"/>
              <w:jc w:val="center"/>
            </w:pPr>
            <w:r>
              <w:rPr>
                <w:kern w:val="0"/>
              </w:rPr>
              <w:t>汞</w:t>
            </w:r>
            <w:r>
              <w:rPr>
                <w:bCs/>
              </w:rPr>
              <w:t>（</w:t>
            </w:r>
            <w:r>
              <w:rPr>
                <w:bCs/>
              </w:rPr>
              <w:t>mg/L</w:t>
            </w:r>
            <w:r>
              <w:rPr>
                <w:bCs/>
              </w:rPr>
              <w:t>）</w:t>
            </w:r>
          </w:p>
        </w:tc>
        <w:tc>
          <w:tcPr>
            <w:tcW w:w="1693" w:type="pct"/>
            <w:vAlign w:val="center"/>
          </w:tcPr>
          <w:p w14:paraId="278BB645" w14:textId="77777777" w:rsidR="00352E51" w:rsidRDefault="00352E51" w:rsidP="004D13F7">
            <w:pPr>
              <w:adjustRightInd w:val="0"/>
              <w:snapToGrid w:val="0"/>
              <w:jc w:val="center"/>
            </w:pPr>
            <w:r>
              <w:t>0.00004L</w:t>
            </w:r>
          </w:p>
        </w:tc>
        <w:tc>
          <w:tcPr>
            <w:tcW w:w="1694" w:type="pct"/>
            <w:vAlign w:val="center"/>
          </w:tcPr>
          <w:p w14:paraId="35DC31AF" w14:textId="77777777" w:rsidR="00352E51" w:rsidRDefault="00352E51" w:rsidP="004D13F7">
            <w:pPr>
              <w:adjustRightInd w:val="0"/>
              <w:snapToGrid w:val="0"/>
              <w:jc w:val="center"/>
            </w:pPr>
            <w:r>
              <w:t>0.00004L</w:t>
            </w:r>
          </w:p>
        </w:tc>
      </w:tr>
      <w:tr w:rsidR="00352E51" w14:paraId="42297446" w14:textId="77777777" w:rsidTr="004D13F7">
        <w:trPr>
          <w:trHeight w:val="57"/>
          <w:jc w:val="center"/>
        </w:trPr>
        <w:tc>
          <w:tcPr>
            <w:tcW w:w="1613" w:type="pct"/>
            <w:vAlign w:val="center"/>
          </w:tcPr>
          <w:p w14:paraId="2DE277AC" w14:textId="77777777" w:rsidR="00352E51" w:rsidRDefault="00352E51" w:rsidP="004D13F7">
            <w:pPr>
              <w:adjustRightInd w:val="0"/>
              <w:snapToGrid w:val="0"/>
              <w:jc w:val="center"/>
              <w:rPr>
                <w:lang w:bidi="ar"/>
              </w:rPr>
            </w:pPr>
            <w:r>
              <w:rPr>
                <w:kern w:val="0"/>
              </w:rPr>
              <w:t>镍</w:t>
            </w:r>
            <w:r>
              <w:rPr>
                <w:bCs/>
              </w:rPr>
              <w:t>（</w:t>
            </w:r>
            <w:r>
              <w:rPr>
                <w:bCs/>
              </w:rPr>
              <w:t>mg/L</w:t>
            </w:r>
            <w:r>
              <w:rPr>
                <w:bCs/>
              </w:rPr>
              <w:t>）</w:t>
            </w:r>
          </w:p>
        </w:tc>
        <w:tc>
          <w:tcPr>
            <w:tcW w:w="1693" w:type="pct"/>
            <w:vAlign w:val="center"/>
          </w:tcPr>
          <w:p w14:paraId="6415D70D" w14:textId="77777777" w:rsidR="00352E51" w:rsidRDefault="00352E51" w:rsidP="004D13F7">
            <w:pPr>
              <w:adjustRightInd w:val="0"/>
              <w:snapToGrid w:val="0"/>
              <w:jc w:val="center"/>
              <w:rPr>
                <w:lang w:bidi="ar"/>
              </w:rPr>
            </w:pPr>
            <w:r>
              <w:t>0.05L</w:t>
            </w:r>
          </w:p>
        </w:tc>
        <w:tc>
          <w:tcPr>
            <w:tcW w:w="1694" w:type="pct"/>
            <w:vAlign w:val="center"/>
          </w:tcPr>
          <w:p w14:paraId="34E7F832" w14:textId="77777777" w:rsidR="00352E51" w:rsidRDefault="00352E51" w:rsidP="004D13F7">
            <w:pPr>
              <w:adjustRightInd w:val="0"/>
              <w:snapToGrid w:val="0"/>
              <w:jc w:val="center"/>
              <w:rPr>
                <w:lang w:bidi="ar"/>
              </w:rPr>
            </w:pPr>
            <w:r>
              <w:t>0.05L</w:t>
            </w:r>
          </w:p>
        </w:tc>
      </w:tr>
      <w:tr w:rsidR="00352E51" w14:paraId="62A91A8C" w14:textId="77777777" w:rsidTr="004D13F7">
        <w:trPr>
          <w:trHeight w:val="57"/>
          <w:jc w:val="center"/>
        </w:trPr>
        <w:tc>
          <w:tcPr>
            <w:tcW w:w="1613" w:type="pct"/>
            <w:vAlign w:val="center"/>
          </w:tcPr>
          <w:p w14:paraId="4B5E80AA" w14:textId="77777777" w:rsidR="00352E51" w:rsidRDefault="00352E51" w:rsidP="004D13F7">
            <w:pPr>
              <w:adjustRightInd w:val="0"/>
              <w:snapToGrid w:val="0"/>
              <w:jc w:val="center"/>
              <w:rPr>
                <w:lang w:bidi="ar"/>
              </w:rPr>
            </w:pPr>
            <w:r>
              <w:rPr>
                <w:kern w:val="0"/>
              </w:rPr>
              <w:t>铬</w:t>
            </w:r>
            <w:r>
              <w:rPr>
                <w:bCs/>
              </w:rPr>
              <w:t>（</w:t>
            </w:r>
            <w:r>
              <w:rPr>
                <w:bCs/>
              </w:rPr>
              <w:t>mg/L</w:t>
            </w:r>
            <w:r>
              <w:rPr>
                <w:bCs/>
              </w:rPr>
              <w:t>）</w:t>
            </w:r>
          </w:p>
        </w:tc>
        <w:tc>
          <w:tcPr>
            <w:tcW w:w="1693" w:type="pct"/>
            <w:vAlign w:val="center"/>
          </w:tcPr>
          <w:p w14:paraId="037ACE6E" w14:textId="77777777" w:rsidR="00352E51" w:rsidRDefault="00352E51" w:rsidP="004D13F7">
            <w:pPr>
              <w:adjustRightInd w:val="0"/>
              <w:snapToGrid w:val="0"/>
              <w:jc w:val="center"/>
              <w:rPr>
                <w:lang w:bidi="ar"/>
              </w:rPr>
            </w:pPr>
            <w:r>
              <w:t>0.03L</w:t>
            </w:r>
          </w:p>
        </w:tc>
        <w:tc>
          <w:tcPr>
            <w:tcW w:w="1694" w:type="pct"/>
            <w:vAlign w:val="center"/>
          </w:tcPr>
          <w:p w14:paraId="194E0F2E" w14:textId="77777777" w:rsidR="00352E51" w:rsidRDefault="00352E51" w:rsidP="004D13F7">
            <w:pPr>
              <w:adjustRightInd w:val="0"/>
              <w:snapToGrid w:val="0"/>
              <w:jc w:val="center"/>
              <w:rPr>
                <w:lang w:bidi="ar"/>
              </w:rPr>
            </w:pPr>
            <w:r>
              <w:rPr>
                <w:rFonts w:hint="eastAsia"/>
              </w:rPr>
              <w:t>0.03L</w:t>
            </w:r>
          </w:p>
        </w:tc>
      </w:tr>
      <w:tr w:rsidR="00352E51" w14:paraId="7CA33787" w14:textId="77777777" w:rsidTr="004D13F7">
        <w:trPr>
          <w:trHeight w:val="57"/>
          <w:jc w:val="center"/>
        </w:trPr>
        <w:tc>
          <w:tcPr>
            <w:tcW w:w="1613" w:type="pct"/>
            <w:vAlign w:val="center"/>
          </w:tcPr>
          <w:p w14:paraId="0C6C479A" w14:textId="77777777" w:rsidR="00352E51" w:rsidRDefault="00352E51" w:rsidP="004D13F7">
            <w:pPr>
              <w:adjustRightInd w:val="0"/>
              <w:snapToGrid w:val="0"/>
              <w:jc w:val="center"/>
              <w:rPr>
                <w:lang w:bidi="ar"/>
              </w:rPr>
            </w:pPr>
            <w:r>
              <w:rPr>
                <w:kern w:val="0"/>
              </w:rPr>
              <w:t>铜</w:t>
            </w:r>
            <w:r>
              <w:rPr>
                <w:bCs/>
              </w:rPr>
              <w:t>（</w:t>
            </w:r>
            <w:r>
              <w:rPr>
                <w:bCs/>
              </w:rPr>
              <w:t>mg/L</w:t>
            </w:r>
            <w:r>
              <w:rPr>
                <w:bCs/>
              </w:rPr>
              <w:t>）</w:t>
            </w:r>
          </w:p>
        </w:tc>
        <w:tc>
          <w:tcPr>
            <w:tcW w:w="1693" w:type="pct"/>
            <w:vAlign w:val="center"/>
          </w:tcPr>
          <w:p w14:paraId="31039126" w14:textId="77777777" w:rsidR="00352E51" w:rsidRDefault="00352E51" w:rsidP="004D13F7">
            <w:pPr>
              <w:adjustRightInd w:val="0"/>
              <w:snapToGrid w:val="0"/>
              <w:jc w:val="center"/>
              <w:rPr>
                <w:lang w:bidi="ar"/>
              </w:rPr>
            </w:pPr>
            <w:r>
              <w:t>0.001L</w:t>
            </w:r>
          </w:p>
        </w:tc>
        <w:tc>
          <w:tcPr>
            <w:tcW w:w="1694" w:type="pct"/>
            <w:vAlign w:val="center"/>
          </w:tcPr>
          <w:p w14:paraId="70E42D1A" w14:textId="77777777" w:rsidR="00352E51" w:rsidRDefault="00352E51" w:rsidP="004D13F7">
            <w:pPr>
              <w:adjustRightInd w:val="0"/>
              <w:snapToGrid w:val="0"/>
              <w:jc w:val="center"/>
              <w:rPr>
                <w:lang w:bidi="ar"/>
              </w:rPr>
            </w:pPr>
            <w:r>
              <w:t>0.001L</w:t>
            </w:r>
          </w:p>
        </w:tc>
      </w:tr>
      <w:tr w:rsidR="00352E51" w14:paraId="4025BC0F" w14:textId="77777777" w:rsidTr="004D13F7">
        <w:trPr>
          <w:trHeight w:val="57"/>
          <w:jc w:val="center"/>
        </w:trPr>
        <w:tc>
          <w:tcPr>
            <w:tcW w:w="1613" w:type="pct"/>
            <w:vAlign w:val="center"/>
          </w:tcPr>
          <w:p w14:paraId="1C962444" w14:textId="77777777" w:rsidR="00352E51" w:rsidRDefault="00352E51" w:rsidP="004D13F7">
            <w:pPr>
              <w:adjustRightInd w:val="0"/>
              <w:snapToGrid w:val="0"/>
              <w:jc w:val="center"/>
              <w:rPr>
                <w:lang w:bidi="ar"/>
              </w:rPr>
            </w:pPr>
            <w:r>
              <w:rPr>
                <w:kern w:val="0"/>
              </w:rPr>
              <w:t>锌</w:t>
            </w:r>
            <w:r>
              <w:rPr>
                <w:bCs/>
              </w:rPr>
              <w:t>（</w:t>
            </w:r>
            <w:r>
              <w:rPr>
                <w:bCs/>
              </w:rPr>
              <w:t>mg/L</w:t>
            </w:r>
            <w:r>
              <w:rPr>
                <w:bCs/>
              </w:rPr>
              <w:t>）</w:t>
            </w:r>
          </w:p>
        </w:tc>
        <w:tc>
          <w:tcPr>
            <w:tcW w:w="1693" w:type="pct"/>
            <w:vAlign w:val="center"/>
          </w:tcPr>
          <w:p w14:paraId="46F9FFAC" w14:textId="77777777" w:rsidR="00352E51" w:rsidRDefault="00352E51" w:rsidP="004D13F7">
            <w:pPr>
              <w:adjustRightInd w:val="0"/>
              <w:snapToGrid w:val="0"/>
              <w:jc w:val="center"/>
              <w:rPr>
                <w:lang w:bidi="ar"/>
              </w:rPr>
            </w:pPr>
            <w:r>
              <w:t>0.05L</w:t>
            </w:r>
          </w:p>
        </w:tc>
        <w:tc>
          <w:tcPr>
            <w:tcW w:w="1694" w:type="pct"/>
            <w:vAlign w:val="center"/>
          </w:tcPr>
          <w:p w14:paraId="7FD24172" w14:textId="77777777" w:rsidR="00352E51" w:rsidRDefault="00352E51" w:rsidP="004D13F7">
            <w:pPr>
              <w:adjustRightInd w:val="0"/>
              <w:snapToGrid w:val="0"/>
              <w:jc w:val="center"/>
              <w:rPr>
                <w:lang w:bidi="ar"/>
              </w:rPr>
            </w:pPr>
            <w:r>
              <w:t>0.05L</w:t>
            </w:r>
          </w:p>
        </w:tc>
      </w:tr>
      <w:tr w:rsidR="00352E51" w14:paraId="632F1B63" w14:textId="77777777" w:rsidTr="004D13F7">
        <w:trPr>
          <w:trHeight w:val="57"/>
          <w:jc w:val="center"/>
        </w:trPr>
        <w:tc>
          <w:tcPr>
            <w:tcW w:w="1613" w:type="pct"/>
            <w:vAlign w:val="center"/>
          </w:tcPr>
          <w:p w14:paraId="02AC58DB" w14:textId="77777777" w:rsidR="00352E51" w:rsidRDefault="00352E51" w:rsidP="004D13F7">
            <w:pPr>
              <w:adjustRightInd w:val="0"/>
              <w:snapToGrid w:val="0"/>
              <w:jc w:val="center"/>
              <w:rPr>
                <w:lang w:bidi="ar"/>
              </w:rPr>
            </w:pPr>
            <w:r>
              <w:rPr>
                <w:kern w:val="0"/>
              </w:rPr>
              <w:t>铅</w:t>
            </w:r>
            <w:r>
              <w:rPr>
                <w:bCs/>
              </w:rPr>
              <w:t>（</w:t>
            </w:r>
            <w:r>
              <w:rPr>
                <w:bCs/>
              </w:rPr>
              <w:t>mg/L</w:t>
            </w:r>
            <w:r>
              <w:rPr>
                <w:bCs/>
              </w:rPr>
              <w:t>）</w:t>
            </w:r>
          </w:p>
        </w:tc>
        <w:tc>
          <w:tcPr>
            <w:tcW w:w="1693" w:type="pct"/>
            <w:vAlign w:val="center"/>
          </w:tcPr>
          <w:p w14:paraId="28D96F06" w14:textId="77777777" w:rsidR="00352E51" w:rsidRDefault="00352E51" w:rsidP="004D13F7">
            <w:pPr>
              <w:adjustRightInd w:val="0"/>
              <w:snapToGrid w:val="0"/>
              <w:jc w:val="center"/>
              <w:rPr>
                <w:lang w:bidi="ar"/>
              </w:rPr>
            </w:pPr>
            <w:r>
              <w:t>0.010L</w:t>
            </w:r>
          </w:p>
        </w:tc>
        <w:tc>
          <w:tcPr>
            <w:tcW w:w="1694" w:type="pct"/>
            <w:vAlign w:val="center"/>
          </w:tcPr>
          <w:p w14:paraId="38850C21" w14:textId="77777777" w:rsidR="00352E51" w:rsidRDefault="00352E51" w:rsidP="004D13F7">
            <w:pPr>
              <w:adjustRightInd w:val="0"/>
              <w:snapToGrid w:val="0"/>
              <w:jc w:val="center"/>
              <w:rPr>
                <w:lang w:bidi="ar"/>
              </w:rPr>
            </w:pPr>
            <w:r>
              <w:t>0.010L</w:t>
            </w:r>
          </w:p>
        </w:tc>
      </w:tr>
      <w:tr w:rsidR="00352E51" w14:paraId="0B0E7787" w14:textId="77777777" w:rsidTr="004D13F7">
        <w:trPr>
          <w:trHeight w:val="57"/>
          <w:jc w:val="center"/>
        </w:trPr>
        <w:tc>
          <w:tcPr>
            <w:tcW w:w="1613" w:type="pct"/>
            <w:vAlign w:val="center"/>
          </w:tcPr>
          <w:p w14:paraId="213A9728" w14:textId="77777777" w:rsidR="00352E51" w:rsidRDefault="00352E51" w:rsidP="004D13F7">
            <w:pPr>
              <w:adjustRightInd w:val="0"/>
              <w:snapToGrid w:val="0"/>
              <w:jc w:val="center"/>
            </w:pPr>
            <w:r>
              <w:t>pH</w:t>
            </w:r>
            <w:r>
              <w:rPr>
                <w:rFonts w:hint="eastAsia"/>
              </w:rPr>
              <w:t>（无量纲）</w:t>
            </w:r>
          </w:p>
        </w:tc>
        <w:tc>
          <w:tcPr>
            <w:tcW w:w="1693" w:type="pct"/>
            <w:vAlign w:val="center"/>
          </w:tcPr>
          <w:p w14:paraId="5FC5AC7A" w14:textId="77777777" w:rsidR="00352E51" w:rsidRDefault="00352E51" w:rsidP="004D13F7">
            <w:pPr>
              <w:adjustRightInd w:val="0"/>
              <w:snapToGrid w:val="0"/>
              <w:jc w:val="center"/>
            </w:pPr>
            <w:r>
              <w:t>8.1</w:t>
            </w:r>
          </w:p>
        </w:tc>
        <w:tc>
          <w:tcPr>
            <w:tcW w:w="1694" w:type="pct"/>
            <w:vAlign w:val="center"/>
          </w:tcPr>
          <w:p w14:paraId="3D76A115" w14:textId="77777777" w:rsidR="00352E51" w:rsidRDefault="00352E51" w:rsidP="004D13F7">
            <w:pPr>
              <w:adjustRightInd w:val="0"/>
              <w:snapToGrid w:val="0"/>
              <w:jc w:val="center"/>
            </w:pPr>
            <w:r>
              <w:t>8.0</w:t>
            </w:r>
          </w:p>
        </w:tc>
      </w:tr>
    </w:tbl>
    <w:p w14:paraId="450C21CD" w14:textId="3A4D4AC8" w:rsidR="00352E51" w:rsidRPr="00352E51" w:rsidRDefault="00352E51" w:rsidP="00352E51">
      <w:pPr>
        <w:snapToGrid w:val="0"/>
        <w:spacing w:line="360" w:lineRule="auto"/>
        <w:ind w:firstLineChars="200" w:firstLine="480"/>
        <w:rPr>
          <w:sz w:val="24"/>
          <w:szCs w:val="28"/>
        </w:rPr>
      </w:pPr>
      <w:r>
        <w:rPr>
          <w:rFonts w:hint="eastAsia"/>
          <w:sz w:val="24"/>
          <w:szCs w:val="28"/>
        </w:rPr>
        <w:t>监测</w:t>
      </w:r>
      <w:r w:rsidRPr="00352E51">
        <w:rPr>
          <w:rFonts w:hint="eastAsia"/>
          <w:sz w:val="24"/>
          <w:szCs w:val="28"/>
        </w:rPr>
        <w:t>结果表明厂区内包气带各种污染物含量与区域背景值含量大体相当，目前未受到厂区生产活动影响。</w:t>
      </w:r>
    </w:p>
    <w:p w14:paraId="50C4AE76" w14:textId="77777777" w:rsidR="00352E51" w:rsidRDefault="00352E51">
      <w:pPr>
        <w:pStyle w:val="2"/>
        <w:spacing w:beforeLines="50" w:before="120"/>
      </w:pPr>
      <w:bookmarkStart w:id="229" w:name="_Toc220680520"/>
      <w:r>
        <w:t>5.7</w:t>
      </w:r>
      <w:r>
        <w:t>生态环境的现状调查与评价</w:t>
      </w:r>
      <w:bookmarkEnd w:id="228"/>
      <w:bookmarkEnd w:id="229"/>
    </w:p>
    <w:p w14:paraId="2465D004" w14:textId="77777777" w:rsidR="00352E51" w:rsidRPr="00994AEB" w:rsidRDefault="00352E51" w:rsidP="00994AEB">
      <w:pPr>
        <w:snapToGrid w:val="0"/>
        <w:spacing w:line="360" w:lineRule="auto"/>
        <w:ind w:firstLineChars="200" w:firstLine="480"/>
        <w:rPr>
          <w:sz w:val="24"/>
          <w:szCs w:val="28"/>
        </w:rPr>
      </w:pPr>
      <w:r w:rsidRPr="00994AEB">
        <w:rPr>
          <w:rFonts w:hint="eastAsia"/>
          <w:sz w:val="24"/>
          <w:szCs w:val="28"/>
        </w:rPr>
        <w:t>根据现场调查，项目所在地位于城市郊区，所在区域因受人类活动的影响，项目所在区无原生植被，已不具备野生动物栖息的良好条件。评价区内常见的野生动物伴人居性强，环境适应范围广，为地区常见的种类，主要为麻雀、家燕、喜鹊、鼠等。通过实地对项目区的调查，本项目东侧周边种植有季节性的农作物，南侧为坑塘。</w:t>
      </w:r>
    </w:p>
    <w:p w14:paraId="5B1776BB" w14:textId="06FA4A04" w:rsidR="00352E51" w:rsidRDefault="00352E51" w:rsidP="003155B3">
      <w:pPr>
        <w:snapToGrid w:val="0"/>
        <w:spacing w:line="360" w:lineRule="auto"/>
        <w:ind w:firstLineChars="200" w:firstLine="480"/>
        <w:rPr>
          <w:sz w:val="24"/>
          <w:szCs w:val="28"/>
        </w:rPr>
      </w:pPr>
      <w:r w:rsidRPr="00994AEB">
        <w:rPr>
          <w:rFonts w:hint="eastAsia"/>
          <w:sz w:val="24"/>
          <w:szCs w:val="28"/>
        </w:rPr>
        <w:t>经实地调查，项目所经区域内无国家级和黑龙江省级及地方保护动植物物种分布；</w:t>
      </w:r>
      <w:r w:rsidRPr="00994AEB">
        <w:rPr>
          <w:rFonts w:hint="eastAsia"/>
          <w:sz w:val="24"/>
          <w:szCs w:val="28"/>
        </w:rPr>
        <w:lastRenderedPageBreak/>
        <w:t>无风景名胜区，文物保护等需要保护的区域，查阅资料和实地走访未发现有古树名木。</w:t>
      </w:r>
    </w:p>
    <w:p w14:paraId="0E53A022" w14:textId="77777777" w:rsidR="00606029" w:rsidRDefault="00606029">
      <w:pPr>
        <w:ind w:firstLineChars="200" w:firstLine="422"/>
        <w:jc w:val="center"/>
        <w:rPr>
          <w:b/>
          <w:bCs/>
        </w:rPr>
        <w:sectPr w:rsidR="00606029">
          <w:pgSz w:w="11905" w:h="16838"/>
          <w:pgMar w:top="1417" w:right="1474" w:bottom="1417" w:left="1474" w:header="850" w:footer="850" w:gutter="113"/>
          <w:cols w:space="0"/>
          <w:docGrid w:linePitch="326"/>
        </w:sectPr>
      </w:pPr>
    </w:p>
    <w:p w14:paraId="57271360" w14:textId="77777777" w:rsidR="00606029" w:rsidRDefault="00EA5B92">
      <w:pPr>
        <w:pStyle w:val="1"/>
        <w:jc w:val="center"/>
      </w:pPr>
      <w:bookmarkStart w:id="230" w:name="_Toc31520"/>
      <w:bookmarkStart w:id="231" w:name="_Toc1868"/>
      <w:bookmarkStart w:id="232" w:name="_Toc220680521"/>
      <w:r>
        <w:lastRenderedPageBreak/>
        <w:t>第六章</w:t>
      </w:r>
      <w:r>
        <w:t xml:space="preserve">  </w:t>
      </w:r>
      <w:r>
        <w:t>环境影响预测与评价</w:t>
      </w:r>
      <w:bookmarkEnd w:id="230"/>
      <w:bookmarkEnd w:id="231"/>
      <w:bookmarkEnd w:id="232"/>
    </w:p>
    <w:p w14:paraId="111F3254" w14:textId="77777777" w:rsidR="00606029" w:rsidRDefault="00EA5B92">
      <w:pPr>
        <w:pStyle w:val="2"/>
      </w:pPr>
      <w:bookmarkStart w:id="233" w:name="_Toc15169"/>
      <w:bookmarkStart w:id="234" w:name="_Toc17639"/>
      <w:bookmarkStart w:id="235" w:name="_Toc220680522"/>
      <w:r>
        <w:t>6.1</w:t>
      </w:r>
      <w:r>
        <w:t>施工期环境影响评价</w:t>
      </w:r>
      <w:bookmarkEnd w:id="233"/>
      <w:bookmarkEnd w:id="234"/>
      <w:bookmarkEnd w:id="235"/>
    </w:p>
    <w:p w14:paraId="74DA7BEE" w14:textId="77777777" w:rsidR="00606029" w:rsidRDefault="00EA5B92">
      <w:pPr>
        <w:pStyle w:val="3"/>
      </w:pPr>
      <w:bookmarkStart w:id="236" w:name="_Toc220680523"/>
      <w:r>
        <w:t>6.1.1</w:t>
      </w:r>
      <w:r>
        <w:t>施工期水环境影响分析</w:t>
      </w:r>
      <w:bookmarkEnd w:id="236"/>
    </w:p>
    <w:p w14:paraId="7CD15B3C" w14:textId="149B0925" w:rsidR="00606029" w:rsidRDefault="0069621B">
      <w:pPr>
        <w:pStyle w:val="affffff4"/>
      </w:pPr>
      <w:r w:rsidRPr="0069621B">
        <w:t>本项目施工期废水主要为施工废水、生活污水和残留渗滤液。</w:t>
      </w:r>
    </w:p>
    <w:p w14:paraId="06A5FDB8" w14:textId="1ABA8B43" w:rsidR="00606029" w:rsidRDefault="00EA5B92">
      <w:pPr>
        <w:pStyle w:val="affffff4"/>
      </w:pPr>
      <w:r>
        <w:t>（</w:t>
      </w:r>
      <w:r>
        <w:t>1</w:t>
      </w:r>
      <w:r>
        <w:t>）生活污水</w:t>
      </w:r>
    </w:p>
    <w:p w14:paraId="29032522" w14:textId="2DFDE58C" w:rsidR="00606029" w:rsidRDefault="00EA5B92" w:rsidP="00F833C1">
      <w:pPr>
        <w:pStyle w:val="affffff4"/>
      </w:pPr>
      <w:r>
        <w:t>施工高峰期的施工人员约</w:t>
      </w:r>
      <w:r>
        <w:t>25</w:t>
      </w:r>
      <w:r>
        <w:t>人，</w:t>
      </w:r>
      <w:r w:rsidR="0092263B">
        <w:rPr>
          <w:rFonts w:hint="eastAsia"/>
        </w:rPr>
        <w:t>根据黑龙江省</w:t>
      </w:r>
      <w:r w:rsidR="0092263B" w:rsidRPr="0092263B">
        <w:rPr>
          <w:rFonts w:hint="eastAsia"/>
        </w:rPr>
        <w:t>地方标准《用水定额》（</w:t>
      </w:r>
      <w:r w:rsidR="0092263B" w:rsidRPr="0092263B">
        <w:rPr>
          <w:rFonts w:hint="eastAsia"/>
        </w:rPr>
        <w:t>DB23/T727-2025</w:t>
      </w:r>
      <w:r w:rsidR="0092263B" w:rsidRPr="0092263B">
        <w:rPr>
          <w:rFonts w:hint="eastAsia"/>
        </w:rPr>
        <w:t>）</w:t>
      </w:r>
      <w:r w:rsidR="0092263B">
        <w:rPr>
          <w:rFonts w:hint="eastAsia"/>
        </w:rPr>
        <w:t>，</w:t>
      </w:r>
      <w:r>
        <w:t>施工人员人均生活用水量按</w:t>
      </w:r>
      <w:r w:rsidR="0092263B">
        <w:rPr>
          <w:rFonts w:hint="eastAsia"/>
        </w:rPr>
        <w:t>8</w:t>
      </w:r>
      <w:r>
        <w:t>0L/</w:t>
      </w:r>
      <w:r>
        <w:t>人</w:t>
      </w:r>
      <w:r>
        <w:t>·</w:t>
      </w:r>
      <w:r>
        <w:t>日计，排水系数取</w:t>
      </w:r>
      <w:r>
        <w:t>80%</w:t>
      </w:r>
      <w:r>
        <w:t>，则生活污水产生量约</w:t>
      </w:r>
      <w:r w:rsidR="0092263B">
        <w:rPr>
          <w:rFonts w:hint="eastAsia"/>
        </w:rPr>
        <w:t>1.6t</w:t>
      </w:r>
      <w:r>
        <w:t>/d</w:t>
      </w:r>
      <w:r>
        <w:t>，主要污染物为</w:t>
      </w:r>
      <w:r>
        <w:t>COD</w:t>
      </w:r>
      <w:r w:rsidR="0092263B">
        <w:t>和</w:t>
      </w:r>
      <w:r>
        <w:t>NH</w:t>
      </w:r>
      <w:r>
        <w:rPr>
          <w:vertAlign w:val="subscript"/>
        </w:rPr>
        <w:t>3</w:t>
      </w:r>
      <w:r>
        <w:t>-N</w:t>
      </w:r>
      <w:r>
        <w:t>，生活污水</w:t>
      </w:r>
      <w:r>
        <w:t>COD</w:t>
      </w:r>
      <w:r>
        <w:t>产生浓度取</w:t>
      </w:r>
      <w:r w:rsidR="0092263B">
        <w:rPr>
          <w:rFonts w:hint="eastAsia"/>
        </w:rPr>
        <w:t>3</w:t>
      </w:r>
      <w:r>
        <w:t>00mg/L</w:t>
      </w:r>
      <w:r>
        <w:t>，</w:t>
      </w:r>
      <w:r>
        <w:t>NH</w:t>
      </w:r>
      <w:r>
        <w:rPr>
          <w:vertAlign w:val="subscript"/>
        </w:rPr>
        <w:t>3</w:t>
      </w:r>
      <w:r>
        <w:t>-N</w:t>
      </w:r>
      <w:r>
        <w:t>取</w:t>
      </w:r>
      <w:r>
        <w:t>3</w:t>
      </w:r>
      <w:r w:rsidR="0092263B">
        <w:rPr>
          <w:rFonts w:hint="eastAsia"/>
        </w:rPr>
        <w:t>0</w:t>
      </w:r>
      <w:r>
        <w:t>mg/L</w:t>
      </w:r>
      <w:r>
        <w:t>。施工人员的生活污水依托</w:t>
      </w:r>
      <w:r w:rsidR="0092263B">
        <w:rPr>
          <w:rFonts w:hint="eastAsia"/>
        </w:rPr>
        <w:t>厂区生活污水</w:t>
      </w:r>
      <w:r>
        <w:t>处理站处理</w:t>
      </w:r>
      <w:r w:rsidR="00970F5E" w:rsidRPr="00970F5E">
        <w:rPr>
          <w:rFonts w:hint="eastAsia"/>
        </w:rPr>
        <w:t>后</w:t>
      </w:r>
      <w:r w:rsidR="00970F5E">
        <w:rPr>
          <w:rFonts w:hint="eastAsia"/>
        </w:rPr>
        <w:t>，</w:t>
      </w:r>
      <w:r w:rsidR="00970F5E" w:rsidRPr="00970F5E">
        <w:rPr>
          <w:rFonts w:hint="eastAsia"/>
        </w:rPr>
        <w:t>进入工业废水处理站的“超滤</w:t>
      </w:r>
      <w:r w:rsidR="00970F5E" w:rsidRPr="00970F5E">
        <w:rPr>
          <w:rFonts w:hint="eastAsia"/>
        </w:rPr>
        <w:t>+</w:t>
      </w:r>
      <w:r w:rsidR="00970F5E" w:rsidRPr="00970F5E">
        <w:rPr>
          <w:rFonts w:hint="eastAsia"/>
        </w:rPr>
        <w:t>反渗透”进行深度处理达标后回用至冷却水塔</w:t>
      </w:r>
      <w:r w:rsidR="00970F5E">
        <w:rPr>
          <w:rFonts w:hint="eastAsia"/>
        </w:rPr>
        <w:t>，不外排</w:t>
      </w:r>
      <w:r w:rsidR="00970F5E" w:rsidRPr="00970F5E">
        <w:rPr>
          <w:rFonts w:hint="eastAsia"/>
        </w:rPr>
        <w:t>。</w:t>
      </w:r>
    </w:p>
    <w:p w14:paraId="78B4400C" w14:textId="3AD4F7AD" w:rsidR="00606029" w:rsidRDefault="00EA5B92">
      <w:pPr>
        <w:pStyle w:val="affffff4"/>
      </w:pPr>
      <w:r>
        <w:t>（</w:t>
      </w:r>
      <w:r>
        <w:t>2</w:t>
      </w:r>
      <w:r>
        <w:t>）</w:t>
      </w:r>
      <w:r w:rsidR="00926F4B">
        <w:t>施工废水</w:t>
      </w:r>
    </w:p>
    <w:p w14:paraId="0FD8FE1C" w14:textId="005BF48B" w:rsidR="00A54E50" w:rsidRDefault="00136CF4" w:rsidP="00A54E50">
      <w:pPr>
        <w:pStyle w:val="affffff4"/>
      </w:pPr>
      <w:r w:rsidRPr="00136CF4">
        <w:t>本项目施工废水为调节池清理后冲洗产生的冲洗废水，主要成分与渗滤液相似，</w:t>
      </w:r>
      <w:r w:rsidR="008B27B9" w:rsidRPr="008B27B9">
        <w:t>包括</w:t>
      </w:r>
      <w:r w:rsidR="008B27B9" w:rsidRPr="008B27B9">
        <w:t>COD</w:t>
      </w:r>
      <w:r w:rsidR="008B27B9" w:rsidRPr="008B27B9">
        <w:t>、</w:t>
      </w:r>
      <w:r w:rsidR="008B27B9" w:rsidRPr="008B27B9">
        <w:t>BOD</w:t>
      </w:r>
      <w:r w:rsidR="008B27B9" w:rsidRPr="008B27B9">
        <w:rPr>
          <w:vertAlign w:val="subscript"/>
        </w:rPr>
        <w:t>5</w:t>
      </w:r>
      <w:r w:rsidR="008B27B9" w:rsidRPr="008B27B9">
        <w:t>、重金属等，</w:t>
      </w:r>
      <w:r w:rsidRPr="00136CF4">
        <w:t>产生量约为</w:t>
      </w:r>
      <w:r w:rsidRPr="00136CF4">
        <w:t>50t</w:t>
      </w:r>
      <w:r w:rsidRPr="00136CF4">
        <w:t>。经管道进入渗滤液处理站处理后满足《生活垃圾填埋场污染控制标准》（</w:t>
      </w:r>
      <w:r w:rsidRPr="00136CF4">
        <w:t>GB16889-2024</w:t>
      </w:r>
      <w:r w:rsidRPr="00136CF4">
        <w:t>）表</w:t>
      </w:r>
      <w:r w:rsidRPr="00136CF4">
        <w:t>4</w:t>
      </w:r>
      <w:r w:rsidRPr="00136CF4">
        <w:t>要求和《城市污水再生利用</w:t>
      </w:r>
      <w:r w:rsidRPr="00136CF4">
        <w:t xml:space="preserve"> </w:t>
      </w:r>
      <w:r w:rsidRPr="00136CF4">
        <w:t>工业用水水质》（</w:t>
      </w:r>
      <w:r w:rsidRPr="00136CF4">
        <w:t>GB/T19923-2024</w:t>
      </w:r>
      <w:r w:rsidRPr="00136CF4">
        <w:t>）表</w:t>
      </w:r>
      <w:r w:rsidRPr="00136CF4">
        <w:t>1</w:t>
      </w:r>
      <w:r w:rsidRPr="00136CF4">
        <w:t>间冷开式循环冷却水补充水标准后全部回用至厂区冷却塔补水，不外排。</w:t>
      </w:r>
      <w:r w:rsidR="00EA5B92">
        <w:t>施工机械清洗废水经隔油和沉淀后回用于施工区的日常洒水</w:t>
      </w:r>
      <w:r w:rsidR="0069621B">
        <w:rPr>
          <w:rFonts w:hint="eastAsia"/>
        </w:rPr>
        <w:t>抑尘</w:t>
      </w:r>
      <w:r w:rsidR="00EA5B92">
        <w:t>，不外排。</w:t>
      </w:r>
    </w:p>
    <w:p w14:paraId="77817A8E" w14:textId="77777777" w:rsidR="00A54E50" w:rsidRDefault="00A54E50" w:rsidP="00A54E50">
      <w:pPr>
        <w:pStyle w:val="affffff4"/>
      </w:pPr>
      <w:r>
        <w:rPr>
          <w:rFonts w:hint="eastAsia"/>
        </w:rPr>
        <w:t>（</w:t>
      </w:r>
      <w:r>
        <w:rPr>
          <w:rFonts w:hint="eastAsia"/>
        </w:rPr>
        <w:t>3</w:t>
      </w:r>
      <w:r>
        <w:rPr>
          <w:rFonts w:hint="eastAsia"/>
        </w:rPr>
        <w:t>）残留渗滤液</w:t>
      </w:r>
    </w:p>
    <w:p w14:paraId="28DA7475" w14:textId="77777777" w:rsidR="00F833C1" w:rsidRDefault="00A54E50" w:rsidP="00A54E50">
      <w:pPr>
        <w:pStyle w:val="affffff4"/>
      </w:pPr>
      <w:r>
        <w:rPr>
          <w:rFonts w:hint="eastAsia"/>
        </w:rPr>
        <w:t>清除改建调节池内残留的渗滤液，经管道进入焚烧发电厂区渗滤液调节池，再经渗滤液处理站处理，</w:t>
      </w:r>
      <w:r w:rsidRPr="00A54E50">
        <w:t>处理工艺为</w:t>
      </w:r>
      <w:r w:rsidRPr="00A54E50">
        <w:t>“</w:t>
      </w:r>
      <w:r w:rsidRPr="00A54E50">
        <w:t>调节池＋</w:t>
      </w:r>
      <w:r w:rsidRPr="00A54E50">
        <w:t xml:space="preserve">UASB </w:t>
      </w:r>
      <w:r w:rsidRPr="00A54E50">
        <w:t>厌氧反应器＋</w:t>
      </w:r>
      <w:r w:rsidRPr="00A54E50">
        <w:t xml:space="preserve">MBR </w:t>
      </w:r>
      <w:r w:rsidRPr="00A54E50">
        <w:t>生化处理系统＋</w:t>
      </w:r>
      <w:r w:rsidRPr="00A54E50">
        <w:t xml:space="preserve">NF </w:t>
      </w:r>
      <w:r w:rsidRPr="00A54E50">
        <w:t>纳滤＋</w:t>
      </w:r>
      <w:r w:rsidRPr="00A54E50">
        <w:t xml:space="preserve">RO </w:t>
      </w:r>
      <w:r w:rsidRPr="00A54E50">
        <w:t>反渗透</w:t>
      </w:r>
      <w:r w:rsidRPr="00A54E50">
        <w:t>”</w:t>
      </w:r>
      <w:r w:rsidRPr="00A54E50">
        <w:t>，</w:t>
      </w:r>
      <w:r>
        <w:rPr>
          <w:rFonts w:hint="eastAsia"/>
        </w:rPr>
        <w:t>处理后满足《生活垃圾填埋场污染控制标准》（</w:t>
      </w:r>
      <w:r>
        <w:rPr>
          <w:rFonts w:hint="eastAsia"/>
        </w:rPr>
        <w:t>GB16889-2024</w:t>
      </w:r>
      <w:r>
        <w:rPr>
          <w:rFonts w:hint="eastAsia"/>
        </w:rPr>
        <w:t>）表</w:t>
      </w:r>
      <w:r w:rsidR="00347823">
        <w:rPr>
          <w:rFonts w:hint="eastAsia"/>
        </w:rPr>
        <w:t>4</w:t>
      </w:r>
      <w:r>
        <w:rPr>
          <w:rFonts w:hint="eastAsia"/>
        </w:rPr>
        <w:t>要求和《城市污水再生利用</w:t>
      </w:r>
      <w:r>
        <w:rPr>
          <w:rFonts w:hint="eastAsia"/>
        </w:rPr>
        <w:t xml:space="preserve"> </w:t>
      </w:r>
      <w:r>
        <w:rPr>
          <w:rFonts w:hint="eastAsia"/>
        </w:rPr>
        <w:t>工业用水水质》（</w:t>
      </w:r>
      <w:r>
        <w:rPr>
          <w:rFonts w:hint="eastAsia"/>
        </w:rPr>
        <w:t>GB/T19923-2024</w:t>
      </w:r>
      <w:r>
        <w:rPr>
          <w:rFonts w:hint="eastAsia"/>
        </w:rPr>
        <w:t>）</w:t>
      </w:r>
      <w:r w:rsidR="00347823">
        <w:rPr>
          <w:rFonts w:hint="eastAsia"/>
        </w:rPr>
        <w:t>表</w:t>
      </w:r>
      <w:r w:rsidR="00347823">
        <w:rPr>
          <w:rFonts w:hint="eastAsia"/>
        </w:rPr>
        <w:t>1</w:t>
      </w:r>
      <w:r w:rsidR="00535A47">
        <w:rPr>
          <w:rFonts w:hint="eastAsia"/>
        </w:rPr>
        <w:t>间冷开式循环冷却水补充水标准</w:t>
      </w:r>
      <w:r>
        <w:rPr>
          <w:rFonts w:hint="eastAsia"/>
        </w:rPr>
        <w:t>后全部回用至厂区冷却塔补水，不外排。</w:t>
      </w:r>
    </w:p>
    <w:p w14:paraId="1766256A" w14:textId="125D67B8" w:rsidR="00A54E50" w:rsidRDefault="00F833C1" w:rsidP="00A54E50">
      <w:pPr>
        <w:pStyle w:val="affffff4"/>
      </w:pPr>
      <w:r>
        <w:rPr>
          <w:rFonts w:hint="eastAsia"/>
        </w:rPr>
        <w:t>综上</w:t>
      </w:r>
      <w:r w:rsidR="00A54E50">
        <w:rPr>
          <w:rFonts w:hint="eastAsia"/>
        </w:rPr>
        <w:t>，</w:t>
      </w:r>
      <w:r>
        <w:rPr>
          <w:rFonts w:hint="eastAsia"/>
        </w:rPr>
        <w:t>项目施工期废水均得到有效处置，</w:t>
      </w:r>
      <w:r w:rsidR="00A54E50">
        <w:t>对地表水环境影响</w:t>
      </w:r>
      <w:r>
        <w:rPr>
          <w:rFonts w:hint="eastAsia"/>
        </w:rPr>
        <w:t>较小</w:t>
      </w:r>
      <w:r w:rsidR="00A54E50">
        <w:t>。</w:t>
      </w:r>
    </w:p>
    <w:p w14:paraId="38409CB4" w14:textId="77777777" w:rsidR="00606029" w:rsidRDefault="00EA5B92">
      <w:pPr>
        <w:pStyle w:val="3"/>
      </w:pPr>
      <w:bookmarkStart w:id="237" w:name="_Toc220680524"/>
      <w:r>
        <w:t>6.1.2</w:t>
      </w:r>
      <w:r>
        <w:t>施工期大气环境影响分析</w:t>
      </w:r>
      <w:bookmarkEnd w:id="237"/>
    </w:p>
    <w:p w14:paraId="5E7483D4" w14:textId="357E8DBE" w:rsidR="00F833C1" w:rsidRDefault="00F833C1">
      <w:pPr>
        <w:pStyle w:val="affffff4"/>
      </w:pPr>
      <w:r>
        <w:rPr>
          <w:rFonts w:hint="eastAsia"/>
        </w:rPr>
        <w:t>施工期废气主要包括施工扬尘、机械尾气等。</w:t>
      </w:r>
    </w:p>
    <w:p w14:paraId="21C86455" w14:textId="531078E8" w:rsidR="00606029" w:rsidRDefault="00EA5B92" w:rsidP="00F833C1">
      <w:pPr>
        <w:pStyle w:val="affffff4"/>
      </w:pPr>
      <w:r>
        <w:t>（</w:t>
      </w:r>
      <w:r>
        <w:t>1</w:t>
      </w:r>
      <w:r>
        <w:t>）施工扬尘</w:t>
      </w:r>
    </w:p>
    <w:p w14:paraId="1FBDDA89" w14:textId="1B9BD81E" w:rsidR="00606029" w:rsidRDefault="00EA5B92">
      <w:pPr>
        <w:pStyle w:val="affffff4"/>
      </w:pPr>
      <w:r>
        <w:t>施工产生的扬尘因施工活动的性质、范围以及天气情况的不同，扬尘产生量有较大差别。施工活动产生扬尘主要为</w:t>
      </w:r>
      <w:r w:rsidR="00F833C1" w:rsidRPr="00F833C1">
        <w:t>露天堆场和裸露场地的风力扬尘</w:t>
      </w:r>
      <w:r w:rsidR="00F833C1">
        <w:rPr>
          <w:rFonts w:hint="eastAsia"/>
        </w:rPr>
        <w:t>、</w:t>
      </w:r>
      <w:r w:rsidR="00F833C1" w:rsidRPr="00F833C1">
        <w:t>车辆行驶的动力</w:t>
      </w:r>
      <w:r w:rsidR="00F833C1" w:rsidRPr="00F833C1">
        <w:lastRenderedPageBreak/>
        <w:t>起尘</w:t>
      </w:r>
      <w:r>
        <w:t>。</w:t>
      </w:r>
    </w:p>
    <w:p w14:paraId="51758273" w14:textId="77777777" w:rsidR="00606029" w:rsidRDefault="00EA5B92">
      <w:pPr>
        <w:pStyle w:val="affffff4"/>
      </w:pPr>
      <w:r>
        <w:t>①</w:t>
      </w:r>
      <w:r>
        <w:t>露天堆场和裸露场地的风力扬尘</w:t>
      </w:r>
    </w:p>
    <w:p w14:paraId="241A56F6" w14:textId="77777777" w:rsidR="00606029" w:rsidRDefault="00EA5B92">
      <w:pPr>
        <w:pStyle w:val="affffff4"/>
      </w:pPr>
      <w:r>
        <w:t>尘粒在空气中的传播扩散情况与风速等气象条件有关，也与尘粒本身的沉降速度有关。尘粒的沉降速度随粒径的增大而迅速增大。当粒径为</w:t>
      </w:r>
      <w:r>
        <w:t>250um</w:t>
      </w:r>
      <w:r>
        <w:t>时，主要影响范围在扬尘点下风向近距离范围内，而真正对外环境产生影响的是一些微小尘粒。根据现场的气候不同，其影响范围也有所不同。扬尘对环境的影响仅局限在施工点周围，随着距离的增加，浓度迅速减小，具有明显的局地污染特征。扬尘影响范围主要在工地围墙外</w:t>
      </w:r>
      <w:r>
        <w:t>150m</w:t>
      </w:r>
      <w:r>
        <w:t>内，在扬尘点下风向</w:t>
      </w:r>
      <w:r>
        <w:t>0</w:t>
      </w:r>
      <w:r>
        <w:t>～</w:t>
      </w:r>
      <w:r>
        <w:t>50m</w:t>
      </w:r>
      <w:r>
        <w:t>为重污染带，</w:t>
      </w:r>
      <w:r>
        <w:t>50</w:t>
      </w:r>
      <w:r>
        <w:t>～</w:t>
      </w:r>
      <w:r>
        <w:t>100m</w:t>
      </w:r>
      <w:r>
        <w:t>为较重污染带，</w:t>
      </w:r>
      <w:r>
        <w:t>100</w:t>
      </w:r>
      <w:r>
        <w:t>～</w:t>
      </w:r>
      <w:r>
        <w:t>150m</w:t>
      </w:r>
      <w:r>
        <w:t>为轻污染带，</w:t>
      </w:r>
      <w:r>
        <w:t>150m</w:t>
      </w:r>
      <w:r>
        <w:t>以外影响甚微。</w:t>
      </w:r>
    </w:p>
    <w:p w14:paraId="2186E566" w14:textId="77777777" w:rsidR="00606029" w:rsidRDefault="00EA5B92">
      <w:pPr>
        <w:pStyle w:val="affffff4"/>
      </w:pPr>
      <w:r>
        <w:t>施工期间，若不采取措施，扬尘势必对该区域环境产生一定影响。尤其是在雨水偏少的时期，扬尘现象较为严重。因此本项目施工期应特别注意防尘的问题，采取必要的抑尘措施，以减少施工扬尘对周围环境的影响。</w:t>
      </w:r>
    </w:p>
    <w:p w14:paraId="4F1B3F37" w14:textId="77777777" w:rsidR="00606029" w:rsidRDefault="00EA5B92">
      <w:pPr>
        <w:pStyle w:val="affffff4"/>
      </w:pPr>
      <w:r>
        <w:t>②</w:t>
      </w:r>
      <w:r>
        <w:t>车辆行驶的动力起尘</w:t>
      </w:r>
    </w:p>
    <w:p w14:paraId="6354ED8E" w14:textId="77777777" w:rsidR="00606029" w:rsidRDefault="00EA5B92">
      <w:pPr>
        <w:pStyle w:val="affffff4"/>
      </w:pPr>
      <w:r>
        <w:t>施工期车辆运输扬尘在施工沿线地区所造成的污染较重，且影响范围较大，在下风向</w:t>
      </w:r>
      <w:r>
        <w:t>150m</w:t>
      </w:r>
      <w:r>
        <w:t>处</w:t>
      </w:r>
      <w:r>
        <w:t>TSP</w:t>
      </w:r>
      <w:r>
        <w:t>浓度仍超过环境空气质量二级标准。但车辆扬尘对环境空气的污染，随着气象条件的不同和施工计划、管理手段上的差异，污染程度也将有所不同。</w:t>
      </w:r>
    </w:p>
    <w:p w14:paraId="4C2A52DA" w14:textId="77777777" w:rsidR="00606029" w:rsidRDefault="00EA5B92">
      <w:pPr>
        <w:pStyle w:val="affffff4"/>
      </w:pPr>
      <w:r>
        <w:t>据资料介绍，若在施工期间对车辆行驶的路面和部分易起尘的部位实施洒水抑尘（每天洒水</w:t>
      </w:r>
      <w:r>
        <w:t>4~5</w:t>
      </w:r>
      <w:r>
        <w:t>次），可使扬尘减少</w:t>
      </w:r>
      <w:r>
        <w:t>50%</w:t>
      </w:r>
      <w:r>
        <w:t>～</w:t>
      </w:r>
      <w:r>
        <w:t>70%</w:t>
      </w:r>
      <w:r>
        <w:t>左右，洒水抑尘的试验结果见下表。</w:t>
      </w:r>
    </w:p>
    <w:p w14:paraId="0EB94F1D" w14:textId="77777777" w:rsidR="00606029" w:rsidRDefault="00EA5B92">
      <w:pPr>
        <w:pStyle w:val="affffff5"/>
        <w:tabs>
          <w:tab w:val="left" w:pos="0"/>
        </w:tabs>
        <w:ind w:firstLine="400"/>
      </w:pPr>
      <w:r>
        <w:t>表</w:t>
      </w:r>
      <w:r>
        <w:t xml:space="preserve">6.1-1 </w:t>
      </w:r>
      <w:r>
        <w:t>洒水路面扬尘监测结果表</w:t>
      </w:r>
      <w:r>
        <w:t xml:space="preserve">   </w:t>
      </w:r>
      <w:r>
        <w:t>单位</w:t>
      </w:r>
      <w:r>
        <w:t>mg/m</w:t>
      </w:r>
      <w:r>
        <w:rPr>
          <w:vertAlign w:val="superscript"/>
        </w:rPr>
        <w:t>3</w:t>
      </w:r>
    </w:p>
    <w:tbl>
      <w:tblPr>
        <w:tblStyle w:val="TableNormal"/>
        <w:tblW w:w="4998" w:type="pct"/>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2094"/>
        <w:gridCol w:w="1210"/>
        <w:gridCol w:w="1083"/>
        <w:gridCol w:w="980"/>
        <w:gridCol w:w="975"/>
      </w:tblGrid>
      <w:tr w:rsidR="00606029" w14:paraId="69833080" w14:textId="77777777">
        <w:trPr>
          <w:trHeight w:val="57"/>
        </w:trPr>
        <w:tc>
          <w:tcPr>
            <w:tcW w:w="2593" w:type="pct"/>
            <w:gridSpan w:val="2"/>
            <w:vAlign w:val="center"/>
          </w:tcPr>
          <w:p w14:paraId="761CBDCF" w14:textId="77777777" w:rsidR="00606029" w:rsidRDefault="00EA5B92">
            <w:pPr>
              <w:pStyle w:val="TableText"/>
              <w:adjustRightInd w:val="0"/>
              <w:snapToGrid w:val="0"/>
              <w:jc w:val="center"/>
              <w:rPr>
                <w:rFonts w:ascii="Times New Roman" w:hAnsi="Times New Roman" w:cs="Times New Roman"/>
              </w:rPr>
            </w:pPr>
            <w:r>
              <w:rPr>
                <w:rFonts w:ascii="Times New Roman" w:hAnsi="Times New Roman" w:cs="Times New Roman"/>
              </w:rPr>
              <w:t>距离（</w:t>
            </w:r>
            <w:r>
              <w:rPr>
                <w:rFonts w:ascii="Times New Roman" w:eastAsia="Times New Roman" w:hAnsi="Times New Roman" w:cs="Times New Roman"/>
              </w:rPr>
              <w:t>m</w:t>
            </w:r>
            <w:r>
              <w:rPr>
                <w:rFonts w:ascii="Times New Roman" w:hAnsi="Times New Roman" w:cs="Times New Roman"/>
              </w:rPr>
              <w:t>）</w:t>
            </w:r>
          </w:p>
        </w:tc>
        <w:tc>
          <w:tcPr>
            <w:tcW w:w="685" w:type="pct"/>
            <w:vAlign w:val="center"/>
          </w:tcPr>
          <w:p w14:paraId="47AAA9D5" w14:textId="77777777" w:rsidR="00606029" w:rsidRDefault="00EA5B92">
            <w:pPr>
              <w:adjustRightInd w:val="0"/>
              <w:snapToGrid w:val="0"/>
              <w:jc w:val="center"/>
              <w:rPr>
                <w:rFonts w:eastAsia="Times New Roman"/>
              </w:rPr>
            </w:pPr>
            <w:r>
              <w:rPr>
                <w:rFonts w:eastAsia="Times New Roman"/>
              </w:rPr>
              <w:t>5</w:t>
            </w:r>
          </w:p>
        </w:tc>
        <w:tc>
          <w:tcPr>
            <w:tcW w:w="613" w:type="pct"/>
            <w:vAlign w:val="center"/>
          </w:tcPr>
          <w:p w14:paraId="79421F20" w14:textId="77777777" w:rsidR="00606029" w:rsidRDefault="00EA5B92">
            <w:pPr>
              <w:adjustRightInd w:val="0"/>
              <w:snapToGrid w:val="0"/>
              <w:jc w:val="center"/>
              <w:rPr>
                <w:rFonts w:eastAsia="Times New Roman"/>
              </w:rPr>
            </w:pPr>
            <w:r>
              <w:rPr>
                <w:rFonts w:eastAsia="Times New Roman"/>
              </w:rPr>
              <w:t>20</w:t>
            </w:r>
          </w:p>
        </w:tc>
        <w:tc>
          <w:tcPr>
            <w:tcW w:w="555" w:type="pct"/>
            <w:vAlign w:val="center"/>
          </w:tcPr>
          <w:p w14:paraId="78B10B27" w14:textId="77777777" w:rsidR="00606029" w:rsidRDefault="00EA5B92">
            <w:pPr>
              <w:adjustRightInd w:val="0"/>
              <w:snapToGrid w:val="0"/>
              <w:jc w:val="center"/>
              <w:rPr>
                <w:rFonts w:eastAsia="Times New Roman"/>
              </w:rPr>
            </w:pPr>
            <w:r>
              <w:rPr>
                <w:rFonts w:eastAsia="Times New Roman"/>
              </w:rPr>
              <w:t>50</w:t>
            </w:r>
          </w:p>
        </w:tc>
        <w:tc>
          <w:tcPr>
            <w:tcW w:w="552" w:type="pct"/>
            <w:vAlign w:val="center"/>
          </w:tcPr>
          <w:p w14:paraId="3B05D32D" w14:textId="77777777" w:rsidR="00606029" w:rsidRDefault="00EA5B92">
            <w:pPr>
              <w:adjustRightInd w:val="0"/>
              <w:snapToGrid w:val="0"/>
              <w:jc w:val="center"/>
              <w:rPr>
                <w:rFonts w:eastAsia="Times New Roman"/>
              </w:rPr>
            </w:pPr>
            <w:r>
              <w:rPr>
                <w:rFonts w:eastAsia="Times New Roman"/>
              </w:rPr>
              <w:t>100</w:t>
            </w:r>
          </w:p>
        </w:tc>
      </w:tr>
      <w:tr w:rsidR="00606029" w14:paraId="52398728" w14:textId="77777777">
        <w:trPr>
          <w:trHeight w:val="57"/>
        </w:trPr>
        <w:tc>
          <w:tcPr>
            <w:tcW w:w="1407" w:type="pct"/>
            <w:vMerge w:val="restart"/>
            <w:vAlign w:val="center"/>
          </w:tcPr>
          <w:p w14:paraId="68E87F74" w14:textId="77777777" w:rsidR="00606029" w:rsidRDefault="00EA5B92">
            <w:pPr>
              <w:pStyle w:val="TableText"/>
              <w:adjustRightInd w:val="0"/>
              <w:snapToGrid w:val="0"/>
              <w:jc w:val="center"/>
              <w:rPr>
                <w:rFonts w:ascii="Times New Roman" w:hAnsi="Times New Roman" w:cs="Times New Roman"/>
              </w:rPr>
            </w:pPr>
            <w:r>
              <w:rPr>
                <w:rFonts w:ascii="Times New Roman" w:eastAsia="Times New Roman" w:hAnsi="Times New Roman" w:cs="Times New Roman"/>
              </w:rPr>
              <w:t>TSP</w:t>
            </w:r>
            <w:r>
              <w:rPr>
                <w:rFonts w:ascii="Times New Roman" w:hAnsi="Times New Roman" w:cs="Times New Roman"/>
              </w:rPr>
              <w:t>小时平均浓度</w:t>
            </w:r>
          </w:p>
        </w:tc>
        <w:tc>
          <w:tcPr>
            <w:tcW w:w="1185" w:type="pct"/>
            <w:vAlign w:val="center"/>
          </w:tcPr>
          <w:p w14:paraId="3A6E86FE" w14:textId="77777777" w:rsidR="00606029" w:rsidRDefault="00EA5B92">
            <w:pPr>
              <w:pStyle w:val="TableText"/>
              <w:adjustRightInd w:val="0"/>
              <w:snapToGrid w:val="0"/>
              <w:jc w:val="center"/>
              <w:rPr>
                <w:rFonts w:ascii="Times New Roman" w:hAnsi="Times New Roman" w:cs="Times New Roman"/>
              </w:rPr>
            </w:pPr>
            <w:r>
              <w:rPr>
                <w:rFonts w:ascii="Times New Roman" w:hAnsi="Times New Roman" w:cs="Times New Roman"/>
              </w:rPr>
              <w:t>不洒水</w:t>
            </w:r>
          </w:p>
        </w:tc>
        <w:tc>
          <w:tcPr>
            <w:tcW w:w="685" w:type="pct"/>
            <w:vAlign w:val="center"/>
          </w:tcPr>
          <w:p w14:paraId="3D3D8FCC" w14:textId="77777777" w:rsidR="00606029" w:rsidRDefault="00EA5B92">
            <w:pPr>
              <w:adjustRightInd w:val="0"/>
              <w:snapToGrid w:val="0"/>
              <w:jc w:val="center"/>
              <w:rPr>
                <w:rFonts w:eastAsia="Times New Roman"/>
              </w:rPr>
            </w:pPr>
            <w:r>
              <w:rPr>
                <w:rFonts w:eastAsia="Times New Roman"/>
              </w:rPr>
              <w:t>10.14</w:t>
            </w:r>
          </w:p>
        </w:tc>
        <w:tc>
          <w:tcPr>
            <w:tcW w:w="613" w:type="pct"/>
            <w:vAlign w:val="center"/>
          </w:tcPr>
          <w:p w14:paraId="7DC2508F" w14:textId="77777777" w:rsidR="00606029" w:rsidRDefault="00EA5B92">
            <w:pPr>
              <w:adjustRightInd w:val="0"/>
              <w:snapToGrid w:val="0"/>
              <w:jc w:val="center"/>
              <w:rPr>
                <w:rFonts w:eastAsia="Times New Roman"/>
              </w:rPr>
            </w:pPr>
            <w:r>
              <w:rPr>
                <w:rFonts w:eastAsia="Times New Roman"/>
              </w:rPr>
              <w:t>2.89</w:t>
            </w:r>
          </w:p>
        </w:tc>
        <w:tc>
          <w:tcPr>
            <w:tcW w:w="555" w:type="pct"/>
            <w:vAlign w:val="center"/>
          </w:tcPr>
          <w:p w14:paraId="22997AC8" w14:textId="77777777" w:rsidR="00606029" w:rsidRDefault="00EA5B92">
            <w:pPr>
              <w:adjustRightInd w:val="0"/>
              <w:snapToGrid w:val="0"/>
              <w:jc w:val="center"/>
              <w:rPr>
                <w:rFonts w:eastAsia="Times New Roman"/>
              </w:rPr>
            </w:pPr>
            <w:r>
              <w:rPr>
                <w:rFonts w:eastAsia="Times New Roman"/>
              </w:rPr>
              <w:t>1.15</w:t>
            </w:r>
          </w:p>
        </w:tc>
        <w:tc>
          <w:tcPr>
            <w:tcW w:w="552" w:type="pct"/>
            <w:vAlign w:val="center"/>
          </w:tcPr>
          <w:p w14:paraId="750815CE" w14:textId="77777777" w:rsidR="00606029" w:rsidRDefault="00EA5B92">
            <w:pPr>
              <w:adjustRightInd w:val="0"/>
              <w:snapToGrid w:val="0"/>
              <w:jc w:val="center"/>
              <w:rPr>
                <w:rFonts w:eastAsia="Times New Roman"/>
              </w:rPr>
            </w:pPr>
            <w:r>
              <w:rPr>
                <w:rFonts w:eastAsia="Times New Roman"/>
              </w:rPr>
              <w:t>0.86</w:t>
            </w:r>
          </w:p>
        </w:tc>
      </w:tr>
      <w:tr w:rsidR="00606029" w14:paraId="38B82A53" w14:textId="77777777">
        <w:trPr>
          <w:trHeight w:val="57"/>
        </w:trPr>
        <w:tc>
          <w:tcPr>
            <w:tcW w:w="1407" w:type="pct"/>
            <w:vMerge/>
            <w:vAlign w:val="center"/>
          </w:tcPr>
          <w:p w14:paraId="0402E52C" w14:textId="77777777" w:rsidR="00606029" w:rsidRDefault="00606029">
            <w:pPr>
              <w:adjustRightInd w:val="0"/>
              <w:snapToGrid w:val="0"/>
              <w:jc w:val="center"/>
            </w:pPr>
          </w:p>
        </w:tc>
        <w:tc>
          <w:tcPr>
            <w:tcW w:w="1185" w:type="pct"/>
            <w:vAlign w:val="center"/>
          </w:tcPr>
          <w:p w14:paraId="7E1E8214" w14:textId="77777777" w:rsidR="00606029" w:rsidRDefault="00EA5B92">
            <w:pPr>
              <w:pStyle w:val="TableText"/>
              <w:adjustRightInd w:val="0"/>
              <w:snapToGrid w:val="0"/>
              <w:jc w:val="center"/>
              <w:rPr>
                <w:rFonts w:ascii="Times New Roman" w:hAnsi="Times New Roman" w:cs="Times New Roman"/>
              </w:rPr>
            </w:pPr>
            <w:r>
              <w:rPr>
                <w:rFonts w:ascii="Times New Roman" w:hAnsi="Times New Roman" w:cs="Times New Roman"/>
              </w:rPr>
              <w:t>洒水</w:t>
            </w:r>
          </w:p>
        </w:tc>
        <w:tc>
          <w:tcPr>
            <w:tcW w:w="685" w:type="pct"/>
            <w:vAlign w:val="center"/>
          </w:tcPr>
          <w:p w14:paraId="737122D6" w14:textId="77777777" w:rsidR="00606029" w:rsidRDefault="00EA5B92">
            <w:pPr>
              <w:adjustRightInd w:val="0"/>
              <w:snapToGrid w:val="0"/>
              <w:jc w:val="center"/>
              <w:rPr>
                <w:rFonts w:eastAsia="Times New Roman"/>
              </w:rPr>
            </w:pPr>
            <w:r>
              <w:rPr>
                <w:rFonts w:eastAsia="Times New Roman"/>
              </w:rPr>
              <w:t>2.01</w:t>
            </w:r>
          </w:p>
        </w:tc>
        <w:tc>
          <w:tcPr>
            <w:tcW w:w="613" w:type="pct"/>
            <w:vAlign w:val="center"/>
          </w:tcPr>
          <w:p w14:paraId="56526965" w14:textId="77777777" w:rsidR="00606029" w:rsidRDefault="00EA5B92">
            <w:pPr>
              <w:adjustRightInd w:val="0"/>
              <w:snapToGrid w:val="0"/>
              <w:jc w:val="center"/>
              <w:rPr>
                <w:rFonts w:eastAsia="Times New Roman"/>
              </w:rPr>
            </w:pPr>
            <w:r>
              <w:rPr>
                <w:rFonts w:eastAsia="Times New Roman"/>
              </w:rPr>
              <w:t>1.40</w:t>
            </w:r>
          </w:p>
        </w:tc>
        <w:tc>
          <w:tcPr>
            <w:tcW w:w="555" w:type="pct"/>
            <w:vAlign w:val="center"/>
          </w:tcPr>
          <w:p w14:paraId="32A2390F" w14:textId="77777777" w:rsidR="00606029" w:rsidRDefault="00EA5B92">
            <w:pPr>
              <w:adjustRightInd w:val="0"/>
              <w:snapToGrid w:val="0"/>
              <w:jc w:val="center"/>
              <w:rPr>
                <w:rFonts w:eastAsia="Times New Roman"/>
              </w:rPr>
            </w:pPr>
            <w:r>
              <w:rPr>
                <w:rFonts w:eastAsia="Times New Roman"/>
              </w:rPr>
              <w:t>0.67</w:t>
            </w:r>
          </w:p>
        </w:tc>
        <w:tc>
          <w:tcPr>
            <w:tcW w:w="552" w:type="pct"/>
            <w:vAlign w:val="center"/>
          </w:tcPr>
          <w:p w14:paraId="1473C779" w14:textId="77777777" w:rsidR="00606029" w:rsidRDefault="00EA5B92">
            <w:pPr>
              <w:adjustRightInd w:val="0"/>
              <w:snapToGrid w:val="0"/>
              <w:jc w:val="center"/>
              <w:rPr>
                <w:rFonts w:eastAsia="Times New Roman"/>
              </w:rPr>
            </w:pPr>
            <w:r>
              <w:rPr>
                <w:rFonts w:eastAsia="Times New Roman"/>
              </w:rPr>
              <w:t>0.60</w:t>
            </w:r>
          </w:p>
        </w:tc>
      </w:tr>
      <w:tr w:rsidR="00606029" w14:paraId="73E8AB40" w14:textId="77777777">
        <w:trPr>
          <w:trHeight w:val="57"/>
        </w:trPr>
        <w:tc>
          <w:tcPr>
            <w:tcW w:w="1407" w:type="pct"/>
            <w:vAlign w:val="center"/>
          </w:tcPr>
          <w:p w14:paraId="0C3C82EE" w14:textId="77777777" w:rsidR="00606029" w:rsidRDefault="00EA5B92">
            <w:pPr>
              <w:pStyle w:val="TableText"/>
              <w:adjustRightInd w:val="0"/>
              <w:snapToGrid w:val="0"/>
              <w:jc w:val="center"/>
              <w:rPr>
                <w:rFonts w:ascii="Times New Roman" w:hAnsi="Times New Roman" w:cs="Times New Roman"/>
                <w:lang w:eastAsia="zh-CN"/>
              </w:rPr>
            </w:pPr>
            <w:r>
              <w:rPr>
                <w:rFonts w:ascii="Times New Roman" w:hAnsi="Times New Roman" w:cs="Times New Roman"/>
              </w:rPr>
              <w:t>衰减率</w:t>
            </w:r>
            <w:r>
              <w:rPr>
                <w:rFonts w:ascii="Times New Roman" w:hAnsi="Times New Roman" w:cs="Times New Roman"/>
                <w:lang w:eastAsia="zh-CN"/>
              </w:rPr>
              <w:t>（</w:t>
            </w:r>
          </w:p>
        </w:tc>
        <w:tc>
          <w:tcPr>
            <w:tcW w:w="1185" w:type="pct"/>
            <w:vAlign w:val="center"/>
          </w:tcPr>
          <w:p w14:paraId="08779099" w14:textId="77777777" w:rsidR="00606029" w:rsidRDefault="00EA5B92">
            <w:pPr>
              <w:pStyle w:val="TableText"/>
              <w:adjustRightInd w:val="0"/>
              <w:snapToGrid w:val="0"/>
              <w:jc w:val="center"/>
              <w:rPr>
                <w:rFonts w:ascii="Times New Roman" w:hAnsi="Times New Roman" w:cs="Times New Roman"/>
              </w:rPr>
            </w:pPr>
            <w:r>
              <w:rPr>
                <w:rFonts w:ascii="Times New Roman" w:eastAsia="Times New Roman" w:hAnsi="Times New Roman" w:cs="Times New Roman"/>
              </w:rPr>
              <w:t>%</w:t>
            </w:r>
            <w:r>
              <w:rPr>
                <w:rFonts w:ascii="Times New Roman" w:hAnsi="Times New Roman" w:cs="Times New Roman"/>
              </w:rPr>
              <w:t>）</w:t>
            </w:r>
          </w:p>
        </w:tc>
        <w:tc>
          <w:tcPr>
            <w:tcW w:w="685" w:type="pct"/>
            <w:vAlign w:val="center"/>
          </w:tcPr>
          <w:p w14:paraId="6DF2F088" w14:textId="77777777" w:rsidR="00606029" w:rsidRDefault="00EA5B92">
            <w:pPr>
              <w:adjustRightInd w:val="0"/>
              <w:snapToGrid w:val="0"/>
              <w:jc w:val="center"/>
              <w:rPr>
                <w:rFonts w:eastAsia="Times New Roman"/>
              </w:rPr>
            </w:pPr>
            <w:r>
              <w:rPr>
                <w:rFonts w:eastAsia="Times New Roman"/>
              </w:rPr>
              <w:t>80.2</w:t>
            </w:r>
          </w:p>
        </w:tc>
        <w:tc>
          <w:tcPr>
            <w:tcW w:w="613" w:type="pct"/>
            <w:vAlign w:val="center"/>
          </w:tcPr>
          <w:p w14:paraId="1C027F07" w14:textId="77777777" w:rsidR="00606029" w:rsidRDefault="00EA5B92">
            <w:pPr>
              <w:adjustRightInd w:val="0"/>
              <w:snapToGrid w:val="0"/>
              <w:jc w:val="center"/>
              <w:rPr>
                <w:rFonts w:eastAsia="Times New Roman"/>
              </w:rPr>
            </w:pPr>
            <w:r>
              <w:rPr>
                <w:rFonts w:eastAsia="Times New Roman"/>
              </w:rPr>
              <w:t>51.6</w:t>
            </w:r>
          </w:p>
        </w:tc>
        <w:tc>
          <w:tcPr>
            <w:tcW w:w="555" w:type="pct"/>
            <w:vAlign w:val="center"/>
          </w:tcPr>
          <w:p w14:paraId="26CFFF7E" w14:textId="77777777" w:rsidR="00606029" w:rsidRDefault="00EA5B92">
            <w:pPr>
              <w:adjustRightInd w:val="0"/>
              <w:snapToGrid w:val="0"/>
              <w:jc w:val="center"/>
              <w:rPr>
                <w:rFonts w:eastAsia="Times New Roman"/>
              </w:rPr>
            </w:pPr>
            <w:r>
              <w:rPr>
                <w:rFonts w:eastAsia="Times New Roman"/>
              </w:rPr>
              <w:t>41.7</w:t>
            </w:r>
          </w:p>
        </w:tc>
        <w:tc>
          <w:tcPr>
            <w:tcW w:w="552" w:type="pct"/>
            <w:vAlign w:val="center"/>
          </w:tcPr>
          <w:p w14:paraId="14895759" w14:textId="77777777" w:rsidR="00606029" w:rsidRDefault="00EA5B92">
            <w:pPr>
              <w:adjustRightInd w:val="0"/>
              <w:snapToGrid w:val="0"/>
              <w:jc w:val="center"/>
              <w:rPr>
                <w:rFonts w:eastAsia="Times New Roman"/>
              </w:rPr>
            </w:pPr>
            <w:r>
              <w:rPr>
                <w:rFonts w:eastAsia="Times New Roman"/>
              </w:rPr>
              <w:t>30.2</w:t>
            </w:r>
          </w:p>
        </w:tc>
      </w:tr>
    </w:tbl>
    <w:p w14:paraId="3FFE9FC0" w14:textId="77777777" w:rsidR="00606029" w:rsidRDefault="00EA5B92">
      <w:pPr>
        <w:pStyle w:val="affffff4"/>
        <w:spacing w:beforeLines="50" w:before="120"/>
      </w:pPr>
      <w:r>
        <w:t>根据上表统计的试验结果表明，洒水抑尘可以使施工场地扬尘在</w:t>
      </w:r>
      <w:r>
        <w:t>20~50m</w:t>
      </w:r>
      <w:r>
        <w:t>的距离内接近和达到《大气污染物综合排放标准》（</w:t>
      </w:r>
      <w:r>
        <w:t>GB16297-1996</w:t>
      </w:r>
      <w:r>
        <w:t>）中无组织排放监控浓度限值要求的</w:t>
      </w:r>
      <w:r>
        <w:t>1.0mg/m</w:t>
      </w:r>
      <w:r>
        <w:rPr>
          <w:vertAlign w:val="superscript"/>
        </w:rPr>
        <w:t>3</w:t>
      </w:r>
      <w:r>
        <w:t>（周界外浓度最高点）。</w:t>
      </w:r>
    </w:p>
    <w:p w14:paraId="26435900" w14:textId="3F033302" w:rsidR="00606029" w:rsidRDefault="00EA5B92">
      <w:pPr>
        <w:pStyle w:val="affffff4"/>
      </w:pPr>
      <w:r>
        <w:t>据相关文献报导，在施工过程中，车辆行驶产生的扬尘占总扬尘的</w:t>
      </w:r>
      <w:r>
        <w:t>60%</w:t>
      </w:r>
      <w:r>
        <w:t>以上。车辆行驶产生的扬尘，在完全干燥的情况，可按以下经验公式计算</w:t>
      </w:r>
      <w:r w:rsidR="006A52CC">
        <w:t>：</w:t>
      </w:r>
    </w:p>
    <w:p w14:paraId="00BA1D16" w14:textId="77777777" w:rsidR="00606029" w:rsidRDefault="00EA5B92">
      <w:pPr>
        <w:pStyle w:val="affffff4"/>
        <w:ind w:firstLineChars="0" w:firstLine="0"/>
        <w:jc w:val="center"/>
      </w:pPr>
      <w:r>
        <w:rPr>
          <w:noProof/>
        </w:rPr>
        <w:drawing>
          <wp:inline distT="0" distB="0" distL="114300" distR="114300" wp14:anchorId="4334D9C9" wp14:editId="5D93DAAB">
            <wp:extent cx="2495550" cy="561975"/>
            <wp:effectExtent l="0" t="0" r="0" b="9525"/>
            <wp:docPr id="78" name="图片 78" descr="截图_20250122100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descr="截图_20250122100446"/>
                    <pic:cNvPicPr>
                      <a:picLocks noChangeAspect="1"/>
                    </pic:cNvPicPr>
                  </pic:nvPicPr>
                  <pic:blipFill>
                    <a:blip r:embed="rId76"/>
                    <a:stretch>
                      <a:fillRect/>
                    </a:stretch>
                  </pic:blipFill>
                  <pic:spPr>
                    <a:xfrm>
                      <a:off x="0" y="0"/>
                      <a:ext cx="2495550" cy="561975"/>
                    </a:xfrm>
                    <a:prstGeom prst="rect">
                      <a:avLst/>
                    </a:prstGeom>
                  </pic:spPr>
                </pic:pic>
              </a:graphicData>
            </a:graphic>
          </wp:inline>
        </w:drawing>
      </w:r>
    </w:p>
    <w:p w14:paraId="7EFA7E6D" w14:textId="43CEBB55" w:rsidR="00606029" w:rsidRDefault="00EA5B92">
      <w:pPr>
        <w:pStyle w:val="affffff4"/>
      </w:pPr>
      <w:r>
        <w:t>式中</w:t>
      </w:r>
      <w:r w:rsidR="006A52CC">
        <w:t>：</w:t>
      </w:r>
      <w:r>
        <w:t>Q—</w:t>
      </w:r>
      <w:r>
        <w:t>辆汽车行驶的扬尘量，</w:t>
      </w:r>
      <w:r>
        <w:t>kg/km</w:t>
      </w:r>
      <w:r>
        <w:t>；</w:t>
      </w:r>
    </w:p>
    <w:p w14:paraId="6AD10698" w14:textId="77777777" w:rsidR="00606029" w:rsidRDefault="00EA5B92">
      <w:pPr>
        <w:pStyle w:val="affffff4"/>
      </w:pPr>
      <w:r>
        <w:lastRenderedPageBreak/>
        <w:t>V—</w:t>
      </w:r>
      <w:r>
        <w:t>汽车速度，</w:t>
      </w:r>
      <w:r>
        <w:t>km/h</w:t>
      </w:r>
      <w:r>
        <w:t>；</w:t>
      </w:r>
      <w:r>
        <w:t>W—</w:t>
      </w:r>
      <w:r>
        <w:t>汽车载重量，</w:t>
      </w:r>
      <w:r>
        <w:t>T</w:t>
      </w:r>
      <w:r>
        <w:t>；</w:t>
      </w:r>
    </w:p>
    <w:p w14:paraId="6FF6E948" w14:textId="77777777" w:rsidR="00606029" w:rsidRDefault="00EA5B92">
      <w:pPr>
        <w:pStyle w:val="affffff4"/>
      </w:pPr>
      <w:r>
        <w:t>P—</w:t>
      </w:r>
      <w:r>
        <w:t>道路表面粉尘量，</w:t>
      </w:r>
      <w:r>
        <w:t>kg/m</w:t>
      </w:r>
      <w:r>
        <w:rPr>
          <w:vertAlign w:val="superscript"/>
        </w:rPr>
        <w:t>2</w:t>
      </w:r>
      <w:r>
        <w:t>。</w:t>
      </w:r>
    </w:p>
    <w:p w14:paraId="6E6056EE" w14:textId="77777777" w:rsidR="00606029" w:rsidRDefault="00EA5B92">
      <w:pPr>
        <w:pStyle w:val="affffff4"/>
      </w:pPr>
      <w:r>
        <w:t>根据有关资料，一辆</w:t>
      </w:r>
      <w:r>
        <w:t>10</w:t>
      </w:r>
      <w:r>
        <w:t>吨卡车，通过一段长度为</w:t>
      </w:r>
      <w:r>
        <w:t>1km</w:t>
      </w:r>
      <w:r>
        <w:t>的路面时，在不同路面清洁程度，不同行驶速度情况下，产生的扬尘量见下表。</w:t>
      </w:r>
    </w:p>
    <w:p w14:paraId="00F3D855" w14:textId="2387A4F7" w:rsidR="00606029" w:rsidRDefault="00EA5B92">
      <w:pPr>
        <w:pStyle w:val="affffff5"/>
        <w:tabs>
          <w:tab w:val="left" w:pos="0"/>
        </w:tabs>
        <w:ind w:firstLine="400"/>
      </w:pPr>
      <w:r>
        <w:t>表</w:t>
      </w:r>
      <w:r>
        <w:t xml:space="preserve">6.1-2 </w:t>
      </w:r>
      <w:r>
        <w:t>在不同车速和地面清洁程度的一辆汽车扬尘量</w:t>
      </w:r>
      <w:r>
        <w:t xml:space="preserve">   </w:t>
      </w:r>
      <w:r>
        <w:t>单位</w:t>
      </w:r>
      <w:r w:rsidR="006A52CC">
        <w:t>：</w:t>
      </w:r>
      <w:r>
        <w:t>kg/km</w:t>
      </w:r>
    </w:p>
    <w:tbl>
      <w:tblPr>
        <w:tblStyle w:val="TableNormal"/>
        <w:tblW w:w="4996" w:type="pct"/>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1"/>
        <w:gridCol w:w="1057"/>
        <w:gridCol w:w="1054"/>
        <w:gridCol w:w="1206"/>
        <w:gridCol w:w="1054"/>
        <w:gridCol w:w="1056"/>
        <w:gridCol w:w="989"/>
      </w:tblGrid>
      <w:tr w:rsidR="00606029" w14:paraId="28FB71DE" w14:textId="77777777">
        <w:trPr>
          <w:trHeight w:val="57"/>
        </w:trPr>
        <w:tc>
          <w:tcPr>
            <w:tcW w:w="1364" w:type="pct"/>
            <w:tcBorders>
              <w:tl2br w:val="single" w:sz="4" w:space="0" w:color="000000"/>
            </w:tcBorders>
            <w:vAlign w:val="center"/>
          </w:tcPr>
          <w:p w14:paraId="25BEEFB3" w14:textId="77777777" w:rsidR="00606029" w:rsidRDefault="00EA5B92">
            <w:pPr>
              <w:adjustRightInd w:val="0"/>
              <w:snapToGrid w:val="0"/>
              <w:jc w:val="center"/>
            </w:pPr>
            <w:r>
              <w:t xml:space="preserve">              P</w:t>
            </w:r>
            <w:r>
              <w:t>（</w:t>
            </w:r>
            <w:r>
              <w:t>kg/m</w:t>
            </w:r>
            <w:r>
              <w:rPr>
                <w:vertAlign w:val="superscript"/>
              </w:rPr>
              <w:t>2</w:t>
            </w:r>
            <w:r>
              <w:t>）</w:t>
            </w:r>
          </w:p>
          <w:p w14:paraId="28FE700F" w14:textId="77777777" w:rsidR="00606029" w:rsidRDefault="00EA5B92">
            <w:pPr>
              <w:adjustRightInd w:val="0"/>
              <w:snapToGrid w:val="0"/>
            </w:pPr>
            <w:r>
              <w:t>车速（</w:t>
            </w:r>
            <w:r>
              <w:t>km/h</w:t>
            </w:r>
            <w:r>
              <w:t>）</w:t>
            </w:r>
          </w:p>
        </w:tc>
        <w:tc>
          <w:tcPr>
            <w:tcW w:w="598" w:type="pct"/>
            <w:vAlign w:val="center"/>
          </w:tcPr>
          <w:p w14:paraId="441DC01C" w14:textId="77777777" w:rsidR="00606029" w:rsidRDefault="00EA5B92">
            <w:pPr>
              <w:adjustRightInd w:val="0"/>
              <w:snapToGrid w:val="0"/>
              <w:jc w:val="center"/>
            </w:pPr>
            <w:r>
              <w:t>0.1</w:t>
            </w:r>
          </w:p>
        </w:tc>
        <w:tc>
          <w:tcPr>
            <w:tcW w:w="597" w:type="pct"/>
            <w:vAlign w:val="center"/>
          </w:tcPr>
          <w:p w14:paraId="445FCD66" w14:textId="77777777" w:rsidR="00606029" w:rsidRDefault="00EA5B92">
            <w:pPr>
              <w:adjustRightInd w:val="0"/>
              <w:snapToGrid w:val="0"/>
              <w:jc w:val="center"/>
            </w:pPr>
            <w:r>
              <w:t>0.2</w:t>
            </w:r>
          </w:p>
        </w:tc>
        <w:tc>
          <w:tcPr>
            <w:tcW w:w="683" w:type="pct"/>
            <w:vAlign w:val="center"/>
          </w:tcPr>
          <w:p w14:paraId="2A578E55" w14:textId="77777777" w:rsidR="00606029" w:rsidRDefault="00EA5B92">
            <w:pPr>
              <w:adjustRightInd w:val="0"/>
              <w:snapToGrid w:val="0"/>
              <w:jc w:val="center"/>
            </w:pPr>
            <w:r>
              <w:t>0.3</w:t>
            </w:r>
          </w:p>
        </w:tc>
        <w:tc>
          <w:tcPr>
            <w:tcW w:w="597" w:type="pct"/>
            <w:vAlign w:val="center"/>
          </w:tcPr>
          <w:p w14:paraId="7BFC2945" w14:textId="77777777" w:rsidR="00606029" w:rsidRDefault="00EA5B92">
            <w:pPr>
              <w:adjustRightInd w:val="0"/>
              <w:snapToGrid w:val="0"/>
              <w:jc w:val="center"/>
            </w:pPr>
            <w:r>
              <w:t>0.4</w:t>
            </w:r>
          </w:p>
        </w:tc>
        <w:tc>
          <w:tcPr>
            <w:tcW w:w="598" w:type="pct"/>
            <w:vAlign w:val="center"/>
          </w:tcPr>
          <w:p w14:paraId="13C82678" w14:textId="77777777" w:rsidR="00606029" w:rsidRDefault="00EA5B92">
            <w:pPr>
              <w:adjustRightInd w:val="0"/>
              <w:snapToGrid w:val="0"/>
              <w:jc w:val="center"/>
            </w:pPr>
            <w:r>
              <w:t>0.5</w:t>
            </w:r>
          </w:p>
        </w:tc>
        <w:tc>
          <w:tcPr>
            <w:tcW w:w="560" w:type="pct"/>
            <w:vAlign w:val="center"/>
          </w:tcPr>
          <w:p w14:paraId="00787A60" w14:textId="77777777" w:rsidR="00606029" w:rsidRDefault="00EA5B92">
            <w:pPr>
              <w:adjustRightInd w:val="0"/>
              <w:snapToGrid w:val="0"/>
              <w:jc w:val="center"/>
            </w:pPr>
            <w:r>
              <w:t>1.0</w:t>
            </w:r>
          </w:p>
        </w:tc>
      </w:tr>
      <w:tr w:rsidR="00606029" w14:paraId="50DF6A8C" w14:textId="77777777">
        <w:trPr>
          <w:trHeight w:val="57"/>
        </w:trPr>
        <w:tc>
          <w:tcPr>
            <w:tcW w:w="1364" w:type="pct"/>
            <w:vAlign w:val="center"/>
          </w:tcPr>
          <w:p w14:paraId="514C25F1" w14:textId="77777777" w:rsidR="00606029" w:rsidRDefault="00EA5B92">
            <w:pPr>
              <w:adjustRightInd w:val="0"/>
              <w:snapToGrid w:val="0"/>
              <w:jc w:val="center"/>
            </w:pPr>
            <w:r>
              <w:t>5</w:t>
            </w:r>
          </w:p>
        </w:tc>
        <w:tc>
          <w:tcPr>
            <w:tcW w:w="598" w:type="pct"/>
            <w:vAlign w:val="center"/>
          </w:tcPr>
          <w:p w14:paraId="71588127" w14:textId="77777777" w:rsidR="00606029" w:rsidRDefault="00EA5B92">
            <w:pPr>
              <w:adjustRightInd w:val="0"/>
              <w:snapToGrid w:val="0"/>
              <w:jc w:val="center"/>
            </w:pPr>
            <w:r>
              <w:t>0.051</w:t>
            </w:r>
          </w:p>
        </w:tc>
        <w:tc>
          <w:tcPr>
            <w:tcW w:w="597" w:type="pct"/>
            <w:vAlign w:val="center"/>
          </w:tcPr>
          <w:p w14:paraId="6B5F9B38" w14:textId="77777777" w:rsidR="00606029" w:rsidRDefault="00EA5B92">
            <w:pPr>
              <w:adjustRightInd w:val="0"/>
              <w:snapToGrid w:val="0"/>
              <w:jc w:val="center"/>
            </w:pPr>
            <w:r>
              <w:t>0.086</w:t>
            </w:r>
          </w:p>
        </w:tc>
        <w:tc>
          <w:tcPr>
            <w:tcW w:w="683" w:type="pct"/>
            <w:vAlign w:val="center"/>
          </w:tcPr>
          <w:p w14:paraId="4DD29C78" w14:textId="77777777" w:rsidR="00606029" w:rsidRDefault="00EA5B92">
            <w:pPr>
              <w:adjustRightInd w:val="0"/>
              <w:snapToGrid w:val="0"/>
              <w:jc w:val="center"/>
            </w:pPr>
            <w:r>
              <w:t>0.116</w:t>
            </w:r>
          </w:p>
        </w:tc>
        <w:tc>
          <w:tcPr>
            <w:tcW w:w="597" w:type="pct"/>
            <w:vAlign w:val="center"/>
          </w:tcPr>
          <w:p w14:paraId="23C97B71" w14:textId="77777777" w:rsidR="00606029" w:rsidRDefault="00EA5B92">
            <w:pPr>
              <w:adjustRightInd w:val="0"/>
              <w:snapToGrid w:val="0"/>
              <w:jc w:val="center"/>
            </w:pPr>
            <w:r>
              <w:t>0.144</w:t>
            </w:r>
          </w:p>
        </w:tc>
        <w:tc>
          <w:tcPr>
            <w:tcW w:w="598" w:type="pct"/>
            <w:vAlign w:val="center"/>
          </w:tcPr>
          <w:p w14:paraId="03915B59" w14:textId="77777777" w:rsidR="00606029" w:rsidRDefault="00EA5B92">
            <w:pPr>
              <w:adjustRightInd w:val="0"/>
              <w:snapToGrid w:val="0"/>
              <w:jc w:val="center"/>
            </w:pPr>
            <w:r>
              <w:t>0.171</w:t>
            </w:r>
          </w:p>
        </w:tc>
        <w:tc>
          <w:tcPr>
            <w:tcW w:w="560" w:type="pct"/>
            <w:vAlign w:val="center"/>
          </w:tcPr>
          <w:p w14:paraId="7A6A08C5" w14:textId="77777777" w:rsidR="00606029" w:rsidRDefault="00EA5B92">
            <w:pPr>
              <w:adjustRightInd w:val="0"/>
              <w:snapToGrid w:val="0"/>
              <w:jc w:val="center"/>
            </w:pPr>
            <w:r>
              <w:t>0.287</w:t>
            </w:r>
          </w:p>
        </w:tc>
      </w:tr>
      <w:tr w:rsidR="00606029" w14:paraId="340612A2" w14:textId="77777777">
        <w:trPr>
          <w:trHeight w:val="57"/>
        </w:trPr>
        <w:tc>
          <w:tcPr>
            <w:tcW w:w="1364" w:type="pct"/>
            <w:vAlign w:val="center"/>
          </w:tcPr>
          <w:p w14:paraId="260755CD" w14:textId="77777777" w:rsidR="00606029" w:rsidRDefault="00EA5B92">
            <w:pPr>
              <w:adjustRightInd w:val="0"/>
              <w:snapToGrid w:val="0"/>
              <w:jc w:val="center"/>
            </w:pPr>
            <w:r>
              <w:t>10</w:t>
            </w:r>
          </w:p>
        </w:tc>
        <w:tc>
          <w:tcPr>
            <w:tcW w:w="598" w:type="pct"/>
            <w:vAlign w:val="center"/>
          </w:tcPr>
          <w:p w14:paraId="02736441" w14:textId="77777777" w:rsidR="00606029" w:rsidRDefault="00EA5B92">
            <w:pPr>
              <w:adjustRightInd w:val="0"/>
              <w:snapToGrid w:val="0"/>
              <w:jc w:val="center"/>
            </w:pPr>
            <w:r>
              <w:t>0.102</w:t>
            </w:r>
          </w:p>
        </w:tc>
        <w:tc>
          <w:tcPr>
            <w:tcW w:w="597" w:type="pct"/>
            <w:vAlign w:val="center"/>
          </w:tcPr>
          <w:p w14:paraId="1FD9CFBB" w14:textId="77777777" w:rsidR="00606029" w:rsidRDefault="00EA5B92">
            <w:pPr>
              <w:adjustRightInd w:val="0"/>
              <w:snapToGrid w:val="0"/>
              <w:jc w:val="center"/>
            </w:pPr>
            <w:r>
              <w:t>0.171</w:t>
            </w:r>
          </w:p>
        </w:tc>
        <w:tc>
          <w:tcPr>
            <w:tcW w:w="683" w:type="pct"/>
            <w:vAlign w:val="center"/>
          </w:tcPr>
          <w:p w14:paraId="020302AB" w14:textId="77777777" w:rsidR="00606029" w:rsidRDefault="00EA5B92">
            <w:pPr>
              <w:adjustRightInd w:val="0"/>
              <w:snapToGrid w:val="0"/>
              <w:jc w:val="center"/>
            </w:pPr>
            <w:r>
              <w:t>0.232</w:t>
            </w:r>
          </w:p>
        </w:tc>
        <w:tc>
          <w:tcPr>
            <w:tcW w:w="597" w:type="pct"/>
            <w:vAlign w:val="center"/>
          </w:tcPr>
          <w:p w14:paraId="488A1A69" w14:textId="77777777" w:rsidR="00606029" w:rsidRDefault="00EA5B92">
            <w:pPr>
              <w:adjustRightInd w:val="0"/>
              <w:snapToGrid w:val="0"/>
              <w:jc w:val="center"/>
            </w:pPr>
            <w:r>
              <w:t>0.289</w:t>
            </w:r>
          </w:p>
        </w:tc>
        <w:tc>
          <w:tcPr>
            <w:tcW w:w="598" w:type="pct"/>
            <w:vAlign w:val="center"/>
          </w:tcPr>
          <w:p w14:paraId="75240223" w14:textId="77777777" w:rsidR="00606029" w:rsidRDefault="00EA5B92">
            <w:pPr>
              <w:adjustRightInd w:val="0"/>
              <w:snapToGrid w:val="0"/>
              <w:jc w:val="center"/>
            </w:pPr>
            <w:r>
              <w:t>0.341</w:t>
            </w:r>
          </w:p>
        </w:tc>
        <w:tc>
          <w:tcPr>
            <w:tcW w:w="560" w:type="pct"/>
            <w:vAlign w:val="center"/>
          </w:tcPr>
          <w:p w14:paraId="01730150" w14:textId="77777777" w:rsidR="00606029" w:rsidRDefault="00EA5B92">
            <w:pPr>
              <w:adjustRightInd w:val="0"/>
              <w:snapToGrid w:val="0"/>
              <w:jc w:val="center"/>
            </w:pPr>
            <w:r>
              <w:t>0.574</w:t>
            </w:r>
          </w:p>
        </w:tc>
      </w:tr>
      <w:tr w:rsidR="00606029" w14:paraId="16111BA2" w14:textId="77777777">
        <w:trPr>
          <w:trHeight w:val="57"/>
        </w:trPr>
        <w:tc>
          <w:tcPr>
            <w:tcW w:w="1364" w:type="pct"/>
            <w:vAlign w:val="center"/>
          </w:tcPr>
          <w:p w14:paraId="6805B002" w14:textId="77777777" w:rsidR="00606029" w:rsidRDefault="00EA5B92">
            <w:pPr>
              <w:adjustRightInd w:val="0"/>
              <w:snapToGrid w:val="0"/>
              <w:jc w:val="center"/>
            </w:pPr>
            <w:r>
              <w:t>15</w:t>
            </w:r>
          </w:p>
        </w:tc>
        <w:tc>
          <w:tcPr>
            <w:tcW w:w="598" w:type="pct"/>
            <w:vAlign w:val="center"/>
          </w:tcPr>
          <w:p w14:paraId="3D3E3C4B" w14:textId="77777777" w:rsidR="00606029" w:rsidRDefault="00EA5B92">
            <w:pPr>
              <w:adjustRightInd w:val="0"/>
              <w:snapToGrid w:val="0"/>
              <w:jc w:val="center"/>
            </w:pPr>
            <w:r>
              <w:t>0.153</w:t>
            </w:r>
          </w:p>
        </w:tc>
        <w:tc>
          <w:tcPr>
            <w:tcW w:w="597" w:type="pct"/>
            <w:vAlign w:val="center"/>
          </w:tcPr>
          <w:p w14:paraId="179BD946" w14:textId="77777777" w:rsidR="00606029" w:rsidRDefault="00EA5B92">
            <w:pPr>
              <w:adjustRightInd w:val="0"/>
              <w:snapToGrid w:val="0"/>
              <w:jc w:val="center"/>
            </w:pPr>
            <w:r>
              <w:t>0.257</w:t>
            </w:r>
          </w:p>
        </w:tc>
        <w:tc>
          <w:tcPr>
            <w:tcW w:w="683" w:type="pct"/>
            <w:vAlign w:val="center"/>
          </w:tcPr>
          <w:p w14:paraId="50EB059B" w14:textId="77777777" w:rsidR="00606029" w:rsidRDefault="00EA5B92">
            <w:pPr>
              <w:adjustRightInd w:val="0"/>
              <w:snapToGrid w:val="0"/>
              <w:jc w:val="center"/>
            </w:pPr>
            <w:r>
              <w:t>0.349</w:t>
            </w:r>
          </w:p>
        </w:tc>
        <w:tc>
          <w:tcPr>
            <w:tcW w:w="597" w:type="pct"/>
            <w:vAlign w:val="center"/>
          </w:tcPr>
          <w:p w14:paraId="6342E778" w14:textId="77777777" w:rsidR="00606029" w:rsidRDefault="00EA5B92">
            <w:pPr>
              <w:adjustRightInd w:val="0"/>
              <w:snapToGrid w:val="0"/>
              <w:jc w:val="center"/>
            </w:pPr>
            <w:r>
              <w:t>0.433</w:t>
            </w:r>
          </w:p>
        </w:tc>
        <w:tc>
          <w:tcPr>
            <w:tcW w:w="598" w:type="pct"/>
            <w:vAlign w:val="center"/>
          </w:tcPr>
          <w:p w14:paraId="18B6D078" w14:textId="77777777" w:rsidR="00606029" w:rsidRDefault="00EA5B92">
            <w:pPr>
              <w:adjustRightInd w:val="0"/>
              <w:snapToGrid w:val="0"/>
              <w:jc w:val="center"/>
            </w:pPr>
            <w:r>
              <w:t>0.512</w:t>
            </w:r>
          </w:p>
        </w:tc>
        <w:tc>
          <w:tcPr>
            <w:tcW w:w="560" w:type="pct"/>
            <w:vAlign w:val="center"/>
          </w:tcPr>
          <w:p w14:paraId="38685852" w14:textId="77777777" w:rsidR="00606029" w:rsidRDefault="00EA5B92">
            <w:pPr>
              <w:adjustRightInd w:val="0"/>
              <w:snapToGrid w:val="0"/>
              <w:jc w:val="center"/>
            </w:pPr>
            <w:r>
              <w:t>0.861</w:t>
            </w:r>
          </w:p>
        </w:tc>
      </w:tr>
      <w:tr w:rsidR="00606029" w14:paraId="5B624CE1" w14:textId="77777777">
        <w:trPr>
          <w:trHeight w:val="57"/>
        </w:trPr>
        <w:tc>
          <w:tcPr>
            <w:tcW w:w="1364" w:type="pct"/>
            <w:vAlign w:val="center"/>
          </w:tcPr>
          <w:p w14:paraId="295DC129" w14:textId="77777777" w:rsidR="00606029" w:rsidRDefault="00EA5B92">
            <w:pPr>
              <w:adjustRightInd w:val="0"/>
              <w:snapToGrid w:val="0"/>
              <w:jc w:val="center"/>
            </w:pPr>
            <w:r>
              <w:t>20</w:t>
            </w:r>
          </w:p>
        </w:tc>
        <w:tc>
          <w:tcPr>
            <w:tcW w:w="598" w:type="pct"/>
            <w:vAlign w:val="center"/>
          </w:tcPr>
          <w:p w14:paraId="0CC81B4A" w14:textId="77777777" w:rsidR="00606029" w:rsidRDefault="00EA5B92">
            <w:pPr>
              <w:adjustRightInd w:val="0"/>
              <w:snapToGrid w:val="0"/>
              <w:jc w:val="center"/>
            </w:pPr>
            <w:r>
              <w:t>0.225</w:t>
            </w:r>
          </w:p>
        </w:tc>
        <w:tc>
          <w:tcPr>
            <w:tcW w:w="597" w:type="pct"/>
            <w:vAlign w:val="center"/>
          </w:tcPr>
          <w:p w14:paraId="73CB8DBE" w14:textId="77777777" w:rsidR="00606029" w:rsidRDefault="00EA5B92">
            <w:pPr>
              <w:adjustRightInd w:val="0"/>
              <w:snapToGrid w:val="0"/>
              <w:jc w:val="center"/>
            </w:pPr>
            <w:r>
              <w:t>0.429</w:t>
            </w:r>
          </w:p>
        </w:tc>
        <w:tc>
          <w:tcPr>
            <w:tcW w:w="683" w:type="pct"/>
            <w:vAlign w:val="center"/>
          </w:tcPr>
          <w:p w14:paraId="6309A423" w14:textId="77777777" w:rsidR="00606029" w:rsidRDefault="00EA5B92">
            <w:pPr>
              <w:adjustRightInd w:val="0"/>
              <w:snapToGrid w:val="0"/>
              <w:jc w:val="center"/>
            </w:pPr>
            <w:r>
              <w:t>0.582</w:t>
            </w:r>
          </w:p>
        </w:tc>
        <w:tc>
          <w:tcPr>
            <w:tcW w:w="597" w:type="pct"/>
            <w:vAlign w:val="center"/>
          </w:tcPr>
          <w:p w14:paraId="03EAC522" w14:textId="77777777" w:rsidR="00606029" w:rsidRDefault="00EA5B92">
            <w:pPr>
              <w:adjustRightInd w:val="0"/>
              <w:snapToGrid w:val="0"/>
              <w:jc w:val="center"/>
            </w:pPr>
            <w:r>
              <w:t>0.722</w:t>
            </w:r>
          </w:p>
        </w:tc>
        <w:tc>
          <w:tcPr>
            <w:tcW w:w="598" w:type="pct"/>
            <w:vAlign w:val="center"/>
          </w:tcPr>
          <w:p w14:paraId="60996AD6" w14:textId="77777777" w:rsidR="00606029" w:rsidRDefault="00EA5B92">
            <w:pPr>
              <w:adjustRightInd w:val="0"/>
              <w:snapToGrid w:val="0"/>
              <w:jc w:val="center"/>
            </w:pPr>
            <w:r>
              <w:t>0.853</w:t>
            </w:r>
          </w:p>
        </w:tc>
        <w:tc>
          <w:tcPr>
            <w:tcW w:w="560" w:type="pct"/>
            <w:vAlign w:val="center"/>
          </w:tcPr>
          <w:p w14:paraId="78A48A80" w14:textId="77777777" w:rsidR="00606029" w:rsidRDefault="00EA5B92">
            <w:pPr>
              <w:adjustRightInd w:val="0"/>
              <w:snapToGrid w:val="0"/>
              <w:jc w:val="center"/>
            </w:pPr>
            <w:r>
              <w:t>1.435</w:t>
            </w:r>
          </w:p>
        </w:tc>
      </w:tr>
    </w:tbl>
    <w:p w14:paraId="652C41A8" w14:textId="77777777" w:rsidR="00606029" w:rsidRDefault="00EA5B92">
      <w:pPr>
        <w:pStyle w:val="affffff4"/>
        <w:spacing w:beforeLines="50" w:before="120"/>
      </w:pPr>
      <w:r>
        <w:t>从表可知，在同样的路面条件下，车速越快，扬尘量越大，在同样的车速情况下，路面粉尘越大，扬尘量越大。因此，限速行驶和保持路面的清洁是减少车辆行驶扬尘源强的有效措施。项目在运输建筑材料等过程中装车不宜过满，并应加盖封闭，在运输过程中做到不洒落尘土，则运输扬尘对周边环境的影响在可接受范围内。</w:t>
      </w:r>
    </w:p>
    <w:p w14:paraId="4885B5E8" w14:textId="652AD98D" w:rsidR="00606029" w:rsidRDefault="00EA5B92">
      <w:pPr>
        <w:pStyle w:val="affffff4"/>
      </w:pPr>
      <w:r>
        <w:t>（</w:t>
      </w:r>
      <w:r>
        <w:t>2</w:t>
      </w:r>
      <w:r>
        <w:t>）</w:t>
      </w:r>
      <w:r w:rsidR="00F833C1">
        <w:rPr>
          <w:rFonts w:hint="eastAsia"/>
        </w:rPr>
        <w:t>机械尾气</w:t>
      </w:r>
      <w:r>
        <w:t>影响</w:t>
      </w:r>
    </w:p>
    <w:p w14:paraId="4CA06749" w14:textId="60731DDF" w:rsidR="00606029" w:rsidRDefault="00EA5B92">
      <w:pPr>
        <w:pStyle w:val="affffff4"/>
      </w:pPr>
      <w:r>
        <w:t>项目施工</w:t>
      </w:r>
      <w:r w:rsidR="00921458">
        <w:rPr>
          <w:rFonts w:hint="eastAsia"/>
        </w:rPr>
        <w:t>机械</w:t>
      </w:r>
      <w:r>
        <w:t>产生的二氧化硫、氮氧化物、一氧化碳、烃类等大气污染物会对周边大气环境有所影响。但这种污染源较分散，污染物排放量不大，表现为间歇性特征，影响是短期和局部的。</w:t>
      </w:r>
    </w:p>
    <w:p w14:paraId="1930D4EA" w14:textId="7C062E04" w:rsidR="00F833C1" w:rsidRPr="00F833C1" w:rsidRDefault="00F833C1" w:rsidP="00F833C1">
      <w:pPr>
        <w:pStyle w:val="affffff4"/>
      </w:pPr>
      <w:r>
        <w:t>本项目与周边环境敏感目标距离在</w:t>
      </w:r>
      <w:r>
        <w:t>500m</w:t>
      </w:r>
      <w:r>
        <w:t>以上，因此</w:t>
      </w:r>
      <w:r w:rsidR="00921458">
        <w:rPr>
          <w:rFonts w:hint="eastAsia"/>
        </w:rPr>
        <w:t>，</w:t>
      </w:r>
      <w:r>
        <w:t>项目施工过对</w:t>
      </w:r>
      <w:r w:rsidR="00921458">
        <w:rPr>
          <w:rFonts w:hint="eastAsia"/>
        </w:rPr>
        <w:t>大气</w:t>
      </w:r>
      <w:r>
        <w:t>环境影响较小。</w:t>
      </w:r>
    </w:p>
    <w:p w14:paraId="40A74BD6" w14:textId="77777777" w:rsidR="00606029" w:rsidRDefault="00EA5B92">
      <w:pPr>
        <w:pStyle w:val="3"/>
      </w:pPr>
      <w:bookmarkStart w:id="238" w:name="_Toc220680525"/>
      <w:r>
        <w:t>6.1.3</w:t>
      </w:r>
      <w:r>
        <w:t>施工期声环境影响分析</w:t>
      </w:r>
      <w:bookmarkEnd w:id="238"/>
    </w:p>
    <w:p w14:paraId="6D15354B" w14:textId="06BED051" w:rsidR="00606029" w:rsidRDefault="00EA5B92">
      <w:pPr>
        <w:pStyle w:val="affffff4"/>
      </w:pPr>
      <w:r>
        <w:t>根据噪声污染源分析可知，由于施工场地的噪声源主要为各类高噪声施工机械，不同施工阶段使用的设备不同，其造成的噪声影响不同。在多台设备同时作业时，各台设备产生的噪声会叠加。</w:t>
      </w:r>
    </w:p>
    <w:p w14:paraId="61AA754E" w14:textId="62AFA0F5" w:rsidR="00606029" w:rsidRDefault="00EA5B92">
      <w:pPr>
        <w:pStyle w:val="affffff4"/>
      </w:pPr>
      <w:r>
        <w:t>将各施工设备视为点声源，只考虑噪声随距离的衰减，计算各声源随距离的衰减，计算公式如下</w:t>
      </w:r>
      <w:r w:rsidR="006A52CC">
        <w:t>：</w:t>
      </w:r>
    </w:p>
    <w:p w14:paraId="6363234D" w14:textId="77777777" w:rsidR="00606029" w:rsidRDefault="00EA5B92">
      <w:pPr>
        <w:pStyle w:val="affffff4"/>
        <w:ind w:firstLineChars="0" w:firstLine="0"/>
        <w:jc w:val="center"/>
      </w:pPr>
      <w:r>
        <w:rPr>
          <w:noProof/>
        </w:rPr>
        <w:drawing>
          <wp:inline distT="0" distB="0" distL="114300" distR="114300" wp14:anchorId="0C38CC7C" wp14:editId="7A0955E9">
            <wp:extent cx="1285875" cy="457200"/>
            <wp:effectExtent l="0" t="0" r="9525" b="0"/>
            <wp:docPr id="79" name="图片 79" descr="截图_20250122100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descr="截图_20250122100813"/>
                    <pic:cNvPicPr>
                      <a:picLocks noChangeAspect="1"/>
                    </pic:cNvPicPr>
                  </pic:nvPicPr>
                  <pic:blipFill>
                    <a:blip r:embed="rId77"/>
                    <a:stretch>
                      <a:fillRect/>
                    </a:stretch>
                  </pic:blipFill>
                  <pic:spPr>
                    <a:xfrm>
                      <a:off x="0" y="0"/>
                      <a:ext cx="1285875" cy="457200"/>
                    </a:xfrm>
                    <a:prstGeom prst="rect">
                      <a:avLst/>
                    </a:prstGeom>
                  </pic:spPr>
                </pic:pic>
              </a:graphicData>
            </a:graphic>
          </wp:inline>
        </w:drawing>
      </w:r>
    </w:p>
    <w:p w14:paraId="6D4E2560" w14:textId="5FA5F4C7" w:rsidR="00606029" w:rsidRDefault="00EA5B92">
      <w:pPr>
        <w:pStyle w:val="affffff4"/>
      </w:pPr>
      <w:r>
        <w:t>式中</w:t>
      </w:r>
      <w:r w:rsidR="006A52CC">
        <w:t>：</w:t>
      </w:r>
      <w:r>
        <w:t>△L——</w:t>
      </w:r>
      <w:r>
        <w:t>随距离的增加产生的衰减值，</w:t>
      </w:r>
      <w:r>
        <w:t>dB</w:t>
      </w:r>
      <w:r>
        <w:t>；</w:t>
      </w:r>
    </w:p>
    <w:p w14:paraId="69FCBCFF" w14:textId="77777777" w:rsidR="00606029" w:rsidRDefault="00EA5B92">
      <w:pPr>
        <w:pStyle w:val="affffff4"/>
      </w:pPr>
      <w:r>
        <w:t>r1——</w:t>
      </w:r>
      <w:r>
        <w:t>点声源至受声点</w:t>
      </w:r>
      <w:r>
        <w:t>1</w:t>
      </w:r>
      <w:r>
        <w:t>的距离，</w:t>
      </w:r>
      <w:r>
        <w:t>m</w:t>
      </w:r>
      <w:r>
        <w:t>；</w:t>
      </w:r>
    </w:p>
    <w:p w14:paraId="1FEB7CD9" w14:textId="77777777" w:rsidR="00606029" w:rsidRDefault="00EA5B92">
      <w:pPr>
        <w:pStyle w:val="affffff4"/>
      </w:pPr>
      <w:r>
        <w:t>r2——</w:t>
      </w:r>
      <w:r>
        <w:t>点声源至受声点</w:t>
      </w:r>
      <w:r>
        <w:t>2</w:t>
      </w:r>
      <w:r>
        <w:t>的距离，</w:t>
      </w:r>
      <w:r>
        <w:t>m</w:t>
      </w:r>
      <w:r>
        <w:t>。</w:t>
      </w:r>
    </w:p>
    <w:p w14:paraId="28214E20" w14:textId="7AFAE977" w:rsidR="00606029" w:rsidRDefault="00EA5B92">
      <w:pPr>
        <w:pStyle w:val="affffff4"/>
      </w:pPr>
      <w:r>
        <w:lastRenderedPageBreak/>
        <w:t>多台机械同时施工时的至预测点总声压级计算公式如下</w:t>
      </w:r>
      <w:r w:rsidR="006A52CC">
        <w:t>：</w:t>
      </w:r>
    </w:p>
    <w:p w14:paraId="20BEEB6E" w14:textId="77777777" w:rsidR="00606029" w:rsidRDefault="00EA5B92">
      <w:pPr>
        <w:pStyle w:val="affffff4"/>
        <w:ind w:firstLineChars="0" w:firstLine="0"/>
        <w:jc w:val="center"/>
      </w:pPr>
      <w:r>
        <w:rPr>
          <w:noProof/>
        </w:rPr>
        <w:drawing>
          <wp:inline distT="0" distB="0" distL="114300" distR="114300" wp14:anchorId="5331B392" wp14:editId="34C2BF7B">
            <wp:extent cx="1876425" cy="657225"/>
            <wp:effectExtent l="0" t="0" r="9525" b="9525"/>
            <wp:docPr id="80" name="图片 80" descr="截图_20250122100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descr="截图_20250122100840"/>
                    <pic:cNvPicPr>
                      <a:picLocks noChangeAspect="1"/>
                    </pic:cNvPicPr>
                  </pic:nvPicPr>
                  <pic:blipFill>
                    <a:blip r:embed="rId78"/>
                    <a:stretch>
                      <a:fillRect/>
                    </a:stretch>
                  </pic:blipFill>
                  <pic:spPr>
                    <a:xfrm>
                      <a:off x="0" y="0"/>
                      <a:ext cx="1876425" cy="657225"/>
                    </a:xfrm>
                    <a:prstGeom prst="rect">
                      <a:avLst/>
                    </a:prstGeom>
                  </pic:spPr>
                </pic:pic>
              </a:graphicData>
            </a:graphic>
          </wp:inline>
        </w:drawing>
      </w:r>
    </w:p>
    <w:p w14:paraId="575AB194" w14:textId="2E593609" w:rsidR="00606029" w:rsidRDefault="00EA5B92">
      <w:pPr>
        <w:pStyle w:val="affffff4"/>
      </w:pPr>
      <w:r>
        <w:t>预测点昼、夜间噪声预测值计算公式如下</w:t>
      </w:r>
      <w:r w:rsidR="006A52CC">
        <w:t>：</w:t>
      </w:r>
    </w:p>
    <w:p w14:paraId="4D5B53B4" w14:textId="77777777" w:rsidR="00606029" w:rsidRDefault="00EA5B92">
      <w:pPr>
        <w:pStyle w:val="affffff4"/>
        <w:ind w:firstLineChars="0" w:firstLine="0"/>
        <w:jc w:val="center"/>
      </w:pPr>
      <w:r>
        <w:rPr>
          <w:noProof/>
        </w:rPr>
        <w:drawing>
          <wp:inline distT="0" distB="0" distL="114300" distR="114300" wp14:anchorId="2E38AA8D" wp14:editId="4EF3A708">
            <wp:extent cx="2219325" cy="428625"/>
            <wp:effectExtent l="0" t="0" r="9525" b="9525"/>
            <wp:docPr id="81" name="图片 81" descr="截图_20250122100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descr="截图_20250122100848"/>
                    <pic:cNvPicPr>
                      <a:picLocks noChangeAspect="1"/>
                    </pic:cNvPicPr>
                  </pic:nvPicPr>
                  <pic:blipFill>
                    <a:blip r:embed="rId79"/>
                    <a:stretch>
                      <a:fillRect/>
                    </a:stretch>
                  </pic:blipFill>
                  <pic:spPr>
                    <a:xfrm>
                      <a:off x="0" y="0"/>
                      <a:ext cx="2219325" cy="428625"/>
                    </a:xfrm>
                    <a:prstGeom prst="rect">
                      <a:avLst/>
                    </a:prstGeom>
                  </pic:spPr>
                </pic:pic>
              </a:graphicData>
            </a:graphic>
          </wp:inline>
        </w:drawing>
      </w:r>
    </w:p>
    <w:p w14:paraId="43A71188" w14:textId="77777777" w:rsidR="00606029" w:rsidRDefault="00EA5B92">
      <w:pPr>
        <w:pStyle w:val="affffff4"/>
      </w:pPr>
      <w:r>
        <w:t>施工期各设备噪声的影响范围见下表。</w:t>
      </w:r>
    </w:p>
    <w:p w14:paraId="7B5872E2" w14:textId="77777777" w:rsidR="00606029" w:rsidRDefault="00EA5B92">
      <w:pPr>
        <w:pStyle w:val="affffff5"/>
        <w:tabs>
          <w:tab w:val="left" w:pos="0"/>
        </w:tabs>
        <w:ind w:firstLine="400"/>
      </w:pPr>
      <w:r>
        <w:t>表</w:t>
      </w:r>
      <w:r>
        <w:t xml:space="preserve">6.1-3 </w:t>
      </w:r>
      <w:r>
        <w:t>主要施工机械噪声影响范围一览表</w:t>
      </w:r>
    </w:p>
    <w:tbl>
      <w:tblPr>
        <w:tblStyle w:val="TableNormal"/>
        <w:tblW w:w="4997" w:type="pct"/>
        <w:tblInd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ook w:val="04A0" w:firstRow="1" w:lastRow="0" w:firstColumn="1" w:lastColumn="0" w:noHBand="0" w:noVBand="1"/>
      </w:tblPr>
      <w:tblGrid>
        <w:gridCol w:w="704"/>
        <w:gridCol w:w="2239"/>
        <w:gridCol w:w="1164"/>
        <w:gridCol w:w="1782"/>
        <w:gridCol w:w="1471"/>
        <w:gridCol w:w="1469"/>
      </w:tblGrid>
      <w:tr w:rsidR="00606029" w14:paraId="198E16BB" w14:textId="77777777" w:rsidTr="00B76616">
        <w:trPr>
          <w:trHeight w:val="57"/>
        </w:trPr>
        <w:tc>
          <w:tcPr>
            <w:tcW w:w="399" w:type="pct"/>
            <w:tcBorders>
              <w:top w:val="single" w:sz="4" w:space="0" w:color="auto"/>
              <w:left w:val="single" w:sz="4" w:space="0" w:color="auto"/>
              <w:bottom w:val="single" w:sz="4" w:space="0" w:color="auto"/>
              <w:right w:val="single" w:sz="4" w:space="0" w:color="auto"/>
            </w:tcBorders>
            <w:vAlign w:val="center"/>
          </w:tcPr>
          <w:p w14:paraId="0B3C3833" w14:textId="0BFE7976" w:rsidR="00606029" w:rsidRDefault="00B76616">
            <w:pPr>
              <w:adjustRightInd w:val="0"/>
              <w:snapToGrid w:val="0"/>
              <w:jc w:val="center"/>
            </w:pPr>
            <w:r>
              <w:rPr>
                <w:rFonts w:hint="eastAsia"/>
              </w:rPr>
              <w:t>序号</w:t>
            </w:r>
          </w:p>
        </w:tc>
        <w:tc>
          <w:tcPr>
            <w:tcW w:w="1268" w:type="pct"/>
            <w:tcBorders>
              <w:top w:val="single" w:sz="4" w:space="0" w:color="auto"/>
              <w:left w:val="single" w:sz="4" w:space="0" w:color="auto"/>
              <w:bottom w:val="single" w:sz="4" w:space="0" w:color="auto"/>
              <w:right w:val="single" w:sz="4" w:space="0" w:color="auto"/>
            </w:tcBorders>
            <w:vAlign w:val="center"/>
          </w:tcPr>
          <w:p w14:paraId="2044A5D1" w14:textId="77777777" w:rsidR="00606029" w:rsidRDefault="00EA5B92">
            <w:pPr>
              <w:adjustRightInd w:val="0"/>
              <w:snapToGrid w:val="0"/>
              <w:jc w:val="center"/>
            </w:pPr>
            <w:r>
              <w:t>施工机械</w:t>
            </w:r>
          </w:p>
        </w:tc>
        <w:tc>
          <w:tcPr>
            <w:tcW w:w="659" w:type="pct"/>
            <w:tcBorders>
              <w:top w:val="single" w:sz="4" w:space="0" w:color="auto"/>
              <w:left w:val="single" w:sz="4" w:space="0" w:color="auto"/>
              <w:bottom w:val="single" w:sz="4" w:space="0" w:color="auto"/>
              <w:right w:val="single" w:sz="4" w:space="0" w:color="auto"/>
            </w:tcBorders>
            <w:vAlign w:val="center"/>
          </w:tcPr>
          <w:p w14:paraId="0499F9A1" w14:textId="77777777" w:rsidR="00606029" w:rsidRDefault="00EA5B92">
            <w:pPr>
              <w:adjustRightInd w:val="0"/>
              <w:snapToGrid w:val="0"/>
              <w:jc w:val="center"/>
            </w:pPr>
            <w:r>
              <w:t>场界限值标准</w:t>
            </w:r>
          </w:p>
        </w:tc>
        <w:tc>
          <w:tcPr>
            <w:tcW w:w="1009" w:type="pct"/>
            <w:tcBorders>
              <w:top w:val="single" w:sz="4" w:space="0" w:color="auto"/>
              <w:left w:val="single" w:sz="4" w:space="0" w:color="auto"/>
              <w:bottom w:val="single" w:sz="4" w:space="0" w:color="auto"/>
              <w:right w:val="single" w:sz="4" w:space="0" w:color="auto"/>
            </w:tcBorders>
            <w:vAlign w:val="center"/>
          </w:tcPr>
          <w:p w14:paraId="220A3988" w14:textId="77777777" w:rsidR="00606029" w:rsidRDefault="00EA5B92">
            <w:pPr>
              <w:adjustRightInd w:val="0"/>
              <w:snapToGrid w:val="0"/>
              <w:jc w:val="center"/>
            </w:pPr>
            <w:r>
              <w:t>影响范围（</w:t>
            </w:r>
            <w:r>
              <w:t>m</w:t>
            </w:r>
            <w:r>
              <w:t>）</w:t>
            </w:r>
          </w:p>
        </w:tc>
        <w:tc>
          <w:tcPr>
            <w:tcW w:w="833" w:type="pct"/>
            <w:tcBorders>
              <w:top w:val="single" w:sz="4" w:space="0" w:color="auto"/>
              <w:left w:val="single" w:sz="4" w:space="0" w:color="auto"/>
              <w:bottom w:val="single" w:sz="4" w:space="0" w:color="auto"/>
              <w:right w:val="single" w:sz="4" w:space="0" w:color="auto"/>
            </w:tcBorders>
            <w:vAlign w:val="center"/>
          </w:tcPr>
          <w:p w14:paraId="7D4DD80A" w14:textId="77777777" w:rsidR="00606029" w:rsidRDefault="00EA5B92">
            <w:pPr>
              <w:adjustRightInd w:val="0"/>
              <w:snapToGrid w:val="0"/>
              <w:jc w:val="center"/>
            </w:pPr>
            <w:r>
              <w:t>居民区声环境质量标准</w:t>
            </w:r>
          </w:p>
        </w:tc>
        <w:tc>
          <w:tcPr>
            <w:tcW w:w="832" w:type="pct"/>
            <w:tcBorders>
              <w:top w:val="single" w:sz="4" w:space="0" w:color="auto"/>
              <w:left w:val="single" w:sz="4" w:space="0" w:color="auto"/>
              <w:bottom w:val="single" w:sz="4" w:space="0" w:color="auto"/>
              <w:right w:val="single" w:sz="4" w:space="0" w:color="auto"/>
            </w:tcBorders>
            <w:vAlign w:val="center"/>
          </w:tcPr>
          <w:p w14:paraId="2E65FC55" w14:textId="77777777" w:rsidR="00606029" w:rsidRDefault="00EA5B92">
            <w:pPr>
              <w:adjustRightInd w:val="0"/>
              <w:snapToGrid w:val="0"/>
              <w:jc w:val="center"/>
            </w:pPr>
            <w:r>
              <w:t>影响范围（</w:t>
            </w:r>
            <w:r>
              <w:t>m</w:t>
            </w:r>
            <w:r>
              <w:t>）</w:t>
            </w:r>
          </w:p>
        </w:tc>
      </w:tr>
      <w:tr w:rsidR="00606029" w14:paraId="20F238E5" w14:textId="77777777" w:rsidTr="00B76616">
        <w:trPr>
          <w:trHeight w:val="57"/>
        </w:trPr>
        <w:tc>
          <w:tcPr>
            <w:tcW w:w="399" w:type="pct"/>
            <w:tcBorders>
              <w:top w:val="single" w:sz="4" w:space="0" w:color="auto"/>
              <w:left w:val="single" w:sz="4" w:space="0" w:color="auto"/>
              <w:bottom w:val="single" w:sz="4" w:space="0" w:color="auto"/>
              <w:right w:val="single" w:sz="4" w:space="0" w:color="auto"/>
            </w:tcBorders>
            <w:vAlign w:val="center"/>
          </w:tcPr>
          <w:p w14:paraId="444EE74A" w14:textId="14204C83" w:rsidR="00606029" w:rsidRDefault="00921458">
            <w:pPr>
              <w:adjustRightInd w:val="0"/>
              <w:snapToGrid w:val="0"/>
              <w:jc w:val="center"/>
            </w:pPr>
            <w:r>
              <w:rPr>
                <w:rFonts w:hint="eastAsia"/>
              </w:rPr>
              <w:t>1</w:t>
            </w:r>
          </w:p>
        </w:tc>
        <w:tc>
          <w:tcPr>
            <w:tcW w:w="1268" w:type="pct"/>
            <w:tcBorders>
              <w:top w:val="single" w:sz="4" w:space="0" w:color="auto"/>
              <w:left w:val="single" w:sz="4" w:space="0" w:color="auto"/>
              <w:bottom w:val="single" w:sz="4" w:space="0" w:color="auto"/>
              <w:right w:val="single" w:sz="4" w:space="0" w:color="auto"/>
            </w:tcBorders>
            <w:vAlign w:val="center"/>
          </w:tcPr>
          <w:p w14:paraId="220BCCD0" w14:textId="77777777" w:rsidR="00606029" w:rsidRDefault="00EA5B92">
            <w:pPr>
              <w:adjustRightInd w:val="0"/>
              <w:snapToGrid w:val="0"/>
              <w:jc w:val="center"/>
            </w:pPr>
            <w:r>
              <w:t>挖掘机</w:t>
            </w:r>
          </w:p>
        </w:tc>
        <w:tc>
          <w:tcPr>
            <w:tcW w:w="659" w:type="pct"/>
            <w:vMerge w:val="restart"/>
            <w:tcBorders>
              <w:top w:val="single" w:sz="4" w:space="0" w:color="auto"/>
              <w:left w:val="single" w:sz="4" w:space="0" w:color="auto"/>
              <w:bottom w:val="single" w:sz="4" w:space="0" w:color="auto"/>
              <w:right w:val="single" w:sz="4" w:space="0" w:color="auto"/>
            </w:tcBorders>
            <w:vAlign w:val="center"/>
          </w:tcPr>
          <w:p w14:paraId="39BD139E" w14:textId="77777777" w:rsidR="00606029" w:rsidRDefault="00606029">
            <w:pPr>
              <w:adjustRightInd w:val="0"/>
              <w:snapToGrid w:val="0"/>
              <w:jc w:val="center"/>
            </w:pPr>
          </w:p>
        </w:tc>
        <w:tc>
          <w:tcPr>
            <w:tcW w:w="1009" w:type="pct"/>
            <w:tcBorders>
              <w:top w:val="single" w:sz="4" w:space="0" w:color="auto"/>
              <w:left w:val="single" w:sz="4" w:space="0" w:color="auto"/>
              <w:bottom w:val="single" w:sz="4" w:space="0" w:color="auto"/>
              <w:right w:val="single" w:sz="4" w:space="0" w:color="auto"/>
            </w:tcBorders>
            <w:vAlign w:val="center"/>
          </w:tcPr>
          <w:p w14:paraId="25A655E3" w14:textId="77777777" w:rsidR="00606029" w:rsidRDefault="00EA5B92">
            <w:pPr>
              <w:adjustRightInd w:val="0"/>
              <w:snapToGrid w:val="0"/>
              <w:jc w:val="center"/>
            </w:pPr>
            <w:r>
              <w:t>32</w:t>
            </w:r>
          </w:p>
        </w:tc>
        <w:tc>
          <w:tcPr>
            <w:tcW w:w="833" w:type="pct"/>
            <w:vMerge w:val="restart"/>
            <w:tcBorders>
              <w:top w:val="single" w:sz="4" w:space="0" w:color="auto"/>
              <w:left w:val="single" w:sz="4" w:space="0" w:color="auto"/>
              <w:bottom w:val="single" w:sz="4" w:space="0" w:color="auto"/>
              <w:right w:val="single" w:sz="4" w:space="0" w:color="auto"/>
            </w:tcBorders>
            <w:vAlign w:val="center"/>
          </w:tcPr>
          <w:p w14:paraId="7939B5DC" w14:textId="77777777" w:rsidR="00606029" w:rsidRDefault="00606029">
            <w:pPr>
              <w:adjustRightInd w:val="0"/>
              <w:snapToGrid w:val="0"/>
              <w:jc w:val="center"/>
            </w:pPr>
          </w:p>
        </w:tc>
        <w:tc>
          <w:tcPr>
            <w:tcW w:w="832" w:type="pct"/>
            <w:tcBorders>
              <w:top w:val="single" w:sz="4" w:space="0" w:color="auto"/>
              <w:left w:val="single" w:sz="4" w:space="0" w:color="auto"/>
              <w:bottom w:val="single" w:sz="4" w:space="0" w:color="auto"/>
              <w:right w:val="single" w:sz="4" w:space="0" w:color="auto"/>
            </w:tcBorders>
            <w:vAlign w:val="center"/>
          </w:tcPr>
          <w:p w14:paraId="3602B54E" w14:textId="77777777" w:rsidR="00606029" w:rsidRDefault="00EA5B92">
            <w:pPr>
              <w:adjustRightInd w:val="0"/>
              <w:snapToGrid w:val="0"/>
              <w:jc w:val="center"/>
            </w:pPr>
            <w:r>
              <w:t>100</w:t>
            </w:r>
          </w:p>
        </w:tc>
      </w:tr>
      <w:tr w:rsidR="00606029" w14:paraId="139269DD" w14:textId="77777777" w:rsidTr="00B76616">
        <w:trPr>
          <w:trHeight w:val="57"/>
        </w:trPr>
        <w:tc>
          <w:tcPr>
            <w:tcW w:w="399" w:type="pct"/>
            <w:tcBorders>
              <w:top w:val="single" w:sz="4" w:space="0" w:color="auto"/>
              <w:left w:val="single" w:sz="4" w:space="0" w:color="auto"/>
              <w:bottom w:val="single" w:sz="4" w:space="0" w:color="auto"/>
              <w:right w:val="single" w:sz="4" w:space="0" w:color="auto"/>
            </w:tcBorders>
            <w:vAlign w:val="center"/>
          </w:tcPr>
          <w:p w14:paraId="077D6E94" w14:textId="3623F736" w:rsidR="00606029" w:rsidRDefault="00921458">
            <w:pPr>
              <w:adjustRightInd w:val="0"/>
              <w:snapToGrid w:val="0"/>
              <w:jc w:val="center"/>
            </w:pPr>
            <w:r>
              <w:rPr>
                <w:rFonts w:hint="eastAsia"/>
              </w:rPr>
              <w:t>2</w:t>
            </w:r>
          </w:p>
        </w:tc>
        <w:tc>
          <w:tcPr>
            <w:tcW w:w="1268" w:type="pct"/>
            <w:tcBorders>
              <w:top w:val="single" w:sz="4" w:space="0" w:color="auto"/>
              <w:left w:val="single" w:sz="4" w:space="0" w:color="auto"/>
              <w:bottom w:val="single" w:sz="4" w:space="0" w:color="auto"/>
              <w:right w:val="single" w:sz="4" w:space="0" w:color="auto"/>
            </w:tcBorders>
            <w:vAlign w:val="center"/>
          </w:tcPr>
          <w:p w14:paraId="7207DEE2" w14:textId="69F307C9" w:rsidR="00606029" w:rsidRDefault="00B76616">
            <w:pPr>
              <w:adjustRightInd w:val="0"/>
              <w:snapToGrid w:val="0"/>
              <w:jc w:val="center"/>
            </w:pPr>
            <w:r w:rsidRPr="00B76616">
              <w:t>起重机</w:t>
            </w:r>
          </w:p>
        </w:tc>
        <w:tc>
          <w:tcPr>
            <w:tcW w:w="659" w:type="pct"/>
            <w:vMerge/>
            <w:tcBorders>
              <w:top w:val="single" w:sz="4" w:space="0" w:color="auto"/>
              <w:left w:val="single" w:sz="4" w:space="0" w:color="auto"/>
              <w:bottom w:val="single" w:sz="4" w:space="0" w:color="auto"/>
              <w:right w:val="single" w:sz="4" w:space="0" w:color="auto"/>
            </w:tcBorders>
            <w:vAlign w:val="center"/>
          </w:tcPr>
          <w:p w14:paraId="32FE6A01" w14:textId="77777777" w:rsidR="00606029" w:rsidRDefault="00606029">
            <w:pPr>
              <w:adjustRightInd w:val="0"/>
              <w:snapToGrid w:val="0"/>
              <w:jc w:val="center"/>
            </w:pPr>
          </w:p>
        </w:tc>
        <w:tc>
          <w:tcPr>
            <w:tcW w:w="1009" w:type="pct"/>
            <w:tcBorders>
              <w:top w:val="single" w:sz="4" w:space="0" w:color="auto"/>
              <w:left w:val="single" w:sz="4" w:space="0" w:color="auto"/>
              <w:bottom w:val="single" w:sz="4" w:space="0" w:color="auto"/>
              <w:right w:val="single" w:sz="4" w:space="0" w:color="auto"/>
            </w:tcBorders>
            <w:vAlign w:val="center"/>
          </w:tcPr>
          <w:p w14:paraId="65358366" w14:textId="77777777" w:rsidR="00606029" w:rsidRDefault="00EA5B92">
            <w:pPr>
              <w:adjustRightInd w:val="0"/>
              <w:snapToGrid w:val="0"/>
              <w:jc w:val="center"/>
            </w:pPr>
            <w:r>
              <w:t>18~32</w:t>
            </w:r>
          </w:p>
        </w:tc>
        <w:tc>
          <w:tcPr>
            <w:tcW w:w="833" w:type="pct"/>
            <w:vMerge/>
            <w:tcBorders>
              <w:top w:val="single" w:sz="4" w:space="0" w:color="auto"/>
              <w:left w:val="single" w:sz="4" w:space="0" w:color="auto"/>
              <w:bottom w:val="single" w:sz="4" w:space="0" w:color="auto"/>
              <w:right w:val="single" w:sz="4" w:space="0" w:color="auto"/>
            </w:tcBorders>
            <w:vAlign w:val="center"/>
          </w:tcPr>
          <w:p w14:paraId="50FED47E" w14:textId="77777777" w:rsidR="00606029" w:rsidRDefault="00606029">
            <w:pPr>
              <w:adjustRightInd w:val="0"/>
              <w:snapToGrid w:val="0"/>
              <w:jc w:val="center"/>
            </w:pPr>
          </w:p>
        </w:tc>
        <w:tc>
          <w:tcPr>
            <w:tcW w:w="832" w:type="pct"/>
            <w:tcBorders>
              <w:top w:val="single" w:sz="4" w:space="0" w:color="auto"/>
              <w:left w:val="single" w:sz="4" w:space="0" w:color="auto"/>
              <w:bottom w:val="single" w:sz="4" w:space="0" w:color="auto"/>
              <w:right w:val="single" w:sz="4" w:space="0" w:color="auto"/>
            </w:tcBorders>
            <w:vAlign w:val="center"/>
          </w:tcPr>
          <w:p w14:paraId="5B2AC9F4" w14:textId="77777777" w:rsidR="00606029" w:rsidRDefault="00EA5B92">
            <w:pPr>
              <w:adjustRightInd w:val="0"/>
              <w:snapToGrid w:val="0"/>
              <w:jc w:val="center"/>
            </w:pPr>
            <w:r>
              <w:t>56~100</w:t>
            </w:r>
          </w:p>
        </w:tc>
      </w:tr>
      <w:tr w:rsidR="00606029" w14:paraId="25844D01" w14:textId="77777777" w:rsidTr="00B76616">
        <w:trPr>
          <w:trHeight w:val="57"/>
        </w:trPr>
        <w:tc>
          <w:tcPr>
            <w:tcW w:w="399" w:type="pct"/>
            <w:tcBorders>
              <w:top w:val="single" w:sz="4" w:space="0" w:color="auto"/>
              <w:left w:val="single" w:sz="4" w:space="0" w:color="auto"/>
              <w:bottom w:val="single" w:sz="4" w:space="0" w:color="auto"/>
              <w:right w:val="single" w:sz="4" w:space="0" w:color="auto"/>
            </w:tcBorders>
            <w:vAlign w:val="center"/>
          </w:tcPr>
          <w:p w14:paraId="72F3FD0D" w14:textId="1CCFA03F" w:rsidR="00606029" w:rsidRDefault="00921458">
            <w:pPr>
              <w:adjustRightInd w:val="0"/>
              <w:snapToGrid w:val="0"/>
              <w:jc w:val="center"/>
            </w:pPr>
            <w:r>
              <w:rPr>
                <w:rFonts w:hint="eastAsia"/>
              </w:rPr>
              <w:t>3</w:t>
            </w:r>
          </w:p>
        </w:tc>
        <w:tc>
          <w:tcPr>
            <w:tcW w:w="1268" w:type="pct"/>
            <w:tcBorders>
              <w:top w:val="single" w:sz="4" w:space="0" w:color="auto"/>
              <w:left w:val="single" w:sz="4" w:space="0" w:color="auto"/>
              <w:bottom w:val="single" w:sz="4" w:space="0" w:color="auto"/>
              <w:right w:val="single" w:sz="4" w:space="0" w:color="auto"/>
            </w:tcBorders>
            <w:vAlign w:val="center"/>
          </w:tcPr>
          <w:p w14:paraId="153FDDA7" w14:textId="191C525C" w:rsidR="00606029" w:rsidRDefault="00B76616">
            <w:pPr>
              <w:adjustRightInd w:val="0"/>
              <w:snapToGrid w:val="0"/>
              <w:jc w:val="center"/>
            </w:pPr>
            <w:r w:rsidRPr="00B76616">
              <w:t>高压水枪</w:t>
            </w:r>
          </w:p>
        </w:tc>
        <w:tc>
          <w:tcPr>
            <w:tcW w:w="659" w:type="pct"/>
            <w:vMerge/>
            <w:tcBorders>
              <w:top w:val="single" w:sz="4" w:space="0" w:color="auto"/>
              <w:left w:val="single" w:sz="4" w:space="0" w:color="auto"/>
              <w:bottom w:val="single" w:sz="4" w:space="0" w:color="auto"/>
              <w:right w:val="single" w:sz="4" w:space="0" w:color="auto"/>
            </w:tcBorders>
            <w:vAlign w:val="center"/>
          </w:tcPr>
          <w:p w14:paraId="4E2701F2" w14:textId="77777777" w:rsidR="00606029" w:rsidRDefault="00606029">
            <w:pPr>
              <w:adjustRightInd w:val="0"/>
              <w:snapToGrid w:val="0"/>
              <w:jc w:val="center"/>
            </w:pPr>
          </w:p>
        </w:tc>
        <w:tc>
          <w:tcPr>
            <w:tcW w:w="1009" w:type="pct"/>
            <w:tcBorders>
              <w:top w:val="single" w:sz="4" w:space="0" w:color="auto"/>
              <w:left w:val="single" w:sz="4" w:space="0" w:color="auto"/>
              <w:bottom w:val="single" w:sz="4" w:space="0" w:color="auto"/>
              <w:right w:val="single" w:sz="4" w:space="0" w:color="auto"/>
            </w:tcBorders>
            <w:vAlign w:val="center"/>
          </w:tcPr>
          <w:p w14:paraId="4982762F" w14:textId="77777777" w:rsidR="00606029" w:rsidRDefault="00EA5B92">
            <w:pPr>
              <w:adjustRightInd w:val="0"/>
              <w:snapToGrid w:val="0"/>
              <w:jc w:val="center"/>
            </w:pPr>
            <w:r>
              <w:t>18~32</w:t>
            </w:r>
          </w:p>
        </w:tc>
        <w:tc>
          <w:tcPr>
            <w:tcW w:w="833" w:type="pct"/>
            <w:vMerge/>
            <w:tcBorders>
              <w:top w:val="single" w:sz="4" w:space="0" w:color="auto"/>
              <w:left w:val="single" w:sz="4" w:space="0" w:color="auto"/>
              <w:bottom w:val="single" w:sz="4" w:space="0" w:color="auto"/>
              <w:right w:val="single" w:sz="4" w:space="0" w:color="auto"/>
            </w:tcBorders>
            <w:vAlign w:val="center"/>
          </w:tcPr>
          <w:p w14:paraId="2CFCB7AD" w14:textId="77777777" w:rsidR="00606029" w:rsidRDefault="00606029">
            <w:pPr>
              <w:adjustRightInd w:val="0"/>
              <w:snapToGrid w:val="0"/>
              <w:jc w:val="center"/>
            </w:pPr>
          </w:p>
        </w:tc>
        <w:tc>
          <w:tcPr>
            <w:tcW w:w="832" w:type="pct"/>
            <w:tcBorders>
              <w:top w:val="single" w:sz="4" w:space="0" w:color="auto"/>
              <w:left w:val="single" w:sz="4" w:space="0" w:color="auto"/>
              <w:bottom w:val="single" w:sz="4" w:space="0" w:color="auto"/>
              <w:right w:val="single" w:sz="4" w:space="0" w:color="auto"/>
            </w:tcBorders>
            <w:vAlign w:val="center"/>
          </w:tcPr>
          <w:p w14:paraId="761F3013" w14:textId="77777777" w:rsidR="00606029" w:rsidRDefault="00EA5B92">
            <w:pPr>
              <w:adjustRightInd w:val="0"/>
              <w:snapToGrid w:val="0"/>
              <w:jc w:val="center"/>
            </w:pPr>
            <w:r>
              <w:t>56~100</w:t>
            </w:r>
          </w:p>
        </w:tc>
      </w:tr>
      <w:tr w:rsidR="00606029" w14:paraId="5E69B1FA" w14:textId="77777777" w:rsidTr="00B76616">
        <w:trPr>
          <w:trHeight w:val="57"/>
        </w:trPr>
        <w:tc>
          <w:tcPr>
            <w:tcW w:w="399" w:type="pct"/>
            <w:tcBorders>
              <w:top w:val="single" w:sz="4" w:space="0" w:color="auto"/>
              <w:left w:val="single" w:sz="4" w:space="0" w:color="auto"/>
              <w:bottom w:val="single" w:sz="4" w:space="0" w:color="auto"/>
              <w:right w:val="single" w:sz="4" w:space="0" w:color="auto"/>
            </w:tcBorders>
            <w:vAlign w:val="center"/>
          </w:tcPr>
          <w:p w14:paraId="5F8ADBD4" w14:textId="04AAE990" w:rsidR="00606029" w:rsidRDefault="00921458">
            <w:pPr>
              <w:adjustRightInd w:val="0"/>
              <w:snapToGrid w:val="0"/>
              <w:jc w:val="center"/>
            </w:pPr>
            <w:r>
              <w:rPr>
                <w:rFonts w:hint="eastAsia"/>
              </w:rPr>
              <w:t>4</w:t>
            </w:r>
          </w:p>
        </w:tc>
        <w:tc>
          <w:tcPr>
            <w:tcW w:w="1268" w:type="pct"/>
            <w:tcBorders>
              <w:top w:val="single" w:sz="4" w:space="0" w:color="auto"/>
              <w:left w:val="single" w:sz="4" w:space="0" w:color="auto"/>
              <w:bottom w:val="single" w:sz="4" w:space="0" w:color="auto"/>
              <w:right w:val="single" w:sz="4" w:space="0" w:color="auto"/>
            </w:tcBorders>
            <w:vAlign w:val="center"/>
          </w:tcPr>
          <w:p w14:paraId="6D204441" w14:textId="0B4F8E77" w:rsidR="00606029" w:rsidRDefault="00B76616">
            <w:pPr>
              <w:adjustRightInd w:val="0"/>
              <w:snapToGrid w:val="0"/>
              <w:jc w:val="center"/>
            </w:pPr>
            <w:r w:rsidRPr="00B76616">
              <w:t>风镐</w:t>
            </w:r>
          </w:p>
        </w:tc>
        <w:tc>
          <w:tcPr>
            <w:tcW w:w="659" w:type="pct"/>
            <w:vMerge/>
            <w:tcBorders>
              <w:top w:val="single" w:sz="4" w:space="0" w:color="auto"/>
              <w:left w:val="single" w:sz="4" w:space="0" w:color="auto"/>
              <w:bottom w:val="single" w:sz="4" w:space="0" w:color="auto"/>
              <w:right w:val="single" w:sz="4" w:space="0" w:color="auto"/>
            </w:tcBorders>
            <w:vAlign w:val="center"/>
          </w:tcPr>
          <w:p w14:paraId="09E77591" w14:textId="77777777" w:rsidR="00606029" w:rsidRDefault="00606029">
            <w:pPr>
              <w:adjustRightInd w:val="0"/>
              <w:snapToGrid w:val="0"/>
              <w:jc w:val="center"/>
            </w:pPr>
          </w:p>
        </w:tc>
        <w:tc>
          <w:tcPr>
            <w:tcW w:w="1009" w:type="pct"/>
            <w:tcBorders>
              <w:top w:val="single" w:sz="4" w:space="0" w:color="auto"/>
              <w:left w:val="single" w:sz="4" w:space="0" w:color="auto"/>
              <w:bottom w:val="single" w:sz="4" w:space="0" w:color="auto"/>
              <w:right w:val="single" w:sz="4" w:space="0" w:color="auto"/>
            </w:tcBorders>
            <w:vAlign w:val="center"/>
          </w:tcPr>
          <w:p w14:paraId="0F95EA36" w14:textId="77777777" w:rsidR="00606029" w:rsidRDefault="00EA5B92">
            <w:pPr>
              <w:adjustRightInd w:val="0"/>
              <w:snapToGrid w:val="0"/>
              <w:jc w:val="center"/>
            </w:pPr>
            <w:r>
              <w:t>10~32</w:t>
            </w:r>
          </w:p>
        </w:tc>
        <w:tc>
          <w:tcPr>
            <w:tcW w:w="833" w:type="pct"/>
            <w:vMerge/>
            <w:tcBorders>
              <w:top w:val="single" w:sz="4" w:space="0" w:color="auto"/>
              <w:left w:val="single" w:sz="4" w:space="0" w:color="auto"/>
              <w:bottom w:val="single" w:sz="4" w:space="0" w:color="auto"/>
              <w:right w:val="single" w:sz="4" w:space="0" w:color="auto"/>
            </w:tcBorders>
            <w:vAlign w:val="center"/>
          </w:tcPr>
          <w:p w14:paraId="0546C561" w14:textId="77777777" w:rsidR="00606029" w:rsidRDefault="00606029">
            <w:pPr>
              <w:adjustRightInd w:val="0"/>
              <w:snapToGrid w:val="0"/>
              <w:jc w:val="center"/>
            </w:pPr>
          </w:p>
        </w:tc>
        <w:tc>
          <w:tcPr>
            <w:tcW w:w="832" w:type="pct"/>
            <w:tcBorders>
              <w:top w:val="single" w:sz="4" w:space="0" w:color="auto"/>
              <w:left w:val="single" w:sz="4" w:space="0" w:color="auto"/>
              <w:bottom w:val="single" w:sz="4" w:space="0" w:color="auto"/>
              <w:right w:val="single" w:sz="4" w:space="0" w:color="auto"/>
            </w:tcBorders>
            <w:vAlign w:val="center"/>
          </w:tcPr>
          <w:p w14:paraId="070ED0B7" w14:textId="6A5C65A6" w:rsidR="00606029" w:rsidRDefault="00B76616">
            <w:pPr>
              <w:adjustRightInd w:val="0"/>
              <w:snapToGrid w:val="0"/>
              <w:jc w:val="center"/>
            </w:pPr>
            <w:r>
              <w:t>100~316</w:t>
            </w:r>
          </w:p>
        </w:tc>
      </w:tr>
      <w:tr w:rsidR="00B76616" w14:paraId="580F746D" w14:textId="77777777" w:rsidTr="00B76616">
        <w:trPr>
          <w:trHeight w:val="57"/>
        </w:trPr>
        <w:tc>
          <w:tcPr>
            <w:tcW w:w="399" w:type="pct"/>
            <w:tcBorders>
              <w:top w:val="single" w:sz="4" w:space="0" w:color="auto"/>
              <w:left w:val="single" w:sz="4" w:space="0" w:color="auto"/>
              <w:bottom w:val="single" w:sz="4" w:space="0" w:color="auto"/>
              <w:right w:val="single" w:sz="4" w:space="0" w:color="auto"/>
            </w:tcBorders>
            <w:vAlign w:val="center"/>
          </w:tcPr>
          <w:p w14:paraId="17DDB830" w14:textId="2BCEF0D6" w:rsidR="00B76616" w:rsidRDefault="00921458" w:rsidP="00B76616">
            <w:pPr>
              <w:adjustRightInd w:val="0"/>
              <w:snapToGrid w:val="0"/>
              <w:jc w:val="center"/>
            </w:pPr>
            <w:r>
              <w:rPr>
                <w:rFonts w:hint="eastAsia"/>
              </w:rPr>
              <w:t>5</w:t>
            </w:r>
          </w:p>
        </w:tc>
        <w:tc>
          <w:tcPr>
            <w:tcW w:w="1268" w:type="pct"/>
            <w:tcBorders>
              <w:top w:val="single" w:sz="4" w:space="0" w:color="auto"/>
              <w:left w:val="single" w:sz="4" w:space="0" w:color="auto"/>
              <w:bottom w:val="single" w:sz="4" w:space="0" w:color="auto"/>
              <w:right w:val="single" w:sz="4" w:space="0" w:color="auto"/>
            </w:tcBorders>
            <w:vAlign w:val="center"/>
          </w:tcPr>
          <w:p w14:paraId="2FEFC049" w14:textId="2B872182" w:rsidR="00B76616" w:rsidRDefault="00B76616" w:rsidP="00B76616">
            <w:pPr>
              <w:adjustRightInd w:val="0"/>
              <w:snapToGrid w:val="0"/>
              <w:jc w:val="center"/>
            </w:pPr>
            <w:r w:rsidRPr="00B90D7A">
              <w:t>土工膜爬焊机</w:t>
            </w:r>
          </w:p>
        </w:tc>
        <w:tc>
          <w:tcPr>
            <w:tcW w:w="659" w:type="pct"/>
            <w:vMerge/>
            <w:tcBorders>
              <w:top w:val="single" w:sz="4" w:space="0" w:color="auto"/>
              <w:left w:val="single" w:sz="4" w:space="0" w:color="auto"/>
              <w:bottom w:val="single" w:sz="4" w:space="0" w:color="auto"/>
              <w:right w:val="single" w:sz="4" w:space="0" w:color="auto"/>
            </w:tcBorders>
            <w:vAlign w:val="center"/>
          </w:tcPr>
          <w:p w14:paraId="1BB088DD" w14:textId="77777777" w:rsidR="00B76616" w:rsidRDefault="00B76616" w:rsidP="00B76616">
            <w:pPr>
              <w:adjustRightInd w:val="0"/>
              <w:snapToGrid w:val="0"/>
              <w:jc w:val="center"/>
            </w:pPr>
          </w:p>
        </w:tc>
        <w:tc>
          <w:tcPr>
            <w:tcW w:w="1009" w:type="pct"/>
            <w:tcBorders>
              <w:top w:val="single" w:sz="4" w:space="0" w:color="auto"/>
              <w:left w:val="single" w:sz="4" w:space="0" w:color="auto"/>
              <w:bottom w:val="single" w:sz="4" w:space="0" w:color="auto"/>
              <w:right w:val="single" w:sz="4" w:space="0" w:color="auto"/>
            </w:tcBorders>
            <w:vAlign w:val="center"/>
          </w:tcPr>
          <w:p w14:paraId="5E7F3FAE" w14:textId="77777777" w:rsidR="00B76616" w:rsidRDefault="00B76616" w:rsidP="00B76616">
            <w:pPr>
              <w:adjustRightInd w:val="0"/>
              <w:snapToGrid w:val="0"/>
              <w:jc w:val="center"/>
            </w:pPr>
            <w:r>
              <w:t>32~100</w:t>
            </w:r>
          </w:p>
        </w:tc>
        <w:tc>
          <w:tcPr>
            <w:tcW w:w="833" w:type="pct"/>
            <w:vMerge/>
            <w:tcBorders>
              <w:top w:val="single" w:sz="4" w:space="0" w:color="auto"/>
              <w:left w:val="single" w:sz="4" w:space="0" w:color="auto"/>
              <w:bottom w:val="single" w:sz="4" w:space="0" w:color="auto"/>
              <w:right w:val="single" w:sz="4" w:space="0" w:color="auto"/>
            </w:tcBorders>
            <w:vAlign w:val="center"/>
          </w:tcPr>
          <w:p w14:paraId="52BAD54B" w14:textId="77777777" w:rsidR="00B76616" w:rsidRDefault="00B76616" w:rsidP="00B76616">
            <w:pPr>
              <w:adjustRightInd w:val="0"/>
              <w:snapToGrid w:val="0"/>
              <w:jc w:val="center"/>
            </w:pPr>
          </w:p>
        </w:tc>
        <w:tc>
          <w:tcPr>
            <w:tcW w:w="832" w:type="pct"/>
            <w:tcBorders>
              <w:top w:val="single" w:sz="4" w:space="0" w:color="auto"/>
              <w:left w:val="single" w:sz="4" w:space="0" w:color="auto"/>
              <w:bottom w:val="single" w:sz="4" w:space="0" w:color="auto"/>
              <w:right w:val="single" w:sz="4" w:space="0" w:color="auto"/>
            </w:tcBorders>
            <w:vAlign w:val="center"/>
          </w:tcPr>
          <w:p w14:paraId="64958B57" w14:textId="77777777" w:rsidR="00B76616" w:rsidRDefault="00B76616" w:rsidP="00B76616">
            <w:pPr>
              <w:adjustRightInd w:val="0"/>
              <w:snapToGrid w:val="0"/>
              <w:jc w:val="center"/>
            </w:pPr>
            <w:r>
              <w:t>100~316</w:t>
            </w:r>
          </w:p>
        </w:tc>
      </w:tr>
      <w:tr w:rsidR="00B76616" w14:paraId="2C468C61" w14:textId="77777777" w:rsidTr="00B76616">
        <w:trPr>
          <w:trHeight w:val="57"/>
        </w:trPr>
        <w:tc>
          <w:tcPr>
            <w:tcW w:w="399" w:type="pct"/>
            <w:tcBorders>
              <w:top w:val="single" w:sz="4" w:space="0" w:color="auto"/>
              <w:left w:val="single" w:sz="4" w:space="0" w:color="auto"/>
              <w:bottom w:val="single" w:sz="4" w:space="0" w:color="auto"/>
              <w:right w:val="single" w:sz="4" w:space="0" w:color="auto"/>
            </w:tcBorders>
            <w:vAlign w:val="center"/>
          </w:tcPr>
          <w:p w14:paraId="63F2620C" w14:textId="3CFA0C12" w:rsidR="00B76616" w:rsidRDefault="00921458" w:rsidP="00B76616">
            <w:pPr>
              <w:adjustRightInd w:val="0"/>
              <w:snapToGrid w:val="0"/>
              <w:jc w:val="center"/>
            </w:pPr>
            <w:r>
              <w:rPr>
                <w:rFonts w:hint="eastAsia"/>
              </w:rPr>
              <w:t>6</w:t>
            </w:r>
          </w:p>
        </w:tc>
        <w:tc>
          <w:tcPr>
            <w:tcW w:w="1268" w:type="pct"/>
            <w:tcBorders>
              <w:top w:val="single" w:sz="4" w:space="0" w:color="auto"/>
              <w:left w:val="single" w:sz="4" w:space="0" w:color="auto"/>
              <w:bottom w:val="single" w:sz="4" w:space="0" w:color="auto"/>
              <w:right w:val="single" w:sz="4" w:space="0" w:color="auto"/>
            </w:tcBorders>
            <w:vAlign w:val="center"/>
          </w:tcPr>
          <w:p w14:paraId="64A84824" w14:textId="4E3ED1C0" w:rsidR="00B76616" w:rsidRDefault="00B76616" w:rsidP="00B76616">
            <w:pPr>
              <w:adjustRightInd w:val="0"/>
              <w:snapToGrid w:val="0"/>
              <w:jc w:val="center"/>
            </w:pPr>
            <w:r w:rsidRPr="00B90D7A">
              <w:rPr>
                <w:rFonts w:hint="eastAsia"/>
              </w:rPr>
              <w:t>挤出焊机</w:t>
            </w:r>
          </w:p>
        </w:tc>
        <w:tc>
          <w:tcPr>
            <w:tcW w:w="659" w:type="pct"/>
            <w:vMerge/>
            <w:tcBorders>
              <w:top w:val="single" w:sz="4" w:space="0" w:color="auto"/>
              <w:left w:val="single" w:sz="4" w:space="0" w:color="auto"/>
              <w:bottom w:val="single" w:sz="4" w:space="0" w:color="auto"/>
              <w:right w:val="single" w:sz="4" w:space="0" w:color="auto"/>
            </w:tcBorders>
            <w:vAlign w:val="center"/>
          </w:tcPr>
          <w:p w14:paraId="26E4687E" w14:textId="77777777" w:rsidR="00B76616" w:rsidRDefault="00B76616" w:rsidP="00B76616">
            <w:pPr>
              <w:adjustRightInd w:val="0"/>
              <w:snapToGrid w:val="0"/>
              <w:jc w:val="center"/>
            </w:pPr>
          </w:p>
        </w:tc>
        <w:tc>
          <w:tcPr>
            <w:tcW w:w="1009" w:type="pct"/>
            <w:tcBorders>
              <w:top w:val="single" w:sz="4" w:space="0" w:color="auto"/>
              <w:left w:val="single" w:sz="4" w:space="0" w:color="auto"/>
              <w:bottom w:val="single" w:sz="4" w:space="0" w:color="auto"/>
              <w:right w:val="single" w:sz="4" w:space="0" w:color="auto"/>
            </w:tcBorders>
            <w:vAlign w:val="center"/>
          </w:tcPr>
          <w:p w14:paraId="23897454" w14:textId="77777777" w:rsidR="00B76616" w:rsidRDefault="00B76616" w:rsidP="00B76616">
            <w:pPr>
              <w:adjustRightInd w:val="0"/>
              <w:snapToGrid w:val="0"/>
              <w:jc w:val="center"/>
            </w:pPr>
            <w:r>
              <w:t>32~100</w:t>
            </w:r>
          </w:p>
        </w:tc>
        <w:tc>
          <w:tcPr>
            <w:tcW w:w="833" w:type="pct"/>
            <w:vMerge/>
            <w:tcBorders>
              <w:top w:val="single" w:sz="4" w:space="0" w:color="auto"/>
              <w:left w:val="single" w:sz="4" w:space="0" w:color="auto"/>
              <w:bottom w:val="single" w:sz="4" w:space="0" w:color="auto"/>
              <w:right w:val="single" w:sz="4" w:space="0" w:color="auto"/>
            </w:tcBorders>
            <w:vAlign w:val="center"/>
          </w:tcPr>
          <w:p w14:paraId="6B408A16" w14:textId="77777777" w:rsidR="00B76616" w:rsidRDefault="00B76616" w:rsidP="00B76616">
            <w:pPr>
              <w:adjustRightInd w:val="0"/>
              <w:snapToGrid w:val="0"/>
              <w:jc w:val="center"/>
            </w:pPr>
          </w:p>
        </w:tc>
        <w:tc>
          <w:tcPr>
            <w:tcW w:w="832" w:type="pct"/>
            <w:tcBorders>
              <w:top w:val="single" w:sz="4" w:space="0" w:color="auto"/>
              <w:left w:val="single" w:sz="4" w:space="0" w:color="auto"/>
              <w:bottom w:val="single" w:sz="4" w:space="0" w:color="auto"/>
              <w:right w:val="single" w:sz="4" w:space="0" w:color="auto"/>
            </w:tcBorders>
            <w:vAlign w:val="center"/>
          </w:tcPr>
          <w:p w14:paraId="25FE6A73" w14:textId="77777777" w:rsidR="00B76616" w:rsidRDefault="00B76616" w:rsidP="00B76616">
            <w:pPr>
              <w:adjustRightInd w:val="0"/>
              <w:snapToGrid w:val="0"/>
              <w:jc w:val="center"/>
            </w:pPr>
            <w:r>
              <w:t>100~316</w:t>
            </w:r>
          </w:p>
        </w:tc>
      </w:tr>
      <w:tr w:rsidR="00B76616" w14:paraId="66550CF9" w14:textId="77777777" w:rsidTr="00B76616">
        <w:trPr>
          <w:trHeight w:val="57"/>
        </w:trPr>
        <w:tc>
          <w:tcPr>
            <w:tcW w:w="399" w:type="pct"/>
            <w:tcBorders>
              <w:top w:val="single" w:sz="4" w:space="0" w:color="auto"/>
              <w:left w:val="single" w:sz="4" w:space="0" w:color="auto"/>
              <w:bottom w:val="single" w:sz="4" w:space="0" w:color="auto"/>
              <w:right w:val="single" w:sz="4" w:space="0" w:color="auto"/>
            </w:tcBorders>
            <w:vAlign w:val="center"/>
          </w:tcPr>
          <w:p w14:paraId="29842D79" w14:textId="5FADEF92" w:rsidR="00B76616" w:rsidRDefault="00921458" w:rsidP="00B76616">
            <w:pPr>
              <w:adjustRightInd w:val="0"/>
              <w:snapToGrid w:val="0"/>
              <w:jc w:val="center"/>
            </w:pPr>
            <w:r>
              <w:rPr>
                <w:rFonts w:hint="eastAsia"/>
              </w:rPr>
              <w:t>7</w:t>
            </w:r>
          </w:p>
        </w:tc>
        <w:tc>
          <w:tcPr>
            <w:tcW w:w="1268" w:type="pct"/>
            <w:tcBorders>
              <w:top w:val="single" w:sz="4" w:space="0" w:color="auto"/>
              <w:left w:val="single" w:sz="4" w:space="0" w:color="auto"/>
              <w:bottom w:val="single" w:sz="4" w:space="0" w:color="auto"/>
              <w:right w:val="single" w:sz="4" w:space="0" w:color="auto"/>
            </w:tcBorders>
            <w:vAlign w:val="center"/>
          </w:tcPr>
          <w:p w14:paraId="4ED13254" w14:textId="64505BFA" w:rsidR="00B76616" w:rsidRDefault="00B76616" w:rsidP="00B76616">
            <w:pPr>
              <w:adjustRightInd w:val="0"/>
              <w:snapToGrid w:val="0"/>
              <w:jc w:val="center"/>
            </w:pPr>
            <w:r w:rsidRPr="00B90D7A">
              <w:rPr>
                <w:rFonts w:hint="eastAsia"/>
              </w:rPr>
              <w:t>热熔焊机</w:t>
            </w:r>
          </w:p>
        </w:tc>
        <w:tc>
          <w:tcPr>
            <w:tcW w:w="659" w:type="pct"/>
            <w:vMerge/>
            <w:tcBorders>
              <w:top w:val="single" w:sz="4" w:space="0" w:color="auto"/>
              <w:left w:val="single" w:sz="4" w:space="0" w:color="auto"/>
              <w:bottom w:val="single" w:sz="4" w:space="0" w:color="auto"/>
              <w:right w:val="single" w:sz="4" w:space="0" w:color="auto"/>
            </w:tcBorders>
            <w:vAlign w:val="center"/>
          </w:tcPr>
          <w:p w14:paraId="4A84A345" w14:textId="77777777" w:rsidR="00B76616" w:rsidRDefault="00B76616" w:rsidP="00B76616">
            <w:pPr>
              <w:adjustRightInd w:val="0"/>
              <w:snapToGrid w:val="0"/>
              <w:jc w:val="center"/>
            </w:pPr>
          </w:p>
        </w:tc>
        <w:tc>
          <w:tcPr>
            <w:tcW w:w="1009" w:type="pct"/>
            <w:tcBorders>
              <w:top w:val="single" w:sz="4" w:space="0" w:color="auto"/>
              <w:left w:val="single" w:sz="4" w:space="0" w:color="auto"/>
              <w:bottom w:val="single" w:sz="4" w:space="0" w:color="auto"/>
              <w:right w:val="single" w:sz="4" w:space="0" w:color="auto"/>
            </w:tcBorders>
            <w:vAlign w:val="center"/>
          </w:tcPr>
          <w:p w14:paraId="5D787757" w14:textId="6EEB6409" w:rsidR="00B76616" w:rsidRDefault="00B76616" w:rsidP="00B76616">
            <w:pPr>
              <w:adjustRightInd w:val="0"/>
              <w:snapToGrid w:val="0"/>
              <w:jc w:val="center"/>
            </w:pPr>
            <w:r>
              <w:rPr>
                <w:rFonts w:hint="eastAsia"/>
              </w:rPr>
              <w:t>32</w:t>
            </w:r>
            <w:r>
              <w:t>~</w:t>
            </w:r>
            <w:r>
              <w:rPr>
                <w:rFonts w:hint="eastAsia"/>
              </w:rPr>
              <w:t>100</w:t>
            </w:r>
          </w:p>
        </w:tc>
        <w:tc>
          <w:tcPr>
            <w:tcW w:w="833" w:type="pct"/>
            <w:vMerge/>
            <w:tcBorders>
              <w:top w:val="single" w:sz="4" w:space="0" w:color="auto"/>
              <w:left w:val="single" w:sz="4" w:space="0" w:color="auto"/>
              <w:bottom w:val="single" w:sz="4" w:space="0" w:color="auto"/>
              <w:right w:val="single" w:sz="4" w:space="0" w:color="auto"/>
            </w:tcBorders>
            <w:vAlign w:val="center"/>
          </w:tcPr>
          <w:p w14:paraId="7187264F" w14:textId="77777777" w:rsidR="00B76616" w:rsidRDefault="00B76616" w:rsidP="00B76616">
            <w:pPr>
              <w:adjustRightInd w:val="0"/>
              <w:snapToGrid w:val="0"/>
              <w:jc w:val="center"/>
            </w:pPr>
          </w:p>
        </w:tc>
        <w:tc>
          <w:tcPr>
            <w:tcW w:w="832" w:type="pct"/>
            <w:tcBorders>
              <w:top w:val="single" w:sz="4" w:space="0" w:color="auto"/>
              <w:left w:val="single" w:sz="4" w:space="0" w:color="auto"/>
              <w:bottom w:val="single" w:sz="4" w:space="0" w:color="auto"/>
              <w:right w:val="single" w:sz="4" w:space="0" w:color="auto"/>
            </w:tcBorders>
            <w:vAlign w:val="center"/>
          </w:tcPr>
          <w:p w14:paraId="68D59F81" w14:textId="7E9AF375" w:rsidR="00B76616" w:rsidRDefault="00B76616" w:rsidP="00B76616">
            <w:pPr>
              <w:adjustRightInd w:val="0"/>
              <w:snapToGrid w:val="0"/>
              <w:jc w:val="center"/>
            </w:pPr>
            <w:r>
              <w:t>100~316</w:t>
            </w:r>
          </w:p>
        </w:tc>
      </w:tr>
      <w:tr w:rsidR="00B76616" w14:paraId="5DC86D2E" w14:textId="77777777" w:rsidTr="00B76616">
        <w:trPr>
          <w:trHeight w:val="57"/>
        </w:trPr>
        <w:tc>
          <w:tcPr>
            <w:tcW w:w="399" w:type="pct"/>
            <w:tcBorders>
              <w:top w:val="single" w:sz="4" w:space="0" w:color="auto"/>
              <w:left w:val="single" w:sz="4" w:space="0" w:color="auto"/>
              <w:bottom w:val="single" w:sz="4" w:space="0" w:color="auto"/>
              <w:right w:val="single" w:sz="4" w:space="0" w:color="auto"/>
            </w:tcBorders>
            <w:vAlign w:val="center"/>
          </w:tcPr>
          <w:p w14:paraId="67DFA8FC" w14:textId="2ECC967F" w:rsidR="00B76616" w:rsidRDefault="00921458" w:rsidP="00B76616">
            <w:pPr>
              <w:adjustRightInd w:val="0"/>
              <w:snapToGrid w:val="0"/>
              <w:jc w:val="center"/>
            </w:pPr>
            <w:r>
              <w:rPr>
                <w:rFonts w:hint="eastAsia"/>
              </w:rPr>
              <w:t>8</w:t>
            </w:r>
          </w:p>
        </w:tc>
        <w:tc>
          <w:tcPr>
            <w:tcW w:w="1268" w:type="pct"/>
            <w:tcBorders>
              <w:top w:val="single" w:sz="4" w:space="0" w:color="auto"/>
              <w:left w:val="single" w:sz="4" w:space="0" w:color="auto"/>
              <w:bottom w:val="single" w:sz="4" w:space="0" w:color="auto"/>
              <w:right w:val="single" w:sz="4" w:space="0" w:color="auto"/>
            </w:tcBorders>
            <w:vAlign w:val="center"/>
          </w:tcPr>
          <w:p w14:paraId="0A62C768" w14:textId="707F5D76" w:rsidR="00B76616" w:rsidRDefault="00B76616" w:rsidP="00B76616">
            <w:pPr>
              <w:adjustRightInd w:val="0"/>
              <w:snapToGrid w:val="0"/>
              <w:jc w:val="center"/>
            </w:pPr>
            <w:r>
              <w:rPr>
                <w:rFonts w:eastAsia="Times New Roman"/>
              </w:rPr>
              <w:t>运输车辆</w:t>
            </w:r>
          </w:p>
        </w:tc>
        <w:tc>
          <w:tcPr>
            <w:tcW w:w="659" w:type="pct"/>
            <w:vMerge/>
            <w:tcBorders>
              <w:top w:val="single" w:sz="4" w:space="0" w:color="auto"/>
              <w:left w:val="single" w:sz="4" w:space="0" w:color="auto"/>
              <w:bottom w:val="single" w:sz="4" w:space="0" w:color="auto"/>
              <w:right w:val="single" w:sz="4" w:space="0" w:color="auto"/>
            </w:tcBorders>
            <w:vAlign w:val="center"/>
          </w:tcPr>
          <w:p w14:paraId="0A889DED" w14:textId="77777777" w:rsidR="00B76616" w:rsidRDefault="00B76616" w:rsidP="00B76616">
            <w:pPr>
              <w:adjustRightInd w:val="0"/>
              <w:snapToGrid w:val="0"/>
              <w:jc w:val="center"/>
            </w:pPr>
          </w:p>
        </w:tc>
        <w:tc>
          <w:tcPr>
            <w:tcW w:w="1009" w:type="pct"/>
            <w:tcBorders>
              <w:top w:val="single" w:sz="4" w:space="0" w:color="auto"/>
              <w:left w:val="single" w:sz="4" w:space="0" w:color="auto"/>
              <w:bottom w:val="single" w:sz="4" w:space="0" w:color="auto"/>
              <w:right w:val="single" w:sz="4" w:space="0" w:color="auto"/>
            </w:tcBorders>
            <w:vAlign w:val="center"/>
          </w:tcPr>
          <w:p w14:paraId="361F48F7" w14:textId="77777777" w:rsidR="00B76616" w:rsidRDefault="00B76616" w:rsidP="00B76616">
            <w:pPr>
              <w:adjustRightInd w:val="0"/>
              <w:snapToGrid w:val="0"/>
              <w:jc w:val="center"/>
            </w:pPr>
            <w:r>
              <w:t>32~100</w:t>
            </w:r>
          </w:p>
        </w:tc>
        <w:tc>
          <w:tcPr>
            <w:tcW w:w="833" w:type="pct"/>
            <w:vMerge/>
            <w:tcBorders>
              <w:top w:val="single" w:sz="4" w:space="0" w:color="auto"/>
              <w:left w:val="single" w:sz="4" w:space="0" w:color="auto"/>
              <w:bottom w:val="single" w:sz="4" w:space="0" w:color="auto"/>
              <w:right w:val="single" w:sz="4" w:space="0" w:color="auto"/>
            </w:tcBorders>
            <w:vAlign w:val="center"/>
          </w:tcPr>
          <w:p w14:paraId="693F0A96" w14:textId="77777777" w:rsidR="00B76616" w:rsidRDefault="00B76616" w:rsidP="00B76616">
            <w:pPr>
              <w:adjustRightInd w:val="0"/>
              <w:snapToGrid w:val="0"/>
              <w:jc w:val="center"/>
            </w:pPr>
          </w:p>
        </w:tc>
        <w:tc>
          <w:tcPr>
            <w:tcW w:w="832" w:type="pct"/>
            <w:tcBorders>
              <w:top w:val="single" w:sz="4" w:space="0" w:color="auto"/>
              <w:left w:val="single" w:sz="4" w:space="0" w:color="auto"/>
              <w:bottom w:val="single" w:sz="4" w:space="0" w:color="auto"/>
              <w:right w:val="single" w:sz="4" w:space="0" w:color="auto"/>
            </w:tcBorders>
            <w:vAlign w:val="center"/>
          </w:tcPr>
          <w:p w14:paraId="32861B0C" w14:textId="2BF0BE83" w:rsidR="00B76616" w:rsidRDefault="00B76616" w:rsidP="00B76616">
            <w:pPr>
              <w:adjustRightInd w:val="0"/>
              <w:snapToGrid w:val="0"/>
              <w:jc w:val="center"/>
            </w:pPr>
            <w:r>
              <w:rPr>
                <w:rFonts w:hint="eastAsia"/>
              </w:rPr>
              <w:t>56</w:t>
            </w:r>
            <w:r>
              <w:t>~</w:t>
            </w:r>
            <w:r>
              <w:rPr>
                <w:rFonts w:hint="eastAsia"/>
              </w:rPr>
              <w:t>100</w:t>
            </w:r>
          </w:p>
        </w:tc>
      </w:tr>
      <w:tr w:rsidR="00B76616" w14:paraId="4F5DF69E" w14:textId="77777777" w:rsidTr="00B76616">
        <w:trPr>
          <w:trHeight w:val="57"/>
        </w:trPr>
        <w:tc>
          <w:tcPr>
            <w:tcW w:w="5000" w:type="pct"/>
            <w:gridSpan w:val="6"/>
            <w:tcBorders>
              <w:top w:val="single" w:sz="4" w:space="0" w:color="auto"/>
              <w:left w:val="single" w:sz="4" w:space="0" w:color="auto"/>
              <w:bottom w:val="single" w:sz="4" w:space="0" w:color="auto"/>
              <w:right w:val="single" w:sz="4" w:space="0" w:color="auto"/>
            </w:tcBorders>
            <w:vAlign w:val="center"/>
          </w:tcPr>
          <w:p w14:paraId="6D116509" w14:textId="5127C4EF" w:rsidR="00B76616" w:rsidRDefault="00B76616" w:rsidP="00B76616">
            <w:pPr>
              <w:adjustRightInd w:val="0"/>
              <w:snapToGrid w:val="0"/>
              <w:jc w:val="left"/>
            </w:pPr>
            <w:r>
              <w:t>注：项目施工主要安排在昼间进行，</w:t>
            </w:r>
            <w:r>
              <w:rPr>
                <w:rFonts w:hint="eastAsia"/>
              </w:rPr>
              <w:t>夜间不施工。</w:t>
            </w:r>
          </w:p>
        </w:tc>
      </w:tr>
    </w:tbl>
    <w:p w14:paraId="62CAD80C" w14:textId="2C33AA4D" w:rsidR="00606029" w:rsidRDefault="00EA5B92">
      <w:pPr>
        <w:pStyle w:val="affffff4"/>
        <w:spacing w:beforeLines="50" w:before="120"/>
      </w:pPr>
      <w:r>
        <w:t>项目在施工过程中，施工机械噪声将成为主要噪声源，采取相应的隔声降噪措施</w:t>
      </w:r>
      <w:r w:rsidR="00921458">
        <w:rPr>
          <w:rFonts w:hint="eastAsia"/>
        </w:rPr>
        <w:t>后</w:t>
      </w:r>
      <w:r>
        <w:t>，</w:t>
      </w:r>
      <w:r w:rsidR="00921458" w:rsidRPr="00921458">
        <w:t>施工场界噪声</w:t>
      </w:r>
      <w:r w:rsidR="00921458">
        <w:rPr>
          <w:rFonts w:hint="eastAsia"/>
        </w:rPr>
        <w:t>满足</w:t>
      </w:r>
      <w:r w:rsidR="00921458" w:rsidRPr="00921458">
        <w:t>《建筑施工场界环境噪声排放标准》（</w:t>
      </w:r>
      <w:r w:rsidR="00921458" w:rsidRPr="00921458">
        <w:t>GB12523-2025</w:t>
      </w:r>
      <w:r w:rsidR="00921458" w:rsidRPr="00921458">
        <w:t>）标准限值。</w:t>
      </w:r>
      <w:r>
        <w:t>本项目施工对环境敏感保护目标最大影响距离约</w:t>
      </w:r>
      <w:r w:rsidR="00970F5E">
        <w:rPr>
          <w:rFonts w:hint="eastAsia"/>
        </w:rPr>
        <w:t>790</w:t>
      </w:r>
      <w:r>
        <w:t>m</w:t>
      </w:r>
      <w:r>
        <w:t>，因此，项目</w:t>
      </w:r>
      <w:r w:rsidR="00921458">
        <w:rPr>
          <w:rFonts w:hint="eastAsia"/>
        </w:rPr>
        <w:t>施工对</w:t>
      </w:r>
      <w:r>
        <w:t>周边</w:t>
      </w:r>
      <w:r w:rsidR="00921458">
        <w:rPr>
          <w:rFonts w:hint="eastAsia"/>
        </w:rPr>
        <w:t>声</w:t>
      </w:r>
      <w:r>
        <w:t>环境影响较小。</w:t>
      </w:r>
    </w:p>
    <w:p w14:paraId="1ACF3D99" w14:textId="77777777" w:rsidR="00606029" w:rsidRDefault="00EA5B92">
      <w:pPr>
        <w:pStyle w:val="3"/>
      </w:pPr>
      <w:bookmarkStart w:id="239" w:name="_Toc220680526"/>
      <w:r>
        <w:t>6.1.4</w:t>
      </w:r>
      <w:r>
        <w:t>施工期固体废物影响分析</w:t>
      </w:r>
      <w:bookmarkEnd w:id="239"/>
    </w:p>
    <w:p w14:paraId="1B63D31F" w14:textId="469E8658" w:rsidR="00B76616" w:rsidRDefault="00B76616" w:rsidP="004D5E97">
      <w:pPr>
        <w:pStyle w:val="affffff4"/>
      </w:pPr>
      <w:r w:rsidRPr="00B76616">
        <w:t>本项目施工期固体废物主要为</w:t>
      </w:r>
      <w:r w:rsidR="004642E4">
        <w:t>残留污泥</w:t>
      </w:r>
      <w:r w:rsidRPr="00B76616">
        <w:t>、建筑垃圾和生活垃圾。</w:t>
      </w:r>
    </w:p>
    <w:p w14:paraId="188EE7CB" w14:textId="0640A678" w:rsidR="00606029" w:rsidRDefault="00EA5B92" w:rsidP="004D5E97">
      <w:pPr>
        <w:pStyle w:val="affffff4"/>
      </w:pPr>
      <w:r>
        <w:t>（</w:t>
      </w:r>
      <w:r>
        <w:t>1</w:t>
      </w:r>
      <w:r>
        <w:t>）</w:t>
      </w:r>
      <w:r w:rsidR="00B76616">
        <w:t>建筑垃圾</w:t>
      </w:r>
    </w:p>
    <w:p w14:paraId="3D5F06C7" w14:textId="6F926F2A" w:rsidR="00606029" w:rsidRDefault="00921458" w:rsidP="00B76616">
      <w:pPr>
        <w:pStyle w:val="affffff4"/>
      </w:pPr>
      <w:r>
        <w:rPr>
          <w:rFonts w:hint="eastAsia"/>
        </w:rPr>
        <w:t>本项目调节池改建会产生</w:t>
      </w:r>
      <w:r w:rsidR="00B76616">
        <w:rPr>
          <w:rFonts w:hint="eastAsia"/>
        </w:rPr>
        <w:t>建筑垃圾</w:t>
      </w:r>
      <w:r>
        <w:rPr>
          <w:rFonts w:hint="eastAsia"/>
        </w:rPr>
        <w:t>，</w:t>
      </w:r>
      <w:r w:rsidR="00B76616">
        <w:rPr>
          <w:rFonts w:hint="eastAsia"/>
        </w:rPr>
        <w:t>产生量约为</w:t>
      </w:r>
      <w:r w:rsidR="00B76616">
        <w:rPr>
          <w:rFonts w:hint="eastAsia"/>
        </w:rPr>
        <w:t>10t</w:t>
      </w:r>
      <w:r w:rsidR="00B76616">
        <w:rPr>
          <w:rFonts w:hint="eastAsia"/>
        </w:rPr>
        <w:t>，</w:t>
      </w:r>
      <w:r w:rsidR="00EA5B92">
        <w:t>这些废弃物中大部分对水、大气环境及生态环境的直接影响不大，其主要的影响在景观方面。</w:t>
      </w:r>
      <w:r w:rsidR="004D5E97" w:rsidRPr="004D5E97">
        <w:rPr>
          <w:rFonts w:hint="eastAsia"/>
        </w:rPr>
        <w:t>建筑垃圾及时清运至建筑垃圾调配场</w:t>
      </w:r>
      <w:r w:rsidR="004D5E97">
        <w:rPr>
          <w:rFonts w:hint="eastAsia"/>
        </w:rPr>
        <w:t>，</w:t>
      </w:r>
      <w:r w:rsidR="004D5E97">
        <w:t>不得随意堆放，以免污染环境，影响城市景观。</w:t>
      </w:r>
    </w:p>
    <w:p w14:paraId="0193C455" w14:textId="234D93DD" w:rsidR="00606029" w:rsidRDefault="00EA5B92">
      <w:pPr>
        <w:pStyle w:val="affffff4"/>
      </w:pPr>
      <w:r>
        <w:t>（</w:t>
      </w:r>
      <w:r w:rsidR="001D3C39">
        <w:rPr>
          <w:rFonts w:hint="eastAsia"/>
        </w:rPr>
        <w:t>2</w:t>
      </w:r>
      <w:r>
        <w:t>）生活垃圾</w:t>
      </w:r>
    </w:p>
    <w:p w14:paraId="1CDFA1A9" w14:textId="42F57AA3" w:rsidR="00606029" w:rsidRDefault="00EA5B92">
      <w:pPr>
        <w:pStyle w:val="affffff4"/>
      </w:pPr>
      <w:r>
        <w:t>施工期间生活垃圾最大产生量为</w:t>
      </w:r>
      <w:r>
        <w:t>25kg/d</w:t>
      </w:r>
      <w:r>
        <w:t>，如不及时处理，在气温适宜的条件下则会孳生蚊虫、产生恶臭、传播疾病，对周围环境产生不利影响。因此，生活垃圾应及时</w:t>
      </w:r>
      <w:r w:rsidR="004D5E97">
        <w:rPr>
          <w:rFonts w:hint="eastAsia"/>
        </w:rPr>
        <w:t>送厂区焚烧发电</w:t>
      </w:r>
      <w:r>
        <w:t>，避免对周围环境产生影响。</w:t>
      </w:r>
    </w:p>
    <w:p w14:paraId="0885A977" w14:textId="77777777" w:rsidR="00B76616" w:rsidRPr="00F958DA" w:rsidRDefault="00B76616" w:rsidP="00B76616">
      <w:pPr>
        <w:pStyle w:val="affffff4"/>
      </w:pPr>
      <w:r w:rsidRPr="00F958DA">
        <w:rPr>
          <w:rFonts w:hint="eastAsia"/>
        </w:rPr>
        <w:t>（</w:t>
      </w:r>
      <w:r w:rsidRPr="00F958DA">
        <w:rPr>
          <w:rFonts w:hint="eastAsia"/>
        </w:rPr>
        <w:t>3</w:t>
      </w:r>
      <w:r w:rsidRPr="00F958DA">
        <w:rPr>
          <w:rFonts w:hint="eastAsia"/>
        </w:rPr>
        <w:t>）残留污泥</w:t>
      </w:r>
    </w:p>
    <w:p w14:paraId="0AC2F414" w14:textId="750B809A" w:rsidR="00B76616" w:rsidRDefault="00B76616" w:rsidP="00B76616">
      <w:pPr>
        <w:pStyle w:val="affffff4"/>
      </w:pPr>
      <w:bookmarkStart w:id="240" w:name="OLE_LINK65"/>
      <w:r w:rsidRPr="00F958DA">
        <w:lastRenderedPageBreak/>
        <w:t>清除</w:t>
      </w:r>
      <w:r w:rsidRPr="00F958DA">
        <w:rPr>
          <w:rFonts w:hint="eastAsia"/>
        </w:rPr>
        <w:t>改建</w:t>
      </w:r>
      <w:r w:rsidRPr="00F958DA">
        <w:t>调节池内残留污泥</w:t>
      </w:r>
      <w:r w:rsidRPr="00F958DA">
        <w:rPr>
          <w:rFonts w:hint="eastAsia"/>
        </w:rPr>
        <w:t>，清理后送</w:t>
      </w:r>
      <w:r w:rsidR="00B31025" w:rsidRPr="00B31025">
        <w:t>焚烧发电厂污泥焚烧车间</w:t>
      </w:r>
      <w:r w:rsidRPr="00F958DA">
        <w:t>处理</w:t>
      </w:r>
      <w:bookmarkEnd w:id="240"/>
      <w:r w:rsidRPr="00F958DA">
        <w:rPr>
          <w:rFonts w:hint="eastAsia"/>
        </w:rPr>
        <w:t>。</w:t>
      </w:r>
      <w:r>
        <w:rPr>
          <w:rFonts w:hint="eastAsia"/>
        </w:rPr>
        <w:t>不会对周围环境产生影响。</w:t>
      </w:r>
    </w:p>
    <w:p w14:paraId="5E64A128" w14:textId="6581E583" w:rsidR="00DE759B" w:rsidRDefault="00DE759B" w:rsidP="00B76616">
      <w:pPr>
        <w:pStyle w:val="affffff4"/>
      </w:pPr>
      <w:r>
        <w:rPr>
          <w:rFonts w:hint="eastAsia"/>
        </w:rPr>
        <w:t>采取上述措施后，施工期固体废物对环境影响较小。</w:t>
      </w:r>
    </w:p>
    <w:p w14:paraId="4A498D63" w14:textId="77777777" w:rsidR="00606029" w:rsidRDefault="00EA5B92">
      <w:pPr>
        <w:pStyle w:val="3"/>
      </w:pPr>
      <w:bookmarkStart w:id="241" w:name="_Toc220680527"/>
      <w:r>
        <w:t>6.1.5</w:t>
      </w:r>
      <w:r>
        <w:t>施工期生态环境影响分析</w:t>
      </w:r>
      <w:bookmarkEnd w:id="241"/>
    </w:p>
    <w:p w14:paraId="3CFBADC0" w14:textId="561B42C6" w:rsidR="00606029" w:rsidRDefault="001D3C39" w:rsidP="001D3C39">
      <w:pPr>
        <w:pStyle w:val="affffff4"/>
      </w:pPr>
      <w:r>
        <w:rPr>
          <w:rFonts w:hint="eastAsia"/>
        </w:rPr>
        <w:t>本项目位于原大庆市生活垃圾综合处理厂场址范围</w:t>
      </w:r>
      <w:r w:rsidR="00B76616">
        <w:rPr>
          <w:rFonts w:hint="eastAsia"/>
        </w:rPr>
        <w:t>内</w:t>
      </w:r>
      <w:r>
        <w:rPr>
          <w:rFonts w:hint="eastAsia"/>
        </w:rPr>
        <w:t>，不新增永久占地，</w:t>
      </w:r>
      <w:r w:rsidRPr="001D3C39">
        <w:rPr>
          <w:rFonts w:hint="eastAsia"/>
        </w:rPr>
        <w:t>施工中表面土壤的翻动，造成土地表层因施工而引起的水土流失。在施工作业前，编制施工进度表，合理施工，采取边挖边布设，不得在施工现场长时间堆施物料。施工期场地严格控制在厂界内。尽量减少在雨季施工，防止水土流失。随着工程的竣工投产和土地固化，水土流失现象将逐渐消失。施工期对生态环境影响较小。</w:t>
      </w:r>
    </w:p>
    <w:p w14:paraId="1E45657C" w14:textId="5B624485" w:rsidR="00606029" w:rsidRDefault="00EA5B92">
      <w:pPr>
        <w:pStyle w:val="2"/>
      </w:pPr>
      <w:bookmarkStart w:id="242" w:name="_Toc1766"/>
      <w:bookmarkStart w:id="243" w:name="_Toc30402"/>
      <w:bookmarkStart w:id="244" w:name="_Toc220680528"/>
      <w:r>
        <w:t>6.2</w:t>
      </w:r>
      <w:r w:rsidR="00C40CEF">
        <w:t>运营期</w:t>
      </w:r>
      <w:r>
        <w:t>环境影响评价</w:t>
      </w:r>
      <w:bookmarkEnd w:id="242"/>
      <w:bookmarkEnd w:id="243"/>
      <w:bookmarkEnd w:id="244"/>
    </w:p>
    <w:p w14:paraId="67530B81" w14:textId="77777777" w:rsidR="00606029" w:rsidRDefault="00EA5B92">
      <w:pPr>
        <w:pStyle w:val="3"/>
      </w:pPr>
      <w:bookmarkStart w:id="245" w:name="_Toc220680529"/>
      <w:r>
        <w:t>6.2.1</w:t>
      </w:r>
      <w:r>
        <w:t>大气环境影响评价</w:t>
      </w:r>
      <w:bookmarkEnd w:id="245"/>
    </w:p>
    <w:p w14:paraId="77ED3C4F" w14:textId="602A7E15" w:rsidR="00606029" w:rsidRDefault="00EA5B92">
      <w:pPr>
        <w:pStyle w:val="4"/>
      </w:pPr>
      <w:r>
        <w:t>6.2.1.1</w:t>
      </w:r>
      <w:r w:rsidR="001252E2" w:rsidRPr="001252E2">
        <w:t>预测因子、预测范围及预测内容</w:t>
      </w:r>
    </w:p>
    <w:p w14:paraId="1326C622" w14:textId="77777777" w:rsidR="00AE3C89" w:rsidRPr="00FE469A" w:rsidRDefault="00AE3C89" w:rsidP="00FE469A">
      <w:pPr>
        <w:pStyle w:val="affffff4"/>
      </w:pPr>
      <w:r w:rsidRPr="00FE469A">
        <w:t>（</w:t>
      </w:r>
      <w:r w:rsidRPr="00FE469A">
        <w:t>1</w:t>
      </w:r>
      <w:r w:rsidRPr="00FE469A">
        <w:t>）预测因子</w:t>
      </w:r>
    </w:p>
    <w:p w14:paraId="518BCB5C" w14:textId="3ED51343" w:rsidR="00AE3C89" w:rsidRPr="00FE469A" w:rsidRDefault="00AE3C89" w:rsidP="00FE469A">
      <w:pPr>
        <w:pStyle w:val="affffff4"/>
      </w:pPr>
      <w:r w:rsidRPr="00FE469A">
        <w:t>预测因子根据评价因子而定，选取有环境质量标准的评价因子作为预测因子。根据本项目废气排放特点，确定预测因子为</w:t>
      </w:r>
      <w:r w:rsidR="004F102D">
        <w:rPr>
          <w:rFonts w:hint="eastAsia"/>
        </w:rPr>
        <w:t>TSP</w:t>
      </w:r>
      <w:r w:rsidRPr="00FE469A">
        <w:t>。</w:t>
      </w:r>
    </w:p>
    <w:p w14:paraId="3492CC44" w14:textId="77777777" w:rsidR="00AE3C89" w:rsidRPr="00FE469A" w:rsidRDefault="00AE3C89" w:rsidP="00FE469A">
      <w:pPr>
        <w:pStyle w:val="affffff4"/>
      </w:pPr>
      <w:r w:rsidRPr="00FE469A">
        <w:t>（</w:t>
      </w:r>
      <w:r w:rsidRPr="00FE469A">
        <w:t>2</w:t>
      </w:r>
      <w:r w:rsidRPr="00FE469A">
        <w:t>）预测范围</w:t>
      </w:r>
    </w:p>
    <w:p w14:paraId="36064045" w14:textId="46CAF71D" w:rsidR="00AE3C89" w:rsidRPr="00FE469A" w:rsidRDefault="00AE3C89" w:rsidP="00FE469A">
      <w:pPr>
        <w:pStyle w:val="affffff4"/>
      </w:pPr>
      <w:r w:rsidRPr="00FE469A">
        <w:t>预测范围以项目厂址为中心，东西向为</w:t>
      </w:r>
      <w:r w:rsidRPr="00FE469A">
        <w:t>X</w:t>
      </w:r>
      <w:r w:rsidRPr="00FE469A">
        <w:t>坐标轴、南北向为</w:t>
      </w:r>
      <w:r w:rsidRPr="00FE469A">
        <w:t>Y</w:t>
      </w:r>
      <w:r w:rsidRPr="00FE469A">
        <w:t>坐标轴。本评价预测范围为</w:t>
      </w:r>
      <w:r w:rsidR="001252E2" w:rsidRPr="00FE469A">
        <w:rPr>
          <w:rFonts w:hint="eastAsia"/>
        </w:rPr>
        <w:t>边长为</w:t>
      </w:r>
      <w:r w:rsidR="001252E2" w:rsidRPr="00FE469A">
        <w:rPr>
          <w:rFonts w:hint="eastAsia"/>
        </w:rPr>
        <w:t>5</w:t>
      </w:r>
      <w:r w:rsidRPr="00FE469A">
        <w:t>km</w:t>
      </w:r>
      <w:r w:rsidR="001252E2" w:rsidRPr="00FE469A">
        <w:rPr>
          <w:rFonts w:hint="eastAsia"/>
        </w:rPr>
        <w:t>的矩形区域</w:t>
      </w:r>
      <w:r w:rsidRPr="00FE469A">
        <w:t>。</w:t>
      </w:r>
    </w:p>
    <w:p w14:paraId="29B69F0B" w14:textId="77777777" w:rsidR="00AE3C89" w:rsidRPr="00FE469A" w:rsidRDefault="00AE3C89" w:rsidP="00FE469A">
      <w:pPr>
        <w:pStyle w:val="affffff4"/>
      </w:pPr>
      <w:r w:rsidRPr="00FE469A">
        <w:t>（</w:t>
      </w:r>
      <w:r w:rsidRPr="00FE469A">
        <w:t>3</w:t>
      </w:r>
      <w:r w:rsidRPr="00FE469A">
        <w:t>）预测周期</w:t>
      </w:r>
    </w:p>
    <w:p w14:paraId="5E003C3D" w14:textId="6372FD18" w:rsidR="00AE3C89" w:rsidRPr="00FE469A" w:rsidRDefault="00AE3C89" w:rsidP="00FE469A">
      <w:pPr>
        <w:pStyle w:val="affffff4"/>
      </w:pPr>
      <w:r w:rsidRPr="00FE469A">
        <w:t>本项目选取</w:t>
      </w:r>
      <w:r w:rsidRPr="00FE469A">
        <w:t>20</w:t>
      </w:r>
      <w:r w:rsidR="00FE469A" w:rsidRPr="00FE469A">
        <w:rPr>
          <w:rFonts w:hint="eastAsia"/>
        </w:rPr>
        <w:t>23</w:t>
      </w:r>
      <w:r w:rsidRPr="00FE469A">
        <w:t>年为评价基准年，预测周期为</w:t>
      </w:r>
      <w:r w:rsidRPr="00FE469A">
        <w:t>1</w:t>
      </w:r>
      <w:r w:rsidRPr="00FE469A">
        <w:t>个连续自然年。</w:t>
      </w:r>
    </w:p>
    <w:p w14:paraId="4A13E8CB" w14:textId="77777777" w:rsidR="00AE3C89" w:rsidRPr="00FE469A" w:rsidRDefault="00AE3C89" w:rsidP="00FE469A">
      <w:pPr>
        <w:pStyle w:val="affffff4"/>
      </w:pPr>
      <w:r w:rsidRPr="00FE469A">
        <w:t>（</w:t>
      </w:r>
      <w:r w:rsidRPr="00FE469A">
        <w:t>4</w:t>
      </w:r>
      <w:r w:rsidRPr="00FE469A">
        <w:t>）预测模型</w:t>
      </w:r>
    </w:p>
    <w:p w14:paraId="78D69E84" w14:textId="77777777" w:rsidR="00AE3C89" w:rsidRPr="00FE469A" w:rsidRDefault="00AE3C89" w:rsidP="00FE469A">
      <w:pPr>
        <w:pStyle w:val="affffff4"/>
      </w:pPr>
      <w:r w:rsidRPr="00FE469A">
        <w:t>本次环境空气环境影响预测模型采用《环境影响评价技术导则</w:t>
      </w:r>
      <w:r w:rsidRPr="00FE469A">
        <w:t xml:space="preserve"> </w:t>
      </w:r>
      <w:r w:rsidRPr="00FE469A">
        <w:t>大气环境（</w:t>
      </w:r>
      <w:r w:rsidRPr="00FE469A">
        <w:t>HJ2.2-2018</w:t>
      </w:r>
      <w:r w:rsidRPr="00FE469A">
        <w:t>）附录</w:t>
      </w:r>
      <w:r w:rsidRPr="00FE469A">
        <w:t>A</w:t>
      </w:r>
      <w:r w:rsidRPr="00FE469A">
        <w:t>中推荐的</w:t>
      </w:r>
      <w:r w:rsidRPr="00FE469A">
        <w:t>AERMOD</w:t>
      </w:r>
      <w:r w:rsidRPr="00FE469A">
        <w:t>模式系统进行预测。</w:t>
      </w:r>
    </w:p>
    <w:p w14:paraId="5C8C27EF" w14:textId="77777777" w:rsidR="00AE3C89" w:rsidRPr="00FE469A" w:rsidRDefault="00AE3C89" w:rsidP="00FE469A">
      <w:pPr>
        <w:pStyle w:val="affffff4"/>
      </w:pPr>
      <w:r w:rsidRPr="00FE469A">
        <w:t>AERMOD</w:t>
      </w:r>
      <w:r w:rsidRPr="00FE469A">
        <w:t>是一个稳态烟羽扩散模式，可基于大气边界层数据特征模拟点源、面源、体源等排放出的污染物在短期（小时平均、日平均）、长期〔年平均〕的浓度分布，适用于农村或城市地区、简单或复杂地形。模式使用每小时连续预处理气象数据模拟大于等于</w:t>
      </w:r>
      <w:r w:rsidRPr="00FE469A">
        <w:t>1</w:t>
      </w:r>
      <w:r w:rsidRPr="00FE469A">
        <w:t>小时平均时间的浓度分布，适用于评价范围小于等于</w:t>
      </w:r>
      <w:r w:rsidRPr="00FE469A">
        <w:t>50km</w:t>
      </w:r>
      <w:r w:rsidRPr="00FE469A">
        <w:t>的评价项目。</w:t>
      </w:r>
      <w:r w:rsidRPr="00FE469A">
        <w:t>AERMOD</w:t>
      </w:r>
      <w:r w:rsidRPr="00FE469A">
        <w:t>模式系统包括</w:t>
      </w:r>
      <w:r w:rsidRPr="00FE469A">
        <w:t>AERMOD(</w:t>
      </w:r>
      <w:r w:rsidRPr="00FE469A">
        <w:t>大气扩散模型</w:t>
      </w:r>
      <w:r w:rsidRPr="00FE469A">
        <w:t>)</w:t>
      </w:r>
      <w:r w:rsidRPr="00FE469A">
        <w:t>、</w:t>
      </w:r>
      <w:r w:rsidRPr="00FE469A">
        <w:t>AERMET(</w:t>
      </w:r>
      <w:r w:rsidRPr="00FE469A">
        <w:t>气象数据预处理器</w:t>
      </w:r>
      <w:r w:rsidRPr="00FE469A">
        <w:t>)</w:t>
      </w:r>
      <w:r w:rsidRPr="00FE469A">
        <w:t>和</w:t>
      </w:r>
      <w:r w:rsidRPr="00FE469A">
        <w:t>AERMAP</w:t>
      </w:r>
      <w:r w:rsidRPr="00FE469A">
        <w:t>（地形数据预处理器）。</w:t>
      </w:r>
    </w:p>
    <w:p w14:paraId="07E4F0F1" w14:textId="77777777" w:rsidR="00AE3C89" w:rsidRPr="00FE469A" w:rsidRDefault="00AE3C89" w:rsidP="00FE469A">
      <w:pPr>
        <w:pStyle w:val="affffff4"/>
      </w:pPr>
      <w:r w:rsidRPr="00FE469A">
        <w:rPr>
          <w:rFonts w:ascii="Cambria Math" w:hAnsi="Cambria Math" w:cs="Cambria Math"/>
        </w:rPr>
        <w:lastRenderedPageBreak/>
        <w:t>①</w:t>
      </w:r>
      <w:r w:rsidRPr="00FE469A">
        <w:t>地形预处理</w:t>
      </w:r>
      <w:r w:rsidRPr="00FE469A">
        <w:t>-AERMAP</w:t>
      </w:r>
    </w:p>
    <w:p w14:paraId="74FBFD5A" w14:textId="77777777" w:rsidR="00AE3C89" w:rsidRPr="00FE469A" w:rsidRDefault="00AE3C89" w:rsidP="00FE469A">
      <w:pPr>
        <w:pStyle w:val="affffff4"/>
      </w:pPr>
      <w:r w:rsidRPr="00FE469A">
        <w:t>本项目拟建厂址平均海拔高度</w:t>
      </w:r>
      <w:r w:rsidRPr="00FE469A">
        <w:t>143m</w:t>
      </w:r>
      <w:r w:rsidRPr="00FE469A">
        <w:t>。</w:t>
      </w:r>
    </w:p>
    <w:p w14:paraId="0233618E" w14:textId="77777777" w:rsidR="00AE3C89" w:rsidRPr="00AE3C89" w:rsidRDefault="00AE3C89" w:rsidP="00FE469A">
      <w:pPr>
        <w:ind w:left="482"/>
        <w:jc w:val="center"/>
        <w:rPr>
          <w:kern w:val="0"/>
          <w:sz w:val="24"/>
          <w:szCs w:val="20"/>
        </w:rPr>
      </w:pPr>
      <w:r w:rsidRPr="00AE3C89">
        <w:rPr>
          <w:noProof/>
          <w:kern w:val="0"/>
          <w:sz w:val="24"/>
          <w:szCs w:val="20"/>
        </w:rPr>
        <w:drawing>
          <wp:inline distT="0" distB="0" distL="114300" distR="114300" wp14:anchorId="11522E99" wp14:editId="18D26DFD">
            <wp:extent cx="4855210" cy="2897505"/>
            <wp:effectExtent l="0" t="0" r="2540" b="17145"/>
            <wp:docPr id="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1"/>
                    <pic:cNvPicPr>
                      <a:picLocks noChangeAspect="1"/>
                    </pic:cNvPicPr>
                  </pic:nvPicPr>
                  <pic:blipFill>
                    <a:blip r:embed="rId80"/>
                    <a:srcRect l="47731" t="34111" r="16713" b="32310"/>
                    <a:stretch>
                      <a:fillRect/>
                    </a:stretch>
                  </pic:blipFill>
                  <pic:spPr>
                    <a:xfrm>
                      <a:off x="0" y="0"/>
                      <a:ext cx="4855210" cy="2897505"/>
                    </a:xfrm>
                    <a:prstGeom prst="rect">
                      <a:avLst/>
                    </a:prstGeom>
                    <a:noFill/>
                    <a:ln>
                      <a:noFill/>
                    </a:ln>
                  </pic:spPr>
                </pic:pic>
              </a:graphicData>
            </a:graphic>
          </wp:inline>
        </w:drawing>
      </w:r>
    </w:p>
    <w:p w14:paraId="083241CE" w14:textId="61393B41" w:rsidR="00AE3C89" w:rsidRPr="00FE469A" w:rsidRDefault="00AE3C89" w:rsidP="00FE469A">
      <w:pPr>
        <w:pStyle w:val="aff2"/>
        <w:spacing w:after="0"/>
        <w:ind w:firstLineChars="0" w:firstLine="0"/>
        <w:jc w:val="center"/>
        <w:rPr>
          <w:rStyle w:val="Charf"/>
        </w:rPr>
      </w:pPr>
      <w:r w:rsidRPr="00FE469A">
        <w:rPr>
          <w:rStyle w:val="Charf"/>
        </w:rPr>
        <w:t>图</w:t>
      </w:r>
      <w:r w:rsidR="00FE469A" w:rsidRPr="00FE469A">
        <w:rPr>
          <w:rStyle w:val="Charf"/>
        </w:rPr>
        <w:t>6</w:t>
      </w:r>
      <w:r w:rsidRPr="00FE469A">
        <w:rPr>
          <w:rStyle w:val="Charf"/>
        </w:rPr>
        <w:t>.</w:t>
      </w:r>
      <w:r w:rsidR="00857E7A">
        <w:rPr>
          <w:rStyle w:val="Charf"/>
          <w:rFonts w:hint="eastAsia"/>
        </w:rPr>
        <w:t>2</w:t>
      </w:r>
      <w:r w:rsidRPr="00FE469A">
        <w:rPr>
          <w:rStyle w:val="Charf"/>
        </w:rPr>
        <w:t xml:space="preserve">-1  </w:t>
      </w:r>
      <w:r w:rsidRPr="00FE469A">
        <w:rPr>
          <w:rStyle w:val="Charf"/>
        </w:rPr>
        <w:t>项目所在区域</w:t>
      </w:r>
      <w:r w:rsidRPr="00FE469A">
        <w:rPr>
          <w:rStyle w:val="Charf"/>
        </w:rPr>
        <w:t>DEM</w:t>
      </w:r>
      <w:r w:rsidRPr="00FE469A">
        <w:rPr>
          <w:rStyle w:val="Charf"/>
        </w:rPr>
        <w:t>文件等高线示意图</w:t>
      </w:r>
    </w:p>
    <w:p w14:paraId="0B133EAE" w14:textId="77777777" w:rsidR="00AE3C89" w:rsidRPr="00FE469A" w:rsidRDefault="00AE3C89" w:rsidP="00FE469A">
      <w:pPr>
        <w:pStyle w:val="affffff4"/>
      </w:pPr>
      <w:r w:rsidRPr="005D74E7">
        <w:rPr>
          <w:rFonts w:ascii="Cambria Math" w:hAnsi="Cambria Math" w:cs="Cambria Math"/>
        </w:rPr>
        <w:t>②</w:t>
      </w:r>
      <w:r w:rsidRPr="00FE469A">
        <w:t>气象预处理</w:t>
      </w:r>
      <w:r w:rsidRPr="00FE469A">
        <w:t>-AERMET</w:t>
      </w:r>
    </w:p>
    <w:p w14:paraId="7C583E36" w14:textId="07F1E62E" w:rsidR="00AE3C89" w:rsidRPr="00FE469A" w:rsidRDefault="00AE3C89" w:rsidP="00FE469A">
      <w:pPr>
        <w:pStyle w:val="affffff4"/>
      </w:pPr>
      <w:r w:rsidRPr="00FE469A">
        <w:t>本</w:t>
      </w:r>
      <w:r w:rsidR="00C92E2A">
        <w:rPr>
          <w:rFonts w:hint="eastAsia"/>
        </w:rPr>
        <w:t>项目</w:t>
      </w:r>
      <w:r w:rsidRPr="00FE469A">
        <w:t>预测地面气象资料输入大庆市气象站（</w:t>
      </w:r>
      <w:r w:rsidRPr="00FE469A">
        <w:t>50850</w:t>
      </w:r>
      <w:r w:rsidRPr="00FE469A">
        <w:t>）</w:t>
      </w:r>
      <w:r w:rsidRPr="00FE469A">
        <w:t>202</w:t>
      </w:r>
      <w:r w:rsidR="00FE469A" w:rsidRPr="00FE469A">
        <w:rPr>
          <w:rFonts w:hint="eastAsia"/>
        </w:rPr>
        <w:t>3</w:t>
      </w:r>
      <w:r w:rsidRPr="00FE469A">
        <w:t>年全年地面逐时气象资料，其中包括温度、风速、风向、总云量、低云量，按</w:t>
      </w:r>
      <w:r w:rsidRPr="00FE469A">
        <w:t>AERMET</w:t>
      </w:r>
      <w:r w:rsidRPr="00FE469A">
        <w:t>参数格式生成地面逐时气象输入文件。本</w:t>
      </w:r>
      <w:r w:rsidR="00C92E2A">
        <w:rPr>
          <w:rFonts w:hint="eastAsia"/>
        </w:rPr>
        <w:t>项目</w:t>
      </w:r>
      <w:r w:rsidRPr="00FE469A">
        <w:t>预测采用的高空数据是由国家环境工程评估中心的中尺度数值模式</w:t>
      </w:r>
      <w:r w:rsidRPr="00FE469A">
        <w:t>MM5</w:t>
      </w:r>
      <w:r w:rsidRPr="00FE469A">
        <w:t>模拟生成，包括大气压、高度、干球温度、露点温度、风向、风速。</w:t>
      </w:r>
    </w:p>
    <w:p w14:paraId="6057AA95" w14:textId="77777777" w:rsidR="00AE3C89" w:rsidRPr="00375EE2" w:rsidRDefault="00AE3C89" w:rsidP="00FE469A">
      <w:pPr>
        <w:pStyle w:val="affffff4"/>
      </w:pPr>
      <w:r w:rsidRPr="00375EE2">
        <w:rPr>
          <w:rFonts w:ascii="Cambria Math" w:hAnsi="Cambria Math" w:cs="Cambria Math"/>
        </w:rPr>
        <w:t>③</w:t>
      </w:r>
      <w:r w:rsidRPr="00375EE2">
        <w:t>参数选取</w:t>
      </w:r>
    </w:p>
    <w:p w14:paraId="1E3810F0" w14:textId="6EF6E2E6" w:rsidR="00AE3C89" w:rsidRPr="00375EE2" w:rsidRDefault="00AE3C89" w:rsidP="00FE469A">
      <w:pPr>
        <w:pStyle w:val="affffff4"/>
      </w:pPr>
      <w:r w:rsidRPr="00375EE2">
        <w:t>本</w:t>
      </w:r>
      <w:r w:rsidR="00C92E2A">
        <w:rPr>
          <w:rFonts w:hint="eastAsia"/>
        </w:rPr>
        <w:t>项目</w:t>
      </w:r>
      <w:r w:rsidRPr="00375EE2">
        <w:t>大气环境影响预测中观测气象数据来源</w:t>
      </w:r>
      <w:r w:rsidR="00FE469A" w:rsidRPr="00375EE2">
        <w:t>、</w:t>
      </w:r>
      <w:r w:rsidRPr="00375EE2">
        <w:t>数据基本信息</w:t>
      </w:r>
      <w:r w:rsidR="00FE469A" w:rsidRPr="00375EE2">
        <w:t>和</w:t>
      </w:r>
      <w:r w:rsidRPr="00375EE2">
        <w:t>模拟高空气象数据信息见表。</w:t>
      </w:r>
    </w:p>
    <w:p w14:paraId="67EE95DC" w14:textId="23780B72" w:rsidR="00AE3C89" w:rsidRPr="00FE469A" w:rsidRDefault="00AE3C89" w:rsidP="00FE469A">
      <w:pPr>
        <w:pStyle w:val="affffff5"/>
        <w:tabs>
          <w:tab w:val="left" w:pos="0"/>
        </w:tabs>
        <w:ind w:firstLine="400"/>
      </w:pPr>
      <w:r w:rsidRPr="00FE469A">
        <w:t>表</w:t>
      </w:r>
      <w:r w:rsidR="00FE469A" w:rsidRPr="00FE469A">
        <w:rPr>
          <w:rFonts w:hint="eastAsia"/>
        </w:rPr>
        <w:t>6</w:t>
      </w:r>
      <w:r w:rsidRPr="00FE469A">
        <w:t>.</w:t>
      </w:r>
      <w:r w:rsidR="00857E7A">
        <w:rPr>
          <w:rFonts w:hint="eastAsia"/>
        </w:rPr>
        <w:t>2</w:t>
      </w:r>
      <w:r w:rsidRPr="00FE469A">
        <w:t>-</w:t>
      </w:r>
      <w:r w:rsidR="004F102D">
        <w:rPr>
          <w:rFonts w:hint="eastAsia"/>
        </w:rPr>
        <w:t>1</w:t>
      </w:r>
      <w:r w:rsidRPr="00FE469A">
        <w:t xml:space="preserve">  </w:t>
      </w:r>
      <w:r w:rsidRPr="00FE469A">
        <w:t>观测气象数据信息</w:t>
      </w:r>
    </w:p>
    <w:tbl>
      <w:tblPr>
        <w:tblW w:w="0" w:type="auto"/>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978"/>
        <w:gridCol w:w="802"/>
        <w:gridCol w:w="804"/>
        <w:gridCol w:w="1068"/>
        <w:gridCol w:w="986"/>
        <w:gridCol w:w="773"/>
        <w:gridCol w:w="907"/>
        <w:gridCol w:w="907"/>
        <w:gridCol w:w="1490"/>
      </w:tblGrid>
      <w:tr w:rsidR="00AE3C89" w:rsidRPr="00AE3C89" w14:paraId="640F8AF9" w14:textId="77777777" w:rsidTr="00435DFE">
        <w:trPr>
          <w:trHeight w:val="90"/>
          <w:tblHeader/>
          <w:jc w:val="center"/>
        </w:trPr>
        <w:tc>
          <w:tcPr>
            <w:tcW w:w="978" w:type="dxa"/>
            <w:vAlign w:val="center"/>
          </w:tcPr>
          <w:p w14:paraId="46F80E7C" w14:textId="77777777" w:rsidR="00AE3C89" w:rsidRPr="00AE3C89" w:rsidRDefault="00AE3C89" w:rsidP="00AE3C89">
            <w:pPr>
              <w:adjustRightInd w:val="0"/>
              <w:snapToGrid w:val="0"/>
              <w:jc w:val="center"/>
              <w:rPr>
                <w:snapToGrid w:val="0"/>
              </w:rPr>
            </w:pPr>
            <w:r w:rsidRPr="00AE3C89">
              <w:rPr>
                <w:snapToGrid w:val="0"/>
              </w:rPr>
              <w:t>气象站</w:t>
            </w:r>
          </w:p>
          <w:p w14:paraId="355084A9" w14:textId="77777777" w:rsidR="00AE3C89" w:rsidRPr="00AE3C89" w:rsidRDefault="00AE3C89" w:rsidP="00AE3C89">
            <w:pPr>
              <w:adjustRightInd w:val="0"/>
              <w:snapToGrid w:val="0"/>
              <w:jc w:val="center"/>
              <w:rPr>
                <w:snapToGrid w:val="0"/>
              </w:rPr>
            </w:pPr>
            <w:r w:rsidRPr="00AE3C89">
              <w:rPr>
                <w:snapToGrid w:val="0"/>
              </w:rPr>
              <w:t>名称</w:t>
            </w:r>
          </w:p>
        </w:tc>
        <w:tc>
          <w:tcPr>
            <w:tcW w:w="802" w:type="dxa"/>
            <w:vAlign w:val="center"/>
          </w:tcPr>
          <w:p w14:paraId="6CFE2A86" w14:textId="77777777" w:rsidR="00AE3C89" w:rsidRPr="00AE3C89" w:rsidRDefault="00AE3C89" w:rsidP="00AE3C89">
            <w:pPr>
              <w:adjustRightInd w:val="0"/>
              <w:snapToGrid w:val="0"/>
              <w:jc w:val="center"/>
              <w:rPr>
                <w:snapToGrid w:val="0"/>
              </w:rPr>
            </w:pPr>
            <w:r w:rsidRPr="00AE3C89">
              <w:rPr>
                <w:snapToGrid w:val="0"/>
              </w:rPr>
              <w:t>气象站编号</w:t>
            </w:r>
          </w:p>
        </w:tc>
        <w:tc>
          <w:tcPr>
            <w:tcW w:w="804" w:type="dxa"/>
            <w:vAlign w:val="center"/>
          </w:tcPr>
          <w:p w14:paraId="6DB23C6E" w14:textId="77777777" w:rsidR="00AE3C89" w:rsidRPr="00AE3C89" w:rsidRDefault="00AE3C89" w:rsidP="00AE3C89">
            <w:pPr>
              <w:adjustRightInd w:val="0"/>
              <w:snapToGrid w:val="0"/>
              <w:jc w:val="center"/>
              <w:rPr>
                <w:snapToGrid w:val="0"/>
              </w:rPr>
            </w:pPr>
            <w:r w:rsidRPr="00AE3C89">
              <w:rPr>
                <w:snapToGrid w:val="0"/>
              </w:rPr>
              <w:t>气象站等级</w:t>
            </w:r>
          </w:p>
        </w:tc>
        <w:tc>
          <w:tcPr>
            <w:tcW w:w="2054" w:type="dxa"/>
            <w:gridSpan w:val="2"/>
            <w:vAlign w:val="center"/>
          </w:tcPr>
          <w:p w14:paraId="69C53B93" w14:textId="77777777" w:rsidR="00AE3C89" w:rsidRPr="00AE3C89" w:rsidRDefault="00AE3C89" w:rsidP="00AE3C89">
            <w:pPr>
              <w:adjustRightInd w:val="0"/>
              <w:snapToGrid w:val="0"/>
              <w:jc w:val="center"/>
              <w:rPr>
                <w:snapToGrid w:val="0"/>
              </w:rPr>
            </w:pPr>
            <w:r w:rsidRPr="00AE3C89">
              <w:rPr>
                <w:snapToGrid w:val="0"/>
              </w:rPr>
              <w:t>气象站坐标</w:t>
            </w:r>
          </w:p>
        </w:tc>
        <w:tc>
          <w:tcPr>
            <w:tcW w:w="773" w:type="dxa"/>
            <w:vAlign w:val="center"/>
          </w:tcPr>
          <w:p w14:paraId="4E8B5ABB" w14:textId="77777777" w:rsidR="00AE3C89" w:rsidRPr="00AE3C89" w:rsidRDefault="00AE3C89" w:rsidP="00AE3C89">
            <w:pPr>
              <w:adjustRightInd w:val="0"/>
              <w:snapToGrid w:val="0"/>
              <w:jc w:val="center"/>
              <w:rPr>
                <w:snapToGrid w:val="0"/>
              </w:rPr>
            </w:pPr>
            <w:r w:rsidRPr="00AE3C89">
              <w:rPr>
                <w:snapToGrid w:val="0"/>
              </w:rPr>
              <w:t>相对距离</w:t>
            </w:r>
            <w:r w:rsidRPr="00AE3C89">
              <w:rPr>
                <w:snapToGrid w:val="0"/>
              </w:rPr>
              <w:t>/km</w:t>
            </w:r>
          </w:p>
        </w:tc>
        <w:tc>
          <w:tcPr>
            <w:tcW w:w="907" w:type="dxa"/>
            <w:vAlign w:val="center"/>
          </w:tcPr>
          <w:p w14:paraId="53249A17" w14:textId="77777777" w:rsidR="00AE3C89" w:rsidRPr="00AE3C89" w:rsidRDefault="00AE3C89" w:rsidP="00AE3C89">
            <w:pPr>
              <w:adjustRightInd w:val="0"/>
              <w:snapToGrid w:val="0"/>
              <w:jc w:val="center"/>
              <w:rPr>
                <w:snapToGrid w:val="0"/>
              </w:rPr>
            </w:pPr>
            <w:r w:rsidRPr="00AE3C89">
              <w:rPr>
                <w:snapToGrid w:val="0"/>
              </w:rPr>
              <w:t>海拔高度</w:t>
            </w:r>
            <w:r w:rsidRPr="00AE3C89">
              <w:rPr>
                <w:snapToGrid w:val="0"/>
              </w:rPr>
              <w:t>/m</w:t>
            </w:r>
          </w:p>
        </w:tc>
        <w:tc>
          <w:tcPr>
            <w:tcW w:w="907" w:type="dxa"/>
            <w:vAlign w:val="center"/>
          </w:tcPr>
          <w:p w14:paraId="3E383C3F" w14:textId="77777777" w:rsidR="00AE3C89" w:rsidRPr="00AE3C89" w:rsidRDefault="00AE3C89" w:rsidP="00AE3C89">
            <w:pPr>
              <w:adjustRightInd w:val="0"/>
              <w:snapToGrid w:val="0"/>
              <w:jc w:val="center"/>
              <w:rPr>
                <w:snapToGrid w:val="0"/>
              </w:rPr>
            </w:pPr>
            <w:r w:rsidRPr="00AE3C89">
              <w:rPr>
                <w:snapToGrid w:val="0"/>
              </w:rPr>
              <w:t>数据年份</w:t>
            </w:r>
            <w:r w:rsidRPr="00AE3C89">
              <w:rPr>
                <w:snapToGrid w:val="0"/>
              </w:rPr>
              <w:t>/</w:t>
            </w:r>
            <w:r w:rsidRPr="00AE3C89">
              <w:rPr>
                <w:snapToGrid w:val="0"/>
              </w:rPr>
              <w:t>年</w:t>
            </w:r>
          </w:p>
        </w:tc>
        <w:tc>
          <w:tcPr>
            <w:tcW w:w="1490" w:type="dxa"/>
            <w:vAlign w:val="center"/>
          </w:tcPr>
          <w:p w14:paraId="0E6C1934" w14:textId="77777777" w:rsidR="00AE3C89" w:rsidRPr="00AE3C89" w:rsidRDefault="00AE3C89" w:rsidP="00AE3C89">
            <w:pPr>
              <w:adjustRightInd w:val="0"/>
              <w:snapToGrid w:val="0"/>
              <w:jc w:val="center"/>
              <w:rPr>
                <w:snapToGrid w:val="0"/>
              </w:rPr>
            </w:pPr>
            <w:r w:rsidRPr="00AE3C89">
              <w:rPr>
                <w:snapToGrid w:val="0"/>
              </w:rPr>
              <w:t>气象要素</w:t>
            </w:r>
          </w:p>
        </w:tc>
      </w:tr>
      <w:tr w:rsidR="00AE3C89" w:rsidRPr="00AE3C89" w14:paraId="6EE76624" w14:textId="77777777" w:rsidTr="00435DFE">
        <w:trPr>
          <w:trHeight w:val="270"/>
          <w:jc w:val="center"/>
        </w:trPr>
        <w:tc>
          <w:tcPr>
            <w:tcW w:w="978" w:type="dxa"/>
            <w:vAlign w:val="center"/>
          </w:tcPr>
          <w:p w14:paraId="43535D4E" w14:textId="77777777" w:rsidR="00AE3C89" w:rsidRPr="00AE3C89" w:rsidRDefault="00AE3C89" w:rsidP="00AE3C89">
            <w:pPr>
              <w:adjustRightInd w:val="0"/>
              <w:snapToGrid w:val="0"/>
              <w:jc w:val="center"/>
              <w:rPr>
                <w:snapToGrid w:val="0"/>
              </w:rPr>
            </w:pPr>
            <w:r w:rsidRPr="00AE3C89">
              <w:rPr>
                <w:snapToGrid w:val="0"/>
              </w:rPr>
              <w:t>大庆市</w:t>
            </w:r>
          </w:p>
          <w:p w14:paraId="702F53EC" w14:textId="77777777" w:rsidR="00AE3C89" w:rsidRPr="00AE3C89" w:rsidRDefault="00AE3C89" w:rsidP="00AE3C89">
            <w:pPr>
              <w:adjustRightInd w:val="0"/>
              <w:snapToGrid w:val="0"/>
              <w:jc w:val="center"/>
              <w:rPr>
                <w:snapToGrid w:val="0"/>
              </w:rPr>
            </w:pPr>
            <w:r w:rsidRPr="00AE3C89">
              <w:rPr>
                <w:snapToGrid w:val="0"/>
              </w:rPr>
              <w:t>气象站</w:t>
            </w:r>
          </w:p>
        </w:tc>
        <w:tc>
          <w:tcPr>
            <w:tcW w:w="802" w:type="dxa"/>
            <w:vAlign w:val="center"/>
          </w:tcPr>
          <w:p w14:paraId="62B375B9" w14:textId="77777777" w:rsidR="00AE3C89" w:rsidRPr="00AE3C89" w:rsidRDefault="00AE3C89" w:rsidP="00AE3C89">
            <w:pPr>
              <w:adjustRightInd w:val="0"/>
              <w:snapToGrid w:val="0"/>
              <w:jc w:val="center"/>
              <w:rPr>
                <w:snapToGrid w:val="0"/>
              </w:rPr>
            </w:pPr>
            <w:r w:rsidRPr="00AE3C89">
              <w:rPr>
                <w:snapToGrid w:val="0"/>
              </w:rPr>
              <w:t>50850</w:t>
            </w:r>
          </w:p>
        </w:tc>
        <w:tc>
          <w:tcPr>
            <w:tcW w:w="804" w:type="dxa"/>
            <w:vAlign w:val="center"/>
          </w:tcPr>
          <w:p w14:paraId="19B8371D" w14:textId="77777777" w:rsidR="00AE3C89" w:rsidRPr="00AE3C89" w:rsidRDefault="00AE3C89" w:rsidP="00AE3C89">
            <w:pPr>
              <w:adjustRightInd w:val="0"/>
              <w:snapToGrid w:val="0"/>
              <w:jc w:val="center"/>
              <w:rPr>
                <w:snapToGrid w:val="0"/>
              </w:rPr>
            </w:pPr>
            <w:r w:rsidRPr="00AE3C89">
              <w:rPr>
                <w:snapToGrid w:val="0"/>
              </w:rPr>
              <w:t>一般站</w:t>
            </w:r>
          </w:p>
        </w:tc>
        <w:tc>
          <w:tcPr>
            <w:tcW w:w="1068" w:type="dxa"/>
            <w:vAlign w:val="center"/>
          </w:tcPr>
          <w:p w14:paraId="4B272582" w14:textId="77777777" w:rsidR="00AE3C89" w:rsidRPr="00AE3C89" w:rsidRDefault="00AE3C89" w:rsidP="00AE3C89">
            <w:pPr>
              <w:adjustRightInd w:val="0"/>
              <w:snapToGrid w:val="0"/>
              <w:jc w:val="center"/>
              <w:rPr>
                <w:snapToGrid w:val="0"/>
              </w:rPr>
            </w:pPr>
            <w:r w:rsidRPr="00AE3C89">
              <w:rPr>
                <w:snapToGrid w:val="0"/>
              </w:rPr>
              <w:t>125.133E</w:t>
            </w:r>
          </w:p>
        </w:tc>
        <w:tc>
          <w:tcPr>
            <w:tcW w:w="986" w:type="dxa"/>
            <w:vAlign w:val="center"/>
          </w:tcPr>
          <w:p w14:paraId="37D6BB20" w14:textId="77777777" w:rsidR="00AE3C89" w:rsidRPr="00AE3C89" w:rsidRDefault="00AE3C89" w:rsidP="00AE3C89">
            <w:pPr>
              <w:adjustRightInd w:val="0"/>
              <w:snapToGrid w:val="0"/>
              <w:jc w:val="center"/>
              <w:rPr>
                <w:snapToGrid w:val="0"/>
              </w:rPr>
            </w:pPr>
            <w:r w:rsidRPr="00AE3C89">
              <w:rPr>
                <w:snapToGrid w:val="0"/>
              </w:rPr>
              <w:t>46.567N</w:t>
            </w:r>
          </w:p>
        </w:tc>
        <w:tc>
          <w:tcPr>
            <w:tcW w:w="773" w:type="dxa"/>
            <w:vAlign w:val="center"/>
          </w:tcPr>
          <w:p w14:paraId="43D59EBB" w14:textId="77777777" w:rsidR="00AE3C89" w:rsidRPr="00AE3C89" w:rsidRDefault="00AE3C89" w:rsidP="00AE3C89">
            <w:pPr>
              <w:adjustRightInd w:val="0"/>
              <w:snapToGrid w:val="0"/>
              <w:jc w:val="center"/>
              <w:rPr>
                <w:snapToGrid w:val="0"/>
              </w:rPr>
            </w:pPr>
            <w:r w:rsidRPr="00AE3C89">
              <w:rPr>
                <w:snapToGrid w:val="0"/>
              </w:rPr>
              <w:t>20.122</w:t>
            </w:r>
          </w:p>
        </w:tc>
        <w:tc>
          <w:tcPr>
            <w:tcW w:w="907" w:type="dxa"/>
            <w:vAlign w:val="center"/>
          </w:tcPr>
          <w:p w14:paraId="7537392F" w14:textId="77777777" w:rsidR="00AE3C89" w:rsidRPr="00AE3C89" w:rsidRDefault="00AE3C89" w:rsidP="00AE3C89">
            <w:pPr>
              <w:adjustRightInd w:val="0"/>
              <w:snapToGrid w:val="0"/>
              <w:jc w:val="center"/>
              <w:rPr>
                <w:snapToGrid w:val="0"/>
              </w:rPr>
            </w:pPr>
            <w:r w:rsidRPr="00AE3C89">
              <w:rPr>
                <w:snapToGrid w:val="0"/>
              </w:rPr>
              <w:t>137</w:t>
            </w:r>
          </w:p>
        </w:tc>
        <w:tc>
          <w:tcPr>
            <w:tcW w:w="907" w:type="dxa"/>
            <w:vAlign w:val="center"/>
          </w:tcPr>
          <w:p w14:paraId="6299A454" w14:textId="7902C4C8" w:rsidR="00AE3C89" w:rsidRPr="00AE3C89" w:rsidRDefault="00AE3C89" w:rsidP="00AE3C89">
            <w:pPr>
              <w:adjustRightInd w:val="0"/>
              <w:snapToGrid w:val="0"/>
              <w:jc w:val="center"/>
              <w:rPr>
                <w:snapToGrid w:val="0"/>
              </w:rPr>
            </w:pPr>
            <w:r w:rsidRPr="00AE3C89">
              <w:rPr>
                <w:snapToGrid w:val="0"/>
              </w:rPr>
              <w:t>202</w:t>
            </w:r>
            <w:r w:rsidR="00FE469A">
              <w:rPr>
                <w:rFonts w:hint="eastAsia"/>
                <w:snapToGrid w:val="0"/>
              </w:rPr>
              <w:t>3</w:t>
            </w:r>
          </w:p>
        </w:tc>
        <w:tc>
          <w:tcPr>
            <w:tcW w:w="1490" w:type="dxa"/>
            <w:vAlign w:val="center"/>
          </w:tcPr>
          <w:p w14:paraId="3B4205DB" w14:textId="77777777" w:rsidR="00AE3C89" w:rsidRPr="00AE3C89" w:rsidRDefault="00AE3C89" w:rsidP="00AE3C89">
            <w:pPr>
              <w:adjustRightInd w:val="0"/>
              <w:snapToGrid w:val="0"/>
              <w:jc w:val="center"/>
              <w:rPr>
                <w:snapToGrid w:val="0"/>
              </w:rPr>
            </w:pPr>
            <w:r w:rsidRPr="00AE3C89">
              <w:rPr>
                <w:snapToGrid w:val="0"/>
              </w:rPr>
              <w:t>温度、风向、风速、总云量</w:t>
            </w:r>
          </w:p>
        </w:tc>
      </w:tr>
    </w:tbl>
    <w:p w14:paraId="566E2D3E" w14:textId="0175A2A7" w:rsidR="00AE3C89" w:rsidRPr="00FE469A" w:rsidRDefault="00AE3C89" w:rsidP="00FE469A">
      <w:pPr>
        <w:pStyle w:val="affffff5"/>
        <w:tabs>
          <w:tab w:val="left" w:pos="0"/>
        </w:tabs>
        <w:ind w:firstLine="400"/>
      </w:pPr>
      <w:r w:rsidRPr="00FE469A">
        <w:t>表</w:t>
      </w:r>
      <w:r w:rsidR="00FE469A" w:rsidRPr="00FE469A">
        <w:rPr>
          <w:rFonts w:hint="eastAsia"/>
        </w:rPr>
        <w:t>6</w:t>
      </w:r>
      <w:r w:rsidRPr="00FE469A">
        <w:t>.</w:t>
      </w:r>
      <w:r w:rsidR="00857E7A">
        <w:rPr>
          <w:rFonts w:hint="eastAsia"/>
        </w:rPr>
        <w:t>2</w:t>
      </w:r>
      <w:r w:rsidRPr="00FE469A">
        <w:t>-</w:t>
      </w:r>
      <w:r w:rsidR="004F102D">
        <w:rPr>
          <w:rFonts w:hint="eastAsia"/>
        </w:rPr>
        <w:t>2</w:t>
      </w:r>
      <w:r w:rsidRPr="00FE469A">
        <w:t xml:space="preserve">  </w:t>
      </w:r>
      <w:r w:rsidRPr="00FE469A">
        <w:t>模式高空气象数据表</w:t>
      </w:r>
    </w:p>
    <w:tbl>
      <w:tblPr>
        <w:tblW w:w="0" w:type="auto"/>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1177"/>
        <w:gridCol w:w="1273"/>
        <w:gridCol w:w="1210"/>
        <w:gridCol w:w="3021"/>
        <w:gridCol w:w="2036"/>
      </w:tblGrid>
      <w:tr w:rsidR="00AE3C89" w:rsidRPr="00AE3C89" w14:paraId="54ABE26B" w14:textId="77777777" w:rsidTr="00435DFE">
        <w:trPr>
          <w:jc w:val="center"/>
        </w:trPr>
        <w:tc>
          <w:tcPr>
            <w:tcW w:w="2450" w:type="dxa"/>
            <w:gridSpan w:val="2"/>
            <w:vAlign w:val="center"/>
          </w:tcPr>
          <w:p w14:paraId="5BCA7545" w14:textId="77777777" w:rsidR="00AE3C89" w:rsidRPr="00AE3C89" w:rsidRDefault="00AE3C89" w:rsidP="00AE3C89">
            <w:pPr>
              <w:adjustRightInd w:val="0"/>
              <w:snapToGrid w:val="0"/>
              <w:jc w:val="center"/>
              <w:rPr>
                <w:snapToGrid w:val="0"/>
              </w:rPr>
            </w:pPr>
            <w:r w:rsidRPr="00AE3C89">
              <w:rPr>
                <w:snapToGrid w:val="0"/>
              </w:rPr>
              <w:t>经纬度</w:t>
            </w:r>
            <w:r w:rsidRPr="00AE3C89">
              <w:rPr>
                <w:snapToGrid w:val="0"/>
              </w:rPr>
              <w:t>°</w:t>
            </w:r>
          </w:p>
        </w:tc>
        <w:tc>
          <w:tcPr>
            <w:tcW w:w="1210" w:type="dxa"/>
            <w:vMerge w:val="restart"/>
            <w:vAlign w:val="center"/>
          </w:tcPr>
          <w:p w14:paraId="0101B86E" w14:textId="77777777" w:rsidR="00AE3C89" w:rsidRPr="00AE3C89" w:rsidRDefault="00AE3C89" w:rsidP="00AE3C89">
            <w:pPr>
              <w:adjustRightInd w:val="0"/>
              <w:snapToGrid w:val="0"/>
              <w:jc w:val="center"/>
              <w:rPr>
                <w:snapToGrid w:val="0"/>
              </w:rPr>
            </w:pPr>
            <w:r w:rsidRPr="00AE3C89">
              <w:rPr>
                <w:snapToGrid w:val="0"/>
              </w:rPr>
              <w:t>数据年份</w:t>
            </w:r>
          </w:p>
          <w:p w14:paraId="3A0CF7B4" w14:textId="77777777" w:rsidR="00AE3C89" w:rsidRPr="00AE3C89" w:rsidRDefault="00AE3C89" w:rsidP="00AE3C89">
            <w:pPr>
              <w:adjustRightInd w:val="0"/>
              <w:snapToGrid w:val="0"/>
              <w:jc w:val="center"/>
              <w:rPr>
                <w:snapToGrid w:val="0"/>
              </w:rPr>
            </w:pPr>
            <w:r w:rsidRPr="00AE3C89">
              <w:rPr>
                <w:snapToGrid w:val="0"/>
              </w:rPr>
              <w:t>/</w:t>
            </w:r>
            <w:r w:rsidRPr="00AE3C89">
              <w:rPr>
                <w:snapToGrid w:val="0"/>
              </w:rPr>
              <w:t>年</w:t>
            </w:r>
          </w:p>
        </w:tc>
        <w:tc>
          <w:tcPr>
            <w:tcW w:w="3021" w:type="dxa"/>
            <w:vMerge w:val="restart"/>
            <w:vAlign w:val="center"/>
          </w:tcPr>
          <w:p w14:paraId="1E878085" w14:textId="77777777" w:rsidR="00AE3C89" w:rsidRPr="00AE3C89" w:rsidRDefault="00AE3C89" w:rsidP="00AE3C89">
            <w:pPr>
              <w:adjustRightInd w:val="0"/>
              <w:snapToGrid w:val="0"/>
              <w:jc w:val="center"/>
              <w:rPr>
                <w:snapToGrid w:val="0"/>
              </w:rPr>
            </w:pPr>
            <w:r w:rsidRPr="00AE3C89">
              <w:rPr>
                <w:snapToGrid w:val="0"/>
              </w:rPr>
              <w:t>模拟气象要素</w:t>
            </w:r>
          </w:p>
        </w:tc>
        <w:tc>
          <w:tcPr>
            <w:tcW w:w="2036" w:type="dxa"/>
            <w:vMerge w:val="restart"/>
            <w:vAlign w:val="center"/>
          </w:tcPr>
          <w:p w14:paraId="4F5A423C" w14:textId="77777777" w:rsidR="00AE3C89" w:rsidRPr="00AE3C89" w:rsidRDefault="00AE3C89" w:rsidP="00AE3C89">
            <w:pPr>
              <w:adjustRightInd w:val="0"/>
              <w:snapToGrid w:val="0"/>
              <w:jc w:val="center"/>
              <w:rPr>
                <w:snapToGrid w:val="0"/>
              </w:rPr>
            </w:pPr>
            <w:r w:rsidRPr="00AE3C89">
              <w:rPr>
                <w:snapToGrid w:val="0"/>
              </w:rPr>
              <w:t>模拟方式</w:t>
            </w:r>
          </w:p>
        </w:tc>
      </w:tr>
      <w:tr w:rsidR="00AE3C89" w:rsidRPr="00AE3C89" w14:paraId="0AC613EA" w14:textId="77777777" w:rsidTr="00435DFE">
        <w:trPr>
          <w:jc w:val="center"/>
        </w:trPr>
        <w:tc>
          <w:tcPr>
            <w:tcW w:w="1177" w:type="dxa"/>
            <w:vAlign w:val="center"/>
          </w:tcPr>
          <w:p w14:paraId="611A0EEA" w14:textId="77777777" w:rsidR="00AE3C89" w:rsidRPr="00AE3C89" w:rsidRDefault="00AE3C89" w:rsidP="00AE3C89">
            <w:pPr>
              <w:adjustRightInd w:val="0"/>
              <w:snapToGrid w:val="0"/>
              <w:jc w:val="center"/>
              <w:rPr>
                <w:snapToGrid w:val="0"/>
              </w:rPr>
            </w:pPr>
            <w:r w:rsidRPr="00AE3C89">
              <w:rPr>
                <w:snapToGrid w:val="0"/>
              </w:rPr>
              <w:t>经度</w:t>
            </w:r>
          </w:p>
        </w:tc>
        <w:tc>
          <w:tcPr>
            <w:tcW w:w="1273" w:type="dxa"/>
            <w:vAlign w:val="center"/>
          </w:tcPr>
          <w:p w14:paraId="3FBB245D" w14:textId="77777777" w:rsidR="00AE3C89" w:rsidRPr="00AE3C89" w:rsidRDefault="00AE3C89" w:rsidP="00AE3C89">
            <w:pPr>
              <w:adjustRightInd w:val="0"/>
              <w:snapToGrid w:val="0"/>
              <w:jc w:val="center"/>
              <w:rPr>
                <w:snapToGrid w:val="0"/>
              </w:rPr>
            </w:pPr>
            <w:r w:rsidRPr="00AE3C89">
              <w:rPr>
                <w:snapToGrid w:val="0"/>
              </w:rPr>
              <w:t>纬度</w:t>
            </w:r>
          </w:p>
        </w:tc>
        <w:tc>
          <w:tcPr>
            <w:tcW w:w="1210" w:type="dxa"/>
            <w:vMerge/>
            <w:vAlign w:val="center"/>
          </w:tcPr>
          <w:p w14:paraId="096ED935" w14:textId="77777777" w:rsidR="00AE3C89" w:rsidRPr="00AE3C89" w:rsidRDefault="00AE3C89" w:rsidP="00AE3C89">
            <w:pPr>
              <w:adjustRightInd w:val="0"/>
              <w:snapToGrid w:val="0"/>
              <w:jc w:val="center"/>
              <w:rPr>
                <w:snapToGrid w:val="0"/>
              </w:rPr>
            </w:pPr>
          </w:p>
        </w:tc>
        <w:tc>
          <w:tcPr>
            <w:tcW w:w="3021" w:type="dxa"/>
            <w:vMerge/>
            <w:vAlign w:val="center"/>
          </w:tcPr>
          <w:p w14:paraId="7C8F7C6C" w14:textId="77777777" w:rsidR="00AE3C89" w:rsidRPr="00AE3C89" w:rsidRDefault="00AE3C89" w:rsidP="00AE3C89">
            <w:pPr>
              <w:adjustRightInd w:val="0"/>
              <w:snapToGrid w:val="0"/>
              <w:jc w:val="center"/>
              <w:rPr>
                <w:snapToGrid w:val="0"/>
              </w:rPr>
            </w:pPr>
          </w:p>
        </w:tc>
        <w:tc>
          <w:tcPr>
            <w:tcW w:w="2036" w:type="dxa"/>
            <w:vMerge/>
            <w:vAlign w:val="center"/>
          </w:tcPr>
          <w:p w14:paraId="27A547F4" w14:textId="77777777" w:rsidR="00AE3C89" w:rsidRPr="00AE3C89" w:rsidRDefault="00AE3C89" w:rsidP="00AE3C89">
            <w:pPr>
              <w:adjustRightInd w:val="0"/>
              <w:snapToGrid w:val="0"/>
              <w:jc w:val="center"/>
              <w:rPr>
                <w:snapToGrid w:val="0"/>
              </w:rPr>
            </w:pPr>
          </w:p>
        </w:tc>
      </w:tr>
      <w:tr w:rsidR="00AE3C89" w:rsidRPr="00AE3C89" w14:paraId="1E5673D5" w14:textId="77777777" w:rsidTr="00435DFE">
        <w:trPr>
          <w:jc w:val="center"/>
        </w:trPr>
        <w:tc>
          <w:tcPr>
            <w:tcW w:w="1177" w:type="dxa"/>
            <w:vAlign w:val="center"/>
          </w:tcPr>
          <w:p w14:paraId="6BF6BB4B" w14:textId="77777777" w:rsidR="00AE3C89" w:rsidRPr="00AE3C89" w:rsidRDefault="00AE3C89" w:rsidP="00AE3C89">
            <w:pPr>
              <w:adjustRightInd w:val="0"/>
              <w:snapToGrid w:val="0"/>
              <w:jc w:val="center"/>
              <w:rPr>
                <w:snapToGrid w:val="0"/>
              </w:rPr>
            </w:pPr>
            <w:r w:rsidRPr="00AE3C89">
              <w:rPr>
                <w:snapToGrid w:val="0"/>
              </w:rPr>
              <w:t>125.133E</w:t>
            </w:r>
          </w:p>
        </w:tc>
        <w:tc>
          <w:tcPr>
            <w:tcW w:w="1273" w:type="dxa"/>
            <w:vAlign w:val="center"/>
          </w:tcPr>
          <w:p w14:paraId="737C0A6E" w14:textId="77777777" w:rsidR="00AE3C89" w:rsidRPr="00AE3C89" w:rsidRDefault="00AE3C89" w:rsidP="00AE3C89">
            <w:pPr>
              <w:adjustRightInd w:val="0"/>
              <w:snapToGrid w:val="0"/>
              <w:jc w:val="center"/>
              <w:rPr>
                <w:snapToGrid w:val="0"/>
              </w:rPr>
            </w:pPr>
            <w:r w:rsidRPr="00AE3C89">
              <w:rPr>
                <w:snapToGrid w:val="0"/>
              </w:rPr>
              <w:t>46.567N</w:t>
            </w:r>
          </w:p>
        </w:tc>
        <w:tc>
          <w:tcPr>
            <w:tcW w:w="1210" w:type="dxa"/>
            <w:vAlign w:val="center"/>
          </w:tcPr>
          <w:p w14:paraId="78A9043C" w14:textId="24E14104" w:rsidR="00AE3C89" w:rsidRPr="00AE3C89" w:rsidRDefault="00AE3C89" w:rsidP="00AE3C89">
            <w:pPr>
              <w:adjustRightInd w:val="0"/>
              <w:snapToGrid w:val="0"/>
              <w:jc w:val="center"/>
              <w:rPr>
                <w:snapToGrid w:val="0"/>
              </w:rPr>
            </w:pPr>
            <w:r w:rsidRPr="00AE3C89">
              <w:rPr>
                <w:snapToGrid w:val="0"/>
              </w:rPr>
              <w:t>202</w:t>
            </w:r>
            <w:r w:rsidR="00FE469A">
              <w:rPr>
                <w:rFonts w:hint="eastAsia"/>
                <w:snapToGrid w:val="0"/>
              </w:rPr>
              <w:t>3</w:t>
            </w:r>
          </w:p>
        </w:tc>
        <w:tc>
          <w:tcPr>
            <w:tcW w:w="3021" w:type="dxa"/>
            <w:vAlign w:val="center"/>
          </w:tcPr>
          <w:p w14:paraId="07146FC1" w14:textId="77777777" w:rsidR="00AE3C89" w:rsidRPr="00AE3C89" w:rsidRDefault="00AE3C89" w:rsidP="00AE3C89">
            <w:pPr>
              <w:adjustRightInd w:val="0"/>
              <w:snapToGrid w:val="0"/>
              <w:jc w:val="center"/>
              <w:rPr>
                <w:snapToGrid w:val="0"/>
              </w:rPr>
            </w:pPr>
            <w:r w:rsidRPr="00AE3C89">
              <w:rPr>
                <w:snapToGrid w:val="0"/>
              </w:rPr>
              <w:t>大气压、高度、干球温度、</w:t>
            </w:r>
          </w:p>
          <w:p w14:paraId="360FFFA1" w14:textId="77777777" w:rsidR="00AE3C89" w:rsidRPr="00AE3C89" w:rsidRDefault="00AE3C89" w:rsidP="00AE3C89">
            <w:pPr>
              <w:adjustRightInd w:val="0"/>
              <w:snapToGrid w:val="0"/>
              <w:jc w:val="center"/>
              <w:rPr>
                <w:snapToGrid w:val="0"/>
              </w:rPr>
            </w:pPr>
            <w:r w:rsidRPr="00AE3C89">
              <w:rPr>
                <w:snapToGrid w:val="0"/>
              </w:rPr>
              <w:t>露点温度、风向、风速</w:t>
            </w:r>
          </w:p>
        </w:tc>
        <w:tc>
          <w:tcPr>
            <w:tcW w:w="2036" w:type="dxa"/>
            <w:vAlign w:val="center"/>
          </w:tcPr>
          <w:p w14:paraId="1ECE8607" w14:textId="77777777" w:rsidR="00AE3C89" w:rsidRPr="00AE3C89" w:rsidRDefault="00AE3C89" w:rsidP="00AE3C89">
            <w:pPr>
              <w:adjustRightInd w:val="0"/>
              <w:snapToGrid w:val="0"/>
              <w:jc w:val="center"/>
              <w:rPr>
                <w:snapToGrid w:val="0"/>
              </w:rPr>
            </w:pPr>
            <w:r w:rsidRPr="00AE3C89">
              <w:rPr>
                <w:snapToGrid w:val="0"/>
              </w:rPr>
              <w:t>中尺度数值模式</w:t>
            </w:r>
          </w:p>
          <w:p w14:paraId="73F87968" w14:textId="77777777" w:rsidR="00AE3C89" w:rsidRPr="00AE3C89" w:rsidRDefault="00AE3C89" w:rsidP="00AE3C89">
            <w:pPr>
              <w:adjustRightInd w:val="0"/>
              <w:snapToGrid w:val="0"/>
              <w:jc w:val="center"/>
              <w:rPr>
                <w:snapToGrid w:val="0"/>
              </w:rPr>
            </w:pPr>
            <w:r w:rsidRPr="00AE3C89">
              <w:rPr>
                <w:snapToGrid w:val="0"/>
              </w:rPr>
              <w:t>MM5</w:t>
            </w:r>
            <w:r w:rsidRPr="00AE3C89">
              <w:rPr>
                <w:snapToGrid w:val="0"/>
              </w:rPr>
              <w:t>模拟生成</w:t>
            </w:r>
          </w:p>
        </w:tc>
      </w:tr>
    </w:tbl>
    <w:p w14:paraId="4996D7CC" w14:textId="77777777" w:rsidR="00AE3C89" w:rsidRPr="00AE3C89" w:rsidRDefault="00AE3C89" w:rsidP="00AE3C89">
      <w:pPr>
        <w:spacing w:after="120"/>
        <w:ind w:firstLineChars="100" w:firstLine="210"/>
        <w:jc w:val="center"/>
        <w:rPr>
          <w:szCs w:val="24"/>
        </w:rPr>
      </w:pPr>
      <w:r w:rsidRPr="00AE3C89">
        <w:rPr>
          <w:noProof/>
          <w:szCs w:val="24"/>
        </w:rPr>
        <w:lastRenderedPageBreak/>
        <w:drawing>
          <wp:inline distT="0" distB="0" distL="114300" distR="114300" wp14:anchorId="5BD2448C" wp14:editId="2C9C8D32">
            <wp:extent cx="4384040" cy="4220845"/>
            <wp:effectExtent l="0" t="0" r="16510" b="8255"/>
            <wp:docPr id="56"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138"/>
                    <pic:cNvPicPr>
                      <a:picLocks noChangeAspect="1"/>
                    </pic:cNvPicPr>
                  </pic:nvPicPr>
                  <pic:blipFill>
                    <a:blip r:embed="rId81"/>
                    <a:stretch>
                      <a:fillRect/>
                    </a:stretch>
                  </pic:blipFill>
                  <pic:spPr>
                    <a:xfrm>
                      <a:off x="0" y="0"/>
                      <a:ext cx="4384040" cy="4220845"/>
                    </a:xfrm>
                    <a:prstGeom prst="rect">
                      <a:avLst/>
                    </a:prstGeom>
                    <a:noFill/>
                    <a:ln>
                      <a:noFill/>
                    </a:ln>
                  </pic:spPr>
                </pic:pic>
              </a:graphicData>
            </a:graphic>
          </wp:inline>
        </w:drawing>
      </w:r>
    </w:p>
    <w:p w14:paraId="3AE1958F" w14:textId="7303D49F" w:rsidR="00AE3C89" w:rsidRPr="00857E7A" w:rsidRDefault="00AE3C89" w:rsidP="00857E7A">
      <w:pPr>
        <w:pStyle w:val="aff2"/>
        <w:spacing w:after="0"/>
        <w:ind w:firstLineChars="0" w:firstLine="0"/>
        <w:jc w:val="center"/>
        <w:rPr>
          <w:rStyle w:val="Charf"/>
        </w:rPr>
      </w:pPr>
      <w:r w:rsidRPr="00857E7A">
        <w:rPr>
          <w:rStyle w:val="Charf"/>
        </w:rPr>
        <w:t>图</w:t>
      </w:r>
      <w:r w:rsidR="00FE469A" w:rsidRPr="00857E7A">
        <w:rPr>
          <w:rStyle w:val="Charf"/>
        </w:rPr>
        <w:t>6</w:t>
      </w:r>
      <w:r w:rsidRPr="00857E7A">
        <w:rPr>
          <w:rStyle w:val="Charf"/>
        </w:rPr>
        <w:t>.</w:t>
      </w:r>
      <w:r w:rsidR="00857E7A" w:rsidRPr="00857E7A">
        <w:rPr>
          <w:rStyle w:val="Charf"/>
        </w:rPr>
        <w:t>2</w:t>
      </w:r>
      <w:r w:rsidRPr="00857E7A">
        <w:rPr>
          <w:rStyle w:val="Charf"/>
        </w:rPr>
        <w:t xml:space="preserve">-2  </w:t>
      </w:r>
      <w:r w:rsidRPr="00857E7A">
        <w:rPr>
          <w:rStyle w:val="Charf"/>
        </w:rPr>
        <w:t>项目厂址与大庆市气象站位置图</w:t>
      </w:r>
    </w:p>
    <w:p w14:paraId="7B3370BA" w14:textId="3C6629EE" w:rsidR="00AE3C89" w:rsidRPr="00857E7A" w:rsidRDefault="00AE3C89" w:rsidP="005D74E7">
      <w:pPr>
        <w:pStyle w:val="affffff4"/>
      </w:pPr>
      <w:r w:rsidRPr="00857E7A">
        <w:t>由</w:t>
      </w:r>
      <w:r w:rsidR="00FE469A" w:rsidRPr="00857E7A">
        <w:t>上</w:t>
      </w:r>
      <w:r w:rsidRPr="00857E7A">
        <w:t>图可知，厂址距离大庆市气象站</w:t>
      </w:r>
      <w:r w:rsidRPr="00857E7A">
        <w:t>20.122km≤50km</w:t>
      </w:r>
      <w:r w:rsidRPr="00857E7A">
        <w:t>，该气象站的气象数据可作为本项目大气预测气象数据。</w:t>
      </w:r>
    </w:p>
    <w:p w14:paraId="7F789158" w14:textId="1D44923C" w:rsidR="00AE3C89" w:rsidRPr="00857E7A" w:rsidRDefault="00AE3C89" w:rsidP="005D74E7">
      <w:pPr>
        <w:pStyle w:val="affffff4"/>
      </w:pPr>
      <w:r w:rsidRPr="00857E7A">
        <w:t>大庆市环境空气质量逐日数据取得点与被你项目位置关系见图</w:t>
      </w:r>
      <w:r w:rsidR="00FE469A" w:rsidRPr="00857E7A">
        <w:t>6</w:t>
      </w:r>
      <w:r w:rsidRPr="00857E7A">
        <w:t>.1-3</w:t>
      </w:r>
      <w:r w:rsidRPr="00857E7A">
        <w:t>，图中可知，项目距离让胡路监测点（城市点）</w:t>
      </w:r>
      <w:r w:rsidRPr="00857E7A">
        <w:t>22.9km</w:t>
      </w:r>
      <w:r w:rsidRPr="00857E7A">
        <w:t>，萨尔图区监测点（城市点）</w:t>
      </w:r>
      <w:r w:rsidRPr="00857E7A">
        <w:t>19.6km</w:t>
      </w:r>
      <w:r w:rsidRPr="00857E7A">
        <w:t>，龙凤区监测点（城市点）</w:t>
      </w:r>
      <w:r w:rsidRPr="00857E7A">
        <w:t>13.9km</w:t>
      </w:r>
      <w:r w:rsidRPr="00857E7A">
        <w:t>，红岗区监测点（城市点）</w:t>
      </w:r>
      <w:r w:rsidRPr="00857E7A">
        <w:t>8.79km</w:t>
      </w:r>
      <w:r w:rsidRPr="00857E7A">
        <w:t>，大同区监测点（城市点）</w:t>
      </w:r>
      <w:r w:rsidRPr="00857E7A">
        <w:t>46.1km</w:t>
      </w:r>
      <w:r w:rsidRPr="00857E7A">
        <w:t>，本项目环境空气质量逐日数据采用以上五个监测点的平均值，该利用该数据可行。</w:t>
      </w:r>
    </w:p>
    <w:p w14:paraId="4F6CCDE3" w14:textId="77777777" w:rsidR="00AE3C89" w:rsidRPr="00AE3C89" w:rsidRDefault="00AE3C89" w:rsidP="00AE3C89">
      <w:pPr>
        <w:autoSpaceDE w:val="0"/>
        <w:autoSpaceDN w:val="0"/>
        <w:adjustRightInd w:val="0"/>
        <w:spacing w:line="360" w:lineRule="auto"/>
        <w:jc w:val="center"/>
        <w:rPr>
          <w:kern w:val="0"/>
          <w:sz w:val="24"/>
          <w:szCs w:val="22"/>
        </w:rPr>
      </w:pPr>
      <w:r w:rsidRPr="00AE3C89">
        <w:rPr>
          <w:noProof/>
          <w:kern w:val="0"/>
          <w:sz w:val="24"/>
          <w:szCs w:val="20"/>
        </w:rPr>
        <w:lastRenderedPageBreak/>
        <w:drawing>
          <wp:inline distT="0" distB="0" distL="114300" distR="114300" wp14:anchorId="0CE184F1" wp14:editId="42B5D9DB">
            <wp:extent cx="5396865" cy="5942330"/>
            <wp:effectExtent l="0" t="0" r="13335" b="1270"/>
            <wp:docPr id="57"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139"/>
                    <pic:cNvPicPr>
                      <a:picLocks noChangeAspect="1"/>
                    </pic:cNvPicPr>
                  </pic:nvPicPr>
                  <pic:blipFill>
                    <a:blip r:embed="rId82"/>
                    <a:stretch>
                      <a:fillRect/>
                    </a:stretch>
                  </pic:blipFill>
                  <pic:spPr>
                    <a:xfrm>
                      <a:off x="0" y="0"/>
                      <a:ext cx="5396865" cy="5942330"/>
                    </a:xfrm>
                    <a:prstGeom prst="rect">
                      <a:avLst/>
                    </a:prstGeom>
                    <a:noFill/>
                    <a:ln>
                      <a:noFill/>
                    </a:ln>
                  </pic:spPr>
                </pic:pic>
              </a:graphicData>
            </a:graphic>
          </wp:inline>
        </w:drawing>
      </w:r>
    </w:p>
    <w:p w14:paraId="1C234D1E" w14:textId="3B6A1C10" w:rsidR="00AE3C89" w:rsidRPr="00857E7A" w:rsidRDefault="00AE3C89" w:rsidP="00857E7A">
      <w:pPr>
        <w:pStyle w:val="aff2"/>
        <w:spacing w:after="0"/>
        <w:ind w:firstLineChars="0" w:firstLine="0"/>
        <w:jc w:val="center"/>
        <w:rPr>
          <w:rStyle w:val="Charf"/>
        </w:rPr>
      </w:pPr>
      <w:r w:rsidRPr="00857E7A">
        <w:rPr>
          <w:rStyle w:val="Charf"/>
        </w:rPr>
        <w:t>图</w:t>
      </w:r>
      <w:r w:rsidR="00FE469A" w:rsidRPr="00857E7A">
        <w:rPr>
          <w:rStyle w:val="Charf"/>
        </w:rPr>
        <w:t>6</w:t>
      </w:r>
      <w:r w:rsidRPr="00857E7A">
        <w:rPr>
          <w:rStyle w:val="Charf"/>
        </w:rPr>
        <w:t>.</w:t>
      </w:r>
      <w:r w:rsidR="00857E7A" w:rsidRPr="00857E7A">
        <w:rPr>
          <w:rStyle w:val="Charf"/>
        </w:rPr>
        <w:t>2</w:t>
      </w:r>
      <w:r w:rsidRPr="00857E7A">
        <w:rPr>
          <w:rStyle w:val="Charf"/>
        </w:rPr>
        <w:t xml:space="preserve">-3   </w:t>
      </w:r>
      <w:r w:rsidRPr="00857E7A">
        <w:rPr>
          <w:rStyle w:val="Charf"/>
        </w:rPr>
        <w:t>大庆市</w:t>
      </w:r>
      <w:r w:rsidRPr="00857E7A">
        <w:rPr>
          <w:rStyle w:val="Charf"/>
        </w:rPr>
        <w:t>5</w:t>
      </w:r>
      <w:r w:rsidRPr="00857E7A">
        <w:rPr>
          <w:rStyle w:val="Charf"/>
        </w:rPr>
        <w:t>个例行监测点与本项目相对位置关系图</w:t>
      </w:r>
    </w:p>
    <w:p w14:paraId="4EAD7C12" w14:textId="080DEDFA" w:rsidR="00AE3C89" w:rsidRPr="00857E7A" w:rsidRDefault="00AE3C89" w:rsidP="005D74E7">
      <w:pPr>
        <w:pStyle w:val="affffff4"/>
      </w:pPr>
      <w:r w:rsidRPr="00857E7A">
        <w:t>（</w:t>
      </w:r>
      <w:r w:rsidR="00FE469A" w:rsidRPr="00857E7A">
        <w:t>5</w:t>
      </w:r>
      <w:r w:rsidRPr="00857E7A">
        <w:t>）地表参数选取</w:t>
      </w:r>
    </w:p>
    <w:p w14:paraId="707D98D3" w14:textId="77777777" w:rsidR="00AE3C89" w:rsidRPr="00857E7A" w:rsidRDefault="00AE3C89" w:rsidP="005D74E7">
      <w:pPr>
        <w:pStyle w:val="affffff4"/>
      </w:pPr>
      <w:r w:rsidRPr="00857E7A">
        <w:t>根据《环境影响评价技术导则</w:t>
      </w:r>
      <w:r w:rsidRPr="00857E7A">
        <w:t xml:space="preserve"> </w:t>
      </w:r>
      <w:r w:rsidRPr="00857E7A">
        <w:t>大气环境》（</w:t>
      </w:r>
      <w:r w:rsidRPr="00857E7A">
        <w:t>HJ2.2-2018</w:t>
      </w:r>
      <w:r w:rsidRPr="00857E7A">
        <w:t>）附录</w:t>
      </w:r>
      <w:r w:rsidRPr="00857E7A">
        <w:t>B</w:t>
      </w:r>
      <w:r w:rsidRPr="00857E7A">
        <w:t>推荐模型参数及说明中</w:t>
      </w:r>
      <w:r w:rsidRPr="00857E7A">
        <w:t>B.5</w:t>
      </w:r>
      <w:r w:rsidRPr="00857E7A">
        <w:t>地表参数要求，</w:t>
      </w:r>
      <w:r w:rsidRPr="00857E7A">
        <w:t>AERMOD</w:t>
      </w:r>
      <w:r w:rsidRPr="00857E7A">
        <w:t>地表参数一般根据项目周边</w:t>
      </w:r>
      <w:r w:rsidRPr="00857E7A">
        <w:t>3km</w:t>
      </w:r>
      <w:r w:rsidRPr="00857E7A">
        <w:t>范围内的土地利用类型进行合理划分。本项目厂址周边</w:t>
      </w:r>
      <w:r w:rsidRPr="00857E7A">
        <w:t>3km</w:t>
      </w:r>
      <w:r w:rsidRPr="00857E7A">
        <w:t>范围内有一半以上的土地利用类型为农田，因此本项目大气预测采用的</w:t>
      </w:r>
      <w:r w:rsidRPr="00857E7A">
        <w:t>AERMOD</w:t>
      </w:r>
      <w:r w:rsidRPr="00857E7A">
        <w:t>预测模型中土地利用类型为农作地。地面特征参数表见下表。</w:t>
      </w:r>
    </w:p>
    <w:p w14:paraId="1D5CD223" w14:textId="6C4AED45" w:rsidR="00AE3C89" w:rsidRPr="00FE469A" w:rsidRDefault="00AE3C89" w:rsidP="00FE469A">
      <w:pPr>
        <w:pStyle w:val="affffff5"/>
        <w:tabs>
          <w:tab w:val="left" w:pos="0"/>
        </w:tabs>
        <w:ind w:firstLine="400"/>
      </w:pPr>
      <w:r w:rsidRPr="00FE469A">
        <w:t>表</w:t>
      </w:r>
      <w:r w:rsidR="00FE469A" w:rsidRPr="00FE469A">
        <w:rPr>
          <w:rFonts w:hint="eastAsia"/>
        </w:rPr>
        <w:t>6</w:t>
      </w:r>
      <w:r w:rsidRPr="00FE469A">
        <w:t>.</w:t>
      </w:r>
      <w:r w:rsidR="00D51CED">
        <w:rPr>
          <w:rFonts w:hint="eastAsia"/>
        </w:rPr>
        <w:t>2</w:t>
      </w:r>
      <w:r w:rsidRPr="00FE469A">
        <w:t>-</w:t>
      </w:r>
      <w:r w:rsidR="004F102D">
        <w:rPr>
          <w:rFonts w:hint="eastAsia"/>
        </w:rPr>
        <w:t>3</w:t>
      </w:r>
      <w:r w:rsidRPr="00FE469A">
        <w:t xml:space="preserve">  </w:t>
      </w:r>
      <w:r w:rsidRPr="00FE469A">
        <w:t>地表参数选取表</w:t>
      </w:r>
    </w:p>
    <w:tbl>
      <w:tblPr>
        <w:tblStyle w:val="1f"/>
        <w:tblW w:w="4992" w:type="pct"/>
        <w:jc w:val="center"/>
        <w:tblLayout w:type="fixed"/>
        <w:tblLook w:val="04A0" w:firstRow="1" w:lastRow="0" w:firstColumn="1" w:lastColumn="0" w:noHBand="0" w:noVBand="1"/>
      </w:tblPr>
      <w:tblGrid>
        <w:gridCol w:w="613"/>
        <w:gridCol w:w="1117"/>
        <w:gridCol w:w="1161"/>
        <w:gridCol w:w="1568"/>
        <w:gridCol w:w="1478"/>
        <w:gridCol w:w="1164"/>
        <w:gridCol w:w="923"/>
        <w:gridCol w:w="796"/>
      </w:tblGrid>
      <w:tr w:rsidR="00AE3C89" w:rsidRPr="00D51CED" w14:paraId="7396F3A8" w14:textId="77777777" w:rsidTr="00D51CED">
        <w:trPr>
          <w:trHeight w:val="397"/>
          <w:jc w:val="center"/>
        </w:trPr>
        <w:tc>
          <w:tcPr>
            <w:tcW w:w="348" w:type="pct"/>
            <w:vAlign w:val="center"/>
          </w:tcPr>
          <w:p w14:paraId="0CF64962" w14:textId="77777777" w:rsidR="00AE3C89" w:rsidRPr="00D51CED" w:rsidRDefault="00AE3C89" w:rsidP="00D51CED">
            <w:pPr>
              <w:adjustRightInd w:val="0"/>
              <w:snapToGrid w:val="0"/>
              <w:spacing w:line="240" w:lineRule="auto"/>
              <w:ind w:firstLineChars="0" w:firstLine="0"/>
              <w:jc w:val="center"/>
              <w:rPr>
                <w:snapToGrid w:val="0"/>
              </w:rPr>
            </w:pPr>
            <w:r w:rsidRPr="00D51CED">
              <w:rPr>
                <w:snapToGrid w:val="0"/>
              </w:rPr>
              <w:t>序号</w:t>
            </w:r>
          </w:p>
        </w:tc>
        <w:tc>
          <w:tcPr>
            <w:tcW w:w="633" w:type="pct"/>
            <w:vAlign w:val="center"/>
          </w:tcPr>
          <w:p w14:paraId="5F69DEB6" w14:textId="77777777" w:rsidR="00AE3C89" w:rsidRPr="00D51CED" w:rsidRDefault="00AE3C89" w:rsidP="00D51CED">
            <w:pPr>
              <w:adjustRightInd w:val="0"/>
              <w:snapToGrid w:val="0"/>
              <w:spacing w:line="240" w:lineRule="auto"/>
              <w:ind w:firstLineChars="0" w:firstLine="0"/>
              <w:jc w:val="center"/>
              <w:rPr>
                <w:snapToGrid w:val="0"/>
              </w:rPr>
            </w:pPr>
            <w:r w:rsidRPr="00D51CED">
              <w:rPr>
                <w:snapToGrid w:val="0"/>
              </w:rPr>
              <w:t>扇区</w:t>
            </w:r>
          </w:p>
        </w:tc>
        <w:tc>
          <w:tcPr>
            <w:tcW w:w="658" w:type="pct"/>
            <w:vAlign w:val="center"/>
          </w:tcPr>
          <w:p w14:paraId="7B91C91A" w14:textId="77777777" w:rsidR="00AE3C89" w:rsidRPr="00D51CED" w:rsidRDefault="00AE3C89" w:rsidP="00D51CED">
            <w:pPr>
              <w:adjustRightInd w:val="0"/>
              <w:snapToGrid w:val="0"/>
              <w:spacing w:line="240" w:lineRule="auto"/>
              <w:ind w:firstLineChars="0" w:firstLine="0"/>
              <w:jc w:val="center"/>
              <w:rPr>
                <w:snapToGrid w:val="0"/>
              </w:rPr>
            </w:pPr>
            <w:r w:rsidRPr="00D51CED">
              <w:rPr>
                <w:snapToGrid w:val="0"/>
              </w:rPr>
              <w:t>通用地表类型</w:t>
            </w:r>
          </w:p>
        </w:tc>
        <w:tc>
          <w:tcPr>
            <w:tcW w:w="889" w:type="pct"/>
            <w:vAlign w:val="center"/>
          </w:tcPr>
          <w:p w14:paraId="22DCD43F" w14:textId="77777777" w:rsidR="00AE3C89" w:rsidRPr="00D51CED" w:rsidRDefault="00AE3C89" w:rsidP="00D51CED">
            <w:pPr>
              <w:adjustRightInd w:val="0"/>
              <w:snapToGrid w:val="0"/>
              <w:spacing w:line="240" w:lineRule="auto"/>
              <w:ind w:firstLineChars="0" w:firstLine="0"/>
              <w:jc w:val="center"/>
              <w:rPr>
                <w:snapToGrid w:val="0"/>
              </w:rPr>
            </w:pPr>
            <w:r w:rsidRPr="00D51CED">
              <w:rPr>
                <w:snapToGrid w:val="0"/>
              </w:rPr>
              <w:t>通用地表湿度</w:t>
            </w:r>
          </w:p>
        </w:tc>
        <w:tc>
          <w:tcPr>
            <w:tcW w:w="838" w:type="pct"/>
            <w:vAlign w:val="center"/>
          </w:tcPr>
          <w:p w14:paraId="0CC73AA6" w14:textId="77777777" w:rsidR="00AE3C89" w:rsidRPr="00D51CED" w:rsidRDefault="00AE3C89" w:rsidP="00D51CED">
            <w:pPr>
              <w:adjustRightInd w:val="0"/>
              <w:snapToGrid w:val="0"/>
              <w:spacing w:line="240" w:lineRule="auto"/>
              <w:ind w:firstLineChars="0" w:firstLine="0"/>
              <w:jc w:val="center"/>
              <w:rPr>
                <w:snapToGrid w:val="0"/>
              </w:rPr>
            </w:pPr>
            <w:r w:rsidRPr="00D51CED">
              <w:rPr>
                <w:snapToGrid w:val="0"/>
              </w:rPr>
              <w:t>时段</w:t>
            </w:r>
          </w:p>
        </w:tc>
        <w:tc>
          <w:tcPr>
            <w:tcW w:w="660" w:type="pct"/>
            <w:vAlign w:val="center"/>
          </w:tcPr>
          <w:p w14:paraId="5221A9E7" w14:textId="77777777" w:rsidR="00AE3C89" w:rsidRPr="00D51CED" w:rsidRDefault="00AE3C89" w:rsidP="00D51CED">
            <w:pPr>
              <w:adjustRightInd w:val="0"/>
              <w:snapToGrid w:val="0"/>
              <w:spacing w:line="240" w:lineRule="auto"/>
              <w:ind w:firstLineChars="0" w:firstLine="0"/>
              <w:jc w:val="center"/>
              <w:rPr>
                <w:snapToGrid w:val="0"/>
              </w:rPr>
            </w:pPr>
            <w:r w:rsidRPr="00D51CED">
              <w:rPr>
                <w:snapToGrid w:val="0"/>
              </w:rPr>
              <w:t>正午反照率</w:t>
            </w:r>
          </w:p>
        </w:tc>
        <w:tc>
          <w:tcPr>
            <w:tcW w:w="523" w:type="pct"/>
            <w:vAlign w:val="center"/>
          </w:tcPr>
          <w:p w14:paraId="707FD436" w14:textId="77777777" w:rsidR="00AE3C89" w:rsidRPr="00D51CED" w:rsidRDefault="00AE3C89" w:rsidP="00D51CED">
            <w:pPr>
              <w:adjustRightInd w:val="0"/>
              <w:snapToGrid w:val="0"/>
              <w:spacing w:line="240" w:lineRule="auto"/>
              <w:ind w:firstLineChars="0" w:firstLine="0"/>
              <w:jc w:val="center"/>
              <w:rPr>
                <w:snapToGrid w:val="0"/>
              </w:rPr>
            </w:pPr>
            <w:r w:rsidRPr="00D51CED">
              <w:rPr>
                <w:snapToGrid w:val="0"/>
              </w:rPr>
              <w:t>BOWEN</w:t>
            </w:r>
          </w:p>
        </w:tc>
        <w:tc>
          <w:tcPr>
            <w:tcW w:w="451" w:type="pct"/>
            <w:vAlign w:val="center"/>
          </w:tcPr>
          <w:p w14:paraId="72FD1EE4" w14:textId="77777777" w:rsidR="00AE3C89" w:rsidRPr="00D51CED" w:rsidRDefault="00AE3C89" w:rsidP="00D51CED">
            <w:pPr>
              <w:adjustRightInd w:val="0"/>
              <w:snapToGrid w:val="0"/>
              <w:spacing w:line="240" w:lineRule="auto"/>
              <w:ind w:firstLineChars="0" w:firstLine="0"/>
              <w:jc w:val="center"/>
              <w:rPr>
                <w:snapToGrid w:val="0"/>
              </w:rPr>
            </w:pPr>
            <w:r w:rsidRPr="00D51CED">
              <w:rPr>
                <w:snapToGrid w:val="0"/>
              </w:rPr>
              <w:t>粗糙度</w:t>
            </w:r>
          </w:p>
        </w:tc>
      </w:tr>
      <w:tr w:rsidR="00AE3C89" w:rsidRPr="00D51CED" w14:paraId="2640A026" w14:textId="77777777" w:rsidTr="00D51CED">
        <w:trPr>
          <w:trHeight w:val="397"/>
          <w:jc w:val="center"/>
        </w:trPr>
        <w:tc>
          <w:tcPr>
            <w:tcW w:w="348" w:type="pct"/>
            <w:vAlign w:val="center"/>
          </w:tcPr>
          <w:p w14:paraId="010E645A" w14:textId="77777777" w:rsidR="00AE3C89" w:rsidRPr="00D51CED" w:rsidRDefault="00AE3C89" w:rsidP="00D51CED">
            <w:pPr>
              <w:adjustRightInd w:val="0"/>
              <w:snapToGrid w:val="0"/>
              <w:spacing w:line="240" w:lineRule="auto"/>
              <w:ind w:firstLineChars="0" w:firstLine="0"/>
              <w:jc w:val="center"/>
              <w:rPr>
                <w:snapToGrid w:val="0"/>
              </w:rPr>
            </w:pPr>
            <w:r w:rsidRPr="00D51CED">
              <w:rPr>
                <w:snapToGrid w:val="0"/>
              </w:rPr>
              <w:t>1</w:t>
            </w:r>
          </w:p>
        </w:tc>
        <w:tc>
          <w:tcPr>
            <w:tcW w:w="633" w:type="pct"/>
            <w:vAlign w:val="center"/>
          </w:tcPr>
          <w:p w14:paraId="202C8EF7" w14:textId="77777777" w:rsidR="00AE3C89" w:rsidRPr="00D51CED" w:rsidRDefault="00AE3C89" w:rsidP="00D51CED">
            <w:pPr>
              <w:adjustRightInd w:val="0"/>
              <w:snapToGrid w:val="0"/>
              <w:spacing w:line="240" w:lineRule="auto"/>
              <w:ind w:firstLineChars="0" w:firstLine="0"/>
              <w:jc w:val="center"/>
              <w:rPr>
                <w:snapToGrid w:val="0"/>
              </w:rPr>
            </w:pPr>
            <w:r w:rsidRPr="00D51CED">
              <w:rPr>
                <w:snapToGrid w:val="0"/>
              </w:rPr>
              <w:t>0-360</w:t>
            </w:r>
          </w:p>
        </w:tc>
        <w:tc>
          <w:tcPr>
            <w:tcW w:w="658" w:type="pct"/>
            <w:vMerge w:val="restart"/>
            <w:vAlign w:val="center"/>
          </w:tcPr>
          <w:p w14:paraId="68754B08" w14:textId="77777777" w:rsidR="00AE3C89" w:rsidRPr="00D51CED" w:rsidRDefault="00AE3C89" w:rsidP="00D51CED">
            <w:pPr>
              <w:adjustRightInd w:val="0"/>
              <w:snapToGrid w:val="0"/>
              <w:spacing w:line="240" w:lineRule="auto"/>
              <w:ind w:firstLineChars="0" w:firstLine="0"/>
              <w:jc w:val="center"/>
              <w:rPr>
                <w:snapToGrid w:val="0"/>
              </w:rPr>
            </w:pPr>
            <w:r w:rsidRPr="00D51CED">
              <w:rPr>
                <w:snapToGrid w:val="0"/>
              </w:rPr>
              <w:t>农作地</w:t>
            </w:r>
          </w:p>
        </w:tc>
        <w:tc>
          <w:tcPr>
            <w:tcW w:w="889" w:type="pct"/>
            <w:vMerge w:val="restart"/>
            <w:vAlign w:val="center"/>
          </w:tcPr>
          <w:p w14:paraId="76CC6B2D" w14:textId="77777777" w:rsidR="00AE3C89" w:rsidRPr="00D51CED" w:rsidRDefault="00AE3C89" w:rsidP="00D51CED">
            <w:pPr>
              <w:adjustRightInd w:val="0"/>
              <w:snapToGrid w:val="0"/>
              <w:spacing w:line="240" w:lineRule="auto"/>
              <w:ind w:firstLineChars="0" w:firstLine="0"/>
              <w:jc w:val="center"/>
              <w:rPr>
                <w:snapToGrid w:val="0"/>
              </w:rPr>
            </w:pPr>
            <w:r w:rsidRPr="00D51CED">
              <w:rPr>
                <w:snapToGrid w:val="0"/>
              </w:rPr>
              <w:t>中等湿度气候</w:t>
            </w:r>
          </w:p>
        </w:tc>
        <w:tc>
          <w:tcPr>
            <w:tcW w:w="838" w:type="pct"/>
            <w:vAlign w:val="center"/>
          </w:tcPr>
          <w:p w14:paraId="1B3889D9" w14:textId="77777777" w:rsidR="00AE3C89" w:rsidRPr="00D51CED" w:rsidRDefault="00AE3C89" w:rsidP="00D51CED">
            <w:pPr>
              <w:adjustRightInd w:val="0"/>
              <w:snapToGrid w:val="0"/>
              <w:spacing w:line="240" w:lineRule="auto"/>
              <w:ind w:firstLineChars="0" w:firstLine="0"/>
              <w:jc w:val="center"/>
              <w:rPr>
                <w:snapToGrid w:val="0"/>
              </w:rPr>
            </w:pPr>
            <w:r w:rsidRPr="00D51CED">
              <w:rPr>
                <w:snapToGrid w:val="0"/>
              </w:rPr>
              <w:t>冬季</w:t>
            </w:r>
          </w:p>
          <w:p w14:paraId="630CFDE8" w14:textId="77777777" w:rsidR="00AE3C89" w:rsidRPr="00D51CED" w:rsidRDefault="00AE3C89" w:rsidP="00D51CED">
            <w:pPr>
              <w:adjustRightInd w:val="0"/>
              <w:snapToGrid w:val="0"/>
              <w:spacing w:line="240" w:lineRule="auto"/>
              <w:ind w:firstLineChars="0" w:firstLine="0"/>
              <w:jc w:val="center"/>
              <w:rPr>
                <w:snapToGrid w:val="0"/>
              </w:rPr>
            </w:pPr>
            <w:r w:rsidRPr="00D51CED">
              <w:rPr>
                <w:snapToGrid w:val="0"/>
              </w:rPr>
              <w:t>(12,1,2</w:t>
            </w:r>
            <w:r w:rsidRPr="00D51CED">
              <w:rPr>
                <w:snapToGrid w:val="0"/>
              </w:rPr>
              <w:t>月</w:t>
            </w:r>
            <w:r w:rsidRPr="00D51CED">
              <w:rPr>
                <w:snapToGrid w:val="0"/>
              </w:rPr>
              <w:t>)</w:t>
            </w:r>
          </w:p>
        </w:tc>
        <w:tc>
          <w:tcPr>
            <w:tcW w:w="660" w:type="pct"/>
            <w:vAlign w:val="center"/>
          </w:tcPr>
          <w:p w14:paraId="04759057" w14:textId="77777777" w:rsidR="00AE3C89" w:rsidRPr="00D51CED" w:rsidRDefault="00AE3C89" w:rsidP="00D51CED">
            <w:pPr>
              <w:adjustRightInd w:val="0"/>
              <w:snapToGrid w:val="0"/>
              <w:spacing w:line="240" w:lineRule="auto"/>
              <w:ind w:firstLineChars="0" w:firstLine="0"/>
              <w:jc w:val="center"/>
              <w:rPr>
                <w:snapToGrid w:val="0"/>
              </w:rPr>
            </w:pPr>
            <w:r w:rsidRPr="00D51CED">
              <w:rPr>
                <w:snapToGrid w:val="0"/>
              </w:rPr>
              <w:t>0.6</w:t>
            </w:r>
          </w:p>
        </w:tc>
        <w:tc>
          <w:tcPr>
            <w:tcW w:w="523" w:type="pct"/>
            <w:vAlign w:val="center"/>
          </w:tcPr>
          <w:p w14:paraId="2D2F1207" w14:textId="77777777" w:rsidR="00AE3C89" w:rsidRPr="00D51CED" w:rsidRDefault="00AE3C89" w:rsidP="00D51CED">
            <w:pPr>
              <w:adjustRightInd w:val="0"/>
              <w:snapToGrid w:val="0"/>
              <w:spacing w:line="240" w:lineRule="auto"/>
              <w:ind w:firstLineChars="0" w:firstLine="0"/>
              <w:jc w:val="center"/>
              <w:rPr>
                <w:snapToGrid w:val="0"/>
              </w:rPr>
            </w:pPr>
            <w:r w:rsidRPr="00D51CED">
              <w:rPr>
                <w:snapToGrid w:val="0"/>
              </w:rPr>
              <w:t>1.5</w:t>
            </w:r>
          </w:p>
        </w:tc>
        <w:tc>
          <w:tcPr>
            <w:tcW w:w="451" w:type="pct"/>
            <w:vAlign w:val="center"/>
          </w:tcPr>
          <w:p w14:paraId="01D367C5" w14:textId="77777777" w:rsidR="00AE3C89" w:rsidRPr="00D51CED" w:rsidRDefault="00AE3C89" w:rsidP="00D51CED">
            <w:pPr>
              <w:adjustRightInd w:val="0"/>
              <w:snapToGrid w:val="0"/>
              <w:spacing w:line="240" w:lineRule="auto"/>
              <w:ind w:firstLineChars="0" w:firstLine="0"/>
              <w:jc w:val="center"/>
              <w:rPr>
                <w:snapToGrid w:val="0"/>
              </w:rPr>
            </w:pPr>
            <w:r w:rsidRPr="00D51CED">
              <w:rPr>
                <w:snapToGrid w:val="0"/>
              </w:rPr>
              <w:t>0.01</w:t>
            </w:r>
          </w:p>
        </w:tc>
      </w:tr>
      <w:tr w:rsidR="00AE3C89" w:rsidRPr="00D51CED" w14:paraId="6D5E83F6" w14:textId="77777777" w:rsidTr="00D51CED">
        <w:trPr>
          <w:trHeight w:val="397"/>
          <w:jc w:val="center"/>
        </w:trPr>
        <w:tc>
          <w:tcPr>
            <w:tcW w:w="348" w:type="pct"/>
            <w:vAlign w:val="center"/>
          </w:tcPr>
          <w:p w14:paraId="184C9266" w14:textId="77777777" w:rsidR="00AE3C89" w:rsidRPr="00D51CED" w:rsidRDefault="00AE3C89" w:rsidP="00D51CED">
            <w:pPr>
              <w:adjustRightInd w:val="0"/>
              <w:snapToGrid w:val="0"/>
              <w:spacing w:line="240" w:lineRule="auto"/>
              <w:ind w:firstLineChars="0" w:firstLine="0"/>
              <w:jc w:val="center"/>
              <w:rPr>
                <w:snapToGrid w:val="0"/>
              </w:rPr>
            </w:pPr>
            <w:r w:rsidRPr="00D51CED">
              <w:rPr>
                <w:snapToGrid w:val="0"/>
              </w:rPr>
              <w:lastRenderedPageBreak/>
              <w:t>2</w:t>
            </w:r>
          </w:p>
        </w:tc>
        <w:tc>
          <w:tcPr>
            <w:tcW w:w="633" w:type="pct"/>
            <w:vAlign w:val="center"/>
          </w:tcPr>
          <w:p w14:paraId="4C990D33" w14:textId="77777777" w:rsidR="00AE3C89" w:rsidRPr="00D51CED" w:rsidRDefault="00AE3C89" w:rsidP="00D51CED">
            <w:pPr>
              <w:adjustRightInd w:val="0"/>
              <w:snapToGrid w:val="0"/>
              <w:spacing w:line="240" w:lineRule="auto"/>
              <w:ind w:firstLineChars="0" w:firstLine="0"/>
              <w:jc w:val="center"/>
              <w:rPr>
                <w:snapToGrid w:val="0"/>
              </w:rPr>
            </w:pPr>
            <w:r w:rsidRPr="00D51CED">
              <w:rPr>
                <w:snapToGrid w:val="0"/>
              </w:rPr>
              <w:t>0-360</w:t>
            </w:r>
          </w:p>
        </w:tc>
        <w:tc>
          <w:tcPr>
            <w:tcW w:w="658" w:type="pct"/>
            <w:vMerge/>
            <w:vAlign w:val="center"/>
          </w:tcPr>
          <w:p w14:paraId="269C3592" w14:textId="77777777" w:rsidR="00AE3C89" w:rsidRPr="00D51CED" w:rsidRDefault="00AE3C89" w:rsidP="00D51CED">
            <w:pPr>
              <w:adjustRightInd w:val="0"/>
              <w:snapToGrid w:val="0"/>
              <w:spacing w:line="240" w:lineRule="auto"/>
              <w:ind w:firstLineChars="0" w:firstLine="0"/>
              <w:jc w:val="center"/>
              <w:rPr>
                <w:snapToGrid w:val="0"/>
              </w:rPr>
            </w:pPr>
          </w:p>
        </w:tc>
        <w:tc>
          <w:tcPr>
            <w:tcW w:w="889" w:type="pct"/>
            <w:vMerge/>
            <w:vAlign w:val="center"/>
          </w:tcPr>
          <w:p w14:paraId="51BFE5EC" w14:textId="77777777" w:rsidR="00AE3C89" w:rsidRPr="00D51CED" w:rsidRDefault="00AE3C89" w:rsidP="00D51CED">
            <w:pPr>
              <w:adjustRightInd w:val="0"/>
              <w:snapToGrid w:val="0"/>
              <w:spacing w:line="240" w:lineRule="auto"/>
              <w:ind w:firstLineChars="0" w:firstLine="0"/>
              <w:jc w:val="center"/>
              <w:rPr>
                <w:snapToGrid w:val="0"/>
              </w:rPr>
            </w:pPr>
          </w:p>
        </w:tc>
        <w:tc>
          <w:tcPr>
            <w:tcW w:w="838" w:type="pct"/>
            <w:vAlign w:val="center"/>
          </w:tcPr>
          <w:p w14:paraId="49E47E4D" w14:textId="77777777" w:rsidR="00AE3C89" w:rsidRPr="00D51CED" w:rsidRDefault="00AE3C89" w:rsidP="00D51CED">
            <w:pPr>
              <w:adjustRightInd w:val="0"/>
              <w:snapToGrid w:val="0"/>
              <w:spacing w:line="240" w:lineRule="auto"/>
              <w:ind w:firstLineChars="0" w:firstLine="0"/>
              <w:jc w:val="center"/>
              <w:rPr>
                <w:snapToGrid w:val="0"/>
              </w:rPr>
            </w:pPr>
            <w:r w:rsidRPr="00D51CED">
              <w:rPr>
                <w:snapToGrid w:val="0"/>
              </w:rPr>
              <w:t>春季</w:t>
            </w:r>
          </w:p>
          <w:p w14:paraId="5DCE3B91" w14:textId="77777777" w:rsidR="00AE3C89" w:rsidRPr="00D51CED" w:rsidRDefault="00AE3C89" w:rsidP="00D51CED">
            <w:pPr>
              <w:adjustRightInd w:val="0"/>
              <w:snapToGrid w:val="0"/>
              <w:spacing w:line="240" w:lineRule="auto"/>
              <w:ind w:firstLineChars="0" w:firstLine="0"/>
              <w:jc w:val="center"/>
              <w:rPr>
                <w:snapToGrid w:val="0"/>
              </w:rPr>
            </w:pPr>
            <w:r w:rsidRPr="00D51CED">
              <w:rPr>
                <w:snapToGrid w:val="0"/>
              </w:rPr>
              <w:t>(3,4,5</w:t>
            </w:r>
            <w:r w:rsidRPr="00D51CED">
              <w:rPr>
                <w:snapToGrid w:val="0"/>
              </w:rPr>
              <w:t>月</w:t>
            </w:r>
            <w:r w:rsidRPr="00D51CED">
              <w:rPr>
                <w:snapToGrid w:val="0"/>
              </w:rPr>
              <w:t>)</w:t>
            </w:r>
          </w:p>
        </w:tc>
        <w:tc>
          <w:tcPr>
            <w:tcW w:w="660" w:type="pct"/>
            <w:vAlign w:val="center"/>
          </w:tcPr>
          <w:p w14:paraId="4BD02395" w14:textId="77777777" w:rsidR="00AE3C89" w:rsidRPr="00D51CED" w:rsidRDefault="00AE3C89" w:rsidP="00D51CED">
            <w:pPr>
              <w:adjustRightInd w:val="0"/>
              <w:snapToGrid w:val="0"/>
              <w:spacing w:line="240" w:lineRule="auto"/>
              <w:ind w:firstLineChars="0" w:firstLine="0"/>
              <w:jc w:val="center"/>
              <w:rPr>
                <w:snapToGrid w:val="0"/>
              </w:rPr>
            </w:pPr>
            <w:r w:rsidRPr="00D51CED">
              <w:rPr>
                <w:snapToGrid w:val="0"/>
              </w:rPr>
              <w:t>0.14</w:t>
            </w:r>
          </w:p>
        </w:tc>
        <w:tc>
          <w:tcPr>
            <w:tcW w:w="523" w:type="pct"/>
            <w:vAlign w:val="center"/>
          </w:tcPr>
          <w:p w14:paraId="0AF1F947" w14:textId="77777777" w:rsidR="00AE3C89" w:rsidRPr="00D51CED" w:rsidRDefault="00AE3C89" w:rsidP="00D51CED">
            <w:pPr>
              <w:adjustRightInd w:val="0"/>
              <w:snapToGrid w:val="0"/>
              <w:spacing w:line="240" w:lineRule="auto"/>
              <w:ind w:firstLineChars="0" w:firstLine="0"/>
              <w:jc w:val="center"/>
              <w:rPr>
                <w:snapToGrid w:val="0"/>
              </w:rPr>
            </w:pPr>
            <w:r w:rsidRPr="00D51CED">
              <w:rPr>
                <w:snapToGrid w:val="0"/>
              </w:rPr>
              <w:t>0.3</w:t>
            </w:r>
          </w:p>
        </w:tc>
        <w:tc>
          <w:tcPr>
            <w:tcW w:w="451" w:type="pct"/>
            <w:vAlign w:val="center"/>
          </w:tcPr>
          <w:p w14:paraId="7FF4CCB7" w14:textId="77777777" w:rsidR="00AE3C89" w:rsidRPr="00D51CED" w:rsidRDefault="00AE3C89" w:rsidP="00D51CED">
            <w:pPr>
              <w:adjustRightInd w:val="0"/>
              <w:snapToGrid w:val="0"/>
              <w:spacing w:line="240" w:lineRule="auto"/>
              <w:ind w:firstLineChars="0" w:firstLine="0"/>
              <w:jc w:val="center"/>
              <w:rPr>
                <w:snapToGrid w:val="0"/>
              </w:rPr>
            </w:pPr>
            <w:r w:rsidRPr="00D51CED">
              <w:rPr>
                <w:snapToGrid w:val="0"/>
              </w:rPr>
              <w:t>0.03</w:t>
            </w:r>
          </w:p>
        </w:tc>
      </w:tr>
      <w:tr w:rsidR="00AE3C89" w:rsidRPr="00D51CED" w14:paraId="27C97607" w14:textId="77777777" w:rsidTr="00D51CED">
        <w:trPr>
          <w:trHeight w:val="397"/>
          <w:jc w:val="center"/>
        </w:trPr>
        <w:tc>
          <w:tcPr>
            <w:tcW w:w="348" w:type="pct"/>
            <w:vAlign w:val="center"/>
          </w:tcPr>
          <w:p w14:paraId="5DF95B64" w14:textId="77777777" w:rsidR="00AE3C89" w:rsidRPr="00D51CED" w:rsidRDefault="00AE3C89" w:rsidP="00D51CED">
            <w:pPr>
              <w:adjustRightInd w:val="0"/>
              <w:snapToGrid w:val="0"/>
              <w:spacing w:line="240" w:lineRule="auto"/>
              <w:ind w:firstLineChars="0" w:firstLine="0"/>
              <w:jc w:val="center"/>
              <w:rPr>
                <w:snapToGrid w:val="0"/>
              </w:rPr>
            </w:pPr>
            <w:r w:rsidRPr="00D51CED">
              <w:rPr>
                <w:snapToGrid w:val="0"/>
              </w:rPr>
              <w:t>3</w:t>
            </w:r>
          </w:p>
        </w:tc>
        <w:tc>
          <w:tcPr>
            <w:tcW w:w="633" w:type="pct"/>
            <w:vAlign w:val="center"/>
          </w:tcPr>
          <w:p w14:paraId="4234023D" w14:textId="77777777" w:rsidR="00AE3C89" w:rsidRPr="00D51CED" w:rsidRDefault="00AE3C89" w:rsidP="00D51CED">
            <w:pPr>
              <w:adjustRightInd w:val="0"/>
              <w:snapToGrid w:val="0"/>
              <w:spacing w:line="240" w:lineRule="auto"/>
              <w:ind w:firstLineChars="0" w:firstLine="0"/>
              <w:jc w:val="center"/>
              <w:rPr>
                <w:snapToGrid w:val="0"/>
              </w:rPr>
            </w:pPr>
            <w:r w:rsidRPr="00D51CED">
              <w:rPr>
                <w:snapToGrid w:val="0"/>
              </w:rPr>
              <w:t>0-360</w:t>
            </w:r>
          </w:p>
        </w:tc>
        <w:tc>
          <w:tcPr>
            <w:tcW w:w="658" w:type="pct"/>
            <w:vMerge/>
            <w:vAlign w:val="center"/>
          </w:tcPr>
          <w:p w14:paraId="6046C21D" w14:textId="77777777" w:rsidR="00AE3C89" w:rsidRPr="00D51CED" w:rsidRDefault="00AE3C89" w:rsidP="00D51CED">
            <w:pPr>
              <w:adjustRightInd w:val="0"/>
              <w:snapToGrid w:val="0"/>
              <w:spacing w:line="240" w:lineRule="auto"/>
              <w:ind w:firstLineChars="0" w:firstLine="0"/>
              <w:jc w:val="center"/>
              <w:rPr>
                <w:snapToGrid w:val="0"/>
              </w:rPr>
            </w:pPr>
          </w:p>
        </w:tc>
        <w:tc>
          <w:tcPr>
            <w:tcW w:w="889" w:type="pct"/>
            <w:vMerge/>
            <w:vAlign w:val="center"/>
          </w:tcPr>
          <w:p w14:paraId="1591B837" w14:textId="77777777" w:rsidR="00AE3C89" w:rsidRPr="00D51CED" w:rsidRDefault="00AE3C89" w:rsidP="00D51CED">
            <w:pPr>
              <w:adjustRightInd w:val="0"/>
              <w:snapToGrid w:val="0"/>
              <w:spacing w:line="240" w:lineRule="auto"/>
              <w:ind w:firstLineChars="0" w:firstLine="0"/>
              <w:jc w:val="center"/>
              <w:rPr>
                <w:snapToGrid w:val="0"/>
              </w:rPr>
            </w:pPr>
          </w:p>
        </w:tc>
        <w:tc>
          <w:tcPr>
            <w:tcW w:w="838" w:type="pct"/>
            <w:vAlign w:val="center"/>
          </w:tcPr>
          <w:p w14:paraId="1254DC1E" w14:textId="77777777" w:rsidR="00AE3C89" w:rsidRPr="00D51CED" w:rsidRDefault="00AE3C89" w:rsidP="00D51CED">
            <w:pPr>
              <w:adjustRightInd w:val="0"/>
              <w:snapToGrid w:val="0"/>
              <w:spacing w:line="240" w:lineRule="auto"/>
              <w:ind w:firstLineChars="0" w:firstLine="0"/>
              <w:jc w:val="center"/>
              <w:rPr>
                <w:snapToGrid w:val="0"/>
              </w:rPr>
            </w:pPr>
            <w:r w:rsidRPr="00D51CED">
              <w:rPr>
                <w:snapToGrid w:val="0"/>
              </w:rPr>
              <w:t>夏季</w:t>
            </w:r>
          </w:p>
          <w:p w14:paraId="5C8D1EF9" w14:textId="77777777" w:rsidR="00AE3C89" w:rsidRPr="00D51CED" w:rsidRDefault="00AE3C89" w:rsidP="00D51CED">
            <w:pPr>
              <w:adjustRightInd w:val="0"/>
              <w:snapToGrid w:val="0"/>
              <w:spacing w:line="240" w:lineRule="auto"/>
              <w:ind w:firstLineChars="0" w:firstLine="0"/>
              <w:jc w:val="center"/>
              <w:rPr>
                <w:snapToGrid w:val="0"/>
              </w:rPr>
            </w:pPr>
            <w:r w:rsidRPr="00D51CED">
              <w:rPr>
                <w:snapToGrid w:val="0"/>
              </w:rPr>
              <w:t>(6,7,8</w:t>
            </w:r>
            <w:r w:rsidRPr="00D51CED">
              <w:rPr>
                <w:snapToGrid w:val="0"/>
              </w:rPr>
              <w:t>月</w:t>
            </w:r>
            <w:r w:rsidRPr="00D51CED">
              <w:rPr>
                <w:snapToGrid w:val="0"/>
              </w:rPr>
              <w:t>)</w:t>
            </w:r>
          </w:p>
        </w:tc>
        <w:tc>
          <w:tcPr>
            <w:tcW w:w="660" w:type="pct"/>
            <w:vAlign w:val="center"/>
          </w:tcPr>
          <w:p w14:paraId="2CEA1984" w14:textId="77777777" w:rsidR="00AE3C89" w:rsidRPr="00D51CED" w:rsidRDefault="00AE3C89" w:rsidP="00D51CED">
            <w:pPr>
              <w:adjustRightInd w:val="0"/>
              <w:snapToGrid w:val="0"/>
              <w:spacing w:line="240" w:lineRule="auto"/>
              <w:ind w:firstLineChars="0" w:firstLine="0"/>
              <w:jc w:val="center"/>
              <w:rPr>
                <w:snapToGrid w:val="0"/>
              </w:rPr>
            </w:pPr>
            <w:r w:rsidRPr="00D51CED">
              <w:rPr>
                <w:snapToGrid w:val="0"/>
              </w:rPr>
              <w:t>0.2</w:t>
            </w:r>
          </w:p>
        </w:tc>
        <w:tc>
          <w:tcPr>
            <w:tcW w:w="523" w:type="pct"/>
            <w:vAlign w:val="center"/>
          </w:tcPr>
          <w:p w14:paraId="2BE19560" w14:textId="77777777" w:rsidR="00AE3C89" w:rsidRPr="00D51CED" w:rsidRDefault="00AE3C89" w:rsidP="00D51CED">
            <w:pPr>
              <w:adjustRightInd w:val="0"/>
              <w:snapToGrid w:val="0"/>
              <w:spacing w:line="240" w:lineRule="auto"/>
              <w:ind w:firstLineChars="0" w:firstLine="0"/>
              <w:jc w:val="center"/>
              <w:rPr>
                <w:snapToGrid w:val="0"/>
              </w:rPr>
            </w:pPr>
            <w:r w:rsidRPr="00D51CED">
              <w:rPr>
                <w:snapToGrid w:val="0"/>
              </w:rPr>
              <w:t>0.5</w:t>
            </w:r>
          </w:p>
        </w:tc>
        <w:tc>
          <w:tcPr>
            <w:tcW w:w="451" w:type="pct"/>
            <w:vAlign w:val="center"/>
          </w:tcPr>
          <w:p w14:paraId="082C551A" w14:textId="77777777" w:rsidR="00AE3C89" w:rsidRPr="00D51CED" w:rsidRDefault="00AE3C89" w:rsidP="00D51CED">
            <w:pPr>
              <w:adjustRightInd w:val="0"/>
              <w:snapToGrid w:val="0"/>
              <w:spacing w:line="240" w:lineRule="auto"/>
              <w:ind w:firstLineChars="0" w:firstLine="0"/>
              <w:jc w:val="center"/>
              <w:rPr>
                <w:snapToGrid w:val="0"/>
              </w:rPr>
            </w:pPr>
            <w:r w:rsidRPr="00D51CED">
              <w:rPr>
                <w:snapToGrid w:val="0"/>
              </w:rPr>
              <w:t>0.2</w:t>
            </w:r>
          </w:p>
        </w:tc>
      </w:tr>
      <w:tr w:rsidR="00AE3C89" w:rsidRPr="00D51CED" w14:paraId="54D7A964" w14:textId="77777777" w:rsidTr="00D51CED">
        <w:trPr>
          <w:trHeight w:val="397"/>
          <w:jc w:val="center"/>
        </w:trPr>
        <w:tc>
          <w:tcPr>
            <w:tcW w:w="348" w:type="pct"/>
            <w:vAlign w:val="center"/>
          </w:tcPr>
          <w:p w14:paraId="76C1AB21" w14:textId="77777777" w:rsidR="00AE3C89" w:rsidRPr="00D51CED" w:rsidRDefault="00AE3C89" w:rsidP="00D51CED">
            <w:pPr>
              <w:adjustRightInd w:val="0"/>
              <w:snapToGrid w:val="0"/>
              <w:spacing w:line="240" w:lineRule="auto"/>
              <w:ind w:firstLineChars="0" w:firstLine="0"/>
              <w:jc w:val="center"/>
              <w:rPr>
                <w:snapToGrid w:val="0"/>
              </w:rPr>
            </w:pPr>
            <w:r w:rsidRPr="00D51CED">
              <w:rPr>
                <w:snapToGrid w:val="0"/>
              </w:rPr>
              <w:t>4</w:t>
            </w:r>
          </w:p>
        </w:tc>
        <w:tc>
          <w:tcPr>
            <w:tcW w:w="633" w:type="pct"/>
            <w:vAlign w:val="center"/>
          </w:tcPr>
          <w:p w14:paraId="7ECF00DA" w14:textId="77777777" w:rsidR="00AE3C89" w:rsidRPr="00D51CED" w:rsidRDefault="00AE3C89" w:rsidP="00D51CED">
            <w:pPr>
              <w:adjustRightInd w:val="0"/>
              <w:snapToGrid w:val="0"/>
              <w:spacing w:line="240" w:lineRule="auto"/>
              <w:ind w:firstLineChars="0" w:firstLine="0"/>
              <w:jc w:val="center"/>
              <w:rPr>
                <w:snapToGrid w:val="0"/>
              </w:rPr>
            </w:pPr>
            <w:r w:rsidRPr="00D51CED">
              <w:rPr>
                <w:snapToGrid w:val="0"/>
              </w:rPr>
              <w:t>0-360</w:t>
            </w:r>
          </w:p>
        </w:tc>
        <w:tc>
          <w:tcPr>
            <w:tcW w:w="658" w:type="pct"/>
            <w:vMerge/>
            <w:vAlign w:val="center"/>
          </w:tcPr>
          <w:p w14:paraId="6660B2BD" w14:textId="77777777" w:rsidR="00AE3C89" w:rsidRPr="00D51CED" w:rsidRDefault="00AE3C89" w:rsidP="00D51CED">
            <w:pPr>
              <w:adjustRightInd w:val="0"/>
              <w:snapToGrid w:val="0"/>
              <w:spacing w:line="240" w:lineRule="auto"/>
              <w:ind w:firstLineChars="0" w:firstLine="0"/>
              <w:jc w:val="center"/>
              <w:rPr>
                <w:snapToGrid w:val="0"/>
              </w:rPr>
            </w:pPr>
          </w:p>
        </w:tc>
        <w:tc>
          <w:tcPr>
            <w:tcW w:w="889" w:type="pct"/>
            <w:vMerge/>
            <w:vAlign w:val="center"/>
          </w:tcPr>
          <w:p w14:paraId="26B5ED21" w14:textId="77777777" w:rsidR="00AE3C89" w:rsidRPr="00D51CED" w:rsidRDefault="00AE3C89" w:rsidP="00D51CED">
            <w:pPr>
              <w:adjustRightInd w:val="0"/>
              <w:snapToGrid w:val="0"/>
              <w:spacing w:line="240" w:lineRule="auto"/>
              <w:ind w:firstLineChars="0" w:firstLine="0"/>
              <w:jc w:val="center"/>
              <w:rPr>
                <w:snapToGrid w:val="0"/>
              </w:rPr>
            </w:pPr>
          </w:p>
        </w:tc>
        <w:tc>
          <w:tcPr>
            <w:tcW w:w="838" w:type="pct"/>
            <w:vAlign w:val="center"/>
          </w:tcPr>
          <w:p w14:paraId="2C56D71E" w14:textId="77777777" w:rsidR="00AE3C89" w:rsidRPr="00D51CED" w:rsidRDefault="00AE3C89" w:rsidP="00D51CED">
            <w:pPr>
              <w:adjustRightInd w:val="0"/>
              <w:snapToGrid w:val="0"/>
              <w:spacing w:line="240" w:lineRule="auto"/>
              <w:ind w:firstLineChars="0" w:firstLine="0"/>
              <w:jc w:val="center"/>
              <w:rPr>
                <w:snapToGrid w:val="0"/>
              </w:rPr>
            </w:pPr>
            <w:r w:rsidRPr="00D51CED">
              <w:rPr>
                <w:snapToGrid w:val="0"/>
              </w:rPr>
              <w:t>秋季</w:t>
            </w:r>
          </w:p>
          <w:p w14:paraId="1A87625B" w14:textId="77777777" w:rsidR="00AE3C89" w:rsidRPr="00D51CED" w:rsidRDefault="00AE3C89" w:rsidP="00D51CED">
            <w:pPr>
              <w:adjustRightInd w:val="0"/>
              <w:snapToGrid w:val="0"/>
              <w:spacing w:line="240" w:lineRule="auto"/>
              <w:ind w:firstLineChars="0" w:firstLine="0"/>
              <w:jc w:val="center"/>
              <w:rPr>
                <w:snapToGrid w:val="0"/>
              </w:rPr>
            </w:pPr>
            <w:r w:rsidRPr="00D51CED">
              <w:rPr>
                <w:snapToGrid w:val="0"/>
              </w:rPr>
              <w:t>(9,10,11</w:t>
            </w:r>
            <w:r w:rsidRPr="00D51CED">
              <w:rPr>
                <w:snapToGrid w:val="0"/>
              </w:rPr>
              <w:t>月</w:t>
            </w:r>
            <w:r w:rsidRPr="00D51CED">
              <w:rPr>
                <w:snapToGrid w:val="0"/>
              </w:rPr>
              <w:t>)</w:t>
            </w:r>
          </w:p>
        </w:tc>
        <w:tc>
          <w:tcPr>
            <w:tcW w:w="660" w:type="pct"/>
            <w:vAlign w:val="center"/>
          </w:tcPr>
          <w:p w14:paraId="56D50956" w14:textId="77777777" w:rsidR="00AE3C89" w:rsidRPr="00D51CED" w:rsidRDefault="00AE3C89" w:rsidP="00D51CED">
            <w:pPr>
              <w:adjustRightInd w:val="0"/>
              <w:snapToGrid w:val="0"/>
              <w:spacing w:line="240" w:lineRule="auto"/>
              <w:ind w:firstLineChars="0" w:firstLine="0"/>
              <w:jc w:val="center"/>
              <w:rPr>
                <w:snapToGrid w:val="0"/>
              </w:rPr>
            </w:pPr>
            <w:r w:rsidRPr="00D51CED">
              <w:rPr>
                <w:snapToGrid w:val="0"/>
              </w:rPr>
              <w:t>0.18</w:t>
            </w:r>
          </w:p>
        </w:tc>
        <w:tc>
          <w:tcPr>
            <w:tcW w:w="523" w:type="pct"/>
            <w:vAlign w:val="center"/>
          </w:tcPr>
          <w:p w14:paraId="45D3FEA2" w14:textId="77777777" w:rsidR="00AE3C89" w:rsidRPr="00D51CED" w:rsidRDefault="00AE3C89" w:rsidP="00D51CED">
            <w:pPr>
              <w:adjustRightInd w:val="0"/>
              <w:snapToGrid w:val="0"/>
              <w:spacing w:line="240" w:lineRule="auto"/>
              <w:ind w:firstLineChars="0" w:firstLine="0"/>
              <w:jc w:val="center"/>
              <w:rPr>
                <w:snapToGrid w:val="0"/>
              </w:rPr>
            </w:pPr>
            <w:r w:rsidRPr="00D51CED">
              <w:rPr>
                <w:snapToGrid w:val="0"/>
              </w:rPr>
              <w:t>0.7</w:t>
            </w:r>
          </w:p>
        </w:tc>
        <w:tc>
          <w:tcPr>
            <w:tcW w:w="451" w:type="pct"/>
            <w:vAlign w:val="center"/>
          </w:tcPr>
          <w:p w14:paraId="70DC773F" w14:textId="77777777" w:rsidR="00AE3C89" w:rsidRPr="00D51CED" w:rsidRDefault="00AE3C89" w:rsidP="00D51CED">
            <w:pPr>
              <w:adjustRightInd w:val="0"/>
              <w:snapToGrid w:val="0"/>
              <w:spacing w:line="240" w:lineRule="auto"/>
              <w:ind w:firstLineChars="0" w:firstLine="0"/>
              <w:jc w:val="center"/>
              <w:rPr>
                <w:snapToGrid w:val="0"/>
              </w:rPr>
            </w:pPr>
            <w:r w:rsidRPr="00D51CED">
              <w:rPr>
                <w:snapToGrid w:val="0"/>
              </w:rPr>
              <w:t>0.05</w:t>
            </w:r>
          </w:p>
        </w:tc>
      </w:tr>
    </w:tbl>
    <w:p w14:paraId="6CE06C28" w14:textId="5BC9140A" w:rsidR="00AE3C89" w:rsidRPr="00857E7A" w:rsidRDefault="00AE3C89" w:rsidP="005D74E7">
      <w:pPr>
        <w:pStyle w:val="affffff4"/>
      </w:pPr>
      <w:r w:rsidRPr="00857E7A">
        <w:t>（</w:t>
      </w:r>
      <w:r w:rsidR="00FE469A" w:rsidRPr="00857E7A">
        <w:t>6</w:t>
      </w:r>
      <w:r w:rsidRPr="00857E7A">
        <w:t>）大庆市气象数据统计</w:t>
      </w:r>
    </w:p>
    <w:p w14:paraId="328CBBF7" w14:textId="1C5D602E" w:rsidR="00690D66" w:rsidRPr="00857E7A" w:rsidRDefault="00AE3C89" w:rsidP="005D74E7">
      <w:pPr>
        <w:pStyle w:val="affffff4"/>
      </w:pPr>
      <w:r w:rsidRPr="00857E7A">
        <w:t>大庆市气象站位于大庆市龙凤区，</w:t>
      </w:r>
      <w:r w:rsidR="00FE469A" w:rsidRPr="00857E7A">
        <w:t>项目采用的是大庆气象站（一般气象站，</w:t>
      </w:r>
      <w:r w:rsidR="00FE469A" w:rsidRPr="00857E7A">
        <w:t>50850</w:t>
      </w:r>
      <w:r w:rsidR="00FE469A" w:rsidRPr="00857E7A">
        <w:t>）资料，气象站位于黑龙江省大庆市，地理坐标为东经</w:t>
      </w:r>
      <w:r w:rsidR="00FE469A" w:rsidRPr="00857E7A">
        <w:t>124.99030°</w:t>
      </w:r>
      <w:r w:rsidR="00FE469A" w:rsidRPr="00857E7A">
        <w:t>，北纬</w:t>
      </w:r>
      <w:r w:rsidR="00FE469A" w:rsidRPr="00857E7A">
        <w:t>46.62080°</w:t>
      </w:r>
      <w:r w:rsidR="00FE469A" w:rsidRPr="00857E7A">
        <w:t>，海拔高度</w:t>
      </w:r>
      <w:r w:rsidR="00FE469A" w:rsidRPr="00857E7A">
        <w:t>152m</w:t>
      </w:r>
      <w:r w:rsidR="00FE469A" w:rsidRPr="00857E7A">
        <w:t>。大庆气象站</w:t>
      </w:r>
      <w:r w:rsidR="00FE469A" w:rsidRPr="00857E7A">
        <w:t>2004-2023</w:t>
      </w:r>
      <w:r w:rsidR="00FE469A" w:rsidRPr="00857E7A">
        <w:t>年气象数据统计分析</w:t>
      </w:r>
      <w:r w:rsidR="00C92E2A">
        <w:rPr>
          <w:rFonts w:hint="eastAsia"/>
        </w:rPr>
        <w:t>见下表</w:t>
      </w:r>
      <w:r w:rsidR="00FE469A" w:rsidRPr="00857E7A">
        <w:t>。</w:t>
      </w:r>
    </w:p>
    <w:p w14:paraId="5C13B0C5" w14:textId="2AD8A218" w:rsidR="00690D66" w:rsidRPr="00857E7A" w:rsidRDefault="00690D66" w:rsidP="005D74E7">
      <w:pPr>
        <w:pStyle w:val="affffff4"/>
      </w:pPr>
      <w:r w:rsidRPr="00857E7A">
        <w:t>气象站常规气象项目统计</w:t>
      </w:r>
      <w:r w:rsidR="00D51CED">
        <w:rPr>
          <w:rFonts w:hint="eastAsia"/>
        </w:rPr>
        <w:t>见下</w:t>
      </w:r>
      <w:r w:rsidRPr="00857E7A">
        <w:t>表。</w:t>
      </w:r>
    </w:p>
    <w:p w14:paraId="7A715EB0" w14:textId="10C0D187" w:rsidR="00690D66" w:rsidRPr="00FE469A" w:rsidRDefault="00690D66" w:rsidP="00FE469A">
      <w:pPr>
        <w:pStyle w:val="affffff5"/>
        <w:tabs>
          <w:tab w:val="left" w:pos="0"/>
        </w:tabs>
        <w:ind w:firstLine="400"/>
      </w:pPr>
      <w:r w:rsidRPr="00FE469A">
        <w:t>表</w:t>
      </w:r>
      <w:r w:rsidR="00D51CED">
        <w:rPr>
          <w:rFonts w:hint="eastAsia"/>
        </w:rPr>
        <w:t>6.2-</w:t>
      </w:r>
      <w:r w:rsidR="004F102D">
        <w:rPr>
          <w:rFonts w:hint="eastAsia"/>
        </w:rPr>
        <w:t>4</w:t>
      </w:r>
      <w:r w:rsidRPr="00FE469A">
        <w:t xml:space="preserve">  </w:t>
      </w:r>
      <w:r w:rsidRPr="00FE469A">
        <w:t>气象站常规气象项目统计表</w:t>
      </w:r>
    </w:p>
    <w:tbl>
      <w:tblPr>
        <w:tblStyle w:val="3a"/>
        <w:tblW w:w="4998" w:type="pct"/>
        <w:jc w:val="center"/>
        <w:tblInd w:w="0" w:type="dxa"/>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1957"/>
        <w:gridCol w:w="2515"/>
        <w:gridCol w:w="1515"/>
        <w:gridCol w:w="1956"/>
        <w:gridCol w:w="867"/>
      </w:tblGrid>
      <w:tr w:rsidR="00690D66" w:rsidRPr="00690D66" w14:paraId="0758C99C" w14:textId="77777777" w:rsidTr="00454C5A">
        <w:trPr>
          <w:jc w:val="center"/>
        </w:trPr>
        <w:tc>
          <w:tcPr>
            <w:tcW w:w="2537" w:type="pct"/>
            <w:gridSpan w:val="2"/>
            <w:tcBorders>
              <w:tl2br w:val="nil"/>
              <w:tr2bl w:val="nil"/>
            </w:tcBorders>
            <w:vAlign w:val="center"/>
          </w:tcPr>
          <w:p w14:paraId="6A4A8012" w14:textId="77777777" w:rsidR="00690D66" w:rsidRPr="00690D66" w:rsidRDefault="00690D66" w:rsidP="00690D66">
            <w:pPr>
              <w:jc w:val="center"/>
              <w:rPr>
                <w:kern w:val="0"/>
              </w:rPr>
            </w:pPr>
            <w:r w:rsidRPr="00690D66">
              <w:rPr>
                <w:kern w:val="0"/>
              </w:rPr>
              <w:t>统计项目</w:t>
            </w:r>
          </w:p>
        </w:tc>
        <w:tc>
          <w:tcPr>
            <w:tcW w:w="860" w:type="pct"/>
            <w:tcBorders>
              <w:tl2br w:val="nil"/>
              <w:tr2bl w:val="nil"/>
            </w:tcBorders>
            <w:vAlign w:val="center"/>
          </w:tcPr>
          <w:p w14:paraId="47200F60" w14:textId="77777777" w:rsidR="00690D66" w:rsidRPr="00690D66" w:rsidRDefault="00690D66" w:rsidP="00690D66">
            <w:pPr>
              <w:jc w:val="center"/>
              <w:rPr>
                <w:kern w:val="0"/>
              </w:rPr>
            </w:pPr>
            <w:r w:rsidRPr="00690D66">
              <w:rPr>
                <w:kern w:val="0"/>
              </w:rPr>
              <w:t>统计值</w:t>
            </w:r>
          </w:p>
        </w:tc>
        <w:tc>
          <w:tcPr>
            <w:tcW w:w="1110" w:type="pct"/>
            <w:tcBorders>
              <w:tl2br w:val="nil"/>
              <w:tr2bl w:val="nil"/>
            </w:tcBorders>
            <w:vAlign w:val="center"/>
          </w:tcPr>
          <w:p w14:paraId="33FAB1BD" w14:textId="77777777" w:rsidR="00690D66" w:rsidRPr="00690D66" w:rsidRDefault="00690D66" w:rsidP="00690D66">
            <w:pPr>
              <w:jc w:val="center"/>
              <w:rPr>
                <w:kern w:val="0"/>
              </w:rPr>
            </w:pPr>
            <w:r w:rsidRPr="00690D66">
              <w:rPr>
                <w:kern w:val="0"/>
              </w:rPr>
              <w:t>极值出现时间</w:t>
            </w:r>
          </w:p>
        </w:tc>
        <w:tc>
          <w:tcPr>
            <w:tcW w:w="492" w:type="pct"/>
            <w:tcBorders>
              <w:tl2br w:val="nil"/>
              <w:tr2bl w:val="nil"/>
            </w:tcBorders>
            <w:vAlign w:val="center"/>
          </w:tcPr>
          <w:p w14:paraId="33816DA9" w14:textId="77777777" w:rsidR="00690D66" w:rsidRPr="00690D66" w:rsidRDefault="00690D66" w:rsidP="00690D66">
            <w:pPr>
              <w:jc w:val="center"/>
              <w:rPr>
                <w:kern w:val="0"/>
              </w:rPr>
            </w:pPr>
            <w:r w:rsidRPr="00690D66">
              <w:rPr>
                <w:kern w:val="0"/>
              </w:rPr>
              <w:t>极值</w:t>
            </w:r>
          </w:p>
        </w:tc>
      </w:tr>
      <w:tr w:rsidR="00690D66" w:rsidRPr="00690D66" w14:paraId="6B6E211F" w14:textId="77777777" w:rsidTr="00454C5A">
        <w:trPr>
          <w:jc w:val="center"/>
        </w:trPr>
        <w:tc>
          <w:tcPr>
            <w:tcW w:w="2537" w:type="pct"/>
            <w:gridSpan w:val="2"/>
            <w:tcBorders>
              <w:tl2br w:val="nil"/>
              <w:tr2bl w:val="nil"/>
            </w:tcBorders>
            <w:vAlign w:val="center"/>
          </w:tcPr>
          <w:p w14:paraId="743B17A5" w14:textId="77777777" w:rsidR="00690D66" w:rsidRPr="00690D66" w:rsidRDefault="00690D66" w:rsidP="00690D66">
            <w:pPr>
              <w:jc w:val="center"/>
              <w:rPr>
                <w:kern w:val="0"/>
              </w:rPr>
            </w:pPr>
            <w:r w:rsidRPr="00690D66">
              <w:rPr>
                <w:kern w:val="0"/>
              </w:rPr>
              <w:t>多年平均气温（</w:t>
            </w:r>
            <w:r w:rsidRPr="00690D66">
              <w:rPr>
                <w:kern w:val="0"/>
              </w:rPr>
              <w:t>℃</w:t>
            </w:r>
            <w:r w:rsidRPr="00690D66">
              <w:rPr>
                <w:kern w:val="0"/>
              </w:rPr>
              <w:t>）</w:t>
            </w:r>
          </w:p>
        </w:tc>
        <w:tc>
          <w:tcPr>
            <w:tcW w:w="860" w:type="pct"/>
            <w:tcBorders>
              <w:tl2br w:val="nil"/>
              <w:tr2bl w:val="nil"/>
            </w:tcBorders>
            <w:vAlign w:val="center"/>
          </w:tcPr>
          <w:p w14:paraId="1A071B11" w14:textId="77777777" w:rsidR="00690D66" w:rsidRPr="00690D66" w:rsidRDefault="00690D66" w:rsidP="00690D66">
            <w:pPr>
              <w:jc w:val="center"/>
              <w:rPr>
                <w:kern w:val="0"/>
              </w:rPr>
            </w:pPr>
            <w:r w:rsidRPr="00690D66">
              <w:rPr>
                <w:kern w:val="0"/>
              </w:rPr>
              <w:t>5.3</w:t>
            </w:r>
          </w:p>
        </w:tc>
        <w:tc>
          <w:tcPr>
            <w:tcW w:w="1110" w:type="pct"/>
            <w:tcBorders>
              <w:tl2br w:val="nil"/>
              <w:tr2bl w:val="nil"/>
            </w:tcBorders>
            <w:vAlign w:val="center"/>
          </w:tcPr>
          <w:p w14:paraId="1DA6140C" w14:textId="77777777" w:rsidR="00690D66" w:rsidRPr="00690D66" w:rsidRDefault="00690D66" w:rsidP="00690D66">
            <w:pPr>
              <w:jc w:val="center"/>
              <w:rPr>
                <w:kern w:val="0"/>
              </w:rPr>
            </w:pPr>
            <w:r w:rsidRPr="00690D66">
              <w:rPr>
                <w:kern w:val="0"/>
              </w:rPr>
              <w:t>/</w:t>
            </w:r>
          </w:p>
        </w:tc>
        <w:tc>
          <w:tcPr>
            <w:tcW w:w="492" w:type="pct"/>
            <w:tcBorders>
              <w:tl2br w:val="nil"/>
              <w:tr2bl w:val="nil"/>
            </w:tcBorders>
            <w:vAlign w:val="center"/>
          </w:tcPr>
          <w:p w14:paraId="075BE508" w14:textId="77777777" w:rsidR="00690D66" w:rsidRPr="00690D66" w:rsidRDefault="00690D66" w:rsidP="00690D66">
            <w:pPr>
              <w:jc w:val="center"/>
              <w:rPr>
                <w:kern w:val="0"/>
              </w:rPr>
            </w:pPr>
            <w:r w:rsidRPr="00690D66">
              <w:rPr>
                <w:kern w:val="0"/>
              </w:rPr>
              <w:t>/</w:t>
            </w:r>
          </w:p>
        </w:tc>
      </w:tr>
      <w:tr w:rsidR="00690D66" w:rsidRPr="00690D66" w14:paraId="2443F69C" w14:textId="77777777" w:rsidTr="00454C5A">
        <w:trPr>
          <w:jc w:val="center"/>
        </w:trPr>
        <w:tc>
          <w:tcPr>
            <w:tcW w:w="2537" w:type="pct"/>
            <w:gridSpan w:val="2"/>
            <w:tcBorders>
              <w:tl2br w:val="nil"/>
              <w:tr2bl w:val="nil"/>
            </w:tcBorders>
            <w:vAlign w:val="center"/>
          </w:tcPr>
          <w:p w14:paraId="7AF98B75" w14:textId="77777777" w:rsidR="00690D66" w:rsidRPr="00690D66" w:rsidRDefault="00690D66" w:rsidP="00690D66">
            <w:pPr>
              <w:jc w:val="center"/>
              <w:rPr>
                <w:kern w:val="0"/>
              </w:rPr>
            </w:pPr>
            <w:r w:rsidRPr="00690D66">
              <w:rPr>
                <w:kern w:val="0"/>
              </w:rPr>
              <w:t>累年极端最高气温（</w:t>
            </w:r>
            <w:r w:rsidRPr="00690D66">
              <w:rPr>
                <w:kern w:val="0"/>
              </w:rPr>
              <w:t>℃</w:t>
            </w:r>
            <w:r w:rsidRPr="00690D66">
              <w:rPr>
                <w:kern w:val="0"/>
              </w:rPr>
              <w:t>）</w:t>
            </w:r>
          </w:p>
        </w:tc>
        <w:tc>
          <w:tcPr>
            <w:tcW w:w="860" w:type="pct"/>
            <w:tcBorders>
              <w:tl2br w:val="nil"/>
              <w:tr2bl w:val="nil"/>
            </w:tcBorders>
            <w:vAlign w:val="center"/>
          </w:tcPr>
          <w:p w14:paraId="5268089B" w14:textId="77777777" w:rsidR="00690D66" w:rsidRPr="00690D66" w:rsidRDefault="00690D66" w:rsidP="00690D66">
            <w:pPr>
              <w:jc w:val="center"/>
              <w:rPr>
                <w:kern w:val="0"/>
              </w:rPr>
            </w:pPr>
            <w:r w:rsidRPr="00690D66">
              <w:rPr>
                <w:kern w:val="0"/>
              </w:rPr>
              <w:t>35.3</w:t>
            </w:r>
          </w:p>
        </w:tc>
        <w:tc>
          <w:tcPr>
            <w:tcW w:w="1110" w:type="pct"/>
            <w:tcBorders>
              <w:tl2br w:val="nil"/>
              <w:tr2bl w:val="nil"/>
            </w:tcBorders>
            <w:vAlign w:val="center"/>
          </w:tcPr>
          <w:p w14:paraId="7C1EFAF2" w14:textId="77777777" w:rsidR="00690D66" w:rsidRPr="00690D66" w:rsidRDefault="00690D66" w:rsidP="00690D66">
            <w:pPr>
              <w:jc w:val="center"/>
              <w:rPr>
                <w:kern w:val="0"/>
              </w:rPr>
            </w:pPr>
            <w:r w:rsidRPr="00690D66">
              <w:rPr>
                <w:kern w:val="0"/>
              </w:rPr>
              <w:t>2018-06-02</w:t>
            </w:r>
          </w:p>
        </w:tc>
        <w:tc>
          <w:tcPr>
            <w:tcW w:w="492" w:type="pct"/>
            <w:tcBorders>
              <w:tl2br w:val="nil"/>
              <w:tr2bl w:val="nil"/>
            </w:tcBorders>
            <w:vAlign w:val="center"/>
          </w:tcPr>
          <w:p w14:paraId="4B8E118C" w14:textId="77777777" w:rsidR="00690D66" w:rsidRPr="00690D66" w:rsidRDefault="00690D66" w:rsidP="00690D66">
            <w:pPr>
              <w:jc w:val="center"/>
              <w:rPr>
                <w:kern w:val="0"/>
              </w:rPr>
            </w:pPr>
            <w:r w:rsidRPr="00690D66">
              <w:rPr>
                <w:kern w:val="0"/>
              </w:rPr>
              <w:t>38.8</w:t>
            </w:r>
          </w:p>
        </w:tc>
      </w:tr>
      <w:tr w:rsidR="00690D66" w:rsidRPr="00690D66" w14:paraId="211C4D92" w14:textId="77777777" w:rsidTr="00454C5A">
        <w:trPr>
          <w:jc w:val="center"/>
        </w:trPr>
        <w:tc>
          <w:tcPr>
            <w:tcW w:w="2537" w:type="pct"/>
            <w:gridSpan w:val="2"/>
            <w:tcBorders>
              <w:tl2br w:val="nil"/>
              <w:tr2bl w:val="nil"/>
            </w:tcBorders>
            <w:vAlign w:val="center"/>
          </w:tcPr>
          <w:p w14:paraId="5E5894D6" w14:textId="77777777" w:rsidR="00690D66" w:rsidRPr="00690D66" w:rsidRDefault="00690D66" w:rsidP="00690D66">
            <w:pPr>
              <w:jc w:val="center"/>
              <w:rPr>
                <w:kern w:val="0"/>
              </w:rPr>
            </w:pPr>
            <w:r w:rsidRPr="00690D66">
              <w:rPr>
                <w:kern w:val="0"/>
              </w:rPr>
              <w:t>累年极端最低气温（</w:t>
            </w:r>
            <w:r w:rsidRPr="00690D66">
              <w:rPr>
                <w:kern w:val="0"/>
              </w:rPr>
              <w:t>℃</w:t>
            </w:r>
            <w:r w:rsidRPr="00690D66">
              <w:rPr>
                <w:kern w:val="0"/>
              </w:rPr>
              <w:t>）</w:t>
            </w:r>
          </w:p>
        </w:tc>
        <w:tc>
          <w:tcPr>
            <w:tcW w:w="860" w:type="pct"/>
            <w:tcBorders>
              <w:tl2br w:val="nil"/>
              <w:tr2bl w:val="nil"/>
            </w:tcBorders>
            <w:vAlign w:val="center"/>
          </w:tcPr>
          <w:p w14:paraId="0752D19A" w14:textId="77777777" w:rsidR="00690D66" w:rsidRPr="00690D66" w:rsidRDefault="00690D66" w:rsidP="00690D66">
            <w:pPr>
              <w:jc w:val="center"/>
              <w:rPr>
                <w:kern w:val="0"/>
              </w:rPr>
            </w:pPr>
            <w:r w:rsidRPr="00690D66">
              <w:rPr>
                <w:kern w:val="0"/>
              </w:rPr>
              <w:t>-28.1</w:t>
            </w:r>
          </w:p>
        </w:tc>
        <w:tc>
          <w:tcPr>
            <w:tcW w:w="1110" w:type="pct"/>
            <w:tcBorders>
              <w:tl2br w:val="nil"/>
              <w:tr2bl w:val="nil"/>
            </w:tcBorders>
            <w:vAlign w:val="center"/>
          </w:tcPr>
          <w:p w14:paraId="0F3FBE17" w14:textId="77777777" w:rsidR="00690D66" w:rsidRPr="00690D66" w:rsidRDefault="00690D66" w:rsidP="00690D66">
            <w:pPr>
              <w:jc w:val="center"/>
              <w:rPr>
                <w:kern w:val="0"/>
              </w:rPr>
            </w:pPr>
            <w:r w:rsidRPr="00690D66">
              <w:rPr>
                <w:kern w:val="0"/>
              </w:rPr>
              <w:t>2013-01-01</w:t>
            </w:r>
          </w:p>
        </w:tc>
        <w:tc>
          <w:tcPr>
            <w:tcW w:w="492" w:type="pct"/>
            <w:tcBorders>
              <w:tl2br w:val="nil"/>
              <w:tr2bl w:val="nil"/>
            </w:tcBorders>
            <w:vAlign w:val="center"/>
          </w:tcPr>
          <w:p w14:paraId="1B6C343A" w14:textId="77777777" w:rsidR="00690D66" w:rsidRPr="00690D66" w:rsidRDefault="00690D66" w:rsidP="00690D66">
            <w:pPr>
              <w:jc w:val="center"/>
              <w:rPr>
                <w:kern w:val="0"/>
              </w:rPr>
            </w:pPr>
            <w:r w:rsidRPr="00690D66">
              <w:rPr>
                <w:kern w:val="0"/>
              </w:rPr>
              <w:t>-31.9</w:t>
            </w:r>
          </w:p>
        </w:tc>
      </w:tr>
      <w:tr w:rsidR="00690D66" w:rsidRPr="00690D66" w14:paraId="17C05138" w14:textId="77777777" w:rsidTr="00454C5A">
        <w:trPr>
          <w:jc w:val="center"/>
        </w:trPr>
        <w:tc>
          <w:tcPr>
            <w:tcW w:w="2537" w:type="pct"/>
            <w:gridSpan w:val="2"/>
            <w:tcBorders>
              <w:tl2br w:val="nil"/>
              <w:tr2bl w:val="nil"/>
            </w:tcBorders>
            <w:vAlign w:val="center"/>
          </w:tcPr>
          <w:p w14:paraId="55D88BDE" w14:textId="77777777" w:rsidR="00690D66" w:rsidRPr="00690D66" w:rsidRDefault="00690D66" w:rsidP="00690D66">
            <w:pPr>
              <w:jc w:val="center"/>
              <w:rPr>
                <w:kern w:val="0"/>
              </w:rPr>
            </w:pPr>
            <w:r w:rsidRPr="00690D66">
              <w:rPr>
                <w:kern w:val="0"/>
              </w:rPr>
              <w:t>多年平均气压（</w:t>
            </w:r>
            <w:r w:rsidRPr="00690D66">
              <w:rPr>
                <w:kern w:val="0"/>
              </w:rPr>
              <w:t>hpa</w:t>
            </w:r>
            <w:r w:rsidRPr="00690D66">
              <w:rPr>
                <w:kern w:val="0"/>
              </w:rPr>
              <w:t>）</w:t>
            </w:r>
          </w:p>
        </w:tc>
        <w:tc>
          <w:tcPr>
            <w:tcW w:w="860" w:type="pct"/>
            <w:tcBorders>
              <w:tl2br w:val="nil"/>
              <w:tr2bl w:val="nil"/>
            </w:tcBorders>
            <w:vAlign w:val="center"/>
          </w:tcPr>
          <w:p w14:paraId="6F7A9578" w14:textId="77777777" w:rsidR="00690D66" w:rsidRPr="00690D66" w:rsidRDefault="00690D66" w:rsidP="00690D66">
            <w:pPr>
              <w:jc w:val="center"/>
              <w:rPr>
                <w:kern w:val="0"/>
              </w:rPr>
            </w:pPr>
            <w:r w:rsidRPr="00690D66">
              <w:rPr>
                <w:kern w:val="0"/>
              </w:rPr>
              <w:t>995.9</w:t>
            </w:r>
          </w:p>
        </w:tc>
        <w:tc>
          <w:tcPr>
            <w:tcW w:w="1110" w:type="pct"/>
            <w:tcBorders>
              <w:tl2br w:val="nil"/>
              <w:tr2bl w:val="nil"/>
            </w:tcBorders>
            <w:vAlign w:val="center"/>
          </w:tcPr>
          <w:p w14:paraId="4CC503EB" w14:textId="77777777" w:rsidR="00690D66" w:rsidRPr="00690D66" w:rsidRDefault="00690D66" w:rsidP="00690D66">
            <w:pPr>
              <w:jc w:val="center"/>
              <w:rPr>
                <w:kern w:val="0"/>
              </w:rPr>
            </w:pPr>
            <w:r w:rsidRPr="00690D66">
              <w:rPr>
                <w:kern w:val="0"/>
              </w:rPr>
              <w:t>/</w:t>
            </w:r>
          </w:p>
        </w:tc>
        <w:tc>
          <w:tcPr>
            <w:tcW w:w="492" w:type="pct"/>
            <w:tcBorders>
              <w:tl2br w:val="nil"/>
              <w:tr2bl w:val="nil"/>
            </w:tcBorders>
            <w:vAlign w:val="center"/>
          </w:tcPr>
          <w:p w14:paraId="3D343ACB" w14:textId="77777777" w:rsidR="00690D66" w:rsidRPr="00690D66" w:rsidRDefault="00690D66" w:rsidP="00690D66">
            <w:pPr>
              <w:jc w:val="center"/>
              <w:rPr>
                <w:kern w:val="0"/>
              </w:rPr>
            </w:pPr>
            <w:r w:rsidRPr="00690D66">
              <w:rPr>
                <w:kern w:val="0"/>
              </w:rPr>
              <w:t>/</w:t>
            </w:r>
          </w:p>
        </w:tc>
      </w:tr>
      <w:tr w:rsidR="00690D66" w:rsidRPr="00690D66" w14:paraId="2EBEFBD3" w14:textId="77777777" w:rsidTr="00454C5A">
        <w:trPr>
          <w:jc w:val="center"/>
        </w:trPr>
        <w:tc>
          <w:tcPr>
            <w:tcW w:w="2537" w:type="pct"/>
            <w:gridSpan w:val="2"/>
            <w:tcBorders>
              <w:tl2br w:val="nil"/>
              <w:tr2bl w:val="nil"/>
            </w:tcBorders>
            <w:vAlign w:val="center"/>
          </w:tcPr>
          <w:p w14:paraId="47F89228" w14:textId="77777777" w:rsidR="00690D66" w:rsidRPr="00690D66" w:rsidRDefault="00690D66" w:rsidP="00690D66">
            <w:pPr>
              <w:jc w:val="center"/>
              <w:rPr>
                <w:kern w:val="0"/>
              </w:rPr>
            </w:pPr>
            <w:r w:rsidRPr="00690D66">
              <w:rPr>
                <w:kern w:val="0"/>
              </w:rPr>
              <w:t>多年平均相对湿度（</w:t>
            </w:r>
            <w:r w:rsidRPr="00690D66">
              <w:rPr>
                <w:kern w:val="0"/>
              </w:rPr>
              <w:t>%</w:t>
            </w:r>
            <w:r w:rsidRPr="00690D66">
              <w:rPr>
                <w:kern w:val="0"/>
              </w:rPr>
              <w:t>）</w:t>
            </w:r>
          </w:p>
        </w:tc>
        <w:tc>
          <w:tcPr>
            <w:tcW w:w="860" w:type="pct"/>
            <w:tcBorders>
              <w:tl2br w:val="nil"/>
              <w:tr2bl w:val="nil"/>
            </w:tcBorders>
            <w:vAlign w:val="center"/>
          </w:tcPr>
          <w:p w14:paraId="260BE6F1" w14:textId="77777777" w:rsidR="00690D66" w:rsidRPr="00690D66" w:rsidRDefault="00690D66" w:rsidP="00690D66">
            <w:pPr>
              <w:jc w:val="center"/>
              <w:rPr>
                <w:kern w:val="0"/>
              </w:rPr>
            </w:pPr>
            <w:r w:rsidRPr="00690D66">
              <w:rPr>
                <w:kern w:val="0"/>
              </w:rPr>
              <w:t>60.8</w:t>
            </w:r>
          </w:p>
        </w:tc>
        <w:tc>
          <w:tcPr>
            <w:tcW w:w="1110" w:type="pct"/>
            <w:tcBorders>
              <w:tl2br w:val="nil"/>
              <w:tr2bl w:val="nil"/>
            </w:tcBorders>
            <w:vAlign w:val="center"/>
          </w:tcPr>
          <w:p w14:paraId="31A7804C" w14:textId="77777777" w:rsidR="00690D66" w:rsidRPr="00690D66" w:rsidRDefault="00690D66" w:rsidP="00690D66">
            <w:pPr>
              <w:jc w:val="center"/>
              <w:rPr>
                <w:kern w:val="0"/>
              </w:rPr>
            </w:pPr>
            <w:r w:rsidRPr="00690D66">
              <w:rPr>
                <w:kern w:val="0"/>
              </w:rPr>
              <w:t>/</w:t>
            </w:r>
          </w:p>
        </w:tc>
        <w:tc>
          <w:tcPr>
            <w:tcW w:w="492" w:type="pct"/>
            <w:tcBorders>
              <w:tl2br w:val="nil"/>
              <w:tr2bl w:val="nil"/>
            </w:tcBorders>
            <w:vAlign w:val="center"/>
          </w:tcPr>
          <w:p w14:paraId="01F1A7CC" w14:textId="77777777" w:rsidR="00690D66" w:rsidRPr="00690D66" w:rsidRDefault="00690D66" w:rsidP="00690D66">
            <w:pPr>
              <w:jc w:val="center"/>
              <w:rPr>
                <w:kern w:val="0"/>
              </w:rPr>
            </w:pPr>
            <w:r w:rsidRPr="00690D66">
              <w:rPr>
                <w:kern w:val="0"/>
              </w:rPr>
              <w:t>/</w:t>
            </w:r>
          </w:p>
        </w:tc>
      </w:tr>
      <w:tr w:rsidR="00690D66" w:rsidRPr="00690D66" w14:paraId="35BF0DDF" w14:textId="77777777" w:rsidTr="00454C5A">
        <w:trPr>
          <w:trHeight w:val="154"/>
          <w:jc w:val="center"/>
        </w:trPr>
        <w:tc>
          <w:tcPr>
            <w:tcW w:w="2537" w:type="pct"/>
            <w:gridSpan w:val="2"/>
            <w:tcBorders>
              <w:tl2br w:val="nil"/>
              <w:tr2bl w:val="nil"/>
            </w:tcBorders>
            <w:vAlign w:val="center"/>
          </w:tcPr>
          <w:p w14:paraId="6FCFA8C4" w14:textId="77777777" w:rsidR="00690D66" w:rsidRPr="00690D66" w:rsidRDefault="00690D66" w:rsidP="00690D66">
            <w:pPr>
              <w:jc w:val="center"/>
              <w:rPr>
                <w:kern w:val="0"/>
              </w:rPr>
            </w:pPr>
            <w:r w:rsidRPr="00690D66">
              <w:rPr>
                <w:kern w:val="0"/>
              </w:rPr>
              <w:t>多年平均降雨量（</w:t>
            </w:r>
            <w:r w:rsidRPr="00690D66">
              <w:rPr>
                <w:kern w:val="0"/>
              </w:rPr>
              <w:t>mm</w:t>
            </w:r>
            <w:r w:rsidRPr="00690D66">
              <w:rPr>
                <w:kern w:val="0"/>
              </w:rPr>
              <w:t>）</w:t>
            </w:r>
          </w:p>
        </w:tc>
        <w:tc>
          <w:tcPr>
            <w:tcW w:w="860" w:type="pct"/>
            <w:tcBorders>
              <w:tl2br w:val="nil"/>
              <w:tr2bl w:val="nil"/>
            </w:tcBorders>
            <w:vAlign w:val="center"/>
          </w:tcPr>
          <w:p w14:paraId="0C8A5341" w14:textId="77777777" w:rsidR="00690D66" w:rsidRPr="00690D66" w:rsidRDefault="00690D66" w:rsidP="00690D66">
            <w:pPr>
              <w:jc w:val="center"/>
              <w:rPr>
                <w:kern w:val="0"/>
              </w:rPr>
            </w:pPr>
            <w:r w:rsidRPr="00690D66">
              <w:rPr>
                <w:kern w:val="0"/>
              </w:rPr>
              <w:t>501.4</w:t>
            </w:r>
          </w:p>
        </w:tc>
        <w:tc>
          <w:tcPr>
            <w:tcW w:w="1110" w:type="pct"/>
            <w:tcBorders>
              <w:tl2br w:val="nil"/>
              <w:tr2bl w:val="nil"/>
            </w:tcBorders>
            <w:vAlign w:val="center"/>
          </w:tcPr>
          <w:p w14:paraId="31A89565" w14:textId="77777777" w:rsidR="00690D66" w:rsidRPr="00690D66" w:rsidRDefault="00690D66" w:rsidP="00690D66">
            <w:pPr>
              <w:jc w:val="center"/>
              <w:rPr>
                <w:kern w:val="0"/>
              </w:rPr>
            </w:pPr>
            <w:r w:rsidRPr="00690D66">
              <w:rPr>
                <w:kern w:val="0"/>
              </w:rPr>
              <w:t>/</w:t>
            </w:r>
          </w:p>
        </w:tc>
        <w:tc>
          <w:tcPr>
            <w:tcW w:w="492" w:type="pct"/>
            <w:tcBorders>
              <w:tl2br w:val="nil"/>
              <w:tr2bl w:val="nil"/>
            </w:tcBorders>
            <w:vAlign w:val="center"/>
          </w:tcPr>
          <w:p w14:paraId="2B7800AF" w14:textId="77777777" w:rsidR="00690D66" w:rsidRPr="00690D66" w:rsidRDefault="00690D66" w:rsidP="00690D66">
            <w:pPr>
              <w:jc w:val="center"/>
              <w:rPr>
                <w:kern w:val="0"/>
              </w:rPr>
            </w:pPr>
            <w:r w:rsidRPr="00690D66">
              <w:rPr>
                <w:kern w:val="0"/>
              </w:rPr>
              <w:t>/</w:t>
            </w:r>
          </w:p>
        </w:tc>
      </w:tr>
      <w:tr w:rsidR="00690D66" w:rsidRPr="00690D66" w14:paraId="0E45D8F4" w14:textId="77777777" w:rsidTr="00454C5A">
        <w:trPr>
          <w:jc w:val="center"/>
        </w:trPr>
        <w:tc>
          <w:tcPr>
            <w:tcW w:w="2537" w:type="pct"/>
            <w:gridSpan w:val="2"/>
            <w:tcBorders>
              <w:tl2br w:val="nil"/>
              <w:tr2bl w:val="nil"/>
            </w:tcBorders>
            <w:vAlign w:val="center"/>
          </w:tcPr>
          <w:p w14:paraId="7D83E4BF" w14:textId="77777777" w:rsidR="00690D66" w:rsidRPr="00690D66" w:rsidRDefault="00690D66" w:rsidP="00690D66">
            <w:pPr>
              <w:jc w:val="center"/>
              <w:rPr>
                <w:kern w:val="0"/>
              </w:rPr>
            </w:pPr>
            <w:r w:rsidRPr="00690D66">
              <w:rPr>
                <w:kern w:val="0"/>
              </w:rPr>
              <w:t>日照时长（</w:t>
            </w:r>
            <w:r w:rsidRPr="00690D66">
              <w:rPr>
                <w:kern w:val="0"/>
              </w:rPr>
              <w:t>h</w:t>
            </w:r>
            <w:r w:rsidRPr="00690D66">
              <w:rPr>
                <w:kern w:val="0"/>
              </w:rPr>
              <w:t>）</w:t>
            </w:r>
          </w:p>
        </w:tc>
        <w:tc>
          <w:tcPr>
            <w:tcW w:w="860" w:type="pct"/>
            <w:tcBorders>
              <w:tl2br w:val="nil"/>
              <w:tr2bl w:val="nil"/>
            </w:tcBorders>
            <w:vAlign w:val="center"/>
          </w:tcPr>
          <w:p w14:paraId="47EB7131" w14:textId="77777777" w:rsidR="00690D66" w:rsidRPr="00690D66" w:rsidRDefault="00690D66" w:rsidP="00690D66">
            <w:pPr>
              <w:jc w:val="center"/>
              <w:rPr>
                <w:kern w:val="0"/>
              </w:rPr>
            </w:pPr>
            <w:r w:rsidRPr="00690D66">
              <w:rPr>
                <w:kern w:val="0"/>
              </w:rPr>
              <w:t>2515.2</w:t>
            </w:r>
          </w:p>
        </w:tc>
        <w:tc>
          <w:tcPr>
            <w:tcW w:w="1110" w:type="pct"/>
            <w:tcBorders>
              <w:tl2br w:val="nil"/>
              <w:tr2bl w:val="nil"/>
            </w:tcBorders>
            <w:vAlign w:val="center"/>
          </w:tcPr>
          <w:p w14:paraId="2E623DBE" w14:textId="77777777" w:rsidR="00690D66" w:rsidRPr="00690D66" w:rsidRDefault="00690D66" w:rsidP="00690D66">
            <w:pPr>
              <w:jc w:val="center"/>
              <w:rPr>
                <w:kern w:val="0"/>
              </w:rPr>
            </w:pPr>
            <w:r w:rsidRPr="00690D66">
              <w:rPr>
                <w:kern w:val="0"/>
              </w:rPr>
              <w:t>/</w:t>
            </w:r>
          </w:p>
        </w:tc>
        <w:tc>
          <w:tcPr>
            <w:tcW w:w="492" w:type="pct"/>
            <w:tcBorders>
              <w:tl2br w:val="nil"/>
              <w:tr2bl w:val="nil"/>
            </w:tcBorders>
            <w:vAlign w:val="center"/>
          </w:tcPr>
          <w:p w14:paraId="09E76CCE" w14:textId="77777777" w:rsidR="00690D66" w:rsidRPr="00690D66" w:rsidRDefault="00690D66" w:rsidP="00690D66">
            <w:pPr>
              <w:jc w:val="center"/>
              <w:rPr>
                <w:kern w:val="0"/>
              </w:rPr>
            </w:pPr>
            <w:r w:rsidRPr="00690D66">
              <w:rPr>
                <w:kern w:val="0"/>
              </w:rPr>
              <w:t>/</w:t>
            </w:r>
          </w:p>
        </w:tc>
      </w:tr>
      <w:tr w:rsidR="00690D66" w:rsidRPr="00690D66" w14:paraId="0A97D1C9" w14:textId="77777777" w:rsidTr="00454C5A">
        <w:trPr>
          <w:jc w:val="center"/>
        </w:trPr>
        <w:tc>
          <w:tcPr>
            <w:tcW w:w="2537" w:type="pct"/>
            <w:gridSpan w:val="2"/>
            <w:tcBorders>
              <w:tl2br w:val="nil"/>
              <w:tr2bl w:val="nil"/>
            </w:tcBorders>
            <w:vAlign w:val="center"/>
          </w:tcPr>
          <w:p w14:paraId="28A0D25F" w14:textId="77777777" w:rsidR="00690D66" w:rsidRPr="00690D66" w:rsidRDefault="00690D66" w:rsidP="00690D66">
            <w:pPr>
              <w:jc w:val="center"/>
              <w:rPr>
                <w:kern w:val="0"/>
              </w:rPr>
            </w:pPr>
            <w:r w:rsidRPr="00690D66">
              <w:rPr>
                <w:kern w:val="0"/>
              </w:rPr>
              <w:t>平均风速（</w:t>
            </w:r>
            <w:r w:rsidRPr="00690D66">
              <w:rPr>
                <w:kern w:val="0"/>
              </w:rPr>
              <w:t>m/s</w:t>
            </w:r>
            <w:r w:rsidRPr="00690D66">
              <w:rPr>
                <w:kern w:val="0"/>
              </w:rPr>
              <w:t>）</w:t>
            </w:r>
          </w:p>
        </w:tc>
        <w:tc>
          <w:tcPr>
            <w:tcW w:w="860" w:type="pct"/>
            <w:tcBorders>
              <w:tl2br w:val="nil"/>
              <w:tr2bl w:val="nil"/>
            </w:tcBorders>
            <w:vAlign w:val="center"/>
          </w:tcPr>
          <w:p w14:paraId="3CB35629" w14:textId="77777777" w:rsidR="00690D66" w:rsidRPr="00690D66" w:rsidRDefault="00690D66" w:rsidP="00690D66">
            <w:pPr>
              <w:jc w:val="center"/>
              <w:rPr>
                <w:kern w:val="0"/>
              </w:rPr>
            </w:pPr>
            <w:r w:rsidRPr="00690D66">
              <w:rPr>
                <w:kern w:val="0"/>
              </w:rPr>
              <w:t>2.3</w:t>
            </w:r>
          </w:p>
        </w:tc>
        <w:tc>
          <w:tcPr>
            <w:tcW w:w="1110" w:type="pct"/>
            <w:tcBorders>
              <w:tl2br w:val="nil"/>
              <w:tr2bl w:val="nil"/>
            </w:tcBorders>
            <w:vAlign w:val="center"/>
          </w:tcPr>
          <w:p w14:paraId="46FD3FF5" w14:textId="77777777" w:rsidR="00690D66" w:rsidRPr="00690D66" w:rsidRDefault="00690D66" w:rsidP="00690D66">
            <w:pPr>
              <w:jc w:val="center"/>
              <w:rPr>
                <w:kern w:val="0"/>
              </w:rPr>
            </w:pPr>
            <w:r w:rsidRPr="00690D66">
              <w:rPr>
                <w:kern w:val="0"/>
              </w:rPr>
              <w:t>/</w:t>
            </w:r>
          </w:p>
        </w:tc>
        <w:tc>
          <w:tcPr>
            <w:tcW w:w="492" w:type="pct"/>
            <w:tcBorders>
              <w:tl2br w:val="nil"/>
              <w:tr2bl w:val="nil"/>
            </w:tcBorders>
            <w:vAlign w:val="center"/>
          </w:tcPr>
          <w:p w14:paraId="7C8B6468" w14:textId="77777777" w:rsidR="00690D66" w:rsidRPr="00690D66" w:rsidRDefault="00690D66" w:rsidP="00690D66">
            <w:pPr>
              <w:jc w:val="center"/>
              <w:rPr>
                <w:kern w:val="0"/>
              </w:rPr>
            </w:pPr>
            <w:r w:rsidRPr="00690D66">
              <w:rPr>
                <w:kern w:val="0"/>
              </w:rPr>
              <w:t>/</w:t>
            </w:r>
          </w:p>
        </w:tc>
      </w:tr>
      <w:tr w:rsidR="00690D66" w:rsidRPr="00690D66" w14:paraId="44A30C4D" w14:textId="77777777" w:rsidTr="00454C5A">
        <w:trPr>
          <w:jc w:val="center"/>
        </w:trPr>
        <w:tc>
          <w:tcPr>
            <w:tcW w:w="2537" w:type="pct"/>
            <w:gridSpan w:val="2"/>
            <w:tcBorders>
              <w:tl2br w:val="nil"/>
              <w:tr2bl w:val="nil"/>
            </w:tcBorders>
            <w:vAlign w:val="center"/>
          </w:tcPr>
          <w:p w14:paraId="7D57C3FD" w14:textId="77777777" w:rsidR="00690D66" w:rsidRPr="00690D66" w:rsidRDefault="00690D66" w:rsidP="00690D66">
            <w:pPr>
              <w:jc w:val="center"/>
              <w:rPr>
                <w:kern w:val="0"/>
              </w:rPr>
            </w:pPr>
            <w:r w:rsidRPr="00690D66">
              <w:rPr>
                <w:kern w:val="0"/>
              </w:rPr>
              <w:t>静风频率（</w:t>
            </w:r>
            <w:r w:rsidRPr="00690D66">
              <w:rPr>
                <w:kern w:val="0"/>
              </w:rPr>
              <w:t>%</w:t>
            </w:r>
            <w:r w:rsidRPr="00690D66">
              <w:rPr>
                <w:kern w:val="0"/>
              </w:rPr>
              <w:t>）</w:t>
            </w:r>
          </w:p>
        </w:tc>
        <w:tc>
          <w:tcPr>
            <w:tcW w:w="860" w:type="pct"/>
            <w:tcBorders>
              <w:tl2br w:val="nil"/>
              <w:tr2bl w:val="nil"/>
            </w:tcBorders>
            <w:vAlign w:val="center"/>
          </w:tcPr>
          <w:p w14:paraId="2B06B50D" w14:textId="77777777" w:rsidR="00690D66" w:rsidRPr="00690D66" w:rsidRDefault="00690D66" w:rsidP="00690D66">
            <w:pPr>
              <w:jc w:val="center"/>
              <w:rPr>
                <w:kern w:val="0"/>
              </w:rPr>
            </w:pPr>
            <w:r w:rsidRPr="00690D66">
              <w:rPr>
                <w:kern w:val="0"/>
              </w:rPr>
              <w:t>5.2</w:t>
            </w:r>
          </w:p>
        </w:tc>
        <w:tc>
          <w:tcPr>
            <w:tcW w:w="1110" w:type="pct"/>
            <w:tcBorders>
              <w:tl2br w:val="nil"/>
              <w:tr2bl w:val="nil"/>
            </w:tcBorders>
            <w:vAlign w:val="center"/>
          </w:tcPr>
          <w:p w14:paraId="3B5C7C2E" w14:textId="77777777" w:rsidR="00690D66" w:rsidRPr="00690D66" w:rsidRDefault="00690D66" w:rsidP="00690D66">
            <w:pPr>
              <w:jc w:val="center"/>
              <w:rPr>
                <w:kern w:val="0"/>
              </w:rPr>
            </w:pPr>
            <w:r w:rsidRPr="00690D66">
              <w:rPr>
                <w:kern w:val="0"/>
              </w:rPr>
              <w:t>/</w:t>
            </w:r>
          </w:p>
        </w:tc>
        <w:tc>
          <w:tcPr>
            <w:tcW w:w="492" w:type="pct"/>
            <w:tcBorders>
              <w:tl2br w:val="nil"/>
              <w:tr2bl w:val="nil"/>
            </w:tcBorders>
            <w:vAlign w:val="center"/>
          </w:tcPr>
          <w:p w14:paraId="6614BCFC" w14:textId="77777777" w:rsidR="00690D66" w:rsidRPr="00690D66" w:rsidRDefault="00690D66" w:rsidP="00690D66">
            <w:pPr>
              <w:jc w:val="center"/>
              <w:rPr>
                <w:kern w:val="0"/>
              </w:rPr>
            </w:pPr>
            <w:r w:rsidRPr="00690D66">
              <w:rPr>
                <w:kern w:val="0"/>
              </w:rPr>
              <w:t>/</w:t>
            </w:r>
          </w:p>
        </w:tc>
      </w:tr>
      <w:tr w:rsidR="00690D66" w:rsidRPr="00690D66" w14:paraId="1A028423" w14:textId="77777777" w:rsidTr="00454C5A">
        <w:trPr>
          <w:jc w:val="center"/>
        </w:trPr>
        <w:tc>
          <w:tcPr>
            <w:tcW w:w="2537" w:type="pct"/>
            <w:gridSpan w:val="2"/>
            <w:tcBorders>
              <w:tl2br w:val="nil"/>
              <w:tr2bl w:val="nil"/>
            </w:tcBorders>
            <w:vAlign w:val="center"/>
          </w:tcPr>
          <w:p w14:paraId="3E1BD05F" w14:textId="77777777" w:rsidR="00690D66" w:rsidRPr="00690D66" w:rsidRDefault="00690D66" w:rsidP="00690D66">
            <w:pPr>
              <w:jc w:val="center"/>
              <w:rPr>
                <w:kern w:val="0"/>
              </w:rPr>
            </w:pPr>
            <w:r w:rsidRPr="00690D66">
              <w:rPr>
                <w:kern w:val="0"/>
              </w:rPr>
              <w:t>极大风速（</w:t>
            </w:r>
            <w:r w:rsidRPr="00690D66">
              <w:rPr>
                <w:kern w:val="0"/>
              </w:rPr>
              <w:t>m/s</w:t>
            </w:r>
            <w:r w:rsidRPr="00690D66">
              <w:rPr>
                <w:kern w:val="0"/>
              </w:rPr>
              <w:t>）、相应风向</w:t>
            </w:r>
          </w:p>
        </w:tc>
        <w:tc>
          <w:tcPr>
            <w:tcW w:w="860" w:type="pct"/>
            <w:tcBorders>
              <w:tl2br w:val="nil"/>
              <w:tr2bl w:val="nil"/>
            </w:tcBorders>
            <w:vAlign w:val="center"/>
          </w:tcPr>
          <w:p w14:paraId="4C15A3A7" w14:textId="77777777" w:rsidR="00690D66" w:rsidRPr="00690D66" w:rsidRDefault="00690D66" w:rsidP="00690D66">
            <w:pPr>
              <w:jc w:val="center"/>
              <w:rPr>
                <w:kern w:val="0"/>
              </w:rPr>
            </w:pPr>
            <w:r w:rsidRPr="00690D66">
              <w:rPr>
                <w:kern w:val="0"/>
              </w:rPr>
              <w:t>26.2</w:t>
            </w:r>
            <w:r w:rsidRPr="00690D66">
              <w:rPr>
                <w:kern w:val="0"/>
              </w:rPr>
              <w:t>、</w:t>
            </w:r>
            <w:r w:rsidRPr="00690D66">
              <w:rPr>
                <w:kern w:val="0"/>
              </w:rPr>
              <w:t>NW</w:t>
            </w:r>
          </w:p>
        </w:tc>
        <w:tc>
          <w:tcPr>
            <w:tcW w:w="1110" w:type="pct"/>
            <w:tcBorders>
              <w:tl2br w:val="nil"/>
              <w:tr2bl w:val="nil"/>
            </w:tcBorders>
            <w:vAlign w:val="center"/>
          </w:tcPr>
          <w:p w14:paraId="75342105" w14:textId="77777777" w:rsidR="00690D66" w:rsidRPr="00690D66" w:rsidRDefault="00690D66" w:rsidP="00690D66">
            <w:pPr>
              <w:jc w:val="center"/>
              <w:rPr>
                <w:kern w:val="0"/>
              </w:rPr>
            </w:pPr>
            <w:r w:rsidRPr="00690D66">
              <w:rPr>
                <w:kern w:val="0"/>
              </w:rPr>
              <w:t>2019-07-28</w:t>
            </w:r>
          </w:p>
        </w:tc>
        <w:tc>
          <w:tcPr>
            <w:tcW w:w="492" w:type="pct"/>
            <w:tcBorders>
              <w:tl2br w:val="nil"/>
              <w:tr2bl w:val="nil"/>
            </w:tcBorders>
            <w:vAlign w:val="center"/>
          </w:tcPr>
          <w:p w14:paraId="6BE3B779" w14:textId="77777777" w:rsidR="00690D66" w:rsidRPr="00690D66" w:rsidRDefault="00690D66" w:rsidP="00690D66">
            <w:pPr>
              <w:jc w:val="center"/>
              <w:rPr>
                <w:kern w:val="0"/>
              </w:rPr>
            </w:pPr>
            <w:r w:rsidRPr="00690D66">
              <w:rPr>
                <w:kern w:val="0"/>
              </w:rPr>
              <w:t>/</w:t>
            </w:r>
          </w:p>
        </w:tc>
      </w:tr>
      <w:tr w:rsidR="00690D66" w:rsidRPr="00690D66" w14:paraId="5B6C004F" w14:textId="77777777" w:rsidTr="00454C5A">
        <w:trPr>
          <w:trHeight w:val="201"/>
          <w:jc w:val="center"/>
        </w:trPr>
        <w:tc>
          <w:tcPr>
            <w:tcW w:w="1110" w:type="pct"/>
            <w:vMerge w:val="restart"/>
            <w:tcBorders>
              <w:tl2br w:val="nil"/>
              <w:tr2bl w:val="nil"/>
            </w:tcBorders>
            <w:vAlign w:val="center"/>
          </w:tcPr>
          <w:p w14:paraId="6D93EAD5" w14:textId="77777777" w:rsidR="00690D66" w:rsidRPr="00690D66" w:rsidRDefault="00690D66" w:rsidP="00690D66">
            <w:pPr>
              <w:jc w:val="center"/>
              <w:rPr>
                <w:kern w:val="0"/>
              </w:rPr>
            </w:pPr>
            <w:r w:rsidRPr="00690D66">
              <w:rPr>
                <w:kern w:val="0"/>
              </w:rPr>
              <w:t>灾害天气统计</w:t>
            </w:r>
          </w:p>
        </w:tc>
        <w:tc>
          <w:tcPr>
            <w:tcW w:w="1426" w:type="pct"/>
            <w:tcBorders>
              <w:tl2br w:val="nil"/>
              <w:tr2bl w:val="nil"/>
            </w:tcBorders>
            <w:vAlign w:val="center"/>
          </w:tcPr>
          <w:p w14:paraId="5EA4EF74" w14:textId="77777777" w:rsidR="00690D66" w:rsidRPr="00690D66" w:rsidRDefault="00690D66" w:rsidP="00690D66">
            <w:pPr>
              <w:jc w:val="center"/>
              <w:rPr>
                <w:kern w:val="0"/>
              </w:rPr>
            </w:pPr>
            <w:r w:rsidRPr="00690D66">
              <w:rPr>
                <w:kern w:val="0"/>
              </w:rPr>
              <w:t>多年平均雷暴日数</w:t>
            </w:r>
          </w:p>
        </w:tc>
        <w:tc>
          <w:tcPr>
            <w:tcW w:w="860" w:type="pct"/>
            <w:tcBorders>
              <w:tl2br w:val="nil"/>
              <w:tr2bl w:val="nil"/>
            </w:tcBorders>
            <w:vAlign w:val="center"/>
          </w:tcPr>
          <w:p w14:paraId="78831B91" w14:textId="77777777" w:rsidR="00690D66" w:rsidRPr="00690D66" w:rsidRDefault="00690D66" w:rsidP="00690D66">
            <w:pPr>
              <w:jc w:val="center"/>
              <w:rPr>
                <w:kern w:val="0"/>
              </w:rPr>
            </w:pPr>
            <w:r w:rsidRPr="00690D66">
              <w:rPr>
                <w:kern w:val="0"/>
              </w:rPr>
              <w:t>20.8</w:t>
            </w:r>
          </w:p>
        </w:tc>
        <w:tc>
          <w:tcPr>
            <w:tcW w:w="1110" w:type="pct"/>
            <w:tcBorders>
              <w:tl2br w:val="nil"/>
              <w:tr2bl w:val="nil"/>
            </w:tcBorders>
            <w:vAlign w:val="center"/>
          </w:tcPr>
          <w:p w14:paraId="58C56F21" w14:textId="77777777" w:rsidR="00690D66" w:rsidRPr="00690D66" w:rsidRDefault="00690D66" w:rsidP="00690D66">
            <w:pPr>
              <w:jc w:val="center"/>
              <w:rPr>
                <w:kern w:val="0"/>
              </w:rPr>
            </w:pPr>
            <w:r w:rsidRPr="00690D66">
              <w:rPr>
                <w:kern w:val="0"/>
              </w:rPr>
              <w:t>/</w:t>
            </w:r>
          </w:p>
        </w:tc>
        <w:tc>
          <w:tcPr>
            <w:tcW w:w="492" w:type="pct"/>
            <w:tcBorders>
              <w:tl2br w:val="nil"/>
              <w:tr2bl w:val="nil"/>
            </w:tcBorders>
            <w:vAlign w:val="center"/>
          </w:tcPr>
          <w:p w14:paraId="29451CBB" w14:textId="77777777" w:rsidR="00690D66" w:rsidRPr="00690D66" w:rsidRDefault="00690D66" w:rsidP="00690D66">
            <w:pPr>
              <w:jc w:val="center"/>
              <w:rPr>
                <w:kern w:val="0"/>
              </w:rPr>
            </w:pPr>
            <w:r w:rsidRPr="00690D66">
              <w:rPr>
                <w:kern w:val="0"/>
              </w:rPr>
              <w:t>/</w:t>
            </w:r>
          </w:p>
        </w:tc>
      </w:tr>
      <w:tr w:rsidR="00690D66" w:rsidRPr="00690D66" w14:paraId="396836F3" w14:textId="77777777" w:rsidTr="00454C5A">
        <w:trPr>
          <w:jc w:val="center"/>
        </w:trPr>
        <w:tc>
          <w:tcPr>
            <w:tcW w:w="1110" w:type="pct"/>
            <w:vMerge/>
            <w:tcBorders>
              <w:tl2br w:val="nil"/>
              <w:tr2bl w:val="nil"/>
            </w:tcBorders>
            <w:vAlign w:val="center"/>
          </w:tcPr>
          <w:p w14:paraId="5954B063" w14:textId="77777777" w:rsidR="00690D66" w:rsidRPr="00690D66" w:rsidRDefault="00690D66" w:rsidP="00690D66">
            <w:pPr>
              <w:jc w:val="center"/>
              <w:rPr>
                <w:kern w:val="0"/>
              </w:rPr>
            </w:pPr>
          </w:p>
        </w:tc>
        <w:tc>
          <w:tcPr>
            <w:tcW w:w="1426" w:type="pct"/>
            <w:tcBorders>
              <w:tl2br w:val="nil"/>
              <w:tr2bl w:val="nil"/>
            </w:tcBorders>
            <w:vAlign w:val="center"/>
          </w:tcPr>
          <w:p w14:paraId="20FFB011" w14:textId="77777777" w:rsidR="00690D66" w:rsidRPr="00690D66" w:rsidRDefault="00690D66" w:rsidP="00690D66">
            <w:pPr>
              <w:jc w:val="center"/>
              <w:rPr>
                <w:kern w:val="0"/>
              </w:rPr>
            </w:pPr>
            <w:r w:rsidRPr="00690D66">
              <w:rPr>
                <w:kern w:val="0"/>
              </w:rPr>
              <w:t>多年平均大风日数</w:t>
            </w:r>
          </w:p>
        </w:tc>
        <w:tc>
          <w:tcPr>
            <w:tcW w:w="860" w:type="pct"/>
            <w:tcBorders>
              <w:tl2br w:val="nil"/>
              <w:tr2bl w:val="nil"/>
            </w:tcBorders>
            <w:vAlign w:val="center"/>
          </w:tcPr>
          <w:p w14:paraId="0C123773" w14:textId="77777777" w:rsidR="00690D66" w:rsidRPr="00690D66" w:rsidRDefault="00690D66" w:rsidP="00690D66">
            <w:pPr>
              <w:jc w:val="center"/>
              <w:rPr>
                <w:kern w:val="0"/>
              </w:rPr>
            </w:pPr>
            <w:r w:rsidRPr="00690D66">
              <w:rPr>
                <w:kern w:val="0"/>
              </w:rPr>
              <w:t>3.5</w:t>
            </w:r>
          </w:p>
        </w:tc>
        <w:tc>
          <w:tcPr>
            <w:tcW w:w="1110" w:type="pct"/>
            <w:tcBorders>
              <w:tl2br w:val="nil"/>
              <w:tr2bl w:val="nil"/>
            </w:tcBorders>
            <w:vAlign w:val="center"/>
          </w:tcPr>
          <w:p w14:paraId="31E5DDE4" w14:textId="77777777" w:rsidR="00690D66" w:rsidRPr="00690D66" w:rsidRDefault="00690D66" w:rsidP="00690D66">
            <w:pPr>
              <w:jc w:val="center"/>
              <w:rPr>
                <w:kern w:val="0"/>
              </w:rPr>
            </w:pPr>
            <w:r w:rsidRPr="00690D66">
              <w:rPr>
                <w:kern w:val="0"/>
              </w:rPr>
              <w:t>/</w:t>
            </w:r>
          </w:p>
        </w:tc>
        <w:tc>
          <w:tcPr>
            <w:tcW w:w="492" w:type="pct"/>
            <w:tcBorders>
              <w:tl2br w:val="nil"/>
              <w:tr2bl w:val="nil"/>
            </w:tcBorders>
            <w:vAlign w:val="center"/>
          </w:tcPr>
          <w:p w14:paraId="5A7E469F" w14:textId="77777777" w:rsidR="00690D66" w:rsidRPr="00690D66" w:rsidRDefault="00690D66" w:rsidP="00690D66">
            <w:pPr>
              <w:jc w:val="center"/>
              <w:rPr>
                <w:kern w:val="0"/>
              </w:rPr>
            </w:pPr>
            <w:r w:rsidRPr="00690D66">
              <w:rPr>
                <w:kern w:val="0"/>
              </w:rPr>
              <w:t>/</w:t>
            </w:r>
          </w:p>
        </w:tc>
      </w:tr>
      <w:tr w:rsidR="00690D66" w:rsidRPr="00690D66" w14:paraId="6FA132CE" w14:textId="77777777" w:rsidTr="00454C5A">
        <w:trPr>
          <w:jc w:val="center"/>
        </w:trPr>
        <w:tc>
          <w:tcPr>
            <w:tcW w:w="1110" w:type="pct"/>
            <w:vMerge/>
            <w:tcBorders>
              <w:tl2br w:val="nil"/>
              <w:tr2bl w:val="nil"/>
            </w:tcBorders>
            <w:vAlign w:val="center"/>
          </w:tcPr>
          <w:p w14:paraId="6E10E569" w14:textId="77777777" w:rsidR="00690D66" w:rsidRPr="00690D66" w:rsidRDefault="00690D66" w:rsidP="00690D66">
            <w:pPr>
              <w:jc w:val="center"/>
              <w:rPr>
                <w:kern w:val="0"/>
              </w:rPr>
            </w:pPr>
          </w:p>
        </w:tc>
        <w:tc>
          <w:tcPr>
            <w:tcW w:w="1426" w:type="pct"/>
            <w:tcBorders>
              <w:tl2br w:val="nil"/>
              <w:tr2bl w:val="nil"/>
            </w:tcBorders>
            <w:vAlign w:val="center"/>
          </w:tcPr>
          <w:p w14:paraId="193DE4E2" w14:textId="77777777" w:rsidR="00690D66" w:rsidRPr="00690D66" w:rsidRDefault="00690D66" w:rsidP="00690D66">
            <w:pPr>
              <w:jc w:val="center"/>
              <w:rPr>
                <w:kern w:val="0"/>
              </w:rPr>
            </w:pPr>
            <w:r w:rsidRPr="00690D66">
              <w:rPr>
                <w:kern w:val="0"/>
              </w:rPr>
              <w:t>多年平均冰雹日数</w:t>
            </w:r>
          </w:p>
        </w:tc>
        <w:tc>
          <w:tcPr>
            <w:tcW w:w="860" w:type="pct"/>
            <w:tcBorders>
              <w:tl2br w:val="nil"/>
              <w:tr2bl w:val="nil"/>
            </w:tcBorders>
            <w:vAlign w:val="center"/>
          </w:tcPr>
          <w:p w14:paraId="76826FC4" w14:textId="77777777" w:rsidR="00690D66" w:rsidRPr="00690D66" w:rsidRDefault="00690D66" w:rsidP="00690D66">
            <w:pPr>
              <w:jc w:val="center"/>
              <w:rPr>
                <w:kern w:val="0"/>
              </w:rPr>
            </w:pPr>
            <w:r w:rsidRPr="00690D66">
              <w:rPr>
                <w:kern w:val="0"/>
              </w:rPr>
              <w:t>0.6</w:t>
            </w:r>
          </w:p>
        </w:tc>
        <w:tc>
          <w:tcPr>
            <w:tcW w:w="1110" w:type="pct"/>
            <w:tcBorders>
              <w:tl2br w:val="nil"/>
              <w:tr2bl w:val="nil"/>
            </w:tcBorders>
            <w:vAlign w:val="center"/>
          </w:tcPr>
          <w:p w14:paraId="05069EDA" w14:textId="77777777" w:rsidR="00690D66" w:rsidRPr="00690D66" w:rsidRDefault="00690D66" w:rsidP="00690D66">
            <w:pPr>
              <w:jc w:val="center"/>
              <w:rPr>
                <w:kern w:val="0"/>
              </w:rPr>
            </w:pPr>
            <w:r w:rsidRPr="00690D66">
              <w:rPr>
                <w:kern w:val="0"/>
              </w:rPr>
              <w:t>/</w:t>
            </w:r>
          </w:p>
        </w:tc>
        <w:tc>
          <w:tcPr>
            <w:tcW w:w="492" w:type="pct"/>
            <w:tcBorders>
              <w:tl2br w:val="nil"/>
              <w:tr2bl w:val="nil"/>
            </w:tcBorders>
            <w:vAlign w:val="center"/>
          </w:tcPr>
          <w:p w14:paraId="6A08D35B" w14:textId="77777777" w:rsidR="00690D66" w:rsidRPr="00690D66" w:rsidRDefault="00690D66" w:rsidP="00690D66">
            <w:pPr>
              <w:jc w:val="center"/>
              <w:rPr>
                <w:kern w:val="0"/>
              </w:rPr>
            </w:pPr>
          </w:p>
        </w:tc>
      </w:tr>
    </w:tbl>
    <w:p w14:paraId="1627067E" w14:textId="60414436" w:rsidR="00690D66" w:rsidRPr="00857E7A" w:rsidRDefault="00690D66" w:rsidP="005D74E7">
      <w:pPr>
        <w:pStyle w:val="affffff4"/>
      </w:pPr>
      <w:r w:rsidRPr="00857E7A">
        <w:t>（</w:t>
      </w:r>
      <w:r w:rsidR="001025A4">
        <w:rPr>
          <w:rFonts w:hint="eastAsia"/>
        </w:rPr>
        <w:t>7</w:t>
      </w:r>
      <w:r w:rsidRPr="00857E7A">
        <w:t>）气象站风观测数据统计</w:t>
      </w:r>
    </w:p>
    <w:p w14:paraId="7230DAC6" w14:textId="77777777" w:rsidR="00690D66" w:rsidRPr="00857E7A" w:rsidRDefault="00690D66" w:rsidP="005D74E7">
      <w:pPr>
        <w:pStyle w:val="affffff4"/>
      </w:pPr>
      <w:r w:rsidRPr="00857E7A">
        <w:rPr>
          <w:rFonts w:ascii="Cambria Math" w:hAnsi="Cambria Math" w:cs="Cambria Math"/>
        </w:rPr>
        <w:t>①</w:t>
      </w:r>
      <w:r w:rsidRPr="00857E7A">
        <w:t>月平均风速</w:t>
      </w:r>
    </w:p>
    <w:p w14:paraId="5745D750" w14:textId="77777777" w:rsidR="00690D66" w:rsidRPr="00857E7A" w:rsidRDefault="00690D66" w:rsidP="005D74E7">
      <w:pPr>
        <w:pStyle w:val="affffff4"/>
      </w:pPr>
      <w:r w:rsidRPr="00857E7A">
        <w:t>大庆气象站月平均风速见表</w:t>
      </w:r>
      <w:r w:rsidRPr="00857E7A">
        <w:t>5.1-2</w:t>
      </w:r>
      <w:r w:rsidRPr="00857E7A">
        <w:t>，</w:t>
      </w:r>
      <w:r w:rsidRPr="00857E7A">
        <w:t>04</w:t>
      </w:r>
      <w:r w:rsidRPr="00857E7A">
        <w:t>月平均风速最大（</w:t>
      </w:r>
      <w:r w:rsidRPr="00857E7A">
        <w:t>3.7m/s</w:t>
      </w:r>
      <w:r w:rsidRPr="00857E7A">
        <w:t>），</w:t>
      </w:r>
      <w:r w:rsidRPr="00857E7A">
        <w:t>1</w:t>
      </w:r>
      <w:r w:rsidRPr="00857E7A">
        <w:t>月风最小（</w:t>
      </w:r>
      <w:r w:rsidRPr="00857E7A">
        <w:t>2.27m/s</w:t>
      </w:r>
      <w:r w:rsidRPr="00857E7A">
        <w:t>）。</w:t>
      </w:r>
    </w:p>
    <w:p w14:paraId="2D61FBCB" w14:textId="4A5E6C03" w:rsidR="00690D66" w:rsidRPr="00FE469A" w:rsidRDefault="00690D66" w:rsidP="00FE469A">
      <w:pPr>
        <w:pStyle w:val="affffff5"/>
        <w:tabs>
          <w:tab w:val="left" w:pos="0"/>
        </w:tabs>
        <w:ind w:firstLine="400"/>
      </w:pPr>
      <w:r w:rsidRPr="00FE469A">
        <w:t>表</w:t>
      </w:r>
      <w:r w:rsidR="00D51CED">
        <w:rPr>
          <w:rFonts w:hint="eastAsia"/>
        </w:rPr>
        <w:t>6.2-</w:t>
      </w:r>
      <w:r w:rsidR="004F102D">
        <w:rPr>
          <w:rFonts w:hint="eastAsia"/>
        </w:rPr>
        <w:t>5</w:t>
      </w:r>
      <w:r w:rsidRPr="00FE469A">
        <w:t xml:space="preserve">  </w:t>
      </w:r>
      <w:r w:rsidRPr="00FE469A">
        <w:t>气象站月平均风速统计（单位</w:t>
      </w:r>
      <w:r w:rsidRPr="00FE469A">
        <w:t xml:space="preserve"> m/s</w:t>
      </w:r>
      <w:r w:rsidRPr="00FE469A">
        <w:t>）</w:t>
      </w:r>
    </w:p>
    <w:tbl>
      <w:tblPr>
        <w:tblStyle w:val="TableNormal5"/>
        <w:tblW w:w="4996" w:type="pct"/>
        <w:jc w:val="center"/>
        <w:tblInd w:w="0"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ook w:val="04A0" w:firstRow="1" w:lastRow="0" w:firstColumn="1" w:lastColumn="0" w:noHBand="0" w:noVBand="1"/>
      </w:tblPr>
      <w:tblGrid>
        <w:gridCol w:w="1803"/>
        <w:gridCol w:w="582"/>
        <w:gridCol w:w="582"/>
        <w:gridCol w:w="582"/>
        <w:gridCol w:w="582"/>
        <w:gridCol w:w="582"/>
        <w:gridCol w:w="582"/>
        <w:gridCol w:w="582"/>
        <w:gridCol w:w="582"/>
        <w:gridCol w:w="583"/>
        <w:gridCol w:w="583"/>
        <w:gridCol w:w="583"/>
        <w:gridCol w:w="599"/>
      </w:tblGrid>
      <w:tr w:rsidR="00690D66" w:rsidRPr="00690D66" w14:paraId="1F61B2D1" w14:textId="77777777" w:rsidTr="00454C5A">
        <w:trPr>
          <w:jc w:val="center"/>
        </w:trPr>
        <w:tc>
          <w:tcPr>
            <w:tcW w:w="1022" w:type="pct"/>
            <w:tcBorders>
              <w:bottom w:val="single" w:sz="6" w:space="0" w:color="000000"/>
              <w:right w:val="single" w:sz="6" w:space="0" w:color="000000"/>
            </w:tcBorders>
            <w:shd w:val="clear" w:color="auto" w:fill="FFFFFF"/>
          </w:tcPr>
          <w:p w14:paraId="23056B85" w14:textId="77777777" w:rsidR="00690D66" w:rsidRPr="00690D66" w:rsidRDefault="00690D66" w:rsidP="00690D66">
            <w:pPr>
              <w:jc w:val="center"/>
              <w:rPr>
                <w:kern w:val="0"/>
              </w:rPr>
            </w:pPr>
            <w:r w:rsidRPr="00690D66">
              <w:rPr>
                <w:kern w:val="0"/>
              </w:rPr>
              <w:t>月份</w:t>
            </w:r>
          </w:p>
        </w:tc>
        <w:tc>
          <w:tcPr>
            <w:tcW w:w="330" w:type="pct"/>
            <w:tcBorders>
              <w:left w:val="single" w:sz="6" w:space="0" w:color="000000"/>
              <w:bottom w:val="single" w:sz="6" w:space="0" w:color="000000"/>
              <w:right w:val="single" w:sz="6" w:space="0" w:color="000000"/>
            </w:tcBorders>
          </w:tcPr>
          <w:p w14:paraId="21FA9FD1" w14:textId="77777777" w:rsidR="00690D66" w:rsidRPr="00690D66" w:rsidRDefault="00690D66" w:rsidP="00690D66">
            <w:pPr>
              <w:jc w:val="center"/>
              <w:rPr>
                <w:kern w:val="0"/>
              </w:rPr>
            </w:pPr>
            <w:r w:rsidRPr="00690D66">
              <w:rPr>
                <w:kern w:val="0"/>
              </w:rPr>
              <w:t>1</w:t>
            </w:r>
          </w:p>
        </w:tc>
        <w:tc>
          <w:tcPr>
            <w:tcW w:w="330" w:type="pct"/>
            <w:tcBorders>
              <w:left w:val="single" w:sz="6" w:space="0" w:color="000000"/>
              <w:bottom w:val="single" w:sz="6" w:space="0" w:color="000000"/>
              <w:right w:val="single" w:sz="6" w:space="0" w:color="000000"/>
            </w:tcBorders>
          </w:tcPr>
          <w:p w14:paraId="26D1C7E1" w14:textId="77777777" w:rsidR="00690D66" w:rsidRPr="00690D66" w:rsidRDefault="00690D66" w:rsidP="00690D66">
            <w:pPr>
              <w:jc w:val="center"/>
              <w:rPr>
                <w:kern w:val="0"/>
              </w:rPr>
            </w:pPr>
            <w:r w:rsidRPr="00690D66">
              <w:rPr>
                <w:kern w:val="0"/>
              </w:rPr>
              <w:t>2</w:t>
            </w:r>
          </w:p>
        </w:tc>
        <w:tc>
          <w:tcPr>
            <w:tcW w:w="330" w:type="pct"/>
            <w:tcBorders>
              <w:left w:val="single" w:sz="6" w:space="0" w:color="000000"/>
              <w:bottom w:val="single" w:sz="6" w:space="0" w:color="000000"/>
              <w:right w:val="single" w:sz="6" w:space="0" w:color="000000"/>
            </w:tcBorders>
          </w:tcPr>
          <w:p w14:paraId="58EDC9FE" w14:textId="77777777" w:rsidR="00690D66" w:rsidRPr="00690D66" w:rsidRDefault="00690D66" w:rsidP="00690D66">
            <w:pPr>
              <w:jc w:val="center"/>
              <w:rPr>
                <w:kern w:val="0"/>
              </w:rPr>
            </w:pPr>
            <w:r w:rsidRPr="00690D66">
              <w:rPr>
                <w:kern w:val="0"/>
              </w:rPr>
              <w:t>3</w:t>
            </w:r>
          </w:p>
        </w:tc>
        <w:tc>
          <w:tcPr>
            <w:tcW w:w="330" w:type="pct"/>
            <w:tcBorders>
              <w:left w:val="single" w:sz="6" w:space="0" w:color="000000"/>
              <w:bottom w:val="single" w:sz="6" w:space="0" w:color="000000"/>
              <w:right w:val="single" w:sz="6" w:space="0" w:color="000000"/>
            </w:tcBorders>
          </w:tcPr>
          <w:p w14:paraId="356B0B83" w14:textId="77777777" w:rsidR="00690D66" w:rsidRPr="00690D66" w:rsidRDefault="00690D66" w:rsidP="00690D66">
            <w:pPr>
              <w:jc w:val="center"/>
              <w:rPr>
                <w:kern w:val="0"/>
              </w:rPr>
            </w:pPr>
            <w:r w:rsidRPr="00690D66">
              <w:rPr>
                <w:kern w:val="0"/>
              </w:rPr>
              <w:t>4</w:t>
            </w:r>
          </w:p>
        </w:tc>
        <w:tc>
          <w:tcPr>
            <w:tcW w:w="330" w:type="pct"/>
            <w:tcBorders>
              <w:left w:val="single" w:sz="6" w:space="0" w:color="000000"/>
              <w:bottom w:val="single" w:sz="6" w:space="0" w:color="000000"/>
              <w:right w:val="single" w:sz="6" w:space="0" w:color="000000"/>
            </w:tcBorders>
          </w:tcPr>
          <w:p w14:paraId="66A56C31" w14:textId="77777777" w:rsidR="00690D66" w:rsidRPr="00690D66" w:rsidRDefault="00690D66" w:rsidP="00690D66">
            <w:pPr>
              <w:jc w:val="center"/>
              <w:rPr>
                <w:kern w:val="0"/>
              </w:rPr>
            </w:pPr>
            <w:r w:rsidRPr="00690D66">
              <w:rPr>
                <w:kern w:val="0"/>
              </w:rPr>
              <w:t>5</w:t>
            </w:r>
          </w:p>
        </w:tc>
        <w:tc>
          <w:tcPr>
            <w:tcW w:w="330" w:type="pct"/>
            <w:tcBorders>
              <w:left w:val="single" w:sz="6" w:space="0" w:color="000000"/>
              <w:bottom w:val="single" w:sz="6" w:space="0" w:color="000000"/>
              <w:right w:val="single" w:sz="6" w:space="0" w:color="000000"/>
            </w:tcBorders>
          </w:tcPr>
          <w:p w14:paraId="73347834" w14:textId="77777777" w:rsidR="00690D66" w:rsidRPr="00690D66" w:rsidRDefault="00690D66" w:rsidP="00690D66">
            <w:pPr>
              <w:jc w:val="center"/>
              <w:rPr>
                <w:kern w:val="0"/>
              </w:rPr>
            </w:pPr>
            <w:r w:rsidRPr="00690D66">
              <w:rPr>
                <w:kern w:val="0"/>
              </w:rPr>
              <w:t>6</w:t>
            </w:r>
          </w:p>
        </w:tc>
        <w:tc>
          <w:tcPr>
            <w:tcW w:w="330" w:type="pct"/>
            <w:tcBorders>
              <w:left w:val="single" w:sz="6" w:space="0" w:color="000000"/>
              <w:bottom w:val="single" w:sz="6" w:space="0" w:color="000000"/>
              <w:right w:val="single" w:sz="6" w:space="0" w:color="000000"/>
            </w:tcBorders>
          </w:tcPr>
          <w:p w14:paraId="3EF44C04" w14:textId="77777777" w:rsidR="00690D66" w:rsidRPr="00690D66" w:rsidRDefault="00690D66" w:rsidP="00690D66">
            <w:pPr>
              <w:jc w:val="center"/>
              <w:rPr>
                <w:kern w:val="0"/>
              </w:rPr>
            </w:pPr>
            <w:r w:rsidRPr="00690D66">
              <w:rPr>
                <w:kern w:val="0"/>
              </w:rPr>
              <w:t>7</w:t>
            </w:r>
          </w:p>
        </w:tc>
        <w:tc>
          <w:tcPr>
            <w:tcW w:w="330" w:type="pct"/>
            <w:tcBorders>
              <w:left w:val="single" w:sz="6" w:space="0" w:color="000000"/>
              <w:bottom w:val="single" w:sz="6" w:space="0" w:color="000000"/>
              <w:right w:val="single" w:sz="6" w:space="0" w:color="000000"/>
            </w:tcBorders>
          </w:tcPr>
          <w:p w14:paraId="3D15094C" w14:textId="77777777" w:rsidR="00690D66" w:rsidRPr="00690D66" w:rsidRDefault="00690D66" w:rsidP="00690D66">
            <w:pPr>
              <w:jc w:val="center"/>
              <w:rPr>
                <w:kern w:val="0"/>
              </w:rPr>
            </w:pPr>
            <w:r w:rsidRPr="00690D66">
              <w:rPr>
                <w:kern w:val="0"/>
              </w:rPr>
              <w:t>8</w:t>
            </w:r>
          </w:p>
        </w:tc>
        <w:tc>
          <w:tcPr>
            <w:tcW w:w="330" w:type="pct"/>
            <w:tcBorders>
              <w:left w:val="single" w:sz="6" w:space="0" w:color="000000"/>
              <w:bottom w:val="single" w:sz="6" w:space="0" w:color="000000"/>
              <w:right w:val="single" w:sz="6" w:space="0" w:color="000000"/>
            </w:tcBorders>
          </w:tcPr>
          <w:p w14:paraId="6B128C43" w14:textId="77777777" w:rsidR="00690D66" w:rsidRPr="00690D66" w:rsidRDefault="00690D66" w:rsidP="00690D66">
            <w:pPr>
              <w:jc w:val="center"/>
              <w:rPr>
                <w:kern w:val="0"/>
              </w:rPr>
            </w:pPr>
            <w:r w:rsidRPr="00690D66">
              <w:rPr>
                <w:kern w:val="0"/>
              </w:rPr>
              <w:t>9</w:t>
            </w:r>
          </w:p>
        </w:tc>
        <w:tc>
          <w:tcPr>
            <w:tcW w:w="330" w:type="pct"/>
            <w:tcBorders>
              <w:left w:val="single" w:sz="6" w:space="0" w:color="000000"/>
              <w:bottom w:val="single" w:sz="6" w:space="0" w:color="000000"/>
              <w:right w:val="single" w:sz="6" w:space="0" w:color="000000"/>
            </w:tcBorders>
          </w:tcPr>
          <w:p w14:paraId="419BD682" w14:textId="77777777" w:rsidR="00690D66" w:rsidRPr="00690D66" w:rsidRDefault="00690D66" w:rsidP="00690D66">
            <w:pPr>
              <w:jc w:val="center"/>
              <w:rPr>
                <w:kern w:val="0"/>
              </w:rPr>
            </w:pPr>
            <w:r w:rsidRPr="00690D66">
              <w:rPr>
                <w:kern w:val="0"/>
              </w:rPr>
              <w:t>10</w:t>
            </w:r>
          </w:p>
        </w:tc>
        <w:tc>
          <w:tcPr>
            <w:tcW w:w="330" w:type="pct"/>
            <w:tcBorders>
              <w:left w:val="single" w:sz="6" w:space="0" w:color="000000"/>
              <w:bottom w:val="single" w:sz="6" w:space="0" w:color="000000"/>
              <w:right w:val="single" w:sz="6" w:space="0" w:color="000000"/>
            </w:tcBorders>
          </w:tcPr>
          <w:p w14:paraId="12810FEC" w14:textId="77777777" w:rsidR="00690D66" w:rsidRPr="00690D66" w:rsidRDefault="00690D66" w:rsidP="00690D66">
            <w:pPr>
              <w:jc w:val="center"/>
              <w:rPr>
                <w:kern w:val="0"/>
              </w:rPr>
            </w:pPr>
            <w:r w:rsidRPr="00690D66">
              <w:rPr>
                <w:kern w:val="0"/>
              </w:rPr>
              <w:t>11</w:t>
            </w:r>
          </w:p>
        </w:tc>
        <w:tc>
          <w:tcPr>
            <w:tcW w:w="339" w:type="pct"/>
            <w:tcBorders>
              <w:left w:val="single" w:sz="6" w:space="0" w:color="000000"/>
              <w:bottom w:val="single" w:sz="6" w:space="0" w:color="000000"/>
            </w:tcBorders>
          </w:tcPr>
          <w:p w14:paraId="7C4C8A47" w14:textId="77777777" w:rsidR="00690D66" w:rsidRPr="00690D66" w:rsidRDefault="00690D66" w:rsidP="00690D66">
            <w:pPr>
              <w:jc w:val="center"/>
              <w:rPr>
                <w:kern w:val="0"/>
              </w:rPr>
            </w:pPr>
            <w:r w:rsidRPr="00690D66">
              <w:rPr>
                <w:kern w:val="0"/>
              </w:rPr>
              <w:t>12</w:t>
            </w:r>
          </w:p>
        </w:tc>
      </w:tr>
      <w:tr w:rsidR="00690D66" w:rsidRPr="00690D66" w14:paraId="69E21F50" w14:textId="77777777" w:rsidTr="00454C5A">
        <w:trPr>
          <w:jc w:val="center"/>
        </w:trPr>
        <w:tc>
          <w:tcPr>
            <w:tcW w:w="1022" w:type="pct"/>
            <w:tcBorders>
              <w:top w:val="single" w:sz="6" w:space="0" w:color="000000"/>
              <w:right w:val="single" w:sz="6" w:space="0" w:color="000000"/>
            </w:tcBorders>
            <w:shd w:val="clear" w:color="auto" w:fill="FFFFFF"/>
          </w:tcPr>
          <w:p w14:paraId="0215BA7F" w14:textId="77777777" w:rsidR="00690D66" w:rsidRPr="00690D66" w:rsidRDefault="00690D66" w:rsidP="00690D66">
            <w:pPr>
              <w:jc w:val="center"/>
              <w:rPr>
                <w:kern w:val="0"/>
              </w:rPr>
            </w:pPr>
            <w:r w:rsidRPr="00690D66">
              <w:rPr>
                <w:kern w:val="0"/>
              </w:rPr>
              <w:t>平均风速</w:t>
            </w:r>
          </w:p>
        </w:tc>
        <w:tc>
          <w:tcPr>
            <w:tcW w:w="550" w:type="dxa"/>
            <w:tcBorders>
              <w:top w:val="single" w:sz="6" w:space="0" w:color="000000"/>
              <w:left w:val="single" w:sz="6" w:space="0" w:color="000000"/>
              <w:right w:val="single" w:sz="6" w:space="0" w:color="000000"/>
            </w:tcBorders>
            <w:vAlign w:val="bottom"/>
          </w:tcPr>
          <w:p w14:paraId="16A040F4" w14:textId="77777777" w:rsidR="00690D66" w:rsidRPr="00690D66" w:rsidRDefault="00690D66" w:rsidP="00690D66">
            <w:pPr>
              <w:widowControl/>
              <w:jc w:val="center"/>
              <w:textAlignment w:val="bottom"/>
              <w:rPr>
                <w:kern w:val="0"/>
              </w:rPr>
            </w:pPr>
            <w:r w:rsidRPr="00690D66">
              <w:rPr>
                <w:kern w:val="0"/>
                <w:lang w:bidi="ar"/>
              </w:rPr>
              <w:t>2.27</w:t>
            </w:r>
          </w:p>
        </w:tc>
        <w:tc>
          <w:tcPr>
            <w:tcW w:w="550" w:type="dxa"/>
            <w:tcBorders>
              <w:top w:val="single" w:sz="6" w:space="0" w:color="000000"/>
              <w:left w:val="single" w:sz="6" w:space="0" w:color="000000"/>
              <w:right w:val="single" w:sz="6" w:space="0" w:color="000000"/>
            </w:tcBorders>
            <w:vAlign w:val="bottom"/>
          </w:tcPr>
          <w:p w14:paraId="1CE88791" w14:textId="77777777" w:rsidR="00690D66" w:rsidRPr="00690D66" w:rsidRDefault="00690D66" w:rsidP="00690D66">
            <w:pPr>
              <w:widowControl/>
              <w:jc w:val="center"/>
              <w:textAlignment w:val="bottom"/>
              <w:rPr>
                <w:kern w:val="0"/>
              </w:rPr>
            </w:pPr>
            <w:r w:rsidRPr="00690D66">
              <w:rPr>
                <w:kern w:val="0"/>
                <w:lang w:bidi="ar"/>
              </w:rPr>
              <w:t>2.50</w:t>
            </w:r>
          </w:p>
        </w:tc>
        <w:tc>
          <w:tcPr>
            <w:tcW w:w="550" w:type="dxa"/>
            <w:tcBorders>
              <w:top w:val="single" w:sz="6" w:space="0" w:color="000000"/>
              <w:left w:val="single" w:sz="6" w:space="0" w:color="000000"/>
              <w:right w:val="single" w:sz="6" w:space="0" w:color="000000"/>
            </w:tcBorders>
            <w:vAlign w:val="bottom"/>
          </w:tcPr>
          <w:p w14:paraId="1FA595A0" w14:textId="77777777" w:rsidR="00690D66" w:rsidRPr="00690D66" w:rsidRDefault="00690D66" w:rsidP="00690D66">
            <w:pPr>
              <w:widowControl/>
              <w:jc w:val="center"/>
              <w:textAlignment w:val="bottom"/>
              <w:rPr>
                <w:kern w:val="0"/>
              </w:rPr>
            </w:pPr>
            <w:r w:rsidRPr="00690D66">
              <w:rPr>
                <w:kern w:val="0"/>
                <w:lang w:bidi="ar"/>
              </w:rPr>
              <w:t>3.20</w:t>
            </w:r>
          </w:p>
        </w:tc>
        <w:tc>
          <w:tcPr>
            <w:tcW w:w="551" w:type="dxa"/>
            <w:tcBorders>
              <w:top w:val="single" w:sz="6" w:space="0" w:color="000000"/>
              <w:left w:val="single" w:sz="6" w:space="0" w:color="000000"/>
              <w:right w:val="single" w:sz="6" w:space="0" w:color="000000"/>
            </w:tcBorders>
            <w:vAlign w:val="bottom"/>
          </w:tcPr>
          <w:p w14:paraId="2E69EDB3" w14:textId="77777777" w:rsidR="00690D66" w:rsidRPr="00690D66" w:rsidRDefault="00690D66" w:rsidP="00690D66">
            <w:pPr>
              <w:widowControl/>
              <w:jc w:val="center"/>
              <w:textAlignment w:val="bottom"/>
              <w:rPr>
                <w:kern w:val="0"/>
              </w:rPr>
            </w:pPr>
            <w:r w:rsidRPr="00690D66">
              <w:rPr>
                <w:kern w:val="0"/>
                <w:lang w:bidi="ar"/>
              </w:rPr>
              <w:t>3.70</w:t>
            </w:r>
          </w:p>
        </w:tc>
        <w:tc>
          <w:tcPr>
            <w:tcW w:w="551" w:type="dxa"/>
            <w:tcBorders>
              <w:top w:val="single" w:sz="6" w:space="0" w:color="000000"/>
              <w:left w:val="single" w:sz="6" w:space="0" w:color="000000"/>
              <w:right w:val="single" w:sz="6" w:space="0" w:color="000000"/>
            </w:tcBorders>
            <w:vAlign w:val="bottom"/>
          </w:tcPr>
          <w:p w14:paraId="30D0A5F3" w14:textId="77777777" w:rsidR="00690D66" w:rsidRPr="00690D66" w:rsidRDefault="00690D66" w:rsidP="00690D66">
            <w:pPr>
              <w:widowControl/>
              <w:jc w:val="center"/>
              <w:textAlignment w:val="bottom"/>
              <w:rPr>
                <w:kern w:val="0"/>
              </w:rPr>
            </w:pPr>
            <w:r w:rsidRPr="00690D66">
              <w:rPr>
                <w:kern w:val="0"/>
                <w:lang w:bidi="ar"/>
              </w:rPr>
              <w:t>3.42</w:t>
            </w:r>
          </w:p>
        </w:tc>
        <w:tc>
          <w:tcPr>
            <w:tcW w:w="551" w:type="dxa"/>
            <w:tcBorders>
              <w:top w:val="single" w:sz="6" w:space="0" w:color="000000"/>
              <w:left w:val="single" w:sz="6" w:space="0" w:color="000000"/>
              <w:right w:val="single" w:sz="6" w:space="0" w:color="000000"/>
            </w:tcBorders>
            <w:vAlign w:val="bottom"/>
          </w:tcPr>
          <w:p w14:paraId="4F7B1E6A" w14:textId="77777777" w:rsidR="00690D66" w:rsidRPr="00690D66" w:rsidRDefault="00690D66" w:rsidP="00690D66">
            <w:pPr>
              <w:widowControl/>
              <w:jc w:val="center"/>
              <w:textAlignment w:val="bottom"/>
              <w:rPr>
                <w:kern w:val="0"/>
              </w:rPr>
            </w:pPr>
            <w:r w:rsidRPr="00690D66">
              <w:rPr>
                <w:kern w:val="0"/>
                <w:lang w:bidi="ar"/>
              </w:rPr>
              <w:t>2.77</w:t>
            </w:r>
          </w:p>
        </w:tc>
        <w:tc>
          <w:tcPr>
            <w:tcW w:w="551" w:type="dxa"/>
            <w:tcBorders>
              <w:top w:val="single" w:sz="6" w:space="0" w:color="000000"/>
              <w:left w:val="single" w:sz="6" w:space="0" w:color="000000"/>
              <w:right w:val="single" w:sz="6" w:space="0" w:color="000000"/>
            </w:tcBorders>
            <w:vAlign w:val="bottom"/>
          </w:tcPr>
          <w:p w14:paraId="414A98C2" w14:textId="77777777" w:rsidR="00690D66" w:rsidRPr="00690D66" w:rsidRDefault="00690D66" w:rsidP="00690D66">
            <w:pPr>
              <w:widowControl/>
              <w:jc w:val="center"/>
              <w:textAlignment w:val="bottom"/>
              <w:rPr>
                <w:kern w:val="0"/>
              </w:rPr>
            </w:pPr>
            <w:r w:rsidRPr="00690D66">
              <w:rPr>
                <w:kern w:val="0"/>
                <w:lang w:bidi="ar"/>
              </w:rPr>
              <w:t>2.69</w:t>
            </w:r>
          </w:p>
        </w:tc>
        <w:tc>
          <w:tcPr>
            <w:tcW w:w="551" w:type="dxa"/>
            <w:tcBorders>
              <w:top w:val="single" w:sz="6" w:space="0" w:color="000000"/>
              <w:left w:val="single" w:sz="6" w:space="0" w:color="000000"/>
              <w:right w:val="single" w:sz="6" w:space="0" w:color="000000"/>
            </w:tcBorders>
            <w:vAlign w:val="bottom"/>
          </w:tcPr>
          <w:p w14:paraId="65D3128E" w14:textId="77777777" w:rsidR="00690D66" w:rsidRPr="00690D66" w:rsidRDefault="00690D66" w:rsidP="00690D66">
            <w:pPr>
              <w:widowControl/>
              <w:jc w:val="center"/>
              <w:textAlignment w:val="bottom"/>
              <w:rPr>
                <w:kern w:val="0"/>
              </w:rPr>
            </w:pPr>
            <w:r w:rsidRPr="00690D66">
              <w:rPr>
                <w:kern w:val="0"/>
                <w:lang w:bidi="ar"/>
              </w:rPr>
              <w:t>2.65</w:t>
            </w:r>
          </w:p>
        </w:tc>
        <w:tc>
          <w:tcPr>
            <w:tcW w:w="551" w:type="dxa"/>
            <w:tcBorders>
              <w:top w:val="single" w:sz="6" w:space="0" w:color="000000"/>
              <w:left w:val="single" w:sz="6" w:space="0" w:color="000000"/>
              <w:right w:val="single" w:sz="6" w:space="0" w:color="000000"/>
            </w:tcBorders>
            <w:vAlign w:val="bottom"/>
          </w:tcPr>
          <w:p w14:paraId="6D7BC7BF" w14:textId="77777777" w:rsidR="00690D66" w:rsidRPr="00690D66" w:rsidRDefault="00690D66" w:rsidP="00690D66">
            <w:pPr>
              <w:widowControl/>
              <w:jc w:val="center"/>
              <w:textAlignment w:val="bottom"/>
              <w:rPr>
                <w:kern w:val="0"/>
              </w:rPr>
            </w:pPr>
            <w:r w:rsidRPr="00690D66">
              <w:rPr>
                <w:kern w:val="0"/>
                <w:lang w:bidi="ar"/>
              </w:rPr>
              <w:t>2.79</w:t>
            </w:r>
          </w:p>
        </w:tc>
        <w:tc>
          <w:tcPr>
            <w:tcW w:w="551" w:type="dxa"/>
            <w:tcBorders>
              <w:top w:val="single" w:sz="6" w:space="0" w:color="000000"/>
              <w:left w:val="single" w:sz="6" w:space="0" w:color="000000"/>
              <w:right w:val="single" w:sz="6" w:space="0" w:color="000000"/>
            </w:tcBorders>
            <w:vAlign w:val="bottom"/>
          </w:tcPr>
          <w:p w14:paraId="40AAD562" w14:textId="77777777" w:rsidR="00690D66" w:rsidRPr="00690D66" w:rsidRDefault="00690D66" w:rsidP="00690D66">
            <w:pPr>
              <w:widowControl/>
              <w:jc w:val="center"/>
              <w:textAlignment w:val="bottom"/>
              <w:rPr>
                <w:kern w:val="0"/>
              </w:rPr>
            </w:pPr>
            <w:r w:rsidRPr="00690D66">
              <w:rPr>
                <w:kern w:val="0"/>
                <w:lang w:bidi="ar"/>
              </w:rPr>
              <w:t>2.59</w:t>
            </w:r>
          </w:p>
        </w:tc>
        <w:tc>
          <w:tcPr>
            <w:tcW w:w="551" w:type="dxa"/>
            <w:tcBorders>
              <w:top w:val="single" w:sz="6" w:space="0" w:color="000000"/>
              <w:left w:val="single" w:sz="6" w:space="0" w:color="000000"/>
              <w:right w:val="single" w:sz="6" w:space="0" w:color="000000"/>
            </w:tcBorders>
            <w:vAlign w:val="bottom"/>
          </w:tcPr>
          <w:p w14:paraId="74C8F920" w14:textId="77777777" w:rsidR="00690D66" w:rsidRPr="00690D66" w:rsidRDefault="00690D66" w:rsidP="00690D66">
            <w:pPr>
              <w:widowControl/>
              <w:jc w:val="center"/>
              <w:textAlignment w:val="bottom"/>
              <w:rPr>
                <w:kern w:val="0"/>
              </w:rPr>
            </w:pPr>
            <w:r w:rsidRPr="00690D66">
              <w:rPr>
                <w:kern w:val="0"/>
                <w:lang w:bidi="ar"/>
              </w:rPr>
              <w:t>2.81</w:t>
            </w:r>
          </w:p>
        </w:tc>
        <w:tc>
          <w:tcPr>
            <w:tcW w:w="566" w:type="dxa"/>
            <w:tcBorders>
              <w:top w:val="single" w:sz="6" w:space="0" w:color="000000"/>
              <w:left w:val="single" w:sz="6" w:space="0" w:color="000000"/>
            </w:tcBorders>
            <w:vAlign w:val="bottom"/>
          </w:tcPr>
          <w:p w14:paraId="5D0A2960" w14:textId="77777777" w:rsidR="00690D66" w:rsidRPr="00690D66" w:rsidRDefault="00690D66" w:rsidP="00690D66">
            <w:pPr>
              <w:widowControl/>
              <w:jc w:val="center"/>
              <w:textAlignment w:val="bottom"/>
              <w:rPr>
                <w:kern w:val="0"/>
              </w:rPr>
            </w:pPr>
            <w:r w:rsidRPr="00690D66">
              <w:rPr>
                <w:kern w:val="0"/>
                <w:lang w:bidi="ar"/>
              </w:rPr>
              <w:t>2.47</w:t>
            </w:r>
          </w:p>
        </w:tc>
      </w:tr>
    </w:tbl>
    <w:p w14:paraId="22D83F4B" w14:textId="77777777" w:rsidR="00690D66" w:rsidRPr="00690D66" w:rsidRDefault="00690D66" w:rsidP="00690D66">
      <w:pPr>
        <w:autoSpaceDE w:val="0"/>
        <w:autoSpaceDN w:val="0"/>
        <w:adjustRightInd w:val="0"/>
        <w:snapToGrid w:val="0"/>
        <w:spacing w:before="36" w:after="200"/>
        <w:ind w:left="117" w:right="123"/>
        <w:jc w:val="center"/>
        <w:rPr>
          <w:kern w:val="0"/>
          <w:sz w:val="24"/>
          <w:szCs w:val="24"/>
        </w:rPr>
      </w:pPr>
      <w:r w:rsidRPr="00690D66">
        <w:rPr>
          <w:rFonts w:ascii="Calibri" w:hAnsi="Calibri" w:cs="Arial"/>
          <w:noProof/>
          <w:szCs w:val="24"/>
        </w:rPr>
        <w:lastRenderedPageBreak/>
        <w:drawing>
          <wp:inline distT="0" distB="0" distL="114300" distR="114300" wp14:anchorId="0D57203A" wp14:editId="627C1900">
            <wp:extent cx="3309620" cy="2258695"/>
            <wp:effectExtent l="0" t="0" r="5080" b="8255"/>
            <wp:docPr id="5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3"/>
                    <pic:cNvPicPr>
                      <a:picLocks noChangeAspect="1"/>
                    </pic:cNvPicPr>
                  </pic:nvPicPr>
                  <pic:blipFill>
                    <a:blip r:embed="rId83"/>
                    <a:stretch>
                      <a:fillRect/>
                    </a:stretch>
                  </pic:blipFill>
                  <pic:spPr>
                    <a:xfrm>
                      <a:off x="0" y="0"/>
                      <a:ext cx="3309620" cy="2258695"/>
                    </a:xfrm>
                    <a:prstGeom prst="rect">
                      <a:avLst/>
                    </a:prstGeom>
                    <a:noFill/>
                    <a:ln>
                      <a:noFill/>
                    </a:ln>
                  </pic:spPr>
                </pic:pic>
              </a:graphicData>
            </a:graphic>
          </wp:inline>
        </w:drawing>
      </w:r>
    </w:p>
    <w:p w14:paraId="5D00E40E" w14:textId="3F523582" w:rsidR="00690D66" w:rsidRPr="00857E7A" w:rsidRDefault="00690D66" w:rsidP="00857E7A">
      <w:pPr>
        <w:pStyle w:val="aff2"/>
        <w:spacing w:after="0"/>
        <w:ind w:firstLineChars="0" w:firstLine="0"/>
        <w:jc w:val="center"/>
        <w:rPr>
          <w:rStyle w:val="Charf"/>
        </w:rPr>
      </w:pPr>
      <w:r w:rsidRPr="00857E7A">
        <w:rPr>
          <w:rStyle w:val="Charf"/>
        </w:rPr>
        <w:t>图</w:t>
      </w:r>
      <w:r w:rsidR="00857E7A">
        <w:rPr>
          <w:rStyle w:val="Charf"/>
          <w:rFonts w:hint="eastAsia"/>
        </w:rPr>
        <w:t>6.2-4</w:t>
      </w:r>
      <w:r w:rsidRPr="00857E7A">
        <w:rPr>
          <w:rStyle w:val="Charf"/>
        </w:rPr>
        <w:t xml:space="preserve"> </w:t>
      </w:r>
      <w:r w:rsidRPr="00857E7A">
        <w:rPr>
          <w:rStyle w:val="Charf"/>
        </w:rPr>
        <w:t>大庆月平均风速（单位：</w:t>
      </w:r>
      <w:r w:rsidRPr="00857E7A">
        <w:rPr>
          <w:rStyle w:val="Charf"/>
        </w:rPr>
        <w:t>m/s</w:t>
      </w:r>
      <w:r w:rsidRPr="00857E7A">
        <w:rPr>
          <w:rStyle w:val="Charf"/>
        </w:rPr>
        <w:t>）</w:t>
      </w:r>
    </w:p>
    <w:p w14:paraId="0639D5B1" w14:textId="77777777" w:rsidR="00690D66" w:rsidRPr="005D74E7" w:rsidRDefault="00690D66" w:rsidP="005D74E7">
      <w:pPr>
        <w:pStyle w:val="affffff4"/>
      </w:pPr>
      <w:r w:rsidRPr="005D74E7">
        <w:rPr>
          <w:rFonts w:ascii="Cambria Math" w:hAnsi="Cambria Math" w:cs="Cambria Math"/>
        </w:rPr>
        <w:t>②</w:t>
      </w:r>
      <w:r w:rsidRPr="005D74E7">
        <w:t>风向特征</w:t>
      </w:r>
    </w:p>
    <w:p w14:paraId="73C78A4A" w14:textId="77777777" w:rsidR="00690D66" w:rsidRPr="005D74E7" w:rsidRDefault="00690D66" w:rsidP="005D74E7">
      <w:pPr>
        <w:pStyle w:val="affffff4"/>
      </w:pPr>
      <w:r w:rsidRPr="005D74E7">
        <w:t>近</w:t>
      </w:r>
      <w:r w:rsidRPr="005D74E7">
        <w:t>20</w:t>
      </w:r>
      <w:r w:rsidRPr="005D74E7">
        <w:t>年资料分析的风向玫瑰图见图</w:t>
      </w:r>
      <w:r w:rsidRPr="005D74E7">
        <w:t>5.1-1</w:t>
      </w:r>
      <w:r w:rsidRPr="005D74E7">
        <w:t>，大庆气象站主要风向为</w:t>
      </w:r>
      <w:r w:rsidRPr="005D74E7">
        <w:t>S</w:t>
      </w:r>
      <w:r w:rsidRPr="005D74E7">
        <w:t>、</w:t>
      </w:r>
      <w:r w:rsidRPr="005D74E7">
        <w:t>SSW</w:t>
      </w:r>
      <w:r w:rsidRPr="005D74E7">
        <w:t>、</w:t>
      </w:r>
      <w:r w:rsidRPr="005D74E7">
        <w:t>WSW</w:t>
      </w:r>
      <w:r w:rsidRPr="005D74E7">
        <w:t>、</w:t>
      </w:r>
      <w:r w:rsidRPr="005D74E7">
        <w:t>WNW</w:t>
      </w:r>
      <w:r w:rsidRPr="005D74E7">
        <w:t>，占</w:t>
      </w:r>
      <w:r w:rsidRPr="005D74E7">
        <w:t>33.7</w:t>
      </w:r>
      <w:r w:rsidRPr="005D74E7">
        <w:t>％，其中以</w:t>
      </w:r>
      <w:r w:rsidRPr="005D74E7">
        <w:t>S</w:t>
      </w:r>
      <w:r w:rsidRPr="005D74E7">
        <w:t>为主风向，占到全年的</w:t>
      </w:r>
      <w:r w:rsidRPr="005D74E7">
        <w:t>9.4%</w:t>
      </w:r>
      <w:r w:rsidRPr="005D74E7">
        <w:t>左右。</w:t>
      </w:r>
    </w:p>
    <w:p w14:paraId="4911326B" w14:textId="1925A1DD" w:rsidR="00690D66" w:rsidRPr="00FE469A" w:rsidRDefault="00690D66" w:rsidP="00FE469A">
      <w:pPr>
        <w:pStyle w:val="affffff5"/>
        <w:tabs>
          <w:tab w:val="left" w:pos="0"/>
        </w:tabs>
        <w:ind w:firstLine="400"/>
      </w:pPr>
      <w:r w:rsidRPr="00FE469A">
        <w:t>表</w:t>
      </w:r>
      <w:r w:rsidR="00D51CED">
        <w:rPr>
          <w:rFonts w:hint="eastAsia"/>
        </w:rPr>
        <w:t>6.2-</w:t>
      </w:r>
      <w:r w:rsidR="004F102D">
        <w:rPr>
          <w:rFonts w:hint="eastAsia"/>
        </w:rPr>
        <w:t>6</w:t>
      </w:r>
      <w:r w:rsidRPr="00FE469A">
        <w:t xml:space="preserve">  </w:t>
      </w:r>
      <w:r w:rsidRPr="00FE469A">
        <w:t>气象站年风向频率统计（单位</w:t>
      </w:r>
      <w:r w:rsidRPr="00FE469A">
        <w:t>%</w:t>
      </w:r>
      <w:r w:rsidRPr="00FE469A">
        <w:t>）</w:t>
      </w:r>
    </w:p>
    <w:tbl>
      <w:tblPr>
        <w:tblStyle w:val="TableNormal5"/>
        <w:tblW w:w="5012" w:type="pct"/>
        <w:tblInd w:w="0" w:type="dxa"/>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Look w:val="04A0" w:firstRow="1" w:lastRow="0" w:firstColumn="1" w:lastColumn="0" w:noHBand="0" w:noVBand="1"/>
      </w:tblPr>
      <w:tblGrid>
        <w:gridCol w:w="578"/>
        <w:gridCol w:w="357"/>
        <w:gridCol w:w="583"/>
        <w:gridCol w:w="380"/>
        <w:gridCol w:w="551"/>
        <w:gridCol w:w="359"/>
        <w:gridCol w:w="505"/>
        <w:gridCol w:w="359"/>
        <w:gridCol w:w="488"/>
        <w:gridCol w:w="359"/>
        <w:gridCol w:w="583"/>
        <w:gridCol w:w="426"/>
        <w:gridCol w:w="691"/>
        <w:gridCol w:w="359"/>
        <w:gridCol w:w="737"/>
        <w:gridCol w:w="474"/>
        <w:gridCol w:w="675"/>
        <w:gridCol w:w="371"/>
      </w:tblGrid>
      <w:tr w:rsidR="00690D66" w:rsidRPr="00690D66" w14:paraId="40420EBA" w14:textId="77777777" w:rsidTr="00454C5A">
        <w:trPr>
          <w:trHeight w:val="90"/>
        </w:trPr>
        <w:tc>
          <w:tcPr>
            <w:tcW w:w="326" w:type="pct"/>
            <w:tcBorders>
              <w:tl2br w:val="nil"/>
              <w:tr2bl w:val="nil"/>
            </w:tcBorders>
            <w:shd w:val="clear" w:color="auto" w:fill="FFFFFF"/>
          </w:tcPr>
          <w:p w14:paraId="33C7FE53" w14:textId="77777777" w:rsidR="00690D66" w:rsidRPr="00690D66" w:rsidRDefault="00690D66" w:rsidP="00690D66">
            <w:pPr>
              <w:jc w:val="center"/>
              <w:rPr>
                <w:kern w:val="0"/>
              </w:rPr>
            </w:pPr>
            <w:r w:rsidRPr="00690D66">
              <w:rPr>
                <w:kern w:val="0"/>
              </w:rPr>
              <w:t>风向</w:t>
            </w:r>
          </w:p>
        </w:tc>
        <w:tc>
          <w:tcPr>
            <w:tcW w:w="202" w:type="pct"/>
            <w:tcBorders>
              <w:tl2br w:val="nil"/>
              <w:tr2bl w:val="nil"/>
            </w:tcBorders>
          </w:tcPr>
          <w:p w14:paraId="1A748C9F" w14:textId="77777777" w:rsidR="00690D66" w:rsidRPr="00690D66" w:rsidRDefault="00690D66" w:rsidP="00690D66">
            <w:pPr>
              <w:jc w:val="center"/>
              <w:rPr>
                <w:kern w:val="0"/>
              </w:rPr>
            </w:pPr>
            <w:r w:rsidRPr="00690D66">
              <w:rPr>
                <w:kern w:val="0"/>
              </w:rPr>
              <w:t>N</w:t>
            </w:r>
          </w:p>
        </w:tc>
        <w:tc>
          <w:tcPr>
            <w:tcW w:w="329" w:type="pct"/>
            <w:tcBorders>
              <w:tl2br w:val="nil"/>
              <w:tr2bl w:val="nil"/>
            </w:tcBorders>
          </w:tcPr>
          <w:p w14:paraId="04437AC5" w14:textId="77777777" w:rsidR="00690D66" w:rsidRPr="00690D66" w:rsidRDefault="00690D66" w:rsidP="00690D66">
            <w:pPr>
              <w:jc w:val="center"/>
              <w:rPr>
                <w:kern w:val="0"/>
              </w:rPr>
            </w:pPr>
            <w:r w:rsidRPr="00690D66">
              <w:rPr>
                <w:kern w:val="0"/>
              </w:rPr>
              <w:t>NNE</w:t>
            </w:r>
          </w:p>
        </w:tc>
        <w:tc>
          <w:tcPr>
            <w:tcW w:w="215" w:type="pct"/>
            <w:tcBorders>
              <w:tl2br w:val="nil"/>
              <w:tr2bl w:val="nil"/>
            </w:tcBorders>
          </w:tcPr>
          <w:p w14:paraId="2BC9843A" w14:textId="77777777" w:rsidR="00690D66" w:rsidRPr="00690D66" w:rsidRDefault="00690D66" w:rsidP="00690D66">
            <w:pPr>
              <w:jc w:val="center"/>
              <w:rPr>
                <w:kern w:val="0"/>
              </w:rPr>
            </w:pPr>
            <w:r w:rsidRPr="00690D66">
              <w:rPr>
                <w:kern w:val="0"/>
              </w:rPr>
              <w:t>NE</w:t>
            </w:r>
          </w:p>
        </w:tc>
        <w:tc>
          <w:tcPr>
            <w:tcW w:w="311" w:type="pct"/>
            <w:tcBorders>
              <w:tl2br w:val="nil"/>
              <w:tr2bl w:val="nil"/>
            </w:tcBorders>
          </w:tcPr>
          <w:p w14:paraId="6CE2626F" w14:textId="77777777" w:rsidR="00690D66" w:rsidRPr="00690D66" w:rsidRDefault="00690D66" w:rsidP="00690D66">
            <w:pPr>
              <w:jc w:val="center"/>
              <w:rPr>
                <w:kern w:val="0"/>
              </w:rPr>
            </w:pPr>
            <w:r w:rsidRPr="00690D66">
              <w:rPr>
                <w:kern w:val="0"/>
              </w:rPr>
              <w:t>ENE</w:t>
            </w:r>
          </w:p>
        </w:tc>
        <w:tc>
          <w:tcPr>
            <w:tcW w:w="203" w:type="pct"/>
            <w:tcBorders>
              <w:tl2br w:val="nil"/>
              <w:tr2bl w:val="nil"/>
            </w:tcBorders>
          </w:tcPr>
          <w:p w14:paraId="43E73376" w14:textId="77777777" w:rsidR="00690D66" w:rsidRPr="00690D66" w:rsidRDefault="00690D66" w:rsidP="00690D66">
            <w:pPr>
              <w:jc w:val="center"/>
              <w:rPr>
                <w:kern w:val="0"/>
              </w:rPr>
            </w:pPr>
            <w:r w:rsidRPr="00690D66">
              <w:rPr>
                <w:kern w:val="0"/>
              </w:rPr>
              <w:t>E</w:t>
            </w:r>
          </w:p>
        </w:tc>
        <w:tc>
          <w:tcPr>
            <w:tcW w:w="285" w:type="pct"/>
            <w:tcBorders>
              <w:tl2br w:val="nil"/>
              <w:tr2bl w:val="nil"/>
            </w:tcBorders>
          </w:tcPr>
          <w:p w14:paraId="17AE0884" w14:textId="77777777" w:rsidR="00690D66" w:rsidRPr="00690D66" w:rsidRDefault="00690D66" w:rsidP="00690D66">
            <w:pPr>
              <w:jc w:val="center"/>
              <w:rPr>
                <w:kern w:val="0"/>
              </w:rPr>
            </w:pPr>
            <w:r w:rsidRPr="00690D66">
              <w:rPr>
                <w:kern w:val="0"/>
              </w:rPr>
              <w:t>ESE</w:t>
            </w:r>
          </w:p>
        </w:tc>
        <w:tc>
          <w:tcPr>
            <w:tcW w:w="203" w:type="pct"/>
            <w:tcBorders>
              <w:tl2br w:val="nil"/>
              <w:tr2bl w:val="nil"/>
            </w:tcBorders>
          </w:tcPr>
          <w:p w14:paraId="0A8970D8" w14:textId="77777777" w:rsidR="00690D66" w:rsidRPr="00690D66" w:rsidRDefault="00690D66" w:rsidP="00690D66">
            <w:pPr>
              <w:jc w:val="center"/>
              <w:rPr>
                <w:kern w:val="0"/>
              </w:rPr>
            </w:pPr>
            <w:r w:rsidRPr="00690D66">
              <w:rPr>
                <w:kern w:val="0"/>
              </w:rPr>
              <w:t>SE</w:t>
            </w:r>
          </w:p>
        </w:tc>
        <w:tc>
          <w:tcPr>
            <w:tcW w:w="276" w:type="pct"/>
            <w:tcBorders>
              <w:tl2br w:val="nil"/>
              <w:tr2bl w:val="nil"/>
            </w:tcBorders>
          </w:tcPr>
          <w:p w14:paraId="55BACD7C" w14:textId="77777777" w:rsidR="00690D66" w:rsidRPr="00690D66" w:rsidRDefault="00690D66" w:rsidP="00690D66">
            <w:pPr>
              <w:jc w:val="center"/>
              <w:rPr>
                <w:kern w:val="0"/>
              </w:rPr>
            </w:pPr>
            <w:r w:rsidRPr="00690D66">
              <w:rPr>
                <w:kern w:val="0"/>
              </w:rPr>
              <w:t>SSE</w:t>
            </w:r>
          </w:p>
        </w:tc>
        <w:tc>
          <w:tcPr>
            <w:tcW w:w="203" w:type="pct"/>
            <w:tcBorders>
              <w:tl2br w:val="nil"/>
              <w:tr2bl w:val="nil"/>
            </w:tcBorders>
          </w:tcPr>
          <w:p w14:paraId="7A69DEAB" w14:textId="77777777" w:rsidR="00690D66" w:rsidRPr="00690D66" w:rsidRDefault="00690D66" w:rsidP="00690D66">
            <w:pPr>
              <w:jc w:val="center"/>
              <w:rPr>
                <w:kern w:val="0"/>
              </w:rPr>
            </w:pPr>
            <w:r w:rsidRPr="00690D66">
              <w:rPr>
                <w:kern w:val="0"/>
              </w:rPr>
              <w:t>S</w:t>
            </w:r>
          </w:p>
        </w:tc>
        <w:tc>
          <w:tcPr>
            <w:tcW w:w="329" w:type="pct"/>
            <w:tcBorders>
              <w:tl2br w:val="nil"/>
              <w:tr2bl w:val="nil"/>
            </w:tcBorders>
          </w:tcPr>
          <w:p w14:paraId="4A90310B" w14:textId="77777777" w:rsidR="00690D66" w:rsidRPr="00690D66" w:rsidRDefault="00690D66" w:rsidP="00690D66">
            <w:pPr>
              <w:jc w:val="center"/>
              <w:rPr>
                <w:kern w:val="0"/>
              </w:rPr>
            </w:pPr>
            <w:r w:rsidRPr="00690D66">
              <w:rPr>
                <w:kern w:val="0"/>
              </w:rPr>
              <w:t>SSW</w:t>
            </w:r>
          </w:p>
        </w:tc>
        <w:tc>
          <w:tcPr>
            <w:tcW w:w="241" w:type="pct"/>
            <w:tcBorders>
              <w:tl2br w:val="nil"/>
              <w:tr2bl w:val="nil"/>
            </w:tcBorders>
          </w:tcPr>
          <w:p w14:paraId="18B654A1" w14:textId="77777777" w:rsidR="00690D66" w:rsidRPr="00690D66" w:rsidRDefault="00690D66" w:rsidP="00690D66">
            <w:pPr>
              <w:jc w:val="center"/>
              <w:rPr>
                <w:kern w:val="0"/>
              </w:rPr>
            </w:pPr>
            <w:r w:rsidRPr="00690D66">
              <w:rPr>
                <w:kern w:val="0"/>
              </w:rPr>
              <w:t>SW</w:t>
            </w:r>
          </w:p>
        </w:tc>
        <w:tc>
          <w:tcPr>
            <w:tcW w:w="390" w:type="pct"/>
            <w:tcBorders>
              <w:tl2br w:val="nil"/>
              <w:tr2bl w:val="nil"/>
            </w:tcBorders>
          </w:tcPr>
          <w:p w14:paraId="25D971F7" w14:textId="77777777" w:rsidR="00690D66" w:rsidRPr="00690D66" w:rsidRDefault="00690D66" w:rsidP="00690D66">
            <w:pPr>
              <w:jc w:val="center"/>
              <w:rPr>
                <w:kern w:val="0"/>
              </w:rPr>
            </w:pPr>
            <w:r w:rsidRPr="00690D66">
              <w:rPr>
                <w:kern w:val="0"/>
              </w:rPr>
              <w:t>WSW</w:t>
            </w:r>
          </w:p>
        </w:tc>
        <w:tc>
          <w:tcPr>
            <w:tcW w:w="203" w:type="pct"/>
            <w:tcBorders>
              <w:tl2br w:val="nil"/>
              <w:tr2bl w:val="nil"/>
            </w:tcBorders>
          </w:tcPr>
          <w:p w14:paraId="21F5E387" w14:textId="77777777" w:rsidR="00690D66" w:rsidRPr="00690D66" w:rsidRDefault="00690D66" w:rsidP="00690D66">
            <w:pPr>
              <w:jc w:val="center"/>
              <w:rPr>
                <w:kern w:val="0"/>
              </w:rPr>
            </w:pPr>
            <w:r w:rsidRPr="00690D66">
              <w:rPr>
                <w:kern w:val="0"/>
              </w:rPr>
              <w:t>W</w:t>
            </w:r>
          </w:p>
        </w:tc>
        <w:tc>
          <w:tcPr>
            <w:tcW w:w="416" w:type="pct"/>
            <w:tcBorders>
              <w:tl2br w:val="nil"/>
              <w:tr2bl w:val="nil"/>
            </w:tcBorders>
          </w:tcPr>
          <w:p w14:paraId="712680DD" w14:textId="77777777" w:rsidR="00690D66" w:rsidRPr="00690D66" w:rsidRDefault="00690D66" w:rsidP="00690D66">
            <w:pPr>
              <w:jc w:val="center"/>
              <w:rPr>
                <w:kern w:val="0"/>
              </w:rPr>
            </w:pPr>
            <w:r w:rsidRPr="00690D66">
              <w:rPr>
                <w:kern w:val="0"/>
              </w:rPr>
              <w:t>WNW</w:t>
            </w:r>
          </w:p>
        </w:tc>
        <w:tc>
          <w:tcPr>
            <w:tcW w:w="268" w:type="pct"/>
            <w:tcBorders>
              <w:tl2br w:val="nil"/>
              <w:tr2bl w:val="nil"/>
            </w:tcBorders>
          </w:tcPr>
          <w:p w14:paraId="6D2AA1C8" w14:textId="77777777" w:rsidR="00690D66" w:rsidRPr="00690D66" w:rsidRDefault="00690D66" w:rsidP="00690D66">
            <w:pPr>
              <w:jc w:val="center"/>
              <w:rPr>
                <w:kern w:val="0"/>
              </w:rPr>
            </w:pPr>
            <w:r w:rsidRPr="00690D66">
              <w:rPr>
                <w:kern w:val="0"/>
              </w:rPr>
              <w:t>NW</w:t>
            </w:r>
          </w:p>
        </w:tc>
        <w:tc>
          <w:tcPr>
            <w:tcW w:w="381" w:type="pct"/>
            <w:tcBorders>
              <w:tl2br w:val="nil"/>
              <w:tr2bl w:val="nil"/>
            </w:tcBorders>
          </w:tcPr>
          <w:p w14:paraId="178D6D78" w14:textId="77777777" w:rsidR="00690D66" w:rsidRPr="00690D66" w:rsidRDefault="00690D66" w:rsidP="00690D66">
            <w:pPr>
              <w:jc w:val="center"/>
              <w:rPr>
                <w:kern w:val="0"/>
              </w:rPr>
            </w:pPr>
            <w:r w:rsidRPr="00690D66">
              <w:rPr>
                <w:kern w:val="0"/>
              </w:rPr>
              <w:t>NNW</w:t>
            </w:r>
          </w:p>
        </w:tc>
        <w:tc>
          <w:tcPr>
            <w:tcW w:w="210" w:type="pct"/>
            <w:tcBorders>
              <w:tl2br w:val="nil"/>
              <w:tr2bl w:val="nil"/>
            </w:tcBorders>
          </w:tcPr>
          <w:p w14:paraId="27AD5928" w14:textId="77777777" w:rsidR="00690D66" w:rsidRPr="00690D66" w:rsidRDefault="00690D66" w:rsidP="00690D66">
            <w:pPr>
              <w:jc w:val="center"/>
              <w:rPr>
                <w:kern w:val="0"/>
              </w:rPr>
            </w:pPr>
            <w:r w:rsidRPr="00690D66">
              <w:rPr>
                <w:kern w:val="0"/>
              </w:rPr>
              <w:t>C</w:t>
            </w:r>
          </w:p>
        </w:tc>
      </w:tr>
      <w:tr w:rsidR="00690D66" w:rsidRPr="00690D66" w14:paraId="7C860758" w14:textId="77777777" w:rsidTr="00454C5A">
        <w:tc>
          <w:tcPr>
            <w:tcW w:w="326" w:type="pct"/>
            <w:tcBorders>
              <w:tl2br w:val="nil"/>
              <w:tr2bl w:val="nil"/>
            </w:tcBorders>
            <w:shd w:val="clear" w:color="auto" w:fill="FFFFFF"/>
          </w:tcPr>
          <w:p w14:paraId="413BBC14" w14:textId="77777777" w:rsidR="00690D66" w:rsidRPr="00690D66" w:rsidRDefault="00690D66" w:rsidP="00690D66">
            <w:pPr>
              <w:jc w:val="center"/>
              <w:rPr>
                <w:kern w:val="0"/>
              </w:rPr>
            </w:pPr>
            <w:r w:rsidRPr="00690D66">
              <w:rPr>
                <w:kern w:val="0"/>
              </w:rPr>
              <w:t>频率</w:t>
            </w:r>
          </w:p>
        </w:tc>
        <w:tc>
          <w:tcPr>
            <w:tcW w:w="202" w:type="pct"/>
            <w:tcBorders>
              <w:tl2br w:val="nil"/>
              <w:tr2bl w:val="nil"/>
            </w:tcBorders>
            <w:vAlign w:val="center"/>
          </w:tcPr>
          <w:p w14:paraId="2BAB222F" w14:textId="77777777" w:rsidR="00690D66" w:rsidRPr="00690D66" w:rsidRDefault="00690D66" w:rsidP="00690D66">
            <w:pPr>
              <w:jc w:val="center"/>
              <w:rPr>
                <w:kern w:val="0"/>
              </w:rPr>
            </w:pPr>
            <w:r w:rsidRPr="00690D66">
              <w:rPr>
                <w:kern w:val="0"/>
              </w:rPr>
              <w:t xml:space="preserve">5.9 </w:t>
            </w:r>
          </w:p>
        </w:tc>
        <w:tc>
          <w:tcPr>
            <w:tcW w:w="329" w:type="pct"/>
            <w:tcBorders>
              <w:tl2br w:val="nil"/>
              <w:tr2bl w:val="nil"/>
            </w:tcBorders>
            <w:vAlign w:val="center"/>
          </w:tcPr>
          <w:p w14:paraId="5F4B3386" w14:textId="77777777" w:rsidR="00690D66" w:rsidRPr="00690D66" w:rsidRDefault="00690D66" w:rsidP="00690D66">
            <w:pPr>
              <w:jc w:val="center"/>
              <w:rPr>
                <w:kern w:val="0"/>
              </w:rPr>
            </w:pPr>
            <w:r w:rsidRPr="00690D66">
              <w:rPr>
                <w:kern w:val="0"/>
              </w:rPr>
              <w:t xml:space="preserve">4.6 </w:t>
            </w:r>
          </w:p>
        </w:tc>
        <w:tc>
          <w:tcPr>
            <w:tcW w:w="215" w:type="pct"/>
            <w:tcBorders>
              <w:tl2br w:val="nil"/>
              <w:tr2bl w:val="nil"/>
            </w:tcBorders>
            <w:vAlign w:val="center"/>
          </w:tcPr>
          <w:p w14:paraId="63047C56" w14:textId="77777777" w:rsidR="00690D66" w:rsidRPr="00690D66" w:rsidRDefault="00690D66" w:rsidP="00690D66">
            <w:pPr>
              <w:jc w:val="center"/>
              <w:rPr>
                <w:kern w:val="0"/>
              </w:rPr>
            </w:pPr>
            <w:r w:rsidRPr="00690D66">
              <w:rPr>
                <w:kern w:val="0"/>
              </w:rPr>
              <w:t xml:space="preserve">3.7 </w:t>
            </w:r>
          </w:p>
        </w:tc>
        <w:tc>
          <w:tcPr>
            <w:tcW w:w="311" w:type="pct"/>
            <w:tcBorders>
              <w:tl2br w:val="nil"/>
              <w:tr2bl w:val="nil"/>
            </w:tcBorders>
            <w:vAlign w:val="center"/>
          </w:tcPr>
          <w:p w14:paraId="3E22D538" w14:textId="77777777" w:rsidR="00690D66" w:rsidRPr="00690D66" w:rsidRDefault="00690D66" w:rsidP="00690D66">
            <w:pPr>
              <w:jc w:val="center"/>
              <w:rPr>
                <w:kern w:val="0"/>
              </w:rPr>
            </w:pPr>
            <w:r w:rsidRPr="00690D66">
              <w:rPr>
                <w:kern w:val="0"/>
              </w:rPr>
              <w:t xml:space="preserve">3.8 </w:t>
            </w:r>
          </w:p>
        </w:tc>
        <w:tc>
          <w:tcPr>
            <w:tcW w:w="203" w:type="pct"/>
            <w:tcBorders>
              <w:tl2br w:val="nil"/>
              <w:tr2bl w:val="nil"/>
            </w:tcBorders>
            <w:vAlign w:val="center"/>
          </w:tcPr>
          <w:p w14:paraId="595AA759" w14:textId="77777777" w:rsidR="00690D66" w:rsidRPr="00690D66" w:rsidRDefault="00690D66" w:rsidP="00690D66">
            <w:pPr>
              <w:jc w:val="center"/>
              <w:rPr>
                <w:kern w:val="0"/>
              </w:rPr>
            </w:pPr>
            <w:r w:rsidRPr="00690D66">
              <w:rPr>
                <w:kern w:val="0"/>
              </w:rPr>
              <w:t xml:space="preserve">4 </w:t>
            </w:r>
          </w:p>
        </w:tc>
        <w:tc>
          <w:tcPr>
            <w:tcW w:w="285" w:type="pct"/>
            <w:tcBorders>
              <w:tl2br w:val="nil"/>
              <w:tr2bl w:val="nil"/>
            </w:tcBorders>
            <w:vAlign w:val="center"/>
          </w:tcPr>
          <w:p w14:paraId="05D2F1A7" w14:textId="77777777" w:rsidR="00690D66" w:rsidRPr="00690D66" w:rsidRDefault="00690D66" w:rsidP="00690D66">
            <w:pPr>
              <w:jc w:val="center"/>
              <w:rPr>
                <w:kern w:val="0"/>
              </w:rPr>
            </w:pPr>
            <w:r w:rsidRPr="00690D66">
              <w:rPr>
                <w:kern w:val="0"/>
              </w:rPr>
              <w:t xml:space="preserve">3.5 </w:t>
            </w:r>
          </w:p>
        </w:tc>
        <w:tc>
          <w:tcPr>
            <w:tcW w:w="203" w:type="pct"/>
            <w:tcBorders>
              <w:tl2br w:val="nil"/>
              <w:tr2bl w:val="nil"/>
            </w:tcBorders>
            <w:vAlign w:val="center"/>
          </w:tcPr>
          <w:p w14:paraId="088D51DD" w14:textId="77777777" w:rsidR="00690D66" w:rsidRPr="00690D66" w:rsidRDefault="00690D66" w:rsidP="00690D66">
            <w:pPr>
              <w:jc w:val="center"/>
              <w:rPr>
                <w:kern w:val="0"/>
              </w:rPr>
            </w:pPr>
            <w:r w:rsidRPr="00690D66">
              <w:rPr>
                <w:kern w:val="0"/>
              </w:rPr>
              <w:t xml:space="preserve">4 </w:t>
            </w:r>
          </w:p>
        </w:tc>
        <w:tc>
          <w:tcPr>
            <w:tcW w:w="276" w:type="pct"/>
            <w:tcBorders>
              <w:tl2br w:val="nil"/>
              <w:tr2bl w:val="nil"/>
            </w:tcBorders>
            <w:vAlign w:val="center"/>
          </w:tcPr>
          <w:p w14:paraId="308A359F" w14:textId="77777777" w:rsidR="00690D66" w:rsidRPr="00690D66" w:rsidRDefault="00690D66" w:rsidP="00690D66">
            <w:pPr>
              <w:jc w:val="center"/>
              <w:rPr>
                <w:kern w:val="0"/>
              </w:rPr>
            </w:pPr>
            <w:r w:rsidRPr="00690D66">
              <w:rPr>
                <w:kern w:val="0"/>
              </w:rPr>
              <w:t xml:space="preserve">4.9 </w:t>
            </w:r>
          </w:p>
        </w:tc>
        <w:tc>
          <w:tcPr>
            <w:tcW w:w="203" w:type="pct"/>
            <w:tcBorders>
              <w:tl2br w:val="nil"/>
              <w:tr2bl w:val="nil"/>
            </w:tcBorders>
            <w:vAlign w:val="center"/>
          </w:tcPr>
          <w:p w14:paraId="4137E04A" w14:textId="77777777" w:rsidR="00690D66" w:rsidRPr="00690D66" w:rsidRDefault="00690D66" w:rsidP="00690D66">
            <w:pPr>
              <w:jc w:val="center"/>
              <w:rPr>
                <w:kern w:val="0"/>
              </w:rPr>
            </w:pPr>
            <w:r w:rsidRPr="00690D66">
              <w:rPr>
                <w:kern w:val="0"/>
              </w:rPr>
              <w:t xml:space="preserve">9.4 </w:t>
            </w:r>
          </w:p>
        </w:tc>
        <w:tc>
          <w:tcPr>
            <w:tcW w:w="329" w:type="pct"/>
            <w:tcBorders>
              <w:tl2br w:val="nil"/>
              <w:tr2bl w:val="nil"/>
            </w:tcBorders>
            <w:vAlign w:val="center"/>
          </w:tcPr>
          <w:p w14:paraId="17A45452" w14:textId="77777777" w:rsidR="00690D66" w:rsidRPr="00690D66" w:rsidRDefault="00690D66" w:rsidP="00690D66">
            <w:pPr>
              <w:jc w:val="center"/>
              <w:rPr>
                <w:kern w:val="0"/>
              </w:rPr>
            </w:pPr>
            <w:r w:rsidRPr="00690D66">
              <w:rPr>
                <w:kern w:val="0"/>
              </w:rPr>
              <w:t xml:space="preserve">8.6 </w:t>
            </w:r>
          </w:p>
        </w:tc>
        <w:tc>
          <w:tcPr>
            <w:tcW w:w="241" w:type="pct"/>
            <w:tcBorders>
              <w:tl2br w:val="nil"/>
              <w:tr2bl w:val="nil"/>
            </w:tcBorders>
            <w:vAlign w:val="center"/>
          </w:tcPr>
          <w:p w14:paraId="164394AD" w14:textId="77777777" w:rsidR="00690D66" w:rsidRPr="00690D66" w:rsidRDefault="00690D66" w:rsidP="00690D66">
            <w:pPr>
              <w:jc w:val="center"/>
              <w:rPr>
                <w:kern w:val="0"/>
              </w:rPr>
            </w:pPr>
            <w:r w:rsidRPr="00690D66">
              <w:rPr>
                <w:kern w:val="0"/>
              </w:rPr>
              <w:t xml:space="preserve">6.1 </w:t>
            </w:r>
          </w:p>
        </w:tc>
        <w:tc>
          <w:tcPr>
            <w:tcW w:w="390" w:type="pct"/>
            <w:tcBorders>
              <w:tl2br w:val="nil"/>
              <w:tr2bl w:val="nil"/>
            </w:tcBorders>
            <w:vAlign w:val="center"/>
          </w:tcPr>
          <w:p w14:paraId="39AB5DE1" w14:textId="77777777" w:rsidR="00690D66" w:rsidRPr="00690D66" w:rsidRDefault="00690D66" w:rsidP="00690D66">
            <w:pPr>
              <w:jc w:val="center"/>
              <w:rPr>
                <w:kern w:val="0"/>
              </w:rPr>
            </w:pPr>
            <w:r w:rsidRPr="00690D66">
              <w:rPr>
                <w:kern w:val="0"/>
              </w:rPr>
              <w:t>8.1</w:t>
            </w:r>
          </w:p>
        </w:tc>
        <w:tc>
          <w:tcPr>
            <w:tcW w:w="203" w:type="pct"/>
            <w:tcBorders>
              <w:tl2br w:val="nil"/>
              <w:tr2bl w:val="nil"/>
            </w:tcBorders>
            <w:vAlign w:val="center"/>
          </w:tcPr>
          <w:p w14:paraId="7E3D60F1" w14:textId="77777777" w:rsidR="00690D66" w:rsidRPr="00690D66" w:rsidRDefault="00690D66" w:rsidP="00690D66">
            <w:pPr>
              <w:jc w:val="center"/>
              <w:rPr>
                <w:kern w:val="0"/>
              </w:rPr>
            </w:pPr>
            <w:r w:rsidRPr="00690D66">
              <w:rPr>
                <w:kern w:val="0"/>
              </w:rPr>
              <w:t xml:space="preserve">7.1 </w:t>
            </w:r>
          </w:p>
        </w:tc>
        <w:tc>
          <w:tcPr>
            <w:tcW w:w="416" w:type="pct"/>
            <w:tcBorders>
              <w:tl2br w:val="nil"/>
              <w:tr2bl w:val="nil"/>
            </w:tcBorders>
            <w:vAlign w:val="center"/>
          </w:tcPr>
          <w:p w14:paraId="13BD0673" w14:textId="77777777" w:rsidR="00690D66" w:rsidRPr="00690D66" w:rsidRDefault="00690D66" w:rsidP="00690D66">
            <w:pPr>
              <w:jc w:val="center"/>
              <w:rPr>
                <w:kern w:val="0"/>
              </w:rPr>
            </w:pPr>
            <w:r w:rsidRPr="00690D66">
              <w:rPr>
                <w:kern w:val="0"/>
              </w:rPr>
              <w:t xml:space="preserve">7.6 </w:t>
            </w:r>
          </w:p>
        </w:tc>
        <w:tc>
          <w:tcPr>
            <w:tcW w:w="268" w:type="pct"/>
            <w:tcBorders>
              <w:tl2br w:val="nil"/>
              <w:tr2bl w:val="nil"/>
            </w:tcBorders>
            <w:vAlign w:val="center"/>
          </w:tcPr>
          <w:p w14:paraId="55AD17DB" w14:textId="77777777" w:rsidR="00690D66" w:rsidRPr="00690D66" w:rsidRDefault="00690D66" w:rsidP="00690D66">
            <w:pPr>
              <w:jc w:val="center"/>
              <w:rPr>
                <w:kern w:val="0"/>
              </w:rPr>
            </w:pPr>
            <w:r w:rsidRPr="00690D66">
              <w:rPr>
                <w:kern w:val="0"/>
              </w:rPr>
              <w:t xml:space="preserve">7.3 </w:t>
            </w:r>
          </w:p>
        </w:tc>
        <w:tc>
          <w:tcPr>
            <w:tcW w:w="381" w:type="pct"/>
            <w:tcBorders>
              <w:tl2br w:val="nil"/>
              <w:tr2bl w:val="nil"/>
            </w:tcBorders>
            <w:vAlign w:val="center"/>
          </w:tcPr>
          <w:p w14:paraId="6C792198" w14:textId="77777777" w:rsidR="00690D66" w:rsidRPr="00690D66" w:rsidRDefault="00690D66" w:rsidP="00690D66">
            <w:pPr>
              <w:jc w:val="center"/>
              <w:rPr>
                <w:kern w:val="0"/>
              </w:rPr>
            </w:pPr>
            <w:r w:rsidRPr="00690D66">
              <w:rPr>
                <w:kern w:val="0"/>
              </w:rPr>
              <w:t xml:space="preserve">6.2 </w:t>
            </w:r>
          </w:p>
        </w:tc>
        <w:tc>
          <w:tcPr>
            <w:tcW w:w="210" w:type="pct"/>
            <w:tcBorders>
              <w:tl2br w:val="nil"/>
              <w:tr2bl w:val="nil"/>
            </w:tcBorders>
            <w:vAlign w:val="center"/>
          </w:tcPr>
          <w:p w14:paraId="7E0AB9C7" w14:textId="77777777" w:rsidR="00690D66" w:rsidRPr="00690D66" w:rsidRDefault="00690D66" w:rsidP="00690D66">
            <w:pPr>
              <w:jc w:val="center"/>
              <w:rPr>
                <w:kern w:val="0"/>
              </w:rPr>
            </w:pPr>
            <w:r w:rsidRPr="00690D66">
              <w:rPr>
                <w:kern w:val="0"/>
              </w:rPr>
              <w:t xml:space="preserve">5.2 </w:t>
            </w:r>
          </w:p>
        </w:tc>
      </w:tr>
    </w:tbl>
    <w:p w14:paraId="3CD4A525" w14:textId="77777777" w:rsidR="00690D66" w:rsidRPr="00690D66" w:rsidRDefault="00690D66" w:rsidP="00690D66">
      <w:pPr>
        <w:autoSpaceDE w:val="0"/>
        <w:autoSpaceDN w:val="0"/>
        <w:adjustRightInd w:val="0"/>
        <w:snapToGrid w:val="0"/>
        <w:spacing w:before="36" w:after="200" w:line="357" w:lineRule="auto"/>
        <w:ind w:left="117" w:right="123" w:firstLine="480"/>
        <w:jc w:val="center"/>
        <w:rPr>
          <w:kern w:val="0"/>
          <w:sz w:val="24"/>
          <w:szCs w:val="24"/>
        </w:rPr>
      </w:pPr>
      <w:r w:rsidRPr="00690D66">
        <w:rPr>
          <w:rFonts w:ascii="Calibri" w:hAnsi="Calibri" w:cs="Arial"/>
          <w:noProof/>
          <w:szCs w:val="24"/>
        </w:rPr>
        <w:drawing>
          <wp:inline distT="0" distB="0" distL="114300" distR="114300" wp14:anchorId="4DD7FD3A" wp14:editId="721A66F2">
            <wp:extent cx="2118995" cy="2009140"/>
            <wp:effectExtent l="0" t="0" r="14605" b="10160"/>
            <wp:docPr id="5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4"/>
                    <pic:cNvPicPr>
                      <a:picLocks noChangeAspect="1"/>
                    </pic:cNvPicPr>
                  </pic:nvPicPr>
                  <pic:blipFill>
                    <a:blip r:embed="rId84"/>
                    <a:stretch>
                      <a:fillRect/>
                    </a:stretch>
                  </pic:blipFill>
                  <pic:spPr>
                    <a:xfrm>
                      <a:off x="0" y="0"/>
                      <a:ext cx="2118995" cy="2009140"/>
                    </a:xfrm>
                    <a:prstGeom prst="rect">
                      <a:avLst/>
                    </a:prstGeom>
                    <a:noFill/>
                    <a:ln>
                      <a:noFill/>
                    </a:ln>
                  </pic:spPr>
                </pic:pic>
              </a:graphicData>
            </a:graphic>
          </wp:inline>
        </w:drawing>
      </w:r>
    </w:p>
    <w:p w14:paraId="44D03EC1" w14:textId="38AE30D6" w:rsidR="00690D66" w:rsidRPr="00857E7A" w:rsidRDefault="00690D66" w:rsidP="00857E7A">
      <w:pPr>
        <w:pStyle w:val="aff2"/>
        <w:spacing w:after="0"/>
        <w:ind w:firstLineChars="0" w:firstLine="0"/>
        <w:jc w:val="center"/>
        <w:rPr>
          <w:rStyle w:val="Charf"/>
        </w:rPr>
      </w:pPr>
      <w:r w:rsidRPr="00857E7A">
        <w:rPr>
          <w:rStyle w:val="Charf"/>
        </w:rPr>
        <w:t>图</w:t>
      </w:r>
      <w:r w:rsidR="00857E7A">
        <w:rPr>
          <w:rStyle w:val="Charf"/>
          <w:rFonts w:hint="eastAsia"/>
        </w:rPr>
        <w:t>6.2</w:t>
      </w:r>
      <w:r w:rsidRPr="00857E7A">
        <w:rPr>
          <w:rStyle w:val="Charf"/>
        </w:rPr>
        <w:t>-</w:t>
      </w:r>
      <w:r w:rsidR="00857E7A">
        <w:rPr>
          <w:rStyle w:val="Charf"/>
          <w:rFonts w:hint="eastAsia"/>
        </w:rPr>
        <w:t>5</w:t>
      </w:r>
      <w:r w:rsidRPr="00857E7A">
        <w:rPr>
          <w:rStyle w:val="Charf"/>
        </w:rPr>
        <w:t xml:space="preserve"> </w:t>
      </w:r>
      <w:r w:rsidRPr="00857E7A">
        <w:rPr>
          <w:rStyle w:val="Charf"/>
        </w:rPr>
        <w:t>风向玫瑰图（静风频率</w:t>
      </w:r>
      <w:r w:rsidRPr="00857E7A">
        <w:rPr>
          <w:rStyle w:val="Charf"/>
        </w:rPr>
        <w:t>5.2%</w:t>
      </w:r>
      <w:r w:rsidRPr="00857E7A">
        <w:rPr>
          <w:rStyle w:val="Charf"/>
        </w:rPr>
        <w:t>）</w:t>
      </w:r>
    </w:p>
    <w:p w14:paraId="04044271" w14:textId="410328A5" w:rsidR="00690D66" w:rsidRPr="005D74E7" w:rsidRDefault="00690D66" w:rsidP="005D74E7">
      <w:pPr>
        <w:pStyle w:val="affffff4"/>
      </w:pPr>
      <w:r w:rsidRPr="005D74E7">
        <w:t>各月风向频率见表</w:t>
      </w:r>
      <w:r w:rsidR="00857E7A">
        <w:rPr>
          <w:rFonts w:hint="eastAsia"/>
        </w:rPr>
        <w:t>和</w:t>
      </w:r>
      <w:r w:rsidRPr="005D74E7">
        <w:t>月风向玫瑰图见</w:t>
      </w:r>
      <w:r w:rsidR="00857E7A">
        <w:rPr>
          <w:rFonts w:hint="eastAsia"/>
        </w:rPr>
        <w:t>下</w:t>
      </w:r>
      <w:r w:rsidRPr="005D74E7">
        <w:t>图。</w:t>
      </w:r>
    </w:p>
    <w:tbl>
      <w:tblPr>
        <w:tblStyle w:val="3a"/>
        <w:tblW w:w="4951" w:type="pct"/>
        <w:tblInd w:w="0" w:type="dxa"/>
        <w:tblLook w:val="04A0" w:firstRow="1" w:lastRow="0" w:firstColumn="1" w:lastColumn="0" w:noHBand="0" w:noVBand="1"/>
      </w:tblPr>
      <w:tblGrid>
        <w:gridCol w:w="3037"/>
        <w:gridCol w:w="2889"/>
        <w:gridCol w:w="2918"/>
      </w:tblGrid>
      <w:tr w:rsidR="00690D66" w:rsidRPr="00690D66" w14:paraId="311AA50A" w14:textId="77777777" w:rsidTr="00454C5A">
        <w:tc>
          <w:tcPr>
            <w:tcW w:w="1666" w:type="pct"/>
            <w:tcBorders>
              <w:top w:val="nil"/>
              <w:left w:val="nil"/>
              <w:bottom w:val="nil"/>
              <w:right w:val="nil"/>
            </w:tcBorders>
          </w:tcPr>
          <w:p w14:paraId="327591BD" w14:textId="77777777" w:rsidR="00690D66" w:rsidRPr="00690D66" w:rsidRDefault="00690D66" w:rsidP="00690D66">
            <w:pPr>
              <w:rPr>
                <w:kern w:val="0"/>
                <w:sz w:val="10"/>
                <w:szCs w:val="10"/>
              </w:rPr>
            </w:pPr>
            <w:r w:rsidRPr="00690D66">
              <w:rPr>
                <w:kern w:val="0"/>
                <w:sz w:val="24"/>
                <w:szCs w:val="24"/>
              </w:rPr>
              <w:br w:type="page"/>
            </w:r>
            <w:r w:rsidRPr="00690D66">
              <w:rPr>
                <w:rFonts w:ascii="Calibri" w:hAnsi="Calibri" w:cs="Arial"/>
                <w:noProof/>
                <w:szCs w:val="24"/>
              </w:rPr>
              <w:drawing>
                <wp:inline distT="0" distB="0" distL="114300" distR="114300" wp14:anchorId="79EC39B0" wp14:editId="766E04CD">
                  <wp:extent cx="1698625" cy="1648460"/>
                  <wp:effectExtent l="0" t="0" r="15875" b="8890"/>
                  <wp:docPr id="5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
                          <pic:cNvPicPr>
                            <a:picLocks noChangeAspect="1"/>
                          </pic:cNvPicPr>
                        </pic:nvPicPr>
                        <pic:blipFill>
                          <a:blip r:embed="rId85"/>
                          <a:stretch>
                            <a:fillRect/>
                          </a:stretch>
                        </pic:blipFill>
                        <pic:spPr>
                          <a:xfrm>
                            <a:off x="0" y="0"/>
                            <a:ext cx="1698625" cy="1648460"/>
                          </a:xfrm>
                          <a:prstGeom prst="rect">
                            <a:avLst/>
                          </a:prstGeom>
                          <a:noFill/>
                          <a:ln>
                            <a:noFill/>
                          </a:ln>
                        </pic:spPr>
                      </pic:pic>
                    </a:graphicData>
                  </a:graphic>
                </wp:inline>
              </w:drawing>
            </w:r>
          </w:p>
        </w:tc>
        <w:tc>
          <w:tcPr>
            <w:tcW w:w="1666" w:type="pct"/>
            <w:tcBorders>
              <w:top w:val="nil"/>
              <w:left w:val="nil"/>
              <w:bottom w:val="nil"/>
              <w:right w:val="nil"/>
            </w:tcBorders>
          </w:tcPr>
          <w:p w14:paraId="6364CB56" w14:textId="77777777" w:rsidR="00690D66" w:rsidRPr="00690D66" w:rsidRDefault="00690D66" w:rsidP="00690D66">
            <w:pPr>
              <w:autoSpaceDE w:val="0"/>
              <w:autoSpaceDN w:val="0"/>
              <w:jc w:val="center"/>
              <w:rPr>
                <w:kern w:val="0"/>
                <w:sz w:val="10"/>
                <w:szCs w:val="10"/>
              </w:rPr>
            </w:pPr>
            <w:r w:rsidRPr="00690D66">
              <w:rPr>
                <w:rFonts w:ascii="Calibri" w:hAnsi="Calibri" w:cs="Arial"/>
                <w:noProof/>
                <w:szCs w:val="24"/>
              </w:rPr>
              <w:drawing>
                <wp:inline distT="0" distB="0" distL="114300" distR="114300" wp14:anchorId="75BB3404" wp14:editId="29C76DEC">
                  <wp:extent cx="1677670" cy="1611630"/>
                  <wp:effectExtent l="0" t="0" r="17780" b="7620"/>
                  <wp:docPr id="1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6"/>
                          <pic:cNvPicPr>
                            <a:picLocks noChangeAspect="1"/>
                          </pic:cNvPicPr>
                        </pic:nvPicPr>
                        <pic:blipFill>
                          <a:blip r:embed="rId86"/>
                          <a:stretch>
                            <a:fillRect/>
                          </a:stretch>
                        </pic:blipFill>
                        <pic:spPr>
                          <a:xfrm>
                            <a:off x="0" y="0"/>
                            <a:ext cx="1677670" cy="1611630"/>
                          </a:xfrm>
                          <a:prstGeom prst="rect">
                            <a:avLst/>
                          </a:prstGeom>
                          <a:noFill/>
                          <a:ln>
                            <a:noFill/>
                          </a:ln>
                        </pic:spPr>
                      </pic:pic>
                    </a:graphicData>
                  </a:graphic>
                </wp:inline>
              </w:drawing>
            </w:r>
          </w:p>
        </w:tc>
        <w:tc>
          <w:tcPr>
            <w:tcW w:w="1666" w:type="pct"/>
            <w:tcBorders>
              <w:top w:val="nil"/>
              <w:left w:val="nil"/>
              <w:bottom w:val="nil"/>
              <w:right w:val="nil"/>
            </w:tcBorders>
          </w:tcPr>
          <w:p w14:paraId="2CD98D9E" w14:textId="77777777" w:rsidR="00690D66" w:rsidRPr="00690D66" w:rsidRDefault="00690D66" w:rsidP="00690D66">
            <w:pPr>
              <w:autoSpaceDE w:val="0"/>
              <w:autoSpaceDN w:val="0"/>
              <w:jc w:val="center"/>
              <w:rPr>
                <w:rFonts w:eastAsia="微软雅黑"/>
                <w:kern w:val="0"/>
                <w:sz w:val="10"/>
                <w:szCs w:val="10"/>
              </w:rPr>
            </w:pPr>
            <w:r w:rsidRPr="00690D66">
              <w:rPr>
                <w:rFonts w:ascii="Calibri" w:hAnsi="Calibri" w:cs="Arial"/>
                <w:noProof/>
                <w:szCs w:val="24"/>
              </w:rPr>
              <w:drawing>
                <wp:inline distT="0" distB="0" distL="114300" distR="114300" wp14:anchorId="62D0C2EF" wp14:editId="7DD3409C">
                  <wp:extent cx="1718310" cy="1647825"/>
                  <wp:effectExtent l="0" t="0" r="15240" b="9525"/>
                  <wp:docPr id="150747628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7"/>
                          <pic:cNvPicPr>
                            <a:picLocks noChangeAspect="1"/>
                          </pic:cNvPicPr>
                        </pic:nvPicPr>
                        <pic:blipFill>
                          <a:blip r:embed="rId87"/>
                          <a:stretch>
                            <a:fillRect/>
                          </a:stretch>
                        </pic:blipFill>
                        <pic:spPr>
                          <a:xfrm>
                            <a:off x="0" y="0"/>
                            <a:ext cx="1718310" cy="1647825"/>
                          </a:xfrm>
                          <a:prstGeom prst="rect">
                            <a:avLst/>
                          </a:prstGeom>
                          <a:noFill/>
                          <a:ln>
                            <a:noFill/>
                          </a:ln>
                        </pic:spPr>
                      </pic:pic>
                    </a:graphicData>
                  </a:graphic>
                </wp:inline>
              </w:drawing>
            </w:r>
          </w:p>
        </w:tc>
      </w:tr>
      <w:tr w:rsidR="00690D66" w:rsidRPr="00690D66" w14:paraId="7292688D" w14:textId="77777777" w:rsidTr="00454C5A">
        <w:tc>
          <w:tcPr>
            <w:tcW w:w="1666" w:type="pct"/>
            <w:tcBorders>
              <w:top w:val="nil"/>
              <w:left w:val="nil"/>
              <w:bottom w:val="nil"/>
              <w:right w:val="nil"/>
            </w:tcBorders>
          </w:tcPr>
          <w:p w14:paraId="663A44C6" w14:textId="77777777" w:rsidR="00690D66" w:rsidRPr="00690D66" w:rsidRDefault="00690D66" w:rsidP="00690D66">
            <w:pPr>
              <w:autoSpaceDE w:val="0"/>
              <w:autoSpaceDN w:val="0"/>
              <w:jc w:val="center"/>
              <w:rPr>
                <w:rFonts w:eastAsia="微软雅黑"/>
                <w:kern w:val="0"/>
                <w:sz w:val="10"/>
                <w:szCs w:val="10"/>
              </w:rPr>
            </w:pPr>
            <w:r w:rsidRPr="00690D66">
              <w:rPr>
                <w:rFonts w:ascii="Calibri" w:hAnsi="Calibri" w:cs="Arial"/>
                <w:noProof/>
                <w:szCs w:val="24"/>
              </w:rPr>
              <w:lastRenderedPageBreak/>
              <w:drawing>
                <wp:inline distT="0" distB="0" distL="114300" distR="114300" wp14:anchorId="2C628F31" wp14:editId="5C1C21A4">
                  <wp:extent cx="1692910" cy="1616075"/>
                  <wp:effectExtent l="0" t="0" r="2540" b="3175"/>
                  <wp:docPr id="66522781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8"/>
                          <pic:cNvPicPr>
                            <a:picLocks noChangeAspect="1"/>
                          </pic:cNvPicPr>
                        </pic:nvPicPr>
                        <pic:blipFill>
                          <a:blip r:embed="rId88"/>
                          <a:stretch>
                            <a:fillRect/>
                          </a:stretch>
                        </pic:blipFill>
                        <pic:spPr>
                          <a:xfrm>
                            <a:off x="0" y="0"/>
                            <a:ext cx="1692910" cy="1616075"/>
                          </a:xfrm>
                          <a:prstGeom prst="rect">
                            <a:avLst/>
                          </a:prstGeom>
                          <a:noFill/>
                          <a:ln>
                            <a:noFill/>
                          </a:ln>
                        </pic:spPr>
                      </pic:pic>
                    </a:graphicData>
                  </a:graphic>
                </wp:inline>
              </w:drawing>
            </w:r>
          </w:p>
        </w:tc>
        <w:tc>
          <w:tcPr>
            <w:tcW w:w="1666" w:type="pct"/>
            <w:tcBorders>
              <w:top w:val="nil"/>
              <w:left w:val="nil"/>
              <w:bottom w:val="nil"/>
              <w:right w:val="nil"/>
            </w:tcBorders>
          </w:tcPr>
          <w:p w14:paraId="646D5F75" w14:textId="77777777" w:rsidR="00690D66" w:rsidRPr="00690D66" w:rsidRDefault="00690D66" w:rsidP="00690D66">
            <w:pPr>
              <w:autoSpaceDE w:val="0"/>
              <w:autoSpaceDN w:val="0"/>
              <w:jc w:val="center"/>
              <w:rPr>
                <w:rFonts w:eastAsia="微软雅黑"/>
                <w:kern w:val="0"/>
                <w:sz w:val="10"/>
                <w:szCs w:val="10"/>
              </w:rPr>
            </w:pPr>
            <w:r w:rsidRPr="00690D66">
              <w:rPr>
                <w:rFonts w:ascii="Calibri" w:hAnsi="Calibri" w:cs="Arial"/>
                <w:noProof/>
                <w:szCs w:val="24"/>
              </w:rPr>
              <w:drawing>
                <wp:inline distT="0" distB="0" distL="114300" distR="114300" wp14:anchorId="3E437E6C" wp14:editId="3E55DA03">
                  <wp:extent cx="1706245" cy="1656715"/>
                  <wp:effectExtent l="0" t="0" r="8255" b="635"/>
                  <wp:docPr id="1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9"/>
                          <pic:cNvPicPr>
                            <a:picLocks noChangeAspect="1"/>
                          </pic:cNvPicPr>
                        </pic:nvPicPr>
                        <pic:blipFill>
                          <a:blip r:embed="rId89"/>
                          <a:stretch>
                            <a:fillRect/>
                          </a:stretch>
                        </pic:blipFill>
                        <pic:spPr>
                          <a:xfrm>
                            <a:off x="0" y="0"/>
                            <a:ext cx="1706245" cy="1656715"/>
                          </a:xfrm>
                          <a:prstGeom prst="rect">
                            <a:avLst/>
                          </a:prstGeom>
                          <a:noFill/>
                          <a:ln>
                            <a:noFill/>
                          </a:ln>
                        </pic:spPr>
                      </pic:pic>
                    </a:graphicData>
                  </a:graphic>
                </wp:inline>
              </w:drawing>
            </w:r>
          </w:p>
        </w:tc>
        <w:tc>
          <w:tcPr>
            <w:tcW w:w="1666" w:type="pct"/>
            <w:tcBorders>
              <w:top w:val="nil"/>
              <w:left w:val="nil"/>
              <w:bottom w:val="nil"/>
              <w:right w:val="nil"/>
            </w:tcBorders>
          </w:tcPr>
          <w:p w14:paraId="52F3EB30" w14:textId="77777777" w:rsidR="00690D66" w:rsidRPr="00690D66" w:rsidRDefault="00690D66" w:rsidP="00690D66">
            <w:pPr>
              <w:autoSpaceDE w:val="0"/>
              <w:autoSpaceDN w:val="0"/>
              <w:jc w:val="center"/>
              <w:rPr>
                <w:rFonts w:eastAsia="微软雅黑"/>
                <w:kern w:val="0"/>
                <w:sz w:val="10"/>
                <w:szCs w:val="10"/>
              </w:rPr>
            </w:pPr>
            <w:r w:rsidRPr="00690D66">
              <w:rPr>
                <w:rFonts w:ascii="Calibri" w:hAnsi="Calibri" w:cs="Arial"/>
                <w:noProof/>
                <w:szCs w:val="24"/>
              </w:rPr>
              <w:drawing>
                <wp:inline distT="0" distB="0" distL="114300" distR="114300" wp14:anchorId="7E998AB0" wp14:editId="636A8DD4">
                  <wp:extent cx="1691005" cy="1656080"/>
                  <wp:effectExtent l="0" t="0" r="4445" b="1270"/>
                  <wp:docPr id="1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0"/>
                          <pic:cNvPicPr>
                            <a:picLocks noChangeAspect="1"/>
                          </pic:cNvPicPr>
                        </pic:nvPicPr>
                        <pic:blipFill>
                          <a:blip r:embed="rId90"/>
                          <a:stretch>
                            <a:fillRect/>
                          </a:stretch>
                        </pic:blipFill>
                        <pic:spPr>
                          <a:xfrm>
                            <a:off x="0" y="0"/>
                            <a:ext cx="1691005" cy="1656080"/>
                          </a:xfrm>
                          <a:prstGeom prst="rect">
                            <a:avLst/>
                          </a:prstGeom>
                          <a:noFill/>
                          <a:ln>
                            <a:noFill/>
                          </a:ln>
                        </pic:spPr>
                      </pic:pic>
                    </a:graphicData>
                  </a:graphic>
                </wp:inline>
              </w:drawing>
            </w:r>
          </w:p>
        </w:tc>
      </w:tr>
      <w:tr w:rsidR="00690D66" w:rsidRPr="00690D66" w14:paraId="7CD593EF" w14:textId="77777777" w:rsidTr="00454C5A">
        <w:tc>
          <w:tcPr>
            <w:tcW w:w="1666" w:type="pct"/>
            <w:tcBorders>
              <w:top w:val="nil"/>
              <w:left w:val="nil"/>
              <w:bottom w:val="nil"/>
              <w:right w:val="nil"/>
            </w:tcBorders>
          </w:tcPr>
          <w:p w14:paraId="75C1DA70" w14:textId="77777777" w:rsidR="00690D66" w:rsidRPr="00690D66" w:rsidRDefault="00690D66" w:rsidP="00690D66">
            <w:pPr>
              <w:autoSpaceDE w:val="0"/>
              <w:autoSpaceDN w:val="0"/>
              <w:jc w:val="center"/>
              <w:rPr>
                <w:rFonts w:eastAsia="微软雅黑"/>
                <w:kern w:val="0"/>
                <w:sz w:val="10"/>
                <w:szCs w:val="10"/>
              </w:rPr>
            </w:pPr>
            <w:r w:rsidRPr="00690D66">
              <w:rPr>
                <w:rFonts w:ascii="Calibri" w:hAnsi="Calibri" w:cs="Arial"/>
                <w:noProof/>
                <w:szCs w:val="24"/>
              </w:rPr>
              <w:drawing>
                <wp:inline distT="0" distB="0" distL="114300" distR="114300" wp14:anchorId="09CFDCA7" wp14:editId="0650B5F5">
                  <wp:extent cx="1796415" cy="1725930"/>
                  <wp:effectExtent l="0" t="0" r="13335" b="7620"/>
                  <wp:docPr id="1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1"/>
                          <pic:cNvPicPr>
                            <a:picLocks noChangeAspect="1"/>
                          </pic:cNvPicPr>
                        </pic:nvPicPr>
                        <pic:blipFill>
                          <a:blip r:embed="rId91"/>
                          <a:stretch>
                            <a:fillRect/>
                          </a:stretch>
                        </pic:blipFill>
                        <pic:spPr>
                          <a:xfrm>
                            <a:off x="0" y="0"/>
                            <a:ext cx="1796415" cy="1725930"/>
                          </a:xfrm>
                          <a:prstGeom prst="rect">
                            <a:avLst/>
                          </a:prstGeom>
                          <a:noFill/>
                          <a:ln>
                            <a:noFill/>
                          </a:ln>
                        </pic:spPr>
                      </pic:pic>
                    </a:graphicData>
                  </a:graphic>
                </wp:inline>
              </w:drawing>
            </w:r>
          </w:p>
        </w:tc>
        <w:tc>
          <w:tcPr>
            <w:tcW w:w="1666" w:type="pct"/>
            <w:tcBorders>
              <w:top w:val="nil"/>
              <w:left w:val="nil"/>
              <w:bottom w:val="nil"/>
              <w:right w:val="nil"/>
            </w:tcBorders>
          </w:tcPr>
          <w:p w14:paraId="28E5E636" w14:textId="77777777" w:rsidR="00690D66" w:rsidRPr="00690D66" w:rsidRDefault="00690D66" w:rsidP="00690D66">
            <w:pPr>
              <w:autoSpaceDE w:val="0"/>
              <w:autoSpaceDN w:val="0"/>
              <w:jc w:val="center"/>
              <w:rPr>
                <w:rFonts w:eastAsia="微软雅黑"/>
                <w:kern w:val="0"/>
                <w:sz w:val="10"/>
                <w:szCs w:val="10"/>
              </w:rPr>
            </w:pPr>
            <w:r w:rsidRPr="00690D66">
              <w:rPr>
                <w:rFonts w:ascii="Calibri" w:hAnsi="Calibri" w:cs="Arial"/>
                <w:noProof/>
                <w:szCs w:val="24"/>
              </w:rPr>
              <w:drawing>
                <wp:inline distT="0" distB="0" distL="114300" distR="114300" wp14:anchorId="61612FD3" wp14:editId="687497DA">
                  <wp:extent cx="1658620" cy="1586865"/>
                  <wp:effectExtent l="0" t="0" r="17780" b="13335"/>
                  <wp:docPr id="1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2"/>
                          <pic:cNvPicPr>
                            <a:picLocks noChangeAspect="1"/>
                          </pic:cNvPicPr>
                        </pic:nvPicPr>
                        <pic:blipFill>
                          <a:blip r:embed="rId92"/>
                          <a:stretch>
                            <a:fillRect/>
                          </a:stretch>
                        </pic:blipFill>
                        <pic:spPr>
                          <a:xfrm>
                            <a:off x="0" y="0"/>
                            <a:ext cx="1658620" cy="1586865"/>
                          </a:xfrm>
                          <a:prstGeom prst="rect">
                            <a:avLst/>
                          </a:prstGeom>
                          <a:noFill/>
                          <a:ln>
                            <a:noFill/>
                          </a:ln>
                        </pic:spPr>
                      </pic:pic>
                    </a:graphicData>
                  </a:graphic>
                </wp:inline>
              </w:drawing>
            </w:r>
          </w:p>
        </w:tc>
        <w:tc>
          <w:tcPr>
            <w:tcW w:w="1666" w:type="pct"/>
            <w:tcBorders>
              <w:top w:val="nil"/>
              <w:left w:val="nil"/>
              <w:bottom w:val="nil"/>
              <w:right w:val="nil"/>
            </w:tcBorders>
          </w:tcPr>
          <w:p w14:paraId="16BD7246" w14:textId="77777777" w:rsidR="00690D66" w:rsidRPr="00690D66" w:rsidRDefault="00690D66" w:rsidP="00690D66">
            <w:pPr>
              <w:autoSpaceDE w:val="0"/>
              <w:autoSpaceDN w:val="0"/>
              <w:jc w:val="center"/>
              <w:rPr>
                <w:rFonts w:eastAsia="微软雅黑"/>
                <w:kern w:val="0"/>
                <w:sz w:val="10"/>
                <w:szCs w:val="10"/>
              </w:rPr>
            </w:pPr>
            <w:r w:rsidRPr="00690D66">
              <w:rPr>
                <w:rFonts w:ascii="Calibri" w:hAnsi="Calibri" w:cs="Arial"/>
                <w:noProof/>
                <w:szCs w:val="24"/>
              </w:rPr>
              <w:drawing>
                <wp:inline distT="0" distB="0" distL="114300" distR="114300" wp14:anchorId="5BF27D1B" wp14:editId="00B658C4">
                  <wp:extent cx="1727835" cy="1666875"/>
                  <wp:effectExtent l="0" t="0" r="5715" b="9525"/>
                  <wp:docPr id="1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3"/>
                          <pic:cNvPicPr>
                            <a:picLocks noChangeAspect="1"/>
                          </pic:cNvPicPr>
                        </pic:nvPicPr>
                        <pic:blipFill>
                          <a:blip r:embed="rId93"/>
                          <a:stretch>
                            <a:fillRect/>
                          </a:stretch>
                        </pic:blipFill>
                        <pic:spPr>
                          <a:xfrm>
                            <a:off x="0" y="0"/>
                            <a:ext cx="1727835" cy="1666875"/>
                          </a:xfrm>
                          <a:prstGeom prst="rect">
                            <a:avLst/>
                          </a:prstGeom>
                          <a:noFill/>
                          <a:ln>
                            <a:noFill/>
                          </a:ln>
                        </pic:spPr>
                      </pic:pic>
                    </a:graphicData>
                  </a:graphic>
                </wp:inline>
              </w:drawing>
            </w:r>
          </w:p>
        </w:tc>
      </w:tr>
      <w:tr w:rsidR="00690D66" w:rsidRPr="00690D66" w14:paraId="12E34AAE" w14:textId="77777777" w:rsidTr="00454C5A">
        <w:tc>
          <w:tcPr>
            <w:tcW w:w="1666" w:type="pct"/>
            <w:tcBorders>
              <w:top w:val="nil"/>
              <w:left w:val="nil"/>
              <w:bottom w:val="nil"/>
              <w:right w:val="nil"/>
            </w:tcBorders>
          </w:tcPr>
          <w:p w14:paraId="289933FB" w14:textId="77777777" w:rsidR="00690D66" w:rsidRPr="00690D66" w:rsidRDefault="00690D66" w:rsidP="00690D66">
            <w:pPr>
              <w:autoSpaceDE w:val="0"/>
              <w:autoSpaceDN w:val="0"/>
              <w:jc w:val="center"/>
              <w:rPr>
                <w:kern w:val="0"/>
                <w:sz w:val="10"/>
                <w:szCs w:val="10"/>
              </w:rPr>
            </w:pPr>
            <w:r w:rsidRPr="00690D66">
              <w:rPr>
                <w:rFonts w:ascii="Calibri" w:hAnsi="Calibri" w:cs="Arial"/>
                <w:noProof/>
                <w:szCs w:val="24"/>
              </w:rPr>
              <w:drawing>
                <wp:inline distT="0" distB="0" distL="114300" distR="114300" wp14:anchorId="6E781684" wp14:editId="1004B274">
                  <wp:extent cx="1751330" cy="1699895"/>
                  <wp:effectExtent l="0" t="0" r="1270" b="14605"/>
                  <wp:docPr id="2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4"/>
                          <pic:cNvPicPr>
                            <a:picLocks noChangeAspect="1"/>
                          </pic:cNvPicPr>
                        </pic:nvPicPr>
                        <pic:blipFill>
                          <a:blip r:embed="rId94"/>
                          <a:stretch>
                            <a:fillRect/>
                          </a:stretch>
                        </pic:blipFill>
                        <pic:spPr>
                          <a:xfrm>
                            <a:off x="0" y="0"/>
                            <a:ext cx="1751330" cy="1699895"/>
                          </a:xfrm>
                          <a:prstGeom prst="rect">
                            <a:avLst/>
                          </a:prstGeom>
                          <a:noFill/>
                          <a:ln>
                            <a:noFill/>
                          </a:ln>
                        </pic:spPr>
                      </pic:pic>
                    </a:graphicData>
                  </a:graphic>
                </wp:inline>
              </w:drawing>
            </w:r>
          </w:p>
        </w:tc>
        <w:tc>
          <w:tcPr>
            <w:tcW w:w="1666" w:type="pct"/>
            <w:tcBorders>
              <w:top w:val="nil"/>
              <w:left w:val="nil"/>
              <w:bottom w:val="nil"/>
              <w:right w:val="nil"/>
            </w:tcBorders>
          </w:tcPr>
          <w:p w14:paraId="186BFD47" w14:textId="77777777" w:rsidR="00690D66" w:rsidRPr="00690D66" w:rsidRDefault="00690D66" w:rsidP="00690D66">
            <w:pPr>
              <w:autoSpaceDE w:val="0"/>
              <w:autoSpaceDN w:val="0"/>
              <w:jc w:val="center"/>
              <w:rPr>
                <w:kern w:val="0"/>
                <w:sz w:val="10"/>
                <w:szCs w:val="10"/>
              </w:rPr>
            </w:pPr>
            <w:r w:rsidRPr="00690D66">
              <w:rPr>
                <w:rFonts w:ascii="Calibri" w:hAnsi="Calibri" w:cs="Arial"/>
                <w:noProof/>
                <w:szCs w:val="24"/>
              </w:rPr>
              <w:drawing>
                <wp:inline distT="0" distB="0" distL="114300" distR="114300" wp14:anchorId="1F3ECBC2" wp14:editId="471B8D1F">
                  <wp:extent cx="1702435" cy="1642110"/>
                  <wp:effectExtent l="0" t="0" r="12065" b="15240"/>
                  <wp:docPr id="6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5"/>
                          <pic:cNvPicPr>
                            <a:picLocks noChangeAspect="1"/>
                          </pic:cNvPicPr>
                        </pic:nvPicPr>
                        <pic:blipFill>
                          <a:blip r:embed="rId95"/>
                          <a:stretch>
                            <a:fillRect/>
                          </a:stretch>
                        </pic:blipFill>
                        <pic:spPr>
                          <a:xfrm>
                            <a:off x="0" y="0"/>
                            <a:ext cx="1702435" cy="1642110"/>
                          </a:xfrm>
                          <a:prstGeom prst="rect">
                            <a:avLst/>
                          </a:prstGeom>
                          <a:noFill/>
                          <a:ln>
                            <a:noFill/>
                          </a:ln>
                        </pic:spPr>
                      </pic:pic>
                    </a:graphicData>
                  </a:graphic>
                </wp:inline>
              </w:drawing>
            </w:r>
          </w:p>
        </w:tc>
        <w:tc>
          <w:tcPr>
            <w:tcW w:w="1666" w:type="pct"/>
            <w:tcBorders>
              <w:top w:val="nil"/>
              <w:left w:val="nil"/>
              <w:bottom w:val="nil"/>
              <w:right w:val="nil"/>
            </w:tcBorders>
          </w:tcPr>
          <w:p w14:paraId="01E03F26" w14:textId="77777777" w:rsidR="00690D66" w:rsidRPr="00690D66" w:rsidRDefault="00690D66" w:rsidP="00690D66">
            <w:pPr>
              <w:autoSpaceDE w:val="0"/>
              <w:autoSpaceDN w:val="0"/>
              <w:jc w:val="center"/>
              <w:rPr>
                <w:rFonts w:eastAsia="微软雅黑"/>
                <w:kern w:val="0"/>
                <w:sz w:val="10"/>
                <w:szCs w:val="10"/>
              </w:rPr>
            </w:pPr>
            <w:r w:rsidRPr="00690D66">
              <w:rPr>
                <w:rFonts w:ascii="Calibri" w:hAnsi="Calibri" w:cs="Arial"/>
                <w:noProof/>
                <w:szCs w:val="24"/>
              </w:rPr>
              <w:drawing>
                <wp:inline distT="0" distB="0" distL="114300" distR="114300" wp14:anchorId="0701A838" wp14:editId="659F2A88">
                  <wp:extent cx="1685925" cy="1609725"/>
                  <wp:effectExtent l="0" t="0" r="9525" b="9525"/>
                  <wp:docPr id="6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16"/>
                          <pic:cNvPicPr>
                            <a:picLocks noChangeAspect="1"/>
                          </pic:cNvPicPr>
                        </pic:nvPicPr>
                        <pic:blipFill>
                          <a:blip r:embed="rId96"/>
                          <a:stretch>
                            <a:fillRect/>
                          </a:stretch>
                        </pic:blipFill>
                        <pic:spPr>
                          <a:xfrm>
                            <a:off x="0" y="0"/>
                            <a:ext cx="1685925" cy="1609725"/>
                          </a:xfrm>
                          <a:prstGeom prst="rect">
                            <a:avLst/>
                          </a:prstGeom>
                          <a:noFill/>
                          <a:ln>
                            <a:noFill/>
                          </a:ln>
                        </pic:spPr>
                      </pic:pic>
                    </a:graphicData>
                  </a:graphic>
                </wp:inline>
              </w:drawing>
            </w:r>
          </w:p>
        </w:tc>
      </w:tr>
      <w:tr w:rsidR="00690D66" w:rsidRPr="00690D66" w14:paraId="152AC8EA" w14:textId="77777777" w:rsidTr="00454C5A">
        <w:tc>
          <w:tcPr>
            <w:tcW w:w="5000" w:type="pct"/>
            <w:gridSpan w:val="3"/>
            <w:tcBorders>
              <w:top w:val="nil"/>
              <w:left w:val="nil"/>
              <w:bottom w:val="nil"/>
              <w:right w:val="nil"/>
            </w:tcBorders>
          </w:tcPr>
          <w:p w14:paraId="34B4BFB1" w14:textId="570AC7ED" w:rsidR="00690D66" w:rsidRPr="00857E7A" w:rsidRDefault="00690D66" w:rsidP="00857E7A">
            <w:pPr>
              <w:pStyle w:val="aff2"/>
              <w:spacing w:after="0"/>
              <w:ind w:firstLineChars="0" w:firstLine="0"/>
              <w:jc w:val="center"/>
              <w:rPr>
                <w:bCs/>
                <w:sz w:val="24"/>
              </w:rPr>
            </w:pPr>
            <w:r w:rsidRPr="00857E7A">
              <w:rPr>
                <w:rStyle w:val="Charf"/>
              </w:rPr>
              <w:t>图</w:t>
            </w:r>
            <w:r w:rsidR="00857E7A">
              <w:rPr>
                <w:rStyle w:val="Charf"/>
                <w:rFonts w:hint="eastAsia"/>
              </w:rPr>
              <w:t>6.2</w:t>
            </w:r>
            <w:r w:rsidRPr="00857E7A">
              <w:rPr>
                <w:rStyle w:val="Charf"/>
              </w:rPr>
              <w:t>-</w:t>
            </w:r>
            <w:r w:rsidR="00857E7A">
              <w:rPr>
                <w:rStyle w:val="Charf"/>
                <w:rFonts w:hint="eastAsia"/>
              </w:rPr>
              <w:t>6</w:t>
            </w:r>
            <w:r w:rsidRPr="00857E7A">
              <w:rPr>
                <w:rStyle w:val="Charf"/>
              </w:rPr>
              <w:t xml:space="preserve"> </w:t>
            </w:r>
            <w:r w:rsidRPr="00857E7A">
              <w:rPr>
                <w:rStyle w:val="Charf"/>
              </w:rPr>
              <w:t>月风向玫瑰图</w:t>
            </w:r>
          </w:p>
        </w:tc>
      </w:tr>
    </w:tbl>
    <w:p w14:paraId="256A63CB" w14:textId="6A1CCBC9" w:rsidR="00690D66" w:rsidRPr="00FE469A" w:rsidRDefault="00690D66" w:rsidP="00FE469A">
      <w:pPr>
        <w:pStyle w:val="affffff5"/>
        <w:tabs>
          <w:tab w:val="left" w:pos="0"/>
        </w:tabs>
        <w:ind w:firstLine="400"/>
      </w:pPr>
      <w:r w:rsidRPr="00FE469A">
        <w:t>表</w:t>
      </w:r>
      <w:r w:rsidR="00D51CED">
        <w:rPr>
          <w:rFonts w:hint="eastAsia"/>
        </w:rPr>
        <w:t>6.2-</w:t>
      </w:r>
      <w:r w:rsidR="004F102D">
        <w:rPr>
          <w:rFonts w:hint="eastAsia"/>
        </w:rPr>
        <w:t>7</w:t>
      </w:r>
      <w:r w:rsidRPr="00FE469A">
        <w:t xml:space="preserve"> </w:t>
      </w:r>
      <w:r w:rsidRPr="00FE469A">
        <w:t>气象站月风向频率统计（单位</w:t>
      </w:r>
      <w:r w:rsidRPr="00FE469A">
        <w:t>%</w:t>
      </w:r>
      <w:r w:rsidRPr="00FE469A">
        <w:t>）</w:t>
      </w:r>
    </w:p>
    <w:tbl>
      <w:tblPr>
        <w:tblStyle w:val="TableNormal5"/>
        <w:tblW w:w="4994" w:type="pct"/>
        <w:tblInd w:w="0"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ook w:val="04A0" w:firstRow="1" w:lastRow="0" w:firstColumn="1" w:lastColumn="0" w:noHBand="0" w:noVBand="1"/>
      </w:tblPr>
      <w:tblGrid>
        <w:gridCol w:w="1450"/>
        <w:gridCol w:w="411"/>
        <w:gridCol w:w="480"/>
        <w:gridCol w:w="317"/>
        <w:gridCol w:w="455"/>
        <w:gridCol w:w="411"/>
        <w:gridCol w:w="417"/>
        <w:gridCol w:w="298"/>
        <w:gridCol w:w="405"/>
        <w:gridCol w:w="411"/>
        <w:gridCol w:w="480"/>
        <w:gridCol w:w="411"/>
        <w:gridCol w:w="568"/>
        <w:gridCol w:w="411"/>
        <w:gridCol w:w="605"/>
        <w:gridCol w:w="411"/>
        <w:gridCol w:w="555"/>
        <w:gridCol w:w="307"/>
      </w:tblGrid>
      <w:tr w:rsidR="00690D66" w:rsidRPr="00690D66" w14:paraId="1CBBFA1B" w14:textId="77777777" w:rsidTr="00454C5A">
        <w:trPr>
          <w:trHeight w:val="23"/>
        </w:trPr>
        <w:tc>
          <w:tcPr>
            <w:tcW w:w="824" w:type="pct"/>
            <w:tcBorders>
              <w:top w:val="single" w:sz="12" w:space="0" w:color="auto"/>
              <w:bottom w:val="single" w:sz="6" w:space="0" w:color="000000"/>
              <w:right w:val="single" w:sz="6" w:space="0" w:color="000000"/>
            </w:tcBorders>
            <w:vAlign w:val="center"/>
          </w:tcPr>
          <w:p w14:paraId="7D8331B8" w14:textId="77777777" w:rsidR="00690D66" w:rsidRPr="00690D66" w:rsidRDefault="00690D66" w:rsidP="00690D66">
            <w:pPr>
              <w:jc w:val="center"/>
              <w:rPr>
                <w:kern w:val="0"/>
              </w:rPr>
            </w:pPr>
            <w:r w:rsidRPr="00690D66">
              <w:rPr>
                <w:kern w:val="0"/>
              </w:rPr>
              <w:t>风向频率月份</w:t>
            </w:r>
          </w:p>
        </w:tc>
        <w:tc>
          <w:tcPr>
            <w:tcW w:w="0" w:type="auto"/>
            <w:tcBorders>
              <w:top w:val="single" w:sz="12" w:space="0" w:color="auto"/>
              <w:left w:val="single" w:sz="6" w:space="0" w:color="000000"/>
              <w:bottom w:val="single" w:sz="6" w:space="0" w:color="000000"/>
              <w:right w:val="single" w:sz="6" w:space="0" w:color="000000"/>
            </w:tcBorders>
            <w:vAlign w:val="center"/>
          </w:tcPr>
          <w:p w14:paraId="2D174AEB" w14:textId="77777777" w:rsidR="00690D66" w:rsidRPr="00690D66" w:rsidRDefault="00690D66" w:rsidP="00690D66">
            <w:pPr>
              <w:jc w:val="center"/>
              <w:rPr>
                <w:kern w:val="0"/>
              </w:rPr>
            </w:pPr>
            <w:r w:rsidRPr="00690D66">
              <w:rPr>
                <w:kern w:val="0"/>
              </w:rPr>
              <w:t>N</w:t>
            </w:r>
          </w:p>
        </w:tc>
        <w:tc>
          <w:tcPr>
            <w:tcW w:w="0" w:type="auto"/>
            <w:tcBorders>
              <w:top w:val="single" w:sz="12" w:space="0" w:color="auto"/>
              <w:left w:val="single" w:sz="6" w:space="0" w:color="000000"/>
              <w:bottom w:val="single" w:sz="6" w:space="0" w:color="000000"/>
              <w:right w:val="single" w:sz="6" w:space="0" w:color="000000"/>
            </w:tcBorders>
            <w:vAlign w:val="center"/>
          </w:tcPr>
          <w:p w14:paraId="71A1E293" w14:textId="77777777" w:rsidR="00690D66" w:rsidRPr="00690D66" w:rsidRDefault="00690D66" w:rsidP="00690D66">
            <w:pPr>
              <w:jc w:val="center"/>
              <w:rPr>
                <w:kern w:val="0"/>
              </w:rPr>
            </w:pPr>
            <w:r w:rsidRPr="00690D66">
              <w:rPr>
                <w:kern w:val="0"/>
              </w:rPr>
              <w:t>NNE</w:t>
            </w:r>
          </w:p>
        </w:tc>
        <w:tc>
          <w:tcPr>
            <w:tcW w:w="0" w:type="auto"/>
            <w:tcBorders>
              <w:top w:val="single" w:sz="12" w:space="0" w:color="auto"/>
              <w:left w:val="single" w:sz="6" w:space="0" w:color="000000"/>
              <w:bottom w:val="single" w:sz="6" w:space="0" w:color="000000"/>
              <w:right w:val="single" w:sz="6" w:space="0" w:color="000000"/>
            </w:tcBorders>
            <w:vAlign w:val="center"/>
          </w:tcPr>
          <w:p w14:paraId="6A7E0CFF" w14:textId="77777777" w:rsidR="00690D66" w:rsidRPr="00690D66" w:rsidRDefault="00690D66" w:rsidP="00690D66">
            <w:pPr>
              <w:jc w:val="center"/>
              <w:rPr>
                <w:kern w:val="0"/>
              </w:rPr>
            </w:pPr>
            <w:r w:rsidRPr="00690D66">
              <w:rPr>
                <w:kern w:val="0"/>
              </w:rPr>
              <w:t>NE</w:t>
            </w:r>
          </w:p>
        </w:tc>
        <w:tc>
          <w:tcPr>
            <w:tcW w:w="0" w:type="auto"/>
            <w:tcBorders>
              <w:top w:val="single" w:sz="12" w:space="0" w:color="auto"/>
              <w:left w:val="single" w:sz="6" w:space="0" w:color="000000"/>
              <w:bottom w:val="single" w:sz="6" w:space="0" w:color="000000"/>
              <w:right w:val="single" w:sz="6" w:space="0" w:color="000000"/>
            </w:tcBorders>
            <w:vAlign w:val="center"/>
          </w:tcPr>
          <w:p w14:paraId="00C58C8D" w14:textId="77777777" w:rsidR="00690D66" w:rsidRPr="00690D66" w:rsidRDefault="00690D66" w:rsidP="00690D66">
            <w:pPr>
              <w:jc w:val="center"/>
              <w:rPr>
                <w:kern w:val="0"/>
              </w:rPr>
            </w:pPr>
            <w:r w:rsidRPr="00690D66">
              <w:rPr>
                <w:kern w:val="0"/>
              </w:rPr>
              <w:t>ENE</w:t>
            </w:r>
          </w:p>
        </w:tc>
        <w:tc>
          <w:tcPr>
            <w:tcW w:w="0" w:type="auto"/>
            <w:tcBorders>
              <w:top w:val="single" w:sz="12" w:space="0" w:color="auto"/>
              <w:left w:val="single" w:sz="6" w:space="0" w:color="000000"/>
              <w:bottom w:val="single" w:sz="6" w:space="0" w:color="000000"/>
              <w:right w:val="single" w:sz="6" w:space="0" w:color="000000"/>
            </w:tcBorders>
            <w:vAlign w:val="center"/>
          </w:tcPr>
          <w:p w14:paraId="35AD9EA4" w14:textId="77777777" w:rsidR="00690D66" w:rsidRPr="00690D66" w:rsidRDefault="00690D66" w:rsidP="00690D66">
            <w:pPr>
              <w:jc w:val="center"/>
              <w:rPr>
                <w:kern w:val="0"/>
              </w:rPr>
            </w:pPr>
            <w:r w:rsidRPr="00690D66">
              <w:rPr>
                <w:kern w:val="0"/>
              </w:rPr>
              <w:t>E</w:t>
            </w:r>
          </w:p>
        </w:tc>
        <w:tc>
          <w:tcPr>
            <w:tcW w:w="0" w:type="auto"/>
            <w:tcBorders>
              <w:top w:val="single" w:sz="12" w:space="0" w:color="auto"/>
              <w:left w:val="single" w:sz="6" w:space="0" w:color="000000"/>
              <w:bottom w:val="single" w:sz="6" w:space="0" w:color="000000"/>
              <w:right w:val="single" w:sz="6" w:space="0" w:color="000000"/>
            </w:tcBorders>
            <w:vAlign w:val="center"/>
          </w:tcPr>
          <w:p w14:paraId="60ABD3DE" w14:textId="77777777" w:rsidR="00690D66" w:rsidRPr="00690D66" w:rsidRDefault="00690D66" w:rsidP="00690D66">
            <w:pPr>
              <w:jc w:val="center"/>
              <w:rPr>
                <w:kern w:val="0"/>
              </w:rPr>
            </w:pPr>
            <w:r w:rsidRPr="00690D66">
              <w:rPr>
                <w:kern w:val="0"/>
              </w:rPr>
              <w:t>ESE</w:t>
            </w:r>
          </w:p>
        </w:tc>
        <w:tc>
          <w:tcPr>
            <w:tcW w:w="0" w:type="auto"/>
            <w:tcBorders>
              <w:top w:val="single" w:sz="12" w:space="0" w:color="auto"/>
              <w:left w:val="single" w:sz="6" w:space="0" w:color="000000"/>
              <w:bottom w:val="single" w:sz="6" w:space="0" w:color="000000"/>
              <w:right w:val="single" w:sz="6" w:space="0" w:color="000000"/>
            </w:tcBorders>
            <w:vAlign w:val="center"/>
          </w:tcPr>
          <w:p w14:paraId="3AEBCC3B" w14:textId="77777777" w:rsidR="00690D66" w:rsidRPr="00690D66" w:rsidRDefault="00690D66" w:rsidP="00690D66">
            <w:pPr>
              <w:jc w:val="center"/>
              <w:rPr>
                <w:kern w:val="0"/>
              </w:rPr>
            </w:pPr>
            <w:r w:rsidRPr="00690D66">
              <w:rPr>
                <w:kern w:val="0"/>
              </w:rPr>
              <w:t>SE</w:t>
            </w:r>
          </w:p>
        </w:tc>
        <w:tc>
          <w:tcPr>
            <w:tcW w:w="0" w:type="auto"/>
            <w:tcBorders>
              <w:top w:val="single" w:sz="12" w:space="0" w:color="auto"/>
              <w:left w:val="single" w:sz="6" w:space="0" w:color="000000"/>
              <w:bottom w:val="single" w:sz="6" w:space="0" w:color="000000"/>
              <w:right w:val="single" w:sz="6" w:space="0" w:color="000000"/>
            </w:tcBorders>
            <w:vAlign w:val="center"/>
          </w:tcPr>
          <w:p w14:paraId="0306D272" w14:textId="77777777" w:rsidR="00690D66" w:rsidRPr="00690D66" w:rsidRDefault="00690D66" w:rsidP="00690D66">
            <w:pPr>
              <w:jc w:val="center"/>
              <w:rPr>
                <w:kern w:val="0"/>
              </w:rPr>
            </w:pPr>
            <w:r w:rsidRPr="00690D66">
              <w:rPr>
                <w:kern w:val="0"/>
              </w:rPr>
              <w:t>SSE</w:t>
            </w:r>
          </w:p>
        </w:tc>
        <w:tc>
          <w:tcPr>
            <w:tcW w:w="0" w:type="auto"/>
            <w:tcBorders>
              <w:top w:val="single" w:sz="12" w:space="0" w:color="auto"/>
              <w:left w:val="single" w:sz="6" w:space="0" w:color="000000"/>
              <w:bottom w:val="single" w:sz="6" w:space="0" w:color="000000"/>
              <w:right w:val="single" w:sz="6" w:space="0" w:color="000000"/>
            </w:tcBorders>
            <w:vAlign w:val="center"/>
          </w:tcPr>
          <w:p w14:paraId="37C41F2E" w14:textId="77777777" w:rsidR="00690D66" w:rsidRPr="00690D66" w:rsidRDefault="00690D66" w:rsidP="00690D66">
            <w:pPr>
              <w:jc w:val="center"/>
              <w:rPr>
                <w:kern w:val="0"/>
              </w:rPr>
            </w:pPr>
            <w:r w:rsidRPr="00690D66">
              <w:rPr>
                <w:kern w:val="0"/>
              </w:rPr>
              <w:t>S</w:t>
            </w:r>
          </w:p>
        </w:tc>
        <w:tc>
          <w:tcPr>
            <w:tcW w:w="0" w:type="auto"/>
            <w:tcBorders>
              <w:top w:val="single" w:sz="12" w:space="0" w:color="auto"/>
              <w:left w:val="single" w:sz="6" w:space="0" w:color="000000"/>
              <w:bottom w:val="single" w:sz="6" w:space="0" w:color="000000"/>
              <w:right w:val="single" w:sz="6" w:space="0" w:color="000000"/>
            </w:tcBorders>
            <w:vAlign w:val="center"/>
          </w:tcPr>
          <w:p w14:paraId="79ECF14A" w14:textId="77777777" w:rsidR="00690D66" w:rsidRPr="00690D66" w:rsidRDefault="00690D66" w:rsidP="00690D66">
            <w:pPr>
              <w:jc w:val="center"/>
              <w:rPr>
                <w:kern w:val="0"/>
              </w:rPr>
            </w:pPr>
            <w:r w:rsidRPr="00690D66">
              <w:rPr>
                <w:kern w:val="0"/>
              </w:rPr>
              <w:t>SSW</w:t>
            </w:r>
          </w:p>
        </w:tc>
        <w:tc>
          <w:tcPr>
            <w:tcW w:w="0" w:type="auto"/>
            <w:tcBorders>
              <w:top w:val="single" w:sz="12" w:space="0" w:color="auto"/>
              <w:left w:val="single" w:sz="6" w:space="0" w:color="000000"/>
              <w:bottom w:val="single" w:sz="6" w:space="0" w:color="000000"/>
              <w:right w:val="single" w:sz="6" w:space="0" w:color="000000"/>
            </w:tcBorders>
            <w:vAlign w:val="center"/>
          </w:tcPr>
          <w:p w14:paraId="11F1A2F7" w14:textId="77777777" w:rsidR="00690D66" w:rsidRPr="00690D66" w:rsidRDefault="00690D66" w:rsidP="00690D66">
            <w:pPr>
              <w:jc w:val="center"/>
              <w:rPr>
                <w:kern w:val="0"/>
              </w:rPr>
            </w:pPr>
            <w:r w:rsidRPr="00690D66">
              <w:rPr>
                <w:kern w:val="0"/>
              </w:rPr>
              <w:t>SW</w:t>
            </w:r>
          </w:p>
        </w:tc>
        <w:tc>
          <w:tcPr>
            <w:tcW w:w="0" w:type="auto"/>
            <w:tcBorders>
              <w:top w:val="single" w:sz="12" w:space="0" w:color="auto"/>
              <w:left w:val="single" w:sz="6" w:space="0" w:color="000000"/>
              <w:bottom w:val="single" w:sz="6" w:space="0" w:color="000000"/>
              <w:right w:val="single" w:sz="6" w:space="0" w:color="000000"/>
            </w:tcBorders>
            <w:vAlign w:val="center"/>
          </w:tcPr>
          <w:p w14:paraId="7E05939A" w14:textId="77777777" w:rsidR="00690D66" w:rsidRPr="00690D66" w:rsidRDefault="00690D66" w:rsidP="00690D66">
            <w:pPr>
              <w:jc w:val="center"/>
              <w:rPr>
                <w:kern w:val="0"/>
              </w:rPr>
            </w:pPr>
            <w:r w:rsidRPr="00690D66">
              <w:rPr>
                <w:kern w:val="0"/>
              </w:rPr>
              <w:t>WSW</w:t>
            </w:r>
          </w:p>
        </w:tc>
        <w:tc>
          <w:tcPr>
            <w:tcW w:w="0" w:type="auto"/>
            <w:tcBorders>
              <w:top w:val="single" w:sz="12" w:space="0" w:color="auto"/>
              <w:left w:val="single" w:sz="6" w:space="0" w:color="000000"/>
              <w:bottom w:val="single" w:sz="6" w:space="0" w:color="000000"/>
              <w:right w:val="single" w:sz="6" w:space="0" w:color="000000"/>
            </w:tcBorders>
            <w:vAlign w:val="center"/>
          </w:tcPr>
          <w:p w14:paraId="36FC6BCA" w14:textId="77777777" w:rsidR="00690D66" w:rsidRPr="00690D66" w:rsidRDefault="00690D66" w:rsidP="00690D66">
            <w:pPr>
              <w:jc w:val="center"/>
              <w:rPr>
                <w:kern w:val="0"/>
              </w:rPr>
            </w:pPr>
            <w:r w:rsidRPr="00690D66">
              <w:rPr>
                <w:kern w:val="0"/>
              </w:rPr>
              <w:t>W</w:t>
            </w:r>
          </w:p>
        </w:tc>
        <w:tc>
          <w:tcPr>
            <w:tcW w:w="0" w:type="auto"/>
            <w:tcBorders>
              <w:top w:val="single" w:sz="12" w:space="0" w:color="auto"/>
              <w:left w:val="single" w:sz="6" w:space="0" w:color="000000"/>
              <w:bottom w:val="single" w:sz="6" w:space="0" w:color="000000"/>
              <w:right w:val="single" w:sz="6" w:space="0" w:color="000000"/>
            </w:tcBorders>
            <w:vAlign w:val="center"/>
          </w:tcPr>
          <w:p w14:paraId="0CBFED24" w14:textId="77777777" w:rsidR="00690D66" w:rsidRPr="00690D66" w:rsidRDefault="00690D66" w:rsidP="00690D66">
            <w:pPr>
              <w:jc w:val="center"/>
              <w:rPr>
                <w:kern w:val="0"/>
              </w:rPr>
            </w:pPr>
            <w:r w:rsidRPr="00690D66">
              <w:rPr>
                <w:kern w:val="0"/>
              </w:rPr>
              <w:t>WNW</w:t>
            </w:r>
          </w:p>
        </w:tc>
        <w:tc>
          <w:tcPr>
            <w:tcW w:w="0" w:type="auto"/>
            <w:tcBorders>
              <w:top w:val="single" w:sz="12" w:space="0" w:color="auto"/>
              <w:left w:val="single" w:sz="6" w:space="0" w:color="000000"/>
              <w:bottom w:val="single" w:sz="6" w:space="0" w:color="000000"/>
              <w:right w:val="single" w:sz="6" w:space="0" w:color="000000"/>
            </w:tcBorders>
            <w:vAlign w:val="center"/>
          </w:tcPr>
          <w:p w14:paraId="39F93FDE" w14:textId="77777777" w:rsidR="00690D66" w:rsidRPr="00690D66" w:rsidRDefault="00690D66" w:rsidP="00690D66">
            <w:pPr>
              <w:jc w:val="center"/>
              <w:rPr>
                <w:kern w:val="0"/>
              </w:rPr>
            </w:pPr>
            <w:r w:rsidRPr="00690D66">
              <w:rPr>
                <w:kern w:val="0"/>
              </w:rPr>
              <w:t>NW</w:t>
            </w:r>
          </w:p>
        </w:tc>
        <w:tc>
          <w:tcPr>
            <w:tcW w:w="0" w:type="auto"/>
            <w:tcBorders>
              <w:top w:val="single" w:sz="12" w:space="0" w:color="auto"/>
              <w:left w:val="single" w:sz="6" w:space="0" w:color="000000"/>
              <w:bottom w:val="single" w:sz="6" w:space="0" w:color="000000"/>
              <w:right w:val="single" w:sz="6" w:space="0" w:color="000000"/>
            </w:tcBorders>
            <w:vAlign w:val="center"/>
          </w:tcPr>
          <w:p w14:paraId="2A13ED8F" w14:textId="77777777" w:rsidR="00690D66" w:rsidRPr="00690D66" w:rsidRDefault="00690D66" w:rsidP="00690D66">
            <w:pPr>
              <w:jc w:val="center"/>
              <w:rPr>
                <w:kern w:val="0"/>
              </w:rPr>
            </w:pPr>
            <w:r w:rsidRPr="00690D66">
              <w:rPr>
                <w:kern w:val="0"/>
              </w:rPr>
              <w:t>NNW</w:t>
            </w:r>
          </w:p>
        </w:tc>
        <w:tc>
          <w:tcPr>
            <w:tcW w:w="0" w:type="auto"/>
            <w:tcBorders>
              <w:top w:val="single" w:sz="12" w:space="0" w:color="auto"/>
              <w:left w:val="single" w:sz="6" w:space="0" w:color="000000"/>
              <w:bottom w:val="single" w:sz="6" w:space="0" w:color="000000"/>
            </w:tcBorders>
            <w:vAlign w:val="center"/>
          </w:tcPr>
          <w:p w14:paraId="598D4C7B" w14:textId="77777777" w:rsidR="00690D66" w:rsidRPr="00690D66" w:rsidRDefault="00690D66" w:rsidP="00690D66">
            <w:pPr>
              <w:jc w:val="center"/>
              <w:rPr>
                <w:kern w:val="0"/>
              </w:rPr>
            </w:pPr>
            <w:r w:rsidRPr="00690D66">
              <w:rPr>
                <w:kern w:val="0"/>
              </w:rPr>
              <w:t>C</w:t>
            </w:r>
          </w:p>
        </w:tc>
      </w:tr>
      <w:tr w:rsidR="00690D66" w:rsidRPr="00690D66" w14:paraId="3EA7071E" w14:textId="77777777" w:rsidTr="00454C5A">
        <w:tc>
          <w:tcPr>
            <w:tcW w:w="824" w:type="pct"/>
            <w:tcBorders>
              <w:top w:val="single" w:sz="6" w:space="0" w:color="000000"/>
              <w:bottom w:val="single" w:sz="6" w:space="0" w:color="000000"/>
              <w:right w:val="single" w:sz="6" w:space="0" w:color="000000"/>
            </w:tcBorders>
            <w:vAlign w:val="center"/>
          </w:tcPr>
          <w:p w14:paraId="7276951A" w14:textId="77777777" w:rsidR="00690D66" w:rsidRPr="00690D66" w:rsidRDefault="00690D66" w:rsidP="00690D66">
            <w:pPr>
              <w:jc w:val="center"/>
              <w:rPr>
                <w:kern w:val="0"/>
              </w:rPr>
            </w:pPr>
            <w:r w:rsidRPr="00690D66">
              <w:rPr>
                <w:kern w:val="0"/>
              </w:rPr>
              <w:t>01</w:t>
            </w:r>
          </w:p>
        </w:tc>
        <w:tc>
          <w:tcPr>
            <w:tcW w:w="0" w:type="auto"/>
            <w:tcBorders>
              <w:top w:val="single" w:sz="6" w:space="0" w:color="000000"/>
              <w:left w:val="single" w:sz="6" w:space="0" w:color="000000"/>
              <w:bottom w:val="single" w:sz="6" w:space="0" w:color="000000"/>
              <w:right w:val="single" w:sz="6" w:space="0" w:color="000000"/>
            </w:tcBorders>
            <w:vAlign w:val="bottom"/>
          </w:tcPr>
          <w:p w14:paraId="4A430898" w14:textId="77777777" w:rsidR="00690D66" w:rsidRPr="00690D66" w:rsidRDefault="00690D66" w:rsidP="00690D66">
            <w:pPr>
              <w:jc w:val="center"/>
            </w:pPr>
            <w:r w:rsidRPr="00690D66">
              <w:t>9.3</w:t>
            </w:r>
          </w:p>
        </w:tc>
        <w:tc>
          <w:tcPr>
            <w:tcW w:w="0" w:type="auto"/>
            <w:tcBorders>
              <w:top w:val="single" w:sz="6" w:space="0" w:color="000000"/>
              <w:left w:val="single" w:sz="6" w:space="0" w:color="000000"/>
              <w:bottom w:val="single" w:sz="6" w:space="0" w:color="000000"/>
              <w:right w:val="single" w:sz="6" w:space="0" w:color="000000"/>
            </w:tcBorders>
            <w:vAlign w:val="bottom"/>
          </w:tcPr>
          <w:p w14:paraId="08AD9CB1" w14:textId="77777777" w:rsidR="00690D66" w:rsidRPr="00690D66" w:rsidRDefault="00690D66" w:rsidP="00690D66">
            <w:pPr>
              <w:jc w:val="center"/>
            </w:pPr>
            <w:r w:rsidRPr="00690D66">
              <w:t>2.4</w:t>
            </w:r>
          </w:p>
        </w:tc>
        <w:tc>
          <w:tcPr>
            <w:tcW w:w="0" w:type="auto"/>
            <w:tcBorders>
              <w:top w:val="single" w:sz="6" w:space="0" w:color="000000"/>
              <w:left w:val="single" w:sz="6" w:space="0" w:color="000000"/>
              <w:bottom w:val="single" w:sz="6" w:space="0" w:color="000000"/>
              <w:right w:val="single" w:sz="6" w:space="0" w:color="000000"/>
            </w:tcBorders>
            <w:vAlign w:val="bottom"/>
          </w:tcPr>
          <w:p w14:paraId="0760F43E" w14:textId="77777777" w:rsidR="00690D66" w:rsidRPr="00690D66" w:rsidRDefault="00690D66" w:rsidP="00690D66">
            <w:pPr>
              <w:jc w:val="center"/>
            </w:pPr>
            <w:r w:rsidRPr="00690D66">
              <w:t>1.8</w:t>
            </w:r>
          </w:p>
        </w:tc>
        <w:tc>
          <w:tcPr>
            <w:tcW w:w="0" w:type="auto"/>
            <w:tcBorders>
              <w:top w:val="single" w:sz="6" w:space="0" w:color="000000"/>
              <w:left w:val="single" w:sz="6" w:space="0" w:color="000000"/>
              <w:bottom w:val="single" w:sz="6" w:space="0" w:color="000000"/>
              <w:right w:val="single" w:sz="6" w:space="0" w:color="000000"/>
            </w:tcBorders>
            <w:vAlign w:val="bottom"/>
          </w:tcPr>
          <w:p w14:paraId="2D869C02" w14:textId="77777777" w:rsidR="00690D66" w:rsidRPr="00690D66" w:rsidRDefault="00690D66" w:rsidP="00690D66">
            <w:pPr>
              <w:jc w:val="center"/>
            </w:pPr>
            <w:r w:rsidRPr="00690D66">
              <w:t>3.1</w:t>
            </w:r>
          </w:p>
        </w:tc>
        <w:tc>
          <w:tcPr>
            <w:tcW w:w="0" w:type="auto"/>
            <w:tcBorders>
              <w:top w:val="single" w:sz="6" w:space="0" w:color="000000"/>
              <w:left w:val="single" w:sz="6" w:space="0" w:color="000000"/>
              <w:bottom w:val="single" w:sz="6" w:space="0" w:color="000000"/>
              <w:right w:val="single" w:sz="6" w:space="0" w:color="000000"/>
            </w:tcBorders>
            <w:vAlign w:val="bottom"/>
          </w:tcPr>
          <w:p w14:paraId="201BB605" w14:textId="77777777" w:rsidR="00690D66" w:rsidRPr="00690D66" w:rsidRDefault="00690D66" w:rsidP="00690D66">
            <w:pPr>
              <w:jc w:val="center"/>
            </w:pPr>
            <w:r w:rsidRPr="00690D66">
              <w:t>5.5</w:t>
            </w:r>
          </w:p>
        </w:tc>
        <w:tc>
          <w:tcPr>
            <w:tcW w:w="0" w:type="auto"/>
            <w:tcBorders>
              <w:top w:val="single" w:sz="6" w:space="0" w:color="000000"/>
              <w:left w:val="single" w:sz="6" w:space="0" w:color="000000"/>
              <w:bottom w:val="single" w:sz="6" w:space="0" w:color="000000"/>
              <w:right w:val="single" w:sz="6" w:space="0" w:color="000000"/>
            </w:tcBorders>
            <w:vAlign w:val="bottom"/>
          </w:tcPr>
          <w:p w14:paraId="6222A79E" w14:textId="77777777" w:rsidR="00690D66" w:rsidRPr="00690D66" w:rsidRDefault="00690D66" w:rsidP="00690D66">
            <w:pPr>
              <w:jc w:val="center"/>
            </w:pPr>
            <w:r w:rsidRPr="00690D66">
              <w:t>2.7</w:t>
            </w:r>
          </w:p>
        </w:tc>
        <w:tc>
          <w:tcPr>
            <w:tcW w:w="0" w:type="auto"/>
            <w:tcBorders>
              <w:top w:val="single" w:sz="6" w:space="0" w:color="000000"/>
              <w:left w:val="single" w:sz="6" w:space="0" w:color="000000"/>
              <w:bottom w:val="single" w:sz="6" w:space="0" w:color="000000"/>
              <w:right w:val="single" w:sz="6" w:space="0" w:color="000000"/>
            </w:tcBorders>
            <w:vAlign w:val="bottom"/>
          </w:tcPr>
          <w:p w14:paraId="66855560" w14:textId="77777777" w:rsidR="00690D66" w:rsidRPr="00690D66" w:rsidRDefault="00690D66" w:rsidP="00690D66">
            <w:pPr>
              <w:jc w:val="center"/>
            </w:pPr>
            <w:r w:rsidRPr="00690D66">
              <w:t>1.9</w:t>
            </w:r>
          </w:p>
        </w:tc>
        <w:tc>
          <w:tcPr>
            <w:tcW w:w="0" w:type="auto"/>
            <w:tcBorders>
              <w:top w:val="single" w:sz="6" w:space="0" w:color="000000"/>
              <w:left w:val="single" w:sz="6" w:space="0" w:color="000000"/>
              <w:bottom w:val="single" w:sz="6" w:space="0" w:color="000000"/>
              <w:right w:val="single" w:sz="6" w:space="0" w:color="000000"/>
            </w:tcBorders>
            <w:vAlign w:val="bottom"/>
          </w:tcPr>
          <w:p w14:paraId="2429432E" w14:textId="77777777" w:rsidR="00690D66" w:rsidRPr="00690D66" w:rsidRDefault="00690D66" w:rsidP="00690D66">
            <w:pPr>
              <w:jc w:val="center"/>
            </w:pPr>
            <w:r w:rsidRPr="00690D66">
              <w:t>4.2</w:t>
            </w:r>
          </w:p>
        </w:tc>
        <w:tc>
          <w:tcPr>
            <w:tcW w:w="0" w:type="auto"/>
            <w:tcBorders>
              <w:top w:val="single" w:sz="6" w:space="0" w:color="000000"/>
              <w:left w:val="single" w:sz="6" w:space="0" w:color="000000"/>
              <w:bottom w:val="single" w:sz="6" w:space="0" w:color="000000"/>
              <w:right w:val="single" w:sz="6" w:space="0" w:color="000000"/>
            </w:tcBorders>
            <w:vAlign w:val="bottom"/>
          </w:tcPr>
          <w:p w14:paraId="5E03067D" w14:textId="77777777" w:rsidR="00690D66" w:rsidRPr="00690D66" w:rsidRDefault="00690D66" w:rsidP="00690D66">
            <w:pPr>
              <w:jc w:val="center"/>
            </w:pPr>
            <w:r w:rsidRPr="00690D66">
              <w:t>12.5</w:t>
            </w:r>
          </w:p>
        </w:tc>
        <w:tc>
          <w:tcPr>
            <w:tcW w:w="0" w:type="auto"/>
            <w:tcBorders>
              <w:top w:val="single" w:sz="6" w:space="0" w:color="000000"/>
              <w:left w:val="single" w:sz="6" w:space="0" w:color="000000"/>
              <w:bottom w:val="single" w:sz="6" w:space="0" w:color="000000"/>
              <w:right w:val="single" w:sz="6" w:space="0" w:color="000000"/>
            </w:tcBorders>
            <w:vAlign w:val="bottom"/>
          </w:tcPr>
          <w:p w14:paraId="351CCDE4" w14:textId="77777777" w:rsidR="00690D66" w:rsidRPr="00690D66" w:rsidRDefault="00690D66" w:rsidP="00690D66">
            <w:pPr>
              <w:jc w:val="center"/>
            </w:pPr>
            <w:r w:rsidRPr="00690D66">
              <w:t>8.3</w:t>
            </w:r>
          </w:p>
        </w:tc>
        <w:tc>
          <w:tcPr>
            <w:tcW w:w="0" w:type="auto"/>
            <w:tcBorders>
              <w:top w:val="single" w:sz="6" w:space="0" w:color="000000"/>
              <w:left w:val="single" w:sz="6" w:space="0" w:color="000000"/>
              <w:bottom w:val="single" w:sz="6" w:space="0" w:color="000000"/>
              <w:right w:val="single" w:sz="6" w:space="0" w:color="000000"/>
            </w:tcBorders>
            <w:vAlign w:val="bottom"/>
          </w:tcPr>
          <w:p w14:paraId="2D136D8F" w14:textId="77777777" w:rsidR="00690D66" w:rsidRPr="00690D66" w:rsidRDefault="00690D66" w:rsidP="00690D66">
            <w:pPr>
              <w:jc w:val="center"/>
            </w:pPr>
            <w:r w:rsidRPr="00690D66">
              <w:t>8.1</w:t>
            </w:r>
          </w:p>
        </w:tc>
        <w:tc>
          <w:tcPr>
            <w:tcW w:w="0" w:type="auto"/>
            <w:tcBorders>
              <w:top w:val="single" w:sz="6" w:space="0" w:color="000000"/>
              <w:left w:val="single" w:sz="6" w:space="0" w:color="000000"/>
              <w:bottom w:val="single" w:sz="6" w:space="0" w:color="000000"/>
              <w:right w:val="single" w:sz="6" w:space="0" w:color="000000"/>
            </w:tcBorders>
            <w:vAlign w:val="bottom"/>
          </w:tcPr>
          <w:p w14:paraId="5D5ED699" w14:textId="77777777" w:rsidR="00690D66" w:rsidRPr="00690D66" w:rsidRDefault="00690D66" w:rsidP="00690D66">
            <w:pPr>
              <w:jc w:val="center"/>
            </w:pPr>
            <w:r w:rsidRPr="00690D66">
              <w:t>5.9</w:t>
            </w:r>
          </w:p>
        </w:tc>
        <w:tc>
          <w:tcPr>
            <w:tcW w:w="0" w:type="auto"/>
            <w:tcBorders>
              <w:top w:val="single" w:sz="6" w:space="0" w:color="000000"/>
              <w:left w:val="single" w:sz="6" w:space="0" w:color="000000"/>
              <w:bottom w:val="single" w:sz="6" w:space="0" w:color="000000"/>
              <w:right w:val="single" w:sz="6" w:space="0" w:color="000000"/>
            </w:tcBorders>
            <w:vAlign w:val="bottom"/>
          </w:tcPr>
          <w:p w14:paraId="1A5B88A5" w14:textId="77777777" w:rsidR="00690D66" w:rsidRPr="00690D66" w:rsidRDefault="00690D66" w:rsidP="00690D66">
            <w:pPr>
              <w:jc w:val="center"/>
            </w:pPr>
            <w:r w:rsidRPr="00690D66">
              <w:t>5.9</w:t>
            </w:r>
          </w:p>
        </w:tc>
        <w:tc>
          <w:tcPr>
            <w:tcW w:w="0" w:type="auto"/>
            <w:tcBorders>
              <w:top w:val="single" w:sz="6" w:space="0" w:color="000000"/>
              <w:left w:val="single" w:sz="6" w:space="0" w:color="000000"/>
              <w:bottom w:val="single" w:sz="6" w:space="0" w:color="000000"/>
              <w:right w:val="single" w:sz="6" w:space="0" w:color="000000"/>
            </w:tcBorders>
            <w:vAlign w:val="bottom"/>
          </w:tcPr>
          <w:p w14:paraId="4495EC58" w14:textId="77777777" w:rsidR="00690D66" w:rsidRPr="00690D66" w:rsidRDefault="00690D66" w:rsidP="00690D66">
            <w:pPr>
              <w:jc w:val="center"/>
            </w:pPr>
            <w:r w:rsidRPr="00690D66">
              <w:t>10.1</w:t>
            </w:r>
          </w:p>
        </w:tc>
        <w:tc>
          <w:tcPr>
            <w:tcW w:w="0" w:type="auto"/>
            <w:tcBorders>
              <w:top w:val="single" w:sz="6" w:space="0" w:color="000000"/>
              <w:left w:val="single" w:sz="6" w:space="0" w:color="000000"/>
              <w:bottom w:val="single" w:sz="6" w:space="0" w:color="000000"/>
              <w:right w:val="single" w:sz="6" w:space="0" w:color="000000"/>
            </w:tcBorders>
            <w:vAlign w:val="bottom"/>
          </w:tcPr>
          <w:p w14:paraId="4698D3F8" w14:textId="77777777" w:rsidR="00690D66" w:rsidRPr="00690D66" w:rsidRDefault="00690D66" w:rsidP="00690D66">
            <w:pPr>
              <w:jc w:val="center"/>
            </w:pPr>
            <w:r w:rsidRPr="00690D66">
              <w:t>9.1</w:t>
            </w:r>
          </w:p>
        </w:tc>
        <w:tc>
          <w:tcPr>
            <w:tcW w:w="0" w:type="auto"/>
            <w:tcBorders>
              <w:top w:val="single" w:sz="6" w:space="0" w:color="000000"/>
              <w:left w:val="single" w:sz="6" w:space="0" w:color="000000"/>
              <w:bottom w:val="single" w:sz="6" w:space="0" w:color="000000"/>
              <w:right w:val="single" w:sz="6" w:space="0" w:color="000000"/>
            </w:tcBorders>
            <w:vAlign w:val="bottom"/>
          </w:tcPr>
          <w:p w14:paraId="7008AF6D" w14:textId="77777777" w:rsidR="00690D66" w:rsidRPr="00690D66" w:rsidRDefault="00690D66" w:rsidP="00690D66">
            <w:pPr>
              <w:jc w:val="center"/>
            </w:pPr>
            <w:r w:rsidRPr="00690D66">
              <w:t>5.7</w:t>
            </w:r>
          </w:p>
        </w:tc>
        <w:tc>
          <w:tcPr>
            <w:tcW w:w="0" w:type="auto"/>
            <w:tcBorders>
              <w:top w:val="single" w:sz="6" w:space="0" w:color="000000"/>
              <w:left w:val="single" w:sz="6" w:space="0" w:color="000000"/>
              <w:bottom w:val="single" w:sz="6" w:space="0" w:color="000000"/>
            </w:tcBorders>
            <w:vAlign w:val="bottom"/>
          </w:tcPr>
          <w:p w14:paraId="183EDCBD" w14:textId="77777777" w:rsidR="00690D66" w:rsidRPr="00690D66" w:rsidRDefault="00690D66" w:rsidP="00690D66">
            <w:pPr>
              <w:jc w:val="center"/>
            </w:pPr>
            <w:r w:rsidRPr="00690D66">
              <w:t>3.6</w:t>
            </w:r>
          </w:p>
        </w:tc>
      </w:tr>
      <w:tr w:rsidR="00690D66" w:rsidRPr="00690D66" w14:paraId="0915C5A9" w14:textId="77777777" w:rsidTr="00454C5A">
        <w:tc>
          <w:tcPr>
            <w:tcW w:w="824" w:type="pct"/>
            <w:tcBorders>
              <w:top w:val="single" w:sz="6" w:space="0" w:color="000000"/>
              <w:bottom w:val="single" w:sz="6" w:space="0" w:color="000000"/>
              <w:right w:val="single" w:sz="6" w:space="0" w:color="000000"/>
            </w:tcBorders>
            <w:vAlign w:val="center"/>
          </w:tcPr>
          <w:p w14:paraId="28C8D62D" w14:textId="77777777" w:rsidR="00690D66" w:rsidRPr="00690D66" w:rsidRDefault="00690D66" w:rsidP="00690D66">
            <w:pPr>
              <w:jc w:val="center"/>
              <w:rPr>
                <w:kern w:val="0"/>
              </w:rPr>
            </w:pPr>
            <w:r w:rsidRPr="00690D66">
              <w:rPr>
                <w:kern w:val="0"/>
              </w:rPr>
              <w:t>02</w:t>
            </w:r>
          </w:p>
        </w:tc>
        <w:tc>
          <w:tcPr>
            <w:tcW w:w="0" w:type="auto"/>
            <w:tcBorders>
              <w:top w:val="single" w:sz="6" w:space="0" w:color="000000"/>
              <w:left w:val="single" w:sz="6" w:space="0" w:color="000000"/>
              <w:bottom w:val="single" w:sz="6" w:space="0" w:color="000000"/>
              <w:right w:val="single" w:sz="6" w:space="0" w:color="000000"/>
            </w:tcBorders>
            <w:vAlign w:val="bottom"/>
          </w:tcPr>
          <w:p w14:paraId="3BCD52BE" w14:textId="77777777" w:rsidR="00690D66" w:rsidRPr="00690D66" w:rsidRDefault="00690D66" w:rsidP="00690D66">
            <w:pPr>
              <w:jc w:val="center"/>
            </w:pPr>
            <w:r w:rsidRPr="00690D66">
              <w:t>4.2</w:t>
            </w:r>
          </w:p>
        </w:tc>
        <w:tc>
          <w:tcPr>
            <w:tcW w:w="0" w:type="auto"/>
            <w:tcBorders>
              <w:top w:val="single" w:sz="6" w:space="0" w:color="000000"/>
              <w:left w:val="single" w:sz="6" w:space="0" w:color="000000"/>
              <w:bottom w:val="single" w:sz="6" w:space="0" w:color="000000"/>
              <w:right w:val="single" w:sz="6" w:space="0" w:color="000000"/>
            </w:tcBorders>
            <w:vAlign w:val="bottom"/>
          </w:tcPr>
          <w:p w14:paraId="4EEC070F" w14:textId="77777777" w:rsidR="00690D66" w:rsidRPr="00690D66" w:rsidRDefault="00690D66" w:rsidP="00690D66">
            <w:pPr>
              <w:jc w:val="center"/>
            </w:pPr>
            <w:r w:rsidRPr="00690D66">
              <w:t>0.6</w:t>
            </w:r>
          </w:p>
        </w:tc>
        <w:tc>
          <w:tcPr>
            <w:tcW w:w="0" w:type="auto"/>
            <w:tcBorders>
              <w:top w:val="single" w:sz="6" w:space="0" w:color="000000"/>
              <w:left w:val="single" w:sz="6" w:space="0" w:color="000000"/>
              <w:bottom w:val="single" w:sz="6" w:space="0" w:color="000000"/>
              <w:right w:val="single" w:sz="6" w:space="0" w:color="000000"/>
            </w:tcBorders>
            <w:vAlign w:val="bottom"/>
          </w:tcPr>
          <w:p w14:paraId="4FD7A197" w14:textId="77777777" w:rsidR="00690D66" w:rsidRPr="00690D66" w:rsidRDefault="00690D66" w:rsidP="00690D66">
            <w:pPr>
              <w:jc w:val="center"/>
            </w:pPr>
            <w:r w:rsidRPr="00690D66">
              <w:t>0.0</w:t>
            </w:r>
          </w:p>
        </w:tc>
        <w:tc>
          <w:tcPr>
            <w:tcW w:w="0" w:type="auto"/>
            <w:tcBorders>
              <w:top w:val="single" w:sz="6" w:space="0" w:color="000000"/>
              <w:left w:val="single" w:sz="6" w:space="0" w:color="000000"/>
              <w:bottom w:val="single" w:sz="6" w:space="0" w:color="000000"/>
              <w:right w:val="single" w:sz="6" w:space="0" w:color="000000"/>
            </w:tcBorders>
            <w:vAlign w:val="bottom"/>
          </w:tcPr>
          <w:p w14:paraId="1E5F0136" w14:textId="77777777" w:rsidR="00690D66" w:rsidRPr="00690D66" w:rsidRDefault="00690D66" w:rsidP="00690D66">
            <w:pPr>
              <w:jc w:val="center"/>
            </w:pPr>
            <w:r w:rsidRPr="00690D66">
              <w:t>0.4</w:t>
            </w:r>
          </w:p>
        </w:tc>
        <w:tc>
          <w:tcPr>
            <w:tcW w:w="0" w:type="auto"/>
            <w:tcBorders>
              <w:top w:val="single" w:sz="6" w:space="0" w:color="000000"/>
              <w:left w:val="single" w:sz="6" w:space="0" w:color="000000"/>
              <w:bottom w:val="single" w:sz="6" w:space="0" w:color="000000"/>
              <w:right w:val="single" w:sz="6" w:space="0" w:color="000000"/>
            </w:tcBorders>
            <w:vAlign w:val="bottom"/>
          </w:tcPr>
          <w:p w14:paraId="3DBE48E9" w14:textId="77777777" w:rsidR="00690D66" w:rsidRPr="00690D66" w:rsidRDefault="00690D66" w:rsidP="00690D66">
            <w:pPr>
              <w:jc w:val="center"/>
            </w:pPr>
            <w:r w:rsidRPr="00690D66">
              <w:t>1.2</w:t>
            </w:r>
          </w:p>
        </w:tc>
        <w:tc>
          <w:tcPr>
            <w:tcW w:w="0" w:type="auto"/>
            <w:tcBorders>
              <w:top w:val="single" w:sz="6" w:space="0" w:color="000000"/>
              <w:left w:val="single" w:sz="6" w:space="0" w:color="000000"/>
              <w:bottom w:val="single" w:sz="6" w:space="0" w:color="000000"/>
              <w:right w:val="single" w:sz="6" w:space="0" w:color="000000"/>
            </w:tcBorders>
            <w:vAlign w:val="bottom"/>
          </w:tcPr>
          <w:p w14:paraId="47FFF9BF" w14:textId="77777777" w:rsidR="00690D66" w:rsidRPr="00690D66" w:rsidRDefault="00690D66" w:rsidP="00690D66">
            <w:pPr>
              <w:jc w:val="center"/>
            </w:pPr>
            <w:r w:rsidRPr="00690D66">
              <w:t>3.0</w:t>
            </w:r>
          </w:p>
        </w:tc>
        <w:tc>
          <w:tcPr>
            <w:tcW w:w="0" w:type="auto"/>
            <w:tcBorders>
              <w:top w:val="single" w:sz="6" w:space="0" w:color="000000"/>
              <w:left w:val="single" w:sz="6" w:space="0" w:color="000000"/>
              <w:bottom w:val="single" w:sz="6" w:space="0" w:color="000000"/>
              <w:right w:val="single" w:sz="6" w:space="0" w:color="000000"/>
            </w:tcBorders>
            <w:vAlign w:val="bottom"/>
          </w:tcPr>
          <w:p w14:paraId="421CEBD4" w14:textId="77777777" w:rsidR="00690D66" w:rsidRPr="00690D66" w:rsidRDefault="00690D66" w:rsidP="00690D66">
            <w:pPr>
              <w:jc w:val="center"/>
            </w:pPr>
            <w:r w:rsidRPr="00690D66">
              <w:t>3.0</w:t>
            </w:r>
          </w:p>
        </w:tc>
        <w:tc>
          <w:tcPr>
            <w:tcW w:w="0" w:type="auto"/>
            <w:tcBorders>
              <w:top w:val="single" w:sz="6" w:space="0" w:color="000000"/>
              <w:left w:val="single" w:sz="6" w:space="0" w:color="000000"/>
              <w:bottom w:val="single" w:sz="6" w:space="0" w:color="000000"/>
              <w:right w:val="single" w:sz="6" w:space="0" w:color="000000"/>
            </w:tcBorders>
            <w:vAlign w:val="bottom"/>
          </w:tcPr>
          <w:p w14:paraId="6A8FFCE1" w14:textId="77777777" w:rsidR="00690D66" w:rsidRPr="00690D66" w:rsidRDefault="00690D66" w:rsidP="00690D66">
            <w:pPr>
              <w:jc w:val="center"/>
            </w:pPr>
            <w:r w:rsidRPr="00690D66">
              <w:t>4.0</w:t>
            </w:r>
          </w:p>
        </w:tc>
        <w:tc>
          <w:tcPr>
            <w:tcW w:w="0" w:type="auto"/>
            <w:tcBorders>
              <w:top w:val="single" w:sz="6" w:space="0" w:color="000000"/>
              <w:left w:val="single" w:sz="6" w:space="0" w:color="000000"/>
              <w:bottom w:val="single" w:sz="6" w:space="0" w:color="000000"/>
              <w:right w:val="single" w:sz="6" w:space="0" w:color="000000"/>
            </w:tcBorders>
            <w:vAlign w:val="bottom"/>
          </w:tcPr>
          <w:p w14:paraId="30E52DEA" w14:textId="77777777" w:rsidR="00690D66" w:rsidRPr="00690D66" w:rsidRDefault="00690D66" w:rsidP="00690D66">
            <w:pPr>
              <w:jc w:val="center"/>
            </w:pPr>
            <w:r w:rsidRPr="00690D66">
              <w:t>19.2</w:t>
            </w:r>
          </w:p>
        </w:tc>
        <w:tc>
          <w:tcPr>
            <w:tcW w:w="0" w:type="auto"/>
            <w:tcBorders>
              <w:top w:val="single" w:sz="6" w:space="0" w:color="000000"/>
              <w:left w:val="single" w:sz="6" w:space="0" w:color="000000"/>
              <w:bottom w:val="single" w:sz="6" w:space="0" w:color="000000"/>
              <w:right w:val="single" w:sz="6" w:space="0" w:color="000000"/>
            </w:tcBorders>
            <w:vAlign w:val="bottom"/>
          </w:tcPr>
          <w:p w14:paraId="631F2C3E" w14:textId="77777777" w:rsidR="00690D66" w:rsidRPr="00690D66" w:rsidRDefault="00690D66" w:rsidP="00690D66">
            <w:pPr>
              <w:jc w:val="center"/>
            </w:pPr>
            <w:r w:rsidRPr="00690D66">
              <w:t>9.1</w:t>
            </w:r>
          </w:p>
        </w:tc>
        <w:tc>
          <w:tcPr>
            <w:tcW w:w="0" w:type="auto"/>
            <w:tcBorders>
              <w:top w:val="single" w:sz="6" w:space="0" w:color="000000"/>
              <w:left w:val="single" w:sz="6" w:space="0" w:color="000000"/>
              <w:bottom w:val="single" w:sz="6" w:space="0" w:color="000000"/>
              <w:right w:val="single" w:sz="6" w:space="0" w:color="000000"/>
            </w:tcBorders>
            <w:vAlign w:val="bottom"/>
          </w:tcPr>
          <w:p w14:paraId="3DF1363E" w14:textId="77777777" w:rsidR="00690D66" w:rsidRPr="00690D66" w:rsidRDefault="00690D66" w:rsidP="00690D66">
            <w:pPr>
              <w:jc w:val="center"/>
            </w:pPr>
            <w:r w:rsidRPr="00690D66">
              <w:t>6.4</w:t>
            </w:r>
          </w:p>
        </w:tc>
        <w:tc>
          <w:tcPr>
            <w:tcW w:w="0" w:type="auto"/>
            <w:tcBorders>
              <w:top w:val="single" w:sz="6" w:space="0" w:color="000000"/>
              <w:left w:val="single" w:sz="6" w:space="0" w:color="000000"/>
              <w:bottom w:val="single" w:sz="6" w:space="0" w:color="000000"/>
              <w:right w:val="single" w:sz="6" w:space="0" w:color="000000"/>
            </w:tcBorders>
            <w:vAlign w:val="bottom"/>
          </w:tcPr>
          <w:p w14:paraId="69BABBB1" w14:textId="77777777" w:rsidR="00690D66" w:rsidRPr="00690D66" w:rsidRDefault="00690D66" w:rsidP="00690D66">
            <w:pPr>
              <w:jc w:val="center"/>
            </w:pPr>
            <w:r w:rsidRPr="00690D66">
              <w:t>5.7</w:t>
            </w:r>
          </w:p>
        </w:tc>
        <w:tc>
          <w:tcPr>
            <w:tcW w:w="0" w:type="auto"/>
            <w:tcBorders>
              <w:top w:val="single" w:sz="6" w:space="0" w:color="000000"/>
              <w:left w:val="single" w:sz="6" w:space="0" w:color="000000"/>
              <w:bottom w:val="single" w:sz="6" w:space="0" w:color="000000"/>
              <w:right w:val="single" w:sz="6" w:space="0" w:color="000000"/>
            </w:tcBorders>
            <w:vAlign w:val="bottom"/>
          </w:tcPr>
          <w:p w14:paraId="3BBF66F8" w14:textId="77777777" w:rsidR="00690D66" w:rsidRPr="00690D66" w:rsidRDefault="00690D66" w:rsidP="00690D66">
            <w:pPr>
              <w:jc w:val="center"/>
            </w:pPr>
            <w:r w:rsidRPr="00690D66">
              <w:t>8.3</w:t>
            </w:r>
          </w:p>
        </w:tc>
        <w:tc>
          <w:tcPr>
            <w:tcW w:w="0" w:type="auto"/>
            <w:tcBorders>
              <w:top w:val="single" w:sz="6" w:space="0" w:color="000000"/>
              <w:left w:val="single" w:sz="6" w:space="0" w:color="000000"/>
              <w:bottom w:val="single" w:sz="6" w:space="0" w:color="000000"/>
              <w:right w:val="single" w:sz="6" w:space="0" w:color="000000"/>
            </w:tcBorders>
            <w:vAlign w:val="bottom"/>
          </w:tcPr>
          <w:p w14:paraId="38DE00A0" w14:textId="77777777" w:rsidR="00690D66" w:rsidRPr="00690D66" w:rsidRDefault="00690D66" w:rsidP="00690D66">
            <w:pPr>
              <w:jc w:val="center"/>
            </w:pPr>
            <w:r w:rsidRPr="00690D66">
              <w:t>9.5</w:t>
            </w:r>
          </w:p>
        </w:tc>
        <w:tc>
          <w:tcPr>
            <w:tcW w:w="0" w:type="auto"/>
            <w:tcBorders>
              <w:top w:val="single" w:sz="6" w:space="0" w:color="000000"/>
              <w:left w:val="single" w:sz="6" w:space="0" w:color="000000"/>
              <w:bottom w:val="single" w:sz="6" w:space="0" w:color="000000"/>
              <w:right w:val="single" w:sz="6" w:space="0" w:color="000000"/>
            </w:tcBorders>
            <w:vAlign w:val="bottom"/>
          </w:tcPr>
          <w:p w14:paraId="37CACD5F" w14:textId="77777777" w:rsidR="00690D66" w:rsidRPr="00690D66" w:rsidRDefault="00690D66" w:rsidP="00690D66">
            <w:pPr>
              <w:jc w:val="center"/>
            </w:pPr>
            <w:r w:rsidRPr="00690D66">
              <w:t>17.3</w:t>
            </w:r>
          </w:p>
        </w:tc>
        <w:tc>
          <w:tcPr>
            <w:tcW w:w="0" w:type="auto"/>
            <w:tcBorders>
              <w:top w:val="single" w:sz="6" w:space="0" w:color="000000"/>
              <w:left w:val="single" w:sz="6" w:space="0" w:color="000000"/>
              <w:bottom w:val="single" w:sz="6" w:space="0" w:color="000000"/>
              <w:right w:val="single" w:sz="6" w:space="0" w:color="000000"/>
            </w:tcBorders>
            <w:vAlign w:val="bottom"/>
          </w:tcPr>
          <w:p w14:paraId="7A3587C8" w14:textId="77777777" w:rsidR="00690D66" w:rsidRPr="00690D66" w:rsidRDefault="00690D66" w:rsidP="00690D66">
            <w:pPr>
              <w:jc w:val="center"/>
            </w:pPr>
            <w:r w:rsidRPr="00690D66">
              <w:t>5.5</w:t>
            </w:r>
          </w:p>
        </w:tc>
        <w:tc>
          <w:tcPr>
            <w:tcW w:w="0" w:type="auto"/>
            <w:tcBorders>
              <w:top w:val="single" w:sz="6" w:space="0" w:color="000000"/>
              <w:left w:val="single" w:sz="6" w:space="0" w:color="000000"/>
              <w:bottom w:val="single" w:sz="6" w:space="0" w:color="000000"/>
            </w:tcBorders>
            <w:vAlign w:val="bottom"/>
          </w:tcPr>
          <w:p w14:paraId="72A6EE6D" w14:textId="77777777" w:rsidR="00690D66" w:rsidRPr="00690D66" w:rsidRDefault="00690D66" w:rsidP="00690D66">
            <w:pPr>
              <w:jc w:val="center"/>
            </w:pPr>
            <w:r w:rsidRPr="00690D66">
              <w:t>2.7</w:t>
            </w:r>
          </w:p>
        </w:tc>
      </w:tr>
      <w:tr w:rsidR="00690D66" w:rsidRPr="00690D66" w14:paraId="64485DAF" w14:textId="77777777" w:rsidTr="00454C5A">
        <w:tc>
          <w:tcPr>
            <w:tcW w:w="824" w:type="pct"/>
            <w:tcBorders>
              <w:top w:val="single" w:sz="6" w:space="0" w:color="000000"/>
              <w:bottom w:val="single" w:sz="6" w:space="0" w:color="000000"/>
              <w:right w:val="single" w:sz="6" w:space="0" w:color="000000"/>
            </w:tcBorders>
            <w:vAlign w:val="center"/>
          </w:tcPr>
          <w:p w14:paraId="234C93D4" w14:textId="77777777" w:rsidR="00690D66" w:rsidRPr="00690D66" w:rsidRDefault="00690D66" w:rsidP="00690D66">
            <w:pPr>
              <w:jc w:val="center"/>
              <w:rPr>
                <w:kern w:val="0"/>
              </w:rPr>
            </w:pPr>
            <w:r w:rsidRPr="00690D66">
              <w:rPr>
                <w:kern w:val="0"/>
              </w:rPr>
              <w:t>03</w:t>
            </w:r>
          </w:p>
        </w:tc>
        <w:tc>
          <w:tcPr>
            <w:tcW w:w="0" w:type="auto"/>
            <w:tcBorders>
              <w:top w:val="single" w:sz="6" w:space="0" w:color="000000"/>
              <w:left w:val="single" w:sz="6" w:space="0" w:color="000000"/>
              <w:bottom w:val="single" w:sz="6" w:space="0" w:color="000000"/>
              <w:right w:val="single" w:sz="6" w:space="0" w:color="000000"/>
            </w:tcBorders>
            <w:vAlign w:val="bottom"/>
          </w:tcPr>
          <w:p w14:paraId="4BCFDEAB" w14:textId="77777777" w:rsidR="00690D66" w:rsidRPr="00690D66" w:rsidRDefault="00690D66" w:rsidP="00690D66">
            <w:pPr>
              <w:jc w:val="center"/>
            </w:pPr>
            <w:r w:rsidRPr="00690D66">
              <w:t>3.2</w:t>
            </w:r>
          </w:p>
        </w:tc>
        <w:tc>
          <w:tcPr>
            <w:tcW w:w="0" w:type="auto"/>
            <w:tcBorders>
              <w:top w:val="single" w:sz="6" w:space="0" w:color="000000"/>
              <w:left w:val="single" w:sz="6" w:space="0" w:color="000000"/>
              <w:bottom w:val="single" w:sz="6" w:space="0" w:color="000000"/>
              <w:right w:val="single" w:sz="6" w:space="0" w:color="000000"/>
            </w:tcBorders>
            <w:vAlign w:val="bottom"/>
          </w:tcPr>
          <w:p w14:paraId="009E17DF" w14:textId="77777777" w:rsidR="00690D66" w:rsidRPr="00690D66" w:rsidRDefault="00690D66" w:rsidP="00690D66">
            <w:pPr>
              <w:jc w:val="center"/>
            </w:pPr>
            <w:r w:rsidRPr="00690D66">
              <w:t>1.5</w:t>
            </w:r>
          </w:p>
        </w:tc>
        <w:tc>
          <w:tcPr>
            <w:tcW w:w="0" w:type="auto"/>
            <w:tcBorders>
              <w:top w:val="single" w:sz="6" w:space="0" w:color="000000"/>
              <w:left w:val="single" w:sz="6" w:space="0" w:color="000000"/>
              <w:bottom w:val="single" w:sz="6" w:space="0" w:color="000000"/>
              <w:right w:val="single" w:sz="6" w:space="0" w:color="000000"/>
            </w:tcBorders>
            <w:vAlign w:val="bottom"/>
          </w:tcPr>
          <w:p w14:paraId="4C068001" w14:textId="77777777" w:rsidR="00690D66" w:rsidRPr="00690D66" w:rsidRDefault="00690D66" w:rsidP="00690D66">
            <w:pPr>
              <w:jc w:val="center"/>
            </w:pPr>
            <w:r w:rsidRPr="00690D66">
              <w:t>0.4</w:t>
            </w:r>
          </w:p>
        </w:tc>
        <w:tc>
          <w:tcPr>
            <w:tcW w:w="0" w:type="auto"/>
            <w:tcBorders>
              <w:top w:val="single" w:sz="6" w:space="0" w:color="000000"/>
              <w:left w:val="single" w:sz="6" w:space="0" w:color="000000"/>
              <w:bottom w:val="single" w:sz="6" w:space="0" w:color="000000"/>
              <w:right w:val="single" w:sz="6" w:space="0" w:color="000000"/>
            </w:tcBorders>
            <w:vAlign w:val="bottom"/>
          </w:tcPr>
          <w:p w14:paraId="306996D5" w14:textId="77777777" w:rsidR="00690D66" w:rsidRPr="00690D66" w:rsidRDefault="00690D66" w:rsidP="00690D66">
            <w:pPr>
              <w:jc w:val="center"/>
            </w:pPr>
            <w:r w:rsidRPr="00690D66">
              <w:t>1.5</w:t>
            </w:r>
          </w:p>
        </w:tc>
        <w:tc>
          <w:tcPr>
            <w:tcW w:w="0" w:type="auto"/>
            <w:tcBorders>
              <w:top w:val="single" w:sz="6" w:space="0" w:color="000000"/>
              <w:left w:val="single" w:sz="6" w:space="0" w:color="000000"/>
              <w:bottom w:val="single" w:sz="6" w:space="0" w:color="000000"/>
              <w:right w:val="single" w:sz="6" w:space="0" w:color="000000"/>
            </w:tcBorders>
            <w:vAlign w:val="bottom"/>
          </w:tcPr>
          <w:p w14:paraId="5DCC40F8" w14:textId="77777777" w:rsidR="00690D66" w:rsidRPr="00690D66" w:rsidRDefault="00690D66" w:rsidP="00690D66">
            <w:pPr>
              <w:jc w:val="center"/>
            </w:pPr>
            <w:r w:rsidRPr="00690D66">
              <w:t>3.4</w:t>
            </w:r>
          </w:p>
        </w:tc>
        <w:tc>
          <w:tcPr>
            <w:tcW w:w="0" w:type="auto"/>
            <w:tcBorders>
              <w:top w:val="single" w:sz="6" w:space="0" w:color="000000"/>
              <w:left w:val="single" w:sz="6" w:space="0" w:color="000000"/>
              <w:bottom w:val="single" w:sz="6" w:space="0" w:color="000000"/>
              <w:right w:val="single" w:sz="6" w:space="0" w:color="000000"/>
            </w:tcBorders>
            <w:vAlign w:val="bottom"/>
          </w:tcPr>
          <w:p w14:paraId="7FE550E4" w14:textId="77777777" w:rsidR="00690D66" w:rsidRPr="00690D66" w:rsidRDefault="00690D66" w:rsidP="00690D66">
            <w:pPr>
              <w:jc w:val="center"/>
            </w:pPr>
            <w:r w:rsidRPr="00690D66">
              <w:t>3.2</w:t>
            </w:r>
          </w:p>
        </w:tc>
        <w:tc>
          <w:tcPr>
            <w:tcW w:w="0" w:type="auto"/>
            <w:tcBorders>
              <w:top w:val="single" w:sz="6" w:space="0" w:color="000000"/>
              <w:left w:val="single" w:sz="6" w:space="0" w:color="000000"/>
              <w:bottom w:val="single" w:sz="6" w:space="0" w:color="000000"/>
              <w:right w:val="single" w:sz="6" w:space="0" w:color="000000"/>
            </w:tcBorders>
            <w:vAlign w:val="bottom"/>
          </w:tcPr>
          <w:p w14:paraId="1B5D4320" w14:textId="77777777" w:rsidR="00690D66" w:rsidRPr="00690D66" w:rsidRDefault="00690D66" w:rsidP="00690D66">
            <w:pPr>
              <w:jc w:val="center"/>
            </w:pPr>
            <w:r w:rsidRPr="00690D66">
              <w:t>1.5</w:t>
            </w:r>
          </w:p>
        </w:tc>
        <w:tc>
          <w:tcPr>
            <w:tcW w:w="0" w:type="auto"/>
            <w:tcBorders>
              <w:top w:val="single" w:sz="6" w:space="0" w:color="000000"/>
              <w:left w:val="single" w:sz="6" w:space="0" w:color="000000"/>
              <w:bottom w:val="single" w:sz="6" w:space="0" w:color="000000"/>
              <w:right w:val="single" w:sz="6" w:space="0" w:color="000000"/>
            </w:tcBorders>
            <w:vAlign w:val="bottom"/>
          </w:tcPr>
          <w:p w14:paraId="63E4E5AF" w14:textId="77777777" w:rsidR="00690D66" w:rsidRPr="00690D66" w:rsidRDefault="00690D66" w:rsidP="00690D66">
            <w:pPr>
              <w:jc w:val="center"/>
            </w:pPr>
            <w:r w:rsidRPr="00690D66">
              <w:t>4.3</w:t>
            </w:r>
          </w:p>
        </w:tc>
        <w:tc>
          <w:tcPr>
            <w:tcW w:w="0" w:type="auto"/>
            <w:tcBorders>
              <w:top w:val="single" w:sz="6" w:space="0" w:color="000000"/>
              <w:left w:val="single" w:sz="6" w:space="0" w:color="000000"/>
              <w:bottom w:val="single" w:sz="6" w:space="0" w:color="000000"/>
              <w:right w:val="single" w:sz="6" w:space="0" w:color="000000"/>
            </w:tcBorders>
            <w:vAlign w:val="bottom"/>
          </w:tcPr>
          <w:p w14:paraId="5F4C5A37" w14:textId="77777777" w:rsidR="00690D66" w:rsidRPr="00690D66" w:rsidRDefault="00690D66" w:rsidP="00690D66">
            <w:pPr>
              <w:jc w:val="center"/>
            </w:pPr>
            <w:r w:rsidRPr="00690D66">
              <w:t>19.4</w:t>
            </w:r>
          </w:p>
        </w:tc>
        <w:tc>
          <w:tcPr>
            <w:tcW w:w="0" w:type="auto"/>
            <w:tcBorders>
              <w:top w:val="single" w:sz="6" w:space="0" w:color="000000"/>
              <w:left w:val="single" w:sz="6" w:space="0" w:color="000000"/>
              <w:bottom w:val="single" w:sz="6" w:space="0" w:color="000000"/>
              <w:right w:val="single" w:sz="6" w:space="0" w:color="000000"/>
            </w:tcBorders>
            <w:vAlign w:val="bottom"/>
          </w:tcPr>
          <w:p w14:paraId="0F2DE28D" w14:textId="77777777" w:rsidR="00690D66" w:rsidRPr="00690D66" w:rsidRDefault="00690D66" w:rsidP="00690D66">
            <w:pPr>
              <w:jc w:val="center"/>
            </w:pPr>
            <w:r w:rsidRPr="00690D66">
              <w:t>12.0</w:t>
            </w:r>
          </w:p>
        </w:tc>
        <w:tc>
          <w:tcPr>
            <w:tcW w:w="0" w:type="auto"/>
            <w:tcBorders>
              <w:top w:val="single" w:sz="6" w:space="0" w:color="000000"/>
              <w:left w:val="single" w:sz="6" w:space="0" w:color="000000"/>
              <w:bottom w:val="single" w:sz="6" w:space="0" w:color="000000"/>
              <w:right w:val="single" w:sz="6" w:space="0" w:color="000000"/>
            </w:tcBorders>
            <w:vAlign w:val="bottom"/>
          </w:tcPr>
          <w:p w14:paraId="6E58E448" w14:textId="77777777" w:rsidR="00690D66" w:rsidRPr="00690D66" w:rsidRDefault="00690D66" w:rsidP="00690D66">
            <w:pPr>
              <w:jc w:val="center"/>
            </w:pPr>
            <w:r w:rsidRPr="00690D66">
              <w:t>7.9</w:t>
            </w:r>
          </w:p>
        </w:tc>
        <w:tc>
          <w:tcPr>
            <w:tcW w:w="0" w:type="auto"/>
            <w:tcBorders>
              <w:top w:val="single" w:sz="6" w:space="0" w:color="000000"/>
              <w:left w:val="single" w:sz="6" w:space="0" w:color="000000"/>
              <w:bottom w:val="single" w:sz="6" w:space="0" w:color="000000"/>
              <w:right w:val="single" w:sz="6" w:space="0" w:color="000000"/>
            </w:tcBorders>
            <w:vAlign w:val="bottom"/>
          </w:tcPr>
          <w:p w14:paraId="633A8CAC" w14:textId="77777777" w:rsidR="00690D66" w:rsidRPr="00690D66" w:rsidRDefault="00690D66" w:rsidP="00690D66">
            <w:pPr>
              <w:jc w:val="center"/>
            </w:pPr>
            <w:r w:rsidRPr="00690D66">
              <w:t>10.8</w:t>
            </w:r>
          </w:p>
        </w:tc>
        <w:tc>
          <w:tcPr>
            <w:tcW w:w="0" w:type="auto"/>
            <w:tcBorders>
              <w:top w:val="single" w:sz="6" w:space="0" w:color="000000"/>
              <w:left w:val="single" w:sz="6" w:space="0" w:color="000000"/>
              <w:bottom w:val="single" w:sz="6" w:space="0" w:color="000000"/>
              <w:right w:val="single" w:sz="6" w:space="0" w:color="000000"/>
            </w:tcBorders>
            <w:vAlign w:val="bottom"/>
          </w:tcPr>
          <w:p w14:paraId="58339FB0" w14:textId="77777777" w:rsidR="00690D66" w:rsidRPr="00690D66" w:rsidRDefault="00690D66" w:rsidP="00690D66">
            <w:pPr>
              <w:jc w:val="center"/>
            </w:pPr>
            <w:r w:rsidRPr="00690D66">
              <w:t>10.5</w:t>
            </w:r>
          </w:p>
        </w:tc>
        <w:tc>
          <w:tcPr>
            <w:tcW w:w="0" w:type="auto"/>
            <w:tcBorders>
              <w:top w:val="single" w:sz="6" w:space="0" w:color="000000"/>
              <w:left w:val="single" w:sz="6" w:space="0" w:color="000000"/>
              <w:bottom w:val="single" w:sz="6" w:space="0" w:color="000000"/>
              <w:right w:val="single" w:sz="6" w:space="0" w:color="000000"/>
            </w:tcBorders>
            <w:vAlign w:val="bottom"/>
          </w:tcPr>
          <w:p w14:paraId="4F8210C8" w14:textId="77777777" w:rsidR="00690D66" w:rsidRPr="00690D66" w:rsidRDefault="00690D66" w:rsidP="00690D66">
            <w:pPr>
              <w:jc w:val="center"/>
            </w:pPr>
            <w:r w:rsidRPr="00690D66">
              <w:t>9.4</w:t>
            </w:r>
          </w:p>
        </w:tc>
        <w:tc>
          <w:tcPr>
            <w:tcW w:w="0" w:type="auto"/>
            <w:tcBorders>
              <w:top w:val="single" w:sz="6" w:space="0" w:color="000000"/>
              <w:left w:val="single" w:sz="6" w:space="0" w:color="000000"/>
              <w:bottom w:val="single" w:sz="6" w:space="0" w:color="000000"/>
              <w:right w:val="single" w:sz="6" w:space="0" w:color="000000"/>
            </w:tcBorders>
            <w:vAlign w:val="bottom"/>
          </w:tcPr>
          <w:p w14:paraId="4BCAAD6F" w14:textId="77777777" w:rsidR="00690D66" w:rsidRPr="00690D66" w:rsidRDefault="00690D66" w:rsidP="00690D66">
            <w:pPr>
              <w:jc w:val="center"/>
            </w:pPr>
            <w:r w:rsidRPr="00690D66">
              <w:t>5.4</w:t>
            </w:r>
          </w:p>
        </w:tc>
        <w:tc>
          <w:tcPr>
            <w:tcW w:w="0" w:type="auto"/>
            <w:tcBorders>
              <w:top w:val="single" w:sz="6" w:space="0" w:color="000000"/>
              <w:left w:val="single" w:sz="6" w:space="0" w:color="000000"/>
              <w:bottom w:val="single" w:sz="6" w:space="0" w:color="000000"/>
              <w:right w:val="single" w:sz="6" w:space="0" w:color="000000"/>
            </w:tcBorders>
            <w:vAlign w:val="bottom"/>
          </w:tcPr>
          <w:p w14:paraId="396C60ED" w14:textId="77777777" w:rsidR="00690D66" w:rsidRPr="00690D66" w:rsidRDefault="00690D66" w:rsidP="00690D66">
            <w:pPr>
              <w:jc w:val="center"/>
            </w:pPr>
            <w:r w:rsidRPr="00690D66">
              <w:t>5.1</w:t>
            </w:r>
          </w:p>
        </w:tc>
        <w:tc>
          <w:tcPr>
            <w:tcW w:w="0" w:type="auto"/>
            <w:tcBorders>
              <w:top w:val="single" w:sz="6" w:space="0" w:color="000000"/>
              <w:left w:val="single" w:sz="6" w:space="0" w:color="000000"/>
              <w:bottom w:val="single" w:sz="6" w:space="0" w:color="000000"/>
            </w:tcBorders>
            <w:vAlign w:val="bottom"/>
          </w:tcPr>
          <w:p w14:paraId="0DCF49A1" w14:textId="77777777" w:rsidR="00690D66" w:rsidRPr="00690D66" w:rsidRDefault="00690D66" w:rsidP="00690D66">
            <w:pPr>
              <w:jc w:val="center"/>
            </w:pPr>
            <w:r w:rsidRPr="00690D66">
              <w:t>0.7</w:t>
            </w:r>
          </w:p>
        </w:tc>
      </w:tr>
      <w:tr w:rsidR="00690D66" w:rsidRPr="00690D66" w14:paraId="03B09AC0" w14:textId="77777777" w:rsidTr="00454C5A">
        <w:tc>
          <w:tcPr>
            <w:tcW w:w="824" w:type="pct"/>
            <w:tcBorders>
              <w:top w:val="single" w:sz="6" w:space="0" w:color="000000"/>
              <w:bottom w:val="single" w:sz="6" w:space="0" w:color="000000"/>
              <w:right w:val="single" w:sz="6" w:space="0" w:color="000000"/>
            </w:tcBorders>
            <w:vAlign w:val="center"/>
          </w:tcPr>
          <w:p w14:paraId="473EE541" w14:textId="77777777" w:rsidR="00690D66" w:rsidRPr="00690D66" w:rsidRDefault="00690D66" w:rsidP="00690D66">
            <w:pPr>
              <w:jc w:val="center"/>
              <w:rPr>
                <w:kern w:val="0"/>
              </w:rPr>
            </w:pPr>
            <w:r w:rsidRPr="00690D66">
              <w:rPr>
                <w:kern w:val="0"/>
              </w:rPr>
              <w:t>04</w:t>
            </w:r>
          </w:p>
        </w:tc>
        <w:tc>
          <w:tcPr>
            <w:tcW w:w="0" w:type="auto"/>
            <w:tcBorders>
              <w:top w:val="single" w:sz="6" w:space="0" w:color="000000"/>
              <w:left w:val="single" w:sz="6" w:space="0" w:color="000000"/>
              <w:bottom w:val="single" w:sz="6" w:space="0" w:color="000000"/>
              <w:right w:val="single" w:sz="6" w:space="0" w:color="000000"/>
            </w:tcBorders>
            <w:vAlign w:val="bottom"/>
          </w:tcPr>
          <w:p w14:paraId="52EDD0EB" w14:textId="77777777" w:rsidR="00690D66" w:rsidRPr="00690D66" w:rsidRDefault="00690D66" w:rsidP="00690D66">
            <w:pPr>
              <w:jc w:val="center"/>
            </w:pPr>
            <w:r w:rsidRPr="00690D66">
              <w:t>5.6</w:t>
            </w:r>
          </w:p>
        </w:tc>
        <w:tc>
          <w:tcPr>
            <w:tcW w:w="0" w:type="auto"/>
            <w:tcBorders>
              <w:top w:val="single" w:sz="6" w:space="0" w:color="000000"/>
              <w:left w:val="single" w:sz="6" w:space="0" w:color="000000"/>
              <w:bottom w:val="single" w:sz="6" w:space="0" w:color="000000"/>
              <w:right w:val="single" w:sz="6" w:space="0" w:color="000000"/>
            </w:tcBorders>
            <w:vAlign w:val="bottom"/>
          </w:tcPr>
          <w:p w14:paraId="0874AD34" w14:textId="77777777" w:rsidR="00690D66" w:rsidRPr="00690D66" w:rsidRDefault="00690D66" w:rsidP="00690D66">
            <w:pPr>
              <w:jc w:val="center"/>
            </w:pPr>
            <w:r w:rsidRPr="00690D66">
              <w:t>3.8</w:t>
            </w:r>
          </w:p>
        </w:tc>
        <w:tc>
          <w:tcPr>
            <w:tcW w:w="0" w:type="auto"/>
            <w:tcBorders>
              <w:top w:val="single" w:sz="6" w:space="0" w:color="000000"/>
              <w:left w:val="single" w:sz="6" w:space="0" w:color="000000"/>
              <w:bottom w:val="single" w:sz="6" w:space="0" w:color="000000"/>
              <w:right w:val="single" w:sz="6" w:space="0" w:color="000000"/>
            </w:tcBorders>
            <w:vAlign w:val="bottom"/>
          </w:tcPr>
          <w:p w14:paraId="7F255198" w14:textId="77777777" w:rsidR="00690D66" w:rsidRPr="00690D66" w:rsidRDefault="00690D66" w:rsidP="00690D66">
            <w:pPr>
              <w:jc w:val="center"/>
            </w:pPr>
            <w:r w:rsidRPr="00690D66">
              <w:t>2.6</w:t>
            </w:r>
          </w:p>
        </w:tc>
        <w:tc>
          <w:tcPr>
            <w:tcW w:w="0" w:type="auto"/>
            <w:tcBorders>
              <w:top w:val="single" w:sz="6" w:space="0" w:color="000000"/>
              <w:left w:val="single" w:sz="6" w:space="0" w:color="000000"/>
              <w:bottom w:val="single" w:sz="6" w:space="0" w:color="000000"/>
              <w:right w:val="single" w:sz="6" w:space="0" w:color="000000"/>
            </w:tcBorders>
            <w:vAlign w:val="bottom"/>
          </w:tcPr>
          <w:p w14:paraId="55B82CC7" w14:textId="77777777" w:rsidR="00690D66" w:rsidRPr="00690D66" w:rsidRDefault="00690D66" w:rsidP="00690D66">
            <w:pPr>
              <w:jc w:val="center"/>
            </w:pPr>
            <w:r w:rsidRPr="00690D66">
              <w:t>2.6</w:t>
            </w:r>
          </w:p>
        </w:tc>
        <w:tc>
          <w:tcPr>
            <w:tcW w:w="0" w:type="auto"/>
            <w:tcBorders>
              <w:top w:val="single" w:sz="6" w:space="0" w:color="000000"/>
              <w:left w:val="single" w:sz="6" w:space="0" w:color="000000"/>
              <w:bottom w:val="single" w:sz="6" w:space="0" w:color="000000"/>
              <w:right w:val="single" w:sz="6" w:space="0" w:color="000000"/>
            </w:tcBorders>
            <w:vAlign w:val="bottom"/>
          </w:tcPr>
          <w:p w14:paraId="159AB22D" w14:textId="77777777" w:rsidR="00690D66" w:rsidRPr="00690D66" w:rsidRDefault="00690D66" w:rsidP="00690D66">
            <w:pPr>
              <w:jc w:val="center"/>
            </w:pPr>
            <w:r w:rsidRPr="00690D66">
              <w:t>5.8</w:t>
            </w:r>
          </w:p>
        </w:tc>
        <w:tc>
          <w:tcPr>
            <w:tcW w:w="0" w:type="auto"/>
            <w:tcBorders>
              <w:top w:val="single" w:sz="6" w:space="0" w:color="000000"/>
              <w:left w:val="single" w:sz="6" w:space="0" w:color="000000"/>
              <w:bottom w:val="single" w:sz="6" w:space="0" w:color="000000"/>
              <w:right w:val="single" w:sz="6" w:space="0" w:color="000000"/>
            </w:tcBorders>
            <w:vAlign w:val="bottom"/>
          </w:tcPr>
          <w:p w14:paraId="6AB220B1" w14:textId="77777777" w:rsidR="00690D66" w:rsidRPr="00690D66" w:rsidRDefault="00690D66" w:rsidP="00690D66">
            <w:pPr>
              <w:jc w:val="center"/>
            </w:pPr>
            <w:r w:rsidRPr="00690D66">
              <w:t>3.3</w:t>
            </w:r>
          </w:p>
        </w:tc>
        <w:tc>
          <w:tcPr>
            <w:tcW w:w="0" w:type="auto"/>
            <w:tcBorders>
              <w:top w:val="single" w:sz="6" w:space="0" w:color="000000"/>
              <w:left w:val="single" w:sz="6" w:space="0" w:color="000000"/>
              <w:bottom w:val="single" w:sz="6" w:space="0" w:color="000000"/>
              <w:right w:val="single" w:sz="6" w:space="0" w:color="000000"/>
            </w:tcBorders>
            <w:vAlign w:val="bottom"/>
          </w:tcPr>
          <w:p w14:paraId="4E9D16EB" w14:textId="77777777" w:rsidR="00690D66" w:rsidRPr="00690D66" w:rsidRDefault="00690D66" w:rsidP="00690D66">
            <w:pPr>
              <w:jc w:val="center"/>
            </w:pPr>
            <w:r w:rsidRPr="00690D66">
              <w:t>2.8</w:t>
            </w:r>
          </w:p>
        </w:tc>
        <w:tc>
          <w:tcPr>
            <w:tcW w:w="0" w:type="auto"/>
            <w:tcBorders>
              <w:top w:val="single" w:sz="6" w:space="0" w:color="000000"/>
              <w:left w:val="single" w:sz="6" w:space="0" w:color="000000"/>
              <w:bottom w:val="single" w:sz="6" w:space="0" w:color="000000"/>
              <w:right w:val="single" w:sz="6" w:space="0" w:color="000000"/>
            </w:tcBorders>
            <w:vAlign w:val="bottom"/>
          </w:tcPr>
          <w:p w14:paraId="7B850F6E" w14:textId="77777777" w:rsidR="00690D66" w:rsidRPr="00690D66" w:rsidRDefault="00690D66" w:rsidP="00690D66">
            <w:pPr>
              <w:jc w:val="center"/>
            </w:pPr>
            <w:r w:rsidRPr="00690D66">
              <w:t>4.2</w:t>
            </w:r>
          </w:p>
        </w:tc>
        <w:tc>
          <w:tcPr>
            <w:tcW w:w="0" w:type="auto"/>
            <w:tcBorders>
              <w:top w:val="single" w:sz="6" w:space="0" w:color="000000"/>
              <w:left w:val="single" w:sz="6" w:space="0" w:color="000000"/>
              <w:bottom w:val="single" w:sz="6" w:space="0" w:color="000000"/>
              <w:right w:val="single" w:sz="6" w:space="0" w:color="000000"/>
            </w:tcBorders>
            <w:vAlign w:val="bottom"/>
          </w:tcPr>
          <w:p w14:paraId="3AADFBE7" w14:textId="77777777" w:rsidR="00690D66" w:rsidRPr="00690D66" w:rsidRDefault="00690D66" w:rsidP="00690D66">
            <w:pPr>
              <w:jc w:val="center"/>
            </w:pPr>
            <w:r w:rsidRPr="00690D66">
              <w:t>12.8</w:t>
            </w:r>
          </w:p>
        </w:tc>
        <w:tc>
          <w:tcPr>
            <w:tcW w:w="0" w:type="auto"/>
            <w:tcBorders>
              <w:top w:val="single" w:sz="6" w:space="0" w:color="000000"/>
              <w:left w:val="single" w:sz="6" w:space="0" w:color="000000"/>
              <w:bottom w:val="single" w:sz="6" w:space="0" w:color="000000"/>
              <w:right w:val="single" w:sz="6" w:space="0" w:color="000000"/>
            </w:tcBorders>
            <w:vAlign w:val="bottom"/>
          </w:tcPr>
          <w:p w14:paraId="3FA59A05" w14:textId="77777777" w:rsidR="00690D66" w:rsidRPr="00690D66" w:rsidRDefault="00690D66" w:rsidP="00690D66">
            <w:pPr>
              <w:jc w:val="center"/>
            </w:pPr>
            <w:r w:rsidRPr="00690D66">
              <w:t>7.5</w:t>
            </w:r>
          </w:p>
        </w:tc>
        <w:tc>
          <w:tcPr>
            <w:tcW w:w="0" w:type="auto"/>
            <w:tcBorders>
              <w:top w:val="single" w:sz="6" w:space="0" w:color="000000"/>
              <w:left w:val="single" w:sz="6" w:space="0" w:color="000000"/>
              <w:bottom w:val="single" w:sz="6" w:space="0" w:color="000000"/>
              <w:right w:val="single" w:sz="6" w:space="0" w:color="000000"/>
            </w:tcBorders>
            <w:vAlign w:val="bottom"/>
          </w:tcPr>
          <w:p w14:paraId="4F128822" w14:textId="77777777" w:rsidR="00690D66" w:rsidRPr="00690D66" w:rsidRDefault="00690D66" w:rsidP="00690D66">
            <w:pPr>
              <w:jc w:val="center"/>
            </w:pPr>
            <w:r w:rsidRPr="00690D66">
              <w:t>4.2</w:t>
            </w:r>
          </w:p>
        </w:tc>
        <w:tc>
          <w:tcPr>
            <w:tcW w:w="0" w:type="auto"/>
            <w:tcBorders>
              <w:top w:val="single" w:sz="6" w:space="0" w:color="000000"/>
              <w:left w:val="single" w:sz="6" w:space="0" w:color="000000"/>
              <w:bottom w:val="single" w:sz="6" w:space="0" w:color="000000"/>
              <w:right w:val="single" w:sz="6" w:space="0" w:color="000000"/>
            </w:tcBorders>
            <w:vAlign w:val="bottom"/>
          </w:tcPr>
          <w:p w14:paraId="14FD63C9" w14:textId="77777777" w:rsidR="00690D66" w:rsidRPr="00690D66" w:rsidRDefault="00690D66" w:rsidP="00690D66">
            <w:pPr>
              <w:jc w:val="center"/>
            </w:pPr>
            <w:r w:rsidRPr="00690D66">
              <w:t>5.3</w:t>
            </w:r>
          </w:p>
        </w:tc>
        <w:tc>
          <w:tcPr>
            <w:tcW w:w="0" w:type="auto"/>
            <w:tcBorders>
              <w:top w:val="single" w:sz="6" w:space="0" w:color="000000"/>
              <w:left w:val="single" w:sz="6" w:space="0" w:color="000000"/>
              <w:bottom w:val="single" w:sz="6" w:space="0" w:color="000000"/>
              <w:right w:val="single" w:sz="6" w:space="0" w:color="000000"/>
            </w:tcBorders>
            <w:vAlign w:val="bottom"/>
          </w:tcPr>
          <w:p w14:paraId="57E9CAEB" w14:textId="77777777" w:rsidR="00690D66" w:rsidRPr="00690D66" w:rsidRDefault="00690D66" w:rsidP="00690D66">
            <w:pPr>
              <w:jc w:val="center"/>
            </w:pPr>
            <w:r w:rsidRPr="00690D66">
              <w:t>8.5</w:t>
            </w:r>
          </w:p>
        </w:tc>
        <w:tc>
          <w:tcPr>
            <w:tcW w:w="0" w:type="auto"/>
            <w:tcBorders>
              <w:top w:val="single" w:sz="6" w:space="0" w:color="000000"/>
              <w:left w:val="single" w:sz="6" w:space="0" w:color="000000"/>
              <w:bottom w:val="single" w:sz="6" w:space="0" w:color="000000"/>
              <w:right w:val="single" w:sz="6" w:space="0" w:color="000000"/>
            </w:tcBorders>
            <w:vAlign w:val="bottom"/>
          </w:tcPr>
          <w:p w14:paraId="3F1A7C5A" w14:textId="77777777" w:rsidR="00690D66" w:rsidRPr="00690D66" w:rsidRDefault="00690D66" w:rsidP="00690D66">
            <w:pPr>
              <w:jc w:val="center"/>
            </w:pPr>
            <w:r w:rsidRPr="00690D66">
              <w:t>15.7</w:t>
            </w:r>
          </w:p>
        </w:tc>
        <w:tc>
          <w:tcPr>
            <w:tcW w:w="0" w:type="auto"/>
            <w:tcBorders>
              <w:top w:val="single" w:sz="6" w:space="0" w:color="000000"/>
              <w:left w:val="single" w:sz="6" w:space="0" w:color="000000"/>
              <w:bottom w:val="single" w:sz="6" w:space="0" w:color="000000"/>
              <w:right w:val="single" w:sz="6" w:space="0" w:color="000000"/>
            </w:tcBorders>
            <w:vAlign w:val="bottom"/>
          </w:tcPr>
          <w:p w14:paraId="76216082" w14:textId="77777777" w:rsidR="00690D66" w:rsidRPr="00690D66" w:rsidRDefault="00690D66" w:rsidP="00690D66">
            <w:pPr>
              <w:jc w:val="center"/>
            </w:pPr>
            <w:r w:rsidRPr="00690D66">
              <w:t>11.0</w:t>
            </w:r>
          </w:p>
        </w:tc>
        <w:tc>
          <w:tcPr>
            <w:tcW w:w="0" w:type="auto"/>
            <w:tcBorders>
              <w:top w:val="single" w:sz="6" w:space="0" w:color="000000"/>
              <w:left w:val="single" w:sz="6" w:space="0" w:color="000000"/>
              <w:bottom w:val="single" w:sz="6" w:space="0" w:color="000000"/>
              <w:right w:val="single" w:sz="6" w:space="0" w:color="000000"/>
            </w:tcBorders>
            <w:vAlign w:val="bottom"/>
          </w:tcPr>
          <w:p w14:paraId="798056EE" w14:textId="77777777" w:rsidR="00690D66" w:rsidRPr="00690D66" w:rsidRDefault="00690D66" w:rsidP="00690D66">
            <w:pPr>
              <w:jc w:val="center"/>
            </w:pPr>
            <w:r w:rsidRPr="00690D66">
              <w:t>2.9</w:t>
            </w:r>
          </w:p>
        </w:tc>
        <w:tc>
          <w:tcPr>
            <w:tcW w:w="0" w:type="auto"/>
            <w:tcBorders>
              <w:top w:val="single" w:sz="6" w:space="0" w:color="000000"/>
              <w:left w:val="single" w:sz="6" w:space="0" w:color="000000"/>
              <w:bottom w:val="single" w:sz="6" w:space="0" w:color="000000"/>
            </w:tcBorders>
            <w:vAlign w:val="bottom"/>
          </w:tcPr>
          <w:p w14:paraId="4B93E478" w14:textId="77777777" w:rsidR="00690D66" w:rsidRPr="00690D66" w:rsidRDefault="00690D66" w:rsidP="00690D66">
            <w:pPr>
              <w:jc w:val="center"/>
            </w:pPr>
            <w:r w:rsidRPr="00690D66">
              <w:t>1.5</w:t>
            </w:r>
          </w:p>
        </w:tc>
      </w:tr>
      <w:tr w:rsidR="00690D66" w:rsidRPr="00690D66" w14:paraId="4C8A6423" w14:textId="77777777" w:rsidTr="00454C5A">
        <w:tc>
          <w:tcPr>
            <w:tcW w:w="824" w:type="pct"/>
            <w:tcBorders>
              <w:top w:val="single" w:sz="6" w:space="0" w:color="000000"/>
              <w:bottom w:val="single" w:sz="6" w:space="0" w:color="000000"/>
              <w:right w:val="single" w:sz="6" w:space="0" w:color="000000"/>
            </w:tcBorders>
            <w:vAlign w:val="center"/>
          </w:tcPr>
          <w:p w14:paraId="292D7258" w14:textId="77777777" w:rsidR="00690D66" w:rsidRPr="00690D66" w:rsidRDefault="00690D66" w:rsidP="00690D66">
            <w:pPr>
              <w:jc w:val="center"/>
              <w:rPr>
                <w:kern w:val="0"/>
              </w:rPr>
            </w:pPr>
            <w:r w:rsidRPr="00690D66">
              <w:rPr>
                <w:kern w:val="0"/>
              </w:rPr>
              <w:t>05</w:t>
            </w:r>
          </w:p>
        </w:tc>
        <w:tc>
          <w:tcPr>
            <w:tcW w:w="0" w:type="auto"/>
            <w:tcBorders>
              <w:top w:val="single" w:sz="6" w:space="0" w:color="000000"/>
              <w:left w:val="single" w:sz="6" w:space="0" w:color="000000"/>
              <w:bottom w:val="single" w:sz="6" w:space="0" w:color="000000"/>
              <w:right w:val="single" w:sz="6" w:space="0" w:color="000000"/>
            </w:tcBorders>
            <w:vAlign w:val="bottom"/>
          </w:tcPr>
          <w:p w14:paraId="4F887575" w14:textId="77777777" w:rsidR="00690D66" w:rsidRPr="00690D66" w:rsidRDefault="00690D66" w:rsidP="00690D66">
            <w:pPr>
              <w:jc w:val="center"/>
            </w:pPr>
            <w:r w:rsidRPr="00690D66">
              <w:t>5.8</w:t>
            </w:r>
          </w:p>
        </w:tc>
        <w:tc>
          <w:tcPr>
            <w:tcW w:w="0" w:type="auto"/>
            <w:tcBorders>
              <w:top w:val="single" w:sz="6" w:space="0" w:color="000000"/>
              <w:left w:val="single" w:sz="6" w:space="0" w:color="000000"/>
              <w:bottom w:val="single" w:sz="6" w:space="0" w:color="000000"/>
              <w:right w:val="single" w:sz="6" w:space="0" w:color="000000"/>
            </w:tcBorders>
            <w:vAlign w:val="bottom"/>
          </w:tcPr>
          <w:p w14:paraId="410EDB07" w14:textId="77777777" w:rsidR="00690D66" w:rsidRPr="00690D66" w:rsidRDefault="00690D66" w:rsidP="00690D66">
            <w:pPr>
              <w:jc w:val="center"/>
            </w:pPr>
            <w:r w:rsidRPr="00690D66">
              <w:t>2.3</w:t>
            </w:r>
          </w:p>
        </w:tc>
        <w:tc>
          <w:tcPr>
            <w:tcW w:w="0" w:type="auto"/>
            <w:tcBorders>
              <w:top w:val="single" w:sz="6" w:space="0" w:color="000000"/>
              <w:left w:val="single" w:sz="6" w:space="0" w:color="000000"/>
              <w:bottom w:val="single" w:sz="6" w:space="0" w:color="000000"/>
              <w:right w:val="single" w:sz="6" w:space="0" w:color="000000"/>
            </w:tcBorders>
            <w:vAlign w:val="bottom"/>
          </w:tcPr>
          <w:p w14:paraId="71F566FE" w14:textId="77777777" w:rsidR="00690D66" w:rsidRPr="00690D66" w:rsidRDefault="00690D66" w:rsidP="00690D66">
            <w:pPr>
              <w:jc w:val="center"/>
            </w:pPr>
            <w:r w:rsidRPr="00690D66">
              <w:t>1.9</w:t>
            </w:r>
          </w:p>
        </w:tc>
        <w:tc>
          <w:tcPr>
            <w:tcW w:w="0" w:type="auto"/>
            <w:tcBorders>
              <w:top w:val="single" w:sz="6" w:space="0" w:color="000000"/>
              <w:left w:val="single" w:sz="6" w:space="0" w:color="000000"/>
              <w:bottom w:val="single" w:sz="6" w:space="0" w:color="000000"/>
              <w:right w:val="single" w:sz="6" w:space="0" w:color="000000"/>
            </w:tcBorders>
            <w:vAlign w:val="bottom"/>
          </w:tcPr>
          <w:p w14:paraId="6E7D1B1A" w14:textId="77777777" w:rsidR="00690D66" w:rsidRPr="00690D66" w:rsidRDefault="00690D66" w:rsidP="00690D66">
            <w:pPr>
              <w:jc w:val="center"/>
            </w:pPr>
            <w:r w:rsidRPr="00690D66">
              <w:t>0.3</w:t>
            </w:r>
          </w:p>
        </w:tc>
        <w:tc>
          <w:tcPr>
            <w:tcW w:w="0" w:type="auto"/>
            <w:tcBorders>
              <w:top w:val="single" w:sz="6" w:space="0" w:color="000000"/>
              <w:left w:val="single" w:sz="6" w:space="0" w:color="000000"/>
              <w:bottom w:val="single" w:sz="6" w:space="0" w:color="000000"/>
              <w:right w:val="single" w:sz="6" w:space="0" w:color="000000"/>
            </w:tcBorders>
            <w:vAlign w:val="bottom"/>
          </w:tcPr>
          <w:p w14:paraId="5085A5F6" w14:textId="77777777" w:rsidR="00690D66" w:rsidRPr="00690D66" w:rsidRDefault="00690D66" w:rsidP="00690D66">
            <w:pPr>
              <w:jc w:val="center"/>
            </w:pPr>
            <w:r w:rsidRPr="00690D66">
              <w:t>0.1</w:t>
            </w:r>
          </w:p>
        </w:tc>
        <w:tc>
          <w:tcPr>
            <w:tcW w:w="0" w:type="auto"/>
            <w:tcBorders>
              <w:top w:val="single" w:sz="6" w:space="0" w:color="000000"/>
              <w:left w:val="single" w:sz="6" w:space="0" w:color="000000"/>
              <w:bottom w:val="single" w:sz="6" w:space="0" w:color="000000"/>
              <w:right w:val="single" w:sz="6" w:space="0" w:color="000000"/>
            </w:tcBorders>
            <w:vAlign w:val="bottom"/>
          </w:tcPr>
          <w:p w14:paraId="323CAF67" w14:textId="77777777" w:rsidR="00690D66" w:rsidRPr="00690D66" w:rsidRDefault="00690D66" w:rsidP="00690D66">
            <w:pPr>
              <w:jc w:val="center"/>
            </w:pPr>
            <w:r w:rsidRPr="00690D66">
              <w:t>1.5</w:t>
            </w:r>
          </w:p>
        </w:tc>
        <w:tc>
          <w:tcPr>
            <w:tcW w:w="0" w:type="auto"/>
            <w:tcBorders>
              <w:top w:val="single" w:sz="6" w:space="0" w:color="000000"/>
              <w:left w:val="single" w:sz="6" w:space="0" w:color="000000"/>
              <w:bottom w:val="single" w:sz="6" w:space="0" w:color="000000"/>
              <w:right w:val="single" w:sz="6" w:space="0" w:color="000000"/>
            </w:tcBorders>
            <w:vAlign w:val="bottom"/>
          </w:tcPr>
          <w:p w14:paraId="5D21BE82" w14:textId="77777777" w:rsidR="00690D66" w:rsidRPr="00690D66" w:rsidRDefault="00690D66" w:rsidP="00690D66">
            <w:pPr>
              <w:jc w:val="center"/>
            </w:pPr>
            <w:r w:rsidRPr="00690D66">
              <w:t>1.8</w:t>
            </w:r>
          </w:p>
        </w:tc>
        <w:tc>
          <w:tcPr>
            <w:tcW w:w="0" w:type="auto"/>
            <w:tcBorders>
              <w:top w:val="single" w:sz="6" w:space="0" w:color="000000"/>
              <w:left w:val="single" w:sz="6" w:space="0" w:color="000000"/>
              <w:bottom w:val="single" w:sz="6" w:space="0" w:color="000000"/>
              <w:right w:val="single" w:sz="6" w:space="0" w:color="000000"/>
            </w:tcBorders>
            <w:vAlign w:val="bottom"/>
          </w:tcPr>
          <w:p w14:paraId="729674FD" w14:textId="77777777" w:rsidR="00690D66" w:rsidRPr="00690D66" w:rsidRDefault="00690D66" w:rsidP="00690D66">
            <w:pPr>
              <w:jc w:val="center"/>
            </w:pPr>
            <w:r w:rsidRPr="00690D66">
              <w:t>4.4</w:t>
            </w:r>
          </w:p>
        </w:tc>
        <w:tc>
          <w:tcPr>
            <w:tcW w:w="0" w:type="auto"/>
            <w:tcBorders>
              <w:top w:val="single" w:sz="6" w:space="0" w:color="000000"/>
              <w:left w:val="single" w:sz="6" w:space="0" w:color="000000"/>
              <w:bottom w:val="single" w:sz="6" w:space="0" w:color="000000"/>
              <w:right w:val="single" w:sz="6" w:space="0" w:color="000000"/>
            </w:tcBorders>
            <w:vAlign w:val="bottom"/>
          </w:tcPr>
          <w:p w14:paraId="1113001B" w14:textId="77777777" w:rsidR="00690D66" w:rsidRPr="00690D66" w:rsidRDefault="00690D66" w:rsidP="00690D66">
            <w:pPr>
              <w:jc w:val="center"/>
            </w:pPr>
            <w:r w:rsidRPr="00690D66">
              <w:t>18.0</w:t>
            </w:r>
          </w:p>
        </w:tc>
        <w:tc>
          <w:tcPr>
            <w:tcW w:w="0" w:type="auto"/>
            <w:tcBorders>
              <w:top w:val="single" w:sz="6" w:space="0" w:color="000000"/>
              <w:left w:val="single" w:sz="6" w:space="0" w:color="000000"/>
              <w:bottom w:val="single" w:sz="6" w:space="0" w:color="000000"/>
              <w:right w:val="single" w:sz="6" w:space="0" w:color="000000"/>
            </w:tcBorders>
            <w:vAlign w:val="bottom"/>
          </w:tcPr>
          <w:p w14:paraId="20F7B865" w14:textId="77777777" w:rsidR="00690D66" w:rsidRPr="00690D66" w:rsidRDefault="00690D66" w:rsidP="00690D66">
            <w:pPr>
              <w:jc w:val="center"/>
            </w:pPr>
            <w:r w:rsidRPr="00690D66">
              <w:t>13.4</w:t>
            </w:r>
          </w:p>
        </w:tc>
        <w:tc>
          <w:tcPr>
            <w:tcW w:w="0" w:type="auto"/>
            <w:tcBorders>
              <w:top w:val="single" w:sz="6" w:space="0" w:color="000000"/>
              <w:left w:val="single" w:sz="6" w:space="0" w:color="000000"/>
              <w:bottom w:val="single" w:sz="6" w:space="0" w:color="000000"/>
              <w:right w:val="single" w:sz="6" w:space="0" w:color="000000"/>
            </w:tcBorders>
            <w:vAlign w:val="bottom"/>
          </w:tcPr>
          <w:p w14:paraId="5A69B117" w14:textId="77777777" w:rsidR="00690D66" w:rsidRPr="00690D66" w:rsidRDefault="00690D66" w:rsidP="00690D66">
            <w:pPr>
              <w:jc w:val="center"/>
            </w:pPr>
            <w:r w:rsidRPr="00690D66">
              <w:t>7.8</w:t>
            </w:r>
          </w:p>
        </w:tc>
        <w:tc>
          <w:tcPr>
            <w:tcW w:w="0" w:type="auto"/>
            <w:tcBorders>
              <w:top w:val="single" w:sz="6" w:space="0" w:color="000000"/>
              <w:left w:val="single" w:sz="6" w:space="0" w:color="000000"/>
              <w:bottom w:val="single" w:sz="6" w:space="0" w:color="000000"/>
              <w:right w:val="single" w:sz="6" w:space="0" w:color="000000"/>
            </w:tcBorders>
            <w:vAlign w:val="bottom"/>
          </w:tcPr>
          <w:p w14:paraId="23BB9440" w14:textId="77777777" w:rsidR="00690D66" w:rsidRPr="00690D66" w:rsidRDefault="00690D66" w:rsidP="00690D66">
            <w:pPr>
              <w:jc w:val="center"/>
            </w:pPr>
            <w:r w:rsidRPr="00690D66">
              <w:t>5.7</w:t>
            </w:r>
          </w:p>
        </w:tc>
        <w:tc>
          <w:tcPr>
            <w:tcW w:w="0" w:type="auto"/>
            <w:tcBorders>
              <w:top w:val="single" w:sz="6" w:space="0" w:color="000000"/>
              <w:left w:val="single" w:sz="6" w:space="0" w:color="000000"/>
              <w:bottom w:val="single" w:sz="6" w:space="0" w:color="000000"/>
              <w:right w:val="single" w:sz="6" w:space="0" w:color="000000"/>
            </w:tcBorders>
            <w:vAlign w:val="bottom"/>
          </w:tcPr>
          <w:p w14:paraId="6E332D5E" w14:textId="77777777" w:rsidR="00690D66" w:rsidRPr="00690D66" w:rsidRDefault="00690D66" w:rsidP="00690D66">
            <w:pPr>
              <w:jc w:val="center"/>
            </w:pPr>
            <w:r w:rsidRPr="00690D66">
              <w:t>9.8</w:t>
            </w:r>
          </w:p>
        </w:tc>
        <w:tc>
          <w:tcPr>
            <w:tcW w:w="0" w:type="auto"/>
            <w:tcBorders>
              <w:top w:val="single" w:sz="6" w:space="0" w:color="000000"/>
              <w:left w:val="single" w:sz="6" w:space="0" w:color="000000"/>
              <w:bottom w:val="single" w:sz="6" w:space="0" w:color="000000"/>
              <w:right w:val="single" w:sz="6" w:space="0" w:color="000000"/>
            </w:tcBorders>
            <w:vAlign w:val="bottom"/>
          </w:tcPr>
          <w:p w14:paraId="3C607259" w14:textId="77777777" w:rsidR="00690D66" w:rsidRPr="00690D66" w:rsidRDefault="00690D66" w:rsidP="00690D66">
            <w:pPr>
              <w:jc w:val="center"/>
            </w:pPr>
            <w:r w:rsidRPr="00690D66">
              <w:t>8.2</w:t>
            </w:r>
          </w:p>
        </w:tc>
        <w:tc>
          <w:tcPr>
            <w:tcW w:w="0" w:type="auto"/>
            <w:tcBorders>
              <w:top w:val="single" w:sz="6" w:space="0" w:color="000000"/>
              <w:left w:val="single" w:sz="6" w:space="0" w:color="000000"/>
              <w:bottom w:val="single" w:sz="6" w:space="0" w:color="000000"/>
              <w:right w:val="single" w:sz="6" w:space="0" w:color="000000"/>
            </w:tcBorders>
            <w:vAlign w:val="bottom"/>
          </w:tcPr>
          <w:p w14:paraId="5B0F9C45" w14:textId="77777777" w:rsidR="00690D66" w:rsidRPr="00690D66" w:rsidRDefault="00690D66" w:rsidP="00690D66">
            <w:pPr>
              <w:jc w:val="center"/>
            </w:pPr>
            <w:r w:rsidRPr="00690D66">
              <w:t>11.4</w:t>
            </w:r>
          </w:p>
        </w:tc>
        <w:tc>
          <w:tcPr>
            <w:tcW w:w="0" w:type="auto"/>
            <w:tcBorders>
              <w:top w:val="single" w:sz="6" w:space="0" w:color="000000"/>
              <w:left w:val="single" w:sz="6" w:space="0" w:color="000000"/>
              <w:bottom w:val="single" w:sz="6" w:space="0" w:color="000000"/>
              <w:right w:val="single" w:sz="6" w:space="0" w:color="000000"/>
            </w:tcBorders>
            <w:vAlign w:val="bottom"/>
          </w:tcPr>
          <w:p w14:paraId="00EAD80A" w14:textId="77777777" w:rsidR="00690D66" w:rsidRPr="00690D66" w:rsidRDefault="00690D66" w:rsidP="00690D66">
            <w:pPr>
              <w:jc w:val="center"/>
            </w:pPr>
            <w:r w:rsidRPr="00690D66">
              <w:t>5.0</w:t>
            </w:r>
          </w:p>
        </w:tc>
        <w:tc>
          <w:tcPr>
            <w:tcW w:w="0" w:type="auto"/>
            <w:tcBorders>
              <w:top w:val="single" w:sz="6" w:space="0" w:color="000000"/>
              <w:left w:val="single" w:sz="6" w:space="0" w:color="000000"/>
              <w:bottom w:val="single" w:sz="6" w:space="0" w:color="000000"/>
            </w:tcBorders>
            <w:vAlign w:val="bottom"/>
          </w:tcPr>
          <w:p w14:paraId="4C6EAA5C" w14:textId="77777777" w:rsidR="00690D66" w:rsidRPr="00690D66" w:rsidRDefault="00690D66" w:rsidP="00690D66">
            <w:pPr>
              <w:jc w:val="center"/>
            </w:pPr>
            <w:r w:rsidRPr="00690D66">
              <w:t>2.7</w:t>
            </w:r>
          </w:p>
        </w:tc>
      </w:tr>
      <w:tr w:rsidR="00690D66" w:rsidRPr="00690D66" w14:paraId="2FBAAC62" w14:textId="77777777" w:rsidTr="00454C5A">
        <w:tc>
          <w:tcPr>
            <w:tcW w:w="824" w:type="pct"/>
            <w:tcBorders>
              <w:top w:val="single" w:sz="6" w:space="0" w:color="000000"/>
              <w:bottom w:val="single" w:sz="6" w:space="0" w:color="000000"/>
              <w:right w:val="single" w:sz="6" w:space="0" w:color="000000"/>
            </w:tcBorders>
            <w:vAlign w:val="center"/>
          </w:tcPr>
          <w:p w14:paraId="74307A6A" w14:textId="77777777" w:rsidR="00690D66" w:rsidRPr="00690D66" w:rsidRDefault="00690D66" w:rsidP="00690D66">
            <w:pPr>
              <w:jc w:val="center"/>
              <w:rPr>
                <w:kern w:val="0"/>
              </w:rPr>
            </w:pPr>
            <w:r w:rsidRPr="00690D66">
              <w:rPr>
                <w:kern w:val="0"/>
              </w:rPr>
              <w:t>06</w:t>
            </w:r>
          </w:p>
        </w:tc>
        <w:tc>
          <w:tcPr>
            <w:tcW w:w="0" w:type="auto"/>
            <w:tcBorders>
              <w:top w:val="single" w:sz="6" w:space="0" w:color="000000"/>
              <w:left w:val="single" w:sz="6" w:space="0" w:color="000000"/>
              <w:bottom w:val="single" w:sz="6" w:space="0" w:color="000000"/>
              <w:right w:val="single" w:sz="6" w:space="0" w:color="000000"/>
            </w:tcBorders>
            <w:vAlign w:val="bottom"/>
          </w:tcPr>
          <w:p w14:paraId="02D51D56" w14:textId="77777777" w:rsidR="00690D66" w:rsidRPr="00690D66" w:rsidRDefault="00690D66" w:rsidP="00690D66">
            <w:pPr>
              <w:jc w:val="center"/>
            </w:pPr>
            <w:r w:rsidRPr="00690D66">
              <w:t>5.8</w:t>
            </w:r>
          </w:p>
        </w:tc>
        <w:tc>
          <w:tcPr>
            <w:tcW w:w="0" w:type="auto"/>
            <w:tcBorders>
              <w:top w:val="single" w:sz="6" w:space="0" w:color="000000"/>
              <w:left w:val="single" w:sz="6" w:space="0" w:color="000000"/>
              <w:bottom w:val="single" w:sz="6" w:space="0" w:color="000000"/>
              <w:right w:val="single" w:sz="6" w:space="0" w:color="000000"/>
            </w:tcBorders>
            <w:vAlign w:val="bottom"/>
          </w:tcPr>
          <w:p w14:paraId="44D32437" w14:textId="77777777" w:rsidR="00690D66" w:rsidRPr="00690D66" w:rsidRDefault="00690D66" w:rsidP="00690D66">
            <w:pPr>
              <w:jc w:val="center"/>
            </w:pPr>
            <w:r w:rsidRPr="00690D66">
              <w:t>5.0</w:t>
            </w:r>
          </w:p>
        </w:tc>
        <w:tc>
          <w:tcPr>
            <w:tcW w:w="0" w:type="auto"/>
            <w:tcBorders>
              <w:top w:val="single" w:sz="6" w:space="0" w:color="000000"/>
              <w:left w:val="single" w:sz="6" w:space="0" w:color="000000"/>
              <w:bottom w:val="single" w:sz="6" w:space="0" w:color="000000"/>
              <w:right w:val="single" w:sz="6" w:space="0" w:color="000000"/>
            </w:tcBorders>
            <w:vAlign w:val="bottom"/>
          </w:tcPr>
          <w:p w14:paraId="73211FC1" w14:textId="77777777" w:rsidR="00690D66" w:rsidRPr="00690D66" w:rsidRDefault="00690D66" w:rsidP="00690D66">
            <w:pPr>
              <w:jc w:val="center"/>
            </w:pPr>
            <w:r w:rsidRPr="00690D66">
              <w:t>5.6</w:t>
            </w:r>
          </w:p>
        </w:tc>
        <w:tc>
          <w:tcPr>
            <w:tcW w:w="0" w:type="auto"/>
            <w:tcBorders>
              <w:top w:val="single" w:sz="6" w:space="0" w:color="000000"/>
              <w:left w:val="single" w:sz="6" w:space="0" w:color="000000"/>
              <w:bottom w:val="single" w:sz="6" w:space="0" w:color="000000"/>
              <w:right w:val="single" w:sz="6" w:space="0" w:color="000000"/>
            </w:tcBorders>
            <w:vAlign w:val="bottom"/>
          </w:tcPr>
          <w:p w14:paraId="58CC34C9" w14:textId="77777777" w:rsidR="00690D66" w:rsidRPr="00690D66" w:rsidRDefault="00690D66" w:rsidP="00690D66">
            <w:pPr>
              <w:jc w:val="center"/>
            </w:pPr>
            <w:r w:rsidRPr="00690D66">
              <w:t>5.1</w:t>
            </w:r>
          </w:p>
        </w:tc>
        <w:tc>
          <w:tcPr>
            <w:tcW w:w="0" w:type="auto"/>
            <w:tcBorders>
              <w:top w:val="single" w:sz="6" w:space="0" w:color="000000"/>
              <w:left w:val="single" w:sz="6" w:space="0" w:color="000000"/>
              <w:bottom w:val="single" w:sz="6" w:space="0" w:color="000000"/>
              <w:right w:val="single" w:sz="6" w:space="0" w:color="000000"/>
            </w:tcBorders>
            <w:vAlign w:val="bottom"/>
          </w:tcPr>
          <w:p w14:paraId="2D11DEA9" w14:textId="77777777" w:rsidR="00690D66" w:rsidRPr="00690D66" w:rsidRDefault="00690D66" w:rsidP="00690D66">
            <w:pPr>
              <w:jc w:val="center"/>
            </w:pPr>
            <w:r w:rsidRPr="00690D66">
              <w:t>11.8</w:t>
            </w:r>
          </w:p>
        </w:tc>
        <w:tc>
          <w:tcPr>
            <w:tcW w:w="0" w:type="auto"/>
            <w:tcBorders>
              <w:top w:val="single" w:sz="6" w:space="0" w:color="000000"/>
              <w:left w:val="single" w:sz="6" w:space="0" w:color="000000"/>
              <w:bottom w:val="single" w:sz="6" w:space="0" w:color="000000"/>
              <w:right w:val="single" w:sz="6" w:space="0" w:color="000000"/>
            </w:tcBorders>
            <w:vAlign w:val="bottom"/>
          </w:tcPr>
          <w:p w14:paraId="2197B27E" w14:textId="77777777" w:rsidR="00690D66" w:rsidRPr="00690D66" w:rsidRDefault="00690D66" w:rsidP="00690D66">
            <w:pPr>
              <w:jc w:val="center"/>
            </w:pPr>
            <w:r w:rsidRPr="00690D66">
              <w:t>7.6</w:t>
            </w:r>
          </w:p>
        </w:tc>
        <w:tc>
          <w:tcPr>
            <w:tcW w:w="0" w:type="auto"/>
            <w:tcBorders>
              <w:top w:val="single" w:sz="6" w:space="0" w:color="000000"/>
              <w:left w:val="single" w:sz="6" w:space="0" w:color="000000"/>
              <w:bottom w:val="single" w:sz="6" w:space="0" w:color="000000"/>
              <w:right w:val="single" w:sz="6" w:space="0" w:color="000000"/>
            </w:tcBorders>
            <w:vAlign w:val="bottom"/>
          </w:tcPr>
          <w:p w14:paraId="53A74EFC" w14:textId="77777777" w:rsidR="00690D66" w:rsidRPr="00690D66" w:rsidRDefault="00690D66" w:rsidP="00690D66">
            <w:pPr>
              <w:jc w:val="center"/>
            </w:pPr>
            <w:r w:rsidRPr="00690D66">
              <w:t>4.2</w:t>
            </w:r>
          </w:p>
        </w:tc>
        <w:tc>
          <w:tcPr>
            <w:tcW w:w="0" w:type="auto"/>
            <w:tcBorders>
              <w:top w:val="single" w:sz="6" w:space="0" w:color="000000"/>
              <w:left w:val="single" w:sz="6" w:space="0" w:color="000000"/>
              <w:bottom w:val="single" w:sz="6" w:space="0" w:color="000000"/>
              <w:right w:val="single" w:sz="6" w:space="0" w:color="000000"/>
            </w:tcBorders>
            <w:vAlign w:val="bottom"/>
          </w:tcPr>
          <w:p w14:paraId="548DF0C3" w14:textId="77777777" w:rsidR="00690D66" w:rsidRPr="00690D66" w:rsidRDefault="00690D66" w:rsidP="00690D66">
            <w:pPr>
              <w:jc w:val="center"/>
            </w:pPr>
            <w:r w:rsidRPr="00690D66">
              <w:t>5.3</w:t>
            </w:r>
          </w:p>
        </w:tc>
        <w:tc>
          <w:tcPr>
            <w:tcW w:w="0" w:type="auto"/>
            <w:tcBorders>
              <w:top w:val="single" w:sz="6" w:space="0" w:color="000000"/>
              <w:left w:val="single" w:sz="6" w:space="0" w:color="000000"/>
              <w:bottom w:val="single" w:sz="6" w:space="0" w:color="000000"/>
              <w:right w:val="single" w:sz="6" w:space="0" w:color="000000"/>
            </w:tcBorders>
            <w:vAlign w:val="bottom"/>
          </w:tcPr>
          <w:p w14:paraId="645A5329" w14:textId="77777777" w:rsidR="00690D66" w:rsidRPr="00690D66" w:rsidRDefault="00690D66" w:rsidP="00690D66">
            <w:pPr>
              <w:jc w:val="center"/>
            </w:pPr>
            <w:r w:rsidRPr="00690D66">
              <w:t>10.8</w:t>
            </w:r>
          </w:p>
        </w:tc>
        <w:tc>
          <w:tcPr>
            <w:tcW w:w="0" w:type="auto"/>
            <w:tcBorders>
              <w:top w:val="single" w:sz="6" w:space="0" w:color="000000"/>
              <w:left w:val="single" w:sz="6" w:space="0" w:color="000000"/>
              <w:bottom w:val="single" w:sz="6" w:space="0" w:color="000000"/>
              <w:right w:val="single" w:sz="6" w:space="0" w:color="000000"/>
            </w:tcBorders>
            <w:vAlign w:val="bottom"/>
          </w:tcPr>
          <w:p w14:paraId="7835426E" w14:textId="77777777" w:rsidR="00690D66" w:rsidRPr="00690D66" w:rsidRDefault="00690D66" w:rsidP="00690D66">
            <w:pPr>
              <w:jc w:val="center"/>
            </w:pPr>
            <w:r w:rsidRPr="00690D66">
              <w:t>9.3</w:t>
            </w:r>
          </w:p>
        </w:tc>
        <w:tc>
          <w:tcPr>
            <w:tcW w:w="0" w:type="auto"/>
            <w:tcBorders>
              <w:top w:val="single" w:sz="6" w:space="0" w:color="000000"/>
              <w:left w:val="single" w:sz="6" w:space="0" w:color="000000"/>
              <w:bottom w:val="single" w:sz="6" w:space="0" w:color="000000"/>
              <w:right w:val="single" w:sz="6" w:space="0" w:color="000000"/>
            </w:tcBorders>
            <w:vAlign w:val="bottom"/>
          </w:tcPr>
          <w:p w14:paraId="2E425D70" w14:textId="77777777" w:rsidR="00690D66" w:rsidRPr="00690D66" w:rsidRDefault="00690D66" w:rsidP="00690D66">
            <w:pPr>
              <w:jc w:val="center"/>
            </w:pPr>
            <w:r w:rsidRPr="00690D66">
              <w:t>5.6</w:t>
            </w:r>
          </w:p>
        </w:tc>
        <w:tc>
          <w:tcPr>
            <w:tcW w:w="0" w:type="auto"/>
            <w:tcBorders>
              <w:top w:val="single" w:sz="6" w:space="0" w:color="000000"/>
              <w:left w:val="single" w:sz="6" w:space="0" w:color="000000"/>
              <w:bottom w:val="single" w:sz="6" w:space="0" w:color="000000"/>
              <w:right w:val="single" w:sz="6" w:space="0" w:color="000000"/>
            </w:tcBorders>
            <w:vAlign w:val="bottom"/>
          </w:tcPr>
          <w:p w14:paraId="430765AF" w14:textId="77777777" w:rsidR="00690D66" w:rsidRPr="00690D66" w:rsidRDefault="00690D66" w:rsidP="00690D66">
            <w:pPr>
              <w:jc w:val="center"/>
            </w:pPr>
            <w:r w:rsidRPr="00690D66">
              <w:t>3.2</w:t>
            </w:r>
          </w:p>
        </w:tc>
        <w:tc>
          <w:tcPr>
            <w:tcW w:w="0" w:type="auto"/>
            <w:tcBorders>
              <w:top w:val="single" w:sz="6" w:space="0" w:color="000000"/>
              <w:left w:val="single" w:sz="6" w:space="0" w:color="000000"/>
              <w:bottom w:val="single" w:sz="6" w:space="0" w:color="000000"/>
              <w:right w:val="single" w:sz="6" w:space="0" w:color="000000"/>
            </w:tcBorders>
            <w:vAlign w:val="bottom"/>
          </w:tcPr>
          <w:p w14:paraId="0DD4B5CE" w14:textId="77777777" w:rsidR="00690D66" w:rsidRPr="00690D66" w:rsidRDefault="00690D66" w:rsidP="00690D66">
            <w:pPr>
              <w:jc w:val="center"/>
            </w:pPr>
            <w:r w:rsidRPr="00690D66">
              <w:t>3.5</w:t>
            </w:r>
          </w:p>
        </w:tc>
        <w:tc>
          <w:tcPr>
            <w:tcW w:w="0" w:type="auto"/>
            <w:tcBorders>
              <w:top w:val="single" w:sz="6" w:space="0" w:color="000000"/>
              <w:left w:val="single" w:sz="6" w:space="0" w:color="000000"/>
              <w:bottom w:val="single" w:sz="6" w:space="0" w:color="000000"/>
              <w:right w:val="single" w:sz="6" w:space="0" w:color="000000"/>
            </w:tcBorders>
            <w:vAlign w:val="bottom"/>
          </w:tcPr>
          <w:p w14:paraId="344F6166" w14:textId="77777777" w:rsidR="00690D66" w:rsidRPr="00690D66" w:rsidRDefault="00690D66" w:rsidP="00690D66">
            <w:pPr>
              <w:jc w:val="center"/>
            </w:pPr>
            <w:r w:rsidRPr="00690D66">
              <w:t>5.6</w:t>
            </w:r>
          </w:p>
        </w:tc>
        <w:tc>
          <w:tcPr>
            <w:tcW w:w="0" w:type="auto"/>
            <w:tcBorders>
              <w:top w:val="single" w:sz="6" w:space="0" w:color="000000"/>
              <w:left w:val="single" w:sz="6" w:space="0" w:color="000000"/>
              <w:bottom w:val="single" w:sz="6" w:space="0" w:color="000000"/>
              <w:right w:val="single" w:sz="6" w:space="0" w:color="000000"/>
            </w:tcBorders>
            <w:vAlign w:val="bottom"/>
          </w:tcPr>
          <w:p w14:paraId="64585D6B" w14:textId="77777777" w:rsidR="00690D66" w:rsidRPr="00690D66" w:rsidRDefault="00690D66" w:rsidP="00690D66">
            <w:pPr>
              <w:jc w:val="center"/>
            </w:pPr>
            <w:r w:rsidRPr="00690D66">
              <w:t>5.7</w:t>
            </w:r>
          </w:p>
        </w:tc>
        <w:tc>
          <w:tcPr>
            <w:tcW w:w="0" w:type="auto"/>
            <w:tcBorders>
              <w:top w:val="single" w:sz="6" w:space="0" w:color="000000"/>
              <w:left w:val="single" w:sz="6" w:space="0" w:color="000000"/>
              <w:bottom w:val="single" w:sz="6" w:space="0" w:color="000000"/>
              <w:right w:val="single" w:sz="6" w:space="0" w:color="000000"/>
            </w:tcBorders>
            <w:vAlign w:val="bottom"/>
          </w:tcPr>
          <w:p w14:paraId="2D04CA22" w14:textId="77777777" w:rsidR="00690D66" w:rsidRPr="00690D66" w:rsidRDefault="00690D66" w:rsidP="00690D66">
            <w:pPr>
              <w:jc w:val="center"/>
            </w:pPr>
            <w:r w:rsidRPr="00690D66">
              <w:t>3.8</w:t>
            </w:r>
          </w:p>
        </w:tc>
        <w:tc>
          <w:tcPr>
            <w:tcW w:w="0" w:type="auto"/>
            <w:tcBorders>
              <w:top w:val="single" w:sz="6" w:space="0" w:color="000000"/>
              <w:left w:val="single" w:sz="6" w:space="0" w:color="000000"/>
              <w:bottom w:val="single" w:sz="6" w:space="0" w:color="000000"/>
            </w:tcBorders>
            <w:vAlign w:val="bottom"/>
          </w:tcPr>
          <w:p w14:paraId="2BCB4249" w14:textId="77777777" w:rsidR="00690D66" w:rsidRPr="00690D66" w:rsidRDefault="00690D66" w:rsidP="00690D66">
            <w:pPr>
              <w:jc w:val="center"/>
            </w:pPr>
            <w:r w:rsidRPr="00690D66">
              <w:t>2.2</w:t>
            </w:r>
          </w:p>
        </w:tc>
      </w:tr>
      <w:tr w:rsidR="00690D66" w:rsidRPr="00690D66" w14:paraId="6C9E3F94" w14:textId="77777777" w:rsidTr="00454C5A">
        <w:tc>
          <w:tcPr>
            <w:tcW w:w="824" w:type="pct"/>
            <w:tcBorders>
              <w:top w:val="single" w:sz="6" w:space="0" w:color="000000"/>
              <w:bottom w:val="single" w:sz="6" w:space="0" w:color="000000"/>
              <w:right w:val="single" w:sz="6" w:space="0" w:color="000000"/>
            </w:tcBorders>
            <w:vAlign w:val="center"/>
          </w:tcPr>
          <w:p w14:paraId="2773F87B" w14:textId="77777777" w:rsidR="00690D66" w:rsidRPr="00690D66" w:rsidRDefault="00690D66" w:rsidP="00690D66">
            <w:pPr>
              <w:jc w:val="center"/>
              <w:rPr>
                <w:kern w:val="0"/>
              </w:rPr>
            </w:pPr>
            <w:r w:rsidRPr="00690D66">
              <w:rPr>
                <w:kern w:val="0"/>
              </w:rPr>
              <w:t>07</w:t>
            </w:r>
          </w:p>
        </w:tc>
        <w:tc>
          <w:tcPr>
            <w:tcW w:w="0" w:type="auto"/>
            <w:tcBorders>
              <w:top w:val="single" w:sz="6" w:space="0" w:color="000000"/>
              <w:left w:val="single" w:sz="6" w:space="0" w:color="000000"/>
              <w:bottom w:val="single" w:sz="6" w:space="0" w:color="000000"/>
              <w:right w:val="single" w:sz="6" w:space="0" w:color="000000"/>
            </w:tcBorders>
            <w:vAlign w:val="bottom"/>
          </w:tcPr>
          <w:p w14:paraId="27104819" w14:textId="77777777" w:rsidR="00690D66" w:rsidRPr="00690D66" w:rsidRDefault="00690D66" w:rsidP="00690D66">
            <w:pPr>
              <w:jc w:val="center"/>
            </w:pPr>
            <w:r w:rsidRPr="00690D66">
              <w:t>8.2</w:t>
            </w:r>
          </w:p>
        </w:tc>
        <w:tc>
          <w:tcPr>
            <w:tcW w:w="0" w:type="auto"/>
            <w:tcBorders>
              <w:top w:val="single" w:sz="6" w:space="0" w:color="000000"/>
              <w:left w:val="single" w:sz="6" w:space="0" w:color="000000"/>
              <w:bottom w:val="single" w:sz="6" w:space="0" w:color="000000"/>
              <w:right w:val="single" w:sz="6" w:space="0" w:color="000000"/>
            </w:tcBorders>
            <w:vAlign w:val="bottom"/>
          </w:tcPr>
          <w:p w14:paraId="36AAB083" w14:textId="77777777" w:rsidR="00690D66" w:rsidRPr="00690D66" w:rsidRDefault="00690D66" w:rsidP="00690D66">
            <w:pPr>
              <w:jc w:val="center"/>
            </w:pPr>
            <w:r w:rsidRPr="00690D66">
              <w:t>6.6</w:t>
            </w:r>
          </w:p>
        </w:tc>
        <w:tc>
          <w:tcPr>
            <w:tcW w:w="0" w:type="auto"/>
            <w:tcBorders>
              <w:top w:val="single" w:sz="6" w:space="0" w:color="000000"/>
              <w:left w:val="single" w:sz="6" w:space="0" w:color="000000"/>
              <w:bottom w:val="single" w:sz="6" w:space="0" w:color="000000"/>
              <w:right w:val="single" w:sz="6" w:space="0" w:color="000000"/>
            </w:tcBorders>
            <w:vAlign w:val="bottom"/>
          </w:tcPr>
          <w:p w14:paraId="4D426BBA" w14:textId="77777777" w:rsidR="00690D66" w:rsidRPr="00690D66" w:rsidRDefault="00690D66" w:rsidP="00690D66">
            <w:pPr>
              <w:jc w:val="center"/>
            </w:pPr>
            <w:r w:rsidRPr="00690D66">
              <w:t>7.1</w:t>
            </w:r>
          </w:p>
        </w:tc>
        <w:tc>
          <w:tcPr>
            <w:tcW w:w="0" w:type="auto"/>
            <w:tcBorders>
              <w:top w:val="single" w:sz="6" w:space="0" w:color="000000"/>
              <w:left w:val="single" w:sz="6" w:space="0" w:color="000000"/>
              <w:bottom w:val="single" w:sz="6" w:space="0" w:color="000000"/>
              <w:right w:val="single" w:sz="6" w:space="0" w:color="000000"/>
            </w:tcBorders>
            <w:vAlign w:val="bottom"/>
          </w:tcPr>
          <w:p w14:paraId="082BAC1F" w14:textId="77777777" w:rsidR="00690D66" w:rsidRPr="00690D66" w:rsidRDefault="00690D66" w:rsidP="00690D66">
            <w:pPr>
              <w:jc w:val="center"/>
            </w:pPr>
            <w:r w:rsidRPr="00690D66">
              <w:t>5.7</w:t>
            </w:r>
          </w:p>
        </w:tc>
        <w:tc>
          <w:tcPr>
            <w:tcW w:w="0" w:type="auto"/>
            <w:tcBorders>
              <w:top w:val="single" w:sz="6" w:space="0" w:color="000000"/>
              <w:left w:val="single" w:sz="6" w:space="0" w:color="000000"/>
              <w:bottom w:val="single" w:sz="6" w:space="0" w:color="000000"/>
              <w:right w:val="single" w:sz="6" w:space="0" w:color="000000"/>
            </w:tcBorders>
            <w:vAlign w:val="bottom"/>
          </w:tcPr>
          <w:p w14:paraId="0E76C3CF" w14:textId="77777777" w:rsidR="00690D66" w:rsidRPr="00690D66" w:rsidRDefault="00690D66" w:rsidP="00690D66">
            <w:pPr>
              <w:jc w:val="center"/>
            </w:pPr>
            <w:r w:rsidRPr="00690D66">
              <w:t>12.4</w:t>
            </w:r>
          </w:p>
        </w:tc>
        <w:tc>
          <w:tcPr>
            <w:tcW w:w="0" w:type="auto"/>
            <w:tcBorders>
              <w:top w:val="single" w:sz="6" w:space="0" w:color="000000"/>
              <w:left w:val="single" w:sz="6" w:space="0" w:color="000000"/>
              <w:bottom w:val="single" w:sz="6" w:space="0" w:color="000000"/>
              <w:right w:val="single" w:sz="6" w:space="0" w:color="000000"/>
            </w:tcBorders>
            <w:vAlign w:val="bottom"/>
          </w:tcPr>
          <w:p w14:paraId="7D42858E" w14:textId="77777777" w:rsidR="00690D66" w:rsidRPr="00690D66" w:rsidRDefault="00690D66" w:rsidP="00690D66">
            <w:pPr>
              <w:jc w:val="center"/>
            </w:pPr>
            <w:r w:rsidRPr="00690D66">
              <w:t>6.6</w:t>
            </w:r>
          </w:p>
        </w:tc>
        <w:tc>
          <w:tcPr>
            <w:tcW w:w="0" w:type="auto"/>
            <w:tcBorders>
              <w:top w:val="single" w:sz="6" w:space="0" w:color="000000"/>
              <w:left w:val="single" w:sz="6" w:space="0" w:color="000000"/>
              <w:bottom w:val="single" w:sz="6" w:space="0" w:color="000000"/>
              <w:right w:val="single" w:sz="6" w:space="0" w:color="000000"/>
            </w:tcBorders>
            <w:vAlign w:val="bottom"/>
          </w:tcPr>
          <w:p w14:paraId="7C0AA2FA" w14:textId="77777777" w:rsidR="00690D66" w:rsidRPr="00690D66" w:rsidRDefault="00690D66" w:rsidP="00690D66">
            <w:pPr>
              <w:jc w:val="center"/>
            </w:pPr>
            <w:r w:rsidRPr="00690D66">
              <w:t>5.7</w:t>
            </w:r>
          </w:p>
        </w:tc>
        <w:tc>
          <w:tcPr>
            <w:tcW w:w="0" w:type="auto"/>
            <w:tcBorders>
              <w:top w:val="single" w:sz="6" w:space="0" w:color="000000"/>
              <w:left w:val="single" w:sz="6" w:space="0" w:color="000000"/>
              <w:bottom w:val="single" w:sz="6" w:space="0" w:color="000000"/>
              <w:right w:val="single" w:sz="6" w:space="0" w:color="000000"/>
            </w:tcBorders>
            <w:vAlign w:val="bottom"/>
          </w:tcPr>
          <w:p w14:paraId="3F1B3D8B" w14:textId="77777777" w:rsidR="00690D66" w:rsidRPr="00690D66" w:rsidRDefault="00690D66" w:rsidP="00690D66">
            <w:pPr>
              <w:jc w:val="center"/>
            </w:pPr>
            <w:r w:rsidRPr="00690D66">
              <w:t>4.3</w:t>
            </w:r>
          </w:p>
        </w:tc>
        <w:tc>
          <w:tcPr>
            <w:tcW w:w="0" w:type="auto"/>
            <w:tcBorders>
              <w:top w:val="single" w:sz="6" w:space="0" w:color="000000"/>
              <w:left w:val="single" w:sz="6" w:space="0" w:color="000000"/>
              <w:bottom w:val="single" w:sz="6" w:space="0" w:color="000000"/>
              <w:right w:val="single" w:sz="6" w:space="0" w:color="000000"/>
            </w:tcBorders>
            <w:vAlign w:val="bottom"/>
          </w:tcPr>
          <w:p w14:paraId="1314C68E" w14:textId="77777777" w:rsidR="00690D66" w:rsidRPr="00690D66" w:rsidRDefault="00690D66" w:rsidP="00690D66">
            <w:pPr>
              <w:jc w:val="center"/>
            </w:pPr>
            <w:r w:rsidRPr="00690D66">
              <w:t>10.2</w:t>
            </w:r>
          </w:p>
        </w:tc>
        <w:tc>
          <w:tcPr>
            <w:tcW w:w="0" w:type="auto"/>
            <w:tcBorders>
              <w:top w:val="single" w:sz="6" w:space="0" w:color="000000"/>
              <w:left w:val="single" w:sz="6" w:space="0" w:color="000000"/>
              <w:bottom w:val="single" w:sz="6" w:space="0" w:color="000000"/>
              <w:right w:val="single" w:sz="6" w:space="0" w:color="000000"/>
            </w:tcBorders>
            <w:vAlign w:val="bottom"/>
          </w:tcPr>
          <w:p w14:paraId="1F11ECE3" w14:textId="77777777" w:rsidR="00690D66" w:rsidRPr="00690D66" w:rsidRDefault="00690D66" w:rsidP="00690D66">
            <w:pPr>
              <w:jc w:val="center"/>
            </w:pPr>
            <w:r w:rsidRPr="00690D66">
              <w:t>8.6</w:t>
            </w:r>
          </w:p>
        </w:tc>
        <w:tc>
          <w:tcPr>
            <w:tcW w:w="0" w:type="auto"/>
            <w:tcBorders>
              <w:top w:val="single" w:sz="6" w:space="0" w:color="000000"/>
              <w:left w:val="single" w:sz="6" w:space="0" w:color="000000"/>
              <w:bottom w:val="single" w:sz="6" w:space="0" w:color="000000"/>
              <w:right w:val="single" w:sz="6" w:space="0" w:color="000000"/>
            </w:tcBorders>
            <w:vAlign w:val="bottom"/>
          </w:tcPr>
          <w:p w14:paraId="0DB975E4" w14:textId="77777777" w:rsidR="00690D66" w:rsidRPr="00690D66" w:rsidRDefault="00690D66" w:rsidP="00690D66">
            <w:pPr>
              <w:jc w:val="center"/>
            </w:pPr>
            <w:r w:rsidRPr="00690D66">
              <w:t>4.6</w:t>
            </w:r>
          </w:p>
        </w:tc>
        <w:tc>
          <w:tcPr>
            <w:tcW w:w="0" w:type="auto"/>
            <w:tcBorders>
              <w:top w:val="single" w:sz="6" w:space="0" w:color="000000"/>
              <w:left w:val="single" w:sz="6" w:space="0" w:color="000000"/>
              <w:bottom w:val="single" w:sz="6" w:space="0" w:color="000000"/>
              <w:right w:val="single" w:sz="6" w:space="0" w:color="000000"/>
            </w:tcBorders>
            <w:vAlign w:val="bottom"/>
          </w:tcPr>
          <w:p w14:paraId="1EEC72DD" w14:textId="77777777" w:rsidR="00690D66" w:rsidRPr="00690D66" w:rsidRDefault="00690D66" w:rsidP="00690D66">
            <w:pPr>
              <w:jc w:val="center"/>
            </w:pPr>
            <w:r w:rsidRPr="00690D66">
              <w:t>3.9</w:t>
            </w:r>
          </w:p>
        </w:tc>
        <w:tc>
          <w:tcPr>
            <w:tcW w:w="0" w:type="auto"/>
            <w:tcBorders>
              <w:top w:val="single" w:sz="6" w:space="0" w:color="000000"/>
              <w:left w:val="single" w:sz="6" w:space="0" w:color="000000"/>
              <w:bottom w:val="single" w:sz="6" w:space="0" w:color="000000"/>
              <w:right w:val="single" w:sz="6" w:space="0" w:color="000000"/>
            </w:tcBorders>
            <w:vAlign w:val="bottom"/>
          </w:tcPr>
          <w:p w14:paraId="6FFF4340" w14:textId="77777777" w:rsidR="00690D66" w:rsidRPr="00690D66" w:rsidRDefault="00690D66" w:rsidP="00690D66">
            <w:pPr>
              <w:jc w:val="center"/>
            </w:pPr>
            <w:r w:rsidRPr="00690D66">
              <w:t>5.0</w:t>
            </w:r>
          </w:p>
        </w:tc>
        <w:tc>
          <w:tcPr>
            <w:tcW w:w="0" w:type="auto"/>
            <w:tcBorders>
              <w:top w:val="single" w:sz="6" w:space="0" w:color="000000"/>
              <w:left w:val="single" w:sz="6" w:space="0" w:color="000000"/>
              <w:bottom w:val="single" w:sz="6" w:space="0" w:color="000000"/>
              <w:right w:val="single" w:sz="6" w:space="0" w:color="000000"/>
            </w:tcBorders>
            <w:vAlign w:val="bottom"/>
          </w:tcPr>
          <w:p w14:paraId="2EC3EC95" w14:textId="77777777" w:rsidR="00690D66" w:rsidRPr="00690D66" w:rsidRDefault="00690D66" w:rsidP="00690D66">
            <w:pPr>
              <w:jc w:val="center"/>
            </w:pPr>
            <w:r w:rsidRPr="00690D66">
              <w:t>3.6</w:t>
            </w:r>
          </w:p>
        </w:tc>
        <w:tc>
          <w:tcPr>
            <w:tcW w:w="0" w:type="auto"/>
            <w:tcBorders>
              <w:top w:val="single" w:sz="6" w:space="0" w:color="000000"/>
              <w:left w:val="single" w:sz="6" w:space="0" w:color="000000"/>
              <w:bottom w:val="single" w:sz="6" w:space="0" w:color="000000"/>
              <w:right w:val="single" w:sz="6" w:space="0" w:color="000000"/>
            </w:tcBorders>
            <w:vAlign w:val="bottom"/>
          </w:tcPr>
          <w:p w14:paraId="2D57CD32" w14:textId="77777777" w:rsidR="00690D66" w:rsidRPr="00690D66" w:rsidRDefault="00690D66" w:rsidP="00690D66">
            <w:pPr>
              <w:jc w:val="center"/>
            </w:pPr>
            <w:r w:rsidRPr="00690D66">
              <w:t>3.9</w:t>
            </w:r>
          </w:p>
        </w:tc>
        <w:tc>
          <w:tcPr>
            <w:tcW w:w="0" w:type="auto"/>
            <w:tcBorders>
              <w:top w:val="single" w:sz="6" w:space="0" w:color="000000"/>
              <w:left w:val="single" w:sz="6" w:space="0" w:color="000000"/>
              <w:bottom w:val="single" w:sz="6" w:space="0" w:color="000000"/>
              <w:right w:val="single" w:sz="6" w:space="0" w:color="000000"/>
            </w:tcBorders>
            <w:vAlign w:val="bottom"/>
          </w:tcPr>
          <w:p w14:paraId="1C67D26E" w14:textId="77777777" w:rsidR="00690D66" w:rsidRPr="00690D66" w:rsidRDefault="00690D66" w:rsidP="00690D66">
            <w:pPr>
              <w:jc w:val="center"/>
            </w:pPr>
            <w:r w:rsidRPr="00690D66">
              <w:t>1.9</w:t>
            </w:r>
          </w:p>
        </w:tc>
        <w:tc>
          <w:tcPr>
            <w:tcW w:w="0" w:type="auto"/>
            <w:tcBorders>
              <w:top w:val="single" w:sz="6" w:space="0" w:color="000000"/>
              <w:left w:val="single" w:sz="6" w:space="0" w:color="000000"/>
              <w:bottom w:val="single" w:sz="6" w:space="0" w:color="000000"/>
            </w:tcBorders>
            <w:vAlign w:val="bottom"/>
          </w:tcPr>
          <w:p w14:paraId="56008294" w14:textId="77777777" w:rsidR="00690D66" w:rsidRPr="00690D66" w:rsidRDefault="00690D66" w:rsidP="00690D66">
            <w:pPr>
              <w:jc w:val="center"/>
            </w:pPr>
            <w:r w:rsidRPr="00690D66">
              <w:t>1.9</w:t>
            </w:r>
          </w:p>
        </w:tc>
      </w:tr>
      <w:tr w:rsidR="00690D66" w:rsidRPr="00690D66" w14:paraId="2903CAC2" w14:textId="77777777" w:rsidTr="00454C5A">
        <w:tc>
          <w:tcPr>
            <w:tcW w:w="824" w:type="pct"/>
            <w:tcBorders>
              <w:top w:val="single" w:sz="6" w:space="0" w:color="000000"/>
              <w:bottom w:val="single" w:sz="6" w:space="0" w:color="000000"/>
              <w:right w:val="single" w:sz="6" w:space="0" w:color="000000"/>
            </w:tcBorders>
            <w:vAlign w:val="center"/>
          </w:tcPr>
          <w:p w14:paraId="0DFA0C7A" w14:textId="77777777" w:rsidR="00690D66" w:rsidRPr="00690D66" w:rsidRDefault="00690D66" w:rsidP="00690D66">
            <w:pPr>
              <w:jc w:val="center"/>
              <w:rPr>
                <w:kern w:val="0"/>
              </w:rPr>
            </w:pPr>
            <w:r w:rsidRPr="00690D66">
              <w:rPr>
                <w:kern w:val="0"/>
              </w:rPr>
              <w:t>08</w:t>
            </w:r>
          </w:p>
        </w:tc>
        <w:tc>
          <w:tcPr>
            <w:tcW w:w="0" w:type="auto"/>
            <w:tcBorders>
              <w:top w:val="single" w:sz="6" w:space="0" w:color="000000"/>
              <w:left w:val="single" w:sz="6" w:space="0" w:color="000000"/>
              <w:bottom w:val="single" w:sz="6" w:space="0" w:color="000000"/>
              <w:right w:val="single" w:sz="6" w:space="0" w:color="000000"/>
            </w:tcBorders>
            <w:vAlign w:val="bottom"/>
          </w:tcPr>
          <w:p w14:paraId="4CBD539A" w14:textId="77777777" w:rsidR="00690D66" w:rsidRPr="00690D66" w:rsidRDefault="00690D66" w:rsidP="00690D66">
            <w:pPr>
              <w:jc w:val="center"/>
            </w:pPr>
            <w:r w:rsidRPr="00690D66">
              <w:t>8.1</w:t>
            </w:r>
          </w:p>
        </w:tc>
        <w:tc>
          <w:tcPr>
            <w:tcW w:w="0" w:type="auto"/>
            <w:tcBorders>
              <w:top w:val="single" w:sz="6" w:space="0" w:color="000000"/>
              <w:left w:val="single" w:sz="6" w:space="0" w:color="000000"/>
              <w:bottom w:val="single" w:sz="6" w:space="0" w:color="000000"/>
              <w:right w:val="single" w:sz="6" w:space="0" w:color="000000"/>
            </w:tcBorders>
            <w:vAlign w:val="bottom"/>
          </w:tcPr>
          <w:p w14:paraId="163D0607" w14:textId="77777777" w:rsidR="00690D66" w:rsidRPr="00690D66" w:rsidRDefault="00690D66" w:rsidP="00690D66">
            <w:pPr>
              <w:jc w:val="center"/>
            </w:pPr>
            <w:r w:rsidRPr="00690D66">
              <w:t>7.5</w:t>
            </w:r>
          </w:p>
        </w:tc>
        <w:tc>
          <w:tcPr>
            <w:tcW w:w="0" w:type="auto"/>
            <w:tcBorders>
              <w:top w:val="single" w:sz="6" w:space="0" w:color="000000"/>
              <w:left w:val="single" w:sz="6" w:space="0" w:color="000000"/>
              <w:bottom w:val="single" w:sz="6" w:space="0" w:color="000000"/>
              <w:right w:val="single" w:sz="6" w:space="0" w:color="000000"/>
            </w:tcBorders>
            <w:vAlign w:val="bottom"/>
          </w:tcPr>
          <w:p w14:paraId="3E1CEE2B" w14:textId="77777777" w:rsidR="00690D66" w:rsidRPr="00690D66" w:rsidRDefault="00690D66" w:rsidP="00690D66">
            <w:pPr>
              <w:jc w:val="center"/>
            </w:pPr>
            <w:r w:rsidRPr="00690D66">
              <w:t>8.2</w:t>
            </w:r>
          </w:p>
        </w:tc>
        <w:tc>
          <w:tcPr>
            <w:tcW w:w="0" w:type="auto"/>
            <w:tcBorders>
              <w:top w:val="single" w:sz="6" w:space="0" w:color="000000"/>
              <w:left w:val="single" w:sz="6" w:space="0" w:color="000000"/>
              <w:bottom w:val="single" w:sz="6" w:space="0" w:color="000000"/>
              <w:right w:val="single" w:sz="6" w:space="0" w:color="000000"/>
            </w:tcBorders>
            <w:vAlign w:val="bottom"/>
          </w:tcPr>
          <w:p w14:paraId="76E9C73A" w14:textId="77777777" w:rsidR="00690D66" w:rsidRPr="00690D66" w:rsidRDefault="00690D66" w:rsidP="00690D66">
            <w:pPr>
              <w:jc w:val="center"/>
            </w:pPr>
            <w:r w:rsidRPr="00690D66">
              <w:t>4.2</w:t>
            </w:r>
          </w:p>
        </w:tc>
        <w:tc>
          <w:tcPr>
            <w:tcW w:w="0" w:type="auto"/>
            <w:tcBorders>
              <w:top w:val="single" w:sz="6" w:space="0" w:color="000000"/>
              <w:left w:val="single" w:sz="6" w:space="0" w:color="000000"/>
              <w:bottom w:val="single" w:sz="6" w:space="0" w:color="000000"/>
              <w:right w:val="single" w:sz="6" w:space="0" w:color="000000"/>
            </w:tcBorders>
            <w:vAlign w:val="bottom"/>
          </w:tcPr>
          <w:p w14:paraId="018CF396" w14:textId="77777777" w:rsidR="00690D66" w:rsidRPr="00690D66" w:rsidRDefault="00690D66" w:rsidP="00690D66">
            <w:pPr>
              <w:jc w:val="center"/>
            </w:pPr>
            <w:r w:rsidRPr="00690D66">
              <w:t>6.7</w:t>
            </w:r>
          </w:p>
        </w:tc>
        <w:tc>
          <w:tcPr>
            <w:tcW w:w="0" w:type="auto"/>
            <w:tcBorders>
              <w:top w:val="single" w:sz="6" w:space="0" w:color="000000"/>
              <w:left w:val="single" w:sz="6" w:space="0" w:color="000000"/>
              <w:bottom w:val="single" w:sz="6" w:space="0" w:color="000000"/>
              <w:right w:val="single" w:sz="6" w:space="0" w:color="000000"/>
            </w:tcBorders>
            <w:vAlign w:val="bottom"/>
          </w:tcPr>
          <w:p w14:paraId="17696A2E" w14:textId="77777777" w:rsidR="00690D66" w:rsidRPr="00690D66" w:rsidRDefault="00690D66" w:rsidP="00690D66">
            <w:pPr>
              <w:jc w:val="center"/>
            </w:pPr>
            <w:r w:rsidRPr="00690D66">
              <w:t>2.0</w:t>
            </w:r>
          </w:p>
        </w:tc>
        <w:tc>
          <w:tcPr>
            <w:tcW w:w="0" w:type="auto"/>
            <w:tcBorders>
              <w:top w:val="single" w:sz="6" w:space="0" w:color="000000"/>
              <w:left w:val="single" w:sz="6" w:space="0" w:color="000000"/>
              <w:bottom w:val="single" w:sz="6" w:space="0" w:color="000000"/>
              <w:right w:val="single" w:sz="6" w:space="0" w:color="000000"/>
            </w:tcBorders>
            <w:vAlign w:val="bottom"/>
          </w:tcPr>
          <w:p w14:paraId="421B3264" w14:textId="77777777" w:rsidR="00690D66" w:rsidRPr="00690D66" w:rsidRDefault="00690D66" w:rsidP="00690D66">
            <w:pPr>
              <w:jc w:val="center"/>
            </w:pPr>
            <w:r w:rsidRPr="00690D66">
              <w:t>2.4</w:t>
            </w:r>
          </w:p>
        </w:tc>
        <w:tc>
          <w:tcPr>
            <w:tcW w:w="0" w:type="auto"/>
            <w:tcBorders>
              <w:top w:val="single" w:sz="6" w:space="0" w:color="000000"/>
              <w:left w:val="single" w:sz="6" w:space="0" w:color="000000"/>
              <w:bottom w:val="single" w:sz="6" w:space="0" w:color="000000"/>
              <w:right w:val="single" w:sz="6" w:space="0" w:color="000000"/>
            </w:tcBorders>
            <w:vAlign w:val="bottom"/>
          </w:tcPr>
          <w:p w14:paraId="2868F6D7" w14:textId="77777777" w:rsidR="00690D66" w:rsidRPr="00690D66" w:rsidRDefault="00690D66" w:rsidP="00690D66">
            <w:pPr>
              <w:jc w:val="center"/>
            </w:pPr>
            <w:r w:rsidRPr="00690D66">
              <w:t>4.0</w:t>
            </w:r>
          </w:p>
        </w:tc>
        <w:tc>
          <w:tcPr>
            <w:tcW w:w="0" w:type="auto"/>
            <w:tcBorders>
              <w:top w:val="single" w:sz="6" w:space="0" w:color="000000"/>
              <w:left w:val="single" w:sz="6" w:space="0" w:color="000000"/>
              <w:bottom w:val="single" w:sz="6" w:space="0" w:color="000000"/>
              <w:right w:val="single" w:sz="6" w:space="0" w:color="000000"/>
            </w:tcBorders>
            <w:vAlign w:val="bottom"/>
          </w:tcPr>
          <w:p w14:paraId="5DD2636E" w14:textId="77777777" w:rsidR="00690D66" w:rsidRPr="00690D66" w:rsidRDefault="00690D66" w:rsidP="00690D66">
            <w:pPr>
              <w:jc w:val="center"/>
            </w:pPr>
            <w:r w:rsidRPr="00690D66">
              <w:t>12.8</w:t>
            </w:r>
          </w:p>
        </w:tc>
        <w:tc>
          <w:tcPr>
            <w:tcW w:w="0" w:type="auto"/>
            <w:tcBorders>
              <w:top w:val="single" w:sz="6" w:space="0" w:color="000000"/>
              <w:left w:val="single" w:sz="6" w:space="0" w:color="000000"/>
              <w:bottom w:val="single" w:sz="6" w:space="0" w:color="000000"/>
              <w:right w:val="single" w:sz="6" w:space="0" w:color="000000"/>
            </w:tcBorders>
            <w:vAlign w:val="bottom"/>
          </w:tcPr>
          <w:p w14:paraId="6B3D5E2E" w14:textId="77777777" w:rsidR="00690D66" w:rsidRPr="00690D66" w:rsidRDefault="00690D66" w:rsidP="00690D66">
            <w:pPr>
              <w:jc w:val="center"/>
            </w:pPr>
            <w:r w:rsidRPr="00690D66">
              <w:t>8.2</w:t>
            </w:r>
          </w:p>
        </w:tc>
        <w:tc>
          <w:tcPr>
            <w:tcW w:w="0" w:type="auto"/>
            <w:tcBorders>
              <w:top w:val="single" w:sz="6" w:space="0" w:color="000000"/>
              <w:left w:val="single" w:sz="6" w:space="0" w:color="000000"/>
              <w:bottom w:val="single" w:sz="6" w:space="0" w:color="000000"/>
              <w:right w:val="single" w:sz="6" w:space="0" w:color="000000"/>
            </w:tcBorders>
            <w:vAlign w:val="bottom"/>
          </w:tcPr>
          <w:p w14:paraId="2C530824" w14:textId="77777777" w:rsidR="00690D66" w:rsidRPr="00690D66" w:rsidRDefault="00690D66" w:rsidP="00690D66">
            <w:pPr>
              <w:jc w:val="center"/>
            </w:pPr>
            <w:r w:rsidRPr="00690D66">
              <w:t>8.2</w:t>
            </w:r>
          </w:p>
        </w:tc>
        <w:tc>
          <w:tcPr>
            <w:tcW w:w="0" w:type="auto"/>
            <w:tcBorders>
              <w:top w:val="single" w:sz="6" w:space="0" w:color="000000"/>
              <w:left w:val="single" w:sz="6" w:space="0" w:color="000000"/>
              <w:bottom w:val="single" w:sz="6" w:space="0" w:color="000000"/>
              <w:right w:val="single" w:sz="6" w:space="0" w:color="000000"/>
            </w:tcBorders>
            <w:vAlign w:val="bottom"/>
          </w:tcPr>
          <w:p w14:paraId="086C299E" w14:textId="77777777" w:rsidR="00690D66" w:rsidRPr="00690D66" w:rsidRDefault="00690D66" w:rsidP="00690D66">
            <w:pPr>
              <w:jc w:val="center"/>
            </w:pPr>
            <w:r w:rsidRPr="00690D66">
              <w:t>6.1</w:t>
            </w:r>
          </w:p>
        </w:tc>
        <w:tc>
          <w:tcPr>
            <w:tcW w:w="0" w:type="auto"/>
            <w:tcBorders>
              <w:top w:val="single" w:sz="6" w:space="0" w:color="000000"/>
              <w:left w:val="single" w:sz="6" w:space="0" w:color="000000"/>
              <w:bottom w:val="single" w:sz="6" w:space="0" w:color="000000"/>
              <w:right w:val="single" w:sz="6" w:space="0" w:color="000000"/>
            </w:tcBorders>
            <w:vAlign w:val="bottom"/>
          </w:tcPr>
          <w:p w14:paraId="38855263" w14:textId="77777777" w:rsidR="00690D66" w:rsidRPr="00690D66" w:rsidRDefault="00690D66" w:rsidP="00690D66">
            <w:pPr>
              <w:jc w:val="center"/>
            </w:pPr>
            <w:r w:rsidRPr="00690D66">
              <w:t>3.6</w:t>
            </w:r>
          </w:p>
        </w:tc>
        <w:tc>
          <w:tcPr>
            <w:tcW w:w="0" w:type="auto"/>
            <w:tcBorders>
              <w:top w:val="single" w:sz="6" w:space="0" w:color="000000"/>
              <w:left w:val="single" w:sz="6" w:space="0" w:color="000000"/>
              <w:bottom w:val="single" w:sz="6" w:space="0" w:color="000000"/>
              <w:right w:val="single" w:sz="6" w:space="0" w:color="000000"/>
            </w:tcBorders>
            <w:vAlign w:val="bottom"/>
          </w:tcPr>
          <w:p w14:paraId="6DB67E72" w14:textId="77777777" w:rsidR="00690D66" w:rsidRPr="00690D66" w:rsidRDefault="00690D66" w:rsidP="00690D66">
            <w:pPr>
              <w:jc w:val="center"/>
            </w:pPr>
            <w:r w:rsidRPr="00690D66">
              <w:t>4.3</w:t>
            </w:r>
          </w:p>
        </w:tc>
        <w:tc>
          <w:tcPr>
            <w:tcW w:w="0" w:type="auto"/>
            <w:tcBorders>
              <w:top w:val="single" w:sz="6" w:space="0" w:color="000000"/>
              <w:left w:val="single" w:sz="6" w:space="0" w:color="000000"/>
              <w:bottom w:val="single" w:sz="6" w:space="0" w:color="000000"/>
              <w:right w:val="single" w:sz="6" w:space="0" w:color="000000"/>
            </w:tcBorders>
            <w:vAlign w:val="bottom"/>
          </w:tcPr>
          <w:p w14:paraId="0D1DDD7E" w14:textId="77777777" w:rsidR="00690D66" w:rsidRPr="00690D66" w:rsidRDefault="00690D66" w:rsidP="00690D66">
            <w:pPr>
              <w:jc w:val="center"/>
            </w:pPr>
            <w:r w:rsidRPr="00690D66">
              <w:t>7.8</w:t>
            </w:r>
          </w:p>
        </w:tc>
        <w:tc>
          <w:tcPr>
            <w:tcW w:w="0" w:type="auto"/>
            <w:tcBorders>
              <w:top w:val="single" w:sz="6" w:space="0" w:color="000000"/>
              <w:left w:val="single" w:sz="6" w:space="0" w:color="000000"/>
              <w:bottom w:val="single" w:sz="6" w:space="0" w:color="000000"/>
              <w:right w:val="single" w:sz="6" w:space="0" w:color="000000"/>
            </w:tcBorders>
            <w:vAlign w:val="bottom"/>
          </w:tcPr>
          <w:p w14:paraId="4DC6EAD6" w14:textId="77777777" w:rsidR="00690D66" w:rsidRPr="00690D66" w:rsidRDefault="00690D66" w:rsidP="00690D66">
            <w:pPr>
              <w:jc w:val="center"/>
            </w:pPr>
            <w:r w:rsidRPr="00690D66">
              <w:t>4.4</w:t>
            </w:r>
          </w:p>
        </w:tc>
        <w:tc>
          <w:tcPr>
            <w:tcW w:w="0" w:type="auto"/>
            <w:tcBorders>
              <w:top w:val="single" w:sz="6" w:space="0" w:color="000000"/>
              <w:left w:val="single" w:sz="6" w:space="0" w:color="000000"/>
              <w:bottom w:val="single" w:sz="6" w:space="0" w:color="000000"/>
            </w:tcBorders>
            <w:vAlign w:val="bottom"/>
          </w:tcPr>
          <w:p w14:paraId="632BF931" w14:textId="77777777" w:rsidR="00690D66" w:rsidRPr="00690D66" w:rsidRDefault="00690D66" w:rsidP="00690D66">
            <w:pPr>
              <w:jc w:val="center"/>
            </w:pPr>
            <w:r w:rsidRPr="00690D66">
              <w:t>1.5</w:t>
            </w:r>
          </w:p>
        </w:tc>
      </w:tr>
      <w:tr w:rsidR="00690D66" w:rsidRPr="00690D66" w14:paraId="51201C6C" w14:textId="77777777" w:rsidTr="00454C5A">
        <w:tc>
          <w:tcPr>
            <w:tcW w:w="824" w:type="pct"/>
            <w:tcBorders>
              <w:top w:val="single" w:sz="6" w:space="0" w:color="000000"/>
              <w:bottom w:val="single" w:sz="6" w:space="0" w:color="000000"/>
              <w:right w:val="single" w:sz="6" w:space="0" w:color="000000"/>
            </w:tcBorders>
            <w:vAlign w:val="center"/>
          </w:tcPr>
          <w:p w14:paraId="118634EB" w14:textId="77777777" w:rsidR="00690D66" w:rsidRPr="00690D66" w:rsidRDefault="00690D66" w:rsidP="00690D66">
            <w:pPr>
              <w:jc w:val="center"/>
              <w:rPr>
                <w:kern w:val="0"/>
              </w:rPr>
            </w:pPr>
            <w:r w:rsidRPr="00690D66">
              <w:rPr>
                <w:kern w:val="0"/>
              </w:rPr>
              <w:t>09</w:t>
            </w:r>
          </w:p>
        </w:tc>
        <w:tc>
          <w:tcPr>
            <w:tcW w:w="0" w:type="auto"/>
            <w:tcBorders>
              <w:top w:val="single" w:sz="6" w:space="0" w:color="000000"/>
              <w:left w:val="single" w:sz="6" w:space="0" w:color="000000"/>
              <w:bottom w:val="single" w:sz="6" w:space="0" w:color="000000"/>
              <w:right w:val="single" w:sz="6" w:space="0" w:color="000000"/>
            </w:tcBorders>
            <w:vAlign w:val="bottom"/>
          </w:tcPr>
          <w:p w14:paraId="64A8D6F0" w14:textId="77777777" w:rsidR="00690D66" w:rsidRPr="00690D66" w:rsidRDefault="00690D66" w:rsidP="00690D66">
            <w:pPr>
              <w:jc w:val="center"/>
            </w:pPr>
            <w:r w:rsidRPr="00690D66">
              <w:t>4.0</w:t>
            </w:r>
          </w:p>
        </w:tc>
        <w:tc>
          <w:tcPr>
            <w:tcW w:w="0" w:type="auto"/>
            <w:tcBorders>
              <w:top w:val="single" w:sz="6" w:space="0" w:color="000000"/>
              <w:left w:val="single" w:sz="6" w:space="0" w:color="000000"/>
              <w:bottom w:val="single" w:sz="6" w:space="0" w:color="000000"/>
              <w:right w:val="single" w:sz="6" w:space="0" w:color="000000"/>
            </w:tcBorders>
            <w:vAlign w:val="bottom"/>
          </w:tcPr>
          <w:p w14:paraId="3C4A9E8A" w14:textId="77777777" w:rsidR="00690D66" w:rsidRPr="00690D66" w:rsidRDefault="00690D66" w:rsidP="00690D66">
            <w:pPr>
              <w:jc w:val="center"/>
            </w:pPr>
            <w:r w:rsidRPr="00690D66">
              <w:t>4.0</w:t>
            </w:r>
          </w:p>
        </w:tc>
        <w:tc>
          <w:tcPr>
            <w:tcW w:w="0" w:type="auto"/>
            <w:tcBorders>
              <w:top w:val="single" w:sz="6" w:space="0" w:color="000000"/>
              <w:left w:val="single" w:sz="6" w:space="0" w:color="000000"/>
              <w:bottom w:val="single" w:sz="6" w:space="0" w:color="000000"/>
              <w:right w:val="single" w:sz="6" w:space="0" w:color="000000"/>
            </w:tcBorders>
            <w:vAlign w:val="bottom"/>
          </w:tcPr>
          <w:p w14:paraId="15B0D672" w14:textId="77777777" w:rsidR="00690D66" w:rsidRPr="00690D66" w:rsidRDefault="00690D66" w:rsidP="00690D66">
            <w:pPr>
              <w:jc w:val="center"/>
            </w:pPr>
            <w:r w:rsidRPr="00690D66">
              <w:t>3.3</w:t>
            </w:r>
          </w:p>
        </w:tc>
        <w:tc>
          <w:tcPr>
            <w:tcW w:w="0" w:type="auto"/>
            <w:tcBorders>
              <w:top w:val="single" w:sz="6" w:space="0" w:color="000000"/>
              <w:left w:val="single" w:sz="6" w:space="0" w:color="000000"/>
              <w:bottom w:val="single" w:sz="6" w:space="0" w:color="000000"/>
              <w:right w:val="single" w:sz="6" w:space="0" w:color="000000"/>
            </w:tcBorders>
            <w:vAlign w:val="bottom"/>
          </w:tcPr>
          <w:p w14:paraId="3C1FA3BD" w14:textId="77777777" w:rsidR="00690D66" w:rsidRPr="00690D66" w:rsidRDefault="00690D66" w:rsidP="00690D66">
            <w:pPr>
              <w:jc w:val="center"/>
            </w:pPr>
            <w:r w:rsidRPr="00690D66">
              <w:t>2.5</w:t>
            </w:r>
          </w:p>
        </w:tc>
        <w:tc>
          <w:tcPr>
            <w:tcW w:w="0" w:type="auto"/>
            <w:tcBorders>
              <w:top w:val="single" w:sz="6" w:space="0" w:color="000000"/>
              <w:left w:val="single" w:sz="6" w:space="0" w:color="000000"/>
              <w:bottom w:val="single" w:sz="6" w:space="0" w:color="000000"/>
              <w:right w:val="single" w:sz="6" w:space="0" w:color="000000"/>
            </w:tcBorders>
            <w:vAlign w:val="bottom"/>
          </w:tcPr>
          <w:p w14:paraId="24D958B6" w14:textId="77777777" w:rsidR="00690D66" w:rsidRPr="00690D66" w:rsidRDefault="00690D66" w:rsidP="00690D66">
            <w:pPr>
              <w:jc w:val="center"/>
            </w:pPr>
            <w:r w:rsidRPr="00690D66">
              <w:t>2.9</w:t>
            </w:r>
          </w:p>
        </w:tc>
        <w:tc>
          <w:tcPr>
            <w:tcW w:w="0" w:type="auto"/>
            <w:tcBorders>
              <w:top w:val="single" w:sz="6" w:space="0" w:color="000000"/>
              <w:left w:val="single" w:sz="6" w:space="0" w:color="000000"/>
              <w:bottom w:val="single" w:sz="6" w:space="0" w:color="000000"/>
              <w:right w:val="single" w:sz="6" w:space="0" w:color="000000"/>
            </w:tcBorders>
            <w:vAlign w:val="bottom"/>
          </w:tcPr>
          <w:p w14:paraId="412D09CC" w14:textId="77777777" w:rsidR="00690D66" w:rsidRPr="00690D66" w:rsidRDefault="00690D66" w:rsidP="00690D66">
            <w:pPr>
              <w:jc w:val="center"/>
            </w:pPr>
            <w:r w:rsidRPr="00690D66">
              <w:t>1.1</w:t>
            </w:r>
          </w:p>
        </w:tc>
        <w:tc>
          <w:tcPr>
            <w:tcW w:w="0" w:type="auto"/>
            <w:tcBorders>
              <w:top w:val="single" w:sz="6" w:space="0" w:color="000000"/>
              <w:left w:val="single" w:sz="6" w:space="0" w:color="000000"/>
              <w:bottom w:val="single" w:sz="6" w:space="0" w:color="000000"/>
              <w:right w:val="single" w:sz="6" w:space="0" w:color="000000"/>
            </w:tcBorders>
            <w:vAlign w:val="bottom"/>
          </w:tcPr>
          <w:p w14:paraId="77DD9C1E" w14:textId="77777777" w:rsidR="00690D66" w:rsidRPr="00690D66" w:rsidRDefault="00690D66" w:rsidP="00690D66">
            <w:pPr>
              <w:jc w:val="center"/>
            </w:pPr>
            <w:r w:rsidRPr="00690D66">
              <w:t>1.4</w:t>
            </w:r>
          </w:p>
        </w:tc>
        <w:tc>
          <w:tcPr>
            <w:tcW w:w="0" w:type="auto"/>
            <w:tcBorders>
              <w:top w:val="single" w:sz="6" w:space="0" w:color="000000"/>
              <w:left w:val="single" w:sz="6" w:space="0" w:color="000000"/>
              <w:bottom w:val="single" w:sz="6" w:space="0" w:color="000000"/>
              <w:right w:val="single" w:sz="6" w:space="0" w:color="000000"/>
            </w:tcBorders>
            <w:vAlign w:val="bottom"/>
          </w:tcPr>
          <w:p w14:paraId="0BBB0FE8" w14:textId="77777777" w:rsidR="00690D66" w:rsidRPr="00690D66" w:rsidRDefault="00690D66" w:rsidP="00690D66">
            <w:pPr>
              <w:jc w:val="center"/>
            </w:pPr>
            <w:r w:rsidRPr="00690D66">
              <w:t>5.1</w:t>
            </w:r>
          </w:p>
        </w:tc>
        <w:tc>
          <w:tcPr>
            <w:tcW w:w="0" w:type="auto"/>
            <w:tcBorders>
              <w:top w:val="single" w:sz="6" w:space="0" w:color="000000"/>
              <w:left w:val="single" w:sz="6" w:space="0" w:color="000000"/>
              <w:bottom w:val="single" w:sz="6" w:space="0" w:color="000000"/>
              <w:right w:val="single" w:sz="6" w:space="0" w:color="000000"/>
            </w:tcBorders>
            <w:vAlign w:val="bottom"/>
          </w:tcPr>
          <w:p w14:paraId="225DE511" w14:textId="77777777" w:rsidR="00690D66" w:rsidRPr="00690D66" w:rsidRDefault="00690D66" w:rsidP="00690D66">
            <w:pPr>
              <w:jc w:val="center"/>
            </w:pPr>
            <w:r w:rsidRPr="00690D66">
              <w:t>23.2</w:t>
            </w:r>
          </w:p>
        </w:tc>
        <w:tc>
          <w:tcPr>
            <w:tcW w:w="0" w:type="auto"/>
            <w:tcBorders>
              <w:top w:val="single" w:sz="6" w:space="0" w:color="000000"/>
              <w:left w:val="single" w:sz="6" w:space="0" w:color="000000"/>
              <w:bottom w:val="single" w:sz="6" w:space="0" w:color="000000"/>
              <w:right w:val="single" w:sz="6" w:space="0" w:color="000000"/>
            </w:tcBorders>
            <w:vAlign w:val="bottom"/>
          </w:tcPr>
          <w:p w14:paraId="07296FFB" w14:textId="77777777" w:rsidR="00690D66" w:rsidRPr="00690D66" w:rsidRDefault="00690D66" w:rsidP="00690D66">
            <w:pPr>
              <w:jc w:val="center"/>
            </w:pPr>
            <w:r w:rsidRPr="00690D66">
              <w:t>15.3</w:t>
            </w:r>
          </w:p>
        </w:tc>
        <w:tc>
          <w:tcPr>
            <w:tcW w:w="0" w:type="auto"/>
            <w:tcBorders>
              <w:top w:val="single" w:sz="6" w:space="0" w:color="000000"/>
              <w:left w:val="single" w:sz="6" w:space="0" w:color="000000"/>
              <w:bottom w:val="single" w:sz="6" w:space="0" w:color="000000"/>
              <w:right w:val="single" w:sz="6" w:space="0" w:color="000000"/>
            </w:tcBorders>
            <w:vAlign w:val="bottom"/>
          </w:tcPr>
          <w:p w14:paraId="5BB9A981" w14:textId="77777777" w:rsidR="00690D66" w:rsidRPr="00690D66" w:rsidRDefault="00690D66" w:rsidP="00690D66">
            <w:pPr>
              <w:jc w:val="center"/>
            </w:pPr>
            <w:r w:rsidRPr="00690D66">
              <w:t>10.3</w:t>
            </w:r>
          </w:p>
        </w:tc>
        <w:tc>
          <w:tcPr>
            <w:tcW w:w="0" w:type="auto"/>
            <w:tcBorders>
              <w:top w:val="single" w:sz="6" w:space="0" w:color="000000"/>
              <w:left w:val="single" w:sz="6" w:space="0" w:color="000000"/>
              <w:bottom w:val="single" w:sz="6" w:space="0" w:color="000000"/>
              <w:right w:val="single" w:sz="6" w:space="0" w:color="000000"/>
            </w:tcBorders>
            <w:vAlign w:val="bottom"/>
          </w:tcPr>
          <w:p w14:paraId="7CA891FA" w14:textId="77777777" w:rsidR="00690D66" w:rsidRPr="00690D66" w:rsidRDefault="00690D66" w:rsidP="00690D66">
            <w:pPr>
              <w:jc w:val="center"/>
            </w:pPr>
            <w:r w:rsidRPr="00690D66">
              <w:t>4.9</w:t>
            </w:r>
          </w:p>
        </w:tc>
        <w:tc>
          <w:tcPr>
            <w:tcW w:w="0" w:type="auto"/>
            <w:tcBorders>
              <w:top w:val="single" w:sz="6" w:space="0" w:color="000000"/>
              <w:left w:val="single" w:sz="6" w:space="0" w:color="000000"/>
              <w:bottom w:val="single" w:sz="6" w:space="0" w:color="000000"/>
              <w:right w:val="single" w:sz="6" w:space="0" w:color="000000"/>
            </w:tcBorders>
            <w:vAlign w:val="bottom"/>
          </w:tcPr>
          <w:p w14:paraId="69F51509" w14:textId="77777777" w:rsidR="00690D66" w:rsidRPr="00690D66" w:rsidRDefault="00690D66" w:rsidP="00690D66">
            <w:pPr>
              <w:jc w:val="center"/>
            </w:pPr>
            <w:r w:rsidRPr="00690D66">
              <w:t>4.0</w:t>
            </w:r>
          </w:p>
        </w:tc>
        <w:tc>
          <w:tcPr>
            <w:tcW w:w="0" w:type="auto"/>
            <w:tcBorders>
              <w:top w:val="single" w:sz="6" w:space="0" w:color="000000"/>
              <w:left w:val="single" w:sz="6" w:space="0" w:color="000000"/>
              <w:bottom w:val="single" w:sz="6" w:space="0" w:color="000000"/>
              <w:right w:val="single" w:sz="6" w:space="0" w:color="000000"/>
            </w:tcBorders>
            <w:vAlign w:val="bottom"/>
          </w:tcPr>
          <w:p w14:paraId="7A34E5CA" w14:textId="77777777" w:rsidR="00690D66" w:rsidRPr="00690D66" w:rsidRDefault="00690D66" w:rsidP="00690D66">
            <w:pPr>
              <w:jc w:val="center"/>
            </w:pPr>
            <w:r w:rsidRPr="00690D66">
              <w:t>3.3</w:t>
            </w:r>
          </w:p>
        </w:tc>
        <w:tc>
          <w:tcPr>
            <w:tcW w:w="0" w:type="auto"/>
            <w:tcBorders>
              <w:top w:val="single" w:sz="6" w:space="0" w:color="000000"/>
              <w:left w:val="single" w:sz="6" w:space="0" w:color="000000"/>
              <w:bottom w:val="single" w:sz="6" w:space="0" w:color="000000"/>
              <w:right w:val="single" w:sz="6" w:space="0" w:color="000000"/>
            </w:tcBorders>
            <w:vAlign w:val="bottom"/>
          </w:tcPr>
          <w:p w14:paraId="5A606952" w14:textId="77777777" w:rsidR="00690D66" w:rsidRPr="00690D66" w:rsidRDefault="00690D66" w:rsidP="00690D66">
            <w:pPr>
              <w:jc w:val="center"/>
            </w:pPr>
            <w:r w:rsidRPr="00690D66">
              <w:t>9.3</w:t>
            </w:r>
          </w:p>
        </w:tc>
        <w:tc>
          <w:tcPr>
            <w:tcW w:w="0" w:type="auto"/>
            <w:tcBorders>
              <w:top w:val="single" w:sz="6" w:space="0" w:color="000000"/>
              <w:left w:val="single" w:sz="6" w:space="0" w:color="000000"/>
              <w:bottom w:val="single" w:sz="6" w:space="0" w:color="000000"/>
              <w:right w:val="single" w:sz="6" w:space="0" w:color="000000"/>
            </w:tcBorders>
            <w:vAlign w:val="bottom"/>
          </w:tcPr>
          <w:p w14:paraId="3FB56134" w14:textId="77777777" w:rsidR="00690D66" w:rsidRPr="00690D66" w:rsidRDefault="00690D66" w:rsidP="00690D66">
            <w:pPr>
              <w:jc w:val="center"/>
            </w:pPr>
            <w:r w:rsidRPr="00690D66">
              <w:t>3.5</w:t>
            </w:r>
          </w:p>
        </w:tc>
        <w:tc>
          <w:tcPr>
            <w:tcW w:w="0" w:type="auto"/>
            <w:tcBorders>
              <w:top w:val="single" w:sz="6" w:space="0" w:color="000000"/>
              <w:left w:val="single" w:sz="6" w:space="0" w:color="000000"/>
              <w:bottom w:val="single" w:sz="6" w:space="0" w:color="000000"/>
            </w:tcBorders>
            <w:vAlign w:val="bottom"/>
          </w:tcPr>
          <w:p w14:paraId="2C5EEFBE" w14:textId="77777777" w:rsidR="00690D66" w:rsidRPr="00690D66" w:rsidRDefault="00690D66" w:rsidP="00690D66">
            <w:pPr>
              <w:jc w:val="center"/>
            </w:pPr>
            <w:r w:rsidRPr="00690D66">
              <w:t>1.8</w:t>
            </w:r>
          </w:p>
        </w:tc>
      </w:tr>
      <w:tr w:rsidR="00690D66" w:rsidRPr="00690D66" w14:paraId="4AAA70CC" w14:textId="77777777" w:rsidTr="00454C5A">
        <w:tc>
          <w:tcPr>
            <w:tcW w:w="824" w:type="pct"/>
            <w:tcBorders>
              <w:top w:val="single" w:sz="6" w:space="0" w:color="000000"/>
              <w:bottom w:val="single" w:sz="6" w:space="0" w:color="000000"/>
              <w:right w:val="single" w:sz="6" w:space="0" w:color="000000"/>
            </w:tcBorders>
            <w:vAlign w:val="center"/>
          </w:tcPr>
          <w:p w14:paraId="57EF3140" w14:textId="77777777" w:rsidR="00690D66" w:rsidRPr="00690D66" w:rsidRDefault="00690D66" w:rsidP="00690D66">
            <w:pPr>
              <w:jc w:val="center"/>
              <w:rPr>
                <w:kern w:val="0"/>
              </w:rPr>
            </w:pPr>
            <w:r w:rsidRPr="00690D66">
              <w:rPr>
                <w:kern w:val="0"/>
              </w:rPr>
              <w:t>10</w:t>
            </w:r>
          </w:p>
        </w:tc>
        <w:tc>
          <w:tcPr>
            <w:tcW w:w="0" w:type="auto"/>
            <w:tcBorders>
              <w:top w:val="single" w:sz="6" w:space="0" w:color="000000"/>
              <w:left w:val="single" w:sz="6" w:space="0" w:color="000000"/>
              <w:bottom w:val="single" w:sz="6" w:space="0" w:color="000000"/>
              <w:right w:val="single" w:sz="6" w:space="0" w:color="000000"/>
            </w:tcBorders>
            <w:vAlign w:val="bottom"/>
          </w:tcPr>
          <w:p w14:paraId="0E41522C" w14:textId="77777777" w:rsidR="00690D66" w:rsidRPr="00690D66" w:rsidRDefault="00690D66" w:rsidP="00690D66">
            <w:pPr>
              <w:jc w:val="center"/>
            </w:pPr>
            <w:r w:rsidRPr="00690D66">
              <w:t>2.8</w:t>
            </w:r>
          </w:p>
        </w:tc>
        <w:tc>
          <w:tcPr>
            <w:tcW w:w="0" w:type="auto"/>
            <w:tcBorders>
              <w:top w:val="single" w:sz="6" w:space="0" w:color="000000"/>
              <w:left w:val="single" w:sz="6" w:space="0" w:color="000000"/>
              <w:bottom w:val="single" w:sz="6" w:space="0" w:color="000000"/>
              <w:right w:val="single" w:sz="6" w:space="0" w:color="000000"/>
            </w:tcBorders>
            <w:vAlign w:val="bottom"/>
          </w:tcPr>
          <w:p w14:paraId="7AFA275D" w14:textId="77777777" w:rsidR="00690D66" w:rsidRPr="00690D66" w:rsidRDefault="00690D66" w:rsidP="00690D66">
            <w:pPr>
              <w:jc w:val="center"/>
            </w:pPr>
            <w:r w:rsidRPr="00690D66">
              <w:t>1.6</w:t>
            </w:r>
          </w:p>
        </w:tc>
        <w:tc>
          <w:tcPr>
            <w:tcW w:w="0" w:type="auto"/>
            <w:tcBorders>
              <w:top w:val="single" w:sz="6" w:space="0" w:color="000000"/>
              <w:left w:val="single" w:sz="6" w:space="0" w:color="000000"/>
              <w:bottom w:val="single" w:sz="6" w:space="0" w:color="000000"/>
              <w:right w:val="single" w:sz="6" w:space="0" w:color="000000"/>
            </w:tcBorders>
            <w:vAlign w:val="bottom"/>
          </w:tcPr>
          <w:p w14:paraId="69C522A1" w14:textId="77777777" w:rsidR="00690D66" w:rsidRPr="00690D66" w:rsidRDefault="00690D66" w:rsidP="00690D66">
            <w:pPr>
              <w:jc w:val="center"/>
            </w:pPr>
            <w:r w:rsidRPr="00690D66">
              <w:t>1.1</w:t>
            </w:r>
          </w:p>
        </w:tc>
        <w:tc>
          <w:tcPr>
            <w:tcW w:w="0" w:type="auto"/>
            <w:tcBorders>
              <w:top w:val="single" w:sz="6" w:space="0" w:color="000000"/>
              <w:left w:val="single" w:sz="6" w:space="0" w:color="000000"/>
              <w:bottom w:val="single" w:sz="6" w:space="0" w:color="000000"/>
              <w:right w:val="single" w:sz="6" w:space="0" w:color="000000"/>
            </w:tcBorders>
            <w:vAlign w:val="bottom"/>
          </w:tcPr>
          <w:p w14:paraId="4ACE6077" w14:textId="77777777" w:rsidR="00690D66" w:rsidRPr="00690D66" w:rsidRDefault="00690D66" w:rsidP="00690D66">
            <w:pPr>
              <w:jc w:val="center"/>
            </w:pPr>
            <w:r w:rsidRPr="00690D66">
              <w:t>0.8</w:t>
            </w:r>
          </w:p>
        </w:tc>
        <w:tc>
          <w:tcPr>
            <w:tcW w:w="0" w:type="auto"/>
            <w:tcBorders>
              <w:top w:val="single" w:sz="6" w:space="0" w:color="000000"/>
              <w:left w:val="single" w:sz="6" w:space="0" w:color="000000"/>
              <w:bottom w:val="single" w:sz="6" w:space="0" w:color="000000"/>
              <w:right w:val="single" w:sz="6" w:space="0" w:color="000000"/>
            </w:tcBorders>
            <w:vAlign w:val="bottom"/>
          </w:tcPr>
          <w:p w14:paraId="6A57973C" w14:textId="77777777" w:rsidR="00690D66" w:rsidRPr="00690D66" w:rsidRDefault="00690D66" w:rsidP="00690D66">
            <w:pPr>
              <w:jc w:val="center"/>
            </w:pPr>
            <w:r w:rsidRPr="00690D66">
              <w:t>3.8</w:t>
            </w:r>
          </w:p>
        </w:tc>
        <w:tc>
          <w:tcPr>
            <w:tcW w:w="0" w:type="auto"/>
            <w:tcBorders>
              <w:top w:val="single" w:sz="6" w:space="0" w:color="000000"/>
              <w:left w:val="single" w:sz="6" w:space="0" w:color="000000"/>
              <w:bottom w:val="single" w:sz="6" w:space="0" w:color="000000"/>
              <w:right w:val="single" w:sz="6" w:space="0" w:color="000000"/>
            </w:tcBorders>
            <w:vAlign w:val="bottom"/>
          </w:tcPr>
          <w:p w14:paraId="3D51C91D" w14:textId="77777777" w:rsidR="00690D66" w:rsidRPr="00690D66" w:rsidRDefault="00690D66" w:rsidP="00690D66">
            <w:pPr>
              <w:jc w:val="center"/>
            </w:pPr>
            <w:r w:rsidRPr="00690D66">
              <w:t>3.5</w:t>
            </w:r>
          </w:p>
        </w:tc>
        <w:tc>
          <w:tcPr>
            <w:tcW w:w="0" w:type="auto"/>
            <w:tcBorders>
              <w:top w:val="single" w:sz="6" w:space="0" w:color="000000"/>
              <w:left w:val="single" w:sz="6" w:space="0" w:color="000000"/>
              <w:bottom w:val="single" w:sz="6" w:space="0" w:color="000000"/>
              <w:right w:val="single" w:sz="6" w:space="0" w:color="000000"/>
            </w:tcBorders>
            <w:vAlign w:val="bottom"/>
          </w:tcPr>
          <w:p w14:paraId="059D4218" w14:textId="77777777" w:rsidR="00690D66" w:rsidRPr="00690D66" w:rsidRDefault="00690D66" w:rsidP="00690D66">
            <w:pPr>
              <w:jc w:val="center"/>
            </w:pPr>
            <w:r w:rsidRPr="00690D66">
              <w:t>2.3</w:t>
            </w:r>
          </w:p>
        </w:tc>
        <w:tc>
          <w:tcPr>
            <w:tcW w:w="0" w:type="auto"/>
            <w:tcBorders>
              <w:top w:val="single" w:sz="6" w:space="0" w:color="000000"/>
              <w:left w:val="single" w:sz="6" w:space="0" w:color="000000"/>
              <w:bottom w:val="single" w:sz="6" w:space="0" w:color="000000"/>
              <w:right w:val="single" w:sz="6" w:space="0" w:color="000000"/>
            </w:tcBorders>
            <w:vAlign w:val="bottom"/>
          </w:tcPr>
          <w:p w14:paraId="7CFD3D0D" w14:textId="77777777" w:rsidR="00690D66" w:rsidRPr="00690D66" w:rsidRDefault="00690D66" w:rsidP="00690D66">
            <w:pPr>
              <w:jc w:val="center"/>
            </w:pPr>
            <w:r w:rsidRPr="00690D66">
              <w:t>5.5</w:t>
            </w:r>
          </w:p>
        </w:tc>
        <w:tc>
          <w:tcPr>
            <w:tcW w:w="0" w:type="auto"/>
            <w:tcBorders>
              <w:top w:val="single" w:sz="6" w:space="0" w:color="000000"/>
              <w:left w:val="single" w:sz="6" w:space="0" w:color="000000"/>
              <w:bottom w:val="single" w:sz="6" w:space="0" w:color="000000"/>
              <w:right w:val="single" w:sz="6" w:space="0" w:color="000000"/>
            </w:tcBorders>
            <w:vAlign w:val="bottom"/>
          </w:tcPr>
          <w:p w14:paraId="1A1C0D9E" w14:textId="77777777" w:rsidR="00690D66" w:rsidRPr="00690D66" w:rsidRDefault="00690D66" w:rsidP="00690D66">
            <w:pPr>
              <w:jc w:val="center"/>
            </w:pPr>
            <w:r w:rsidRPr="00690D66">
              <w:t>13.6</w:t>
            </w:r>
          </w:p>
        </w:tc>
        <w:tc>
          <w:tcPr>
            <w:tcW w:w="0" w:type="auto"/>
            <w:tcBorders>
              <w:top w:val="single" w:sz="6" w:space="0" w:color="000000"/>
              <w:left w:val="single" w:sz="6" w:space="0" w:color="000000"/>
              <w:bottom w:val="single" w:sz="6" w:space="0" w:color="000000"/>
              <w:right w:val="single" w:sz="6" w:space="0" w:color="000000"/>
            </w:tcBorders>
            <w:vAlign w:val="bottom"/>
          </w:tcPr>
          <w:p w14:paraId="41431D79" w14:textId="77777777" w:rsidR="00690D66" w:rsidRPr="00690D66" w:rsidRDefault="00690D66" w:rsidP="00690D66">
            <w:pPr>
              <w:jc w:val="center"/>
            </w:pPr>
            <w:r w:rsidRPr="00690D66">
              <w:t>11.0</w:t>
            </w:r>
          </w:p>
        </w:tc>
        <w:tc>
          <w:tcPr>
            <w:tcW w:w="0" w:type="auto"/>
            <w:tcBorders>
              <w:top w:val="single" w:sz="6" w:space="0" w:color="000000"/>
              <w:left w:val="single" w:sz="6" w:space="0" w:color="000000"/>
              <w:bottom w:val="single" w:sz="6" w:space="0" w:color="000000"/>
              <w:right w:val="single" w:sz="6" w:space="0" w:color="000000"/>
            </w:tcBorders>
            <w:vAlign w:val="bottom"/>
          </w:tcPr>
          <w:p w14:paraId="46CE71D7" w14:textId="77777777" w:rsidR="00690D66" w:rsidRPr="00690D66" w:rsidRDefault="00690D66" w:rsidP="00690D66">
            <w:pPr>
              <w:jc w:val="center"/>
            </w:pPr>
            <w:r w:rsidRPr="00690D66">
              <w:t>7.0</w:t>
            </w:r>
          </w:p>
        </w:tc>
        <w:tc>
          <w:tcPr>
            <w:tcW w:w="0" w:type="auto"/>
            <w:tcBorders>
              <w:top w:val="single" w:sz="6" w:space="0" w:color="000000"/>
              <w:left w:val="single" w:sz="6" w:space="0" w:color="000000"/>
              <w:bottom w:val="single" w:sz="6" w:space="0" w:color="000000"/>
              <w:right w:val="single" w:sz="6" w:space="0" w:color="000000"/>
            </w:tcBorders>
            <w:vAlign w:val="bottom"/>
          </w:tcPr>
          <w:p w14:paraId="78F2187F" w14:textId="77777777" w:rsidR="00690D66" w:rsidRPr="00690D66" w:rsidRDefault="00690D66" w:rsidP="00690D66">
            <w:pPr>
              <w:jc w:val="center"/>
            </w:pPr>
            <w:r w:rsidRPr="00690D66">
              <w:t>6.2</w:t>
            </w:r>
          </w:p>
        </w:tc>
        <w:tc>
          <w:tcPr>
            <w:tcW w:w="0" w:type="auto"/>
            <w:tcBorders>
              <w:top w:val="single" w:sz="6" w:space="0" w:color="000000"/>
              <w:left w:val="single" w:sz="6" w:space="0" w:color="000000"/>
              <w:bottom w:val="single" w:sz="6" w:space="0" w:color="000000"/>
              <w:right w:val="single" w:sz="6" w:space="0" w:color="000000"/>
            </w:tcBorders>
            <w:vAlign w:val="bottom"/>
          </w:tcPr>
          <w:p w14:paraId="7AA2C6B4" w14:textId="77777777" w:rsidR="00690D66" w:rsidRPr="00690D66" w:rsidRDefault="00690D66" w:rsidP="00690D66">
            <w:pPr>
              <w:jc w:val="center"/>
            </w:pPr>
            <w:r w:rsidRPr="00690D66">
              <w:t>7.7</w:t>
            </w:r>
          </w:p>
        </w:tc>
        <w:tc>
          <w:tcPr>
            <w:tcW w:w="0" w:type="auto"/>
            <w:tcBorders>
              <w:top w:val="single" w:sz="6" w:space="0" w:color="000000"/>
              <w:left w:val="single" w:sz="6" w:space="0" w:color="000000"/>
              <w:bottom w:val="single" w:sz="6" w:space="0" w:color="000000"/>
              <w:right w:val="single" w:sz="6" w:space="0" w:color="000000"/>
            </w:tcBorders>
            <w:vAlign w:val="bottom"/>
          </w:tcPr>
          <w:p w14:paraId="51ADF049" w14:textId="77777777" w:rsidR="00690D66" w:rsidRPr="00690D66" w:rsidRDefault="00690D66" w:rsidP="00690D66">
            <w:pPr>
              <w:jc w:val="center"/>
            </w:pPr>
            <w:r w:rsidRPr="00690D66">
              <w:t>12.9</w:t>
            </w:r>
          </w:p>
        </w:tc>
        <w:tc>
          <w:tcPr>
            <w:tcW w:w="0" w:type="auto"/>
            <w:tcBorders>
              <w:top w:val="single" w:sz="6" w:space="0" w:color="000000"/>
              <w:left w:val="single" w:sz="6" w:space="0" w:color="000000"/>
              <w:bottom w:val="single" w:sz="6" w:space="0" w:color="000000"/>
              <w:right w:val="single" w:sz="6" w:space="0" w:color="000000"/>
            </w:tcBorders>
            <w:vAlign w:val="bottom"/>
          </w:tcPr>
          <w:p w14:paraId="18E7F4F7" w14:textId="77777777" w:rsidR="00690D66" w:rsidRPr="00690D66" w:rsidRDefault="00690D66" w:rsidP="00690D66">
            <w:pPr>
              <w:jc w:val="center"/>
            </w:pPr>
            <w:r w:rsidRPr="00690D66">
              <w:t>13.4</w:t>
            </w:r>
          </w:p>
        </w:tc>
        <w:tc>
          <w:tcPr>
            <w:tcW w:w="0" w:type="auto"/>
            <w:tcBorders>
              <w:top w:val="single" w:sz="6" w:space="0" w:color="000000"/>
              <w:left w:val="single" w:sz="6" w:space="0" w:color="000000"/>
              <w:bottom w:val="single" w:sz="6" w:space="0" w:color="000000"/>
              <w:right w:val="single" w:sz="6" w:space="0" w:color="000000"/>
            </w:tcBorders>
            <w:vAlign w:val="bottom"/>
          </w:tcPr>
          <w:p w14:paraId="15AD7668" w14:textId="77777777" w:rsidR="00690D66" w:rsidRPr="00690D66" w:rsidRDefault="00690D66" w:rsidP="00690D66">
            <w:pPr>
              <w:jc w:val="center"/>
            </w:pPr>
            <w:r w:rsidRPr="00690D66">
              <w:t>3.0</w:t>
            </w:r>
          </w:p>
        </w:tc>
        <w:tc>
          <w:tcPr>
            <w:tcW w:w="0" w:type="auto"/>
            <w:tcBorders>
              <w:top w:val="single" w:sz="6" w:space="0" w:color="000000"/>
              <w:left w:val="single" w:sz="6" w:space="0" w:color="000000"/>
              <w:bottom w:val="single" w:sz="6" w:space="0" w:color="000000"/>
            </w:tcBorders>
            <w:vAlign w:val="bottom"/>
          </w:tcPr>
          <w:p w14:paraId="3AA442FB" w14:textId="77777777" w:rsidR="00690D66" w:rsidRPr="00690D66" w:rsidRDefault="00690D66" w:rsidP="00690D66">
            <w:pPr>
              <w:jc w:val="center"/>
            </w:pPr>
            <w:r w:rsidRPr="00690D66">
              <w:t>3.9</w:t>
            </w:r>
          </w:p>
        </w:tc>
      </w:tr>
      <w:tr w:rsidR="00690D66" w:rsidRPr="00690D66" w14:paraId="40CAB71D" w14:textId="77777777" w:rsidTr="00454C5A">
        <w:tc>
          <w:tcPr>
            <w:tcW w:w="824" w:type="pct"/>
            <w:tcBorders>
              <w:top w:val="single" w:sz="6" w:space="0" w:color="000000"/>
              <w:bottom w:val="single" w:sz="6" w:space="0" w:color="000000"/>
              <w:right w:val="single" w:sz="6" w:space="0" w:color="000000"/>
            </w:tcBorders>
            <w:vAlign w:val="center"/>
          </w:tcPr>
          <w:p w14:paraId="07B6253E" w14:textId="77777777" w:rsidR="00690D66" w:rsidRPr="00690D66" w:rsidRDefault="00690D66" w:rsidP="00690D66">
            <w:pPr>
              <w:jc w:val="center"/>
              <w:rPr>
                <w:kern w:val="0"/>
              </w:rPr>
            </w:pPr>
            <w:r w:rsidRPr="00690D66">
              <w:rPr>
                <w:kern w:val="0"/>
              </w:rPr>
              <w:t>11</w:t>
            </w:r>
          </w:p>
        </w:tc>
        <w:tc>
          <w:tcPr>
            <w:tcW w:w="0" w:type="auto"/>
            <w:tcBorders>
              <w:top w:val="single" w:sz="6" w:space="0" w:color="000000"/>
              <w:left w:val="single" w:sz="6" w:space="0" w:color="000000"/>
              <w:bottom w:val="single" w:sz="6" w:space="0" w:color="000000"/>
              <w:right w:val="single" w:sz="6" w:space="0" w:color="000000"/>
            </w:tcBorders>
            <w:vAlign w:val="bottom"/>
          </w:tcPr>
          <w:p w14:paraId="71BF7AE9" w14:textId="77777777" w:rsidR="00690D66" w:rsidRPr="00690D66" w:rsidRDefault="00690D66" w:rsidP="00690D66">
            <w:pPr>
              <w:jc w:val="center"/>
            </w:pPr>
            <w:r w:rsidRPr="00690D66">
              <w:t>7.8</w:t>
            </w:r>
          </w:p>
        </w:tc>
        <w:tc>
          <w:tcPr>
            <w:tcW w:w="0" w:type="auto"/>
            <w:tcBorders>
              <w:top w:val="single" w:sz="6" w:space="0" w:color="000000"/>
              <w:left w:val="single" w:sz="6" w:space="0" w:color="000000"/>
              <w:bottom w:val="single" w:sz="6" w:space="0" w:color="000000"/>
              <w:right w:val="single" w:sz="6" w:space="0" w:color="000000"/>
            </w:tcBorders>
            <w:vAlign w:val="bottom"/>
          </w:tcPr>
          <w:p w14:paraId="59DB301C" w14:textId="77777777" w:rsidR="00690D66" w:rsidRPr="00690D66" w:rsidRDefault="00690D66" w:rsidP="00690D66">
            <w:pPr>
              <w:jc w:val="center"/>
            </w:pPr>
            <w:r w:rsidRPr="00690D66">
              <w:t>4.9</w:t>
            </w:r>
          </w:p>
        </w:tc>
        <w:tc>
          <w:tcPr>
            <w:tcW w:w="0" w:type="auto"/>
            <w:tcBorders>
              <w:top w:val="single" w:sz="6" w:space="0" w:color="000000"/>
              <w:left w:val="single" w:sz="6" w:space="0" w:color="000000"/>
              <w:bottom w:val="single" w:sz="6" w:space="0" w:color="000000"/>
              <w:right w:val="single" w:sz="6" w:space="0" w:color="000000"/>
            </w:tcBorders>
            <w:vAlign w:val="bottom"/>
          </w:tcPr>
          <w:p w14:paraId="48D17890" w14:textId="77777777" w:rsidR="00690D66" w:rsidRPr="00690D66" w:rsidRDefault="00690D66" w:rsidP="00690D66">
            <w:pPr>
              <w:jc w:val="center"/>
            </w:pPr>
            <w:r w:rsidRPr="00690D66">
              <w:t>4.2</w:t>
            </w:r>
          </w:p>
        </w:tc>
        <w:tc>
          <w:tcPr>
            <w:tcW w:w="0" w:type="auto"/>
            <w:tcBorders>
              <w:top w:val="single" w:sz="6" w:space="0" w:color="000000"/>
              <w:left w:val="single" w:sz="6" w:space="0" w:color="000000"/>
              <w:bottom w:val="single" w:sz="6" w:space="0" w:color="000000"/>
              <w:right w:val="single" w:sz="6" w:space="0" w:color="000000"/>
            </w:tcBorders>
            <w:vAlign w:val="bottom"/>
          </w:tcPr>
          <w:p w14:paraId="270B16B6" w14:textId="77777777" w:rsidR="00690D66" w:rsidRPr="00690D66" w:rsidRDefault="00690D66" w:rsidP="00690D66">
            <w:pPr>
              <w:jc w:val="center"/>
            </w:pPr>
            <w:r w:rsidRPr="00690D66">
              <w:t>2.1</w:t>
            </w:r>
          </w:p>
        </w:tc>
        <w:tc>
          <w:tcPr>
            <w:tcW w:w="0" w:type="auto"/>
            <w:tcBorders>
              <w:top w:val="single" w:sz="6" w:space="0" w:color="000000"/>
              <w:left w:val="single" w:sz="6" w:space="0" w:color="000000"/>
              <w:bottom w:val="single" w:sz="6" w:space="0" w:color="000000"/>
              <w:right w:val="single" w:sz="6" w:space="0" w:color="000000"/>
            </w:tcBorders>
            <w:vAlign w:val="bottom"/>
          </w:tcPr>
          <w:p w14:paraId="6F731B42" w14:textId="77777777" w:rsidR="00690D66" w:rsidRPr="00690D66" w:rsidRDefault="00690D66" w:rsidP="00690D66">
            <w:pPr>
              <w:jc w:val="center"/>
            </w:pPr>
            <w:r w:rsidRPr="00690D66">
              <w:t>4.4</w:t>
            </w:r>
          </w:p>
        </w:tc>
        <w:tc>
          <w:tcPr>
            <w:tcW w:w="0" w:type="auto"/>
            <w:tcBorders>
              <w:top w:val="single" w:sz="6" w:space="0" w:color="000000"/>
              <w:left w:val="single" w:sz="6" w:space="0" w:color="000000"/>
              <w:bottom w:val="single" w:sz="6" w:space="0" w:color="000000"/>
              <w:right w:val="single" w:sz="6" w:space="0" w:color="000000"/>
            </w:tcBorders>
            <w:vAlign w:val="bottom"/>
          </w:tcPr>
          <w:p w14:paraId="2DE99655" w14:textId="77777777" w:rsidR="00690D66" w:rsidRPr="00690D66" w:rsidRDefault="00690D66" w:rsidP="00690D66">
            <w:pPr>
              <w:jc w:val="center"/>
            </w:pPr>
            <w:r w:rsidRPr="00690D66">
              <w:t>2.9</w:t>
            </w:r>
          </w:p>
        </w:tc>
        <w:tc>
          <w:tcPr>
            <w:tcW w:w="0" w:type="auto"/>
            <w:tcBorders>
              <w:top w:val="single" w:sz="6" w:space="0" w:color="000000"/>
              <w:left w:val="single" w:sz="6" w:space="0" w:color="000000"/>
              <w:bottom w:val="single" w:sz="6" w:space="0" w:color="000000"/>
              <w:right w:val="single" w:sz="6" w:space="0" w:color="000000"/>
            </w:tcBorders>
            <w:vAlign w:val="bottom"/>
          </w:tcPr>
          <w:p w14:paraId="75390F52" w14:textId="77777777" w:rsidR="00690D66" w:rsidRPr="00690D66" w:rsidRDefault="00690D66" w:rsidP="00690D66">
            <w:pPr>
              <w:jc w:val="center"/>
            </w:pPr>
            <w:r w:rsidRPr="00690D66">
              <w:t>2.4</w:t>
            </w:r>
          </w:p>
        </w:tc>
        <w:tc>
          <w:tcPr>
            <w:tcW w:w="0" w:type="auto"/>
            <w:tcBorders>
              <w:top w:val="single" w:sz="6" w:space="0" w:color="000000"/>
              <w:left w:val="single" w:sz="6" w:space="0" w:color="000000"/>
              <w:bottom w:val="single" w:sz="6" w:space="0" w:color="000000"/>
              <w:right w:val="single" w:sz="6" w:space="0" w:color="000000"/>
            </w:tcBorders>
            <w:vAlign w:val="bottom"/>
          </w:tcPr>
          <w:p w14:paraId="290DB1D4" w14:textId="77777777" w:rsidR="00690D66" w:rsidRPr="00690D66" w:rsidRDefault="00690D66" w:rsidP="00690D66">
            <w:pPr>
              <w:jc w:val="center"/>
            </w:pPr>
            <w:r w:rsidRPr="00690D66">
              <w:t>4.7</w:t>
            </w:r>
          </w:p>
        </w:tc>
        <w:tc>
          <w:tcPr>
            <w:tcW w:w="0" w:type="auto"/>
            <w:tcBorders>
              <w:top w:val="single" w:sz="6" w:space="0" w:color="000000"/>
              <w:left w:val="single" w:sz="6" w:space="0" w:color="000000"/>
              <w:bottom w:val="single" w:sz="6" w:space="0" w:color="000000"/>
              <w:right w:val="single" w:sz="6" w:space="0" w:color="000000"/>
            </w:tcBorders>
            <w:vAlign w:val="bottom"/>
          </w:tcPr>
          <w:p w14:paraId="0D6BE15E" w14:textId="77777777" w:rsidR="00690D66" w:rsidRPr="00690D66" w:rsidRDefault="00690D66" w:rsidP="00690D66">
            <w:pPr>
              <w:jc w:val="center"/>
            </w:pPr>
            <w:r w:rsidRPr="00690D66">
              <w:t>11.8</w:t>
            </w:r>
          </w:p>
        </w:tc>
        <w:tc>
          <w:tcPr>
            <w:tcW w:w="0" w:type="auto"/>
            <w:tcBorders>
              <w:top w:val="single" w:sz="6" w:space="0" w:color="000000"/>
              <w:left w:val="single" w:sz="6" w:space="0" w:color="000000"/>
              <w:bottom w:val="single" w:sz="6" w:space="0" w:color="000000"/>
              <w:right w:val="single" w:sz="6" w:space="0" w:color="000000"/>
            </w:tcBorders>
            <w:vAlign w:val="bottom"/>
          </w:tcPr>
          <w:p w14:paraId="7EB19455" w14:textId="77777777" w:rsidR="00690D66" w:rsidRPr="00690D66" w:rsidRDefault="00690D66" w:rsidP="00690D66">
            <w:pPr>
              <w:jc w:val="center"/>
            </w:pPr>
            <w:r w:rsidRPr="00690D66">
              <w:t>5.7</w:t>
            </w:r>
          </w:p>
        </w:tc>
        <w:tc>
          <w:tcPr>
            <w:tcW w:w="0" w:type="auto"/>
            <w:tcBorders>
              <w:top w:val="single" w:sz="6" w:space="0" w:color="000000"/>
              <w:left w:val="single" w:sz="6" w:space="0" w:color="000000"/>
              <w:bottom w:val="single" w:sz="6" w:space="0" w:color="000000"/>
              <w:right w:val="single" w:sz="6" w:space="0" w:color="000000"/>
            </w:tcBorders>
            <w:vAlign w:val="bottom"/>
          </w:tcPr>
          <w:p w14:paraId="7D948220" w14:textId="77777777" w:rsidR="00690D66" w:rsidRPr="00690D66" w:rsidRDefault="00690D66" w:rsidP="00690D66">
            <w:pPr>
              <w:jc w:val="center"/>
            </w:pPr>
            <w:r w:rsidRPr="00690D66">
              <w:t>5.8</w:t>
            </w:r>
          </w:p>
        </w:tc>
        <w:tc>
          <w:tcPr>
            <w:tcW w:w="0" w:type="auto"/>
            <w:tcBorders>
              <w:top w:val="single" w:sz="6" w:space="0" w:color="000000"/>
              <w:left w:val="single" w:sz="6" w:space="0" w:color="000000"/>
              <w:bottom w:val="single" w:sz="6" w:space="0" w:color="000000"/>
              <w:right w:val="single" w:sz="6" w:space="0" w:color="000000"/>
            </w:tcBorders>
            <w:vAlign w:val="bottom"/>
          </w:tcPr>
          <w:p w14:paraId="45511291" w14:textId="77777777" w:rsidR="00690D66" w:rsidRPr="00690D66" w:rsidRDefault="00690D66" w:rsidP="00690D66">
            <w:pPr>
              <w:jc w:val="center"/>
            </w:pPr>
            <w:r w:rsidRPr="00690D66">
              <w:t>7.8</w:t>
            </w:r>
          </w:p>
        </w:tc>
        <w:tc>
          <w:tcPr>
            <w:tcW w:w="0" w:type="auto"/>
            <w:tcBorders>
              <w:top w:val="single" w:sz="6" w:space="0" w:color="000000"/>
              <w:left w:val="single" w:sz="6" w:space="0" w:color="000000"/>
              <w:bottom w:val="single" w:sz="6" w:space="0" w:color="000000"/>
              <w:right w:val="single" w:sz="6" w:space="0" w:color="000000"/>
            </w:tcBorders>
            <w:vAlign w:val="bottom"/>
          </w:tcPr>
          <w:p w14:paraId="524211C7" w14:textId="77777777" w:rsidR="00690D66" w:rsidRPr="00690D66" w:rsidRDefault="00690D66" w:rsidP="00690D66">
            <w:pPr>
              <w:jc w:val="center"/>
            </w:pPr>
            <w:r w:rsidRPr="00690D66">
              <w:t>6.8</w:t>
            </w:r>
          </w:p>
        </w:tc>
        <w:tc>
          <w:tcPr>
            <w:tcW w:w="0" w:type="auto"/>
            <w:tcBorders>
              <w:top w:val="single" w:sz="6" w:space="0" w:color="000000"/>
              <w:left w:val="single" w:sz="6" w:space="0" w:color="000000"/>
              <w:bottom w:val="single" w:sz="6" w:space="0" w:color="000000"/>
              <w:right w:val="single" w:sz="6" w:space="0" w:color="000000"/>
            </w:tcBorders>
            <w:vAlign w:val="bottom"/>
          </w:tcPr>
          <w:p w14:paraId="4BB0D59C" w14:textId="77777777" w:rsidR="00690D66" w:rsidRPr="00690D66" w:rsidRDefault="00690D66" w:rsidP="00690D66">
            <w:pPr>
              <w:jc w:val="center"/>
            </w:pPr>
            <w:r w:rsidRPr="00690D66">
              <w:t>12.6</w:t>
            </w:r>
          </w:p>
        </w:tc>
        <w:tc>
          <w:tcPr>
            <w:tcW w:w="0" w:type="auto"/>
            <w:tcBorders>
              <w:top w:val="single" w:sz="6" w:space="0" w:color="000000"/>
              <w:left w:val="single" w:sz="6" w:space="0" w:color="000000"/>
              <w:bottom w:val="single" w:sz="6" w:space="0" w:color="000000"/>
              <w:right w:val="single" w:sz="6" w:space="0" w:color="000000"/>
            </w:tcBorders>
            <w:vAlign w:val="bottom"/>
          </w:tcPr>
          <w:p w14:paraId="59FFA51A" w14:textId="77777777" w:rsidR="00690D66" w:rsidRPr="00690D66" w:rsidRDefault="00690D66" w:rsidP="00690D66">
            <w:pPr>
              <w:jc w:val="center"/>
            </w:pPr>
            <w:r w:rsidRPr="00690D66">
              <w:t>11.5</w:t>
            </w:r>
          </w:p>
        </w:tc>
        <w:tc>
          <w:tcPr>
            <w:tcW w:w="0" w:type="auto"/>
            <w:tcBorders>
              <w:top w:val="single" w:sz="6" w:space="0" w:color="000000"/>
              <w:left w:val="single" w:sz="6" w:space="0" w:color="000000"/>
              <w:bottom w:val="single" w:sz="6" w:space="0" w:color="000000"/>
              <w:right w:val="single" w:sz="6" w:space="0" w:color="000000"/>
            </w:tcBorders>
            <w:vAlign w:val="bottom"/>
          </w:tcPr>
          <w:p w14:paraId="3F6DB1B5" w14:textId="77777777" w:rsidR="00690D66" w:rsidRPr="00690D66" w:rsidRDefault="00690D66" w:rsidP="00690D66">
            <w:pPr>
              <w:jc w:val="center"/>
            </w:pPr>
            <w:r w:rsidRPr="00690D66">
              <w:t>3.6</w:t>
            </w:r>
          </w:p>
        </w:tc>
        <w:tc>
          <w:tcPr>
            <w:tcW w:w="0" w:type="auto"/>
            <w:tcBorders>
              <w:top w:val="single" w:sz="6" w:space="0" w:color="000000"/>
              <w:left w:val="single" w:sz="6" w:space="0" w:color="000000"/>
              <w:bottom w:val="single" w:sz="6" w:space="0" w:color="000000"/>
            </w:tcBorders>
            <w:vAlign w:val="bottom"/>
          </w:tcPr>
          <w:p w14:paraId="6E474FBB" w14:textId="77777777" w:rsidR="00690D66" w:rsidRPr="00690D66" w:rsidRDefault="00690D66" w:rsidP="00690D66">
            <w:pPr>
              <w:jc w:val="center"/>
            </w:pPr>
            <w:r w:rsidRPr="00690D66">
              <w:t>1.0</w:t>
            </w:r>
          </w:p>
        </w:tc>
      </w:tr>
      <w:tr w:rsidR="00690D66" w:rsidRPr="00690D66" w14:paraId="4CD33C57" w14:textId="77777777" w:rsidTr="00454C5A">
        <w:tc>
          <w:tcPr>
            <w:tcW w:w="824" w:type="pct"/>
            <w:tcBorders>
              <w:top w:val="single" w:sz="6" w:space="0" w:color="000000"/>
              <w:bottom w:val="single" w:sz="12" w:space="0" w:color="auto"/>
              <w:right w:val="single" w:sz="6" w:space="0" w:color="000000"/>
            </w:tcBorders>
            <w:vAlign w:val="center"/>
          </w:tcPr>
          <w:p w14:paraId="3BDFA8E1" w14:textId="77777777" w:rsidR="00690D66" w:rsidRPr="00690D66" w:rsidRDefault="00690D66" w:rsidP="00690D66">
            <w:pPr>
              <w:jc w:val="center"/>
              <w:rPr>
                <w:kern w:val="0"/>
              </w:rPr>
            </w:pPr>
            <w:r w:rsidRPr="00690D66">
              <w:rPr>
                <w:kern w:val="0"/>
              </w:rPr>
              <w:t>12</w:t>
            </w:r>
          </w:p>
        </w:tc>
        <w:tc>
          <w:tcPr>
            <w:tcW w:w="0" w:type="auto"/>
            <w:tcBorders>
              <w:top w:val="single" w:sz="6" w:space="0" w:color="000000"/>
              <w:left w:val="single" w:sz="6" w:space="0" w:color="000000"/>
              <w:bottom w:val="single" w:sz="12" w:space="0" w:color="auto"/>
              <w:right w:val="single" w:sz="6" w:space="0" w:color="000000"/>
            </w:tcBorders>
            <w:vAlign w:val="bottom"/>
          </w:tcPr>
          <w:p w14:paraId="0E5E954F" w14:textId="77777777" w:rsidR="00690D66" w:rsidRPr="00690D66" w:rsidRDefault="00690D66" w:rsidP="00690D66">
            <w:pPr>
              <w:jc w:val="center"/>
            </w:pPr>
            <w:r w:rsidRPr="00690D66">
              <w:t>12.1</w:t>
            </w:r>
          </w:p>
        </w:tc>
        <w:tc>
          <w:tcPr>
            <w:tcW w:w="0" w:type="auto"/>
            <w:tcBorders>
              <w:top w:val="single" w:sz="6" w:space="0" w:color="000000"/>
              <w:left w:val="single" w:sz="6" w:space="0" w:color="000000"/>
              <w:bottom w:val="single" w:sz="12" w:space="0" w:color="auto"/>
              <w:right w:val="single" w:sz="6" w:space="0" w:color="000000"/>
            </w:tcBorders>
            <w:vAlign w:val="bottom"/>
          </w:tcPr>
          <w:p w14:paraId="5D92BBCF" w14:textId="77777777" w:rsidR="00690D66" w:rsidRPr="00690D66" w:rsidRDefault="00690D66" w:rsidP="00690D66">
            <w:pPr>
              <w:jc w:val="center"/>
            </w:pPr>
            <w:r w:rsidRPr="00690D66">
              <w:t>3.4</w:t>
            </w:r>
          </w:p>
        </w:tc>
        <w:tc>
          <w:tcPr>
            <w:tcW w:w="0" w:type="auto"/>
            <w:tcBorders>
              <w:top w:val="single" w:sz="6" w:space="0" w:color="000000"/>
              <w:left w:val="single" w:sz="6" w:space="0" w:color="000000"/>
              <w:bottom w:val="single" w:sz="12" w:space="0" w:color="auto"/>
              <w:right w:val="single" w:sz="6" w:space="0" w:color="000000"/>
            </w:tcBorders>
            <w:vAlign w:val="bottom"/>
          </w:tcPr>
          <w:p w14:paraId="613BD24F" w14:textId="77777777" w:rsidR="00690D66" w:rsidRPr="00690D66" w:rsidRDefault="00690D66" w:rsidP="00690D66">
            <w:pPr>
              <w:jc w:val="center"/>
            </w:pPr>
            <w:r w:rsidRPr="00690D66">
              <w:t>1.2</w:t>
            </w:r>
          </w:p>
        </w:tc>
        <w:tc>
          <w:tcPr>
            <w:tcW w:w="0" w:type="auto"/>
            <w:tcBorders>
              <w:top w:val="single" w:sz="6" w:space="0" w:color="000000"/>
              <w:left w:val="single" w:sz="6" w:space="0" w:color="000000"/>
              <w:bottom w:val="single" w:sz="12" w:space="0" w:color="auto"/>
              <w:right w:val="single" w:sz="6" w:space="0" w:color="000000"/>
            </w:tcBorders>
            <w:vAlign w:val="bottom"/>
          </w:tcPr>
          <w:p w14:paraId="4EFFFFEF" w14:textId="77777777" w:rsidR="00690D66" w:rsidRPr="00690D66" w:rsidRDefault="00690D66" w:rsidP="00690D66">
            <w:pPr>
              <w:jc w:val="center"/>
            </w:pPr>
            <w:r w:rsidRPr="00690D66">
              <w:t>0.7</w:t>
            </w:r>
          </w:p>
        </w:tc>
        <w:tc>
          <w:tcPr>
            <w:tcW w:w="0" w:type="auto"/>
            <w:tcBorders>
              <w:top w:val="single" w:sz="6" w:space="0" w:color="000000"/>
              <w:left w:val="single" w:sz="6" w:space="0" w:color="000000"/>
              <w:bottom w:val="single" w:sz="12" w:space="0" w:color="auto"/>
              <w:right w:val="single" w:sz="6" w:space="0" w:color="000000"/>
            </w:tcBorders>
            <w:vAlign w:val="bottom"/>
          </w:tcPr>
          <w:p w14:paraId="4E0A487E" w14:textId="77777777" w:rsidR="00690D66" w:rsidRPr="00690D66" w:rsidRDefault="00690D66" w:rsidP="00690D66">
            <w:pPr>
              <w:jc w:val="center"/>
            </w:pPr>
            <w:r w:rsidRPr="00690D66">
              <w:t>0.9</w:t>
            </w:r>
          </w:p>
        </w:tc>
        <w:tc>
          <w:tcPr>
            <w:tcW w:w="0" w:type="auto"/>
            <w:tcBorders>
              <w:top w:val="single" w:sz="6" w:space="0" w:color="000000"/>
              <w:left w:val="single" w:sz="6" w:space="0" w:color="000000"/>
              <w:bottom w:val="single" w:sz="12" w:space="0" w:color="auto"/>
              <w:right w:val="single" w:sz="6" w:space="0" w:color="000000"/>
            </w:tcBorders>
            <w:vAlign w:val="bottom"/>
          </w:tcPr>
          <w:p w14:paraId="7B8BED5A" w14:textId="77777777" w:rsidR="00690D66" w:rsidRPr="00690D66" w:rsidRDefault="00690D66" w:rsidP="00690D66">
            <w:pPr>
              <w:jc w:val="center"/>
            </w:pPr>
            <w:r w:rsidRPr="00690D66">
              <w:t>1.1</w:t>
            </w:r>
          </w:p>
        </w:tc>
        <w:tc>
          <w:tcPr>
            <w:tcW w:w="0" w:type="auto"/>
            <w:tcBorders>
              <w:top w:val="single" w:sz="6" w:space="0" w:color="000000"/>
              <w:left w:val="single" w:sz="6" w:space="0" w:color="000000"/>
              <w:bottom w:val="single" w:sz="12" w:space="0" w:color="auto"/>
              <w:right w:val="single" w:sz="6" w:space="0" w:color="000000"/>
            </w:tcBorders>
            <w:vAlign w:val="bottom"/>
          </w:tcPr>
          <w:p w14:paraId="421D7EE5" w14:textId="77777777" w:rsidR="00690D66" w:rsidRPr="00690D66" w:rsidRDefault="00690D66" w:rsidP="00690D66">
            <w:pPr>
              <w:jc w:val="center"/>
            </w:pPr>
            <w:r w:rsidRPr="00690D66">
              <w:t>1.1</w:t>
            </w:r>
          </w:p>
        </w:tc>
        <w:tc>
          <w:tcPr>
            <w:tcW w:w="0" w:type="auto"/>
            <w:tcBorders>
              <w:top w:val="single" w:sz="6" w:space="0" w:color="000000"/>
              <w:left w:val="single" w:sz="6" w:space="0" w:color="000000"/>
              <w:bottom w:val="single" w:sz="12" w:space="0" w:color="auto"/>
              <w:right w:val="single" w:sz="6" w:space="0" w:color="000000"/>
            </w:tcBorders>
            <w:vAlign w:val="bottom"/>
          </w:tcPr>
          <w:p w14:paraId="0099F1EF" w14:textId="77777777" w:rsidR="00690D66" w:rsidRPr="00690D66" w:rsidRDefault="00690D66" w:rsidP="00690D66">
            <w:pPr>
              <w:jc w:val="center"/>
            </w:pPr>
            <w:r w:rsidRPr="00690D66">
              <w:t>5.0</w:t>
            </w:r>
          </w:p>
        </w:tc>
        <w:tc>
          <w:tcPr>
            <w:tcW w:w="0" w:type="auto"/>
            <w:tcBorders>
              <w:top w:val="single" w:sz="6" w:space="0" w:color="000000"/>
              <w:left w:val="single" w:sz="6" w:space="0" w:color="000000"/>
              <w:bottom w:val="single" w:sz="12" w:space="0" w:color="auto"/>
              <w:right w:val="single" w:sz="6" w:space="0" w:color="000000"/>
            </w:tcBorders>
            <w:vAlign w:val="bottom"/>
          </w:tcPr>
          <w:p w14:paraId="2CE31007" w14:textId="77777777" w:rsidR="00690D66" w:rsidRPr="00690D66" w:rsidRDefault="00690D66" w:rsidP="00690D66">
            <w:pPr>
              <w:jc w:val="center"/>
            </w:pPr>
            <w:r w:rsidRPr="00690D66">
              <w:t>14.1</w:t>
            </w:r>
          </w:p>
        </w:tc>
        <w:tc>
          <w:tcPr>
            <w:tcW w:w="0" w:type="auto"/>
            <w:tcBorders>
              <w:top w:val="single" w:sz="6" w:space="0" w:color="000000"/>
              <w:left w:val="single" w:sz="6" w:space="0" w:color="000000"/>
              <w:bottom w:val="single" w:sz="12" w:space="0" w:color="auto"/>
              <w:right w:val="single" w:sz="6" w:space="0" w:color="000000"/>
            </w:tcBorders>
            <w:vAlign w:val="bottom"/>
          </w:tcPr>
          <w:p w14:paraId="1DEAAAD9" w14:textId="77777777" w:rsidR="00690D66" w:rsidRPr="00690D66" w:rsidRDefault="00690D66" w:rsidP="00690D66">
            <w:pPr>
              <w:jc w:val="center"/>
            </w:pPr>
            <w:r w:rsidRPr="00690D66">
              <w:t>8.1</w:t>
            </w:r>
          </w:p>
        </w:tc>
        <w:tc>
          <w:tcPr>
            <w:tcW w:w="0" w:type="auto"/>
            <w:tcBorders>
              <w:top w:val="single" w:sz="6" w:space="0" w:color="000000"/>
              <w:left w:val="single" w:sz="6" w:space="0" w:color="000000"/>
              <w:bottom w:val="single" w:sz="12" w:space="0" w:color="auto"/>
              <w:right w:val="single" w:sz="6" w:space="0" w:color="000000"/>
            </w:tcBorders>
            <w:vAlign w:val="bottom"/>
          </w:tcPr>
          <w:p w14:paraId="4EA8FEB1" w14:textId="77777777" w:rsidR="00690D66" w:rsidRPr="00690D66" w:rsidRDefault="00690D66" w:rsidP="00690D66">
            <w:pPr>
              <w:jc w:val="center"/>
            </w:pPr>
            <w:r w:rsidRPr="00690D66">
              <w:t>5.7</w:t>
            </w:r>
          </w:p>
        </w:tc>
        <w:tc>
          <w:tcPr>
            <w:tcW w:w="0" w:type="auto"/>
            <w:tcBorders>
              <w:top w:val="single" w:sz="6" w:space="0" w:color="000000"/>
              <w:left w:val="single" w:sz="6" w:space="0" w:color="000000"/>
              <w:bottom w:val="single" w:sz="12" w:space="0" w:color="auto"/>
              <w:right w:val="single" w:sz="6" w:space="0" w:color="000000"/>
            </w:tcBorders>
            <w:vAlign w:val="bottom"/>
          </w:tcPr>
          <w:p w14:paraId="443FA2CE" w14:textId="77777777" w:rsidR="00690D66" w:rsidRPr="00690D66" w:rsidRDefault="00690D66" w:rsidP="00690D66">
            <w:pPr>
              <w:jc w:val="center"/>
            </w:pPr>
            <w:r w:rsidRPr="00690D66">
              <w:t>9.4</w:t>
            </w:r>
          </w:p>
        </w:tc>
        <w:tc>
          <w:tcPr>
            <w:tcW w:w="0" w:type="auto"/>
            <w:tcBorders>
              <w:top w:val="single" w:sz="6" w:space="0" w:color="000000"/>
              <w:left w:val="single" w:sz="6" w:space="0" w:color="000000"/>
              <w:bottom w:val="single" w:sz="12" w:space="0" w:color="auto"/>
              <w:right w:val="single" w:sz="6" w:space="0" w:color="000000"/>
            </w:tcBorders>
            <w:vAlign w:val="bottom"/>
          </w:tcPr>
          <w:p w14:paraId="58559A8B" w14:textId="77777777" w:rsidR="00690D66" w:rsidRPr="00690D66" w:rsidRDefault="00690D66" w:rsidP="00690D66">
            <w:pPr>
              <w:jc w:val="center"/>
            </w:pPr>
            <w:r w:rsidRPr="00690D66">
              <w:t>7.9</w:t>
            </w:r>
          </w:p>
        </w:tc>
        <w:tc>
          <w:tcPr>
            <w:tcW w:w="0" w:type="auto"/>
            <w:tcBorders>
              <w:top w:val="single" w:sz="6" w:space="0" w:color="000000"/>
              <w:left w:val="single" w:sz="6" w:space="0" w:color="000000"/>
              <w:bottom w:val="single" w:sz="12" w:space="0" w:color="auto"/>
              <w:right w:val="single" w:sz="6" w:space="0" w:color="000000"/>
            </w:tcBorders>
            <w:vAlign w:val="bottom"/>
          </w:tcPr>
          <w:p w14:paraId="67169AF0" w14:textId="77777777" w:rsidR="00690D66" w:rsidRPr="00690D66" w:rsidRDefault="00690D66" w:rsidP="00690D66">
            <w:pPr>
              <w:jc w:val="center"/>
            </w:pPr>
            <w:r w:rsidRPr="00690D66">
              <w:t>11.6</w:t>
            </w:r>
          </w:p>
        </w:tc>
        <w:tc>
          <w:tcPr>
            <w:tcW w:w="0" w:type="auto"/>
            <w:tcBorders>
              <w:top w:val="single" w:sz="6" w:space="0" w:color="000000"/>
              <w:left w:val="single" w:sz="6" w:space="0" w:color="000000"/>
              <w:bottom w:val="single" w:sz="12" w:space="0" w:color="auto"/>
              <w:right w:val="single" w:sz="6" w:space="0" w:color="000000"/>
            </w:tcBorders>
            <w:vAlign w:val="bottom"/>
          </w:tcPr>
          <w:p w14:paraId="6942DE39" w14:textId="77777777" w:rsidR="00690D66" w:rsidRPr="00690D66" w:rsidRDefault="00690D66" w:rsidP="00690D66">
            <w:pPr>
              <w:jc w:val="center"/>
            </w:pPr>
            <w:r w:rsidRPr="00690D66">
              <w:t>9.3</w:t>
            </w:r>
          </w:p>
        </w:tc>
        <w:tc>
          <w:tcPr>
            <w:tcW w:w="0" w:type="auto"/>
            <w:tcBorders>
              <w:top w:val="single" w:sz="6" w:space="0" w:color="000000"/>
              <w:left w:val="single" w:sz="6" w:space="0" w:color="000000"/>
              <w:bottom w:val="single" w:sz="12" w:space="0" w:color="auto"/>
              <w:right w:val="single" w:sz="6" w:space="0" w:color="000000"/>
            </w:tcBorders>
            <w:vAlign w:val="bottom"/>
          </w:tcPr>
          <w:p w14:paraId="45542645" w14:textId="77777777" w:rsidR="00690D66" w:rsidRPr="00690D66" w:rsidRDefault="00690D66" w:rsidP="00690D66">
            <w:pPr>
              <w:jc w:val="center"/>
            </w:pPr>
            <w:r w:rsidRPr="00690D66">
              <w:t>6.2</w:t>
            </w:r>
          </w:p>
        </w:tc>
        <w:tc>
          <w:tcPr>
            <w:tcW w:w="0" w:type="auto"/>
            <w:tcBorders>
              <w:top w:val="single" w:sz="6" w:space="0" w:color="000000"/>
              <w:left w:val="single" w:sz="6" w:space="0" w:color="000000"/>
              <w:bottom w:val="single" w:sz="12" w:space="0" w:color="auto"/>
            </w:tcBorders>
            <w:vAlign w:val="bottom"/>
          </w:tcPr>
          <w:p w14:paraId="484CFEAE" w14:textId="77777777" w:rsidR="00690D66" w:rsidRPr="00690D66" w:rsidRDefault="00690D66" w:rsidP="00690D66">
            <w:pPr>
              <w:jc w:val="center"/>
            </w:pPr>
            <w:r w:rsidRPr="00690D66">
              <w:t>2.4</w:t>
            </w:r>
          </w:p>
        </w:tc>
      </w:tr>
    </w:tbl>
    <w:p w14:paraId="5EBEBB5B" w14:textId="77777777" w:rsidR="00690D66" w:rsidRPr="005D74E7" w:rsidRDefault="00690D66" w:rsidP="005D74E7">
      <w:pPr>
        <w:pStyle w:val="affffff4"/>
      </w:pPr>
      <w:r w:rsidRPr="005D74E7">
        <w:rPr>
          <w:rFonts w:ascii="Cambria Math" w:hAnsi="Cambria Math" w:cs="Cambria Math"/>
        </w:rPr>
        <w:t>③</w:t>
      </w:r>
      <w:r w:rsidRPr="005D74E7">
        <w:t>风速年际变化特征与周期分析</w:t>
      </w:r>
    </w:p>
    <w:p w14:paraId="56268586" w14:textId="77777777" w:rsidR="00690D66" w:rsidRPr="005D74E7" w:rsidRDefault="00690D66" w:rsidP="005D74E7">
      <w:pPr>
        <w:pStyle w:val="affffff4"/>
      </w:pPr>
      <w:r w:rsidRPr="005D74E7">
        <w:t>根据近</w:t>
      </w:r>
      <w:r w:rsidRPr="005D74E7">
        <w:t>20</w:t>
      </w:r>
      <w:r w:rsidRPr="005D74E7">
        <w:t>年资料分析，大庆气象站</w:t>
      </w:r>
      <w:r w:rsidRPr="005D74E7">
        <w:t>2019</w:t>
      </w:r>
      <w:r w:rsidRPr="005D74E7">
        <w:t>年年平均风速最大（</w:t>
      </w:r>
      <w:r w:rsidRPr="005D74E7">
        <w:t>3.1m/s</w:t>
      </w:r>
      <w:r w:rsidRPr="005D74E7">
        <w:t>），</w:t>
      </w:r>
      <w:r w:rsidRPr="005D74E7">
        <w:t>2014</w:t>
      </w:r>
      <w:r w:rsidRPr="005D74E7">
        <w:t>、</w:t>
      </w:r>
      <w:r w:rsidRPr="005D74E7">
        <w:t>2015</w:t>
      </w:r>
      <w:r w:rsidRPr="005D74E7">
        <w:t>年年平均风速最小（</w:t>
      </w:r>
      <w:r w:rsidRPr="005D74E7">
        <w:t>1.5m/s</w:t>
      </w:r>
      <w:r w:rsidRPr="005D74E7">
        <w:t>）。</w:t>
      </w:r>
    </w:p>
    <w:p w14:paraId="1EDD3C00" w14:textId="77777777" w:rsidR="00690D66" w:rsidRPr="00690D66" w:rsidRDefault="00690D66" w:rsidP="00690D66">
      <w:pPr>
        <w:autoSpaceDE w:val="0"/>
        <w:autoSpaceDN w:val="0"/>
        <w:jc w:val="center"/>
        <w:rPr>
          <w:rFonts w:eastAsia="微软雅黑"/>
          <w:kern w:val="0"/>
          <w:sz w:val="22"/>
          <w:szCs w:val="22"/>
        </w:rPr>
      </w:pPr>
      <w:r w:rsidRPr="00690D66">
        <w:rPr>
          <w:rFonts w:ascii="Calibri" w:hAnsi="Calibri" w:cs="Arial"/>
          <w:noProof/>
          <w:szCs w:val="24"/>
        </w:rPr>
        <w:lastRenderedPageBreak/>
        <w:drawing>
          <wp:inline distT="0" distB="0" distL="114300" distR="114300" wp14:anchorId="262F9A78" wp14:editId="0B45B920">
            <wp:extent cx="3583940" cy="2377440"/>
            <wp:effectExtent l="0" t="0" r="16510" b="3810"/>
            <wp:docPr id="22"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7"/>
                    <pic:cNvPicPr>
                      <a:picLocks noChangeAspect="1"/>
                    </pic:cNvPicPr>
                  </pic:nvPicPr>
                  <pic:blipFill>
                    <a:blip r:embed="rId97"/>
                    <a:stretch>
                      <a:fillRect/>
                    </a:stretch>
                  </pic:blipFill>
                  <pic:spPr>
                    <a:xfrm>
                      <a:off x="0" y="0"/>
                      <a:ext cx="3583940" cy="2377440"/>
                    </a:xfrm>
                    <a:prstGeom prst="rect">
                      <a:avLst/>
                    </a:prstGeom>
                    <a:noFill/>
                    <a:ln>
                      <a:noFill/>
                    </a:ln>
                  </pic:spPr>
                </pic:pic>
              </a:graphicData>
            </a:graphic>
          </wp:inline>
        </w:drawing>
      </w:r>
    </w:p>
    <w:p w14:paraId="28538911" w14:textId="67E5DF42" w:rsidR="00690D66" w:rsidRPr="00857E7A" w:rsidRDefault="00690D66" w:rsidP="00857E7A">
      <w:pPr>
        <w:pStyle w:val="aff2"/>
        <w:spacing w:after="0"/>
        <w:ind w:firstLineChars="0" w:firstLine="0"/>
        <w:jc w:val="center"/>
        <w:rPr>
          <w:rStyle w:val="Charf"/>
          <w:bCs w:val="0"/>
        </w:rPr>
      </w:pPr>
      <w:r w:rsidRPr="00857E7A">
        <w:rPr>
          <w:rStyle w:val="Charf"/>
          <w:bCs w:val="0"/>
        </w:rPr>
        <w:t>图</w:t>
      </w:r>
      <w:r w:rsidR="00857E7A">
        <w:rPr>
          <w:rStyle w:val="Charf"/>
          <w:rFonts w:hint="eastAsia"/>
          <w:bCs w:val="0"/>
        </w:rPr>
        <w:t>6.2-7</w:t>
      </w:r>
      <w:r w:rsidRPr="00857E7A">
        <w:rPr>
          <w:rStyle w:val="Charf"/>
          <w:bCs w:val="0"/>
        </w:rPr>
        <w:t xml:space="preserve"> </w:t>
      </w:r>
      <w:r w:rsidRPr="00857E7A">
        <w:rPr>
          <w:rStyle w:val="Charf"/>
          <w:bCs w:val="0"/>
        </w:rPr>
        <w:t>（</w:t>
      </w:r>
      <w:r w:rsidRPr="00857E7A">
        <w:rPr>
          <w:rStyle w:val="Charf"/>
          <w:bCs w:val="0"/>
        </w:rPr>
        <w:t>2004-2023</w:t>
      </w:r>
      <w:r w:rsidRPr="00857E7A">
        <w:rPr>
          <w:rStyle w:val="Charf"/>
          <w:bCs w:val="0"/>
        </w:rPr>
        <w:t>）年平均风速（单位：</w:t>
      </w:r>
      <w:r w:rsidRPr="00857E7A">
        <w:rPr>
          <w:rStyle w:val="Charf"/>
          <w:bCs w:val="0"/>
        </w:rPr>
        <w:t>m/s</w:t>
      </w:r>
      <w:r w:rsidRPr="00857E7A">
        <w:rPr>
          <w:rStyle w:val="Charf"/>
          <w:bCs w:val="0"/>
        </w:rPr>
        <w:t>，虚线为趋势线）</w:t>
      </w:r>
    </w:p>
    <w:p w14:paraId="27BE2C71" w14:textId="0D28BD36" w:rsidR="00690D66" w:rsidRPr="005D74E7" w:rsidRDefault="00690D66" w:rsidP="005D74E7">
      <w:pPr>
        <w:pStyle w:val="affffff4"/>
      </w:pPr>
      <w:r w:rsidRPr="005D74E7">
        <w:t>（</w:t>
      </w:r>
      <w:r w:rsidR="001025A4">
        <w:rPr>
          <w:rFonts w:hint="eastAsia"/>
        </w:rPr>
        <w:t>8</w:t>
      </w:r>
      <w:r w:rsidRPr="005D74E7">
        <w:t>）气象站温度分析</w:t>
      </w:r>
    </w:p>
    <w:p w14:paraId="45BBA7AB" w14:textId="77777777" w:rsidR="00690D66" w:rsidRPr="005D74E7" w:rsidRDefault="00690D66" w:rsidP="005D74E7">
      <w:pPr>
        <w:pStyle w:val="affffff4"/>
      </w:pPr>
      <w:r w:rsidRPr="005D74E7">
        <w:rPr>
          <w:rFonts w:ascii="Cambria Math" w:hAnsi="Cambria Math" w:cs="Cambria Math"/>
        </w:rPr>
        <w:t>①</w:t>
      </w:r>
      <w:r w:rsidRPr="005D74E7">
        <w:t>月平均气温与极端气温</w:t>
      </w:r>
    </w:p>
    <w:p w14:paraId="4B1C22F0" w14:textId="77777777" w:rsidR="00690D66" w:rsidRPr="005D74E7" w:rsidRDefault="00690D66" w:rsidP="005D74E7">
      <w:pPr>
        <w:pStyle w:val="affffff4"/>
      </w:pPr>
      <w:r w:rsidRPr="005D74E7">
        <w:t>大庆气象站</w:t>
      </w:r>
      <w:r w:rsidRPr="005D74E7">
        <w:t>07</w:t>
      </w:r>
      <w:r w:rsidRPr="005D74E7">
        <w:t>月气温最高（</w:t>
      </w:r>
      <w:r w:rsidRPr="005D74E7">
        <w:t>22.9℃</w:t>
      </w:r>
      <w:r w:rsidRPr="005D74E7">
        <w:t>），</w:t>
      </w:r>
      <w:r w:rsidRPr="005D74E7">
        <w:t>01</w:t>
      </w:r>
      <w:r w:rsidRPr="005D74E7">
        <w:t>月气温最低（</w:t>
      </w:r>
      <w:r w:rsidRPr="005D74E7">
        <w:t>-17.3℃</w:t>
      </w:r>
      <w:r w:rsidRPr="005D74E7">
        <w:t>），近</w:t>
      </w:r>
      <w:r w:rsidRPr="005D74E7">
        <w:t>20</w:t>
      </w:r>
      <w:r w:rsidRPr="005D74E7">
        <w:t>年极端最高气温出现在</w:t>
      </w:r>
      <w:r w:rsidRPr="005D74E7">
        <w:t>2018-06-02</w:t>
      </w:r>
      <w:r w:rsidRPr="005D74E7">
        <w:t>（</w:t>
      </w:r>
      <w:r w:rsidRPr="005D74E7">
        <w:t>38.8℃</w:t>
      </w:r>
      <w:r w:rsidRPr="005D74E7">
        <w:t>），近</w:t>
      </w:r>
      <w:r w:rsidRPr="005D74E7">
        <w:t>20</w:t>
      </w:r>
      <w:r w:rsidRPr="005D74E7">
        <w:t>年极端最低气温出现在</w:t>
      </w:r>
      <w:r w:rsidRPr="005D74E7">
        <w:t>2013-01-01</w:t>
      </w:r>
      <w:r w:rsidRPr="005D74E7">
        <w:t>（</w:t>
      </w:r>
      <w:r w:rsidRPr="005D74E7">
        <w:t>-31.9℃</w:t>
      </w:r>
      <w:r w:rsidRPr="005D74E7">
        <w:t>）。</w:t>
      </w:r>
    </w:p>
    <w:p w14:paraId="11752689" w14:textId="77777777" w:rsidR="00690D66" w:rsidRPr="00690D66" w:rsidRDefault="00690D66" w:rsidP="00690D66">
      <w:pPr>
        <w:autoSpaceDE w:val="0"/>
        <w:autoSpaceDN w:val="0"/>
        <w:spacing w:line="360" w:lineRule="auto"/>
        <w:jc w:val="center"/>
        <w:rPr>
          <w:b/>
          <w:sz w:val="24"/>
          <w:szCs w:val="24"/>
        </w:rPr>
      </w:pPr>
      <w:r w:rsidRPr="00690D66">
        <w:rPr>
          <w:rFonts w:ascii="Calibri" w:hAnsi="Calibri" w:cs="Arial"/>
          <w:noProof/>
          <w:szCs w:val="24"/>
        </w:rPr>
        <w:drawing>
          <wp:inline distT="0" distB="0" distL="114300" distR="114300" wp14:anchorId="0CDBB7B3" wp14:editId="642314E8">
            <wp:extent cx="3664585" cy="2515235"/>
            <wp:effectExtent l="0" t="0" r="12065" b="18415"/>
            <wp:docPr id="2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8"/>
                    <pic:cNvPicPr>
                      <a:picLocks noChangeAspect="1"/>
                    </pic:cNvPicPr>
                  </pic:nvPicPr>
                  <pic:blipFill>
                    <a:blip r:embed="rId98"/>
                    <a:stretch>
                      <a:fillRect/>
                    </a:stretch>
                  </pic:blipFill>
                  <pic:spPr>
                    <a:xfrm>
                      <a:off x="0" y="0"/>
                      <a:ext cx="3664585" cy="2515235"/>
                    </a:xfrm>
                    <a:prstGeom prst="rect">
                      <a:avLst/>
                    </a:prstGeom>
                    <a:noFill/>
                    <a:ln>
                      <a:noFill/>
                    </a:ln>
                  </pic:spPr>
                </pic:pic>
              </a:graphicData>
            </a:graphic>
          </wp:inline>
        </w:drawing>
      </w:r>
    </w:p>
    <w:p w14:paraId="565404F9" w14:textId="12F65A7C" w:rsidR="00690D66" w:rsidRPr="00857E7A" w:rsidRDefault="00690D66" w:rsidP="00857E7A">
      <w:pPr>
        <w:pStyle w:val="aff2"/>
        <w:spacing w:after="0"/>
        <w:ind w:firstLineChars="0" w:firstLine="0"/>
        <w:jc w:val="center"/>
        <w:rPr>
          <w:rStyle w:val="Charf"/>
          <w:bCs w:val="0"/>
        </w:rPr>
      </w:pPr>
      <w:r w:rsidRPr="00857E7A">
        <w:rPr>
          <w:rStyle w:val="Charf"/>
          <w:bCs w:val="0"/>
        </w:rPr>
        <w:t>图</w:t>
      </w:r>
      <w:r w:rsidR="00857E7A">
        <w:rPr>
          <w:rStyle w:val="Charf"/>
          <w:rFonts w:hint="eastAsia"/>
          <w:bCs w:val="0"/>
        </w:rPr>
        <w:t>6.2-8</w:t>
      </w:r>
      <w:r w:rsidRPr="00857E7A">
        <w:rPr>
          <w:rStyle w:val="Charf"/>
          <w:bCs w:val="0"/>
        </w:rPr>
        <w:t xml:space="preserve">  </w:t>
      </w:r>
      <w:r w:rsidRPr="00857E7A">
        <w:rPr>
          <w:rStyle w:val="Charf"/>
          <w:bCs w:val="0"/>
        </w:rPr>
        <w:t>月平均气温图（单位：</w:t>
      </w:r>
      <w:r w:rsidRPr="00857E7A">
        <w:rPr>
          <w:rStyle w:val="Charf"/>
          <w:bCs w:val="0"/>
        </w:rPr>
        <w:t>℃</w:t>
      </w:r>
      <w:r w:rsidRPr="00857E7A">
        <w:rPr>
          <w:rStyle w:val="Charf"/>
          <w:bCs w:val="0"/>
        </w:rPr>
        <w:t>）</w:t>
      </w:r>
    </w:p>
    <w:p w14:paraId="704FAEED" w14:textId="77777777" w:rsidR="00690D66" w:rsidRPr="005D74E7" w:rsidRDefault="00690D66" w:rsidP="005D74E7">
      <w:pPr>
        <w:pStyle w:val="affffff4"/>
      </w:pPr>
      <w:r w:rsidRPr="005D74E7">
        <w:rPr>
          <w:rFonts w:ascii="Cambria Math" w:hAnsi="Cambria Math" w:cs="Cambria Math"/>
        </w:rPr>
        <w:t>②</w:t>
      </w:r>
      <w:r w:rsidRPr="005D74E7">
        <w:t>温度年际变化趋势与周期分析</w:t>
      </w:r>
    </w:p>
    <w:p w14:paraId="3BF6BE92" w14:textId="77777777" w:rsidR="00690D66" w:rsidRPr="005D74E7" w:rsidRDefault="00690D66" w:rsidP="005D74E7">
      <w:pPr>
        <w:pStyle w:val="affffff4"/>
      </w:pPr>
      <w:r w:rsidRPr="005D74E7">
        <w:t>大庆气象站近</w:t>
      </w:r>
      <w:r w:rsidRPr="005D74E7">
        <w:t>20</w:t>
      </w:r>
      <w:r w:rsidRPr="005D74E7">
        <w:t>年气温呈逐年上升趋势，</w:t>
      </w:r>
      <w:r w:rsidRPr="005D74E7">
        <w:t>2007</w:t>
      </w:r>
      <w:r w:rsidRPr="005D74E7">
        <w:t>年年平均气温最高（</w:t>
      </w:r>
      <w:r w:rsidRPr="005D74E7">
        <w:t>6.4℃</w:t>
      </w:r>
      <w:r w:rsidRPr="005D74E7">
        <w:t>），</w:t>
      </w:r>
      <w:r w:rsidRPr="005D74E7">
        <w:t>2010</w:t>
      </w:r>
      <w:r w:rsidRPr="005D74E7">
        <w:t>年年平均气温最低（</w:t>
      </w:r>
      <w:r w:rsidRPr="005D74E7">
        <w:t>4.1℃</w:t>
      </w:r>
      <w:r w:rsidRPr="005D74E7">
        <w:t>）。</w:t>
      </w:r>
    </w:p>
    <w:p w14:paraId="03F9C647" w14:textId="77777777" w:rsidR="00690D66" w:rsidRPr="00690D66" w:rsidRDefault="00690D66" w:rsidP="00690D66">
      <w:pPr>
        <w:autoSpaceDE w:val="0"/>
        <w:autoSpaceDN w:val="0"/>
        <w:jc w:val="center"/>
        <w:rPr>
          <w:b/>
          <w:sz w:val="24"/>
          <w:szCs w:val="24"/>
        </w:rPr>
      </w:pPr>
      <w:r w:rsidRPr="00690D66">
        <w:rPr>
          <w:rFonts w:ascii="Calibri" w:hAnsi="Calibri" w:cs="Arial"/>
          <w:noProof/>
          <w:szCs w:val="24"/>
        </w:rPr>
        <w:lastRenderedPageBreak/>
        <w:drawing>
          <wp:inline distT="0" distB="0" distL="114300" distR="114300" wp14:anchorId="30E6020A" wp14:editId="02E919D8">
            <wp:extent cx="4280535" cy="2809875"/>
            <wp:effectExtent l="0" t="0" r="5715" b="9525"/>
            <wp:docPr id="2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9"/>
                    <pic:cNvPicPr>
                      <a:picLocks noChangeAspect="1"/>
                    </pic:cNvPicPr>
                  </pic:nvPicPr>
                  <pic:blipFill>
                    <a:blip r:embed="rId99"/>
                    <a:stretch>
                      <a:fillRect/>
                    </a:stretch>
                  </pic:blipFill>
                  <pic:spPr>
                    <a:xfrm>
                      <a:off x="0" y="0"/>
                      <a:ext cx="4280535" cy="2809875"/>
                    </a:xfrm>
                    <a:prstGeom prst="rect">
                      <a:avLst/>
                    </a:prstGeom>
                    <a:noFill/>
                    <a:ln>
                      <a:noFill/>
                    </a:ln>
                  </pic:spPr>
                </pic:pic>
              </a:graphicData>
            </a:graphic>
          </wp:inline>
        </w:drawing>
      </w:r>
    </w:p>
    <w:p w14:paraId="2038401A" w14:textId="4A653F33" w:rsidR="00690D66" w:rsidRPr="00857E7A" w:rsidRDefault="00690D66" w:rsidP="00857E7A">
      <w:pPr>
        <w:pStyle w:val="aff2"/>
        <w:spacing w:after="0"/>
        <w:ind w:firstLineChars="0" w:firstLine="0"/>
        <w:jc w:val="center"/>
        <w:rPr>
          <w:rStyle w:val="Charf"/>
          <w:bCs w:val="0"/>
        </w:rPr>
      </w:pPr>
      <w:r w:rsidRPr="00857E7A">
        <w:rPr>
          <w:rStyle w:val="Charf"/>
          <w:bCs w:val="0"/>
        </w:rPr>
        <w:t>图</w:t>
      </w:r>
      <w:r w:rsidR="00857E7A">
        <w:rPr>
          <w:rStyle w:val="Charf"/>
          <w:rFonts w:hint="eastAsia"/>
          <w:bCs w:val="0"/>
        </w:rPr>
        <w:t>6.2-9</w:t>
      </w:r>
      <w:r w:rsidRPr="00857E7A">
        <w:rPr>
          <w:rStyle w:val="Charf"/>
          <w:bCs w:val="0"/>
        </w:rPr>
        <w:t xml:space="preserve"> </w:t>
      </w:r>
      <w:r w:rsidRPr="00857E7A">
        <w:rPr>
          <w:rStyle w:val="Charf"/>
          <w:bCs w:val="0"/>
        </w:rPr>
        <w:t>（</w:t>
      </w:r>
      <w:r w:rsidRPr="00857E7A">
        <w:rPr>
          <w:rStyle w:val="Charf"/>
          <w:bCs w:val="0"/>
        </w:rPr>
        <w:t>2004-2023</w:t>
      </w:r>
      <w:r w:rsidRPr="00857E7A">
        <w:rPr>
          <w:rStyle w:val="Charf"/>
          <w:bCs w:val="0"/>
        </w:rPr>
        <w:t>）年平均气温（单位：</w:t>
      </w:r>
      <w:r w:rsidRPr="00857E7A">
        <w:rPr>
          <w:rStyle w:val="Charf"/>
          <w:bCs w:val="0"/>
        </w:rPr>
        <w:t>℃</w:t>
      </w:r>
      <w:r w:rsidRPr="00857E7A">
        <w:rPr>
          <w:rStyle w:val="Charf"/>
          <w:bCs w:val="0"/>
        </w:rPr>
        <w:t>，虚线为趋势线）</w:t>
      </w:r>
    </w:p>
    <w:p w14:paraId="28FFE2AA" w14:textId="757EB4C8" w:rsidR="00690D66" w:rsidRPr="005D74E7" w:rsidRDefault="00690D66" w:rsidP="005D74E7">
      <w:pPr>
        <w:pStyle w:val="affffff4"/>
      </w:pPr>
      <w:r w:rsidRPr="005D74E7">
        <w:t>（</w:t>
      </w:r>
      <w:r w:rsidR="001025A4">
        <w:rPr>
          <w:rFonts w:hint="eastAsia"/>
        </w:rPr>
        <w:t>9</w:t>
      </w:r>
      <w:r w:rsidRPr="005D74E7">
        <w:t>）气象站降水分析</w:t>
      </w:r>
    </w:p>
    <w:p w14:paraId="7BA75697" w14:textId="77777777" w:rsidR="00690D66" w:rsidRPr="005D74E7" w:rsidRDefault="00690D66" w:rsidP="005D74E7">
      <w:pPr>
        <w:pStyle w:val="affffff4"/>
      </w:pPr>
      <w:r w:rsidRPr="005D74E7">
        <w:rPr>
          <w:rFonts w:ascii="Cambria Math" w:hAnsi="Cambria Math" w:cs="Cambria Math"/>
        </w:rPr>
        <w:t>①</w:t>
      </w:r>
      <w:r w:rsidRPr="005D74E7">
        <w:t>月平均降水与极端降水</w:t>
      </w:r>
    </w:p>
    <w:p w14:paraId="5DB1DFF5" w14:textId="77777777" w:rsidR="00690D66" w:rsidRPr="005D74E7" w:rsidRDefault="00690D66" w:rsidP="005D74E7">
      <w:pPr>
        <w:pStyle w:val="affffff4"/>
      </w:pPr>
      <w:r w:rsidRPr="005D74E7">
        <w:t>大庆气象站</w:t>
      </w:r>
      <w:r w:rsidRPr="005D74E7">
        <w:t>07</w:t>
      </w:r>
      <w:r w:rsidRPr="005D74E7">
        <w:t>月降水量最大（</w:t>
      </w:r>
      <w:r w:rsidRPr="005D74E7">
        <w:t>145.9mm</w:t>
      </w:r>
      <w:r w:rsidRPr="005D74E7">
        <w:t>），</w:t>
      </w:r>
      <w:r w:rsidRPr="005D74E7">
        <w:t>1</w:t>
      </w:r>
      <w:r w:rsidRPr="005D74E7">
        <w:t>月降水量最小（</w:t>
      </w:r>
      <w:r w:rsidRPr="005D74E7">
        <w:t>2.6mm</w:t>
      </w:r>
      <w:r w:rsidRPr="005D74E7">
        <w:t>），近</w:t>
      </w:r>
      <w:r w:rsidRPr="005D74E7">
        <w:t>20</w:t>
      </w:r>
      <w:r w:rsidRPr="005D74E7">
        <w:t>年极端最大日降水出现在</w:t>
      </w:r>
      <w:r w:rsidRPr="005D74E7">
        <w:t>2018-07-25</w:t>
      </w:r>
      <w:r w:rsidRPr="005D74E7">
        <w:t>（</w:t>
      </w:r>
      <w:r w:rsidRPr="005D74E7">
        <w:t>96.8mm</w:t>
      </w:r>
      <w:r w:rsidRPr="005D74E7">
        <w:t>）。</w:t>
      </w:r>
    </w:p>
    <w:p w14:paraId="0BE992A6" w14:textId="77777777" w:rsidR="00690D66" w:rsidRPr="00690D66" w:rsidRDefault="00690D66" w:rsidP="00690D66">
      <w:pPr>
        <w:autoSpaceDE w:val="0"/>
        <w:autoSpaceDN w:val="0"/>
        <w:adjustRightInd w:val="0"/>
        <w:snapToGrid w:val="0"/>
        <w:spacing w:line="360" w:lineRule="auto"/>
        <w:ind w:firstLineChars="200" w:firstLine="420"/>
        <w:jc w:val="center"/>
        <w:rPr>
          <w:kern w:val="0"/>
          <w:sz w:val="24"/>
          <w:szCs w:val="24"/>
        </w:rPr>
      </w:pPr>
      <w:r w:rsidRPr="00690D66">
        <w:rPr>
          <w:rFonts w:ascii="Calibri" w:hAnsi="Calibri" w:cs="Arial"/>
          <w:noProof/>
          <w:szCs w:val="24"/>
        </w:rPr>
        <w:drawing>
          <wp:inline distT="0" distB="0" distL="114300" distR="114300" wp14:anchorId="43912FA3" wp14:editId="33DD5496">
            <wp:extent cx="4037330" cy="2810510"/>
            <wp:effectExtent l="0" t="0" r="1270" b="8890"/>
            <wp:docPr id="90464873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0"/>
                    <pic:cNvPicPr>
                      <a:picLocks noChangeAspect="1"/>
                    </pic:cNvPicPr>
                  </pic:nvPicPr>
                  <pic:blipFill>
                    <a:blip r:embed="rId100"/>
                    <a:stretch>
                      <a:fillRect/>
                    </a:stretch>
                  </pic:blipFill>
                  <pic:spPr>
                    <a:xfrm>
                      <a:off x="0" y="0"/>
                      <a:ext cx="4037330" cy="2810510"/>
                    </a:xfrm>
                    <a:prstGeom prst="rect">
                      <a:avLst/>
                    </a:prstGeom>
                    <a:noFill/>
                    <a:ln>
                      <a:noFill/>
                    </a:ln>
                  </pic:spPr>
                </pic:pic>
              </a:graphicData>
            </a:graphic>
          </wp:inline>
        </w:drawing>
      </w:r>
    </w:p>
    <w:p w14:paraId="1AAB9936" w14:textId="10EA80FB" w:rsidR="00690D66" w:rsidRPr="00857E7A" w:rsidRDefault="00690D66" w:rsidP="00857E7A">
      <w:pPr>
        <w:pStyle w:val="aff2"/>
        <w:spacing w:after="0"/>
        <w:ind w:firstLineChars="0" w:firstLine="0"/>
        <w:jc w:val="center"/>
        <w:rPr>
          <w:rStyle w:val="Charf"/>
          <w:bCs w:val="0"/>
        </w:rPr>
      </w:pPr>
      <w:r w:rsidRPr="00857E7A">
        <w:rPr>
          <w:rStyle w:val="Charf"/>
          <w:bCs w:val="0"/>
        </w:rPr>
        <w:t>图</w:t>
      </w:r>
      <w:r w:rsidR="00857E7A">
        <w:rPr>
          <w:rStyle w:val="Charf"/>
          <w:rFonts w:hint="eastAsia"/>
          <w:bCs w:val="0"/>
        </w:rPr>
        <w:t>6.2-10</w:t>
      </w:r>
      <w:r w:rsidRPr="00857E7A">
        <w:rPr>
          <w:rStyle w:val="Charf"/>
          <w:bCs w:val="0"/>
        </w:rPr>
        <w:t xml:space="preserve">  </w:t>
      </w:r>
      <w:r w:rsidRPr="00857E7A">
        <w:rPr>
          <w:rStyle w:val="Charf"/>
          <w:bCs w:val="0"/>
        </w:rPr>
        <w:t>月平均降水量（单位：毫米）</w:t>
      </w:r>
    </w:p>
    <w:p w14:paraId="44217B38" w14:textId="77777777" w:rsidR="00690D66" w:rsidRPr="00690D66" w:rsidRDefault="00690D66" w:rsidP="00690D66">
      <w:pPr>
        <w:autoSpaceDE w:val="0"/>
        <w:autoSpaceDN w:val="0"/>
        <w:adjustRightInd w:val="0"/>
        <w:snapToGrid w:val="0"/>
        <w:spacing w:line="360" w:lineRule="auto"/>
        <w:ind w:firstLineChars="200" w:firstLine="480"/>
        <w:jc w:val="left"/>
        <w:rPr>
          <w:kern w:val="0"/>
          <w:sz w:val="24"/>
          <w:szCs w:val="24"/>
        </w:rPr>
      </w:pPr>
      <w:r w:rsidRPr="00690D66">
        <w:rPr>
          <w:rFonts w:ascii="Cambria Math" w:hAnsi="Cambria Math" w:cs="Cambria Math"/>
          <w:kern w:val="0"/>
          <w:sz w:val="24"/>
          <w:szCs w:val="24"/>
        </w:rPr>
        <w:t>②</w:t>
      </w:r>
      <w:r w:rsidRPr="00690D66">
        <w:rPr>
          <w:kern w:val="0"/>
          <w:sz w:val="24"/>
          <w:szCs w:val="24"/>
        </w:rPr>
        <w:t>降水年际变化趋势与周期分析</w:t>
      </w:r>
    </w:p>
    <w:p w14:paraId="5380DB93" w14:textId="77777777" w:rsidR="00690D66" w:rsidRPr="00690D66" w:rsidRDefault="00690D66" w:rsidP="00690D66">
      <w:pPr>
        <w:autoSpaceDE w:val="0"/>
        <w:autoSpaceDN w:val="0"/>
        <w:adjustRightInd w:val="0"/>
        <w:snapToGrid w:val="0"/>
        <w:spacing w:line="360" w:lineRule="auto"/>
        <w:ind w:firstLineChars="200" w:firstLine="480"/>
        <w:rPr>
          <w:kern w:val="0"/>
          <w:sz w:val="24"/>
          <w:szCs w:val="24"/>
        </w:rPr>
      </w:pPr>
      <w:r w:rsidRPr="00690D66">
        <w:rPr>
          <w:kern w:val="0"/>
          <w:sz w:val="24"/>
          <w:szCs w:val="24"/>
        </w:rPr>
        <w:t>大庆气象站近</w:t>
      </w:r>
      <w:r w:rsidRPr="00690D66">
        <w:rPr>
          <w:kern w:val="0"/>
          <w:sz w:val="24"/>
          <w:szCs w:val="24"/>
        </w:rPr>
        <w:t>20</w:t>
      </w:r>
      <w:r w:rsidRPr="00690D66">
        <w:rPr>
          <w:kern w:val="0"/>
          <w:sz w:val="24"/>
          <w:szCs w:val="24"/>
        </w:rPr>
        <w:t>年年降水总量无明显变化趋势，</w:t>
      </w:r>
      <w:r w:rsidRPr="00690D66">
        <w:rPr>
          <w:kern w:val="0"/>
          <w:sz w:val="24"/>
          <w:szCs w:val="24"/>
        </w:rPr>
        <w:t>2018</w:t>
      </w:r>
      <w:r w:rsidRPr="00690D66">
        <w:rPr>
          <w:kern w:val="0"/>
          <w:sz w:val="24"/>
          <w:szCs w:val="24"/>
        </w:rPr>
        <w:t>年年总降水量最大（</w:t>
      </w:r>
      <w:r w:rsidRPr="00690D66">
        <w:rPr>
          <w:kern w:val="0"/>
          <w:sz w:val="24"/>
          <w:szCs w:val="24"/>
        </w:rPr>
        <w:t>721.2mm</w:t>
      </w:r>
      <w:r w:rsidRPr="00690D66">
        <w:rPr>
          <w:kern w:val="0"/>
          <w:sz w:val="24"/>
          <w:szCs w:val="24"/>
        </w:rPr>
        <w:t>），</w:t>
      </w:r>
      <w:r w:rsidRPr="00690D66">
        <w:rPr>
          <w:kern w:val="0"/>
          <w:sz w:val="24"/>
          <w:szCs w:val="24"/>
        </w:rPr>
        <w:t>2007</w:t>
      </w:r>
      <w:r w:rsidRPr="00690D66">
        <w:rPr>
          <w:kern w:val="0"/>
          <w:sz w:val="24"/>
          <w:szCs w:val="24"/>
        </w:rPr>
        <w:t>年年总降水量最小（</w:t>
      </w:r>
      <w:r w:rsidRPr="00690D66">
        <w:rPr>
          <w:kern w:val="0"/>
          <w:sz w:val="24"/>
          <w:szCs w:val="24"/>
        </w:rPr>
        <w:t>316.9mm</w:t>
      </w:r>
      <w:r w:rsidRPr="00690D66">
        <w:rPr>
          <w:kern w:val="0"/>
          <w:sz w:val="24"/>
          <w:szCs w:val="24"/>
        </w:rPr>
        <w:t>）。</w:t>
      </w:r>
    </w:p>
    <w:p w14:paraId="11747424" w14:textId="77777777" w:rsidR="00690D66" w:rsidRPr="00690D66" w:rsidRDefault="00690D66" w:rsidP="00690D66">
      <w:pPr>
        <w:autoSpaceDE w:val="0"/>
        <w:autoSpaceDN w:val="0"/>
        <w:jc w:val="center"/>
        <w:rPr>
          <w:b/>
          <w:sz w:val="24"/>
          <w:szCs w:val="24"/>
        </w:rPr>
      </w:pPr>
      <w:r w:rsidRPr="00690D66">
        <w:rPr>
          <w:rFonts w:ascii="Calibri" w:hAnsi="Calibri" w:cs="Arial"/>
          <w:noProof/>
          <w:szCs w:val="24"/>
        </w:rPr>
        <w:lastRenderedPageBreak/>
        <w:drawing>
          <wp:inline distT="0" distB="0" distL="114300" distR="114300" wp14:anchorId="4D02DD33" wp14:editId="01ECDE26">
            <wp:extent cx="4340860" cy="2903220"/>
            <wp:effectExtent l="0" t="0" r="2540" b="11430"/>
            <wp:docPr id="497712494"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1"/>
                    <pic:cNvPicPr>
                      <a:picLocks noChangeAspect="1"/>
                    </pic:cNvPicPr>
                  </pic:nvPicPr>
                  <pic:blipFill>
                    <a:blip r:embed="rId101"/>
                    <a:stretch>
                      <a:fillRect/>
                    </a:stretch>
                  </pic:blipFill>
                  <pic:spPr>
                    <a:xfrm>
                      <a:off x="0" y="0"/>
                      <a:ext cx="4340860" cy="2903220"/>
                    </a:xfrm>
                    <a:prstGeom prst="rect">
                      <a:avLst/>
                    </a:prstGeom>
                    <a:noFill/>
                    <a:ln>
                      <a:noFill/>
                    </a:ln>
                  </pic:spPr>
                </pic:pic>
              </a:graphicData>
            </a:graphic>
          </wp:inline>
        </w:drawing>
      </w:r>
    </w:p>
    <w:p w14:paraId="3B984579" w14:textId="0491ECDC" w:rsidR="00690D66" w:rsidRPr="00857E7A" w:rsidRDefault="00690D66" w:rsidP="00857E7A">
      <w:pPr>
        <w:pStyle w:val="aff2"/>
        <w:spacing w:after="0"/>
        <w:ind w:firstLineChars="0" w:firstLine="0"/>
        <w:jc w:val="center"/>
        <w:rPr>
          <w:rStyle w:val="Charf"/>
          <w:bCs w:val="0"/>
        </w:rPr>
      </w:pPr>
      <w:r w:rsidRPr="00857E7A">
        <w:rPr>
          <w:rStyle w:val="Charf"/>
          <w:bCs w:val="0"/>
        </w:rPr>
        <w:t>图</w:t>
      </w:r>
      <w:r w:rsidR="00857E7A">
        <w:rPr>
          <w:rStyle w:val="Charf"/>
          <w:rFonts w:hint="eastAsia"/>
          <w:bCs w:val="0"/>
        </w:rPr>
        <w:t>6.2-11</w:t>
      </w:r>
      <w:r w:rsidRPr="00857E7A">
        <w:rPr>
          <w:rStyle w:val="Charf"/>
          <w:bCs w:val="0"/>
        </w:rPr>
        <w:t xml:space="preserve">  </w:t>
      </w:r>
      <w:r w:rsidRPr="00857E7A">
        <w:rPr>
          <w:rStyle w:val="Charf"/>
          <w:bCs w:val="0"/>
        </w:rPr>
        <w:t>（</w:t>
      </w:r>
      <w:r w:rsidRPr="00857E7A">
        <w:rPr>
          <w:rStyle w:val="Charf"/>
          <w:bCs w:val="0"/>
        </w:rPr>
        <w:t>2004-2023</w:t>
      </w:r>
      <w:r w:rsidRPr="00857E7A">
        <w:rPr>
          <w:rStyle w:val="Charf"/>
          <w:bCs w:val="0"/>
        </w:rPr>
        <w:t>）年总降水量（单位：毫米，虚线为趋势线）</w:t>
      </w:r>
    </w:p>
    <w:p w14:paraId="5BADF5DE" w14:textId="78F13138" w:rsidR="00690D66" w:rsidRPr="005D74E7" w:rsidRDefault="00690D66" w:rsidP="005D74E7">
      <w:pPr>
        <w:pStyle w:val="affffff4"/>
      </w:pPr>
      <w:r w:rsidRPr="005D74E7">
        <w:t>（</w:t>
      </w:r>
      <w:r w:rsidR="001025A4">
        <w:rPr>
          <w:rFonts w:hint="eastAsia"/>
        </w:rPr>
        <w:t>10</w:t>
      </w:r>
      <w:r w:rsidRPr="005D74E7">
        <w:t>）气象站日照分析</w:t>
      </w:r>
    </w:p>
    <w:p w14:paraId="3BBE275B" w14:textId="77777777" w:rsidR="00690D66" w:rsidRPr="005D74E7" w:rsidRDefault="00690D66" w:rsidP="005D74E7">
      <w:pPr>
        <w:pStyle w:val="affffff4"/>
      </w:pPr>
      <w:r w:rsidRPr="005D74E7">
        <w:rPr>
          <w:rFonts w:ascii="Cambria Math" w:hAnsi="Cambria Math" w:cs="Cambria Math"/>
        </w:rPr>
        <w:t>①</w:t>
      </w:r>
      <w:r w:rsidRPr="005D74E7">
        <w:t>月日照时数</w:t>
      </w:r>
    </w:p>
    <w:p w14:paraId="08F8A282" w14:textId="3D6141CB" w:rsidR="00690D66" w:rsidRPr="005D74E7" w:rsidRDefault="00C92E2A" w:rsidP="005D74E7">
      <w:pPr>
        <w:pStyle w:val="affffff4"/>
      </w:pPr>
      <w:r w:rsidRPr="00C92E2A">
        <w:t>大庆气象站</w:t>
      </w:r>
      <w:r w:rsidR="00690D66" w:rsidRPr="005D74E7">
        <w:t>05</w:t>
      </w:r>
      <w:r w:rsidR="00690D66" w:rsidRPr="005D74E7">
        <w:t>月日照最长（</w:t>
      </w:r>
      <w:r w:rsidR="00690D66" w:rsidRPr="005D74E7">
        <w:t>246.1</w:t>
      </w:r>
      <w:r w:rsidR="00690D66" w:rsidRPr="005D74E7">
        <w:t>小时），</w:t>
      </w:r>
      <w:r w:rsidR="00690D66" w:rsidRPr="005D74E7">
        <w:t>12</w:t>
      </w:r>
      <w:r w:rsidR="00690D66" w:rsidRPr="005D74E7">
        <w:t>月日照最短（</w:t>
      </w:r>
      <w:r w:rsidR="00690D66" w:rsidRPr="005D74E7">
        <w:t>160.2</w:t>
      </w:r>
      <w:r w:rsidR="00690D66" w:rsidRPr="005D74E7">
        <w:t>小时）。</w:t>
      </w:r>
    </w:p>
    <w:p w14:paraId="457EFD8A" w14:textId="77777777" w:rsidR="00690D66" w:rsidRPr="00690D66" w:rsidRDefault="00690D66" w:rsidP="00690D66">
      <w:pPr>
        <w:autoSpaceDE w:val="0"/>
        <w:autoSpaceDN w:val="0"/>
        <w:jc w:val="center"/>
        <w:rPr>
          <w:kern w:val="0"/>
          <w:sz w:val="27"/>
          <w:szCs w:val="24"/>
        </w:rPr>
      </w:pPr>
      <w:r w:rsidRPr="00690D66">
        <w:rPr>
          <w:rFonts w:ascii="Calibri" w:hAnsi="Calibri" w:cs="Arial"/>
          <w:noProof/>
          <w:szCs w:val="24"/>
        </w:rPr>
        <w:drawing>
          <wp:inline distT="0" distB="0" distL="114300" distR="114300" wp14:anchorId="77130B81" wp14:editId="30AD3A72">
            <wp:extent cx="4029710" cy="2792730"/>
            <wp:effectExtent l="0" t="0" r="8890" b="7620"/>
            <wp:docPr id="14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22"/>
                    <pic:cNvPicPr>
                      <a:picLocks noChangeAspect="1"/>
                    </pic:cNvPicPr>
                  </pic:nvPicPr>
                  <pic:blipFill>
                    <a:blip r:embed="rId102"/>
                    <a:stretch>
                      <a:fillRect/>
                    </a:stretch>
                  </pic:blipFill>
                  <pic:spPr>
                    <a:xfrm>
                      <a:off x="0" y="0"/>
                      <a:ext cx="4029710" cy="2792730"/>
                    </a:xfrm>
                    <a:prstGeom prst="rect">
                      <a:avLst/>
                    </a:prstGeom>
                    <a:noFill/>
                    <a:ln>
                      <a:noFill/>
                    </a:ln>
                  </pic:spPr>
                </pic:pic>
              </a:graphicData>
            </a:graphic>
          </wp:inline>
        </w:drawing>
      </w:r>
    </w:p>
    <w:p w14:paraId="33D16655" w14:textId="3805C002" w:rsidR="00690D66" w:rsidRPr="00857E7A" w:rsidRDefault="00690D66" w:rsidP="00857E7A">
      <w:pPr>
        <w:pStyle w:val="aff2"/>
        <w:spacing w:after="0"/>
        <w:ind w:firstLineChars="0" w:firstLine="0"/>
        <w:jc w:val="center"/>
        <w:rPr>
          <w:rStyle w:val="Charf"/>
          <w:bCs w:val="0"/>
        </w:rPr>
      </w:pPr>
      <w:r w:rsidRPr="00857E7A">
        <w:rPr>
          <w:rStyle w:val="Charf"/>
          <w:bCs w:val="0"/>
        </w:rPr>
        <w:t>图</w:t>
      </w:r>
      <w:r w:rsidR="00857E7A">
        <w:rPr>
          <w:rStyle w:val="Charf"/>
          <w:rFonts w:hint="eastAsia"/>
          <w:bCs w:val="0"/>
        </w:rPr>
        <w:t>6.2-12</w:t>
      </w:r>
      <w:r w:rsidRPr="00857E7A">
        <w:rPr>
          <w:rStyle w:val="Charf"/>
          <w:bCs w:val="0"/>
        </w:rPr>
        <w:t xml:space="preserve">   </w:t>
      </w:r>
      <w:r w:rsidRPr="00857E7A">
        <w:rPr>
          <w:rStyle w:val="Charf"/>
          <w:bCs w:val="0"/>
        </w:rPr>
        <w:t>月日照时数（单位：小时）</w:t>
      </w:r>
    </w:p>
    <w:p w14:paraId="034FA47F" w14:textId="77777777" w:rsidR="00690D66" w:rsidRPr="005D74E7" w:rsidRDefault="00690D66" w:rsidP="005D74E7">
      <w:pPr>
        <w:pStyle w:val="affffff4"/>
      </w:pPr>
      <w:r w:rsidRPr="005D74E7">
        <w:rPr>
          <w:rFonts w:ascii="Cambria Math" w:hAnsi="Cambria Math" w:cs="Cambria Math"/>
        </w:rPr>
        <w:t>②</w:t>
      </w:r>
      <w:r w:rsidRPr="005D74E7">
        <w:t>日照时数年际变化趋势与周期分析</w:t>
      </w:r>
    </w:p>
    <w:p w14:paraId="216658E8" w14:textId="77777777" w:rsidR="00690D66" w:rsidRPr="005D74E7" w:rsidRDefault="00690D66" w:rsidP="005D74E7">
      <w:pPr>
        <w:pStyle w:val="affffff4"/>
      </w:pPr>
      <w:r w:rsidRPr="005D74E7">
        <w:t>大庆气象站近</w:t>
      </w:r>
      <w:r w:rsidRPr="005D74E7">
        <w:t>20</w:t>
      </w:r>
      <w:r w:rsidRPr="005D74E7">
        <w:t>年年日照时数呈现上升趋势，</w:t>
      </w:r>
      <w:r w:rsidRPr="005D74E7">
        <w:t>2022</w:t>
      </w:r>
      <w:r w:rsidRPr="005D74E7">
        <w:t>年年日照时数最长（</w:t>
      </w:r>
      <w:r w:rsidRPr="005D74E7">
        <w:t>2963.8</w:t>
      </w:r>
      <w:r w:rsidRPr="005D74E7">
        <w:t>小时），</w:t>
      </w:r>
      <w:r w:rsidRPr="005D74E7">
        <w:t>2015</w:t>
      </w:r>
      <w:r w:rsidRPr="005D74E7">
        <w:t>年年日照时数最短（</w:t>
      </w:r>
      <w:r w:rsidRPr="005D74E7">
        <w:t>2144.4</w:t>
      </w:r>
      <w:r w:rsidRPr="005D74E7">
        <w:t>小时）。</w:t>
      </w:r>
    </w:p>
    <w:p w14:paraId="6E6D7BAC" w14:textId="77777777" w:rsidR="00690D66" w:rsidRPr="00690D66" w:rsidRDefault="00690D66" w:rsidP="00690D66">
      <w:pPr>
        <w:autoSpaceDE w:val="0"/>
        <w:autoSpaceDN w:val="0"/>
        <w:adjustRightInd w:val="0"/>
        <w:snapToGrid w:val="0"/>
        <w:spacing w:line="360" w:lineRule="auto"/>
        <w:ind w:firstLineChars="200" w:firstLine="420"/>
        <w:jc w:val="center"/>
        <w:rPr>
          <w:kern w:val="0"/>
          <w:sz w:val="27"/>
          <w:szCs w:val="24"/>
        </w:rPr>
      </w:pPr>
      <w:r w:rsidRPr="00690D66">
        <w:rPr>
          <w:rFonts w:ascii="Calibri" w:hAnsi="Calibri" w:cs="Arial"/>
          <w:noProof/>
          <w:szCs w:val="24"/>
        </w:rPr>
        <w:lastRenderedPageBreak/>
        <w:drawing>
          <wp:inline distT="0" distB="0" distL="114300" distR="114300" wp14:anchorId="00A7E516" wp14:editId="440C1CE9">
            <wp:extent cx="4189095" cy="2805430"/>
            <wp:effectExtent l="0" t="0" r="1905" b="13970"/>
            <wp:docPr id="3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23"/>
                    <pic:cNvPicPr>
                      <a:picLocks noChangeAspect="1"/>
                    </pic:cNvPicPr>
                  </pic:nvPicPr>
                  <pic:blipFill>
                    <a:blip r:embed="rId103"/>
                    <a:stretch>
                      <a:fillRect/>
                    </a:stretch>
                  </pic:blipFill>
                  <pic:spPr>
                    <a:xfrm>
                      <a:off x="0" y="0"/>
                      <a:ext cx="4189095" cy="2805430"/>
                    </a:xfrm>
                    <a:prstGeom prst="rect">
                      <a:avLst/>
                    </a:prstGeom>
                    <a:noFill/>
                    <a:ln>
                      <a:noFill/>
                    </a:ln>
                  </pic:spPr>
                </pic:pic>
              </a:graphicData>
            </a:graphic>
          </wp:inline>
        </w:drawing>
      </w:r>
    </w:p>
    <w:p w14:paraId="792E5996" w14:textId="6EAFA0A6" w:rsidR="00690D66" w:rsidRPr="00857E7A" w:rsidRDefault="00690D66" w:rsidP="00857E7A">
      <w:pPr>
        <w:pStyle w:val="aff2"/>
        <w:spacing w:after="0"/>
        <w:ind w:firstLineChars="0" w:firstLine="0"/>
        <w:jc w:val="center"/>
        <w:rPr>
          <w:rStyle w:val="Charf"/>
          <w:bCs w:val="0"/>
        </w:rPr>
      </w:pPr>
      <w:r w:rsidRPr="00857E7A">
        <w:rPr>
          <w:rStyle w:val="Charf"/>
          <w:bCs w:val="0"/>
        </w:rPr>
        <w:t>图</w:t>
      </w:r>
      <w:r w:rsidR="00857E7A">
        <w:rPr>
          <w:rStyle w:val="Charf"/>
          <w:rFonts w:hint="eastAsia"/>
          <w:bCs w:val="0"/>
        </w:rPr>
        <w:t>6.2-13</w:t>
      </w:r>
      <w:r w:rsidRPr="00857E7A">
        <w:rPr>
          <w:rStyle w:val="Charf"/>
          <w:bCs w:val="0"/>
        </w:rPr>
        <w:t xml:space="preserve">  </w:t>
      </w:r>
      <w:r w:rsidRPr="00857E7A">
        <w:rPr>
          <w:rStyle w:val="Charf"/>
          <w:bCs w:val="0"/>
        </w:rPr>
        <w:t>（</w:t>
      </w:r>
      <w:r w:rsidRPr="00857E7A">
        <w:rPr>
          <w:rStyle w:val="Charf"/>
          <w:bCs w:val="0"/>
        </w:rPr>
        <w:t>2004-2023</w:t>
      </w:r>
      <w:r w:rsidRPr="00857E7A">
        <w:rPr>
          <w:rStyle w:val="Charf"/>
          <w:bCs w:val="0"/>
        </w:rPr>
        <w:t>）年日照时长（单位：小时，虚线为趋势线）</w:t>
      </w:r>
    </w:p>
    <w:p w14:paraId="022FC31C" w14:textId="2DB8652C" w:rsidR="00690D66" w:rsidRPr="00690D66" w:rsidRDefault="00690D66" w:rsidP="00690D66">
      <w:pPr>
        <w:autoSpaceDE w:val="0"/>
        <w:autoSpaceDN w:val="0"/>
        <w:adjustRightInd w:val="0"/>
        <w:snapToGrid w:val="0"/>
        <w:spacing w:line="360" w:lineRule="auto"/>
        <w:ind w:firstLineChars="200" w:firstLine="480"/>
        <w:jc w:val="left"/>
        <w:rPr>
          <w:kern w:val="0"/>
          <w:sz w:val="24"/>
          <w:szCs w:val="24"/>
        </w:rPr>
      </w:pPr>
      <w:r w:rsidRPr="00690D66">
        <w:rPr>
          <w:kern w:val="0"/>
          <w:sz w:val="24"/>
          <w:szCs w:val="24"/>
        </w:rPr>
        <w:t>（</w:t>
      </w:r>
      <w:r w:rsidR="001025A4">
        <w:rPr>
          <w:rFonts w:hint="eastAsia"/>
          <w:kern w:val="0"/>
          <w:sz w:val="24"/>
          <w:szCs w:val="24"/>
        </w:rPr>
        <w:t>11</w:t>
      </w:r>
      <w:r w:rsidRPr="00690D66">
        <w:rPr>
          <w:kern w:val="0"/>
          <w:sz w:val="24"/>
          <w:szCs w:val="24"/>
        </w:rPr>
        <w:t>）气象站相对湿度分析</w:t>
      </w:r>
    </w:p>
    <w:p w14:paraId="7D5CC722" w14:textId="77777777" w:rsidR="00690D66" w:rsidRPr="005D74E7" w:rsidRDefault="00690D66" w:rsidP="005D74E7">
      <w:pPr>
        <w:pStyle w:val="affffff4"/>
      </w:pPr>
      <w:r w:rsidRPr="005D74E7">
        <w:rPr>
          <w:rFonts w:ascii="Cambria Math" w:hAnsi="Cambria Math" w:cs="Cambria Math"/>
        </w:rPr>
        <w:t>①</w:t>
      </w:r>
      <w:r w:rsidRPr="005D74E7">
        <w:t>月相对湿度分析</w:t>
      </w:r>
    </w:p>
    <w:p w14:paraId="6B506BDF" w14:textId="77777777" w:rsidR="00690D66" w:rsidRPr="005D74E7" w:rsidRDefault="00690D66" w:rsidP="005D74E7">
      <w:pPr>
        <w:pStyle w:val="affffff4"/>
      </w:pPr>
      <w:r w:rsidRPr="005D74E7">
        <w:t>大庆气象站</w:t>
      </w:r>
      <w:r w:rsidRPr="005D74E7">
        <w:t>07</w:t>
      </w:r>
      <w:r w:rsidRPr="005D74E7">
        <w:t>月平均相对湿度最大（</w:t>
      </w:r>
      <w:r w:rsidRPr="005D74E7">
        <w:t>73.8%</w:t>
      </w:r>
      <w:r w:rsidRPr="005D74E7">
        <w:t>），</w:t>
      </w:r>
      <w:r w:rsidRPr="005D74E7">
        <w:t>04</w:t>
      </w:r>
      <w:r w:rsidRPr="005D74E7">
        <w:t>月平均相对湿度最小（</w:t>
      </w:r>
      <w:r w:rsidRPr="005D74E7">
        <w:t>44.1%</w:t>
      </w:r>
      <w:r w:rsidRPr="005D74E7">
        <w:t>）。</w:t>
      </w:r>
    </w:p>
    <w:p w14:paraId="074738FC" w14:textId="77777777" w:rsidR="00690D66" w:rsidRPr="00690D66" w:rsidRDefault="00690D66" w:rsidP="00690D66">
      <w:pPr>
        <w:autoSpaceDE w:val="0"/>
        <w:autoSpaceDN w:val="0"/>
        <w:adjustRightInd w:val="0"/>
        <w:snapToGrid w:val="0"/>
        <w:spacing w:line="360" w:lineRule="auto"/>
        <w:ind w:firstLineChars="200" w:firstLine="420"/>
        <w:jc w:val="center"/>
        <w:rPr>
          <w:kern w:val="0"/>
          <w:sz w:val="27"/>
          <w:szCs w:val="24"/>
        </w:rPr>
      </w:pPr>
      <w:r w:rsidRPr="00690D66">
        <w:rPr>
          <w:rFonts w:ascii="Calibri" w:hAnsi="Calibri" w:cs="Arial"/>
          <w:noProof/>
          <w:szCs w:val="24"/>
        </w:rPr>
        <w:drawing>
          <wp:inline distT="0" distB="0" distL="114300" distR="114300" wp14:anchorId="1FBDFF06" wp14:editId="56ED4918">
            <wp:extent cx="4655820" cy="3107055"/>
            <wp:effectExtent l="0" t="0" r="11430" b="17145"/>
            <wp:docPr id="14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24"/>
                    <pic:cNvPicPr>
                      <a:picLocks noChangeAspect="1"/>
                    </pic:cNvPicPr>
                  </pic:nvPicPr>
                  <pic:blipFill>
                    <a:blip r:embed="rId104"/>
                    <a:stretch>
                      <a:fillRect/>
                    </a:stretch>
                  </pic:blipFill>
                  <pic:spPr>
                    <a:xfrm>
                      <a:off x="0" y="0"/>
                      <a:ext cx="4655820" cy="3107055"/>
                    </a:xfrm>
                    <a:prstGeom prst="rect">
                      <a:avLst/>
                    </a:prstGeom>
                    <a:noFill/>
                    <a:ln>
                      <a:noFill/>
                    </a:ln>
                  </pic:spPr>
                </pic:pic>
              </a:graphicData>
            </a:graphic>
          </wp:inline>
        </w:drawing>
      </w:r>
    </w:p>
    <w:p w14:paraId="5261CF79" w14:textId="0BBF594C" w:rsidR="00690D66" w:rsidRPr="00857E7A" w:rsidRDefault="00690D66" w:rsidP="00857E7A">
      <w:pPr>
        <w:pStyle w:val="aff2"/>
        <w:spacing w:after="0"/>
        <w:ind w:firstLineChars="0" w:firstLine="0"/>
        <w:jc w:val="center"/>
        <w:rPr>
          <w:rStyle w:val="Charf"/>
          <w:bCs w:val="0"/>
        </w:rPr>
      </w:pPr>
      <w:r w:rsidRPr="00857E7A">
        <w:rPr>
          <w:rStyle w:val="Charf"/>
          <w:bCs w:val="0"/>
        </w:rPr>
        <w:t>图</w:t>
      </w:r>
      <w:r w:rsidR="00857E7A">
        <w:rPr>
          <w:rStyle w:val="Charf"/>
          <w:rFonts w:hint="eastAsia"/>
          <w:bCs w:val="0"/>
        </w:rPr>
        <w:t>6.2-14</w:t>
      </w:r>
      <w:r w:rsidRPr="00857E7A">
        <w:rPr>
          <w:rStyle w:val="Charf"/>
          <w:bCs w:val="0"/>
        </w:rPr>
        <w:t xml:space="preserve">    </w:t>
      </w:r>
      <w:r w:rsidRPr="00857E7A">
        <w:rPr>
          <w:rStyle w:val="Charf"/>
          <w:bCs w:val="0"/>
        </w:rPr>
        <w:t>月平均相对湿度（纵轴为百分比）</w:t>
      </w:r>
    </w:p>
    <w:p w14:paraId="0D612A14" w14:textId="77777777" w:rsidR="00690D66" w:rsidRPr="005D74E7" w:rsidRDefault="00690D66" w:rsidP="005D74E7">
      <w:pPr>
        <w:pStyle w:val="affffff4"/>
      </w:pPr>
      <w:r w:rsidRPr="005D74E7">
        <w:rPr>
          <w:rFonts w:ascii="Cambria Math" w:hAnsi="Cambria Math" w:cs="Cambria Math"/>
        </w:rPr>
        <w:t>②</w:t>
      </w:r>
      <w:r w:rsidRPr="005D74E7">
        <w:t>相对湿度年际变化趋势与周期分析</w:t>
      </w:r>
    </w:p>
    <w:p w14:paraId="639801ED" w14:textId="77777777" w:rsidR="00690D66" w:rsidRPr="005D74E7" w:rsidRDefault="00690D66" w:rsidP="005D74E7">
      <w:pPr>
        <w:pStyle w:val="affffff4"/>
      </w:pPr>
      <w:r w:rsidRPr="005D74E7">
        <w:t>大庆气象站近</w:t>
      </w:r>
      <w:r w:rsidRPr="005D74E7">
        <w:t>20</w:t>
      </w:r>
      <w:r w:rsidRPr="005D74E7">
        <w:t>年年平均相对湿度无明显变化趋势，</w:t>
      </w:r>
      <w:r w:rsidRPr="005D74E7">
        <w:t>2013</w:t>
      </w:r>
      <w:r w:rsidRPr="005D74E7">
        <w:t>年年平均相对湿度最大（</w:t>
      </w:r>
      <w:r w:rsidRPr="005D74E7">
        <w:t>67%</w:t>
      </w:r>
      <w:r w:rsidRPr="005D74E7">
        <w:t>），</w:t>
      </w:r>
      <w:r w:rsidRPr="005D74E7">
        <w:t>2017</w:t>
      </w:r>
      <w:r w:rsidRPr="005D74E7">
        <w:t>年年平均相对湿度最小（</w:t>
      </w:r>
      <w:r w:rsidRPr="005D74E7">
        <w:t>56%</w:t>
      </w:r>
      <w:r w:rsidRPr="005D74E7">
        <w:t>）。</w:t>
      </w:r>
    </w:p>
    <w:p w14:paraId="598ED7EF" w14:textId="77777777" w:rsidR="00690D66" w:rsidRPr="00690D66" w:rsidRDefault="00690D66" w:rsidP="00690D66">
      <w:pPr>
        <w:autoSpaceDE w:val="0"/>
        <w:autoSpaceDN w:val="0"/>
        <w:adjustRightInd w:val="0"/>
        <w:snapToGrid w:val="0"/>
        <w:spacing w:line="360" w:lineRule="auto"/>
        <w:ind w:firstLineChars="200" w:firstLine="420"/>
        <w:jc w:val="center"/>
        <w:rPr>
          <w:kern w:val="0"/>
          <w:sz w:val="27"/>
          <w:szCs w:val="24"/>
        </w:rPr>
      </w:pPr>
      <w:r w:rsidRPr="00690D66">
        <w:rPr>
          <w:rFonts w:ascii="Calibri" w:hAnsi="Calibri" w:cs="Arial"/>
          <w:noProof/>
          <w:szCs w:val="24"/>
        </w:rPr>
        <w:lastRenderedPageBreak/>
        <w:drawing>
          <wp:inline distT="0" distB="0" distL="114300" distR="114300" wp14:anchorId="6819F53C" wp14:editId="46E1DEA1">
            <wp:extent cx="4258945" cy="2860675"/>
            <wp:effectExtent l="0" t="0" r="8255" b="15875"/>
            <wp:docPr id="4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25"/>
                    <pic:cNvPicPr>
                      <a:picLocks noChangeAspect="1"/>
                    </pic:cNvPicPr>
                  </pic:nvPicPr>
                  <pic:blipFill>
                    <a:blip r:embed="rId105"/>
                    <a:stretch>
                      <a:fillRect/>
                    </a:stretch>
                  </pic:blipFill>
                  <pic:spPr>
                    <a:xfrm>
                      <a:off x="0" y="0"/>
                      <a:ext cx="4258945" cy="2860675"/>
                    </a:xfrm>
                    <a:prstGeom prst="rect">
                      <a:avLst/>
                    </a:prstGeom>
                    <a:noFill/>
                    <a:ln>
                      <a:noFill/>
                    </a:ln>
                  </pic:spPr>
                </pic:pic>
              </a:graphicData>
            </a:graphic>
          </wp:inline>
        </w:drawing>
      </w:r>
    </w:p>
    <w:p w14:paraId="57FEC8CF" w14:textId="35CBC874" w:rsidR="00690D66" w:rsidRPr="00857E7A" w:rsidRDefault="00690D66" w:rsidP="00857E7A">
      <w:pPr>
        <w:pStyle w:val="aff2"/>
        <w:spacing w:after="0"/>
        <w:ind w:firstLineChars="0" w:firstLine="0"/>
        <w:jc w:val="center"/>
        <w:rPr>
          <w:rStyle w:val="Charf"/>
          <w:bCs w:val="0"/>
        </w:rPr>
      </w:pPr>
      <w:r w:rsidRPr="00857E7A">
        <w:rPr>
          <w:rStyle w:val="Charf"/>
          <w:bCs w:val="0"/>
        </w:rPr>
        <w:t>图</w:t>
      </w:r>
      <w:r w:rsidR="00857E7A">
        <w:rPr>
          <w:rStyle w:val="Charf"/>
          <w:rFonts w:hint="eastAsia"/>
          <w:bCs w:val="0"/>
        </w:rPr>
        <w:t>6.2-15</w:t>
      </w:r>
      <w:r w:rsidRPr="00857E7A">
        <w:rPr>
          <w:rStyle w:val="Charf"/>
          <w:bCs w:val="0"/>
        </w:rPr>
        <w:t xml:space="preserve"> </w:t>
      </w:r>
      <w:r w:rsidRPr="00857E7A">
        <w:rPr>
          <w:rStyle w:val="Charf"/>
          <w:bCs w:val="0"/>
        </w:rPr>
        <w:t>（</w:t>
      </w:r>
      <w:r w:rsidRPr="00857E7A">
        <w:rPr>
          <w:rStyle w:val="Charf"/>
          <w:bCs w:val="0"/>
        </w:rPr>
        <w:t>2004-2023</w:t>
      </w:r>
      <w:r w:rsidRPr="00857E7A">
        <w:rPr>
          <w:rStyle w:val="Charf"/>
          <w:bCs w:val="0"/>
        </w:rPr>
        <w:t>）年平均相对湿度（纵轴为百分比，虚线为趋势线）</w:t>
      </w:r>
    </w:p>
    <w:p w14:paraId="646A96FF" w14:textId="5ED08420" w:rsidR="00690D66" w:rsidRPr="005D74E7" w:rsidRDefault="00375EE2" w:rsidP="00375EE2">
      <w:pPr>
        <w:pStyle w:val="4"/>
        <w:rPr>
          <w:kern w:val="21"/>
          <w:szCs w:val="30"/>
        </w:rPr>
      </w:pPr>
      <w:r>
        <w:rPr>
          <w:rFonts w:hint="eastAsia"/>
        </w:rPr>
        <w:t>6.2.1.2</w:t>
      </w:r>
      <w:r w:rsidR="00690D66" w:rsidRPr="005D74E7">
        <w:rPr>
          <w:kern w:val="21"/>
          <w:szCs w:val="30"/>
        </w:rPr>
        <w:t>近一年地面气象资料统计</w:t>
      </w:r>
    </w:p>
    <w:p w14:paraId="682FA0C2" w14:textId="77777777" w:rsidR="00690D66" w:rsidRPr="005D74E7" w:rsidRDefault="00690D66" w:rsidP="005D74E7">
      <w:pPr>
        <w:pStyle w:val="affffff4"/>
      </w:pPr>
      <w:r w:rsidRPr="005D74E7">
        <w:t>本项目地面观测资料采用气象局提供的</w:t>
      </w:r>
      <w:r w:rsidRPr="005D74E7">
        <w:t>2023</w:t>
      </w:r>
      <w:r w:rsidRPr="005D74E7">
        <w:t>年</w:t>
      </w:r>
      <w:r w:rsidRPr="005D74E7">
        <w:t>1</w:t>
      </w:r>
      <w:r w:rsidRPr="005D74E7">
        <w:t>月至</w:t>
      </w:r>
      <w:r w:rsidRPr="005D74E7">
        <w:t>2023</w:t>
      </w:r>
      <w:r w:rsidRPr="005D74E7">
        <w:t>年</w:t>
      </w:r>
      <w:r w:rsidRPr="005D74E7">
        <w:t>12</w:t>
      </w:r>
      <w:r w:rsidRPr="005D74E7">
        <w:t>月全年风速、风向、干球温度、露点温度、相对湿度、气压观测资料以及观测的总云和低云资料进行统计分析。统计分析结果表明，</w:t>
      </w:r>
      <w:r w:rsidRPr="005D74E7">
        <w:t>2023</w:t>
      </w:r>
      <w:r w:rsidRPr="005D74E7">
        <w:t>年评价区域平均温度</w:t>
      </w:r>
      <w:r w:rsidRPr="005D74E7">
        <w:t>5.78℃</w:t>
      </w:r>
      <w:r w:rsidRPr="005D74E7">
        <w:t>，平均风速</w:t>
      </w:r>
      <w:r w:rsidRPr="005D74E7">
        <w:t>2.93m/s</w:t>
      </w:r>
      <w:r w:rsidRPr="005D74E7">
        <w:t>。</w:t>
      </w:r>
    </w:p>
    <w:p w14:paraId="06371071" w14:textId="5A084CB0" w:rsidR="00690D66" w:rsidRPr="005D74E7" w:rsidRDefault="00375EE2" w:rsidP="005D74E7">
      <w:pPr>
        <w:pStyle w:val="affffff4"/>
      </w:pPr>
      <w:r>
        <w:rPr>
          <w:rFonts w:hint="eastAsia"/>
        </w:rPr>
        <w:t>（</w:t>
      </w:r>
      <w:r>
        <w:rPr>
          <w:rFonts w:hint="eastAsia"/>
        </w:rPr>
        <w:t>1</w:t>
      </w:r>
      <w:r>
        <w:rPr>
          <w:rFonts w:hint="eastAsia"/>
        </w:rPr>
        <w:t>）</w:t>
      </w:r>
      <w:r w:rsidR="00690D66" w:rsidRPr="005D74E7">
        <w:t>气象台站的基本信息</w:t>
      </w:r>
    </w:p>
    <w:p w14:paraId="097E69FD" w14:textId="77777777" w:rsidR="00690D66" w:rsidRPr="005D74E7" w:rsidRDefault="00690D66" w:rsidP="005D74E7">
      <w:pPr>
        <w:pStyle w:val="affffff4"/>
      </w:pPr>
      <w:r w:rsidRPr="005D74E7">
        <w:t>气象台站区站号（国家统一编号）</w:t>
      </w:r>
      <w:r w:rsidRPr="005D74E7">
        <w:t>50850</w:t>
      </w:r>
      <w:r w:rsidRPr="005D74E7">
        <w:t>；</w:t>
      </w:r>
    </w:p>
    <w:p w14:paraId="51B4C575" w14:textId="77777777" w:rsidR="00690D66" w:rsidRPr="005D74E7" w:rsidRDefault="00690D66" w:rsidP="005D74E7">
      <w:pPr>
        <w:pStyle w:val="affffff4"/>
      </w:pPr>
      <w:r w:rsidRPr="005D74E7">
        <w:t>测风距离地面高度</w:t>
      </w:r>
      <w:r w:rsidRPr="005D74E7">
        <w:t>10.5</w:t>
      </w:r>
      <w:r w:rsidRPr="005D74E7">
        <w:t>米；</w:t>
      </w:r>
    </w:p>
    <w:p w14:paraId="1F07FC56" w14:textId="77777777" w:rsidR="00690D66" w:rsidRPr="005D74E7" w:rsidRDefault="00690D66" w:rsidP="005D74E7">
      <w:pPr>
        <w:pStyle w:val="affffff4"/>
      </w:pPr>
      <w:r w:rsidRPr="005D74E7">
        <w:t>测温离地面高度</w:t>
      </w:r>
      <w:r w:rsidRPr="005D74E7">
        <w:t>1.5</w:t>
      </w:r>
      <w:r w:rsidRPr="005D74E7">
        <w:t>米；</w:t>
      </w:r>
    </w:p>
    <w:p w14:paraId="10683920" w14:textId="77777777" w:rsidR="00690D66" w:rsidRPr="005D74E7" w:rsidRDefault="00690D66" w:rsidP="005D74E7">
      <w:pPr>
        <w:pStyle w:val="affffff4"/>
      </w:pPr>
      <w:r w:rsidRPr="005D74E7">
        <w:t>气象站地面高程（拔海高度）</w:t>
      </w:r>
      <w:r w:rsidRPr="005D74E7">
        <w:t>152</w:t>
      </w:r>
      <w:r w:rsidRPr="005D74E7">
        <w:t>米；</w:t>
      </w:r>
    </w:p>
    <w:p w14:paraId="096437DA" w14:textId="77777777" w:rsidR="00690D66" w:rsidRPr="005D74E7" w:rsidRDefault="00690D66" w:rsidP="005D74E7">
      <w:pPr>
        <w:pStyle w:val="affffff4"/>
      </w:pPr>
      <w:r w:rsidRPr="005D74E7">
        <w:t>气象站类别（一般站）。</w:t>
      </w:r>
    </w:p>
    <w:p w14:paraId="64BF54A6" w14:textId="02571F6C" w:rsidR="00690D66" w:rsidRPr="005D74E7" w:rsidRDefault="00375EE2" w:rsidP="005D74E7">
      <w:pPr>
        <w:pStyle w:val="affffff4"/>
      </w:pPr>
      <w:r>
        <w:rPr>
          <w:rFonts w:hint="eastAsia"/>
        </w:rPr>
        <w:t>（</w:t>
      </w:r>
      <w:r>
        <w:rPr>
          <w:rFonts w:hint="eastAsia"/>
        </w:rPr>
        <w:t>2</w:t>
      </w:r>
      <w:r>
        <w:rPr>
          <w:rFonts w:hint="eastAsia"/>
        </w:rPr>
        <w:t>）</w:t>
      </w:r>
      <w:r w:rsidR="00690D66" w:rsidRPr="005D74E7">
        <w:t>温度统计分析</w:t>
      </w:r>
    </w:p>
    <w:p w14:paraId="1B1F55D3" w14:textId="1ECDA817" w:rsidR="00690D66" w:rsidRPr="005D74E7" w:rsidRDefault="00690D66" w:rsidP="005D74E7">
      <w:pPr>
        <w:pStyle w:val="affffff4"/>
      </w:pPr>
      <w:r w:rsidRPr="005D74E7">
        <w:t>年评价区域月平均温度统计见</w:t>
      </w:r>
      <w:r w:rsidR="00D51CED">
        <w:rPr>
          <w:rFonts w:hint="eastAsia"/>
        </w:rPr>
        <w:t>下表</w:t>
      </w:r>
      <w:r w:rsidRPr="005D74E7">
        <w:t>，</w:t>
      </w:r>
      <w:r w:rsidRPr="005D74E7">
        <w:t>202</w:t>
      </w:r>
      <w:r w:rsidR="00D51CED">
        <w:rPr>
          <w:rFonts w:hint="eastAsia"/>
        </w:rPr>
        <w:t>3</w:t>
      </w:r>
      <w:r w:rsidRPr="005D74E7">
        <w:t>年评价区域月平均温度变化见</w:t>
      </w:r>
      <w:r w:rsidR="00D51CED">
        <w:rPr>
          <w:rFonts w:hint="eastAsia"/>
        </w:rPr>
        <w:t>下</w:t>
      </w:r>
      <w:r w:rsidRPr="005D74E7">
        <w:t>图。</w:t>
      </w:r>
    </w:p>
    <w:p w14:paraId="1C2C3A40" w14:textId="77795244" w:rsidR="00690D66" w:rsidRPr="00FE469A" w:rsidRDefault="00690D66" w:rsidP="00FE469A">
      <w:pPr>
        <w:pStyle w:val="affffff5"/>
        <w:tabs>
          <w:tab w:val="left" w:pos="0"/>
        </w:tabs>
        <w:ind w:firstLine="400"/>
      </w:pPr>
      <w:r w:rsidRPr="00FE469A">
        <w:t>表</w:t>
      </w:r>
      <w:r w:rsidR="00D51CED">
        <w:rPr>
          <w:rFonts w:hint="eastAsia"/>
        </w:rPr>
        <w:t>6.2-</w:t>
      </w:r>
      <w:r w:rsidR="004F102D">
        <w:rPr>
          <w:rFonts w:hint="eastAsia"/>
        </w:rPr>
        <w:t>8</w:t>
      </w:r>
      <w:r w:rsidRPr="00FE469A">
        <w:t xml:space="preserve">   </w:t>
      </w:r>
      <w:r w:rsidRPr="00FE469A">
        <w:t>年评价区域月平均温度统计表</w:t>
      </w:r>
    </w:p>
    <w:tbl>
      <w:tblPr>
        <w:tblW w:w="4998"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72"/>
        <w:gridCol w:w="607"/>
        <w:gridCol w:w="607"/>
        <w:gridCol w:w="607"/>
        <w:gridCol w:w="608"/>
        <w:gridCol w:w="608"/>
        <w:gridCol w:w="608"/>
        <w:gridCol w:w="608"/>
        <w:gridCol w:w="608"/>
        <w:gridCol w:w="608"/>
        <w:gridCol w:w="609"/>
        <w:gridCol w:w="609"/>
        <w:gridCol w:w="611"/>
        <w:gridCol w:w="444"/>
      </w:tblGrid>
      <w:tr w:rsidR="00690D66" w:rsidRPr="00690D66" w14:paraId="71A73548" w14:textId="77777777" w:rsidTr="00454C5A">
        <w:trPr>
          <w:trHeight w:val="270"/>
          <w:jc w:val="center"/>
        </w:trPr>
        <w:tc>
          <w:tcPr>
            <w:tcW w:w="552" w:type="pct"/>
            <w:tcBorders>
              <w:tl2br w:val="nil"/>
              <w:tr2bl w:val="nil"/>
            </w:tcBorders>
            <w:noWrap/>
            <w:tcMar>
              <w:top w:w="15" w:type="dxa"/>
              <w:left w:w="15" w:type="dxa"/>
              <w:right w:w="15" w:type="dxa"/>
            </w:tcMar>
            <w:vAlign w:val="center"/>
          </w:tcPr>
          <w:p w14:paraId="67C35E5F" w14:textId="77777777" w:rsidR="00690D66" w:rsidRPr="00690D66" w:rsidRDefault="00690D66" w:rsidP="00690D66">
            <w:pPr>
              <w:widowControl/>
              <w:jc w:val="center"/>
              <w:textAlignment w:val="center"/>
              <w:rPr>
                <w:kern w:val="0"/>
              </w:rPr>
            </w:pPr>
            <w:r w:rsidRPr="00690D66">
              <w:rPr>
                <w:kern w:val="0"/>
                <w:lang w:bidi="ar"/>
              </w:rPr>
              <w:t>月份</w:t>
            </w:r>
          </w:p>
        </w:tc>
        <w:tc>
          <w:tcPr>
            <w:tcW w:w="341" w:type="pct"/>
            <w:tcBorders>
              <w:tl2br w:val="nil"/>
              <w:tr2bl w:val="nil"/>
            </w:tcBorders>
            <w:noWrap/>
            <w:tcMar>
              <w:top w:w="15" w:type="dxa"/>
              <w:left w:w="15" w:type="dxa"/>
              <w:right w:w="15" w:type="dxa"/>
            </w:tcMar>
            <w:vAlign w:val="center"/>
          </w:tcPr>
          <w:p w14:paraId="4D085A66" w14:textId="77777777" w:rsidR="00690D66" w:rsidRPr="00690D66" w:rsidRDefault="00690D66" w:rsidP="00690D66">
            <w:pPr>
              <w:widowControl/>
              <w:jc w:val="center"/>
              <w:textAlignment w:val="center"/>
              <w:rPr>
                <w:kern w:val="0"/>
              </w:rPr>
            </w:pPr>
            <w:r w:rsidRPr="00690D66">
              <w:rPr>
                <w:kern w:val="0"/>
                <w:lang w:bidi="ar"/>
              </w:rPr>
              <w:t>1</w:t>
            </w:r>
            <w:r w:rsidRPr="00690D66">
              <w:rPr>
                <w:kern w:val="0"/>
                <w:lang w:bidi="ar"/>
              </w:rPr>
              <w:t>月</w:t>
            </w:r>
          </w:p>
        </w:tc>
        <w:tc>
          <w:tcPr>
            <w:tcW w:w="341" w:type="pct"/>
            <w:tcBorders>
              <w:tl2br w:val="nil"/>
              <w:tr2bl w:val="nil"/>
            </w:tcBorders>
            <w:noWrap/>
            <w:tcMar>
              <w:top w:w="15" w:type="dxa"/>
              <w:left w:w="15" w:type="dxa"/>
              <w:right w:w="15" w:type="dxa"/>
            </w:tcMar>
            <w:vAlign w:val="center"/>
          </w:tcPr>
          <w:p w14:paraId="5480C682" w14:textId="77777777" w:rsidR="00690D66" w:rsidRPr="00690D66" w:rsidRDefault="00690D66" w:rsidP="00690D66">
            <w:pPr>
              <w:widowControl/>
              <w:jc w:val="center"/>
              <w:textAlignment w:val="center"/>
              <w:rPr>
                <w:kern w:val="0"/>
              </w:rPr>
            </w:pPr>
            <w:r w:rsidRPr="00690D66">
              <w:rPr>
                <w:kern w:val="0"/>
                <w:lang w:bidi="ar"/>
              </w:rPr>
              <w:t>2</w:t>
            </w:r>
            <w:r w:rsidRPr="00690D66">
              <w:rPr>
                <w:kern w:val="0"/>
                <w:lang w:bidi="ar"/>
              </w:rPr>
              <w:t>月</w:t>
            </w:r>
          </w:p>
        </w:tc>
        <w:tc>
          <w:tcPr>
            <w:tcW w:w="341" w:type="pct"/>
            <w:tcBorders>
              <w:tl2br w:val="nil"/>
              <w:tr2bl w:val="nil"/>
            </w:tcBorders>
            <w:noWrap/>
            <w:tcMar>
              <w:top w:w="15" w:type="dxa"/>
              <w:left w:w="15" w:type="dxa"/>
              <w:right w:w="15" w:type="dxa"/>
            </w:tcMar>
            <w:vAlign w:val="center"/>
          </w:tcPr>
          <w:p w14:paraId="6B4C3FB1" w14:textId="77777777" w:rsidR="00690D66" w:rsidRPr="00690D66" w:rsidRDefault="00690D66" w:rsidP="00690D66">
            <w:pPr>
              <w:widowControl/>
              <w:jc w:val="center"/>
              <w:textAlignment w:val="center"/>
              <w:rPr>
                <w:kern w:val="0"/>
              </w:rPr>
            </w:pPr>
            <w:r w:rsidRPr="00690D66">
              <w:rPr>
                <w:kern w:val="0"/>
                <w:lang w:bidi="ar"/>
              </w:rPr>
              <w:t>3</w:t>
            </w:r>
            <w:r w:rsidRPr="00690D66">
              <w:rPr>
                <w:kern w:val="0"/>
                <w:lang w:bidi="ar"/>
              </w:rPr>
              <w:t>月</w:t>
            </w:r>
          </w:p>
        </w:tc>
        <w:tc>
          <w:tcPr>
            <w:tcW w:w="341" w:type="pct"/>
            <w:tcBorders>
              <w:tl2br w:val="nil"/>
              <w:tr2bl w:val="nil"/>
            </w:tcBorders>
            <w:noWrap/>
            <w:tcMar>
              <w:top w:w="15" w:type="dxa"/>
              <w:left w:w="15" w:type="dxa"/>
              <w:right w:w="15" w:type="dxa"/>
            </w:tcMar>
            <w:vAlign w:val="center"/>
          </w:tcPr>
          <w:p w14:paraId="67345AAA" w14:textId="77777777" w:rsidR="00690D66" w:rsidRPr="00690D66" w:rsidRDefault="00690D66" w:rsidP="00690D66">
            <w:pPr>
              <w:widowControl/>
              <w:jc w:val="center"/>
              <w:textAlignment w:val="center"/>
              <w:rPr>
                <w:kern w:val="0"/>
              </w:rPr>
            </w:pPr>
            <w:r w:rsidRPr="00690D66">
              <w:rPr>
                <w:kern w:val="0"/>
                <w:lang w:bidi="ar"/>
              </w:rPr>
              <w:t>4</w:t>
            </w:r>
            <w:r w:rsidRPr="00690D66">
              <w:rPr>
                <w:kern w:val="0"/>
                <w:lang w:bidi="ar"/>
              </w:rPr>
              <w:t>月</w:t>
            </w:r>
          </w:p>
        </w:tc>
        <w:tc>
          <w:tcPr>
            <w:tcW w:w="341" w:type="pct"/>
            <w:tcBorders>
              <w:tl2br w:val="nil"/>
              <w:tr2bl w:val="nil"/>
            </w:tcBorders>
            <w:noWrap/>
            <w:tcMar>
              <w:top w:w="15" w:type="dxa"/>
              <w:left w:w="15" w:type="dxa"/>
              <w:right w:w="15" w:type="dxa"/>
            </w:tcMar>
            <w:vAlign w:val="center"/>
          </w:tcPr>
          <w:p w14:paraId="5E872537" w14:textId="77777777" w:rsidR="00690D66" w:rsidRPr="00690D66" w:rsidRDefault="00690D66" w:rsidP="00690D66">
            <w:pPr>
              <w:widowControl/>
              <w:jc w:val="center"/>
              <w:textAlignment w:val="center"/>
              <w:rPr>
                <w:kern w:val="0"/>
              </w:rPr>
            </w:pPr>
            <w:r w:rsidRPr="00690D66">
              <w:rPr>
                <w:kern w:val="0"/>
                <w:lang w:bidi="ar"/>
              </w:rPr>
              <w:t>5</w:t>
            </w:r>
            <w:r w:rsidRPr="00690D66">
              <w:rPr>
                <w:kern w:val="0"/>
                <w:lang w:bidi="ar"/>
              </w:rPr>
              <w:t>月</w:t>
            </w:r>
          </w:p>
        </w:tc>
        <w:tc>
          <w:tcPr>
            <w:tcW w:w="341" w:type="pct"/>
            <w:tcBorders>
              <w:tl2br w:val="nil"/>
              <w:tr2bl w:val="nil"/>
            </w:tcBorders>
            <w:noWrap/>
            <w:tcMar>
              <w:top w:w="15" w:type="dxa"/>
              <w:left w:w="15" w:type="dxa"/>
              <w:right w:w="15" w:type="dxa"/>
            </w:tcMar>
            <w:vAlign w:val="center"/>
          </w:tcPr>
          <w:p w14:paraId="01AB99AF" w14:textId="77777777" w:rsidR="00690D66" w:rsidRPr="00690D66" w:rsidRDefault="00690D66" w:rsidP="00690D66">
            <w:pPr>
              <w:widowControl/>
              <w:jc w:val="center"/>
              <w:textAlignment w:val="center"/>
              <w:rPr>
                <w:kern w:val="0"/>
              </w:rPr>
            </w:pPr>
            <w:r w:rsidRPr="00690D66">
              <w:rPr>
                <w:kern w:val="0"/>
                <w:lang w:bidi="ar"/>
              </w:rPr>
              <w:t>6</w:t>
            </w:r>
            <w:r w:rsidRPr="00690D66">
              <w:rPr>
                <w:kern w:val="0"/>
                <w:lang w:bidi="ar"/>
              </w:rPr>
              <w:t>月</w:t>
            </w:r>
          </w:p>
        </w:tc>
        <w:tc>
          <w:tcPr>
            <w:tcW w:w="341" w:type="pct"/>
            <w:tcBorders>
              <w:tl2br w:val="nil"/>
              <w:tr2bl w:val="nil"/>
            </w:tcBorders>
            <w:noWrap/>
            <w:tcMar>
              <w:top w:w="15" w:type="dxa"/>
              <w:left w:w="15" w:type="dxa"/>
              <w:right w:w="15" w:type="dxa"/>
            </w:tcMar>
            <w:vAlign w:val="center"/>
          </w:tcPr>
          <w:p w14:paraId="2F3374DD" w14:textId="77777777" w:rsidR="00690D66" w:rsidRPr="00690D66" w:rsidRDefault="00690D66" w:rsidP="00690D66">
            <w:pPr>
              <w:widowControl/>
              <w:jc w:val="center"/>
              <w:textAlignment w:val="center"/>
              <w:rPr>
                <w:kern w:val="0"/>
              </w:rPr>
            </w:pPr>
            <w:r w:rsidRPr="00690D66">
              <w:rPr>
                <w:kern w:val="0"/>
                <w:lang w:bidi="ar"/>
              </w:rPr>
              <w:t>7</w:t>
            </w:r>
            <w:r w:rsidRPr="00690D66">
              <w:rPr>
                <w:kern w:val="0"/>
                <w:lang w:bidi="ar"/>
              </w:rPr>
              <w:t>月</w:t>
            </w:r>
          </w:p>
        </w:tc>
        <w:tc>
          <w:tcPr>
            <w:tcW w:w="341" w:type="pct"/>
            <w:tcBorders>
              <w:tl2br w:val="nil"/>
              <w:tr2bl w:val="nil"/>
            </w:tcBorders>
            <w:noWrap/>
            <w:tcMar>
              <w:top w:w="15" w:type="dxa"/>
              <w:left w:w="15" w:type="dxa"/>
              <w:right w:w="15" w:type="dxa"/>
            </w:tcMar>
            <w:vAlign w:val="center"/>
          </w:tcPr>
          <w:p w14:paraId="64171528" w14:textId="77777777" w:rsidR="00690D66" w:rsidRPr="00690D66" w:rsidRDefault="00690D66" w:rsidP="00690D66">
            <w:pPr>
              <w:widowControl/>
              <w:jc w:val="center"/>
              <w:textAlignment w:val="center"/>
              <w:rPr>
                <w:kern w:val="0"/>
              </w:rPr>
            </w:pPr>
            <w:r w:rsidRPr="00690D66">
              <w:rPr>
                <w:kern w:val="0"/>
                <w:lang w:bidi="ar"/>
              </w:rPr>
              <w:t>8</w:t>
            </w:r>
            <w:r w:rsidRPr="00690D66">
              <w:rPr>
                <w:kern w:val="0"/>
                <w:lang w:bidi="ar"/>
              </w:rPr>
              <w:t>月</w:t>
            </w:r>
          </w:p>
        </w:tc>
        <w:tc>
          <w:tcPr>
            <w:tcW w:w="341" w:type="pct"/>
            <w:tcBorders>
              <w:tl2br w:val="nil"/>
              <w:tr2bl w:val="nil"/>
            </w:tcBorders>
            <w:noWrap/>
            <w:tcMar>
              <w:top w:w="15" w:type="dxa"/>
              <w:left w:w="15" w:type="dxa"/>
              <w:right w:w="15" w:type="dxa"/>
            </w:tcMar>
            <w:vAlign w:val="center"/>
          </w:tcPr>
          <w:p w14:paraId="64938C53" w14:textId="77777777" w:rsidR="00690D66" w:rsidRPr="00690D66" w:rsidRDefault="00690D66" w:rsidP="00690D66">
            <w:pPr>
              <w:widowControl/>
              <w:jc w:val="center"/>
              <w:textAlignment w:val="center"/>
              <w:rPr>
                <w:kern w:val="0"/>
              </w:rPr>
            </w:pPr>
            <w:r w:rsidRPr="00690D66">
              <w:rPr>
                <w:kern w:val="0"/>
                <w:lang w:bidi="ar"/>
              </w:rPr>
              <w:t>9</w:t>
            </w:r>
            <w:r w:rsidRPr="00690D66">
              <w:rPr>
                <w:kern w:val="0"/>
                <w:lang w:bidi="ar"/>
              </w:rPr>
              <w:t>月</w:t>
            </w:r>
          </w:p>
        </w:tc>
        <w:tc>
          <w:tcPr>
            <w:tcW w:w="342" w:type="pct"/>
            <w:tcBorders>
              <w:tl2br w:val="nil"/>
              <w:tr2bl w:val="nil"/>
            </w:tcBorders>
            <w:noWrap/>
            <w:tcMar>
              <w:top w:w="15" w:type="dxa"/>
              <w:left w:w="15" w:type="dxa"/>
              <w:right w:w="15" w:type="dxa"/>
            </w:tcMar>
            <w:vAlign w:val="center"/>
          </w:tcPr>
          <w:p w14:paraId="0B7B4278" w14:textId="77777777" w:rsidR="00690D66" w:rsidRPr="00690D66" w:rsidRDefault="00690D66" w:rsidP="00690D66">
            <w:pPr>
              <w:widowControl/>
              <w:jc w:val="center"/>
              <w:textAlignment w:val="center"/>
              <w:rPr>
                <w:kern w:val="0"/>
              </w:rPr>
            </w:pPr>
            <w:r w:rsidRPr="00690D66">
              <w:rPr>
                <w:kern w:val="0"/>
                <w:lang w:bidi="ar"/>
              </w:rPr>
              <w:t>10</w:t>
            </w:r>
            <w:r w:rsidRPr="00690D66">
              <w:rPr>
                <w:kern w:val="0"/>
                <w:lang w:bidi="ar"/>
              </w:rPr>
              <w:t>月</w:t>
            </w:r>
          </w:p>
        </w:tc>
        <w:tc>
          <w:tcPr>
            <w:tcW w:w="342" w:type="pct"/>
            <w:tcBorders>
              <w:tl2br w:val="nil"/>
              <w:tr2bl w:val="nil"/>
            </w:tcBorders>
            <w:noWrap/>
            <w:tcMar>
              <w:top w:w="15" w:type="dxa"/>
              <w:left w:w="15" w:type="dxa"/>
              <w:right w:w="15" w:type="dxa"/>
            </w:tcMar>
            <w:vAlign w:val="center"/>
          </w:tcPr>
          <w:p w14:paraId="12B1A1CE" w14:textId="77777777" w:rsidR="00690D66" w:rsidRPr="00690D66" w:rsidRDefault="00690D66" w:rsidP="00690D66">
            <w:pPr>
              <w:widowControl/>
              <w:jc w:val="center"/>
              <w:textAlignment w:val="center"/>
              <w:rPr>
                <w:kern w:val="0"/>
              </w:rPr>
            </w:pPr>
            <w:r w:rsidRPr="00690D66">
              <w:rPr>
                <w:kern w:val="0"/>
                <w:lang w:bidi="ar"/>
              </w:rPr>
              <w:t>11</w:t>
            </w:r>
            <w:r w:rsidRPr="00690D66">
              <w:rPr>
                <w:kern w:val="0"/>
                <w:lang w:bidi="ar"/>
              </w:rPr>
              <w:t>月</w:t>
            </w:r>
          </w:p>
        </w:tc>
        <w:tc>
          <w:tcPr>
            <w:tcW w:w="343" w:type="pct"/>
            <w:tcBorders>
              <w:tl2br w:val="nil"/>
              <w:tr2bl w:val="nil"/>
            </w:tcBorders>
            <w:noWrap/>
            <w:tcMar>
              <w:top w:w="15" w:type="dxa"/>
              <w:left w:w="15" w:type="dxa"/>
              <w:right w:w="15" w:type="dxa"/>
            </w:tcMar>
            <w:vAlign w:val="center"/>
          </w:tcPr>
          <w:p w14:paraId="439915C1" w14:textId="77777777" w:rsidR="00690D66" w:rsidRPr="00690D66" w:rsidRDefault="00690D66" w:rsidP="00690D66">
            <w:pPr>
              <w:widowControl/>
              <w:jc w:val="center"/>
              <w:textAlignment w:val="center"/>
              <w:rPr>
                <w:kern w:val="0"/>
              </w:rPr>
            </w:pPr>
            <w:r w:rsidRPr="00690D66">
              <w:rPr>
                <w:kern w:val="0"/>
                <w:lang w:bidi="ar"/>
              </w:rPr>
              <w:t>12</w:t>
            </w:r>
            <w:r w:rsidRPr="00690D66">
              <w:rPr>
                <w:kern w:val="0"/>
                <w:lang w:bidi="ar"/>
              </w:rPr>
              <w:t>月</w:t>
            </w:r>
          </w:p>
        </w:tc>
        <w:tc>
          <w:tcPr>
            <w:tcW w:w="343" w:type="pct"/>
            <w:tcBorders>
              <w:tl2br w:val="nil"/>
              <w:tr2bl w:val="nil"/>
            </w:tcBorders>
            <w:noWrap/>
            <w:tcMar>
              <w:top w:w="15" w:type="dxa"/>
              <w:left w:w="15" w:type="dxa"/>
              <w:right w:w="15" w:type="dxa"/>
            </w:tcMar>
            <w:vAlign w:val="center"/>
          </w:tcPr>
          <w:p w14:paraId="62E4769C" w14:textId="77777777" w:rsidR="00690D66" w:rsidRPr="00690D66" w:rsidRDefault="00690D66" w:rsidP="00690D66">
            <w:pPr>
              <w:widowControl/>
              <w:jc w:val="center"/>
              <w:textAlignment w:val="center"/>
              <w:rPr>
                <w:kern w:val="0"/>
                <w:lang w:bidi="ar"/>
              </w:rPr>
            </w:pPr>
            <w:r w:rsidRPr="00690D66">
              <w:rPr>
                <w:kern w:val="0"/>
                <w:lang w:bidi="ar"/>
              </w:rPr>
              <w:t>全年</w:t>
            </w:r>
          </w:p>
        </w:tc>
      </w:tr>
      <w:tr w:rsidR="00690D66" w:rsidRPr="00690D66" w14:paraId="1B824CDD" w14:textId="77777777" w:rsidTr="00D51CED">
        <w:trPr>
          <w:trHeight w:val="270"/>
          <w:jc w:val="center"/>
        </w:trPr>
        <w:tc>
          <w:tcPr>
            <w:tcW w:w="552" w:type="pct"/>
            <w:tcBorders>
              <w:tl2br w:val="nil"/>
              <w:tr2bl w:val="nil"/>
            </w:tcBorders>
            <w:noWrap/>
            <w:tcMar>
              <w:top w:w="15" w:type="dxa"/>
              <w:left w:w="15" w:type="dxa"/>
              <w:right w:w="15" w:type="dxa"/>
            </w:tcMar>
            <w:vAlign w:val="center"/>
          </w:tcPr>
          <w:p w14:paraId="36B3F99A" w14:textId="77777777" w:rsidR="00690D66" w:rsidRPr="00690D66" w:rsidRDefault="00690D66" w:rsidP="00690D66">
            <w:pPr>
              <w:widowControl/>
              <w:jc w:val="center"/>
              <w:textAlignment w:val="center"/>
              <w:rPr>
                <w:kern w:val="0"/>
              </w:rPr>
            </w:pPr>
            <w:r w:rsidRPr="00690D66">
              <w:rPr>
                <w:kern w:val="0"/>
                <w:lang w:bidi="ar"/>
              </w:rPr>
              <w:t>气温（</w:t>
            </w:r>
            <w:r w:rsidRPr="00690D66">
              <w:rPr>
                <w:kern w:val="0"/>
                <w:lang w:bidi="ar"/>
              </w:rPr>
              <w:t>℃</w:t>
            </w:r>
            <w:r w:rsidRPr="00690D66">
              <w:rPr>
                <w:kern w:val="0"/>
                <w:lang w:bidi="ar"/>
              </w:rPr>
              <w:t>）</w:t>
            </w:r>
          </w:p>
        </w:tc>
        <w:tc>
          <w:tcPr>
            <w:tcW w:w="615" w:type="dxa"/>
            <w:tcBorders>
              <w:tl2br w:val="nil"/>
              <w:tr2bl w:val="nil"/>
            </w:tcBorders>
            <w:noWrap/>
            <w:tcMar>
              <w:top w:w="15" w:type="dxa"/>
              <w:left w:w="15" w:type="dxa"/>
              <w:right w:w="15" w:type="dxa"/>
            </w:tcMar>
            <w:vAlign w:val="center"/>
          </w:tcPr>
          <w:p w14:paraId="317B58E5" w14:textId="77777777" w:rsidR="00690D66" w:rsidRPr="00690D66" w:rsidRDefault="00690D66" w:rsidP="00690D66">
            <w:pPr>
              <w:widowControl/>
              <w:jc w:val="right"/>
              <w:textAlignment w:val="bottom"/>
              <w:rPr>
                <w:kern w:val="0"/>
                <w:lang w:bidi="ar"/>
              </w:rPr>
            </w:pPr>
            <w:r w:rsidRPr="00690D66">
              <w:rPr>
                <w:kern w:val="0"/>
                <w:lang w:bidi="ar"/>
              </w:rPr>
              <w:t xml:space="preserve">-17.31 </w:t>
            </w:r>
          </w:p>
        </w:tc>
        <w:tc>
          <w:tcPr>
            <w:tcW w:w="615" w:type="dxa"/>
            <w:tcBorders>
              <w:tl2br w:val="nil"/>
              <w:tr2bl w:val="nil"/>
            </w:tcBorders>
            <w:noWrap/>
            <w:tcMar>
              <w:top w:w="15" w:type="dxa"/>
              <w:left w:w="15" w:type="dxa"/>
              <w:right w:w="15" w:type="dxa"/>
            </w:tcMar>
            <w:vAlign w:val="center"/>
          </w:tcPr>
          <w:p w14:paraId="640E1BC3" w14:textId="77777777" w:rsidR="00690D66" w:rsidRPr="00690D66" w:rsidRDefault="00690D66" w:rsidP="00690D66">
            <w:pPr>
              <w:widowControl/>
              <w:jc w:val="right"/>
              <w:textAlignment w:val="bottom"/>
              <w:rPr>
                <w:kern w:val="0"/>
                <w:lang w:bidi="ar"/>
              </w:rPr>
            </w:pPr>
            <w:r w:rsidRPr="00690D66">
              <w:rPr>
                <w:kern w:val="0"/>
                <w:lang w:bidi="ar"/>
              </w:rPr>
              <w:t xml:space="preserve">-10.54 </w:t>
            </w:r>
          </w:p>
        </w:tc>
        <w:tc>
          <w:tcPr>
            <w:tcW w:w="615" w:type="dxa"/>
            <w:tcBorders>
              <w:tl2br w:val="nil"/>
              <w:tr2bl w:val="nil"/>
            </w:tcBorders>
            <w:noWrap/>
            <w:tcMar>
              <w:top w:w="15" w:type="dxa"/>
              <w:left w:w="15" w:type="dxa"/>
              <w:right w:w="15" w:type="dxa"/>
            </w:tcMar>
            <w:vAlign w:val="center"/>
          </w:tcPr>
          <w:p w14:paraId="0C4BE820" w14:textId="77777777" w:rsidR="00690D66" w:rsidRPr="00690D66" w:rsidRDefault="00690D66" w:rsidP="00690D66">
            <w:pPr>
              <w:widowControl/>
              <w:jc w:val="center"/>
              <w:textAlignment w:val="bottom"/>
              <w:rPr>
                <w:kern w:val="0"/>
                <w:lang w:bidi="ar"/>
              </w:rPr>
            </w:pPr>
            <w:r w:rsidRPr="00690D66">
              <w:rPr>
                <w:kern w:val="0"/>
                <w:lang w:bidi="ar"/>
              </w:rPr>
              <w:t xml:space="preserve">1.21 </w:t>
            </w:r>
          </w:p>
        </w:tc>
        <w:tc>
          <w:tcPr>
            <w:tcW w:w="616" w:type="dxa"/>
            <w:tcBorders>
              <w:tl2br w:val="nil"/>
              <w:tr2bl w:val="nil"/>
            </w:tcBorders>
            <w:noWrap/>
            <w:tcMar>
              <w:top w:w="15" w:type="dxa"/>
              <w:left w:w="15" w:type="dxa"/>
              <w:right w:w="15" w:type="dxa"/>
            </w:tcMar>
            <w:vAlign w:val="center"/>
          </w:tcPr>
          <w:p w14:paraId="5714D6C2" w14:textId="77777777" w:rsidR="00690D66" w:rsidRPr="00690D66" w:rsidRDefault="00690D66" w:rsidP="00690D66">
            <w:pPr>
              <w:widowControl/>
              <w:jc w:val="center"/>
              <w:textAlignment w:val="bottom"/>
              <w:rPr>
                <w:kern w:val="0"/>
                <w:lang w:bidi="ar"/>
              </w:rPr>
            </w:pPr>
            <w:r w:rsidRPr="00690D66">
              <w:rPr>
                <w:kern w:val="0"/>
                <w:lang w:bidi="ar"/>
              </w:rPr>
              <w:t>7.49</w:t>
            </w:r>
          </w:p>
        </w:tc>
        <w:tc>
          <w:tcPr>
            <w:tcW w:w="616" w:type="dxa"/>
            <w:tcBorders>
              <w:tl2br w:val="nil"/>
              <w:tr2bl w:val="nil"/>
            </w:tcBorders>
            <w:noWrap/>
            <w:tcMar>
              <w:top w:w="15" w:type="dxa"/>
              <w:left w:w="15" w:type="dxa"/>
              <w:right w:w="15" w:type="dxa"/>
            </w:tcMar>
            <w:vAlign w:val="center"/>
          </w:tcPr>
          <w:p w14:paraId="557FC716" w14:textId="77777777" w:rsidR="00690D66" w:rsidRPr="00690D66" w:rsidRDefault="00690D66" w:rsidP="00690D66">
            <w:pPr>
              <w:widowControl/>
              <w:jc w:val="center"/>
              <w:textAlignment w:val="bottom"/>
              <w:rPr>
                <w:kern w:val="0"/>
                <w:lang w:bidi="ar"/>
              </w:rPr>
            </w:pPr>
            <w:r w:rsidRPr="00690D66">
              <w:rPr>
                <w:kern w:val="0"/>
                <w:lang w:bidi="ar"/>
              </w:rPr>
              <w:t xml:space="preserve">16.41 </w:t>
            </w:r>
          </w:p>
        </w:tc>
        <w:tc>
          <w:tcPr>
            <w:tcW w:w="616" w:type="dxa"/>
            <w:tcBorders>
              <w:tl2br w:val="nil"/>
              <w:tr2bl w:val="nil"/>
            </w:tcBorders>
            <w:noWrap/>
            <w:tcMar>
              <w:top w:w="15" w:type="dxa"/>
              <w:left w:w="15" w:type="dxa"/>
              <w:right w:w="15" w:type="dxa"/>
            </w:tcMar>
            <w:vAlign w:val="center"/>
          </w:tcPr>
          <w:p w14:paraId="22058570" w14:textId="77777777" w:rsidR="00690D66" w:rsidRPr="00690D66" w:rsidRDefault="00690D66" w:rsidP="00690D66">
            <w:pPr>
              <w:widowControl/>
              <w:jc w:val="right"/>
              <w:textAlignment w:val="bottom"/>
              <w:rPr>
                <w:kern w:val="0"/>
                <w:lang w:bidi="ar"/>
              </w:rPr>
            </w:pPr>
            <w:r w:rsidRPr="00690D66">
              <w:rPr>
                <w:kern w:val="0"/>
                <w:lang w:bidi="ar"/>
              </w:rPr>
              <w:t xml:space="preserve">22.45 </w:t>
            </w:r>
          </w:p>
        </w:tc>
        <w:tc>
          <w:tcPr>
            <w:tcW w:w="616" w:type="dxa"/>
            <w:tcBorders>
              <w:tl2br w:val="nil"/>
              <w:tr2bl w:val="nil"/>
            </w:tcBorders>
            <w:noWrap/>
            <w:tcMar>
              <w:top w:w="15" w:type="dxa"/>
              <w:left w:w="15" w:type="dxa"/>
              <w:right w:w="15" w:type="dxa"/>
            </w:tcMar>
            <w:vAlign w:val="center"/>
          </w:tcPr>
          <w:p w14:paraId="48DCE97C" w14:textId="77777777" w:rsidR="00690D66" w:rsidRPr="00690D66" w:rsidRDefault="00690D66" w:rsidP="00690D66">
            <w:pPr>
              <w:widowControl/>
              <w:jc w:val="right"/>
              <w:textAlignment w:val="bottom"/>
              <w:rPr>
                <w:kern w:val="0"/>
                <w:lang w:bidi="ar"/>
              </w:rPr>
            </w:pPr>
            <w:r w:rsidRPr="00690D66">
              <w:rPr>
                <w:kern w:val="0"/>
                <w:lang w:bidi="ar"/>
              </w:rPr>
              <w:t xml:space="preserve">22.89 </w:t>
            </w:r>
          </w:p>
        </w:tc>
        <w:tc>
          <w:tcPr>
            <w:tcW w:w="616" w:type="dxa"/>
            <w:tcBorders>
              <w:tl2br w:val="nil"/>
              <w:tr2bl w:val="nil"/>
            </w:tcBorders>
            <w:noWrap/>
            <w:tcMar>
              <w:top w:w="15" w:type="dxa"/>
              <w:left w:w="15" w:type="dxa"/>
              <w:right w:w="15" w:type="dxa"/>
            </w:tcMar>
            <w:vAlign w:val="center"/>
          </w:tcPr>
          <w:p w14:paraId="5DF6250B" w14:textId="77777777" w:rsidR="00690D66" w:rsidRPr="00690D66" w:rsidRDefault="00690D66" w:rsidP="00690D66">
            <w:pPr>
              <w:widowControl/>
              <w:jc w:val="right"/>
              <w:textAlignment w:val="bottom"/>
              <w:rPr>
                <w:kern w:val="0"/>
                <w:lang w:bidi="ar"/>
              </w:rPr>
            </w:pPr>
            <w:r w:rsidRPr="00690D66">
              <w:rPr>
                <w:kern w:val="0"/>
                <w:lang w:bidi="ar"/>
              </w:rPr>
              <w:t xml:space="preserve">21.76 </w:t>
            </w:r>
          </w:p>
        </w:tc>
        <w:tc>
          <w:tcPr>
            <w:tcW w:w="616" w:type="dxa"/>
            <w:tcBorders>
              <w:tl2br w:val="nil"/>
              <w:tr2bl w:val="nil"/>
            </w:tcBorders>
            <w:noWrap/>
            <w:tcMar>
              <w:top w:w="15" w:type="dxa"/>
              <w:left w:w="15" w:type="dxa"/>
              <w:right w:w="15" w:type="dxa"/>
            </w:tcMar>
            <w:vAlign w:val="center"/>
          </w:tcPr>
          <w:p w14:paraId="46F7FF85" w14:textId="77777777" w:rsidR="00690D66" w:rsidRPr="00690D66" w:rsidRDefault="00690D66" w:rsidP="00690D66">
            <w:pPr>
              <w:widowControl/>
              <w:jc w:val="right"/>
              <w:textAlignment w:val="bottom"/>
              <w:rPr>
                <w:kern w:val="0"/>
                <w:lang w:bidi="ar"/>
              </w:rPr>
            </w:pPr>
            <w:r w:rsidRPr="00690D66">
              <w:rPr>
                <w:kern w:val="0"/>
                <w:lang w:bidi="ar"/>
              </w:rPr>
              <w:t xml:space="preserve">17.28 </w:t>
            </w:r>
          </w:p>
        </w:tc>
        <w:tc>
          <w:tcPr>
            <w:tcW w:w="617" w:type="dxa"/>
            <w:tcBorders>
              <w:tl2br w:val="nil"/>
              <w:tr2bl w:val="nil"/>
            </w:tcBorders>
            <w:noWrap/>
            <w:tcMar>
              <w:top w:w="15" w:type="dxa"/>
              <w:left w:w="15" w:type="dxa"/>
              <w:right w:w="15" w:type="dxa"/>
            </w:tcMar>
            <w:vAlign w:val="center"/>
          </w:tcPr>
          <w:p w14:paraId="33127A11" w14:textId="77777777" w:rsidR="00690D66" w:rsidRPr="00690D66" w:rsidRDefault="00690D66" w:rsidP="00690D66">
            <w:pPr>
              <w:widowControl/>
              <w:jc w:val="center"/>
              <w:textAlignment w:val="bottom"/>
              <w:rPr>
                <w:kern w:val="0"/>
                <w:lang w:bidi="ar"/>
              </w:rPr>
            </w:pPr>
            <w:r w:rsidRPr="00690D66">
              <w:rPr>
                <w:kern w:val="0"/>
                <w:lang w:bidi="ar"/>
              </w:rPr>
              <w:t xml:space="preserve">8.94 </w:t>
            </w:r>
          </w:p>
        </w:tc>
        <w:tc>
          <w:tcPr>
            <w:tcW w:w="617" w:type="dxa"/>
            <w:tcBorders>
              <w:tl2br w:val="nil"/>
              <w:tr2bl w:val="nil"/>
            </w:tcBorders>
            <w:noWrap/>
            <w:tcMar>
              <w:top w:w="15" w:type="dxa"/>
              <w:left w:w="15" w:type="dxa"/>
              <w:right w:w="15" w:type="dxa"/>
            </w:tcMar>
            <w:vAlign w:val="center"/>
          </w:tcPr>
          <w:p w14:paraId="66E1B577" w14:textId="77777777" w:rsidR="00690D66" w:rsidRPr="00690D66" w:rsidRDefault="00690D66" w:rsidP="00690D66">
            <w:pPr>
              <w:widowControl/>
              <w:jc w:val="center"/>
              <w:textAlignment w:val="bottom"/>
              <w:rPr>
                <w:kern w:val="0"/>
                <w:lang w:bidi="ar"/>
              </w:rPr>
            </w:pPr>
            <w:r w:rsidRPr="00690D66">
              <w:rPr>
                <w:kern w:val="0"/>
                <w:lang w:bidi="ar"/>
              </w:rPr>
              <w:t xml:space="preserve">-6.86 </w:t>
            </w:r>
          </w:p>
        </w:tc>
        <w:tc>
          <w:tcPr>
            <w:tcW w:w="619" w:type="dxa"/>
            <w:tcBorders>
              <w:tl2br w:val="nil"/>
              <w:tr2bl w:val="nil"/>
            </w:tcBorders>
            <w:noWrap/>
            <w:tcMar>
              <w:top w:w="15" w:type="dxa"/>
              <w:left w:w="15" w:type="dxa"/>
              <w:right w:w="15" w:type="dxa"/>
            </w:tcMar>
            <w:vAlign w:val="center"/>
          </w:tcPr>
          <w:p w14:paraId="7BFB8785" w14:textId="77777777" w:rsidR="00690D66" w:rsidRPr="00690D66" w:rsidRDefault="00690D66" w:rsidP="00690D66">
            <w:pPr>
              <w:widowControl/>
              <w:jc w:val="right"/>
              <w:textAlignment w:val="bottom"/>
              <w:rPr>
                <w:kern w:val="0"/>
                <w:lang w:bidi="ar"/>
              </w:rPr>
            </w:pPr>
            <w:r w:rsidRPr="00690D66">
              <w:rPr>
                <w:kern w:val="0"/>
                <w:lang w:bidi="ar"/>
              </w:rPr>
              <w:t xml:space="preserve">-15.42 </w:t>
            </w:r>
          </w:p>
        </w:tc>
        <w:tc>
          <w:tcPr>
            <w:tcW w:w="343" w:type="pct"/>
            <w:tcBorders>
              <w:tl2br w:val="nil"/>
              <w:tr2bl w:val="nil"/>
            </w:tcBorders>
            <w:noWrap/>
            <w:tcMar>
              <w:top w:w="15" w:type="dxa"/>
              <w:left w:w="15" w:type="dxa"/>
              <w:right w:w="15" w:type="dxa"/>
            </w:tcMar>
            <w:vAlign w:val="center"/>
          </w:tcPr>
          <w:p w14:paraId="7B8AEBBB" w14:textId="77777777" w:rsidR="00690D66" w:rsidRPr="00690D66" w:rsidRDefault="00690D66" w:rsidP="00690D66">
            <w:pPr>
              <w:widowControl/>
              <w:jc w:val="center"/>
              <w:textAlignment w:val="center"/>
              <w:rPr>
                <w:kern w:val="0"/>
                <w:lang w:bidi="ar"/>
              </w:rPr>
            </w:pPr>
            <w:r w:rsidRPr="00690D66">
              <w:rPr>
                <w:kern w:val="0"/>
                <w:lang w:bidi="ar"/>
              </w:rPr>
              <w:t>5.78</w:t>
            </w:r>
          </w:p>
        </w:tc>
      </w:tr>
    </w:tbl>
    <w:p w14:paraId="70CB6B5C" w14:textId="77777777" w:rsidR="00690D66" w:rsidRPr="00690D66" w:rsidRDefault="00690D66" w:rsidP="00690D66">
      <w:pPr>
        <w:keepNext/>
        <w:keepLines/>
        <w:spacing w:line="360" w:lineRule="auto"/>
        <w:jc w:val="center"/>
        <w:rPr>
          <w:b/>
          <w:bCs/>
          <w:kern w:val="0"/>
          <w:sz w:val="24"/>
          <w:szCs w:val="24"/>
        </w:rPr>
      </w:pPr>
      <w:r w:rsidRPr="00690D66">
        <w:rPr>
          <w:rFonts w:ascii="Calibri" w:hAnsi="Calibri" w:cs="Arial"/>
          <w:noProof/>
          <w:szCs w:val="24"/>
        </w:rPr>
        <w:lastRenderedPageBreak/>
        <w:drawing>
          <wp:inline distT="0" distB="0" distL="114300" distR="114300" wp14:anchorId="6226AC8A" wp14:editId="00B6131D">
            <wp:extent cx="4460240" cy="1692910"/>
            <wp:effectExtent l="4445" t="4445" r="12065" b="17145"/>
            <wp:docPr id="50" name="图表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inline>
        </w:drawing>
      </w:r>
    </w:p>
    <w:p w14:paraId="46E2A7A6" w14:textId="1FB58160" w:rsidR="00690D66" w:rsidRPr="00857E7A" w:rsidRDefault="00690D66" w:rsidP="00857E7A">
      <w:pPr>
        <w:pStyle w:val="aff2"/>
        <w:spacing w:after="0"/>
        <w:ind w:firstLineChars="0" w:firstLine="0"/>
        <w:jc w:val="center"/>
        <w:rPr>
          <w:rStyle w:val="Charf"/>
          <w:bCs w:val="0"/>
        </w:rPr>
      </w:pPr>
      <w:r w:rsidRPr="00857E7A">
        <w:rPr>
          <w:rStyle w:val="Charf"/>
          <w:bCs w:val="0"/>
        </w:rPr>
        <w:t>图</w:t>
      </w:r>
      <w:r w:rsidR="00857E7A">
        <w:rPr>
          <w:rStyle w:val="Charf"/>
          <w:rFonts w:hint="eastAsia"/>
          <w:bCs w:val="0"/>
        </w:rPr>
        <w:t>6.2-16</w:t>
      </w:r>
      <w:r w:rsidRPr="00857E7A">
        <w:rPr>
          <w:rStyle w:val="Charf"/>
          <w:bCs w:val="0"/>
        </w:rPr>
        <w:t xml:space="preserve">  2023</w:t>
      </w:r>
      <w:r w:rsidRPr="00857E7A">
        <w:rPr>
          <w:rStyle w:val="Charf"/>
          <w:bCs w:val="0"/>
        </w:rPr>
        <w:t>年评价区域月平均温度变化图</w:t>
      </w:r>
    </w:p>
    <w:p w14:paraId="004675A2" w14:textId="3BADFC82" w:rsidR="00690D66" w:rsidRPr="005D74E7" w:rsidRDefault="00690D66" w:rsidP="005D74E7">
      <w:pPr>
        <w:pStyle w:val="affffff4"/>
      </w:pPr>
      <w:r w:rsidRPr="005D74E7">
        <w:t>从</w:t>
      </w:r>
      <w:r w:rsidR="00D51CED">
        <w:rPr>
          <w:rFonts w:hint="eastAsia"/>
        </w:rPr>
        <w:t>上</w:t>
      </w:r>
      <w:r w:rsidRPr="005D74E7">
        <w:t>表</w:t>
      </w:r>
      <w:r w:rsidR="00D51CED">
        <w:rPr>
          <w:rFonts w:hint="eastAsia"/>
        </w:rPr>
        <w:t>和</w:t>
      </w:r>
      <w:r w:rsidRPr="005D74E7">
        <w:t>图看出，近</w:t>
      </w:r>
      <w:r w:rsidRPr="005D74E7">
        <w:t>1</w:t>
      </w:r>
      <w:r w:rsidRPr="005D74E7">
        <w:t>年的平均温度为</w:t>
      </w:r>
      <w:r w:rsidRPr="005D74E7">
        <w:t>5.78℃</w:t>
      </w:r>
      <w:r w:rsidRPr="005D74E7">
        <w:t>，</w:t>
      </w:r>
      <w:r w:rsidRPr="005D74E7">
        <w:t>4-10</w:t>
      </w:r>
      <w:r w:rsidRPr="005D74E7">
        <w:t>月份高于全年平均气温，其它月份小于全年平均值，</w:t>
      </w:r>
      <w:r w:rsidRPr="005D74E7">
        <w:t>7</w:t>
      </w:r>
      <w:r w:rsidRPr="005D74E7">
        <w:t>月份平均气温最高为</w:t>
      </w:r>
      <w:r w:rsidRPr="005D74E7">
        <w:t>22.89℃</w:t>
      </w:r>
      <w:r w:rsidRPr="005D74E7">
        <w:t>，</w:t>
      </w:r>
      <w:r w:rsidRPr="005D74E7">
        <w:t>1</w:t>
      </w:r>
      <w:r w:rsidRPr="005D74E7">
        <w:t>月份温度最低为</w:t>
      </w:r>
      <w:r w:rsidRPr="005D74E7">
        <w:t>-17.31℃</w:t>
      </w:r>
      <w:r w:rsidRPr="005D74E7">
        <w:t>。</w:t>
      </w:r>
    </w:p>
    <w:p w14:paraId="2A1B71AA" w14:textId="57F140D6" w:rsidR="00690D66" w:rsidRPr="005D74E7" w:rsidRDefault="00375EE2" w:rsidP="005D74E7">
      <w:pPr>
        <w:pStyle w:val="affffff4"/>
      </w:pPr>
      <w:r>
        <w:rPr>
          <w:rFonts w:hint="eastAsia"/>
        </w:rPr>
        <w:t>（</w:t>
      </w:r>
      <w:r>
        <w:rPr>
          <w:rFonts w:hint="eastAsia"/>
        </w:rPr>
        <w:t>3</w:t>
      </w:r>
      <w:r>
        <w:rPr>
          <w:rFonts w:hint="eastAsia"/>
        </w:rPr>
        <w:t>）</w:t>
      </w:r>
      <w:r w:rsidR="00690D66" w:rsidRPr="005D74E7">
        <w:t>风速统计分析</w:t>
      </w:r>
    </w:p>
    <w:p w14:paraId="79E447DE" w14:textId="6CF7EFE3" w:rsidR="00690D66" w:rsidRPr="005D74E7" w:rsidRDefault="00690D66" w:rsidP="005D74E7">
      <w:pPr>
        <w:pStyle w:val="affffff4"/>
      </w:pPr>
      <w:r w:rsidRPr="005D74E7">
        <w:t>2023</w:t>
      </w:r>
      <w:r w:rsidRPr="005D74E7">
        <w:t>年平均风速为</w:t>
      </w:r>
      <w:r w:rsidRPr="005D74E7">
        <w:t>2.93m/s</w:t>
      </w:r>
      <w:r w:rsidRPr="005D74E7">
        <w:t>，</w:t>
      </w:r>
      <w:r w:rsidRPr="005D74E7">
        <w:t>4</w:t>
      </w:r>
      <w:r w:rsidRPr="005D74E7">
        <w:t>月份平均风速最大为</w:t>
      </w:r>
      <w:r w:rsidRPr="005D74E7">
        <w:t>3.7m/s</w:t>
      </w:r>
      <w:r w:rsidRPr="005D74E7">
        <w:t>；</w:t>
      </w:r>
      <w:r w:rsidRPr="005D74E7">
        <w:t>1</w:t>
      </w:r>
      <w:r w:rsidRPr="005D74E7">
        <w:t>月份平均风速最小为</w:t>
      </w:r>
      <w:r w:rsidRPr="005D74E7">
        <w:t>2.27m/s</w:t>
      </w:r>
      <w:r w:rsidRPr="005D74E7">
        <w:t>。</w:t>
      </w:r>
      <w:r w:rsidRPr="005D74E7">
        <w:t>2023</w:t>
      </w:r>
      <w:r w:rsidRPr="005D74E7">
        <w:t>年评价区域月平均风速统计见</w:t>
      </w:r>
      <w:r w:rsidR="00D51CED">
        <w:rPr>
          <w:rFonts w:hint="eastAsia"/>
        </w:rPr>
        <w:t>下</w:t>
      </w:r>
      <w:r w:rsidRPr="005D74E7">
        <w:t>表，</w:t>
      </w:r>
      <w:r w:rsidRPr="005D74E7">
        <w:t>2023</w:t>
      </w:r>
      <w:r w:rsidRPr="005D74E7">
        <w:t>年评价区域月平均风速变化图见</w:t>
      </w:r>
      <w:r w:rsidR="00D51CED">
        <w:rPr>
          <w:rFonts w:hint="eastAsia"/>
        </w:rPr>
        <w:t>下</w:t>
      </w:r>
      <w:r w:rsidRPr="005D74E7">
        <w:t>图。</w:t>
      </w:r>
    </w:p>
    <w:p w14:paraId="45A61851" w14:textId="5EDF16B7" w:rsidR="00690D66" w:rsidRPr="00FE469A" w:rsidRDefault="00690D66" w:rsidP="00FE469A">
      <w:pPr>
        <w:pStyle w:val="affffff5"/>
        <w:tabs>
          <w:tab w:val="left" w:pos="0"/>
        </w:tabs>
        <w:ind w:firstLine="400"/>
      </w:pPr>
      <w:r w:rsidRPr="00FE469A">
        <w:t>表</w:t>
      </w:r>
      <w:r w:rsidR="00D51CED">
        <w:rPr>
          <w:rFonts w:hint="eastAsia"/>
        </w:rPr>
        <w:t>6.2-</w:t>
      </w:r>
      <w:r w:rsidR="004F102D">
        <w:rPr>
          <w:rFonts w:hint="eastAsia"/>
        </w:rPr>
        <w:t>9</w:t>
      </w:r>
      <w:r w:rsidR="00A54A1F">
        <w:rPr>
          <w:rFonts w:hint="eastAsia"/>
        </w:rPr>
        <w:t xml:space="preserve"> </w:t>
      </w:r>
      <w:r w:rsidRPr="00FE469A">
        <w:t xml:space="preserve"> 2023</w:t>
      </w:r>
      <w:r w:rsidRPr="00FE469A">
        <w:t>年评价区域月平均风速统计</w:t>
      </w:r>
    </w:p>
    <w:tbl>
      <w:tblPr>
        <w:tblW w:w="4998"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67"/>
        <w:gridCol w:w="608"/>
        <w:gridCol w:w="608"/>
        <w:gridCol w:w="608"/>
        <w:gridCol w:w="608"/>
        <w:gridCol w:w="608"/>
        <w:gridCol w:w="608"/>
        <w:gridCol w:w="608"/>
        <w:gridCol w:w="608"/>
        <w:gridCol w:w="608"/>
        <w:gridCol w:w="609"/>
        <w:gridCol w:w="610"/>
        <w:gridCol w:w="612"/>
        <w:gridCol w:w="444"/>
      </w:tblGrid>
      <w:tr w:rsidR="00690D66" w:rsidRPr="00690D66" w14:paraId="64470B9A" w14:textId="77777777" w:rsidTr="00454C5A">
        <w:trPr>
          <w:trHeight w:val="270"/>
        </w:trPr>
        <w:tc>
          <w:tcPr>
            <w:tcW w:w="552" w:type="pct"/>
            <w:tcBorders>
              <w:tl2br w:val="nil"/>
              <w:tr2bl w:val="nil"/>
            </w:tcBorders>
            <w:noWrap/>
            <w:tcMar>
              <w:top w:w="15" w:type="dxa"/>
              <w:left w:w="15" w:type="dxa"/>
              <w:right w:w="15" w:type="dxa"/>
            </w:tcMar>
            <w:vAlign w:val="center"/>
          </w:tcPr>
          <w:p w14:paraId="0FFFC142" w14:textId="77777777" w:rsidR="00690D66" w:rsidRPr="00690D66" w:rsidRDefault="00690D66" w:rsidP="00690D66">
            <w:pPr>
              <w:widowControl/>
              <w:jc w:val="center"/>
              <w:textAlignment w:val="center"/>
              <w:rPr>
                <w:kern w:val="0"/>
              </w:rPr>
            </w:pPr>
            <w:r w:rsidRPr="00690D66">
              <w:rPr>
                <w:kern w:val="0"/>
                <w:lang w:bidi="ar"/>
              </w:rPr>
              <w:t>月份</w:t>
            </w:r>
          </w:p>
        </w:tc>
        <w:tc>
          <w:tcPr>
            <w:tcW w:w="341" w:type="pct"/>
            <w:tcBorders>
              <w:tl2br w:val="nil"/>
              <w:tr2bl w:val="nil"/>
            </w:tcBorders>
            <w:noWrap/>
            <w:tcMar>
              <w:top w:w="15" w:type="dxa"/>
              <w:left w:w="15" w:type="dxa"/>
              <w:right w:w="15" w:type="dxa"/>
            </w:tcMar>
            <w:vAlign w:val="center"/>
          </w:tcPr>
          <w:p w14:paraId="61A5AEAE" w14:textId="77777777" w:rsidR="00690D66" w:rsidRPr="00690D66" w:rsidRDefault="00690D66" w:rsidP="00690D66">
            <w:pPr>
              <w:widowControl/>
              <w:jc w:val="center"/>
              <w:textAlignment w:val="center"/>
              <w:rPr>
                <w:kern w:val="0"/>
              </w:rPr>
            </w:pPr>
            <w:r w:rsidRPr="00690D66">
              <w:rPr>
                <w:kern w:val="0"/>
                <w:lang w:bidi="ar"/>
              </w:rPr>
              <w:t>1</w:t>
            </w:r>
            <w:r w:rsidRPr="00690D66">
              <w:rPr>
                <w:kern w:val="0"/>
                <w:lang w:bidi="ar"/>
              </w:rPr>
              <w:t>月</w:t>
            </w:r>
          </w:p>
        </w:tc>
        <w:tc>
          <w:tcPr>
            <w:tcW w:w="341" w:type="pct"/>
            <w:tcBorders>
              <w:tl2br w:val="nil"/>
              <w:tr2bl w:val="nil"/>
            </w:tcBorders>
            <w:noWrap/>
            <w:tcMar>
              <w:top w:w="15" w:type="dxa"/>
              <w:left w:w="15" w:type="dxa"/>
              <w:right w:w="15" w:type="dxa"/>
            </w:tcMar>
            <w:vAlign w:val="center"/>
          </w:tcPr>
          <w:p w14:paraId="2C2B41C6" w14:textId="77777777" w:rsidR="00690D66" w:rsidRPr="00690D66" w:rsidRDefault="00690D66" w:rsidP="00690D66">
            <w:pPr>
              <w:widowControl/>
              <w:jc w:val="center"/>
              <w:textAlignment w:val="center"/>
              <w:rPr>
                <w:kern w:val="0"/>
              </w:rPr>
            </w:pPr>
            <w:r w:rsidRPr="00690D66">
              <w:rPr>
                <w:kern w:val="0"/>
                <w:lang w:bidi="ar"/>
              </w:rPr>
              <w:t>2</w:t>
            </w:r>
            <w:r w:rsidRPr="00690D66">
              <w:rPr>
                <w:kern w:val="0"/>
                <w:lang w:bidi="ar"/>
              </w:rPr>
              <w:t>月</w:t>
            </w:r>
          </w:p>
        </w:tc>
        <w:tc>
          <w:tcPr>
            <w:tcW w:w="341" w:type="pct"/>
            <w:tcBorders>
              <w:tl2br w:val="nil"/>
              <w:tr2bl w:val="nil"/>
            </w:tcBorders>
            <w:noWrap/>
            <w:tcMar>
              <w:top w:w="15" w:type="dxa"/>
              <w:left w:w="15" w:type="dxa"/>
              <w:right w:w="15" w:type="dxa"/>
            </w:tcMar>
            <w:vAlign w:val="center"/>
          </w:tcPr>
          <w:p w14:paraId="12870660" w14:textId="77777777" w:rsidR="00690D66" w:rsidRPr="00690D66" w:rsidRDefault="00690D66" w:rsidP="00690D66">
            <w:pPr>
              <w:widowControl/>
              <w:jc w:val="center"/>
              <w:textAlignment w:val="center"/>
              <w:rPr>
                <w:kern w:val="0"/>
              </w:rPr>
            </w:pPr>
            <w:r w:rsidRPr="00690D66">
              <w:rPr>
                <w:kern w:val="0"/>
                <w:lang w:bidi="ar"/>
              </w:rPr>
              <w:t>3</w:t>
            </w:r>
            <w:r w:rsidRPr="00690D66">
              <w:rPr>
                <w:kern w:val="0"/>
                <w:lang w:bidi="ar"/>
              </w:rPr>
              <w:t>月</w:t>
            </w:r>
          </w:p>
        </w:tc>
        <w:tc>
          <w:tcPr>
            <w:tcW w:w="341" w:type="pct"/>
            <w:tcBorders>
              <w:tl2br w:val="nil"/>
              <w:tr2bl w:val="nil"/>
            </w:tcBorders>
            <w:noWrap/>
            <w:tcMar>
              <w:top w:w="15" w:type="dxa"/>
              <w:left w:w="15" w:type="dxa"/>
              <w:right w:w="15" w:type="dxa"/>
            </w:tcMar>
            <w:vAlign w:val="center"/>
          </w:tcPr>
          <w:p w14:paraId="610C4240" w14:textId="77777777" w:rsidR="00690D66" w:rsidRPr="00690D66" w:rsidRDefault="00690D66" w:rsidP="00690D66">
            <w:pPr>
              <w:widowControl/>
              <w:jc w:val="center"/>
              <w:textAlignment w:val="center"/>
              <w:rPr>
                <w:kern w:val="0"/>
              </w:rPr>
            </w:pPr>
            <w:r w:rsidRPr="00690D66">
              <w:rPr>
                <w:kern w:val="0"/>
                <w:lang w:bidi="ar"/>
              </w:rPr>
              <w:t>4</w:t>
            </w:r>
            <w:r w:rsidRPr="00690D66">
              <w:rPr>
                <w:kern w:val="0"/>
                <w:lang w:bidi="ar"/>
              </w:rPr>
              <w:t>月</w:t>
            </w:r>
          </w:p>
        </w:tc>
        <w:tc>
          <w:tcPr>
            <w:tcW w:w="341" w:type="pct"/>
            <w:tcBorders>
              <w:tl2br w:val="nil"/>
              <w:tr2bl w:val="nil"/>
            </w:tcBorders>
            <w:noWrap/>
            <w:tcMar>
              <w:top w:w="15" w:type="dxa"/>
              <w:left w:w="15" w:type="dxa"/>
              <w:right w:w="15" w:type="dxa"/>
            </w:tcMar>
            <w:vAlign w:val="center"/>
          </w:tcPr>
          <w:p w14:paraId="2E5685FD" w14:textId="77777777" w:rsidR="00690D66" w:rsidRPr="00690D66" w:rsidRDefault="00690D66" w:rsidP="00690D66">
            <w:pPr>
              <w:widowControl/>
              <w:jc w:val="center"/>
              <w:textAlignment w:val="center"/>
              <w:rPr>
                <w:kern w:val="0"/>
              </w:rPr>
            </w:pPr>
            <w:r w:rsidRPr="00690D66">
              <w:rPr>
                <w:kern w:val="0"/>
                <w:lang w:bidi="ar"/>
              </w:rPr>
              <w:t>5</w:t>
            </w:r>
            <w:r w:rsidRPr="00690D66">
              <w:rPr>
                <w:kern w:val="0"/>
                <w:lang w:bidi="ar"/>
              </w:rPr>
              <w:t>月</w:t>
            </w:r>
          </w:p>
        </w:tc>
        <w:tc>
          <w:tcPr>
            <w:tcW w:w="341" w:type="pct"/>
            <w:tcBorders>
              <w:tl2br w:val="nil"/>
              <w:tr2bl w:val="nil"/>
            </w:tcBorders>
            <w:noWrap/>
            <w:tcMar>
              <w:top w:w="15" w:type="dxa"/>
              <w:left w:w="15" w:type="dxa"/>
              <w:right w:w="15" w:type="dxa"/>
            </w:tcMar>
            <w:vAlign w:val="center"/>
          </w:tcPr>
          <w:p w14:paraId="485F1499" w14:textId="77777777" w:rsidR="00690D66" w:rsidRPr="00690D66" w:rsidRDefault="00690D66" w:rsidP="00690D66">
            <w:pPr>
              <w:widowControl/>
              <w:jc w:val="center"/>
              <w:textAlignment w:val="center"/>
              <w:rPr>
                <w:kern w:val="0"/>
              </w:rPr>
            </w:pPr>
            <w:r w:rsidRPr="00690D66">
              <w:rPr>
                <w:kern w:val="0"/>
                <w:lang w:bidi="ar"/>
              </w:rPr>
              <w:t>6</w:t>
            </w:r>
            <w:r w:rsidRPr="00690D66">
              <w:rPr>
                <w:kern w:val="0"/>
                <w:lang w:bidi="ar"/>
              </w:rPr>
              <w:t>月</w:t>
            </w:r>
          </w:p>
        </w:tc>
        <w:tc>
          <w:tcPr>
            <w:tcW w:w="341" w:type="pct"/>
            <w:tcBorders>
              <w:tl2br w:val="nil"/>
              <w:tr2bl w:val="nil"/>
            </w:tcBorders>
            <w:noWrap/>
            <w:tcMar>
              <w:top w:w="15" w:type="dxa"/>
              <w:left w:w="15" w:type="dxa"/>
              <w:right w:w="15" w:type="dxa"/>
            </w:tcMar>
            <w:vAlign w:val="center"/>
          </w:tcPr>
          <w:p w14:paraId="02A61BAF" w14:textId="77777777" w:rsidR="00690D66" w:rsidRPr="00690D66" w:rsidRDefault="00690D66" w:rsidP="00690D66">
            <w:pPr>
              <w:widowControl/>
              <w:jc w:val="center"/>
              <w:textAlignment w:val="center"/>
              <w:rPr>
                <w:kern w:val="0"/>
              </w:rPr>
            </w:pPr>
            <w:r w:rsidRPr="00690D66">
              <w:rPr>
                <w:kern w:val="0"/>
                <w:lang w:bidi="ar"/>
              </w:rPr>
              <w:t>7</w:t>
            </w:r>
            <w:r w:rsidRPr="00690D66">
              <w:rPr>
                <w:kern w:val="0"/>
                <w:lang w:bidi="ar"/>
              </w:rPr>
              <w:t>月</w:t>
            </w:r>
          </w:p>
        </w:tc>
        <w:tc>
          <w:tcPr>
            <w:tcW w:w="341" w:type="pct"/>
            <w:tcBorders>
              <w:tl2br w:val="nil"/>
              <w:tr2bl w:val="nil"/>
            </w:tcBorders>
            <w:noWrap/>
            <w:tcMar>
              <w:top w:w="15" w:type="dxa"/>
              <w:left w:w="15" w:type="dxa"/>
              <w:right w:w="15" w:type="dxa"/>
            </w:tcMar>
            <w:vAlign w:val="center"/>
          </w:tcPr>
          <w:p w14:paraId="3980C3D8" w14:textId="77777777" w:rsidR="00690D66" w:rsidRPr="00690D66" w:rsidRDefault="00690D66" w:rsidP="00690D66">
            <w:pPr>
              <w:widowControl/>
              <w:jc w:val="center"/>
              <w:textAlignment w:val="center"/>
              <w:rPr>
                <w:kern w:val="0"/>
              </w:rPr>
            </w:pPr>
            <w:r w:rsidRPr="00690D66">
              <w:rPr>
                <w:kern w:val="0"/>
                <w:lang w:bidi="ar"/>
              </w:rPr>
              <w:t>8</w:t>
            </w:r>
            <w:r w:rsidRPr="00690D66">
              <w:rPr>
                <w:kern w:val="0"/>
                <w:lang w:bidi="ar"/>
              </w:rPr>
              <w:t>月</w:t>
            </w:r>
          </w:p>
        </w:tc>
        <w:tc>
          <w:tcPr>
            <w:tcW w:w="341" w:type="pct"/>
            <w:tcBorders>
              <w:tl2br w:val="nil"/>
              <w:tr2bl w:val="nil"/>
            </w:tcBorders>
            <w:noWrap/>
            <w:tcMar>
              <w:top w:w="15" w:type="dxa"/>
              <w:left w:w="15" w:type="dxa"/>
              <w:right w:w="15" w:type="dxa"/>
            </w:tcMar>
            <w:vAlign w:val="center"/>
          </w:tcPr>
          <w:p w14:paraId="1BE602F3" w14:textId="77777777" w:rsidR="00690D66" w:rsidRPr="00690D66" w:rsidRDefault="00690D66" w:rsidP="00690D66">
            <w:pPr>
              <w:widowControl/>
              <w:jc w:val="center"/>
              <w:textAlignment w:val="center"/>
              <w:rPr>
                <w:kern w:val="0"/>
              </w:rPr>
            </w:pPr>
            <w:r w:rsidRPr="00690D66">
              <w:rPr>
                <w:kern w:val="0"/>
                <w:lang w:bidi="ar"/>
              </w:rPr>
              <w:t>9</w:t>
            </w:r>
            <w:r w:rsidRPr="00690D66">
              <w:rPr>
                <w:kern w:val="0"/>
                <w:lang w:bidi="ar"/>
              </w:rPr>
              <w:t>月</w:t>
            </w:r>
          </w:p>
        </w:tc>
        <w:tc>
          <w:tcPr>
            <w:tcW w:w="342" w:type="pct"/>
            <w:tcBorders>
              <w:tl2br w:val="nil"/>
              <w:tr2bl w:val="nil"/>
            </w:tcBorders>
            <w:noWrap/>
            <w:tcMar>
              <w:top w:w="15" w:type="dxa"/>
              <w:left w:w="15" w:type="dxa"/>
              <w:right w:w="15" w:type="dxa"/>
            </w:tcMar>
            <w:vAlign w:val="center"/>
          </w:tcPr>
          <w:p w14:paraId="620BE7B6" w14:textId="77777777" w:rsidR="00690D66" w:rsidRPr="00690D66" w:rsidRDefault="00690D66" w:rsidP="00690D66">
            <w:pPr>
              <w:widowControl/>
              <w:jc w:val="center"/>
              <w:textAlignment w:val="center"/>
              <w:rPr>
                <w:kern w:val="0"/>
              </w:rPr>
            </w:pPr>
            <w:r w:rsidRPr="00690D66">
              <w:rPr>
                <w:kern w:val="0"/>
                <w:lang w:bidi="ar"/>
              </w:rPr>
              <w:t>10</w:t>
            </w:r>
            <w:r w:rsidRPr="00690D66">
              <w:rPr>
                <w:kern w:val="0"/>
                <w:lang w:bidi="ar"/>
              </w:rPr>
              <w:t>月</w:t>
            </w:r>
          </w:p>
        </w:tc>
        <w:tc>
          <w:tcPr>
            <w:tcW w:w="342" w:type="pct"/>
            <w:tcBorders>
              <w:tl2br w:val="nil"/>
              <w:tr2bl w:val="nil"/>
            </w:tcBorders>
            <w:noWrap/>
            <w:tcMar>
              <w:top w:w="15" w:type="dxa"/>
              <w:left w:w="15" w:type="dxa"/>
              <w:right w:w="15" w:type="dxa"/>
            </w:tcMar>
            <w:vAlign w:val="center"/>
          </w:tcPr>
          <w:p w14:paraId="7DC51D3C" w14:textId="77777777" w:rsidR="00690D66" w:rsidRPr="00690D66" w:rsidRDefault="00690D66" w:rsidP="00690D66">
            <w:pPr>
              <w:widowControl/>
              <w:jc w:val="center"/>
              <w:textAlignment w:val="center"/>
              <w:rPr>
                <w:kern w:val="0"/>
              </w:rPr>
            </w:pPr>
            <w:r w:rsidRPr="00690D66">
              <w:rPr>
                <w:kern w:val="0"/>
                <w:lang w:bidi="ar"/>
              </w:rPr>
              <w:t>11</w:t>
            </w:r>
            <w:r w:rsidRPr="00690D66">
              <w:rPr>
                <w:kern w:val="0"/>
                <w:lang w:bidi="ar"/>
              </w:rPr>
              <w:t>月</w:t>
            </w:r>
          </w:p>
        </w:tc>
        <w:tc>
          <w:tcPr>
            <w:tcW w:w="343" w:type="pct"/>
            <w:tcBorders>
              <w:tl2br w:val="nil"/>
              <w:tr2bl w:val="nil"/>
            </w:tcBorders>
            <w:noWrap/>
            <w:tcMar>
              <w:top w:w="15" w:type="dxa"/>
              <w:left w:w="15" w:type="dxa"/>
              <w:right w:w="15" w:type="dxa"/>
            </w:tcMar>
            <w:vAlign w:val="center"/>
          </w:tcPr>
          <w:p w14:paraId="0DFF8B20" w14:textId="77777777" w:rsidR="00690D66" w:rsidRPr="00690D66" w:rsidRDefault="00690D66" w:rsidP="00690D66">
            <w:pPr>
              <w:widowControl/>
              <w:jc w:val="center"/>
              <w:textAlignment w:val="center"/>
              <w:rPr>
                <w:kern w:val="0"/>
              </w:rPr>
            </w:pPr>
            <w:r w:rsidRPr="00690D66">
              <w:rPr>
                <w:kern w:val="0"/>
                <w:lang w:bidi="ar"/>
              </w:rPr>
              <w:t>12</w:t>
            </w:r>
            <w:r w:rsidRPr="00690D66">
              <w:rPr>
                <w:kern w:val="0"/>
                <w:lang w:bidi="ar"/>
              </w:rPr>
              <w:t>月</w:t>
            </w:r>
          </w:p>
        </w:tc>
        <w:tc>
          <w:tcPr>
            <w:tcW w:w="343" w:type="pct"/>
            <w:tcBorders>
              <w:tl2br w:val="nil"/>
              <w:tr2bl w:val="nil"/>
            </w:tcBorders>
            <w:noWrap/>
            <w:tcMar>
              <w:top w:w="15" w:type="dxa"/>
              <w:left w:w="15" w:type="dxa"/>
              <w:right w:w="15" w:type="dxa"/>
            </w:tcMar>
            <w:vAlign w:val="center"/>
          </w:tcPr>
          <w:p w14:paraId="1F88F5B6" w14:textId="77777777" w:rsidR="00690D66" w:rsidRPr="00690D66" w:rsidRDefault="00690D66" w:rsidP="00690D66">
            <w:pPr>
              <w:widowControl/>
              <w:jc w:val="center"/>
              <w:textAlignment w:val="center"/>
              <w:rPr>
                <w:kern w:val="0"/>
                <w:lang w:bidi="ar"/>
              </w:rPr>
            </w:pPr>
            <w:r w:rsidRPr="00690D66">
              <w:rPr>
                <w:kern w:val="0"/>
                <w:lang w:bidi="ar"/>
              </w:rPr>
              <w:t>全年</w:t>
            </w:r>
          </w:p>
        </w:tc>
      </w:tr>
      <w:tr w:rsidR="00690D66" w:rsidRPr="00690D66" w14:paraId="64264194" w14:textId="77777777" w:rsidTr="00454C5A">
        <w:trPr>
          <w:trHeight w:val="270"/>
        </w:trPr>
        <w:tc>
          <w:tcPr>
            <w:tcW w:w="1080" w:type="dxa"/>
            <w:tcBorders>
              <w:tl2br w:val="nil"/>
              <w:tr2bl w:val="nil"/>
            </w:tcBorders>
            <w:noWrap/>
            <w:tcMar>
              <w:top w:w="15" w:type="dxa"/>
              <w:left w:w="15" w:type="dxa"/>
              <w:right w:w="15" w:type="dxa"/>
            </w:tcMar>
            <w:vAlign w:val="center"/>
          </w:tcPr>
          <w:p w14:paraId="1494ED89" w14:textId="77777777" w:rsidR="00690D66" w:rsidRPr="00690D66" w:rsidRDefault="00690D66" w:rsidP="00690D66">
            <w:pPr>
              <w:widowControl/>
              <w:jc w:val="center"/>
              <w:textAlignment w:val="center"/>
              <w:rPr>
                <w:kern w:val="0"/>
              </w:rPr>
            </w:pPr>
            <w:r w:rsidRPr="00690D66">
              <w:rPr>
                <w:kern w:val="0"/>
                <w:lang w:bidi="ar"/>
              </w:rPr>
              <w:t>风速（</w:t>
            </w:r>
            <w:r w:rsidRPr="00690D66">
              <w:rPr>
                <w:kern w:val="0"/>
                <w:lang w:bidi="ar"/>
              </w:rPr>
              <w:t>m/s)</w:t>
            </w:r>
          </w:p>
        </w:tc>
        <w:tc>
          <w:tcPr>
            <w:tcW w:w="616" w:type="dxa"/>
            <w:tcBorders>
              <w:tl2br w:val="nil"/>
              <w:tr2bl w:val="nil"/>
            </w:tcBorders>
            <w:noWrap/>
            <w:tcMar>
              <w:top w:w="15" w:type="dxa"/>
              <w:left w:w="15" w:type="dxa"/>
              <w:right w:w="15" w:type="dxa"/>
            </w:tcMar>
            <w:vAlign w:val="bottom"/>
          </w:tcPr>
          <w:p w14:paraId="30696B66" w14:textId="77777777" w:rsidR="00690D66" w:rsidRPr="00690D66" w:rsidRDefault="00690D66" w:rsidP="00690D66">
            <w:pPr>
              <w:widowControl/>
              <w:jc w:val="center"/>
              <w:textAlignment w:val="bottom"/>
              <w:rPr>
                <w:kern w:val="0"/>
                <w:lang w:bidi="ar"/>
              </w:rPr>
            </w:pPr>
            <w:r w:rsidRPr="00690D66">
              <w:rPr>
                <w:kern w:val="0"/>
                <w:lang w:bidi="ar"/>
              </w:rPr>
              <w:t>2.27</w:t>
            </w:r>
          </w:p>
        </w:tc>
        <w:tc>
          <w:tcPr>
            <w:tcW w:w="616" w:type="dxa"/>
            <w:tcBorders>
              <w:tl2br w:val="nil"/>
              <w:tr2bl w:val="nil"/>
            </w:tcBorders>
            <w:noWrap/>
            <w:tcMar>
              <w:top w:w="15" w:type="dxa"/>
              <w:left w:w="15" w:type="dxa"/>
              <w:right w:w="15" w:type="dxa"/>
            </w:tcMar>
            <w:vAlign w:val="bottom"/>
          </w:tcPr>
          <w:p w14:paraId="5749FE99" w14:textId="77777777" w:rsidR="00690D66" w:rsidRPr="00690D66" w:rsidRDefault="00690D66" w:rsidP="00690D66">
            <w:pPr>
              <w:widowControl/>
              <w:jc w:val="center"/>
              <w:textAlignment w:val="bottom"/>
              <w:rPr>
                <w:kern w:val="0"/>
                <w:lang w:bidi="ar"/>
              </w:rPr>
            </w:pPr>
            <w:r w:rsidRPr="00690D66">
              <w:rPr>
                <w:kern w:val="0"/>
                <w:lang w:bidi="ar"/>
              </w:rPr>
              <w:t>2.50</w:t>
            </w:r>
          </w:p>
        </w:tc>
        <w:tc>
          <w:tcPr>
            <w:tcW w:w="616" w:type="dxa"/>
            <w:tcBorders>
              <w:tl2br w:val="nil"/>
              <w:tr2bl w:val="nil"/>
            </w:tcBorders>
            <w:noWrap/>
            <w:tcMar>
              <w:top w:w="15" w:type="dxa"/>
              <w:left w:w="15" w:type="dxa"/>
              <w:right w:w="15" w:type="dxa"/>
            </w:tcMar>
            <w:vAlign w:val="bottom"/>
          </w:tcPr>
          <w:p w14:paraId="4CB9058E" w14:textId="77777777" w:rsidR="00690D66" w:rsidRPr="00690D66" w:rsidRDefault="00690D66" w:rsidP="00690D66">
            <w:pPr>
              <w:widowControl/>
              <w:jc w:val="center"/>
              <w:textAlignment w:val="bottom"/>
              <w:rPr>
                <w:kern w:val="0"/>
                <w:lang w:bidi="ar"/>
              </w:rPr>
            </w:pPr>
            <w:r w:rsidRPr="00690D66">
              <w:rPr>
                <w:kern w:val="0"/>
                <w:lang w:bidi="ar"/>
              </w:rPr>
              <w:t>3.20</w:t>
            </w:r>
          </w:p>
        </w:tc>
        <w:tc>
          <w:tcPr>
            <w:tcW w:w="616" w:type="dxa"/>
            <w:tcBorders>
              <w:tl2br w:val="nil"/>
              <w:tr2bl w:val="nil"/>
            </w:tcBorders>
            <w:noWrap/>
            <w:tcMar>
              <w:top w:w="15" w:type="dxa"/>
              <w:left w:w="15" w:type="dxa"/>
              <w:right w:w="15" w:type="dxa"/>
            </w:tcMar>
            <w:vAlign w:val="bottom"/>
          </w:tcPr>
          <w:p w14:paraId="7116E77C" w14:textId="77777777" w:rsidR="00690D66" w:rsidRPr="00690D66" w:rsidRDefault="00690D66" w:rsidP="00690D66">
            <w:pPr>
              <w:widowControl/>
              <w:jc w:val="center"/>
              <w:textAlignment w:val="bottom"/>
              <w:rPr>
                <w:kern w:val="0"/>
                <w:lang w:bidi="ar"/>
              </w:rPr>
            </w:pPr>
            <w:r w:rsidRPr="00690D66">
              <w:rPr>
                <w:kern w:val="0"/>
                <w:lang w:bidi="ar"/>
              </w:rPr>
              <w:t>3.70</w:t>
            </w:r>
          </w:p>
        </w:tc>
        <w:tc>
          <w:tcPr>
            <w:tcW w:w="616" w:type="dxa"/>
            <w:tcBorders>
              <w:tl2br w:val="nil"/>
              <w:tr2bl w:val="nil"/>
            </w:tcBorders>
            <w:noWrap/>
            <w:tcMar>
              <w:top w:w="15" w:type="dxa"/>
              <w:left w:w="15" w:type="dxa"/>
              <w:right w:w="15" w:type="dxa"/>
            </w:tcMar>
            <w:vAlign w:val="bottom"/>
          </w:tcPr>
          <w:p w14:paraId="16BB6427" w14:textId="77777777" w:rsidR="00690D66" w:rsidRPr="00690D66" w:rsidRDefault="00690D66" w:rsidP="00690D66">
            <w:pPr>
              <w:widowControl/>
              <w:jc w:val="center"/>
              <w:textAlignment w:val="bottom"/>
              <w:rPr>
                <w:kern w:val="0"/>
                <w:lang w:bidi="ar"/>
              </w:rPr>
            </w:pPr>
            <w:r w:rsidRPr="00690D66">
              <w:rPr>
                <w:kern w:val="0"/>
                <w:lang w:bidi="ar"/>
              </w:rPr>
              <w:t>3.42</w:t>
            </w:r>
          </w:p>
        </w:tc>
        <w:tc>
          <w:tcPr>
            <w:tcW w:w="616" w:type="dxa"/>
            <w:tcBorders>
              <w:tl2br w:val="nil"/>
              <w:tr2bl w:val="nil"/>
            </w:tcBorders>
            <w:noWrap/>
            <w:tcMar>
              <w:top w:w="15" w:type="dxa"/>
              <w:left w:w="15" w:type="dxa"/>
              <w:right w:w="15" w:type="dxa"/>
            </w:tcMar>
            <w:vAlign w:val="bottom"/>
          </w:tcPr>
          <w:p w14:paraId="2DFDF96C" w14:textId="77777777" w:rsidR="00690D66" w:rsidRPr="00690D66" w:rsidRDefault="00690D66" w:rsidP="00690D66">
            <w:pPr>
              <w:widowControl/>
              <w:jc w:val="center"/>
              <w:textAlignment w:val="bottom"/>
              <w:rPr>
                <w:kern w:val="0"/>
                <w:lang w:bidi="ar"/>
              </w:rPr>
            </w:pPr>
            <w:r w:rsidRPr="00690D66">
              <w:rPr>
                <w:kern w:val="0"/>
                <w:lang w:bidi="ar"/>
              </w:rPr>
              <w:t>2.77</w:t>
            </w:r>
          </w:p>
        </w:tc>
        <w:tc>
          <w:tcPr>
            <w:tcW w:w="616" w:type="dxa"/>
            <w:tcBorders>
              <w:tl2br w:val="nil"/>
              <w:tr2bl w:val="nil"/>
            </w:tcBorders>
            <w:noWrap/>
            <w:tcMar>
              <w:top w:w="15" w:type="dxa"/>
              <w:left w:w="15" w:type="dxa"/>
              <w:right w:w="15" w:type="dxa"/>
            </w:tcMar>
            <w:vAlign w:val="bottom"/>
          </w:tcPr>
          <w:p w14:paraId="03566221" w14:textId="77777777" w:rsidR="00690D66" w:rsidRPr="00690D66" w:rsidRDefault="00690D66" w:rsidP="00690D66">
            <w:pPr>
              <w:widowControl/>
              <w:jc w:val="center"/>
              <w:textAlignment w:val="bottom"/>
              <w:rPr>
                <w:kern w:val="0"/>
                <w:lang w:bidi="ar"/>
              </w:rPr>
            </w:pPr>
            <w:r w:rsidRPr="00690D66">
              <w:rPr>
                <w:kern w:val="0"/>
                <w:lang w:bidi="ar"/>
              </w:rPr>
              <w:t>2.69</w:t>
            </w:r>
          </w:p>
        </w:tc>
        <w:tc>
          <w:tcPr>
            <w:tcW w:w="616" w:type="dxa"/>
            <w:tcBorders>
              <w:tl2br w:val="nil"/>
              <w:tr2bl w:val="nil"/>
            </w:tcBorders>
            <w:noWrap/>
            <w:tcMar>
              <w:top w:w="15" w:type="dxa"/>
              <w:left w:w="15" w:type="dxa"/>
              <w:right w:w="15" w:type="dxa"/>
            </w:tcMar>
            <w:vAlign w:val="bottom"/>
          </w:tcPr>
          <w:p w14:paraId="23FF40D1" w14:textId="77777777" w:rsidR="00690D66" w:rsidRPr="00690D66" w:rsidRDefault="00690D66" w:rsidP="00690D66">
            <w:pPr>
              <w:widowControl/>
              <w:jc w:val="center"/>
              <w:textAlignment w:val="bottom"/>
              <w:rPr>
                <w:kern w:val="0"/>
                <w:lang w:bidi="ar"/>
              </w:rPr>
            </w:pPr>
            <w:r w:rsidRPr="00690D66">
              <w:rPr>
                <w:kern w:val="0"/>
                <w:lang w:bidi="ar"/>
              </w:rPr>
              <w:t>2.65</w:t>
            </w:r>
          </w:p>
        </w:tc>
        <w:tc>
          <w:tcPr>
            <w:tcW w:w="616" w:type="dxa"/>
            <w:tcBorders>
              <w:tl2br w:val="nil"/>
              <w:tr2bl w:val="nil"/>
            </w:tcBorders>
            <w:noWrap/>
            <w:tcMar>
              <w:top w:w="15" w:type="dxa"/>
              <w:left w:w="15" w:type="dxa"/>
              <w:right w:w="15" w:type="dxa"/>
            </w:tcMar>
            <w:vAlign w:val="bottom"/>
          </w:tcPr>
          <w:p w14:paraId="12664794" w14:textId="77777777" w:rsidR="00690D66" w:rsidRPr="00690D66" w:rsidRDefault="00690D66" w:rsidP="00690D66">
            <w:pPr>
              <w:widowControl/>
              <w:jc w:val="center"/>
              <w:textAlignment w:val="bottom"/>
              <w:rPr>
                <w:kern w:val="0"/>
                <w:lang w:bidi="ar"/>
              </w:rPr>
            </w:pPr>
            <w:r w:rsidRPr="00690D66">
              <w:rPr>
                <w:kern w:val="0"/>
                <w:lang w:bidi="ar"/>
              </w:rPr>
              <w:t>2.79</w:t>
            </w:r>
          </w:p>
        </w:tc>
        <w:tc>
          <w:tcPr>
            <w:tcW w:w="617" w:type="dxa"/>
            <w:tcBorders>
              <w:tl2br w:val="nil"/>
              <w:tr2bl w:val="nil"/>
            </w:tcBorders>
            <w:noWrap/>
            <w:tcMar>
              <w:top w:w="15" w:type="dxa"/>
              <w:left w:w="15" w:type="dxa"/>
              <w:right w:w="15" w:type="dxa"/>
            </w:tcMar>
            <w:vAlign w:val="bottom"/>
          </w:tcPr>
          <w:p w14:paraId="78D4AE56" w14:textId="77777777" w:rsidR="00690D66" w:rsidRPr="00690D66" w:rsidRDefault="00690D66" w:rsidP="00690D66">
            <w:pPr>
              <w:widowControl/>
              <w:jc w:val="center"/>
              <w:textAlignment w:val="bottom"/>
              <w:rPr>
                <w:kern w:val="0"/>
                <w:lang w:bidi="ar"/>
              </w:rPr>
            </w:pPr>
            <w:r w:rsidRPr="00690D66">
              <w:rPr>
                <w:kern w:val="0"/>
                <w:lang w:bidi="ar"/>
              </w:rPr>
              <w:t>2.59</w:t>
            </w:r>
          </w:p>
        </w:tc>
        <w:tc>
          <w:tcPr>
            <w:tcW w:w="618" w:type="dxa"/>
            <w:tcBorders>
              <w:tl2br w:val="nil"/>
              <w:tr2bl w:val="nil"/>
            </w:tcBorders>
            <w:noWrap/>
            <w:tcMar>
              <w:top w:w="15" w:type="dxa"/>
              <w:left w:w="15" w:type="dxa"/>
              <w:right w:w="15" w:type="dxa"/>
            </w:tcMar>
            <w:vAlign w:val="bottom"/>
          </w:tcPr>
          <w:p w14:paraId="12311494" w14:textId="77777777" w:rsidR="00690D66" w:rsidRPr="00690D66" w:rsidRDefault="00690D66" w:rsidP="00690D66">
            <w:pPr>
              <w:widowControl/>
              <w:jc w:val="center"/>
              <w:textAlignment w:val="bottom"/>
              <w:rPr>
                <w:kern w:val="0"/>
                <w:lang w:bidi="ar"/>
              </w:rPr>
            </w:pPr>
            <w:r w:rsidRPr="00690D66">
              <w:rPr>
                <w:kern w:val="0"/>
                <w:lang w:bidi="ar"/>
              </w:rPr>
              <w:t>2.81</w:t>
            </w:r>
          </w:p>
        </w:tc>
        <w:tc>
          <w:tcPr>
            <w:tcW w:w="620" w:type="dxa"/>
            <w:tcBorders>
              <w:tl2br w:val="nil"/>
              <w:tr2bl w:val="nil"/>
            </w:tcBorders>
            <w:noWrap/>
            <w:tcMar>
              <w:top w:w="15" w:type="dxa"/>
              <w:left w:w="15" w:type="dxa"/>
              <w:right w:w="15" w:type="dxa"/>
            </w:tcMar>
            <w:vAlign w:val="bottom"/>
          </w:tcPr>
          <w:p w14:paraId="7FEF24A3" w14:textId="77777777" w:rsidR="00690D66" w:rsidRPr="00690D66" w:rsidRDefault="00690D66" w:rsidP="00690D66">
            <w:pPr>
              <w:widowControl/>
              <w:jc w:val="center"/>
              <w:textAlignment w:val="bottom"/>
              <w:rPr>
                <w:kern w:val="0"/>
                <w:lang w:bidi="ar"/>
              </w:rPr>
            </w:pPr>
            <w:r w:rsidRPr="00690D66">
              <w:rPr>
                <w:kern w:val="0"/>
                <w:lang w:bidi="ar"/>
              </w:rPr>
              <w:t>2.47</w:t>
            </w:r>
          </w:p>
        </w:tc>
        <w:tc>
          <w:tcPr>
            <w:tcW w:w="343" w:type="pct"/>
            <w:tcBorders>
              <w:tl2br w:val="nil"/>
              <w:tr2bl w:val="nil"/>
            </w:tcBorders>
            <w:noWrap/>
            <w:tcMar>
              <w:top w:w="15" w:type="dxa"/>
              <w:left w:w="15" w:type="dxa"/>
              <w:right w:w="15" w:type="dxa"/>
            </w:tcMar>
            <w:vAlign w:val="center"/>
          </w:tcPr>
          <w:p w14:paraId="145D8E3C" w14:textId="77777777" w:rsidR="00690D66" w:rsidRPr="00690D66" w:rsidRDefault="00690D66" w:rsidP="00690D66">
            <w:pPr>
              <w:widowControl/>
              <w:jc w:val="center"/>
              <w:textAlignment w:val="center"/>
              <w:rPr>
                <w:kern w:val="0"/>
                <w:lang w:bidi="ar"/>
              </w:rPr>
            </w:pPr>
            <w:r w:rsidRPr="00690D66">
              <w:rPr>
                <w:kern w:val="0"/>
                <w:lang w:bidi="ar"/>
              </w:rPr>
              <w:t>2.93</w:t>
            </w:r>
          </w:p>
        </w:tc>
      </w:tr>
    </w:tbl>
    <w:p w14:paraId="2AAEA3EF" w14:textId="77777777" w:rsidR="00690D66" w:rsidRPr="00690D66" w:rsidRDefault="00690D66" w:rsidP="00690D66">
      <w:pPr>
        <w:jc w:val="center"/>
        <w:rPr>
          <w:rFonts w:eastAsia="微软雅黑"/>
          <w:kern w:val="0"/>
          <w:sz w:val="22"/>
          <w:szCs w:val="22"/>
        </w:rPr>
      </w:pPr>
    </w:p>
    <w:p w14:paraId="08D3C126" w14:textId="77777777" w:rsidR="00690D66" w:rsidRPr="00690D66" w:rsidRDefault="00690D66" w:rsidP="00690D66">
      <w:pPr>
        <w:jc w:val="center"/>
        <w:rPr>
          <w:kern w:val="0"/>
          <w:sz w:val="24"/>
          <w:szCs w:val="28"/>
        </w:rPr>
      </w:pPr>
      <w:r w:rsidRPr="00690D66">
        <w:rPr>
          <w:rFonts w:ascii="Calibri" w:hAnsi="Calibri" w:cs="Arial"/>
          <w:noProof/>
          <w:szCs w:val="24"/>
        </w:rPr>
        <w:drawing>
          <wp:inline distT="0" distB="0" distL="114300" distR="114300" wp14:anchorId="6407DF01" wp14:editId="1D030E4C">
            <wp:extent cx="4415790" cy="1689735"/>
            <wp:effectExtent l="4445" t="4445" r="18415" b="20320"/>
            <wp:docPr id="68" name="图表 6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inline>
        </w:drawing>
      </w:r>
    </w:p>
    <w:p w14:paraId="3EA5808F" w14:textId="0D9D7657" w:rsidR="00690D66" w:rsidRPr="00857E7A" w:rsidRDefault="00690D66" w:rsidP="00857E7A">
      <w:pPr>
        <w:pStyle w:val="aff2"/>
        <w:spacing w:after="0"/>
        <w:ind w:firstLineChars="0" w:firstLine="0"/>
        <w:jc w:val="center"/>
        <w:rPr>
          <w:rStyle w:val="Charf"/>
        </w:rPr>
      </w:pPr>
      <w:r w:rsidRPr="00857E7A">
        <w:rPr>
          <w:rStyle w:val="Charf"/>
        </w:rPr>
        <w:t>图</w:t>
      </w:r>
      <w:r w:rsidR="00857E7A">
        <w:rPr>
          <w:rStyle w:val="Charf"/>
          <w:rFonts w:hint="eastAsia"/>
        </w:rPr>
        <w:t>6.2-17</w:t>
      </w:r>
      <w:r w:rsidRPr="00857E7A">
        <w:rPr>
          <w:rStyle w:val="Charf"/>
        </w:rPr>
        <w:t xml:space="preserve">  2023</w:t>
      </w:r>
      <w:r w:rsidRPr="00857E7A">
        <w:rPr>
          <w:rStyle w:val="Charf"/>
        </w:rPr>
        <w:t>年评价区域月平均风速变化图</w:t>
      </w:r>
    </w:p>
    <w:p w14:paraId="6E41B8CD" w14:textId="0625D316" w:rsidR="00690D66" w:rsidRPr="00857E7A" w:rsidRDefault="00690D66" w:rsidP="00857E7A">
      <w:pPr>
        <w:pStyle w:val="affffff4"/>
      </w:pPr>
      <w:r w:rsidRPr="00857E7A">
        <w:t>年评价区域各季小时平均风速的日变化见</w:t>
      </w:r>
      <w:r w:rsidR="00D51CED">
        <w:rPr>
          <w:rFonts w:hint="eastAsia"/>
        </w:rPr>
        <w:t>下</w:t>
      </w:r>
      <w:r w:rsidRPr="00857E7A">
        <w:t>表。</w:t>
      </w:r>
      <w:r w:rsidRPr="00857E7A">
        <w:t>202</w:t>
      </w:r>
      <w:r w:rsidR="00D51CED">
        <w:rPr>
          <w:rFonts w:hint="eastAsia"/>
        </w:rPr>
        <w:t>3</w:t>
      </w:r>
      <w:r w:rsidRPr="00857E7A">
        <w:t>年评价区域各季小时平均风速的日变化见</w:t>
      </w:r>
      <w:r w:rsidR="00D51CED">
        <w:rPr>
          <w:rFonts w:hint="eastAsia"/>
        </w:rPr>
        <w:t>下</w:t>
      </w:r>
      <w:r w:rsidRPr="00857E7A">
        <w:t>图。</w:t>
      </w:r>
    </w:p>
    <w:p w14:paraId="6A5B7BEB" w14:textId="0EDAE013" w:rsidR="00690D66" w:rsidRPr="00FE469A" w:rsidRDefault="00690D66" w:rsidP="00FE469A">
      <w:pPr>
        <w:pStyle w:val="affffff5"/>
        <w:tabs>
          <w:tab w:val="left" w:pos="0"/>
        </w:tabs>
        <w:ind w:firstLine="400"/>
      </w:pPr>
      <w:r w:rsidRPr="00FE469A">
        <w:t>表</w:t>
      </w:r>
      <w:r w:rsidR="00D51CED">
        <w:rPr>
          <w:rFonts w:hint="eastAsia"/>
        </w:rPr>
        <w:t>6.2-1</w:t>
      </w:r>
      <w:r w:rsidR="004F102D">
        <w:rPr>
          <w:rFonts w:hint="eastAsia"/>
        </w:rPr>
        <w:t>0</w:t>
      </w:r>
      <w:r w:rsidRPr="00FE469A">
        <w:t xml:space="preserve">  2023</w:t>
      </w:r>
      <w:r w:rsidRPr="00FE469A">
        <w:t>年评价区域各季小时平均风速的日变化（单位：</w:t>
      </w:r>
      <w:r w:rsidRPr="00FE469A">
        <w:t>m/s</w:t>
      </w:r>
      <w:r w:rsidRPr="00FE469A">
        <w:t>）</w:t>
      </w:r>
    </w:p>
    <w:tbl>
      <w:tblPr>
        <w:tblW w:w="4993"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12"/>
        <w:gridCol w:w="682"/>
        <w:gridCol w:w="682"/>
        <w:gridCol w:w="682"/>
        <w:gridCol w:w="682"/>
        <w:gridCol w:w="682"/>
        <w:gridCol w:w="682"/>
        <w:gridCol w:w="683"/>
        <w:gridCol w:w="683"/>
        <w:gridCol w:w="683"/>
        <w:gridCol w:w="683"/>
        <w:gridCol w:w="683"/>
        <w:gridCol w:w="683"/>
      </w:tblGrid>
      <w:tr w:rsidR="00690D66" w:rsidRPr="00690D66" w14:paraId="36F0BB3F" w14:textId="77777777" w:rsidTr="00454C5A">
        <w:trPr>
          <w:trHeight w:val="270"/>
        </w:trPr>
        <w:tc>
          <w:tcPr>
            <w:tcW w:w="347" w:type="pct"/>
            <w:tcBorders>
              <w:tl2br w:val="nil"/>
              <w:tr2bl w:val="nil"/>
            </w:tcBorders>
            <w:noWrap/>
            <w:tcMar>
              <w:top w:w="15" w:type="dxa"/>
              <w:left w:w="15" w:type="dxa"/>
              <w:right w:w="15" w:type="dxa"/>
            </w:tcMar>
            <w:vAlign w:val="center"/>
          </w:tcPr>
          <w:p w14:paraId="52ADD27E" w14:textId="77777777" w:rsidR="00690D66" w:rsidRPr="00690D66" w:rsidRDefault="00690D66" w:rsidP="00690D66">
            <w:pPr>
              <w:jc w:val="center"/>
              <w:rPr>
                <w:kern w:val="0"/>
              </w:rPr>
            </w:pPr>
          </w:p>
        </w:tc>
        <w:tc>
          <w:tcPr>
            <w:tcW w:w="387" w:type="pct"/>
            <w:tcBorders>
              <w:tl2br w:val="nil"/>
              <w:tr2bl w:val="nil"/>
            </w:tcBorders>
            <w:noWrap/>
            <w:tcMar>
              <w:top w:w="15" w:type="dxa"/>
              <w:left w:w="15" w:type="dxa"/>
              <w:right w:w="15" w:type="dxa"/>
            </w:tcMar>
            <w:vAlign w:val="center"/>
          </w:tcPr>
          <w:p w14:paraId="717109BB" w14:textId="77777777" w:rsidR="00690D66" w:rsidRPr="00690D66" w:rsidRDefault="00690D66" w:rsidP="00690D66">
            <w:pPr>
              <w:widowControl/>
              <w:jc w:val="center"/>
              <w:textAlignment w:val="center"/>
              <w:rPr>
                <w:kern w:val="0"/>
              </w:rPr>
            </w:pPr>
            <w:r w:rsidRPr="00690D66">
              <w:rPr>
                <w:kern w:val="0"/>
                <w:lang w:bidi="ar"/>
              </w:rPr>
              <w:t>1</w:t>
            </w:r>
            <w:r w:rsidRPr="00690D66">
              <w:rPr>
                <w:kern w:val="0"/>
                <w:lang w:bidi="ar"/>
              </w:rPr>
              <w:t>时</w:t>
            </w:r>
          </w:p>
        </w:tc>
        <w:tc>
          <w:tcPr>
            <w:tcW w:w="387" w:type="pct"/>
            <w:tcBorders>
              <w:tl2br w:val="nil"/>
              <w:tr2bl w:val="nil"/>
            </w:tcBorders>
            <w:noWrap/>
            <w:tcMar>
              <w:top w:w="15" w:type="dxa"/>
              <w:left w:w="15" w:type="dxa"/>
              <w:right w:w="15" w:type="dxa"/>
            </w:tcMar>
            <w:vAlign w:val="center"/>
          </w:tcPr>
          <w:p w14:paraId="188F4299" w14:textId="77777777" w:rsidR="00690D66" w:rsidRPr="00690D66" w:rsidRDefault="00690D66" w:rsidP="00690D66">
            <w:pPr>
              <w:widowControl/>
              <w:jc w:val="center"/>
              <w:textAlignment w:val="center"/>
              <w:rPr>
                <w:kern w:val="0"/>
              </w:rPr>
            </w:pPr>
            <w:r w:rsidRPr="00690D66">
              <w:rPr>
                <w:kern w:val="0"/>
                <w:lang w:bidi="ar"/>
              </w:rPr>
              <w:t>2</w:t>
            </w:r>
            <w:r w:rsidRPr="00690D66">
              <w:rPr>
                <w:kern w:val="0"/>
                <w:lang w:bidi="ar"/>
              </w:rPr>
              <w:t>时</w:t>
            </w:r>
          </w:p>
        </w:tc>
        <w:tc>
          <w:tcPr>
            <w:tcW w:w="387" w:type="pct"/>
            <w:tcBorders>
              <w:tl2br w:val="nil"/>
              <w:tr2bl w:val="nil"/>
            </w:tcBorders>
            <w:noWrap/>
            <w:tcMar>
              <w:top w:w="15" w:type="dxa"/>
              <w:left w:w="15" w:type="dxa"/>
              <w:right w:w="15" w:type="dxa"/>
            </w:tcMar>
            <w:vAlign w:val="center"/>
          </w:tcPr>
          <w:p w14:paraId="4AFA9E34" w14:textId="77777777" w:rsidR="00690D66" w:rsidRPr="00690D66" w:rsidRDefault="00690D66" w:rsidP="00690D66">
            <w:pPr>
              <w:widowControl/>
              <w:jc w:val="center"/>
              <w:textAlignment w:val="center"/>
              <w:rPr>
                <w:kern w:val="0"/>
              </w:rPr>
            </w:pPr>
            <w:r w:rsidRPr="00690D66">
              <w:rPr>
                <w:kern w:val="0"/>
                <w:lang w:bidi="ar"/>
              </w:rPr>
              <w:t>3</w:t>
            </w:r>
            <w:r w:rsidRPr="00690D66">
              <w:rPr>
                <w:kern w:val="0"/>
                <w:lang w:bidi="ar"/>
              </w:rPr>
              <w:t>时</w:t>
            </w:r>
          </w:p>
        </w:tc>
        <w:tc>
          <w:tcPr>
            <w:tcW w:w="387" w:type="pct"/>
            <w:tcBorders>
              <w:tl2br w:val="nil"/>
              <w:tr2bl w:val="nil"/>
            </w:tcBorders>
            <w:noWrap/>
            <w:tcMar>
              <w:top w:w="15" w:type="dxa"/>
              <w:left w:w="15" w:type="dxa"/>
              <w:right w:w="15" w:type="dxa"/>
            </w:tcMar>
            <w:vAlign w:val="center"/>
          </w:tcPr>
          <w:p w14:paraId="0B941AB1" w14:textId="77777777" w:rsidR="00690D66" w:rsidRPr="00690D66" w:rsidRDefault="00690D66" w:rsidP="00690D66">
            <w:pPr>
              <w:widowControl/>
              <w:jc w:val="center"/>
              <w:textAlignment w:val="center"/>
              <w:rPr>
                <w:kern w:val="0"/>
              </w:rPr>
            </w:pPr>
            <w:r w:rsidRPr="00690D66">
              <w:rPr>
                <w:kern w:val="0"/>
                <w:lang w:bidi="ar"/>
              </w:rPr>
              <w:t>4</w:t>
            </w:r>
            <w:r w:rsidRPr="00690D66">
              <w:rPr>
                <w:kern w:val="0"/>
                <w:lang w:bidi="ar"/>
              </w:rPr>
              <w:t>时</w:t>
            </w:r>
          </w:p>
        </w:tc>
        <w:tc>
          <w:tcPr>
            <w:tcW w:w="387" w:type="pct"/>
            <w:tcBorders>
              <w:tl2br w:val="nil"/>
              <w:tr2bl w:val="nil"/>
            </w:tcBorders>
            <w:noWrap/>
            <w:tcMar>
              <w:top w:w="15" w:type="dxa"/>
              <w:left w:w="15" w:type="dxa"/>
              <w:right w:w="15" w:type="dxa"/>
            </w:tcMar>
            <w:vAlign w:val="center"/>
          </w:tcPr>
          <w:p w14:paraId="4BD0BE0F" w14:textId="77777777" w:rsidR="00690D66" w:rsidRPr="00690D66" w:rsidRDefault="00690D66" w:rsidP="00690D66">
            <w:pPr>
              <w:widowControl/>
              <w:jc w:val="center"/>
              <w:textAlignment w:val="center"/>
              <w:rPr>
                <w:kern w:val="0"/>
              </w:rPr>
            </w:pPr>
            <w:r w:rsidRPr="00690D66">
              <w:rPr>
                <w:kern w:val="0"/>
                <w:lang w:bidi="ar"/>
              </w:rPr>
              <w:t>5</w:t>
            </w:r>
            <w:r w:rsidRPr="00690D66">
              <w:rPr>
                <w:kern w:val="0"/>
                <w:lang w:bidi="ar"/>
              </w:rPr>
              <w:t>时</w:t>
            </w:r>
          </w:p>
        </w:tc>
        <w:tc>
          <w:tcPr>
            <w:tcW w:w="387" w:type="pct"/>
            <w:tcBorders>
              <w:tl2br w:val="nil"/>
              <w:tr2bl w:val="nil"/>
            </w:tcBorders>
            <w:noWrap/>
            <w:tcMar>
              <w:top w:w="15" w:type="dxa"/>
              <w:left w:w="15" w:type="dxa"/>
              <w:right w:w="15" w:type="dxa"/>
            </w:tcMar>
            <w:vAlign w:val="center"/>
          </w:tcPr>
          <w:p w14:paraId="22182369" w14:textId="77777777" w:rsidR="00690D66" w:rsidRPr="00690D66" w:rsidRDefault="00690D66" w:rsidP="00690D66">
            <w:pPr>
              <w:widowControl/>
              <w:jc w:val="center"/>
              <w:textAlignment w:val="center"/>
              <w:rPr>
                <w:kern w:val="0"/>
              </w:rPr>
            </w:pPr>
            <w:r w:rsidRPr="00690D66">
              <w:rPr>
                <w:kern w:val="0"/>
                <w:lang w:bidi="ar"/>
              </w:rPr>
              <w:t>6</w:t>
            </w:r>
            <w:r w:rsidRPr="00690D66">
              <w:rPr>
                <w:kern w:val="0"/>
                <w:lang w:bidi="ar"/>
              </w:rPr>
              <w:t>时</w:t>
            </w:r>
          </w:p>
        </w:tc>
        <w:tc>
          <w:tcPr>
            <w:tcW w:w="387" w:type="pct"/>
            <w:tcBorders>
              <w:tl2br w:val="nil"/>
              <w:tr2bl w:val="nil"/>
            </w:tcBorders>
            <w:noWrap/>
            <w:tcMar>
              <w:top w:w="15" w:type="dxa"/>
              <w:left w:w="15" w:type="dxa"/>
              <w:right w:w="15" w:type="dxa"/>
            </w:tcMar>
            <w:vAlign w:val="center"/>
          </w:tcPr>
          <w:p w14:paraId="13134472" w14:textId="77777777" w:rsidR="00690D66" w:rsidRPr="00690D66" w:rsidRDefault="00690D66" w:rsidP="00690D66">
            <w:pPr>
              <w:widowControl/>
              <w:jc w:val="center"/>
              <w:textAlignment w:val="center"/>
              <w:rPr>
                <w:kern w:val="0"/>
              </w:rPr>
            </w:pPr>
            <w:r w:rsidRPr="00690D66">
              <w:rPr>
                <w:kern w:val="0"/>
                <w:lang w:bidi="ar"/>
              </w:rPr>
              <w:t>7</w:t>
            </w:r>
            <w:r w:rsidRPr="00690D66">
              <w:rPr>
                <w:kern w:val="0"/>
                <w:lang w:bidi="ar"/>
              </w:rPr>
              <w:t>时</w:t>
            </w:r>
          </w:p>
        </w:tc>
        <w:tc>
          <w:tcPr>
            <w:tcW w:w="387" w:type="pct"/>
            <w:tcBorders>
              <w:tl2br w:val="nil"/>
              <w:tr2bl w:val="nil"/>
            </w:tcBorders>
            <w:noWrap/>
            <w:tcMar>
              <w:top w:w="15" w:type="dxa"/>
              <w:left w:w="15" w:type="dxa"/>
              <w:right w:w="15" w:type="dxa"/>
            </w:tcMar>
            <w:vAlign w:val="center"/>
          </w:tcPr>
          <w:p w14:paraId="65357FF6" w14:textId="77777777" w:rsidR="00690D66" w:rsidRPr="00690D66" w:rsidRDefault="00690D66" w:rsidP="00690D66">
            <w:pPr>
              <w:widowControl/>
              <w:jc w:val="center"/>
              <w:textAlignment w:val="center"/>
              <w:rPr>
                <w:kern w:val="0"/>
              </w:rPr>
            </w:pPr>
            <w:r w:rsidRPr="00690D66">
              <w:rPr>
                <w:kern w:val="0"/>
                <w:lang w:bidi="ar"/>
              </w:rPr>
              <w:t>8</w:t>
            </w:r>
            <w:r w:rsidRPr="00690D66">
              <w:rPr>
                <w:kern w:val="0"/>
                <w:lang w:bidi="ar"/>
              </w:rPr>
              <w:t>时</w:t>
            </w:r>
          </w:p>
        </w:tc>
        <w:tc>
          <w:tcPr>
            <w:tcW w:w="387" w:type="pct"/>
            <w:tcBorders>
              <w:tl2br w:val="nil"/>
              <w:tr2bl w:val="nil"/>
            </w:tcBorders>
            <w:noWrap/>
            <w:tcMar>
              <w:top w:w="15" w:type="dxa"/>
              <w:left w:w="15" w:type="dxa"/>
              <w:right w:w="15" w:type="dxa"/>
            </w:tcMar>
            <w:vAlign w:val="center"/>
          </w:tcPr>
          <w:p w14:paraId="507AE332" w14:textId="77777777" w:rsidR="00690D66" w:rsidRPr="00690D66" w:rsidRDefault="00690D66" w:rsidP="00690D66">
            <w:pPr>
              <w:widowControl/>
              <w:jc w:val="center"/>
              <w:textAlignment w:val="center"/>
              <w:rPr>
                <w:kern w:val="0"/>
              </w:rPr>
            </w:pPr>
            <w:r w:rsidRPr="00690D66">
              <w:rPr>
                <w:kern w:val="0"/>
                <w:lang w:bidi="ar"/>
              </w:rPr>
              <w:t>9</w:t>
            </w:r>
            <w:r w:rsidRPr="00690D66">
              <w:rPr>
                <w:kern w:val="0"/>
                <w:lang w:bidi="ar"/>
              </w:rPr>
              <w:t>时</w:t>
            </w:r>
          </w:p>
        </w:tc>
        <w:tc>
          <w:tcPr>
            <w:tcW w:w="387" w:type="pct"/>
            <w:tcBorders>
              <w:tl2br w:val="nil"/>
              <w:tr2bl w:val="nil"/>
            </w:tcBorders>
            <w:noWrap/>
            <w:tcMar>
              <w:top w:w="15" w:type="dxa"/>
              <w:left w:w="15" w:type="dxa"/>
              <w:right w:w="15" w:type="dxa"/>
            </w:tcMar>
            <w:vAlign w:val="center"/>
          </w:tcPr>
          <w:p w14:paraId="156AE569" w14:textId="77777777" w:rsidR="00690D66" w:rsidRPr="00690D66" w:rsidRDefault="00690D66" w:rsidP="00690D66">
            <w:pPr>
              <w:widowControl/>
              <w:jc w:val="center"/>
              <w:textAlignment w:val="center"/>
              <w:rPr>
                <w:kern w:val="0"/>
              </w:rPr>
            </w:pPr>
            <w:r w:rsidRPr="00690D66">
              <w:rPr>
                <w:kern w:val="0"/>
                <w:lang w:bidi="ar"/>
              </w:rPr>
              <w:t>10</w:t>
            </w:r>
            <w:r w:rsidRPr="00690D66">
              <w:rPr>
                <w:kern w:val="0"/>
                <w:lang w:bidi="ar"/>
              </w:rPr>
              <w:t>时</w:t>
            </w:r>
          </w:p>
        </w:tc>
        <w:tc>
          <w:tcPr>
            <w:tcW w:w="387" w:type="pct"/>
            <w:tcBorders>
              <w:tl2br w:val="nil"/>
              <w:tr2bl w:val="nil"/>
            </w:tcBorders>
            <w:noWrap/>
            <w:tcMar>
              <w:top w:w="15" w:type="dxa"/>
              <w:left w:w="15" w:type="dxa"/>
              <w:right w:w="15" w:type="dxa"/>
            </w:tcMar>
            <w:vAlign w:val="center"/>
          </w:tcPr>
          <w:p w14:paraId="40EFA45E" w14:textId="77777777" w:rsidR="00690D66" w:rsidRPr="00690D66" w:rsidRDefault="00690D66" w:rsidP="00690D66">
            <w:pPr>
              <w:widowControl/>
              <w:jc w:val="center"/>
              <w:textAlignment w:val="center"/>
              <w:rPr>
                <w:kern w:val="0"/>
              </w:rPr>
            </w:pPr>
            <w:r w:rsidRPr="00690D66">
              <w:rPr>
                <w:kern w:val="0"/>
                <w:lang w:bidi="ar"/>
              </w:rPr>
              <w:t>11</w:t>
            </w:r>
            <w:r w:rsidRPr="00690D66">
              <w:rPr>
                <w:kern w:val="0"/>
                <w:lang w:bidi="ar"/>
              </w:rPr>
              <w:t>时</w:t>
            </w:r>
          </w:p>
        </w:tc>
        <w:tc>
          <w:tcPr>
            <w:tcW w:w="387" w:type="pct"/>
            <w:tcBorders>
              <w:tl2br w:val="nil"/>
              <w:tr2bl w:val="nil"/>
            </w:tcBorders>
            <w:noWrap/>
            <w:tcMar>
              <w:top w:w="15" w:type="dxa"/>
              <w:left w:w="15" w:type="dxa"/>
              <w:right w:w="15" w:type="dxa"/>
            </w:tcMar>
            <w:vAlign w:val="center"/>
          </w:tcPr>
          <w:p w14:paraId="44817EF8" w14:textId="77777777" w:rsidR="00690D66" w:rsidRPr="00690D66" w:rsidRDefault="00690D66" w:rsidP="00690D66">
            <w:pPr>
              <w:widowControl/>
              <w:jc w:val="center"/>
              <w:textAlignment w:val="center"/>
              <w:rPr>
                <w:kern w:val="0"/>
              </w:rPr>
            </w:pPr>
            <w:r w:rsidRPr="00690D66">
              <w:rPr>
                <w:kern w:val="0"/>
                <w:lang w:bidi="ar"/>
              </w:rPr>
              <w:t>12</w:t>
            </w:r>
            <w:r w:rsidRPr="00690D66">
              <w:rPr>
                <w:kern w:val="0"/>
                <w:lang w:bidi="ar"/>
              </w:rPr>
              <w:t>时</w:t>
            </w:r>
          </w:p>
        </w:tc>
      </w:tr>
      <w:tr w:rsidR="00690D66" w:rsidRPr="00690D66" w14:paraId="7A02F442" w14:textId="77777777" w:rsidTr="00454C5A">
        <w:trPr>
          <w:trHeight w:val="90"/>
        </w:trPr>
        <w:tc>
          <w:tcPr>
            <w:tcW w:w="347" w:type="pct"/>
            <w:tcBorders>
              <w:tl2br w:val="nil"/>
              <w:tr2bl w:val="nil"/>
            </w:tcBorders>
            <w:noWrap/>
            <w:tcMar>
              <w:top w:w="15" w:type="dxa"/>
              <w:left w:w="15" w:type="dxa"/>
              <w:right w:w="15" w:type="dxa"/>
            </w:tcMar>
            <w:vAlign w:val="center"/>
          </w:tcPr>
          <w:p w14:paraId="4C4C40D8" w14:textId="77777777" w:rsidR="00690D66" w:rsidRPr="00690D66" w:rsidRDefault="00690D66" w:rsidP="00690D66">
            <w:pPr>
              <w:widowControl/>
              <w:jc w:val="center"/>
              <w:textAlignment w:val="center"/>
              <w:rPr>
                <w:kern w:val="0"/>
              </w:rPr>
            </w:pPr>
            <w:r w:rsidRPr="00690D66">
              <w:rPr>
                <w:kern w:val="0"/>
                <w:lang w:bidi="ar"/>
              </w:rPr>
              <w:t>春季</w:t>
            </w:r>
          </w:p>
        </w:tc>
        <w:tc>
          <w:tcPr>
            <w:tcW w:w="645" w:type="dxa"/>
            <w:tcBorders>
              <w:tl2br w:val="nil"/>
              <w:tr2bl w:val="nil"/>
            </w:tcBorders>
            <w:noWrap/>
            <w:tcMar>
              <w:top w:w="15" w:type="dxa"/>
              <w:left w:w="15" w:type="dxa"/>
              <w:right w:w="15" w:type="dxa"/>
            </w:tcMar>
            <w:vAlign w:val="bottom"/>
          </w:tcPr>
          <w:p w14:paraId="246079F5" w14:textId="77777777" w:rsidR="00690D66" w:rsidRPr="00690D66" w:rsidRDefault="00690D66" w:rsidP="00690D66">
            <w:pPr>
              <w:widowControl/>
              <w:jc w:val="center"/>
              <w:textAlignment w:val="bottom"/>
              <w:rPr>
                <w:kern w:val="0"/>
                <w:lang w:bidi="ar"/>
              </w:rPr>
            </w:pPr>
            <w:r w:rsidRPr="00690D66">
              <w:rPr>
                <w:kern w:val="0"/>
                <w:lang w:bidi="ar"/>
              </w:rPr>
              <w:t>2.67</w:t>
            </w:r>
          </w:p>
        </w:tc>
        <w:tc>
          <w:tcPr>
            <w:tcW w:w="645" w:type="dxa"/>
            <w:tcBorders>
              <w:tl2br w:val="nil"/>
              <w:tr2bl w:val="nil"/>
            </w:tcBorders>
            <w:noWrap/>
            <w:tcMar>
              <w:top w:w="15" w:type="dxa"/>
              <w:left w:w="15" w:type="dxa"/>
              <w:right w:w="15" w:type="dxa"/>
            </w:tcMar>
            <w:vAlign w:val="bottom"/>
          </w:tcPr>
          <w:p w14:paraId="24337D87" w14:textId="77777777" w:rsidR="00690D66" w:rsidRPr="00690D66" w:rsidRDefault="00690D66" w:rsidP="00690D66">
            <w:pPr>
              <w:widowControl/>
              <w:jc w:val="center"/>
              <w:textAlignment w:val="bottom"/>
              <w:rPr>
                <w:kern w:val="0"/>
                <w:lang w:bidi="ar"/>
              </w:rPr>
            </w:pPr>
            <w:r w:rsidRPr="00690D66">
              <w:rPr>
                <w:kern w:val="0"/>
                <w:lang w:bidi="ar"/>
              </w:rPr>
              <w:t>2.61</w:t>
            </w:r>
          </w:p>
        </w:tc>
        <w:tc>
          <w:tcPr>
            <w:tcW w:w="645" w:type="dxa"/>
            <w:tcBorders>
              <w:tl2br w:val="nil"/>
              <w:tr2bl w:val="nil"/>
            </w:tcBorders>
            <w:noWrap/>
            <w:tcMar>
              <w:top w:w="15" w:type="dxa"/>
              <w:left w:w="15" w:type="dxa"/>
              <w:right w:w="15" w:type="dxa"/>
            </w:tcMar>
            <w:vAlign w:val="bottom"/>
          </w:tcPr>
          <w:p w14:paraId="66636F7E" w14:textId="77777777" w:rsidR="00690D66" w:rsidRPr="00690D66" w:rsidRDefault="00690D66" w:rsidP="00690D66">
            <w:pPr>
              <w:widowControl/>
              <w:jc w:val="center"/>
              <w:textAlignment w:val="bottom"/>
              <w:rPr>
                <w:kern w:val="0"/>
                <w:lang w:bidi="ar"/>
              </w:rPr>
            </w:pPr>
            <w:r w:rsidRPr="00690D66">
              <w:rPr>
                <w:kern w:val="0"/>
                <w:lang w:bidi="ar"/>
              </w:rPr>
              <w:t>2.62</w:t>
            </w:r>
          </w:p>
        </w:tc>
        <w:tc>
          <w:tcPr>
            <w:tcW w:w="645" w:type="dxa"/>
            <w:tcBorders>
              <w:tl2br w:val="nil"/>
              <w:tr2bl w:val="nil"/>
            </w:tcBorders>
            <w:noWrap/>
            <w:tcMar>
              <w:top w:w="15" w:type="dxa"/>
              <w:left w:w="15" w:type="dxa"/>
              <w:right w:w="15" w:type="dxa"/>
            </w:tcMar>
            <w:vAlign w:val="bottom"/>
          </w:tcPr>
          <w:p w14:paraId="0FB9319B" w14:textId="77777777" w:rsidR="00690D66" w:rsidRPr="00690D66" w:rsidRDefault="00690D66" w:rsidP="00690D66">
            <w:pPr>
              <w:widowControl/>
              <w:jc w:val="center"/>
              <w:textAlignment w:val="bottom"/>
              <w:rPr>
                <w:kern w:val="0"/>
                <w:lang w:bidi="ar"/>
              </w:rPr>
            </w:pPr>
            <w:r w:rsidRPr="00690D66">
              <w:rPr>
                <w:kern w:val="0"/>
                <w:lang w:bidi="ar"/>
              </w:rPr>
              <w:t>2.63</w:t>
            </w:r>
          </w:p>
        </w:tc>
        <w:tc>
          <w:tcPr>
            <w:tcW w:w="645" w:type="dxa"/>
            <w:tcBorders>
              <w:tl2br w:val="nil"/>
              <w:tr2bl w:val="nil"/>
            </w:tcBorders>
            <w:noWrap/>
            <w:tcMar>
              <w:top w:w="15" w:type="dxa"/>
              <w:left w:w="15" w:type="dxa"/>
              <w:right w:w="15" w:type="dxa"/>
            </w:tcMar>
            <w:vAlign w:val="bottom"/>
          </w:tcPr>
          <w:p w14:paraId="4EB0D250" w14:textId="77777777" w:rsidR="00690D66" w:rsidRPr="00690D66" w:rsidRDefault="00690D66" w:rsidP="00690D66">
            <w:pPr>
              <w:widowControl/>
              <w:jc w:val="center"/>
              <w:textAlignment w:val="bottom"/>
              <w:rPr>
                <w:kern w:val="0"/>
                <w:lang w:bidi="ar"/>
              </w:rPr>
            </w:pPr>
            <w:r w:rsidRPr="00690D66">
              <w:rPr>
                <w:kern w:val="0"/>
                <w:lang w:bidi="ar"/>
              </w:rPr>
              <w:t>2.61</w:t>
            </w:r>
          </w:p>
        </w:tc>
        <w:tc>
          <w:tcPr>
            <w:tcW w:w="645" w:type="dxa"/>
            <w:tcBorders>
              <w:tl2br w:val="nil"/>
              <w:tr2bl w:val="nil"/>
            </w:tcBorders>
            <w:noWrap/>
            <w:tcMar>
              <w:top w:w="15" w:type="dxa"/>
              <w:left w:w="15" w:type="dxa"/>
              <w:right w:w="15" w:type="dxa"/>
            </w:tcMar>
            <w:vAlign w:val="bottom"/>
          </w:tcPr>
          <w:p w14:paraId="70811A15" w14:textId="77777777" w:rsidR="00690D66" w:rsidRPr="00690D66" w:rsidRDefault="00690D66" w:rsidP="00690D66">
            <w:pPr>
              <w:widowControl/>
              <w:jc w:val="center"/>
              <w:textAlignment w:val="bottom"/>
              <w:rPr>
                <w:kern w:val="0"/>
                <w:lang w:bidi="ar"/>
              </w:rPr>
            </w:pPr>
            <w:r w:rsidRPr="00690D66">
              <w:rPr>
                <w:kern w:val="0"/>
                <w:lang w:bidi="ar"/>
              </w:rPr>
              <w:t>2.85</w:t>
            </w:r>
          </w:p>
        </w:tc>
        <w:tc>
          <w:tcPr>
            <w:tcW w:w="645" w:type="dxa"/>
            <w:tcBorders>
              <w:tl2br w:val="nil"/>
              <w:tr2bl w:val="nil"/>
            </w:tcBorders>
            <w:noWrap/>
            <w:tcMar>
              <w:top w:w="15" w:type="dxa"/>
              <w:left w:w="15" w:type="dxa"/>
              <w:right w:w="15" w:type="dxa"/>
            </w:tcMar>
            <w:vAlign w:val="bottom"/>
          </w:tcPr>
          <w:p w14:paraId="23D27B5C" w14:textId="77777777" w:rsidR="00690D66" w:rsidRPr="00690D66" w:rsidRDefault="00690D66" w:rsidP="00690D66">
            <w:pPr>
              <w:widowControl/>
              <w:jc w:val="center"/>
              <w:textAlignment w:val="bottom"/>
              <w:rPr>
                <w:kern w:val="0"/>
                <w:lang w:bidi="ar"/>
              </w:rPr>
            </w:pPr>
            <w:r w:rsidRPr="00690D66">
              <w:rPr>
                <w:kern w:val="0"/>
                <w:lang w:bidi="ar"/>
              </w:rPr>
              <w:t>3.28</w:t>
            </w:r>
          </w:p>
        </w:tc>
        <w:tc>
          <w:tcPr>
            <w:tcW w:w="646" w:type="dxa"/>
            <w:tcBorders>
              <w:tl2br w:val="nil"/>
              <w:tr2bl w:val="nil"/>
            </w:tcBorders>
            <w:noWrap/>
            <w:tcMar>
              <w:top w:w="15" w:type="dxa"/>
              <w:left w:w="15" w:type="dxa"/>
              <w:right w:w="15" w:type="dxa"/>
            </w:tcMar>
            <w:vAlign w:val="bottom"/>
          </w:tcPr>
          <w:p w14:paraId="5CD34945" w14:textId="77777777" w:rsidR="00690D66" w:rsidRPr="00690D66" w:rsidRDefault="00690D66" w:rsidP="00690D66">
            <w:pPr>
              <w:widowControl/>
              <w:jc w:val="center"/>
              <w:textAlignment w:val="bottom"/>
              <w:rPr>
                <w:kern w:val="0"/>
                <w:lang w:bidi="ar"/>
              </w:rPr>
            </w:pPr>
            <w:r w:rsidRPr="00690D66">
              <w:rPr>
                <w:kern w:val="0"/>
                <w:lang w:bidi="ar"/>
              </w:rPr>
              <w:t>3.97</w:t>
            </w:r>
          </w:p>
        </w:tc>
        <w:tc>
          <w:tcPr>
            <w:tcW w:w="646" w:type="dxa"/>
            <w:tcBorders>
              <w:tl2br w:val="nil"/>
              <w:tr2bl w:val="nil"/>
            </w:tcBorders>
            <w:noWrap/>
            <w:tcMar>
              <w:top w:w="15" w:type="dxa"/>
              <w:left w:w="15" w:type="dxa"/>
              <w:right w:w="15" w:type="dxa"/>
            </w:tcMar>
            <w:vAlign w:val="bottom"/>
          </w:tcPr>
          <w:p w14:paraId="30AEB588" w14:textId="77777777" w:rsidR="00690D66" w:rsidRPr="00690D66" w:rsidRDefault="00690D66" w:rsidP="00690D66">
            <w:pPr>
              <w:widowControl/>
              <w:jc w:val="center"/>
              <w:textAlignment w:val="bottom"/>
              <w:rPr>
                <w:kern w:val="0"/>
                <w:lang w:bidi="ar"/>
              </w:rPr>
            </w:pPr>
            <w:r w:rsidRPr="00690D66">
              <w:rPr>
                <w:kern w:val="0"/>
                <w:lang w:bidi="ar"/>
              </w:rPr>
              <w:t>4.08</w:t>
            </w:r>
          </w:p>
        </w:tc>
        <w:tc>
          <w:tcPr>
            <w:tcW w:w="646" w:type="dxa"/>
            <w:tcBorders>
              <w:tl2br w:val="nil"/>
              <w:tr2bl w:val="nil"/>
            </w:tcBorders>
            <w:noWrap/>
            <w:tcMar>
              <w:top w:w="15" w:type="dxa"/>
              <w:left w:w="15" w:type="dxa"/>
              <w:right w:w="15" w:type="dxa"/>
            </w:tcMar>
            <w:vAlign w:val="bottom"/>
          </w:tcPr>
          <w:p w14:paraId="3976F79A" w14:textId="77777777" w:rsidR="00690D66" w:rsidRPr="00690D66" w:rsidRDefault="00690D66" w:rsidP="00690D66">
            <w:pPr>
              <w:widowControl/>
              <w:jc w:val="center"/>
              <w:textAlignment w:val="bottom"/>
              <w:rPr>
                <w:kern w:val="0"/>
                <w:lang w:bidi="ar"/>
              </w:rPr>
            </w:pPr>
            <w:r w:rsidRPr="00690D66">
              <w:rPr>
                <w:kern w:val="0"/>
                <w:lang w:bidi="ar"/>
              </w:rPr>
              <w:t>4.47</w:t>
            </w:r>
          </w:p>
        </w:tc>
        <w:tc>
          <w:tcPr>
            <w:tcW w:w="646" w:type="dxa"/>
            <w:tcBorders>
              <w:tl2br w:val="nil"/>
              <w:tr2bl w:val="nil"/>
            </w:tcBorders>
            <w:noWrap/>
            <w:tcMar>
              <w:top w:w="15" w:type="dxa"/>
              <w:left w:w="15" w:type="dxa"/>
              <w:right w:w="15" w:type="dxa"/>
            </w:tcMar>
            <w:vAlign w:val="bottom"/>
          </w:tcPr>
          <w:p w14:paraId="24059694" w14:textId="77777777" w:rsidR="00690D66" w:rsidRPr="00690D66" w:rsidRDefault="00690D66" w:rsidP="00690D66">
            <w:pPr>
              <w:widowControl/>
              <w:jc w:val="center"/>
              <w:textAlignment w:val="bottom"/>
              <w:rPr>
                <w:kern w:val="0"/>
                <w:lang w:bidi="ar"/>
              </w:rPr>
            </w:pPr>
            <w:r w:rsidRPr="00690D66">
              <w:rPr>
                <w:kern w:val="0"/>
                <w:lang w:bidi="ar"/>
              </w:rPr>
              <w:t>4.67</w:t>
            </w:r>
          </w:p>
        </w:tc>
        <w:tc>
          <w:tcPr>
            <w:tcW w:w="646" w:type="dxa"/>
            <w:tcBorders>
              <w:tl2br w:val="nil"/>
              <w:tr2bl w:val="nil"/>
            </w:tcBorders>
            <w:noWrap/>
            <w:tcMar>
              <w:top w:w="15" w:type="dxa"/>
              <w:left w:w="15" w:type="dxa"/>
              <w:right w:w="15" w:type="dxa"/>
            </w:tcMar>
            <w:vAlign w:val="bottom"/>
          </w:tcPr>
          <w:p w14:paraId="056E781F" w14:textId="77777777" w:rsidR="00690D66" w:rsidRPr="00690D66" w:rsidRDefault="00690D66" w:rsidP="00690D66">
            <w:pPr>
              <w:widowControl/>
              <w:jc w:val="center"/>
              <w:textAlignment w:val="bottom"/>
              <w:rPr>
                <w:kern w:val="0"/>
                <w:lang w:bidi="ar"/>
              </w:rPr>
            </w:pPr>
            <w:r w:rsidRPr="00690D66">
              <w:rPr>
                <w:kern w:val="0"/>
                <w:lang w:bidi="ar"/>
              </w:rPr>
              <w:t>4.66</w:t>
            </w:r>
          </w:p>
        </w:tc>
      </w:tr>
      <w:tr w:rsidR="00690D66" w:rsidRPr="00690D66" w14:paraId="1F1EA540" w14:textId="77777777" w:rsidTr="00454C5A">
        <w:trPr>
          <w:trHeight w:val="270"/>
        </w:trPr>
        <w:tc>
          <w:tcPr>
            <w:tcW w:w="347" w:type="pct"/>
            <w:tcBorders>
              <w:tl2br w:val="nil"/>
              <w:tr2bl w:val="nil"/>
            </w:tcBorders>
            <w:noWrap/>
            <w:tcMar>
              <w:top w:w="15" w:type="dxa"/>
              <w:left w:w="15" w:type="dxa"/>
              <w:right w:w="15" w:type="dxa"/>
            </w:tcMar>
            <w:vAlign w:val="center"/>
          </w:tcPr>
          <w:p w14:paraId="5E616E41" w14:textId="77777777" w:rsidR="00690D66" w:rsidRPr="00690D66" w:rsidRDefault="00690D66" w:rsidP="00690D66">
            <w:pPr>
              <w:widowControl/>
              <w:jc w:val="center"/>
              <w:textAlignment w:val="center"/>
              <w:rPr>
                <w:kern w:val="0"/>
              </w:rPr>
            </w:pPr>
            <w:r w:rsidRPr="00690D66">
              <w:rPr>
                <w:kern w:val="0"/>
                <w:lang w:bidi="ar"/>
              </w:rPr>
              <w:t>夏季</w:t>
            </w:r>
          </w:p>
        </w:tc>
        <w:tc>
          <w:tcPr>
            <w:tcW w:w="645" w:type="dxa"/>
            <w:tcBorders>
              <w:tl2br w:val="nil"/>
              <w:tr2bl w:val="nil"/>
            </w:tcBorders>
            <w:noWrap/>
            <w:tcMar>
              <w:top w:w="15" w:type="dxa"/>
              <w:left w:w="15" w:type="dxa"/>
              <w:right w:w="15" w:type="dxa"/>
            </w:tcMar>
            <w:vAlign w:val="bottom"/>
          </w:tcPr>
          <w:p w14:paraId="5ACF8B34" w14:textId="77777777" w:rsidR="00690D66" w:rsidRPr="00690D66" w:rsidRDefault="00690D66" w:rsidP="00690D66">
            <w:pPr>
              <w:widowControl/>
              <w:jc w:val="center"/>
              <w:textAlignment w:val="bottom"/>
              <w:rPr>
                <w:kern w:val="0"/>
                <w:lang w:bidi="ar"/>
              </w:rPr>
            </w:pPr>
            <w:r w:rsidRPr="00690D66">
              <w:rPr>
                <w:kern w:val="0"/>
                <w:lang w:bidi="ar"/>
              </w:rPr>
              <w:t>2.18</w:t>
            </w:r>
          </w:p>
        </w:tc>
        <w:tc>
          <w:tcPr>
            <w:tcW w:w="645" w:type="dxa"/>
            <w:tcBorders>
              <w:tl2br w:val="nil"/>
              <w:tr2bl w:val="nil"/>
            </w:tcBorders>
            <w:noWrap/>
            <w:tcMar>
              <w:top w:w="15" w:type="dxa"/>
              <w:left w:w="15" w:type="dxa"/>
              <w:right w:w="15" w:type="dxa"/>
            </w:tcMar>
            <w:vAlign w:val="bottom"/>
          </w:tcPr>
          <w:p w14:paraId="671C30B1" w14:textId="77777777" w:rsidR="00690D66" w:rsidRPr="00690D66" w:rsidRDefault="00690D66" w:rsidP="00690D66">
            <w:pPr>
              <w:widowControl/>
              <w:jc w:val="center"/>
              <w:textAlignment w:val="bottom"/>
              <w:rPr>
                <w:kern w:val="0"/>
                <w:lang w:bidi="ar"/>
              </w:rPr>
            </w:pPr>
            <w:r w:rsidRPr="00690D66">
              <w:rPr>
                <w:kern w:val="0"/>
                <w:lang w:bidi="ar"/>
              </w:rPr>
              <w:t>2.21</w:t>
            </w:r>
          </w:p>
        </w:tc>
        <w:tc>
          <w:tcPr>
            <w:tcW w:w="645" w:type="dxa"/>
            <w:tcBorders>
              <w:tl2br w:val="nil"/>
              <w:tr2bl w:val="nil"/>
            </w:tcBorders>
            <w:noWrap/>
            <w:tcMar>
              <w:top w:w="15" w:type="dxa"/>
              <w:left w:w="15" w:type="dxa"/>
              <w:right w:w="15" w:type="dxa"/>
            </w:tcMar>
            <w:vAlign w:val="bottom"/>
          </w:tcPr>
          <w:p w14:paraId="3F84D83B" w14:textId="77777777" w:rsidR="00690D66" w:rsidRPr="00690D66" w:rsidRDefault="00690D66" w:rsidP="00690D66">
            <w:pPr>
              <w:widowControl/>
              <w:jc w:val="center"/>
              <w:textAlignment w:val="bottom"/>
              <w:rPr>
                <w:kern w:val="0"/>
                <w:lang w:bidi="ar"/>
              </w:rPr>
            </w:pPr>
            <w:r w:rsidRPr="00690D66">
              <w:rPr>
                <w:kern w:val="0"/>
                <w:lang w:bidi="ar"/>
              </w:rPr>
              <w:t>2.17</w:t>
            </w:r>
          </w:p>
        </w:tc>
        <w:tc>
          <w:tcPr>
            <w:tcW w:w="645" w:type="dxa"/>
            <w:tcBorders>
              <w:tl2br w:val="nil"/>
              <w:tr2bl w:val="nil"/>
            </w:tcBorders>
            <w:noWrap/>
            <w:tcMar>
              <w:top w:w="15" w:type="dxa"/>
              <w:left w:w="15" w:type="dxa"/>
              <w:right w:w="15" w:type="dxa"/>
            </w:tcMar>
            <w:vAlign w:val="bottom"/>
          </w:tcPr>
          <w:p w14:paraId="666838C8" w14:textId="77777777" w:rsidR="00690D66" w:rsidRPr="00690D66" w:rsidRDefault="00690D66" w:rsidP="00690D66">
            <w:pPr>
              <w:widowControl/>
              <w:jc w:val="center"/>
              <w:textAlignment w:val="bottom"/>
              <w:rPr>
                <w:kern w:val="0"/>
                <w:lang w:bidi="ar"/>
              </w:rPr>
            </w:pPr>
            <w:r w:rsidRPr="00690D66">
              <w:rPr>
                <w:kern w:val="0"/>
                <w:lang w:bidi="ar"/>
              </w:rPr>
              <w:t>2.22</w:t>
            </w:r>
          </w:p>
        </w:tc>
        <w:tc>
          <w:tcPr>
            <w:tcW w:w="645" w:type="dxa"/>
            <w:tcBorders>
              <w:tl2br w:val="nil"/>
              <w:tr2bl w:val="nil"/>
            </w:tcBorders>
            <w:noWrap/>
            <w:tcMar>
              <w:top w:w="15" w:type="dxa"/>
              <w:left w:w="15" w:type="dxa"/>
              <w:right w:w="15" w:type="dxa"/>
            </w:tcMar>
            <w:vAlign w:val="bottom"/>
          </w:tcPr>
          <w:p w14:paraId="47573955" w14:textId="77777777" w:rsidR="00690D66" w:rsidRPr="00690D66" w:rsidRDefault="00690D66" w:rsidP="00690D66">
            <w:pPr>
              <w:widowControl/>
              <w:jc w:val="center"/>
              <w:textAlignment w:val="bottom"/>
              <w:rPr>
                <w:kern w:val="0"/>
                <w:lang w:bidi="ar"/>
              </w:rPr>
            </w:pPr>
            <w:r w:rsidRPr="00690D66">
              <w:rPr>
                <w:kern w:val="0"/>
                <w:lang w:bidi="ar"/>
              </w:rPr>
              <w:t>2.15</w:t>
            </w:r>
          </w:p>
        </w:tc>
        <w:tc>
          <w:tcPr>
            <w:tcW w:w="645" w:type="dxa"/>
            <w:tcBorders>
              <w:tl2br w:val="nil"/>
              <w:tr2bl w:val="nil"/>
            </w:tcBorders>
            <w:noWrap/>
            <w:tcMar>
              <w:top w:w="15" w:type="dxa"/>
              <w:left w:w="15" w:type="dxa"/>
              <w:right w:w="15" w:type="dxa"/>
            </w:tcMar>
            <w:vAlign w:val="bottom"/>
          </w:tcPr>
          <w:p w14:paraId="783F4233" w14:textId="77777777" w:rsidR="00690D66" w:rsidRPr="00690D66" w:rsidRDefault="00690D66" w:rsidP="00690D66">
            <w:pPr>
              <w:widowControl/>
              <w:jc w:val="center"/>
              <w:textAlignment w:val="bottom"/>
              <w:rPr>
                <w:kern w:val="0"/>
                <w:lang w:bidi="ar"/>
              </w:rPr>
            </w:pPr>
            <w:r w:rsidRPr="00690D66">
              <w:rPr>
                <w:kern w:val="0"/>
                <w:lang w:bidi="ar"/>
              </w:rPr>
              <w:t>2.47</w:t>
            </w:r>
          </w:p>
        </w:tc>
        <w:tc>
          <w:tcPr>
            <w:tcW w:w="645" w:type="dxa"/>
            <w:tcBorders>
              <w:tl2br w:val="nil"/>
              <w:tr2bl w:val="nil"/>
            </w:tcBorders>
            <w:noWrap/>
            <w:tcMar>
              <w:top w:w="15" w:type="dxa"/>
              <w:left w:w="15" w:type="dxa"/>
              <w:right w:w="15" w:type="dxa"/>
            </w:tcMar>
            <w:vAlign w:val="bottom"/>
          </w:tcPr>
          <w:p w14:paraId="2DDB93F1" w14:textId="77777777" w:rsidR="00690D66" w:rsidRPr="00690D66" w:rsidRDefault="00690D66" w:rsidP="00690D66">
            <w:pPr>
              <w:widowControl/>
              <w:jc w:val="center"/>
              <w:textAlignment w:val="bottom"/>
              <w:rPr>
                <w:kern w:val="0"/>
                <w:lang w:bidi="ar"/>
              </w:rPr>
            </w:pPr>
            <w:r w:rsidRPr="00690D66">
              <w:rPr>
                <w:kern w:val="0"/>
                <w:lang w:bidi="ar"/>
              </w:rPr>
              <w:t>2.68</w:t>
            </w:r>
          </w:p>
        </w:tc>
        <w:tc>
          <w:tcPr>
            <w:tcW w:w="646" w:type="dxa"/>
            <w:tcBorders>
              <w:tl2br w:val="nil"/>
              <w:tr2bl w:val="nil"/>
            </w:tcBorders>
            <w:noWrap/>
            <w:tcMar>
              <w:top w:w="15" w:type="dxa"/>
              <w:left w:w="15" w:type="dxa"/>
              <w:right w:w="15" w:type="dxa"/>
            </w:tcMar>
            <w:vAlign w:val="bottom"/>
          </w:tcPr>
          <w:p w14:paraId="5BC7504D" w14:textId="77777777" w:rsidR="00690D66" w:rsidRPr="00690D66" w:rsidRDefault="00690D66" w:rsidP="00690D66">
            <w:pPr>
              <w:widowControl/>
              <w:jc w:val="center"/>
              <w:textAlignment w:val="bottom"/>
              <w:rPr>
                <w:kern w:val="0"/>
                <w:lang w:bidi="ar"/>
              </w:rPr>
            </w:pPr>
            <w:r w:rsidRPr="00690D66">
              <w:rPr>
                <w:kern w:val="0"/>
                <w:lang w:bidi="ar"/>
              </w:rPr>
              <w:t>3.00</w:t>
            </w:r>
          </w:p>
        </w:tc>
        <w:tc>
          <w:tcPr>
            <w:tcW w:w="646" w:type="dxa"/>
            <w:tcBorders>
              <w:tl2br w:val="nil"/>
              <w:tr2bl w:val="nil"/>
            </w:tcBorders>
            <w:noWrap/>
            <w:tcMar>
              <w:top w:w="15" w:type="dxa"/>
              <w:left w:w="15" w:type="dxa"/>
              <w:right w:w="15" w:type="dxa"/>
            </w:tcMar>
            <w:vAlign w:val="bottom"/>
          </w:tcPr>
          <w:p w14:paraId="08608C51" w14:textId="77777777" w:rsidR="00690D66" w:rsidRPr="00690D66" w:rsidRDefault="00690D66" w:rsidP="00690D66">
            <w:pPr>
              <w:widowControl/>
              <w:jc w:val="center"/>
              <w:textAlignment w:val="bottom"/>
              <w:rPr>
                <w:kern w:val="0"/>
                <w:lang w:bidi="ar"/>
              </w:rPr>
            </w:pPr>
            <w:r w:rsidRPr="00690D66">
              <w:rPr>
                <w:kern w:val="0"/>
                <w:lang w:bidi="ar"/>
              </w:rPr>
              <w:t>3.10</w:t>
            </w:r>
          </w:p>
        </w:tc>
        <w:tc>
          <w:tcPr>
            <w:tcW w:w="646" w:type="dxa"/>
            <w:tcBorders>
              <w:tl2br w:val="nil"/>
              <w:tr2bl w:val="nil"/>
            </w:tcBorders>
            <w:noWrap/>
            <w:tcMar>
              <w:top w:w="15" w:type="dxa"/>
              <w:left w:w="15" w:type="dxa"/>
              <w:right w:w="15" w:type="dxa"/>
            </w:tcMar>
            <w:vAlign w:val="bottom"/>
          </w:tcPr>
          <w:p w14:paraId="7AF3B9F1" w14:textId="77777777" w:rsidR="00690D66" w:rsidRPr="00690D66" w:rsidRDefault="00690D66" w:rsidP="00690D66">
            <w:pPr>
              <w:widowControl/>
              <w:jc w:val="center"/>
              <w:textAlignment w:val="bottom"/>
              <w:rPr>
                <w:kern w:val="0"/>
                <w:lang w:bidi="ar"/>
              </w:rPr>
            </w:pPr>
            <w:r w:rsidRPr="00690D66">
              <w:rPr>
                <w:kern w:val="0"/>
                <w:lang w:bidi="ar"/>
              </w:rPr>
              <w:t>3.30</w:t>
            </w:r>
          </w:p>
        </w:tc>
        <w:tc>
          <w:tcPr>
            <w:tcW w:w="646" w:type="dxa"/>
            <w:tcBorders>
              <w:tl2br w:val="nil"/>
              <w:tr2bl w:val="nil"/>
            </w:tcBorders>
            <w:noWrap/>
            <w:tcMar>
              <w:top w:w="15" w:type="dxa"/>
              <w:left w:w="15" w:type="dxa"/>
              <w:right w:w="15" w:type="dxa"/>
            </w:tcMar>
            <w:vAlign w:val="bottom"/>
          </w:tcPr>
          <w:p w14:paraId="73314D6E" w14:textId="77777777" w:rsidR="00690D66" w:rsidRPr="00690D66" w:rsidRDefault="00690D66" w:rsidP="00690D66">
            <w:pPr>
              <w:widowControl/>
              <w:jc w:val="center"/>
              <w:textAlignment w:val="bottom"/>
              <w:rPr>
                <w:kern w:val="0"/>
                <w:lang w:bidi="ar"/>
              </w:rPr>
            </w:pPr>
            <w:r w:rsidRPr="00690D66">
              <w:rPr>
                <w:kern w:val="0"/>
                <w:lang w:bidi="ar"/>
              </w:rPr>
              <w:t>3.44</w:t>
            </w:r>
          </w:p>
        </w:tc>
        <w:tc>
          <w:tcPr>
            <w:tcW w:w="646" w:type="dxa"/>
            <w:tcBorders>
              <w:tl2br w:val="nil"/>
              <w:tr2bl w:val="nil"/>
            </w:tcBorders>
            <w:noWrap/>
            <w:tcMar>
              <w:top w:w="15" w:type="dxa"/>
              <w:left w:w="15" w:type="dxa"/>
              <w:right w:w="15" w:type="dxa"/>
            </w:tcMar>
            <w:vAlign w:val="bottom"/>
          </w:tcPr>
          <w:p w14:paraId="457470F8" w14:textId="77777777" w:rsidR="00690D66" w:rsidRPr="00690D66" w:rsidRDefault="00690D66" w:rsidP="00690D66">
            <w:pPr>
              <w:widowControl/>
              <w:jc w:val="center"/>
              <w:textAlignment w:val="bottom"/>
              <w:rPr>
                <w:kern w:val="0"/>
                <w:lang w:bidi="ar"/>
              </w:rPr>
            </w:pPr>
            <w:r w:rsidRPr="00690D66">
              <w:rPr>
                <w:kern w:val="0"/>
                <w:lang w:bidi="ar"/>
              </w:rPr>
              <w:t>3.60</w:t>
            </w:r>
          </w:p>
        </w:tc>
      </w:tr>
      <w:tr w:rsidR="00690D66" w:rsidRPr="00690D66" w14:paraId="6DA4959F" w14:textId="77777777" w:rsidTr="00454C5A">
        <w:trPr>
          <w:trHeight w:val="270"/>
        </w:trPr>
        <w:tc>
          <w:tcPr>
            <w:tcW w:w="347" w:type="pct"/>
            <w:tcBorders>
              <w:tl2br w:val="nil"/>
              <w:tr2bl w:val="nil"/>
            </w:tcBorders>
            <w:noWrap/>
            <w:tcMar>
              <w:top w:w="15" w:type="dxa"/>
              <w:left w:w="15" w:type="dxa"/>
              <w:right w:w="15" w:type="dxa"/>
            </w:tcMar>
            <w:vAlign w:val="center"/>
          </w:tcPr>
          <w:p w14:paraId="75B642D7" w14:textId="77777777" w:rsidR="00690D66" w:rsidRPr="00690D66" w:rsidRDefault="00690D66" w:rsidP="00690D66">
            <w:pPr>
              <w:widowControl/>
              <w:jc w:val="center"/>
              <w:textAlignment w:val="center"/>
              <w:rPr>
                <w:kern w:val="0"/>
              </w:rPr>
            </w:pPr>
            <w:r w:rsidRPr="00690D66">
              <w:rPr>
                <w:kern w:val="0"/>
                <w:lang w:bidi="ar"/>
              </w:rPr>
              <w:t>秋季</w:t>
            </w:r>
          </w:p>
        </w:tc>
        <w:tc>
          <w:tcPr>
            <w:tcW w:w="645" w:type="dxa"/>
            <w:tcBorders>
              <w:tl2br w:val="nil"/>
              <w:tr2bl w:val="nil"/>
            </w:tcBorders>
            <w:noWrap/>
            <w:tcMar>
              <w:top w:w="15" w:type="dxa"/>
              <w:left w:w="15" w:type="dxa"/>
              <w:right w:w="15" w:type="dxa"/>
            </w:tcMar>
            <w:vAlign w:val="bottom"/>
          </w:tcPr>
          <w:p w14:paraId="6C2F33F4" w14:textId="77777777" w:rsidR="00690D66" w:rsidRPr="00690D66" w:rsidRDefault="00690D66" w:rsidP="00690D66">
            <w:pPr>
              <w:widowControl/>
              <w:jc w:val="center"/>
              <w:textAlignment w:val="bottom"/>
              <w:rPr>
                <w:kern w:val="0"/>
                <w:lang w:bidi="ar"/>
              </w:rPr>
            </w:pPr>
            <w:r w:rsidRPr="00690D66">
              <w:rPr>
                <w:kern w:val="0"/>
                <w:lang w:bidi="ar"/>
              </w:rPr>
              <w:t>2.40</w:t>
            </w:r>
          </w:p>
        </w:tc>
        <w:tc>
          <w:tcPr>
            <w:tcW w:w="645" w:type="dxa"/>
            <w:tcBorders>
              <w:tl2br w:val="nil"/>
              <w:tr2bl w:val="nil"/>
            </w:tcBorders>
            <w:noWrap/>
            <w:tcMar>
              <w:top w:w="15" w:type="dxa"/>
              <w:left w:w="15" w:type="dxa"/>
              <w:right w:w="15" w:type="dxa"/>
            </w:tcMar>
            <w:vAlign w:val="bottom"/>
          </w:tcPr>
          <w:p w14:paraId="69E90F99" w14:textId="77777777" w:rsidR="00690D66" w:rsidRPr="00690D66" w:rsidRDefault="00690D66" w:rsidP="00690D66">
            <w:pPr>
              <w:widowControl/>
              <w:jc w:val="center"/>
              <w:textAlignment w:val="bottom"/>
              <w:rPr>
                <w:kern w:val="0"/>
                <w:lang w:bidi="ar"/>
              </w:rPr>
            </w:pPr>
            <w:r w:rsidRPr="00690D66">
              <w:rPr>
                <w:kern w:val="0"/>
                <w:lang w:bidi="ar"/>
              </w:rPr>
              <w:t>2.37</w:t>
            </w:r>
          </w:p>
        </w:tc>
        <w:tc>
          <w:tcPr>
            <w:tcW w:w="645" w:type="dxa"/>
            <w:tcBorders>
              <w:tl2br w:val="nil"/>
              <w:tr2bl w:val="nil"/>
            </w:tcBorders>
            <w:noWrap/>
            <w:tcMar>
              <w:top w:w="15" w:type="dxa"/>
              <w:left w:w="15" w:type="dxa"/>
              <w:right w:w="15" w:type="dxa"/>
            </w:tcMar>
            <w:vAlign w:val="bottom"/>
          </w:tcPr>
          <w:p w14:paraId="2D085971" w14:textId="77777777" w:rsidR="00690D66" w:rsidRPr="00690D66" w:rsidRDefault="00690D66" w:rsidP="00690D66">
            <w:pPr>
              <w:widowControl/>
              <w:jc w:val="center"/>
              <w:textAlignment w:val="bottom"/>
              <w:rPr>
                <w:kern w:val="0"/>
                <w:lang w:bidi="ar"/>
              </w:rPr>
            </w:pPr>
            <w:r w:rsidRPr="00690D66">
              <w:rPr>
                <w:kern w:val="0"/>
                <w:lang w:bidi="ar"/>
              </w:rPr>
              <w:t>2.32</w:t>
            </w:r>
          </w:p>
        </w:tc>
        <w:tc>
          <w:tcPr>
            <w:tcW w:w="645" w:type="dxa"/>
            <w:tcBorders>
              <w:tl2br w:val="nil"/>
              <w:tr2bl w:val="nil"/>
            </w:tcBorders>
            <w:noWrap/>
            <w:tcMar>
              <w:top w:w="15" w:type="dxa"/>
              <w:left w:w="15" w:type="dxa"/>
              <w:right w:w="15" w:type="dxa"/>
            </w:tcMar>
            <w:vAlign w:val="bottom"/>
          </w:tcPr>
          <w:p w14:paraId="345C1D5E" w14:textId="77777777" w:rsidR="00690D66" w:rsidRPr="00690D66" w:rsidRDefault="00690D66" w:rsidP="00690D66">
            <w:pPr>
              <w:widowControl/>
              <w:jc w:val="center"/>
              <w:textAlignment w:val="bottom"/>
              <w:rPr>
                <w:kern w:val="0"/>
                <w:lang w:bidi="ar"/>
              </w:rPr>
            </w:pPr>
            <w:r w:rsidRPr="00690D66">
              <w:rPr>
                <w:kern w:val="0"/>
                <w:lang w:bidi="ar"/>
              </w:rPr>
              <w:t>2.36</w:t>
            </w:r>
          </w:p>
        </w:tc>
        <w:tc>
          <w:tcPr>
            <w:tcW w:w="645" w:type="dxa"/>
            <w:tcBorders>
              <w:tl2br w:val="nil"/>
              <w:tr2bl w:val="nil"/>
            </w:tcBorders>
            <w:noWrap/>
            <w:tcMar>
              <w:top w:w="15" w:type="dxa"/>
              <w:left w:w="15" w:type="dxa"/>
              <w:right w:w="15" w:type="dxa"/>
            </w:tcMar>
            <w:vAlign w:val="bottom"/>
          </w:tcPr>
          <w:p w14:paraId="4CDF6668" w14:textId="77777777" w:rsidR="00690D66" w:rsidRPr="00690D66" w:rsidRDefault="00690D66" w:rsidP="00690D66">
            <w:pPr>
              <w:widowControl/>
              <w:jc w:val="center"/>
              <w:textAlignment w:val="bottom"/>
              <w:rPr>
                <w:kern w:val="0"/>
                <w:lang w:bidi="ar"/>
              </w:rPr>
            </w:pPr>
            <w:r w:rsidRPr="00690D66">
              <w:rPr>
                <w:kern w:val="0"/>
                <w:lang w:bidi="ar"/>
              </w:rPr>
              <w:t>2.21</w:t>
            </w:r>
          </w:p>
        </w:tc>
        <w:tc>
          <w:tcPr>
            <w:tcW w:w="645" w:type="dxa"/>
            <w:tcBorders>
              <w:tl2br w:val="nil"/>
              <w:tr2bl w:val="nil"/>
            </w:tcBorders>
            <w:noWrap/>
            <w:tcMar>
              <w:top w:w="15" w:type="dxa"/>
              <w:left w:w="15" w:type="dxa"/>
              <w:right w:w="15" w:type="dxa"/>
            </w:tcMar>
            <w:vAlign w:val="bottom"/>
          </w:tcPr>
          <w:p w14:paraId="316873A8" w14:textId="77777777" w:rsidR="00690D66" w:rsidRPr="00690D66" w:rsidRDefault="00690D66" w:rsidP="00690D66">
            <w:pPr>
              <w:widowControl/>
              <w:jc w:val="center"/>
              <w:textAlignment w:val="bottom"/>
              <w:rPr>
                <w:kern w:val="0"/>
                <w:lang w:bidi="ar"/>
              </w:rPr>
            </w:pPr>
            <w:r w:rsidRPr="00690D66">
              <w:rPr>
                <w:kern w:val="0"/>
                <w:lang w:bidi="ar"/>
              </w:rPr>
              <w:t>2.24</w:t>
            </w:r>
          </w:p>
        </w:tc>
        <w:tc>
          <w:tcPr>
            <w:tcW w:w="645" w:type="dxa"/>
            <w:tcBorders>
              <w:tl2br w:val="nil"/>
              <w:tr2bl w:val="nil"/>
            </w:tcBorders>
            <w:noWrap/>
            <w:tcMar>
              <w:top w:w="15" w:type="dxa"/>
              <w:left w:w="15" w:type="dxa"/>
              <w:right w:w="15" w:type="dxa"/>
            </w:tcMar>
            <w:vAlign w:val="bottom"/>
          </w:tcPr>
          <w:p w14:paraId="0F29BFA3" w14:textId="77777777" w:rsidR="00690D66" w:rsidRPr="00690D66" w:rsidRDefault="00690D66" w:rsidP="00690D66">
            <w:pPr>
              <w:widowControl/>
              <w:jc w:val="center"/>
              <w:textAlignment w:val="bottom"/>
              <w:rPr>
                <w:kern w:val="0"/>
                <w:lang w:bidi="ar"/>
              </w:rPr>
            </w:pPr>
            <w:r w:rsidRPr="00690D66">
              <w:rPr>
                <w:kern w:val="0"/>
                <w:lang w:bidi="ar"/>
              </w:rPr>
              <w:t>2.45</w:t>
            </w:r>
          </w:p>
        </w:tc>
        <w:tc>
          <w:tcPr>
            <w:tcW w:w="646" w:type="dxa"/>
            <w:tcBorders>
              <w:tl2br w:val="nil"/>
              <w:tr2bl w:val="nil"/>
            </w:tcBorders>
            <w:noWrap/>
            <w:tcMar>
              <w:top w:w="15" w:type="dxa"/>
              <w:left w:w="15" w:type="dxa"/>
              <w:right w:w="15" w:type="dxa"/>
            </w:tcMar>
            <w:vAlign w:val="bottom"/>
          </w:tcPr>
          <w:p w14:paraId="4FA98E41" w14:textId="77777777" w:rsidR="00690D66" w:rsidRPr="00690D66" w:rsidRDefault="00690D66" w:rsidP="00690D66">
            <w:pPr>
              <w:widowControl/>
              <w:jc w:val="center"/>
              <w:textAlignment w:val="bottom"/>
              <w:rPr>
                <w:kern w:val="0"/>
                <w:lang w:bidi="ar"/>
              </w:rPr>
            </w:pPr>
            <w:r w:rsidRPr="00690D66">
              <w:rPr>
                <w:kern w:val="0"/>
                <w:lang w:bidi="ar"/>
              </w:rPr>
              <w:t>2.71</w:t>
            </w:r>
          </w:p>
        </w:tc>
        <w:tc>
          <w:tcPr>
            <w:tcW w:w="646" w:type="dxa"/>
            <w:tcBorders>
              <w:tl2br w:val="nil"/>
              <w:tr2bl w:val="nil"/>
            </w:tcBorders>
            <w:noWrap/>
            <w:tcMar>
              <w:top w:w="15" w:type="dxa"/>
              <w:left w:w="15" w:type="dxa"/>
              <w:right w:w="15" w:type="dxa"/>
            </w:tcMar>
            <w:vAlign w:val="bottom"/>
          </w:tcPr>
          <w:p w14:paraId="36C33CBD" w14:textId="77777777" w:rsidR="00690D66" w:rsidRPr="00690D66" w:rsidRDefault="00690D66" w:rsidP="00690D66">
            <w:pPr>
              <w:widowControl/>
              <w:jc w:val="center"/>
              <w:textAlignment w:val="bottom"/>
              <w:rPr>
                <w:kern w:val="0"/>
                <w:lang w:bidi="ar"/>
              </w:rPr>
            </w:pPr>
            <w:r w:rsidRPr="00690D66">
              <w:rPr>
                <w:kern w:val="0"/>
                <w:lang w:bidi="ar"/>
              </w:rPr>
              <w:t>3.11</w:t>
            </w:r>
          </w:p>
        </w:tc>
        <w:tc>
          <w:tcPr>
            <w:tcW w:w="646" w:type="dxa"/>
            <w:tcBorders>
              <w:tl2br w:val="nil"/>
              <w:tr2bl w:val="nil"/>
            </w:tcBorders>
            <w:noWrap/>
            <w:tcMar>
              <w:top w:w="15" w:type="dxa"/>
              <w:left w:w="15" w:type="dxa"/>
              <w:right w:w="15" w:type="dxa"/>
            </w:tcMar>
            <w:vAlign w:val="bottom"/>
          </w:tcPr>
          <w:p w14:paraId="7AFDF26D" w14:textId="77777777" w:rsidR="00690D66" w:rsidRPr="00690D66" w:rsidRDefault="00690D66" w:rsidP="00690D66">
            <w:pPr>
              <w:widowControl/>
              <w:jc w:val="center"/>
              <w:textAlignment w:val="bottom"/>
              <w:rPr>
                <w:kern w:val="0"/>
                <w:lang w:bidi="ar"/>
              </w:rPr>
            </w:pPr>
            <w:r w:rsidRPr="00690D66">
              <w:rPr>
                <w:kern w:val="0"/>
                <w:lang w:bidi="ar"/>
              </w:rPr>
              <w:t>3.19</w:t>
            </w:r>
          </w:p>
        </w:tc>
        <w:tc>
          <w:tcPr>
            <w:tcW w:w="646" w:type="dxa"/>
            <w:tcBorders>
              <w:tl2br w:val="nil"/>
              <w:tr2bl w:val="nil"/>
            </w:tcBorders>
            <w:noWrap/>
            <w:tcMar>
              <w:top w:w="15" w:type="dxa"/>
              <w:left w:w="15" w:type="dxa"/>
              <w:right w:w="15" w:type="dxa"/>
            </w:tcMar>
            <w:vAlign w:val="bottom"/>
          </w:tcPr>
          <w:p w14:paraId="7B4A42A5" w14:textId="77777777" w:rsidR="00690D66" w:rsidRPr="00690D66" w:rsidRDefault="00690D66" w:rsidP="00690D66">
            <w:pPr>
              <w:widowControl/>
              <w:jc w:val="center"/>
              <w:textAlignment w:val="bottom"/>
              <w:rPr>
                <w:kern w:val="0"/>
                <w:lang w:bidi="ar"/>
              </w:rPr>
            </w:pPr>
            <w:r w:rsidRPr="00690D66">
              <w:rPr>
                <w:kern w:val="0"/>
                <w:lang w:bidi="ar"/>
              </w:rPr>
              <w:t>3.37</w:t>
            </w:r>
          </w:p>
        </w:tc>
        <w:tc>
          <w:tcPr>
            <w:tcW w:w="646" w:type="dxa"/>
            <w:tcBorders>
              <w:tl2br w:val="nil"/>
              <w:tr2bl w:val="nil"/>
            </w:tcBorders>
            <w:noWrap/>
            <w:tcMar>
              <w:top w:w="15" w:type="dxa"/>
              <w:left w:w="15" w:type="dxa"/>
              <w:right w:w="15" w:type="dxa"/>
            </w:tcMar>
            <w:vAlign w:val="bottom"/>
          </w:tcPr>
          <w:p w14:paraId="6AEBA84E" w14:textId="77777777" w:rsidR="00690D66" w:rsidRPr="00690D66" w:rsidRDefault="00690D66" w:rsidP="00690D66">
            <w:pPr>
              <w:widowControl/>
              <w:jc w:val="center"/>
              <w:textAlignment w:val="bottom"/>
              <w:rPr>
                <w:kern w:val="0"/>
                <w:lang w:bidi="ar"/>
              </w:rPr>
            </w:pPr>
            <w:r w:rsidRPr="00690D66">
              <w:rPr>
                <w:kern w:val="0"/>
                <w:lang w:bidi="ar"/>
              </w:rPr>
              <w:t>3.50</w:t>
            </w:r>
          </w:p>
        </w:tc>
      </w:tr>
      <w:tr w:rsidR="00690D66" w:rsidRPr="00690D66" w14:paraId="7D39F6F5" w14:textId="77777777" w:rsidTr="00454C5A">
        <w:trPr>
          <w:trHeight w:val="270"/>
        </w:trPr>
        <w:tc>
          <w:tcPr>
            <w:tcW w:w="347" w:type="pct"/>
            <w:tcBorders>
              <w:tl2br w:val="nil"/>
              <w:tr2bl w:val="nil"/>
            </w:tcBorders>
            <w:noWrap/>
            <w:tcMar>
              <w:top w:w="15" w:type="dxa"/>
              <w:left w:w="15" w:type="dxa"/>
              <w:right w:w="15" w:type="dxa"/>
            </w:tcMar>
            <w:vAlign w:val="center"/>
          </w:tcPr>
          <w:p w14:paraId="5E0CD425" w14:textId="77777777" w:rsidR="00690D66" w:rsidRPr="00690D66" w:rsidRDefault="00690D66" w:rsidP="00690D66">
            <w:pPr>
              <w:widowControl/>
              <w:jc w:val="center"/>
              <w:textAlignment w:val="center"/>
              <w:rPr>
                <w:kern w:val="0"/>
              </w:rPr>
            </w:pPr>
            <w:r w:rsidRPr="00690D66">
              <w:rPr>
                <w:kern w:val="0"/>
                <w:lang w:bidi="ar"/>
              </w:rPr>
              <w:t>冬季</w:t>
            </w:r>
          </w:p>
        </w:tc>
        <w:tc>
          <w:tcPr>
            <w:tcW w:w="645" w:type="dxa"/>
            <w:tcBorders>
              <w:tl2br w:val="nil"/>
              <w:tr2bl w:val="nil"/>
            </w:tcBorders>
            <w:noWrap/>
            <w:tcMar>
              <w:top w:w="15" w:type="dxa"/>
              <w:left w:w="15" w:type="dxa"/>
              <w:right w:w="15" w:type="dxa"/>
            </w:tcMar>
            <w:vAlign w:val="bottom"/>
          </w:tcPr>
          <w:p w14:paraId="2D337220" w14:textId="77777777" w:rsidR="00690D66" w:rsidRPr="00690D66" w:rsidRDefault="00690D66" w:rsidP="00690D66">
            <w:pPr>
              <w:widowControl/>
              <w:jc w:val="center"/>
              <w:textAlignment w:val="bottom"/>
              <w:rPr>
                <w:kern w:val="0"/>
                <w:lang w:bidi="ar"/>
              </w:rPr>
            </w:pPr>
            <w:r w:rsidRPr="00690D66">
              <w:rPr>
                <w:kern w:val="0"/>
                <w:lang w:bidi="ar"/>
              </w:rPr>
              <w:t>2.16</w:t>
            </w:r>
          </w:p>
        </w:tc>
        <w:tc>
          <w:tcPr>
            <w:tcW w:w="645" w:type="dxa"/>
            <w:tcBorders>
              <w:tl2br w:val="nil"/>
              <w:tr2bl w:val="nil"/>
            </w:tcBorders>
            <w:noWrap/>
            <w:tcMar>
              <w:top w:w="15" w:type="dxa"/>
              <w:left w:w="15" w:type="dxa"/>
              <w:right w:w="15" w:type="dxa"/>
            </w:tcMar>
            <w:vAlign w:val="bottom"/>
          </w:tcPr>
          <w:p w14:paraId="29ADF192" w14:textId="77777777" w:rsidR="00690D66" w:rsidRPr="00690D66" w:rsidRDefault="00690D66" w:rsidP="00690D66">
            <w:pPr>
              <w:widowControl/>
              <w:jc w:val="center"/>
              <w:textAlignment w:val="bottom"/>
              <w:rPr>
                <w:kern w:val="0"/>
                <w:lang w:bidi="ar"/>
              </w:rPr>
            </w:pPr>
            <w:r w:rsidRPr="00690D66">
              <w:rPr>
                <w:kern w:val="0"/>
                <w:lang w:bidi="ar"/>
              </w:rPr>
              <w:t>2.29</w:t>
            </w:r>
          </w:p>
        </w:tc>
        <w:tc>
          <w:tcPr>
            <w:tcW w:w="645" w:type="dxa"/>
            <w:tcBorders>
              <w:tl2br w:val="nil"/>
              <w:tr2bl w:val="nil"/>
            </w:tcBorders>
            <w:noWrap/>
            <w:tcMar>
              <w:top w:w="15" w:type="dxa"/>
              <w:left w:w="15" w:type="dxa"/>
              <w:right w:w="15" w:type="dxa"/>
            </w:tcMar>
            <w:vAlign w:val="bottom"/>
          </w:tcPr>
          <w:p w14:paraId="11192D82" w14:textId="77777777" w:rsidR="00690D66" w:rsidRPr="00690D66" w:rsidRDefault="00690D66" w:rsidP="00690D66">
            <w:pPr>
              <w:widowControl/>
              <w:jc w:val="center"/>
              <w:textAlignment w:val="bottom"/>
              <w:rPr>
                <w:kern w:val="0"/>
                <w:lang w:bidi="ar"/>
              </w:rPr>
            </w:pPr>
            <w:r w:rsidRPr="00690D66">
              <w:rPr>
                <w:kern w:val="0"/>
                <w:lang w:bidi="ar"/>
              </w:rPr>
              <w:t>2.15</w:t>
            </w:r>
          </w:p>
        </w:tc>
        <w:tc>
          <w:tcPr>
            <w:tcW w:w="645" w:type="dxa"/>
            <w:tcBorders>
              <w:tl2br w:val="nil"/>
              <w:tr2bl w:val="nil"/>
            </w:tcBorders>
            <w:noWrap/>
            <w:tcMar>
              <w:top w:w="15" w:type="dxa"/>
              <w:left w:w="15" w:type="dxa"/>
              <w:right w:w="15" w:type="dxa"/>
            </w:tcMar>
            <w:vAlign w:val="bottom"/>
          </w:tcPr>
          <w:p w14:paraId="0DF381F0" w14:textId="77777777" w:rsidR="00690D66" w:rsidRPr="00690D66" w:rsidRDefault="00690D66" w:rsidP="00690D66">
            <w:pPr>
              <w:widowControl/>
              <w:jc w:val="center"/>
              <w:textAlignment w:val="bottom"/>
              <w:rPr>
                <w:kern w:val="0"/>
                <w:lang w:bidi="ar"/>
              </w:rPr>
            </w:pPr>
            <w:r w:rsidRPr="00690D66">
              <w:rPr>
                <w:kern w:val="0"/>
                <w:lang w:bidi="ar"/>
              </w:rPr>
              <w:t>2.19</w:t>
            </w:r>
          </w:p>
        </w:tc>
        <w:tc>
          <w:tcPr>
            <w:tcW w:w="645" w:type="dxa"/>
            <w:tcBorders>
              <w:tl2br w:val="nil"/>
              <w:tr2bl w:val="nil"/>
            </w:tcBorders>
            <w:noWrap/>
            <w:tcMar>
              <w:top w:w="15" w:type="dxa"/>
              <w:left w:w="15" w:type="dxa"/>
              <w:right w:w="15" w:type="dxa"/>
            </w:tcMar>
            <w:vAlign w:val="bottom"/>
          </w:tcPr>
          <w:p w14:paraId="51CC8005" w14:textId="77777777" w:rsidR="00690D66" w:rsidRPr="00690D66" w:rsidRDefault="00690D66" w:rsidP="00690D66">
            <w:pPr>
              <w:widowControl/>
              <w:jc w:val="center"/>
              <w:textAlignment w:val="bottom"/>
              <w:rPr>
                <w:kern w:val="0"/>
                <w:lang w:bidi="ar"/>
              </w:rPr>
            </w:pPr>
            <w:r w:rsidRPr="00690D66">
              <w:rPr>
                <w:kern w:val="0"/>
                <w:lang w:bidi="ar"/>
              </w:rPr>
              <w:t>2.25</w:t>
            </w:r>
          </w:p>
        </w:tc>
        <w:tc>
          <w:tcPr>
            <w:tcW w:w="645" w:type="dxa"/>
            <w:tcBorders>
              <w:tl2br w:val="nil"/>
              <w:tr2bl w:val="nil"/>
            </w:tcBorders>
            <w:noWrap/>
            <w:tcMar>
              <w:top w:w="15" w:type="dxa"/>
              <w:left w:w="15" w:type="dxa"/>
              <w:right w:w="15" w:type="dxa"/>
            </w:tcMar>
            <w:vAlign w:val="bottom"/>
          </w:tcPr>
          <w:p w14:paraId="2D58239F" w14:textId="77777777" w:rsidR="00690D66" w:rsidRPr="00690D66" w:rsidRDefault="00690D66" w:rsidP="00690D66">
            <w:pPr>
              <w:widowControl/>
              <w:jc w:val="center"/>
              <w:textAlignment w:val="bottom"/>
              <w:rPr>
                <w:kern w:val="0"/>
                <w:lang w:bidi="ar"/>
              </w:rPr>
            </w:pPr>
            <w:r w:rsidRPr="00690D66">
              <w:rPr>
                <w:kern w:val="0"/>
                <w:lang w:bidi="ar"/>
              </w:rPr>
              <w:t>2.22</w:t>
            </w:r>
          </w:p>
        </w:tc>
        <w:tc>
          <w:tcPr>
            <w:tcW w:w="645" w:type="dxa"/>
            <w:tcBorders>
              <w:tl2br w:val="nil"/>
              <w:tr2bl w:val="nil"/>
            </w:tcBorders>
            <w:noWrap/>
            <w:tcMar>
              <w:top w:w="15" w:type="dxa"/>
              <w:left w:w="15" w:type="dxa"/>
              <w:right w:w="15" w:type="dxa"/>
            </w:tcMar>
            <w:vAlign w:val="bottom"/>
          </w:tcPr>
          <w:p w14:paraId="295B6281" w14:textId="77777777" w:rsidR="00690D66" w:rsidRPr="00690D66" w:rsidRDefault="00690D66" w:rsidP="00690D66">
            <w:pPr>
              <w:widowControl/>
              <w:jc w:val="center"/>
              <w:textAlignment w:val="bottom"/>
              <w:rPr>
                <w:kern w:val="0"/>
                <w:lang w:bidi="ar"/>
              </w:rPr>
            </w:pPr>
            <w:r w:rsidRPr="00690D66">
              <w:rPr>
                <w:kern w:val="0"/>
                <w:lang w:bidi="ar"/>
              </w:rPr>
              <w:t>2.17</w:t>
            </w:r>
          </w:p>
        </w:tc>
        <w:tc>
          <w:tcPr>
            <w:tcW w:w="646" w:type="dxa"/>
            <w:tcBorders>
              <w:tl2br w:val="nil"/>
              <w:tr2bl w:val="nil"/>
            </w:tcBorders>
            <w:noWrap/>
            <w:tcMar>
              <w:top w:w="15" w:type="dxa"/>
              <w:left w:w="15" w:type="dxa"/>
              <w:right w:w="15" w:type="dxa"/>
            </w:tcMar>
            <w:vAlign w:val="bottom"/>
          </w:tcPr>
          <w:p w14:paraId="31DEBD3D" w14:textId="77777777" w:rsidR="00690D66" w:rsidRPr="00690D66" w:rsidRDefault="00690D66" w:rsidP="00690D66">
            <w:pPr>
              <w:widowControl/>
              <w:jc w:val="center"/>
              <w:textAlignment w:val="bottom"/>
              <w:rPr>
                <w:kern w:val="0"/>
                <w:lang w:bidi="ar"/>
              </w:rPr>
            </w:pPr>
            <w:r w:rsidRPr="00690D66">
              <w:rPr>
                <w:kern w:val="0"/>
                <w:lang w:bidi="ar"/>
              </w:rPr>
              <w:t>2.21</w:t>
            </w:r>
          </w:p>
        </w:tc>
        <w:tc>
          <w:tcPr>
            <w:tcW w:w="646" w:type="dxa"/>
            <w:tcBorders>
              <w:tl2br w:val="nil"/>
              <w:tr2bl w:val="nil"/>
            </w:tcBorders>
            <w:noWrap/>
            <w:tcMar>
              <w:top w:w="15" w:type="dxa"/>
              <w:left w:w="15" w:type="dxa"/>
              <w:right w:w="15" w:type="dxa"/>
            </w:tcMar>
            <w:vAlign w:val="bottom"/>
          </w:tcPr>
          <w:p w14:paraId="490EA6D9" w14:textId="77777777" w:rsidR="00690D66" w:rsidRPr="00690D66" w:rsidRDefault="00690D66" w:rsidP="00690D66">
            <w:pPr>
              <w:widowControl/>
              <w:jc w:val="center"/>
              <w:textAlignment w:val="bottom"/>
              <w:rPr>
                <w:kern w:val="0"/>
                <w:lang w:bidi="ar"/>
              </w:rPr>
            </w:pPr>
            <w:r w:rsidRPr="00690D66">
              <w:rPr>
                <w:kern w:val="0"/>
                <w:lang w:bidi="ar"/>
              </w:rPr>
              <w:t>2.56</w:t>
            </w:r>
          </w:p>
        </w:tc>
        <w:tc>
          <w:tcPr>
            <w:tcW w:w="646" w:type="dxa"/>
            <w:tcBorders>
              <w:tl2br w:val="nil"/>
              <w:tr2bl w:val="nil"/>
            </w:tcBorders>
            <w:noWrap/>
            <w:tcMar>
              <w:top w:w="15" w:type="dxa"/>
              <w:left w:w="15" w:type="dxa"/>
              <w:right w:w="15" w:type="dxa"/>
            </w:tcMar>
            <w:vAlign w:val="bottom"/>
          </w:tcPr>
          <w:p w14:paraId="5223BCEE" w14:textId="77777777" w:rsidR="00690D66" w:rsidRPr="00690D66" w:rsidRDefault="00690D66" w:rsidP="00690D66">
            <w:pPr>
              <w:widowControl/>
              <w:jc w:val="center"/>
              <w:textAlignment w:val="bottom"/>
              <w:rPr>
                <w:kern w:val="0"/>
                <w:lang w:bidi="ar"/>
              </w:rPr>
            </w:pPr>
            <w:r w:rsidRPr="00690D66">
              <w:rPr>
                <w:kern w:val="0"/>
                <w:lang w:bidi="ar"/>
              </w:rPr>
              <w:t>2.79</w:t>
            </w:r>
          </w:p>
        </w:tc>
        <w:tc>
          <w:tcPr>
            <w:tcW w:w="646" w:type="dxa"/>
            <w:tcBorders>
              <w:tl2br w:val="nil"/>
              <w:tr2bl w:val="nil"/>
            </w:tcBorders>
            <w:noWrap/>
            <w:tcMar>
              <w:top w:w="15" w:type="dxa"/>
              <w:left w:w="15" w:type="dxa"/>
              <w:right w:w="15" w:type="dxa"/>
            </w:tcMar>
            <w:vAlign w:val="bottom"/>
          </w:tcPr>
          <w:p w14:paraId="4013D818" w14:textId="77777777" w:rsidR="00690D66" w:rsidRPr="00690D66" w:rsidRDefault="00690D66" w:rsidP="00690D66">
            <w:pPr>
              <w:widowControl/>
              <w:jc w:val="center"/>
              <w:textAlignment w:val="bottom"/>
              <w:rPr>
                <w:kern w:val="0"/>
                <w:lang w:bidi="ar"/>
              </w:rPr>
            </w:pPr>
            <w:r w:rsidRPr="00690D66">
              <w:rPr>
                <w:kern w:val="0"/>
                <w:lang w:bidi="ar"/>
              </w:rPr>
              <w:t>2.99</w:t>
            </w:r>
          </w:p>
        </w:tc>
        <w:tc>
          <w:tcPr>
            <w:tcW w:w="646" w:type="dxa"/>
            <w:tcBorders>
              <w:tl2br w:val="nil"/>
              <w:tr2bl w:val="nil"/>
            </w:tcBorders>
            <w:noWrap/>
            <w:tcMar>
              <w:top w:w="15" w:type="dxa"/>
              <w:left w:w="15" w:type="dxa"/>
              <w:right w:w="15" w:type="dxa"/>
            </w:tcMar>
            <w:vAlign w:val="bottom"/>
          </w:tcPr>
          <w:p w14:paraId="5455DE32" w14:textId="77777777" w:rsidR="00690D66" w:rsidRPr="00690D66" w:rsidRDefault="00690D66" w:rsidP="00690D66">
            <w:pPr>
              <w:widowControl/>
              <w:jc w:val="center"/>
              <w:textAlignment w:val="bottom"/>
              <w:rPr>
                <w:kern w:val="0"/>
                <w:lang w:bidi="ar"/>
              </w:rPr>
            </w:pPr>
            <w:r w:rsidRPr="00690D66">
              <w:rPr>
                <w:kern w:val="0"/>
                <w:lang w:bidi="ar"/>
              </w:rPr>
              <w:t>3.30</w:t>
            </w:r>
          </w:p>
        </w:tc>
      </w:tr>
      <w:tr w:rsidR="00690D66" w:rsidRPr="00690D66" w14:paraId="3F44A576" w14:textId="77777777" w:rsidTr="00454C5A">
        <w:trPr>
          <w:trHeight w:val="270"/>
        </w:trPr>
        <w:tc>
          <w:tcPr>
            <w:tcW w:w="347" w:type="pct"/>
            <w:tcBorders>
              <w:tl2br w:val="nil"/>
              <w:tr2bl w:val="nil"/>
            </w:tcBorders>
            <w:noWrap/>
            <w:tcMar>
              <w:top w:w="15" w:type="dxa"/>
              <w:left w:w="15" w:type="dxa"/>
              <w:right w:w="15" w:type="dxa"/>
            </w:tcMar>
            <w:vAlign w:val="center"/>
          </w:tcPr>
          <w:p w14:paraId="33C40A31" w14:textId="77777777" w:rsidR="00690D66" w:rsidRPr="00690D66" w:rsidRDefault="00690D66" w:rsidP="00690D66">
            <w:pPr>
              <w:widowControl/>
              <w:jc w:val="center"/>
              <w:textAlignment w:val="center"/>
              <w:rPr>
                <w:kern w:val="0"/>
                <w:lang w:bidi="ar"/>
              </w:rPr>
            </w:pPr>
            <w:r w:rsidRPr="00690D66">
              <w:rPr>
                <w:kern w:val="0"/>
                <w:lang w:bidi="ar"/>
              </w:rPr>
              <w:t>春季</w:t>
            </w:r>
          </w:p>
        </w:tc>
        <w:tc>
          <w:tcPr>
            <w:tcW w:w="387" w:type="pct"/>
            <w:tcBorders>
              <w:tl2br w:val="nil"/>
              <w:tr2bl w:val="nil"/>
            </w:tcBorders>
            <w:noWrap/>
            <w:tcMar>
              <w:top w:w="15" w:type="dxa"/>
              <w:left w:w="15" w:type="dxa"/>
              <w:right w:w="15" w:type="dxa"/>
            </w:tcMar>
            <w:vAlign w:val="center"/>
          </w:tcPr>
          <w:p w14:paraId="02C7D6F1" w14:textId="77777777" w:rsidR="00690D66" w:rsidRPr="00690D66" w:rsidRDefault="00690D66" w:rsidP="00690D66">
            <w:pPr>
              <w:widowControl/>
              <w:jc w:val="center"/>
              <w:textAlignment w:val="center"/>
              <w:rPr>
                <w:kern w:val="0"/>
              </w:rPr>
            </w:pPr>
            <w:r w:rsidRPr="00690D66">
              <w:rPr>
                <w:kern w:val="0"/>
                <w:lang w:bidi="ar"/>
              </w:rPr>
              <w:t>13</w:t>
            </w:r>
            <w:r w:rsidRPr="00690D66">
              <w:rPr>
                <w:kern w:val="0"/>
                <w:lang w:bidi="ar"/>
              </w:rPr>
              <w:t>时</w:t>
            </w:r>
          </w:p>
        </w:tc>
        <w:tc>
          <w:tcPr>
            <w:tcW w:w="387" w:type="pct"/>
            <w:tcBorders>
              <w:tl2br w:val="nil"/>
              <w:tr2bl w:val="nil"/>
            </w:tcBorders>
            <w:noWrap/>
            <w:tcMar>
              <w:top w:w="15" w:type="dxa"/>
              <w:left w:w="15" w:type="dxa"/>
              <w:right w:w="15" w:type="dxa"/>
            </w:tcMar>
            <w:vAlign w:val="center"/>
          </w:tcPr>
          <w:p w14:paraId="478D868F" w14:textId="77777777" w:rsidR="00690D66" w:rsidRPr="00690D66" w:rsidRDefault="00690D66" w:rsidP="00690D66">
            <w:pPr>
              <w:widowControl/>
              <w:jc w:val="center"/>
              <w:textAlignment w:val="center"/>
              <w:rPr>
                <w:kern w:val="0"/>
              </w:rPr>
            </w:pPr>
            <w:r w:rsidRPr="00690D66">
              <w:rPr>
                <w:kern w:val="0"/>
                <w:lang w:bidi="ar"/>
              </w:rPr>
              <w:t>14</w:t>
            </w:r>
            <w:r w:rsidRPr="00690D66">
              <w:rPr>
                <w:kern w:val="0"/>
                <w:lang w:bidi="ar"/>
              </w:rPr>
              <w:t>时</w:t>
            </w:r>
          </w:p>
        </w:tc>
        <w:tc>
          <w:tcPr>
            <w:tcW w:w="387" w:type="pct"/>
            <w:tcBorders>
              <w:tl2br w:val="nil"/>
              <w:tr2bl w:val="nil"/>
            </w:tcBorders>
            <w:noWrap/>
            <w:tcMar>
              <w:top w:w="15" w:type="dxa"/>
              <w:left w:w="15" w:type="dxa"/>
              <w:right w:w="15" w:type="dxa"/>
            </w:tcMar>
            <w:vAlign w:val="center"/>
          </w:tcPr>
          <w:p w14:paraId="1B6FFFD5" w14:textId="77777777" w:rsidR="00690D66" w:rsidRPr="00690D66" w:rsidRDefault="00690D66" w:rsidP="00690D66">
            <w:pPr>
              <w:widowControl/>
              <w:jc w:val="center"/>
              <w:textAlignment w:val="center"/>
              <w:rPr>
                <w:kern w:val="0"/>
              </w:rPr>
            </w:pPr>
            <w:r w:rsidRPr="00690D66">
              <w:rPr>
                <w:kern w:val="0"/>
                <w:lang w:bidi="ar"/>
              </w:rPr>
              <w:t>15</w:t>
            </w:r>
            <w:r w:rsidRPr="00690D66">
              <w:rPr>
                <w:kern w:val="0"/>
                <w:lang w:bidi="ar"/>
              </w:rPr>
              <w:t>时</w:t>
            </w:r>
          </w:p>
        </w:tc>
        <w:tc>
          <w:tcPr>
            <w:tcW w:w="387" w:type="pct"/>
            <w:tcBorders>
              <w:tl2br w:val="nil"/>
              <w:tr2bl w:val="nil"/>
            </w:tcBorders>
            <w:noWrap/>
            <w:tcMar>
              <w:top w:w="15" w:type="dxa"/>
              <w:left w:w="15" w:type="dxa"/>
              <w:right w:w="15" w:type="dxa"/>
            </w:tcMar>
            <w:vAlign w:val="center"/>
          </w:tcPr>
          <w:p w14:paraId="32B65DBB" w14:textId="77777777" w:rsidR="00690D66" w:rsidRPr="00690D66" w:rsidRDefault="00690D66" w:rsidP="00690D66">
            <w:pPr>
              <w:widowControl/>
              <w:jc w:val="center"/>
              <w:textAlignment w:val="center"/>
              <w:rPr>
                <w:kern w:val="0"/>
              </w:rPr>
            </w:pPr>
            <w:r w:rsidRPr="00690D66">
              <w:rPr>
                <w:kern w:val="0"/>
                <w:lang w:bidi="ar"/>
              </w:rPr>
              <w:t>16</w:t>
            </w:r>
            <w:r w:rsidRPr="00690D66">
              <w:rPr>
                <w:kern w:val="0"/>
                <w:lang w:bidi="ar"/>
              </w:rPr>
              <w:t>时</w:t>
            </w:r>
          </w:p>
        </w:tc>
        <w:tc>
          <w:tcPr>
            <w:tcW w:w="387" w:type="pct"/>
            <w:tcBorders>
              <w:tl2br w:val="nil"/>
              <w:tr2bl w:val="nil"/>
            </w:tcBorders>
            <w:noWrap/>
            <w:tcMar>
              <w:top w:w="15" w:type="dxa"/>
              <w:left w:w="15" w:type="dxa"/>
              <w:right w:w="15" w:type="dxa"/>
            </w:tcMar>
            <w:vAlign w:val="center"/>
          </w:tcPr>
          <w:p w14:paraId="19369020" w14:textId="77777777" w:rsidR="00690D66" w:rsidRPr="00690D66" w:rsidRDefault="00690D66" w:rsidP="00690D66">
            <w:pPr>
              <w:widowControl/>
              <w:jc w:val="center"/>
              <w:textAlignment w:val="center"/>
              <w:rPr>
                <w:kern w:val="0"/>
              </w:rPr>
            </w:pPr>
            <w:r w:rsidRPr="00690D66">
              <w:rPr>
                <w:kern w:val="0"/>
                <w:lang w:bidi="ar"/>
              </w:rPr>
              <w:t>17</w:t>
            </w:r>
            <w:r w:rsidRPr="00690D66">
              <w:rPr>
                <w:kern w:val="0"/>
                <w:lang w:bidi="ar"/>
              </w:rPr>
              <w:t>时</w:t>
            </w:r>
          </w:p>
        </w:tc>
        <w:tc>
          <w:tcPr>
            <w:tcW w:w="387" w:type="pct"/>
            <w:tcBorders>
              <w:tl2br w:val="nil"/>
              <w:tr2bl w:val="nil"/>
            </w:tcBorders>
            <w:noWrap/>
            <w:tcMar>
              <w:top w:w="15" w:type="dxa"/>
              <w:left w:w="15" w:type="dxa"/>
              <w:right w:w="15" w:type="dxa"/>
            </w:tcMar>
            <w:vAlign w:val="center"/>
          </w:tcPr>
          <w:p w14:paraId="5D43D026" w14:textId="77777777" w:rsidR="00690D66" w:rsidRPr="00690D66" w:rsidRDefault="00690D66" w:rsidP="00690D66">
            <w:pPr>
              <w:widowControl/>
              <w:jc w:val="center"/>
              <w:textAlignment w:val="center"/>
              <w:rPr>
                <w:kern w:val="0"/>
              </w:rPr>
            </w:pPr>
            <w:r w:rsidRPr="00690D66">
              <w:rPr>
                <w:kern w:val="0"/>
                <w:lang w:bidi="ar"/>
              </w:rPr>
              <w:t>18</w:t>
            </w:r>
            <w:r w:rsidRPr="00690D66">
              <w:rPr>
                <w:kern w:val="0"/>
                <w:lang w:bidi="ar"/>
              </w:rPr>
              <w:t>时</w:t>
            </w:r>
          </w:p>
        </w:tc>
        <w:tc>
          <w:tcPr>
            <w:tcW w:w="387" w:type="pct"/>
            <w:tcBorders>
              <w:tl2br w:val="nil"/>
              <w:tr2bl w:val="nil"/>
            </w:tcBorders>
            <w:noWrap/>
            <w:tcMar>
              <w:top w:w="15" w:type="dxa"/>
              <w:left w:w="15" w:type="dxa"/>
              <w:right w:w="15" w:type="dxa"/>
            </w:tcMar>
            <w:vAlign w:val="center"/>
          </w:tcPr>
          <w:p w14:paraId="0D95284F" w14:textId="77777777" w:rsidR="00690D66" w:rsidRPr="00690D66" w:rsidRDefault="00690D66" w:rsidP="00690D66">
            <w:pPr>
              <w:widowControl/>
              <w:jc w:val="center"/>
              <w:textAlignment w:val="center"/>
              <w:rPr>
                <w:kern w:val="0"/>
              </w:rPr>
            </w:pPr>
            <w:r w:rsidRPr="00690D66">
              <w:rPr>
                <w:kern w:val="0"/>
                <w:lang w:bidi="ar"/>
              </w:rPr>
              <w:t>19</w:t>
            </w:r>
            <w:r w:rsidRPr="00690D66">
              <w:rPr>
                <w:kern w:val="0"/>
                <w:lang w:bidi="ar"/>
              </w:rPr>
              <w:t>时</w:t>
            </w:r>
          </w:p>
        </w:tc>
        <w:tc>
          <w:tcPr>
            <w:tcW w:w="387" w:type="pct"/>
            <w:tcBorders>
              <w:tl2br w:val="nil"/>
              <w:tr2bl w:val="nil"/>
            </w:tcBorders>
            <w:noWrap/>
            <w:tcMar>
              <w:top w:w="15" w:type="dxa"/>
              <w:left w:w="15" w:type="dxa"/>
              <w:right w:w="15" w:type="dxa"/>
            </w:tcMar>
            <w:vAlign w:val="center"/>
          </w:tcPr>
          <w:p w14:paraId="2E3824C2" w14:textId="77777777" w:rsidR="00690D66" w:rsidRPr="00690D66" w:rsidRDefault="00690D66" w:rsidP="00690D66">
            <w:pPr>
              <w:widowControl/>
              <w:jc w:val="center"/>
              <w:textAlignment w:val="center"/>
              <w:rPr>
                <w:kern w:val="0"/>
              </w:rPr>
            </w:pPr>
            <w:r w:rsidRPr="00690D66">
              <w:rPr>
                <w:kern w:val="0"/>
                <w:lang w:bidi="ar"/>
              </w:rPr>
              <w:t>20</w:t>
            </w:r>
            <w:r w:rsidRPr="00690D66">
              <w:rPr>
                <w:kern w:val="0"/>
                <w:lang w:bidi="ar"/>
              </w:rPr>
              <w:t>时</w:t>
            </w:r>
          </w:p>
        </w:tc>
        <w:tc>
          <w:tcPr>
            <w:tcW w:w="387" w:type="pct"/>
            <w:tcBorders>
              <w:tl2br w:val="nil"/>
              <w:tr2bl w:val="nil"/>
            </w:tcBorders>
            <w:noWrap/>
            <w:tcMar>
              <w:top w:w="15" w:type="dxa"/>
              <w:left w:w="15" w:type="dxa"/>
              <w:right w:w="15" w:type="dxa"/>
            </w:tcMar>
            <w:vAlign w:val="center"/>
          </w:tcPr>
          <w:p w14:paraId="3AE6F9F3" w14:textId="77777777" w:rsidR="00690D66" w:rsidRPr="00690D66" w:rsidRDefault="00690D66" w:rsidP="00690D66">
            <w:pPr>
              <w:widowControl/>
              <w:jc w:val="center"/>
              <w:textAlignment w:val="center"/>
              <w:rPr>
                <w:kern w:val="0"/>
              </w:rPr>
            </w:pPr>
            <w:r w:rsidRPr="00690D66">
              <w:rPr>
                <w:kern w:val="0"/>
                <w:lang w:bidi="ar"/>
              </w:rPr>
              <w:t>21</w:t>
            </w:r>
            <w:r w:rsidRPr="00690D66">
              <w:rPr>
                <w:kern w:val="0"/>
                <w:lang w:bidi="ar"/>
              </w:rPr>
              <w:t>时</w:t>
            </w:r>
          </w:p>
        </w:tc>
        <w:tc>
          <w:tcPr>
            <w:tcW w:w="387" w:type="pct"/>
            <w:tcBorders>
              <w:tl2br w:val="nil"/>
              <w:tr2bl w:val="nil"/>
            </w:tcBorders>
            <w:noWrap/>
            <w:tcMar>
              <w:top w:w="15" w:type="dxa"/>
              <w:left w:w="15" w:type="dxa"/>
              <w:right w:w="15" w:type="dxa"/>
            </w:tcMar>
            <w:vAlign w:val="center"/>
          </w:tcPr>
          <w:p w14:paraId="4A0FA017" w14:textId="77777777" w:rsidR="00690D66" w:rsidRPr="00690D66" w:rsidRDefault="00690D66" w:rsidP="00690D66">
            <w:pPr>
              <w:widowControl/>
              <w:jc w:val="center"/>
              <w:textAlignment w:val="center"/>
              <w:rPr>
                <w:kern w:val="0"/>
              </w:rPr>
            </w:pPr>
            <w:r w:rsidRPr="00690D66">
              <w:rPr>
                <w:kern w:val="0"/>
                <w:lang w:bidi="ar"/>
              </w:rPr>
              <w:t>22</w:t>
            </w:r>
            <w:r w:rsidRPr="00690D66">
              <w:rPr>
                <w:kern w:val="0"/>
                <w:lang w:bidi="ar"/>
              </w:rPr>
              <w:t>时</w:t>
            </w:r>
          </w:p>
        </w:tc>
        <w:tc>
          <w:tcPr>
            <w:tcW w:w="387" w:type="pct"/>
            <w:tcBorders>
              <w:tl2br w:val="nil"/>
              <w:tr2bl w:val="nil"/>
            </w:tcBorders>
            <w:noWrap/>
            <w:tcMar>
              <w:top w:w="15" w:type="dxa"/>
              <w:left w:w="15" w:type="dxa"/>
              <w:right w:w="15" w:type="dxa"/>
            </w:tcMar>
            <w:vAlign w:val="center"/>
          </w:tcPr>
          <w:p w14:paraId="547D70C4" w14:textId="77777777" w:rsidR="00690D66" w:rsidRPr="00690D66" w:rsidRDefault="00690D66" w:rsidP="00690D66">
            <w:pPr>
              <w:widowControl/>
              <w:jc w:val="center"/>
              <w:textAlignment w:val="center"/>
              <w:rPr>
                <w:kern w:val="0"/>
              </w:rPr>
            </w:pPr>
            <w:r w:rsidRPr="00690D66">
              <w:rPr>
                <w:kern w:val="0"/>
                <w:lang w:bidi="ar"/>
              </w:rPr>
              <w:t>23</w:t>
            </w:r>
            <w:r w:rsidRPr="00690D66">
              <w:rPr>
                <w:kern w:val="0"/>
                <w:lang w:bidi="ar"/>
              </w:rPr>
              <w:t>时</w:t>
            </w:r>
          </w:p>
        </w:tc>
        <w:tc>
          <w:tcPr>
            <w:tcW w:w="387" w:type="pct"/>
            <w:tcBorders>
              <w:tl2br w:val="nil"/>
              <w:tr2bl w:val="nil"/>
            </w:tcBorders>
            <w:noWrap/>
            <w:tcMar>
              <w:top w:w="15" w:type="dxa"/>
              <w:left w:w="15" w:type="dxa"/>
              <w:right w:w="15" w:type="dxa"/>
            </w:tcMar>
            <w:vAlign w:val="center"/>
          </w:tcPr>
          <w:p w14:paraId="6B5BE3F2" w14:textId="77777777" w:rsidR="00690D66" w:rsidRPr="00690D66" w:rsidRDefault="00690D66" w:rsidP="00690D66">
            <w:pPr>
              <w:widowControl/>
              <w:jc w:val="center"/>
              <w:textAlignment w:val="center"/>
              <w:rPr>
                <w:kern w:val="0"/>
              </w:rPr>
            </w:pPr>
            <w:r w:rsidRPr="00690D66">
              <w:rPr>
                <w:kern w:val="0"/>
                <w:lang w:bidi="ar"/>
              </w:rPr>
              <w:t>24</w:t>
            </w:r>
            <w:r w:rsidRPr="00690D66">
              <w:rPr>
                <w:kern w:val="0"/>
                <w:lang w:bidi="ar"/>
              </w:rPr>
              <w:t>时</w:t>
            </w:r>
          </w:p>
        </w:tc>
      </w:tr>
      <w:tr w:rsidR="00690D66" w:rsidRPr="00690D66" w14:paraId="2B52AAB0" w14:textId="77777777" w:rsidTr="00454C5A">
        <w:trPr>
          <w:trHeight w:val="270"/>
        </w:trPr>
        <w:tc>
          <w:tcPr>
            <w:tcW w:w="347" w:type="pct"/>
            <w:tcBorders>
              <w:tl2br w:val="nil"/>
              <w:tr2bl w:val="nil"/>
            </w:tcBorders>
            <w:vAlign w:val="center"/>
          </w:tcPr>
          <w:p w14:paraId="478C8518" w14:textId="77777777" w:rsidR="00690D66" w:rsidRPr="00690D66" w:rsidRDefault="00690D66" w:rsidP="00690D66">
            <w:pPr>
              <w:widowControl/>
              <w:jc w:val="center"/>
              <w:textAlignment w:val="center"/>
              <w:rPr>
                <w:kern w:val="0"/>
                <w:lang w:bidi="ar"/>
              </w:rPr>
            </w:pPr>
            <w:r w:rsidRPr="00690D66">
              <w:rPr>
                <w:kern w:val="0"/>
                <w:lang w:bidi="ar"/>
              </w:rPr>
              <w:t>夏季</w:t>
            </w:r>
          </w:p>
        </w:tc>
        <w:tc>
          <w:tcPr>
            <w:tcW w:w="645" w:type="dxa"/>
            <w:tcBorders>
              <w:tl2br w:val="nil"/>
              <w:tr2bl w:val="nil"/>
            </w:tcBorders>
            <w:vAlign w:val="bottom"/>
          </w:tcPr>
          <w:p w14:paraId="74DAD2C4" w14:textId="77777777" w:rsidR="00690D66" w:rsidRPr="00690D66" w:rsidRDefault="00690D66" w:rsidP="00690D66">
            <w:pPr>
              <w:widowControl/>
              <w:jc w:val="center"/>
              <w:textAlignment w:val="bottom"/>
              <w:rPr>
                <w:kern w:val="0"/>
                <w:lang w:bidi="ar"/>
              </w:rPr>
            </w:pPr>
            <w:r w:rsidRPr="00690D66">
              <w:rPr>
                <w:kern w:val="0"/>
                <w:lang w:bidi="ar"/>
              </w:rPr>
              <w:t>4.77</w:t>
            </w:r>
          </w:p>
        </w:tc>
        <w:tc>
          <w:tcPr>
            <w:tcW w:w="645" w:type="dxa"/>
            <w:tcBorders>
              <w:tl2br w:val="nil"/>
              <w:tr2bl w:val="nil"/>
            </w:tcBorders>
            <w:vAlign w:val="bottom"/>
          </w:tcPr>
          <w:p w14:paraId="09D49C5F" w14:textId="77777777" w:rsidR="00690D66" w:rsidRPr="00690D66" w:rsidRDefault="00690D66" w:rsidP="00690D66">
            <w:pPr>
              <w:widowControl/>
              <w:jc w:val="center"/>
              <w:textAlignment w:val="bottom"/>
              <w:rPr>
                <w:kern w:val="0"/>
                <w:lang w:bidi="ar"/>
              </w:rPr>
            </w:pPr>
            <w:r w:rsidRPr="00690D66">
              <w:rPr>
                <w:kern w:val="0"/>
                <w:lang w:bidi="ar"/>
              </w:rPr>
              <w:t>4.67</w:t>
            </w:r>
          </w:p>
        </w:tc>
        <w:tc>
          <w:tcPr>
            <w:tcW w:w="645" w:type="dxa"/>
            <w:tcBorders>
              <w:tl2br w:val="nil"/>
              <w:tr2bl w:val="nil"/>
            </w:tcBorders>
            <w:vAlign w:val="bottom"/>
          </w:tcPr>
          <w:p w14:paraId="3C7FA308" w14:textId="77777777" w:rsidR="00690D66" w:rsidRPr="00690D66" w:rsidRDefault="00690D66" w:rsidP="00690D66">
            <w:pPr>
              <w:widowControl/>
              <w:jc w:val="center"/>
              <w:textAlignment w:val="bottom"/>
              <w:rPr>
                <w:kern w:val="0"/>
                <w:lang w:bidi="ar"/>
              </w:rPr>
            </w:pPr>
            <w:r w:rsidRPr="00690D66">
              <w:rPr>
                <w:kern w:val="0"/>
                <w:lang w:bidi="ar"/>
              </w:rPr>
              <w:t>4.77</w:t>
            </w:r>
          </w:p>
        </w:tc>
        <w:tc>
          <w:tcPr>
            <w:tcW w:w="645" w:type="dxa"/>
            <w:tcBorders>
              <w:tl2br w:val="nil"/>
              <w:tr2bl w:val="nil"/>
            </w:tcBorders>
            <w:vAlign w:val="bottom"/>
          </w:tcPr>
          <w:p w14:paraId="079E3E6E" w14:textId="77777777" w:rsidR="00690D66" w:rsidRPr="00690D66" w:rsidRDefault="00690D66" w:rsidP="00690D66">
            <w:pPr>
              <w:widowControl/>
              <w:jc w:val="center"/>
              <w:textAlignment w:val="bottom"/>
              <w:rPr>
                <w:kern w:val="0"/>
                <w:lang w:bidi="ar"/>
              </w:rPr>
            </w:pPr>
            <w:r w:rsidRPr="00690D66">
              <w:rPr>
                <w:kern w:val="0"/>
                <w:lang w:bidi="ar"/>
              </w:rPr>
              <w:t>4.60</w:t>
            </w:r>
          </w:p>
        </w:tc>
        <w:tc>
          <w:tcPr>
            <w:tcW w:w="645" w:type="dxa"/>
            <w:tcBorders>
              <w:tl2br w:val="nil"/>
              <w:tr2bl w:val="nil"/>
            </w:tcBorders>
            <w:vAlign w:val="bottom"/>
          </w:tcPr>
          <w:p w14:paraId="5CCDB13D" w14:textId="77777777" w:rsidR="00690D66" w:rsidRPr="00690D66" w:rsidRDefault="00690D66" w:rsidP="00690D66">
            <w:pPr>
              <w:widowControl/>
              <w:jc w:val="center"/>
              <w:textAlignment w:val="bottom"/>
              <w:rPr>
                <w:kern w:val="0"/>
                <w:lang w:bidi="ar"/>
              </w:rPr>
            </w:pPr>
            <w:r w:rsidRPr="00690D66">
              <w:rPr>
                <w:kern w:val="0"/>
                <w:lang w:bidi="ar"/>
              </w:rPr>
              <w:t>4.00</w:t>
            </w:r>
          </w:p>
        </w:tc>
        <w:tc>
          <w:tcPr>
            <w:tcW w:w="645" w:type="dxa"/>
            <w:tcBorders>
              <w:tl2br w:val="nil"/>
              <w:tr2bl w:val="nil"/>
            </w:tcBorders>
            <w:vAlign w:val="bottom"/>
          </w:tcPr>
          <w:p w14:paraId="5A15629A" w14:textId="77777777" w:rsidR="00690D66" w:rsidRPr="00690D66" w:rsidRDefault="00690D66" w:rsidP="00690D66">
            <w:pPr>
              <w:widowControl/>
              <w:jc w:val="center"/>
              <w:textAlignment w:val="bottom"/>
              <w:rPr>
                <w:kern w:val="0"/>
                <w:lang w:bidi="ar"/>
              </w:rPr>
            </w:pPr>
            <w:r w:rsidRPr="00690D66">
              <w:rPr>
                <w:kern w:val="0"/>
                <w:lang w:bidi="ar"/>
              </w:rPr>
              <w:t>3.18</w:t>
            </w:r>
          </w:p>
        </w:tc>
        <w:tc>
          <w:tcPr>
            <w:tcW w:w="645" w:type="dxa"/>
            <w:tcBorders>
              <w:tl2br w:val="nil"/>
              <w:tr2bl w:val="nil"/>
            </w:tcBorders>
            <w:vAlign w:val="bottom"/>
          </w:tcPr>
          <w:p w14:paraId="017487F0" w14:textId="77777777" w:rsidR="00690D66" w:rsidRPr="00690D66" w:rsidRDefault="00690D66" w:rsidP="00690D66">
            <w:pPr>
              <w:widowControl/>
              <w:jc w:val="center"/>
              <w:textAlignment w:val="bottom"/>
              <w:rPr>
                <w:kern w:val="0"/>
                <w:lang w:bidi="ar"/>
              </w:rPr>
            </w:pPr>
            <w:r w:rsidRPr="00690D66">
              <w:rPr>
                <w:kern w:val="0"/>
                <w:lang w:bidi="ar"/>
              </w:rPr>
              <w:t>2.68</w:t>
            </w:r>
          </w:p>
        </w:tc>
        <w:tc>
          <w:tcPr>
            <w:tcW w:w="646" w:type="dxa"/>
            <w:tcBorders>
              <w:tl2br w:val="nil"/>
              <w:tr2bl w:val="nil"/>
            </w:tcBorders>
            <w:vAlign w:val="bottom"/>
          </w:tcPr>
          <w:p w14:paraId="6E8FBB6E" w14:textId="77777777" w:rsidR="00690D66" w:rsidRPr="00690D66" w:rsidRDefault="00690D66" w:rsidP="00690D66">
            <w:pPr>
              <w:widowControl/>
              <w:jc w:val="center"/>
              <w:textAlignment w:val="bottom"/>
              <w:rPr>
                <w:kern w:val="0"/>
                <w:lang w:bidi="ar"/>
              </w:rPr>
            </w:pPr>
            <w:r w:rsidRPr="00690D66">
              <w:rPr>
                <w:kern w:val="0"/>
                <w:lang w:bidi="ar"/>
              </w:rPr>
              <w:t>2.50</w:t>
            </w:r>
          </w:p>
        </w:tc>
        <w:tc>
          <w:tcPr>
            <w:tcW w:w="646" w:type="dxa"/>
            <w:tcBorders>
              <w:tl2br w:val="nil"/>
              <w:tr2bl w:val="nil"/>
            </w:tcBorders>
            <w:vAlign w:val="bottom"/>
          </w:tcPr>
          <w:p w14:paraId="1B16627A" w14:textId="77777777" w:rsidR="00690D66" w:rsidRPr="00690D66" w:rsidRDefault="00690D66" w:rsidP="00690D66">
            <w:pPr>
              <w:widowControl/>
              <w:jc w:val="center"/>
              <w:textAlignment w:val="bottom"/>
              <w:rPr>
                <w:kern w:val="0"/>
                <w:lang w:bidi="ar"/>
              </w:rPr>
            </w:pPr>
            <w:r w:rsidRPr="00690D66">
              <w:rPr>
                <w:kern w:val="0"/>
                <w:lang w:bidi="ar"/>
              </w:rPr>
              <w:t>2.55</w:t>
            </w:r>
          </w:p>
        </w:tc>
        <w:tc>
          <w:tcPr>
            <w:tcW w:w="646" w:type="dxa"/>
            <w:tcBorders>
              <w:tl2br w:val="nil"/>
              <w:tr2bl w:val="nil"/>
            </w:tcBorders>
            <w:vAlign w:val="bottom"/>
          </w:tcPr>
          <w:p w14:paraId="44CC968C" w14:textId="77777777" w:rsidR="00690D66" w:rsidRPr="00690D66" w:rsidRDefault="00690D66" w:rsidP="00690D66">
            <w:pPr>
              <w:widowControl/>
              <w:jc w:val="center"/>
              <w:textAlignment w:val="bottom"/>
              <w:rPr>
                <w:kern w:val="0"/>
                <w:lang w:bidi="ar"/>
              </w:rPr>
            </w:pPr>
            <w:r w:rsidRPr="00690D66">
              <w:rPr>
                <w:kern w:val="0"/>
                <w:lang w:bidi="ar"/>
              </w:rPr>
              <w:t>2.54</w:t>
            </w:r>
          </w:p>
        </w:tc>
        <w:tc>
          <w:tcPr>
            <w:tcW w:w="646" w:type="dxa"/>
            <w:tcBorders>
              <w:tl2br w:val="nil"/>
              <w:tr2bl w:val="nil"/>
            </w:tcBorders>
            <w:vAlign w:val="bottom"/>
          </w:tcPr>
          <w:p w14:paraId="77B8437C" w14:textId="77777777" w:rsidR="00690D66" w:rsidRPr="00690D66" w:rsidRDefault="00690D66" w:rsidP="00690D66">
            <w:pPr>
              <w:widowControl/>
              <w:jc w:val="center"/>
              <w:textAlignment w:val="bottom"/>
              <w:rPr>
                <w:kern w:val="0"/>
                <w:lang w:bidi="ar"/>
              </w:rPr>
            </w:pPr>
            <w:r w:rsidRPr="00690D66">
              <w:rPr>
                <w:kern w:val="0"/>
                <w:lang w:bidi="ar"/>
              </w:rPr>
              <w:t>2.62</w:t>
            </w:r>
          </w:p>
        </w:tc>
        <w:tc>
          <w:tcPr>
            <w:tcW w:w="646" w:type="dxa"/>
            <w:tcBorders>
              <w:tl2br w:val="nil"/>
              <w:tr2bl w:val="nil"/>
            </w:tcBorders>
            <w:vAlign w:val="bottom"/>
          </w:tcPr>
          <w:p w14:paraId="7301E8F3" w14:textId="77777777" w:rsidR="00690D66" w:rsidRPr="00690D66" w:rsidRDefault="00690D66" w:rsidP="00690D66">
            <w:pPr>
              <w:widowControl/>
              <w:jc w:val="center"/>
              <w:textAlignment w:val="bottom"/>
              <w:rPr>
                <w:kern w:val="0"/>
                <w:lang w:bidi="ar"/>
              </w:rPr>
            </w:pPr>
            <w:r w:rsidRPr="00690D66">
              <w:rPr>
                <w:kern w:val="0"/>
                <w:lang w:bidi="ar"/>
              </w:rPr>
              <w:t>2.54</w:t>
            </w:r>
          </w:p>
        </w:tc>
      </w:tr>
      <w:tr w:rsidR="00690D66" w:rsidRPr="00690D66" w14:paraId="3B93AE77" w14:textId="77777777" w:rsidTr="00454C5A">
        <w:trPr>
          <w:trHeight w:val="270"/>
        </w:trPr>
        <w:tc>
          <w:tcPr>
            <w:tcW w:w="347" w:type="pct"/>
            <w:tcBorders>
              <w:tl2br w:val="nil"/>
              <w:tr2bl w:val="nil"/>
            </w:tcBorders>
            <w:vAlign w:val="center"/>
          </w:tcPr>
          <w:p w14:paraId="1D6AF7E2" w14:textId="77777777" w:rsidR="00690D66" w:rsidRPr="00690D66" w:rsidRDefault="00690D66" w:rsidP="00690D66">
            <w:pPr>
              <w:widowControl/>
              <w:jc w:val="center"/>
              <w:textAlignment w:val="center"/>
              <w:rPr>
                <w:kern w:val="0"/>
                <w:lang w:bidi="ar"/>
              </w:rPr>
            </w:pPr>
            <w:r w:rsidRPr="00690D66">
              <w:rPr>
                <w:kern w:val="0"/>
                <w:lang w:bidi="ar"/>
              </w:rPr>
              <w:t>秋季</w:t>
            </w:r>
          </w:p>
        </w:tc>
        <w:tc>
          <w:tcPr>
            <w:tcW w:w="645" w:type="dxa"/>
            <w:tcBorders>
              <w:tl2br w:val="nil"/>
              <w:tr2bl w:val="nil"/>
            </w:tcBorders>
            <w:vAlign w:val="bottom"/>
          </w:tcPr>
          <w:p w14:paraId="2BB459B1" w14:textId="77777777" w:rsidR="00690D66" w:rsidRPr="00690D66" w:rsidRDefault="00690D66" w:rsidP="00690D66">
            <w:pPr>
              <w:widowControl/>
              <w:jc w:val="center"/>
              <w:textAlignment w:val="bottom"/>
              <w:rPr>
                <w:kern w:val="0"/>
                <w:lang w:bidi="ar"/>
              </w:rPr>
            </w:pPr>
            <w:r w:rsidRPr="00690D66">
              <w:rPr>
                <w:kern w:val="0"/>
                <w:lang w:bidi="ar"/>
              </w:rPr>
              <w:t>3.67</w:t>
            </w:r>
          </w:p>
        </w:tc>
        <w:tc>
          <w:tcPr>
            <w:tcW w:w="645" w:type="dxa"/>
            <w:tcBorders>
              <w:tl2br w:val="nil"/>
              <w:tr2bl w:val="nil"/>
            </w:tcBorders>
            <w:vAlign w:val="bottom"/>
          </w:tcPr>
          <w:p w14:paraId="40E1A4CE" w14:textId="77777777" w:rsidR="00690D66" w:rsidRPr="00690D66" w:rsidRDefault="00690D66" w:rsidP="00690D66">
            <w:pPr>
              <w:widowControl/>
              <w:jc w:val="center"/>
              <w:textAlignment w:val="bottom"/>
              <w:rPr>
                <w:kern w:val="0"/>
                <w:lang w:bidi="ar"/>
              </w:rPr>
            </w:pPr>
            <w:r w:rsidRPr="00690D66">
              <w:rPr>
                <w:kern w:val="0"/>
                <w:lang w:bidi="ar"/>
              </w:rPr>
              <w:t>3.63</w:t>
            </w:r>
          </w:p>
        </w:tc>
        <w:tc>
          <w:tcPr>
            <w:tcW w:w="645" w:type="dxa"/>
            <w:tcBorders>
              <w:tl2br w:val="nil"/>
              <w:tr2bl w:val="nil"/>
            </w:tcBorders>
            <w:vAlign w:val="bottom"/>
          </w:tcPr>
          <w:p w14:paraId="2B7C53F2" w14:textId="77777777" w:rsidR="00690D66" w:rsidRPr="00690D66" w:rsidRDefault="00690D66" w:rsidP="00690D66">
            <w:pPr>
              <w:widowControl/>
              <w:jc w:val="center"/>
              <w:textAlignment w:val="bottom"/>
              <w:rPr>
                <w:kern w:val="0"/>
                <w:lang w:bidi="ar"/>
              </w:rPr>
            </w:pPr>
            <w:r w:rsidRPr="00690D66">
              <w:rPr>
                <w:kern w:val="0"/>
                <w:lang w:bidi="ar"/>
              </w:rPr>
              <w:t>3.56</w:t>
            </w:r>
          </w:p>
        </w:tc>
        <w:tc>
          <w:tcPr>
            <w:tcW w:w="645" w:type="dxa"/>
            <w:tcBorders>
              <w:tl2br w:val="nil"/>
              <w:tr2bl w:val="nil"/>
            </w:tcBorders>
            <w:vAlign w:val="bottom"/>
          </w:tcPr>
          <w:p w14:paraId="5BAD2DF9" w14:textId="77777777" w:rsidR="00690D66" w:rsidRPr="00690D66" w:rsidRDefault="00690D66" w:rsidP="00690D66">
            <w:pPr>
              <w:widowControl/>
              <w:jc w:val="center"/>
              <w:textAlignment w:val="bottom"/>
              <w:rPr>
                <w:kern w:val="0"/>
                <w:lang w:bidi="ar"/>
              </w:rPr>
            </w:pPr>
            <w:r w:rsidRPr="00690D66">
              <w:rPr>
                <w:kern w:val="0"/>
                <w:lang w:bidi="ar"/>
              </w:rPr>
              <w:t>3.25</w:t>
            </w:r>
          </w:p>
        </w:tc>
        <w:tc>
          <w:tcPr>
            <w:tcW w:w="645" w:type="dxa"/>
            <w:tcBorders>
              <w:tl2br w:val="nil"/>
              <w:tr2bl w:val="nil"/>
            </w:tcBorders>
            <w:vAlign w:val="bottom"/>
          </w:tcPr>
          <w:p w14:paraId="1DC9991A" w14:textId="77777777" w:rsidR="00690D66" w:rsidRPr="00690D66" w:rsidRDefault="00690D66" w:rsidP="00690D66">
            <w:pPr>
              <w:widowControl/>
              <w:jc w:val="center"/>
              <w:textAlignment w:val="bottom"/>
              <w:rPr>
                <w:kern w:val="0"/>
                <w:lang w:bidi="ar"/>
              </w:rPr>
            </w:pPr>
            <w:r w:rsidRPr="00690D66">
              <w:rPr>
                <w:kern w:val="0"/>
                <w:lang w:bidi="ar"/>
              </w:rPr>
              <w:t>2.99</w:t>
            </w:r>
          </w:p>
        </w:tc>
        <w:tc>
          <w:tcPr>
            <w:tcW w:w="645" w:type="dxa"/>
            <w:tcBorders>
              <w:tl2br w:val="nil"/>
              <w:tr2bl w:val="nil"/>
            </w:tcBorders>
            <w:vAlign w:val="bottom"/>
          </w:tcPr>
          <w:p w14:paraId="5A0346A5" w14:textId="77777777" w:rsidR="00690D66" w:rsidRPr="00690D66" w:rsidRDefault="00690D66" w:rsidP="00690D66">
            <w:pPr>
              <w:widowControl/>
              <w:jc w:val="center"/>
              <w:textAlignment w:val="bottom"/>
              <w:rPr>
                <w:kern w:val="0"/>
                <w:lang w:bidi="ar"/>
              </w:rPr>
            </w:pPr>
            <w:r w:rsidRPr="00690D66">
              <w:rPr>
                <w:kern w:val="0"/>
                <w:lang w:bidi="ar"/>
              </w:rPr>
              <w:t>2.65</w:t>
            </w:r>
          </w:p>
        </w:tc>
        <w:tc>
          <w:tcPr>
            <w:tcW w:w="645" w:type="dxa"/>
            <w:tcBorders>
              <w:tl2br w:val="nil"/>
              <w:tr2bl w:val="nil"/>
            </w:tcBorders>
            <w:vAlign w:val="bottom"/>
          </w:tcPr>
          <w:p w14:paraId="4ABA1DBA" w14:textId="77777777" w:rsidR="00690D66" w:rsidRPr="00690D66" w:rsidRDefault="00690D66" w:rsidP="00690D66">
            <w:pPr>
              <w:widowControl/>
              <w:jc w:val="center"/>
              <w:textAlignment w:val="bottom"/>
              <w:rPr>
                <w:kern w:val="0"/>
                <w:lang w:bidi="ar"/>
              </w:rPr>
            </w:pPr>
            <w:r w:rsidRPr="00690D66">
              <w:rPr>
                <w:kern w:val="0"/>
                <w:lang w:bidi="ar"/>
              </w:rPr>
              <w:t>2.35</w:t>
            </w:r>
          </w:p>
        </w:tc>
        <w:tc>
          <w:tcPr>
            <w:tcW w:w="646" w:type="dxa"/>
            <w:tcBorders>
              <w:tl2br w:val="nil"/>
              <w:tr2bl w:val="nil"/>
            </w:tcBorders>
            <w:vAlign w:val="bottom"/>
          </w:tcPr>
          <w:p w14:paraId="61135716" w14:textId="77777777" w:rsidR="00690D66" w:rsidRPr="00690D66" w:rsidRDefault="00690D66" w:rsidP="00690D66">
            <w:pPr>
              <w:widowControl/>
              <w:jc w:val="center"/>
              <w:textAlignment w:val="bottom"/>
              <w:rPr>
                <w:kern w:val="0"/>
                <w:lang w:bidi="ar"/>
              </w:rPr>
            </w:pPr>
            <w:r w:rsidRPr="00690D66">
              <w:rPr>
                <w:kern w:val="0"/>
                <w:lang w:bidi="ar"/>
              </w:rPr>
              <w:t>2.14</w:t>
            </w:r>
          </w:p>
        </w:tc>
        <w:tc>
          <w:tcPr>
            <w:tcW w:w="646" w:type="dxa"/>
            <w:tcBorders>
              <w:tl2br w:val="nil"/>
              <w:tr2bl w:val="nil"/>
            </w:tcBorders>
            <w:vAlign w:val="bottom"/>
          </w:tcPr>
          <w:p w14:paraId="3E00E41F" w14:textId="77777777" w:rsidR="00690D66" w:rsidRPr="00690D66" w:rsidRDefault="00690D66" w:rsidP="00690D66">
            <w:pPr>
              <w:widowControl/>
              <w:jc w:val="center"/>
              <w:textAlignment w:val="bottom"/>
              <w:rPr>
                <w:kern w:val="0"/>
                <w:lang w:bidi="ar"/>
              </w:rPr>
            </w:pPr>
            <w:r w:rsidRPr="00690D66">
              <w:rPr>
                <w:kern w:val="0"/>
                <w:lang w:bidi="ar"/>
              </w:rPr>
              <w:t>2.02</w:t>
            </w:r>
          </w:p>
        </w:tc>
        <w:tc>
          <w:tcPr>
            <w:tcW w:w="646" w:type="dxa"/>
            <w:tcBorders>
              <w:tl2br w:val="nil"/>
              <w:tr2bl w:val="nil"/>
            </w:tcBorders>
            <w:vAlign w:val="bottom"/>
          </w:tcPr>
          <w:p w14:paraId="433C6023" w14:textId="77777777" w:rsidR="00690D66" w:rsidRPr="00690D66" w:rsidRDefault="00690D66" w:rsidP="00690D66">
            <w:pPr>
              <w:widowControl/>
              <w:jc w:val="center"/>
              <w:textAlignment w:val="bottom"/>
              <w:rPr>
                <w:kern w:val="0"/>
                <w:lang w:bidi="ar"/>
              </w:rPr>
            </w:pPr>
            <w:r w:rsidRPr="00690D66">
              <w:rPr>
                <w:kern w:val="0"/>
                <w:lang w:bidi="ar"/>
              </w:rPr>
              <w:t>2.02</w:t>
            </w:r>
          </w:p>
        </w:tc>
        <w:tc>
          <w:tcPr>
            <w:tcW w:w="646" w:type="dxa"/>
            <w:tcBorders>
              <w:tl2br w:val="nil"/>
              <w:tr2bl w:val="nil"/>
            </w:tcBorders>
            <w:vAlign w:val="bottom"/>
          </w:tcPr>
          <w:p w14:paraId="7E41079C" w14:textId="77777777" w:rsidR="00690D66" w:rsidRPr="00690D66" w:rsidRDefault="00690D66" w:rsidP="00690D66">
            <w:pPr>
              <w:widowControl/>
              <w:jc w:val="center"/>
              <w:textAlignment w:val="bottom"/>
              <w:rPr>
                <w:kern w:val="0"/>
                <w:lang w:bidi="ar"/>
              </w:rPr>
            </w:pPr>
            <w:r w:rsidRPr="00690D66">
              <w:rPr>
                <w:kern w:val="0"/>
                <w:lang w:bidi="ar"/>
              </w:rPr>
              <w:t>2.00</w:t>
            </w:r>
          </w:p>
        </w:tc>
        <w:tc>
          <w:tcPr>
            <w:tcW w:w="646" w:type="dxa"/>
            <w:tcBorders>
              <w:tl2br w:val="nil"/>
              <w:tr2bl w:val="nil"/>
            </w:tcBorders>
            <w:vAlign w:val="bottom"/>
          </w:tcPr>
          <w:p w14:paraId="1FCDF744" w14:textId="77777777" w:rsidR="00690D66" w:rsidRPr="00690D66" w:rsidRDefault="00690D66" w:rsidP="00690D66">
            <w:pPr>
              <w:widowControl/>
              <w:jc w:val="center"/>
              <w:textAlignment w:val="bottom"/>
              <w:rPr>
                <w:kern w:val="0"/>
                <w:lang w:bidi="ar"/>
              </w:rPr>
            </w:pPr>
            <w:r w:rsidRPr="00690D66">
              <w:rPr>
                <w:kern w:val="0"/>
                <w:lang w:bidi="ar"/>
              </w:rPr>
              <w:t>2.07</w:t>
            </w:r>
          </w:p>
        </w:tc>
      </w:tr>
      <w:tr w:rsidR="00690D66" w:rsidRPr="00690D66" w14:paraId="2E635CAB" w14:textId="77777777" w:rsidTr="00454C5A">
        <w:trPr>
          <w:trHeight w:val="270"/>
        </w:trPr>
        <w:tc>
          <w:tcPr>
            <w:tcW w:w="347" w:type="pct"/>
            <w:tcBorders>
              <w:tl2br w:val="nil"/>
              <w:tr2bl w:val="nil"/>
            </w:tcBorders>
            <w:vAlign w:val="center"/>
          </w:tcPr>
          <w:p w14:paraId="2B98DF00" w14:textId="77777777" w:rsidR="00690D66" w:rsidRPr="00690D66" w:rsidRDefault="00690D66" w:rsidP="00690D66">
            <w:pPr>
              <w:widowControl/>
              <w:jc w:val="center"/>
              <w:textAlignment w:val="center"/>
              <w:rPr>
                <w:kern w:val="0"/>
                <w:lang w:bidi="ar"/>
              </w:rPr>
            </w:pPr>
            <w:r w:rsidRPr="00690D66">
              <w:rPr>
                <w:kern w:val="0"/>
                <w:lang w:bidi="ar"/>
              </w:rPr>
              <w:lastRenderedPageBreak/>
              <w:t>冬季</w:t>
            </w:r>
          </w:p>
        </w:tc>
        <w:tc>
          <w:tcPr>
            <w:tcW w:w="645" w:type="dxa"/>
            <w:tcBorders>
              <w:tl2br w:val="nil"/>
              <w:tr2bl w:val="nil"/>
            </w:tcBorders>
            <w:vAlign w:val="bottom"/>
          </w:tcPr>
          <w:p w14:paraId="22AFDFB0" w14:textId="77777777" w:rsidR="00690D66" w:rsidRPr="00690D66" w:rsidRDefault="00690D66" w:rsidP="00690D66">
            <w:pPr>
              <w:widowControl/>
              <w:jc w:val="center"/>
              <w:textAlignment w:val="bottom"/>
              <w:rPr>
                <w:kern w:val="0"/>
                <w:lang w:bidi="ar"/>
              </w:rPr>
            </w:pPr>
            <w:r w:rsidRPr="00690D66">
              <w:rPr>
                <w:kern w:val="0"/>
                <w:lang w:bidi="ar"/>
              </w:rPr>
              <w:t>3.70</w:t>
            </w:r>
          </w:p>
        </w:tc>
        <w:tc>
          <w:tcPr>
            <w:tcW w:w="645" w:type="dxa"/>
            <w:tcBorders>
              <w:tl2br w:val="nil"/>
              <w:tr2bl w:val="nil"/>
            </w:tcBorders>
            <w:vAlign w:val="bottom"/>
          </w:tcPr>
          <w:p w14:paraId="502530DD" w14:textId="77777777" w:rsidR="00690D66" w:rsidRPr="00690D66" w:rsidRDefault="00690D66" w:rsidP="00690D66">
            <w:pPr>
              <w:widowControl/>
              <w:jc w:val="center"/>
              <w:textAlignment w:val="bottom"/>
              <w:rPr>
                <w:kern w:val="0"/>
                <w:lang w:bidi="ar"/>
              </w:rPr>
            </w:pPr>
            <w:r w:rsidRPr="00690D66">
              <w:rPr>
                <w:kern w:val="0"/>
                <w:lang w:bidi="ar"/>
              </w:rPr>
              <w:t>3.82</w:t>
            </w:r>
          </w:p>
        </w:tc>
        <w:tc>
          <w:tcPr>
            <w:tcW w:w="645" w:type="dxa"/>
            <w:tcBorders>
              <w:tl2br w:val="nil"/>
              <w:tr2bl w:val="nil"/>
            </w:tcBorders>
            <w:vAlign w:val="bottom"/>
          </w:tcPr>
          <w:p w14:paraId="3DD06487" w14:textId="77777777" w:rsidR="00690D66" w:rsidRPr="00690D66" w:rsidRDefault="00690D66" w:rsidP="00690D66">
            <w:pPr>
              <w:widowControl/>
              <w:jc w:val="center"/>
              <w:textAlignment w:val="bottom"/>
              <w:rPr>
                <w:kern w:val="0"/>
                <w:lang w:bidi="ar"/>
              </w:rPr>
            </w:pPr>
            <w:r w:rsidRPr="00690D66">
              <w:rPr>
                <w:kern w:val="0"/>
                <w:lang w:bidi="ar"/>
              </w:rPr>
              <w:t>3.63</w:t>
            </w:r>
          </w:p>
        </w:tc>
        <w:tc>
          <w:tcPr>
            <w:tcW w:w="645" w:type="dxa"/>
            <w:tcBorders>
              <w:tl2br w:val="nil"/>
              <w:tr2bl w:val="nil"/>
            </w:tcBorders>
            <w:vAlign w:val="bottom"/>
          </w:tcPr>
          <w:p w14:paraId="7EAD6B80" w14:textId="77777777" w:rsidR="00690D66" w:rsidRPr="00690D66" w:rsidRDefault="00690D66" w:rsidP="00690D66">
            <w:pPr>
              <w:widowControl/>
              <w:jc w:val="center"/>
              <w:textAlignment w:val="bottom"/>
              <w:rPr>
                <w:kern w:val="0"/>
                <w:lang w:bidi="ar"/>
              </w:rPr>
            </w:pPr>
            <w:r w:rsidRPr="00690D66">
              <w:rPr>
                <w:kern w:val="0"/>
                <w:lang w:bidi="ar"/>
              </w:rPr>
              <w:t>3.26</w:t>
            </w:r>
          </w:p>
        </w:tc>
        <w:tc>
          <w:tcPr>
            <w:tcW w:w="645" w:type="dxa"/>
            <w:tcBorders>
              <w:tl2br w:val="nil"/>
              <w:tr2bl w:val="nil"/>
            </w:tcBorders>
            <w:vAlign w:val="bottom"/>
          </w:tcPr>
          <w:p w14:paraId="5E02133F" w14:textId="77777777" w:rsidR="00690D66" w:rsidRPr="00690D66" w:rsidRDefault="00690D66" w:rsidP="00690D66">
            <w:pPr>
              <w:widowControl/>
              <w:jc w:val="center"/>
              <w:textAlignment w:val="bottom"/>
              <w:rPr>
                <w:kern w:val="0"/>
                <w:lang w:bidi="ar"/>
              </w:rPr>
            </w:pPr>
            <w:r w:rsidRPr="00690D66">
              <w:rPr>
                <w:kern w:val="0"/>
                <w:lang w:bidi="ar"/>
              </w:rPr>
              <w:t>2.68</w:t>
            </w:r>
          </w:p>
        </w:tc>
        <w:tc>
          <w:tcPr>
            <w:tcW w:w="645" w:type="dxa"/>
            <w:tcBorders>
              <w:tl2br w:val="nil"/>
              <w:tr2bl w:val="nil"/>
            </w:tcBorders>
            <w:vAlign w:val="bottom"/>
          </w:tcPr>
          <w:p w14:paraId="10A93A92" w14:textId="77777777" w:rsidR="00690D66" w:rsidRPr="00690D66" w:rsidRDefault="00690D66" w:rsidP="00690D66">
            <w:pPr>
              <w:widowControl/>
              <w:jc w:val="center"/>
              <w:textAlignment w:val="bottom"/>
              <w:rPr>
                <w:kern w:val="0"/>
                <w:lang w:bidi="ar"/>
              </w:rPr>
            </w:pPr>
            <w:r w:rsidRPr="00690D66">
              <w:rPr>
                <w:kern w:val="0"/>
                <w:lang w:bidi="ar"/>
              </w:rPr>
              <w:t>2.33</w:t>
            </w:r>
          </w:p>
        </w:tc>
        <w:tc>
          <w:tcPr>
            <w:tcW w:w="645" w:type="dxa"/>
            <w:tcBorders>
              <w:tl2br w:val="nil"/>
              <w:tr2bl w:val="nil"/>
            </w:tcBorders>
            <w:vAlign w:val="bottom"/>
          </w:tcPr>
          <w:p w14:paraId="4738AEFB" w14:textId="77777777" w:rsidR="00690D66" w:rsidRPr="00690D66" w:rsidRDefault="00690D66" w:rsidP="00690D66">
            <w:pPr>
              <w:widowControl/>
              <w:jc w:val="center"/>
              <w:textAlignment w:val="bottom"/>
              <w:rPr>
                <w:kern w:val="0"/>
                <w:lang w:bidi="ar"/>
              </w:rPr>
            </w:pPr>
            <w:r w:rsidRPr="00690D66">
              <w:rPr>
                <w:kern w:val="0"/>
                <w:lang w:bidi="ar"/>
              </w:rPr>
              <w:t>2.28</w:t>
            </w:r>
          </w:p>
        </w:tc>
        <w:tc>
          <w:tcPr>
            <w:tcW w:w="646" w:type="dxa"/>
            <w:tcBorders>
              <w:tl2br w:val="nil"/>
              <w:tr2bl w:val="nil"/>
            </w:tcBorders>
            <w:vAlign w:val="bottom"/>
          </w:tcPr>
          <w:p w14:paraId="649DB902" w14:textId="77777777" w:rsidR="00690D66" w:rsidRPr="00690D66" w:rsidRDefault="00690D66" w:rsidP="00690D66">
            <w:pPr>
              <w:widowControl/>
              <w:jc w:val="center"/>
              <w:textAlignment w:val="bottom"/>
              <w:rPr>
                <w:kern w:val="0"/>
                <w:lang w:bidi="ar"/>
              </w:rPr>
            </w:pPr>
            <w:r w:rsidRPr="00690D66">
              <w:rPr>
                <w:kern w:val="0"/>
                <w:lang w:bidi="ar"/>
              </w:rPr>
              <w:t>2.30</w:t>
            </w:r>
          </w:p>
        </w:tc>
        <w:tc>
          <w:tcPr>
            <w:tcW w:w="646" w:type="dxa"/>
            <w:tcBorders>
              <w:tl2br w:val="nil"/>
              <w:tr2bl w:val="nil"/>
            </w:tcBorders>
            <w:vAlign w:val="bottom"/>
          </w:tcPr>
          <w:p w14:paraId="11CF7C2A" w14:textId="77777777" w:rsidR="00690D66" w:rsidRPr="00690D66" w:rsidRDefault="00690D66" w:rsidP="00690D66">
            <w:pPr>
              <w:widowControl/>
              <w:jc w:val="center"/>
              <w:textAlignment w:val="bottom"/>
              <w:rPr>
                <w:kern w:val="0"/>
                <w:lang w:bidi="ar"/>
              </w:rPr>
            </w:pPr>
            <w:r w:rsidRPr="00690D66">
              <w:rPr>
                <w:kern w:val="0"/>
                <w:lang w:bidi="ar"/>
              </w:rPr>
              <w:t>2.33</w:t>
            </w:r>
          </w:p>
        </w:tc>
        <w:tc>
          <w:tcPr>
            <w:tcW w:w="646" w:type="dxa"/>
            <w:tcBorders>
              <w:tl2br w:val="nil"/>
              <w:tr2bl w:val="nil"/>
            </w:tcBorders>
            <w:vAlign w:val="bottom"/>
          </w:tcPr>
          <w:p w14:paraId="5FDB0317" w14:textId="77777777" w:rsidR="00690D66" w:rsidRPr="00690D66" w:rsidRDefault="00690D66" w:rsidP="00690D66">
            <w:pPr>
              <w:widowControl/>
              <w:jc w:val="center"/>
              <w:textAlignment w:val="bottom"/>
              <w:rPr>
                <w:kern w:val="0"/>
                <w:lang w:bidi="ar"/>
              </w:rPr>
            </w:pPr>
            <w:r w:rsidRPr="00690D66">
              <w:rPr>
                <w:kern w:val="0"/>
                <w:lang w:bidi="ar"/>
              </w:rPr>
              <w:t>2.37</w:t>
            </w:r>
          </w:p>
        </w:tc>
        <w:tc>
          <w:tcPr>
            <w:tcW w:w="646" w:type="dxa"/>
            <w:tcBorders>
              <w:tl2br w:val="nil"/>
              <w:tr2bl w:val="nil"/>
            </w:tcBorders>
            <w:vAlign w:val="bottom"/>
          </w:tcPr>
          <w:p w14:paraId="70126D28" w14:textId="77777777" w:rsidR="00690D66" w:rsidRPr="00690D66" w:rsidRDefault="00690D66" w:rsidP="00690D66">
            <w:pPr>
              <w:widowControl/>
              <w:jc w:val="center"/>
              <w:textAlignment w:val="bottom"/>
              <w:rPr>
                <w:kern w:val="0"/>
                <w:lang w:bidi="ar"/>
              </w:rPr>
            </w:pPr>
            <w:r w:rsidRPr="00690D66">
              <w:rPr>
                <w:kern w:val="0"/>
                <w:lang w:bidi="ar"/>
              </w:rPr>
              <w:t>2.32</w:t>
            </w:r>
          </w:p>
        </w:tc>
        <w:tc>
          <w:tcPr>
            <w:tcW w:w="646" w:type="dxa"/>
            <w:tcBorders>
              <w:tl2br w:val="nil"/>
              <w:tr2bl w:val="nil"/>
            </w:tcBorders>
            <w:vAlign w:val="bottom"/>
          </w:tcPr>
          <w:p w14:paraId="0DF295A4" w14:textId="77777777" w:rsidR="00690D66" w:rsidRPr="00690D66" w:rsidRDefault="00690D66" w:rsidP="00690D66">
            <w:pPr>
              <w:widowControl/>
              <w:jc w:val="center"/>
              <w:textAlignment w:val="bottom"/>
              <w:rPr>
                <w:kern w:val="0"/>
                <w:lang w:bidi="ar"/>
              </w:rPr>
            </w:pPr>
            <w:r w:rsidRPr="00690D66">
              <w:rPr>
                <w:kern w:val="0"/>
                <w:lang w:bidi="ar"/>
              </w:rPr>
              <w:t>2.25</w:t>
            </w:r>
          </w:p>
        </w:tc>
      </w:tr>
      <w:tr w:rsidR="00690D66" w:rsidRPr="00690D66" w14:paraId="64F1B8BD" w14:textId="77777777" w:rsidTr="00454C5A">
        <w:trPr>
          <w:trHeight w:val="270"/>
        </w:trPr>
        <w:tc>
          <w:tcPr>
            <w:tcW w:w="347" w:type="pct"/>
            <w:tcBorders>
              <w:tl2br w:val="nil"/>
              <w:tr2bl w:val="nil"/>
            </w:tcBorders>
            <w:vAlign w:val="center"/>
          </w:tcPr>
          <w:p w14:paraId="34E6C66B" w14:textId="77777777" w:rsidR="00690D66" w:rsidRPr="00690D66" w:rsidRDefault="00690D66" w:rsidP="00690D66">
            <w:pPr>
              <w:widowControl/>
              <w:jc w:val="center"/>
              <w:textAlignment w:val="center"/>
              <w:rPr>
                <w:kern w:val="0"/>
                <w:lang w:bidi="ar"/>
              </w:rPr>
            </w:pPr>
            <w:r w:rsidRPr="00690D66">
              <w:rPr>
                <w:kern w:val="0"/>
                <w:lang w:bidi="ar"/>
              </w:rPr>
              <w:t>春季</w:t>
            </w:r>
          </w:p>
        </w:tc>
        <w:tc>
          <w:tcPr>
            <w:tcW w:w="645" w:type="dxa"/>
            <w:tcBorders>
              <w:tl2br w:val="nil"/>
              <w:tr2bl w:val="nil"/>
            </w:tcBorders>
            <w:vAlign w:val="bottom"/>
          </w:tcPr>
          <w:p w14:paraId="1456B67D" w14:textId="77777777" w:rsidR="00690D66" w:rsidRPr="00690D66" w:rsidRDefault="00690D66" w:rsidP="00690D66">
            <w:pPr>
              <w:widowControl/>
              <w:jc w:val="center"/>
              <w:textAlignment w:val="bottom"/>
              <w:rPr>
                <w:kern w:val="0"/>
                <w:lang w:bidi="ar"/>
              </w:rPr>
            </w:pPr>
            <w:r w:rsidRPr="00690D66">
              <w:rPr>
                <w:kern w:val="0"/>
                <w:lang w:bidi="ar"/>
              </w:rPr>
              <w:t>3.35</w:t>
            </w:r>
          </w:p>
        </w:tc>
        <w:tc>
          <w:tcPr>
            <w:tcW w:w="645" w:type="dxa"/>
            <w:tcBorders>
              <w:tl2br w:val="nil"/>
              <w:tr2bl w:val="nil"/>
            </w:tcBorders>
            <w:vAlign w:val="bottom"/>
          </w:tcPr>
          <w:p w14:paraId="5DA3950D" w14:textId="77777777" w:rsidR="00690D66" w:rsidRPr="00690D66" w:rsidRDefault="00690D66" w:rsidP="00690D66">
            <w:pPr>
              <w:widowControl/>
              <w:jc w:val="center"/>
              <w:textAlignment w:val="bottom"/>
              <w:rPr>
                <w:kern w:val="0"/>
                <w:lang w:bidi="ar"/>
              </w:rPr>
            </w:pPr>
            <w:r w:rsidRPr="00690D66">
              <w:rPr>
                <w:kern w:val="0"/>
                <w:lang w:bidi="ar"/>
              </w:rPr>
              <w:t>3.31</w:t>
            </w:r>
          </w:p>
        </w:tc>
        <w:tc>
          <w:tcPr>
            <w:tcW w:w="645" w:type="dxa"/>
            <w:tcBorders>
              <w:tl2br w:val="nil"/>
              <w:tr2bl w:val="nil"/>
            </w:tcBorders>
            <w:vAlign w:val="bottom"/>
          </w:tcPr>
          <w:p w14:paraId="679A040A" w14:textId="77777777" w:rsidR="00690D66" w:rsidRPr="00690D66" w:rsidRDefault="00690D66" w:rsidP="00690D66">
            <w:pPr>
              <w:widowControl/>
              <w:jc w:val="center"/>
              <w:textAlignment w:val="bottom"/>
              <w:rPr>
                <w:kern w:val="0"/>
                <w:lang w:bidi="ar"/>
              </w:rPr>
            </w:pPr>
            <w:r w:rsidRPr="00690D66">
              <w:rPr>
                <w:kern w:val="0"/>
                <w:lang w:bidi="ar"/>
              </w:rPr>
              <w:t>3.10</w:t>
            </w:r>
          </w:p>
        </w:tc>
        <w:tc>
          <w:tcPr>
            <w:tcW w:w="645" w:type="dxa"/>
            <w:tcBorders>
              <w:tl2br w:val="nil"/>
              <w:tr2bl w:val="nil"/>
            </w:tcBorders>
            <w:vAlign w:val="bottom"/>
          </w:tcPr>
          <w:p w14:paraId="1A99D830" w14:textId="77777777" w:rsidR="00690D66" w:rsidRPr="00690D66" w:rsidRDefault="00690D66" w:rsidP="00690D66">
            <w:pPr>
              <w:widowControl/>
              <w:jc w:val="center"/>
              <w:textAlignment w:val="bottom"/>
              <w:rPr>
                <w:kern w:val="0"/>
                <w:lang w:bidi="ar"/>
              </w:rPr>
            </w:pPr>
            <w:r w:rsidRPr="00690D66">
              <w:rPr>
                <w:kern w:val="0"/>
                <w:lang w:bidi="ar"/>
              </w:rPr>
              <w:t>2.68</w:t>
            </w:r>
          </w:p>
        </w:tc>
        <w:tc>
          <w:tcPr>
            <w:tcW w:w="645" w:type="dxa"/>
            <w:tcBorders>
              <w:tl2br w:val="nil"/>
              <w:tr2bl w:val="nil"/>
            </w:tcBorders>
            <w:vAlign w:val="bottom"/>
          </w:tcPr>
          <w:p w14:paraId="1B077A23" w14:textId="77777777" w:rsidR="00690D66" w:rsidRPr="00690D66" w:rsidRDefault="00690D66" w:rsidP="00690D66">
            <w:pPr>
              <w:widowControl/>
              <w:jc w:val="center"/>
              <w:textAlignment w:val="bottom"/>
              <w:rPr>
                <w:kern w:val="0"/>
                <w:lang w:bidi="ar"/>
              </w:rPr>
            </w:pPr>
            <w:r w:rsidRPr="00690D66">
              <w:rPr>
                <w:kern w:val="0"/>
                <w:lang w:bidi="ar"/>
              </w:rPr>
              <w:t>2.05</w:t>
            </w:r>
          </w:p>
        </w:tc>
        <w:tc>
          <w:tcPr>
            <w:tcW w:w="645" w:type="dxa"/>
            <w:tcBorders>
              <w:tl2br w:val="nil"/>
              <w:tr2bl w:val="nil"/>
            </w:tcBorders>
            <w:vAlign w:val="bottom"/>
          </w:tcPr>
          <w:p w14:paraId="08E55C3F" w14:textId="77777777" w:rsidR="00690D66" w:rsidRPr="00690D66" w:rsidRDefault="00690D66" w:rsidP="00690D66">
            <w:pPr>
              <w:widowControl/>
              <w:jc w:val="center"/>
              <w:textAlignment w:val="bottom"/>
              <w:rPr>
                <w:kern w:val="0"/>
                <w:lang w:bidi="ar"/>
              </w:rPr>
            </w:pPr>
            <w:r w:rsidRPr="00690D66">
              <w:rPr>
                <w:kern w:val="0"/>
                <w:lang w:bidi="ar"/>
              </w:rPr>
              <w:t>1.83</w:t>
            </w:r>
          </w:p>
        </w:tc>
        <w:tc>
          <w:tcPr>
            <w:tcW w:w="645" w:type="dxa"/>
            <w:tcBorders>
              <w:tl2br w:val="nil"/>
              <w:tr2bl w:val="nil"/>
            </w:tcBorders>
            <w:vAlign w:val="bottom"/>
          </w:tcPr>
          <w:p w14:paraId="621093F5" w14:textId="77777777" w:rsidR="00690D66" w:rsidRPr="00690D66" w:rsidRDefault="00690D66" w:rsidP="00690D66">
            <w:pPr>
              <w:widowControl/>
              <w:jc w:val="center"/>
              <w:textAlignment w:val="bottom"/>
              <w:rPr>
                <w:kern w:val="0"/>
                <w:lang w:bidi="ar"/>
              </w:rPr>
            </w:pPr>
            <w:r w:rsidRPr="00690D66">
              <w:rPr>
                <w:kern w:val="0"/>
                <w:lang w:bidi="ar"/>
              </w:rPr>
              <w:t>1.92</w:t>
            </w:r>
          </w:p>
        </w:tc>
        <w:tc>
          <w:tcPr>
            <w:tcW w:w="646" w:type="dxa"/>
            <w:tcBorders>
              <w:tl2br w:val="nil"/>
              <w:tr2bl w:val="nil"/>
            </w:tcBorders>
            <w:vAlign w:val="bottom"/>
          </w:tcPr>
          <w:p w14:paraId="31090B40" w14:textId="77777777" w:rsidR="00690D66" w:rsidRPr="00690D66" w:rsidRDefault="00690D66" w:rsidP="00690D66">
            <w:pPr>
              <w:widowControl/>
              <w:jc w:val="center"/>
              <w:textAlignment w:val="bottom"/>
              <w:rPr>
                <w:kern w:val="0"/>
                <w:lang w:bidi="ar"/>
              </w:rPr>
            </w:pPr>
            <w:r w:rsidRPr="00690D66">
              <w:rPr>
                <w:kern w:val="0"/>
                <w:lang w:bidi="ar"/>
              </w:rPr>
              <w:t>1.93</w:t>
            </w:r>
          </w:p>
        </w:tc>
        <w:tc>
          <w:tcPr>
            <w:tcW w:w="646" w:type="dxa"/>
            <w:tcBorders>
              <w:tl2br w:val="nil"/>
              <w:tr2bl w:val="nil"/>
            </w:tcBorders>
            <w:vAlign w:val="bottom"/>
          </w:tcPr>
          <w:p w14:paraId="430169A5" w14:textId="77777777" w:rsidR="00690D66" w:rsidRPr="00690D66" w:rsidRDefault="00690D66" w:rsidP="00690D66">
            <w:pPr>
              <w:widowControl/>
              <w:jc w:val="center"/>
              <w:textAlignment w:val="bottom"/>
              <w:rPr>
                <w:kern w:val="0"/>
                <w:lang w:bidi="ar"/>
              </w:rPr>
            </w:pPr>
            <w:r w:rsidRPr="00690D66">
              <w:rPr>
                <w:kern w:val="0"/>
                <w:lang w:bidi="ar"/>
              </w:rPr>
              <w:t>2.01</w:t>
            </w:r>
          </w:p>
        </w:tc>
        <w:tc>
          <w:tcPr>
            <w:tcW w:w="646" w:type="dxa"/>
            <w:tcBorders>
              <w:tl2br w:val="nil"/>
              <w:tr2bl w:val="nil"/>
            </w:tcBorders>
            <w:vAlign w:val="bottom"/>
          </w:tcPr>
          <w:p w14:paraId="283EBF27" w14:textId="77777777" w:rsidR="00690D66" w:rsidRPr="00690D66" w:rsidRDefault="00690D66" w:rsidP="00690D66">
            <w:pPr>
              <w:widowControl/>
              <w:jc w:val="center"/>
              <w:textAlignment w:val="bottom"/>
              <w:rPr>
                <w:kern w:val="0"/>
                <w:lang w:bidi="ar"/>
              </w:rPr>
            </w:pPr>
            <w:r w:rsidRPr="00690D66">
              <w:rPr>
                <w:kern w:val="0"/>
                <w:lang w:bidi="ar"/>
              </w:rPr>
              <w:t>2.12</w:t>
            </w:r>
          </w:p>
        </w:tc>
        <w:tc>
          <w:tcPr>
            <w:tcW w:w="646" w:type="dxa"/>
            <w:tcBorders>
              <w:tl2br w:val="nil"/>
              <w:tr2bl w:val="nil"/>
            </w:tcBorders>
            <w:vAlign w:val="bottom"/>
          </w:tcPr>
          <w:p w14:paraId="0A37F757" w14:textId="77777777" w:rsidR="00690D66" w:rsidRPr="00690D66" w:rsidRDefault="00690D66" w:rsidP="00690D66">
            <w:pPr>
              <w:widowControl/>
              <w:jc w:val="center"/>
              <w:textAlignment w:val="bottom"/>
              <w:rPr>
                <w:kern w:val="0"/>
                <w:lang w:bidi="ar"/>
              </w:rPr>
            </w:pPr>
            <w:r w:rsidRPr="00690D66">
              <w:rPr>
                <w:kern w:val="0"/>
                <w:lang w:bidi="ar"/>
              </w:rPr>
              <w:t>2.11</w:t>
            </w:r>
          </w:p>
        </w:tc>
        <w:tc>
          <w:tcPr>
            <w:tcW w:w="646" w:type="dxa"/>
            <w:tcBorders>
              <w:tl2br w:val="nil"/>
              <w:tr2bl w:val="nil"/>
            </w:tcBorders>
            <w:vAlign w:val="bottom"/>
          </w:tcPr>
          <w:p w14:paraId="2018729D" w14:textId="77777777" w:rsidR="00690D66" w:rsidRPr="00690D66" w:rsidRDefault="00690D66" w:rsidP="00690D66">
            <w:pPr>
              <w:widowControl/>
              <w:jc w:val="center"/>
              <w:textAlignment w:val="bottom"/>
              <w:rPr>
                <w:kern w:val="0"/>
                <w:lang w:bidi="ar"/>
              </w:rPr>
            </w:pPr>
            <w:r w:rsidRPr="00690D66">
              <w:rPr>
                <w:kern w:val="0"/>
                <w:lang w:bidi="ar"/>
              </w:rPr>
              <w:t>2.12</w:t>
            </w:r>
          </w:p>
        </w:tc>
      </w:tr>
    </w:tbl>
    <w:p w14:paraId="28492458" w14:textId="5D666271" w:rsidR="00690D66" w:rsidRPr="00690D66" w:rsidRDefault="00690D66" w:rsidP="00690D66">
      <w:pPr>
        <w:spacing w:line="360" w:lineRule="auto"/>
        <w:ind w:firstLineChars="200" w:firstLine="480"/>
        <w:rPr>
          <w:kern w:val="0"/>
          <w:sz w:val="24"/>
          <w:szCs w:val="28"/>
        </w:rPr>
      </w:pPr>
      <w:r w:rsidRPr="00690D66">
        <w:rPr>
          <w:kern w:val="0"/>
          <w:sz w:val="24"/>
          <w:szCs w:val="28"/>
        </w:rPr>
        <w:t>由</w:t>
      </w:r>
      <w:r w:rsidR="00D51CED">
        <w:rPr>
          <w:rFonts w:hint="eastAsia"/>
          <w:kern w:val="0"/>
          <w:sz w:val="24"/>
          <w:szCs w:val="28"/>
        </w:rPr>
        <w:t>上</w:t>
      </w:r>
      <w:r w:rsidRPr="00690D66">
        <w:rPr>
          <w:kern w:val="0"/>
          <w:sz w:val="24"/>
          <w:szCs w:val="28"/>
        </w:rPr>
        <w:t>表可知，</w:t>
      </w:r>
      <w:r w:rsidR="00D51CED" w:rsidRPr="00690D66">
        <w:rPr>
          <w:kern w:val="0"/>
          <w:sz w:val="24"/>
          <w:szCs w:val="28"/>
        </w:rPr>
        <w:t>风速日变化趋势</w:t>
      </w:r>
      <w:r w:rsidR="00D51CED">
        <w:rPr>
          <w:rFonts w:hint="eastAsia"/>
          <w:kern w:val="0"/>
          <w:sz w:val="24"/>
          <w:szCs w:val="28"/>
        </w:rPr>
        <w:t>，在</w:t>
      </w:r>
      <w:r w:rsidRPr="00690D66">
        <w:rPr>
          <w:kern w:val="0"/>
          <w:sz w:val="24"/>
          <w:szCs w:val="28"/>
        </w:rPr>
        <w:t>各季节内，风速较小值一般出现在夜间，风速在下午达到最大，有利于大气污染物的扩散。</w:t>
      </w:r>
    </w:p>
    <w:p w14:paraId="19041D36" w14:textId="77777777" w:rsidR="00690D66" w:rsidRPr="00690D66" w:rsidRDefault="00690D66" w:rsidP="00690D66">
      <w:pPr>
        <w:spacing w:line="360" w:lineRule="auto"/>
        <w:jc w:val="center"/>
        <w:rPr>
          <w:kern w:val="0"/>
          <w:sz w:val="24"/>
          <w:szCs w:val="28"/>
        </w:rPr>
      </w:pPr>
      <w:r w:rsidRPr="00690D66">
        <w:rPr>
          <w:rFonts w:ascii="Calibri" w:hAnsi="Calibri" w:cs="Arial"/>
          <w:noProof/>
          <w:szCs w:val="24"/>
        </w:rPr>
        <w:drawing>
          <wp:inline distT="0" distB="0" distL="114300" distR="114300" wp14:anchorId="19482BE4" wp14:editId="00C878BD">
            <wp:extent cx="4679315" cy="1849755"/>
            <wp:effectExtent l="4445" t="4445" r="21590" b="12700"/>
            <wp:docPr id="69" name="图表 69"/>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inline>
        </w:drawing>
      </w:r>
    </w:p>
    <w:p w14:paraId="4DE160E8" w14:textId="1BDEB0C7" w:rsidR="00690D66" w:rsidRPr="00857E7A" w:rsidRDefault="00690D66" w:rsidP="00857E7A">
      <w:pPr>
        <w:pStyle w:val="aff2"/>
        <w:spacing w:after="0"/>
        <w:ind w:firstLineChars="0" w:firstLine="0"/>
        <w:jc w:val="center"/>
        <w:rPr>
          <w:rStyle w:val="Charf"/>
        </w:rPr>
      </w:pPr>
      <w:r w:rsidRPr="00857E7A">
        <w:rPr>
          <w:rStyle w:val="Charf"/>
        </w:rPr>
        <w:t>图</w:t>
      </w:r>
      <w:r w:rsidR="00D51CED">
        <w:rPr>
          <w:rStyle w:val="Charf"/>
          <w:rFonts w:hint="eastAsia"/>
        </w:rPr>
        <w:t>6.2-18</w:t>
      </w:r>
      <w:r w:rsidRPr="00857E7A">
        <w:rPr>
          <w:rStyle w:val="Charf"/>
        </w:rPr>
        <w:t xml:space="preserve">  </w:t>
      </w:r>
      <w:r w:rsidRPr="00857E7A">
        <w:rPr>
          <w:rStyle w:val="Charf"/>
        </w:rPr>
        <w:t>年评价区域各季小时平均风速日变化</w:t>
      </w:r>
    </w:p>
    <w:p w14:paraId="5A4F7846" w14:textId="347BB074" w:rsidR="00690D66" w:rsidRPr="00690D66" w:rsidRDefault="00375EE2" w:rsidP="00690D66">
      <w:pPr>
        <w:spacing w:line="360" w:lineRule="auto"/>
        <w:ind w:firstLineChars="200" w:firstLine="480"/>
        <w:rPr>
          <w:kern w:val="0"/>
          <w:sz w:val="24"/>
          <w:szCs w:val="28"/>
        </w:rPr>
      </w:pPr>
      <w:r>
        <w:rPr>
          <w:rFonts w:hint="eastAsia"/>
          <w:kern w:val="0"/>
          <w:sz w:val="24"/>
          <w:szCs w:val="28"/>
        </w:rPr>
        <w:t>（</w:t>
      </w:r>
      <w:r>
        <w:rPr>
          <w:rFonts w:hint="eastAsia"/>
          <w:kern w:val="0"/>
          <w:sz w:val="24"/>
          <w:szCs w:val="28"/>
        </w:rPr>
        <w:t>4</w:t>
      </w:r>
      <w:r>
        <w:rPr>
          <w:rFonts w:hint="eastAsia"/>
          <w:kern w:val="0"/>
          <w:sz w:val="24"/>
          <w:szCs w:val="28"/>
        </w:rPr>
        <w:t>）</w:t>
      </w:r>
      <w:r w:rsidR="00690D66" w:rsidRPr="00690D66">
        <w:rPr>
          <w:kern w:val="0"/>
          <w:sz w:val="24"/>
          <w:szCs w:val="28"/>
        </w:rPr>
        <w:t>风向、风频统计分析</w:t>
      </w:r>
    </w:p>
    <w:p w14:paraId="35C60706" w14:textId="6B4B13EB" w:rsidR="00690D66" w:rsidRPr="00690D66" w:rsidRDefault="00690D66" w:rsidP="00690D66">
      <w:pPr>
        <w:spacing w:line="360" w:lineRule="auto"/>
        <w:ind w:firstLineChars="200" w:firstLine="480"/>
        <w:rPr>
          <w:kern w:val="0"/>
          <w:sz w:val="24"/>
          <w:szCs w:val="28"/>
        </w:rPr>
      </w:pPr>
      <w:r w:rsidRPr="00690D66">
        <w:rPr>
          <w:kern w:val="0"/>
          <w:sz w:val="24"/>
          <w:szCs w:val="28"/>
        </w:rPr>
        <w:t>风向、风频统计见</w:t>
      </w:r>
      <w:r w:rsidR="00D51CED">
        <w:rPr>
          <w:rFonts w:hint="eastAsia"/>
          <w:kern w:val="0"/>
          <w:sz w:val="24"/>
          <w:szCs w:val="28"/>
        </w:rPr>
        <w:t>下</w:t>
      </w:r>
      <w:r w:rsidRPr="00690D66">
        <w:rPr>
          <w:kern w:val="0"/>
          <w:sz w:val="24"/>
          <w:szCs w:val="28"/>
        </w:rPr>
        <w:t>图</w:t>
      </w:r>
      <w:r w:rsidR="00D51CED">
        <w:rPr>
          <w:rFonts w:hint="eastAsia"/>
          <w:kern w:val="0"/>
          <w:sz w:val="24"/>
          <w:szCs w:val="28"/>
        </w:rPr>
        <w:t>。</w:t>
      </w:r>
    </w:p>
    <w:p w14:paraId="090832BF" w14:textId="77777777" w:rsidR="00690D66" w:rsidRPr="00690D66" w:rsidRDefault="00690D66" w:rsidP="00690D66">
      <w:pPr>
        <w:keepNext/>
        <w:keepLines/>
        <w:jc w:val="center"/>
        <w:rPr>
          <w:kern w:val="0"/>
          <w:sz w:val="24"/>
          <w:szCs w:val="22"/>
        </w:rPr>
      </w:pPr>
      <w:r w:rsidRPr="00690D66">
        <w:rPr>
          <w:rFonts w:ascii="Calibri" w:hAnsi="Calibri" w:cs="Arial"/>
          <w:noProof/>
          <w:szCs w:val="24"/>
        </w:rPr>
        <w:lastRenderedPageBreak/>
        <w:drawing>
          <wp:inline distT="0" distB="0" distL="114300" distR="114300" wp14:anchorId="25CC92E6" wp14:editId="342C49CA">
            <wp:extent cx="5709920" cy="8148320"/>
            <wp:effectExtent l="0" t="0" r="5080" b="5080"/>
            <wp:docPr id="76"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29"/>
                    <pic:cNvPicPr>
                      <a:picLocks noChangeAspect="1"/>
                    </pic:cNvPicPr>
                  </pic:nvPicPr>
                  <pic:blipFill>
                    <a:blip r:embed="rId109"/>
                    <a:stretch>
                      <a:fillRect/>
                    </a:stretch>
                  </pic:blipFill>
                  <pic:spPr>
                    <a:xfrm>
                      <a:off x="0" y="0"/>
                      <a:ext cx="5709920" cy="8148320"/>
                    </a:xfrm>
                    <a:prstGeom prst="rect">
                      <a:avLst/>
                    </a:prstGeom>
                    <a:noFill/>
                    <a:ln>
                      <a:noFill/>
                    </a:ln>
                  </pic:spPr>
                </pic:pic>
              </a:graphicData>
            </a:graphic>
          </wp:inline>
        </w:drawing>
      </w:r>
    </w:p>
    <w:p w14:paraId="5DC6A364" w14:textId="1CC69E54" w:rsidR="00606029" w:rsidRPr="00D51CED" w:rsidRDefault="00690D66" w:rsidP="00D51CED">
      <w:pPr>
        <w:pStyle w:val="aff2"/>
        <w:spacing w:after="0"/>
        <w:ind w:firstLineChars="0" w:firstLine="0"/>
        <w:jc w:val="center"/>
        <w:rPr>
          <w:rStyle w:val="Charf"/>
          <w:bCs w:val="0"/>
        </w:rPr>
        <w:sectPr w:rsidR="00606029" w:rsidRPr="00D51CED" w:rsidSect="00AE3C89">
          <w:pgSz w:w="11905" w:h="16838"/>
          <w:pgMar w:top="1418" w:right="1474" w:bottom="1418" w:left="1474" w:header="851" w:footer="851" w:gutter="113"/>
          <w:cols w:space="0"/>
          <w:docGrid w:linePitch="326"/>
        </w:sectPr>
      </w:pPr>
      <w:r w:rsidRPr="00D51CED">
        <w:rPr>
          <w:rStyle w:val="Charf"/>
          <w:bCs w:val="0"/>
        </w:rPr>
        <w:t>图</w:t>
      </w:r>
      <w:r w:rsidR="00D51CED" w:rsidRPr="00D51CED">
        <w:rPr>
          <w:rStyle w:val="Charf"/>
          <w:bCs w:val="0"/>
        </w:rPr>
        <w:t>6.2-19</w:t>
      </w:r>
      <w:r w:rsidRPr="00D51CED">
        <w:rPr>
          <w:rStyle w:val="Charf"/>
          <w:bCs w:val="0"/>
        </w:rPr>
        <w:t xml:space="preserve">  2023</w:t>
      </w:r>
      <w:r w:rsidRPr="00D51CED">
        <w:rPr>
          <w:rStyle w:val="Charf"/>
          <w:bCs w:val="0"/>
        </w:rPr>
        <w:t>年评价区域各月、季及年均风频玫瑰图</w:t>
      </w:r>
    </w:p>
    <w:p w14:paraId="3B69DD48" w14:textId="487008AF" w:rsidR="00606029" w:rsidRDefault="00EA5B92">
      <w:pPr>
        <w:pStyle w:val="4"/>
        <w:spacing w:beforeLines="50" w:before="120"/>
      </w:pPr>
      <w:r>
        <w:lastRenderedPageBreak/>
        <w:t>6.2.1.</w:t>
      </w:r>
      <w:r w:rsidR="00375EE2">
        <w:rPr>
          <w:rFonts w:hint="eastAsia"/>
        </w:rPr>
        <w:t>3</w:t>
      </w:r>
      <w:r>
        <w:t>大气环境影响预测评价</w:t>
      </w:r>
    </w:p>
    <w:p w14:paraId="392FAB02" w14:textId="07E8DA61" w:rsidR="00606029" w:rsidRPr="001025A4" w:rsidRDefault="00375EE2" w:rsidP="001025A4">
      <w:pPr>
        <w:pStyle w:val="affffff4"/>
      </w:pPr>
      <w:r>
        <w:rPr>
          <w:rFonts w:hint="eastAsia"/>
        </w:rPr>
        <w:t>（</w:t>
      </w:r>
      <w:r>
        <w:rPr>
          <w:rFonts w:hint="eastAsia"/>
        </w:rPr>
        <w:t>1</w:t>
      </w:r>
      <w:r>
        <w:rPr>
          <w:rFonts w:hint="eastAsia"/>
        </w:rPr>
        <w:t>）</w:t>
      </w:r>
      <w:r w:rsidR="00EA5B92" w:rsidRPr="001025A4">
        <w:t>大气污染物排放源参数调查</w:t>
      </w:r>
    </w:p>
    <w:p w14:paraId="74C036A7" w14:textId="1BD86EFF" w:rsidR="00606029" w:rsidRPr="003A0BA6" w:rsidRDefault="00EA5B92" w:rsidP="001025A4">
      <w:pPr>
        <w:pStyle w:val="affffff4"/>
      </w:pPr>
      <w:r w:rsidRPr="003A0BA6">
        <w:t>本项目面源参数表见下表。</w:t>
      </w:r>
    </w:p>
    <w:p w14:paraId="0CFD9716" w14:textId="4E3A66A8" w:rsidR="00606029" w:rsidRPr="003A0BA6" w:rsidRDefault="00EA5B92">
      <w:pPr>
        <w:pStyle w:val="affffff5"/>
      </w:pPr>
      <w:r w:rsidRPr="003A0BA6">
        <w:t>表</w:t>
      </w:r>
      <w:r w:rsidRPr="003A0BA6">
        <w:rPr>
          <w:color w:val="000000"/>
          <w:kern w:val="0"/>
          <w:lang w:bidi="ar"/>
        </w:rPr>
        <w:t>6.2</w:t>
      </w:r>
      <w:r w:rsidR="001025A4" w:rsidRPr="003A0BA6">
        <w:rPr>
          <w:rFonts w:hint="eastAsia"/>
          <w:color w:val="000000"/>
          <w:kern w:val="0"/>
          <w:lang w:bidi="ar"/>
        </w:rPr>
        <w:t>-</w:t>
      </w:r>
      <w:r w:rsidRPr="003A0BA6">
        <w:rPr>
          <w:color w:val="000000"/>
          <w:kern w:val="0"/>
          <w:lang w:bidi="ar"/>
        </w:rPr>
        <w:t>1</w:t>
      </w:r>
      <w:r w:rsidR="004F102D" w:rsidRPr="003A0BA6">
        <w:rPr>
          <w:rFonts w:hint="eastAsia"/>
          <w:color w:val="000000"/>
          <w:kern w:val="0"/>
          <w:lang w:bidi="ar"/>
        </w:rPr>
        <w:t>1</w:t>
      </w:r>
      <w:r w:rsidRPr="003A0BA6">
        <w:t xml:space="preserve">  </w:t>
      </w:r>
      <w:r w:rsidRPr="003A0BA6">
        <w:t>废气面源参数表</w:t>
      </w:r>
    </w:p>
    <w:tbl>
      <w:tblPr>
        <w:tblW w:w="4995" w:type="pct"/>
        <w:jc w:val="center"/>
        <w:tblBorders>
          <w:top w:val="single" w:sz="4" w:space="0" w:color="auto"/>
          <w:left w:val="single" w:sz="4" w:space="0" w:color="auto"/>
          <w:bottom w:val="single" w:sz="4" w:space="0" w:color="auto"/>
          <w:right w:val="single" w:sz="4" w:space="0" w:color="auto"/>
          <w:insideH w:val="single" w:sz="4" w:space="0" w:color="000000"/>
          <w:insideV w:val="single" w:sz="4" w:space="0" w:color="000000"/>
        </w:tblBorders>
        <w:tblLook w:val="04A0" w:firstRow="1" w:lastRow="0" w:firstColumn="1" w:lastColumn="0" w:noHBand="0" w:noVBand="1"/>
      </w:tblPr>
      <w:tblGrid>
        <w:gridCol w:w="2411"/>
        <w:gridCol w:w="572"/>
        <w:gridCol w:w="2764"/>
        <w:gridCol w:w="3078"/>
      </w:tblGrid>
      <w:tr w:rsidR="00606029" w:rsidRPr="003A0BA6" w14:paraId="272970B0" w14:textId="77777777" w:rsidTr="003A0BA6">
        <w:trPr>
          <w:trHeight w:val="340"/>
          <w:jc w:val="center"/>
        </w:trPr>
        <w:tc>
          <w:tcPr>
            <w:tcW w:w="5747" w:type="dxa"/>
            <w:gridSpan w:val="3"/>
            <w:tcBorders>
              <w:tl2br w:val="nil"/>
              <w:tr2bl w:val="nil"/>
            </w:tcBorders>
            <w:vAlign w:val="center"/>
          </w:tcPr>
          <w:p w14:paraId="7799E88D" w14:textId="77777777" w:rsidR="00606029" w:rsidRPr="003A0BA6" w:rsidRDefault="00EA5B92">
            <w:pPr>
              <w:spacing w:line="280" w:lineRule="exact"/>
              <w:jc w:val="center"/>
            </w:pPr>
            <w:r w:rsidRPr="003A0BA6">
              <w:t>名称</w:t>
            </w:r>
          </w:p>
        </w:tc>
        <w:tc>
          <w:tcPr>
            <w:tcW w:w="3078" w:type="dxa"/>
            <w:tcBorders>
              <w:tl2br w:val="nil"/>
              <w:tr2bl w:val="nil"/>
            </w:tcBorders>
            <w:vAlign w:val="center"/>
          </w:tcPr>
          <w:p w14:paraId="667B66F3" w14:textId="77777777" w:rsidR="00606029" w:rsidRPr="003A0BA6" w:rsidRDefault="00EA5B92">
            <w:pPr>
              <w:spacing w:line="280" w:lineRule="exact"/>
              <w:jc w:val="center"/>
            </w:pPr>
            <w:r w:rsidRPr="003A0BA6">
              <w:t>项目区域</w:t>
            </w:r>
          </w:p>
        </w:tc>
      </w:tr>
      <w:tr w:rsidR="00606029" w:rsidRPr="003A0BA6" w14:paraId="6C34899C" w14:textId="77777777" w:rsidTr="003A0BA6">
        <w:trPr>
          <w:trHeight w:val="340"/>
          <w:jc w:val="center"/>
        </w:trPr>
        <w:tc>
          <w:tcPr>
            <w:tcW w:w="2983" w:type="dxa"/>
            <w:gridSpan w:val="2"/>
            <w:vMerge w:val="restart"/>
            <w:tcBorders>
              <w:tl2br w:val="nil"/>
              <w:tr2bl w:val="nil"/>
            </w:tcBorders>
            <w:vAlign w:val="center"/>
          </w:tcPr>
          <w:p w14:paraId="7BD4E5CD" w14:textId="77777777" w:rsidR="00606029" w:rsidRPr="003A0BA6" w:rsidRDefault="00EA5B92">
            <w:pPr>
              <w:spacing w:line="280" w:lineRule="exact"/>
              <w:jc w:val="center"/>
            </w:pPr>
            <w:r w:rsidRPr="003A0BA6">
              <w:t>面源起点坐标</w:t>
            </w:r>
            <w:r w:rsidRPr="003A0BA6">
              <w:t>/m</w:t>
            </w:r>
          </w:p>
        </w:tc>
        <w:tc>
          <w:tcPr>
            <w:tcW w:w="2764" w:type="dxa"/>
            <w:tcBorders>
              <w:tl2br w:val="nil"/>
              <w:tr2bl w:val="nil"/>
            </w:tcBorders>
            <w:vAlign w:val="center"/>
          </w:tcPr>
          <w:p w14:paraId="3180EFD2" w14:textId="77777777" w:rsidR="00606029" w:rsidRPr="003A0BA6" w:rsidRDefault="00EA5B92">
            <w:pPr>
              <w:spacing w:line="280" w:lineRule="exact"/>
              <w:jc w:val="center"/>
            </w:pPr>
            <w:r w:rsidRPr="003A0BA6">
              <w:t>X</w:t>
            </w:r>
          </w:p>
        </w:tc>
        <w:tc>
          <w:tcPr>
            <w:tcW w:w="3078" w:type="dxa"/>
            <w:tcBorders>
              <w:tl2br w:val="nil"/>
              <w:tr2bl w:val="nil"/>
            </w:tcBorders>
            <w:vAlign w:val="center"/>
          </w:tcPr>
          <w:p w14:paraId="3A7D18FE" w14:textId="7E19FBCD" w:rsidR="00606029" w:rsidRPr="003A0BA6" w:rsidRDefault="00C92E2A">
            <w:pPr>
              <w:spacing w:line="280" w:lineRule="exact"/>
              <w:jc w:val="center"/>
            </w:pPr>
            <w:r w:rsidRPr="003A0BA6">
              <w:rPr>
                <w:rFonts w:hint="eastAsia"/>
              </w:rPr>
              <w:t>260</w:t>
            </w:r>
          </w:p>
        </w:tc>
      </w:tr>
      <w:tr w:rsidR="00606029" w:rsidRPr="003A0BA6" w14:paraId="2579A39B" w14:textId="77777777" w:rsidTr="003A0BA6">
        <w:trPr>
          <w:trHeight w:val="340"/>
          <w:jc w:val="center"/>
        </w:trPr>
        <w:tc>
          <w:tcPr>
            <w:tcW w:w="2983" w:type="dxa"/>
            <w:gridSpan w:val="2"/>
            <w:vMerge/>
            <w:tcBorders>
              <w:tl2br w:val="nil"/>
              <w:tr2bl w:val="nil"/>
            </w:tcBorders>
            <w:vAlign w:val="center"/>
          </w:tcPr>
          <w:p w14:paraId="36900E7F" w14:textId="77777777" w:rsidR="00606029" w:rsidRPr="003A0BA6" w:rsidRDefault="00606029">
            <w:pPr>
              <w:spacing w:line="280" w:lineRule="exact"/>
              <w:jc w:val="center"/>
            </w:pPr>
          </w:p>
        </w:tc>
        <w:tc>
          <w:tcPr>
            <w:tcW w:w="2764" w:type="dxa"/>
            <w:tcBorders>
              <w:tl2br w:val="nil"/>
              <w:tr2bl w:val="nil"/>
            </w:tcBorders>
            <w:vAlign w:val="center"/>
          </w:tcPr>
          <w:p w14:paraId="4F88FC79" w14:textId="77777777" w:rsidR="00606029" w:rsidRPr="003A0BA6" w:rsidRDefault="00EA5B92">
            <w:pPr>
              <w:spacing w:line="280" w:lineRule="exact"/>
              <w:jc w:val="center"/>
            </w:pPr>
            <w:r w:rsidRPr="003A0BA6">
              <w:t>Y</w:t>
            </w:r>
          </w:p>
        </w:tc>
        <w:tc>
          <w:tcPr>
            <w:tcW w:w="3078" w:type="dxa"/>
            <w:tcBorders>
              <w:tl2br w:val="nil"/>
              <w:tr2bl w:val="nil"/>
            </w:tcBorders>
            <w:vAlign w:val="center"/>
          </w:tcPr>
          <w:p w14:paraId="554A7BBB" w14:textId="1872A3CE" w:rsidR="00606029" w:rsidRPr="003A0BA6" w:rsidRDefault="00C92E2A">
            <w:pPr>
              <w:spacing w:line="280" w:lineRule="exact"/>
              <w:jc w:val="center"/>
            </w:pPr>
            <w:r w:rsidRPr="003A0BA6">
              <w:rPr>
                <w:rFonts w:hint="eastAsia"/>
              </w:rPr>
              <w:t>20</w:t>
            </w:r>
          </w:p>
        </w:tc>
      </w:tr>
      <w:tr w:rsidR="00606029" w:rsidRPr="003A0BA6" w14:paraId="1328CDD7" w14:textId="77777777" w:rsidTr="003A0BA6">
        <w:trPr>
          <w:trHeight w:val="340"/>
          <w:jc w:val="center"/>
        </w:trPr>
        <w:tc>
          <w:tcPr>
            <w:tcW w:w="5747" w:type="dxa"/>
            <w:gridSpan w:val="3"/>
            <w:tcBorders>
              <w:tl2br w:val="nil"/>
              <w:tr2bl w:val="nil"/>
            </w:tcBorders>
            <w:vAlign w:val="center"/>
          </w:tcPr>
          <w:p w14:paraId="46862FA6" w14:textId="77777777" w:rsidR="00606029" w:rsidRPr="003A0BA6" w:rsidRDefault="00EA5B92">
            <w:pPr>
              <w:spacing w:line="280" w:lineRule="exact"/>
              <w:jc w:val="center"/>
            </w:pPr>
            <w:r w:rsidRPr="003A0BA6">
              <w:t>面源海拔高度</w:t>
            </w:r>
            <w:r w:rsidRPr="003A0BA6">
              <w:t>m</w:t>
            </w:r>
          </w:p>
        </w:tc>
        <w:tc>
          <w:tcPr>
            <w:tcW w:w="3078" w:type="dxa"/>
            <w:tcBorders>
              <w:tl2br w:val="nil"/>
              <w:tr2bl w:val="nil"/>
            </w:tcBorders>
            <w:vAlign w:val="center"/>
          </w:tcPr>
          <w:p w14:paraId="24DED1F1" w14:textId="0E586B22" w:rsidR="00606029" w:rsidRPr="003A0BA6" w:rsidRDefault="00C92E2A">
            <w:pPr>
              <w:spacing w:line="280" w:lineRule="exact"/>
              <w:jc w:val="center"/>
            </w:pPr>
            <w:r w:rsidRPr="003A0BA6">
              <w:rPr>
                <w:rFonts w:hint="eastAsia"/>
              </w:rPr>
              <w:t>143</w:t>
            </w:r>
          </w:p>
        </w:tc>
      </w:tr>
      <w:tr w:rsidR="00606029" w:rsidRPr="003A0BA6" w14:paraId="36198486" w14:textId="77777777" w:rsidTr="003A0BA6">
        <w:trPr>
          <w:trHeight w:val="340"/>
          <w:jc w:val="center"/>
        </w:trPr>
        <w:tc>
          <w:tcPr>
            <w:tcW w:w="5747" w:type="dxa"/>
            <w:gridSpan w:val="3"/>
            <w:tcBorders>
              <w:tl2br w:val="nil"/>
              <w:tr2bl w:val="nil"/>
            </w:tcBorders>
            <w:vAlign w:val="center"/>
          </w:tcPr>
          <w:p w14:paraId="1F6D68EE" w14:textId="77777777" w:rsidR="00606029" w:rsidRPr="003A0BA6" w:rsidRDefault="00EA5B92">
            <w:pPr>
              <w:spacing w:line="280" w:lineRule="exact"/>
              <w:jc w:val="center"/>
            </w:pPr>
            <w:r w:rsidRPr="003A0BA6">
              <w:t>面源长度</w:t>
            </w:r>
            <w:r w:rsidRPr="003A0BA6">
              <w:t>m</w:t>
            </w:r>
          </w:p>
        </w:tc>
        <w:tc>
          <w:tcPr>
            <w:tcW w:w="3078" w:type="dxa"/>
            <w:tcBorders>
              <w:tl2br w:val="nil"/>
              <w:tr2bl w:val="nil"/>
            </w:tcBorders>
            <w:vAlign w:val="center"/>
          </w:tcPr>
          <w:p w14:paraId="435F324D" w14:textId="4A1F9556" w:rsidR="00606029" w:rsidRPr="003A0BA6" w:rsidRDefault="003A0BA6">
            <w:pPr>
              <w:spacing w:line="280" w:lineRule="exact"/>
              <w:jc w:val="center"/>
            </w:pPr>
            <w:r w:rsidRPr="003A0BA6">
              <w:rPr>
                <w:rFonts w:hint="eastAsia"/>
              </w:rPr>
              <w:t>105.72</w:t>
            </w:r>
          </w:p>
        </w:tc>
      </w:tr>
      <w:tr w:rsidR="00606029" w:rsidRPr="003A0BA6" w14:paraId="64F0A785" w14:textId="77777777" w:rsidTr="003A0BA6">
        <w:trPr>
          <w:trHeight w:val="340"/>
          <w:jc w:val="center"/>
        </w:trPr>
        <w:tc>
          <w:tcPr>
            <w:tcW w:w="5747" w:type="dxa"/>
            <w:gridSpan w:val="3"/>
            <w:tcBorders>
              <w:tl2br w:val="nil"/>
              <w:tr2bl w:val="nil"/>
            </w:tcBorders>
            <w:vAlign w:val="center"/>
          </w:tcPr>
          <w:p w14:paraId="0BFDC646" w14:textId="77777777" w:rsidR="00606029" w:rsidRPr="003A0BA6" w:rsidRDefault="00EA5B92">
            <w:pPr>
              <w:spacing w:line="280" w:lineRule="exact"/>
              <w:jc w:val="center"/>
            </w:pPr>
            <w:r w:rsidRPr="003A0BA6">
              <w:t>面源宽度</w:t>
            </w:r>
            <w:r w:rsidRPr="003A0BA6">
              <w:t>m</w:t>
            </w:r>
          </w:p>
        </w:tc>
        <w:tc>
          <w:tcPr>
            <w:tcW w:w="3078" w:type="dxa"/>
            <w:tcBorders>
              <w:tl2br w:val="nil"/>
              <w:tr2bl w:val="nil"/>
            </w:tcBorders>
            <w:vAlign w:val="center"/>
          </w:tcPr>
          <w:p w14:paraId="21AC2ABF" w14:textId="08EE18A8" w:rsidR="00606029" w:rsidRPr="003A0BA6" w:rsidRDefault="003A0BA6">
            <w:pPr>
              <w:spacing w:line="280" w:lineRule="exact"/>
              <w:jc w:val="center"/>
            </w:pPr>
            <w:r w:rsidRPr="003A0BA6">
              <w:rPr>
                <w:rFonts w:hint="eastAsia"/>
              </w:rPr>
              <w:t>48.59</w:t>
            </w:r>
          </w:p>
        </w:tc>
      </w:tr>
      <w:tr w:rsidR="00606029" w:rsidRPr="003A0BA6" w14:paraId="068DCE8F" w14:textId="77777777" w:rsidTr="003A0BA6">
        <w:trPr>
          <w:trHeight w:val="340"/>
          <w:jc w:val="center"/>
        </w:trPr>
        <w:tc>
          <w:tcPr>
            <w:tcW w:w="5747" w:type="dxa"/>
            <w:gridSpan w:val="3"/>
            <w:tcBorders>
              <w:tl2br w:val="nil"/>
              <w:tr2bl w:val="nil"/>
            </w:tcBorders>
            <w:vAlign w:val="center"/>
          </w:tcPr>
          <w:p w14:paraId="7F5773C0" w14:textId="77777777" w:rsidR="00606029" w:rsidRPr="003A0BA6" w:rsidRDefault="00EA5B92">
            <w:pPr>
              <w:spacing w:line="280" w:lineRule="exact"/>
              <w:jc w:val="center"/>
            </w:pPr>
            <w:r w:rsidRPr="003A0BA6">
              <w:t>与正北向夹角</w:t>
            </w:r>
            <w:r w:rsidRPr="003A0BA6">
              <w:t>°</w:t>
            </w:r>
          </w:p>
        </w:tc>
        <w:tc>
          <w:tcPr>
            <w:tcW w:w="3078" w:type="dxa"/>
            <w:tcBorders>
              <w:tl2br w:val="nil"/>
              <w:tr2bl w:val="nil"/>
            </w:tcBorders>
            <w:vAlign w:val="center"/>
          </w:tcPr>
          <w:p w14:paraId="5900962B" w14:textId="4A35E01D" w:rsidR="00606029" w:rsidRPr="003A0BA6" w:rsidRDefault="003A0BA6">
            <w:pPr>
              <w:spacing w:line="280" w:lineRule="exact"/>
              <w:jc w:val="center"/>
            </w:pPr>
            <w:r w:rsidRPr="003A0BA6">
              <w:rPr>
                <w:rFonts w:hint="eastAsia"/>
              </w:rPr>
              <w:t>0</w:t>
            </w:r>
          </w:p>
        </w:tc>
      </w:tr>
      <w:tr w:rsidR="00606029" w:rsidRPr="003A0BA6" w14:paraId="30DDA8B2" w14:textId="77777777" w:rsidTr="003A0BA6">
        <w:trPr>
          <w:trHeight w:val="340"/>
          <w:jc w:val="center"/>
        </w:trPr>
        <w:tc>
          <w:tcPr>
            <w:tcW w:w="5747" w:type="dxa"/>
            <w:gridSpan w:val="3"/>
            <w:tcBorders>
              <w:tl2br w:val="nil"/>
              <w:tr2bl w:val="nil"/>
            </w:tcBorders>
            <w:vAlign w:val="center"/>
          </w:tcPr>
          <w:p w14:paraId="0939FCC0" w14:textId="77777777" w:rsidR="00606029" w:rsidRPr="003A0BA6" w:rsidRDefault="00EA5B92">
            <w:pPr>
              <w:spacing w:line="280" w:lineRule="exact"/>
              <w:jc w:val="center"/>
            </w:pPr>
            <w:r w:rsidRPr="003A0BA6">
              <w:t>面源有效排放高度</w:t>
            </w:r>
            <w:r w:rsidRPr="003A0BA6">
              <w:t>m</w:t>
            </w:r>
          </w:p>
        </w:tc>
        <w:tc>
          <w:tcPr>
            <w:tcW w:w="3078" w:type="dxa"/>
            <w:tcBorders>
              <w:tl2br w:val="nil"/>
              <w:tr2bl w:val="nil"/>
            </w:tcBorders>
            <w:vAlign w:val="center"/>
          </w:tcPr>
          <w:p w14:paraId="10A1F917" w14:textId="77777777" w:rsidR="00606029" w:rsidRPr="003A0BA6" w:rsidRDefault="00EA5B92">
            <w:pPr>
              <w:spacing w:line="280" w:lineRule="exact"/>
              <w:jc w:val="center"/>
            </w:pPr>
            <w:r w:rsidRPr="003A0BA6">
              <w:t>1</w:t>
            </w:r>
          </w:p>
        </w:tc>
      </w:tr>
      <w:tr w:rsidR="00606029" w:rsidRPr="003A0BA6" w14:paraId="672C9F45" w14:textId="77777777" w:rsidTr="003A0BA6">
        <w:trPr>
          <w:trHeight w:val="340"/>
          <w:jc w:val="center"/>
        </w:trPr>
        <w:tc>
          <w:tcPr>
            <w:tcW w:w="5747" w:type="dxa"/>
            <w:gridSpan w:val="3"/>
            <w:tcBorders>
              <w:tl2br w:val="nil"/>
              <w:tr2bl w:val="nil"/>
            </w:tcBorders>
            <w:vAlign w:val="center"/>
          </w:tcPr>
          <w:p w14:paraId="429D7720" w14:textId="77777777" w:rsidR="00606029" w:rsidRPr="003A0BA6" w:rsidRDefault="00EA5B92">
            <w:pPr>
              <w:spacing w:line="280" w:lineRule="exact"/>
              <w:jc w:val="center"/>
            </w:pPr>
            <w:r w:rsidRPr="003A0BA6">
              <w:t>年排放小时数</w:t>
            </w:r>
            <w:r w:rsidRPr="003A0BA6">
              <w:t>/h</w:t>
            </w:r>
          </w:p>
        </w:tc>
        <w:tc>
          <w:tcPr>
            <w:tcW w:w="3078" w:type="dxa"/>
            <w:tcBorders>
              <w:tl2br w:val="nil"/>
              <w:tr2bl w:val="nil"/>
            </w:tcBorders>
            <w:vAlign w:val="center"/>
          </w:tcPr>
          <w:p w14:paraId="2DEFE4E3" w14:textId="536952BB" w:rsidR="00606029" w:rsidRPr="003A0BA6" w:rsidRDefault="003A0BA6">
            <w:pPr>
              <w:spacing w:line="280" w:lineRule="exact"/>
              <w:jc w:val="center"/>
            </w:pPr>
            <w:r w:rsidRPr="003A0BA6">
              <w:rPr>
                <w:rFonts w:hint="eastAsia"/>
              </w:rPr>
              <w:t>1440</w:t>
            </w:r>
          </w:p>
        </w:tc>
      </w:tr>
      <w:tr w:rsidR="00606029" w:rsidRPr="003A0BA6" w14:paraId="1DEC13A0" w14:textId="77777777" w:rsidTr="003A0BA6">
        <w:trPr>
          <w:trHeight w:val="340"/>
          <w:jc w:val="center"/>
        </w:trPr>
        <w:tc>
          <w:tcPr>
            <w:tcW w:w="5747" w:type="dxa"/>
            <w:gridSpan w:val="3"/>
            <w:tcBorders>
              <w:tl2br w:val="nil"/>
              <w:tr2bl w:val="nil"/>
            </w:tcBorders>
            <w:vAlign w:val="center"/>
          </w:tcPr>
          <w:p w14:paraId="35E70CDC" w14:textId="77777777" w:rsidR="00606029" w:rsidRPr="003A0BA6" w:rsidRDefault="00EA5B92">
            <w:pPr>
              <w:spacing w:line="280" w:lineRule="exact"/>
              <w:jc w:val="center"/>
            </w:pPr>
            <w:r w:rsidRPr="003A0BA6">
              <w:t>排放工况</w:t>
            </w:r>
          </w:p>
        </w:tc>
        <w:tc>
          <w:tcPr>
            <w:tcW w:w="3078" w:type="dxa"/>
            <w:tcBorders>
              <w:tl2br w:val="nil"/>
              <w:tr2bl w:val="nil"/>
            </w:tcBorders>
            <w:vAlign w:val="center"/>
          </w:tcPr>
          <w:p w14:paraId="7BE511E2" w14:textId="77777777" w:rsidR="00606029" w:rsidRPr="003A0BA6" w:rsidRDefault="00EA5B92">
            <w:pPr>
              <w:spacing w:line="280" w:lineRule="exact"/>
              <w:jc w:val="center"/>
            </w:pPr>
            <w:r w:rsidRPr="003A0BA6">
              <w:t>正常</w:t>
            </w:r>
          </w:p>
        </w:tc>
      </w:tr>
      <w:tr w:rsidR="00606029" w14:paraId="4DABEDBE" w14:textId="77777777" w:rsidTr="003A0BA6">
        <w:trPr>
          <w:trHeight w:val="340"/>
          <w:jc w:val="center"/>
        </w:trPr>
        <w:tc>
          <w:tcPr>
            <w:tcW w:w="2411" w:type="dxa"/>
            <w:tcBorders>
              <w:tl2br w:val="nil"/>
              <w:tr2bl w:val="nil"/>
            </w:tcBorders>
            <w:vAlign w:val="center"/>
          </w:tcPr>
          <w:p w14:paraId="04B992CE" w14:textId="77777777" w:rsidR="00606029" w:rsidRPr="003A0BA6" w:rsidRDefault="00EA5B92">
            <w:pPr>
              <w:spacing w:line="280" w:lineRule="exact"/>
              <w:jc w:val="center"/>
            </w:pPr>
            <w:r w:rsidRPr="003A0BA6">
              <w:t>污染物排放速率</w:t>
            </w:r>
            <w:r w:rsidRPr="003A0BA6">
              <w:t>kg/h</w:t>
            </w:r>
          </w:p>
        </w:tc>
        <w:tc>
          <w:tcPr>
            <w:tcW w:w="3336" w:type="dxa"/>
            <w:gridSpan w:val="2"/>
            <w:tcBorders>
              <w:tl2br w:val="nil"/>
              <w:tr2bl w:val="nil"/>
            </w:tcBorders>
            <w:vAlign w:val="center"/>
          </w:tcPr>
          <w:p w14:paraId="5E41ACB8" w14:textId="2435F2C1" w:rsidR="00606029" w:rsidRPr="003A0BA6" w:rsidRDefault="003A0BA6">
            <w:pPr>
              <w:spacing w:line="280" w:lineRule="exact"/>
              <w:jc w:val="center"/>
            </w:pPr>
            <w:r w:rsidRPr="003A0BA6">
              <w:rPr>
                <w:rFonts w:hint="eastAsia"/>
              </w:rPr>
              <w:t>TSP</w:t>
            </w:r>
          </w:p>
        </w:tc>
        <w:tc>
          <w:tcPr>
            <w:tcW w:w="3078" w:type="dxa"/>
            <w:tcBorders>
              <w:tl2br w:val="nil"/>
              <w:tr2bl w:val="nil"/>
            </w:tcBorders>
            <w:vAlign w:val="center"/>
          </w:tcPr>
          <w:p w14:paraId="188BFE6A" w14:textId="17BAF289" w:rsidR="00606029" w:rsidRPr="003A0BA6" w:rsidRDefault="003A0BA6">
            <w:pPr>
              <w:spacing w:line="280" w:lineRule="exact"/>
              <w:jc w:val="center"/>
            </w:pPr>
            <w:r w:rsidRPr="003A0BA6">
              <w:rPr>
                <w:rFonts w:hint="eastAsia"/>
              </w:rPr>
              <w:t>0.0224</w:t>
            </w:r>
          </w:p>
        </w:tc>
      </w:tr>
    </w:tbl>
    <w:p w14:paraId="02F79E22" w14:textId="612A42EB" w:rsidR="00606029" w:rsidRPr="001025A4" w:rsidRDefault="00375EE2" w:rsidP="001025A4">
      <w:pPr>
        <w:pStyle w:val="affffff4"/>
      </w:pPr>
      <w:r>
        <w:rPr>
          <w:rFonts w:hint="eastAsia"/>
        </w:rPr>
        <w:t>（</w:t>
      </w:r>
      <w:r>
        <w:rPr>
          <w:rFonts w:hint="eastAsia"/>
        </w:rPr>
        <w:t>2</w:t>
      </w:r>
      <w:r>
        <w:rPr>
          <w:rFonts w:hint="eastAsia"/>
        </w:rPr>
        <w:t>）</w:t>
      </w:r>
      <w:r w:rsidR="00EA5B92" w:rsidRPr="001025A4">
        <w:t>估算模式及参数的选择</w:t>
      </w:r>
    </w:p>
    <w:p w14:paraId="017CCA60" w14:textId="75F12748" w:rsidR="00543B9E" w:rsidRPr="001025A4" w:rsidRDefault="00543B9E" w:rsidP="001025A4">
      <w:pPr>
        <w:pStyle w:val="affffff4"/>
      </w:pPr>
      <w:r w:rsidRPr="001025A4">
        <w:t>估算模式所用参数见</w:t>
      </w:r>
      <w:r w:rsidR="001025A4" w:rsidRPr="001025A4">
        <w:t>下</w:t>
      </w:r>
      <w:r w:rsidRPr="001025A4">
        <w:t>表。</w:t>
      </w:r>
    </w:p>
    <w:p w14:paraId="2B6C870A" w14:textId="0E83B033" w:rsidR="00543B9E" w:rsidRPr="001025A4" w:rsidRDefault="00543B9E" w:rsidP="001025A4">
      <w:pPr>
        <w:pStyle w:val="affffff5"/>
        <w:tabs>
          <w:tab w:val="left" w:pos="0"/>
        </w:tabs>
        <w:ind w:firstLine="400"/>
      </w:pPr>
      <w:r w:rsidRPr="001025A4">
        <w:t>表</w:t>
      </w:r>
      <w:r w:rsidR="001025A4" w:rsidRPr="001025A4">
        <w:rPr>
          <w:rFonts w:hint="eastAsia"/>
        </w:rPr>
        <w:t>6.2-1</w:t>
      </w:r>
      <w:r w:rsidR="004F102D">
        <w:rPr>
          <w:rFonts w:hint="eastAsia"/>
        </w:rPr>
        <w:t>2</w:t>
      </w:r>
      <w:r w:rsidRPr="001025A4">
        <w:t xml:space="preserve">  </w:t>
      </w:r>
      <w:r w:rsidRPr="001025A4">
        <w:t>估算模式参数表</w:t>
      </w:r>
    </w:p>
    <w:tbl>
      <w:tblPr>
        <w:tblW w:w="5000"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firstRow="1" w:lastRow="0" w:firstColumn="1" w:lastColumn="0" w:noHBand="0" w:noVBand="1"/>
      </w:tblPr>
      <w:tblGrid>
        <w:gridCol w:w="2903"/>
        <w:gridCol w:w="3016"/>
        <w:gridCol w:w="2905"/>
      </w:tblGrid>
      <w:tr w:rsidR="00543B9E" w:rsidRPr="00543B9E" w14:paraId="5FA6895C" w14:textId="77777777" w:rsidTr="0088707D">
        <w:trPr>
          <w:trHeight w:val="397"/>
        </w:trPr>
        <w:tc>
          <w:tcPr>
            <w:tcW w:w="3354" w:type="pct"/>
            <w:gridSpan w:val="2"/>
            <w:vAlign w:val="center"/>
          </w:tcPr>
          <w:p w14:paraId="7D854D04" w14:textId="77777777" w:rsidR="00543B9E" w:rsidRPr="00543B9E" w:rsidRDefault="00543B9E" w:rsidP="00543B9E">
            <w:pPr>
              <w:adjustRightInd w:val="0"/>
              <w:snapToGrid w:val="0"/>
              <w:jc w:val="center"/>
              <w:rPr>
                <w:snapToGrid w:val="0"/>
              </w:rPr>
            </w:pPr>
            <w:r w:rsidRPr="00543B9E">
              <w:rPr>
                <w:snapToGrid w:val="0"/>
              </w:rPr>
              <w:t>参数</w:t>
            </w:r>
          </w:p>
        </w:tc>
        <w:tc>
          <w:tcPr>
            <w:tcW w:w="1646" w:type="pct"/>
            <w:vAlign w:val="center"/>
          </w:tcPr>
          <w:p w14:paraId="7DE89B9B" w14:textId="77777777" w:rsidR="00543B9E" w:rsidRPr="00543B9E" w:rsidRDefault="00543B9E" w:rsidP="00543B9E">
            <w:pPr>
              <w:adjustRightInd w:val="0"/>
              <w:snapToGrid w:val="0"/>
              <w:jc w:val="center"/>
              <w:rPr>
                <w:snapToGrid w:val="0"/>
              </w:rPr>
            </w:pPr>
            <w:r w:rsidRPr="00543B9E">
              <w:rPr>
                <w:snapToGrid w:val="0"/>
              </w:rPr>
              <w:t>取值</w:t>
            </w:r>
          </w:p>
        </w:tc>
      </w:tr>
      <w:tr w:rsidR="00543B9E" w:rsidRPr="00543B9E" w14:paraId="6888E91C" w14:textId="77777777" w:rsidTr="0088707D">
        <w:trPr>
          <w:trHeight w:val="397"/>
        </w:trPr>
        <w:tc>
          <w:tcPr>
            <w:tcW w:w="1645" w:type="pct"/>
            <w:vMerge w:val="restart"/>
            <w:vAlign w:val="center"/>
          </w:tcPr>
          <w:p w14:paraId="12F07899" w14:textId="77777777" w:rsidR="00543B9E" w:rsidRPr="00543B9E" w:rsidRDefault="00543B9E" w:rsidP="00543B9E">
            <w:pPr>
              <w:adjustRightInd w:val="0"/>
              <w:snapToGrid w:val="0"/>
              <w:jc w:val="center"/>
              <w:rPr>
                <w:sz w:val="18"/>
                <w:szCs w:val="18"/>
              </w:rPr>
            </w:pPr>
            <w:r w:rsidRPr="00543B9E">
              <w:rPr>
                <w:snapToGrid w:val="0"/>
              </w:rPr>
              <w:t>城市</w:t>
            </w:r>
            <w:r w:rsidRPr="00543B9E">
              <w:rPr>
                <w:snapToGrid w:val="0"/>
              </w:rPr>
              <w:t>/</w:t>
            </w:r>
            <w:r w:rsidRPr="00543B9E">
              <w:rPr>
                <w:snapToGrid w:val="0"/>
              </w:rPr>
              <w:t>农村选项</w:t>
            </w:r>
          </w:p>
        </w:tc>
        <w:tc>
          <w:tcPr>
            <w:tcW w:w="1709" w:type="pct"/>
            <w:vAlign w:val="center"/>
          </w:tcPr>
          <w:p w14:paraId="2E4F47D2" w14:textId="77777777" w:rsidR="00543B9E" w:rsidRPr="00543B9E" w:rsidRDefault="00543B9E" w:rsidP="00543B9E">
            <w:pPr>
              <w:adjustRightInd w:val="0"/>
              <w:snapToGrid w:val="0"/>
              <w:jc w:val="center"/>
              <w:rPr>
                <w:snapToGrid w:val="0"/>
              </w:rPr>
            </w:pPr>
            <w:r w:rsidRPr="00543B9E">
              <w:rPr>
                <w:snapToGrid w:val="0"/>
              </w:rPr>
              <w:t>城市</w:t>
            </w:r>
            <w:r w:rsidRPr="00543B9E">
              <w:rPr>
                <w:snapToGrid w:val="0"/>
              </w:rPr>
              <w:t>/</w:t>
            </w:r>
            <w:r w:rsidRPr="00543B9E">
              <w:rPr>
                <w:snapToGrid w:val="0"/>
              </w:rPr>
              <w:t>农村</w:t>
            </w:r>
          </w:p>
        </w:tc>
        <w:tc>
          <w:tcPr>
            <w:tcW w:w="1646" w:type="pct"/>
            <w:vAlign w:val="center"/>
          </w:tcPr>
          <w:p w14:paraId="32830CA5" w14:textId="77777777" w:rsidR="00543B9E" w:rsidRPr="00543B9E" w:rsidRDefault="00543B9E" w:rsidP="00543B9E">
            <w:pPr>
              <w:jc w:val="center"/>
              <w:rPr>
                <w:snapToGrid w:val="0"/>
              </w:rPr>
            </w:pPr>
            <w:r w:rsidRPr="00543B9E">
              <w:rPr>
                <w:snapToGrid w:val="0"/>
              </w:rPr>
              <w:t>农村</w:t>
            </w:r>
          </w:p>
        </w:tc>
      </w:tr>
      <w:tr w:rsidR="00543B9E" w:rsidRPr="00543B9E" w14:paraId="5FAEA936" w14:textId="77777777" w:rsidTr="0088707D">
        <w:trPr>
          <w:trHeight w:val="397"/>
        </w:trPr>
        <w:tc>
          <w:tcPr>
            <w:tcW w:w="1645" w:type="pct"/>
            <w:vMerge/>
            <w:vAlign w:val="center"/>
          </w:tcPr>
          <w:p w14:paraId="6763C8D6" w14:textId="77777777" w:rsidR="00543B9E" w:rsidRPr="00543B9E" w:rsidRDefault="00543B9E" w:rsidP="00543B9E">
            <w:pPr>
              <w:widowControl/>
              <w:spacing w:line="360" w:lineRule="auto"/>
              <w:ind w:firstLineChars="200" w:firstLine="360"/>
              <w:jc w:val="left"/>
              <w:rPr>
                <w:sz w:val="18"/>
                <w:szCs w:val="18"/>
              </w:rPr>
            </w:pPr>
          </w:p>
        </w:tc>
        <w:tc>
          <w:tcPr>
            <w:tcW w:w="1709" w:type="pct"/>
            <w:vAlign w:val="center"/>
          </w:tcPr>
          <w:p w14:paraId="7A1CA8A2" w14:textId="77777777" w:rsidR="00543B9E" w:rsidRPr="00543B9E" w:rsidRDefault="00543B9E" w:rsidP="00543B9E">
            <w:pPr>
              <w:adjustRightInd w:val="0"/>
              <w:snapToGrid w:val="0"/>
              <w:jc w:val="center"/>
              <w:rPr>
                <w:snapToGrid w:val="0"/>
              </w:rPr>
            </w:pPr>
            <w:r w:rsidRPr="00543B9E">
              <w:rPr>
                <w:snapToGrid w:val="0"/>
              </w:rPr>
              <w:t>人口数（城市选项时）</w:t>
            </w:r>
          </w:p>
        </w:tc>
        <w:tc>
          <w:tcPr>
            <w:tcW w:w="1646" w:type="pct"/>
            <w:vAlign w:val="center"/>
          </w:tcPr>
          <w:p w14:paraId="387E4876" w14:textId="77777777" w:rsidR="00543B9E" w:rsidRPr="00543B9E" w:rsidRDefault="00543B9E" w:rsidP="00543B9E">
            <w:pPr>
              <w:jc w:val="center"/>
              <w:rPr>
                <w:snapToGrid w:val="0"/>
              </w:rPr>
            </w:pPr>
            <w:r w:rsidRPr="00543B9E">
              <w:rPr>
                <w:snapToGrid w:val="0"/>
              </w:rPr>
              <w:t>/</w:t>
            </w:r>
          </w:p>
        </w:tc>
      </w:tr>
      <w:tr w:rsidR="00543B9E" w:rsidRPr="00543B9E" w14:paraId="0603C2DD" w14:textId="77777777" w:rsidTr="0088707D">
        <w:trPr>
          <w:trHeight w:val="397"/>
        </w:trPr>
        <w:tc>
          <w:tcPr>
            <w:tcW w:w="3354" w:type="pct"/>
            <w:gridSpan w:val="2"/>
            <w:vAlign w:val="center"/>
          </w:tcPr>
          <w:p w14:paraId="4A9E6E5C" w14:textId="77777777" w:rsidR="00543B9E" w:rsidRPr="00543B9E" w:rsidRDefault="00543B9E" w:rsidP="00543B9E">
            <w:pPr>
              <w:adjustRightInd w:val="0"/>
              <w:snapToGrid w:val="0"/>
              <w:jc w:val="center"/>
              <w:rPr>
                <w:snapToGrid w:val="0"/>
              </w:rPr>
            </w:pPr>
            <w:r w:rsidRPr="00543B9E">
              <w:rPr>
                <w:snapToGrid w:val="0"/>
              </w:rPr>
              <w:t>最高环境温度</w:t>
            </w:r>
            <w:r w:rsidRPr="00543B9E">
              <w:rPr>
                <w:snapToGrid w:val="0"/>
              </w:rPr>
              <w:t>/℃</w:t>
            </w:r>
          </w:p>
        </w:tc>
        <w:tc>
          <w:tcPr>
            <w:tcW w:w="1646" w:type="pct"/>
            <w:vAlign w:val="center"/>
          </w:tcPr>
          <w:p w14:paraId="3AFC8EEC" w14:textId="77777777" w:rsidR="00543B9E" w:rsidRPr="00543B9E" w:rsidRDefault="00543B9E" w:rsidP="00543B9E">
            <w:pPr>
              <w:jc w:val="center"/>
              <w:rPr>
                <w:snapToGrid w:val="0"/>
              </w:rPr>
            </w:pPr>
            <w:r w:rsidRPr="00543B9E">
              <w:rPr>
                <w:snapToGrid w:val="0"/>
              </w:rPr>
              <w:t>38.8</w:t>
            </w:r>
          </w:p>
        </w:tc>
      </w:tr>
      <w:tr w:rsidR="00543B9E" w:rsidRPr="00543B9E" w14:paraId="69634A79" w14:textId="77777777" w:rsidTr="0088707D">
        <w:trPr>
          <w:trHeight w:val="397"/>
        </w:trPr>
        <w:tc>
          <w:tcPr>
            <w:tcW w:w="3354" w:type="pct"/>
            <w:gridSpan w:val="2"/>
            <w:vAlign w:val="center"/>
          </w:tcPr>
          <w:p w14:paraId="59574491" w14:textId="77777777" w:rsidR="00543B9E" w:rsidRPr="00543B9E" w:rsidRDefault="00543B9E" w:rsidP="00543B9E">
            <w:pPr>
              <w:adjustRightInd w:val="0"/>
              <w:snapToGrid w:val="0"/>
              <w:jc w:val="center"/>
              <w:rPr>
                <w:snapToGrid w:val="0"/>
              </w:rPr>
            </w:pPr>
            <w:r w:rsidRPr="00543B9E">
              <w:rPr>
                <w:snapToGrid w:val="0"/>
              </w:rPr>
              <w:t>最低环境温度</w:t>
            </w:r>
            <w:r w:rsidRPr="00543B9E">
              <w:rPr>
                <w:snapToGrid w:val="0"/>
              </w:rPr>
              <w:t>/℃</w:t>
            </w:r>
          </w:p>
        </w:tc>
        <w:tc>
          <w:tcPr>
            <w:tcW w:w="1646" w:type="pct"/>
            <w:vAlign w:val="center"/>
          </w:tcPr>
          <w:p w14:paraId="03EE55EE" w14:textId="77777777" w:rsidR="00543B9E" w:rsidRPr="00543B9E" w:rsidRDefault="00543B9E" w:rsidP="00543B9E">
            <w:pPr>
              <w:jc w:val="center"/>
              <w:rPr>
                <w:snapToGrid w:val="0"/>
              </w:rPr>
            </w:pPr>
            <w:r w:rsidRPr="00543B9E">
              <w:rPr>
                <w:snapToGrid w:val="0"/>
              </w:rPr>
              <w:t>-31.9</w:t>
            </w:r>
          </w:p>
        </w:tc>
      </w:tr>
      <w:tr w:rsidR="00543B9E" w:rsidRPr="00543B9E" w14:paraId="0A013584" w14:textId="77777777" w:rsidTr="0088707D">
        <w:trPr>
          <w:trHeight w:val="397"/>
        </w:trPr>
        <w:tc>
          <w:tcPr>
            <w:tcW w:w="3354" w:type="pct"/>
            <w:gridSpan w:val="2"/>
            <w:vAlign w:val="center"/>
          </w:tcPr>
          <w:p w14:paraId="212CFAF2" w14:textId="77777777" w:rsidR="00543B9E" w:rsidRPr="00543B9E" w:rsidRDefault="00543B9E" w:rsidP="00543B9E">
            <w:pPr>
              <w:adjustRightInd w:val="0"/>
              <w:snapToGrid w:val="0"/>
              <w:jc w:val="center"/>
              <w:rPr>
                <w:snapToGrid w:val="0"/>
              </w:rPr>
            </w:pPr>
            <w:r w:rsidRPr="00543B9E">
              <w:rPr>
                <w:snapToGrid w:val="0"/>
              </w:rPr>
              <w:t>土地利用类型</w:t>
            </w:r>
          </w:p>
        </w:tc>
        <w:tc>
          <w:tcPr>
            <w:tcW w:w="1646" w:type="pct"/>
            <w:vAlign w:val="center"/>
          </w:tcPr>
          <w:p w14:paraId="55A3DA79" w14:textId="77777777" w:rsidR="00543B9E" w:rsidRPr="00543B9E" w:rsidRDefault="00543B9E" w:rsidP="00543B9E">
            <w:pPr>
              <w:jc w:val="center"/>
              <w:rPr>
                <w:snapToGrid w:val="0"/>
              </w:rPr>
            </w:pPr>
            <w:r w:rsidRPr="00543B9E">
              <w:rPr>
                <w:snapToGrid w:val="0"/>
              </w:rPr>
              <w:t>农作地</w:t>
            </w:r>
          </w:p>
        </w:tc>
      </w:tr>
      <w:tr w:rsidR="00543B9E" w:rsidRPr="00543B9E" w14:paraId="16D2C579" w14:textId="77777777" w:rsidTr="0088707D">
        <w:trPr>
          <w:trHeight w:val="397"/>
        </w:trPr>
        <w:tc>
          <w:tcPr>
            <w:tcW w:w="3354" w:type="pct"/>
            <w:gridSpan w:val="2"/>
            <w:vAlign w:val="center"/>
          </w:tcPr>
          <w:p w14:paraId="6B6ECF75" w14:textId="77777777" w:rsidR="00543B9E" w:rsidRPr="00543B9E" w:rsidRDefault="00543B9E" w:rsidP="00543B9E">
            <w:pPr>
              <w:adjustRightInd w:val="0"/>
              <w:snapToGrid w:val="0"/>
              <w:jc w:val="center"/>
              <w:rPr>
                <w:snapToGrid w:val="0"/>
              </w:rPr>
            </w:pPr>
            <w:r w:rsidRPr="00543B9E">
              <w:rPr>
                <w:snapToGrid w:val="0"/>
              </w:rPr>
              <w:t>区域湿度条件</w:t>
            </w:r>
          </w:p>
        </w:tc>
        <w:tc>
          <w:tcPr>
            <w:tcW w:w="1646" w:type="pct"/>
            <w:vAlign w:val="center"/>
          </w:tcPr>
          <w:p w14:paraId="1519B8C9" w14:textId="77777777" w:rsidR="00543B9E" w:rsidRPr="00543B9E" w:rsidRDefault="00543B9E" w:rsidP="00543B9E">
            <w:pPr>
              <w:jc w:val="center"/>
              <w:rPr>
                <w:snapToGrid w:val="0"/>
              </w:rPr>
            </w:pPr>
            <w:r w:rsidRPr="00543B9E">
              <w:rPr>
                <w:snapToGrid w:val="0"/>
              </w:rPr>
              <w:t>中等湿度气候</w:t>
            </w:r>
          </w:p>
        </w:tc>
      </w:tr>
      <w:tr w:rsidR="00543B9E" w:rsidRPr="00543B9E" w14:paraId="4E797638" w14:textId="77777777" w:rsidTr="0088707D">
        <w:trPr>
          <w:trHeight w:val="397"/>
        </w:trPr>
        <w:tc>
          <w:tcPr>
            <w:tcW w:w="1645" w:type="pct"/>
            <w:vMerge w:val="restart"/>
            <w:vAlign w:val="center"/>
          </w:tcPr>
          <w:p w14:paraId="2EEE6D41" w14:textId="77777777" w:rsidR="00543B9E" w:rsidRPr="00543B9E" w:rsidRDefault="00543B9E" w:rsidP="00543B9E">
            <w:pPr>
              <w:adjustRightInd w:val="0"/>
              <w:snapToGrid w:val="0"/>
              <w:jc w:val="center"/>
              <w:rPr>
                <w:snapToGrid w:val="0"/>
              </w:rPr>
            </w:pPr>
            <w:r w:rsidRPr="00543B9E">
              <w:rPr>
                <w:snapToGrid w:val="0"/>
              </w:rPr>
              <w:t>是否考虑地形</w:t>
            </w:r>
          </w:p>
        </w:tc>
        <w:tc>
          <w:tcPr>
            <w:tcW w:w="1709" w:type="pct"/>
            <w:vAlign w:val="center"/>
          </w:tcPr>
          <w:p w14:paraId="0BE2163B" w14:textId="77777777" w:rsidR="00543B9E" w:rsidRPr="00543B9E" w:rsidRDefault="00543B9E" w:rsidP="00543B9E">
            <w:pPr>
              <w:adjustRightInd w:val="0"/>
              <w:snapToGrid w:val="0"/>
              <w:jc w:val="center"/>
              <w:rPr>
                <w:snapToGrid w:val="0"/>
              </w:rPr>
            </w:pPr>
            <w:r w:rsidRPr="00543B9E">
              <w:rPr>
                <w:snapToGrid w:val="0"/>
              </w:rPr>
              <w:t>考虑地形</w:t>
            </w:r>
          </w:p>
        </w:tc>
        <w:tc>
          <w:tcPr>
            <w:tcW w:w="1646" w:type="pct"/>
            <w:vAlign w:val="center"/>
          </w:tcPr>
          <w:p w14:paraId="7B7B9113" w14:textId="77777777" w:rsidR="00543B9E" w:rsidRPr="00543B9E" w:rsidRDefault="00543B9E" w:rsidP="00543B9E">
            <w:pPr>
              <w:adjustRightInd w:val="0"/>
              <w:snapToGrid w:val="0"/>
              <w:jc w:val="center"/>
              <w:rPr>
                <w:snapToGrid w:val="0"/>
              </w:rPr>
            </w:pPr>
            <w:r w:rsidRPr="00543B9E">
              <w:rPr>
                <w:snapToGrid w:val="0"/>
              </w:rPr>
              <w:t>是</w:t>
            </w:r>
          </w:p>
        </w:tc>
      </w:tr>
      <w:tr w:rsidR="00543B9E" w:rsidRPr="00543B9E" w14:paraId="75799DCA" w14:textId="77777777" w:rsidTr="0088707D">
        <w:trPr>
          <w:trHeight w:val="397"/>
        </w:trPr>
        <w:tc>
          <w:tcPr>
            <w:tcW w:w="1645" w:type="pct"/>
            <w:vMerge/>
            <w:vAlign w:val="center"/>
          </w:tcPr>
          <w:p w14:paraId="24B926F9" w14:textId="77777777" w:rsidR="00543B9E" w:rsidRPr="00543B9E" w:rsidRDefault="00543B9E" w:rsidP="00543B9E">
            <w:pPr>
              <w:adjustRightInd w:val="0"/>
              <w:snapToGrid w:val="0"/>
              <w:jc w:val="center"/>
              <w:rPr>
                <w:snapToGrid w:val="0"/>
              </w:rPr>
            </w:pPr>
          </w:p>
        </w:tc>
        <w:tc>
          <w:tcPr>
            <w:tcW w:w="1709" w:type="pct"/>
            <w:vAlign w:val="center"/>
          </w:tcPr>
          <w:p w14:paraId="6E18F61F" w14:textId="77777777" w:rsidR="00543B9E" w:rsidRPr="00543B9E" w:rsidRDefault="00543B9E" w:rsidP="00543B9E">
            <w:pPr>
              <w:adjustRightInd w:val="0"/>
              <w:snapToGrid w:val="0"/>
              <w:jc w:val="center"/>
              <w:rPr>
                <w:snapToGrid w:val="0"/>
              </w:rPr>
            </w:pPr>
            <w:r w:rsidRPr="00543B9E">
              <w:rPr>
                <w:snapToGrid w:val="0"/>
              </w:rPr>
              <w:t>地形数据分辨率</w:t>
            </w:r>
            <w:r w:rsidRPr="00543B9E">
              <w:rPr>
                <w:snapToGrid w:val="0"/>
              </w:rPr>
              <w:t>/m</w:t>
            </w:r>
          </w:p>
        </w:tc>
        <w:tc>
          <w:tcPr>
            <w:tcW w:w="1646" w:type="pct"/>
            <w:vAlign w:val="center"/>
          </w:tcPr>
          <w:p w14:paraId="4EA6F108" w14:textId="77777777" w:rsidR="00543B9E" w:rsidRPr="00543B9E" w:rsidRDefault="00543B9E" w:rsidP="00543B9E">
            <w:pPr>
              <w:adjustRightInd w:val="0"/>
              <w:snapToGrid w:val="0"/>
              <w:jc w:val="center"/>
              <w:rPr>
                <w:snapToGrid w:val="0"/>
              </w:rPr>
            </w:pPr>
            <w:r w:rsidRPr="00543B9E">
              <w:rPr>
                <w:snapToGrid w:val="0"/>
              </w:rPr>
              <w:t>90</w:t>
            </w:r>
          </w:p>
        </w:tc>
      </w:tr>
      <w:tr w:rsidR="00543B9E" w:rsidRPr="00543B9E" w14:paraId="5AC41A8E" w14:textId="77777777" w:rsidTr="0088707D">
        <w:trPr>
          <w:trHeight w:val="397"/>
        </w:trPr>
        <w:tc>
          <w:tcPr>
            <w:tcW w:w="1645" w:type="pct"/>
            <w:vMerge w:val="restart"/>
            <w:vAlign w:val="center"/>
          </w:tcPr>
          <w:p w14:paraId="55A73F13" w14:textId="77777777" w:rsidR="00543B9E" w:rsidRPr="00543B9E" w:rsidRDefault="00543B9E" w:rsidP="00543B9E">
            <w:pPr>
              <w:adjustRightInd w:val="0"/>
              <w:snapToGrid w:val="0"/>
              <w:jc w:val="center"/>
              <w:rPr>
                <w:snapToGrid w:val="0"/>
              </w:rPr>
            </w:pPr>
            <w:r w:rsidRPr="00543B9E">
              <w:rPr>
                <w:snapToGrid w:val="0"/>
              </w:rPr>
              <w:t>是否考虑岸线熏烟</w:t>
            </w:r>
          </w:p>
        </w:tc>
        <w:tc>
          <w:tcPr>
            <w:tcW w:w="1709" w:type="pct"/>
            <w:vAlign w:val="center"/>
          </w:tcPr>
          <w:p w14:paraId="0C2B9CF0" w14:textId="77777777" w:rsidR="00543B9E" w:rsidRPr="00543B9E" w:rsidRDefault="00543B9E" w:rsidP="00543B9E">
            <w:pPr>
              <w:adjustRightInd w:val="0"/>
              <w:snapToGrid w:val="0"/>
              <w:jc w:val="center"/>
              <w:rPr>
                <w:snapToGrid w:val="0"/>
              </w:rPr>
            </w:pPr>
            <w:r w:rsidRPr="00543B9E">
              <w:rPr>
                <w:snapToGrid w:val="0"/>
              </w:rPr>
              <w:t>考虑岸线熏烟</w:t>
            </w:r>
          </w:p>
        </w:tc>
        <w:tc>
          <w:tcPr>
            <w:tcW w:w="1646" w:type="pct"/>
            <w:vAlign w:val="center"/>
          </w:tcPr>
          <w:p w14:paraId="00305F49" w14:textId="77777777" w:rsidR="00543B9E" w:rsidRPr="00543B9E" w:rsidRDefault="00543B9E" w:rsidP="00543B9E">
            <w:pPr>
              <w:adjustRightInd w:val="0"/>
              <w:snapToGrid w:val="0"/>
              <w:jc w:val="center"/>
              <w:rPr>
                <w:snapToGrid w:val="0"/>
              </w:rPr>
            </w:pPr>
            <w:r w:rsidRPr="00543B9E">
              <w:rPr>
                <w:snapToGrid w:val="0"/>
              </w:rPr>
              <w:t>否</w:t>
            </w:r>
          </w:p>
        </w:tc>
      </w:tr>
      <w:tr w:rsidR="00543B9E" w:rsidRPr="00543B9E" w14:paraId="560C81C9" w14:textId="77777777" w:rsidTr="0088707D">
        <w:trPr>
          <w:trHeight w:val="397"/>
        </w:trPr>
        <w:tc>
          <w:tcPr>
            <w:tcW w:w="1645" w:type="pct"/>
            <w:vMerge/>
            <w:vAlign w:val="center"/>
          </w:tcPr>
          <w:p w14:paraId="303BABC8" w14:textId="77777777" w:rsidR="00543B9E" w:rsidRPr="00543B9E" w:rsidRDefault="00543B9E" w:rsidP="00543B9E">
            <w:pPr>
              <w:widowControl/>
              <w:spacing w:line="360" w:lineRule="auto"/>
              <w:ind w:firstLineChars="200" w:firstLine="360"/>
              <w:jc w:val="left"/>
              <w:rPr>
                <w:sz w:val="18"/>
                <w:szCs w:val="18"/>
              </w:rPr>
            </w:pPr>
          </w:p>
        </w:tc>
        <w:tc>
          <w:tcPr>
            <w:tcW w:w="1709" w:type="pct"/>
            <w:vAlign w:val="center"/>
          </w:tcPr>
          <w:p w14:paraId="7C39D29F" w14:textId="77777777" w:rsidR="00543B9E" w:rsidRPr="00543B9E" w:rsidRDefault="00543B9E" w:rsidP="00543B9E">
            <w:pPr>
              <w:adjustRightInd w:val="0"/>
              <w:snapToGrid w:val="0"/>
              <w:jc w:val="center"/>
              <w:rPr>
                <w:snapToGrid w:val="0"/>
              </w:rPr>
            </w:pPr>
            <w:r w:rsidRPr="00543B9E">
              <w:rPr>
                <w:snapToGrid w:val="0"/>
              </w:rPr>
              <w:t>岸线距离</w:t>
            </w:r>
            <w:r w:rsidRPr="00543B9E">
              <w:rPr>
                <w:snapToGrid w:val="0"/>
              </w:rPr>
              <w:t>/km</w:t>
            </w:r>
          </w:p>
        </w:tc>
        <w:tc>
          <w:tcPr>
            <w:tcW w:w="1646" w:type="pct"/>
            <w:vAlign w:val="center"/>
          </w:tcPr>
          <w:p w14:paraId="51521C17" w14:textId="77777777" w:rsidR="00543B9E" w:rsidRPr="00543B9E" w:rsidRDefault="00543B9E" w:rsidP="00543B9E">
            <w:pPr>
              <w:adjustRightInd w:val="0"/>
              <w:snapToGrid w:val="0"/>
              <w:jc w:val="center"/>
              <w:rPr>
                <w:snapToGrid w:val="0"/>
              </w:rPr>
            </w:pPr>
            <w:r w:rsidRPr="00543B9E">
              <w:rPr>
                <w:snapToGrid w:val="0"/>
              </w:rPr>
              <w:t>/</w:t>
            </w:r>
          </w:p>
        </w:tc>
      </w:tr>
      <w:tr w:rsidR="00543B9E" w:rsidRPr="00543B9E" w14:paraId="048A3CC1" w14:textId="77777777" w:rsidTr="0088707D">
        <w:trPr>
          <w:trHeight w:val="397"/>
        </w:trPr>
        <w:tc>
          <w:tcPr>
            <w:tcW w:w="1645" w:type="pct"/>
            <w:vMerge/>
            <w:vAlign w:val="center"/>
          </w:tcPr>
          <w:p w14:paraId="38DBD748" w14:textId="77777777" w:rsidR="00543B9E" w:rsidRPr="00543B9E" w:rsidRDefault="00543B9E" w:rsidP="00543B9E">
            <w:pPr>
              <w:widowControl/>
              <w:spacing w:line="360" w:lineRule="auto"/>
              <w:ind w:firstLineChars="200" w:firstLine="360"/>
              <w:jc w:val="left"/>
              <w:rPr>
                <w:sz w:val="18"/>
                <w:szCs w:val="18"/>
              </w:rPr>
            </w:pPr>
          </w:p>
        </w:tc>
        <w:tc>
          <w:tcPr>
            <w:tcW w:w="1709" w:type="pct"/>
            <w:vAlign w:val="center"/>
          </w:tcPr>
          <w:p w14:paraId="64DEC822" w14:textId="77777777" w:rsidR="00543B9E" w:rsidRPr="00543B9E" w:rsidRDefault="00543B9E" w:rsidP="00543B9E">
            <w:pPr>
              <w:adjustRightInd w:val="0"/>
              <w:snapToGrid w:val="0"/>
              <w:jc w:val="center"/>
              <w:rPr>
                <w:snapToGrid w:val="0"/>
              </w:rPr>
            </w:pPr>
            <w:r w:rsidRPr="00543B9E">
              <w:rPr>
                <w:snapToGrid w:val="0"/>
              </w:rPr>
              <w:t>岸线方向</w:t>
            </w:r>
            <w:r w:rsidRPr="00543B9E">
              <w:rPr>
                <w:snapToGrid w:val="0"/>
              </w:rPr>
              <w:t>/°</w:t>
            </w:r>
          </w:p>
        </w:tc>
        <w:tc>
          <w:tcPr>
            <w:tcW w:w="1646" w:type="pct"/>
            <w:vAlign w:val="center"/>
          </w:tcPr>
          <w:p w14:paraId="51B0BE88" w14:textId="77777777" w:rsidR="00543B9E" w:rsidRPr="00543B9E" w:rsidRDefault="00543B9E" w:rsidP="00543B9E">
            <w:pPr>
              <w:adjustRightInd w:val="0"/>
              <w:snapToGrid w:val="0"/>
              <w:jc w:val="center"/>
              <w:rPr>
                <w:snapToGrid w:val="0"/>
              </w:rPr>
            </w:pPr>
            <w:r w:rsidRPr="00543B9E">
              <w:rPr>
                <w:snapToGrid w:val="0"/>
              </w:rPr>
              <w:t>/</w:t>
            </w:r>
          </w:p>
        </w:tc>
      </w:tr>
    </w:tbl>
    <w:p w14:paraId="46496751" w14:textId="77777777" w:rsidR="00543B9E" w:rsidRPr="00543B9E" w:rsidRDefault="00543B9E" w:rsidP="00543B9E">
      <w:pPr>
        <w:snapToGrid w:val="0"/>
        <w:spacing w:line="480" w:lineRule="exact"/>
        <w:ind w:firstLineChars="200" w:firstLine="480"/>
        <w:jc w:val="left"/>
        <w:rPr>
          <w:kern w:val="0"/>
          <w:sz w:val="24"/>
          <w:szCs w:val="24"/>
        </w:rPr>
      </w:pPr>
      <w:r w:rsidRPr="00543B9E">
        <w:rPr>
          <w:kern w:val="0"/>
          <w:sz w:val="24"/>
          <w:szCs w:val="24"/>
        </w:rPr>
        <w:t>估算模型参数选取如下：</w:t>
      </w:r>
    </w:p>
    <w:p w14:paraId="090D78E7" w14:textId="0E737BE0" w:rsidR="00543B9E" w:rsidRPr="00543B9E" w:rsidRDefault="00375EE2" w:rsidP="00543B9E">
      <w:pPr>
        <w:snapToGrid w:val="0"/>
        <w:spacing w:line="480" w:lineRule="exact"/>
        <w:ind w:firstLineChars="200" w:firstLine="480"/>
        <w:jc w:val="left"/>
        <w:rPr>
          <w:kern w:val="0"/>
          <w:sz w:val="24"/>
          <w:szCs w:val="24"/>
        </w:rPr>
      </w:pPr>
      <w:r>
        <w:rPr>
          <w:rFonts w:hint="eastAsia"/>
          <w:kern w:val="0"/>
          <w:sz w:val="24"/>
          <w:szCs w:val="24"/>
        </w:rPr>
        <w:t>①</w:t>
      </w:r>
      <w:r w:rsidR="00543B9E" w:rsidRPr="00543B9E">
        <w:rPr>
          <w:kern w:val="0"/>
          <w:sz w:val="24"/>
          <w:szCs w:val="24"/>
        </w:rPr>
        <w:t>根据《环境影响评价技术导则</w:t>
      </w:r>
      <w:r w:rsidR="00543B9E" w:rsidRPr="00543B9E">
        <w:rPr>
          <w:kern w:val="0"/>
          <w:sz w:val="24"/>
          <w:szCs w:val="24"/>
        </w:rPr>
        <w:t xml:space="preserve"> </w:t>
      </w:r>
      <w:r w:rsidR="00543B9E" w:rsidRPr="00543B9E">
        <w:rPr>
          <w:kern w:val="0"/>
          <w:sz w:val="24"/>
          <w:szCs w:val="24"/>
        </w:rPr>
        <w:t>大气环境》</w:t>
      </w:r>
      <w:r w:rsidR="00543B9E" w:rsidRPr="00543B9E">
        <w:rPr>
          <w:kern w:val="0"/>
          <w:sz w:val="24"/>
          <w:szCs w:val="24"/>
        </w:rPr>
        <w:t>(HJ2.2-2018)</w:t>
      </w:r>
      <w:r w:rsidR="00543B9E" w:rsidRPr="00543B9E">
        <w:rPr>
          <w:kern w:val="0"/>
          <w:sz w:val="24"/>
          <w:szCs w:val="24"/>
        </w:rPr>
        <w:t>附录</w:t>
      </w:r>
      <w:r w:rsidR="00543B9E" w:rsidRPr="00543B9E">
        <w:rPr>
          <w:kern w:val="0"/>
          <w:sz w:val="24"/>
          <w:szCs w:val="24"/>
        </w:rPr>
        <w:t>B</w:t>
      </w:r>
      <w:r w:rsidR="00543B9E" w:rsidRPr="00543B9E">
        <w:rPr>
          <w:kern w:val="0"/>
          <w:sz w:val="24"/>
          <w:szCs w:val="24"/>
        </w:rPr>
        <w:t>的</w:t>
      </w:r>
      <w:r w:rsidR="00543B9E" w:rsidRPr="00543B9E">
        <w:rPr>
          <w:kern w:val="0"/>
          <w:sz w:val="24"/>
          <w:szCs w:val="24"/>
        </w:rPr>
        <w:t>B.6.1</w:t>
      </w:r>
      <w:r w:rsidR="00543B9E" w:rsidRPr="00543B9E">
        <w:rPr>
          <w:kern w:val="0"/>
          <w:sz w:val="24"/>
          <w:szCs w:val="24"/>
        </w:rPr>
        <w:t>城市</w:t>
      </w:r>
      <w:r w:rsidR="00543B9E" w:rsidRPr="00543B9E">
        <w:rPr>
          <w:kern w:val="0"/>
          <w:sz w:val="24"/>
          <w:szCs w:val="24"/>
        </w:rPr>
        <w:t>/</w:t>
      </w:r>
      <w:r w:rsidR="00543B9E" w:rsidRPr="00543B9E">
        <w:rPr>
          <w:kern w:val="0"/>
          <w:sz w:val="24"/>
          <w:szCs w:val="24"/>
        </w:rPr>
        <w:t>农村选项，</w:t>
      </w:r>
      <w:r w:rsidR="00543B9E" w:rsidRPr="00543B9E">
        <w:rPr>
          <w:kern w:val="0"/>
          <w:sz w:val="24"/>
          <w:szCs w:val="24"/>
        </w:rPr>
        <w:t>“</w:t>
      </w:r>
      <w:r w:rsidR="00543B9E" w:rsidRPr="00543B9E">
        <w:rPr>
          <w:kern w:val="0"/>
          <w:sz w:val="24"/>
          <w:szCs w:val="24"/>
        </w:rPr>
        <w:t>当项目周边</w:t>
      </w:r>
      <w:r w:rsidR="00543B9E" w:rsidRPr="00543B9E">
        <w:rPr>
          <w:kern w:val="0"/>
          <w:sz w:val="24"/>
          <w:szCs w:val="24"/>
        </w:rPr>
        <w:t>3km</w:t>
      </w:r>
      <w:r w:rsidR="00543B9E" w:rsidRPr="00543B9E">
        <w:rPr>
          <w:kern w:val="0"/>
          <w:sz w:val="24"/>
          <w:szCs w:val="24"/>
        </w:rPr>
        <w:t>半径范围内一半以上属于城市建成区或者规划区时选择城市，否则选择农村</w:t>
      </w:r>
      <w:r w:rsidR="00543B9E" w:rsidRPr="00543B9E">
        <w:rPr>
          <w:kern w:val="0"/>
          <w:sz w:val="24"/>
          <w:szCs w:val="24"/>
        </w:rPr>
        <w:t>”</w:t>
      </w:r>
      <w:r w:rsidR="00543B9E" w:rsidRPr="00543B9E">
        <w:rPr>
          <w:kern w:val="0"/>
          <w:sz w:val="24"/>
          <w:szCs w:val="24"/>
        </w:rPr>
        <w:t>。根据本次评价对厂址周边</w:t>
      </w:r>
      <w:r w:rsidR="00543B9E" w:rsidRPr="00543B9E">
        <w:rPr>
          <w:kern w:val="0"/>
          <w:sz w:val="24"/>
          <w:szCs w:val="24"/>
        </w:rPr>
        <w:t>3km</w:t>
      </w:r>
      <w:r w:rsidR="00543B9E" w:rsidRPr="00543B9E">
        <w:rPr>
          <w:kern w:val="0"/>
          <w:sz w:val="24"/>
          <w:szCs w:val="24"/>
        </w:rPr>
        <w:t>半径范围内的用地性质调查结</w:t>
      </w:r>
      <w:r w:rsidR="00543B9E" w:rsidRPr="00543B9E">
        <w:rPr>
          <w:kern w:val="0"/>
          <w:sz w:val="24"/>
          <w:szCs w:val="24"/>
        </w:rPr>
        <w:lastRenderedPageBreak/>
        <w:t>果可知，本次评价选取农村选项。</w:t>
      </w:r>
    </w:p>
    <w:p w14:paraId="64E3EDAA" w14:textId="4EAAD451" w:rsidR="00543B9E" w:rsidRPr="00543B9E" w:rsidRDefault="00375EE2" w:rsidP="00543B9E">
      <w:pPr>
        <w:snapToGrid w:val="0"/>
        <w:spacing w:line="480" w:lineRule="exact"/>
        <w:ind w:firstLineChars="200" w:firstLine="480"/>
        <w:jc w:val="left"/>
        <w:rPr>
          <w:kern w:val="0"/>
          <w:sz w:val="24"/>
          <w:szCs w:val="24"/>
        </w:rPr>
      </w:pPr>
      <w:r>
        <w:rPr>
          <w:rFonts w:hint="eastAsia"/>
          <w:kern w:val="0"/>
          <w:sz w:val="24"/>
          <w:szCs w:val="24"/>
        </w:rPr>
        <w:t>②</w:t>
      </w:r>
      <w:r w:rsidR="00543B9E" w:rsidRPr="00543B9E">
        <w:rPr>
          <w:kern w:val="0"/>
          <w:sz w:val="24"/>
          <w:szCs w:val="24"/>
        </w:rPr>
        <w:t>环境温度取值来源于大庆市气象站（</w:t>
      </w:r>
      <w:r w:rsidR="00543B9E" w:rsidRPr="00543B9E">
        <w:rPr>
          <w:kern w:val="0"/>
          <w:sz w:val="24"/>
          <w:szCs w:val="24"/>
        </w:rPr>
        <w:t>50850</w:t>
      </w:r>
      <w:r w:rsidR="00543B9E" w:rsidRPr="00543B9E">
        <w:rPr>
          <w:kern w:val="0"/>
          <w:sz w:val="24"/>
          <w:szCs w:val="24"/>
        </w:rPr>
        <w:t>）近二十年气象数据统计。</w:t>
      </w:r>
    </w:p>
    <w:p w14:paraId="172171FF" w14:textId="3AD2B78B" w:rsidR="00543B9E" w:rsidRPr="00543B9E" w:rsidRDefault="00375EE2" w:rsidP="00543B9E">
      <w:pPr>
        <w:snapToGrid w:val="0"/>
        <w:spacing w:line="480" w:lineRule="exact"/>
        <w:ind w:firstLineChars="200" w:firstLine="480"/>
        <w:jc w:val="left"/>
        <w:rPr>
          <w:kern w:val="0"/>
          <w:sz w:val="24"/>
          <w:szCs w:val="24"/>
        </w:rPr>
      </w:pPr>
      <w:r>
        <w:rPr>
          <w:rFonts w:hint="eastAsia"/>
          <w:kern w:val="0"/>
          <w:sz w:val="24"/>
          <w:szCs w:val="24"/>
        </w:rPr>
        <w:t>③</w:t>
      </w:r>
      <w:r w:rsidR="00543B9E" w:rsidRPr="00543B9E">
        <w:rPr>
          <w:kern w:val="0"/>
          <w:sz w:val="24"/>
          <w:szCs w:val="24"/>
        </w:rPr>
        <w:t>根据《环境影响评价技术导则</w:t>
      </w:r>
      <w:r w:rsidR="00543B9E" w:rsidRPr="00543B9E">
        <w:rPr>
          <w:kern w:val="0"/>
          <w:sz w:val="24"/>
          <w:szCs w:val="24"/>
        </w:rPr>
        <w:t xml:space="preserve"> </w:t>
      </w:r>
      <w:r w:rsidR="00543B9E" w:rsidRPr="00543B9E">
        <w:rPr>
          <w:kern w:val="0"/>
          <w:sz w:val="24"/>
          <w:szCs w:val="24"/>
        </w:rPr>
        <w:t>大气环境》</w:t>
      </w:r>
      <w:r w:rsidR="00543B9E" w:rsidRPr="00543B9E">
        <w:rPr>
          <w:kern w:val="0"/>
          <w:sz w:val="24"/>
          <w:szCs w:val="24"/>
        </w:rPr>
        <w:t>(HJ2.2-2018)</w:t>
      </w:r>
      <w:r w:rsidR="00543B9E" w:rsidRPr="00543B9E">
        <w:rPr>
          <w:kern w:val="0"/>
          <w:sz w:val="24"/>
          <w:szCs w:val="24"/>
        </w:rPr>
        <w:t>附录</w:t>
      </w:r>
      <w:r w:rsidR="00543B9E" w:rsidRPr="00543B9E">
        <w:rPr>
          <w:kern w:val="0"/>
          <w:sz w:val="24"/>
          <w:szCs w:val="24"/>
        </w:rPr>
        <w:t>B</w:t>
      </w:r>
      <w:r w:rsidR="00543B9E" w:rsidRPr="00543B9E">
        <w:rPr>
          <w:kern w:val="0"/>
          <w:sz w:val="24"/>
          <w:szCs w:val="24"/>
        </w:rPr>
        <w:t>的</w:t>
      </w:r>
      <w:r w:rsidR="00543B9E" w:rsidRPr="00543B9E">
        <w:rPr>
          <w:kern w:val="0"/>
          <w:sz w:val="24"/>
          <w:szCs w:val="24"/>
        </w:rPr>
        <w:t>B.5</w:t>
      </w:r>
      <w:r w:rsidR="00543B9E" w:rsidRPr="00543B9E">
        <w:rPr>
          <w:kern w:val="0"/>
          <w:sz w:val="24"/>
          <w:szCs w:val="24"/>
        </w:rPr>
        <w:t>地表参数，</w:t>
      </w:r>
      <w:r w:rsidR="00543B9E" w:rsidRPr="00543B9E">
        <w:rPr>
          <w:kern w:val="0"/>
          <w:sz w:val="24"/>
          <w:szCs w:val="24"/>
        </w:rPr>
        <w:t>AERMOD</w:t>
      </w:r>
      <w:r w:rsidR="00543B9E" w:rsidRPr="00543B9E">
        <w:rPr>
          <w:kern w:val="0"/>
          <w:sz w:val="24"/>
          <w:szCs w:val="24"/>
        </w:rPr>
        <w:t>地表参数一般根据项目周边</w:t>
      </w:r>
      <w:r w:rsidR="00543B9E" w:rsidRPr="00543B9E">
        <w:rPr>
          <w:kern w:val="0"/>
          <w:sz w:val="24"/>
          <w:szCs w:val="24"/>
        </w:rPr>
        <w:t>3km</w:t>
      </w:r>
      <w:r w:rsidR="00543B9E" w:rsidRPr="00543B9E">
        <w:rPr>
          <w:kern w:val="0"/>
          <w:sz w:val="24"/>
          <w:szCs w:val="24"/>
        </w:rPr>
        <w:t>范围内的土地利用类型进行合理划分，本项目周边</w:t>
      </w:r>
      <w:r w:rsidR="00543B9E" w:rsidRPr="00543B9E">
        <w:rPr>
          <w:kern w:val="0"/>
          <w:sz w:val="24"/>
          <w:szCs w:val="24"/>
        </w:rPr>
        <w:t>3km</w:t>
      </w:r>
      <w:r w:rsidR="00543B9E" w:rsidRPr="00543B9E">
        <w:rPr>
          <w:kern w:val="0"/>
          <w:sz w:val="24"/>
          <w:szCs w:val="24"/>
        </w:rPr>
        <w:t>范围内的土地利用类型为农用地，本次评价的土地利用利类型选取农作地。</w:t>
      </w:r>
    </w:p>
    <w:p w14:paraId="791EF1F0" w14:textId="3F26E061" w:rsidR="00543B9E" w:rsidRPr="00543B9E" w:rsidRDefault="00375EE2" w:rsidP="00543B9E">
      <w:pPr>
        <w:snapToGrid w:val="0"/>
        <w:spacing w:line="480" w:lineRule="exact"/>
        <w:ind w:firstLineChars="200" w:firstLine="480"/>
        <w:jc w:val="left"/>
        <w:rPr>
          <w:kern w:val="0"/>
          <w:sz w:val="24"/>
          <w:szCs w:val="24"/>
        </w:rPr>
      </w:pPr>
      <w:r>
        <w:rPr>
          <w:rFonts w:hint="eastAsia"/>
          <w:kern w:val="0"/>
          <w:sz w:val="24"/>
          <w:szCs w:val="24"/>
        </w:rPr>
        <w:t>④</w:t>
      </w:r>
      <w:r w:rsidR="00543B9E" w:rsidRPr="00543B9E">
        <w:rPr>
          <w:kern w:val="0"/>
          <w:sz w:val="24"/>
          <w:szCs w:val="24"/>
        </w:rPr>
        <w:t>区域湿度条件根据中国干湿度分布图判断，大庆市地区属于中等湿度气候。</w:t>
      </w:r>
    </w:p>
    <w:p w14:paraId="33348E22" w14:textId="6FAB9024" w:rsidR="00543B9E" w:rsidRPr="00543B9E" w:rsidRDefault="00375EE2" w:rsidP="00543B9E">
      <w:pPr>
        <w:snapToGrid w:val="0"/>
        <w:spacing w:line="480" w:lineRule="exact"/>
        <w:ind w:firstLineChars="200" w:firstLine="480"/>
        <w:jc w:val="left"/>
        <w:rPr>
          <w:kern w:val="0"/>
          <w:sz w:val="24"/>
          <w:szCs w:val="24"/>
        </w:rPr>
      </w:pPr>
      <w:r>
        <w:rPr>
          <w:rFonts w:hint="eastAsia"/>
          <w:kern w:val="0"/>
          <w:sz w:val="24"/>
          <w:szCs w:val="24"/>
        </w:rPr>
        <w:t>⑤</w:t>
      </w:r>
      <w:r w:rsidR="00543B9E" w:rsidRPr="00543B9E">
        <w:rPr>
          <w:kern w:val="0"/>
          <w:sz w:val="24"/>
          <w:szCs w:val="24"/>
        </w:rPr>
        <w:t>根据《环境影响评价技术导则</w:t>
      </w:r>
      <w:r w:rsidR="00543B9E" w:rsidRPr="00543B9E">
        <w:rPr>
          <w:kern w:val="0"/>
          <w:sz w:val="24"/>
          <w:szCs w:val="24"/>
        </w:rPr>
        <w:t xml:space="preserve">  </w:t>
      </w:r>
      <w:r w:rsidR="00543B9E" w:rsidRPr="00543B9E">
        <w:rPr>
          <w:kern w:val="0"/>
          <w:sz w:val="24"/>
          <w:szCs w:val="24"/>
        </w:rPr>
        <w:t>大气环境》</w:t>
      </w:r>
      <w:r w:rsidR="00543B9E" w:rsidRPr="00543B9E">
        <w:rPr>
          <w:kern w:val="0"/>
          <w:sz w:val="24"/>
          <w:szCs w:val="24"/>
        </w:rPr>
        <w:t>(HJ2.2-2018)</w:t>
      </w:r>
      <w:r w:rsidR="00543B9E" w:rsidRPr="00543B9E">
        <w:rPr>
          <w:kern w:val="0"/>
          <w:sz w:val="24"/>
          <w:szCs w:val="24"/>
        </w:rPr>
        <w:t>附录</w:t>
      </w:r>
      <w:r w:rsidR="00543B9E" w:rsidRPr="00543B9E">
        <w:rPr>
          <w:kern w:val="0"/>
          <w:sz w:val="24"/>
          <w:szCs w:val="24"/>
        </w:rPr>
        <w:t>B</w:t>
      </w:r>
      <w:r w:rsidR="00543B9E" w:rsidRPr="00543B9E">
        <w:rPr>
          <w:kern w:val="0"/>
          <w:sz w:val="24"/>
          <w:szCs w:val="24"/>
        </w:rPr>
        <w:t>的</w:t>
      </w:r>
      <w:r w:rsidR="00543B9E" w:rsidRPr="00543B9E">
        <w:rPr>
          <w:kern w:val="0"/>
          <w:sz w:val="24"/>
          <w:szCs w:val="24"/>
        </w:rPr>
        <w:t>B.4</w:t>
      </w:r>
      <w:r w:rsidR="00543B9E" w:rsidRPr="00543B9E">
        <w:rPr>
          <w:kern w:val="0"/>
          <w:sz w:val="24"/>
          <w:szCs w:val="24"/>
        </w:rPr>
        <w:t>地形数据可知，原始地形数据分辨率不得小于</w:t>
      </w:r>
      <w:r w:rsidR="00543B9E" w:rsidRPr="00543B9E">
        <w:rPr>
          <w:kern w:val="0"/>
          <w:sz w:val="24"/>
          <w:szCs w:val="24"/>
        </w:rPr>
        <w:t>90m</w:t>
      </w:r>
      <w:r w:rsidR="00543B9E" w:rsidRPr="00543B9E">
        <w:rPr>
          <w:kern w:val="0"/>
          <w:sz w:val="24"/>
          <w:szCs w:val="24"/>
        </w:rPr>
        <w:t>，根据</w:t>
      </w:r>
      <w:r w:rsidR="00543B9E" w:rsidRPr="00543B9E">
        <w:rPr>
          <w:kern w:val="0"/>
          <w:sz w:val="24"/>
          <w:szCs w:val="24"/>
        </w:rPr>
        <w:t>EIA2018</w:t>
      </w:r>
      <w:r w:rsidR="00543B9E" w:rsidRPr="00543B9E">
        <w:rPr>
          <w:kern w:val="0"/>
          <w:sz w:val="24"/>
          <w:szCs w:val="24"/>
        </w:rPr>
        <w:t>大气预测软件的</w:t>
      </w:r>
      <w:r w:rsidR="00543B9E" w:rsidRPr="00543B9E">
        <w:rPr>
          <w:kern w:val="0"/>
          <w:sz w:val="24"/>
          <w:szCs w:val="24"/>
        </w:rPr>
        <w:t>DEM</w:t>
      </w:r>
      <w:r w:rsidR="00543B9E" w:rsidRPr="00543B9E">
        <w:rPr>
          <w:kern w:val="0"/>
          <w:sz w:val="24"/>
          <w:szCs w:val="24"/>
        </w:rPr>
        <w:t>地形文件，本项目地形数据分辨率为</w:t>
      </w:r>
      <w:r w:rsidR="00543B9E" w:rsidRPr="00543B9E">
        <w:rPr>
          <w:kern w:val="0"/>
          <w:sz w:val="24"/>
          <w:szCs w:val="24"/>
        </w:rPr>
        <w:t>90m</w:t>
      </w:r>
      <w:r w:rsidR="00543B9E" w:rsidRPr="00543B9E">
        <w:rPr>
          <w:kern w:val="0"/>
          <w:sz w:val="24"/>
          <w:szCs w:val="24"/>
        </w:rPr>
        <w:t>。</w:t>
      </w:r>
    </w:p>
    <w:p w14:paraId="4ED70C81" w14:textId="1A2849CB" w:rsidR="00606029" w:rsidRDefault="00375EE2" w:rsidP="003A0BA6">
      <w:pPr>
        <w:snapToGrid w:val="0"/>
        <w:spacing w:line="480" w:lineRule="exact"/>
        <w:ind w:firstLineChars="200" w:firstLine="480"/>
        <w:jc w:val="left"/>
        <w:rPr>
          <w:kern w:val="0"/>
          <w:sz w:val="24"/>
          <w:szCs w:val="24"/>
        </w:rPr>
      </w:pPr>
      <w:r>
        <w:rPr>
          <w:rFonts w:hint="eastAsia"/>
          <w:kern w:val="0"/>
          <w:sz w:val="24"/>
          <w:szCs w:val="24"/>
        </w:rPr>
        <w:t>（</w:t>
      </w:r>
      <w:r>
        <w:rPr>
          <w:rFonts w:hint="eastAsia"/>
          <w:kern w:val="0"/>
          <w:sz w:val="24"/>
          <w:szCs w:val="24"/>
        </w:rPr>
        <w:t>3</w:t>
      </w:r>
      <w:r>
        <w:rPr>
          <w:rFonts w:hint="eastAsia"/>
          <w:kern w:val="0"/>
          <w:sz w:val="24"/>
          <w:szCs w:val="24"/>
        </w:rPr>
        <w:t>）</w:t>
      </w:r>
      <w:r w:rsidR="00EA5B92">
        <w:rPr>
          <w:kern w:val="0"/>
          <w:sz w:val="24"/>
          <w:szCs w:val="24"/>
        </w:rPr>
        <w:t>预测结果</w:t>
      </w:r>
    </w:p>
    <w:p w14:paraId="5A7AF768" w14:textId="75C42BE6" w:rsidR="00606029" w:rsidRPr="003A0BA6" w:rsidRDefault="003A0BA6" w:rsidP="003A0BA6">
      <w:pPr>
        <w:snapToGrid w:val="0"/>
        <w:spacing w:line="480" w:lineRule="exact"/>
        <w:ind w:firstLineChars="200" w:firstLine="480"/>
        <w:jc w:val="left"/>
        <w:rPr>
          <w:kern w:val="0"/>
          <w:sz w:val="24"/>
          <w:szCs w:val="24"/>
        </w:rPr>
      </w:pPr>
      <w:r>
        <w:rPr>
          <w:rFonts w:hint="eastAsia"/>
          <w:kern w:val="0"/>
          <w:sz w:val="24"/>
          <w:szCs w:val="24"/>
        </w:rPr>
        <w:t>本项目</w:t>
      </w:r>
      <w:r w:rsidR="00EA5B92" w:rsidRPr="003A0BA6">
        <w:rPr>
          <w:kern w:val="0"/>
          <w:sz w:val="24"/>
          <w:szCs w:val="24"/>
        </w:rPr>
        <w:t>污染源正常排放时预测结果统计</w:t>
      </w:r>
      <w:r>
        <w:rPr>
          <w:rFonts w:hint="eastAsia"/>
          <w:kern w:val="0"/>
          <w:sz w:val="24"/>
          <w:szCs w:val="24"/>
        </w:rPr>
        <w:t>见下表。</w:t>
      </w:r>
    </w:p>
    <w:p w14:paraId="3A7240F3" w14:textId="6A88E74E" w:rsidR="00606029" w:rsidRDefault="00EA5B92">
      <w:pPr>
        <w:pStyle w:val="affffff5"/>
      </w:pPr>
      <w:r>
        <w:t>表</w:t>
      </w:r>
      <w:r>
        <w:rPr>
          <w:color w:val="000000"/>
          <w:kern w:val="0"/>
          <w:lang w:bidi="ar"/>
        </w:rPr>
        <w:t>6.2</w:t>
      </w:r>
      <w:r w:rsidR="00754BC6">
        <w:rPr>
          <w:rFonts w:hint="eastAsia"/>
          <w:color w:val="000000"/>
          <w:kern w:val="0"/>
          <w:lang w:bidi="ar"/>
        </w:rPr>
        <w:t>-1</w:t>
      </w:r>
      <w:r w:rsidR="004F102D">
        <w:rPr>
          <w:rFonts w:hint="eastAsia"/>
          <w:color w:val="000000"/>
          <w:kern w:val="0"/>
          <w:lang w:bidi="ar"/>
        </w:rPr>
        <w:t>3</w:t>
      </w:r>
      <w:r>
        <w:t xml:space="preserve">  </w:t>
      </w:r>
      <w:r>
        <w:t>污染源正常排放预测结果统计表</w:t>
      </w:r>
    </w:p>
    <w:tbl>
      <w:tblPr>
        <w:tblW w:w="49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bottom w:w="28" w:type="dxa"/>
        </w:tblCellMar>
        <w:tblLook w:val="04A0" w:firstRow="1" w:lastRow="0" w:firstColumn="1" w:lastColumn="0" w:noHBand="0" w:noVBand="1"/>
      </w:tblPr>
      <w:tblGrid>
        <w:gridCol w:w="1833"/>
        <w:gridCol w:w="1504"/>
        <w:gridCol w:w="1368"/>
        <w:gridCol w:w="1652"/>
        <w:gridCol w:w="2468"/>
      </w:tblGrid>
      <w:tr w:rsidR="00606029" w14:paraId="723B1A0B" w14:textId="77777777" w:rsidTr="003A0BA6">
        <w:trPr>
          <w:trHeight w:val="57"/>
          <w:jc w:val="center"/>
        </w:trPr>
        <w:tc>
          <w:tcPr>
            <w:tcW w:w="1833" w:type="dxa"/>
            <w:tcBorders>
              <w:tl2br w:val="nil"/>
              <w:tr2bl w:val="nil"/>
            </w:tcBorders>
            <w:vAlign w:val="center"/>
          </w:tcPr>
          <w:p w14:paraId="4C3280E5" w14:textId="77777777" w:rsidR="00606029" w:rsidRDefault="00EA5B92">
            <w:pPr>
              <w:spacing w:line="280" w:lineRule="exact"/>
              <w:jc w:val="center"/>
            </w:pPr>
            <w:r>
              <w:t>污染源</w:t>
            </w:r>
          </w:p>
        </w:tc>
        <w:tc>
          <w:tcPr>
            <w:tcW w:w="1504" w:type="dxa"/>
            <w:tcBorders>
              <w:tl2br w:val="nil"/>
              <w:tr2bl w:val="nil"/>
            </w:tcBorders>
            <w:vAlign w:val="center"/>
          </w:tcPr>
          <w:p w14:paraId="4887AA22" w14:textId="77777777" w:rsidR="00606029" w:rsidRDefault="00EA5B92">
            <w:pPr>
              <w:spacing w:line="280" w:lineRule="exact"/>
              <w:jc w:val="center"/>
            </w:pPr>
            <w:r>
              <w:t>污染物</w:t>
            </w:r>
          </w:p>
          <w:p w14:paraId="1796A522" w14:textId="77777777" w:rsidR="00606029" w:rsidRDefault="00EA5B92">
            <w:pPr>
              <w:spacing w:line="280" w:lineRule="exact"/>
              <w:jc w:val="center"/>
            </w:pPr>
            <w:r>
              <w:t>名称</w:t>
            </w:r>
          </w:p>
        </w:tc>
        <w:tc>
          <w:tcPr>
            <w:tcW w:w="1368" w:type="dxa"/>
            <w:tcBorders>
              <w:tl2br w:val="nil"/>
              <w:tr2bl w:val="nil"/>
            </w:tcBorders>
            <w:vAlign w:val="center"/>
          </w:tcPr>
          <w:p w14:paraId="0949C779" w14:textId="77777777" w:rsidR="00606029" w:rsidRDefault="00EA5B92">
            <w:pPr>
              <w:spacing w:line="280" w:lineRule="exact"/>
              <w:jc w:val="center"/>
            </w:pPr>
            <w:r>
              <w:t>最大占标率（</w:t>
            </w:r>
            <w:r>
              <w:t>%</w:t>
            </w:r>
            <w:r>
              <w:t>）</w:t>
            </w:r>
          </w:p>
        </w:tc>
        <w:tc>
          <w:tcPr>
            <w:tcW w:w="1652" w:type="dxa"/>
            <w:tcBorders>
              <w:tl2br w:val="nil"/>
              <w:tr2bl w:val="nil"/>
            </w:tcBorders>
            <w:vAlign w:val="center"/>
          </w:tcPr>
          <w:p w14:paraId="6E761052" w14:textId="77777777" w:rsidR="00606029" w:rsidRDefault="00EA5B92">
            <w:pPr>
              <w:spacing w:line="280" w:lineRule="exact"/>
              <w:jc w:val="center"/>
            </w:pPr>
            <w:r>
              <w:t>最大落地浓度（</w:t>
            </w:r>
            <w:r>
              <w:t>mg/m</w:t>
            </w:r>
            <w:r>
              <w:rPr>
                <w:vertAlign w:val="superscript"/>
              </w:rPr>
              <w:t>3</w:t>
            </w:r>
            <w:r>
              <w:t>）</w:t>
            </w:r>
          </w:p>
        </w:tc>
        <w:tc>
          <w:tcPr>
            <w:tcW w:w="2468" w:type="dxa"/>
            <w:tcBorders>
              <w:tl2br w:val="nil"/>
              <w:tr2bl w:val="nil"/>
            </w:tcBorders>
            <w:vAlign w:val="center"/>
          </w:tcPr>
          <w:p w14:paraId="425D0FCD" w14:textId="77777777" w:rsidR="00606029" w:rsidRDefault="00EA5B92">
            <w:pPr>
              <w:spacing w:line="280" w:lineRule="exact"/>
              <w:jc w:val="center"/>
            </w:pPr>
            <w:r>
              <w:t>最大落地浓度对应距离</w:t>
            </w:r>
          </w:p>
          <w:p w14:paraId="0734089D" w14:textId="77777777" w:rsidR="00606029" w:rsidRDefault="00EA5B92">
            <w:pPr>
              <w:spacing w:line="280" w:lineRule="exact"/>
              <w:jc w:val="center"/>
            </w:pPr>
            <w:r>
              <w:t>（下风向</w:t>
            </w:r>
            <w:r>
              <w:t>m</w:t>
            </w:r>
            <w:r>
              <w:t>）</w:t>
            </w:r>
          </w:p>
        </w:tc>
      </w:tr>
      <w:tr w:rsidR="00606029" w14:paraId="642ADCF4" w14:textId="77777777" w:rsidTr="003A0BA6">
        <w:trPr>
          <w:trHeight w:val="57"/>
          <w:jc w:val="center"/>
        </w:trPr>
        <w:tc>
          <w:tcPr>
            <w:tcW w:w="1833" w:type="dxa"/>
            <w:tcBorders>
              <w:tl2br w:val="nil"/>
              <w:tr2bl w:val="nil"/>
            </w:tcBorders>
            <w:vAlign w:val="center"/>
          </w:tcPr>
          <w:p w14:paraId="6062FBE0" w14:textId="77777777" w:rsidR="00606029" w:rsidRDefault="00EA5B92">
            <w:pPr>
              <w:spacing w:line="280" w:lineRule="exact"/>
              <w:jc w:val="center"/>
            </w:pPr>
            <w:r>
              <w:t>项目区域</w:t>
            </w:r>
          </w:p>
        </w:tc>
        <w:tc>
          <w:tcPr>
            <w:tcW w:w="1504" w:type="dxa"/>
            <w:tcBorders>
              <w:tl2br w:val="nil"/>
              <w:tr2bl w:val="nil"/>
            </w:tcBorders>
            <w:vAlign w:val="center"/>
          </w:tcPr>
          <w:p w14:paraId="50659F29" w14:textId="7F0F2C70" w:rsidR="00606029" w:rsidRDefault="003A0BA6">
            <w:pPr>
              <w:spacing w:line="280" w:lineRule="exact"/>
              <w:jc w:val="center"/>
            </w:pPr>
            <w:r>
              <w:rPr>
                <w:rFonts w:hint="eastAsia"/>
              </w:rPr>
              <w:t>TSP</w:t>
            </w:r>
          </w:p>
        </w:tc>
        <w:tc>
          <w:tcPr>
            <w:tcW w:w="1368" w:type="dxa"/>
            <w:tcBorders>
              <w:tl2br w:val="nil"/>
              <w:tr2bl w:val="nil"/>
            </w:tcBorders>
            <w:vAlign w:val="center"/>
          </w:tcPr>
          <w:p w14:paraId="6597B91D" w14:textId="77777777" w:rsidR="00606029" w:rsidRDefault="00EA5B92">
            <w:pPr>
              <w:spacing w:line="280" w:lineRule="exact"/>
              <w:jc w:val="center"/>
            </w:pPr>
            <w:r>
              <w:t>0.17</w:t>
            </w:r>
          </w:p>
        </w:tc>
        <w:tc>
          <w:tcPr>
            <w:tcW w:w="1652" w:type="dxa"/>
            <w:tcBorders>
              <w:tl2br w:val="nil"/>
              <w:tr2bl w:val="nil"/>
            </w:tcBorders>
            <w:vAlign w:val="center"/>
          </w:tcPr>
          <w:p w14:paraId="08A589D8" w14:textId="77777777" w:rsidR="00606029" w:rsidRDefault="00EA5B92">
            <w:pPr>
              <w:spacing w:line="280" w:lineRule="exact"/>
              <w:jc w:val="center"/>
            </w:pPr>
            <w:r>
              <w:t>0.14</w:t>
            </w:r>
          </w:p>
        </w:tc>
        <w:tc>
          <w:tcPr>
            <w:tcW w:w="2468" w:type="dxa"/>
            <w:tcBorders>
              <w:tl2br w:val="nil"/>
              <w:tr2bl w:val="nil"/>
            </w:tcBorders>
            <w:vAlign w:val="center"/>
          </w:tcPr>
          <w:p w14:paraId="51A5E40E" w14:textId="77777777" w:rsidR="00606029" w:rsidRDefault="00EA5B92">
            <w:pPr>
              <w:spacing w:line="280" w:lineRule="exact"/>
              <w:jc w:val="center"/>
            </w:pPr>
            <w:r>
              <w:t>1874</w:t>
            </w:r>
          </w:p>
        </w:tc>
      </w:tr>
    </w:tbl>
    <w:p w14:paraId="6456393D" w14:textId="49E6CDF4" w:rsidR="00606029" w:rsidRDefault="00EA5B92">
      <w:pPr>
        <w:spacing w:beforeLines="50" w:before="120" w:line="360" w:lineRule="auto"/>
        <w:ind w:firstLineChars="200" w:firstLine="480"/>
        <w:rPr>
          <w:bCs/>
          <w:sz w:val="24"/>
          <w:szCs w:val="24"/>
        </w:rPr>
      </w:pPr>
      <w:r>
        <w:rPr>
          <w:bCs/>
          <w:sz w:val="24"/>
          <w:szCs w:val="24"/>
        </w:rPr>
        <w:t>由上表估算模式预测结果可知本项目正常情况下无组织排放的</w:t>
      </w:r>
      <w:r w:rsidR="003A0BA6">
        <w:rPr>
          <w:rFonts w:hint="eastAsia"/>
          <w:bCs/>
          <w:sz w:val="24"/>
          <w:szCs w:val="24"/>
        </w:rPr>
        <w:t>TSP</w:t>
      </w:r>
      <w:r>
        <w:rPr>
          <w:bCs/>
          <w:sz w:val="24"/>
          <w:szCs w:val="24"/>
        </w:rPr>
        <w:t>占标率</w:t>
      </w:r>
      <w:r w:rsidR="003A0BA6">
        <w:rPr>
          <w:rFonts w:hint="eastAsia"/>
          <w:bCs/>
          <w:sz w:val="24"/>
          <w:szCs w:val="24"/>
        </w:rPr>
        <w:t>为</w:t>
      </w:r>
      <w:r w:rsidR="00256054">
        <w:rPr>
          <w:bCs/>
          <w:sz w:val="24"/>
          <w:szCs w:val="24"/>
        </w:rPr>
        <w:t>0.21%</w:t>
      </w:r>
      <w:r>
        <w:rPr>
          <w:bCs/>
          <w:sz w:val="24"/>
          <w:szCs w:val="24"/>
        </w:rPr>
        <w:t>，小于</w:t>
      </w:r>
      <w:r>
        <w:rPr>
          <w:bCs/>
          <w:sz w:val="24"/>
          <w:szCs w:val="24"/>
        </w:rPr>
        <w:t>1%</w:t>
      </w:r>
      <w:r>
        <w:rPr>
          <w:bCs/>
          <w:sz w:val="24"/>
          <w:szCs w:val="24"/>
        </w:rPr>
        <w:t>。根据导则评价等级判断要求，本项目大气环境影响为三级评价，不进行进一步预测，只对污染物排放量进行核算。</w:t>
      </w:r>
    </w:p>
    <w:p w14:paraId="4B7BD3E7" w14:textId="77777777" w:rsidR="00606029" w:rsidRDefault="00EA5B92">
      <w:pPr>
        <w:pStyle w:val="4"/>
        <w:adjustRightInd/>
        <w:snapToGrid/>
        <w:spacing w:beforeLines="50" w:before="120"/>
      </w:pPr>
      <w:r>
        <w:t>6.2.1.3</w:t>
      </w:r>
      <w:r>
        <w:t>大气污染物排放量核算</w:t>
      </w:r>
    </w:p>
    <w:p w14:paraId="687D25B9" w14:textId="77777777" w:rsidR="00606029" w:rsidRDefault="00EA5B92">
      <w:pPr>
        <w:spacing w:line="360" w:lineRule="auto"/>
        <w:ind w:firstLineChars="200" w:firstLine="480"/>
        <w:rPr>
          <w:sz w:val="24"/>
          <w:szCs w:val="24"/>
        </w:rPr>
      </w:pPr>
      <w:r>
        <w:rPr>
          <w:sz w:val="24"/>
          <w:szCs w:val="24"/>
        </w:rPr>
        <w:t>按《环境影响评价技术导则</w:t>
      </w:r>
      <w:r>
        <w:rPr>
          <w:sz w:val="24"/>
          <w:szCs w:val="24"/>
        </w:rPr>
        <w:t xml:space="preserve"> </w:t>
      </w:r>
      <w:r>
        <w:rPr>
          <w:sz w:val="24"/>
          <w:szCs w:val="24"/>
        </w:rPr>
        <w:t>大气环境》（</w:t>
      </w:r>
      <w:r>
        <w:rPr>
          <w:sz w:val="24"/>
          <w:szCs w:val="24"/>
        </w:rPr>
        <w:t>HJ2.2-2018</w:t>
      </w:r>
      <w:r>
        <w:rPr>
          <w:sz w:val="24"/>
          <w:szCs w:val="24"/>
        </w:rPr>
        <w:t>）</w:t>
      </w:r>
      <w:r>
        <w:rPr>
          <w:sz w:val="24"/>
          <w:szCs w:val="24"/>
        </w:rPr>
        <w:t>8.8.7</w:t>
      </w:r>
      <w:r>
        <w:rPr>
          <w:sz w:val="24"/>
          <w:szCs w:val="24"/>
        </w:rPr>
        <w:t>污染物排放量核算包括本项目的新增污染源。包括项目各有组织排放源和无组织排放源在正常排放条件下预测排放量之和。</w:t>
      </w:r>
    </w:p>
    <w:p w14:paraId="241D1E20" w14:textId="29F7C035" w:rsidR="00606029" w:rsidRDefault="00EA5B92">
      <w:pPr>
        <w:tabs>
          <w:tab w:val="left" w:pos="0"/>
        </w:tabs>
        <w:spacing w:before="49"/>
        <w:ind w:firstLine="400"/>
        <w:jc w:val="center"/>
        <w:rPr>
          <w:b/>
        </w:rPr>
      </w:pPr>
      <w:r>
        <w:rPr>
          <w:b/>
        </w:rPr>
        <w:t>表</w:t>
      </w:r>
      <w:r>
        <w:rPr>
          <w:b/>
          <w:bCs/>
          <w:color w:val="000000"/>
          <w:kern w:val="0"/>
          <w:lang w:bidi="ar"/>
        </w:rPr>
        <w:t>6.2</w:t>
      </w:r>
      <w:r w:rsidR="00754BC6">
        <w:rPr>
          <w:rFonts w:hint="eastAsia"/>
          <w:b/>
          <w:bCs/>
          <w:color w:val="000000"/>
          <w:kern w:val="0"/>
          <w:lang w:bidi="ar"/>
        </w:rPr>
        <w:t>-1</w:t>
      </w:r>
      <w:r w:rsidR="004F102D">
        <w:rPr>
          <w:rFonts w:hint="eastAsia"/>
          <w:b/>
          <w:bCs/>
          <w:color w:val="000000"/>
          <w:kern w:val="0"/>
          <w:lang w:bidi="ar"/>
        </w:rPr>
        <w:t>4</w:t>
      </w:r>
      <w:r>
        <w:rPr>
          <w:b/>
        </w:rPr>
        <w:t xml:space="preserve">  </w:t>
      </w:r>
      <w:r>
        <w:rPr>
          <w:b/>
        </w:rPr>
        <w:t>大气污染物无组织排放量核算表</w:t>
      </w:r>
    </w:p>
    <w:tbl>
      <w:tblPr>
        <w:tblW w:w="4998" w:type="pct"/>
        <w:jc w:val="center"/>
        <w:tblBorders>
          <w:top w:val="single" w:sz="4" w:space="0" w:color="auto"/>
          <w:left w:val="single" w:sz="4" w:space="0" w:color="auto"/>
          <w:bottom w:val="single" w:sz="4" w:space="0" w:color="auto"/>
          <w:right w:val="single" w:sz="4" w:space="0" w:color="auto"/>
          <w:insideH w:val="single" w:sz="4" w:space="0" w:color="000000"/>
          <w:insideV w:val="single" w:sz="4" w:space="0" w:color="000000"/>
        </w:tblBorders>
        <w:tblLayout w:type="fixed"/>
        <w:tblLook w:val="04A0" w:firstRow="1" w:lastRow="0" w:firstColumn="1" w:lastColumn="0" w:noHBand="0" w:noVBand="1"/>
      </w:tblPr>
      <w:tblGrid>
        <w:gridCol w:w="703"/>
        <w:gridCol w:w="710"/>
        <w:gridCol w:w="794"/>
        <w:gridCol w:w="1396"/>
        <w:gridCol w:w="999"/>
        <w:gridCol w:w="2114"/>
        <w:gridCol w:w="1113"/>
        <w:gridCol w:w="1001"/>
      </w:tblGrid>
      <w:tr w:rsidR="00606029" w14:paraId="76B5A565" w14:textId="77777777">
        <w:trPr>
          <w:trHeight w:val="340"/>
          <w:jc w:val="center"/>
        </w:trPr>
        <w:tc>
          <w:tcPr>
            <w:tcW w:w="745" w:type="dxa"/>
            <w:vMerge w:val="restart"/>
            <w:tcBorders>
              <w:top w:val="single" w:sz="4" w:space="0" w:color="auto"/>
              <w:left w:val="single" w:sz="4" w:space="0" w:color="auto"/>
              <w:bottom w:val="single" w:sz="4" w:space="0" w:color="000000"/>
              <w:right w:val="single" w:sz="4" w:space="0" w:color="000000"/>
              <w:tl2br w:val="nil"/>
              <w:tr2bl w:val="nil"/>
            </w:tcBorders>
            <w:vAlign w:val="center"/>
          </w:tcPr>
          <w:p w14:paraId="0C196508" w14:textId="77777777" w:rsidR="00606029" w:rsidRDefault="00EA5B92">
            <w:pPr>
              <w:spacing w:line="280" w:lineRule="exact"/>
              <w:jc w:val="center"/>
            </w:pPr>
            <w:r>
              <w:t>序号</w:t>
            </w:r>
          </w:p>
        </w:tc>
        <w:tc>
          <w:tcPr>
            <w:tcW w:w="753" w:type="dxa"/>
            <w:vMerge w:val="restart"/>
            <w:tcBorders>
              <w:top w:val="single" w:sz="4" w:space="0" w:color="auto"/>
              <w:left w:val="single" w:sz="4" w:space="0" w:color="000000"/>
              <w:bottom w:val="single" w:sz="4" w:space="0" w:color="000000"/>
              <w:right w:val="single" w:sz="4" w:space="0" w:color="000000"/>
              <w:tl2br w:val="nil"/>
              <w:tr2bl w:val="nil"/>
            </w:tcBorders>
            <w:vAlign w:val="center"/>
          </w:tcPr>
          <w:p w14:paraId="4545883F" w14:textId="77777777" w:rsidR="00606029" w:rsidRDefault="00EA5B92">
            <w:pPr>
              <w:spacing w:line="280" w:lineRule="exact"/>
              <w:jc w:val="center"/>
            </w:pPr>
            <w:r>
              <w:t>排放口编号</w:t>
            </w:r>
          </w:p>
        </w:tc>
        <w:tc>
          <w:tcPr>
            <w:tcW w:w="844" w:type="dxa"/>
            <w:vMerge w:val="restart"/>
            <w:tcBorders>
              <w:top w:val="single" w:sz="4" w:space="0" w:color="auto"/>
              <w:left w:val="single" w:sz="4" w:space="0" w:color="000000"/>
              <w:bottom w:val="single" w:sz="4" w:space="0" w:color="000000"/>
              <w:right w:val="single" w:sz="4" w:space="0" w:color="000000"/>
              <w:tl2br w:val="nil"/>
              <w:tr2bl w:val="nil"/>
            </w:tcBorders>
            <w:vAlign w:val="center"/>
          </w:tcPr>
          <w:p w14:paraId="1788B666" w14:textId="77777777" w:rsidR="00606029" w:rsidRDefault="00EA5B92">
            <w:pPr>
              <w:spacing w:line="280" w:lineRule="exact"/>
              <w:jc w:val="center"/>
            </w:pPr>
            <w:r>
              <w:t>产污环节</w:t>
            </w:r>
          </w:p>
        </w:tc>
        <w:tc>
          <w:tcPr>
            <w:tcW w:w="1500" w:type="dxa"/>
            <w:vMerge w:val="restart"/>
            <w:tcBorders>
              <w:top w:val="single" w:sz="4" w:space="0" w:color="auto"/>
              <w:left w:val="single" w:sz="4" w:space="0" w:color="000000"/>
              <w:bottom w:val="single" w:sz="4" w:space="0" w:color="000000"/>
              <w:right w:val="single" w:sz="4" w:space="0" w:color="000000"/>
              <w:tl2br w:val="nil"/>
              <w:tr2bl w:val="nil"/>
            </w:tcBorders>
            <w:vAlign w:val="center"/>
          </w:tcPr>
          <w:p w14:paraId="72CA34E7" w14:textId="77777777" w:rsidR="00606029" w:rsidRDefault="00EA5B92">
            <w:pPr>
              <w:spacing w:line="280" w:lineRule="exact"/>
              <w:jc w:val="center"/>
            </w:pPr>
            <w:r>
              <w:t>污染物</w:t>
            </w:r>
          </w:p>
        </w:tc>
        <w:tc>
          <w:tcPr>
            <w:tcW w:w="1068" w:type="dxa"/>
            <w:vMerge w:val="restart"/>
            <w:tcBorders>
              <w:top w:val="single" w:sz="4" w:space="0" w:color="auto"/>
              <w:left w:val="single" w:sz="4" w:space="0" w:color="000000"/>
              <w:bottom w:val="single" w:sz="4" w:space="0" w:color="000000"/>
              <w:right w:val="single" w:sz="4" w:space="0" w:color="000000"/>
              <w:tl2br w:val="nil"/>
              <w:tr2bl w:val="nil"/>
            </w:tcBorders>
            <w:vAlign w:val="center"/>
          </w:tcPr>
          <w:p w14:paraId="525C778E" w14:textId="77777777" w:rsidR="00606029" w:rsidRDefault="00EA5B92">
            <w:pPr>
              <w:spacing w:line="280" w:lineRule="exact"/>
              <w:jc w:val="center"/>
            </w:pPr>
            <w:r>
              <w:t>主要污染防治措施</w:t>
            </w:r>
          </w:p>
        </w:tc>
        <w:tc>
          <w:tcPr>
            <w:tcW w:w="3475" w:type="dxa"/>
            <w:gridSpan w:val="2"/>
            <w:tcBorders>
              <w:top w:val="single" w:sz="4" w:space="0" w:color="auto"/>
              <w:left w:val="single" w:sz="4" w:space="0" w:color="000000"/>
              <w:bottom w:val="single" w:sz="4" w:space="0" w:color="000000"/>
              <w:right w:val="single" w:sz="4" w:space="0" w:color="000000"/>
              <w:tl2br w:val="nil"/>
              <w:tr2bl w:val="nil"/>
            </w:tcBorders>
            <w:vAlign w:val="center"/>
          </w:tcPr>
          <w:p w14:paraId="40636352" w14:textId="77777777" w:rsidR="00606029" w:rsidRDefault="00EA5B92">
            <w:pPr>
              <w:spacing w:line="280" w:lineRule="exact"/>
              <w:jc w:val="center"/>
            </w:pPr>
            <w:r>
              <w:t>国家或地方污染物排放标准</w:t>
            </w:r>
          </w:p>
        </w:tc>
        <w:tc>
          <w:tcPr>
            <w:tcW w:w="1070" w:type="dxa"/>
            <w:vMerge w:val="restart"/>
            <w:tcBorders>
              <w:top w:val="single" w:sz="4" w:space="0" w:color="auto"/>
              <w:left w:val="single" w:sz="4" w:space="0" w:color="000000"/>
              <w:bottom w:val="single" w:sz="4" w:space="0" w:color="000000"/>
              <w:right w:val="single" w:sz="4" w:space="0" w:color="auto"/>
              <w:tl2br w:val="nil"/>
              <w:tr2bl w:val="nil"/>
            </w:tcBorders>
            <w:vAlign w:val="center"/>
          </w:tcPr>
          <w:p w14:paraId="3FE6075F" w14:textId="77777777" w:rsidR="00606029" w:rsidRDefault="00EA5B92">
            <w:pPr>
              <w:spacing w:line="280" w:lineRule="exact"/>
              <w:jc w:val="center"/>
            </w:pPr>
            <w:r>
              <w:t>年排放量</w:t>
            </w:r>
            <w:r>
              <w:t>/</w:t>
            </w:r>
            <w:r>
              <w:t>（</w:t>
            </w:r>
            <w:r>
              <w:t>t/a</w:t>
            </w:r>
            <w:r>
              <w:t>）</w:t>
            </w:r>
          </w:p>
        </w:tc>
      </w:tr>
      <w:tr w:rsidR="00606029" w14:paraId="0FF786D1" w14:textId="77777777">
        <w:trPr>
          <w:trHeight w:val="340"/>
          <w:jc w:val="center"/>
        </w:trPr>
        <w:tc>
          <w:tcPr>
            <w:tcW w:w="745" w:type="dxa"/>
            <w:vMerge/>
            <w:tcBorders>
              <w:top w:val="single" w:sz="4" w:space="0" w:color="000000"/>
              <w:left w:val="single" w:sz="4" w:space="0" w:color="auto"/>
              <w:bottom w:val="single" w:sz="4" w:space="0" w:color="000000"/>
              <w:right w:val="single" w:sz="4" w:space="0" w:color="000000"/>
              <w:tl2br w:val="nil"/>
              <w:tr2bl w:val="nil"/>
            </w:tcBorders>
            <w:vAlign w:val="center"/>
          </w:tcPr>
          <w:p w14:paraId="31970462" w14:textId="77777777" w:rsidR="00606029" w:rsidRDefault="00606029">
            <w:pPr>
              <w:spacing w:line="280" w:lineRule="exact"/>
              <w:jc w:val="center"/>
            </w:pPr>
          </w:p>
        </w:tc>
        <w:tc>
          <w:tcPr>
            <w:tcW w:w="753" w:type="dxa"/>
            <w:vMerge/>
            <w:tcBorders>
              <w:top w:val="single" w:sz="4" w:space="0" w:color="000000"/>
              <w:left w:val="single" w:sz="4" w:space="0" w:color="000000"/>
              <w:bottom w:val="single" w:sz="4" w:space="0" w:color="000000"/>
              <w:right w:val="single" w:sz="4" w:space="0" w:color="000000"/>
              <w:tl2br w:val="nil"/>
              <w:tr2bl w:val="nil"/>
            </w:tcBorders>
            <w:vAlign w:val="center"/>
          </w:tcPr>
          <w:p w14:paraId="099004A3" w14:textId="77777777" w:rsidR="00606029" w:rsidRDefault="00606029">
            <w:pPr>
              <w:spacing w:line="280" w:lineRule="exact"/>
              <w:jc w:val="center"/>
            </w:pPr>
          </w:p>
        </w:tc>
        <w:tc>
          <w:tcPr>
            <w:tcW w:w="844" w:type="dxa"/>
            <w:vMerge/>
            <w:tcBorders>
              <w:top w:val="single" w:sz="4" w:space="0" w:color="000000"/>
              <w:left w:val="single" w:sz="4" w:space="0" w:color="000000"/>
              <w:bottom w:val="single" w:sz="4" w:space="0" w:color="000000"/>
              <w:right w:val="single" w:sz="4" w:space="0" w:color="000000"/>
              <w:tl2br w:val="nil"/>
              <w:tr2bl w:val="nil"/>
            </w:tcBorders>
            <w:vAlign w:val="center"/>
          </w:tcPr>
          <w:p w14:paraId="750E9D4E" w14:textId="77777777" w:rsidR="00606029" w:rsidRDefault="00606029">
            <w:pPr>
              <w:spacing w:line="280" w:lineRule="exact"/>
              <w:jc w:val="center"/>
            </w:pPr>
          </w:p>
        </w:tc>
        <w:tc>
          <w:tcPr>
            <w:tcW w:w="1500" w:type="dxa"/>
            <w:vMerge/>
            <w:tcBorders>
              <w:top w:val="single" w:sz="4" w:space="0" w:color="000000"/>
              <w:left w:val="single" w:sz="4" w:space="0" w:color="000000"/>
              <w:bottom w:val="single" w:sz="4" w:space="0" w:color="000000"/>
              <w:right w:val="single" w:sz="4" w:space="0" w:color="000000"/>
              <w:tl2br w:val="nil"/>
              <w:tr2bl w:val="nil"/>
            </w:tcBorders>
            <w:vAlign w:val="center"/>
          </w:tcPr>
          <w:p w14:paraId="4CB5AD1A" w14:textId="77777777" w:rsidR="00606029" w:rsidRDefault="00606029">
            <w:pPr>
              <w:spacing w:line="280" w:lineRule="exact"/>
              <w:jc w:val="center"/>
            </w:pPr>
          </w:p>
        </w:tc>
        <w:tc>
          <w:tcPr>
            <w:tcW w:w="1068" w:type="dxa"/>
            <w:vMerge/>
            <w:tcBorders>
              <w:top w:val="single" w:sz="4" w:space="0" w:color="000000"/>
              <w:left w:val="single" w:sz="4" w:space="0" w:color="000000"/>
              <w:bottom w:val="single" w:sz="4" w:space="0" w:color="000000"/>
              <w:right w:val="single" w:sz="4" w:space="0" w:color="000000"/>
              <w:tl2br w:val="nil"/>
              <w:tr2bl w:val="nil"/>
            </w:tcBorders>
            <w:vAlign w:val="center"/>
          </w:tcPr>
          <w:p w14:paraId="70BE8A58" w14:textId="77777777" w:rsidR="00606029" w:rsidRDefault="00606029">
            <w:pPr>
              <w:spacing w:line="280" w:lineRule="exact"/>
              <w:jc w:val="center"/>
            </w:pPr>
          </w:p>
        </w:tc>
        <w:tc>
          <w:tcPr>
            <w:tcW w:w="2283" w:type="dxa"/>
            <w:tcBorders>
              <w:top w:val="single" w:sz="4" w:space="0" w:color="000000"/>
              <w:left w:val="single" w:sz="4" w:space="0" w:color="000000"/>
              <w:bottom w:val="single" w:sz="4" w:space="0" w:color="000000"/>
              <w:right w:val="single" w:sz="4" w:space="0" w:color="000000"/>
              <w:tl2br w:val="nil"/>
              <w:tr2bl w:val="nil"/>
            </w:tcBorders>
            <w:vAlign w:val="center"/>
          </w:tcPr>
          <w:p w14:paraId="58CE523F" w14:textId="77777777" w:rsidR="00606029" w:rsidRDefault="00EA5B92">
            <w:pPr>
              <w:spacing w:line="280" w:lineRule="exact"/>
              <w:jc w:val="center"/>
            </w:pPr>
            <w:r>
              <w:t>标准名称</w:t>
            </w:r>
          </w:p>
        </w:tc>
        <w:tc>
          <w:tcPr>
            <w:tcW w:w="1192" w:type="dxa"/>
            <w:tcBorders>
              <w:top w:val="single" w:sz="4" w:space="0" w:color="000000"/>
              <w:left w:val="single" w:sz="4" w:space="0" w:color="000000"/>
              <w:bottom w:val="single" w:sz="4" w:space="0" w:color="000000"/>
              <w:right w:val="single" w:sz="4" w:space="0" w:color="000000"/>
              <w:tl2br w:val="nil"/>
              <w:tr2bl w:val="nil"/>
            </w:tcBorders>
            <w:vAlign w:val="center"/>
          </w:tcPr>
          <w:p w14:paraId="7E361386" w14:textId="77777777" w:rsidR="00606029" w:rsidRDefault="00EA5B92">
            <w:pPr>
              <w:spacing w:line="280" w:lineRule="exact"/>
              <w:jc w:val="center"/>
            </w:pPr>
            <w:r>
              <w:t>浓度限值</w:t>
            </w:r>
            <w:r>
              <w:t>/</w:t>
            </w:r>
            <w:r>
              <w:t>（</w:t>
            </w:r>
            <w:r>
              <w:t>mg/m</w:t>
            </w:r>
            <w:r>
              <w:rPr>
                <w:vertAlign w:val="superscript"/>
              </w:rPr>
              <w:t>3</w:t>
            </w:r>
            <w:r>
              <w:t>）</w:t>
            </w:r>
          </w:p>
        </w:tc>
        <w:tc>
          <w:tcPr>
            <w:tcW w:w="1070" w:type="dxa"/>
            <w:vMerge/>
            <w:tcBorders>
              <w:top w:val="single" w:sz="4" w:space="0" w:color="000000"/>
              <w:left w:val="single" w:sz="4" w:space="0" w:color="000000"/>
              <w:bottom w:val="single" w:sz="4" w:space="0" w:color="000000"/>
              <w:right w:val="single" w:sz="4" w:space="0" w:color="auto"/>
              <w:tl2br w:val="nil"/>
              <w:tr2bl w:val="nil"/>
            </w:tcBorders>
            <w:vAlign w:val="center"/>
          </w:tcPr>
          <w:p w14:paraId="7B97F74F" w14:textId="77777777" w:rsidR="00606029" w:rsidRDefault="00606029">
            <w:pPr>
              <w:spacing w:line="280" w:lineRule="exact"/>
              <w:jc w:val="center"/>
            </w:pPr>
          </w:p>
        </w:tc>
      </w:tr>
      <w:tr w:rsidR="00606029" w14:paraId="53A63DB0" w14:textId="77777777">
        <w:trPr>
          <w:trHeight w:val="340"/>
          <w:jc w:val="center"/>
        </w:trPr>
        <w:tc>
          <w:tcPr>
            <w:tcW w:w="745" w:type="dxa"/>
            <w:tcBorders>
              <w:top w:val="single" w:sz="4" w:space="0" w:color="000000"/>
              <w:left w:val="single" w:sz="4" w:space="0" w:color="auto"/>
              <w:bottom w:val="single" w:sz="4" w:space="0" w:color="000000"/>
              <w:right w:val="single" w:sz="4" w:space="0" w:color="000000"/>
              <w:tl2br w:val="nil"/>
              <w:tr2bl w:val="nil"/>
            </w:tcBorders>
            <w:vAlign w:val="center"/>
          </w:tcPr>
          <w:p w14:paraId="25FBAFCF" w14:textId="77777777" w:rsidR="00606029" w:rsidRDefault="00EA5B92">
            <w:pPr>
              <w:spacing w:line="280" w:lineRule="exact"/>
              <w:jc w:val="center"/>
            </w:pPr>
            <w:r>
              <w:t>1</w:t>
            </w:r>
          </w:p>
        </w:tc>
        <w:tc>
          <w:tcPr>
            <w:tcW w:w="753" w:type="dxa"/>
            <w:tcBorders>
              <w:top w:val="single" w:sz="4" w:space="0" w:color="000000"/>
              <w:left w:val="single" w:sz="4" w:space="0" w:color="000000"/>
              <w:bottom w:val="single" w:sz="4" w:space="0" w:color="000000"/>
              <w:right w:val="single" w:sz="4" w:space="0" w:color="000000"/>
              <w:tl2br w:val="nil"/>
              <w:tr2bl w:val="nil"/>
            </w:tcBorders>
            <w:vAlign w:val="center"/>
          </w:tcPr>
          <w:p w14:paraId="43944E4C" w14:textId="77777777" w:rsidR="00606029" w:rsidRDefault="00EA5B92">
            <w:pPr>
              <w:spacing w:line="280" w:lineRule="exact"/>
              <w:jc w:val="center"/>
            </w:pPr>
            <w:r>
              <w:t>项目区域</w:t>
            </w:r>
          </w:p>
        </w:tc>
        <w:tc>
          <w:tcPr>
            <w:tcW w:w="844" w:type="dxa"/>
            <w:tcBorders>
              <w:top w:val="single" w:sz="4" w:space="0" w:color="000000"/>
              <w:left w:val="single" w:sz="4" w:space="0" w:color="000000"/>
              <w:bottom w:val="single" w:sz="4" w:space="0" w:color="000000"/>
              <w:right w:val="single" w:sz="4" w:space="0" w:color="000000"/>
              <w:tl2br w:val="nil"/>
              <w:tr2bl w:val="nil"/>
            </w:tcBorders>
            <w:vAlign w:val="center"/>
          </w:tcPr>
          <w:p w14:paraId="2B8C98FF" w14:textId="77777777" w:rsidR="00606029" w:rsidRDefault="00EA5B92">
            <w:pPr>
              <w:spacing w:line="280" w:lineRule="exact"/>
              <w:jc w:val="center"/>
            </w:pPr>
            <w:r>
              <w:t>卸料摊铺</w:t>
            </w:r>
          </w:p>
        </w:tc>
        <w:tc>
          <w:tcPr>
            <w:tcW w:w="1500" w:type="dxa"/>
            <w:tcBorders>
              <w:top w:val="single" w:sz="4" w:space="0" w:color="000000"/>
              <w:left w:val="single" w:sz="4" w:space="0" w:color="000000"/>
              <w:right w:val="single" w:sz="4" w:space="0" w:color="000000"/>
              <w:tl2br w:val="nil"/>
              <w:tr2bl w:val="nil"/>
            </w:tcBorders>
            <w:vAlign w:val="center"/>
          </w:tcPr>
          <w:p w14:paraId="4BD62AE1" w14:textId="77777777" w:rsidR="00606029" w:rsidRDefault="00EA5B92">
            <w:pPr>
              <w:spacing w:line="280" w:lineRule="exact"/>
              <w:jc w:val="center"/>
            </w:pPr>
            <w:r>
              <w:t>颗粒物</w:t>
            </w:r>
          </w:p>
        </w:tc>
        <w:tc>
          <w:tcPr>
            <w:tcW w:w="1068" w:type="dxa"/>
            <w:tcBorders>
              <w:top w:val="single" w:sz="4" w:space="0" w:color="000000"/>
              <w:left w:val="single" w:sz="4" w:space="0" w:color="000000"/>
              <w:bottom w:val="single" w:sz="4" w:space="0" w:color="000000"/>
              <w:right w:val="single" w:sz="4" w:space="0" w:color="000000"/>
              <w:tl2br w:val="nil"/>
              <w:tr2bl w:val="nil"/>
            </w:tcBorders>
            <w:vAlign w:val="center"/>
          </w:tcPr>
          <w:p w14:paraId="7237D513" w14:textId="77777777" w:rsidR="00606029" w:rsidRDefault="00EA5B92">
            <w:pPr>
              <w:spacing w:line="280" w:lineRule="exact"/>
              <w:jc w:val="center"/>
            </w:pPr>
            <w:r>
              <w:t>洒水抑尘</w:t>
            </w:r>
          </w:p>
        </w:tc>
        <w:tc>
          <w:tcPr>
            <w:tcW w:w="2283" w:type="dxa"/>
            <w:tcBorders>
              <w:top w:val="single" w:sz="4" w:space="0" w:color="000000"/>
              <w:left w:val="single" w:sz="4" w:space="0" w:color="000000"/>
              <w:bottom w:val="single" w:sz="4" w:space="0" w:color="000000"/>
              <w:right w:val="single" w:sz="4" w:space="0" w:color="000000"/>
              <w:tl2br w:val="nil"/>
              <w:tr2bl w:val="nil"/>
            </w:tcBorders>
            <w:vAlign w:val="center"/>
          </w:tcPr>
          <w:p w14:paraId="62F623D9" w14:textId="77777777" w:rsidR="00606029" w:rsidRDefault="00EA5B92">
            <w:pPr>
              <w:spacing w:line="280" w:lineRule="exact"/>
              <w:jc w:val="center"/>
            </w:pPr>
            <w:r>
              <w:t>《大气污染物综合排放标准》（</w:t>
            </w:r>
            <w:r>
              <w:t>GB16297-1996</w:t>
            </w:r>
            <w:r>
              <w:t>）</w:t>
            </w:r>
          </w:p>
        </w:tc>
        <w:tc>
          <w:tcPr>
            <w:tcW w:w="1192" w:type="dxa"/>
            <w:tcBorders>
              <w:top w:val="single" w:sz="4" w:space="0" w:color="000000"/>
              <w:left w:val="single" w:sz="4" w:space="0" w:color="000000"/>
              <w:bottom w:val="single" w:sz="4" w:space="0" w:color="000000"/>
              <w:right w:val="single" w:sz="4" w:space="0" w:color="000000"/>
              <w:tl2br w:val="nil"/>
              <w:tr2bl w:val="nil"/>
            </w:tcBorders>
            <w:vAlign w:val="center"/>
          </w:tcPr>
          <w:p w14:paraId="17CA360B" w14:textId="77777777" w:rsidR="00606029" w:rsidRDefault="00EA5B92">
            <w:pPr>
              <w:pStyle w:val="a5"/>
              <w:spacing w:line="280" w:lineRule="exact"/>
              <w:ind w:leftChars="0" w:left="0" w:firstLine="0"/>
              <w:jc w:val="center"/>
              <w:rPr>
                <w:sz w:val="21"/>
                <w:szCs w:val="21"/>
              </w:rPr>
            </w:pPr>
            <w:r>
              <w:rPr>
                <w:sz w:val="21"/>
                <w:szCs w:val="21"/>
              </w:rPr>
              <w:t>1.0</w:t>
            </w:r>
          </w:p>
        </w:tc>
        <w:tc>
          <w:tcPr>
            <w:tcW w:w="1070" w:type="dxa"/>
            <w:tcBorders>
              <w:top w:val="single" w:sz="4" w:space="0" w:color="000000"/>
              <w:left w:val="single" w:sz="4" w:space="0" w:color="000000"/>
              <w:bottom w:val="single" w:sz="4" w:space="0" w:color="000000"/>
              <w:right w:val="single" w:sz="4" w:space="0" w:color="auto"/>
              <w:tl2br w:val="nil"/>
              <w:tr2bl w:val="nil"/>
            </w:tcBorders>
            <w:vAlign w:val="center"/>
          </w:tcPr>
          <w:p w14:paraId="4388014A" w14:textId="6689C77D" w:rsidR="00606029" w:rsidRDefault="003A0BA6">
            <w:pPr>
              <w:spacing w:line="280" w:lineRule="exact"/>
              <w:jc w:val="center"/>
            </w:pPr>
            <w:r>
              <w:t>0.0224</w:t>
            </w:r>
          </w:p>
        </w:tc>
      </w:tr>
    </w:tbl>
    <w:p w14:paraId="2B995F8E" w14:textId="77777777" w:rsidR="00606029" w:rsidRDefault="00EA5B92">
      <w:pPr>
        <w:pStyle w:val="4"/>
        <w:spacing w:beforeLines="50" w:before="120"/>
      </w:pPr>
      <w:r>
        <w:lastRenderedPageBreak/>
        <w:t>6.2.1.4</w:t>
      </w:r>
      <w:r>
        <w:t>大气环境影响评价自查表</w:t>
      </w:r>
    </w:p>
    <w:p w14:paraId="35F3A387" w14:textId="77777777" w:rsidR="00606029" w:rsidRDefault="00EA5B92">
      <w:pPr>
        <w:pStyle w:val="affffff4"/>
      </w:pPr>
      <w:r>
        <w:t>建设项目大气环境影响评价自查表详见下表。</w:t>
      </w:r>
    </w:p>
    <w:p w14:paraId="5ED53CD2" w14:textId="242867D7" w:rsidR="00606029" w:rsidRDefault="00EA5B92">
      <w:pPr>
        <w:pStyle w:val="affffff5"/>
      </w:pPr>
      <w:r>
        <w:t>表</w:t>
      </w:r>
      <w:r>
        <w:rPr>
          <w:color w:val="000000"/>
          <w:kern w:val="0"/>
          <w:lang w:bidi="ar"/>
        </w:rPr>
        <w:t>6.2</w:t>
      </w:r>
      <w:r w:rsidR="00754BC6">
        <w:rPr>
          <w:rFonts w:hint="eastAsia"/>
          <w:color w:val="000000"/>
          <w:kern w:val="0"/>
          <w:lang w:bidi="ar"/>
        </w:rPr>
        <w:t>-1</w:t>
      </w:r>
      <w:r w:rsidR="004F102D">
        <w:rPr>
          <w:rFonts w:hint="eastAsia"/>
          <w:color w:val="000000"/>
          <w:kern w:val="0"/>
          <w:lang w:bidi="ar"/>
        </w:rPr>
        <w:t>5</w:t>
      </w:r>
      <w:r>
        <w:t xml:space="preserve"> </w:t>
      </w:r>
      <w:r>
        <w:t>建设项目大气环境影响评价自查表</w:t>
      </w:r>
    </w:p>
    <w:tbl>
      <w:tblPr>
        <w:tblW w:w="5000" w:type="pct"/>
        <w:jc w:val="center"/>
        <w:tblBorders>
          <w:top w:val="single" w:sz="4" w:space="0" w:color="auto"/>
          <w:left w:val="single" w:sz="4" w:space="0" w:color="auto"/>
          <w:bottom w:val="single" w:sz="4" w:space="0" w:color="auto"/>
          <w:right w:val="single" w:sz="4" w:space="0" w:color="auto"/>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627"/>
        <w:gridCol w:w="1705"/>
        <w:gridCol w:w="958"/>
        <w:gridCol w:w="542"/>
        <w:gridCol w:w="210"/>
        <w:gridCol w:w="328"/>
        <w:gridCol w:w="73"/>
        <w:gridCol w:w="815"/>
        <w:gridCol w:w="368"/>
        <w:gridCol w:w="453"/>
        <w:gridCol w:w="364"/>
        <w:gridCol w:w="296"/>
        <w:gridCol w:w="247"/>
        <w:gridCol w:w="336"/>
        <w:gridCol w:w="239"/>
        <w:gridCol w:w="609"/>
        <w:gridCol w:w="664"/>
      </w:tblGrid>
      <w:tr w:rsidR="00606029" w14:paraId="5FFB4E42" w14:textId="77777777">
        <w:trPr>
          <w:trHeight w:val="340"/>
          <w:jc w:val="center"/>
        </w:trPr>
        <w:tc>
          <w:tcPr>
            <w:tcW w:w="2443" w:type="dxa"/>
            <w:gridSpan w:val="2"/>
            <w:tcBorders>
              <w:tl2br w:val="nil"/>
              <w:tr2bl w:val="nil"/>
            </w:tcBorders>
            <w:vAlign w:val="center"/>
          </w:tcPr>
          <w:p w14:paraId="358B28C5" w14:textId="77777777" w:rsidR="00606029" w:rsidRDefault="00EA5B92">
            <w:pPr>
              <w:spacing w:line="280" w:lineRule="exact"/>
              <w:jc w:val="center"/>
            </w:pPr>
            <w:r>
              <w:t>工作内容</w:t>
            </w:r>
          </w:p>
        </w:tc>
        <w:tc>
          <w:tcPr>
            <w:tcW w:w="6809" w:type="dxa"/>
            <w:gridSpan w:val="15"/>
            <w:tcBorders>
              <w:tl2br w:val="nil"/>
              <w:tr2bl w:val="nil"/>
            </w:tcBorders>
            <w:vAlign w:val="center"/>
          </w:tcPr>
          <w:p w14:paraId="36A7D74C" w14:textId="77777777" w:rsidR="00606029" w:rsidRDefault="00EA5B92">
            <w:pPr>
              <w:spacing w:line="280" w:lineRule="exact"/>
              <w:jc w:val="center"/>
            </w:pPr>
            <w:r>
              <w:t>自查项目</w:t>
            </w:r>
          </w:p>
        </w:tc>
      </w:tr>
      <w:tr w:rsidR="00606029" w14:paraId="77F50677" w14:textId="77777777">
        <w:trPr>
          <w:trHeight w:val="340"/>
          <w:jc w:val="center"/>
        </w:trPr>
        <w:tc>
          <w:tcPr>
            <w:tcW w:w="656" w:type="dxa"/>
            <w:vMerge w:val="restart"/>
            <w:tcBorders>
              <w:tl2br w:val="nil"/>
              <w:tr2bl w:val="nil"/>
            </w:tcBorders>
            <w:vAlign w:val="center"/>
          </w:tcPr>
          <w:p w14:paraId="46F6170A" w14:textId="77777777" w:rsidR="00606029" w:rsidRDefault="00EA5B92">
            <w:pPr>
              <w:spacing w:line="280" w:lineRule="exact"/>
              <w:jc w:val="center"/>
            </w:pPr>
            <w:r>
              <w:t>评价等级与范围</w:t>
            </w:r>
          </w:p>
        </w:tc>
        <w:tc>
          <w:tcPr>
            <w:tcW w:w="1787" w:type="dxa"/>
            <w:tcBorders>
              <w:tl2br w:val="nil"/>
              <w:tr2bl w:val="nil"/>
            </w:tcBorders>
            <w:vAlign w:val="center"/>
          </w:tcPr>
          <w:p w14:paraId="69DEA509" w14:textId="77777777" w:rsidR="00606029" w:rsidRDefault="00EA5B92">
            <w:pPr>
              <w:spacing w:line="280" w:lineRule="exact"/>
              <w:jc w:val="center"/>
            </w:pPr>
            <w:r>
              <w:t>评价等级</w:t>
            </w:r>
          </w:p>
        </w:tc>
        <w:tc>
          <w:tcPr>
            <w:tcW w:w="2134" w:type="dxa"/>
            <w:gridSpan w:val="4"/>
            <w:tcBorders>
              <w:tl2br w:val="nil"/>
              <w:tr2bl w:val="nil"/>
            </w:tcBorders>
            <w:vAlign w:val="center"/>
          </w:tcPr>
          <w:p w14:paraId="1D6E3246" w14:textId="77777777" w:rsidR="00606029" w:rsidRDefault="00EA5B92">
            <w:pPr>
              <w:spacing w:line="280" w:lineRule="exact"/>
              <w:jc w:val="center"/>
            </w:pPr>
            <w:r>
              <w:t>一级</w:t>
            </w:r>
            <w:r>
              <w:t>□</w:t>
            </w:r>
          </w:p>
        </w:tc>
        <w:tc>
          <w:tcPr>
            <w:tcW w:w="2740" w:type="dxa"/>
            <w:gridSpan w:val="7"/>
            <w:tcBorders>
              <w:tl2br w:val="nil"/>
              <w:tr2bl w:val="nil"/>
            </w:tcBorders>
            <w:vAlign w:val="center"/>
          </w:tcPr>
          <w:p w14:paraId="278B5F67" w14:textId="77777777" w:rsidR="00606029" w:rsidRDefault="00EA5B92">
            <w:pPr>
              <w:spacing w:line="280" w:lineRule="exact"/>
              <w:jc w:val="center"/>
            </w:pPr>
            <w:r>
              <w:t>二级</w:t>
            </w:r>
            <w:r>
              <w:t>□</w:t>
            </w:r>
          </w:p>
        </w:tc>
        <w:tc>
          <w:tcPr>
            <w:tcW w:w="1935" w:type="dxa"/>
            <w:gridSpan w:val="4"/>
            <w:tcBorders>
              <w:tl2br w:val="nil"/>
              <w:tr2bl w:val="nil"/>
            </w:tcBorders>
            <w:vAlign w:val="center"/>
          </w:tcPr>
          <w:p w14:paraId="28D7C032" w14:textId="77777777" w:rsidR="00606029" w:rsidRDefault="00EA5B92">
            <w:pPr>
              <w:spacing w:line="280" w:lineRule="exact"/>
              <w:jc w:val="center"/>
            </w:pPr>
            <w:r>
              <w:t>三级</w:t>
            </w:r>
            <w:r>
              <w:t>☑</w:t>
            </w:r>
          </w:p>
        </w:tc>
      </w:tr>
      <w:tr w:rsidR="00606029" w14:paraId="49D36C12" w14:textId="77777777">
        <w:trPr>
          <w:trHeight w:val="340"/>
          <w:jc w:val="center"/>
        </w:trPr>
        <w:tc>
          <w:tcPr>
            <w:tcW w:w="656" w:type="dxa"/>
            <w:vMerge/>
            <w:tcBorders>
              <w:tl2br w:val="nil"/>
              <w:tr2bl w:val="nil"/>
            </w:tcBorders>
            <w:vAlign w:val="center"/>
          </w:tcPr>
          <w:p w14:paraId="0E060E4D" w14:textId="77777777" w:rsidR="00606029" w:rsidRDefault="00606029">
            <w:pPr>
              <w:spacing w:line="280" w:lineRule="exact"/>
              <w:jc w:val="center"/>
            </w:pPr>
          </w:p>
        </w:tc>
        <w:tc>
          <w:tcPr>
            <w:tcW w:w="1787" w:type="dxa"/>
            <w:tcBorders>
              <w:tl2br w:val="nil"/>
              <w:tr2bl w:val="nil"/>
            </w:tcBorders>
            <w:vAlign w:val="center"/>
          </w:tcPr>
          <w:p w14:paraId="195F583F" w14:textId="77777777" w:rsidR="00606029" w:rsidRDefault="00EA5B92">
            <w:pPr>
              <w:spacing w:line="280" w:lineRule="exact"/>
              <w:jc w:val="center"/>
            </w:pPr>
            <w:r>
              <w:t>评价范围</w:t>
            </w:r>
          </w:p>
        </w:tc>
        <w:tc>
          <w:tcPr>
            <w:tcW w:w="2134" w:type="dxa"/>
            <w:gridSpan w:val="4"/>
            <w:tcBorders>
              <w:tl2br w:val="nil"/>
              <w:tr2bl w:val="nil"/>
            </w:tcBorders>
            <w:vAlign w:val="center"/>
          </w:tcPr>
          <w:p w14:paraId="79C92C2B" w14:textId="77777777" w:rsidR="00606029" w:rsidRDefault="00EA5B92">
            <w:pPr>
              <w:spacing w:line="280" w:lineRule="exact"/>
              <w:jc w:val="center"/>
            </w:pPr>
            <w:r>
              <w:t>边长</w:t>
            </w:r>
            <w:r>
              <w:t>=50km□</w:t>
            </w:r>
          </w:p>
        </w:tc>
        <w:tc>
          <w:tcPr>
            <w:tcW w:w="2740" w:type="dxa"/>
            <w:gridSpan w:val="7"/>
            <w:tcBorders>
              <w:tl2br w:val="nil"/>
              <w:tr2bl w:val="nil"/>
            </w:tcBorders>
            <w:vAlign w:val="center"/>
          </w:tcPr>
          <w:p w14:paraId="35B0722C" w14:textId="77777777" w:rsidR="00606029" w:rsidRDefault="00EA5B92">
            <w:pPr>
              <w:spacing w:line="280" w:lineRule="exact"/>
              <w:jc w:val="center"/>
            </w:pPr>
            <w:r>
              <w:t>边长</w:t>
            </w:r>
            <w:r>
              <w:t>5~50km□</w:t>
            </w:r>
          </w:p>
        </w:tc>
        <w:tc>
          <w:tcPr>
            <w:tcW w:w="1935" w:type="dxa"/>
            <w:gridSpan w:val="4"/>
            <w:tcBorders>
              <w:tl2br w:val="nil"/>
              <w:tr2bl w:val="nil"/>
            </w:tcBorders>
            <w:vAlign w:val="center"/>
          </w:tcPr>
          <w:p w14:paraId="4D18C1E6" w14:textId="77777777" w:rsidR="00606029" w:rsidRDefault="00EA5B92">
            <w:pPr>
              <w:spacing w:line="280" w:lineRule="exact"/>
              <w:jc w:val="center"/>
            </w:pPr>
            <w:r>
              <w:t>边长</w:t>
            </w:r>
            <w:r>
              <w:t>=5km☑</w:t>
            </w:r>
          </w:p>
        </w:tc>
      </w:tr>
      <w:tr w:rsidR="00606029" w14:paraId="1A209B53" w14:textId="77777777">
        <w:trPr>
          <w:trHeight w:val="340"/>
          <w:jc w:val="center"/>
        </w:trPr>
        <w:tc>
          <w:tcPr>
            <w:tcW w:w="656" w:type="dxa"/>
            <w:vMerge w:val="restart"/>
            <w:tcBorders>
              <w:tl2br w:val="nil"/>
              <w:tr2bl w:val="nil"/>
            </w:tcBorders>
            <w:vAlign w:val="center"/>
          </w:tcPr>
          <w:p w14:paraId="4EE5CE5F" w14:textId="77777777" w:rsidR="00606029" w:rsidRDefault="00EA5B92">
            <w:pPr>
              <w:spacing w:line="280" w:lineRule="exact"/>
              <w:jc w:val="center"/>
            </w:pPr>
            <w:r>
              <w:t>评价因子</w:t>
            </w:r>
          </w:p>
        </w:tc>
        <w:tc>
          <w:tcPr>
            <w:tcW w:w="1787" w:type="dxa"/>
            <w:tcBorders>
              <w:tl2br w:val="nil"/>
              <w:tr2bl w:val="nil"/>
            </w:tcBorders>
            <w:vAlign w:val="center"/>
          </w:tcPr>
          <w:p w14:paraId="612AF890" w14:textId="77777777" w:rsidR="00606029" w:rsidRDefault="00EA5B92">
            <w:pPr>
              <w:spacing w:line="280" w:lineRule="exact"/>
              <w:jc w:val="center"/>
            </w:pPr>
            <w:r>
              <w:t>SO</w:t>
            </w:r>
            <w:r>
              <w:rPr>
                <w:vertAlign w:val="subscript"/>
              </w:rPr>
              <w:t>2</w:t>
            </w:r>
            <w:r>
              <w:t>+NOx</w:t>
            </w:r>
            <w:r>
              <w:t>排放量</w:t>
            </w:r>
          </w:p>
        </w:tc>
        <w:tc>
          <w:tcPr>
            <w:tcW w:w="2134" w:type="dxa"/>
            <w:gridSpan w:val="4"/>
            <w:tcBorders>
              <w:tl2br w:val="nil"/>
              <w:tr2bl w:val="nil"/>
            </w:tcBorders>
            <w:vAlign w:val="center"/>
          </w:tcPr>
          <w:p w14:paraId="488E9549" w14:textId="77777777" w:rsidR="00606029" w:rsidRDefault="00EA5B92">
            <w:pPr>
              <w:spacing w:line="280" w:lineRule="exact"/>
              <w:jc w:val="center"/>
            </w:pPr>
            <w:r>
              <w:t>≥2000t/a□</w:t>
            </w:r>
          </w:p>
        </w:tc>
        <w:tc>
          <w:tcPr>
            <w:tcW w:w="2740" w:type="dxa"/>
            <w:gridSpan w:val="7"/>
            <w:tcBorders>
              <w:tl2br w:val="nil"/>
              <w:tr2bl w:val="nil"/>
            </w:tcBorders>
            <w:vAlign w:val="center"/>
          </w:tcPr>
          <w:p w14:paraId="2101FDB8" w14:textId="77777777" w:rsidR="00606029" w:rsidRDefault="00EA5B92">
            <w:pPr>
              <w:spacing w:line="280" w:lineRule="exact"/>
              <w:jc w:val="center"/>
            </w:pPr>
            <w:r>
              <w:t>500~2000t/a□</w:t>
            </w:r>
          </w:p>
        </w:tc>
        <w:tc>
          <w:tcPr>
            <w:tcW w:w="1935" w:type="dxa"/>
            <w:gridSpan w:val="4"/>
            <w:tcBorders>
              <w:tl2br w:val="nil"/>
              <w:tr2bl w:val="nil"/>
            </w:tcBorders>
            <w:vAlign w:val="center"/>
          </w:tcPr>
          <w:p w14:paraId="646F3A68" w14:textId="77777777" w:rsidR="00606029" w:rsidRDefault="00EA5B92">
            <w:pPr>
              <w:spacing w:line="280" w:lineRule="exact"/>
              <w:jc w:val="center"/>
            </w:pPr>
            <w:r>
              <w:t>＜</w:t>
            </w:r>
            <w:r>
              <w:t>500t/a☑</w:t>
            </w:r>
          </w:p>
        </w:tc>
      </w:tr>
      <w:tr w:rsidR="00606029" w14:paraId="3BA864DB" w14:textId="77777777">
        <w:trPr>
          <w:trHeight w:val="340"/>
          <w:jc w:val="center"/>
        </w:trPr>
        <w:tc>
          <w:tcPr>
            <w:tcW w:w="656" w:type="dxa"/>
            <w:vMerge/>
            <w:tcBorders>
              <w:tl2br w:val="nil"/>
              <w:tr2bl w:val="nil"/>
            </w:tcBorders>
            <w:vAlign w:val="center"/>
          </w:tcPr>
          <w:p w14:paraId="6FF37612" w14:textId="77777777" w:rsidR="00606029" w:rsidRDefault="00606029">
            <w:pPr>
              <w:spacing w:line="280" w:lineRule="exact"/>
              <w:jc w:val="center"/>
            </w:pPr>
          </w:p>
        </w:tc>
        <w:tc>
          <w:tcPr>
            <w:tcW w:w="1787" w:type="dxa"/>
            <w:tcBorders>
              <w:tl2br w:val="nil"/>
              <w:tr2bl w:val="nil"/>
            </w:tcBorders>
            <w:vAlign w:val="center"/>
          </w:tcPr>
          <w:p w14:paraId="6A059635" w14:textId="77777777" w:rsidR="00606029" w:rsidRDefault="00EA5B92">
            <w:pPr>
              <w:spacing w:line="280" w:lineRule="exact"/>
              <w:jc w:val="center"/>
            </w:pPr>
            <w:r>
              <w:t>评价因子</w:t>
            </w:r>
          </w:p>
        </w:tc>
        <w:tc>
          <w:tcPr>
            <w:tcW w:w="3449" w:type="dxa"/>
            <w:gridSpan w:val="7"/>
            <w:tcBorders>
              <w:tl2br w:val="nil"/>
              <w:tr2bl w:val="nil"/>
            </w:tcBorders>
            <w:vAlign w:val="center"/>
          </w:tcPr>
          <w:p w14:paraId="73607140" w14:textId="77777777" w:rsidR="00606029" w:rsidRDefault="00EA5B92">
            <w:pPr>
              <w:spacing w:line="280" w:lineRule="exact"/>
              <w:jc w:val="center"/>
            </w:pPr>
            <w:r>
              <w:t>基本污染物（</w:t>
            </w:r>
            <w:r>
              <w:t>PM</w:t>
            </w:r>
            <w:r>
              <w:rPr>
                <w:vertAlign w:val="subscript"/>
              </w:rPr>
              <w:t>10</w:t>
            </w:r>
            <w:r>
              <w:t>、</w:t>
            </w:r>
            <w:r>
              <w:t>PM</w:t>
            </w:r>
            <w:r>
              <w:rPr>
                <w:vertAlign w:val="subscript"/>
              </w:rPr>
              <w:t>2.5</w:t>
            </w:r>
            <w:r>
              <w:t>）</w:t>
            </w:r>
          </w:p>
          <w:p w14:paraId="55E5AA12" w14:textId="77777777" w:rsidR="00606029" w:rsidRDefault="00EA5B92">
            <w:pPr>
              <w:spacing w:line="280" w:lineRule="exact"/>
              <w:jc w:val="center"/>
            </w:pPr>
            <w:r>
              <w:t>其他污染物（）</w:t>
            </w:r>
          </w:p>
        </w:tc>
        <w:tc>
          <w:tcPr>
            <w:tcW w:w="3360" w:type="dxa"/>
            <w:gridSpan w:val="8"/>
            <w:tcBorders>
              <w:tl2br w:val="nil"/>
              <w:tr2bl w:val="nil"/>
            </w:tcBorders>
            <w:vAlign w:val="center"/>
          </w:tcPr>
          <w:p w14:paraId="66BA5E43" w14:textId="5A2814F4" w:rsidR="00606029" w:rsidRDefault="00EA5B92">
            <w:pPr>
              <w:spacing w:line="280" w:lineRule="exact"/>
              <w:jc w:val="center"/>
            </w:pPr>
            <w:r>
              <w:t>包括二次</w:t>
            </w:r>
            <w:r>
              <w:t>PM</w:t>
            </w:r>
            <w:r>
              <w:rPr>
                <w:kern w:val="0"/>
                <w:sz w:val="24"/>
                <w:szCs w:val="24"/>
                <w:vertAlign w:val="subscript"/>
              </w:rPr>
              <w:t>2.5</w:t>
            </w:r>
            <w:r w:rsidR="00754BC6">
              <w:t>□</w:t>
            </w:r>
          </w:p>
          <w:p w14:paraId="16BF157F" w14:textId="77777777" w:rsidR="00606029" w:rsidRDefault="00EA5B92">
            <w:pPr>
              <w:spacing w:line="280" w:lineRule="exact"/>
              <w:jc w:val="center"/>
            </w:pPr>
            <w:r>
              <w:t>不包括二次</w:t>
            </w:r>
            <w:r>
              <w:t>PM</w:t>
            </w:r>
            <w:r>
              <w:rPr>
                <w:kern w:val="0"/>
                <w:sz w:val="24"/>
                <w:szCs w:val="24"/>
                <w:vertAlign w:val="subscript"/>
              </w:rPr>
              <w:t>2.5</w:t>
            </w:r>
            <w:r>
              <w:t>□</w:t>
            </w:r>
          </w:p>
        </w:tc>
      </w:tr>
      <w:tr w:rsidR="00606029" w14:paraId="679086D3" w14:textId="77777777">
        <w:trPr>
          <w:trHeight w:val="340"/>
          <w:jc w:val="center"/>
        </w:trPr>
        <w:tc>
          <w:tcPr>
            <w:tcW w:w="656" w:type="dxa"/>
            <w:tcBorders>
              <w:tl2br w:val="nil"/>
              <w:tr2bl w:val="nil"/>
            </w:tcBorders>
            <w:vAlign w:val="center"/>
          </w:tcPr>
          <w:p w14:paraId="4631F67B" w14:textId="77777777" w:rsidR="00606029" w:rsidRDefault="00EA5B92">
            <w:pPr>
              <w:spacing w:line="280" w:lineRule="exact"/>
              <w:jc w:val="center"/>
            </w:pPr>
            <w:r>
              <w:t>评价标准</w:t>
            </w:r>
          </w:p>
        </w:tc>
        <w:tc>
          <w:tcPr>
            <w:tcW w:w="1787" w:type="dxa"/>
            <w:tcBorders>
              <w:tl2br w:val="nil"/>
              <w:tr2bl w:val="nil"/>
            </w:tcBorders>
            <w:vAlign w:val="center"/>
          </w:tcPr>
          <w:p w14:paraId="05C9AD1F" w14:textId="77777777" w:rsidR="00606029" w:rsidRDefault="00EA5B92">
            <w:pPr>
              <w:spacing w:line="280" w:lineRule="exact"/>
              <w:jc w:val="center"/>
            </w:pPr>
            <w:r>
              <w:t>评价标准</w:t>
            </w:r>
          </w:p>
        </w:tc>
        <w:tc>
          <w:tcPr>
            <w:tcW w:w="1003" w:type="dxa"/>
            <w:tcBorders>
              <w:tl2br w:val="nil"/>
              <w:tr2bl w:val="nil"/>
            </w:tcBorders>
            <w:vAlign w:val="center"/>
          </w:tcPr>
          <w:p w14:paraId="250328F9" w14:textId="77777777" w:rsidR="00606029" w:rsidRDefault="00EA5B92">
            <w:pPr>
              <w:spacing w:line="280" w:lineRule="exact"/>
              <w:jc w:val="center"/>
            </w:pPr>
            <w:r>
              <w:t>国家标准</w:t>
            </w:r>
            <w:r>
              <w:t>☑</w:t>
            </w:r>
          </w:p>
        </w:tc>
        <w:tc>
          <w:tcPr>
            <w:tcW w:w="2446" w:type="dxa"/>
            <w:gridSpan w:val="6"/>
            <w:tcBorders>
              <w:tl2br w:val="nil"/>
              <w:tr2bl w:val="nil"/>
            </w:tcBorders>
            <w:vAlign w:val="center"/>
          </w:tcPr>
          <w:p w14:paraId="0547A078" w14:textId="77777777" w:rsidR="00606029" w:rsidRDefault="00EA5B92">
            <w:pPr>
              <w:spacing w:line="280" w:lineRule="exact"/>
              <w:jc w:val="center"/>
            </w:pPr>
            <w:r>
              <w:t>地方标准</w:t>
            </w:r>
            <w:r>
              <w:t>□</w:t>
            </w:r>
          </w:p>
        </w:tc>
        <w:tc>
          <w:tcPr>
            <w:tcW w:w="1777" w:type="dxa"/>
            <w:gridSpan w:val="5"/>
            <w:tcBorders>
              <w:tl2br w:val="nil"/>
              <w:tr2bl w:val="nil"/>
            </w:tcBorders>
            <w:vAlign w:val="center"/>
          </w:tcPr>
          <w:p w14:paraId="27E3BE10" w14:textId="77777777" w:rsidR="00606029" w:rsidRDefault="00EA5B92">
            <w:pPr>
              <w:spacing w:line="280" w:lineRule="exact"/>
              <w:jc w:val="center"/>
            </w:pPr>
            <w:r>
              <w:t>附录</w:t>
            </w:r>
            <w:r>
              <w:t>D□</w:t>
            </w:r>
          </w:p>
        </w:tc>
        <w:tc>
          <w:tcPr>
            <w:tcW w:w="1583" w:type="dxa"/>
            <w:gridSpan w:val="3"/>
            <w:tcBorders>
              <w:tl2br w:val="nil"/>
              <w:tr2bl w:val="nil"/>
            </w:tcBorders>
            <w:vAlign w:val="center"/>
          </w:tcPr>
          <w:p w14:paraId="66FF3491" w14:textId="77777777" w:rsidR="00606029" w:rsidRDefault="00EA5B92">
            <w:pPr>
              <w:spacing w:line="280" w:lineRule="exact"/>
              <w:jc w:val="center"/>
            </w:pPr>
            <w:r>
              <w:t>其他标准</w:t>
            </w:r>
            <w:r>
              <w:t>□</w:t>
            </w:r>
          </w:p>
        </w:tc>
      </w:tr>
      <w:tr w:rsidR="00606029" w14:paraId="4BE96AB6" w14:textId="77777777">
        <w:trPr>
          <w:trHeight w:val="340"/>
          <w:jc w:val="center"/>
        </w:trPr>
        <w:tc>
          <w:tcPr>
            <w:tcW w:w="656" w:type="dxa"/>
            <w:vMerge w:val="restart"/>
            <w:tcBorders>
              <w:tl2br w:val="nil"/>
              <w:tr2bl w:val="nil"/>
            </w:tcBorders>
            <w:vAlign w:val="center"/>
          </w:tcPr>
          <w:p w14:paraId="2E9138ED" w14:textId="77777777" w:rsidR="00606029" w:rsidRDefault="00EA5B92">
            <w:pPr>
              <w:spacing w:line="280" w:lineRule="exact"/>
              <w:jc w:val="center"/>
            </w:pPr>
            <w:r>
              <w:t>现状评价</w:t>
            </w:r>
          </w:p>
        </w:tc>
        <w:tc>
          <w:tcPr>
            <w:tcW w:w="1787" w:type="dxa"/>
            <w:tcBorders>
              <w:tl2br w:val="nil"/>
              <w:tr2bl w:val="nil"/>
            </w:tcBorders>
            <w:vAlign w:val="center"/>
          </w:tcPr>
          <w:p w14:paraId="1441A1A2" w14:textId="77777777" w:rsidR="00606029" w:rsidRDefault="00EA5B92">
            <w:pPr>
              <w:spacing w:line="280" w:lineRule="exact"/>
              <w:jc w:val="center"/>
            </w:pPr>
            <w:r>
              <w:t>环境功能区</w:t>
            </w:r>
          </w:p>
        </w:tc>
        <w:tc>
          <w:tcPr>
            <w:tcW w:w="2134" w:type="dxa"/>
            <w:gridSpan w:val="4"/>
            <w:tcBorders>
              <w:tl2br w:val="nil"/>
              <w:tr2bl w:val="nil"/>
            </w:tcBorders>
            <w:vAlign w:val="center"/>
          </w:tcPr>
          <w:p w14:paraId="34E28CE8" w14:textId="77777777" w:rsidR="00606029" w:rsidRDefault="00EA5B92">
            <w:pPr>
              <w:spacing w:line="280" w:lineRule="exact"/>
              <w:jc w:val="center"/>
            </w:pPr>
            <w:r>
              <w:t>一类区</w:t>
            </w:r>
            <w:r>
              <w:t>□</w:t>
            </w:r>
          </w:p>
        </w:tc>
        <w:tc>
          <w:tcPr>
            <w:tcW w:w="2740" w:type="dxa"/>
            <w:gridSpan w:val="7"/>
            <w:tcBorders>
              <w:tl2br w:val="nil"/>
              <w:tr2bl w:val="nil"/>
            </w:tcBorders>
            <w:vAlign w:val="center"/>
          </w:tcPr>
          <w:p w14:paraId="72447DF0" w14:textId="77777777" w:rsidR="00606029" w:rsidRDefault="00EA5B92">
            <w:pPr>
              <w:spacing w:line="280" w:lineRule="exact"/>
              <w:jc w:val="center"/>
            </w:pPr>
            <w:r>
              <w:t>二类区</w:t>
            </w:r>
            <w:r>
              <w:t>☑</w:t>
            </w:r>
          </w:p>
        </w:tc>
        <w:tc>
          <w:tcPr>
            <w:tcW w:w="1935" w:type="dxa"/>
            <w:gridSpan w:val="4"/>
            <w:tcBorders>
              <w:tl2br w:val="nil"/>
              <w:tr2bl w:val="nil"/>
            </w:tcBorders>
            <w:vAlign w:val="center"/>
          </w:tcPr>
          <w:p w14:paraId="48A06256" w14:textId="77777777" w:rsidR="00606029" w:rsidRDefault="00EA5B92">
            <w:pPr>
              <w:spacing w:line="280" w:lineRule="exact"/>
              <w:jc w:val="center"/>
            </w:pPr>
            <w:r>
              <w:t>一类区和二类区</w:t>
            </w:r>
            <w:r>
              <w:t>□</w:t>
            </w:r>
          </w:p>
        </w:tc>
      </w:tr>
      <w:tr w:rsidR="00606029" w14:paraId="299A44AC" w14:textId="77777777">
        <w:trPr>
          <w:trHeight w:val="340"/>
          <w:jc w:val="center"/>
        </w:trPr>
        <w:tc>
          <w:tcPr>
            <w:tcW w:w="656" w:type="dxa"/>
            <w:vMerge/>
            <w:tcBorders>
              <w:tl2br w:val="nil"/>
              <w:tr2bl w:val="nil"/>
            </w:tcBorders>
            <w:vAlign w:val="center"/>
          </w:tcPr>
          <w:p w14:paraId="54AFB06B" w14:textId="77777777" w:rsidR="00606029" w:rsidRDefault="00606029">
            <w:pPr>
              <w:spacing w:line="280" w:lineRule="exact"/>
              <w:jc w:val="center"/>
            </w:pPr>
          </w:p>
        </w:tc>
        <w:tc>
          <w:tcPr>
            <w:tcW w:w="1787" w:type="dxa"/>
            <w:tcBorders>
              <w:tl2br w:val="nil"/>
              <w:tr2bl w:val="nil"/>
            </w:tcBorders>
            <w:vAlign w:val="center"/>
          </w:tcPr>
          <w:p w14:paraId="730FCCB7" w14:textId="77777777" w:rsidR="00606029" w:rsidRDefault="00EA5B92">
            <w:pPr>
              <w:spacing w:line="280" w:lineRule="exact"/>
              <w:jc w:val="center"/>
            </w:pPr>
            <w:r>
              <w:t>评价基准年</w:t>
            </w:r>
          </w:p>
        </w:tc>
        <w:tc>
          <w:tcPr>
            <w:tcW w:w="6809" w:type="dxa"/>
            <w:gridSpan w:val="15"/>
            <w:tcBorders>
              <w:tl2br w:val="nil"/>
              <w:tr2bl w:val="nil"/>
            </w:tcBorders>
            <w:vAlign w:val="center"/>
          </w:tcPr>
          <w:p w14:paraId="402D6C23" w14:textId="77777777" w:rsidR="00606029" w:rsidRDefault="00EA5B92">
            <w:pPr>
              <w:spacing w:line="280" w:lineRule="exact"/>
              <w:jc w:val="center"/>
            </w:pPr>
            <w:r>
              <w:t>（</w:t>
            </w:r>
            <w:r>
              <w:t>2023</w:t>
            </w:r>
            <w:r>
              <w:t>）年</w:t>
            </w:r>
          </w:p>
        </w:tc>
      </w:tr>
      <w:tr w:rsidR="00606029" w14:paraId="39E17497" w14:textId="77777777">
        <w:trPr>
          <w:trHeight w:val="340"/>
          <w:jc w:val="center"/>
        </w:trPr>
        <w:tc>
          <w:tcPr>
            <w:tcW w:w="656" w:type="dxa"/>
            <w:vMerge/>
            <w:tcBorders>
              <w:tl2br w:val="nil"/>
              <w:tr2bl w:val="nil"/>
            </w:tcBorders>
            <w:vAlign w:val="center"/>
          </w:tcPr>
          <w:p w14:paraId="1E4938AD" w14:textId="77777777" w:rsidR="00606029" w:rsidRDefault="00606029">
            <w:pPr>
              <w:spacing w:line="280" w:lineRule="exact"/>
              <w:jc w:val="center"/>
            </w:pPr>
          </w:p>
        </w:tc>
        <w:tc>
          <w:tcPr>
            <w:tcW w:w="1787" w:type="dxa"/>
            <w:tcBorders>
              <w:tl2br w:val="nil"/>
              <w:tr2bl w:val="nil"/>
            </w:tcBorders>
            <w:vAlign w:val="center"/>
          </w:tcPr>
          <w:p w14:paraId="7A10158B" w14:textId="77777777" w:rsidR="00606029" w:rsidRDefault="00EA5B92">
            <w:pPr>
              <w:spacing w:line="280" w:lineRule="exact"/>
              <w:jc w:val="center"/>
            </w:pPr>
            <w:r>
              <w:t>环境空气质量现状调查数据来源</w:t>
            </w:r>
          </w:p>
        </w:tc>
        <w:tc>
          <w:tcPr>
            <w:tcW w:w="2134" w:type="dxa"/>
            <w:gridSpan w:val="4"/>
            <w:tcBorders>
              <w:tl2br w:val="nil"/>
              <w:tr2bl w:val="nil"/>
            </w:tcBorders>
            <w:vAlign w:val="center"/>
          </w:tcPr>
          <w:p w14:paraId="56176763" w14:textId="77777777" w:rsidR="00606029" w:rsidRDefault="00EA5B92">
            <w:pPr>
              <w:spacing w:line="280" w:lineRule="exact"/>
              <w:jc w:val="center"/>
            </w:pPr>
            <w:r>
              <w:t>长期例行监测</w:t>
            </w:r>
          </w:p>
          <w:p w14:paraId="5AE61E66" w14:textId="77777777" w:rsidR="00606029" w:rsidRDefault="00EA5B92">
            <w:pPr>
              <w:spacing w:line="280" w:lineRule="exact"/>
              <w:jc w:val="center"/>
            </w:pPr>
            <w:r>
              <w:t>数据</w:t>
            </w:r>
            <w:r>
              <w:t>□</w:t>
            </w:r>
          </w:p>
        </w:tc>
        <w:tc>
          <w:tcPr>
            <w:tcW w:w="2740" w:type="dxa"/>
            <w:gridSpan w:val="7"/>
            <w:tcBorders>
              <w:tl2br w:val="nil"/>
              <w:tr2bl w:val="nil"/>
            </w:tcBorders>
            <w:vAlign w:val="center"/>
          </w:tcPr>
          <w:p w14:paraId="49291C4D" w14:textId="77777777" w:rsidR="00606029" w:rsidRDefault="00EA5B92">
            <w:pPr>
              <w:spacing w:line="280" w:lineRule="exact"/>
              <w:jc w:val="center"/>
            </w:pPr>
            <w:r>
              <w:t>主管部门发布的</w:t>
            </w:r>
          </w:p>
          <w:p w14:paraId="492F895E" w14:textId="77777777" w:rsidR="00606029" w:rsidRDefault="00EA5B92">
            <w:pPr>
              <w:spacing w:line="280" w:lineRule="exact"/>
              <w:jc w:val="center"/>
            </w:pPr>
            <w:r>
              <w:t>数据</w:t>
            </w:r>
            <w:r>
              <w:t>☑</w:t>
            </w:r>
          </w:p>
        </w:tc>
        <w:tc>
          <w:tcPr>
            <w:tcW w:w="1935" w:type="dxa"/>
            <w:gridSpan w:val="4"/>
            <w:tcBorders>
              <w:tl2br w:val="nil"/>
              <w:tr2bl w:val="nil"/>
            </w:tcBorders>
            <w:vAlign w:val="center"/>
          </w:tcPr>
          <w:p w14:paraId="3FB5BB5B" w14:textId="77777777" w:rsidR="00606029" w:rsidRDefault="00EA5B92">
            <w:pPr>
              <w:spacing w:line="280" w:lineRule="exact"/>
              <w:jc w:val="center"/>
            </w:pPr>
            <w:r>
              <w:t>现状补充监测</w:t>
            </w:r>
            <w:r>
              <w:t>☑</w:t>
            </w:r>
          </w:p>
        </w:tc>
      </w:tr>
      <w:tr w:rsidR="00606029" w14:paraId="08F41216" w14:textId="77777777">
        <w:trPr>
          <w:trHeight w:val="340"/>
          <w:jc w:val="center"/>
        </w:trPr>
        <w:tc>
          <w:tcPr>
            <w:tcW w:w="656" w:type="dxa"/>
            <w:vMerge/>
            <w:tcBorders>
              <w:tl2br w:val="nil"/>
              <w:tr2bl w:val="nil"/>
            </w:tcBorders>
            <w:vAlign w:val="center"/>
          </w:tcPr>
          <w:p w14:paraId="1942993A" w14:textId="77777777" w:rsidR="00606029" w:rsidRDefault="00606029">
            <w:pPr>
              <w:spacing w:line="280" w:lineRule="exact"/>
              <w:jc w:val="center"/>
            </w:pPr>
          </w:p>
        </w:tc>
        <w:tc>
          <w:tcPr>
            <w:tcW w:w="1787" w:type="dxa"/>
            <w:tcBorders>
              <w:tl2br w:val="nil"/>
              <w:tr2bl w:val="nil"/>
            </w:tcBorders>
            <w:vAlign w:val="center"/>
          </w:tcPr>
          <w:p w14:paraId="2AFD0DC7" w14:textId="77777777" w:rsidR="00606029" w:rsidRDefault="00EA5B92">
            <w:pPr>
              <w:spacing w:line="280" w:lineRule="exact"/>
              <w:jc w:val="center"/>
            </w:pPr>
            <w:r>
              <w:t>现状评价</w:t>
            </w:r>
          </w:p>
        </w:tc>
        <w:tc>
          <w:tcPr>
            <w:tcW w:w="3449" w:type="dxa"/>
            <w:gridSpan w:val="7"/>
            <w:tcBorders>
              <w:tl2br w:val="nil"/>
              <w:tr2bl w:val="nil"/>
            </w:tcBorders>
            <w:vAlign w:val="center"/>
          </w:tcPr>
          <w:p w14:paraId="49065E9D" w14:textId="77777777" w:rsidR="00606029" w:rsidRDefault="00EA5B92">
            <w:pPr>
              <w:spacing w:line="280" w:lineRule="exact"/>
              <w:jc w:val="center"/>
            </w:pPr>
            <w:r>
              <w:t>达标区</w:t>
            </w:r>
            <w:r>
              <w:t>☑</w:t>
            </w:r>
          </w:p>
        </w:tc>
        <w:tc>
          <w:tcPr>
            <w:tcW w:w="3360" w:type="dxa"/>
            <w:gridSpan w:val="8"/>
            <w:tcBorders>
              <w:tl2br w:val="nil"/>
              <w:tr2bl w:val="nil"/>
            </w:tcBorders>
            <w:vAlign w:val="center"/>
          </w:tcPr>
          <w:p w14:paraId="14688647" w14:textId="77777777" w:rsidR="00606029" w:rsidRDefault="00EA5B92">
            <w:pPr>
              <w:spacing w:line="280" w:lineRule="exact"/>
              <w:jc w:val="center"/>
            </w:pPr>
            <w:r>
              <w:t>不达标区</w:t>
            </w:r>
            <w:r>
              <w:t>□</w:t>
            </w:r>
          </w:p>
        </w:tc>
      </w:tr>
      <w:tr w:rsidR="00606029" w14:paraId="3DF58EF0" w14:textId="77777777">
        <w:trPr>
          <w:trHeight w:val="340"/>
          <w:jc w:val="center"/>
        </w:trPr>
        <w:tc>
          <w:tcPr>
            <w:tcW w:w="656" w:type="dxa"/>
            <w:tcBorders>
              <w:tl2br w:val="nil"/>
              <w:tr2bl w:val="nil"/>
            </w:tcBorders>
            <w:vAlign w:val="center"/>
          </w:tcPr>
          <w:p w14:paraId="166683A0" w14:textId="77777777" w:rsidR="00606029" w:rsidRDefault="00EA5B92">
            <w:pPr>
              <w:spacing w:line="280" w:lineRule="exact"/>
              <w:jc w:val="center"/>
            </w:pPr>
            <w:r>
              <w:t>污染源调查</w:t>
            </w:r>
          </w:p>
        </w:tc>
        <w:tc>
          <w:tcPr>
            <w:tcW w:w="1787" w:type="dxa"/>
            <w:tcBorders>
              <w:tl2br w:val="nil"/>
              <w:tr2bl w:val="nil"/>
            </w:tcBorders>
            <w:vAlign w:val="center"/>
          </w:tcPr>
          <w:p w14:paraId="75D45C5A" w14:textId="77777777" w:rsidR="00606029" w:rsidRDefault="00EA5B92">
            <w:pPr>
              <w:spacing w:line="280" w:lineRule="exact"/>
              <w:jc w:val="center"/>
            </w:pPr>
            <w:r>
              <w:t>调查内容</w:t>
            </w:r>
          </w:p>
        </w:tc>
        <w:tc>
          <w:tcPr>
            <w:tcW w:w="2210" w:type="dxa"/>
            <w:gridSpan w:val="5"/>
            <w:tcBorders>
              <w:tl2br w:val="nil"/>
              <w:tr2bl w:val="nil"/>
            </w:tcBorders>
            <w:vAlign w:val="center"/>
          </w:tcPr>
          <w:p w14:paraId="6EE7D09E" w14:textId="77777777" w:rsidR="00606029" w:rsidRDefault="00EA5B92">
            <w:pPr>
              <w:spacing w:line="280" w:lineRule="exact"/>
              <w:jc w:val="center"/>
            </w:pPr>
            <w:r>
              <w:t>本项目正常排放源</w:t>
            </w:r>
            <w:r>
              <w:t>☑</w:t>
            </w:r>
          </w:p>
          <w:p w14:paraId="4E3B3B34" w14:textId="510E582F" w:rsidR="00606029" w:rsidRDefault="00EA5B92">
            <w:pPr>
              <w:spacing w:line="280" w:lineRule="exact"/>
              <w:jc w:val="center"/>
            </w:pPr>
            <w:r>
              <w:t>本项目非正常排放源</w:t>
            </w:r>
            <w:r w:rsidR="001419B3">
              <w:t>□</w:t>
            </w:r>
          </w:p>
          <w:p w14:paraId="515B12D4" w14:textId="5C9A99F5" w:rsidR="00606029" w:rsidRDefault="00EA5B92">
            <w:pPr>
              <w:spacing w:line="280" w:lineRule="exact"/>
              <w:jc w:val="center"/>
            </w:pPr>
            <w:r>
              <w:t>现有污染源</w:t>
            </w:r>
            <w:r w:rsidR="001419B3" w:rsidRPr="001419B3">
              <w:rPr>
                <w:rFonts w:ascii="Segoe UI Symbol" w:hAnsi="Segoe UI Symbol" w:cs="Segoe UI Symbol"/>
              </w:rPr>
              <w:t>☑</w:t>
            </w:r>
          </w:p>
        </w:tc>
        <w:tc>
          <w:tcPr>
            <w:tcW w:w="1714" w:type="dxa"/>
            <w:gridSpan w:val="3"/>
            <w:tcBorders>
              <w:tl2br w:val="nil"/>
              <w:tr2bl w:val="nil"/>
            </w:tcBorders>
            <w:vAlign w:val="center"/>
          </w:tcPr>
          <w:p w14:paraId="2DEE4029" w14:textId="77777777" w:rsidR="00606029" w:rsidRDefault="00EA5B92">
            <w:pPr>
              <w:spacing w:line="280" w:lineRule="exact"/>
              <w:jc w:val="center"/>
            </w:pPr>
            <w:r>
              <w:t>拟替代的污染源</w:t>
            </w:r>
            <w:r>
              <w:t>□</w:t>
            </w:r>
          </w:p>
        </w:tc>
        <w:tc>
          <w:tcPr>
            <w:tcW w:w="1552" w:type="dxa"/>
            <w:gridSpan w:val="5"/>
            <w:tcBorders>
              <w:tl2br w:val="nil"/>
              <w:tr2bl w:val="nil"/>
            </w:tcBorders>
            <w:vAlign w:val="center"/>
          </w:tcPr>
          <w:p w14:paraId="28202303" w14:textId="77777777" w:rsidR="00606029" w:rsidRDefault="00EA5B92">
            <w:pPr>
              <w:spacing w:line="280" w:lineRule="exact"/>
              <w:jc w:val="center"/>
            </w:pPr>
            <w:r>
              <w:t>其他在建、项目污染源</w:t>
            </w:r>
            <w:r>
              <w:t>□</w:t>
            </w:r>
          </w:p>
        </w:tc>
        <w:tc>
          <w:tcPr>
            <w:tcW w:w="1333" w:type="dxa"/>
            <w:gridSpan w:val="2"/>
            <w:tcBorders>
              <w:tl2br w:val="nil"/>
              <w:tr2bl w:val="nil"/>
            </w:tcBorders>
            <w:vAlign w:val="center"/>
          </w:tcPr>
          <w:p w14:paraId="73EBF3D1" w14:textId="77777777" w:rsidR="00606029" w:rsidRDefault="00EA5B92">
            <w:pPr>
              <w:spacing w:line="280" w:lineRule="exact"/>
              <w:jc w:val="center"/>
            </w:pPr>
            <w:r>
              <w:t>区域污染源</w:t>
            </w:r>
            <w:r>
              <w:t>□</w:t>
            </w:r>
          </w:p>
        </w:tc>
      </w:tr>
      <w:tr w:rsidR="00606029" w14:paraId="2E561DA7" w14:textId="77777777">
        <w:trPr>
          <w:trHeight w:val="340"/>
          <w:jc w:val="center"/>
        </w:trPr>
        <w:tc>
          <w:tcPr>
            <w:tcW w:w="656" w:type="dxa"/>
            <w:vMerge w:val="restart"/>
            <w:tcBorders>
              <w:tl2br w:val="nil"/>
              <w:tr2bl w:val="nil"/>
            </w:tcBorders>
            <w:vAlign w:val="center"/>
          </w:tcPr>
          <w:p w14:paraId="10796A54" w14:textId="77777777" w:rsidR="00606029" w:rsidRDefault="00EA5B92">
            <w:pPr>
              <w:spacing w:line="280" w:lineRule="exact"/>
              <w:jc w:val="center"/>
            </w:pPr>
            <w:r>
              <w:t>大气环境影响预测与评价</w:t>
            </w:r>
          </w:p>
        </w:tc>
        <w:tc>
          <w:tcPr>
            <w:tcW w:w="1787" w:type="dxa"/>
            <w:tcBorders>
              <w:tl2br w:val="nil"/>
              <w:tr2bl w:val="nil"/>
            </w:tcBorders>
            <w:vAlign w:val="center"/>
          </w:tcPr>
          <w:p w14:paraId="1CF0C387" w14:textId="77777777" w:rsidR="00606029" w:rsidRDefault="00EA5B92">
            <w:pPr>
              <w:spacing w:line="280" w:lineRule="exact"/>
              <w:jc w:val="center"/>
            </w:pPr>
            <w:r>
              <w:t>预测模型</w:t>
            </w:r>
          </w:p>
        </w:tc>
        <w:tc>
          <w:tcPr>
            <w:tcW w:w="1003" w:type="dxa"/>
            <w:tcBorders>
              <w:tl2br w:val="nil"/>
              <w:tr2bl w:val="nil"/>
            </w:tcBorders>
            <w:vAlign w:val="center"/>
          </w:tcPr>
          <w:p w14:paraId="5B89CF8F" w14:textId="77777777" w:rsidR="00606029" w:rsidRDefault="00EA5B92">
            <w:pPr>
              <w:spacing w:line="280" w:lineRule="exact"/>
              <w:jc w:val="center"/>
            </w:pPr>
            <w:r>
              <w:t>AERMOD</w:t>
            </w:r>
          </w:p>
          <w:p w14:paraId="50EC7FA8" w14:textId="77777777" w:rsidR="00606029" w:rsidRDefault="00EA5B92">
            <w:pPr>
              <w:spacing w:line="280" w:lineRule="exact"/>
              <w:jc w:val="center"/>
            </w:pPr>
            <w:r>
              <w:t>☑</w:t>
            </w:r>
          </w:p>
        </w:tc>
        <w:tc>
          <w:tcPr>
            <w:tcW w:w="787" w:type="dxa"/>
            <w:gridSpan w:val="2"/>
            <w:tcBorders>
              <w:tl2br w:val="nil"/>
              <w:tr2bl w:val="nil"/>
            </w:tcBorders>
            <w:vAlign w:val="center"/>
          </w:tcPr>
          <w:p w14:paraId="1BEA40A7" w14:textId="77777777" w:rsidR="00606029" w:rsidRDefault="00EA5B92">
            <w:pPr>
              <w:spacing w:line="280" w:lineRule="exact"/>
              <w:jc w:val="center"/>
            </w:pPr>
            <w:r>
              <w:t>ADMS</w:t>
            </w:r>
          </w:p>
          <w:p w14:paraId="04BEFA5F" w14:textId="77777777" w:rsidR="00606029" w:rsidRDefault="00EA5B92">
            <w:pPr>
              <w:spacing w:line="280" w:lineRule="exact"/>
              <w:jc w:val="center"/>
            </w:pPr>
            <w:r>
              <w:t>□</w:t>
            </w:r>
          </w:p>
        </w:tc>
        <w:tc>
          <w:tcPr>
            <w:tcW w:w="1274" w:type="dxa"/>
            <w:gridSpan w:val="3"/>
            <w:tcBorders>
              <w:tl2br w:val="nil"/>
              <w:tr2bl w:val="nil"/>
            </w:tcBorders>
            <w:vAlign w:val="center"/>
          </w:tcPr>
          <w:p w14:paraId="33E28299" w14:textId="06D634D7" w:rsidR="00606029" w:rsidRDefault="00EA5B92" w:rsidP="006F20D7">
            <w:pPr>
              <w:spacing w:line="280" w:lineRule="exact"/>
              <w:jc w:val="center"/>
            </w:pPr>
            <w:r>
              <w:t>AUSTAL2000□</w:t>
            </w:r>
          </w:p>
        </w:tc>
        <w:tc>
          <w:tcPr>
            <w:tcW w:w="1241" w:type="dxa"/>
            <w:gridSpan w:val="3"/>
            <w:tcBorders>
              <w:tl2br w:val="nil"/>
              <w:tr2bl w:val="nil"/>
            </w:tcBorders>
            <w:vAlign w:val="center"/>
          </w:tcPr>
          <w:p w14:paraId="39E5F003" w14:textId="62B5D13A" w:rsidR="00606029" w:rsidRDefault="00EA5B92" w:rsidP="006F20D7">
            <w:pPr>
              <w:spacing w:line="280" w:lineRule="exact"/>
              <w:jc w:val="center"/>
            </w:pPr>
            <w:r>
              <w:t>EDMS/AEDT□</w:t>
            </w:r>
          </w:p>
        </w:tc>
        <w:tc>
          <w:tcPr>
            <w:tcW w:w="921" w:type="dxa"/>
            <w:gridSpan w:val="3"/>
            <w:tcBorders>
              <w:tl2br w:val="nil"/>
              <w:tr2bl w:val="nil"/>
            </w:tcBorders>
            <w:vAlign w:val="center"/>
          </w:tcPr>
          <w:p w14:paraId="302EC653" w14:textId="742895F4" w:rsidR="00606029" w:rsidRDefault="00EA5B92" w:rsidP="006F20D7">
            <w:pPr>
              <w:spacing w:line="280" w:lineRule="exact"/>
              <w:jc w:val="center"/>
            </w:pPr>
            <w:r>
              <w:t>CALPUFF□</w:t>
            </w:r>
          </w:p>
        </w:tc>
        <w:tc>
          <w:tcPr>
            <w:tcW w:w="888" w:type="dxa"/>
            <w:gridSpan w:val="2"/>
            <w:tcBorders>
              <w:tl2br w:val="nil"/>
              <w:tr2bl w:val="nil"/>
            </w:tcBorders>
            <w:vAlign w:val="center"/>
          </w:tcPr>
          <w:p w14:paraId="4828FF16" w14:textId="540DA375" w:rsidR="00606029" w:rsidRDefault="00EA5B92" w:rsidP="006F20D7">
            <w:pPr>
              <w:spacing w:line="280" w:lineRule="exact"/>
              <w:jc w:val="center"/>
            </w:pPr>
            <w:r>
              <w:t>网格模型</w:t>
            </w:r>
            <w:r>
              <w:t>□</w:t>
            </w:r>
          </w:p>
        </w:tc>
        <w:tc>
          <w:tcPr>
            <w:tcW w:w="695" w:type="dxa"/>
            <w:tcBorders>
              <w:tl2br w:val="nil"/>
              <w:tr2bl w:val="nil"/>
            </w:tcBorders>
            <w:vAlign w:val="center"/>
          </w:tcPr>
          <w:p w14:paraId="67CED62B" w14:textId="77777777" w:rsidR="00606029" w:rsidRDefault="00EA5B92">
            <w:pPr>
              <w:spacing w:line="280" w:lineRule="exact"/>
              <w:jc w:val="center"/>
            </w:pPr>
            <w:r>
              <w:t>其他</w:t>
            </w:r>
          </w:p>
          <w:p w14:paraId="04FB0E09" w14:textId="77777777" w:rsidR="00606029" w:rsidRDefault="00EA5B92">
            <w:pPr>
              <w:spacing w:line="280" w:lineRule="exact"/>
              <w:jc w:val="center"/>
            </w:pPr>
            <w:r>
              <w:t>☑</w:t>
            </w:r>
          </w:p>
        </w:tc>
      </w:tr>
      <w:tr w:rsidR="00606029" w14:paraId="3E2F928C" w14:textId="77777777">
        <w:trPr>
          <w:trHeight w:val="340"/>
          <w:jc w:val="center"/>
        </w:trPr>
        <w:tc>
          <w:tcPr>
            <w:tcW w:w="656" w:type="dxa"/>
            <w:vMerge/>
            <w:tcBorders>
              <w:tl2br w:val="nil"/>
              <w:tr2bl w:val="nil"/>
            </w:tcBorders>
            <w:vAlign w:val="center"/>
          </w:tcPr>
          <w:p w14:paraId="38BC53DA" w14:textId="77777777" w:rsidR="00606029" w:rsidRDefault="00606029">
            <w:pPr>
              <w:spacing w:line="280" w:lineRule="exact"/>
              <w:jc w:val="center"/>
            </w:pPr>
          </w:p>
        </w:tc>
        <w:tc>
          <w:tcPr>
            <w:tcW w:w="1787" w:type="dxa"/>
            <w:tcBorders>
              <w:tl2br w:val="nil"/>
              <w:tr2bl w:val="nil"/>
            </w:tcBorders>
            <w:vAlign w:val="center"/>
          </w:tcPr>
          <w:p w14:paraId="2BE9B746" w14:textId="77777777" w:rsidR="00606029" w:rsidRDefault="00EA5B92">
            <w:pPr>
              <w:spacing w:line="280" w:lineRule="exact"/>
              <w:jc w:val="center"/>
            </w:pPr>
            <w:r>
              <w:t>预测范围</w:t>
            </w:r>
          </w:p>
        </w:tc>
        <w:tc>
          <w:tcPr>
            <w:tcW w:w="2134" w:type="dxa"/>
            <w:gridSpan w:val="4"/>
            <w:tcBorders>
              <w:tl2br w:val="nil"/>
              <w:tr2bl w:val="nil"/>
            </w:tcBorders>
            <w:vAlign w:val="center"/>
          </w:tcPr>
          <w:p w14:paraId="4028D38B" w14:textId="77777777" w:rsidR="00606029" w:rsidRDefault="00EA5B92">
            <w:pPr>
              <w:spacing w:line="280" w:lineRule="exact"/>
              <w:jc w:val="center"/>
            </w:pPr>
            <w:r>
              <w:t>边长</w:t>
            </w:r>
            <w:r>
              <w:t>≥50km□</w:t>
            </w:r>
          </w:p>
        </w:tc>
        <w:tc>
          <w:tcPr>
            <w:tcW w:w="2740" w:type="dxa"/>
            <w:gridSpan w:val="7"/>
            <w:tcBorders>
              <w:tl2br w:val="nil"/>
              <w:tr2bl w:val="nil"/>
            </w:tcBorders>
            <w:vAlign w:val="center"/>
          </w:tcPr>
          <w:p w14:paraId="79485089" w14:textId="77777777" w:rsidR="00606029" w:rsidRDefault="00EA5B92">
            <w:pPr>
              <w:spacing w:line="280" w:lineRule="exact"/>
              <w:jc w:val="center"/>
            </w:pPr>
            <w:r>
              <w:t>边长</w:t>
            </w:r>
            <w:r>
              <w:t>5~50km□</w:t>
            </w:r>
          </w:p>
        </w:tc>
        <w:tc>
          <w:tcPr>
            <w:tcW w:w="1935" w:type="dxa"/>
            <w:gridSpan w:val="4"/>
            <w:tcBorders>
              <w:tl2br w:val="nil"/>
              <w:tr2bl w:val="nil"/>
            </w:tcBorders>
            <w:vAlign w:val="center"/>
          </w:tcPr>
          <w:p w14:paraId="66469E30" w14:textId="77777777" w:rsidR="00606029" w:rsidRDefault="00EA5B92">
            <w:pPr>
              <w:spacing w:line="280" w:lineRule="exact"/>
              <w:jc w:val="center"/>
            </w:pPr>
            <w:r>
              <w:t>边长</w:t>
            </w:r>
            <w:r>
              <w:t>=5km☑</w:t>
            </w:r>
          </w:p>
        </w:tc>
      </w:tr>
      <w:tr w:rsidR="00606029" w14:paraId="305F0CE9" w14:textId="77777777">
        <w:trPr>
          <w:trHeight w:val="340"/>
          <w:jc w:val="center"/>
        </w:trPr>
        <w:tc>
          <w:tcPr>
            <w:tcW w:w="656" w:type="dxa"/>
            <w:vMerge/>
            <w:tcBorders>
              <w:tl2br w:val="nil"/>
              <w:tr2bl w:val="nil"/>
            </w:tcBorders>
            <w:vAlign w:val="center"/>
          </w:tcPr>
          <w:p w14:paraId="4215C90B" w14:textId="77777777" w:rsidR="00606029" w:rsidRDefault="00606029">
            <w:pPr>
              <w:spacing w:line="280" w:lineRule="exact"/>
              <w:jc w:val="center"/>
            </w:pPr>
          </w:p>
        </w:tc>
        <w:tc>
          <w:tcPr>
            <w:tcW w:w="1787" w:type="dxa"/>
            <w:tcBorders>
              <w:tl2br w:val="nil"/>
              <w:tr2bl w:val="nil"/>
            </w:tcBorders>
            <w:vAlign w:val="center"/>
          </w:tcPr>
          <w:p w14:paraId="58CE9013" w14:textId="77777777" w:rsidR="00606029" w:rsidRDefault="00EA5B92">
            <w:pPr>
              <w:spacing w:line="280" w:lineRule="exact"/>
              <w:jc w:val="center"/>
            </w:pPr>
            <w:r>
              <w:t>预测因子</w:t>
            </w:r>
          </w:p>
        </w:tc>
        <w:tc>
          <w:tcPr>
            <w:tcW w:w="3449" w:type="dxa"/>
            <w:gridSpan w:val="7"/>
            <w:tcBorders>
              <w:tl2br w:val="nil"/>
              <w:tr2bl w:val="nil"/>
            </w:tcBorders>
            <w:vAlign w:val="center"/>
          </w:tcPr>
          <w:p w14:paraId="077A0405" w14:textId="77777777" w:rsidR="00606029" w:rsidRDefault="00EA5B92">
            <w:pPr>
              <w:spacing w:line="280" w:lineRule="exact"/>
              <w:jc w:val="center"/>
            </w:pPr>
            <w:r>
              <w:t>预测因子（</w:t>
            </w:r>
            <w:r>
              <w:t>PM</w:t>
            </w:r>
            <w:r>
              <w:rPr>
                <w:vertAlign w:val="subscript"/>
              </w:rPr>
              <w:t>10</w:t>
            </w:r>
            <w:r>
              <w:t>、</w:t>
            </w:r>
            <w:r>
              <w:t>PM</w:t>
            </w:r>
            <w:r>
              <w:rPr>
                <w:vertAlign w:val="subscript"/>
              </w:rPr>
              <w:t>2.5</w:t>
            </w:r>
            <w:r>
              <w:t>）</w:t>
            </w:r>
          </w:p>
        </w:tc>
        <w:tc>
          <w:tcPr>
            <w:tcW w:w="3360" w:type="dxa"/>
            <w:gridSpan w:val="8"/>
            <w:tcBorders>
              <w:tl2br w:val="nil"/>
              <w:tr2bl w:val="nil"/>
            </w:tcBorders>
            <w:vAlign w:val="center"/>
          </w:tcPr>
          <w:p w14:paraId="6EF8E27F" w14:textId="77777777" w:rsidR="00606029" w:rsidRDefault="00EA5B92">
            <w:pPr>
              <w:spacing w:line="280" w:lineRule="exact"/>
              <w:jc w:val="center"/>
            </w:pPr>
            <w:r>
              <w:t>包括二次</w:t>
            </w:r>
            <w:r>
              <w:t>PM</w:t>
            </w:r>
            <w:r>
              <w:rPr>
                <w:kern w:val="0"/>
                <w:sz w:val="24"/>
                <w:szCs w:val="24"/>
                <w:vertAlign w:val="subscript"/>
              </w:rPr>
              <w:t>2.5</w:t>
            </w:r>
            <w:r>
              <w:t>☑</w:t>
            </w:r>
          </w:p>
          <w:p w14:paraId="5D160231" w14:textId="77777777" w:rsidR="00606029" w:rsidRDefault="00EA5B92">
            <w:pPr>
              <w:spacing w:line="280" w:lineRule="exact"/>
              <w:jc w:val="center"/>
            </w:pPr>
            <w:r>
              <w:t>不包括二次</w:t>
            </w:r>
            <w:r>
              <w:t>PM</w:t>
            </w:r>
            <w:r>
              <w:rPr>
                <w:kern w:val="0"/>
                <w:sz w:val="24"/>
                <w:szCs w:val="24"/>
                <w:vertAlign w:val="subscript"/>
              </w:rPr>
              <w:t>2.5</w:t>
            </w:r>
            <w:r>
              <w:t>□</w:t>
            </w:r>
          </w:p>
        </w:tc>
      </w:tr>
      <w:tr w:rsidR="00606029" w14:paraId="391C964B" w14:textId="77777777">
        <w:trPr>
          <w:trHeight w:val="340"/>
          <w:jc w:val="center"/>
        </w:trPr>
        <w:tc>
          <w:tcPr>
            <w:tcW w:w="656" w:type="dxa"/>
            <w:vMerge/>
            <w:tcBorders>
              <w:tl2br w:val="nil"/>
              <w:tr2bl w:val="nil"/>
            </w:tcBorders>
            <w:vAlign w:val="center"/>
          </w:tcPr>
          <w:p w14:paraId="497F0AD4" w14:textId="77777777" w:rsidR="00606029" w:rsidRDefault="00606029">
            <w:pPr>
              <w:spacing w:line="280" w:lineRule="exact"/>
              <w:jc w:val="center"/>
            </w:pPr>
          </w:p>
        </w:tc>
        <w:tc>
          <w:tcPr>
            <w:tcW w:w="1787" w:type="dxa"/>
            <w:tcBorders>
              <w:tl2br w:val="nil"/>
              <w:tr2bl w:val="nil"/>
            </w:tcBorders>
            <w:vAlign w:val="center"/>
          </w:tcPr>
          <w:p w14:paraId="29CF4C18" w14:textId="77777777" w:rsidR="00606029" w:rsidRDefault="00EA5B92">
            <w:pPr>
              <w:spacing w:line="280" w:lineRule="exact"/>
              <w:jc w:val="center"/>
            </w:pPr>
            <w:r>
              <w:t>正常排放短期浓度贡献值</w:t>
            </w:r>
          </w:p>
        </w:tc>
        <w:tc>
          <w:tcPr>
            <w:tcW w:w="3449" w:type="dxa"/>
            <w:gridSpan w:val="7"/>
            <w:tcBorders>
              <w:tl2br w:val="nil"/>
              <w:tr2bl w:val="nil"/>
            </w:tcBorders>
            <w:vAlign w:val="center"/>
          </w:tcPr>
          <w:p w14:paraId="10A70FD6" w14:textId="77777777" w:rsidR="00606029" w:rsidRDefault="00EA5B92">
            <w:pPr>
              <w:spacing w:line="280" w:lineRule="exact"/>
              <w:jc w:val="center"/>
            </w:pPr>
            <w:r>
              <w:t>C</w:t>
            </w:r>
            <w:r>
              <w:t>本项目最大占标率</w:t>
            </w:r>
            <w:r>
              <w:t>≤100%☑</w:t>
            </w:r>
          </w:p>
        </w:tc>
        <w:tc>
          <w:tcPr>
            <w:tcW w:w="3360" w:type="dxa"/>
            <w:gridSpan w:val="8"/>
            <w:tcBorders>
              <w:tl2br w:val="nil"/>
              <w:tr2bl w:val="nil"/>
            </w:tcBorders>
            <w:vAlign w:val="center"/>
          </w:tcPr>
          <w:p w14:paraId="7417336B" w14:textId="77777777" w:rsidR="00606029" w:rsidRDefault="00EA5B92">
            <w:pPr>
              <w:spacing w:line="280" w:lineRule="exact"/>
              <w:jc w:val="center"/>
            </w:pPr>
            <w:r>
              <w:t>C</w:t>
            </w:r>
            <w:r>
              <w:t>本项目最大占标率＞</w:t>
            </w:r>
            <w:r>
              <w:t>100%□</w:t>
            </w:r>
          </w:p>
        </w:tc>
      </w:tr>
      <w:tr w:rsidR="00606029" w14:paraId="6B125CBB" w14:textId="77777777">
        <w:trPr>
          <w:trHeight w:val="340"/>
          <w:jc w:val="center"/>
        </w:trPr>
        <w:tc>
          <w:tcPr>
            <w:tcW w:w="656" w:type="dxa"/>
            <w:vMerge/>
            <w:tcBorders>
              <w:tl2br w:val="nil"/>
              <w:tr2bl w:val="nil"/>
            </w:tcBorders>
            <w:vAlign w:val="center"/>
          </w:tcPr>
          <w:p w14:paraId="18BE8FFE" w14:textId="77777777" w:rsidR="00606029" w:rsidRDefault="00606029">
            <w:pPr>
              <w:spacing w:line="280" w:lineRule="exact"/>
              <w:jc w:val="center"/>
            </w:pPr>
          </w:p>
        </w:tc>
        <w:tc>
          <w:tcPr>
            <w:tcW w:w="1787" w:type="dxa"/>
            <w:vMerge w:val="restart"/>
            <w:tcBorders>
              <w:tl2br w:val="nil"/>
              <w:tr2bl w:val="nil"/>
            </w:tcBorders>
            <w:vAlign w:val="center"/>
          </w:tcPr>
          <w:p w14:paraId="61A6C775" w14:textId="77777777" w:rsidR="00606029" w:rsidRDefault="00EA5B92">
            <w:pPr>
              <w:spacing w:line="280" w:lineRule="exact"/>
              <w:jc w:val="center"/>
            </w:pPr>
            <w:r>
              <w:t>正常排放年均浓度贡献值</w:t>
            </w:r>
          </w:p>
        </w:tc>
        <w:tc>
          <w:tcPr>
            <w:tcW w:w="1003" w:type="dxa"/>
            <w:tcBorders>
              <w:tl2br w:val="nil"/>
              <w:tr2bl w:val="nil"/>
            </w:tcBorders>
            <w:vAlign w:val="center"/>
          </w:tcPr>
          <w:p w14:paraId="563EB895" w14:textId="77777777" w:rsidR="00606029" w:rsidRDefault="00EA5B92">
            <w:pPr>
              <w:spacing w:line="280" w:lineRule="exact"/>
              <w:jc w:val="center"/>
            </w:pPr>
            <w:r>
              <w:t>一类区</w:t>
            </w:r>
          </w:p>
        </w:tc>
        <w:tc>
          <w:tcPr>
            <w:tcW w:w="2446" w:type="dxa"/>
            <w:gridSpan w:val="6"/>
            <w:tcBorders>
              <w:tl2br w:val="nil"/>
              <w:tr2bl w:val="nil"/>
            </w:tcBorders>
            <w:vAlign w:val="center"/>
          </w:tcPr>
          <w:p w14:paraId="3F3C073E" w14:textId="77777777" w:rsidR="00606029" w:rsidRDefault="00EA5B92">
            <w:pPr>
              <w:spacing w:line="280" w:lineRule="exact"/>
              <w:jc w:val="center"/>
            </w:pPr>
            <w:r>
              <w:t>C</w:t>
            </w:r>
            <w:r>
              <w:t>本项目最大占标率</w:t>
            </w:r>
            <w:r>
              <w:t>≤10%□</w:t>
            </w:r>
          </w:p>
        </w:tc>
        <w:tc>
          <w:tcPr>
            <w:tcW w:w="3360" w:type="dxa"/>
            <w:gridSpan w:val="8"/>
            <w:tcBorders>
              <w:tl2br w:val="nil"/>
              <w:tr2bl w:val="nil"/>
            </w:tcBorders>
            <w:vAlign w:val="center"/>
          </w:tcPr>
          <w:p w14:paraId="7CEEAA90" w14:textId="77777777" w:rsidR="00606029" w:rsidRDefault="00EA5B92">
            <w:pPr>
              <w:spacing w:line="280" w:lineRule="exact"/>
              <w:jc w:val="center"/>
            </w:pPr>
            <w:r>
              <w:t>C</w:t>
            </w:r>
            <w:r>
              <w:t>本项目最大占标率＞</w:t>
            </w:r>
            <w:r>
              <w:t>10%□</w:t>
            </w:r>
          </w:p>
        </w:tc>
      </w:tr>
      <w:tr w:rsidR="00606029" w14:paraId="28A46524" w14:textId="77777777">
        <w:trPr>
          <w:trHeight w:val="340"/>
          <w:jc w:val="center"/>
        </w:trPr>
        <w:tc>
          <w:tcPr>
            <w:tcW w:w="656" w:type="dxa"/>
            <w:vMerge/>
            <w:tcBorders>
              <w:tl2br w:val="nil"/>
              <w:tr2bl w:val="nil"/>
            </w:tcBorders>
            <w:vAlign w:val="center"/>
          </w:tcPr>
          <w:p w14:paraId="3A7C6D0B" w14:textId="77777777" w:rsidR="00606029" w:rsidRDefault="00606029">
            <w:pPr>
              <w:spacing w:line="280" w:lineRule="exact"/>
              <w:jc w:val="center"/>
            </w:pPr>
          </w:p>
        </w:tc>
        <w:tc>
          <w:tcPr>
            <w:tcW w:w="1787" w:type="dxa"/>
            <w:vMerge/>
            <w:tcBorders>
              <w:tl2br w:val="nil"/>
              <w:tr2bl w:val="nil"/>
            </w:tcBorders>
            <w:vAlign w:val="center"/>
          </w:tcPr>
          <w:p w14:paraId="52700341" w14:textId="77777777" w:rsidR="00606029" w:rsidRDefault="00606029">
            <w:pPr>
              <w:spacing w:line="280" w:lineRule="exact"/>
              <w:jc w:val="center"/>
            </w:pPr>
          </w:p>
        </w:tc>
        <w:tc>
          <w:tcPr>
            <w:tcW w:w="1003" w:type="dxa"/>
            <w:tcBorders>
              <w:tl2br w:val="nil"/>
              <w:tr2bl w:val="nil"/>
            </w:tcBorders>
            <w:vAlign w:val="center"/>
          </w:tcPr>
          <w:p w14:paraId="2E39C0A9" w14:textId="77777777" w:rsidR="00606029" w:rsidRDefault="00EA5B92">
            <w:pPr>
              <w:spacing w:line="280" w:lineRule="exact"/>
              <w:jc w:val="center"/>
            </w:pPr>
            <w:r>
              <w:t>二类区</w:t>
            </w:r>
          </w:p>
        </w:tc>
        <w:tc>
          <w:tcPr>
            <w:tcW w:w="2446" w:type="dxa"/>
            <w:gridSpan w:val="6"/>
            <w:tcBorders>
              <w:tl2br w:val="nil"/>
              <w:tr2bl w:val="nil"/>
            </w:tcBorders>
            <w:vAlign w:val="center"/>
          </w:tcPr>
          <w:p w14:paraId="78A0EA62" w14:textId="77777777" w:rsidR="00606029" w:rsidRDefault="00EA5B92">
            <w:pPr>
              <w:spacing w:line="280" w:lineRule="exact"/>
              <w:jc w:val="center"/>
            </w:pPr>
            <w:r>
              <w:t>C</w:t>
            </w:r>
            <w:r>
              <w:t>本项目最大占标率</w:t>
            </w:r>
            <w:r>
              <w:t>≤30%☑</w:t>
            </w:r>
          </w:p>
        </w:tc>
        <w:tc>
          <w:tcPr>
            <w:tcW w:w="3360" w:type="dxa"/>
            <w:gridSpan w:val="8"/>
            <w:tcBorders>
              <w:tl2br w:val="nil"/>
              <w:tr2bl w:val="nil"/>
            </w:tcBorders>
            <w:vAlign w:val="center"/>
          </w:tcPr>
          <w:p w14:paraId="504CAD62" w14:textId="77777777" w:rsidR="00606029" w:rsidRDefault="00EA5B92">
            <w:pPr>
              <w:spacing w:line="280" w:lineRule="exact"/>
              <w:jc w:val="center"/>
            </w:pPr>
            <w:r>
              <w:t>C</w:t>
            </w:r>
            <w:r>
              <w:t>本项目最大占标率＞</w:t>
            </w:r>
            <w:r>
              <w:t>30%□</w:t>
            </w:r>
          </w:p>
        </w:tc>
      </w:tr>
      <w:tr w:rsidR="00606029" w14:paraId="337F5ACA" w14:textId="77777777">
        <w:trPr>
          <w:trHeight w:val="340"/>
          <w:jc w:val="center"/>
        </w:trPr>
        <w:tc>
          <w:tcPr>
            <w:tcW w:w="656" w:type="dxa"/>
            <w:vMerge/>
            <w:tcBorders>
              <w:tl2br w:val="nil"/>
              <w:tr2bl w:val="nil"/>
            </w:tcBorders>
            <w:vAlign w:val="center"/>
          </w:tcPr>
          <w:p w14:paraId="45C8D611" w14:textId="77777777" w:rsidR="00606029" w:rsidRDefault="00606029">
            <w:pPr>
              <w:spacing w:line="280" w:lineRule="exact"/>
              <w:jc w:val="center"/>
            </w:pPr>
          </w:p>
        </w:tc>
        <w:tc>
          <w:tcPr>
            <w:tcW w:w="1787" w:type="dxa"/>
            <w:tcBorders>
              <w:tl2br w:val="nil"/>
              <w:tr2bl w:val="nil"/>
            </w:tcBorders>
            <w:vAlign w:val="center"/>
          </w:tcPr>
          <w:p w14:paraId="44C928A9" w14:textId="77777777" w:rsidR="00606029" w:rsidRDefault="00EA5B92">
            <w:pPr>
              <w:spacing w:line="280" w:lineRule="exact"/>
              <w:jc w:val="center"/>
            </w:pPr>
            <w:r>
              <w:t>非正常排放</w:t>
            </w:r>
            <w:r>
              <w:t>1h</w:t>
            </w:r>
            <w:r>
              <w:t>浓度贡献值</w:t>
            </w:r>
          </w:p>
        </w:tc>
        <w:tc>
          <w:tcPr>
            <w:tcW w:w="1570" w:type="dxa"/>
            <w:gridSpan w:val="2"/>
            <w:tcBorders>
              <w:tl2br w:val="nil"/>
              <w:tr2bl w:val="nil"/>
            </w:tcBorders>
            <w:vAlign w:val="center"/>
          </w:tcPr>
          <w:p w14:paraId="7429B71B" w14:textId="77777777" w:rsidR="00606029" w:rsidRDefault="00EA5B92">
            <w:pPr>
              <w:spacing w:line="280" w:lineRule="exact"/>
              <w:jc w:val="center"/>
            </w:pPr>
            <w:r>
              <w:t>非正常持续时长（</w:t>
            </w:r>
            <w:r>
              <w:t xml:space="preserve"> </w:t>
            </w:r>
            <w:r>
              <w:t>）</w:t>
            </w:r>
            <w:r>
              <w:t>h</w:t>
            </w:r>
          </w:p>
        </w:tc>
        <w:tc>
          <w:tcPr>
            <w:tcW w:w="3045" w:type="dxa"/>
            <w:gridSpan w:val="8"/>
            <w:tcBorders>
              <w:tl2br w:val="nil"/>
              <w:tr2bl w:val="nil"/>
            </w:tcBorders>
            <w:vAlign w:val="center"/>
          </w:tcPr>
          <w:p w14:paraId="7F626D3B" w14:textId="77777777" w:rsidR="00606029" w:rsidRDefault="00EA5B92">
            <w:pPr>
              <w:spacing w:line="280" w:lineRule="exact"/>
              <w:jc w:val="center"/>
            </w:pPr>
            <w:r>
              <w:t>C</w:t>
            </w:r>
            <w:r>
              <w:t>非正常占标率</w:t>
            </w:r>
            <w:r>
              <w:t>≤100%□</w:t>
            </w:r>
          </w:p>
        </w:tc>
        <w:tc>
          <w:tcPr>
            <w:tcW w:w="2194" w:type="dxa"/>
            <w:gridSpan w:val="5"/>
            <w:tcBorders>
              <w:tl2br w:val="nil"/>
              <w:tr2bl w:val="nil"/>
            </w:tcBorders>
            <w:vAlign w:val="center"/>
          </w:tcPr>
          <w:p w14:paraId="7E057C52" w14:textId="77777777" w:rsidR="00606029" w:rsidRDefault="00EA5B92">
            <w:pPr>
              <w:spacing w:line="280" w:lineRule="exact"/>
              <w:jc w:val="center"/>
            </w:pPr>
            <w:r>
              <w:t>C</w:t>
            </w:r>
            <w:r>
              <w:t>非正常占标率＞</w:t>
            </w:r>
            <w:r>
              <w:t>100%□</w:t>
            </w:r>
          </w:p>
        </w:tc>
      </w:tr>
      <w:tr w:rsidR="00606029" w14:paraId="1E3D8A68" w14:textId="77777777">
        <w:trPr>
          <w:trHeight w:val="340"/>
          <w:jc w:val="center"/>
        </w:trPr>
        <w:tc>
          <w:tcPr>
            <w:tcW w:w="656" w:type="dxa"/>
            <w:vMerge/>
            <w:tcBorders>
              <w:tl2br w:val="nil"/>
              <w:tr2bl w:val="nil"/>
            </w:tcBorders>
            <w:vAlign w:val="center"/>
          </w:tcPr>
          <w:p w14:paraId="37CABABF" w14:textId="77777777" w:rsidR="00606029" w:rsidRDefault="00606029">
            <w:pPr>
              <w:spacing w:line="280" w:lineRule="exact"/>
              <w:jc w:val="center"/>
            </w:pPr>
          </w:p>
        </w:tc>
        <w:tc>
          <w:tcPr>
            <w:tcW w:w="1787" w:type="dxa"/>
            <w:tcBorders>
              <w:tl2br w:val="nil"/>
              <w:tr2bl w:val="nil"/>
            </w:tcBorders>
            <w:vAlign w:val="center"/>
          </w:tcPr>
          <w:p w14:paraId="776AF02C" w14:textId="77777777" w:rsidR="00606029" w:rsidRDefault="00EA5B92">
            <w:pPr>
              <w:spacing w:line="280" w:lineRule="exact"/>
              <w:jc w:val="center"/>
            </w:pPr>
            <w:r>
              <w:t>保证率日平均浓度和年平均浓度叠加值</w:t>
            </w:r>
          </w:p>
        </w:tc>
        <w:tc>
          <w:tcPr>
            <w:tcW w:w="3449" w:type="dxa"/>
            <w:gridSpan w:val="7"/>
            <w:tcBorders>
              <w:tl2br w:val="nil"/>
              <w:tr2bl w:val="nil"/>
            </w:tcBorders>
            <w:vAlign w:val="center"/>
          </w:tcPr>
          <w:p w14:paraId="5C8CD06D" w14:textId="77777777" w:rsidR="00606029" w:rsidRDefault="00EA5B92">
            <w:pPr>
              <w:spacing w:line="280" w:lineRule="exact"/>
              <w:jc w:val="center"/>
            </w:pPr>
            <w:r>
              <w:t>C</w:t>
            </w:r>
            <w:r>
              <w:t>叠加达标</w:t>
            </w:r>
            <w:r>
              <w:t>□</w:t>
            </w:r>
          </w:p>
        </w:tc>
        <w:tc>
          <w:tcPr>
            <w:tcW w:w="3360" w:type="dxa"/>
            <w:gridSpan w:val="8"/>
            <w:tcBorders>
              <w:tl2br w:val="nil"/>
              <w:tr2bl w:val="nil"/>
            </w:tcBorders>
            <w:vAlign w:val="center"/>
          </w:tcPr>
          <w:p w14:paraId="2124DCF6" w14:textId="77777777" w:rsidR="00606029" w:rsidRDefault="00EA5B92">
            <w:pPr>
              <w:spacing w:line="280" w:lineRule="exact"/>
              <w:jc w:val="center"/>
            </w:pPr>
            <w:r>
              <w:t>C</w:t>
            </w:r>
            <w:r>
              <w:t>叠加不达标</w:t>
            </w:r>
            <w:r>
              <w:t>□</w:t>
            </w:r>
          </w:p>
        </w:tc>
      </w:tr>
      <w:tr w:rsidR="00606029" w14:paraId="67147709" w14:textId="77777777">
        <w:trPr>
          <w:trHeight w:val="340"/>
          <w:jc w:val="center"/>
        </w:trPr>
        <w:tc>
          <w:tcPr>
            <w:tcW w:w="656" w:type="dxa"/>
            <w:vMerge/>
            <w:tcBorders>
              <w:tl2br w:val="nil"/>
              <w:tr2bl w:val="nil"/>
            </w:tcBorders>
            <w:vAlign w:val="center"/>
          </w:tcPr>
          <w:p w14:paraId="39F384BC" w14:textId="77777777" w:rsidR="00606029" w:rsidRDefault="00606029">
            <w:pPr>
              <w:spacing w:line="280" w:lineRule="exact"/>
              <w:jc w:val="center"/>
            </w:pPr>
          </w:p>
        </w:tc>
        <w:tc>
          <w:tcPr>
            <w:tcW w:w="1787" w:type="dxa"/>
            <w:tcBorders>
              <w:tl2br w:val="nil"/>
              <w:tr2bl w:val="nil"/>
            </w:tcBorders>
            <w:vAlign w:val="center"/>
          </w:tcPr>
          <w:p w14:paraId="4E37E8AD" w14:textId="77777777" w:rsidR="00606029" w:rsidRDefault="00EA5B92">
            <w:pPr>
              <w:spacing w:line="280" w:lineRule="exact"/>
              <w:jc w:val="center"/>
            </w:pPr>
            <w:r>
              <w:t>区域环境质量的整体变化情况</w:t>
            </w:r>
          </w:p>
        </w:tc>
        <w:tc>
          <w:tcPr>
            <w:tcW w:w="3449" w:type="dxa"/>
            <w:gridSpan w:val="7"/>
            <w:tcBorders>
              <w:tl2br w:val="nil"/>
              <w:tr2bl w:val="nil"/>
            </w:tcBorders>
            <w:vAlign w:val="center"/>
          </w:tcPr>
          <w:p w14:paraId="51E62085" w14:textId="77777777" w:rsidR="00606029" w:rsidRDefault="00EA5B92">
            <w:pPr>
              <w:spacing w:line="280" w:lineRule="exact"/>
              <w:jc w:val="center"/>
            </w:pPr>
            <w:r>
              <w:t>k ≤ -20%□</w:t>
            </w:r>
          </w:p>
        </w:tc>
        <w:tc>
          <w:tcPr>
            <w:tcW w:w="3360" w:type="dxa"/>
            <w:gridSpan w:val="8"/>
            <w:tcBorders>
              <w:tl2br w:val="nil"/>
              <w:tr2bl w:val="nil"/>
            </w:tcBorders>
            <w:vAlign w:val="center"/>
          </w:tcPr>
          <w:p w14:paraId="047A68D5" w14:textId="77777777" w:rsidR="00606029" w:rsidRDefault="00EA5B92">
            <w:pPr>
              <w:spacing w:line="280" w:lineRule="exact"/>
              <w:jc w:val="center"/>
            </w:pPr>
            <w:r>
              <w:t xml:space="preserve">k </w:t>
            </w:r>
            <w:r>
              <w:t>＞</w:t>
            </w:r>
            <w:r>
              <w:t xml:space="preserve"> -20%□</w:t>
            </w:r>
          </w:p>
        </w:tc>
      </w:tr>
      <w:tr w:rsidR="00606029" w14:paraId="701419C2" w14:textId="77777777">
        <w:trPr>
          <w:trHeight w:val="340"/>
          <w:jc w:val="center"/>
        </w:trPr>
        <w:tc>
          <w:tcPr>
            <w:tcW w:w="656" w:type="dxa"/>
            <w:vMerge w:val="restart"/>
            <w:tcBorders>
              <w:tl2br w:val="nil"/>
              <w:tr2bl w:val="nil"/>
            </w:tcBorders>
            <w:vAlign w:val="center"/>
          </w:tcPr>
          <w:p w14:paraId="1727954D" w14:textId="77777777" w:rsidR="00606029" w:rsidRDefault="00EA5B92">
            <w:pPr>
              <w:spacing w:line="280" w:lineRule="exact"/>
              <w:jc w:val="center"/>
            </w:pPr>
            <w:r>
              <w:t>环境监测计划</w:t>
            </w:r>
          </w:p>
        </w:tc>
        <w:tc>
          <w:tcPr>
            <w:tcW w:w="1787" w:type="dxa"/>
            <w:tcBorders>
              <w:tl2br w:val="nil"/>
              <w:tr2bl w:val="nil"/>
            </w:tcBorders>
            <w:vAlign w:val="center"/>
          </w:tcPr>
          <w:p w14:paraId="64975634" w14:textId="77777777" w:rsidR="00606029" w:rsidRDefault="00EA5B92">
            <w:pPr>
              <w:spacing w:line="280" w:lineRule="exact"/>
              <w:jc w:val="center"/>
            </w:pPr>
            <w:r>
              <w:t>污染源监测</w:t>
            </w:r>
          </w:p>
        </w:tc>
        <w:tc>
          <w:tcPr>
            <w:tcW w:w="2134" w:type="dxa"/>
            <w:gridSpan w:val="4"/>
            <w:tcBorders>
              <w:tl2br w:val="nil"/>
              <w:tr2bl w:val="nil"/>
            </w:tcBorders>
            <w:vAlign w:val="center"/>
          </w:tcPr>
          <w:p w14:paraId="1CD301AD" w14:textId="6058C934" w:rsidR="00606029" w:rsidRDefault="00EA5B92">
            <w:pPr>
              <w:spacing w:line="280" w:lineRule="exact"/>
              <w:jc w:val="center"/>
            </w:pPr>
            <w:r>
              <w:t>监测因子</w:t>
            </w:r>
            <w:r w:rsidR="006A52CC">
              <w:t>：</w:t>
            </w:r>
            <w:r>
              <w:t>（</w:t>
            </w:r>
            <w:r>
              <w:t>PM</w:t>
            </w:r>
            <w:r>
              <w:rPr>
                <w:vertAlign w:val="subscript"/>
              </w:rPr>
              <w:t>10</w:t>
            </w:r>
            <w:r>
              <w:t>、</w:t>
            </w:r>
            <w:r>
              <w:t>PM</w:t>
            </w:r>
            <w:r>
              <w:rPr>
                <w:vertAlign w:val="subscript"/>
              </w:rPr>
              <w:t>2.5</w:t>
            </w:r>
            <w:r>
              <w:t>）</w:t>
            </w:r>
          </w:p>
        </w:tc>
        <w:tc>
          <w:tcPr>
            <w:tcW w:w="2740" w:type="dxa"/>
            <w:gridSpan w:val="7"/>
            <w:tcBorders>
              <w:tl2br w:val="nil"/>
              <w:tr2bl w:val="nil"/>
            </w:tcBorders>
            <w:vAlign w:val="center"/>
          </w:tcPr>
          <w:p w14:paraId="65F41C31" w14:textId="77777777" w:rsidR="00606029" w:rsidRDefault="00EA5B92">
            <w:pPr>
              <w:spacing w:line="280" w:lineRule="exact"/>
              <w:jc w:val="center"/>
            </w:pPr>
            <w:r>
              <w:t>无组织废气监测</w:t>
            </w:r>
            <w:r>
              <w:t>☑</w:t>
            </w:r>
          </w:p>
          <w:p w14:paraId="60EA758A" w14:textId="77777777" w:rsidR="00606029" w:rsidRDefault="00EA5B92">
            <w:pPr>
              <w:spacing w:line="280" w:lineRule="exact"/>
              <w:jc w:val="center"/>
            </w:pPr>
            <w:r>
              <w:t>有组织废气监测</w:t>
            </w:r>
            <w:r>
              <w:t>□</w:t>
            </w:r>
          </w:p>
        </w:tc>
        <w:tc>
          <w:tcPr>
            <w:tcW w:w="1935" w:type="dxa"/>
            <w:gridSpan w:val="4"/>
            <w:tcBorders>
              <w:tl2br w:val="nil"/>
              <w:tr2bl w:val="nil"/>
            </w:tcBorders>
            <w:vAlign w:val="center"/>
          </w:tcPr>
          <w:p w14:paraId="1DAC24FF" w14:textId="77777777" w:rsidR="00606029" w:rsidRDefault="00EA5B92">
            <w:pPr>
              <w:spacing w:line="280" w:lineRule="exact"/>
              <w:jc w:val="center"/>
            </w:pPr>
            <w:r>
              <w:t>无监测</w:t>
            </w:r>
            <w:r>
              <w:t>□</w:t>
            </w:r>
          </w:p>
        </w:tc>
      </w:tr>
      <w:tr w:rsidR="00606029" w14:paraId="6CD93970" w14:textId="77777777">
        <w:trPr>
          <w:trHeight w:val="340"/>
          <w:jc w:val="center"/>
        </w:trPr>
        <w:tc>
          <w:tcPr>
            <w:tcW w:w="656" w:type="dxa"/>
            <w:vMerge/>
            <w:tcBorders>
              <w:tl2br w:val="nil"/>
              <w:tr2bl w:val="nil"/>
            </w:tcBorders>
            <w:vAlign w:val="center"/>
          </w:tcPr>
          <w:p w14:paraId="4E2D207C" w14:textId="77777777" w:rsidR="00606029" w:rsidRDefault="00606029">
            <w:pPr>
              <w:spacing w:line="280" w:lineRule="exact"/>
              <w:jc w:val="center"/>
            </w:pPr>
          </w:p>
        </w:tc>
        <w:tc>
          <w:tcPr>
            <w:tcW w:w="1787" w:type="dxa"/>
            <w:tcBorders>
              <w:tl2br w:val="nil"/>
              <w:tr2bl w:val="nil"/>
            </w:tcBorders>
            <w:vAlign w:val="center"/>
          </w:tcPr>
          <w:p w14:paraId="34441C60" w14:textId="77777777" w:rsidR="00606029" w:rsidRDefault="00EA5B92">
            <w:pPr>
              <w:spacing w:line="280" w:lineRule="exact"/>
              <w:jc w:val="center"/>
            </w:pPr>
            <w:r>
              <w:t>环境质量监测</w:t>
            </w:r>
          </w:p>
        </w:tc>
        <w:tc>
          <w:tcPr>
            <w:tcW w:w="2134" w:type="dxa"/>
            <w:gridSpan w:val="4"/>
            <w:tcBorders>
              <w:tl2br w:val="nil"/>
              <w:tr2bl w:val="nil"/>
            </w:tcBorders>
            <w:vAlign w:val="center"/>
          </w:tcPr>
          <w:p w14:paraId="340154DC" w14:textId="2D1245FA" w:rsidR="00606029" w:rsidRDefault="00EA5B92">
            <w:pPr>
              <w:spacing w:line="280" w:lineRule="exact"/>
              <w:jc w:val="center"/>
            </w:pPr>
            <w:r>
              <w:t>监测因子</w:t>
            </w:r>
            <w:r w:rsidR="006A52CC">
              <w:t>：</w:t>
            </w:r>
            <w:r>
              <w:t>（</w:t>
            </w:r>
            <w:r>
              <w:t>PM</w:t>
            </w:r>
            <w:r>
              <w:rPr>
                <w:vertAlign w:val="subscript"/>
              </w:rPr>
              <w:t>10</w:t>
            </w:r>
            <w:r>
              <w:t>、</w:t>
            </w:r>
            <w:r>
              <w:t>PM</w:t>
            </w:r>
            <w:r>
              <w:rPr>
                <w:vertAlign w:val="subscript"/>
              </w:rPr>
              <w:t>2.5</w:t>
            </w:r>
            <w:r>
              <w:t>）</w:t>
            </w:r>
          </w:p>
        </w:tc>
        <w:tc>
          <w:tcPr>
            <w:tcW w:w="2740" w:type="dxa"/>
            <w:gridSpan w:val="7"/>
            <w:tcBorders>
              <w:tl2br w:val="nil"/>
              <w:tr2bl w:val="nil"/>
            </w:tcBorders>
            <w:vAlign w:val="center"/>
          </w:tcPr>
          <w:p w14:paraId="3221486D" w14:textId="77777777" w:rsidR="00606029" w:rsidRDefault="00EA5B92">
            <w:pPr>
              <w:spacing w:line="280" w:lineRule="exact"/>
              <w:jc w:val="center"/>
            </w:pPr>
            <w:r>
              <w:t>监测点位数（</w:t>
            </w:r>
            <w:r>
              <w:t xml:space="preserve"> 3 </w:t>
            </w:r>
            <w:r>
              <w:t>）</w:t>
            </w:r>
          </w:p>
        </w:tc>
        <w:tc>
          <w:tcPr>
            <w:tcW w:w="1935" w:type="dxa"/>
            <w:gridSpan w:val="4"/>
            <w:tcBorders>
              <w:tl2br w:val="nil"/>
              <w:tr2bl w:val="nil"/>
            </w:tcBorders>
            <w:vAlign w:val="center"/>
          </w:tcPr>
          <w:p w14:paraId="41E44288" w14:textId="77777777" w:rsidR="00606029" w:rsidRDefault="00EA5B92">
            <w:pPr>
              <w:spacing w:line="280" w:lineRule="exact"/>
              <w:jc w:val="center"/>
            </w:pPr>
            <w:r>
              <w:t>无监测</w:t>
            </w:r>
            <w:r>
              <w:t>□</w:t>
            </w:r>
          </w:p>
        </w:tc>
      </w:tr>
      <w:tr w:rsidR="00606029" w14:paraId="61311093" w14:textId="77777777">
        <w:trPr>
          <w:trHeight w:val="340"/>
          <w:jc w:val="center"/>
        </w:trPr>
        <w:tc>
          <w:tcPr>
            <w:tcW w:w="656" w:type="dxa"/>
            <w:vMerge w:val="restart"/>
            <w:tcBorders>
              <w:tl2br w:val="nil"/>
              <w:tr2bl w:val="nil"/>
            </w:tcBorders>
            <w:vAlign w:val="center"/>
          </w:tcPr>
          <w:p w14:paraId="647D7C50" w14:textId="77777777" w:rsidR="00606029" w:rsidRDefault="00EA5B92">
            <w:pPr>
              <w:spacing w:line="280" w:lineRule="exact"/>
              <w:jc w:val="center"/>
            </w:pPr>
            <w:r>
              <w:t>评价结论</w:t>
            </w:r>
          </w:p>
        </w:tc>
        <w:tc>
          <w:tcPr>
            <w:tcW w:w="1787" w:type="dxa"/>
            <w:tcBorders>
              <w:tl2br w:val="nil"/>
              <w:tr2bl w:val="nil"/>
            </w:tcBorders>
            <w:vAlign w:val="center"/>
          </w:tcPr>
          <w:p w14:paraId="3D17085E" w14:textId="77777777" w:rsidR="00606029" w:rsidRDefault="00EA5B92">
            <w:pPr>
              <w:spacing w:line="280" w:lineRule="exact"/>
              <w:jc w:val="center"/>
            </w:pPr>
            <w:r>
              <w:t>环境影响</w:t>
            </w:r>
          </w:p>
        </w:tc>
        <w:tc>
          <w:tcPr>
            <w:tcW w:w="6809" w:type="dxa"/>
            <w:gridSpan w:val="15"/>
            <w:tcBorders>
              <w:tl2br w:val="nil"/>
              <w:tr2bl w:val="nil"/>
            </w:tcBorders>
            <w:vAlign w:val="center"/>
          </w:tcPr>
          <w:p w14:paraId="37A8C8ED" w14:textId="77777777" w:rsidR="00606029" w:rsidRDefault="00EA5B92">
            <w:pPr>
              <w:spacing w:line="280" w:lineRule="exact"/>
              <w:jc w:val="center"/>
            </w:pPr>
            <w:r>
              <w:t>可以接受</w:t>
            </w:r>
            <w:r>
              <w:t xml:space="preserve">☑     </w:t>
            </w:r>
            <w:r>
              <w:t>不可以接受</w:t>
            </w:r>
            <w:r>
              <w:t>□</w:t>
            </w:r>
          </w:p>
        </w:tc>
      </w:tr>
      <w:tr w:rsidR="00606029" w14:paraId="15F52E09" w14:textId="77777777">
        <w:trPr>
          <w:trHeight w:val="340"/>
          <w:jc w:val="center"/>
        </w:trPr>
        <w:tc>
          <w:tcPr>
            <w:tcW w:w="656" w:type="dxa"/>
            <w:vMerge/>
            <w:tcBorders>
              <w:tl2br w:val="nil"/>
              <w:tr2bl w:val="nil"/>
            </w:tcBorders>
            <w:vAlign w:val="center"/>
          </w:tcPr>
          <w:p w14:paraId="3255C77F" w14:textId="77777777" w:rsidR="00606029" w:rsidRDefault="00606029">
            <w:pPr>
              <w:spacing w:line="280" w:lineRule="exact"/>
              <w:jc w:val="center"/>
            </w:pPr>
          </w:p>
        </w:tc>
        <w:tc>
          <w:tcPr>
            <w:tcW w:w="1787" w:type="dxa"/>
            <w:tcBorders>
              <w:tl2br w:val="nil"/>
              <w:tr2bl w:val="nil"/>
            </w:tcBorders>
            <w:vAlign w:val="center"/>
          </w:tcPr>
          <w:p w14:paraId="1FD322CA" w14:textId="77777777" w:rsidR="00606029" w:rsidRDefault="00EA5B92">
            <w:pPr>
              <w:spacing w:line="280" w:lineRule="exact"/>
              <w:jc w:val="center"/>
            </w:pPr>
            <w:r>
              <w:t>大气环境防护距离</w:t>
            </w:r>
          </w:p>
        </w:tc>
        <w:tc>
          <w:tcPr>
            <w:tcW w:w="6809" w:type="dxa"/>
            <w:gridSpan w:val="15"/>
            <w:tcBorders>
              <w:tl2br w:val="nil"/>
              <w:tr2bl w:val="nil"/>
            </w:tcBorders>
            <w:vAlign w:val="center"/>
          </w:tcPr>
          <w:p w14:paraId="01EA5616" w14:textId="77777777" w:rsidR="00606029" w:rsidRDefault="00EA5B92">
            <w:pPr>
              <w:spacing w:line="280" w:lineRule="exact"/>
              <w:jc w:val="center"/>
            </w:pPr>
            <w:r>
              <w:t>距（</w:t>
            </w:r>
            <w:r>
              <w:t xml:space="preserve">     </w:t>
            </w:r>
            <w:r>
              <w:t>）厂界最远（</w:t>
            </w:r>
            <w:r>
              <w:t xml:space="preserve">     </w:t>
            </w:r>
            <w:r>
              <w:t>）</w:t>
            </w:r>
            <w:r>
              <w:t>m</w:t>
            </w:r>
          </w:p>
        </w:tc>
      </w:tr>
      <w:tr w:rsidR="00606029" w14:paraId="62BC6C29" w14:textId="77777777">
        <w:trPr>
          <w:trHeight w:val="340"/>
          <w:jc w:val="center"/>
        </w:trPr>
        <w:tc>
          <w:tcPr>
            <w:tcW w:w="656" w:type="dxa"/>
            <w:vMerge/>
            <w:tcBorders>
              <w:tl2br w:val="nil"/>
              <w:tr2bl w:val="nil"/>
            </w:tcBorders>
            <w:vAlign w:val="center"/>
          </w:tcPr>
          <w:p w14:paraId="79F3D0E8" w14:textId="77777777" w:rsidR="00606029" w:rsidRDefault="00606029">
            <w:pPr>
              <w:spacing w:line="280" w:lineRule="exact"/>
              <w:jc w:val="center"/>
            </w:pPr>
          </w:p>
        </w:tc>
        <w:tc>
          <w:tcPr>
            <w:tcW w:w="1787" w:type="dxa"/>
            <w:tcBorders>
              <w:tl2br w:val="nil"/>
              <w:tr2bl w:val="nil"/>
            </w:tcBorders>
            <w:vAlign w:val="center"/>
          </w:tcPr>
          <w:p w14:paraId="19A2499F" w14:textId="77777777" w:rsidR="00606029" w:rsidRDefault="00EA5B92">
            <w:pPr>
              <w:spacing w:line="280" w:lineRule="exact"/>
              <w:jc w:val="center"/>
            </w:pPr>
            <w:r>
              <w:t>污染源年排放量</w:t>
            </w:r>
          </w:p>
        </w:tc>
        <w:tc>
          <w:tcPr>
            <w:tcW w:w="1570" w:type="dxa"/>
            <w:gridSpan w:val="2"/>
            <w:tcBorders>
              <w:tl2br w:val="nil"/>
              <w:tr2bl w:val="nil"/>
            </w:tcBorders>
            <w:vAlign w:val="center"/>
          </w:tcPr>
          <w:p w14:paraId="01EF1DA0" w14:textId="4AED77BC" w:rsidR="00606029" w:rsidRDefault="00EA5B92">
            <w:pPr>
              <w:spacing w:line="280" w:lineRule="exact"/>
              <w:jc w:val="center"/>
            </w:pPr>
            <w:r>
              <w:t>SO</w:t>
            </w:r>
            <w:r>
              <w:rPr>
                <w:vertAlign w:val="subscript"/>
              </w:rPr>
              <w:t>2</w:t>
            </w:r>
            <w:r w:rsidR="006A52CC">
              <w:t>：</w:t>
            </w:r>
          </w:p>
          <w:p w14:paraId="4D5033D4" w14:textId="77777777" w:rsidR="00606029" w:rsidRDefault="00EA5B92">
            <w:pPr>
              <w:spacing w:line="280" w:lineRule="exact"/>
              <w:jc w:val="center"/>
            </w:pPr>
            <w:r>
              <w:t>（）</w:t>
            </w:r>
            <w:r>
              <w:t>t/a</w:t>
            </w:r>
          </w:p>
        </w:tc>
        <w:tc>
          <w:tcPr>
            <w:tcW w:w="1879" w:type="dxa"/>
            <w:gridSpan w:val="5"/>
            <w:tcBorders>
              <w:tl2br w:val="nil"/>
              <w:tr2bl w:val="nil"/>
            </w:tcBorders>
            <w:vAlign w:val="center"/>
          </w:tcPr>
          <w:p w14:paraId="18E12868" w14:textId="016F27C2" w:rsidR="00606029" w:rsidRDefault="00EA5B92">
            <w:pPr>
              <w:spacing w:line="280" w:lineRule="exact"/>
              <w:jc w:val="center"/>
            </w:pPr>
            <w:r>
              <w:t>NOx</w:t>
            </w:r>
            <w:r w:rsidR="006A52CC">
              <w:t>：</w:t>
            </w:r>
          </w:p>
          <w:p w14:paraId="10D7E6D7" w14:textId="77777777" w:rsidR="00606029" w:rsidRDefault="00EA5B92">
            <w:pPr>
              <w:spacing w:line="280" w:lineRule="exact"/>
              <w:jc w:val="center"/>
            </w:pPr>
            <w:r>
              <w:t>（）</w:t>
            </w:r>
            <w:r>
              <w:t>t/a</w:t>
            </w:r>
          </w:p>
        </w:tc>
        <w:tc>
          <w:tcPr>
            <w:tcW w:w="1777" w:type="dxa"/>
            <w:gridSpan w:val="5"/>
            <w:tcBorders>
              <w:tl2br w:val="nil"/>
              <w:tr2bl w:val="nil"/>
            </w:tcBorders>
            <w:vAlign w:val="center"/>
          </w:tcPr>
          <w:p w14:paraId="45BF7D67" w14:textId="741D0449" w:rsidR="00606029" w:rsidRDefault="00EA5B92">
            <w:pPr>
              <w:spacing w:line="280" w:lineRule="exact"/>
              <w:jc w:val="center"/>
            </w:pPr>
            <w:r>
              <w:t>颗粒物</w:t>
            </w:r>
            <w:r w:rsidR="006A52CC">
              <w:t>：</w:t>
            </w:r>
          </w:p>
          <w:p w14:paraId="5E3AB434" w14:textId="5E602863" w:rsidR="00606029" w:rsidRDefault="00EA5B92">
            <w:pPr>
              <w:spacing w:line="280" w:lineRule="exact"/>
              <w:jc w:val="center"/>
            </w:pPr>
            <w:r>
              <w:t>（</w:t>
            </w:r>
            <w:r w:rsidR="003A0BA6">
              <w:t>0.0224</w:t>
            </w:r>
            <w:r>
              <w:t>）</w:t>
            </w:r>
            <w:r>
              <w:t>t/a</w:t>
            </w:r>
          </w:p>
        </w:tc>
        <w:tc>
          <w:tcPr>
            <w:tcW w:w="1583" w:type="dxa"/>
            <w:gridSpan w:val="3"/>
            <w:tcBorders>
              <w:tl2br w:val="nil"/>
              <w:tr2bl w:val="nil"/>
            </w:tcBorders>
            <w:vAlign w:val="center"/>
          </w:tcPr>
          <w:p w14:paraId="0D201C4A" w14:textId="147A405F" w:rsidR="00606029" w:rsidRDefault="00EA5B92">
            <w:pPr>
              <w:spacing w:line="280" w:lineRule="exact"/>
              <w:jc w:val="center"/>
            </w:pPr>
            <w:r>
              <w:t>VOCs</w:t>
            </w:r>
            <w:r w:rsidR="006A52CC">
              <w:t>：</w:t>
            </w:r>
          </w:p>
          <w:p w14:paraId="23E9FDDA" w14:textId="77777777" w:rsidR="00606029" w:rsidRDefault="00EA5B92">
            <w:pPr>
              <w:spacing w:line="280" w:lineRule="exact"/>
              <w:jc w:val="center"/>
            </w:pPr>
            <w:r>
              <w:t>（）</w:t>
            </w:r>
            <w:r>
              <w:t>t/a</w:t>
            </w:r>
          </w:p>
        </w:tc>
      </w:tr>
      <w:tr w:rsidR="00606029" w14:paraId="79DA3FAC" w14:textId="77777777">
        <w:trPr>
          <w:trHeight w:val="340"/>
          <w:jc w:val="center"/>
        </w:trPr>
        <w:tc>
          <w:tcPr>
            <w:tcW w:w="9252" w:type="dxa"/>
            <w:gridSpan w:val="17"/>
            <w:tcBorders>
              <w:tl2br w:val="nil"/>
              <w:tr2bl w:val="nil"/>
            </w:tcBorders>
            <w:vAlign w:val="center"/>
          </w:tcPr>
          <w:p w14:paraId="718E442C" w14:textId="08A92EF9" w:rsidR="00606029" w:rsidRDefault="00EA5B92">
            <w:pPr>
              <w:spacing w:line="280" w:lineRule="exact"/>
              <w:jc w:val="center"/>
            </w:pPr>
            <w:r>
              <w:t>注</w:t>
            </w:r>
            <w:r w:rsidR="006A52CC">
              <w:t>：</w:t>
            </w:r>
            <w:r>
              <w:t>“□”</w:t>
            </w:r>
            <w:r>
              <w:t>为勾选项，填</w:t>
            </w:r>
            <w:r>
              <w:t>“√”</w:t>
            </w:r>
            <w:r>
              <w:t>；</w:t>
            </w:r>
            <w:r>
              <w:t>“</w:t>
            </w:r>
            <w:r>
              <w:t>（</w:t>
            </w:r>
            <w:r>
              <w:t xml:space="preserve">  </w:t>
            </w:r>
            <w:r>
              <w:t>）</w:t>
            </w:r>
            <w:r>
              <w:t>”</w:t>
            </w:r>
            <w:r>
              <w:t>为内容填写项</w:t>
            </w:r>
          </w:p>
        </w:tc>
      </w:tr>
    </w:tbl>
    <w:p w14:paraId="44C994B5" w14:textId="5B36C324" w:rsidR="00606029" w:rsidRDefault="00EA5B92">
      <w:pPr>
        <w:pStyle w:val="affffff4"/>
        <w:adjustRightInd/>
        <w:snapToGrid/>
        <w:spacing w:beforeLines="50" w:before="120"/>
      </w:pPr>
      <w:r>
        <w:t>综上所述，</w:t>
      </w:r>
      <w:r w:rsidR="003A0BA6">
        <w:rPr>
          <w:rFonts w:hint="eastAsia"/>
        </w:rPr>
        <w:t>本项目颗粒物</w:t>
      </w:r>
      <w:r>
        <w:t>放量较小，</w:t>
      </w:r>
      <w:r w:rsidR="003A0BA6">
        <w:rPr>
          <w:rFonts w:hint="eastAsia"/>
        </w:rPr>
        <w:t>且与最近的敏感目标（红旗二村）距离</w:t>
      </w:r>
      <w:r w:rsidR="003A0BA6">
        <w:rPr>
          <w:rFonts w:hint="eastAsia"/>
        </w:rPr>
        <w:t>790m</w:t>
      </w:r>
      <w:r w:rsidR="003A0BA6">
        <w:rPr>
          <w:rFonts w:hint="eastAsia"/>
        </w:rPr>
        <w:t>，采取措施后，</w:t>
      </w:r>
      <w:r>
        <w:t>项目废气对周围大气环境影响不大。</w:t>
      </w:r>
    </w:p>
    <w:p w14:paraId="045ABAE6" w14:textId="77777777" w:rsidR="00606029" w:rsidRDefault="00EA5B92">
      <w:pPr>
        <w:pStyle w:val="3"/>
        <w:adjustRightInd/>
        <w:snapToGrid/>
      </w:pPr>
      <w:bookmarkStart w:id="246" w:name="_Toc220680530"/>
      <w:r>
        <w:t>6.2.2</w:t>
      </w:r>
      <w:r>
        <w:t>地表水环境影响评价</w:t>
      </w:r>
      <w:bookmarkEnd w:id="246"/>
    </w:p>
    <w:p w14:paraId="27C0C68C" w14:textId="77777777" w:rsidR="00606029" w:rsidRDefault="00EA5B92">
      <w:pPr>
        <w:pStyle w:val="4"/>
      </w:pPr>
      <w:r>
        <w:t>6.2.2.1</w:t>
      </w:r>
      <w:r>
        <w:t>项目废水排放方案</w:t>
      </w:r>
    </w:p>
    <w:p w14:paraId="3D9E6845" w14:textId="5909D39C" w:rsidR="00606029" w:rsidRDefault="00781BF4" w:rsidP="009F42BC">
      <w:pPr>
        <w:spacing w:line="360" w:lineRule="auto"/>
        <w:ind w:firstLineChars="200" w:firstLine="480"/>
        <w:rPr>
          <w:sz w:val="24"/>
          <w:szCs w:val="24"/>
        </w:rPr>
      </w:pPr>
      <w:r>
        <w:rPr>
          <w:rFonts w:hint="eastAsia"/>
          <w:sz w:val="24"/>
          <w:szCs w:val="24"/>
        </w:rPr>
        <w:t>本</w:t>
      </w:r>
      <w:r w:rsidR="00EA5B92">
        <w:rPr>
          <w:sz w:val="24"/>
          <w:szCs w:val="24"/>
        </w:rPr>
        <w:t>项目废水主要</w:t>
      </w:r>
      <w:r>
        <w:rPr>
          <w:rFonts w:hint="eastAsia"/>
          <w:sz w:val="24"/>
          <w:szCs w:val="24"/>
        </w:rPr>
        <w:t>为</w:t>
      </w:r>
      <w:r w:rsidR="00EA5B92">
        <w:rPr>
          <w:sz w:val="24"/>
          <w:szCs w:val="24"/>
        </w:rPr>
        <w:t>填埋场淋溶水</w:t>
      </w:r>
      <w:r w:rsidR="00E432F6">
        <w:rPr>
          <w:rFonts w:hint="eastAsia"/>
          <w:sz w:val="24"/>
          <w:szCs w:val="24"/>
        </w:rPr>
        <w:t>，</w:t>
      </w:r>
      <w:r w:rsidR="00EA5B92">
        <w:rPr>
          <w:sz w:val="24"/>
          <w:szCs w:val="24"/>
        </w:rPr>
        <w:t>产生量约</w:t>
      </w:r>
      <w:r w:rsidR="00E432F6">
        <w:rPr>
          <w:rFonts w:hint="eastAsia"/>
          <w:sz w:val="24"/>
          <w:szCs w:val="24"/>
        </w:rPr>
        <w:t>0.62t</w:t>
      </w:r>
      <w:r w:rsidR="00EA5B92">
        <w:rPr>
          <w:sz w:val="24"/>
          <w:szCs w:val="24"/>
        </w:rPr>
        <w:t>/d</w:t>
      </w:r>
      <w:r w:rsidR="00EA5B92">
        <w:rPr>
          <w:sz w:val="24"/>
          <w:szCs w:val="24"/>
        </w:rPr>
        <w:t>（</w:t>
      </w:r>
      <w:r w:rsidR="00E432F6">
        <w:rPr>
          <w:rFonts w:hint="eastAsia"/>
          <w:sz w:val="24"/>
          <w:szCs w:val="24"/>
        </w:rPr>
        <w:t>223.5</w:t>
      </w:r>
      <w:r w:rsidR="00EA5B92">
        <w:rPr>
          <w:sz w:val="24"/>
          <w:szCs w:val="24"/>
        </w:rPr>
        <w:t>/a</w:t>
      </w:r>
      <w:r w:rsidR="00EA5B92">
        <w:rPr>
          <w:sz w:val="24"/>
          <w:szCs w:val="24"/>
        </w:rPr>
        <w:t>）。</w:t>
      </w:r>
      <w:r w:rsidR="009F42BC" w:rsidRPr="009F42BC">
        <w:rPr>
          <w:sz w:val="24"/>
          <w:szCs w:val="24"/>
        </w:rPr>
        <w:t>淋溶水送至现有渗滤液处理站处理，出水水质</w:t>
      </w:r>
      <w:r w:rsidR="00505D6B" w:rsidRPr="00505D6B">
        <w:rPr>
          <w:sz w:val="24"/>
          <w:szCs w:val="24"/>
        </w:rPr>
        <w:t>满足《生活垃圾填埋场污染控制标准》（</w:t>
      </w:r>
      <w:r w:rsidR="00505D6B" w:rsidRPr="00505D6B">
        <w:rPr>
          <w:sz w:val="24"/>
          <w:szCs w:val="24"/>
        </w:rPr>
        <w:t>GB16889-2024</w:t>
      </w:r>
      <w:r w:rsidR="00505D6B" w:rsidRPr="00505D6B">
        <w:rPr>
          <w:sz w:val="24"/>
          <w:szCs w:val="24"/>
        </w:rPr>
        <w:t>）表</w:t>
      </w:r>
      <w:r w:rsidR="00505D6B" w:rsidRPr="00505D6B">
        <w:rPr>
          <w:sz w:val="24"/>
          <w:szCs w:val="24"/>
        </w:rPr>
        <w:t>4</w:t>
      </w:r>
      <w:r w:rsidR="00505D6B" w:rsidRPr="00505D6B">
        <w:rPr>
          <w:sz w:val="24"/>
          <w:szCs w:val="24"/>
        </w:rPr>
        <w:t>要求和</w:t>
      </w:r>
      <w:r w:rsidR="009F42BC" w:rsidRPr="009F42BC">
        <w:rPr>
          <w:sz w:val="24"/>
          <w:szCs w:val="24"/>
        </w:rPr>
        <w:t>《城市污水再生利用</w:t>
      </w:r>
      <w:r w:rsidR="009F42BC" w:rsidRPr="009F42BC">
        <w:rPr>
          <w:sz w:val="24"/>
          <w:szCs w:val="24"/>
        </w:rPr>
        <w:t xml:space="preserve"> </w:t>
      </w:r>
      <w:r w:rsidR="009F42BC" w:rsidRPr="009F42BC">
        <w:rPr>
          <w:sz w:val="24"/>
          <w:szCs w:val="24"/>
        </w:rPr>
        <w:t>工业用水水质》（</w:t>
      </w:r>
      <w:r w:rsidR="009F42BC" w:rsidRPr="009F42BC">
        <w:rPr>
          <w:sz w:val="24"/>
          <w:szCs w:val="24"/>
        </w:rPr>
        <w:t>GB/T19923-2024</w:t>
      </w:r>
      <w:r w:rsidR="009F42BC" w:rsidRPr="009F42BC">
        <w:rPr>
          <w:sz w:val="24"/>
          <w:szCs w:val="24"/>
        </w:rPr>
        <w:t>）</w:t>
      </w:r>
      <w:r w:rsidR="00F32134">
        <w:rPr>
          <w:rFonts w:hint="eastAsia"/>
          <w:sz w:val="24"/>
          <w:szCs w:val="24"/>
        </w:rPr>
        <w:t>表</w:t>
      </w:r>
      <w:r w:rsidR="00F32134">
        <w:rPr>
          <w:rFonts w:hint="eastAsia"/>
          <w:sz w:val="24"/>
          <w:szCs w:val="24"/>
        </w:rPr>
        <w:t>1</w:t>
      </w:r>
      <w:r w:rsidR="00535A47">
        <w:rPr>
          <w:sz w:val="24"/>
          <w:szCs w:val="24"/>
        </w:rPr>
        <w:t>间冷开式循环冷却水补充水标准</w:t>
      </w:r>
      <w:r w:rsidR="009F42BC" w:rsidRPr="009F42BC">
        <w:rPr>
          <w:sz w:val="24"/>
          <w:szCs w:val="24"/>
        </w:rPr>
        <w:t>后全部回用至厂区冷却塔补水，不外排。</w:t>
      </w:r>
    </w:p>
    <w:p w14:paraId="0112F683" w14:textId="77777777" w:rsidR="00606029" w:rsidRDefault="00EA5B92">
      <w:pPr>
        <w:pStyle w:val="4"/>
      </w:pPr>
      <w:r>
        <w:t>6.2.2.2</w:t>
      </w:r>
      <w:r>
        <w:t>项目废水依托渗滤液处理站的可行性分析</w:t>
      </w:r>
    </w:p>
    <w:p w14:paraId="23C80688" w14:textId="77777777" w:rsidR="00606029" w:rsidRDefault="00EA5B92">
      <w:pPr>
        <w:spacing w:line="360" w:lineRule="auto"/>
        <w:ind w:firstLineChars="200" w:firstLine="480"/>
        <w:rPr>
          <w:sz w:val="24"/>
          <w:szCs w:val="24"/>
        </w:rPr>
      </w:pPr>
      <w:r>
        <w:rPr>
          <w:sz w:val="24"/>
          <w:szCs w:val="24"/>
        </w:rPr>
        <w:t>（</w:t>
      </w:r>
      <w:r>
        <w:rPr>
          <w:sz w:val="24"/>
          <w:szCs w:val="24"/>
        </w:rPr>
        <w:t>1</w:t>
      </w:r>
      <w:r>
        <w:rPr>
          <w:sz w:val="24"/>
          <w:szCs w:val="24"/>
        </w:rPr>
        <w:t>）处理规模可行性</w:t>
      </w:r>
    </w:p>
    <w:p w14:paraId="4BAF5D1B" w14:textId="730D583A" w:rsidR="00606029" w:rsidRDefault="00EA5B92">
      <w:pPr>
        <w:spacing w:line="360" w:lineRule="auto"/>
        <w:ind w:firstLineChars="200" w:firstLine="480"/>
        <w:rPr>
          <w:sz w:val="24"/>
          <w:szCs w:val="24"/>
        </w:rPr>
      </w:pPr>
      <w:r>
        <w:rPr>
          <w:sz w:val="24"/>
          <w:szCs w:val="24"/>
        </w:rPr>
        <w:t>本项目依托的渗滤液处理站设计</w:t>
      </w:r>
      <w:r w:rsidR="0034685A" w:rsidRPr="0034685A">
        <w:rPr>
          <w:rFonts w:hint="eastAsia"/>
          <w:sz w:val="24"/>
          <w:szCs w:val="24"/>
        </w:rPr>
        <w:t>规模</w:t>
      </w:r>
      <w:r w:rsidR="0034685A" w:rsidRPr="0034685A">
        <w:rPr>
          <w:rFonts w:hint="eastAsia"/>
          <w:sz w:val="24"/>
          <w:szCs w:val="24"/>
        </w:rPr>
        <w:t xml:space="preserve"> 450m</w:t>
      </w:r>
      <w:r w:rsidR="0034685A" w:rsidRPr="0034685A">
        <w:rPr>
          <w:rFonts w:hint="eastAsia"/>
          <w:sz w:val="24"/>
          <w:szCs w:val="24"/>
          <w:vertAlign w:val="superscript"/>
        </w:rPr>
        <w:t>3</w:t>
      </w:r>
      <w:r w:rsidR="0034685A" w:rsidRPr="0034685A">
        <w:rPr>
          <w:rFonts w:hint="eastAsia"/>
          <w:sz w:val="24"/>
          <w:szCs w:val="24"/>
        </w:rPr>
        <w:t>/d</w:t>
      </w:r>
      <w:r w:rsidR="0034685A">
        <w:rPr>
          <w:rFonts w:hint="eastAsia"/>
          <w:sz w:val="24"/>
          <w:szCs w:val="24"/>
        </w:rPr>
        <w:t>，</w:t>
      </w:r>
      <w:r>
        <w:rPr>
          <w:sz w:val="24"/>
          <w:szCs w:val="24"/>
        </w:rPr>
        <w:t>根据</w:t>
      </w:r>
      <w:r w:rsidR="005C62AE" w:rsidRPr="005C62AE">
        <w:rPr>
          <w:rFonts w:hint="eastAsia"/>
          <w:sz w:val="24"/>
          <w:szCs w:val="24"/>
        </w:rPr>
        <w:t>《大庆市生活垃圾焚烧发电项目（一期）竣工环境保护验收监测报告》中</w:t>
      </w:r>
      <w:r>
        <w:rPr>
          <w:sz w:val="24"/>
          <w:szCs w:val="24"/>
        </w:rPr>
        <w:t>，进入渗滤液处理站的垃圾渗滤液和其他废水量共计约</w:t>
      </w:r>
      <w:r w:rsidR="008874E1">
        <w:rPr>
          <w:rFonts w:hint="eastAsia"/>
          <w:sz w:val="24"/>
          <w:szCs w:val="24"/>
        </w:rPr>
        <w:t>270</w:t>
      </w:r>
      <w:r w:rsidR="007D139C" w:rsidRPr="007D139C">
        <w:rPr>
          <w:sz w:val="24"/>
          <w:szCs w:val="24"/>
        </w:rPr>
        <w:t xml:space="preserve"> </w:t>
      </w:r>
      <w:r>
        <w:rPr>
          <w:sz w:val="24"/>
          <w:szCs w:val="24"/>
        </w:rPr>
        <w:t>m</w:t>
      </w:r>
      <w:r>
        <w:rPr>
          <w:sz w:val="24"/>
          <w:szCs w:val="24"/>
          <w:vertAlign w:val="superscript"/>
        </w:rPr>
        <w:t>3</w:t>
      </w:r>
      <w:r>
        <w:rPr>
          <w:sz w:val="24"/>
          <w:szCs w:val="24"/>
        </w:rPr>
        <w:t>/d</w:t>
      </w:r>
      <w:r>
        <w:rPr>
          <w:sz w:val="24"/>
          <w:szCs w:val="24"/>
        </w:rPr>
        <w:t>，尚有</w:t>
      </w:r>
      <w:r w:rsidR="008874E1">
        <w:rPr>
          <w:rFonts w:hint="eastAsia"/>
          <w:sz w:val="24"/>
          <w:szCs w:val="24"/>
        </w:rPr>
        <w:t>180</w:t>
      </w:r>
      <w:r>
        <w:rPr>
          <w:sz w:val="24"/>
          <w:szCs w:val="24"/>
        </w:rPr>
        <w:t>m</w:t>
      </w:r>
      <w:r>
        <w:rPr>
          <w:sz w:val="24"/>
          <w:szCs w:val="24"/>
          <w:vertAlign w:val="superscript"/>
        </w:rPr>
        <w:t>3</w:t>
      </w:r>
      <w:r>
        <w:rPr>
          <w:sz w:val="24"/>
          <w:szCs w:val="24"/>
        </w:rPr>
        <w:t>/d</w:t>
      </w:r>
      <w:r>
        <w:rPr>
          <w:sz w:val="24"/>
          <w:szCs w:val="24"/>
        </w:rPr>
        <w:t>的处理余量。本项目产生的废水量约</w:t>
      </w:r>
      <w:r w:rsidR="007D139C">
        <w:rPr>
          <w:rFonts w:hint="eastAsia"/>
          <w:sz w:val="24"/>
          <w:szCs w:val="24"/>
        </w:rPr>
        <w:t>0.62</w:t>
      </w:r>
      <w:r>
        <w:rPr>
          <w:sz w:val="24"/>
          <w:szCs w:val="24"/>
        </w:rPr>
        <w:t>m</w:t>
      </w:r>
      <w:r>
        <w:rPr>
          <w:sz w:val="24"/>
          <w:szCs w:val="24"/>
          <w:vertAlign w:val="superscript"/>
        </w:rPr>
        <w:t>3</w:t>
      </w:r>
      <w:r>
        <w:rPr>
          <w:sz w:val="24"/>
          <w:szCs w:val="24"/>
        </w:rPr>
        <w:t>/d</w:t>
      </w:r>
      <w:r>
        <w:rPr>
          <w:sz w:val="24"/>
          <w:szCs w:val="24"/>
        </w:rPr>
        <w:t>，本项目淋溶水依托渗滤液处理站处理可行。</w:t>
      </w:r>
    </w:p>
    <w:p w14:paraId="2193BC83" w14:textId="77777777" w:rsidR="00606029" w:rsidRDefault="00EA5B92">
      <w:pPr>
        <w:spacing w:line="360" w:lineRule="auto"/>
        <w:ind w:firstLineChars="200" w:firstLine="480"/>
        <w:rPr>
          <w:sz w:val="24"/>
          <w:szCs w:val="24"/>
        </w:rPr>
      </w:pPr>
      <w:r>
        <w:rPr>
          <w:sz w:val="24"/>
          <w:szCs w:val="24"/>
        </w:rPr>
        <w:t>（</w:t>
      </w:r>
      <w:r>
        <w:rPr>
          <w:sz w:val="24"/>
          <w:szCs w:val="24"/>
        </w:rPr>
        <w:t>2</w:t>
      </w:r>
      <w:r>
        <w:rPr>
          <w:sz w:val="24"/>
          <w:szCs w:val="24"/>
        </w:rPr>
        <w:t>）处理工艺可行性</w:t>
      </w:r>
    </w:p>
    <w:p w14:paraId="3BB3B00D" w14:textId="2FB125F7" w:rsidR="00606029" w:rsidRDefault="00EA5B92" w:rsidP="007D139C">
      <w:pPr>
        <w:spacing w:line="360" w:lineRule="auto"/>
        <w:ind w:firstLineChars="200" w:firstLine="480"/>
        <w:rPr>
          <w:sz w:val="24"/>
          <w:szCs w:val="24"/>
        </w:rPr>
      </w:pPr>
      <w:r>
        <w:rPr>
          <w:sz w:val="24"/>
          <w:szCs w:val="24"/>
        </w:rPr>
        <w:t>本项目产生的淋溶</w:t>
      </w:r>
      <w:r w:rsidR="007D139C">
        <w:rPr>
          <w:rFonts w:hint="eastAsia"/>
          <w:sz w:val="24"/>
          <w:szCs w:val="24"/>
        </w:rPr>
        <w:t>水</w:t>
      </w:r>
      <w:r>
        <w:rPr>
          <w:sz w:val="24"/>
          <w:szCs w:val="24"/>
        </w:rPr>
        <w:t>通过配套收集管网自流入渗滤液调节池，</w:t>
      </w:r>
      <w:r w:rsidR="0072184A">
        <w:rPr>
          <w:rFonts w:hint="eastAsia"/>
          <w:sz w:val="24"/>
          <w:szCs w:val="24"/>
        </w:rPr>
        <w:t>经</w:t>
      </w:r>
      <w:r>
        <w:rPr>
          <w:sz w:val="24"/>
          <w:szCs w:val="24"/>
        </w:rPr>
        <w:t>渗滤液调节池</w:t>
      </w:r>
      <w:r w:rsidR="0072184A">
        <w:rPr>
          <w:rFonts w:hint="eastAsia"/>
          <w:sz w:val="24"/>
          <w:szCs w:val="24"/>
        </w:rPr>
        <w:t>调节后，进入</w:t>
      </w:r>
      <w:r>
        <w:rPr>
          <w:sz w:val="24"/>
          <w:szCs w:val="24"/>
        </w:rPr>
        <w:t>渗滤液处理站处理，</w:t>
      </w:r>
      <w:r w:rsidR="0072184A">
        <w:rPr>
          <w:rFonts w:hint="eastAsia"/>
          <w:sz w:val="24"/>
          <w:szCs w:val="24"/>
        </w:rPr>
        <w:t>该站</w:t>
      </w:r>
      <w:r>
        <w:rPr>
          <w:sz w:val="24"/>
          <w:szCs w:val="24"/>
        </w:rPr>
        <w:t>采用</w:t>
      </w:r>
      <w:r w:rsidR="007D139C" w:rsidRPr="007D139C">
        <w:rPr>
          <w:rFonts w:hint="eastAsia"/>
          <w:sz w:val="24"/>
          <w:szCs w:val="24"/>
        </w:rPr>
        <w:t>“调节池＋</w:t>
      </w:r>
      <w:r w:rsidR="007D139C" w:rsidRPr="007D139C">
        <w:rPr>
          <w:rFonts w:hint="eastAsia"/>
          <w:sz w:val="24"/>
          <w:szCs w:val="24"/>
        </w:rPr>
        <w:t xml:space="preserve">UASB </w:t>
      </w:r>
      <w:r w:rsidR="007D139C" w:rsidRPr="007D139C">
        <w:rPr>
          <w:rFonts w:hint="eastAsia"/>
          <w:sz w:val="24"/>
          <w:szCs w:val="24"/>
        </w:rPr>
        <w:t>厌氧反应器＋</w:t>
      </w:r>
      <w:r w:rsidR="007D139C" w:rsidRPr="007D139C">
        <w:rPr>
          <w:rFonts w:hint="eastAsia"/>
          <w:sz w:val="24"/>
          <w:szCs w:val="24"/>
        </w:rPr>
        <w:t xml:space="preserve">MBR </w:t>
      </w:r>
      <w:r w:rsidR="007D139C" w:rsidRPr="007D139C">
        <w:rPr>
          <w:rFonts w:hint="eastAsia"/>
          <w:sz w:val="24"/>
          <w:szCs w:val="24"/>
        </w:rPr>
        <w:t>生化处理系统＋</w:t>
      </w:r>
      <w:r w:rsidR="007D139C" w:rsidRPr="007D139C">
        <w:rPr>
          <w:rFonts w:hint="eastAsia"/>
          <w:sz w:val="24"/>
          <w:szCs w:val="24"/>
        </w:rPr>
        <w:t xml:space="preserve">NF </w:t>
      </w:r>
      <w:r w:rsidR="007D139C" w:rsidRPr="007D139C">
        <w:rPr>
          <w:rFonts w:hint="eastAsia"/>
          <w:sz w:val="24"/>
          <w:szCs w:val="24"/>
        </w:rPr>
        <w:t>纳滤＋</w:t>
      </w:r>
      <w:r w:rsidR="007D139C" w:rsidRPr="007D139C">
        <w:rPr>
          <w:rFonts w:hint="eastAsia"/>
          <w:sz w:val="24"/>
          <w:szCs w:val="24"/>
        </w:rPr>
        <w:t xml:space="preserve">RO </w:t>
      </w:r>
      <w:r w:rsidR="007D139C" w:rsidRPr="007D139C">
        <w:rPr>
          <w:rFonts w:hint="eastAsia"/>
          <w:sz w:val="24"/>
          <w:szCs w:val="24"/>
        </w:rPr>
        <w:t>反渗透”，经处理后</w:t>
      </w:r>
      <w:r w:rsidR="00505D6B" w:rsidRPr="00505D6B">
        <w:rPr>
          <w:sz w:val="24"/>
          <w:szCs w:val="24"/>
        </w:rPr>
        <w:t>满足《生活垃圾填埋场污染控制标准》（</w:t>
      </w:r>
      <w:r w:rsidR="00505D6B" w:rsidRPr="00505D6B">
        <w:rPr>
          <w:sz w:val="24"/>
          <w:szCs w:val="24"/>
        </w:rPr>
        <w:t>GB16889-2024</w:t>
      </w:r>
      <w:r w:rsidR="00505D6B" w:rsidRPr="00505D6B">
        <w:rPr>
          <w:sz w:val="24"/>
          <w:szCs w:val="24"/>
        </w:rPr>
        <w:t>）表</w:t>
      </w:r>
      <w:r w:rsidR="00505D6B" w:rsidRPr="00505D6B">
        <w:rPr>
          <w:sz w:val="24"/>
          <w:szCs w:val="24"/>
        </w:rPr>
        <w:t>4</w:t>
      </w:r>
      <w:r w:rsidR="00505D6B" w:rsidRPr="00505D6B">
        <w:rPr>
          <w:sz w:val="24"/>
          <w:szCs w:val="24"/>
        </w:rPr>
        <w:t>要求和</w:t>
      </w:r>
      <w:r w:rsidR="007D139C" w:rsidRPr="007D139C">
        <w:rPr>
          <w:rFonts w:hint="eastAsia"/>
          <w:sz w:val="24"/>
          <w:szCs w:val="24"/>
        </w:rPr>
        <w:t>《城市污水再生利用</w:t>
      </w:r>
      <w:r w:rsidR="007D139C" w:rsidRPr="007D139C">
        <w:rPr>
          <w:rFonts w:hint="eastAsia"/>
          <w:sz w:val="24"/>
          <w:szCs w:val="24"/>
        </w:rPr>
        <w:t xml:space="preserve"> </w:t>
      </w:r>
      <w:r w:rsidR="007D139C" w:rsidRPr="007D139C">
        <w:rPr>
          <w:rFonts w:hint="eastAsia"/>
          <w:sz w:val="24"/>
          <w:szCs w:val="24"/>
        </w:rPr>
        <w:t>工业用水水质》（</w:t>
      </w:r>
      <w:r w:rsidR="007D139C" w:rsidRPr="007D139C">
        <w:rPr>
          <w:rFonts w:hint="eastAsia"/>
          <w:sz w:val="24"/>
          <w:szCs w:val="24"/>
        </w:rPr>
        <w:t>GB/T19923-2024</w:t>
      </w:r>
      <w:r w:rsidR="007D139C" w:rsidRPr="007D139C">
        <w:rPr>
          <w:rFonts w:hint="eastAsia"/>
          <w:sz w:val="24"/>
          <w:szCs w:val="24"/>
        </w:rPr>
        <w:t>）</w:t>
      </w:r>
      <w:r w:rsidR="00F32134">
        <w:rPr>
          <w:rFonts w:hint="eastAsia"/>
          <w:sz w:val="24"/>
          <w:szCs w:val="24"/>
        </w:rPr>
        <w:t>表</w:t>
      </w:r>
      <w:r w:rsidR="00F32134">
        <w:rPr>
          <w:rFonts w:hint="eastAsia"/>
          <w:sz w:val="24"/>
          <w:szCs w:val="24"/>
        </w:rPr>
        <w:t>1</w:t>
      </w:r>
      <w:r w:rsidR="00262ECA">
        <w:rPr>
          <w:rFonts w:hint="eastAsia"/>
          <w:sz w:val="24"/>
          <w:szCs w:val="24"/>
        </w:rPr>
        <w:t>间冷开式循环</w:t>
      </w:r>
      <w:r w:rsidR="00F32134">
        <w:rPr>
          <w:rFonts w:hint="eastAsia"/>
          <w:sz w:val="24"/>
          <w:szCs w:val="24"/>
        </w:rPr>
        <w:t>冷却水</w:t>
      </w:r>
      <w:r w:rsidR="00262ECA">
        <w:rPr>
          <w:rFonts w:hint="eastAsia"/>
          <w:sz w:val="24"/>
          <w:szCs w:val="24"/>
        </w:rPr>
        <w:t>补</w:t>
      </w:r>
      <w:r w:rsidR="007D139C" w:rsidRPr="007D139C">
        <w:rPr>
          <w:rFonts w:hint="eastAsia"/>
          <w:sz w:val="24"/>
          <w:szCs w:val="24"/>
        </w:rPr>
        <w:t>充水标准后全部回用至厂区冷却塔补水，不外排。</w:t>
      </w:r>
    </w:p>
    <w:p w14:paraId="7775C0FB" w14:textId="1CA088B5" w:rsidR="00606029" w:rsidRDefault="0072184A">
      <w:pPr>
        <w:spacing w:line="360" w:lineRule="auto"/>
        <w:ind w:firstLineChars="200" w:firstLine="480"/>
        <w:rPr>
          <w:sz w:val="24"/>
          <w:szCs w:val="24"/>
        </w:rPr>
      </w:pPr>
      <w:r>
        <w:rPr>
          <w:rFonts w:hint="eastAsia"/>
          <w:sz w:val="24"/>
          <w:szCs w:val="24"/>
        </w:rPr>
        <w:t>本项目</w:t>
      </w:r>
      <w:r w:rsidR="00EA5B92">
        <w:rPr>
          <w:sz w:val="24"/>
          <w:szCs w:val="24"/>
        </w:rPr>
        <w:t>引用</w:t>
      </w:r>
      <w:r w:rsidR="007D139C" w:rsidRPr="007D139C">
        <w:rPr>
          <w:rFonts w:hint="eastAsia"/>
          <w:sz w:val="24"/>
          <w:szCs w:val="24"/>
        </w:rPr>
        <w:t>《大庆市生活垃圾焚烧发电项目（一期）竣工环境保护验收监测报告》中的监测数据，</w:t>
      </w:r>
      <w:r w:rsidR="00EA5B92">
        <w:rPr>
          <w:sz w:val="24"/>
          <w:szCs w:val="24"/>
        </w:rPr>
        <w:t>中渗滤处理站进出口废水的监测报告，详见下表。</w:t>
      </w:r>
    </w:p>
    <w:p w14:paraId="57A71FEE" w14:textId="610E7D19" w:rsidR="007D139C" w:rsidRDefault="00EA5B92" w:rsidP="007D139C">
      <w:pPr>
        <w:jc w:val="center"/>
        <w:rPr>
          <w:b/>
          <w:bCs/>
        </w:rPr>
      </w:pPr>
      <w:r>
        <w:rPr>
          <w:b/>
          <w:bCs/>
        </w:rPr>
        <w:t>表</w:t>
      </w:r>
      <w:r>
        <w:rPr>
          <w:rFonts w:hint="eastAsia"/>
          <w:b/>
          <w:bCs/>
        </w:rPr>
        <w:t>6.2</w:t>
      </w:r>
      <w:r w:rsidR="008F4C3E">
        <w:rPr>
          <w:rFonts w:hint="eastAsia"/>
          <w:b/>
          <w:bCs/>
        </w:rPr>
        <w:t>-1</w:t>
      </w:r>
      <w:r w:rsidR="004F102D">
        <w:rPr>
          <w:rFonts w:hint="eastAsia"/>
          <w:b/>
          <w:bCs/>
        </w:rPr>
        <w:t>7</w:t>
      </w:r>
      <w:r>
        <w:rPr>
          <w:b/>
          <w:bCs/>
        </w:rPr>
        <w:t xml:space="preserve"> </w:t>
      </w:r>
      <w:r>
        <w:rPr>
          <w:b/>
          <w:bCs/>
        </w:rPr>
        <w:t>渗滤液处理站进口浓度监测结果</w:t>
      </w:r>
    </w:p>
    <w:tbl>
      <w:tblPr>
        <w:tblStyle w:val="TableNormal2"/>
        <w:tblW w:w="5000" w:type="pct"/>
        <w:jc w:val="center"/>
        <w:tblInd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ook w:val="04A0" w:firstRow="1" w:lastRow="0" w:firstColumn="1" w:lastColumn="0" w:noHBand="0" w:noVBand="1"/>
      </w:tblPr>
      <w:tblGrid>
        <w:gridCol w:w="1232"/>
        <w:gridCol w:w="848"/>
        <w:gridCol w:w="932"/>
        <w:gridCol w:w="924"/>
        <w:gridCol w:w="938"/>
        <w:gridCol w:w="1042"/>
        <w:gridCol w:w="1093"/>
        <w:gridCol w:w="932"/>
        <w:gridCol w:w="897"/>
      </w:tblGrid>
      <w:tr w:rsidR="007D139C" w:rsidRPr="007D139C" w14:paraId="4D9EFE9B" w14:textId="77777777" w:rsidTr="007D139C">
        <w:trPr>
          <w:trHeight w:val="531"/>
          <w:jc w:val="center"/>
        </w:trPr>
        <w:tc>
          <w:tcPr>
            <w:tcW w:w="703" w:type="pct"/>
            <w:vMerge w:val="restart"/>
            <w:tcBorders>
              <w:bottom w:val="nil"/>
            </w:tcBorders>
            <w:vAlign w:val="center"/>
          </w:tcPr>
          <w:p w14:paraId="07AFC9BB" w14:textId="77777777" w:rsidR="007D139C" w:rsidRPr="007D139C" w:rsidRDefault="007D139C" w:rsidP="007D139C">
            <w:pPr>
              <w:widowControl/>
              <w:adjustRightInd w:val="0"/>
              <w:snapToGrid w:val="0"/>
              <w:spacing w:after="0" w:line="240" w:lineRule="auto"/>
              <w:jc w:val="center"/>
              <w:textAlignment w:val="center"/>
              <w:rPr>
                <w:rFonts w:ascii="Times New Roman" w:hAnsi="Times New Roman" w:cs="Times New Roman"/>
                <w:color w:val="auto"/>
                <w:lang w:eastAsia="zh-CN"/>
              </w:rPr>
            </w:pPr>
            <w:r w:rsidRPr="007D139C">
              <w:rPr>
                <w:rFonts w:ascii="Times New Roman" w:hAnsi="Times New Roman" w:cs="Times New Roman"/>
                <w:color w:val="auto"/>
                <w:lang w:eastAsia="zh-CN"/>
              </w:rPr>
              <w:t>监测项目</w:t>
            </w:r>
          </w:p>
        </w:tc>
        <w:tc>
          <w:tcPr>
            <w:tcW w:w="4297" w:type="pct"/>
            <w:gridSpan w:val="8"/>
            <w:vAlign w:val="center"/>
          </w:tcPr>
          <w:p w14:paraId="7DDACAB2" w14:textId="77777777" w:rsidR="007D139C" w:rsidRPr="007D139C" w:rsidRDefault="007D139C" w:rsidP="007D139C">
            <w:pPr>
              <w:widowControl/>
              <w:adjustRightInd w:val="0"/>
              <w:snapToGrid w:val="0"/>
              <w:spacing w:after="0" w:line="240" w:lineRule="auto"/>
              <w:jc w:val="center"/>
              <w:textAlignment w:val="center"/>
              <w:rPr>
                <w:rFonts w:ascii="Times New Roman" w:hAnsi="Times New Roman" w:cs="Times New Roman"/>
                <w:color w:val="auto"/>
                <w:lang w:eastAsia="zh-CN"/>
              </w:rPr>
            </w:pPr>
            <w:r w:rsidRPr="007D139C">
              <w:rPr>
                <w:rFonts w:ascii="Times New Roman" w:hAnsi="Times New Roman" w:cs="Times New Roman"/>
                <w:color w:val="auto"/>
                <w:lang w:eastAsia="zh-CN"/>
              </w:rPr>
              <w:t>渗滤液处理站处理前</w:t>
            </w:r>
          </w:p>
        </w:tc>
      </w:tr>
      <w:tr w:rsidR="007D139C" w:rsidRPr="007D139C" w14:paraId="012CD547" w14:textId="77777777" w:rsidTr="007D139C">
        <w:trPr>
          <w:trHeight w:val="565"/>
          <w:jc w:val="center"/>
        </w:trPr>
        <w:tc>
          <w:tcPr>
            <w:tcW w:w="703" w:type="pct"/>
            <w:vMerge/>
            <w:tcBorders>
              <w:top w:val="nil"/>
            </w:tcBorders>
            <w:vAlign w:val="center"/>
          </w:tcPr>
          <w:p w14:paraId="679A6888"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p>
        </w:tc>
        <w:tc>
          <w:tcPr>
            <w:tcW w:w="2031" w:type="pct"/>
            <w:gridSpan w:val="4"/>
            <w:vAlign w:val="center"/>
          </w:tcPr>
          <w:p w14:paraId="29A91CA6" w14:textId="5222C740" w:rsidR="007D139C" w:rsidRPr="007D139C" w:rsidRDefault="007D139C" w:rsidP="007D139C">
            <w:pPr>
              <w:widowControl/>
              <w:adjustRightInd w:val="0"/>
              <w:snapToGrid w:val="0"/>
              <w:spacing w:before="177" w:after="0" w:line="240" w:lineRule="auto"/>
              <w:jc w:val="center"/>
              <w:textAlignment w:val="center"/>
              <w:rPr>
                <w:rFonts w:ascii="Times New Roman" w:hAnsi="Times New Roman" w:cs="Times New Roman"/>
                <w:color w:val="auto"/>
                <w:lang w:eastAsia="zh-CN"/>
              </w:rPr>
            </w:pPr>
            <w:r w:rsidRPr="007D139C">
              <w:rPr>
                <w:rFonts w:ascii="Times New Roman" w:eastAsia="宋体" w:hAnsi="Times New Roman" w:cs="Times New Roman"/>
                <w:color w:val="auto"/>
                <w:lang w:eastAsia="zh-CN"/>
              </w:rPr>
              <w:t>02</w:t>
            </w:r>
            <w:r w:rsidRPr="007D139C">
              <w:rPr>
                <w:rFonts w:ascii="Times New Roman" w:hAnsi="Times New Roman" w:cs="Times New Roman"/>
                <w:color w:val="auto"/>
                <w:lang w:eastAsia="zh-CN"/>
              </w:rPr>
              <w:t>月</w:t>
            </w:r>
            <w:r w:rsidRPr="007D139C">
              <w:rPr>
                <w:rFonts w:ascii="Times New Roman" w:eastAsia="宋体" w:hAnsi="Times New Roman" w:cs="Times New Roman"/>
                <w:color w:val="auto"/>
                <w:lang w:eastAsia="zh-CN"/>
              </w:rPr>
              <w:t>22</w:t>
            </w:r>
            <w:r w:rsidRPr="007D139C">
              <w:rPr>
                <w:rFonts w:ascii="Times New Roman" w:hAnsi="Times New Roman" w:cs="Times New Roman"/>
                <w:color w:val="auto"/>
                <w:lang w:eastAsia="zh-CN"/>
              </w:rPr>
              <w:t>日</w:t>
            </w:r>
          </w:p>
        </w:tc>
        <w:tc>
          <w:tcPr>
            <w:tcW w:w="2266" w:type="pct"/>
            <w:gridSpan w:val="4"/>
            <w:vAlign w:val="center"/>
          </w:tcPr>
          <w:p w14:paraId="57BCCDB7" w14:textId="2CBFF01F" w:rsidR="007D139C" w:rsidRPr="007D139C" w:rsidRDefault="007D139C" w:rsidP="007D139C">
            <w:pPr>
              <w:widowControl/>
              <w:adjustRightInd w:val="0"/>
              <w:snapToGrid w:val="0"/>
              <w:spacing w:before="177" w:after="0" w:line="240" w:lineRule="auto"/>
              <w:jc w:val="center"/>
              <w:textAlignment w:val="center"/>
              <w:rPr>
                <w:rFonts w:ascii="Times New Roman" w:hAnsi="Times New Roman" w:cs="Times New Roman"/>
                <w:color w:val="auto"/>
                <w:lang w:eastAsia="zh-CN"/>
              </w:rPr>
            </w:pPr>
            <w:r w:rsidRPr="007D139C">
              <w:rPr>
                <w:rFonts w:ascii="Times New Roman" w:eastAsia="宋体" w:hAnsi="Times New Roman" w:cs="Times New Roman"/>
                <w:color w:val="auto"/>
                <w:lang w:eastAsia="zh-CN"/>
              </w:rPr>
              <w:t>02</w:t>
            </w:r>
            <w:r w:rsidRPr="007D139C">
              <w:rPr>
                <w:rFonts w:ascii="Times New Roman" w:hAnsi="Times New Roman" w:cs="Times New Roman"/>
                <w:color w:val="auto"/>
                <w:lang w:eastAsia="zh-CN"/>
              </w:rPr>
              <w:t>月</w:t>
            </w:r>
            <w:r w:rsidRPr="007D139C">
              <w:rPr>
                <w:rFonts w:ascii="Times New Roman" w:eastAsia="宋体" w:hAnsi="Times New Roman" w:cs="Times New Roman"/>
                <w:color w:val="auto"/>
                <w:lang w:eastAsia="zh-CN"/>
              </w:rPr>
              <w:t>23</w:t>
            </w:r>
            <w:r w:rsidRPr="007D139C">
              <w:rPr>
                <w:rFonts w:ascii="Times New Roman" w:hAnsi="Times New Roman" w:cs="Times New Roman"/>
                <w:color w:val="auto"/>
                <w:lang w:eastAsia="zh-CN"/>
              </w:rPr>
              <w:t>日</w:t>
            </w:r>
          </w:p>
        </w:tc>
      </w:tr>
      <w:tr w:rsidR="007D139C" w:rsidRPr="007D139C" w14:paraId="776DA57E" w14:textId="77777777" w:rsidTr="007D139C">
        <w:trPr>
          <w:trHeight w:val="549"/>
          <w:jc w:val="center"/>
        </w:trPr>
        <w:tc>
          <w:tcPr>
            <w:tcW w:w="703" w:type="pct"/>
            <w:vAlign w:val="center"/>
          </w:tcPr>
          <w:p w14:paraId="2FFEB892" w14:textId="77777777" w:rsidR="007D139C" w:rsidRPr="007D139C" w:rsidRDefault="007D139C" w:rsidP="007D139C">
            <w:pPr>
              <w:widowControl/>
              <w:adjustRightInd w:val="0"/>
              <w:snapToGrid w:val="0"/>
              <w:spacing w:after="0" w:line="240" w:lineRule="auto"/>
              <w:jc w:val="center"/>
              <w:textAlignment w:val="center"/>
              <w:rPr>
                <w:rFonts w:ascii="Times New Roman" w:hAnsi="Times New Roman" w:cs="Times New Roman"/>
                <w:color w:val="auto"/>
                <w:lang w:eastAsia="zh-CN"/>
              </w:rPr>
            </w:pPr>
            <w:r w:rsidRPr="007D139C">
              <w:rPr>
                <w:rFonts w:ascii="Times New Roman" w:eastAsia="宋体" w:hAnsi="Times New Roman" w:cs="Times New Roman"/>
                <w:color w:val="auto"/>
                <w:lang w:eastAsia="zh-CN"/>
              </w:rPr>
              <w:t>pH</w:t>
            </w:r>
            <w:r w:rsidRPr="007D139C">
              <w:rPr>
                <w:rFonts w:ascii="Times New Roman" w:hAnsi="Times New Roman" w:cs="Times New Roman"/>
                <w:color w:val="auto"/>
                <w:lang w:eastAsia="zh-CN"/>
              </w:rPr>
              <w:t>（无量</w:t>
            </w:r>
          </w:p>
          <w:p w14:paraId="59FB8039" w14:textId="77777777" w:rsidR="007D139C" w:rsidRPr="007D139C" w:rsidRDefault="007D139C" w:rsidP="007D139C">
            <w:pPr>
              <w:widowControl/>
              <w:adjustRightInd w:val="0"/>
              <w:snapToGrid w:val="0"/>
              <w:spacing w:after="0" w:line="240" w:lineRule="auto"/>
              <w:jc w:val="center"/>
              <w:textAlignment w:val="center"/>
              <w:rPr>
                <w:rFonts w:ascii="Times New Roman" w:hAnsi="Times New Roman" w:cs="Times New Roman"/>
                <w:color w:val="auto"/>
                <w:lang w:eastAsia="zh-CN"/>
              </w:rPr>
            </w:pPr>
            <w:r w:rsidRPr="007D139C">
              <w:rPr>
                <w:rFonts w:ascii="Times New Roman" w:hAnsi="Times New Roman" w:cs="Times New Roman"/>
                <w:color w:val="auto"/>
                <w:lang w:eastAsia="zh-CN"/>
              </w:rPr>
              <w:t>纲）</w:t>
            </w:r>
          </w:p>
        </w:tc>
        <w:tc>
          <w:tcPr>
            <w:tcW w:w="486" w:type="pct"/>
            <w:vAlign w:val="center"/>
          </w:tcPr>
          <w:p w14:paraId="2072DF1E"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7.9</w:t>
            </w:r>
          </w:p>
        </w:tc>
        <w:tc>
          <w:tcPr>
            <w:tcW w:w="479" w:type="pct"/>
            <w:vAlign w:val="center"/>
          </w:tcPr>
          <w:p w14:paraId="71E639F1"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7.8</w:t>
            </w:r>
          </w:p>
        </w:tc>
        <w:tc>
          <w:tcPr>
            <w:tcW w:w="529" w:type="pct"/>
            <w:vAlign w:val="center"/>
          </w:tcPr>
          <w:p w14:paraId="2849CDA9"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8.0</w:t>
            </w:r>
          </w:p>
        </w:tc>
        <w:tc>
          <w:tcPr>
            <w:tcW w:w="537" w:type="pct"/>
            <w:vAlign w:val="center"/>
          </w:tcPr>
          <w:p w14:paraId="326390A8"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7.8</w:t>
            </w:r>
          </w:p>
        </w:tc>
        <w:tc>
          <w:tcPr>
            <w:tcW w:w="596" w:type="pct"/>
            <w:vAlign w:val="center"/>
          </w:tcPr>
          <w:p w14:paraId="30B142B7"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8.0</w:t>
            </w:r>
          </w:p>
        </w:tc>
        <w:tc>
          <w:tcPr>
            <w:tcW w:w="624" w:type="pct"/>
            <w:vAlign w:val="center"/>
          </w:tcPr>
          <w:p w14:paraId="1B593D7A"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7.9</w:t>
            </w:r>
          </w:p>
        </w:tc>
        <w:tc>
          <w:tcPr>
            <w:tcW w:w="533" w:type="pct"/>
            <w:vAlign w:val="center"/>
          </w:tcPr>
          <w:p w14:paraId="49982060"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7.9</w:t>
            </w:r>
          </w:p>
        </w:tc>
        <w:tc>
          <w:tcPr>
            <w:tcW w:w="513" w:type="pct"/>
            <w:vAlign w:val="center"/>
          </w:tcPr>
          <w:p w14:paraId="6C1EDF69"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7.8</w:t>
            </w:r>
          </w:p>
        </w:tc>
      </w:tr>
      <w:tr w:rsidR="007D139C" w:rsidRPr="007D139C" w14:paraId="4D01CCF8" w14:textId="77777777" w:rsidTr="007D139C">
        <w:trPr>
          <w:trHeight w:val="549"/>
          <w:jc w:val="center"/>
        </w:trPr>
        <w:tc>
          <w:tcPr>
            <w:tcW w:w="703" w:type="pct"/>
            <w:vAlign w:val="center"/>
          </w:tcPr>
          <w:p w14:paraId="4472D7C5" w14:textId="6D4C4B18" w:rsidR="007D139C" w:rsidRPr="007D139C" w:rsidRDefault="007D139C" w:rsidP="007D139C">
            <w:pPr>
              <w:widowControl/>
              <w:adjustRightInd w:val="0"/>
              <w:snapToGrid w:val="0"/>
              <w:spacing w:after="0" w:line="240" w:lineRule="auto"/>
              <w:jc w:val="center"/>
              <w:textAlignment w:val="center"/>
              <w:rPr>
                <w:rFonts w:ascii="Times New Roman" w:hAnsi="Times New Roman" w:cs="Times New Roman"/>
                <w:color w:val="auto"/>
                <w:lang w:eastAsia="zh-CN"/>
              </w:rPr>
            </w:pPr>
            <w:r w:rsidRPr="007D139C">
              <w:rPr>
                <w:rFonts w:ascii="Times New Roman" w:hAnsi="Times New Roman" w:cs="Times New Roman"/>
                <w:color w:val="auto"/>
                <w:lang w:eastAsia="zh-CN"/>
              </w:rPr>
              <w:t>悬浮物（</w:t>
            </w:r>
            <w:r w:rsidRPr="007D139C">
              <w:rPr>
                <w:rFonts w:ascii="Times New Roman" w:eastAsia="宋体" w:hAnsi="Times New Roman" w:cs="Times New Roman"/>
                <w:color w:val="auto"/>
                <w:lang w:eastAsia="zh-CN"/>
              </w:rPr>
              <w:t>mg/L</w:t>
            </w:r>
            <w:r w:rsidRPr="007D139C">
              <w:rPr>
                <w:rFonts w:ascii="Times New Roman" w:hAnsi="Times New Roman" w:cs="Times New Roman"/>
                <w:color w:val="auto"/>
                <w:lang w:eastAsia="zh-CN"/>
              </w:rPr>
              <w:t>）</w:t>
            </w:r>
          </w:p>
        </w:tc>
        <w:tc>
          <w:tcPr>
            <w:tcW w:w="486" w:type="pct"/>
            <w:vAlign w:val="center"/>
          </w:tcPr>
          <w:p w14:paraId="04CC8A4B"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242</w:t>
            </w:r>
          </w:p>
        </w:tc>
        <w:tc>
          <w:tcPr>
            <w:tcW w:w="479" w:type="pct"/>
            <w:vAlign w:val="center"/>
          </w:tcPr>
          <w:p w14:paraId="35E21E09"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235</w:t>
            </w:r>
          </w:p>
        </w:tc>
        <w:tc>
          <w:tcPr>
            <w:tcW w:w="529" w:type="pct"/>
            <w:vAlign w:val="center"/>
          </w:tcPr>
          <w:p w14:paraId="3EA7215A"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229</w:t>
            </w:r>
          </w:p>
        </w:tc>
        <w:tc>
          <w:tcPr>
            <w:tcW w:w="537" w:type="pct"/>
            <w:vAlign w:val="center"/>
          </w:tcPr>
          <w:p w14:paraId="2CB74A9F"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237</w:t>
            </w:r>
          </w:p>
        </w:tc>
        <w:tc>
          <w:tcPr>
            <w:tcW w:w="596" w:type="pct"/>
            <w:vAlign w:val="center"/>
          </w:tcPr>
          <w:p w14:paraId="0EB66FD6"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245</w:t>
            </w:r>
          </w:p>
        </w:tc>
        <w:tc>
          <w:tcPr>
            <w:tcW w:w="624" w:type="pct"/>
            <w:vAlign w:val="center"/>
          </w:tcPr>
          <w:p w14:paraId="07ED0F74"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231</w:t>
            </w:r>
          </w:p>
        </w:tc>
        <w:tc>
          <w:tcPr>
            <w:tcW w:w="533" w:type="pct"/>
            <w:vAlign w:val="center"/>
          </w:tcPr>
          <w:p w14:paraId="2C769D26"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225</w:t>
            </w:r>
          </w:p>
        </w:tc>
        <w:tc>
          <w:tcPr>
            <w:tcW w:w="513" w:type="pct"/>
            <w:vAlign w:val="center"/>
          </w:tcPr>
          <w:p w14:paraId="5D7783A2"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236</w:t>
            </w:r>
          </w:p>
        </w:tc>
      </w:tr>
      <w:tr w:rsidR="007D139C" w:rsidRPr="007D139C" w14:paraId="360511EB" w14:textId="77777777" w:rsidTr="007D139C">
        <w:trPr>
          <w:trHeight w:val="493"/>
          <w:jc w:val="center"/>
        </w:trPr>
        <w:tc>
          <w:tcPr>
            <w:tcW w:w="703" w:type="pct"/>
            <w:vAlign w:val="center"/>
          </w:tcPr>
          <w:p w14:paraId="59212E3E" w14:textId="77777777" w:rsidR="007D139C" w:rsidRPr="007D139C" w:rsidRDefault="007D139C" w:rsidP="007D139C">
            <w:pPr>
              <w:widowControl/>
              <w:adjustRightInd w:val="0"/>
              <w:snapToGrid w:val="0"/>
              <w:spacing w:after="0" w:line="240" w:lineRule="auto"/>
              <w:jc w:val="center"/>
              <w:textAlignment w:val="center"/>
              <w:rPr>
                <w:rFonts w:ascii="Times New Roman" w:hAnsi="Times New Roman" w:cs="Times New Roman"/>
                <w:color w:val="auto"/>
                <w:lang w:eastAsia="zh-CN"/>
              </w:rPr>
            </w:pPr>
            <w:r w:rsidRPr="007D139C">
              <w:rPr>
                <w:rFonts w:ascii="Times New Roman" w:hAnsi="Times New Roman" w:cs="Times New Roman"/>
                <w:color w:val="auto"/>
                <w:lang w:eastAsia="zh-CN"/>
              </w:rPr>
              <w:lastRenderedPageBreak/>
              <w:t>浊度（度）</w:t>
            </w:r>
          </w:p>
        </w:tc>
        <w:tc>
          <w:tcPr>
            <w:tcW w:w="486" w:type="pct"/>
            <w:vAlign w:val="center"/>
          </w:tcPr>
          <w:p w14:paraId="68F7ECCB"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1000</w:t>
            </w:r>
          </w:p>
        </w:tc>
        <w:tc>
          <w:tcPr>
            <w:tcW w:w="479" w:type="pct"/>
            <w:vAlign w:val="center"/>
          </w:tcPr>
          <w:p w14:paraId="0A4413A5"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1000</w:t>
            </w:r>
          </w:p>
        </w:tc>
        <w:tc>
          <w:tcPr>
            <w:tcW w:w="529" w:type="pct"/>
            <w:vAlign w:val="center"/>
          </w:tcPr>
          <w:p w14:paraId="70B269FE"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1000</w:t>
            </w:r>
          </w:p>
        </w:tc>
        <w:tc>
          <w:tcPr>
            <w:tcW w:w="537" w:type="pct"/>
            <w:vAlign w:val="center"/>
          </w:tcPr>
          <w:p w14:paraId="0799394D"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1000</w:t>
            </w:r>
          </w:p>
        </w:tc>
        <w:tc>
          <w:tcPr>
            <w:tcW w:w="596" w:type="pct"/>
            <w:vAlign w:val="center"/>
          </w:tcPr>
          <w:p w14:paraId="1C37F48D"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1000</w:t>
            </w:r>
          </w:p>
        </w:tc>
        <w:tc>
          <w:tcPr>
            <w:tcW w:w="624" w:type="pct"/>
            <w:vAlign w:val="center"/>
          </w:tcPr>
          <w:p w14:paraId="29AD73D4"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1000</w:t>
            </w:r>
          </w:p>
        </w:tc>
        <w:tc>
          <w:tcPr>
            <w:tcW w:w="533" w:type="pct"/>
            <w:vAlign w:val="center"/>
          </w:tcPr>
          <w:p w14:paraId="7E41651A"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1000</w:t>
            </w:r>
          </w:p>
        </w:tc>
        <w:tc>
          <w:tcPr>
            <w:tcW w:w="513" w:type="pct"/>
            <w:vAlign w:val="center"/>
          </w:tcPr>
          <w:p w14:paraId="2DD09586"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1000</w:t>
            </w:r>
          </w:p>
        </w:tc>
      </w:tr>
      <w:tr w:rsidR="007D139C" w:rsidRPr="007D139C" w14:paraId="25864872" w14:textId="77777777" w:rsidTr="007D139C">
        <w:trPr>
          <w:trHeight w:val="493"/>
          <w:jc w:val="center"/>
        </w:trPr>
        <w:tc>
          <w:tcPr>
            <w:tcW w:w="703" w:type="pct"/>
            <w:vAlign w:val="center"/>
          </w:tcPr>
          <w:p w14:paraId="7B8D2ED9" w14:textId="77777777" w:rsidR="007D139C" w:rsidRPr="007D139C" w:rsidRDefault="007D139C" w:rsidP="007D139C">
            <w:pPr>
              <w:widowControl/>
              <w:adjustRightInd w:val="0"/>
              <w:snapToGrid w:val="0"/>
              <w:spacing w:after="0" w:line="240" w:lineRule="auto"/>
              <w:jc w:val="center"/>
              <w:textAlignment w:val="center"/>
              <w:rPr>
                <w:rFonts w:ascii="Times New Roman" w:hAnsi="Times New Roman" w:cs="Times New Roman"/>
                <w:color w:val="auto"/>
                <w:lang w:eastAsia="zh-CN"/>
              </w:rPr>
            </w:pPr>
            <w:r w:rsidRPr="007D139C">
              <w:rPr>
                <w:rFonts w:ascii="Times New Roman" w:hAnsi="Times New Roman" w:cs="Times New Roman"/>
                <w:color w:val="auto"/>
                <w:lang w:eastAsia="zh-CN"/>
              </w:rPr>
              <w:t>色度（倍）</w:t>
            </w:r>
          </w:p>
        </w:tc>
        <w:tc>
          <w:tcPr>
            <w:tcW w:w="486" w:type="pct"/>
            <w:vAlign w:val="center"/>
          </w:tcPr>
          <w:p w14:paraId="724B29CC"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800</w:t>
            </w:r>
          </w:p>
        </w:tc>
        <w:tc>
          <w:tcPr>
            <w:tcW w:w="479" w:type="pct"/>
            <w:vAlign w:val="center"/>
          </w:tcPr>
          <w:p w14:paraId="488F77C3"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800</w:t>
            </w:r>
          </w:p>
        </w:tc>
        <w:tc>
          <w:tcPr>
            <w:tcW w:w="529" w:type="pct"/>
            <w:vAlign w:val="center"/>
          </w:tcPr>
          <w:p w14:paraId="42F24909"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800</w:t>
            </w:r>
          </w:p>
        </w:tc>
        <w:tc>
          <w:tcPr>
            <w:tcW w:w="537" w:type="pct"/>
            <w:vAlign w:val="center"/>
          </w:tcPr>
          <w:p w14:paraId="63E8A5E6"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800</w:t>
            </w:r>
          </w:p>
        </w:tc>
        <w:tc>
          <w:tcPr>
            <w:tcW w:w="596" w:type="pct"/>
            <w:vAlign w:val="center"/>
          </w:tcPr>
          <w:p w14:paraId="6F315B44"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800</w:t>
            </w:r>
          </w:p>
        </w:tc>
        <w:tc>
          <w:tcPr>
            <w:tcW w:w="624" w:type="pct"/>
            <w:vAlign w:val="center"/>
          </w:tcPr>
          <w:p w14:paraId="5387436D"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800</w:t>
            </w:r>
          </w:p>
        </w:tc>
        <w:tc>
          <w:tcPr>
            <w:tcW w:w="533" w:type="pct"/>
            <w:vAlign w:val="center"/>
          </w:tcPr>
          <w:p w14:paraId="07329307"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800</w:t>
            </w:r>
          </w:p>
        </w:tc>
        <w:tc>
          <w:tcPr>
            <w:tcW w:w="513" w:type="pct"/>
            <w:vAlign w:val="center"/>
          </w:tcPr>
          <w:p w14:paraId="3A3F32A2"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800</w:t>
            </w:r>
          </w:p>
        </w:tc>
      </w:tr>
      <w:tr w:rsidR="007D139C" w:rsidRPr="007D139C" w14:paraId="4A17C528" w14:textId="77777777" w:rsidTr="007D139C">
        <w:trPr>
          <w:trHeight w:val="518"/>
          <w:jc w:val="center"/>
        </w:trPr>
        <w:tc>
          <w:tcPr>
            <w:tcW w:w="703" w:type="pct"/>
            <w:vAlign w:val="center"/>
          </w:tcPr>
          <w:p w14:paraId="2B95FDDB" w14:textId="5BFFD3AA" w:rsidR="007D139C" w:rsidRPr="007D139C" w:rsidRDefault="007D139C" w:rsidP="007D139C">
            <w:pPr>
              <w:widowControl/>
              <w:adjustRightInd w:val="0"/>
              <w:snapToGrid w:val="0"/>
              <w:spacing w:after="0" w:line="240" w:lineRule="auto"/>
              <w:jc w:val="center"/>
              <w:textAlignment w:val="center"/>
              <w:rPr>
                <w:rFonts w:ascii="Times New Roman" w:hAnsi="Times New Roman" w:cs="Times New Roman"/>
                <w:color w:val="auto"/>
                <w:lang w:eastAsia="zh-CN"/>
              </w:rPr>
            </w:pPr>
            <w:r w:rsidRPr="007D139C">
              <w:rPr>
                <w:rFonts w:ascii="Times New Roman" w:eastAsia="宋体" w:hAnsi="Times New Roman" w:cs="Times New Roman"/>
                <w:color w:val="auto"/>
                <w:lang w:eastAsia="zh-CN"/>
              </w:rPr>
              <w:t>BOD5</w:t>
            </w:r>
            <w:r w:rsidRPr="007D139C">
              <w:rPr>
                <w:rFonts w:ascii="Times New Roman" w:hAnsi="Times New Roman" w:cs="Times New Roman"/>
                <w:color w:val="auto"/>
                <w:lang w:eastAsia="zh-CN"/>
              </w:rPr>
              <w:t>（</w:t>
            </w:r>
            <w:r w:rsidRPr="007D139C">
              <w:rPr>
                <w:rFonts w:ascii="Times New Roman" w:eastAsia="宋体" w:hAnsi="Times New Roman" w:cs="Times New Roman"/>
                <w:color w:val="auto"/>
                <w:lang w:eastAsia="zh-CN"/>
              </w:rPr>
              <w:t>mg/L</w:t>
            </w:r>
            <w:r w:rsidRPr="007D139C">
              <w:rPr>
                <w:rFonts w:ascii="Times New Roman" w:hAnsi="Times New Roman" w:cs="Times New Roman"/>
                <w:color w:val="auto"/>
                <w:lang w:eastAsia="zh-CN"/>
              </w:rPr>
              <w:t>）</w:t>
            </w:r>
          </w:p>
        </w:tc>
        <w:tc>
          <w:tcPr>
            <w:tcW w:w="486" w:type="pct"/>
            <w:vAlign w:val="center"/>
          </w:tcPr>
          <w:p w14:paraId="34387621"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166</w:t>
            </w:r>
          </w:p>
        </w:tc>
        <w:tc>
          <w:tcPr>
            <w:tcW w:w="479" w:type="pct"/>
            <w:vAlign w:val="center"/>
          </w:tcPr>
          <w:p w14:paraId="751892F9"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176</w:t>
            </w:r>
          </w:p>
        </w:tc>
        <w:tc>
          <w:tcPr>
            <w:tcW w:w="529" w:type="pct"/>
            <w:vAlign w:val="center"/>
          </w:tcPr>
          <w:p w14:paraId="4ACB4322"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168</w:t>
            </w:r>
          </w:p>
        </w:tc>
        <w:tc>
          <w:tcPr>
            <w:tcW w:w="537" w:type="pct"/>
            <w:vAlign w:val="center"/>
          </w:tcPr>
          <w:p w14:paraId="72DB3FBF"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144</w:t>
            </w:r>
          </w:p>
        </w:tc>
        <w:tc>
          <w:tcPr>
            <w:tcW w:w="596" w:type="pct"/>
            <w:vAlign w:val="center"/>
          </w:tcPr>
          <w:p w14:paraId="60297EC4"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159</w:t>
            </w:r>
          </w:p>
        </w:tc>
        <w:tc>
          <w:tcPr>
            <w:tcW w:w="624" w:type="pct"/>
            <w:vAlign w:val="center"/>
          </w:tcPr>
          <w:p w14:paraId="32F11320"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150</w:t>
            </w:r>
          </w:p>
        </w:tc>
        <w:tc>
          <w:tcPr>
            <w:tcW w:w="533" w:type="pct"/>
            <w:vAlign w:val="center"/>
          </w:tcPr>
          <w:p w14:paraId="65777802"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153</w:t>
            </w:r>
          </w:p>
        </w:tc>
        <w:tc>
          <w:tcPr>
            <w:tcW w:w="513" w:type="pct"/>
            <w:vAlign w:val="center"/>
          </w:tcPr>
          <w:p w14:paraId="3343C636"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170</w:t>
            </w:r>
          </w:p>
        </w:tc>
      </w:tr>
      <w:tr w:rsidR="007D139C" w:rsidRPr="007D139C" w14:paraId="75AFB7D2" w14:textId="77777777" w:rsidTr="007D139C">
        <w:trPr>
          <w:trHeight w:val="519"/>
          <w:jc w:val="center"/>
        </w:trPr>
        <w:tc>
          <w:tcPr>
            <w:tcW w:w="703" w:type="pct"/>
            <w:vAlign w:val="center"/>
          </w:tcPr>
          <w:p w14:paraId="0CF36A93" w14:textId="640B81A7" w:rsidR="007D139C" w:rsidRPr="007D139C" w:rsidRDefault="007D139C" w:rsidP="007D139C">
            <w:pPr>
              <w:widowControl/>
              <w:adjustRightInd w:val="0"/>
              <w:snapToGrid w:val="0"/>
              <w:spacing w:after="0" w:line="240" w:lineRule="auto"/>
              <w:jc w:val="center"/>
              <w:textAlignment w:val="center"/>
              <w:rPr>
                <w:rFonts w:ascii="Times New Roman" w:hAnsi="Times New Roman" w:cs="Times New Roman"/>
                <w:color w:val="auto"/>
                <w:lang w:eastAsia="zh-CN"/>
              </w:rPr>
            </w:pPr>
            <w:r w:rsidRPr="007D139C">
              <w:rPr>
                <w:rFonts w:ascii="Times New Roman" w:eastAsia="宋体" w:hAnsi="Times New Roman" w:cs="Times New Roman"/>
                <w:color w:val="auto"/>
                <w:lang w:eastAsia="zh-CN"/>
              </w:rPr>
              <w:t>COD</w:t>
            </w:r>
            <w:r w:rsidRPr="007D139C">
              <w:rPr>
                <w:rFonts w:ascii="Times New Roman" w:hAnsi="Times New Roman" w:cs="Times New Roman"/>
                <w:color w:val="auto"/>
                <w:lang w:eastAsia="zh-CN"/>
              </w:rPr>
              <w:t>（</w:t>
            </w:r>
            <w:r w:rsidRPr="007D139C">
              <w:rPr>
                <w:rFonts w:ascii="Times New Roman" w:eastAsia="宋体" w:hAnsi="Times New Roman" w:cs="Times New Roman"/>
                <w:color w:val="auto"/>
                <w:lang w:eastAsia="zh-CN"/>
              </w:rPr>
              <w:t>mg/L</w:t>
            </w:r>
            <w:r w:rsidRPr="007D139C">
              <w:rPr>
                <w:rFonts w:ascii="Times New Roman" w:hAnsi="Times New Roman" w:cs="Times New Roman"/>
                <w:color w:val="auto"/>
                <w:lang w:eastAsia="zh-CN"/>
              </w:rPr>
              <w:t>）</w:t>
            </w:r>
          </w:p>
        </w:tc>
        <w:tc>
          <w:tcPr>
            <w:tcW w:w="486" w:type="pct"/>
            <w:vAlign w:val="center"/>
          </w:tcPr>
          <w:p w14:paraId="714C311D"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489</w:t>
            </w:r>
          </w:p>
        </w:tc>
        <w:tc>
          <w:tcPr>
            <w:tcW w:w="479" w:type="pct"/>
            <w:vAlign w:val="center"/>
          </w:tcPr>
          <w:p w14:paraId="130509B8"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511</w:t>
            </w:r>
          </w:p>
        </w:tc>
        <w:tc>
          <w:tcPr>
            <w:tcW w:w="529" w:type="pct"/>
            <w:vAlign w:val="center"/>
          </w:tcPr>
          <w:p w14:paraId="435285C6"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488</w:t>
            </w:r>
          </w:p>
        </w:tc>
        <w:tc>
          <w:tcPr>
            <w:tcW w:w="537" w:type="pct"/>
            <w:vAlign w:val="center"/>
          </w:tcPr>
          <w:p w14:paraId="4FE2E408"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436</w:t>
            </w:r>
          </w:p>
        </w:tc>
        <w:tc>
          <w:tcPr>
            <w:tcW w:w="596" w:type="pct"/>
            <w:vAlign w:val="center"/>
          </w:tcPr>
          <w:p w14:paraId="4E52DE59"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475</w:t>
            </w:r>
          </w:p>
        </w:tc>
        <w:tc>
          <w:tcPr>
            <w:tcW w:w="624" w:type="pct"/>
            <w:vAlign w:val="center"/>
          </w:tcPr>
          <w:p w14:paraId="5C28D532"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452</w:t>
            </w:r>
          </w:p>
        </w:tc>
        <w:tc>
          <w:tcPr>
            <w:tcW w:w="533" w:type="pct"/>
            <w:vAlign w:val="center"/>
          </w:tcPr>
          <w:p w14:paraId="2587C957"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467</w:t>
            </w:r>
          </w:p>
        </w:tc>
        <w:tc>
          <w:tcPr>
            <w:tcW w:w="513" w:type="pct"/>
            <w:vAlign w:val="center"/>
          </w:tcPr>
          <w:p w14:paraId="6543D0D7"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498</w:t>
            </w:r>
          </w:p>
        </w:tc>
      </w:tr>
      <w:tr w:rsidR="007D139C" w:rsidRPr="007D139C" w14:paraId="413CFCAF" w14:textId="77777777" w:rsidTr="007D139C">
        <w:trPr>
          <w:trHeight w:val="493"/>
          <w:jc w:val="center"/>
        </w:trPr>
        <w:tc>
          <w:tcPr>
            <w:tcW w:w="703" w:type="pct"/>
            <w:vAlign w:val="center"/>
          </w:tcPr>
          <w:p w14:paraId="712BECD2" w14:textId="77777777" w:rsidR="007D139C" w:rsidRPr="007D139C" w:rsidRDefault="007D139C" w:rsidP="007D139C">
            <w:pPr>
              <w:widowControl/>
              <w:adjustRightInd w:val="0"/>
              <w:snapToGrid w:val="0"/>
              <w:spacing w:after="0" w:line="240" w:lineRule="auto"/>
              <w:jc w:val="center"/>
              <w:textAlignment w:val="center"/>
              <w:rPr>
                <w:rFonts w:ascii="Times New Roman" w:hAnsi="Times New Roman" w:cs="Times New Roman"/>
                <w:color w:val="auto"/>
                <w:lang w:eastAsia="zh-CN"/>
              </w:rPr>
            </w:pPr>
            <w:r w:rsidRPr="007D139C">
              <w:rPr>
                <w:rFonts w:ascii="Times New Roman" w:hAnsi="Times New Roman" w:cs="Times New Roman"/>
                <w:color w:val="auto"/>
                <w:lang w:eastAsia="zh-CN"/>
              </w:rPr>
              <w:t>铁（</w:t>
            </w:r>
            <w:r w:rsidRPr="007D139C">
              <w:rPr>
                <w:rFonts w:ascii="Times New Roman" w:eastAsia="宋体" w:hAnsi="Times New Roman" w:cs="Times New Roman"/>
                <w:color w:val="auto"/>
                <w:lang w:eastAsia="zh-CN"/>
              </w:rPr>
              <w:t>mg/L</w:t>
            </w:r>
            <w:r w:rsidRPr="007D139C">
              <w:rPr>
                <w:rFonts w:ascii="Times New Roman" w:hAnsi="Times New Roman" w:cs="Times New Roman"/>
                <w:color w:val="auto"/>
                <w:lang w:eastAsia="zh-CN"/>
              </w:rPr>
              <w:t>）</w:t>
            </w:r>
          </w:p>
        </w:tc>
        <w:tc>
          <w:tcPr>
            <w:tcW w:w="486" w:type="pct"/>
            <w:vAlign w:val="center"/>
          </w:tcPr>
          <w:p w14:paraId="3D29261B"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2.01</w:t>
            </w:r>
          </w:p>
        </w:tc>
        <w:tc>
          <w:tcPr>
            <w:tcW w:w="479" w:type="pct"/>
            <w:vAlign w:val="center"/>
          </w:tcPr>
          <w:p w14:paraId="6EA7B059"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2.27</w:t>
            </w:r>
          </w:p>
        </w:tc>
        <w:tc>
          <w:tcPr>
            <w:tcW w:w="529" w:type="pct"/>
            <w:vAlign w:val="center"/>
          </w:tcPr>
          <w:p w14:paraId="32253EAB"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2.36</w:t>
            </w:r>
          </w:p>
        </w:tc>
        <w:tc>
          <w:tcPr>
            <w:tcW w:w="537" w:type="pct"/>
            <w:vAlign w:val="center"/>
          </w:tcPr>
          <w:p w14:paraId="59E1F52B"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1.66</w:t>
            </w:r>
          </w:p>
        </w:tc>
        <w:tc>
          <w:tcPr>
            <w:tcW w:w="596" w:type="pct"/>
            <w:vAlign w:val="center"/>
          </w:tcPr>
          <w:p w14:paraId="4C8764A9"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1.83</w:t>
            </w:r>
          </w:p>
        </w:tc>
        <w:tc>
          <w:tcPr>
            <w:tcW w:w="624" w:type="pct"/>
            <w:vAlign w:val="center"/>
          </w:tcPr>
          <w:p w14:paraId="012D92C5"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2.01</w:t>
            </w:r>
          </w:p>
        </w:tc>
        <w:tc>
          <w:tcPr>
            <w:tcW w:w="533" w:type="pct"/>
            <w:vAlign w:val="center"/>
          </w:tcPr>
          <w:p w14:paraId="4C644E35"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2.27</w:t>
            </w:r>
          </w:p>
        </w:tc>
        <w:tc>
          <w:tcPr>
            <w:tcW w:w="513" w:type="pct"/>
            <w:vAlign w:val="center"/>
          </w:tcPr>
          <w:p w14:paraId="3F191B66"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2.36</w:t>
            </w:r>
          </w:p>
        </w:tc>
      </w:tr>
      <w:tr w:rsidR="007D139C" w:rsidRPr="007D139C" w14:paraId="5818F1A5" w14:textId="77777777" w:rsidTr="007D139C">
        <w:trPr>
          <w:trHeight w:val="493"/>
          <w:jc w:val="center"/>
        </w:trPr>
        <w:tc>
          <w:tcPr>
            <w:tcW w:w="703" w:type="pct"/>
            <w:vAlign w:val="center"/>
          </w:tcPr>
          <w:p w14:paraId="5BB69D3D" w14:textId="77777777" w:rsidR="007D139C" w:rsidRPr="007D139C" w:rsidRDefault="007D139C" w:rsidP="007D139C">
            <w:pPr>
              <w:widowControl/>
              <w:adjustRightInd w:val="0"/>
              <w:snapToGrid w:val="0"/>
              <w:spacing w:after="0" w:line="240" w:lineRule="auto"/>
              <w:jc w:val="center"/>
              <w:textAlignment w:val="center"/>
              <w:rPr>
                <w:rFonts w:ascii="Times New Roman" w:hAnsi="Times New Roman" w:cs="Times New Roman"/>
                <w:color w:val="auto"/>
                <w:lang w:eastAsia="zh-CN"/>
              </w:rPr>
            </w:pPr>
            <w:r w:rsidRPr="007D139C">
              <w:rPr>
                <w:rFonts w:ascii="Times New Roman" w:hAnsi="Times New Roman" w:cs="Times New Roman"/>
                <w:color w:val="auto"/>
                <w:lang w:eastAsia="zh-CN"/>
              </w:rPr>
              <w:t>锰（</w:t>
            </w:r>
            <w:r w:rsidRPr="007D139C">
              <w:rPr>
                <w:rFonts w:ascii="Times New Roman" w:eastAsia="宋体" w:hAnsi="Times New Roman" w:cs="Times New Roman"/>
                <w:color w:val="auto"/>
                <w:lang w:eastAsia="zh-CN"/>
              </w:rPr>
              <w:t>mg/L</w:t>
            </w:r>
            <w:r w:rsidRPr="007D139C">
              <w:rPr>
                <w:rFonts w:ascii="Times New Roman" w:hAnsi="Times New Roman" w:cs="Times New Roman"/>
                <w:color w:val="auto"/>
                <w:lang w:eastAsia="zh-CN"/>
              </w:rPr>
              <w:t>）</w:t>
            </w:r>
          </w:p>
        </w:tc>
        <w:tc>
          <w:tcPr>
            <w:tcW w:w="486" w:type="pct"/>
            <w:vAlign w:val="center"/>
          </w:tcPr>
          <w:p w14:paraId="07BB1AEF"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0.58</w:t>
            </w:r>
          </w:p>
        </w:tc>
        <w:tc>
          <w:tcPr>
            <w:tcW w:w="479" w:type="pct"/>
            <w:vAlign w:val="center"/>
          </w:tcPr>
          <w:p w14:paraId="3004FA46"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0.46</w:t>
            </w:r>
          </w:p>
        </w:tc>
        <w:tc>
          <w:tcPr>
            <w:tcW w:w="529" w:type="pct"/>
            <w:vAlign w:val="center"/>
          </w:tcPr>
          <w:p w14:paraId="4A0212CA"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0.62</w:t>
            </w:r>
          </w:p>
        </w:tc>
        <w:tc>
          <w:tcPr>
            <w:tcW w:w="537" w:type="pct"/>
            <w:vAlign w:val="center"/>
          </w:tcPr>
          <w:p w14:paraId="4C97B489"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0.70</w:t>
            </w:r>
          </w:p>
        </w:tc>
        <w:tc>
          <w:tcPr>
            <w:tcW w:w="596" w:type="pct"/>
            <w:vAlign w:val="center"/>
          </w:tcPr>
          <w:p w14:paraId="72F5CDD9"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0.58</w:t>
            </w:r>
          </w:p>
        </w:tc>
        <w:tc>
          <w:tcPr>
            <w:tcW w:w="624" w:type="pct"/>
            <w:vAlign w:val="center"/>
          </w:tcPr>
          <w:p w14:paraId="5AE6F51E"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0.62</w:t>
            </w:r>
          </w:p>
        </w:tc>
        <w:tc>
          <w:tcPr>
            <w:tcW w:w="533" w:type="pct"/>
            <w:vAlign w:val="center"/>
          </w:tcPr>
          <w:p w14:paraId="69566054"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0.46</w:t>
            </w:r>
          </w:p>
        </w:tc>
        <w:tc>
          <w:tcPr>
            <w:tcW w:w="513" w:type="pct"/>
            <w:vAlign w:val="center"/>
          </w:tcPr>
          <w:p w14:paraId="31BA6DF4"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0.58</w:t>
            </w:r>
          </w:p>
        </w:tc>
      </w:tr>
      <w:tr w:rsidR="007D139C" w:rsidRPr="007D139C" w14:paraId="3FAB1A14" w14:textId="77777777" w:rsidTr="007D139C">
        <w:trPr>
          <w:trHeight w:val="549"/>
          <w:jc w:val="center"/>
        </w:trPr>
        <w:tc>
          <w:tcPr>
            <w:tcW w:w="703" w:type="pct"/>
            <w:vAlign w:val="center"/>
          </w:tcPr>
          <w:p w14:paraId="4FFB3622" w14:textId="624DEB8D" w:rsidR="007D139C" w:rsidRPr="007D139C" w:rsidRDefault="007D139C" w:rsidP="007D139C">
            <w:pPr>
              <w:widowControl/>
              <w:adjustRightInd w:val="0"/>
              <w:snapToGrid w:val="0"/>
              <w:spacing w:after="0" w:line="240" w:lineRule="auto"/>
              <w:jc w:val="center"/>
              <w:textAlignment w:val="center"/>
              <w:rPr>
                <w:rFonts w:ascii="Times New Roman" w:hAnsi="Times New Roman" w:cs="Times New Roman"/>
                <w:color w:val="auto"/>
                <w:lang w:eastAsia="zh-CN"/>
              </w:rPr>
            </w:pPr>
            <w:r w:rsidRPr="007D139C">
              <w:rPr>
                <w:rFonts w:ascii="Times New Roman" w:hAnsi="Times New Roman" w:cs="Times New Roman"/>
                <w:color w:val="auto"/>
                <w:lang w:eastAsia="zh-CN"/>
              </w:rPr>
              <w:t>氯离子（</w:t>
            </w:r>
            <w:r w:rsidRPr="007D139C">
              <w:rPr>
                <w:rFonts w:ascii="Times New Roman" w:eastAsia="宋体" w:hAnsi="Times New Roman" w:cs="Times New Roman"/>
                <w:color w:val="auto"/>
                <w:lang w:eastAsia="zh-CN"/>
              </w:rPr>
              <w:t>mg/L</w:t>
            </w:r>
            <w:r w:rsidRPr="007D139C">
              <w:rPr>
                <w:rFonts w:ascii="Times New Roman" w:hAnsi="Times New Roman" w:cs="Times New Roman"/>
                <w:color w:val="auto"/>
                <w:lang w:eastAsia="zh-CN"/>
              </w:rPr>
              <w:t>）</w:t>
            </w:r>
          </w:p>
        </w:tc>
        <w:tc>
          <w:tcPr>
            <w:tcW w:w="486" w:type="pct"/>
            <w:vAlign w:val="center"/>
          </w:tcPr>
          <w:p w14:paraId="7358A578"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710</w:t>
            </w:r>
          </w:p>
        </w:tc>
        <w:tc>
          <w:tcPr>
            <w:tcW w:w="479" w:type="pct"/>
            <w:vAlign w:val="center"/>
          </w:tcPr>
          <w:p w14:paraId="2AD0D4BF"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725</w:t>
            </w:r>
          </w:p>
        </w:tc>
        <w:tc>
          <w:tcPr>
            <w:tcW w:w="529" w:type="pct"/>
            <w:vAlign w:val="center"/>
          </w:tcPr>
          <w:p w14:paraId="287E6972"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733</w:t>
            </w:r>
          </w:p>
        </w:tc>
        <w:tc>
          <w:tcPr>
            <w:tcW w:w="537" w:type="pct"/>
            <w:vAlign w:val="center"/>
          </w:tcPr>
          <w:p w14:paraId="14A00DE3"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730</w:t>
            </w:r>
          </w:p>
        </w:tc>
        <w:tc>
          <w:tcPr>
            <w:tcW w:w="596" w:type="pct"/>
            <w:vAlign w:val="center"/>
          </w:tcPr>
          <w:p w14:paraId="5B417E47"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756</w:t>
            </w:r>
          </w:p>
        </w:tc>
        <w:tc>
          <w:tcPr>
            <w:tcW w:w="624" w:type="pct"/>
            <w:vAlign w:val="center"/>
          </w:tcPr>
          <w:p w14:paraId="7A964833"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742</w:t>
            </w:r>
          </w:p>
        </w:tc>
        <w:tc>
          <w:tcPr>
            <w:tcW w:w="533" w:type="pct"/>
            <w:vAlign w:val="center"/>
          </w:tcPr>
          <w:p w14:paraId="725CC7A2"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784</w:t>
            </w:r>
          </w:p>
        </w:tc>
        <w:tc>
          <w:tcPr>
            <w:tcW w:w="513" w:type="pct"/>
            <w:vAlign w:val="center"/>
          </w:tcPr>
          <w:p w14:paraId="6C637C79"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799</w:t>
            </w:r>
          </w:p>
        </w:tc>
      </w:tr>
      <w:tr w:rsidR="007D139C" w:rsidRPr="007D139C" w14:paraId="14CEF186" w14:textId="77777777" w:rsidTr="007D139C">
        <w:trPr>
          <w:trHeight w:val="550"/>
          <w:jc w:val="center"/>
        </w:trPr>
        <w:tc>
          <w:tcPr>
            <w:tcW w:w="703" w:type="pct"/>
            <w:vAlign w:val="center"/>
          </w:tcPr>
          <w:p w14:paraId="22144F4E" w14:textId="62526932" w:rsidR="007D139C" w:rsidRPr="007D139C" w:rsidRDefault="007D139C" w:rsidP="007D139C">
            <w:pPr>
              <w:widowControl/>
              <w:adjustRightInd w:val="0"/>
              <w:snapToGrid w:val="0"/>
              <w:spacing w:after="0" w:line="240" w:lineRule="auto"/>
              <w:jc w:val="center"/>
              <w:textAlignment w:val="center"/>
              <w:rPr>
                <w:rFonts w:ascii="Times New Roman" w:hAnsi="Times New Roman" w:cs="Times New Roman"/>
                <w:color w:val="auto"/>
                <w:lang w:eastAsia="zh-CN"/>
              </w:rPr>
            </w:pPr>
            <w:r w:rsidRPr="007D139C">
              <w:rPr>
                <w:rFonts w:ascii="Times New Roman" w:hAnsi="Times New Roman" w:cs="Times New Roman"/>
                <w:color w:val="auto"/>
                <w:lang w:eastAsia="zh-CN"/>
              </w:rPr>
              <w:t>二氧化硅（</w:t>
            </w:r>
            <w:r w:rsidRPr="007D139C">
              <w:rPr>
                <w:rFonts w:ascii="Times New Roman" w:eastAsia="宋体" w:hAnsi="Times New Roman" w:cs="Times New Roman"/>
                <w:color w:val="auto"/>
                <w:lang w:eastAsia="zh-CN"/>
              </w:rPr>
              <w:t>mg/L</w:t>
            </w:r>
            <w:r w:rsidRPr="007D139C">
              <w:rPr>
                <w:rFonts w:ascii="Times New Roman" w:hAnsi="Times New Roman" w:cs="Times New Roman"/>
                <w:color w:val="auto"/>
                <w:lang w:eastAsia="zh-CN"/>
              </w:rPr>
              <w:t>）</w:t>
            </w:r>
          </w:p>
        </w:tc>
        <w:tc>
          <w:tcPr>
            <w:tcW w:w="486" w:type="pct"/>
            <w:vAlign w:val="center"/>
          </w:tcPr>
          <w:p w14:paraId="0033153E"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3.0×10</w:t>
            </w:r>
            <w:r w:rsidRPr="007D139C">
              <w:rPr>
                <w:rFonts w:ascii="Times New Roman" w:eastAsia="宋体" w:hAnsi="Times New Roman" w:cs="Times New Roman"/>
                <w:color w:val="auto"/>
                <w:vertAlign w:val="superscript"/>
                <w:lang w:eastAsia="zh-CN"/>
              </w:rPr>
              <w:t>2</w:t>
            </w:r>
          </w:p>
        </w:tc>
        <w:tc>
          <w:tcPr>
            <w:tcW w:w="479" w:type="pct"/>
            <w:vAlign w:val="center"/>
          </w:tcPr>
          <w:p w14:paraId="42C29DF3" w14:textId="0E9A8F5D"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3.1×10</w:t>
            </w:r>
            <w:r w:rsidRPr="007D139C">
              <w:rPr>
                <w:rFonts w:ascii="Times New Roman" w:eastAsia="宋体" w:hAnsi="Times New Roman" w:cs="Times New Roman"/>
                <w:color w:val="auto"/>
                <w:vertAlign w:val="superscript"/>
                <w:lang w:eastAsia="zh-CN"/>
              </w:rPr>
              <w:t>2</w:t>
            </w:r>
          </w:p>
        </w:tc>
        <w:tc>
          <w:tcPr>
            <w:tcW w:w="529" w:type="pct"/>
            <w:vAlign w:val="center"/>
          </w:tcPr>
          <w:p w14:paraId="3F32567C"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3.4×10</w:t>
            </w:r>
            <w:r w:rsidRPr="007D139C">
              <w:rPr>
                <w:rFonts w:ascii="Times New Roman" w:eastAsia="宋体" w:hAnsi="Times New Roman" w:cs="Times New Roman"/>
                <w:color w:val="auto"/>
                <w:vertAlign w:val="superscript"/>
                <w:lang w:eastAsia="zh-CN"/>
              </w:rPr>
              <w:t>2</w:t>
            </w:r>
          </w:p>
        </w:tc>
        <w:tc>
          <w:tcPr>
            <w:tcW w:w="537" w:type="pct"/>
            <w:vAlign w:val="center"/>
          </w:tcPr>
          <w:p w14:paraId="092CA7CB"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2.6×10</w:t>
            </w:r>
            <w:r w:rsidRPr="007D139C">
              <w:rPr>
                <w:rFonts w:ascii="Times New Roman" w:eastAsia="宋体" w:hAnsi="Times New Roman" w:cs="Times New Roman"/>
                <w:color w:val="auto"/>
                <w:vertAlign w:val="superscript"/>
                <w:lang w:eastAsia="zh-CN"/>
              </w:rPr>
              <w:t>2</w:t>
            </w:r>
          </w:p>
        </w:tc>
        <w:tc>
          <w:tcPr>
            <w:tcW w:w="596" w:type="pct"/>
            <w:vAlign w:val="center"/>
          </w:tcPr>
          <w:p w14:paraId="112DDAEF"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2.8×10</w:t>
            </w:r>
            <w:r w:rsidRPr="007D139C">
              <w:rPr>
                <w:rFonts w:ascii="Times New Roman" w:eastAsia="宋体" w:hAnsi="Times New Roman" w:cs="Times New Roman"/>
                <w:color w:val="auto"/>
                <w:vertAlign w:val="superscript"/>
                <w:lang w:eastAsia="zh-CN"/>
              </w:rPr>
              <w:t>2</w:t>
            </w:r>
          </w:p>
        </w:tc>
        <w:tc>
          <w:tcPr>
            <w:tcW w:w="624" w:type="pct"/>
            <w:vAlign w:val="center"/>
          </w:tcPr>
          <w:p w14:paraId="2734C18B" w14:textId="5A7AA159"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3.1×10</w:t>
            </w:r>
            <w:r w:rsidRPr="007D139C">
              <w:rPr>
                <w:rFonts w:ascii="Times New Roman" w:eastAsia="宋体" w:hAnsi="Times New Roman" w:cs="Times New Roman"/>
                <w:color w:val="auto"/>
                <w:vertAlign w:val="superscript"/>
                <w:lang w:eastAsia="zh-CN"/>
              </w:rPr>
              <w:t>2</w:t>
            </w:r>
          </w:p>
        </w:tc>
        <w:tc>
          <w:tcPr>
            <w:tcW w:w="533" w:type="pct"/>
            <w:vAlign w:val="center"/>
          </w:tcPr>
          <w:p w14:paraId="2DF1A63F"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2.6×10</w:t>
            </w:r>
            <w:r w:rsidRPr="007D139C">
              <w:rPr>
                <w:rFonts w:ascii="Times New Roman" w:eastAsia="宋体" w:hAnsi="Times New Roman" w:cs="Times New Roman"/>
                <w:color w:val="auto"/>
                <w:vertAlign w:val="superscript"/>
                <w:lang w:eastAsia="zh-CN"/>
              </w:rPr>
              <w:t>2</w:t>
            </w:r>
          </w:p>
        </w:tc>
        <w:tc>
          <w:tcPr>
            <w:tcW w:w="513" w:type="pct"/>
            <w:vAlign w:val="center"/>
          </w:tcPr>
          <w:p w14:paraId="2A8393EF"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3.2×10</w:t>
            </w:r>
            <w:r w:rsidRPr="007D139C">
              <w:rPr>
                <w:rFonts w:ascii="Times New Roman" w:eastAsia="宋体" w:hAnsi="Times New Roman" w:cs="Times New Roman"/>
                <w:color w:val="auto"/>
                <w:vertAlign w:val="superscript"/>
                <w:lang w:eastAsia="zh-CN"/>
              </w:rPr>
              <w:t>2</w:t>
            </w:r>
          </w:p>
        </w:tc>
      </w:tr>
      <w:tr w:rsidR="007D139C" w:rsidRPr="007D139C" w14:paraId="4539BFEE" w14:textId="77777777" w:rsidTr="007D139C">
        <w:trPr>
          <w:trHeight w:val="549"/>
          <w:jc w:val="center"/>
        </w:trPr>
        <w:tc>
          <w:tcPr>
            <w:tcW w:w="703" w:type="pct"/>
            <w:vAlign w:val="center"/>
          </w:tcPr>
          <w:p w14:paraId="62144FE9" w14:textId="0CB6364D" w:rsidR="007D139C" w:rsidRPr="007D139C" w:rsidRDefault="007D139C" w:rsidP="007D139C">
            <w:pPr>
              <w:widowControl/>
              <w:adjustRightInd w:val="0"/>
              <w:snapToGrid w:val="0"/>
              <w:spacing w:after="0" w:line="240" w:lineRule="auto"/>
              <w:jc w:val="center"/>
              <w:textAlignment w:val="center"/>
              <w:rPr>
                <w:rFonts w:ascii="Times New Roman" w:hAnsi="Times New Roman" w:cs="Times New Roman"/>
                <w:color w:val="auto"/>
                <w:lang w:eastAsia="zh-CN"/>
              </w:rPr>
            </w:pPr>
            <w:r w:rsidRPr="007D139C">
              <w:rPr>
                <w:rFonts w:ascii="Times New Roman" w:hAnsi="Times New Roman" w:cs="Times New Roman"/>
                <w:color w:val="auto"/>
                <w:lang w:eastAsia="zh-CN"/>
              </w:rPr>
              <w:t>总硬度（</w:t>
            </w:r>
            <w:r w:rsidRPr="007D139C">
              <w:rPr>
                <w:rFonts w:ascii="Times New Roman" w:eastAsia="宋体" w:hAnsi="Times New Roman" w:cs="Times New Roman"/>
                <w:color w:val="auto"/>
                <w:lang w:eastAsia="zh-CN"/>
              </w:rPr>
              <w:t>mg/L</w:t>
            </w:r>
            <w:r w:rsidRPr="007D139C">
              <w:rPr>
                <w:rFonts w:ascii="Times New Roman" w:hAnsi="Times New Roman" w:cs="Times New Roman"/>
                <w:color w:val="auto"/>
                <w:lang w:eastAsia="zh-CN"/>
              </w:rPr>
              <w:t>）</w:t>
            </w:r>
          </w:p>
        </w:tc>
        <w:tc>
          <w:tcPr>
            <w:tcW w:w="486" w:type="pct"/>
            <w:vAlign w:val="center"/>
          </w:tcPr>
          <w:p w14:paraId="404A7A42" w14:textId="454DE0EB"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2.39×10</w:t>
            </w:r>
            <w:r w:rsidRPr="007D139C">
              <w:rPr>
                <w:rFonts w:ascii="Times New Roman" w:eastAsia="宋体" w:hAnsi="Times New Roman" w:cs="Times New Roman"/>
                <w:color w:val="auto"/>
                <w:vertAlign w:val="superscript"/>
                <w:lang w:eastAsia="zh-CN"/>
              </w:rPr>
              <w:t>3</w:t>
            </w:r>
          </w:p>
        </w:tc>
        <w:tc>
          <w:tcPr>
            <w:tcW w:w="479" w:type="pct"/>
            <w:vAlign w:val="center"/>
          </w:tcPr>
          <w:p w14:paraId="0440FCF0" w14:textId="57BA7302"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2.57×10</w:t>
            </w:r>
            <w:r w:rsidRPr="007D139C">
              <w:rPr>
                <w:rFonts w:ascii="Times New Roman" w:eastAsia="宋体" w:hAnsi="Times New Roman" w:cs="Times New Roman"/>
                <w:color w:val="auto"/>
                <w:vertAlign w:val="superscript"/>
                <w:lang w:eastAsia="zh-CN"/>
              </w:rPr>
              <w:t>3</w:t>
            </w:r>
          </w:p>
        </w:tc>
        <w:tc>
          <w:tcPr>
            <w:tcW w:w="529" w:type="pct"/>
            <w:vAlign w:val="center"/>
          </w:tcPr>
          <w:p w14:paraId="4C343730"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2.44×10</w:t>
            </w:r>
            <w:r w:rsidRPr="007D139C">
              <w:rPr>
                <w:rFonts w:ascii="Times New Roman" w:eastAsia="宋体" w:hAnsi="Times New Roman" w:cs="Times New Roman"/>
                <w:color w:val="auto"/>
                <w:vertAlign w:val="superscript"/>
                <w:lang w:eastAsia="zh-CN"/>
              </w:rPr>
              <w:t>3</w:t>
            </w:r>
          </w:p>
        </w:tc>
        <w:tc>
          <w:tcPr>
            <w:tcW w:w="537" w:type="pct"/>
            <w:vAlign w:val="center"/>
          </w:tcPr>
          <w:p w14:paraId="0A360887"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2.58×10</w:t>
            </w:r>
            <w:r w:rsidRPr="007D139C">
              <w:rPr>
                <w:rFonts w:ascii="Times New Roman" w:eastAsia="宋体" w:hAnsi="Times New Roman" w:cs="Times New Roman"/>
                <w:color w:val="auto"/>
                <w:vertAlign w:val="superscript"/>
                <w:lang w:eastAsia="zh-CN"/>
              </w:rPr>
              <w:t>3</w:t>
            </w:r>
          </w:p>
        </w:tc>
        <w:tc>
          <w:tcPr>
            <w:tcW w:w="596" w:type="pct"/>
            <w:vAlign w:val="center"/>
          </w:tcPr>
          <w:p w14:paraId="55F1DF96"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2.48×10</w:t>
            </w:r>
            <w:r w:rsidRPr="007D139C">
              <w:rPr>
                <w:rFonts w:ascii="Times New Roman" w:eastAsia="宋体" w:hAnsi="Times New Roman" w:cs="Times New Roman"/>
                <w:color w:val="auto"/>
                <w:vertAlign w:val="superscript"/>
                <w:lang w:eastAsia="zh-CN"/>
              </w:rPr>
              <w:t>3</w:t>
            </w:r>
          </w:p>
        </w:tc>
        <w:tc>
          <w:tcPr>
            <w:tcW w:w="624" w:type="pct"/>
            <w:vAlign w:val="center"/>
          </w:tcPr>
          <w:p w14:paraId="3B1B4E57"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2.61×10</w:t>
            </w:r>
            <w:r w:rsidRPr="007D139C">
              <w:rPr>
                <w:rFonts w:ascii="Times New Roman" w:eastAsia="宋体" w:hAnsi="Times New Roman" w:cs="Times New Roman"/>
                <w:color w:val="auto"/>
                <w:vertAlign w:val="superscript"/>
                <w:lang w:eastAsia="zh-CN"/>
              </w:rPr>
              <w:t>3</w:t>
            </w:r>
          </w:p>
        </w:tc>
        <w:tc>
          <w:tcPr>
            <w:tcW w:w="533" w:type="pct"/>
            <w:vAlign w:val="center"/>
          </w:tcPr>
          <w:p w14:paraId="21993912"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2.49×10</w:t>
            </w:r>
            <w:r w:rsidRPr="007D139C">
              <w:rPr>
                <w:rFonts w:ascii="Times New Roman" w:eastAsia="宋体" w:hAnsi="Times New Roman" w:cs="Times New Roman"/>
                <w:color w:val="auto"/>
                <w:vertAlign w:val="superscript"/>
                <w:lang w:eastAsia="zh-CN"/>
              </w:rPr>
              <w:t>3</w:t>
            </w:r>
          </w:p>
        </w:tc>
        <w:tc>
          <w:tcPr>
            <w:tcW w:w="513" w:type="pct"/>
            <w:vAlign w:val="center"/>
          </w:tcPr>
          <w:p w14:paraId="0E2F3CBC" w14:textId="26DAF330"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2.52×10</w:t>
            </w:r>
            <w:r w:rsidRPr="007D139C">
              <w:rPr>
                <w:rFonts w:ascii="Times New Roman" w:eastAsia="宋体" w:hAnsi="Times New Roman" w:cs="Times New Roman"/>
                <w:color w:val="auto"/>
                <w:vertAlign w:val="superscript"/>
                <w:lang w:eastAsia="zh-CN"/>
              </w:rPr>
              <w:t>3</w:t>
            </w:r>
          </w:p>
        </w:tc>
      </w:tr>
      <w:tr w:rsidR="007D139C" w:rsidRPr="007D139C" w14:paraId="37DC37C6" w14:textId="77777777" w:rsidTr="007D139C">
        <w:trPr>
          <w:trHeight w:val="552"/>
          <w:jc w:val="center"/>
        </w:trPr>
        <w:tc>
          <w:tcPr>
            <w:tcW w:w="703" w:type="pct"/>
            <w:vAlign w:val="center"/>
          </w:tcPr>
          <w:p w14:paraId="5384D9D0" w14:textId="5BED2685" w:rsidR="007D139C" w:rsidRPr="007D139C" w:rsidRDefault="007D139C" w:rsidP="007D139C">
            <w:pPr>
              <w:widowControl/>
              <w:adjustRightInd w:val="0"/>
              <w:snapToGrid w:val="0"/>
              <w:spacing w:after="0" w:line="240" w:lineRule="auto"/>
              <w:jc w:val="center"/>
              <w:textAlignment w:val="center"/>
              <w:rPr>
                <w:rFonts w:ascii="Times New Roman" w:hAnsi="Times New Roman" w:cs="Times New Roman"/>
                <w:color w:val="auto"/>
                <w:lang w:eastAsia="zh-CN"/>
              </w:rPr>
            </w:pPr>
            <w:r w:rsidRPr="007D139C">
              <w:rPr>
                <w:rFonts w:ascii="Times New Roman" w:hAnsi="Times New Roman" w:cs="Times New Roman"/>
                <w:color w:val="auto"/>
                <w:lang w:eastAsia="zh-CN"/>
              </w:rPr>
              <w:t>总碱度（</w:t>
            </w:r>
            <w:r w:rsidRPr="007D139C">
              <w:rPr>
                <w:rFonts w:ascii="Times New Roman" w:eastAsia="宋体" w:hAnsi="Times New Roman" w:cs="Times New Roman"/>
                <w:color w:val="auto"/>
                <w:lang w:eastAsia="zh-CN"/>
              </w:rPr>
              <w:t>mg/L</w:t>
            </w:r>
            <w:r w:rsidRPr="007D139C">
              <w:rPr>
                <w:rFonts w:ascii="Times New Roman" w:hAnsi="Times New Roman" w:cs="Times New Roman"/>
                <w:color w:val="auto"/>
                <w:lang w:eastAsia="zh-CN"/>
              </w:rPr>
              <w:t>）</w:t>
            </w:r>
          </w:p>
        </w:tc>
        <w:tc>
          <w:tcPr>
            <w:tcW w:w="486" w:type="pct"/>
            <w:vAlign w:val="center"/>
          </w:tcPr>
          <w:p w14:paraId="2AA4DDED" w14:textId="33EBA6A4"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2.54×10</w:t>
            </w:r>
            <w:r w:rsidRPr="007D139C">
              <w:rPr>
                <w:rFonts w:ascii="Times New Roman" w:eastAsia="宋体" w:hAnsi="Times New Roman" w:cs="Times New Roman"/>
                <w:color w:val="auto"/>
                <w:vertAlign w:val="superscript"/>
                <w:lang w:eastAsia="zh-CN"/>
              </w:rPr>
              <w:t>3</w:t>
            </w:r>
          </w:p>
        </w:tc>
        <w:tc>
          <w:tcPr>
            <w:tcW w:w="479" w:type="pct"/>
            <w:vAlign w:val="center"/>
          </w:tcPr>
          <w:p w14:paraId="11E28D04" w14:textId="7264B1C0"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2.58×10</w:t>
            </w:r>
            <w:r w:rsidRPr="007D139C">
              <w:rPr>
                <w:rFonts w:ascii="Times New Roman" w:eastAsia="宋体" w:hAnsi="Times New Roman" w:cs="Times New Roman"/>
                <w:color w:val="auto"/>
                <w:vertAlign w:val="superscript"/>
                <w:lang w:eastAsia="zh-CN"/>
              </w:rPr>
              <w:t>3</w:t>
            </w:r>
          </w:p>
        </w:tc>
        <w:tc>
          <w:tcPr>
            <w:tcW w:w="529" w:type="pct"/>
            <w:vAlign w:val="center"/>
          </w:tcPr>
          <w:p w14:paraId="3B48839B"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2.61×10</w:t>
            </w:r>
            <w:r w:rsidRPr="007D139C">
              <w:rPr>
                <w:rFonts w:ascii="Times New Roman" w:eastAsia="宋体" w:hAnsi="Times New Roman" w:cs="Times New Roman"/>
                <w:color w:val="auto"/>
                <w:vertAlign w:val="superscript"/>
                <w:lang w:eastAsia="zh-CN"/>
              </w:rPr>
              <w:t>3</w:t>
            </w:r>
          </w:p>
        </w:tc>
        <w:tc>
          <w:tcPr>
            <w:tcW w:w="537" w:type="pct"/>
            <w:vAlign w:val="center"/>
          </w:tcPr>
          <w:p w14:paraId="67EDB124"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2.65×10</w:t>
            </w:r>
            <w:r w:rsidRPr="007D139C">
              <w:rPr>
                <w:rFonts w:ascii="Times New Roman" w:eastAsia="宋体" w:hAnsi="Times New Roman" w:cs="Times New Roman"/>
                <w:color w:val="auto"/>
                <w:vertAlign w:val="superscript"/>
                <w:lang w:eastAsia="zh-CN"/>
              </w:rPr>
              <w:t>3</w:t>
            </w:r>
          </w:p>
        </w:tc>
        <w:tc>
          <w:tcPr>
            <w:tcW w:w="596" w:type="pct"/>
            <w:vAlign w:val="center"/>
          </w:tcPr>
          <w:p w14:paraId="24B19822"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2.56×10</w:t>
            </w:r>
            <w:r w:rsidRPr="007D139C">
              <w:rPr>
                <w:rFonts w:ascii="Times New Roman" w:eastAsia="宋体" w:hAnsi="Times New Roman" w:cs="Times New Roman"/>
                <w:color w:val="auto"/>
                <w:vertAlign w:val="superscript"/>
                <w:lang w:eastAsia="zh-CN"/>
              </w:rPr>
              <w:t>3</w:t>
            </w:r>
          </w:p>
        </w:tc>
        <w:tc>
          <w:tcPr>
            <w:tcW w:w="624" w:type="pct"/>
            <w:vAlign w:val="center"/>
          </w:tcPr>
          <w:p w14:paraId="4C2612F6"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2.63×10</w:t>
            </w:r>
            <w:r w:rsidRPr="007D139C">
              <w:rPr>
                <w:rFonts w:ascii="Times New Roman" w:eastAsia="宋体" w:hAnsi="Times New Roman" w:cs="Times New Roman"/>
                <w:color w:val="auto"/>
                <w:vertAlign w:val="superscript"/>
                <w:lang w:eastAsia="zh-CN"/>
              </w:rPr>
              <w:t>3</w:t>
            </w:r>
          </w:p>
        </w:tc>
        <w:tc>
          <w:tcPr>
            <w:tcW w:w="533" w:type="pct"/>
            <w:vAlign w:val="center"/>
          </w:tcPr>
          <w:p w14:paraId="6BB25390"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2.59×10</w:t>
            </w:r>
            <w:r w:rsidRPr="007D139C">
              <w:rPr>
                <w:rFonts w:ascii="Times New Roman" w:eastAsia="宋体" w:hAnsi="Times New Roman" w:cs="Times New Roman"/>
                <w:color w:val="auto"/>
                <w:vertAlign w:val="superscript"/>
                <w:lang w:eastAsia="zh-CN"/>
              </w:rPr>
              <w:t>3</w:t>
            </w:r>
          </w:p>
        </w:tc>
        <w:tc>
          <w:tcPr>
            <w:tcW w:w="513" w:type="pct"/>
            <w:vAlign w:val="center"/>
          </w:tcPr>
          <w:p w14:paraId="333CA03E" w14:textId="1C03FA3A"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2.62×10</w:t>
            </w:r>
            <w:r w:rsidRPr="007D139C">
              <w:rPr>
                <w:rFonts w:ascii="Times New Roman" w:eastAsia="宋体" w:hAnsi="Times New Roman" w:cs="Times New Roman"/>
                <w:color w:val="auto"/>
                <w:vertAlign w:val="superscript"/>
                <w:lang w:eastAsia="zh-CN"/>
              </w:rPr>
              <w:t>3</w:t>
            </w:r>
          </w:p>
        </w:tc>
      </w:tr>
      <w:tr w:rsidR="007D139C" w:rsidRPr="007D139C" w14:paraId="1D33B579" w14:textId="77777777" w:rsidTr="007D139C">
        <w:trPr>
          <w:trHeight w:val="554"/>
          <w:jc w:val="center"/>
        </w:trPr>
        <w:tc>
          <w:tcPr>
            <w:tcW w:w="703" w:type="pct"/>
            <w:vAlign w:val="center"/>
          </w:tcPr>
          <w:p w14:paraId="16548B30" w14:textId="184FF268" w:rsidR="007D139C" w:rsidRPr="007D139C" w:rsidRDefault="007D139C" w:rsidP="007D139C">
            <w:pPr>
              <w:widowControl/>
              <w:adjustRightInd w:val="0"/>
              <w:snapToGrid w:val="0"/>
              <w:spacing w:after="0" w:line="240" w:lineRule="auto"/>
              <w:jc w:val="center"/>
              <w:textAlignment w:val="center"/>
              <w:rPr>
                <w:rFonts w:ascii="Times New Roman" w:hAnsi="Times New Roman" w:cs="Times New Roman"/>
                <w:color w:val="auto"/>
                <w:lang w:eastAsia="zh-CN"/>
              </w:rPr>
            </w:pPr>
            <w:r w:rsidRPr="007D139C">
              <w:rPr>
                <w:rFonts w:ascii="Times New Roman" w:hAnsi="Times New Roman" w:cs="Times New Roman"/>
                <w:color w:val="auto"/>
                <w:lang w:eastAsia="zh-CN"/>
              </w:rPr>
              <w:t>硫酸盐（</w:t>
            </w:r>
            <w:r w:rsidRPr="007D139C">
              <w:rPr>
                <w:rFonts w:ascii="Times New Roman" w:eastAsia="宋体" w:hAnsi="Times New Roman" w:cs="Times New Roman"/>
                <w:color w:val="auto"/>
                <w:lang w:eastAsia="zh-CN"/>
              </w:rPr>
              <w:t>mg/L</w:t>
            </w:r>
            <w:r w:rsidRPr="007D139C">
              <w:rPr>
                <w:rFonts w:ascii="Times New Roman" w:hAnsi="Times New Roman" w:cs="Times New Roman"/>
                <w:color w:val="auto"/>
                <w:lang w:eastAsia="zh-CN"/>
              </w:rPr>
              <w:t>）</w:t>
            </w:r>
          </w:p>
        </w:tc>
        <w:tc>
          <w:tcPr>
            <w:tcW w:w="486" w:type="pct"/>
            <w:vAlign w:val="center"/>
          </w:tcPr>
          <w:p w14:paraId="446C6543"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823</w:t>
            </w:r>
          </w:p>
        </w:tc>
        <w:tc>
          <w:tcPr>
            <w:tcW w:w="479" w:type="pct"/>
            <w:vAlign w:val="center"/>
          </w:tcPr>
          <w:p w14:paraId="0D75975B"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859</w:t>
            </w:r>
          </w:p>
        </w:tc>
        <w:tc>
          <w:tcPr>
            <w:tcW w:w="529" w:type="pct"/>
            <w:vAlign w:val="center"/>
          </w:tcPr>
          <w:p w14:paraId="733C33A1"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872</w:t>
            </w:r>
          </w:p>
        </w:tc>
        <w:tc>
          <w:tcPr>
            <w:tcW w:w="537" w:type="pct"/>
            <w:vAlign w:val="center"/>
          </w:tcPr>
          <w:p w14:paraId="6795A2D1"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869</w:t>
            </w:r>
          </w:p>
        </w:tc>
        <w:tc>
          <w:tcPr>
            <w:tcW w:w="596" w:type="pct"/>
            <w:vAlign w:val="center"/>
          </w:tcPr>
          <w:p w14:paraId="72942B87"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881</w:t>
            </w:r>
          </w:p>
        </w:tc>
        <w:tc>
          <w:tcPr>
            <w:tcW w:w="624" w:type="pct"/>
            <w:vAlign w:val="center"/>
          </w:tcPr>
          <w:p w14:paraId="3956C0B2"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900</w:t>
            </w:r>
          </w:p>
        </w:tc>
        <w:tc>
          <w:tcPr>
            <w:tcW w:w="533" w:type="pct"/>
            <w:vAlign w:val="center"/>
          </w:tcPr>
          <w:p w14:paraId="502B40CF"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894</w:t>
            </w:r>
          </w:p>
        </w:tc>
        <w:tc>
          <w:tcPr>
            <w:tcW w:w="513" w:type="pct"/>
            <w:vAlign w:val="center"/>
          </w:tcPr>
          <w:p w14:paraId="26621E5E"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922</w:t>
            </w:r>
          </w:p>
        </w:tc>
      </w:tr>
      <w:tr w:rsidR="007D139C" w:rsidRPr="007D139C" w14:paraId="7F305D67" w14:textId="77777777" w:rsidTr="007D139C">
        <w:trPr>
          <w:trHeight w:val="549"/>
          <w:jc w:val="center"/>
        </w:trPr>
        <w:tc>
          <w:tcPr>
            <w:tcW w:w="703" w:type="pct"/>
            <w:vAlign w:val="center"/>
          </w:tcPr>
          <w:p w14:paraId="63C594B5" w14:textId="53B34923" w:rsidR="007D139C" w:rsidRPr="007D139C" w:rsidRDefault="007D139C" w:rsidP="007D139C">
            <w:pPr>
              <w:widowControl/>
              <w:adjustRightInd w:val="0"/>
              <w:snapToGrid w:val="0"/>
              <w:spacing w:after="0" w:line="240" w:lineRule="auto"/>
              <w:jc w:val="center"/>
              <w:textAlignment w:val="center"/>
              <w:rPr>
                <w:rFonts w:ascii="Times New Roman" w:hAnsi="Times New Roman" w:cs="Times New Roman"/>
                <w:color w:val="auto"/>
                <w:lang w:eastAsia="zh-CN"/>
              </w:rPr>
            </w:pPr>
            <w:r w:rsidRPr="007D139C">
              <w:rPr>
                <w:rFonts w:ascii="Times New Roman" w:hAnsi="Times New Roman" w:cs="Times New Roman"/>
                <w:color w:val="auto"/>
                <w:lang w:eastAsia="zh-CN"/>
              </w:rPr>
              <w:t>氨氮（</w:t>
            </w:r>
            <w:r w:rsidRPr="007D139C">
              <w:rPr>
                <w:rFonts w:ascii="Times New Roman" w:eastAsia="宋体" w:hAnsi="Times New Roman" w:cs="Times New Roman"/>
                <w:color w:val="auto"/>
                <w:lang w:eastAsia="zh-CN"/>
              </w:rPr>
              <w:t>mg/L</w:t>
            </w:r>
            <w:r w:rsidRPr="007D139C">
              <w:rPr>
                <w:rFonts w:ascii="Times New Roman" w:hAnsi="Times New Roman" w:cs="Times New Roman"/>
                <w:color w:val="auto"/>
                <w:lang w:eastAsia="zh-CN"/>
              </w:rPr>
              <w:t>）</w:t>
            </w:r>
          </w:p>
        </w:tc>
        <w:tc>
          <w:tcPr>
            <w:tcW w:w="486" w:type="pct"/>
            <w:vAlign w:val="center"/>
          </w:tcPr>
          <w:p w14:paraId="2DE6D4F9"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3.79</w:t>
            </w:r>
          </w:p>
        </w:tc>
        <w:tc>
          <w:tcPr>
            <w:tcW w:w="479" w:type="pct"/>
            <w:vAlign w:val="center"/>
          </w:tcPr>
          <w:p w14:paraId="0B85198B"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3.76</w:t>
            </w:r>
          </w:p>
        </w:tc>
        <w:tc>
          <w:tcPr>
            <w:tcW w:w="529" w:type="pct"/>
            <w:vAlign w:val="center"/>
          </w:tcPr>
          <w:p w14:paraId="0C31AF1C"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3.73</w:t>
            </w:r>
          </w:p>
        </w:tc>
        <w:tc>
          <w:tcPr>
            <w:tcW w:w="537" w:type="pct"/>
            <w:vAlign w:val="center"/>
          </w:tcPr>
          <w:p w14:paraId="69176ED4"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3.82</w:t>
            </w:r>
          </w:p>
        </w:tc>
        <w:tc>
          <w:tcPr>
            <w:tcW w:w="596" w:type="pct"/>
            <w:vAlign w:val="center"/>
          </w:tcPr>
          <w:p w14:paraId="4303BAEB"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3.78</w:t>
            </w:r>
          </w:p>
        </w:tc>
        <w:tc>
          <w:tcPr>
            <w:tcW w:w="624" w:type="pct"/>
            <w:vAlign w:val="center"/>
          </w:tcPr>
          <w:p w14:paraId="0126A589"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3.74</w:t>
            </w:r>
          </w:p>
        </w:tc>
        <w:tc>
          <w:tcPr>
            <w:tcW w:w="533" w:type="pct"/>
            <w:vAlign w:val="center"/>
          </w:tcPr>
          <w:p w14:paraId="42A93C48"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3.73</w:t>
            </w:r>
          </w:p>
        </w:tc>
        <w:tc>
          <w:tcPr>
            <w:tcW w:w="513" w:type="pct"/>
            <w:vAlign w:val="center"/>
          </w:tcPr>
          <w:p w14:paraId="717A62E2"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3.84</w:t>
            </w:r>
          </w:p>
        </w:tc>
      </w:tr>
      <w:tr w:rsidR="007D139C" w:rsidRPr="007D139C" w14:paraId="24772E17" w14:textId="77777777" w:rsidTr="007D139C">
        <w:trPr>
          <w:trHeight w:val="549"/>
          <w:jc w:val="center"/>
        </w:trPr>
        <w:tc>
          <w:tcPr>
            <w:tcW w:w="703" w:type="pct"/>
            <w:vAlign w:val="center"/>
          </w:tcPr>
          <w:p w14:paraId="7D7C286F" w14:textId="02BC0385" w:rsidR="007D139C" w:rsidRPr="007D139C" w:rsidRDefault="007D139C" w:rsidP="007D139C">
            <w:pPr>
              <w:widowControl/>
              <w:adjustRightInd w:val="0"/>
              <w:snapToGrid w:val="0"/>
              <w:spacing w:after="0" w:line="240" w:lineRule="auto"/>
              <w:jc w:val="center"/>
              <w:textAlignment w:val="center"/>
              <w:rPr>
                <w:rFonts w:ascii="Times New Roman" w:hAnsi="Times New Roman" w:cs="Times New Roman"/>
                <w:color w:val="auto"/>
                <w:lang w:eastAsia="zh-CN"/>
              </w:rPr>
            </w:pPr>
            <w:r w:rsidRPr="007D139C">
              <w:rPr>
                <w:rFonts w:ascii="Times New Roman" w:hAnsi="Times New Roman" w:cs="Times New Roman"/>
                <w:color w:val="auto"/>
                <w:lang w:eastAsia="zh-CN"/>
              </w:rPr>
              <w:t>总磷（</w:t>
            </w:r>
            <w:r w:rsidRPr="007D139C">
              <w:rPr>
                <w:rFonts w:ascii="Times New Roman" w:eastAsia="宋体" w:hAnsi="Times New Roman" w:cs="Times New Roman"/>
                <w:color w:val="auto"/>
                <w:lang w:eastAsia="zh-CN"/>
              </w:rPr>
              <w:t>mg/L</w:t>
            </w:r>
            <w:r w:rsidRPr="007D139C">
              <w:rPr>
                <w:rFonts w:ascii="Times New Roman" w:hAnsi="Times New Roman" w:cs="Times New Roman"/>
                <w:color w:val="auto"/>
                <w:lang w:eastAsia="zh-CN"/>
              </w:rPr>
              <w:t>）</w:t>
            </w:r>
          </w:p>
        </w:tc>
        <w:tc>
          <w:tcPr>
            <w:tcW w:w="486" w:type="pct"/>
            <w:vAlign w:val="center"/>
          </w:tcPr>
          <w:p w14:paraId="1F281972"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4.36</w:t>
            </w:r>
          </w:p>
        </w:tc>
        <w:tc>
          <w:tcPr>
            <w:tcW w:w="479" w:type="pct"/>
            <w:vAlign w:val="center"/>
          </w:tcPr>
          <w:p w14:paraId="6064EC46"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4.41</w:t>
            </w:r>
          </w:p>
        </w:tc>
        <w:tc>
          <w:tcPr>
            <w:tcW w:w="529" w:type="pct"/>
            <w:vAlign w:val="center"/>
          </w:tcPr>
          <w:p w14:paraId="1AC92CAC"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4.32</w:t>
            </w:r>
          </w:p>
        </w:tc>
        <w:tc>
          <w:tcPr>
            <w:tcW w:w="537" w:type="pct"/>
            <w:vAlign w:val="center"/>
          </w:tcPr>
          <w:p w14:paraId="32C383E6"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4.48</w:t>
            </w:r>
          </w:p>
        </w:tc>
        <w:tc>
          <w:tcPr>
            <w:tcW w:w="596" w:type="pct"/>
            <w:vAlign w:val="center"/>
          </w:tcPr>
          <w:p w14:paraId="11A7D7FD"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4.52</w:t>
            </w:r>
          </w:p>
        </w:tc>
        <w:tc>
          <w:tcPr>
            <w:tcW w:w="624" w:type="pct"/>
            <w:vAlign w:val="center"/>
          </w:tcPr>
          <w:p w14:paraId="6F15B8AF"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4.45</w:t>
            </w:r>
          </w:p>
        </w:tc>
        <w:tc>
          <w:tcPr>
            <w:tcW w:w="533" w:type="pct"/>
            <w:vAlign w:val="center"/>
          </w:tcPr>
          <w:p w14:paraId="2F5AFF1F"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4.38</w:t>
            </w:r>
          </w:p>
        </w:tc>
        <w:tc>
          <w:tcPr>
            <w:tcW w:w="513" w:type="pct"/>
            <w:vAlign w:val="center"/>
          </w:tcPr>
          <w:p w14:paraId="50FA1151"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4.43</w:t>
            </w:r>
          </w:p>
        </w:tc>
      </w:tr>
      <w:tr w:rsidR="007D139C" w:rsidRPr="007D139C" w14:paraId="78DDBF68" w14:textId="77777777" w:rsidTr="007D139C">
        <w:trPr>
          <w:trHeight w:val="493"/>
          <w:jc w:val="center"/>
        </w:trPr>
        <w:tc>
          <w:tcPr>
            <w:tcW w:w="703" w:type="pct"/>
            <w:vAlign w:val="center"/>
          </w:tcPr>
          <w:p w14:paraId="0B2FDDC8" w14:textId="77777777" w:rsidR="007D139C" w:rsidRPr="007D139C" w:rsidRDefault="007D139C" w:rsidP="007D139C">
            <w:pPr>
              <w:widowControl/>
              <w:adjustRightInd w:val="0"/>
              <w:snapToGrid w:val="0"/>
              <w:spacing w:after="0" w:line="240" w:lineRule="auto"/>
              <w:jc w:val="center"/>
              <w:textAlignment w:val="center"/>
              <w:rPr>
                <w:rFonts w:ascii="Times New Roman" w:hAnsi="Times New Roman" w:cs="Times New Roman"/>
                <w:color w:val="auto"/>
                <w:lang w:eastAsia="zh-CN"/>
              </w:rPr>
            </w:pPr>
            <w:r w:rsidRPr="007D139C">
              <w:rPr>
                <w:rFonts w:ascii="Times New Roman" w:eastAsia="宋体" w:hAnsi="Times New Roman" w:cs="Times New Roman"/>
                <w:color w:val="auto"/>
                <w:lang w:eastAsia="zh-CN"/>
              </w:rPr>
              <w:t>TDS</w:t>
            </w:r>
            <w:r w:rsidRPr="007D139C">
              <w:rPr>
                <w:rFonts w:ascii="Times New Roman" w:hAnsi="Times New Roman" w:cs="Times New Roman"/>
                <w:color w:val="auto"/>
                <w:lang w:eastAsia="zh-CN"/>
              </w:rPr>
              <w:t>（</w:t>
            </w:r>
            <w:r w:rsidRPr="007D139C">
              <w:rPr>
                <w:rFonts w:ascii="Times New Roman" w:eastAsia="宋体" w:hAnsi="Times New Roman" w:cs="Times New Roman"/>
                <w:color w:val="auto"/>
                <w:lang w:eastAsia="zh-CN"/>
              </w:rPr>
              <w:t>mg/L</w:t>
            </w:r>
            <w:r w:rsidRPr="007D139C">
              <w:rPr>
                <w:rFonts w:ascii="Times New Roman" w:hAnsi="Times New Roman" w:cs="Times New Roman"/>
                <w:color w:val="auto"/>
                <w:lang w:eastAsia="zh-CN"/>
              </w:rPr>
              <w:t>）</w:t>
            </w:r>
          </w:p>
        </w:tc>
        <w:tc>
          <w:tcPr>
            <w:tcW w:w="486" w:type="pct"/>
            <w:vAlign w:val="center"/>
          </w:tcPr>
          <w:p w14:paraId="465C08B0" w14:textId="01DFC6BC" w:rsidR="007D139C" w:rsidRPr="007D139C" w:rsidRDefault="007D139C" w:rsidP="007D139C">
            <w:pPr>
              <w:widowControl/>
              <w:adjustRightInd w:val="0"/>
              <w:snapToGrid w:val="0"/>
              <w:spacing w:after="0" w:line="240" w:lineRule="auto"/>
              <w:ind w:left="345" w:right="32" w:hanging="310"/>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5.45×10</w:t>
            </w:r>
            <w:r w:rsidRPr="007D139C">
              <w:rPr>
                <w:rFonts w:ascii="Times New Roman" w:eastAsia="宋体" w:hAnsi="Times New Roman" w:cs="Times New Roman"/>
                <w:color w:val="auto"/>
                <w:vertAlign w:val="superscript"/>
                <w:lang w:eastAsia="zh-CN"/>
              </w:rPr>
              <w:t>3</w:t>
            </w:r>
          </w:p>
        </w:tc>
        <w:tc>
          <w:tcPr>
            <w:tcW w:w="479" w:type="pct"/>
            <w:vAlign w:val="center"/>
          </w:tcPr>
          <w:p w14:paraId="53C62945" w14:textId="00D7BD5F" w:rsidR="007D139C" w:rsidRPr="007D139C" w:rsidRDefault="007D139C" w:rsidP="007D139C">
            <w:pPr>
              <w:widowControl/>
              <w:adjustRightInd w:val="0"/>
              <w:snapToGrid w:val="0"/>
              <w:spacing w:after="0" w:line="240" w:lineRule="auto"/>
              <w:ind w:left="288" w:right="79" w:hanging="206"/>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5.81×10</w:t>
            </w:r>
            <w:r w:rsidRPr="007D139C">
              <w:rPr>
                <w:rFonts w:ascii="Times New Roman" w:eastAsia="宋体" w:hAnsi="Times New Roman" w:cs="Times New Roman"/>
                <w:color w:val="auto"/>
                <w:vertAlign w:val="superscript"/>
                <w:lang w:eastAsia="zh-CN"/>
              </w:rPr>
              <w:t>3</w:t>
            </w:r>
          </w:p>
        </w:tc>
        <w:tc>
          <w:tcPr>
            <w:tcW w:w="529" w:type="pct"/>
            <w:vAlign w:val="center"/>
          </w:tcPr>
          <w:p w14:paraId="742A1408" w14:textId="77777777" w:rsidR="007D139C" w:rsidRPr="007D139C" w:rsidRDefault="007D139C" w:rsidP="007D139C">
            <w:pPr>
              <w:widowControl/>
              <w:adjustRightInd w:val="0"/>
              <w:snapToGrid w:val="0"/>
              <w:spacing w:after="0" w:line="240" w:lineRule="auto"/>
              <w:ind w:left="36"/>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5.74×10</w:t>
            </w:r>
            <w:r w:rsidRPr="007D139C">
              <w:rPr>
                <w:rFonts w:ascii="Times New Roman" w:eastAsia="宋体" w:hAnsi="Times New Roman" w:cs="Times New Roman"/>
                <w:color w:val="auto"/>
                <w:vertAlign w:val="superscript"/>
                <w:lang w:eastAsia="zh-CN"/>
              </w:rPr>
              <w:t>3</w:t>
            </w:r>
          </w:p>
        </w:tc>
        <w:tc>
          <w:tcPr>
            <w:tcW w:w="537" w:type="pct"/>
            <w:vAlign w:val="center"/>
          </w:tcPr>
          <w:p w14:paraId="0D4F5A31" w14:textId="77777777" w:rsidR="007D139C" w:rsidRPr="007D139C" w:rsidRDefault="007D139C" w:rsidP="007D139C">
            <w:pPr>
              <w:widowControl/>
              <w:adjustRightInd w:val="0"/>
              <w:snapToGrid w:val="0"/>
              <w:spacing w:after="0" w:line="240" w:lineRule="auto"/>
              <w:ind w:left="43"/>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5.63×10</w:t>
            </w:r>
            <w:r w:rsidRPr="007D139C">
              <w:rPr>
                <w:rFonts w:ascii="Times New Roman" w:eastAsia="宋体" w:hAnsi="Times New Roman" w:cs="Times New Roman"/>
                <w:color w:val="auto"/>
                <w:vertAlign w:val="superscript"/>
                <w:lang w:eastAsia="zh-CN"/>
              </w:rPr>
              <w:t>3</w:t>
            </w:r>
          </w:p>
        </w:tc>
        <w:tc>
          <w:tcPr>
            <w:tcW w:w="596" w:type="pct"/>
            <w:vAlign w:val="center"/>
          </w:tcPr>
          <w:p w14:paraId="3843B0D7" w14:textId="77777777" w:rsidR="007D139C" w:rsidRPr="007D139C" w:rsidRDefault="007D139C" w:rsidP="007D139C">
            <w:pPr>
              <w:widowControl/>
              <w:adjustRightInd w:val="0"/>
              <w:snapToGrid w:val="0"/>
              <w:spacing w:after="0" w:line="240" w:lineRule="auto"/>
              <w:ind w:left="89"/>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5.78×10</w:t>
            </w:r>
            <w:r w:rsidRPr="007D139C">
              <w:rPr>
                <w:rFonts w:ascii="Times New Roman" w:eastAsia="宋体" w:hAnsi="Times New Roman" w:cs="Times New Roman"/>
                <w:color w:val="auto"/>
                <w:vertAlign w:val="superscript"/>
                <w:lang w:eastAsia="zh-CN"/>
              </w:rPr>
              <w:t>3</w:t>
            </w:r>
          </w:p>
        </w:tc>
        <w:tc>
          <w:tcPr>
            <w:tcW w:w="624" w:type="pct"/>
            <w:vAlign w:val="center"/>
          </w:tcPr>
          <w:p w14:paraId="17E3F3F0" w14:textId="77777777" w:rsidR="007D139C" w:rsidRPr="007D139C" w:rsidRDefault="007D139C" w:rsidP="007D139C">
            <w:pPr>
              <w:widowControl/>
              <w:adjustRightInd w:val="0"/>
              <w:snapToGrid w:val="0"/>
              <w:spacing w:after="0" w:line="240" w:lineRule="auto"/>
              <w:ind w:left="110"/>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5.54×10</w:t>
            </w:r>
            <w:r w:rsidRPr="007D139C">
              <w:rPr>
                <w:rFonts w:ascii="Times New Roman" w:eastAsia="宋体" w:hAnsi="Times New Roman" w:cs="Times New Roman"/>
                <w:color w:val="auto"/>
                <w:vertAlign w:val="superscript"/>
                <w:lang w:eastAsia="zh-CN"/>
              </w:rPr>
              <w:t>3</w:t>
            </w:r>
          </w:p>
        </w:tc>
        <w:tc>
          <w:tcPr>
            <w:tcW w:w="533" w:type="pct"/>
            <w:vAlign w:val="center"/>
          </w:tcPr>
          <w:p w14:paraId="1F11EAC6" w14:textId="77777777" w:rsidR="007D139C" w:rsidRPr="007D139C" w:rsidRDefault="007D139C" w:rsidP="007D139C">
            <w:pPr>
              <w:widowControl/>
              <w:adjustRightInd w:val="0"/>
              <w:snapToGrid w:val="0"/>
              <w:spacing w:after="0" w:line="240" w:lineRule="auto"/>
              <w:ind w:left="41"/>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5.61×10</w:t>
            </w:r>
            <w:r w:rsidRPr="007D139C">
              <w:rPr>
                <w:rFonts w:ascii="Times New Roman" w:eastAsia="宋体" w:hAnsi="Times New Roman" w:cs="Times New Roman"/>
                <w:color w:val="auto"/>
                <w:vertAlign w:val="superscript"/>
                <w:lang w:eastAsia="zh-CN"/>
              </w:rPr>
              <w:t>3</w:t>
            </w:r>
          </w:p>
        </w:tc>
        <w:tc>
          <w:tcPr>
            <w:tcW w:w="513" w:type="pct"/>
            <w:vAlign w:val="center"/>
          </w:tcPr>
          <w:p w14:paraId="0D686455" w14:textId="6F8889EB" w:rsidR="007D139C" w:rsidRPr="007D139C" w:rsidRDefault="007D139C" w:rsidP="007D139C">
            <w:pPr>
              <w:widowControl/>
              <w:adjustRightInd w:val="0"/>
              <w:snapToGrid w:val="0"/>
              <w:spacing w:after="0" w:line="240" w:lineRule="auto"/>
              <w:ind w:left="368" w:right="49" w:hanging="309"/>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5.72×10</w:t>
            </w:r>
            <w:r w:rsidRPr="007D139C">
              <w:rPr>
                <w:rFonts w:ascii="Times New Roman" w:eastAsia="宋体" w:hAnsi="Times New Roman" w:cs="Times New Roman"/>
                <w:color w:val="auto"/>
                <w:vertAlign w:val="superscript"/>
                <w:lang w:eastAsia="zh-CN"/>
              </w:rPr>
              <w:t>3</w:t>
            </w:r>
          </w:p>
        </w:tc>
      </w:tr>
      <w:tr w:rsidR="007D139C" w:rsidRPr="007D139C" w14:paraId="321C5992" w14:textId="77777777" w:rsidTr="007D139C">
        <w:trPr>
          <w:trHeight w:val="549"/>
          <w:jc w:val="center"/>
        </w:trPr>
        <w:tc>
          <w:tcPr>
            <w:tcW w:w="703" w:type="pct"/>
            <w:vAlign w:val="center"/>
          </w:tcPr>
          <w:p w14:paraId="6E04F143" w14:textId="3A9CF562" w:rsidR="007D139C" w:rsidRPr="007D139C" w:rsidRDefault="007D139C" w:rsidP="007D139C">
            <w:pPr>
              <w:widowControl/>
              <w:adjustRightInd w:val="0"/>
              <w:snapToGrid w:val="0"/>
              <w:spacing w:after="0" w:line="240" w:lineRule="auto"/>
              <w:jc w:val="center"/>
              <w:textAlignment w:val="center"/>
              <w:rPr>
                <w:rFonts w:ascii="Times New Roman" w:hAnsi="Times New Roman" w:cs="Times New Roman"/>
                <w:color w:val="auto"/>
                <w:lang w:eastAsia="zh-CN"/>
              </w:rPr>
            </w:pPr>
            <w:r w:rsidRPr="007D139C">
              <w:rPr>
                <w:rFonts w:ascii="Times New Roman" w:hAnsi="Times New Roman" w:cs="Times New Roman"/>
                <w:color w:val="auto"/>
                <w:lang w:eastAsia="zh-CN"/>
              </w:rPr>
              <w:t>石油类（</w:t>
            </w:r>
            <w:r w:rsidRPr="007D139C">
              <w:rPr>
                <w:rFonts w:ascii="Times New Roman" w:eastAsia="宋体" w:hAnsi="Times New Roman" w:cs="Times New Roman"/>
                <w:color w:val="auto"/>
                <w:lang w:eastAsia="zh-CN"/>
              </w:rPr>
              <w:t>mg/L</w:t>
            </w:r>
            <w:r w:rsidRPr="007D139C">
              <w:rPr>
                <w:rFonts w:ascii="Times New Roman" w:hAnsi="Times New Roman" w:cs="Times New Roman"/>
                <w:color w:val="auto"/>
                <w:lang w:eastAsia="zh-CN"/>
              </w:rPr>
              <w:t>）</w:t>
            </w:r>
          </w:p>
        </w:tc>
        <w:tc>
          <w:tcPr>
            <w:tcW w:w="486" w:type="pct"/>
            <w:vAlign w:val="center"/>
          </w:tcPr>
          <w:p w14:paraId="4EA89A8A"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0.68</w:t>
            </w:r>
          </w:p>
        </w:tc>
        <w:tc>
          <w:tcPr>
            <w:tcW w:w="479" w:type="pct"/>
            <w:vAlign w:val="center"/>
          </w:tcPr>
          <w:p w14:paraId="353D7C12"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0.73</w:t>
            </w:r>
          </w:p>
        </w:tc>
        <w:tc>
          <w:tcPr>
            <w:tcW w:w="529" w:type="pct"/>
            <w:vAlign w:val="center"/>
          </w:tcPr>
          <w:p w14:paraId="12CD9383"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0.59</w:t>
            </w:r>
          </w:p>
        </w:tc>
        <w:tc>
          <w:tcPr>
            <w:tcW w:w="537" w:type="pct"/>
            <w:vAlign w:val="center"/>
          </w:tcPr>
          <w:p w14:paraId="73A0BB50"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0.89</w:t>
            </w:r>
          </w:p>
        </w:tc>
        <w:tc>
          <w:tcPr>
            <w:tcW w:w="596" w:type="pct"/>
            <w:vAlign w:val="center"/>
          </w:tcPr>
          <w:p w14:paraId="783EEB23"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0.76</w:t>
            </w:r>
          </w:p>
        </w:tc>
        <w:tc>
          <w:tcPr>
            <w:tcW w:w="624" w:type="pct"/>
            <w:vAlign w:val="center"/>
          </w:tcPr>
          <w:p w14:paraId="20CFA051"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0.81</w:t>
            </w:r>
          </w:p>
        </w:tc>
        <w:tc>
          <w:tcPr>
            <w:tcW w:w="533" w:type="pct"/>
            <w:vAlign w:val="center"/>
          </w:tcPr>
          <w:p w14:paraId="58460DFA"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0.64</w:t>
            </w:r>
          </w:p>
        </w:tc>
        <w:tc>
          <w:tcPr>
            <w:tcW w:w="513" w:type="pct"/>
            <w:vAlign w:val="center"/>
          </w:tcPr>
          <w:p w14:paraId="129325C3"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0.73</w:t>
            </w:r>
          </w:p>
        </w:tc>
      </w:tr>
      <w:tr w:rsidR="007D139C" w:rsidRPr="007D139C" w14:paraId="4A35A745" w14:textId="77777777" w:rsidTr="007D139C">
        <w:trPr>
          <w:trHeight w:val="821"/>
          <w:jc w:val="center"/>
        </w:trPr>
        <w:tc>
          <w:tcPr>
            <w:tcW w:w="703" w:type="pct"/>
            <w:vAlign w:val="center"/>
          </w:tcPr>
          <w:p w14:paraId="04A50491" w14:textId="77777777" w:rsidR="007D139C" w:rsidRPr="007D139C" w:rsidRDefault="007D139C" w:rsidP="007D139C">
            <w:pPr>
              <w:widowControl/>
              <w:adjustRightInd w:val="0"/>
              <w:snapToGrid w:val="0"/>
              <w:spacing w:after="0" w:line="240" w:lineRule="auto"/>
              <w:jc w:val="center"/>
              <w:textAlignment w:val="center"/>
              <w:rPr>
                <w:rFonts w:ascii="Times New Roman" w:hAnsi="Times New Roman" w:cs="Times New Roman"/>
                <w:color w:val="auto"/>
                <w:lang w:eastAsia="zh-CN"/>
              </w:rPr>
            </w:pPr>
            <w:r w:rsidRPr="007D139C">
              <w:rPr>
                <w:rFonts w:ascii="Times New Roman" w:hAnsi="Times New Roman" w:cs="Times New Roman"/>
                <w:color w:val="auto"/>
                <w:lang w:eastAsia="zh-CN"/>
              </w:rPr>
              <w:t>阴离子表面</w:t>
            </w:r>
          </w:p>
          <w:p w14:paraId="49ACEFF0" w14:textId="77777777" w:rsidR="007D139C" w:rsidRPr="007D139C" w:rsidRDefault="007D139C" w:rsidP="007D139C">
            <w:pPr>
              <w:widowControl/>
              <w:adjustRightInd w:val="0"/>
              <w:snapToGrid w:val="0"/>
              <w:spacing w:after="0" w:line="240" w:lineRule="auto"/>
              <w:jc w:val="center"/>
              <w:textAlignment w:val="center"/>
              <w:rPr>
                <w:rFonts w:ascii="Times New Roman" w:hAnsi="Times New Roman" w:cs="Times New Roman"/>
                <w:color w:val="auto"/>
                <w:lang w:eastAsia="zh-CN"/>
              </w:rPr>
            </w:pPr>
            <w:r w:rsidRPr="007D139C">
              <w:rPr>
                <w:rFonts w:ascii="Times New Roman" w:hAnsi="Times New Roman" w:cs="Times New Roman"/>
                <w:color w:val="auto"/>
                <w:lang w:eastAsia="zh-CN"/>
              </w:rPr>
              <w:t>活性剂</w:t>
            </w:r>
          </w:p>
          <w:p w14:paraId="0A7DAC0C" w14:textId="77777777" w:rsidR="007D139C" w:rsidRPr="007D139C" w:rsidRDefault="007D139C" w:rsidP="007D139C">
            <w:pPr>
              <w:widowControl/>
              <w:adjustRightInd w:val="0"/>
              <w:snapToGrid w:val="0"/>
              <w:spacing w:after="0" w:line="240" w:lineRule="auto"/>
              <w:jc w:val="center"/>
              <w:textAlignment w:val="center"/>
              <w:rPr>
                <w:rFonts w:ascii="Times New Roman" w:hAnsi="Times New Roman" w:cs="Times New Roman"/>
                <w:color w:val="auto"/>
                <w:lang w:eastAsia="zh-CN"/>
              </w:rPr>
            </w:pPr>
            <w:r w:rsidRPr="007D139C">
              <w:rPr>
                <w:rFonts w:ascii="Times New Roman" w:hAnsi="Times New Roman" w:cs="Times New Roman"/>
                <w:color w:val="auto"/>
                <w:lang w:eastAsia="zh-CN"/>
              </w:rPr>
              <w:t>（</w:t>
            </w:r>
            <w:r w:rsidRPr="007D139C">
              <w:rPr>
                <w:rFonts w:ascii="Times New Roman" w:eastAsia="宋体" w:hAnsi="Times New Roman" w:cs="Times New Roman"/>
                <w:color w:val="auto"/>
                <w:lang w:eastAsia="zh-CN"/>
              </w:rPr>
              <w:t>mg/L</w:t>
            </w:r>
            <w:r w:rsidRPr="007D139C">
              <w:rPr>
                <w:rFonts w:ascii="Times New Roman" w:hAnsi="Times New Roman" w:cs="Times New Roman"/>
                <w:color w:val="auto"/>
                <w:lang w:eastAsia="zh-CN"/>
              </w:rPr>
              <w:t>）</w:t>
            </w:r>
          </w:p>
        </w:tc>
        <w:tc>
          <w:tcPr>
            <w:tcW w:w="486" w:type="pct"/>
            <w:vAlign w:val="center"/>
          </w:tcPr>
          <w:p w14:paraId="703AC3AB"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0.280</w:t>
            </w:r>
          </w:p>
        </w:tc>
        <w:tc>
          <w:tcPr>
            <w:tcW w:w="479" w:type="pct"/>
            <w:vAlign w:val="center"/>
          </w:tcPr>
          <w:p w14:paraId="2F800DF9"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0.269</w:t>
            </w:r>
          </w:p>
        </w:tc>
        <w:tc>
          <w:tcPr>
            <w:tcW w:w="529" w:type="pct"/>
            <w:vAlign w:val="center"/>
          </w:tcPr>
          <w:p w14:paraId="72F37758"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0.287</w:t>
            </w:r>
          </w:p>
        </w:tc>
        <w:tc>
          <w:tcPr>
            <w:tcW w:w="537" w:type="pct"/>
            <w:vAlign w:val="center"/>
          </w:tcPr>
          <w:p w14:paraId="1E58B891"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0.273</w:t>
            </w:r>
          </w:p>
        </w:tc>
        <w:tc>
          <w:tcPr>
            <w:tcW w:w="596" w:type="pct"/>
            <w:vAlign w:val="center"/>
          </w:tcPr>
          <w:p w14:paraId="2F913606"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0.290</w:t>
            </w:r>
          </w:p>
        </w:tc>
        <w:tc>
          <w:tcPr>
            <w:tcW w:w="624" w:type="pct"/>
            <w:vAlign w:val="center"/>
          </w:tcPr>
          <w:p w14:paraId="4D714566"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0.269</w:t>
            </w:r>
          </w:p>
        </w:tc>
        <w:tc>
          <w:tcPr>
            <w:tcW w:w="533" w:type="pct"/>
            <w:vAlign w:val="center"/>
          </w:tcPr>
          <w:p w14:paraId="0B0BA197"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0.285</w:t>
            </w:r>
          </w:p>
        </w:tc>
        <w:tc>
          <w:tcPr>
            <w:tcW w:w="513" w:type="pct"/>
            <w:vAlign w:val="center"/>
          </w:tcPr>
          <w:p w14:paraId="170C340D"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0.262</w:t>
            </w:r>
          </w:p>
        </w:tc>
      </w:tr>
      <w:tr w:rsidR="007D139C" w:rsidRPr="007D139C" w14:paraId="1C7607D2" w14:textId="77777777" w:rsidTr="007D139C">
        <w:trPr>
          <w:trHeight w:val="549"/>
          <w:jc w:val="center"/>
        </w:trPr>
        <w:tc>
          <w:tcPr>
            <w:tcW w:w="703" w:type="pct"/>
            <w:vAlign w:val="center"/>
          </w:tcPr>
          <w:p w14:paraId="075EE606" w14:textId="1DC752FE" w:rsidR="007D139C" w:rsidRPr="007D139C" w:rsidRDefault="007D139C" w:rsidP="007D139C">
            <w:pPr>
              <w:widowControl/>
              <w:adjustRightInd w:val="0"/>
              <w:snapToGrid w:val="0"/>
              <w:spacing w:after="0" w:line="240" w:lineRule="auto"/>
              <w:jc w:val="center"/>
              <w:textAlignment w:val="center"/>
              <w:rPr>
                <w:rFonts w:ascii="Times New Roman" w:hAnsi="Times New Roman" w:cs="Times New Roman"/>
                <w:color w:val="auto"/>
                <w:lang w:eastAsia="zh-CN"/>
              </w:rPr>
            </w:pPr>
            <w:r w:rsidRPr="007D139C">
              <w:rPr>
                <w:rFonts w:ascii="Times New Roman" w:hAnsi="Times New Roman" w:cs="Times New Roman"/>
                <w:color w:val="auto"/>
                <w:lang w:eastAsia="zh-CN"/>
              </w:rPr>
              <w:t>余氯（</w:t>
            </w:r>
            <w:r w:rsidRPr="007D139C">
              <w:rPr>
                <w:rFonts w:ascii="Times New Roman" w:eastAsia="宋体" w:hAnsi="Times New Roman" w:cs="Times New Roman"/>
                <w:color w:val="auto"/>
                <w:lang w:eastAsia="zh-CN"/>
              </w:rPr>
              <w:t>mg/L</w:t>
            </w:r>
            <w:r w:rsidRPr="007D139C">
              <w:rPr>
                <w:rFonts w:ascii="Times New Roman" w:hAnsi="Times New Roman" w:cs="Times New Roman"/>
                <w:color w:val="auto"/>
                <w:lang w:eastAsia="zh-CN"/>
              </w:rPr>
              <w:t>）</w:t>
            </w:r>
          </w:p>
        </w:tc>
        <w:tc>
          <w:tcPr>
            <w:tcW w:w="486" w:type="pct"/>
            <w:vAlign w:val="center"/>
          </w:tcPr>
          <w:p w14:paraId="5EAB337E"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2.87</w:t>
            </w:r>
          </w:p>
        </w:tc>
        <w:tc>
          <w:tcPr>
            <w:tcW w:w="479" w:type="pct"/>
            <w:vAlign w:val="center"/>
          </w:tcPr>
          <w:p w14:paraId="68E35544"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2.84</w:t>
            </w:r>
          </w:p>
        </w:tc>
        <w:tc>
          <w:tcPr>
            <w:tcW w:w="529" w:type="pct"/>
            <w:vAlign w:val="center"/>
          </w:tcPr>
          <w:p w14:paraId="744B1281"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2.76</w:t>
            </w:r>
          </w:p>
        </w:tc>
        <w:tc>
          <w:tcPr>
            <w:tcW w:w="537" w:type="pct"/>
            <w:vAlign w:val="center"/>
          </w:tcPr>
          <w:p w14:paraId="7F11C1EA"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2.79</w:t>
            </w:r>
          </w:p>
        </w:tc>
        <w:tc>
          <w:tcPr>
            <w:tcW w:w="596" w:type="pct"/>
            <w:vAlign w:val="center"/>
          </w:tcPr>
          <w:p w14:paraId="6749334E"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2.81</w:t>
            </w:r>
          </w:p>
        </w:tc>
        <w:tc>
          <w:tcPr>
            <w:tcW w:w="624" w:type="pct"/>
            <w:vAlign w:val="center"/>
          </w:tcPr>
          <w:p w14:paraId="7E421691"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2.82</w:t>
            </w:r>
          </w:p>
        </w:tc>
        <w:tc>
          <w:tcPr>
            <w:tcW w:w="533" w:type="pct"/>
            <w:vAlign w:val="center"/>
          </w:tcPr>
          <w:p w14:paraId="4868B3B5"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2.85</w:t>
            </w:r>
          </w:p>
        </w:tc>
        <w:tc>
          <w:tcPr>
            <w:tcW w:w="513" w:type="pct"/>
            <w:vAlign w:val="center"/>
          </w:tcPr>
          <w:p w14:paraId="73C30A7B"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2.78</w:t>
            </w:r>
          </w:p>
        </w:tc>
      </w:tr>
      <w:tr w:rsidR="007D139C" w:rsidRPr="007D139C" w14:paraId="3C8481B3" w14:textId="77777777" w:rsidTr="007D139C">
        <w:trPr>
          <w:trHeight w:val="549"/>
          <w:jc w:val="center"/>
        </w:trPr>
        <w:tc>
          <w:tcPr>
            <w:tcW w:w="703" w:type="pct"/>
            <w:vAlign w:val="center"/>
          </w:tcPr>
          <w:p w14:paraId="7716D5EF" w14:textId="02C78E81" w:rsidR="007D139C" w:rsidRPr="007D139C" w:rsidRDefault="007D139C" w:rsidP="007D139C">
            <w:pPr>
              <w:widowControl/>
              <w:adjustRightInd w:val="0"/>
              <w:snapToGrid w:val="0"/>
              <w:spacing w:after="0" w:line="240" w:lineRule="auto"/>
              <w:jc w:val="center"/>
              <w:textAlignment w:val="center"/>
              <w:rPr>
                <w:rFonts w:ascii="Times New Roman" w:hAnsi="Times New Roman" w:cs="Times New Roman"/>
                <w:color w:val="auto"/>
                <w:lang w:eastAsia="zh-CN"/>
              </w:rPr>
            </w:pPr>
            <w:r w:rsidRPr="007D139C">
              <w:rPr>
                <w:rFonts w:ascii="Times New Roman" w:hAnsi="Times New Roman" w:cs="Times New Roman"/>
                <w:color w:val="auto"/>
                <w:lang w:eastAsia="zh-CN"/>
              </w:rPr>
              <w:t>粪大肠菌群（</w:t>
            </w:r>
            <w:r w:rsidRPr="007D139C">
              <w:rPr>
                <w:rFonts w:ascii="Times New Roman" w:eastAsia="宋体" w:hAnsi="Times New Roman" w:cs="Times New Roman"/>
                <w:color w:val="auto"/>
                <w:lang w:eastAsia="zh-CN"/>
              </w:rPr>
              <w:t>MPN/L</w:t>
            </w:r>
            <w:r w:rsidRPr="007D139C">
              <w:rPr>
                <w:rFonts w:ascii="Times New Roman" w:hAnsi="Times New Roman" w:cs="Times New Roman"/>
                <w:color w:val="auto"/>
                <w:lang w:eastAsia="zh-CN"/>
              </w:rPr>
              <w:t>）</w:t>
            </w:r>
          </w:p>
        </w:tc>
        <w:tc>
          <w:tcPr>
            <w:tcW w:w="486" w:type="pct"/>
            <w:vAlign w:val="center"/>
          </w:tcPr>
          <w:p w14:paraId="421A1913" w14:textId="3CB28F21"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1.1×10</w:t>
            </w:r>
            <w:r w:rsidRPr="007D139C">
              <w:rPr>
                <w:rFonts w:ascii="Times New Roman" w:eastAsia="宋体" w:hAnsi="Times New Roman" w:cs="Times New Roman"/>
                <w:color w:val="auto"/>
                <w:vertAlign w:val="superscript"/>
                <w:lang w:eastAsia="zh-CN"/>
              </w:rPr>
              <w:t>3</w:t>
            </w:r>
          </w:p>
        </w:tc>
        <w:tc>
          <w:tcPr>
            <w:tcW w:w="479" w:type="pct"/>
            <w:vAlign w:val="center"/>
          </w:tcPr>
          <w:p w14:paraId="7E40D36D"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1.2×10</w:t>
            </w:r>
            <w:r w:rsidRPr="007D139C">
              <w:rPr>
                <w:rFonts w:ascii="Times New Roman" w:eastAsia="宋体" w:hAnsi="Times New Roman" w:cs="Times New Roman"/>
                <w:color w:val="auto"/>
                <w:vertAlign w:val="superscript"/>
                <w:lang w:eastAsia="zh-CN"/>
              </w:rPr>
              <w:t>3</w:t>
            </w:r>
          </w:p>
        </w:tc>
        <w:tc>
          <w:tcPr>
            <w:tcW w:w="529" w:type="pct"/>
            <w:vAlign w:val="center"/>
          </w:tcPr>
          <w:p w14:paraId="17FC0186"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1.5×10</w:t>
            </w:r>
            <w:r w:rsidRPr="007D139C">
              <w:rPr>
                <w:rFonts w:ascii="Times New Roman" w:eastAsia="宋体" w:hAnsi="Times New Roman" w:cs="Times New Roman"/>
                <w:color w:val="auto"/>
                <w:vertAlign w:val="superscript"/>
                <w:lang w:eastAsia="zh-CN"/>
              </w:rPr>
              <w:t>3</w:t>
            </w:r>
          </w:p>
        </w:tc>
        <w:tc>
          <w:tcPr>
            <w:tcW w:w="537" w:type="pct"/>
            <w:vAlign w:val="center"/>
          </w:tcPr>
          <w:p w14:paraId="39D32E26"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1.7×10</w:t>
            </w:r>
            <w:r w:rsidRPr="007D139C">
              <w:rPr>
                <w:rFonts w:ascii="Times New Roman" w:eastAsia="宋体" w:hAnsi="Times New Roman" w:cs="Times New Roman"/>
                <w:color w:val="auto"/>
                <w:vertAlign w:val="superscript"/>
                <w:lang w:eastAsia="zh-CN"/>
              </w:rPr>
              <w:t>3</w:t>
            </w:r>
          </w:p>
        </w:tc>
        <w:tc>
          <w:tcPr>
            <w:tcW w:w="596" w:type="pct"/>
            <w:vAlign w:val="center"/>
          </w:tcPr>
          <w:p w14:paraId="759E31AE"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2.2×10</w:t>
            </w:r>
            <w:r w:rsidRPr="007D139C">
              <w:rPr>
                <w:rFonts w:ascii="Times New Roman" w:eastAsia="宋体" w:hAnsi="Times New Roman" w:cs="Times New Roman"/>
                <w:color w:val="auto"/>
                <w:vertAlign w:val="superscript"/>
                <w:lang w:eastAsia="zh-CN"/>
              </w:rPr>
              <w:t>3</w:t>
            </w:r>
          </w:p>
        </w:tc>
        <w:tc>
          <w:tcPr>
            <w:tcW w:w="624" w:type="pct"/>
            <w:vAlign w:val="center"/>
          </w:tcPr>
          <w:p w14:paraId="50E4E429"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1.3×10</w:t>
            </w:r>
            <w:r w:rsidRPr="007D139C">
              <w:rPr>
                <w:rFonts w:ascii="Times New Roman" w:eastAsia="宋体" w:hAnsi="Times New Roman" w:cs="Times New Roman"/>
                <w:color w:val="auto"/>
                <w:vertAlign w:val="superscript"/>
                <w:lang w:eastAsia="zh-CN"/>
              </w:rPr>
              <w:t>3</w:t>
            </w:r>
          </w:p>
        </w:tc>
        <w:tc>
          <w:tcPr>
            <w:tcW w:w="533" w:type="pct"/>
            <w:vAlign w:val="center"/>
          </w:tcPr>
          <w:p w14:paraId="7811CDC9"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1.8×10</w:t>
            </w:r>
            <w:r w:rsidRPr="007D139C">
              <w:rPr>
                <w:rFonts w:ascii="Times New Roman" w:eastAsia="宋体" w:hAnsi="Times New Roman" w:cs="Times New Roman"/>
                <w:color w:val="auto"/>
                <w:vertAlign w:val="superscript"/>
                <w:lang w:eastAsia="zh-CN"/>
              </w:rPr>
              <w:t>3</w:t>
            </w:r>
          </w:p>
        </w:tc>
        <w:tc>
          <w:tcPr>
            <w:tcW w:w="513" w:type="pct"/>
            <w:vAlign w:val="center"/>
          </w:tcPr>
          <w:p w14:paraId="5E109081"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1.4×10</w:t>
            </w:r>
            <w:r w:rsidRPr="007D139C">
              <w:rPr>
                <w:rFonts w:ascii="Times New Roman" w:eastAsia="宋体" w:hAnsi="Times New Roman" w:cs="Times New Roman"/>
                <w:color w:val="auto"/>
                <w:vertAlign w:val="superscript"/>
                <w:lang w:eastAsia="zh-CN"/>
              </w:rPr>
              <w:t>3</w:t>
            </w:r>
          </w:p>
        </w:tc>
      </w:tr>
      <w:tr w:rsidR="007D139C" w:rsidRPr="007D139C" w14:paraId="0767B5A7" w14:textId="77777777" w:rsidTr="007D139C">
        <w:trPr>
          <w:trHeight w:val="550"/>
          <w:jc w:val="center"/>
        </w:trPr>
        <w:tc>
          <w:tcPr>
            <w:tcW w:w="703" w:type="pct"/>
            <w:vAlign w:val="center"/>
          </w:tcPr>
          <w:p w14:paraId="42708BE4" w14:textId="0D022A70" w:rsidR="007D139C" w:rsidRPr="007D139C" w:rsidRDefault="007D139C" w:rsidP="007D139C">
            <w:pPr>
              <w:widowControl/>
              <w:adjustRightInd w:val="0"/>
              <w:snapToGrid w:val="0"/>
              <w:spacing w:after="0" w:line="240" w:lineRule="auto"/>
              <w:jc w:val="center"/>
              <w:textAlignment w:val="center"/>
              <w:rPr>
                <w:rFonts w:ascii="Times New Roman" w:hAnsi="Times New Roman" w:cs="Times New Roman"/>
                <w:color w:val="auto"/>
                <w:lang w:eastAsia="zh-CN"/>
              </w:rPr>
            </w:pPr>
            <w:r w:rsidRPr="007D139C">
              <w:rPr>
                <w:rFonts w:ascii="Times New Roman" w:hAnsi="Times New Roman" w:cs="Times New Roman"/>
                <w:color w:val="auto"/>
                <w:lang w:eastAsia="zh-CN"/>
              </w:rPr>
              <w:t>总汞（</w:t>
            </w:r>
            <w:r w:rsidRPr="007D139C">
              <w:rPr>
                <w:rFonts w:ascii="Times New Roman" w:eastAsia="宋体" w:hAnsi="Times New Roman" w:cs="Times New Roman"/>
                <w:color w:val="auto"/>
                <w:lang w:eastAsia="zh-CN"/>
              </w:rPr>
              <w:t>mg/L</w:t>
            </w:r>
            <w:r w:rsidRPr="007D139C">
              <w:rPr>
                <w:rFonts w:ascii="Times New Roman" w:hAnsi="Times New Roman" w:cs="Times New Roman"/>
                <w:color w:val="auto"/>
                <w:lang w:eastAsia="zh-CN"/>
              </w:rPr>
              <w:t>）</w:t>
            </w:r>
          </w:p>
        </w:tc>
        <w:tc>
          <w:tcPr>
            <w:tcW w:w="486" w:type="pct"/>
            <w:vAlign w:val="center"/>
          </w:tcPr>
          <w:p w14:paraId="72B377D3" w14:textId="2722C941"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5.28×10</w:t>
            </w:r>
            <w:r w:rsidRPr="007D139C">
              <w:rPr>
                <w:rFonts w:ascii="Times New Roman" w:eastAsia="宋体" w:hAnsi="Times New Roman" w:cs="Times New Roman"/>
                <w:color w:val="auto"/>
                <w:vertAlign w:val="superscript"/>
                <w:lang w:eastAsia="zh-CN"/>
              </w:rPr>
              <w:t>-4</w:t>
            </w:r>
          </w:p>
        </w:tc>
        <w:tc>
          <w:tcPr>
            <w:tcW w:w="479" w:type="pct"/>
            <w:vAlign w:val="center"/>
          </w:tcPr>
          <w:p w14:paraId="6A08DD39" w14:textId="2A8C15AC"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5.19×10</w:t>
            </w:r>
            <w:r w:rsidRPr="007D139C">
              <w:rPr>
                <w:rFonts w:ascii="Times New Roman" w:eastAsia="宋体" w:hAnsi="Times New Roman" w:cs="Times New Roman"/>
                <w:color w:val="auto"/>
                <w:vertAlign w:val="superscript"/>
                <w:lang w:eastAsia="zh-CN"/>
              </w:rPr>
              <w:t>-4</w:t>
            </w:r>
          </w:p>
        </w:tc>
        <w:tc>
          <w:tcPr>
            <w:tcW w:w="529" w:type="pct"/>
            <w:vAlign w:val="center"/>
          </w:tcPr>
          <w:p w14:paraId="711BD268" w14:textId="5B282081"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5.43×10</w:t>
            </w:r>
            <w:r w:rsidRPr="007D139C">
              <w:rPr>
                <w:rFonts w:ascii="Times New Roman" w:eastAsia="宋体" w:hAnsi="Times New Roman" w:cs="Times New Roman"/>
                <w:color w:val="auto"/>
                <w:vertAlign w:val="superscript"/>
                <w:lang w:eastAsia="zh-CN"/>
              </w:rPr>
              <w:t>-4</w:t>
            </w:r>
          </w:p>
        </w:tc>
        <w:tc>
          <w:tcPr>
            <w:tcW w:w="537" w:type="pct"/>
            <w:vAlign w:val="center"/>
          </w:tcPr>
          <w:p w14:paraId="5363E5E7" w14:textId="2D73D778"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5.56×10</w:t>
            </w:r>
            <w:r w:rsidRPr="007D139C">
              <w:rPr>
                <w:rFonts w:ascii="Times New Roman" w:eastAsia="宋体" w:hAnsi="Times New Roman" w:cs="Times New Roman"/>
                <w:color w:val="auto"/>
                <w:vertAlign w:val="superscript"/>
                <w:lang w:eastAsia="zh-CN"/>
              </w:rPr>
              <w:t>-4</w:t>
            </w:r>
          </w:p>
        </w:tc>
        <w:tc>
          <w:tcPr>
            <w:tcW w:w="596" w:type="pct"/>
            <w:vAlign w:val="center"/>
          </w:tcPr>
          <w:p w14:paraId="3A77AE27"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5.34×10</w:t>
            </w:r>
            <w:r w:rsidRPr="007D139C">
              <w:rPr>
                <w:rFonts w:ascii="Times New Roman" w:eastAsia="宋体" w:hAnsi="Times New Roman" w:cs="Times New Roman"/>
                <w:color w:val="auto"/>
                <w:vertAlign w:val="superscript"/>
                <w:lang w:eastAsia="zh-CN"/>
              </w:rPr>
              <w:t>-4</w:t>
            </w:r>
          </w:p>
        </w:tc>
        <w:tc>
          <w:tcPr>
            <w:tcW w:w="624" w:type="pct"/>
            <w:vAlign w:val="center"/>
          </w:tcPr>
          <w:p w14:paraId="1C60E2D7"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5.25×10</w:t>
            </w:r>
            <w:r w:rsidRPr="007D139C">
              <w:rPr>
                <w:rFonts w:ascii="Times New Roman" w:eastAsia="宋体" w:hAnsi="Times New Roman" w:cs="Times New Roman"/>
                <w:color w:val="auto"/>
                <w:vertAlign w:val="superscript"/>
                <w:lang w:eastAsia="zh-CN"/>
              </w:rPr>
              <w:t>-4</w:t>
            </w:r>
          </w:p>
        </w:tc>
        <w:tc>
          <w:tcPr>
            <w:tcW w:w="533" w:type="pct"/>
            <w:vAlign w:val="center"/>
          </w:tcPr>
          <w:p w14:paraId="4BEB0F52" w14:textId="501DF1EE"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5.49×10</w:t>
            </w:r>
            <w:r w:rsidRPr="007D139C">
              <w:rPr>
                <w:rFonts w:ascii="Times New Roman" w:eastAsia="宋体" w:hAnsi="Times New Roman" w:cs="Times New Roman"/>
                <w:color w:val="auto"/>
                <w:vertAlign w:val="superscript"/>
                <w:lang w:eastAsia="zh-CN"/>
              </w:rPr>
              <w:t>-4</w:t>
            </w:r>
          </w:p>
        </w:tc>
        <w:tc>
          <w:tcPr>
            <w:tcW w:w="513" w:type="pct"/>
            <w:vAlign w:val="center"/>
          </w:tcPr>
          <w:p w14:paraId="13B7A5FE" w14:textId="27D72169"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5.61×10</w:t>
            </w:r>
            <w:r w:rsidRPr="007D139C">
              <w:rPr>
                <w:rFonts w:ascii="Times New Roman" w:eastAsia="宋体" w:hAnsi="Times New Roman" w:cs="Times New Roman"/>
                <w:color w:val="auto"/>
                <w:vertAlign w:val="superscript"/>
                <w:lang w:eastAsia="zh-CN"/>
              </w:rPr>
              <w:t>-4</w:t>
            </w:r>
          </w:p>
        </w:tc>
      </w:tr>
      <w:tr w:rsidR="007D139C" w:rsidRPr="007D139C" w14:paraId="3F26D9A9" w14:textId="77777777" w:rsidTr="007D139C">
        <w:trPr>
          <w:trHeight w:val="550"/>
          <w:jc w:val="center"/>
        </w:trPr>
        <w:tc>
          <w:tcPr>
            <w:tcW w:w="703" w:type="pct"/>
            <w:vAlign w:val="center"/>
          </w:tcPr>
          <w:p w14:paraId="30B079DF" w14:textId="467315B3" w:rsidR="007D139C" w:rsidRPr="007D139C" w:rsidRDefault="007D139C" w:rsidP="007D139C">
            <w:pPr>
              <w:widowControl/>
              <w:adjustRightInd w:val="0"/>
              <w:snapToGrid w:val="0"/>
              <w:spacing w:after="0" w:line="240" w:lineRule="auto"/>
              <w:jc w:val="center"/>
              <w:textAlignment w:val="center"/>
              <w:rPr>
                <w:rFonts w:ascii="Times New Roman" w:hAnsi="Times New Roman" w:cs="Times New Roman"/>
                <w:color w:val="auto"/>
                <w:lang w:eastAsia="zh-CN"/>
              </w:rPr>
            </w:pPr>
            <w:r w:rsidRPr="007D139C">
              <w:rPr>
                <w:rFonts w:ascii="Times New Roman" w:hAnsi="Times New Roman" w:cs="Times New Roman"/>
                <w:color w:val="auto"/>
                <w:lang w:eastAsia="zh-CN"/>
              </w:rPr>
              <w:t>总镉（</w:t>
            </w:r>
            <w:r w:rsidRPr="007D139C">
              <w:rPr>
                <w:rFonts w:ascii="Times New Roman" w:eastAsia="宋体" w:hAnsi="Times New Roman" w:cs="Times New Roman"/>
                <w:color w:val="auto"/>
                <w:lang w:eastAsia="zh-CN"/>
              </w:rPr>
              <w:t>mg/L</w:t>
            </w:r>
            <w:r w:rsidRPr="007D139C">
              <w:rPr>
                <w:rFonts w:ascii="Times New Roman" w:hAnsi="Times New Roman" w:cs="Times New Roman"/>
                <w:color w:val="auto"/>
                <w:lang w:eastAsia="zh-CN"/>
              </w:rPr>
              <w:t>）</w:t>
            </w:r>
          </w:p>
        </w:tc>
        <w:tc>
          <w:tcPr>
            <w:tcW w:w="486" w:type="pct"/>
            <w:vAlign w:val="center"/>
          </w:tcPr>
          <w:p w14:paraId="7D402E4F"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0.001L</w:t>
            </w:r>
          </w:p>
        </w:tc>
        <w:tc>
          <w:tcPr>
            <w:tcW w:w="479" w:type="pct"/>
            <w:vAlign w:val="center"/>
          </w:tcPr>
          <w:p w14:paraId="223D85C9"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0.001L</w:t>
            </w:r>
          </w:p>
        </w:tc>
        <w:tc>
          <w:tcPr>
            <w:tcW w:w="529" w:type="pct"/>
            <w:vAlign w:val="center"/>
          </w:tcPr>
          <w:p w14:paraId="2D4237E1"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0.001L</w:t>
            </w:r>
          </w:p>
        </w:tc>
        <w:tc>
          <w:tcPr>
            <w:tcW w:w="537" w:type="pct"/>
            <w:vAlign w:val="center"/>
          </w:tcPr>
          <w:p w14:paraId="60666DA1"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0.001L</w:t>
            </w:r>
          </w:p>
        </w:tc>
        <w:tc>
          <w:tcPr>
            <w:tcW w:w="596" w:type="pct"/>
            <w:vAlign w:val="center"/>
          </w:tcPr>
          <w:p w14:paraId="5488B0D9"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0.001L</w:t>
            </w:r>
          </w:p>
        </w:tc>
        <w:tc>
          <w:tcPr>
            <w:tcW w:w="624" w:type="pct"/>
            <w:vAlign w:val="center"/>
          </w:tcPr>
          <w:p w14:paraId="1AF55C3C"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0.001L</w:t>
            </w:r>
          </w:p>
        </w:tc>
        <w:tc>
          <w:tcPr>
            <w:tcW w:w="533" w:type="pct"/>
            <w:vAlign w:val="center"/>
          </w:tcPr>
          <w:p w14:paraId="51E036BF"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0.001L</w:t>
            </w:r>
          </w:p>
        </w:tc>
        <w:tc>
          <w:tcPr>
            <w:tcW w:w="513" w:type="pct"/>
            <w:vAlign w:val="center"/>
          </w:tcPr>
          <w:p w14:paraId="21A12C22"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0.001L</w:t>
            </w:r>
          </w:p>
        </w:tc>
      </w:tr>
      <w:tr w:rsidR="007D139C" w:rsidRPr="007D139C" w14:paraId="36D63C41" w14:textId="77777777" w:rsidTr="007D139C">
        <w:trPr>
          <w:trHeight w:val="549"/>
          <w:jc w:val="center"/>
        </w:trPr>
        <w:tc>
          <w:tcPr>
            <w:tcW w:w="703" w:type="pct"/>
            <w:vAlign w:val="center"/>
          </w:tcPr>
          <w:p w14:paraId="507902E8" w14:textId="43C1A668" w:rsidR="007D139C" w:rsidRPr="007D139C" w:rsidRDefault="007D139C" w:rsidP="007D139C">
            <w:pPr>
              <w:widowControl/>
              <w:adjustRightInd w:val="0"/>
              <w:snapToGrid w:val="0"/>
              <w:spacing w:after="0" w:line="240" w:lineRule="auto"/>
              <w:jc w:val="center"/>
              <w:textAlignment w:val="center"/>
              <w:rPr>
                <w:rFonts w:ascii="Times New Roman" w:hAnsi="Times New Roman" w:cs="Times New Roman"/>
                <w:color w:val="auto"/>
                <w:lang w:eastAsia="zh-CN"/>
              </w:rPr>
            </w:pPr>
            <w:r w:rsidRPr="007D139C">
              <w:rPr>
                <w:rFonts w:ascii="Times New Roman" w:hAnsi="Times New Roman" w:cs="Times New Roman"/>
                <w:color w:val="auto"/>
                <w:lang w:eastAsia="zh-CN"/>
              </w:rPr>
              <w:t>总铬（</w:t>
            </w:r>
            <w:r w:rsidRPr="007D139C">
              <w:rPr>
                <w:rFonts w:ascii="Times New Roman" w:eastAsia="宋体" w:hAnsi="Times New Roman" w:cs="Times New Roman"/>
                <w:color w:val="auto"/>
                <w:lang w:eastAsia="zh-CN"/>
              </w:rPr>
              <w:t>mg/L</w:t>
            </w:r>
            <w:r w:rsidRPr="007D139C">
              <w:rPr>
                <w:rFonts w:ascii="Times New Roman" w:hAnsi="Times New Roman" w:cs="Times New Roman"/>
                <w:color w:val="auto"/>
                <w:lang w:eastAsia="zh-CN"/>
              </w:rPr>
              <w:t>）</w:t>
            </w:r>
          </w:p>
        </w:tc>
        <w:tc>
          <w:tcPr>
            <w:tcW w:w="486" w:type="pct"/>
            <w:vAlign w:val="center"/>
          </w:tcPr>
          <w:p w14:paraId="4D71684E"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0.03L</w:t>
            </w:r>
          </w:p>
        </w:tc>
        <w:tc>
          <w:tcPr>
            <w:tcW w:w="479" w:type="pct"/>
            <w:vAlign w:val="center"/>
          </w:tcPr>
          <w:p w14:paraId="12BB5301"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0.03L</w:t>
            </w:r>
          </w:p>
        </w:tc>
        <w:tc>
          <w:tcPr>
            <w:tcW w:w="529" w:type="pct"/>
            <w:vAlign w:val="center"/>
          </w:tcPr>
          <w:p w14:paraId="376BF899"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0.03L</w:t>
            </w:r>
          </w:p>
        </w:tc>
        <w:tc>
          <w:tcPr>
            <w:tcW w:w="537" w:type="pct"/>
            <w:vAlign w:val="center"/>
          </w:tcPr>
          <w:p w14:paraId="442CD801"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0.03L</w:t>
            </w:r>
          </w:p>
        </w:tc>
        <w:tc>
          <w:tcPr>
            <w:tcW w:w="596" w:type="pct"/>
            <w:vAlign w:val="center"/>
          </w:tcPr>
          <w:p w14:paraId="076770B7"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0.03L</w:t>
            </w:r>
          </w:p>
        </w:tc>
        <w:tc>
          <w:tcPr>
            <w:tcW w:w="624" w:type="pct"/>
            <w:vAlign w:val="center"/>
          </w:tcPr>
          <w:p w14:paraId="265BC17F"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0.03L</w:t>
            </w:r>
          </w:p>
        </w:tc>
        <w:tc>
          <w:tcPr>
            <w:tcW w:w="533" w:type="pct"/>
            <w:vAlign w:val="center"/>
          </w:tcPr>
          <w:p w14:paraId="291AF4A3"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0.03L</w:t>
            </w:r>
          </w:p>
        </w:tc>
        <w:tc>
          <w:tcPr>
            <w:tcW w:w="513" w:type="pct"/>
            <w:vAlign w:val="center"/>
          </w:tcPr>
          <w:p w14:paraId="0A27E058"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0.03L</w:t>
            </w:r>
          </w:p>
        </w:tc>
      </w:tr>
      <w:tr w:rsidR="007D139C" w:rsidRPr="007D139C" w14:paraId="61FFE447" w14:textId="77777777" w:rsidTr="007D139C">
        <w:trPr>
          <w:trHeight w:val="550"/>
          <w:jc w:val="center"/>
        </w:trPr>
        <w:tc>
          <w:tcPr>
            <w:tcW w:w="703" w:type="pct"/>
            <w:vAlign w:val="center"/>
          </w:tcPr>
          <w:p w14:paraId="53D24A80" w14:textId="3291E2AB" w:rsidR="007D139C" w:rsidRPr="007D139C" w:rsidRDefault="007D139C" w:rsidP="007D139C">
            <w:pPr>
              <w:widowControl/>
              <w:adjustRightInd w:val="0"/>
              <w:snapToGrid w:val="0"/>
              <w:spacing w:after="0" w:line="240" w:lineRule="auto"/>
              <w:jc w:val="center"/>
              <w:textAlignment w:val="center"/>
              <w:rPr>
                <w:rFonts w:ascii="Times New Roman" w:hAnsi="Times New Roman" w:cs="Times New Roman"/>
                <w:color w:val="auto"/>
                <w:lang w:eastAsia="zh-CN"/>
              </w:rPr>
            </w:pPr>
            <w:r w:rsidRPr="007D139C">
              <w:rPr>
                <w:rFonts w:ascii="Times New Roman" w:hAnsi="Times New Roman" w:cs="Times New Roman"/>
                <w:color w:val="auto"/>
                <w:lang w:eastAsia="zh-CN"/>
              </w:rPr>
              <w:t>六价铬（</w:t>
            </w:r>
            <w:r w:rsidRPr="007D139C">
              <w:rPr>
                <w:rFonts w:ascii="Times New Roman" w:eastAsia="宋体" w:hAnsi="Times New Roman" w:cs="Times New Roman"/>
                <w:color w:val="auto"/>
                <w:lang w:eastAsia="zh-CN"/>
              </w:rPr>
              <w:t>mg/L</w:t>
            </w:r>
            <w:r w:rsidRPr="007D139C">
              <w:rPr>
                <w:rFonts w:ascii="Times New Roman" w:hAnsi="Times New Roman" w:cs="Times New Roman"/>
                <w:color w:val="auto"/>
                <w:lang w:eastAsia="zh-CN"/>
              </w:rPr>
              <w:t>）</w:t>
            </w:r>
          </w:p>
        </w:tc>
        <w:tc>
          <w:tcPr>
            <w:tcW w:w="486" w:type="pct"/>
            <w:vAlign w:val="center"/>
          </w:tcPr>
          <w:p w14:paraId="4580F5E1"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0.029</w:t>
            </w:r>
          </w:p>
        </w:tc>
        <w:tc>
          <w:tcPr>
            <w:tcW w:w="479" w:type="pct"/>
            <w:vAlign w:val="center"/>
          </w:tcPr>
          <w:p w14:paraId="7F65895C"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0.026</w:t>
            </w:r>
          </w:p>
        </w:tc>
        <w:tc>
          <w:tcPr>
            <w:tcW w:w="529" w:type="pct"/>
            <w:vAlign w:val="center"/>
          </w:tcPr>
          <w:p w14:paraId="75537957"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0.031</w:t>
            </w:r>
          </w:p>
        </w:tc>
        <w:tc>
          <w:tcPr>
            <w:tcW w:w="537" w:type="pct"/>
            <w:vAlign w:val="center"/>
          </w:tcPr>
          <w:p w14:paraId="1E63069A"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0.028</w:t>
            </w:r>
          </w:p>
        </w:tc>
        <w:tc>
          <w:tcPr>
            <w:tcW w:w="596" w:type="pct"/>
            <w:vAlign w:val="center"/>
          </w:tcPr>
          <w:p w14:paraId="58010F7F"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0.027</w:t>
            </w:r>
          </w:p>
        </w:tc>
        <w:tc>
          <w:tcPr>
            <w:tcW w:w="624" w:type="pct"/>
            <w:vAlign w:val="center"/>
          </w:tcPr>
          <w:p w14:paraId="3BBC54E7"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0.030</w:t>
            </w:r>
          </w:p>
        </w:tc>
        <w:tc>
          <w:tcPr>
            <w:tcW w:w="533" w:type="pct"/>
            <w:vAlign w:val="center"/>
          </w:tcPr>
          <w:p w14:paraId="4311EC9F"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0.032</w:t>
            </w:r>
          </w:p>
        </w:tc>
        <w:tc>
          <w:tcPr>
            <w:tcW w:w="513" w:type="pct"/>
            <w:vAlign w:val="center"/>
          </w:tcPr>
          <w:p w14:paraId="21AF6D46"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0.029</w:t>
            </w:r>
          </w:p>
        </w:tc>
      </w:tr>
      <w:tr w:rsidR="007D139C" w:rsidRPr="007D139C" w14:paraId="7B8EB527" w14:textId="77777777" w:rsidTr="007D139C">
        <w:trPr>
          <w:trHeight w:val="552"/>
          <w:jc w:val="center"/>
        </w:trPr>
        <w:tc>
          <w:tcPr>
            <w:tcW w:w="703" w:type="pct"/>
            <w:vAlign w:val="center"/>
          </w:tcPr>
          <w:p w14:paraId="30E56D6E" w14:textId="6C760EF9" w:rsidR="007D139C" w:rsidRPr="007D139C" w:rsidRDefault="007D139C" w:rsidP="007D139C">
            <w:pPr>
              <w:widowControl/>
              <w:adjustRightInd w:val="0"/>
              <w:snapToGrid w:val="0"/>
              <w:spacing w:after="0" w:line="240" w:lineRule="auto"/>
              <w:jc w:val="center"/>
              <w:textAlignment w:val="center"/>
              <w:rPr>
                <w:rFonts w:ascii="Times New Roman" w:hAnsi="Times New Roman" w:cs="Times New Roman"/>
                <w:color w:val="auto"/>
                <w:lang w:eastAsia="zh-CN"/>
              </w:rPr>
            </w:pPr>
            <w:r w:rsidRPr="007D139C">
              <w:rPr>
                <w:rFonts w:ascii="Times New Roman" w:hAnsi="Times New Roman" w:cs="Times New Roman"/>
                <w:color w:val="auto"/>
                <w:lang w:eastAsia="zh-CN"/>
              </w:rPr>
              <w:t>总砷（</w:t>
            </w:r>
            <w:r w:rsidRPr="007D139C">
              <w:rPr>
                <w:rFonts w:ascii="Times New Roman" w:eastAsia="宋体" w:hAnsi="Times New Roman" w:cs="Times New Roman"/>
                <w:color w:val="auto"/>
                <w:lang w:eastAsia="zh-CN"/>
              </w:rPr>
              <w:t>mg/L</w:t>
            </w:r>
            <w:r w:rsidRPr="007D139C">
              <w:rPr>
                <w:rFonts w:ascii="Times New Roman" w:hAnsi="Times New Roman" w:cs="Times New Roman"/>
                <w:color w:val="auto"/>
                <w:lang w:eastAsia="zh-CN"/>
              </w:rPr>
              <w:t>）</w:t>
            </w:r>
          </w:p>
        </w:tc>
        <w:tc>
          <w:tcPr>
            <w:tcW w:w="486" w:type="pct"/>
            <w:vAlign w:val="center"/>
          </w:tcPr>
          <w:p w14:paraId="6CA3F58B" w14:textId="3603E259"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4.15×10</w:t>
            </w:r>
            <w:r w:rsidRPr="007D139C">
              <w:rPr>
                <w:rFonts w:ascii="Times New Roman" w:eastAsia="宋体" w:hAnsi="Times New Roman" w:cs="Times New Roman"/>
                <w:color w:val="auto"/>
                <w:vertAlign w:val="superscript"/>
                <w:lang w:eastAsia="zh-CN"/>
              </w:rPr>
              <w:t>-3</w:t>
            </w:r>
          </w:p>
        </w:tc>
        <w:tc>
          <w:tcPr>
            <w:tcW w:w="479" w:type="pct"/>
            <w:vAlign w:val="center"/>
          </w:tcPr>
          <w:p w14:paraId="690FB481" w14:textId="4E0F4719"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4.37×10</w:t>
            </w:r>
            <w:r w:rsidRPr="007D139C">
              <w:rPr>
                <w:rFonts w:ascii="Times New Roman" w:eastAsia="宋体" w:hAnsi="Times New Roman" w:cs="Times New Roman"/>
                <w:color w:val="auto"/>
                <w:vertAlign w:val="superscript"/>
                <w:lang w:eastAsia="zh-CN"/>
              </w:rPr>
              <w:t>-3</w:t>
            </w:r>
          </w:p>
        </w:tc>
        <w:tc>
          <w:tcPr>
            <w:tcW w:w="529" w:type="pct"/>
            <w:vAlign w:val="center"/>
          </w:tcPr>
          <w:p w14:paraId="1A8C9EFE" w14:textId="73254FE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4.11×10</w:t>
            </w:r>
            <w:r w:rsidRPr="007D139C">
              <w:rPr>
                <w:rFonts w:ascii="Times New Roman" w:eastAsia="宋体" w:hAnsi="Times New Roman" w:cs="Times New Roman"/>
                <w:color w:val="auto"/>
                <w:vertAlign w:val="superscript"/>
                <w:lang w:eastAsia="zh-CN"/>
              </w:rPr>
              <w:t>-3</w:t>
            </w:r>
          </w:p>
        </w:tc>
        <w:tc>
          <w:tcPr>
            <w:tcW w:w="537" w:type="pct"/>
            <w:vAlign w:val="center"/>
          </w:tcPr>
          <w:p w14:paraId="1FBC3FDB" w14:textId="79773625"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4.26×10</w:t>
            </w:r>
            <w:r w:rsidRPr="007D139C">
              <w:rPr>
                <w:rFonts w:ascii="Times New Roman" w:eastAsia="宋体" w:hAnsi="Times New Roman" w:cs="Times New Roman"/>
                <w:color w:val="auto"/>
                <w:vertAlign w:val="superscript"/>
                <w:lang w:eastAsia="zh-CN"/>
              </w:rPr>
              <w:t>-3</w:t>
            </w:r>
          </w:p>
        </w:tc>
        <w:tc>
          <w:tcPr>
            <w:tcW w:w="596" w:type="pct"/>
            <w:vAlign w:val="center"/>
          </w:tcPr>
          <w:p w14:paraId="13EA7646"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4.09×10</w:t>
            </w:r>
            <w:r w:rsidRPr="007D139C">
              <w:rPr>
                <w:rFonts w:ascii="Times New Roman" w:eastAsia="宋体" w:hAnsi="Times New Roman" w:cs="Times New Roman"/>
                <w:color w:val="auto"/>
                <w:vertAlign w:val="superscript"/>
                <w:lang w:eastAsia="zh-CN"/>
              </w:rPr>
              <w:t>-3</w:t>
            </w:r>
          </w:p>
        </w:tc>
        <w:tc>
          <w:tcPr>
            <w:tcW w:w="624" w:type="pct"/>
            <w:vAlign w:val="center"/>
          </w:tcPr>
          <w:p w14:paraId="24C81A5F"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4.33×10</w:t>
            </w:r>
            <w:r w:rsidRPr="007D139C">
              <w:rPr>
                <w:rFonts w:ascii="Times New Roman" w:eastAsia="宋体" w:hAnsi="Times New Roman" w:cs="Times New Roman"/>
                <w:color w:val="auto"/>
                <w:vertAlign w:val="superscript"/>
                <w:lang w:eastAsia="zh-CN"/>
              </w:rPr>
              <w:t>-3</w:t>
            </w:r>
          </w:p>
        </w:tc>
        <w:tc>
          <w:tcPr>
            <w:tcW w:w="533" w:type="pct"/>
            <w:vAlign w:val="center"/>
          </w:tcPr>
          <w:p w14:paraId="2BA8782B" w14:textId="59861885"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4.17×10</w:t>
            </w:r>
            <w:r w:rsidRPr="007D139C">
              <w:rPr>
                <w:rFonts w:ascii="Times New Roman" w:eastAsia="宋体" w:hAnsi="Times New Roman" w:cs="Times New Roman"/>
                <w:color w:val="auto"/>
                <w:vertAlign w:val="superscript"/>
                <w:lang w:eastAsia="zh-CN"/>
              </w:rPr>
              <w:t>-3</w:t>
            </w:r>
          </w:p>
        </w:tc>
        <w:tc>
          <w:tcPr>
            <w:tcW w:w="513" w:type="pct"/>
            <w:vAlign w:val="center"/>
          </w:tcPr>
          <w:p w14:paraId="7916D24C" w14:textId="08678A0D"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4.22×10</w:t>
            </w:r>
            <w:r w:rsidRPr="007D139C">
              <w:rPr>
                <w:rFonts w:ascii="Times New Roman" w:eastAsia="宋体" w:hAnsi="Times New Roman" w:cs="Times New Roman"/>
                <w:color w:val="auto"/>
                <w:vertAlign w:val="superscript"/>
                <w:lang w:eastAsia="zh-CN"/>
              </w:rPr>
              <w:t>-3</w:t>
            </w:r>
          </w:p>
        </w:tc>
      </w:tr>
      <w:tr w:rsidR="007D139C" w:rsidRPr="007D139C" w14:paraId="62EC0CEE" w14:textId="77777777" w:rsidTr="007D139C">
        <w:trPr>
          <w:trHeight w:val="552"/>
          <w:jc w:val="center"/>
        </w:trPr>
        <w:tc>
          <w:tcPr>
            <w:tcW w:w="703" w:type="pct"/>
            <w:vAlign w:val="center"/>
          </w:tcPr>
          <w:p w14:paraId="2CC889A3" w14:textId="10A35726" w:rsidR="007D139C" w:rsidRPr="007D139C" w:rsidRDefault="007D139C" w:rsidP="007D139C">
            <w:pPr>
              <w:widowControl/>
              <w:adjustRightInd w:val="0"/>
              <w:snapToGrid w:val="0"/>
              <w:spacing w:after="0" w:line="240" w:lineRule="auto"/>
              <w:jc w:val="center"/>
              <w:textAlignment w:val="center"/>
              <w:rPr>
                <w:rFonts w:ascii="Times New Roman" w:hAnsi="Times New Roman" w:cs="Times New Roman"/>
                <w:color w:val="auto"/>
                <w:lang w:eastAsia="zh-CN"/>
              </w:rPr>
            </w:pPr>
            <w:r w:rsidRPr="007D139C">
              <w:rPr>
                <w:rFonts w:ascii="Times New Roman" w:hAnsi="Times New Roman" w:cs="Times New Roman"/>
                <w:color w:val="auto"/>
                <w:lang w:eastAsia="zh-CN"/>
              </w:rPr>
              <w:t>总铅（</w:t>
            </w:r>
            <w:r w:rsidRPr="007D139C">
              <w:rPr>
                <w:rFonts w:ascii="Times New Roman" w:eastAsia="宋体" w:hAnsi="Times New Roman" w:cs="Times New Roman"/>
                <w:color w:val="auto"/>
                <w:lang w:eastAsia="zh-CN"/>
              </w:rPr>
              <w:t>mg/L</w:t>
            </w:r>
            <w:r w:rsidRPr="007D139C">
              <w:rPr>
                <w:rFonts w:ascii="Times New Roman" w:hAnsi="Times New Roman" w:cs="Times New Roman"/>
                <w:color w:val="auto"/>
                <w:lang w:eastAsia="zh-CN"/>
              </w:rPr>
              <w:t>）</w:t>
            </w:r>
          </w:p>
        </w:tc>
        <w:tc>
          <w:tcPr>
            <w:tcW w:w="486" w:type="pct"/>
            <w:vAlign w:val="center"/>
          </w:tcPr>
          <w:p w14:paraId="2454FE6B"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0.010L</w:t>
            </w:r>
          </w:p>
        </w:tc>
        <w:tc>
          <w:tcPr>
            <w:tcW w:w="479" w:type="pct"/>
            <w:vAlign w:val="center"/>
          </w:tcPr>
          <w:p w14:paraId="6BB11E4B"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0.010L</w:t>
            </w:r>
          </w:p>
        </w:tc>
        <w:tc>
          <w:tcPr>
            <w:tcW w:w="529" w:type="pct"/>
            <w:vAlign w:val="center"/>
          </w:tcPr>
          <w:p w14:paraId="04E411C5"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0.010L</w:t>
            </w:r>
          </w:p>
        </w:tc>
        <w:tc>
          <w:tcPr>
            <w:tcW w:w="537" w:type="pct"/>
            <w:vAlign w:val="center"/>
          </w:tcPr>
          <w:p w14:paraId="3C8A630C"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0.010L</w:t>
            </w:r>
          </w:p>
        </w:tc>
        <w:tc>
          <w:tcPr>
            <w:tcW w:w="596" w:type="pct"/>
            <w:vAlign w:val="center"/>
          </w:tcPr>
          <w:p w14:paraId="24068AD8"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0.010L</w:t>
            </w:r>
          </w:p>
        </w:tc>
        <w:tc>
          <w:tcPr>
            <w:tcW w:w="624" w:type="pct"/>
            <w:vAlign w:val="center"/>
          </w:tcPr>
          <w:p w14:paraId="2A093EE3"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0.010L</w:t>
            </w:r>
          </w:p>
        </w:tc>
        <w:tc>
          <w:tcPr>
            <w:tcW w:w="533" w:type="pct"/>
            <w:vAlign w:val="center"/>
          </w:tcPr>
          <w:p w14:paraId="3FBE49B4"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0.010L</w:t>
            </w:r>
          </w:p>
        </w:tc>
        <w:tc>
          <w:tcPr>
            <w:tcW w:w="513" w:type="pct"/>
            <w:vAlign w:val="center"/>
          </w:tcPr>
          <w:p w14:paraId="021E63EC" w14:textId="77777777" w:rsidR="007D139C" w:rsidRPr="007D139C" w:rsidRDefault="007D139C" w:rsidP="007D139C">
            <w:pPr>
              <w:widowControl/>
              <w:adjustRightInd w:val="0"/>
              <w:snapToGrid w:val="0"/>
              <w:spacing w:after="0" w:line="240" w:lineRule="auto"/>
              <w:jc w:val="center"/>
              <w:textAlignment w:val="center"/>
              <w:rPr>
                <w:rFonts w:ascii="Times New Roman" w:eastAsia="宋体" w:hAnsi="Times New Roman" w:cs="Times New Roman"/>
                <w:color w:val="auto"/>
                <w:lang w:eastAsia="zh-CN"/>
              </w:rPr>
            </w:pPr>
            <w:r w:rsidRPr="007D139C">
              <w:rPr>
                <w:rFonts w:ascii="Times New Roman" w:eastAsia="宋体" w:hAnsi="Times New Roman" w:cs="Times New Roman"/>
                <w:color w:val="auto"/>
                <w:lang w:eastAsia="zh-CN"/>
              </w:rPr>
              <w:t>0.010L</w:t>
            </w:r>
          </w:p>
        </w:tc>
      </w:tr>
    </w:tbl>
    <w:p w14:paraId="398B8BD1" w14:textId="340F151A" w:rsidR="00606029" w:rsidRDefault="00EA5B92" w:rsidP="007D139C">
      <w:pPr>
        <w:jc w:val="center"/>
        <w:rPr>
          <w:b/>
          <w:bCs/>
        </w:rPr>
      </w:pPr>
      <w:r>
        <w:rPr>
          <w:b/>
          <w:bCs/>
        </w:rPr>
        <w:t>表</w:t>
      </w:r>
      <w:r>
        <w:rPr>
          <w:rFonts w:hint="eastAsia"/>
          <w:b/>
          <w:bCs/>
        </w:rPr>
        <w:t>6.2</w:t>
      </w:r>
      <w:r w:rsidR="004F102D">
        <w:rPr>
          <w:rFonts w:hint="eastAsia"/>
          <w:b/>
          <w:bCs/>
        </w:rPr>
        <w:t>-18</w:t>
      </w:r>
      <w:r w:rsidR="008F4C3E">
        <w:rPr>
          <w:rFonts w:hint="eastAsia"/>
          <w:b/>
          <w:bCs/>
        </w:rPr>
        <w:t xml:space="preserve">  </w:t>
      </w:r>
      <w:r>
        <w:rPr>
          <w:b/>
          <w:bCs/>
        </w:rPr>
        <w:t>渗滤液处理站出口浓度监测结果</w:t>
      </w:r>
    </w:p>
    <w:tbl>
      <w:tblPr>
        <w:tblStyle w:val="TableNormal3"/>
        <w:tblW w:w="5000" w:type="pct"/>
        <w:jc w:val="center"/>
        <w:tblInd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ook w:val="04A0" w:firstRow="1" w:lastRow="0" w:firstColumn="1" w:lastColumn="0" w:noHBand="0" w:noVBand="1"/>
      </w:tblPr>
      <w:tblGrid>
        <w:gridCol w:w="952"/>
        <w:gridCol w:w="709"/>
        <w:gridCol w:w="710"/>
        <w:gridCol w:w="709"/>
        <w:gridCol w:w="710"/>
        <w:gridCol w:w="707"/>
        <w:gridCol w:w="708"/>
        <w:gridCol w:w="709"/>
        <w:gridCol w:w="708"/>
        <w:gridCol w:w="1231"/>
        <w:gridCol w:w="985"/>
      </w:tblGrid>
      <w:tr w:rsidR="00610143" w:rsidRPr="00F6033F" w14:paraId="53DAE6EA" w14:textId="11D7C64F" w:rsidTr="009A2BAD">
        <w:trPr>
          <w:trHeight w:val="516"/>
          <w:jc w:val="center"/>
        </w:trPr>
        <w:tc>
          <w:tcPr>
            <w:tcW w:w="539" w:type="pct"/>
            <w:vMerge w:val="restart"/>
            <w:tcBorders>
              <w:bottom w:val="nil"/>
            </w:tcBorders>
            <w:vAlign w:val="center"/>
          </w:tcPr>
          <w:p w14:paraId="75AACFDB" w14:textId="77777777" w:rsidR="00610143" w:rsidRPr="00F6033F" w:rsidRDefault="00610143" w:rsidP="00F6033F">
            <w:pPr>
              <w:widowControl/>
              <w:adjustRightInd w:val="0"/>
              <w:snapToGrid w:val="0"/>
              <w:spacing w:before="62" w:after="0" w:line="240" w:lineRule="auto"/>
              <w:ind w:left="360"/>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lastRenderedPageBreak/>
              <w:t>监测项目</w:t>
            </w:r>
          </w:p>
        </w:tc>
        <w:tc>
          <w:tcPr>
            <w:tcW w:w="3208" w:type="pct"/>
            <w:gridSpan w:val="8"/>
            <w:vAlign w:val="center"/>
          </w:tcPr>
          <w:p w14:paraId="34F507AF"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渗滤液处理站处理后的清水</w:t>
            </w:r>
          </w:p>
        </w:tc>
        <w:tc>
          <w:tcPr>
            <w:tcW w:w="696" w:type="pct"/>
            <w:vMerge w:val="restart"/>
            <w:tcBorders>
              <w:bottom w:val="nil"/>
            </w:tcBorders>
            <w:vAlign w:val="center"/>
          </w:tcPr>
          <w:p w14:paraId="77F62274" w14:textId="6A1D9D9A" w:rsidR="00610143" w:rsidRPr="00F6033F" w:rsidRDefault="00610143" w:rsidP="00262ECA">
            <w:pPr>
              <w:widowControl/>
              <w:adjustRightInd w:val="0"/>
              <w:snapToGrid w:val="0"/>
              <w:spacing w:before="37" w:after="0" w:line="240" w:lineRule="auto"/>
              <w:ind w:left="10" w:firstLine="79"/>
              <w:jc w:val="center"/>
              <w:textAlignment w:val="center"/>
              <w:rPr>
                <w:rFonts w:ascii="Times New Roman" w:hAnsi="Times New Roman" w:cs="Times New Roman"/>
                <w:color w:val="auto"/>
                <w:lang w:eastAsia="zh-CN"/>
              </w:rPr>
            </w:pPr>
            <w:r>
              <w:rPr>
                <w:rFonts w:ascii="Times New Roman" w:hAnsi="Times New Roman" w:cs="Times New Roman" w:hint="eastAsia"/>
                <w:color w:val="auto"/>
                <w:lang w:eastAsia="zh-CN"/>
              </w:rPr>
              <w:t>（</w:t>
            </w:r>
            <w:r w:rsidRPr="00F6033F">
              <w:rPr>
                <w:rFonts w:ascii="Times New Roman" w:hAnsi="Times New Roman" w:cs="Times New Roman"/>
                <w:color w:val="auto"/>
                <w:lang w:eastAsia="zh-CN"/>
              </w:rPr>
              <w:t>GB/T19923-20</w:t>
            </w:r>
            <w:r>
              <w:rPr>
                <w:rFonts w:ascii="Times New Roman" w:hAnsi="Times New Roman" w:cs="Times New Roman" w:hint="eastAsia"/>
                <w:color w:val="auto"/>
                <w:lang w:eastAsia="zh-CN"/>
              </w:rPr>
              <w:t>24</w:t>
            </w:r>
            <w:r>
              <w:rPr>
                <w:rFonts w:ascii="Times New Roman" w:hAnsi="Times New Roman" w:cs="Times New Roman" w:hint="eastAsia"/>
                <w:color w:val="auto"/>
                <w:lang w:eastAsia="zh-CN"/>
              </w:rPr>
              <w:t>）</w:t>
            </w:r>
            <w:r w:rsidRPr="00F6033F">
              <w:rPr>
                <w:rFonts w:ascii="Times New Roman" w:hAnsi="Times New Roman" w:cs="Times New Roman"/>
                <w:color w:val="auto"/>
                <w:lang w:eastAsia="zh-CN"/>
              </w:rPr>
              <w:t>表</w:t>
            </w:r>
            <w:r w:rsidRPr="00F6033F">
              <w:rPr>
                <w:rFonts w:ascii="Times New Roman" w:hAnsi="Times New Roman" w:cs="Times New Roman"/>
                <w:color w:val="auto"/>
                <w:lang w:eastAsia="zh-CN"/>
              </w:rPr>
              <w:t>1</w:t>
            </w:r>
            <w:r w:rsidR="00262ECA">
              <w:rPr>
                <w:rFonts w:ascii="Times New Roman" w:hAnsi="Times New Roman" w:cs="Times New Roman"/>
                <w:color w:val="auto"/>
                <w:lang w:eastAsia="zh-CN"/>
              </w:rPr>
              <w:t>间冷开式循环</w:t>
            </w:r>
            <w:r w:rsidR="00F32134">
              <w:rPr>
                <w:rFonts w:ascii="Times New Roman" w:hAnsi="Times New Roman" w:cs="Times New Roman"/>
                <w:color w:val="auto"/>
                <w:lang w:eastAsia="zh-CN"/>
              </w:rPr>
              <w:t>冷却水</w:t>
            </w:r>
            <w:r w:rsidR="00262ECA">
              <w:rPr>
                <w:rFonts w:ascii="Times New Roman" w:hAnsi="Times New Roman" w:cs="Times New Roman"/>
                <w:color w:val="auto"/>
                <w:lang w:eastAsia="zh-CN"/>
              </w:rPr>
              <w:t>补</w:t>
            </w:r>
            <w:r w:rsidRPr="00F6033F">
              <w:rPr>
                <w:rFonts w:ascii="Times New Roman" w:hAnsi="Times New Roman" w:cs="Times New Roman"/>
                <w:color w:val="auto"/>
                <w:lang w:eastAsia="zh-CN"/>
              </w:rPr>
              <w:t>充水标准</w:t>
            </w:r>
          </w:p>
        </w:tc>
        <w:tc>
          <w:tcPr>
            <w:tcW w:w="557" w:type="pct"/>
            <w:vMerge w:val="restart"/>
            <w:vAlign w:val="center"/>
          </w:tcPr>
          <w:p w14:paraId="1DDF74E1" w14:textId="591819A7" w:rsidR="00610143" w:rsidRPr="00610143" w:rsidRDefault="00610143" w:rsidP="00610143">
            <w:pPr>
              <w:widowControl/>
              <w:adjustRightInd w:val="0"/>
              <w:snapToGrid w:val="0"/>
              <w:spacing w:after="0" w:line="240" w:lineRule="auto"/>
              <w:jc w:val="center"/>
              <w:textAlignment w:val="center"/>
              <w:rPr>
                <w:rFonts w:ascii="Times New Roman" w:hAnsi="Times New Roman" w:cs="Times New Roman"/>
                <w:color w:val="auto"/>
                <w:lang w:eastAsia="zh-CN"/>
              </w:rPr>
            </w:pPr>
            <w:r>
              <w:rPr>
                <w:rFonts w:ascii="Times New Roman" w:hAnsi="Times New Roman" w:cs="Times New Roman" w:hint="eastAsia"/>
                <w:color w:val="auto"/>
                <w:lang w:eastAsia="zh-CN"/>
              </w:rPr>
              <w:t>（</w:t>
            </w:r>
            <w:r w:rsidRPr="00610143">
              <w:rPr>
                <w:rFonts w:ascii="Times New Roman" w:hAnsi="Times New Roman" w:cs="Times New Roman" w:hint="eastAsia"/>
                <w:color w:val="auto"/>
                <w:lang w:eastAsia="zh-CN"/>
              </w:rPr>
              <w:t>GB16889-2024</w:t>
            </w:r>
            <w:r>
              <w:rPr>
                <w:rFonts w:ascii="Times New Roman" w:hAnsi="Times New Roman" w:cs="Times New Roman" w:hint="eastAsia"/>
                <w:color w:val="auto"/>
                <w:lang w:eastAsia="zh-CN"/>
              </w:rPr>
              <w:t>）</w:t>
            </w:r>
            <w:r w:rsidRPr="00610143">
              <w:rPr>
                <w:rFonts w:ascii="Times New Roman" w:hAnsi="Times New Roman" w:cs="Times New Roman" w:hint="eastAsia"/>
                <w:color w:val="auto"/>
                <w:lang w:eastAsia="zh-CN"/>
              </w:rPr>
              <w:t>表</w:t>
            </w:r>
            <w:r w:rsidRPr="00610143">
              <w:rPr>
                <w:rFonts w:ascii="Times New Roman" w:hAnsi="Times New Roman" w:cs="Times New Roman" w:hint="eastAsia"/>
                <w:color w:val="auto"/>
                <w:lang w:eastAsia="zh-CN"/>
              </w:rPr>
              <w:t>2</w:t>
            </w:r>
            <w:r w:rsidRPr="00610143">
              <w:rPr>
                <w:rFonts w:ascii="Times New Roman" w:hAnsi="Times New Roman" w:cs="Times New Roman" w:hint="eastAsia"/>
                <w:color w:val="auto"/>
                <w:lang w:eastAsia="zh-CN"/>
              </w:rPr>
              <w:t>限值要求</w:t>
            </w:r>
          </w:p>
        </w:tc>
      </w:tr>
      <w:tr w:rsidR="00610143" w:rsidRPr="00F6033F" w14:paraId="0DAB49D1" w14:textId="2093ADB6" w:rsidTr="009A2BAD">
        <w:trPr>
          <w:trHeight w:val="1146"/>
          <w:jc w:val="center"/>
        </w:trPr>
        <w:tc>
          <w:tcPr>
            <w:tcW w:w="539" w:type="pct"/>
            <w:vMerge/>
            <w:tcBorders>
              <w:top w:val="nil"/>
            </w:tcBorders>
            <w:vAlign w:val="center"/>
          </w:tcPr>
          <w:p w14:paraId="0FD97E65" w14:textId="77777777" w:rsidR="00610143" w:rsidRPr="00F6033F" w:rsidRDefault="00610143" w:rsidP="00F6033F">
            <w:pPr>
              <w:widowControl/>
              <w:adjustRightInd w:val="0"/>
              <w:snapToGrid w:val="0"/>
              <w:spacing w:after="0"/>
              <w:jc w:val="center"/>
              <w:textAlignment w:val="center"/>
              <w:rPr>
                <w:rFonts w:ascii="Times New Roman" w:hAnsi="Times New Roman" w:cs="Times New Roman"/>
                <w:color w:val="auto"/>
                <w:lang w:eastAsia="zh-CN"/>
              </w:rPr>
            </w:pPr>
          </w:p>
        </w:tc>
        <w:tc>
          <w:tcPr>
            <w:tcW w:w="1606" w:type="pct"/>
            <w:gridSpan w:val="4"/>
            <w:vAlign w:val="center"/>
          </w:tcPr>
          <w:p w14:paraId="46C04ED8" w14:textId="32F84F34"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02</w:t>
            </w:r>
            <w:r w:rsidRPr="00F6033F">
              <w:rPr>
                <w:rFonts w:ascii="Times New Roman" w:hAnsi="Times New Roman" w:cs="Times New Roman"/>
                <w:color w:val="auto"/>
                <w:lang w:eastAsia="zh-CN"/>
              </w:rPr>
              <w:t>月</w:t>
            </w:r>
            <w:r w:rsidRPr="00F6033F">
              <w:rPr>
                <w:rFonts w:ascii="Times New Roman" w:hAnsi="Times New Roman" w:cs="Times New Roman"/>
                <w:color w:val="auto"/>
                <w:lang w:eastAsia="zh-CN"/>
              </w:rPr>
              <w:t>22</w:t>
            </w:r>
            <w:r w:rsidRPr="00F6033F">
              <w:rPr>
                <w:rFonts w:ascii="Times New Roman" w:hAnsi="Times New Roman" w:cs="Times New Roman"/>
                <w:color w:val="auto"/>
                <w:lang w:eastAsia="zh-CN"/>
              </w:rPr>
              <w:t>日</w:t>
            </w:r>
          </w:p>
        </w:tc>
        <w:tc>
          <w:tcPr>
            <w:tcW w:w="1602" w:type="pct"/>
            <w:gridSpan w:val="4"/>
            <w:vAlign w:val="center"/>
          </w:tcPr>
          <w:p w14:paraId="32FCB0DE" w14:textId="162CC014"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02</w:t>
            </w:r>
            <w:r w:rsidRPr="00F6033F">
              <w:rPr>
                <w:rFonts w:ascii="Times New Roman" w:hAnsi="Times New Roman" w:cs="Times New Roman"/>
                <w:color w:val="auto"/>
                <w:lang w:eastAsia="zh-CN"/>
              </w:rPr>
              <w:t>月</w:t>
            </w:r>
            <w:r w:rsidRPr="00F6033F">
              <w:rPr>
                <w:rFonts w:ascii="Times New Roman" w:hAnsi="Times New Roman" w:cs="Times New Roman"/>
                <w:color w:val="auto"/>
                <w:lang w:eastAsia="zh-CN"/>
              </w:rPr>
              <w:t>23</w:t>
            </w:r>
            <w:r w:rsidRPr="00F6033F">
              <w:rPr>
                <w:rFonts w:ascii="Times New Roman" w:hAnsi="Times New Roman" w:cs="Times New Roman"/>
                <w:color w:val="auto"/>
                <w:lang w:eastAsia="zh-CN"/>
              </w:rPr>
              <w:t>日</w:t>
            </w:r>
          </w:p>
        </w:tc>
        <w:tc>
          <w:tcPr>
            <w:tcW w:w="696" w:type="pct"/>
            <w:vMerge/>
            <w:tcBorders>
              <w:top w:val="nil"/>
            </w:tcBorders>
            <w:vAlign w:val="center"/>
          </w:tcPr>
          <w:p w14:paraId="231A0A85" w14:textId="77777777" w:rsidR="00610143" w:rsidRPr="00F6033F" w:rsidRDefault="00610143" w:rsidP="00F6033F">
            <w:pPr>
              <w:widowControl/>
              <w:adjustRightInd w:val="0"/>
              <w:snapToGrid w:val="0"/>
              <w:spacing w:after="0"/>
              <w:jc w:val="center"/>
              <w:textAlignment w:val="center"/>
              <w:rPr>
                <w:rFonts w:ascii="Times New Roman" w:hAnsi="Times New Roman" w:cs="Times New Roman"/>
                <w:color w:val="auto"/>
                <w:lang w:eastAsia="zh-CN"/>
              </w:rPr>
            </w:pPr>
          </w:p>
        </w:tc>
        <w:tc>
          <w:tcPr>
            <w:tcW w:w="557" w:type="pct"/>
            <w:vMerge/>
            <w:vAlign w:val="center"/>
          </w:tcPr>
          <w:p w14:paraId="5C7BEE04" w14:textId="77777777" w:rsidR="00610143" w:rsidRPr="00610143" w:rsidRDefault="00610143" w:rsidP="00610143">
            <w:pPr>
              <w:widowControl/>
              <w:adjustRightInd w:val="0"/>
              <w:snapToGrid w:val="0"/>
              <w:spacing w:after="0" w:line="240" w:lineRule="auto"/>
              <w:jc w:val="center"/>
              <w:textAlignment w:val="center"/>
              <w:rPr>
                <w:rFonts w:ascii="Times New Roman" w:hAnsi="Times New Roman" w:cs="Times New Roman"/>
                <w:color w:val="auto"/>
                <w:lang w:eastAsia="zh-CN"/>
              </w:rPr>
            </w:pPr>
          </w:p>
        </w:tc>
      </w:tr>
      <w:tr w:rsidR="009A2BAD" w:rsidRPr="00F6033F" w14:paraId="7DBFA6FE" w14:textId="1966F38F" w:rsidTr="009A2BAD">
        <w:trPr>
          <w:trHeight w:val="492"/>
          <w:jc w:val="center"/>
        </w:trPr>
        <w:tc>
          <w:tcPr>
            <w:tcW w:w="539" w:type="pct"/>
            <w:vAlign w:val="center"/>
          </w:tcPr>
          <w:p w14:paraId="7F3B914B"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pH</w:t>
            </w:r>
            <w:r w:rsidRPr="00F6033F">
              <w:rPr>
                <w:rFonts w:ascii="Times New Roman" w:hAnsi="Times New Roman" w:cs="Times New Roman"/>
                <w:color w:val="auto"/>
                <w:lang w:eastAsia="zh-CN"/>
              </w:rPr>
              <w:t>（无量纲）</w:t>
            </w:r>
          </w:p>
        </w:tc>
        <w:tc>
          <w:tcPr>
            <w:tcW w:w="401" w:type="pct"/>
            <w:vAlign w:val="center"/>
          </w:tcPr>
          <w:p w14:paraId="2B41D732"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7.6</w:t>
            </w:r>
          </w:p>
        </w:tc>
        <w:tc>
          <w:tcPr>
            <w:tcW w:w="402" w:type="pct"/>
            <w:vAlign w:val="center"/>
          </w:tcPr>
          <w:p w14:paraId="17E950D7"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7.5</w:t>
            </w:r>
          </w:p>
        </w:tc>
        <w:tc>
          <w:tcPr>
            <w:tcW w:w="401" w:type="pct"/>
            <w:vAlign w:val="center"/>
          </w:tcPr>
          <w:p w14:paraId="6CCEFA01"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7.7</w:t>
            </w:r>
          </w:p>
        </w:tc>
        <w:tc>
          <w:tcPr>
            <w:tcW w:w="402" w:type="pct"/>
            <w:vAlign w:val="center"/>
          </w:tcPr>
          <w:p w14:paraId="5B59F784"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7.5</w:t>
            </w:r>
          </w:p>
        </w:tc>
        <w:tc>
          <w:tcPr>
            <w:tcW w:w="400" w:type="pct"/>
            <w:vAlign w:val="center"/>
          </w:tcPr>
          <w:p w14:paraId="2579663C"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7.4</w:t>
            </w:r>
          </w:p>
        </w:tc>
        <w:tc>
          <w:tcPr>
            <w:tcW w:w="401" w:type="pct"/>
            <w:vAlign w:val="center"/>
          </w:tcPr>
          <w:p w14:paraId="3D53D920"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7.3</w:t>
            </w:r>
          </w:p>
        </w:tc>
        <w:tc>
          <w:tcPr>
            <w:tcW w:w="401" w:type="pct"/>
            <w:vAlign w:val="center"/>
          </w:tcPr>
          <w:p w14:paraId="54BD657C"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7.5</w:t>
            </w:r>
          </w:p>
        </w:tc>
        <w:tc>
          <w:tcPr>
            <w:tcW w:w="401" w:type="pct"/>
            <w:vAlign w:val="center"/>
          </w:tcPr>
          <w:p w14:paraId="00EB1D1E"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7.4</w:t>
            </w:r>
          </w:p>
        </w:tc>
        <w:tc>
          <w:tcPr>
            <w:tcW w:w="696" w:type="pct"/>
            <w:vAlign w:val="center"/>
          </w:tcPr>
          <w:p w14:paraId="56C8BDEC" w14:textId="7FC85A6E"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6</w:t>
            </w:r>
            <w:r w:rsidR="008D25CF">
              <w:rPr>
                <w:rFonts w:ascii="Times New Roman" w:hAnsi="Times New Roman" w:cs="Times New Roman" w:hint="eastAsia"/>
                <w:color w:val="auto"/>
                <w:lang w:eastAsia="zh-CN"/>
              </w:rPr>
              <w:t>~</w:t>
            </w:r>
            <w:r w:rsidR="00262ECA">
              <w:rPr>
                <w:rFonts w:ascii="Times New Roman" w:hAnsi="Times New Roman" w:cs="Times New Roman" w:hint="eastAsia"/>
                <w:color w:val="auto"/>
                <w:lang w:eastAsia="zh-CN"/>
              </w:rPr>
              <w:t>9</w:t>
            </w:r>
          </w:p>
        </w:tc>
        <w:tc>
          <w:tcPr>
            <w:tcW w:w="557" w:type="pct"/>
            <w:vAlign w:val="center"/>
          </w:tcPr>
          <w:p w14:paraId="1D9A8234" w14:textId="5DC3AD6A" w:rsidR="00610143" w:rsidRPr="00610143" w:rsidRDefault="00D54D12" w:rsidP="00610143">
            <w:pPr>
              <w:widowControl/>
              <w:adjustRightInd w:val="0"/>
              <w:snapToGrid w:val="0"/>
              <w:spacing w:after="0" w:line="240" w:lineRule="auto"/>
              <w:jc w:val="center"/>
              <w:textAlignment w:val="center"/>
              <w:rPr>
                <w:rFonts w:ascii="Times New Roman" w:hAnsi="Times New Roman" w:cs="Times New Roman"/>
                <w:color w:val="auto"/>
                <w:lang w:eastAsia="zh-CN"/>
              </w:rPr>
            </w:pPr>
            <w:r>
              <w:rPr>
                <w:rFonts w:ascii="Times New Roman" w:hAnsi="Times New Roman" w:cs="Times New Roman" w:hint="eastAsia"/>
                <w:color w:val="auto"/>
                <w:lang w:eastAsia="zh-CN"/>
              </w:rPr>
              <w:t>/</w:t>
            </w:r>
          </w:p>
        </w:tc>
      </w:tr>
      <w:tr w:rsidR="009A2BAD" w:rsidRPr="00F6033F" w14:paraId="05C9A42D" w14:textId="4B81C2C8" w:rsidTr="009A2BAD">
        <w:trPr>
          <w:trHeight w:val="492"/>
          <w:jc w:val="center"/>
        </w:trPr>
        <w:tc>
          <w:tcPr>
            <w:tcW w:w="539" w:type="pct"/>
            <w:vAlign w:val="center"/>
          </w:tcPr>
          <w:p w14:paraId="3C765795"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悬浮物（</w:t>
            </w:r>
            <w:r w:rsidRPr="00F6033F">
              <w:rPr>
                <w:rFonts w:ascii="Times New Roman" w:hAnsi="Times New Roman" w:cs="Times New Roman"/>
                <w:color w:val="auto"/>
                <w:lang w:eastAsia="zh-CN"/>
              </w:rPr>
              <w:t>mg/L</w:t>
            </w:r>
            <w:r w:rsidRPr="00F6033F">
              <w:rPr>
                <w:rFonts w:ascii="Times New Roman" w:hAnsi="Times New Roman" w:cs="Times New Roman"/>
                <w:color w:val="auto"/>
                <w:lang w:eastAsia="zh-CN"/>
              </w:rPr>
              <w:t>）</w:t>
            </w:r>
          </w:p>
        </w:tc>
        <w:tc>
          <w:tcPr>
            <w:tcW w:w="401" w:type="pct"/>
            <w:vAlign w:val="center"/>
          </w:tcPr>
          <w:p w14:paraId="230ACBF8"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7</w:t>
            </w:r>
          </w:p>
        </w:tc>
        <w:tc>
          <w:tcPr>
            <w:tcW w:w="402" w:type="pct"/>
            <w:vAlign w:val="center"/>
          </w:tcPr>
          <w:p w14:paraId="703F9E97"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8</w:t>
            </w:r>
          </w:p>
        </w:tc>
        <w:tc>
          <w:tcPr>
            <w:tcW w:w="401" w:type="pct"/>
            <w:vAlign w:val="center"/>
          </w:tcPr>
          <w:p w14:paraId="53B3FB38"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7</w:t>
            </w:r>
          </w:p>
        </w:tc>
        <w:tc>
          <w:tcPr>
            <w:tcW w:w="402" w:type="pct"/>
            <w:vAlign w:val="center"/>
          </w:tcPr>
          <w:p w14:paraId="3AB970A1"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7</w:t>
            </w:r>
          </w:p>
        </w:tc>
        <w:tc>
          <w:tcPr>
            <w:tcW w:w="400" w:type="pct"/>
            <w:vAlign w:val="center"/>
          </w:tcPr>
          <w:p w14:paraId="7722AFCB"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6</w:t>
            </w:r>
          </w:p>
        </w:tc>
        <w:tc>
          <w:tcPr>
            <w:tcW w:w="401" w:type="pct"/>
            <w:vAlign w:val="center"/>
          </w:tcPr>
          <w:p w14:paraId="08BF00C0"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7</w:t>
            </w:r>
          </w:p>
        </w:tc>
        <w:tc>
          <w:tcPr>
            <w:tcW w:w="401" w:type="pct"/>
            <w:vAlign w:val="center"/>
          </w:tcPr>
          <w:p w14:paraId="228C7EEC"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6</w:t>
            </w:r>
          </w:p>
        </w:tc>
        <w:tc>
          <w:tcPr>
            <w:tcW w:w="401" w:type="pct"/>
            <w:vAlign w:val="center"/>
          </w:tcPr>
          <w:p w14:paraId="02EDEDEB"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7</w:t>
            </w:r>
          </w:p>
        </w:tc>
        <w:tc>
          <w:tcPr>
            <w:tcW w:w="696" w:type="pct"/>
            <w:vAlign w:val="center"/>
          </w:tcPr>
          <w:p w14:paraId="7CCCFD1A" w14:textId="0198CB80" w:rsidR="00610143" w:rsidRPr="00F6033F" w:rsidRDefault="00D54D12"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Pr>
                <w:rFonts w:ascii="Times New Roman" w:hAnsi="Times New Roman" w:cs="Times New Roman" w:hint="eastAsia"/>
                <w:color w:val="auto"/>
                <w:lang w:eastAsia="zh-CN"/>
              </w:rPr>
              <w:t>/</w:t>
            </w:r>
          </w:p>
        </w:tc>
        <w:tc>
          <w:tcPr>
            <w:tcW w:w="557" w:type="pct"/>
            <w:vAlign w:val="center"/>
          </w:tcPr>
          <w:p w14:paraId="4C1A4DD8" w14:textId="23768E69" w:rsidR="00610143" w:rsidRPr="00610143" w:rsidRDefault="00D54D12" w:rsidP="00610143">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w:t>
            </w:r>
            <w:r>
              <w:rPr>
                <w:rFonts w:ascii="Times New Roman" w:hAnsi="Times New Roman" w:cs="Times New Roman" w:hint="eastAsia"/>
                <w:color w:val="auto"/>
                <w:lang w:eastAsia="zh-CN"/>
              </w:rPr>
              <w:t>30</w:t>
            </w:r>
          </w:p>
        </w:tc>
      </w:tr>
      <w:tr w:rsidR="009A2BAD" w:rsidRPr="00F6033F" w14:paraId="65657475" w14:textId="2829337C" w:rsidTr="009A2BAD">
        <w:trPr>
          <w:trHeight w:val="492"/>
          <w:jc w:val="center"/>
        </w:trPr>
        <w:tc>
          <w:tcPr>
            <w:tcW w:w="539" w:type="pct"/>
            <w:vAlign w:val="center"/>
          </w:tcPr>
          <w:p w14:paraId="23ABFCC2"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浊度（度）</w:t>
            </w:r>
          </w:p>
        </w:tc>
        <w:tc>
          <w:tcPr>
            <w:tcW w:w="401" w:type="pct"/>
            <w:vAlign w:val="center"/>
          </w:tcPr>
          <w:p w14:paraId="180C70FA"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1L</w:t>
            </w:r>
          </w:p>
        </w:tc>
        <w:tc>
          <w:tcPr>
            <w:tcW w:w="402" w:type="pct"/>
            <w:vAlign w:val="center"/>
          </w:tcPr>
          <w:p w14:paraId="3056D9C6"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1L</w:t>
            </w:r>
          </w:p>
        </w:tc>
        <w:tc>
          <w:tcPr>
            <w:tcW w:w="401" w:type="pct"/>
            <w:vAlign w:val="center"/>
          </w:tcPr>
          <w:p w14:paraId="0EED4831"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1L</w:t>
            </w:r>
          </w:p>
        </w:tc>
        <w:tc>
          <w:tcPr>
            <w:tcW w:w="402" w:type="pct"/>
            <w:vAlign w:val="center"/>
          </w:tcPr>
          <w:p w14:paraId="3FF72950"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1L</w:t>
            </w:r>
          </w:p>
        </w:tc>
        <w:tc>
          <w:tcPr>
            <w:tcW w:w="400" w:type="pct"/>
            <w:vAlign w:val="center"/>
          </w:tcPr>
          <w:p w14:paraId="07F8ADAB"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1L</w:t>
            </w:r>
          </w:p>
        </w:tc>
        <w:tc>
          <w:tcPr>
            <w:tcW w:w="401" w:type="pct"/>
            <w:vAlign w:val="center"/>
          </w:tcPr>
          <w:p w14:paraId="6A2B3729"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1L</w:t>
            </w:r>
          </w:p>
        </w:tc>
        <w:tc>
          <w:tcPr>
            <w:tcW w:w="401" w:type="pct"/>
            <w:vAlign w:val="center"/>
          </w:tcPr>
          <w:p w14:paraId="16F00906"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1L</w:t>
            </w:r>
          </w:p>
        </w:tc>
        <w:tc>
          <w:tcPr>
            <w:tcW w:w="401" w:type="pct"/>
            <w:vAlign w:val="center"/>
          </w:tcPr>
          <w:p w14:paraId="1196D897"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1L</w:t>
            </w:r>
          </w:p>
        </w:tc>
        <w:tc>
          <w:tcPr>
            <w:tcW w:w="696" w:type="pct"/>
            <w:vAlign w:val="center"/>
          </w:tcPr>
          <w:p w14:paraId="62FFCF2D"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≤5</w:t>
            </w:r>
          </w:p>
        </w:tc>
        <w:tc>
          <w:tcPr>
            <w:tcW w:w="557" w:type="pct"/>
            <w:vAlign w:val="center"/>
          </w:tcPr>
          <w:p w14:paraId="4FA8D19F" w14:textId="36E09307" w:rsidR="00610143" w:rsidRPr="00610143" w:rsidRDefault="00D54D12" w:rsidP="00610143">
            <w:pPr>
              <w:widowControl/>
              <w:adjustRightInd w:val="0"/>
              <w:snapToGrid w:val="0"/>
              <w:spacing w:after="0" w:line="240" w:lineRule="auto"/>
              <w:jc w:val="center"/>
              <w:textAlignment w:val="center"/>
              <w:rPr>
                <w:rFonts w:ascii="Times New Roman" w:hAnsi="Times New Roman" w:cs="Times New Roman"/>
                <w:color w:val="auto"/>
                <w:lang w:eastAsia="zh-CN"/>
              </w:rPr>
            </w:pPr>
            <w:r>
              <w:rPr>
                <w:rFonts w:ascii="Times New Roman" w:hAnsi="Times New Roman" w:cs="Times New Roman" w:hint="eastAsia"/>
                <w:color w:val="auto"/>
                <w:lang w:eastAsia="zh-CN"/>
              </w:rPr>
              <w:t>/</w:t>
            </w:r>
          </w:p>
        </w:tc>
      </w:tr>
      <w:tr w:rsidR="009A2BAD" w:rsidRPr="00F6033F" w14:paraId="203E3654" w14:textId="1A7E95BC" w:rsidTr="009A2BAD">
        <w:trPr>
          <w:trHeight w:val="493"/>
          <w:jc w:val="center"/>
        </w:trPr>
        <w:tc>
          <w:tcPr>
            <w:tcW w:w="539" w:type="pct"/>
            <w:vAlign w:val="center"/>
          </w:tcPr>
          <w:p w14:paraId="003188F8"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色度（倍）</w:t>
            </w:r>
          </w:p>
        </w:tc>
        <w:tc>
          <w:tcPr>
            <w:tcW w:w="401" w:type="pct"/>
            <w:vAlign w:val="center"/>
          </w:tcPr>
          <w:p w14:paraId="07604B1E"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2L</w:t>
            </w:r>
          </w:p>
        </w:tc>
        <w:tc>
          <w:tcPr>
            <w:tcW w:w="402" w:type="pct"/>
            <w:vAlign w:val="center"/>
          </w:tcPr>
          <w:p w14:paraId="142E7A25"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2L</w:t>
            </w:r>
          </w:p>
        </w:tc>
        <w:tc>
          <w:tcPr>
            <w:tcW w:w="401" w:type="pct"/>
            <w:vAlign w:val="center"/>
          </w:tcPr>
          <w:p w14:paraId="5610A0CB"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2L</w:t>
            </w:r>
          </w:p>
        </w:tc>
        <w:tc>
          <w:tcPr>
            <w:tcW w:w="402" w:type="pct"/>
            <w:vAlign w:val="center"/>
          </w:tcPr>
          <w:p w14:paraId="56F561A6"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2L</w:t>
            </w:r>
          </w:p>
        </w:tc>
        <w:tc>
          <w:tcPr>
            <w:tcW w:w="400" w:type="pct"/>
            <w:vAlign w:val="center"/>
          </w:tcPr>
          <w:p w14:paraId="1EB013FE"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2L</w:t>
            </w:r>
          </w:p>
        </w:tc>
        <w:tc>
          <w:tcPr>
            <w:tcW w:w="401" w:type="pct"/>
            <w:vAlign w:val="center"/>
          </w:tcPr>
          <w:p w14:paraId="63FBC652"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2L</w:t>
            </w:r>
          </w:p>
        </w:tc>
        <w:tc>
          <w:tcPr>
            <w:tcW w:w="401" w:type="pct"/>
            <w:vAlign w:val="center"/>
          </w:tcPr>
          <w:p w14:paraId="4CF429D4"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2L</w:t>
            </w:r>
          </w:p>
        </w:tc>
        <w:tc>
          <w:tcPr>
            <w:tcW w:w="401" w:type="pct"/>
            <w:vAlign w:val="center"/>
          </w:tcPr>
          <w:p w14:paraId="4DF59563"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2L</w:t>
            </w:r>
          </w:p>
        </w:tc>
        <w:tc>
          <w:tcPr>
            <w:tcW w:w="696" w:type="pct"/>
            <w:vAlign w:val="center"/>
          </w:tcPr>
          <w:p w14:paraId="6170DBF7" w14:textId="2BE89328"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w:t>
            </w:r>
            <w:r w:rsidR="00262ECA">
              <w:rPr>
                <w:rFonts w:ascii="Times New Roman" w:hAnsi="Times New Roman" w:cs="Times New Roman" w:hint="eastAsia"/>
                <w:color w:val="auto"/>
                <w:lang w:eastAsia="zh-CN"/>
              </w:rPr>
              <w:t>2</w:t>
            </w:r>
            <w:r w:rsidRPr="00F6033F">
              <w:rPr>
                <w:rFonts w:ascii="Times New Roman" w:hAnsi="Times New Roman" w:cs="Times New Roman"/>
                <w:color w:val="auto"/>
                <w:lang w:eastAsia="zh-CN"/>
              </w:rPr>
              <w:t>0</w:t>
            </w:r>
          </w:p>
        </w:tc>
        <w:tc>
          <w:tcPr>
            <w:tcW w:w="557" w:type="pct"/>
            <w:vAlign w:val="center"/>
          </w:tcPr>
          <w:p w14:paraId="05430007" w14:textId="7721C60D" w:rsidR="00610143" w:rsidRPr="00610143" w:rsidRDefault="00D54D12" w:rsidP="00610143">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w:t>
            </w:r>
            <w:r>
              <w:rPr>
                <w:rFonts w:ascii="Times New Roman" w:hAnsi="Times New Roman" w:cs="Times New Roman" w:hint="eastAsia"/>
                <w:color w:val="auto"/>
                <w:lang w:eastAsia="zh-CN"/>
              </w:rPr>
              <w:t>4</w:t>
            </w:r>
            <w:r w:rsidRPr="00F6033F">
              <w:rPr>
                <w:rFonts w:ascii="Times New Roman" w:hAnsi="Times New Roman" w:cs="Times New Roman"/>
                <w:color w:val="auto"/>
                <w:lang w:eastAsia="zh-CN"/>
              </w:rPr>
              <w:t>0</w:t>
            </w:r>
          </w:p>
        </w:tc>
      </w:tr>
      <w:tr w:rsidR="009A2BAD" w:rsidRPr="00F6033F" w14:paraId="5C0705B3" w14:textId="7664BEE4" w:rsidTr="009A2BAD">
        <w:trPr>
          <w:trHeight w:val="493"/>
          <w:jc w:val="center"/>
        </w:trPr>
        <w:tc>
          <w:tcPr>
            <w:tcW w:w="539" w:type="pct"/>
            <w:vAlign w:val="center"/>
          </w:tcPr>
          <w:p w14:paraId="0DB6EDD7"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BOD5</w:t>
            </w:r>
            <w:r w:rsidRPr="00F6033F">
              <w:rPr>
                <w:rFonts w:ascii="Times New Roman" w:hAnsi="Times New Roman" w:cs="Times New Roman"/>
                <w:color w:val="auto"/>
                <w:lang w:eastAsia="zh-CN"/>
              </w:rPr>
              <w:t>（</w:t>
            </w:r>
            <w:r w:rsidRPr="00F6033F">
              <w:rPr>
                <w:rFonts w:ascii="Times New Roman" w:hAnsi="Times New Roman" w:cs="Times New Roman"/>
                <w:color w:val="auto"/>
                <w:lang w:eastAsia="zh-CN"/>
              </w:rPr>
              <w:t>mg/L</w:t>
            </w:r>
            <w:r w:rsidRPr="00F6033F">
              <w:rPr>
                <w:rFonts w:ascii="Times New Roman" w:hAnsi="Times New Roman" w:cs="Times New Roman"/>
                <w:color w:val="auto"/>
                <w:lang w:eastAsia="zh-CN"/>
              </w:rPr>
              <w:t>）</w:t>
            </w:r>
          </w:p>
        </w:tc>
        <w:tc>
          <w:tcPr>
            <w:tcW w:w="401" w:type="pct"/>
            <w:vAlign w:val="center"/>
          </w:tcPr>
          <w:p w14:paraId="3DCF02DC"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8.7</w:t>
            </w:r>
          </w:p>
        </w:tc>
        <w:tc>
          <w:tcPr>
            <w:tcW w:w="402" w:type="pct"/>
            <w:vAlign w:val="center"/>
          </w:tcPr>
          <w:p w14:paraId="49AD7CC6"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8.8</w:t>
            </w:r>
          </w:p>
        </w:tc>
        <w:tc>
          <w:tcPr>
            <w:tcW w:w="401" w:type="pct"/>
            <w:vAlign w:val="center"/>
          </w:tcPr>
          <w:p w14:paraId="1F98A361"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8.5</w:t>
            </w:r>
          </w:p>
        </w:tc>
        <w:tc>
          <w:tcPr>
            <w:tcW w:w="402" w:type="pct"/>
            <w:vAlign w:val="center"/>
          </w:tcPr>
          <w:p w14:paraId="3DC085D9"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8.0</w:t>
            </w:r>
          </w:p>
        </w:tc>
        <w:tc>
          <w:tcPr>
            <w:tcW w:w="400" w:type="pct"/>
            <w:vAlign w:val="center"/>
          </w:tcPr>
          <w:p w14:paraId="1DDBA5DC"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8.3</w:t>
            </w:r>
          </w:p>
        </w:tc>
        <w:tc>
          <w:tcPr>
            <w:tcW w:w="401" w:type="pct"/>
            <w:vAlign w:val="center"/>
          </w:tcPr>
          <w:p w14:paraId="0E769C1A"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8.2</w:t>
            </w:r>
          </w:p>
        </w:tc>
        <w:tc>
          <w:tcPr>
            <w:tcW w:w="401" w:type="pct"/>
            <w:vAlign w:val="center"/>
          </w:tcPr>
          <w:p w14:paraId="774F473E"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7.9</w:t>
            </w:r>
          </w:p>
        </w:tc>
        <w:tc>
          <w:tcPr>
            <w:tcW w:w="401" w:type="pct"/>
            <w:vAlign w:val="center"/>
          </w:tcPr>
          <w:p w14:paraId="376CFF66"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8.4</w:t>
            </w:r>
          </w:p>
        </w:tc>
        <w:tc>
          <w:tcPr>
            <w:tcW w:w="696" w:type="pct"/>
            <w:vAlign w:val="center"/>
          </w:tcPr>
          <w:p w14:paraId="6B8EB8DB"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≤10</w:t>
            </w:r>
          </w:p>
        </w:tc>
        <w:tc>
          <w:tcPr>
            <w:tcW w:w="557" w:type="pct"/>
            <w:vAlign w:val="center"/>
          </w:tcPr>
          <w:p w14:paraId="11FC336E" w14:textId="68E7920C" w:rsidR="00610143" w:rsidRPr="00610143" w:rsidRDefault="00D54D12" w:rsidP="00610143">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w:t>
            </w:r>
            <w:r>
              <w:rPr>
                <w:rFonts w:ascii="Times New Roman" w:hAnsi="Times New Roman" w:cs="Times New Roman" w:hint="eastAsia"/>
                <w:color w:val="auto"/>
                <w:lang w:eastAsia="zh-CN"/>
              </w:rPr>
              <w:t>3</w:t>
            </w:r>
            <w:r w:rsidRPr="00F6033F">
              <w:rPr>
                <w:rFonts w:ascii="Times New Roman" w:hAnsi="Times New Roman" w:cs="Times New Roman"/>
                <w:color w:val="auto"/>
                <w:lang w:eastAsia="zh-CN"/>
              </w:rPr>
              <w:t>0</w:t>
            </w:r>
          </w:p>
        </w:tc>
      </w:tr>
      <w:tr w:rsidR="009A2BAD" w:rsidRPr="00F6033F" w14:paraId="7A3504E0" w14:textId="134DCD85" w:rsidTr="009A2BAD">
        <w:trPr>
          <w:trHeight w:val="493"/>
          <w:jc w:val="center"/>
        </w:trPr>
        <w:tc>
          <w:tcPr>
            <w:tcW w:w="539" w:type="pct"/>
            <w:vAlign w:val="center"/>
          </w:tcPr>
          <w:p w14:paraId="14727DCB"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COD</w:t>
            </w:r>
            <w:r w:rsidRPr="00F6033F">
              <w:rPr>
                <w:rFonts w:ascii="Times New Roman" w:hAnsi="Times New Roman" w:cs="Times New Roman"/>
                <w:color w:val="auto"/>
                <w:lang w:eastAsia="zh-CN"/>
              </w:rPr>
              <w:t>（</w:t>
            </w:r>
            <w:r w:rsidRPr="00F6033F">
              <w:rPr>
                <w:rFonts w:ascii="Times New Roman" w:hAnsi="Times New Roman" w:cs="Times New Roman"/>
                <w:color w:val="auto"/>
                <w:lang w:eastAsia="zh-CN"/>
              </w:rPr>
              <w:t>mg/L</w:t>
            </w:r>
            <w:r w:rsidRPr="00F6033F">
              <w:rPr>
                <w:rFonts w:ascii="Times New Roman" w:hAnsi="Times New Roman" w:cs="Times New Roman"/>
                <w:color w:val="auto"/>
                <w:lang w:eastAsia="zh-CN"/>
              </w:rPr>
              <w:t>）</w:t>
            </w:r>
          </w:p>
        </w:tc>
        <w:tc>
          <w:tcPr>
            <w:tcW w:w="401" w:type="pct"/>
            <w:vAlign w:val="center"/>
          </w:tcPr>
          <w:p w14:paraId="07509F74"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48</w:t>
            </w:r>
          </w:p>
        </w:tc>
        <w:tc>
          <w:tcPr>
            <w:tcW w:w="402" w:type="pct"/>
            <w:vAlign w:val="center"/>
          </w:tcPr>
          <w:p w14:paraId="3B01DC4A"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49</w:t>
            </w:r>
          </w:p>
        </w:tc>
        <w:tc>
          <w:tcPr>
            <w:tcW w:w="401" w:type="pct"/>
            <w:vAlign w:val="center"/>
          </w:tcPr>
          <w:p w14:paraId="516CD0BC"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47</w:t>
            </w:r>
          </w:p>
        </w:tc>
        <w:tc>
          <w:tcPr>
            <w:tcW w:w="402" w:type="pct"/>
            <w:vAlign w:val="center"/>
          </w:tcPr>
          <w:p w14:paraId="56908B92"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42</w:t>
            </w:r>
          </w:p>
        </w:tc>
        <w:tc>
          <w:tcPr>
            <w:tcW w:w="400" w:type="pct"/>
            <w:vAlign w:val="center"/>
          </w:tcPr>
          <w:p w14:paraId="024740A0"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46</w:t>
            </w:r>
          </w:p>
        </w:tc>
        <w:tc>
          <w:tcPr>
            <w:tcW w:w="401" w:type="pct"/>
            <w:vAlign w:val="center"/>
          </w:tcPr>
          <w:p w14:paraId="0286F2C6"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44</w:t>
            </w:r>
          </w:p>
        </w:tc>
        <w:tc>
          <w:tcPr>
            <w:tcW w:w="401" w:type="pct"/>
            <w:vAlign w:val="center"/>
          </w:tcPr>
          <w:p w14:paraId="0E1C55B3"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45</w:t>
            </w:r>
          </w:p>
        </w:tc>
        <w:tc>
          <w:tcPr>
            <w:tcW w:w="401" w:type="pct"/>
            <w:vAlign w:val="center"/>
          </w:tcPr>
          <w:p w14:paraId="70106E3D"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48</w:t>
            </w:r>
          </w:p>
        </w:tc>
        <w:tc>
          <w:tcPr>
            <w:tcW w:w="696" w:type="pct"/>
            <w:vAlign w:val="center"/>
          </w:tcPr>
          <w:p w14:paraId="416217E9" w14:textId="18794D70"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w:t>
            </w:r>
            <w:r w:rsidR="00262ECA">
              <w:rPr>
                <w:rFonts w:ascii="Times New Roman" w:hAnsi="Times New Roman" w:cs="Times New Roman" w:hint="eastAsia"/>
                <w:color w:val="auto"/>
                <w:lang w:eastAsia="zh-CN"/>
              </w:rPr>
              <w:t>5</w:t>
            </w:r>
            <w:r w:rsidRPr="00F6033F">
              <w:rPr>
                <w:rFonts w:ascii="Times New Roman" w:hAnsi="Times New Roman" w:cs="Times New Roman"/>
                <w:color w:val="auto"/>
                <w:lang w:eastAsia="zh-CN"/>
              </w:rPr>
              <w:t>0</w:t>
            </w:r>
          </w:p>
        </w:tc>
        <w:tc>
          <w:tcPr>
            <w:tcW w:w="557" w:type="pct"/>
            <w:vAlign w:val="center"/>
          </w:tcPr>
          <w:p w14:paraId="2AD21087" w14:textId="005A742B" w:rsidR="00610143" w:rsidRPr="00610143" w:rsidRDefault="00D54D12" w:rsidP="00610143">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w:t>
            </w:r>
            <w:r>
              <w:rPr>
                <w:rFonts w:ascii="Times New Roman" w:hAnsi="Times New Roman" w:cs="Times New Roman" w:hint="eastAsia"/>
                <w:color w:val="auto"/>
                <w:lang w:eastAsia="zh-CN"/>
              </w:rPr>
              <w:t>100</w:t>
            </w:r>
          </w:p>
        </w:tc>
      </w:tr>
      <w:tr w:rsidR="009A2BAD" w:rsidRPr="00F6033F" w14:paraId="3B728464" w14:textId="57D0E122" w:rsidTr="009A2BAD">
        <w:trPr>
          <w:trHeight w:val="493"/>
          <w:jc w:val="center"/>
        </w:trPr>
        <w:tc>
          <w:tcPr>
            <w:tcW w:w="539" w:type="pct"/>
            <w:vAlign w:val="center"/>
          </w:tcPr>
          <w:p w14:paraId="5F08F431"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铁（</w:t>
            </w:r>
            <w:r w:rsidRPr="00F6033F">
              <w:rPr>
                <w:rFonts w:ascii="Times New Roman" w:hAnsi="Times New Roman" w:cs="Times New Roman"/>
                <w:color w:val="auto"/>
                <w:lang w:eastAsia="zh-CN"/>
              </w:rPr>
              <w:t>mg/L</w:t>
            </w:r>
            <w:r w:rsidRPr="00F6033F">
              <w:rPr>
                <w:rFonts w:ascii="Times New Roman" w:hAnsi="Times New Roman" w:cs="Times New Roman"/>
                <w:color w:val="auto"/>
                <w:lang w:eastAsia="zh-CN"/>
              </w:rPr>
              <w:t>）</w:t>
            </w:r>
          </w:p>
        </w:tc>
        <w:tc>
          <w:tcPr>
            <w:tcW w:w="401" w:type="pct"/>
            <w:vAlign w:val="center"/>
          </w:tcPr>
          <w:p w14:paraId="758CEE83" w14:textId="4DD16FD2"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0.12</w:t>
            </w:r>
          </w:p>
        </w:tc>
        <w:tc>
          <w:tcPr>
            <w:tcW w:w="402" w:type="pct"/>
            <w:vAlign w:val="center"/>
          </w:tcPr>
          <w:p w14:paraId="3AA71B50"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0.16</w:t>
            </w:r>
          </w:p>
        </w:tc>
        <w:tc>
          <w:tcPr>
            <w:tcW w:w="401" w:type="pct"/>
            <w:vAlign w:val="center"/>
          </w:tcPr>
          <w:p w14:paraId="37CFB27E" w14:textId="76BB99BC"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0.14</w:t>
            </w:r>
          </w:p>
        </w:tc>
        <w:tc>
          <w:tcPr>
            <w:tcW w:w="402" w:type="pct"/>
            <w:vAlign w:val="center"/>
          </w:tcPr>
          <w:p w14:paraId="35FF4ADD"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0.10</w:t>
            </w:r>
          </w:p>
        </w:tc>
        <w:tc>
          <w:tcPr>
            <w:tcW w:w="400" w:type="pct"/>
            <w:vAlign w:val="center"/>
          </w:tcPr>
          <w:p w14:paraId="1DE7D7E1"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0.18</w:t>
            </w:r>
          </w:p>
        </w:tc>
        <w:tc>
          <w:tcPr>
            <w:tcW w:w="401" w:type="pct"/>
            <w:vAlign w:val="center"/>
          </w:tcPr>
          <w:p w14:paraId="6251932D"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0.16</w:t>
            </w:r>
          </w:p>
        </w:tc>
        <w:tc>
          <w:tcPr>
            <w:tcW w:w="401" w:type="pct"/>
            <w:vAlign w:val="center"/>
          </w:tcPr>
          <w:p w14:paraId="6E880747" w14:textId="1605C852"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0.12</w:t>
            </w:r>
          </w:p>
        </w:tc>
        <w:tc>
          <w:tcPr>
            <w:tcW w:w="401" w:type="pct"/>
            <w:vAlign w:val="center"/>
          </w:tcPr>
          <w:p w14:paraId="738C1824" w14:textId="76E2B18D"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0.12</w:t>
            </w:r>
          </w:p>
        </w:tc>
        <w:tc>
          <w:tcPr>
            <w:tcW w:w="696" w:type="pct"/>
            <w:vAlign w:val="center"/>
          </w:tcPr>
          <w:p w14:paraId="608705E7"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≤0.3</w:t>
            </w:r>
          </w:p>
        </w:tc>
        <w:tc>
          <w:tcPr>
            <w:tcW w:w="557" w:type="pct"/>
            <w:vAlign w:val="center"/>
          </w:tcPr>
          <w:p w14:paraId="0359CA3E" w14:textId="6075387A" w:rsidR="00610143" w:rsidRPr="00610143" w:rsidRDefault="00D54D12" w:rsidP="00610143">
            <w:pPr>
              <w:widowControl/>
              <w:adjustRightInd w:val="0"/>
              <w:snapToGrid w:val="0"/>
              <w:spacing w:after="0" w:line="240" w:lineRule="auto"/>
              <w:jc w:val="center"/>
              <w:textAlignment w:val="center"/>
              <w:rPr>
                <w:rFonts w:ascii="Times New Roman" w:hAnsi="Times New Roman" w:cs="Times New Roman"/>
                <w:color w:val="auto"/>
                <w:lang w:eastAsia="zh-CN"/>
              </w:rPr>
            </w:pPr>
            <w:r>
              <w:rPr>
                <w:rFonts w:ascii="Times New Roman" w:hAnsi="Times New Roman" w:cs="Times New Roman" w:hint="eastAsia"/>
                <w:color w:val="auto"/>
                <w:lang w:eastAsia="zh-CN"/>
              </w:rPr>
              <w:t>/</w:t>
            </w:r>
          </w:p>
        </w:tc>
      </w:tr>
      <w:tr w:rsidR="009A2BAD" w:rsidRPr="00F6033F" w14:paraId="28DC7C10" w14:textId="26B06DCA" w:rsidTr="009A2BAD">
        <w:trPr>
          <w:trHeight w:val="493"/>
          <w:jc w:val="center"/>
        </w:trPr>
        <w:tc>
          <w:tcPr>
            <w:tcW w:w="539" w:type="pct"/>
            <w:vAlign w:val="center"/>
          </w:tcPr>
          <w:p w14:paraId="334DB8A3"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锰（</w:t>
            </w:r>
            <w:r w:rsidRPr="00F6033F">
              <w:rPr>
                <w:rFonts w:ascii="Times New Roman" w:hAnsi="Times New Roman" w:cs="Times New Roman"/>
                <w:color w:val="auto"/>
                <w:lang w:eastAsia="zh-CN"/>
              </w:rPr>
              <w:t>mg/L</w:t>
            </w:r>
            <w:r w:rsidRPr="00F6033F">
              <w:rPr>
                <w:rFonts w:ascii="Times New Roman" w:hAnsi="Times New Roman" w:cs="Times New Roman"/>
                <w:color w:val="auto"/>
                <w:lang w:eastAsia="zh-CN"/>
              </w:rPr>
              <w:t>）</w:t>
            </w:r>
          </w:p>
        </w:tc>
        <w:tc>
          <w:tcPr>
            <w:tcW w:w="401" w:type="pct"/>
            <w:vAlign w:val="center"/>
          </w:tcPr>
          <w:p w14:paraId="47B1038E"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0.09</w:t>
            </w:r>
          </w:p>
        </w:tc>
        <w:tc>
          <w:tcPr>
            <w:tcW w:w="402" w:type="pct"/>
            <w:vAlign w:val="center"/>
          </w:tcPr>
          <w:p w14:paraId="6CE23D38"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0.06</w:t>
            </w:r>
          </w:p>
        </w:tc>
        <w:tc>
          <w:tcPr>
            <w:tcW w:w="401" w:type="pct"/>
            <w:vAlign w:val="center"/>
          </w:tcPr>
          <w:p w14:paraId="3E5376FE"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0.05</w:t>
            </w:r>
          </w:p>
        </w:tc>
        <w:tc>
          <w:tcPr>
            <w:tcW w:w="402" w:type="pct"/>
            <w:vAlign w:val="center"/>
          </w:tcPr>
          <w:p w14:paraId="2308CC9C"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0.06</w:t>
            </w:r>
          </w:p>
        </w:tc>
        <w:tc>
          <w:tcPr>
            <w:tcW w:w="400" w:type="pct"/>
            <w:vAlign w:val="center"/>
          </w:tcPr>
          <w:p w14:paraId="239E4A73"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0.09</w:t>
            </w:r>
          </w:p>
        </w:tc>
        <w:tc>
          <w:tcPr>
            <w:tcW w:w="401" w:type="pct"/>
            <w:vAlign w:val="center"/>
          </w:tcPr>
          <w:p w14:paraId="0A9AE616"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0.06</w:t>
            </w:r>
          </w:p>
        </w:tc>
        <w:tc>
          <w:tcPr>
            <w:tcW w:w="401" w:type="pct"/>
            <w:vAlign w:val="center"/>
          </w:tcPr>
          <w:p w14:paraId="73799854"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0.05</w:t>
            </w:r>
          </w:p>
        </w:tc>
        <w:tc>
          <w:tcPr>
            <w:tcW w:w="401" w:type="pct"/>
            <w:vAlign w:val="center"/>
          </w:tcPr>
          <w:p w14:paraId="1AD5D384"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0.05</w:t>
            </w:r>
          </w:p>
        </w:tc>
        <w:tc>
          <w:tcPr>
            <w:tcW w:w="696" w:type="pct"/>
            <w:vAlign w:val="center"/>
          </w:tcPr>
          <w:p w14:paraId="18203251" w14:textId="71C25E2A"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≤0.1</w:t>
            </w:r>
          </w:p>
        </w:tc>
        <w:tc>
          <w:tcPr>
            <w:tcW w:w="557" w:type="pct"/>
            <w:vAlign w:val="center"/>
          </w:tcPr>
          <w:p w14:paraId="597099E0" w14:textId="0C047E5C" w:rsidR="00610143" w:rsidRPr="00610143" w:rsidRDefault="00D54D12" w:rsidP="00610143">
            <w:pPr>
              <w:widowControl/>
              <w:adjustRightInd w:val="0"/>
              <w:snapToGrid w:val="0"/>
              <w:spacing w:after="0" w:line="240" w:lineRule="auto"/>
              <w:jc w:val="center"/>
              <w:textAlignment w:val="center"/>
              <w:rPr>
                <w:rFonts w:ascii="Times New Roman" w:hAnsi="Times New Roman" w:cs="Times New Roman"/>
                <w:color w:val="auto"/>
                <w:lang w:eastAsia="zh-CN"/>
              </w:rPr>
            </w:pPr>
            <w:r>
              <w:rPr>
                <w:rFonts w:ascii="Times New Roman" w:hAnsi="Times New Roman" w:cs="Times New Roman" w:hint="eastAsia"/>
                <w:color w:val="auto"/>
                <w:lang w:eastAsia="zh-CN"/>
              </w:rPr>
              <w:t>/</w:t>
            </w:r>
          </w:p>
        </w:tc>
      </w:tr>
      <w:tr w:rsidR="009A2BAD" w:rsidRPr="00F6033F" w14:paraId="3F582ABC" w14:textId="4FCC08C1" w:rsidTr="009A2BAD">
        <w:trPr>
          <w:trHeight w:val="493"/>
          <w:jc w:val="center"/>
        </w:trPr>
        <w:tc>
          <w:tcPr>
            <w:tcW w:w="539" w:type="pct"/>
            <w:vAlign w:val="center"/>
          </w:tcPr>
          <w:p w14:paraId="2D9042BD"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氯离子（</w:t>
            </w:r>
            <w:r w:rsidRPr="00F6033F">
              <w:rPr>
                <w:rFonts w:ascii="Times New Roman" w:hAnsi="Times New Roman" w:cs="Times New Roman"/>
                <w:color w:val="auto"/>
                <w:lang w:eastAsia="zh-CN"/>
              </w:rPr>
              <w:t>mg/L</w:t>
            </w:r>
            <w:r w:rsidRPr="00F6033F">
              <w:rPr>
                <w:rFonts w:ascii="Times New Roman" w:hAnsi="Times New Roman" w:cs="Times New Roman"/>
                <w:color w:val="auto"/>
                <w:lang w:eastAsia="zh-CN"/>
              </w:rPr>
              <w:t>）</w:t>
            </w:r>
          </w:p>
        </w:tc>
        <w:tc>
          <w:tcPr>
            <w:tcW w:w="401" w:type="pct"/>
            <w:vAlign w:val="center"/>
          </w:tcPr>
          <w:p w14:paraId="125D06BC"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63.2</w:t>
            </w:r>
          </w:p>
        </w:tc>
        <w:tc>
          <w:tcPr>
            <w:tcW w:w="402" w:type="pct"/>
            <w:vAlign w:val="center"/>
          </w:tcPr>
          <w:p w14:paraId="15D80502"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65.3</w:t>
            </w:r>
          </w:p>
        </w:tc>
        <w:tc>
          <w:tcPr>
            <w:tcW w:w="401" w:type="pct"/>
            <w:vAlign w:val="center"/>
          </w:tcPr>
          <w:p w14:paraId="1B44E5BC"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66.5</w:t>
            </w:r>
          </w:p>
        </w:tc>
        <w:tc>
          <w:tcPr>
            <w:tcW w:w="402" w:type="pct"/>
            <w:vAlign w:val="center"/>
          </w:tcPr>
          <w:p w14:paraId="3D2E2621"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64.2</w:t>
            </w:r>
          </w:p>
        </w:tc>
        <w:tc>
          <w:tcPr>
            <w:tcW w:w="400" w:type="pct"/>
            <w:vAlign w:val="center"/>
          </w:tcPr>
          <w:p w14:paraId="2E7988BF"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67.8</w:t>
            </w:r>
          </w:p>
        </w:tc>
        <w:tc>
          <w:tcPr>
            <w:tcW w:w="401" w:type="pct"/>
            <w:vAlign w:val="center"/>
          </w:tcPr>
          <w:p w14:paraId="077FC92D"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61.9</w:t>
            </w:r>
          </w:p>
        </w:tc>
        <w:tc>
          <w:tcPr>
            <w:tcW w:w="401" w:type="pct"/>
            <w:vAlign w:val="center"/>
          </w:tcPr>
          <w:p w14:paraId="4C558941" w14:textId="48A3597C"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69.1</w:t>
            </w:r>
          </w:p>
        </w:tc>
        <w:tc>
          <w:tcPr>
            <w:tcW w:w="401" w:type="pct"/>
            <w:vAlign w:val="center"/>
          </w:tcPr>
          <w:p w14:paraId="087F6E84"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68.5</w:t>
            </w:r>
          </w:p>
        </w:tc>
        <w:tc>
          <w:tcPr>
            <w:tcW w:w="696" w:type="pct"/>
            <w:vAlign w:val="center"/>
          </w:tcPr>
          <w:p w14:paraId="1BBF60A6"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≤250</w:t>
            </w:r>
          </w:p>
        </w:tc>
        <w:tc>
          <w:tcPr>
            <w:tcW w:w="557" w:type="pct"/>
            <w:vAlign w:val="center"/>
          </w:tcPr>
          <w:p w14:paraId="6178C0E8" w14:textId="0E73CBBA" w:rsidR="00610143" w:rsidRPr="00610143" w:rsidRDefault="00D54D12" w:rsidP="00610143">
            <w:pPr>
              <w:widowControl/>
              <w:adjustRightInd w:val="0"/>
              <w:snapToGrid w:val="0"/>
              <w:spacing w:after="0" w:line="240" w:lineRule="auto"/>
              <w:jc w:val="center"/>
              <w:textAlignment w:val="center"/>
              <w:rPr>
                <w:rFonts w:ascii="Times New Roman" w:hAnsi="Times New Roman" w:cs="Times New Roman"/>
                <w:color w:val="auto"/>
                <w:lang w:eastAsia="zh-CN"/>
              </w:rPr>
            </w:pPr>
            <w:r>
              <w:rPr>
                <w:rFonts w:ascii="Times New Roman" w:hAnsi="Times New Roman" w:cs="Times New Roman" w:hint="eastAsia"/>
                <w:color w:val="auto"/>
                <w:lang w:eastAsia="zh-CN"/>
              </w:rPr>
              <w:t>/</w:t>
            </w:r>
          </w:p>
        </w:tc>
      </w:tr>
      <w:tr w:rsidR="009A2BAD" w:rsidRPr="00F6033F" w14:paraId="685E7EFA" w14:textId="708D7A97" w:rsidTr="009A2BAD">
        <w:trPr>
          <w:trHeight w:val="495"/>
          <w:jc w:val="center"/>
        </w:trPr>
        <w:tc>
          <w:tcPr>
            <w:tcW w:w="539" w:type="pct"/>
            <w:vAlign w:val="center"/>
          </w:tcPr>
          <w:p w14:paraId="346C3554" w14:textId="77777777" w:rsidR="00610143" w:rsidRPr="004208C5"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4208C5">
              <w:rPr>
                <w:rFonts w:ascii="Times New Roman" w:hAnsi="Times New Roman" w:cs="Times New Roman"/>
                <w:color w:val="auto"/>
                <w:lang w:eastAsia="zh-CN"/>
              </w:rPr>
              <w:t>二氧化硅（</w:t>
            </w:r>
            <w:r w:rsidRPr="004208C5">
              <w:rPr>
                <w:rFonts w:ascii="Times New Roman" w:hAnsi="Times New Roman" w:cs="Times New Roman"/>
                <w:color w:val="auto"/>
                <w:lang w:eastAsia="zh-CN"/>
              </w:rPr>
              <w:t>mg/L</w:t>
            </w:r>
            <w:r w:rsidRPr="004208C5">
              <w:rPr>
                <w:rFonts w:ascii="Times New Roman" w:hAnsi="Times New Roman" w:cs="Times New Roman"/>
                <w:color w:val="auto"/>
                <w:lang w:eastAsia="zh-CN"/>
              </w:rPr>
              <w:t>）</w:t>
            </w:r>
          </w:p>
        </w:tc>
        <w:tc>
          <w:tcPr>
            <w:tcW w:w="401" w:type="pct"/>
            <w:vAlign w:val="center"/>
          </w:tcPr>
          <w:p w14:paraId="3646B8D9" w14:textId="77777777" w:rsidR="00610143" w:rsidRPr="004208C5" w:rsidRDefault="00610143" w:rsidP="00610143">
            <w:pPr>
              <w:widowControl/>
              <w:adjustRightInd w:val="0"/>
              <w:snapToGrid w:val="0"/>
              <w:spacing w:after="0" w:line="240" w:lineRule="auto"/>
              <w:ind w:left="226"/>
              <w:textAlignment w:val="center"/>
              <w:rPr>
                <w:rFonts w:ascii="Times New Roman" w:hAnsi="Times New Roman" w:cs="Times New Roman"/>
                <w:color w:val="auto"/>
                <w:lang w:eastAsia="zh-CN"/>
              </w:rPr>
            </w:pPr>
            <w:r w:rsidRPr="004208C5">
              <w:rPr>
                <w:rFonts w:ascii="Times New Roman" w:hAnsi="Times New Roman" w:cs="Times New Roman"/>
                <w:color w:val="auto"/>
                <w:lang w:eastAsia="zh-CN"/>
              </w:rPr>
              <w:t>29</w:t>
            </w:r>
          </w:p>
        </w:tc>
        <w:tc>
          <w:tcPr>
            <w:tcW w:w="402" w:type="pct"/>
            <w:vAlign w:val="center"/>
          </w:tcPr>
          <w:p w14:paraId="522E34CC" w14:textId="77777777" w:rsidR="00610143" w:rsidRPr="004208C5" w:rsidRDefault="00610143" w:rsidP="00610143">
            <w:pPr>
              <w:widowControl/>
              <w:adjustRightInd w:val="0"/>
              <w:snapToGrid w:val="0"/>
              <w:spacing w:after="0" w:line="240" w:lineRule="auto"/>
              <w:ind w:left="229"/>
              <w:textAlignment w:val="center"/>
              <w:rPr>
                <w:rFonts w:ascii="Times New Roman" w:hAnsi="Times New Roman" w:cs="Times New Roman"/>
                <w:color w:val="auto"/>
                <w:lang w:eastAsia="zh-CN"/>
              </w:rPr>
            </w:pPr>
            <w:r w:rsidRPr="004208C5">
              <w:rPr>
                <w:rFonts w:ascii="Times New Roman" w:hAnsi="Times New Roman" w:cs="Times New Roman"/>
                <w:color w:val="auto"/>
                <w:lang w:eastAsia="zh-CN"/>
              </w:rPr>
              <w:t>31</w:t>
            </w:r>
          </w:p>
        </w:tc>
        <w:tc>
          <w:tcPr>
            <w:tcW w:w="401" w:type="pct"/>
            <w:vAlign w:val="center"/>
          </w:tcPr>
          <w:p w14:paraId="51AC5963" w14:textId="77777777" w:rsidR="00610143" w:rsidRPr="004208C5" w:rsidRDefault="00610143" w:rsidP="00610143">
            <w:pPr>
              <w:widowControl/>
              <w:adjustRightInd w:val="0"/>
              <w:snapToGrid w:val="0"/>
              <w:spacing w:after="0" w:line="240" w:lineRule="auto"/>
              <w:ind w:left="229"/>
              <w:textAlignment w:val="center"/>
              <w:rPr>
                <w:rFonts w:ascii="Times New Roman" w:hAnsi="Times New Roman" w:cs="Times New Roman"/>
                <w:color w:val="auto"/>
                <w:lang w:eastAsia="zh-CN"/>
              </w:rPr>
            </w:pPr>
            <w:r w:rsidRPr="004208C5">
              <w:rPr>
                <w:rFonts w:ascii="Times New Roman" w:hAnsi="Times New Roman" w:cs="Times New Roman"/>
                <w:color w:val="auto"/>
                <w:lang w:eastAsia="zh-CN"/>
              </w:rPr>
              <w:t>33</w:t>
            </w:r>
          </w:p>
        </w:tc>
        <w:tc>
          <w:tcPr>
            <w:tcW w:w="402" w:type="pct"/>
            <w:vAlign w:val="center"/>
          </w:tcPr>
          <w:p w14:paraId="5BEE1EA7" w14:textId="77777777" w:rsidR="00610143" w:rsidRPr="004208C5" w:rsidRDefault="00610143" w:rsidP="00610143">
            <w:pPr>
              <w:widowControl/>
              <w:adjustRightInd w:val="0"/>
              <w:snapToGrid w:val="0"/>
              <w:spacing w:after="0" w:line="240" w:lineRule="auto"/>
              <w:ind w:left="226"/>
              <w:textAlignment w:val="center"/>
              <w:rPr>
                <w:rFonts w:ascii="Times New Roman" w:hAnsi="Times New Roman" w:cs="Times New Roman"/>
                <w:color w:val="auto"/>
                <w:lang w:eastAsia="zh-CN"/>
              </w:rPr>
            </w:pPr>
            <w:r w:rsidRPr="004208C5">
              <w:rPr>
                <w:rFonts w:ascii="Times New Roman" w:hAnsi="Times New Roman" w:cs="Times New Roman"/>
                <w:color w:val="auto"/>
                <w:lang w:eastAsia="zh-CN"/>
              </w:rPr>
              <w:t>26</w:t>
            </w:r>
          </w:p>
        </w:tc>
        <w:tc>
          <w:tcPr>
            <w:tcW w:w="400" w:type="pct"/>
            <w:vAlign w:val="center"/>
          </w:tcPr>
          <w:p w14:paraId="591AD7E4" w14:textId="77777777" w:rsidR="00610143" w:rsidRPr="004208C5" w:rsidRDefault="00610143" w:rsidP="00610143">
            <w:pPr>
              <w:widowControl/>
              <w:adjustRightInd w:val="0"/>
              <w:snapToGrid w:val="0"/>
              <w:spacing w:after="0" w:line="240" w:lineRule="auto"/>
              <w:ind w:left="225"/>
              <w:textAlignment w:val="center"/>
              <w:rPr>
                <w:rFonts w:ascii="Times New Roman" w:hAnsi="Times New Roman" w:cs="Times New Roman"/>
                <w:color w:val="auto"/>
                <w:lang w:eastAsia="zh-CN"/>
              </w:rPr>
            </w:pPr>
            <w:r w:rsidRPr="004208C5">
              <w:rPr>
                <w:rFonts w:ascii="Times New Roman" w:hAnsi="Times New Roman" w:cs="Times New Roman"/>
                <w:color w:val="auto"/>
                <w:lang w:eastAsia="zh-CN"/>
              </w:rPr>
              <w:t>28</w:t>
            </w:r>
          </w:p>
        </w:tc>
        <w:tc>
          <w:tcPr>
            <w:tcW w:w="401" w:type="pct"/>
            <w:vAlign w:val="center"/>
          </w:tcPr>
          <w:p w14:paraId="75D91CE4" w14:textId="77777777" w:rsidR="00610143" w:rsidRPr="004208C5" w:rsidRDefault="00610143" w:rsidP="00610143">
            <w:pPr>
              <w:widowControl/>
              <w:adjustRightInd w:val="0"/>
              <w:snapToGrid w:val="0"/>
              <w:spacing w:after="0" w:line="240" w:lineRule="auto"/>
              <w:ind w:left="232"/>
              <w:textAlignment w:val="center"/>
              <w:rPr>
                <w:rFonts w:ascii="Times New Roman" w:hAnsi="Times New Roman" w:cs="Times New Roman"/>
                <w:color w:val="auto"/>
                <w:lang w:eastAsia="zh-CN"/>
              </w:rPr>
            </w:pPr>
            <w:r w:rsidRPr="004208C5">
              <w:rPr>
                <w:rFonts w:ascii="Times New Roman" w:hAnsi="Times New Roman" w:cs="Times New Roman"/>
                <w:color w:val="auto"/>
                <w:lang w:eastAsia="zh-CN"/>
              </w:rPr>
              <w:t>30</w:t>
            </w:r>
          </w:p>
        </w:tc>
        <w:tc>
          <w:tcPr>
            <w:tcW w:w="401" w:type="pct"/>
            <w:vAlign w:val="center"/>
          </w:tcPr>
          <w:p w14:paraId="25365994" w14:textId="77777777" w:rsidR="00610143" w:rsidRPr="004208C5" w:rsidRDefault="00610143" w:rsidP="00610143">
            <w:pPr>
              <w:widowControl/>
              <w:adjustRightInd w:val="0"/>
              <w:snapToGrid w:val="0"/>
              <w:spacing w:after="0" w:line="240" w:lineRule="auto"/>
              <w:ind w:left="226"/>
              <w:textAlignment w:val="center"/>
              <w:rPr>
                <w:rFonts w:ascii="Times New Roman" w:hAnsi="Times New Roman" w:cs="Times New Roman"/>
                <w:color w:val="auto"/>
                <w:lang w:eastAsia="zh-CN"/>
              </w:rPr>
            </w:pPr>
            <w:r w:rsidRPr="004208C5">
              <w:rPr>
                <w:rFonts w:ascii="Times New Roman" w:hAnsi="Times New Roman" w:cs="Times New Roman"/>
                <w:color w:val="auto"/>
                <w:lang w:eastAsia="zh-CN"/>
              </w:rPr>
              <w:t>25</w:t>
            </w:r>
          </w:p>
        </w:tc>
        <w:tc>
          <w:tcPr>
            <w:tcW w:w="401" w:type="pct"/>
            <w:vAlign w:val="center"/>
          </w:tcPr>
          <w:p w14:paraId="31175B42" w14:textId="77777777" w:rsidR="00610143" w:rsidRPr="004208C5" w:rsidRDefault="00610143" w:rsidP="00610143">
            <w:pPr>
              <w:widowControl/>
              <w:adjustRightInd w:val="0"/>
              <w:snapToGrid w:val="0"/>
              <w:spacing w:after="0" w:line="240" w:lineRule="auto"/>
              <w:ind w:left="230"/>
              <w:textAlignment w:val="center"/>
              <w:rPr>
                <w:rFonts w:ascii="Times New Roman" w:hAnsi="Times New Roman" w:cs="Times New Roman"/>
                <w:color w:val="auto"/>
                <w:lang w:eastAsia="zh-CN"/>
              </w:rPr>
            </w:pPr>
            <w:r w:rsidRPr="004208C5">
              <w:rPr>
                <w:rFonts w:ascii="Times New Roman" w:hAnsi="Times New Roman" w:cs="Times New Roman"/>
                <w:color w:val="auto"/>
                <w:lang w:eastAsia="zh-CN"/>
              </w:rPr>
              <w:t>32</w:t>
            </w:r>
          </w:p>
        </w:tc>
        <w:tc>
          <w:tcPr>
            <w:tcW w:w="696" w:type="pct"/>
            <w:vAlign w:val="center"/>
          </w:tcPr>
          <w:p w14:paraId="6814BA4E" w14:textId="0C8CC657" w:rsidR="00610143" w:rsidRPr="004208C5" w:rsidRDefault="00610143" w:rsidP="00610143">
            <w:pPr>
              <w:widowControl/>
              <w:adjustRightInd w:val="0"/>
              <w:snapToGrid w:val="0"/>
              <w:spacing w:after="0" w:line="240" w:lineRule="auto"/>
              <w:ind w:left="444"/>
              <w:textAlignment w:val="center"/>
              <w:rPr>
                <w:rFonts w:ascii="Times New Roman" w:hAnsi="Times New Roman" w:cs="Times New Roman"/>
                <w:color w:val="auto"/>
                <w:lang w:eastAsia="zh-CN"/>
              </w:rPr>
            </w:pPr>
            <w:r w:rsidRPr="004208C5">
              <w:rPr>
                <w:rFonts w:ascii="Times New Roman" w:hAnsi="Times New Roman" w:cs="Times New Roman"/>
                <w:color w:val="auto"/>
                <w:lang w:eastAsia="zh-CN"/>
              </w:rPr>
              <w:t>≤</w:t>
            </w:r>
            <w:r w:rsidR="00262ECA" w:rsidRPr="004208C5">
              <w:rPr>
                <w:rFonts w:ascii="Times New Roman" w:hAnsi="Times New Roman" w:cs="Times New Roman" w:hint="eastAsia"/>
                <w:color w:val="auto"/>
                <w:lang w:eastAsia="zh-CN"/>
              </w:rPr>
              <w:t>3</w:t>
            </w:r>
            <w:r w:rsidRPr="004208C5">
              <w:rPr>
                <w:rFonts w:ascii="Times New Roman" w:hAnsi="Times New Roman" w:cs="Times New Roman"/>
                <w:color w:val="auto"/>
                <w:lang w:eastAsia="zh-CN"/>
              </w:rPr>
              <w:t>0</w:t>
            </w:r>
          </w:p>
        </w:tc>
        <w:tc>
          <w:tcPr>
            <w:tcW w:w="557" w:type="pct"/>
            <w:vAlign w:val="center"/>
          </w:tcPr>
          <w:p w14:paraId="7EA4EBC9" w14:textId="0B5B4EE7" w:rsidR="00610143" w:rsidRPr="004208C5" w:rsidRDefault="00D54D12" w:rsidP="00610143">
            <w:pPr>
              <w:widowControl/>
              <w:adjustRightInd w:val="0"/>
              <w:snapToGrid w:val="0"/>
              <w:spacing w:after="0" w:line="240" w:lineRule="auto"/>
              <w:jc w:val="center"/>
              <w:textAlignment w:val="center"/>
              <w:rPr>
                <w:rFonts w:ascii="Times New Roman" w:hAnsi="Times New Roman" w:cs="Times New Roman"/>
                <w:color w:val="auto"/>
                <w:lang w:eastAsia="zh-CN"/>
              </w:rPr>
            </w:pPr>
            <w:r w:rsidRPr="004208C5">
              <w:rPr>
                <w:rFonts w:ascii="Times New Roman" w:hAnsi="Times New Roman" w:cs="Times New Roman" w:hint="eastAsia"/>
                <w:color w:val="auto"/>
                <w:lang w:eastAsia="zh-CN"/>
              </w:rPr>
              <w:t>/</w:t>
            </w:r>
          </w:p>
        </w:tc>
      </w:tr>
      <w:tr w:rsidR="009A2BAD" w:rsidRPr="00F6033F" w14:paraId="2B10424A" w14:textId="17F684D1" w:rsidTr="009A2BAD">
        <w:trPr>
          <w:trHeight w:val="497"/>
          <w:jc w:val="center"/>
        </w:trPr>
        <w:tc>
          <w:tcPr>
            <w:tcW w:w="539" w:type="pct"/>
            <w:vAlign w:val="center"/>
          </w:tcPr>
          <w:p w14:paraId="0C3A21C1"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总硬度（</w:t>
            </w:r>
            <w:r w:rsidRPr="00F6033F">
              <w:rPr>
                <w:rFonts w:ascii="Times New Roman" w:hAnsi="Times New Roman" w:cs="Times New Roman"/>
                <w:color w:val="auto"/>
                <w:lang w:eastAsia="zh-CN"/>
              </w:rPr>
              <w:t>mg/L</w:t>
            </w:r>
            <w:r w:rsidRPr="00F6033F">
              <w:rPr>
                <w:rFonts w:ascii="Times New Roman" w:hAnsi="Times New Roman" w:cs="Times New Roman"/>
                <w:color w:val="auto"/>
                <w:lang w:eastAsia="zh-CN"/>
              </w:rPr>
              <w:t>）</w:t>
            </w:r>
          </w:p>
        </w:tc>
        <w:tc>
          <w:tcPr>
            <w:tcW w:w="401" w:type="pct"/>
            <w:vAlign w:val="center"/>
          </w:tcPr>
          <w:p w14:paraId="2D2D8FED"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237</w:t>
            </w:r>
          </w:p>
        </w:tc>
        <w:tc>
          <w:tcPr>
            <w:tcW w:w="402" w:type="pct"/>
            <w:vAlign w:val="center"/>
          </w:tcPr>
          <w:p w14:paraId="47F75462"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245</w:t>
            </w:r>
          </w:p>
        </w:tc>
        <w:tc>
          <w:tcPr>
            <w:tcW w:w="401" w:type="pct"/>
            <w:vAlign w:val="center"/>
          </w:tcPr>
          <w:p w14:paraId="766D12E8"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233</w:t>
            </w:r>
          </w:p>
        </w:tc>
        <w:tc>
          <w:tcPr>
            <w:tcW w:w="402" w:type="pct"/>
            <w:vAlign w:val="center"/>
          </w:tcPr>
          <w:p w14:paraId="517B5048"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249</w:t>
            </w:r>
          </w:p>
        </w:tc>
        <w:tc>
          <w:tcPr>
            <w:tcW w:w="400" w:type="pct"/>
            <w:vAlign w:val="center"/>
          </w:tcPr>
          <w:p w14:paraId="02C3B9B2"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239</w:t>
            </w:r>
          </w:p>
        </w:tc>
        <w:tc>
          <w:tcPr>
            <w:tcW w:w="401" w:type="pct"/>
            <w:vAlign w:val="center"/>
          </w:tcPr>
          <w:p w14:paraId="29B7857B"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246</w:t>
            </w:r>
          </w:p>
        </w:tc>
        <w:tc>
          <w:tcPr>
            <w:tcW w:w="401" w:type="pct"/>
            <w:vAlign w:val="center"/>
          </w:tcPr>
          <w:p w14:paraId="008892C9"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238</w:t>
            </w:r>
          </w:p>
        </w:tc>
        <w:tc>
          <w:tcPr>
            <w:tcW w:w="401" w:type="pct"/>
            <w:vAlign w:val="center"/>
          </w:tcPr>
          <w:p w14:paraId="1273DDFF"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241</w:t>
            </w:r>
          </w:p>
        </w:tc>
        <w:tc>
          <w:tcPr>
            <w:tcW w:w="696" w:type="pct"/>
            <w:vAlign w:val="center"/>
          </w:tcPr>
          <w:p w14:paraId="0218433A"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≤450</w:t>
            </w:r>
          </w:p>
        </w:tc>
        <w:tc>
          <w:tcPr>
            <w:tcW w:w="557" w:type="pct"/>
            <w:vAlign w:val="center"/>
          </w:tcPr>
          <w:p w14:paraId="67521712" w14:textId="48EEAD76" w:rsidR="00610143" w:rsidRPr="00610143" w:rsidRDefault="00D54D12" w:rsidP="00610143">
            <w:pPr>
              <w:widowControl/>
              <w:adjustRightInd w:val="0"/>
              <w:snapToGrid w:val="0"/>
              <w:spacing w:after="0" w:line="240" w:lineRule="auto"/>
              <w:jc w:val="center"/>
              <w:textAlignment w:val="center"/>
              <w:rPr>
                <w:rFonts w:ascii="Times New Roman" w:hAnsi="Times New Roman" w:cs="Times New Roman"/>
                <w:color w:val="auto"/>
                <w:lang w:eastAsia="zh-CN"/>
              </w:rPr>
            </w:pPr>
            <w:r>
              <w:rPr>
                <w:rFonts w:ascii="Times New Roman" w:hAnsi="Times New Roman" w:cs="Times New Roman" w:hint="eastAsia"/>
                <w:color w:val="auto"/>
                <w:lang w:eastAsia="zh-CN"/>
              </w:rPr>
              <w:t>/</w:t>
            </w:r>
          </w:p>
        </w:tc>
      </w:tr>
      <w:tr w:rsidR="009A2BAD" w:rsidRPr="00F6033F" w14:paraId="4AF47D46" w14:textId="534C02E0" w:rsidTr="009A2BAD">
        <w:trPr>
          <w:trHeight w:val="493"/>
          <w:jc w:val="center"/>
        </w:trPr>
        <w:tc>
          <w:tcPr>
            <w:tcW w:w="539" w:type="pct"/>
            <w:vAlign w:val="center"/>
          </w:tcPr>
          <w:p w14:paraId="29CBD418"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总碱度（</w:t>
            </w:r>
            <w:r w:rsidRPr="00F6033F">
              <w:rPr>
                <w:rFonts w:ascii="Times New Roman" w:hAnsi="Times New Roman" w:cs="Times New Roman"/>
                <w:color w:val="auto"/>
                <w:lang w:eastAsia="zh-CN"/>
              </w:rPr>
              <w:t>mg/L</w:t>
            </w:r>
            <w:r w:rsidRPr="00F6033F">
              <w:rPr>
                <w:rFonts w:ascii="Times New Roman" w:hAnsi="Times New Roman" w:cs="Times New Roman"/>
                <w:color w:val="auto"/>
                <w:lang w:eastAsia="zh-CN"/>
              </w:rPr>
              <w:t>）</w:t>
            </w:r>
          </w:p>
        </w:tc>
        <w:tc>
          <w:tcPr>
            <w:tcW w:w="401" w:type="pct"/>
            <w:vAlign w:val="center"/>
          </w:tcPr>
          <w:p w14:paraId="0B9473F0"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284</w:t>
            </w:r>
          </w:p>
        </w:tc>
        <w:tc>
          <w:tcPr>
            <w:tcW w:w="402" w:type="pct"/>
            <w:vAlign w:val="center"/>
          </w:tcPr>
          <w:p w14:paraId="59308225"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276</w:t>
            </w:r>
          </w:p>
        </w:tc>
        <w:tc>
          <w:tcPr>
            <w:tcW w:w="401" w:type="pct"/>
            <w:vAlign w:val="center"/>
          </w:tcPr>
          <w:p w14:paraId="34FDBBFB"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280</w:t>
            </w:r>
          </w:p>
        </w:tc>
        <w:tc>
          <w:tcPr>
            <w:tcW w:w="402" w:type="pct"/>
            <w:vAlign w:val="center"/>
          </w:tcPr>
          <w:p w14:paraId="05214D4D"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273</w:t>
            </w:r>
          </w:p>
        </w:tc>
        <w:tc>
          <w:tcPr>
            <w:tcW w:w="400" w:type="pct"/>
            <w:vAlign w:val="center"/>
          </w:tcPr>
          <w:p w14:paraId="699F3087"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268</w:t>
            </w:r>
          </w:p>
        </w:tc>
        <w:tc>
          <w:tcPr>
            <w:tcW w:w="401" w:type="pct"/>
            <w:vAlign w:val="center"/>
          </w:tcPr>
          <w:p w14:paraId="1B1595AB"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275</w:t>
            </w:r>
          </w:p>
        </w:tc>
        <w:tc>
          <w:tcPr>
            <w:tcW w:w="401" w:type="pct"/>
            <w:vAlign w:val="center"/>
          </w:tcPr>
          <w:p w14:paraId="261B86CE"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271</w:t>
            </w:r>
          </w:p>
        </w:tc>
        <w:tc>
          <w:tcPr>
            <w:tcW w:w="401" w:type="pct"/>
            <w:vAlign w:val="center"/>
          </w:tcPr>
          <w:p w14:paraId="090F63D5"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277</w:t>
            </w:r>
          </w:p>
        </w:tc>
        <w:tc>
          <w:tcPr>
            <w:tcW w:w="696" w:type="pct"/>
            <w:vAlign w:val="center"/>
          </w:tcPr>
          <w:p w14:paraId="2E75916F"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≤350</w:t>
            </w:r>
          </w:p>
        </w:tc>
        <w:tc>
          <w:tcPr>
            <w:tcW w:w="557" w:type="pct"/>
            <w:vAlign w:val="center"/>
          </w:tcPr>
          <w:p w14:paraId="26173673" w14:textId="078174E4" w:rsidR="00610143" w:rsidRPr="00610143" w:rsidRDefault="00D54D12" w:rsidP="00610143">
            <w:pPr>
              <w:widowControl/>
              <w:adjustRightInd w:val="0"/>
              <w:snapToGrid w:val="0"/>
              <w:spacing w:after="0" w:line="240" w:lineRule="auto"/>
              <w:jc w:val="center"/>
              <w:textAlignment w:val="center"/>
              <w:rPr>
                <w:rFonts w:ascii="Times New Roman" w:hAnsi="Times New Roman" w:cs="Times New Roman"/>
                <w:color w:val="auto"/>
                <w:lang w:eastAsia="zh-CN"/>
              </w:rPr>
            </w:pPr>
            <w:r>
              <w:rPr>
                <w:rFonts w:ascii="Times New Roman" w:hAnsi="Times New Roman" w:cs="Times New Roman" w:hint="eastAsia"/>
                <w:color w:val="auto"/>
                <w:lang w:eastAsia="zh-CN"/>
              </w:rPr>
              <w:t>/</w:t>
            </w:r>
          </w:p>
        </w:tc>
      </w:tr>
      <w:tr w:rsidR="009A2BAD" w:rsidRPr="00F6033F" w14:paraId="0430E834" w14:textId="6390A2E8" w:rsidTr="009A2BAD">
        <w:trPr>
          <w:trHeight w:val="492"/>
          <w:jc w:val="center"/>
        </w:trPr>
        <w:tc>
          <w:tcPr>
            <w:tcW w:w="539" w:type="pct"/>
            <w:vAlign w:val="center"/>
          </w:tcPr>
          <w:p w14:paraId="2076C511"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硫酸盐（</w:t>
            </w:r>
            <w:r w:rsidRPr="00F6033F">
              <w:rPr>
                <w:rFonts w:ascii="Times New Roman" w:hAnsi="Times New Roman" w:cs="Times New Roman"/>
                <w:color w:val="auto"/>
                <w:lang w:eastAsia="zh-CN"/>
              </w:rPr>
              <w:t>mg/L</w:t>
            </w:r>
            <w:r w:rsidRPr="00F6033F">
              <w:rPr>
                <w:rFonts w:ascii="Times New Roman" w:hAnsi="Times New Roman" w:cs="Times New Roman"/>
                <w:color w:val="auto"/>
                <w:lang w:eastAsia="zh-CN"/>
              </w:rPr>
              <w:t>）</w:t>
            </w:r>
          </w:p>
        </w:tc>
        <w:tc>
          <w:tcPr>
            <w:tcW w:w="401" w:type="pct"/>
            <w:vAlign w:val="center"/>
          </w:tcPr>
          <w:p w14:paraId="0772E077"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73.5</w:t>
            </w:r>
          </w:p>
        </w:tc>
        <w:tc>
          <w:tcPr>
            <w:tcW w:w="402" w:type="pct"/>
            <w:vAlign w:val="center"/>
          </w:tcPr>
          <w:p w14:paraId="5D19ED0D"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75.8</w:t>
            </w:r>
          </w:p>
        </w:tc>
        <w:tc>
          <w:tcPr>
            <w:tcW w:w="401" w:type="pct"/>
            <w:vAlign w:val="center"/>
          </w:tcPr>
          <w:p w14:paraId="46A7F1ED"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74.2</w:t>
            </w:r>
          </w:p>
        </w:tc>
        <w:tc>
          <w:tcPr>
            <w:tcW w:w="402" w:type="pct"/>
            <w:vAlign w:val="center"/>
          </w:tcPr>
          <w:p w14:paraId="33F8E1A6"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72.8</w:t>
            </w:r>
          </w:p>
        </w:tc>
        <w:tc>
          <w:tcPr>
            <w:tcW w:w="400" w:type="pct"/>
            <w:vAlign w:val="center"/>
          </w:tcPr>
          <w:p w14:paraId="6DF55AE5"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76.6</w:t>
            </w:r>
          </w:p>
        </w:tc>
        <w:tc>
          <w:tcPr>
            <w:tcW w:w="401" w:type="pct"/>
            <w:vAlign w:val="center"/>
          </w:tcPr>
          <w:p w14:paraId="78ACE8DE"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73.7</w:t>
            </w:r>
          </w:p>
        </w:tc>
        <w:tc>
          <w:tcPr>
            <w:tcW w:w="401" w:type="pct"/>
            <w:vAlign w:val="center"/>
          </w:tcPr>
          <w:p w14:paraId="1C6E7939"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78.5</w:t>
            </w:r>
          </w:p>
        </w:tc>
        <w:tc>
          <w:tcPr>
            <w:tcW w:w="401" w:type="pct"/>
            <w:vAlign w:val="center"/>
          </w:tcPr>
          <w:p w14:paraId="552D3AD3"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76.1</w:t>
            </w:r>
          </w:p>
        </w:tc>
        <w:tc>
          <w:tcPr>
            <w:tcW w:w="696" w:type="pct"/>
            <w:vAlign w:val="center"/>
          </w:tcPr>
          <w:p w14:paraId="4336968E"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≤250</w:t>
            </w:r>
          </w:p>
        </w:tc>
        <w:tc>
          <w:tcPr>
            <w:tcW w:w="557" w:type="pct"/>
            <w:vAlign w:val="center"/>
          </w:tcPr>
          <w:p w14:paraId="3EC682E9" w14:textId="0C6E0D52" w:rsidR="00610143" w:rsidRPr="00610143" w:rsidRDefault="00D54D12" w:rsidP="00610143">
            <w:pPr>
              <w:widowControl/>
              <w:adjustRightInd w:val="0"/>
              <w:snapToGrid w:val="0"/>
              <w:spacing w:after="0" w:line="240" w:lineRule="auto"/>
              <w:jc w:val="center"/>
              <w:textAlignment w:val="center"/>
              <w:rPr>
                <w:rFonts w:ascii="Times New Roman" w:hAnsi="Times New Roman" w:cs="Times New Roman"/>
                <w:color w:val="auto"/>
                <w:lang w:eastAsia="zh-CN"/>
              </w:rPr>
            </w:pPr>
            <w:r>
              <w:rPr>
                <w:rFonts w:ascii="Times New Roman" w:hAnsi="Times New Roman" w:cs="Times New Roman" w:hint="eastAsia"/>
                <w:color w:val="auto"/>
                <w:lang w:eastAsia="zh-CN"/>
              </w:rPr>
              <w:t>/</w:t>
            </w:r>
          </w:p>
        </w:tc>
      </w:tr>
      <w:tr w:rsidR="009A2BAD" w:rsidRPr="00F6033F" w14:paraId="3C7BD485" w14:textId="6098FC4F" w:rsidTr="009A2BAD">
        <w:trPr>
          <w:trHeight w:val="492"/>
          <w:jc w:val="center"/>
        </w:trPr>
        <w:tc>
          <w:tcPr>
            <w:tcW w:w="539" w:type="pct"/>
            <w:vAlign w:val="center"/>
          </w:tcPr>
          <w:p w14:paraId="6348D0B4"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氨氮（</w:t>
            </w:r>
            <w:r w:rsidRPr="00F6033F">
              <w:rPr>
                <w:rFonts w:ascii="Times New Roman" w:hAnsi="Times New Roman" w:cs="Times New Roman"/>
                <w:color w:val="auto"/>
                <w:lang w:eastAsia="zh-CN"/>
              </w:rPr>
              <w:t>mg/L</w:t>
            </w:r>
            <w:r w:rsidRPr="00F6033F">
              <w:rPr>
                <w:rFonts w:ascii="Times New Roman" w:hAnsi="Times New Roman" w:cs="Times New Roman"/>
                <w:color w:val="auto"/>
                <w:lang w:eastAsia="zh-CN"/>
              </w:rPr>
              <w:t>）</w:t>
            </w:r>
          </w:p>
        </w:tc>
        <w:tc>
          <w:tcPr>
            <w:tcW w:w="401" w:type="pct"/>
            <w:vAlign w:val="center"/>
          </w:tcPr>
          <w:p w14:paraId="7B7B83F8"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0.379</w:t>
            </w:r>
          </w:p>
        </w:tc>
        <w:tc>
          <w:tcPr>
            <w:tcW w:w="402" w:type="pct"/>
            <w:vAlign w:val="center"/>
          </w:tcPr>
          <w:p w14:paraId="4C82C797"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0.375</w:t>
            </w:r>
          </w:p>
        </w:tc>
        <w:tc>
          <w:tcPr>
            <w:tcW w:w="401" w:type="pct"/>
            <w:vAlign w:val="center"/>
          </w:tcPr>
          <w:p w14:paraId="502FC77E"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0.372</w:t>
            </w:r>
          </w:p>
        </w:tc>
        <w:tc>
          <w:tcPr>
            <w:tcW w:w="402" w:type="pct"/>
            <w:vAlign w:val="center"/>
          </w:tcPr>
          <w:p w14:paraId="54050C3B"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0.381</w:t>
            </w:r>
          </w:p>
        </w:tc>
        <w:tc>
          <w:tcPr>
            <w:tcW w:w="400" w:type="pct"/>
            <w:vAlign w:val="center"/>
          </w:tcPr>
          <w:p w14:paraId="60B31D02"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0.377</w:t>
            </w:r>
          </w:p>
        </w:tc>
        <w:tc>
          <w:tcPr>
            <w:tcW w:w="401" w:type="pct"/>
            <w:vAlign w:val="center"/>
          </w:tcPr>
          <w:p w14:paraId="526CACF1"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0.374</w:t>
            </w:r>
          </w:p>
        </w:tc>
        <w:tc>
          <w:tcPr>
            <w:tcW w:w="401" w:type="pct"/>
            <w:vAlign w:val="center"/>
          </w:tcPr>
          <w:p w14:paraId="2E3383E0"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0.372</w:t>
            </w:r>
          </w:p>
        </w:tc>
        <w:tc>
          <w:tcPr>
            <w:tcW w:w="401" w:type="pct"/>
            <w:vAlign w:val="center"/>
          </w:tcPr>
          <w:p w14:paraId="0956F88D"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0.383</w:t>
            </w:r>
          </w:p>
        </w:tc>
        <w:tc>
          <w:tcPr>
            <w:tcW w:w="696" w:type="pct"/>
            <w:vAlign w:val="center"/>
          </w:tcPr>
          <w:p w14:paraId="6889FA55" w14:textId="5E0CC626"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w:t>
            </w:r>
            <w:r w:rsidR="00262ECA">
              <w:rPr>
                <w:rFonts w:ascii="Times New Roman" w:hAnsi="Times New Roman" w:cs="Times New Roman" w:hint="eastAsia"/>
                <w:color w:val="auto"/>
                <w:lang w:eastAsia="zh-CN"/>
              </w:rPr>
              <w:t>1</w:t>
            </w:r>
          </w:p>
        </w:tc>
        <w:tc>
          <w:tcPr>
            <w:tcW w:w="557" w:type="pct"/>
            <w:vAlign w:val="center"/>
          </w:tcPr>
          <w:p w14:paraId="68145078" w14:textId="1AA1CA9D" w:rsidR="00610143" w:rsidRPr="00610143" w:rsidRDefault="00D54D12" w:rsidP="00610143">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w:t>
            </w:r>
            <w:r>
              <w:rPr>
                <w:rFonts w:ascii="Times New Roman" w:hAnsi="Times New Roman" w:cs="Times New Roman" w:hint="eastAsia"/>
                <w:color w:val="auto"/>
                <w:lang w:eastAsia="zh-CN"/>
              </w:rPr>
              <w:t>25</w:t>
            </w:r>
          </w:p>
        </w:tc>
      </w:tr>
      <w:tr w:rsidR="009A2BAD" w:rsidRPr="00F6033F" w14:paraId="2F3AE743" w14:textId="6E5FE967" w:rsidTr="009A2BAD">
        <w:trPr>
          <w:trHeight w:val="493"/>
          <w:jc w:val="center"/>
        </w:trPr>
        <w:tc>
          <w:tcPr>
            <w:tcW w:w="539" w:type="pct"/>
            <w:vAlign w:val="center"/>
          </w:tcPr>
          <w:p w14:paraId="7594B7FF"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总磷（</w:t>
            </w:r>
            <w:r w:rsidRPr="00F6033F">
              <w:rPr>
                <w:rFonts w:ascii="Times New Roman" w:hAnsi="Times New Roman" w:cs="Times New Roman"/>
                <w:color w:val="auto"/>
                <w:lang w:eastAsia="zh-CN"/>
              </w:rPr>
              <w:t>mg/L</w:t>
            </w:r>
            <w:r w:rsidRPr="00F6033F">
              <w:rPr>
                <w:rFonts w:ascii="Times New Roman" w:hAnsi="Times New Roman" w:cs="Times New Roman"/>
                <w:color w:val="auto"/>
                <w:lang w:eastAsia="zh-CN"/>
              </w:rPr>
              <w:t>）</w:t>
            </w:r>
          </w:p>
        </w:tc>
        <w:tc>
          <w:tcPr>
            <w:tcW w:w="401" w:type="pct"/>
            <w:vAlign w:val="center"/>
          </w:tcPr>
          <w:p w14:paraId="6563AEFD"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0.45</w:t>
            </w:r>
          </w:p>
        </w:tc>
        <w:tc>
          <w:tcPr>
            <w:tcW w:w="402" w:type="pct"/>
            <w:vAlign w:val="center"/>
          </w:tcPr>
          <w:p w14:paraId="3C3D1BC4"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0.43</w:t>
            </w:r>
          </w:p>
        </w:tc>
        <w:tc>
          <w:tcPr>
            <w:tcW w:w="401" w:type="pct"/>
            <w:vAlign w:val="center"/>
          </w:tcPr>
          <w:p w14:paraId="0F5F11B6"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0.42</w:t>
            </w:r>
          </w:p>
        </w:tc>
        <w:tc>
          <w:tcPr>
            <w:tcW w:w="402" w:type="pct"/>
            <w:vAlign w:val="center"/>
          </w:tcPr>
          <w:p w14:paraId="4D372EFC"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0.43</w:t>
            </w:r>
          </w:p>
        </w:tc>
        <w:tc>
          <w:tcPr>
            <w:tcW w:w="400" w:type="pct"/>
            <w:vAlign w:val="center"/>
          </w:tcPr>
          <w:p w14:paraId="59125868"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0.41</w:t>
            </w:r>
          </w:p>
        </w:tc>
        <w:tc>
          <w:tcPr>
            <w:tcW w:w="401" w:type="pct"/>
            <w:vAlign w:val="center"/>
          </w:tcPr>
          <w:p w14:paraId="2FD665F9"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0.36</w:t>
            </w:r>
          </w:p>
        </w:tc>
        <w:tc>
          <w:tcPr>
            <w:tcW w:w="401" w:type="pct"/>
            <w:vAlign w:val="center"/>
          </w:tcPr>
          <w:p w14:paraId="4F12D347"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0.38</w:t>
            </w:r>
          </w:p>
        </w:tc>
        <w:tc>
          <w:tcPr>
            <w:tcW w:w="401" w:type="pct"/>
            <w:vAlign w:val="center"/>
          </w:tcPr>
          <w:p w14:paraId="2040321F"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0.40</w:t>
            </w:r>
          </w:p>
        </w:tc>
        <w:tc>
          <w:tcPr>
            <w:tcW w:w="696" w:type="pct"/>
            <w:vAlign w:val="center"/>
          </w:tcPr>
          <w:p w14:paraId="59CF953E" w14:textId="51345B4E"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w:t>
            </w:r>
            <w:r w:rsidR="00262ECA">
              <w:rPr>
                <w:rFonts w:ascii="Times New Roman" w:hAnsi="Times New Roman" w:cs="Times New Roman" w:hint="eastAsia"/>
                <w:color w:val="auto"/>
                <w:lang w:eastAsia="zh-CN"/>
              </w:rPr>
              <w:t>0.5</w:t>
            </w:r>
          </w:p>
        </w:tc>
        <w:tc>
          <w:tcPr>
            <w:tcW w:w="557" w:type="pct"/>
            <w:vAlign w:val="center"/>
          </w:tcPr>
          <w:p w14:paraId="7089FE24" w14:textId="6785DD62" w:rsidR="00610143" w:rsidRPr="00610143" w:rsidRDefault="00D54D12" w:rsidP="00610143">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w:t>
            </w:r>
            <w:r>
              <w:rPr>
                <w:rFonts w:ascii="Times New Roman" w:hAnsi="Times New Roman" w:cs="Times New Roman" w:hint="eastAsia"/>
                <w:color w:val="auto"/>
                <w:lang w:eastAsia="zh-CN"/>
              </w:rPr>
              <w:t>3</w:t>
            </w:r>
          </w:p>
        </w:tc>
      </w:tr>
      <w:tr w:rsidR="009A2BAD" w:rsidRPr="00F6033F" w14:paraId="7F7FACB2" w14:textId="78E7904E" w:rsidTr="009A2BAD">
        <w:trPr>
          <w:trHeight w:val="493"/>
          <w:jc w:val="center"/>
        </w:trPr>
        <w:tc>
          <w:tcPr>
            <w:tcW w:w="539" w:type="pct"/>
            <w:vAlign w:val="center"/>
          </w:tcPr>
          <w:p w14:paraId="01C6D361"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TDS</w:t>
            </w:r>
            <w:r w:rsidRPr="00F6033F">
              <w:rPr>
                <w:rFonts w:ascii="Times New Roman" w:hAnsi="Times New Roman" w:cs="Times New Roman"/>
                <w:color w:val="auto"/>
                <w:lang w:eastAsia="zh-CN"/>
              </w:rPr>
              <w:t>（</w:t>
            </w:r>
            <w:r w:rsidRPr="00F6033F">
              <w:rPr>
                <w:rFonts w:ascii="Times New Roman" w:hAnsi="Times New Roman" w:cs="Times New Roman"/>
                <w:color w:val="auto"/>
                <w:lang w:eastAsia="zh-CN"/>
              </w:rPr>
              <w:t>mg/L</w:t>
            </w:r>
            <w:r w:rsidRPr="00F6033F">
              <w:rPr>
                <w:rFonts w:ascii="Times New Roman" w:hAnsi="Times New Roman" w:cs="Times New Roman"/>
                <w:color w:val="auto"/>
                <w:lang w:eastAsia="zh-CN"/>
              </w:rPr>
              <w:t>）</w:t>
            </w:r>
          </w:p>
        </w:tc>
        <w:tc>
          <w:tcPr>
            <w:tcW w:w="401" w:type="pct"/>
            <w:vAlign w:val="center"/>
          </w:tcPr>
          <w:p w14:paraId="43A7E224"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534</w:t>
            </w:r>
          </w:p>
        </w:tc>
        <w:tc>
          <w:tcPr>
            <w:tcW w:w="402" w:type="pct"/>
            <w:vAlign w:val="center"/>
          </w:tcPr>
          <w:p w14:paraId="1A9B57E0"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578</w:t>
            </w:r>
          </w:p>
        </w:tc>
        <w:tc>
          <w:tcPr>
            <w:tcW w:w="401" w:type="pct"/>
            <w:vAlign w:val="center"/>
          </w:tcPr>
          <w:p w14:paraId="5486D9DB"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563</w:t>
            </w:r>
          </w:p>
        </w:tc>
        <w:tc>
          <w:tcPr>
            <w:tcW w:w="402" w:type="pct"/>
            <w:vAlign w:val="center"/>
          </w:tcPr>
          <w:p w14:paraId="54608A36"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552</w:t>
            </w:r>
          </w:p>
        </w:tc>
        <w:tc>
          <w:tcPr>
            <w:tcW w:w="400" w:type="pct"/>
            <w:vAlign w:val="center"/>
          </w:tcPr>
          <w:p w14:paraId="16A329CA"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573</w:t>
            </w:r>
          </w:p>
        </w:tc>
        <w:tc>
          <w:tcPr>
            <w:tcW w:w="401" w:type="pct"/>
            <w:vAlign w:val="center"/>
          </w:tcPr>
          <w:p w14:paraId="0C86DAA4"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541</w:t>
            </w:r>
          </w:p>
        </w:tc>
        <w:tc>
          <w:tcPr>
            <w:tcW w:w="401" w:type="pct"/>
            <w:vAlign w:val="center"/>
          </w:tcPr>
          <w:p w14:paraId="2C7E7828"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553</w:t>
            </w:r>
          </w:p>
        </w:tc>
        <w:tc>
          <w:tcPr>
            <w:tcW w:w="401" w:type="pct"/>
            <w:vAlign w:val="center"/>
          </w:tcPr>
          <w:p w14:paraId="0AD46150"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564</w:t>
            </w:r>
          </w:p>
        </w:tc>
        <w:tc>
          <w:tcPr>
            <w:tcW w:w="696" w:type="pct"/>
            <w:vAlign w:val="center"/>
          </w:tcPr>
          <w:p w14:paraId="10A5F82E"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≤1000</w:t>
            </w:r>
          </w:p>
        </w:tc>
        <w:tc>
          <w:tcPr>
            <w:tcW w:w="557" w:type="pct"/>
            <w:vAlign w:val="center"/>
          </w:tcPr>
          <w:p w14:paraId="6697E975" w14:textId="158AE88C" w:rsidR="00610143" w:rsidRPr="00610143" w:rsidRDefault="00D54D12" w:rsidP="00610143">
            <w:pPr>
              <w:widowControl/>
              <w:adjustRightInd w:val="0"/>
              <w:snapToGrid w:val="0"/>
              <w:spacing w:after="0" w:line="240" w:lineRule="auto"/>
              <w:jc w:val="center"/>
              <w:textAlignment w:val="center"/>
              <w:rPr>
                <w:rFonts w:ascii="Times New Roman" w:hAnsi="Times New Roman" w:cs="Times New Roman"/>
                <w:color w:val="auto"/>
                <w:lang w:eastAsia="zh-CN"/>
              </w:rPr>
            </w:pPr>
            <w:r>
              <w:rPr>
                <w:rFonts w:ascii="Times New Roman" w:hAnsi="Times New Roman" w:cs="Times New Roman" w:hint="eastAsia"/>
                <w:color w:val="auto"/>
                <w:lang w:eastAsia="zh-CN"/>
              </w:rPr>
              <w:t>/</w:t>
            </w:r>
          </w:p>
        </w:tc>
      </w:tr>
      <w:tr w:rsidR="009A2BAD" w:rsidRPr="00F6033F" w14:paraId="23D0B300" w14:textId="6CE427B6" w:rsidTr="009A2BAD">
        <w:trPr>
          <w:trHeight w:val="493"/>
          <w:jc w:val="center"/>
        </w:trPr>
        <w:tc>
          <w:tcPr>
            <w:tcW w:w="539" w:type="pct"/>
            <w:vAlign w:val="center"/>
          </w:tcPr>
          <w:p w14:paraId="60112C16"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石油类（</w:t>
            </w:r>
            <w:r w:rsidRPr="00F6033F">
              <w:rPr>
                <w:rFonts w:ascii="Times New Roman" w:hAnsi="Times New Roman" w:cs="Times New Roman"/>
                <w:color w:val="auto"/>
                <w:lang w:eastAsia="zh-CN"/>
              </w:rPr>
              <w:t>mg/L</w:t>
            </w:r>
            <w:r w:rsidRPr="00F6033F">
              <w:rPr>
                <w:rFonts w:ascii="Times New Roman" w:hAnsi="Times New Roman" w:cs="Times New Roman"/>
                <w:color w:val="auto"/>
                <w:lang w:eastAsia="zh-CN"/>
              </w:rPr>
              <w:t>）</w:t>
            </w:r>
          </w:p>
        </w:tc>
        <w:tc>
          <w:tcPr>
            <w:tcW w:w="401" w:type="pct"/>
            <w:vAlign w:val="center"/>
          </w:tcPr>
          <w:p w14:paraId="0DD538EA"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0.06L</w:t>
            </w:r>
          </w:p>
        </w:tc>
        <w:tc>
          <w:tcPr>
            <w:tcW w:w="402" w:type="pct"/>
            <w:vAlign w:val="center"/>
          </w:tcPr>
          <w:p w14:paraId="47F51238"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0.06L</w:t>
            </w:r>
          </w:p>
        </w:tc>
        <w:tc>
          <w:tcPr>
            <w:tcW w:w="401" w:type="pct"/>
            <w:vAlign w:val="center"/>
          </w:tcPr>
          <w:p w14:paraId="1FC8C470"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0.06L</w:t>
            </w:r>
          </w:p>
        </w:tc>
        <w:tc>
          <w:tcPr>
            <w:tcW w:w="402" w:type="pct"/>
            <w:vAlign w:val="center"/>
          </w:tcPr>
          <w:p w14:paraId="7424CB36"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0.06L</w:t>
            </w:r>
          </w:p>
        </w:tc>
        <w:tc>
          <w:tcPr>
            <w:tcW w:w="400" w:type="pct"/>
            <w:vAlign w:val="center"/>
          </w:tcPr>
          <w:p w14:paraId="4294BE3E"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0.06L</w:t>
            </w:r>
          </w:p>
        </w:tc>
        <w:tc>
          <w:tcPr>
            <w:tcW w:w="401" w:type="pct"/>
            <w:vAlign w:val="center"/>
          </w:tcPr>
          <w:p w14:paraId="5F533274"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0.06L</w:t>
            </w:r>
          </w:p>
        </w:tc>
        <w:tc>
          <w:tcPr>
            <w:tcW w:w="401" w:type="pct"/>
            <w:vAlign w:val="center"/>
          </w:tcPr>
          <w:p w14:paraId="15C3757E"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0.06L</w:t>
            </w:r>
          </w:p>
        </w:tc>
        <w:tc>
          <w:tcPr>
            <w:tcW w:w="401" w:type="pct"/>
            <w:vAlign w:val="center"/>
          </w:tcPr>
          <w:p w14:paraId="067F2517"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0.06L</w:t>
            </w:r>
          </w:p>
        </w:tc>
        <w:tc>
          <w:tcPr>
            <w:tcW w:w="696" w:type="pct"/>
            <w:vAlign w:val="center"/>
          </w:tcPr>
          <w:p w14:paraId="56BE8D50"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≤1</w:t>
            </w:r>
          </w:p>
        </w:tc>
        <w:tc>
          <w:tcPr>
            <w:tcW w:w="557" w:type="pct"/>
            <w:vAlign w:val="center"/>
          </w:tcPr>
          <w:p w14:paraId="07D454C7" w14:textId="0D080493" w:rsidR="00610143" w:rsidRPr="00610143" w:rsidRDefault="00D54D12" w:rsidP="00610143">
            <w:pPr>
              <w:widowControl/>
              <w:adjustRightInd w:val="0"/>
              <w:snapToGrid w:val="0"/>
              <w:spacing w:after="0" w:line="240" w:lineRule="auto"/>
              <w:jc w:val="center"/>
              <w:textAlignment w:val="center"/>
              <w:rPr>
                <w:rFonts w:ascii="Times New Roman" w:hAnsi="Times New Roman" w:cs="Times New Roman"/>
                <w:color w:val="auto"/>
                <w:lang w:eastAsia="zh-CN"/>
              </w:rPr>
            </w:pPr>
            <w:r>
              <w:rPr>
                <w:rFonts w:ascii="Times New Roman" w:hAnsi="Times New Roman" w:cs="Times New Roman" w:hint="eastAsia"/>
                <w:color w:val="auto"/>
                <w:lang w:eastAsia="zh-CN"/>
              </w:rPr>
              <w:t>/</w:t>
            </w:r>
          </w:p>
        </w:tc>
      </w:tr>
      <w:tr w:rsidR="009A2BAD" w:rsidRPr="00F6033F" w14:paraId="081DF08B" w14:textId="77C4F9E1" w:rsidTr="009A2BAD">
        <w:trPr>
          <w:trHeight w:val="523"/>
          <w:jc w:val="center"/>
        </w:trPr>
        <w:tc>
          <w:tcPr>
            <w:tcW w:w="539" w:type="pct"/>
            <w:vAlign w:val="center"/>
          </w:tcPr>
          <w:p w14:paraId="186FCC03" w14:textId="3DACB700"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阴离子表面活性剂（</w:t>
            </w:r>
            <w:r w:rsidRPr="00F6033F">
              <w:rPr>
                <w:rFonts w:ascii="Times New Roman" w:hAnsi="Times New Roman" w:cs="Times New Roman"/>
                <w:color w:val="auto"/>
                <w:lang w:eastAsia="zh-CN"/>
              </w:rPr>
              <w:t>mg/L</w:t>
            </w:r>
            <w:r w:rsidRPr="00F6033F">
              <w:rPr>
                <w:rFonts w:ascii="Times New Roman" w:hAnsi="Times New Roman" w:cs="Times New Roman"/>
                <w:color w:val="auto"/>
                <w:lang w:eastAsia="zh-CN"/>
              </w:rPr>
              <w:t>）</w:t>
            </w:r>
          </w:p>
        </w:tc>
        <w:tc>
          <w:tcPr>
            <w:tcW w:w="401" w:type="pct"/>
            <w:vAlign w:val="center"/>
          </w:tcPr>
          <w:p w14:paraId="13F24DBC"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0.05L</w:t>
            </w:r>
          </w:p>
        </w:tc>
        <w:tc>
          <w:tcPr>
            <w:tcW w:w="402" w:type="pct"/>
            <w:vAlign w:val="center"/>
          </w:tcPr>
          <w:p w14:paraId="519CD314"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0.05L</w:t>
            </w:r>
          </w:p>
        </w:tc>
        <w:tc>
          <w:tcPr>
            <w:tcW w:w="401" w:type="pct"/>
            <w:vAlign w:val="center"/>
          </w:tcPr>
          <w:p w14:paraId="085A7F6F"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0.05L</w:t>
            </w:r>
          </w:p>
        </w:tc>
        <w:tc>
          <w:tcPr>
            <w:tcW w:w="402" w:type="pct"/>
            <w:vAlign w:val="center"/>
          </w:tcPr>
          <w:p w14:paraId="12D77EA6"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0.05L</w:t>
            </w:r>
          </w:p>
        </w:tc>
        <w:tc>
          <w:tcPr>
            <w:tcW w:w="400" w:type="pct"/>
            <w:vAlign w:val="center"/>
          </w:tcPr>
          <w:p w14:paraId="7022580E"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0.05L</w:t>
            </w:r>
          </w:p>
        </w:tc>
        <w:tc>
          <w:tcPr>
            <w:tcW w:w="401" w:type="pct"/>
            <w:vAlign w:val="center"/>
          </w:tcPr>
          <w:p w14:paraId="7099024D"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0.05L</w:t>
            </w:r>
          </w:p>
        </w:tc>
        <w:tc>
          <w:tcPr>
            <w:tcW w:w="401" w:type="pct"/>
            <w:vAlign w:val="center"/>
          </w:tcPr>
          <w:p w14:paraId="38FA2F7F"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0.05L</w:t>
            </w:r>
          </w:p>
        </w:tc>
        <w:tc>
          <w:tcPr>
            <w:tcW w:w="401" w:type="pct"/>
            <w:vAlign w:val="center"/>
          </w:tcPr>
          <w:p w14:paraId="70FCE7C9"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0.05L</w:t>
            </w:r>
          </w:p>
        </w:tc>
        <w:tc>
          <w:tcPr>
            <w:tcW w:w="696" w:type="pct"/>
            <w:vAlign w:val="center"/>
          </w:tcPr>
          <w:p w14:paraId="31550341"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≤0.5</w:t>
            </w:r>
          </w:p>
        </w:tc>
        <w:tc>
          <w:tcPr>
            <w:tcW w:w="557" w:type="pct"/>
            <w:vAlign w:val="center"/>
          </w:tcPr>
          <w:p w14:paraId="5AB337A7" w14:textId="07A43A59" w:rsidR="00610143" w:rsidRPr="00610143" w:rsidRDefault="00D54D12" w:rsidP="00610143">
            <w:pPr>
              <w:widowControl/>
              <w:adjustRightInd w:val="0"/>
              <w:snapToGrid w:val="0"/>
              <w:spacing w:after="0" w:line="240" w:lineRule="auto"/>
              <w:jc w:val="center"/>
              <w:textAlignment w:val="center"/>
              <w:rPr>
                <w:rFonts w:ascii="Times New Roman" w:hAnsi="Times New Roman" w:cs="Times New Roman"/>
                <w:color w:val="auto"/>
                <w:lang w:eastAsia="zh-CN"/>
              </w:rPr>
            </w:pPr>
            <w:r>
              <w:rPr>
                <w:rFonts w:ascii="Times New Roman" w:hAnsi="Times New Roman" w:cs="Times New Roman" w:hint="eastAsia"/>
                <w:color w:val="auto"/>
                <w:lang w:eastAsia="zh-CN"/>
              </w:rPr>
              <w:t>/</w:t>
            </w:r>
          </w:p>
        </w:tc>
      </w:tr>
      <w:tr w:rsidR="009A2BAD" w:rsidRPr="00F6033F" w14:paraId="7BD37BF8" w14:textId="286AF8E1" w:rsidTr="009A2BAD">
        <w:trPr>
          <w:trHeight w:val="493"/>
          <w:jc w:val="center"/>
        </w:trPr>
        <w:tc>
          <w:tcPr>
            <w:tcW w:w="539" w:type="pct"/>
            <w:vAlign w:val="center"/>
          </w:tcPr>
          <w:p w14:paraId="7FA1A7A2" w14:textId="58B5EBCD" w:rsidR="00610143" w:rsidRPr="004208C5"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4208C5">
              <w:rPr>
                <w:rFonts w:ascii="Times New Roman" w:hAnsi="Times New Roman" w:cs="Times New Roman"/>
                <w:color w:val="auto"/>
                <w:lang w:eastAsia="zh-CN"/>
              </w:rPr>
              <w:t>余氯（</w:t>
            </w:r>
            <w:r w:rsidRPr="004208C5">
              <w:rPr>
                <w:rFonts w:ascii="Times New Roman" w:hAnsi="Times New Roman" w:cs="Times New Roman"/>
                <w:color w:val="auto"/>
                <w:lang w:eastAsia="zh-CN"/>
              </w:rPr>
              <w:t>mg/L</w:t>
            </w:r>
            <w:r w:rsidRPr="004208C5">
              <w:rPr>
                <w:rFonts w:ascii="Times New Roman" w:hAnsi="Times New Roman" w:cs="Times New Roman"/>
                <w:color w:val="auto"/>
                <w:lang w:eastAsia="zh-CN"/>
              </w:rPr>
              <w:t>）</w:t>
            </w:r>
          </w:p>
        </w:tc>
        <w:tc>
          <w:tcPr>
            <w:tcW w:w="401" w:type="pct"/>
            <w:vAlign w:val="center"/>
          </w:tcPr>
          <w:p w14:paraId="77A8F952" w14:textId="77777777" w:rsidR="00610143" w:rsidRPr="004208C5"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4208C5">
              <w:rPr>
                <w:rFonts w:ascii="Times New Roman" w:hAnsi="Times New Roman" w:cs="Times New Roman"/>
                <w:color w:val="auto"/>
                <w:lang w:eastAsia="zh-CN"/>
              </w:rPr>
              <w:t>0.87</w:t>
            </w:r>
          </w:p>
        </w:tc>
        <w:tc>
          <w:tcPr>
            <w:tcW w:w="402" w:type="pct"/>
            <w:vAlign w:val="center"/>
          </w:tcPr>
          <w:p w14:paraId="2871A837" w14:textId="77777777" w:rsidR="00610143" w:rsidRPr="004208C5"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4208C5">
              <w:rPr>
                <w:rFonts w:ascii="Times New Roman" w:hAnsi="Times New Roman" w:cs="Times New Roman"/>
                <w:color w:val="auto"/>
                <w:lang w:eastAsia="zh-CN"/>
              </w:rPr>
              <w:t>0.84</w:t>
            </w:r>
          </w:p>
        </w:tc>
        <w:tc>
          <w:tcPr>
            <w:tcW w:w="401" w:type="pct"/>
            <w:vAlign w:val="center"/>
          </w:tcPr>
          <w:p w14:paraId="2B4F0F56" w14:textId="77777777" w:rsidR="00610143" w:rsidRPr="004208C5"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4208C5">
              <w:rPr>
                <w:rFonts w:ascii="Times New Roman" w:hAnsi="Times New Roman" w:cs="Times New Roman"/>
                <w:color w:val="auto"/>
                <w:lang w:eastAsia="zh-CN"/>
              </w:rPr>
              <w:t>0.76</w:t>
            </w:r>
          </w:p>
        </w:tc>
        <w:tc>
          <w:tcPr>
            <w:tcW w:w="402" w:type="pct"/>
            <w:vAlign w:val="center"/>
          </w:tcPr>
          <w:p w14:paraId="130C296A" w14:textId="77777777" w:rsidR="00610143" w:rsidRPr="004208C5"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4208C5">
              <w:rPr>
                <w:rFonts w:ascii="Times New Roman" w:hAnsi="Times New Roman" w:cs="Times New Roman"/>
                <w:color w:val="auto"/>
                <w:lang w:eastAsia="zh-CN"/>
              </w:rPr>
              <w:t>0.79</w:t>
            </w:r>
          </w:p>
        </w:tc>
        <w:tc>
          <w:tcPr>
            <w:tcW w:w="400" w:type="pct"/>
            <w:vAlign w:val="center"/>
          </w:tcPr>
          <w:p w14:paraId="549D92CF" w14:textId="77777777" w:rsidR="00610143" w:rsidRPr="004208C5"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4208C5">
              <w:rPr>
                <w:rFonts w:ascii="Times New Roman" w:hAnsi="Times New Roman" w:cs="Times New Roman"/>
                <w:color w:val="auto"/>
                <w:lang w:eastAsia="zh-CN"/>
              </w:rPr>
              <w:t>0.81</w:t>
            </w:r>
          </w:p>
        </w:tc>
        <w:tc>
          <w:tcPr>
            <w:tcW w:w="401" w:type="pct"/>
            <w:vAlign w:val="center"/>
          </w:tcPr>
          <w:p w14:paraId="3C15FE18" w14:textId="77777777" w:rsidR="00610143" w:rsidRPr="004208C5"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4208C5">
              <w:rPr>
                <w:rFonts w:ascii="Times New Roman" w:hAnsi="Times New Roman" w:cs="Times New Roman"/>
                <w:color w:val="auto"/>
                <w:lang w:eastAsia="zh-CN"/>
              </w:rPr>
              <w:t>0.82</w:t>
            </w:r>
          </w:p>
        </w:tc>
        <w:tc>
          <w:tcPr>
            <w:tcW w:w="401" w:type="pct"/>
            <w:vAlign w:val="center"/>
          </w:tcPr>
          <w:p w14:paraId="32C1B1F7" w14:textId="77777777" w:rsidR="00610143" w:rsidRPr="004208C5"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4208C5">
              <w:rPr>
                <w:rFonts w:ascii="Times New Roman" w:hAnsi="Times New Roman" w:cs="Times New Roman"/>
                <w:color w:val="auto"/>
                <w:lang w:eastAsia="zh-CN"/>
              </w:rPr>
              <w:t>0.85</w:t>
            </w:r>
          </w:p>
        </w:tc>
        <w:tc>
          <w:tcPr>
            <w:tcW w:w="401" w:type="pct"/>
            <w:vAlign w:val="center"/>
          </w:tcPr>
          <w:p w14:paraId="4BD52300" w14:textId="77777777" w:rsidR="00610143" w:rsidRPr="004208C5"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4208C5">
              <w:rPr>
                <w:rFonts w:ascii="Times New Roman" w:hAnsi="Times New Roman" w:cs="Times New Roman"/>
                <w:color w:val="auto"/>
                <w:lang w:eastAsia="zh-CN"/>
              </w:rPr>
              <w:t>0.78</w:t>
            </w:r>
          </w:p>
        </w:tc>
        <w:tc>
          <w:tcPr>
            <w:tcW w:w="696" w:type="pct"/>
            <w:vAlign w:val="center"/>
          </w:tcPr>
          <w:p w14:paraId="4AACA1C6" w14:textId="6C2BAD5E" w:rsidR="00610143" w:rsidRPr="004208C5" w:rsidRDefault="00D54D12"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4208C5">
              <w:rPr>
                <w:rFonts w:ascii="Times New Roman" w:hAnsi="Times New Roman" w:cs="Times New Roman" w:hint="eastAsia"/>
                <w:color w:val="auto"/>
                <w:lang w:eastAsia="zh-CN"/>
              </w:rPr>
              <w:t>0.1~0.2</w:t>
            </w:r>
          </w:p>
        </w:tc>
        <w:tc>
          <w:tcPr>
            <w:tcW w:w="557" w:type="pct"/>
            <w:vAlign w:val="center"/>
          </w:tcPr>
          <w:p w14:paraId="2ADAA934" w14:textId="425F0BA0" w:rsidR="00610143" w:rsidRPr="00610143" w:rsidRDefault="00D54D12" w:rsidP="00610143">
            <w:pPr>
              <w:widowControl/>
              <w:adjustRightInd w:val="0"/>
              <w:snapToGrid w:val="0"/>
              <w:spacing w:after="0" w:line="240" w:lineRule="auto"/>
              <w:jc w:val="center"/>
              <w:textAlignment w:val="center"/>
              <w:rPr>
                <w:rFonts w:ascii="Times New Roman" w:hAnsi="Times New Roman" w:cs="Times New Roman"/>
                <w:color w:val="auto"/>
                <w:lang w:eastAsia="zh-CN"/>
              </w:rPr>
            </w:pPr>
            <w:r>
              <w:rPr>
                <w:rFonts w:ascii="Times New Roman" w:hAnsi="Times New Roman" w:cs="Times New Roman" w:hint="eastAsia"/>
                <w:color w:val="auto"/>
                <w:lang w:eastAsia="zh-CN"/>
              </w:rPr>
              <w:t>/</w:t>
            </w:r>
          </w:p>
        </w:tc>
      </w:tr>
      <w:tr w:rsidR="009A2BAD" w:rsidRPr="00F6033F" w14:paraId="39BBA4A5" w14:textId="219A0516" w:rsidTr="009A2BAD">
        <w:trPr>
          <w:trHeight w:val="523"/>
          <w:jc w:val="center"/>
        </w:trPr>
        <w:tc>
          <w:tcPr>
            <w:tcW w:w="539" w:type="pct"/>
            <w:vAlign w:val="center"/>
          </w:tcPr>
          <w:p w14:paraId="7B47D59F" w14:textId="25F54362"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粪大肠菌群（</w:t>
            </w:r>
            <w:r w:rsidRPr="00F6033F">
              <w:rPr>
                <w:rFonts w:ascii="Times New Roman" w:hAnsi="Times New Roman" w:cs="Times New Roman"/>
                <w:color w:val="auto"/>
                <w:lang w:eastAsia="zh-CN"/>
              </w:rPr>
              <w:t>MPN/L</w:t>
            </w:r>
            <w:r w:rsidRPr="00F6033F">
              <w:rPr>
                <w:rFonts w:ascii="Times New Roman" w:hAnsi="Times New Roman" w:cs="Times New Roman"/>
                <w:color w:val="auto"/>
                <w:lang w:eastAsia="zh-CN"/>
              </w:rPr>
              <w:t>）</w:t>
            </w:r>
          </w:p>
        </w:tc>
        <w:tc>
          <w:tcPr>
            <w:tcW w:w="401" w:type="pct"/>
            <w:vAlign w:val="center"/>
          </w:tcPr>
          <w:p w14:paraId="0DDB30C5" w14:textId="4D26CBE9"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4.4×10</w:t>
            </w:r>
            <w:r w:rsidRPr="00F6033F">
              <w:rPr>
                <w:rFonts w:ascii="Times New Roman" w:hAnsi="Times New Roman" w:cs="Times New Roman"/>
                <w:color w:val="auto"/>
                <w:vertAlign w:val="superscript"/>
                <w:lang w:eastAsia="zh-CN"/>
              </w:rPr>
              <w:t>2</w:t>
            </w:r>
          </w:p>
        </w:tc>
        <w:tc>
          <w:tcPr>
            <w:tcW w:w="402" w:type="pct"/>
            <w:vAlign w:val="center"/>
          </w:tcPr>
          <w:p w14:paraId="2CEAC0B9" w14:textId="64698428"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4.7×10</w:t>
            </w:r>
            <w:r w:rsidRPr="00F6033F">
              <w:rPr>
                <w:rFonts w:ascii="Times New Roman" w:hAnsi="Times New Roman" w:cs="Times New Roman"/>
                <w:color w:val="auto"/>
                <w:vertAlign w:val="superscript"/>
                <w:lang w:eastAsia="zh-CN"/>
              </w:rPr>
              <w:t>2</w:t>
            </w:r>
          </w:p>
        </w:tc>
        <w:tc>
          <w:tcPr>
            <w:tcW w:w="401" w:type="pct"/>
            <w:vAlign w:val="center"/>
          </w:tcPr>
          <w:p w14:paraId="44F033CD" w14:textId="3EFFDC8E"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4.3×10</w:t>
            </w:r>
            <w:r w:rsidRPr="00F6033F">
              <w:rPr>
                <w:rFonts w:ascii="Times New Roman" w:hAnsi="Times New Roman" w:cs="Times New Roman"/>
                <w:color w:val="auto"/>
                <w:vertAlign w:val="superscript"/>
                <w:lang w:eastAsia="zh-CN"/>
              </w:rPr>
              <w:t>2</w:t>
            </w:r>
          </w:p>
        </w:tc>
        <w:tc>
          <w:tcPr>
            <w:tcW w:w="402" w:type="pct"/>
            <w:vAlign w:val="center"/>
          </w:tcPr>
          <w:p w14:paraId="4E001AF6" w14:textId="78BD0E3F"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4.5×10</w:t>
            </w:r>
            <w:r w:rsidRPr="00F6033F">
              <w:rPr>
                <w:rFonts w:ascii="Times New Roman" w:hAnsi="Times New Roman" w:cs="Times New Roman"/>
                <w:color w:val="auto"/>
                <w:vertAlign w:val="superscript"/>
                <w:lang w:eastAsia="zh-CN"/>
              </w:rPr>
              <w:t>2</w:t>
            </w:r>
          </w:p>
        </w:tc>
        <w:tc>
          <w:tcPr>
            <w:tcW w:w="400" w:type="pct"/>
            <w:vAlign w:val="center"/>
          </w:tcPr>
          <w:p w14:paraId="751720E3" w14:textId="17871D55"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4.1×10</w:t>
            </w:r>
            <w:r w:rsidRPr="00F6033F">
              <w:rPr>
                <w:rFonts w:ascii="Times New Roman" w:hAnsi="Times New Roman" w:cs="Times New Roman"/>
                <w:color w:val="auto"/>
                <w:vertAlign w:val="superscript"/>
                <w:lang w:eastAsia="zh-CN"/>
              </w:rPr>
              <w:t>2</w:t>
            </w:r>
          </w:p>
        </w:tc>
        <w:tc>
          <w:tcPr>
            <w:tcW w:w="401" w:type="pct"/>
            <w:vAlign w:val="center"/>
          </w:tcPr>
          <w:p w14:paraId="13559649" w14:textId="357CF8D5"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4.6×10</w:t>
            </w:r>
            <w:r w:rsidRPr="00F6033F">
              <w:rPr>
                <w:rFonts w:ascii="Times New Roman" w:hAnsi="Times New Roman" w:cs="Times New Roman"/>
                <w:color w:val="auto"/>
                <w:vertAlign w:val="superscript"/>
                <w:lang w:eastAsia="zh-CN"/>
              </w:rPr>
              <w:t>2</w:t>
            </w:r>
          </w:p>
        </w:tc>
        <w:tc>
          <w:tcPr>
            <w:tcW w:w="401" w:type="pct"/>
            <w:vAlign w:val="center"/>
          </w:tcPr>
          <w:p w14:paraId="55731EB3" w14:textId="1662CAA3"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5.0×10</w:t>
            </w:r>
            <w:r w:rsidRPr="00F6033F">
              <w:rPr>
                <w:rFonts w:ascii="Times New Roman" w:hAnsi="Times New Roman" w:cs="Times New Roman"/>
                <w:color w:val="auto"/>
                <w:vertAlign w:val="superscript"/>
                <w:lang w:eastAsia="zh-CN"/>
              </w:rPr>
              <w:t>2</w:t>
            </w:r>
          </w:p>
        </w:tc>
        <w:tc>
          <w:tcPr>
            <w:tcW w:w="401" w:type="pct"/>
            <w:vAlign w:val="center"/>
          </w:tcPr>
          <w:p w14:paraId="3C6D8B00" w14:textId="67049F16"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5.2×10</w:t>
            </w:r>
            <w:r w:rsidRPr="00F6033F">
              <w:rPr>
                <w:rFonts w:ascii="Times New Roman" w:hAnsi="Times New Roman" w:cs="Times New Roman"/>
                <w:color w:val="auto"/>
                <w:vertAlign w:val="superscript"/>
                <w:lang w:eastAsia="zh-CN"/>
              </w:rPr>
              <w:t>2</w:t>
            </w:r>
          </w:p>
        </w:tc>
        <w:tc>
          <w:tcPr>
            <w:tcW w:w="696" w:type="pct"/>
            <w:vAlign w:val="center"/>
          </w:tcPr>
          <w:p w14:paraId="517A4DE6"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≤2000</w:t>
            </w:r>
          </w:p>
        </w:tc>
        <w:tc>
          <w:tcPr>
            <w:tcW w:w="557" w:type="pct"/>
            <w:vAlign w:val="center"/>
          </w:tcPr>
          <w:p w14:paraId="2CC1E4A0" w14:textId="18E70548" w:rsidR="00610143" w:rsidRPr="00610143" w:rsidRDefault="00D54D12" w:rsidP="00610143">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w:t>
            </w:r>
            <w:r>
              <w:rPr>
                <w:rFonts w:ascii="Times New Roman" w:hAnsi="Times New Roman" w:cs="Times New Roman" w:hint="eastAsia"/>
                <w:color w:val="auto"/>
                <w:lang w:eastAsia="zh-CN"/>
              </w:rPr>
              <w:t>10000</w:t>
            </w:r>
          </w:p>
        </w:tc>
      </w:tr>
      <w:tr w:rsidR="009A2BAD" w:rsidRPr="00F6033F" w14:paraId="1AE9E136" w14:textId="256C9A7B" w:rsidTr="009A2BAD">
        <w:trPr>
          <w:trHeight w:val="493"/>
          <w:jc w:val="center"/>
        </w:trPr>
        <w:tc>
          <w:tcPr>
            <w:tcW w:w="539" w:type="pct"/>
            <w:vAlign w:val="center"/>
          </w:tcPr>
          <w:p w14:paraId="6EA83231"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lastRenderedPageBreak/>
              <w:t>总汞（</w:t>
            </w:r>
            <w:r w:rsidRPr="00F6033F">
              <w:rPr>
                <w:rFonts w:ascii="Times New Roman" w:hAnsi="Times New Roman" w:cs="Times New Roman"/>
                <w:color w:val="auto"/>
                <w:lang w:eastAsia="zh-CN"/>
              </w:rPr>
              <w:t>mg/L</w:t>
            </w:r>
            <w:r w:rsidRPr="00F6033F">
              <w:rPr>
                <w:rFonts w:ascii="Times New Roman" w:hAnsi="Times New Roman" w:cs="Times New Roman"/>
                <w:color w:val="auto"/>
                <w:lang w:eastAsia="zh-CN"/>
              </w:rPr>
              <w:t>）</w:t>
            </w:r>
          </w:p>
        </w:tc>
        <w:tc>
          <w:tcPr>
            <w:tcW w:w="401" w:type="pct"/>
            <w:vAlign w:val="center"/>
          </w:tcPr>
          <w:p w14:paraId="459A835A" w14:textId="2D72F36B" w:rsidR="00610143" w:rsidRPr="00F6033F" w:rsidRDefault="00610143" w:rsidP="00F6033F">
            <w:pPr>
              <w:widowControl/>
              <w:adjustRightInd w:val="0"/>
              <w:snapToGrid w:val="0"/>
              <w:spacing w:after="0" w:line="240" w:lineRule="auto"/>
              <w:ind w:right="41" w:hanging="168"/>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0</w:t>
            </w:r>
            <w:r>
              <w:rPr>
                <w:rFonts w:ascii="Times New Roman" w:hAnsi="Times New Roman" w:cs="Times New Roman" w:hint="eastAsia"/>
                <w:color w:val="auto"/>
                <w:lang w:eastAsia="zh-CN"/>
              </w:rPr>
              <w:t>0</w:t>
            </w:r>
            <w:r w:rsidRPr="00F6033F">
              <w:rPr>
                <w:rFonts w:ascii="Times New Roman" w:hAnsi="Times New Roman" w:cs="Times New Roman"/>
                <w:color w:val="auto"/>
                <w:lang w:eastAsia="zh-CN"/>
              </w:rPr>
              <w:t>.00004L</w:t>
            </w:r>
          </w:p>
        </w:tc>
        <w:tc>
          <w:tcPr>
            <w:tcW w:w="402" w:type="pct"/>
            <w:vAlign w:val="center"/>
          </w:tcPr>
          <w:p w14:paraId="53ADEFC8" w14:textId="179E7C9B" w:rsidR="00610143" w:rsidRPr="00F6033F" w:rsidRDefault="00610143" w:rsidP="00F6033F">
            <w:pPr>
              <w:widowControl/>
              <w:adjustRightInd w:val="0"/>
              <w:snapToGrid w:val="0"/>
              <w:spacing w:after="0" w:line="240" w:lineRule="auto"/>
              <w:ind w:right="41" w:hanging="168"/>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0</w:t>
            </w:r>
            <w:r>
              <w:rPr>
                <w:rFonts w:ascii="Times New Roman" w:hAnsi="Times New Roman" w:cs="Times New Roman" w:hint="eastAsia"/>
                <w:color w:val="auto"/>
                <w:lang w:eastAsia="zh-CN"/>
              </w:rPr>
              <w:t>0</w:t>
            </w:r>
            <w:r w:rsidRPr="00F6033F">
              <w:rPr>
                <w:rFonts w:ascii="Times New Roman" w:hAnsi="Times New Roman" w:cs="Times New Roman"/>
                <w:color w:val="auto"/>
                <w:lang w:eastAsia="zh-CN"/>
              </w:rPr>
              <w:t>.00004L</w:t>
            </w:r>
          </w:p>
        </w:tc>
        <w:tc>
          <w:tcPr>
            <w:tcW w:w="401" w:type="pct"/>
            <w:vAlign w:val="center"/>
          </w:tcPr>
          <w:p w14:paraId="52D4AE90" w14:textId="361F0579" w:rsidR="00610143" w:rsidRPr="00F6033F" w:rsidRDefault="00610143" w:rsidP="00F6033F">
            <w:pPr>
              <w:widowControl/>
              <w:adjustRightInd w:val="0"/>
              <w:snapToGrid w:val="0"/>
              <w:spacing w:after="0" w:line="240" w:lineRule="auto"/>
              <w:ind w:right="40" w:hanging="168"/>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0</w:t>
            </w:r>
            <w:r>
              <w:rPr>
                <w:rFonts w:ascii="Times New Roman" w:hAnsi="Times New Roman" w:cs="Times New Roman" w:hint="eastAsia"/>
                <w:color w:val="auto"/>
                <w:lang w:eastAsia="zh-CN"/>
              </w:rPr>
              <w:t>0</w:t>
            </w:r>
            <w:r w:rsidRPr="00F6033F">
              <w:rPr>
                <w:rFonts w:ascii="Times New Roman" w:hAnsi="Times New Roman" w:cs="Times New Roman"/>
                <w:color w:val="auto"/>
                <w:lang w:eastAsia="zh-CN"/>
              </w:rPr>
              <w:t>.00004L</w:t>
            </w:r>
          </w:p>
        </w:tc>
        <w:tc>
          <w:tcPr>
            <w:tcW w:w="402" w:type="pct"/>
            <w:vAlign w:val="center"/>
          </w:tcPr>
          <w:p w14:paraId="44399B29" w14:textId="5F21D184" w:rsidR="00610143" w:rsidRPr="00F6033F" w:rsidRDefault="00610143" w:rsidP="00F6033F">
            <w:pPr>
              <w:widowControl/>
              <w:adjustRightInd w:val="0"/>
              <w:snapToGrid w:val="0"/>
              <w:spacing w:after="0" w:line="240" w:lineRule="auto"/>
              <w:ind w:right="41" w:hanging="168"/>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0</w:t>
            </w:r>
            <w:r>
              <w:rPr>
                <w:rFonts w:ascii="Times New Roman" w:hAnsi="Times New Roman" w:cs="Times New Roman" w:hint="eastAsia"/>
                <w:color w:val="auto"/>
                <w:lang w:eastAsia="zh-CN"/>
              </w:rPr>
              <w:t>0</w:t>
            </w:r>
            <w:r w:rsidRPr="00F6033F">
              <w:rPr>
                <w:rFonts w:ascii="Times New Roman" w:hAnsi="Times New Roman" w:cs="Times New Roman"/>
                <w:color w:val="auto"/>
                <w:lang w:eastAsia="zh-CN"/>
              </w:rPr>
              <w:t>.00004L</w:t>
            </w:r>
          </w:p>
        </w:tc>
        <w:tc>
          <w:tcPr>
            <w:tcW w:w="400" w:type="pct"/>
            <w:vAlign w:val="center"/>
          </w:tcPr>
          <w:p w14:paraId="71024D5B" w14:textId="2F6F97A3" w:rsidR="00610143" w:rsidRPr="00F6033F" w:rsidRDefault="00610143" w:rsidP="00F6033F">
            <w:pPr>
              <w:widowControl/>
              <w:adjustRightInd w:val="0"/>
              <w:snapToGrid w:val="0"/>
              <w:spacing w:after="0" w:line="240" w:lineRule="auto"/>
              <w:ind w:right="38" w:hanging="168"/>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0</w:t>
            </w:r>
            <w:r>
              <w:rPr>
                <w:rFonts w:ascii="Times New Roman" w:hAnsi="Times New Roman" w:cs="Times New Roman" w:hint="eastAsia"/>
                <w:color w:val="auto"/>
                <w:lang w:eastAsia="zh-CN"/>
              </w:rPr>
              <w:t>0</w:t>
            </w:r>
            <w:r w:rsidRPr="00F6033F">
              <w:rPr>
                <w:rFonts w:ascii="Times New Roman" w:hAnsi="Times New Roman" w:cs="Times New Roman"/>
                <w:color w:val="auto"/>
                <w:lang w:eastAsia="zh-CN"/>
              </w:rPr>
              <w:t>.00004L</w:t>
            </w:r>
          </w:p>
        </w:tc>
        <w:tc>
          <w:tcPr>
            <w:tcW w:w="401" w:type="pct"/>
            <w:vAlign w:val="center"/>
          </w:tcPr>
          <w:p w14:paraId="005E979F" w14:textId="67190428" w:rsidR="00610143" w:rsidRPr="00F6033F" w:rsidRDefault="00610143" w:rsidP="00F6033F">
            <w:pPr>
              <w:widowControl/>
              <w:adjustRightInd w:val="0"/>
              <w:snapToGrid w:val="0"/>
              <w:spacing w:after="0" w:line="240" w:lineRule="auto"/>
              <w:ind w:right="39" w:hanging="168"/>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0</w:t>
            </w:r>
            <w:r>
              <w:rPr>
                <w:rFonts w:ascii="Times New Roman" w:hAnsi="Times New Roman" w:cs="Times New Roman" w:hint="eastAsia"/>
                <w:color w:val="auto"/>
                <w:lang w:eastAsia="zh-CN"/>
              </w:rPr>
              <w:t>0</w:t>
            </w:r>
            <w:r w:rsidRPr="00F6033F">
              <w:rPr>
                <w:rFonts w:ascii="Times New Roman" w:hAnsi="Times New Roman" w:cs="Times New Roman"/>
                <w:color w:val="auto"/>
                <w:lang w:eastAsia="zh-CN"/>
              </w:rPr>
              <w:t>.00004L</w:t>
            </w:r>
          </w:p>
        </w:tc>
        <w:tc>
          <w:tcPr>
            <w:tcW w:w="401" w:type="pct"/>
            <w:vAlign w:val="center"/>
          </w:tcPr>
          <w:p w14:paraId="47EB501B" w14:textId="45C1585C" w:rsidR="00610143" w:rsidRPr="00F6033F" w:rsidRDefault="00610143" w:rsidP="00F6033F">
            <w:pPr>
              <w:widowControl/>
              <w:adjustRightInd w:val="0"/>
              <w:snapToGrid w:val="0"/>
              <w:spacing w:after="0" w:line="240" w:lineRule="auto"/>
              <w:ind w:right="40" w:hanging="168"/>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0</w:t>
            </w:r>
            <w:r>
              <w:rPr>
                <w:rFonts w:ascii="Times New Roman" w:hAnsi="Times New Roman" w:cs="Times New Roman" w:hint="eastAsia"/>
                <w:color w:val="auto"/>
                <w:lang w:eastAsia="zh-CN"/>
              </w:rPr>
              <w:t>0</w:t>
            </w:r>
            <w:r w:rsidRPr="00F6033F">
              <w:rPr>
                <w:rFonts w:ascii="Times New Roman" w:hAnsi="Times New Roman" w:cs="Times New Roman"/>
                <w:color w:val="auto"/>
                <w:lang w:eastAsia="zh-CN"/>
              </w:rPr>
              <w:t>.00004L</w:t>
            </w:r>
          </w:p>
        </w:tc>
        <w:tc>
          <w:tcPr>
            <w:tcW w:w="401" w:type="pct"/>
            <w:vAlign w:val="center"/>
          </w:tcPr>
          <w:p w14:paraId="296CEF22" w14:textId="2567957E" w:rsidR="00610143" w:rsidRPr="00F6033F" w:rsidRDefault="00610143" w:rsidP="00F6033F">
            <w:pPr>
              <w:widowControl/>
              <w:adjustRightInd w:val="0"/>
              <w:snapToGrid w:val="0"/>
              <w:spacing w:after="0" w:line="240" w:lineRule="auto"/>
              <w:ind w:right="39" w:hanging="168"/>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0</w:t>
            </w:r>
            <w:r>
              <w:rPr>
                <w:rFonts w:ascii="Times New Roman" w:hAnsi="Times New Roman" w:cs="Times New Roman" w:hint="eastAsia"/>
                <w:color w:val="auto"/>
                <w:lang w:eastAsia="zh-CN"/>
              </w:rPr>
              <w:t>0</w:t>
            </w:r>
            <w:r w:rsidRPr="00F6033F">
              <w:rPr>
                <w:rFonts w:ascii="Times New Roman" w:hAnsi="Times New Roman" w:cs="Times New Roman"/>
                <w:color w:val="auto"/>
                <w:lang w:eastAsia="zh-CN"/>
              </w:rPr>
              <w:t>.00004L</w:t>
            </w:r>
          </w:p>
        </w:tc>
        <w:tc>
          <w:tcPr>
            <w:tcW w:w="696" w:type="pct"/>
            <w:vAlign w:val="center"/>
          </w:tcPr>
          <w:p w14:paraId="531EAC9D"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w:t>
            </w:r>
          </w:p>
        </w:tc>
        <w:tc>
          <w:tcPr>
            <w:tcW w:w="557" w:type="pct"/>
            <w:vAlign w:val="center"/>
          </w:tcPr>
          <w:p w14:paraId="526F17AE" w14:textId="75AD6575" w:rsidR="00610143" w:rsidRPr="00610143" w:rsidRDefault="009A2BAD" w:rsidP="00610143">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w:t>
            </w:r>
            <w:r>
              <w:rPr>
                <w:rFonts w:ascii="Times New Roman" w:hAnsi="Times New Roman" w:cs="Times New Roman" w:hint="eastAsia"/>
                <w:color w:val="auto"/>
                <w:lang w:eastAsia="zh-CN"/>
              </w:rPr>
              <w:t>0.001</w:t>
            </w:r>
          </w:p>
        </w:tc>
      </w:tr>
      <w:tr w:rsidR="009A2BAD" w:rsidRPr="00F6033F" w14:paraId="482E5E3C" w14:textId="0AEC547E" w:rsidTr="009A2BAD">
        <w:trPr>
          <w:trHeight w:val="493"/>
          <w:jc w:val="center"/>
        </w:trPr>
        <w:tc>
          <w:tcPr>
            <w:tcW w:w="539" w:type="pct"/>
            <w:vAlign w:val="center"/>
          </w:tcPr>
          <w:p w14:paraId="19719B0D"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总镉（</w:t>
            </w:r>
            <w:r w:rsidRPr="00F6033F">
              <w:rPr>
                <w:rFonts w:ascii="Times New Roman" w:hAnsi="Times New Roman" w:cs="Times New Roman"/>
                <w:color w:val="auto"/>
                <w:lang w:eastAsia="zh-CN"/>
              </w:rPr>
              <w:t>mg/L</w:t>
            </w:r>
            <w:r w:rsidRPr="00F6033F">
              <w:rPr>
                <w:rFonts w:ascii="Times New Roman" w:hAnsi="Times New Roman" w:cs="Times New Roman"/>
                <w:color w:val="auto"/>
                <w:lang w:eastAsia="zh-CN"/>
              </w:rPr>
              <w:t>）</w:t>
            </w:r>
          </w:p>
        </w:tc>
        <w:tc>
          <w:tcPr>
            <w:tcW w:w="401" w:type="pct"/>
            <w:vAlign w:val="center"/>
          </w:tcPr>
          <w:p w14:paraId="365611AC"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0.001L</w:t>
            </w:r>
          </w:p>
        </w:tc>
        <w:tc>
          <w:tcPr>
            <w:tcW w:w="402" w:type="pct"/>
            <w:vAlign w:val="center"/>
          </w:tcPr>
          <w:p w14:paraId="1EF0C60F"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0.001L</w:t>
            </w:r>
          </w:p>
        </w:tc>
        <w:tc>
          <w:tcPr>
            <w:tcW w:w="401" w:type="pct"/>
            <w:vAlign w:val="center"/>
          </w:tcPr>
          <w:p w14:paraId="15EAE75F"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0.001L</w:t>
            </w:r>
          </w:p>
        </w:tc>
        <w:tc>
          <w:tcPr>
            <w:tcW w:w="402" w:type="pct"/>
            <w:vAlign w:val="center"/>
          </w:tcPr>
          <w:p w14:paraId="6FBAEAA5"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0.001L</w:t>
            </w:r>
          </w:p>
        </w:tc>
        <w:tc>
          <w:tcPr>
            <w:tcW w:w="400" w:type="pct"/>
            <w:vAlign w:val="center"/>
          </w:tcPr>
          <w:p w14:paraId="70C8B28D"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0.001L</w:t>
            </w:r>
          </w:p>
        </w:tc>
        <w:tc>
          <w:tcPr>
            <w:tcW w:w="401" w:type="pct"/>
            <w:vAlign w:val="center"/>
          </w:tcPr>
          <w:p w14:paraId="5E76B9BE"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0.001L</w:t>
            </w:r>
          </w:p>
        </w:tc>
        <w:tc>
          <w:tcPr>
            <w:tcW w:w="401" w:type="pct"/>
            <w:vAlign w:val="center"/>
          </w:tcPr>
          <w:p w14:paraId="0BC084DE"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0.001L</w:t>
            </w:r>
          </w:p>
        </w:tc>
        <w:tc>
          <w:tcPr>
            <w:tcW w:w="401" w:type="pct"/>
            <w:vAlign w:val="center"/>
          </w:tcPr>
          <w:p w14:paraId="73B60021"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0.001L</w:t>
            </w:r>
          </w:p>
        </w:tc>
        <w:tc>
          <w:tcPr>
            <w:tcW w:w="696" w:type="pct"/>
            <w:vAlign w:val="center"/>
          </w:tcPr>
          <w:p w14:paraId="282FD6C5"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w:t>
            </w:r>
          </w:p>
        </w:tc>
        <w:tc>
          <w:tcPr>
            <w:tcW w:w="557" w:type="pct"/>
            <w:vAlign w:val="center"/>
          </w:tcPr>
          <w:p w14:paraId="277216EE" w14:textId="1EA300E0" w:rsidR="00610143" w:rsidRPr="00610143" w:rsidRDefault="009A2BAD" w:rsidP="00610143">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w:t>
            </w:r>
            <w:r>
              <w:rPr>
                <w:rFonts w:ascii="Times New Roman" w:hAnsi="Times New Roman" w:cs="Times New Roman" w:hint="eastAsia"/>
                <w:color w:val="auto"/>
                <w:lang w:eastAsia="zh-CN"/>
              </w:rPr>
              <w:t>0.01</w:t>
            </w:r>
          </w:p>
        </w:tc>
      </w:tr>
      <w:tr w:rsidR="009A2BAD" w:rsidRPr="00F6033F" w14:paraId="235FEF73" w14:textId="5EE661EE" w:rsidTr="009A2BAD">
        <w:trPr>
          <w:trHeight w:val="493"/>
          <w:jc w:val="center"/>
        </w:trPr>
        <w:tc>
          <w:tcPr>
            <w:tcW w:w="539" w:type="pct"/>
            <w:vAlign w:val="center"/>
          </w:tcPr>
          <w:p w14:paraId="35E1FE3C"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总铬（</w:t>
            </w:r>
            <w:r w:rsidRPr="00F6033F">
              <w:rPr>
                <w:rFonts w:ascii="Times New Roman" w:hAnsi="Times New Roman" w:cs="Times New Roman"/>
                <w:color w:val="auto"/>
                <w:lang w:eastAsia="zh-CN"/>
              </w:rPr>
              <w:t>mg/L</w:t>
            </w:r>
            <w:r w:rsidRPr="00F6033F">
              <w:rPr>
                <w:rFonts w:ascii="Times New Roman" w:hAnsi="Times New Roman" w:cs="Times New Roman"/>
                <w:color w:val="auto"/>
                <w:lang w:eastAsia="zh-CN"/>
              </w:rPr>
              <w:t>）</w:t>
            </w:r>
          </w:p>
        </w:tc>
        <w:tc>
          <w:tcPr>
            <w:tcW w:w="401" w:type="pct"/>
            <w:vAlign w:val="center"/>
          </w:tcPr>
          <w:p w14:paraId="39E326DA"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0.03L</w:t>
            </w:r>
          </w:p>
        </w:tc>
        <w:tc>
          <w:tcPr>
            <w:tcW w:w="402" w:type="pct"/>
            <w:vAlign w:val="center"/>
          </w:tcPr>
          <w:p w14:paraId="5A5657FA"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0.03L</w:t>
            </w:r>
          </w:p>
        </w:tc>
        <w:tc>
          <w:tcPr>
            <w:tcW w:w="401" w:type="pct"/>
            <w:vAlign w:val="center"/>
          </w:tcPr>
          <w:p w14:paraId="3D7A0968"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0.03L</w:t>
            </w:r>
          </w:p>
        </w:tc>
        <w:tc>
          <w:tcPr>
            <w:tcW w:w="402" w:type="pct"/>
            <w:vAlign w:val="center"/>
          </w:tcPr>
          <w:p w14:paraId="0DC7B0BA"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0.03L</w:t>
            </w:r>
          </w:p>
        </w:tc>
        <w:tc>
          <w:tcPr>
            <w:tcW w:w="400" w:type="pct"/>
            <w:vAlign w:val="center"/>
          </w:tcPr>
          <w:p w14:paraId="40D39029"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0.03L</w:t>
            </w:r>
          </w:p>
        </w:tc>
        <w:tc>
          <w:tcPr>
            <w:tcW w:w="401" w:type="pct"/>
            <w:vAlign w:val="center"/>
          </w:tcPr>
          <w:p w14:paraId="0F4E3E67"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0.03L</w:t>
            </w:r>
          </w:p>
        </w:tc>
        <w:tc>
          <w:tcPr>
            <w:tcW w:w="401" w:type="pct"/>
            <w:vAlign w:val="center"/>
          </w:tcPr>
          <w:p w14:paraId="47BCB029"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0.03L</w:t>
            </w:r>
          </w:p>
        </w:tc>
        <w:tc>
          <w:tcPr>
            <w:tcW w:w="401" w:type="pct"/>
            <w:vAlign w:val="center"/>
          </w:tcPr>
          <w:p w14:paraId="2CBEFE52"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0.03L</w:t>
            </w:r>
          </w:p>
        </w:tc>
        <w:tc>
          <w:tcPr>
            <w:tcW w:w="696" w:type="pct"/>
            <w:vAlign w:val="center"/>
          </w:tcPr>
          <w:p w14:paraId="362F5912"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w:t>
            </w:r>
          </w:p>
        </w:tc>
        <w:tc>
          <w:tcPr>
            <w:tcW w:w="557" w:type="pct"/>
            <w:vAlign w:val="center"/>
          </w:tcPr>
          <w:p w14:paraId="4747CD83" w14:textId="15F3EA5B" w:rsidR="00610143" w:rsidRPr="00610143" w:rsidRDefault="009A2BAD" w:rsidP="00610143">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w:t>
            </w:r>
            <w:r>
              <w:rPr>
                <w:rFonts w:ascii="Times New Roman" w:hAnsi="Times New Roman" w:cs="Times New Roman" w:hint="eastAsia"/>
                <w:color w:val="auto"/>
                <w:lang w:eastAsia="zh-CN"/>
              </w:rPr>
              <w:t>0.1</w:t>
            </w:r>
          </w:p>
        </w:tc>
      </w:tr>
      <w:tr w:rsidR="009A2BAD" w:rsidRPr="00F6033F" w14:paraId="35455550" w14:textId="28A40391" w:rsidTr="009A2BAD">
        <w:trPr>
          <w:trHeight w:val="493"/>
          <w:jc w:val="center"/>
        </w:trPr>
        <w:tc>
          <w:tcPr>
            <w:tcW w:w="539" w:type="pct"/>
            <w:vAlign w:val="center"/>
          </w:tcPr>
          <w:p w14:paraId="3271D6EF"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六价铬（</w:t>
            </w:r>
            <w:r w:rsidRPr="00F6033F">
              <w:rPr>
                <w:rFonts w:ascii="Times New Roman" w:hAnsi="Times New Roman" w:cs="Times New Roman"/>
                <w:color w:val="auto"/>
                <w:lang w:eastAsia="zh-CN"/>
              </w:rPr>
              <w:t>mg/L</w:t>
            </w:r>
            <w:r w:rsidRPr="00F6033F">
              <w:rPr>
                <w:rFonts w:ascii="Times New Roman" w:hAnsi="Times New Roman" w:cs="Times New Roman"/>
                <w:color w:val="auto"/>
                <w:lang w:eastAsia="zh-CN"/>
              </w:rPr>
              <w:t>）</w:t>
            </w:r>
          </w:p>
        </w:tc>
        <w:tc>
          <w:tcPr>
            <w:tcW w:w="401" w:type="pct"/>
            <w:vAlign w:val="center"/>
          </w:tcPr>
          <w:p w14:paraId="544F6597"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0.004L</w:t>
            </w:r>
          </w:p>
        </w:tc>
        <w:tc>
          <w:tcPr>
            <w:tcW w:w="402" w:type="pct"/>
            <w:vAlign w:val="center"/>
          </w:tcPr>
          <w:p w14:paraId="04F938BC"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0.004L</w:t>
            </w:r>
          </w:p>
        </w:tc>
        <w:tc>
          <w:tcPr>
            <w:tcW w:w="401" w:type="pct"/>
            <w:vAlign w:val="center"/>
          </w:tcPr>
          <w:p w14:paraId="680246D5"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0.004L</w:t>
            </w:r>
          </w:p>
        </w:tc>
        <w:tc>
          <w:tcPr>
            <w:tcW w:w="402" w:type="pct"/>
            <w:vAlign w:val="center"/>
          </w:tcPr>
          <w:p w14:paraId="3A643E9C"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0.004L</w:t>
            </w:r>
          </w:p>
        </w:tc>
        <w:tc>
          <w:tcPr>
            <w:tcW w:w="400" w:type="pct"/>
            <w:vAlign w:val="center"/>
          </w:tcPr>
          <w:p w14:paraId="32C2A95C"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0.004L</w:t>
            </w:r>
          </w:p>
        </w:tc>
        <w:tc>
          <w:tcPr>
            <w:tcW w:w="401" w:type="pct"/>
            <w:vAlign w:val="center"/>
          </w:tcPr>
          <w:p w14:paraId="70E7FB39"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0.004L</w:t>
            </w:r>
          </w:p>
        </w:tc>
        <w:tc>
          <w:tcPr>
            <w:tcW w:w="401" w:type="pct"/>
            <w:vAlign w:val="center"/>
          </w:tcPr>
          <w:p w14:paraId="0E9D9A85"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0.004L</w:t>
            </w:r>
          </w:p>
        </w:tc>
        <w:tc>
          <w:tcPr>
            <w:tcW w:w="401" w:type="pct"/>
            <w:vAlign w:val="center"/>
          </w:tcPr>
          <w:p w14:paraId="4F3D8781"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0.004L</w:t>
            </w:r>
          </w:p>
        </w:tc>
        <w:tc>
          <w:tcPr>
            <w:tcW w:w="696" w:type="pct"/>
            <w:vAlign w:val="center"/>
          </w:tcPr>
          <w:p w14:paraId="068439A2"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w:t>
            </w:r>
          </w:p>
        </w:tc>
        <w:tc>
          <w:tcPr>
            <w:tcW w:w="557" w:type="pct"/>
            <w:vAlign w:val="center"/>
          </w:tcPr>
          <w:p w14:paraId="37299783" w14:textId="58603B16" w:rsidR="00610143" w:rsidRPr="00610143" w:rsidRDefault="009A2BAD" w:rsidP="00610143">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w:t>
            </w:r>
            <w:r>
              <w:rPr>
                <w:rFonts w:ascii="Times New Roman" w:hAnsi="Times New Roman" w:cs="Times New Roman" w:hint="eastAsia"/>
                <w:color w:val="auto"/>
                <w:lang w:eastAsia="zh-CN"/>
              </w:rPr>
              <w:t>0.05</w:t>
            </w:r>
          </w:p>
        </w:tc>
      </w:tr>
      <w:tr w:rsidR="009A2BAD" w:rsidRPr="00F6033F" w14:paraId="4E2409B7" w14:textId="51A63B27" w:rsidTr="009A2BAD">
        <w:trPr>
          <w:trHeight w:val="495"/>
          <w:jc w:val="center"/>
        </w:trPr>
        <w:tc>
          <w:tcPr>
            <w:tcW w:w="539" w:type="pct"/>
            <w:vAlign w:val="center"/>
          </w:tcPr>
          <w:p w14:paraId="3FE6ABEA"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总砷（</w:t>
            </w:r>
            <w:r w:rsidRPr="00F6033F">
              <w:rPr>
                <w:rFonts w:ascii="Times New Roman" w:hAnsi="Times New Roman" w:cs="Times New Roman"/>
                <w:color w:val="auto"/>
                <w:lang w:eastAsia="zh-CN"/>
              </w:rPr>
              <w:t>mg/L</w:t>
            </w:r>
            <w:r w:rsidRPr="00F6033F">
              <w:rPr>
                <w:rFonts w:ascii="Times New Roman" w:hAnsi="Times New Roman" w:cs="Times New Roman"/>
                <w:color w:val="auto"/>
                <w:lang w:eastAsia="zh-CN"/>
              </w:rPr>
              <w:t>）</w:t>
            </w:r>
          </w:p>
        </w:tc>
        <w:tc>
          <w:tcPr>
            <w:tcW w:w="401" w:type="pct"/>
            <w:vAlign w:val="center"/>
          </w:tcPr>
          <w:p w14:paraId="0F5DFF49" w14:textId="4C67316E" w:rsidR="00610143" w:rsidRPr="00F6033F" w:rsidRDefault="00610143" w:rsidP="00F6033F">
            <w:pPr>
              <w:widowControl/>
              <w:adjustRightInd w:val="0"/>
              <w:snapToGrid w:val="0"/>
              <w:spacing w:after="0" w:line="240" w:lineRule="auto"/>
              <w:ind w:right="41" w:hanging="222"/>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0.0003L</w:t>
            </w:r>
          </w:p>
        </w:tc>
        <w:tc>
          <w:tcPr>
            <w:tcW w:w="402" w:type="pct"/>
            <w:vAlign w:val="center"/>
          </w:tcPr>
          <w:p w14:paraId="24174DBE" w14:textId="2DE02C18" w:rsidR="00610143" w:rsidRPr="00F6033F" w:rsidRDefault="00610143" w:rsidP="00F6033F">
            <w:pPr>
              <w:widowControl/>
              <w:adjustRightInd w:val="0"/>
              <w:snapToGrid w:val="0"/>
              <w:spacing w:after="0" w:line="240" w:lineRule="auto"/>
              <w:ind w:right="41" w:hanging="222"/>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0.0003L</w:t>
            </w:r>
          </w:p>
        </w:tc>
        <w:tc>
          <w:tcPr>
            <w:tcW w:w="401" w:type="pct"/>
            <w:vAlign w:val="center"/>
          </w:tcPr>
          <w:p w14:paraId="2D0E2AAC" w14:textId="0C08541D" w:rsidR="00610143" w:rsidRPr="00F6033F" w:rsidRDefault="00610143" w:rsidP="00F6033F">
            <w:pPr>
              <w:widowControl/>
              <w:adjustRightInd w:val="0"/>
              <w:snapToGrid w:val="0"/>
              <w:spacing w:after="0" w:line="240" w:lineRule="auto"/>
              <w:ind w:right="40" w:hanging="219"/>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0.0003L</w:t>
            </w:r>
          </w:p>
        </w:tc>
        <w:tc>
          <w:tcPr>
            <w:tcW w:w="402" w:type="pct"/>
            <w:vAlign w:val="center"/>
          </w:tcPr>
          <w:p w14:paraId="1387C840" w14:textId="368F8346" w:rsidR="00610143" w:rsidRPr="00F6033F" w:rsidRDefault="00610143" w:rsidP="00F6033F">
            <w:pPr>
              <w:widowControl/>
              <w:adjustRightInd w:val="0"/>
              <w:snapToGrid w:val="0"/>
              <w:spacing w:after="0" w:line="240" w:lineRule="auto"/>
              <w:ind w:right="41" w:hanging="222"/>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0.0003L</w:t>
            </w:r>
          </w:p>
        </w:tc>
        <w:tc>
          <w:tcPr>
            <w:tcW w:w="400" w:type="pct"/>
            <w:vAlign w:val="center"/>
          </w:tcPr>
          <w:p w14:paraId="5B1A08D4" w14:textId="3AABEABF" w:rsidR="00610143" w:rsidRPr="00F6033F" w:rsidRDefault="00610143" w:rsidP="00F6033F">
            <w:pPr>
              <w:widowControl/>
              <w:adjustRightInd w:val="0"/>
              <w:snapToGrid w:val="0"/>
              <w:spacing w:after="0" w:line="240" w:lineRule="auto"/>
              <w:ind w:right="38" w:hanging="219"/>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0.0003L</w:t>
            </w:r>
          </w:p>
        </w:tc>
        <w:tc>
          <w:tcPr>
            <w:tcW w:w="401" w:type="pct"/>
            <w:vAlign w:val="center"/>
          </w:tcPr>
          <w:p w14:paraId="10D19518" w14:textId="705984D0" w:rsidR="00610143" w:rsidRPr="00F6033F" w:rsidRDefault="00610143" w:rsidP="00F6033F">
            <w:pPr>
              <w:widowControl/>
              <w:adjustRightInd w:val="0"/>
              <w:snapToGrid w:val="0"/>
              <w:spacing w:after="0" w:line="240" w:lineRule="auto"/>
              <w:ind w:right="39" w:hanging="222"/>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0.0003L</w:t>
            </w:r>
          </w:p>
        </w:tc>
        <w:tc>
          <w:tcPr>
            <w:tcW w:w="401" w:type="pct"/>
            <w:vAlign w:val="center"/>
          </w:tcPr>
          <w:p w14:paraId="535178A8" w14:textId="35492130" w:rsidR="00610143" w:rsidRPr="00F6033F" w:rsidRDefault="00610143" w:rsidP="00F6033F">
            <w:pPr>
              <w:widowControl/>
              <w:adjustRightInd w:val="0"/>
              <w:snapToGrid w:val="0"/>
              <w:spacing w:after="0" w:line="240" w:lineRule="auto"/>
              <w:ind w:right="40" w:hanging="222"/>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0.0003L</w:t>
            </w:r>
          </w:p>
        </w:tc>
        <w:tc>
          <w:tcPr>
            <w:tcW w:w="401" w:type="pct"/>
            <w:vAlign w:val="center"/>
          </w:tcPr>
          <w:p w14:paraId="778EB50C" w14:textId="518B1191" w:rsidR="00610143" w:rsidRPr="00F6033F" w:rsidRDefault="00610143" w:rsidP="00F6033F">
            <w:pPr>
              <w:widowControl/>
              <w:adjustRightInd w:val="0"/>
              <w:snapToGrid w:val="0"/>
              <w:spacing w:after="0" w:line="240" w:lineRule="auto"/>
              <w:ind w:right="39" w:hanging="222"/>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0.0003L</w:t>
            </w:r>
          </w:p>
        </w:tc>
        <w:tc>
          <w:tcPr>
            <w:tcW w:w="696" w:type="pct"/>
            <w:vAlign w:val="center"/>
          </w:tcPr>
          <w:p w14:paraId="38C47C67"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w:t>
            </w:r>
          </w:p>
        </w:tc>
        <w:tc>
          <w:tcPr>
            <w:tcW w:w="557" w:type="pct"/>
            <w:vAlign w:val="center"/>
          </w:tcPr>
          <w:p w14:paraId="71383AB4" w14:textId="2C03DFD6" w:rsidR="00610143" w:rsidRPr="00610143" w:rsidRDefault="009A2BAD" w:rsidP="00610143">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w:t>
            </w:r>
            <w:r>
              <w:rPr>
                <w:rFonts w:ascii="Times New Roman" w:hAnsi="Times New Roman" w:cs="Times New Roman" w:hint="eastAsia"/>
                <w:color w:val="auto"/>
                <w:lang w:eastAsia="zh-CN"/>
              </w:rPr>
              <w:t>0.1</w:t>
            </w:r>
          </w:p>
        </w:tc>
      </w:tr>
      <w:tr w:rsidR="009A2BAD" w:rsidRPr="00F6033F" w14:paraId="0BF91D55" w14:textId="15310F0B" w:rsidTr="009A2BAD">
        <w:trPr>
          <w:trHeight w:val="495"/>
          <w:jc w:val="center"/>
        </w:trPr>
        <w:tc>
          <w:tcPr>
            <w:tcW w:w="539" w:type="pct"/>
            <w:vAlign w:val="center"/>
          </w:tcPr>
          <w:p w14:paraId="579594C2"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总铅（</w:t>
            </w:r>
            <w:r w:rsidRPr="00F6033F">
              <w:rPr>
                <w:rFonts w:ascii="Times New Roman" w:hAnsi="Times New Roman" w:cs="Times New Roman"/>
                <w:color w:val="auto"/>
                <w:lang w:eastAsia="zh-CN"/>
              </w:rPr>
              <w:t>mg/L</w:t>
            </w:r>
            <w:r w:rsidRPr="00F6033F">
              <w:rPr>
                <w:rFonts w:ascii="Times New Roman" w:hAnsi="Times New Roman" w:cs="Times New Roman"/>
                <w:color w:val="auto"/>
                <w:lang w:eastAsia="zh-CN"/>
              </w:rPr>
              <w:t>）</w:t>
            </w:r>
          </w:p>
        </w:tc>
        <w:tc>
          <w:tcPr>
            <w:tcW w:w="401" w:type="pct"/>
            <w:vAlign w:val="center"/>
          </w:tcPr>
          <w:p w14:paraId="2078CA2B"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0.010L</w:t>
            </w:r>
          </w:p>
        </w:tc>
        <w:tc>
          <w:tcPr>
            <w:tcW w:w="402" w:type="pct"/>
            <w:vAlign w:val="center"/>
          </w:tcPr>
          <w:p w14:paraId="54F0987B"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0.010L</w:t>
            </w:r>
          </w:p>
        </w:tc>
        <w:tc>
          <w:tcPr>
            <w:tcW w:w="401" w:type="pct"/>
            <w:vAlign w:val="center"/>
          </w:tcPr>
          <w:p w14:paraId="2D167DC0"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0.010L</w:t>
            </w:r>
          </w:p>
        </w:tc>
        <w:tc>
          <w:tcPr>
            <w:tcW w:w="402" w:type="pct"/>
            <w:vAlign w:val="center"/>
          </w:tcPr>
          <w:p w14:paraId="52E30B23"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0.010L</w:t>
            </w:r>
          </w:p>
        </w:tc>
        <w:tc>
          <w:tcPr>
            <w:tcW w:w="400" w:type="pct"/>
            <w:vAlign w:val="center"/>
          </w:tcPr>
          <w:p w14:paraId="6B2F1621"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0.010L</w:t>
            </w:r>
          </w:p>
        </w:tc>
        <w:tc>
          <w:tcPr>
            <w:tcW w:w="401" w:type="pct"/>
            <w:vAlign w:val="center"/>
          </w:tcPr>
          <w:p w14:paraId="0870D6B8"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0.010L</w:t>
            </w:r>
          </w:p>
        </w:tc>
        <w:tc>
          <w:tcPr>
            <w:tcW w:w="401" w:type="pct"/>
            <w:vAlign w:val="center"/>
          </w:tcPr>
          <w:p w14:paraId="6BEA0584"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0.010L</w:t>
            </w:r>
          </w:p>
        </w:tc>
        <w:tc>
          <w:tcPr>
            <w:tcW w:w="401" w:type="pct"/>
            <w:vAlign w:val="center"/>
          </w:tcPr>
          <w:p w14:paraId="0BE28D65"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0.010L</w:t>
            </w:r>
          </w:p>
        </w:tc>
        <w:tc>
          <w:tcPr>
            <w:tcW w:w="696" w:type="pct"/>
            <w:vAlign w:val="center"/>
          </w:tcPr>
          <w:p w14:paraId="0D5719A9" w14:textId="77777777" w:rsidR="00610143" w:rsidRPr="00F6033F" w:rsidRDefault="00610143" w:rsidP="00F6033F">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w:t>
            </w:r>
          </w:p>
        </w:tc>
        <w:tc>
          <w:tcPr>
            <w:tcW w:w="557" w:type="pct"/>
            <w:vAlign w:val="center"/>
          </w:tcPr>
          <w:p w14:paraId="161AD205" w14:textId="2BAEDF86" w:rsidR="00610143" w:rsidRPr="00610143" w:rsidRDefault="009A2BAD" w:rsidP="00610143">
            <w:pPr>
              <w:widowControl/>
              <w:adjustRightInd w:val="0"/>
              <w:snapToGrid w:val="0"/>
              <w:spacing w:after="0" w:line="240" w:lineRule="auto"/>
              <w:jc w:val="center"/>
              <w:textAlignment w:val="center"/>
              <w:rPr>
                <w:rFonts w:ascii="Times New Roman" w:hAnsi="Times New Roman" w:cs="Times New Roman"/>
                <w:color w:val="auto"/>
                <w:lang w:eastAsia="zh-CN"/>
              </w:rPr>
            </w:pPr>
            <w:r w:rsidRPr="00F6033F">
              <w:rPr>
                <w:rFonts w:ascii="Times New Roman" w:hAnsi="Times New Roman" w:cs="Times New Roman"/>
                <w:color w:val="auto"/>
                <w:lang w:eastAsia="zh-CN"/>
              </w:rPr>
              <w:t>≤</w:t>
            </w:r>
            <w:r>
              <w:rPr>
                <w:rFonts w:ascii="Times New Roman" w:hAnsi="Times New Roman" w:cs="Times New Roman" w:hint="eastAsia"/>
                <w:color w:val="auto"/>
                <w:lang w:eastAsia="zh-CN"/>
              </w:rPr>
              <w:t>0.1</w:t>
            </w:r>
          </w:p>
        </w:tc>
      </w:tr>
    </w:tbl>
    <w:p w14:paraId="148919AD" w14:textId="207D8CF1" w:rsidR="00606029" w:rsidRDefault="00F6033F">
      <w:pPr>
        <w:spacing w:line="360" w:lineRule="auto"/>
        <w:ind w:firstLineChars="200" w:firstLine="480"/>
        <w:rPr>
          <w:sz w:val="24"/>
          <w:szCs w:val="24"/>
        </w:rPr>
      </w:pPr>
      <w:r w:rsidRPr="00F6033F">
        <w:rPr>
          <w:rFonts w:hint="eastAsia"/>
          <w:sz w:val="24"/>
          <w:szCs w:val="24"/>
        </w:rPr>
        <w:t>渗滤液处理站处理后的废水处理后监测结果均</w:t>
      </w:r>
      <w:bookmarkStart w:id="247" w:name="OLE_LINK35"/>
      <w:r w:rsidRPr="00F6033F">
        <w:rPr>
          <w:rFonts w:hint="eastAsia"/>
          <w:sz w:val="24"/>
          <w:szCs w:val="24"/>
        </w:rPr>
        <w:t>满足《城市污水再生利用</w:t>
      </w:r>
      <w:r w:rsidR="00610143">
        <w:rPr>
          <w:rFonts w:hint="eastAsia"/>
          <w:sz w:val="24"/>
          <w:szCs w:val="24"/>
        </w:rPr>
        <w:t xml:space="preserve"> </w:t>
      </w:r>
      <w:r w:rsidRPr="00F6033F">
        <w:rPr>
          <w:rFonts w:hint="eastAsia"/>
          <w:sz w:val="24"/>
          <w:szCs w:val="24"/>
        </w:rPr>
        <w:t>工业用水水质》（</w:t>
      </w:r>
      <w:r w:rsidRPr="00F6033F">
        <w:rPr>
          <w:rFonts w:hint="eastAsia"/>
          <w:sz w:val="24"/>
          <w:szCs w:val="24"/>
        </w:rPr>
        <w:t>GB/T19923-20</w:t>
      </w:r>
      <w:r>
        <w:rPr>
          <w:rFonts w:hint="eastAsia"/>
          <w:sz w:val="24"/>
          <w:szCs w:val="24"/>
        </w:rPr>
        <w:t>24</w:t>
      </w:r>
      <w:r w:rsidRPr="00F6033F">
        <w:rPr>
          <w:rFonts w:hint="eastAsia"/>
          <w:sz w:val="24"/>
          <w:szCs w:val="24"/>
        </w:rPr>
        <w:t>）</w:t>
      </w:r>
      <w:r w:rsidR="00F32134">
        <w:rPr>
          <w:rFonts w:hint="eastAsia"/>
          <w:sz w:val="24"/>
          <w:szCs w:val="24"/>
        </w:rPr>
        <w:t>表</w:t>
      </w:r>
      <w:r w:rsidR="00F32134">
        <w:rPr>
          <w:rFonts w:hint="eastAsia"/>
          <w:sz w:val="24"/>
          <w:szCs w:val="24"/>
        </w:rPr>
        <w:t>1</w:t>
      </w:r>
      <w:r w:rsidR="00262ECA">
        <w:rPr>
          <w:rFonts w:hint="eastAsia"/>
          <w:sz w:val="24"/>
          <w:szCs w:val="24"/>
        </w:rPr>
        <w:t>间冷开式循环</w:t>
      </w:r>
      <w:r w:rsidR="00F32134">
        <w:rPr>
          <w:rFonts w:hint="eastAsia"/>
          <w:sz w:val="24"/>
          <w:szCs w:val="24"/>
        </w:rPr>
        <w:t>冷却水</w:t>
      </w:r>
      <w:r w:rsidR="00262ECA">
        <w:rPr>
          <w:rFonts w:hint="eastAsia"/>
          <w:sz w:val="24"/>
          <w:szCs w:val="24"/>
        </w:rPr>
        <w:t>补</w:t>
      </w:r>
      <w:r w:rsidRPr="00F6033F">
        <w:rPr>
          <w:rFonts w:hint="eastAsia"/>
          <w:sz w:val="24"/>
          <w:szCs w:val="24"/>
        </w:rPr>
        <w:t>充水标准</w:t>
      </w:r>
      <w:r w:rsidR="00F32134">
        <w:rPr>
          <w:rFonts w:hint="eastAsia"/>
          <w:sz w:val="24"/>
          <w:szCs w:val="24"/>
        </w:rPr>
        <w:t>和</w:t>
      </w:r>
      <w:r w:rsidRPr="00F6033F">
        <w:rPr>
          <w:rFonts w:hint="eastAsia"/>
          <w:sz w:val="24"/>
          <w:szCs w:val="24"/>
        </w:rPr>
        <w:t>《生活垃圾填埋场污染控制标准》（</w:t>
      </w:r>
      <w:r w:rsidRPr="00F6033F">
        <w:rPr>
          <w:rFonts w:hint="eastAsia"/>
          <w:sz w:val="24"/>
          <w:szCs w:val="24"/>
        </w:rPr>
        <w:t>GB16889-20</w:t>
      </w:r>
      <w:r>
        <w:rPr>
          <w:rFonts w:hint="eastAsia"/>
          <w:sz w:val="24"/>
          <w:szCs w:val="24"/>
        </w:rPr>
        <w:t>24</w:t>
      </w:r>
      <w:r w:rsidRPr="00F6033F">
        <w:rPr>
          <w:rFonts w:hint="eastAsia"/>
          <w:sz w:val="24"/>
          <w:szCs w:val="24"/>
        </w:rPr>
        <w:t>）表</w:t>
      </w:r>
      <w:r w:rsidR="00505D6B">
        <w:rPr>
          <w:rFonts w:hint="eastAsia"/>
          <w:sz w:val="24"/>
          <w:szCs w:val="24"/>
        </w:rPr>
        <w:t>4</w:t>
      </w:r>
      <w:r w:rsidRPr="00F6033F">
        <w:rPr>
          <w:rFonts w:hint="eastAsia"/>
          <w:sz w:val="24"/>
          <w:szCs w:val="24"/>
        </w:rPr>
        <w:t>限值要求。</w:t>
      </w:r>
      <w:bookmarkEnd w:id="247"/>
      <w:r w:rsidR="00EA5B92">
        <w:rPr>
          <w:sz w:val="24"/>
          <w:szCs w:val="24"/>
        </w:rPr>
        <w:t>因此，本项目废水的处理工艺是可行的。</w:t>
      </w:r>
    </w:p>
    <w:p w14:paraId="5F470615" w14:textId="77777777" w:rsidR="00606029" w:rsidRDefault="00EA5B92">
      <w:pPr>
        <w:pStyle w:val="4"/>
      </w:pPr>
      <w:r>
        <w:t>6.2.2.5</w:t>
      </w:r>
      <w:r>
        <w:t>地表水环境影响分析小结</w:t>
      </w:r>
    </w:p>
    <w:p w14:paraId="42C138C8" w14:textId="55A94844" w:rsidR="00606029" w:rsidRDefault="00EA5B92">
      <w:pPr>
        <w:spacing w:line="360" w:lineRule="auto"/>
        <w:ind w:firstLineChars="200" w:firstLine="480"/>
        <w:rPr>
          <w:sz w:val="24"/>
          <w:szCs w:val="24"/>
        </w:rPr>
      </w:pPr>
      <w:r>
        <w:rPr>
          <w:sz w:val="24"/>
          <w:szCs w:val="24"/>
        </w:rPr>
        <w:t>本项目产生的</w:t>
      </w:r>
      <w:r w:rsidR="0058336F">
        <w:rPr>
          <w:rFonts w:hint="eastAsia"/>
          <w:sz w:val="24"/>
          <w:szCs w:val="24"/>
        </w:rPr>
        <w:t>淋溶水</w:t>
      </w:r>
      <w:r>
        <w:rPr>
          <w:sz w:val="24"/>
          <w:szCs w:val="24"/>
        </w:rPr>
        <w:t>依托</w:t>
      </w:r>
      <w:r w:rsidR="0058336F">
        <w:rPr>
          <w:rFonts w:hint="eastAsia"/>
          <w:sz w:val="24"/>
          <w:szCs w:val="24"/>
        </w:rPr>
        <w:t>厂区</w:t>
      </w:r>
      <w:r>
        <w:rPr>
          <w:sz w:val="24"/>
          <w:szCs w:val="24"/>
        </w:rPr>
        <w:t>渗滤液处理站处理达标后</w:t>
      </w:r>
      <w:r w:rsidR="0058336F" w:rsidRPr="0058336F">
        <w:rPr>
          <w:rFonts w:hint="eastAsia"/>
          <w:sz w:val="24"/>
          <w:szCs w:val="24"/>
        </w:rPr>
        <w:t>满足《城市污水再生利用</w:t>
      </w:r>
      <w:r w:rsidR="0058336F" w:rsidRPr="0058336F">
        <w:rPr>
          <w:rFonts w:hint="eastAsia"/>
          <w:sz w:val="24"/>
          <w:szCs w:val="24"/>
        </w:rPr>
        <w:t xml:space="preserve"> </w:t>
      </w:r>
      <w:r w:rsidR="0058336F" w:rsidRPr="0058336F">
        <w:rPr>
          <w:rFonts w:hint="eastAsia"/>
          <w:sz w:val="24"/>
          <w:szCs w:val="24"/>
        </w:rPr>
        <w:t>工业用水水质》（</w:t>
      </w:r>
      <w:r w:rsidR="0058336F" w:rsidRPr="0058336F">
        <w:rPr>
          <w:rFonts w:hint="eastAsia"/>
          <w:sz w:val="24"/>
          <w:szCs w:val="24"/>
        </w:rPr>
        <w:t>GB/T19923-2024</w:t>
      </w:r>
      <w:r w:rsidR="0058336F" w:rsidRPr="0058336F">
        <w:rPr>
          <w:rFonts w:hint="eastAsia"/>
          <w:sz w:val="24"/>
          <w:szCs w:val="24"/>
        </w:rPr>
        <w:t>）</w:t>
      </w:r>
      <w:r w:rsidR="00F32134">
        <w:rPr>
          <w:rFonts w:hint="eastAsia"/>
          <w:sz w:val="24"/>
          <w:szCs w:val="24"/>
        </w:rPr>
        <w:t>表</w:t>
      </w:r>
      <w:r w:rsidR="00F32134">
        <w:rPr>
          <w:rFonts w:hint="eastAsia"/>
          <w:sz w:val="24"/>
          <w:szCs w:val="24"/>
        </w:rPr>
        <w:t>1</w:t>
      </w:r>
      <w:r w:rsidR="0058336F" w:rsidRPr="0058336F">
        <w:rPr>
          <w:rFonts w:hint="eastAsia"/>
          <w:sz w:val="24"/>
          <w:szCs w:val="24"/>
        </w:rPr>
        <w:t>间冷开式循环</w:t>
      </w:r>
      <w:r w:rsidR="00F32134">
        <w:rPr>
          <w:rFonts w:hint="eastAsia"/>
          <w:sz w:val="24"/>
          <w:szCs w:val="24"/>
        </w:rPr>
        <w:t>冷却水</w:t>
      </w:r>
      <w:r w:rsidR="0058336F" w:rsidRPr="0058336F">
        <w:rPr>
          <w:rFonts w:hint="eastAsia"/>
          <w:sz w:val="24"/>
          <w:szCs w:val="24"/>
        </w:rPr>
        <w:t>补充水标准</w:t>
      </w:r>
      <w:r w:rsidR="00F32134">
        <w:rPr>
          <w:rFonts w:hint="eastAsia"/>
          <w:sz w:val="24"/>
          <w:szCs w:val="24"/>
        </w:rPr>
        <w:t>和</w:t>
      </w:r>
      <w:r w:rsidR="0058336F" w:rsidRPr="0058336F">
        <w:rPr>
          <w:rFonts w:hint="eastAsia"/>
          <w:sz w:val="24"/>
          <w:szCs w:val="24"/>
        </w:rPr>
        <w:t>《生活垃圾填埋场污染控制标准》（</w:t>
      </w:r>
      <w:r w:rsidR="0058336F" w:rsidRPr="0058336F">
        <w:rPr>
          <w:rFonts w:hint="eastAsia"/>
          <w:sz w:val="24"/>
          <w:szCs w:val="24"/>
        </w:rPr>
        <w:t>GB16889-2024</w:t>
      </w:r>
      <w:r w:rsidR="0058336F" w:rsidRPr="0058336F">
        <w:rPr>
          <w:rFonts w:hint="eastAsia"/>
          <w:sz w:val="24"/>
          <w:szCs w:val="24"/>
        </w:rPr>
        <w:t>）表</w:t>
      </w:r>
      <w:r w:rsidR="00505D6B">
        <w:rPr>
          <w:rFonts w:hint="eastAsia"/>
          <w:sz w:val="24"/>
          <w:szCs w:val="24"/>
        </w:rPr>
        <w:t>4</w:t>
      </w:r>
      <w:r w:rsidR="0058336F" w:rsidRPr="0058336F">
        <w:rPr>
          <w:rFonts w:hint="eastAsia"/>
          <w:sz w:val="24"/>
          <w:szCs w:val="24"/>
        </w:rPr>
        <w:t>限值要求。</w:t>
      </w:r>
      <w:r w:rsidR="0058336F">
        <w:rPr>
          <w:rFonts w:hint="eastAsia"/>
          <w:sz w:val="24"/>
          <w:szCs w:val="24"/>
        </w:rPr>
        <w:t>不会对</w:t>
      </w:r>
      <w:r>
        <w:rPr>
          <w:sz w:val="24"/>
          <w:szCs w:val="24"/>
        </w:rPr>
        <w:t>周边水环境</w:t>
      </w:r>
      <w:r w:rsidR="0058336F">
        <w:rPr>
          <w:rFonts w:hint="eastAsia"/>
          <w:sz w:val="24"/>
          <w:szCs w:val="24"/>
        </w:rPr>
        <w:t>产生</w:t>
      </w:r>
      <w:r>
        <w:rPr>
          <w:sz w:val="24"/>
          <w:szCs w:val="24"/>
        </w:rPr>
        <w:t>影响。</w:t>
      </w:r>
    </w:p>
    <w:p w14:paraId="09AC32BE" w14:textId="77777777" w:rsidR="00606029" w:rsidRDefault="00EA5B92">
      <w:pPr>
        <w:spacing w:line="360" w:lineRule="auto"/>
        <w:ind w:firstLineChars="200" w:firstLine="480"/>
        <w:rPr>
          <w:sz w:val="24"/>
          <w:szCs w:val="24"/>
        </w:rPr>
      </w:pPr>
      <w:r>
        <w:rPr>
          <w:sz w:val="24"/>
          <w:szCs w:val="24"/>
        </w:rPr>
        <w:t>项目地表水环境影响评价自查表详见下表。</w:t>
      </w:r>
    </w:p>
    <w:p w14:paraId="2E234D96" w14:textId="4C0F082D" w:rsidR="00606029" w:rsidRDefault="00EA5B92">
      <w:pPr>
        <w:spacing w:before="49"/>
        <w:ind w:firstLine="400"/>
        <w:jc w:val="center"/>
        <w:rPr>
          <w:b/>
        </w:rPr>
      </w:pPr>
      <w:r>
        <w:rPr>
          <w:b/>
        </w:rPr>
        <w:t>表</w:t>
      </w:r>
      <w:r>
        <w:rPr>
          <w:rFonts w:hint="eastAsia"/>
          <w:b/>
          <w:bCs/>
        </w:rPr>
        <w:t>6.2</w:t>
      </w:r>
      <w:r w:rsidR="004F102D">
        <w:rPr>
          <w:rFonts w:hint="eastAsia"/>
          <w:b/>
          <w:bCs/>
        </w:rPr>
        <w:t>-19</w:t>
      </w:r>
      <w:r>
        <w:rPr>
          <w:b/>
        </w:rPr>
        <w:t xml:space="preserve">  </w:t>
      </w:r>
      <w:r>
        <w:rPr>
          <w:b/>
        </w:rPr>
        <w:t>地表水环境影响评价自查表</w:t>
      </w:r>
    </w:p>
    <w:tbl>
      <w:tblPr>
        <w:tblW w:w="5015" w:type="pct"/>
        <w:jc w:val="center"/>
        <w:tblBorders>
          <w:top w:val="single" w:sz="4" w:space="0" w:color="auto"/>
          <w:left w:val="single" w:sz="4" w:space="0" w:color="auto"/>
          <w:bottom w:val="single" w:sz="4" w:space="0" w:color="auto"/>
          <w:right w:val="single" w:sz="4" w:space="0" w:color="auto"/>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546"/>
        <w:gridCol w:w="1395"/>
        <w:gridCol w:w="1460"/>
        <w:gridCol w:w="231"/>
        <w:gridCol w:w="2188"/>
        <w:gridCol w:w="462"/>
        <w:gridCol w:w="1442"/>
        <w:gridCol w:w="1137"/>
      </w:tblGrid>
      <w:tr w:rsidR="00606029" w14:paraId="1B78A3F9" w14:textId="77777777" w:rsidTr="00C83CD8">
        <w:trPr>
          <w:trHeight w:val="340"/>
          <w:jc w:val="center"/>
        </w:trPr>
        <w:tc>
          <w:tcPr>
            <w:tcW w:w="1941" w:type="dxa"/>
            <w:gridSpan w:val="2"/>
            <w:tcBorders>
              <w:tl2br w:val="nil"/>
              <w:tr2bl w:val="nil"/>
            </w:tcBorders>
            <w:vAlign w:val="center"/>
          </w:tcPr>
          <w:p w14:paraId="1B642D90" w14:textId="77777777" w:rsidR="00606029" w:rsidRDefault="00EA5B92">
            <w:pPr>
              <w:spacing w:line="280" w:lineRule="exact"/>
              <w:jc w:val="center"/>
            </w:pPr>
            <w:r>
              <w:t>工作内容</w:t>
            </w:r>
          </w:p>
        </w:tc>
        <w:tc>
          <w:tcPr>
            <w:tcW w:w="6920" w:type="dxa"/>
            <w:gridSpan w:val="6"/>
            <w:tcBorders>
              <w:tl2br w:val="nil"/>
              <w:tr2bl w:val="nil"/>
            </w:tcBorders>
            <w:vAlign w:val="center"/>
          </w:tcPr>
          <w:p w14:paraId="6D34BE62" w14:textId="77777777" w:rsidR="00606029" w:rsidRDefault="00EA5B92">
            <w:pPr>
              <w:spacing w:line="280" w:lineRule="exact"/>
              <w:jc w:val="center"/>
            </w:pPr>
            <w:r>
              <w:t>自查项目</w:t>
            </w:r>
          </w:p>
        </w:tc>
      </w:tr>
      <w:tr w:rsidR="00606029" w14:paraId="698AB442" w14:textId="77777777" w:rsidTr="00C83CD8">
        <w:trPr>
          <w:trHeight w:val="340"/>
          <w:jc w:val="center"/>
        </w:trPr>
        <w:tc>
          <w:tcPr>
            <w:tcW w:w="546" w:type="dxa"/>
            <w:vMerge w:val="restart"/>
            <w:tcBorders>
              <w:tl2br w:val="nil"/>
              <w:tr2bl w:val="nil"/>
            </w:tcBorders>
            <w:vAlign w:val="center"/>
          </w:tcPr>
          <w:p w14:paraId="7E37505C" w14:textId="77777777" w:rsidR="00606029" w:rsidRDefault="00EA5B92">
            <w:pPr>
              <w:spacing w:line="280" w:lineRule="exact"/>
              <w:jc w:val="center"/>
            </w:pPr>
            <w:r>
              <w:t>影响识别</w:t>
            </w:r>
          </w:p>
        </w:tc>
        <w:tc>
          <w:tcPr>
            <w:tcW w:w="1395" w:type="dxa"/>
            <w:tcBorders>
              <w:tl2br w:val="nil"/>
              <w:tr2bl w:val="nil"/>
            </w:tcBorders>
            <w:vAlign w:val="center"/>
          </w:tcPr>
          <w:p w14:paraId="2B12CF83" w14:textId="77777777" w:rsidR="00606029" w:rsidRDefault="00EA5B92">
            <w:pPr>
              <w:spacing w:line="280" w:lineRule="exact"/>
              <w:jc w:val="center"/>
            </w:pPr>
            <w:r>
              <w:t>影响类型</w:t>
            </w:r>
          </w:p>
        </w:tc>
        <w:tc>
          <w:tcPr>
            <w:tcW w:w="6920" w:type="dxa"/>
            <w:gridSpan w:val="6"/>
            <w:tcBorders>
              <w:tl2br w:val="nil"/>
              <w:tr2bl w:val="nil"/>
            </w:tcBorders>
            <w:vAlign w:val="center"/>
          </w:tcPr>
          <w:p w14:paraId="0BAF9242" w14:textId="77777777" w:rsidR="00606029" w:rsidRDefault="00EA5B92">
            <w:pPr>
              <w:spacing w:line="280" w:lineRule="exact"/>
              <w:jc w:val="center"/>
            </w:pPr>
            <w:r>
              <w:t>水污染影响型</w:t>
            </w:r>
            <w:r>
              <w:t>☑</w:t>
            </w:r>
            <w:r>
              <w:t>；水文要素影响型</w:t>
            </w:r>
            <w:r>
              <w:t>□</w:t>
            </w:r>
          </w:p>
        </w:tc>
      </w:tr>
      <w:tr w:rsidR="00606029" w14:paraId="59AAF405" w14:textId="77777777" w:rsidTr="00C83CD8">
        <w:trPr>
          <w:trHeight w:val="340"/>
          <w:jc w:val="center"/>
        </w:trPr>
        <w:tc>
          <w:tcPr>
            <w:tcW w:w="546" w:type="dxa"/>
            <w:vMerge/>
            <w:tcBorders>
              <w:tl2br w:val="nil"/>
              <w:tr2bl w:val="nil"/>
            </w:tcBorders>
            <w:vAlign w:val="center"/>
          </w:tcPr>
          <w:p w14:paraId="0932305B" w14:textId="77777777" w:rsidR="00606029" w:rsidRDefault="00606029">
            <w:pPr>
              <w:spacing w:line="280" w:lineRule="exact"/>
              <w:jc w:val="center"/>
            </w:pPr>
          </w:p>
        </w:tc>
        <w:tc>
          <w:tcPr>
            <w:tcW w:w="1395" w:type="dxa"/>
            <w:tcBorders>
              <w:tl2br w:val="nil"/>
              <w:tr2bl w:val="nil"/>
            </w:tcBorders>
            <w:vAlign w:val="center"/>
          </w:tcPr>
          <w:p w14:paraId="6575C782" w14:textId="77777777" w:rsidR="00606029" w:rsidRDefault="00EA5B92">
            <w:pPr>
              <w:spacing w:line="280" w:lineRule="exact"/>
              <w:jc w:val="center"/>
            </w:pPr>
            <w:r>
              <w:t>水环境保护目标</w:t>
            </w:r>
          </w:p>
        </w:tc>
        <w:tc>
          <w:tcPr>
            <w:tcW w:w="6920" w:type="dxa"/>
            <w:gridSpan w:val="6"/>
            <w:tcBorders>
              <w:tl2br w:val="nil"/>
              <w:tr2bl w:val="nil"/>
            </w:tcBorders>
            <w:vAlign w:val="center"/>
          </w:tcPr>
          <w:p w14:paraId="7273A5C2" w14:textId="77777777" w:rsidR="00606029" w:rsidRDefault="00EA5B92">
            <w:pPr>
              <w:spacing w:line="280" w:lineRule="exact"/>
              <w:jc w:val="center"/>
            </w:pPr>
            <w:r>
              <w:t>饮用水水源保护区</w:t>
            </w:r>
            <w:r>
              <w:t>□</w:t>
            </w:r>
            <w:r>
              <w:t>；饮用水取水口</w:t>
            </w:r>
            <w:r>
              <w:t>□</w:t>
            </w:r>
            <w:r>
              <w:t>；涉水的自然保护区</w:t>
            </w:r>
            <w:r>
              <w:t>□</w:t>
            </w:r>
            <w:r>
              <w:t>；重要湿地</w:t>
            </w:r>
            <w:r>
              <w:t>□</w:t>
            </w:r>
            <w:r>
              <w:t>；重点保护与珍稀水生生物的栖息地</w:t>
            </w:r>
            <w:r>
              <w:t>□</w:t>
            </w:r>
            <w:r>
              <w:t>；重要水生生物的自然产卵场及索饵场、越冬场和洄游通道、天然渔场等渔业水体</w:t>
            </w:r>
            <w:r>
              <w:t>□</w:t>
            </w:r>
            <w:r>
              <w:t>；涉水的风景名胜区</w:t>
            </w:r>
            <w:r>
              <w:t>□</w:t>
            </w:r>
            <w:r>
              <w:t>；其他</w:t>
            </w:r>
            <w:r>
              <w:t>☑</w:t>
            </w:r>
          </w:p>
        </w:tc>
      </w:tr>
      <w:tr w:rsidR="00606029" w14:paraId="5D761E09" w14:textId="77777777" w:rsidTr="00C83CD8">
        <w:trPr>
          <w:trHeight w:val="340"/>
          <w:jc w:val="center"/>
        </w:trPr>
        <w:tc>
          <w:tcPr>
            <w:tcW w:w="546" w:type="dxa"/>
            <w:vMerge/>
            <w:tcBorders>
              <w:tl2br w:val="nil"/>
              <w:tr2bl w:val="nil"/>
            </w:tcBorders>
            <w:vAlign w:val="center"/>
          </w:tcPr>
          <w:p w14:paraId="0E603711" w14:textId="77777777" w:rsidR="00606029" w:rsidRDefault="00606029">
            <w:pPr>
              <w:spacing w:line="280" w:lineRule="exact"/>
              <w:jc w:val="center"/>
            </w:pPr>
          </w:p>
        </w:tc>
        <w:tc>
          <w:tcPr>
            <w:tcW w:w="1395" w:type="dxa"/>
            <w:vMerge w:val="restart"/>
            <w:tcBorders>
              <w:tl2br w:val="nil"/>
              <w:tr2bl w:val="nil"/>
            </w:tcBorders>
            <w:vAlign w:val="center"/>
          </w:tcPr>
          <w:p w14:paraId="1C2D3316" w14:textId="77777777" w:rsidR="00606029" w:rsidRDefault="00EA5B92">
            <w:pPr>
              <w:spacing w:line="280" w:lineRule="exact"/>
              <w:jc w:val="center"/>
            </w:pPr>
            <w:r>
              <w:t>影响途径</w:t>
            </w:r>
          </w:p>
        </w:tc>
        <w:tc>
          <w:tcPr>
            <w:tcW w:w="6920" w:type="dxa"/>
            <w:gridSpan w:val="6"/>
            <w:tcBorders>
              <w:tl2br w:val="nil"/>
              <w:tr2bl w:val="nil"/>
            </w:tcBorders>
            <w:vAlign w:val="center"/>
          </w:tcPr>
          <w:p w14:paraId="0D0D9768" w14:textId="77777777" w:rsidR="00606029" w:rsidRDefault="00EA5B92">
            <w:pPr>
              <w:spacing w:line="280" w:lineRule="exact"/>
              <w:jc w:val="center"/>
            </w:pPr>
            <w:r>
              <w:t>水污染影响型</w:t>
            </w:r>
          </w:p>
        </w:tc>
      </w:tr>
      <w:tr w:rsidR="00606029" w14:paraId="2978A2F5" w14:textId="77777777" w:rsidTr="00C83CD8">
        <w:trPr>
          <w:trHeight w:val="340"/>
          <w:jc w:val="center"/>
        </w:trPr>
        <w:tc>
          <w:tcPr>
            <w:tcW w:w="546" w:type="dxa"/>
            <w:vMerge/>
            <w:tcBorders>
              <w:tl2br w:val="nil"/>
              <w:tr2bl w:val="nil"/>
            </w:tcBorders>
            <w:vAlign w:val="center"/>
          </w:tcPr>
          <w:p w14:paraId="176B3463" w14:textId="77777777" w:rsidR="00606029" w:rsidRDefault="00606029">
            <w:pPr>
              <w:spacing w:line="280" w:lineRule="exact"/>
              <w:jc w:val="center"/>
            </w:pPr>
          </w:p>
        </w:tc>
        <w:tc>
          <w:tcPr>
            <w:tcW w:w="1395" w:type="dxa"/>
            <w:vMerge/>
            <w:tcBorders>
              <w:tl2br w:val="nil"/>
              <w:tr2bl w:val="nil"/>
            </w:tcBorders>
            <w:vAlign w:val="center"/>
          </w:tcPr>
          <w:p w14:paraId="06C569C6" w14:textId="77777777" w:rsidR="00606029" w:rsidRDefault="00606029">
            <w:pPr>
              <w:spacing w:line="280" w:lineRule="exact"/>
              <w:jc w:val="center"/>
            </w:pPr>
          </w:p>
        </w:tc>
        <w:tc>
          <w:tcPr>
            <w:tcW w:w="6920" w:type="dxa"/>
            <w:gridSpan w:val="6"/>
            <w:tcBorders>
              <w:tl2br w:val="nil"/>
              <w:tr2bl w:val="nil"/>
            </w:tcBorders>
            <w:vAlign w:val="center"/>
          </w:tcPr>
          <w:p w14:paraId="5E77800F" w14:textId="70194AC2" w:rsidR="00606029" w:rsidRDefault="00EA5B92">
            <w:pPr>
              <w:spacing w:line="280" w:lineRule="exact"/>
              <w:jc w:val="center"/>
            </w:pPr>
            <w:r>
              <w:t>直接排放</w:t>
            </w:r>
            <w:r>
              <w:t>□</w:t>
            </w:r>
            <w:r>
              <w:t>；间接排放</w:t>
            </w:r>
            <w:r w:rsidR="0058336F">
              <w:t>□</w:t>
            </w:r>
            <w:r>
              <w:t>；其他</w:t>
            </w:r>
            <w:r w:rsidR="0058336F" w:rsidRPr="0058336F">
              <w:rPr>
                <w:rFonts w:ascii="Segoe UI Symbol" w:hAnsi="Segoe UI Symbol" w:cs="Segoe UI Symbol"/>
              </w:rPr>
              <w:t>☑</w:t>
            </w:r>
          </w:p>
        </w:tc>
      </w:tr>
      <w:tr w:rsidR="00606029" w14:paraId="4867ED71" w14:textId="77777777" w:rsidTr="00C83CD8">
        <w:trPr>
          <w:trHeight w:val="340"/>
          <w:jc w:val="center"/>
        </w:trPr>
        <w:tc>
          <w:tcPr>
            <w:tcW w:w="546" w:type="dxa"/>
            <w:vMerge/>
            <w:tcBorders>
              <w:tl2br w:val="nil"/>
              <w:tr2bl w:val="nil"/>
            </w:tcBorders>
            <w:vAlign w:val="center"/>
          </w:tcPr>
          <w:p w14:paraId="14104CE0" w14:textId="77777777" w:rsidR="00606029" w:rsidRDefault="00606029">
            <w:pPr>
              <w:spacing w:line="280" w:lineRule="exact"/>
              <w:jc w:val="center"/>
            </w:pPr>
          </w:p>
        </w:tc>
        <w:tc>
          <w:tcPr>
            <w:tcW w:w="1395" w:type="dxa"/>
            <w:tcBorders>
              <w:tl2br w:val="nil"/>
              <w:tr2bl w:val="nil"/>
            </w:tcBorders>
            <w:vAlign w:val="center"/>
          </w:tcPr>
          <w:p w14:paraId="5061E5DF" w14:textId="77777777" w:rsidR="00606029" w:rsidRDefault="00EA5B92">
            <w:pPr>
              <w:spacing w:line="280" w:lineRule="exact"/>
              <w:jc w:val="center"/>
            </w:pPr>
            <w:r>
              <w:t>影响因子</w:t>
            </w:r>
          </w:p>
        </w:tc>
        <w:tc>
          <w:tcPr>
            <w:tcW w:w="6920" w:type="dxa"/>
            <w:gridSpan w:val="6"/>
            <w:tcBorders>
              <w:tl2br w:val="nil"/>
              <w:tr2bl w:val="nil"/>
            </w:tcBorders>
            <w:vAlign w:val="center"/>
          </w:tcPr>
          <w:p w14:paraId="56BC7434" w14:textId="77777777" w:rsidR="00606029" w:rsidRDefault="00EA5B92">
            <w:pPr>
              <w:spacing w:line="280" w:lineRule="exact"/>
              <w:jc w:val="center"/>
            </w:pPr>
            <w:r>
              <w:t>持久性污染物</w:t>
            </w:r>
            <w:r>
              <w:t>□</w:t>
            </w:r>
            <w:r>
              <w:t>；有毒有害污染物</w:t>
            </w:r>
            <w:r>
              <w:t>☑</w:t>
            </w:r>
            <w:r>
              <w:t>；非持久性污染物</w:t>
            </w:r>
            <w:r>
              <w:t>□</w:t>
            </w:r>
            <w:r>
              <w:t>；</w:t>
            </w:r>
            <w:r>
              <w:t>pH</w:t>
            </w:r>
            <w:r>
              <w:t>值</w:t>
            </w:r>
            <w:r>
              <w:t>□</w:t>
            </w:r>
            <w:r>
              <w:t>；</w:t>
            </w:r>
          </w:p>
          <w:p w14:paraId="16C2C0B7" w14:textId="77777777" w:rsidR="00606029" w:rsidRDefault="00EA5B92">
            <w:pPr>
              <w:spacing w:line="280" w:lineRule="exact"/>
              <w:jc w:val="center"/>
            </w:pPr>
            <w:r>
              <w:t>热污染</w:t>
            </w:r>
            <w:r>
              <w:t>□</w:t>
            </w:r>
            <w:r>
              <w:t>；富营养化</w:t>
            </w:r>
            <w:r>
              <w:t>□</w:t>
            </w:r>
            <w:r>
              <w:t>；其他</w:t>
            </w:r>
            <w:r>
              <w:t>☑</w:t>
            </w:r>
          </w:p>
        </w:tc>
      </w:tr>
      <w:tr w:rsidR="00606029" w14:paraId="4BC367E2" w14:textId="77777777" w:rsidTr="00C83CD8">
        <w:trPr>
          <w:trHeight w:val="340"/>
          <w:jc w:val="center"/>
        </w:trPr>
        <w:tc>
          <w:tcPr>
            <w:tcW w:w="1941" w:type="dxa"/>
            <w:gridSpan w:val="2"/>
            <w:vMerge w:val="restart"/>
            <w:tcBorders>
              <w:tl2br w:val="nil"/>
              <w:tr2bl w:val="nil"/>
            </w:tcBorders>
            <w:vAlign w:val="center"/>
          </w:tcPr>
          <w:p w14:paraId="560CF465" w14:textId="77777777" w:rsidR="00606029" w:rsidRDefault="00EA5B92">
            <w:pPr>
              <w:spacing w:line="280" w:lineRule="exact"/>
              <w:jc w:val="center"/>
            </w:pPr>
            <w:r>
              <w:t>评价等级</w:t>
            </w:r>
          </w:p>
        </w:tc>
        <w:tc>
          <w:tcPr>
            <w:tcW w:w="6920" w:type="dxa"/>
            <w:gridSpan w:val="6"/>
            <w:tcBorders>
              <w:tl2br w:val="nil"/>
              <w:tr2bl w:val="nil"/>
            </w:tcBorders>
            <w:vAlign w:val="center"/>
          </w:tcPr>
          <w:p w14:paraId="4A08B98E" w14:textId="77777777" w:rsidR="00606029" w:rsidRDefault="00EA5B92">
            <w:pPr>
              <w:spacing w:line="280" w:lineRule="exact"/>
              <w:jc w:val="center"/>
            </w:pPr>
            <w:r>
              <w:t>水污染影响型</w:t>
            </w:r>
          </w:p>
        </w:tc>
      </w:tr>
      <w:tr w:rsidR="00606029" w14:paraId="44CF12F9" w14:textId="77777777" w:rsidTr="00C83CD8">
        <w:trPr>
          <w:trHeight w:val="340"/>
          <w:jc w:val="center"/>
        </w:trPr>
        <w:tc>
          <w:tcPr>
            <w:tcW w:w="1941" w:type="dxa"/>
            <w:gridSpan w:val="2"/>
            <w:vMerge/>
            <w:tcBorders>
              <w:tl2br w:val="nil"/>
              <w:tr2bl w:val="nil"/>
            </w:tcBorders>
            <w:vAlign w:val="center"/>
          </w:tcPr>
          <w:p w14:paraId="22752724" w14:textId="77777777" w:rsidR="00606029" w:rsidRDefault="00606029">
            <w:pPr>
              <w:spacing w:line="280" w:lineRule="exact"/>
              <w:jc w:val="center"/>
            </w:pPr>
          </w:p>
        </w:tc>
        <w:tc>
          <w:tcPr>
            <w:tcW w:w="6920" w:type="dxa"/>
            <w:gridSpan w:val="6"/>
            <w:tcBorders>
              <w:tl2br w:val="nil"/>
              <w:tr2bl w:val="nil"/>
            </w:tcBorders>
            <w:vAlign w:val="center"/>
          </w:tcPr>
          <w:p w14:paraId="036B41FC" w14:textId="77777777" w:rsidR="00606029" w:rsidRDefault="00EA5B92">
            <w:pPr>
              <w:spacing w:line="280" w:lineRule="exact"/>
              <w:jc w:val="center"/>
            </w:pPr>
            <w:r>
              <w:t>一级</w:t>
            </w:r>
            <w:r>
              <w:t>□</w:t>
            </w:r>
            <w:r>
              <w:t>；二级</w:t>
            </w:r>
            <w:r>
              <w:t>□</w:t>
            </w:r>
            <w:r>
              <w:t>；三级</w:t>
            </w:r>
            <w:r>
              <w:t>A□</w:t>
            </w:r>
            <w:r>
              <w:t>；三级</w:t>
            </w:r>
            <w:r>
              <w:t>B☑</w:t>
            </w:r>
            <w:r>
              <w:t>；</w:t>
            </w:r>
          </w:p>
        </w:tc>
      </w:tr>
      <w:tr w:rsidR="00606029" w14:paraId="55664A6E" w14:textId="77777777" w:rsidTr="00C83CD8">
        <w:trPr>
          <w:trHeight w:val="340"/>
          <w:jc w:val="center"/>
        </w:trPr>
        <w:tc>
          <w:tcPr>
            <w:tcW w:w="546" w:type="dxa"/>
            <w:vMerge w:val="restart"/>
            <w:tcBorders>
              <w:tl2br w:val="nil"/>
              <w:tr2bl w:val="nil"/>
            </w:tcBorders>
            <w:vAlign w:val="center"/>
          </w:tcPr>
          <w:p w14:paraId="5717BDA9" w14:textId="77777777" w:rsidR="00606029" w:rsidRDefault="00EA5B92">
            <w:pPr>
              <w:spacing w:line="280" w:lineRule="exact"/>
              <w:jc w:val="center"/>
            </w:pPr>
            <w:r>
              <w:t>现状调查</w:t>
            </w:r>
          </w:p>
        </w:tc>
        <w:tc>
          <w:tcPr>
            <w:tcW w:w="1395" w:type="dxa"/>
            <w:vMerge w:val="restart"/>
            <w:tcBorders>
              <w:tl2br w:val="nil"/>
              <w:tr2bl w:val="nil"/>
            </w:tcBorders>
            <w:vAlign w:val="center"/>
          </w:tcPr>
          <w:p w14:paraId="44D3E91E" w14:textId="77777777" w:rsidR="00606029" w:rsidRDefault="00EA5B92">
            <w:pPr>
              <w:spacing w:line="280" w:lineRule="exact"/>
              <w:jc w:val="center"/>
            </w:pPr>
            <w:r>
              <w:t>区域污染源</w:t>
            </w:r>
          </w:p>
        </w:tc>
        <w:tc>
          <w:tcPr>
            <w:tcW w:w="6920" w:type="dxa"/>
            <w:gridSpan w:val="6"/>
            <w:tcBorders>
              <w:tl2br w:val="nil"/>
              <w:tr2bl w:val="nil"/>
            </w:tcBorders>
            <w:vAlign w:val="center"/>
          </w:tcPr>
          <w:p w14:paraId="10A2ECE2" w14:textId="77777777" w:rsidR="00606029" w:rsidRDefault="00EA5B92">
            <w:pPr>
              <w:spacing w:line="280" w:lineRule="exact"/>
              <w:jc w:val="center"/>
            </w:pPr>
            <w:r>
              <w:t>调查内容</w:t>
            </w:r>
          </w:p>
        </w:tc>
      </w:tr>
      <w:tr w:rsidR="00606029" w14:paraId="7BDB7CF2" w14:textId="77777777" w:rsidTr="00C83CD8">
        <w:trPr>
          <w:trHeight w:val="340"/>
          <w:jc w:val="center"/>
        </w:trPr>
        <w:tc>
          <w:tcPr>
            <w:tcW w:w="546" w:type="dxa"/>
            <w:vMerge/>
            <w:tcBorders>
              <w:tl2br w:val="nil"/>
              <w:tr2bl w:val="nil"/>
            </w:tcBorders>
            <w:vAlign w:val="center"/>
          </w:tcPr>
          <w:p w14:paraId="50423DDE" w14:textId="77777777" w:rsidR="00606029" w:rsidRDefault="00606029">
            <w:pPr>
              <w:spacing w:line="280" w:lineRule="exact"/>
              <w:jc w:val="center"/>
            </w:pPr>
          </w:p>
        </w:tc>
        <w:tc>
          <w:tcPr>
            <w:tcW w:w="1395" w:type="dxa"/>
            <w:vMerge/>
            <w:tcBorders>
              <w:tl2br w:val="nil"/>
              <w:tr2bl w:val="nil"/>
            </w:tcBorders>
            <w:vAlign w:val="center"/>
          </w:tcPr>
          <w:p w14:paraId="184C5AAC" w14:textId="77777777" w:rsidR="00606029" w:rsidRDefault="00606029">
            <w:pPr>
              <w:spacing w:line="280" w:lineRule="exact"/>
              <w:jc w:val="center"/>
            </w:pPr>
          </w:p>
        </w:tc>
        <w:tc>
          <w:tcPr>
            <w:tcW w:w="3879" w:type="dxa"/>
            <w:gridSpan w:val="3"/>
            <w:tcBorders>
              <w:tl2br w:val="nil"/>
              <w:tr2bl w:val="nil"/>
            </w:tcBorders>
            <w:vAlign w:val="center"/>
          </w:tcPr>
          <w:p w14:paraId="443F36FA" w14:textId="77777777" w:rsidR="00606029" w:rsidRDefault="00EA5B92">
            <w:pPr>
              <w:spacing w:line="280" w:lineRule="exact"/>
              <w:jc w:val="center"/>
            </w:pPr>
            <w:r>
              <w:t>已建</w:t>
            </w:r>
            <w:r>
              <w:t>□</w:t>
            </w:r>
            <w:r>
              <w:t>；在建</w:t>
            </w:r>
            <w:r>
              <w:t>□</w:t>
            </w:r>
            <w:r>
              <w:t>；</w:t>
            </w:r>
            <w:r>
              <w:t>□</w:t>
            </w:r>
            <w:r>
              <w:t>；其他</w:t>
            </w:r>
            <w:r>
              <w:fldChar w:fldCharType="begin"/>
            </w:r>
            <w:r>
              <w:instrText xml:space="preserve"> eq \o\ac(□)</w:instrText>
            </w:r>
            <w:r>
              <w:fldChar w:fldCharType="end"/>
            </w:r>
          </w:p>
        </w:tc>
        <w:tc>
          <w:tcPr>
            <w:tcW w:w="3041" w:type="dxa"/>
            <w:gridSpan w:val="3"/>
            <w:tcBorders>
              <w:tl2br w:val="nil"/>
              <w:tr2bl w:val="nil"/>
            </w:tcBorders>
            <w:vAlign w:val="center"/>
          </w:tcPr>
          <w:p w14:paraId="482CDB07" w14:textId="77777777" w:rsidR="00606029" w:rsidRDefault="00EA5B92">
            <w:pPr>
              <w:spacing w:line="280" w:lineRule="exact"/>
              <w:jc w:val="center"/>
            </w:pPr>
            <w:r>
              <w:t>拟替代的污染源</w:t>
            </w:r>
            <w:r>
              <w:t>□</w:t>
            </w:r>
          </w:p>
        </w:tc>
      </w:tr>
      <w:tr w:rsidR="00606029" w14:paraId="6FFC4E7B" w14:textId="77777777" w:rsidTr="00C83CD8">
        <w:trPr>
          <w:trHeight w:val="340"/>
          <w:jc w:val="center"/>
        </w:trPr>
        <w:tc>
          <w:tcPr>
            <w:tcW w:w="546" w:type="dxa"/>
            <w:vMerge/>
            <w:tcBorders>
              <w:tl2br w:val="nil"/>
              <w:tr2bl w:val="nil"/>
            </w:tcBorders>
            <w:vAlign w:val="center"/>
          </w:tcPr>
          <w:p w14:paraId="2E555537" w14:textId="77777777" w:rsidR="00606029" w:rsidRDefault="00606029">
            <w:pPr>
              <w:spacing w:line="280" w:lineRule="exact"/>
              <w:jc w:val="center"/>
            </w:pPr>
          </w:p>
        </w:tc>
        <w:tc>
          <w:tcPr>
            <w:tcW w:w="1395" w:type="dxa"/>
            <w:tcBorders>
              <w:tl2br w:val="nil"/>
              <w:tr2bl w:val="nil"/>
            </w:tcBorders>
            <w:vAlign w:val="center"/>
          </w:tcPr>
          <w:p w14:paraId="1AB2D7DB" w14:textId="77777777" w:rsidR="00606029" w:rsidRDefault="00EA5B92">
            <w:pPr>
              <w:spacing w:line="280" w:lineRule="exact"/>
              <w:jc w:val="center"/>
            </w:pPr>
            <w:r>
              <w:t>受影响水体水环境质量</w:t>
            </w:r>
          </w:p>
        </w:tc>
        <w:tc>
          <w:tcPr>
            <w:tcW w:w="6920" w:type="dxa"/>
            <w:gridSpan w:val="6"/>
            <w:tcBorders>
              <w:tl2br w:val="nil"/>
              <w:tr2bl w:val="nil"/>
            </w:tcBorders>
            <w:vAlign w:val="center"/>
          </w:tcPr>
          <w:p w14:paraId="5A0F9ADD" w14:textId="77777777" w:rsidR="00606029" w:rsidRDefault="00EA5B92">
            <w:pPr>
              <w:spacing w:line="280" w:lineRule="exact"/>
              <w:jc w:val="center"/>
            </w:pPr>
            <w:r>
              <w:t>丰水期</w:t>
            </w:r>
            <w:r>
              <w:t>□</w:t>
            </w:r>
            <w:r>
              <w:t>；平水期</w:t>
            </w:r>
            <w:r>
              <w:t>□</w:t>
            </w:r>
            <w:r>
              <w:t>；枯水期</w:t>
            </w:r>
            <w:r>
              <w:t>☑</w:t>
            </w:r>
            <w:r>
              <w:t>；冰封期</w:t>
            </w:r>
            <w:r>
              <w:t>□</w:t>
            </w:r>
          </w:p>
          <w:p w14:paraId="23B4F3DE" w14:textId="77777777" w:rsidR="00606029" w:rsidRDefault="00EA5B92">
            <w:pPr>
              <w:spacing w:line="280" w:lineRule="exact"/>
              <w:jc w:val="center"/>
            </w:pPr>
            <w:r>
              <w:t>春季</w:t>
            </w:r>
            <w:r>
              <w:t>□</w:t>
            </w:r>
            <w:r>
              <w:t>；夏季</w:t>
            </w:r>
            <w:r>
              <w:t>□</w:t>
            </w:r>
            <w:r>
              <w:t>；秋季</w:t>
            </w:r>
            <w:r>
              <w:t>□</w:t>
            </w:r>
            <w:r>
              <w:t>；冬季</w:t>
            </w:r>
            <w:r>
              <w:t>☑</w:t>
            </w:r>
          </w:p>
        </w:tc>
      </w:tr>
      <w:tr w:rsidR="00606029" w14:paraId="3BBC985C" w14:textId="77777777" w:rsidTr="00C83CD8">
        <w:trPr>
          <w:trHeight w:val="340"/>
          <w:jc w:val="center"/>
        </w:trPr>
        <w:tc>
          <w:tcPr>
            <w:tcW w:w="546" w:type="dxa"/>
            <w:vMerge/>
            <w:tcBorders>
              <w:tl2br w:val="nil"/>
              <w:tr2bl w:val="nil"/>
            </w:tcBorders>
            <w:vAlign w:val="center"/>
          </w:tcPr>
          <w:p w14:paraId="3D5BC5C9" w14:textId="77777777" w:rsidR="00606029" w:rsidRDefault="00606029">
            <w:pPr>
              <w:spacing w:line="280" w:lineRule="exact"/>
              <w:jc w:val="center"/>
            </w:pPr>
          </w:p>
        </w:tc>
        <w:tc>
          <w:tcPr>
            <w:tcW w:w="1395" w:type="dxa"/>
            <w:tcBorders>
              <w:tl2br w:val="nil"/>
              <w:tr2bl w:val="nil"/>
            </w:tcBorders>
            <w:vAlign w:val="center"/>
          </w:tcPr>
          <w:p w14:paraId="04BF88AA" w14:textId="77777777" w:rsidR="00606029" w:rsidRDefault="00EA5B92">
            <w:pPr>
              <w:spacing w:line="280" w:lineRule="exact"/>
              <w:jc w:val="center"/>
            </w:pPr>
            <w:r>
              <w:t>区域水资源开</w:t>
            </w:r>
            <w:r>
              <w:lastRenderedPageBreak/>
              <w:t>发利用状况</w:t>
            </w:r>
          </w:p>
        </w:tc>
        <w:tc>
          <w:tcPr>
            <w:tcW w:w="6920" w:type="dxa"/>
            <w:gridSpan w:val="6"/>
            <w:tcBorders>
              <w:tl2br w:val="nil"/>
              <w:tr2bl w:val="nil"/>
            </w:tcBorders>
            <w:vAlign w:val="center"/>
          </w:tcPr>
          <w:p w14:paraId="42EA90AA" w14:textId="77777777" w:rsidR="00606029" w:rsidRDefault="00EA5B92">
            <w:pPr>
              <w:spacing w:line="280" w:lineRule="exact"/>
              <w:jc w:val="center"/>
            </w:pPr>
            <w:r>
              <w:lastRenderedPageBreak/>
              <w:t>未开发</w:t>
            </w:r>
            <w:r>
              <w:t>□</w:t>
            </w:r>
            <w:r>
              <w:t>；开发量</w:t>
            </w:r>
            <w:r>
              <w:t>40%</w:t>
            </w:r>
            <w:r>
              <w:t>以下</w:t>
            </w:r>
            <w:r>
              <w:fldChar w:fldCharType="begin"/>
            </w:r>
            <w:r>
              <w:instrText xml:space="preserve"> eq \o\ac(□)</w:instrText>
            </w:r>
            <w:r>
              <w:fldChar w:fldCharType="end"/>
            </w:r>
            <w:r>
              <w:t>；开发量</w:t>
            </w:r>
            <w:r>
              <w:t>40%</w:t>
            </w:r>
            <w:r>
              <w:t>以上</w:t>
            </w:r>
            <w:r>
              <w:t>□</w:t>
            </w:r>
          </w:p>
        </w:tc>
      </w:tr>
      <w:tr w:rsidR="00606029" w14:paraId="008A3C6A" w14:textId="77777777" w:rsidTr="00C83CD8">
        <w:trPr>
          <w:trHeight w:val="340"/>
          <w:jc w:val="center"/>
        </w:trPr>
        <w:tc>
          <w:tcPr>
            <w:tcW w:w="546" w:type="dxa"/>
            <w:vMerge/>
            <w:tcBorders>
              <w:tl2br w:val="nil"/>
              <w:tr2bl w:val="nil"/>
            </w:tcBorders>
            <w:vAlign w:val="center"/>
          </w:tcPr>
          <w:p w14:paraId="4D2DC9A7" w14:textId="77777777" w:rsidR="00606029" w:rsidRDefault="00606029">
            <w:pPr>
              <w:spacing w:line="280" w:lineRule="exact"/>
              <w:jc w:val="center"/>
            </w:pPr>
          </w:p>
        </w:tc>
        <w:tc>
          <w:tcPr>
            <w:tcW w:w="1395" w:type="dxa"/>
            <w:vMerge w:val="restart"/>
            <w:tcBorders>
              <w:tl2br w:val="nil"/>
              <w:tr2bl w:val="nil"/>
            </w:tcBorders>
            <w:vAlign w:val="center"/>
          </w:tcPr>
          <w:p w14:paraId="709DE967" w14:textId="77777777" w:rsidR="00606029" w:rsidRDefault="00EA5B92">
            <w:pPr>
              <w:spacing w:line="280" w:lineRule="exact"/>
              <w:jc w:val="center"/>
            </w:pPr>
            <w:r>
              <w:t>水文情势调查</w:t>
            </w:r>
          </w:p>
        </w:tc>
        <w:tc>
          <w:tcPr>
            <w:tcW w:w="6920" w:type="dxa"/>
            <w:gridSpan w:val="6"/>
            <w:tcBorders>
              <w:tl2br w:val="nil"/>
              <w:tr2bl w:val="nil"/>
            </w:tcBorders>
            <w:vAlign w:val="center"/>
          </w:tcPr>
          <w:p w14:paraId="750FF72C" w14:textId="77777777" w:rsidR="00606029" w:rsidRDefault="00EA5B92">
            <w:pPr>
              <w:spacing w:line="280" w:lineRule="exact"/>
              <w:jc w:val="center"/>
            </w:pPr>
            <w:r>
              <w:t>调查时期</w:t>
            </w:r>
          </w:p>
        </w:tc>
      </w:tr>
      <w:tr w:rsidR="00606029" w14:paraId="226EA545" w14:textId="77777777" w:rsidTr="00C83CD8">
        <w:trPr>
          <w:trHeight w:val="340"/>
          <w:jc w:val="center"/>
        </w:trPr>
        <w:tc>
          <w:tcPr>
            <w:tcW w:w="546" w:type="dxa"/>
            <w:vMerge/>
            <w:tcBorders>
              <w:tl2br w:val="nil"/>
              <w:tr2bl w:val="nil"/>
            </w:tcBorders>
            <w:vAlign w:val="center"/>
          </w:tcPr>
          <w:p w14:paraId="523C5180" w14:textId="77777777" w:rsidR="00606029" w:rsidRDefault="00606029">
            <w:pPr>
              <w:spacing w:line="280" w:lineRule="exact"/>
              <w:jc w:val="center"/>
            </w:pPr>
          </w:p>
        </w:tc>
        <w:tc>
          <w:tcPr>
            <w:tcW w:w="1395" w:type="dxa"/>
            <w:vMerge/>
            <w:tcBorders>
              <w:tl2br w:val="nil"/>
              <w:tr2bl w:val="nil"/>
            </w:tcBorders>
            <w:vAlign w:val="center"/>
          </w:tcPr>
          <w:p w14:paraId="6F0F6EAB" w14:textId="77777777" w:rsidR="00606029" w:rsidRDefault="00606029">
            <w:pPr>
              <w:spacing w:line="280" w:lineRule="exact"/>
              <w:jc w:val="center"/>
            </w:pPr>
          </w:p>
        </w:tc>
        <w:tc>
          <w:tcPr>
            <w:tcW w:w="6920" w:type="dxa"/>
            <w:gridSpan w:val="6"/>
            <w:tcBorders>
              <w:tl2br w:val="nil"/>
              <w:tr2bl w:val="nil"/>
            </w:tcBorders>
            <w:vAlign w:val="center"/>
          </w:tcPr>
          <w:p w14:paraId="3E159340" w14:textId="77777777" w:rsidR="00606029" w:rsidRDefault="00EA5B92">
            <w:pPr>
              <w:spacing w:line="280" w:lineRule="exact"/>
              <w:jc w:val="center"/>
            </w:pPr>
            <w:r>
              <w:t>丰水期</w:t>
            </w:r>
            <w:r>
              <w:t>□</w:t>
            </w:r>
            <w:r>
              <w:t>；平水期</w:t>
            </w:r>
            <w:r>
              <w:t>□</w:t>
            </w:r>
            <w:r>
              <w:t>；枯水期</w:t>
            </w:r>
            <w:r>
              <w:fldChar w:fldCharType="begin"/>
            </w:r>
            <w:r>
              <w:instrText xml:space="preserve"> eq \o\ac(□)</w:instrText>
            </w:r>
            <w:r>
              <w:fldChar w:fldCharType="end"/>
            </w:r>
            <w:r>
              <w:t>；冰封期</w:t>
            </w:r>
            <w:r>
              <w:t>□</w:t>
            </w:r>
          </w:p>
          <w:p w14:paraId="5CBEE546" w14:textId="77777777" w:rsidR="00606029" w:rsidRDefault="00EA5B92">
            <w:pPr>
              <w:spacing w:line="280" w:lineRule="exact"/>
              <w:jc w:val="center"/>
            </w:pPr>
            <w:r>
              <w:t>春季</w:t>
            </w:r>
            <w:r>
              <w:t>□</w:t>
            </w:r>
            <w:r>
              <w:t>；夏季</w:t>
            </w:r>
            <w:r>
              <w:t>□</w:t>
            </w:r>
            <w:r>
              <w:t>；秋季</w:t>
            </w:r>
            <w:r>
              <w:t>□</w:t>
            </w:r>
            <w:r>
              <w:t>；冬季</w:t>
            </w:r>
            <w:r>
              <w:t>□</w:t>
            </w:r>
          </w:p>
        </w:tc>
      </w:tr>
      <w:tr w:rsidR="00606029" w14:paraId="5DAAE5D4" w14:textId="77777777" w:rsidTr="00C83CD8">
        <w:trPr>
          <w:trHeight w:val="340"/>
          <w:jc w:val="center"/>
        </w:trPr>
        <w:tc>
          <w:tcPr>
            <w:tcW w:w="546" w:type="dxa"/>
            <w:vMerge/>
            <w:tcBorders>
              <w:tl2br w:val="nil"/>
              <w:tr2bl w:val="nil"/>
            </w:tcBorders>
            <w:vAlign w:val="center"/>
          </w:tcPr>
          <w:p w14:paraId="09C6FEB1" w14:textId="77777777" w:rsidR="00606029" w:rsidRDefault="00606029">
            <w:pPr>
              <w:spacing w:line="280" w:lineRule="exact"/>
              <w:jc w:val="center"/>
            </w:pPr>
          </w:p>
        </w:tc>
        <w:tc>
          <w:tcPr>
            <w:tcW w:w="1395" w:type="dxa"/>
            <w:vMerge w:val="restart"/>
            <w:tcBorders>
              <w:tl2br w:val="nil"/>
              <w:tr2bl w:val="nil"/>
            </w:tcBorders>
            <w:vAlign w:val="center"/>
          </w:tcPr>
          <w:p w14:paraId="32258FBD" w14:textId="77777777" w:rsidR="00606029" w:rsidRDefault="00EA5B92">
            <w:pPr>
              <w:spacing w:line="280" w:lineRule="exact"/>
              <w:jc w:val="center"/>
            </w:pPr>
            <w:r>
              <w:t>补充监测</w:t>
            </w:r>
          </w:p>
        </w:tc>
        <w:tc>
          <w:tcPr>
            <w:tcW w:w="6920" w:type="dxa"/>
            <w:gridSpan w:val="6"/>
            <w:tcBorders>
              <w:tl2br w:val="nil"/>
              <w:tr2bl w:val="nil"/>
            </w:tcBorders>
            <w:vAlign w:val="center"/>
          </w:tcPr>
          <w:p w14:paraId="66080B6B" w14:textId="77777777" w:rsidR="00606029" w:rsidRDefault="00EA5B92">
            <w:pPr>
              <w:spacing w:line="280" w:lineRule="exact"/>
              <w:jc w:val="center"/>
            </w:pPr>
            <w:r>
              <w:t>监测时期</w:t>
            </w:r>
          </w:p>
        </w:tc>
      </w:tr>
      <w:tr w:rsidR="00606029" w14:paraId="4224D9AC" w14:textId="77777777" w:rsidTr="00C83CD8">
        <w:trPr>
          <w:trHeight w:val="340"/>
          <w:jc w:val="center"/>
        </w:trPr>
        <w:tc>
          <w:tcPr>
            <w:tcW w:w="546" w:type="dxa"/>
            <w:vMerge/>
            <w:tcBorders>
              <w:tl2br w:val="nil"/>
              <w:tr2bl w:val="nil"/>
            </w:tcBorders>
            <w:vAlign w:val="center"/>
          </w:tcPr>
          <w:p w14:paraId="003FEDAE" w14:textId="77777777" w:rsidR="00606029" w:rsidRDefault="00606029">
            <w:pPr>
              <w:spacing w:line="280" w:lineRule="exact"/>
              <w:jc w:val="center"/>
            </w:pPr>
          </w:p>
        </w:tc>
        <w:tc>
          <w:tcPr>
            <w:tcW w:w="1395" w:type="dxa"/>
            <w:vMerge/>
            <w:tcBorders>
              <w:tl2br w:val="nil"/>
              <w:tr2bl w:val="nil"/>
            </w:tcBorders>
            <w:vAlign w:val="center"/>
          </w:tcPr>
          <w:p w14:paraId="2F8DE2C3" w14:textId="77777777" w:rsidR="00606029" w:rsidRDefault="00606029">
            <w:pPr>
              <w:spacing w:line="280" w:lineRule="exact"/>
              <w:jc w:val="center"/>
            </w:pPr>
          </w:p>
        </w:tc>
        <w:tc>
          <w:tcPr>
            <w:tcW w:w="6920" w:type="dxa"/>
            <w:gridSpan w:val="6"/>
            <w:tcBorders>
              <w:tl2br w:val="nil"/>
              <w:tr2bl w:val="nil"/>
            </w:tcBorders>
            <w:vAlign w:val="center"/>
          </w:tcPr>
          <w:p w14:paraId="71410F4E" w14:textId="77777777" w:rsidR="00606029" w:rsidRDefault="00EA5B92">
            <w:pPr>
              <w:spacing w:line="280" w:lineRule="exact"/>
              <w:jc w:val="center"/>
            </w:pPr>
            <w:r>
              <w:t>丰水期</w:t>
            </w:r>
            <w:r>
              <w:t>□</w:t>
            </w:r>
            <w:r>
              <w:t>；平水期</w:t>
            </w:r>
            <w:r>
              <w:t>□</w:t>
            </w:r>
            <w:r>
              <w:t>；枯水期</w:t>
            </w:r>
            <w:r>
              <w:t>☑</w:t>
            </w:r>
            <w:r>
              <w:t>；冰封期</w:t>
            </w:r>
            <w:r>
              <w:t>□</w:t>
            </w:r>
          </w:p>
          <w:p w14:paraId="67F521F6" w14:textId="77777777" w:rsidR="00606029" w:rsidRDefault="00EA5B92">
            <w:pPr>
              <w:spacing w:line="280" w:lineRule="exact"/>
              <w:jc w:val="center"/>
            </w:pPr>
            <w:r>
              <w:t>春季</w:t>
            </w:r>
            <w:r>
              <w:t>□</w:t>
            </w:r>
            <w:r>
              <w:t>；夏季</w:t>
            </w:r>
            <w:r>
              <w:t>□</w:t>
            </w:r>
            <w:r>
              <w:t>；秋季</w:t>
            </w:r>
            <w:r>
              <w:t>□</w:t>
            </w:r>
            <w:r>
              <w:t>；冬季</w:t>
            </w:r>
            <w:r>
              <w:t>☑</w:t>
            </w:r>
          </w:p>
        </w:tc>
      </w:tr>
      <w:tr w:rsidR="00606029" w14:paraId="70116576" w14:textId="77777777" w:rsidTr="00C83CD8">
        <w:trPr>
          <w:trHeight w:val="340"/>
          <w:jc w:val="center"/>
        </w:trPr>
        <w:tc>
          <w:tcPr>
            <w:tcW w:w="546" w:type="dxa"/>
            <w:vMerge w:val="restart"/>
            <w:tcBorders>
              <w:tl2br w:val="nil"/>
              <w:tr2bl w:val="nil"/>
            </w:tcBorders>
            <w:vAlign w:val="center"/>
          </w:tcPr>
          <w:p w14:paraId="1ABF6644" w14:textId="77777777" w:rsidR="00606029" w:rsidRDefault="00EA5B92">
            <w:pPr>
              <w:spacing w:line="280" w:lineRule="exact"/>
              <w:jc w:val="center"/>
            </w:pPr>
            <w:r>
              <w:t>现状评价</w:t>
            </w:r>
          </w:p>
        </w:tc>
        <w:tc>
          <w:tcPr>
            <w:tcW w:w="1395" w:type="dxa"/>
            <w:tcBorders>
              <w:tl2br w:val="nil"/>
              <w:tr2bl w:val="nil"/>
            </w:tcBorders>
            <w:vAlign w:val="center"/>
          </w:tcPr>
          <w:p w14:paraId="3BC2FCD2" w14:textId="77777777" w:rsidR="00606029" w:rsidRDefault="00EA5B92">
            <w:pPr>
              <w:spacing w:line="280" w:lineRule="exact"/>
              <w:jc w:val="center"/>
            </w:pPr>
            <w:r>
              <w:t>评价范围</w:t>
            </w:r>
          </w:p>
        </w:tc>
        <w:tc>
          <w:tcPr>
            <w:tcW w:w="6920" w:type="dxa"/>
            <w:gridSpan w:val="6"/>
            <w:tcBorders>
              <w:tl2br w:val="nil"/>
              <w:tr2bl w:val="nil"/>
            </w:tcBorders>
            <w:vAlign w:val="center"/>
          </w:tcPr>
          <w:p w14:paraId="4269CE05" w14:textId="1405A5BB" w:rsidR="00606029" w:rsidRDefault="00EA5B92">
            <w:pPr>
              <w:spacing w:line="280" w:lineRule="exact"/>
              <w:jc w:val="center"/>
            </w:pPr>
            <w:r>
              <w:t>河流</w:t>
            </w:r>
            <w:r w:rsidR="006A52CC">
              <w:t>：</w:t>
            </w:r>
            <w:r>
              <w:t>长度（</w:t>
            </w:r>
            <w:r>
              <w:t xml:space="preserve"> </w:t>
            </w:r>
            <w:r>
              <w:t>）</w:t>
            </w:r>
            <w:r>
              <w:t>km</w:t>
            </w:r>
            <w:r>
              <w:t>；湖库、河口及近岸海域；面积（</w:t>
            </w:r>
            <w:r>
              <w:t xml:space="preserve">   </w:t>
            </w:r>
            <w:r>
              <w:t>）</w:t>
            </w:r>
            <w:r>
              <w:t>km</w:t>
            </w:r>
            <w:r>
              <w:rPr>
                <w:vertAlign w:val="superscript"/>
              </w:rPr>
              <w:t>2</w:t>
            </w:r>
          </w:p>
        </w:tc>
      </w:tr>
      <w:tr w:rsidR="00606029" w14:paraId="02977875" w14:textId="77777777" w:rsidTr="00C83CD8">
        <w:trPr>
          <w:trHeight w:val="340"/>
          <w:jc w:val="center"/>
        </w:trPr>
        <w:tc>
          <w:tcPr>
            <w:tcW w:w="546" w:type="dxa"/>
            <w:vMerge/>
            <w:tcBorders>
              <w:tl2br w:val="nil"/>
              <w:tr2bl w:val="nil"/>
            </w:tcBorders>
            <w:vAlign w:val="center"/>
          </w:tcPr>
          <w:p w14:paraId="666E634A" w14:textId="77777777" w:rsidR="00606029" w:rsidRDefault="00606029">
            <w:pPr>
              <w:spacing w:line="280" w:lineRule="exact"/>
              <w:jc w:val="center"/>
            </w:pPr>
          </w:p>
        </w:tc>
        <w:tc>
          <w:tcPr>
            <w:tcW w:w="1395" w:type="dxa"/>
            <w:tcBorders>
              <w:tl2br w:val="nil"/>
              <w:tr2bl w:val="nil"/>
            </w:tcBorders>
            <w:vAlign w:val="center"/>
          </w:tcPr>
          <w:p w14:paraId="33E3FECD" w14:textId="77777777" w:rsidR="00606029" w:rsidRDefault="00EA5B92">
            <w:pPr>
              <w:spacing w:line="280" w:lineRule="exact"/>
              <w:jc w:val="center"/>
            </w:pPr>
            <w:r>
              <w:t>评价因子</w:t>
            </w:r>
          </w:p>
        </w:tc>
        <w:tc>
          <w:tcPr>
            <w:tcW w:w="6920" w:type="dxa"/>
            <w:gridSpan w:val="6"/>
            <w:tcBorders>
              <w:tl2br w:val="nil"/>
              <w:tr2bl w:val="nil"/>
            </w:tcBorders>
            <w:vAlign w:val="center"/>
          </w:tcPr>
          <w:p w14:paraId="4CB2CE0C" w14:textId="77777777" w:rsidR="00606029" w:rsidRDefault="00EA5B92">
            <w:pPr>
              <w:spacing w:line="280" w:lineRule="exact"/>
              <w:jc w:val="center"/>
            </w:pPr>
            <w:r>
              <w:t>（</w:t>
            </w:r>
            <w:r>
              <w:t xml:space="preserve">  COD</w:t>
            </w:r>
            <w:r>
              <w:t>、氨氮</w:t>
            </w:r>
            <w:r>
              <w:t xml:space="preserve">  </w:t>
            </w:r>
            <w:r>
              <w:t>）</w:t>
            </w:r>
          </w:p>
        </w:tc>
      </w:tr>
      <w:tr w:rsidR="00606029" w14:paraId="6D276E24" w14:textId="77777777" w:rsidTr="00C83CD8">
        <w:trPr>
          <w:trHeight w:val="340"/>
          <w:jc w:val="center"/>
        </w:trPr>
        <w:tc>
          <w:tcPr>
            <w:tcW w:w="546" w:type="dxa"/>
            <w:vMerge/>
            <w:tcBorders>
              <w:tl2br w:val="nil"/>
              <w:tr2bl w:val="nil"/>
            </w:tcBorders>
            <w:vAlign w:val="center"/>
          </w:tcPr>
          <w:p w14:paraId="07F4C8AB" w14:textId="77777777" w:rsidR="00606029" w:rsidRDefault="00606029">
            <w:pPr>
              <w:spacing w:line="280" w:lineRule="exact"/>
              <w:jc w:val="center"/>
            </w:pPr>
          </w:p>
        </w:tc>
        <w:tc>
          <w:tcPr>
            <w:tcW w:w="1395" w:type="dxa"/>
            <w:tcBorders>
              <w:tl2br w:val="nil"/>
              <w:tr2bl w:val="nil"/>
            </w:tcBorders>
            <w:vAlign w:val="center"/>
          </w:tcPr>
          <w:p w14:paraId="54C30963" w14:textId="77777777" w:rsidR="00606029" w:rsidRDefault="00EA5B92">
            <w:pPr>
              <w:spacing w:line="280" w:lineRule="exact"/>
              <w:jc w:val="center"/>
            </w:pPr>
            <w:r>
              <w:t>评价标准</w:t>
            </w:r>
          </w:p>
        </w:tc>
        <w:tc>
          <w:tcPr>
            <w:tcW w:w="6920" w:type="dxa"/>
            <w:gridSpan w:val="6"/>
            <w:tcBorders>
              <w:tl2br w:val="nil"/>
              <w:tr2bl w:val="nil"/>
            </w:tcBorders>
            <w:vAlign w:val="center"/>
          </w:tcPr>
          <w:p w14:paraId="594BED73" w14:textId="4A738E21" w:rsidR="00606029" w:rsidRDefault="00EA5B92">
            <w:pPr>
              <w:spacing w:line="280" w:lineRule="exact"/>
              <w:jc w:val="center"/>
            </w:pPr>
            <w:r>
              <w:t>河流、湖库、河口</w:t>
            </w:r>
            <w:r w:rsidR="006A52CC">
              <w:t>：</w:t>
            </w:r>
            <w:r>
              <w:t>Ⅰ</w:t>
            </w:r>
            <w:r>
              <w:t>类</w:t>
            </w:r>
            <w:r>
              <w:t>□</w:t>
            </w:r>
            <w:r>
              <w:t>；</w:t>
            </w:r>
            <w:r>
              <w:t>Ⅱ</w:t>
            </w:r>
            <w:r>
              <w:t>类</w:t>
            </w:r>
            <w:r>
              <w:t>□</w:t>
            </w:r>
            <w:r>
              <w:t>；</w:t>
            </w:r>
            <w:r>
              <w:t>Ⅲ</w:t>
            </w:r>
            <w:r>
              <w:t>类</w:t>
            </w:r>
            <w:r w:rsidR="0058336F">
              <w:t>□</w:t>
            </w:r>
            <w:r>
              <w:t>；</w:t>
            </w:r>
            <w:r>
              <w:t>Ⅳ</w:t>
            </w:r>
            <w:r>
              <w:t>类</w:t>
            </w:r>
            <w:r>
              <w:t>□</w:t>
            </w:r>
            <w:r>
              <w:t>；</w:t>
            </w:r>
            <w:r>
              <w:t>Ⅴ</w:t>
            </w:r>
            <w:r>
              <w:t>类</w:t>
            </w:r>
            <w:r w:rsidR="0058336F">
              <w:t>☑</w:t>
            </w:r>
          </w:p>
          <w:p w14:paraId="50E1452B" w14:textId="0131F414" w:rsidR="00606029" w:rsidRDefault="00EA5B92">
            <w:pPr>
              <w:spacing w:line="280" w:lineRule="exact"/>
              <w:jc w:val="center"/>
            </w:pPr>
            <w:r>
              <w:t>近岸海域</w:t>
            </w:r>
            <w:r w:rsidR="006A52CC">
              <w:t>：</w:t>
            </w:r>
            <w:r>
              <w:t>第一类</w:t>
            </w:r>
          </w:p>
        </w:tc>
      </w:tr>
      <w:tr w:rsidR="00606029" w14:paraId="65C584A5" w14:textId="77777777" w:rsidTr="00C83CD8">
        <w:trPr>
          <w:trHeight w:val="340"/>
          <w:jc w:val="center"/>
        </w:trPr>
        <w:tc>
          <w:tcPr>
            <w:tcW w:w="546" w:type="dxa"/>
            <w:vMerge/>
            <w:tcBorders>
              <w:tl2br w:val="nil"/>
              <w:tr2bl w:val="nil"/>
            </w:tcBorders>
            <w:vAlign w:val="center"/>
          </w:tcPr>
          <w:p w14:paraId="1CB94E05" w14:textId="77777777" w:rsidR="00606029" w:rsidRDefault="00606029">
            <w:pPr>
              <w:spacing w:line="280" w:lineRule="exact"/>
              <w:jc w:val="center"/>
            </w:pPr>
          </w:p>
        </w:tc>
        <w:tc>
          <w:tcPr>
            <w:tcW w:w="1395" w:type="dxa"/>
            <w:tcBorders>
              <w:tl2br w:val="nil"/>
              <w:tr2bl w:val="nil"/>
            </w:tcBorders>
            <w:vAlign w:val="center"/>
          </w:tcPr>
          <w:p w14:paraId="0BF2E1DF" w14:textId="77777777" w:rsidR="00606029" w:rsidRDefault="00EA5B92">
            <w:pPr>
              <w:spacing w:line="280" w:lineRule="exact"/>
              <w:jc w:val="center"/>
            </w:pPr>
            <w:r>
              <w:t>评价时期</w:t>
            </w:r>
          </w:p>
        </w:tc>
        <w:tc>
          <w:tcPr>
            <w:tcW w:w="6920" w:type="dxa"/>
            <w:gridSpan w:val="6"/>
            <w:tcBorders>
              <w:tl2br w:val="nil"/>
              <w:tr2bl w:val="nil"/>
            </w:tcBorders>
            <w:vAlign w:val="center"/>
          </w:tcPr>
          <w:p w14:paraId="7FCFE97F" w14:textId="77777777" w:rsidR="00606029" w:rsidRDefault="00EA5B92">
            <w:pPr>
              <w:spacing w:line="280" w:lineRule="exact"/>
              <w:jc w:val="center"/>
            </w:pPr>
            <w:r>
              <w:t>丰水期</w:t>
            </w:r>
            <w:r>
              <w:t>□</w:t>
            </w:r>
            <w:r>
              <w:t>；平水期</w:t>
            </w:r>
            <w:r>
              <w:t>□</w:t>
            </w:r>
            <w:r>
              <w:t>；枯水期</w:t>
            </w:r>
            <w:r>
              <w:t>☑</w:t>
            </w:r>
            <w:r>
              <w:t>；冰封期</w:t>
            </w:r>
            <w:r>
              <w:t>□</w:t>
            </w:r>
          </w:p>
          <w:p w14:paraId="663DA3E5" w14:textId="77777777" w:rsidR="00606029" w:rsidRDefault="00EA5B92">
            <w:pPr>
              <w:spacing w:line="280" w:lineRule="exact"/>
              <w:jc w:val="center"/>
            </w:pPr>
            <w:r>
              <w:t>春季</w:t>
            </w:r>
            <w:r>
              <w:t>□</w:t>
            </w:r>
            <w:r>
              <w:t>；夏季</w:t>
            </w:r>
            <w:r>
              <w:t>□</w:t>
            </w:r>
            <w:r>
              <w:t>；秋季</w:t>
            </w:r>
            <w:r>
              <w:t>□</w:t>
            </w:r>
            <w:r>
              <w:t>；冬季</w:t>
            </w:r>
            <w:r>
              <w:t>☑</w:t>
            </w:r>
          </w:p>
        </w:tc>
      </w:tr>
      <w:tr w:rsidR="00606029" w14:paraId="1560A7A3" w14:textId="77777777" w:rsidTr="00C83CD8">
        <w:trPr>
          <w:trHeight w:val="340"/>
          <w:jc w:val="center"/>
        </w:trPr>
        <w:tc>
          <w:tcPr>
            <w:tcW w:w="546" w:type="dxa"/>
            <w:vMerge/>
            <w:tcBorders>
              <w:tl2br w:val="nil"/>
              <w:tr2bl w:val="nil"/>
            </w:tcBorders>
            <w:vAlign w:val="center"/>
          </w:tcPr>
          <w:p w14:paraId="657EA2D4" w14:textId="77777777" w:rsidR="00606029" w:rsidRDefault="00606029">
            <w:pPr>
              <w:spacing w:line="280" w:lineRule="exact"/>
              <w:jc w:val="center"/>
            </w:pPr>
          </w:p>
        </w:tc>
        <w:tc>
          <w:tcPr>
            <w:tcW w:w="1395" w:type="dxa"/>
            <w:tcBorders>
              <w:tl2br w:val="nil"/>
              <w:tr2bl w:val="nil"/>
            </w:tcBorders>
            <w:vAlign w:val="center"/>
          </w:tcPr>
          <w:p w14:paraId="463986A4" w14:textId="77777777" w:rsidR="00606029" w:rsidRDefault="00EA5B92">
            <w:pPr>
              <w:spacing w:line="280" w:lineRule="exact"/>
              <w:jc w:val="center"/>
            </w:pPr>
            <w:r>
              <w:t>评价结论</w:t>
            </w:r>
          </w:p>
        </w:tc>
        <w:tc>
          <w:tcPr>
            <w:tcW w:w="5783" w:type="dxa"/>
            <w:gridSpan w:val="5"/>
            <w:tcBorders>
              <w:tl2br w:val="nil"/>
              <w:tr2bl w:val="nil"/>
            </w:tcBorders>
            <w:vAlign w:val="center"/>
          </w:tcPr>
          <w:p w14:paraId="27EF2370" w14:textId="233DB656" w:rsidR="00606029" w:rsidRDefault="00EA5B92">
            <w:pPr>
              <w:spacing w:line="280" w:lineRule="exact"/>
              <w:jc w:val="center"/>
            </w:pPr>
            <w:r>
              <w:t>水环境功能区或水功能区、近岸海域环境功能区水质达标状况</w:t>
            </w:r>
            <w:r w:rsidR="006A52CC">
              <w:t>：</w:t>
            </w:r>
            <w:r>
              <w:t>达标</w:t>
            </w:r>
            <w:r>
              <w:fldChar w:fldCharType="begin"/>
            </w:r>
            <w:r>
              <w:instrText xml:space="preserve"> eq \o\ac(□)</w:instrText>
            </w:r>
            <w:r>
              <w:fldChar w:fldCharType="end"/>
            </w:r>
            <w:r>
              <w:t>；不达标</w:t>
            </w:r>
            <w:r>
              <w:t>□</w:t>
            </w:r>
          </w:p>
          <w:p w14:paraId="1C2F3BB5" w14:textId="44BD8630" w:rsidR="00606029" w:rsidRDefault="00EA5B92">
            <w:pPr>
              <w:spacing w:line="280" w:lineRule="exact"/>
              <w:jc w:val="center"/>
            </w:pPr>
            <w:r>
              <w:t>水环境控制单元或断面水质达标状况</w:t>
            </w:r>
            <w:r w:rsidR="006A52CC">
              <w:t>：</w:t>
            </w:r>
            <w:r>
              <w:t>达标</w:t>
            </w:r>
            <w:r>
              <w:fldChar w:fldCharType="begin"/>
            </w:r>
            <w:r>
              <w:instrText xml:space="preserve"> eq \o\ac(□)</w:instrText>
            </w:r>
            <w:r>
              <w:fldChar w:fldCharType="end"/>
            </w:r>
            <w:r>
              <w:t>；不达标（</w:t>
            </w:r>
          </w:p>
          <w:p w14:paraId="5B12552F" w14:textId="4A0E26D8" w:rsidR="00606029" w:rsidRDefault="00EA5B92">
            <w:pPr>
              <w:spacing w:line="280" w:lineRule="exact"/>
              <w:jc w:val="center"/>
            </w:pPr>
            <w:r>
              <w:t>水环境功能目标质量状况</w:t>
            </w:r>
            <w:r w:rsidR="006A52CC">
              <w:t>：</w:t>
            </w:r>
            <w:r>
              <w:t>达标（；不达标（</w:t>
            </w:r>
          </w:p>
          <w:p w14:paraId="695AE262" w14:textId="21E317AB" w:rsidR="00606029" w:rsidRDefault="00EA5B92">
            <w:pPr>
              <w:spacing w:line="280" w:lineRule="exact"/>
              <w:jc w:val="center"/>
            </w:pPr>
            <w:r>
              <w:t>对照断面、控制断面等代表性断面的水质状况</w:t>
            </w:r>
            <w:r w:rsidR="006A52CC">
              <w:t>：</w:t>
            </w:r>
            <w:r>
              <w:t>达标</w:t>
            </w:r>
            <w:r>
              <w:fldChar w:fldCharType="begin"/>
            </w:r>
            <w:r>
              <w:instrText xml:space="preserve"> eq \o\ac(□)</w:instrText>
            </w:r>
            <w:r>
              <w:fldChar w:fldCharType="end"/>
            </w:r>
            <w:r>
              <w:t>；</w:t>
            </w:r>
          </w:p>
          <w:p w14:paraId="5EABC289" w14:textId="77777777" w:rsidR="00606029" w:rsidRDefault="00EA5B92">
            <w:pPr>
              <w:spacing w:line="280" w:lineRule="exact"/>
              <w:jc w:val="center"/>
            </w:pPr>
            <w:r>
              <w:t>不达标</w:t>
            </w:r>
            <w:r>
              <w:t>□</w:t>
            </w:r>
          </w:p>
          <w:p w14:paraId="7E52E20D" w14:textId="77777777" w:rsidR="00606029" w:rsidRDefault="00EA5B92">
            <w:pPr>
              <w:spacing w:line="280" w:lineRule="exact"/>
              <w:jc w:val="center"/>
            </w:pPr>
            <w:r>
              <w:t>底泥污染评价（</w:t>
            </w:r>
          </w:p>
          <w:p w14:paraId="4CB6F639" w14:textId="77777777" w:rsidR="00606029" w:rsidRDefault="00EA5B92">
            <w:pPr>
              <w:spacing w:line="280" w:lineRule="exact"/>
              <w:jc w:val="center"/>
            </w:pPr>
            <w:r>
              <w:t>水资源与开发利用程度及其水文情势评价</w:t>
            </w:r>
            <w:r>
              <w:t>□</w:t>
            </w:r>
          </w:p>
          <w:p w14:paraId="2210B8F5" w14:textId="77777777" w:rsidR="00606029" w:rsidRDefault="00EA5B92">
            <w:pPr>
              <w:spacing w:line="280" w:lineRule="exact"/>
              <w:jc w:val="center"/>
            </w:pPr>
            <w:r>
              <w:t>水环境质量回顾评价</w:t>
            </w:r>
            <w:r>
              <w:t>□</w:t>
            </w:r>
          </w:p>
          <w:p w14:paraId="76945715" w14:textId="77777777" w:rsidR="00606029" w:rsidRDefault="00EA5B92">
            <w:pPr>
              <w:spacing w:line="280" w:lineRule="exact"/>
              <w:jc w:val="center"/>
            </w:pPr>
            <w:r>
              <w:t>流域（区域）水资源（包括水能资源）与开发利用总体状况、生态流量管理要求与现状满足程度、建设项目占用水域空间的水流状况与河流演变状况</w:t>
            </w:r>
            <w:r>
              <w:t>□</w:t>
            </w:r>
          </w:p>
        </w:tc>
        <w:tc>
          <w:tcPr>
            <w:tcW w:w="1137" w:type="dxa"/>
            <w:tcBorders>
              <w:tl2br w:val="nil"/>
              <w:tr2bl w:val="nil"/>
            </w:tcBorders>
            <w:vAlign w:val="center"/>
          </w:tcPr>
          <w:p w14:paraId="33DDB6CB" w14:textId="77777777" w:rsidR="00606029" w:rsidRDefault="00EA5B92">
            <w:pPr>
              <w:spacing w:line="280" w:lineRule="exact"/>
              <w:jc w:val="center"/>
            </w:pPr>
            <w:r>
              <w:t>达标区</w:t>
            </w:r>
            <w:r>
              <w:fldChar w:fldCharType="begin"/>
            </w:r>
            <w:r>
              <w:instrText xml:space="preserve"> eq \o\ac(□,√)</w:instrText>
            </w:r>
            <w:r>
              <w:fldChar w:fldCharType="end"/>
            </w:r>
          </w:p>
          <w:p w14:paraId="5BBA4E74" w14:textId="77777777" w:rsidR="00606029" w:rsidRDefault="00EA5B92">
            <w:pPr>
              <w:spacing w:line="280" w:lineRule="exact"/>
              <w:jc w:val="center"/>
            </w:pPr>
            <w:r>
              <w:t>不达标区（</w:t>
            </w:r>
          </w:p>
        </w:tc>
      </w:tr>
      <w:tr w:rsidR="00606029" w14:paraId="06B13D67" w14:textId="77777777" w:rsidTr="00C83CD8">
        <w:trPr>
          <w:trHeight w:val="340"/>
          <w:jc w:val="center"/>
        </w:trPr>
        <w:tc>
          <w:tcPr>
            <w:tcW w:w="546" w:type="dxa"/>
            <w:vMerge w:val="restart"/>
            <w:tcBorders>
              <w:tl2br w:val="nil"/>
              <w:tr2bl w:val="nil"/>
            </w:tcBorders>
            <w:vAlign w:val="center"/>
          </w:tcPr>
          <w:p w14:paraId="380BD67B" w14:textId="77777777" w:rsidR="00606029" w:rsidRDefault="00EA5B92">
            <w:pPr>
              <w:spacing w:line="280" w:lineRule="exact"/>
              <w:jc w:val="center"/>
            </w:pPr>
            <w:r>
              <w:t>影响预测</w:t>
            </w:r>
          </w:p>
        </w:tc>
        <w:tc>
          <w:tcPr>
            <w:tcW w:w="1395" w:type="dxa"/>
            <w:tcBorders>
              <w:tl2br w:val="nil"/>
              <w:tr2bl w:val="nil"/>
            </w:tcBorders>
            <w:vAlign w:val="center"/>
          </w:tcPr>
          <w:p w14:paraId="3930045A" w14:textId="77777777" w:rsidR="00606029" w:rsidRDefault="00EA5B92">
            <w:pPr>
              <w:spacing w:line="280" w:lineRule="exact"/>
              <w:jc w:val="center"/>
            </w:pPr>
            <w:r>
              <w:t>预测范围</w:t>
            </w:r>
          </w:p>
        </w:tc>
        <w:tc>
          <w:tcPr>
            <w:tcW w:w="5783" w:type="dxa"/>
            <w:gridSpan w:val="5"/>
            <w:tcBorders>
              <w:tl2br w:val="nil"/>
              <w:tr2bl w:val="nil"/>
            </w:tcBorders>
            <w:vAlign w:val="center"/>
          </w:tcPr>
          <w:p w14:paraId="0223B81B" w14:textId="1505F11E" w:rsidR="00606029" w:rsidRDefault="00EA5B92">
            <w:pPr>
              <w:spacing w:line="280" w:lineRule="exact"/>
              <w:jc w:val="center"/>
            </w:pPr>
            <w:r>
              <w:t>河流</w:t>
            </w:r>
            <w:r w:rsidR="006A52CC">
              <w:t>：</w:t>
            </w:r>
            <w:r>
              <w:t>长度（</w:t>
            </w:r>
            <w:r>
              <w:t xml:space="preserve"> </w:t>
            </w:r>
            <w:r>
              <w:t>）</w:t>
            </w:r>
            <w:r>
              <w:t>km</w:t>
            </w:r>
            <w:r>
              <w:t>；湖库、河口及近岸海域；面积（</w:t>
            </w:r>
            <w:r>
              <w:t xml:space="preserve">   </w:t>
            </w:r>
            <w:r>
              <w:t>）</w:t>
            </w:r>
            <w:r>
              <w:t>km</w:t>
            </w:r>
            <w:r>
              <w:rPr>
                <w:vertAlign w:val="superscript"/>
              </w:rPr>
              <w:t>2</w:t>
            </w:r>
          </w:p>
        </w:tc>
        <w:tc>
          <w:tcPr>
            <w:tcW w:w="1137" w:type="dxa"/>
            <w:vMerge w:val="restart"/>
            <w:tcBorders>
              <w:tl2br w:val="nil"/>
              <w:tr2bl w:val="nil"/>
            </w:tcBorders>
            <w:vAlign w:val="center"/>
          </w:tcPr>
          <w:p w14:paraId="2F5A9B42" w14:textId="77777777" w:rsidR="00606029" w:rsidRDefault="00EA5B92">
            <w:pPr>
              <w:spacing w:line="280" w:lineRule="exact"/>
              <w:jc w:val="center"/>
            </w:pPr>
            <w:r>
              <w:t>本项目</w:t>
            </w:r>
          </w:p>
          <w:p w14:paraId="4202F657" w14:textId="77777777" w:rsidR="00606029" w:rsidRDefault="00EA5B92">
            <w:pPr>
              <w:spacing w:line="280" w:lineRule="exact"/>
              <w:jc w:val="center"/>
            </w:pPr>
            <w:r>
              <w:t>不涉及</w:t>
            </w:r>
          </w:p>
        </w:tc>
      </w:tr>
      <w:tr w:rsidR="00606029" w14:paraId="636F2698" w14:textId="77777777" w:rsidTr="00C83CD8">
        <w:trPr>
          <w:trHeight w:val="340"/>
          <w:jc w:val="center"/>
        </w:trPr>
        <w:tc>
          <w:tcPr>
            <w:tcW w:w="546" w:type="dxa"/>
            <w:vMerge/>
            <w:tcBorders>
              <w:tl2br w:val="nil"/>
              <w:tr2bl w:val="nil"/>
            </w:tcBorders>
            <w:vAlign w:val="center"/>
          </w:tcPr>
          <w:p w14:paraId="588D4B11" w14:textId="77777777" w:rsidR="00606029" w:rsidRDefault="00606029">
            <w:pPr>
              <w:spacing w:line="280" w:lineRule="exact"/>
              <w:jc w:val="center"/>
            </w:pPr>
          </w:p>
        </w:tc>
        <w:tc>
          <w:tcPr>
            <w:tcW w:w="1395" w:type="dxa"/>
            <w:tcBorders>
              <w:tl2br w:val="nil"/>
              <w:tr2bl w:val="nil"/>
            </w:tcBorders>
            <w:vAlign w:val="center"/>
          </w:tcPr>
          <w:p w14:paraId="3F85C349" w14:textId="77777777" w:rsidR="00606029" w:rsidRDefault="00EA5B92">
            <w:pPr>
              <w:spacing w:line="280" w:lineRule="exact"/>
              <w:jc w:val="center"/>
            </w:pPr>
            <w:r>
              <w:t>预测因子</w:t>
            </w:r>
          </w:p>
        </w:tc>
        <w:tc>
          <w:tcPr>
            <w:tcW w:w="5783" w:type="dxa"/>
            <w:gridSpan w:val="5"/>
            <w:tcBorders>
              <w:tl2br w:val="nil"/>
              <w:tr2bl w:val="nil"/>
            </w:tcBorders>
            <w:vAlign w:val="center"/>
          </w:tcPr>
          <w:p w14:paraId="09A1A7E2" w14:textId="77777777" w:rsidR="00606029" w:rsidRDefault="00EA5B92">
            <w:pPr>
              <w:spacing w:line="280" w:lineRule="exact"/>
              <w:jc w:val="center"/>
            </w:pPr>
            <w:r>
              <w:t>（</w:t>
            </w:r>
            <w:r>
              <w:t xml:space="preserve">   </w:t>
            </w:r>
            <w:r>
              <w:t>）</w:t>
            </w:r>
          </w:p>
        </w:tc>
        <w:tc>
          <w:tcPr>
            <w:tcW w:w="1137" w:type="dxa"/>
            <w:vMerge/>
            <w:tcBorders>
              <w:tl2br w:val="nil"/>
              <w:tr2bl w:val="nil"/>
            </w:tcBorders>
            <w:vAlign w:val="center"/>
          </w:tcPr>
          <w:p w14:paraId="19B22CD8" w14:textId="77777777" w:rsidR="00606029" w:rsidRDefault="00606029">
            <w:pPr>
              <w:spacing w:line="280" w:lineRule="exact"/>
              <w:jc w:val="center"/>
            </w:pPr>
          </w:p>
        </w:tc>
      </w:tr>
      <w:tr w:rsidR="00606029" w14:paraId="797F3C1B" w14:textId="77777777" w:rsidTr="00C83CD8">
        <w:trPr>
          <w:trHeight w:val="340"/>
          <w:jc w:val="center"/>
        </w:trPr>
        <w:tc>
          <w:tcPr>
            <w:tcW w:w="546" w:type="dxa"/>
            <w:vMerge/>
            <w:tcBorders>
              <w:tl2br w:val="nil"/>
              <w:tr2bl w:val="nil"/>
            </w:tcBorders>
            <w:vAlign w:val="center"/>
          </w:tcPr>
          <w:p w14:paraId="3A28840A" w14:textId="77777777" w:rsidR="00606029" w:rsidRDefault="00606029">
            <w:pPr>
              <w:spacing w:line="280" w:lineRule="exact"/>
              <w:jc w:val="center"/>
            </w:pPr>
          </w:p>
        </w:tc>
        <w:tc>
          <w:tcPr>
            <w:tcW w:w="1395" w:type="dxa"/>
            <w:tcBorders>
              <w:tl2br w:val="nil"/>
              <w:tr2bl w:val="nil"/>
            </w:tcBorders>
            <w:vAlign w:val="center"/>
          </w:tcPr>
          <w:p w14:paraId="3F5E3FE9" w14:textId="77777777" w:rsidR="00606029" w:rsidRDefault="00EA5B92">
            <w:pPr>
              <w:spacing w:line="280" w:lineRule="exact"/>
              <w:jc w:val="center"/>
            </w:pPr>
            <w:r>
              <w:t>预测时期</w:t>
            </w:r>
          </w:p>
        </w:tc>
        <w:tc>
          <w:tcPr>
            <w:tcW w:w="5783" w:type="dxa"/>
            <w:gridSpan w:val="5"/>
            <w:tcBorders>
              <w:tl2br w:val="nil"/>
              <w:tr2bl w:val="nil"/>
            </w:tcBorders>
            <w:vAlign w:val="center"/>
          </w:tcPr>
          <w:p w14:paraId="1DC6A40A" w14:textId="77777777" w:rsidR="00606029" w:rsidRDefault="00EA5B92">
            <w:pPr>
              <w:spacing w:line="280" w:lineRule="exact"/>
              <w:jc w:val="center"/>
            </w:pPr>
            <w:r>
              <w:t>丰水期</w:t>
            </w:r>
            <w:r>
              <w:t>□</w:t>
            </w:r>
            <w:r>
              <w:t>；平水期</w:t>
            </w:r>
            <w:r>
              <w:t>□</w:t>
            </w:r>
            <w:r>
              <w:t>；枯水期</w:t>
            </w:r>
            <w:r>
              <w:t>☑</w:t>
            </w:r>
            <w:r>
              <w:t>；冰封期</w:t>
            </w:r>
            <w:r>
              <w:t>□</w:t>
            </w:r>
          </w:p>
          <w:p w14:paraId="688FD7AA" w14:textId="77777777" w:rsidR="00606029" w:rsidRDefault="00EA5B92">
            <w:pPr>
              <w:spacing w:line="280" w:lineRule="exact"/>
              <w:jc w:val="center"/>
            </w:pPr>
            <w:r>
              <w:t>春季</w:t>
            </w:r>
            <w:r>
              <w:t>□</w:t>
            </w:r>
            <w:r>
              <w:t>；夏季</w:t>
            </w:r>
            <w:r>
              <w:t>□</w:t>
            </w:r>
            <w:r>
              <w:t>；秋季</w:t>
            </w:r>
            <w:r>
              <w:t>□</w:t>
            </w:r>
            <w:r>
              <w:t>；冬季</w:t>
            </w:r>
            <w:r>
              <w:t>☑</w:t>
            </w:r>
          </w:p>
          <w:p w14:paraId="71519243" w14:textId="77777777" w:rsidR="00606029" w:rsidRDefault="00EA5B92">
            <w:pPr>
              <w:spacing w:line="280" w:lineRule="exact"/>
              <w:jc w:val="center"/>
            </w:pPr>
            <w:r>
              <w:t>设计水文条件</w:t>
            </w:r>
            <w:r>
              <w:t>□</w:t>
            </w:r>
          </w:p>
        </w:tc>
        <w:tc>
          <w:tcPr>
            <w:tcW w:w="1137" w:type="dxa"/>
            <w:vMerge/>
            <w:tcBorders>
              <w:tl2br w:val="nil"/>
              <w:tr2bl w:val="nil"/>
            </w:tcBorders>
            <w:vAlign w:val="center"/>
          </w:tcPr>
          <w:p w14:paraId="6164F7B1" w14:textId="77777777" w:rsidR="00606029" w:rsidRDefault="00606029">
            <w:pPr>
              <w:spacing w:line="280" w:lineRule="exact"/>
              <w:jc w:val="center"/>
            </w:pPr>
          </w:p>
        </w:tc>
      </w:tr>
      <w:tr w:rsidR="00606029" w14:paraId="3739AD6B" w14:textId="77777777" w:rsidTr="00C83CD8">
        <w:trPr>
          <w:trHeight w:val="340"/>
          <w:jc w:val="center"/>
        </w:trPr>
        <w:tc>
          <w:tcPr>
            <w:tcW w:w="546" w:type="dxa"/>
            <w:vMerge/>
            <w:tcBorders>
              <w:tl2br w:val="nil"/>
              <w:tr2bl w:val="nil"/>
            </w:tcBorders>
            <w:vAlign w:val="center"/>
          </w:tcPr>
          <w:p w14:paraId="2131CCD9" w14:textId="77777777" w:rsidR="00606029" w:rsidRDefault="00606029">
            <w:pPr>
              <w:spacing w:line="280" w:lineRule="exact"/>
              <w:jc w:val="center"/>
            </w:pPr>
          </w:p>
        </w:tc>
        <w:tc>
          <w:tcPr>
            <w:tcW w:w="1395" w:type="dxa"/>
            <w:tcBorders>
              <w:tl2br w:val="nil"/>
              <w:tr2bl w:val="nil"/>
            </w:tcBorders>
            <w:vAlign w:val="center"/>
          </w:tcPr>
          <w:p w14:paraId="0E8C702F" w14:textId="77777777" w:rsidR="00606029" w:rsidRDefault="00EA5B92">
            <w:pPr>
              <w:spacing w:line="280" w:lineRule="exact"/>
              <w:jc w:val="center"/>
            </w:pPr>
            <w:r>
              <w:t>预测情景</w:t>
            </w:r>
          </w:p>
        </w:tc>
        <w:tc>
          <w:tcPr>
            <w:tcW w:w="5783" w:type="dxa"/>
            <w:gridSpan w:val="5"/>
            <w:tcBorders>
              <w:tl2br w:val="nil"/>
              <w:tr2bl w:val="nil"/>
            </w:tcBorders>
            <w:vAlign w:val="center"/>
          </w:tcPr>
          <w:p w14:paraId="3CB87C43" w14:textId="77777777" w:rsidR="00606029" w:rsidRDefault="00EA5B92">
            <w:pPr>
              <w:spacing w:line="280" w:lineRule="exact"/>
              <w:jc w:val="center"/>
            </w:pPr>
            <w:r>
              <w:t>建设期</w:t>
            </w:r>
            <w:r>
              <w:t>□</w:t>
            </w:r>
            <w:r>
              <w:t>；生产运行期</w:t>
            </w:r>
            <w:r>
              <w:t>☑</w:t>
            </w:r>
            <w:r>
              <w:t>；服务期满后</w:t>
            </w:r>
            <w:r>
              <w:t>□</w:t>
            </w:r>
            <w:r>
              <w:t>；</w:t>
            </w:r>
          </w:p>
          <w:p w14:paraId="0C83F13B" w14:textId="77777777" w:rsidR="00606029" w:rsidRDefault="00EA5B92">
            <w:pPr>
              <w:spacing w:line="280" w:lineRule="exact"/>
              <w:jc w:val="center"/>
            </w:pPr>
            <w:r>
              <w:t>正常工况</w:t>
            </w:r>
            <w:r>
              <w:t>☑</w:t>
            </w:r>
            <w:r>
              <w:t>；非正常工况</w:t>
            </w:r>
            <w:r>
              <w:t>☑</w:t>
            </w:r>
          </w:p>
          <w:p w14:paraId="3CCA2493" w14:textId="77777777" w:rsidR="00606029" w:rsidRDefault="00EA5B92">
            <w:pPr>
              <w:spacing w:line="280" w:lineRule="exact"/>
              <w:jc w:val="center"/>
            </w:pPr>
            <w:r>
              <w:t>污染控制和减缓措施方案</w:t>
            </w:r>
            <w:r>
              <w:t>□</w:t>
            </w:r>
          </w:p>
          <w:p w14:paraId="31E9E176" w14:textId="77777777" w:rsidR="00606029" w:rsidRDefault="00EA5B92">
            <w:pPr>
              <w:spacing w:line="280" w:lineRule="exact"/>
              <w:jc w:val="center"/>
            </w:pPr>
            <w:r>
              <w:t>区（流）域环境质量改善目标要求情景</w:t>
            </w:r>
            <w:r>
              <w:t>□</w:t>
            </w:r>
          </w:p>
        </w:tc>
        <w:tc>
          <w:tcPr>
            <w:tcW w:w="1137" w:type="dxa"/>
            <w:vMerge/>
            <w:tcBorders>
              <w:tl2br w:val="nil"/>
              <w:tr2bl w:val="nil"/>
            </w:tcBorders>
            <w:vAlign w:val="center"/>
          </w:tcPr>
          <w:p w14:paraId="747B3F56" w14:textId="77777777" w:rsidR="00606029" w:rsidRDefault="00606029">
            <w:pPr>
              <w:spacing w:line="280" w:lineRule="exact"/>
              <w:jc w:val="center"/>
            </w:pPr>
          </w:p>
        </w:tc>
      </w:tr>
      <w:tr w:rsidR="00606029" w14:paraId="264198B3" w14:textId="77777777" w:rsidTr="00C83CD8">
        <w:trPr>
          <w:trHeight w:val="340"/>
          <w:jc w:val="center"/>
        </w:trPr>
        <w:tc>
          <w:tcPr>
            <w:tcW w:w="546" w:type="dxa"/>
            <w:vMerge/>
            <w:tcBorders>
              <w:tl2br w:val="nil"/>
              <w:tr2bl w:val="nil"/>
            </w:tcBorders>
            <w:vAlign w:val="center"/>
          </w:tcPr>
          <w:p w14:paraId="3ABEC05B" w14:textId="77777777" w:rsidR="00606029" w:rsidRDefault="00606029">
            <w:pPr>
              <w:spacing w:line="280" w:lineRule="exact"/>
              <w:jc w:val="center"/>
            </w:pPr>
          </w:p>
        </w:tc>
        <w:tc>
          <w:tcPr>
            <w:tcW w:w="1395" w:type="dxa"/>
            <w:tcBorders>
              <w:tl2br w:val="nil"/>
              <w:tr2bl w:val="nil"/>
            </w:tcBorders>
            <w:vAlign w:val="center"/>
          </w:tcPr>
          <w:p w14:paraId="42E63EC5" w14:textId="77777777" w:rsidR="00606029" w:rsidRDefault="00EA5B92">
            <w:pPr>
              <w:spacing w:line="280" w:lineRule="exact"/>
              <w:jc w:val="center"/>
            </w:pPr>
            <w:r>
              <w:t>预测方法</w:t>
            </w:r>
          </w:p>
        </w:tc>
        <w:tc>
          <w:tcPr>
            <w:tcW w:w="5783" w:type="dxa"/>
            <w:gridSpan w:val="5"/>
            <w:tcBorders>
              <w:tl2br w:val="nil"/>
              <w:tr2bl w:val="nil"/>
            </w:tcBorders>
            <w:vAlign w:val="center"/>
          </w:tcPr>
          <w:p w14:paraId="1602F1FF" w14:textId="77777777" w:rsidR="00606029" w:rsidRDefault="00EA5B92">
            <w:pPr>
              <w:spacing w:line="280" w:lineRule="exact"/>
              <w:jc w:val="center"/>
            </w:pPr>
            <w:r>
              <w:t>数值解</w:t>
            </w:r>
            <w:r>
              <w:t>□</w:t>
            </w:r>
            <w:r>
              <w:t>；解析解</w:t>
            </w:r>
            <w:r>
              <w:t>□</w:t>
            </w:r>
            <w:r>
              <w:t>；其他</w:t>
            </w:r>
            <w:r>
              <w:t>□</w:t>
            </w:r>
          </w:p>
          <w:p w14:paraId="0A0A82BB" w14:textId="4CAFF44D" w:rsidR="00606029" w:rsidRDefault="00EA5B92">
            <w:pPr>
              <w:spacing w:line="280" w:lineRule="exact"/>
              <w:jc w:val="center"/>
            </w:pPr>
            <w:r>
              <w:t>导则推荐模式</w:t>
            </w:r>
            <w:r w:rsidR="0058336F">
              <w:t>□</w:t>
            </w:r>
            <w:r>
              <w:t>；其他</w:t>
            </w:r>
            <w:r>
              <w:t>□</w:t>
            </w:r>
          </w:p>
        </w:tc>
        <w:tc>
          <w:tcPr>
            <w:tcW w:w="1137" w:type="dxa"/>
            <w:vMerge/>
            <w:tcBorders>
              <w:tl2br w:val="nil"/>
              <w:tr2bl w:val="nil"/>
            </w:tcBorders>
            <w:vAlign w:val="center"/>
          </w:tcPr>
          <w:p w14:paraId="5045F129" w14:textId="77777777" w:rsidR="00606029" w:rsidRDefault="00606029">
            <w:pPr>
              <w:spacing w:line="280" w:lineRule="exact"/>
              <w:jc w:val="center"/>
            </w:pPr>
          </w:p>
        </w:tc>
      </w:tr>
      <w:tr w:rsidR="00606029" w14:paraId="2B419205" w14:textId="77777777" w:rsidTr="00C83CD8">
        <w:trPr>
          <w:trHeight w:val="340"/>
          <w:jc w:val="center"/>
        </w:trPr>
        <w:tc>
          <w:tcPr>
            <w:tcW w:w="546" w:type="dxa"/>
            <w:vMerge w:val="restart"/>
            <w:tcBorders>
              <w:tl2br w:val="nil"/>
              <w:tr2bl w:val="nil"/>
            </w:tcBorders>
            <w:vAlign w:val="center"/>
          </w:tcPr>
          <w:p w14:paraId="3D8BC699" w14:textId="77777777" w:rsidR="00606029" w:rsidRDefault="00EA5B92">
            <w:pPr>
              <w:spacing w:line="280" w:lineRule="exact"/>
              <w:jc w:val="center"/>
            </w:pPr>
            <w:r>
              <w:t>影响评价</w:t>
            </w:r>
          </w:p>
        </w:tc>
        <w:tc>
          <w:tcPr>
            <w:tcW w:w="1395" w:type="dxa"/>
            <w:tcBorders>
              <w:tl2br w:val="nil"/>
              <w:tr2bl w:val="nil"/>
            </w:tcBorders>
            <w:vAlign w:val="center"/>
          </w:tcPr>
          <w:p w14:paraId="364E9E92" w14:textId="77777777" w:rsidR="00606029" w:rsidRDefault="00EA5B92">
            <w:pPr>
              <w:spacing w:line="280" w:lineRule="exact"/>
              <w:jc w:val="center"/>
            </w:pPr>
            <w:r>
              <w:t>水污染控制和水环境影响减缓措施有效性评价</w:t>
            </w:r>
          </w:p>
        </w:tc>
        <w:tc>
          <w:tcPr>
            <w:tcW w:w="6920" w:type="dxa"/>
            <w:gridSpan w:val="6"/>
            <w:tcBorders>
              <w:tl2br w:val="nil"/>
              <w:tr2bl w:val="nil"/>
            </w:tcBorders>
            <w:vAlign w:val="center"/>
          </w:tcPr>
          <w:p w14:paraId="0126095B" w14:textId="77777777" w:rsidR="00606029" w:rsidRDefault="00EA5B92">
            <w:pPr>
              <w:spacing w:line="280" w:lineRule="exact"/>
              <w:jc w:val="center"/>
            </w:pPr>
            <w:r>
              <w:t>区（流）域水环境质量改善目标</w:t>
            </w:r>
            <w:r>
              <w:t>□</w:t>
            </w:r>
            <w:r>
              <w:t>；替代削减源</w:t>
            </w:r>
            <w:r>
              <w:t>□</w:t>
            </w:r>
          </w:p>
        </w:tc>
      </w:tr>
      <w:tr w:rsidR="00606029" w14:paraId="395A6022" w14:textId="77777777" w:rsidTr="00C83CD8">
        <w:trPr>
          <w:trHeight w:val="340"/>
          <w:jc w:val="center"/>
        </w:trPr>
        <w:tc>
          <w:tcPr>
            <w:tcW w:w="546" w:type="dxa"/>
            <w:vMerge/>
            <w:tcBorders>
              <w:tl2br w:val="nil"/>
              <w:tr2bl w:val="nil"/>
            </w:tcBorders>
            <w:vAlign w:val="center"/>
          </w:tcPr>
          <w:p w14:paraId="0D8B98DF" w14:textId="77777777" w:rsidR="00606029" w:rsidRDefault="00606029">
            <w:pPr>
              <w:spacing w:line="280" w:lineRule="exact"/>
              <w:jc w:val="center"/>
            </w:pPr>
          </w:p>
        </w:tc>
        <w:tc>
          <w:tcPr>
            <w:tcW w:w="1395" w:type="dxa"/>
            <w:tcBorders>
              <w:tl2br w:val="nil"/>
              <w:tr2bl w:val="nil"/>
            </w:tcBorders>
            <w:vAlign w:val="center"/>
          </w:tcPr>
          <w:p w14:paraId="3F7453D4" w14:textId="77777777" w:rsidR="00606029" w:rsidRDefault="00EA5B92">
            <w:pPr>
              <w:spacing w:line="280" w:lineRule="exact"/>
              <w:jc w:val="center"/>
            </w:pPr>
            <w:r>
              <w:t>水环境影响评价</w:t>
            </w:r>
          </w:p>
        </w:tc>
        <w:tc>
          <w:tcPr>
            <w:tcW w:w="6920" w:type="dxa"/>
            <w:gridSpan w:val="6"/>
            <w:tcBorders>
              <w:tl2br w:val="nil"/>
              <w:tr2bl w:val="nil"/>
            </w:tcBorders>
            <w:vAlign w:val="center"/>
          </w:tcPr>
          <w:p w14:paraId="6CC0BFAC" w14:textId="77777777" w:rsidR="00606029" w:rsidRDefault="00EA5B92">
            <w:pPr>
              <w:spacing w:line="280" w:lineRule="exact"/>
              <w:jc w:val="center"/>
            </w:pPr>
            <w:r>
              <w:t>排放口混合区外满足水环境管理要求</w:t>
            </w:r>
            <w:r>
              <w:t>□</w:t>
            </w:r>
          </w:p>
          <w:p w14:paraId="39860EF0" w14:textId="77777777" w:rsidR="00606029" w:rsidRDefault="00EA5B92">
            <w:pPr>
              <w:spacing w:line="280" w:lineRule="exact"/>
              <w:jc w:val="center"/>
            </w:pPr>
            <w:r>
              <w:t>水环境功能区或水功能区、近岸海域环境功能区水质达标</w:t>
            </w:r>
            <w:r>
              <w:fldChar w:fldCharType="begin"/>
            </w:r>
            <w:r>
              <w:instrText xml:space="preserve"> eq \o\ac(□)</w:instrText>
            </w:r>
            <w:r>
              <w:fldChar w:fldCharType="end"/>
            </w:r>
          </w:p>
          <w:p w14:paraId="66F7E4ED" w14:textId="77777777" w:rsidR="00606029" w:rsidRDefault="00EA5B92">
            <w:pPr>
              <w:spacing w:line="280" w:lineRule="exact"/>
              <w:jc w:val="center"/>
            </w:pPr>
            <w:r>
              <w:t>满足水环境保护目标水域水环境质量要求</w:t>
            </w:r>
            <w:r>
              <w:fldChar w:fldCharType="begin"/>
            </w:r>
            <w:r>
              <w:instrText xml:space="preserve"> eq \o\ac(□)</w:instrText>
            </w:r>
            <w:r>
              <w:fldChar w:fldCharType="end"/>
            </w:r>
          </w:p>
          <w:p w14:paraId="4F164CD6" w14:textId="77777777" w:rsidR="00606029" w:rsidRDefault="00EA5B92">
            <w:pPr>
              <w:spacing w:line="280" w:lineRule="exact"/>
              <w:jc w:val="center"/>
            </w:pPr>
            <w:r>
              <w:t>水环境控制单元或断面水质达标</w:t>
            </w:r>
            <w:r>
              <w:fldChar w:fldCharType="begin"/>
            </w:r>
            <w:r>
              <w:instrText xml:space="preserve"> eq \o\ac(□)</w:instrText>
            </w:r>
            <w:r>
              <w:fldChar w:fldCharType="end"/>
            </w:r>
          </w:p>
          <w:p w14:paraId="258E876F" w14:textId="77777777" w:rsidR="00606029" w:rsidRDefault="00EA5B92">
            <w:pPr>
              <w:spacing w:line="280" w:lineRule="exact"/>
              <w:jc w:val="center"/>
            </w:pPr>
            <w:r>
              <w:t>满足重点水污染物排放总量控制指标要求，重点行业建设项目，主要污染物排放满足等量或减量替代要求</w:t>
            </w:r>
            <w:r>
              <w:t>□</w:t>
            </w:r>
          </w:p>
          <w:p w14:paraId="67EE710F" w14:textId="77777777" w:rsidR="00606029" w:rsidRDefault="00EA5B92">
            <w:pPr>
              <w:spacing w:line="280" w:lineRule="exact"/>
              <w:jc w:val="center"/>
            </w:pPr>
            <w:r>
              <w:t>满足区（流）域水环境质量改善目标要求</w:t>
            </w:r>
            <w:r>
              <w:t>□</w:t>
            </w:r>
          </w:p>
          <w:p w14:paraId="41742E15" w14:textId="77777777" w:rsidR="00606029" w:rsidRDefault="00EA5B92">
            <w:pPr>
              <w:spacing w:line="280" w:lineRule="exact"/>
              <w:jc w:val="center"/>
            </w:pPr>
            <w:r>
              <w:lastRenderedPageBreak/>
              <w:t>水文要素影响型建设项目同时应包括水文情势变化评价、主要水文特征值影响评价、生态流量符合性评价</w:t>
            </w:r>
            <w:r>
              <w:t>□</w:t>
            </w:r>
          </w:p>
          <w:p w14:paraId="2118A91B" w14:textId="77777777" w:rsidR="00606029" w:rsidRDefault="00EA5B92">
            <w:pPr>
              <w:spacing w:line="280" w:lineRule="exact"/>
              <w:jc w:val="center"/>
            </w:pPr>
            <w:r>
              <w:t>对于新设或调整入河（湖库、近岸海域）排放口的建设项目，应包括排放口设置的环境合理性评价</w:t>
            </w:r>
            <w:r>
              <w:t>□</w:t>
            </w:r>
          </w:p>
          <w:p w14:paraId="4A1C439B" w14:textId="77777777" w:rsidR="00606029" w:rsidRDefault="00EA5B92">
            <w:pPr>
              <w:spacing w:line="280" w:lineRule="exact"/>
              <w:jc w:val="center"/>
            </w:pPr>
            <w:r>
              <w:t>满足生态保护红线、水环境质量底线、资源利用上线和环境准入清单管理要求</w:t>
            </w:r>
            <w:r>
              <w:fldChar w:fldCharType="begin"/>
            </w:r>
            <w:r>
              <w:instrText xml:space="preserve"> eq \o\ac(□)</w:instrText>
            </w:r>
            <w:r>
              <w:fldChar w:fldCharType="end"/>
            </w:r>
          </w:p>
        </w:tc>
      </w:tr>
      <w:tr w:rsidR="00606029" w14:paraId="70D07224" w14:textId="77777777" w:rsidTr="00C83CD8">
        <w:trPr>
          <w:trHeight w:val="340"/>
          <w:jc w:val="center"/>
        </w:trPr>
        <w:tc>
          <w:tcPr>
            <w:tcW w:w="546" w:type="dxa"/>
            <w:vMerge/>
            <w:tcBorders>
              <w:tl2br w:val="nil"/>
              <w:tr2bl w:val="nil"/>
            </w:tcBorders>
            <w:vAlign w:val="center"/>
          </w:tcPr>
          <w:p w14:paraId="5B26D57C" w14:textId="77777777" w:rsidR="00606029" w:rsidRDefault="00606029">
            <w:pPr>
              <w:spacing w:line="280" w:lineRule="exact"/>
              <w:jc w:val="center"/>
            </w:pPr>
          </w:p>
        </w:tc>
        <w:tc>
          <w:tcPr>
            <w:tcW w:w="1395" w:type="dxa"/>
            <w:vMerge w:val="restart"/>
            <w:tcBorders>
              <w:tl2br w:val="nil"/>
              <w:tr2bl w:val="nil"/>
            </w:tcBorders>
            <w:vAlign w:val="center"/>
          </w:tcPr>
          <w:p w14:paraId="7BD8EDC7" w14:textId="77777777" w:rsidR="00606029" w:rsidRDefault="00EA5B92">
            <w:pPr>
              <w:spacing w:line="280" w:lineRule="exact"/>
              <w:jc w:val="center"/>
            </w:pPr>
            <w:r>
              <w:t>污染物排放量核算</w:t>
            </w:r>
          </w:p>
        </w:tc>
        <w:tc>
          <w:tcPr>
            <w:tcW w:w="1691" w:type="dxa"/>
            <w:gridSpan w:val="2"/>
            <w:vMerge w:val="restart"/>
            <w:tcBorders>
              <w:tl2br w:val="nil"/>
              <w:tr2bl w:val="nil"/>
            </w:tcBorders>
            <w:vAlign w:val="center"/>
          </w:tcPr>
          <w:p w14:paraId="4C26F589" w14:textId="77777777" w:rsidR="00606029" w:rsidRPr="00C83CD8" w:rsidRDefault="00EA5B92">
            <w:pPr>
              <w:spacing w:line="280" w:lineRule="exact"/>
              <w:jc w:val="center"/>
            </w:pPr>
            <w:r w:rsidRPr="00C83CD8">
              <w:t>污染物名称</w:t>
            </w:r>
          </w:p>
        </w:tc>
        <w:tc>
          <w:tcPr>
            <w:tcW w:w="2650" w:type="dxa"/>
            <w:gridSpan w:val="2"/>
            <w:vMerge w:val="restart"/>
            <w:tcBorders>
              <w:tl2br w:val="nil"/>
              <w:tr2bl w:val="nil"/>
            </w:tcBorders>
            <w:vAlign w:val="center"/>
          </w:tcPr>
          <w:p w14:paraId="0DA6678F" w14:textId="77777777" w:rsidR="00606029" w:rsidRPr="00C83CD8" w:rsidRDefault="00EA5B92">
            <w:pPr>
              <w:spacing w:line="280" w:lineRule="exact"/>
              <w:jc w:val="center"/>
            </w:pPr>
            <w:r w:rsidRPr="00C83CD8">
              <w:t>排放量（</w:t>
            </w:r>
            <w:r w:rsidRPr="00C83CD8">
              <w:t>t/a</w:t>
            </w:r>
            <w:r w:rsidRPr="00C83CD8">
              <w:t>）</w:t>
            </w:r>
          </w:p>
        </w:tc>
        <w:tc>
          <w:tcPr>
            <w:tcW w:w="2579" w:type="dxa"/>
            <w:gridSpan w:val="2"/>
            <w:tcBorders>
              <w:tl2br w:val="nil"/>
              <w:tr2bl w:val="nil"/>
            </w:tcBorders>
            <w:vAlign w:val="center"/>
          </w:tcPr>
          <w:p w14:paraId="43DF83CF" w14:textId="77777777" w:rsidR="00606029" w:rsidRPr="00C83CD8" w:rsidRDefault="00EA5B92">
            <w:pPr>
              <w:spacing w:line="280" w:lineRule="exact"/>
              <w:jc w:val="center"/>
            </w:pPr>
            <w:r w:rsidRPr="00C83CD8">
              <w:t>排放浓度（</w:t>
            </w:r>
            <w:r w:rsidRPr="00C83CD8">
              <w:t>mg/L</w:t>
            </w:r>
            <w:r w:rsidRPr="00C83CD8">
              <w:t>）</w:t>
            </w:r>
          </w:p>
        </w:tc>
      </w:tr>
      <w:tr w:rsidR="00606029" w14:paraId="685635CC" w14:textId="77777777" w:rsidTr="00C83CD8">
        <w:trPr>
          <w:trHeight w:val="340"/>
          <w:jc w:val="center"/>
        </w:trPr>
        <w:tc>
          <w:tcPr>
            <w:tcW w:w="546" w:type="dxa"/>
            <w:vMerge/>
            <w:tcBorders>
              <w:tl2br w:val="nil"/>
              <w:tr2bl w:val="nil"/>
            </w:tcBorders>
            <w:vAlign w:val="center"/>
          </w:tcPr>
          <w:p w14:paraId="07B7B609" w14:textId="77777777" w:rsidR="00606029" w:rsidRDefault="00606029">
            <w:pPr>
              <w:spacing w:line="280" w:lineRule="exact"/>
              <w:jc w:val="center"/>
            </w:pPr>
          </w:p>
        </w:tc>
        <w:tc>
          <w:tcPr>
            <w:tcW w:w="1395" w:type="dxa"/>
            <w:vMerge/>
            <w:tcBorders>
              <w:tl2br w:val="nil"/>
              <w:tr2bl w:val="nil"/>
            </w:tcBorders>
            <w:vAlign w:val="center"/>
          </w:tcPr>
          <w:p w14:paraId="2DCF1A90" w14:textId="77777777" w:rsidR="00606029" w:rsidRDefault="00606029">
            <w:pPr>
              <w:spacing w:line="280" w:lineRule="exact"/>
              <w:jc w:val="center"/>
            </w:pPr>
          </w:p>
        </w:tc>
        <w:tc>
          <w:tcPr>
            <w:tcW w:w="1691" w:type="dxa"/>
            <w:gridSpan w:val="2"/>
            <w:vMerge/>
            <w:tcBorders>
              <w:tl2br w:val="nil"/>
              <w:tr2bl w:val="nil"/>
            </w:tcBorders>
            <w:vAlign w:val="center"/>
          </w:tcPr>
          <w:p w14:paraId="7D3ACEFD" w14:textId="77777777" w:rsidR="00606029" w:rsidRPr="00C83CD8" w:rsidRDefault="00606029">
            <w:pPr>
              <w:spacing w:line="280" w:lineRule="exact"/>
              <w:jc w:val="center"/>
            </w:pPr>
          </w:p>
        </w:tc>
        <w:tc>
          <w:tcPr>
            <w:tcW w:w="2650" w:type="dxa"/>
            <w:gridSpan w:val="2"/>
            <w:vMerge/>
            <w:tcBorders>
              <w:tl2br w:val="nil"/>
              <w:tr2bl w:val="nil"/>
            </w:tcBorders>
            <w:vAlign w:val="center"/>
          </w:tcPr>
          <w:p w14:paraId="5423C774" w14:textId="77777777" w:rsidR="00606029" w:rsidRPr="00C83CD8" w:rsidRDefault="00606029">
            <w:pPr>
              <w:spacing w:line="280" w:lineRule="exact"/>
              <w:jc w:val="center"/>
            </w:pPr>
          </w:p>
        </w:tc>
        <w:tc>
          <w:tcPr>
            <w:tcW w:w="2579" w:type="dxa"/>
            <w:gridSpan w:val="2"/>
            <w:tcBorders>
              <w:tl2br w:val="nil"/>
              <w:tr2bl w:val="nil"/>
            </w:tcBorders>
            <w:vAlign w:val="center"/>
          </w:tcPr>
          <w:p w14:paraId="7BA79D9B" w14:textId="77777777" w:rsidR="00606029" w:rsidRPr="00C83CD8" w:rsidRDefault="00EA5B92">
            <w:pPr>
              <w:spacing w:line="280" w:lineRule="exact"/>
              <w:jc w:val="center"/>
            </w:pPr>
            <w:r w:rsidRPr="00C83CD8">
              <w:t>GB16889-2024</w:t>
            </w:r>
            <w:r w:rsidRPr="00C83CD8">
              <w:t>表</w:t>
            </w:r>
            <w:r w:rsidRPr="00C83CD8">
              <w:t>4</w:t>
            </w:r>
            <w:r w:rsidRPr="00C83CD8">
              <w:t>标准</w:t>
            </w:r>
          </w:p>
        </w:tc>
      </w:tr>
      <w:tr w:rsidR="00C83CD8" w14:paraId="6E53B3C5" w14:textId="77777777" w:rsidTr="00C83CD8">
        <w:trPr>
          <w:trHeight w:val="340"/>
          <w:jc w:val="center"/>
        </w:trPr>
        <w:tc>
          <w:tcPr>
            <w:tcW w:w="546" w:type="dxa"/>
            <w:vMerge/>
            <w:tcBorders>
              <w:tl2br w:val="nil"/>
              <w:tr2bl w:val="nil"/>
            </w:tcBorders>
            <w:vAlign w:val="center"/>
          </w:tcPr>
          <w:p w14:paraId="4E5AC1EE" w14:textId="77777777" w:rsidR="00C83CD8" w:rsidRDefault="00C83CD8" w:rsidP="00C83CD8">
            <w:pPr>
              <w:spacing w:line="280" w:lineRule="exact"/>
              <w:jc w:val="center"/>
            </w:pPr>
          </w:p>
        </w:tc>
        <w:tc>
          <w:tcPr>
            <w:tcW w:w="1395" w:type="dxa"/>
            <w:vMerge/>
            <w:tcBorders>
              <w:tl2br w:val="nil"/>
              <w:tr2bl w:val="nil"/>
            </w:tcBorders>
            <w:vAlign w:val="center"/>
          </w:tcPr>
          <w:p w14:paraId="0ACE93BE" w14:textId="77777777" w:rsidR="00C83CD8" w:rsidRDefault="00C83CD8" w:rsidP="00C83CD8">
            <w:pPr>
              <w:spacing w:line="280" w:lineRule="exact"/>
              <w:jc w:val="center"/>
            </w:pPr>
          </w:p>
        </w:tc>
        <w:tc>
          <w:tcPr>
            <w:tcW w:w="1691" w:type="dxa"/>
            <w:gridSpan w:val="2"/>
            <w:tcBorders>
              <w:tl2br w:val="nil"/>
              <w:tr2bl w:val="nil"/>
            </w:tcBorders>
            <w:vAlign w:val="center"/>
          </w:tcPr>
          <w:p w14:paraId="3206900E" w14:textId="77777777" w:rsidR="00C83CD8" w:rsidRPr="00C83CD8" w:rsidRDefault="00C83CD8" w:rsidP="00C83CD8">
            <w:pPr>
              <w:adjustRightInd w:val="0"/>
              <w:snapToGrid w:val="0"/>
              <w:jc w:val="center"/>
            </w:pPr>
            <w:r w:rsidRPr="00C83CD8">
              <w:rPr>
                <w:rFonts w:eastAsia="Times New Roman"/>
              </w:rPr>
              <w:t>COD</w:t>
            </w:r>
          </w:p>
        </w:tc>
        <w:tc>
          <w:tcPr>
            <w:tcW w:w="2650" w:type="dxa"/>
            <w:gridSpan w:val="2"/>
            <w:vAlign w:val="center"/>
          </w:tcPr>
          <w:p w14:paraId="40D12D1F" w14:textId="726AF513" w:rsidR="00C83CD8" w:rsidRPr="00C83CD8" w:rsidRDefault="00C83CD8" w:rsidP="00C83CD8">
            <w:pPr>
              <w:adjustRightInd w:val="0"/>
              <w:snapToGrid w:val="0"/>
              <w:jc w:val="center"/>
            </w:pPr>
            <w:r w:rsidRPr="00C83CD8">
              <w:rPr>
                <w:rFonts w:eastAsiaTheme="minorEastAsia" w:hint="eastAsia"/>
              </w:rPr>
              <w:t>0.011</w:t>
            </w:r>
          </w:p>
        </w:tc>
        <w:tc>
          <w:tcPr>
            <w:tcW w:w="2579" w:type="dxa"/>
            <w:gridSpan w:val="2"/>
            <w:tcBorders>
              <w:tl2br w:val="nil"/>
              <w:tr2bl w:val="nil"/>
            </w:tcBorders>
            <w:vAlign w:val="center"/>
          </w:tcPr>
          <w:p w14:paraId="33BCD568" w14:textId="77777777" w:rsidR="00C83CD8" w:rsidRPr="00C83CD8" w:rsidRDefault="00C83CD8" w:rsidP="00C83CD8">
            <w:pPr>
              <w:adjustRightInd w:val="0"/>
              <w:snapToGrid w:val="0"/>
              <w:jc w:val="center"/>
            </w:pPr>
            <w:r w:rsidRPr="00C83CD8">
              <w:rPr>
                <w:rFonts w:eastAsia="Times New Roman"/>
              </w:rPr>
              <w:t>100</w:t>
            </w:r>
          </w:p>
        </w:tc>
      </w:tr>
      <w:tr w:rsidR="00C83CD8" w14:paraId="0E8A73AE" w14:textId="77777777" w:rsidTr="00C83CD8">
        <w:trPr>
          <w:trHeight w:val="340"/>
          <w:jc w:val="center"/>
        </w:trPr>
        <w:tc>
          <w:tcPr>
            <w:tcW w:w="546" w:type="dxa"/>
            <w:vMerge/>
            <w:tcBorders>
              <w:tl2br w:val="nil"/>
              <w:tr2bl w:val="nil"/>
            </w:tcBorders>
            <w:vAlign w:val="center"/>
          </w:tcPr>
          <w:p w14:paraId="1C24873A" w14:textId="77777777" w:rsidR="00C83CD8" w:rsidRDefault="00C83CD8" w:rsidP="00C83CD8">
            <w:pPr>
              <w:spacing w:line="280" w:lineRule="exact"/>
              <w:jc w:val="center"/>
            </w:pPr>
          </w:p>
        </w:tc>
        <w:tc>
          <w:tcPr>
            <w:tcW w:w="1395" w:type="dxa"/>
            <w:vMerge/>
            <w:tcBorders>
              <w:tl2br w:val="nil"/>
              <w:tr2bl w:val="nil"/>
            </w:tcBorders>
            <w:vAlign w:val="center"/>
          </w:tcPr>
          <w:p w14:paraId="40647CE2" w14:textId="77777777" w:rsidR="00C83CD8" w:rsidRDefault="00C83CD8" w:rsidP="00C83CD8">
            <w:pPr>
              <w:spacing w:line="280" w:lineRule="exact"/>
              <w:jc w:val="center"/>
            </w:pPr>
          </w:p>
        </w:tc>
        <w:tc>
          <w:tcPr>
            <w:tcW w:w="1691" w:type="dxa"/>
            <w:gridSpan w:val="2"/>
            <w:tcBorders>
              <w:tl2br w:val="nil"/>
              <w:tr2bl w:val="nil"/>
            </w:tcBorders>
            <w:vAlign w:val="center"/>
          </w:tcPr>
          <w:p w14:paraId="6A17C882" w14:textId="77777777" w:rsidR="00C83CD8" w:rsidRPr="00C83CD8" w:rsidRDefault="00C83CD8" w:rsidP="00C83CD8">
            <w:pPr>
              <w:adjustRightInd w:val="0"/>
              <w:snapToGrid w:val="0"/>
              <w:jc w:val="center"/>
            </w:pPr>
            <w:r w:rsidRPr="00C83CD8">
              <w:rPr>
                <w:rFonts w:eastAsia="Times New Roman"/>
              </w:rPr>
              <w:t>BOD</w:t>
            </w:r>
            <w:r w:rsidRPr="00C83CD8">
              <w:rPr>
                <w:rFonts w:eastAsia="Times New Roman"/>
                <w:position w:val="-1"/>
              </w:rPr>
              <w:t>5</w:t>
            </w:r>
          </w:p>
        </w:tc>
        <w:tc>
          <w:tcPr>
            <w:tcW w:w="2650" w:type="dxa"/>
            <w:gridSpan w:val="2"/>
            <w:vAlign w:val="center"/>
          </w:tcPr>
          <w:p w14:paraId="2D741E56" w14:textId="5D4F52B5" w:rsidR="00C83CD8" w:rsidRPr="00C83CD8" w:rsidRDefault="00C83CD8" w:rsidP="00C83CD8">
            <w:pPr>
              <w:adjustRightInd w:val="0"/>
              <w:snapToGrid w:val="0"/>
              <w:jc w:val="center"/>
            </w:pPr>
            <w:r w:rsidRPr="00C83CD8">
              <w:rPr>
                <w:rFonts w:eastAsiaTheme="minorEastAsia" w:hint="eastAsia"/>
              </w:rPr>
              <w:t>0.002</w:t>
            </w:r>
          </w:p>
        </w:tc>
        <w:tc>
          <w:tcPr>
            <w:tcW w:w="2579" w:type="dxa"/>
            <w:gridSpan w:val="2"/>
            <w:tcBorders>
              <w:tl2br w:val="nil"/>
              <w:tr2bl w:val="nil"/>
            </w:tcBorders>
            <w:vAlign w:val="center"/>
          </w:tcPr>
          <w:p w14:paraId="5ABC8D6D" w14:textId="77777777" w:rsidR="00C83CD8" w:rsidRPr="00C83CD8" w:rsidRDefault="00C83CD8" w:rsidP="00C83CD8">
            <w:pPr>
              <w:adjustRightInd w:val="0"/>
              <w:snapToGrid w:val="0"/>
              <w:jc w:val="center"/>
            </w:pPr>
            <w:r w:rsidRPr="00C83CD8">
              <w:rPr>
                <w:rFonts w:eastAsia="Times New Roman"/>
              </w:rPr>
              <w:t>30</w:t>
            </w:r>
          </w:p>
        </w:tc>
      </w:tr>
      <w:tr w:rsidR="00C83CD8" w14:paraId="2FD7228E" w14:textId="77777777" w:rsidTr="00C83CD8">
        <w:trPr>
          <w:trHeight w:val="340"/>
          <w:jc w:val="center"/>
        </w:trPr>
        <w:tc>
          <w:tcPr>
            <w:tcW w:w="546" w:type="dxa"/>
            <w:vMerge/>
            <w:tcBorders>
              <w:tl2br w:val="nil"/>
              <w:tr2bl w:val="nil"/>
            </w:tcBorders>
            <w:vAlign w:val="center"/>
          </w:tcPr>
          <w:p w14:paraId="70848EF5" w14:textId="77777777" w:rsidR="00C83CD8" w:rsidRDefault="00C83CD8" w:rsidP="00C83CD8">
            <w:pPr>
              <w:spacing w:line="280" w:lineRule="exact"/>
              <w:jc w:val="center"/>
            </w:pPr>
          </w:p>
        </w:tc>
        <w:tc>
          <w:tcPr>
            <w:tcW w:w="1395" w:type="dxa"/>
            <w:vMerge/>
            <w:tcBorders>
              <w:tl2br w:val="nil"/>
              <w:tr2bl w:val="nil"/>
            </w:tcBorders>
            <w:vAlign w:val="center"/>
          </w:tcPr>
          <w:p w14:paraId="286D486A" w14:textId="77777777" w:rsidR="00C83CD8" w:rsidRDefault="00C83CD8" w:rsidP="00C83CD8">
            <w:pPr>
              <w:spacing w:line="280" w:lineRule="exact"/>
              <w:jc w:val="center"/>
            </w:pPr>
          </w:p>
        </w:tc>
        <w:tc>
          <w:tcPr>
            <w:tcW w:w="1691" w:type="dxa"/>
            <w:gridSpan w:val="2"/>
            <w:tcBorders>
              <w:tl2br w:val="nil"/>
              <w:tr2bl w:val="nil"/>
            </w:tcBorders>
            <w:vAlign w:val="center"/>
          </w:tcPr>
          <w:p w14:paraId="037FC448" w14:textId="77777777" w:rsidR="00C83CD8" w:rsidRPr="00C83CD8" w:rsidRDefault="00C83CD8" w:rsidP="00C83CD8">
            <w:pPr>
              <w:adjustRightInd w:val="0"/>
              <w:snapToGrid w:val="0"/>
              <w:jc w:val="center"/>
            </w:pPr>
            <w:r w:rsidRPr="00C83CD8">
              <w:rPr>
                <w:rFonts w:eastAsia="Times New Roman"/>
              </w:rPr>
              <w:t>SS</w:t>
            </w:r>
          </w:p>
        </w:tc>
        <w:tc>
          <w:tcPr>
            <w:tcW w:w="2650" w:type="dxa"/>
            <w:gridSpan w:val="2"/>
            <w:vAlign w:val="center"/>
          </w:tcPr>
          <w:p w14:paraId="5799B35B" w14:textId="67B5984B" w:rsidR="00C83CD8" w:rsidRPr="00C83CD8" w:rsidRDefault="00C83CD8" w:rsidP="00C83CD8">
            <w:pPr>
              <w:adjustRightInd w:val="0"/>
              <w:snapToGrid w:val="0"/>
              <w:jc w:val="center"/>
            </w:pPr>
            <w:r w:rsidRPr="00C83CD8">
              <w:rPr>
                <w:rFonts w:eastAsiaTheme="minorEastAsia" w:hint="eastAsia"/>
              </w:rPr>
              <w:t>0.0018</w:t>
            </w:r>
          </w:p>
        </w:tc>
        <w:tc>
          <w:tcPr>
            <w:tcW w:w="2579" w:type="dxa"/>
            <w:gridSpan w:val="2"/>
            <w:tcBorders>
              <w:tl2br w:val="nil"/>
              <w:tr2bl w:val="nil"/>
            </w:tcBorders>
            <w:vAlign w:val="center"/>
          </w:tcPr>
          <w:p w14:paraId="3E82828D" w14:textId="77777777" w:rsidR="00C83CD8" w:rsidRPr="00C83CD8" w:rsidRDefault="00C83CD8" w:rsidP="00C83CD8">
            <w:pPr>
              <w:adjustRightInd w:val="0"/>
              <w:snapToGrid w:val="0"/>
              <w:jc w:val="center"/>
            </w:pPr>
            <w:r w:rsidRPr="00C83CD8">
              <w:rPr>
                <w:rFonts w:eastAsia="Times New Roman"/>
              </w:rPr>
              <w:t>30</w:t>
            </w:r>
          </w:p>
        </w:tc>
      </w:tr>
      <w:tr w:rsidR="00C83CD8" w14:paraId="49D77110" w14:textId="77777777" w:rsidTr="00C83CD8">
        <w:trPr>
          <w:trHeight w:val="340"/>
          <w:jc w:val="center"/>
        </w:trPr>
        <w:tc>
          <w:tcPr>
            <w:tcW w:w="546" w:type="dxa"/>
            <w:vMerge/>
            <w:tcBorders>
              <w:tl2br w:val="nil"/>
              <w:tr2bl w:val="nil"/>
            </w:tcBorders>
            <w:vAlign w:val="center"/>
          </w:tcPr>
          <w:p w14:paraId="6B55786D" w14:textId="77777777" w:rsidR="00C83CD8" w:rsidRDefault="00C83CD8" w:rsidP="00C83CD8">
            <w:pPr>
              <w:spacing w:line="280" w:lineRule="exact"/>
              <w:jc w:val="center"/>
            </w:pPr>
          </w:p>
        </w:tc>
        <w:tc>
          <w:tcPr>
            <w:tcW w:w="1395" w:type="dxa"/>
            <w:vMerge/>
            <w:tcBorders>
              <w:tl2br w:val="nil"/>
              <w:tr2bl w:val="nil"/>
            </w:tcBorders>
            <w:vAlign w:val="center"/>
          </w:tcPr>
          <w:p w14:paraId="48F9DB71" w14:textId="77777777" w:rsidR="00C83CD8" w:rsidRDefault="00C83CD8" w:rsidP="00C83CD8">
            <w:pPr>
              <w:spacing w:line="280" w:lineRule="exact"/>
              <w:jc w:val="center"/>
            </w:pPr>
          </w:p>
        </w:tc>
        <w:tc>
          <w:tcPr>
            <w:tcW w:w="1691" w:type="dxa"/>
            <w:gridSpan w:val="2"/>
            <w:tcBorders>
              <w:tl2br w:val="nil"/>
              <w:tr2bl w:val="nil"/>
            </w:tcBorders>
            <w:vAlign w:val="center"/>
          </w:tcPr>
          <w:p w14:paraId="346462FB" w14:textId="77777777" w:rsidR="00C83CD8" w:rsidRPr="00C83CD8" w:rsidRDefault="00C83CD8" w:rsidP="00C83CD8">
            <w:pPr>
              <w:pStyle w:val="TableText"/>
              <w:adjustRightInd w:val="0"/>
              <w:snapToGrid w:val="0"/>
              <w:jc w:val="center"/>
              <w:rPr>
                <w:rFonts w:ascii="Times New Roman" w:hAnsi="Times New Roman" w:cs="Times New Roman"/>
              </w:rPr>
            </w:pPr>
            <w:r w:rsidRPr="00C83CD8">
              <w:rPr>
                <w:rFonts w:ascii="Times New Roman" w:hAnsi="Times New Roman" w:cs="Times New Roman"/>
              </w:rPr>
              <w:t>氨氮</w:t>
            </w:r>
          </w:p>
        </w:tc>
        <w:tc>
          <w:tcPr>
            <w:tcW w:w="2650" w:type="dxa"/>
            <w:gridSpan w:val="2"/>
            <w:vAlign w:val="center"/>
          </w:tcPr>
          <w:p w14:paraId="0A36045D" w14:textId="729B7063" w:rsidR="00C83CD8" w:rsidRPr="00C83CD8" w:rsidRDefault="00C83CD8" w:rsidP="00C83CD8">
            <w:pPr>
              <w:adjustRightInd w:val="0"/>
              <w:snapToGrid w:val="0"/>
              <w:jc w:val="center"/>
            </w:pPr>
            <w:r w:rsidRPr="00C83CD8">
              <w:rPr>
                <w:rFonts w:eastAsiaTheme="minorEastAsia" w:hint="eastAsia"/>
              </w:rPr>
              <w:t>8.56</w:t>
            </w:r>
            <w:r w:rsidRPr="00C83CD8">
              <w:rPr>
                <w:rFonts w:eastAsiaTheme="minorEastAsia" w:hint="eastAsia"/>
              </w:rPr>
              <w:t>×</w:t>
            </w:r>
            <w:r w:rsidRPr="00C83CD8">
              <w:rPr>
                <w:rFonts w:eastAsiaTheme="minorEastAsia" w:hint="eastAsia"/>
              </w:rPr>
              <w:t>10</w:t>
            </w:r>
            <w:r w:rsidRPr="00C83CD8">
              <w:rPr>
                <w:rFonts w:eastAsiaTheme="minorEastAsia" w:hint="eastAsia"/>
                <w:vertAlign w:val="superscript"/>
              </w:rPr>
              <w:t>-5</w:t>
            </w:r>
          </w:p>
        </w:tc>
        <w:tc>
          <w:tcPr>
            <w:tcW w:w="2579" w:type="dxa"/>
            <w:gridSpan w:val="2"/>
            <w:tcBorders>
              <w:tl2br w:val="nil"/>
              <w:tr2bl w:val="nil"/>
            </w:tcBorders>
            <w:vAlign w:val="center"/>
          </w:tcPr>
          <w:p w14:paraId="55521AB5" w14:textId="77777777" w:rsidR="00C83CD8" w:rsidRPr="00C83CD8" w:rsidRDefault="00C83CD8" w:rsidP="00C83CD8">
            <w:pPr>
              <w:adjustRightInd w:val="0"/>
              <w:snapToGrid w:val="0"/>
              <w:jc w:val="center"/>
            </w:pPr>
            <w:r w:rsidRPr="00C83CD8">
              <w:rPr>
                <w:rFonts w:eastAsia="Times New Roman"/>
              </w:rPr>
              <w:t>25</w:t>
            </w:r>
          </w:p>
        </w:tc>
      </w:tr>
      <w:tr w:rsidR="00C83CD8" w14:paraId="082AD571" w14:textId="77777777" w:rsidTr="00C83CD8">
        <w:trPr>
          <w:trHeight w:val="340"/>
          <w:jc w:val="center"/>
        </w:trPr>
        <w:tc>
          <w:tcPr>
            <w:tcW w:w="546" w:type="dxa"/>
            <w:vMerge/>
            <w:tcBorders>
              <w:tl2br w:val="nil"/>
              <w:tr2bl w:val="nil"/>
            </w:tcBorders>
            <w:vAlign w:val="center"/>
          </w:tcPr>
          <w:p w14:paraId="69194E73" w14:textId="77777777" w:rsidR="00C83CD8" w:rsidRDefault="00C83CD8" w:rsidP="00C83CD8">
            <w:pPr>
              <w:spacing w:line="280" w:lineRule="exact"/>
              <w:jc w:val="center"/>
            </w:pPr>
          </w:p>
        </w:tc>
        <w:tc>
          <w:tcPr>
            <w:tcW w:w="1395" w:type="dxa"/>
            <w:vMerge/>
            <w:tcBorders>
              <w:tl2br w:val="nil"/>
              <w:tr2bl w:val="nil"/>
            </w:tcBorders>
            <w:vAlign w:val="center"/>
          </w:tcPr>
          <w:p w14:paraId="0AE3713D" w14:textId="77777777" w:rsidR="00C83CD8" w:rsidRDefault="00C83CD8" w:rsidP="00C83CD8">
            <w:pPr>
              <w:spacing w:line="280" w:lineRule="exact"/>
              <w:jc w:val="center"/>
            </w:pPr>
          </w:p>
        </w:tc>
        <w:tc>
          <w:tcPr>
            <w:tcW w:w="1691" w:type="dxa"/>
            <w:gridSpan w:val="2"/>
            <w:tcBorders>
              <w:tl2br w:val="nil"/>
              <w:tr2bl w:val="nil"/>
            </w:tcBorders>
            <w:vAlign w:val="center"/>
          </w:tcPr>
          <w:p w14:paraId="527BF45F" w14:textId="77777777" w:rsidR="00C83CD8" w:rsidRPr="00C83CD8" w:rsidRDefault="00C83CD8" w:rsidP="00C83CD8">
            <w:pPr>
              <w:pStyle w:val="TableText"/>
              <w:adjustRightInd w:val="0"/>
              <w:snapToGrid w:val="0"/>
              <w:jc w:val="center"/>
              <w:rPr>
                <w:rFonts w:ascii="Times New Roman" w:hAnsi="Times New Roman" w:cs="Times New Roman"/>
              </w:rPr>
            </w:pPr>
            <w:r w:rsidRPr="00C83CD8">
              <w:rPr>
                <w:rFonts w:ascii="Times New Roman" w:hAnsi="Times New Roman" w:cs="Times New Roman"/>
              </w:rPr>
              <w:t>总磷</w:t>
            </w:r>
          </w:p>
        </w:tc>
        <w:tc>
          <w:tcPr>
            <w:tcW w:w="2650" w:type="dxa"/>
            <w:gridSpan w:val="2"/>
            <w:vAlign w:val="center"/>
          </w:tcPr>
          <w:p w14:paraId="785AB7BA" w14:textId="6161ABF4" w:rsidR="00C83CD8" w:rsidRPr="00C83CD8" w:rsidRDefault="00C83CD8" w:rsidP="00C83CD8">
            <w:pPr>
              <w:adjustRightInd w:val="0"/>
              <w:snapToGrid w:val="0"/>
              <w:jc w:val="center"/>
            </w:pPr>
            <w:r w:rsidRPr="00C83CD8">
              <w:rPr>
                <w:rFonts w:eastAsiaTheme="minorEastAsia" w:hint="eastAsia"/>
              </w:rPr>
              <w:t>0.0001</w:t>
            </w:r>
          </w:p>
        </w:tc>
        <w:tc>
          <w:tcPr>
            <w:tcW w:w="2579" w:type="dxa"/>
            <w:gridSpan w:val="2"/>
            <w:tcBorders>
              <w:tl2br w:val="nil"/>
              <w:tr2bl w:val="nil"/>
            </w:tcBorders>
            <w:vAlign w:val="center"/>
          </w:tcPr>
          <w:p w14:paraId="4B4744E5" w14:textId="77777777" w:rsidR="00C83CD8" w:rsidRPr="00C83CD8" w:rsidRDefault="00C83CD8" w:rsidP="00C83CD8">
            <w:pPr>
              <w:adjustRightInd w:val="0"/>
              <w:snapToGrid w:val="0"/>
              <w:jc w:val="center"/>
            </w:pPr>
            <w:r w:rsidRPr="00C83CD8">
              <w:rPr>
                <w:rFonts w:eastAsia="Times New Roman"/>
              </w:rPr>
              <w:t>3</w:t>
            </w:r>
          </w:p>
        </w:tc>
      </w:tr>
      <w:tr w:rsidR="00C83CD8" w14:paraId="054D8C77" w14:textId="77777777" w:rsidTr="00E97AB9">
        <w:trPr>
          <w:trHeight w:val="340"/>
          <w:jc w:val="center"/>
        </w:trPr>
        <w:tc>
          <w:tcPr>
            <w:tcW w:w="546" w:type="dxa"/>
            <w:vMerge/>
            <w:tcBorders>
              <w:tl2br w:val="nil"/>
              <w:tr2bl w:val="nil"/>
            </w:tcBorders>
            <w:vAlign w:val="center"/>
          </w:tcPr>
          <w:p w14:paraId="6E4B1821" w14:textId="77777777" w:rsidR="00C83CD8" w:rsidRDefault="00C83CD8" w:rsidP="00C83CD8">
            <w:pPr>
              <w:spacing w:line="280" w:lineRule="exact"/>
              <w:jc w:val="center"/>
            </w:pPr>
          </w:p>
        </w:tc>
        <w:tc>
          <w:tcPr>
            <w:tcW w:w="1395" w:type="dxa"/>
            <w:vMerge/>
            <w:tcBorders>
              <w:tl2br w:val="nil"/>
              <w:tr2bl w:val="nil"/>
            </w:tcBorders>
            <w:vAlign w:val="center"/>
          </w:tcPr>
          <w:p w14:paraId="51E9A026" w14:textId="77777777" w:rsidR="00C83CD8" w:rsidRDefault="00C83CD8" w:rsidP="00C83CD8">
            <w:pPr>
              <w:spacing w:line="280" w:lineRule="exact"/>
              <w:jc w:val="center"/>
            </w:pPr>
          </w:p>
        </w:tc>
        <w:tc>
          <w:tcPr>
            <w:tcW w:w="1691" w:type="dxa"/>
            <w:gridSpan w:val="2"/>
            <w:tcBorders>
              <w:tl2br w:val="nil"/>
              <w:tr2bl w:val="nil"/>
            </w:tcBorders>
            <w:vAlign w:val="center"/>
          </w:tcPr>
          <w:p w14:paraId="0AB1BCE1" w14:textId="77777777" w:rsidR="00C83CD8" w:rsidRPr="00C83CD8" w:rsidRDefault="00C83CD8" w:rsidP="00C83CD8">
            <w:pPr>
              <w:pStyle w:val="TableText"/>
              <w:adjustRightInd w:val="0"/>
              <w:snapToGrid w:val="0"/>
              <w:jc w:val="center"/>
              <w:rPr>
                <w:rFonts w:ascii="Times New Roman" w:hAnsi="Times New Roman" w:cs="Times New Roman"/>
              </w:rPr>
            </w:pPr>
            <w:r w:rsidRPr="00C83CD8">
              <w:rPr>
                <w:rFonts w:ascii="Times New Roman" w:hAnsi="Times New Roman" w:cs="Times New Roman"/>
              </w:rPr>
              <w:t>总汞</w:t>
            </w:r>
          </w:p>
        </w:tc>
        <w:tc>
          <w:tcPr>
            <w:tcW w:w="2650" w:type="dxa"/>
            <w:gridSpan w:val="2"/>
            <w:vAlign w:val="center"/>
          </w:tcPr>
          <w:p w14:paraId="5FA7CCDE" w14:textId="4ECF369A" w:rsidR="00C83CD8" w:rsidRPr="00C83CD8" w:rsidRDefault="00C83CD8" w:rsidP="00C83CD8">
            <w:pPr>
              <w:adjustRightInd w:val="0"/>
              <w:snapToGrid w:val="0"/>
              <w:jc w:val="center"/>
            </w:pPr>
            <w:r w:rsidRPr="00C83CD8">
              <w:rPr>
                <w:rFonts w:eastAsiaTheme="minorEastAsia" w:hint="eastAsia"/>
              </w:rPr>
              <w:t>/</w:t>
            </w:r>
          </w:p>
        </w:tc>
        <w:tc>
          <w:tcPr>
            <w:tcW w:w="2579" w:type="dxa"/>
            <w:gridSpan w:val="2"/>
            <w:tcBorders>
              <w:tl2br w:val="nil"/>
              <w:tr2bl w:val="nil"/>
            </w:tcBorders>
            <w:vAlign w:val="center"/>
          </w:tcPr>
          <w:p w14:paraId="436B4547" w14:textId="77777777" w:rsidR="00C83CD8" w:rsidRPr="00C83CD8" w:rsidRDefault="00C83CD8" w:rsidP="00C83CD8">
            <w:pPr>
              <w:adjustRightInd w:val="0"/>
              <w:snapToGrid w:val="0"/>
              <w:jc w:val="center"/>
            </w:pPr>
            <w:r w:rsidRPr="00C83CD8">
              <w:rPr>
                <w:rFonts w:eastAsia="Times New Roman"/>
              </w:rPr>
              <w:t>0.001</w:t>
            </w:r>
          </w:p>
        </w:tc>
      </w:tr>
      <w:tr w:rsidR="00C83CD8" w14:paraId="7519D195" w14:textId="77777777" w:rsidTr="00E97AB9">
        <w:trPr>
          <w:trHeight w:val="340"/>
          <w:jc w:val="center"/>
        </w:trPr>
        <w:tc>
          <w:tcPr>
            <w:tcW w:w="546" w:type="dxa"/>
            <w:vMerge/>
            <w:tcBorders>
              <w:tl2br w:val="nil"/>
              <w:tr2bl w:val="nil"/>
            </w:tcBorders>
            <w:vAlign w:val="center"/>
          </w:tcPr>
          <w:p w14:paraId="0B125247" w14:textId="77777777" w:rsidR="00C83CD8" w:rsidRDefault="00C83CD8" w:rsidP="00C83CD8">
            <w:pPr>
              <w:spacing w:line="280" w:lineRule="exact"/>
              <w:jc w:val="center"/>
            </w:pPr>
          </w:p>
        </w:tc>
        <w:tc>
          <w:tcPr>
            <w:tcW w:w="1395" w:type="dxa"/>
            <w:vMerge/>
            <w:tcBorders>
              <w:tl2br w:val="nil"/>
              <w:tr2bl w:val="nil"/>
            </w:tcBorders>
            <w:vAlign w:val="center"/>
          </w:tcPr>
          <w:p w14:paraId="58EB253D" w14:textId="77777777" w:rsidR="00C83CD8" w:rsidRDefault="00C83CD8" w:rsidP="00C83CD8">
            <w:pPr>
              <w:spacing w:line="280" w:lineRule="exact"/>
              <w:jc w:val="center"/>
            </w:pPr>
          </w:p>
        </w:tc>
        <w:tc>
          <w:tcPr>
            <w:tcW w:w="1691" w:type="dxa"/>
            <w:gridSpan w:val="2"/>
            <w:tcBorders>
              <w:tl2br w:val="nil"/>
              <w:tr2bl w:val="nil"/>
            </w:tcBorders>
            <w:vAlign w:val="center"/>
          </w:tcPr>
          <w:p w14:paraId="50007EE2" w14:textId="77777777" w:rsidR="00C83CD8" w:rsidRPr="00C83CD8" w:rsidRDefault="00C83CD8" w:rsidP="00C83CD8">
            <w:pPr>
              <w:pStyle w:val="TableText"/>
              <w:adjustRightInd w:val="0"/>
              <w:snapToGrid w:val="0"/>
              <w:jc w:val="center"/>
              <w:rPr>
                <w:rFonts w:ascii="Times New Roman" w:hAnsi="Times New Roman" w:cs="Times New Roman"/>
              </w:rPr>
            </w:pPr>
            <w:r w:rsidRPr="00C83CD8">
              <w:rPr>
                <w:rFonts w:ascii="Times New Roman" w:hAnsi="Times New Roman" w:cs="Times New Roman"/>
              </w:rPr>
              <w:t>总镉</w:t>
            </w:r>
          </w:p>
        </w:tc>
        <w:tc>
          <w:tcPr>
            <w:tcW w:w="2650" w:type="dxa"/>
            <w:gridSpan w:val="2"/>
            <w:vAlign w:val="center"/>
          </w:tcPr>
          <w:p w14:paraId="3E108941" w14:textId="71011AAE" w:rsidR="00C83CD8" w:rsidRPr="00C83CD8" w:rsidRDefault="00C83CD8" w:rsidP="00C83CD8">
            <w:pPr>
              <w:adjustRightInd w:val="0"/>
              <w:snapToGrid w:val="0"/>
              <w:jc w:val="center"/>
            </w:pPr>
            <w:r w:rsidRPr="00C83CD8">
              <w:rPr>
                <w:rFonts w:eastAsiaTheme="minorEastAsia" w:hint="eastAsia"/>
              </w:rPr>
              <w:t>/</w:t>
            </w:r>
          </w:p>
        </w:tc>
        <w:tc>
          <w:tcPr>
            <w:tcW w:w="2579" w:type="dxa"/>
            <w:gridSpan w:val="2"/>
            <w:tcBorders>
              <w:tl2br w:val="nil"/>
              <w:tr2bl w:val="nil"/>
            </w:tcBorders>
            <w:vAlign w:val="center"/>
          </w:tcPr>
          <w:p w14:paraId="1B6E64B2" w14:textId="77777777" w:rsidR="00C83CD8" w:rsidRPr="00C83CD8" w:rsidRDefault="00C83CD8" w:rsidP="00C83CD8">
            <w:pPr>
              <w:adjustRightInd w:val="0"/>
              <w:snapToGrid w:val="0"/>
              <w:jc w:val="center"/>
            </w:pPr>
            <w:r w:rsidRPr="00C83CD8">
              <w:rPr>
                <w:rFonts w:eastAsia="Times New Roman"/>
              </w:rPr>
              <w:t>0.01</w:t>
            </w:r>
          </w:p>
        </w:tc>
      </w:tr>
      <w:tr w:rsidR="00C83CD8" w14:paraId="4134C3C7" w14:textId="77777777" w:rsidTr="00E97AB9">
        <w:trPr>
          <w:trHeight w:val="340"/>
          <w:jc w:val="center"/>
        </w:trPr>
        <w:tc>
          <w:tcPr>
            <w:tcW w:w="546" w:type="dxa"/>
            <w:vMerge/>
            <w:tcBorders>
              <w:tl2br w:val="nil"/>
              <w:tr2bl w:val="nil"/>
            </w:tcBorders>
            <w:vAlign w:val="center"/>
          </w:tcPr>
          <w:p w14:paraId="7A8A47EC" w14:textId="77777777" w:rsidR="00C83CD8" w:rsidRDefault="00C83CD8" w:rsidP="00C83CD8">
            <w:pPr>
              <w:spacing w:line="280" w:lineRule="exact"/>
              <w:jc w:val="center"/>
            </w:pPr>
          </w:p>
        </w:tc>
        <w:tc>
          <w:tcPr>
            <w:tcW w:w="1395" w:type="dxa"/>
            <w:vMerge/>
            <w:tcBorders>
              <w:tl2br w:val="nil"/>
              <w:tr2bl w:val="nil"/>
            </w:tcBorders>
            <w:vAlign w:val="center"/>
          </w:tcPr>
          <w:p w14:paraId="25F6203F" w14:textId="77777777" w:rsidR="00C83CD8" w:rsidRDefault="00C83CD8" w:rsidP="00C83CD8">
            <w:pPr>
              <w:spacing w:line="280" w:lineRule="exact"/>
              <w:jc w:val="center"/>
            </w:pPr>
          </w:p>
        </w:tc>
        <w:tc>
          <w:tcPr>
            <w:tcW w:w="1691" w:type="dxa"/>
            <w:gridSpan w:val="2"/>
            <w:tcBorders>
              <w:tl2br w:val="nil"/>
              <w:tr2bl w:val="nil"/>
            </w:tcBorders>
            <w:vAlign w:val="center"/>
          </w:tcPr>
          <w:p w14:paraId="6E3FDFEF" w14:textId="77777777" w:rsidR="00C83CD8" w:rsidRPr="00C83CD8" w:rsidRDefault="00C83CD8" w:rsidP="00C83CD8">
            <w:pPr>
              <w:pStyle w:val="TableText"/>
              <w:adjustRightInd w:val="0"/>
              <w:snapToGrid w:val="0"/>
              <w:jc w:val="center"/>
              <w:rPr>
                <w:rFonts w:ascii="Times New Roman" w:hAnsi="Times New Roman" w:cs="Times New Roman"/>
              </w:rPr>
            </w:pPr>
            <w:r w:rsidRPr="00C83CD8">
              <w:rPr>
                <w:rFonts w:ascii="Times New Roman" w:hAnsi="Times New Roman" w:cs="Times New Roman"/>
              </w:rPr>
              <w:t>总铬</w:t>
            </w:r>
          </w:p>
        </w:tc>
        <w:tc>
          <w:tcPr>
            <w:tcW w:w="2650" w:type="dxa"/>
            <w:gridSpan w:val="2"/>
            <w:vAlign w:val="center"/>
          </w:tcPr>
          <w:p w14:paraId="237EC5DE" w14:textId="35E23D3D" w:rsidR="00C83CD8" w:rsidRPr="00C83CD8" w:rsidRDefault="00C83CD8" w:rsidP="00C83CD8">
            <w:pPr>
              <w:adjustRightInd w:val="0"/>
              <w:snapToGrid w:val="0"/>
              <w:jc w:val="center"/>
            </w:pPr>
            <w:r w:rsidRPr="00C83CD8">
              <w:rPr>
                <w:rFonts w:eastAsiaTheme="minorEastAsia" w:hint="eastAsia"/>
              </w:rPr>
              <w:t>/</w:t>
            </w:r>
          </w:p>
        </w:tc>
        <w:tc>
          <w:tcPr>
            <w:tcW w:w="2579" w:type="dxa"/>
            <w:gridSpan w:val="2"/>
            <w:tcBorders>
              <w:tl2br w:val="nil"/>
              <w:tr2bl w:val="nil"/>
            </w:tcBorders>
            <w:vAlign w:val="center"/>
          </w:tcPr>
          <w:p w14:paraId="51799ACE" w14:textId="77777777" w:rsidR="00C83CD8" w:rsidRPr="00C83CD8" w:rsidRDefault="00C83CD8" w:rsidP="00C83CD8">
            <w:pPr>
              <w:adjustRightInd w:val="0"/>
              <w:snapToGrid w:val="0"/>
              <w:jc w:val="center"/>
            </w:pPr>
            <w:r w:rsidRPr="00C83CD8">
              <w:rPr>
                <w:rFonts w:eastAsia="Times New Roman"/>
              </w:rPr>
              <w:t>0.1</w:t>
            </w:r>
          </w:p>
        </w:tc>
      </w:tr>
      <w:tr w:rsidR="00C83CD8" w14:paraId="5AF320C6" w14:textId="77777777" w:rsidTr="00E97AB9">
        <w:trPr>
          <w:trHeight w:val="340"/>
          <w:jc w:val="center"/>
        </w:trPr>
        <w:tc>
          <w:tcPr>
            <w:tcW w:w="546" w:type="dxa"/>
            <w:vMerge/>
            <w:tcBorders>
              <w:tl2br w:val="nil"/>
              <w:tr2bl w:val="nil"/>
            </w:tcBorders>
            <w:vAlign w:val="center"/>
          </w:tcPr>
          <w:p w14:paraId="20477533" w14:textId="77777777" w:rsidR="00C83CD8" w:rsidRDefault="00C83CD8" w:rsidP="00C83CD8">
            <w:pPr>
              <w:spacing w:line="280" w:lineRule="exact"/>
              <w:jc w:val="center"/>
            </w:pPr>
          </w:p>
        </w:tc>
        <w:tc>
          <w:tcPr>
            <w:tcW w:w="1395" w:type="dxa"/>
            <w:vMerge/>
            <w:tcBorders>
              <w:tl2br w:val="nil"/>
              <w:tr2bl w:val="nil"/>
            </w:tcBorders>
            <w:vAlign w:val="center"/>
          </w:tcPr>
          <w:p w14:paraId="7067D913" w14:textId="77777777" w:rsidR="00C83CD8" w:rsidRDefault="00C83CD8" w:rsidP="00C83CD8">
            <w:pPr>
              <w:spacing w:line="280" w:lineRule="exact"/>
              <w:jc w:val="center"/>
            </w:pPr>
          </w:p>
        </w:tc>
        <w:tc>
          <w:tcPr>
            <w:tcW w:w="1691" w:type="dxa"/>
            <w:gridSpan w:val="2"/>
            <w:tcBorders>
              <w:tl2br w:val="nil"/>
              <w:tr2bl w:val="nil"/>
            </w:tcBorders>
            <w:vAlign w:val="center"/>
          </w:tcPr>
          <w:p w14:paraId="5AFFACE8" w14:textId="77777777" w:rsidR="00C83CD8" w:rsidRPr="00C83CD8" w:rsidRDefault="00C83CD8" w:rsidP="00C83CD8">
            <w:pPr>
              <w:pStyle w:val="TableText"/>
              <w:adjustRightInd w:val="0"/>
              <w:snapToGrid w:val="0"/>
              <w:jc w:val="center"/>
              <w:rPr>
                <w:rFonts w:ascii="Times New Roman" w:hAnsi="Times New Roman" w:cs="Times New Roman"/>
              </w:rPr>
            </w:pPr>
            <w:r w:rsidRPr="00C83CD8">
              <w:rPr>
                <w:rFonts w:ascii="Times New Roman" w:hAnsi="Times New Roman" w:cs="Times New Roman"/>
              </w:rPr>
              <w:t>六价铬</w:t>
            </w:r>
          </w:p>
        </w:tc>
        <w:tc>
          <w:tcPr>
            <w:tcW w:w="2650" w:type="dxa"/>
            <w:gridSpan w:val="2"/>
          </w:tcPr>
          <w:p w14:paraId="1D9915A1" w14:textId="0B977D23" w:rsidR="00C83CD8" w:rsidRPr="00C83CD8" w:rsidRDefault="00C83CD8" w:rsidP="00C83CD8">
            <w:pPr>
              <w:adjustRightInd w:val="0"/>
              <w:snapToGrid w:val="0"/>
              <w:jc w:val="center"/>
            </w:pPr>
            <w:r w:rsidRPr="00C83CD8">
              <w:rPr>
                <w:rFonts w:eastAsiaTheme="minorEastAsia" w:hint="eastAsia"/>
              </w:rPr>
              <w:t>/</w:t>
            </w:r>
          </w:p>
        </w:tc>
        <w:tc>
          <w:tcPr>
            <w:tcW w:w="2579" w:type="dxa"/>
            <w:gridSpan w:val="2"/>
            <w:tcBorders>
              <w:tl2br w:val="nil"/>
              <w:tr2bl w:val="nil"/>
            </w:tcBorders>
            <w:vAlign w:val="center"/>
          </w:tcPr>
          <w:p w14:paraId="14DF70B2" w14:textId="77777777" w:rsidR="00C83CD8" w:rsidRPr="00C83CD8" w:rsidRDefault="00C83CD8" w:rsidP="00C83CD8">
            <w:pPr>
              <w:adjustRightInd w:val="0"/>
              <w:snapToGrid w:val="0"/>
              <w:jc w:val="center"/>
            </w:pPr>
            <w:r w:rsidRPr="00C83CD8">
              <w:rPr>
                <w:rFonts w:eastAsia="Times New Roman"/>
              </w:rPr>
              <w:t>0.05</w:t>
            </w:r>
          </w:p>
        </w:tc>
      </w:tr>
      <w:tr w:rsidR="00C83CD8" w14:paraId="595F7E0D" w14:textId="77777777" w:rsidTr="00E97AB9">
        <w:trPr>
          <w:trHeight w:val="340"/>
          <w:jc w:val="center"/>
        </w:trPr>
        <w:tc>
          <w:tcPr>
            <w:tcW w:w="546" w:type="dxa"/>
            <w:vMerge/>
            <w:tcBorders>
              <w:tl2br w:val="nil"/>
              <w:tr2bl w:val="nil"/>
            </w:tcBorders>
            <w:vAlign w:val="center"/>
          </w:tcPr>
          <w:p w14:paraId="3C3D2A0A" w14:textId="77777777" w:rsidR="00C83CD8" w:rsidRDefault="00C83CD8" w:rsidP="00C83CD8">
            <w:pPr>
              <w:spacing w:line="280" w:lineRule="exact"/>
              <w:jc w:val="center"/>
            </w:pPr>
          </w:p>
        </w:tc>
        <w:tc>
          <w:tcPr>
            <w:tcW w:w="1395" w:type="dxa"/>
            <w:vMerge/>
            <w:tcBorders>
              <w:tl2br w:val="nil"/>
              <w:tr2bl w:val="nil"/>
            </w:tcBorders>
            <w:vAlign w:val="center"/>
          </w:tcPr>
          <w:p w14:paraId="1182A0DF" w14:textId="77777777" w:rsidR="00C83CD8" w:rsidRDefault="00C83CD8" w:rsidP="00C83CD8">
            <w:pPr>
              <w:spacing w:line="280" w:lineRule="exact"/>
              <w:jc w:val="center"/>
            </w:pPr>
          </w:p>
        </w:tc>
        <w:tc>
          <w:tcPr>
            <w:tcW w:w="1691" w:type="dxa"/>
            <w:gridSpan w:val="2"/>
            <w:tcBorders>
              <w:tl2br w:val="nil"/>
              <w:tr2bl w:val="nil"/>
            </w:tcBorders>
            <w:vAlign w:val="center"/>
          </w:tcPr>
          <w:p w14:paraId="5B623951" w14:textId="77777777" w:rsidR="00C83CD8" w:rsidRPr="00C83CD8" w:rsidRDefault="00C83CD8" w:rsidP="00C83CD8">
            <w:pPr>
              <w:pStyle w:val="TableText"/>
              <w:adjustRightInd w:val="0"/>
              <w:snapToGrid w:val="0"/>
              <w:jc w:val="center"/>
              <w:rPr>
                <w:rFonts w:ascii="Times New Roman" w:hAnsi="Times New Roman" w:cs="Times New Roman"/>
              </w:rPr>
            </w:pPr>
            <w:r w:rsidRPr="00C83CD8">
              <w:rPr>
                <w:rFonts w:ascii="Times New Roman" w:hAnsi="Times New Roman" w:cs="Times New Roman"/>
              </w:rPr>
              <w:t>总砷</w:t>
            </w:r>
          </w:p>
        </w:tc>
        <w:tc>
          <w:tcPr>
            <w:tcW w:w="2650" w:type="dxa"/>
            <w:gridSpan w:val="2"/>
          </w:tcPr>
          <w:p w14:paraId="623DBC01" w14:textId="4E775BB5" w:rsidR="00C83CD8" w:rsidRPr="00C83CD8" w:rsidRDefault="00C83CD8" w:rsidP="00C83CD8">
            <w:pPr>
              <w:adjustRightInd w:val="0"/>
              <w:snapToGrid w:val="0"/>
              <w:jc w:val="center"/>
              <w:rPr>
                <w:color w:val="000000"/>
                <w:kern w:val="0"/>
              </w:rPr>
            </w:pPr>
            <w:r w:rsidRPr="00C83CD8">
              <w:rPr>
                <w:rFonts w:eastAsiaTheme="minorEastAsia" w:hint="eastAsia"/>
              </w:rPr>
              <w:t>/</w:t>
            </w:r>
          </w:p>
        </w:tc>
        <w:tc>
          <w:tcPr>
            <w:tcW w:w="2579" w:type="dxa"/>
            <w:gridSpan w:val="2"/>
            <w:tcBorders>
              <w:tl2br w:val="nil"/>
              <w:tr2bl w:val="nil"/>
            </w:tcBorders>
            <w:vAlign w:val="center"/>
          </w:tcPr>
          <w:p w14:paraId="75625B8F" w14:textId="77777777" w:rsidR="00C83CD8" w:rsidRPr="00C83CD8" w:rsidRDefault="00C83CD8" w:rsidP="00C83CD8">
            <w:pPr>
              <w:adjustRightInd w:val="0"/>
              <w:snapToGrid w:val="0"/>
              <w:jc w:val="center"/>
            </w:pPr>
            <w:r w:rsidRPr="00C83CD8">
              <w:rPr>
                <w:rFonts w:eastAsia="Times New Roman"/>
              </w:rPr>
              <w:t>0.1</w:t>
            </w:r>
          </w:p>
        </w:tc>
      </w:tr>
      <w:tr w:rsidR="00C83CD8" w14:paraId="227835D1" w14:textId="77777777" w:rsidTr="00E97AB9">
        <w:trPr>
          <w:trHeight w:val="340"/>
          <w:jc w:val="center"/>
        </w:trPr>
        <w:tc>
          <w:tcPr>
            <w:tcW w:w="546" w:type="dxa"/>
            <w:vMerge/>
            <w:tcBorders>
              <w:tl2br w:val="nil"/>
              <w:tr2bl w:val="nil"/>
            </w:tcBorders>
            <w:vAlign w:val="center"/>
          </w:tcPr>
          <w:p w14:paraId="3F73915D" w14:textId="77777777" w:rsidR="00C83CD8" w:rsidRDefault="00C83CD8" w:rsidP="00C83CD8">
            <w:pPr>
              <w:spacing w:line="280" w:lineRule="exact"/>
              <w:jc w:val="center"/>
            </w:pPr>
          </w:p>
        </w:tc>
        <w:tc>
          <w:tcPr>
            <w:tcW w:w="1395" w:type="dxa"/>
            <w:vMerge/>
            <w:tcBorders>
              <w:tl2br w:val="nil"/>
              <w:tr2bl w:val="nil"/>
            </w:tcBorders>
            <w:vAlign w:val="center"/>
          </w:tcPr>
          <w:p w14:paraId="4F9C720E" w14:textId="77777777" w:rsidR="00C83CD8" w:rsidRDefault="00C83CD8" w:rsidP="00C83CD8">
            <w:pPr>
              <w:spacing w:line="280" w:lineRule="exact"/>
              <w:jc w:val="center"/>
            </w:pPr>
          </w:p>
        </w:tc>
        <w:tc>
          <w:tcPr>
            <w:tcW w:w="1691" w:type="dxa"/>
            <w:gridSpan w:val="2"/>
            <w:tcBorders>
              <w:tl2br w:val="nil"/>
              <w:tr2bl w:val="nil"/>
            </w:tcBorders>
            <w:vAlign w:val="center"/>
          </w:tcPr>
          <w:p w14:paraId="3FD051B0" w14:textId="77777777" w:rsidR="00C83CD8" w:rsidRPr="00C83CD8" w:rsidRDefault="00C83CD8" w:rsidP="00C83CD8">
            <w:pPr>
              <w:pStyle w:val="TableText"/>
              <w:adjustRightInd w:val="0"/>
              <w:snapToGrid w:val="0"/>
              <w:jc w:val="center"/>
              <w:rPr>
                <w:rFonts w:ascii="Times New Roman" w:hAnsi="Times New Roman" w:cs="Times New Roman"/>
              </w:rPr>
            </w:pPr>
            <w:r w:rsidRPr="00C83CD8">
              <w:rPr>
                <w:rFonts w:ascii="Times New Roman" w:hAnsi="Times New Roman" w:cs="Times New Roman"/>
              </w:rPr>
              <w:t>总铅</w:t>
            </w:r>
          </w:p>
        </w:tc>
        <w:tc>
          <w:tcPr>
            <w:tcW w:w="2650" w:type="dxa"/>
            <w:gridSpan w:val="2"/>
            <w:vAlign w:val="center"/>
          </w:tcPr>
          <w:p w14:paraId="35DA952B" w14:textId="04A4767E" w:rsidR="00C83CD8" w:rsidRPr="00C83CD8" w:rsidRDefault="00C83CD8" w:rsidP="00C83CD8">
            <w:pPr>
              <w:adjustRightInd w:val="0"/>
              <w:snapToGrid w:val="0"/>
              <w:jc w:val="center"/>
              <w:rPr>
                <w:color w:val="000000"/>
                <w:kern w:val="0"/>
              </w:rPr>
            </w:pPr>
            <w:r w:rsidRPr="00C83CD8">
              <w:rPr>
                <w:rFonts w:eastAsiaTheme="minorEastAsia" w:hint="eastAsia"/>
              </w:rPr>
              <w:t>/</w:t>
            </w:r>
          </w:p>
        </w:tc>
        <w:tc>
          <w:tcPr>
            <w:tcW w:w="2579" w:type="dxa"/>
            <w:gridSpan w:val="2"/>
            <w:tcBorders>
              <w:tl2br w:val="nil"/>
              <w:tr2bl w:val="nil"/>
            </w:tcBorders>
            <w:vAlign w:val="center"/>
          </w:tcPr>
          <w:p w14:paraId="1D99705C" w14:textId="77777777" w:rsidR="00C83CD8" w:rsidRPr="00C83CD8" w:rsidRDefault="00C83CD8" w:rsidP="00C83CD8">
            <w:pPr>
              <w:adjustRightInd w:val="0"/>
              <w:snapToGrid w:val="0"/>
              <w:jc w:val="center"/>
            </w:pPr>
            <w:r w:rsidRPr="00C83CD8">
              <w:rPr>
                <w:rFonts w:eastAsia="Times New Roman"/>
              </w:rPr>
              <w:t>0.1</w:t>
            </w:r>
          </w:p>
        </w:tc>
      </w:tr>
      <w:tr w:rsidR="00606029" w14:paraId="53059D62" w14:textId="77777777" w:rsidTr="00C83CD8">
        <w:trPr>
          <w:trHeight w:val="340"/>
          <w:jc w:val="center"/>
        </w:trPr>
        <w:tc>
          <w:tcPr>
            <w:tcW w:w="546" w:type="dxa"/>
            <w:vMerge/>
            <w:tcBorders>
              <w:tl2br w:val="nil"/>
              <w:tr2bl w:val="nil"/>
            </w:tcBorders>
            <w:vAlign w:val="center"/>
          </w:tcPr>
          <w:p w14:paraId="78B555D5" w14:textId="77777777" w:rsidR="00606029" w:rsidRDefault="00606029">
            <w:pPr>
              <w:spacing w:line="280" w:lineRule="exact"/>
              <w:jc w:val="center"/>
            </w:pPr>
          </w:p>
        </w:tc>
        <w:tc>
          <w:tcPr>
            <w:tcW w:w="1395" w:type="dxa"/>
            <w:tcBorders>
              <w:tl2br w:val="nil"/>
              <w:tr2bl w:val="nil"/>
            </w:tcBorders>
            <w:vAlign w:val="center"/>
          </w:tcPr>
          <w:p w14:paraId="5FAAD472" w14:textId="77777777" w:rsidR="00606029" w:rsidRDefault="00EA5B92">
            <w:pPr>
              <w:spacing w:line="280" w:lineRule="exact"/>
              <w:jc w:val="center"/>
            </w:pPr>
            <w:r>
              <w:t>替代源排放情况</w:t>
            </w:r>
          </w:p>
        </w:tc>
        <w:tc>
          <w:tcPr>
            <w:tcW w:w="6920" w:type="dxa"/>
            <w:gridSpan w:val="6"/>
            <w:tcBorders>
              <w:tl2br w:val="nil"/>
              <w:tr2bl w:val="nil"/>
            </w:tcBorders>
            <w:vAlign w:val="center"/>
          </w:tcPr>
          <w:p w14:paraId="37A51439" w14:textId="77777777" w:rsidR="00606029" w:rsidRDefault="00EA5B92">
            <w:pPr>
              <w:spacing w:line="280" w:lineRule="exact"/>
              <w:jc w:val="center"/>
            </w:pPr>
            <w:r>
              <w:t>本项目不涉及</w:t>
            </w:r>
          </w:p>
        </w:tc>
      </w:tr>
      <w:tr w:rsidR="00606029" w14:paraId="4AA5E304" w14:textId="77777777" w:rsidTr="00C83CD8">
        <w:trPr>
          <w:trHeight w:val="340"/>
          <w:jc w:val="center"/>
        </w:trPr>
        <w:tc>
          <w:tcPr>
            <w:tcW w:w="546" w:type="dxa"/>
            <w:vMerge/>
            <w:tcBorders>
              <w:tl2br w:val="nil"/>
              <w:tr2bl w:val="nil"/>
            </w:tcBorders>
            <w:vAlign w:val="center"/>
          </w:tcPr>
          <w:p w14:paraId="197387CE" w14:textId="77777777" w:rsidR="00606029" w:rsidRDefault="00606029">
            <w:pPr>
              <w:spacing w:line="280" w:lineRule="exact"/>
              <w:jc w:val="center"/>
            </w:pPr>
          </w:p>
        </w:tc>
        <w:tc>
          <w:tcPr>
            <w:tcW w:w="1395" w:type="dxa"/>
            <w:tcBorders>
              <w:tl2br w:val="nil"/>
              <w:tr2bl w:val="nil"/>
            </w:tcBorders>
            <w:vAlign w:val="center"/>
          </w:tcPr>
          <w:p w14:paraId="002D9D17" w14:textId="77777777" w:rsidR="00606029" w:rsidRDefault="00EA5B92">
            <w:pPr>
              <w:spacing w:line="280" w:lineRule="exact"/>
              <w:jc w:val="center"/>
            </w:pPr>
            <w:r>
              <w:t>生态流量确定</w:t>
            </w:r>
          </w:p>
        </w:tc>
        <w:tc>
          <w:tcPr>
            <w:tcW w:w="6920" w:type="dxa"/>
            <w:gridSpan w:val="6"/>
            <w:tcBorders>
              <w:tl2br w:val="nil"/>
              <w:tr2bl w:val="nil"/>
            </w:tcBorders>
            <w:vAlign w:val="center"/>
          </w:tcPr>
          <w:p w14:paraId="70F0381F" w14:textId="77777777" w:rsidR="00606029" w:rsidRDefault="00EA5B92">
            <w:pPr>
              <w:spacing w:line="280" w:lineRule="exact"/>
              <w:jc w:val="center"/>
            </w:pPr>
            <w:r>
              <w:t>本项目不涉及</w:t>
            </w:r>
          </w:p>
        </w:tc>
      </w:tr>
      <w:tr w:rsidR="00606029" w14:paraId="42A64B87" w14:textId="77777777" w:rsidTr="00C83CD8">
        <w:trPr>
          <w:trHeight w:val="340"/>
          <w:jc w:val="center"/>
        </w:trPr>
        <w:tc>
          <w:tcPr>
            <w:tcW w:w="546" w:type="dxa"/>
            <w:vMerge w:val="restart"/>
            <w:tcBorders>
              <w:tl2br w:val="nil"/>
              <w:tr2bl w:val="nil"/>
            </w:tcBorders>
            <w:vAlign w:val="center"/>
          </w:tcPr>
          <w:p w14:paraId="5902EBF0" w14:textId="77777777" w:rsidR="00606029" w:rsidRDefault="00EA5B92">
            <w:pPr>
              <w:spacing w:line="280" w:lineRule="exact"/>
              <w:jc w:val="center"/>
            </w:pPr>
            <w:r>
              <w:t>防治措施</w:t>
            </w:r>
          </w:p>
        </w:tc>
        <w:tc>
          <w:tcPr>
            <w:tcW w:w="1395" w:type="dxa"/>
            <w:tcBorders>
              <w:tl2br w:val="nil"/>
              <w:tr2bl w:val="nil"/>
            </w:tcBorders>
            <w:vAlign w:val="center"/>
          </w:tcPr>
          <w:p w14:paraId="60224E12" w14:textId="77777777" w:rsidR="00606029" w:rsidRDefault="00EA5B92">
            <w:pPr>
              <w:spacing w:line="280" w:lineRule="exact"/>
              <w:jc w:val="center"/>
            </w:pPr>
            <w:r>
              <w:t>环保措施</w:t>
            </w:r>
          </w:p>
        </w:tc>
        <w:tc>
          <w:tcPr>
            <w:tcW w:w="6920" w:type="dxa"/>
            <w:gridSpan w:val="6"/>
            <w:tcBorders>
              <w:tl2br w:val="nil"/>
              <w:tr2bl w:val="nil"/>
            </w:tcBorders>
            <w:vAlign w:val="center"/>
          </w:tcPr>
          <w:p w14:paraId="1F19FA5C" w14:textId="77777777" w:rsidR="00606029" w:rsidRDefault="00EA5B92">
            <w:pPr>
              <w:spacing w:line="280" w:lineRule="exact"/>
              <w:jc w:val="center"/>
            </w:pPr>
            <w:r>
              <w:t>污水处理设施；水文减缓措施</w:t>
            </w:r>
            <w:r>
              <w:t>□</w:t>
            </w:r>
            <w:r>
              <w:t>；生态流量保障设施</w:t>
            </w:r>
            <w:r>
              <w:t>□</w:t>
            </w:r>
            <w:r>
              <w:t>；区域削减；依托其他工程措施</w:t>
            </w:r>
            <w:r>
              <w:t>☑</w:t>
            </w:r>
            <w:r>
              <w:t>；其他</w:t>
            </w:r>
            <w:r>
              <w:t>□</w:t>
            </w:r>
          </w:p>
        </w:tc>
      </w:tr>
      <w:tr w:rsidR="00606029" w14:paraId="35A5F2CF" w14:textId="77777777" w:rsidTr="00C83CD8">
        <w:trPr>
          <w:trHeight w:val="340"/>
          <w:jc w:val="center"/>
        </w:trPr>
        <w:tc>
          <w:tcPr>
            <w:tcW w:w="546" w:type="dxa"/>
            <w:vMerge/>
            <w:tcBorders>
              <w:tl2br w:val="nil"/>
              <w:tr2bl w:val="nil"/>
            </w:tcBorders>
            <w:vAlign w:val="center"/>
          </w:tcPr>
          <w:p w14:paraId="00AC450D" w14:textId="77777777" w:rsidR="00606029" w:rsidRDefault="00606029">
            <w:pPr>
              <w:spacing w:line="280" w:lineRule="exact"/>
              <w:jc w:val="center"/>
            </w:pPr>
          </w:p>
        </w:tc>
        <w:tc>
          <w:tcPr>
            <w:tcW w:w="1395" w:type="dxa"/>
            <w:vMerge w:val="restart"/>
            <w:tcBorders>
              <w:tl2br w:val="nil"/>
              <w:tr2bl w:val="nil"/>
            </w:tcBorders>
            <w:vAlign w:val="center"/>
          </w:tcPr>
          <w:p w14:paraId="6BE1B061" w14:textId="77777777" w:rsidR="00606029" w:rsidRDefault="00EA5B92">
            <w:pPr>
              <w:spacing w:line="280" w:lineRule="exact"/>
              <w:jc w:val="center"/>
            </w:pPr>
            <w:r>
              <w:t>监测计划</w:t>
            </w:r>
          </w:p>
        </w:tc>
        <w:tc>
          <w:tcPr>
            <w:tcW w:w="1460" w:type="dxa"/>
            <w:tcBorders>
              <w:tl2br w:val="nil"/>
              <w:tr2bl w:val="nil"/>
            </w:tcBorders>
            <w:vAlign w:val="center"/>
          </w:tcPr>
          <w:p w14:paraId="4C385CF8" w14:textId="77777777" w:rsidR="00606029" w:rsidRDefault="00EA5B92">
            <w:pPr>
              <w:spacing w:line="280" w:lineRule="exact"/>
              <w:jc w:val="center"/>
            </w:pPr>
            <w:r>
              <w:t>/</w:t>
            </w:r>
          </w:p>
        </w:tc>
        <w:tc>
          <w:tcPr>
            <w:tcW w:w="2881" w:type="dxa"/>
            <w:gridSpan w:val="3"/>
            <w:tcBorders>
              <w:tl2br w:val="nil"/>
              <w:tr2bl w:val="nil"/>
            </w:tcBorders>
            <w:vAlign w:val="center"/>
          </w:tcPr>
          <w:p w14:paraId="2953727B" w14:textId="77777777" w:rsidR="00606029" w:rsidRDefault="00EA5B92">
            <w:pPr>
              <w:spacing w:line="280" w:lineRule="exact"/>
              <w:jc w:val="center"/>
            </w:pPr>
            <w:r>
              <w:t>环境质量</w:t>
            </w:r>
          </w:p>
        </w:tc>
        <w:tc>
          <w:tcPr>
            <w:tcW w:w="2579" w:type="dxa"/>
            <w:gridSpan w:val="2"/>
            <w:tcBorders>
              <w:tl2br w:val="nil"/>
              <w:tr2bl w:val="nil"/>
            </w:tcBorders>
            <w:vAlign w:val="center"/>
          </w:tcPr>
          <w:p w14:paraId="015BB11A" w14:textId="77777777" w:rsidR="00606029" w:rsidRDefault="00EA5B92">
            <w:pPr>
              <w:spacing w:line="280" w:lineRule="exact"/>
              <w:jc w:val="center"/>
            </w:pPr>
            <w:r>
              <w:t>污染源</w:t>
            </w:r>
          </w:p>
        </w:tc>
      </w:tr>
      <w:tr w:rsidR="00606029" w14:paraId="5F840E50" w14:textId="77777777" w:rsidTr="00C83CD8">
        <w:trPr>
          <w:trHeight w:val="340"/>
          <w:jc w:val="center"/>
        </w:trPr>
        <w:tc>
          <w:tcPr>
            <w:tcW w:w="546" w:type="dxa"/>
            <w:vMerge/>
            <w:tcBorders>
              <w:tl2br w:val="nil"/>
              <w:tr2bl w:val="nil"/>
            </w:tcBorders>
            <w:vAlign w:val="center"/>
          </w:tcPr>
          <w:p w14:paraId="3A60CA2A" w14:textId="77777777" w:rsidR="00606029" w:rsidRDefault="00606029">
            <w:pPr>
              <w:spacing w:line="280" w:lineRule="exact"/>
              <w:jc w:val="center"/>
            </w:pPr>
          </w:p>
        </w:tc>
        <w:tc>
          <w:tcPr>
            <w:tcW w:w="1395" w:type="dxa"/>
            <w:vMerge/>
            <w:tcBorders>
              <w:tl2br w:val="nil"/>
              <w:tr2bl w:val="nil"/>
            </w:tcBorders>
            <w:vAlign w:val="center"/>
          </w:tcPr>
          <w:p w14:paraId="2E387FD5" w14:textId="77777777" w:rsidR="00606029" w:rsidRDefault="00606029">
            <w:pPr>
              <w:spacing w:line="280" w:lineRule="exact"/>
              <w:jc w:val="center"/>
            </w:pPr>
          </w:p>
        </w:tc>
        <w:tc>
          <w:tcPr>
            <w:tcW w:w="1460" w:type="dxa"/>
            <w:tcBorders>
              <w:tl2br w:val="nil"/>
              <w:tr2bl w:val="nil"/>
            </w:tcBorders>
            <w:vAlign w:val="center"/>
          </w:tcPr>
          <w:p w14:paraId="488CC84C" w14:textId="77777777" w:rsidR="00606029" w:rsidRDefault="00EA5B92">
            <w:pPr>
              <w:spacing w:line="280" w:lineRule="exact"/>
              <w:jc w:val="center"/>
            </w:pPr>
            <w:r>
              <w:t>监测方式</w:t>
            </w:r>
          </w:p>
        </w:tc>
        <w:tc>
          <w:tcPr>
            <w:tcW w:w="2881" w:type="dxa"/>
            <w:gridSpan w:val="3"/>
            <w:tcBorders>
              <w:tl2br w:val="nil"/>
              <w:tr2bl w:val="nil"/>
            </w:tcBorders>
            <w:vAlign w:val="center"/>
          </w:tcPr>
          <w:p w14:paraId="5BECF51B" w14:textId="77777777" w:rsidR="00606029" w:rsidRDefault="00EA5B92">
            <w:pPr>
              <w:spacing w:line="280" w:lineRule="exact"/>
              <w:jc w:val="center"/>
            </w:pPr>
            <w:r>
              <w:t>手动</w:t>
            </w:r>
            <w:r>
              <w:t>□</w:t>
            </w:r>
            <w:r>
              <w:t>；自动</w:t>
            </w:r>
            <w:r>
              <w:fldChar w:fldCharType="begin"/>
            </w:r>
            <w:r>
              <w:instrText xml:space="preserve"> eq \o\ac(□)</w:instrText>
            </w:r>
            <w:r>
              <w:fldChar w:fldCharType="end"/>
            </w:r>
            <w:r>
              <w:t>；无监测</w:t>
            </w:r>
            <w:r>
              <w:t>□</w:t>
            </w:r>
          </w:p>
        </w:tc>
        <w:tc>
          <w:tcPr>
            <w:tcW w:w="2579" w:type="dxa"/>
            <w:gridSpan w:val="2"/>
            <w:tcBorders>
              <w:tl2br w:val="nil"/>
              <w:tr2bl w:val="nil"/>
            </w:tcBorders>
            <w:vAlign w:val="center"/>
          </w:tcPr>
          <w:p w14:paraId="2C84036C" w14:textId="77777777" w:rsidR="00606029" w:rsidRDefault="00EA5B92">
            <w:pPr>
              <w:spacing w:line="280" w:lineRule="exact"/>
              <w:jc w:val="center"/>
            </w:pPr>
            <w:r>
              <w:t>手动</w:t>
            </w:r>
            <w:r>
              <w:t>☑</w:t>
            </w:r>
            <w:r>
              <w:t>；自动</w:t>
            </w:r>
            <w:r>
              <w:t>☑</w:t>
            </w:r>
            <w:r>
              <w:t>；无监测</w:t>
            </w:r>
            <w:r>
              <w:t>□</w:t>
            </w:r>
          </w:p>
        </w:tc>
      </w:tr>
      <w:tr w:rsidR="00606029" w14:paraId="3572B592" w14:textId="77777777" w:rsidTr="00C83CD8">
        <w:trPr>
          <w:trHeight w:val="340"/>
          <w:jc w:val="center"/>
        </w:trPr>
        <w:tc>
          <w:tcPr>
            <w:tcW w:w="546" w:type="dxa"/>
            <w:vMerge/>
            <w:tcBorders>
              <w:tl2br w:val="nil"/>
              <w:tr2bl w:val="nil"/>
            </w:tcBorders>
            <w:vAlign w:val="center"/>
          </w:tcPr>
          <w:p w14:paraId="68260939" w14:textId="77777777" w:rsidR="00606029" w:rsidRDefault="00606029">
            <w:pPr>
              <w:spacing w:line="280" w:lineRule="exact"/>
              <w:jc w:val="center"/>
            </w:pPr>
          </w:p>
        </w:tc>
        <w:tc>
          <w:tcPr>
            <w:tcW w:w="1395" w:type="dxa"/>
            <w:vMerge/>
            <w:tcBorders>
              <w:tl2br w:val="nil"/>
              <w:tr2bl w:val="nil"/>
            </w:tcBorders>
            <w:vAlign w:val="center"/>
          </w:tcPr>
          <w:p w14:paraId="163CBAB5" w14:textId="77777777" w:rsidR="00606029" w:rsidRDefault="00606029">
            <w:pPr>
              <w:spacing w:line="280" w:lineRule="exact"/>
              <w:jc w:val="center"/>
            </w:pPr>
          </w:p>
        </w:tc>
        <w:tc>
          <w:tcPr>
            <w:tcW w:w="1460" w:type="dxa"/>
            <w:tcBorders>
              <w:tl2br w:val="nil"/>
              <w:tr2bl w:val="nil"/>
            </w:tcBorders>
            <w:vAlign w:val="center"/>
          </w:tcPr>
          <w:p w14:paraId="32D373EB" w14:textId="77777777" w:rsidR="00606029" w:rsidRDefault="00EA5B92">
            <w:pPr>
              <w:spacing w:line="280" w:lineRule="exact"/>
              <w:jc w:val="center"/>
            </w:pPr>
            <w:r>
              <w:t>监测点位</w:t>
            </w:r>
          </w:p>
        </w:tc>
        <w:tc>
          <w:tcPr>
            <w:tcW w:w="2881" w:type="dxa"/>
            <w:gridSpan w:val="3"/>
            <w:tcBorders>
              <w:tl2br w:val="nil"/>
              <w:tr2bl w:val="nil"/>
            </w:tcBorders>
            <w:vAlign w:val="center"/>
          </w:tcPr>
          <w:p w14:paraId="7512C0C1" w14:textId="77777777" w:rsidR="00606029" w:rsidRDefault="00EA5B92">
            <w:pPr>
              <w:spacing w:line="280" w:lineRule="exact"/>
              <w:jc w:val="center"/>
            </w:pPr>
            <w:r>
              <w:t>（</w:t>
            </w:r>
            <w:r>
              <w:t xml:space="preserve">  </w:t>
            </w:r>
            <w:r>
              <w:t>）</w:t>
            </w:r>
          </w:p>
        </w:tc>
        <w:tc>
          <w:tcPr>
            <w:tcW w:w="2579" w:type="dxa"/>
            <w:gridSpan w:val="2"/>
            <w:tcBorders>
              <w:tl2br w:val="nil"/>
              <w:tr2bl w:val="nil"/>
            </w:tcBorders>
            <w:vAlign w:val="center"/>
          </w:tcPr>
          <w:p w14:paraId="6B79A9C4" w14:textId="77777777" w:rsidR="00606029" w:rsidRDefault="00EA5B92">
            <w:pPr>
              <w:spacing w:line="280" w:lineRule="exact"/>
              <w:jc w:val="center"/>
              <w:rPr>
                <w:lang w:val="zh-CN"/>
              </w:rPr>
            </w:pPr>
            <w:r>
              <w:rPr>
                <w:lang w:val="zh-CN"/>
              </w:rPr>
              <w:t>（</w:t>
            </w:r>
            <w:r>
              <w:t>项目污水处理设施出口</w:t>
            </w:r>
            <w:r>
              <w:rPr>
                <w:lang w:val="zh-CN"/>
              </w:rPr>
              <w:t>）</w:t>
            </w:r>
          </w:p>
        </w:tc>
      </w:tr>
      <w:tr w:rsidR="00606029" w14:paraId="344DFAC9" w14:textId="77777777" w:rsidTr="00C83CD8">
        <w:trPr>
          <w:trHeight w:val="340"/>
          <w:jc w:val="center"/>
        </w:trPr>
        <w:tc>
          <w:tcPr>
            <w:tcW w:w="546" w:type="dxa"/>
            <w:vMerge/>
            <w:tcBorders>
              <w:tl2br w:val="nil"/>
              <w:tr2bl w:val="nil"/>
            </w:tcBorders>
            <w:vAlign w:val="center"/>
          </w:tcPr>
          <w:p w14:paraId="0CAC7523" w14:textId="77777777" w:rsidR="00606029" w:rsidRDefault="00606029">
            <w:pPr>
              <w:spacing w:line="280" w:lineRule="exact"/>
              <w:jc w:val="center"/>
            </w:pPr>
          </w:p>
        </w:tc>
        <w:tc>
          <w:tcPr>
            <w:tcW w:w="1395" w:type="dxa"/>
            <w:vMerge/>
            <w:tcBorders>
              <w:tl2br w:val="nil"/>
              <w:tr2bl w:val="nil"/>
            </w:tcBorders>
            <w:vAlign w:val="center"/>
          </w:tcPr>
          <w:p w14:paraId="4F16840D" w14:textId="77777777" w:rsidR="00606029" w:rsidRDefault="00606029">
            <w:pPr>
              <w:spacing w:line="280" w:lineRule="exact"/>
              <w:jc w:val="center"/>
            </w:pPr>
          </w:p>
        </w:tc>
        <w:tc>
          <w:tcPr>
            <w:tcW w:w="1460" w:type="dxa"/>
            <w:tcBorders>
              <w:tl2br w:val="nil"/>
              <w:tr2bl w:val="nil"/>
            </w:tcBorders>
            <w:vAlign w:val="center"/>
          </w:tcPr>
          <w:p w14:paraId="2DD4B360" w14:textId="77777777" w:rsidR="00606029" w:rsidRDefault="00EA5B92">
            <w:pPr>
              <w:spacing w:line="280" w:lineRule="exact"/>
              <w:jc w:val="center"/>
            </w:pPr>
            <w:r>
              <w:t>监测因子</w:t>
            </w:r>
          </w:p>
        </w:tc>
        <w:tc>
          <w:tcPr>
            <w:tcW w:w="2881" w:type="dxa"/>
            <w:gridSpan w:val="3"/>
            <w:tcBorders>
              <w:tl2br w:val="nil"/>
              <w:tr2bl w:val="nil"/>
            </w:tcBorders>
            <w:vAlign w:val="center"/>
          </w:tcPr>
          <w:p w14:paraId="53F23CBF" w14:textId="77777777" w:rsidR="00606029" w:rsidRDefault="00EA5B92">
            <w:pPr>
              <w:spacing w:line="280" w:lineRule="exact"/>
              <w:jc w:val="center"/>
            </w:pPr>
            <w:r>
              <w:t>（</w:t>
            </w:r>
            <w:r>
              <w:t xml:space="preserve">  </w:t>
            </w:r>
            <w:r>
              <w:t>）</w:t>
            </w:r>
          </w:p>
        </w:tc>
        <w:tc>
          <w:tcPr>
            <w:tcW w:w="2579" w:type="dxa"/>
            <w:gridSpan w:val="2"/>
            <w:tcBorders>
              <w:tl2br w:val="nil"/>
              <w:tr2bl w:val="nil"/>
            </w:tcBorders>
            <w:vAlign w:val="center"/>
          </w:tcPr>
          <w:p w14:paraId="6FEB6351" w14:textId="478C8B40" w:rsidR="00606029" w:rsidRDefault="00EA5B92" w:rsidP="0058336F">
            <w:pPr>
              <w:spacing w:line="280" w:lineRule="exact"/>
              <w:jc w:val="center"/>
              <w:rPr>
                <w:lang w:val="zh-CN"/>
              </w:rPr>
            </w:pPr>
            <w:r>
              <w:rPr>
                <w:lang w:val="zh-CN"/>
              </w:rPr>
              <w:t>（</w:t>
            </w:r>
            <w:r>
              <w:t>流量、</w:t>
            </w:r>
            <w:r>
              <w:t>pH</w:t>
            </w:r>
            <w:r>
              <w:t>、色度、化学需氧量、、五日生化需氧量、悬浮物、、总氮、、氨氮、总磷、总铜、总锌、总汞、总镉</w:t>
            </w:r>
            <w:r w:rsidR="0058336F">
              <w:rPr>
                <w:rFonts w:hint="eastAsia"/>
              </w:rPr>
              <w:t>、</w:t>
            </w:r>
            <w:r>
              <w:t>总铬、六价铬、总砷、总铅、总钹、总镍</w:t>
            </w:r>
            <w:r>
              <w:rPr>
                <w:lang w:val="zh-CN"/>
              </w:rPr>
              <w:t>）</w:t>
            </w:r>
          </w:p>
        </w:tc>
      </w:tr>
      <w:tr w:rsidR="00606029" w14:paraId="0301E7BA" w14:textId="77777777" w:rsidTr="00C83CD8">
        <w:trPr>
          <w:trHeight w:val="340"/>
          <w:jc w:val="center"/>
        </w:trPr>
        <w:tc>
          <w:tcPr>
            <w:tcW w:w="546" w:type="dxa"/>
            <w:vMerge/>
            <w:tcBorders>
              <w:tl2br w:val="nil"/>
              <w:tr2bl w:val="nil"/>
            </w:tcBorders>
            <w:vAlign w:val="center"/>
          </w:tcPr>
          <w:p w14:paraId="2E9ABB46" w14:textId="77777777" w:rsidR="00606029" w:rsidRDefault="00606029">
            <w:pPr>
              <w:spacing w:line="280" w:lineRule="exact"/>
              <w:jc w:val="center"/>
            </w:pPr>
          </w:p>
        </w:tc>
        <w:tc>
          <w:tcPr>
            <w:tcW w:w="1395" w:type="dxa"/>
            <w:tcBorders>
              <w:tl2br w:val="nil"/>
              <w:tr2bl w:val="nil"/>
            </w:tcBorders>
            <w:vAlign w:val="center"/>
          </w:tcPr>
          <w:p w14:paraId="010F467F" w14:textId="77777777" w:rsidR="00606029" w:rsidRDefault="00EA5B92">
            <w:pPr>
              <w:spacing w:line="280" w:lineRule="exact"/>
              <w:jc w:val="center"/>
            </w:pPr>
            <w:r>
              <w:t>污染物排放清单</w:t>
            </w:r>
          </w:p>
        </w:tc>
        <w:tc>
          <w:tcPr>
            <w:tcW w:w="6920" w:type="dxa"/>
            <w:gridSpan w:val="6"/>
            <w:tcBorders>
              <w:tl2br w:val="nil"/>
              <w:tr2bl w:val="nil"/>
            </w:tcBorders>
            <w:vAlign w:val="center"/>
          </w:tcPr>
          <w:p w14:paraId="4210365A" w14:textId="77777777" w:rsidR="00606029" w:rsidRDefault="00EA5B92">
            <w:pPr>
              <w:spacing w:line="280" w:lineRule="exact"/>
              <w:jc w:val="center"/>
            </w:pPr>
            <w:r>
              <w:t>/</w:t>
            </w:r>
          </w:p>
        </w:tc>
      </w:tr>
      <w:tr w:rsidR="00606029" w14:paraId="1948D7E1" w14:textId="77777777" w:rsidTr="00C83CD8">
        <w:trPr>
          <w:trHeight w:val="340"/>
          <w:jc w:val="center"/>
        </w:trPr>
        <w:tc>
          <w:tcPr>
            <w:tcW w:w="1941" w:type="dxa"/>
            <w:gridSpan w:val="2"/>
            <w:tcBorders>
              <w:tl2br w:val="nil"/>
              <w:tr2bl w:val="nil"/>
            </w:tcBorders>
            <w:vAlign w:val="center"/>
          </w:tcPr>
          <w:p w14:paraId="7B237F04" w14:textId="77777777" w:rsidR="00606029" w:rsidRDefault="00EA5B92">
            <w:pPr>
              <w:spacing w:line="280" w:lineRule="exact"/>
              <w:jc w:val="center"/>
            </w:pPr>
            <w:r>
              <w:t>评价结论</w:t>
            </w:r>
          </w:p>
        </w:tc>
        <w:tc>
          <w:tcPr>
            <w:tcW w:w="6920" w:type="dxa"/>
            <w:gridSpan w:val="6"/>
            <w:tcBorders>
              <w:tl2br w:val="nil"/>
              <w:tr2bl w:val="nil"/>
            </w:tcBorders>
            <w:vAlign w:val="center"/>
          </w:tcPr>
          <w:p w14:paraId="1BCCC25B" w14:textId="77777777" w:rsidR="00606029" w:rsidRDefault="00EA5B92">
            <w:pPr>
              <w:spacing w:line="280" w:lineRule="exact"/>
              <w:jc w:val="center"/>
            </w:pPr>
            <w:r>
              <w:t>可以接受</w:t>
            </w:r>
            <w:r>
              <w:t>☑</w:t>
            </w:r>
            <w:r>
              <w:t>；不可以接受</w:t>
            </w:r>
            <w:r>
              <w:t>□</w:t>
            </w:r>
          </w:p>
        </w:tc>
      </w:tr>
      <w:tr w:rsidR="00606029" w14:paraId="6C20F6B9" w14:textId="77777777" w:rsidTr="00C83CD8">
        <w:trPr>
          <w:trHeight w:val="340"/>
          <w:jc w:val="center"/>
        </w:trPr>
        <w:tc>
          <w:tcPr>
            <w:tcW w:w="8861" w:type="dxa"/>
            <w:gridSpan w:val="8"/>
            <w:tcBorders>
              <w:tl2br w:val="nil"/>
              <w:tr2bl w:val="nil"/>
            </w:tcBorders>
            <w:vAlign w:val="center"/>
          </w:tcPr>
          <w:p w14:paraId="1A8E9CC5" w14:textId="34883314" w:rsidR="00606029" w:rsidRDefault="00EA5B92">
            <w:pPr>
              <w:spacing w:line="280" w:lineRule="exact"/>
              <w:jc w:val="center"/>
            </w:pPr>
            <w:r>
              <w:t>注</w:t>
            </w:r>
            <w:r w:rsidR="006A52CC">
              <w:t>：</w:t>
            </w:r>
            <w:r>
              <w:t>“□”</w:t>
            </w:r>
            <w:r>
              <w:t>为勾选项，填</w:t>
            </w:r>
            <w:r>
              <w:t>“√”</w:t>
            </w:r>
            <w:r>
              <w:t>；</w:t>
            </w:r>
            <w:r>
              <w:t>“</w:t>
            </w:r>
            <w:r>
              <w:t>（</w:t>
            </w:r>
            <w:r>
              <w:t xml:space="preserve"> </w:t>
            </w:r>
            <w:r>
              <w:t>）</w:t>
            </w:r>
            <w:r>
              <w:t>”</w:t>
            </w:r>
            <w:r>
              <w:t>为内容填写项。</w:t>
            </w:r>
          </w:p>
        </w:tc>
      </w:tr>
    </w:tbl>
    <w:p w14:paraId="47A60A26" w14:textId="77777777" w:rsidR="00606029" w:rsidRDefault="00EA5B92">
      <w:r>
        <w:br w:type="page"/>
      </w:r>
    </w:p>
    <w:p w14:paraId="47E01FDB" w14:textId="425969A6" w:rsidR="00606029" w:rsidRDefault="00EA5B92">
      <w:pPr>
        <w:pStyle w:val="3"/>
        <w:adjustRightInd/>
        <w:snapToGrid/>
        <w:spacing w:beforeLines="50" w:before="120"/>
      </w:pPr>
      <w:bookmarkStart w:id="248" w:name="_Toc220680531"/>
      <w:r>
        <w:lastRenderedPageBreak/>
        <w:t>6.2.3</w:t>
      </w:r>
      <w:r>
        <w:t>地下水环境影响评价</w:t>
      </w:r>
      <w:bookmarkEnd w:id="248"/>
    </w:p>
    <w:p w14:paraId="373A60C7" w14:textId="2586B4D7" w:rsidR="002276D6" w:rsidRDefault="002276D6" w:rsidP="002276D6">
      <w:pPr>
        <w:pStyle w:val="4"/>
      </w:pPr>
      <w:r>
        <w:t>6.2.3.</w:t>
      </w:r>
      <w:r>
        <w:rPr>
          <w:rFonts w:hint="eastAsia"/>
        </w:rPr>
        <w:t>1</w:t>
      </w:r>
      <w:r w:rsidRPr="002276D6">
        <w:t>正常状况下地下水环境影响预测</w:t>
      </w:r>
    </w:p>
    <w:p w14:paraId="2BDBB104" w14:textId="46BD5EAD" w:rsidR="002276D6" w:rsidRPr="002276D6" w:rsidRDefault="002276D6" w:rsidP="002276D6">
      <w:pPr>
        <w:spacing w:line="360" w:lineRule="auto"/>
        <w:ind w:firstLineChars="200" w:firstLine="480"/>
        <w:rPr>
          <w:kern w:val="0"/>
          <w:sz w:val="24"/>
          <w:szCs w:val="22"/>
        </w:rPr>
      </w:pPr>
      <w:r w:rsidRPr="002276D6">
        <w:rPr>
          <w:rFonts w:hint="eastAsia"/>
          <w:kern w:val="0"/>
          <w:sz w:val="24"/>
          <w:szCs w:val="22"/>
        </w:rPr>
        <w:t>正常状况下，建设项目对各类污染源场地及设施按照《生活垃圾填埋场污染控制标准》（</w:t>
      </w:r>
      <w:r w:rsidRPr="002276D6">
        <w:rPr>
          <w:rFonts w:hint="eastAsia"/>
          <w:kern w:val="0"/>
          <w:sz w:val="24"/>
          <w:szCs w:val="22"/>
        </w:rPr>
        <w:t>GB16889-20</w:t>
      </w:r>
      <w:r>
        <w:rPr>
          <w:rFonts w:hint="eastAsia"/>
          <w:kern w:val="0"/>
          <w:sz w:val="24"/>
          <w:szCs w:val="22"/>
        </w:rPr>
        <w:t>24</w:t>
      </w:r>
      <w:r w:rsidRPr="002276D6">
        <w:rPr>
          <w:rFonts w:hint="eastAsia"/>
          <w:kern w:val="0"/>
          <w:sz w:val="24"/>
          <w:szCs w:val="22"/>
        </w:rPr>
        <w:t>）和《生活垃圾卫生填埋处理技术规范》</w:t>
      </w:r>
      <w:r>
        <w:rPr>
          <w:rFonts w:hint="eastAsia"/>
          <w:kern w:val="0"/>
          <w:sz w:val="24"/>
          <w:szCs w:val="22"/>
        </w:rPr>
        <w:t>（</w:t>
      </w:r>
      <w:r w:rsidRPr="002276D6">
        <w:rPr>
          <w:rFonts w:hint="eastAsia"/>
          <w:kern w:val="0"/>
          <w:sz w:val="24"/>
          <w:szCs w:val="22"/>
        </w:rPr>
        <w:t>GB50869-2013</w:t>
      </w:r>
      <w:r>
        <w:rPr>
          <w:rFonts w:hint="eastAsia"/>
          <w:kern w:val="0"/>
          <w:sz w:val="24"/>
          <w:szCs w:val="22"/>
        </w:rPr>
        <w:t>）</w:t>
      </w:r>
      <w:r w:rsidRPr="002276D6">
        <w:rPr>
          <w:rFonts w:hint="eastAsia"/>
          <w:kern w:val="0"/>
          <w:sz w:val="24"/>
          <w:szCs w:val="22"/>
        </w:rPr>
        <w:t>进行了严格的防渗措施，污染物从源头和末端均得到控制，阻隔了污染地下水的通道，在</w:t>
      </w:r>
      <w:r w:rsidR="00E45925">
        <w:rPr>
          <w:rFonts w:hint="eastAsia"/>
          <w:kern w:val="0"/>
          <w:sz w:val="24"/>
          <w:szCs w:val="22"/>
        </w:rPr>
        <w:t>严格的</w:t>
      </w:r>
      <w:r w:rsidRPr="002276D6">
        <w:rPr>
          <w:rFonts w:hint="eastAsia"/>
          <w:kern w:val="0"/>
          <w:sz w:val="24"/>
          <w:szCs w:val="22"/>
        </w:rPr>
        <w:t>防渗措施下，不会对地下水环境造成影响。</w:t>
      </w:r>
    </w:p>
    <w:p w14:paraId="05A2A9CB" w14:textId="0FFD1F84" w:rsidR="00606029" w:rsidRDefault="002276D6" w:rsidP="002276D6">
      <w:pPr>
        <w:spacing w:line="360" w:lineRule="auto"/>
        <w:ind w:firstLineChars="200" w:firstLine="480"/>
        <w:rPr>
          <w:kern w:val="0"/>
          <w:sz w:val="24"/>
          <w:szCs w:val="24"/>
        </w:rPr>
      </w:pPr>
      <w:r>
        <w:rPr>
          <w:rFonts w:hint="eastAsia"/>
          <w:kern w:val="0"/>
          <w:sz w:val="24"/>
          <w:szCs w:val="22"/>
        </w:rPr>
        <w:t>根据</w:t>
      </w:r>
      <w:r w:rsidRPr="002276D6">
        <w:rPr>
          <w:rFonts w:hint="eastAsia"/>
          <w:kern w:val="0"/>
          <w:sz w:val="24"/>
          <w:szCs w:val="22"/>
        </w:rPr>
        <w:t>《生活垃圾填埋场污染控制标准》（</w:t>
      </w:r>
      <w:r w:rsidRPr="002276D6">
        <w:rPr>
          <w:rFonts w:hint="eastAsia"/>
          <w:kern w:val="0"/>
          <w:sz w:val="24"/>
          <w:szCs w:val="22"/>
        </w:rPr>
        <w:t>GB16889-20</w:t>
      </w:r>
      <w:r>
        <w:rPr>
          <w:rFonts w:hint="eastAsia"/>
          <w:kern w:val="0"/>
          <w:sz w:val="24"/>
          <w:szCs w:val="22"/>
        </w:rPr>
        <w:t>24</w:t>
      </w:r>
      <w:r w:rsidRPr="002276D6">
        <w:rPr>
          <w:rFonts w:hint="eastAsia"/>
          <w:kern w:val="0"/>
          <w:sz w:val="24"/>
          <w:szCs w:val="22"/>
        </w:rPr>
        <w:t>）设计地下水污染防渗措施，地下水导则</w:t>
      </w:r>
      <w:r w:rsidRPr="002276D6">
        <w:rPr>
          <w:rFonts w:hint="eastAsia"/>
          <w:kern w:val="0"/>
          <w:sz w:val="24"/>
          <w:szCs w:val="22"/>
        </w:rPr>
        <w:t>9.4</w:t>
      </w:r>
      <w:r w:rsidRPr="002276D6">
        <w:rPr>
          <w:rFonts w:hint="eastAsia"/>
          <w:kern w:val="0"/>
          <w:sz w:val="24"/>
          <w:szCs w:val="22"/>
        </w:rPr>
        <w:t>节“已依据相关规范设计地下水污染防渗措施的建设项目，可不进行正常状况情景下的预测”。</w:t>
      </w:r>
    </w:p>
    <w:p w14:paraId="1777891F" w14:textId="00A20942" w:rsidR="00606029" w:rsidRDefault="00EA5B92">
      <w:pPr>
        <w:pStyle w:val="4"/>
      </w:pPr>
      <w:bookmarkStart w:id="249" w:name="_Toc145670861"/>
      <w:bookmarkStart w:id="250" w:name="_Toc198418950"/>
      <w:bookmarkStart w:id="251" w:name="_Toc6260"/>
      <w:r>
        <w:t>6.2.3.</w:t>
      </w:r>
      <w:r w:rsidR="002276D6">
        <w:rPr>
          <w:rFonts w:hint="eastAsia"/>
        </w:rPr>
        <w:t>2</w:t>
      </w:r>
      <w:r w:rsidR="002276D6">
        <w:rPr>
          <w:rFonts w:hint="eastAsia"/>
        </w:rPr>
        <w:t>非</w:t>
      </w:r>
      <w:r w:rsidR="002276D6" w:rsidRPr="002276D6">
        <w:t>正常状况下地下水环境影响预测</w:t>
      </w:r>
      <w:bookmarkEnd w:id="249"/>
      <w:bookmarkEnd w:id="250"/>
    </w:p>
    <w:p w14:paraId="4C8F3CD1" w14:textId="5570FF5F" w:rsidR="00133A92" w:rsidRDefault="00133A92">
      <w:pPr>
        <w:spacing w:line="360" w:lineRule="auto"/>
        <w:ind w:firstLineChars="200" w:firstLine="480"/>
        <w:rPr>
          <w:sz w:val="24"/>
          <w:szCs w:val="22"/>
        </w:rPr>
      </w:pPr>
      <w:r w:rsidRPr="00133A92">
        <w:rPr>
          <w:sz w:val="24"/>
          <w:szCs w:val="22"/>
        </w:rPr>
        <w:t>本次预测以</w:t>
      </w:r>
      <w:r>
        <w:rPr>
          <w:rFonts w:hint="eastAsia"/>
          <w:sz w:val="24"/>
          <w:szCs w:val="22"/>
        </w:rPr>
        <w:t>潜水含水层</w:t>
      </w:r>
      <w:r w:rsidRPr="00133A92">
        <w:rPr>
          <w:sz w:val="24"/>
          <w:szCs w:val="22"/>
        </w:rPr>
        <w:t>为预测层位，就非正常状况下对地下水造成的影响进行预测。预测以项目</w:t>
      </w:r>
      <w:r>
        <w:rPr>
          <w:rFonts w:hint="eastAsia"/>
          <w:sz w:val="24"/>
          <w:szCs w:val="22"/>
        </w:rPr>
        <w:t>飞灰</w:t>
      </w:r>
      <w:r w:rsidRPr="00133A92">
        <w:rPr>
          <w:sz w:val="24"/>
          <w:szCs w:val="22"/>
        </w:rPr>
        <w:t>填埋区为核心，按照无事故预警渗漏状况分别进行预测。地下水水质预测时段，按照渗漏事故发生后的</w:t>
      </w:r>
      <w:r w:rsidRPr="00133A92">
        <w:rPr>
          <w:sz w:val="24"/>
          <w:szCs w:val="22"/>
        </w:rPr>
        <w:t>100d</w:t>
      </w:r>
      <w:r w:rsidRPr="00133A92">
        <w:rPr>
          <w:sz w:val="24"/>
          <w:szCs w:val="22"/>
        </w:rPr>
        <w:t>、</w:t>
      </w:r>
      <w:r w:rsidRPr="00133A92">
        <w:rPr>
          <w:sz w:val="24"/>
          <w:szCs w:val="22"/>
        </w:rPr>
        <w:t>1000d</w:t>
      </w:r>
      <w:r w:rsidRPr="00133A92">
        <w:rPr>
          <w:sz w:val="24"/>
          <w:szCs w:val="22"/>
        </w:rPr>
        <w:t>和</w:t>
      </w:r>
      <w:r w:rsidRPr="00133A92">
        <w:rPr>
          <w:sz w:val="24"/>
          <w:szCs w:val="22"/>
        </w:rPr>
        <w:t>10a</w:t>
      </w:r>
      <w:r w:rsidRPr="00133A92">
        <w:rPr>
          <w:sz w:val="24"/>
          <w:szCs w:val="22"/>
        </w:rPr>
        <w:t>进行预测。</w:t>
      </w:r>
    </w:p>
    <w:p w14:paraId="3DC8B101" w14:textId="0293E1FA" w:rsidR="00B52F2A" w:rsidRDefault="00B52F2A" w:rsidP="00B52F2A">
      <w:pPr>
        <w:spacing w:line="360" w:lineRule="auto"/>
        <w:ind w:firstLineChars="200" w:firstLine="480"/>
        <w:rPr>
          <w:sz w:val="24"/>
          <w:szCs w:val="22"/>
        </w:rPr>
      </w:pPr>
      <w:r>
        <w:rPr>
          <w:rFonts w:hint="eastAsia"/>
          <w:sz w:val="24"/>
          <w:szCs w:val="22"/>
        </w:rPr>
        <w:t>（</w:t>
      </w:r>
      <w:r>
        <w:rPr>
          <w:rFonts w:hint="eastAsia"/>
          <w:sz w:val="24"/>
          <w:szCs w:val="22"/>
        </w:rPr>
        <w:t>1</w:t>
      </w:r>
      <w:r>
        <w:rPr>
          <w:rFonts w:hint="eastAsia"/>
          <w:sz w:val="24"/>
          <w:szCs w:val="22"/>
        </w:rPr>
        <w:t>）</w:t>
      </w:r>
      <w:r w:rsidRPr="00B52F2A">
        <w:rPr>
          <w:sz w:val="24"/>
          <w:szCs w:val="22"/>
        </w:rPr>
        <w:t>预测</w:t>
      </w:r>
      <w:r w:rsidR="00124096">
        <w:rPr>
          <w:rFonts w:hint="eastAsia"/>
          <w:sz w:val="24"/>
          <w:szCs w:val="22"/>
        </w:rPr>
        <w:t>模型</w:t>
      </w:r>
      <w:r w:rsidRPr="00B52F2A">
        <w:rPr>
          <w:sz w:val="24"/>
          <w:szCs w:val="22"/>
        </w:rPr>
        <w:t>确定</w:t>
      </w:r>
    </w:p>
    <w:p w14:paraId="6261686E" w14:textId="6B01C3FD" w:rsidR="00B52F2A" w:rsidRPr="00B52F2A" w:rsidRDefault="00B52F2A" w:rsidP="00B52F2A">
      <w:pPr>
        <w:spacing w:line="360" w:lineRule="auto"/>
        <w:ind w:firstLineChars="200" w:firstLine="480"/>
        <w:rPr>
          <w:sz w:val="24"/>
          <w:szCs w:val="22"/>
        </w:rPr>
      </w:pPr>
      <w:r w:rsidRPr="00B52F2A">
        <w:rPr>
          <w:sz w:val="24"/>
          <w:szCs w:val="22"/>
        </w:rPr>
        <w:t>在非正常状况下，由于</w:t>
      </w:r>
      <w:r>
        <w:rPr>
          <w:rFonts w:hint="eastAsia"/>
          <w:sz w:val="24"/>
          <w:szCs w:val="22"/>
        </w:rPr>
        <w:t>飞灰</w:t>
      </w:r>
      <w:r w:rsidRPr="00B52F2A">
        <w:rPr>
          <w:sz w:val="24"/>
          <w:szCs w:val="22"/>
        </w:rPr>
        <w:t>填埋区防渗层老化或腐蚀，污染物缓慢渗漏导致地下水污染。由于渗漏量较小，渗漏缓慢，渗漏过程不易被发现，渗漏发生后持续进行。假定泄漏的污染物连续注入含水层中，形成点状污染源，其污染方式为直接污染，污染途径为径流型。污染物通过地下</w:t>
      </w:r>
      <w:r w:rsidRPr="00B52F2A">
        <w:rPr>
          <w:rFonts w:hint="eastAsia"/>
          <w:sz w:val="24"/>
          <w:szCs w:val="22"/>
        </w:rPr>
        <w:t>水径流进入含水层，直接污染该区含水层，进而污染地下水。</w:t>
      </w:r>
    </w:p>
    <w:p w14:paraId="2B98A680" w14:textId="501388B6" w:rsidR="00133A92" w:rsidRDefault="00B52F2A" w:rsidP="00B52F2A">
      <w:pPr>
        <w:spacing w:line="360" w:lineRule="auto"/>
        <w:ind w:firstLineChars="200" w:firstLine="480"/>
        <w:rPr>
          <w:sz w:val="24"/>
          <w:szCs w:val="22"/>
        </w:rPr>
      </w:pPr>
      <w:r w:rsidRPr="00B52F2A">
        <w:rPr>
          <w:rFonts w:hint="eastAsia"/>
          <w:sz w:val="24"/>
          <w:szCs w:val="22"/>
        </w:rPr>
        <w:t>确定本次评价预测模型采用解析模型，由于在此渗漏状况下，渗漏现象无法第一时间判断和处理，因而采用连续注入示踪剂</w:t>
      </w:r>
      <w:r w:rsidRPr="00B52F2A">
        <w:rPr>
          <w:rFonts w:hint="eastAsia"/>
          <w:sz w:val="24"/>
          <w:szCs w:val="22"/>
        </w:rPr>
        <w:t>-</w:t>
      </w:r>
      <w:r w:rsidRPr="00B52F2A">
        <w:rPr>
          <w:rFonts w:hint="eastAsia"/>
          <w:sz w:val="24"/>
          <w:szCs w:val="22"/>
        </w:rPr>
        <w:t>平面连续点源。污染物在地下水环境迁移预测的解析式如下：</w:t>
      </w:r>
    </w:p>
    <w:p w14:paraId="5127CF97" w14:textId="77777777" w:rsidR="00B52F2A" w:rsidRPr="00B52F2A" w:rsidRDefault="00B52F2A" w:rsidP="00B52F2A">
      <w:pPr>
        <w:spacing w:line="360" w:lineRule="auto"/>
        <w:ind w:firstLineChars="200" w:firstLine="480"/>
        <w:rPr>
          <w:sz w:val="24"/>
          <w:szCs w:val="22"/>
        </w:rPr>
      </w:pPr>
      <w:r w:rsidRPr="00B52F2A">
        <w:rPr>
          <w:sz w:val="24"/>
          <w:szCs w:val="22"/>
        </w:rPr>
        <w:t>连续注入示踪剂</w:t>
      </w:r>
      <w:r w:rsidRPr="00B52F2A">
        <w:rPr>
          <w:sz w:val="24"/>
          <w:szCs w:val="22"/>
        </w:rPr>
        <w:t>——</w:t>
      </w:r>
      <w:r w:rsidRPr="00B52F2A">
        <w:rPr>
          <w:sz w:val="24"/>
          <w:szCs w:val="22"/>
        </w:rPr>
        <w:t>平面连续点源</w:t>
      </w:r>
    </w:p>
    <w:p w14:paraId="7F53B628" w14:textId="77777777" w:rsidR="00B52F2A" w:rsidRPr="00B52F2A" w:rsidRDefault="00B52F2A" w:rsidP="00B52F2A">
      <w:pPr>
        <w:widowControl/>
        <w:jc w:val="center"/>
        <w:rPr>
          <w:w w:val="99"/>
          <w:kern w:val="0"/>
          <w:sz w:val="28"/>
          <w:szCs w:val="28"/>
        </w:rPr>
      </w:pPr>
      <w:r w:rsidRPr="00B52F2A">
        <w:rPr>
          <w:noProof/>
          <w:w w:val="99"/>
          <w:kern w:val="0"/>
          <w:sz w:val="28"/>
          <w:szCs w:val="28"/>
        </w:rPr>
        <w:drawing>
          <wp:inline distT="0" distB="0" distL="0" distR="0" wp14:anchorId="516A0FF3" wp14:editId="6CF2BBE9">
            <wp:extent cx="4451350" cy="914400"/>
            <wp:effectExtent l="0" t="0" r="6350" b="0"/>
            <wp:docPr id="54" name="图片 54" descr="d:\tmp\ksohtml\wps4CB0.t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d:\tmp\ksohtml\wps4CB0.tmp.png"/>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a:xfrm>
                      <a:off x="0" y="0"/>
                      <a:ext cx="4451350" cy="914400"/>
                    </a:xfrm>
                    <a:prstGeom prst="rect">
                      <a:avLst/>
                    </a:prstGeom>
                    <a:noFill/>
                    <a:ln>
                      <a:noFill/>
                    </a:ln>
                  </pic:spPr>
                </pic:pic>
              </a:graphicData>
            </a:graphic>
          </wp:inline>
        </w:drawing>
      </w:r>
    </w:p>
    <w:p w14:paraId="498028B9" w14:textId="77777777" w:rsidR="00B52F2A" w:rsidRPr="00B52F2A" w:rsidRDefault="00B52F2A" w:rsidP="00B52F2A">
      <w:pPr>
        <w:widowControl/>
        <w:jc w:val="center"/>
        <w:rPr>
          <w:w w:val="99"/>
          <w:kern w:val="0"/>
          <w:sz w:val="28"/>
          <w:szCs w:val="28"/>
        </w:rPr>
      </w:pPr>
      <w:r w:rsidRPr="00B52F2A">
        <w:rPr>
          <w:noProof/>
          <w:w w:val="99"/>
          <w:kern w:val="0"/>
          <w:sz w:val="24"/>
          <w:szCs w:val="24"/>
        </w:rPr>
        <w:drawing>
          <wp:inline distT="0" distB="0" distL="0" distR="0" wp14:anchorId="371FC34B" wp14:editId="5893F294">
            <wp:extent cx="1854835" cy="681355"/>
            <wp:effectExtent l="0" t="0" r="0" b="4445"/>
            <wp:docPr id="448" name="图片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 name="图片 448"/>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a:xfrm>
                      <a:off x="0" y="0"/>
                      <a:ext cx="1854835" cy="681355"/>
                    </a:xfrm>
                    <a:prstGeom prst="rect">
                      <a:avLst/>
                    </a:prstGeom>
                    <a:noFill/>
                    <a:ln>
                      <a:noFill/>
                    </a:ln>
                  </pic:spPr>
                </pic:pic>
              </a:graphicData>
            </a:graphic>
          </wp:inline>
        </w:drawing>
      </w:r>
    </w:p>
    <w:p w14:paraId="54A7155A" w14:textId="77777777" w:rsidR="00B52F2A" w:rsidRPr="00B52F2A" w:rsidRDefault="00B52F2A" w:rsidP="00B52F2A">
      <w:pPr>
        <w:spacing w:line="360" w:lineRule="auto"/>
        <w:ind w:firstLineChars="200" w:firstLine="480"/>
        <w:rPr>
          <w:sz w:val="24"/>
          <w:szCs w:val="22"/>
        </w:rPr>
      </w:pPr>
      <w:r w:rsidRPr="00B52F2A">
        <w:rPr>
          <w:sz w:val="24"/>
          <w:szCs w:val="22"/>
        </w:rPr>
        <w:t>式中：</w:t>
      </w:r>
    </w:p>
    <w:p w14:paraId="28EAF6DD" w14:textId="77777777" w:rsidR="00B52F2A" w:rsidRPr="00B52F2A" w:rsidRDefault="00B52F2A" w:rsidP="00B52F2A">
      <w:pPr>
        <w:spacing w:line="360" w:lineRule="auto"/>
        <w:ind w:firstLineChars="200" w:firstLine="480"/>
        <w:rPr>
          <w:sz w:val="24"/>
          <w:szCs w:val="22"/>
        </w:rPr>
      </w:pPr>
      <w:r w:rsidRPr="00B52F2A">
        <w:rPr>
          <w:sz w:val="24"/>
          <w:szCs w:val="22"/>
        </w:rPr>
        <w:lastRenderedPageBreak/>
        <w:t>x</w:t>
      </w:r>
      <w:r w:rsidRPr="00B52F2A">
        <w:rPr>
          <w:sz w:val="24"/>
          <w:szCs w:val="22"/>
        </w:rPr>
        <w:t>，</w:t>
      </w:r>
      <w:r w:rsidRPr="00B52F2A">
        <w:rPr>
          <w:sz w:val="24"/>
          <w:szCs w:val="22"/>
        </w:rPr>
        <w:t>y—</w:t>
      </w:r>
      <w:r w:rsidRPr="00B52F2A">
        <w:rPr>
          <w:sz w:val="24"/>
          <w:szCs w:val="22"/>
        </w:rPr>
        <w:t>计算点处的位置坐标；</w:t>
      </w:r>
    </w:p>
    <w:p w14:paraId="590D359B" w14:textId="77777777" w:rsidR="00B52F2A" w:rsidRPr="00B52F2A" w:rsidRDefault="00B52F2A" w:rsidP="00B52F2A">
      <w:pPr>
        <w:spacing w:line="360" w:lineRule="auto"/>
        <w:ind w:firstLineChars="200" w:firstLine="480"/>
        <w:rPr>
          <w:sz w:val="24"/>
          <w:szCs w:val="22"/>
        </w:rPr>
      </w:pPr>
      <w:r w:rsidRPr="00B52F2A">
        <w:rPr>
          <w:sz w:val="24"/>
          <w:szCs w:val="22"/>
        </w:rPr>
        <w:t>t—</w:t>
      </w:r>
      <w:r w:rsidRPr="00B52F2A">
        <w:rPr>
          <w:sz w:val="24"/>
          <w:szCs w:val="22"/>
        </w:rPr>
        <w:t>时间，</w:t>
      </w:r>
      <w:r w:rsidRPr="00B52F2A">
        <w:rPr>
          <w:sz w:val="24"/>
          <w:szCs w:val="22"/>
        </w:rPr>
        <w:t>d</w:t>
      </w:r>
      <w:r w:rsidRPr="00B52F2A">
        <w:rPr>
          <w:sz w:val="24"/>
          <w:szCs w:val="22"/>
        </w:rPr>
        <w:t>；</w:t>
      </w:r>
      <w:r w:rsidRPr="00B52F2A">
        <w:rPr>
          <w:sz w:val="24"/>
          <w:szCs w:val="22"/>
        </w:rPr>
        <w:t xml:space="preserve"> </w:t>
      </w:r>
    </w:p>
    <w:p w14:paraId="6ACE536C" w14:textId="77777777" w:rsidR="00B52F2A" w:rsidRPr="00B52F2A" w:rsidRDefault="00B52F2A" w:rsidP="00B52F2A">
      <w:pPr>
        <w:spacing w:line="360" w:lineRule="auto"/>
        <w:ind w:firstLineChars="200" w:firstLine="480"/>
        <w:rPr>
          <w:sz w:val="24"/>
          <w:szCs w:val="22"/>
        </w:rPr>
      </w:pPr>
      <w:r w:rsidRPr="00B52F2A">
        <w:rPr>
          <w:sz w:val="24"/>
          <w:szCs w:val="22"/>
        </w:rPr>
        <w:t>C</w:t>
      </w:r>
      <w:r w:rsidRPr="00B52F2A">
        <w:rPr>
          <w:sz w:val="24"/>
          <w:szCs w:val="22"/>
        </w:rPr>
        <w:t>（</w:t>
      </w:r>
      <w:r w:rsidRPr="00B52F2A">
        <w:rPr>
          <w:sz w:val="24"/>
          <w:szCs w:val="22"/>
        </w:rPr>
        <w:t>x</w:t>
      </w:r>
      <w:r w:rsidRPr="00B52F2A">
        <w:rPr>
          <w:sz w:val="24"/>
          <w:szCs w:val="22"/>
        </w:rPr>
        <w:t>，</w:t>
      </w:r>
      <w:r w:rsidRPr="00B52F2A">
        <w:rPr>
          <w:sz w:val="24"/>
          <w:szCs w:val="22"/>
        </w:rPr>
        <w:t>y</w:t>
      </w:r>
      <w:r w:rsidRPr="00B52F2A">
        <w:rPr>
          <w:sz w:val="24"/>
          <w:szCs w:val="22"/>
        </w:rPr>
        <w:t>，</w:t>
      </w:r>
      <w:r w:rsidRPr="00B52F2A">
        <w:rPr>
          <w:sz w:val="24"/>
          <w:szCs w:val="22"/>
        </w:rPr>
        <w:t>t</w:t>
      </w:r>
      <w:r w:rsidRPr="00B52F2A">
        <w:rPr>
          <w:sz w:val="24"/>
          <w:szCs w:val="22"/>
        </w:rPr>
        <w:t>）</w:t>
      </w:r>
      <w:r w:rsidRPr="00B52F2A">
        <w:rPr>
          <w:sz w:val="24"/>
          <w:szCs w:val="22"/>
        </w:rPr>
        <w:t>—t</w:t>
      </w:r>
      <w:r w:rsidRPr="00B52F2A">
        <w:rPr>
          <w:sz w:val="24"/>
          <w:szCs w:val="22"/>
        </w:rPr>
        <w:t>时刻点</w:t>
      </w:r>
      <w:r w:rsidRPr="00B52F2A">
        <w:rPr>
          <w:sz w:val="24"/>
          <w:szCs w:val="22"/>
        </w:rPr>
        <w:t>x</w:t>
      </w:r>
      <w:r w:rsidRPr="00B52F2A">
        <w:rPr>
          <w:sz w:val="24"/>
          <w:szCs w:val="22"/>
        </w:rPr>
        <w:t>，</w:t>
      </w:r>
      <w:r w:rsidRPr="00B52F2A">
        <w:rPr>
          <w:sz w:val="24"/>
          <w:szCs w:val="22"/>
        </w:rPr>
        <w:t>y</w:t>
      </w:r>
      <w:r w:rsidRPr="00B52F2A">
        <w:rPr>
          <w:sz w:val="24"/>
          <w:szCs w:val="22"/>
        </w:rPr>
        <w:t>处的示踪剂浓度，</w:t>
      </w:r>
      <w:r w:rsidRPr="00B52F2A">
        <w:rPr>
          <w:sz w:val="24"/>
          <w:szCs w:val="22"/>
        </w:rPr>
        <w:t>g/L</w:t>
      </w:r>
      <w:r w:rsidRPr="00B52F2A">
        <w:rPr>
          <w:sz w:val="24"/>
          <w:szCs w:val="22"/>
        </w:rPr>
        <w:t>；</w:t>
      </w:r>
    </w:p>
    <w:p w14:paraId="08634774" w14:textId="77777777" w:rsidR="00B52F2A" w:rsidRPr="00B52F2A" w:rsidRDefault="00B52F2A" w:rsidP="00B52F2A">
      <w:pPr>
        <w:spacing w:line="360" w:lineRule="auto"/>
        <w:ind w:firstLineChars="200" w:firstLine="480"/>
        <w:rPr>
          <w:sz w:val="24"/>
          <w:szCs w:val="22"/>
        </w:rPr>
      </w:pPr>
      <w:r w:rsidRPr="00B52F2A">
        <w:rPr>
          <w:sz w:val="24"/>
          <w:szCs w:val="22"/>
        </w:rPr>
        <w:t>M—</w:t>
      </w:r>
      <w:r w:rsidRPr="00B52F2A">
        <w:rPr>
          <w:sz w:val="24"/>
          <w:szCs w:val="22"/>
        </w:rPr>
        <w:t>含水层的厚度，</w:t>
      </w:r>
      <w:r w:rsidRPr="00B52F2A">
        <w:rPr>
          <w:sz w:val="24"/>
          <w:szCs w:val="22"/>
        </w:rPr>
        <w:t>m</w:t>
      </w:r>
      <w:r w:rsidRPr="00B52F2A">
        <w:rPr>
          <w:sz w:val="24"/>
          <w:szCs w:val="22"/>
        </w:rPr>
        <w:t>；</w:t>
      </w:r>
    </w:p>
    <w:p w14:paraId="63B8F24C" w14:textId="77777777" w:rsidR="00B52F2A" w:rsidRPr="00B52F2A" w:rsidRDefault="00B52F2A" w:rsidP="00B52F2A">
      <w:pPr>
        <w:spacing w:line="360" w:lineRule="auto"/>
        <w:ind w:firstLineChars="200" w:firstLine="480"/>
        <w:rPr>
          <w:sz w:val="24"/>
          <w:szCs w:val="22"/>
        </w:rPr>
      </w:pPr>
      <w:r w:rsidRPr="00B52F2A">
        <w:rPr>
          <w:sz w:val="24"/>
          <w:szCs w:val="22"/>
        </w:rPr>
        <w:t>mt—</w:t>
      </w:r>
      <w:r w:rsidRPr="00B52F2A">
        <w:rPr>
          <w:sz w:val="24"/>
          <w:szCs w:val="22"/>
        </w:rPr>
        <w:t>单位时间注入示踪剂的质量，</w:t>
      </w:r>
      <w:r w:rsidRPr="00B52F2A">
        <w:rPr>
          <w:sz w:val="24"/>
          <w:szCs w:val="22"/>
        </w:rPr>
        <w:t>kg/d</w:t>
      </w:r>
      <w:r w:rsidRPr="00B52F2A">
        <w:rPr>
          <w:sz w:val="24"/>
          <w:szCs w:val="22"/>
        </w:rPr>
        <w:t>；</w:t>
      </w:r>
    </w:p>
    <w:p w14:paraId="4934408D" w14:textId="77777777" w:rsidR="00B52F2A" w:rsidRPr="00B52F2A" w:rsidRDefault="00B52F2A" w:rsidP="00B52F2A">
      <w:pPr>
        <w:spacing w:line="360" w:lineRule="auto"/>
        <w:ind w:firstLineChars="200" w:firstLine="480"/>
        <w:rPr>
          <w:sz w:val="24"/>
          <w:szCs w:val="22"/>
        </w:rPr>
      </w:pPr>
      <w:r w:rsidRPr="00B52F2A">
        <w:rPr>
          <w:sz w:val="24"/>
          <w:szCs w:val="22"/>
        </w:rPr>
        <w:t>u—</w:t>
      </w:r>
      <w:r w:rsidRPr="00B52F2A">
        <w:rPr>
          <w:sz w:val="24"/>
          <w:szCs w:val="22"/>
        </w:rPr>
        <w:t>水流速度，</w:t>
      </w:r>
      <w:r w:rsidRPr="00B52F2A">
        <w:rPr>
          <w:sz w:val="24"/>
          <w:szCs w:val="22"/>
        </w:rPr>
        <w:t>m/d</w:t>
      </w:r>
      <w:r w:rsidRPr="00B52F2A">
        <w:rPr>
          <w:sz w:val="24"/>
          <w:szCs w:val="22"/>
        </w:rPr>
        <w:t>；</w:t>
      </w:r>
      <w:r w:rsidRPr="00B52F2A">
        <w:rPr>
          <w:sz w:val="24"/>
          <w:szCs w:val="22"/>
        </w:rPr>
        <w:t xml:space="preserve"> </w:t>
      </w:r>
    </w:p>
    <w:p w14:paraId="749D2D1F" w14:textId="77777777" w:rsidR="00B52F2A" w:rsidRPr="00B52F2A" w:rsidRDefault="00B52F2A" w:rsidP="00B52F2A">
      <w:pPr>
        <w:spacing w:line="360" w:lineRule="auto"/>
        <w:ind w:firstLineChars="200" w:firstLine="480"/>
        <w:rPr>
          <w:sz w:val="24"/>
          <w:szCs w:val="22"/>
        </w:rPr>
      </w:pPr>
      <w:r w:rsidRPr="00B52F2A">
        <w:rPr>
          <w:sz w:val="24"/>
          <w:szCs w:val="22"/>
        </w:rPr>
        <w:t>n—</w:t>
      </w:r>
      <w:r w:rsidRPr="00B52F2A">
        <w:rPr>
          <w:sz w:val="24"/>
          <w:szCs w:val="22"/>
        </w:rPr>
        <w:t>有效孔隙度，无量纲；</w:t>
      </w:r>
    </w:p>
    <w:p w14:paraId="4CD8FE8A" w14:textId="77777777" w:rsidR="00B52F2A" w:rsidRPr="00B52F2A" w:rsidRDefault="00B52F2A" w:rsidP="00B52F2A">
      <w:pPr>
        <w:spacing w:line="360" w:lineRule="auto"/>
        <w:ind w:firstLineChars="200" w:firstLine="480"/>
        <w:rPr>
          <w:sz w:val="24"/>
          <w:szCs w:val="22"/>
        </w:rPr>
      </w:pPr>
      <w:r w:rsidRPr="00B52F2A">
        <w:rPr>
          <w:sz w:val="24"/>
          <w:szCs w:val="22"/>
        </w:rPr>
        <w:t>D</w:t>
      </w:r>
      <w:r w:rsidRPr="00B52F2A">
        <w:rPr>
          <w:sz w:val="24"/>
          <w:szCs w:val="22"/>
          <w:vertAlign w:val="subscript"/>
        </w:rPr>
        <w:t>L</w:t>
      </w:r>
      <w:r w:rsidRPr="00B52F2A">
        <w:rPr>
          <w:sz w:val="24"/>
          <w:szCs w:val="22"/>
        </w:rPr>
        <w:t>—</w:t>
      </w:r>
      <w:r w:rsidRPr="00B52F2A">
        <w:rPr>
          <w:sz w:val="24"/>
          <w:szCs w:val="22"/>
        </w:rPr>
        <w:t>纵向弥散系数，</w:t>
      </w:r>
      <w:r w:rsidRPr="00B52F2A">
        <w:rPr>
          <w:sz w:val="24"/>
          <w:szCs w:val="22"/>
        </w:rPr>
        <w:t>m</w:t>
      </w:r>
      <w:r w:rsidRPr="00B52F2A">
        <w:rPr>
          <w:sz w:val="24"/>
          <w:szCs w:val="22"/>
          <w:vertAlign w:val="superscript"/>
        </w:rPr>
        <w:t>2</w:t>
      </w:r>
      <w:r w:rsidRPr="00B52F2A">
        <w:rPr>
          <w:sz w:val="24"/>
          <w:szCs w:val="22"/>
        </w:rPr>
        <w:t>/d</w:t>
      </w:r>
      <w:r w:rsidRPr="00B52F2A">
        <w:rPr>
          <w:sz w:val="24"/>
          <w:szCs w:val="22"/>
        </w:rPr>
        <w:t>；</w:t>
      </w:r>
    </w:p>
    <w:p w14:paraId="3BA9CCC6" w14:textId="77777777" w:rsidR="00B52F2A" w:rsidRPr="00B52F2A" w:rsidRDefault="00B52F2A" w:rsidP="00B52F2A">
      <w:pPr>
        <w:spacing w:line="360" w:lineRule="auto"/>
        <w:ind w:firstLineChars="200" w:firstLine="480"/>
        <w:rPr>
          <w:sz w:val="24"/>
          <w:szCs w:val="22"/>
        </w:rPr>
      </w:pPr>
      <w:r w:rsidRPr="00B52F2A">
        <w:rPr>
          <w:sz w:val="24"/>
          <w:szCs w:val="22"/>
        </w:rPr>
        <w:t>D</w:t>
      </w:r>
      <w:r w:rsidRPr="00124096">
        <w:rPr>
          <w:sz w:val="24"/>
          <w:szCs w:val="22"/>
          <w:vertAlign w:val="subscript"/>
        </w:rPr>
        <w:t>T</w:t>
      </w:r>
      <w:r w:rsidRPr="00B52F2A">
        <w:rPr>
          <w:sz w:val="24"/>
          <w:szCs w:val="22"/>
        </w:rPr>
        <w:t>—</w:t>
      </w:r>
      <w:r w:rsidRPr="00B52F2A">
        <w:rPr>
          <w:sz w:val="24"/>
          <w:szCs w:val="22"/>
        </w:rPr>
        <w:t>横向</w:t>
      </w:r>
      <w:r w:rsidRPr="00B52F2A">
        <w:rPr>
          <w:sz w:val="24"/>
          <w:szCs w:val="22"/>
        </w:rPr>
        <w:t>y</w:t>
      </w:r>
      <w:r w:rsidRPr="00B52F2A">
        <w:rPr>
          <w:sz w:val="24"/>
          <w:szCs w:val="22"/>
        </w:rPr>
        <w:t>方向的弥散系数，</w:t>
      </w:r>
      <w:r w:rsidRPr="00B52F2A">
        <w:rPr>
          <w:sz w:val="24"/>
          <w:szCs w:val="22"/>
        </w:rPr>
        <w:t>m</w:t>
      </w:r>
      <w:r w:rsidRPr="00B52F2A">
        <w:rPr>
          <w:sz w:val="24"/>
          <w:szCs w:val="22"/>
          <w:vertAlign w:val="superscript"/>
        </w:rPr>
        <w:t>2</w:t>
      </w:r>
      <w:r w:rsidRPr="00B52F2A">
        <w:rPr>
          <w:sz w:val="24"/>
          <w:szCs w:val="22"/>
        </w:rPr>
        <w:t>/d</w:t>
      </w:r>
      <w:r w:rsidRPr="00B52F2A">
        <w:rPr>
          <w:sz w:val="24"/>
          <w:szCs w:val="22"/>
        </w:rPr>
        <w:t>。</w:t>
      </w:r>
    </w:p>
    <w:p w14:paraId="7C219D32" w14:textId="77777777" w:rsidR="00B52F2A" w:rsidRPr="00B52F2A" w:rsidRDefault="00B52F2A" w:rsidP="00B52F2A">
      <w:pPr>
        <w:spacing w:line="360" w:lineRule="auto"/>
        <w:ind w:firstLineChars="200" w:firstLine="480"/>
        <w:rPr>
          <w:sz w:val="24"/>
          <w:szCs w:val="22"/>
        </w:rPr>
      </w:pPr>
      <w:r w:rsidRPr="00B52F2A">
        <w:rPr>
          <w:sz w:val="24"/>
          <w:szCs w:val="22"/>
        </w:rPr>
        <w:t>π—</w:t>
      </w:r>
      <w:r w:rsidRPr="00B52F2A">
        <w:rPr>
          <w:sz w:val="24"/>
          <w:szCs w:val="22"/>
        </w:rPr>
        <w:t>圆周率。</w:t>
      </w:r>
    </w:p>
    <w:p w14:paraId="30987C21" w14:textId="77777777" w:rsidR="00B52F2A" w:rsidRPr="00B52F2A" w:rsidRDefault="00B52F2A" w:rsidP="00B52F2A">
      <w:pPr>
        <w:spacing w:line="360" w:lineRule="auto"/>
        <w:ind w:firstLineChars="200" w:firstLine="480"/>
        <w:rPr>
          <w:sz w:val="24"/>
          <w:szCs w:val="22"/>
        </w:rPr>
      </w:pPr>
      <w:r w:rsidRPr="00B52F2A">
        <w:rPr>
          <w:sz w:val="24"/>
          <w:szCs w:val="22"/>
        </w:rPr>
        <w:t>K</w:t>
      </w:r>
      <w:r w:rsidRPr="00B52F2A">
        <w:rPr>
          <w:sz w:val="24"/>
          <w:szCs w:val="22"/>
          <w:vertAlign w:val="subscript"/>
        </w:rPr>
        <w:t>0</w:t>
      </w:r>
      <w:r w:rsidRPr="00B52F2A">
        <w:rPr>
          <w:sz w:val="24"/>
          <w:szCs w:val="22"/>
        </w:rPr>
        <w:t>(β) —</w:t>
      </w:r>
      <w:r w:rsidRPr="00B52F2A">
        <w:rPr>
          <w:sz w:val="24"/>
          <w:szCs w:val="22"/>
        </w:rPr>
        <w:t>第二类零阶修正贝塞尔函数；</w:t>
      </w:r>
    </w:p>
    <w:p w14:paraId="64DEC64B" w14:textId="77777777" w:rsidR="00B52F2A" w:rsidRPr="00B52F2A" w:rsidRDefault="00B52F2A" w:rsidP="00B52F2A">
      <w:pPr>
        <w:spacing w:line="360" w:lineRule="auto"/>
        <w:ind w:firstLineChars="200" w:firstLine="480"/>
        <w:rPr>
          <w:sz w:val="24"/>
          <w:szCs w:val="22"/>
        </w:rPr>
      </w:pPr>
      <w:r w:rsidRPr="00B52F2A">
        <w:rPr>
          <w:sz w:val="24"/>
          <w:szCs w:val="22"/>
        </w:rPr>
        <w:t>W(u</w:t>
      </w:r>
      <w:r w:rsidRPr="00B52F2A">
        <w:rPr>
          <w:sz w:val="24"/>
          <w:szCs w:val="22"/>
          <w:vertAlign w:val="superscript"/>
        </w:rPr>
        <w:t>2</w:t>
      </w:r>
      <w:r w:rsidRPr="00B52F2A">
        <w:rPr>
          <w:sz w:val="24"/>
          <w:szCs w:val="22"/>
        </w:rPr>
        <w:t>t/4D</w:t>
      </w:r>
      <w:r w:rsidRPr="00B52F2A">
        <w:rPr>
          <w:sz w:val="24"/>
          <w:szCs w:val="22"/>
          <w:vertAlign w:val="subscript"/>
        </w:rPr>
        <w:t>L</w:t>
      </w:r>
      <w:r w:rsidRPr="00B52F2A">
        <w:rPr>
          <w:sz w:val="24"/>
          <w:szCs w:val="22"/>
        </w:rPr>
        <w:t>，</w:t>
      </w:r>
      <w:r w:rsidRPr="00B52F2A">
        <w:rPr>
          <w:sz w:val="24"/>
          <w:szCs w:val="22"/>
        </w:rPr>
        <w:t>β) —</w:t>
      </w:r>
      <w:r w:rsidRPr="00B52F2A">
        <w:rPr>
          <w:sz w:val="24"/>
          <w:szCs w:val="22"/>
        </w:rPr>
        <w:t>第一类越流系统井函数。</w:t>
      </w:r>
    </w:p>
    <w:p w14:paraId="57C4049E" w14:textId="00AC5BEA" w:rsidR="00B52F2A" w:rsidRDefault="00B52F2A">
      <w:pPr>
        <w:spacing w:line="360" w:lineRule="auto"/>
        <w:ind w:firstLineChars="200" w:firstLine="480"/>
        <w:rPr>
          <w:sz w:val="24"/>
          <w:szCs w:val="22"/>
        </w:rPr>
      </w:pPr>
      <w:r>
        <w:rPr>
          <w:rFonts w:hint="eastAsia"/>
          <w:sz w:val="24"/>
          <w:szCs w:val="22"/>
        </w:rPr>
        <w:t>（</w:t>
      </w:r>
      <w:r>
        <w:rPr>
          <w:rFonts w:hint="eastAsia"/>
          <w:sz w:val="24"/>
          <w:szCs w:val="22"/>
        </w:rPr>
        <w:t>2</w:t>
      </w:r>
      <w:r>
        <w:rPr>
          <w:rFonts w:hint="eastAsia"/>
          <w:sz w:val="24"/>
          <w:szCs w:val="22"/>
        </w:rPr>
        <w:t>）预测参数确定</w:t>
      </w:r>
    </w:p>
    <w:p w14:paraId="0204FC93" w14:textId="77777777" w:rsidR="00B52F2A" w:rsidRPr="00B52F2A" w:rsidRDefault="00B52F2A" w:rsidP="00B52F2A">
      <w:pPr>
        <w:spacing w:line="360" w:lineRule="auto"/>
        <w:ind w:firstLineChars="200" w:firstLine="480"/>
        <w:rPr>
          <w:sz w:val="24"/>
          <w:szCs w:val="22"/>
        </w:rPr>
      </w:pPr>
      <w:r w:rsidRPr="00B52F2A">
        <w:rPr>
          <w:rFonts w:hint="eastAsia"/>
          <w:sz w:val="24"/>
          <w:szCs w:val="22"/>
        </w:rPr>
        <w:t>预测参数确定</w:t>
      </w:r>
    </w:p>
    <w:p w14:paraId="145A39FE" w14:textId="77777777" w:rsidR="00B52F2A" w:rsidRPr="00B52F2A" w:rsidRDefault="00B52F2A" w:rsidP="00B52F2A">
      <w:pPr>
        <w:spacing w:line="360" w:lineRule="auto"/>
        <w:ind w:firstLineChars="200" w:firstLine="480"/>
        <w:rPr>
          <w:sz w:val="24"/>
          <w:szCs w:val="22"/>
        </w:rPr>
      </w:pPr>
      <w:r w:rsidRPr="00B52F2A">
        <w:rPr>
          <w:rFonts w:hint="eastAsia"/>
          <w:sz w:val="24"/>
          <w:szCs w:val="22"/>
        </w:rPr>
        <w:t>根据水文地质调查和收集资料确定公式所需参数值：</w:t>
      </w:r>
    </w:p>
    <w:p w14:paraId="646F8DA8" w14:textId="77777777" w:rsidR="00B52F2A" w:rsidRPr="00B52F2A" w:rsidRDefault="00B52F2A" w:rsidP="00B52F2A">
      <w:pPr>
        <w:spacing w:line="360" w:lineRule="auto"/>
        <w:ind w:firstLineChars="200" w:firstLine="480"/>
        <w:rPr>
          <w:sz w:val="24"/>
          <w:szCs w:val="22"/>
        </w:rPr>
      </w:pPr>
      <w:r w:rsidRPr="00B52F2A">
        <w:rPr>
          <w:rFonts w:hint="eastAsia"/>
          <w:sz w:val="24"/>
          <w:szCs w:val="22"/>
        </w:rPr>
        <w:t>mt</w:t>
      </w:r>
      <w:r w:rsidRPr="00B52F2A">
        <w:rPr>
          <w:rFonts w:hint="eastAsia"/>
          <w:sz w:val="24"/>
          <w:szCs w:val="22"/>
        </w:rPr>
        <w:t>—单位时间注入示踪剂的质量：</w:t>
      </w:r>
    </w:p>
    <w:p w14:paraId="269A4258" w14:textId="77777777" w:rsidR="00B52F2A" w:rsidRPr="00B52F2A" w:rsidRDefault="00B52F2A" w:rsidP="00B52F2A">
      <w:pPr>
        <w:spacing w:line="360" w:lineRule="auto"/>
        <w:ind w:firstLineChars="200" w:firstLine="480"/>
        <w:rPr>
          <w:sz w:val="24"/>
          <w:szCs w:val="22"/>
        </w:rPr>
      </w:pPr>
      <w:r w:rsidRPr="00B52F2A">
        <w:rPr>
          <w:rFonts w:hint="eastAsia"/>
          <w:sz w:val="24"/>
          <w:szCs w:val="22"/>
        </w:rPr>
        <w:t>M</w:t>
      </w:r>
      <w:r w:rsidRPr="00B52F2A">
        <w:rPr>
          <w:rFonts w:hint="eastAsia"/>
          <w:sz w:val="24"/>
          <w:szCs w:val="22"/>
        </w:rPr>
        <w:t>—含水层厚度，预测区含水层为第四系潜水含水层，含水层的厚度由《黑龙江省大庆市地下水资源调查评价报告》确定，厚度在</w:t>
      </w:r>
      <w:r w:rsidRPr="00B52F2A">
        <w:rPr>
          <w:rFonts w:hint="eastAsia"/>
          <w:sz w:val="24"/>
          <w:szCs w:val="22"/>
        </w:rPr>
        <w:t xml:space="preserve"> 4-8m</w:t>
      </w:r>
      <w:r w:rsidRPr="00B52F2A">
        <w:rPr>
          <w:rFonts w:hint="eastAsia"/>
          <w:sz w:val="24"/>
          <w:szCs w:val="22"/>
        </w:rPr>
        <w:t>之间，计算中取保守值为</w:t>
      </w:r>
      <w:r w:rsidRPr="00B52F2A">
        <w:rPr>
          <w:rFonts w:hint="eastAsia"/>
          <w:sz w:val="24"/>
          <w:szCs w:val="22"/>
        </w:rPr>
        <w:t xml:space="preserve"> 8m</w:t>
      </w:r>
      <w:r w:rsidRPr="00B52F2A">
        <w:rPr>
          <w:rFonts w:hint="eastAsia"/>
          <w:sz w:val="24"/>
          <w:szCs w:val="22"/>
        </w:rPr>
        <w:t>；</w:t>
      </w:r>
    </w:p>
    <w:p w14:paraId="0333F750" w14:textId="06EFFB6B" w:rsidR="00B52F2A" w:rsidRDefault="00B52F2A" w:rsidP="00B52F2A">
      <w:pPr>
        <w:spacing w:line="360" w:lineRule="auto"/>
        <w:ind w:firstLineChars="200" w:firstLine="480"/>
        <w:rPr>
          <w:sz w:val="24"/>
          <w:szCs w:val="22"/>
        </w:rPr>
      </w:pPr>
      <w:r w:rsidRPr="00B52F2A">
        <w:rPr>
          <w:rFonts w:hint="eastAsia"/>
          <w:sz w:val="24"/>
          <w:szCs w:val="22"/>
        </w:rPr>
        <w:t>n</w:t>
      </w:r>
      <w:r w:rsidRPr="00B52F2A">
        <w:rPr>
          <w:rFonts w:hint="eastAsia"/>
          <w:sz w:val="24"/>
          <w:szCs w:val="22"/>
        </w:rPr>
        <w:t>—有效孔隙度取</w:t>
      </w:r>
      <w:r w:rsidRPr="00B52F2A">
        <w:rPr>
          <w:rFonts w:hint="eastAsia"/>
          <w:sz w:val="24"/>
          <w:szCs w:val="22"/>
        </w:rPr>
        <w:t xml:space="preserve"> 0.26</w:t>
      </w:r>
      <w:r w:rsidRPr="00B52F2A">
        <w:rPr>
          <w:rFonts w:hint="eastAsia"/>
          <w:sz w:val="24"/>
          <w:szCs w:val="22"/>
        </w:rPr>
        <w:t>；</w:t>
      </w:r>
    </w:p>
    <w:p w14:paraId="4864132B" w14:textId="6441377E" w:rsidR="00B52F2A" w:rsidRDefault="00B52F2A">
      <w:pPr>
        <w:spacing w:line="360" w:lineRule="auto"/>
        <w:ind w:firstLineChars="200" w:firstLine="480"/>
        <w:rPr>
          <w:sz w:val="24"/>
          <w:szCs w:val="22"/>
        </w:rPr>
      </w:pPr>
      <w:r w:rsidRPr="00B52F2A">
        <w:rPr>
          <w:sz w:val="24"/>
          <w:szCs w:val="22"/>
        </w:rPr>
        <w:t>u—</w:t>
      </w:r>
      <w:r w:rsidRPr="00B52F2A">
        <w:rPr>
          <w:sz w:val="24"/>
          <w:szCs w:val="22"/>
        </w:rPr>
        <w:t>水流速度根据达西定律取渗透系数和水力梯度的乘积，取</w:t>
      </w:r>
      <w:r w:rsidRPr="00B52F2A">
        <w:rPr>
          <w:sz w:val="24"/>
          <w:szCs w:val="22"/>
        </w:rPr>
        <w:t>0.00845m/d</w:t>
      </w:r>
      <w:r w:rsidRPr="00B52F2A">
        <w:rPr>
          <w:sz w:val="24"/>
          <w:szCs w:val="22"/>
        </w:rPr>
        <w:t>；其中渗透系数由《黑龙江省大庆市地下水资源调查评价报告》确定，项目区所在位置第四系孔隙潜水渗透系数为</w:t>
      </w:r>
      <w:r w:rsidRPr="00B52F2A">
        <w:rPr>
          <w:sz w:val="24"/>
          <w:szCs w:val="22"/>
        </w:rPr>
        <w:t xml:space="preserve"> 6.32-12.45m/d</w:t>
      </w:r>
      <w:r w:rsidRPr="00B52F2A">
        <w:rPr>
          <w:sz w:val="24"/>
          <w:szCs w:val="22"/>
        </w:rPr>
        <w:t>，取平均值为</w:t>
      </w:r>
      <w:r w:rsidRPr="00B52F2A">
        <w:rPr>
          <w:sz w:val="24"/>
          <w:szCs w:val="22"/>
        </w:rPr>
        <w:t>9.39m/d</w:t>
      </w:r>
      <w:r w:rsidRPr="00B52F2A">
        <w:rPr>
          <w:sz w:val="24"/>
          <w:szCs w:val="22"/>
        </w:rPr>
        <w:t>，水力梯度由</w:t>
      </w:r>
      <w:r w:rsidRPr="00B52F2A">
        <w:rPr>
          <w:sz w:val="24"/>
          <w:szCs w:val="22"/>
        </w:rPr>
        <w:t xml:space="preserve"> 1:5</w:t>
      </w:r>
      <w:r w:rsidRPr="00B52F2A">
        <w:rPr>
          <w:sz w:val="24"/>
          <w:szCs w:val="22"/>
        </w:rPr>
        <w:t>万等水位线图上量取，取</w:t>
      </w:r>
      <w:r w:rsidRPr="00B52F2A">
        <w:rPr>
          <w:sz w:val="24"/>
          <w:szCs w:val="22"/>
        </w:rPr>
        <w:t xml:space="preserve"> 0.0009</w:t>
      </w:r>
      <w:r w:rsidRPr="00B52F2A">
        <w:rPr>
          <w:sz w:val="24"/>
          <w:szCs w:val="22"/>
        </w:rPr>
        <w:t>；</w:t>
      </w:r>
    </w:p>
    <w:p w14:paraId="3369AFB7" w14:textId="4B87ADA1" w:rsidR="00B52F2A" w:rsidRDefault="00B52F2A">
      <w:pPr>
        <w:spacing w:line="360" w:lineRule="auto"/>
        <w:ind w:firstLineChars="200" w:firstLine="480"/>
        <w:rPr>
          <w:sz w:val="24"/>
          <w:szCs w:val="22"/>
        </w:rPr>
      </w:pPr>
      <w:r w:rsidRPr="00B52F2A">
        <w:rPr>
          <w:sz w:val="24"/>
          <w:szCs w:val="22"/>
        </w:rPr>
        <w:t>DL—</w:t>
      </w:r>
      <w:r w:rsidRPr="00B52F2A">
        <w:rPr>
          <w:sz w:val="24"/>
          <w:szCs w:val="22"/>
        </w:rPr>
        <w:t>纵向弥散系数，</w:t>
      </w:r>
      <w:r w:rsidRPr="00B52F2A">
        <w:rPr>
          <w:sz w:val="24"/>
          <w:szCs w:val="22"/>
        </w:rPr>
        <w:t>m /d</w:t>
      </w:r>
      <w:r w:rsidRPr="00B52F2A">
        <w:rPr>
          <w:sz w:val="24"/>
          <w:szCs w:val="22"/>
        </w:rPr>
        <w:t>；根据《水文地质学》对于弥散系数的经验值，同时考虑地层结构、含水层岩性，确定论证区纵向弥散系数为</w:t>
      </w:r>
      <w:r w:rsidRPr="00B52F2A">
        <w:rPr>
          <w:sz w:val="24"/>
          <w:szCs w:val="22"/>
        </w:rPr>
        <w:t xml:space="preserve"> 0.5m /d</w:t>
      </w:r>
      <w:r w:rsidRPr="00B52F2A">
        <w:rPr>
          <w:sz w:val="24"/>
          <w:szCs w:val="22"/>
        </w:rPr>
        <w:t>；</w:t>
      </w:r>
    </w:p>
    <w:p w14:paraId="2060BA3E" w14:textId="77777777" w:rsidR="00D35EBB" w:rsidRDefault="00B52F2A" w:rsidP="00B52F2A">
      <w:pPr>
        <w:spacing w:line="360" w:lineRule="auto"/>
        <w:ind w:firstLineChars="200" w:firstLine="480"/>
        <w:rPr>
          <w:sz w:val="24"/>
          <w:szCs w:val="22"/>
        </w:rPr>
      </w:pPr>
      <w:r w:rsidRPr="00B52F2A">
        <w:rPr>
          <w:rFonts w:hint="eastAsia"/>
          <w:sz w:val="24"/>
          <w:szCs w:val="22"/>
        </w:rPr>
        <w:t>DT</w:t>
      </w:r>
      <w:r w:rsidRPr="00B52F2A">
        <w:rPr>
          <w:rFonts w:hint="eastAsia"/>
          <w:sz w:val="24"/>
          <w:szCs w:val="22"/>
        </w:rPr>
        <w:t>—横向</w:t>
      </w:r>
      <w:r w:rsidRPr="00B52F2A">
        <w:rPr>
          <w:rFonts w:hint="eastAsia"/>
          <w:sz w:val="24"/>
          <w:szCs w:val="22"/>
        </w:rPr>
        <w:t xml:space="preserve"> y</w:t>
      </w:r>
      <w:r w:rsidRPr="00B52F2A">
        <w:rPr>
          <w:rFonts w:hint="eastAsia"/>
          <w:sz w:val="24"/>
          <w:szCs w:val="22"/>
        </w:rPr>
        <w:t>方向的弥散系数，</w:t>
      </w:r>
      <w:r w:rsidRPr="00B52F2A">
        <w:rPr>
          <w:rFonts w:hint="eastAsia"/>
          <w:sz w:val="24"/>
          <w:szCs w:val="22"/>
        </w:rPr>
        <w:t>m /d</w:t>
      </w:r>
      <w:r w:rsidRPr="00B52F2A">
        <w:rPr>
          <w:rFonts w:hint="eastAsia"/>
          <w:sz w:val="24"/>
          <w:szCs w:val="22"/>
        </w:rPr>
        <w:t>；按照</w:t>
      </w:r>
      <w:r w:rsidRPr="00B52F2A">
        <w:rPr>
          <w:rFonts w:hint="eastAsia"/>
          <w:sz w:val="24"/>
          <w:szCs w:val="22"/>
        </w:rPr>
        <w:t xml:space="preserve"> DT/DL=1/5</w:t>
      </w:r>
      <w:r w:rsidRPr="00B52F2A">
        <w:rPr>
          <w:rFonts w:hint="eastAsia"/>
          <w:sz w:val="24"/>
          <w:szCs w:val="22"/>
        </w:rPr>
        <w:t>，确定为</w:t>
      </w:r>
      <w:r w:rsidRPr="00B52F2A">
        <w:rPr>
          <w:rFonts w:hint="eastAsia"/>
          <w:sz w:val="24"/>
          <w:szCs w:val="22"/>
        </w:rPr>
        <w:t xml:space="preserve"> 0.1m /d</w:t>
      </w:r>
      <w:r w:rsidRPr="00B52F2A">
        <w:rPr>
          <w:rFonts w:hint="eastAsia"/>
          <w:sz w:val="24"/>
          <w:szCs w:val="22"/>
        </w:rPr>
        <w:t>。</w:t>
      </w:r>
    </w:p>
    <w:p w14:paraId="61ACF2B7" w14:textId="0A5B8070" w:rsidR="00B52F2A" w:rsidRPr="00B52F2A" w:rsidRDefault="00124096" w:rsidP="00B52F2A">
      <w:pPr>
        <w:spacing w:line="360" w:lineRule="auto"/>
        <w:ind w:firstLineChars="200" w:firstLine="480"/>
        <w:rPr>
          <w:sz w:val="24"/>
          <w:szCs w:val="22"/>
        </w:rPr>
      </w:pPr>
      <w:r>
        <w:rPr>
          <w:rFonts w:hint="eastAsia"/>
          <w:sz w:val="24"/>
          <w:szCs w:val="22"/>
        </w:rPr>
        <w:t>（</w:t>
      </w:r>
      <w:r>
        <w:rPr>
          <w:rFonts w:hint="eastAsia"/>
          <w:sz w:val="24"/>
          <w:szCs w:val="22"/>
        </w:rPr>
        <w:t>3</w:t>
      </w:r>
      <w:r>
        <w:rPr>
          <w:rFonts w:hint="eastAsia"/>
          <w:sz w:val="24"/>
          <w:szCs w:val="22"/>
        </w:rPr>
        <w:t>）</w:t>
      </w:r>
      <w:r w:rsidR="00B52F2A" w:rsidRPr="00B52F2A">
        <w:rPr>
          <w:rFonts w:hint="eastAsia"/>
          <w:sz w:val="24"/>
          <w:szCs w:val="22"/>
        </w:rPr>
        <w:t>预测因子确定</w:t>
      </w:r>
    </w:p>
    <w:p w14:paraId="642FDFCB" w14:textId="097DD344" w:rsidR="00B52F2A" w:rsidRPr="004208C5" w:rsidRDefault="00D35EBB" w:rsidP="00B52F2A">
      <w:pPr>
        <w:spacing w:line="360" w:lineRule="auto"/>
        <w:ind w:firstLineChars="200" w:firstLine="480"/>
        <w:rPr>
          <w:sz w:val="24"/>
          <w:szCs w:val="22"/>
        </w:rPr>
      </w:pPr>
      <w:r w:rsidRPr="00D35EBB">
        <w:rPr>
          <w:sz w:val="24"/>
          <w:szCs w:val="22"/>
        </w:rPr>
        <w:t>飞灰稳定化后淋溶水污染物主要为</w:t>
      </w:r>
      <w:r w:rsidR="00C66D78" w:rsidRPr="00C66D78">
        <w:rPr>
          <w:sz w:val="24"/>
          <w:szCs w:val="22"/>
        </w:rPr>
        <w:t>镍、镉、铬、硒、砷、锌、铅、钡、铜、六价铬、汞、铍等重金属。</w:t>
      </w:r>
      <w:r w:rsidR="00B52F2A" w:rsidRPr="00B52F2A">
        <w:rPr>
          <w:rFonts w:hint="eastAsia"/>
          <w:sz w:val="24"/>
          <w:szCs w:val="22"/>
        </w:rPr>
        <w:t>根据《环境影响评价技术导则地下水环境》（</w:t>
      </w:r>
      <w:r w:rsidR="00B52F2A" w:rsidRPr="00B52F2A">
        <w:rPr>
          <w:rFonts w:hint="eastAsia"/>
          <w:sz w:val="24"/>
          <w:szCs w:val="22"/>
        </w:rPr>
        <w:t>HJ610-2016</w:t>
      </w:r>
      <w:r w:rsidR="00B52F2A" w:rsidRPr="00B52F2A">
        <w:rPr>
          <w:rFonts w:hint="eastAsia"/>
          <w:sz w:val="24"/>
          <w:szCs w:val="22"/>
        </w:rPr>
        <w:t>）中要求，预测因子选取污染物标准指数较大的因子作为特征污染因子。</w:t>
      </w:r>
      <w:r w:rsidR="00C66D78" w:rsidRPr="00C66D78">
        <w:rPr>
          <w:sz w:val="24"/>
          <w:szCs w:val="22"/>
        </w:rPr>
        <w:t>根据黑龙江永青</w:t>
      </w:r>
      <w:r w:rsidR="00C66D78" w:rsidRPr="00C66D78">
        <w:rPr>
          <w:sz w:val="24"/>
          <w:szCs w:val="22"/>
        </w:rPr>
        <w:lastRenderedPageBreak/>
        <w:t>环保科技有限公司</w:t>
      </w:r>
      <w:r w:rsidR="00C66D78">
        <w:rPr>
          <w:rFonts w:hint="eastAsia"/>
          <w:sz w:val="24"/>
          <w:szCs w:val="22"/>
        </w:rPr>
        <w:t>2025</w:t>
      </w:r>
      <w:r w:rsidR="00C66D78">
        <w:rPr>
          <w:rFonts w:hint="eastAsia"/>
          <w:sz w:val="24"/>
          <w:szCs w:val="22"/>
        </w:rPr>
        <w:t>年</w:t>
      </w:r>
      <w:r w:rsidR="00402326">
        <w:rPr>
          <w:rFonts w:hint="eastAsia"/>
          <w:sz w:val="24"/>
          <w:szCs w:val="22"/>
        </w:rPr>
        <w:t>6</w:t>
      </w:r>
      <w:r w:rsidR="00C66D78">
        <w:rPr>
          <w:rFonts w:hint="eastAsia"/>
          <w:sz w:val="24"/>
          <w:szCs w:val="22"/>
        </w:rPr>
        <w:t>月</w:t>
      </w:r>
      <w:r w:rsidR="00402326">
        <w:rPr>
          <w:rFonts w:hint="eastAsia"/>
          <w:sz w:val="24"/>
          <w:szCs w:val="22"/>
        </w:rPr>
        <w:t>1</w:t>
      </w:r>
      <w:r w:rsidR="00C66D78">
        <w:rPr>
          <w:rFonts w:hint="eastAsia"/>
          <w:sz w:val="24"/>
          <w:szCs w:val="22"/>
        </w:rPr>
        <w:t>日</w:t>
      </w:r>
      <w:r w:rsidR="00C66D78" w:rsidRPr="00C66D78">
        <w:rPr>
          <w:sz w:val="24"/>
          <w:szCs w:val="22"/>
        </w:rPr>
        <w:t>对</w:t>
      </w:r>
      <w:r w:rsidR="00C66D78">
        <w:rPr>
          <w:rFonts w:hint="eastAsia"/>
          <w:sz w:val="24"/>
          <w:szCs w:val="22"/>
        </w:rPr>
        <w:t>大庆城控电力有限公司</w:t>
      </w:r>
      <w:r w:rsidR="00C66D78" w:rsidRPr="00C66D78">
        <w:rPr>
          <w:sz w:val="24"/>
          <w:szCs w:val="22"/>
        </w:rPr>
        <w:t>生活垃圾焚烧飞灰的监测结果，</w:t>
      </w:r>
      <w:r w:rsidR="00C66D78">
        <w:rPr>
          <w:rFonts w:hint="eastAsia"/>
          <w:sz w:val="24"/>
          <w:szCs w:val="22"/>
        </w:rPr>
        <w:t>飞灰</w:t>
      </w:r>
      <w:r w:rsidR="005820CB">
        <w:rPr>
          <w:rFonts w:hint="eastAsia"/>
          <w:sz w:val="24"/>
          <w:szCs w:val="22"/>
        </w:rPr>
        <w:t>浸出液成分</w:t>
      </w:r>
      <w:r w:rsidRPr="004208C5">
        <w:rPr>
          <w:sz w:val="24"/>
          <w:szCs w:val="22"/>
        </w:rPr>
        <w:t>见下表。</w:t>
      </w:r>
      <w:r w:rsidR="00B52F2A" w:rsidRPr="004208C5">
        <w:rPr>
          <w:rFonts w:hint="eastAsia"/>
          <w:sz w:val="24"/>
          <w:szCs w:val="22"/>
        </w:rPr>
        <w:t>标准指数表见</w:t>
      </w:r>
      <w:r w:rsidRPr="004208C5">
        <w:rPr>
          <w:rFonts w:hint="eastAsia"/>
          <w:sz w:val="24"/>
          <w:szCs w:val="22"/>
        </w:rPr>
        <w:t>下表</w:t>
      </w:r>
      <w:r w:rsidR="00B52F2A" w:rsidRPr="004208C5">
        <w:rPr>
          <w:rFonts w:hint="eastAsia"/>
          <w:sz w:val="24"/>
          <w:szCs w:val="22"/>
        </w:rPr>
        <w:t>。</w:t>
      </w:r>
    </w:p>
    <w:p w14:paraId="4B7D192C" w14:textId="66A71538" w:rsidR="00606029" w:rsidRPr="005820CB" w:rsidRDefault="00EA5B92">
      <w:pPr>
        <w:adjustRightInd w:val="0"/>
        <w:snapToGrid w:val="0"/>
        <w:jc w:val="center"/>
        <w:rPr>
          <w:b/>
          <w:bCs/>
        </w:rPr>
      </w:pPr>
      <w:r w:rsidRPr="005820CB">
        <w:rPr>
          <w:b/>
          <w:bCs/>
        </w:rPr>
        <w:t>表</w:t>
      </w:r>
      <w:r w:rsidRPr="005820CB">
        <w:rPr>
          <w:rFonts w:hint="eastAsia"/>
          <w:b/>
          <w:bCs/>
        </w:rPr>
        <w:t>6.</w:t>
      </w:r>
      <w:r w:rsidR="008F4C3E" w:rsidRPr="005820CB">
        <w:rPr>
          <w:rFonts w:hint="eastAsia"/>
          <w:b/>
          <w:bCs/>
        </w:rPr>
        <w:t>2</w:t>
      </w:r>
      <w:r w:rsidR="00FD0A87">
        <w:rPr>
          <w:rFonts w:hint="eastAsia"/>
          <w:b/>
          <w:bCs/>
        </w:rPr>
        <w:t>-20</w:t>
      </w:r>
      <w:r w:rsidR="008A5B57" w:rsidRPr="005820CB">
        <w:rPr>
          <w:rFonts w:hint="eastAsia"/>
          <w:b/>
          <w:bCs/>
        </w:rPr>
        <w:t xml:space="preserve"> </w:t>
      </w:r>
      <w:r w:rsidR="005820CB" w:rsidRPr="005820CB">
        <w:rPr>
          <w:rFonts w:hint="eastAsia"/>
          <w:b/>
          <w:bCs/>
        </w:rPr>
        <w:t>飞灰浸出液成分</w:t>
      </w:r>
      <w:r w:rsidRPr="005820CB">
        <w:rPr>
          <w:b/>
          <w:bCs/>
        </w:rPr>
        <w:t>一览表</w:t>
      </w:r>
    </w:p>
    <w:tbl>
      <w:tblPr>
        <w:tblStyle w:val="TableNormal"/>
        <w:tblW w:w="5000" w:type="pct"/>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7"/>
        <w:gridCol w:w="2074"/>
        <w:gridCol w:w="3072"/>
        <w:gridCol w:w="3071"/>
      </w:tblGrid>
      <w:tr w:rsidR="005820CB" w:rsidRPr="005820CB" w14:paraId="41A5775B" w14:textId="01C93A78" w:rsidTr="005820CB">
        <w:trPr>
          <w:trHeight w:val="57"/>
        </w:trPr>
        <w:tc>
          <w:tcPr>
            <w:tcW w:w="349" w:type="pct"/>
            <w:vAlign w:val="center"/>
          </w:tcPr>
          <w:p w14:paraId="193B8D58" w14:textId="77777777" w:rsidR="005820CB" w:rsidRPr="00C3673F" w:rsidRDefault="005820CB" w:rsidP="00C3673F">
            <w:pPr>
              <w:widowControl/>
              <w:tabs>
                <w:tab w:val="center" w:pos="0"/>
              </w:tabs>
              <w:jc w:val="center"/>
              <w:rPr>
                <w:b/>
                <w:bCs/>
              </w:rPr>
            </w:pPr>
            <w:r w:rsidRPr="00C3673F">
              <w:rPr>
                <w:b/>
                <w:bCs/>
              </w:rPr>
              <w:t>序号</w:t>
            </w:r>
          </w:p>
        </w:tc>
        <w:tc>
          <w:tcPr>
            <w:tcW w:w="1174" w:type="pct"/>
            <w:vAlign w:val="center"/>
          </w:tcPr>
          <w:p w14:paraId="1CAA3313" w14:textId="77777777" w:rsidR="005820CB" w:rsidRPr="00C3673F" w:rsidRDefault="005820CB" w:rsidP="00C3673F">
            <w:pPr>
              <w:widowControl/>
              <w:tabs>
                <w:tab w:val="center" w:pos="0"/>
              </w:tabs>
              <w:jc w:val="center"/>
              <w:rPr>
                <w:b/>
                <w:bCs/>
              </w:rPr>
            </w:pPr>
            <w:r w:rsidRPr="00C3673F">
              <w:rPr>
                <w:b/>
                <w:bCs/>
              </w:rPr>
              <w:t>监测项目</w:t>
            </w:r>
          </w:p>
        </w:tc>
        <w:tc>
          <w:tcPr>
            <w:tcW w:w="1739" w:type="pct"/>
            <w:vAlign w:val="center"/>
          </w:tcPr>
          <w:p w14:paraId="7883F75C" w14:textId="05ED8FD5" w:rsidR="005820CB" w:rsidRPr="00C3673F" w:rsidRDefault="005820CB" w:rsidP="00C3673F">
            <w:pPr>
              <w:widowControl/>
              <w:tabs>
                <w:tab w:val="center" w:pos="0"/>
              </w:tabs>
              <w:jc w:val="center"/>
              <w:rPr>
                <w:b/>
                <w:bCs/>
              </w:rPr>
            </w:pPr>
            <w:r w:rsidRPr="00C3673F">
              <w:rPr>
                <w:rFonts w:hint="eastAsia"/>
                <w:b/>
                <w:bCs/>
              </w:rPr>
              <w:t>浓度值</w:t>
            </w:r>
            <w:r w:rsidRPr="00C3673F">
              <w:rPr>
                <w:rFonts w:hint="eastAsia"/>
                <w:b/>
                <w:bCs/>
              </w:rPr>
              <w:t>mg/L</w:t>
            </w:r>
          </w:p>
        </w:tc>
        <w:tc>
          <w:tcPr>
            <w:tcW w:w="1738" w:type="pct"/>
            <w:vAlign w:val="center"/>
          </w:tcPr>
          <w:p w14:paraId="1FD4BD2D" w14:textId="5697383E" w:rsidR="005820CB" w:rsidRPr="00C3673F" w:rsidRDefault="005820CB" w:rsidP="00C3673F">
            <w:pPr>
              <w:widowControl/>
              <w:tabs>
                <w:tab w:val="center" w:pos="0"/>
              </w:tabs>
              <w:jc w:val="center"/>
              <w:rPr>
                <w:b/>
                <w:bCs/>
              </w:rPr>
            </w:pPr>
            <w:r w:rsidRPr="00C3673F">
              <w:rPr>
                <w:rFonts w:hint="eastAsia"/>
                <w:b/>
                <w:bCs/>
              </w:rPr>
              <w:t>（</w:t>
            </w:r>
            <w:r w:rsidRPr="00C3673F">
              <w:rPr>
                <w:rFonts w:hint="eastAsia"/>
                <w:b/>
                <w:bCs/>
              </w:rPr>
              <w:t>GB16889-2024</w:t>
            </w:r>
            <w:r w:rsidRPr="00C3673F">
              <w:rPr>
                <w:rFonts w:hint="eastAsia"/>
                <w:b/>
                <w:bCs/>
              </w:rPr>
              <w:t>）表</w:t>
            </w:r>
            <w:r w:rsidRPr="00C3673F">
              <w:rPr>
                <w:rFonts w:hint="eastAsia"/>
                <w:b/>
                <w:bCs/>
              </w:rPr>
              <w:t>1</w:t>
            </w:r>
          </w:p>
        </w:tc>
      </w:tr>
      <w:tr w:rsidR="00402326" w:rsidRPr="005820CB" w14:paraId="763BEEBD" w14:textId="3F6A27F0" w:rsidTr="005820CB">
        <w:trPr>
          <w:trHeight w:val="57"/>
        </w:trPr>
        <w:tc>
          <w:tcPr>
            <w:tcW w:w="349" w:type="pct"/>
            <w:vAlign w:val="center"/>
          </w:tcPr>
          <w:p w14:paraId="03E0B01C" w14:textId="0921FF64" w:rsidR="00402326" w:rsidRPr="005820CB" w:rsidRDefault="00402326" w:rsidP="00402326">
            <w:pPr>
              <w:adjustRightInd w:val="0"/>
              <w:snapToGrid w:val="0"/>
              <w:jc w:val="center"/>
              <w:rPr>
                <w:rFonts w:eastAsia="Times New Roman"/>
              </w:rPr>
            </w:pPr>
            <w:r w:rsidRPr="005820CB">
              <w:rPr>
                <w:rFonts w:eastAsiaTheme="minorEastAsia" w:hint="eastAsia"/>
              </w:rPr>
              <w:t>1</w:t>
            </w:r>
          </w:p>
        </w:tc>
        <w:tc>
          <w:tcPr>
            <w:tcW w:w="1174" w:type="pct"/>
            <w:vAlign w:val="center"/>
          </w:tcPr>
          <w:p w14:paraId="5DD0D1AD" w14:textId="6C7E93E0" w:rsidR="00402326" w:rsidRPr="005820CB" w:rsidRDefault="00402326" w:rsidP="00402326">
            <w:pPr>
              <w:adjustRightInd w:val="0"/>
              <w:snapToGrid w:val="0"/>
              <w:jc w:val="center"/>
              <w:rPr>
                <w:lang w:eastAsia="en-US"/>
              </w:rPr>
            </w:pPr>
            <w:r>
              <w:rPr>
                <w:rFonts w:ascii="宋体" w:hAnsi="宋体" w:cs="宋体" w:hint="eastAsia"/>
              </w:rPr>
              <w:t>总</w:t>
            </w:r>
            <w:r w:rsidRPr="005820CB">
              <w:rPr>
                <w:rFonts w:ascii="宋体" w:hAnsi="宋体" w:cs="宋体" w:hint="eastAsia"/>
              </w:rPr>
              <w:t>镍</w:t>
            </w:r>
          </w:p>
        </w:tc>
        <w:tc>
          <w:tcPr>
            <w:tcW w:w="1739" w:type="pct"/>
            <w:vAlign w:val="center"/>
          </w:tcPr>
          <w:p w14:paraId="7CCDEE00" w14:textId="55BAA31E" w:rsidR="00402326" w:rsidRPr="00437A34" w:rsidRDefault="00402326" w:rsidP="00402326">
            <w:pPr>
              <w:adjustRightInd w:val="0"/>
              <w:snapToGrid w:val="0"/>
              <w:jc w:val="center"/>
              <w:rPr>
                <w:rFonts w:eastAsiaTheme="minorEastAsia"/>
              </w:rPr>
            </w:pPr>
            <w:r>
              <w:rPr>
                <w:rFonts w:eastAsiaTheme="minorEastAsia" w:hint="eastAsia"/>
              </w:rPr>
              <w:t>0.022</w:t>
            </w:r>
          </w:p>
        </w:tc>
        <w:tc>
          <w:tcPr>
            <w:tcW w:w="1738" w:type="pct"/>
            <w:vAlign w:val="center"/>
          </w:tcPr>
          <w:p w14:paraId="668B02B1" w14:textId="00BC30A0" w:rsidR="00402326" w:rsidRPr="005820CB" w:rsidRDefault="00402326" w:rsidP="00402326">
            <w:pPr>
              <w:adjustRightInd w:val="0"/>
              <w:snapToGrid w:val="0"/>
              <w:jc w:val="center"/>
              <w:rPr>
                <w:rFonts w:eastAsiaTheme="minorEastAsia"/>
              </w:rPr>
            </w:pPr>
            <w:r w:rsidRPr="005820CB">
              <w:rPr>
                <w:rFonts w:eastAsiaTheme="minorEastAsia" w:hint="eastAsia"/>
              </w:rPr>
              <w:t>0.5</w:t>
            </w:r>
          </w:p>
        </w:tc>
      </w:tr>
      <w:tr w:rsidR="00402326" w:rsidRPr="00124096" w14:paraId="70EA3E9A" w14:textId="7DF33EB4" w:rsidTr="005820CB">
        <w:trPr>
          <w:trHeight w:val="57"/>
        </w:trPr>
        <w:tc>
          <w:tcPr>
            <w:tcW w:w="349" w:type="pct"/>
            <w:vAlign w:val="center"/>
          </w:tcPr>
          <w:p w14:paraId="7442AD83" w14:textId="6C75B2CB" w:rsidR="00402326" w:rsidRPr="005820CB" w:rsidRDefault="00402326" w:rsidP="00402326">
            <w:pPr>
              <w:adjustRightInd w:val="0"/>
              <w:snapToGrid w:val="0"/>
              <w:jc w:val="center"/>
              <w:rPr>
                <w:rFonts w:eastAsia="Times New Roman"/>
              </w:rPr>
            </w:pPr>
            <w:r w:rsidRPr="005820CB">
              <w:rPr>
                <w:rFonts w:eastAsiaTheme="minorEastAsia" w:hint="eastAsia"/>
              </w:rPr>
              <w:t>2</w:t>
            </w:r>
          </w:p>
        </w:tc>
        <w:tc>
          <w:tcPr>
            <w:tcW w:w="1174" w:type="pct"/>
            <w:vAlign w:val="center"/>
          </w:tcPr>
          <w:p w14:paraId="3D077E3D" w14:textId="4EFBE432" w:rsidR="00402326" w:rsidRPr="005820CB" w:rsidRDefault="00402326" w:rsidP="00402326">
            <w:pPr>
              <w:adjustRightInd w:val="0"/>
              <w:snapToGrid w:val="0"/>
              <w:jc w:val="center"/>
              <w:rPr>
                <w:rFonts w:ascii="宋体" w:hAnsi="宋体" w:cs="宋体" w:hint="eastAsia"/>
                <w:lang w:eastAsia="en-US"/>
              </w:rPr>
            </w:pPr>
            <w:r>
              <w:rPr>
                <w:rFonts w:ascii="宋体" w:hAnsi="宋体" w:cs="宋体" w:hint="eastAsia"/>
              </w:rPr>
              <w:t>总</w:t>
            </w:r>
            <w:r w:rsidRPr="005820CB">
              <w:rPr>
                <w:rFonts w:ascii="宋体" w:hAnsi="宋体" w:cs="宋体" w:hint="eastAsia"/>
              </w:rPr>
              <w:t>镉</w:t>
            </w:r>
          </w:p>
        </w:tc>
        <w:tc>
          <w:tcPr>
            <w:tcW w:w="1739" w:type="pct"/>
            <w:vAlign w:val="center"/>
          </w:tcPr>
          <w:p w14:paraId="2B7ABC1A" w14:textId="3D18F84B" w:rsidR="00402326" w:rsidRPr="00437A34" w:rsidRDefault="00402326" w:rsidP="00402326">
            <w:pPr>
              <w:adjustRightInd w:val="0"/>
              <w:snapToGrid w:val="0"/>
              <w:jc w:val="center"/>
              <w:rPr>
                <w:rFonts w:eastAsia="Times New Roman"/>
              </w:rPr>
            </w:pPr>
            <w:r>
              <w:rPr>
                <w:rFonts w:eastAsiaTheme="minorEastAsia" w:hint="eastAsia"/>
              </w:rPr>
              <w:t>0.09</w:t>
            </w:r>
          </w:p>
        </w:tc>
        <w:tc>
          <w:tcPr>
            <w:tcW w:w="1738" w:type="pct"/>
            <w:vAlign w:val="center"/>
          </w:tcPr>
          <w:p w14:paraId="77B969A3" w14:textId="767D5510" w:rsidR="00402326" w:rsidRPr="00516CDC" w:rsidRDefault="00402326" w:rsidP="00402326">
            <w:pPr>
              <w:adjustRightInd w:val="0"/>
              <w:snapToGrid w:val="0"/>
              <w:jc w:val="center"/>
              <w:rPr>
                <w:rFonts w:eastAsiaTheme="minorEastAsia"/>
              </w:rPr>
            </w:pPr>
            <w:r w:rsidRPr="005820CB">
              <w:rPr>
                <w:rFonts w:eastAsiaTheme="minorEastAsia" w:hint="eastAsia"/>
              </w:rPr>
              <w:t>0.15</w:t>
            </w:r>
          </w:p>
        </w:tc>
      </w:tr>
      <w:tr w:rsidR="00402326" w:rsidRPr="00124096" w14:paraId="3981FB60" w14:textId="1F1681EF" w:rsidTr="005820CB">
        <w:trPr>
          <w:trHeight w:val="57"/>
        </w:trPr>
        <w:tc>
          <w:tcPr>
            <w:tcW w:w="349" w:type="pct"/>
            <w:vAlign w:val="center"/>
          </w:tcPr>
          <w:p w14:paraId="65709400" w14:textId="24B9F18A" w:rsidR="00402326" w:rsidRPr="00124096" w:rsidRDefault="00402326" w:rsidP="00402326">
            <w:pPr>
              <w:adjustRightInd w:val="0"/>
              <w:snapToGrid w:val="0"/>
              <w:jc w:val="center"/>
              <w:rPr>
                <w:rFonts w:eastAsia="Times New Roman"/>
                <w:highlight w:val="yellow"/>
              </w:rPr>
            </w:pPr>
            <w:r w:rsidRPr="00516CDC">
              <w:rPr>
                <w:rFonts w:eastAsiaTheme="minorEastAsia" w:hint="eastAsia"/>
              </w:rPr>
              <w:t>3</w:t>
            </w:r>
          </w:p>
        </w:tc>
        <w:tc>
          <w:tcPr>
            <w:tcW w:w="1174" w:type="pct"/>
            <w:vAlign w:val="center"/>
          </w:tcPr>
          <w:p w14:paraId="2AEAC028" w14:textId="0FCE5AB1" w:rsidR="00402326" w:rsidRPr="00124096" w:rsidRDefault="00402326" w:rsidP="00402326">
            <w:pPr>
              <w:adjustRightInd w:val="0"/>
              <w:snapToGrid w:val="0"/>
              <w:jc w:val="center"/>
              <w:rPr>
                <w:highlight w:val="yellow"/>
                <w:lang w:eastAsia="en-US"/>
              </w:rPr>
            </w:pPr>
            <w:r>
              <w:rPr>
                <w:rFonts w:ascii="宋体" w:hAnsi="宋体" w:cs="宋体" w:hint="eastAsia"/>
              </w:rPr>
              <w:t>总铬</w:t>
            </w:r>
          </w:p>
        </w:tc>
        <w:tc>
          <w:tcPr>
            <w:tcW w:w="1739" w:type="pct"/>
            <w:vAlign w:val="center"/>
          </w:tcPr>
          <w:p w14:paraId="7EF4A79A" w14:textId="7723A2B2" w:rsidR="00402326" w:rsidRPr="00437A34" w:rsidRDefault="00402326" w:rsidP="00402326">
            <w:pPr>
              <w:adjustRightInd w:val="0"/>
              <w:snapToGrid w:val="0"/>
              <w:jc w:val="center"/>
              <w:rPr>
                <w:rFonts w:eastAsiaTheme="minorEastAsia"/>
              </w:rPr>
            </w:pPr>
            <w:r>
              <w:rPr>
                <w:rFonts w:eastAsiaTheme="minorEastAsia" w:hint="eastAsia"/>
              </w:rPr>
              <w:t>0.8</w:t>
            </w:r>
          </w:p>
        </w:tc>
        <w:tc>
          <w:tcPr>
            <w:tcW w:w="1738" w:type="pct"/>
            <w:vAlign w:val="center"/>
          </w:tcPr>
          <w:p w14:paraId="3D838112" w14:textId="2EA3AFCE" w:rsidR="00402326" w:rsidRDefault="00402326" w:rsidP="00402326">
            <w:pPr>
              <w:adjustRightInd w:val="0"/>
              <w:snapToGrid w:val="0"/>
              <w:jc w:val="center"/>
              <w:rPr>
                <w:rFonts w:eastAsiaTheme="minorEastAsia"/>
              </w:rPr>
            </w:pPr>
            <w:r>
              <w:rPr>
                <w:rFonts w:eastAsiaTheme="minorEastAsia" w:hint="eastAsia"/>
              </w:rPr>
              <w:t>4.5</w:t>
            </w:r>
          </w:p>
        </w:tc>
      </w:tr>
      <w:tr w:rsidR="00402326" w:rsidRPr="00124096" w14:paraId="2B62BA17" w14:textId="78FB61CF" w:rsidTr="005820CB">
        <w:trPr>
          <w:trHeight w:val="57"/>
        </w:trPr>
        <w:tc>
          <w:tcPr>
            <w:tcW w:w="349" w:type="pct"/>
            <w:vAlign w:val="center"/>
          </w:tcPr>
          <w:p w14:paraId="4A956BF0" w14:textId="5B462445" w:rsidR="00402326" w:rsidRPr="00124096" w:rsidRDefault="00402326" w:rsidP="00402326">
            <w:pPr>
              <w:adjustRightInd w:val="0"/>
              <w:snapToGrid w:val="0"/>
              <w:jc w:val="center"/>
              <w:rPr>
                <w:rFonts w:eastAsia="Times New Roman"/>
                <w:highlight w:val="yellow"/>
              </w:rPr>
            </w:pPr>
            <w:r w:rsidRPr="009B7301">
              <w:rPr>
                <w:rFonts w:eastAsiaTheme="minorEastAsia" w:hint="eastAsia"/>
              </w:rPr>
              <w:t>4</w:t>
            </w:r>
          </w:p>
        </w:tc>
        <w:tc>
          <w:tcPr>
            <w:tcW w:w="1174" w:type="pct"/>
            <w:vAlign w:val="center"/>
          </w:tcPr>
          <w:p w14:paraId="615ABCC3" w14:textId="7A79E93A" w:rsidR="00402326" w:rsidRPr="00124096" w:rsidRDefault="00402326" w:rsidP="00402326">
            <w:pPr>
              <w:adjustRightInd w:val="0"/>
              <w:snapToGrid w:val="0"/>
              <w:jc w:val="center"/>
              <w:rPr>
                <w:highlight w:val="yellow"/>
                <w:lang w:eastAsia="en-US"/>
              </w:rPr>
            </w:pPr>
            <w:r>
              <w:rPr>
                <w:rFonts w:ascii="宋体" w:hAnsi="宋体" w:cs="宋体" w:hint="eastAsia"/>
              </w:rPr>
              <w:t>总</w:t>
            </w:r>
            <w:r>
              <w:rPr>
                <w:rFonts w:hint="eastAsia"/>
              </w:rPr>
              <w:t>硒</w:t>
            </w:r>
          </w:p>
        </w:tc>
        <w:tc>
          <w:tcPr>
            <w:tcW w:w="1739" w:type="pct"/>
            <w:vAlign w:val="center"/>
          </w:tcPr>
          <w:p w14:paraId="6CF93EC8" w14:textId="102D43EF" w:rsidR="00402326" w:rsidRPr="00437A34" w:rsidRDefault="00402326" w:rsidP="00402326">
            <w:pPr>
              <w:adjustRightInd w:val="0"/>
              <w:snapToGrid w:val="0"/>
              <w:jc w:val="center"/>
              <w:rPr>
                <w:rFonts w:eastAsiaTheme="minorEastAsia"/>
              </w:rPr>
            </w:pPr>
            <w:r>
              <w:rPr>
                <w:rFonts w:eastAsiaTheme="minorEastAsia" w:hint="eastAsia"/>
              </w:rPr>
              <w:t>0.00836</w:t>
            </w:r>
          </w:p>
        </w:tc>
        <w:tc>
          <w:tcPr>
            <w:tcW w:w="1738" w:type="pct"/>
            <w:vAlign w:val="center"/>
          </w:tcPr>
          <w:p w14:paraId="5EE42CF8" w14:textId="158BD645" w:rsidR="00402326" w:rsidRPr="009B7301" w:rsidRDefault="00402326" w:rsidP="00402326">
            <w:pPr>
              <w:adjustRightInd w:val="0"/>
              <w:snapToGrid w:val="0"/>
              <w:jc w:val="center"/>
              <w:rPr>
                <w:rFonts w:eastAsiaTheme="minorEastAsia"/>
              </w:rPr>
            </w:pPr>
            <w:r>
              <w:rPr>
                <w:rFonts w:eastAsiaTheme="minorEastAsia" w:hint="eastAsia"/>
              </w:rPr>
              <w:t>0.1</w:t>
            </w:r>
          </w:p>
        </w:tc>
      </w:tr>
      <w:tr w:rsidR="00402326" w:rsidRPr="00124096" w14:paraId="3351AAD5" w14:textId="729E2026" w:rsidTr="005820CB">
        <w:trPr>
          <w:trHeight w:val="57"/>
        </w:trPr>
        <w:tc>
          <w:tcPr>
            <w:tcW w:w="349" w:type="pct"/>
            <w:vAlign w:val="center"/>
          </w:tcPr>
          <w:p w14:paraId="0589C758" w14:textId="0CB63BCE" w:rsidR="00402326" w:rsidRPr="00124096" w:rsidRDefault="00402326" w:rsidP="00402326">
            <w:pPr>
              <w:adjustRightInd w:val="0"/>
              <w:snapToGrid w:val="0"/>
              <w:jc w:val="center"/>
              <w:rPr>
                <w:rFonts w:eastAsia="Times New Roman"/>
                <w:highlight w:val="yellow"/>
              </w:rPr>
            </w:pPr>
            <w:r w:rsidRPr="009B7301">
              <w:rPr>
                <w:rFonts w:eastAsiaTheme="minorEastAsia" w:hint="eastAsia"/>
              </w:rPr>
              <w:t>5</w:t>
            </w:r>
          </w:p>
        </w:tc>
        <w:tc>
          <w:tcPr>
            <w:tcW w:w="1174" w:type="pct"/>
            <w:vAlign w:val="center"/>
          </w:tcPr>
          <w:p w14:paraId="11B13D49" w14:textId="31F5475D" w:rsidR="00402326" w:rsidRPr="00124096" w:rsidRDefault="00402326" w:rsidP="00402326">
            <w:pPr>
              <w:adjustRightInd w:val="0"/>
              <w:snapToGrid w:val="0"/>
              <w:jc w:val="center"/>
              <w:rPr>
                <w:highlight w:val="yellow"/>
                <w:lang w:eastAsia="en-US"/>
              </w:rPr>
            </w:pPr>
            <w:r>
              <w:rPr>
                <w:rFonts w:ascii="宋体" w:hAnsi="宋体" w:cs="宋体" w:hint="eastAsia"/>
              </w:rPr>
              <w:t>总</w:t>
            </w:r>
            <w:r>
              <w:rPr>
                <w:rFonts w:hint="eastAsia"/>
              </w:rPr>
              <w:t>砷</w:t>
            </w:r>
          </w:p>
        </w:tc>
        <w:tc>
          <w:tcPr>
            <w:tcW w:w="1739" w:type="pct"/>
            <w:vAlign w:val="center"/>
          </w:tcPr>
          <w:p w14:paraId="34C014BC" w14:textId="4D16EAB3" w:rsidR="00402326" w:rsidRPr="00437A34" w:rsidRDefault="00402326" w:rsidP="00402326">
            <w:pPr>
              <w:adjustRightInd w:val="0"/>
              <w:snapToGrid w:val="0"/>
              <w:jc w:val="center"/>
              <w:rPr>
                <w:rFonts w:eastAsiaTheme="minorEastAsia"/>
              </w:rPr>
            </w:pPr>
            <w:r>
              <w:rPr>
                <w:rFonts w:eastAsiaTheme="minorEastAsia" w:hint="eastAsia"/>
              </w:rPr>
              <w:t>0.0112</w:t>
            </w:r>
          </w:p>
        </w:tc>
        <w:tc>
          <w:tcPr>
            <w:tcW w:w="1738" w:type="pct"/>
            <w:vAlign w:val="center"/>
          </w:tcPr>
          <w:p w14:paraId="37444DE3" w14:textId="28DBB72D" w:rsidR="00402326" w:rsidRPr="009B7301" w:rsidRDefault="00402326" w:rsidP="00402326">
            <w:pPr>
              <w:adjustRightInd w:val="0"/>
              <w:snapToGrid w:val="0"/>
              <w:jc w:val="center"/>
              <w:rPr>
                <w:rFonts w:eastAsiaTheme="minorEastAsia"/>
              </w:rPr>
            </w:pPr>
            <w:r>
              <w:rPr>
                <w:rFonts w:eastAsiaTheme="minorEastAsia" w:hint="eastAsia"/>
              </w:rPr>
              <w:t>0.3</w:t>
            </w:r>
          </w:p>
        </w:tc>
      </w:tr>
      <w:tr w:rsidR="00402326" w:rsidRPr="00124096" w14:paraId="30CC64D0" w14:textId="526CCF83" w:rsidTr="005820CB">
        <w:trPr>
          <w:trHeight w:val="57"/>
        </w:trPr>
        <w:tc>
          <w:tcPr>
            <w:tcW w:w="349" w:type="pct"/>
            <w:vAlign w:val="center"/>
          </w:tcPr>
          <w:p w14:paraId="5F136C04" w14:textId="4B206195" w:rsidR="00402326" w:rsidRPr="00124096" w:rsidRDefault="00402326" w:rsidP="00402326">
            <w:pPr>
              <w:adjustRightInd w:val="0"/>
              <w:snapToGrid w:val="0"/>
              <w:jc w:val="center"/>
              <w:rPr>
                <w:rFonts w:eastAsia="Times New Roman"/>
                <w:highlight w:val="yellow"/>
              </w:rPr>
            </w:pPr>
            <w:r w:rsidRPr="009B7301">
              <w:rPr>
                <w:rFonts w:eastAsiaTheme="minorEastAsia" w:hint="eastAsia"/>
              </w:rPr>
              <w:t>6</w:t>
            </w:r>
          </w:p>
        </w:tc>
        <w:tc>
          <w:tcPr>
            <w:tcW w:w="1174" w:type="pct"/>
            <w:vAlign w:val="center"/>
          </w:tcPr>
          <w:p w14:paraId="0723CFF7" w14:textId="29BF86D7" w:rsidR="00402326" w:rsidRPr="00124096" w:rsidRDefault="00402326" w:rsidP="00402326">
            <w:pPr>
              <w:adjustRightInd w:val="0"/>
              <w:snapToGrid w:val="0"/>
              <w:jc w:val="center"/>
              <w:rPr>
                <w:highlight w:val="yellow"/>
                <w:lang w:eastAsia="en-US"/>
              </w:rPr>
            </w:pPr>
            <w:r>
              <w:rPr>
                <w:rFonts w:ascii="宋体" w:hAnsi="宋体" w:cs="宋体" w:hint="eastAsia"/>
              </w:rPr>
              <w:t>总</w:t>
            </w:r>
            <w:r>
              <w:rPr>
                <w:rFonts w:hint="eastAsia"/>
              </w:rPr>
              <w:t>锌</w:t>
            </w:r>
          </w:p>
        </w:tc>
        <w:tc>
          <w:tcPr>
            <w:tcW w:w="1739" w:type="pct"/>
            <w:vAlign w:val="center"/>
          </w:tcPr>
          <w:p w14:paraId="5924E617" w14:textId="667D0E2F" w:rsidR="00402326" w:rsidRPr="00437A34" w:rsidRDefault="00402326" w:rsidP="00402326">
            <w:pPr>
              <w:adjustRightInd w:val="0"/>
              <w:snapToGrid w:val="0"/>
              <w:jc w:val="center"/>
              <w:rPr>
                <w:rFonts w:eastAsiaTheme="minorEastAsia"/>
              </w:rPr>
            </w:pPr>
            <w:r>
              <w:rPr>
                <w:rFonts w:eastAsiaTheme="minorEastAsia" w:hint="eastAsia"/>
              </w:rPr>
              <w:t>10.5</w:t>
            </w:r>
          </w:p>
        </w:tc>
        <w:tc>
          <w:tcPr>
            <w:tcW w:w="1738" w:type="pct"/>
            <w:vAlign w:val="center"/>
          </w:tcPr>
          <w:p w14:paraId="3361AA75" w14:textId="4C3A7F66" w:rsidR="00402326" w:rsidRPr="009B7301" w:rsidRDefault="00402326" w:rsidP="00402326">
            <w:pPr>
              <w:adjustRightInd w:val="0"/>
              <w:snapToGrid w:val="0"/>
              <w:jc w:val="center"/>
              <w:rPr>
                <w:rFonts w:eastAsiaTheme="minorEastAsia"/>
              </w:rPr>
            </w:pPr>
            <w:r>
              <w:rPr>
                <w:rFonts w:eastAsiaTheme="minorEastAsia" w:hint="eastAsia"/>
              </w:rPr>
              <w:t>100</w:t>
            </w:r>
          </w:p>
        </w:tc>
      </w:tr>
      <w:tr w:rsidR="00402326" w:rsidRPr="00124096" w14:paraId="670C3B2E" w14:textId="44D52A7D" w:rsidTr="005820CB">
        <w:trPr>
          <w:trHeight w:val="57"/>
        </w:trPr>
        <w:tc>
          <w:tcPr>
            <w:tcW w:w="349" w:type="pct"/>
            <w:vAlign w:val="center"/>
          </w:tcPr>
          <w:p w14:paraId="2C4444B9" w14:textId="5AB71EFB" w:rsidR="00402326" w:rsidRPr="00124096" w:rsidRDefault="00402326" w:rsidP="00402326">
            <w:pPr>
              <w:adjustRightInd w:val="0"/>
              <w:snapToGrid w:val="0"/>
              <w:jc w:val="center"/>
              <w:rPr>
                <w:rFonts w:eastAsia="Times New Roman"/>
                <w:highlight w:val="yellow"/>
              </w:rPr>
            </w:pPr>
            <w:r w:rsidRPr="009B7301">
              <w:rPr>
                <w:rFonts w:eastAsiaTheme="minorEastAsia" w:hint="eastAsia"/>
              </w:rPr>
              <w:t>7</w:t>
            </w:r>
          </w:p>
        </w:tc>
        <w:tc>
          <w:tcPr>
            <w:tcW w:w="1174" w:type="pct"/>
            <w:vAlign w:val="center"/>
          </w:tcPr>
          <w:p w14:paraId="520D39C8" w14:textId="33A4A798" w:rsidR="00402326" w:rsidRPr="00124096" w:rsidRDefault="00402326" w:rsidP="00402326">
            <w:pPr>
              <w:adjustRightInd w:val="0"/>
              <w:snapToGrid w:val="0"/>
              <w:jc w:val="center"/>
              <w:rPr>
                <w:highlight w:val="yellow"/>
                <w:lang w:eastAsia="en-US"/>
              </w:rPr>
            </w:pPr>
            <w:r>
              <w:rPr>
                <w:rFonts w:ascii="宋体" w:hAnsi="宋体" w:cs="宋体" w:hint="eastAsia"/>
              </w:rPr>
              <w:t>总</w:t>
            </w:r>
            <w:r>
              <w:rPr>
                <w:rFonts w:hint="eastAsia"/>
              </w:rPr>
              <w:t>铅</w:t>
            </w:r>
          </w:p>
        </w:tc>
        <w:tc>
          <w:tcPr>
            <w:tcW w:w="1739" w:type="pct"/>
            <w:vAlign w:val="center"/>
          </w:tcPr>
          <w:p w14:paraId="0EF9FAA7" w14:textId="284B2C2F" w:rsidR="00402326" w:rsidRPr="00437A34" w:rsidRDefault="00402326" w:rsidP="00402326">
            <w:pPr>
              <w:adjustRightInd w:val="0"/>
              <w:snapToGrid w:val="0"/>
              <w:jc w:val="center"/>
              <w:rPr>
                <w:rFonts w:eastAsiaTheme="minorEastAsia"/>
              </w:rPr>
            </w:pPr>
            <w:r>
              <w:rPr>
                <w:rFonts w:eastAsiaTheme="minorEastAsia" w:hint="eastAsia"/>
              </w:rPr>
              <w:t>0.23</w:t>
            </w:r>
          </w:p>
        </w:tc>
        <w:tc>
          <w:tcPr>
            <w:tcW w:w="1738" w:type="pct"/>
            <w:vAlign w:val="center"/>
          </w:tcPr>
          <w:p w14:paraId="40CBCB09" w14:textId="23142A89" w:rsidR="00402326" w:rsidRPr="005820CB" w:rsidRDefault="00402326" w:rsidP="00402326">
            <w:pPr>
              <w:adjustRightInd w:val="0"/>
              <w:snapToGrid w:val="0"/>
              <w:jc w:val="center"/>
              <w:rPr>
                <w:rFonts w:eastAsiaTheme="minorEastAsia"/>
              </w:rPr>
            </w:pPr>
            <w:r>
              <w:rPr>
                <w:rFonts w:eastAsiaTheme="minorEastAsia" w:hint="eastAsia"/>
              </w:rPr>
              <w:t>0.25</w:t>
            </w:r>
          </w:p>
        </w:tc>
      </w:tr>
      <w:tr w:rsidR="00402326" w:rsidRPr="00124096" w14:paraId="472548AC" w14:textId="6538F900" w:rsidTr="005820CB">
        <w:trPr>
          <w:trHeight w:val="57"/>
        </w:trPr>
        <w:tc>
          <w:tcPr>
            <w:tcW w:w="349" w:type="pct"/>
            <w:vAlign w:val="center"/>
          </w:tcPr>
          <w:p w14:paraId="5B4748AC" w14:textId="54760734" w:rsidR="00402326" w:rsidRPr="00124096" w:rsidRDefault="00402326" w:rsidP="00402326">
            <w:pPr>
              <w:adjustRightInd w:val="0"/>
              <w:snapToGrid w:val="0"/>
              <w:jc w:val="center"/>
              <w:rPr>
                <w:rFonts w:eastAsia="Times New Roman"/>
                <w:highlight w:val="yellow"/>
              </w:rPr>
            </w:pPr>
            <w:r w:rsidRPr="009B7301">
              <w:rPr>
                <w:rFonts w:eastAsiaTheme="minorEastAsia" w:hint="eastAsia"/>
              </w:rPr>
              <w:t>8</w:t>
            </w:r>
          </w:p>
        </w:tc>
        <w:tc>
          <w:tcPr>
            <w:tcW w:w="1174" w:type="pct"/>
            <w:vAlign w:val="center"/>
          </w:tcPr>
          <w:p w14:paraId="58BBDD14" w14:textId="4EBE429E" w:rsidR="00402326" w:rsidRPr="00124096" w:rsidRDefault="00402326" w:rsidP="00402326">
            <w:pPr>
              <w:adjustRightInd w:val="0"/>
              <w:snapToGrid w:val="0"/>
              <w:jc w:val="center"/>
              <w:rPr>
                <w:highlight w:val="yellow"/>
                <w:lang w:eastAsia="en-US"/>
              </w:rPr>
            </w:pPr>
            <w:r>
              <w:rPr>
                <w:rFonts w:ascii="宋体" w:hAnsi="宋体" w:cs="宋体" w:hint="eastAsia"/>
              </w:rPr>
              <w:t>总</w:t>
            </w:r>
            <w:r>
              <w:rPr>
                <w:rFonts w:hint="eastAsia"/>
              </w:rPr>
              <w:t>钡</w:t>
            </w:r>
          </w:p>
        </w:tc>
        <w:tc>
          <w:tcPr>
            <w:tcW w:w="1739" w:type="pct"/>
            <w:vAlign w:val="center"/>
          </w:tcPr>
          <w:p w14:paraId="0B47B0C2" w14:textId="5BCEC229" w:rsidR="00402326" w:rsidRPr="00437A34" w:rsidRDefault="00402326" w:rsidP="00402326">
            <w:pPr>
              <w:adjustRightInd w:val="0"/>
              <w:snapToGrid w:val="0"/>
              <w:jc w:val="center"/>
              <w:rPr>
                <w:rFonts w:eastAsiaTheme="minorEastAsia"/>
              </w:rPr>
            </w:pPr>
            <w:r>
              <w:rPr>
                <w:rFonts w:eastAsiaTheme="minorEastAsia" w:hint="eastAsia"/>
              </w:rPr>
              <w:t>0.0036</w:t>
            </w:r>
          </w:p>
        </w:tc>
        <w:tc>
          <w:tcPr>
            <w:tcW w:w="1738" w:type="pct"/>
            <w:vAlign w:val="center"/>
          </w:tcPr>
          <w:p w14:paraId="55B561F2" w14:textId="0729885A" w:rsidR="00402326" w:rsidRPr="005820CB" w:rsidRDefault="00402326" w:rsidP="00402326">
            <w:pPr>
              <w:adjustRightInd w:val="0"/>
              <w:snapToGrid w:val="0"/>
              <w:jc w:val="center"/>
              <w:rPr>
                <w:rFonts w:eastAsiaTheme="minorEastAsia"/>
              </w:rPr>
            </w:pPr>
            <w:r>
              <w:rPr>
                <w:rFonts w:eastAsiaTheme="minorEastAsia" w:hint="eastAsia"/>
              </w:rPr>
              <w:t>25</w:t>
            </w:r>
          </w:p>
        </w:tc>
      </w:tr>
      <w:tr w:rsidR="00402326" w:rsidRPr="00124096" w14:paraId="383F2CFD" w14:textId="2A7B5ECD" w:rsidTr="005820CB">
        <w:trPr>
          <w:trHeight w:val="57"/>
        </w:trPr>
        <w:tc>
          <w:tcPr>
            <w:tcW w:w="349" w:type="pct"/>
            <w:vAlign w:val="center"/>
          </w:tcPr>
          <w:p w14:paraId="7C61C2ED" w14:textId="4AB49AC8" w:rsidR="00402326" w:rsidRPr="00124096" w:rsidRDefault="00402326" w:rsidP="00402326">
            <w:pPr>
              <w:adjustRightInd w:val="0"/>
              <w:snapToGrid w:val="0"/>
              <w:jc w:val="center"/>
              <w:rPr>
                <w:rFonts w:eastAsia="Times New Roman"/>
                <w:highlight w:val="yellow"/>
              </w:rPr>
            </w:pPr>
            <w:r w:rsidRPr="009B7301">
              <w:rPr>
                <w:rFonts w:eastAsiaTheme="minorEastAsia" w:hint="eastAsia"/>
              </w:rPr>
              <w:t>9</w:t>
            </w:r>
          </w:p>
        </w:tc>
        <w:tc>
          <w:tcPr>
            <w:tcW w:w="1174" w:type="pct"/>
            <w:vAlign w:val="center"/>
          </w:tcPr>
          <w:p w14:paraId="4D7FF323" w14:textId="740E7D6A" w:rsidR="00402326" w:rsidRPr="00124096" w:rsidRDefault="00402326" w:rsidP="00402326">
            <w:pPr>
              <w:adjustRightInd w:val="0"/>
              <w:snapToGrid w:val="0"/>
              <w:jc w:val="center"/>
              <w:rPr>
                <w:highlight w:val="yellow"/>
                <w:lang w:eastAsia="en-US"/>
              </w:rPr>
            </w:pPr>
            <w:r>
              <w:rPr>
                <w:rFonts w:ascii="宋体" w:hAnsi="宋体" w:cs="宋体" w:hint="eastAsia"/>
              </w:rPr>
              <w:t>总</w:t>
            </w:r>
            <w:r>
              <w:rPr>
                <w:rFonts w:hint="eastAsia"/>
              </w:rPr>
              <w:t>铜</w:t>
            </w:r>
          </w:p>
        </w:tc>
        <w:tc>
          <w:tcPr>
            <w:tcW w:w="1739" w:type="pct"/>
            <w:vAlign w:val="center"/>
          </w:tcPr>
          <w:p w14:paraId="3B8F2E5D" w14:textId="3E89B0FB" w:rsidR="00402326" w:rsidRPr="00437A34" w:rsidRDefault="00402326" w:rsidP="00402326">
            <w:pPr>
              <w:adjustRightInd w:val="0"/>
              <w:snapToGrid w:val="0"/>
              <w:jc w:val="center"/>
              <w:rPr>
                <w:rFonts w:eastAsiaTheme="minorEastAsia"/>
              </w:rPr>
            </w:pPr>
            <w:r>
              <w:rPr>
                <w:rFonts w:eastAsiaTheme="minorEastAsia" w:hint="eastAsia"/>
              </w:rPr>
              <w:t>0.038</w:t>
            </w:r>
          </w:p>
        </w:tc>
        <w:tc>
          <w:tcPr>
            <w:tcW w:w="1738" w:type="pct"/>
            <w:vAlign w:val="center"/>
          </w:tcPr>
          <w:p w14:paraId="59F0A8CD" w14:textId="265F8435" w:rsidR="00402326" w:rsidRPr="009B7301" w:rsidRDefault="00402326" w:rsidP="00402326">
            <w:pPr>
              <w:adjustRightInd w:val="0"/>
              <w:snapToGrid w:val="0"/>
              <w:jc w:val="center"/>
              <w:rPr>
                <w:rFonts w:eastAsiaTheme="minorEastAsia"/>
              </w:rPr>
            </w:pPr>
            <w:r>
              <w:rPr>
                <w:rFonts w:eastAsiaTheme="minorEastAsia" w:hint="eastAsia"/>
              </w:rPr>
              <w:t>40</w:t>
            </w:r>
          </w:p>
        </w:tc>
      </w:tr>
      <w:tr w:rsidR="00402326" w:rsidRPr="00124096" w14:paraId="24127A75" w14:textId="0088A182" w:rsidTr="005820CB">
        <w:trPr>
          <w:trHeight w:val="57"/>
        </w:trPr>
        <w:tc>
          <w:tcPr>
            <w:tcW w:w="349" w:type="pct"/>
            <w:vAlign w:val="center"/>
          </w:tcPr>
          <w:p w14:paraId="6AADABF7" w14:textId="34EFA190" w:rsidR="00402326" w:rsidRPr="00124096" w:rsidRDefault="00402326" w:rsidP="00402326">
            <w:pPr>
              <w:adjustRightInd w:val="0"/>
              <w:snapToGrid w:val="0"/>
              <w:jc w:val="center"/>
              <w:rPr>
                <w:rFonts w:eastAsia="Times New Roman"/>
                <w:highlight w:val="yellow"/>
              </w:rPr>
            </w:pPr>
            <w:r w:rsidRPr="009B7301">
              <w:rPr>
                <w:rFonts w:eastAsiaTheme="minorEastAsia" w:hint="eastAsia"/>
              </w:rPr>
              <w:t>10</w:t>
            </w:r>
          </w:p>
        </w:tc>
        <w:tc>
          <w:tcPr>
            <w:tcW w:w="1174" w:type="pct"/>
            <w:vAlign w:val="center"/>
          </w:tcPr>
          <w:p w14:paraId="23AB1C91" w14:textId="53E16CF4" w:rsidR="00402326" w:rsidRPr="00124096" w:rsidRDefault="00402326" w:rsidP="00402326">
            <w:pPr>
              <w:adjustRightInd w:val="0"/>
              <w:snapToGrid w:val="0"/>
              <w:jc w:val="center"/>
              <w:rPr>
                <w:highlight w:val="yellow"/>
                <w:lang w:eastAsia="en-US"/>
              </w:rPr>
            </w:pPr>
            <w:r>
              <w:rPr>
                <w:rFonts w:hint="eastAsia"/>
              </w:rPr>
              <w:t>六价铬</w:t>
            </w:r>
          </w:p>
        </w:tc>
        <w:tc>
          <w:tcPr>
            <w:tcW w:w="1739" w:type="pct"/>
            <w:vAlign w:val="center"/>
          </w:tcPr>
          <w:p w14:paraId="4DED44D2" w14:textId="0C9F1144" w:rsidR="00402326" w:rsidRPr="00437A34" w:rsidRDefault="00402326" w:rsidP="00402326">
            <w:pPr>
              <w:adjustRightInd w:val="0"/>
              <w:snapToGrid w:val="0"/>
              <w:jc w:val="center"/>
              <w:rPr>
                <w:rFonts w:eastAsiaTheme="minorEastAsia"/>
              </w:rPr>
            </w:pPr>
            <w:r>
              <w:rPr>
                <w:rFonts w:eastAsiaTheme="minorEastAsia" w:hint="eastAsia"/>
              </w:rPr>
              <w:t>0.004L</w:t>
            </w:r>
          </w:p>
        </w:tc>
        <w:tc>
          <w:tcPr>
            <w:tcW w:w="1738" w:type="pct"/>
            <w:vAlign w:val="center"/>
          </w:tcPr>
          <w:p w14:paraId="14A8B452" w14:textId="4EDE7264" w:rsidR="00402326" w:rsidRPr="009B7301" w:rsidRDefault="00402326" w:rsidP="00402326">
            <w:pPr>
              <w:adjustRightInd w:val="0"/>
              <w:snapToGrid w:val="0"/>
              <w:jc w:val="center"/>
              <w:rPr>
                <w:rFonts w:eastAsiaTheme="minorEastAsia"/>
              </w:rPr>
            </w:pPr>
            <w:r>
              <w:rPr>
                <w:rFonts w:eastAsiaTheme="minorEastAsia" w:hint="eastAsia"/>
              </w:rPr>
              <w:t>1.5</w:t>
            </w:r>
          </w:p>
        </w:tc>
      </w:tr>
      <w:tr w:rsidR="00402326" w:rsidRPr="00124096" w14:paraId="711F583B" w14:textId="271A7B31" w:rsidTr="005820CB">
        <w:trPr>
          <w:trHeight w:val="57"/>
        </w:trPr>
        <w:tc>
          <w:tcPr>
            <w:tcW w:w="349" w:type="pct"/>
            <w:vAlign w:val="center"/>
          </w:tcPr>
          <w:p w14:paraId="73F09937" w14:textId="7044694A" w:rsidR="00402326" w:rsidRPr="00124096" w:rsidRDefault="00402326" w:rsidP="00402326">
            <w:pPr>
              <w:adjustRightInd w:val="0"/>
              <w:snapToGrid w:val="0"/>
              <w:jc w:val="center"/>
              <w:rPr>
                <w:rFonts w:eastAsia="Times New Roman"/>
                <w:highlight w:val="yellow"/>
              </w:rPr>
            </w:pPr>
            <w:r w:rsidRPr="009B7301">
              <w:rPr>
                <w:rFonts w:eastAsiaTheme="minorEastAsia" w:hint="eastAsia"/>
              </w:rPr>
              <w:t>11</w:t>
            </w:r>
          </w:p>
        </w:tc>
        <w:tc>
          <w:tcPr>
            <w:tcW w:w="1174" w:type="pct"/>
            <w:vAlign w:val="center"/>
          </w:tcPr>
          <w:p w14:paraId="7032D474" w14:textId="6AEE396D" w:rsidR="00402326" w:rsidRPr="00124096" w:rsidRDefault="00402326" w:rsidP="00402326">
            <w:pPr>
              <w:adjustRightInd w:val="0"/>
              <w:snapToGrid w:val="0"/>
              <w:jc w:val="center"/>
              <w:rPr>
                <w:highlight w:val="yellow"/>
                <w:lang w:eastAsia="en-US"/>
              </w:rPr>
            </w:pPr>
            <w:r>
              <w:rPr>
                <w:rFonts w:ascii="宋体" w:hAnsi="宋体" w:cs="宋体" w:hint="eastAsia"/>
              </w:rPr>
              <w:t>总</w:t>
            </w:r>
            <w:r>
              <w:rPr>
                <w:rFonts w:hint="eastAsia"/>
              </w:rPr>
              <w:t>汞</w:t>
            </w:r>
          </w:p>
        </w:tc>
        <w:tc>
          <w:tcPr>
            <w:tcW w:w="1739" w:type="pct"/>
            <w:vAlign w:val="center"/>
          </w:tcPr>
          <w:p w14:paraId="416417FE" w14:textId="61DB8A4B" w:rsidR="00402326" w:rsidRPr="00437A34" w:rsidRDefault="00402326" w:rsidP="00402326">
            <w:pPr>
              <w:adjustRightInd w:val="0"/>
              <w:snapToGrid w:val="0"/>
              <w:jc w:val="center"/>
              <w:rPr>
                <w:rFonts w:eastAsiaTheme="minorEastAsia"/>
              </w:rPr>
            </w:pPr>
            <w:r w:rsidRPr="00437A34">
              <w:rPr>
                <w:rFonts w:eastAsiaTheme="minorEastAsia" w:hint="eastAsia"/>
              </w:rPr>
              <w:t>0.00</w:t>
            </w:r>
            <w:r>
              <w:rPr>
                <w:rFonts w:eastAsiaTheme="minorEastAsia" w:hint="eastAsia"/>
              </w:rPr>
              <w:t>645</w:t>
            </w:r>
          </w:p>
        </w:tc>
        <w:tc>
          <w:tcPr>
            <w:tcW w:w="1738" w:type="pct"/>
            <w:vAlign w:val="center"/>
          </w:tcPr>
          <w:p w14:paraId="3DF4DE21" w14:textId="5A1D9D41" w:rsidR="00402326" w:rsidRPr="005820CB" w:rsidRDefault="00402326" w:rsidP="00402326">
            <w:pPr>
              <w:adjustRightInd w:val="0"/>
              <w:snapToGrid w:val="0"/>
              <w:jc w:val="center"/>
              <w:rPr>
                <w:rFonts w:eastAsiaTheme="minorEastAsia"/>
              </w:rPr>
            </w:pPr>
            <w:r>
              <w:rPr>
                <w:rFonts w:eastAsiaTheme="minorEastAsia" w:hint="eastAsia"/>
              </w:rPr>
              <w:t>0.05</w:t>
            </w:r>
          </w:p>
        </w:tc>
      </w:tr>
      <w:tr w:rsidR="00402326" w:rsidRPr="00124096" w14:paraId="6904465F" w14:textId="77777777" w:rsidTr="005820CB">
        <w:trPr>
          <w:trHeight w:val="57"/>
        </w:trPr>
        <w:tc>
          <w:tcPr>
            <w:tcW w:w="349" w:type="pct"/>
            <w:vAlign w:val="center"/>
          </w:tcPr>
          <w:p w14:paraId="1E3EB3C1" w14:textId="37E106C8" w:rsidR="00402326" w:rsidRPr="009B7301" w:rsidRDefault="00402326" w:rsidP="00402326">
            <w:pPr>
              <w:adjustRightInd w:val="0"/>
              <w:snapToGrid w:val="0"/>
              <w:jc w:val="center"/>
              <w:rPr>
                <w:rFonts w:eastAsiaTheme="minorEastAsia"/>
              </w:rPr>
            </w:pPr>
            <w:r>
              <w:rPr>
                <w:rFonts w:eastAsiaTheme="minorEastAsia" w:hint="eastAsia"/>
              </w:rPr>
              <w:t>12</w:t>
            </w:r>
          </w:p>
        </w:tc>
        <w:tc>
          <w:tcPr>
            <w:tcW w:w="1174" w:type="pct"/>
            <w:vAlign w:val="center"/>
          </w:tcPr>
          <w:p w14:paraId="6682A743" w14:textId="501DF66B" w:rsidR="00402326" w:rsidRPr="009B7301" w:rsidRDefault="00402326" w:rsidP="00402326">
            <w:pPr>
              <w:adjustRightInd w:val="0"/>
              <w:snapToGrid w:val="0"/>
              <w:jc w:val="center"/>
            </w:pPr>
            <w:r>
              <w:rPr>
                <w:rFonts w:ascii="宋体" w:hAnsi="宋体" w:cs="宋体" w:hint="eastAsia"/>
              </w:rPr>
              <w:t>总</w:t>
            </w:r>
            <w:r>
              <w:rPr>
                <w:rFonts w:hint="eastAsia"/>
              </w:rPr>
              <w:t>铍</w:t>
            </w:r>
          </w:p>
        </w:tc>
        <w:tc>
          <w:tcPr>
            <w:tcW w:w="1739" w:type="pct"/>
            <w:vAlign w:val="center"/>
          </w:tcPr>
          <w:p w14:paraId="3D579F5D" w14:textId="675648D5" w:rsidR="00402326" w:rsidRPr="00437A34" w:rsidRDefault="00402326" w:rsidP="00402326">
            <w:pPr>
              <w:adjustRightInd w:val="0"/>
              <w:snapToGrid w:val="0"/>
              <w:jc w:val="center"/>
              <w:rPr>
                <w:rFonts w:eastAsiaTheme="minorEastAsia"/>
              </w:rPr>
            </w:pPr>
            <w:r w:rsidRPr="00437A34">
              <w:rPr>
                <w:rFonts w:eastAsiaTheme="minorEastAsia" w:hint="eastAsia"/>
              </w:rPr>
              <w:t>0.00</w:t>
            </w:r>
            <w:r>
              <w:rPr>
                <w:rFonts w:eastAsiaTheme="minorEastAsia" w:hint="eastAsia"/>
              </w:rPr>
              <w:t>06</w:t>
            </w:r>
          </w:p>
        </w:tc>
        <w:tc>
          <w:tcPr>
            <w:tcW w:w="1738" w:type="pct"/>
            <w:vAlign w:val="center"/>
          </w:tcPr>
          <w:p w14:paraId="65898D72" w14:textId="1014D588" w:rsidR="00402326" w:rsidRPr="005820CB" w:rsidRDefault="00402326" w:rsidP="00402326">
            <w:pPr>
              <w:adjustRightInd w:val="0"/>
              <w:snapToGrid w:val="0"/>
              <w:jc w:val="center"/>
              <w:rPr>
                <w:rFonts w:eastAsiaTheme="minorEastAsia"/>
              </w:rPr>
            </w:pPr>
            <w:r>
              <w:rPr>
                <w:rFonts w:eastAsiaTheme="minorEastAsia" w:hint="eastAsia"/>
              </w:rPr>
              <w:t>0.02</w:t>
            </w:r>
          </w:p>
        </w:tc>
      </w:tr>
    </w:tbl>
    <w:p w14:paraId="4ACC71D4" w14:textId="47AEA568" w:rsidR="00606029" w:rsidRPr="00B64FB5" w:rsidRDefault="00EA5B92">
      <w:pPr>
        <w:adjustRightInd w:val="0"/>
        <w:snapToGrid w:val="0"/>
        <w:jc w:val="center"/>
        <w:rPr>
          <w:b/>
          <w:bCs/>
        </w:rPr>
      </w:pPr>
      <w:r w:rsidRPr="00B64FB5">
        <w:rPr>
          <w:b/>
          <w:bCs/>
        </w:rPr>
        <w:t>表</w:t>
      </w:r>
      <w:r w:rsidRPr="00B64FB5">
        <w:rPr>
          <w:rFonts w:hint="eastAsia"/>
          <w:b/>
          <w:bCs/>
        </w:rPr>
        <w:t>6.</w:t>
      </w:r>
      <w:r w:rsidR="008F4C3E">
        <w:rPr>
          <w:rFonts w:hint="eastAsia"/>
          <w:b/>
          <w:bCs/>
        </w:rPr>
        <w:t>2</w:t>
      </w:r>
      <w:r w:rsidR="00FD0A87">
        <w:rPr>
          <w:rFonts w:hint="eastAsia"/>
          <w:b/>
          <w:bCs/>
        </w:rPr>
        <w:t>-21</w:t>
      </w:r>
      <w:r w:rsidRPr="00B64FB5">
        <w:rPr>
          <w:b/>
          <w:bCs/>
        </w:rPr>
        <w:t xml:space="preserve"> </w:t>
      </w:r>
      <w:r w:rsidRPr="00B64FB5">
        <w:rPr>
          <w:b/>
          <w:bCs/>
        </w:rPr>
        <w:t>淋溶水主要污染物标准指数计算表</w:t>
      </w:r>
      <w:r w:rsidRPr="00B64FB5">
        <w:rPr>
          <w:b/>
          <w:bCs/>
        </w:rPr>
        <w:t xml:space="preserve">   </w:t>
      </w:r>
      <w:r w:rsidRPr="00B64FB5">
        <w:rPr>
          <w:b/>
          <w:bCs/>
        </w:rPr>
        <w:t>单位</w:t>
      </w:r>
      <w:r w:rsidR="006A52CC" w:rsidRPr="00B64FB5">
        <w:rPr>
          <w:b/>
          <w:bCs/>
        </w:rPr>
        <w:t>：</w:t>
      </w:r>
      <w:r w:rsidRPr="00B64FB5">
        <w:rPr>
          <w:b/>
          <w:bCs/>
        </w:rPr>
        <w:t>mg/L</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758"/>
        <w:gridCol w:w="1761"/>
        <w:gridCol w:w="1761"/>
        <w:gridCol w:w="1772"/>
        <w:gridCol w:w="1772"/>
      </w:tblGrid>
      <w:tr w:rsidR="00C3673F" w:rsidRPr="00B64FB5" w14:paraId="2E8D5904" w14:textId="77777777" w:rsidTr="00402326">
        <w:trPr>
          <w:jc w:val="center"/>
        </w:trPr>
        <w:tc>
          <w:tcPr>
            <w:tcW w:w="996" w:type="pct"/>
            <w:tcBorders>
              <w:tl2br w:val="nil"/>
              <w:tr2bl w:val="nil"/>
            </w:tcBorders>
            <w:vAlign w:val="center"/>
          </w:tcPr>
          <w:p w14:paraId="2037BFDD" w14:textId="3D341A81" w:rsidR="00C3673F" w:rsidRPr="00B64FB5" w:rsidRDefault="00C3673F">
            <w:pPr>
              <w:widowControl/>
              <w:tabs>
                <w:tab w:val="center" w:pos="0"/>
              </w:tabs>
              <w:jc w:val="center"/>
              <w:rPr>
                <w:b/>
                <w:bCs/>
              </w:rPr>
            </w:pPr>
            <w:r>
              <w:rPr>
                <w:rFonts w:hint="eastAsia"/>
                <w:b/>
                <w:bCs/>
              </w:rPr>
              <w:t>序号</w:t>
            </w:r>
          </w:p>
        </w:tc>
        <w:tc>
          <w:tcPr>
            <w:tcW w:w="998" w:type="pct"/>
            <w:vAlign w:val="center"/>
          </w:tcPr>
          <w:p w14:paraId="6CA7A8C9" w14:textId="5608F320" w:rsidR="00C3673F" w:rsidRPr="00B64FB5" w:rsidRDefault="00C3673F">
            <w:pPr>
              <w:widowControl/>
              <w:tabs>
                <w:tab w:val="center" w:pos="0"/>
              </w:tabs>
              <w:jc w:val="center"/>
              <w:rPr>
                <w:b/>
                <w:bCs/>
              </w:rPr>
            </w:pPr>
            <w:r>
              <w:rPr>
                <w:rFonts w:hint="eastAsia"/>
                <w:b/>
                <w:bCs/>
              </w:rPr>
              <w:t>污染因子</w:t>
            </w:r>
          </w:p>
        </w:tc>
        <w:tc>
          <w:tcPr>
            <w:tcW w:w="998" w:type="pct"/>
            <w:tcBorders>
              <w:tl2br w:val="nil"/>
              <w:tr2bl w:val="nil"/>
            </w:tcBorders>
            <w:vAlign w:val="center"/>
          </w:tcPr>
          <w:p w14:paraId="15C83FB4" w14:textId="1D193F8C" w:rsidR="00C3673F" w:rsidRPr="00B64FB5" w:rsidRDefault="00C3673F">
            <w:pPr>
              <w:widowControl/>
              <w:tabs>
                <w:tab w:val="center" w:pos="0"/>
              </w:tabs>
              <w:jc w:val="center"/>
              <w:rPr>
                <w:b/>
                <w:bCs/>
              </w:rPr>
            </w:pPr>
            <w:r w:rsidRPr="00B64FB5">
              <w:rPr>
                <w:b/>
                <w:bCs/>
              </w:rPr>
              <w:t>浓度</w:t>
            </w:r>
            <w:r>
              <w:rPr>
                <w:rFonts w:hint="eastAsia"/>
                <w:b/>
                <w:bCs/>
              </w:rPr>
              <w:t>值</w:t>
            </w:r>
            <w:r w:rsidRPr="00B64FB5">
              <w:rPr>
                <w:b/>
                <w:bCs/>
              </w:rPr>
              <w:t>（</w:t>
            </w:r>
            <w:r w:rsidRPr="00B64FB5">
              <w:rPr>
                <w:b/>
                <w:bCs/>
              </w:rPr>
              <w:t>mg/L</w:t>
            </w:r>
            <w:r w:rsidRPr="00B64FB5">
              <w:rPr>
                <w:b/>
                <w:bCs/>
              </w:rPr>
              <w:t>）</w:t>
            </w:r>
          </w:p>
        </w:tc>
        <w:tc>
          <w:tcPr>
            <w:tcW w:w="1004" w:type="pct"/>
            <w:tcBorders>
              <w:tl2br w:val="nil"/>
              <w:tr2bl w:val="nil"/>
            </w:tcBorders>
            <w:vAlign w:val="center"/>
          </w:tcPr>
          <w:p w14:paraId="3E409BA1" w14:textId="77777777" w:rsidR="00C3673F" w:rsidRPr="00B64FB5" w:rsidRDefault="00C3673F">
            <w:pPr>
              <w:widowControl/>
              <w:tabs>
                <w:tab w:val="center" w:pos="0"/>
              </w:tabs>
              <w:jc w:val="center"/>
              <w:rPr>
                <w:b/>
                <w:bCs/>
              </w:rPr>
            </w:pPr>
            <w:r w:rsidRPr="00B64FB5">
              <w:rPr>
                <w:b/>
                <w:bCs/>
              </w:rPr>
              <w:t>标准限值（</w:t>
            </w:r>
            <w:r w:rsidRPr="00B64FB5">
              <w:rPr>
                <w:b/>
                <w:bCs/>
              </w:rPr>
              <w:t>mg/L</w:t>
            </w:r>
            <w:r w:rsidRPr="00B64FB5">
              <w:rPr>
                <w:b/>
                <w:bCs/>
              </w:rPr>
              <w:t>）</w:t>
            </w:r>
          </w:p>
        </w:tc>
        <w:tc>
          <w:tcPr>
            <w:tcW w:w="1004" w:type="pct"/>
            <w:tcBorders>
              <w:bottom w:val="single" w:sz="8" w:space="0" w:color="auto"/>
              <w:tl2br w:val="nil"/>
              <w:tr2bl w:val="nil"/>
            </w:tcBorders>
            <w:vAlign w:val="center"/>
          </w:tcPr>
          <w:p w14:paraId="4F9F5504" w14:textId="77777777" w:rsidR="00C3673F" w:rsidRPr="00B64FB5" w:rsidRDefault="00C3673F">
            <w:pPr>
              <w:widowControl/>
              <w:tabs>
                <w:tab w:val="center" w:pos="0"/>
              </w:tabs>
              <w:jc w:val="center"/>
              <w:rPr>
                <w:b/>
                <w:bCs/>
              </w:rPr>
            </w:pPr>
            <w:r w:rsidRPr="00B64FB5">
              <w:rPr>
                <w:b/>
                <w:bCs/>
              </w:rPr>
              <w:t>标准指数</w:t>
            </w:r>
          </w:p>
        </w:tc>
      </w:tr>
      <w:tr w:rsidR="00402326" w:rsidRPr="00B64FB5" w14:paraId="673E89B1" w14:textId="77777777" w:rsidTr="00402326">
        <w:trPr>
          <w:jc w:val="center"/>
        </w:trPr>
        <w:tc>
          <w:tcPr>
            <w:tcW w:w="996" w:type="pct"/>
            <w:vAlign w:val="center"/>
          </w:tcPr>
          <w:p w14:paraId="7F9CAAC4" w14:textId="0DFF5301" w:rsidR="00402326" w:rsidRPr="00B64FB5" w:rsidRDefault="00402326" w:rsidP="00402326">
            <w:pPr>
              <w:widowControl/>
              <w:tabs>
                <w:tab w:val="center" w:pos="0"/>
              </w:tabs>
              <w:jc w:val="center"/>
              <w:rPr>
                <w:b/>
                <w:bCs/>
                <w:lang w:eastAsia="en-US"/>
              </w:rPr>
            </w:pPr>
            <w:r w:rsidRPr="005820CB">
              <w:rPr>
                <w:rFonts w:eastAsiaTheme="minorEastAsia" w:hint="eastAsia"/>
              </w:rPr>
              <w:t>1</w:t>
            </w:r>
          </w:p>
        </w:tc>
        <w:tc>
          <w:tcPr>
            <w:tcW w:w="998" w:type="pct"/>
            <w:vAlign w:val="center"/>
          </w:tcPr>
          <w:p w14:paraId="4CF39F40" w14:textId="38A06892" w:rsidR="00402326" w:rsidRPr="005820CB" w:rsidRDefault="00402326" w:rsidP="00402326">
            <w:pPr>
              <w:adjustRightInd w:val="0"/>
              <w:snapToGrid w:val="0"/>
              <w:jc w:val="center"/>
              <w:rPr>
                <w:rFonts w:ascii="宋体" w:hAnsi="宋体" w:cs="宋体" w:hint="eastAsia"/>
              </w:rPr>
            </w:pPr>
            <w:r>
              <w:rPr>
                <w:rFonts w:ascii="宋体" w:hAnsi="宋体" w:cs="宋体" w:hint="eastAsia"/>
              </w:rPr>
              <w:t>总</w:t>
            </w:r>
            <w:r w:rsidRPr="005820CB">
              <w:rPr>
                <w:rFonts w:ascii="宋体" w:hAnsi="宋体" w:cs="宋体" w:hint="eastAsia"/>
              </w:rPr>
              <w:t>镍</w:t>
            </w:r>
          </w:p>
        </w:tc>
        <w:tc>
          <w:tcPr>
            <w:tcW w:w="998" w:type="pct"/>
            <w:vAlign w:val="center"/>
          </w:tcPr>
          <w:p w14:paraId="385029E0" w14:textId="16A5A6DF" w:rsidR="00402326" w:rsidRPr="00B64FB5" w:rsidRDefault="00402326" w:rsidP="00402326">
            <w:pPr>
              <w:adjustRightInd w:val="0"/>
              <w:snapToGrid w:val="0"/>
              <w:jc w:val="center"/>
              <w:rPr>
                <w:rFonts w:ascii="宋体" w:hAnsi="宋体" w:cs="宋体" w:hint="eastAsia"/>
              </w:rPr>
            </w:pPr>
            <w:r>
              <w:rPr>
                <w:rFonts w:eastAsiaTheme="minorEastAsia" w:hint="eastAsia"/>
              </w:rPr>
              <w:t>0.022</w:t>
            </w:r>
          </w:p>
        </w:tc>
        <w:tc>
          <w:tcPr>
            <w:tcW w:w="1004" w:type="pct"/>
            <w:tcBorders>
              <w:tl2br w:val="nil"/>
              <w:tr2bl w:val="nil"/>
            </w:tcBorders>
            <w:vAlign w:val="center"/>
          </w:tcPr>
          <w:p w14:paraId="766335D6" w14:textId="3ACD61B7" w:rsidR="00402326" w:rsidRPr="00B64FB5" w:rsidRDefault="00402326" w:rsidP="00402326">
            <w:pPr>
              <w:widowControl/>
              <w:tabs>
                <w:tab w:val="center" w:pos="0"/>
              </w:tabs>
              <w:jc w:val="center"/>
            </w:pPr>
            <w:r>
              <w:rPr>
                <w:rFonts w:hint="eastAsia"/>
              </w:rPr>
              <w:t>0.02</w:t>
            </w:r>
          </w:p>
        </w:tc>
        <w:tc>
          <w:tcPr>
            <w:tcW w:w="1004" w:type="pct"/>
            <w:tcBorders>
              <w:top w:val="single" w:sz="8" w:space="0" w:color="auto"/>
              <w:left w:val="nil"/>
              <w:bottom w:val="single" w:sz="8" w:space="0" w:color="auto"/>
              <w:right w:val="single" w:sz="8" w:space="0" w:color="auto"/>
            </w:tcBorders>
            <w:vAlign w:val="center"/>
          </w:tcPr>
          <w:p w14:paraId="57154D2D" w14:textId="4DDD18E9" w:rsidR="00402326" w:rsidRPr="00B64FB5" w:rsidRDefault="00402326" w:rsidP="00402326">
            <w:pPr>
              <w:widowControl/>
              <w:tabs>
                <w:tab w:val="center" w:pos="0"/>
              </w:tabs>
              <w:jc w:val="center"/>
            </w:pPr>
            <w:r>
              <w:rPr>
                <w:rFonts w:hint="eastAsia"/>
                <w:color w:val="000000"/>
                <w:sz w:val="22"/>
                <w:szCs w:val="22"/>
              </w:rPr>
              <w:t>1.1</w:t>
            </w:r>
          </w:p>
        </w:tc>
      </w:tr>
      <w:tr w:rsidR="00402326" w:rsidRPr="00B64FB5" w14:paraId="7B957BCB" w14:textId="77777777" w:rsidTr="00402326">
        <w:trPr>
          <w:jc w:val="center"/>
        </w:trPr>
        <w:tc>
          <w:tcPr>
            <w:tcW w:w="996" w:type="pct"/>
            <w:vAlign w:val="center"/>
          </w:tcPr>
          <w:p w14:paraId="65353D0A" w14:textId="49C76BA2" w:rsidR="00402326" w:rsidRPr="00B64FB5" w:rsidRDefault="00402326" w:rsidP="00402326">
            <w:pPr>
              <w:widowControl/>
              <w:tabs>
                <w:tab w:val="center" w:pos="0"/>
              </w:tabs>
              <w:jc w:val="center"/>
              <w:rPr>
                <w:b/>
                <w:bCs/>
                <w:lang w:eastAsia="en-US"/>
              </w:rPr>
            </w:pPr>
            <w:r w:rsidRPr="005820CB">
              <w:rPr>
                <w:rFonts w:eastAsiaTheme="minorEastAsia" w:hint="eastAsia"/>
              </w:rPr>
              <w:t>2</w:t>
            </w:r>
          </w:p>
        </w:tc>
        <w:tc>
          <w:tcPr>
            <w:tcW w:w="998" w:type="pct"/>
            <w:vAlign w:val="center"/>
          </w:tcPr>
          <w:p w14:paraId="2F4C2C2B" w14:textId="1A13388D" w:rsidR="00402326" w:rsidRPr="005820CB" w:rsidRDefault="00402326" w:rsidP="00402326">
            <w:pPr>
              <w:adjustRightInd w:val="0"/>
              <w:snapToGrid w:val="0"/>
              <w:jc w:val="center"/>
              <w:rPr>
                <w:rFonts w:ascii="宋体" w:hAnsi="宋体" w:cs="宋体" w:hint="eastAsia"/>
              </w:rPr>
            </w:pPr>
            <w:r>
              <w:rPr>
                <w:rFonts w:ascii="宋体" w:hAnsi="宋体" w:cs="宋体" w:hint="eastAsia"/>
              </w:rPr>
              <w:t>总</w:t>
            </w:r>
            <w:r w:rsidRPr="005820CB">
              <w:rPr>
                <w:rFonts w:ascii="宋体" w:hAnsi="宋体" w:cs="宋体" w:hint="eastAsia"/>
              </w:rPr>
              <w:t>镉</w:t>
            </w:r>
          </w:p>
        </w:tc>
        <w:tc>
          <w:tcPr>
            <w:tcW w:w="998" w:type="pct"/>
            <w:vAlign w:val="center"/>
          </w:tcPr>
          <w:p w14:paraId="46739E7F" w14:textId="49C3A825" w:rsidR="00402326" w:rsidRPr="00B64FB5" w:rsidRDefault="00402326" w:rsidP="00402326">
            <w:pPr>
              <w:adjustRightInd w:val="0"/>
              <w:snapToGrid w:val="0"/>
              <w:jc w:val="center"/>
            </w:pPr>
            <w:r>
              <w:rPr>
                <w:rFonts w:eastAsiaTheme="minorEastAsia" w:hint="eastAsia"/>
              </w:rPr>
              <w:t>0.09</w:t>
            </w:r>
          </w:p>
        </w:tc>
        <w:tc>
          <w:tcPr>
            <w:tcW w:w="1004" w:type="pct"/>
            <w:tcBorders>
              <w:tl2br w:val="nil"/>
              <w:tr2bl w:val="nil"/>
            </w:tcBorders>
            <w:vAlign w:val="center"/>
          </w:tcPr>
          <w:p w14:paraId="5C943D42" w14:textId="693B7621" w:rsidR="00402326" w:rsidRPr="00B64FB5" w:rsidRDefault="00402326" w:rsidP="00402326">
            <w:pPr>
              <w:widowControl/>
              <w:tabs>
                <w:tab w:val="center" w:pos="0"/>
              </w:tabs>
              <w:jc w:val="center"/>
            </w:pPr>
            <w:r>
              <w:rPr>
                <w:rFonts w:hint="eastAsia"/>
              </w:rPr>
              <w:t>0.005</w:t>
            </w:r>
          </w:p>
        </w:tc>
        <w:tc>
          <w:tcPr>
            <w:tcW w:w="1004" w:type="pct"/>
            <w:tcBorders>
              <w:top w:val="single" w:sz="8" w:space="0" w:color="auto"/>
              <w:left w:val="nil"/>
              <w:bottom w:val="single" w:sz="8" w:space="0" w:color="auto"/>
              <w:right w:val="single" w:sz="8" w:space="0" w:color="auto"/>
            </w:tcBorders>
            <w:vAlign w:val="center"/>
          </w:tcPr>
          <w:p w14:paraId="3DFF05FC" w14:textId="361174FE" w:rsidR="00402326" w:rsidRPr="00B64FB5" w:rsidRDefault="00402326" w:rsidP="00402326">
            <w:pPr>
              <w:widowControl/>
              <w:tabs>
                <w:tab w:val="center" w:pos="0"/>
              </w:tabs>
              <w:jc w:val="center"/>
            </w:pPr>
            <w:r>
              <w:rPr>
                <w:rFonts w:hint="eastAsia"/>
                <w:color w:val="000000"/>
                <w:sz w:val="22"/>
                <w:szCs w:val="22"/>
              </w:rPr>
              <w:t>18</w:t>
            </w:r>
          </w:p>
        </w:tc>
      </w:tr>
      <w:tr w:rsidR="00402326" w:rsidRPr="00B64FB5" w14:paraId="50DAF330" w14:textId="77777777" w:rsidTr="00402326">
        <w:trPr>
          <w:jc w:val="center"/>
        </w:trPr>
        <w:tc>
          <w:tcPr>
            <w:tcW w:w="996" w:type="pct"/>
            <w:vAlign w:val="center"/>
          </w:tcPr>
          <w:p w14:paraId="30BB267D" w14:textId="1EE88077" w:rsidR="00402326" w:rsidRPr="00B64FB5" w:rsidRDefault="00402326" w:rsidP="00402326">
            <w:pPr>
              <w:widowControl/>
              <w:tabs>
                <w:tab w:val="center" w:pos="0"/>
              </w:tabs>
              <w:jc w:val="center"/>
              <w:rPr>
                <w:b/>
                <w:bCs/>
              </w:rPr>
            </w:pPr>
          </w:p>
        </w:tc>
        <w:tc>
          <w:tcPr>
            <w:tcW w:w="998" w:type="pct"/>
            <w:vAlign w:val="center"/>
          </w:tcPr>
          <w:p w14:paraId="7E40318F" w14:textId="6E6D2B7F" w:rsidR="00402326" w:rsidRDefault="00402326" w:rsidP="00402326">
            <w:pPr>
              <w:adjustRightInd w:val="0"/>
              <w:snapToGrid w:val="0"/>
              <w:jc w:val="center"/>
              <w:rPr>
                <w:rFonts w:ascii="宋体" w:hAnsi="宋体" w:cs="宋体" w:hint="eastAsia"/>
              </w:rPr>
            </w:pPr>
            <w:r>
              <w:rPr>
                <w:rFonts w:ascii="宋体" w:hAnsi="宋体" w:cs="宋体" w:hint="eastAsia"/>
              </w:rPr>
              <w:t>总铬</w:t>
            </w:r>
          </w:p>
        </w:tc>
        <w:tc>
          <w:tcPr>
            <w:tcW w:w="998" w:type="pct"/>
            <w:vAlign w:val="center"/>
          </w:tcPr>
          <w:p w14:paraId="16C05A1C" w14:textId="7216645C" w:rsidR="00402326" w:rsidRPr="00B64FB5" w:rsidRDefault="00402326" w:rsidP="00402326">
            <w:pPr>
              <w:adjustRightInd w:val="0"/>
              <w:snapToGrid w:val="0"/>
              <w:jc w:val="center"/>
            </w:pPr>
            <w:r>
              <w:rPr>
                <w:rFonts w:eastAsiaTheme="minorEastAsia" w:hint="eastAsia"/>
              </w:rPr>
              <w:t>0.8</w:t>
            </w:r>
          </w:p>
        </w:tc>
        <w:tc>
          <w:tcPr>
            <w:tcW w:w="1004" w:type="pct"/>
            <w:tcBorders>
              <w:tl2br w:val="nil"/>
              <w:tr2bl w:val="nil"/>
            </w:tcBorders>
            <w:vAlign w:val="center"/>
          </w:tcPr>
          <w:p w14:paraId="6C4DAFB2" w14:textId="5B1B87B8" w:rsidR="00402326" w:rsidRPr="00B64FB5" w:rsidRDefault="00815135" w:rsidP="00402326">
            <w:pPr>
              <w:widowControl/>
              <w:tabs>
                <w:tab w:val="center" w:pos="0"/>
              </w:tabs>
              <w:jc w:val="center"/>
            </w:pPr>
            <w:r>
              <w:rPr>
                <w:rFonts w:hint="eastAsia"/>
              </w:rPr>
              <w:t>/</w:t>
            </w:r>
          </w:p>
        </w:tc>
        <w:tc>
          <w:tcPr>
            <w:tcW w:w="1004" w:type="pct"/>
            <w:tcBorders>
              <w:top w:val="single" w:sz="8" w:space="0" w:color="auto"/>
              <w:left w:val="nil"/>
              <w:bottom w:val="single" w:sz="8" w:space="0" w:color="auto"/>
              <w:right w:val="single" w:sz="8" w:space="0" w:color="auto"/>
            </w:tcBorders>
            <w:vAlign w:val="center"/>
          </w:tcPr>
          <w:p w14:paraId="7B5A4376" w14:textId="374FD3CA" w:rsidR="00402326" w:rsidRPr="00B64FB5" w:rsidRDefault="00815135" w:rsidP="00402326">
            <w:pPr>
              <w:widowControl/>
              <w:tabs>
                <w:tab w:val="center" w:pos="0"/>
              </w:tabs>
              <w:jc w:val="center"/>
            </w:pPr>
            <w:r>
              <w:rPr>
                <w:rFonts w:hint="eastAsia"/>
              </w:rPr>
              <w:t>/</w:t>
            </w:r>
          </w:p>
        </w:tc>
      </w:tr>
      <w:tr w:rsidR="00402326" w:rsidRPr="00B64FB5" w14:paraId="095B66FF" w14:textId="77777777" w:rsidTr="00402326">
        <w:trPr>
          <w:jc w:val="center"/>
        </w:trPr>
        <w:tc>
          <w:tcPr>
            <w:tcW w:w="996" w:type="pct"/>
            <w:vAlign w:val="center"/>
          </w:tcPr>
          <w:p w14:paraId="2C10FC65" w14:textId="258FAEAC" w:rsidR="00402326" w:rsidRPr="00B64FB5" w:rsidRDefault="00402326" w:rsidP="00402326">
            <w:pPr>
              <w:widowControl/>
              <w:tabs>
                <w:tab w:val="center" w:pos="0"/>
              </w:tabs>
              <w:jc w:val="center"/>
              <w:rPr>
                <w:b/>
                <w:bCs/>
                <w:lang w:eastAsia="en-US"/>
              </w:rPr>
            </w:pPr>
            <w:r w:rsidRPr="009B7301">
              <w:rPr>
                <w:rFonts w:eastAsiaTheme="minorEastAsia" w:hint="eastAsia"/>
              </w:rPr>
              <w:t>4</w:t>
            </w:r>
          </w:p>
        </w:tc>
        <w:tc>
          <w:tcPr>
            <w:tcW w:w="998" w:type="pct"/>
            <w:vAlign w:val="center"/>
          </w:tcPr>
          <w:p w14:paraId="2403B55E" w14:textId="17B32E52" w:rsidR="00402326" w:rsidRDefault="00402326" w:rsidP="00402326">
            <w:pPr>
              <w:adjustRightInd w:val="0"/>
              <w:snapToGrid w:val="0"/>
              <w:jc w:val="center"/>
            </w:pPr>
            <w:r>
              <w:rPr>
                <w:rFonts w:ascii="宋体" w:hAnsi="宋体" w:cs="宋体" w:hint="eastAsia"/>
              </w:rPr>
              <w:t>总</w:t>
            </w:r>
            <w:r>
              <w:rPr>
                <w:rFonts w:hint="eastAsia"/>
              </w:rPr>
              <w:t>硒</w:t>
            </w:r>
          </w:p>
        </w:tc>
        <w:tc>
          <w:tcPr>
            <w:tcW w:w="998" w:type="pct"/>
            <w:vAlign w:val="center"/>
          </w:tcPr>
          <w:p w14:paraId="22AF7128" w14:textId="7FDF35BF" w:rsidR="00402326" w:rsidRPr="00B64FB5" w:rsidRDefault="00402326" w:rsidP="00402326">
            <w:pPr>
              <w:adjustRightInd w:val="0"/>
              <w:snapToGrid w:val="0"/>
              <w:jc w:val="center"/>
            </w:pPr>
            <w:r>
              <w:rPr>
                <w:rFonts w:eastAsiaTheme="minorEastAsia" w:hint="eastAsia"/>
              </w:rPr>
              <w:t>0.00836</w:t>
            </w:r>
          </w:p>
        </w:tc>
        <w:tc>
          <w:tcPr>
            <w:tcW w:w="1004" w:type="pct"/>
            <w:tcBorders>
              <w:tl2br w:val="nil"/>
              <w:tr2bl w:val="nil"/>
            </w:tcBorders>
            <w:vAlign w:val="center"/>
          </w:tcPr>
          <w:p w14:paraId="3F94C36E" w14:textId="6B9CBB0A" w:rsidR="00402326" w:rsidRPr="00B64FB5" w:rsidRDefault="00402326" w:rsidP="00402326">
            <w:pPr>
              <w:widowControl/>
              <w:tabs>
                <w:tab w:val="center" w:pos="0"/>
              </w:tabs>
              <w:jc w:val="center"/>
            </w:pPr>
            <w:r>
              <w:rPr>
                <w:rFonts w:hint="eastAsia"/>
              </w:rPr>
              <w:t>0.01</w:t>
            </w:r>
          </w:p>
        </w:tc>
        <w:tc>
          <w:tcPr>
            <w:tcW w:w="1004" w:type="pct"/>
            <w:tcBorders>
              <w:top w:val="single" w:sz="8" w:space="0" w:color="auto"/>
              <w:left w:val="nil"/>
              <w:bottom w:val="single" w:sz="8" w:space="0" w:color="auto"/>
              <w:right w:val="single" w:sz="8" w:space="0" w:color="auto"/>
            </w:tcBorders>
            <w:vAlign w:val="center"/>
          </w:tcPr>
          <w:p w14:paraId="491A19C5" w14:textId="6B79792A" w:rsidR="00402326" w:rsidRPr="00B64FB5" w:rsidRDefault="00402326" w:rsidP="00402326">
            <w:pPr>
              <w:widowControl/>
              <w:tabs>
                <w:tab w:val="center" w:pos="0"/>
              </w:tabs>
              <w:jc w:val="center"/>
            </w:pPr>
            <w:r>
              <w:rPr>
                <w:rFonts w:hint="eastAsia"/>
                <w:color w:val="000000"/>
                <w:sz w:val="22"/>
                <w:szCs w:val="22"/>
              </w:rPr>
              <w:t>0.836</w:t>
            </w:r>
          </w:p>
        </w:tc>
      </w:tr>
      <w:tr w:rsidR="00402326" w:rsidRPr="00B64FB5" w14:paraId="17B530FB" w14:textId="77777777" w:rsidTr="00402326">
        <w:trPr>
          <w:jc w:val="center"/>
        </w:trPr>
        <w:tc>
          <w:tcPr>
            <w:tcW w:w="996" w:type="pct"/>
            <w:vAlign w:val="center"/>
          </w:tcPr>
          <w:p w14:paraId="128B029B" w14:textId="6AC14DB5" w:rsidR="00402326" w:rsidRPr="00B64FB5" w:rsidRDefault="00402326" w:rsidP="00402326">
            <w:pPr>
              <w:widowControl/>
              <w:tabs>
                <w:tab w:val="center" w:pos="0"/>
              </w:tabs>
              <w:jc w:val="center"/>
              <w:rPr>
                <w:b/>
                <w:bCs/>
              </w:rPr>
            </w:pPr>
            <w:r w:rsidRPr="009B7301">
              <w:rPr>
                <w:rFonts w:eastAsiaTheme="minorEastAsia" w:hint="eastAsia"/>
              </w:rPr>
              <w:t>5</w:t>
            </w:r>
          </w:p>
        </w:tc>
        <w:tc>
          <w:tcPr>
            <w:tcW w:w="998" w:type="pct"/>
            <w:vAlign w:val="center"/>
          </w:tcPr>
          <w:p w14:paraId="00E03885" w14:textId="5ED40F95" w:rsidR="00402326" w:rsidRDefault="00402326" w:rsidP="00402326">
            <w:pPr>
              <w:adjustRightInd w:val="0"/>
              <w:snapToGrid w:val="0"/>
              <w:jc w:val="center"/>
            </w:pPr>
            <w:r>
              <w:rPr>
                <w:rFonts w:ascii="宋体" w:hAnsi="宋体" w:cs="宋体" w:hint="eastAsia"/>
              </w:rPr>
              <w:t>总</w:t>
            </w:r>
            <w:r>
              <w:rPr>
                <w:rFonts w:hint="eastAsia"/>
              </w:rPr>
              <w:t>砷</w:t>
            </w:r>
          </w:p>
        </w:tc>
        <w:tc>
          <w:tcPr>
            <w:tcW w:w="998" w:type="pct"/>
            <w:vAlign w:val="center"/>
          </w:tcPr>
          <w:p w14:paraId="79EFB019" w14:textId="1FE3A743" w:rsidR="00402326" w:rsidRPr="00B64FB5" w:rsidRDefault="00402326" w:rsidP="00402326">
            <w:pPr>
              <w:adjustRightInd w:val="0"/>
              <w:snapToGrid w:val="0"/>
              <w:jc w:val="center"/>
            </w:pPr>
            <w:r>
              <w:rPr>
                <w:rFonts w:eastAsiaTheme="minorEastAsia" w:hint="eastAsia"/>
              </w:rPr>
              <w:t>0.0112</w:t>
            </w:r>
          </w:p>
        </w:tc>
        <w:tc>
          <w:tcPr>
            <w:tcW w:w="1004" w:type="pct"/>
            <w:tcBorders>
              <w:tl2br w:val="nil"/>
              <w:tr2bl w:val="nil"/>
            </w:tcBorders>
            <w:vAlign w:val="center"/>
          </w:tcPr>
          <w:p w14:paraId="7B43AD55" w14:textId="51AA0C8D" w:rsidR="00402326" w:rsidRPr="00B64FB5" w:rsidRDefault="00402326" w:rsidP="00402326">
            <w:pPr>
              <w:widowControl/>
              <w:tabs>
                <w:tab w:val="center" w:pos="0"/>
              </w:tabs>
              <w:jc w:val="center"/>
            </w:pPr>
            <w:r>
              <w:rPr>
                <w:rFonts w:hint="eastAsia"/>
              </w:rPr>
              <w:t>0.01</w:t>
            </w:r>
          </w:p>
        </w:tc>
        <w:tc>
          <w:tcPr>
            <w:tcW w:w="1004" w:type="pct"/>
            <w:tcBorders>
              <w:top w:val="single" w:sz="8" w:space="0" w:color="auto"/>
              <w:left w:val="nil"/>
              <w:bottom w:val="single" w:sz="8" w:space="0" w:color="auto"/>
              <w:right w:val="single" w:sz="8" w:space="0" w:color="auto"/>
            </w:tcBorders>
            <w:vAlign w:val="center"/>
          </w:tcPr>
          <w:p w14:paraId="6E5D98A0" w14:textId="2E2A35BF" w:rsidR="00402326" w:rsidRPr="00B64FB5" w:rsidRDefault="00402326" w:rsidP="00402326">
            <w:pPr>
              <w:widowControl/>
              <w:tabs>
                <w:tab w:val="center" w:pos="0"/>
              </w:tabs>
              <w:jc w:val="center"/>
            </w:pPr>
            <w:r>
              <w:rPr>
                <w:rFonts w:hint="eastAsia"/>
                <w:color w:val="000000"/>
                <w:sz w:val="22"/>
                <w:szCs w:val="22"/>
              </w:rPr>
              <w:t>1.12</w:t>
            </w:r>
          </w:p>
        </w:tc>
      </w:tr>
      <w:tr w:rsidR="00402326" w:rsidRPr="00124096" w14:paraId="59995FF9" w14:textId="77777777" w:rsidTr="00402326">
        <w:trPr>
          <w:jc w:val="center"/>
        </w:trPr>
        <w:tc>
          <w:tcPr>
            <w:tcW w:w="996" w:type="pct"/>
            <w:vAlign w:val="center"/>
          </w:tcPr>
          <w:p w14:paraId="1D24D498" w14:textId="0DED6872" w:rsidR="00402326" w:rsidRPr="00B64FB5" w:rsidRDefault="00402326" w:rsidP="00402326">
            <w:pPr>
              <w:widowControl/>
              <w:tabs>
                <w:tab w:val="center" w:pos="0"/>
              </w:tabs>
              <w:jc w:val="center"/>
              <w:rPr>
                <w:b/>
                <w:bCs/>
              </w:rPr>
            </w:pPr>
            <w:r w:rsidRPr="009B7301">
              <w:rPr>
                <w:rFonts w:eastAsiaTheme="minorEastAsia" w:hint="eastAsia"/>
              </w:rPr>
              <w:t>6</w:t>
            </w:r>
          </w:p>
        </w:tc>
        <w:tc>
          <w:tcPr>
            <w:tcW w:w="998" w:type="pct"/>
            <w:vAlign w:val="center"/>
          </w:tcPr>
          <w:p w14:paraId="4DC30444" w14:textId="650ED232" w:rsidR="00402326" w:rsidRDefault="00402326" w:rsidP="00402326">
            <w:pPr>
              <w:adjustRightInd w:val="0"/>
              <w:snapToGrid w:val="0"/>
              <w:jc w:val="center"/>
            </w:pPr>
            <w:r>
              <w:rPr>
                <w:rFonts w:ascii="宋体" w:hAnsi="宋体" w:cs="宋体" w:hint="eastAsia"/>
              </w:rPr>
              <w:t>总</w:t>
            </w:r>
            <w:r>
              <w:rPr>
                <w:rFonts w:hint="eastAsia"/>
              </w:rPr>
              <w:t>锌</w:t>
            </w:r>
          </w:p>
        </w:tc>
        <w:tc>
          <w:tcPr>
            <w:tcW w:w="998" w:type="pct"/>
            <w:vAlign w:val="center"/>
          </w:tcPr>
          <w:p w14:paraId="28FC82AB" w14:textId="3CBBA07A" w:rsidR="00402326" w:rsidRPr="00B64FB5" w:rsidRDefault="00402326" w:rsidP="00402326">
            <w:pPr>
              <w:adjustRightInd w:val="0"/>
              <w:snapToGrid w:val="0"/>
              <w:jc w:val="center"/>
            </w:pPr>
            <w:r>
              <w:rPr>
                <w:rFonts w:eastAsiaTheme="minorEastAsia" w:hint="eastAsia"/>
              </w:rPr>
              <w:t>10.5</w:t>
            </w:r>
          </w:p>
        </w:tc>
        <w:tc>
          <w:tcPr>
            <w:tcW w:w="1004" w:type="pct"/>
            <w:tcBorders>
              <w:tl2br w:val="nil"/>
              <w:tr2bl w:val="nil"/>
            </w:tcBorders>
            <w:vAlign w:val="center"/>
          </w:tcPr>
          <w:p w14:paraId="7A2D9D7A" w14:textId="4EE6B418" w:rsidR="00402326" w:rsidRPr="00B64FB5" w:rsidRDefault="00402326" w:rsidP="00402326">
            <w:pPr>
              <w:widowControl/>
              <w:tabs>
                <w:tab w:val="center" w:pos="0"/>
              </w:tabs>
              <w:jc w:val="center"/>
            </w:pPr>
            <w:r>
              <w:rPr>
                <w:rFonts w:hint="eastAsia"/>
              </w:rPr>
              <w:t>1.0</w:t>
            </w:r>
          </w:p>
        </w:tc>
        <w:tc>
          <w:tcPr>
            <w:tcW w:w="1004" w:type="pct"/>
            <w:tcBorders>
              <w:top w:val="single" w:sz="8" w:space="0" w:color="auto"/>
              <w:left w:val="nil"/>
              <w:bottom w:val="single" w:sz="8" w:space="0" w:color="auto"/>
              <w:right w:val="single" w:sz="8" w:space="0" w:color="auto"/>
            </w:tcBorders>
            <w:vAlign w:val="center"/>
          </w:tcPr>
          <w:p w14:paraId="42FF5CD6" w14:textId="245CB309" w:rsidR="00402326" w:rsidRPr="00B64FB5" w:rsidRDefault="00402326" w:rsidP="00402326">
            <w:pPr>
              <w:widowControl/>
              <w:tabs>
                <w:tab w:val="center" w:pos="0"/>
              </w:tabs>
              <w:jc w:val="center"/>
            </w:pPr>
            <w:r>
              <w:rPr>
                <w:rFonts w:hint="eastAsia"/>
                <w:color w:val="000000"/>
                <w:sz w:val="22"/>
                <w:szCs w:val="22"/>
              </w:rPr>
              <w:t>10.5</w:t>
            </w:r>
          </w:p>
        </w:tc>
      </w:tr>
      <w:tr w:rsidR="00402326" w:rsidRPr="00124096" w14:paraId="28094DD9" w14:textId="77777777" w:rsidTr="00402326">
        <w:trPr>
          <w:jc w:val="center"/>
        </w:trPr>
        <w:tc>
          <w:tcPr>
            <w:tcW w:w="996" w:type="pct"/>
            <w:vAlign w:val="center"/>
          </w:tcPr>
          <w:p w14:paraId="2F9C5016" w14:textId="74A4A9BE" w:rsidR="00402326" w:rsidRPr="00B64FB5" w:rsidRDefault="00402326" w:rsidP="00402326">
            <w:pPr>
              <w:widowControl/>
              <w:tabs>
                <w:tab w:val="center" w:pos="0"/>
              </w:tabs>
              <w:jc w:val="center"/>
              <w:rPr>
                <w:b/>
                <w:bCs/>
                <w:lang w:eastAsia="en-US"/>
              </w:rPr>
            </w:pPr>
            <w:r w:rsidRPr="009B7301">
              <w:rPr>
                <w:rFonts w:eastAsiaTheme="minorEastAsia" w:hint="eastAsia"/>
              </w:rPr>
              <w:t>7</w:t>
            </w:r>
          </w:p>
        </w:tc>
        <w:tc>
          <w:tcPr>
            <w:tcW w:w="998" w:type="pct"/>
            <w:vAlign w:val="center"/>
          </w:tcPr>
          <w:p w14:paraId="62B3B4C4" w14:textId="6E674F72" w:rsidR="00402326" w:rsidRDefault="00402326" w:rsidP="00402326">
            <w:pPr>
              <w:adjustRightInd w:val="0"/>
              <w:snapToGrid w:val="0"/>
              <w:jc w:val="center"/>
            </w:pPr>
            <w:r>
              <w:rPr>
                <w:rFonts w:ascii="宋体" w:hAnsi="宋体" w:cs="宋体" w:hint="eastAsia"/>
              </w:rPr>
              <w:t>总</w:t>
            </w:r>
            <w:r>
              <w:rPr>
                <w:rFonts w:hint="eastAsia"/>
              </w:rPr>
              <w:t>铅</w:t>
            </w:r>
          </w:p>
        </w:tc>
        <w:tc>
          <w:tcPr>
            <w:tcW w:w="998" w:type="pct"/>
            <w:vAlign w:val="center"/>
          </w:tcPr>
          <w:p w14:paraId="1AB91D1C" w14:textId="05083174" w:rsidR="00402326" w:rsidRPr="00B64FB5" w:rsidRDefault="00402326" w:rsidP="00402326">
            <w:pPr>
              <w:adjustRightInd w:val="0"/>
              <w:snapToGrid w:val="0"/>
              <w:jc w:val="center"/>
              <w:rPr>
                <w:rFonts w:eastAsiaTheme="minorEastAsia"/>
              </w:rPr>
            </w:pPr>
            <w:r>
              <w:rPr>
                <w:rFonts w:eastAsiaTheme="minorEastAsia" w:hint="eastAsia"/>
              </w:rPr>
              <w:t>0.23</w:t>
            </w:r>
          </w:p>
        </w:tc>
        <w:tc>
          <w:tcPr>
            <w:tcW w:w="1004" w:type="pct"/>
            <w:tcBorders>
              <w:tl2br w:val="nil"/>
              <w:tr2bl w:val="nil"/>
            </w:tcBorders>
            <w:vAlign w:val="center"/>
          </w:tcPr>
          <w:p w14:paraId="4A9E68BA" w14:textId="08604123" w:rsidR="00402326" w:rsidRPr="00B64FB5" w:rsidRDefault="00402326" w:rsidP="00402326">
            <w:pPr>
              <w:widowControl/>
              <w:tabs>
                <w:tab w:val="center" w:pos="0"/>
              </w:tabs>
              <w:jc w:val="center"/>
            </w:pPr>
            <w:r>
              <w:rPr>
                <w:rFonts w:hint="eastAsia"/>
              </w:rPr>
              <w:t>0.01</w:t>
            </w:r>
          </w:p>
        </w:tc>
        <w:tc>
          <w:tcPr>
            <w:tcW w:w="1004" w:type="pct"/>
            <w:tcBorders>
              <w:top w:val="single" w:sz="8" w:space="0" w:color="auto"/>
              <w:left w:val="nil"/>
              <w:bottom w:val="single" w:sz="8" w:space="0" w:color="auto"/>
              <w:right w:val="single" w:sz="8" w:space="0" w:color="auto"/>
            </w:tcBorders>
            <w:vAlign w:val="center"/>
          </w:tcPr>
          <w:p w14:paraId="3A249232" w14:textId="134D2129" w:rsidR="00402326" w:rsidRPr="00B64FB5" w:rsidRDefault="00402326" w:rsidP="00402326">
            <w:pPr>
              <w:widowControl/>
              <w:tabs>
                <w:tab w:val="center" w:pos="0"/>
              </w:tabs>
              <w:jc w:val="center"/>
            </w:pPr>
            <w:r>
              <w:rPr>
                <w:rFonts w:hint="eastAsia"/>
                <w:color w:val="000000"/>
                <w:sz w:val="22"/>
                <w:szCs w:val="22"/>
              </w:rPr>
              <w:t>23</w:t>
            </w:r>
          </w:p>
        </w:tc>
      </w:tr>
      <w:tr w:rsidR="00402326" w:rsidRPr="00124096" w14:paraId="5DB7CE97" w14:textId="77777777" w:rsidTr="00402326">
        <w:trPr>
          <w:jc w:val="center"/>
        </w:trPr>
        <w:tc>
          <w:tcPr>
            <w:tcW w:w="996" w:type="pct"/>
            <w:vAlign w:val="center"/>
          </w:tcPr>
          <w:p w14:paraId="1C40FDF9" w14:textId="5A085868" w:rsidR="00402326" w:rsidRPr="00B64FB5" w:rsidRDefault="00402326" w:rsidP="00402326">
            <w:pPr>
              <w:widowControl/>
              <w:tabs>
                <w:tab w:val="center" w:pos="0"/>
              </w:tabs>
              <w:jc w:val="center"/>
              <w:rPr>
                <w:b/>
                <w:bCs/>
                <w:lang w:eastAsia="en-US"/>
              </w:rPr>
            </w:pPr>
            <w:r w:rsidRPr="009B7301">
              <w:rPr>
                <w:rFonts w:eastAsiaTheme="minorEastAsia" w:hint="eastAsia"/>
              </w:rPr>
              <w:t>8</w:t>
            </w:r>
          </w:p>
        </w:tc>
        <w:tc>
          <w:tcPr>
            <w:tcW w:w="998" w:type="pct"/>
            <w:vAlign w:val="center"/>
          </w:tcPr>
          <w:p w14:paraId="3A0784EC" w14:textId="50B471C0" w:rsidR="00402326" w:rsidRDefault="00402326" w:rsidP="00402326">
            <w:pPr>
              <w:adjustRightInd w:val="0"/>
              <w:snapToGrid w:val="0"/>
              <w:jc w:val="center"/>
            </w:pPr>
            <w:r>
              <w:rPr>
                <w:rFonts w:ascii="宋体" w:hAnsi="宋体" w:cs="宋体" w:hint="eastAsia"/>
              </w:rPr>
              <w:t>总</w:t>
            </w:r>
            <w:r>
              <w:rPr>
                <w:rFonts w:hint="eastAsia"/>
              </w:rPr>
              <w:t>钡</w:t>
            </w:r>
          </w:p>
        </w:tc>
        <w:tc>
          <w:tcPr>
            <w:tcW w:w="998" w:type="pct"/>
            <w:vAlign w:val="center"/>
          </w:tcPr>
          <w:p w14:paraId="045BEAD7" w14:textId="7757B12E" w:rsidR="00402326" w:rsidRPr="00B64FB5" w:rsidRDefault="00402326" w:rsidP="00402326">
            <w:pPr>
              <w:adjustRightInd w:val="0"/>
              <w:snapToGrid w:val="0"/>
              <w:jc w:val="center"/>
              <w:rPr>
                <w:rFonts w:eastAsiaTheme="minorEastAsia"/>
              </w:rPr>
            </w:pPr>
            <w:r>
              <w:rPr>
                <w:rFonts w:eastAsiaTheme="minorEastAsia" w:hint="eastAsia"/>
              </w:rPr>
              <w:t>0.0036</w:t>
            </w:r>
          </w:p>
        </w:tc>
        <w:tc>
          <w:tcPr>
            <w:tcW w:w="1004" w:type="pct"/>
            <w:tcBorders>
              <w:tl2br w:val="nil"/>
              <w:tr2bl w:val="nil"/>
            </w:tcBorders>
            <w:vAlign w:val="center"/>
          </w:tcPr>
          <w:p w14:paraId="554CE21E" w14:textId="274EB14A" w:rsidR="00402326" w:rsidRPr="00B64FB5" w:rsidRDefault="00402326" w:rsidP="00402326">
            <w:pPr>
              <w:widowControl/>
              <w:tabs>
                <w:tab w:val="center" w:pos="0"/>
              </w:tabs>
              <w:jc w:val="center"/>
            </w:pPr>
            <w:r>
              <w:rPr>
                <w:rFonts w:hint="eastAsia"/>
              </w:rPr>
              <w:t>0.7</w:t>
            </w:r>
          </w:p>
        </w:tc>
        <w:tc>
          <w:tcPr>
            <w:tcW w:w="1004" w:type="pct"/>
            <w:tcBorders>
              <w:top w:val="single" w:sz="8" w:space="0" w:color="auto"/>
              <w:left w:val="nil"/>
              <w:bottom w:val="single" w:sz="8" w:space="0" w:color="auto"/>
              <w:right w:val="single" w:sz="8" w:space="0" w:color="auto"/>
            </w:tcBorders>
            <w:vAlign w:val="center"/>
          </w:tcPr>
          <w:p w14:paraId="018B7297" w14:textId="10FDE0EA" w:rsidR="00402326" w:rsidRPr="00B64FB5" w:rsidRDefault="00402326" w:rsidP="00402326">
            <w:pPr>
              <w:widowControl/>
              <w:tabs>
                <w:tab w:val="center" w:pos="0"/>
              </w:tabs>
              <w:jc w:val="center"/>
            </w:pPr>
            <w:r>
              <w:rPr>
                <w:rFonts w:hint="eastAsia"/>
                <w:color w:val="000000"/>
                <w:sz w:val="22"/>
                <w:szCs w:val="22"/>
              </w:rPr>
              <w:t xml:space="preserve">0.0051 </w:t>
            </w:r>
          </w:p>
        </w:tc>
      </w:tr>
      <w:tr w:rsidR="00402326" w:rsidRPr="00124096" w14:paraId="210328E3" w14:textId="77777777" w:rsidTr="00402326">
        <w:trPr>
          <w:jc w:val="center"/>
        </w:trPr>
        <w:tc>
          <w:tcPr>
            <w:tcW w:w="996" w:type="pct"/>
            <w:vAlign w:val="center"/>
          </w:tcPr>
          <w:p w14:paraId="4894A54F" w14:textId="3282E1E1" w:rsidR="00402326" w:rsidRPr="00B64FB5" w:rsidRDefault="00402326" w:rsidP="00402326">
            <w:pPr>
              <w:widowControl/>
              <w:tabs>
                <w:tab w:val="center" w:pos="0"/>
              </w:tabs>
              <w:jc w:val="center"/>
              <w:rPr>
                <w:b/>
                <w:bCs/>
                <w:lang w:eastAsia="en-US"/>
              </w:rPr>
            </w:pPr>
            <w:r w:rsidRPr="009B7301">
              <w:rPr>
                <w:rFonts w:eastAsiaTheme="minorEastAsia" w:hint="eastAsia"/>
              </w:rPr>
              <w:t>9</w:t>
            </w:r>
          </w:p>
        </w:tc>
        <w:tc>
          <w:tcPr>
            <w:tcW w:w="998" w:type="pct"/>
            <w:vAlign w:val="center"/>
          </w:tcPr>
          <w:p w14:paraId="387CA27E" w14:textId="0AD64FF4" w:rsidR="00402326" w:rsidRDefault="00402326" w:rsidP="00402326">
            <w:pPr>
              <w:adjustRightInd w:val="0"/>
              <w:snapToGrid w:val="0"/>
              <w:jc w:val="center"/>
            </w:pPr>
            <w:r>
              <w:rPr>
                <w:rFonts w:ascii="宋体" w:hAnsi="宋体" w:cs="宋体" w:hint="eastAsia"/>
              </w:rPr>
              <w:t>总</w:t>
            </w:r>
            <w:r>
              <w:rPr>
                <w:rFonts w:hint="eastAsia"/>
              </w:rPr>
              <w:t>铜</w:t>
            </w:r>
          </w:p>
        </w:tc>
        <w:tc>
          <w:tcPr>
            <w:tcW w:w="998" w:type="pct"/>
            <w:vAlign w:val="center"/>
          </w:tcPr>
          <w:p w14:paraId="099697BA" w14:textId="6663E8C5" w:rsidR="00402326" w:rsidRPr="00B64FB5" w:rsidRDefault="00402326" w:rsidP="00402326">
            <w:pPr>
              <w:adjustRightInd w:val="0"/>
              <w:snapToGrid w:val="0"/>
              <w:jc w:val="center"/>
              <w:rPr>
                <w:rFonts w:eastAsiaTheme="minorEastAsia"/>
              </w:rPr>
            </w:pPr>
            <w:r>
              <w:rPr>
                <w:rFonts w:eastAsiaTheme="minorEastAsia" w:hint="eastAsia"/>
              </w:rPr>
              <w:t>0.038</w:t>
            </w:r>
          </w:p>
        </w:tc>
        <w:tc>
          <w:tcPr>
            <w:tcW w:w="1004" w:type="pct"/>
            <w:tcBorders>
              <w:tl2br w:val="nil"/>
              <w:tr2bl w:val="nil"/>
            </w:tcBorders>
            <w:vAlign w:val="center"/>
          </w:tcPr>
          <w:p w14:paraId="71476DBE" w14:textId="57BBC81D" w:rsidR="00402326" w:rsidRPr="00B64FB5" w:rsidRDefault="00402326" w:rsidP="00402326">
            <w:pPr>
              <w:widowControl/>
              <w:tabs>
                <w:tab w:val="center" w:pos="0"/>
              </w:tabs>
              <w:jc w:val="center"/>
            </w:pPr>
            <w:r>
              <w:rPr>
                <w:rFonts w:hint="eastAsia"/>
              </w:rPr>
              <w:t>1.0</w:t>
            </w:r>
          </w:p>
        </w:tc>
        <w:tc>
          <w:tcPr>
            <w:tcW w:w="1004" w:type="pct"/>
            <w:tcBorders>
              <w:top w:val="single" w:sz="8" w:space="0" w:color="auto"/>
              <w:left w:val="nil"/>
              <w:bottom w:val="single" w:sz="8" w:space="0" w:color="auto"/>
              <w:right w:val="single" w:sz="8" w:space="0" w:color="auto"/>
            </w:tcBorders>
            <w:vAlign w:val="center"/>
          </w:tcPr>
          <w:p w14:paraId="5C4A148C" w14:textId="76AA1B44" w:rsidR="00402326" w:rsidRPr="00B64FB5" w:rsidRDefault="00402326" w:rsidP="00402326">
            <w:pPr>
              <w:widowControl/>
              <w:tabs>
                <w:tab w:val="center" w:pos="0"/>
              </w:tabs>
              <w:jc w:val="center"/>
            </w:pPr>
            <w:r>
              <w:rPr>
                <w:rFonts w:hint="eastAsia"/>
                <w:color w:val="000000"/>
                <w:sz w:val="22"/>
                <w:szCs w:val="22"/>
              </w:rPr>
              <w:t>0.038</w:t>
            </w:r>
          </w:p>
        </w:tc>
      </w:tr>
      <w:tr w:rsidR="00402326" w:rsidRPr="00124096" w14:paraId="4893790C" w14:textId="77777777" w:rsidTr="00402326">
        <w:trPr>
          <w:jc w:val="center"/>
        </w:trPr>
        <w:tc>
          <w:tcPr>
            <w:tcW w:w="996" w:type="pct"/>
            <w:vAlign w:val="center"/>
          </w:tcPr>
          <w:p w14:paraId="064FD184" w14:textId="088542B5" w:rsidR="00402326" w:rsidRPr="00B64FB5" w:rsidRDefault="00402326" w:rsidP="00402326">
            <w:pPr>
              <w:widowControl/>
              <w:tabs>
                <w:tab w:val="center" w:pos="0"/>
              </w:tabs>
              <w:jc w:val="center"/>
              <w:rPr>
                <w:b/>
                <w:bCs/>
                <w:lang w:eastAsia="en-US"/>
              </w:rPr>
            </w:pPr>
            <w:r w:rsidRPr="009B7301">
              <w:rPr>
                <w:rFonts w:eastAsiaTheme="minorEastAsia" w:hint="eastAsia"/>
              </w:rPr>
              <w:t>10</w:t>
            </w:r>
          </w:p>
        </w:tc>
        <w:tc>
          <w:tcPr>
            <w:tcW w:w="998" w:type="pct"/>
            <w:vAlign w:val="center"/>
          </w:tcPr>
          <w:p w14:paraId="682A2AF6" w14:textId="78A02051" w:rsidR="00402326" w:rsidRDefault="00402326" w:rsidP="00402326">
            <w:pPr>
              <w:adjustRightInd w:val="0"/>
              <w:snapToGrid w:val="0"/>
              <w:jc w:val="center"/>
            </w:pPr>
            <w:r>
              <w:rPr>
                <w:rFonts w:hint="eastAsia"/>
              </w:rPr>
              <w:t>六价铬</w:t>
            </w:r>
          </w:p>
        </w:tc>
        <w:tc>
          <w:tcPr>
            <w:tcW w:w="998" w:type="pct"/>
            <w:vAlign w:val="center"/>
          </w:tcPr>
          <w:p w14:paraId="3F257B63" w14:textId="7BC50F0D" w:rsidR="00402326" w:rsidRPr="00B64FB5" w:rsidRDefault="00402326" w:rsidP="00402326">
            <w:pPr>
              <w:adjustRightInd w:val="0"/>
              <w:snapToGrid w:val="0"/>
              <w:jc w:val="center"/>
              <w:rPr>
                <w:rFonts w:eastAsiaTheme="minorEastAsia"/>
              </w:rPr>
            </w:pPr>
            <w:r>
              <w:rPr>
                <w:rFonts w:eastAsiaTheme="minorEastAsia" w:hint="eastAsia"/>
              </w:rPr>
              <w:t>0.004L</w:t>
            </w:r>
          </w:p>
        </w:tc>
        <w:tc>
          <w:tcPr>
            <w:tcW w:w="1004" w:type="pct"/>
            <w:tcBorders>
              <w:tl2br w:val="nil"/>
              <w:tr2bl w:val="nil"/>
            </w:tcBorders>
            <w:vAlign w:val="center"/>
          </w:tcPr>
          <w:p w14:paraId="1BFB54EA" w14:textId="359EB9DF" w:rsidR="00402326" w:rsidRPr="00B64FB5" w:rsidRDefault="00402326" w:rsidP="00402326">
            <w:pPr>
              <w:widowControl/>
              <w:tabs>
                <w:tab w:val="center" w:pos="0"/>
              </w:tabs>
              <w:jc w:val="center"/>
            </w:pPr>
            <w:r>
              <w:rPr>
                <w:rFonts w:hint="eastAsia"/>
              </w:rPr>
              <w:t>0.05</w:t>
            </w:r>
          </w:p>
        </w:tc>
        <w:tc>
          <w:tcPr>
            <w:tcW w:w="1004" w:type="pct"/>
            <w:tcBorders>
              <w:top w:val="single" w:sz="8" w:space="0" w:color="auto"/>
              <w:left w:val="nil"/>
              <w:bottom w:val="single" w:sz="8" w:space="0" w:color="auto"/>
              <w:right w:val="single" w:sz="8" w:space="0" w:color="auto"/>
            </w:tcBorders>
            <w:vAlign w:val="center"/>
          </w:tcPr>
          <w:p w14:paraId="13F56795" w14:textId="341E2BD3" w:rsidR="00402326" w:rsidRPr="00B64FB5" w:rsidRDefault="00815135" w:rsidP="00402326">
            <w:pPr>
              <w:widowControl/>
              <w:tabs>
                <w:tab w:val="center" w:pos="0"/>
              </w:tabs>
              <w:jc w:val="center"/>
            </w:pPr>
            <w:r>
              <w:rPr>
                <w:rFonts w:hint="eastAsia"/>
              </w:rPr>
              <w:t>/</w:t>
            </w:r>
          </w:p>
        </w:tc>
      </w:tr>
      <w:tr w:rsidR="00402326" w:rsidRPr="00124096" w14:paraId="19EEC2FD" w14:textId="77777777" w:rsidTr="00402326">
        <w:trPr>
          <w:jc w:val="center"/>
        </w:trPr>
        <w:tc>
          <w:tcPr>
            <w:tcW w:w="996" w:type="pct"/>
            <w:vAlign w:val="center"/>
          </w:tcPr>
          <w:p w14:paraId="68BB5C74" w14:textId="2FD8BD86" w:rsidR="00402326" w:rsidRPr="00B64FB5" w:rsidRDefault="00402326" w:rsidP="00402326">
            <w:pPr>
              <w:widowControl/>
              <w:tabs>
                <w:tab w:val="center" w:pos="0"/>
              </w:tabs>
              <w:jc w:val="center"/>
              <w:rPr>
                <w:b/>
                <w:bCs/>
                <w:lang w:eastAsia="en-US"/>
              </w:rPr>
            </w:pPr>
            <w:r w:rsidRPr="009B7301">
              <w:rPr>
                <w:rFonts w:eastAsiaTheme="minorEastAsia" w:hint="eastAsia"/>
              </w:rPr>
              <w:t>11</w:t>
            </w:r>
          </w:p>
        </w:tc>
        <w:tc>
          <w:tcPr>
            <w:tcW w:w="998" w:type="pct"/>
            <w:vAlign w:val="center"/>
          </w:tcPr>
          <w:p w14:paraId="21AF86C9" w14:textId="79C3C0D3" w:rsidR="00402326" w:rsidRDefault="00402326" w:rsidP="00402326">
            <w:pPr>
              <w:adjustRightInd w:val="0"/>
              <w:snapToGrid w:val="0"/>
              <w:jc w:val="center"/>
            </w:pPr>
            <w:r>
              <w:rPr>
                <w:rFonts w:ascii="宋体" w:hAnsi="宋体" w:cs="宋体" w:hint="eastAsia"/>
              </w:rPr>
              <w:t>总</w:t>
            </w:r>
            <w:r>
              <w:rPr>
                <w:rFonts w:hint="eastAsia"/>
              </w:rPr>
              <w:t>汞</w:t>
            </w:r>
          </w:p>
        </w:tc>
        <w:tc>
          <w:tcPr>
            <w:tcW w:w="998" w:type="pct"/>
            <w:vAlign w:val="center"/>
          </w:tcPr>
          <w:p w14:paraId="76D6B6AA" w14:textId="37CE4728" w:rsidR="00402326" w:rsidRPr="00B64FB5" w:rsidRDefault="00402326" w:rsidP="00402326">
            <w:pPr>
              <w:adjustRightInd w:val="0"/>
              <w:snapToGrid w:val="0"/>
              <w:jc w:val="center"/>
              <w:rPr>
                <w:rFonts w:eastAsiaTheme="minorEastAsia"/>
              </w:rPr>
            </w:pPr>
            <w:r w:rsidRPr="00437A34">
              <w:rPr>
                <w:rFonts w:eastAsiaTheme="minorEastAsia" w:hint="eastAsia"/>
              </w:rPr>
              <w:t>0.00</w:t>
            </w:r>
            <w:r>
              <w:rPr>
                <w:rFonts w:eastAsiaTheme="minorEastAsia" w:hint="eastAsia"/>
              </w:rPr>
              <w:t>645</w:t>
            </w:r>
          </w:p>
        </w:tc>
        <w:tc>
          <w:tcPr>
            <w:tcW w:w="1004" w:type="pct"/>
            <w:tcBorders>
              <w:tl2br w:val="nil"/>
              <w:tr2bl w:val="nil"/>
            </w:tcBorders>
            <w:vAlign w:val="center"/>
          </w:tcPr>
          <w:p w14:paraId="262A8082" w14:textId="1B46BE7B" w:rsidR="00402326" w:rsidRPr="00B64FB5" w:rsidRDefault="00402326" w:rsidP="00402326">
            <w:pPr>
              <w:widowControl/>
              <w:tabs>
                <w:tab w:val="center" w:pos="0"/>
              </w:tabs>
              <w:jc w:val="center"/>
            </w:pPr>
            <w:r>
              <w:rPr>
                <w:rFonts w:hint="eastAsia"/>
              </w:rPr>
              <w:t>0.001</w:t>
            </w:r>
          </w:p>
        </w:tc>
        <w:tc>
          <w:tcPr>
            <w:tcW w:w="1004" w:type="pct"/>
            <w:tcBorders>
              <w:top w:val="single" w:sz="8" w:space="0" w:color="auto"/>
              <w:left w:val="nil"/>
              <w:bottom w:val="single" w:sz="8" w:space="0" w:color="auto"/>
              <w:right w:val="single" w:sz="8" w:space="0" w:color="auto"/>
            </w:tcBorders>
            <w:vAlign w:val="center"/>
          </w:tcPr>
          <w:p w14:paraId="4790D2AB" w14:textId="76E4EA9F" w:rsidR="00402326" w:rsidRPr="00B64FB5" w:rsidRDefault="00402326" w:rsidP="00402326">
            <w:pPr>
              <w:widowControl/>
              <w:tabs>
                <w:tab w:val="center" w:pos="0"/>
              </w:tabs>
              <w:jc w:val="center"/>
            </w:pPr>
            <w:r>
              <w:rPr>
                <w:rFonts w:hint="eastAsia"/>
                <w:color w:val="000000"/>
                <w:sz w:val="22"/>
                <w:szCs w:val="22"/>
              </w:rPr>
              <w:t>6.45</w:t>
            </w:r>
          </w:p>
        </w:tc>
      </w:tr>
      <w:tr w:rsidR="00402326" w:rsidRPr="00124096" w14:paraId="73F6B19C" w14:textId="77777777" w:rsidTr="00402326">
        <w:trPr>
          <w:jc w:val="center"/>
        </w:trPr>
        <w:tc>
          <w:tcPr>
            <w:tcW w:w="996" w:type="pct"/>
            <w:vAlign w:val="center"/>
          </w:tcPr>
          <w:p w14:paraId="3152A1F7" w14:textId="6FC7AA81" w:rsidR="00402326" w:rsidRPr="00B64FB5" w:rsidRDefault="00402326" w:rsidP="00402326">
            <w:pPr>
              <w:widowControl/>
              <w:tabs>
                <w:tab w:val="center" w:pos="0"/>
              </w:tabs>
              <w:jc w:val="center"/>
              <w:rPr>
                <w:b/>
                <w:bCs/>
                <w:lang w:eastAsia="en-US"/>
              </w:rPr>
            </w:pPr>
            <w:r>
              <w:rPr>
                <w:rFonts w:eastAsiaTheme="minorEastAsia" w:hint="eastAsia"/>
              </w:rPr>
              <w:t>12</w:t>
            </w:r>
          </w:p>
        </w:tc>
        <w:tc>
          <w:tcPr>
            <w:tcW w:w="998" w:type="pct"/>
            <w:vAlign w:val="center"/>
          </w:tcPr>
          <w:p w14:paraId="588F8EAF" w14:textId="774080C9" w:rsidR="00402326" w:rsidRDefault="00402326" w:rsidP="00402326">
            <w:pPr>
              <w:adjustRightInd w:val="0"/>
              <w:snapToGrid w:val="0"/>
              <w:jc w:val="center"/>
            </w:pPr>
            <w:r>
              <w:rPr>
                <w:rFonts w:ascii="宋体" w:hAnsi="宋体" w:cs="宋体" w:hint="eastAsia"/>
              </w:rPr>
              <w:t>总</w:t>
            </w:r>
            <w:r>
              <w:rPr>
                <w:rFonts w:hint="eastAsia"/>
              </w:rPr>
              <w:t>铍</w:t>
            </w:r>
          </w:p>
        </w:tc>
        <w:tc>
          <w:tcPr>
            <w:tcW w:w="998" w:type="pct"/>
            <w:vAlign w:val="center"/>
          </w:tcPr>
          <w:p w14:paraId="4A1C4943" w14:textId="45B37EC0" w:rsidR="00402326" w:rsidRPr="00B64FB5" w:rsidRDefault="00402326" w:rsidP="00402326">
            <w:pPr>
              <w:adjustRightInd w:val="0"/>
              <w:snapToGrid w:val="0"/>
              <w:jc w:val="center"/>
              <w:rPr>
                <w:rFonts w:eastAsiaTheme="minorEastAsia"/>
              </w:rPr>
            </w:pPr>
            <w:r w:rsidRPr="00437A34">
              <w:rPr>
                <w:rFonts w:eastAsiaTheme="minorEastAsia" w:hint="eastAsia"/>
              </w:rPr>
              <w:t>0.00</w:t>
            </w:r>
            <w:r>
              <w:rPr>
                <w:rFonts w:eastAsiaTheme="minorEastAsia" w:hint="eastAsia"/>
              </w:rPr>
              <w:t>06</w:t>
            </w:r>
          </w:p>
        </w:tc>
        <w:tc>
          <w:tcPr>
            <w:tcW w:w="1004" w:type="pct"/>
            <w:tcBorders>
              <w:tl2br w:val="nil"/>
              <w:tr2bl w:val="nil"/>
            </w:tcBorders>
            <w:vAlign w:val="center"/>
          </w:tcPr>
          <w:p w14:paraId="3A336296" w14:textId="6634EE17" w:rsidR="00402326" w:rsidRPr="00B64FB5" w:rsidRDefault="00402326" w:rsidP="00402326">
            <w:pPr>
              <w:widowControl/>
              <w:tabs>
                <w:tab w:val="center" w:pos="0"/>
              </w:tabs>
              <w:jc w:val="center"/>
            </w:pPr>
            <w:r>
              <w:rPr>
                <w:rFonts w:hint="eastAsia"/>
              </w:rPr>
              <w:t>0.002</w:t>
            </w:r>
          </w:p>
        </w:tc>
        <w:tc>
          <w:tcPr>
            <w:tcW w:w="1004" w:type="pct"/>
            <w:tcBorders>
              <w:top w:val="single" w:sz="8" w:space="0" w:color="auto"/>
              <w:left w:val="nil"/>
              <w:bottom w:val="single" w:sz="8" w:space="0" w:color="auto"/>
              <w:right w:val="single" w:sz="8" w:space="0" w:color="auto"/>
            </w:tcBorders>
            <w:vAlign w:val="center"/>
          </w:tcPr>
          <w:p w14:paraId="6059E6C3" w14:textId="4709DDC2" w:rsidR="00402326" w:rsidRPr="00B64FB5" w:rsidRDefault="00402326" w:rsidP="00402326">
            <w:pPr>
              <w:widowControl/>
              <w:tabs>
                <w:tab w:val="center" w:pos="0"/>
              </w:tabs>
              <w:jc w:val="center"/>
            </w:pPr>
            <w:r>
              <w:rPr>
                <w:rFonts w:hint="eastAsia"/>
                <w:color w:val="000000"/>
                <w:sz w:val="22"/>
                <w:szCs w:val="22"/>
              </w:rPr>
              <w:t>0.3</w:t>
            </w:r>
          </w:p>
        </w:tc>
      </w:tr>
    </w:tbl>
    <w:p w14:paraId="6C03B250" w14:textId="1283D042" w:rsidR="00606029" w:rsidRPr="00B04DC3" w:rsidRDefault="00EA5B92">
      <w:pPr>
        <w:adjustRightInd w:val="0"/>
        <w:snapToGrid w:val="0"/>
        <w:jc w:val="center"/>
        <w:rPr>
          <w:b/>
          <w:bCs/>
        </w:rPr>
      </w:pPr>
      <w:r w:rsidRPr="00B04DC3">
        <w:rPr>
          <w:b/>
          <w:bCs/>
        </w:rPr>
        <w:t>表</w:t>
      </w:r>
      <w:r w:rsidRPr="00B04DC3">
        <w:rPr>
          <w:rFonts w:hint="eastAsia"/>
          <w:b/>
          <w:bCs/>
        </w:rPr>
        <w:t>6.2</w:t>
      </w:r>
      <w:r w:rsidR="00FD0A87">
        <w:rPr>
          <w:rFonts w:hint="eastAsia"/>
          <w:b/>
          <w:bCs/>
        </w:rPr>
        <w:t>-22</w:t>
      </w:r>
      <w:r w:rsidRPr="00B04DC3">
        <w:rPr>
          <w:b/>
          <w:bCs/>
        </w:rPr>
        <w:t xml:space="preserve">  </w:t>
      </w:r>
      <w:r w:rsidRPr="00B04DC3">
        <w:rPr>
          <w:b/>
          <w:bCs/>
        </w:rPr>
        <w:t>预测因子选取一览表</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2277"/>
        <w:gridCol w:w="2267"/>
        <w:gridCol w:w="2118"/>
        <w:gridCol w:w="2162"/>
      </w:tblGrid>
      <w:tr w:rsidR="00606029" w:rsidRPr="00B04DC3" w14:paraId="1BBF074D" w14:textId="77777777" w:rsidTr="00D35EBB">
        <w:trPr>
          <w:trHeight w:val="34"/>
        </w:trPr>
        <w:tc>
          <w:tcPr>
            <w:tcW w:w="2277" w:type="dxa"/>
            <w:tcBorders>
              <w:top w:val="single" w:sz="8" w:space="0" w:color="auto"/>
              <w:left w:val="single" w:sz="8" w:space="0" w:color="auto"/>
              <w:bottom w:val="single" w:sz="8" w:space="0" w:color="auto"/>
              <w:right w:val="single" w:sz="8" w:space="0" w:color="auto"/>
            </w:tcBorders>
            <w:vAlign w:val="center"/>
          </w:tcPr>
          <w:p w14:paraId="64DCA59D" w14:textId="77777777" w:rsidR="00606029" w:rsidRPr="00B04DC3" w:rsidRDefault="00EA5B92">
            <w:pPr>
              <w:widowControl/>
              <w:jc w:val="center"/>
              <w:rPr>
                <w:b/>
                <w:bCs/>
              </w:rPr>
            </w:pPr>
            <w:r w:rsidRPr="00B04DC3">
              <w:rPr>
                <w:b/>
                <w:bCs/>
              </w:rPr>
              <w:t>污染物</w:t>
            </w:r>
          </w:p>
        </w:tc>
        <w:tc>
          <w:tcPr>
            <w:tcW w:w="2267" w:type="dxa"/>
            <w:tcBorders>
              <w:top w:val="single" w:sz="8" w:space="0" w:color="auto"/>
              <w:left w:val="single" w:sz="8" w:space="0" w:color="auto"/>
              <w:bottom w:val="single" w:sz="8" w:space="0" w:color="auto"/>
              <w:right w:val="single" w:sz="8" w:space="0" w:color="auto"/>
            </w:tcBorders>
            <w:vAlign w:val="center"/>
          </w:tcPr>
          <w:p w14:paraId="7FCA704B" w14:textId="77777777" w:rsidR="00606029" w:rsidRPr="00B04DC3" w:rsidRDefault="00EA5B92">
            <w:pPr>
              <w:widowControl/>
              <w:jc w:val="center"/>
              <w:rPr>
                <w:b/>
                <w:bCs/>
              </w:rPr>
            </w:pPr>
            <w:r w:rsidRPr="00B04DC3">
              <w:rPr>
                <w:b/>
                <w:bCs/>
              </w:rPr>
              <w:t>浓度（</w:t>
            </w:r>
            <w:r w:rsidRPr="00B04DC3">
              <w:rPr>
                <w:b/>
                <w:bCs/>
              </w:rPr>
              <w:t>mg/L</w:t>
            </w:r>
            <w:r w:rsidRPr="00B04DC3">
              <w:rPr>
                <w:b/>
                <w:bCs/>
              </w:rPr>
              <w:t>）</w:t>
            </w:r>
          </w:p>
        </w:tc>
        <w:tc>
          <w:tcPr>
            <w:tcW w:w="2118" w:type="dxa"/>
            <w:tcBorders>
              <w:top w:val="single" w:sz="8" w:space="0" w:color="auto"/>
              <w:left w:val="single" w:sz="8" w:space="0" w:color="auto"/>
              <w:bottom w:val="single" w:sz="8" w:space="0" w:color="auto"/>
              <w:right w:val="single" w:sz="8" w:space="0" w:color="auto"/>
            </w:tcBorders>
            <w:vAlign w:val="center"/>
          </w:tcPr>
          <w:p w14:paraId="1442DB8B" w14:textId="77777777" w:rsidR="00606029" w:rsidRPr="00B04DC3" w:rsidRDefault="00EA5B92">
            <w:pPr>
              <w:widowControl/>
              <w:jc w:val="center"/>
              <w:rPr>
                <w:b/>
                <w:bCs/>
              </w:rPr>
            </w:pPr>
            <w:r w:rsidRPr="00B04DC3">
              <w:rPr>
                <w:b/>
                <w:bCs/>
              </w:rPr>
              <w:t>Ⅲ</w:t>
            </w:r>
            <w:r w:rsidRPr="00B04DC3">
              <w:rPr>
                <w:b/>
                <w:bCs/>
              </w:rPr>
              <w:t>类标准（</w:t>
            </w:r>
            <w:r w:rsidRPr="00B04DC3">
              <w:rPr>
                <w:b/>
                <w:bCs/>
              </w:rPr>
              <w:t>mg/L</w:t>
            </w:r>
            <w:r w:rsidRPr="00B04DC3">
              <w:rPr>
                <w:b/>
                <w:bCs/>
              </w:rPr>
              <w:t>）</w:t>
            </w:r>
          </w:p>
        </w:tc>
        <w:tc>
          <w:tcPr>
            <w:tcW w:w="2162" w:type="dxa"/>
            <w:tcBorders>
              <w:top w:val="single" w:sz="8" w:space="0" w:color="auto"/>
              <w:left w:val="single" w:sz="8" w:space="0" w:color="auto"/>
              <w:bottom w:val="single" w:sz="8" w:space="0" w:color="auto"/>
              <w:right w:val="single" w:sz="8" w:space="0" w:color="auto"/>
            </w:tcBorders>
            <w:vAlign w:val="center"/>
          </w:tcPr>
          <w:p w14:paraId="63ED255B" w14:textId="77777777" w:rsidR="00606029" w:rsidRPr="00B04DC3" w:rsidRDefault="00EA5B92">
            <w:pPr>
              <w:widowControl/>
              <w:jc w:val="center"/>
              <w:rPr>
                <w:b/>
                <w:bCs/>
              </w:rPr>
            </w:pPr>
            <w:r w:rsidRPr="00B04DC3">
              <w:rPr>
                <w:b/>
                <w:bCs/>
              </w:rPr>
              <w:t>标准指数</w:t>
            </w:r>
          </w:p>
        </w:tc>
      </w:tr>
      <w:tr w:rsidR="00B04DC3" w:rsidRPr="00B04DC3" w14:paraId="3B91B438" w14:textId="77777777" w:rsidTr="00D35EBB">
        <w:trPr>
          <w:trHeight w:val="49"/>
        </w:trPr>
        <w:tc>
          <w:tcPr>
            <w:tcW w:w="2277" w:type="dxa"/>
            <w:tcBorders>
              <w:top w:val="single" w:sz="8" w:space="0" w:color="auto"/>
              <w:left w:val="single" w:sz="8" w:space="0" w:color="auto"/>
              <w:bottom w:val="single" w:sz="8" w:space="0" w:color="auto"/>
              <w:right w:val="single" w:sz="8" w:space="0" w:color="auto"/>
            </w:tcBorders>
            <w:vAlign w:val="center"/>
          </w:tcPr>
          <w:p w14:paraId="0A87D663" w14:textId="6DD98951" w:rsidR="00B04DC3" w:rsidRPr="00B04DC3" w:rsidRDefault="006A4B0C" w:rsidP="00B04DC3">
            <w:pPr>
              <w:widowControl/>
              <w:jc w:val="center"/>
              <w:rPr>
                <w:b/>
                <w:bCs/>
              </w:rPr>
            </w:pPr>
            <w:r>
              <w:rPr>
                <w:rFonts w:hint="eastAsia"/>
                <w:b/>
                <w:bCs/>
              </w:rPr>
              <w:t>铅</w:t>
            </w:r>
          </w:p>
        </w:tc>
        <w:tc>
          <w:tcPr>
            <w:tcW w:w="2267" w:type="dxa"/>
            <w:tcBorders>
              <w:top w:val="single" w:sz="8" w:space="0" w:color="auto"/>
              <w:left w:val="single" w:sz="8" w:space="0" w:color="auto"/>
              <w:bottom w:val="single" w:sz="8" w:space="0" w:color="auto"/>
              <w:right w:val="single" w:sz="8" w:space="0" w:color="auto"/>
            </w:tcBorders>
            <w:vAlign w:val="center"/>
          </w:tcPr>
          <w:p w14:paraId="18385D66" w14:textId="4B06C188" w:rsidR="00B04DC3" w:rsidRPr="00B04DC3" w:rsidRDefault="006A4B0C" w:rsidP="00B04DC3">
            <w:pPr>
              <w:adjustRightInd w:val="0"/>
              <w:snapToGrid w:val="0"/>
              <w:jc w:val="center"/>
              <w:rPr>
                <w:rFonts w:eastAsia="Times New Roman"/>
              </w:rPr>
            </w:pPr>
            <w:r>
              <w:rPr>
                <w:rFonts w:eastAsiaTheme="minorEastAsia" w:hint="eastAsia"/>
              </w:rPr>
              <w:t>0.23</w:t>
            </w:r>
          </w:p>
        </w:tc>
        <w:tc>
          <w:tcPr>
            <w:tcW w:w="2118" w:type="dxa"/>
            <w:tcBorders>
              <w:top w:val="single" w:sz="8" w:space="0" w:color="auto"/>
              <w:left w:val="single" w:sz="8" w:space="0" w:color="auto"/>
              <w:bottom w:val="single" w:sz="8" w:space="0" w:color="auto"/>
              <w:right w:val="single" w:sz="8" w:space="0" w:color="auto"/>
            </w:tcBorders>
            <w:vAlign w:val="center"/>
          </w:tcPr>
          <w:p w14:paraId="4563C5D5" w14:textId="1A83CED0" w:rsidR="00B04DC3" w:rsidRPr="00B04DC3" w:rsidRDefault="006A4B0C" w:rsidP="00B04DC3">
            <w:pPr>
              <w:widowControl/>
              <w:tabs>
                <w:tab w:val="center" w:pos="0"/>
              </w:tabs>
              <w:jc w:val="center"/>
            </w:pPr>
            <w:r>
              <w:rPr>
                <w:rFonts w:hint="eastAsia"/>
              </w:rPr>
              <w:t>0.01</w:t>
            </w:r>
          </w:p>
        </w:tc>
        <w:tc>
          <w:tcPr>
            <w:tcW w:w="2162" w:type="dxa"/>
            <w:tcBorders>
              <w:top w:val="single" w:sz="8" w:space="0" w:color="auto"/>
              <w:left w:val="single" w:sz="8" w:space="0" w:color="auto"/>
              <w:bottom w:val="single" w:sz="8" w:space="0" w:color="auto"/>
              <w:right w:val="single" w:sz="8" w:space="0" w:color="auto"/>
            </w:tcBorders>
            <w:vAlign w:val="center"/>
          </w:tcPr>
          <w:p w14:paraId="1FA94390" w14:textId="0E8976A6" w:rsidR="00B04DC3" w:rsidRPr="00B04DC3" w:rsidRDefault="006A4B0C" w:rsidP="00B04DC3">
            <w:pPr>
              <w:widowControl/>
              <w:tabs>
                <w:tab w:val="center" w:pos="0"/>
              </w:tabs>
              <w:jc w:val="center"/>
            </w:pPr>
            <w:r>
              <w:rPr>
                <w:rFonts w:hint="eastAsia"/>
              </w:rPr>
              <w:t>23</w:t>
            </w:r>
          </w:p>
        </w:tc>
      </w:tr>
    </w:tbl>
    <w:p w14:paraId="601E7C25" w14:textId="2EAF3985" w:rsidR="00D35EBB" w:rsidRDefault="00D35EBB">
      <w:pPr>
        <w:spacing w:line="360" w:lineRule="auto"/>
        <w:ind w:firstLineChars="200" w:firstLine="480"/>
        <w:rPr>
          <w:sz w:val="24"/>
          <w:szCs w:val="22"/>
        </w:rPr>
      </w:pPr>
      <w:r w:rsidRPr="00D35EBB">
        <w:rPr>
          <w:sz w:val="24"/>
          <w:szCs w:val="22"/>
        </w:rPr>
        <w:t>根据</w:t>
      </w:r>
      <w:r w:rsidR="00A01C00" w:rsidRPr="00A01C00">
        <w:rPr>
          <w:sz w:val="24"/>
          <w:szCs w:val="22"/>
        </w:rPr>
        <w:t>《环境影响评价技术导则地下水环境》（</w:t>
      </w:r>
      <w:r w:rsidR="00A01C00" w:rsidRPr="00A01C00">
        <w:rPr>
          <w:sz w:val="24"/>
          <w:szCs w:val="22"/>
        </w:rPr>
        <w:t>HJ610-2016</w:t>
      </w:r>
      <w:r w:rsidR="00A01C00" w:rsidRPr="00A01C00">
        <w:rPr>
          <w:sz w:val="24"/>
          <w:szCs w:val="22"/>
        </w:rPr>
        <w:t>）</w:t>
      </w:r>
      <w:r w:rsidRPr="00D35EBB">
        <w:rPr>
          <w:sz w:val="24"/>
          <w:szCs w:val="22"/>
        </w:rPr>
        <w:t>，结合垃圾填埋场地下水水质监测报告，将项目工程识别出的特征因子、改建后新增加的特征因子、已查明的污染物，采用标准指数法进行排序，分别取标准指数最大的因子作为预测因子，因此本次评价综合废水处理设施的废水选</w:t>
      </w:r>
      <w:r w:rsidRPr="00B04DC3">
        <w:rPr>
          <w:sz w:val="24"/>
          <w:szCs w:val="22"/>
        </w:rPr>
        <w:t>取</w:t>
      </w:r>
      <w:r w:rsidR="00A01C00">
        <w:rPr>
          <w:rFonts w:hint="eastAsia"/>
          <w:sz w:val="24"/>
          <w:szCs w:val="22"/>
        </w:rPr>
        <w:t>铅</w:t>
      </w:r>
      <w:r w:rsidRPr="00B04DC3">
        <w:rPr>
          <w:sz w:val="24"/>
          <w:szCs w:val="22"/>
        </w:rPr>
        <w:t>作</w:t>
      </w:r>
      <w:r w:rsidRPr="00D35EBB">
        <w:rPr>
          <w:sz w:val="24"/>
          <w:szCs w:val="22"/>
        </w:rPr>
        <w:t>为预测因子。</w:t>
      </w:r>
    </w:p>
    <w:p w14:paraId="3915E325" w14:textId="2642CDD7" w:rsidR="009D3ACD" w:rsidRDefault="009D3ACD" w:rsidP="00124096">
      <w:pPr>
        <w:spacing w:line="360" w:lineRule="auto"/>
        <w:ind w:firstLineChars="200" w:firstLine="480"/>
        <w:rPr>
          <w:sz w:val="24"/>
          <w:szCs w:val="22"/>
        </w:rPr>
      </w:pPr>
      <w:r>
        <w:rPr>
          <w:rFonts w:hint="eastAsia"/>
          <w:sz w:val="24"/>
          <w:szCs w:val="22"/>
        </w:rPr>
        <w:t>（</w:t>
      </w:r>
      <w:r>
        <w:rPr>
          <w:rFonts w:hint="eastAsia"/>
          <w:sz w:val="24"/>
          <w:szCs w:val="22"/>
        </w:rPr>
        <w:t>4</w:t>
      </w:r>
      <w:r>
        <w:rPr>
          <w:rFonts w:hint="eastAsia"/>
          <w:sz w:val="24"/>
          <w:szCs w:val="22"/>
        </w:rPr>
        <w:t>）源强确定</w:t>
      </w:r>
    </w:p>
    <w:p w14:paraId="692189BE" w14:textId="67D8D724" w:rsidR="00250DC0" w:rsidRDefault="009D3ACD" w:rsidP="00250DC0">
      <w:pPr>
        <w:spacing w:line="360" w:lineRule="auto"/>
        <w:ind w:firstLineChars="200" w:firstLine="480"/>
        <w:rPr>
          <w:sz w:val="24"/>
          <w:szCs w:val="22"/>
        </w:rPr>
      </w:pPr>
      <w:bookmarkStart w:id="252" w:name="OLE_LINK80"/>
      <w:r w:rsidRPr="001C29E8">
        <w:rPr>
          <w:sz w:val="24"/>
          <w:szCs w:val="22"/>
        </w:rPr>
        <w:t>非正常状况下</w:t>
      </w:r>
      <w:r>
        <w:rPr>
          <w:rFonts w:hint="eastAsia"/>
          <w:sz w:val="24"/>
          <w:szCs w:val="22"/>
        </w:rPr>
        <w:t>飞灰填</w:t>
      </w:r>
      <w:r w:rsidRPr="001C29E8">
        <w:rPr>
          <w:sz w:val="24"/>
          <w:szCs w:val="22"/>
        </w:rPr>
        <w:t>埋库区</w:t>
      </w:r>
      <w:bookmarkStart w:id="253" w:name="OLE_LINK76"/>
      <w:r w:rsidRPr="001C29E8">
        <w:rPr>
          <w:sz w:val="24"/>
          <w:szCs w:val="22"/>
        </w:rPr>
        <w:t>底部防渗层老化或破损，底部防渗层出现裂缝</w:t>
      </w:r>
      <w:bookmarkEnd w:id="252"/>
      <w:bookmarkEnd w:id="253"/>
      <w:r w:rsidRPr="001C29E8">
        <w:rPr>
          <w:sz w:val="24"/>
          <w:szCs w:val="22"/>
        </w:rPr>
        <w:t>，</w:t>
      </w:r>
      <w:r>
        <w:rPr>
          <w:rFonts w:hint="eastAsia"/>
          <w:sz w:val="24"/>
          <w:szCs w:val="22"/>
        </w:rPr>
        <w:t>淋溶水</w:t>
      </w:r>
      <w:r w:rsidRPr="001C29E8">
        <w:rPr>
          <w:sz w:val="24"/>
          <w:szCs w:val="22"/>
        </w:rPr>
        <w:t>沿此裂缝渗漏，</w:t>
      </w:r>
      <w:r w:rsidR="00250DC0">
        <w:rPr>
          <w:rFonts w:hint="eastAsia"/>
          <w:sz w:val="24"/>
          <w:szCs w:val="22"/>
        </w:rPr>
        <w:t>本项目淋溶水产生量为</w:t>
      </w:r>
      <w:r w:rsidR="00250DC0">
        <w:rPr>
          <w:rFonts w:hint="eastAsia"/>
          <w:sz w:val="24"/>
          <w:szCs w:val="22"/>
        </w:rPr>
        <w:t>0.62t/d</w:t>
      </w:r>
      <w:r w:rsidR="00250DC0">
        <w:rPr>
          <w:rFonts w:hint="eastAsia"/>
          <w:sz w:val="24"/>
          <w:szCs w:val="22"/>
        </w:rPr>
        <w:t>，</w:t>
      </w:r>
      <w:r w:rsidR="00250DC0" w:rsidRPr="00250DC0">
        <w:rPr>
          <w:sz w:val="24"/>
          <w:szCs w:val="22"/>
        </w:rPr>
        <w:t>假设</w:t>
      </w:r>
      <w:r w:rsidR="00250DC0">
        <w:rPr>
          <w:rFonts w:hint="eastAsia"/>
          <w:sz w:val="24"/>
          <w:szCs w:val="22"/>
        </w:rPr>
        <w:t>淋溶水全部泄漏，</w:t>
      </w:r>
      <w:r w:rsidR="00250DC0" w:rsidRPr="00250DC0">
        <w:rPr>
          <w:sz w:val="24"/>
          <w:szCs w:val="22"/>
        </w:rPr>
        <w:t>裂隙长</w:t>
      </w:r>
      <w:r w:rsidR="00250DC0" w:rsidRPr="00250DC0">
        <w:rPr>
          <w:sz w:val="24"/>
          <w:szCs w:val="22"/>
        </w:rPr>
        <w:t>5m</w:t>
      </w:r>
      <w:r w:rsidR="00250DC0" w:rsidRPr="00250DC0">
        <w:rPr>
          <w:sz w:val="24"/>
          <w:szCs w:val="22"/>
        </w:rPr>
        <w:t>，宽度为</w:t>
      </w:r>
      <w:r w:rsidR="00250DC0" w:rsidRPr="00250DC0">
        <w:rPr>
          <w:sz w:val="24"/>
          <w:szCs w:val="22"/>
        </w:rPr>
        <w:t>0.1m</w:t>
      </w:r>
      <w:r w:rsidR="00250DC0" w:rsidRPr="00250DC0">
        <w:rPr>
          <w:sz w:val="24"/>
          <w:szCs w:val="22"/>
        </w:rPr>
        <w:t>，渗漏面积为</w:t>
      </w:r>
      <w:r w:rsidR="00250DC0" w:rsidRPr="00250DC0">
        <w:rPr>
          <w:sz w:val="24"/>
          <w:szCs w:val="22"/>
        </w:rPr>
        <w:t>0.5m</w:t>
      </w:r>
      <w:r w:rsidR="00250DC0" w:rsidRPr="00250DC0">
        <w:rPr>
          <w:sz w:val="24"/>
          <w:szCs w:val="22"/>
          <w:vertAlign w:val="superscript"/>
        </w:rPr>
        <w:t>2</w:t>
      </w:r>
      <w:r w:rsidR="00250DC0">
        <w:rPr>
          <w:rFonts w:hint="eastAsia"/>
          <w:sz w:val="24"/>
          <w:szCs w:val="22"/>
        </w:rPr>
        <w:t>，</w:t>
      </w:r>
      <w:r w:rsidR="00250DC0" w:rsidRPr="001C29E8">
        <w:rPr>
          <w:sz w:val="24"/>
          <w:szCs w:val="22"/>
        </w:rPr>
        <w:t>则非正常</w:t>
      </w:r>
      <w:r w:rsidR="00250DC0">
        <w:rPr>
          <w:rFonts w:hint="eastAsia"/>
          <w:sz w:val="24"/>
          <w:szCs w:val="22"/>
        </w:rPr>
        <w:t>情况</w:t>
      </w:r>
      <w:r w:rsidR="00250DC0" w:rsidRPr="001C29E8">
        <w:rPr>
          <w:sz w:val="24"/>
          <w:szCs w:val="22"/>
        </w:rPr>
        <w:t>下铅渗漏量为</w:t>
      </w:r>
      <w:r w:rsidR="00250DC0">
        <w:rPr>
          <w:rFonts w:hint="eastAsia"/>
          <w:sz w:val="24"/>
          <w:szCs w:val="22"/>
        </w:rPr>
        <w:lastRenderedPageBreak/>
        <w:t>620</w:t>
      </w:r>
      <w:r w:rsidR="00250DC0" w:rsidRPr="001C29E8">
        <w:rPr>
          <w:sz w:val="24"/>
          <w:szCs w:val="22"/>
        </w:rPr>
        <w:t>L/d×0.</w:t>
      </w:r>
      <w:r w:rsidR="00250DC0">
        <w:rPr>
          <w:rFonts w:hint="eastAsia"/>
          <w:sz w:val="24"/>
          <w:szCs w:val="22"/>
        </w:rPr>
        <w:t>23</w:t>
      </w:r>
      <w:r w:rsidR="00250DC0" w:rsidRPr="001C29E8">
        <w:rPr>
          <w:sz w:val="24"/>
          <w:szCs w:val="22"/>
        </w:rPr>
        <w:t>mg/L=</w:t>
      </w:r>
      <w:r w:rsidR="00250DC0">
        <w:rPr>
          <w:rFonts w:hint="eastAsia"/>
          <w:sz w:val="24"/>
          <w:szCs w:val="22"/>
        </w:rPr>
        <w:t>142.6</w:t>
      </w:r>
      <w:r w:rsidR="00250DC0" w:rsidRPr="001C29E8">
        <w:rPr>
          <w:sz w:val="24"/>
          <w:szCs w:val="22"/>
        </w:rPr>
        <w:t>mg/d</w:t>
      </w:r>
      <w:r w:rsidR="00250DC0" w:rsidRPr="001C29E8">
        <w:rPr>
          <w:sz w:val="24"/>
          <w:szCs w:val="22"/>
        </w:rPr>
        <w:t>。</w:t>
      </w:r>
    </w:p>
    <w:p w14:paraId="1412E3A5" w14:textId="6BDF7909" w:rsidR="00124096" w:rsidRPr="00124096" w:rsidRDefault="00124096" w:rsidP="00124096">
      <w:pPr>
        <w:spacing w:line="360" w:lineRule="auto"/>
        <w:ind w:firstLineChars="200" w:firstLine="480"/>
        <w:rPr>
          <w:sz w:val="24"/>
          <w:szCs w:val="22"/>
        </w:rPr>
      </w:pPr>
      <w:r>
        <w:rPr>
          <w:rFonts w:hint="eastAsia"/>
          <w:sz w:val="24"/>
          <w:szCs w:val="22"/>
        </w:rPr>
        <w:t>（</w:t>
      </w:r>
      <w:r w:rsidR="009D3ACD">
        <w:rPr>
          <w:rFonts w:hint="eastAsia"/>
          <w:sz w:val="24"/>
          <w:szCs w:val="22"/>
        </w:rPr>
        <w:t>5</w:t>
      </w:r>
      <w:r>
        <w:rPr>
          <w:rFonts w:hint="eastAsia"/>
          <w:sz w:val="24"/>
          <w:szCs w:val="22"/>
        </w:rPr>
        <w:t>）</w:t>
      </w:r>
      <w:r w:rsidRPr="00124096">
        <w:rPr>
          <w:rFonts w:hint="eastAsia"/>
          <w:sz w:val="24"/>
          <w:szCs w:val="22"/>
        </w:rPr>
        <w:t>非正常状况下</w:t>
      </w:r>
      <w:r w:rsidR="001C29E8">
        <w:rPr>
          <w:rFonts w:hint="eastAsia"/>
          <w:sz w:val="24"/>
          <w:szCs w:val="22"/>
        </w:rPr>
        <w:t>飞灰填埋区</w:t>
      </w:r>
      <w:r w:rsidRPr="00124096">
        <w:rPr>
          <w:rFonts w:hint="eastAsia"/>
          <w:sz w:val="24"/>
          <w:szCs w:val="22"/>
        </w:rPr>
        <w:t>渗漏地下水环境影响预测</w:t>
      </w:r>
    </w:p>
    <w:p w14:paraId="7E649971" w14:textId="459977D9" w:rsidR="00606029" w:rsidRDefault="00124096" w:rsidP="00A96B7C">
      <w:pPr>
        <w:spacing w:line="360" w:lineRule="auto"/>
        <w:ind w:firstLineChars="200" w:firstLine="480"/>
        <w:rPr>
          <w:sz w:val="24"/>
          <w:szCs w:val="22"/>
        </w:rPr>
      </w:pPr>
      <w:r w:rsidRPr="00AF67A9">
        <w:rPr>
          <w:rFonts w:hint="eastAsia"/>
          <w:sz w:val="24"/>
          <w:szCs w:val="22"/>
        </w:rPr>
        <w:t>模拟中采用的源强为局部防渗层失效情况下的渗漏量，对</w:t>
      </w:r>
      <w:r w:rsidR="009D3ACD">
        <w:rPr>
          <w:rFonts w:hint="eastAsia"/>
          <w:sz w:val="24"/>
          <w:szCs w:val="22"/>
        </w:rPr>
        <w:t>淋溶水</w:t>
      </w:r>
      <w:r w:rsidRPr="00AF67A9">
        <w:rPr>
          <w:rFonts w:hint="eastAsia"/>
          <w:sz w:val="24"/>
          <w:szCs w:val="22"/>
        </w:rPr>
        <w:t>渗漏进行污染扩散预测。分别预测</w:t>
      </w:r>
      <w:r w:rsidRPr="00AF67A9">
        <w:rPr>
          <w:rFonts w:hint="eastAsia"/>
          <w:sz w:val="24"/>
          <w:szCs w:val="22"/>
        </w:rPr>
        <w:t xml:space="preserve"> 100d</w:t>
      </w:r>
      <w:r w:rsidRPr="00AF67A9">
        <w:rPr>
          <w:rFonts w:hint="eastAsia"/>
          <w:sz w:val="24"/>
          <w:szCs w:val="22"/>
        </w:rPr>
        <w:t>、</w:t>
      </w:r>
      <w:r w:rsidRPr="00AF67A9">
        <w:rPr>
          <w:rFonts w:hint="eastAsia"/>
          <w:sz w:val="24"/>
          <w:szCs w:val="22"/>
        </w:rPr>
        <w:t>1000d</w:t>
      </w:r>
      <w:r w:rsidRPr="00AF67A9">
        <w:rPr>
          <w:rFonts w:hint="eastAsia"/>
          <w:sz w:val="24"/>
          <w:szCs w:val="22"/>
        </w:rPr>
        <w:t>和</w:t>
      </w:r>
      <w:r w:rsidRPr="00AF67A9">
        <w:rPr>
          <w:rFonts w:hint="eastAsia"/>
          <w:sz w:val="24"/>
          <w:szCs w:val="22"/>
        </w:rPr>
        <w:t xml:space="preserve"> 10a</w:t>
      </w:r>
      <w:r w:rsidRPr="00AF67A9">
        <w:rPr>
          <w:rFonts w:hint="eastAsia"/>
          <w:sz w:val="24"/>
          <w:szCs w:val="22"/>
        </w:rPr>
        <w:t>该地区地下水的污染状况。</w:t>
      </w:r>
      <w:r w:rsidR="00EA5B92">
        <w:rPr>
          <w:sz w:val="24"/>
          <w:szCs w:val="22"/>
        </w:rPr>
        <w:t>非正常状况下，</w:t>
      </w:r>
      <w:r w:rsidR="00FA7CE3">
        <w:rPr>
          <w:rFonts w:hint="eastAsia"/>
          <w:sz w:val="24"/>
          <w:szCs w:val="22"/>
        </w:rPr>
        <w:t>填埋区</w:t>
      </w:r>
      <w:r w:rsidR="00FA7CE3" w:rsidRPr="00FA7CE3">
        <w:rPr>
          <w:sz w:val="24"/>
          <w:szCs w:val="22"/>
        </w:rPr>
        <w:t>底部防渗层老化或破损，底部防渗层出现裂缝</w:t>
      </w:r>
      <w:r w:rsidR="00EA5B92">
        <w:rPr>
          <w:sz w:val="24"/>
          <w:szCs w:val="22"/>
        </w:rPr>
        <w:t>，废水沿破损处下渗进入地下水，不易发现，持续泄漏。</w:t>
      </w:r>
    </w:p>
    <w:p w14:paraId="2C46738A" w14:textId="77777777" w:rsidR="00606029" w:rsidRDefault="00EA5B92">
      <w:pPr>
        <w:snapToGrid w:val="0"/>
        <w:spacing w:beforeLines="50" w:before="120" w:line="360" w:lineRule="auto"/>
        <w:jc w:val="center"/>
        <w:rPr>
          <w:rFonts w:eastAsia="等线"/>
          <w:sz w:val="24"/>
          <w:szCs w:val="20"/>
        </w:rPr>
      </w:pPr>
      <w:r>
        <w:rPr>
          <w:noProof/>
          <w:sz w:val="24"/>
          <w:szCs w:val="22"/>
        </w:rPr>
        <w:drawing>
          <wp:inline distT="0" distB="0" distL="114300" distR="114300" wp14:anchorId="17D6CD4A" wp14:editId="268E51AC">
            <wp:extent cx="5039995" cy="3714750"/>
            <wp:effectExtent l="4445" t="4445" r="22860" b="14605"/>
            <wp:docPr id="168"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2"/>
              </a:graphicData>
            </a:graphic>
          </wp:inline>
        </w:drawing>
      </w:r>
    </w:p>
    <w:p w14:paraId="25CB36EC" w14:textId="77777777" w:rsidR="00606029" w:rsidRDefault="00EA5B92">
      <w:pPr>
        <w:adjustRightInd w:val="0"/>
        <w:snapToGrid w:val="0"/>
        <w:jc w:val="center"/>
        <w:rPr>
          <w:b/>
          <w:bCs/>
        </w:rPr>
      </w:pPr>
      <w:r>
        <w:rPr>
          <w:b/>
          <w:bCs/>
        </w:rPr>
        <w:t>图</w:t>
      </w:r>
      <w:r>
        <w:rPr>
          <w:rFonts w:hint="eastAsia"/>
          <w:b/>
          <w:bCs/>
        </w:rPr>
        <w:t>6.2.3-10</w:t>
      </w:r>
      <w:r>
        <w:rPr>
          <w:b/>
          <w:bCs/>
        </w:rPr>
        <w:t xml:space="preserve">  </w:t>
      </w:r>
      <w:r>
        <w:rPr>
          <w:b/>
          <w:bCs/>
        </w:rPr>
        <w:t>非正常状况下铅不同时间不同位置距离浓度曲线图</w:t>
      </w:r>
    </w:p>
    <w:p w14:paraId="674AAAFA" w14:textId="13A2026B" w:rsidR="00606029" w:rsidRDefault="00EA5B92" w:rsidP="00A96B7C">
      <w:pPr>
        <w:spacing w:line="360" w:lineRule="auto"/>
        <w:ind w:firstLineChars="200" w:firstLine="480"/>
        <w:rPr>
          <w:sz w:val="24"/>
          <w:szCs w:val="22"/>
        </w:rPr>
      </w:pPr>
      <w:r>
        <w:rPr>
          <w:sz w:val="24"/>
          <w:szCs w:val="22"/>
        </w:rPr>
        <w:t>由图可以看出，污染物渗漏后，下游地下水中铅污染物浓度逐渐升高，非正常状况发生</w:t>
      </w:r>
      <w:r>
        <w:rPr>
          <w:sz w:val="24"/>
          <w:szCs w:val="22"/>
        </w:rPr>
        <w:t>100</w:t>
      </w:r>
      <w:r>
        <w:rPr>
          <w:sz w:val="24"/>
          <w:szCs w:val="22"/>
        </w:rPr>
        <w:t>天后，污染物中铅的超标浓度值迁移距离为</w:t>
      </w:r>
      <w:r>
        <w:rPr>
          <w:sz w:val="24"/>
          <w:szCs w:val="22"/>
        </w:rPr>
        <w:t>87m</w:t>
      </w:r>
      <w:r>
        <w:rPr>
          <w:sz w:val="24"/>
          <w:szCs w:val="22"/>
        </w:rPr>
        <w:t>处，非正常状况发生</w:t>
      </w:r>
      <w:r>
        <w:rPr>
          <w:sz w:val="24"/>
          <w:szCs w:val="22"/>
        </w:rPr>
        <w:t>1000</w:t>
      </w:r>
      <w:r>
        <w:rPr>
          <w:sz w:val="24"/>
          <w:szCs w:val="22"/>
        </w:rPr>
        <w:t>天后，污染物中铅的超标浓度值迁移距离为</w:t>
      </w:r>
      <w:r>
        <w:rPr>
          <w:sz w:val="24"/>
          <w:szCs w:val="22"/>
        </w:rPr>
        <w:t>283m</w:t>
      </w:r>
      <w:r>
        <w:rPr>
          <w:sz w:val="24"/>
          <w:szCs w:val="22"/>
        </w:rPr>
        <w:t>处，非正常状况发生</w:t>
      </w:r>
      <w:r>
        <w:rPr>
          <w:sz w:val="24"/>
          <w:szCs w:val="22"/>
        </w:rPr>
        <w:t>3650</w:t>
      </w:r>
      <w:r>
        <w:rPr>
          <w:sz w:val="24"/>
          <w:szCs w:val="22"/>
        </w:rPr>
        <w:t>天后，污染物中铅的超标浓度值迁移距离为</w:t>
      </w:r>
      <w:r>
        <w:rPr>
          <w:sz w:val="24"/>
          <w:szCs w:val="22"/>
        </w:rPr>
        <w:t>558m</w:t>
      </w:r>
      <w:r>
        <w:rPr>
          <w:sz w:val="24"/>
          <w:szCs w:val="22"/>
        </w:rPr>
        <w:t>处。</w:t>
      </w:r>
      <w:bookmarkStart w:id="254" w:name="OLE_LINK40"/>
      <w:r w:rsidR="008E4891" w:rsidRPr="008E4891">
        <w:rPr>
          <w:sz w:val="24"/>
          <w:szCs w:val="22"/>
        </w:rPr>
        <w:t>本项目下游最近的地下水敏感目标（前进村分散式饮用水水源）距项目区</w:t>
      </w:r>
      <w:r w:rsidR="008E4891" w:rsidRPr="008E4891">
        <w:rPr>
          <w:sz w:val="24"/>
          <w:szCs w:val="22"/>
        </w:rPr>
        <w:t>2470m</w:t>
      </w:r>
      <w:r w:rsidR="008E4891" w:rsidRPr="008E4891">
        <w:rPr>
          <w:sz w:val="24"/>
          <w:szCs w:val="22"/>
        </w:rPr>
        <w:t>，污染物扩散距离远小于最近水源地距项目区距离</w:t>
      </w:r>
      <w:bookmarkStart w:id="255" w:name="_Toc11134"/>
      <w:bookmarkStart w:id="256" w:name="_Toc198418954"/>
      <w:bookmarkStart w:id="257" w:name="_Toc145670865"/>
      <w:bookmarkEnd w:id="251"/>
      <w:bookmarkEnd w:id="254"/>
      <w:r w:rsidR="00167D89">
        <w:rPr>
          <w:rFonts w:hint="eastAsia"/>
          <w:sz w:val="24"/>
          <w:szCs w:val="22"/>
        </w:rPr>
        <w:t>，</w:t>
      </w:r>
      <w:r w:rsidR="00A96B7C">
        <w:rPr>
          <w:rFonts w:hint="eastAsia"/>
          <w:sz w:val="24"/>
          <w:szCs w:val="22"/>
        </w:rPr>
        <w:t>填埋区渗滤液渗漏对地下水环境的影响不大</w:t>
      </w:r>
      <w:r w:rsidR="00A96B7C" w:rsidRPr="00A96B7C">
        <w:rPr>
          <w:sz w:val="24"/>
          <w:szCs w:val="22"/>
        </w:rPr>
        <w:t>。</w:t>
      </w:r>
      <w:bookmarkEnd w:id="255"/>
      <w:bookmarkEnd w:id="256"/>
      <w:bookmarkEnd w:id="257"/>
      <w:r>
        <w:rPr>
          <w:sz w:val="24"/>
          <w:szCs w:val="22"/>
        </w:rPr>
        <w:br w:type="page"/>
      </w:r>
    </w:p>
    <w:p w14:paraId="368E34D4" w14:textId="77777777" w:rsidR="00606029" w:rsidRDefault="00EA5B92">
      <w:pPr>
        <w:pStyle w:val="3"/>
        <w:numPr>
          <w:ilvl w:val="0"/>
          <w:numId w:val="0"/>
        </w:numPr>
        <w:tabs>
          <w:tab w:val="left" w:pos="720"/>
        </w:tabs>
        <w:ind w:left="720" w:hanging="720"/>
        <w:jc w:val="left"/>
        <w:rPr>
          <w:szCs w:val="28"/>
        </w:rPr>
      </w:pPr>
      <w:bookmarkStart w:id="258" w:name="_Toc220680532"/>
      <w:r>
        <w:rPr>
          <w:szCs w:val="28"/>
        </w:rPr>
        <w:lastRenderedPageBreak/>
        <w:t>6.2.4</w:t>
      </w:r>
      <w:r>
        <w:rPr>
          <w:szCs w:val="28"/>
        </w:rPr>
        <w:t>土壤环境影响评价</w:t>
      </w:r>
      <w:bookmarkEnd w:id="258"/>
    </w:p>
    <w:p w14:paraId="12C17D5E" w14:textId="7E8D2DA9" w:rsidR="00606029" w:rsidRDefault="00EA5B92" w:rsidP="001D7076">
      <w:pPr>
        <w:pStyle w:val="4"/>
      </w:pPr>
      <w:r>
        <w:t>6.2.4.1</w:t>
      </w:r>
      <w:r>
        <w:t>评价项目类别</w:t>
      </w:r>
    </w:p>
    <w:p w14:paraId="23F329EF" w14:textId="77777777" w:rsidR="00606029" w:rsidRDefault="00EA5B92">
      <w:pPr>
        <w:pStyle w:val="affffff4"/>
      </w:pPr>
      <w:r>
        <w:t>按照《环境影响评价技术导则</w:t>
      </w:r>
      <w:r>
        <w:t xml:space="preserve"> </w:t>
      </w:r>
      <w:r>
        <w:t>土壤环境（试行）》（</w:t>
      </w:r>
      <w:r>
        <w:t>HJ 964-2018</w:t>
      </w:r>
      <w:r>
        <w:t>）附录</w:t>
      </w:r>
      <w:r>
        <w:t>A</w:t>
      </w:r>
      <w:r>
        <w:t>，本项目属于环境和公共设施管理业中的</w:t>
      </w:r>
      <w:r>
        <w:t>“</w:t>
      </w:r>
      <w:r>
        <w:t>采取填埋和焚烧方式的一般工业固体废物处置及综合利用；城镇生活垃圾（不含餐厨废弃物）集中处置</w:t>
      </w:r>
      <w:r>
        <w:t>”</w:t>
      </w:r>
      <w:r>
        <w:t>为</w:t>
      </w:r>
      <w:r>
        <w:t>II</w:t>
      </w:r>
      <w:r>
        <w:t>类项目，需进行土壤环境影响评价。</w:t>
      </w:r>
    </w:p>
    <w:p w14:paraId="429C84CC" w14:textId="546D2491" w:rsidR="00606029" w:rsidRDefault="00EA5B92">
      <w:pPr>
        <w:pStyle w:val="4"/>
      </w:pPr>
      <w:r>
        <w:t>6.2.4.</w:t>
      </w:r>
      <w:r w:rsidR="001D7076">
        <w:rPr>
          <w:rFonts w:hint="eastAsia"/>
        </w:rPr>
        <w:t>2</w:t>
      </w:r>
      <w:r>
        <w:t>评价等级</w:t>
      </w:r>
    </w:p>
    <w:p w14:paraId="099F7130" w14:textId="36A1DB1C" w:rsidR="00606029" w:rsidRDefault="00EA5B92">
      <w:pPr>
        <w:pStyle w:val="affffff4"/>
      </w:pPr>
      <w:r>
        <w:t>根据《环境影响评价技术导则</w:t>
      </w:r>
      <w:r>
        <w:t xml:space="preserve"> </w:t>
      </w:r>
      <w:r>
        <w:t>土壤环境（试行）》（</w:t>
      </w:r>
      <w:r>
        <w:t>HJ 964-2018</w:t>
      </w:r>
      <w:r>
        <w:t>）中规定，本项目为污染影响型，占地面积为</w:t>
      </w:r>
      <w:r w:rsidR="009E1235">
        <w:rPr>
          <w:rFonts w:hint="eastAsia"/>
        </w:rPr>
        <w:t>5136.95</w:t>
      </w:r>
      <w:r>
        <w:t>m</w:t>
      </w:r>
      <w:r>
        <w:rPr>
          <w:vertAlign w:val="superscript"/>
        </w:rPr>
        <w:t>2</w:t>
      </w:r>
      <w:r>
        <w:t>，占地面积为小型（</w:t>
      </w:r>
      <w:r>
        <w:t>≤5hm</w:t>
      </w:r>
      <w:r>
        <w:rPr>
          <w:vertAlign w:val="superscript"/>
        </w:rPr>
        <w:t>2</w:t>
      </w:r>
      <w:r>
        <w:t>），根据附录</w:t>
      </w:r>
      <w:r>
        <w:t>A</w:t>
      </w:r>
      <w:r>
        <w:t>，本项目为为</w:t>
      </w:r>
      <w:r>
        <w:t>II</w:t>
      </w:r>
      <w:r>
        <w:t>类项目；项目周边存在耕地等环境敏感目标，因此，本项目周边土壤环境敏感程度属于</w:t>
      </w:r>
      <w:r>
        <w:t>“</w:t>
      </w:r>
      <w:r>
        <w:t>敏感</w:t>
      </w:r>
      <w:r>
        <w:t>”</w:t>
      </w:r>
      <w:r>
        <w:t>。根据污染影响型评价工作等级划分，见下表。</w:t>
      </w:r>
    </w:p>
    <w:p w14:paraId="44C5E134" w14:textId="193CEEF4" w:rsidR="00606029" w:rsidRDefault="00EA5B92">
      <w:pPr>
        <w:pStyle w:val="affffff5"/>
      </w:pPr>
      <w:r>
        <w:t>表</w:t>
      </w:r>
      <w:r>
        <w:t>6.2</w:t>
      </w:r>
      <w:r w:rsidR="00FD0A87">
        <w:rPr>
          <w:rFonts w:hint="eastAsia"/>
        </w:rPr>
        <w:t>-23</w:t>
      </w:r>
      <w:r>
        <w:t xml:space="preserve">  </w:t>
      </w:r>
      <w:r>
        <w:t>污染影响型评价工作等级划分表</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657"/>
        <w:gridCol w:w="686"/>
        <w:gridCol w:w="686"/>
        <w:gridCol w:w="686"/>
        <w:gridCol w:w="687"/>
        <w:gridCol w:w="687"/>
        <w:gridCol w:w="688"/>
        <w:gridCol w:w="688"/>
        <w:gridCol w:w="688"/>
        <w:gridCol w:w="688"/>
      </w:tblGrid>
      <w:tr w:rsidR="00606029" w14:paraId="3B0F0922" w14:textId="77777777">
        <w:trPr>
          <w:trHeight w:val="340"/>
          <w:jc w:val="center"/>
        </w:trPr>
        <w:tc>
          <w:tcPr>
            <w:tcW w:w="2784" w:type="dxa"/>
            <w:vMerge w:val="restart"/>
            <w:tcBorders>
              <w:tl2br w:val="nil"/>
              <w:tr2bl w:val="nil"/>
            </w:tcBorders>
          </w:tcPr>
          <w:p w14:paraId="765D6C84" w14:textId="77777777" w:rsidR="00606029" w:rsidRDefault="00EA5B92">
            <w:pPr>
              <w:spacing w:line="280" w:lineRule="exact"/>
              <w:jc w:val="center"/>
            </w:pPr>
            <w:r>
              <w:t xml:space="preserve">                  </w:t>
            </w:r>
            <w:r>
              <w:t>敏感程度</w:t>
            </w:r>
            <w:r>
              <w:rPr>
                <w:noProof/>
              </w:rPr>
              <mc:AlternateContent>
                <mc:Choice Requires="wps">
                  <w:drawing>
                    <wp:anchor distT="0" distB="0" distL="114300" distR="114300" simplePos="0" relativeHeight="251659776" behindDoc="0" locked="0" layoutInCell="1" allowOverlap="1" wp14:anchorId="1B51B7E6" wp14:editId="2908A788">
                      <wp:simplePos x="0" y="0"/>
                      <wp:positionH relativeFrom="column">
                        <wp:posOffset>10795</wp:posOffset>
                      </wp:positionH>
                      <wp:positionV relativeFrom="paragraph">
                        <wp:posOffset>12700</wp:posOffset>
                      </wp:positionV>
                      <wp:extent cx="1762760" cy="209550"/>
                      <wp:effectExtent l="635" t="4445" r="8255" b="14605"/>
                      <wp:wrapNone/>
                      <wp:docPr id="1434" name="自选图形 7809"/>
                      <wp:cNvGraphicFramePr/>
                      <a:graphic xmlns:a="http://schemas.openxmlformats.org/drawingml/2006/main">
                        <a:graphicData uri="http://schemas.microsoft.com/office/word/2010/wordprocessingShape">
                          <wps:wsp>
                            <wps:cNvCnPr/>
                            <wps:spPr>
                              <a:xfrm>
                                <a:off x="0" y="0"/>
                                <a:ext cx="1762760" cy="209550"/>
                              </a:xfrm>
                              <a:prstGeom prst="straightConnector1">
                                <a:avLst/>
                              </a:prstGeom>
                              <a:ln w="9525" cap="flat" cmpd="sng">
                                <a:solidFill>
                                  <a:srgbClr val="000000"/>
                                </a:solidFill>
                                <a:prstDash val="solid"/>
                                <a:round/>
                                <a:headEnd type="none" w="med" len="med"/>
                                <a:tailEnd type="none" w="med" len="med"/>
                              </a:ln>
                            </wps:spPr>
                            <wps:bodyPr/>
                          </wps:wsp>
                        </a:graphicData>
                      </a:graphic>
                    </wp:anchor>
                  </w:drawing>
                </mc:Choice>
                <mc:Fallback>
                  <w:pict>
                    <v:shapetype w14:anchorId="6DD0D292" id="_x0000_t32" coordsize="21600,21600" o:spt="32" o:oned="t" path="m,l21600,21600e" filled="f">
                      <v:path arrowok="t" fillok="f" o:connecttype="none"/>
                      <o:lock v:ext="edit" shapetype="t"/>
                    </v:shapetype>
                    <v:shape id="自选图形 7809" o:spid="_x0000_s1026" type="#_x0000_t32" style="position:absolute;margin-left:.85pt;margin-top:1pt;width:138.8pt;height:16.5pt;z-index:2516597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"/>
                  </w:pict>
                </mc:Fallback>
              </mc:AlternateContent>
            </w:r>
            <w:r>
              <w:rPr>
                <w:noProof/>
              </w:rPr>
              <mc:AlternateContent>
                <mc:Choice Requires="wps">
                  <w:drawing>
                    <wp:anchor distT="0" distB="0" distL="114300" distR="114300" simplePos="0" relativeHeight="251654656" behindDoc="0" locked="0" layoutInCell="1" allowOverlap="1" wp14:anchorId="4C0FCFFE" wp14:editId="15AB16F9">
                      <wp:simplePos x="0" y="0"/>
                      <wp:positionH relativeFrom="column">
                        <wp:posOffset>777240</wp:posOffset>
                      </wp:positionH>
                      <wp:positionV relativeFrom="paragraph">
                        <wp:posOffset>-11430</wp:posOffset>
                      </wp:positionV>
                      <wp:extent cx="171450" cy="209550"/>
                      <wp:effectExtent l="0" t="0" r="0" b="0"/>
                      <wp:wrapNone/>
                      <wp:docPr id="1433" name="自选图形 7810"/>
                      <wp:cNvGraphicFramePr/>
                      <a:graphic xmlns:a="http://schemas.openxmlformats.org/drawingml/2006/main">
                        <a:graphicData uri="http://schemas.microsoft.com/office/word/2010/wordprocessingShape">
                          <wps:wsp>
                            <wps:cNvCnPr/>
                            <wps:spPr>
                              <a:xfrm>
                                <a:off x="0" y="0"/>
                                <a:ext cx="171450" cy="209550"/>
                              </a:xfrm>
                              <a:prstGeom prst="straightConnector1">
                                <a:avLst/>
                              </a:prstGeom>
                              <a:ln>
                                <a:noFill/>
                              </a:ln>
                            </wps:spPr>
                            <wps:bodyPr/>
                          </wps:wsp>
                        </a:graphicData>
                      </a:graphic>
                    </wp:anchor>
                  </w:drawing>
                </mc:Choice>
                <mc:Fallback>
                  <w:pict>
                    <v:shape w14:anchorId="5DC69483" id="自选图形 7810" o:spid="_x0000_s1026" type="#_x0000_t32" style="position:absolute;margin-left:61.2pt;margin-top:-.9pt;width:13.5pt;height:16.5pt;z-index:2516546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" stroked="f"/>
                  </w:pict>
                </mc:Fallback>
              </mc:AlternateContent>
            </w:r>
          </w:p>
          <w:p w14:paraId="791901FB" w14:textId="77777777" w:rsidR="00606029" w:rsidRDefault="00606029">
            <w:pPr>
              <w:spacing w:line="280" w:lineRule="exact"/>
              <w:jc w:val="center"/>
            </w:pPr>
          </w:p>
          <w:p w14:paraId="4F6DE81A" w14:textId="77777777" w:rsidR="00606029" w:rsidRDefault="00EA5B92">
            <w:pPr>
              <w:spacing w:line="280" w:lineRule="exact"/>
              <w:ind w:firstLineChars="400" w:firstLine="840"/>
            </w:pPr>
            <w:r>
              <w:t>评价工作等级</w:t>
            </w:r>
          </w:p>
          <w:p w14:paraId="466E1944" w14:textId="77777777" w:rsidR="00606029" w:rsidRDefault="00EA5B92">
            <w:pPr>
              <w:spacing w:line="280" w:lineRule="exact"/>
              <w:jc w:val="center"/>
            </w:pPr>
            <w:r>
              <w:rPr>
                <w:noProof/>
              </w:rPr>
              <mc:AlternateContent>
                <mc:Choice Requires="wps">
                  <w:drawing>
                    <wp:anchor distT="0" distB="0" distL="114300" distR="114300" simplePos="0" relativeHeight="251664896" behindDoc="0" locked="0" layoutInCell="1" allowOverlap="1" wp14:anchorId="5F9CFDCF" wp14:editId="24C1E69C">
                      <wp:simplePos x="0" y="0"/>
                      <wp:positionH relativeFrom="column">
                        <wp:posOffset>6350</wp:posOffset>
                      </wp:positionH>
                      <wp:positionV relativeFrom="paragraph">
                        <wp:posOffset>8890</wp:posOffset>
                      </wp:positionV>
                      <wp:extent cx="1747520" cy="317500"/>
                      <wp:effectExtent l="635" t="4445" r="4445" b="20955"/>
                      <wp:wrapNone/>
                      <wp:docPr id="1435" name="自选图形 7811"/>
                      <wp:cNvGraphicFramePr/>
                      <a:graphic xmlns:a="http://schemas.openxmlformats.org/drawingml/2006/main">
                        <a:graphicData uri="http://schemas.microsoft.com/office/word/2010/wordprocessingShape">
                          <wps:wsp>
                            <wps:cNvCnPr/>
                            <wps:spPr>
                              <a:xfrm flipH="1" flipV="1">
                                <a:off x="0" y="0"/>
                                <a:ext cx="1747520" cy="317500"/>
                              </a:xfrm>
                              <a:prstGeom prst="straightConnector1">
                                <a:avLst/>
                              </a:prstGeom>
                              <a:ln w="9525" cap="flat" cmpd="sng">
                                <a:solidFill>
                                  <a:srgbClr val="000000"/>
                                </a:solidFill>
                                <a:prstDash val="solid"/>
                                <a:round/>
                                <a:headEnd type="none" w="med" len="med"/>
                                <a:tailEnd type="none" w="med" len="med"/>
                              </a:ln>
                            </wps:spPr>
                            <wps:bodyPr/>
                          </wps:wsp>
                        </a:graphicData>
                      </a:graphic>
                    </wp:anchor>
                  </w:drawing>
                </mc:Choice>
                <mc:Fallback>
                  <w:pict>
                    <v:shape w14:anchorId="07C8C2A8" id="自选图形 7811" o:spid="_x0000_s1026" type="#_x0000_t32" style="position:absolute;margin-left:.5pt;margin-top:.7pt;width:137.6pt;height:25pt;flip:x y;z-index:2516648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"/>
                  </w:pict>
                </mc:Fallback>
              </mc:AlternateContent>
            </w:r>
          </w:p>
          <w:p w14:paraId="08CC2E28" w14:textId="77777777" w:rsidR="00606029" w:rsidRDefault="00EA5B92">
            <w:pPr>
              <w:spacing w:line="280" w:lineRule="exact"/>
              <w:ind w:firstLineChars="200" w:firstLine="420"/>
            </w:pPr>
            <w:r>
              <w:t>占地规模</w:t>
            </w:r>
          </w:p>
        </w:tc>
        <w:tc>
          <w:tcPr>
            <w:tcW w:w="2154" w:type="dxa"/>
            <w:gridSpan w:val="3"/>
            <w:tcBorders>
              <w:tl2br w:val="nil"/>
              <w:tr2bl w:val="nil"/>
            </w:tcBorders>
            <w:vAlign w:val="center"/>
          </w:tcPr>
          <w:p w14:paraId="1C136FF4" w14:textId="77777777" w:rsidR="00606029" w:rsidRDefault="00EA5B92">
            <w:pPr>
              <w:spacing w:line="280" w:lineRule="exact"/>
              <w:jc w:val="center"/>
            </w:pPr>
            <w:r>
              <w:fldChar w:fldCharType="begin"/>
            </w:r>
            <w:r>
              <w:instrText xml:space="preserve"> = 1 \* ROMAN \* MERGEFORMAT </w:instrText>
            </w:r>
            <w:r>
              <w:fldChar w:fldCharType="separate"/>
            </w:r>
            <w:r>
              <w:t>I</w:t>
            </w:r>
            <w:r>
              <w:fldChar w:fldCharType="end"/>
            </w:r>
            <w:r>
              <w:t>类</w:t>
            </w:r>
          </w:p>
        </w:tc>
        <w:tc>
          <w:tcPr>
            <w:tcW w:w="2155" w:type="dxa"/>
            <w:gridSpan w:val="3"/>
            <w:tcBorders>
              <w:tl2br w:val="nil"/>
              <w:tr2bl w:val="nil"/>
            </w:tcBorders>
            <w:vAlign w:val="center"/>
          </w:tcPr>
          <w:p w14:paraId="30BA98B1" w14:textId="77777777" w:rsidR="00606029" w:rsidRDefault="00EA5B92">
            <w:pPr>
              <w:spacing w:line="280" w:lineRule="exact"/>
              <w:jc w:val="center"/>
            </w:pPr>
            <w:r>
              <w:fldChar w:fldCharType="begin"/>
            </w:r>
            <w:r>
              <w:instrText xml:space="preserve"> = 2 \* ROMAN \* MERGEFORMAT </w:instrText>
            </w:r>
            <w:r>
              <w:fldChar w:fldCharType="separate"/>
            </w:r>
            <w:r>
              <w:t>II</w:t>
            </w:r>
            <w:r>
              <w:fldChar w:fldCharType="end"/>
            </w:r>
            <w:r>
              <w:t>类</w:t>
            </w:r>
          </w:p>
        </w:tc>
        <w:tc>
          <w:tcPr>
            <w:tcW w:w="2157" w:type="dxa"/>
            <w:gridSpan w:val="3"/>
            <w:tcBorders>
              <w:tl2br w:val="nil"/>
              <w:tr2bl w:val="nil"/>
            </w:tcBorders>
            <w:vAlign w:val="center"/>
          </w:tcPr>
          <w:p w14:paraId="018088DC" w14:textId="77777777" w:rsidR="00606029" w:rsidRDefault="00EA5B92">
            <w:pPr>
              <w:spacing w:line="280" w:lineRule="exact"/>
              <w:jc w:val="center"/>
            </w:pPr>
            <w:r>
              <w:fldChar w:fldCharType="begin"/>
            </w:r>
            <w:r>
              <w:instrText xml:space="preserve"> = 3 \* ROMAN \* MERGEFORMAT </w:instrText>
            </w:r>
            <w:r>
              <w:fldChar w:fldCharType="separate"/>
            </w:r>
            <w:r>
              <w:t>Ⅲ</w:t>
            </w:r>
            <w:r>
              <w:fldChar w:fldCharType="end"/>
            </w:r>
            <w:r>
              <w:t>类</w:t>
            </w:r>
          </w:p>
        </w:tc>
      </w:tr>
      <w:tr w:rsidR="00606029" w14:paraId="06937455" w14:textId="77777777">
        <w:trPr>
          <w:trHeight w:val="340"/>
          <w:jc w:val="center"/>
        </w:trPr>
        <w:tc>
          <w:tcPr>
            <w:tcW w:w="2784" w:type="dxa"/>
            <w:vMerge/>
            <w:tcBorders>
              <w:tl2br w:val="nil"/>
              <w:tr2bl w:val="nil"/>
            </w:tcBorders>
            <w:vAlign w:val="center"/>
          </w:tcPr>
          <w:p w14:paraId="4ADE3372" w14:textId="77777777" w:rsidR="00606029" w:rsidRDefault="00606029">
            <w:pPr>
              <w:spacing w:line="280" w:lineRule="exact"/>
              <w:jc w:val="center"/>
            </w:pPr>
          </w:p>
        </w:tc>
        <w:tc>
          <w:tcPr>
            <w:tcW w:w="718" w:type="dxa"/>
            <w:tcBorders>
              <w:tl2br w:val="nil"/>
              <w:tr2bl w:val="nil"/>
            </w:tcBorders>
            <w:vAlign w:val="center"/>
          </w:tcPr>
          <w:p w14:paraId="49687667" w14:textId="77777777" w:rsidR="00606029" w:rsidRDefault="00EA5B92">
            <w:pPr>
              <w:spacing w:line="280" w:lineRule="exact"/>
              <w:jc w:val="center"/>
            </w:pPr>
            <w:r>
              <w:t>大</w:t>
            </w:r>
          </w:p>
        </w:tc>
        <w:tc>
          <w:tcPr>
            <w:tcW w:w="718" w:type="dxa"/>
            <w:tcBorders>
              <w:tl2br w:val="nil"/>
              <w:tr2bl w:val="nil"/>
            </w:tcBorders>
            <w:vAlign w:val="center"/>
          </w:tcPr>
          <w:p w14:paraId="47932D07" w14:textId="77777777" w:rsidR="00606029" w:rsidRDefault="00EA5B92">
            <w:pPr>
              <w:spacing w:line="280" w:lineRule="exact"/>
              <w:jc w:val="center"/>
            </w:pPr>
            <w:r>
              <w:t>中</w:t>
            </w:r>
          </w:p>
        </w:tc>
        <w:tc>
          <w:tcPr>
            <w:tcW w:w="718" w:type="dxa"/>
            <w:tcBorders>
              <w:tl2br w:val="nil"/>
              <w:tr2bl w:val="nil"/>
            </w:tcBorders>
            <w:vAlign w:val="center"/>
          </w:tcPr>
          <w:p w14:paraId="743336B0" w14:textId="77777777" w:rsidR="00606029" w:rsidRDefault="00EA5B92">
            <w:pPr>
              <w:spacing w:line="280" w:lineRule="exact"/>
              <w:jc w:val="center"/>
            </w:pPr>
            <w:r>
              <w:t>小</w:t>
            </w:r>
          </w:p>
        </w:tc>
        <w:tc>
          <w:tcPr>
            <w:tcW w:w="718" w:type="dxa"/>
            <w:tcBorders>
              <w:tl2br w:val="nil"/>
              <w:tr2bl w:val="nil"/>
            </w:tcBorders>
            <w:vAlign w:val="center"/>
          </w:tcPr>
          <w:p w14:paraId="6BC5F346" w14:textId="77777777" w:rsidR="00606029" w:rsidRDefault="00EA5B92">
            <w:pPr>
              <w:spacing w:line="280" w:lineRule="exact"/>
              <w:jc w:val="center"/>
            </w:pPr>
            <w:r>
              <w:t>大</w:t>
            </w:r>
          </w:p>
        </w:tc>
        <w:tc>
          <w:tcPr>
            <w:tcW w:w="718" w:type="dxa"/>
            <w:tcBorders>
              <w:tl2br w:val="nil"/>
              <w:tr2bl w:val="nil"/>
            </w:tcBorders>
            <w:vAlign w:val="center"/>
          </w:tcPr>
          <w:p w14:paraId="2412AFA7" w14:textId="77777777" w:rsidR="00606029" w:rsidRDefault="00EA5B92">
            <w:pPr>
              <w:spacing w:line="280" w:lineRule="exact"/>
              <w:jc w:val="center"/>
            </w:pPr>
            <w:r>
              <w:t>中</w:t>
            </w:r>
          </w:p>
        </w:tc>
        <w:tc>
          <w:tcPr>
            <w:tcW w:w="719" w:type="dxa"/>
            <w:tcBorders>
              <w:tl2br w:val="nil"/>
              <w:tr2bl w:val="nil"/>
            </w:tcBorders>
            <w:vAlign w:val="center"/>
          </w:tcPr>
          <w:p w14:paraId="7BE970CE" w14:textId="77777777" w:rsidR="00606029" w:rsidRDefault="00EA5B92">
            <w:pPr>
              <w:spacing w:line="280" w:lineRule="exact"/>
              <w:jc w:val="center"/>
            </w:pPr>
            <w:r>
              <w:t>小</w:t>
            </w:r>
          </w:p>
        </w:tc>
        <w:tc>
          <w:tcPr>
            <w:tcW w:w="719" w:type="dxa"/>
            <w:tcBorders>
              <w:tl2br w:val="nil"/>
              <w:tr2bl w:val="nil"/>
            </w:tcBorders>
            <w:vAlign w:val="center"/>
          </w:tcPr>
          <w:p w14:paraId="4599988E" w14:textId="77777777" w:rsidR="00606029" w:rsidRDefault="00EA5B92">
            <w:pPr>
              <w:spacing w:line="280" w:lineRule="exact"/>
              <w:jc w:val="center"/>
            </w:pPr>
            <w:r>
              <w:t>大</w:t>
            </w:r>
          </w:p>
        </w:tc>
        <w:tc>
          <w:tcPr>
            <w:tcW w:w="719" w:type="dxa"/>
            <w:tcBorders>
              <w:tl2br w:val="nil"/>
              <w:tr2bl w:val="nil"/>
            </w:tcBorders>
            <w:vAlign w:val="center"/>
          </w:tcPr>
          <w:p w14:paraId="307E5408" w14:textId="77777777" w:rsidR="00606029" w:rsidRDefault="00EA5B92">
            <w:pPr>
              <w:spacing w:line="280" w:lineRule="exact"/>
              <w:jc w:val="center"/>
            </w:pPr>
            <w:r>
              <w:t>中</w:t>
            </w:r>
          </w:p>
        </w:tc>
        <w:tc>
          <w:tcPr>
            <w:tcW w:w="719" w:type="dxa"/>
            <w:tcBorders>
              <w:tl2br w:val="nil"/>
              <w:tr2bl w:val="nil"/>
            </w:tcBorders>
            <w:vAlign w:val="center"/>
          </w:tcPr>
          <w:p w14:paraId="796A8594" w14:textId="77777777" w:rsidR="00606029" w:rsidRDefault="00EA5B92">
            <w:pPr>
              <w:spacing w:line="280" w:lineRule="exact"/>
              <w:jc w:val="center"/>
            </w:pPr>
            <w:r>
              <w:t>小</w:t>
            </w:r>
          </w:p>
        </w:tc>
      </w:tr>
      <w:tr w:rsidR="00606029" w14:paraId="469586CD" w14:textId="77777777">
        <w:trPr>
          <w:trHeight w:val="340"/>
          <w:jc w:val="center"/>
        </w:trPr>
        <w:tc>
          <w:tcPr>
            <w:tcW w:w="2784" w:type="dxa"/>
            <w:tcBorders>
              <w:tl2br w:val="nil"/>
              <w:tr2bl w:val="nil"/>
            </w:tcBorders>
            <w:vAlign w:val="center"/>
          </w:tcPr>
          <w:p w14:paraId="61E29434" w14:textId="77777777" w:rsidR="00606029" w:rsidRDefault="00EA5B92">
            <w:pPr>
              <w:spacing w:line="280" w:lineRule="exact"/>
              <w:jc w:val="center"/>
            </w:pPr>
            <w:r>
              <w:t>敏感</w:t>
            </w:r>
          </w:p>
        </w:tc>
        <w:tc>
          <w:tcPr>
            <w:tcW w:w="718" w:type="dxa"/>
            <w:tcBorders>
              <w:tl2br w:val="nil"/>
              <w:tr2bl w:val="nil"/>
            </w:tcBorders>
            <w:vAlign w:val="center"/>
          </w:tcPr>
          <w:p w14:paraId="4C5C78FD" w14:textId="77777777" w:rsidR="00606029" w:rsidRDefault="00EA5B92">
            <w:pPr>
              <w:spacing w:line="280" w:lineRule="exact"/>
              <w:jc w:val="center"/>
            </w:pPr>
            <w:r>
              <w:t>一级</w:t>
            </w:r>
          </w:p>
        </w:tc>
        <w:tc>
          <w:tcPr>
            <w:tcW w:w="718" w:type="dxa"/>
            <w:tcBorders>
              <w:tl2br w:val="nil"/>
              <w:tr2bl w:val="nil"/>
            </w:tcBorders>
            <w:vAlign w:val="center"/>
          </w:tcPr>
          <w:p w14:paraId="129A638B" w14:textId="77777777" w:rsidR="00606029" w:rsidRDefault="00EA5B92">
            <w:pPr>
              <w:spacing w:line="280" w:lineRule="exact"/>
              <w:jc w:val="center"/>
            </w:pPr>
            <w:r>
              <w:t>一级</w:t>
            </w:r>
          </w:p>
        </w:tc>
        <w:tc>
          <w:tcPr>
            <w:tcW w:w="718" w:type="dxa"/>
            <w:tcBorders>
              <w:tl2br w:val="nil"/>
              <w:tr2bl w:val="nil"/>
            </w:tcBorders>
            <w:vAlign w:val="center"/>
          </w:tcPr>
          <w:p w14:paraId="47E998F9" w14:textId="77777777" w:rsidR="00606029" w:rsidRDefault="00EA5B92">
            <w:pPr>
              <w:spacing w:line="280" w:lineRule="exact"/>
              <w:jc w:val="center"/>
            </w:pPr>
            <w:r>
              <w:t>一级</w:t>
            </w:r>
          </w:p>
        </w:tc>
        <w:tc>
          <w:tcPr>
            <w:tcW w:w="718" w:type="dxa"/>
            <w:tcBorders>
              <w:tl2br w:val="nil"/>
              <w:tr2bl w:val="nil"/>
            </w:tcBorders>
            <w:vAlign w:val="center"/>
          </w:tcPr>
          <w:p w14:paraId="679E5B40" w14:textId="77777777" w:rsidR="00606029" w:rsidRDefault="00EA5B92">
            <w:pPr>
              <w:spacing w:line="280" w:lineRule="exact"/>
              <w:jc w:val="center"/>
            </w:pPr>
            <w:r>
              <w:t>二级</w:t>
            </w:r>
          </w:p>
        </w:tc>
        <w:tc>
          <w:tcPr>
            <w:tcW w:w="718" w:type="dxa"/>
            <w:tcBorders>
              <w:tl2br w:val="nil"/>
              <w:tr2bl w:val="nil"/>
            </w:tcBorders>
            <w:vAlign w:val="center"/>
          </w:tcPr>
          <w:p w14:paraId="411F9B70" w14:textId="77777777" w:rsidR="00606029" w:rsidRDefault="00EA5B92">
            <w:pPr>
              <w:spacing w:line="280" w:lineRule="exact"/>
              <w:jc w:val="center"/>
            </w:pPr>
            <w:r>
              <w:t>二级</w:t>
            </w:r>
          </w:p>
        </w:tc>
        <w:tc>
          <w:tcPr>
            <w:tcW w:w="719" w:type="dxa"/>
            <w:tcBorders>
              <w:tl2br w:val="nil"/>
              <w:tr2bl w:val="nil"/>
            </w:tcBorders>
            <w:vAlign w:val="center"/>
          </w:tcPr>
          <w:p w14:paraId="749AF4D2" w14:textId="77777777" w:rsidR="00606029" w:rsidRDefault="00EA5B92">
            <w:pPr>
              <w:spacing w:line="280" w:lineRule="exact"/>
              <w:jc w:val="center"/>
            </w:pPr>
            <w:r>
              <w:rPr>
                <w:b/>
                <w:bCs/>
              </w:rPr>
              <w:t>二级</w:t>
            </w:r>
          </w:p>
        </w:tc>
        <w:tc>
          <w:tcPr>
            <w:tcW w:w="719" w:type="dxa"/>
            <w:tcBorders>
              <w:tl2br w:val="nil"/>
              <w:tr2bl w:val="nil"/>
            </w:tcBorders>
            <w:vAlign w:val="center"/>
          </w:tcPr>
          <w:p w14:paraId="77AF1405" w14:textId="77777777" w:rsidR="00606029" w:rsidRDefault="00EA5B92">
            <w:pPr>
              <w:spacing w:line="280" w:lineRule="exact"/>
              <w:jc w:val="center"/>
            </w:pPr>
            <w:r>
              <w:t>三级</w:t>
            </w:r>
          </w:p>
        </w:tc>
        <w:tc>
          <w:tcPr>
            <w:tcW w:w="719" w:type="dxa"/>
            <w:tcBorders>
              <w:tl2br w:val="nil"/>
              <w:tr2bl w:val="nil"/>
            </w:tcBorders>
            <w:vAlign w:val="center"/>
          </w:tcPr>
          <w:p w14:paraId="12A00E36" w14:textId="77777777" w:rsidR="00606029" w:rsidRDefault="00EA5B92">
            <w:pPr>
              <w:spacing w:line="280" w:lineRule="exact"/>
              <w:jc w:val="center"/>
            </w:pPr>
            <w:r>
              <w:t>三级</w:t>
            </w:r>
          </w:p>
        </w:tc>
        <w:tc>
          <w:tcPr>
            <w:tcW w:w="719" w:type="dxa"/>
            <w:tcBorders>
              <w:tl2br w:val="nil"/>
              <w:tr2bl w:val="nil"/>
            </w:tcBorders>
            <w:vAlign w:val="center"/>
          </w:tcPr>
          <w:p w14:paraId="214DF3FA" w14:textId="77777777" w:rsidR="00606029" w:rsidRDefault="00EA5B92">
            <w:pPr>
              <w:spacing w:line="280" w:lineRule="exact"/>
              <w:jc w:val="center"/>
            </w:pPr>
            <w:r>
              <w:t>三级</w:t>
            </w:r>
          </w:p>
        </w:tc>
      </w:tr>
      <w:tr w:rsidR="00606029" w14:paraId="1EA60165" w14:textId="77777777">
        <w:trPr>
          <w:trHeight w:val="340"/>
          <w:jc w:val="center"/>
        </w:trPr>
        <w:tc>
          <w:tcPr>
            <w:tcW w:w="2784" w:type="dxa"/>
            <w:tcBorders>
              <w:tl2br w:val="nil"/>
              <w:tr2bl w:val="nil"/>
            </w:tcBorders>
            <w:vAlign w:val="center"/>
          </w:tcPr>
          <w:p w14:paraId="71613D29" w14:textId="77777777" w:rsidR="00606029" w:rsidRDefault="00EA5B92">
            <w:pPr>
              <w:spacing w:line="280" w:lineRule="exact"/>
              <w:jc w:val="center"/>
            </w:pPr>
            <w:r>
              <w:t>较敏感</w:t>
            </w:r>
          </w:p>
        </w:tc>
        <w:tc>
          <w:tcPr>
            <w:tcW w:w="718" w:type="dxa"/>
            <w:tcBorders>
              <w:tl2br w:val="nil"/>
              <w:tr2bl w:val="nil"/>
            </w:tcBorders>
            <w:vAlign w:val="center"/>
          </w:tcPr>
          <w:p w14:paraId="3A74542B" w14:textId="77777777" w:rsidR="00606029" w:rsidRDefault="00EA5B92">
            <w:pPr>
              <w:spacing w:line="280" w:lineRule="exact"/>
              <w:jc w:val="center"/>
            </w:pPr>
            <w:r>
              <w:t>一级</w:t>
            </w:r>
          </w:p>
        </w:tc>
        <w:tc>
          <w:tcPr>
            <w:tcW w:w="718" w:type="dxa"/>
            <w:tcBorders>
              <w:tl2br w:val="nil"/>
              <w:tr2bl w:val="nil"/>
            </w:tcBorders>
            <w:vAlign w:val="center"/>
          </w:tcPr>
          <w:p w14:paraId="1BCDBC48" w14:textId="77777777" w:rsidR="00606029" w:rsidRDefault="00EA5B92">
            <w:pPr>
              <w:spacing w:line="280" w:lineRule="exact"/>
              <w:jc w:val="center"/>
            </w:pPr>
            <w:r>
              <w:t>一级</w:t>
            </w:r>
          </w:p>
        </w:tc>
        <w:tc>
          <w:tcPr>
            <w:tcW w:w="718" w:type="dxa"/>
            <w:tcBorders>
              <w:tl2br w:val="nil"/>
              <w:tr2bl w:val="nil"/>
            </w:tcBorders>
            <w:vAlign w:val="center"/>
          </w:tcPr>
          <w:p w14:paraId="3EBCD4A6" w14:textId="77777777" w:rsidR="00606029" w:rsidRDefault="00EA5B92">
            <w:pPr>
              <w:spacing w:line="280" w:lineRule="exact"/>
              <w:jc w:val="center"/>
            </w:pPr>
            <w:r>
              <w:t>二级</w:t>
            </w:r>
          </w:p>
        </w:tc>
        <w:tc>
          <w:tcPr>
            <w:tcW w:w="718" w:type="dxa"/>
            <w:tcBorders>
              <w:tl2br w:val="nil"/>
              <w:tr2bl w:val="nil"/>
            </w:tcBorders>
            <w:vAlign w:val="center"/>
          </w:tcPr>
          <w:p w14:paraId="6D36AA83" w14:textId="77777777" w:rsidR="00606029" w:rsidRDefault="00EA5B92">
            <w:pPr>
              <w:spacing w:line="280" w:lineRule="exact"/>
              <w:jc w:val="center"/>
            </w:pPr>
            <w:r>
              <w:t>二级</w:t>
            </w:r>
          </w:p>
        </w:tc>
        <w:tc>
          <w:tcPr>
            <w:tcW w:w="718" w:type="dxa"/>
            <w:tcBorders>
              <w:tl2br w:val="nil"/>
              <w:tr2bl w:val="nil"/>
            </w:tcBorders>
            <w:vAlign w:val="center"/>
          </w:tcPr>
          <w:p w14:paraId="653844FF" w14:textId="77777777" w:rsidR="00606029" w:rsidRDefault="00EA5B92">
            <w:pPr>
              <w:spacing w:line="280" w:lineRule="exact"/>
              <w:jc w:val="center"/>
            </w:pPr>
            <w:r>
              <w:t>二级</w:t>
            </w:r>
          </w:p>
        </w:tc>
        <w:tc>
          <w:tcPr>
            <w:tcW w:w="719" w:type="dxa"/>
            <w:tcBorders>
              <w:tl2br w:val="nil"/>
              <w:tr2bl w:val="nil"/>
            </w:tcBorders>
            <w:vAlign w:val="center"/>
          </w:tcPr>
          <w:p w14:paraId="3ABBC992" w14:textId="77777777" w:rsidR="00606029" w:rsidRDefault="00EA5B92">
            <w:pPr>
              <w:spacing w:line="280" w:lineRule="exact"/>
              <w:jc w:val="center"/>
            </w:pPr>
            <w:r>
              <w:t>三级</w:t>
            </w:r>
          </w:p>
        </w:tc>
        <w:tc>
          <w:tcPr>
            <w:tcW w:w="719" w:type="dxa"/>
            <w:tcBorders>
              <w:tl2br w:val="nil"/>
              <w:tr2bl w:val="nil"/>
            </w:tcBorders>
            <w:vAlign w:val="center"/>
          </w:tcPr>
          <w:p w14:paraId="5130C533" w14:textId="77777777" w:rsidR="00606029" w:rsidRDefault="00EA5B92">
            <w:pPr>
              <w:spacing w:line="280" w:lineRule="exact"/>
              <w:jc w:val="center"/>
            </w:pPr>
            <w:r>
              <w:t>三级</w:t>
            </w:r>
          </w:p>
        </w:tc>
        <w:tc>
          <w:tcPr>
            <w:tcW w:w="719" w:type="dxa"/>
            <w:tcBorders>
              <w:tl2br w:val="nil"/>
              <w:tr2bl w:val="nil"/>
            </w:tcBorders>
            <w:vAlign w:val="center"/>
          </w:tcPr>
          <w:p w14:paraId="570A033A" w14:textId="77777777" w:rsidR="00606029" w:rsidRDefault="00EA5B92">
            <w:pPr>
              <w:spacing w:line="280" w:lineRule="exact"/>
              <w:jc w:val="center"/>
            </w:pPr>
            <w:r>
              <w:t>三级</w:t>
            </w:r>
          </w:p>
        </w:tc>
        <w:tc>
          <w:tcPr>
            <w:tcW w:w="719" w:type="dxa"/>
            <w:tcBorders>
              <w:tl2br w:val="nil"/>
              <w:tr2bl w:val="nil"/>
            </w:tcBorders>
            <w:vAlign w:val="center"/>
          </w:tcPr>
          <w:p w14:paraId="362AAFC6" w14:textId="77777777" w:rsidR="00606029" w:rsidRDefault="00EA5B92">
            <w:pPr>
              <w:spacing w:line="280" w:lineRule="exact"/>
              <w:jc w:val="center"/>
            </w:pPr>
            <w:r>
              <w:t>—</w:t>
            </w:r>
          </w:p>
        </w:tc>
      </w:tr>
      <w:tr w:rsidR="00606029" w14:paraId="68B79BD5" w14:textId="77777777">
        <w:trPr>
          <w:trHeight w:val="340"/>
          <w:jc w:val="center"/>
        </w:trPr>
        <w:tc>
          <w:tcPr>
            <w:tcW w:w="2784" w:type="dxa"/>
            <w:tcBorders>
              <w:tl2br w:val="nil"/>
              <w:tr2bl w:val="nil"/>
            </w:tcBorders>
            <w:vAlign w:val="center"/>
          </w:tcPr>
          <w:p w14:paraId="61903796" w14:textId="77777777" w:rsidR="00606029" w:rsidRDefault="00EA5B92">
            <w:pPr>
              <w:spacing w:line="280" w:lineRule="exact"/>
              <w:jc w:val="center"/>
            </w:pPr>
            <w:r>
              <w:t>不敏感</w:t>
            </w:r>
          </w:p>
        </w:tc>
        <w:tc>
          <w:tcPr>
            <w:tcW w:w="718" w:type="dxa"/>
            <w:tcBorders>
              <w:tl2br w:val="nil"/>
              <w:tr2bl w:val="nil"/>
            </w:tcBorders>
            <w:vAlign w:val="center"/>
          </w:tcPr>
          <w:p w14:paraId="74B162A9" w14:textId="77777777" w:rsidR="00606029" w:rsidRDefault="00EA5B92">
            <w:pPr>
              <w:spacing w:line="280" w:lineRule="exact"/>
              <w:jc w:val="center"/>
            </w:pPr>
            <w:r>
              <w:t>一级</w:t>
            </w:r>
          </w:p>
        </w:tc>
        <w:tc>
          <w:tcPr>
            <w:tcW w:w="718" w:type="dxa"/>
            <w:tcBorders>
              <w:tl2br w:val="nil"/>
              <w:tr2bl w:val="nil"/>
            </w:tcBorders>
            <w:vAlign w:val="center"/>
          </w:tcPr>
          <w:p w14:paraId="5422E02F" w14:textId="77777777" w:rsidR="00606029" w:rsidRDefault="00EA5B92">
            <w:pPr>
              <w:spacing w:line="280" w:lineRule="exact"/>
              <w:jc w:val="center"/>
            </w:pPr>
            <w:r>
              <w:t>二级</w:t>
            </w:r>
          </w:p>
        </w:tc>
        <w:tc>
          <w:tcPr>
            <w:tcW w:w="718" w:type="dxa"/>
            <w:tcBorders>
              <w:tl2br w:val="nil"/>
              <w:tr2bl w:val="nil"/>
            </w:tcBorders>
            <w:vAlign w:val="center"/>
          </w:tcPr>
          <w:p w14:paraId="58FF4F67" w14:textId="77777777" w:rsidR="00606029" w:rsidRDefault="00EA5B92">
            <w:pPr>
              <w:spacing w:line="280" w:lineRule="exact"/>
              <w:jc w:val="center"/>
            </w:pPr>
            <w:r>
              <w:t>二级</w:t>
            </w:r>
          </w:p>
        </w:tc>
        <w:tc>
          <w:tcPr>
            <w:tcW w:w="718" w:type="dxa"/>
            <w:tcBorders>
              <w:tl2br w:val="nil"/>
              <w:tr2bl w:val="nil"/>
            </w:tcBorders>
            <w:vAlign w:val="center"/>
          </w:tcPr>
          <w:p w14:paraId="55960493" w14:textId="77777777" w:rsidR="00606029" w:rsidRDefault="00EA5B92">
            <w:pPr>
              <w:spacing w:line="280" w:lineRule="exact"/>
              <w:jc w:val="center"/>
            </w:pPr>
            <w:r>
              <w:t>二级</w:t>
            </w:r>
          </w:p>
        </w:tc>
        <w:tc>
          <w:tcPr>
            <w:tcW w:w="718" w:type="dxa"/>
            <w:tcBorders>
              <w:tl2br w:val="nil"/>
              <w:tr2bl w:val="nil"/>
            </w:tcBorders>
            <w:vAlign w:val="center"/>
          </w:tcPr>
          <w:p w14:paraId="773A534A" w14:textId="77777777" w:rsidR="00606029" w:rsidRDefault="00EA5B92">
            <w:pPr>
              <w:spacing w:line="280" w:lineRule="exact"/>
              <w:jc w:val="center"/>
            </w:pPr>
            <w:r>
              <w:t>三级</w:t>
            </w:r>
          </w:p>
        </w:tc>
        <w:tc>
          <w:tcPr>
            <w:tcW w:w="719" w:type="dxa"/>
            <w:tcBorders>
              <w:tl2br w:val="nil"/>
              <w:tr2bl w:val="nil"/>
            </w:tcBorders>
            <w:vAlign w:val="center"/>
          </w:tcPr>
          <w:p w14:paraId="139A4090" w14:textId="77777777" w:rsidR="00606029" w:rsidRDefault="00EA5B92">
            <w:pPr>
              <w:spacing w:line="280" w:lineRule="exact"/>
              <w:jc w:val="center"/>
            </w:pPr>
            <w:r>
              <w:t>三级</w:t>
            </w:r>
          </w:p>
        </w:tc>
        <w:tc>
          <w:tcPr>
            <w:tcW w:w="719" w:type="dxa"/>
            <w:tcBorders>
              <w:tl2br w:val="nil"/>
              <w:tr2bl w:val="nil"/>
            </w:tcBorders>
            <w:vAlign w:val="center"/>
          </w:tcPr>
          <w:p w14:paraId="1FAB7F66" w14:textId="77777777" w:rsidR="00606029" w:rsidRDefault="00EA5B92">
            <w:pPr>
              <w:spacing w:line="280" w:lineRule="exact"/>
              <w:jc w:val="center"/>
            </w:pPr>
            <w:r>
              <w:t>三级</w:t>
            </w:r>
          </w:p>
        </w:tc>
        <w:tc>
          <w:tcPr>
            <w:tcW w:w="719" w:type="dxa"/>
            <w:tcBorders>
              <w:tl2br w:val="nil"/>
              <w:tr2bl w:val="nil"/>
            </w:tcBorders>
            <w:vAlign w:val="center"/>
          </w:tcPr>
          <w:p w14:paraId="1143308B" w14:textId="77777777" w:rsidR="00606029" w:rsidRDefault="00EA5B92">
            <w:pPr>
              <w:spacing w:line="280" w:lineRule="exact"/>
              <w:jc w:val="center"/>
            </w:pPr>
            <w:r>
              <w:t>—</w:t>
            </w:r>
          </w:p>
        </w:tc>
        <w:tc>
          <w:tcPr>
            <w:tcW w:w="719" w:type="dxa"/>
            <w:tcBorders>
              <w:tl2br w:val="nil"/>
              <w:tr2bl w:val="nil"/>
            </w:tcBorders>
            <w:vAlign w:val="center"/>
          </w:tcPr>
          <w:p w14:paraId="59A9F8B8" w14:textId="77777777" w:rsidR="00606029" w:rsidRDefault="00EA5B92">
            <w:pPr>
              <w:spacing w:line="280" w:lineRule="exact"/>
              <w:jc w:val="center"/>
            </w:pPr>
            <w:r>
              <w:t>—</w:t>
            </w:r>
          </w:p>
        </w:tc>
      </w:tr>
      <w:tr w:rsidR="00606029" w14:paraId="0F6FBD7F" w14:textId="77777777">
        <w:trPr>
          <w:trHeight w:val="340"/>
          <w:jc w:val="center"/>
        </w:trPr>
        <w:tc>
          <w:tcPr>
            <w:tcW w:w="9250" w:type="dxa"/>
            <w:gridSpan w:val="10"/>
            <w:tcBorders>
              <w:tl2br w:val="nil"/>
              <w:tr2bl w:val="nil"/>
            </w:tcBorders>
            <w:vAlign w:val="center"/>
          </w:tcPr>
          <w:p w14:paraId="66E23748" w14:textId="2AFEBFAE" w:rsidR="00606029" w:rsidRDefault="00EA5B92">
            <w:pPr>
              <w:spacing w:line="280" w:lineRule="exact"/>
              <w:jc w:val="center"/>
            </w:pPr>
            <w:r>
              <w:t>注</w:t>
            </w:r>
            <w:r w:rsidR="006A52CC">
              <w:t>：</w:t>
            </w:r>
            <w:r>
              <w:t>“—”</w:t>
            </w:r>
            <w:r>
              <w:t>表示可不开展土壤环境影响评价工作。</w:t>
            </w:r>
          </w:p>
        </w:tc>
      </w:tr>
    </w:tbl>
    <w:p w14:paraId="4CC559AC" w14:textId="77777777" w:rsidR="00606029" w:rsidRDefault="00EA5B92">
      <w:pPr>
        <w:pStyle w:val="CharCharChar"/>
        <w:spacing w:beforeLines="50" w:before="120" w:line="360" w:lineRule="auto"/>
        <w:rPr>
          <w:rFonts w:ascii="Times New Roman" w:hAnsi="Times New Roman"/>
        </w:rPr>
      </w:pPr>
      <w:r>
        <w:rPr>
          <w:rFonts w:ascii="Times New Roman" w:hAnsi="Times New Roman"/>
        </w:rPr>
        <w:t>根据上表可知，本项目土壤评价等级为二级。</w:t>
      </w:r>
    </w:p>
    <w:p w14:paraId="4A0DFF97" w14:textId="79CD8178" w:rsidR="00606029" w:rsidRDefault="00EA5B92">
      <w:pPr>
        <w:pStyle w:val="4"/>
      </w:pPr>
      <w:r>
        <w:t>6.2.4.</w:t>
      </w:r>
      <w:r w:rsidR="00286EB6">
        <w:rPr>
          <w:rFonts w:hint="eastAsia"/>
        </w:rPr>
        <w:t>3</w:t>
      </w:r>
      <w:r>
        <w:t>影响因子识别</w:t>
      </w:r>
    </w:p>
    <w:p w14:paraId="1613111C" w14:textId="40A53571" w:rsidR="00606029" w:rsidRDefault="00EA5B92">
      <w:pPr>
        <w:pStyle w:val="affffff4"/>
      </w:pPr>
      <w:r>
        <w:t>本项目运营期淋溶水能有效收集处置，不涉及地面漫流，</w:t>
      </w:r>
      <w:r w:rsidRPr="003B6D9F">
        <w:t>但存在淋溶水导排盲沟、填埋场区底部防渗层出现破损可能污染土壤环境，影响途径为垂直入渗</w:t>
      </w:r>
      <w:r>
        <w:t>；项目废气中不含重金属，不涉及大气沉降污染土壤。项目服务期满后，原生产设备可外售处置，构筑物拆除，不会遗留影响土壤环境的因素。综上，本项目属于土壤污染影响型，影响途径详见下表。</w:t>
      </w:r>
    </w:p>
    <w:p w14:paraId="74841D0F" w14:textId="1BB53B8D" w:rsidR="00606029" w:rsidRDefault="00EA5B92">
      <w:pPr>
        <w:pStyle w:val="affffff5"/>
      </w:pPr>
      <w:r>
        <w:t>表</w:t>
      </w:r>
      <w:r>
        <w:t>6.2</w:t>
      </w:r>
      <w:r w:rsidR="00FD0A87">
        <w:rPr>
          <w:rFonts w:hint="eastAsia"/>
        </w:rPr>
        <w:t>-24</w:t>
      </w:r>
      <w:r>
        <w:t xml:space="preserve"> </w:t>
      </w:r>
      <w:r>
        <w:t>建设项目土壤环境影响类型及影响途径表</w:t>
      </w:r>
    </w:p>
    <w:tbl>
      <w:tblPr>
        <w:tblStyle w:val="TableNormal"/>
        <w:tblW w:w="4999" w:type="pct"/>
        <w:tblInd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ook w:val="04A0" w:firstRow="1" w:lastRow="0" w:firstColumn="1" w:lastColumn="0" w:noHBand="0" w:noVBand="1"/>
      </w:tblPr>
      <w:tblGrid>
        <w:gridCol w:w="1765"/>
        <w:gridCol w:w="1765"/>
        <w:gridCol w:w="1765"/>
        <w:gridCol w:w="1765"/>
        <w:gridCol w:w="1772"/>
      </w:tblGrid>
      <w:tr w:rsidR="00606029" w14:paraId="3C97B4E6" w14:textId="77777777">
        <w:trPr>
          <w:trHeight w:val="57"/>
        </w:trPr>
        <w:tc>
          <w:tcPr>
            <w:tcW w:w="999" w:type="pct"/>
            <w:vMerge w:val="restart"/>
            <w:tcBorders>
              <w:top w:val="single" w:sz="4" w:space="0" w:color="auto"/>
              <w:left w:val="single" w:sz="4" w:space="0" w:color="auto"/>
              <w:bottom w:val="nil"/>
            </w:tcBorders>
            <w:vAlign w:val="center"/>
          </w:tcPr>
          <w:p w14:paraId="0B5BCA01" w14:textId="77777777" w:rsidR="00606029" w:rsidRDefault="00EA5B92">
            <w:pPr>
              <w:adjustRightInd w:val="0"/>
              <w:snapToGrid w:val="0"/>
              <w:jc w:val="center"/>
              <w:rPr>
                <w:lang w:eastAsia="en-US"/>
              </w:rPr>
            </w:pPr>
            <w:r>
              <w:rPr>
                <w:lang w:eastAsia="en-US"/>
              </w:rPr>
              <w:t>不同时段</w:t>
            </w:r>
          </w:p>
        </w:tc>
        <w:tc>
          <w:tcPr>
            <w:tcW w:w="4000" w:type="pct"/>
            <w:gridSpan w:val="4"/>
            <w:tcBorders>
              <w:top w:val="single" w:sz="4" w:space="0" w:color="auto"/>
              <w:right w:val="single" w:sz="4" w:space="0" w:color="auto"/>
            </w:tcBorders>
            <w:vAlign w:val="center"/>
          </w:tcPr>
          <w:p w14:paraId="5B613E16" w14:textId="77777777" w:rsidR="00606029" w:rsidRDefault="00EA5B92">
            <w:pPr>
              <w:adjustRightInd w:val="0"/>
              <w:snapToGrid w:val="0"/>
              <w:jc w:val="center"/>
              <w:rPr>
                <w:lang w:eastAsia="en-US"/>
              </w:rPr>
            </w:pPr>
            <w:r>
              <w:rPr>
                <w:lang w:eastAsia="en-US"/>
              </w:rPr>
              <w:t>污染影响型</w:t>
            </w:r>
          </w:p>
        </w:tc>
      </w:tr>
      <w:tr w:rsidR="00606029" w14:paraId="00B7B2BD" w14:textId="77777777">
        <w:trPr>
          <w:trHeight w:val="57"/>
        </w:trPr>
        <w:tc>
          <w:tcPr>
            <w:tcW w:w="999" w:type="pct"/>
            <w:vMerge/>
            <w:tcBorders>
              <w:top w:val="nil"/>
              <w:left w:val="single" w:sz="4" w:space="0" w:color="auto"/>
            </w:tcBorders>
            <w:vAlign w:val="center"/>
          </w:tcPr>
          <w:p w14:paraId="2303AC68" w14:textId="77777777" w:rsidR="00606029" w:rsidRDefault="00606029">
            <w:pPr>
              <w:adjustRightInd w:val="0"/>
              <w:snapToGrid w:val="0"/>
              <w:jc w:val="center"/>
              <w:rPr>
                <w:lang w:eastAsia="en-US"/>
              </w:rPr>
            </w:pPr>
          </w:p>
        </w:tc>
        <w:tc>
          <w:tcPr>
            <w:tcW w:w="999" w:type="pct"/>
            <w:vAlign w:val="center"/>
          </w:tcPr>
          <w:p w14:paraId="5EF9C4E1" w14:textId="77777777" w:rsidR="00606029" w:rsidRDefault="00EA5B92">
            <w:pPr>
              <w:adjustRightInd w:val="0"/>
              <w:snapToGrid w:val="0"/>
              <w:jc w:val="center"/>
              <w:rPr>
                <w:lang w:eastAsia="en-US"/>
              </w:rPr>
            </w:pPr>
            <w:r>
              <w:rPr>
                <w:lang w:eastAsia="en-US"/>
              </w:rPr>
              <w:t>大气沉降</w:t>
            </w:r>
          </w:p>
        </w:tc>
        <w:tc>
          <w:tcPr>
            <w:tcW w:w="999" w:type="pct"/>
            <w:vAlign w:val="center"/>
          </w:tcPr>
          <w:p w14:paraId="2F02E74C" w14:textId="77777777" w:rsidR="00606029" w:rsidRDefault="00EA5B92">
            <w:pPr>
              <w:adjustRightInd w:val="0"/>
              <w:snapToGrid w:val="0"/>
              <w:jc w:val="center"/>
              <w:rPr>
                <w:lang w:eastAsia="en-US"/>
              </w:rPr>
            </w:pPr>
            <w:r>
              <w:rPr>
                <w:lang w:eastAsia="en-US"/>
              </w:rPr>
              <w:t>地面漫流</w:t>
            </w:r>
          </w:p>
        </w:tc>
        <w:tc>
          <w:tcPr>
            <w:tcW w:w="999" w:type="pct"/>
            <w:vAlign w:val="center"/>
          </w:tcPr>
          <w:p w14:paraId="1D70163E" w14:textId="77777777" w:rsidR="00606029" w:rsidRDefault="00EA5B92">
            <w:pPr>
              <w:adjustRightInd w:val="0"/>
              <w:snapToGrid w:val="0"/>
              <w:jc w:val="center"/>
              <w:rPr>
                <w:lang w:eastAsia="en-US"/>
              </w:rPr>
            </w:pPr>
            <w:r>
              <w:rPr>
                <w:lang w:eastAsia="en-US"/>
              </w:rPr>
              <w:t>垂直入渗</w:t>
            </w:r>
          </w:p>
        </w:tc>
        <w:tc>
          <w:tcPr>
            <w:tcW w:w="1001" w:type="pct"/>
            <w:tcBorders>
              <w:right w:val="single" w:sz="4" w:space="0" w:color="auto"/>
            </w:tcBorders>
            <w:vAlign w:val="center"/>
          </w:tcPr>
          <w:p w14:paraId="701214DF" w14:textId="77777777" w:rsidR="00606029" w:rsidRDefault="00EA5B92">
            <w:pPr>
              <w:adjustRightInd w:val="0"/>
              <w:snapToGrid w:val="0"/>
              <w:jc w:val="center"/>
              <w:rPr>
                <w:lang w:eastAsia="en-US"/>
              </w:rPr>
            </w:pPr>
            <w:r>
              <w:rPr>
                <w:lang w:eastAsia="en-US"/>
              </w:rPr>
              <w:t>其他</w:t>
            </w:r>
          </w:p>
        </w:tc>
      </w:tr>
      <w:tr w:rsidR="00606029" w14:paraId="3B8F48E1" w14:textId="77777777">
        <w:trPr>
          <w:trHeight w:val="57"/>
        </w:trPr>
        <w:tc>
          <w:tcPr>
            <w:tcW w:w="999" w:type="pct"/>
            <w:tcBorders>
              <w:left w:val="single" w:sz="4" w:space="0" w:color="auto"/>
            </w:tcBorders>
            <w:vAlign w:val="center"/>
          </w:tcPr>
          <w:p w14:paraId="2250BCBA" w14:textId="77777777" w:rsidR="00606029" w:rsidRDefault="00EA5B92">
            <w:pPr>
              <w:adjustRightInd w:val="0"/>
              <w:snapToGrid w:val="0"/>
              <w:jc w:val="center"/>
              <w:rPr>
                <w:lang w:eastAsia="en-US"/>
              </w:rPr>
            </w:pPr>
            <w:r>
              <w:rPr>
                <w:lang w:eastAsia="en-US"/>
              </w:rPr>
              <w:t>施工期</w:t>
            </w:r>
          </w:p>
        </w:tc>
        <w:tc>
          <w:tcPr>
            <w:tcW w:w="999" w:type="pct"/>
            <w:vAlign w:val="center"/>
          </w:tcPr>
          <w:p w14:paraId="0E64EAAA" w14:textId="77777777" w:rsidR="00606029" w:rsidRDefault="00606029">
            <w:pPr>
              <w:adjustRightInd w:val="0"/>
              <w:snapToGrid w:val="0"/>
              <w:jc w:val="center"/>
              <w:rPr>
                <w:lang w:eastAsia="en-US"/>
              </w:rPr>
            </w:pPr>
          </w:p>
        </w:tc>
        <w:tc>
          <w:tcPr>
            <w:tcW w:w="999" w:type="pct"/>
            <w:vAlign w:val="center"/>
          </w:tcPr>
          <w:p w14:paraId="508B387D" w14:textId="77777777" w:rsidR="00606029" w:rsidRDefault="00606029">
            <w:pPr>
              <w:adjustRightInd w:val="0"/>
              <w:snapToGrid w:val="0"/>
              <w:jc w:val="center"/>
              <w:rPr>
                <w:lang w:eastAsia="en-US"/>
              </w:rPr>
            </w:pPr>
          </w:p>
        </w:tc>
        <w:tc>
          <w:tcPr>
            <w:tcW w:w="999" w:type="pct"/>
            <w:vAlign w:val="center"/>
          </w:tcPr>
          <w:p w14:paraId="0802E280" w14:textId="77777777" w:rsidR="00606029" w:rsidRDefault="00606029">
            <w:pPr>
              <w:adjustRightInd w:val="0"/>
              <w:snapToGrid w:val="0"/>
              <w:jc w:val="center"/>
              <w:rPr>
                <w:lang w:eastAsia="en-US"/>
              </w:rPr>
            </w:pPr>
          </w:p>
        </w:tc>
        <w:tc>
          <w:tcPr>
            <w:tcW w:w="1001" w:type="pct"/>
            <w:tcBorders>
              <w:right w:val="single" w:sz="4" w:space="0" w:color="auto"/>
            </w:tcBorders>
            <w:vAlign w:val="center"/>
          </w:tcPr>
          <w:p w14:paraId="71B80471" w14:textId="77777777" w:rsidR="00606029" w:rsidRDefault="00606029">
            <w:pPr>
              <w:adjustRightInd w:val="0"/>
              <w:snapToGrid w:val="0"/>
              <w:jc w:val="center"/>
              <w:rPr>
                <w:lang w:eastAsia="en-US"/>
              </w:rPr>
            </w:pPr>
          </w:p>
        </w:tc>
      </w:tr>
      <w:tr w:rsidR="00606029" w14:paraId="248C92B7" w14:textId="77777777">
        <w:trPr>
          <w:trHeight w:val="57"/>
        </w:trPr>
        <w:tc>
          <w:tcPr>
            <w:tcW w:w="999" w:type="pct"/>
            <w:tcBorders>
              <w:left w:val="single" w:sz="4" w:space="0" w:color="auto"/>
            </w:tcBorders>
            <w:vAlign w:val="center"/>
          </w:tcPr>
          <w:p w14:paraId="02EBB3E3" w14:textId="77777777" w:rsidR="00606029" w:rsidRDefault="00EA5B92">
            <w:pPr>
              <w:adjustRightInd w:val="0"/>
              <w:snapToGrid w:val="0"/>
              <w:jc w:val="center"/>
              <w:rPr>
                <w:lang w:eastAsia="en-US"/>
              </w:rPr>
            </w:pPr>
            <w:r>
              <w:rPr>
                <w:lang w:eastAsia="en-US"/>
              </w:rPr>
              <w:t>运营期</w:t>
            </w:r>
          </w:p>
        </w:tc>
        <w:tc>
          <w:tcPr>
            <w:tcW w:w="999" w:type="pct"/>
            <w:vAlign w:val="center"/>
          </w:tcPr>
          <w:p w14:paraId="2760BE45" w14:textId="77777777" w:rsidR="00606029" w:rsidRDefault="00606029">
            <w:pPr>
              <w:adjustRightInd w:val="0"/>
              <w:snapToGrid w:val="0"/>
              <w:jc w:val="center"/>
              <w:rPr>
                <w:lang w:eastAsia="en-US"/>
              </w:rPr>
            </w:pPr>
          </w:p>
        </w:tc>
        <w:tc>
          <w:tcPr>
            <w:tcW w:w="999" w:type="pct"/>
            <w:vAlign w:val="center"/>
          </w:tcPr>
          <w:p w14:paraId="45701664" w14:textId="77777777" w:rsidR="00606029" w:rsidRDefault="00606029">
            <w:pPr>
              <w:adjustRightInd w:val="0"/>
              <w:snapToGrid w:val="0"/>
              <w:jc w:val="center"/>
              <w:rPr>
                <w:lang w:eastAsia="en-US"/>
              </w:rPr>
            </w:pPr>
          </w:p>
        </w:tc>
        <w:tc>
          <w:tcPr>
            <w:tcW w:w="999" w:type="pct"/>
            <w:vAlign w:val="center"/>
          </w:tcPr>
          <w:p w14:paraId="7817C315" w14:textId="77777777" w:rsidR="00606029" w:rsidRDefault="00EA5B92">
            <w:pPr>
              <w:adjustRightInd w:val="0"/>
              <w:snapToGrid w:val="0"/>
              <w:jc w:val="center"/>
              <w:rPr>
                <w:lang w:eastAsia="en-US"/>
              </w:rPr>
            </w:pPr>
            <w:r>
              <w:rPr>
                <w:lang w:eastAsia="en-US"/>
              </w:rPr>
              <w:t>√</w:t>
            </w:r>
          </w:p>
        </w:tc>
        <w:tc>
          <w:tcPr>
            <w:tcW w:w="1001" w:type="pct"/>
            <w:tcBorders>
              <w:right w:val="single" w:sz="4" w:space="0" w:color="auto"/>
            </w:tcBorders>
            <w:vAlign w:val="center"/>
          </w:tcPr>
          <w:p w14:paraId="42A3E4C8" w14:textId="77777777" w:rsidR="00606029" w:rsidRDefault="00606029">
            <w:pPr>
              <w:adjustRightInd w:val="0"/>
              <w:snapToGrid w:val="0"/>
              <w:jc w:val="center"/>
              <w:rPr>
                <w:lang w:eastAsia="en-US"/>
              </w:rPr>
            </w:pPr>
          </w:p>
        </w:tc>
      </w:tr>
      <w:tr w:rsidR="00606029" w14:paraId="4B6B51DF" w14:textId="77777777">
        <w:trPr>
          <w:trHeight w:val="57"/>
        </w:trPr>
        <w:tc>
          <w:tcPr>
            <w:tcW w:w="999" w:type="pct"/>
            <w:tcBorders>
              <w:left w:val="single" w:sz="4" w:space="0" w:color="auto"/>
              <w:bottom w:val="single" w:sz="4" w:space="0" w:color="auto"/>
            </w:tcBorders>
            <w:vAlign w:val="center"/>
          </w:tcPr>
          <w:p w14:paraId="3FE549F3" w14:textId="77777777" w:rsidR="00606029" w:rsidRDefault="00EA5B92">
            <w:pPr>
              <w:adjustRightInd w:val="0"/>
              <w:snapToGrid w:val="0"/>
              <w:jc w:val="center"/>
              <w:rPr>
                <w:lang w:eastAsia="en-US"/>
              </w:rPr>
            </w:pPr>
            <w:r>
              <w:rPr>
                <w:lang w:eastAsia="en-US"/>
              </w:rPr>
              <w:t>服务期满后</w:t>
            </w:r>
          </w:p>
        </w:tc>
        <w:tc>
          <w:tcPr>
            <w:tcW w:w="999" w:type="pct"/>
            <w:tcBorders>
              <w:bottom w:val="single" w:sz="4" w:space="0" w:color="auto"/>
            </w:tcBorders>
            <w:vAlign w:val="center"/>
          </w:tcPr>
          <w:p w14:paraId="5A52D674" w14:textId="77777777" w:rsidR="00606029" w:rsidRDefault="00606029">
            <w:pPr>
              <w:adjustRightInd w:val="0"/>
              <w:snapToGrid w:val="0"/>
              <w:jc w:val="center"/>
              <w:rPr>
                <w:lang w:eastAsia="en-US"/>
              </w:rPr>
            </w:pPr>
          </w:p>
        </w:tc>
        <w:tc>
          <w:tcPr>
            <w:tcW w:w="999" w:type="pct"/>
            <w:tcBorders>
              <w:bottom w:val="single" w:sz="4" w:space="0" w:color="auto"/>
            </w:tcBorders>
            <w:vAlign w:val="center"/>
          </w:tcPr>
          <w:p w14:paraId="36F9FE8D" w14:textId="77777777" w:rsidR="00606029" w:rsidRDefault="00606029">
            <w:pPr>
              <w:adjustRightInd w:val="0"/>
              <w:snapToGrid w:val="0"/>
              <w:jc w:val="center"/>
              <w:rPr>
                <w:lang w:eastAsia="en-US"/>
              </w:rPr>
            </w:pPr>
          </w:p>
        </w:tc>
        <w:tc>
          <w:tcPr>
            <w:tcW w:w="999" w:type="pct"/>
            <w:tcBorders>
              <w:bottom w:val="single" w:sz="4" w:space="0" w:color="auto"/>
            </w:tcBorders>
            <w:vAlign w:val="center"/>
          </w:tcPr>
          <w:p w14:paraId="2FA73BF8" w14:textId="77777777" w:rsidR="00606029" w:rsidRDefault="00606029">
            <w:pPr>
              <w:adjustRightInd w:val="0"/>
              <w:snapToGrid w:val="0"/>
              <w:jc w:val="center"/>
              <w:rPr>
                <w:lang w:eastAsia="en-US"/>
              </w:rPr>
            </w:pPr>
          </w:p>
        </w:tc>
        <w:tc>
          <w:tcPr>
            <w:tcW w:w="1001" w:type="pct"/>
            <w:tcBorders>
              <w:bottom w:val="single" w:sz="4" w:space="0" w:color="auto"/>
              <w:right w:val="single" w:sz="4" w:space="0" w:color="auto"/>
            </w:tcBorders>
            <w:vAlign w:val="center"/>
          </w:tcPr>
          <w:p w14:paraId="3DB45D47" w14:textId="77777777" w:rsidR="00606029" w:rsidRDefault="00606029">
            <w:pPr>
              <w:adjustRightInd w:val="0"/>
              <w:snapToGrid w:val="0"/>
              <w:jc w:val="center"/>
              <w:rPr>
                <w:lang w:eastAsia="en-US"/>
              </w:rPr>
            </w:pPr>
          </w:p>
        </w:tc>
      </w:tr>
    </w:tbl>
    <w:p w14:paraId="6F30B31F" w14:textId="77777777" w:rsidR="00606029" w:rsidRDefault="00EA5B92">
      <w:pPr>
        <w:pStyle w:val="affffff4"/>
        <w:spacing w:beforeLines="50" w:before="120"/>
      </w:pPr>
      <w:r>
        <w:lastRenderedPageBreak/>
        <w:t>本项目土壤环境影响源及影响因子识别情况见下表。</w:t>
      </w:r>
    </w:p>
    <w:p w14:paraId="3A54A7AB" w14:textId="1526A326" w:rsidR="00606029" w:rsidRDefault="00EA5B92">
      <w:pPr>
        <w:pStyle w:val="affffff5"/>
      </w:pPr>
      <w:r>
        <w:t>表</w:t>
      </w:r>
      <w:r>
        <w:t>6.2</w:t>
      </w:r>
      <w:r w:rsidR="00FD0A87">
        <w:rPr>
          <w:rFonts w:hint="eastAsia"/>
        </w:rPr>
        <w:t>-25</w:t>
      </w:r>
      <w:r>
        <w:t xml:space="preserve"> </w:t>
      </w:r>
      <w:r>
        <w:t>污染影响型建设项目土壤环境影响源及影响因子识别表</w:t>
      </w:r>
    </w:p>
    <w:tbl>
      <w:tblPr>
        <w:tblStyle w:val="TableNormal"/>
        <w:tblW w:w="5000" w:type="pct"/>
        <w:tblInd w:w="0" w:type="dxa"/>
        <w:tblBorders>
          <w:top w:val="single" w:sz="4" w:space="0" w:color="auto"/>
          <w:left w:val="single" w:sz="4" w:space="0" w:color="auto"/>
          <w:bottom w:val="single" w:sz="4" w:space="0" w:color="auto"/>
          <w:right w:val="single" w:sz="4" w:space="0" w:color="auto"/>
          <w:insideH w:val="single" w:sz="2" w:space="0" w:color="000000"/>
          <w:insideV w:val="single" w:sz="2" w:space="0" w:color="000000"/>
        </w:tblBorders>
        <w:tblLook w:val="04A0" w:firstRow="1" w:lastRow="0" w:firstColumn="1" w:lastColumn="0" w:noHBand="0" w:noVBand="1"/>
      </w:tblPr>
      <w:tblGrid>
        <w:gridCol w:w="1126"/>
        <w:gridCol w:w="1278"/>
        <w:gridCol w:w="1276"/>
        <w:gridCol w:w="1845"/>
        <w:gridCol w:w="991"/>
        <w:gridCol w:w="2318"/>
      </w:tblGrid>
      <w:tr w:rsidR="00772593" w14:paraId="2104DD21" w14:textId="77777777" w:rsidTr="00772593">
        <w:trPr>
          <w:trHeight w:val="57"/>
        </w:trPr>
        <w:tc>
          <w:tcPr>
            <w:tcW w:w="637" w:type="pct"/>
            <w:vAlign w:val="center"/>
          </w:tcPr>
          <w:p w14:paraId="5CB12B41" w14:textId="77777777" w:rsidR="00772593" w:rsidRDefault="00772593">
            <w:pPr>
              <w:adjustRightInd w:val="0"/>
              <w:snapToGrid w:val="0"/>
              <w:jc w:val="center"/>
              <w:rPr>
                <w:lang w:eastAsia="en-US"/>
              </w:rPr>
            </w:pPr>
            <w:r>
              <w:rPr>
                <w:lang w:eastAsia="en-US"/>
              </w:rPr>
              <w:t>污染源</w:t>
            </w:r>
          </w:p>
        </w:tc>
        <w:tc>
          <w:tcPr>
            <w:tcW w:w="723" w:type="pct"/>
            <w:vAlign w:val="center"/>
          </w:tcPr>
          <w:p w14:paraId="13D5382E" w14:textId="77777777" w:rsidR="00772593" w:rsidRDefault="00772593">
            <w:pPr>
              <w:adjustRightInd w:val="0"/>
              <w:snapToGrid w:val="0"/>
              <w:jc w:val="center"/>
              <w:rPr>
                <w:lang w:eastAsia="en-US"/>
              </w:rPr>
            </w:pPr>
            <w:r>
              <w:rPr>
                <w:lang w:eastAsia="en-US"/>
              </w:rPr>
              <w:t>工艺流程</w:t>
            </w:r>
          </w:p>
        </w:tc>
        <w:tc>
          <w:tcPr>
            <w:tcW w:w="722" w:type="pct"/>
            <w:vAlign w:val="center"/>
          </w:tcPr>
          <w:p w14:paraId="75D8EED6" w14:textId="77777777" w:rsidR="00772593" w:rsidRDefault="00772593">
            <w:pPr>
              <w:adjustRightInd w:val="0"/>
              <w:snapToGrid w:val="0"/>
              <w:jc w:val="center"/>
              <w:rPr>
                <w:lang w:eastAsia="en-US"/>
              </w:rPr>
            </w:pPr>
            <w:r>
              <w:rPr>
                <w:lang w:eastAsia="en-US"/>
              </w:rPr>
              <w:t>污染途径</w:t>
            </w:r>
          </w:p>
        </w:tc>
        <w:tc>
          <w:tcPr>
            <w:tcW w:w="1044" w:type="pct"/>
            <w:vAlign w:val="center"/>
          </w:tcPr>
          <w:p w14:paraId="1E4F7571" w14:textId="77777777" w:rsidR="00772593" w:rsidRDefault="00772593">
            <w:pPr>
              <w:adjustRightInd w:val="0"/>
              <w:snapToGrid w:val="0"/>
              <w:jc w:val="center"/>
              <w:rPr>
                <w:lang w:eastAsia="en-US"/>
              </w:rPr>
            </w:pPr>
            <w:r>
              <w:rPr>
                <w:lang w:eastAsia="en-US"/>
              </w:rPr>
              <w:t>全部污染物指标</w:t>
            </w:r>
          </w:p>
        </w:tc>
        <w:tc>
          <w:tcPr>
            <w:tcW w:w="561" w:type="pct"/>
            <w:vAlign w:val="center"/>
          </w:tcPr>
          <w:p w14:paraId="69592087" w14:textId="77777777" w:rsidR="00772593" w:rsidRDefault="00772593">
            <w:pPr>
              <w:adjustRightInd w:val="0"/>
              <w:snapToGrid w:val="0"/>
              <w:jc w:val="center"/>
              <w:rPr>
                <w:lang w:eastAsia="en-US"/>
              </w:rPr>
            </w:pPr>
            <w:r>
              <w:rPr>
                <w:lang w:eastAsia="en-US"/>
              </w:rPr>
              <w:t>特征因子</w:t>
            </w:r>
          </w:p>
        </w:tc>
        <w:tc>
          <w:tcPr>
            <w:tcW w:w="1312" w:type="pct"/>
            <w:vAlign w:val="center"/>
          </w:tcPr>
          <w:p w14:paraId="1B41C8E4" w14:textId="1D0018BA" w:rsidR="00772593" w:rsidRDefault="00772593">
            <w:pPr>
              <w:adjustRightInd w:val="0"/>
              <w:snapToGrid w:val="0"/>
              <w:jc w:val="center"/>
              <w:rPr>
                <w:lang w:eastAsia="en-US"/>
              </w:rPr>
            </w:pPr>
            <w:r>
              <w:rPr>
                <w:lang w:eastAsia="en-US"/>
              </w:rPr>
              <w:t>备注</w:t>
            </w:r>
          </w:p>
        </w:tc>
      </w:tr>
      <w:tr w:rsidR="00772593" w14:paraId="46A7AD8A" w14:textId="77777777" w:rsidTr="00772593">
        <w:trPr>
          <w:trHeight w:val="57"/>
        </w:trPr>
        <w:tc>
          <w:tcPr>
            <w:tcW w:w="637" w:type="pct"/>
            <w:vAlign w:val="center"/>
          </w:tcPr>
          <w:p w14:paraId="52A3FA27" w14:textId="77777777" w:rsidR="00772593" w:rsidRDefault="00772593">
            <w:pPr>
              <w:adjustRightInd w:val="0"/>
              <w:snapToGrid w:val="0"/>
              <w:jc w:val="center"/>
              <w:rPr>
                <w:lang w:eastAsia="en-US"/>
              </w:rPr>
            </w:pPr>
            <w:r>
              <w:rPr>
                <w:lang w:eastAsia="en-US"/>
              </w:rPr>
              <w:t>淋溶水</w:t>
            </w:r>
          </w:p>
        </w:tc>
        <w:tc>
          <w:tcPr>
            <w:tcW w:w="723" w:type="pct"/>
            <w:vAlign w:val="center"/>
          </w:tcPr>
          <w:p w14:paraId="77C088B9" w14:textId="2DBA3350" w:rsidR="00772593" w:rsidRDefault="00772593">
            <w:pPr>
              <w:adjustRightInd w:val="0"/>
              <w:snapToGrid w:val="0"/>
              <w:jc w:val="center"/>
              <w:rPr>
                <w:lang w:eastAsia="en-US"/>
              </w:rPr>
            </w:pPr>
            <w:r>
              <w:rPr>
                <w:rFonts w:hint="eastAsia"/>
              </w:rPr>
              <w:t>填埋区</w:t>
            </w:r>
          </w:p>
        </w:tc>
        <w:tc>
          <w:tcPr>
            <w:tcW w:w="722" w:type="pct"/>
            <w:vAlign w:val="center"/>
          </w:tcPr>
          <w:p w14:paraId="304A2A41" w14:textId="77777777" w:rsidR="00772593" w:rsidRDefault="00772593">
            <w:pPr>
              <w:adjustRightInd w:val="0"/>
              <w:snapToGrid w:val="0"/>
              <w:jc w:val="center"/>
              <w:rPr>
                <w:lang w:eastAsia="en-US"/>
              </w:rPr>
            </w:pPr>
            <w:r>
              <w:rPr>
                <w:lang w:eastAsia="en-US"/>
              </w:rPr>
              <w:t>垂直入渗</w:t>
            </w:r>
          </w:p>
        </w:tc>
        <w:tc>
          <w:tcPr>
            <w:tcW w:w="1044" w:type="pct"/>
            <w:vAlign w:val="center"/>
          </w:tcPr>
          <w:p w14:paraId="2843BBA2" w14:textId="77777777" w:rsidR="00772593" w:rsidRDefault="00772593">
            <w:pPr>
              <w:adjustRightInd w:val="0"/>
              <w:snapToGrid w:val="0"/>
              <w:jc w:val="center"/>
            </w:pPr>
            <w:r>
              <w:t>pH</w:t>
            </w:r>
            <w:r>
              <w:t>、</w:t>
            </w:r>
            <w:r>
              <w:t>COD</w:t>
            </w:r>
            <w:r>
              <w:t>、总磷、总镉、总铬、六价铬、总砷、总铅</w:t>
            </w:r>
          </w:p>
        </w:tc>
        <w:tc>
          <w:tcPr>
            <w:tcW w:w="561" w:type="pct"/>
            <w:vAlign w:val="center"/>
          </w:tcPr>
          <w:p w14:paraId="4981FC49" w14:textId="3FCC1A38" w:rsidR="00772593" w:rsidRDefault="00772593">
            <w:pPr>
              <w:adjustRightInd w:val="0"/>
              <w:snapToGrid w:val="0"/>
              <w:jc w:val="center"/>
            </w:pPr>
            <w:r>
              <w:t>总铅</w:t>
            </w:r>
          </w:p>
        </w:tc>
        <w:tc>
          <w:tcPr>
            <w:tcW w:w="1312" w:type="pct"/>
            <w:vAlign w:val="center"/>
          </w:tcPr>
          <w:p w14:paraId="1AB84C78" w14:textId="16286147" w:rsidR="00772593" w:rsidRDefault="00772593">
            <w:pPr>
              <w:adjustRightInd w:val="0"/>
              <w:snapToGrid w:val="0"/>
              <w:jc w:val="center"/>
            </w:pPr>
            <w:r w:rsidRPr="00772593">
              <w:t>非正常状况下飞灰填埋库区底部防渗层老化或破损，底部防渗层出现裂缝</w:t>
            </w:r>
          </w:p>
        </w:tc>
      </w:tr>
    </w:tbl>
    <w:p w14:paraId="29B970A2" w14:textId="77777777" w:rsidR="00606029" w:rsidRDefault="00606029">
      <w:pPr>
        <w:widowControl/>
        <w:kinsoku w:val="0"/>
        <w:autoSpaceDE w:val="0"/>
        <w:autoSpaceDN w:val="0"/>
        <w:adjustRightInd w:val="0"/>
        <w:snapToGrid w:val="0"/>
        <w:spacing w:line="28" w:lineRule="exact"/>
        <w:jc w:val="left"/>
        <w:textAlignment w:val="baseline"/>
        <w:rPr>
          <w:rFonts w:eastAsia="Arial"/>
          <w:snapToGrid w:val="0"/>
          <w:color w:val="000000"/>
          <w:kern w:val="0"/>
        </w:rPr>
      </w:pPr>
    </w:p>
    <w:p w14:paraId="4A22C719" w14:textId="13DC9118" w:rsidR="00606029" w:rsidRDefault="00EA5B92">
      <w:pPr>
        <w:pStyle w:val="4"/>
        <w:spacing w:beforeLines="50" w:before="120"/>
      </w:pPr>
      <w:r>
        <w:t>6.2.4.</w:t>
      </w:r>
      <w:r w:rsidR="00286EB6">
        <w:rPr>
          <w:rFonts w:hint="eastAsia"/>
        </w:rPr>
        <w:t>4</w:t>
      </w:r>
      <w:r>
        <w:t>影响分析</w:t>
      </w:r>
    </w:p>
    <w:p w14:paraId="333CF887" w14:textId="77777777" w:rsidR="00606029" w:rsidRDefault="00EA5B92">
      <w:pPr>
        <w:pStyle w:val="affffff4"/>
      </w:pPr>
      <w:r>
        <w:t>（</w:t>
      </w:r>
      <w:r>
        <w:t>1</w:t>
      </w:r>
      <w:r>
        <w:t>）影响途径</w:t>
      </w:r>
    </w:p>
    <w:p w14:paraId="451722D7" w14:textId="3E131EDD" w:rsidR="00606029" w:rsidRPr="00A43557" w:rsidRDefault="00EA5B92">
      <w:pPr>
        <w:pStyle w:val="affffff4"/>
      </w:pPr>
      <w:r>
        <w:t>根据项目土壤环境影响识别，本项目对土壤环境的影响途径为垂直入渗。本项目地下水污染防治措施表明，项目重点区域均实现防</w:t>
      </w:r>
      <w:r w:rsidRPr="00A43557">
        <w:t>渗，可有效防止项目生产过程中，污染物下渗污染土壤和地下水的情况发生。因此，本项目主要污染途径为填埋场区底部防渗层出现破损导致淋溶水渗漏。</w:t>
      </w:r>
    </w:p>
    <w:p w14:paraId="23A07D1B" w14:textId="77777777" w:rsidR="00606029" w:rsidRPr="00A43557" w:rsidRDefault="00EA5B92">
      <w:pPr>
        <w:pStyle w:val="affffff4"/>
      </w:pPr>
      <w:r w:rsidRPr="00A43557">
        <w:t>（</w:t>
      </w:r>
      <w:r w:rsidRPr="00A43557">
        <w:t>2</w:t>
      </w:r>
      <w:r w:rsidRPr="00A43557">
        <w:t>）土壤污染预测情景设定</w:t>
      </w:r>
    </w:p>
    <w:p w14:paraId="5EEC36F8" w14:textId="4F5246FD" w:rsidR="00606029" w:rsidRDefault="00EA5B92">
      <w:pPr>
        <w:pStyle w:val="affffff4"/>
      </w:pPr>
      <w:r w:rsidRPr="00A43557">
        <w:t>本项目填埋场区底部等均按规范进行了防渗处理，若底部防渗体破裂将造成污染物的扩散。按最严重情况考虑，假定填埋场区底部有一</w:t>
      </w:r>
      <w:r>
        <w:t>贯通性裂隙，直通土壤环境。污染物从防渗体破坏处注入，并设污染物浓度恒定。</w:t>
      </w:r>
    </w:p>
    <w:p w14:paraId="2705B0D8" w14:textId="2D537651" w:rsidR="00606029" w:rsidRDefault="00EA5B92">
      <w:pPr>
        <w:pStyle w:val="affffff4"/>
      </w:pPr>
      <w:r>
        <w:t>（</w:t>
      </w:r>
      <w:r>
        <w:t>3</w:t>
      </w:r>
      <w:r>
        <w:t>）</w:t>
      </w:r>
      <w:r w:rsidR="00A43557">
        <w:rPr>
          <w:rFonts w:hint="eastAsia"/>
        </w:rPr>
        <w:t>预测</w:t>
      </w:r>
      <w:r>
        <w:t>范围</w:t>
      </w:r>
    </w:p>
    <w:p w14:paraId="205E25C3" w14:textId="3FD100DF" w:rsidR="00606029" w:rsidRDefault="00EA5B92">
      <w:pPr>
        <w:pStyle w:val="affffff4"/>
      </w:pPr>
      <w:r>
        <w:t>与现状调查评价范围一致，包括占地范围及占地范围外延</w:t>
      </w:r>
      <w:r>
        <w:t>0.2km</w:t>
      </w:r>
      <w:r>
        <w:t>范围。</w:t>
      </w:r>
    </w:p>
    <w:p w14:paraId="56DB74C4" w14:textId="64E34DF4" w:rsidR="00606029" w:rsidRDefault="00EA5B92">
      <w:pPr>
        <w:pStyle w:val="affffff4"/>
      </w:pPr>
      <w:r>
        <w:t>（</w:t>
      </w:r>
      <w:r>
        <w:t>4</w:t>
      </w:r>
      <w:r>
        <w:t>）</w:t>
      </w:r>
      <w:r w:rsidR="00A43557">
        <w:rPr>
          <w:rFonts w:hint="eastAsia"/>
        </w:rPr>
        <w:t>预测</w:t>
      </w:r>
      <w:r>
        <w:t>因子</w:t>
      </w:r>
    </w:p>
    <w:p w14:paraId="3C1B759F" w14:textId="139CAC79" w:rsidR="00606029" w:rsidRDefault="00EA5B92">
      <w:pPr>
        <w:pStyle w:val="affffff4"/>
      </w:pPr>
      <w:r>
        <w:t>根据土壤环境影响识别，选取</w:t>
      </w:r>
      <w:r w:rsidR="00B77E4B">
        <w:rPr>
          <w:rFonts w:hint="eastAsia"/>
        </w:rPr>
        <w:t>铅</w:t>
      </w:r>
      <w:r>
        <w:t>作为预测因子。</w:t>
      </w:r>
    </w:p>
    <w:p w14:paraId="0D0C976C" w14:textId="21DBC998" w:rsidR="00606029" w:rsidRDefault="00EA5B92">
      <w:pPr>
        <w:pStyle w:val="affffff4"/>
      </w:pPr>
      <w:r>
        <w:t>（</w:t>
      </w:r>
      <w:r>
        <w:t>5</w:t>
      </w:r>
      <w:r>
        <w:t>）评价标准</w:t>
      </w:r>
    </w:p>
    <w:p w14:paraId="3719B159" w14:textId="77777777" w:rsidR="00606029" w:rsidRDefault="00EA5B92">
      <w:pPr>
        <w:pStyle w:val="affffff4"/>
      </w:pPr>
      <w:r>
        <w:t>评价标准采用《土壤环境质量建设用地土壤污染风险管控标准》（</w:t>
      </w:r>
      <w:r>
        <w:t>GB36600-2018</w:t>
      </w:r>
      <w:r>
        <w:t>）中第二类用地筛选值。</w:t>
      </w:r>
    </w:p>
    <w:p w14:paraId="6FB57620" w14:textId="3563882E" w:rsidR="00606029" w:rsidRDefault="00EA5B92">
      <w:pPr>
        <w:pStyle w:val="affffff5"/>
      </w:pPr>
      <w:r>
        <w:t>表</w:t>
      </w:r>
      <w:r>
        <w:t>6.2</w:t>
      </w:r>
      <w:r w:rsidR="00FD0A87">
        <w:rPr>
          <w:rFonts w:hint="eastAsia"/>
        </w:rPr>
        <w:t>-26</w:t>
      </w:r>
      <w:r>
        <w:t xml:space="preserve">  </w:t>
      </w:r>
      <w:r>
        <w:t>项目土壤环境影响预测评价标准</w:t>
      </w:r>
    </w:p>
    <w:tbl>
      <w:tblPr>
        <w:tblStyle w:val="TableNormal"/>
        <w:tblW w:w="5000" w:type="pct"/>
        <w:tblInd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ook w:val="04A0" w:firstRow="1" w:lastRow="0" w:firstColumn="1" w:lastColumn="0" w:noHBand="0" w:noVBand="1"/>
      </w:tblPr>
      <w:tblGrid>
        <w:gridCol w:w="1420"/>
        <w:gridCol w:w="4488"/>
        <w:gridCol w:w="2926"/>
      </w:tblGrid>
      <w:tr w:rsidR="00B77E4B" w14:paraId="454D1EEF" w14:textId="77777777" w:rsidTr="00B77E4B">
        <w:trPr>
          <w:trHeight w:val="57"/>
        </w:trPr>
        <w:tc>
          <w:tcPr>
            <w:tcW w:w="804" w:type="pct"/>
            <w:vMerge w:val="restart"/>
            <w:tcBorders>
              <w:top w:val="single" w:sz="4" w:space="0" w:color="auto"/>
              <w:left w:val="single" w:sz="4" w:space="0" w:color="auto"/>
              <w:bottom w:val="nil"/>
            </w:tcBorders>
            <w:vAlign w:val="center"/>
          </w:tcPr>
          <w:p w14:paraId="1F819ED1" w14:textId="77777777" w:rsidR="00B77E4B" w:rsidRDefault="00B77E4B">
            <w:pPr>
              <w:adjustRightInd w:val="0"/>
              <w:snapToGrid w:val="0"/>
              <w:jc w:val="center"/>
              <w:rPr>
                <w:lang w:eastAsia="en-US"/>
              </w:rPr>
            </w:pPr>
            <w:r>
              <w:rPr>
                <w:lang w:eastAsia="en-US"/>
              </w:rPr>
              <w:t>序号</w:t>
            </w:r>
          </w:p>
        </w:tc>
        <w:tc>
          <w:tcPr>
            <w:tcW w:w="2540" w:type="pct"/>
            <w:vMerge w:val="restart"/>
            <w:tcBorders>
              <w:top w:val="single" w:sz="4" w:space="0" w:color="auto"/>
              <w:bottom w:val="nil"/>
            </w:tcBorders>
            <w:vAlign w:val="center"/>
          </w:tcPr>
          <w:p w14:paraId="4AB66EB3" w14:textId="77777777" w:rsidR="00B77E4B" w:rsidRDefault="00B77E4B">
            <w:pPr>
              <w:adjustRightInd w:val="0"/>
              <w:snapToGrid w:val="0"/>
              <w:jc w:val="center"/>
              <w:rPr>
                <w:lang w:eastAsia="en-US"/>
              </w:rPr>
            </w:pPr>
            <w:r>
              <w:rPr>
                <w:lang w:eastAsia="en-US"/>
              </w:rPr>
              <w:t>污染物</w:t>
            </w:r>
          </w:p>
        </w:tc>
        <w:tc>
          <w:tcPr>
            <w:tcW w:w="1656" w:type="pct"/>
            <w:tcBorders>
              <w:top w:val="single" w:sz="4" w:space="0" w:color="auto"/>
              <w:right w:val="single" w:sz="4" w:space="0" w:color="auto"/>
            </w:tcBorders>
            <w:vAlign w:val="center"/>
          </w:tcPr>
          <w:p w14:paraId="53C19A66" w14:textId="732442EB" w:rsidR="00B77E4B" w:rsidRDefault="00B77E4B">
            <w:pPr>
              <w:adjustRightInd w:val="0"/>
              <w:snapToGrid w:val="0"/>
              <w:jc w:val="center"/>
              <w:rPr>
                <w:lang w:eastAsia="en-US"/>
              </w:rPr>
            </w:pPr>
            <w:r w:rsidRPr="00B77E4B">
              <w:rPr>
                <w:rFonts w:hint="eastAsia"/>
                <w:lang w:eastAsia="en-US"/>
              </w:rPr>
              <w:t>筛选值</w:t>
            </w:r>
            <w:r w:rsidRPr="00B77E4B">
              <w:rPr>
                <w:rFonts w:hint="eastAsia"/>
                <w:lang w:eastAsia="en-US"/>
              </w:rPr>
              <w:t xml:space="preserve">  mg/Kg</w:t>
            </w:r>
          </w:p>
        </w:tc>
      </w:tr>
      <w:tr w:rsidR="00B77E4B" w14:paraId="5F433E36" w14:textId="77777777" w:rsidTr="00B77E4B">
        <w:trPr>
          <w:trHeight w:val="57"/>
        </w:trPr>
        <w:tc>
          <w:tcPr>
            <w:tcW w:w="804" w:type="pct"/>
            <w:vMerge/>
            <w:tcBorders>
              <w:top w:val="nil"/>
              <w:left w:val="single" w:sz="4" w:space="0" w:color="auto"/>
            </w:tcBorders>
            <w:vAlign w:val="center"/>
          </w:tcPr>
          <w:p w14:paraId="3AA89589" w14:textId="77777777" w:rsidR="00B77E4B" w:rsidRDefault="00B77E4B">
            <w:pPr>
              <w:adjustRightInd w:val="0"/>
              <w:snapToGrid w:val="0"/>
              <w:jc w:val="center"/>
              <w:rPr>
                <w:lang w:eastAsia="en-US"/>
              </w:rPr>
            </w:pPr>
          </w:p>
        </w:tc>
        <w:tc>
          <w:tcPr>
            <w:tcW w:w="2540" w:type="pct"/>
            <w:vMerge/>
            <w:tcBorders>
              <w:top w:val="nil"/>
            </w:tcBorders>
            <w:vAlign w:val="center"/>
          </w:tcPr>
          <w:p w14:paraId="707D7305" w14:textId="77777777" w:rsidR="00B77E4B" w:rsidRDefault="00B77E4B">
            <w:pPr>
              <w:adjustRightInd w:val="0"/>
              <w:snapToGrid w:val="0"/>
              <w:jc w:val="center"/>
              <w:rPr>
                <w:lang w:eastAsia="en-US"/>
              </w:rPr>
            </w:pPr>
          </w:p>
        </w:tc>
        <w:tc>
          <w:tcPr>
            <w:tcW w:w="1656" w:type="pct"/>
            <w:tcBorders>
              <w:right w:val="single" w:sz="4" w:space="0" w:color="auto"/>
            </w:tcBorders>
            <w:vAlign w:val="center"/>
          </w:tcPr>
          <w:p w14:paraId="36FB3C40" w14:textId="77777777" w:rsidR="00B77E4B" w:rsidRDefault="00B77E4B">
            <w:pPr>
              <w:adjustRightInd w:val="0"/>
              <w:snapToGrid w:val="0"/>
              <w:jc w:val="center"/>
              <w:rPr>
                <w:lang w:eastAsia="en-US"/>
              </w:rPr>
            </w:pPr>
            <w:r>
              <w:rPr>
                <w:lang w:eastAsia="en-US"/>
              </w:rPr>
              <w:t>第二类用地</w:t>
            </w:r>
          </w:p>
        </w:tc>
      </w:tr>
      <w:tr w:rsidR="00B77E4B" w14:paraId="0A1852E6" w14:textId="77777777" w:rsidTr="00B77E4B">
        <w:trPr>
          <w:trHeight w:val="57"/>
        </w:trPr>
        <w:tc>
          <w:tcPr>
            <w:tcW w:w="804" w:type="pct"/>
            <w:tcBorders>
              <w:left w:val="single" w:sz="4" w:space="0" w:color="auto"/>
              <w:bottom w:val="single" w:sz="4" w:space="0" w:color="auto"/>
            </w:tcBorders>
            <w:vAlign w:val="center"/>
          </w:tcPr>
          <w:p w14:paraId="31B68B17" w14:textId="77777777" w:rsidR="00B77E4B" w:rsidRDefault="00B77E4B">
            <w:pPr>
              <w:adjustRightInd w:val="0"/>
              <w:snapToGrid w:val="0"/>
              <w:jc w:val="center"/>
              <w:rPr>
                <w:lang w:eastAsia="en-US"/>
              </w:rPr>
            </w:pPr>
            <w:r>
              <w:rPr>
                <w:lang w:eastAsia="en-US"/>
              </w:rPr>
              <w:t>1</w:t>
            </w:r>
          </w:p>
        </w:tc>
        <w:tc>
          <w:tcPr>
            <w:tcW w:w="2540" w:type="pct"/>
            <w:tcBorders>
              <w:bottom w:val="single" w:sz="4" w:space="0" w:color="auto"/>
            </w:tcBorders>
            <w:vAlign w:val="center"/>
          </w:tcPr>
          <w:p w14:paraId="4302B34B" w14:textId="09B746CD" w:rsidR="00B77E4B" w:rsidRDefault="007174B0">
            <w:pPr>
              <w:adjustRightInd w:val="0"/>
              <w:snapToGrid w:val="0"/>
              <w:jc w:val="center"/>
              <w:rPr>
                <w:lang w:eastAsia="en-US"/>
              </w:rPr>
            </w:pPr>
            <w:r>
              <w:rPr>
                <w:rFonts w:hint="eastAsia"/>
              </w:rPr>
              <w:t>铅</w:t>
            </w:r>
          </w:p>
        </w:tc>
        <w:tc>
          <w:tcPr>
            <w:tcW w:w="1656" w:type="pct"/>
            <w:tcBorders>
              <w:bottom w:val="single" w:sz="4" w:space="0" w:color="auto"/>
              <w:right w:val="single" w:sz="4" w:space="0" w:color="auto"/>
            </w:tcBorders>
            <w:vAlign w:val="center"/>
          </w:tcPr>
          <w:p w14:paraId="2D9A0E03" w14:textId="25782221" w:rsidR="00B77E4B" w:rsidRDefault="007174B0">
            <w:pPr>
              <w:adjustRightInd w:val="0"/>
              <w:snapToGrid w:val="0"/>
              <w:jc w:val="center"/>
            </w:pPr>
            <w:r>
              <w:rPr>
                <w:rFonts w:hint="eastAsia"/>
              </w:rPr>
              <w:t>800</w:t>
            </w:r>
          </w:p>
        </w:tc>
      </w:tr>
    </w:tbl>
    <w:p w14:paraId="6230F1CF" w14:textId="79D618FD" w:rsidR="00606029" w:rsidRDefault="00EA5B92">
      <w:pPr>
        <w:pStyle w:val="affffff4"/>
        <w:spacing w:beforeLines="50" w:before="120"/>
        <w:rPr>
          <w:lang w:eastAsia="en-US"/>
        </w:rPr>
      </w:pPr>
      <w:r>
        <w:t>（</w:t>
      </w:r>
      <w:r>
        <w:t>6</w:t>
      </w:r>
      <w:r>
        <w:t>）</w:t>
      </w:r>
      <w:r>
        <w:rPr>
          <w:lang w:eastAsia="en-US"/>
        </w:rPr>
        <w:t>预测方法</w:t>
      </w:r>
    </w:p>
    <w:p w14:paraId="0AB96B25" w14:textId="5C7DFD2F" w:rsidR="00606029" w:rsidRDefault="00EA5B92">
      <w:pPr>
        <w:pStyle w:val="affffff4"/>
      </w:pPr>
      <w:r>
        <w:t>根据《环境影响评价技术导则</w:t>
      </w:r>
      <w:r>
        <w:t xml:space="preserve"> </w:t>
      </w:r>
      <w:r>
        <w:t>土壤环境（试行）》（</w:t>
      </w:r>
      <w:r>
        <w:t>HJ 964-2018</w:t>
      </w:r>
      <w:r>
        <w:t>），</w:t>
      </w:r>
      <w:r w:rsidR="00BF17D7">
        <w:rPr>
          <w:rFonts w:hint="eastAsia"/>
        </w:rPr>
        <w:t>本项目为</w:t>
      </w:r>
      <w:r>
        <w:t>污染影响型建设项目，其评价工作等级为二级，预测方法</w:t>
      </w:r>
      <w:r w:rsidR="00157AFB">
        <w:rPr>
          <w:rFonts w:hint="eastAsia"/>
        </w:rPr>
        <w:t>采用</w:t>
      </w:r>
      <w:r w:rsidR="00BF17D7" w:rsidRPr="00BF17D7">
        <w:t>附录</w:t>
      </w:r>
      <w:r w:rsidR="00BF17D7" w:rsidRPr="00BF17D7">
        <w:t>E</w:t>
      </w:r>
      <w:r w:rsidR="00BF17D7">
        <w:rPr>
          <w:rFonts w:hint="eastAsia"/>
        </w:rPr>
        <w:t>方法一</w:t>
      </w:r>
      <w:r>
        <w:t>。</w:t>
      </w:r>
    </w:p>
    <w:p w14:paraId="6621FA6D" w14:textId="26DD7C1E" w:rsidR="00BF17D7" w:rsidRDefault="00EA5B92" w:rsidP="007174B0">
      <w:pPr>
        <w:pStyle w:val="affffff4"/>
      </w:pPr>
      <w:r w:rsidRPr="007174B0">
        <w:t>（</w:t>
      </w:r>
      <w:r w:rsidRPr="007174B0">
        <w:t>7</w:t>
      </w:r>
      <w:r w:rsidRPr="007174B0">
        <w:t>）</w:t>
      </w:r>
      <w:r w:rsidR="00BF17D7" w:rsidRPr="007174B0">
        <w:rPr>
          <w:rFonts w:hint="eastAsia"/>
        </w:rPr>
        <w:t>预测模型</w:t>
      </w:r>
    </w:p>
    <w:p w14:paraId="034FBCBB" w14:textId="36537C0F" w:rsidR="00BF17D7" w:rsidRDefault="00BF17D7" w:rsidP="00BF17D7">
      <w:pPr>
        <w:pStyle w:val="affffff4"/>
        <w:spacing w:line="240" w:lineRule="auto"/>
        <w:ind w:firstLineChars="0" w:firstLine="0"/>
        <w:jc w:val="center"/>
      </w:pPr>
      <w:r>
        <w:rPr>
          <w:noProof/>
        </w:rPr>
        <w:drawing>
          <wp:inline distT="0" distB="0" distL="0" distR="0" wp14:anchorId="3BCB0DB0" wp14:editId="77D8E24A">
            <wp:extent cx="2121203" cy="177818"/>
            <wp:effectExtent l="0" t="0" r="0" b="0"/>
            <wp:docPr id="1832210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221011" name=""/>
                    <pic:cNvPicPr/>
                  </pic:nvPicPr>
                  <pic:blipFill>
                    <a:blip r:embed="rId113"/>
                    <a:stretch>
                      <a:fillRect/>
                    </a:stretch>
                  </pic:blipFill>
                  <pic:spPr>
                    <a:xfrm>
                      <a:off x="0" y="0"/>
                      <a:ext cx="2121203" cy="177818"/>
                    </a:xfrm>
                    <a:prstGeom prst="rect">
                      <a:avLst/>
                    </a:prstGeom>
                  </pic:spPr>
                </pic:pic>
              </a:graphicData>
            </a:graphic>
          </wp:inline>
        </w:drawing>
      </w:r>
    </w:p>
    <w:p w14:paraId="1EBE6287" w14:textId="045A2D6B" w:rsidR="00BF17D7" w:rsidRDefault="00BF17D7">
      <w:pPr>
        <w:pStyle w:val="affffff4"/>
        <w:spacing w:beforeLines="50" w:before="120"/>
      </w:pPr>
      <w:r w:rsidRPr="00BF17D7">
        <w:t>a</w:t>
      </w:r>
      <w:r w:rsidRPr="00BF17D7">
        <w:t>）单位质量土壤中某种物质的增量可用下式计算：</w:t>
      </w:r>
    </w:p>
    <w:p w14:paraId="77F8002E" w14:textId="77777777" w:rsidR="00BF17D7" w:rsidRDefault="00BF17D7" w:rsidP="00BF17D7">
      <w:pPr>
        <w:pStyle w:val="affffff4"/>
        <w:spacing w:beforeLines="50" w:before="120"/>
      </w:pPr>
      <w:r>
        <w:rPr>
          <w:rFonts w:hint="eastAsia"/>
        </w:rPr>
        <w:lastRenderedPageBreak/>
        <w:t>式中：</w:t>
      </w:r>
      <w:r>
        <w:t>∆S--</w:t>
      </w:r>
      <w:r>
        <w:rPr>
          <w:rFonts w:hint="eastAsia"/>
        </w:rPr>
        <w:t>单位质量表层土壤汇总某种物质的增量，</w:t>
      </w:r>
      <w:r>
        <w:t>g/kg</w:t>
      </w:r>
      <w:r>
        <w:rPr>
          <w:rFonts w:hint="eastAsia"/>
        </w:rPr>
        <w:t>；</w:t>
      </w:r>
    </w:p>
    <w:p w14:paraId="002BE990" w14:textId="77777777" w:rsidR="00BF17D7" w:rsidRDefault="00BF17D7" w:rsidP="00BF17D7">
      <w:pPr>
        <w:pStyle w:val="affffff4"/>
        <w:spacing w:beforeLines="50" w:before="120"/>
      </w:pPr>
      <w:r>
        <w:rPr>
          <w:rFonts w:hint="eastAsia"/>
        </w:rPr>
        <w:t>IS--</w:t>
      </w:r>
      <w:r>
        <w:rPr>
          <w:rFonts w:hint="eastAsia"/>
        </w:rPr>
        <w:t>预测评价范围内单位年份表层土壤中某种物质的输入量，</w:t>
      </w:r>
      <w:r>
        <w:rPr>
          <w:rFonts w:hint="eastAsia"/>
        </w:rPr>
        <w:t>g</w:t>
      </w:r>
      <w:r>
        <w:rPr>
          <w:rFonts w:hint="eastAsia"/>
        </w:rPr>
        <w:t>；</w:t>
      </w:r>
    </w:p>
    <w:p w14:paraId="2AB515BC" w14:textId="77777777" w:rsidR="007174B0" w:rsidRDefault="00BF17D7" w:rsidP="00BF17D7">
      <w:pPr>
        <w:pStyle w:val="affffff4"/>
        <w:spacing w:beforeLines="50" w:before="120"/>
      </w:pPr>
      <w:r>
        <w:rPr>
          <w:rFonts w:hint="eastAsia"/>
        </w:rPr>
        <w:t>LS--</w:t>
      </w:r>
      <w:r>
        <w:rPr>
          <w:rFonts w:hint="eastAsia"/>
        </w:rPr>
        <w:t>预测评价范围内单位年份表层土壤中某种物质经淋溶排出的量，</w:t>
      </w:r>
      <w:r>
        <w:rPr>
          <w:rFonts w:hint="eastAsia"/>
        </w:rPr>
        <w:t>g</w:t>
      </w:r>
      <w:r>
        <w:rPr>
          <w:rFonts w:hint="eastAsia"/>
        </w:rPr>
        <w:t>；</w:t>
      </w:r>
    </w:p>
    <w:p w14:paraId="2D2B5ADB" w14:textId="77D11239" w:rsidR="00BF17D7" w:rsidRDefault="00BF17D7" w:rsidP="00BF17D7">
      <w:pPr>
        <w:pStyle w:val="affffff4"/>
        <w:spacing w:beforeLines="50" w:before="120"/>
      </w:pPr>
      <w:r>
        <w:rPr>
          <w:rFonts w:hint="eastAsia"/>
        </w:rPr>
        <w:t>RS--</w:t>
      </w:r>
      <w:r>
        <w:rPr>
          <w:rFonts w:hint="eastAsia"/>
        </w:rPr>
        <w:t>预测评价范围内单位年份表层土壤中某种物质经径流排出的量，</w:t>
      </w:r>
      <w:r>
        <w:rPr>
          <w:rFonts w:hint="eastAsia"/>
        </w:rPr>
        <w:t>g</w:t>
      </w:r>
      <w:r>
        <w:rPr>
          <w:rFonts w:hint="eastAsia"/>
        </w:rPr>
        <w:t>；</w:t>
      </w:r>
    </w:p>
    <w:p w14:paraId="5DAE24F6" w14:textId="7E93EB88" w:rsidR="00BF17D7" w:rsidRDefault="00BF17D7">
      <w:pPr>
        <w:pStyle w:val="affffff4"/>
        <w:spacing w:beforeLines="50" w:before="120"/>
      </w:pPr>
      <w:r w:rsidRPr="00BF17D7">
        <w:t>ρb--</w:t>
      </w:r>
      <w:r w:rsidRPr="00BF17D7">
        <w:t>表层土壤容重，</w:t>
      </w:r>
      <w:r w:rsidRPr="00BF17D7">
        <w:t>kg/m</w:t>
      </w:r>
      <w:r w:rsidR="00772593" w:rsidRPr="00772593">
        <w:rPr>
          <w:rFonts w:hint="eastAsia"/>
          <w:vertAlign w:val="superscript"/>
        </w:rPr>
        <w:t>3</w:t>
      </w:r>
      <w:r w:rsidRPr="00BF17D7">
        <w:t>；</w:t>
      </w:r>
    </w:p>
    <w:p w14:paraId="2CB52865" w14:textId="77777777" w:rsidR="00BF17D7" w:rsidRDefault="00BF17D7" w:rsidP="00BF17D7">
      <w:pPr>
        <w:pStyle w:val="affffff4"/>
        <w:spacing w:beforeLines="50" w:before="120"/>
      </w:pPr>
      <w:r>
        <w:rPr>
          <w:rFonts w:hint="eastAsia"/>
        </w:rPr>
        <w:t>A--</w:t>
      </w:r>
      <w:r>
        <w:rPr>
          <w:rFonts w:hint="eastAsia"/>
        </w:rPr>
        <w:t>预测评价范围，</w:t>
      </w:r>
      <w:r>
        <w:rPr>
          <w:rFonts w:hint="eastAsia"/>
        </w:rPr>
        <w:t>m</w:t>
      </w:r>
      <w:r>
        <w:rPr>
          <w:rFonts w:hint="eastAsia"/>
        </w:rPr>
        <w:t>；</w:t>
      </w:r>
    </w:p>
    <w:p w14:paraId="3CDB6F54" w14:textId="7D125274" w:rsidR="00BF17D7" w:rsidRDefault="00BF17D7" w:rsidP="00BF17D7">
      <w:pPr>
        <w:pStyle w:val="affffff4"/>
        <w:spacing w:beforeLines="50" w:before="120"/>
      </w:pPr>
      <w:r>
        <w:rPr>
          <w:rFonts w:hint="eastAsia"/>
        </w:rPr>
        <w:t>D--</w:t>
      </w:r>
      <w:r>
        <w:rPr>
          <w:rFonts w:hint="eastAsia"/>
        </w:rPr>
        <w:t>表层土壤深度，</w:t>
      </w:r>
      <w:r>
        <w:rPr>
          <w:rFonts w:hint="eastAsia"/>
        </w:rPr>
        <w:t>m</w:t>
      </w:r>
      <w:r>
        <w:rPr>
          <w:rFonts w:hint="eastAsia"/>
        </w:rPr>
        <w:t>，一般取</w:t>
      </w:r>
      <w:r>
        <w:rPr>
          <w:rFonts w:hint="eastAsia"/>
        </w:rPr>
        <w:t>0.2m</w:t>
      </w:r>
      <w:r>
        <w:rPr>
          <w:rFonts w:hint="eastAsia"/>
        </w:rPr>
        <w:t>；</w:t>
      </w:r>
    </w:p>
    <w:p w14:paraId="494AABAD" w14:textId="77777777" w:rsidR="00BF17D7" w:rsidRDefault="00BF17D7" w:rsidP="00BF17D7">
      <w:pPr>
        <w:pStyle w:val="affffff4"/>
        <w:spacing w:beforeLines="50" w:before="120"/>
      </w:pPr>
      <w:r>
        <w:rPr>
          <w:rFonts w:hint="eastAsia"/>
        </w:rPr>
        <w:t>n--</w:t>
      </w:r>
      <w:r>
        <w:rPr>
          <w:rFonts w:hint="eastAsia"/>
        </w:rPr>
        <w:t>持续年份，</w:t>
      </w:r>
      <w:r>
        <w:rPr>
          <w:rFonts w:hint="eastAsia"/>
        </w:rPr>
        <w:t>a</w:t>
      </w:r>
      <w:r>
        <w:rPr>
          <w:rFonts w:hint="eastAsia"/>
        </w:rPr>
        <w:t>。</w:t>
      </w:r>
    </w:p>
    <w:p w14:paraId="5B0C1A5A" w14:textId="335629C5" w:rsidR="00BF17D7" w:rsidRDefault="00BF17D7" w:rsidP="00BF17D7">
      <w:pPr>
        <w:pStyle w:val="affffff4"/>
        <w:spacing w:beforeLines="50" w:before="120"/>
      </w:pPr>
      <w:r>
        <w:rPr>
          <w:rFonts w:hint="eastAsia"/>
        </w:rPr>
        <w:t>（</w:t>
      </w:r>
      <w:r>
        <w:rPr>
          <w:rFonts w:hint="eastAsia"/>
        </w:rPr>
        <w:t>b</w:t>
      </w:r>
      <w:r>
        <w:rPr>
          <w:rFonts w:hint="eastAsia"/>
        </w:rPr>
        <w:t>）单位质量土壤中某种物质的预测值可根据期增量叠加现状值进行计</w:t>
      </w:r>
      <w:r w:rsidRPr="00BF17D7">
        <w:t>算：</w:t>
      </w:r>
    </w:p>
    <w:p w14:paraId="51CB8044" w14:textId="27276821" w:rsidR="00BF17D7" w:rsidRDefault="00BF17D7" w:rsidP="00BF17D7">
      <w:pPr>
        <w:pStyle w:val="affffff4"/>
        <w:spacing w:line="240" w:lineRule="auto"/>
        <w:ind w:firstLineChars="0" w:firstLine="0"/>
        <w:jc w:val="center"/>
      </w:pPr>
      <w:r>
        <w:rPr>
          <w:noProof/>
        </w:rPr>
        <w:drawing>
          <wp:inline distT="0" distB="0" distL="0" distR="0" wp14:anchorId="2DD288AA" wp14:editId="00D1B0F6">
            <wp:extent cx="889122" cy="241322"/>
            <wp:effectExtent l="0" t="0" r="6350" b="6350"/>
            <wp:docPr id="32573356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733565" name=""/>
                    <pic:cNvPicPr/>
                  </pic:nvPicPr>
                  <pic:blipFill>
                    <a:blip r:embed="rId114"/>
                    <a:stretch>
                      <a:fillRect/>
                    </a:stretch>
                  </pic:blipFill>
                  <pic:spPr>
                    <a:xfrm>
                      <a:off x="0" y="0"/>
                      <a:ext cx="889122" cy="241322"/>
                    </a:xfrm>
                    <a:prstGeom prst="rect">
                      <a:avLst/>
                    </a:prstGeom>
                  </pic:spPr>
                </pic:pic>
              </a:graphicData>
            </a:graphic>
          </wp:inline>
        </w:drawing>
      </w:r>
    </w:p>
    <w:p w14:paraId="784F87CF" w14:textId="77777777" w:rsidR="00BF17D7" w:rsidRDefault="00BF17D7" w:rsidP="00BF17D7">
      <w:pPr>
        <w:pStyle w:val="affffff4"/>
        <w:spacing w:beforeLines="50" w:before="120"/>
      </w:pPr>
      <w:r>
        <w:rPr>
          <w:rFonts w:hint="eastAsia"/>
        </w:rPr>
        <w:t>式中：</w:t>
      </w:r>
      <w:r>
        <w:rPr>
          <w:rFonts w:hint="eastAsia"/>
        </w:rPr>
        <w:t>Sb--</w:t>
      </w:r>
      <w:r>
        <w:rPr>
          <w:rFonts w:hint="eastAsia"/>
        </w:rPr>
        <w:t>单位质量土壤中某种物质的现状值，</w:t>
      </w:r>
      <w:r>
        <w:rPr>
          <w:rFonts w:hint="eastAsia"/>
        </w:rPr>
        <w:t>g/kg</w:t>
      </w:r>
      <w:r>
        <w:rPr>
          <w:rFonts w:hint="eastAsia"/>
        </w:rPr>
        <w:t>；</w:t>
      </w:r>
    </w:p>
    <w:p w14:paraId="1E19FA3A" w14:textId="77777777" w:rsidR="00BF17D7" w:rsidRDefault="00BF17D7" w:rsidP="00BF17D7">
      <w:pPr>
        <w:pStyle w:val="affffff4"/>
        <w:spacing w:beforeLines="50" w:before="120"/>
      </w:pPr>
      <w:r>
        <w:rPr>
          <w:rFonts w:hint="eastAsia"/>
        </w:rPr>
        <w:t>S--</w:t>
      </w:r>
      <w:r>
        <w:rPr>
          <w:rFonts w:hint="eastAsia"/>
        </w:rPr>
        <w:t>单位质量土壤中某种物质的预测值，</w:t>
      </w:r>
      <w:r>
        <w:rPr>
          <w:rFonts w:hint="eastAsia"/>
        </w:rPr>
        <w:t>g/kg</w:t>
      </w:r>
      <w:r>
        <w:rPr>
          <w:rFonts w:hint="eastAsia"/>
        </w:rPr>
        <w:t>。</w:t>
      </w:r>
    </w:p>
    <w:p w14:paraId="5591392A" w14:textId="602317B6" w:rsidR="00BF17D7" w:rsidRDefault="00BF17D7" w:rsidP="00BF17D7">
      <w:pPr>
        <w:pStyle w:val="affffff4"/>
        <w:spacing w:beforeLines="50" w:before="120"/>
      </w:pPr>
      <w:r>
        <w:rPr>
          <w:rFonts w:hint="eastAsia"/>
        </w:rPr>
        <w:t>结合本项目的实际情况，填埋区土壤环境影响预测的参数详见表</w:t>
      </w:r>
      <w:r>
        <w:rPr>
          <w:rFonts w:hint="eastAsia"/>
        </w:rPr>
        <w:t>5.7-3</w:t>
      </w:r>
      <w:r>
        <w:rPr>
          <w:rFonts w:hint="eastAsia"/>
        </w:rPr>
        <w:t>，计算结果见表</w:t>
      </w:r>
      <w:r>
        <w:rPr>
          <w:rFonts w:hint="eastAsia"/>
        </w:rPr>
        <w:t>5.7-4</w:t>
      </w:r>
      <w:r>
        <w:rPr>
          <w:rFonts w:hint="eastAsia"/>
        </w:rPr>
        <w:t>。</w:t>
      </w:r>
    </w:p>
    <w:p w14:paraId="7FB6A5FC" w14:textId="2BA32F61" w:rsidR="00262A3A" w:rsidRPr="00262A3A" w:rsidRDefault="00262A3A" w:rsidP="00262A3A">
      <w:pPr>
        <w:pStyle w:val="affffff5"/>
      </w:pPr>
      <w:r w:rsidRPr="00262A3A">
        <w:t>表</w:t>
      </w:r>
      <w:r w:rsidR="008A5B57">
        <w:rPr>
          <w:rFonts w:hint="eastAsia"/>
        </w:rPr>
        <w:t>6.2</w:t>
      </w:r>
      <w:r w:rsidR="00FD0A87">
        <w:rPr>
          <w:rFonts w:hint="eastAsia"/>
        </w:rPr>
        <w:t>-27</w:t>
      </w:r>
      <w:r w:rsidRPr="00262A3A">
        <w:t xml:space="preserve"> </w:t>
      </w:r>
      <w:r w:rsidRPr="00262A3A">
        <w:t>土壤环境预测参数选取</w:t>
      </w:r>
    </w:p>
    <w:tbl>
      <w:tblPr>
        <w:tblStyle w:val="TableNormal4"/>
        <w:tblW w:w="5000" w:type="pct"/>
        <w:jc w:val="center"/>
        <w:tblInd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ook w:val="04A0" w:firstRow="1" w:lastRow="0" w:firstColumn="1" w:lastColumn="0" w:noHBand="0" w:noVBand="1"/>
      </w:tblPr>
      <w:tblGrid>
        <w:gridCol w:w="851"/>
        <w:gridCol w:w="880"/>
        <w:gridCol w:w="1027"/>
        <w:gridCol w:w="1320"/>
        <w:gridCol w:w="4760"/>
      </w:tblGrid>
      <w:tr w:rsidR="00262A3A" w:rsidRPr="00262A3A" w14:paraId="05E0AD52" w14:textId="77777777" w:rsidTr="00262A3A">
        <w:trPr>
          <w:trHeight w:val="281"/>
          <w:jc w:val="center"/>
        </w:trPr>
        <w:tc>
          <w:tcPr>
            <w:tcW w:w="481" w:type="pct"/>
            <w:vAlign w:val="center"/>
          </w:tcPr>
          <w:p w14:paraId="1D0AC277" w14:textId="77777777" w:rsidR="00262A3A" w:rsidRPr="00262A3A" w:rsidRDefault="00262A3A" w:rsidP="00262A3A">
            <w:pPr>
              <w:adjustRightInd w:val="0"/>
              <w:snapToGrid w:val="0"/>
              <w:spacing w:after="0" w:line="240" w:lineRule="auto"/>
              <w:jc w:val="center"/>
              <w:rPr>
                <w:rFonts w:ascii="Times New Roman" w:eastAsia="宋体" w:hAnsi="Times New Roman" w:cs="Times New Roman"/>
                <w:color w:val="auto"/>
              </w:rPr>
            </w:pPr>
            <w:r w:rsidRPr="00262A3A">
              <w:rPr>
                <w:rFonts w:ascii="Times New Roman" w:eastAsia="宋体" w:hAnsi="Times New Roman" w:cs="Times New Roman"/>
                <w:color w:val="auto"/>
              </w:rPr>
              <w:t>序号</w:t>
            </w:r>
          </w:p>
        </w:tc>
        <w:tc>
          <w:tcPr>
            <w:tcW w:w="498" w:type="pct"/>
            <w:vAlign w:val="center"/>
          </w:tcPr>
          <w:p w14:paraId="40D303E8" w14:textId="77777777" w:rsidR="00262A3A" w:rsidRPr="00262A3A" w:rsidRDefault="00262A3A" w:rsidP="00262A3A">
            <w:pPr>
              <w:adjustRightInd w:val="0"/>
              <w:snapToGrid w:val="0"/>
              <w:spacing w:after="0" w:line="240" w:lineRule="auto"/>
              <w:jc w:val="center"/>
              <w:rPr>
                <w:rFonts w:ascii="Times New Roman" w:eastAsia="宋体" w:hAnsi="Times New Roman" w:cs="Times New Roman"/>
                <w:color w:val="auto"/>
              </w:rPr>
            </w:pPr>
            <w:r w:rsidRPr="00262A3A">
              <w:rPr>
                <w:rFonts w:ascii="Times New Roman" w:eastAsia="宋体" w:hAnsi="Times New Roman" w:cs="Times New Roman"/>
                <w:color w:val="auto"/>
              </w:rPr>
              <w:t>参数</w:t>
            </w:r>
          </w:p>
        </w:tc>
        <w:tc>
          <w:tcPr>
            <w:tcW w:w="581" w:type="pct"/>
            <w:vAlign w:val="center"/>
          </w:tcPr>
          <w:p w14:paraId="7A49A95A" w14:textId="77777777" w:rsidR="00262A3A" w:rsidRPr="00262A3A" w:rsidRDefault="00262A3A" w:rsidP="00262A3A">
            <w:pPr>
              <w:adjustRightInd w:val="0"/>
              <w:snapToGrid w:val="0"/>
              <w:spacing w:after="0" w:line="240" w:lineRule="auto"/>
              <w:jc w:val="center"/>
              <w:rPr>
                <w:rFonts w:ascii="Times New Roman" w:eastAsia="宋体" w:hAnsi="Times New Roman" w:cs="Times New Roman"/>
                <w:color w:val="auto"/>
              </w:rPr>
            </w:pPr>
            <w:r w:rsidRPr="00262A3A">
              <w:rPr>
                <w:rFonts w:ascii="Times New Roman" w:eastAsia="宋体" w:hAnsi="Times New Roman" w:cs="Times New Roman"/>
                <w:color w:val="auto"/>
              </w:rPr>
              <w:t>单位</w:t>
            </w:r>
          </w:p>
        </w:tc>
        <w:tc>
          <w:tcPr>
            <w:tcW w:w="747" w:type="pct"/>
            <w:vAlign w:val="center"/>
          </w:tcPr>
          <w:p w14:paraId="76F2EC3C" w14:textId="77777777" w:rsidR="00262A3A" w:rsidRPr="00262A3A" w:rsidRDefault="00262A3A" w:rsidP="00262A3A">
            <w:pPr>
              <w:adjustRightInd w:val="0"/>
              <w:snapToGrid w:val="0"/>
              <w:spacing w:after="0" w:line="240" w:lineRule="auto"/>
              <w:jc w:val="center"/>
              <w:rPr>
                <w:rFonts w:ascii="Times New Roman" w:eastAsia="宋体" w:hAnsi="Times New Roman" w:cs="Times New Roman"/>
                <w:color w:val="auto"/>
              </w:rPr>
            </w:pPr>
            <w:r w:rsidRPr="00262A3A">
              <w:rPr>
                <w:rFonts w:ascii="Times New Roman" w:eastAsia="宋体" w:hAnsi="Times New Roman" w:cs="Times New Roman"/>
                <w:color w:val="auto"/>
              </w:rPr>
              <w:t>取值</w:t>
            </w:r>
          </w:p>
        </w:tc>
        <w:tc>
          <w:tcPr>
            <w:tcW w:w="2692" w:type="pct"/>
            <w:vAlign w:val="center"/>
          </w:tcPr>
          <w:p w14:paraId="605DB474" w14:textId="77777777" w:rsidR="00262A3A" w:rsidRPr="00262A3A" w:rsidRDefault="00262A3A" w:rsidP="00262A3A">
            <w:pPr>
              <w:adjustRightInd w:val="0"/>
              <w:snapToGrid w:val="0"/>
              <w:spacing w:after="0" w:line="240" w:lineRule="auto"/>
              <w:jc w:val="center"/>
              <w:rPr>
                <w:rFonts w:ascii="Times New Roman" w:eastAsia="宋体" w:hAnsi="Times New Roman" w:cs="Times New Roman"/>
                <w:color w:val="auto"/>
              </w:rPr>
            </w:pPr>
            <w:r w:rsidRPr="00262A3A">
              <w:rPr>
                <w:rFonts w:ascii="Times New Roman" w:eastAsia="宋体" w:hAnsi="Times New Roman" w:cs="Times New Roman"/>
                <w:color w:val="auto"/>
              </w:rPr>
              <w:t>来源</w:t>
            </w:r>
          </w:p>
        </w:tc>
      </w:tr>
      <w:tr w:rsidR="00262A3A" w:rsidRPr="00262A3A" w14:paraId="0821FE50" w14:textId="77777777" w:rsidTr="00262A3A">
        <w:trPr>
          <w:trHeight w:val="548"/>
          <w:jc w:val="center"/>
        </w:trPr>
        <w:tc>
          <w:tcPr>
            <w:tcW w:w="481" w:type="pct"/>
            <w:vAlign w:val="center"/>
          </w:tcPr>
          <w:p w14:paraId="1765DAD7" w14:textId="77777777" w:rsidR="00262A3A" w:rsidRPr="00262A3A" w:rsidRDefault="00262A3A" w:rsidP="00262A3A">
            <w:pPr>
              <w:adjustRightInd w:val="0"/>
              <w:snapToGrid w:val="0"/>
              <w:spacing w:after="0" w:line="240" w:lineRule="auto"/>
              <w:jc w:val="center"/>
              <w:rPr>
                <w:rFonts w:ascii="Times New Roman" w:eastAsia="宋体" w:hAnsi="Times New Roman" w:cs="Times New Roman"/>
                <w:color w:val="auto"/>
              </w:rPr>
            </w:pPr>
            <w:r w:rsidRPr="00262A3A">
              <w:rPr>
                <w:rFonts w:ascii="Times New Roman" w:eastAsia="宋体" w:hAnsi="Times New Roman" w:cs="Times New Roman"/>
                <w:color w:val="auto"/>
              </w:rPr>
              <w:t>1</w:t>
            </w:r>
          </w:p>
        </w:tc>
        <w:tc>
          <w:tcPr>
            <w:tcW w:w="498" w:type="pct"/>
            <w:vAlign w:val="center"/>
          </w:tcPr>
          <w:p w14:paraId="3989187D" w14:textId="77777777" w:rsidR="00262A3A" w:rsidRPr="00262A3A" w:rsidRDefault="00262A3A" w:rsidP="00262A3A">
            <w:pPr>
              <w:adjustRightInd w:val="0"/>
              <w:snapToGrid w:val="0"/>
              <w:spacing w:after="0" w:line="240" w:lineRule="auto"/>
              <w:jc w:val="center"/>
              <w:rPr>
                <w:rFonts w:ascii="Times New Roman" w:eastAsia="宋体" w:hAnsi="Times New Roman" w:cs="Times New Roman"/>
                <w:color w:val="auto"/>
              </w:rPr>
            </w:pPr>
            <w:r w:rsidRPr="00262A3A">
              <w:rPr>
                <w:rFonts w:ascii="Times New Roman" w:eastAsia="宋体" w:hAnsi="Times New Roman" w:cs="Times New Roman"/>
                <w:color w:val="auto"/>
              </w:rPr>
              <w:t>IS</w:t>
            </w:r>
          </w:p>
        </w:tc>
        <w:tc>
          <w:tcPr>
            <w:tcW w:w="581" w:type="pct"/>
            <w:vAlign w:val="center"/>
          </w:tcPr>
          <w:p w14:paraId="5B7D3798" w14:textId="77777777" w:rsidR="00262A3A" w:rsidRPr="00262A3A" w:rsidRDefault="00262A3A" w:rsidP="00262A3A">
            <w:pPr>
              <w:adjustRightInd w:val="0"/>
              <w:snapToGrid w:val="0"/>
              <w:spacing w:after="0" w:line="240" w:lineRule="auto"/>
              <w:jc w:val="center"/>
              <w:rPr>
                <w:rFonts w:ascii="Times New Roman" w:eastAsia="宋体" w:hAnsi="Times New Roman" w:cs="Times New Roman"/>
                <w:color w:val="auto"/>
              </w:rPr>
            </w:pPr>
            <w:r w:rsidRPr="00262A3A">
              <w:rPr>
                <w:rFonts w:ascii="Times New Roman" w:eastAsia="宋体" w:hAnsi="Times New Roman" w:cs="Times New Roman"/>
                <w:color w:val="auto"/>
              </w:rPr>
              <w:t>g/a</w:t>
            </w:r>
          </w:p>
        </w:tc>
        <w:tc>
          <w:tcPr>
            <w:tcW w:w="747" w:type="pct"/>
            <w:vAlign w:val="center"/>
          </w:tcPr>
          <w:p w14:paraId="6DCAA74B" w14:textId="4CC19BF6" w:rsidR="00262A3A" w:rsidRPr="00262A3A" w:rsidRDefault="00EC52BB" w:rsidP="00262A3A">
            <w:pPr>
              <w:adjustRightInd w:val="0"/>
              <w:snapToGrid w:val="0"/>
              <w:spacing w:after="0" w:line="240" w:lineRule="auto"/>
              <w:jc w:val="center"/>
              <w:rPr>
                <w:rFonts w:ascii="Times New Roman" w:eastAsia="宋体" w:hAnsi="Times New Roman" w:cs="Times New Roman"/>
                <w:color w:val="auto"/>
                <w:lang w:eastAsia="zh-CN"/>
              </w:rPr>
            </w:pPr>
            <w:bookmarkStart w:id="259" w:name="OLE_LINK16"/>
            <w:r>
              <w:rPr>
                <w:rFonts w:ascii="Times New Roman" w:eastAsia="宋体" w:hAnsi="Times New Roman" w:cs="Times New Roman" w:hint="eastAsia"/>
                <w:color w:val="auto"/>
                <w:lang w:eastAsia="zh-CN"/>
              </w:rPr>
              <w:t>51.336</w:t>
            </w:r>
            <w:bookmarkEnd w:id="259"/>
          </w:p>
        </w:tc>
        <w:tc>
          <w:tcPr>
            <w:tcW w:w="2692" w:type="pct"/>
            <w:vAlign w:val="center"/>
          </w:tcPr>
          <w:p w14:paraId="7693333F" w14:textId="4340EE1D" w:rsidR="00262A3A" w:rsidRPr="00262A3A" w:rsidRDefault="00262A3A" w:rsidP="00262A3A">
            <w:pPr>
              <w:adjustRightInd w:val="0"/>
              <w:snapToGrid w:val="0"/>
              <w:spacing w:after="0" w:line="240" w:lineRule="auto"/>
              <w:jc w:val="center"/>
              <w:rPr>
                <w:rFonts w:ascii="Times New Roman" w:eastAsia="宋体" w:hAnsi="Times New Roman" w:cs="Times New Roman"/>
                <w:color w:val="auto"/>
                <w:lang w:eastAsia="zh-CN"/>
              </w:rPr>
            </w:pPr>
            <w:r w:rsidRPr="00262A3A">
              <w:rPr>
                <w:rFonts w:ascii="Times New Roman" w:eastAsia="宋体" w:hAnsi="Times New Roman" w:cs="Times New Roman"/>
                <w:color w:val="auto"/>
                <w:lang w:eastAsia="zh-CN"/>
              </w:rPr>
              <w:t>渗滤液中铅浓度为</w:t>
            </w:r>
            <w:r w:rsidRPr="00262A3A">
              <w:rPr>
                <w:rFonts w:ascii="Times New Roman" w:eastAsia="宋体" w:hAnsi="Times New Roman" w:cs="Times New Roman"/>
                <w:color w:val="auto"/>
                <w:lang w:eastAsia="zh-CN"/>
              </w:rPr>
              <w:t>0.</w:t>
            </w:r>
            <w:r w:rsidR="007174B0">
              <w:rPr>
                <w:rFonts w:ascii="Times New Roman" w:eastAsia="宋体" w:hAnsi="Times New Roman" w:cs="Times New Roman" w:hint="eastAsia"/>
                <w:color w:val="auto"/>
                <w:lang w:eastAsia="zh-CN"/>
              </w:rPr>
              <w:t>23</w:t>
            </w:r>
            <w:r w:rsidRPr="00262A3A">
              <w:rPr>
                <w:rFonts w:ascii="Times New Roman" w:eastAsia="宋体" w:hAnsi="Times New Roman" w:cs="Times New Roman"/>
                <w:color w:val="auto"/>
                <w:lang w:eastAsia="zh-CN"/>
              </w:rPr>
              <w:t>mg/L</w:t>
            </w:r>
            <w:r w:rsidRPr="00262A3A">
              <w:rPr>
                <w:rFonts w:ascii="Times New Roman" w:eastAsia="宋体" w:hAnsi="Times New Roman" w:cs="Times New Roman"/>
                <w:color w:val="auto"/>
                <w:lang w:eastAsia="zh-CN"/>
              </w:rPr>
              <w:t>，场区</w:t>
            </w:r>
            <w:r w:rsidR="007174B0">
              <w:rPr>
                <w:rFonts w:ascii="Times New Roman" w:eastAsia="宋体" w:hAnsi="Times New Roman" w:cs="Times New Roman" w:hint="eastAsia"/>
                <w:color w:val="auto"/>
                <w:lang w:eastAsia="zh-CN"/>
              </w:rPr>
              <w:t>淋溶水</w:t>
            </w:r>
            <w:r w:rsidRPr="00262A3A">
              <w:rPr>
                <w:rFonts w:ascii="Times New Roman" w:eastAsia="宋体" w:hAnsi="Times New Roman" w:cs="Times New Roman"/>
                <w:color w:val="auto"/>
                <w:lang w:eastAsia="zh-CN"/>
              </w:rPr>
              <w:t>产生量为</w:t>
            </w:r>
            <w:r w:rsidR="007174B0">
              <w:rPr>
                <w:rFonts w:ascii="Times New Roman" w:eastAsia="宋体" w:hAnsi="Times New Roman" w:cs="Times New Roman" w:hint="eastAsia"/>
                <w:color w:val="auto"/>
                <w:lang w:eastAsia="zh-CN"/>
              </w:rPr>
              <w:t>0.62t</w:t>
            </w:r>
            <w:r w:rsidRPr="00262A3A">
              <w:rPr>
                <w:rFonts w:ascii="Times New Roman" w:eastAsia="宋体" w:hAnsi="Times New Roman" w:cs="Times New Roman"/>
                <w:color w:val="auto"/>
                <w:lang w:eastAsia="zh-CN"/>
              </w:rPr>
              <w:t>/d</w:t>
            </w:r>
          </w:p>
        </w:tc>
      </w:tr>
      <w:tr w:rsidR="00262A3A" w:rsidRPr="00262A3A" w14:paraId="4130C520" w14:textId="77777777" w:rsidTr="00262A3A">
        <w:trPr>
          <w:trHeight w:val="245"/>
          <w:jc w:val="center"/>
        </w:trPr>
        <w:tc>
          <w:tcPr>
            <w:tcW w:w="481" w:type="pct"/>
            <w:vAlign w:val="center"/>
          </w:tcPr>
          <w:p w14:paraId="1B25F172" w14:textId="77777777" w:rsidR="00262A3A" w:rsidRPr="00262A3A" w:rsidRDefault="00262A3A" w:rsidP="00262A3A">
            <w:pPr>
              <w:adjustRightInd w:val="0"/>
              <w:snapToGrid w:val="0"/>
              <w:spacing w:after="0" w:line="240" w:lineRule="auto"/>
              <w:jc w:val="center"/>
              <w:rPr>
                <w:rFonts w:ascii="Times New Roman" w:eastAsia="宋体" w:hAnsi="Times New Roman" w:cs="Times New Roman"/>
                <w:color w:val="auto"/>
              </w:rPr>
            </w:pPr>
            <w:r w:rsidRPr="00262A3A">
              <w:rPr>
                <w:rFonts w:ascii="Times New Roman" w:eastAsia="宋体" w:hAnsi="Times New Roman" w:cs="Times New Roman"/>
                <w:color w:val="auto"/>
              </w:rPr>
              <w:t>2</w:t>
            </w:r>
          </w:p>
        </w:tc>
        <w:tc>
          <w:tcPr>
            <w:tcW w:w="498" w:type="pct"/>
            <w:vAlign w:val="center"/>
          </w:tcPr>
          <w:p w14:paraId="19AC669A" w14:textId="77777777" w:rsidR="00262A3A" w:rsidRPr="00262A3A" w:rsidRDefault="00262A3A" w:rsidP="00262A3A">
            <w:pPr>
              <w:adjustRightInd w:val="0"/>
              <w:snapToGrid w:val="0"/>
              <w:spacing w:after="0" w:line="240" w:lineRule="auto"/>
              <w:jc w:val="center"/>
              <w:rPr>
                <w:rFonts w:ascii="Times New Roman" w:eastAsia="宋体" w:hAnsi="Times New Roman" w:cs="Times New Roman"/>
                <w:color w:val="auto"/>
              </w:rPr>
            </w:pPr>
            <w:r w:rsidRPr="00262A3A">
              <w:rPr>
                <w:rFonts w:ascii="Times New Roman" w:eastAsia="宋体" w:hAnsi="Times New Roman" w:cs="Times New Roman"/>
                <w:color w:val="auto"/>
              </w:rPr>
              <w:t>LS</w:t>
            </w:r>
          </w:p>
        </w:tc>
        <w:tc>
          <w:tcPr>
            <w:tcW w:w="581" w:type="pct"/>
            <w:vAlign w:val="center"/>
          </w:tcPr>
          <w:p w14:paraId="05E8E0AA" w14:textId="77777777" w:rsidR="00262A3A" w:rsidRPr="00262A3A" w:rsidRDefault="00262A3A" w:rsidP="00262A3A">
            <w:pPr>
              <w:adjustRightInd w:val="0"/>
              <w:snapToGrid w:val="0"/>
              <w:spacing w:after="0" w:line="240" w:lineRule="auto"/>
              <w:jc w:val="center"/>
              <w:rPr>
                <w:rFonts w:ascii="Times New Roman" w:eastAsia="宋体" w:hAnsi="Times New Roman" w:cs="Times New Roman"/>
                <w:color w:val="auto"/>
              </w:rPr>
            </w:pPr>
            <w:r w:rsidRPr="00262A3A">
              <w:rPr>
                <w:rFonts w:ascii="Times New Roman" w:eastAsia="宋体" w:hAnsi="Times New Roman" w:cs="Times New Roman"/>
                <w:color w:val="auto"/>
              </w:rPr>
              <w:t>g</w:t>
            </w:r>
          </w:p>
        </w:tc>
        <w:tc>
          <w:tcPr>
            <w:tcW w:w="747" w:type="pct"/>
            <w:vAlign w:val="center"/>
          </w:tcPr>
          <w:p w14:paraId="51FF8E82" w14:textId="77777777" w:rsidR="00262A3A" w:rsidRPr="00262A3A" w:rsidRDefault="00262A3A" w:rsidP="00262A3A">
            <w:pPr>
              <w:adjustRightInd w:val="0"/>
              <w:snapToGrid w:val="0"/>
              <w:spacing w:after="0" w:line="240" w:lineRule="auto"/>
              <w:jc w:val="center"/>
              <w:rPr>
                <w:rFonts w:ascii="Times New Roman" w:eastAsia="宋体" w:hAnsi="Times New Roman" w:cs="Times New Roman"/>
                <w:color w:val="auto"/>
              </w:rPr>
            </w:pPr>
            <w:r w:rsidRPr="00262A3A">
              <w:rPr>
                <w:rFonts w:ascii="Times New Roman" w:eastAsia="宋体" w:hAnsi="Times New Roman" w:cs="Times New Roman"/>
                <w:color w:val="auto"/>
              </w:rPr>
              <w:t>0</w:t>
            </w:r>
          </w:p>
        </w:tc>
        <w:tc>
          <w:tcPr>
            <w:tcW w:w="2692" w:type="pct"/>
            <w:vMerge w:val="restart"/>
            <w:tcBorders>
              <w:bottom w:val="nil"/>
            </w:tcBorders>
            <w:vAlign w:val="center"/>
          </w:tcPr>
          <w:p w14:paraId="540AE645" w14:textId="03F799D1" w:rsidR="00262A3A" w:rsidRPr="00262A3A" w:rsidRDefault="00262A3A" w:rsidP="00262A3A">
            <w:pPr>
              <w:adjustRightInd w:val="0"/>
              <w:snapToGrid w:val="0"/>
              <w:spacing w:after="0" w:line="240" w:lineRule="auto"/>
              <w:jc w:val="center"/>
              <w:rPr>
                <w:rFonts w:ascii="Times New Roman" w:eastAsia="宋体" w:hAnsi="Times New Roman" w:cs="Times New Roman"/>
                <w:color w:val="auto"/>
                <w:lang w:eastAsia="zh-CN"/>
              </w:rPr>
            </w:pPr>
            <w:r w:rsidRPr="00262A3A">
              <w:rPr>
                <w:rFonts w:ascii="Times New Roman" w:eastAsia="宋体" w:hAnsi="Times New Roman" w:cs="Times New Roman"/>
                <w:color w:val="auto"/>
                <w:lang w:eastAsia="zh-CN"/>
              </w:rPr>
              <w:t>按最不利情况考虑，不考虑排出量</w:t>
            </w:r>
          </w:p>
        </w:tc>
      </w:tr>
      <w:tr w:rsidR="00262A3A" w:rsidRPr="00262A3A" w14:paraId="1AFA3977" w14:textId="77777777" w:rsidTr="00262A3A">
        <w:trPr>
          <w:trHeight w:val="245"/>
          <w:jc w:val="center"/>
        </w:trPr>
        <w:tc>
          <w:tcPr>
            <w:tcW w:w="481" w:type="pct"/>
            <w:vAlign w:val="center"/>
          </w:tcPr>
          <w:p w14:paraId="07073139" w14:textId="77777777" w:rsidR="00262A3A" w:rsidRPr="00262A3A" w:rsidRDefault="00262A3A" w:rsidP="00262A3A">
            <w:pPr>
              <w:adjustRightInd w:val="0"/>
              <w:snapToGrid w:val="0"/>
              <w:spacing w:after="0" w:line="240" w:lineRule="auto"/>
              <w:jc w:val="center"/>
              <w:rPr>
                <w:rFonts w:ascii="Times New Roman" w:eastAsia="宋体" w:hAnsi="Times New Roman" w:cs="Times New Roman"/>
                <w:color w:val="auto"/>
              </w:rPr>
            </w:pPr>
            <w:r w:rsidRPr="00262A3A">
              <w:rPr>
                <w:rFonts w:ascii="Times New Roman" w:eastAsia="宋体" w:hAnsi="Times New Roman" w:cs="Times New Roman"/>
                <w:color w:val="auto"/>
              </w:rPr>
              <w:t>3</w:t>
            </w:r>
          </w:p>
        </w:tc>
        <w:tc>
          <w:tcPr>
            <w:tcW w:w="498" w:type="pct"/>
            <w:vAlign w:val="center"/>
          </w:tcPr>
          <w:p w14:paraId="39F80DF5" w14:textId="77777777" w:rsidR="00262A3A" w:rsidRPr="00262A3A" w:rsidRDefault="00262A3A" w:rsidP="00262A3A">
            <w:pPr>
              <w:adjustRightInd w:val="0"/>
              <w:snapToGrid w:val="0"/>
              <w:spacing w:after="0" w:line="240" w:lineRule="auto"/>
              <w:jc w:val="center"/>
              <w:rPr>
                <w:rFonts w:ascii="Times New Roman" w:eastAsia="宋体" w:hAnsi="Times New Roman" w:cs="Times New Roman"/>
                <w:color w:val="auto"/>
              </w:rPr>
            </w:pPr>
            <w:r w:rsidRPr="00262A3A">
              <w:rPr>
                <w:rFonts w:ascii="Times New Roman" w:eastAsia="宋体" w:hAnsi="Times New Roman" w:cs="Times New Roman"/>
                <w:color w:val="auto"/>
              </w:rPr>
              <w:t>RS</w:t>
            </w:r>
          </w:p>
        </w:tc>
        <w:tc>
          <w:tcPr>
            <w:tcW w:w="581" w:type="pct"/>
            <w:vAlign w:val="center"/>
          </w:tcPr>
          <w:p w14:paraId="7C3C36F5" w14:textId="77777777" w:rsidR="00262A3A" w:rsidRPr="00262A3A" w:rsidRDefault="00262A3A" w:rsidP="00262A3A">
            <w:pPr>
              <w:adjustRightInd w:val="0"/>
              <w:snapToGrid w:val="0"/>
              <w:spacing w:after="0" w:line="240" w:lineRule="auto"/>
              <w:jc w:val="center"/>
              <w:rPr>
                <w:rFonts w:ascii="Times New Roman" w:eastAsia="宋体" w:hAnsi="Times New Roman" w:cs="Times New Roman"/>
                <w:color w:val="auto"/>
              </w:rPr>
            </w:pPr>
            <w:r w:rsidRPr="00262A3A">
              <w:rPr>
                <w:rFonts w:ascii="Times New Roman" w:eastAsia="宋体" w:hAnsi="Times New Roman" w:cs="Times New Roman"/>
                <w:color w:val="auto"/>
              </w:rPr>
              <w:t>g</w:t>
            </w:r>
          </w:p>
        </w:tc>
        <w:tc>
          <w:tcPr>
            <w:tcW w:w="747" w:type="pct"/>
            <w:vAlign w:val="center"/>
          </w:tcPr>
          <w:p w14:paraId="2D1555BB" w14:textId="77777777" w:rsidR="00262A3A" w:rsidRPr="00262A3A" w:rsidRDefault="00262A3A" w:rsidP="00262A3A">
            <w:pPr>
              <w:adjustRightInd w:val="0"/>
              <w:snapToGrid w:val="0"/>
              <w:spacing w:after="0" w:line="240" w:lineRule="auto"/>
              <w:jc w:val="center"/>
              <w:rPr>
                <w:rFonts w:ascii="Times New Roman" w:eastAsia="宋体" w:hAnsi="Times New Roman" w:cs="Times New Roman"/>
                <w:color w:val="auto"/>
              </w:rPr>
            </w:pPr>
            <w:r w:rsidRPr="00262A3A">
              <w:rPr>
                <w:rFonts w:ascii="Times New Roman" w:eastAsia="宋体" w:hAnsi="Times New Roman" w:cs="Times New Roman"/>
                <w:color w:val="auto"/>
              </w:rPr>
              <w:t>0</w:t>
            </w:r>
          </w:p>
        </w:tc>
        <w:tc>
          <w:tcPr>
            <w:tcW w:w="2692" w:type="pct"/>
            <w:vMerge/>
            <w:tcBorders>
              <w:top w:val="nil"/>
            </w:tcBorders>
            <w:vAlign w:val="center"/>
          </w:tcPr>
          <w:p w14:paraId="2686C32C" w14:textId="77777777" w:rsidR="00262A3A" w:rsidRPr="00262A3A" w:rsidRDefault="00262A3A" w:rsidP="00262A3A">
            <w:pPr>
              <w:adjustRightInd w:val="0"/>
              <w:snapToGrid w:val="0"/>
              <w:spacing w:after="0" w:line="240" w:lineRule="auto"/>
              <w:jc w:val="center"/>
              <w:rPr>
                <w:rFonts w:ascii="Times New Roman" w:eastAsia="宋体" w:hAnsi="Times New Roman" w:cs="Times New Roman"/>
                <w:color w:val="auto"/>
              </w:rPr>
            </w:pPr>
          </w:p>
        </w:tc>
      </w:tr>
      <w:tr w:rsidR="00262A3A" w:rsidRPr="00262A3A" w14:paraId="01B71F15" w14:textId="77777777" w:rsidTr="00262A3A">
        <w:trPr>
          <w:trHeight w:val="276"/>
          <w:jc w:val="center"/>
        </w:trPr>
        <w:tc>
          <w:tcPr>
            <w:tcW w:w="481" w:type="pct"/>
            <w:vAlign w:val="center"/>
          </w:tcPr>
          <w:p w14:paraId="0C7B52D7" w14:textId="77777777" w:rsidR="00262A3A" w:rsidRPr="00262A3A" w:rsidRDefault="00262A3A" w:rsidP="00262A3A">
            <w:pPr>
              <w:adjustRightInd w:val="0"/>
              <w:snapToGrid w:val="0"/>
              <w:spacing w:after="0" w:line="240" w:lineRule="auto"/>
              <w:jc w:val="center"/>
              <w:rPr>
                <w:rFonts w:ascii="Times New Roman" w:eastAsia="宋体" w:hAnsi="Times New Roman" w:cs="Times New Roman"/>
                <w:color w:val="auto"/>
              </w:rPr>
            </w:pPr>
            <w:r w:rsidRPr="00262A3A">
              <w:rPr>
                <w:rFonts w:ascii="Times New Roman" w:eastAsia="宋体" w:hAnsi="Times New Roman" w:cs="Times New Roman"/>
                <w:color w:val="auto"/>
              </w:rPr>
              <w:t>4</w:t>
            </w:r>
          </w:p>
        </w:tc>
        <w:tc>
          <w:tcPr>
            <w:tcW w:w="498" w:type="pct"/>
            <w:vAlign w:val="center"/>
          </w:tcPr>
          <w:p w14:paraId="7225B5F4" w14:textId="77777777" w:rsidR="00262A3A" w:rsidRPr="00262A3A" w:rsidRDefault="00262A3A" w:rsidP="00262A3A">
            <w:pPr>
              <w:adjustRightInd w:val="0"/>
              <w:snapToGrid w:val="0"/>
              <w:spacing w:after="0" w:line="240" w:lineRule="auto"/>
              <w:jc w:val="center"/>
              <w:rPr>
                <w:rFonts w:ascii="Times New Roman" w:eastAsia="宋体" w:hAnsi="Times New Roman" w:cs="Times New Roman"/>
                <w:color w:val="auto"/>
              </w:rPr>
            </w:pPr>
            <w:r w:rsidRPr="00262A3A">
              <w:rPr>
                <w:rFonts w:ascii="Times New Roman" w:eastAsia="宋体" w:hAnsi="Times New Roman" w:cs="Times New Roman"/>
                <w:color w:val="auto"/>
              </w:rPr>
              <w:t>ρb</w:t>
            </w:r>
          </w:p>
        </w:tc>
        <w:tc>
          <w:tcPr>
            <w:tcW w:w="581" w:type="pct"/>
            <w:vAlign w:val="center"/>
          </w:tcPr>
          <w:p w14:paraId="2BC24628" w14:textId="77777777" w:rsidR="00262A3A" w:rsidRPr="00262A3A" w:rsidRDefault="00262A3A" w:rsidP="00262A3A">
            <w:pPr>
              <w:adjustRightInd w:val="0"/>
              <w:snapToGrid w:val="0"/>
              <w:spacing w:after="0" w:line="240" w:lineRule="auto"/>
              <w:jc w:val="center"/>
              <w:rPr>
                <w:rFonts w:ascii="Times New Roman" w:eastAsia="宋体" w:hAnsi="Times New Roman" w:cs="Times New Roman"/>
                <w:color w:val="auto"/>
              </w:rPr>
            </w:pPr>
            <w:r w:rsidRPr="00262A3A">
              <w:rPr>
                <w:rFonts w:ascii="Times New Roman" w:eastAsia="宋体" w:hAnsi="Times New Roman" w:cs="Times New Roman"/>
                <w:color w:val="auto"/>
              </w:rPr>
              <w:t>kg/m</w:t>
            </w:r>
            <w:r w:rsidRPr="007174B0">
              <w:rPr>
                <w:rFonts w:ascii="Times New Roman" w:eastAsia="宋体" w:hAnsi="Times New Roman" w:cs="Times New Roman"/>
                <w:color w:val="auto"/>
                <w:vertAlign w:val="superscript"/>
              </w:rPr>
              <w:t>3</w:t>
            </w:r>
          </w:p>
        </w:tc>
        <w:tc>
          <w:tcPr>
            <w:tcW w:w="747" w:type="pct"/>
            <w:vAlign w:val="center"/>
          </w:tcPr>
          <w:p w14:paraId="570A3164" w14:textId="4CD4A9FC" w:rsidR="00262A3A" w:rsidRPr="00262A3A" w:rsidRDefault="00262A3A" w:rsidP="00262A3A">
            <w:pPr>
              <w:adjustRightInd w:val="0"/>
              <w:snapToGrid w:val="0"/>
              <w:spacing w:after="0" w:line="240" w:lineRule="auto"/>
              <w:jc w:val="center"/>
              <w:rPr>
                <w:rFonts w:ascii="Times New Roman" w:eastAsia="宋体" w:hAnsi="Times New Roman" w:cs="Times New Roman"/>
                <w:color w:val="auto"/>
              </w:rPr>
            </w:pPr>
            <w:r w:rsidRPr="00262A3A">
              <w:rPr>
                <w:rFonts w:ascii="Times New Roman" w:eastAsia="宋体" w:hAnsi="Times New Roman" w:cs="Times New Roman"/>
                <w:color w:val="auto"/>
              </w:rPr>
              <w:t>1.3×10</w:t>
            </w:r>
            <w:r w:rsidRPr="007174B0">
              <w:rPr>
                <w:rFonts w:ascii="Times New Roman" w:eastAsia="宋体" w:hAnsi="Times New Roman" w:cs="Times New Roman"/>
                <w:color w:val="auto"/>
                <w:vertAlign w:val="superscript"/>
              </w:rPr>
              <w:t>3</w:t>
            </w:r>
          </w:p>
        </w:tc>
        <w:tc>
          <w:tcPr>
            <w:tcW w:w="2692" w:type="pct"/>
            <w:vAlign w:val="center"/>
          </w:tcPr>
          <w:p w14:paraId="3D15A065" w14:textId="77777777" w:rsidR="00262A3A" w:rsidRPr="00262A3A" w:rsidRDefault="00262A3A" w:rsidP="00262A3A">
            <w:pPr>
              <w:adjustRightInd w:val="0"/>
              <w:snapToGrid w:val="0"/>
              <w:spacing w:after="0" w:line="240" w:lineRule="auto"/>
              <w:jc w:val="center"/>
              <w:rPr>
                <w:rFonts w:ascii="Times New Roman" w:eastAsia="宋体" w:hAnsi="Times New Roman" w:cs="Times New Roman"/>
                <w:color w:val="auto"/>
              </w:rPr>
            </w:pPr>
            <w:r w:rsidRPr="00262A3A">
              <w:rPr>
                <w:rFonts w:ascii="Times New Roman" w:eastAsia="宋体" w:hAnsi="Times New Roman" w:cs="Times New Roman"/>
                <w:color w:val="auto"/>
              </w:rPr>
              <w:t>根据现场监测结果</w:t>
            </w:r>
          </w:p>
        </w:tc>
      </w:tr>
      <w:tr w:rsidR="00262A3A" w:rsidRPr="00262A3A" w14:paraId="0C176EEC" w14:textId="77777777" w:rsidTr="00262A3A">
        <w:trPr>
          <w:trHeight w:val="276"/>
          <w:jc w:val="center"/>
        </w:trPr>
        <w:tc>
          <w:tcPr>
            <w:tcW w:w="481" w:type="pct"/>
            <w:vAlign w:val="center"/>
          </w:tcPr>
          <w:p w14:paraId="69301AAE" w14:textId="77777777" w:rsidR="00262A3A" w:rsidRPr="00262A3A" w:rsidRDefault="00262A3A" w:rsidP="00262A3A">
            <w:pPr>
              <w:adjustRightInd w:val="0"/>
              <w:snapToGrid w:val="0"/>
              <w:spacing w:after="0" w:line="240" w:lineRule="auto"/>
              <w:jc w:val="center"/>
              <w:rPr>
                <w:rFonts w:ascii="Times New Roman" w:eastAsia="宋体" w:hAnsi="Times New Roman" w:cs="Times New Roman"/>
                <w:color w:val="auto"/>
              </w:rPr>
            </w:pPr>
            <w:r w:rsidRPr="00262A3A">
              <w:rPr>
                <w:rFonts w:ascii="Times New Roman" w:eastAsia="宋体" w:hAnsi="Times New Roman" w:cs="Times New Roman"/>
                <w:color w:val="auto"/>
              </w:rPr>
              <w:t>5</w:t>
            </w:r>
          </w:p>
        </w:tc>
        <w:tc>
          <w:tcPr>
            <w:tcW w:w="498" w:type="pct"/>
            <w:vAlign w:val="center"/>
          </w:tcPr>
          <w:p w14:paraId="757C6BF0" w14:textId="77777777" w:rsidR="00262A3A" w:rsidRPr="00262A3A" w:rsidRDefault="00262A3A" w:rsidP="00262A3A">
            <w:pPr>
              <w:adjustRightInd w:val="0"/>
              <w:snapToGrid w:val="0"/>
              <w:spacing w:after="0" w:line="240" w:lineRule="auto"/>
              <w:jc w:val="center"/>
              <w:rPr>
                <w:rFonts w:ascii="Times New Roman" w:eastAsia="宋体" w:hAnsi="Times New Roman" w:cs="Times New Roman"/>
                <w:color w:val="auto"/>
              </w:rPr>
            </w:pPr>
            <w:r w:rsidRPr="00262A3A">
              <w:rPr>
                <w:rFonts w:ascii="Times New Roman" w:eastAsia="宋体" w:hAnsi="Times New Roman" w:cs="Times New Roman"/>
                <w:color w:val="auto"/>
              </w:rPr>
              <w:t>A</w:t>
            </w:r>
          </w:p>
        </w:tc>
        <w:tc>
          <w:tcPr>
            <w:tcW w:w="581" w:type="pct"/>
            <w:vAlign w:val="center"/>
          </w:tcPr>
          <w:p w14:paraId="4145C827" w14:textId="77777777" w:rsidR="00262A3A" w:rsidRPr="00262A3A" w:rsidRDefault="00262A3A" w:rsidP="00262A3A">
            <w:pPr>
              <w:adjustRightInd w:val="0"/>
              <w:snapToGrid w:val="0"/>
              <w:spacing w:after="0" w:line="240" w:lineRule="auto"/>
              <w:jc w:val="center"/>
              <w:rPr>
                <w:rFonts w:ascii="Times New Roman" w:eastAsia="宋体" w:hAnsi="Times New Roman" w:cs="Times New Roman"/>
                <w:color w:val="auto"/>
              </w:rPr>
            </w:pPr>
            <w:r w:rsidRPr="00262A3A">
              <w:rPr>
                <w:rFonts w:ascii="Times New Roman" w:eastAsia="宋体" w:hAnsi="Times New Roman" w:cs="Times New Roman"/>
                <w:color w:val="auto"/>
              </w:rPr>
              <w:t>m</w:t>
            </w:r>
            <w:r w:rsidRPr="007174B0">
              <w:rPr>
                <w:rFonts w:ascii="Times New Roman" w:eastAsia="宋体" w:hAnsi="Times New Roman" w:cs="Times New Roman"/>
                <w:color w:val="auto"/>
                <w:vertAlign w:val="superscript"/>
              </w:rPr>
              <w:t>2</w:t>
            </w:r>
          </w:p>
        </w:tc>
        <w:tc>
          <w:tcPr>
            <w:tcW w:w="747" w:type="pct"/>
            <w:vAlign w:val="center"/>
          </w:tcPr>
          <w:p w14:paraId="2D1C64A6" w14:textId="6E267357" w:rsidR="00262A3A" w:rsidRPr="00262A3A" w:rsidRDefault="00EC52BB" w:rsidP="00262A3A">
            <w:pPr>
              <w:adjustRightInd w:val="0"/>
              <w:snapToGrid w:val="0"/>
              <w:spacing w:after="0" w:line="240" w:lineRule="auto"/>
              <w:jc w:val="center"/>
              <w:rPr>
                <w:rFonts w:ascii="Times New Roman" w:eastAsia="宋体" w:hAnsi="Times New Roman" w:cs="Times New Roman"/>
                <w:color w:val="auto"/>
                <w:lang w:eastAsia="zh-CN"/>
              </w:rPr>
            </w:pPr>
            <w:r>
              <w:rPr>
                <w:rFonts w:ascii="Times New Roman" w:eastAsia="宋体" w:hAnsi="Times New Roman" w:cs="Times New Roman" w:hint="eastAsia"/>
                <w:color w:val="auto"/>
                <w:lang w:eastAsia="zh-CN"/>
              </w:rPr>
              <w:t>130736.95</w:t>
            </w:r>
          </w:p>
        </w:tc>
        <w:tc>
          <w:tcPr>
            <w:tcW w:w="2692" w:type="pct"/>
            <w:vAlign w:val="center"/>
          </w:tcPr>
          <w:p w14:paraId="354DFE09" w14:textId="6DCEDC00" w:rsidR="00262A3A" w:rsidRPr="00262A3A" w:rsidRDefault="00262A3A" w:rsidP="00262A3A">
            <w:pPr>
              <w:adjustRightInd w:val="0"/>
              <w:snapToGrid w:val="0"/>
              <w:spacing w:after="0" w:line="240" w:lineRule="auto"/>
              <w:jc w:val="center"/>
              <w:rPr>
                <w:rFonts w:ascii="Times New Roman" w:eastAsia="宋体" w:hAnsi="Times New Roman" w:cs="Times New Roman"/>
                <w:color w:val="auto"/>
                <w:lang w:eastAsia="zh-CN"/>
              </w:rPr>
            </w:pPr>
            <w:r w:rsidRPr="00262A3A">
              <w:rPr>
                <w:rFonts w:ascii="Times New Roman" w:eastAsia="宋体" w:hAnsi="Times New Roman" w:cs="Times New Roman"/>
                <w:color w:val="auto"/>
                <w:lang w:eastAsia="zh-CN"/>
              </w:rPr>
              <w:t>占地范围及占地范围外</w:t>
            </w:r>
            <w:r w:rsidRPr="00262A3A">
              <w:rPr>
                <w:rFonts w:ascii="Times New Roman" w:eastAsia="宋体" w:hAnsi="Times New Roman" w:cs="Times New Roman"/>
                <w:color w:val="auto"/>
                <w:lang w:eastAsia="zh-CN"/>
              </w:rPr>
              <w:t>0.2km</w:t>
            </w:r>
            <w:r w:rsidRPr="00262A3A">
              <w:rPr>
                <w:rFonts w:ascii="Times New Roman" w:eastAsia="宋体" w:hAnsi="Times New Roman" w:cs="Times New Roman"/>
                <w:color w:val="auto"/>
                <w:lang w:eastAsia="zh-CN"/>
              </w:rPr>
              <w:t>范围内</w:t>
            </w:r>
          </w:p>
        </w:tc>
      </w:tr>
      <w:tr w:rsidR="00262A3A" w:rsidRPr="00262A3A" w14:paraId="369D4111" w14:textId="77777777" w:rsidTr="00262A3A">
        <w:trPr>
          <w:trHeight w:val="246"/>
          <w:jc w:val="center"/>
        </w:trPr>
        <w:tc>
          <w:tcPr>
            <w:tcW w:w="481" w:type="pct"/>
            <w:vAlign w:val="center"/>
          </w:tcPr>
          <w:p w14:paraId="7A070A6E" w14:textId="77777777" w:rsidR="00262A3A" w:rsidRPr="00262A3A" w:rsidRDefault="00262A3A" w:rsidP="00262A3A">
            <w:pPr>
              <w:adjustRightInd w:val="0"/>
              <w:snapToGrid w:val="0"/>
              <w:spacing w:after="0" w:line="240" w:lineRule="auto"/>
              <w:jc w:val="center"/>
              <w:rPr>
                <w:rFonts w:ascii="Times New Roman" w:eastAsia="宋体" w:hAnsi="Times New Roman" w:cs="Times New Roman"/>
                <w:color w:val="auto"/>
              </w:rPr>
            </w:pPr>
            <w:r w:rsidRPr="00262A3A">
              <w:rPr>
                <w:rFonts w:ascii="Times New Roman" w:eastAsia="宋体" w:hAnsi="Times New Roman" w:cs="Times New Roman"/>
                <w:color w:val="auto"/>
              </w:rPr>
              <w:t>6</w:t>
            </w:r>
          </w:p>
        </w:tc>
        <w:tc>
          <w:tcPr>
            <w:tcW w:w="498" w:type="pct"/>
            <w:vAlign w:val="center"/>
          </w:tcPr>
          <w:p w14:paraId="7B280EBA" w14:textId="77777777" w:rsidR="00262A3A" w:rsidRPr="00262A3A" w:rsidRDefault="00262A3A" w:rsidP="00262A3A">
            <w:pPr>
              <w:adjustRightInd w:val="0"/>
              <w:snapToGrid w:val="0"/>
              <w:spacing w:after="0" w:line="240" w:lineRule="auto"/>
              <w:jc w:val="center"/>
              <w:rPr>
                <w:rFonts w:ascii="Times New Roman" w:eastAsia="宋体" w:hAnsi="Times New Roman" w:cs="Times New Roman"/>
                <w:color w:val="auto"/>
              </w:rPr>
            </w:pPr>
            <w:r w:rsidRPr="00262A3A">
              <w:rPr>
                <w:rFonts w:ascii="Times New Roman" w:eastAsia="宋体" w:hAnsi="Times New Roman" w:cs="Times New Roman"/>
                <w:color w:val="auto"/>
              </w:rPr>
              <w:t>D</w:t>
            </w:r>
          </w:p>
        </w:tc>
        <w:tc>
          <w:tcPr>
            <w:tcW w:w="581" w:type="pct"/>
            <w:vAlign w:val="center"/>
          </w:tcPr>
          <w:p w14:paraId="4AC9DDA5" w14:textId="77777777" w:rsidR="00262A3A" w:rsidRPr="00262A3A" w:rsidRDefault="00262A3A" w:rsidP="00262A3A">
            <w:pPr>
              <w:adjustRightInd w:val="0"/>
              <w:snapToGrid w:val="0"/>
              <w:spacing w:after="0" w:line="240" w:lineRule="auto"/>
              <w:jc w:val="center"/>
              <w:rPr>
                <w:rFonts w:ascii="Times New Roman" w:eastAsia="宋体" w:hAnsi="Times New Roman" w:cs="Times New Roman"/>
                <w:color w:val="auto"/>
              </w:rPr>
            </w:pPr>
            <w:r w:rsidRPr="00262A3A">
              <w:rPr>
                <w:rFonts w:ascii="Times New Roman" w:eastAsia="宋体" w:hAnsi="Times New Roman" w:cs="Times New Roman"/>
                <w:color w:val="auto"/>
              </w:rPr>
              <w:t>m</w:t>
            </w:r>
          </w:p>
        </w:tc>
        <w:tc>
          <w:tcPr>
            <w:tcW w:w="747" w:type="pct"/>
            <w:vAlign w:val="center"/>
          </w:tcPr>
          <w:p w14:paraId="3D48E852" w14:textId="77777777" w:rsidR="00262A3A" w:rsidRPr="00262A3A" w:rsidRDefault="00262A3A" w:rsidP="00262A3A">
            <w:pPr>
              <w:adjustRightInd w:val="0"/>
              <w:snapToGrid w:val="0"/>
              <w:spacing w:after="0" w:line="240" w:lineRule="auto"/>
              <w:jc w:val="center"/>
              <w:rPr>
                <w:rFonts w:ascii="Times New Roman" w:eastAsia="宋体" w:hAnsi="Times New Roman" w:cs="Times New Roman"/>
                <w:color w:val="auto"/>
              </w:rPr>
            </w:pPr>
            <w:r w:rsidRPr="00262A3A">
              <w:rPr>
                <w:rFonts w:ascii="Times New Roman" w:eastAsia="宋体" w:hAnsi="Times New Roman" w:cs="Times New Roman"/>
                <w:color w:val="auto"/>
              </w:rPr>
              <w:t>0.2</w:t>
            </w:r>
          </w:p>
        </w:tc>
        <w:tc>
          <w:tcPr>
            <w:tcW w:w="2692" w:type="pct"/>
            <w:vAlign w:val="center"/>
          </w:tcPr>
          <w:p w14:paraId="3105626A" w14:textId="77777777" w:rsidR="00262A3A" w:rsidRPr="00262A3A" w:rsidRDefault="00262A3A" w:rsidP="00262A3A">
            <w:pPr>
              <w:adjustRightInd w:val="0"/>
              <w:snapToGrid w:val="0"/>
              <w:spacing w:after="0" w:line="240" w:lineRule="auto"/>
              <w:jc w:val="center"/>
              <w:rPr>
                <w:rFonts w:ascii="Times New Roman" w:eastAsia="宋体" w:hAnsi="Times New Roman" w:cs="Times New Roman"/>
                <w:color w:val="auto"/>
              </w:rPr>
            </w:pPr>
            <w:r w:rsidRPr="00262A3A">
              <w:rPr>
                <w:rFonts w:ascii="Times New Roman" w:eastAsia="宋体" w:hAnsi="Times New Roman" w:cs="Times New Roman"/>
                <w:color w:val="auto"/>
              </w:rPr>
              <w:t>/</w:t>
            </w:r>
          </w:p>
        </w:tc>
      </w:tr>
      <w:tr w:rsidR="00262A3A" w:rsidRPr="00262A3A" w14:paraId="1490A69D" w14:textId="77777777" w:rsidTr="00262A3A">
        <w:trPr>
          <w:trHeight w:val="281"/>
          <w:jc w:val="center"/>
        </w:trPr>
        <w:tc>
          <w:tcPr>
            <w:tcW w:w="481" w:type="pct"/>
            <w:vAlign w:val="center"/>
          </w:tcPr>
          <w:p w14:paraId="49D60ABB" w14:textId="77777777" w:rsidR="00262A3A" w:rsidRPr="00262A3A" w:rsidRDefault="00262A3A" w:rsidP="00262A3A">
            <w:pPr>
              <w:adjustRightInd w:val="0"/>
              <w:snapToGrid w:val="0"/>
              <w:spacing w:after="0" w:line="240" w:lineRule="auto"/>
              <w:jc w:val="center"/>
              <w:rPr>
                <w:rFonts w:ascii="Times New Roman" w:eastAsia="宋体" w:hAnsi="Times New Roman" w:cs="Times New Roman"/>
                <w:color w:val="auto"/>
              </w:rPr>
            </w:pPr>
            <w:r w:rsidRPr="00262A3A">
              <w:rPr>
                <w:rFonts w:ascii="Times New Roman" w:eastAsia="宋体" w:hAnsi="Times New Roman" w:cs="Times New Roman"/>
                <w:color w:val="auto"/>
              </w:rPr>
              <w:t>7</w:t>
            </w:r>
          </w:p>
        </w:tc>
        <w:tc>
          <w:tcPr>
            <w:tcW w:w="498" w:type="pct"/>
            <w:vAlign w:val="center"/>
          </w:tcPr>
          <w:p w14:paraId="336694CE" w14:textId="77777777" w:rsidR="00262A3A" w:rsidRPr="00262A3A" w:rsidRDefault="00262A3A" w:rsidP="00262A3A">
            <w:pPr>
              <w:adjustRightInd w:val="0"/>
              <w:snapToGrid w:val="0"/>
              <w:spacing w:after="0" w:line="240" w:lineRule="auto"/>
              <w:jc w:val="center"/>
              <w:rPr>
                <w:rFonts w:ascii="Times New Roman" w:eastAsia="宋体" w:hAnsi="Times New Roman" w:cs="Times New Roman"/>
                <w:color w:val="auto"/>
              </w:rPr>
            </w:pPr>
            <w:r w:rsidRPr="00262A3A">
              <w:rPr>
                <w:rFonts w:ascii="Times New Roman" w:eastAsia="宋体" w:hAnsi="Times New Roman" w:cs="Times New Roman"/>
                <w:color w:val="auto"/>
              </w:rPr>
              <w:t>Sb</w:t>
            </w:r>
          </w:p>
        </w:tc>
        <w:tc>
          <w:tcPr>
            <w:tcW w:w="581" w:type="pct"/>
            <w:vAlign w:val="center"/>
          </w:tcPr>
          <w:p w14:paraId="016779C2" w14:textId="77777777" w:rsidR="00262A3A" w:rsidRPr="00262A3A" w:rsidRDefault="00262A3A" w:rsidP="00262A3A">
            <w:pPr>
              <w:adjustRightInd w:val="0"/>
              <w:snapToGrid w:val="0"/>
              <w:spacing w:after="0" w:line="240" w:lineRule="auto"/>
              <w:jc w:val="center"/>
              <w:rPr>
                <w:rFonts w:ascii="Times New Roman" w:eastAsia="宋体" w:hAnsi="Times New Roman" w:cs="Times New Roman"/>
                <w:color w:val="auto"/>
              </w:rPr>
            </w:pPr>
            <w:r w:rsidRPr="00262A3A">
              <w:rPr>
                <w:rFonts w:ascii="Times New Roman" w:eastAsia="宋体" w:hAnsi="Times New Roman" w:cs="Times New Roman"/>
                <w:color w:val="auto"/>
              </w:rPr>
              <w:t>g/kg</w:t>
            </w:r>
          </w:p>
        </w:tc>
        <w:tc>
          <w:tcPr>
            <w:tcW w:w="747" w:type="pct"/>
            <w:vAlign w:val="center"/>
          </w:tcPr>
          <w:p w14:paraId="79B6AF8F" w14:textId="2602D560" w:rsidR="00262A3A" w:rsidRPr="00262A3A" w:rsidRDefault="00262A3A" w:rsidP="00262A3A">
            <w:pPr>
              <w:adjustRightInd w:val="0"/>
              <w:snapToGrid w:val="0"/>
              <w:spacing w:after="0" w:line="240" w:lineRule="auto"/>
              <w:jc w:val="center"/>
              <w:rPr>
                <w:rFonts w:ascii="Times New Roman" w:eastAsia="宋体" w:hAnsi="Times New Roman" w:cs="Times New Roman"/>
                <w:color w:val="auto"/>
                <w:lang w:eastAsia="zh-CN"/>
              </w:rPr>
            </w:pPr>
            <w:r w:rsidRPr="00262A3A">
              <w:rPr>
                <w:rFonts w:ascii="Times New Roman" w:eastAsia="宋体" w:hAnsi="Times New Roman" w:cs="Times New Roman"/>
                <w:color w:val="auto"/>
              </w:rPr>
              <w:t>0.02</w:t>
            </w:r>
            <w:r w:rsidR="007174B0">
              <w:rPr>
                <w:rFonts w:ascii="Times New Roman" w:eastAsia="宋体" w:hAnsi="Times New Roman" w:cs="Times New Roman" w:hint="eastAsia"/>
                <w:color w:val="auto"/>
                <w:lang w:eastAsia="zh-CN"/>
              </w:rPr>
              <w:t>6</w:t>
            </w:r>
          </w:p>
        </w:tc>
        <w:tc>
          <w:tcPr>
            <w:tcW w:w="2692" w:type="pct"/>
            <w:vAlign w:val="center"/>
          </w:tcPr>
          <w:p w14:paraId="707A07F8" w14:textId="1E282A07" w:rsidR="00262A3A" w:rsidRPr="00262A3A" w:rsidRDefault="007174B0" w:rsidP="00262A3A">
            <w:pPr>
              <w:adjustRightInd w:val="0"/>
              <w:snapToGrid w:val="0"/>
              <w:spacing w:after="0" w:line="240" w:lineRule="auto"/>
              <w:jc w:val="center"/>
              <w:rPr>
                <w:rFonts w:ascii="Times New Roman" w:eastAsia="宋体" w:hAnsi="Times New Roman" w:cs="Times New Roman"/>
                <w:color w:val="auto"/>
                <w:lang w:eastAsia="zh-CN"/>
              </w:rPr>
            </w:pPr>
            <w:r>
              <w:rPr>
                <w:rFonts w:ascii="Times New Roman" w:eastAsia="宋体" w:hAnsi="Times New Roman" w:cs="Times New Roman" w:hint="eastAsia"/>
                <w:color w:val="auto"/>
                <w:lang w:eastAsia="zh-CN"/>
              </w:rPr>
              <w:t>S4</w:t>
            </w:r>
            <w:r>
              <w:rPr>
                <w:rFonts w:ascii="Times New Roman" w:eastAsia="宋体" w:hAnsi="Times New Roman" w:cs="Times New Roman" w:hint="eastAsia"/>
                <w:color w:val="auto"/>
                <w:lang w:eastAsia="zh-CN"/>
              </w:rPr>
              <w:t>、</w:t>
            </w:r>
            <w:r>
              <w:rPr>
                <w:rFonts w:ascii="Times New Roman" w:eastAsia="宋体" w:hAnsi="Times New Roman" w:cs="Times New Roman" w:hint="eastAsia"/>
                <w:color w:val="auto"/>
                <w:lang w:eastAsia="zh-CN"/>
              </w:rPr>
              <w:t>S5</w:t>
            </w:r>
            <w:r>
              <w:rPr>
                <w:rFonts w:ascii="Times New Roman" w:eastAsia="宋体" w:hAnsi="Times New Roman" w:cs="Times New Roman" w:hint="eastAsia"/>
                <w:color w:val="auto"/>
                <w:lang w:eastAsia="zh-CN"/>
              </w:rPr>
              <w:t>、</w:t>
            </w:r>
            <w:r>
              <w:rPr>
                <w:rFonts w:ascii="Times New Roman" w:eastAsia="宋体" w:hAnsi="Times New Roman" w:cs="Times New Roman" w:hint="eastAsia"/>
                <w:color w:val="auto"/>
                <w:lang w:eastAsia="zh-CN"/>
              </w:rPr>
              <w:t>S6</w:t>
            </w:r>
            <w:r>
              <w:rPr>
                <w:rFonts w:ascii="Times New Roman" w:eastAsia="宋体" w:hAnsi="Times New Roman" w:cs="Times New Roman" w:hint="eastAsia"/>
                <w:color w:val="auto"/>
                <w:lang w:eastAsia="zh-CN"/>
              </w:rPr>
              <w:t>表层土壤平均值</w:t>
            </w:r>
          </w:p>
        </w:tc>
      </w:tr>
    </w:tbl>
    <w:p w14:paraId="0C548FB5" w14:textId="1805D361" w:rsidR="00262A3A" w:rsidRPr="00262A3A" w:rsidRDefault="00262A3A" w:rsidP="00262A3A">
      <w:pPr>
        <w:pStyle w:val="affffff5"/>
        <w:rPr>
          <w:rFonts w:ascii="微软雅黑" w:eastAsia="微软雅黑" w:hAnsi="微软雅黑" w:cs="微软雅黑" w:hint="eastAsia"/>
          <w:noProof/>
          <w:snapToGrid w:val="0"/>
          <w:color w:val="000000"/>
          <w:kern w:val="0"/>
          <w:sz w:val="23"/>
          <w:szCs w:val="23"/>
        </w:rPr>
      </w:pPr>
      <w:r w:rsidRPr="00262A3A">
        <w:t>表</w:t>
      </w:r>
      <w:r w:rsidR="001D5FDF">
        <w:rPr>
          <w:rFonts w:hint="eastAsia"/>
        </w:rPr>
        <w:t>6.2</w:t>
      </w:r>
      <w:r w:rsidR="00FD0A87">
        <w:rPr>
          <w:rFonts w:hint="eastAsia"/>
        </w:rPr>
        <w:t>-28</w:t>
      </w:r>
      <w:r w:rsidRPr="00262A3A">
        <w:t xml:space="preserve"> </w:t>
      </w:r>
      <w:r w:rsidRPr="00262A3A">
        <w:t>不同年份土壤污染物累积影响预测表</w:t>
      </w:r>
    </w:p>
    <w:tbl>
      <w:tblPr>
        <w:tblStyle w:val="TableNormal4"/>
        <w:tblW w:w="5000" w:type="pct"/>
        <w:jc w:val="center"/>
        <w:tblInd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ook w:val="04A0" w:firstRow="1" w:lastRow="0" w:firstColumn="1" w:lastColumn="0" w:noHBand="0" w:noVBand="1"/>
      </w:tblPr>
      <w:tblGrid>
        <w:gridCol w:w="765"/>
        <w:gridCol w:w="824"/>
        <w:gridCol w:w="767"/>
        <w:gridCol w:w="767"/>
        <w:gridCol w:w="1179"/>
        <w:gridCol w:w="977"/>
        <w:gridCol w:w="827"/>
        <w:gridCol w:w="1366"/>
        <w:gridCol w:w="1366"/>
      </w:tblGrid>
      <w:tr w:rsidR="00262A3A" w:rsidRPr="00262A3A" w14:paraId="02EF1D1D" w14:textId="77777777" w:rsidTr="00EC52BB">
        <w:trPr>
          <w:trHeight w:val="793"/>
          <w:jc w:val="center"/>
        </w:trPr>
        <w:tc>
          <w:tcPr>
            <w:tcW w:w="432" w:type="pct"/>
            <w:vAlign w:val="center"/>
          </w:tcPr>
          <w:p w14:paraId="031151A1" w14:textId="02995435" w:rsidR="00262A3A" w:rsidRPr="00262A3A" w:rsidRDefault="00262A3A" w:rsidP="00EC52BB">
            <w:pPr>
              <w:adjustRightInd w:val="0"/>
              <w:snapToGrid w:val="0"/>
              <w:spacing w:after="0" w:line="240" w:lineRule="auto"/>
              <w:jc w:val="center"/>
              <w:rPr>
                <w:rFonts w:ascii="Times New Roman" w:eastAsia="宋体" w:hAnsi="Times New Roman" w:cs="Times New Roman"/>
                <w:color w:val="auto"/>
              </w:rPr>
            </w:pPr>
            <w:r w:rsidRPr="00262A3A">
              <w:rPr>
                <w:rFonts w:ascii="Times New Roman" w:eastAsia="宋体" w:hAnsi="Times New Roman" w:cs="Times New Roman"/>
                <w:color w:val="auto"/>
              </w:rPr>
              <w:t>n</w:t>
            </w:r>
            <w:r w:rsidRPr="00262A3A">
              <w:rPr>
                <w:rFonts w:ascii="Times New Roman" w:eastAsia="宋体" w:hAnsi="Times New Roman" w:cs="Times New Roman"/>
                <w:color w:val="auto"/>
              </w:rPr>
              <w:t>（</w:t>
            </w:r>
            <w:r w:rsidRPr="00262A3A">
              <w:rPr>
                <w:rFonts w:ascii="Times New Roman" w:eastAsia="宋体" w:hAnsi="Times New Roman" w:cs="Times New Roman"/>
                <w:color w:val="auto"/>
              </w:rPr>
              <w:t>a)</w:t>
            </w:r>
          </w:p>
        </w:tc>
        <w:tc>
          <w:tcPr>
            <w:tcW w:w="466" w:type="pct"/>
            <w:vAlign w:val="center"/>
          </w:tcPr>
          <w:p w14:paraId="0E41A14E" w14:textId="242A3754" w:rsidR="00262A3A" w:rsidRPr="00262A3A" w:rsidRDefault="00262A3A" w:rsidP="00EC52BB">
            <w:pPr>
              <w:adjustRightInd w:val="0"/>
              <w:snapToGrid w:val="0"/>
              <w:spacing w:after="0" w:line="240" w:lineRule="auto"/>
              <w:jc w:val="center"/>
              <w:rPr>
                <w:rFonts w:ascii="Times New Roman" w:eastAsia="宋体" w:hAnsi="Times New Roman" w:cs="Times New Roman"/>
                <w:color w:val="auto"/>
              </w:rPr>
            </w:pPr>
            <w:r w:rsidRPr="00262A3A">
              <w:rPr>
                <w:rFonts w:ascii="Times New Roman" w:eastAsia="宋体" w:hAnsi="Times New Roman" w:cs="Times New Roman"/>
                <w:color w:val="auto"/>
              </w:rPr>
              <w:t>IS</w:t>
            </w:r>
            <w:r w:rsidRPr="00262A3A">
              <w:rPr>
                <w:rFonts w:ascii="Times New Roman" w:eastAsia="宋体" w:hAnsi="Times New Roman" w:cs="Times New Roman"/>
                <w:color w:val="auto"/>
              </w:rPr>
              <w:t>（</w:t>
            </w:r>
            <w:r w:rsidRPr="00262A3A">
              <w:rPr>
                <w:rFonts w:ascii="Times New Roman" w:eastAsia="宋体" w:hAnsi="Times New Roman" w:cs="Times New Roman"/>
                <w:color w:val="auto"/>
              </w:rPr>
              <w:t>g</w:t>
            </w:r>
            <w:r w:rsidRPr="00262A3A">
              <w:rPr>
                <w:rFonts w:ascii="Times New Roman" w:eastAsia="宋体" w:hAnsi="Times New Roman" w:cs="Times New Roman"/>
                <w:color w:val="auto"/>
              </w:rPr>
              <w:t>）</w:t>
            </w:r>
          </w:p>
        </w:tc>
        <w:tc>
          <w:tcPr>
            <w:tcW w:w="434" w:type="pct"/>
            <w:vAlign w:val="center"/>
          </w:tcPr>
          <w:p w14:paraId="36354FD6" w14:textId="4BE826ED" w:rsidR="00262A3A" w:rsidRPr="00262A3A" w:rsidRDefault="00262A3A" w:rsidP="00EC52BB">
            <w:pPr>
              <w:adjustRightInd w:val="0"/>
              <w:snapToGrid w:val="0"/>
              <w:spacing w:after="0" w:line="240" w:lineRule="auto"/>
              <w:jc w:val="center"/>
              <w:rPr>
                <w:rFonts w:ascii="Times New Roman" w:eastAsia="宋体" w:hAnsi="Times New Roman" w:cs="Times New Roman"/>
                <w:color w:val="auto"/>
              </w:rPr>
            </w:pPr>
            <w:r w:rsidRPr="00262A3A">
              <w:rPr>
                <w:rFonts w:ascii="Times New Roman" w:eastAsia="宋体" w:hAnsi="Times New Roman" w:cs="Times New Roman"/>
                <w:color w:val="auto"/>
              </w:rPr>
              <w:t>LS</w:t>
            </w:r>
            <w:r w:rsidRPr="00262A3A">
              <w:rPr>
                <w:rFonts w:ascii="Times New Roman" w:eastAsia="宋体" w:hAnsi="Times New Roman" w:cs="Times New Roman"/>
                <w:color w:val="auto"/>
              </w:rPr>
              <w:t>（</w:t>
            </w:r>
            <w:r w:rsidRPr="00262A3A">
              <w:rPr>
                <w:rFonts w:ascii="Times New Roman" w:eastAsia="宋体" w:hAnsi="Times New Roman" w:cs="Times New Roman"/>
                <w:color w:val="auto"/>
              </w:rPr>
              <w:t>g)</w:t>
            </w:r>
          </w:p>
        </w:tc>
        <w:tc>
          <w:tcPr>
            <w:tcW w:w="434" w:type="pct"/>
            <w:vAlign w:val="center"/>
          </w:tcPr>
          <w:p w14:paraId="081AD206" w14:textId="4F8567B3" w:rsidR="00262A3A" w:rsidRPr="00262A3A" w:rsidRDefault="00262A3A" w:rsidP="00EC52BB">
            <w:pPr>
              <w:adjustRightInd w:val="0"/>
              <w:snapToGrid w:val="0"/>
              <w:spacing w:after="0" w:line="240" w:lineRule="auto"/>
              <w:jc w:val="center"/>
              <w:rPr>
                <w:rFonts w:ascii="Times New Roman" w:eastAsia="宋体" w:hAnsi="Times New Roman" w:cs="Times New Roman"/>
                <w:color w:val="auto"/>
              </w:rPr>
            </w:pPr>
            <w:r w:rsidRPr="00262A3A">
              <w:rPr>
                <w:rFonts w:ascii="Times New Roman" w:eastAsia="宋体" w:hAnsi="Times New Roman" w:cs="Times New Roman"/>
                <w:color w:val="auto"/>
              </w:rPr>
              <w:t>RS</w:t>
            </w:r>
            <w:r w:rsidRPr="00262A3A">
              <w:rPr>
                <w:rFonts w:ascii="Times New Roman" w:eastAsia="宋体" w:hAnsi="Times New Roman" w:cs="Times New Roman"/>
                <w:color w:val="auto"/>
              </w:rPr>
              <w:t>（</w:t>
            </w:r>
            <w:r w:rsidRPr="00262A3A">
              <w:rPr>
                <w:rFonts w:ascii="Times New Roman" w:eastAsia="宋体" w:hAnsi="Times New Roman" w:cs="Times New Roman"/>
                <w:color w:val="auto"/>
              </w:rPr>
              <w:t>g)</w:t>
            </w:r>
          </w:p>
        </w:tc>
        <w:tc>
          <w:tcPr>
            <w:tcW w:w="667" w:type="pct"/>
            <w:vAlign w:val="center"/>
          </w:tcPr>
          <w:p w14:paraId="7B7318D3" w14:textId="60FC70EF" w:rsidR="00262A3A" w:rsidRPr="00262A3A" w:rsidRDefault="00262A3A" w:rsidP="00EC52BB">
            <w:pPr>
              <w:adjustRightInd w:val="0"/>
              <w:snapToGrid w:val="0"/>
              <w:spacing w:after="0" w:line="240" w:lineRule="auto"/>
              <w:jc w:val="center"/>
              <w:rPr>
                <w:rFonts w:ascii="Times New Roman" w:eastAsia="宋体" w:hAnsi="Times New Roman" w:cs="Times New Roman"/>
                <w:color w:val="auto"/>
              </w:rPr>
            </w:pPr>
            <w:r w:rsidRPr="00262A3A">
              <w:rPr>
                <w:rFonts w:ascii="Times New Roman" w:eastAsia="宋体" w:hAnsi="Times New Roman" w:cs="Times New Roman"/>
                <w:color w:val="auto"/>
              </w:rPr>
              <w:t>ρb</w:t>
            </w:r>
            <w:r w:rsidRPr="00262A3A">
              <w:rPr>
                <w:rFonts w:ascii="Times New Roman" w:eastAsia="宋体" w:hAnsi="Times New Roman" w:cs="Times New Roman"/>
                <w:color w:val="auto"/>
              </w:rPr>
              <w:t>（</w:t>
            </w:r>
            <w:r w:rsidRPr="00262A3A">
              <w:rPr>
                <w:rFonts w:ascii="Times New Roman" w:eastAsia="宋体" w:hAnsi="Times New Roman" w:cs="Times New Roman"/>
                <w:color w:val="auto"/>
              </w:rPr>
              <w:t>kg/m</w:t>
            </w:r>
            <w:r w:rsidRPr="00EC52BB">
              <w:rPr>
                <w:rFonts w:ascii="Times New Roman" w:eastAsia="宋体" w:hAnsi="Times New Roman" w:cs="Times New Roman"/>
                <w:color w:val="auto"/>
                <w:vertAlign w:val="superscript"/>
              </w:rPr>
              <w:t>3</w:t>
            </w:r>
            <w:r w:rsidRPr="00262A3A">
              <w:rPr>
                <w:rFonts w:ascii="Times New Roman" w:eastAsia="宋体" w:hAnsi="Times New Roman" w:cs="Times New Roman"/>
                <w:color w:val="auto"/>
              </w:rPr>
              <w:t>)</w:t>
            </w:r>
          </w:p>
        </w:tc>
        <w:tc>
          <w:tcPr>
            <w:tcW w:w="553" w:type="pct"/>
            <w:vAlign w:val="center"/>
          </w:tcPr>
          <w:p w14:paraId="65B3BAE9" w14:textId="3730AA27" w:rsidR="00262A3A" w:rsidRPr="00262A3A" w:rsidRDefault="00262A3A" w:rsidP="00EC52BB">
            <w:pPr>
              <w:adjustRightInd w:val="0"/>
              <w:snapToGrid w:val="0"/>
              <w:spacing w:after="0" w:line="240" w:lineRule="auto"/>
              <w:jc w:val="center"/>
              <w:rPr>
                <w:rFonts w:ascii="Times New Roman" w:eastAsia="宋体" w:hAnsi="Times New Roman" w:cs="Times New Roman"/>
                <w:color w:val="auto"/>
              </w:rPr>
            </w:pPr>
            <w:r w:rsidRPr="00262A3A">
              <w:rPr>
                <w:rFonts w:ascii="Times New Roman" w:eastAsia="宋体" w:hAnsi="Times New Roman" w:cs="Times New Roman"/>
                <w:color w:val="auto"/>
              </w:rPr>
              <w:t>A</w:t>
            </w:r>
            <w:r w:rsidRPr="00262A3A">
              <w:rPr>
                <w:rFonts w:ascii="Times New Roman" w:eastAsia="宋体" w:hAnsi="Times New Roman" w:cs="Times New Roman"/>
                <w:color w:val="auto"/>
              </w:rPr>
              <w:t>（</w:t>
            </w:r>
            <w:r w:rsidRPr="00262A3A">
              <w:rPr>
                <w:rFonts w:ascii="Times New Roman" w:eastAsia="宋体" w:hAnsi="Times New Roman" w:cs="Times New Roman"/>
                <w:color w:val="auto"/>
              </w:rPr>
              <w:t>m</w:t>
            </w:r>
            <w:r w:rsidRPr="00EC52BB">
              <w:rPr>
                <w:rFonts w:ascii="Times New Roman" w:eastAsia="宋体" w:hAnsi="Times New Roman" w:cs="Times New Roman"/>
                <w:color w:val="auto"/>
                <w:vertAlign w:val="superscript"/>
              </w:rPr>
              <w:t>2</w:t>
            </w:r>
            <w:r w:rsidRPr="00262A3A">
              <w:rPr>
                <w:rFonts w:ascii="Times New Roman" w:eastAsia="宋体" w:hAnsi="Times New Roman" w:cs="Times New Roman"/>
                <w:color w:val="auto"/>
              </w:rPr>
              <w:t>）</w:t>
            </w:r>
          </w:p>
        </w:tc>
        <w:tc>
          <w:tcPr>
            <w:tcW w:w="468" w:type="pct"/>
            <w:vAlign w:val="center"/>
          </w:tcPr>
          <w:p w14:paraId="169F11A3" w14:textId="368F6C0B" w:rsidR="00262A3A" w:rsidRPr="00262A3A" w:rsidRDefault="00262A3A" w:rsidP="00EC52BB">
            <w:pPr>
              <w:adjustRightInd w:val="0"/>
              <w:snapToGrid w:val="0"/>
              <w:spacing w:after="0" w:line="240" w:lineRule="auto"/>
              <w:jc w:val="center"/>
              <w:rPr>
                <w:rFonts w:ascii="Times New Roman" w:eastAsia="宋体" w:hAnsi="Times New Roman" w:cs="Times New Roman"/>
                <w:color w:val="auto"/>
              </w:rPr>
            </w:pPr>
            <w:r w:rsidRPr="00262A3A">
              <w:rPr>
                <w:rFonts w:ascii="Times New Roman" w:eastAsia="宋体" w:hAnsi="Times New Roman" w:cs="Times New Roman"/>
                <w:color w:val="auto"/>
              </w:rPr>
              <w:t>D</w:t>
            </w:r>
            <w:r w:rsidRPr="00262A3A">
              <w:rPr>
                <w:rFonts w:ascii="Times New Roman" w:eastAsia="宋体" w:hAnsi="Times New Roman" w:cs="Times New Roman"/>
                <w:color w:val="auto"/>
              </w:rPr>
              <w:t>（</w:t>
            </w:r>
            <w:r w:rsidRPr="00262A3A">
              <w:rPr>
                <w:rFonts w:ascii="Times New Roman" w:eastAsia="宋体" w:hAnsi="Times New Roman" w:cs="Times New Roman"/>
                <w:color w:val="auto"/>
              </w:rPr>
              <w:t>m)</w:t>
            </w:r>
          </w:p>
        </w:tc>
        <w:tc>
          <w:tcPr>
            <w:tcW w:w="773" w:type="pct"/>
            <w:vAlign w:val="center"/>
          </w:tcPr>
          <w:p w14:paraId="5B3A17F4" w14:textId="76124935" w:rsidR="00262A3A" w:rsidRPr="00262A3A" w:rsidRDefault="00262A3A" w:rsidP="00EC52BB">
            <w:pPr>
              <w:adjustRightInd w:val="0"/>
              <w:snapToGrid w:val="0"/>
              <w:spacing w:after="0" w:line="240" w:lineRule="auto"/>
              <w:jc w:val="center"/>
              <w:rPr>
                <w:rFonts w:ascii="Times New Roman" w:eastAsia="宋体" w:hAnsi="Times New Roman" w:cs="Times New Roman"/>
                <w:color w:val="auto"/>
              </w:rPr>
            </w:pPr>
            <w:r w:rsidRPr="00262A3A">
              <w:rPr>
                <w:rFonts w:ascii="Cambria Math" w:eastAsia="宋体" w:hAnsi="Cambria Math" w:cs="Cambria Math"/>
                <w:color w:val="auto"/>
              </w:rPr>
              <w:t>△</w:t>
            </w:r>
            <w:r w:rsidRPr="00262A3A">
              <w:rPr>
                <w:rFonts w:ascii="Times New Roman" w:eastAsia="宋体" w:hAnsi="Times New Roman" w:cs="Times New Roman"/>
                <w:color w:val="auto"/>
              </w:rPr>
              <w:t>S</w:t>
            </w:r>
            <w:r w:rsidRPr="00262A3A">
              <w:rPr>
                <w:rFonts w:ascii="Times New Roman" w:eastAsia="宋体" w:hAnsi="Times New Roman" w:cs="Times New Roman"/>
                <w:color w:val="auto"/>
              </w:rPr>
              <w:t>（</w:t>
            </w:r>
            <w:r w:rsidRPr="00262A3A">
              <w:rPr>
                <w:rFonts w:ascii="Times New Roman" w:eastAsia="宋体" w:hAnsi="Times New Roman" w:cs="Times New Roman"/>
                <w:color w:val="auto"/>
              </w:rPr>
              <w:t>g/kg</w:t>
            </w:r>
            <w:r w:rsidRPr="00262A3A">
              <w:rPr>
                <w:rFonts w:ascii="Times New Roman" w:eastAsia="宋体" w:hAnsi="Times New Roman" w:cs="Times New Roman"/>
                <w:color w:val="auto"/>
              </w:rPr>
              <w:t>）</w:t>
            </w:r>
          </w:p>
        </w:tc>
        <w:tc>
          <w:tcPr>
            <w:tcW w:w="774" w:type="pct"/>
            <w:vAlign w:val="center"/>
          </w:tcPr>
          <w:p w14:paraId="5EB5E3C0" w14:textId="77777777" w:rsidR="00262A3A" w:rsidRPr="00262A3A" w:rsidRDefault="00262A3A" w:rsidP="00262A3A">
            <w:pPr>
              <w:adjustRightInd w:val="0"/>
              <w:snapToGrid w:val="0"/>
              <w:spacing w:after="0" w:line="240" w:lineRule="auto"/>
              <w:jc w:val="center"/>
              <w:rPr>
                <w:rFonts w:ascii="Times New Roman" w:eastAsia="宋体" w:hAnsi="Times New Roman" w:cs="Times New Roman"/>
                <w:color w:val="auto"/>
              </w:rPr>
            </w:pPr>
            <w:r w:rsidRPr="00262A3A">
              <w:rPr>
                <w:rFonts w:ascii="Times New Roman" w:eastAsia="宋体" w:hAnsi="Times New Roman" w:cs="Times New Roman"/>
                <w:color w:val="auto"/>
              </w:rPr>
              <w:t>S</w:t>
            </w:r>
            <w:r w:rsidRPr="00262A3A">
              <w:rPr>
                <w:rFonts w:ascii="Times New Roman" w:eastAsia="宋体" w:hAnsi="Times New Roman" w:cs="Times New Roman"/>
                <w:color w:val="auto"/>
              </w:rPr>
              <w:t>（</w:t>
            </w:r>
            <w:r w:rsidRPr="00262A3A">
              <w:rPr>
                <w:rFonts w:ascii="Times New Roman" w:eastAsia="宋体" w:hAnsi="Times New Roman" w:cs="Times New Roman"/>
                <w:color w:val="auto"/>
              </w:rPr>
              <w:t>g/kg</w:t>
            </w:r>
            <w:r w:rsidRPr="00262A3A">
              <w:rPr>
                <w:rFonts w:ascii="Times New Roman" w:eastAsia="宋体" w:hAnsi="Times New Roman" w:cs="Times New Roman"/>
                <w:color w:val="auto"/>
              </w:rPr>
              <w:t>）</w:t>
            </w:r>
          </w:p>
        </w:tc>
      </w:tr>
      <w:tr w:rsidR="00EC52BB" w:rsidRPr="00262A3A" w14:paraId="68CF9E49" w14:textId="77777777" w:rsidTr="00EC52BB">
        <w:trPr>
          <w:trHeight w:val="486"/>
          <w:jc w:val="center"/>
        </w:trPr>
        <w:tc>
          <w:tcPr>
            <w:tcW w:w="432" w:type="pct"/>
            <w:vAlign w:val="center"/>
          </w:tcPr>
          <w:p w14:paraId="2A3C8547" w14:textId="77777777" w:rsidR="00EC52BB" w:rsidRPr="00262A3A" w:rsidRDefault="00EC52BB" w:rsidP="00EC52BB">
            <w:pPr>
              <w:adjustRightInd w:val="0"/>
              <w:snapToGrid w:val="0"/>
              <w:spacing w:after="0" w:line="240" w:lineRule="auto"/>
              <w:jc w:val="center"/>
              <w:rPr>
                <w:rFonts w:ascii="Times New Roman" w:eastAsia="宋体" w:hAnsi="Times New Roman" w:cs="Times New Roman"/>
                <w:color w:val="auto"/>
              </w:rPr>
            </w:pPr>
            <w:r w:rsidRPr="00262A3A">
              <w:rPr>
                <w:rFonts w:ascii="Times New Roman" w:eastAsia="宋体" w:hAnsi="Times New Roman" w:cs="Times New Roman"/>
                <w:color w:val="auto"/>
              </w:rPr>
              <w:t>1</w:t>
            </w:r>
          </w:p>
        </w:tc>
        <w:tc>
          <w:tcPr>
            <w:tcW w:w="466" w:type="pct"/>
            <w:vAlign w:val="center"/>
          </w:tcPr>
          <w:p w14:paraId="7FE2FD31" w14:textId="06164A05" w:rsidR="00EC52BB" w:rsidRPr="00262A3A" w:rsidRDefault="00EC52BB" w:rsidP="00EC52BB">
            <w:pPr>
              <w:adjustRightInd w:val="0"/>
              <w:snapToGrid w:val="0"/>
              <w:spacing w:after="0" w:line="240" w:lineRule="auto"/>
              <w:jc w:val="center"/>
              <w:rPr>
                <w:rFonts w:ascii="Times New Roman" w:eastAsia="宋体" w:hAnsi="Times New Roman" w:cs="Times New Roman"/>
                <w:color w:val="auto"/>
              </w:rPr>
            </w:pPr>
            <w:r>
              <w:rPr>
                <w:rFonts w:ascii="Times New Roman" w:eastAsia="宋体" w:hAnsi="Times New Roman" w:cs="Times New Roman" w:hint="eastAsia"/>
                <w:color w:val="auto"/>
                <w:lang w:eastAsia="zh-CN"/>
              </w:rPr>
              <w:t>51.336</w:t>
            </w:r>
          </w:p>
        </w:tc>
        <w:tc>
          <w:tcPr>
            <w:tcW w:w="434" w:type="pct"/>
            <w:vAlign w:val="center"/>
          </w:tcPr>
          <w:p w14:paraId="42182A86" w14:textId="77777777" w:rsidR="00EC52BB" w:rsidRPr="00262A3A" w:rsidRDefault="00EC52BB" w:rsidP="00EC52BB">
            <w:pPr>
              <w:adjustRightInd w:val="0"/>
              <w:snapToGrid w:val="0"/>
              <w:spacing w:after="0" w:line="240" w:lineRule="auto"/>
              <w:jc w:val="center"/>
              <w:rPr>
                <w:rFonts w:ascii="Times New Roman" w:eastAsia="宋体" w:hAnsi="Times New Roman" w:cs="Times New Roman"/>
                <w:color w:val="auto"/>
              </w:rPr>
            </w:pPr>
            <w:r w:rsidRPr="00262A3A">
              <w:rPr>
                <w:rFonts w:ascii="Times New Roman" w:eastAsia="宋体" w:hAnsi="Times New Roman" w:cs="Times New Roman"/>
                <w:color w:val="auto"/>
              </w:rPr>
              <w:t>0</w:t>
            </w:r>
          </w:p>
        </w:tc>
        <w:tc>
          <w:tcPr>
            <w:tcW w:w="434" w:type="pct"/>
            <w:vAlign w:val="center"/>
          </w:tcPr>
          <w:p w14:paraId="34243BE9" w14:textId="77777777" w:rsidR="00EC52BB" w:rsidRPr="00262A3A" w:rsidRDefault="00EC52BB" w:rsidP="00EC52BB">
            <w:pPr>
              <w:adjustRightInd w:val="0"/>
              <w:snapToGrid w:val="0"/>
              <w:spacing w:after="0" w:line="240" w:lineRule="auto"/>
              <w:jc w:val="center"/>
              <w:rPr>
                <w:rFonts w:ascii="Times New Roman" w:eastAsia="宋体" w:hAnsi="Times New Roman" w:cs="Times New Roman"/>
                <w:color w:val="auto"/>
              </w:rPr>
            </w:pPr>
            <w:r w:rsidRPr="00262A3A">
              <w:rPr>
                <w:rFonts w:ascii="Times New Roman" w:eastAsia="宋体" w:hAnsi="Times New Roman" w:cs="Times New Roman"/>
                <w:color w:val="auto"/>
              </w:rPr>
              <w:t>0</w:t>
            </w:r>
          </w:p>
        </w:tc>
        <w:tc>
          <w:tcPr>
            <w:tcW w:w="667" w:type="pct"/>
            <w:vAlign w:val="center"/>
          </w:tcPr>
          <w:p w14:paraId="6D1B1C54" w14:textId="77777777" w:rsidR="00EC52BB" w:rsidRPr="00262A3A" w:rsidRDefault="00EC52BB" w:rsidP="00EC52BB">
            <w:pPr>
              <w:adjustRightInd w:val="0"/>
              <w:snapToGrid w:val="0"/>
              <w:spacing w:after="0" w:line="240" w:lineRule="auto"/>
              <w:jc w:val="center"/>
              <w:rPr>
                <w:rFonts w:ascii="Times New Roman" w:eastAsia="宋体" w:hAnsi="Times New Roman" w:cs="Times New Roman"/>
                <w:color w:val="auto"/>
              </w:rPr>
            </w:pPr>
            <w:r w:rsidRPr="00262A3A">
              <w:rPr>
                <w:rFonts w:ascii="Times New Roman" w:eastAsia="宋体" w:hAnsi="Times New Roman" w:cs="Times New Roman"/>
                <w:color w:val="auto"/>
              </w:rPr>
              <w:t>1300</w:t>
            </w:r>
          </w:p>
        </w:tc>
        <w:tc>
          <w:tcPr>
            <w:tcW w:w="553" w:type="pct"/>
          </w:tcPr>
          <w:p w14:paraId="4FB8B518" w14:textId="441382E5" w:rsidR="00EC52BB" w:rsidRPr="00262A3A" w:rsidRDefault="00EC52BB" w:rsidP="00EC52BB">
            <w:pPr>
              <w:adjustRightInd w:val="0"/>
              <w:snapToGrid w:val="0"/>
              <w:spacing w:after="0" w:line="240" w:lineRule="auto"/>
              <w:jc w:val="center"/>
              <w:rPr>
                <w:rFonts w:ascii="Times New Roman" w:eastAsia="宋体" w:hAnsi="Times New Roman" w:cs="Times New Roman"/>
                <w:color w:val="auto"/>
              </w:rPr>
            </w:pPr>
            <w:r w:rsidRPr="00EC52BB">
              <w:rPr>
                <w:rFonts w:ascii="Times New Roman" w:eastAsia="宋体" w:hAnsi="Times New Roman" w:cs="Times New Roman"/>
                <w:color w:val="auto"/>
              </w:rPr>
              <w:t>130736.95</w:t>
            </w:r>
          </w:p>
        </w:tc>
        <w:tc>
          <w:tcPr>
            <w:tcW w:w="468" w:type="pct"/>
            <w:vAlign w:val="center"/>
          </w:tcPr>
          <w:p w14:paraId="7C082E3C" w14:textId="77777777" w:rsidR="00EC52BB" w:rsidRPr="00262A3A" w:rsidRDefault="00EC52BB" w:rsidP="00EC52BB">
            <w:pPr>
              <w:adjustRightInd w:val="0"/>
              <w:snapToGrid w:val="0"/>
              <w:spacing w:after="0" w:line="240" w:lineRule="auto"/>
              <w:jc w:val="center"/>
              <w:rPr>
                <w:rFonts w:ascii="Times New Roman" w:eastAsia="宋体" w:hAnsi="Times New Roman" w:cs="Times New Roman"/>
                <w:color w:val="auto"/>
              </w:rPr>
            </w:pPr>
            <w:r w:rsidRPr="00262A3A">
              <w:rPr>
                <w:rFonts w:ascii="Times New Roman" w:eastAsia="宋体" w:hAnsi="Times New Roman" w:cs="Times New Roman"/>
                <w:color w:val="auto"/>
              </w:rPr>
              <w:t>0.2</w:t>
            </w:r>
          </w:p>
        </w:tc>
        <w:tc>
          <w:tcPr>
            <w:tcW w:w="773" w:type="pct"/>
            <w:vAlign w:val="center"/>
          </w:tcPr>
          <w:p w14:paraId="60E2AFCD" w14:textId="2980EC64" w:rsidR="00EC52BB" w:rsidRPr="00EC52BB" w:rsidRDefault="00772593" w:rsidP="00EC52BB">
            <w:pPr>
              <w:adjustRightInd w:val="0"/>
              <w:snapToGrid w:val="0"/>
              <w:spacing w:after="0" w:line="240" w:lineRule="auto"/>
              <w:jc w:val="center"/>
              <w:rPr>
                <w:rFonts w:ascii="Times New Roman" w:eastAsia="宋体" w:hAnsi="Times New Roman" w:cs="Times New Roman"/>
                <w:color w:val="auto"/>
                <w:highlight w:val="yellow"/>
              </w:rPr>
            </w:pPr>
            <w:r w:rsidRPr="00772593">
              <w:rPr>
                <w:rFonts w:ascii="Times New Roman" w:eastAsia="宋体" w:hAnsi="Times New Roman" w:cs="Times New Roman" w:hint="eastAsia"/>
                <w:color w:val="auto"/>
                <w:lang w:eastAsia="zh-CN"/>
              </w:rPr>
              <w:t>3.021</w:t>
            </w:r>
            <w:r w:rsidR="00EC52BB" w:rsidRPr="00772593">
              <w:rPr>
                <w:rFonts w:ascii="Times New Roman" w:eastAsia="宋体" w:hAnsi="Times New Roman" w:cs="Times New Roman"/>
                <w:color w:val="auto"/>
              </w:rPr>
              <w:t>E-07</w:t>
            </w:r>
          </w:p>
        </w:tc>
        <w:tc>
          <w:tcPr>
            <w:tcW w:w="774" w:type="pct"/>
            <w:vAlign w:val="center"/>
          </w:tcPr>
          <w:p w14:paraId="735396DD" w14:textId="163A3CD2" w:rsidR="00EC52BB" w:rsidRPr="00F12276" w:rsidRDefault="00EC52BB" w:rsidP="00F12276">
            <w:pPr>
              <w:adjustRightInd w:val="0"/>
              <w:snapToGrid w:val="0"/>
              <w:spacing w:after="0" w:line="240" w:lineRule="auto"/>
              <w:jc w:val="center"/>
              <w:rPr>
                <w:rFonts w:ascii="Times New Roman" w:eastAsia="宋体" w:hAnsi="Times New Roman" w:cs="Times New Roman"/>
                <w:color w:val="auto"/>
                <w:lang w:eastAsia="zh-CN"/>
              </w:rPr>
            </w:pPr>
            <w:r w:rsidRPr="00F12276">
              <w:rPr>
                <w:rFonts w:ascii="Times New Roman" w:eastAsia="宋体" w:hAnsi="Times New Roman" w:cs="Times New Roman"/>
                <w:color w:val="auto"/>
              </w:rPr>
              <w:t>0.02</w:t>
            </w:r>
            <w:r w:rsidR="00F12276" w:rsidRPr="00F12276">
              <w:rPr>
                <w:rFonts w:ascii="Times New Roman" w:eastAsia="宋体" w:hAnsi="Times New Roman" w:cs="Times New Roman" w:hint="eastAsia"/>
                <w:color w:val="auto"/>
                <w:lang w:eastAsia="zh-CN"/>
              </w:rPr>
              <w:t>6</w:t>
            </w:r>
            <w:r w:rsidRPr="00F12276">
              <w:rPr>
                <w:rFonts w:ascii="Times New Roman" w:eastAsia="宋体" w:hAnsi="Times New Roman" w:cs="Times New Roman"/>
                <w:color w:val="auto"/>
              </w:rPr>
              <w:t>000</w:t>
            </w:r>
            <w:r w:rsidR="00F12276" w:rsidRPr="00F12276">
              <w:rPr>
                <w:rFonts w:ascii="Times New Roman" w:eastAsia="宋体" w:hAnsi="Times New Roman" w:cs="Times New Roman" w:hint="eastAsia"/>
                <w:color w:val="auto"/>
                <w:lang w:eastAsia="zh-CN"/>
              </w:rPr>
              <w:t>3021</w:t>
            </w:r>
          </w:p>
        </w:tc>
      </w:tr>
      <w:tr w:rsidR="00EC52BB" w:rsidRPr="00262A3A" w14:paraId="486167C8" w14:textId="77777777" w:rsidTr="00EC52BB">
        <w:trPr>
          <w:trHeight w:val="486"/>
          <w:jc w:val="center"/>
        </w:trPr>
        <w:tc>
          <w:tcPr>
            <w:tcW w:w="432" w:type="pct"/>
            <w:vAlign w:val="center"/>
          </w:tcPr>
          <w:p w14:paraId="7FF8360D" w14:textId="77777777" w:rsidR="00EC52BB" w:rsidRPr="00262A3A" w:rsidRDefault="00EC52BB" w:rsidP="00EC52BB">
            <w:pPr>
              <w:adjustRightInd w:val="0"/>
              <w:snapToGrid w:val="0"/>
              <w:spacing w:after="0" w:line="240" w:lineRule="auto"/>
              <w:jc w:val="center"/>
              <w:rPr>
                <w:rFonts w:ascii="Times New Roman" w:eastAsia="宋体" w:hAnsi="Times New Roman" w:cs="Times New Roman"/>
                <w:color w:val="auto"/>
              </w:rPr>
            </w:pPr>
            <w:r w:rsidRPr="00262A3A">
              <w:rPr>
                <w:rFonts w:ascii="Times New Roman" w:eastAsia="宋体" w:hAnsi="Times New Roman" w:cs="Times New Roman"/>
                <w:color w:val="auto"/>
              </w:rPr>
              <w:t>2</w:t>
            </w:r>
          </w:p>
        </w:tc>
        <w:tc>
          <w:tcPr>
            <w:tcW w:w="466" w:type="pct"/>
            <w:vAlign w:val="center"/>
          </w:tcPr>
          <w:p w14:paraId="28F1E0F3" w14:textId="5FD0142F" w:rsidR="00EC52BB" w:rsidRPr="00262A3A" w:rsidRDefault="00EC52BB" w:rsidP="00EC52BB">
            <w:pPr>
              <w:adjustRightInd w:val="0"/>
              <w:snapToGrid w:val="0"/>
              <w:spacing w:after="0" w:line="240" w:lineRule="auto"/>
              <w:jc w:val="center"/>
              <w:rPr>
                <w:rFonts w:ascii="Times New Roman" w:eastAsia="宋体" w:hAnsi="Times New Roman" w:cs="Times New Roman"/>
                <w:color w:val="auto"/>
              </w:rPr>
            </w:pPr>
            <w:r>
              <w:rPr>
                <w:rFonts w:ascii="Times New Roman" w:eastAsia="宋体" w:hAnsi="Times New Roman" w:cs="Times New Roman" w:hint="eastAsia"/>
                <w:color w:val="auto"/>
                <w:lang w:eastAsia="zh-CN"/>
              </w:rPr>
              <w:t>51.336</w:t>
            </w:r>
          </w:p>
        </w:tc>
        <w:tc>
          <w:tcPr>
            <w:tcW w:w="434" w:type="pct"/>
            <w:vAlign w:val="center"/>
          </w:tcPr>
          <w:p w14:paraId="624F9C9F" w14:textId="77777777" w:rsidR="00EC52BB" w:rsidRPr="00262A3A" w:rsidRDefault="00EC52BB" w:rsidP="00EC52BB">
            <w:pPr>
              <w:adjustRightInd w:val="0"/>
              <w:snapToGrid w:val="0"/>
              <w:spacing w:after="0" w:line="240" w:lineRule="auto"/>
              <w:jc w:val="center"/>
              <w:rPr>
                <w:rFonts w:ascii="Times New Roman" w:eastAsia="宋体" w:hAnsi="Times New Roman" w:cs="Times New Roman"/>
                <w:color w:val="auto"/>
              </w:rPr>
            </w:pPr>
            <w:r w:rsidRPr="00262A3A">
              <w:rPr>
                <w:rFonts w:ascii="Times New Roman" w:eastAsia="宋体" w:hAnsi="Times New Roman" w:cs="Times New Roman"/>
                <w:color w:val="auto"/>
              </w:rPr>
              <w:t>0</w:t>
            </w:r>
          </w:p>
        </w:tc>
        <w:tc>
          <w:tcPr>
            <w:tcW w:w="434" w:type="pct"/>
            <w:vAlign w:val="center"/>
          </w:tcPr>
          <w:p w14:paraId="23387181" w14:textId="77777777" w:rsidR="00EC52BB" w:rsidRPr="00262A3A" w:rsidRDefault="00EC52BB" w:rsidP="00EC52BB">
            <w:pPr>
              <w:adjustRightInd w:val="0"/>
              <w:snapToGrid w:val="0"/>
              <w:spacing w:after="0" w:line="240" w:lineRule="auto"/>
              <w:jc w:val="center"/>
              <w:rPr>
                <w:rFonts w:ascii="Times New Roman" w:eastAsia="宋体" w:hAnsi="Times New Roman" w:cs="Times New Roman"/>
                <w:color w:val="auto"/>
              </w:rPr>
            </w:pPr>
            <w:r w:rsidRPr="00262A3A">
              <w:rPr>
                <w:rFonts w:ascii="Times New Roman" w:eastAsia="宋体" w:hAnsi="Times New Roman" w:cs="Times New Roman"/>
                <w:color w:val="auto"/>
              </w:rPr>
              <w:t>0</w:t>
            </w:r>
          </w:p>
        </w:tc>
        <w:tc>
          <w:tcPr>
            <w:tcW w:w="667" w:type="pct"/>
            <w:vAlign w:val="center"/>
          </w:tcPr>
          <w:p w14:paraId="4767315D" w14:textId="77777777" w:rsidR="00EC52BB" w:rsidRPr="00262A3A" w:rsidRDefault="00EC52BB" w:rsidP="00EC52BB">
            <w:pPr>
              <w:adjustRightInd w:val="0"/>
              <w:snapToGrid w:val="0"/>
              <w:spacing w:after="0" w:line="240" w:lineRule="auto"/>
              <w:jc w:val="center"/>
              <w:rPr>
                <w:rFonts w:ascii="Times New Roman" w:eastAsia="宋体" w:hAnsi="Times New Roman" w:cs="Times New Roman"/>
                <w:color w:val="auto"/>
              </w:rPr>
            </w:pPr>
            <w:r w:rsidRPr="00262A3A">
              <w:rPr>
                <w:rFonts w:ascii="Times New Roman" w:eastAsia="宋体" w:hAnsi="Times New Roman" w:cs="Times New Roman"/>
                <w:color w:val="auto"/>
              </w:rPr>
              <w:t>1300</w:t>
            </w:r>
          </w:p>
        </w:tc>
        <w:tc>
          <w:tcPr>
            <w:tcW w:w="553" w:type="pct"/>
          </w:tcPr>
          <w:p w14:paraId="3A4D3C4B" w14:textId="51934FF6" w:rsidR="00EC52BB" w:rsidRPr="00262A3A" w:rsidRDefault="00EC52BB" w:rsidP="00EC52BB">
            <w:pPr>
              <w:adjustRightInd w:val="0"/>
              <w:snapToGrid w:val="0"/>
              <w:spacing w:after="0" w:line="240" w:lineRule="auto"/>
              <w:jc w:val="center"/>
              <w:rPr>
                <w:rFonts w:ascii="Times New Roman" w:eastAsia="宋体" w:hAnsi="Times New Roman" w:cs="Times New Roman"/>
                <w:color w:val="auto"/>
              </w:rPr>
            </w:pPr>
            <w:r w:rsidRPr="00EC52BB">
              <w:rPr>
                <w:rFonts w:ascii="Times New Roman" w:eastAsia="宋体" w:hAnsi="Times New Roman" w:cs="Times New Roman"/>
                <w:color w:val="auto"/>
              </w:rPr>
              <w:t>130736.95</w:t>
            </w:r>
          </w:p>
        </w:tc>
        <w:tc>
          <w:tcPr>
            <w:tcW w:w="468" w:type="pct"/>
            <w:vAlign w:val="center"/>
          </w:tcPr>
          <w:p w14:paraId="400ECA22" w14:textId="77777777" w:rsidR="00EC52BB" w:rsidRPr="00262A3A" w:rsidRDefault="00EC52BB" w:rsidP="00EC52BB">
            <w:pPr>
              <w:adjustRightInd w:val="0"/>
              <w:snapToGrid w:val="0"/>
              <w:spacing w:after="0" w:line="240" w:lineRule="auto"/>
              <w:jc w:val="center"/>
              <w:rPr>
                <w:rFonts w:ascii="Times New Roman" w:eastAsia="宋体" w:hAnsi="Times New Roman" w:cs="Times New Roman"/>
                <w:color w:val="auto"/>
              </w:rPr>
            </w:pPr>
            <w:r w:rsidRPr="00262A3A">
              <w:rPr>
                <w:rFonts w:ascii="Times New Roman" w:eastAsia="宋体" w:hAnsi="Times New Roman" w:cs="Times New Roman"/>
                <w:color w:val="auto"/>
              </w:rPr>
              <w:t>0.2</w:t>
            </w:r>
          </w:p>
        </w:tc>
        <w:tc>
          <w:tcPr>
            <w:tcW w:w="773" w:type="pct"/>
            <w:vAlign w:val="center"/>
          </w:tcPr>
          <w:p w14:paraId="126D5FBC" w14:textId="5CDF01C4" w:rsidR="00EC52BB" w:rsidRPr="00F12276" w:rsidRDefault="00772593" w:rsidP="00EC52BB">
            <w:pPr>
              <w:adjustRightInd w:val="0"/>
              <w:snapToGrid w:val="0"/>
              <w:spacing w:after="0" w:line="240" w:lineRule="auto"/>
              <w:jc w:val="center"/>
              <w:rPr>
                <w:rFonts w:ascii="Times New Roman" w:eastAsia="宋体" w:hAnsi="Times New Roman" w:cs="Times New Roman"/>
                <w:color w:val="auto"/>
                <w:lang w:eastAsia="zh-CN"/>
              </w:rPr>
            </w:pPr>
            <w:r w:rsidRPr="00F12276">
              <w:rPr>
                <w:rFonts w:ascii="Times New Roman" w:eastAsia="宋体" w:hAnsi="Times New Roman" w:cs="Times New Roman" w:hint="eastAsia"/>
                <w:color w:val="auto"/>
                <w:lang w:eastAsia="zh-CN"/>
              </w:rPr>
              <w:t>6.041</w:t>
            </w:r>
            <w:r w:rsidR="00EC52BB" w:rsidRPr="00F12276">
              <w:rPr>
                <w:rFonts w:ascii="Times New Roman" w:eastAsia="宋体" w:hAnsi="Times New Roman" w:cs="Times New Roman"/>
                <w:color w:val="auto"/>
              </w:rPr>
              <w:t>E-0</w:t>
            </w:r>
            <w:r w:rsidRPr="00F12276">
              <w:rPr>
                <w:rFonts w:ascii="Times New Roman" w:eastAsia="宋体" w:hAnsi="Times New Roman" w:cs="Times New Roman" w:hint="eastAsia"/>
                <w:color w:val="auto"/>
                <w:lang w:eastAsia="zh-CN"/>
              </w:rPr>
              <w:t>7</w:t>
            </w:r>
          </w:p>
        </w:tc>
        <w:tc>
          <w:tcPr>
            <w:tcW w:w="774" w:type="pct"/>
            <w:vAlign w:val="center"/>
          </w:tcPr>
          <w:p w14:paraId="20BE8783" w14:textId="20C91969" w:rsidR="00EC52BB" w:rsidRPr="00F12276" w:rsidRDefault="00EC52BB" w:rsidP="00F12276">
            <w:pPr>
              <w:adjustRightInd w:val="0"/>
              <w:snapToGrid w:val="0"/>
              <w:spacing w:after="0" w:line="240" w:lineRule="auto"/>
              <w:jc w:val="center"/>
              <w:rPr>
                <w:rFonts w:ascii="Times New Roman" w:eastAsia="宋体" w:hAnsi="Times New Roman" w:cs="Times New Roman"/>
                <w:color w:val="auto"/>
                <w:lang w:eastAsia="zh-CN"/>
              </w:rPr>
            </w:pPr>
            <w:r w:rsidRPr="00F12276">
              <w:rPr>
                <w:rFonts w:ascii="Times New Roman" w:eastAsia="宋体" w:hAnsi="Times New Roman" w:cs="Times New Roman"/>
                <w:color w:val="auto"/>
              </w:rPr>
              <w:t>0.02</w:t>
            </w:r>
            <w:r w:rsidR="00F12276" w:rsidRPr="00F12276">
              <w:rPr>
                <w:rFonts w:ascii="Times New Roman" w:eastAsia="宋体" w:hAnsi="Times New Roman" w:cs="Times New Roman" w:hint="eastAsia"/>
                <w:color w:val="auto"/>
                <w:lang w:eastAsia="zh-CN"/>
              </w:rPr>
              <w:t>6</w:t>
            </w:r>
            <w:r w:rsidRPr="00F12276">
              <w:rPr>
                <w:rFonts w:ascii="Times New Roman" w:eastAsia="宋体" w:hAnsi="Times New Roman" w:cs="Times New Roman"/>
                <w:color w:val="auto"/>
              </w:rPr>
              <w:t>00</w:t>
            </w:r>
            <w:r w:rsidR="00F12276" w:rsidRPr="00F12276">
              <w:rPr>
                <w:rFonts w:ascii="Times New Roman" w:eastAsia="宋体" w:hAnsi="Times New Roman" w:cs="Times New Roman" w:hint="eastAsia"/>
                <w:color w:val="auto"/>
                <w:lang w:eastAsia="zh-CN"/>
              </w:rPr>
              <w:t>06041</w:t>
            </w:r>
          </w:p>
        </w:tc>
      </w:tr>
      <w:tr w:rsidR="00EC52BB" w:rsidRPr="00262A3A" w14:paraId="4BDFCF49" w14:textId="77777777" w:rsidTr="00EC52BB">
        <w:trPr>
          <w:trHeight w:val="486"/>
          <w:jc w:val="center"/>
        </w:trPr>
        <w:tc>
          <w:tcPr>
            <w:tcW w:w="432" w:type="pct"/>
            <w:vAlign w:val="center"/>
          </w:tcPr>
          <w:p w14:paraId="5BD75087" w14:textId="77777777" w:rsidR="00EC52BB" w:rsidRPr="00262A3A" w:rsidRDefault="00EC52BB" w:rsidP="00EC52BB">
            <w:pPr>
              <w:adjustRightInd w:val="0"/>
              <w:snapToGrid w:val="0"/>
              <w:spacing w:after="0" w:line="240" w:lineRule="auto"/>
              <w:jc w:val="center"/>
              <w:rPr>
                <w:rFonts w:ascii="Times New Roman" w:eastAsia="宋体" w:hAnsi="Times New Roman" w:cs="Times New Roman"/>
                <w:color w:val="auto"/>
              </w:rPr>
            </w:pPr>
            <w:r w:rsidRPr="00262A3A">
              <w:rPr>
                <w:rFonts w:ascii="Times New Roman" w:eastAsia="宋体" w:hAnsi="Times New Roman" w:cs="Times New Roman"/>
                <w:color w:val="auto"/>
              </w:rPr>
              <w:t>5</w:t>
            </w:r>
          </w:p>
        </w:tc>
        <w:tc>
          <w:tcPr>
            <w:tcW w:w="466" w:type="pct"/>
            <w:vAlign w:val="center"/>
          </w:tcPr>
          <w:p w14:paraId="20D8A8D2" w14:textId="2D762760" w:rsidR="00EC52BB" w:rsidRPr="00262A3A" w:rsidRDefault="00EC52BB" w:rsidP="00EC52BB">
            <w:pPr>
              <w:adjustRightInd w:val="0"/>
              <w:snapToGrid w:val="0"/>
              <w:spacing w:after="0" w:line="240" w:lineRule="auto"/>
              <w:jc w:val="center"/>
              <w:rPr>
                <w:rFonts w:ascii="Times New Roman" w:eastAsia="宋体" w:hAnsi="Times New Roman" w:cs="Times New Roman"/>
                <w:color w:val="auto"/>
              </w:rPr>
            </w:pPr>
            <w:r>
              <w:rPr>
                <w:rFonts w:ascii="Times New Roman" w:eastAsia="宋体" w:hAnsi="Times New Roman" w:cs="Times New Roman" w:hint="eastAsia"/>
                <w:color w:val="auto"/>
                <w:lang w:eastAsia="zh-CN"/>
              </w:rPr>
              <w:t>51.336</w:t>
            </w:r>
          </w:p>
        </w:tc>
        <w:tc>
          <w:tcPr>
            <w:tcW w:w="434" w:type="pct"/>
            <w:vAlign w:val="center"/>
          </w:tcPr>
          <w:p w14:paraId="32D13AA9" w14:textId="77777777" w:rsidR="00EC52BB" w:rsidRPr="00262A3A" w:rsidRDefault="00EC52BB" w:rsidP="00EC52BB">
            <w:pPr>
              <w:adjustRightInd w:val="0"/>
              <w:snapToGrid w:val="0"/>
              <w:spacing w:after="0" w:line="240" w:lineRule="auto"/>
              <w:jc w:val="center"/>
              <w:rPr>
                <w:rFonts w:ascii="Times New Roman" w:eastAsia="宋体" w:hAnsi="Times New Roman" w:cs="Times New Roman"/>
                <w:color w:val="auto"/>
              </w:rPr>
            </w:pPr>
            <w:r w:rsidRPr="00262A3A">
              <w:rPr>
                <w:rFonts w:ascii="Times New Roman" w:eastAsia="宋体" w:hAnsi="Times New Roman" w:cs="Times New Roman"/>
                <w:color w:val="auto"/>
              </w:rPr>
              <w:t>0</w:t>
            </w:r>
          </w:p>
        </w:tc>
        <w:tc>
          <w:tcPr>
            <w:tcW w:w="434" w:type="pct"/>
            <w:vAlign w:val="center"/>
          </w:tcPr>
          <w:p w14:paraId="1FC42BFB" w14:textId="77777777" w:rsidR="00EC52BB" w:rsidRPr="00262A3A" w:rsidRDefault="00EC52BB" w:rsidP="00EC52BB">
            <w:pPr>
              <w:adjustRightInd w:val="0"/>
              <w:snapToGrid w:val="0"/>
              <w:spacing w:after="0" w:line="240" w:lineRule="auto"/>
              <w:jc w:val="center"/>
              <w:rPr>
                <w:rFonts w:ascii="Times New Roman" w:eastAsia="宋体" w:hAnsi="Times New Roman" w:cs="Times New Roman"/>
                <w:color w:val="auto"/>
              </w:rPr>
            </w:pPr>
            <w:r w:rsidRPr="00262A3A">
              <w:rPr>
                <w:rFonts w:ascii="Times New Roman" w:eastAsia="宋体" w:hAnsi="Times New Roman" w:cs="Times New Roman"/>
                <w:color w:val="auto"/>
              </w:rPr>
              <w:t>0</w:t>
            </w:r>
          </w:p>
        </w:tc>
        <w:tc>
          <w:tcPr>
            <w:tcW w:w="667" w:type="pct"/>
            <w:vAlign w:val="center"/>
          </w:tcPr>
          <w:p w14:paraId="43D7F3B5" w14:textId="77777777" w:rsidR="00EC52BB" w:rsidRPr="00262A3A" w:rsidRDefault="00EC52BB" w:rsidP="00EC52BB">
            <w:pPr>
              <w:adjustRightInd w:val="0"/>
              <w:snapToGrid w:val="0"/>
              <w:spacing w:after="0" w:line="240" w:lineRule="auto"/>
              <w:jc w:val="center"/>
              <w:rPr>
                <w:rFonts w:ascii="Times New Roman" w:eastAsia="宋体" w:hAnsi="Times New Roman" w:cs="Times New Roman"/>
                <w:color w:val="auto"/>
              </w:rPr>
            </w:pPr>
            <w:r w:rsidRPr="00262A3A">
              <w:rPr>
                <w:rFonts w:ascii="Times New Roman" w:eastAsia="宋体" w:hAnsi="Times New Roman" w:cs="Times New Roman"/>
                <w:color w:val="auto"/>
              </w:rPr>
              <w:t>1300</w:t>
            </w:r>
          </w:p>
        </w:tc>
        <w:tc>
          <w:tcPr>
            <w:tcW w:w="553" w:type="pct"/>
          </w:tcPr>
          <w:p w14:paraId="6540D3A9" w14:textId="1BBA8B65" w:rsidR="00EC52BB" w:rsidRPr="00262A3A" w:rsidRDefault="00EC52BB" w:rsidP="00EC52BB">
            <w:pPr>
              <w:adjustRightInd w:val="0"/>
              <w:snapToGrid w:val="0"/>
              <w:spacing w:after="0" w:line="240" w:lineRule="auto"/>
              <w:jc w:val="center"/>
              <w:rPr>
                <w:rFonts w:ascii="Times New Roman" w:eastAsia="宋体" w:hAnsi="Times New Roman" w:cs="Times New Roman"/>
                <w:color w:val="auto"/>
              </w:rPr>
            </w:pPr>
            <w:r w:rsidRPr="00EC52BB">
              <w:rPr>
                <w:rFonts w:ascii="Times New Roman" w:eastAsia="宋体" w:hAnsi="Times New Roman" w:cs="Times New Roman"/>
                <w:color w:val="auto"/>
              </w:rPr>
              <w:t>130736.95</w:t>
            </w:r>
          </w:p>
        </w:tc>
        <w:tc>
          <w:tcPr>
            <w:tcW w:w="468" w:type="pct"/>
            <w:vAlign w:val="center"/>
          </w:tcPr>
          <w:p w14:paraId="0304DCDB" w14:textId="77777777" w:rsidR="00EC52BB" w:rsidRPr="00262A3A" w:rsidRDefault="00EC52BB" w:rsidP="00EC52BB">
            <w:pPr>
              <w:adjustRightInd w:val="0"/>
              <w:snapToGrid w:val="0"/>
              <w:spacing w:after="0" w:line="240" w:lineRule="auto"/>
              <w:jc w:val="center"/>
              <w:rPr>
                <w:rFonts w:ascii="Times New Roman" w:eastAsia="宋体" w:hAnsi="Times New Roman" w:cs="Times New Roman"/>
                <w:color w:val="auto"/>
              </w:rPr>
            </w:pPr>
            <w:r w:rsidRPr="00262A3A">
              <w:rPr>
                <w:rFonts w:ascii="Times New Roman" w:eastAsia="宋体" w:hAnsi="Times New Roman" w:cs="Times New Roman"/>
                <w:color w:val="auto"/>
              </w:rPr>
              <w:t>0.2</w:t>
            </w:r>
          </w:p>
        </w:tc>
        <w:tc>
          <w:tcPr>
            <w:tcW w:w="773" w:type="pct"/>
            <w:vAlign w:val="center"/>
          </w:tcPr>
          <w:p w14:paraId="6C996498" w14:textId="07551ABD" w:rsidR="00EC52BB" w:rsidRPr="00F12276" w:rsidRDefault="00772593" w:rsidP="00EC52BB">
            <w:pPr>
              <w:adjustRightInd w:val="0"/>
              <w:snapToGrid w:val="0"/>
              <w:spacing w:after="0" w:line="240" w:lineRule="auto"/>
              <w:jc w:val="center"/>
              <w:rPr>
                <w:rFonts w:ascii="Times New Roman" w:eastAsia="宋体" w:hAnsi="Times New Roman" w:cs="Times New Roman"/>
                <w:color w:val="auto"/>
              </w:rPr>
            </w:pPr>
            <w:r w:rsidRPr="00F12276">
              <w:rPr>
                <w:rFonts w:ascii="Times New Roman" w:eastAsia="宋体" w:hAnsi="Times New Roman" w:cs="Times New Roman" w:hint="eastAsia"/>
                <w:color w:val="auto"/>
                <w:lang w:eastAsia="zh-CN"/>
              </w:rPr>
              <w:t>1.510</w:t>
            </w:r>
            <w:r w:rsidR="00EC52BB" w:rsidRPr="00F12276">
              <w:rPr>
                <w:rFonts w:ascii="Times New Roman" w:eastAsia="宋体" w:hAnsi="Times New Roman" w:cs="Times New Roman"/>
                <w:color w:val="auto"/>
              </w:rPr>
              <w:t>E-06</w:t>
            </w:r>
          </w:p>
        </w:tc>
        <w:tc>
          <w:tcPr>
            <w:tcW w:w="774" w:type="pct"/>
            <w:vAlign w:val="center"/>
          </w:tcPr>
          <w:p w14:paraId="63D05F2B" w14:textId="68AB6BCC" w:rsidR="00EC52BB" w:rsidRPr="00F12276" w:rsidRDefault="00EC52BB" w:rsidP="00F12276">
            <w:pPr>
              <w:adjustRightInd w:val="0"/>
              <w:snapToGrid w:val="0"/>
              <w:spacing w:after="0" w:line="240" w:lineRule="auto"/>
              <w:jc w:val="center"/>
              <w:rPr>
                <w:rFonts w:ascii="Times New Roman" w:eastAsia="宋体" w:hAnsi="Times New Roman" w:cs="Times New Roman"/>
                <w:color w:val="auto"/>
                <w:lang w:eastAsia="zh-CN"/>
              </w:rPr>
            </w:pPr>
            <w:r w:rsidRPr="00F12276">
              <w:rPr>
                <w:rFonts w:ascii="Times New Roman" w:eastAsia="宋体" w:hAnsi="Times New Roman" w:cs="Times New Roman"/>
                <w:color w:val="auto"/>
              </w:rPr>
              <w:t>0.02</w:t>
            </w:r>
            <w:r w:rsidR="00F12276" w:rsidRPr="00F12276">
              <w:rPr>
                <w:rFonts w:ascii="Times New Roman" w:eastAsia="宋体" w:hAnsi="Times New Roman" w:cs="Times New Roman" w:hint="eastAsia"/>
                <w:color w:val="auto"/>
                <w:lang w:eastAsia="zh-CN"/>
              </w:rPr>
              <w:t>6</w:t>
            </w:r>
            <w:r w:rsidRPr="00F12276">
              <w:rPr>
                <w:rFonts w:ascii="Times New Roman" w:eastAsia="宋体" w:hAnsi="Times New Roman" w:cs="Times New Roman"/>
                <w:color w:val="auto"/>
              </w:rPr>
              <w:t>00</w:t>
            </w:r>
            <w:r w:rsidR="00F12276" w:rsidRPr="00F12276">
              <w:rPr>
                <w:rFonts w:ascii="Times New Roman" w:eastAsia="宋体" w:hAnsi="Times New Roman" w:cs="Times New Roman" w:hint="eastAsia"/>
                <w:color w:val="auto"/>
                <w:lang w:eastAsia="zh-CN"/>
              </w:rPr>
              <w:t>151</w:t>
            </w:r>
          </w:p>
        </w:tc>
      </w:tr>
      <w:tr w:rsidR="00EC52BB" w:rsidRPr="00262A3A" w14:paraId="311A962D" w14:textId="77777777" w:rsidTr="00EC52BB">
        <w:trPr>
          <w:trHeight w:val="485"/>
          <w:jc w:val="center"/>
        </w:trPr>
        <w:tc>
          <w:tcPr>
            <w:tcW w:w="432" w:type="pct"/>
            <w:vAlign w:val="center"/>
          </w:tcPr>
          <w:p w14:paraId="641FF51D" w14:textId="77777777" w:rsidR="00EC52BB" w:rsidRPr="00262A3A" w:rsidRDefault="00EC52BB" w:rsidP="00EC52BB">
            <w:pPr>
              <w:adjustRightInd w:val="0"/>
              <w:snapToGrid w:val="0"/>
              <w:spacing w:after="0" w:line="240" w:lineRule="auto"/>
              <w:jc w:val="center"/>
              <w:rPr>
                <w:rFonts w:ascii="Times New Roman" w:eastAsia="宋体" w:hAnsi="Times New Roman" w:cs="Times New Roman"/>
                <w:color w:val="auto"/>
              </w:rPr>
            </w:pPr>
            <w:r w:rsidRPr="00262A3A">
              <w:rPr>
                <w:rFonts w:ascii="Times New Roman" w:eastAsia="宋体" w:hAnsi="Times New Roman" w:cs="Times New Roman"/>
                <w:color w:val="auto"/>
              </w:rPr>
              <w:t>10</w:t>
            </w:r>
          </w:p>
        </w:tc>
        <w:tc>
          <w:tcPr>
            <w:tcW w:w="466" w:type="pct"/>
            <w:vAlign w:val="center"/>
          </w:tcPr>
          <w:p w14:paraId="0261E624" w14:textId="02935F88" w:rsidR="00EC52BB" w:rsidRPr="00262A3A" w:rsidRDefault="00EC52BB" w:rsidP="00EC52BB">
            <w:pPr>
              <w:adjustRightInd w:val="0"/>
              <w:snapToGrid w:val="0"/>
              <w:spacing w:after="0" w:line="240" w:lineRule="auto"/>
              <w:jc w:val="center"/>
              <w:rPr>
                <w:rFonts w:ascii="Times New Roman" w:eastAsia="宋体" w:hAnsi="Times New Roman" w:cs="Times New Roman"/>
                <w:color w:val="auto"/>
              </w:rPr>
            </w:pPr>
            <w:r>
              <w:rPr>
                <w:rFonts w:ascii="Times New Roman" w:eastAsia="宋体" w:hAnsi="Times New Roman" w:cs="Times New Roman" w:hint="eastAsia"/>
                <w:color w:val="auto"/>
                <w:lang w:eastAsia="zh-CN"/>
              </w:rPr>
              <w:t>51.336</w:t>
            </w:r>
          </w:p>
        </w:tc>
        <w:tc>
          <w:tcPr>
            <w:tcW w:w="434" w:type="pct"/>
            <w:vAlign w:val="center"/>
          </w:tcPr>
          <w:p w14:paraId="00C69819" w14:textId="77777777" w:rsidR="00EC52BB" w:rsidRPr="00262A3A" w:rsidRDefault="00EC52BB" w:rsidP="00EC52BB">
            <w:pPr>
              <w:adjustRightInd w:val="0"/>
              <w:snapToGrid w:val="0"/>
              <w:spacing w:after="0" w:line="240" w:lineRule="auto"/>
              <w:jc w:val="center"/>
              <w:rPr>
                <w:rFonts w:ascii="Times New Roman" w:eastAsia="宋体" w:hAnsi="Times New Roman" w:cs="Times New Roman"/>
                <w:color w:val="auto"/>
              </w:rPr>
            </w:pPr>
            <w:r w:rsidRPr="00262A3A">
              <w:rPr>
                <w:rFonts w:ascii="Times New Roman" w:eastAsia="宋体" w:hAnsi="Times New Roman" w:cs="Times New Roman"/>
                <w:color w:val="auto"/>
              </w:rPr>
              <w:t>0</w:t>
            </w:r>
          </w:p>
        </w:tc>
        <w:tc>
          <w:tcPr>
            <w:tcW w:w="434" w:type="pct"/>
            <w:vAlign w:val="center"/>
          </w:tcPr>
          <w:p w14:paraId="5DC5A038" w14:textId="77777777" w:rsidR="00EC52BB" w:rsidRPr="00262A3A" w:rsidRDefault="00EC52BB" w:rsidP="00EC52BB">
            <w:pPr>
              <w:adjustRightInd w:val="0"/>
              <w:snapToGrid w:val="0"/>
              <w:spacing w:after="0" w:line="240" w:lineRule="auto"/>
              <w:jc w:val="center"/>
              <w:rPr>
                <w:rFonts w:ascii="Times New Roman" w:eastAsia="宋体" w:hAnsi="Times New Roman" w:cs="Times New Roman"/>
                <w:color w:val="auto"/>
              </w:rPr>
            </w:pPr>
            <w:r w:rsidRPr="00262A3A">
              <w:rPr>
                <w:rFonts w:ascii="Times New Roman" w:eastAsia="宋体" w:hAnsi="Times New Roman" w:cs="Times New Roman"/>
                <w:color w:val="auto"/>
              </w:rPr>
              <w:t>0</w:t>
            </w:r>
          </w:p>
        </w:tc>
        <w:tc>
          <w:tcPr>
            <w:tcW w:w="667" w:type="pct"/>
            <w:vAlign w:val="center"/>
          </w:tcPr>
          <w:p w14:paraId="01A06A78" w14:textId="77777777" w:rsidR="00EC52BB" w:rsidRPr="00262A3A" w:rsidRDefault="00EC52BB" w:rsidP="00EC52BB">
            <w:pPr>
              <w:adjustRightInd w:val="0"/>
              <w:snapToGrid w:val="0"/>
              <w:spacing w:after="0" w:line="240" w:lineRule="auto"/>
              <w:jc w:val="center"/>
              <w:rPr>
                <w:rFonts w:ascii="Times New Roman" w:eastAsia="宋体" w:hAnsi="Times New Roman" w:cs="Times New Roman"/>
                <w:color w:val="auto"/>
              </w:rPr>
            </w:pPr>
            <w:r w:rsidRPr="00262A3A">
              <w:rPr>
                <w:rFonts w:ascii="Times New Roman" w:eastAsia="宋体" w:hAnsi="Times New Roman" w:cs="Times New Roman"/>
                <w:color w:val="auto"/>
              </w:rPr>
              <w:t>1300</w:t>
            </w:r>
          </w:p>
        </w:tc>
        <w:tc>
          <w:tcPr>
            <w:tcW w:w="553" w:type="pct"/>
          </w:tcPr>
          <w:p w14:paraId="4ED74C0A" w14:textId="4B1B0C7F" w:rsidR="00EC52BB" w:rsidRPr="00262A3A" w:rsidRDefault="00EC52BB" w:rsidP="00EC52BB">
            <w:pPr>
              <w:adjustRightInd w:val="0"/>
              <w:snapToGrid w:val="0"/>
              <w:spacing w:after="0" w:line="240" w:lineRule="auto"/>
              <w:jc w:val="center"/>
              <w:rPr>
                <w:rFonts w:ascii="Times New Roman" w:eastAsia="宋体" w:hAnsi="Times New Roman" w:cs="Times New Roman"/>
                <w:color w:val="auto"/>
              </w:rPr>
            </w:pPr>
            <w:r w:rsidRPr="00EC52BB">
              <w:rPr>
                <w:rFonts w:ascii="Times New Roman" w:eastAsia="宋体" w:hAnsi="Times New Roman" w:cs="Times New Roman"/>
                <w:color w:val="auto"/>
              </w:rPr>
              <w:t>130736.95</w:t>
            </w:r>
          </w:p>
        </w:tc>
        <w:tc>
          <w:tcPr>
            <w:tcW w:w="468" w:type="pct"/>
            <w:vAlign w:val="center"/>
          </w:tcPr>
          <w:p w14:paraId="348CF522" w14:textId="77777777" w:rsidR="00EC52BB" w:rsidRPr="00262A3A" w:rsidRDefault="00EC52BB" w:rsidP="00EC52BB">
            <w:pPr>
              <w:adjustRightInd w:val="0"/>
              <w:snapToGrid w:val="0"/>
              <w:spacing w:after="0" w:line="240" w:lineRule="auto"/>
              <w:jc w:val="center"/>
              <w:rPr>
                <w:rFonts w:ascii="Times New Roman" w:eastAsia="宋体" w:hAnsi="Times New Roman" w:cs="Times New Roman"/>
                <w:color w:val="auto"/>
              </w:rPr>
            </w:pPr>
            <w:r w:rsidRPr="00262A3A">
              <w:rPr>
                <w:rFonts w:ascii="Times New Roman" w:eastAsia="宋体" w:hAnsi="Times New Roman" w:cs="Times New Roman"/>
                <w:color w:val="auto"/>
              </w:rPr>
              <w:t>0.2</w:t>
            </w:r>
          </w:p>
        </w:tc>
        <w:tc>
          <w:tcPr>
            <w:tcW w:w="773" w:type="pct"/>
            <w:vAlign w:val="center"/>
          </w:tcPr>
          <w:p w14:paraId="1EA4EE3F" w14:textId="55D670D1" w:rsidR="00EC52BB" w:rsidRPr="00F12276" w:rsidRDefault="00F12276" w:rsidP="00EC52BB">
            <w:pPr>
              <w:adjustRightInd w:val="0"/>
              <w:snapToGrid w:val="0"/>
              <w:spacing w:after="0" w:line="240" w:lineRule="auto"/>
              <w:jc w:val="center"/>
              <w:rPr>
                <w:rFonts w:ascii="Times New Roman" w:eastAsia="宋体" w:hAnsi="Times New Roman" w:cs="Times New Roman"/>
                <w:color w:val="auto"/>
              </w:rPr>
            </w:pPr>
            <w:r w:rsidRPr="00F12276">
              <w:rPr>
                <w:rFonts w:ascii="Times New Roman" w:eastAsia="宋体" w:hAnsi="Times New Roman" w:cs="Times New Roman" w:hint="eastAsia"/>
                <w:color w:val="auto"/>
                <w:lang w:eastAsia="zh-CN"/>
              </w:rPr>
              <w:t>3.021</w:t>
            </w:r>
            <w:r w:rsidR="00EC52BB" w:rsidRPr="00F12276">
              <w:rPr>
                <w:rFonts w:ascii="Times New Roman" w:eastAsia="宋体" w:hAnsi="Times New Roman" w:cs="Times New Roman"/>
                <w:color w:val="auto"/>
              </w:rPr>
              <w:t>E-06</w:t>
            </w:r>
          </w:p>
        </w:tc>
        <w:tc>
          <w:tcPr>
            <w:tcW w:w="774" w:type="pct"/>
            <w:vAlign w:val="center"/>
          </w:tcPr>
          <w:p w14:paraId="254A5E91" w14:textId="72BA2008" w:rsidR="00EC52BB" w:rsidRPr="00F12276" w:rsidRDefault="00EC52BB" w:rsidP="00F12276">
            <w:pPr>
              <w:adjustRightInd w:val="0"/>
              <w:snapToGrid w:val="0"/>
              <w:spacing w:after="0" w:line="240" w:lineRule="auto"/>
              <w:jc w:val="center"/>
              <w:rPr>
                <w:rFonts w:ascii="Times New Roman" w:eastAsia="宋体" w:hAnsi="Times New Roman" w:cs="Times New Roman"/>
                <w:color w:val="auto"/>
                <w:lang w:eastAsia="zh-CN"/>
              </w:rPr>
            </w:pPr>
            <w:r w:rsidRPr="00F12276">
              <w:rPr>
                <w:rFonts w:ascii="Times New Roman" w:eastAsia="宋体" w:hAnsi="Times New Roman" w:cs="Times New Roman"/>
                <w:color w:val="auto"/>
              </w:rPr>
              <w:t>0.02</w:t>
            </w:r>
            <w:r w:rsidR="00F12276" w:rsidRPr="00F12276">
              <w:rPr>
                <w:rFonts w:ascii="Times New Roman" w:eastAsia="宋体" w:hAnsi="Times New Roman" w:cs="Times New Roman" w:hint="eastAsia"/>
                <w:color w:val="auto"/>
                <w:lang w:eastAsia="zh-CN"/>
              </w:rPr>
              <w:t>6</w:t>
            </w:r>
            <w:r w:rsidRPr="00F12276">
              <w:rPr>
                <w:rFonts w:ascii="Times New Roman" w:eastAsia="宋体" w:hAnsi="Times New Roman" w:cs="Times New Roman"/>
                <w:color w:val="auto"/>
              </w:rPr>
              <w:t>00</w:t>
            </w:r>
            <w:r w:rsidR="00F12276" w:rsidRPr="00F12276">
              <w:rPr>
                <w:rFonts w:ascii="Times New Roman" w:eastAsia="宋体" w:hAnsi="Times New Roman" w:cs="Times New Roman" w:hint="eastAsia"/>
                <w:color w:val="auto"/>
                <w:lang w:eastAsia="zh-CN"/>
              </w:rPr>
              <w:t>3021</w:t>
            </w:r>
          </w:p>
        </w:tc>
      </w:tr>
      <w:tr w:rsidR="00EC52BB" w:rsidRPr="00262A3A" w14:paraId="30D23727" w14:textId="77777777" w:rsidTr="00EC52BB">
        <w:trPr>
          <w:trHeight w:val="244"/>
          <w:jc w:val="center"/>
        </w:trPr>
        <w:tc>
          <w:tcPr>
            <w:tcW w:w="432" w:type="pct"/>
            <w:vAlign w:val="center"/>
          </w:tcPr>
          <w:p w14:paraId="64000A59" w14:textId="77777777" w:rsidR="00EC52BB" w:rsidRPr="00262A3A" w:rsidRDefault="00EC52BB" w:rsidP="00EC52BB">
            <w:pPr>
              <w:adjustRightInd w:val="0"/>
              <w:snapToGrid w:val="0"/>
              <w:spacing w:after="0" w:line="240" w:lineRule="auto"/>
              <w:jc w:val="center"/>
              <w:rPr>
                <w:rFonts w:ascii="Times New Roman" w:eastAsia="宋体" w:hAnsi="Times New Roman" w:cs="Times New Roman"/>
                <w:color w:val="auto"/>
              </w:rPr>
            </w:pPr>
            <w:r w:rsidRPr="00262A3A">
              <w:rPr>
                <w:rFonts w:ascii="Times New Roman" w:eastAsia="宋体" w:hAnsi="Times New Roman" w:cs="Times New Roman"/>
                <w:color w:val="auto"/>
              </w:rPr>
              <w:t>20</w:t>
            </w:r>
          </w:p>
        </w:tc>
        <w:tc>
          <w:tcPr>
            <w:tcW w:w="466" w:type="pct"/>
            <w:vAlign w:val="center"/>
          </w:tcPr>
          <w:p w14:paraId="7099D58A" w14:textId="108E071A" w:rsidR="00EC52BB" w:rsidRPr="00262A3A" w:rsidRDefault="00EC52BB" w:rsidP="00EC52BB">
            <w:pPr>
              <w:adjustRightInd w:val="0"/>
              <w:snapToGrid w:val="0"/>
              <w:spacing w:after="0" w:line="240" w:lineRule="auto"/>
              <w:jc w:val="center"/>
              <w:rPr>
                <w:rFonts w:ascii="Times New Roman" w:eastAsia="宋体" w:hAnsi="Times New Roman" w:cs="Times New Roman"/>
                <w:color w:val="auto"/>
              </w:rPr>
            </w:pPr>
            <w:r>
              <w:rPr>
                <w:rFonts w:ascii="Times New Roman" w:eastAsia="宋体" w:hAnsi="Times New Roman" w:cs="Times New Roman" w:hint="eastAsia"/>
                <w:color w:val="auto"/>
                <w:lang w:eastAsia="zh-CN"/>
              </w:rPr>
              <w:t>51.336</w:t>
            </w:r>
          </w:p>
        </w:tc>
        <w:tc>
          <w:tcPr>
            <w:tcW w:w="434" w:type="pct"/>
            <w:vAlign w:val="center"/>
          </w:tcPr>
          <w:p w14:paraId="58A20DD6" w14:textId="77777777" w:rsidR="00EC52BB" w:rsidRPr="00262A3A" w:rsidRDefault="00EC52BB" w:rsidP="00EC52BB">
            <w:pPr>
              <w:adjustRightInd w:val="0"/>
              <w:snapToGrid w:val="0"/>
              <w:spacing w:after="0" w:line="240" w:lineRule="auto"/>
              <w:jc w:val="center"/>
              <w:rPr>
                <w:rFonts w:ascii="Times New Roman" w:eastAsia="宋体" w:hAnsi="Times New Roman" w:cs="Times New Roman"/>
                <w:color w:val="auto"/>
              </w:rPr>
            </w:pPr>
            <w:r w:rsidRPr="00262A3A">
              <w:rPr>
                <w:rFonts w:ascii="Times New Roman" w:eastAsia="宋体" w:hAnsi="Times New Roman" w:cs="Times New Roman"/>
                <w:color w:val="auto"/>
              </w:rPr>
              <w:t>0</w:t>
            </w:r>
          </w:p>
        </w:tc>
        <w:tc>
          <w:tcPr>
            <w:tcW w:w="434" w:type="pct"/>
            <w:vAlign w:val="center"/>
          </w:tcPr>
          <w:p w14:paraId="5BF9AA93" w14:textId="77777777" w:rsidR="00EC52BB" w:rsidRPr="00262A3A" w:rsidRDefault="00EC52BB" w:rsidP="00EC52BB">
            <w:pPr>
              <w:adjustRightInd w:val="0"/>
              <w:snapToGrid w:val="0"/>
              <w:spacing w:after="0" w:line="240" w:lineRule="auto"/>
              <w:jc w:val="center"/>
              <w:rPr>
                <w:rFonts w:ascii="Times New Roman" w:eastAsia="宋体" w:hAnsi="Times New Roman" w:cs="Times New Roman"/>
                <w:color w:val="auto"/>
              </w:rPr>
            </w:pPr>
            <w:r w:rsidRPr="00262A3A">
              <w:rPr>
                <w:rFonts w:ascii="Times New Roman" w:eastAsia="宋体" w:hAnsi="Times New Roman" w:cs="Times New Roman"/>
                <w:color w:val="auto"/>
              </w:rPr>
              <w:t>0</w:t>
            </w:r>
          </w:p>
        </w:tc>
        <w:tc>
          <w:tcPr>
            <w:tcW w:w="667" w:type="pct"/>
            <w:vAlign w:val="center"/>
          </w:tcPr>
          <w:p w14:paraId="1411AF75" w14:textId="77777777" w:rsidR="00EC52BB" w:rsidRPr="00262A3A" w:rsidRDefault="00EC52BB" w:rsidP="00EC52BB">
            <w:pPr>
              <w:adjustRightInd w:val="0"/>
              <w:snapToGrid w:val="0"/>
              <w:spacing w:after="0" w:line="240" w:lineRule="auto"/>
              <w:jc w:val="center"/>
              <w:rPr>
                <w:rFonts w:ascii="Times New Roman" w:eastAsia="宋体" w:hAnsi="Times New Roman" w:cs="Times New Roman"/>
                <w:color w:val="auto"/>
              </w:rPr>
            </w:pPr>
            <w:r w:rsidRPr="00262A3A">
              <w:rPr>
                <w:rFonts w:ascii="Times New Roman" w:eastAsia="宋体" w:hAnsi="Times New Roman" w:cs="Times New Roman"/>
                <w:color w:val="auto"/>
              </w:rPr>
              <w:t>1300</w:t>
            </w:r>
          </w:p>
        </w:tc>
        <w:tc>
          <w:tcPr>
            <w:tcW w:w="553" w:type="pct"/>
          </w:tcPr>
          <w:p w14:paraId="0584DE1E" w14:textId="168D22C0" w:rsidR="00EC52BB" w:rsidRPr="00262A3A" w:rsidRDefault="00EC52BB" w:rsidP="00EC52BB">
            <w:pPr>
              <w:adjustRightInd w:val="0"/>
              <w:snapToGrid w:val="0"/>
              <w:spacing w:after="0" w:line="240" w:lineRule="auto"/>
              <w:jc w:val="center"/>
              <w:rPr>
                <w:rFonts w:ascii="Times New Roman" w:eastAsia="宋体" w:hAnsi="Times New Roman" w:cs="Times New Roman"/>
                <w:color w:val="auto"/>
              </w:rPr>
            </w:pPr>
            <w:r w:rsidRPr="00EC52BB">
              <w:rPr>
                <w:rFonts w:ascii="Times New Roman" w:eastAsia="宋体" w:hAnsi="Times New Roman" w:cs="Times New Roman"/>
                <w:color w:val="auto"/>
              </w:rPr>
              <w:t>130736.95</w:t>
            </w:r>
          </w:p>
        </w:tc>
        <w:tc>
          <w:tcPr>
            <w:tcW w:w="468" w:type="pct"/>
            <w:vAlign w:val="center"/>
          </w:tcPr>
          <w:p w14:paraId="5549EABB" w14:textId="77777777" w:rsidR="00EC52BB" w:rsidRPr="00262A3A" w:rsidRDefault="00EC52BB" w:rsidP="00EC52BB">
            <w:pPr>
              <w:adjustRightInd w:val="0"/>
              <w:snapToGrid w:val="0"/>
              <w:spacing w:after="0" w:line="240" w:lineRule="auto"/>
              <w:jc w:val="center"/>
              <w:rPr>
                <w:rFonts w:ascii="Times New Roman" w:eastAsia="宋体" w:hAnsi="Times New Roman" w:cs="Times New Roman"/>
                <w:color w:val="auto"/>
              </w:rPr>
            </w:pPr>
            <w:r w:rsidRPr="00262A3A">
              <w:rPr>
                <w:rFonts w:ascii="Times New Roman" w:eastAsia="宋体" w:hAnsi="Times New Roman" w:cs="Times New Roman"/>
                <w:color w:val="auto"/>
              </w:rPr>
              <w:t>0.2</w:t>
            </w:r>
          </w:p>
        </w:tc>
        <w:tc>
          <w:tcPr>
            <w:tcW w:w="773" w:type="pct"/>
            <w:vAlign w:val="center"/>
          </w:tcPr>
          <w:p w14:paraId="0FBEECDE" w14:textId="2243F42E" w:rsidR="00EC52BB" w:rsidRPr="00F12276" w:rsidRDefault="00F12276" w:rsidP="00EC52BB">
            <w:pPr>
              <w:adjustRightInd w:val="0"/>
              <w:snapToGrid w:val="0"/>
              <w:spacing w:after="0" w:line="240" w:lineRule="auto"/>
              <w:jc w:val="center"/>
              <w:rPr>
                <w:rFonts w:ascii="Times New Roman" w:eastAsia="宋体" w:hAnsi="Times New Roman" w:cs="Times New Roman"/>
                <w:color w:val="auto"/>
                <w:lang w:eastAsia="zh-CN"/>
              </w:rPr>
            </w:pPr>
            <w:r w:rsidRPr="00F12276">
              <w:rPr>
                <w:rFonts w:ascii="Times New Roman" w:eastAsia="宋体" w:hAnsi="Times New Roman" w:cs="Times New Roman" w:hint="eastAsia"/>
                <w:color w:val="auto"/>
                <w:lang w:eastAsia="zh-CN"/>
              </w:rPr>
              <w:t>6.041</w:t>
            </w:r>
            <w:r w:rsidR="00EC52BB" w:rsidRPr="00F12276">
              <w:rPr>
                <w:rFonts w:ascii="Times New Roman" w:eastAsia="宋体" w:hAnsi="Times New Roman" w:cs="Times New Roman"/>
                <w:color w:val="auto"/>
              </w:rPr>
              <w:t>E-0</w:t>
            </w:r>
            <w:r w:rsidRPr="00F12276">
              <w:rPr>
                <w:rFonts w:ascii="Times New Roman" w:eastAsia="宋体" w:hAnsi="Times New Roman" w:cs="Times New Roman" w:hint="eastAsia"/>
                <w:color w:val="auto"/>
                <w:lang w:eastAsia="zh-CN"/>
              </w:rPr>
              <w:t>6</w:t>
            </w:r>
          </w:p>
        </w:tc>
        <w:tc>
          <w:tcPr>
            <w:tcW w:w="774" w:type="pct"/>
            <w:vAlign w:val="center"/>
          </w:tcPr>
          <w:p w14:paraId="2A91A777" w14:textId="089E7324" w:rsidR="00EC52BB" w:rsidRPr="00F12276" w:rsidRDefault="00EC52BB" w:rsidP="00EC52BB">
            <w:pPr>
              <w:adjustRightInd w:val="0"/>
              <w:snapToGrid w:val="0"/>
              <w:spacing w:after="0" w:line="240" w:lineRule="auto"/>
              <w:jc w:val="center"/>
              <w:rPr>
                <w:rFonts w:ascii="Times New Roman" w:eastAsia="宋体" w:hAnsi="Times New Roman" w:cs="Times New Roman"/>
                <w:color w:val="auto"/>
                <w:lang w:eastAsia="zh-CN"/>
              </w:rPr>
            </w:pPr>
            <w:r w:rsidRPr="00F12276">
              <w:rPr>
                <w:rFonts w:ascii="Times New Roman" w:eastAsia="宋体" w:hAnsi="Times New Roman" w:cs="Times New Roman"/>
                <w:color w:val="auto"/>
              </w:rPr>
              <w:t>0.02</w:t>
            </w:r>
            <w:r w:rsidR="00F12276" w:rsidRPr="00F12276">
              <w:rPr>
                <w:rFonts w:ascii="Times New Roman" w:eastAsia="宋体" w:hAnsi="Times New Roman" w:cs="Times New Roman" w:hint="eastAsia"/>
                <w:color w:val="auto"/>
                <w:lang w:eastAsia="zh-CN"/>
              </w:rPr>
              <w:t>6</w:t>
            </w:r>
            <w:r w:rsidRPr="00F12276">
              <w:rPr>
                <w:rFonts w:ascii="Times New Roman" w:eastAsia="宋体" w:hAnsi="Times New Roman" w:cs="Times New Roman"/>
                <w:color w:val="auto"/>
              </w:rPr>
              <w:t>0</w:t>
            </w:r>
            <w:r w:rsidR="00F12276" w:rsidRPr="00F12276">
              <w:rPr>
                <w:rFonts w:ascii="Times New Roman" w:eastAsia="宋体" w:hAnsi="Times New Roman" w:cs="Times New Roman" w:hint="eastAsia"/>
                <w:color w:val="auto"/>
                <w:lang w:eastAsia="zh-CN"/>
              </w:rPr>
              <w:t>6041</w:t>
            </w:r>
          </w:p>
        </w:tc>
      </w:tr>
    </w:tbl>
    <w:p w14:paraId="2A74CA80" w14:textId="40989728" w:rsidR="00606029" w:rsidRDefault="00EA5B92" w:rsidP="005151BB">
      <w:pPr>
        <w:pStyle w:val="affffff4"/>
      </w:pPr>
      <w:r>
        <w:lastRenderedPageBreak/>
        <w:t>（</w:t>
      </w:r>
      <w:r>
        <w:t>8</w:t>
      </w:r>
      <w:r>
        <w:t>）</w:t>
      </w:r>
      <w:r w:rsidR="005151BB">
        <w:rPr>
          <w:rFonts w:hint="eastAsia"/>
        </w:rPr>
        <w:t>结论</w:t>
      </w:r>
    </w:p>
    <w:p w14:paraId="48ACBCF4" w14:textId="0CE0E300" w:rsidR="00606029" w:rsidRDefault="00F12276" w:rsidP="00F12276">
      <w:pPr>
        <w:pStyle w:val="affffff4"/>
      </w:pPr>
      <w:r w:rsidRPr="00F12276">
        <w:t>由以上结果可知，随着时间增加，土壤中铅浓度逐渐增加，在防渗层破裂的情况下，区域渗滤液垂直入渗</w:t>
      </w:r>
      <w:r w:rsidRPr="00F12276">
        <w:t>1~20</w:t>
      </w:r>
      <w:r w:rsidRPr="00F12276">
        <w:t>年，土壤中铅的累积增量较小；累积增量和背景值叠加后，土壤中铅预测值小于《土壤环境质量</w:t>
      </w:r>
      <w:r w:rsidRPr="00F12276">
        <w:t xml:space="preserve"> </w:t>
      </w:r>
      <w:r w:rsidRPr="00F12276">
        <w:t>建设用地土壤污染风险控制标准（试行）》（</w:t>
      </w:r>
      <w:r w:rsidRPr="00F12276">
        <w:t>GB36600-2018</w:t>
      </w:r>
      <w:r w:rsidRPr="00F12276">
        <w:t>）。</w:t>
      </w:r>
      <w:r w:rsidR="005151BB">
        <w:rPr>
          <w:rFonts w:hint="eastAsia"/>
        </w:rPr>
        <w:t>因此，本项目应严格</w:t>
      </w:r>
      <w:bookmarkStart w:id="260" w:name="OLE_LINK64"/>
      <w:r w:rsidR="005151BB">
        <w:rPr>
          <w:rFonts w:hint="eastAsia"/>
        </w:rPr>
        <w:t>落实好分区防渗工程并定期检查，杜绝泄漏情况的发生，基本不会对周边土壤造成明显影响。</w:t>
      </w:r>
      <w:bookmarkEnd w:id="260"/>
    </w:p>
    <w:p w14:paraId="6E7BF32B" w14:textId="651B12BE" w:rsidR="00606029" w:rsidRDefault="00EA5B92">
      <w:pPr>
        <w:pStyle w:val="affffff5"/>
      </w:pPr>
      <w:r>
        <w:t>表</w:t>
      </w:r>
      <w:r>
        <w:t>6.2</w:t>
      </w:r>
      <w:r w:rsidR="00FD0A87">
        <w:rPr>
          <w:rFonts w:hint="eastAsia"/>
        </w:rPr>
        <w:t>-29</w:t>
      </w:r>
      <w:r>
        <w:t xml:space="preserve">  </w:t>
      </w:r>
      <w:r>
        <w:t>土壤环境影响评价自查表</w:t>
      </w:r>
    </w:p>
    <w:tbl>
      <w:tblPr>
        <w:tblW w:w="50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01"/>
        <w:gridCol w:w="1599"/>
        <w:gridCol w:w="1348"/>
        <w:gridCol w:w="1461"/>
        <w:gridCol w:w="1544"/>
        <w:gridCol w:w="259"/>
        <w:gridCol w:w="1221"/>
        <w:gridCol w:w="1022"/>
      </w:tblGrid>
      <w:tr w:rsidR="00606029" w14:paraId="1EA3C512" w14:textId="77777777">
        <w:trPr>
          <w:trHeight w:val="340"/>
          <w:jc w:val="center"/>
        </w:trPr>
        <w:tc>
          <w:tcPr>
            <w:tcW w:w="2094" w:type="dxa"/>
            <w:gridSpan w:val="2"/>
            <w:tcBorders>
              <w:tl2br w:val="nil"/>
              <w:tr2bl w:val="nil"/>
            </w:tcBorders>
            <w:vAlign w:val="center"/>
          </w:tcPr>
          <w:p w14:paraId="242CA7AB" w14:textId="77777777" w:rsidR="00606029" w:rsidRDefault="00EA5B92">
            <w:pPr>
              <w:adjustRightInd w:val="0"/>
              <w:snapToGrid w:val="0"/>
              <w:spacing w:line="280" w:lineRule="exact"/>
              <w:jc w:val="center"/>
              <w:textAlignment w:val="center"/>
            </w:pPr>
            <w:r>
              <w:t>工作内容</w:t>
            </w:r>
          </w:p>
        </w:tc>
        <w:tc>
          <w:tcPr>
            <w:tcW w:w="6109" w:type="dxa"/>
            <w:gridSpan w:val="5"/>
            <w:tcBorders>
              <w:tl2br w:val="nil"/>
              <w:tr2bl w:val="nil"/>
            </w:tcBorders>
            <w:vAlign w:val="center"/>
          </w:tcPr>
          <w:p w14:paraId="60290617" w14:textId="77777777" w:rsidR="00606029" w:rsidRDefault="00EA5B92">
            <w:pPr>
              <w:adjustRightInd w:val="0"/>
              <w:snapToGrid w:val="0"/>
              <w:spacing w:line="280" w:lineRule="exact"/>
              <w:jc w:val="center"/>
              <w:textAlignment w:val="center"/>
            </w:pPr>
            <w:r>
              <w:t>完成情况</w:t>
            </w:r>
          </w:p>
        </w:tc>
        <w:tc>
          <w:tcPr>
            <w:tcW w:w="1070" w:type="dxa"/>
            <w:tcBorders>
              <w:tl2br w:val="nil"/>
              <w:tr2bl w:val="nil"/>
            </w:tcBorders>
            <w:vAlign w:val="center"/>
          </w:tcPr>
          <w:p w14:paraId="20DB7853" w14:textId="77777777" w:rsidR="00606029" w:rsidRDefault="00EA5B92">
            <w:pPr>
              <w:adjustRightInd w:val="0"/>
              <w:snapToGrid w:val="0"/>
              <w:spacing w:line="280" w:lineRule="exact"/>
              <w:jc w:val="center"/>
              <w:textAlignment w:val="center"/>
            </w:pPr>
            <w:r>
              <w:t>备注</w:t>
            </w:r>
          </w:p>
        </w:tc>
      </w:tr>
      <w:tr w:rsidR="00606029" w14:paraId="0D1EBE6F" w14:textId="77777777">
        <w:trPr>
          <w:trHeight w:val="340"/>
          <w:jc w:val="center"/>
        </w:trPr>
        <w:tc>
          <w:tcPr>
            <w:tcW w:w="419" w:type="dxa"/>
            <w:vMerge w:val="restart"/>
            <w:tcBorders>
              <w:tl2br w:val="nil"/>
              <w:tr2bl w:val="nil"/>
            </w:tcBorders>
            <w:vAlign w:val="center"/>
          </w:tcPr>
          <w:p w14:paraId="0BCC10DE" w14:textId="77777777" w:rsidR="00606029" w:rsidRDefault="00EA5B92">
            <w:pPr>
              <w:adjustRightInd w:val="0"/>
              <w:snapToGrid w:val="0"/>
              <w:spacing w:line="280" w:lineRule="exact"/>
              <w:jc w:val="center"/>
              <w:textAlignment w:val="center"/>
            </w:pPr>
            <w:r>
              <w:t>影响</w:t>
            </w:r>
          </w:p>
          <w:p w14:paraId="2EAFD982" w14:textId="77777777" w:rsidR="00606029" w:rsidRDefault="00EA5B92">
            <w:pPr>
              <w:adjustRightInd w:val="0"/>
              <w:snapToGrid w:val="0"/>
              <w:spacing w:line="280" w:lineRule="exact"/>
              <w:jc w:val="center"/>
              <w:textAlignment w:val="center"/>
            </w:pPr>
            <w:r>
              <w:t>识别</w:t>
            </w:r>
          </w:p>
        </w:tc>
        <w:tc>
          <w:tcPr>
            <w:tcW w:w="1675" w:type="dxa"/>
            <w:tcBorders>
              <w:tl2br w:val="nil"/>
              <w:tr2bl w:val="nil"/>
            </w:tcBorders>
            <w:vAlign w:val="center"/>
          </w:tcPr>
          <w:p w14:paraId="2B38274B" w14:textId="77777777" w:rsidR="00606029" w:rsidRDefault="00EA5B92">
            <w:pPr>
              <w:adjustRightInd w:val="0"/>
              <w:snapToGrid w:val="0"/>
              <w:spacing w:line="280" w:lineRule="exact"/>
              <w:jc w:val="center"/>
              <w:textAlignment w:val="center"/>
            </w:pPr>
            <w:r>
              <w:t>影响类型</w:t>
            </w:r>
          </w:p>
        </w:tc>
        <w:tc>
          <w:tcPr>
            <w:tcW w:w="6109" w:type="dxa"/>
            <w:gridSpan w:val="5"/>
            <w:tcBorders>
              <w:tl2br w:val="nil"/>
              <w:tr2bl w:val="nil"/>
            </w:tcBorders>
            <w:vAlign w:val="center"/>
          </w:tcPr>
          <w:p w14:paraId="244844A2" w14:textId="77777777" w:rsidR="00606029" w:rsidRDefault="00EA5B92">
            <w:pPr>
              <w:adjustRightInd w:val="0"/>
              <w:snapToGrid w:val="0"/>
              <w:spacing w:line="280" w:lineRule="exact"/>
              <w:jc w:val="center"/>
              <w:textAlignment w:val="center"/>
            </w:pPr>
            <w:r>
              <w:t>污染影响型</w:t>
            </w:r>
            <w:r>
              <w:t>☑</w:t>
            </w:r>
            <w:r>
              <w:t>；生态影响型</w:t>
            </w:r>
            <w:r>
              <w:t>□</w:t>
            </w:r>
            <w:r>
              <w:t>；两种兼有</w:t>
            </w:r>
            <w:r>
              <w:t>□</w:t>
            </w:r>
          </w:p>
        </w:tc>
        <w:tc>
          <w:tcPr>
            <w:tcW w:w="1070" w:type="dxa"/>
            <w:tcBorders>
              <w:tl2br w:val="nil"/>
              <w:tr2bl w:val="nil"/>
            </w:tcBorders>
            <w:vAlign w:val="center"/>
          </w:tcPr>
          <w:p w14:paraId="037DD345" w14:textId="77777777" w:rsidR="00606029" w:rsidRDefault="00606029">
            <w:pPr>
              <w:adjustRightInd w:val="0"/>
              <w:snapToGrid w:val="0"/>
              <w:spacing w:line="280" w:lineRule="exact"/>
              <w:jc w:val="center"/>
              <w:textAlignment w:val="center"/>
            </w:pPr>
          </w:p>
        </w:tc>
      </w:tr>
      <w:tr w:rsidR="00606029" w14:paraId="179DC47D" w14:textId="77777777">
        <w:trPr>
          <w:trHeight w:val="340"/>
          <w:jc w:val="center"/>
        </w:trPr>
        <w:tc>
          <w:tcPr>
            <w:tcW w:w="419" w:type="dxa"/>
            <w:vMerge/>
            <w:tcBorders>
              <w:tl2br w:val="nil"/>
              <w:tr2bl w:val="nil"/>
            </w:tcBorders>
            <w:vAlign w:val="center"/>
          </w:tcPr>
          <w:p w14:paraId="6F7C5CEC" w14:textId="77777777" w:rsidR="00606029" w:rsidRDefault="00606029">
            <w:pPr>
              <w:adjustRightInd w:val="0"/>
              <w:snapToGrid w:val="0"/>
              <w:spacing w:line="280" w:lineRule="exact"/>
              <w:jc w:val="center"/>
              <w:textAlignment w:val="center"/>
            </w:pPr>
          </w:p>
        </w:tc>
        <w:tc>
          <w:tcPr>
            <w:tcW w:w="1675" w:type="dxa"/>
            <w:tcBorders>
              <w:tl2br w:val="nil"/>
              <w:tr2bl w:val="nil"/>
            </w:tcBorders>
            <w:vAlign w:val="center"/>
          </w:tcPr>
          <w:p w14:paraId="1105B735" w14:textId="77777777" w:rsidR="00606029" w:rsidRDefault="00EA5B92">
            <w:pPr>
              <w:adjustRightInd w:val="0"/>
              <w:snapToGrid w:val="0"/>
              <w:spacing w:line="280" w:lineRule="exact"/>
              <w:jc w:val="center"/>
              <w:textAlignment w:val="center"/>
            </w:pPr>
            <w:r>
              <w:t>土地利用类型</w:t>
            </w:r>
          </w:p>
        </w:tc>
        <w:tc>
          <w:tcPr>
            <w:tcW w:w="6109" w:type="dxa"/>
            <w:gridSpan w:val="5"/>
            <w:tcBorders>
              <w:tl2br w:val="nil"/>
              <w:tr2bl w:val="nil"/>
            </w:tcBorders>
            <w:vAlign w:val="center"/>
          </w:tcPr>
          <w:p w14:paraId="23522E45" w14:textId="77777777" w:rsidR="00606029" w:rsidRDefault="00EA5B92">
            <w:pPr>
              <w:adjustRightInd w:val="0"/>
              <w:snapToGrid w:val="0"/>
              <w:spacing w:line="280" w:lineRule="exact"/>
              <w:jc w:val="center"/>
              <w:textAlignment w:val="center"/>
            </w:pPr>
            <w:r>
              <w:t>建设用地</w:t>
            </w:r>
            <w:r>
              <w:t>☑</w:t>
            </w:r>
            <w:r>
              <w:t>；农用地</w:t>
            </w:r>
            <w:r>
              <w:t></w:t>
            </w:r>
            <w:r>
              <w:t>；未利用地</w:t>
            </w:r>
            <w:r>
              <w:t>□</w:t>
            </w:r>
          </w:p>
        </w:tc>
        <w:tc>
          <w:tcPr>
            <w:tcW w:w="1070" w:type="dxa"/>
            <w:tcBorders>
              <w:tl2br w:val="nil"/>
              <w:tr2bl w:val="nil"/>
            </w:tcBorders>
            <w:vAlign w:val="center"/>
          </w:tcPr>
          <w:p w14:paraId="22C5C185" w14:textId="77777777" w:rsidR="00606029" w:rsidRDefault="00EA5B92">
            <w:pPr>
              <w:adjustRightInd w:val="0"/>
              <w:snapToGrid w:val="0"/>
              <w:spacing w:line="280" w:lineRule="exact"/>
              <w:jc w:val="center"/>
              <w:textAlignment w:val="center"/>
            </w:pPr>
            <w:r>
              <w:t>土地利用类型图</w:t>
            </w:r>
          </w:p>
        </w:tc>
      </w:tr>
      <w:tr w:rsidR="00606029" w14:paraId="49D887D4" w14:textId="77777777">
        <w:trPr>
          <w:trHeight w:val="340"/>
          <w:jc w:val="center"/>
        </w:trPr>
        <w:tc>
          <w:tcPr>
            <w:tcW w:w="419" w:type="dxa"/>
            <w:vMerge/>
            <w:tcBorders>
              <w:tl2br w:val="nil"/>
              <w:tr2bl w:val="nil"/>
            </w:tcBorders>
            <w:vAlign w:val="center"/>
          </w:tcPr>
          <w:p w14:paraId="1A87B997" w14:textId="77777777" w:rsidR="00606029" w:rsidRDefault="00606029">
            <w:pPr>
              <w:adjustRightInd w:val="0"/>
              <w:snapToGrid w:val="0"/>
              <w:spacing w:line="280" w:lineRule="exact"/>
              <w:jc w:val="center"/>
              <w:textAlignment w:val="center"/>
            </w:pPr>
          </w:p>
        </w:tc>
        <w:tc>
          <w:tcPr>
            <w:tcW w:w="1675" w:type="dxa"/>
            <w:tcBorders>
              <w:tl2br w:val="nil"/>
              <w:tr2bl w:val="nil"/>
            </w:tcBorders>
            <w:vAlign w:val="center"/>
          </w:tcPr>
          <w:p w14:paraId="63E7A8F3" w14:textId="77777777" w:rsidR="00606029" w:rsidRDefault="00EA5B92">
            <w:pPr>
              <w:adjustRightInd w:val="0"/>
              <w:snapToGrid w:val="0"/>
              <w:spacing w:line="280" w:lineRule="exact"/>
              <w:jc w:val="center"/>
              <w:textAlignment w:val="center"/>
            </w:pPr>
            <w:r>
              <w:t>占地规模</w:t>
            </w:r>
          </w:p>
        </w:tc>
        <w:tc>
          <w:tcPr>
            <w:tcW w:w="6109" w:type="dxa"/>
            <w:gridSpan w:val="5"/>
            <w:tcBorders>
              <w:tl2br w:val="nil"/>
              <w:tr2bl w:val="nil"/>
            </w:tcBorders>
            <w:vAlign w:val="center"/>
          </w:tcPr>
          <w:p w14:paraId="49495CFA" w14:textId="77777777" w:rsidR="00606029" w:rsidRDefault="00EA5B92">
            <w:pPr>
              <w:adjustRightInd w:val="0"/>
              <w:snapToGrid w:val="0"/>
              <w:spacing w:line="280" w:lineRule="exact"/>
              <w:jc w:val="center"/>
              <w:textAlignment w:val="center"/>
            </w:pPr>
            <w:r>
              <w:t>（</w:t>
            </w:r>
            <w:r>
              <w:t>2.5</w:t>
            </w:r>
            <w:r>
              <w:t>）</w:t>
            </w:r>
            <w:r>
              <w:t>hm</w:t>
            </w:r>
            <w:r>
              <w:rPr>
                <w:vertAlign w:val="superscript"/>
              </w:rPr>
              <w:t>2</w:t>
            </w:r>
          </w:p>
        </w:tc>
        <w:tc>
          <w:tcPr>
            <w:tcW w:w="1070" w:type="dxa"/>
            <w:tcBorders>
              <w:tl2br w:val="nil"/>
              <w:tr2bl w:val="nil"/>
            </w:tcBorders>
            <w:vAlign w:val="center"/>
          </w:tcPr>
          <w:p w14:paraId="1E80AF79" w14:textId="77777777" w:rsidR="00606029" w:rsidRDefault="00606029">
            <w:pPr>
              <w:adjustRightInd w:val="0"/>
              <w:snapToGrid w:val="0"/>
              <w:spacing w:line="280" w:lineRule="exact"/>
              <w:jc w:val="center"/>
              <w:textAlignment w:val="center"/>
            </w:pPr>
          </w:p>
        </w:tc>
      </w:tr>
      <w:tr w:rsidR="00606029" w14:paraId="5137A990" w14:textId="77777777">
        <w:trPr>
          <w:trHeight w:val="340"/>
          <w:jc w:val="center"/>
        </w:trPr>
        <w:tc>
          <w:tcPr>
            <w:tcW w:w="419" w:type="dxa"/>
            <w:vMerge/>
            <w:tcBorders>
              <w:tl2br w:val="nil"/>
              <w:tr2bl w:val="nil"/>
            </w:tcBorders>
            <w:vAlign w:val="center"/>
          </w:tcPr>
          <w:p w14:paraId="12DFA5D0" w14:textId="77777777" w:rsidR="00606029" w:rsidRDefault="00606029">
            <w:pPr>
              <w:adjustRightInd w:val="0"/>
              <w:snapToGrid w:val="0"/>
              <w:spacing w:line="280" w:lineRule="exact"/>
              <w:jc w:val="center"/>
              <w:textAlignment w:val="center"/>
            </w:pPr>
          </w:p>
        </w:tc>
        <w:tc>
          <w:tcPr>
            <w:tcW w:w="1675" w:type="dxa"/>
            <w:tcBorders>
              <w:tl2br w:val="nil"/>
              <w:tr2bl w:val="nil"/>
            </w:tcBorders>
            <w:vAlign w:val="center"/>
          </w:tcPr>
          <w:p w14:paraId="28E8CF37" w14:textId="77777777" w:rsidR="00606029" w:rsidRDefault="00EA5B92">
            <w:pPr>
              <w:adjustRightInd w:val="0"/>
              <w:snapToGrid w:val="0"/>
              <w:spacing w:line="280" w:lineRule="exact"/>
              <w:jc w:val="center"/>
              <w:textAlignment w:val="center"/>
            </w:pPr>
            <w:r>
              <w:t>敏感目标信息</w:t>
            </w:r>
          </w:p>
        </w:tc>
        <w:tc>
          <w:tcPr>
            <w:tcW w:w="6109" w:type="dxa"/>
            <w:gridSpan w:val="5"/>
            <w:tcBorders>
              <w:tl2br w:val="nil"/>
              <w:tr2bl w:val="nil"/>
            </w:tcBorders>
            <w:vAlign w:val="center"/>
          </w:tcPr>
          <w:p w14:paraId="066242BB" w14:textId="77777777" w:rsidR="00606029" w:rsidRDefault="00EA5B92">
            <w:pPr>
              <w:adjustRightInd w:val="0"/>
              <w:snapToGrid w:val="0"/>
              <w:spacing w:line="280" w:lineRule="exact"/>
              <w:jc w:val="center"/>
              <w:textAlignment w:val="center"/>
            </w:pPr>
            <w:r>
              <w:t>敏感目标（）、方位（）、距离（）</w:t>
            </w:r>
          </w:p>
        </w:tc>
        <w:tc>
          <w:tcPr>
            <w:tcW w:w="1070" w:type="dxa"/>
            <w:tcBorders>
              <w:tl2br w:val="nil"/>
              <w:tr2bl w:val="nil"/>
            </w:tcBorders>
            <w:vAlign w:val="center"/>
          </w:tcPr>
          <w:p w14:paraId="02A6B9EF" w14:textId="77777777" w:rsidR="00606029" w:rsidRDefault="00606029">
            <w:pPr>
              <w:adjustRightInd w:val="0"/>
              <w:snapToGrid w:val="0"/>
              <w:spacing w:line="280" w:lineRule="exact"/>
              <w:jc w:val="center"/>
              <w:textAlignment w:val="center"/>
            </w:pPr>
          </w:p>
        </w:tc>
      </w:tr>
      <w:tr w:rsidR="00606029" w14:paraId="09FE5931" w14:textId="77777777">
        <w:trPr>
          <w:trHeight w:val="340"/>
          <w:jc w:val="center"/>
        </w:trPr>
        <w:tc>
          <w:tcPr>
            <w:tcW w:w="419" w:type="dxa"/>
            <w:vMerge/>
            <w:tcBorders>
              <w:tl2br w:val="nil"/>
              <w:tr2bl w:val="nil"/>
            </w:tcBorders>
            <w:vAlign w:val="center"/>
          </w:tcPr>
          <w:p w14:paraId="5F70EBCE" w14:textId="77777777" w:rsidR="00606029" w:rsidRDefault="00606029">
            <w:pPr>
              <w:adjustRightInd w:val="0"/>
              <w:snapToGrid w:val="0"/>
              <w:spacing w:line="280" w:lineRule="exact"/>
              <w:jc w:val="center"/>
              <w:textAlignment w:val="center"/>
            </w:pPr>
          </w:p>
        </w:tc>
        <w:tc>
          <w:tcPr>
            <w:tcW w:w="1675" w:type="dxa"/>
            <w:tcBorders>
              <w:tl2br w:val="nil"/>
              <w:tr2bl w:val="nil"/>
            </w:tcBorders>
            <w:vAlign w:val="center"/>
          </w:tcPr>
          <w:p w14:paraId="0A131D4C" w14:textId="77777777" w:rsidR="00606029" w:rsidRDefault="00EA5B92">
            <w:pPr>
              <w:adjustRightInd w:val="0"/>
              <w:snapToGrid w:val="0"/>
              <w:spacing w:line="280" w:lineRule="exact"/>
              <w:jc w:val="center"/>
              <w:textAlignment w:val="center"/>
            </w:pPr>
            <w:r>
              <w:t>影响途径</w:t>
            </w:r>
          </w:p>
        </w:tc>
        <w:tc>
          <w:tcPr>
            <w:tcW w:w="6109" w:type="dxa"/>
            <w:gridSpan w:val="5"/>
            <w:tcBorders>
              <w:tl2br w:val="nil"/>
              <w:tr2bl w:val="nil"/>
            </w:tcBorders>
            <w:vAlign w:val="center"/>
          </w:tcPr>
          <w:p w14:paraId="1A57AFD3" w14:textId="77777777" w:rsidR="00606029" w:rsidRDefault="00EA5B92">
            <w:pPr>
              <w:adjustRightInd w:val="0"/>
              <w:snapToGrid w:val="0"/>
              <w:spacing w:line="280" w:lineRule="exact"/>
              <w:jc w:val="center"/>
              <w:textAlignment w:val="center"/>
            </w:pPr>
            <w:r>
              <w:t>大气沉降</w:t>
            </w:r>
            <w:r>
              <w:t>□</w:t>
            </w:r>
            <w:r>
              <w:t>；地面漫流</w:t>
            </w:r>
            <w:r>
              <w:t>□</w:t>
            </w:r>
            <w:r>
              <w:t>；垂直入渗</w:t>
            </w:r>
            <w:r>
              <w:t>☑</w:t>
            </w:r>
            <w:r>
              <w:t>；地下水位</w:t>
            </w:r>
            <w:r>
              <w:t>□</w:t>
            </w:r>
            <w:r>
              <w:t>；其他（</w:t>
            </w:r>
            <w:r>
              <w:t xml:space="preserve">  </w:t>
            </w:r>
            <w:r>
              <w:t>）</w:t>
            </w:r>
          </w:p>
        </w:tc>
        <w:tc>
          <w:tcPr>
            <w:tcW w:w="1070" w:type="dxa"/>
            <w:tcBorders>
              <w:tl2br w:val="nil"/>
              <w:tr2bl w:val="nil"/>
            </w:tcBorders>
            <w:vAlign w:val="center"/>
          </w:tcPr>
          <w:p w14:paraId="3100E282" w14:textId="77777777" w:rsidR="00606029" w:rsidRDefault="00606029">
            <w:pPr>
              <w:adjustRightInd w:val="0"/>
              <w:snapToGrid w:val="0"/>
              <w:spacing w:line="280" w:lineRule="exact"/>
              <w:jc w:val="center"/>
              <w:textAlignment w:val="center"/>
            </w:pPr>
          </w:p>
        </w:tc>
      </w:tr>
      <w:tr w:rsidR="00606029" w14:paraId="1FAC3CD3" w14:textId="77777777">
        <w:trPr>
          <w:trHeight w:val="340"/>
          <w:jc w:val="center"/>
        </w:trPr>
        <w:tc>
          <w:tcPr>
            <w:tcW w:w="419" w:type="dxa"/>
            <w:vMerge/>
            <w:tcBorders>
              <w:tl2br w:val="nil"/>
              <w:tr2bl w:val="nil"/>
            </w:tcBorders>
            <w:vAlign w:val="center"/>
          </w:tcPr>
          <w:p w14:paraId="7DB0569B" w14:textId="77777777" w:rsidR="00606029" w:rsidRDefault="00606029">
            <w:pPr>
              <w:adjustRightInd w:val="0"/>
              <w:snapToGrid w:val="0"/>
              <w:spacing w:line="280" w:lineRule="exact"/>
              <w:jc w:val="center"/>
              <w:textAlignment w:val="center"/>
            </w:pPr>
          </w:p>
        </w:tc>
        <w:tc>
          <w:tcPr>
            <w:tcW w:w="1675" w:type="dxa"/>
            <w:tcBorders>
              <w:tl2br w:val="nil"/>
              <w:tr2bl w:val="nil"/>
            </w:tcBorders>
            <w:vAlign w:val="center"/>
          </w:tcPr>
          <w:p w14:paraId="70F78625" w14:textId="77777777" w:rsidR="00606029" w:rsidRDefault="00EA5B92">
            <w:pPr>
              <w:adjustRightInd w:val="0"/>
              <w:snapToGrid w:val="0"/>
              <w:spacing w:line="280" w:lineRule="exact"/>
              <w:jc w:val="center"/>
              <w:textAlignment w:val="center"/>
            </w:pPr>
            <w:r>
              <w:t>全部污染物</w:t>
            </w:r>
          </w:p>
        </w:tc>
        <w:tc>
          <w:tcPr>
            <w:tcW w:w="6109" w:type="dxa"/>
            <w:gridSpan w:val="5"/>
            <w:tcBorders>
              <w:tl2br w:val="nil"/>
              <w:tr2bl w:val="nil"/>
            </w:tcBorders>
            <w:vAlign w:val="center"/>
          </w:tcPr>
          <w:p w14:paraId="62E233CC" w14:textId="77777777" w:rsidR="00606029" w:rsidRDefault="00EA5B92">
            <w:pPr>
              <w:adjustRightInd w:val="0"/>
              <w:snapToGrid w:val="0"/>
              <w:spacing w:line="280" w:lineRule="exact"/>
              <w:jc w:val="center"/>
              <w:textAlignment w:val="center"/>
            </w:pPr>
            <w:r>
              <w:t>pH</w:t>
            </w:r>
            <w:r>
              <w:t>、</w:t>
            </w:r>
            <w:r>
              <w:t>COD</w:t>
            </w:r>
            <w:r>
              <w:t>、总磷、总镉、总铬、六价铬、总砷、总铅</w:t>
            </w:r>
          </w:p>
        </w:tc>
        <w:tc>
          <w:tcPr>
            <w:tcW w:w="1070" w:type="dxa"/>
            <w:tcBorders>
              <w:tl2br w:val="nil"/>
              <w:tr2bl w:val="nil"/>
            </w:tcBorders>
            <w:vAlign w:val="center"/>
          </w:tcPr>
          <w:p w14:paraId="1AEA0AC7" w14:textId="77777777" w:rsidR="00606029" w:rsidRDefault="00606029">
            <w:pPr>
              <w:adjustRightInd w:val="0"/>
              <w:snapToGrid w:val="0"/>
              <w:spacing w:line="280" w:lineRule="exact"/>
              <w:jc w:val="center"/>
              <w:textAlignment w:val="center"/>
            </w:pPr>
          </w:p>
        </w:tc>
      </w:tr>
      <w:tr w:rsidR="00606029" w14:paraId="2216E318" w14:textId="77777777">
        <w:trPr>
          <w:trHeight w:val="340"/>
          <w:jc w:val="center"/>
        </w:trPr>
        <w:tc>
          <w:tcPr>
            <w:tcW w:w="419" w:type="dxa"/>
            <w:vMerge/>
            <w:tcBorders>
              <w:tl2br w:val="nil"/>
              <w:tr2bl w:val="nil"/>
            </w:tcBorders>
            <w:vAlign w:val="center"/>
          </w:tcPr>
          <w:p w14:paraId="2DA63DE6" w14:textId="77777777" w:rsidR="00606029" w:rsidRDefault="00606029">
            <w:pPr>
              <w:adjustRightInd w:val="0"/>
              <w:snapToGrid w:val="0"/>
              <w:spacing w:line="280" w:lineRule="exact"/>
              <w:jc w:val="center"/>
              <w:textAlignment w:val="center"/>
            </w:pPr>
          </w:p>
        </w:tc>
        <w:tc>
          <w:tcPr>
            <w:tcW w:w="1675" w:type="dxa"/>
            <w:tcBorders>
              <w:tl2br w:val="nil"/>
              <w:tr2bl w:val="nil"/>
            </w:tcBorders>
            <w:vAlign w:val="center"/>
          </w:tcPr>
          <w:p w14:paraId="5DA172D3" w14:textId="77777777" w:rsidR="00606029" w:rsidRDefault="00EA5B92">
            <w:pPr>
              <w:adjustRightInd w:val="0"/>
              <w:snapToGrid w:val="0"/>
              <w:spacing w:line="280" w:lineRule="exact"/>
              <w:jc w:val="center"/>
              <w:textAlignment w:val="center"/>
            </w:pPr>
            <w:r>
              <w:t>特征因子</w:t>
            </w:r>
          </w:p>
        </w:tc>
        <w:tc>
          <w:tcPr>
            <w:tcW w:w="6109" w:type="dxa"/>
            <w:gridSpan w:val="5"/>
            <w:tcBorders>
              <w:tl2br w:val="nil"/>
              <w:tr2bl w:val="nil"/>
            </w:tcBorders>
            <w:vAlign w:val="center"/>
          </w:tcPr>
          <w:p w14:paraId="15BEF36E" w14:textId="77777777" w:rsidR="00606029" w:rsidRDefault="00EA5B92">
            <w:pPr>
              <w:adjustRightInd w:val="0"/>
              <w:snapToGrid w:val="0"/>
              <w:spacing w:line="280" w:lineRule="exact"/>
              <w:jc w:val="center"/>
              <w:textAlignment w:val="center"/>
            </w:pPr>
            <w:r>
              <w:t>总镉、六</w:t>
            </w:r>
            <w:r>
              <w:t xml:space="preserve"> </w:t>
            </w:r>
            <w:r>
              <w:t>价铬、总砷、总铅</w:t>
            </w:r>
          </w:p>
        </w:tc>
        <w:tc>
          <w:tcPr>
            <w:tcW w:w="1070" w:type="dxa"/>
            <w:tcBorders>
              <w:tl2br w:val="nil"/>
              <w:tr2bl w:val="nil"/>
            </w:tcBorders>
            <w:vAlign w:val="center"/>
          </w:tcPr>
          <w:p w14:paraId="598D7037" w14:textId="77777777" w:rsidR="00606029" w:rsidRDefault="00606029">
            <w:pPr>
              <w:adjustRightInd w:val="0"/>
              <w:snapToGrid w:val="0"/>
              <w:spacing w:line="280" w:lineRule="exact"/>
              <w:jc w:val="center"/>
              <w:textAlignment w:val="center"/>
            </w:pPr>
          </w:p>
        </w:tc>
      </w:tr>
      <w:tr w:rsidR="00606029" w14:paraId="3B544C5D" w14:textId="77777777">
        <w:trPr>
          <w:trHeight w:val="340"/>
          <w:jc w:val="center"/>
        </w:trPr>
        <w:tc>
          <w:tcPr>
            <w:tcW w:w="419" w:type="dxa"/>
            <w:vMerge/>
            <w:tcBorders>
              <w:tl2br w:val="nil"/>
              <w:tr2bl w:val="nil"/>
            </w:tcBorders>
            <w:vAlign w:val="center"/>
          </w:tcPr>
          <w:p w14:paraId="6312E5E2" w14:textId="77777777" w:rsidR="00606029" w:rsidRDefault="00606029">
            <w:pPr>
              <w:adjustRightInd w:val="0"/>
              <w:snapToGrid w:val="0"/>
              <w:spacing w:line="280" w:lineRule="exact"/>
              <w:jc w:val="center"/>
              <w:textAlignment w:val="center"/>
            </w:pPr>
          </w:p>
        </w:tc>
        <w:tc>
          <w:tcPr>
            <w:tcW w:w="1675" w:type="dxa"/>
            <w:tcBorders>
              <w:tl2br w:val="nil"/>
              <w:tr2bl w:val="nil"/>
            </w:tcBorders>
            <w:vAlign w:val="center"/>
          </w:tcPr>
          <w:p w14:paraId="670A0AF5" w14:textId="77777777" w:rsidR="00606029" w:rsidRDefault="00EA5B92">
            <w:pPr>
              <w:adjustRightInd w:val="0"/>
              <w:snapToGrid w:val="0"/>
              <w:spacing w:line="280" w:lineRule="exact"/>
              <w:jc w:val="center"/>
              <w:textAlignment w:val="center"/>
            </w:pPr>
            <w:r>
              <w:t>所属土壤环境影响评价项目类别</w:t>
            </w:r>
          </w:p>
        </w:tc>
        <w:tc>
          <w:tcPr>
            <w:tcW w:w="6109" w:type="dxa"/>
            <w:gridSpan w:val="5"/>
            <w:tcBorders>
              <w:tl2br w:val="nil"/>
              <w:tr2bl w:val="nil"/>
            </w:tcBorders>
            <w:vAlign w:val="center"/>
          </w:tcPr>
          <w:p w14:paraId="07533C83" w14:textId="77777777" w:rsidR="00606029" w:rsidRDefault="00EA5B92">
            <w:pPr>
              <w:adjustRightInd w:val="0"/>
              <w:snapToGrid w:val="0"/>
              <w:spacing w:line="280" w:lineRule="exact"/>
              <w:jc w:val="center"/>
              <w:textAlignment w:val="center"/>
            </w:pPr>
            <w:r>
              <w:t>Ⅰ</w:t>
            </w:r>
            <w:r>
              <w:t>类</w:t>
            </w:r>
            <w:r>
              <w:t>□</w:t>
            </w:r>
            <w:r>
              <w:t>；</w:t>
            </w:r>
            <w:r>
              <w:t>Ⅱ</w:t>
            </w:r>
            <w:r>
              <w:t>类</w:t>
            </w:r>
            <w:r>
              <w:t>☑</w:t>
            </w:r>
            <w:r>
              <w:t>；</w:t>
            </w:r>
            <w:r>
              <w:t>Ⅲ</w:t>
            </w:r>
            <w:r>
              <w:t>类</w:t>
            </w:r>
            <w:r>
              <w:t>□</w:t>
            </w:r>
            <w:r>
              <w:t>；</w:t>
            </w:r>
            <w:r>
              <w:t>Ⅳ</w:t>
            </w:r>
            <w:r>
              <w:t>类</w:t>
            </w:r>
            <w:r>
              <w:t>□</w:t>
            </w:r>
          </w:p>
        </w:tc>
        <w:tc>
          <w:tcPr>
            <w:tcW w:w="1070" w:type="dxa"/>
            <w:tcBorders>
              <w:tl2br w:val="nil"/>
              <w:tr2bl w:val="nil"/>
            </w:tcBorders>
            <w:vAlign w:val="center"/>
          </w:tcPr>
          <w:p w14:paraId="1F452976" w14:textId="77777777" w:rsidR="00606029" w:rsidRDefault="00606029">
            <w:pPr>
              <w:adjustRightInd w:val="0"/>
              <w:snapToGrid w:val="0"/>
              <w:spacing w:line="280" w:lineRule="exact"/>
              <w:jc w:val="center"/>
              <w:textAlignment w:val="center"/>
            </w:pPr>
          </w:p>
        </w:tc>
      </w:tr>
      <w:tr w:rsidR="00606029" w14:paraId="775D0413" w14:textId="77777777">
        <w:trPr>
          <w:trHeight w:val="340"/>
          <w:jc w:val="center"/>
        </w:trPr>
        <w:tc>
          <w:tcPr>
            <w:tcW w:w="419" w:type="dxa"/>
            <w:vMerge/>
            <w:tcBorders>
              <w:tl2br w:val="nil"/>
              <w:tr2bl w:val="nil"/>
            </w:tcBorders>
            <w:vAlign w:val="center"/>
          </w:tcPr>
          <w:p w14:paraId="2C0263FA" w14:textId="77777777" w:rsidR="00606029" w:rsidRDefault="00606029">
            <w:pPr>
              <w:adjustRightInd w:val="0"/>
              <w:snapToGrid w:val="0"/>
              <w:spacing w:line="280" w:lineRule="exact"/>
              <w:jc w:val="center"/>
              <w:textAlignment w:val="center"/>
            </w:pPr>
          </w:p>
        </w:tc>
        <w:tc>
          <w:tcPr>
            <w:tcW w:w="1675" w:type="dxa"/>
            <w:tcBorders>
              <w:tl2br w:val="nil"/>
              <w:tr2bl w:val="nil"/>
            </w:tcBorders>
            <w:vAlign w:val="center"/>
          </w:tcPr>
          <w:p w14:paraId="72C23FA4" w14:textId="77777777" w:rsidR="00606029" w:rsidRDefault="00EA5B92">
            <w:pPr>
              <w:adjustRightInd w:val="0"/>
              <w:snapToGrid w:val="0"/>
              <w:spacing w:line="280" w:lineRule="exact"/>
              <w:jc w:val="center"/>
              <w:textAlignment w:val="center"/>
            </w:pPr>
            <w:r>
              <w:t>敏感程度</w:t>
            </w:r>
          </w:p>
        </w:tc>
        <w:tc>
          <w:tcPr>
            <w:tcW w:w="6109" w:type="dxa"/>
            <w:gridSpan w:val="5"/>
            <w:tcBorders>
              <w:tl2br w:val="nil"/>
              <w:tr2bl w:val="nil"/>
            </w:tcBorders>
            <w:vAlign w:val="center"/>
          </w:tcPr>
          <w:p w14:paraId="21105DE8" w14:textId="77777777" w:rsidR="00606029" w:rsidRDefault="00EA5B92">
            <w:pPr>
              <w:adjustRightInd w:val="0"/>
              <w:snapToGrid w:val="0"/>
              <w:spacing w:line="280" w:lineRule="exact"/>
              <w:jc w:val="center"/>
              <w:textAlignment w:val="center"/>
            </w:pPr>
            <w:r>
              <w:t>敏感</w:t>
            </w:r>
            <w:r>
              <w:t>☑</w:t>
            </w:r>
            <w:r>
              <w:t>；较敏感</w:t>
            </w:r>
            <w:r>
              <w:t>□</w:t>
            </w:r>
            <w:r>
              <w:t>；不敏感</w:t>
            </w:r>
            <w:r>
              <w:t>□</w:t>
            </w:r>
          </w:p>
        </w:tc>
        <w:tc>
          <w:tcPr>
            <w:tcW w:w="1070" w:type="dxa"/>
            <w:tcBorders>
              <w:tl2br w:val="nil"/>
              <w:tr2bl w:val="nil"/>
            </w:tcBorders>
            <w:vAlign w:val="center"/>
          </w:tcPr>
          <w:p w14:paraId="0BEF5358" w14:textId="77777777" w:rsidR="00606029" w:rsidRDefault="00606029">
            <w:pPr>
              <w:adjustRightInd w:val="0"/>
              <w:snapToGrid w:val="0"/>
              <w:spacing w:line="280" w:lineRule="exact"/>
              <w:jc w:val="center"/>
              <w:textAlignment w:val="center"/>
            </w:pPr>
          </w:p>
        </w:tc>
      </w:tr>
      <w:tr w:rsidR="00606029" w14:paraId="749C9B4B" w14:textId="77777777">
        <w:trPr>
          <w:trHeight w:val="340"/>
          <w:jc w:val="center"/>
        </w:trPr>
        <w:tc>
          <w:tcPr>
            <w:tcW w:w="2094" w:type="dxa"/>
            <w:gridSpan w:val="2"/>
            <w:tcBorders>
              <w:tl2br w:val="nil"/>
              <w:tr2bl w:val="nil"/>
            </w:tcBorders>
            <w:vAlign w:val="center"/>
          </w:tcPr>
          <w:p w14:paraId="46723414" w14:textId="77777777" w:rsidR="00606029" w:rsidRDefault="00EA5B92">
            <w:pPr>
              <w:adjustRightInd w:val="0"/>
              <w:snapToGrid w:val="0"/>
              <w:spacing w:line="280" w:lineRule="exact"/>
              <w:jc w:val="center"/>
              <w:textAlignment w:val="center"/>
            </w:pPr>
            <w:r>
              <w:t>评价工作等级</w:t>
            </w:r>
          </w:p>
        </w:tc>
        <w:tc>
          <w:tcPr>
            <w:tcW w:w="6109" w:type="dxa"/>
            <w:gridSpan w:val="5"/>
            <w:tcBorders>
              <w:tl2br w:val="nil"/>
              <w:tr2bl w:val="nil"/>
            </w:tcBorders>
            <w:vAlign w:val="center"/>
          </w:tcPr>
          <w:p w14:paraId="2644C1C1" w14:textId="77777777" w:rsidR="00606029" w:rsidRDefault="00EA5B92">
            <w:pPr>
              <w:adjustRightInd w:val="0"/>
              <w:snapToGrid w:val="0"/>
              <w:spacing w:line="280" w:lineRule="exact"/>
              <w:jc w:val="center"/>
              <w:textAlignment w:val="center"/>
            </w:pPr>
            <w:r>
              <w:t>一级</w:t>
            </w:r>
            <w:r>
              <w:t>□</w:t>
            </w:r>
            <w:r>
              <w:t>；二级</w:t>
            </w:r>
            <w:r>
              <w:t>☑</w:t>
            </w:r>
            <w:r>
              <w:t>；三级</w:t>
            </w:r>
            <w:r>
              <w:t>□</w:t>
            </w:r>
          </w:p>
        </w:tc>
        <w:tc>
          <w:tcPr>
            <w:tcW w:w="1070" w:type="dxa"/>
            <w:tcBorders>
              <w:tl2br w:val="nil"/>
              <w:tr2bl w:val="nil"/>
            </w:tcBorders>
            <w:vAlign w:val="center"/>
          </w:tcPr>
          <w:p w14:paraId="36C9BE77" w14:textId="77777777" w:rsidR="00606029" w:rsidRDefault="00606029">
            <w:pPr>
              <w:adjustRightInd w:val="0"/>
              <w:snapToGrid w:val="0"/>
              <w:spacing w:line="280" w:lineRule="exact"/>
              <w:jc w:val="center"/>
              <w:textAlignment w:val="center"/>
            </w:pPr>
          </w:p>
        </w:tc>
      </w:tr>
      <w:tr w:rsidR="00606029" w14:paraId="48D38742" w14:textId="77777777">
        <w:trPr>
          <w:trHeight w:val="340"/>
          <w:jc w:val="center"/>
        </w:trPr>
        <w:tc>
          <w:tcPr>
            <w:tcW w:w="419" w:type="dxa"/>
            <w:vMerge w:val="restart"/>
            <w:tcBorders>
              <w:tl2br w:val="nil"/>
              <w:tr2bl w:val="nil"/>
            </w:tcBorders>
            <w:vAlign w:val="center"/>
          </w:tcPr>
          <w:p w14:paraId="36FE71B3" w14:textId="77777777" w:rsidR="00606029" w:rsidRDefault="00EA5B92">
            <w:pPr>
              <w:adjustRightInd w:val="0"/>
              <w:snapToGrid w:val="0"/>
              <w:spacing w:line="280" w:lineRule="exact"/>
              <w:jc w:val="center"/>
              <w:textAlignment w:val="center"/>
            </w:pPr>
            <w:r>
              <w:t>现状调查内容</w:t>
            </w:r>
          </w:p>
        </w:tc>
        <w:tc>
          <w:tcPr>
            <w:tcW w:w="1675" w:type="dxa"/>
            <w:tcBorders>
              <w:tl2br w:val="nil"/>
              <w:tr2bl w:val="nil"/>
            </w:tcBorders>
            <w:vAlign w:val="center"/>
          </w:tcPr>
          <w:p w14:paraId="5A5CB7C4" w14:textId="77777777" w:rsidR="00606029" w:rsidRDefault="00EA5B92">
            <w:pPr>
              <w:adjustRightInd w:val="0"/>
              <w:snapToGrid w:val="0"/>
              <w:spacing w:line="280" w:lineRule="exact"/>
              <w:jc w:val="center"/>
              <w:textAlignment w:val="center"/>
            </w:pPr>
            <w:r>
              <w:t>资料收集</w:t>
            </w:r>
          </w:p>
        </w:tc>
        <w:tc>
          <w:tcPr>
            <w:tcW w:w="6109" w:type="dxa"/>
            <w:gridSpan w:val="5"/>
            <w:tcBorders>
              <w:tl2br w:val="nil"/>
              <w:tr2bl w:val="nil"/>
            </w:tcBorders>
            <w:vAlign w:val="center"/>
          </w:tcPr>
          <w:p w14:paraId="3202CEF1" w14:textId="77777777" w:rsidR="00606029" w:rsidRDefault="00EA5B92">
            <w:pPr>
              <w:adjustRightInd w:val="0"/>
              <w:snapToGrid w:val="0"/>
              <w:spacing w:line="280" w:lineRule="exact"/>
              <w:jc w:val="center"/>
              <w:textAlignment w:val="center"/>
            </w:pPr>
            <w:r>
              <w:t>a</w:t>
            </w:r>
            <w:r>
              <w:t>）</w:t>
            </w:r>
            <w:r>
              <w:t>☑</w:t>
            </w:r>
            <w:r>
              <w:t>；</w:t>
            </w:r>
            <w:r>
              <w:t>b</w:t>
            </w:r>
            <w:r>
              <w:t>）</w:t>
            </w:r>
            <w:r>
              <w:t>☑</w:t>
            </w:r>
            <w:r>
              <w:t>；</w:t>
            </w:r>
            <w:r>
              <w:t>c</w:t>
            </w:r>
            <w:r>
              <w:t>）</w:t>
            </w:r>
            <w:r>
              <w:t>□</w:t>
            </w:r>
            <w:r>
              <w:t>；</w:t>
            </w:r>
            <w:r>
              <w:t>d</w:t>
            </w:r>
            <w:r>
              <w:t>）</w:t>
            </w:r>
            <w:r>
              <w:t>□</w:t>
            </w:r>
          </w:p>
        </w:tc>
        <w:tc>
          <w:tcPr>
            <w:tcW w:w="1070" w:type="dxa"/>
            <w:tcBorders>
              <w:tl2br w:val="nil"/>
              <w:tr2bl w:val="nil"/>
            </w:tcBorders>
            <w:vAlign w:val="center"/>
          </w:tcPr>
          <w:p w14:paraId="30C9CD3E" w14:textId="77777777" w:rsidR="00606029" w:rsidRDefault="00606029">
            <w:pPr>
              <w:adjustRightInd w:val="0"/>
              <w:snapToGrid w:val="0"/>
              <w:spacing w:line="280" w:lineRule="exact"/>
              <w:jc w:val="center"/>
              <w:textAlignment w:val="center"/>
            </w:pPr>
          </w:p>
        </w:tc>
      </w:tr>
      <w:tr w:rsidR="00606029" w14:paraId="31C0AA7C" w14:textId="77777777">
        <w:trPr>
          <w:trHeight w:val="340"/>
          <w:jc w:val="center"/>
        </w:trPr>
        <w:tc>
          <w:tcPr>
            <w:tcW w:w="419" w:type="dxa"/>
            <w:vMerge/>
            <w:tcBorders>
              <w:tl2br w:val="nil"/>
              <w:tr2bl w:val="nil"/>
            </w:tcBorders>
            <w:vAlign w:val="center"/>
          </w:tcPr>
          <w:p w14:paraId="75F8D09B" w14:textId="77777777" w:rsidR="00606029" w:rsidRDefault="00606029">
            <w:pPr>
              <w:adjustRightInd w:val="0"/>
              <w:snapToGrid w:val="0"/>
              <w:spacing w:line="280" w:lineRule="exact"/>
              <w:jc w:val="center"/>
              <w:textAlignment w:val="center"/>
            </w:pPr>
          </w:p>
        </w:tc>
        <w:tc>
          <w:tcPr>
            <w:tcW w:w="1675" w:type="dxa"/>
            <w:tcBorders>
              <w:tl2br w:val="nil"/>
              <w:tr2bl w:val="nil"/>
            </w:tcBorders>
            <w:vAlign w:val="center"/>
          </w:tcPr>
          <w:p w14:paraId="6567BE25" w14:textId="77777777" w:rsidR="00606029" w:rsidRDefault="00EA5B92">
            <w:pPr>
              <w:adjustRightInd w:val="0"/>
              <w:snapToGrid w:val="0"/>
              <w:spacing w:line="280" w:lineRule="exact"/>
              <w:jc w:val="center"/>
              <w:textAlignment w:val="center"/>
            </w:pPr>
            <w:r>
              <w:t>理化特性</w:t>
            </w:r>
          </w:p>
        </w:tc>
        <w:tc>
          <w:tcPr>
            <w:tcW w:w="6109" w:type="dxa"/>
            <w:gridSpan w:val="5"/>
            <w:tcBorders>
              <w:tl2br w:val="nil"/>
              <w:tr2bl w:val="nil"/>
            </w:tcBorders>
            <w:vAlign w:val="center"/>
          </w:tcPr>
          <w:p w14:paraId="57F68AC0" w14:textId="27564EDF" w:rsidR="00606029" w:rsidRDefault="00606029">
            <w:pPr>
              <w:adjustRightInd w:val="0"/>
              <w:snapToGrid w:val="0"/>
              <w:spacing w:line="280" w:lineRule="exact"/>
              <w:jc w:val="center"/>
              <w:textAlignment w:val="center"/>
            </w:pPr>
          </w:p>
        </w:tc>
        <w:tc>
          <w:tcPr>
            <w:tcW w:w="1070" w:type="dxa"/>
            <w:tcBorders>
              <w:tl2br w:val="nil"/>
              <w:tr2bl w:val="nil"/>
            </w:tcBorders>
            <w:vAlign w:val="center"/>
          </w:tcPr>
          <w:p w14:paraId="2835C483" w14:textId="77777777" w:rsidR="00606029" w:rsidRDefault="00EA5B92">
            <w:pPr>
              <w:adjustRightInd w:val="0"/>
              <w:snapToGrid w:val="0"/>
              <w:spacing w:line="280" w:lineRule="exact"/>
              <w:jc w:val="center"/>
              <w:textAlignment w:val="center"/>
            </w:pPr>
            <w:r>
              <w:t>同附录</w:t>
            </w:r>
            <w:r>
              <w:t>C</w:t>
            </w:r>
          </w:p>
        </w:tc>
      </w:tr>
      <w:tr w:rsidR="00606029" w14:paraId="538B89D1" w14:textId="77777777">
        <w:trPr>
          <w:trHeight w:val="340"/>
          <w:jc w:val="center"/>
        </w:trPr>
        <w:tc>
          <w:tcPr>
            <w:tcW w:w="419" w:type="dxa"/>
            <w:vMerge/>
            <w:tcBorders>
              <w:tl2br w:val="nil"/>
              <w:tr2bl w:val="nil"/>
            </w:tcBorders>
            <w:vAlign w:val="center"/>
          </w:tcPr>
          <w:p w14:paraId="4759292B" w14:textId="77777777" w:rsidR="00606029" w:rsidRDefault="00606029">
            <w:pPr>
              <w:adjustRightInd w:val="0"/>
              <w:snapToGrid w:val="0"/>
              <w:spacing w:line="280" w:lineRule="exact"/>
              <w:jc w:val="center"/>
              <w:textAlignment w:val="center"/>
            </w:pPr>
          </w:p>
        </w:tc>
        <w:tc>
          <w:tcPr>
            <w:tcW w:w="1675" w:type="dxa"/>
            <w:vMerge w:val="restart"/>
            <w:tcBorders>
              <w:tl2br w:val="nil"/>
              <w:tr2bl w:val="nil"/>
            </w:tcBorders>
            <w:vAlign w:val="center"/>
          </w:tcPr>
          <w:p w14:paraId="428D3375" w14:textId="77777777" w:rsidR="00606029" w:rsidRDefault="00EA5B92">
            <w:pPr>
              <w:adjustRightInd w:val="0"/>
              <w:snapToGrid w:val="0"/>
              <w:spacing w:line="280" w:lineRule="exact"/>
              <w:jc w:val="center"/>
              <w:textAlignment w:val="center"/>
            </w:pPr>
            <w:r>
              <w:t>现状监测点位</w:t>
            </w:r>
          </w:p>
        </w:tc>
        <w:tc>
          <w:tcPr>
            <w:tcW w:w="1412" w:type="dxa"/>
            <w:tcBorders>
              <w:tl2br w:val="nil"/>
              <w:tr2bl w:val="nil"/>
            </w:tcBorders>
            <w:vAlign w:val="center"/>
          </w:tcPr>
          <w:p w14:paraId="3DFBEB5E" w14:textId="77777777" w:rsidR="00606029" w:rsidRDefault="00EA5B92">
            <w:pPr>
              <w:adjustRightInd w:val="0"/>
              <w:snapToGrid w:val="0"/>
              <w:spacing w:line="280" w:lineRule="exact"/>
              <w:jc w:val="center"/>
              <w:textAlignment w:val="center"/>
            </w:pPr>
            <w:r>
              <w:t>/</w:t>
            </w:r>
          </w:p>
        </w:tc>
        <w:tc>
          <w:tcPr>
            <w:tcW w:w="1530" w:type="dxa"/>
            <w:tcBorders>
              <w:tl2br w:val="nil"/>
              <w:tr2bl w:val="nil"/>
            </w:tcBorders>
            <w:vAlign w:val="center"/>
          </w:tcPr>
          <w:p w14:paraId="04814327" w14:textId="77777777" w:rsidR="00606029" w:rsidRDefault="00EA5B92">
            <w:pPr>
              <w:adjustRightInd w:val="0"/>
              <w:snapToGrid w:val="0"/>
              <w:spacing w:line="280" w:lineRule="exact"/>
              <w:jc w:val="center"/>
              <w:textAlignment w:val="center"/>
            </w:pPr>
            <w:r>
              <w:t>占地范围内</w:t>
            </w:r>
          </w:p>
        </w:tc>
        <w:tc>
          <w:tcPr>
            <w:tcW w:w="1888" w:type="dxa"/>
            <w:gridSpan w:val="2"/>
            <w:tcBorders>
              <w:tl2br w:val="nil"/>
              <w:tr2bl w:val="nil"/>
            </w:tcBorders>
            <w:vAlign w:val="center"/>
          </w:tcPr>
          <w:p w14:paraId="6DF9E603" w14:textId="77777777" w:rsidR="00606029" w:rsidRDefault="00EA5B92">
            <w:pPr>
              <w:adjustRightInd w:val="0"/>
              <w:snapToGrid w:val="0"/>
              <w:spacing w:line="280" w:lineRule="exact"/>
              <w:jc w:val="center"/>
              <w:textAlignment w:val="center"/>
            </w:pPr>
            <w:r>
              <w:t>占地范围外</w:t>
            </w:r>
          </w:p>
        </w:tc>
        <w:tc>
          <w:tcPr>
            <w:tcW w:w="1279" w:type="dxa"/>
            <w:tcBorders>
              <w:tl2br w:val="nil"/>
              <w:tr2bl w:val="nil"/>
            </w:tcBorders>
            <w:vAlign w:val="center"/>
          </w:tcPr>
          <w:p w14:paraId="26F9FFCC" w14:textId="77777777" w:rsidR="00606029" w:rsidRDefault="00EA5B92">
            <w:pPr>
              <w:adjustRightInd w:val="0"/>
              <w:snapToGrid w:val="0"/>
              <w:spacing w:line="280" w:lineRule="exact"/>
              <w:jc w:val="center"/>
              <w:textAlignment w:val="center"/>
            </w:pPr>
            <w:r>
              <w:t>深度</w:t>
            </w:r>
          </w:p>
        </w:tc>
        <w:tc>
          <w:tcPr>
            <w:tcW w:w="1070" w:type="dxa"/>
            <w:vMerge w:val="restart"/>
            <w:tcBorders>
              <w:tl2br w:val="nil"/>
              <w:tr2bl w:val="nil"/>
            </w:tcBorders>
            <w:vAlign w:val="center"/>
          </w:tcPr>
          <w:p w14:paraId="5FD6EE94" w14:textId="77777777" w:rsidR="00606029" w:rsidRDefault="00EA5B92">
            <w:pPr>
              <w:adjustRightInd w:val="0"/>
              <w:snapToGrid w:val="0"/>
              <w:spacing w:line="280" w:lineRule="exact"/>
              <w:jc w:val="center"/>
              <w:textAlignment w:val="center"/>
            </w:pPr>
            <w:r>
              <w:t>/</w:t>
            </w:r>
          </w:p>
        </w:tc>
      </w:tr>
      <w:tr w:rsidR="00606029" w14:paraId="1DC8DBF4" w14:textId="77777777">
        <w:trPr>
          <w:trHeight w:val="340"/>
          <w:jc w:val="center"/>
        </w:trPr>
        <w:tc>
          <w:tcPr>
            <w:tcW w:w="419" w:type="dxa"/>
            <w:vMerge/>
            <w:tcBorders>
              <w:tl2br w:val="nil"/>
              <w:tr2bl w:val="nil"/>
            </w:tcBorders>
            <w:vAlign w:val="center"/>
          </w:tcPr>
          <w:p w14:paraId="2B32FFE7" w14:textId="77777777" w:rsidR="00606029" w:rsidRDefault="00606029">
            <w:pPr>
              <w:adjustRightInd w:val="0"/>
              <w:snapToGrid w:val="0"/>
              <w:spacing w:line="280" w:lineRule="exact"/>
              <w:jc w:val="center"/>
              <w:textAlignment w:val="center"/>
            </w:pPr>
          </w:p>
        </w:tc>
        <w:tc>
          <w:tcPr>
            <w:tcW w:w="1675" w:type="dxa"/>
            <w:vMerge/>
            <w:tcBorders>
              <w:tl2br w:val="nil"/>
              <w:tr2bl w:val="nil"/>
            </w:tcBorders>
            <w:vAlign w:val="center"/>
          </w:tcPr>
          <w:p w14:paraId="5E9006C0" w14:textId="77777777" w:rsidR="00606029" w:rsidRDefault="00606029">
            <w:pPr>
              <w:adjustRightInd w:val="0"/>
              <w:snapToGrid w:val="0"/>
              <w:spacing w:line="280" w:lineRule="exact"/>
              <w:jc w:val="center"/>
              <w:textAlignment w:val="center"/>
            </w:pPr>
          </w:p>
        </w:tc>
        <w:tc>
          <w:tcPr>
            <w:tcW w:w="1412" w:type="dxa"/>
            <w:tcBorders>
              <w:tl2br w:val="nil"/>
              <w:tr2bl w:val="nil"/>
            </w:tcBorders>
            <w:vAlign w:val="center"/>
          </w:tcPr>
          <w:p w14:paraId="565FD8AD" w14:textId="77777777" w:rsidR="00606029" w:rsidRDefault="00EA5B92">
            <w:pPr>
              <w:adjustRightInd w:val="0"/>
              <w:snapToGrid w:val="0"/>
              <w:spacing w:line="280" w:lineRule="exact"/>
              <w:jc w:val="center"/>
              <w:textAlignment w:val="center"/>
            </w:pPr>
            <w:r>
              <w:t>表层样点数</w:t>
            </w:r>
          </w:p>
        </w:tc>
        <w:tc>
          <w:tcPr>
            <w:tcW w:w="1530" w:type="dxa"/>
            <w:tcBorders>
              <w:tl2br w:val="nil"/>
              <w:tr2bl w:val="nil"/>
            </w:tcBorders>
            <w:vAlign w:val="center"/>
          </w:tcPr>
          <w:p w14:paraId="36085863" w14:textId="77777777" w:rsidR="00606029" w:rsidRDefault="00EA5B92">
            <w:pPr>
              <w:adjustRightInd w:val="0"/>
              <w:snapToGrid w:val="0"/>
              <w:spacing w:line="280" w:lineRule="exact"/>
              <w:jc w:val="center"/>
              <w:textAlignment w:val="center"/>
            </w:pPr>
            <w:r>
              <w:t>1</w:t>
            </w:r>
          </w:p>
        </w:tc>
        <w:tc>
          <w:tcPr>
            <w:tcW w:w="1888" w:type="dxa"/>
            <w:gridSpan w:val="2"/>
            <w:tcBorders>
              <w:tl2br w:val="nil"/>
              <w:tr2bl w:val="nil"/>
            </w:tcBorders>
            <w:vAlign w:val="center"/>
          </w:tcPr>
          <w:p w14:paraId="7933AB3F" w14:textId="77777777" w:rsidR="00606029" w:rsidRDefault="00EA5B92">
            <w:pPr>
              <w:adjustRightInd w:val="0"/>
              <w:snapToGrid w:val="0"/>
              <w:spacing w:line="280" w:lineRule="exact"/>
              <w:jc w:val="center"/>
              <w:textAlignment w:val="center"/>
            </w:pPr>
            <w:r>
              <w:t>2</w:t>
            </w:r>
          </w:p>
        </w:tc>
        <w:tc>
          <w:tcPr>
            <w:tcW w:w="1279" w:type="dxa"/>
            <w:tcBorders>
              <w:tl2br w:val="nil"/>
              <w:tr2bl w:val="nil"/>
            </w:tcBorders>
            <w:vAlign w:val="center"/>
          </w:tcPr>
          <w:p w14:paraId="4E3D958F" w14:textId="77777777" w:rsidR="00606029" w:rsidRDefault="00EA5B92">
            <w:pPr>
              <w:adjustRightInd w:val="0"/>
              <w:snapToGrid w:val="0"/>
              <w:spacing w:line="280" w:lineRule="exact"/>
              <w:jc w:val="center"/>
              <w:textAlignment w:val="center"/>
            </w:pPr>
            <w:r>
              <w:t>0-0.2m</w:t>
            </w:r>
          </w:p>
        </w:tc>
        <w:tc>
          <w:tcPr>
            <w:tcW w:w="1070" w:type="dxa"/>
            <w:vMerge/>
            <w:tcBorders>
              <w:tl2br w:val="nil"/>
              <w:tr2bl w:val="nil"/>
            </w:tcBorders>
            <w:vAlign w:val="center"/>
          </w:tcPr>
          <w:p w14:paraId="2B9F6A97" w14:textId="77777777" w:rsidR="00606029" w:rsidRDefault="00606029">
            <w:pPr>
              <w:adjustRightInd w:val="0"/>
              <w:snapToGrid w:val="0"/>
              <w:spacing w:line="280" w:lineRule="exact"/>
              <w:jc w:val="center"/>
              <w:textAlignment w:val="center"/>
            </w:pPr>
          </w:p>
        </w:tc>
      </w:tr>
      <w:tr w:rsidR="00606029" w14:paraId="168E3B20" w14:textId="77777777">
        <w:trPr>
          <w:trHeight w:val="340"/>
          <w:jc w:val="center"/>
        </w:trPr>
        <w:tc>
          <w:tcPr>
            <w:tcW w:w="419" w:type="dxa"/>
            <w:vMerge/>
            <w:tcBorders>
              <w:tl2br w:val="nil"/>
              <w:tr2bl w:val="nil"/>
            </w:tcBorders>
            <w:vAlign w:val="center"/>
          </w:tcPr>
          <w:p w14:paraId="3DAAE2DA" w14:textId="77777777" w:rsidR="00606029" w:rsidRDefault="00606029">
            <w:pPr>
              <w:adjustRightInd w:val="0"/>
              <w:snapToGrid w:val="0"/>
              <w:spacing w:line="280" w:lineRule="exact"/>
              <w:jc w:val="center"/>
              <w:textAlignment w:val="center"/>
            </w:pPr>
          </w:p>
        </w:tc>
        <w:tc>
          <w:tcPr>
            <w:tcW w:w="1675" w:type="dxa"/>
            <w:vMerge/>
            <w:tcBorders>
              <w:tl2br w:val="nil"/>
              <w:tr2bl w:val="nil"/>
            </w:tcBorders>
            <w:vAlign w:val="center"/>
          </w:tcPr>
          <w:p w14:paraId="5FCD9C69" w14:textId="77777777" w:rsidR="00606029" w:rsidRDefault="00606029">
            <w:pPr>
              <w:adjustRightInd w:val="0"/>
              <w:snapToGrid w:val="0"/>
              <w:spacing w:line="280" w:lineRule="exact"/>
              <w:jc w:val="center"/>
              <w:textAlignment w:val="center"/>
            </w:pPr>
          </w:p>
        </w:tc>
        <w:tc>
          <w:tcPr>
            <w:tcW w:w="1412" w:type="dxa"/>
            <w:tcBorders>
              <w:tl2br w:val="nil"/>
              <w:tr2bl w:val="nil"/>
            </w:tcBorders>
            <w:vAlign w:val="center"/>
          </w:tcPr>
          <w:p w14:paraId="6DF65277" w14:textId="77777777" w:rsidR="00606029" w:rsidRDefault="00EA5B92">
            <w:pPr>
              <w:adjustRightInd w:val="0"/>
              <w:snapToGrid w:val="0"/>
              <w:spacing w:line="280" w:lineRule="exact"/>
              <w:jc w:val="center"/>
              <w:textAlignment w:val="center"/>
            </w:pPr>
            <w:r>
              <w:t>柱状样点数</w:t>
            </w:r>
          </w:p>
        </w:tc>
        <w:tc>
          <w:tcPr>
            <w:tcW w:w="1530" w:type="dxa"/>
            <w:tcBorders>
              <w:tl2br w:val="nil"/>
              <w:tr2bl w:val="nil"/>
            </w:tcBorders>
            <w:vAlign w:val="center"/>
          </w:tcPr>
          <w:p w14:paraId="1DC695C5" w14:textId="77777777" w:rsidR="00606029" w:rsidRDefault="00EA5B92">
            <w:pPr>
              <w:adjustRightInd w:val="0"/>
              <w:snapToGrid w:val="0"/>
              <w:spacing w:line="280" w:lineRule="exact"/>
              <w:jc w:val="center"/>
              <w:textAlignment w:val="center"/>
            </w:pPr>
            <w:r>
              <w:t>3</w:t>
            </w:r>
          </w:p>
        </w:tc>
        <w:tc>
          <w:tcPr>
            <w:tcW w:w="1888" w:type="dxa"/>
            <w:gridSpan w:val="2"/>
            <w:tcBorders>
              <w:tl2br w:val="nil"/>
              <w:tr2bl w:val="nil"/>
            </w:tcBorders>
            <w:vAlign w:val="center"/>
          </w:tcPr>
          <w:p w14:paraId="666C67D4" w14:textId="77777777" w:rsidR="00606029" w:rsidRDefault="00EA5B92">
            <w:pPr>
              <w:adjustRightInd w:val="0"/>
              <w:snapToGrid w:val="0"/>
              <w:spacing w:line="280" w:lineRule="exact"/>
              <w:jc w:val="center"/>
              <w:textAlignment w:val="center"/>
            </w:pPr>
            <w:r>
              <w:t>0</w:t>
            </w:r>
          </w:p>
        </w:tc>
        <w:tc>
          <w:tcPr>
            <w:tcW w:w="1279" w:type="dxa"/>
            <w:tcBorders>
              <w:tl2br w:val="nil"/>
              <w:tr2bl w:val="nil"/>
            </w:tcBorders>
            <w:vAlign w:val="center"/>
          </w:tcPr>
          <w:p w14:paraId="67D811DF" w14:textId="77777777" w:rsidR="00606029" w:rsidRDefault="00EA5B92">
            <w:pPr>
              <w:adjustRightInd w:val="0"/>
              <w:snapToGrid w:val="0"/>
              <w:spacing w:line="280" w:lineRule="exact"/>
              <w:jc w:val="center"/>
              <w:textAlignment w:val="center"/>
            </w:pPr>
            <w:r>
              <w:t>0-0.5m</w:t>
            </w:r>
            <w:r>
              <w:t>、</w:t>
            </w:r>
            <w:r>
              <w:t>0.5-15.m</w:t>
            </w:r>
            <w:r>
              <w:t>、</w:t>
            </w:r>
            <w:r>
              <w:t>1.5-3m</w:t>
            </w:r>
          </w:p>
        </w:tc>
        <w:tc>
          <w:tcPr>
            <w:tcW w:w="1070" w:type="dxa"/>
            <w:vMerge/>
            <w:tcBorders>
              <w:tl2br w:val="nil"/>
              <w:tr2bl w:val="nil"/>
            </w:tcBorders>
            <w:vAlign w:val="center"/>
          </w:tcPr>
          <w:p w14:paraId="67327A64" w14:textId="77777777" w:rsidR="00606029" w:rsidRDefault="00606029">
            <w:pPr>
              <w:adjustRightInd w:val="0"/>
              <w:snapToGrid w:val="0"/>
              <w:spacing w:line="280" w:lineRule="exact"/>
              <w:jc w:val="center"/>
              <w:textAlignment w:val="center"/>
            </w:pPr>
          </w:p>
        </w:tc>
      </w:tr>
      <w:tr w:rsidR="00606029" w14:paraId="69C0D824" w14:textId="77777777">
        <w:trPr>
          <w:trHeight w:val="340"/>
          <w:jc w:val="center"/>
        </w:trPr>
        <w:tc>
          <w:tcPr>
            <w:tcW w:w="419" w:type="dxa"/>
            <w:vMerge/>
            <w:tcBorders>
              <w:tl2br w:val="nil"/>
              <w:tr2bl w:val="nil"/>
            </w:tcBorders>
            <w:vAlign w:val="center"/>
          </w:tcPr>
          <w:p w14:paraId="697F0A92" w14:textId="77777777" w:rsidR="00606029" w:rsidRDefault="00606029">
            <w:pPr>
              <w:adjustRightInd w:val="0"/>
              <w:snapToGrid w:val="0"/>
              <w:spacing w:line="280" w:lineRule="exact"/>
              <w:jc w:val="center"/>
              <w:textAlignment w:val="center"/>
            </w:pPr>
          </w:p>
        </w:tc>
        <w:tc>
          <w:tcPr>
            <w:tcW w:w="1675" w:type="dxa"/>
            <w:tcBorders>
              <w:tl2br w:val="nil"/>
              <w:tr2bl w:val="nil"/>
            </w:tcBorders>
            <w:vAlign w:val="center"/>
          </w:tcPr>
          <w:p w14:paraId="49C57BF9" w14:textId="77777777" w:rsidR="00606029" w:rsidRDefault="00EA5B92">
            <w:pPr>
              <w:adjustRightInd w:val="0"/>
              <w:snapToGrid w:val="0"/>
              <w:spacing w:line="280" w:lineRule="exact"/>
              <w:jc w:val="center"/>
              <w:textAlignment w:val="center"/>
            </w:pPr>
            <w:r>
              <w:t>现状监测因子</w:t>
            </w:r>
          </w:p>
        </w:tc>
        <w:tc>
          <w:tcPr>
            <w:tcW w:w="6109" w:type="dxa"/>
            <w:gridSpan w:val="5"/>
            <w:tcBorders>
              <w:tl2br w:val="nil"/>
              <w:tr2bl w:val="nil"/>
            </w:tcBorders>
            <w:vAlign w:val="center"/>
          </w:tcPr>
          <w:p w14:paraId="3831DFBE" w14:textId="351C851F" w:rsidR="00606029" w:rsidRDefault="00EA5B92">
            <w:pPr>
              <w:adjustRightInd w:val="0"/>
              <w:snapToGrid w:val="0"/>
              <w:spacing w:line="280" w:lineRule="exact"/>
              <w:jc w:val="center"/>
              <w:textAlignment w:val="center"/>
            </w:pPr>
            <w:r>
              <w:t>铬、锌、铍、</w:t>
            </w:r>
            <w:r>
              <w:t>pH</w:t>
            </w:r>
            <w:r>
              <w:t>、砷、镉、六价铬、铜、铅、汞、镍、钡、硒、锑、钴、锰、四氯化碳、氯仿、氯甲烷、</w:t>
            </w:r>
            <w:r>
              <w:t>1,1-</w:t>
            </w:r>
            <w:r>
              <w:t>二氯乙烷、</w:t>
            </w:r>
            <w:r>
              <w:t>1,2-</w:t>
            </w:r>
            <w:r>
              <w:t>二氯乙烷、</w:t>
            </w:r>
            <w:r>
              <w:t>1,1-</w:t>
            </w:r>
            <w:r>
              <w:t>二氯乙烯、顺</w:t>
            </w:r>
            <w:r>
              <w:t>-1,2-</w:t>
            </w:r>
            <w:r>
              <w:t>二氯乙烯、反</w:t>
            </w:r>
            <w:r>
              <w:t>-1,2-</w:t>
            </w:r>
            <w:r>
              <w:t>二氯乙烯、二氯甲烷、</w:t>
            </w:r>
            <w:r>
              <w:t>1,2-</w:t>
            </w:r>
            <w:r>
              <w:t>二氯丙烷、</w:t>
            </w:r>
            <w:r>
              <w:t>1,1,1,2-</w:t>
            </w:r>
            <w:r>
              <w:t>四氯乙烷、</w:t>
            </w:r>
            <w:r>
              <w:t>1,1,2,2-</w:t>
            </w:r>
            <w:r>
              <w:t>四氯乙烷、四氯乙烯、</w:t>
            </w:r>
            <w:r>
              <w:t>1,1,1-</w:t>
            </w:r>
            <w:r>
              <w:t>三氯乙烷、</w:t>
            </w:r>
            <w:r>
              <w:t>1,1,2-</w:t>
            </w:r>
            <w:r>
              <w:t>三氯乙烷、三氯乙烯、</w:t>
            </w:r>
            <w:r>
              <w:t>1,2,3-</w:t>
            </w:r>
            <w:r>
              <w:t>三氯丙烷、氯乙烯、苯、氯苯、</w:t>
            </w:r>
            <w:r>
              <w:t>1,2-</w:t>
            </w:r>
            <w:r>
              <w:t>二氯苯、</w:t>
            </w:r>
            <w:r>
              <w:t>1,4-</w:t>
            </w:r>
            <w:r>
              <w:t>二氯苯、乙苯、苯乙烯、甲苯、间二甲苯</w:t>
            </w:r>
            <w:r>
              <w:t>+</w:t>
            </w:r>
            <w:r>
              <w:t>对二甲苯、邻二甲苯、硝基苯、苯胺、</w:t>
            </w:r>
            <w:r>
              <w:t>2-</w:t>
            </w:r>
            <w:r>
              <w:t>氯酚、苯并</w:t>
            </w:r>
            <w:r>
              <w:t>[a]</w:t>
            </w:r>
            <w:r>
              <w:t>蒽、苯并</w:t>
            </w:r>
            <w:r>
              <w:t>[a]</w:t>
            </w:r>
            <w:r>
              <w:t>芘、苯并荧</w:t>
            </w:r>
            <w:r>
              <w:t>[b]</w:t>
            </w:r>
            <w:r>
              <w:t>蒽、苯并荧</w:t>
            </w:r>
            <w:r>
              <w:t>[k]</w:t>
            </w:r>
            <w:r>
              <w:t>蒽、䓛、二苯并</w:t>
            </w:r>
            <w:r>
              <w:t>[a,h]</w:t>
            </w:r>
            <w:r>
              <w:t>蒽、茚并</w:t>
            </w:r>
            <w:r>
              <w:t>[1,2,3-cd]</w:t>
            </w:r>
            <w:r>
              <w:t>芘、萘</w:t>
            </w:r>
          </w:p>
        </w:tc>
        <w:tc>
          <w:tcPr>
            <w:tcW w:w="1068" w:type="dxa"/>
            <w:tcBorders>
              <w:tl2br w:val="nil"/>
              <w:tr2bl w:val="nil"/>
            </w:tcBorders>
            <w:vAlign w:val="center"/>
          </w:tcPr>
          <w:p w14:paraId="6C613F28" w14:textId="77777777" w:rsidR="00606029" w:rsidRDefault="00606029">
            <w:pPr>
              <w:adjustRightInd w:val="0"/>
              <w:snapToGrid w:val="0"/>
              <w:spacing w:line="280" w:lineRule="exact"/>
              <w:jc w:val="center"/>
              <w:textAlignment w:val="center"/>
            </w:pPr>
          </w:p>
        </w:tc>
      </w:tr>
      <w:tr w:rsidR="00606029" w14:paraId="67FA6365" w14:textId="77777777">
        <w:trPr>
          <w:trHeight w:val="340"/>
          <w:jc w:val="center"/>
        </w:trPr>
        <w:tc>
          <w:tcPr>
            <w:tcW w:w="419" w:type="dxa"/>
            <w:vMerge w:val="restart"/>
            <w:tcBorders>
              <w:tl2br w:val="nil"/>
              <w:tr2bl w:val="nil"/>
            </w:tcBorders>
            <w:vAlign w:val="center"/>
          </w:tcPr>
          <w:p w14:paraId="2630CB99" w14:textId="77777777" w:rsidR="00606029" w:rsidRDefault="00EA5B92">
            <w:pPr>
              <w:adjustRightInd w:val="0"/>
              <w:snapToGrid w:val="0"/>
              <w:spacing w:line="280" w:lineRule="exact"/>
              <w:jc w:val="center"/>
              <w:textAlignment w:val="center"/>
            </w:pPr>
            <w:r>
              <w:t>现状评价</w:t>
            </w:r>
          </w:p>
        </w:tc>
        <w:tc>
          <w:tcPr>
            <w:tcW w:w="1675" w:type="dxa"/>
            <w:tcBorders>
              <w:tl2br w:val="nil"/>
              <w:tr2bl w:val="nil"/>
            </w:tcBorders>
            <w:vAlign w:val="center"/>
          </w:tcPr>
          <w:p w14:paraId="38FF835A" w14:textId="77777777" w:rsidR="00606029" w:rsidRDefault="00EA5B92">
            <w:pPr>
              <w:adjustRightInd w:val="0"/>
              <w:snapToGrid w:val="0"/>
              <w:spacing w:line="280" w:lineRule="exact"/>
              <w:jc w:val="center"/>
              <w:textAlignment w:val="center"/>
            </w:pPr>
            <w:r>
              <w:t>评价因子</w:t>
            </w:r>
          </w:p>
        </w:tc>
        <w:tc>
          <w:tcPr>
            <w:tcW w:w="6109" w:type="dxa"/>
            <w:gridSpan w:val="5"/>
            <w:tcBorders>
              <w:tl2br w:val="nil"/>
              <w:tr2bl w:val="nil"/>
            </w:tcBorders>
            <w:vAlign w:val="center"/>
          </w:tcPr>
          <w:p w14:paraId="3D5ED436" w14:textId="222BD460" w:rsidR="00606029" w:rsidRDefault="00EA5B92">
            <w:pPr>
              <w:adjustRightInd w:val="0"/>
              <w:snapToGrid w:val="0"/>
              <w:spacing w:line="280" w:lineRule="exact"/>
              <w:jc w:val="center"/>
              <w:textAlignment w:val="center"/>
            </w:pPr>
            <w:r>
              <w:t>铬、锌、铍、</w:t>
            </w:r>
            <w:r>
              <w:t>pH</w:t>
            </w:r>
            <w:r>
              <w:t>、砷、镉、六价铬、铜、铅、汞、镍、钡、硒、锑、钴、锰、四氯化碳、氯仿、氯甲烷、</w:t>
            </w:r>
            <w:r>
              <w:t>1,1-</w:t>
            </w:r>
            <w:r>
              <w:t>二氯乙烷、</w:t>
            </w:r>
            <w:r>
              <w:t>1,2-</w:t>
            </w:r>
            <w:r>
              <w:t>二氯乙烷、</w:t>
            </w:r>
            <w:r>
              <w:t>1,1-</w:t>
            </w:r>
            <w:r>
              <w:t>二氯乙烯、顺</w:t>
            </w:r>
            <w:r>
              <w:t>-1,2-</w:t>
            </w:r>
            <w:r>
              <w:t>二氯乙烯、反</w:t>
            </w:r>
            <w:r>
              <w:t>-1,2-</w:t>
            </w:r>
            <w:r>
              <w:t>二氯乙烯、二氯甲烷、</w:t>
            </w:r>
            <w:r>
              <w:t>1,2-</w:t>
            </w:r>
            <w:r>
              <w:t>二氯丙烷、</w:t>
            </w:r>
            <w:r>
              <w:t>1,1,1,2-</w:t>
            </w:r>
            <w:r>
              <w:t>四氯乙烷、</w:t>
            </w:r>
            <w:r>
              <w:t>1,1,2,2-</w:t>
            </w:r>
            <w:r>
              <w:t>四氯乙烷、四氯乙烯、</w:t>
            </w:r>
            <w:r>
              <w:t>1,1,1-</w:t>
            </w:r>
            <w:r>
              <w:t>三氯乙烷、</w:t>
            </w:r>
            <w:r>
              <w:t>1,1,2-</w:t>
            </w:r>
            <w:r>
              <w:t>三氯乙烷、三氯乙烯、</w:t>
            </w:r>
            <w:r>
              <w:t>1,2,3-</w:t>
            </w:r>
            <w:r>
              <w:t>三氯丙烷、氯乙烯、苯、氯苯、</w:t>
            </w:r>
            <w:r>
              <w:t>1,2-</w:t>
            </w:r>
            <w:r>
              <w:t>二氯苯、</w:t>
            </w:r>
            <w:r>
              <w:t>1,4-</w:t>
            </w:r>
            <w:r>
              <w:t>二氯苯、</w:t>
            </w:r>
            <w:r>
              <w:lastRenderedPageBreak/>
              <w:t>乙苯、苯乙烯、甲苯、间二甲苯</w:t>
            </w:r>
            <w:r>
              <w:t>+</w:t>
            </w:r>
            <w:r>
              <w:t>对二甲苯、邻二甲苯、硝基苯、苯胺、</w:t>
            </w:r>
            <w:r>
              <w:t>2-</w:t>
            </w:r>
            <w:r>
              <w:t>氯酚、苯并</w:t>
            </w:r>
            <w:r>
              <w:t>[a]</w:t>
            </w:r>
            <w:r>
              <w:t>蒽、苯并</w:t>
            </w:r>
            <w:r>
              <w:t>[a]</w:t>
            </w:r>
            <w:r>
              <w:t>芘、苯并荧</w:t>
            </w:r>
            <w:r>
              <w:t>[b]</w:t>
            </w:r>
            <w:r>
              <w:t>蒽、苯并荧</w:t>
            </w:r>
            <w:r>
              <w:t>[k]</w:t>
            </w:r>
            <w:r>
              <w:t>蒽、䓛、二苯并</w:t>
            </w:r>
            <w:r>
              <w:t>[a,h]</w:t>
            </w:r>
            <w:r>
              <w:t>蒽、茚并</w:t>
            </w:r>
            <w:r>
              <w:t>[1,2,3-cd]</w:t>
            </w:r>
            <w:r>
              <w:t>芘、萘</w:t>
            </w:r>
          </w:p>
        </w:tc>
        <w:tc>
          <w:tcPr>
            <w:tcW w:w="1068" w:type="dxa"/>
            <w:tcBorders>
              <w:tl2br w:val="nil"/>
              <w:tr2bl w:val="nil"/>
            </w:tcBorders>
            <w:vAlign w:val="center"/>
          </w:tcPr>
          <w:p w14:paraId="79FFDE26" w14:textId="77777777" w:rsidR="00606029" w:rsidRDefault="00606029">
            <w:pPr>
              <w:adjustRightInd w:val="0"/>
              <w:snapToGrid w:val="0"/>
              <w:spacing w:line="280" w:lineRule="exact"/>
              <w:jc w:val="center"/>
              <w:textAlignment w:val="center"/>
            </w:pPr>
          </w:p>
        </w:tc>
      </w:tr>
      <w:tr w:rsidR="00606029" w14:paraId="4F7857F3" w14:textId="77777777">
        <w:trPr>
          <w:trHeight w:val="340"/>
          <w:jc w:val="center"/>
        </w:trPr>
        <w:tc>
          <w:tcPr>
            <w:tcW w:w="419" w:type="dxa"/>
            <w:vMerge/>
            <w:tcBorders>
              <w:tl2br w:val="nil"/>
              <w:tr2bl w:val="nil"/>
            </w:tcBorders>
            <w:vAlign w:val="center"/>
          </w:tcPr>
          <w:p w14:paraId="0BC402D2" w14:textId="77777777" w:rsidR="00606029" w:rsidRDefault="00606029">
            <w:pPr>
              <w:adjustRightInd w:val="0"/>
              <w:snapToGrid w:val="0"/>
              <w:spacing w:line="280" w:lineRule="exact"/>
              <w:jc w:val="center"/>
              <w:textAlignment w:val="center"/>
            </w:pPr>
          </w:p>
        </w:tc>
        <w:tc>
          <w:tcPr>
            <w:tcW w:w="1675" w:type="dxa"/>
            <w:tcBorders>
              <w:tl2br w:val="nil"/>
              <w:tr2bl w:val="nil"/>
            </w:tcBorders>
            <w:vAlign w:val="center"/>
          </w:tcPr>
          <w:p w14:paraId="79ACDFB1" w14:textId="77777777" w:rsidR="00606029" w:rsidRDefault="00EA5B92">
            <w:pPr>
              <w:adjustRightInd w:val="0"/>
              <w:snapToGrid w:val="0"/>
              <w:spacing w:line="280" w:lineRule="exact"/>
              <w:jc w:val="center"/>
              <w:textAlignment w:val="center"/>
            </w:pPr>
            <w:r>
              <w:t>评价标准</w:t>
            </w:r>
          </w:p>
        </w:tc>
        <w:tc>
          <w:tcPr>
            <w:tcW w:w="6109" w:type="dxa"/>
            <w:gridSpan w:val="5"/>
            <w:tcBorders>
              <w:tl2br w:val="nil"/>
              <w:tr2bl w:val="nil"/>
            </w:tcBorders>
            <w:vAlign w:val="center"/>
          </w:tcPr>
          <w:p w14:paraId="780E8C59" w14:textId="77777777" w:rsidR="00606029" w:rsidRDefault="00EA5B92">
            <w:pPr>
              <w:adjustRightInd w:val="0"/>
              <w:snapToGrid w:val="0"/>
              <w:spacing w:line="280" w:lineRule="exact"/>
              <w:jc w:val="center"/>
              <w:textAlignment w:val="center"/>
            </w:pPr>
            <w:r>
              <w:t>GB 15618R</w:t>
            </w:r>
            <w:r>
              <w:t>；</w:t>
            </w:r>
            <w:r>
              <w:t>GB 36600☑</w:t>
            </w:r>
            <w:r>
              <w:t>；表</w:t>
            </w:r>
            <w:r>
              <w:t xml:space="preserve"> D.1□</w:t>
            </w:r>
            <w:r>
              <w:t>；表</w:t>
            </w:r>
            <w:r>
              <w:t xml:space="preserve"> D.2□</w:t>
            </w:r>
            <w:r>
              <w:t>；其他</w:t>
            </w:r>
            <w:r>
              <w:tab/>
            </w:r>
            <w:r>
              <w:t>）（</w:t>
            </w:r>
          </w:p>
        </w:tc>
        <w:tc>
          <w:tcPr>
            <w:tcW w:w="1068" w:type="dxa"/>
            <w:tcBorders>
              <w:tl2br w:val="nil"/>
              <w:tr2bl w:val="nil"/>
            </w:tcBorders>
            <w:vAlign w:val="center"/>
          </w:tcPr>
          <w:p w14:paraId="612B26B2" w14:textId="77777777" w:rsidR="00606029" w:rsidRDefault="00606029">
            <w:pPr>
              <w:adjustRightInd w:val="0"/>
              <w:snapToGrid w:val="0"/>
              <w:spacing w:line="280" w:lineRule="exact"/>
              <w:jc w:val="center"/>
              <w:textAlignment w:val="center"/>
            </w:pPr>
          </w:p>
        </w:tc>
      </w:tr>
      <w:tr w:rsidR="00606029" w14:paraId="00E4B1DF" w14:textId="77777777">
        <w:trPr>
          <w:trHeight w:val="340"/>
          <w:jc w:val="center"/>
        </w:trPr>
        <w:tc>
          <w:tcPr>
            <w:tcW w:w="419" w:type="dxa"/>
            <w:vMerge/>
            <w:tcBorders>
              <w:tl2br w:val="nil"/>
              <w:tr2bl w:val="nil"/>
            </w:tcBorders>
            <w:vAlign w:val="center"/>
          </w:tcPr>
          <w:p w14:paraId="56D2E496" w14:textId="77777777" w:rsidR="00606029" w:rsidRDefault="00606029">
            <w:pPr>
              <w:adjustRightInd w:val="0"/>
              <w:snapToGrid w:val="0"/>
              <w:spacing w:line="280" w:lineRule="exact"/>
              <w:jc w:val="center"/>
              <w:textAlignment w:val="center"/>
            </w:pPr>
          </w:p>
        </w:tc>
        <w:tc>
          <w:tcPr>
            <w:tcW w:w="1675" w:type="dxa"/>
            <w:tcBorders>
              <w:tl2br w:val="nil"/>
              <w:tr2bl w:val="nil"/>
            </w:tcBorders>
            <w:vAlign w:val="center"/>
          </w:tcPr>
          <w:p w14:paraId="73982A20" w14:textId="77777777" w:rsidR="00606029" w:rsidRDefault="00EA5B92">
            <w:pPr>
              <w:adjustRightInd w:val="0"/>
              <w:snapToGrid w:val="0"/>
              <w:spacing w:line="280" w:lineRule="exact"/>
              <w:jc w:val="center"/>
              <w:textAlignment w:val="center"/>
            </w:pPr>
            <w:r>
              <w:t>现状评价结论</w:t>
            </w:r>
          </w:p>
        </w:tc>
        <w:tc>
          <w:tcPr>
            <w:tcW w:w="6109" w:type="dxa"/>
            <w:gridSpan w:val="5"/>
            <w:tcBorders>
              <w:tl2br w:val="nil"/>
              <w:tr2bl w:val="nil"/>
            </w:tcBorders>
            <w:vAlign w:val="center"/>
          </w:tcPr>
          <w:p w14:paraId="2F951373" w14:textId="77777777" w:rsidR="00606029" w:rsidRDefault="00EA5B92">
            <w:pPr>
              <w:adjustRightInd w:val="0"/>
              <w:snapToGrid w:val="0"/>
              <w:spacing w:line="280" w:lineRule="exact"/>
              <w:jc w:val="center"/>
              <w:textAlignment w:val="center"/>
            </w:pPr>
            <w:r>
              <w:t>达标</w:t>
            </w:r>
          </w:p>
        </w:tc>
        <w:tc>
          <w:tcPr>
            <w:tcW w:w="1068" w:type="dxa"/>
            <w:tcBorders>
              <w:tl2br w:val="nil"/>
              <w:tr2bl w:val="nil"/>
            </w:tcBorders>
            <w:vAlign w:val="center"/>
          </w:tcPr>
          <w:p w14:paraId="0517E624" w14:textId="77777777" w:rsidR="00606029" w:rsidRDefault="00606029">
            <w:pPr>
              <w:adjustRightInd w:val="0"/>
              <w:snapToGrid w:val="0"/>
              <w:spacing w:line="280" w:lineRule="exact"/>
              <w:jc w:val="center"/>
              <w:textAlignment w:val="center"/>
            </w:pPr>
          </w:p>
        </w:tc>
      </w:tr>
      <w:tr w:rsidR="00606029" w14:paraId="7A452E9B" w14:textId="77777777">
        <w:trPr>
          <w:trHeight w:val="340"/>
          <w:jc w:val="center"/>
        </w:trPr>
        <w:tc>
          <w:tcPr>
            <w:tcW w:w="419" w:type="dxa"/>
            <w:vMerge w:val="restart"/>
            <w:tcBorders>
              <w:tl2br w:val="nil"/>
              <w:tr2bl w:val="nil"/>
            </w:tcBorders>
            <w:vAlign w:val="center"/>
          </w:tcPr>
          <w:p w14:paraId="608873BA" w14:textId="77777777" w:rsidR="00606029" w:rsidRDefault="00EA5B92">
            <w:pPr>
              <w:adjustRightInd w:val="0"/>
              <w:snapToGrid w:val="0"/>
              <w:spacing w:line="280" w:lineRule="exact"/>
              <w:jc w:val="center"/>
              <w:textAlignment w:val="center"/>
            </w:pPr>
            <w:r>
              <w:t>影响预测</w:t>
            </w:r>
          </w:p>
        </w:tc>
        <w:tc>
          <w:tcPr>
            <w:tcW w:w="1675" w:type="dxa"/>
            <w:tcBorders>
              <w:tl2br w:val="nil"/>
              <w:tr2bl w:val="nil"/>
            </w:tcBorders>
            <w:vAlign w:val="center"/>
          </w:tcPr>
          <w:p w14:paraId="6DCC9DDB" w14:textId="77777777" w:rsidR="00606029" w:rsidRDefault="00EA5B92">
            <w:pPr>
              <w:adjustRightInd w:val="0"/>
              <w:snapToGrid w:val="0"/>
              <w:spacing w:line="280" w:lineRule="exact"/>
              <w:jc w:val="center"/>
              <w:textAlignment w:val="center"/>
            </w:pPr>
            <w:r>
              <w:t>预测因子</w:t>
            </w:r>
          </w:p>
        </w:tc>
        <w:tc>
          <w:tcPr>
            <w:tcW w:w="6109" w:type="dxa"/>
            <w:gridSpan w:val="5"/>
            <w:tcBorders>
              <w:tl2br w:val="nil"/>
              <w:tr2bl w:val="nil"/>
            </w:tcBorders>
            <w:vAlign w:val="center"/>
          </w:tcPr>
          <w:p w14:paraId="5DD0C674" w14:textId="55F1B70E" w:rsidR="00606029" w:rsidRDefault="003E7448">
            <w:pPr>
              <w:adjustRightInd w:val="0"/>
              <w:snapToGrid w:val="0"/>
              <w:spacing w:line="280" w:lineRule="exact"/>
              <w:jc w:val="center"/>
              <w:textAlignment w:val="center"/>
            </w:pPr>
            <w:r>
              <w:rPr>
                <w:rFonts w:hint="eastAsia"/>
              </w:rPr>
              <w:t>铅</w:t>
            </w:r>
          </w:p>
        </w:tc>
        <w:tc>
          <w:tcPr>
            <w:tcW w:w="1068" w:type="dxa"/>
            <w:tcBorders>
              <w:tl2br w:val="nil"/>
              <w:tr2bl w:val="nil"/>
            </w:tcBorders>
            <w:vAlign w:val="center"/>
          </w:tcPr>
          <w:p w14:paraId="2D5A3F8F" w14:textId="77777777" w:rsidR="00606029" w:rsidRDefault="00606029">
            <w:pPr>
              <w:adjustRightInd w:val="0"/>
              <w:snapToGrid w:val="0"/>
              <w:spacing w:line="280" w:lineRule="exact"/>
              <w:jc w:val="center"/>
              <w:textAlignment w:val="center"/>
            </w:pPr>
          </w:p>
        </w:tc>
      </w:tr>
      <w:tr w:rsidR="00606029" w14:paraId="29C88E72" w14:textId="77777777">
        <w:trPr>
          <w:trHeight w:val="340"/>
          <w:jc w:val="center"/>
        </w:trPr>
        <w:tc>
          <w:tcPr>
            <w:tcW w:w="419" w:type="dxa"/>
            <w:vMerge/>
            <w:tcBorders>
              <w:tl2br w:val="nil"/>
              <w:tr2bl w:val="nil"/>
            </w:tcBorders>
            <w:vAlign w:val="center"/>
          </w:tcPr>
          <w:p w14:paraId="4B19F275" w14:textId="77777777" w:rsidR="00606029" w:rsidRDefault="00606029">
            <w:pPr>
              <w:adjustRightInd w:val="0"/>
              <w:snapToGrid w:val="0"/>
              <w:spacing w:line="280" w:lineRule="exact"/>
              <w:jc w:val="center"/>
              <w:textAlignment w:val="center"/>
            </w:pPr>
          </w:p>
        </w:tc>
        <w:tc>
          <w:tcPr>
            <w:tcW w:w="1675" w:type="dxa"/>
            <w:tcBorders>
              <w:tl2br w:val="nil"/>
              <w:tr2bl w:val="nil"/>
            </w:tcBorders>
            <w:vAlign w:val="center"/>
          </w:tcPr>
          <w:p w14:paraId="3D775FFA" w14:textId="77777777" w:rsidR="00606029" w:rsidRDefault="00EA5B92">
            <w:pPr>
              <w:adjustRightInd w:val="0"/>
              <w:snapToGrid w:val="0"/>
              <w:spacing w:line="280" w:lineRule="exact"/>
              <w:jc w:val="center"/>
              <w:textAlignment w:val="center"/>
            </w:pPr>
            <w:r>
              <w:t>预测方法</w:t>
            </w:r>
          </w:p>
        </w:tc>
        <w:tc>
          <w:tcPr>
            <w:tcW w:w="6109" w:type="dxa"/>
            <w:gridSpan w:val="5"/>
            <w:tcBorders>
              <w:tl2br w:val="nil"/>
              <w:tr2bl w:val="nil"/>
            </w:tcBorders>
            <w:vAlign w:val="center"/>
          </w:tcPr>
          <w:p w14:paraId="27A9BBC2" w14:textId="77777777" w:rsidR="00606029" w:rsidRDefault="00EA5B92">
            <w:pPr>
              <w:adjustRightInd w:val="0"/>
              <w:snapToGrid w:val="0"/>
              <w:spacing w:line="280" w:lineRule="exact"/>
              <w:jc w:val="center"/>
              <w:textAlignment w:val="center"/>
            </w:pPr>
            <w:r>
              <w:t>附录</w:t>
            </w:r>
            <w:r>
              <w:t xml:space="preserve"> E☑</w:t>
            </w:r>
            <w:r>
              <w:t>；附录</w:t>
            </w:r>
            <w:r>
              <w:t xml:space="preserve"> F□</w:t>
            </w:r>
            <w:r>
              <w:t>；其他（</w:t>
            </w:r>
            <w:r>
              <w:tab/>
            </w:r>
            <w:r>
              <w:t>）</w:t>
            </w:r>
          </w:p>
        </w:tc>
        <w:tc>
          <w:tcPr>
            <w:tcW w:w="1068" w:type="dxa"/>
            <w:tcBorders>
              <w:tl2br w:val="nil"/>
              <w:tr2bl w:val="nil"/>
            </w:tcBorders>
            <w:vAlign w:val="center"/>
          </w:tcPr>
          <w:p w14:paraId="3594D553" w14:textId="77777777" w:rsidR="00606029" w:rsidRDefault="00606029">
            <w:pPr>
              <w:adjustRightInd w:val="0"/>
              <w:snapToGrid w:val="0"/>
              <w:spacing w:line="280" w:lineRule="exact"/>
              <w:jc w:val="center"/>
              <w:textAlignment w:val="center"/>
            </w:pPr>
          </w:p>
        </w:tc>
      </w:tr>
      <w:tr w:rsidR="00606029" w14:paraId="602736CC" w14:textId="77777777">
        <w:trPr>
          <w:trHeight w:val="340"/>
          <w:jc w:val="center"/>
        </w:trPr>
        <w:tc>
          <w:tcPr>
            <w:tcW w:w="419" w:type="dxa"/>
            <w:vMerge/>
            <w:tcBorders>
              <w:tl2br w:val="nil"/>
              <w:tr2bl w:val="nil"/>
            </w:tcBorders>
            <w:vAlign w:val="center"/>
          </w:tcPr>
          <w:p w14:paraId="0E0D7539" w14:textId="77777777" w:rsidR="00606029" w:rsidRDefault="00606029">
            <w:pPr>
              <w:adjustRightInd w:val="0"/>
              <w:snapToGrid w:val="0"/>
              <w:spacing w:line="280" w:lineRule="exact"/>
              <w:jc w:val="center"/>
              <w:textAlignment w:val="center"/>
            </w:pPr>
          </w:p>
        </w:tc>
        <w:tc>
          <w:tcPr>
            <w:tcW w:w="1675" w:type="dxa"/>
            <w:tcBorders>
              <w:tl2br w:val="nil"/>
              <w:tr2bl w:val="nil"/>
            </w:tcBorders>
            <w:vAlign w:val="center"/>
          </w:tcPr>
          <w:p w14:paraId="3556BBF6" w14:textId="77777777" w:rsidR="00606029" w:rsidRDefault="00EA5B92">
            <w:pPr>
              <w:adjustRightInd w:val="0"/>
              <w:snapToGrid w:val="0"/>
              <w:spacing w:line="280" w:lineRule="exact"/>
              <w:jc w:val="center"/>
              <w:textAlignment w:val="center"/>
            </w:pPr>
            <w:r>
              <w:t>预测分析内容</w:t>
            </w:r>
          </w:p>
        </w:tc>
        <w:tc>
          <w:tcPr>
            <w:tcW w:w="6109" w:type="dxa"/>
            <w:gridSpan w:val="5"/>
            <w:tcBorders>
              <w:tl2br w:val="nil"/>
              <w:tr2bl w:val="nil"/>
            </w:tcBorders>
            <w:vAlign w:val="center"/>
          </w:tcPr>
          <w:p w14:paraId="5B75A54E" w14:textId="77777777" w:rsidR="00606029" w:rsidRDefault="00EA5B92">
            <w:pPr>
              <w:adjustRightInd w:val="0"/>
              <w:snapToGrid w:val="0"/>
              <w:spacing w:line="280" w:lineRule="exact"/>
              <w:jc w:val="center"/>
              <w:textAlignment w:val="center"/>
            </w:pPr>
            <w:r>
              <w:t>影响范围（</w:t>
            </w:r>
            <w:r>
              <w:tab/>
              <w:t>√</w:t>
            </w:r>
            <w:r>
              <w:t>）影响程度（</w:t>
            </w:r>
            <w:r>
              <w:t xml:space="preserve"> </w:t>
            </w:r>
            <w:r>
              <w:t>）</w:t>
            </w:r>
          </w:p>
        </w:tc>
        <w:tc>
          <w:tcPr>
            <w:tcW w:w="1068" w:type="dxa"/>
            <w:tcBorders>
              <w:tl2br w:val="nil"/>
              <w:tr2bl w:val="nil"/>
            </w:tcBorders>
            <w:vAlign w:val="center"/>
          </w:tcPr>
          <w:p w14:paraId="4B53927A" w14:textId="77777777" w:rsidR="00606029" w:rsidRDefault="00606029">
            <w:pPr>
              <w:adjustRightInd w:val="0"/>
              <w:snapToGrid w:val="0"/>
              <w:spacing w:line="280" w:lineRule="exact"/>
              <w:jc w:val="center"/>
              <w:textAlignment w:val="center"/>
            </w:pPr>
          </w:p>
        </w:tc>
      </w:tr>
      <w:tr w:rsidR="00606029" w14:paraId="3BA50FC0" w14:textId="77777777">
        <w:trPr>
          <w:trHeight w:val="340"/>
          <w:jc w:val="center"/>
        </w:trPr>
        <w:tc>
          <w:tcPr>
            <w:tcW w:w="419" w:type="dxa"/>
            <w:vMerge/>
            <w:tcBorders>
              <w:tl2br w:val="nil"/>
              <w:tr2bl w:val="nil"/>
            </w:tcBorders>
            <w:vAlign w:val="center"/>
          </w:tcPr>
          <w:p w14:paraId="5B6E2033" w14:textId="77777777" w:rsidR="00606029" w:rsidRDefault="00606029">
            <w:pPr>
              <w:adjustRightInd w:val="0"/>
              <w:snapToGrid w:val="0"/>
              <w:spacing w:line="280" w:lineRule="exact"/>
              <w:jc w:val="center"/>
              <w:textAlignment w:val="center"/>
            </w:pPr>
          </w:p>
        </w:tc>
        <w:tc>
          <w:tcPr>
            <w:tcW w:w="1675" w:type="dxa"/>
            <w:tcBorders>
              <w:tl2br w:val="nil"/>
              <w:tr2bl w:val="nil"/>
            </w:tcBorders>
            <w:vAlign w:val="center"/>
          </w:tcPr>
          <w:p w14:paraId="2AD63A8B" w14:textId="77777777" w:rsidR="00606029" w:rsidRDefault="00EA5B92">
            <w:pPr>
              <w:adjustRightInd w:val="0"/>
              <w:snapToGrid w:val="0"/>
              <w:spacing w:line="280" w:lineRule="exact"/>
              <w:jc w:val="center"/>
              <w:textAlignment w:val="center"/>
            </w:pPr>
            <w:r>
              <w:t>预测结论</w:t>
            </w:r>
          </w:p>
        </w:tc>
        <w:tc>
          <w:tcPr>
            <w:tcW w:w="6109" w:type="dxa"/>
            <w:gridSpan w:val="5"/>
            <w:tcBorders>
              <w:tl2br w:val="nil"/>
              <w:tr2bl w:val="nil"/>
            </w:tcBorders>
            <w:vAlign w:val="center"/>
          </w:tcPr>
          <w:p w14:paraId="77909D31" w14:textId="119AAD28" w:rsidR="00606029" w:rsidRDefault="00EA5B92">
            <w:pPr>
              <w:adjustRightInd w:val="0"/>
              <w:snapToGrid w:val="0"/>
              <w:spacing w:line="280" w:lineRule="exact"/>
              <w:jc w:val="center"/>
              <w:textAlignment w:val="center"/>
            </w:pPr>
            <w:r>
              <w:t>达标结论</w:t>
            </w:r>
            <w:r w:rsidR="006A52CC">
              <w:t>：</w:t>
            </w:r>
            <w:r>
              <w:t>a</w:t>
            </w:r>
            <w:r>
              <w:t>）</w:t>
            </w:r>
            <w:r>
              <w:t>☑</w:t>
            </w:r>
            <w:r>
              <w:t>；</w:t>
            </w:r>
            <w:r>
              <w:t>b</w:t>
            </w:r>
            <w:r>
              <w:t>）</w:t>
            </w:r>
            <w:r>
              <w:t>☑</w:t>
            </w:r>
            <w:r>
              <w:t>；</w:t>
            </w:r>
            <w:r>
              <w:t>c</w:t>
            </w:r>
            <w:r>
              <w:t>）</w:t>
            </w:r>
            <w:r>
              <w:t>☑</w:t>
            </w:r>
            <w:r>
              <w:t></w:t>
            </w:r>
            <w:r>
              <w:t>不达标结论</w:t>
            </w:r>
            <w:r w:rsidR="006A52CC">
              <w:t>：</w:t>
            </w:r>
            <w:r>
              <w:t>a</w:t>
            </w:r>
            <w:r>
              <w:t>）</w:t>
            </w:r>
            <w:r>
              <w:t>□</w:t>
            </w:r>
            <w:r>
              <w:t>；</w:t>
            </w:r>
            <w:r>
              <w:t>b</w:t>
            </w:r>
            <w:r>
              <w:t>）</w:t>
            </w:r>
            <w:r>
              <w:t>□</w:t>
            </w:r>
          </w:p>
        </w:tc>
        <w:tc>
          <w:tcPr>
            <w:tcW w:w="1068" w:type="dxa"/>
            <w:tcBorders>
              <w:tl2br w:val="nil"/>
              <w:tr2bl w:val="nil"/>
            </w:tcBorders>
            <w:vAlign w:val="center"/>
          </w:tcPr>
          <w:p w14:paraId="01EB5192" w14:textId="77777777" w:rsidR="00606029" w:rsidRDefault="00606029">
            <w:pPr>
              <w:adjustRightInd w:val="0"/>
              <w:snapToGrid w:val="0"/>
              <w:spacing w:line="280" w:lineRule="exact"/>
              <w:jc w:val="center"/>
              <w:textAlignment w:val="center"/>
            </w:pPr>
          </w:p>
        </w:tc>
      </w:tr>
      <w:tr w:rsidR="00606029" w14:paraId="7E5D22AD" w14:textId="77777777">
        <w:trPr>
          <w:trHeight w:val="340"/>
          <w:jc w:val="center"/>
        </w:trPr>
        <w:tc>
          <w:tcPr>
            <w:tcW w:w="419" w:type="dxa"/>
            <w:vMerge w:val="restart"/>
            <w:tcBorders>
              <w:tl2br w:val="nil"/>
              <w:tr2bl w:val="nil"/>
            </w:tcBorders>
            <w:vAlign w:val="center"/>
          </w:tcPr>
          <w:p w14:paraId="465A1E0E" w14:textId="77777777" w:rsidR="00606029" w:rsidRDefault="00EA5B92">
            <w:pPr>
              <w:adjustRightInd w:val="0"/>
              <w:snapToGrid w:val="0"/>
              <w:spacing w:line="280" w:lineRule="exact"/>
              <w:jc w:val="center"/>
              <w:textAlignment w:val="center"/>
            </w:pPr>
            <w:r>
              <w:t>防治措施</w:t>
            </w:r>
          </w:p>
        </w:tc>
        <w:tc>
          <w:tcPr>
            <w:tcW w:w="1675" w:type="dxa"/>
            <w:tcBorders>
              <w:tl2br w:val="nil"/>
              <w:tr2bl w:val="nil"/>
            </w:tcBorders>
            <w:vAlign w:val="center"/>
          </w:tcPr>
          <w:p w14:paraId="0A3FDFBF" w14:textId="77777777" w:rsidR="00606029" w:rsidRDefault="00EA5B92">
            <w:pPr>
              <w:adjustRightInd w:val="0"/>
              <w:snapToGrid w:val="0"/>
              <w:spacing w:line="280" w:lineRule="exact"/>
              <w:jc w:val="center"/>
              <w:textAlignment w:val="center"/>
            </w:pPr>
            <w:r>
              <w:t>防控措施</w:t>
            </w:r>
          </w:p>
        </w:tc>
        <w:tc>
          <w:tcPr>
            <w:tcW w:w="6109" w:type="dxa"/>
            <w:gridSpan w:val="5"/>
            <w:tcBorders>
              <w:tl2br w:val="nil"/>
              <w:tr2bl w:val="nil"/>
            </w:tcBorders>
            <w:vAlign w:val="center"/>
          </w:tcPr>
          <w:p w14:paraId="4F776200" w14:textId="77777777" w:rsidR="00606029" w:rsidRDefault="00EA5B92">
            <w:pPr>
              <w:adjustRightInd w:val="0"/>
              <w:snapToGrid w:val="0"/>
              <w:spacing w:line="280" w:lineRule="exact"/>
              <w:jc w:val="center"/>
              <w:textAlignment w:val="center"/>
            </w:pPr>
            <w:r>
              <w:t>土壤环境质量现状保障</w:t>
            </w:r>
            <w:r>
              <w:t>□</w:t>
            </w:r>
            <w:r>
              <w:t>；源头控制</w:t>
            </w:r>
            <w:r>
              <w:t>☑</w:t>
            </w:r>
            <w:r>
              <w:t>；过程防控</w:t>
            </w:r>
            <w:r>
              <w:t>☑</w:t>
            </w:r>
            <w:r>
              <w:t>；其他（</w:t>
            </w:r>
            <w:r>
              <w:tab/>
            </w:r>
            <w:r>
              <w:t>）</w:t>
            </w:r>
          </w:p>
        </w:tc>
        <w:tc>
          <w:tcPr>
            <w:tcW w:w="1068" w:type="dxa"/>
            <w:tcBorders>
              <w:tl2br w:val="nil"/>
              <w:tr2bl w:val="nil"/>
            </w:tcBorders>
            <w:vAlign w:val="center"/>
          </w:tcPr>
          <w:p w14:paraId="31F77C02" w14:textId="77777777" w:rsidR="00606029" w:rsidRDefault="00606029">
            <w:pPr>
              <w:adjustRightInd w:val="0"/>
              <w:snapToGrid w:val="0"/>
              <w:spacing w:line="280" w:lineRule="exact"/>
              <w:jc w:val="center"/>
              <w:textAlignment w:val="center"/>
            </w:pPr>
          </w:p>
        </w:tc>
      </w:tr>
      <w:tr w:rsidR="00606029" w14:paraId="6381646A" w14:textId="77777777">
        <w:trPr>
          <w:trHeight w:val="340"/>
          <w:jc w:val="center"/>
        </w:trPr>
        <w:tc>
          <w:tcPr>
            <w:tcW w:w="419" w:type="dxa"/>
            <w:vMerge/>
            <w:tcBorders>
              <w:tl2br w:val="nil"/>
              <w:tr2bl w:val="nil"/>
            </w:tcBorders>
            <w:vAlign w:val="center"/>
          </w:tcPr>
          <w:p w14:paraId="560851C4" w14:textId="77777777" w:rsidR="00606029" w:rsidRDefault="00606029">
            <w:pPr>
              <w:adjustRightInd w:val="0"/>
              <w:snapToGrid w:val="0"/>
              <w:spacing w:line="280" w:lineRule="exact"/>
              <w:jc w:val="center"/>
              <w:textAlignment w:val="center"/>
            </w:pPr>
          </w:p>
        </w:tc>
        <w:tc>
          <w:tcPr>
            <w:tcW w:w="1675" w:type="dxa"/>
            <w:vMerge w:val="restart"/>
            <w:tcBorders>
              <w:tl2br w:val="nil"/>
              <w:tr2bl w:val="nil"/>
            </w:tcBorders>
            <w:vAlign w:val="center"/>
          </w:tcPr>
          <w:p w14:paraId="18359D0E" w14:textId="77777777" w:rsidR="00606029" w:rsidRDefault="00EA5B92">
            <w:pPr>
              <w:adjustRightInd w:val="0"/>
              <w:snapToGrid w:val="0"/>
              <w:spacing w:line="280" w:lineRule="exact"/>
              <w:jc w:val="center"/>
              <w:textAlignment w:val="center"/>
            </w:pPr>
            <w:r>
              <w:t>跟踪监测</w:t>
            </w:r>
          </w:p>
        </w:tc>
        <w:tc>
          <w:tcPr>
            <w:tcW w:w="2942" w:type="dxa"/>
            <w:gridSpan w:val="2"/>
            <w:tcBorders>
              <w:tl2br w:val="nil"/>
              <w:tr2bl w:val="nil"/>
            </w:tcBorders>
            <w:vAlign w:val="center"/>
          </w:tcPr>
          <w:p w14:paraId="5BD6D530" w14:textId="77777777" w:rsidR="00606029" w:rsidRDefault="00EA5B92">
            <w:pPr>
              <w:adjustRightInd w:val="0"/>
              <w:snapToGrid w:val="0"/>
              <w:spacing w:line="280" w:lineRule="exact"/>
              <w:jc w:val="center"/>
              <w:textAlignment w:val="center"/>
            </w:pPr>
            <w:r>
              <w:t>监测点数</w:t>
            </w:r>
          </w:p>
        </w:tc>
        <w:tc>
          <w:tcPr>
            <w:tcW w:w="1617" w:type="dxa"/>
            <w:tcBorders>
              <w:tl2br w:val="nil"/>
              <w:tr2bl w:val="nil"/>
            </w:tcBorders>
            <w:vAlign w:val="center"/>
          </w:tcPr>
          <w:p w14:paraId="5BBD67A1" w14:textId="77777777" w:rsidR="00606029" w:rsidRDefault="00EA5B92">
            <w:pPr>
              <w:adjustRightInd w:val="0"/>
              <w:snapToGrid w:val="0"/>
              <w:spacing w:line="280" w:lineRule="exact"/>
              <w:jc w:val="center"/>
              <w:textAlignment w:val="center"/>
            </w:pPr>
            <w:r>
              <w:t>监测指标</w:t>
            </w:r>
          </w:p>
        </w:tc>
        <w:tc>
          <w:tcPr>
            <w:tcW w:w="1550" w:type="dxa"/>
            <w:gridSpan w:val="2"/>
            <w:tcBorders>
              <w:tl2br w:val="nil"/>
              <w:tr2bl w:val="nil"/>
            </w:tcBorders>
            <w:vAlign w:val="center"/>
          </w:tcPr>
          <w:p w14:paraId="0C3D797D" w14:textId="77777777" w:rsidR="00606029" w:rsidRDefault="00EA5B92">
            <w:pPr>
              <w:adjustRightInd w:val="0"/>
              <w:snapToGrid w:val="0"/>
              <w:spacing w:line="280" w:lineRule="exact"/>
              <w:jc w:val="center"/>
              <w:textAlignment w:val="center"/>
            </w:pPr>
            <w:r>
              <w:t>监测频次</w:t>
            </w:r>
          </w:p>
        </w:tc>
        <w:tc>
          <w:tcPr>
            <w:tcW w:w="1068" w:type="dxa"/>
            <w:vMerge w:val="restart"/>
            <w:tcBorders>
              <w:tl2br w:val="nil"/>
              <w:tr2bl w:val="nil"/>
            </w:tcBorders>
            <w:vAlign w:val="center"/>
          </w:tcPr>
          <w:p w14:paraId="2D6A5666" w14:textId="77777777" w:rsidR="00606029" w:rsidRDefault="00EA5B92">
            <w:pPr>
              <w:adjustRightInd w:val="0"/>
              <w:snapToGrid w:val="0"/>
              <w:spacing w:line="280" w:lineRule="exact"/>
              <w:jc w:val="center"/>
              <w:textAlignment w:val="center"/>
            </w:pPr>
            <w:r>
              <w:t>依托第三方监测单位监测结果</w:t>
            </w:r>
          </w:p>
        </w:tc>
      </w:tr>
      <w:tr w:rsidR="00606029" w14:paraId="5B20DAC7" w14:textId="77777777">
        <w:trPr>
          <w:trHeight w:val="340"/>
          <w:jc w:val="center"/>
        </w:trPr>
        <w:tc>
          <w:tcPr>
            <w:tcW w:w="419" w:type="dxa"/>
            <w:vMerge/>
            <w:tcBorders>
              <w:tl2br w:val="nil"/>
              <w:tr2bl w:val="nil"/>
            </w:tcBorders>
            <w:vAlign w:val="center"/>
          </w:tcPr>
          <w:p w14:paraId="75F61CC8" w14:textId="77777777" w:rsidR="00606029" w:rsidRDefault="00606029">
            <w:pPr>
              <w:adjustRightInd w:val="0"/>
              <w:snapToGrid w:val="0"/>
              <w:spacing w:line="280" w:lineRule="exact"/>
              <w:jc w:val="center"/>
              <w:textAlignment w:val="center"/>
            </w:pPr>
          </w:p>
        </w:tc>
        <w:tc>
          <w:tcPr>
            <w:tcW w:w="1675" w:type="dxa"/>
            <w:vMerge/>
            <w:tcBorders>
              <w:tl2br w:val="nil"/>
              <w:tr2bl w:val="nil"/>
            </w:tcBorders>
            <w:vAlign w:val="center"/>
          </w:tcPr>
          <w:p w14:paraId="7DBB2288" w14:textId="77777777" w:rsidR="00606029" w:rsidRDefault="00606029">
            <w:pPr>
              <w:adjustRightInd w:val="0"/>
              <w:snapToGrid w:val="0"/>
              <w:spacing w:line="280" w:lineRule="exact"/>
              <w:jc w:val="center"/>
              <w:textAlignment w:val="center"/>
            </w:pPr>
          </w:p>
        </w:tc>
        <w:tc>
          <w:tcPr>
            <w:tcW w:w="2942" w:type="dxa"/>
            <w:gridSpan w:val="2"/>
            <w:tcBorders>
              <w:tl2br w:val="nil"/>
              <w:tr2bl w:val="nil"/>
            </w:tcBorders>
            <w:vAlign w:val="center"/>
          </w:tcPr>
          <w:p w14:paraId="0F28C19B" w14:textId="77777777" w:rsidR="00606029" w:rsidRDefault="00EA5B92">
            <w:pPr>
              <w:adjustRightInd w:val="0"/>
              <w:snapToGrid w:val="0"/>
              <w:spacing w:line="280" w:lineRule="exact"/>
              <w:jc w:val="center"/>
              <w:textAlignment w:val="center"/>
            </w:pPr>
            <w:r>
              <w:t>/</w:t>
            </w:r>
          </w:p>
        </w:tc>
        <w:tc>
          <w:tcPr>
            <w:tcW w:w="1617" w:type="dxa"/>
            <w:tcBorders>
              <w:tl2br w:val="nil"/>
              <w:tr2bl w:val="nil"/>
            </w:tcBorders>
            <w:vAlign w:val="center"/>
          </w:tcPr>
          <w:p w14:paraId="29981713" w14:textId="77777777" w:rsidR="00606029" w:rsidRDefault="00EA5B92">
            <w:pPr>
              <w:adjustRightInd w:val="0"/>
              <w:snapToGrid w:val="0"/>
              <w:spacing w:line="280" w:lineRule="exact"/>
              <w:jc w:val="center"/>
              <w:textAlignment w:val="center"/>
            </w:pPr>
            <w:r>
              <w:t>/</w:t>
            </w:r>
          </w:p>
        </w:tc>
        <w:tc>
          <w:tcPr>
            <w:tcW w:w="1550" w:type="dxa"/>
            <w:gridSpan w:val="2"/>
            <w:tcBorders>
              <w:tl2br w:val="nil"/>
              <w:tr2bl w:val="nil"/>
            </w:tcBorders>
            <w:vAlign w:val="center"/>
          </w:tcPr>
          <w:p w14:paraId="4AB9FD7B" w14:textId="77777777" w:rsidR="00606029" w:rsidRDefault="00EA5B92">
            <w:pPr>
              <w:adjustRightInd w:val="0"/>
              <w:snapToGrid w:val="0"/>
              <w:spacing w:line="280" w:lineRule="exact"/>
              <w:jc w:val="center"/>
              <w:textAlignment w:val="center"/>
            </w:pPr>
            <w:r>
              <w:t>/</w:t>
            </w:r>
          </w:p>
        </w:tc>
        <w:tc>
          <w:tcPr>
            <w:tcW w:w="1068" w:type="dxa"/>
            <w:vMerge/>
            <w:tcBorders>
              <w:tl2br w:val="nil"/>
              <w:tr2bl w:val="nil"/>
            </w:tcBorders>
            <w:vAlign w:val="center"/>
          </w:tcPr>
          <w:p w14:paraId="5C3E3FC2" w14:textId="77777777" w:rsidR="00606029" w:rsidRDefault="00606029">
            <w:pPr>
              <w:adjustRightInd w:val="0"/>
              <w:snapToGrid w:val="0"/>
              <w:spacing w:line="280" w:lineRule="exact"/>
              <w:jc w:val="center"/>
              <w:textAlignment w:val="center"/>
            </w:pPr>
          </w:p>
        </w:tc>
      </w:tr>
      <w:tr w:rsidR="00606029" w14:paraId="12275BAE" w14:textId="77777777">
        <w:trPr>
          <w:trHeight w:val="340"/>
          <w:jc w:val="center"/>
        </w:trPr>
        <w:tc>
          <w:tcPr>
            <w:tcW w:w="419" w:type="dxa"/>
            <w:vMerge/>
            <w:tcBorders>
              <w:tl2br w:val="nil"/>
              <w:tr2bl w:val="nil"/>
            </w:tcBorders>
            <w:vAlign w:val="center"/>
          </w:tcPr>
          <w:p w14:paraId="1675F450" w14:textId="77777777" w:rsidR="00606029" w:rsidRDefault="00606029">
            <w:pPr>
              <w:adjustRightInd w:val="0"/>
              <w:snapToGrid w:val="0"/>
              <w:spacing w:line="280" w:lineRule="exact"/>
              <w:jc w:val="center"/>
              <w:textAlignment w:val="center"/>
            </w:pPr>
          </w:p>
        </w:tc>
        <w:tc>
          <w:tcPr>
            <w:tcW w:w="1675" w:type="dxa"/>
            <w:tcBorders>
              <w:tl2br w:val="nil"/>
              <w:tr2bl w:val="nil"/>
            </w:tcBorders>
            <w:vAlign w:val="center"/>
          </w:tcPr>
          <w:p w14:paraId="462A69BE" w14:textId="77777777" w:rsidR="00606029" w:rsidRDefault="00EA5B92">
            <w:pPr>
              <w:adjustRightInd w:val="0"/>
              <w:snapToGrid w:val="0"/>
              <w:spacing w:line="280" w:lineRule="exact"/>
              <w:jc w:val="center"/>
              <w:textAlignment w:val="center"/>
            </w:pPr>
            <w:r>
              <w:t>信息公开指标</w:t>
            </w:r>
          </w:p>
        </w:tc>
        <w:tc>
          <w:tcPr>
            <w:tcW w:w="6109" w:type="dxa"/>
            <w:gridSpan w:val="5"/>
            <w:tcBorders>
              <w:tl2br w:val="nil"/>
              <w:tr2bl w:val="nil"/>
            </w:tcBorders>
            <w:vAlign w:val="center"/>
          </w:tcPr>
          <w:p w14:paraId="64277F34" w14:textId="77777777" w:rsidR="00606029" w:rsidRDefault="00EA5B92">
            <w:pPr>
              <w:adjustRightInd w:val="0"/>
              <w:snapToGrid w:val="0"/>
              <w:spacing w:line="280" w:lineRule="exact"/>
              <w:jc w:val="center"/>
              <w:textAlignment w:val="center"/>
            </w:pPr>
            <w:r>
              <w:t>监测结果</w:t>
            </w:r>
          </w:p>
        </w:tc>
        <w:tc>
          <w:tcPr>
            <w:tcW w:w="1068" w:type="dxa"/>
            <w:vMerge/>
            <w:tcBorders>
              <w:tl2br w:val="nil"/>
              <w:tr2bl w:val="nil"/>
            </w:tcBorders>
            <w:vAlign w:val="center"/>
          </w:tcPr>
          <w:p w14:paraId="5A47DE48" w14:textId="77777777" w:rsidR="00606029" w:rsidRDefault="00606029">
            <w:pPr>
              <w:adjustRightInd w:val="0"/>
              <w:snapToGrid w:val="0"/>
              <w:spacing w:line="280" w:lineRule="exact"/>
              <w:jc w:val="center"/>
              <w:textAlignment w:val="center"/>
            </w:pPr>
          </w:p>
        </w:tc>
      </w:tr>
      <w:tr w:rsidR="00606029" w14:paraId="04D3DBF8" w14:textId="77777777">
        <w:trPr>
          <w:trHeight w:val="340"/>
          <w:jc w:val="center"/>
        </w:trPr>
        <w:tc>
          <w:tcPr>
            <w:tcW w:w="2094" w:type="dxa"/>
            <w:gridSpan w:val="2"/>
            <w:tcBorders>
              <w:tl2br w:val="nil"/>
              <w:tr2bl w:val="nil"/>
            </w:tcBorders>
            <w:vAlign w:val="center"/>
          </w:tcPr>
          <w:p w14:paraId="0AF4EECB" w14:textId="77777777" w:rsidR="00606029" w:rsidRDefault="00EA5B92">
            <w:pPr>
              <w:adjustRightInd w:val="0"/>
              <w:snapToGrid w:val="0"/>
              <w:spacing w:line="280" w:lineRule="exact"/>
              <w:jc w:val="center"/>
              <w:textAlignment w:val="center"/>
            </w:pPr>
            <w:r>
              <w:t>评价结论</w:t>
            </w:r>
          </w:p>
        </w:tc>
        <w:tc>
          <w:tcPr>
            <w:tcW w:w="6109" w:type="dxa"/>
            <w:gridSpan w:val="5"/>
            <w:tcBorders>
              <w:tl2br w:val="nil"/>
              <w:tr2bl w:val="nil"/>
            </w:tcBorders>
            <w:vAlign w:val="center"/>
          </w:tcPr>
          <w:p w14:paraId="71798748" w14:textId="77777777" w:rsidR="00606029" w:rsidRDefault="00EA5B92">
            <w:pPr>
              <w:adjustRightInd w:val="0"/>
              <w:snapToGrid w:val="0"/>
              <w:spacing w:line="280" w:lineRule="exact"/>
              <w:jc w:val="center"/>
              <w:textAlignment w:val="center"/>
            </w:pPr>
            <w:r>
              <w:t>对土壤环境影响较小</w:t>
            </w:r>
          </w:p>
        </w:tc>
        <w:tc>
          <w:tcPr>
            <w:tcW w:w="1068" w:type="dxa"/>
            <w:tcBorders>
              <w:tl2br w:val="nil"/>
              <w:tr2bl w:val="nil"/>
            </w:tcBorders>
            <w:vAlign w:val="center"/>
          </w:tcPr>
          <w:p w14:paraId="5E47D56F" w14:textId="77777777" w:rsidR="00606029" w:rsidRDefault="00606029">
            <w:pPr>
              <w:adjustRightInd w:val="0"/>
              <w:snapToGrid w:val="0"/>
              <w:spacing w:line="280" w:lineRule="exact"/>
              <w:jc w:val="center"/>
              <w:textAlignment w:val="center"/>
            </w:pPr>
          </w:p>
        </w:tc>
      </w:tr>
      <w:tr w:rsidR="00606029" w14:paraId="7A649699" w14:textId="77777777">
        <w:trPr>
          <w:trHeight w:val="340"/>
          <w:jc w:val="center"/>
        </w:trPr>
        <w:tc>
          <w:tcPr>
            <w:tcW w:w="9271" w:type="dxa"/>
            <w:gridSpan w:val="8"/>
            <w:tcBorders>
              <w:tl2br w:val="nil"/>
              <w:tr2bl w:val="nil"/>
            </w:tcBorders>
            <w:vAlign w:val="center"/>
          </w:tcPr>
          <w:p w14:paraId="4EAA6800" w14:textId="6A0270D5" w:rsidR="00606029" w:rsidRDefault="00EA5B92">
            <w:pPr>
              <w:adjustRightInd w:val="0"/>
              <w:snapToGrid w:val="0"/>
              <w:spacing w:line="280" w:lineRule="exact"/>
              <w:jc w:val="center"/>
              <w:textAlignment w:val="center"/>
            </w:pPr>
            <w:r>
              <w:t>注</w:t>
            </w:r>
            <w:r>
              <w:t xml:space="preserve"> 1</w:t>
            </w:r>
            <w:r w:rsidR="006A52CC">
              <w:t>：</w:t>
            </w:r>
            <w:r>
              <w:t>“□”</w:t>
            </w:r>
            <w:r>
              <w:t>为勾选项，可</w:t>
            </w:r>
            <w:r>
              <w:t>√</w:t>
            </w:r>
            <w:r>
              <w:t>；</w:t>
            </w:r>
            <w:r>
              <w:t>“</w:t>
            </w:r>
            <w:r>
              <w:t>（</w:t>
            </w:r>
            <w:r>
              <w:t xml:space="preserve"> </w:t>
            </w:r>
            <w:r>
              <w:t>）</w:t>
            </w:r>
            <w:r>
              <w:t>”</w:t>
            </w:r>
            <w:r>
              <w:t>为内容填写项；</w:t>
            </w:r>
            <w:r>
              <w:t>“</w:t>
            </w:r>
            <w:r>
              <w:t>备注</w:t>
            </w:r>
            <w:r>
              <w:t>”</w:t>
            </w:r>
            <w:r>
              <w:t>为其他补充内容。注</w:t>
            </w:r>
            <w:r>
              <w:t xml:space="preserve"> 2</w:t>
            </w:r>
            <w:r w:rsidR="006A52CC">
              <w:t>：</w:t>
            </w:r>
            <w:r>
              <w:t>需要分别开展土壤环境影响评价工作的，分别填写自查表。</w:t>
            </w:r>
          </w:p>
        </w:tc>
      </w:tr>
    </w:tbl>
    <w:p w14:paraId="5029BDAB" w14:textId="77777777" w:rsidR="00262A3A" w:rsidRDefault="00262A3A">
      <w:pPr>
        <w:widowControl/>
        <w:jc w:val="left"/>
        <w:rPr>
          <w:b/>
          <w:bCs/>
          <w:sz w:val="28"/>
          <w:szCs w:val="28"/>
        </w:rPr>
      </w:pPr>
      <w:r>
        <w:rPr>
          <w:szCs w:val="28"/>
        </w:rPr>
        <w:br w:type="page"/>
      </w:r>
    </w:p>
    <w:p w14:paraId="7FF25A2C" w14:textId="61BAA3C6" w:rsidR="00606029" w:rsidRDefault="00EA5B92">
      <w:pPr>
        <w:pStyle w:val="3"/>
        <w:numPr>
          <w:ilvl w:val="0"/>
          <w:numId w:val="0"/>
        </w:numPr>
        <w:tabs>
          <w:tab w:val="left" w:pos="720"/>
        </w:tabs>
        <w:spacing w:beforeLines="50" w:before="120"/>
        <w:ind w:left="720" w:hanging="720"/>
        <w:jc w:val="left"/>
        <w:rPr>
          <w:szCs w:val="28"/>
        </w:rPr>
      </w:pPr>
      <w:bookmarkStart w:id="261" w:name="_Toc220680533"/>
      <w:r>
        <w:rPr>
          <w:szCs w:val="28"/>
        </w:rPr>
        <w:lastRenderedPageBreak/>
        <w:t>6.2.5</w:t>
      </w:r>
      <w:r>
        <w:rPr>
          <w:szCs w:val="28"/>
        </w:rPr>
        <w:t>声环境影响评价</w:t>
      </w:r>
      <w:bookmarkEnd w:id="261"/>
    </w:p>
    <w:p w14:paraId="0F7A4E16" w14:textId="77777777" w:rsidR="00606029" w:rsidRDefault="00EA5B92">
      <w:pPr>
        <w:pStyle w:val="4"/>
        <w:numPr>
          <w:ilvl w:val="0"/>
          <w:numId w:val="0"/>
        </w:numPr>
        <w:tabs>
          <w:tab w:val="left" w:pos="864"/>
        </w:tabs>
        <w:jc w:val="left"/>
        <w:rPr>
          <w:szCs w:val="24"/>
        </w:rPr>
      </w:pPr>
      <w:r>
        <w:rPr>
          <w:szCs w:val="24"/>
        </w:rPr>
        <w:t>6.2.5.1</w:t>
      </w:r>
      <w:r>
        <w:rPr>
          <w:szCs w:val="24"/>
        </w:rPr>
        <w:t>主要噪声源</w:t>
      </w:r>
    </w:p>
    <w:p w14:paraId="62125E75" w14:textId="77777777" w:rsidR="00606029" w:rsidRDefault="00EA5B92">
      <w:pPr>
        <w:spacing w:line="360" w:lineRule="auto"/>
        <w:ind w:firstLineChars="200" w:firstLine="480"/>
        <w:rPr>
          <w:sz w:val="24"/>
          <w:szCs w:val="24"/>
        </w:rPr>
      </w:pPr>
      <w:r>
        <w:rPr>
          <w:sz w:val="24"/>
          <w:szCs w:val="24"/>
        </w:rPr>
        <w:t>噪声主要来源于垃圾填埋机械工作时发生的噪声，还有场区滤液提升泵等的噪声，噪声源强通常为</w:t>
      </w:r>
      <w:r>
        <w:rPr>
          <w:sz w:val="24"/>
          <w:szCs w:val="24"/>
        </w:rPr>
        <w:t>75</w:t>
      </w:r>
      <w:r>
        <w:rPr>
          <w:sz w:val="24"/>
          <w:szCs w:val="24"/>
        </w:rPr>
        <w:t>～</w:t>
      </w:r>
      <w:r>
        <w:rPr>
          <w:sz w:val="24"/>
          <w:szCs w:val="24"/>
        </w:rPr>
        <w:t>82dB</w:t>
      </w:r>
      <w:r>
        <w:rPr>
          <w:sz w:val="24"/>
          <w:szCs w:val="24"/>
        </w:rPr>
        <w:t>（</w:t>
      </w:r>
      <w:r>
        <w:rPr>
          <w:sz w:val="24"/>
          <w:szCs w:val="24"/>
        </w:rPr>
        <w:t>A</w:t>
      </w:r>
      <w:r>
        <w:rPr>
          <w:sz w:val="24"/>
          <w:szCs w:val="24"/>
        </w:rPr>
        <w:t>）。主要噪声设备分布及源强见下表。</w:t>
      </w:r>
    </w:p>
    <w:p w14:paraId="75BE9EBE" w14:textId="7525447A" w:rsidR="00606029" w:rsidRDefault="00EA5B92">
      <w:pPr>
        <w:pStyle w:val="affffff5"/>
      </w:pPr>
      <w:r>
        <w:t>表</w:t>
      </w:r>
      <w:r>
        <w:t>6.2</w:t>
      </w:r>
      <w:r w:rsidR="00FD0A87">
        <w:rPr>
          <w:rFonts w:hint="eastAsia"/>
        </w:rPr>
        <w:t xml:space="preserve">-30 </w:t>
      </w:r>
      <w:r>
        <w:t>主要设备噪声源单位</w:t>
      </w:r>
      <w:r w:rsidR="006A52CC">
        <w:t>：</w:t>
      </w:r>
      <w:r>
        <w:t>dB</w:t>
      </w:r>
      <w:r>
        <w:t>（</w:t>
      </w:r>
      <w:r>
        <w:t>A</w:t>
      </w:r>
      <w:r>
        <w:t>）</w:t>
      </w:r>
    </w:p>
    <w:tbl>
      <w:tblPr>
        <w:tblStyle w:val="TableNormal"/>
        <w:tblW w:w="4997" w:type="pct"/>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3"/>
        <w:gridCol w:w="992"/>
        <w:gridCol w:w="708"/>
        <w:gridCol w:w="1842"/>
        <w:gridCol w:w="1141"/>
        <w:gridCol w:w="1534"/>
        <w:gridCol w:w="1014"/>
        <w:gridCol w:w="1035"/>
      </w:tblGrid>
      <w:tr w:rsidR="00606029" w14:paraId="2FAAA6B7" w14:textId="77777777" w:rsidTr="00286EB6">
        <w:trPr>
          <w:trHeight w:val="57"/>
        </w:trPr>
        <w:tc>
          <w:tcPr>
            <w:tcW w:w="318" w:type="pct"/>
            <w:tcBorders>
              <w:top w:val="single" w:sz="4" w:space="0" w:color="auto"/>
              <w:left w:val="single" w:sz="4" w:space="0" w:color="auto"/>
            </w:tcBorders>
            <w:vAlign w:val="center"/>
          </w:tcPr>
          <w:p w14:paraId="2CDCE2F9" w14:textId="77777777" w:rsidR="00606029" w:rsidRDefault="00EA5B92">
            <w:pPr>
              <w:adjustRightInd w:val="0"/>
              <w:snapToGrid w:val="0"/>
              <w:spacing w:line="280" w:lineRule="exact"/>
              <w:jc w:val="center"/>
              <w:textAlignment w:val="center"/>
            </w:pPr>
            <w:r>
              <w:t>序号</w:t>
            </w:r>
          </w:p>
        </w:tc>
        <w:tc>
          <w:tcPr>
            <w:tcW w:w="562" w:type="pct"/>
            <w:tcBorders>
              <w:top w:val="single" w:sz="4" w:space="0" w:color="auto"/>
            </w:tcBorders>
            <w:vAlign w:val="center"/>
          </w:tcPr>
          <w:p w14:paraId="30FC3F5A" w14:textId="77777777" w:rsidR="00606029" w:rsidRDefault="00EA5B92">
            <w:pPr>
              <w:adjustRightInd w:val="0"/>
              <w:snapToGrid w:val="0"/>
              <w:spacing w:line="280" w:lineRule="exact"/>
              <w:jc w:val="center"/>
              <w:textAlignment w:val="center"/>
            </w:pPr>
            <w:r>
              <w:t>噪声源</w:t>
            </w:r>
          </w:p>
        </w:tc>
        <w:tc>
          <w:tcPr>
            <w:tcW w:w="401" w:type="pct"/>
            <w:tcBorders>
              <w:top w:val="single" w:sz="4" w:space="0" w:color="auto"/>
            </w:tcBorders>
            <w:vAlign w:val="center"/>
          </w:tcPr>
          <w:p w14:paraId="581731D1" w14:textId="77777777" w:rsidR="00606029" w:rsidRDefault="00EA5B92">
            <w:pPr>
              <w:adjustRightInd w:val="0"/>
              <w:snapToGrid w:val="0"/>
              <w:spacing w:line="280" w:lineRule="exact"/>
              <w:jc w:val="center"/>
              <w:textAlignment w:val="center"/>
            </w:pPr>
            <w:r>
              <w:t>数量</w:t>
            </w:r>
          </w:p>
        </w:tc>
        <w:tc>
          <w:tcPr>
            <w:tcW w:w="1043" w:type="pct"/>
            <w:tcBorders>
              <w:top w:val="single" w:sz="4" w:space="0" w:color="auto"/>
            </w:tcBorders>
            <w:vAlign w:val="center"/>
          </w:tcPr>
          <w:p w14:paraId="0CDEFBC4" w14:textId="77777777" w:rsidR="00606029" w:rsidRDefault="00EA5B92">
            <w:pPr>
              <w:adjustRightInd w:val="0"/>
              <w:snapToGrid w:val="0"/>
              <w:spacing w:line="280" w:lineRule="exact"/>
              <w:jc w:val="center"/>
              <w:textAlignment w:val="center"/>
            </w:pPr>
            <w:r>
              <w:t>噪声源强</w:t>
            </w:r>
            <w:r>
              <w:t xml:space="preserve"> dB</w:t>
            </w:r>
            <w:r>
              <w:t>（</w:t>
            </w:r>
            <w:r>
              <w:t>A</w:t>
            </w:r>
            <w:r>
              <w:t>）</w:t>
            </w:r>
          </w:p>
        </w:tc>
        <w:tc>
          <w:tcPr>
            <w:tcW w:w="646" w:type="pct"/>
            <w:tcBorders>
              <w:top w:val="single" w:sz="4" w:space="0" w:color="auto"/>
            </w:tcBorders>
            <w:vAlign w:val="center"/>
          </w:tcPr>
          <w:p w14:paraId="616D43B3" w14:textId="77777777" w:rsidR="00606029" w:rsidRDefault="00EA5B92">
            <w:pPr>
              <w:adjustRightInd w:val="0"/>
              <w:snapToGrid w:val="0"/>
              <w:spacing w:line="280" w:lineRule="exact"/>
              <w:jc w:val="center"/>
              <w:textAlignment w:val="center"/>
            </w:pPr>
            <w:r>
              <w:t>位置</w:t>
            </w:r>
          </w:p>
        </w:tc>
        <w:tc>
          <w:tcPr>
            <w:tcW w:w="869" w:type="pct"/>
            <w:tcBorders>
              <w:top w:val="single" w:sz="4" w:space="0" w:color="auto"/>
            </w:tcBorders>
            <w:vAlign w:val="center"/>
          </w:tcPr>
          <w:p w14:paraId="37CB1E64" w14:textId="77777777" w:rsidR="00606029" w:rsidRDefault="00EA5B92">
            <w:pPr>
              <w:adjustRightInd w:val="0"/>
              <w:snapToGrid w:val="0"/>
              <w:spacing w:line="280" w:lineRule="exact"/>
              <w:jc w:val="center"/>
              <w:textAlignment w:val="center"/>
            </w:pPr>
            <w:r>
              <w:t>治理措施</w:t>
            </w:r>
          </w:p>
        </w:tc>
        <w:tc>
          <w:tcPr>
            <w:tcW w:w="574" w:type="pct"/>
            <w:tcBorders>
              <w:top w:val="single" w:sz="4" w:space="0" w:color="auto"/>
            </w:tcBorders>
            <w:vAlign w:val="center"/>
          </w:tcPr>
          <w:p w14:paraId="0659BF8B" w14:textId="77777777" w:rsidR="00606029" w:rsidRDefault="00EA5B92">
            <w:pPr>
              <w:adjustRightInd w:val="0"/>
              <w:snapToGrid w:val="0"/>
              <w:spacing w:line="280" w:lineRule="exact"/>
              <w:jc w:val="center"/>
              <w:textAlignment w:val="center"/>
            </w:pPr>
            <w:r>
              <w:t>降噪效果</w:t>
            </w:r>
          </w:p>
        </w:tc>
        <w:tc>
          <w:tcPr>
            <w:tcW w:w="586" w:type="pct"/>
            <w:tcBorders>
              <w:top w:val="single" w:sz="4" w:space="0" w:color="auto"/>
              <w:right w:val="single" w:sz="4" w:space="0" w:color="auto"/>
            </w:tcBorders>
            <w:vAlign w:val="center"/>
          </w:tcPr>
          <w:p w14:paraId="3C15E979" w14:textId="77777777" w:rsidR="00606029" w:rsidRDefault="00EA5B92">
            <w:pPr>
              <w:adjustRightInd w:val="0"/>
              <w:snapToGrid w:val="0"/>
              <w:spacing w:line="280" w:lineRule="exact"/>
              <w:jc w:val="center"/>
              <w:textAlignment w:val="center"/>
            </w:pPr>
            <w:r>
              <w:t>备注</w:t>
            </w:r>
          </w:p>
        </w:tc>
      </w:tr>
      <w:tr w:rsidR="00606029" w14:paraId="7626E4EF" w14:textId="77777777" w:rsidTr="00286EB6">
        <w:trPr>
          <w:trHeight w:val="57"/>
        </w:trPr>
        <w:tc>
          <w:tcPr>
            <w:tcW w:w="318" w:type="pct"/>
            <w:tcBorders>
              <w:left w:val="single" w:sz="4" w:space="0" w:color="auto"/>
            </w:tcBorders>
            <w:vAlign w:val="center"/>
          </w:tcPr>
          <w:p w14:paraId="21412CC6" w14:textId="23CEBC74" w:rsidR="00606029" w:rsidRDefault="006A2F59">
            <w:pPr>
              <w:adjustRightInd w:val="0"/>
              <w:snapToGrid w:val="0"/>
              <w:spacing w:line="280" w:lineRule="exact"/>
              <w:jc w:val="center"/>
              <w:textAlignment w:val="center"/>
            </w:pPr>
            <w:r>
              <w:rPr>
                <w:rFonts w:hint="eastAsia"/>
              </w:rPr>
              <w:t>1</w:t>
            </w:r>
          </w:p>
        </w:tc>
        <w:tc>
          <w:tcPr>
            <w:tcW w:w="562" w:type="pct"/>
            <w:vAlign w:val="center"/>
          </w:tcPr>
          <w:p w14:paraId="5C5F5F4D" w14:textId="3F597E59" w:rsidR="00606029" w:rsidRDefault="006A2F59">
            <w:pPr>
              <w:adjustRightInd w:val="0"/>
              <w:snapToGrid w:val="0"/>
              <w:spacing w:line="280" w:lineRule="exact"/>
              <w:jc w:val="center"/>
              <w:textAlignment w:val="center"/>
            </w:pPr>
            <w:r>
              <w:rPr>
                <w:rFonts w:hint="eastAsia"/>
              </w:rPr>
              <w:t>自卸</w:t>
            </w:r>
            <w:r>
              <w:t>卡车</w:t>
            </w:r>
          </w:p>
        </w:tc>
        <w:tc>
          <w:tcPr>
            <w:tcW w:w="401" w:type="pct"/>
            <w:vAlign w:val="center"/>
          </w:tcPr>
          <w:p w14:paraId="51D7EFBA" w14:textId="77777777" w:rsidR="00606029" w:rsidRDefault="00EA5B92">
            <w:pPr>
              <w:adjustRightInd w:val="0"/>
              <w:snapToGrid w:val="0"/>
              <w:spacing w:line="280" w:lineRule="exact"/>
              <w:jc w:val="center"/>
              <w:textAlignment w:val="center"/>
            </w:pPr>
            <w:r>
              <w:t>1</w:t>
            </w:r>
          </w:p>
        </w:tc>
        <w:tc>
          <w:tcPr>
            <w:tcW w:w="1043" w:type="pct"/>
            <w:vAlign w:val="center"/>
          </w:tcPr>
          <w:p w14:paraId="64149BD8" w14:textId="2C4F8033" w:rsidR="00606029" w:rsidRDefault="006A2F59">
            <w:pPr>
              <w:adjustRightInd w:val="0"/>
              <w:snapToGrid w:val="0"/>
              <w:spacing w:line="280" w:lineRule="exact"/>
              <w:jc w:val="center"/>
              <w:textAlignment w:val="center"/>
            </w:pPr>
            <w:r>
              <w:rPr>
                <w:rFonts w:hint="eastAsia"/>
              </w:rPr>
              <w:t>90</w:t>
            </w:r>
          </w:p>
        </w:tc>
        <w:tc>
          <w:tcPr>
            <w:tcW w:w="646" w:type="pct"/>
            <w:vAlign w:val="center"/>
          </w:tcPr>
          <w:p w14:paraId="05AB8F2E" w14:textId="1148DAA7" w:rsidR="00606029" w:rsidRDefault="006A2F59">
            <w:pPr>
              <w:adjustRightInd w:val="0"/>
              <w:snapToGrid w:val="0"/>
              <w:spacing w:line="280" w:lineRule="exact"/>
              <w:jc w:val="center"/>
              <w:textAlignment w:val="center"/>
            </w:pPr>
            <w:r>
              <w:rPr>
                <w:rFonts w:hint="eastAsia"/>
              </w:rPr>
              <w:t>厂区道路、</w:t>
            </w:r>
            <w:r w:rsidRPr="006A2F59">
              <w:t>填埋区作业</w:t>
            </w:r>
          </w:p>
        </w:tc>
        <w:tc>
          <w:tcPr>
            <w:tcW w:w="869" w:type="pct"/>
            <w:vMerge w:val="restart"/>
            <w:vAlign w:val="center"/>
          </w:tcPr>
          <w:p w14:paraId="21A085CB" w14:textId="6D85BFE1" w:rsidR="00606029" w:rsidRDefault="00286EB6">
            <w:pPr>
              <w:adjustRightInd w:val="0"/>
              <w:snapToGrid w:val="0"/>
              <w:spacing w:line="280" w:lineRule="exact"/>
              <w:jc w:val="center"/>
              <w:textAlignment w:val="center"/>
            </w:pPr>
            <w:r w:rsidRPr="00286EB6">
              <w:t>合理安排填埋作业时间，加强填埋工序噪声管理，定期检查维修设备，</w:t>
            </w:r>
            <w:r>
              <w:rPr>
                <w:rFonts w:hint="eastAsia"/>
              </w:rPr>
              <w:t>加强厂区绿化</w:t>
            </w:r>
          </w:p>
        </w:tc>
        <w:tc>
          <w:tcPr>
            <w:tcW w:w="574" w:type="pct"/>
            <w:vAlign w:val="center"/>
          </w:tcPr>
          <w:p w14:paraId="26398B6C" w14:textId="77777777" w:rsidR="00606029" w:rsidRDefault="00EA5B92">
            <w:pPr>
              <w:adjustRightInd w:val="0"/>
              <w:snapToGrid w:val="0"/>
              <w:spacing w:line="280" w:lineRule="exact"/>
              <w:jc w:val="center"/>
              <w:textAlignment w:val="center"/>
            </w:pPr>
            <w:r>
              <w:t>25</w:t>
            </w:r>
          </w:p>
        </w:tc>
        <w:tc>
          <w:tcPr>
            <w:tcW w:w="586" w:type="pct"/>
            <w:tcBorders>
              <w:right w:val="single" w:sz="4" w:space="0" w:color="auto"/>
            </w:tcBorders>
            <w:vAlign w:val="center"/>
          </w:tcPr>
          <w:p w14:paraId="08A67D70" w14:textId="77777777" w:rsidR="00606029" w:rsidRDefault="00EA5B92">
            <w:pPr>
              <w:adjustRightInd w:val="0"/>
              <w:snapToGrid w:val="0"/>
              <w:spacing w:line="280" w:lineRule="exact"/>
              <w:jc w:val="center"/>
              <w:textAlignment w:val="center"/>
            </w:pPr>
            <w:r>
              <w:t>昼间，流动源</w:t>
            </w:r>
          </w:p>
        </w:tc>
      </w:tr>
      <w:tr w:rsidR="00606029" w14:paraId="68FD316B" w14:textId="77777777" w:rsidTr="00286EB6">
        <w:trPr>
          <w:trHeight w:val="57"/>
        </w:trPr>
        <w:tc>
          <w:tcPr>
            <w:tcW w:w="318" w:type="pct"/>
            <w:tcBorders>
              <w:left w:val="single" w:sz="4" w:space="0" w:color="auto"/>
            </w:tcBorders>
            <w:vAlign w:val="center"/>
          </w:tcPr>
          <w:p w14:paraId="4D29AE51" w14:textId="709541D1" w:rsidR="00606029" w:rsidRDefault="006A2F59">
            <w:pPr>
              <w:adjustRightInd w:val="0"/>
              <w:snapToGrid w:val="0"/>
              <w:spacing w:line="280" w:lineRule="exact"/>
              <w:jc w:val="center"/>
              <w:textAlignment w:val="center"/>
            </w:pPr>
            <w:r>
              <w:rPr>
                <w:rFonts w:hint="eastAsia"/>
              </w:rPr>
              <w:t>2</w:t>
            </w:r>
          </w:p>
        </w:tc>
        <w:tc>
          <w:tcPr>
            <w:tcW w:w="562" w:type="pct"/>
            <w:vAlign w:val="center"/>
          </w:tcPr>
          <w:p w14:paraId="53113F41" w14:textId="6DEDF1F5" w:rsidR="00606029" w:rsidRDefault="006A2F59">
            <w:pPr>
              <w:adjustRightInd w:val="0"/>
              <w:snapToGrid w:val="0"/>
              <w:spacing w:line="280" w:lineRule="exact"/>
              <w:jc w:val="center"/>
              <w:textAlignment w:val="center"/>
            </w:pPr>
            <w:r>
              <w:rPr>
                <w:rFonts w:hint="eastAsia"/>
              </w:rPr>
              <w:t>电动起重机</w:t>
            </w:r>
          </w:p>
        </w:tc>
        <w:tc>
          <w:tcPr>
            <w:tcW w:w="401" w:type="pct"/>
            <w:vAlign w:val="center"/>
          </w:tcPr>
          <w:p w14:paraId="57B474AF" w14:textId="7CC54236" w:rsidR="00606029" w:rsidRDefault="006A2F59">
            <w:pPr>
              <w:adjustRightInd w:val="0"/>
              <w:snapToGrid w:val="0"/>
              <w:spacing w:line="280" w:lineRule="exact"/>
              <w:jc w:val="center"/>
              <w:textAlignment w:val="center"/>
            </w:pPr>
            <w:r>
              <w:rPr>
                <w:rFonts w:hint="eastAsia"/>
              </w:rPr>
              <w:t>1</w:t>
            </w:r>
          </w:p>
        </w:tc>
        <w:tc>
          <w:tcPr>
            <w:tcW w:w="1043" w:type="pct"/>
            <w:vAlign w:val="center"/>
          </w:tcPr>
          <w:p w14:paraId="40ED2FC5" w14:textId="0D63AABD" w:rsidR="00606029" w:rsidRDefault="006A2F59">
            <w:pPr>
              <w:adjustRightInd w:val="0"/>
              <w:snapToGrid w:val="0"/>
              <w:spacing w:line="280" w:lineRule="exact"/>
              <w:jc w:val="center"/>
              <w:textAlignment w:val="center"/>
            </w:pPr>
            <w:r>
              <w:rPr>
                <w:rFonts w:hint="eastAsia"/>
              </w:rPr>
              <w:t>85</w:t>
            </w:r>
          </w:p>
        </w:tc>
        <w:tc>
          <w:tcPr>
            <w:tcW w:w="646" w:type="pct"/>
            <w:vAlign w:val="center"/>
          </w:tcPr>
          <w:p w14:paraId="664E7C5E" w14:textId="5A7986B7" w:rsidR="00606029" w:rsidRDefault="006A2F59">
            <w:pPr>
              <w:adjustRightInd w:val="0"/>
              <w:snapToGrid w:val="0"/>
              <w:spacing w:line="280" w:lineRule="exact"/>
              <w:jc w:val="center"/>
              <w:textAlignment w:val="center"/>
            </w:pPr>
            <w:r w:rsidRPr="006A2F59">
              <w:t>填埋区作业</w:t>
            </w:r>
          </w:p>
        </w:tc>
        <w:tc>
          <w:tcPr>
            <w:tcW w:w="869" w:type="pct"/>
            <w:vMerge/>
            <w:vAlign w:val="center"/>
          </w:tcPr>
          <w:p w14:paraId="6C062040" w14:textId="77777777" w:rsidR="00606029" w:rsidRDefault="00606029">
            <w:pPr>
              <w:adjustRightInd w:val="0"/>
              <w:snapToGrid w:val="0"/>
              <w:spacing w:line="280" w:lineRule="exact"/>
              <w:jc w:val="center"/>
              <w:textAlignment w:val="center"/>
            </w:pPr>
          </w:p>
        </w:tc>
        <w:tc>
          <w:tcPr>
            <w:tcW w:w="574" w:type="pct"/>
            <w:vAlign w:val="center"/>
          </w:tcPr>
          <w:p w14:paraId="42102BFD" w14:textId="77777777" w:rsidR="00606029" w:rsidRDefault="00EA5B92">
            <w:pPr>
              <w:adjustRightInd w:val="0"/>
              <w:snapToGrid w:val="0"/>
              <w:spacing w:line="280" w:lineRule="exact"/>
              <w:jc w:val="center"/>
              <w:textAlignment w:val="center"/>
            </w:pPr>
            <w:r>
              <w:t>25</w:t>
            </w:r>
          </w:p>
        </w:tc>
        <w:tc>
          <w:tcPr>
            <w:tcW w:w="586" w:type="pct"/>
            <w:tcBorders>
              <w:right w:val="single" w:sz="4" w:space="0" w:color="auto"/>
            </w:tcBorders>
            <w:vAlign w:val="center"/>
          </w:tcPr>
          <w:p w14:paraId="017462C1" w14:textId="77777777" w:rsidR="00606029" w:rsidRDefault="00EA5B92">
            <w:pPr>
              <w:adjustRightInd w:val="0"/>
              <w:snapToGrid w:val="0"/>
              <w:spacing w:line="280" w:lineRule="exact"/>
              <w:jc w:val="center"/>
              <w:textAlignment w:val="center"/>
            </w:pPr>
            <w:r>
              <w:t>昼间，流动源</w:t>
            </w:r>
          </w:p>
        </w:tc>
      </w:tr>
    </w:tbl>
    <w:p w14:paraId="545DD5A0" w14:textId="77777777" w:rsidR="00606029" w:rsidRDefault="00EA5B92">
      <w:pPr>
        <w:pStyle w:val="4"/>
        <w:adjustRightInd/>
        <w:snapToGrid/>
        <w:spacing w:beforeLines="50" w:before="120"/>
      </w:pPr>
      <w:r>
        <w:t>6.2.5.2</w:t>
      </w:r>
      <w:r>
        <w:t>噪声影响评价标准</w:t>
      </w:r>
    </w:p>
    <w:p w14:paraId="2ED934D1" w14:textId="77777777" w:rsidR="00606029" w:rsidRDefault="00EA5B92">
      <w:pPr>
        <w:spacing w:line="360" w:lineRule="auto"/>
        <w:ind w:firstLineChars="200" w:firstLine="480"/>
        <w:rPr>
          <w:sz w:val="24"/>
          <w:szCs w:val="24"/>
        </w:rPr>
      </w:pPr>
      <w:r>
        <w:rPr>
          <w:sz w:val="24"/>
          <w:szCs w:val="24"/>
        </w:rPr>
        <w:t>厂界噪声采用《工业企业厂界环境噪声排放标准》（</w:t>
      </w:r>
      <w:r>
        <w:rPr>
          <w:sz w:val="24"/>
          <w:szCs w:val="24"/>
        </w:rPr>
        <w:t>GB12348-2008</w:t>
      </w:r>
      <w:r>
        <w:rPr>
          <w:sz w:val="24"/>
          <w:szCs w:val="24"/>
        </w:rPr>
        <w:t>）</w:t>
      </w:r>
      <w:r>
        <w:rPr>
          <w:sz w:val="24"/>
          <w:szCs w:val="24"/>
        </w:rPr>
        <w:t>2</w:t>
      </w:r>
      <w:r>
        <w:rPr>
          <w:sz w:val="24"/>
          <w:szCs w:val="24"/>
        </w:rPr>
        <w:t>类区标准，即昼间</w:t>
      </w:r>
      <w:r>
        <w:rPr>
          <w:sz w:val="24"/>
          <w:szCs w:val="24"/>
        </w:rPr>
        <w:t>60dB</w:t>
      </w:r>
      <w:r>
        <w:rPr>
          <w:sz w:val="24"/>
          <w:szCs w:val="24"/>
        </w:rPr>
        <w:t>（</w:t>
      </w:r>
      <w:r>
        <w:rPr>
          <w:sz w:val="24"/>
          <w:szCs w:val="24"/>
        </w:rPr>
        <w:t>A</w:t>
      </w:r>
      <w:r>
        <w:rPr>
          <w:sz w:val="24"/>
          <w:szCs w:val="24"/>
        </w:rPr>
        <w:t>）、夜间</w:t>
      </w:r>
      <w:r>
        <w:rPr>
          <w:sz w:val="24"/>
          <w:szCs w:val="24"/>
        </w:rPr>
        <w:t>50dB</w:t>
      </w:r>
      <w:r>
        <w:rPr>
          <w:sz w:val="24"/>
          <w:szCs w:val="24"/>
        </w:rPr>
        <w:t>（</w:t>
      </w:r>
      <w:r>
        <w:rPr>
          <w:sz w:val="24"/>
          <w:szCs w:val="24"/>
        </w:rPr>
        <w:t>A</w:t>
      </w:r>
      <w:r>
        <w:rPr>
          <w:sz w:val="24"/>
          <w:szCs w:val="24"/>
        </w:rPr>
        <w:t>）。</w:t>
      </w:r>
    </w:p>
    <w:p w14:paraId="5DCBF9A9" w14:textId="77777777" w:rsidR="00606029" w:rsidRDefault="00EA5B92">
      <w:pPr>
        <w:pStyle w:val="4"/>
        <w:numPr>
          <w:ilvl w:val="0"/>
          <w:numId w:val="0"/>
        </w:numPr>
        <w:tabs>
          <w:tab w:val="left" w:pos="864"/>
        </w:tabs>
        <w:jc w:val="left"/>
        <w:rPr>
          <w:szCs w:val="24"/>
        </w:rPr>
      </w:pPr>
      <w:r>
        <w:rPr>
          <w:szCs w:val="24"/>
        </w:rPr>
        <w:t>6.2.5.3</w:t>
      </w:r>
      <w:r>
        <w:rPr>
          <w:szCs w:val="24"/>
        </w:rPr>
        <w:t>预测方法</w:t>
      </w:r>
    </w:p>
    <w:p w14:paraId="7535AA06" w14:textId="77777777" w:rsidR="00606029" w:rsidRDefault="00EA5B92">
      <w:pPr>
        <w:snapToGrid w:val="0"/>
        <w:spacing w:line="360" w:lineRule="auto"/>
        <w:ind w:firstLineChars="200" w:firstLine="480"/>
        <w:jc w:val="left"/>
        <w:rPr>
          <w:sz w:val="24"/>
          <w:szCs w:val="24"/>
        </w:rPr>
      </w:pPr>
      <w:r>
        <w:rPr>
          <w:sz w:val="24"/>
          <w:szCs w:val="24"/>
        </w:rPr>
        <w:t>预测方法根据《环境影响评价技术导则</w:t>
      </w:r>
      <w:r>
        <w:rPr>
          <w:sz w:val="24"/>
          <w:szCs w:val="24"/>
        </w:rPr>
        <w:t xml:space="preserve"> </w:t>
      </w:r>
      <w:r>
        <w:rPr>
          <w:sz w:val="24"/>
          <w:szCs w:val="24"/>
        </w:rPr>
        <w:t>声环境》（</w:t>
      </w:r>
      <w:r>
        <w:rPr>
          <w:sz w:val="24"/>
          <w:szCs w:val="24"/>
        </w:rPr>
        <w:t>HJ2.4-2021</w:t>
      </w:r>
      <w:r>
        <w:rPr>
          <w:sz w:val="24"/>
          <w:szCs w:val="24"/>
        </w:rPr>
        <w:t>）附录</w:t>
      </w:r>
      <w:r>
        <w:rPr>
          <w:sz w:val="24"/>
          <w:szCs w:val="24"/>
        </w:rPr>
        <w:t>A.1</w:t>
      </w:r>
      <w:r>
        <w:rPr>
          <w:sz w:val="24"/>
          <w:szCs w:val="24"/>
        </w:rPr>
        <w:t>工业企业噪声预测模式进行预测。</w:t>
      </w:r>
    </w:p>
    <w:p w14:paraId="26C89C05" w14:textId="77777777" w:rsidR="00606029" w:rsidRDefault="00EA5B92">
      <w:pPr>
        <w:spacing w:line="360" w:lineRule="auto"/>
        <w:ind w:firstLine="480"/>
        <w:rPr>
          <w:sz w:val="24"/>
          <w:szCs w:val="24"/>
        </w:rPr>
      </w:pPr>
      <w:r>
        <w:rPr>
          <w:sz w:val="24"/>
          <w:szCs w:val="24"/>
        </w:rPr>
        <w:t>1</w:t>
      </w:r>
      <w:r>
        <w:rPr>
          <w:sz w:val="24"/>
          <w:szCs w:val="24"/>
        </w:rPr>
        <w:t>、声级计算</w:t>
      </w:r>
    </w:p>
    <w:p w14:paraId="79163EC2" w14:textId="69EF7B2F" w:rsidR="00606029" w:rsidRDefault="00EA5B92">
      <w:pPr>
        <w:spacing w:line="360" w:lineRule="auto"/>
        <w:ind w:firstLine="480"/>
        <w:rPr>
          <w:sz w:val="24"/>
          <w:szCs w:val="24"/>
        </w:rPr>
      </w:pPr>
      <w:r>
        <w:rPr>
          <w:sz w:val="24"/>
          <w:szCs w:val="24"/>
        </w:rPr>
        <w:t>建设项目声源在预测点产生的等效声级贡献值（</w:t>
      </w:r>
      <w:r>
        <w:rPr>
          <w:sz w:val="24"/>
          <w:szCs w:val="24"/>
        </w:rPr>
        <w:t>L</w:t>
      </w:r>
      <w:r>
        <w:rPr>
          <w:sz w:val="24"/>
          <w:szCs w:val="24"/>
          <w:vertAlign w:val="subscript"/>
        </w:rPr>
        <w:t>eq g</w:t>
      </w:r>
      <w:r>
        <w:rPr>
          <w:sz w:val="24"/>
          <w:szCs w:val="24"/>
        </w:rPr>
        <w:t>）计算公式</w:t>
      </w:r>
      <w:r w:rsidR="006A52CC">
        <w:rPr>
          <w:sz w:val="24"/>
          <w:szCs w:val="24"/>
        </w:rPr>
        <w:t>：</w:t>
      </w:r>
    </w:p>
    <w:p w14:paraId="65729B99" w14:textId="77777777" w:rsidR="00606029" w:rsidRDefault="00EA5B92">
      <w:pPr>
        <w:spacing w:line="360" w:lineRule="auto"/>
        <w:ind w:firstLine="482"/>
        <w:jc w:val="center"/>
        <w:rPr>
          <w:b/>
        </w:rPr>
      </w:pPr>
      <w:r>
        <w:rPr>
          <w:b/>
        </w:rPr>
        <w:object w:dxaOrig="2640" w:dyaOrig="660" w14:anchorId="6A8C44DA">
          <v:shape id="_x0000_i1027" type="#_x0000_t75" style="width:132pt;height:33.6pt" o:ole="" o:preferrelative="f">
            <v:imagedata r:id="rId115" o:title="" embosscolor="white"/>
          </v:shape>
          <o:OLEObject Type="Embed" ProgID="Equation.3" ShapeID="_x0000_i1027" DrawAspect="Content" ObjectID="_1831554259" r:id="rId116"/>
        </w:object>
      </w:r>
    </w:p>
    <w:p w14:paraId="78C837FC" w14:textId="2A484DEF" w:rsidR="00606029" w:rsidRDefault="00EA5B92">
      <w:pPr>
        <w:spacing w:line="360" w:lineRule="auto"/>
        <w:ind w:firstLine="480"/>
        <w:rPr>
          <w:sz w:val="24"/>
          <w:szCs w:val="24"/>
        </w:rPr>
      </w:pPr>
      <w:r>
        <w:rPr>
          <w:sz w:val="24"/>
          <w:szCs w:val="24"/>
        </w:rPr>
        <w:t>式中</w:t>
      </w:r>
      <w:r w:rsidR="006A52CC">
        <w:rPr>
          <w:sz w:val="24"/>
          <w:szCs w:val="24"/>
        </w:rPr>
        <w:t>：</w:t>
      </w:r>
      <w:r>
        <w:rPr>
          <w:sz w:val="24"/>
          <w:szCs w:val="24"/>
        </w:rPr>
        <w:t>L</w:t>
      </w:r>
      <w:r>
        <w:rPr>
          <w:sz w:val="24"/>
          <w:szCs w:val="24"/>
          <w:vertAlign w:val="subscript"/>
        </w:rPr>
        <w:t>eqg</w:t>
      </w:r>
      <w:r>
        <w:rPr>
          <w:sz w:val="24"/>
          <w:szCs w:val="24"/>
        </w:rPr>
        <w:t>—</w:t>
      </w:r>
      <w:r>
        <w:rPr>
          <w:sz w:val="24"/>
          <w:szCs w:val="24"/>
        </w:rPr>
        <w:t>建设项目声源在预测点的等效声级贡献值，</w:t>
      </w:r>
      <w:r>
        <w:rPr>
          <w:sz w:val="24"/>
          <w:szCs w:val="24"/>
        </w:rPr>
        <w:t>dB</w:t>
      </w:r>
      <w:r>
        <w:rPr>
          <w:sz w:val="24"/>
          <w:szCs w:val="24"/>
        </w:rPr>
        <w:t>（</w:t>
      </w:r>
      <w:r>
        <w:rPr>
          <w:sz w:val="24"/>
          <w:szCs w:val="24"/>
        </w:rPr>
        <w:t>A</w:t>
      </w:r>
      <w:r>
        <w:rPr>
          <w:sz w:val="24"/>
          <w:szCs w:val="24"/>
        </w:rPr>
        <w:t>）；</w:t>
      </w:r>
    </w:p>
    <w:p w14:paraId="3418C4F8" w14:textId="77777777" w:rsidR="00606029" w:rsidRDefault="00EA5B92">
      <w:pPr>
        <w:spacing w:line="360" w:lineRule="auto"/>
        <w:ind w:firstLineChars="500" w:firstLine="1200"/>
        <w:rPr>
          <w:sz w:val="24"/>
          <w:szCs w:val="24"/>
        </w:rPr>
      </w:pPr>
      <w:r>
        <w:rPr>
          <w:sz w:val="24"/>
          <w:szCs w:val="24"/>
        </w:rPr>
        <w:t>L</w:t>
      </w:r>
      <w:r>
        <w:rPr>
          <w:sz w:val="24"/>
          <w:szCs w:val="24"/>
          <w:vertAlign w:val="subscript"/>
        </w:rPr>
        <w:t xml:space="preserve">Ai </w:t>
      </w:r>
      <w:r>
        <w:rPr>
          <w:sz w:val="24"/>
          <w:szCs w:val="24"/>
        </w:rPr>
        <w:t>— i</w:t>
      </w:r>
      <w:r>
        <w:rPr>
          <w:sz w:val="24"/>
          <w:szCs w:val="24"/>
        </w:rPr>
        <w:t>声源在预测点产生的</w:t>
      </w:r>
      <w:r>
        <w:rPr>
          <w:sz w:val="24"/>
          <w:szCs w:val="24"/>
        </w:rPr>
        <w:t>A</w:t>
      </w:r>
      <w:r>
        <w:rPr>
          <w:sz w:val="24"/>
          <w:szCs w:val="24"/>
        </w:rPr>
        <w:t>声级，</w:t>
      </w:r>
      <w:r>
        <w:rPr>
          <w:sz w:val="24"/>
          <w:szCs w:val="24"/>
        </w:rPr>
        <w:t>dB</w:t>
      </w:r>
      <w:r>
        <w:rPr>
          <w:sz w:val="24"/>
          <w:szCs w:val="24"/>
        </w:rPr>
        <w:t>（</w:t>
      </w:r>
      <w:r>
        <w:rPr>
          <w:sz w:val="24"/>
          <w:szCs w:val="24"/>
        </w:rPr>
        <w:t>A</w:t>
      </w:r>
      <w:r>
        <w:rPr>
          <w:sz w:val="24"/>
          <w:szCs w:val="24"/>
        </w:rPr>
        <w:t>）；</w:t>
      </w:r>
    </w:p>
    <w:p w14:paraId="354932D7" w14:textId="77777777" w:rsidR="00606029" w:rsidRDefault="00EA5B92">
      <w:pPr>
        <w:spacing w:line="360" w:lineRule="auto"/>
        <w:ind w:firstLineChars="500" w:firstLine="1200"/>
        <w:rPr>
          <w:sz w:val="24"/>
          <w:szCs w:val="24"/>
        </w:rPr>
      </w:pPr>
      <w:r>
        <w:rPr>
          <w:sz w:val="24"/>
          <w:szCs w:val="24"/>
        </w:rPr>
        <w:t xml:space="preserve">T  — </w:t>
      </w:r>
      <w:r>
        <w:rPr>
          <w:sz w:val="24"/>
          <w:szCs w:val="24"/>
        </w:rPr>
        <w:t>预测计算的时间段，</w:t>
      </w:r>
      <w:r>
        <w:rPr>
          <w:sz w:val="24"/>
          <w:szCs w:val="24"/>
        </w:rPr>
        <w:t>s</w:t>
      </w:r>
      <w:r>
        <w:rPr>
          <w:sz w:val="24"/>
          <w:szCs w:val="24"/>
        </w:rPr>
        <w:t>；</w:t>
      </w:r>
    </w:p>
    <w:p w14:paraId="5430264A" w14:textId="77777777" w:rsidR="00606029" w:rsidRDefault="00EA5B92">
      <w:pPr>
        <w:spacing w:line="360" w:lineRule="auto"/>
        <w:ind w:firstLineChars="500" w:firstLine="1200"/>
        <w:rPr>
          <w:sz w:val="24"/>
          <w:szCs w:val="24"/>
        </w:rPr>
      </w:pPr>
      <w:r>
        <w:rPr>
          <w:sz w:val="24"/>
          <w:szCs w:val="24"/>
        </w:rPr>
        <w:t>t</w:t>
      </w:r>
      <w:r>
        <w:rPr>
          <w:sz w:val="24"/>
          <w:szCs w:val="24"/>
          <w:vertAlign w:val="subscript"/>
        </w:rPr>
        <w:t>i</w:t>
      </w:r>
      <w:r>
        <w:rPr>
          <w:sz w:val="24"/>
          <w:szCs w:val="24"/>
        </w:rPr>
        <w:t xml:space="preserve">  — i </w:t>
      </w:r>
      <w:r>
        <w:rPr>
          <w:sz w:val="24"/>
          <w:szCs w:val="24"/>
        </w:rPr>
        <w:t>声源在</w:t>
      </w:r>
      <w:r>
        <w:rPr>
          <w:sz w:val="24"/>
          <w:szCs w:val="24"/>
        </w:rPr>
        <w:t>T</w:t>
      </w:r>
      <w:r>
        <w:rPr>
          <w:sz w:val="24"/>
          <w:szCs w:val="24"/>
        </w:rPr>
        <w:t>时段内的运行时间，</w:t>
      </w:r>
      <w:r>
        <w:rPr>
          <w:sz w:val="24"/>
          <w:szCs w:val="24"/>
        </w:rPr>
        <w:t>s</w:t>
      </w:r>
      <w:r>
        <w:rPr>
          <w:sz w:val="24"/>
          <w:szCs w:val="24"/>
        </w:rPr>
        <w:t>。</w:t>
      </w:r>
    </w:p>
    <w:p w14:paraId="5639C9F6" w14:textId="77777777" w:rsidR="00606029" w:rsidRDefault="00EA5B92">
      <w:pPr>
        <w:spacing w:line="360" w:lineRule="auto"/>
        <w:ind w:firstLine="480"/>
        <w:rPr>
          <w:sz w:val="24"/>
          <w:szCs w:val="24"/>
        </w:rPr>
      </w:pPr>
      <w:r>
        <w:rPr>
          <w:sz w:val="24"/>
          <w:szCs w:val="24"/>
        </w:rPr>
        <w:t>2</w:t>
      </w:r>
      <w:r>
        <w:rPr>
          <w:sz w:val="24"/>
          <w:szCs w:val="24"/>
        </w:rPr>
        <w:t>、预测点的预测等效声级（</w:t>
      </w:r>
      <w:r>
        <w:rPr>
          <w:sz w:val="24"/>
          <w:szCs w:val="24"/>
        </w:rPr>
        <w:t>L</w:t>
      </w:r>
      <w:r>
        <w:rPr>
          <w:sz w:val="24"/>
          <w:szCs w:val="24"/>
          <w:vertAlign w:val="subscript"/>
        </w:rPr>
        <w:t xml:space="preserve"> eq </w:t>
      </w:r>
      <w:r>
        <w:rPr>
          <w:sz w:val="24"/>
          <w:szCs w:val="24"/>
        </w:rPr>
        <w:t>）计算公式</w:t>
      </w:r>
    </w:p>
    <w:p w14:paraId="0205BD7C" w14:textId="77777777" w:rsidR="00606029" w:rsidRDefault="00EA5B92">
      <w:pPr>
        <w:spacing w:line="360" w:lineRule="auto"/>
        <w:ind w:firstLine="480"/>
        <w:jc w:val="center"/>
      </w:pPr>
      <w:r>
        <w:object w:dxaOrig="3030" w:dyaOrig="450" w14:anchorId="223A403B">
          <v:shape id="_x0000_i1028" type="#_x0000_t75" style="width:151.8pt;height:22.8pt" o:ole="" o:preferrelative="f">
            <v:imagedata r:id="rId117" o:title="" embosscolor="white"/>
          </v:shape>
          <o:OLEObject Type="Embed" ProgID="Equation.3" ShapeID="_x0000_i1028" DrawAspect="Content" ObjectID="_1831554260" r:id="rId118"/>
        </w:object>
      </w:r>
    </w:p>
    <w:p w14:paraId="3142ECBA" w14:textId="37FEACD9" w:rsidR="00606029" w:rsidRDefault="00EA5B92">
      <w:pPr>
        <w:spacing w:line="360" w:lineRule="auto"/>
        <w:ind w:firstLine="480"/>
        <w:rPr>
          <w:sz w:val="24"/>
          <w:szCs w:val="24"/>
        </w:rPr>
      </w:pPr>
      <w:r>
        <w:rPr>
          <w:sz w:val="24"/>
          <w:szCs w:val="24"/>
        </w:rPr>
        <w:t>式中</w:t>
      </w:r>
      <w:r w:rsidR="006A52CC">
        <w:rPr>
          <w:sz w:val="24"/>
          <w:szCs w:val="24"/>
        </w:rPr>
        <w:t>：</w:t>
      </w:r>
      <w:r>
        <w:rPr>
          <w:sz w:val="24"/>
          <w:szCs w:val="24"/>
        </w:rPr>
        <w:t xml:space="preserve">L </w:t>
      </w:r>
      <w:r>
        <w:rPr>
          <w:sz w:val="24"/>
          <w:szCs w:val="24"/>
          <w:vertAlign w:val="subscript"/>
        </w:rPr>
        <w:t xml:space="preserve">eq g </w:t>
      </w:r>
      <w:r>
        <w:rPr>
          <w:sz w:val="24"/>
          <w:szCs w:val="24"/>
        </w:rPr>
        <w:t>—</w:t>
      </w:r>
      <w:r>
        <w:rPr>
          <w:sz w:val="24"/>
          <w:szCs w:val="24"/>
        </w:rPr>
        <w:t>建设项目声源在预测点的等效声级贡献值，</w:t>
      </w:r>
      <w:r>
        <w:rPr>
          <w:sz w:val="24"/>
          <w:szCs w:val="24"/>
        </w:rPr>
        <w:t>dB</w:t>
      </w:r>
      <w:r>
        <w:rPr>
          <w:sz w:val="24"/>
          <w:szCs w:val="24"/>
        </w:rPr>
        <w:t>（</w:t>
      </w:r>
      <w:r>
        <w:rPr>
          <w:sz w:val="24"/>
          <w:szCs w:val="24"/>
        </w:rPr>
        <w:t>A</w:t>
      </w:r>
      <w:r>
        <w:rPr>
          <w:sz w:val="24"/>
          <w:szCs w:val="24"/>
        </w:rPr>
        <w:t>）；</w:t>
      </w:r>
    </w:p>
    <w:p w14:paraId="6F807BA1" w14:textId="77777777" w:rsidR="00606029" w:rsidRDefault="00EA5B92">
      <w:pPr>
        <w:spacing w:line="360" w:lineRule="auto"/>
        <w:ind w:firstLineChars="500" w:firstLine="1200"/>
        <w:rPr>
          <w:sz w:val="24"/>
          <w:szCs w:val="24"/>
        </w:rPr>
      </w:pPr>
      <w:r>
        <w:rPr>
          <w:sz w:val="24"/>
          <w:szCs w:val="24"/>
        </w:rPr>
        <w:t>L</w:t>
      </w:r>
      <w:r>
        <w:rPr>
          <w:sz w:val="24"/>
          <w:szCs w:val="24"/>
          <w:vertAlign w:val="subscript"/>
        </w:rPr>
        <w:t xml:space="preserve"> eqb </w:t>
      </w:r>
      <w:r>
        <w:rPr>
          <w:sz w:val="24"/>
          <w:szCs w:val="24"/>
        </w:rPr>
        <w:t xml:space="preserve">— </w:t>
      </w:r>
      <w:r>
        <w:rPr>
          <w:sz w:val="24"/>
          <w:szCs w:val="24"/>
        </w:rPr>
        <w:t>预测点的背景值，</w:t>
      </w:r>
      <w:r>
        <w:rPr>
          <w:sz w:val="24"/>
          <w:szCs w:val="24"/>
        </w:rPr>
        <w:t>dB</w:t>
      </w:r>
      <w:r>
        <w:rPr>
          <w:sz w:val="24"/>
          <w:szCs w:val="24"/>
        </w:rPr>
        <w:t>（</w:t>
      </w:r>
      <w:r>
        <w:rPr>
          <w:sz w:val="24"/>
          <w:szCs w:val="24"/>
        </w:rPr>
        <w:t>A</w:t>
      </w:r>
      <w:r>
        <w:rPr>
          <w:sz w:val="24"/>
          <w:szCs w:val="24"/>
        </w:rPr>
        <w:t>）</w:t>
      </w:r>
      <w:r>
        <w:rPr>
          <w:sz w:val="24"/>
          <w:szCs w:val="24"/>
        </w:rPr>
        <w:t xml:space="preserve">                          </w:t>
      </w:r>
      <w:r>
        <w:rPr>
          <w:sz w:val="24"/>
          <w:szCs w:val="24"/>
        </w:rPr>
        <w:t>（</w:t>
      </w:r>
      <w:r>
        <w:rPr>
          <w:sz w:val="24"/>
          <w:szCs w:val="24"/>
        </w:rPr>
        <w:t>11</w:t>
      </w:r>
      <w:r>
        <w:rPr>
          <w:sz w:val="24"/>
          <w:szCs w:val="24"/>
        </w:rPr>
        <w:t>）</w:t>
      </w:r>
    </w:p>
    <w:p w14:paraId="2F13BB16" w14:textId="77777777" w:rsidR="00606029" w:rsidRDefault="00EA5B92">
      <w:pPr>
        <w:spacing w:line="360" w:lineRule="auto"/>
        <w:ind w:firstLineChars="200" w:firstLine="480"/>
        <w:rPr>
          <w:sz w:val="24"/>
          <w:szCs w:val="24"/>
        </w:rPr>
      </w:pPr>
      <w:r>
        <w:rPr>
          <w:sz w:val="24"/>
          <w:szCs w:val="24"/>
        </w:rPr>
        <w:t>3</w:t>
      </w:r>
      <w:r>
        <w:rPr>
          <w:sz w:val="24"/>
          <w:szCs w:val="24"/>
        </w:rPr>
        <w:t>、户外声传播衰减计算</w:t>
      </w:r>
    </w:p>
    <w:p w14:paraId="22FD0E8A" w14:textId="77777777" w:rsidR="00606029" w:rsidRDefault="00EA5B92">
      <w:pPr>
        <w:spacing w:line="360" w:lineRule="auto"/>
        <w:ind w:firstLine="482"/>
        <w:rPr>
          <w:sz w:val="24"/>
          <w:szCs w:val="24"/>
        </w:rPr>
      </w:pPr>
      <w:r>
        <w:rPr>
          <w:sz w:val="24"/>
          <w:szCs w:val="24"/>
        </w:rPr>
        <w:t>户外声传播衰减包括几何发散（</w:t>
      </w:r>
      <w:r>
        <w:rPr>
          <w:sz w:val="24"/>
          <w:szCs w:val="24"/>
        </w:rPr>
        <w:t>A</w:t>
      </w:r>
      <w:r>
        <w:rPr>
          <w:sz w:val="24"/>
          <w:szCs w:val="24"/>
          <w:vertAlign w:val="subscript"/>
        </w:rPr>
        <w:t>div</w:t>
      </w:r>
      <w:r>
        <w:rPr>
          <w:sz w:val="24"/>
          <w:szCs w:val="24"/>
        </w:rPr>
        <w:t>）、大气吸收（</w:t>
      </w:r>
      <w:r>
        <w:rPr>
          <w:sz w:val="24"/>
          <w:szCs w:val="24"/>
        </w:rPr>
        <w:t>A</w:t>
      </w:r>
      <w:r>
        <w:rPr>
          <w:sz w:val="24"/>
          <w:szCs w:val="24"/>
          <w:vertAlign w:val="subscript"/>
        </w:rPr>
        <w:t>atm</w:t>
      </w:r>
      <w:r>
        <w:rPr>
          <w:sz w:val="24"/>
          <w:szCs w:val="24"/>
        </w:rPr>
        <w:t>）、地面效应（</w:t>
      </w:r>
      <w:r>
        <w:rPr>
          <w:sz w:val="24"/>
          <w:szCs w:val="24"/>
        </w:rPr>
        <w:t>A</w:t>
      </w:r>
      <w:r>
        <w:rPr>
          <w:sz w:val="24"/>
          <w:szCs w:val="24"/>
          <w:vertAlign w:val="subscript"/>
        </w:rPr>
        <w:t>gr</w:t>
      </w:r>
      <w:r>
        <w:rPr>
          <w:sz w:val="24"/>
          <w:szCs w:val="24"/>
        </w:rPr>
        <w:t>）、屏障屏蔽（</w:t>
      </w:r>
      <w:r>
        <w:rPr>
          <w:sz w:val="24"/>
          <w:szCs w:val="24"/>
        </w:rPr>
        <w:t>A</w:t>
      </w:r>
      <w:r>
        <w:rPr>
          <w:sz w:val="24"/>
          <w:szCs w:val="24"/>
          <w:vertAlign w:val="subscript"/>
        </w:rPr>
        <w:t>bar</w:t>
      </w:r>
      <w:r>
        <w:rPr>
          <w:sz w:val="24"/>
          <w:szCs w:val="24"/>
        </w:rPr>
        <w:t>）、其他多方面效应（</w:t>
      </w:r>
      <w:r>
        <w:rPr>
          <w:sz w:val="24"/>
          <w:szCs w:val="24"/>
        </w:rPr>
        <w:t>A</w:t>
      </w:r>
      <w:r>
        <w:rPr>
          <w:sz w:val="24"/>
          <w:szCs w:val="24"/>
          <w:vertAlign w:val="subscript"/>
        </w:rPr>
        <w:t>misc</w:t>
      </w:r>
      <w:r>
        <w:rPr>
          <w:sz w:val="24"/>
          <w:szCs w:val="24"/>
        </w:rPr>
        <w:t>）引起的衰减。</w:t>
      </w:r>
    </w:p>
    <w:p w14:paraId="61238BEA" w14:textId="07CE7B6B" w:rsidR="00606029" w:rsidRDefault="00EA5B92">
      <w:pPr>
        <w:spacing w:line="360" w:lineRule="auto"/>
        <w:ind w:firstLine="482"/>
        <w:rPr>
          <w:sz w:val="24"/>
          <w:szCs w:val="24"/>
        </w:rPr>
      </w:pPr>
      <w:r>
        <w:rPr>
          <w:sz w:val="24"/>
          <w:szCs w:val="24"/>
        </w:rPr>
        <w:lastRenderedPageBreak/>
        <w:t>距声源点</w:t>
      </w:r>
      <w:r>
        <w:rPr>
          <w:sz w:val="24"/>
          <w:szCs w:val="24"/>
        </w:rPr>
        <w:t>r</w:t>
      </w:r>
      <w:r>
        <w:rPr>
          <w:sz w:val="24"/>
          <w:szCs w:val="24"/>
        </w:rPr>
        <w:t>处的</w:t>
      </w:r>
      <w:r>
        <w:rPr>
          <w:sz w:val="24"/>
          <w:szCs w:val="24"/>
        </w:rPr>
        <w:t>A</w:t>
      </w:r>
      <w:r>
        <w:rPr>
          <w:sz w:val="24"/>
          <w:szCs w:val="24"/>
        </w:rPr>
        <w:t>声级按下式计算</w:t>
      </w:r>
      <w:r w:rsidR="006A52CC">
        <w:rPr>
          <w:sz w:val="24"/>
          <w:szCs w:val="24"/>
        </w:rPr>
        <w:t>：</w:t>
      </w:r>
    </w:p>
    <w:p w14:paraId="2BBB6A4C" w14:textId="77777777" w:rsidR="00606029" w:rsidRDefault="00EA5B92">
      <w:pPr>
        <w:spacing w:line="360" w:lineRule="auto"/>
        <w:ind w:firstLine="482"/>
        <w:jc w:val="center"/>
      </w:pPr>
      <w:r>
        <w:rPr>
          <w:noProof/>
        </w:rPr>
        <w:drawing>
          <wp:inline distT="0" distB="0" distL="114300" distR="114300" wp14:anchorId="2FBED387" wp14:editId="46C5AF72">
            <wp:extent cx="3419475" cy="361950"/>
            <wp:effectExtent l="0" t="0" r="9525" b="0"/>
            <wp:docPr id="1708"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8" name="图片 105"/>
                    <pic:cNvPicPr preferRelativeResize="0">
                      <a:picLocks noChangeAspect="1"/>
                    </pic:cNvPicPr>
                  </pic:nvPicPr>
                  <pic:blipFill>
                    <a:blip r:embed="rId119"/>
                    <a:stretch>
                      <a:fillRect/>
                    </a:stretch>
                  </pic:blipFill>
                  <pic:spPr>
                    <a:xfrm>
                      <a:off x="0" y="0"/>
                      <a:ext cx="3419475" cy="361950"/>
                    </a:xfrm>
                    <a:prstGeom prst="rect">
                      <a:avLst/>
                    </a:prstGeom>
                    <a:noFill/>
                    <a:ln>
                      <a:noFill/>
                    </a:ln>
                  </pic:spPr>
                </pic:pic>
              </a:graphicData>
            </a:graphic>
          </wp:inline>
        </w:drawing>
      </w:r>
    </w:p>
    <w:p w14:paraId="4FE9BABA" w14:textId="77777777" w:rsidR="00606029" w:rsidRDefault="00EA5B92">
      <w:pPr>
        <w:spacing w:line="360" w:lineRule="auto"/>
        <w:ind w:firstLine="482"/>
        <w:rPr>
          <w:sz w:val="24"/>
          <w:szCs w:val="24"/>
        </w:rPr>
      </w:pPr>
      <w:r>
        <w:rPr>
          <w:sz w:val="24"/>
          <w:szCs w:val="24"/>
        </w:rPr>
        <w:t>在预测中考虑反射引起的修正、屏障引起的衰减、双绕射、室内声源等效室外声源等影响和计算方法。</w:t>
      </w:r>
    </w:p>
    <w:p w14:paraId="54AD5899" w14:textId="77777777" w:rsidR="00606029" w:rsidRDefault="00EA5B92">
      <w:pPr>
        <w:spacing w:line="360" w:lineRule="auto"/>
        <w:ind w:firstLine="482"/>
        <w:rPr>
          <w:sz w:val="24"/>
          <w:szCs w:val="24"/>
        </w:rPr>
      </w:pPr>
      <w:r>
        <w:rPr>
          <w:sz w:val="24"/>
          <w:szCs w:val="24"/>
        </w:rPr>
        <w:t>（</w:t>
      </w:r>
      <w:r>
        <w:rPr>
          <w:sz w:val="24"/>
          <w:szCs w:val="24"/>
        </w:rPr>
        <w:t>1</w:t>
      </w:r>
      <w:r>
        <w:rPr>
          <w:sz w:val="24"/>
          <w:szCs w:val="24"/>
        </w:rPr>
        <w:t>）点源的几何发散衰减（</w:t>
      </w:r>
      <w:r>
        <w:rPr>
          <w:sz w:val="24"/>
          <w:szCs w:val="24"/>
        </w:rPr>
        <w:t>A</w:t>
      </w:r>
      <w:r>
        <w:rPr>
          <w:sz w:val="24"/>
          <w:szCs w:val="24"/>
          <w:vertAlign w:val="subscript"/>
        </w:rPr>
        <w:t>div</w:t>
      </w:r>
      <w:r>
        <w:rPr>
          <w:sz w:val="24"/>
          <w:szCs w:val="24"/>
        </w:rPr>
        <w:t>）</w:t>
      </w:r>
    </w:p>
    <w:p w14:paraId="192CB60F" w14:textId="77777777" w:rsidR="00606029" w:rsidRDefault="00EA5B92">
      <w:pPr>
        <w:spacing w:line="360" w:lineRule="auto"/>
        <w:ind w:firstLine="482"/>
        <w:jc w:val="center"/>
      </w:pPr>
      <w:r>
        <w:object w:dxaOrig="2325" w:dyaOrig="675" w14:anchorId="28E8743E">
          <v:shape id="_x0000_i1029" type="#_x0000_t75" style="width:116.4pt;height:33.6pt" o:ole="" o:preferrelative="f">
            <v:imagedata r:id="rId120" o:title="" embosscolor="white"/>
          </v:shape>
          <o:OLEObject Type="Embed" ProgID="Equation.DSMT4" ShapeID="_x0000_i1029" DrawAspect="Content" ObjectID="_1831554261" r:id="rId121"/>
        </w:object>
      </w:r>
      <w:r>
        <w:t xml:space="preserve">    </w:t>
      </w:r>
      <w:r>
        <w:t>其中，</w:t>
      </w:r>
      <w:r>
        <w:object w:dxaOrig="1260" w:dyaOrig="675" w14:anchorId="78C04177">
          <v:shape id="_x0000_i1030" type="#_x0000_t75" style="width:63.6pt;height:33.6pt" o:ole="" o:preferrelative="f">
            <v:imagedata r:id="rId122" o:title="" embosscolor="white"/>
          </v:shape>
          <o:OLEObject Type="Embed" ProgID="Equation.DSMT4" ShapeID="_x0000_i1030" DrawAspect="Content" ObjectID="_1831554262" r:id="rId123"/>
        </w:object>
      </w:r>
    </w:p>
    <w:p w14:paraId="63511412" w14:textId="77777777" w:rsidR="00606029" w:rsidRDefault="00EA5B92">
      <w:pPr>
        <w:spacing w:line="360" w:lineRule="auto"/>
        <w:ind w:firstLine="482"/>
        <w:rPr>
          <w:sz w:val="24"/>
          <w:szCs w:val="24"/>
        </w:rPr>
      </w:pPr>
      <w:r>
        <w:rPr>
          <w:sz w:val="24"/>
          <w:szCs w:val="24"/>
        </w:rPr>
        <w:t>（</w:t>
      </w:r>
      <w:r>
        <w:rPr>
          <w:sz w:val="24"/>
          <w:szCs w:val="24"/>
        </w:rPr>
        <w:t>2</w:t>
      </w:r>
      <w:r>
        <w:rPr>
          <w:sz w:val="24"/>
          <w:szCs w:val="24"/>
        </w:rPr>
        <w:t>）空气吸收引起的衰减（</w:t>
      </w:r>
      <w:r>
        <w:rPr>
          <w:sz w:val="24"/>
          <w:szCs w:val="24"/>
        </w:rPr>
        <w:t>A</w:t>
      </w:r>
      <w:r>
        <w:rPr>
          <w:sz w:val="24"/>
          <w:szCs w:val="24"/>
          <w:vertAlign w:val="subscript"/>
        </w:rPr>
        <w:t>atm</w:t>
      </w:r>
      <w:r>
        <w:rPr>
          <w:sz w:val="24"/>
          <w:szCs w:val="24"/>
        </w:rPr>
        <w:t>）</w:t>
      </w:r>
    </w:p>
    <w:p w14:paraId="387BE057" w14:textId="77777777" w:rsidR="00606029" w:rsidRDefault="00EA5B92">
      <w:pPr>
        <w:spacing w:line="360" w:lineRule="auto"/>
        <w:ind w:firstLine="482"/>
        <w:jc w:val="center"/>
      </w:pPr>
      <w:r>
        <w:object w:dxaOrig="1500" w:dyaOrig="615" w14:anchorId="029C755C">
          <v:shape id="_x0000_i1031" type="#_x0000_t75" style="width:75.6pt;height:30.6pt" o:ole="" o:preferrelative="f">
            <v:imagedata r:id="rId124" o:title="" embosscolor="white"/>
          </v:shape>
          <o:OLEObject Type="Embed" ProgID="Equation.DSMT4" ShapeID="_x0000_i1031" DrawAspect="Content" ObjectID="_1831554263" r:id="rId125"/>
        </w:object>
      </w:r>
    </w:p>
    <w:p w14:paraId="035A2F5E" w14:textId="77777777" w:rsidR="00606029" w:rsidRDefault="00EA5B92">
      <w:pPr>
        <w:spacing w:line="360" w:lineRule="auto"/>
        <w:ind w:firstLineChars="100" w:firstLine="240"/>
        <w:jc w:val="left"/>
        <w:rPr>
          <w:sz w:val="24"/>
          <w:szCs w:val="24"/>
        </w:rPr>
      </w:pPr>
      <w:r>
        <w:rPr>
          <w:sz w:val="24"/>
          <w:szCs w:val="24"/>
        </w:rPr>
        <w:t>其中</w:t>
      </w:r>
      <w:r>
        <w:rPr>
          <w:sz w:val="24"/>
          <w:szCs w:val="24"/>
        </w:rPr>
        <w:t>a</w:t>
      </w:r>
      <w:r>
        <w:rPr>
          <w:sz w:val="24"/>
          <w:szCs w:val="24"/>
        </w:rPr>
        <w:t>为温度湿度和声波频率的函数。本项目所在地的平均气温</w:t>
      </w:r>
      <w:r>
        <w:rPr>
          <w:sz w:val="24"/>
          <w:szCs w:val="24"/>
        </w:rPr>
        <w:t>15.5℃</w:t>
      </w:r>
      <w:r>
        <w:rPr>
          <w:sz w:val="24"/>
          <w:szCs w:val="24"/>
        </w:rPr>
        <w:t>，相对湿度</w:t>
      </w:r>
      <w:r>
        <w:rPr>
          <w:sz w:val="24"/>
          <w:szCs w:val="24"/>
        </w:rPr>
        <w:t>80.1%</w:t>
      </w:r>
      <w:r>
        <w:rPr>
          <w:sz w:val="24"/>
          <w:szCs w:val="24"/>
        </w:rPr>
        <w:t>。根据查声导则表</w:t>
      </w:r>
      <w:r>
        <w:rPr>
          <w:sz w:val="24"/>
          <w:szCs w:val="24"/>
        </w:rPr>
        <w:t>3</w:t>
      </w:r>
      <w:r>
        <w:rPr>
          <w:sz w:val="24"/>
          <w:szCs w:val="24"/>
        </w:rPr>
        <w:t>可知，</w:t>
      </w:r>
      <w:r>
        <w:rPr>
          <w:bCs/>
          <w:sz w:val="24"/>
          <w:szCs w:val="24"/>
        </w:rPr>
        <w:t>a=4.1dB/km</w:t>
      </w:r>
      <w:r>
        <w:rPr>
          <w:bCs/>
          <w:sz w:val="24"/>
          <w:szCs w:val="24"/>
        </w:rPr>
        <w:t>，本项目传播距离较短，不考虑空气衰减。</w:t>
      </w:r>
    </w:p>
    <w:p w14:paraId="35D7E0BF" w14:textId="77777777" w:rsidR="00606029" w:rsidRDefault="00EA5B92">
      <w:pPr>
        <w:spacing w:line="360" w:lineRule="auto"/>
        <w:ind w:firstLine="482"/>
        <w:rPr>
          <w:sz w:val="24"/>
          <w:szCs w:val="24"/>
        </w:rPr>
      </w:pPr>
      <w:r>
        <w:rPr>
          <w:sz w:val="24"/>
          <w:szCs w:val="24"/>
        </w:rPr>
        <w:t>（</w:t>
      </w:r>
      <w:r>
        <w:rPr>
          <w:sz w:val="24"/>
          <w:szCs w:val="24"/>
        </w:rPr>
        <w:t>3</w:t>
      </w:r>
      <w:r>
        <w:rPr>
          <w:sz w:val="24"/>
          <w:szCs w:val="24"/>
        </w:rPr>
        <w:t>）地面效应（</w:t>
      </w:r>
      <w:r>
        <w:rPr>
          <w:sz w:val="24"/>
          <w:szCs w:val="24"/>
        </w:rPr>
        <w:t>A</w:t>
      </w:r>
      <w:r>
        <w:rPr>
          <w:sz w:val="24"/>
          <w:szCs w:val="24"/>
          <w:vertAlign w:val="subscript"/>
        </w:rPr>
        <w:t>gr</w:t>
      </w:r>
      <w:r>
        <w:rPr>
          <w:sz w:val="24"/>
          <w:szCs w:val="24"/>
        </w:rPr>
        <w:t>）</w:t>
      </w:r>
    </w:p>
    <w:p w14:paraId="35D5D0AF" w14:textId="77777777" w:rsidR="00606029" w:rsidRDefault="00EA5B92">
      <w:pPr>
        <w:spacing w:line="360" w:lineRule="auto"/>
        <w:ind w:firstLine="482"/>
        <w:jc w:val="center"/>
      </w:pPr>
      <w:r>
        <w:object w:dxaOrig="3360" w:dyaOrig="615" w14:anchorId="474EF91A">
          <v:shape id="_x0000_i1032" type="#_x0000_t75" style="width:168pt;height:30.6pt" o:ole="" o:preferrelative="f">
            <v:imagedata r:id="rId126" o:title="" embosscolor="white"/>
          </v:shape>
          <o:OLEObject Type="Embed" ProgID="Equation.DSMT4" ShapeID="_x0000_i1032" DrawAspect="Content" ObjectID="_1831554264" r:id="rId127"/>
        </w:object>
      </w:r>
    </w:p>
    <w:p w14:paraId="66B3A67C" w14:textId="77777777" w:rsidR="00606029" w:rsidRDefault="00EA5B92">
      <w:pPr>
        <w:spacing w:line="360" w:lineRule="auto"/>
        <w:jc w:val="left"/>
        <w:rPr>
          <w:sz w:val="24"/>
          <w:szCs w:val="24"/>
        </w:rPr>
      </w:pPr>
      <w:r>
        <w:rPr>
          <w:sz w:val="24"/>
          <w:szCs w:val="24"/>
        </w:rPr>
        <w:t>（适用于疏松地面或大部分为疏松的混合地面）</w:t>
      </w:r>
    </w:p>
    <w:p w14:paraId="1506C5E1" w14:textId="0DE49814" w:rsidR="00606029" w:rsidRDefault="00EA5B92">
      <w:pPr>
        <w:spacing w:line="360" w:lineRule="auto"/>
        <w:ind w:firstLine="482"/>
        <w:rPr>
          <w:sz w:val="24"/>
          <w:szCs w:val="24"/>
        </w:rPr>
      </w:pPr>
      <w:r>
        <w:rPr>
          <w:sz w:val="24"/>
          <w:szCs w:val="24"/>
        </w:rPr>
        <w:t>式中</w:t>
      </w:r>
      <w:r w:rsidR="006A52CC">
        <w:rPr>
          <w:sz w:val="24"/>
          <w:szCs w:val="24"/>
        </w:rPr>
        <w:t>：</w:t>
      </w:r>
      <w:r>
        <w:rPr>
          <w:sz w:val="24"/>
          <w:szCs w:val="24"/>
        </w:rPr>
        <w:t>r—</w:t>
      </w:r>
      <w:r>
        <w:rPr>
          <w:sz w:val="24"/>
          <w:szCs w:val="24"/>
        </w:rPr>
        <w:t>声源到预测点的距离，</w:t>
      </w:r>
      <w:r>
        <w:rPr>
          <w:sz w:val="24"/>
          <w:szCs w:val="24"/>
        </w:rPr>
        <w:t>m</w:t>
      </w:r>
      <w:r>
        <w:rPr>
          <w:sz w:val="24"/>
          <w:szCs w:val="24"/>
        </w:rPr>
        <w:t>；</w:t>
      </w:r>
    </w:p>
    <w:p w14:paraId="3FE2129E" w14:textId="77777777" w:rsidR="00606029" w:rsidRDefault="00EA5B92">
      <w:pPr>
        <w:spacing w:line="360" w:lineRule="auto"/>
        <w:ind w:firstLineChars="500" w:firstLine="1200"/>
        <w:rPr>
          <w:sz w:val="24"/>
          <w:szCs w:val="24"/>
        </w:rPr>
      </w:pPr>
      <w:r>
        <w:rPr>
          <w:sz w:val="24"/>
          <w:szCs w:val="24"/>
        </w:rPr>
        <w:t>h</w:t>
      </w:r>
      <w:r>
        <w:rPr>
          <w:sz w:val="24"/>
          <w:szCs w:val="24"/>
          <w:vertAlign w:val="subscript"/>
        </w:rPr>
        <w:t>m</w:t>
      </w:r>
      <w:r>
        <w:rPr>
          <w:sz w:val="24"/>
          <w:szCs w:val="24"/>
        </w:rPr>
        <w:t>—</w:t>
      </w:r>
      <w:r>
        <w:rPr>
          <w:sz w:val="24"/>
          <w:szCs w:val="24"/>
        </w:rPr>
        <w:t>传播途径的平均离地高度，</w:t>
      </w:r>
      <w:r>
        <w:rPr>
          <w:sz w:val="24"/>
          <w:szCs w:val="24"/>
        </w:rPr>
        <w:t>m</w:t>
      </w:r>
      <w:r>
        <w:rPr>
          <w:sz w:val="24"/>
          <w:szCs w:val="24"/>
        </w:rPr>
        <w:t>；可按导则图</w:t>
      </w:r>
      <w:r>
        <w:rPr>
          <w:sz w:val="24"/>
          <w:szCs w:val="24"/>
        </w:rPr>
        <w:t>5</w:t>
      </w:r>
      <w:r>
        <w:rPr>
          <w:sz w:val="24"/>
          <w:szCs w:val="24"/>
        </w:rPr>
        <w:t>进行计算，</w:t>
      </w:r>
      <w:r>
        <w:rPr>
          <w:sz w:val="24"/>
          <w:szCs w:val="24"/>
        </w:rPr>
        <w:t>h</w:t>
      </w:r>
      <w:r>
        <w:rPr>
          <w:sz w:val="24"/>
          <w:szCs w:val="24"/>
          <w:vertAlign w:val="subscript"/>
        </w:rPr>
        <w:t>m</w:t>
      </w:r>
      <w:r>
        <w:rPr>
          <w:sz w:val="24"/>
          <w:szCs w:val="24"/>
        </w:rPr>
        <w:t>=F/r</w:t>
      </w:r>
      <w:r>
        <w:rPr>
          <w:sz w:val="24"/>
          <w:szCs w:val="24"/>
        </w:rPr>
        <w:t>；</w:t>
      </w:r>
      <w:r>
        <w:rPr>
          <w:sz w:val="24"/>
          <w:szCs w:val="24"/>
        </w:rPr>
        <w:t>F</w:t>
      </w:r>
      <w:r>
        <w:rPr>
          <w:sz w:val="24"/>
          <w:szCs w:val="24"/>
        </w:rPr>
        <w:t>是面积（</w:t>
      </w:r>
      <w:r>
        <w:rPr>
          <w:sz w:val="24"/>
          <w:szCs w:val="24"/>
        </w:rPr>
        <w:t>m</w:t>
      </w:r>
      <w:r>
        <w:rPr>
          <w:sz w:val="24"/>
          <w:szCs w:val="24"/>
          <w:vertAlign w:val="superscript"/>
        </w:rPr>
        <w:t>2</w:t>
      </w:r>
      <w:r>
        <w:rPr>
          <w:sz w:val="24"/>
          <w:szCs w:val="24"/>
        </w:rPr>
        <w:t>）；</w:t>
      </w:r>
    </w:p>
    <w:p w14:paraId="5EF114FB" w14:textId="77777777" w:rsidR="00606029" w:rsidRDefault="00EA5B92">
      <w:pPr>
        <w:spacing w:line="360" w:lineRule="auto"/>
        <w:ind w:firstLine="482"/>
        <w:rPr>
          <w:sz w:val="24"/>
          <w:szCs w:val="24"/>
        </w:rPr>
      </w:pPr>
      <w:r>
        <w:rPr>
          <w:sz w:val="24"/>
          <w:szCs w:val="24"/>
        </w:rPr>
        <w:t>若</w:t>
      </w:r>
      <w:r>
        <w:rPr>
          <w:sz w:val="24"/>
          <w:szCs w:val="24"/>
        </w:rPr>
        <w:t>A</w:t>
      </w:r>
      <w:r>
        <w:rPr>
          <w:sz w:val="24"/>
          <w:szCs w:val="24"/>
          <w:vertAlign w:val="subscript"/>
        </w:rPr>
        <w:t>gr</w:t>
      </w:r>
      <w:r>
        <w:rPr>
          <w:sz w:val="24"/>
          <w:szCs w:val="24"/>
        </w:rPr>
        <w:t>计算出负值，则用零替代。</w:t>
      </w:r>
    </w:p>
    <w:p w14:paraId="61BEDC5D" w14:textId="77777777" w:rsidR="00606029" w:rsidRDefault="00EA5B92">
      <w:pPr>
        <w:spacing w:line="360" w:lineRule="auto"/>
        <w:ind w:firstLine="482"/>
        <w:rPr>
          <w:sz w:val="24"/>
          <w:szCs w:val="24"/>
        </w:rPr>
      </w:pPr>
      <w:r>
        <w:rPr>
          <w:sz w:val="24"/>
          <w:szCs w:val="24"/>
        </w:rPr>
        <w:t>其他情况参照</w:t>
      </w:r>
      <w:r>
        <w:rPr>
          <w:sz w:val="24"/>
          <w:szCs w:val="24"/>
        </w:rPr>
        <w:t>GB/T17247.2</w:t>
      </w:r>
      <w:r>
        <w:rPr>
          <w:sz w:val="24"/>
          <w:szCs w:val="24"/>
        </w:rPr>
        <w:t>进行计算。</w:t>
      </w:r>
    </w:p>
    <w:p w14:paraId="7218CD4C" w14:textId="59F38192" w:rsidR="00606029" w:rsidRDefault="00EA5B92">
      <w:pPr>
        <w:spacing w:line="360" w:lineRule="auto"/>
        <w:ind w:firstLine="482"/>
        <w:rPr>
          <w:sz w:val="24"/>
          <w:szCs w:val="24"/>
        </w:rPr>
      </w:pPr>
      <w:r>
        <w:rPr>
          <w:sz w:val="24"/>
          <w:szCs w:val="24"/>
        </w:rPr>
        <w:t>本项目所在区域为坚实地面，根据</w:t>
      </w:r>
      <w:r>
        <w:rPr>
          <w:sz w:val="24"/>
          <w:szCs w:val="24"/>
        </w:rPr>
        <w:t>GB/T17247.2</w:t>
      </w:r>
      <w:r>
        <w:rPr>
          <w:sz w:val="24"/>
          <w:szCs w:val="24"/>
        </w:rPr>
        <w:t>可知坚实地面的地面因子</w:t>
      </w:r>
      <w:r>
        <w:rPr>
          <w:sz w:val="24"/>
          <w:szCs w:val="24"/>
        </w:rPr>
        <w:t>G</w:t>
      </w:r>
      <w:r>
        <w:rPr>
          <w:sz w:val="24"/>
          <w:szCs w:val="24"/>
        </w:rPr>
        <w:t>取</w:t>
      </w:r>
      <w:r>
        <w:rPr>
          <w:sz w:val="24"/>
          <w:szCs w:val="24"/>
        </w:rPr>
        <w:t>0</w:t>
      </w:r>
      <w:r>
        <w:rPr>
          <w:sz w:val="24"/>
          <w:szCs w:val="24"/>
        </w:rPr>
        <w:t>，则计算公式如下</w:t>
      </w:r>
      <w:r w:rsidR="006A52CC">
        <w:rPr>
          <w:sz w:val="24"/>
          <w:szCs w:val="24"/>
        </w:rPr>
        <w:t>：</w:t>
      </w:r>
    </w:p>
    <w:p w14:paraId="3C88E3EE" w14:textId="77777777" w:rsidR="00606029" w:rsidRDefault="00EA5B92">
      <w:pPr>
        <w:spacing w:line="360" w:lineRule="auto"/>
        <w:ind w:firstLine="482"/>
        <w:jc w:val="center"/>
      </w:pPr>
      <w:r>
        <w:object w:dxaOrig="2218" w:dyaOrig="466" w14:anchorId="3BB73A82">
          <v:shape id="_x0000_i1033" type="#_x0000_t75" style="width:111.6pt;height:23.4pt" o:ole="" o:preferrelative="f">
            <v:imagedata r:id="rId128" o:title="" embosscolor="white"/>
          </v:shape>
          <o:OLEObject Type="Embed" ProgID="Equation.DSMT4" ShapeID="_x0000_i1033" DrawAspect="Content" ObjectID="_1831554265" r:id="rId129"/>
        </w:object>
      </w:r>
    </w:p>
    <w:p w14:paraId="6A9CFD19" w14:textId="77777777" w:rsidR="00606029" w:rsidRDefault="00EA5B92">
      <w:pPr>
        <w:spacing w:line="360" w:lineRule="auto"/>
        <w:ind w:firstLine="482"/>
        <w:rPr>
          <w:sz w:val="24"/>
          <w:szCs w:val="24"/>
        </w:rPr>
      </w:pPr>
      <w:r>
        <w:rPr>
          <w:sz w:val="24"/>
          <w:szCs w:val="24"/>
        </w:rPr>
        <w:t>（</w:t>
      </w:r>
      <w:r>
        <w:rPr>
          <w:sz w:val="24"/>
          <w:szCs w:val="24"/>
        </w:rPr>
        <w:t>4</w:t>
      </w:r>
      <w:r>
        <w:rPr>
          <w:sz w:val="24"/>
          <w:szCs w:val="24"/>
        </w:rPr>
        <w:t>）屏障引起的衰减（</w:t>
      </w:r>
      <w:r>
        <w:rPr>
          <w:sz w:val="24"/>
          <w:szCs w:val="24"/>
        </w:rPr>
        <w:t>A</w:t>
      </w:r>
      <w:r>
        <w:rPr>
          <w:sz w:val="24"/>
          <w:szCs w:val="24"/>
          <w:vertAlign w:val="subscript"/>
        </w:rPr>
        <w:t>bar</w:t>
      </w:r>
      <w:r>
        <w:rPr>
          <w:sz w:val="24"/>
          <w:szCs w:val="24"/>
        </w:rPr>
        <w:t>）</w:t>
      </w:r>
    </w:p>
    <w:p w14:paraId="23A6878B" w14:textId="77777777" w:rsidR="00606029" w:rsidRDefault="00EA5B92">
      <w:pPr>
        <w:spacing w:line="360" w:lineRule="auto"/>
        <w:ind w:firstLine="482"/>
        <w:jc w:val="center"/>
      </w:pPr>
      <w:r>
        <w:object w:dxaOrig="4500" w:dyaOrig="675" w14:anchorId="7F4C5275">
          <v:shape id="_x0000_i1034" type="#_x0000_t75" style="width:225.6pt;height:33.6pt" o:ole="" o:preferrelative="f">
            <v:imagedata r:id="rId130" o:title="" embosscolor="white"/>
          </v:shape>
          <o:OLEObject Type="Embed" ProgID="Equation.DSMT4" ShapeID="_x0000_i1034" DrawAspect="Content" ObjectID="_1831554266" r:id="rId131"/>
        </w:object>
      </w:r>
    </w:p>
    <w:p w14:paraId="46AAA2B5" w14:textId="77777777" w:rsidR="00606029" w:rsidRDefault="00EA5B92">
      <w:pPr>
        <w:spacing w:line="360" w:lineRule="auto"/>
        <w:ind w:firstLine="482"/>
        <w:rPr>
          <w:sz w:val="24"/>
          <w:szCs w:val="24"/>
        </w:rPr>
      </w:pPr>
      <w:r>
        <w:rPr>
          <w:sz w:val="24"/>
          <w:szCs w:val="24"/>
        </w:rPr>
        <w:t>当屏障很长（作无限长处理）时，</w:t>
      </w:r>
    </w:p>
    <w:p w14:paraId="1B30D0F9" w14:textId="77777777" w:rsidR="00606029" w:rsidRDefault="00EA5B92">
      <w:pPr>
        <w:spacing w:line="360" w:lineRule="auto"/>
        <w:ind w:firstLine="482"/>
        <w:jc w:val="center"/>
      </w:pPr>
      <w:r>
        <w:object w:dxaOrig="2415" w:dyaOrig="720" w14:anchorId="2E044C6A">
          <v:shape id="_x0000_i1035" type="#_x0000_t75" style="width:120.6pt;height:36pt" o:ole="" o:preferrelative="f">
            <v:imagedata r:id="rId132" o:title="" embosscolor="white"/>
          </v:shape>
          <o:OLEObject Type="Embed" ProgID="Equation.DSMT4" ShapeID="_x0000_i1035" DrawAspect="Content" ObjectID="_1831554267" r:id="rId133"/>
        </w:object>
      </w:r>
    </w:p>
    <w:p w14:paraId="3ACDA46B" w14:textId="77777777" w:rsidR="00606029" w:rsidRDefault="00EA5B92">
      <w:pPr>
        <w:spacing w:line="360" w:lineRule="auto"/>
        <w:ind w:firstLine="482"/>
        <w:jc w:val="center"/>
      </w:pPr>
      <w:r>
        <w:object w:dxaOrig="1255" w:dyaOrig="405" w14:anchorId="75F4465C">
          <v:shape id="_x0000_i1036" type="#_x0000_t75" style="width:63.6pt;height:20.4pt" o:ole="" o:preferrelative="f">
            <v:imagedata r:id="rId134" o:title="" embosscolor="white"/>
          </v:shape>
          <o:OLEObject Type="Embed" ProgID="Equation.DSMT4" ShapeID="_x0000_i1036" DrawAspect="Content" ObjectID="_1831554268" r:id="rId135"/>
        </w:object>
      </w:r>
      <w:r>
        <w:t>，</w:t>
      </w:r>
    </w:p>
    <w:p w14:paraId="7E296D0A" w14:textId="482532C0" w:rsidR="00606029" w:rsidRDefault="00EA5B92">
      <w:pPr>
        <w:spacing w:line="360" w:lineRule="auto"/>
        <w:ind w:firstLine="482"/>
        <w:jc w:val="center"/>
      </w:pPr>
      <w:r>
        <w:t>式中</w:t>
      </w:r>
      <w:r w:rsidR="006A52CC">
        <w:t>：</w:t>
      </w:r>
      <w:r>
        <w:t>N——</w:t>
      </w:r>
      <w:r>
        <w:t>菲涅尔数，</w:t>
      </w:r>
    </w:p>
    <w:p w14:paraId="1649267A" w14:textId="77777777" w:rsidR="00606029" w:rsidRDefault="00EA5B92">
      <w:pPr>
        <w:spacing w:line="360" w:lineRule="auto"/>
        <w:ind w:firstLine="482"/>
        <w:jc w:val="center"/>
      </w:pPr>
      <w:r>
        <w:object w:dxaOrig="225" w:dyaOrig="285" w14:anchorId="373C3F0B">
          <v:shape id="_x0000_i1037" type="#_x0000_t75" style="width:11.4pt;height:14.4pt" o:ole="" o:preferrelative="f">
            <v:imagedata r:id="rId136" o:title="" embosscolor="white"/>
          </v:shape>
          <o:OLEObject Type="Embed" ProgID="Equation.DSMT4" ShapeID="_x0000_i1037" DrawAspect="Content" ObjectID="_1831554269" r:id="rId137"/>
        </w:object>
      </w:r>
      <w:r>
        <w:t>——</w:t>
      </w:r>
      <w:r>
        <w:t>声程差</w:t>
      </w:r>
    </w:p>
    <w:p w14:paraId="0F55C3F4" w14:textId="77777777" w:rsidR="00606029" w:rsidRDefault="00EA5B92">
      <w:pPr>
        <w:spacing w:line="360" w:lineRule="auto"/>
        <w:ind w:firstLine="482"/>
        <w:jc w:val="center"/>
      </w:pPr>
      <w:r>
        <w:object w:dxaOrig="225" w:dyaOrig="285" w14:anchorId="1D4B5A25">
          <v:shape id="_x0000_i1038" type="#_x0000_t75" style="width:11.4pt;height:14.4pt" o:ole="" o:preferrelative="f">
            <v:imagedata r:id="rId138" o:title="" embosscolor="white"/>
          </v:shape>
          <o:OLEObject Type="Embed" ProgID="Equation.DSMT4" ShapeID="_x0000_i1038" DrawAspect="Content" ObjectID="_1831554270" r:id="rId139"/>
        </w:object>
      </w:r>
      <w:r>
        <w:t>——</w:t>
      </w:r>
      <w:r>
        <w:t>声波波长，本处为</w:t>
      </w:r>
      <w:r>
        <w:t>0.340m</w:t>
      </w:r>
      <w:r>
        <w:t>（</w:t>
      </w:r>
      <w:r>
        <w:t>λ=V/f</w:t>
      </w:r>
      <w:r>
        <w:t>）。</w:t>
      </w:r>
    </w:p>
    <w:p w14:paraId="684B32DE" w14:textId="77777777" w:rsidR="00606029" w:rsidRDefault="00EA5B92">
      <w:pPr>
        <w:spacing w:line="360" w:lineRule="auto"/>
        <w:ind w:firstLine="482"/>
        <w:rPr>
          <w:sz w:val="24"/>
          <w:szCs w:val="24"/>
        </w:rPr>
      </w:pPr>
      <w:r>
        <w:rPr>
          <w:sz w:val="24"/>
          <w:szCs w:val="24"/>
        </w:rPr>
        <w:t>本项目无围墙，因此不考虑屏障衰减。</w:t>
      </w:r>
    </w:p>
    <w:p w14:paraId="27EB5693" w14:textId="77777777" w:rsidR="00606029" w:rsidRDefault="00EA5B92">
      <w:pPr>
        <w:spacing w:line="360" w:lineRule="auto"/>
        <w:ind w:firstLine="482"/>
        <w:rPr>
          <w:sz w:val="24"/>
          <w:szCs w:val="24"/>
        </w:rPr>
      </w:pPr>
      <w:r>
        <w:rPr>
          <w:sz w:val="24"/>
          <w:szCs w:val="24"/>
        </w:rPr>
        <w:t>（</w:t>
      </w:r>
      <w:r>
        <w:rPr>
          <w:sz w:val="24"/>
          <w:szCs w:val="24"/>
        </w:rPr>
        <w:t>5</w:t>
      </w:r>
      <w:r>
        <w:rPr>
          <w:sz w:val="24"/>
          <w:szCs w:val="24"/>
        </w:rPr>
        <w:t>）其他多方面原因引起的衰减（</w:t>
      </w:r>
      <w:r>
        <w:rPr>
          <w:sz w:val="24"/>
          <w:szCs w:val="24"/>
        </w:rPr>
        <w:t>A</w:t>
      </w:r>
      <w:r>
        <w:rPr>
          <w:sz w:val="24"/>
          <w:szCs w:val="24"/>
          <w:vertAlign w:val="subscript"/>
        </w:rPr>
        <w:t>misc</w:t>
      </w:r>
      <w:r>
        <w:rPr>
          <w:sz w:val="24"/>
          <w:szCs w:val="24"/>
        </w:rPr>
        <w:t>）</w:t>
      </w:r>
    </w:p>
    <w:p w14:paraId="0A651CC6" w14:textId="0E7F089A" w:rsidR="00606029" w:rsidRDefault="00EA5B92">
      <w:pPr>
        <w:spacing w:line="360" w:lineRule="auto"/>
        <w:ind w:firstLine="482"/>
        <w:rPr>
          <w:sz w:val="24"/>
          <w:szCs w:val="24"/>
        </w:rPr>
      </w:pPr>
      <w:r>
        <w:rPr>
          <w:sz w:val="24"/>
          <w:szCs w:val="24"/>
        </w:rPr>
        <w:t>包括通过工业场所、房屋群的衰减，参照</w:t>
      </w:r>
      <w:r>
        <w:rPr>
          <w:sz w:val="24"/>
          <w:szCs w:val="24"/>
        </w:rPr>
        <w:t>GB/T17247.2</w:t>
      </w:r>
      <w:r>
        <w:rPr>
          <w:sz w:val="24"/>
          <w:szCs w:val="24"/>
        </w:rPr>
        <w:t>进行计算。主要包括如下</w:t>
      </w:r>
      <w:r w:rsidR="006A52CC">
        <w:rPr>
          <w:sz w:val="24"/>
          <w:szCs w:val="24"/>
        </w:rPr>
        <w:t>：</w:t>
      </w:r>
      <w:r>
        <w:rPr>
          <w:sz w:val="24"/>
          <w:szCs w:val="24"/>
        </w:rPr>
        <w:t>A</w:t>
      </w:r>
      <w:r>
        <w:rPr>
          <w:sz w:val="24"/>
          <w:szCs w:val="24"/>
          <w:vertAlign w:val="subscript"/>
        </w:rPr>
        <w:t>fol</w:t>
      </w:r>
      <w:r>
        <w:rPr>
          <w:sz w:val="24"/>
          <w:szCs w:val="24"/>
        </w:rPr>
        <w:t>，通过树叶的传播衰减；本处衰减系数为零。</w:t>
      </w:r>
      <w:r>
        <w:rPr>
          <w:sz w:val="24"/>
          <w:szCs w:val="24"/>
        </w:rPr>
        <w:t>A</w:t>
      </w:r>
      <w:r>
        <w:rPr>
          <w:sz w:val="24"/>
          <w:szCs w:val="24"/>
          <w:vertAlign w:val="subscript"/>
        </w:rPr>
        <w:t>site</w:t>
      </w:r>
      <w:r>
        <w:rPr>
          <w:sz w:val="24"/>
          <w:szCs w:val="24"/>
        </w:rPr>
        <w:t>，通过工业场所的传播衰减；本处衰减系数为零。</w:t>
      </w:r>
      <w:r>
        <w:rPr>
          <w:sz w:val="24"/>
          <w:szCs w:val="24"/>
        </w:rPr>
        <w:t>A</w:t>
      </w:r>
      <w:r>
        <w:rPr>
          <w:sz w:val="24"/>
          <w:szCs w:val="24"/>
          <w:vertAlign w:val="subscript"/>
        </w:rPr>
        <w:t>house</w:t>
      </w:r>
      <w:r>
        <w:rPr>
          <w:sz w:val="24"/>
          <w:szCs w:val="24"/>
        </w:rPr>
        <w:t>，通过房屋群区的传播衰减。本处衰减系数为零。</w:t>
      </w:r>
    </w:p>
    <w:p w14:paraId="640D8376" w14:textId="77777777" w:rsidR="00606029" w:rsidRDefault="00EA5B92">
      <w:pPr>
        <w:pStyle w:val="4"/>
        <w:numPr>
          <w:ilvl w:val="0"/>
          <w:numId w:val="0"/>
        </w:numPr>
        <w:tabs>
          <w:tab w:val="left" w:pos="864"/>
        </w:tabs>
        <w:jc w:val="left"/>
        <w:rPr>
          <w:szCs w:val="24"/>
        </w:rPr>
      </w:pPr>
      <w:r>
        <w:rPr>
          <w:szCs w:val="24"/>
        </w:rPr>
        <w:t>6.2.5.4</w:t>
      </w:r>
      <w:r>
        <w:rPr>
          <w:szCs w:val="24"/>
        </w:rPr>
        <w:t>预测结果与分析</w:t>
      </w:r>
    </w:p>
    <w:p w14:paraId="75793429" w14:textId="5D8A350E" w:rsidR="00606029" w:rsidRDefault="00EA5B92">
      <w:pPr>
        <w:spacing w:line="360" w:lineRule="auto"/>
        <w:ind w:firstLine="480"/>
        <w:rPr>
          <w:sz w:val="24"/>
          <w:szCs w:val="24"/>
        </w:rPr>
      </w:pPr>
      <w:r>
        <w:rPr>
          <w:sz w:val="24"/>
          <w:szCs w:val="24"/>
        </w:rPr>
        <w:t>填埋场区作业设备均为移动设备，并且多为单独作业，作业时间为昼间一班制，作业地点为填埋场填埋区。预测中考虑声波几何发散引起的衰减、填埋场区边界围墙的屏蔽效应和绿化带引起的声级衰减量，对空气吸收引起的声级衰减量和附加衰减量忽略不计。本评价在此基础上预测机械噪声对场界的影响，预测结果见下表。</w:t>
      </w:r>
    </w:p>
    <w:p w14:paraId="45D2F11F" w14:textId="62995441" w:rsidR="00606029" w:rsidRDefault="00EA5B92">
      <w:pPr>
        <w:pStyle w:val="affffff5"/>
      </w:pPr>
      <w:r>
        <w:t>表</w:t>
      </w:r>
      <w:r>
        <w:t>6.2</w:t>
      </w:r>
      <w:r w:rsidR="00FD0A87">
        <w:rPr>
          <w:rFonts w:hint="eastAsia"/>
        </w:rPr>
        <w:t>-31</w:t>
      </w:r>
      <w:r>
        <w:t xml:space="preserve"> </w:t>
      </w:r>
      <w:r>
        <w:t>移动噪声源预测结果</w:t>
      </w:r>
      <w:r>
        <w:t xml:space="preserve">  </w:t>
      </w:r>
      <w:r>
        <w:t>单位</w:t>
      </w:r>
      <w:r w:rsidR="006A52CC">
        <w:t>：</w:t>
      </w:r>
      <w:r>
        <w:t>dB</w:t>
      </w:r>
      <w:r>
        <w:t>（</w:t>
      </w:r>
      <w:r>
        <w:t>A</w:t>
      </w:r>
      <w:r>
        <w:t>）</w:t>
      </w:r>
    </w:p>
    <w:p w14:paraId="4878FF36" w14:textId="77777777" w:rsidR="00606029" w:rsidRDefault="00606029">
      <w:pPr>
        <w:spacing w:line="28" w:lineRule="exact"/>
      </w:pPr>
    </w:p>
    <w:tbl>
      <w:tblPr>
        <w:tblStyle w:val="TableNormal"/>
        <w:tblW w:w="4999" w:type="pct"/>
        <w:tblInd w:w="0" w:type="dxa"/>
        <w:tblBorders>
          <w:top w:val="single" w:sz="4" w:space="0" w:color="auto"/>
          <w:left w:val="single" w:sz="4" w:space="0" w:color="auto"/>
          <w:bottom w:val="single" w:sz="4" w:space="0" w:color="auto"/>
          <w:right w:val="single" w:sz="4" w:space="0" w:color="auto"/>
          <w:insideH w:val="single" w:sz="2" w:space="0" w:color="000000"/>
          <w:insideV w:val="single" w:sz="2" w:space="0" w:color="000000"/>
        </w:tblBorders>
        <w:tblLook w:val="04A0" w:firstRow="1" w:lastRow="0" w:firstColumn="1" w:lastColumn="0" w:noHBand="0" w:noVBand="1"/>
      </w:tblPr>
      <w:tblGrid>
        <w:gridCol w:w="1128"/>
        <w:gridCol w:w="1416"/>
        <w:gridCol w:w="4458"/>
        <w:gridCol w:w="260"/>
        <w:gridCol w:w="260"/>
        <w:gridCol w:w="260"/>
        <w:gridCol w:w="260"/>
        <w:gridCol w:w="387"/>
        <w:gridCol w:w="403"/>
      </w:tblGrid>
      <w:tr w:rsidR="00606029" w14:paraId="09464D2C" w14:textId="77777777" w:rsidTr="00FD0A87">
        <w:trPr>
          <w:trHeight w:val="57"/>
        </w:trPr>
        <w:tc>
          <w:tcPr>
            <w:tcW w:w="639" w:type="pct"/>
            <w:vMerge w:val="restart"/>
            <w:tcBorders>
              <w:bottom w:val="nil"/>
            </w:tcBorders>
            <w:vAlign w:val="center"/>
          </w:tcPr>
          <w:p w14:paraId="64E3A95C" w14:textId="77777777" w:rsidR="00606029" w:rsidRDefault="00EA5B92">
            <w:pPr>
              <w:spacing w:line="280" w:lineRule="exact"/>
              <w:jc w:val="center"/>
            </w:pPr>
            <w:r>
              <w:t>噪声源</w:t>
            </w:r>
          </w:p>
        </w:tc>
        <w:tc>
          <w:tcPr>
            <w:tcW w:w="802" w:type="pct"/>
            <w:vMerge w:val="restart"/>
            <w:tcBorders>
              <w:bottom w:val="nil"/>
            </w:tcBorders>
            <w:vAlign w:val="center"/>
          </w:tcPr>
          <w:p w14:paraId="0CE51A19" w14:textId="77777777" w:rsidR="00606029" w:rsidRDefault="00EA5B92">
            <w:pPr>
              <w:spacing w:line="280" w:lineRule="exact"/>
              <w:jc w:val="center"/>
            </w:pPr>
            <w:r>
              <w:t>噪声源强</w:t>
            </w:r>
          </w:p>
        </w:tc>
        <w:tc>
          <w:tcPr>
            <w:tcW w:w="2524" w:type="pct"/>
            <w:vMerge w:val="restart"/>
            <w:tcBorders>
              <w:bottom w:val="nil"/>
            </w:tcBorders>
            <w:vAlign w:val="center"/>
          </w:tcPr>
          <w:p w14:paraId="4C26E53B" w14:textId="77777777" w:rsidR="00606029" w:rsidRDefault="00EA5B92">
            <w:pPr>
              <w:spacing w:line="280" w:lineRule="exact"/>
              <w:jc w:val="center"/>
            </w:pPr>
            <w:r>
              <w:t>治理措施</w:t>
            </w:r>
          </w:p>
        </w:tc>
        <w:tc>
          <w:tcPr>
            <w:tcW w:w="1035" w:type="pct"/>
            <w:gridSpan w:val="6"/>
            <w:vAlign w:val="center"/>
          </w:tcPr>
          <w:p w14:paraId="0B34F276" w14:textId="77777777" w:rsidR="00606029" w:rsidRDefault="00EA5B92">
            <w:pPr>
              <w:spacing w:line="280" w:lineRule="exact"/>
              <w:jc w:val="center"/>
            </w:pPr>
            <w:r>
              <w:t>距离（</w:t>
            </w:r>
            <w:r>
              <w:t>m</w:t>
            </w:r>
            <w:r>
              <w:t>）</w:t>
            </w:r>
          </w:p>
        </w:tc>
      </w:tr>
      <w:tr w:rsidR="00606029" w14:paraId="4EC6065B" w14:textId="77777777" w:rsidTr="00FD0A87">
        <w:trPr>
          <w:trHeight w:val="57"/>
        </w:trPr>
        <w:tc>
          <w:tcPr>
            <w:tcW w:w="639" w:type="pct"/>
            <w:vMerge/>
            <w:tcBorders>
              <w:top w:val="nil"/>
            </w:tcBorders>
            <w:vAlign w:val="center"/>
          </w:tcPr>
          <w:p w14:paraId="690B3C37" w14:textId="77777777" w:rsidR="00606029" w:rsidRDefault="00606029">
            <w:pPr>
              <w:spacing w:line="280" w:lineRule="exact"/>
              <w:jc w:val="center"/>
            </w:pPr>
          </w:p>
        </w:tc>
        <w:tc>
          <w:tcPr>
            <w:tcW w:w="802" w:type="pct"/>
            <w:vMerge/>
            <w:tcBorders>
              <w:top w:val="nil"/>
            </w:tcBorders>
            <w:vAlign w:val="center"/>
          </w:tcPr>
          <w:p w14:paraId="6F1202C3" w14:textId="77777777" w:rsidR="00606029" w:rsidRDefault="00606029">
            <w:pPr>
              <w:spacing w:line="280" w:lineRule="exact"/>
              <w:jc w:val="center"/>
            </w:pPr>
          </w:p>
        </w:tc>
        <w:tc>
          <w:tcPr>
            <w:tcW w:w="2524" w:type="pct"/>
            <w:vMerge/>
            <w:tcBorders>
              <w:top w:val="nil"/>
            </w:tcBorders>
            <w:vAlign w:val="center"/>
          </w:tcPr>
          <w:p w14:paraId="2100EB8D" w14:textId="77777777" w:rsidR="00606029" w:rsidRDefault="00606029">
            <w:pPr>
              <w:spacing w:line="280" w:lineRule="exact"/>
              <w:jc w:val="center"/>
            </w:pPr>
          </w:p>
        </w:tc>
        <w:tc>
          <w:tcPr>
            <w:tcW w:w="147" w:type="pct"/>
            <w:vAlign w:val="center"/>
          </w:tcPr>
          <w:p w14:paraId="3B594BAD" w14:textId="77777777" w:rsidR="00606029" w:rsidRDefault="00EA5B92">
            <w:pPr>
              <w:spacing w:line="280" w:lineRule="exact"/>
              <w:jc w:val="center"/>
            </w:pPr>
            <w:r>
              <w:t>10</w:t>
            </w:r>
          </w:p>
        </w:tc>
        <w:tc>
          <w:tcPr>
            <w:tcW w:w="147" w:type="pct"/>
            <w:vAlign w:val="center"/>
          </w:tcPr>
          <w:p w14:paraId="6BB90250" w14:textId="77777777" w:rsidR="00606029" w:rsidRDefault="00EA5B92">
            <w:pPr>
              <w:spacing w:line="280" w:lineRule="exact"/>
              <w:jc w:val="center"/>
            </w:pPr>
            <w:r>
              <w:t>20</w:t>
            </w:r>
          </w:p>
        </w:tc>
        <w:tc>
          <w:tcPr>
            <w:tcW w:w="147" w:type="pct"/>
            <w:vAlign w:val="center"/>
          </w:tcPr>
          <w:p w14:paraId="339AA86E" w14:textId="77777777" w:rsidR="00606029" w:rsidRDefault="00EA5B92">
            <w:pPr>
              <w:spacing w:line="280" w:lineRule="exact"/>
              <w:jc w:val="center"/>
            </w:pPr>
            <w:r>
              <w:t>40</w:t>
            </w:r>
          </w:p>
        </w:tc>
        <w:tc>
          <w:tcPr>
            <w:tcW w:w="147" w:type="pct"/>
            <w:vAlign w:val="center"/>
          </w:tcPr>
          <w:p w14:paraId="4F3C570E" w14:textId="77777777" w:rsidR="00606029" w:rsidRDefault="00EA5B92">
            <w:pPr>
              <w:spacing w:line="280" w:lineRule="exact"/>
              <w:jc w:val="center"/>
            </w:pPr>
            <w:r>
              <w:t>60</w:t>
            </w:r>
          </w:p>
        </w:tc>
        <w:tc>
          <w:tcPr>
            <w:tcW w:w="219" w:type="pct"/>
            <w:vAlign w:val="center"/>
          </w:tcPr>
          <w:p w14:paraId="58E49EC8" w14:textId="77777777" w:rsidR="00606029" w:rsidRDefault="00EA5B92">
            <w:pPr>
              <w:spacing w:line="280" w:lineRule="exact"/>
              <w:jc w:val="center"/>
            </w:pPr>
            <w:r>
              <w:t>100</w:t>
            </w:r>
          </w:p>
        </w:tc>
        <w:tc>
          <w:tcPr>
            <w:tcW w:w="227" w:type="pct"/>
            <w:vAlign w:val="center"/>
          </w:tcPr>
          <w:p w14:paraId="55AC51AC" w14:textId="77777777" w:rsidR="00606029" w:rsidRDefault="00EA5B92">
            <w:pPr>
              <w:spacing w:line="280" w:lineRule="exact"/>
              <w:jc w:val="center"/>
            </w:pPr>
            <w:r>
              <w:t>150</w:t>
            </w:r>
          </w:p>
        </w:tc>
      </w:tr>
      <w:tr w:rsidR="00606029" w14:paraId="2B25354F" w14:textId="77777777" w:rsidTr="00FD0A87">
        <w:trPr>
          <w:trHeight w:val="57"/>
        </w:trPr>
        <w:tc>
          <w:tcPr>
            <w:tcW w:w="639" w:type="pct"/>
            <w:vAlign w:val="center"/>
          </w:tcPr>
          <w:p w14:paraId="1DEEA6DB" w14:textId="7614D6A2" w:rsidR="00606029" w:rsidRDefault="00FD0A87">
            <w:pPr>
              <w:spacing w:line="280" w:lineRule="exact"/>
              <w:jc w:val="center"/>
            </w:pPr>
            <w:r>
              <w:rPr>
                <w:rFonts w:hint="eastAsia"/>
              </w:rPr>
              <w:t>起重机</w:t>
            </w:r>
          </w:p>
        </w:tc>
        <w:tc>
          <w:tcPr>
            <w:tcW w:w="802" w:type="pct"/>
            <w:vAlign w:val="center"/>
          </w:tcPr>
          <w:p w14:paraId="6783D235" w14:textId="4CD1CC3F" w:rsidR="00606029" w:rsidRDefault="0036268C">
            <w:pPr>
              <w:spacing w:line="280" w:lineRule="exact"/>
              <w:jc w:val="center"/>
            </w:pPr>
            <w:r>
              <w:rPr>
                <w:rFonts w:hint="eastAsia"/>
              </w:rPr>
              <w:t>85</w:t>
            </w:r>
          </w:p>
        </w:tc>
        <w:tc>
          <w:tcPr>
            <w:tcW w:w="2524" w:type="pct"/>
            <w:vMerge w:val="restart"/>
            <w:vAlign w:val="center"/>
          </w:tcPr>
          <w:p w14:paraId="4724335D" w14:textId="0B8A4CF2" w:rsidR="00606029" w:rsidRDefault="00EA5B92">
            <w:pPr>
              <w:spacing w:line="280" w:lineRule="exact"/>
              <w:jc w:val="center"/>
            </w:pPr>
            <w:r>
              <w:t>绿化隔声、</w:t>
            </w:r>
            <w:r w:rsidR="00FD0A87">
              <w:rPr>
                <w:rFonts w:hint="eastAsia"/>
              </w:rPr>
              <w:t>加强维修保养、合理安排作业时间</w:t>
            </w:r>
          </w:p>
        </w:tc>
        <w:tc>
          <w:tcPr>
            <w:tcW w:w="147" w:type="pct"/>
            <w:vAlign w:val="center"/>
          </w:tcPr>
          <w:p w14:paraId="52D35724" w14:textId="77777777" w:rsidR="00606029" w:rsidRDefault="00EA5B92">
            <w:pPr>
              <w:spacing w:line="280" w:lineRule="exact"/>
              <w:jc w:val="center"/>
            </w:pPr>
            <w:r>
              <w:t>55</w:t>
            </w:r>
          </w:p>
        </w:tc>
        <w:tc>
          <w:tcPr>
            <w:tcW w:w="147" w:type="pct"/>
            <w:vAlign w:val="center"/>
          </w:tcPr>
          <w:p w14:paraId="10C2F08C" w14:textId="77777777" w:rsidR="00606029" w:rsidRDefault="00EA5B92">
            <w:pPr>
              <w:spacing w:line="280" w:lineRule="exact"/>
              <w:jc w:val="center"/>
            </w:pPr>
            <w:r>
              <w:t>49</w:t>
            </w:r>
          </w:p>
        </w:tc>
        <w:tc>
          <w:tcPr>
            <w:tcW w:w="147" w:type="pct"/>
            <w:vAlign w:val="center"/>
          </w:tcPr>
          <w:p w14:paraId="2192F6FD" w14:textId="77777777" w:rsidR="00606029" w:rsidRDefault="00EA5B92">
            <w:pPr>
              <w:spacing w:line="280" w:lineRule="exact"/>
              <w:jc w:val="center"/>
            </w:pPr>
            <w:r>
              <w:t>43</w:t>
            </w:r>
          </w:p>
        </w:tc>
        <w:tc>
          <w:tcPr>
            <w:tcW w:w="147" w:type="pct"/>
            <w:vAlign w:val="center"/>
          </w:tcPr>
          <w:p w14:paraId="1E1A105E" w14:textId="77777777" w:rsidR="00606029" w:rsidRDefault="00EA5B92">
            <w:pPr>
              <w:spacing w:line="280" w:lineRule="exact"/>
              <w:jc w:val="center"/>
            </w:pPr>
            <w:r>
              <w:t>39</w:t>
            </w:r>
          </w:p>
        </w:tc>
        <w:tc>
          <w:tcPr>
            <w:tcW w:w="219" w:type="pct"/>
            <w:vAlign w:val="center"/>
          </w:tcPr>
          <w:p w14:paraId="68F2B26C" w14:textId="77777777" w:rsidR="00606029" w:rsidRDefault="00EA5B92">
            <w:pPr>
              <w:spacing w:line="280" w:lineRule="exact"/>
              <w:jc w:val="center"/>
            </w:pPr>
            <w:r>
              <w:t>35</w:t>
            </w:r>
          </w:p>
        </w:tc>
        <w:tc>
          <w:tcPr>
            <w:tcW w:w="227" w:type="pct"/>
            <w:vAlign w:val="center"/>
          </w:tcPr>
          <w:p w14:paraId="41B3D5FD" w14:textId="77777777" w:rsidR="00606029" w:rsidRDefault="00EA5B92">
            <w:pPr>
              <w:spacing w:line="280" w:lineRule="exact"/>
              <w:jc w:val="center"/>
            </w:pPr>
            <w:r>
              <w:t>31</w:t>
            </w:r>
          </w:p>
        </w:tc>
      </w:tr>
      <w:tr w:rsidR="00606029" w14:paraId="067D695B" w14:textId="77777777" w:rsidTr="00FD0A87">
        <w:trPr>
          <w:trHeight w:val="57"/>
        </w:trPr>
        <w:tc>
          <w:tcPr>
            <w:tcW w:w="639" w:type="pct"/>
            <w:vAlign w:val="center"/>
          </w:tcPr>
          <w:p w14:paraId="70E34113" w14:textId="677C7955" w:rsidR="00606029" w:rsidRDefault="00FD0A87">
            <w:pPr>
              <w:spacing w:line="280" w:lineRule="exact"/>
              <w:jc w:val="center"/>
            </w:pPr>
            <w:r>
              <w:rPr>
                <w:rFonts w:hint="eastAsia"/>
              </w:rPr>
              <w:t>运输车辆</w:t>
            </w:r>
          </w:p>
        </w:tc>
        <w:tc>
          <w:tcPr>
            <w:tcW w:w="802" w:type="pct"/>
            <w:vAlign w:val="center"/>
          </w:tcPr>
          <w:p w14:paraId="59445B34" w14:textId="1958E8AA" w:rsidR="00606029" w:rsidRDefault="0036268C">
            <w:pPr>
              <w:spacing w:line="280" w:lineRule="exact"/>
              <w:jc w:val="center"/>
            </w:pPr>
            <w:r>
              <w:rPr>
                <w:rFonts w:hint="eastAsia"/>
              </w:rPr>
              <w:t>90</w:t>
            </w:r>
          </w:p>
        </w:tc>
        <w:tc>
          <w:tcPr>
            <w:tcW w:w="2524" w:type="pct"/>
            <w:vMerge/>
            <w:vAlign w:val="center"/>
          </w:tcPr>
          <w:p w14:paraId="2E6BC9E9" w14:textId="77777777" w:rsidR="00606029" w:rsidRDefault="00606029">
            <w:pPr>
              <w:spacing w:line="280" w:lineRule="exact"/>
              <w:jc w:val="center"/>
            </w:pPr>
          </w:p>
        </w:tc>
        <w:tc>
          <w:tcPr>
            <w:tcW w:w="147" w:type="pct"/>
            <w:vAlign w:val="center"/>
          </w:tcPr>
          <w:p w14:paraId="782DB852" w14:textId="77777777" w:rsidR="00606029" w:rsidRDefault="00EA5B92">
            <w:pPr>
              <w:spacing w:line="280" w:lineRule="exact"/>
              <w:jc w:val="center"/>
            </w:pPr>
            <w:r>
              <w:t>50</w:t>
            </w:r>
          </w:p>
        </w:tc>
        <w:tc>
          <w:tcPr>
            <w:tcW w:w="147" w:type="pct"/>
            <w:vAlign w:val="center"/>
          </w:tcPr>
          <w:p w14:paraId="0D052956" w14:textId="77777777" w:rsidR="00606029" w:rsidRDefault="00EA5B92">
            <w:pPr>
              <w:spacing w:line="280" w:lineRule="exact"/>
              <w:jc w:val="center"/>
            </w:pPr>
            <w:r>
              <w:t>44</w:t>
            </w:r>
          </w:p>
        </w:tc>
        <w:tc>
          <w:tcPr>
            <w:tcW w:w="147" w:type="pct"/>
            <w:vAlign w:val="center"/>
          </w:tcPr>
          <w:p w14:paraId="1A0F9259" w14:textId="77777777" w:rsidR="00606029" w:rsidRDefault="00EA5B92">
            <w:pPr>
              <w:spacing w:line="280" w:lineRule="exact"/>
              <w:jc w:val="center"/>
            </w:pPr>
            <w:r>
              <w:t>38</w:t>
            </w:r>
          </w:p>
        </w:tc>
        <w:tc>
          <w:tcPr>
            <w:tcW w:w="147" w:type="pct"/>
            <w:vAlign w:val="center"/>
          </w:tcPr>
          <w:p w14:paraId="626E2C75" w14:textId="77777777" w:rsidR="00606029" w:rsidRDefault="00EA5B92">
            <w:pPr>
              <w:spacing w:line="280" w:lineRule="exact"/>
              <w:jc w:val="center"/>
            </w:pPr>
            <w:r>
              <w:t>34</w:t>
            </w:r>
          </w:p>
        </w:tc>
        <w:tc>
          <w:tcPr>
            <w:tcW w:w="219" w:type="pct"/>
            <w:vAlign w:val="center"/>
          </w:tcPr>
          <w:p w14:paraId="37AC7353" w14:textId="77777777" w:rsidR="00606029" w:rsidRDefault="00EA5B92">
            <w:pPr>
              <w:spacing w:line="280" w:lineRule="exact"/>
              <w:jc w:val="center"/>
            </w:pPr>
            <w:r>
              <w:t>30</w:t>
            </w:r>
          </w:p>
        </w:tc>
        <w:tc>
          <w:tcPr>
            <w:tcW w:w="227" w:type="pct"/>
            <w:vAlign w:val="center"/>
          </w:tcPr>
          <w:p w14:paraId="6DD1036D" w14:textId="77777777" w:rsidR="00606029" w:rsidRDefault="00EA5B92">
            <w:pPr>
              <w:spacing w:line="280" w:lineRule="exact"/>
              <w:jc w:val="center"/>
            </w:pPr>
            <w:r>
              <w:t>26</w:t>
            </w:r>
          </w:p>
        </w:tc>
      </w:tr>
    </w:tbl>
    <w:p w14:paraId="64F12BBB" w14:textId="77777777" w:rsidR="00606029" w:rsidRDefault="00EA5B92">
      <w:pPr>
        <w:spacing w:line="360" w:lineRule="auto"/>
        <w:ind w:firstLine="480"/>
        <w:rPr>
          <w:sz w:val="24"/>
          <w:szCs w:val="24"/>
        </w:rPr>
      </w:pPr>
      <w:r>
        <w:rPr>
          <w:sz w:val="24"/>
          <w:szCs w:val="24"/>
        </w:rPr>
        <w:t>根据《环境影响评价技术导则</w:t>
      </w:r>
      <w:r>
        <w:rPr>
          <w:sz w:val="24"/>
          <w:szCs w:val="24"/>
        </w:rPr>
        <w:t xml:space="preserve"> </w:t>
      </w:r>
      <w:r>
        <w:rPr>
          <w:sz w:val="24"/>
          <w:szCs w:val="24"/>
        </w:rPr>
        <w:t>声环境》（</w:t>
      </w:r>
      <w:r>
        <w:rPr>
          <w:sz w:val="24"/>
          <w:szCs w:val="24"/>
        </w:rPr>
        <w:t>HJ2.4-2021</w:t>
      </w:r>
      <w:r>
        <w:rPr>
          <w:sz w:val="24"/>
          <w:szCs w:val="24"/>
        </w:rPr>
        <w:t>），项目厂界以噪声贡献值叠加背景值后的预测值作为评价量。本项目建成后场界四周预测值结果详见下表。</w:t>
      </w:r>
    </w:p>
    <w:p w14:paraId="1327842C" w14:textId="080485E6" w:rsidR="00606029" w:rsidRDefault="00EA5B92">
      <w:pPr>
        <w:pStyle w:val="affffff5"/>
      </w:pPr>
      <w:r>
        <w:t>表</w:t>
      </w:r>
      <w:r>
        <w:t>6.2</w:t>
      </w:r>
      <w:r w:rsidR="00FD0A87">
        <w:rPr>
          <w:rFonts w:hint="eastAsia"/>
        </w:rPr>
        <w:t>-32</w:t>
      </w:r>
      <w:r>
        <w:t xml:space="preserve">  </w:t>
      </w:r>
      <w:r>
        <w:t>项目四周场界噪声贡献值一览表</w:t>
      </w:r>
      <w:r>
        <w:t xml:space="preserve">  </w:t>
      </w:r>
      <w:r>
        <w:t>单位</w:t>
      </w:r>
      <w:r w:rsidR="006A52CC">
        <w:t>：</w:t>
      </w:r>
      <w:r>
        <w:t>dB</w:t>
      </w:r>
      <w:r>
        <w:t>（</w:t>
      </w:r>
      <w:r>
        <w:t>A</w:t>
      </w:r>
      <w:r>
        <w:t>）</w:t>
      </w:r>
    </w:p>
    <w:tbl>
      <w:tblPr>
        <w:tblStyle w:val="TableNormal"/>
        <w:tblW w:w="5000" w:type="pct"/>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541"/>
        <w:gridCol w:w="1412"/>
        <w:gridCol w:w="1383"/>
        <w:gridCol w:w="1300"/>
        <w:gridCol w:w="1216"/>
      </w:tblGrid>
      <w:tr w:rsidR="00053ED2" w14:paraId="5093EADC" w14:textId="77777777" w:rsidTr="00053ED2">
        <w:trPr>
          <w:trHeight w:val="57"/>
        </w:trPr>
        <w:tc>
          <w:tcPr>
            <w:tcW w:w="1122" w:type="pct"/>
            <w:vMerge w:val="restart"/>
            <w:vAlign w:val="center"/>
          </w:tcPr>
          <w:p w14:paraId="6E063A4A" w14:textId="77777777" w:rsidR="00053ED2" w:rsidRDefault="00053ED2">
            <w:pPr>
              <w:adjustRightInd w:val="0"/>
              <w:snapToGrid w:val="0"/>
              <w:jc w:val="center"/>
            </w:pPr>
            <w:r>
              <w:t>类型</w:t>
            </w:r>
          </w:p>
        </w:tc>
        <w:tc>
          <w:tcPr>
            <w:tcW w:w="3190" w:type="pct"/>
            <w:gridSpan w:val="4"/>
            <w:vAlign w:val="center"/>
          </w:tcPr>
          <w:p w14:paraId="1C8369AB" w14:textId="71A6BC66" w:rsidR="00053ED2" w:rsidRDefault="00053ED2">
            <w:pPr>
              <w:adjustRightInd w:val="0"/>
              <w:snapToGrid w:val="0"/>
              <w:jc w:val="center"/>
            </w:pPr>
            <w:r>
              <w:t>噪声值</w:t>
            </w:r>
          </w:p>
        </w:tc>
        <w:tc>
          <w:tcPr>
            <w:tcW w:w="688" w:type="pct"/>
            <w:vMerge w:val="restart"/>
            <w:vAlign w:val="center"/>
          </w:tcPr>
          <w:p w14:paraId="43A5F424" w14:textId="77777777" w:rsidR="00053ED2" w:rsidRDefault="00053ED2">
            <w:pPr>
              <w:adjustRightInd w:val="0"/>
              <w:snapToGrid w:val="0"/>
              <w:jc w:val="center"/>
            </w:pPr>
            <w:r>
              <w:t>标准值</w:t>
            </w:r>
          </w:p>
        </w:tc>
      </w:tr>
      <w:tr w:rsidR="0036268C" w14:paraId="551F6115" w14:textId="77777777" w:rsidTr="0036268C">
        <w:trPr>
          <w:trHeight w:val="57"/>
        </w:trPr>
        <w:tc>
          <w:tcPr>
            <w:tcW w:w="1122" w:type="pct"/>
            <w:vMerge/>
            <w:vAlign w:val="center"/>
          </w:tcPr>
          <w:p w14:paraId="55A5D555" w14:textId="77777777" w:rsidR="0036268C" w:rsidRDefault="0036268C">
            <w:pPr>
              <w:adjustRightInd w:val="0"/>
              <w:snapToGrid w:val="0"/>
              <w:jc w:val="center"/>
            </w:pPr>
          </w:p>
        </w:tc>
        <w:tc>
          <w:tcPr>
            <w:tcW w:w="872" w:type="pct"/>
            <w:vAlign w:val="center"/>
          </w:tcPr>
          <w:p w14:paraId="55F60ECB" w14:textId="77777777" w:rsidR="0036268C" w:rsidRDefault="0036268C">
            <w:pPr>
              <w:adjustRightInd w:val="0"/>
              <w:snapToGrid w:val="0"/>
              <w:jc w:val="center"/>
            </w:pPr>
            <w:r>
              <w:t>东厂界</w:t>
            </w:r>
          </w:p>
        </w:tc>
        <w:tc>
          <w:tcPr>
            <w:tcW w:w="799" w:type="pct"/>
            <w:vAlign w:val="center"/>
          </w:tcPr>
          <w:p w14:paraId="5BA277AF" w14:textId="77777777" w:rsidR="0036268C" w:rsidRDefault="0036268C">
            <w:pPr>
              <w:adjustRightInd w:val="0"/>
              <w:snapToGrid w:val="0"/>
              <w:jc w:val="center"/>
            </w:pPr>
            <w:r>
              <w:t>南厂界</w:t>
            </w:r>
          </w:p>
        </w:tc>
        <w:tc>
          <w:tcPr>
            <w:tcW w:w="783" w:type="pct"/>
            <w:vAlign w:val="center"/>
          </w:tcPr>
          <w:p w14:paraId="02D64AAC" w14:textId="77777777" w:rsidR="0036268C" w:rsidRDefault="0036268C">
            <w:pPr>
              <w:adjustRightInd w:val="0"/>
              <w:snapToGrid w:val="0"/>
              <w:jc w:val="center"/>
            </w:pPr>
            <w:r>
              <w:t>西厂界</w:t>
            </w:r>
          </w:p>
        </w:tc>
        <w:tc>
          <w:tcPr>
            <w:tcW w:w="736" w:type="pct"/>
            <w:vAlign w:val="center"/>
          </w:tcPr>
          <w:p w14:paraId="71FB50A5" w14:textId="77777777" w:rsidR="0036268C" w:rsidRDefault="0036268C">
            <w:pPr>
              <w:adjustRightInd w:val="0"/>
              <w:snapToGrid w:val="0"/>
              <w:jc w:val="center"/>
            </w:pPr>
            <w:r>
              <w:t>北厂界</w:t>
            </w:r>
          </w:p>
        </w:tc>
        <w:tc>
          <w:tcPr>
            <w:tcW w:w="688" w:type="pct"/>
            <w:vMerge/>
            <w:vAlign w:val="center"/>
          </w:tcPr>
          <w:p w14:paraId="46160089" w14:textId="77777777" w:rsidR="0036268C" w:rsidRDefault="0036268C">
            <w:pPr>
              <w:adjustRightInd w:val="0"/>
              <w:snapToGrid w:val="0"/>
              <w:jc w:val="center"/>
            </w:pPr>
          </w:p>
        </w:tc>
      </w:tr>
      <w:tr w:rsidR="0036268C" w14:paraId="19D47EF4" w14:textId="77777777" w:rsidTr="0036268C">
        <w:trPr>
          <w:trHeight w:val="57"/>
        </w:trPr>
        <w:tc>
          <w:tcPr>
            <w:tcW w:w="1122" w:type="pct"/>
            <w:vAlign w:val="center"/>
          </w:tcPr>
          <w:p w14:paraId="2FDC5040" w14:textId="77777777" w:rsidR="0036268C" w:rsidRDefault="0036268C">
            <w:pPr>
              <w:adjustRightInd w:val="0"/>
              <w:snapToGrid w:val="0"/>
              <w:jc w:val="center"/>
            </w:pPr>
            <w:r>
              <w:t>贡献值</w:t>
            </w:r>
          </w:p>
        </w:tc>
        <w:tc>
          <w:tcPr>
            <w:tcW w:w="872" w:type="pct"/>
            <w:vAlign w:val="center"/>
          </w:tcPr>
          <w:p w14:paraId="31FF7720" w14:textId="1B1CDD28" w:rsidR="0036268C" w:rsidRDefault="00053ED2">
            <w:pPr>
              <w:adjustRightInd w:val="0"/>
              <w:snapToGrid w:val="0"/>
              <w:jc w:val="center"/>
            </w:pPr>
            <w:r>
              <w:rPr>
                <w:rFonts w:hint="eastAsia"/>
              </w:rPr>
              <w:t>44</w:t>
            </w:r>
          </w:p>
        </w:tc>
        <w:tc>
          <w:tcPr>
            <w:tcW w:w="799" w:type="pct"/>
            <w:vAlign w:val="center"/>
          </w:tcPr>
          <w:p w14:paraId="3089D23B" w14:textId="3C53DFE7" w:rsidR="0036268C" w:rsidRDefault="00053ED2">
            <w:pPr>
              <w:adjustRightInd w:val="0"/>
              <w:snapToGrid w:val="0"/>
              <w:jc w:val="center"/>
            </w:pPr>
            <w:r>
              <w:rPr>
                <w:rFonts w:hint="eastAsia"/>
              </w:rPr>
              <w:t>51</w:t>
            </w:r>
          </w:p>
        </w:tc>
        <w:tc>
          <w:tcPr>
            <w:tcW w:w="783" w:type="pct"/>
            <w:vAlign w:val="center"/>
          </w:tcPr>
          <w:p w14:paraId="3252DF7A" w14:textId="4C2558F2" w:rsidR="0036268C" w:rsidRDefault="00053ED2">
            <w:pPr>
              <w:adjustRightInd w:val="0"/>
              <w:snapToGrid w:val="0"/>
              <w:jc w:val="center"/>
            </w:pPr>
            <w:r>
              <w:rPr>
                <w:rFonts w:hint="eastAsia"/>
              </w:rPr>
              <w:t>36</w:t>
            </w:r>
          </w:p>
        </w:tc>
        <w:tc>
          <w:tcPr>
            <w:tcW w:w="736" w:type="pct"/>
            <w:vAlign w:val="center"/>
          </w:tcPr>
          <w:p w14:paraId="30540E15" w14:textId="001D9F8F" w:rsidR="0036268C" w:rsidRDefault="00053ED2">
            <w:pPr>
              <w:adjustRightInd w:val="0"/>
              <w:snapToGrid w:val="0"/>
              <w:jc w:val="center"/>
            </w:pPr>
            <w:r>
              <w:rPr>
                <w:rFonts w:hint="eastAsia"/>
              </w:rPr>
              <w:t>38</w:t>
            </w:r>
          </w:p>
        </w:tc>
        <w:tc>
          <w:tcPr>
            <w:tcW w:w="688" w:type="pct"/>
            <w:vAlign w:val="center"/>
          </w:tcPr>
          <w:p w14:paraId="413498BE" w14:textId="77777777" w:rsidR="0036268C" w:rsidRDefault="0036268C">
            <w:pPr>
              <w:adjustRightInd w:val="0"/>
              <w:snapToGrid w:val="0"/>
              <w:jc w:val="center"/>
            </w:pPr>
            <w:r>
              <w:t>/</w:t>
            </w:r>
          </w:p>
        </w:tc>
      </w:tr>
      <w:tr w:rsidR="0036268C" w14:paraId="70A3AEED" w14:textId="77777777" w:rsidTr="0036268C">
        <w:trPr>
          <w:trHeight w:val="57"/>
        </w:trPr>
        <w:tc>
          <w:tcPr>
            <w:tcW w:w="1122" w:type="pct"/>
            <w:vAlign w:val="center"/>
          </w:tcPr>
          <w:p w14:paraId="08170686" w14:textId="77777777" w:rsidR="0036268C" w:rsidRDefault="0036268C">
            <w:pPr>
              <w:adjustRightInd w:val="0"/>
              <w:snapToGrid w:val="0"/>
              <w:jc w:val="center"/>
            </w:pPr>
            <w:r>
              <w:t>现状值</w:t>
            </w:r>
          </w:p>
        </w:tc>
        <w:tc>
          <w:tcPr>
            <w:tcW w:w="872" w:type="pct"/>
            <w:vAlign w:val="center"/>
          </w:tcPr>
          <w:p w14:paraId="7661F8C6" w14:textId="50F839AC" w:rsidR="0036268C" w:rsidRDefault="00B01658">
            <w:pPr>
              <w:adjustRightInd w:val="0"/>
              <w:snapToGrid w:val="0"/>
              <w:jc w:val="center"/>
            </w:pPr>
            <w:r>
              <w:rPr>
                <w:rFonts w:hint="eastAsia"/>
              </w:rPr>
              <w:t>52</w:t>
            </w:r>
            <w:r w:rsidR="00053ED2">
              <w:rPr>
                <w:rFonts w:hint="eastAsia"/>
              </w:rPr>
              <w:t>.2</w:t>
            </w:r>
          </w:p>
        </w:tc>
        <w:tc>
          <w:tcPr>
            <w:tcW w:w="799" w:type="pct"/>
            <w:vAlign w:val="center"/>
          </w:tcPr>
          <w:p w14:paraId="2791C9AE" w14:textId="3AB9C96B" w:rsidR="0036268C" w:rsidRDefault="00053ED2">
            <w:pPr>
              <w:adjustRightInd w:val="0"/>
              <w:snapToGrid w:val="0"/>
              <w:jc w:val="center"/>
            </w:pPr>
            <w:r>
              <w:rPr>
                <w:rFonts w:hint="eastAsia"/>
              </w:rPr>
              <w:t>51.8</w:t>
            </w:r>
          </w:p>
        </w:tc>
        <w:tc>
          <w:tcPr>
            <w:tcW w:w="783" w:type="pct"/>
            <w:vAlign w:val="center"/>
          </w:tcPr>
          <w:p w14:paraId="1EF2D488" w14:textId="1319E6D1" w:rsidR="0036268C" w:rsidRDefault="00053ED2">
            <w:pPr>
              <w:adjustRightInd w:val="0"/>
              <w:snapToGrid w:val="0"/>
              <w:jc w:val="center"/>
            </w:pPr>
            <w:r>
              <w:rPr>
                <w:rFonts w:hint="eastAsia"/>
              </w:rPr>
              <w:t>51.3</w:t>
            </w:r>
          </w:p>
        </w:tc>
        <w:tc>
          <w:tcPr>
            <w:tcW w:w="736" w:type="pct"/>
            <w:vAlign w:val="center"/>
          </w:tcPr>
          <w:p w14:paraId="64D02159" w14:textId="1B964C86" w:rsidR="0036268C" w:rsidRDefault="00053ED2">
            <w:pPr>
              <w:adjustRightInd w:val="0"/>
              <w:snapToGrid w:val="0"/>
              <w:jc w:val="center"/>
            </w:pPr>
            <w:r>
              <w:rPr>
                <w:rFonts w:hint="eastAsia"/>
              </w:rPr>
              <w:t>51.4</w:t>
            </w:r>
          </w:p>
        </w:tc>
        <w:tc>
          <w:tcPr>
            <w:tcW w:w="688" w:type="pct"/>
            <w:vAlign w:val="center"/>
          </w:tcPr>
          <w:p w14:paraId="4749ADF7" w14:textId="77777777" w:rsidR="0036268C" w:rsidRDefault="0036268C">
            <w:pPr>
              <w:adjustRightInd w:val="0"/>
              <w:snapToGrid w:val="0"/>
              <w:jc w:val="center"/>
            </w:pPr>
            <w:r>
              <w:t>/</w:t>
            </w:r>
          </w:p>
        </w:tc>
      </w:tr>
      <w:tr w:rsidR="0036268C" w14:paraId="5C168711" w14:textId="77777777" w:rsidTr="0036268C">
        <w:trPr>
          <w:trHeight w:val="57"/>
        </w:trPr>
        <w:tc>
          <w:tcPr>
            <w:tcW w:w="1122" w:type="pct"/>
            <w:vAlign w:val="center"/>
          </w:tcPr>
          <w:p w14:paraId="527A9DE7" w14:textId="77777777" w:rsidR="0036268C" w:rsidRDefault="0036268C">
            <w:pPr>
              <w:adjustRightInd w:val="0"/>
              <w:snapToGrid w:val="0"/>
              <w:jc w:val="center"/>
            </w:pPr>
            <w:r>
              <w:t>预测值</w:t>
            </w:r>
          </w:p>
        </w:tc>
        <w:tc>
          <w:tcPr>
            <w:tcW w:w="872" w:type="pct"/>
            <w:vAlign w:val="center"/>
          </w:tcPr>
          <w:p w14:paraId="45087EA9" w14:textId="359AC87B" w:rsidR="0036268C" w:rsidRDefault="00053ED2">
            <w:pPr>
              <w:adjustRightInd w:val="0"/>
              <w:snapToGrid w:val="0"/>
              <w:jc w:val="center"/>
            </w:pPr>
            <w:r>
              <w:rPr>
                <w:rFonts w:hint="eastAsia"/>
              </w:rPr>
              <w:t>53.2</w:t>
            </w:r>
          </w:p>
        </w:tc>
        <w:tc>
          <w:tcPr>
            <w:tcW w:w="799" w:type="pct"/>
            <w:vAlign w:val="center"/>
          </w:tcPr>
          <w:p w14:paraId="71EFE7C4" w14:textId="7FB0775B" w:rsidR="0036268C" w:rsidRDefault="00053ED2">
            <w:pPr>
              <w:adjustRightInd w:val="0"/>
              <w:snapToGrid w:val="0"/>
              <w:jc w:val="center"/>
            </w:pPr>
            <w:r>
              <w:rPr>
                <w:rFonts w:hint="eastAsia"/>
              </w:rPr>
              <w:t>54.8</w:t>
            </w:r>
          </w:p>
        </w:tc>
        <w:tc>
          <w:tcPr>
            <w:tcW w:w="783" w:type="pct"/>
            <w:vAlign w:val="center"/>
          </w:tcPr>
          <w:p w14:paraId="1B9B4A42" w14:textId="14D86EC2" w:rsidR="0036268C" w:rsidRDefault="00053ED2">
            <w:pPr>
              <w:adjustRightInd w:val="0"/>
              <w:snapToGrid w:val="0"/>
              <w:jc w:val="center"/>
            </w:pPr>
            <w:r>
              <w:rPr>
                <w:rFonts w:hint="eastAsia"/>
              </w:rPr>
              <w:t>51.4</w:t>
            </w:r>
          </w:p>
        </w:tc>
        <w:tc>
          <w:tcPr>
            <w:tcW w:w="736" w:type="pct"/>
            <w:vAlign w:val="center"/>
          </w:tcPr>
          <w:p w14:paraId="2F7C89CA" w14:textId="3F9B9C6B" w:rsidR="0036268C" w:rsidRDefault="00053ED2">
            <w:pPr>
              <w:adjustRightInd w:val="0"/>
              <w:snapToGrid w:val="0"/>
              <w:jc w:val="center"/>
            </w:pPr>
            <w:r>
              <w:rPr>
                <w:rFonts w:hint="eastAsia"/>
              </w:rPr>
              <w:t>51.7</w:t>
            </w:r>
          </w:p>
        </w:tc>
        <w:tc>
          <w:tcPr>
            <w:tcW w:w="688" w:type="pct"/>
            <w:vAlign w:val="center"/>
          </w:tcPr>
          <w:p w14:paraId="4DBCB91E" w14:textId="77777777" w:rsidR="0036268C" w:rsidRDefault="0036268C">
            <w:pPr>
              <w:adjustRightInd w:val="0"/>
              <w:snapToGrid w:val="0"/>
              <w:jc w:val="center"/>
            </w:pPr>
            <w:r>
              <w:t>60</w:t>
            </w:r>
          </w:p>
        </w:tc>
      </w:tr>
    </w:tbl>
    <w:p w14:paraId="4A98C63F" w14:textId="6790A39D" w:rsidR="00606029" w:rsidRDefault="00EA5B92">
      <w:pPr>
        <w:pStyle w:val="af1"/>
        <w:spacing w:beforeLines="50" w:before="120" w:line="360" w:lineRule="auto"/>
        <w:ind w:firstLine="482"/>
        <w:jc w:val="left"/>
        <w:rPr>
          <w:rFonts w:ascii="Times New Roman" w:hAnsi="Times New Roman" w:cs="Times New Roman"/>
          <w:sz w:val="24"/>
        </w:rPr>
      </w:pPr>
      <w:r>
        <w:rPr>
          <w:rFonts w:ascii="Times New Roman" w:hAnsi="Times New Roman" w:cs="Times New Roman"/>
          <w:sz w:val="24"/>
          <w:szCs w:val="24"/>
        </w:rPr>
        <w:t>本项目夜间不生产，由以上预测结果可知，项目运营期厂界噪声</w:t>
      </w:r>
      <w:r w:rsidR="00167D89">
        <w:rPr>
          <w:rFonts w:ascii="Times New Roman" w:hAnsi="Times New Roman" w:cs="Times New Roman" w:hint="eastAsia"/>
          <w:sz w:val="24"/>
          <w:szCs w:val="24"/>
        </w:rPr>
        <w:t>满足</w:t>
      </w:r>
      <w:r>
        <w:rPr>
          <w:rFonts w:ascii="Times New Roman" w:hAnsi="Times New Roman" w:cs="Times New Roman"/>
          <w:sz w:val="24"/>
          <w:szCs w:val="24"/>
        </w:rPr>
        <w:t>《工业企业厂界环境噪声排放标准》（</w:t>
      </w:r>
      <w:r>
        <w:rPr>
          <w:rFonts w:ascii="Times New Roman" w:hAnsi="Times New Roman" w:cs="Times New Roman"/>
          <w:sz w:val="24"/>
          <w:szCs w:val="24"/>
        </w:rPr>
        <w:t>GB12348-2008</w:t>
      </w:r>
      <w:r>
        <w:rPr>
          <w:rFonts w:ascii="Times New Roman" w:hAnsi="Times New Roman" w:cs="Times New Roman"/>
          <w:sz w:val="24"/>
          <w:szCs w:val="24"/>
        </w:rPr>
        <w:t>）中的</w:t>
      </w:r>
      <w:r>
        <w:rPr>
          <w:rFonts w:ascii="Times New Roman" w:hAnsi="Times New Roman" w:cs="Times New Roman"/>
          <w:sz w:val="24"/>
          <w:szCs w:val="24"/>
        </w:rPr>
        <w:t>2</w:t>
      </w:r>
      <w:r>
        <w:rPr>
          <w:rFonts w:ascii="Times New Roman" w:hAnsi="Times New Roman" w:cs="Times New Roman"/>
          <w:sz w:val="24"/>
          <w:szCs w:val="24"/>
        </w:rPr>
        <w:t>类标准限值</w:t>
      </w:r>
      <w:r>
        <w:rPr>
          <w:rFonts w:ascii="Times New Roman" w:hAnsi="Times New Roman" w:cs="Times New Roman"/>
          <w:sz w:val="24"/>
        </w:rPr>
        <w:t>，</w:t>
      </w:r>
      <w:r w:rsidR="00167D89" w:rsidRPr="00167D89">
        <w:rPr>
          <w:rFonts w:ascii="Times New Roman" w:hAnsi="Times New Roman" w:cs="Times New Roman"/>
          <w:sz w:val="24"/>
        </w:rPr>
        <w:t>距本项目最近的</w:t>
      </w:r>
      <w:r w:rsidR="00167D89">
        <w:rPr>
          <w:rFonts w:ascii="Times New Roman" w:hAnsi="Times New Roman" w:cs="Times New Roman" w:hint="eastAsia"/>
          <w:sz w:val="24"/>
        </w:rPr>
        <w:t>声环境</w:t>
      </w:r>
      <w:r w:rsidR="00167D89" w:rsidRPr="00167D89">
        <w:rPr>
          <w:rFonts w:ascii="Times New Roman" w:hAnsi="Times New Roman" w:cs="Times New Roman"/>
          <w:sz w:val="24"/>
        </w:rPr>
        <w:t>敏感目标为</w:t>
      </w:r>
      <w:r w:rsidR="00167D89" w:rsidRPr="00167D89">
        <w:rPr>
          <w:rFonts w:ascii="Times New Roman" w:hAnsi="Times New Roman" w:cs="Times New Roman"/>
          <w:sz w:val="24"/>
        </w:rPr>
        <w:t>790m</w:t>
      </w:r>
      <w:r w:rsidR="00167D89" w:rsidRPr="00167D89">
        <w:rPr>
          <w:rFonts w:ascii="Times New Roman" w:hAnsi="Times New Roman" w:cs="Times New Roman"/>
          <w:sz w:val="24"/>
        </w:rPr>
        <w:t>处的红旗二村，</w:t>
      </w:r>
      <w:r w:rsidR="00167D89">
        <w:rPr>
          <w:rFonts w:ascii="Times New Roman" w:hAnsi="Times New Roman" w:cs="Times New Roman" w:hint="eastAsia"/>
          <w:sz w:val="24"/>
        </w:rPr>
        <w:t>因此，</w:t>
      </w:r>
      <w:r>
        <w:rPr>
          <w:rFonts w:ascii="Times New Roman" w:hAnsi="Times New Roman" w:cs="Times New Roman"/>
          <w:sz w:val="24"/>
        </w:rPr>
        <w:t>对周边声环境影响较小。</w:t>
      </w:r>
    </w:p>
    <w:p w14:paraId="61FA3128" w14:textId="37D7F9A3" w:rsidR="00606029" w:rsidRDefault="00EA5B92">
      <w:pPr>
        <w:pStyle w:val="affffff5"/>
        <w:tabs>
          <w:tab w:val="left" w:pos="1259"/>
        </w:tabs>
      </w:pPr>
      <w:r>
        <w:t>表</w:t>
      </w:r>
      <w:r>
        <w:t>6.2</w:t>
      </w:r>
      <w:r w:rsidR="00FD0A87">
        <w:rPr>
          <w:rFonts w:hint="eastAsia"/>
        </w:rPr>
        <w:t>-33</w:t>
      </w:r>
      <w:r>
        <w:t xml:space="preserve">  </w:t>
      </w:r>
      <w:r>
        <w:t>声环境影响评价自查表</w:t>
      </w:r>
    </w:p>
    <w:tbl>
      <w:tblPr>
        <w:tblW w:w="4999" w:type="pct"/>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4A0" w:firstRow="1" w:lastRow="0" w:firstColumn="1" w:lastColumn="0" w:noHBand="0" w:noVBand="1"/>
      </w:tblPr>
      <w:tblGrid>
        <w:gridCol w:w="1063"/>
        <w:gridCol w:w="1594"/>
        <w:gridCol w:w="948"/>
        <w:gridCol w:w="653"/>
        <w:gridCol w:w="292"/>
        <w:gridCol w:w="138"/>
        <w:gridCol w:w="942"/>
        <w:gridCol w:w="1077"/>
        <w:gridCol w:w="580"/>
        <w:gridCol w:w="494"/>
        <w:gridCol w:w="1045"/>
      </w:tblGrid>
      <w:tr w:rsidR="00606029" w14:paraId="689402C0" w14:textId="77777777">
        <w:trPr>
          <w:jc w:val="center"/>
        </w:trPr>
        <w:tc>
          <w:tcPr>
            <w:tcW w:w="2791" w:type="dxa"/>
            <w:gridSpan w:val="2"/>
            <w:tcBorders>
              <w:top w:val="single" w:sz="6" w:space="0" w:color="000000"/>
              <w:left w:val="single" w:sz="6" w:space="0" w:color="000000"/>
              <w:bottom w:val="single" w:sz="2" w:space="0" w:color="000000"/>
              <w:right w:val="single" w:sz="2" w:space="0" w:color="000000"/>
            </w:tcBorders>
            <w:vAlign w:val="center"/>
          </w:tcPr>
          <w:p w14:paraId="563CB64E" w14:textId="77777777" w:rsidR="00606029" w:rsidRDefault="00EA5B92">
            <w:pPr>
              <w:spacing w:line="280" w:lineRule="exact"/>
              <w:jc w:val="center"/>
            </w:pPr>
            <w:r>
              <w:t>工作内容</w:t>
            </w:r>
          </w:p>
        </w:tc>
        <w:tc>
          <w:tcPr>
            <w:tcW w:w="6436" w:type="dxa"/>
            <w:gridSpan w:val="9"/>
            <w:tcBorders>
              <w:top w:val="single" w:sz="6" w:space="0" w:color="000000"/>
              <w:left w:val="single" w:sz="2" w:space="0" w:color="000000"/>
              <w:bottom w:val="single" w:sz="2" w:space="0" w:color="000000"/>
              <w:right w:val="single" w:sz="6" w:space="0" w:color="000000"/>
            </w:tcBorders>
            <w:vAlign w:val="center"/>
          </w:tcPr>
          <w:p w14:paraId="722AA1F4" w14:textId="77777777" w:rsidR="00606029" w:rsidRDefault="00EA5B92">
            <w:pPr>
              <w:spacing w:line="280" w:lineRule="exact"/>
              <w:jc w:val="center"/>
            </w:pPr>
            <w:r>
              <w:t>自查项目</w:t>
            </w:r>
          </w:p>
        </w:tc>
      </w:tr>
      <w:tr w:rsidR="00606029" w14:paraId="54E98F30" w14:textId="77777777">
        <w:trPr>
          <w:jc w:val="center"/>
        </w:trPr>
        <w:tc>
          <w:tcPr>
            <w:tcW w:w="1114" w:type="dxa"/>
            <w:vMerge w:val="restart"/>
            <w:tcBorders>
              <w:top w:val="single" w:sz="2" w:space="0" w:color="000000"/>
              <w:left w:val="single" w:sz="6" w:space="0" w:color="000000"/>
              <w:bottom w:val="nil"/>
              <w:right w:val="single" w:sz="2" w:space="0" w:color="000000"/>
            </w:tcBorders>
            <w:vAlign w:val="center"/>
          </w:tcPr>
          <w:p w14:paraId="113A7C5C" w14:textId="77777777" w:rsidR="00606029" w:rsidRDefault="00EA5B92">
            <w:pPr>
              <w:spacing w:line="280" w:lineRule="exact"/>
              <w:jc w:val="center"/>
            </w:pPr>
            <w:r>
              <w:t>评价等级</w:t>
            </w:r>
          </w:p>
          <w:p w14:paraId="0BC18B86" w14:textId="77777777" w:rsidR="00606029" w:rsidRDefault="00EA5B92">
            <w:pPr>
              <w:spacing w:line="280" w:lineRule="exact"/>
              <w:jc w:val="center"/>
            </w:pPr>
            <w:r>
              <w:t>与范围</w:t>
            </w:r>
          </w:p>
        </w:tc>
        <w:tc>
          <w:tcPr>
            <w:tcW w:w="1677" w:type="dxa"/>
            <w:tcBorders>
              <w:top w:val="single" w:sz="2" w:space="0" w:color="000000"/>
              <w:left w:val="single" w:sz="2" w:space="0" w:color="000000"/>
              <w:bottom w:val="single" w:sz="2" w:space="0" w:color="000000"/>
              <w:right w:val="single" w:sz="2" w:space="0" w:color="000000"/>
            </w:tcBorders>
            <w:vAlign w:val="center"/>
          </w:tcPr>
          <w:p w14:paraId="1B124CB4" w14:textId="77777777" w:rsidR="00606029" w:rsidRDefault="00EA5B92">
            <w:pPr>
              <w:spacing w:line="280" w:lineRule="exact"/>
              <w:jc w:val="center"/>
            </w:pPr>
            <w:r>
              <w:t>评价等级</w:t>
            </w:r>
          </w:p>
        </w:tc>
        <w:tc>
          <w:tcPr>
            <w:tcW w:w="6436" w:type="dxa"/>
            <w:gridSpan w:val="9"/>
            <w:tcBorders>
              <w:top w:val="single" w:sz="2" w:space="0" w:color="000000"/>
              <w:left w:val="single" w:sz="2" w:space="0" w:color="000000"/>
              <w:bottom w:val="single" w:sz="2" w:space="0" w:color="000000"/>
              <w:right w:val="single" w:sz="6" w:space="0" w:color="000000"/>
            </w:tcBorders>
            <w:vAlign w:val="center"/>
          </w:tcPr>
          <w:p w14:paraId="281551A2" w14:textId="77777777" w:rsidR="00606029" w:rsidRDefault="00EA5B92">
            <w:pPr>
              <w:spacing w:line="280" w:lineRule="exact"/>
              <w:jc w:val="center"/>
            </w:pPr>
            <w:r>
              <w:t>一级</w:t>
            </w:r>
            <w:r>
              <w:t xml:space="preserve">□          </w:t>
            </w:r>
            <w:r>
              <w:t>二级</w:t>
            </w:r>
            <w:r>
              <w:t xml:space="preserve"> ☑          </w:t>
            </w:r>
            <w:r>
              <w:t>三级</w:t>
            </w:r>
            <w:r>
              <w:t>□</w:t>
            </w:r>
          </w:p>
        </w:tc>
      </w:tr>
      <w:tr w:rsidR="00606029" w14:paraId="16340696" w14:textId="77777777">
        <w:trPr>
          <w:jc w:val="center"/>
        </w:trPr>
        <w:tc>
          <w:tcPr>
            <w:tcW w:w="1114" w:type="dxa"/>
            <w:vMerge/>
            <w:tcBorders>
              <w:top w:val="nil"/>
              <w:left w:val="single" w:sz="6" w:space="0" w:color="000000"/>
              <w:bottom w:val="single" w:sz="2" w:space="0" w:color="000000"/>
              <w:right w:val="single" w:sz="2" w:space="0" w:color="000000"/>
            </w:tcBorders>
            <w:vAlign w:val="center"/>
          </w:tcPr>
          <w:p w14:paraId="1F270E63" w14:textId="77777777" w:rsidR="00606029" w:rsidRDefault="00606029">
            <w:pPr>
              <w:spacing w:line="280" w:lineRule="exact"/>
              <w:jc w:val="center"/>
            </w:pPr>
          </w:p>
        </w:tc>
        <w:tc>
          <w:tcPr>
            <w:tcW w:w="1677" w:type="dxa"/>
            <w:tcBorders>
              <w:top w:val="single" w:sz="2" w:space="0" w:color="000000"/>
              <w:left w:val="single" w:sz="2" w:space="0" w:color="000000"/>
              <w:bottom w:val="single" w:sz="2" w:space="0" w:color="000000"/>
              <w:right w:val="single" w:sz="2" w:space="0" w:color="000000"/>
            </w:tcBorders>
            <w:vAlign w:val="center"/>
          </w:tcPr>
          <w:p w14:paraId="385FBFA9" w14:textId="77777777" w:rsidR="00606029" w:rsidRDefault="00EA5B92">
            <w:pPr>
              <w:spacing w:line="280" w:lineRule="exact"/>
              <w:jc w:val="center"/>
            </w:pPr>
            <w:r>
              <w:t>评价范围</w:t>
            </w:r>
          </w:p>
        </w:tc>
        <w:tc>
          <w:tcPr>
            <w:tcW w:w="6436" w:type="dxa"/>
            <w:gridSpan w:val="9"/>
            <w:tcBorders>
              <w:top w:val="single" w:sz="2" w:space="0" w:color="000000"/>
              <w:left w:val="single" w:sz="2" w:space="0" w:color="000000"/>
              <w:bottom w:val="single" w:sz="2" w:space="0" w:color="000000"/>
              <w:right w:val="single" w:sz="6" w:space="0" w:color="000000"/>
            </w:tcBorders>
            <w:vAlign w:val="center"/>
          </w:tcPr>
          <w:p w14:paraId="4C488C1D" w14:textId="77777777" w:rsidR="00606029" w:rsidRDefault="00EA5B92">
            <w:pPr>
              <w:spacing w:line="280" w:lineRule="exact"/>
              <w:jc w:val="center"/>
            </w:pPr>
            <w:r>
              <w:t>200m</w:t>
            </w:r>
            <w:r>
              <w:rPr>
                <w:noProof/>
              </w:rPr>
              <w:drawing>
                <wp:inline distT="0" distB="0" distL="114300" distR="114300" wp14:anchorId="6ECE0C6A" wp14:editId="71BF2994">
                  <wp:extent cx="113665" cy="104140"/>
                  <wp:effectExtent l="0" t="0" r="635" b="10160"/>
                  <wp:docPr id="1711"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 name="图片 118"/>
                          <pic:cNvPicPr preferRelativeResize="0">
                            <a:picLocks noChangeAspect="1"/>
                          </pic:cNvPicPr>
                        </pic:nvPicPr>
                        <pic:blipFill>
                          <a:blip r:embed="rId140"/>
                          <a:stretch>
                            <a:fillRect/>
                          </a:stretch>
                        </pic:blipFill>
                        <pic:spPr>
                          <a:xfrm>
                            <a:off x="0" y="0"/>
                            <a:ext cx="113665" cy="104140"/>
                          </a:xfrm>
                          <a:prstGeom prst="rect">
                            <a:avLst/>
                          </a:prstGeom>
                          <a:noFill/>
                          <a:ln>
                            <a:noFill/>
                          </a:ln>
                        </pic:spPr>
                      </pic:pic>
                    </a:graphicData>
                  </a:graphic>
                </wp:inline>
              </w:drawing>
            </w:r>
            <w:r>
              <w:t xml:space="preserve">        </w:t>
            </w:r>
            <w:r>
              <w:t>大于</w:t>
            </w:r>
            <w:r>
              <w:t xml:space="preserve"> 200m □       </w:t>
            </w:r>
            <w:r>
              <w:t>小于</w:t>
            </w:r>
            <w:r>
              <w:t xml:space="preserve"> 200m</w:t>
            </w:r>
            <w:r>
              <w:rPr>
                <w:noProof/>
              </w:rPr>
              <w:drawing>
                <wp:inline distT="0" distB="0" distL="114300" distR="114300" wp14:anchorId="4DAB0255" wp14:editId="3485628D">
                  <wp:extent cx="105410" cy="98425"/>
                  <wp:effectExtent l="0" t="0" r="8890" b="15875"/>
                  <wp:docPr id="1712"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2" name="图片 119"/>
                          <pic:cNvPicPr preferRelativeResize="0">
                            <a:picLocks noChangeAspect="1"/>
                          </pic:cNvPicPr>
                        </pic:nvPicPr>
                        <pic:blipFill>
                          <a:blip r:embed="rId141"/>
                          <a:stretch>
                            <a:fillRect/>
                          </a:stretch>
                        </pic:blipFill>
                        <pic:spPr>
                          <a:xfrm>
                            <a:off x="0" y="0"/>
                            <a:ext cx="105410" cy="98425"/>
                          </a:xfrm>
                          <a:prstGeom prst="rect">
                            <a:avLst/>
                          </a:prstGeom>
                          <a:noFill/>
                          <a:ln>
                            <a:noFill/>
                          </a:ln>
                        </pic:spPr>
                      </pic:pic>
                    </a:graphicData>
                  </a:graphic>
                </wp:inline>
              </w:drawing>
            </w:r>
          </w:p>
        </w:tc>
      </w:tr>
      <w:tr w:rsidR="00606029" w14:paraId="7D452CB2" w14:textId="77777777">
        <w:trPr>
          <w:jc w:val="center"/>
        </w:trPr>
        <w:tc>
          <w:tcPr>
            <w:tcW w:w="1114" w:type="dxa"/>
            <w:tcBorders>
              <w:top w:val="single" w:sz="2" w:space="0" w:color="000000"/>
              <w:left w:val="single" w:sz="6" w:space="0" w:color="000000"/>
              <w:bottom w:val="single" w:sz="2" w:space="0" w:color="000000"/>
              <w:right w:val="single" w:sz="2" w:space="0" w:color="000000"/>
            </w:tcBorders>
            <w:vAlign w:val="center"/>
          </w:tcPr>
          <w:p w14:paraId="64ED57FF" w14:textId="77777777" w:rsidR="00606029" w:rsidRDefault="00EA5B92">
            <w:pPr>
              <w:spacing w:line="280" w:lineRule="exact"/>
              <w:jc w:val="center"/>
            </w:pPr>
            <w:r>
              <w:t>评价因子</w:t>
            </w:r>
          </w:p>
        </w:tc>
        <w:tc>
          <w:tcPr>
            <w:tcW w:w="1677" w:type="dxa"/>
            <w:tcBorders>
              <w:top w:val="single" w:sz="2" w:space="0" w:color="000000"/>
              <w:left w:val="single" w:sz="2" w:space="0" w:color="000000"/>
              <w:bottom w:val="single" w:sz="2" w:space="0" w:color="000000"/>
              <w:right w:val="single" w:sz="2" w:space="0" w:color="000000"/>
            </w:tcBorders>
            <w:vAlign w:val="center"/>
          </w:tcPr>
          <w:p w14:paraId="0055B1A0" w14:textId="77777777" w:rsidR="00606029" w:rsidRDefault="00EA5B92">
            <w:pPr>
              <w:spacing w:line="280" w:lineRule="exact"/>
              <w:jc w:val="center"/>
            </w:pPr>
            <w:r>
              <w:t>评价因子</w:t>
            </w:r>
          </w:p>
        </w:tc>
        <w:tc>
          <w:tcPr>
            <w:tcW w:w="6436" w:type="dxa"/>
            <w:gridSpan w:val="9"/>
            <w:tcBorders>
              <w:top w:val="single" w:sz="2" w:space="0" w:color="000000"/>
              <w:left w:val="single" w:sz="2" w:space="0" w:color="000000"/>
              <w:bottom w:val="single" w:sz="2" w:space="0" w:color="000000"/>
              <w:right w:val="single" w:sz="6" w:space="0" w:color="000000"/>
            </w:tcBorders>
            <w:vAlign w:val="center"/>
          </w:tcPr>
          <w:p w14:paraId="728BEE62" w14:textId="77777777" w:rsidR="00606029" w:rsidRDefault="00EA5B92">
            <w:pPr>
              <w:spacing w:line="280" w:lineRule="exact"/>
              <w:jc w:val="center"/>
            </w:pPr>
            <w:r>
              <w:t>等效连续</w:t>
            </w:r>
            <w:r>
              <w:t xml:space="preserve"> A </w:t>
            </w:r>
            <w:r>
              <w:t>声级</w:t>
            </w:r>
            <w:r>
              <w:t xml:space="preserve"> </w:t>
            </w:r>
            <w:r>
              <w:rPr>
                <w:noProof/>
              </w:rPr>
              <w:drawing>
                <wp:inline distT="0" distB="0" distL="114300" distR="114300" wp14:anchorId="7C2295BC" wp14:editId="55D73752">
                  <wp:extent cx="104140" cy="104140"/>
                  <wp:effectExtent l="0" t="0" r="10160" b="10160"/>
                  <wp:docPr id="1713"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3" name="图片 120"/>
                          <pic:cNvPicPr preferRelativeResize="0">
                            <a:picLocks noChangeAspect="1"/>
                          </pic:cNvPicPr>
                        </pic:nvPicPr>
                        <pic:blipFill>
                          <a:blip r:embed="rId140"/>
                          <a:stretch>
                            <a:fillRect/>
                          </a:stretch>
                        </pic:blipFill>
                        <pic:spPr>
                          <a:xfrm>
                            <a:off x="0" y="0"/>
                            <a:ext cx="104140" cy="104140"/>
                          </a:xfrm>
                          <a:prstGeom prst="rect">
                            <a:avLst/>
                          </a:prstGeom>
                          <a:noFill/>
                          <a:ln>
                            <a:noFill/>
                          </a:ln>
                        </pic:spPr>
                      </pic:pic>
                    </a:graphicData>
                  </a:graphic>
                </wp:inline>
              </w:drawing>
            </w:r>
            <w:r>
              <w:t xml:space="preserve">   </w:t>
            </w:r>
            <w:r>
              <w:t>最大</w:t>
            </w:r>
            <w:r>
              <w:t xml:space="preserve"> A </w:t>
            </w:r>
            <w:r>
              <w:t>声级</w:t>
            </w:r>
            <w:r>
              <w:t xml:space="preserve">□   </w:t>
            </w:r>
            <w:r>
              <w:t>计权等效连续感觉噪声级</w:t>
            </w:r>
            <w:r>
              <w:t xml:space="preserve"> □</w:t>
            </w:r>
          </w:p>
        </w:tc>
      </w:tr>
      <w:tr w:rsidR="00606029" w14:paraId="755A54D9" w14:textId="77777777">
        <w:trPr>
          <w:jc w:val="center"/>
        </w:trPr>
        <w:tc>
          <w:tcPr>
            <w:tcW w:w="1114" w:type="dxa"/>
            <w:tcBorders>
              <w:top w:val="single" w:sz="2" w:space="0" w:color="000000"/>
              <w:left w:val="single" w:sz="6" w:space="0" w:color="000000"/>
              <w:bottom w:val="single" w:sz="2" w:space="0" w:color="000000"/>
              <w:right w:val="single" w:sz="2" w:space="0" w:color="000000"/>
            </w:tcBorders>
            <w:vAlign w:val="center"/>
          </w:tcPr>
          <w:p w14:paraId="61D0A412" w14:textId="77777777" w:rsidR="00606029" w:rsidRDefault="00EA5B92">
            <w:pPr>
              <w:spacing w:line="280" w:lineRule="exact"/>
              <w:jc w:val="center"/>
            </w:pPr>
            <w:r>
              <w:lastRenderedPageBreak/>
              <w:t>评价标准</w:t>
            </w:r>
          </w:p>
        </w:tc>
        <w:tc>
          <w:tcPr>
            <w:tcW w:w="1677" w:type="dxa"/>
            <w:tcBorders>
              <w:top w:val="single" w:sz="2" w:space="0" w:color="000000"/>
              <w:left w:val="single" w:sz="2" w:space="0" w:color="000000"/>
              <w:bottom w:val="single" w:sz="2" w:space="0" w:color="000000"/>
              <w:right w:val="single" w:sz="2" w:space="0" w:color="000000"/>
            </w:tcBorders>
            <w:vAlign w:val="center"/>
          </w:tcPr>
          <w:p w14:paraId="1C3326AD" w14:textId="77777777" w:rsidR="00606029" w:rsidRDefault="00EA5B92">
            <w:pPr>
              <w:spacing w:line="280" w:lineRule="exact"/>
              <w:jc w:val="center"/>
            </w:pPr>
            <w:r>
              <w:t>评价标准</w:t>
            </w:r>
          </w:p>
        </w:tc>
        <w:tc>
          <w:tcPr>
            <w:tcW w:w="6436" w:type="dxa"/>
            <w:gridSpan w:val="9"/>
            <w:tcBorders>
              <w:top w:val="single" w:sz="2" w:space="0" w:color="000000"/>
              <w:left w:val="single" w:sz="2" w:space="0" w:color="000000"/>
              <w:bottom w:val="single" w:sz="2" w:space="0" w:color="000000"/>
              <w:right w:val="single" w:sz="6" w:space="0" w:color="000000"/>
            </w:tcBorders>
            <w:vAlign w:val="center"/>
          </w:tcPr>
          <w:p w14:paraId="715F700B" w14:textId="77777777" w:rsidR="00606029" w:rsidRDefault="00EA5B92">
            <w:pPr>
              <w:spacing w:line="280" w:lineRule="exact"/>
              <w:jc w:val="center"/>
            </w:pPr>
            <w:r>
              <w:t>国家标准</w:t>
            </w:r>
            <w:r>
              <w:t xml:space="preserve"> </w:t>
            </w:r>
            <w:r>
              <w:rPr>
                <w:noProof/>
              </w:rPr>
              <w:drawing>
                <wp:inline distT="0" distB="0" distL="114300" distR="114300" wp14:anchorId="3C721F87" wp14:editId="0130569D">
                  <wp:extent cx="104140" cy="104140"/>
                  <wp:effectExtent l="0" t="0" r="10160" b="10160"/>
                  <wp:docPr id="1714"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4" name="图片 121"/>
                          <pic:cNvPicPr preferRelativeResize="0">
                            <a:picLocks noChangeAspect="1"/>
                          </pic:cNvPicPr>
                        </pic:nvPicPr>
                        <pic:blipFill>
                          <a:blip r:embed="rId140"/>
                          <a:stretch>
                            <a:fillRect/>
                          </a:stretch>
                        </pic:blipFill>
                        <pic:spPr>
                          <a:xfrm>
                            <a:off x="0" y="0"/>
                            <a:ext cx="104140" cy="104140"/>
                          </a:xfrm>
                          <a:prstGeom prst="rect">
                            <a:avLst/>
                          </a:prstGeom>
                          <a:noFill/>
                          <a:ln>
                            <a:noFill/>
                          </a:ln>
                        </pic:spPr>
                      </pic:pic>
                    </a:graphicData>
                  </a:graphic>
                </wp:inline>
              </w:drawing>
            </w:r>
            <w:r>
              <w:t xml:space="preserve">        </w:t>
            </w:r>
            <w:r>
              <w:t>地方标准</w:t>
            </w:r>
            <w:r>
              <w:t xml:space="preserve">□        </w:t>
            </w:r>
            <w:r>
              <w:t>国外标准</w:t>
            </w:r>
            <w:r>
              <w:t>□</w:t>
            </w:r>
          </w:p>
        </w:tc>
      </w:tr>
      <w:tr w:rsidR="00606029" w14:paraId="31D1E5BE" w14:textId="77777777">
        <w:trPr>
          <w:jc w:val="center"/>
        </w:trPr>
        <w:tc>
          <w:tcPr>
            <w:tcW w:w="1114" w:type="dxa"/>
            <w:vMerge w:val="restart"/>
            <w:tcBorders>
              <w:top w:val="single" w:sz="2" w:space="0" w:color="000000"/>
              <w:left w:val="single" w:sz="6" w:space="0" w:color="000000"/>
              <w:bottom w:val="nil"/>
              <w:right w:val="single" w:sz="2" w:space="0" w:color="000000"/>
            </w:tcBorders>
            <w:vAlign w:val="center"/>
          </w:tcPr>
          <w:p w14:paraId="2575F69B" w14:textId="77777777" w:rsidR="00606029" w:rsidRDefault="00EA5B92">
            <w:pPr>
              <w:spacing w:line="280" w:lineRule="exact"/>
              <w:jc w:val="center"/>
            </w:pPr>
            <w:r>
              <w:t>现状评价</w:t>
            </w:r>
          </w:p>
        </w:tc>
        <w:tc>
          <w:tcPr>
            <w:tcW w:w="1677" w:type="dxa"/>
            <w:tcBorders>
              <w:top w:val="single" w:sz="2" w:space="0" w:color="000000"/>
              <w:left w:val="single" w:sz="2" w:space="0" w:color="000000"/>
              <w:bottom w:val="single" w:sz="2" w:space="0" w:color="000000"/>
              <w:right w:val="single" w:sz="2" w:space="0" w:color="000000"/>
            </w:tcBorders>
            <w:vAlign w:val="center"/>
          </w:tcPr>
          <w:p w14:paraId="39824FD5" w14:textId="77777777" w:rsidR="00606029" w:rsidRDefault="00EA5B92">
            <w:pPr>
              <w:spacing w:line="280" w:lineRule="exact"/>
              <w:jc w:val="center"/>
            </w:pPr>
            <w:r>
              <w:t>环境功能区</w:t>
            </w:r>
          </w:p>
        </w:tc>
        <w:tc>
          <w:tcPr>
            <w:tcW w:w="983" w:type="dxa"/>
            <w:tcBorders>
              <w:top w:val="single" w:sz="2" w:space="0" w:color="000000"/>
              <w:left w:val="single" w:sz="2" w:space="0" w:color="000000"/>
              <w:bottom w:val="single" w:sz="2" w:space="0" w:color="000000"/>
              <w:right w:val="single" w:sz="2" w:space="0" w:color="000000"/>
            </w:tcBorders>
            <w:vAlign w:val="center"/>
          </w:tcPr>
          <w:p w14:paraId="573D68B5" w14:textId="77777777" w:rsidR="00606029" w:rsidRDefault="00EA5B92">
            <w:pPr>
              <w:spacing w:line="280" w:lineRule="exact"/>
              <w:jc w:val="center"/>
            </w:pPr>
            <w:r>
              <w:t xml:space="preserve">0 </w:t>
            </w:r>
            <w:r>
              <w:t>类区</w:t>
            </w:r>
            <w:r>
              <w:t>□</w:t>
            </w:r>
          </w:p>
        </w:tc>
        <w:tc>
          <w:tcPr>
            <w:tcW w:w="983" w:type="dxa"/>
            <w:gridSpan w:val="2"/>
            <w:tcBorders>
              <w:top w:val="single" w:sz="2" w:space="0" w:color="000000"/>
              <w:left w:val="single" w:sz="2" w:space="0" w:color="000000"/>
              <w:bottom w:val="single" w:sz="2" w:space="0" w:color="000000"/>
              <w:right w:val="single" w:sz="2" w:space="0" w:color="000000"/>
            </w:tcBorders>
            <w:vAlign w:val="center"/>
          </w:tcPr>
          <w:p w14:paraId="69E6C8C9" w14:textId="77777777" w:rsidR="00606029" w:rsidRDefault="00EA5B92">
            <w:pPr>
              <w:spacing w:line="280" w:lineRule="exact"/>
              <w:jc w:val="center"/>
            </w:pPr>
            <w:r>
              <w:t xml:space="preserve">1 </w:t>
            </w:r>
            <w:r>
              <w:t>类区</w:t>
            </w:r>
            <w:r>
              <w:t>□</w:t>
            </w:r>
          </w:p>
        </w:tc>
        <w:tc>
          <w:tcPr>
            <w:tcW w:w="1125" w:type="dxa"/>
            <w:gridSpan w:val="2"/>
            <w:tcBorders>
              <w:top w:val="single" w:sz="2" w:space="0" w:color="000000"/>
              <w:left w:val="single" w:sz="2" w:space="0" w:color="000000"/>
              <w:bottom w:val="single" w:sz="2" w:space="0" w:color="000000"/>
              <w:right w:val="single" w:sz="2" w:space="0" w:color="000000"/>
            </w:tcBorders>
            <w:vAlign w:val="center"/>
          </w:tcPr>
          <w:p w14:paraId="55B1A979" w14:textId="77777777" w:rsidR="00606029" w:rsidRDefault="00EA5B92">
            <w:pPr>
              <w:spacing w:line="280" w:lineRule="exact"/>
              <w:jc w:val="center"/>
            </w:pPr>
            <w:r>
              <w:t xml:space="preserve">2 </w:t>
            </w:r>
            <w:r>
              <w:t>类区</w:t>
            </w:r>
            <w:r>
              <w:t>☑</w:t>
            </w:r>
          </w:p>
        </w:tc>
        <w:tc>
          <w:tcPr>
            <w:tcW w:w="1125" w:type="dxa"/>
            <w:tcBorders>
              <w:top w:val="single" w:sz="2" w:space="0" w:color="000000"/>
              <w:left w:val="single" w:sz="2" w:space="0" w:color="000000"/>
              <w:bottom w:val="single" w:sz="2" w:space="0" w:color="000000"/>
              <w:right w:val="single" w:sz="2" w:space="0" w:color="000000"/>
            </w:tcBorders>
            <w:vAlign w:val="center"/>
          </w:tcPr>
          <w:p w14:paraId="1BBF7AB9" w14:textId="77777777" w:rsidR="00606029" w:rsidRDefault="00EA5B92">
            <w:pPr>
              <w:spacing w:line="280" w:lineRule="exact"/>
              <w:jc w:val="center"/>
            </w:pPr>
            <w:r>
              <w:t xml:space="preserve">3 </w:t>
            </w:r>
            <w:r>
              <w:t>类区</w:t>
            </w:r>
            <w:r>
              <w:t xml:space="preserve"> □</w:t>
            </w:r>
          </w:p>
        </w:tc>
        <w:tc>
          <w:tcPr>
            <w:tcW w:w="1125" w:type="dxa"/>
            <w:gridSpan w:val="2"/>
            <w:tcBorders>
              <w:top w:val="single" w:sz="2" w:space="0" w:color="000000"/>
              <w:left w:val="single" w:sz="2" w:space="0" w:color="000000"/>
              <w:bottom w:val="single" w:sz="2" w:space="0" w:color="000000"/>
              <w:right w:val="single" w:sz="2" w:space="0" w:color="000000"/>
            </w:tcBorders>
            <w:vAlign w:val="center"/>
          </w:tcPr>
          <w:p w14:paraId="1BD3D709" w14:textId="77777777" w:rsidR="00606029" w:rsidRDefault="00EA5B92">
            <w:pPr>
              <w:spacing w:line="280" w:lineRule="exact"/>
              <w:jc w:val="center"/>
            </w:pPr>
            <w:r>
              <w:t xml:space="preserve">4a </w:t>
            </w:r>
            <w:r>
              <w:t>类区</w:t>
            </w:r>
            <w:r>
              <w:t>□</w:t>
            </w:r>
          </w:p>
        </w:tc>
        <w:tc>
          <w:tcPr>
            <w:tcW w:w="1095" w:type="dxa"/>
            <w:tcBorders>
              <w:top w:val="single" w:sz="2" w:space="0" w:color="000000"/>
              <w:left w:val="single" w:sz="2" w:space="0" w:color="000000"/>
              <w:bottom w:val="single" w:sz="2" w:space="0" w:color="000000"/>
              <w:right w:val="single" w:sz="6" w:space="0" w:color="000000"/>
            </w:tcBorders>
            <w:vAlign w:val="center"/>
          </w:tcPr>
          <w:p w14:paraId="28ED4738" w14:textId="77777777" w:rsidR="00606029" w:rsidRDefault="00EA5B92">
            <w:pPr>
              <w:spacing w:line="280" w:lineRule="exact"/>
              <w:jc w:val="center"/>
            </w:pPr>
            <w:r>
              <w:t xml:space="preserve">4b </w:t>
            </w:r>
            <w:r>
              <w:t>类区</w:t>
            </w:r>
            <w:r>
              <w:t>□</w:t>
            </w:r>
          </w:p>
        </w:tc>
      </w:tr>
      <w:tr w:rsidR="00606029" w14:paraId="2F89EEA2" w14:textId="77777777">
        <w:trPr>
          <w:jc w:val="center"/>
        </w:trPr>
        <w:tc>
          <w:tcPr>
            <w:tcW w:w="1114" w:type="dxa"/>
            <w:vMerge/>
            <w:tcBorders>
              <w:top w:val="nil"/>
              <w:left w:val="single" w:sz="6" w:space="0" w:color="000000"/>
              <w:bottom w:val="nil"/>
              <w:right w:val="single" w:sz="2" w:space="0" w:color="000000"/>
            </w:tcBorders>
            <w:vAlign w:val="center"/>
          </w:tcPr>
          <w:p w14:paraId="5C677EEA" w14:textId="77777777" w:rsidR="00606029" w:rsidRDefault="00606029">
            <w:pPr>
              <w:spacing w:line="280" w:lineRule="exact"/>
              <w:jc w:val="center"/>
            </w:pPr>
          </w:p>
        </w:tc>
        <w:tc>
          <w:tcPr>
            <w:tcW w:w="1677" w:type="dxa"/>
            <w:tcBorders>
              <w:top w:val="single" w:sz="2" w:space="0" w:color="000000"/>
              <w:left w:val="single" w:sz="2" w:space="0" w:color="000000"/>
              <w:bottom w:val="single" w:sz="2" w:space="0" w:color="000000"/>
              <w:right w:val="single" w:sz="2" w:space="0" w:color="000000"/>
            </w:tcBorders>
            <w:vAlign w:val="center"/>
          </w:tcPr>
          <w:p w14:paraId="097CCF7F" w14:textId="77777777" w:rsidR="00606029" w:rsidRDefault="00EA5B92">
            <w:pPr>
              <w:spacing w:line="280" w:lineRule="exact"/>
              <w:jc w:val="center"/>
            </w:pPr>
            <w:r>
              <w:t>评价年度</w:t>
            </w:r>
          </w:p>
        </w:tc>
        <w:tc>
          <w:tcPr>
            <w:tcW w:w="1661" w:type="dxa"/>
            <w:gridSpan w:val="2"/>
            <w:tcBorders>
              <w:top w:val="single" w:sz="2" w:space="0" w:color="000000"/>
              <w:left w:val="single" w:sz="2" w:space="0" w:color="000000"/>
              <w:bottom w:val="single" w:sz="2" w:space="0" w:color="000000"/>
              <w:right w:val="single" w:sz="2" w:space="0" w:color="000000"/>
            </w:tcBorders>
            <w:vAlign w:val="center"/>
          </w:tcPr>
          <w:p w14:paraId="1430F19D" w14:textId="77777777" w:rsidR="00606029" w:rsidRDefault="00EA5B92">
            <w:pPr>
              <w:spacing w:line="280" w:lineRule="exact"/>
              <w:jc w:val="center"/>
            </w:pPr>
            <w:r>
              <w:t>初期</w:t>
            </w:r>
            <w:r>
              <w:t>□</w:t>
            </w:r>
          </w:p>
        </w:tc>
        <w:tc>
          <w:tcPr>
            <w:tcW w:w="1430" w:type="dxa"/>
            <w:gridSpan w:val="3"/>
            <w:tcBorders>
              <w:top w:val="single" w:sz="2" w:space="0" w:color="000000"/>
              <w:left w:val="single" w:sz="2" w:space="0" w:color="000000"/>
              <w:bottom w:val="single" w:sz="2" w:space="0" w:color="000000"/>
              <w:right w:val="single" w:sz="2" w:space="0" w:color="000000"/>
            </w:tcBorders>
            <w:vAlign w:val="center"/>
          </w:tcPr>
          <w:p w14:paraId="34B1C989" w14:textId="77777777" w:rsidR="00606029" w:rsidRDefault="00EA5B92">
            <w:pPr>
              <w:spacing w:line="280" w:lineRule="exact"/>
              <w:jc w:val="center"/>
            </w:pPr>
            <w:r>
              <w:t>近期</w:t>
            </w:r>
            <w:r>
              <w:t xml:space="preserve"> </w:t>
            </w:r>
            <w:r>
              <w:rPr>
                <w:noProof/>
              </w:rPr>
              <w:drawing>
                <wp:inline distT="0" distB="0" distL="114300" distR="114300" wp14:anchorId="36776CF9" wp14:editId="1E9C5F2E">
                  <wp:extent cx="104140" cy="104140"/>
                  <wp:effectExtent l="0" t="0" r="10160" b="10160"/>
                  <wp:docPr id="1716"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6" name="图片 123"/>
                          <pic:cNvPicPr preferRelativeResize="0">
                            <a:picLocks noChangeAspect="1"/>
                          </pic:cNvPicPr>
                        </pic:nvPicPr>
                        <pic:blipFill>
                          <a:blip r:embed="rId142"/>
                          <a:stretch>
                            <a:fillRect/>
                          </a:stretch>
                        </pic:blipFill>
                        <pic:spPr>
                          <a:xfrm>
                            <a:off x="0" y="0"/>
                            <a:ext cx="104140" cy="104140"/>
                          </a:xfrm>
                          <a:prstGeom prst="rect">
                            <a:avLst/>
                          </a:prstGeom>
                          <a:noFill/>
                          <a:ln>
                            <a:noFill/>
                          </a:ln>
                        </pic:spPr>
                      </pic:pic>
                    </a:graphicData>
                  </a:graphic>
                </wp:inline>
              </w:drawing>
            </w:r>
          </w:p>
        </w:tc>
        <w:tc>
          <w:tcPr>
            <w:tcW w:w="1731" w:type="dxa"/>
            <w:gridSpan w:val="2"/>
            <w:tcBorders>
              <w:top w:val="single" w:sz="2" w:space="0" w:color="000000"/>
              <w:left w:val="single" w:sz="2" w:space="0" w:color="000000"/>
              <w:bottom w:val="single" w:sz="2" w:space="0" w:color="000000"/>
              <w:right w:val="single" w:sz="2" w:space="0" w:color="000000"/>
            </w:tcBorders>
            <w:vAlign w:val="center"/>
          </w:tcPr>
          <w:p w14:paraId="238D5AC6" w14:textId="77777777" w:rsidR="00606029" w:rsidRDefault="00EA5B92">
            <w:pPr>
              <w:spacing w:line="280" w:lineRule="exact"/>
              <w:jc w:val="center"/>
            </w:pPr>
            <w:r>
              <w:t>中期</w:t>
            </w:r>
            <w:r>
              <w:t>□</w:t>
            </w:r>
          </w:p>
        </w:tc>
        <w:tc>
          <w:tcPr>
            <w:tcW w:w="1614" w:type="dxa"/>
            <w:gridSpan w:val="2"/>
            <w:tcBorders>
              <w:top w:val="single" w:sz="2" w:space="0" w:color="000000"/>
              <w:left w:val="single" w:sz="2" w:space="0" w:color="000000"/>
              <w:bottom w:val="single" w:sz="2" w:space="0" w:color="000000"/>
              <w:right w:val="single" w:sz="6" w:space="0" w:color="000000"/>
            </w:tcBorders>
            <w:vAlign w:val="center"/>
          </w:tcPr>
          <w:p w14:paraId="00E014C8" w14:textId="77777777" w:rsidR="00606029" w:rsidRDefault="00EA5B92">
            <w:pPr>
              <w:spacing w:line="280" w:lineRule="exact"/>
              <w:jc w:val="center"/>
            </w:pPr>
            <w:r>
              <w:t>远期</w:t>
            </w:r>
            <w:r>
              <w:t>□</w:t>
            </w:r>
          </w:p>
        </w:tc>
      </w:tr>
      <w:tr w:rsidR="00606029" w14:paraId="4F78233A" w14:textId="77777777">
        <w:trPr>
          <w:jc w:val="center"/>
        </w:trPr>
        <w:tc>
          <w:tcPr>
            <w:tcW w:w="1114" w:type="dxa"/>
            <w:vMerge/>
            <w:tcBorders>
              <w:top w:val="nil"/>
              <w:left w:val="single" w:sz="6" w:space="0" w:color="000000"/>
              <w:bottom w:val="nil"/>
              <w:right w:val="single" w:sz="2" w:space="0" w:color="000000"/>
            </w:tcBorders>
            <w:vAlign w:val="center"/>
          </w:tcPr>
          <w:p w14:paraId="59949C9C" w14:textId="77777777" w:rsidR="00606029" w:rsidRDefault="00606029">
            <w:pPr>
              <w:spacing w:line="280" w:lineRule="exact"/>
              <w:jc w:val="center"/>
            </w:pPr>
          </w:p>
        </w:tc>
        <w:tc>
          <w:tcPr>
            <w:tcW w:w="1677" w:type="dxa"/>
            <w:tcBorders>
              <w:top w:val="single" w:sz="2" w:space="0" w:color="000000"/>
              <w:left w:val="single" w:sz="2" w:space="0" w:color="000000"/>
              <w:bottom w:val="single" w:sz="2" w:space="0" w:color="000000"/>
              <w:right w:val="single" w:sz="2" w:space="0" w:color="000000"/>
            </w:tcBorders>
            <w:vAlign w:val="center"/>
          </w:tcPr>
          <w:p w14:paraId="3548F742" w14:textId="77777777" w:rsidR="00606029" w:rsidRDefault="00EA5B92">
            <w:pPr>
              <w:spacing w:line="280" w:lineRule="exact"/>
              <w:jc w:val="center"/>
            </w:pPr>
            <w:r>
              <w:t>现状调查方法</w:t>
            </w:r>
          </w:p>
        </w:tc>
        <w:tc>
          <w:tcPr>
            <w:tcW w:w="6436" w:type="dxa"/>
            <w:gridSpan w:val="9"/>
            <w:tcBorders>
              <w:top w:val="single" w:sz="2" w:space="0" w:color="000000"/>
              <w:left w:val="single" w:sz="2" w:space="0" w:color="000000"/>
              <w:bottom w:val="single" w:sz="2" w:space="0" w:color="000000"/>
              <w:right w:val="single" w:sz="6" w:space="0" w:color="000000"/>
            </w:tcBorders>
            <w:vAlign w:val="center"/>
          </w:tcPr>
          <w:p w14:paraId="4B427465" w14:textId="77777777" w:rsidR="00606029" w:rsidRDefault="00EA5B92">
            <w:pPr>
              <w:spacing w:line="280" w:lineRule="exact"/>
              <w:jc w:val="center"/>
            </w:pPr>
            <w:r>
              <w:t>现场实测法</w:t>
            </w:r>
            <w:r>
              <w:t xml:space="preserve"> □    </w:t>
            </w:r>
            <w:r>
              <w:t>现场实测加模型计算法</w:t>
            </w:r>
            <w:r>
              <w:t xml:space="preserve"> □    </w:t>
            </w:r>
            <w:r>
              <w:t>收集资料</w:t>
            </w:r>
            <w:r>
              <w:t xml:space="preserve"> </w:t>
            </w:r>
            <w:r>
              <w:rPr>
                <w:noProof/>
              </w:rPr>
              <w:drawing>
                <wp:inline distT="0" distB="0" distL="114300" distR="114300" wp14:anchorId="6FFC3B07" wp14:editId="3A717B26">
                  <wp:extent cx="104140" cy="104140"/>
                  <wp:effectExtent l="0" t="0" r="10160" b="10160"/>
                  <wp:docPr id="1717"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7" name="图片 124"/>
                          <pic:cNvPicPr preferRelativeResize="0">
                            <a:picLocks noChangeAspect="1"/>
                          </pic:cNvPicPr>
                        </pic:nvPicPr>
                        <pic:blipFill>
                          <a:blip r:embed="rId142"/>
                          <a:stretch>
                            <a:fillRect/>
                          </a:stretch>
                        </pic:blipFill>
                        <pic:spPr>
                          <a:xfrm>
                            <a:off x="0" y="0"/>
                            <a:ext cx="104140" cy="104140"/>
                          </a:xfrm>
                          <a:prstGeom prst="rect">
                            <a:avLst/>
                          </a:prstGeom>
                          <a:noFill/>
                          <a:ln>
                            <a:noFill/>
                          </a:ln>
                        </pic:spPr>
                      </pic:pic>
                    </a:graphicData>
                  </a:graphic>
                </wp:inline>
              </w:drawing>
            </w:r>
          </w:p>
        </w:tc>
      </w:tr>
      <w:tr w:rsidR="00606029" w14:paraId="7A475B8A" w14:textId="77777777">
        <w:trPr>
          <w:jc w:val="center"/>
        </w:trPr>
        <w:tc>
          <w:tcPr>
            <w:tcW w:w="1114" w:type="dxa"/>
            <w:vMerge/>
            <w:tcBorders>
              <w:top w:val="nil"/>
              <w:left w:val="single" w:sz="6" w:space="0" w:color="000000"/>
              <w:bottom w:val="single" w:sz="2" w:space="0" w:color="000000"/>
              <w:right w:val="single" w:sz="2" w:space="0" w:color="000000"/>
            </w:tcBorders>
            <w:vAlign w:val="center"/>
          </w:tcPr>
          <w:p w14:paraId="4EEC4E6C" w14:textId="77777777" w:rsidR="00606029" w:rsidRDefault="00606029">
            <w:pPr>
              <w:spacing w:line="280" w:lineRule="exact"/>
              <w:jc w:val="center"/>
            </w:pPr>
          </w:p>
        </w:tc>
        <w:tc>
          <w:tcPr>
            <w:tcW w:w="1677" w:type="dxa"/>
            <w:tcBorders>
              <w:top w:val="single" w:sz="2" w:space="0" w:color="000000"/>
              <w:left w:val="single" w:sz="2" w:space="0" w:color="000000"/>
              <w:bottom w:val="single" w:sz="2" w:space="0" w:color="000000"/>
              <w:right w:val="single" w:sz="2" w:space="0" w:color="000000"/>
            </w:tcBorders>
            <w:vAlign w:val="center"/>
          </w:tcPr>
          <w:p w14:paraId="5A8963B8" w14:textId="77777777" w:rsidR="00606029" w:rsidRDefault="00EA5B92">
            <w:pPr>
              <w:spacing w:line="280" w:lineRule="exact"/>
              <w:jc w:val="center"/>
            </w:pPr>
            <w:r>
              <w:t>现状评价</w:t>
            </w:r>
          </w:p>
        </w:tc>
        <w:tc>
          <w:tcPr>
            <w:tcW w:w="3091" w:type="dxa"/>
            <w:gridSpan w:val="5"/>
            <w:tcBorders>
              <w:top w:val="single" w:sz="2" w:space="0" w:color="000000"/>
              <w:left w:val="single" w:sz="2" w:space="0" w:color="000000"/>
              <w:bottom w:val="single" w:sz="2" w:space="0" w:color="000000"/>
              <w:right w:val="single" w:sz="2" w:space="0" w:color="000000"/>
            </w:tcBorders>
            <w:vAlign w:val="center"/>
          </w:tcPr>
          <w:p w14:paraId="63C3658E" w14:textId="77777777" w:rsidR="00606029" w:rsidRDefault="00EA5B92">
            <w:pPr>
              <w:spacing w:line="280" w:lineRule="exact"/>
              <w:jc w:val="center"/>
            </w:pPr>
            <w:r>
              <w:t>达标百分比</w:t>
            </w:r>
          </w:p>
        </w:tc>
        <w:tc>
          <w:tcPr>
            <w:tcW w:w="3345" w:type="dxa"/>
            <w:gridSpan w:val="4"/>
            <w:tcBorders>
              <w:top w:val="single" w:sz="2" w:space="0" w:color="000000"/>
              <w:left w:val="single" w:sz="2" w:space="0" w:color="000000"/>
              <w:bottom w:val="single" w:sz="2" w:space="0" w:color="000000"/>
              <w:right w:val="single" w:sz="6" w:space="0" w:color="000000"/>
            </w:tcBorders>
            <w:vAlign w:val="center"/>
          </w:tcPr>
          <w:p w14:paraId="5A1BDF03" w14:textId="77777777" w:rsidR="00606029" w:rsidRDefault="00EA5B92">
            <w:pPr>
              <w:spacing w:line="280" w:lineRule="exact"/>
              <w:jc w:val="center"/>
            </w:pPr>
            <w:r>
              <w:t>100%</w:t>
            </w:r>
          </w:p>
        </w:tc>
      </w:tr>
      <w:tr w:rsidR="00606029" w14:paraId="0B0E8F1F" w14:textId="77777777">
        <w:trPr>
          <w:jc w:val="center"/>
        </w:trPr>
        <w:tc>
          <w:tcPr>
            <w:tcW w:w="1114" w:type="dxa"/>
            <w:tcBorders>
              <w:top w:val="single" w:sz="2" w:space="0" w:color="000000"/>
              <w:left w:val="single" w:sz="6" w:space="0" w:color="000000"/>
              <w:bottom w:val="single" w:sz="2" w:space="0" w:color="000000"/>
              <w:right w:val="single" w:sz="2" w:space="0" w:color="000000"/>
            </w:tcBorders>
            <w:vAlign w:val="center"/>
          </w:tcPr>
          <w:p w14:paraId="1E8FBB17" w14:textId="77777777" w:rsidR="00606029" w:rsidRDefault="00EA5B92">
            <w:pPr>
              <w:spacing w:line="280" w:lineRule="exact"/>
              <w:jc w:val="center"/>
            </w:pPr>
            <w:r>
              <w:t>噪声源</w:t>
            </w:r>
          </w:p>
          <w:p w14:paraId="0B0921DF" w14:textId="77777777" w:rsidR="00606029" w:rsidRDefault="00EA5B92">
            <w:pPr>
              <w:spacing w:line="280" w:lineRule="exact"/>
              <w:jc w:val="center"/>
            </w:pPr>
            <w:r>
              <w:t>调查</w:t>
            </w:r>
          </w:p>
        </w:tc>
        <w:tc>
          <w:tcPr>
            <w:tcW w:w="1677" w:type="dxa"/>
            <w:tcBorders>
              <w:top w:val="single" w:sz="2" w:space="0" w:color="000000"/>
              <w:left w:val="single" w:sz="2" w:space="0" w:color="000000"/>
              <w:bottom w:val="single" w:sz="2" w:space="0" w:color="000000"/>
              <w:right w:val="single" w:sz="2" w:space="0" w:color="000000"/>
            </w:tcBorders>
            <w:vAlign w:val="center"/>
          </w:tcPr>
          <w:p w14:paraId="78652A8C" w14:textId="77777777" w:rsidR="00606029" w:rsidRDefault="00EA5B92">
            <w:pPr>
              <w:spacing w:line="280" w:lineRule="exact"/>
              <w:jc w:val="center"/>
            </w:pPr>
            <w:r>
              <w:t>噪声源调查方法</w:t>
            </w:r>
          </w:p>
        </w:tc>
        <w:tc>
          <w:tcPr>
            <w:tcW w:w="6436" w:type="dxa"/>
            <w:gridSpan w:val="9"/>
            <w:tcBorders>
              <w:top w:val="single" w:sz="2" w:space="0" w:color="000000"/>
              <w:left w:val="single" w:sz="2" w:space="0" w:color="000000"/>
              <w:bottom w:val="single" w:sz="2" w:space="0" w:color="000000"/>
              <w:right w:val="single" w:sz="6" w:space="0" w:color="000000"/>
            </w:tcBorders>
            <w:vAlign w:val="center"/>
          </w:tcPr>
          <w:p w14:paraId="5C1E2216" w14:textId="77777777" w:rsidR="00606029" w:rsidRDefault="00EA5B92">
            <w:pPr>
              <w:spacing w:line="280" w:lineRule="exact"/>
              <w:jc w:val="center"/>
            </w:pPr>
            <w:r>
              <w:t>现场实测</w:t>
            </w:r>
            <w:r>
              <w:t xml:space="preserve"> </w:t>
            </w:r>
            <w:r>
              <w:rPr>
                <w:noProof/>
              </w:rPr>
              <w:drawing>
                <wp:inline distT="0" distB="0" distL="114300" distR="114300" wp14:anchorId="2E8E212B" wp14:editId="1D9B4996">
                  <wp:extent cx="96520" cy="98425"/>
                  <wp:effectExtent l="0" t="0" r="17780" b="15875"/>
                  <wp:docPr id="1718"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 name="图片 125"/>
                          <pic:cNvPicPr preferRelativeResize="0">
                            <a:picLocks noChangeAspect="1"/>
                          </pic:cNvPicPr>
                        </pic:nvPicPr>
                        <pic:blipFill>
                          <a:blip r:embed="rId141"/>
                          <a:stretch>
                            <a:fillRect/>
                          </a:stretch>
                        </pic:blipFill>
                        <pic:spPr>
                          <a:xfrm>
                            <a:off x="0" y="0"/>
                            <a:ext cx="96520" cy="98425"/>
                          </a:xfrm>
                          <a:prstGeom prst="rect">
                            <a:avLst/>
                          </a:prstGeom>
                          <a:noFill/>
                          <a:ln>
                            <a:noFill/>
                          </a:ln>
                        </pic:spPr>
                      </pic:pic>
                    </a:graphicData>
                  </a:graphic>
                </wp:inline>
              </w:drawing>
            </w:r>
            <w:r>
              <w:t xml:space="preserve">      </w:t>
            </w:r>
            <w:r>
              <w:t>已有资料</w:t>
            </w:r>
            <w:r>
              <w:t xml:space="preserve"> </w:t>
            </w:r>
            <w:r>
              <w:rPr>
                <w:noProof/>
              </w:rPr>
              <w:drawing>
                <wp:inline distT="0" distB="0" distL="114300" distR="114300" wp14:anchorId="6962C699" wp14:editId="0D69C3E3">
                  <wp:extent cx="104140" cy="104140"/>
                  <wp:effectExtent l="0" t="0" r="10160" b="10160"/>
                  <wp:docPr id="1719"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 name="图片 126"/>
                          <pic:cNvPicPr preferRelativeResize="0">
                            <a:picLocks noChangeAspect="1"/>
                          </pic:cNvPicPr>
                        </pic:nvPicPr>
                        <pic:blipFill>
                          <a:blip r:embed="rId140"/>
                          <a:stretch>
                            <a:fillRect/>
                          </a:stretch>
                        </pic:blipFill>
                        <pic:spPr>
                          <a:xfrm>
                            <a:off x="0" y="0"/>
                            <a:ext cx="104140" cy="104140"/>
                          </a:xfrm>
                          <a:prstGeom prst="rect">
                            <a:avLst/>
                          </a:prstGeom>
                          <a:noFill/>
                          <a:ln>
                            <a:noFill/>
                          </a:ln>
                        </pic:spPr>
                      </pic:pic>
                    </a:graphicData>
                  </a:graphic>
                </wp:inline>
              </w:drawing>
            </w:r>
            <w:r>
              <w:t xml:space="preserve">      </w:t>
            </w:r>
            <w:r>
              <w:t>研究成果</w:t>
            </w:r>
            <w:r>
              <w:t>□</w:t>
            </w:r>
          </w:p>
        </w:tc>
      </w:tr>
      <w:tr w:rsidR="00606029" w14:paraId="424CB38E" w14:textId="77777777">
        <w:trPr>
          <w:jc w:val="center"/>
        </w:trPr>
        <w:tc>
          <w:tcPr>
            <w:tcW w:w="1114" w:type="dxa"/>
            <w:vMerge w:val="restart"/>
            <w:tcBorders>
              <w:top w:val="single" w:sz="2" w:space="0" w:color="000000"/>
              <w:left w:val="single" w:sz="6" w:space="0" w:color="000000"/>
              <w:bottom w:val="nil"/>
              <w:right w:val="single" w:sz="2" w:space="0" w:color="000000"/>
            </w:tcBorders>
            <w:vAlign w:val="center"/>
          </w:tcPr>
          <w:p w14:paraId="489545AB" w14:textId="77777777" w:rsidR="00606029" w:rsidRDefault="00EA5B92">
            <w:pPr>
              <w:spacing w:line="280" w:lineRule="exact"/>
              <w:jc w:val="center"/>
            </w:pPr>
            <w:r>
              <w:t>声环境影</w:t>
            </w:r>
          </w:p>
          <w:p w14:paraId="219E8DCF" w14:textId="77777777" w:rsidR="00606029" w:rsidRDefault="00EA5B92">
            <w:pPr>
              <w:spacing w:line="280" w:lineRule="exact"/>
              <w:jc w:val="center"/>
            </w:pPr>
            <w:r>
              <w:t>响预测与</w:t>
            </w:r>
          </w:p>
          <w:p w14:paraId="5AB30C20" w14:textId="77777777" w:rsidR="00606029" w:rsidRDefault="00EA5B92">
            <w:pPr>
              <w:spacing w:line="280" w:lineRule="exact"/>
              <w:jc w:val="center"/>
            </w:pPr>
            <w:r>
              <w:t>评价</w:t>
            </w:r>
          </w:p>
        </w:tc>
        <w:tc>
          <w:tcPr>
            <w:tcW w:w="1677" w:type="dxa"/>
            <w:tcBorders>
              <w:top w:val="single" w:sz="2" w:space="0" w:color="000000"/>
              <w:left w:val="single" w:sz="2" w:space="0" w:color="000000"/>
              <w:bottom w:val="single" w:sz="2" w:space="0" w:color="000000"/>
              <w:right w:val="single" w:sz="2" w:space="0" w:color="000000"/>
            </w:tcBorders>
            <w:vAlign w:val="center"/>
          </w:tcPr>
          <w:p w14:paraId="21E4FDDF" w14:textId="77777777" w:rsidR="00606029" w:rsidRDefault="00EA5B92">
            <w:pPr>
              <w:spacing w:line="280" w:lineRule="exact"/>
              <w:jc w:val="center"/>
            </w:pPr>
            <w:r>
              <w:t>预测模型</w:t>
            </w:r>
          </w:p>
        </w:tc>
        <w:tc>
          <w:tcPr>
            <w:tcW w:w="6436" w:type="dxa"/>
            <w:gridSpan w:val="9"/>
            <w:tcBorders>
              <w:top w:val="single" w:sz="2" w:space="0" w:color="000000"/>
              <w:left w:val="single" w:sz="2" w:space="0" w:color="000000"/>
              <w:bottom w:val="single" w:sz="2" w:space="0" w:color="000000"/>
              <w:right w:val="single" w:sz="6" w:space="0" w:color="000000"/>
            </w:tcBorders>
            <w:vAlign w:val="center"/>
          </w:tcPr>
          <w:p w14:paraId="68EC0A1C" w14:textId="77777777" w:rsidR="00606029" w:rsidRDefault="00EA5B92">
            <w:pPr>
              <w:spacing w:line="280" w:lineRule="exact"/>
              <w:jc w:val="center"/>
            </w:pPr>
            <w:r>
              <w:t>导则推荐模型</w:t>
            </w:r>
            <w:r>
              <w:t xml:space="preserve"> </w:t>
            </w:r>
            <w:r>
              <w:rPr>
                <w:noProof/>
              </w:rPr>
              <w:drawing>
                <wp:inline distT="0" distB="0" distL="114300" distR="114300" wp14:anchorId="2D8C88F3" wp14:editId="036E8F93">
                  <wp:extent cx="104140" cy="104140"/>
                  <wp:effectExtent l="0" t="0" r="10160" b="10160"/>
                  <wp:docPr id="1720"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0" name="图片 127"/>
                          <pic:cNvPicPr preferRelativeResize="0">
                            <a:picLocks noChangeAspect="1"/>
                          </pic:cNvPicPr>
                        </pic:nvPicPr>
                        <pic:blipFill>
                          <a:blip r:embed="rId143"/>
                          <a:stretch>
                            <a:fillRect/>
                          </a:stretch>
                        </pic:blipFill>
                        <pic:spPr>
                          <a:xfrm>
                            <a:off x="0" y="0"/>
                            <a:ext cx="104140" cy="104140"/>
                          </a:xfrm>
                          <a:prstGeom prst="rect">
                            <a:avLst/>
                          </a:prstGeom>
                          <a:noFill/>
                          <a:ln>
                            <a:noFill/>
                          </a:ln>
                        </pic:spPr>
                      </pic:pic>
                    </a:graphicData>
                  </a:graphic>
                </wp:inline>
              </w:drawing>
            </w:r>
            <w:r>
              <w:t xml:space="preserve">              </w:t>
            </w:r>
            <w:r>
              <w:t>其他</w:t>
            </w:r>
            <w:r>
              <w:t>□</w:t>
            </w:r>
          </w:p>
        </w:tc>
      </w:tr>
      <w:tr w:rsidR="00606029" w14:paraId="0F4FD575" w14:textId="77777777">
        <w:trPr>
          <w:jc w:val="center"/>
        </w:trPr>
        <w:tc>
          <w:tcPr>
            <w:tcW w:w="1114" w:type="dxa"/>
            <w:vMerge/>
            <w:tcBorders>
              <w:top w:val="nil"/>
              <w:left w:val="single" w:sz="6" w:space="0" w:color="000000"/>
              <w:bottom w:val="nil"/>
              <w:right w:val="single" w:sz="2" w:space="0" w:color="000000"/>
            </w:tcBorders>
            <w:vAlign w:val="center"/>
          </w:tcPr>
          <w:p w14:paraId="13913132" w14:textId="77777777" w:rsidR="00606029" w:rsidRDefault="00606029">
            <w:pPr>
              <w:spacing w:line="280" w:lineRule="exact"/>
              <w:jc w:val="center"/>
            </w:pPr>
          </w:p>
        </w:tc>
        <w:tc>
          <w:tcPr>
            <w:tcW w:w="1677" w:type="dxa"/>
            <w:tcBorders>
              <w:top w:val="single" w:sz="2" w:space="0" w:color="000000"/>
              <w:left w:val="single" w:sz="2" w:space="0" w:color="000000"/>
              <w:bottom w:val="single" w:sz="2" w:space="0" w:color="000000"/>
              <w:right w:val="single" w:sz="2" w:space="0" w:color="000000"/>
            </w:tcBorders>
            <w:vAlign w:val="center"/>
          </w:tcPr>
          <w:p w14:paraId="44190023" w14:textId="77777777" w:rsidR="00606029" w:rsidRDefault="00EA5B92">
            <w:pPr>
              <w:spacing w:line="280" w:lineRule="exact"/>
              <w:jc w:val="center"/>
            </w:pPr>
            <w:r>
              <w:t>预测范围</w:t>
            </w:r>
          </w:p>
        </w:tc>
        <w:tc>
          <w:tcPr>
            <w:tcW w:w="6436" w:type="dxa"/>
            <w:gridSpan w:val="9"/>
            <w:tcBorders>
              <w:top w:val="single" w:sz="2" w:space="0" w:color="000000"/>
              <w:left w:val="single" w:sz="2" w:space="0" w:color="000000"/>
              <w:bottom w:val="single" w:sz="2" w:space="0" w:color="000000"/>
              <w:right w:val="single" w:sz="6" w:space="0" w:color="000000"/>
            </w:tcBorders>
            <w:vAlign w:val="center"/>
          </w:tcPr>
          <w:p w14:paraId="0E2728AB" w14:textId="77777777" w:rsidR="00606029" w:rsidRDefault="00EA5B92">
            <w:pPr>
              <w:spacing w:line="280" w:lineRule="exact"/>
              <w:jc w:val="center"/>
            </w:pPr>
            <w:r>
              <w:t>200m</w:t>
            </w:r>
            <w:r>
              <w:rPr>
                <w:noProof/>
              </w:rPr>
              <w:drawing>
                <wp:inline distT="0" distB="0" distL="114300" distR="114300" wp14:anchorId="43869DD8" wp14:editId="1E623E17">
                  <wp:extent cx="113665" cy="104140"/>
                  <wp:effectExtent l="0" t="0" r="635" b="10160"/>
                  <wp:docPr id="1721"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1" name="图片 128"/>
                          <pic:cNvPicPr preferRelativeResize="0">
                            <a:picLocks noChangeAspect="1"/>
                          </pic:cNvPicPr>
                        </pic:nvPicPr>
                        <pic:blipFill>
                          <a:blip r:embed="rId143"/>
                          <a:stretch>
                            <a:fillRect/>
                          </a:stretch>
                        </pic:blipFill>
                        <pic:spPr>
                          <a:xfrm>
                            <a:off x="0" y="0"/>
                            <a:ext cx="113665" cy="104140"/>
                          </a:xfrm>
                          <a:prstGeom prst="rect">
                            <a:avLst/>
                          </a:prstGeom>
                          <a:noFill/>
                          <a:ln>
                            <a:noFill/>
                          </a:ln>
                        </pic:spPr>
                      </pic:pic>
                    </a:graphicData>
                  </a:graphic>
                </wp:inline>
              </w:drawing>
            </w:r>
            <w:r>
              <w:t xml:space="preserve">             </w:t>
            </w:r>
            <w:r>
              <w:t>大于</w:t>
            </w:r>
            <w:r>
              <w:t xml:space="preserve"> 200m</w:t>
            </w:r>
            <w:r>
              <w:rPr>
                <w:noProof/>
              </w:rPr>
              <w:drawing>
                <wp:inline distT="0" distB="0" distL="114300" distR="114300" wp14:anchorId="39F4AAEF" wp14:editId="7A4E5D99">
                  <wp:extent cx="105410" cy="98425"/>
                  <wp:effectExtent l="0" t="0" r="8890" b="15875"/>
                  <wp:docPr id="1722"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2" name="图片 129"/>
                          <pic:cNvPicPr preferRelativeResize="0">
                            <a:picLocks noChangeAspect="1"/>
                          </pic:cNvPicPr>
                        </pic:nvPicPr>
                        <pic:blipFill>
                          <a:blip r:embed="rId141"/>
                          <a:stretch>
                            <a:fillRect/>
                          </a:stretch>
                        </pic:blipFill>
                        <pic:spPr>
                          <a:xfrm>
                            <a:off x="0" y="0"/>
                            <a:ext cx="105410" cy="98425"/>
                          </a:xfrm>
                          <a:prstGeom prst="rect">
                            <a:avLst/>
                          </a:prstGeom>
                          <a:noFill/>
                          <a:ln>
                            <a:noFill/>
                          </a:ln>
                        </pic:spPr>
                      </pic:pic>
                    </a:graphicData>
                  </a:graphic>
                </wp:inline>
              </w:drawing>
            </w:r>
            <w:r>
              <w:t xml:space="preserve">            </w:t>
            </w:r>
            <w:r>
              <w:t>小于</w:t>
            </w:r>
            <w:r>
              <w:t xml:space="preserve"> 200m</w:t>
            </w:r>
            <w:r>
              <w:rPr>
                <w:noProof/>
              </w:rPr>
              <w:drawing>
                <wp:inline distT="0" distB="0" distL="114300" distR="114300" wp14:anchorId="2B69C16D" wp14:editId="132E3C68">
                  <wp:extent cx="105410" cy="98425"/>
                  <wp:effectExtent l="0" t="0" r="8890" b="15875"/>
                  <wp:docPr id="1723"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3" name="图片 130"/>
                          <pic:cNvPicPr preferRelativeResize="0">
                            <a:picLocks noChangeAspect="1"/>
                          </pic:cNvPicPr>
                        </pic:nvPicPr>
                        <pic:blipFill>
                          <a:blip r:embed="rId144"/>
                          <a:stretch>
                            <a:fillRect/>
                          </a:stretch>
                        </pic:blipFill>
                        <pic:spPr>
                          <a:xfrm>
                            <a:off x="0" y="0"/>
                            <a:ext cx="105410" cy="98425"/>
                          </a:xfrm>
                          <a:prstGeom prst="rect">
                            <a:avLst/>
                          </a:prstGeom>
                          <a:noFill/>
                          <a:ln>
                            <a:noFill/>
                          </a:ln>
                        </pic:spPr>
                      </pic:pic>
                    </a:graphicData>
                  </a:graphic>
                </wp:inline>
              </w:drawing>
            </w:r>
          </w:p>
        </w:tc>
      </w:tr>
      <w:tr w:rsidR="00606029" w14:paraId="39FC295A" w14:textId="77777777">
        <w:trPr>
          <w:jc w:val="center"/>
        </w:trPr>
        <w:tc>
          <w:tcPr>
            <w:tcW w:w="1114" w:type="dxa"/>
            <w:vMerge/>
            <w:tcBorders>
              <w:top w:val="nil"/>
              <w:left w:val="single" w:sz="6" w:space="0" w:color="000000"/>
              <w:bottom w:val="nil"/>
              <w:right w:val="single" w:sz="2" w:space="0" w:color="000000"/>
            </w:tcBorders>
            <w:vAlign w:val="center"/>
          </w:tcPr>
          <w:p w14:paraId="04BC98DD" w14:textId="77777777" w:rsidR="00606029" w:rsidRDefault="00606029">
            <w:pPr>
              <w:spacing w:line="280" w:lineRule="exact"/>
              <w:jc w:val="center"/>
            </w:pPr>
          </w:p>
        </w:tc>
        <w:tc>
          <w:tcPr>
            <w:tcW w:w="1677" w:type="dxa"/>
            <w:tcBorders>
              <w:top w:val="single" w:sz="2" w:space="0" w:color="000000"/>
              <w:left w:val="single" w:sz="2" w:space="0" w:color="000000"/>
              <w:bottom w:val="single" w:sz="2" w:space="0" w:color="000000"/>
              <w:right w:val="single" w:sz="2" w:space="0" w:color="000000"/>
            </w:tcBorders>
            <w:vAlign w:val="center"/>
          </w:tcPr>
          <w:p w14:paraId="524101F8" w14:textId="77777777" w:rsidR="00606029" w:rsidRDefault="00EA5B92">
            <w:pPr>
              <w:spacing w:line="280" w:lineRule="exact"/>
              <w:jc w:val="center"/>
            </w:pPr>
            <w:r>
              <w:t>预测因子</w:t>
            </w:r>
          </w:p>
        </w:tc>
        <w:tc>
          <w:tcPr>
            <w:tcW w:w="6436" w:type="dxa"/>
            <w:gridSpan w:val="9"/>
            <w:tcBorders>
              <w:top w:val="single" w:sz="2" w:space="0" w:color="000000"/>
              <w:left w:val="single" w:sz="2" w:space="0" w:color="000000"/>
              <w:bottom w:val="single" w:sz="2" w:space="0" w:color="000000"/>
              <w:right w:val="single" w:sz="6" w:space="0" w:color="000000"/>
            </w:tcBorders>
            <w:vAlign w:val="center"/>
          </w:tcPr>
          <w:p w14:paraId="22F55CF7" w14:textId="77777777" w:rsidR="00606029" w:rsidRDefault="00EA5B92">
            <w:pPr>
              <w:spacing w:line="280" w:lineRule="exact"/>
              <w:jc w:val="center"/>
            </w:pPr>
            <w:r>
              <w:t>等效连续</w:t>
            </w:r>
            <w:r>
              <w:t xml:space="preserve"> A </w:t>
            </w:r>
            <w:r>
              <w:t>声级</w:t>
            </w:r>
            <w:r>
              <w:t xml:space="preserve"> </w:t>
            </w:r>
            <w:r>
              <w:rPr>
                <w:noProof/>
              </w:rPr>
              <w:drawing>
                <wp:inline distT="0" distB="0" distL="114300" distR="114300" wp14:anchorId="6FD01208" wp14:editId="1C50BC36">
                  <wp:extent cx="104140" cy="104140"/>
                  <wp:effectExtent l="0" t="0" r="10160" b="10160"/>
                  <wp:docPr id="1724"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4" name="图片 131"/>
                          <pic:cNvPicPr preferRelativeResize="0">
                            <a:picLocks noChangeAspect="1"/>
                          </pic:cNvPicPr>
                        </pic:nvPicPr>
                        <pic:blipFill>
                          <a:blip r:embed="rId140"/>
                          <a:stretch>
                            <a:fillRect/>
                          </a:stretch>
                        </pic:blipFill>
                        <pic:spPr>
                          <a:xfrm>
                            <a:off x="0" y="0"/>
                            <a:ext cx="104140" cy="104140"/>
                          </a:xfrm>
                          <a:prstGeom prst="rect">
                            <a:avLst/>
                          </a:prstGeom>
                          <a:noFill/>
                          <a:ln>
                            <a:noFill/>
                          </a:ln>
                        </pic:spPr>
                      </pic:pic>
                    </a:graphicData>
                  </a:graphic>
                </wp:inline>
              </w:drawing>
            </w:r>
            <w:r>
              <w:t xml:space="preserve">   </w:t>
            </w:r>
            <w:r>
              <w:t>最大</w:t>
            </w:r>
            <w:r>
              <w:t xml:space="preserve"> A </w:t>
            </w:r>
            <w:r>
              <w:t>声级</w:t>
            </w:r>
            <w:r>
              <w:t xml:space="preserve">□   </w:t>
            </w:r>
            <w:r>
              <w:t>计权等效连续感觉噪声级</w:t>
            </w:r>
            <w:r>
              <w:t xml:space="preserve"> □</w:t>
            </w:r>
          </w:p>
        </w:tc>
      </w:tr>
      <w:tr w:rsidR="00606029" w14:paraId="496AE767" w14:textId="77777777">
        <w:trPr>
          <w:jc w:val="center"/>
        </w:trPr>
        <w:tc>
          <w:tcPr>
            <w:tcW w:w="1114" w:type="dxa"/>
            <w:vMerge/>
            <w:tcBorders>
              <w:top w:val="nil"/>
              <w:left w:val="single" w:sz="6" w:space="0" w:color="000000"/>
              <w:bottom w:val="nil"/>
              <w:right w:val="single" w:sz="2" w:space="0" w:color="000000"/>
            </w:tcBorders>
            <w:vAlign w:val="center"/>
          </w:tcPr>
          <w:p w14:paraId="19CB2F53" w14:textId="77777777" w:rsidR="00606029" w:rsidRDefault="00606029">
            <w:pPr>
              <w:spacing w:line="280" w:lineRule="exact"/>
              <w:jc w:val="center"/>
            </w:pPr>
          </w:p>
        </w:tc>
        <w:tc>
          <w:tcPr>
            <w:tcW w:w="1677" w:type="dxa"/>
            <w:tcBorders>
              <w:top w:val="single" w:sz="2" w:space="0" w:color="000000"/>
              <w:left w:val="single" w:sz="2" w:space="0" w:color="000000"/>
              <w:bottom w:val="single" w:sz="2" w:space="0" w:color="000000"/>
              <w:right w:val="single" w:sz="2" w:space="0" w:color="000000"/>
            </w:tcBorders>
            <w:vAlign w:val="center"/>
          </w:tcPr>
          <w:p w14:paraId="22E33D86" w14:textId="77777777" w:rsidR="00606029" w:rsidRDefault="00EA5B92">
            <w:pPr>
              <w:spacing w:line="280" w:lineRule="exact"/>
              <w:jc w:val="center"/>
            </w:pPr>
            <w:r>
              <w:t>厂界噪声贡献值</w:t>
            </w:r>
          </w:p>
        </w:tc>
        <w:tc>
          <w:tcPr>
            <w:tcW w:w="3091" w:type="dxa"/>
            <w:gridSpan w:val="5"/>
            <w:tcBorders>
              <w:top w:val="single" w:sz="2" w:space="0" w:color="000000"/>
              <w:left w:val="single" w:sz="2" w:space="0" w:color="000000"/>
              <w:bottom w:val="single" w:sz="2" w:space="0" w:color="000000"/>
              <w:right w:val="single" w:sz="2" w:space="0" w:color="000000"/>
            </w:tcBorders>
            <w:vAlign w:val="center"/>
          </w:tcPr>
          <w:p w14:paraId="02BC0444" w14:textId="77777777" w:rsidR="00606029" w:rsidRDefault="00EA5B92">
            <w:pPr>
              <w:spacing w:line="280" w:lineRule="exact"/>
              <w:jc w:val="center"/>
            </w:pPr>
            <w:r>
              <w:t>达标</w:t>
            </w:r>
            <w:r>
              <w:t xml:space="preserve"> </w:t>
            </w:r>
            <w:r>
              <w:rPr>
                <w:noProof/>
              </w:rPr>
              <w:drawing>
                <wp:inline distT="0" distB="0" distL="114300" distR="114300" wp14:anchorId="60512E78" wp14:editId="25709D0B">
                  <wp:extent cx="104140" cy="104140"/>
                  <wp:effectExtent l="0" t="0" r="10160" b="10160"/>
                  <wp:docPr id="1725"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5" name="图片 132"/>
                          <pic:cNvPicPr preferRelativeResize="0">
                            <a:picLocks noChangeAspect="1"/>
                          </pic:cNvPicPr>
                        </pic:nvPicPr>
                        <pic:blipFill>
                          <a:blip r:embed="rId142"/>
                          <a:stretch>
                            <a:fillRect/>
                          </a:stretch>
                        </pic:blipFill>
                        <pic:spPr>
                          <a:xfrm>
                            <a:off x="0" y="0"/>
                            <a:ext cx="104140" cy="104140"/>
                          </a:xfrm>
                          <a:prstGeom prst="rect">
                            <a:avLst/>
                          </a:prstGeom>
                          <a:noFill/>
                          <a:ln>
                            <a:noFill/>
                          </a:ln>
                        </pic:spPr>
                      </pic:pic>
                    </a:graphicData>
                  </a:graphic>
                </wp:inline>
              </w:drawing>
            </w:r>
          </w:p>
        </w:tc>
        <w:tc>
          <w:tcPr>
            <w:tcW w:w="3345" w:type="dxa"/>
            <w:gridSpan w:val="4"/>
            <w:tcBorders>
              <w:top w:val="single" w:sz="2" w:space="0" w:color="000000"/>
              <w:left w:val="single" w:sz="2" w:space="0" w:color="000000"/>
              <w:bottom w:val="single" w:sz="2" w:space="0" w:color="000000"/>
              <w:right w:val="single" w:sz="6" w:space="0" w:color="000000"/>
            </w:tcBorders>
            <w:vAlign w:val="center"/>
          </w:tcPr>
          <w:p w14:paraId="01FC5C3B" w14:textId="77777777" w:rsidR="00606029" w:rsidRDefault="00EA5B92">
            <w:pPr>
              <w:spacing w:line="280" w:lineRule="exact"/>
              <w:jc w:val="center"/>
            </w:pPr>
            <w:r>
              <w:t>不达标</w:t>
            </w:r>
            <w:r>
              <w:t xml:space="preserve"> </w:t>
            </w:r>
            <w:r>
              <w:rPr>
                <w:noProof/>
              </w:rPr>
              <w:drawing>
                <wp:inline distT="0" distB="0" distL="114300" distR="114300" wp14:anchorId="6C45749A" wp14:editId="3F972E55">
                  <wp:extent cx="96520" cy="98425"/>
                  <wp:effectExtent l="0" t="0" r="17780" b="15875"/>
                  <wp:docPr id="1726"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6" name="图片 133"/>
                          <pic:cNvPicPr preferRelativeResize="0">
                            <a:picLocks noChangeAspect="1"/>
                          </pic:cNvPicPr>
                        </pic:nvPicPr>
                        <pic:blipFill>
                          <a:blip r:embed="rId141"/>
                          <a:stretch>
                            <a:fillRect/>
                          </a:stretch>
                        </pic:blipFill>
                        <pic:spPr>
                          <a:xfrm>
                            <a:off x="0" y="0"/>
                            <a:ext cx="96520" cy="98425"/>
                          </a:xfrm>
                          <a:prstGeom prst="rect">
                            <a:avLst/>
                          </a:prstGeom>
                          <a:noFill/>
                          <a:ln>
                            <a:noFill/>
                          </a:ln>
                        </pic:spPr>
                      </pic:pic>
                    </a:graphicData>
                  </a:graphic>
                </wp:inline>
              </w:drawing>
            </w:r>
          </w:p>
        </w:tc>
      </w:tr>
      <w:tr w:rsidR="00606029" w14:paraId="5D3D76DC" w14:textId="77777777">
        <w:trPr>
          <w:jc w:val="center"/>
        </w:trPr>
        <w:tc>
          <w:tcPr>
            <w:tcW w:w="1114" w:type="dxa"/>
            <w:vMerge/>
            <w:tcBorders>
              <w:top w:val="nil"/>
              <w:left w:val="single" w:sz="6" w:space="0" w:color="000000"/>
              <w:bottom w:val="single" w:sz="2" w:space="0" w:color="000000"/>
              <w:right w:val="single" w:sz="2" w:space="0" w:color="000000"/>
            </w:tcBorders>
            <w:vAlign w:val="center"/>
          </w:tcPr>
          <w:p w14:paraId="253C2C16" w14:textId="77777777" w:rsidR="00606029" w:rsidRDefault="00606029">
            <w:pPr>
              <w:spacing w:line="280" w:lineRule="exact"/>
              <w:jc w:val="center"/>
            </w:pPr>
          </w:p>
        </w:tc>
        <w:tc>
          <w:tcPr>
            <w:tcW w:w="1677" w:type="dxa"/>
            <w:tcBorders>
              <w:top w:val="single" w:sz="2" w:space="0" w:color="000000"/>
              <w:left w:val="single" w:sz="2" w:space="0" w:color="000000"/>
              <w:bottom w:val="single" w:sz="2" w:space="0" w:color="000000"/>
              <w:right w:val="single" w:sz="2" w:space="0" w:color="000000"/>
            </w:tcBorders>
            <w:vAlign w:val="center"/>
          </w:tcPr>
          <w:p w14:paraId="107419BE" w14:textId="77777777" w:rsidR="00606029" w:rsidRDefault="00EA5B92">
            <w:pPr>
              <w:spacing w:line="280" w:lineRule="exact"/>
              <w:jc w:val="center"/>
            </w:pPr>
            <w:r>
              <w:t>声环境保护目标</w:t>
            </w:r>
            <w:r>
              <w:t xml:space="preserve"> </w:t>
            </w:r>
            <w:r>
              <w:t>处噪声值</w:t>
            </w:r>
          </w:p>
        </w:tc>
        <w:tc>
          <w:tcPr>
            <w:tcW w:w="3091" w:type="dxa"/>
            <w:gridSpan w:val="5"/>
            <w:tcBorders>
              <w:top w:val="single" w:sz="2" w:space="0" w:color="000000"/>
              <w:left w:val="single" w:sz="2" w:space="0" w:color="000000"/>
              <w:bottom w:val="single" w:sz="2" w:space="0" w:color="000000"/>
              <w:right w:val="single" w:sz="2" w:space="0" w:color="000000"/>
            </w:tcBorders>
            <w:vAlign w:val="center"/>
          </w:tcPr>
          <w:p w14:paraId="510C4804" w14:textId="77777777" w:rsidR="00606029" w:rsidRDefault="00EA5B92">
            <w:pPr>
              <w:spacing w:line="280" w:lineRule="exact"/>
              <w:jc w:val="center"/>
            </w:pPr>
            <w:r>
              <w:t>达标</w:t>
            </w:r>
            <w:r>
              <w:t xml:space="preserve"> </w:t>
            </w:r>
            <w:r>
              <w:rPr>
                <w:noProof/>
              </w:rPr>
              <w:drawing>
                <wp:inline distT="0" distB="0" distL="114300" distR="114300" wp14:anchorId="25D94C6C" wp14:editId="1C558109">
                  <wp:extent cx="96520" cy="98425"/>
                  <wp:effectExtent l="0" t="0" r="17780" b="15875"/>
                  <wp:docPr id="1727"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7" name="图片 134"/>
                          <pic:cNvPicPr preferRelativeResize="0">
                            <a:picLocks noChangeAspect="1"/>
                          </pic:cNvPicPr>
                        </pic:nvPicPr>
                        <pic:blipFill>
                          <a:blip r:embed="rId144"/>
                          <a:stretch>
                            <a:fillRect/>
                          </a:stretch>
                        </pic:blipFill>
                        <pic:spPr>
                          <a:xfrm>
                            <a:off x="0" y="0"/>
                            <a:ext cx="96520" cy="98425"/>
                          </a:xfrm>
                          <a:prstGeom prst="rect">
                            <a:avLst/>
                          </a:prstGeom>
                          <a:noFill/>
                          <a:ln>
                            <a:noFill/>
                          </a:ln>
                        </pic:spPr>
                      </pic:pic>
                    </a:graphicData>
                  </a:graphic>
                </wp:inline>
              </w:drawing>
            </w:r>
          </w:p>
        </w:tc>
        <w:tc>
          <w:tcPr>
            <w:tcW w:w="3345" w:type="dxa"/>
            <w:gridSpan w:val="4"/>
            <w:tcBorders>
              <w:top w:val="single" w:sz="2" w:space="0" w:color="000000"/>
              <w:left w:val="single" w:sz="2" w:space="0" w:color="000000"/>
              <w:bottom w:val="single" w:sz="2" w:space="0" w:color="000000"/>
              <w:right w:val="single" w:sz="6" w:space="0" w:color="000000"/>
            </w:tcBorders>
            <w:vAlign w:val="center"/>
          </w:tcPr>
          <w:p w14:paraId="5F33B1EB" w14:textId="77777777" w:rsidR="00606029" w:rsidRDefault="00EA5B92">
            <w:pPr>
              <w:spacing w:line="280" w:lineRule="exact"/>
              <w:jc w:val="center"/>
            </w:pPr>
            <w:r>
              <w:t>不达标</w:t>
            </w:r>
            <w:r>
              <w:t xml:space="preserve"> </w:t>
            </w:r>
            <w:r>
              <w:rPr>
                <w:noProof/>
              </w:rPr>
              <w:drawing>
                <wp:inline distT="0" distB="0" distL="114300" distR="114300" wp14:anchorId="1743F9C8" wp14:editId="25D23A62">
                  <wp:extent cx="96520" cy="98425"/>
                  <wp:effectExtent l="0" t="0" r="17780" b="15875"/>
                  <wp:docPr id="1728"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8" name="图片 135"/>
                          <pic:cNvPicPr preferRelativeResize="0">
                            <a:picLocks noChangeAspect="1"/>
                          </pic:cNvPicPr>
                        </pic:nvPicPr>
                        <pic:blipFill>
                          <a:blip r:embed="rId141"/>
                          <a:stretch>
                            <a:fillRect/>
                          </a:stretch>
                        </pic:blipFill>
                        <pic:spPr>
                          <a:xfrm>
                            <a:off x="0" y="0"/>
                            <a:ext cx="96520" cy="98425"/>
                          </a:xfrm>
                          <a:prstGeom prst="rect">
                            <a:avLst/>
                          </a:prstGeom>
                          <a:noFill/>
                          <a:ln>
                            <a:noFill/>
                          </a:ln>
                        </pic:spPr>
                      </pic:pic>
                    </a:graphicData>
                  </a:graphic>
                </wp:inline>
              </w:drawing>
            </w:r>
          </w:p>
        </w:tc>
      </w:tr>
      <w:tr w:rsidR="00606029" w14:paraId="66CABB2E" w14:textId="77777777">
        <w:trPr>
          <w:jc w:val="center"/>
        </w:trPr>
        <w:tc>
          <w:tcPr>
            <w:tcW w:w="1114" w:type="dxa"/>
            <w:vMerge w:val="restart"/>
            <w:tcBorders>
              <w:top w:val="single" w:sz="2" w:space="0" w:color="000000"/>
              <w:left w:val="single" w:sz="6" w:space="0" w:color="000000"/>
              <w:bottom w:val="nil"/>
              <w:right w:val="single" w:sz="2" w:space="0" w:color="000000"/>
            </w:tcBorders>
            <w:vAlign w:val="center"/>
          </w:tcPr>
          <w:p w14:paraId="1A05C4BE" w14:textId="77777777" w:rsidR="00606029" w:rsidRDefault="00EA5B92">
            <w:pPr>
              <w:spacing w:line="280" w:lineRule="exact"/>
              <w:jc w:val="center"/>
            </w:pPr>
            <w:r>
              <w:t>环境监测</w:t>
            </w:r>
            <w:r>
              <w:t xml:space="preserve"> </w:t>
            </w:r>
            <w:r>
              <w:t>计划</w:t>
            </w:r>
          </w:p>
        </w:tc>
        <w:tc>
          <w:tcPr>
            <w:tcW w:w="1677" w:type="dxa"/>
            <w:tcBorders>
              <w:top w:val="single" w:sz="2" w:space="0" w:color="000000"/>
              <w:left w:val="single" w:sz="2" w:space="0" w:color="000000"/>
              <w:bottom w:val="single" w:sz="2" w:space="0" w:color="000000"/>
              <w:right w:val="single" w:sz="2" w:space="0" w:color="000000"/>
            </w:tcBorders>
            <w:vAlign w:val="center"/>
          </w:tcPr>
          <w:p w14:paraId="6A59794C" w14:textId="77777777" w:rsidR="00606029" w:rsidRDefault="00EA5B92">
            <w:pPr>
              <w:spacing w:line="280" w:lineRule="exact"/>
              <w:jc w:val="center"/>
            </w:pPr>
            <w:r>
              <w:t>排放监测</w:t>
            </w:r>
          </w:p>
        </w:tc>
        <w:tc>
          <w:tcPr>
            <w:tcW w:w="6436" w:type="dxa"/>
            <w:gridSpan w:val="9"/>
            <w:tcBorders>
              <w:top w:val="single" w:sz="2" w:space="0" w:color="000000"/>
              <w:left w:val="single" w:sz="2" w:space="0" w:color="000000"/>
              <w:bottom w:val="single" w:sz="2" w:space="0" w:color="000000"/>
              <w:right w:val="single" w:sz="6" w:space="0" w:color="000000"/>
            </w:tcBorders>
            <w:vAlign w:val="center"/>
          </w:tcPr>
          <w:p w14:paraId="058F555E" w14:textId="77777777" w:rsidR="00606029" w:rsidRDefault="00EA5B92">
            <w:pPr>
              <w:spacing w:line="280" w:lineRule="exact"/>
              <w:jc w:val="center"/>
            </w:pPr>
            <w:r>
              <w:t>厂界监测</w:t>
            </w:r>
            <w:r>
              <w:t xml:space="preserve"> </w:t>
            </w:r>
            <w:r>
              <w:rPr>
                <w:noProof/>
              </w:rPr>
              <w:drawing>
                <wp:inline distT="0" distB="0" distL="114300" distR="114300" wp14:anchorId="0D169B72" wp14:editId="37560FB9">
                  <wp:extent cx="104140" cy="104140"/>
                  <wp:effectExtent l="0" t="0" r="10160" b="10160"/>
                  <wp:docPr id="1729"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9" name="图片 136"/>
                          <pic:cNvPicPr preferRelativeResize="0">
                            <a:picLocks noChangeAspect="1"/>
                          </pic:cNvPicPr>
                        </pic:nvPicPr>
                        <pic:blipFill>
                          <a:blip r:embed="rId142"/>
                          <a:stretch>
                            <a:fillRect/>
                          </a:stretch>
                        </pic:blipFill>
                        <pic:spPr>
                          <a:xfrm>
                            <a:off x="0" y="0"/>
                            <a:ext cx="104140" cy="104140"/>
                          </a:xfrm>
                          <a:prstGeom prst="rect">
                            <a:avLst/>
                          </a:prstGeom>
                          <a:noFill/>
                          <a:ln>
                            <a:noFill/>
                          </a:ln>
                        </pic:spPr>
                      </pic:pic>
                    </a:graphicData>
                  </a:graphic>
                </wp:inline>
              </w:drawing>
            </w:r>
            <w:r>
              <w:t xml:space="preserve">  </w:t>
            </w:r>
            <w:r>
              <w:t>固定位置监测</w:t>
            </w:r>
            <w:r>
              <w:t xml:space="preserve"> </w:t>
            </w:r>
            <w:r>
              <w:rPr>
                <w:noProof/>
              </w:rPr>
              <w:drawing>
                <wp:inline distT="0" distB="0" distL="114300" distR="114300" wp14:anchorId="7BA60598" wp14:editId="2B318CCF">
                  <wp:extent cx="96520" cy="98425"/>
                  <wp:effectExtent l="0" t="0" r="17780" b="15875"/>
                  <wp:docPr id="1730"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0" name="图片 137"/>
                          <pic:cNvPicPr preferRelativeResize="0">
                            <a:picLocks noChangeAspect="1"/>
                          </pic:cNvPicPr>
                        </pic:nvPicPr>
                        <pic:blipFill>
                          <a:blip r:embed="rId144"/>
                          <a:stretch>
                            <a:fillRect/>
                          </a:stretch>
                        </pic:blipFill>
                        <pic:spPr>
                          <a:xfrm>
                            <a:off x="0" y="0"/>
                            <a:ext cx="96520" cy="98425"/>
                          </a:xfrm>
                          <a:prstGeom prst="rect">
                            <a:avLst/>
                          </a:prstGeom>
                          <a:noFill/>
                          <a:ln>
                            <a:noFill/>
                          </a:ln>
                        </pic:spPr>
                      </pic:pic>
                    </a:graphicData>
                  </a:graphic>
                </wp:inline>
              </w:drawing>
            </w:r>
            <w:r>
              <w:t xml:space="preserve">  </w:t>
            </w:r>
            <w:r>
              <w:t>自动监测</w:t>
            </w:r>
            <w:r>
              <w:t xml:space="preserve"> </w:t>
            </w:r>
            <w:r>
              <w:rPr>
                <w:noProof/>
              </w:rPr>
              <w:drawing>
                <wp:inline distT="0" distB="0" distL="114300" distR="114300" wp14:anchorId="26F3ACF4" wp14:editId="6D3ED89E">
                  <wp:extent cx="96520" cy="98425"/>
                  <wp:effectExtent l="0" t="0" r="17780" b="15875"/>
                  <wp:docPr id="1731"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 name="图片 138"/>
                          <pic:cNvPicPr preferRelativeResize="0">
                            <a:picLocks noChangeAspect="1"/>
                          </pic:cNvPicPr>
                        </pic:nvPicPr>
                        <pic:blipFill>
                          <a:blip r:embed="rId141"/>
                          <a:stretch>
                            <a:fillRect/>
                          </a:stretch>
                        </pic:blipFill>
                        <pic:spPr>
                          <a:xfrm>
                            <a:off x="0" y="0"/>
                            <a:ext cx="96520" cy="98425"/>
                          </a:xfrm>
                          <a:prstGeom prst="rect">
                            <a:avLst/>
                          </a:prstGeom>
                          <a:noFill/>
                          <a:ln>
                            <a:noFill/>
                          </a:ln>
                        </pic:spPr>
                      </pic:pic>
                    </a:graphicData>
                  </a:graphic>
                </wp:inline>
              </w:drawing>
            </w:r>
            <w:r>
              <w:t xml:space="preserve">  </w:t>
            </w:r>
            <w:r>
              <w:t>手动监测</w:t>
            </w:r>
            <w:r>
              <w:t xml:space="preserve"> </w:t>
            </w:r>
            <w:r>
              <w:rPr>
                <w:noProof/>
              </w:rPr>
              <w:drawing>
                <wp:inline distT="0" distB="0" distL="114300" distR="114300" wp14:anchorId="1F090648" wp14:editId="3842CCC0">
                  <wp:extent cx="104140" cy="104140"/>
                  <wp:effectExtent l="0" t="0" r="10160" b="10160"/>
                  <wp:docPr id="1732"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2" name="图片 139"/>
                          <pic:cNvPicPr preferRelativeResize="0">
                            <a:picLocks noChangeAspect="1"/>
                          </pic:cNvPicPr>
                        </pic:nvPicPr>
                        <pic:blipFill>
                          <a:blip r:embed="rId140"/>
                          <a:stretch>
                            <a:fillRect/>
                          </a:stretch>
                        </pic:blipFill>
                        <pic:spPr>
                          <a:xfrm>
                            <a:off x="0" y="0"/>
                            <a:ext cx="104140" cy="104140"/>
                          </a:xfrm>
                          <a:prstGeom prst="rect">
                            <a:avLst/>
                          </a:prstGeom>
                          <a:noFill/>
                          <a:ln>
                            <a:noFill/>
                          </a:ln>
                        </pic:spPr>
                      </pic:pic>
                    </a:graphicData>
                  </a:graphic>
                </wp:inline>
              </w:drawing>
            </w:r>
            <w:r>
              <w:t xml:space="preserve">  </w:t>
            </w:r>
            <w:r>
              <w:t>无监测</w:t>
            </w:r>
            <w:r>
              <w:t xml:space="preserve"> </w:t>
            </w:r>
            <w:r>
              <w:rPr>
                <w:noProof/>
              </w:rPr>
              <w:drawing>
                <wp:inline distT="0" distB="0" distL="114300" distR="114300" wp14:anchorId="75B5BE5C" wp14:editId="5854BCBE">
                  <wp:extent cx="96520" cy="98425"/>
                  <wp:effectExtent l="0" t="0" r="17780" b="15875"/>
                  <wp:docPr id="1733"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3" name="图片 140"/>
                          <pic:cNvPicPr preferRelativeResize="0">
                            <a:picLocks noChangeAspect="1"/>
                          </pic:cNvPicPr>
                        </pic:nvPicPr>
                        <pic:blipFill>
                          <a:blip r:embed="rId141"/>
                          <a:stretch>
                            <a:fillRect/>
                          </a:stretch>
                        </pic:blipFill>
                        <pic:spPr>
                          <a:xfrm>
                            <a:off x="0" y="0"/>
                            <a:ext cx="96520" cy="98425"/>
                          </a:xfrm>
                          <a:prstGeom prst="rect">
                            <a:avLst/>
                          </a:prstGeom>
                          <a:noFill/>
                          <a:ln>
                            <a:noFill/>
                          </a:ln>
                        </pic:spPr>
                      </pic:pic>
                    </a:graphicData>
                  </a:graphic>
                </wp:inline>
              </w:drawing>
            </w:r>
          </w:p>
        </w:tc>
      </w:tr>
      <w:tr w:rsidR="00606029" w14:paraId="46499415" w14:textId="77777777">
        <w:trPr>
          <w:jc w:val="center"/>
        </w:trPr>
        <w:tc>
          <w:tcPr>
            <w:tcW w:w="1114" w:type="dxa"/>
            <w:vMerge/>
            <w:tcBorders>
              <w:top w:val="nil"/>
              <w:left w:val="single" w:sz="6" w:space="0" w:color="000000"/>
              <w:bottom w:val="single" w:sz="2" w:space="0" w:color="000000"/>
              <w:right w:val="single" w:sz="2" w:space="0" w:color="000000"/>
            </w:tcBorders>
            <w:vAlign w:val="center"/>
          </w:tcPr>
          <w:p w14:paraId="0A7BD138" w14:textId="77777777" w:rsidR="00606029" w:rsidRDefault="00606029">
            <w:pPr>
              <w:spacing w:line="280" w:lineRule="exact"/>
              <w:jc w:val="center"/>
            </w:pPr>
          </w:p>
        </w:tc>
        <w:tc>
          <w:tcPr>
            <w:tcW w:w="1677" w:type="dxa"/>
            <w:tcBorders>
              <w:top w:val="single" w:sz="2" w:space="0" w:color="000000"/>
              <w:left w:val="single" w:sz="2" w:space="0" w:color="000000"/>
              <w:bottom w:val="single" w:sz="2" w:space="0" w:color="000000"/>
              <w:right w:val="single" w:sz="2" w:space="0" w:color="000000"/>
            </w:tcBorders>
            <w:vAlign w:val="center"/>
          </w:tcPr>
          <w:p w14:paraId="4B160E56" w14:textId="77777777" w:rsidR="00606029" w:rsidRDefault="00EA5B92">
            <w:pPr>
              <w:spacing w:line="280" w:lineRule="exact"/>
              <w:jc w:val="center"/>
            </w:pPr>
            <w:r>
              <w:t>声环境保护目标</w:t>
            </w:r>
            <w:r>
              <w:t xml:space="preserve"> </w:t>
            </w:r>
            <w:r>
              <w:t>处噪声监测</w:t>
            </w:r>
          </w:p>
        </w:tc>
        <w:tc>
          <w:tcPr>
            <w:tcW w:w="2108" w:type="dxa"/>
            <w:gridSpan w:val="4"/>
            <w:tcBorders>
              <w:top w:val="single" w:sz="2" w:space="0" w:color="000000"/>
              <w:left w:val="single" w:sz="2" w:space="0" w:color="000000"/>
              <w:bottom w:val="single" w:sz="2" w:space="0" w:color="000000"/>
              <w:right w:val="single" w:sz="2" w:space="0" w:color="000000"/>
            </w:tcBorders>
            <w:vAlign w:val="center"/>
          </w:tcPr>
          <w:p w14:paraId="2830CD8A" w14:textId="569925F1" w:rsidR="00606029" w:rsidRDefault="00EA5B92">
            <w:pPr>
              <w:spacing w:line="280" w:lineRule="exact"/>
              <w:jc w:val="center"/>
            </w:pPr>
            <w:r>
              <w:t>监测因子</w:t>
            </w:r>
            <w:r w:rsidR="006A52CC">
              <w:t>：</w:t>
            </w:r>
            <w:r>
              <w:t xml:space="preserve"> </w:t>
            </w:r>
            <w:r>
              <w:t>（</w:t>
            </w:r>
            <w:r>
              <w:t>Leq</w:t>
            </w:r>
            <w:r>
              <w:t>）</w:t>
            </w:r>
          </w:p>
        </w:tc>
        <w:tc>
          <w:tcPr>
            <w:tcW w:w="2108" w:type="dxa"/>
            <w:gridSpan w:val="2"/>
            <w:tcBorders>
              <w:top w:val="single" w:sz="2" w:space="0" w:color="000000"/>
              <w:left w:val="single" w:sz="2" w:space="0" w:color="000000"/>
              <w:bottom w:val="single" w:sz="2" w:space="0" w:color="000000"/>
              <w:right w:val="single" w:sz="2" w:space="0" w:color="000000"/>
            </w:tcBorders>
            <w:vAlign w:val="center"/>
          </w:tcPr>
          <w:p w14:paraId="7349E7DE" w14:textId="77777777" w:rsidR="00606029" w:rsidRDefault="00EA5B92">
            <w:pPr>
              <w:spacing w:line="280" w:lineRule="exact"/>
              <w:jc w:val="center"/>
            </w:pPr>
            <w:r>
              <w:t>监测点位数（</w:t>
            </w:r>
            <w:r>
              <w:t>5</w:t>
            </w:r>
            <w:r>
              <w:t>）</w:t>
            </w:r>
          </w:p>
        </w:tc>
        <w:tc>
          <w:tcPr>
            <w:tcW w:w="2220" w:type="dxa"/>
            <w:gridSpan w:val="3"/>
            <w:tcBorders>
              <w:top w:val="single" w:sz="2" w:space="0" w:color="000000"/>
              <w:left w:val="single" w:sz="2" w:space="0" w:color="000000"/>
              <w:bottom w:val="single" w:sz="2" w:space="0" w:color="000000"/>
              <w:right w:val="single" w:sz="6" w:space="0" w:color="000000"/>
            </w:tcBorders>
            <w:vAlign w:val="center"/>
          </w:tcPr>
          <w:p w14:paraId="75512D73" w14:textId="77777777" w:rsidR="00606029" w:rsidRDefault="00EA5B92">
            <w:pPr>
              <w:spacing w:line="280" w:lineRule="exact"/>
              <w:jc w:val="center"/>
            </w:pPr>
            <w:r>
              <w:t>无监测</w:t>
            </w:r>
            <w:r>
              <w:t xml:space="preserve"> </w:t>
            </w:r>
            <w:r>
              <w:rPr>
                <w:noProof/>
              </w:rPr>
              <w:drawing>
                <wp:inline distT="0" distB="0" distL="114300" distR="114300" wp14:anchorId="45D99F76" wp14:editId="48C754EC">
                  <wp:extent cx="96520" cy="98425"/>
                  <wp:effectExtent l="0" t="0" r="17780" b="15875"/>
                  <wp:docPr id="1734"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4" name="图片 141"/>
                          <pic:cNvPicPr preferRelativeResize="0">
                            <a:picLocks noChangeAspect="1"/>
                          </pic:cNvPicPr>
                        </pic:nvPicPr>
                        <pic:blipFill>
                          <a:blip r:embed="rId141"/>
                          <a:stretch>
                            <a:fillRect/>
                          </a:stretch>
                        </pic:blipFill>
                        <pic:spPr>
                          <a:xfrm>
                            <a:off x="0" y="0"/>
                            <a:ext cx="96520" cy="98425"/>
                          </a:xfrm>
                          <a:prstGeom prst="rect">
                            <a:avLst/>
                          </a:prstGeom>
                          <a:noFill/>
                          <a:ln>
                            <a:noFill/>
                          </a:ln>
                        </pic:spPr>
                      </pic:pic>
                    </a:graphicData>
                  </a:graphic>
                </wp:inline>
              </w:drawing>
            </w:r>
          </w:p>
        </w:tc>
      </w:tr>
      <w:tr w:rsidR="00606029" w14:paraId="75FA2463" w14:textId="77777777">
        <w:trPr>
          <w:jc w:val="center"/>
        </w:trPr>
        <w:tc>
          <w:tcPr>
            <w:tcW w:w="1114" w:type="dxa"/>
            <w:tcBorders>
              <w:top w:val="single" w:sz="2" w:space="0" w:color="000000"/>
              <w:left w:val="single" w:sz="6" w:space="0" w:color="000000"/>
              <w:bottom w:val="single" w:sz="2" w:space="0" w:color="000000"/>
              <w:right w:val="single" w:sz="2" w:space="0" w:color="000000"/>
            </w:tcBorders>
            <w:vAlign w:val="center"/>
          </w:tcPr>
          <w:p w14:paraId="0FC2B47C" w14:textId="77777777" w:rsidR="00606029" w:rsidRDefault="00EA5B92">
            <w:pPr>
              <w:spacing w:line="280" w:lineRule="exact"/>
              <w:jc w:val="center"/>
            </w:pPr>
            <w:r>
              <w:t>评价结论</w:t>
            </w:r>
          </w:p>
        </w:tc>
        <w:tc>
          <w:tcPr>
            <w:tcW w:w="1677" w:type="dxa"/>
            <w:tcBorders>
              <w:top w:val="single" w:sz="2" w:space="0" w:color="000000"/>
              <w:left w:val="single" w:sz="2" w:space="0" w:color="000000"/>
              <w:bottom w:val="single" w:sz="2" w:space="0" w:color="000000"/>
              <w:right w:val="single" w:sz="2" w:space="0" w:color="000000"/>
            </w:tcBorders>
            <w:vAlign w:val="center"/>
          </w:tcPr>
          <w:p w14:paraId="3B92BE22" w14:textId="77777777" w:rsidR="00606029" w:rsidRDefault="00EA5B92">
            <w:pPr>
              <w:spacing w:line="280" w:lineRule="exact"/>
              <w:jc w:val="center"/>
            </w:pPr>
            <w:r>
              <w:t>环境影响</w:t>
            </w:r>
          </w:p>
        </w:tc>
        <w:tc>
          <w:tcPr>
            <w:tcW w:w="6436" w:type="dxa"/>
            <w:gridSpan w:val="9"/>
            <w:tcBorders>
              <w:top w:val="single" w:sz="2" w:space="0" w:color="000000"/>
              <w:left w:val="single" w:sz="2" w:space="0" w:color="000000"/>
              <w:bottom w:val="single" w:sz="2" w:space="0" w:color="000000"/>
              <w:right w:val="single" w:sz="6" w:space="0" w:color="000000"/>
            </w:tcBorders>
            <w:vAlign w:val="center"/>
          </w:tcPr>
          <w:p w14:paraId="0794E3F7" w14:textId="77777777" w:rsidR="00606029" w:rsidRDefault="00EA5B92">
            <w:pPr>
              <w:spacing w:line="280" w:lineRule="exact"/>
              <w:jc w:val="center"/>
            </w:pPr>
            <w:r>
              <w:t>可行</w:t>
            </w:r>
            <w:r>
              <w:t xml:space="preserve"> </w:t>
            </w:r>
            <w:r>
              <w:rPr>
                <w:noProof/>
              </w:rPr>
              <w:drawing>
                <wp:inline distT="0" distB="0" distL="114300" distR="114300" wp14:anchorId="2211C085" wp14:editId="1E137F8B">
                  <wp:extent cx="104140" cy="104140"/>
                  <wp:effectExtent l="0" t="0" r="10160" b="10160"/>
                  <wp:docPr id="1735"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5" name="图片 142"/>
                          <pic:cNvPicPr preferRelativeResize="0">
                            <a:picLocks noChangeAspect="1"/>
                          </pic:cNvPicPr>
                        </pic:nvPicPr>
                        <pic:blipFill>
                          <a:blip r:embed="rId142"/>
                          <a:stretch>
                            <a:fillRect/>
                          </a:stretch>
                        </pic:blipFill>
                        <pic:spPr>
                          <a:xfrm>
                            <a:off x="0" y="0"/>
                            <a:ext cx="104140" cy="104140"/>
                          </a:xfrm>
                          <a:prstGeom prst="rect">
                            <a:avLst/>
                          </a:prstGeom>
                          <a:noFill/>
                          <a:ln>
                            <a:noFill/>
                          </a:ln>
                        </pic:spPr>
                      </pic:pic>
                    </a:graphicData>
                  </a:graphic>
                </wp:inline>
              </w:drawing>
            </w:r>
            <w:r>
              <w:t xml:space="preserve">      </w:t>
            </w:r>
            <w:r>
              <w:t>不可行</w:t>
            </w:r>
            <w:r>
              <w:t>□</w:t>
            </w:r>
          </w:p>
        </w:tc>
      </w:tr>
      <w:tr w:rsidR="00606029" w14:paraId="3FE2C5E3" w14:textId="77777777">
        <w:trPr>
          <w:jc w:val="center"/>
        </w:trPr>
        <w:tc>
          <w:tcPr>
            <w:tcW w:w="9227" w:type="dxa"/>
            <w:gridSpan w:val="11"/>
            <w:tcBorders>
              <w:top w:val="single" w:sz="2" w:space="0" w:color="000000"/>
              <w:left w:val="single" w:sz="6" w:space="0" w:color="000000"/>
              <w:bottom w:val="single" w:sz="6" w:space="0" w:color="000000"/>
              <w:right w:val="single" w:sz="6" w:space="0" w:color="000000"/>
            </w:tcBorders>
            <w:vAlign w:val="center"/>
          </w:tcPr>
          <w:p w14:paraId="1852E9DF" w14:textId="6C51FCA6" w:rsidR="00606029" w:rsidRDefault="00EA5B92">
            <w:pPr>
              <w:spacing w:line="280" w:lineRule="exact"/>
              <w:jc w:val="center"/>
            </w:pPr>
            <w:r>
              <w:t>注</w:t>
            </w:r>
            <w:r w:rsidR="006A52CC">
              <w:t>：</w:t>
            </w:r>
            <w:r>
              <w:t>“□”</w:t>
            </w:r>
            <w:r>
              <w:t>为勾选项，可</w:t>
            </w:r>
            <w:r>
              <w:t xml:space="preserve"> √ </w:t>
            </w:r>
            <w:r>
              <w:t>；</w:t>
            </w:r>
            <w:r>
              <w:t xml:space="preserve">“ </w:t>
            </w:r>
            <w:r>
              <w:t>（</w:t>
            </w:r>
            <w:r>
              <w:t xml:space="preserve">  </w:t>
            </w:r>
            <w:r>
              <w:t>）</w:t>
            </w:r>
            <w:r>
              <w:t xml:space="preserve"> ”</w:t>
            </w:r>
            <w:r>
              <w:t>为内容填写项。</w:t>
            </w:r>
          </w:p>
        </w:tc>
      </w:tr>
    </w:tbl>
    <w:p w14:paraId="79CE5FF1" w14:textId="77777777" w:rsidR="00606029" w:rsidRDefault="00EA5B92">
      <w:pPr>
        <w:pStyle w:val="3"/>
        <w:numPr>
          <w:ilvl w:val="0"/>
          <w:numId w:val="0"/>
        </w:numPr>
        <w:tabs>
          <w:tab w:val="left" w:pos="720"/>
        </w:tabs>
        <w:spacing w:beforeLines="50" w:before="120"/>
        <w:ind w:left="720" w:hanging="720"/>
        <w:jc w:val="left"/>
        <w:rPr>
          <w:szCs w:val="28"/>
        </w:rPr>
      </w:pPr>
      <w:bookmarkStart w:id="262" w:name="_Toc220680534"/>
      <w:r>
        <w:rPr>
          <w:szCs w:val="28"/>
        </w:rPr>
        <w:t>6.2.6</w:t>
      </w:r>
      <w:r>
        <w:rPr>
          <w:szCs w:val="28"/>
        </w:rPr>
        <w:t>固体废物影响评价</w:t>
      </w:r>
      <w:bookmarkEnd w:id="262"/>
    </w:p>
    <w:p w14:paraId="7D438F84" w14:textId="77777777" w:rsidR="00606029" w:rsidRDefault="00EA5B92">
      <w:pPr>
        <w:pStyle w:val="4"/>
      </w:pPr>
      <w:bookmarkStart w:id="263" w:name="_Toc19030"/>
      <w:r>
        <w:t>6.2.6.1</w:t>
      </w:r>
      <w:r>
        <w:t>固废处置情况</w:t>
      </w:r>
      <w:bookmarkEnd w:id="263"/>
    </w:p>
    <w:p w14:paraId="23E5BB9B" w14:textId="5D721825" w:rsidR="00606029" w:rsidRDefault="00EA5B92">
      <w:pPr>
        <w:spacing w:line="360" w:lineRule="auto"/>
        <w:ind w:firstLineChars="200" w:firstLine="480"/>
        <w:rPr>
          <w:sz w:val="24"/>
          <w:szCs w:val="22"/>
        </w:rPr>
      </w:pPr>
      <w:r>
        <w:rPr>
          <w:sz w:val="24"/>
          <w:szCs w:val="22"/>
        </w:rPr>
        <w:t>本项目运营工艺较为简单，产生的固体废物主要有废机油、</w:t>
      </w:r>
      <w:r w:rsidR="0074657A">
        <w:rPr>
          <w:rFonts w:hint="eastAsia"/>
          <w:sz w:val="24"/>
          <w:szCs w:val="22"/>
        </w:rPr>
        <w:t>化验室</w:t>
      </w:r>
      <w:r>
        <w:rPr>
          <w:sz w:val="24"/>
          <w:szCs w:val="22"/>
        </w:rPr>
        <w:t>废液。</w:t>
      </w:r>
    </w:p>
    <w:p w14:paraId="27E96E7E" w14:textId="1F071265" w:rsidR="00606029" w:rsidRDefault="00EA5B92" w:rsidP="0074657A">
      <w:pPr>
        <w:adjustRightInd w:val="0"/>
        <w:snapToGrid w:val="0"/>
        <w:spacing w:line="360" w:lineRule="auto"/>
        <w:ind w:firstLineChars="200" w:firstLine="480"/>
        <w:rPr>
          <w:color w:val="000000"/>
          <w:kern w:val="21"/>
          <w:sz w:val="24"/>
          <w:szCs w:val="30"/>
        </w:rPr>
      </w:pPr>
      <w:r>
        <w:rPr>
          <w:color w:val="000000"/>
          <w:kern w:val="21"/>
          <w:sz w:val="24"/>
          <w:szCs w:val="30"/>
        </w:rPr>
        <w:t>（</w:t>
      </w:r>
      <w:r>
        <w:rPr>
          <w:color w:val="000000"/>
          <w:kern w:val="21"/>
          <w:sz w:val="24"/>
          <w:szCs w:val="30"/>
        </w:rPr>
        <w:t>1</w:t>
      </w:r>
      <w:r>
        <w:rPr>
          <w:color w:val="000000"/>
          <w:kern w:val="21"/>
          <w:sz w:val="24"/>
          <w:szCs w:val="30"/>
        </w:rPr>
        <w:t>）废机油</w:t>
      </w:r>
    </w:p>
    <w:p w14:paraId="41408EC5" w14:textId="6B5E7C37" w:rsidR="00606029" w:rsidRDefault="00EA5B92">
      <w:pPr>
        <w:adjustRightInd w:val="0"/>
        <w:snapToGrid w:val="0"/>
        <w:spacing w:line="360" w:lineRule="auto"/>
        <w:ind w:firstLineChars="200" w:firstLine="480"/>
        <w:rPr>
          <w:color w:val="000000"/>
          <w:kern w:val="21"/>
          <w:sz w:val="24"/>
          <w:szCs w:val="30"/>
        </w:rPr>
      </w:pPr>
      <w:r>
        <w:rPr>
          <w:color w:val="000000"/>
          <w:kern w:val="21"/>
          <w:sz w:val="24"/>
          <w:szCs w:val="30"/>
        </w:rPr>
        <w:t>生产设备运行检修等会产生废矿物油约</w:t>
      </w:r>
      <w:r w:rsidR="00344708">
        <w:rPr>
          <w:color w:val="000000"/>
          <w:kern w:val="21"/>
          <w:sz w:val="24"/>
          <w:szCs w:val="30"/>
        </w:rPr>
        <w:t>0.1</w:t>
      </w:r>
      <w:r>
        <w:rPr>
          <w:color w:val="000000"/>
          <w:kern w:val="21"/>
          <w:sz w:val="24"/>
          <w:szCs w:val="30"/>
        </w:rPr>
        <w:t>t/a</w:t>
      </w:r>
      <w:r>
        <w:rPr>
          <w:color w:val="000000"/>
          <w:kern w:val="21"/>
          <w:sz w:val="24"/>
          <w:szCs w:val="30"/>
        </w:rPr>
        <w:t>，属危险废物，危险废物代码为</w:t>
      </w:r>
      <w:r>
        <w:rPr>
          <w:color w:val="000000"/>
          <w:kern w:val="21"/>
          <w:sz w:val="24"/>
          <w:szCs w:val="30"/>
        </w:rPr>
        <w:t>HW08</w:t>
      </w:r>
      <w:r>
        <w:rPr>
          <w:color w:val="000000"/>
          <w:kern w:val="21"/>
          <w:sz w:val="24"/>
          <w:szCs w:val="30"/>
        </w:rPr>
        <w:t>（</w:t>
      </w:r>
      <w:r>
        <w:rPr>
          <w:color w:val="000000"/>
          <w:kern w:val="21"/>
          <w:sz w:val="24"/>
          <w:szCs w:val="30"/>
        </w:rPr>
        <w:t>900-214-08</w:t>
      </w:r>
      <w:r>
        <w:rPr>
          <w:color w:val="000000"/>
          <w:kern w:val="21"/>
          <w:sz w:val="24"/>
          <w:szCs w:val="30"/>
        </w:rPr>
        <w:t>），</w:t>
      </w:r>
      <w:r w:rsidR="00344708">
        <w:rPr>
          <w:color w:val="000000"/>
          <w:kern w:val="21"/>
          <w:sz w:val="24"/>
          <w:szCs w:val="30"/>
        </w:rPr>
        <w:t>集中收集后采用专用容器暂存于现有危废贮存库</w:t>
      </w:r>
      <w:r>
        <w:rPr>
          <w:color w:val="000000"/>
          <w:kern w:val="21"/>
          <w:sz w:val="24"/>
          <w:szCs w:val="30"/>
        </w:rPr>
        <w:t>，定期委托有资质的单位收集处置。</w:t>
      </w:r>
    </w:p>
    <w:p w14:paraId="64B201D7" w14:textId="0093F032" w:rsidR="00606029" w:rsidRDefault="00EA5B92">
      <w:pPr>
        <w:adjustRightInd w:val="0"/>
        <w:snapToGrid w:val="0"/>
        <w:spacing w:line="360" w:lineRule="auto"/>
        <w:ind w:firstLineChars="200" w:firstLine="480"/>
        <w:rPr>
          <w:color w:val="000000"/>
          <w:kern w:val="21"/>
          <w:sz w:val="24"/>
          <w:szCs w:val="30"/>
        </w:rPr>
      </w:pPr>
      <w:r>
        <w:rPr>
          <w:color w:val="000000"/>
          <w:kern w:val="21"/>
          <w:sz w:val="24"/>
          <w:szCs w:val="30"/>
        </w:rPr>
        <w:t>（</w:t>
      </w:r>
      <w:r w:rsidR="0074657A">
        <w:rPr>
          <w:rFonts w:hint="eastAsia"/>
          <w:color w:val="000000"/>
          <w:kern w:val="21"/>
          <w:sz w:val="24"/>
          <w:szCs w:val="30"/>
        </w:rPr>
        <w:t>2</w:t>
      </w:r>
      <w:r>
        <w:rPr>
          <w:color w:val="000000"/>
          <w:kern w:val="21"/>
          <w:sz w:val="24"/>
          <w:szCs w:val="30"/>
        </w:rPr>
        <w:t>）</w:t>
      </w:r>
      <w:r w:rsidR="00FE2EC7">
        <w:rPr>
          <w:rFonts w:hint="eastAsia"/>
          <w:color w:val="000000"/>
          <w:kern w:val="21"/>
          <w:sz w:val="24"/>
          <w:szCs w:val="30"/>
        </w:rPr>
        <w:t>实验废液</w:t>
      </w:r>
    </w:p>
    <w:p w14:paraId="1BFD92FD" w14:textId="0831B2E2" w:rsidR="00606029" w:rsidRDefault="00EA5B92">
      <w:pPr>
        <w:adjustRightInd w:val="0"/>
        <w:snapToGrid w:val="0"/>
        <w:spacing w:line="360" w:lineRule="auto"/>
        <w:ind w:firstLineChars="200" w:firstLine="480"/>
        <w:rPr>
          <w:color w:val="000000"/>
          <w:kern w:val="21"/>
          <w:sz w:val="24"/>
          <w:szCs w:val="30"/>
        </w:rPr>
      </w:pPr>
      <w:r w:rsidRPr="00167D89">
        <w:rPr>
          <w:color w:val="000000"/>
          <w:kern w:val="21"/>
          <w:sz w:val="24"/>
          <w:szCs w:val="30"/>
        </w:rPr>
        <w:t>本项目渗滤液处理站安装有在线监测设备，在线监测废液产生量较小，产生量约</w:t>
      </w:r>
      <w:r w:rsidR="00344708">
        <w:rPr>
          <w:color w:val="000000"/>
          <w:kern w:val="21"/>
          <w:sz w:val="24"/>
          <w:szCs w:val="30"/>
        </w:rPr>
        <w:t>1</w:t>
      </w:r>
      <w:r w:rsidRPr="00167D89">
        <w:rPr>
          <w:color w:val="000000"/>
          <w:kern w:val="21"/>
          <w:sz w:val="24"/>
          <w:szCs w:val="30"/>
        </w:rPr>
        <w:t>t/a</w:t>
      </w:r>
      <w:r w:rsidRPr="00167D89">
        <w:rPr>
          <w:color w:val="000000"/>
          <w:kern w:val="21"/>
          <w:sz w:val="24"/>
          <w:szCs w:val="30"/>
        </w:rPr>
        <w:t>，主要为酸碱废液，危</w:t>
      </w:r>
      <w:r>
        <w:rPr>
          <w:color w:val="000000"/>
          <w:kern w:val="21"/>
          <w:sz w:val="24"/>
          <w:szCs w:val="30"/>
        </w:rPr>
        <w:t>险废物代码为</w:t>
      </w:r>
      <w:r>
        <w:rPr>
          <w:color w:val="000000"/>
          <w:kern w:val="21"/>
          <w:sz w:val="24"/>
          <w:szCs w:val="30"/>
        </w:rPr>
        <w:t>HW49</w:t>
      </w:r>
      <w:r>
        <w:rPr>
          <w:color w:val="000000"/>
          <w:kern w:val="21"/>
          <w:sz w:val="24"/>
          <w:szCs w:val="30"/>
        </w:rPr>
        <w:t>（</w:t>
      </w:r>
      <w:r>
        <w:rPr>
          <w:color w:val="000000"/>
          <w:kern w:val="21"/>
          <w:sz w:val="24"/>
          <w:szCs w:val="30"/>
        </w:rPr>
        <w:t>900-047-49</w:t>
      </w:r>
      <w:r>
        <w:rPr>
          <w:color w:val="000000"/>
          <w:kern w:val="21"/>
          <w:sz w:val="24"/>
          <w:szCs w:val="30"/>
        </w:rPr>
        <w:t>），</w:t>
      </w:r>
      <w:r w:rsidR="00344708">
        <w:rPr>
          <w:color w:val="000000"/>
          <w:kern w:val="21"/>
          <w:sz w:val="24"/>
          <w:szCs w:val="30"/>
        </w:rPr>
        <w:t>集中收集后采用专用容器暂存于现有危废贮存库</w:t>
      </w:r>
      <w:r>
        <w:rPr>
          <w:color w:val="000000"/>
          <w:kern w:val="21"/>
          <w:sz w:val="24"/>
          <w:szCs w:val="30"/>
        </w:rPr>
        <w:t>，定期委托有资质的单位收集处置。</w:t>
      </w:r>
    </w:p>
    <w:p w14:paraId="5CA627DB" w14:textId="43C03F59" w:rsidR="00606029" w:rsidRDefault="00EA5B92" w:rsidP="003C2AEE">
      <w:pPr>
        <w:spacing w:line="360" w:lineRule="auto"/>
        <w:ind w:firstLineChars="200" w:firstLine="480"/>
        <w:rPr>
          <w:bCs/>
          <w:kern w:val="0"/>
          <w:sz w:val="24"/>
          <w:szCs w:val="20"/>
        </w:rPr>
      </w:pPr>
      <w:r>
        <w:rPr>
          <w:color w:val="000000"/>
          <w:kern w:val="21"/>
          <w:sz w:val="24"/>
          <w:szCs w:val="30"/>
        </w:rPr>
        <w:t>本项目</w:t>
      </w:r>
      <w:r w:rsidR="0074657A">
        <w:rPr>
          <w:rFonts w:hint="eastAsia"/>
          <w:color w:val="000000"/>
          <w:kern w:val="21"/>
          <w:sz w:val="24"/>
          <w:szCs w:val="30"/>
        </w:rPr>
        <w:t>产生的废机油、化验室废液等危险废物依托厂区现有危废贮存库暂存</w:t>
      </w:r>
      <w:r w:rsidR="003C2AEE">
        <w:rPr>
          <w:rFonts w:hint="eastAsia"/>
          <w:color w:val="000000"/>
          <w:kern w:val="21"/>
          <w:sz w:val="24"/>
          <w:szCs w:val="30"/>
        </w:rPr>
        <w:t>，定期委托有资质的单位处置。</w:t>
      </w:r>
    </w:p>
    <w:p w14:paraId="6D53E8C1" w14:textId="77777777" w:rsidR="00606029" w:rsidRDefault="00EA5B92">
      <w:pPr>
        <w:pStyle w:val="4"/>
      </w:pPr>
      <w:bookmarkStart w:id="264" w:name="_Toc23383"/>
      <w:r>
        <w:t>6.2.6.2</w:t>
      </w:r>
      <w:r>
        <w:t>固体废物环境影响分析</w:t>
      </w:r>
      <w:bookmarkEnd w:id="264"/>
    </w:p>
    <w:p w14:paraId="679CEAEE" w14:textId="2E2C95D6" w:rsidR="004E600B" w:rsidRDefault="00EA5B92">
      <w:pPr>
        <w:spacing w:line="360" w:lineRule="auto"/>
        <w:ind w:firstLineChars="200" w:firstLine="480"/>
        <w:rPr>
          <w:sz w:val="24"/>
          <w:szCs w:val="22"/>
        </w:rPr>
      </w:pPr>
      <w:r>
        <w:rPr>
          <w:sz w:val="24"/>
          <w:szCs w:val="22"/>
        </w:rPr>
        <w:t>本项目</w:t>
      </w:r>
      <w:r w:rsidR="0074657A">
        <w:rPr>
          <w:rFonts w:hint="eastAsia"/>
          <w:sz w:val="24"/>
          <w:szCs w:val="22"/>
        </w:rPr>
        <w:t>产生的</w:t>
      </w:r>
      <w:r w:rsidR="0074657A" w:rsidRPr="0074657A">
        <w:rPr>
          <w:rFonts w:hint="eastAsia"/>
          <w:sz w:val="24"/>
          <w:szCs w:val="22"/>
        </w:rPr>
        <w:t>废机油</w:t>
      </w:r>
      <w:r w:rsidR="0074657A">
        <w:rPr>
          <w:rFonts w:hint="eastAsia"/>
          <w:sz w:val="24"/>
          <w:szCs w:val="22"/>
        </w:rPr>
        <w:t>、</w:t>
      </w:r>
      <w:r w:rsidR="00FE2EC7">
        <w:rPr>
          <w:rFonts w:hint="eastAsia"/>
          <w:sz w:val="24"/>
          <w:szCs w:val="22"/>
        </w:rPr>
        <w:t>实验废液</w:t>
      </w:r>
      <w:r w:rsidR="0074657A">
        <w:rPr>
          <w:rFonts w:hint="eastAsia"/>
          <w:sz w:val="24"/>
          <w:szCs w:val="22"/>
        </w:rPr>
        <w:t>等</w:t>
      </w:r>
      <w:r>
        <w:rPr>
          <w:sz w:val="24"/>
          <w:szCs w:val="22"/>
        </w:rPr>
        <w:t>采用</w:t>
      </w:r>
      <w:r w:rsidR="0074657A">
        <w:rPr>
          <w:rFonts w:hint="eastAsia"/>
          <w:sz w:val="24"/>
          <w:szCs w:val="22"/>
        </w:rPr>
        <w:t>专用容器密闭</w:t>
      </w:r>
      <w:r>
        <w:rPr>
          <w:sz w:val="24"/>
          <w:szCs w:val="22"/>
        </w:rPr>
        <w:t>进行储存，暂存</w:t>
      </w:r>
      <w:r w:rsidR="0074657A">
        <w:rPr>
          <w:rFonts w:hint="eastAsia"/>
          <w:sz w:val="24"/>
          <w:szCs w:val="22"/>
        </w:rPr>
        <w:t>于厂区现有危废贮存</w:t>
      </w:r>
      <w:r>
        <w:rPr>
          <w:sz w:val="24"/>
          <w:szCs w:val="22"/>
        </w:rPr>
        <w:t>库</w:t>
      </w:r>
      <w:r w:rsidR="0074657A">
        <w:rPr>
          <w:rFonts w:hint="eastAsia"/>
          <w:sz w:val="24"/>
          <w:szCs w:val="22"/>
        </w:rPr>
        <w:t>，定期</w:t>
      </w:r>
      <w:r>
        <w:rPr>
          <w:sz w:val="24"/>
          <w:szCs w:val="22"/>
        </w:rPr>
        <w:t>委托有资质的单位处置。</w:t>
      </w:r>
      <w:r w:rsidR="0074657A">
        <w:rPr>
          <w:rFonts w:hint="eastAsia"/>
          <w:sz w:val="24"/>
          <w:szCs w:val="22"/>
        </w:rPr>
        <w:t>该</w:t>
      </w:r>
      <w:r w:rsidR="0074657A" w:rsidRPr="0074657A">
        <w:rPr>
          <w:rFonts w:hint="eastAsia"/>
          <w:sz w:val="24"/>
          <w:szCs w:val="22"/>
        </w:rPr>
        <w:t>危废</w:t>
      </w:r>
      <w:r w:rsidR="0074657A">
        <w:rPr>
          <w:rFonts w:hint="eastAsia"/>
          <w:sz w:val="24"/>
          <w:szCs w:val="22"/>
        </w:rPr>
        <w:t>贮存库</w:t>
      </w:r>
      <w:r w:rsidR="0074657A" w:rsidRPr="0074657A">
        <w:rPr>
          <w:rFonts w:hint="eastAsia"/>
          <w:sz w:val="24"/>
          <w:szCs w:val="22"/>
        </w:rPr>
        <w:t>位于飞灰稳定化暂存库内，</w:t>
      </w:r>
      <w:r w:rsidR="00CE654A" w:rsidRPr="00CE654A">
        <w:rPr>
          <w:rFonts w:hint="eastAsia"/>
          <w:sz w:val="24"/>
          <w:szCs w:val="22"/>
        </w:rPr>
        <w:t>满足《危险废物贮存污染控制标准</w:t>
      </w:r>
      <w:r w:rsidR="00CE654A">
        <w:rPr>
          <w:rFonts w:hint="eastAsia"/>
          <w:sz w:val="24"/>
          <w:szCs w:val="22"/>
        </w:rPr>
        <w:t>》</w:t>
      </w:r>
      <w:r w:rsidR="00CE654A" w:rsidRPr="00CE654A">
        <w:rPr>
          <w:rFonts w:hint="eastAsia"/>
          <w:sz w:val="24"/>
          <w:szCs w:val="22"/>
        </w:rPr>
        <w:t>（</w:t>
      </w:r>
      <w:r w:rsidR="00CE654A" w:rsidRPr="00CE654A">
        <w:rPr>
          <w:rFonts w:hint="eastAsia"/>
          <w:sz w:val="24"/>
          <w:szCs w:val="22"/>
        </w:rPr>
        <w:t>GB18597-20</w:t>
      </w:r>
      <w:r w:rsidR="00CE654A">
        <w:rPr>
          <w:rFonts w:hint="eastAsia"/>
          <w:sz w:val="24"/>
          <w:szCs w:val="22"/>
        </w:rPr>
        <w:t>23</w:t>
      </w:r>
      <w:r w:rsidR="00CE654A" w:rsidRPr="00CE654A">
        <w:rPr>
          <w:rFonts w:hint="eastAsia"/>
          <w:sz w:val="24"/>
          <w:szCs w:val="22"/>
        </w:rPr>
        <w:t>）</w:t>
      </w:r>
      <w:r w:rsidR="00CE654A">
        <w:rPr>
          <w:rFonts w:hint="eastAsia"/>
          <w:sz w:val="24"/>
          <w:szCs w:val="22"/>
        </w:rPr>
        <w:t>要求。</w:t>
      </w:r>
    </w:p>
    <w:p w14:paraId="6F2A3E75" w14:textId="77777777" w:rsidR="00C5516B" w:rsidRDefault="00EA5B92">
      <w:pPr>
        <w:spacing w:line="360" w:lineRule="auto"/>
        <w:ind w:firstLineChars="200" w:firstLine="480"/>
        <w:rPr>
          <w:sz w:val="24"/>
          <w:szCs w:val="22"/>
        </w:rPr>
      </w:pPr>
      <w:r>
        <w:rPr>
          <w:sz w:val="24"/>
          <w:szCs w:val="22"/>
        </w:rPr>
        <w:lastRenderedPageBreak/>
        <w:t>运输过程中均需保持危废</w:t>
      </w:r>
      <w:r w:rsidR="00CE654A">
        <w:rPr>
          <w:rFonts w:hint="eastAsia"/>
          <w:sz w:val="24"/>
          <w:szCs w:val="22"/>
        </w:rPr>
        <w:t>储存</w:t>
      </w:r>
      <w:r>
        <w:rPr>
          <w:sz w:val="24"/>
          <w:szCs w:val="22"/>
        </w:rPr>
        <w:t>容器的密闭性，从厂区内产生工艺环节运输到贮存场所，再经厂区外运送至处置单位过程中企业均应保证不发生散落和泄漏</w:t>
      </w:r>
      <w:r w:rsidR="004E600B">
        <w:rPr>
          <w:rFonts w:hint="eastAsia"/>
          <w:sz w:val="24"/>
          <w:szCs w:val="22"/>
        </w:rPr>
        <w:t>，</w:t>
      </w:r>
      <w:r w:rsidR="004E600B" w:rsidRPr="004E600B">
        <w:rPr>
          <w:rFonts w:hint="eastAsia"/>
          <w:sz w:val="24"/>
          <w:szCs w:val="22"/>
        </w:rPr>
        <w:t>执行《危险废物收集贮存运输技术规范》（</w:t>
      </w:r>
      <w:r w:rsidR="004E600B" w:rsidRPr="004E600B">
        <w:rPr>
          <w:rFonts w:hint="eastAsia"/>
          <w:sz w:val="24"/>
          <w:szCs w:val="22"/>
        </w:rPr>
        <w:t>HJ 2025-2012</w:t>
      </w:r>
      <w:r w:rsidR="004E600B" w:rsidRPr="004E600B">
        <w:rPr>
          <w:rFonts w:hint="eastAsia"/>
          <w:sz w:val="24"/>
          <w:szCs w:val="22"/>
        </w:rPr>
        <w:t>）和《危险废物转移联单管理办法》，危险废物转移前向环保主管部门报批危险废物转移计划，经批准后，向环保主管部门申请并进行网上申报，并在转移前三日内报告移出地环境保护行政主管部门，并同时将预期到达时间报告接受地环境保护行政主管部门。同时，危险废物装卸、运输应委托有资质单位进行，编制《危险废物运输车辆事故应急预案》，杜绝包装、运输过程中危险废物散落、泄漏的环境影响。</w:t>
      </w:r>
    </w:p>
    <w:p w14:paraId="4715190B" w14:textId="208A27EC" w:rsidR="00606029" w:rsidRDefault="004E600B">
      <w:pPr>
        <w:spacing w:line="360" w:lineRule="auto"/>
        <w:ind w:firstLineChars="200" w:firstLine="480"/>
        <w:rPr>
          <w:sz w:val="24"/>
          <w:szCs w:val="22"/>
        </w:rPr>
      </w:pPr>
      <w:r w:rsidRPr="004E600B">
        <w:rPr>
          <w:rFonts w:hint="eastAsia"/>
          <w:sz w:val="24"/>
          <w:szCs w:val="22"/>
        </w:rPr>
        <w:t>综上所述，本项目产生的固废均可以得到合理的处置，项目产生的固体废物对环境产生的影响很小。</w:t>
      </w:r>
    </w:p>
    <w:p w14:paraId="18FEAAE0" w14:textId="4DB50ED0" w:rsidR="00606029" w:rsidRDefault="00EA5B92">
      <w:pPr>
        <w:pStyle w:val="affffff4"/>
        <w:rPr>
          <w:color w:val="auto"/>
          <w:szCs w:val="24"/>
        </w:rPr>
      </w:pPr>
      <w:r>
        <w:rPr>
          <w:color w:val="auto"/>
          <w:szCs w:val="24"/>
        </w:rPr>
        <w:br w:type="page"/>
      </w:r>
    </w:p>
    <w:p w14:paraId="4A677543" w14:textId="0F6896B9" w:rsidR="00606029" w:rsidRDefault="00532429" w:rsidP="00532429">
      <w:pPr>
        <w:pStyle w:val="3"/>
      </w:pPr>
      <w:bookmarkStart w:id="265" w:name="_Toc4756"/>
      <w:bookmarkStart w:id="266" w:name="_Toc24752"/>
      <w:bookmarkStart w:id="267" w:name="_Toc220680535"/>
      <w:r>
        <w:rPr>
          <w:rFonts w:hint="eastAsia"/>
        </w:rPr>
        <w:lastRenderedPageBreak/>
        <w:t>6.2.7</w:t>
      </w:r>
      <w:r w:rsidR="00EA5B92">
        <w:t>环境风险</w:t>
      </w:r>
      <w:bookmarkEnd w:id="265"/>
      <w:bookmarkEnd w:id="266"/>
      <w:r>
        <w:rPr>
          <w:rFonts w:hint="eastAsia"/>
        </w:rPr>
        <w:t>评价</w:t>
      </w:r>
      <w:bookmarkEnd w:id="267"/>
    </w:p>
    <w:p w14:paraId="3E31FC56" w14:textId="4EF29C23" w:rsidR="006C5BA1" w:rsidRPr="006C5BA1" w:rsidRDefault="00532429" w:rsidP="00CF44E1">
      <w:pPr>
        <w:pStyle w:val="4"/>
      </w:pPr>
      <w:r w:rsidRPr="00532429">
        <w:t>6.2.7</w:t>
      </w:r>
      <w:r w:rsidR="00BB3D52">
        <w:rPr>
          <w:rFonts w:hint="eastAsia"/>
        </w:rPr>
        <w:t>.1</w:t>
      </w:r>
      <w:r w:rsidR="006C5BA1" w:rsidRPr="006C5BA1">
        <w:t>地表水环境风险影响分析</w:t>
      </w:r>
    </w:p>
    <w:p w14:paraId="1EAA33BB" w14:textId="77777777" w:rsidR="006C5BA1" w:rsidRPr="00351BE5" w:rsidRDefault="006C5BA1" w:rsidP="00351BE5">
      <w:pPr>
        <w:adjustRightInd w:val="0"/>
        <w:snapToGrid w:val="0"/>
        <w:spacing w:line="360" w:lineRule="auto"/>
        <w:ind w:firstLineChars="200" w:firstLine="480"/>
        <w:rPr>
          <w:color w:val="000000"/>
          <w:kern w:val="21"/>
          <w:sz w:val="24"/>
          <w:szCs w:val="30"/>
        </w:rPr>
      </w:pPr>
      <w:r w:rsidRPr="00351BE5">
        <w:rPr>
          <w:color w:val="000000"/>
          <w:kern w:val="21"/>
          <w:sz w:val="24"/>
          <w:szCs w:val="30"/>
        </w:rPr>
        <w:t>1</w:t>
      </w:r>
      <w:r w:rsidRPr="00351BE5">
        <w:rPr>
          <w:color w:val="000000"/>
          <w:kern w:val="21"/>
          <w:sz w:val="24"/>
          <w:szCs w:val="30"/>
        </w:rPr>
        <w:t>、风险事故情形设定</w:t>
      </w:r>
    </w:p>
    <w:p w14:paraId="028F582A" w14:textId="7BBA869B" w:rsidR="006C5BA1" w:rsidRPr="006C5BA1" w:rsidRDefault="006C5BA1" w:rsidP="00351BE5">
      <w:pPr>
        <w:adjustRightInd w:val="0"/>
        <w:snapToGrid w:val="0"/>
        <w:spacing w:line="360" w:lineRule="auto"/>
        <w:ind w:firstLineChars="200" w:firstLine="480"/>
        <w:rPr>
          <w:kern w:val="0"/>
          <w:sz w:val="24"/>
          <w:szCs w:val="24"/>
        </w:rPr>
      </w:pPr>
      <w:r w:rsidRPr="006C5BA1">
        <w:rPr>
          <w:kern w:val="0"/>
          <w:sz w:val="24"/>
          <w:szCs w:val="24"/>
        </w:rPr>
        <w:t>本项目地表水环境风险事故情形设定见</w:t>
      </w:r>
      <w:r w:rsidR="00FD0A87">
        <w:rPr>
          <w:rFonts w:hint="eastAsia"/>
          <w:kern w:val="0"/>
          <w:sz w:val="24"/>
          <w:szCs w:val="24"/>
        </w:rPr>
        <w:t>下</w:t>
      </w:r>
      <w:r w:rsidRPr="006C5BA1">
        <w:rPr>
          <w:kern w:val="0"/>
          <w:sz w:val="24"/>
          <w:szCs w:val="24"/>
        </w:rPr>
        <w:t>表。</w:t>
      </w:r>
    </w:p>
    <w:p w14:paraId="503604D2" w14:textId="3BA6F9AC" w:rsidR="006C5BA1" w:rsidRPr="00FD0A87" w:rsidRDefault="006C5BA1" w:rsidP="00FD0A87">
      <w:pPr>
        <w:pStyle w:val="affffff5"/>
        <w:tabs>
          <w:tab w:val="left" w:pos="1259"/>
        </w:tabs>
      </w:pPr>
      <w:r w:rsidRPr="00FD0A87">
        <w:t>表</w:t>
      </w:r>
      <w:r w:rsidR="00FD0A87">
        <w:rPr>
          <w:rFonts w:hint="eastAsia"/>
        </w:rPr>
        <w:t>6.2-3</w:t>
      </w:r>
      <w:r w:rsidR="00CF44E1">
        <w:rPr>
          <w:rFonts w:hint="eastAsia"/>
        </w:rPr>
        <w:t>4</w:t>
      </w:r>
      <w:r w:rsidRPr="00FD0A87">
        <w:t xml:space="preserve"> </w:t>
      </w:r>
      <w:r w:rsidRPr="00FD0A87">
        <w:t>本项目地表水环境风险事故情形设定</w:t>
      </w:r>
    </w:p>
    <w:tbl>
      <w:tblPr>
        <w:tblW w:w="0" w:type="auto"/>
        <w:jc w:val="center"/>
        <w:tblBorders>
          <w:top w:val="single" w:sz="4"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1525"/>
        <w:gridCol w:w="1442"/>
        <w:gridCol w:w="1584"/>
        <w:gridCol w:w="2144"/>
        <w:gridCol w:w="1834"/>
      </w:tblGrid>
      <w:tr w:rsidR="006C5BA1" w:rsidRPr="006C5BA1" w14:paraId="2F5C43ED" w14:textId="77777777" w:rsidTr="00CF44E1">
        <w:trPr>
          <w:trHeight w:val="284"/>
          <w:jc w:val="center"/>
        </w:trPr>
        <w:tc>
          <w:tcPr>
            <w:tcW w:w="1525" w:type="dxa"/>
            <w:vAlign w:val="center"/>
          </w:tcPr>
          <w:p w14:paraId="4363C3A8" w14:textId="77777777" w:rsidR="006C5BA1" w:rsidRPr="006C5BA1" w:rsidRDefault="006C5BA1" w:rsidP="006C5BA1">
            <w:pPr>
              <w:adjustRightInd w:val="0"/>
              <w:snapToGrid w:val="0"/>
              <w:jc w:val="center"/>
              <w:rPr>
                <w:bCs/>
                <w:sz w:val="18"/>
                <w:szCs w:val="18"/>
              </w:rPr>
            </w:pPr>
            <w:r w:rsidRPr="006C5BA1">
              <w:rPr>
                <w:bCs/>
                <w:sz w:val="18"/>
                <w:szCs w:val="18"/>
              </w:rPr>
              <w:t>危险单元</w:t>
            </w:r>
          </w:p>
        </w:tc>
        <w:tc>
          <w:tcPr>
            <w:tcW w:w="1442" w:type="dxa"/>
            <w:vAlign w:val="center"/>
          </w:tcPr>
          <w:p w14:paraId="6555ECEE" w14:textId="77777777" w:rsidR="006C5BA1" w:rsidRPr="006C5BA1" w:rsidRDefault="006C5BA1" w:rsidP="006C5BA1">
            <w:pPr>
              <w:adjustRightInd w:val="0"/>
              <w:snapToGrid w:val="0"/>
              <w:jc w:val="center"/>
              <w:rPr>
                <w:bCs/>
                <w:sz w:val="18"/>
                <w:szCs w:val="18"/>
              </w:rPr>
            </w:pPr>
            <w:r w:rsidRPr="006C5BA1">
              <w:rPr>
                <w:bCs/>
                <w:sz w:val="18"/>
                <w:szCs w:val="18"/>
              </w:rPr>
              <w:t>风险源</w:t>
            </w:r>
          </w:p>
        </w:tc>
        <w:tc>
          <w:tcPr>
            <w:tcW w:w="1584" w:type="dxa"/>
            <w:vAlign w:val="center"/>
          </w:tcPr>
          <w:p w14:paraId="2C6F4BB1" w14:textId="77777777" w:rsidR="006C5BA1" w:rsidRPr="006C5BA1" w:rsidRDefault="006C5BA1" w:rsidP="006C5BA1">
            <w:pPr>
              <w:adjustRightInd w:val="0"/>
              <w:snapToGrid w:val="0"/>
              <w:jc w:val="center"/>
              <w:rPr>
                <w:bCs/>
                <w:sz w:val="18"/>
                <w:szCs w:val="18"/>
              </w:rPr>
            </w:pPr>
            <w:r w:rsidRPr="006C5BA1">
              <w:rPr>
                <w:bCs/>
                <w:sz w:val="18"/>
                <w:szCs w:val="18"/>
              </w:rPr>
              <w:t>危险物质</w:t>
            </w:r>
          </w:p>
        </w:tc>
        <w:tc>
          <w:tcPr>
            <w:tcW w:w="2144" w:type="dxa"/>
            <w:vAlign w:val="center"/>
          </w:tcPr>
          <w:p w14:paraId="44B787FD" w14:textId="77777777" w:rsidR="006C5BA1" w:rsidRPr="006C5BA1" w:rsidRDefault="006C5BA1" w:rsidP="006C5BA1">
            <w:pPr>
              <w:adjustRightInd w:val="0"/>
              <w:snapToGrid w:val="0"/>
              <w:jc w:val="center"/>
              <w:rPr>
                <w:bCs/>
                <w:sz w:val="18"/>
                <w:szCs w:val="18"/>
              </w:rPr>
            </w:pPr>
            <w:r w:rsidRPr="006C5BA1">
              <w:rPr>
                <w:bCs/>
                <w:sz w:val="18"/>
                <w:szCs w:val="18"/>
              </w:rPr>
              <w:t>环境风险类型</w:t>
            </w:r>
          </w:p>
        </w:tc>
        <w:tc>
          <w:tcPr>
            <w:tcW w:w="1834" w:type="dxa"/>
            <w:vAlign w:val="center"/>
          </w:tcPr>
          <w:p w14:paraId="4FE8C1B6" w14:textId="77777777" w:rsidR="006C5BA1" w:rsidRPr="006C5BA1" w:rsidRDefault="006C5BA1" w:rsidP="006C5BA1">
            <w:pPr>
              <w:adjustRightInd w:val="0"/>
              <w:snapToGrid w:val="0"/>
              <w:jc w:val="center"/>
              <w:rPr>
                <w:bCs/>
                <w:sz w:val="18"/>
                <w:szCs w:val="18"/>
              </w:rPr>
            </w:pPr>
            <w:r w:rsidRPr="006C5BA1">
              <w:rPr>
                <w:bCs/>
                <w:sz w:val="18"/>
                <w:szCs w:val="18"/>
              </w:rPr>
              <w:t>环境影响途径</w:t>
            </w:r>
          </w:p>
        </w:tc>
      </w:tr>
      <w:tr w:rsidR="006C5BA1" w:rsidRPr="006C5BA1" w14:paraId="61DFD4AB" w14:textId="77777777" w:rsidTr="00CF44E1">
        <w:trPr>
          <w:trHeight w:val="284"/>
          <w:jc w:val="center"/>
        </w:trPr>
        <w:tc>
          <w:tcPr>
            <w:tcW w:w="1525" w:type="dxa"/>
            <w:vAlign w:val="center"/>
          </w:tcPr>
          <w:p w14:paraId="2EB729C8" w14:textId="7CBC4606" w:rsidR="006C5BA1" w:rsidRPr="006C5BA1" w:rsidRDefault="006C5BA1" w:rsidP="006C5BA1">
            <w:pPr>
              <w:adjustRightInd w:val="0"/>
              <w:snapToGrid w:val="0"/>
              <w:jc w:val="center"/>
              <w:rPr>
                <w:bCs/>
                <w:sz w:val="18"/>
                <w:szCs w:val="18"/>
              </w:rPr>
            </w:pPr>
            <w:r>
              <w:rPr>
                <w:rFonts w:hint="eastAsia"/>
                <w:bCs/>
                <w:sz w:val="18"/>
                <w:szCs w:val="18"/>
              </w:rPr>
              <w:t>飞灰填埋区</w:t>
            </w:r>
          </w:p>
        </w:tc>
        <w:tc>
          <w:tcPr>
            <w:tcW w:w="1442" w:type="dxa"/>
            <w:vAlign w:val="center"/>
          </w:tcPr>
          <w:p w14:paraId="43CAB3E6" w14:textId="25A269D2" w:rsidR="006C5BA1" w:rsidRPr="006C5BA1" w:rsidRDefault="006C5BA1" w:rsidP="006C5BA1">
            <w:pPr>
              <w:adjustRightInd w:val="0"/>
              <w:snapToGrid w:val="0"/>
              <w:jc w:val="center"/>
              <w:rPr>
                <w:bCs/>
                <w:sz w:val="18"/>
                <w:szCs w:val="18"/>
              </w:rPr>
            </w:pPr>
            <w:r>
              <w:rPr>
                <w:rFonts w:hint="eastAsia"/>
                <w:bCs/>
                <w:sz w:val="18"/>
                <w:szCs w:val="18"/>
              </w:rPr>
              <w:t>淋溶水</w:t>
            </w:r>
          </w:p>
        </w:tc>
        <w:tc>
          <w:tcPr>
            <w:tcW w:w="1584" w:type="dxa"/>
            <w:vAlign w:val="center"/>
          </w:tcPr>
          <w:p w14:paraId="52645B04" w14:textId="62442F7B" w:rsidR="006C5BA1" w:rsidRPr="006C5BA1" w:rsidRDefault="006C5BA1" w:rsidP="006C5BA1">
            <w:pPr>
              <w:adjustRightInd w:val="0"/>
              <w:snapToGrid w:val="0"/>
              <w:jc w:val="center"/>
              <w:rPr>
                <w:bCs/>
                <w:sz w:val="18"/>
                <w:szCs w:val="18"/>
              </w:rPr>
            </w:pPr>
            <w:r>
              <w:rPr>
                <w:rFonts w:hint="eastAsia"/>
                <w:bCs/>
                <w:sz w:val="18"/>
                <w:szCs w:val="18"/>
              </w:rPr>
              <w:t>铅等重金属</w:t>
            </w:r>
          </w:p>
        </w:tc>
        <w:tc>
          <w:tcPr>
            <w:tcW w:w="2144" w:type="dxa"/>
            <w:vAlign w:val="center"/>
          </w:tcPr>
          <w:p w14:paraId="6F0487D6" w14:textId="7BDE78F2" w:rsidR="006C5BA1" w:rsidRPr="006C5BA1" w:rsidRDefault="006C5BA1" w:rsidP="006C5BA1">
            <w:pPr>
              <w:adjustRightInd w:val="0"/>
              <w:snapToGrid w:val="0"/>
              <w:jc w:val="center"/>
              <w:rPr>
                <w:bCs/>
                <w:sz w:val="18"/>
                <w:szCs w:val="18"/>
              </w:rPr>
            </w:pPr>
            <w:r w:rsidRPr="006C5BA1">
              <w:rPr>
                <w:bCs/>
                <w:sz w:val="18"/>
                <w:szCs w:val="18"/>
              </w:rPr>
              <w:t>泄露</w:t>
            </w:r>
          </w:p>
        </w:tc>
        <w:tc>
          <w:tcPr>
            <w:tcW w:w="1834" w:type="dxa"/>
            <w:vAlign w:val="center"/>
          </w:tcPr>
          <w:p w14:paraId="1BDBFF5A" w14:textId="4908A6B2" w:rsidR="006C5BA1" w:rsidRPr="006C5BA1" w:rsidRDefault="00CF44E1" w:rsidP="006C5BA1">
            <w:pPr>
              <w:adjustRightInd w:val="0"/>
              <w:snapToGrid w:val="0"/>
              <w:jc w:val="center"/>
              <w:rPr>
                <w:bCs/>
                <w:sz w:val="18"/>
                <w:szCs w:val="18"/>
              </w:rPr>
            </w:pPr>
            <w:r>
              <w:rPr>
                <w:rFonts w:hint="eastAsia"/>
                <w:bCs/>
                <w:sz w:val="18"/>
                <w:szCs w:val="18"/>
              </w:rPr>
              <w:t>泄漏进入</w:t>
            </w:r>
            <w:r w:rsidR="006C5BA1" w:rsidRPr="006C5BA1">
              <w:rPr>
                <w:bCs/>
                <w:sz w:val="18"/>
                <w:szCs w:val="18"/>
              </w:rPr>
              <w:t>地表水</w:t>
            </w:r>
          </w:p>
        </w:tc>
      </w:tr>
    </w:tbl>
    <w:p w14:paraId="60F7005E" w14:textId="77777777" w:rsidR="006C5BA1" w:rsidRPr="00351BE5" w:rsidRDefault="006C5BA1" w:rsidP="00351BE5">
      <w:pPr>
        <w:adjustRightInd w:val="0"/>
        <w:snapToGrid w:val="0"/>
        <w:spacing w:line="360" w:lineRule="auto"/>
        <w:ind w:firstLineChars="200" w:firstLine="480"/>
        <w:rPr>
          <w:color w:val="000000"/>
          <w:kern w:val="21"/>
          <w:sz w:val="24"/>
          <w:szCs w:val="30"/>
        </w:rPr>
      </w:pPr>
      <w:r w:rsidRPr="00351BE5">
        <w:rPr>
          <w:color w:val="000000"/>
          <w:kern w:val="21"/>
          <w:sz w:val="24"/>
          <w:szCs w:val="30"/>
        </w:rPr>
        <w:t>2</w:t>
      </w:r>
      <w:r w:rsidRPr="00351BE5">
        <w:rPr>
          <w:color w:val="000000"/>
          <w:kern w:val="21"/>
          <w:sz w:val="24"/>
          <w:szCs w:val="30"/>
        </w:rPr>
        <w:t>、风险影响分析</w:t>
      </w:r>
    </w:p>
    <w:p w14:paraId="7ED5F754" w14:textId="77777777" w:rsidR="006C5BA1" w:rsidRPr="00351BE5" w:rsidRDefault="006C5BA1" w:rsidP="00351BE5">
      <w:pPr>
        <w:adjustRightInd w:val="0"/>
        <w:snapToGrid w:val="0"/>
        <w:spacing w:line="360" w:lineRule="auto"/>
        <w:ind w:firstLineChars="200" w:firstLine="480"/>
        <w:rPr>
          <w:color w:val="000000"/>
          <w:kern w:val="21"/>
          <w:sz w:val="24"/>
          <w:szCs w:val="30"/>
        </w:rPr>
      </w:pPr>
      <w:r w:rsidRPr="00351BE5">
        <w:rPr>
          <w:color w:val="000000"/>
          <w:kern w:val="21"/>
          <w:sz w:val="24"/>
          <w:szCs w:val="30"/>
        </w:rPr>
        <w:t>本项目地表水环境风险评价等级为三级评价，定性说明地表水环境影响后果。</w:t>
      </w:r>
    </w:p>
    <w:p w14:paraId="00415949" w14:textId="58B23295" w:rsidR="006C5BA1" w:rsidRPr="00351BE5" w:rsidRDefault="006C5BA1" w:rsidP="00351BE5">
      <w:pPr>
        <w:adjustRightInd w:val="0"/>
        <w:snapToGrid w:val="0"/>
        <w:spacing w:line="360" w:lineRule="auto"/>
        <w:ind w:firstLineChars="200" w:firstLine="480"/>
        <w:rPr>
          <w:color w:val="000000"/>
          <w:kern w:val="21"/>
          <w:sz w:val="24"/>
          <w:szCs w:val="30"/>
        </w:rPr>
      </w:pPr>
      <w:r w:rsidRPr="00351BE5">
        <w:rPr>
          <w:color w:val="000000"/>
          <w:kern w:val="21"/>
          <w:sz w:val="24"/>
          <w:szCs w:val="30"/>
        </w:rPr>
        <w:t>本项目产生的废水主要为</w:t>
      </w:r>
      <w:r w:rsidRPr="00351BE5">
        <w:rPr>
          <w:rFonts w:hint="eastAsia"/>
          <w:color w:val="000000"/>
          <w:kern w:val="21"/>
          <w:sz w:val="24"/>
          <w:szCs w:val="30"/>
        </w:rPr>
        <w:t>淋溶水</w:t>
      </w:r>
      <w:r w:rsidRPr="00351BE5">
        <w:rPr>
          <w:color w:val="000000"/>
          <w:kern w:val="21"/>
          <w:sz w:val="24"/>
          <w:szCs w:val="30"/>
        </w:rPr>
        <w:t>，</w:t>
      </w:r>
      <w:r w:rsidRPr="00351BE5">
        <w:rPr>
          <w:rFonts w:hint="eastAsia"/>
          <w:color w:val="000000"/>
          <w:kern w:val="21"/>
          <w:sz w:val="24"/>
          <w:szCs w:val="30"/>
        </w:rPr>
        <w:t>依托厂区现有</w:t>
      </w:r>
      <w:r w:rsidRPr="00351BE5">
        <w:rPr>
          <w:color w:val="000000"/>
          <w:kern w:val="21"/>
          <w:sz w:val="24"/>
          <w:szCs w:val="30"/>
        </w:rPr>
        <w:t>渗滤液处理站</w:t>
      </w:r>
      <w:r w:rsidRPr="00351BE5">
        <w:rPr>
          <w:rFonts w:hint="eastAsia"/>
          <w:color w:val="000000"/>
          <w:kern w:val="21"/>
          <w:sz w:val="24"/>
          <w:szCs w:val="30"/>
        </w:rPr>
        <w:t>处理</w:t>
      </w:r>
      <w:r w:rsidRPr="00351BE5">
        <w:rPr>
          <w:color w:val="000000"/>
          <w:kern w:val="21"/>
          <w:sz w:val="24"/>
          <w:szCs w:val="30"/>
        </w:rPr>
        <w:t>，</w:t>
      </w:r>
      <w:r w:rsidRPr="00351BE5">
        <w:rPr>
          <w:rFonts w:hint="eastAsia"/>
          <w:color w:val="000000"/>
          <w:kern w:val="21"/>
          <w:sz w:val="24"/>
          <w:szCs w:val="30"/>
        </w:rPr>
        <w:t>该站</w:t>
      </w:r>
      <w:r w:rsidRPr="00351BE5">
        <w:rPr>
          <w:color w:val="000000"/>
          <w:kern w:val="21"/>
          <w:sz w:val="24"/>
          <w:szCs w:val="30"/>
        </w:rPr>
        <w:t>规模</w:t>
      </w:r>
      <w:r w:rsidRPr="00351BE5">
        <w:rPr>
          <w:color w:val="000000"/>
          <w:kern w:val="21"/>
          <w:sz w:val="24"/>
          <w:szCs w:val="30"/>
        </w:rPr>
        <w:t>450m3/d</w:t>
      </w:r>
      <w:r w:rsidRPr="00351BE5">
        <w:rPr>
          <w:rFonts w:hint="eastAsia"/>
          <w:color w:val="000000"/>
          <w:kern w:val="21"/>
          <w:sz w:val="24"/>
          <w:szCs w:val="30"/>
        </w:rPr>
        <w:t>，</w:t>
      </w:r>
      <w:r w:rsidRPr="00351BE5">
        <w:rPr>
          <w:color w:val="000000"/>
          <w:kern w:val="21"/>
          <w:sz w:val="24"/>
          <w:szCs w:val="30"/>
        </w:rPr>
        <w:t>处理工艺为</w:t>
      </w:r>
      <w:r w:rsidRPr="00351BE5">
        <w:rPr>
          <w:color w:val="000000"/>
          <w:kern w:val="21"/>
          <w:sz w:val="24"/>
          <w:szCs w:val="30"/>
        </w:rPr>
        <w:t>“</w:t>
      </w:r>
      <w:r w:rsidRPr="00351BE5">
        <w:rPr>
          <w:color w:val="000000"/>
          <w:kern w:val="21"/>
          <w:sz w:val="24"/>
          <w:szCs w:val="30"/>
        </w:rPr>
        <w:t>调节池＋</w:t>
      </w:r>
      <w:r w:rsidRPr="00351BE5">
        <w:rPr>
          <w:color w:val="000000"/>
          <w:kern w:val="21"/>
          <w:sz w:val="24"/>
          <w:szCs w:val="30"/>
        </w:rPr>
        <w:t xml:space="preserve">UASB </w:t>
      </w:r>
      <w:r w:rsidRPr="00351BE5">
        <w:rPr>
          <w:color w:val="000000"/>
          <w:kern w:val="21"/>
          <w:sz w:val="24"/>
          <w:szCs w:val="30"/>
        </w:rPr>
        <w:t>厌氧反应器＋</w:t>
      </w:r>
      <w:r w:rsidRPr="00351BE5">
        <w:rPr>
          <w:color w:val="000000"/>
          <w:kern w:val="21"/>
          <w:sz w:val="24"/>
          <w:szCs w:val="30"/>
        </w:rPr>
        <w:t xml:space="preserve">MBR </w:t>
      </w:r>
      <w:r w:rsidRPr="00351BE5">
        <w:rPr>
          <w:color w:val="000000"/>
          <w:kern w:val="21"/>
          <w:sz w:val="24"/>
          <w:szCs w:val="30"/>
        </w:rPr>
        <w:t>生化处理系统＋</w:t>
      </w:r>
      <w:r w:rsidRPr="00351BE5">
        <w:rPr>
          <w:color w:val="000000"/>
          <w:kern w:val="21"/>
          <w:sz w:val="24"/>
          <w:szCs w:val="30"/>
        </w:rPr>
        <w:t xml:space="preserve">NF </w:t>
      </w:r>
      <w:r w:rsidRPr="00351BE5">
        <w:rPr>
          <w:color w:val="000000"/>
          <w:kern w:val="21"/>
          <w:sz w:val="24"/>
          <w:szCs w:val="30"/>
        </w:rPr>
        <w:t>纳滤＋</w:t>
      </w:r>
      <w:r w:rsidRPr="00351BE5">
        <w:rPr>
          <w:color w:val="000000"/>
          <w:kern w:val="21"/>
          <w:sz w:val="24"/>
          <w:szCs w:val="30"/>
        </w:rPr>
        <w:t xml:space="preserve">RO </w:t>
      </w:r>
      <w:r w:rsidRPr="00351BE5">
        <w:rPr>
          <w:color w:val="000000"/>
          <w:kern w:val="21"/>
          <w:sz w:val="24"/>
          <w:szCs w:val="30"/>
        </w:rPr>
        <w:t>反渗透</w:t>
      </w:r>
      <w:r w:rsidRPr="00351BE5">
        <w:rPr>
          <w:color w:val="000000"/>
          <w:kern w:val="21"/>
          <w:sz w:val="24"/>
          <w:szCs w:val="30"/>
        </w:rPr>
        <w:t>”</w:t>
      </w:r>
      <w:r w:rsidRPr="00351BE5">
        <w:rPr>
          <w:color w:val="000000"/>
          <w:kern w:val="21"/>
          <w:sz w:val="24"/>
          <w:szCs w:val="30"/>
        </w:rPr>
        <w:t>。渗滤液处理站</w:t>
      </w:r>
      <w:r w:rsidRPr="00351BE5">
        <w:rPr>
          <w:rFonts w:hint="eastAsia"/>
          <w:color w:val="000000"/>
          <w:kern w:val="21"/>
          <w:sz w:val="24"/>
          <w:szCs w:val="30"/>
        </w:rPr>
        <w:t>出水</w:t>
      </w:r>
      <w:bookmarkStart w:id="268" w:name="OLE_LINK42"/>
      <w:r w:rsidR="00505D6B" w:rsidRPr="00505D6B">
        <w:rPr>
          <w:color w:val="000000"/>
          <w:kern w:val="21"/>
          <w:sz w:val="24"/>
          <w:szCs w:val="30"/>
        </w:rPr>
        <w:t>满足《生活垃圾填埋场污染控制标准》（</w:t>
      </w:r>
      <w:r w:rsidR="00505D6B" w:rsidRPr="00505D6B">
        <w:rPr>
          <w:color w:val="000000"/>
          <w:kern w:val="21"/>
          <w:sz w:val="24"/>
          <w:szCs w:val="30"/>
        </w:rPr>
        <w:t>GB16889-2024</w:t>
      </w:r>
      <w:r w:rsidR="00505D6B" w:rsidRPr="00505D6B">
        <w:rPr>
          <w:color w:val="000000"/>
          <w:kern w:val="21"/>
          <w:sz w:val="24"/>
          <w:szCs w:val="30"/>
        </w:rPr>
        <w:t>）表</w:t>
      </w:r>
      <w:r w:rsidR="00505D6B" w:rsidRPr="00505D6B">
        <w:rPr>
          <w:color w:val="000000"/>
          <w:kern w:val="21"/>
          <w:sz w:val="24"/>
          <w:szCs w:val="30"/>
        </w:rPr>
        <w:t>4</w:t>
      </w:r>
      <w:r w:rsidR="00505D6B" w:rsidRPr="00505D6B">
        <w:rPr>
          <w:color w:val="000000"/>
          <w:kern w:val="21"/>
          <w:sz w:val="24"/>
          <w:szCs w:val="30"/>
        </w:rPr>
        <w:t>要求和</w:t>
      </w:r>
      <w:r w:rsidRPr="00351BE5">
        <w:rPr>
          <w:color w:val="000000"/>
          <w:kern w:val="21"/>
          <w:sz w:val="24"/>
          <w:szCs w:val="30"/>
        </w:rPr>
        <w:t>《城市污水再生利用</w:t>
      </w:r>
      <w:r w:rsidRPr="00351BE5">
        <w:rPr>
          <w:color w:val="000000"/>
          <w:kern w:val="21"/>
          <w:sz w:val="24"/>
          <w:szCs w:val="30"/>
        </w:rPr>
        <w:t xml:space="preserve"> </w:t>
      </w:r>
      <w:r w:rsidRPr="00351BE5">
        <w:rPr>
          <w:color w:val="000000"/>
          <w:kern w:val="21"/>
          <w:sz w:val="24"/>
          <w:szCs w:val="30"/>
        </w:rPr>
        <w:t>工业用水水质》（</w:t>
      </w:r>
      <w:r w:rsidRPr="00351BE5">
        <w:rPr>
          <w:color w:val="000000"/>
          <w:kern w:val="21"/>
          <w:sz w:val="24"/>
          <w:szCs w:val="30"/>
        </w:rPr>
        <w:t>GB/T19923-2024</w:t>
      </w:r>
      <w:r w:rsidRPr="00351BE5">
        <w:rPr>
          <w:color w:val="000000"/>
          <w:kern w:val="21"/>
          <w:sz w:val="24"/>
          <w:szCs w:val="30"/>
        </w:rPr>
        <w:t>）</w:t>
      </w:r>
      <w:r w:rsidR="00F32134">
        <w:rPr>
          <w:rFonts w:hint="eastAsia"/>
          <w:color w:val="000000"/>
          <w:kern w:val="21"/>
          <w:sz w:val="24"/>
          <w:szCs w:val="30"/>
        </w:rPr>
        <w:t>表</w:t>
      </w:r>
      <w:r w:rsidR="00F32134">
        <w:rPr>
          <w:rFonts w:hint="eastAsia"/>
          <w:color w:val="000000"/>
          <w:kern w:val="21"/>
          <w:sz w:val="24"/>
          <w:szCs w:val="30"/>
        </w:rPr>
        <w:t>1</w:t>
      </w:r>
      <w:r w:rsidR="00535A47">
        <w:rPr>
          <w:color w:val="000000"/>
          <w:kern w:val="21"/>
          <w:sz w:val="24"/>
          <w:szCs w:val="30"/>
        </w:rPr>
        <w:t>间冷开式循环冷却水补充水标准</w:t>
      </w:r>
      <w:r w:rsidRPr="00351BE5">
        <w:rPr>
          <w:color w:val="000000"/>
          <w:kern w:val="21"/>
          <w:sz w:val="24"/>
          <w:szCs w:val="30"/>
        </w:rPr>
        <w:t>后全部回用至厂区冷却塔补水，不外排</w:t>
      </w:r>
      <w:bookmarkEnd w:id="268"/>
      <w:r w:rsidRPr="00351BE5">
        <w:rPr>
          <w:color w:val="000000"/>
          <w:kern w:val="21"/>
          <w:sz w:val="24"/>
          <w:szCs w:val="30"/>
        </w:rPr>
        <w:t>。</w:t>
      </w:r>
    </w:p>
    <w:p w14:paraId="660AF4F2" w14:textId="2BF36FA5" w:rsidR="006C5BA1" w:rsidRPr="00351BE5" w:rsidRDefault="006C5BA1" w:rsidP="00351BE5">
      <w:pPr>
        <w:adjustRightInd w:val="0"/>
        <w:snapToGrid w:val="0"/>
        <w:spacing w:line="360" w:lineRule="auto"/>
        <w:ind w:firstLineChars="200" w:firstLine="480"/>
        <w:rPr>
          <w:color w:val="000000"/>
          <w:kern w:val="21"/>
          <w:sz w:val="24"/>
          <w:szCs w:val="30"/>
        </w:rPr>
      </w:pPr>
      <w:r w:rsidRPr="00351BE5">
        <w:rPr>
          <w:color w:val="000000"/>
          <w:kern w:val="21"/>
          <w:sz w:val="24"/>
          <w:szCs w:val="30"/>
        </w:rPr>
        <w:t>本项目全厂设</w:t>
      </w:r>
      <w:r w:rsidR="00271B73">
        <w:rPr>
          <w:rFonts w:hint="eastAsia"/>
          <w:color w:val="000000"/>
          <w:kern w:val="21"/>
          <w:sz w:val="24"/>
          <w:szCs w:val="30"/>
        </w:rPr>
        <w:t>有</w:t>
      </w:r>
      <w:r w:rsidRPr="00351BE5">
        <w:rPr>
          <w:color w:val="000000"/>
          <w:kern w:val="21"/>
          <w:sz w:val="24"/>
          <w:szCs w:val="30"/>
        </w:rPr>
        <w:t>1</w:t>
      </w:r>
      <w:r w:rsidRPr="00351BE5">
        <w:rPr>
          <w:color w:val="000000"/>
          <w:kern w:val="21"/>
          <w:sz w:val="24"/>
          <w:szCs w:val="30"/>
        </w:rPr>
        <w:t>座</w:t>
      </w:r>
      <w:r w:rsidRPr="00351BE5">
        <w:rPr>
          <w:color w:val="000000"/>
          <w:kern w:val="21"/>
          <w:sz w:val="24"/>
          <w:szCs w:val="30"/>
        </w:rPr>
        <w:t>576m</w:t>
      </w:r>
      <w:r w:rsidRPr="00351BE5">
        <w:rPr>
          <w:color w:val="000000"/>
          <w:kern w:val="21"/>
          <w:sz w:val="24"/>
          <w:szCs w:val="30"/>
          <w:vertAlign w:val="superscript"/>
        </w:rPr>
        <w:t>3</w:t>
      </w:r>
      <w:r w:rsidRPr="00351BE5">
        <w:rPr>
          <w:color w:val="000000"/>
          <w:kern w:val="21"/>
          <w:sz w:val="24"/>
          <w:szCs w:val="30"/>
        </w:rPr>
        <w:t>事故池，发生事故时，</w:t>
      </w:r>
      <w:r w:rsidR="005B08EB" w:rsidRPr="00351BE5">
        <w:rPr>
          <w:color w:val="000000"/>
          <w:kern w:val="21"/>
          <w:sz w:val="24"/>
          <w:szCs w:val="30"/>
        </w:rPr>
        <w:t>事故废水全部进入事故池，</w:t>
      </w:r>
      <w:r w:rsidR="005B08EB">
        <w:rPr>
          <w:rFonts w:hint="eastAsia"/>
          <w:color w:val="000000"/>
          <w:kern w:val="21"/>
          <w:sz w:val="24"/>
          <w:szCs w:val="30"/>
        </w:rPr>
        <w:t>因此，对地表水环境的影响不大。</w:t>
      </w:r>
    </w:p>
    <w:p w14:paraId="71C8240B" w14:textId="3087FD8C" w:rsidR="00351BE5" w:rsidRPr="00351BE5" w:rsidRDefault="00351BE5" w:rsidP="00351BE5">
      <w:pPr>
        <w:pStyle w:val="4"/>
      </w:pPr>
      <w:r>
        <w:rPr>
          <w:rFonts w:hint="eastAsia"/>
        </w:rPr>
        <w:t>6.2.7.</w:t>
      </w:r>
      <w:r w:rsidR="00CF44E1">
        <w:rPr>
          <w:rFonts w:hint="eastAsia"/>
        </w:rPr>
        <w:t>2</w:t>
      </w:r>
      <w:r w:rsidRPr="00351BE5">
        <w:t>地下水环境风险影响预测</w:t>
      </w:r>
    </w:p>
    <w:p w14:paraId="261BA42C" w14:textId="1858953D" w:rsidR="00351BE5" w:rsidRPr="00351BE5" w:rsidRDefault="00351BE5" w:rsidP="00351BE5">
      <w:pPr>
        <w:spacing w:line="360" w:lineRule="auto"/>
        <w:ind w:firstLineChars="200" w:firstLine="480"/>
        <w:rPr>
          <w:sz w:val="24"/>
          <w:szCs w:val="22"/>
        </w:rPr>
      </w:pPr>
      <w:r w:rsidRPr="00351BE5">
        <w:rPr>
          <w:sz w:val="24"/>
          <w:szCs w:val="22"/>
        </w:rPr>
        <w:t>1</w:t>
      </w:r>
      <w:r>
        <w:rPr>
          <w:rFonts w:hint="eastAsia"/>
          <w:sz w:val="24"/>
          <w:szCs w:val="22"/>
        </w:rPr>
        <w:t>、</w:t>
      </w:r>
      <w:r w:rsidRPr="00351BE5">
        <w:rPr>
          <w:sz w:val="24"/>
          <w:szCs w:val="22"/>
        </w:rPr>
        <w:t>风险事故情形设定</w:t>
      </w:r>
    </w:p>
    <w:p w14:paraId="0D75EE4D" w14:textId="0ACFFE24" w:rsidR="00351BE5" w:rsidRPr="00351BE5" w:rsidRDefault="00351BE5" w:rsidP="00351BE5">
      <w:pPr>
        <w:spacing w:line="360" w:lineRule="auto"/>
        <w:ind w:firstLineChars="200" w:firstLine="480"/>
        <w:rPr>
          <w:sz w:val="24"/>
          <w:szCs w:val="22"/>
        </w:rPr>
      </w:pPr>
      <w:r w:rsidRPr="00351BE5">
        <w:rPr>
          <w:sz w:val="24"/>
          <w:szCs w:val="22"/>
        </w:rPr>
        <w:t>本项目地下水环境风险事故情形设定见</w:t>
      </w:r>
      <w:r w:rsidR="00FD0A87">
        <w:rPr>
          <w:rFonts w:hint="eastAsia"/>
          <w:sz w:val="24"/>
          <w:szCs w:val="22"/>
        </w:rPr>
        <w:t>下</w:t>
      </w:r>
      <w:r w:rsidRPr="00351BE5">
        <w:rPr>
          <w:sz w:val="24"/>
          <w:szCs w:val="22"/>
        </w:rPr>
        <w:t>表。</w:t>
      </w:r>
    </w:p>
    <w:p w14:paraId="0043A9F0" w14:textId="691E062F" w:rsidR="00351BE5" w:rsidRPr="00244337" w:rsidRDefault="00351BE5" w:rsidP="00244337">
      <w:pPr>
        <w:pStyle w:val="affffff5"/>
        <w:tabs>
          <w:tab w:val="left" w:pos="1259"/>
        </w:tabs>
      </w:pPr>
      <w:r w:rsidRPr="00244337">
        <w:t>表</w:t>
      </w:r>
      <w:r w:rsidR="00FD0A87">
        <w:rPr>
          <w:rFonts w:hint="eastAsia"/>
        </w:rPr>
        <w:t>6.2-36</w:t>
      </w:r>
      <w:r w:rsidRPr="00244337">
        <w:t xml:space="preserve">  </w:t>
      </w:r>
      <w:r w:rsidRPr="00244337">
        <w:t>本项目地下水环境风险事故情形设定</w:t>
      </w:r>
    </w:p>
    <w:tbl>
      <w:tblPr>
        <w:tblW w:w="0" w:type="auto"/>
        <w:jc w:val="center"/>
        <w:tblBorders>
          <w:top w:val="single" w:sz="4"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1191"/>
        <w:gridCol w:w="1813"/>
        <w:gridCol w:w="2414"/>
        <w:gridCol w:w="1528"/>
        <w:gridCol w:w="1583"/>
      </w:tblGrid>
      <w:tr w:rsidR="00351BE5" w:rsidRPr="00351BE5" w14:paraId="6B333BAE" w14:textId="77777777" w:rsidTr="0065410A">
        <w:trPr>
          <w:trHeight w:val="397"/>
          <w:jc w:val="center"/>
        </w:trPr>
        <w:tc>
          <w:tcPr>
            <w:tcW w:w="1191" w:type="dxa"/>
            <w:vAlign w:val="center"/>
          </w:tcPr>
          <w:p w14:paraId="3EDB04E0" w14:textId="77777777" w:rsidR="00351BE5" w:rsidRPr="00271B73" w:rsidRDefault="00351BE5" w:rsidP="00351BE5">
            <w:pPr>
              <w:adjustRightInd w:val="0"/>
              <w:snapToGrid w:val="0"/>
              <w:jc w:val="center"/>
              <w:rPr>
                <w:bCs/>
                <w:sz w:val="18"/>
                <w:szCs w:val="18"/>
              </w:rPr>
            </w:pPr>
            <w:r w:rsidRPr="00271B73">
              <w:rPr>
                <w:bCs/>
                <w:sz w:val="18"/>
                <w:szCs w:val="18"/>
              </w:rPr>
              <w:t>危险单元</w:t>
            </w:r>
          </w:p>
        </w:tc>
        <w:tc>
          <w:tcPr>
            <w:tcW w:w="1813" w:type="dxa"/>
            <w:vAlign w:val="center"/>
          </w:tcPr>
          <w:p w14:paraId="7356D10D" w14:textId="77777777" w:rsidR="00351BE5" w:rsidRPr="00271B73" w:rsidRDefault="00351BE5" w:rsidP="00351BE5">
            <w:pPr>
              <w:adjustRightInd w:val="0"/>
              <w:snapToGrid w:val="0"/>
              <w:jc w:val="center"/>
              <w:rPr>
                <w:bCs/>
                <w:sz w:val="18"/>
                <w:szCs w:val="18"/>
              </w:rPr>
            </w:pPr>
            <w:r w:rsidRPr="00271B73">
              <w:rPr>
                <w:bCs/>
                <w:sz w:val="18"/>
                <w:szCs w:val="18"/>
              </w:rPr>
              <w:t>风险源</w:t>
            </w:r>
          </w:p>
        </w:tc>
        <w:tc>
          <w:tcPr>
            <w:tcW w:w="2414" w:type="dxa"/>
            <w:vAlign w:val="center"/>
          </w:tcPr>
          <w:p w14:paraId="649ED97B" w14:textId="77777777" w:rsidR="00351BE5" w:rsidRPr="00271B73" w:rsidRDefault="00351BE5" w:rsidP="00351BE5">
            <w:pPr>
              <w:adjustRightInd w:val="0"/>
              <w:snapToGrid w:val="0"/>
              <w:jc w:val="center"/>
              <w:rPr>
                <w:bCs/>
                <w:sz w:val="18"/>
                <w:szCs w:val="18"/>
              </w:rPr>
            </w:pPr>
            <w:r w:rsidRPr="00271B73">
              <w:rPr>
                <w:bCs/>
                <w:sz w:val="18"/>
                <w:szCs w:val="18"/>
              </w:rPr>
              <w:t>危险物质</w:t>
            </w:r>
          </w:p>
        </w:tc>
        <w:tc>
          <w:tcPr>
            <w:tcW w:w="1528" w:type="dxa"/>
            <w:vAlign w:val="center"/>
          </w:tcPr>
          <w:p w14:paraId="3D0A23F8" w14:textId="77777777" w:rsidR="00351BE5" w:rsidRPr="00271B73" w:rsidRDefault="00351BE5" w:rsidP="00351BE5">
            <w:pPr>
              <w:adjustRightInd w:val="0"/>
              <w:snapToGrid w:val="0"/>
              <w:jc w:val="center"/>
              <w:rPr>
                <w:bCs/>
                <w:sz w:val="18"/>
                <w:szCs w:val="18"/>
              </w:rPr>
            </w:pPr>
            <w:r w:rsidRPr="00271B73">
              <w:rPr>
                <w:bCs/>
                <w:sz w:val="18"/>
                <w:szCs w:val="18"/>
              </w:rPr>
              <w:t>环境风险类型</w:t>
            </w:r>
          </w:p>
        </w:tc>
        <w:tc>
          <w:tcPr>
            <w:tcW w:w="1583" w:type="dxa"/>
            <w:vAlign w:val="center"/>
          </w:tcPr>
          <w:p w14:paraId="4912A43B" w14:textId="77777777" w:rsidR="00351BE5" w:rsidRPr="00271B73" w:rsidRDefault="00351BE5" w:rsidP="00351BE5">
            <w:pPr>
              <w:adjustRightInd w:val="0"/>
              <w:snapToGrid w:val="0"/>
              <w:jc w:val="center"/>
              <w:rPr>
                <w:bCs/>
                <w:sz w:val="18"/>
                <w:szCs w:val="18"/>
              </w:rPr>
            </w:pPr>
            <w:r w:rsidRPr="00271B73">
              <w:rPr>
                <w:bCs/>
                <w:sz w:val="18"/>
                <w:szCs w:val="18"/>
              </w:rPr>
              <w:t>环境影响途径</w:t>
            </w:r>
          </w:p>
        </w:tc>
      </w:tr>
      <w:tr w:rsidR="00351BE5" w:rsidRPr="00351BE5" w14:paraId="3BF5C14A" w14:textId="77777777" w:rsidTr="0065410A">
        <w:trPr>
          <w:trHeight w:val="397"/>
          <w:jc w:val="center"/>
        </w:trPr>
        <w:tc>
          <w:tcPr>
            <w:tcW w:w="1191" w:type="dxa"/>
            <w:vAlign w:val="center"/>
          </w:tcPr>
          <w:p w14:paraId="597B85E1" w14:textId="5299D80F" w:rsidR="00351BE5" w:rsidRPr="00271B73" w:rsidRDefault="005B08EB" w:rsidP="00351BE5">
            <w:pPr>
              <w:adjustRightInd w:val="0"/>
              <w:snapToGrid w:val="0"/>
              <w:jc w:val="center"/>
              <w:rPr>
                <w:bCs/>
                <w:sz w:val="18"/>
                <w:szCs w:val="18"/>
              </w:rPr>
            </w:pPr>
            <w:r w:rsidRPr="00271B73">
              <w:rPr>
                <w:rFonts w:hint="eastAsia"/>
                <w:bCs/>
                <w:sz w:val="18"/>
                <w:szCs w:val="18"/>
              </w:rPr>
              <w:t>飞灰填埋区</w:t>
            </w:r>
          </w:p>
        </w:tc>
        <w:tc>
          <w:tcPr>
            <w:tcW w:w="1813" w:type="dxa"/>
            <w:vAlign w:val="center"/>
          </w:tcPr>
          <w:p w14:paraId="72CBDF81" w14:textId="632ACBEF" w:rsidR="00351BE5" w:rsidRPr="00271B73" w:rsidRDefault="00CF44E1" w:rsidP="00351BE5">
            <w:pPr>
              <w:adjustRightInd w:val="0"/>
              <w:snapToGrid w:val="0"/>
              <w:jc w:val="center"/>
              <w:rPr>
                <w:bCs/>
                <w:sz w:val="18"/>
                <w:szCs w:val="18"/>
              </w:rPr>
            </w:pPr>
            <w:r>
              <w:rPr>
                <w:rFonts w:hint="eastAsia"/>
                <w:bCs/>
                <w:sz w:val="18"/>
                <w:szCs w:val="18"/>
              </w:rPr>
              <w:t>淋溶水</w:t>
            </w:r>
          </w:p>
        </w:tc>
        <w:tc>
          <w:tcPr>
            <w:tcW w:w="2414" w:type="dxa"/>
            <w:vAlign w:val="center"/>
          </w:tcPr>
          <w:p w14:paraId="124A3EBE" w14:textId="224F1917" w:rsidR="00351BE5" w:rsidRPr="00271B73" w:rsidRDefault="005B08EB" w:rsidP="00351BE5">
            <w:pPr>
              <w:adjustRightInd w:val="0"/>
              <w:snapToGrid w:val="0"/>
              <w:jc w:val="center"/>
              <w:rPr>
                <w:bCs/>
                <w:sz w:val="18"/>
                <w:szCs w:val="18"/>
              </w:rPr>
            </w:pPr>
            <w:r w:rsidRPr="00271B73">
              <w:rPr>
                <w:rFonts w:hint="eastAsia"/>
                <w:bCs/>
                <w:sz w:val="18"/>
                <w:szCs w:val="18"/>
              </w:rPr>
              <w:t>淋溶水</w:t>
            </w:r>
          </w:p>
        </w:tc>
        <w:tc>
          <w:tcPr>
            <w:tcW w:w="1528" w:type="dxa"/>
            <w:vAlign w:val="center"/>
          </w:tcPr>
          <w:p w14:paraId="4555C1A2" w14:textId="77777777" w:rsidR="00351BE5" w:rsidRPr="00271B73" w:rsidRDefault="00351BE5" w:rsidP="00351BE5">
            <w:pPr>
              <w:adjustRightInd w:val="0"/>
              <w:snapToGrid w:val="0"/>
              <w:jc w:val="center"/>
              <w:rPr>
                <w:bCs/>
                <w:sz w:val="18"/>
                <w:szCs w:val="18"/>
              </w:rPr>
            </w:pPr>
            <w:r w:rsidRPr="00271B73">
              <w:rPr>
                <w:bCs/>
                <w:sz w:val="18"/>
                <w:szCs w:val="18"/>
              </w:rPr>
              <w:t>泄露</w:t>
            </w:r>
          </w:p>
        </w:tc>
        <w:tc>
          <w:tcPr>
            <w:tcW w:w="1583" w:type="dxa"/>
            <w:vAlign w:val="center"/>
          </w:tcPr>
          <w:p w14:paraId="05F2500D" w14:textId="4A84A37A" w:rsidR="00351BE5" w:rsidRPr="00271B73" w:rsidRDefault="00247725" w:rsidP="00351BE5">
            <w:pPr>
              <w:adjustRightInd w:val="0"/>
              <w:snapToGrid w:val="0"/>
              <w:jc w:val="center"/>
              <w:rPr>
                <w:bCs/>
                <w:sz w:val="18"/>
                <w:szCs w:val="18"/>
              </w:rPr>
            </w:pPr>
            <w:r>
              <w:rPr>
                <w:rFonts w:hint="eastAsia"/>
                <w:bCs/>
                <w:sz w:val="18"/>
                <w:szCs w:val="18"/>
              </w:rPr>
              <w:t>泄漏</w:t>
            </w:r>
            <w:r w:rsidR="00351BE5" w:rsidRPr="00271B73">
              <w:rPr>
                <w:bCs/>
                <w:sz w:val="18"/>
                <w:szCs w:val="18"/>
              </w:rPr>
              <w:t>进入地下水</w:t>
            </w:r>
          </w:p>
        </w:tc>
      </w:tr>
    </w:tbl>
    <w:p w14:paraId="6438ECEC" w14:textId="38853102" w:rsidR="007B24C4" w:rsidRPr="007B24C4" w:rsidRDefault="007B24C4" w:rsidP="007B24C4">
      <w:pPr>
        <w:pStyle w:val="affffff4"/>
      </w:pPr>
      <w:r w:rsidRPr="007B24C4">
        <w:rPr>
          <w:rFonts w:hint="eastAsia"/>
        </w:rPr>
        <w:t>2</w:t>
      </w:r>
      <w:r w:rsidRPr="007B24C4">
        <w:rPr>
          <w:rFonts w:hint="eastAsia"/>
        </w:rPr>
        <w:t>、对地下水环境风险影响分析</w:t>
      </w:r>
    </w:p>
    <w:p w14:paraId="722DB87F" w14:textId="0A835D16" w:rsidR="007B24C4" w:rsidRPr="007B24C4" w:rsidRDefault="007B24C4" w:rsidP="007B24C4">
      <w:pPr>
        <w:pStyle w:val="affffff4"/>
      </w:pPr>
      <w:r w:rsidRPr="007B24C4">
        <w:rPr>
          <w:rFonts w:hint="eastAsia"/>
        </w:rPr>
        <w:t>本项目地下水环境风险为二级评价，地下水风险预测分析与评价参照</w:t>
      </w:r>
      <w:r w:rsidRPr="007B24C4">
        <w:rPr>
          <w:rFonts w:hint="eastAsia"/>
        </w:rPr>
        <w:t>HJ610</w:t>
      </w:r>
      <w:r w:rsidRPr="007B24C4">
        <w:rPr>
          <w:rFonts w:hint="eastAsia"/>
        </w:rPr>
        <w:t>执行。本次环评已在</w:t>
      </w:r>
      <w:r w:rsidRPr="007B24C4">
        <w:rPr>
          <w:rFonts w:hint="eastAsia"/>
        </w:rPr>
        <w:t>5.4.3</w:t>
      </w:r>
      <w:r w:rsidRPr="007B24C4">
        <w:rPr>
          <w:rFonts w:hint="eastAsia"/>
        </w:rPr>
        <w:t>节预测了非正常状况下渗滤液调节池渗漏和垃圾填埋场防渗层失效情况下渗漏对地下水的影响，根据预测结果可知，渗滤液调节池和填埋区发生渗漏的情况下，及时采取相应措施，可避免对下游区域地下水环境造成影响。根据现场踏查可知，本项目下游最近</w:t>
      </w:r>
      <w:r w:rsidR="005B08EB">
        <w:rPr>
          <w:rFonts w:hint="eastAsia"/>
        </w:rPr>
        <w:t>的地下水敏感目标（</w:t>
      </w:r>
      <w:r w:rsidR="008E4891">
        <w:rPr>
          <w:rFonts w:hint="eastAsia"/>
        </w:rPr>
        <w:t>前进村分散式饮用水水源</w:t>
      </w:r>
      <w:r w:rsidR="005B08EB">
        <w:rPr>
          <w:rFonts w:hint="eastAsia"/>
        </w:rPr>
        <w:t>）</w:t>
      </w:r>
      <w:r w:rsidRPr="007B24C4">
        <w:rPr>
          <w:rFonts w:hint="eastAsia"/>
        </w:rPr>
        <w:t>距项目区</w:t>
      </w:r>
      <w:r w:rsidRPr="007B24C4">
        <w:rPr>
          <w:rFonts w:hint="eastAsia"/>
        </w:rPr>
        <w:t>247</w:t>
      </w:r>
      <w:r w:rsidR="008E4891">
        <w:rPr>
          <w:rFonts w:hint="eastAsia"/>
        </w:rPr>
        <w:t>0</w:t>
      </w:r>
      <w:r w:rsidRPr="007B24C4">
        <w:rPr>
          <w:rFonts w:hint="eastAsia"/>
        </w:rPr>
        <w:t>m</w:t>
      </w:r>
      <w:r w:rsidRPr="007B24C4">
        <w:rPr>
          <w:rFonts w:hint="eastAsia"/>
        </w:rPr>
        <w:t>，污染物扩散距离远小于最近水源地距项目区距离，不会对下游地下水水源造成影响。</w:t>
      </w:r>
    </w:p>
    <w:p w14:paraId="1177F893" w14:textId="68388BCB" w:rsidR="00606029" w:rsidRDefault="00BB3D52" w:rsidP="00BB3D52">
      <w:pPr>
        <w:pStyle w:val="4"/>
      </w:pPr>
      <w:bookmarkStart w:id="269" w:name="_bookmark73"/>
      <w:bookmarkStart w:id="270" w:name="4.3.8环境风险防范措施"/>
      <w:bookmarkStart w:id="271" w:name="_Toc18361"/>
      <w:bookmarkStart w:id="272" w:name="_Toc7016"/>
      <w:bookmarkEnd w:id="269"/>
      <w:bookmarkEnd w:id="270"/>
      <w:r>
        <w:rPr>
          <w:rFonts w:hint="eastAsia"/>
        </w:rPr>
        <w:lastRenderedPageBreak/>
        <w:t>6.2.7.</w:t>
      </w:r>
      <w:r w:rsidR="007B24C4">
        <w:rPr>
          <w:rFonts w:hint="eastAsia"/>
        </w:rPr>
        <w:t>4</w:t>
      </w:r>
      <w:r w:rsidR="00EA5B92">
        <w:t>环境风险分析结论</w:t>
      </w:r>
      <w:bookmarkEnd w:id="271"/>
      <w:bookmarkEnd w:id="272"/>
    </w:p>
    <w:p w14:paraId="4287CB9C" w14:textId="5D804933" w:rsidR="00606029" w:rsidRDefault="00FA0FB4">
      <w:pPr>
        <w:pStyle w:val="affffff4"/>
      </w:pPr>
      <w:r>
        <w:rPr>
          <w:rFonts w:hint="eastAsia"/>
        </w:rPr>
        <w:t>本</w:t>
      </w:r>
      <w:r w:rsidR="00EA5B92">
        <w:t>项目风险事故风险类型为泄漏，只要项目严格遵照国家有关规定生产、操作，发生危害事故的概率是很小的。一旦发生事故时如能严格落实本环评提出各项风险防范措施，制定一套完善的事故风险防范措施和应急预案，并上报环保行政主管部门备案。项目事故环境风险为可接受水平。</w:t>
      </w:r>
    </w:p>
    <w:p w14:paraId="6E9AFFF4" w14:textId="77777777" w:rsidR="00606029" w:rsidRDefault="00EA5B92">
      <w:pPr>
        <w:pStyle w:val="affffff4"/>
      </w:pPr>
      <w:r>
        <w:t>项目环境风险评价自查表见下表。</w:t>
      </w:r>
    </w:p>
    <w:p w14:paraId="4B5A1D24" w14:textId="1387AACE" w:rsidR="00606029" w:rsidRDefault="00EA5B92">
      <w:pPr>
        <w:pStyle w:val="affffff5"/>
      </w:pPr>
      <w:r>
        <w:t>表</w:t>
      </w:r>
      <w:r w:rsidR="00FD0A87">
        <w:rPr>
          <w:rFonts w:hint="eastAsia"/>
        </w:rPr>
        <w:t>6.2-37</w:t>
      </w:r>
      <w:r>
        <w:t xml:space="preserve">  </w:t>
      </w:r>
      <w:r>
        <w:t>环境风险评价自查表</w:t>
      </w:r>
    </w:p>
    <w:tbl>
      <w:tblPr>
        <w:tblW w:w="49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60"/>
        <w:gridCol w:w="667"/>
        <w:gridCol w:w="1054"/>
        <w:gridCol w:w="1284"/>
        <w:gridCol w:w="1944"/>
        <w:gridCol w:w="448"/>
        <w:gridCol w:w="863"/>
        <w:gridCol w:w="295"/>
        <w:gridCol w:w="1970"/>
      </w:tblGrid>
      <w:tr w:rsidR="00606029" w14:paraId="3B261162" w14:textId="77777777" w:rsidTr="00FA0FB4">
        <w:trPr>
          <w:trHeight w:val="340"/>
          <w:jc w:val="center"/>
        </w:trPr>
        <w:tc>
          <w:tcPr>
            <w:tcW w:w="926" w:type="dxa"/>
            <w:gridSpan w:val="2"/>
            <w:tcBorders>
              <w:tl2br w:val="nil"/>
              <w:tr2bl w:val="nil"/>
            </w:tcBorders>
            <w:vAlign w:val="center"/>
          </w:tcPr>
          <w:p w14:paraId="5B1CBE53" w14:textId="77777777" w:rsidR="00606029" w:rsidRDefault="00EA5B92">
            <w:pPr>
              <w:spacing w:line="280" w:lineRule="exact"/>
              <w:jc w:val="center"/>
            </w:pPr>
            <w:r>
              <w:t>工作内容</w:t>
            </w:r>
          </w:p>
        </w:tc>
        <w:tc>
          <w:tcPr>
            <w:tcW w:w="7858" w:type="dxa"/>
            <w:gridSpan w:val="7"/>
            <w:tcBorders>
              <w:tl2br w:val="nil"/>
              <w:tr2bl w:val="nil"/>
            </w:tcBorders>
            <w:vAlign w:val="center"/>
          </w:tcPr>
          <w:p w14:paraId="78BE6498" w14:textId="77777777" w:rsidR="00606029" w:rsidRDefault="00EA5B92">
            <w:pPr>
              <w:spacing w:line="280" w:lineRule="exact"/>
              <w:jc w:val="center"/>
            </w:pPr>
            <w:r>
              <w:t>完成情况</w:t>
            </w:r>
          </w:p>
        </w:tc>
      </w:tr>
      <w:tr w:rsidR="00606029" w14:paraId="4C4879E5" w14:textId="77777777" w:rsidTr="00FA0FB4">
        <w:trPr>
          <w:trHeight w:val="340"/>
          <w:jc w:val="center"/>
        </w:trPr>
        <w:tc>
          <w:tcPr>
            <w:tcW w:w="259" w:type="dxa"/>
            <w:vMerge w:val="restart"/>
            <w:tcBorders>
              <w:tl2br w:val="nil"/>
              <w:tr2bl w:val="nil"/>
            </w:tcBorders>
            <w:vAlign w:val="center"/>
          </w:tcPr>
          <w:p w14:paraId="3E75A150" w14:textId="77777777" w:rsidR="00606029" w:rsidRDefault="00EA5B92">
            <w:pPr>
              <w:spacing w:line="280" w:lineRule="exact"/>
              <w:jc w:val="center"/>
            </w:pPr>
            <w:r>
              <w:t>风险调查</w:t>
            </w:r>
          </w:p>
        </w:tc>
        <w:tc>
          <w:tcPr>
            <w:tcW w:w="667" w:type="dxa"/>
            <w:vMerge w:val="restart"/>
            <w:tcBorders>
              <w:tl2br w:val="nil"/>
              <w:tr2bl w:val="nil"/>
            </w:tcBorders>
            <w:vAlign w:val="center"/>
          </w:tcPr>
          <w:p w14:paraId="41BA4331" w14:textId="77777777" w:rsidR="00606029" w:rsidRDefault="00EA5B92">
            <w:pPr>
              <w:spacing w:line="280" w:lineRule="exact"/>
              <w:jc w:val="center"/>
            </w:pPr>
            <w:r>
              <w:t>危险物质</w:t>
            </w:r>
          </w:p>
        </w:tc>
        <w:tc>
          <w:tcPr>
            <w:tcW w:w="1054" w:type="dxa"/>
            <w:tcBorders>
              <w:tl2br w:val="nil"/>
              <w:tr2bl w:val="nil"/>
            </w:tcBorders>
            <w:vAlign w:val="center"/>
          </w:tcPr>
          <w:p w14:paraId="21B0936F" w14:textId="77777777" w:rsidR="00606029" w:rsidRDefault="00EA5B92">
            <w:pPr>
              <w:spacing w:line="280" w:lineRule="exact"/>
              <w:jc w:val="center"/>
            </w:pPr>
            <w:r>
              <w:t>名称</w:t>
            </w:r>
          </w:p>
        </w:tc>
        <w:tc>
          <w:tcPr>
            <w:tcW w:w="6804" w:type="dxa"/>
            <w:gridSpan w:val="6"/>
            <w:vMerge w:val="restart"/>
            <w:tcBorders>
              <w:tl2br w:val="nil"/>
              <w:tr2bl w:val="nil"/>
            </w:tcBorders>
            <w:vAlign w:val="center"/>
          </w:tcPr>
          <w:p w14:paraId="0E14BAA1" w14:textId="77777777" w:rsidR="00606029" w:rsidRDefault="00EA5B92">
            <w:pPr>
              <w:spacing w:line="280" w:lineRule="exact"/>
              <w:jc w:val="center"/>
            </w:pPr>
            <w:r>
              <w:t>详见表</w:t>
            </w:r>
            <w:r>
              <w:t>7.4</w:t>
            </w:r>
            <w:r>
              <w:t>环境风险潜势初判</w:t>
            </w:r>
          </w:p>
        </w:tc>
      </w:tr>
      <w:tr w:rsidR="00606029" w14:paraId="666743DC" w14:textId="77777777" w:rsidTr="00FA0FB4">
        <w:trPr>
          <w:trHeight w:val="340"/>
          <w:jc w:val="center"/>
        </w:trPr>
        <w:tc>
          <w:tcPr>
            <w:tcW w:w="259" w:type="dxa"/>
            <w:vMerge/>
            <w:tcBorders>
              <w:tl2br w:val="nil"/>
              <w:tr2bl w:val="nil"/>
            </w:tcBorders>
            <w:vAlign w:val="center"/>
          </w:tcPr>
          <w:p w14:paraId="13792401" w14:textId="77777777" w:rsidR="00606029" w:rsidRDefault="00606029">
            <w:pPr>
              <w:spacing w:line="280" w:lineRule="exact"/>
              <w:jc w:val="center"/>
            </w:pPr>
          </w:p>
        </w:tc>
        <w:tc>
          <w:tcPr>
            <w:tcW w:w="667" w:type="dxa"/>
            <w:vMerge/>
            <w:tcBorders>
              <w:tl2br w:val="nil"/>
              <w:tr2bl w:val="nil"/>
            </w:tcBorders>
            <w:vAlign w:val="center"/>
          </w:tcPr>
          <w:p w14:paraId="2966FDBA" w14:textId="77777777" w:rsidR="00606029" w:rsidRDefault="00606029">
            <w:pPr>
              <w:spacing w:line="280" w:lineRule="exact"/>
              <w:jc w:val="center"/>
            </w:pPr>
          </w:p>
        </w:tc>
        <w:tc>
          <w:tcPr>
            <w:tcW w:w="1054" w:type="dxa"/>
            <w:tcBorders>
              <w:tl2br w:val="nil"/>
              <w:tr2bl w:val="nil"/>
            </w:tcBorders>
            <w:vAlign w:val="center"/>
          </w:tcPr>
          <w:p w14:paraId="6F20875C" w14:textId="77777777" w:rsidR="00606029" w:rsidRDefault="00EA5B92">
            <w:pPr>
              <w:spacing w:line="280" w:lineRule="exact"/>
              <w:jc w:val="center"/>
            </w:pPr>
            <w:r>
              <w:t>存在总量</w:t>
            </w:r>
            <w:r>
              <w:t>/t</w:t>
            </w:r>
          </w:p>
        </w:tc>
        <w:tc>
          <w:tcPr>
            <w:tcW w:w="6804" w:type="dxa"/>
            <w:gridSpan w:val="6"/>
            <w:vMerge/>
            <w:tcBorders>
              <w:tl2br w:val="nil"/>
              <w:tr2bl w:val="nil"/>
            </w:tcBorders>
            <w:vAlign w:val="center"/>
          </w:tcPr>
          <w:p w14:paraId="4DF5B681" w14:textId="77777777" w:rsidR="00606029" w:rsidRDefault="00606029">
            <w:pPr>
              <w:spacing w:line="280" w:lineRule="exact"/>
              <w:jc w:val="center"/>
            </w:pPr>
          </w:p>
        </w:tc>
      </w:tr>
      <w:tr w:rsidR="00606029" w14:paraId="7E8750AF" w14:textId="77777777" w:rsidTr="00FA0FB4">
        <w:trPr>
          <w:trHeight w:val="340"/>
          <w:jc w:val="center"/>
        </w:trPr>
        <w:tc>
          <w:tcPr>
            <w:tcW w:w="259" w:type="dxa"/>
            <w:vMerge/>
            <w:tcBorders>
              <w:tl2br w:val="nil"/>
              <w:tr2bl w:val="nil"/>
            </w:tcBorders>
            <w:vAlign w:val="center"/>
          </w:tcPr>
          <w:p w14:paraId="22A33653" w14:textId="77777777" w:rsidR="00606029" w:rsidRDefault="00606029">
            <w:pPr>
              <w:spacing w:line="280" w:lineRule="exact"/>
              <w:jc w:val="center"/>
            </w:pPr>
          </w:p>
        </w:tc>
        <w:tc>
          <w:tcPr>
            <w:tcW w:w="667" w:type="dxa"/>
            <w:vMerge w:val="restart"/>
            <w:tcBorders>
              <w:tl2br w:val="nil"/>
              <w:tr2bl w:val="nil"/>
            </w:tcBorders>
            <w:vAlign w:val="center"/>
          </w:tcPr>
          <w:p w14:paraId="6A67DB1A" w14:textId="77777777" w:rsidR="00606029" w:rsidRDefault="00EA5B92">
            <w:pPr>
              <w:spacing w:line="280" w:lineRule="exact"/>
              <w:jc w:val="center"/>
            </w:pPr>
            <w:r>
              <w:t>环境敏感性</w:t>
            </w:r>
          </w:p>
        </w:tc>
        <w:tc>
          <w:tcPr>
            <w:tcW w:w="1054" w:type="dxa"/>
            <w:vMerge w:val="restart"/>
            <w:tcBorders>
              <w:tl2br w:val="nil"/>
              <w:tr2bl w:val="nil"/>
            </w:tcBorders>
            <w:vAlign w:val="center"/>
          </w:tcPr>
          <w:p w14:paraId="2D4D6331" w14:textId="77777777" w:rsidR="00606029" w:rsidRDefault="00EA5B92">
            <w:pPr>
              <w:spacing w:line="280" w:lineRule="exact"/>
              <w:jc w:val="center"/>
            </w:pPr>
            <w:r>
              <w:t>大气</w:t>
            </w:r>
          </w:p>
        </w:tc>
        <w:tc>
          <w:tcPr>
            <w:tcW w:w="6804" w:type="dxa"/>
            <w:gridSpan w:val="6"/>
            <w:tcBorders>
              <w:tl2br w:val="nil"/>
              <w:tr2bl w:val="nil"/>
            </w:tcBorders>
            <w:vAlign w:val="center"/>
          </w:tcPr>
          <w:p w14:paraId="0CE3141D" w14:textId="77777777" w:rsidR="00606029" w:rsidRDefault="00EA5B92">
            <w:pPr>
              <w:spacing w:line="280" w:lineRule="exact"/>
              <w:jc w:val="center"/>
            </w:pPr>
            <w:r>
              <w:t>500m</w:t>
            </w:r>
            <w:r>
              <w:t>范围内人口数</w:t>
            </w:r>
            <w:r>
              <w:t>1400</w:t>
            </w:r>
            <w:r>
              <w:t>人，</w:t>
            </w:r>
            <w:r>
              <w:t>5km</w:t>
            </w:r>
            <w:r>
              <w:t>范围内人口数</w:t>
            </w:r>
            <w:r>
              <w:t>14294</w:t>
            </w:r>
            <w:r>
              <w:t>人</w:t>
            </w:r>
          </w:p>
        </w:tc>
      </w:tr>
      <w:tr w:rsidR="00606029" w14:paraId="47F6E14C" w14:textId="77777777" w:rsidTr="00FA0FB4">
        <w:trPr>
          <w:trHeight w:val="340"/>
          <w:jc w:val="center"/>
        </w:trPr>
        <w:tc>
          <w:tcPr>
            <w:tcW w:w="259" w:type="dxa"/>
            <w:vMerge/>
            <w:tcBorders>
              <w:tl2br w:val="nil"/>
              <w:tr2bl w:val="nil"/>
            </w:tcBorders>
            <w:vAlign w:val="center"/>
          </w:tcPr>
          <w:p w14:paraId="282F3399" w14:textId="77777777" w:rsidR="00606029" w:rsidRDefault="00606029">
            <w:pPr>
              <w:spacing w:line="280" w:lineRule="exact"/>
              <w:jc w:val="center"/>
            </w:pPr>
          </w:p>
        </w:tc>
        <w:tc>
          <w:tcPr>
            <w:tcW w:w="667" w:type="dxa"/>
            <w:vMerge/>
            <w:tcBorders>
              <w:tl2br w:val="nil"/>
              <w:tr2bl w:val="nil"/>
            </w:tcBorders>
            <w:vAlign w:val="center"/>
          </w:tcPr>
          <w:p w14:paraId="35DB4F52" w14:textId="77777777" w:rsidR="00606029" w:rsidRDefault="00606029">
            <w:pPr>
              <w:spacing w:line="280" w:lineRule="exact"/>
              <w:jc w:val="center"/>
            </w:pPr>
          </w:p>
        </w:tc>
        <w:tc>
          <w:tcPr>
            <w:tcW w:w="1054" w:type="dxa"/>
            <w:vMerge/>
            <w:tcBorders>
              <w:tl2br w:val="nil"/>
              <w:tr2bl w:val="nil"/>
            </w:tcBorders>
            <w:vAlign w:val="center"/>
          </w:tcPr>
          <w:p w14:paraId="397ED55B" w14:textId="77777777" w:rsidR="00606029" w:rsidRDefault="00606029">
            <w:pPr>
              <w:spacing w:line="280" w:lineRule="exact"/>
              <w:jc w:val="center"/>
            </w:pPr>
          </w:p>
        </w:tc>
        <w:tc>
          <w:tcPr>
            <w:tcW w:w="4539" w:type="dxa"/>
            <w:gridSpan w:val="4"/>
            <w:tcBorders>
              <w:tl2br w:val="nil"/>
              <w:tr2bl w:val="nil"/>
            </w:tcBorders>
            <w:vAlign w:val="center"/>
          </w:tcPr>
          <w:p w14:paraId="51CBD25C" w14:textId="77777777" w:rsidR="00606029" w:rsidRDefault="00EA5B92">
            <w:pPr>
              <w:spacing w:line="280" w:lineRule="exact"/>
              <w:jc w:val="center"/>
            </w:pPr>
            <w:r>
              <w:t>每公里管段周边</w:t>
            </w:r>
            <w:r>
              <w:t xml:space="preserve"> 200m </w:t>
            </w:r>
            <w:r>
              <w:t>范围内人口数（最大）</w:t>
            </w:r>
          </w:p>
        </w:tc>
        <w:tc>
          <w:tcPr>
            <w:tcW w:w="2265" w:type="dxa"/>
            <w:gridSpan w:val="2"/>
            <w:tcBorders>
              <w:tl2br w:val="nil"/>
              <w:tr2bl w:val="nil"/>
            </w:tcBorders>
            <w:vAlign w:val="center"/>
          </w:tcPr>
          <w:p w14:paraId="1351E625" w14:textId="77777777" w:rsidR="00606029" w:rsidRDefault="00EA5B92">
            <w:pPr>
              <w:spacing w:line="280" w:lineRule="exact"/>
              <w:jc w:val="center"/>
            </w:pPr>
            <w:r>
              <w:t>/</w:t>
            </w:r>
            <w:r>
              <w:tab/>
            </w:r>
            <w:r>
              <w:t>人</w:t>
            </w:r>
          </w:p>
        </w:tc>
      </w:tr>
      <w:tr w:rsidR="00606029" w14:paraId="05DB656F" w14:textId="77777777" w:rsidTr="00FA0FB4">
        <w:trPr>
          <w:trHeight w:val="340"/>
          <w:jc w:val="center"/>
        </w:trPr>
        <w:tc>
          <w:tcPr>
            <w:tcW w:w="259" w:type="dxa"/>
            <w:vMerge/>
            <w:tcBorders>
              <w:tl2br w:val="nil"/>
              <w:tr2bl w:val="nil"/>
            </w:tcBorders>
            <w:vAlign w:val="center"/>
          </w:tcPr>
          <w:p w14:paraId="652E01DD" w14:textId="77777777" w:rsidR="00606029" w:rsidRDefault="00606029">
            <w:pPr>
              <w:spacing w:line="280" w:lineRule="exact"/>
              <w:jc w:val="center"/>
            </w:pPr>
          </w:p>
        </w:tc>
        <w:tc>
          <w:tcPr>
            <w:tcW w:w="667" w:type="dxa"/>
            <w:vMerge/>
            <w:tcBorders>
              <w:tl2br w:val="nil"/>
              <w:tr2bl w:val="nil"/>
            </w:tcBorders>
            <w:vAlign w:val="center"/>
          </w:tcPr>
          <w:p w14:paraId="310A72A6" w14:textId="77777777" w:rsidR="00606029" w:rsidRDefault="00606029">
            <w:pPr>
              <w:spacing w:line="280" w:lineRule="exact"/>
              <w:jc w:val="center"/>
            </w:pPr>
          </w:p>
        </w:tc>
        <w:tc>
          <w:tcPr>
            <w:tcW w:w="1054" w:type="dxa"/>
            <w:vMerge w:val="restart"/>
            <w:tcBorders>
              <w:tl2br w:val="nil"/>
              <w:tr2bl w:val="nil"/>
            </w:tcBorders>
            <w:vAlign w:val="center"/>
          </w:tcPr>
          <w:p w14:paraId="78DD0B57" w14:textId="77777777" w:rsidR="00606029" w:rsidRDefault="00EA5B92">
            <w:pPr>
              <w:spacing w:line="280" w:lineRule="exact"/>
              <w:jc w:val="center"/>
            </w:pPr>
            <w:r>
              <w:t>地表水</w:t>
            </w:r>
          </w:p>
        </w:tc>
        <w:tc>
          <w:tcPr>
            <w:tcW w:w="1284" w:type="dxa"/>
            <w:tcBorders>
              <w:tl2br w:val="nil"/>
              <w:tr2bl w:val="nil"/>
            </w:tcBorders>
            <w:vAlign w:val="center"/>
          </w:tcPr>
          <w:p w14:paraId="5308FBEB" w14:textId="77777777" w:rsidR="00606029" w:rsidRDefault="00EA5B92">
            <w:pPr>
              <w:spacing w:line="280" w:lineRule="exact"/>
              <w:jc w:val="center"/>
            </w:pPr>
            <w:r>
              <w:t>地表水功能敏感性</w:t>
            </w:r>
          </w:p>
        </w:tc>
        <w:tc>
          <w:tcPr>
            <w:tcW w:w="1944" w:type="dxa"/>
            <w:tcBorders>
              <w:tl2br w:val="nil"/>
              <w:tr2bl w:val="nil"/>
            </w:tcBorders>
            <w:vAlign w:val="center"/>
          </w:tcPr>
          <w:p w14:paraId="1AB55531" w14:textId="77777777" w:rsidR="00606029" w:rsidRDefault="00EA5B92">
            <w:pPr>
              <w:spacing w:line="280" w:lineRule="exact"/>
              <w:jc w:val="center"/>
            </w:pPr>
            <w:r>
              <w:t>F1</w:t>
            </w:r>
            <w:r>
              <w:t></w:t>
            </w:r>
          </w:p>
        </w:tc>
        <w:tc>
          <w:tcPr>
            <w:tcW w:w="1606" w:type="dxa"/>
            <w:gridSpan w:val="3"/>
            <w:tcBorders>
              <w:tl2br w:val="nil"/>
              <w:tr2bl w:val="nil"/>
            </w:tcBorders>
            <w:vAlign w:val="center"/>
          </w:tcPr>
          <w:p w14:paraId="39920514" w14:textId="367FFF2B" w:rsidR="00606029" w:rsidRDefault="00EA5B92">
            <w:pPr>
              <w:spacing w:line="280" w:lineRule="exact"/>
              <w:jc w:val="center"/>
            </w:pPr>
            <w:r>
              <w:t>F2</w:t>
            </w:r>
            <w:r>
              <w:t></w:t>
            </w:r>
          </w:p>
        </w:tc>
        <w:tc>
          <w:tcPr>
            <w:tcW w:w="1970" w:type="dxa"/>
            <w:tcBorders>
              <w:tl2br w:val="nil"/>
              <w:tr2bl w:val="nil"/>
            </w:tcBorders>
            <w:vAlign w:val="center"/>
          </w:tcPr>
          <w:p w14:paraId="31D9A6A9" w14:textId="676CDDAD" w:rsidR="00606029" w:rsidRDefault="00EA5B92">
            <w:pPr>
              <w:spacing w:line="280" w:lineRule="exact"/>
              <w:jc w:val="center"/>
            </w:pPr>
            <w:r>
              <w:t>F3</w:t>
            </w:r>
            <w:r w:rsidR="0055142E">
              <w:t>■</w:t>
            </w:r>
          </w:p>
        </w:tc>
      </w:tr>
      <w:tr w:rsidR="00606029" w14:paraId="3750AE11" w14:textId="77777777" w:rsidTr="00FA0FB4">
        <w:trPr>
          <w:trHeight w:val="340"/>
          <w:jc w:val="center"/>
        </w:trPr>
        <w:tc>
          <w:tcPr>
            <w:tcW w:w="259" w:type="dxa"/>
            <w:vMerge/>
            <w:tcBorders>
              <w:tl2br w:val="nil"/>
              <w:tr2bl w:val="nil"/>
            </w:tcBorders>
            <w:vAlign w:val="center"/>
          </w:tcPr>
          <w:p w14:paraId="4CCF041A" w14:textId="77777777" w:rsidR="00606029" w:rsidRDefault="00606029">
            <w:pPr>
              <w:spacing w:line="280" w:lineRule="exact"/>
              <w:jc w:val="center"/>
            </w:pPr>
          </w:p>
        </w:tc>
        <w:tc>
          <w:tcPr>
            <w:tcW w:w="667" w:type="dxa"/>
            <w:vMerge/>
            <w:tcBorders>
              <w:tl2br w:val="nil"/>
              <w:tr2bl w:val="nil"/>
            </w:tcBorders>
            <w:vAlign w:val="center"/>
          </w:tcPr>
          <w:p w14:paraId="3CDD3CCD" w14:textId="77777777" w:rsidR="00606029" w:rsidRDefault="00606029">
            <w:pPr>
              <w:spacing w:line="280" w:lineRule="exact"/>
              <w:jc w:val="center"/>
            </w:pPr>
          </w:p>
        </w:tc>
        <w:tc>
          <w:tcPr>
            <w:tcW w:w="1054" w:type="dxa"/>
            <w:vMerge/>
            <w:tcBorders>
              <w:tl2br w:val="nil"/>
              <w:tr2bl w:val="nil"/>
            </w:tcBorders>
            <w:vAlign w:val="center"/>
          </w:tcPr>
          <w:p w14:paraId="0E7258C5" w14:textId="77777777" w:rsidR="00606029" w:rsidRDefault="00606029">
            <w:pPr>
              <w:spacing w:line="280" w:lineRule="exact"/>
              <w:jc w:val="center"/>
            </w:pPr>
          </w:p>
        </w:tc>
        <w:tc>
          <w:tcPr>
            <w:tcW w:w="1284" w:type="dxa"/>
            <w:tcBorders>
              <w:tl2br w:val="nil"/>
              <w:tr2bl w:val="nil"/>
            </w:tcBorders>
            <w:vAlign w:val="center"/>
          </w:tcPr>
          <w:p w14:paraId="53C43E4E" w14:textId="77777777" w:rsidR="00606029" w:rsidRDefault="00EA5B92">
            <w:pPr>
              <w:spacing w:line="280" w:lineRule="exact"/>
              <w:jc w:val="center"/>
            </w:pPr>
            <w:r>
              <w:t>环境敏感目标分级</w:t>
            </w:r>
          </w:p>
        </w:tc>
        <w:tc>
          <w:tcPr>
            <w:tcW w:w="1944" w:type="dxa"/>
            <w:tcBorders>
              <w:tl2br w:val="nil"/>
              <w:tr2bl w:val="nil"/>
            </w:tcBorders>
            <w:vAlign w:val="center"/>
          </w:tcPr>
          <w:p w14:paraId="2A970DC7" w14:textId="77777777" w:rsidR="00606029" w:rsidRDefault="00EA5B92">
            <w:pPr>
              <w:spacing w:line="280" w:lineRule="exact"/>
              <w:jc w:val="center"/>
            </w:pPr>
            <w:r>
              <w:t>S1</w:t>
            </w:r>
            <w:r>
              <w:t></w:t>
            </w:r>
          </w:p>
        </w:tc>
        <w:tc>
          <w:tcPr>
            <w:tcW w:w="1606" w:type="dxa"/>
            <w:gridSpan w:val="3"/>
            <w:tcBorders>
              <w:tl2br w:val="nil"/>
              <w:tr2bl w:val="nil"/>
            </w:tcBorders>
            <w:vAlign w:val="center"/>
          </w:tcPr>
          <w:p w14:paraId="7FF86428" w14:textId="77777777" w:rsidR="00606029" w:rsidRDefault="00EA5B92">
            <w:pPr>
              <w:spacing w:line="280" w:lineRule="exact"/>
              <w:jc w:val="center"/>
            </w:pPr>
            <w:r>
              <w:t>S2</w:t>
            </w:r>
            <w:r>
              <w:t></w:t>
            </w:r>
          </w:p>
        </w:tc>
        <w:tc>
          <w:tcPr>
            <w:tcW w:w="1970" w:type="dxa"/>
            <w:tcBorders>
              <w:tl2br w:val="nil"/>
              <w:tr2bl w:val="nil"/>
            </w:tcBorders>
            <w:vAlign w:val="center"/>
          </w:tcPr>
          <w:p w14:paraId="77273CB4" w14:textId="77777777" w:rsidR="00606029" w:rsidRDefault="00EA5B92">
            <w:pPr>
              <w:spacing w:line="280" w:lineRule="exact"/>
              <w:jc w:val="center"/>
            </w:pPr>
            <w:r>
              <w:t>S3■</w:t>
            </w:r>
          </w:p>
        </w:tc>
      </w:tr>
      <w:tr w:rsidR="00606029" w14:paraId="6185306D" w14:textId="77777777" w:rsidTr="00FA0FB4">
        <w:trPr>
          <w:trHeight w:val="340"/>
          <w:jc w:val="center"/>
        </w:trPr>
        <w:tc>
          <w:tcPr>
            <w:tcW w:w="259" w:type="dxa"/>
            <w:vMerge/>
            <w:tcBorders>
              <w:tl2br w:val="nil"/>
              <w:tr2bl w:val="nil"/>
            </w:tcBorders>
            <w:vAlign w:val="center"/>
          </w:tcPr>
          <w:p w14:paraId="2D329293" w14:textId="77777777" w:rsidR="00606029" w:rsidRDefault="00606029">
            <w:pPr>
              <w:spacing w:line="280" w:lineRule="exact"/>
              <w:jc w:val="center"/>
            </w:pPr>
          </w:p>
        </w:tc>
        <w:tc>
          <w:tcPr>
            <w:tcW w:w="667" w:type="dxa"/>
            <w:vMerge/>
            <w:tcBorders>
              <w:tl2br w:val="nil"/>
              <w:tr2bl w:val="nil"/>
            </w:tcBorders>
            <w:vAlign w:val="center"/>
          </w:tcPr>
          <w:p w14:paraId="082DE76C" w14:textId="77777777" w:rsidR="00606029" w:rsidRDefault="00606029">
            <w:pPr>
              <w:spacing w:line="280" w:lineRule="exact"/>
              <w:jc w:val="center"/>
            </w:pPr>
          </w:p>
        </w:tc>
        <w:tc>
          <w:tcPr>
            <w:tcW w:w="1054" w:type="dxa"/>
            <w:vMerge w:val="restart"/>
            <w:tcBorders>
              <w:tl2br w:val="nil"/>
              <w:tr2bl w:val="nil"/>
            </w:tcBorders>
            <w:vAlign w:val="center"/>
          </w:tcPr>
          <w:p w14:paraId="6413E1CA" w14:textId="77777777" w:rsidR="00606029" w:rsidRDefault="00EA5B92">
            <w:pPr>
              <w:spacing w:line="280" w:lineRule="exact"/>
              <w:jc w:val="center"/>
            </w:pPr>
            <w:r>
              <w:t>地下水</w:t>
            </w:r>
          </w:p>
        </w:tc>
        <w:tc>
          <w:tcPr>
            <w:tcW w:w="1284" w:type="dxa"/>
            <w:tcBorders>
              <w:tl2br w:val="nil"/>
              <w:tr2bl w:val="nil"/>
            </w:tcBorders>
            <w:vAlign w:val="center"/>
          </w:tcPr>
          <w:p w14:paraId="69C9EE21" w14:textId="77777777" w:rsidR="00606029" w:rsidRDefault="00EA5B92">
            <w:pPr>
              <w:spacing w:line="280" w:lineRule="exact"/>
              <w:jc w:val="center"/>
            </w:pPr>
            <w:r>
              <w:t>地下水功能敏感性</w:t>
            </w:r>
          </w:p>
        </w:tc>
        <w:tc>
          <w:tcPr>
            <w:tcW w:w="1944" w:type="dxa"/>
            <w:tcBorders>
              <w:tl2br w:val="nil"/>
              <w:tr2bl w:val="nil"/>
            </w:tcBorders>
            <w:vAlign w:val="center"/>
          </w:tcPr>
          <w:p w14:paraId="02C14979" w14:textId="77777777" w:rsidR="00606029" w:rsidRDefault="00EA5B92">
            <w:pPr>
              <w:spacing w:line="280" w:lineRule="exact"/>
              <w:jc w:val="center"/>
            </w:pPr>
            <w:r>
              <w:t>G1</w:t>
            </w:r>
            <w:r>
              <w:t></w:t>
            </w:r>
          </w:p>
        </w:tc>
        <w:tc>
          <w:tcPr>
            <w:tcW w:w="1606" w:type="dxa"/>
            <w:gridSpan w:val="3"/>
            <w:tcBorders>
              <w:tl2br w:val="nil"/>
              <w:tr2bl w:val="nil"/>
            </w:tcBorders>
            <w:vAlign w:val="center"/>
          </w:tcPr>
          <w:p w14:paraId="4C2C667F" w14:textId="005C0F2D" w:rsidR="00606029" w:rsidRDefault="00EA5B92">
            <w:pPr>
              <w:spacing w:line="280" w:lineRule="exact"/>
              <w:jc w:val="center"/>
            </w:pPr>
            <w:r>
              <w:t>G2</w:t>
            </w:r>
            <w:r w:rsidR="0055142E">
              <w:t>■</w:t>
            </w:r>
          </w:p>
        </w:tc>
        <w:tc>
          <w:tcPr>
            <w:tcW w:w="1970" w:type="dxa"/>
            <w:tcBorders>
              <w:tl2br w:val="nil"/>
              <w:tr2bl w:val="nil"/>
            </w:tcBorders>
            <w:vAlign w:val="center"/>
          </w:tcPr>
          <w:p w14:paraId="5E64F12D" w14:textId="427D39EC" w:rsidR="00606029" w:rsidRDefault="00EA5B92">
            <w:pPr>
              <w:spacing w:line="280" w:lineRule="exact"/>
              <w:jc w:val="center"/>
            </w:pPr>
            <w:r>
              <w:t>G3</w:t>
            </w:r>
            <w:r w:rsidR="0055142E">
              <w:t></w:t>
            </w:r>
          </w:p>
        </w:tc>
      </w:tr>
      <w:tr w:rsidR="00606029" w14:paraId="0814CFF6" w14:textId="77777777" w:rsidTr="00FA0FB4">
        <w:trPr>
          <w:trHeight w:val="340"/>
          <w:jc w:val="center"/>
        </w:trPr>
        <w:tc>
          <w:tcPr>
            <w:tcW w:w="259" w:type="dxa"/>
            <w:vMerge/>
            <w:tcBorders>
              <w:tl2br w:val="nil"/>
              <w:tr2bl w:val="nil"/>
            </w:tcBorders>
            <w:vAlign w:val="center"/>
          </w:tcPr>
          <w:p w14:paraId="4D9FA0B6" w14:textId="77777777" w:rsidR="00606029" w:rsidRDefault="00606029">
            <w:pPr>
              <w:spacing w:line="280" w:lineRule="exact"/>
              <w:jc w:val="center"/>
            </w:pPr>
          </w:p>
        </w:tc>
        <w:tc>
          <w:tcPr>
            <w:tcW w:w="667" w:type="dxa"/>
            <w:vMerge/>
            <w:tcBorders>
              <w:tl2br w:val="nil"/>
              <w:tr2bl w:val="nil"/>
            </w:tcBorders>
            <w:vAlign w:val="center"/>
          </w:tcPr>
          <w:p w14:paraId="7FE53B28" w14:textId="77777777" w:rsidR="00606029" w:rsidRDefault="00606029">
            <w:pPr>
              <w:spacing w:line="280" w:lineRule="exact"/>
              <w:jc w:val="center"/>
            </w:pPr>
          </w:p>
        </w:tc>
        <w:tc>
          <w:tcPr>
            <w:tcW w:w="1054" w:type="dxa"/>
            <w:vMerge/>
            <w:tcBorders>
              <w:tl2br w:val="nil"/>
              <w:tr2bl w:val="nil"/>
            </w:tcBorders>
            <w:vAlign w:val="center"/>
          </w:tcPr>
          <w:p w14:paraId="181B73F5" w14:textId="77777777" w:rsidR="00606029" w:rsidRDefault="00606029">
            <w:pPr>
              <w:spacing w:line="280" w:lineRule="exact"/>
              <w:jc w:val="center"/>
            </w:pPr>
          </w:p>
        </w:tc>
        <w:tc>
          <w:tcPr>
            <w:tcW w:w="1284" w:type="dxa"/>
            <w:tcBorders>
              <w:tl2br w:val="nil"/>
              <w:tr2bl w:val="nil"/>
            </w:tcBorders>
            <w:vAlign w:val="center"/>
          </w:tcPr>
          <w:p w14:paraId="703C2C62" w14:textId="77777777" w:rsidR="00606029" w:rsidRDefault="00EA5B92">
            <w:pPr>
              <w:spacing w:line="280" w:lineRule="exact"/>
              <w:jc w:val="center"/>
            </w:pPr>
            <w:r>
              <w:t>包气带防污性能</w:t>
            </w:r>
          </w:p>
        </w:tc>
        <w:tc>
          <w:tcPr>
            <w:tcW w:w="1944" w:type="dxa"/>
            <w:tcBorders>
              <w:tl2br w:val="nil"/>
              <w:tr2bl w:val="nil"/>
            </w:tcBorders>
            <w:vAlign w:val="center"/>
          </w:tcPr>
          <w:p w14:paraId="4F7F9626" w14:textId="1569B8BF" w:rsidR="00606029" w:rsidRDefault="00EA5B92">
            <w:pPr>
              <w:spacing w:line="280" w:lineRule="exact"/>
              <w:jc w:val="center"/>
            </w:pPr>
            <w:r>
              <w:t>D1</w:t>
            </w:r>
            <w:r w:rsidR="0055142E" w:rsidRPr="0055142E">
              <w:t>■</w:t>
            </w:r>
          </w:p>
        </w:tc>
        <w:tc>
          <w:tcPr>
            <w:tcW w:w="1606" w:type="dxa"/>
            <w:gridSpan w:val="3"/>
            <w:tcBorders>
              <w:tl2br w:val="nil"/>
              <w:tr2bl w:val="nil"/>
            </w:tcBorders>
            <w:vAlign w:val="center"/>
          </w:tcPr>
          <w:p w14:paraId="6CB01508" w14:textId="5601AC1C" w:rsidR="00606029" w:rsidRDefault="00EA5B92">
            <w:pPr>
              <w:spacing w:line="280" w:lineRule="exact"/>
              <w:jc w:val="center"/>
            </w:pPr>
            <w:r>
              <w:t>D2</w:t>
            </w:r>
            <w:r w:rsidR="0055142E">
              <w:t></w:t>
            </w:r>
          </w:p>
        </w:tc>
        <w:tc>
          <w:tcPr>
            <w:tcW w:w="1970" w:type="dxa"/>
            <w:tcBorders>
              <w:tl2br w:val="nil"/>
              <w:tr2bl w:val="nil"/>
            </w:tcBorders>
            <w:vAlign w:val="center"/>
          </w:tcPr>
          <w:p w14:paraId="3A23BCF5" w14:textId="77777777" w:rsidR="00606029" w:rsidRDefault="00EA5B92">
            <w:pPr>
              <w:spacing w:line="280" w:lineRule="exact"/>
              <w:jc w:val="center"/>
            </w:pPr>
            <w:r>
              <w:t>D3</w:t>
            </w:r>
            <w:r>
              <w:t></w:t>
            </w:r>
          </w:p>
        </w:tc>
      </w:tr>
      <w:tr w:rsidR="00606029" w14:paraId="094A842C" w14:textId="77777777" w:rsidTr="00FA0FB4">
        <w:trPr>
          <w:trHeight w:val="340"/>
          <w:jc w:val="center"/>
        </w:trPr>
        <w:tc>
          <w:tcPr>
            <w:tcW w:w="926" w:type="dxa"/>
            <w:gridSpan w:val="2"/>
            <w:vMerge w:val="restart"/>
            <w:tcBorders>
              <w:tl2br w:val="nil"/>
              <w:tr2bl w:val="nil"/>
            </w:tcBorders>
            <w:vAlign w:val="center"/>
          </w:tcPr>
          <w:p w14:paraId="217AB263" w14:textId="77777777" w:rsidR="00606029" w:rsidRDefault="00EA5B92">
            <w:pPr>
              <w:spacing w:line="280" w:lineRule="exact"/>
              <w:jc w:val="center"/>
            </w:pPr>
            <w:r>
              <w:t>物质及工艺系统危险性</w:t>
            </w:r>
          </w:p>
        </w:tc>
        <w:tc>
          <w:tcPr>
            <w:tcW w:w="1054" w:type="dxa"/>
            <w:tcBorders>
              <w:tl2br w:val="nil"/>
              <w:tr2bl w:val="nil"/>
            </w:tcBorders>
            <w:vAlign w:val="center"/>
          </w:tcPr>
          <w:p w14:paraId="7B1A4545" w14:textId="77777777" w:rsidR="00606029" w:rsidRDefault="00EA5B92">
            <w:pPr>
              <w:spacing w:line="280" w:lineRule="exact"/>
              <w:jc w:val="center"/>
            </w:pPr>
            <w:r>
              <w:t xml:space="preserve">Q </w:t>
            </w:r>
            <w:r>
              <w:t>值</w:t>
            </w:r>
          </w:p>
        </w:tc>
        <w:tc>
          <w:tcPr>
            <w:tcW w:w="1284" w:type="dxa"/>
            <w:tcBorders>
              <w:tl2br w:val="nil"/>
              <w:tr2bl w:val="nil"/>
            </w:tcBorders>
            <w:vAlign w:val="center"/>
          </w:tcPr>
          <w:p w14:paraId="39E068F2" w14:textId="77777777" w:rsidR="00606029" w:rsidRDefault="00EA5B92">
            <w:pPr>
              <w:spacing w:line="280" w:lineRule="exact"/>
              <w:jc w:val="center"/>
            </w:pPr>
            <w:r>
              <w:t>Q</w:t>
            </w:r>
            <w:r>
              <w:t>＜</w:t>
            </w:r>
            <w:r>
              <w:t>1</w:t>
            </w:r>
            <w:r>
              <w:t></w:t>
            </w:r>
          </w:p>
        </w:tc>
        <w:tc>
          <w:tcPr>
            <w:tcW w:w="1944" w:type="dxa"/>
            <w:tcBorders>
              <w:tl2br w:val="nil"/>
              <w:tr2bl w:val="nil"/>
            </w:tcBorders>
            <w:vAlign w:val="center"/>
          </w:tcPr>
          <w:p w14:paraId="7126CF92" w14:textId="77777777" w:rsidR="00606029" w:rsidRDefault="00EA5B92">
            <w:pPr>
              <w:spacing w:line="280" w:lineRule="exact"/>
              <w:jc w:val="center"/>
            </w:pPr>
            <w:r>
              <w:t>1≤Q</w:t>
            </w:r>
            <w:r>
              <w:t>＜</w:t>
            </w:r>
            <w:r>
              <w:t>10</w:t>
            </w:r>
          </w:p>
        </w:tc>
        <w:tc>
          <w:tcPr>
            <w:tcW w:w="1606" w:type="dxa"/>
            <w:gridSpan w:val="3"/>
            <w:tcBorders>
              <w:tl2br w:val="nil"/>
              <w:tr2bl w:val="nil"/>
            </w:tcBorders>
            <w:vAlign w:val="center"/>
          </w:tcPr>
          <w:p w14:paraId="78F61510" w14:textId="77777777" w:rsidR="00606029" w:rsidRDefault="00EA5B92">
            <w:pPr>
              <w:spacing w:line="280" w:lineRule="exact"/>
              <w:jc w:val="center"/>
            </w:pPr>
            <w:r>
              <w:t>10≤Q</w:t>
            </w:r>
            <w:r>
              <w:t>＜</w:t>
            </w:r>
            <w:r>
              <w:t>100■</w:t>
            </w:r>
          </w:p>
        </w:tc>
        <w:tc>
          <w:tcPr>
            <w:tcW w:w="1970" w:type="dxa"/>
            <w:tcBorders>
              <w:tl2br w:val="nil"/>
              <w:tr2bl w:val="nil"/>
            </w:tcBorders>
            <w:vAlign w:val="center"/>
          </w:tcPr>
          <w:p w14:paraId="1392FEED" w14:textId="77777777" w:rsidR="00606029" w:rsidRDefault="00EA5B92">
            <w:pPr>
              <w:spacing w:line="280" w:lineRule="exact"/>
              <w:jc w:val="center"/>
            </w:pPr>
            <w:r>
              <w:t>Q</w:t>
            </w:r>
            <w:r>
              <w:t>＞</w:t>
            </w:r>
            <w:r>
              <w:t>100</w:t>
            </w:r>
          </w:p>
        </w:tc>
      </w:tr>
      <w:tr w:rsidR="00606029" w14:paraId="3BB048B3" w14:textId="77777777" w:rsidTr="00FA0FB4">
        <w:trPr>
          <w:trHeight w:val="340"/>
          <w:jc w:val="center"/>
        </w:trPr>
        <w:tc>
          <w:tcPr>
            <w:tcW w:w="926" w:type="dxa"/>
            <w:gridSpan w:val="2"/>
            <w:vMerge/>
            <w:tcBorders>
              <w:tl2br w:val="nil"/>
              <w:tr2bl w:val="nil"/>
            </w:tcBorders>
            <w:vAlign w:val="center"/>
          </w:tcPr>
          <w:p w14:paraId="0ABD36B2" w14:textId="77777777" w:rsidR="00606029" w:rsidRDefault="00606029">
            <w:pPr>
              <w:spacing w:line="280" w:lineRule="exact"/>
              <w:jc w:val="center"/>
            </w:pPr>
          </w:p>
        </w:tc>
        <w:tc>
          <w:tcPr>
            <w:tcW w:w="1054" w:type="dxa"/>
            <w:tcBorders>
              <w:tl2br w:val="nil"/>
              <w:tr2bl w:val="nil"/>
            </w:tcBorders>
            <w:vAlign w:val="center"/>
          </w:tcPr>
          <w:p w14:paraId="17E812AC" w14:textId="77777777" w:rsidR="00606029" w:rsidRDefault="00EA5B92">
            <w:pPr>
              <w:spacing w:line="280" w:lineRule="exact"/>
              <w:jc w:val="center"/>
            </w:pPr>
            <w:r>
              <w:t xml:space="preserve">M </w:t>
            </w:r>
            <w:r>
              <w:t>值</w:t>
            </w:r>
          </w:p>
        </w:tc>
        <w:tc>
          <w:tcPr>
            <w:tcW w:w="1284" w:type="dxa"/>
            <w:tcBorders>
              <w:tl2br w:val="nil"/>
              <w:tr2bl w:val="nil"/>
            </w:tcBorders>
            <w:vAlign w:val="center"/>
          </w:tcPr>
          <w:p w14:paraId="3D211951" w14:textId="77777777" w:rsidR="00606029" w:rsidRDefault="00EA5B92">
            <w:pPr>
              <w:spacing w:line="280" w:lineRule="exact"/>
              <w:jc w:val="center"/>
            </w:pPr>
            <w:r>
              <w:t>M1</w:t>
            </w:r>
            <w:r>
              <w:t></w:t>
            </w:r>
          </w:p>
        </w:tc>
        <w:tc>
          <w:tcPr>
            <w:tcW w:w="1944" w:type="dxa"/>
            <w:tcBorders>
              <w:tl2br w:val="nil"/>
              <w:tr2bl w:val="nil"/>
            </w:tcBorders>
            <w:vAlign w:val="center"/>
          </w:tcPr>
          <w:p w14:paraId="39D5012F" w14:textId="77777777" w:rsidR="00606029" w:rsidRDefault="00EA5B92">
            <w:pPr>
              <w:spacing w:line="280" w:lineRule="exact"/>
              <w:jc w:val="center"/>
            </w:pPr>
            <w:r>
              <w:t>M2</w:t>
            </w:r>
          </w:p>
        </w:tc>
        <w:tc>
          <w:tcPr>
            <w:tcW w:w="1606" w:type="dxa"/>
            <w:gridSpan w:val="3"/>
            <w:tcBorders>
              <w:tl2br w:val="nil"/>
              <w:tr2bl w:val="nil"/>
            </w:tcBorders>
            <w:vAlign w:val="center"/>
          </w:tcPr>
          <w:p w14:paraId="3B9B29DD" w14:textId="77777777" w:rsidR="00606029" w:rsidRDefault="00EA5B92">
            <w:pPr>
              <w:spacing w:line="280" w:lineRule="exact"/>
              <w:jc w:val="center"/>
            </w:pPr>
            <w:r>
              <w:t>M3</w:t>
            </w:r>
          </w:p>
        </w:tc>
        <w:tc>
          <w:tcPr>
            <w:tcW w:w="1970" w:type="dxa"/>
            <w:tcBorders>
              <w:tl2br w:val="nil"/>
              <w:tr2bl w:val="nil"/>
            </w:tcBorders>
            <w:vAlign w:val="center"/>
          </w:tcPr>
          <w:p w14:paraId="4AA1C931" w14:textId="77777777" w:rsidR="00606029" w:rsidRDefault="00EA5B92">
            <w:pPr>
              <w:spacing w:line="280" w:lineRule="exact"/>
              <w:jc w:val="center"/>
            </w:pPr>
            <w:r>
              <w:t>M4■</w:t>
            </w:r>
          </w:p>
        </w:tc>
      </w:tr>
      <w:tr w:rsidR="00606029" w14:paraId="49D191D9" w14:textId="77777777" w:rsidTr="00FA0FB4">
        <w:trPr>
          <w:trHeight w:val="340"/>
          <w:jc w:val="center"/>
        </w:trPr>
        <w:tc>
          <w:tcPr>
            <w:tcW w:w="926" w:type="dxa"/>
            <w:gridSpan w:val="2"/>
            <w:vMerge/>
            <w:tcBorders>
              <w:tl2br w:val="nil"/>
              <w:tr2bl w:val="nil"/>
            </w:tcBorders>
            <w:vAlign w:val="center"/>
          </w:tcPr>
          <w:p w14:paraId="74E1C414" w14:textId="77777777" w:rsidR="00606029" w:rsidRDefault="00606029">
            <w:pPr>
              <w:spacing w:line="280" w:lineRule="exact"/>
              <w:jc w:val="center"/>
            </w:pPr>
          </w:p>
        </w:tc>
        <w:tc>
          <w:tcPr>
            <w:tcW w:w="1054" w:type="dxa"/>
            <w:tcBorders>
              <w:tl2br w:val="nil"/>
              <w:tr2bl w:val="nil"/>
            </w:tcBorders>
            <w:vAlign w:val="center"/>
          </w:tcPr>
          <w:p w14:paraId="142C374B" w14:textId="77777777" w:rsidR="00606029" w:rsidRDefault="00EA5B92">
            <w:pPr>
              <w:spacing w:line="280" w:lineRule="exact"/>
              <w:jc w:val="center"/>
            </w:pPr>
            <w:r>
              <w:t xml:space="preserve">P </w:t>
            </w:r>
            <w:r>
              <w:t>值</w:t>
            </w:r>
          </w:p>
        </w:tc>
        <w:tc>
          <w:tcPr>
            <w:tcW w:w="1284" w:type="dxa"/>
            <w:tcBorders>
              <w:tl2br w:val="nil"/>
              <w:tr2bl w:val="nil"/>
            </w:tcBorders>
            <w:vAlign w:val="center"/>
          </w:tcPr>
          <w:p w14:paraId="7F51EDD1" w14:textId="77777777" w:rsidR="00606029" w:rsidRDefault="00EA5B92">
            <w:pPr>
              <w:spacing w:line="280" w:lineRule="exact"/>
              <w:jc w:val="center"/>
            </w:pPr>
            <w:r>
              <w:t>P1□</w:t>
            </w:r>
          </w:p>
        </w:tc>
        <w:tc>
          <w:tcPr>
            <w:tcW w:w="1944" w:type="dxa"/>
            <w:tcBorders>
              <w:tl2br w:val="nil"/>
              <w:tr2bl w:val="nil"/>
            </w:tcBorders>
            <w:vAlign w:val="center"/>
          </w:tcPr>
          <w:p w14:paraId="051D6643" w14:textId="77777777" w:rsidR="00606029" w:rsidRDefault="00EA5B92">
            <w:pPr>
              <w:spacing w:line="280" w:lineRule="exact"/>
              <w:jc w:val="center"/>
            </w:pPr>
            <w:r>
              <w:t>P2□</w:t>
            </w:r>
          </w:p>
        </w:tc>
        <w:tc>
          <w:tcPr>
            <w:tcW w:w="1606" w:type="dxa"/>
            <w:gridSpan w:val="3"/>
            <w:tcBorders>
              <w:tl2br w:val="nil"/>
              <w:tr2bl w:val="nil"/>
            </w:tcBorders>
            <w:vAlign w:val="center"/>
          </w:tcPr>
          <w:p w14:paraId="53E8CB37" w14:textId="77777777" w:rsidR="00606029" w:rsidRDefault="00EA5B92">
            <w:pPr>
              <w:spacing w:line="280" w:lineRule="exact"/>
              <w:jc w:val="center"/>
            </w:pPr>
            <w:r>
              <w:t>P3□</w:t>
            </w:r>
          </w:p>
        </w:tc>
        <w:tc>
          <w:tcPr>
            <w:tcW w:w="1970" w:type="dxa"/>
            <w:tcBorders>
              <w:tl2br w:val="nil"/>
              <w:tr2bl w:val="nil"/>
            </w:tcBorders>
            <w:vAlign w:val="center"/>
          </w:tcPr>
          <w:p w14:paraId="24C8E3A2" w14:textId="77777777" w:rsidR="00606029" w:rsidRDefault="00EA5B92">
            <w:pPr>
              <w:spacing w:line="280" w:lineRule="exact"/>
              <w:jc w:val="center"/>
            </w:pPr>
            <w:r>
              <w:t>P4■</w:t>
            </w:r>
          </w:p>
        </w:tc>
      </w:tr>
      <w:tr w:rsidR="00606029" w14:paraId="072D1C7D" w14:textId="77777777" w:rsidTr="00FA0FB4">
        <w:trPr>
          <w:trHeight w:val="340"/>
          <w:jc w:val="center"/>
        </w:trPr>
        <w:tc>
          <w:tcPr>
            <w:tcW w:w="926" w:type="dxa"/>
            <w:gridSpan w:val="2"/>
            <w:vMerge w:val="restart"/>
            <w:tcBorders>
              <w:tl2br w:val="nil"/>
              <w:tr2bl w:val="nil"/>
            </w:tcBorders>
            <w:vAlign w:val="center"/>
          </w:tcPr>
          <w:p w14:paraId="07D4FD10" w14:textId="77777777" w:rsidR="00606029" w:rsidRDefault="00EA5B92">
            <w:pPr>
              <w:spacing w:line="280" w:lineRule="exact"/>
              <w:jc w:val="center"/>
            </w:pPr>
            <w:r>
              <w:t>环境敏感程度</w:t>
            </w:r>
          </w:p>
        </w:tc>
        <w:tc>
          <w:tcPr>
            <w:tcW w:w="2338" w:type="dxa"/>
            <w:gridSpan w:val="2"/>
            <w:tcBorders>
              <w:tl2br w:val="nil"/>
              <w:tr2bl w:val="nil"/>
            </w:tcBorders>
            <w:vAlign w:val="center"/>
          </w:tcPr>
          <w:p w14:paraId="10FD1061" w14:textId="77777777" w:rsidR="00606029" w:rsidRDefault="00EA5B92">
            <w:pPr>
              <w:spacing w:line="280" w:lineRule="exact"/>
              <w:jc w:val="center"/>
            </w:pPr>
            <w:r>
              <w:t>大气</w:t>
            </w:r>
          </w:p>
        </w:tc>
        <w:tc>
          <w:tcPr>
            <w:tcW w:w="1944" w:type="dxa"/>
            <w:tcBorders>
              <w:tl2br w:val="nil"/>
              <w:tr2bl w:val="nil"/>
            </w:tcBorders>
            <w:vAlign w:val="center"/>
          </w:tcPr>
          <w:p w14:paraId="576A0A3E" w14:textId="77777777" w:rsidR="00606029" w:rsidRDefault="00EA5B92">
            <w:pPr>
              <w:spacing w:line="280" w:lineRule="exact"/>
              <w:jc w:val="center"/>
            </w:pPr>
            <w:r>
              <w:t>E1□</w:t>
            </w:r>
          </w:p>
        </w:tc>
        <w:tc>
          <w:tcPr>
            <w:tcW w:w="1606" w:type="dxa"/>
            <w:gridSpan w:val="3"/>
            <w:tcBorders>
              <w:tl2br w:val="nil"/>
              <w:tr2bl w:val="nil"/>
            </w:tcBorders>
            <w:vAlign w:val="center"/>
          </w:tcPr>
          <w:p w14:paraId="1A17BE6C" w14:textId="6E0DA374" w:rsidR="00606029" w:rsidRDefault="00EA5B92">
            <w:pPr>
              <w:spacing w:line="280" w:lineRule="exact"/>
              <w:jc w:val="center"/>
            </w:pPr>
            <w:r>
              <w:t>E2</w:t>
            </w:r>
            <w:r w:rsidR="0055142E">
              <w:t>□</w:t>
            </w:r>
          </w:p>
        </w:tc>
        <w:tc>
          <w:tcPr>
            <w:tcW w:w="1970" w:type="dxa"/>
            <w:tcBorders>
              <w:tl2br w:val="nil"/>
              <w:tr2bl w:val="nil"/>
            </w:tcBorders>
            <w:vAlign w:val="center"/>
          </w:tcPr>
          <w:p w14:paraId="1BF0FD2B" w14:textId="3518D235" w:rsidR="00606029" w:rsidRDefault="00EA5B92">
            <w:pPr>
              <w:spacing w:line="280" w:lineRule="exact"/>
              <w:jc w:val="center"/>
            </w:pPr>
            <w:r>
              <w:t>E3</w:t>
            </w:r>
            <w:r w:rsidR="0055142E">
              <w:t>■</w:t>
            </w:r>
          </w:p>
        </w:tc>
      </w:tr>
      <w:tr w:rsidR="00606029" w14:paraId="093DB638" w14:textId="77777777" w:rsidTr="00FA0FB4">
        <w:trPr>
          <w:trHeight w:val="340"/>
          <w:jc w:val="center"/>
        </w:trPr>
        <w:tc>
          <w:tcPr>
            <w:tcW w:w="926" w:type="dxa"/>
            <w:gridSpan w:val="2"/>
            <w:vMerge/>
            <w:tcBorders>
              <w:tl2br w:val="nil"/>
              <w:tr2bl w:val="nil"/>
            </w:tcBorders>
            <w:vAlign w:val="center"/>
          </w:tcPr>
          <w:p w14:paraId="68AA8DEC" w14:textId="77777777" w:rsidR="00606029" w:rsidRDefault="00606029">
            <w:pPr>
              <w:spacing w:line="280" w:lineRule="exact"/>
              <w:jc w:val="center"/>
            </w:pPr>
          </w:p>
        </w:tc>
        <w:tc>
          <w:tcPr>
            <w:tcW w:w="2338" w:type="dxa"/>
            <w:gridSpan w:val="2"/>
            <w:tcBorders>
              <w:tl2br w:val="nil"/>
              <w:tr2bl w:val="nil"/>
            </w:tcBorders>
            <w:vAlign w:val="center"/>
          </w:tcPr>
          <w:p w14:paraId="72137E82" w14:textId="77777777" w:rsidR="00606029" w:rsidRDefault="00EA5B92">
            <w:pPr>
              <w:spacing w:line="280" w:lineRule="exact"/>
              <w:jc w:val="center"/>
            </w:pPr>
            <w:r>
              <w:t>地表水</w:t>
            </w:r>
          </w:p>
        </w:tc>
        <w:tc>
          <w:tcPr>
            <w:tcW w:w="1944" w:type="dxa"/>
            <w:tcBorders>
              <w:tl2br w:val="nil"/>
              <w:tr2bl w:val="nil"/>
            </w:tcBorders>
            <w:vAlign w:val="center"/>
          </w:tcPr>
          <w:p w14:paraId="70E93104" w14:textId="77777777" w:rsidR="00606029" w:rsidRDefault="00EA5B92">
            <w:pPr>
              <w:spacing w:line="280" w:lineRule="exact"/>
              <w:jc w:val="center"/>
            </w:pPr>
            <w:r>
              <w:t>E1□</w:t>
            </w:r>
          </w:p>
        </w:tc>
        <w:tc>
          <w:tcPr>
            <w:tcW w:w="1606" w:type="dxa"/>
            <w:gridSpan w:val="3"/>
            <w:tcBorders>
              <w:tl2br w:val="nil"/>
              <w:tr2bl w:val="nil"/>
            </w:tcBorders>
            <w:vAlign w:val="center"/>
          </w:tcPr>
          <w:p w14:paraId="3D0A66F5" w14:textId="4F6CB493" w:rsidR="00606029" w:rsidRDefault="00EA5B92">
            <w:pPr>
              <w:spacing w:line="280" w:lineRule="exact"/>
              <w:jc w:val="center"/>
            </w:pPr>
            <w:r>
              <w:t>E2</w:t>
            </w:r>
            <w:r w:rsidR="00123134" w:rsidRPr="00123134">
              <w:t>□</w:t>
            </w:r>
          </w:p>
        </w:tc>
        <w:tc>
          <w:tcPr>
            <w:tcW w:w="1970" w:type="dxa"/>
            <w:tcBorders>
              <w:tl2br w:val="nil"/>
              <w:tr2bl w:val="nil"/>
            </w:tcBorders>
            <w:vAlign w:val="center"/>
          </w:tcPr>
          <w:p w14:paraId="531C8C43" w14:textId="14451505" w:rsidR="00606029" w:rsidRDefault="00EA5B92">
            <w:pPr>
              <w:spacing w:line="280" w:lineRule="exact"/>
              <w:jc w:val="center"/>
            </w:pPr>
            <w:r>
              <w:t>E3■</w:t>
            </w:r>
          </w:p>
        </w:tc>
      </w:tr>
      <w:tr w:rsidR="00606029" w14:paraId="4D1E5845" w14:textId="77777777" w:rsidTr="00FA0FB4">
        <w:trPr>
          <w:trHeight w:val="340"/>
          <w:jc w:val="center"/>
        </w:trPr>
        <w:tc>
          <w:tcPr>
            <w:tcW w:w="926" w:type="dxa"/>
            <w:gridSpan w:val="2"/>
            <w:vMerge/>
            <w:tcBorders>
              <w:tl2br w:val="nil"/>
              <w:tr2bl w:val="nil"/>
            </w:tcBorders>
            <w:vAlign w:val="center"/>
          </w:tcPr>
          <w:p w14:paraId="1F842796" w14:textId="77777777" w:rsidR="00606029" w:rsidRDefault="00606029">
            <w:pPr>
              <w:spacing w:line="280" w:lineRule="exact"/>
              <w:jc w:val="center"/>
            </w:pPr>
          </w:p>
        </w:tc>
        <w:tc>
          <w:tcPr>
            <w:tcW w:w="2338" w:type="dxa"/>
            <w:gridSpan w:val="2"/>
            <w:tcBorders>
              <w:tl2br w:val="nil"/>
              <w:tr2bl w:val="nil"/>
            </w:tcBorders>
            <w:vAlign w:val="center"/>
          </w:tcPr>
          <w:p w14:paraId="2BEF6389" w14:textId="77777777" w:rsidR="00606029" w:rsidRDefault="00EA5B92">
            <w:pPr>
              <w:spacing w:line="280" w:lineRule="exact"/>
              <w:jc w:val="center"/>
            </w:pPr>
            <w:r>
              <w:t>地下水</w:t>
            </w:r>
          </w:p>
        </w:tc>
        <w:tc>
          <w:tcPr>
            <w:tcW w:w="1944" w:type="dxa"/>
            <w:tcBorders>
              <w:tl2br w:val="nil"/>
              <w:tr2bl w:val="nil"/>
            </w:tcBorders>
            <w:vAlign w:val="center"/>
          </w:tcPr>
          <w:p w14:paraId="19CA4189" w14:textId="39442B85" w:rsidR="00606029" w:rsidRDefault="00EA5B92">
            <w:pPr>
              <w:spacing w:line="280" w:lineRule="exact"/>
              <w:jc w:val="center"/>
            </w:pPr>
            <w:r>
              <w:t>E1</w:t>
            </w:r>
            <w:r w:rsidR="0055142E">
              <w:t>■</w:t>
            </w:r>
          </w:p>
        </w:tc>
        <w:tc>
          <w:tcPr>
            <w:tcW w:w="1606" w:type="dxa"/>
            <w:gridSpan w:val="3"/>
            <w:tcBorders>
              <w:tl2br w:val="nil"/>
              <w:tr2bl w:val="nil"/>
            </w:tcBorders>
            <w:vAlign w:val="center"/>
          </w:tcPr>
          <w:p w14:paraId="7F40D22C" w14:textId="77777777" w:rsidR="00606029" w:rsidRDefault="00EA5B92">
            <w:pPr>
              <w:spacing w:line="280" w:lineRule="exact"/>
              <w:jc w:val="center"/>
            </w:pPr>
            <w:r>
              <w:t>E2□</w:t>
            </w:r>
          </w:p>
        </w:tc>
        <w:tc>
          <w:tcPr>
            <w:tcW w:w="1970" w:type="dxa"/>
            <w:tcBorders>
              <w:tl2br w:val="nil"/>
              <w:tr2bl w:val="nil"/>
            </w:tcBorders>
            <w:vAlign w:val="center"/>
          </w:tcPr>
          <w:p w14:paraId="74CBE508" w14:textId="02B7D952" w:rsidR="00606029" w:rsidRDefault="00EA5B92">
            <w:pPr>
              <w:spacing w:line="280" w:lineRule="exact"/>
              <w:jc w:val="center"/>
            </w:pPr>
            <w:r>
              <w:t>E3</w:t>
            </w:r>
            <w:r w:rsidR="0055142E">
              <w:t>□</w:t>
            </w:r>
          </w:p>
        </w:tc>
      </w:tr>
      <w:tr w:rsidR="00606029" w14:paraId="25CD35FB" w14:textId="77777777" w:rsidTr="00FA0FB4">
        <w:trPr>
          <w:trHeight w:val="340"/>
          <w:jc w:val="center"/>
        </w:trPr>
        <w:tc>
          <w:tcPr>
            <w:tcW w:w="926" w:type="dxa"/>
            <w:gridSpan w:val="2"/>
            <w:tcBorders>
              <w:tl2br w:val="nil"/>
              <w:tr2bl w:val="nil"/>
            </w:tcBorders>
            <w:vAlign w:val="center"/>
          </w:tcPr>
          <w:p w14:paraId="202D2C5B" w14:textId="77777777" w:rsidR="00606029" w:rsidRDefault="00EA5B92">
            <w:pPr>
              <w:spacing w:line="280" w:lineRule="exact"/>
              <w:jc w:val="center"/>
            </w:pPr>
            <w:r>
              <w:t>环境风险潜势</w:t>
            </w:r>
          </w:p>
        </w:tc>
        <w:tc>
          <w:tcPr>
            <w:tcW w:w="1054" w:type="dxa"/>
            <w:tcBorders>
              <w:tl2br w:val="nil"/>
              <w:tr2bl w:val="nil"/>
            </w:tcBorders>
            <w:vAlign w:val="center"/>
          </w:tcPr>
          <w:p w14:paraId="000B5802" w14:textId="77777777" w:rsidR="00606029" w:rsidRDefault="00EA5B92">
            <w:pPr>
              <w:spacing w:line="280" w:lineRule="exact"/>
              <w:jc w:val="center"/>
            </w:pPr>
            <w:r>
              <w:t>IV+□</w:t>
            </w:r>
          </w:p>
        </w:tc>
        <w:tc>
          <w:tcPr>
            <w:tcW w:w="1284" w:type="dxa"/>
            <w:tcBorders>
              <w:tl2br w:val="nil"/>
              <w:tr2bl w:val="nil"/>
            </w:tcBorders>
            <w:vAlign w:val="center"/>
          </w:tcPr>
          <w:p w14:paraId="4E3BFA00" w14:textId="77777777" w:rsidR="00606029" w:rsidRDefault="00EA5B92">
            <w:pPr>
              <w:spacing w:line="280" w:lineRule="exact"/>
              <w:jc w:val="center"/>
            </w:pPr>
            <w:r>
              <w:t>IV□</w:t>
            </w:r>
          </w:p>
        </w:tc>
        <w:tc>
          <w:tcPr>
            <w:tcW w:w="1944" w:type="dxa"/>
            <w:tcBorders>
              <w:tl2br w:val="nil"/>
              <w:tr2bl w:val="nil"/>
            </w:tcBorders>
            <w:vAlign w:val="center"/>
          </w:tcPr>
          <w:p w14:paraId="6DF2B175" w14:textId="057F3CFB" w:rsidR="00606029" w:rsidRDefault="00EA5B92">
            <w:pPr>
              <w:spacing w:line="280" w:lineRule="exact"/>
              <w:jc w:val="center"/>
            </w:pPr>
            <w:r>
              <w:t>Ⅲ</w:t>
            </w:r>
            <w:r w:rsidR="0055142E">
              <w:t>☑</w:t>
            </w:r>
          </w:p>
        </w:tc>
        <w:tc>
          <w:tcPr>
            <w:tcW w:w="1606" w:type="dxa"/>
            <w:gridSpan w:val="3"/>
            <w:tcBorders>
              <w:tl2br w:val="nil"/>
              <w:tr2bl w:val="nil"/>
            </w:tcBorders>
            <w:vAlign w:val="center"/>
          </w:tcPr>
          <w:p w14:paraId="128ECCB8" w14:textId="5A0CC361" w:rsidR="00606029" w:rsidRDefault="00EA5B92">
            <w:pPr>
              <w:spacing w:line="280" w:lineRule="exact"/>
              <w:jc w:val="center"/>
            </w:pPr>
            <w:r>
              <w:t>II</w:t>
            </w:r>
            <w:r w:rsidR="0055142E">
              <w:t>□</w:t>
            </w:r>
          </w:p>
        </w:tc>
        <w:tc>
          <w:tcPr>
            <w:tcW w:w="1970" w:type="dxa"/>
            <w:tcBorders>
              <w:tl2br w:val="nil"/>
              <w:tr2bl w:val="nil"/>
            </w:tcBorders>
            <w:vAlign w:val="center"/>
          </w:tcPr>
          <w:p w14:paraId="0B506206" w14:textId="77777777" w:rsidR="00606029" w:rsidRDefault="00EA5B92">
            <w:pPr>
              <w:spacing w:line="280" w:lineRule="exact"/>
              <w:jc w:val="center"/>
            </w:pPr>
            <w:r>
              <w:t>I□</w:t>
            </w:r>
          </w:p>
        </w:tc>
      </w:tr>
      <w:tr w:rsidR="00606029" w14:paraId="34A0D871" w14:textId="77777777" w:rsidTr="00FA0FB4">
        <w:trPr>
          <w:trHeight w:val="340"/>
          <w:jc w:val="center"/>
        </w:trPr>
        <w:tc>
          <w:tcPr>
            <w:tcW w:w="926" w:type="dxa"/>
            <w:gridSpan w:val="2"/>
            <w:tcBorders>
              <w:tl2br w:val="nil"/>
              <w:tr2bl w:val="nil"/>
            </w:tcBorders>
            <w:vAlign w:val="center"/>
          </w:tcPr>
          <w:p w14:paraId="4C9CA1B2" w14:textId="77777777" w:rsidR="00606029" w:rsidRDefault="00EA5B92">
            <w:pPr>
              <w:spacing w:line="280" w:lineRule="exact"/>
              <w:jc w:val="center"/>
            </w:pPr>
            <w:r>
              <w:t>评价等级</w:t>
            </w:r>
          </w:p>
        </w:tc>
        <w:tc>
          <w:tcPr>
            <w:tcW w:w="2338" w:type="dxa"/>
            <w:gridSpan w:val="2"/>
            <w:tcBorders>
              <w:tl2br w:val="nil"/>
              <w:tr2bl w:val="nil"/>
            </w:tcBorders>
            <w:vAlign w:val="center"/>
          </w:tcPr>
          <w:p w14:paraId="2FF3F664" w14:textId="77777777" w:rsidR="00606029" w:rsidRDefault="00EA5B92">
            <w:pPr>
              <w:spacing w:line="280" w:lineRule="exact"/>
              <w:jc w:val="center"/>
            </w:pPr>
            <w:r>
              <w:t>一级</w:t>
            </w:r>
            <w:r>
              <w:t>□</w:t>
            </w:r>
          </w:p>
        </w:tc>
        <w:tc>
          <w:tcPr>
            <w:tcW w:w="1944" w:type="dxa"/>
            <w:tcBorders>
              <w:tl2br w:val="nil"/>
              <w:tr2bl w:val="nil"/>
            </w:tcBorders>
            <w:vAlign w:val="center"/>
          </w:tcPr>
          <w:p w14:paraId="3D40342B" w14:textId="4C6EFDDF" w:rsidR="00606029" w:rsidRDefault="00EA5B92">
            <w:pPr>
              <w:spacing w:line="280" w:lineRule="exact"/>
              <w:jc w:val="center"/>
            </w:pPr>
            <w:r>
              <w:t>二级</w:t>
            </w:r>
            <w:r w:rsidR="0055142E">
              <w:t>■</w:t>
            </w:r>
          </w:p>
        </w:tc>
        <w:tc>
          <w:tcPr>
            <w:tcW w:w="1606" w:type="dxa"/>
            <w:gridSpan w:val="3"/>
            <w:tcBorders>
              <w:tl2br w:val="nil"/>
              <w:tr2bl w:val="nil"/>
            </w:tcBorders>
            <w:vAlign w:val="center"/>
          </w:tcPr>
          <w:p w14:paraId="631E274B" w14:textId="740948C2" w:rsidR="00606029" w:rsidRDefault="00EA5B92">
            <w:pPr>
              <w:spacing w:line="280" w:lineRule="exact"/>
              <w:jc w:val="center"/>
            </w:pPr>
            <w:r>
              <w:t>三级</w:t>
            </w:r>
            <w:r w:rsidR="0055142E">
              <w:t>□</w:t>
            </w:r>
          </w:p>
        </w:tc>
        <w:tc>
          <w:tcPr>
            <w:tcW w:w="1970" w:type="dxa"/>
            <w:tcBorders>
              <w:tl2br w:val="nil"/>
              <w:tr2bl w:val="nil"/>
            </w:tcBorders>
            <w:vAlign w:val="center"/>
          </w:tcPr>
          <w:p w14:paraId="16D641A3" w14:textId="233928FF" w:rsidR="00606029" w:rsidRDefault="00EA5B92">
            <w:pPr>
              <w:spacing w:line="280" w:lineRule="exact"/>
              <w:jc w:val="center"/>
            </w:pPr>
            <w:r>
              <w:t>简单分析</w:t>
            </w:r>
            <w:r>
              <w:t>□</w:t>
            </w:r>
          </w:p>
        </w:tc>
      </w:tr>
      <w:tr w:rsidR="00606029" w14:paraId="7762DB77" w14:textId="77777777" w:rsidTr="00FA0FB4">
        <w:trPr>
          <w:trHeight w:val="340"/>
          <w:jc w:val="center"/>
        </w:trPr>
        <w:tc>
          <w:tcPr>
            <w:tcW w:w="259" w:type="dxa"/>
            <w:vMerge w:val="restart"/>
            <w:tcBorders>
              <w:tl2br w:val="nil"/>
              <w:tr2bl w:val="nil"/>
            </w:tcBorders>
            <w:vAlign w:val="center"/>
          </w:tcPr>
          <w:p w14:paraId="199C32CE" w14:textId="77777777" w:rsidR="00606029" w:rsidRDefault="00EA5B92">
            <w:pPr>
              <w:spacing w:line="280" w:lineRule="exact"/>
              <w:jc w:val="center"/>
            </w:pPr>
            <w:r>
              <w:t>风险识别</w:t>
            </w:r>
          </w:p>
        </w:tc>
        <w:tc>
          <w:tcPr>
            <w:tcW w:w="667" w:type="dxa"/>
            <w:tcBorders>
              <w:tl2br w:val="nil"/>
              <w:tr2bl w:val="nil"/>
            </w:tcBorders>
            <w:vAlign w:val="center"/>
          </w:tcPr>
          <w:p w14:paraId="1855D4D1" w14:textId="77777777" w:rsidR="00606029" w:rsidRDefault="00EA5B92">
            <w:pPr>
              <w:spacing w:line="280" w:lineRule="exact"/>
              <w:jc w:val="center"/>
            </w:pPr>
            <w:r>
              <w:t>物质危险性</w:t>
            </w:r>
          </w:p>
        </w:tc>
        <w:tc>
          <w:tcPr>
            <w:tcW w:w="4282" w:type="dxa"/>
            <w:gridSpan w:val="3"/>
            <w:tcBorders>
              <w:tl2br w:val="nil"/>
              <w:tr2bl w:val="nil"/>
            </w:tcBorders>
            <w:vAlign w:val="center"/>
          </w:tcPr>
          <w:p w14:paraId="2FD21072" w14:textId="77777777" w:rsidR="00606029" w:rsidRDefault="00EA5B92">
            <w:pPr>
              <w:spacing w:line="280" w:lineRule="exact"/>
              <w:jc w:val="center"/>
            </w:pPr>
            <w:r>
              <w:t>有毒有害</w:t>
            </w:r>
            <w:r>
              <w:t>☑</w:t>
            </w:r>
          </w:p>
        </w:tc>
        <w:tc>
          <w:tcPr>
            <w:tcW w:w="3576" w:type="dxa"/>
            <w:gridSpan w:val="4"/>
            <w:tcBorders>
              <w:tl2br w:val="nil"/>
              <w:tr2bl w:val="nil"/>
            </w:tcBorders>
            <w:vAlign w:val="center"/>
          </w:tcPr>
          <w:p w14:paraId="28CDB9EF" w14:textId="77777777" w:rsidR="00606029" w:rsidRDefault="00EA5B92">
            <w:pPr>
              <w:spacing w:line="280" w:lineRule="exact"/>
              <w:jc w:val="center"/>
            </w:pPr>
            <w:r>
              <w:t>易燃易爆</w:t>
            </w:r>
            <w:r>
              <w:t>☑</w:t>
            </w:r>
          </w:p>
        </w:tc>
      </w:tr>
      <w:tr w:rsidR="00606029" w14:paraId="5FEBDB08" w14:textId="77777777" w:rsidTr="00FA0FB4">
        <w:trPr>
          <w:trHeight w:val="340"/>
          <w:jc w:val="center"/>
        </w:trPr>
        <w:tc>
          <w:tcPr>
            <w:tcW w:w="259" w:type="dxa"/>
            <w:vMerge/>
            <w:tcBorders>
              <w:tl2br w:val="nil"/>
              <w:tr2bl w:val="nil"/>
            </w:tcBorders>
            <w:vAlign w:val="center"/>
          </w:tcPr>
          <w:p w14:paraId="268A55AC" w14:textId="77777777" w:rsidR="00606029" w:rsidRDefault="00606029">
            <w:pPr>
              <w:spacing w:line="280" w:lineRule="exact"/>
              <w:jc w:val="center"/>
            </w:pPr>
          </w:p>
        </w:tc>
        <w:tc>
          <w:tcPr>
            <w:tcW w:w="667" w:type="dxa"/>
            <w:tcBorders>
              <w:tl2br w:val="nil"/>
              <w:tr2bl w:val="nil"/>
            </w:tcBorders>
            <w:vAlign w:val="center"/>
          </w:tcPr>
          <w:p w14:paraId="240581A0" w14:textId="77777777" w:rsidR="00606029" w:rsidRDefault="00EA5B92">
            <w:pPr>
              <w:spacing w:line="280" w:lineRule="exact"/>
              <w:jc w:val="center"/>
            </w:pPr>
            <w:r>
              <w:t>环境风险类型</w:t>
            </w:r>
          </w:p>
        </w:tc>
        <w:tc>
          <w:tcPr>
            <w:tcW w:w="4282" w:type="dxa"/>
            <w:gridSpan w:val="3"/>
            <w:tcBorders>
              <w:tl2br w:val="nil"/>
              <w:tr2bl w:val="nil"/>
            </w:tcBorders>
            <w:vAlign w:val="center"/>
          </w:tcPr>
          <w:p w14:paraId="024A9E50" w14:textId="77777777" w:rsidR="00606029" w:rsidRDefault="00EA5B92">
            <w:pPr>
              <w:spacing w:line="280" w:lineRule="exact"/>
              <w:jc w:val="center"/>
            </w:pPr>
            <w:r>
              <w:t>泄漏</w:t>
            </w:r>
            <w:r>
              <w:t>☑</w:t>
            </w:r>
          </w:p>
        </w:tc>
        <w:tc>
          <w:tcPr>
            <w:tcW w:w="3576" w:type="dxa"/>
            <w:gridSpan w:val="4"/>
            <w:tcBorders>
              <w:tl2br w:val="nil"/>
              <w:tr2bl w:val="nil"/>
            </w:tcBorders>
            <w:vAlign w:val="center"/>
          </w:tcPr>
          <w:p w14:paraId="03A8059C" w14:textId="77777777" w:rsidR="00606029" w:rsidRDefault="00EA5B92">
            <w:pPr>
              <w:spacing w:line="280" w:lineRule="exact"/>
              <w:jc w:val="center"/>
            </w:pPr>
            <w:r>
              <w:t>火灾、爆炸引发伴生</w:t>
            </w:r>
            <w:r>
              <w:t>/</w:t>
            </w:r>
            <w:r>
              <w:t>次生污染物排放</w:t>
            </w:r>
            <w:r>
              <w:t>☑</w:t>
            </w:r>
          </w:p>
        </w:tc>
      </w:tr>
      <w:tr w:rsidR="00606029" w14:paraId="2B3D6776" w14:textId="77777777" w:rsidTr="00FA0FB4">
        <w:trPr>
          <w:trHeight w:val="340"/>
          <w:jc w:val="center"/>
        </w:trPr>
        <w:tc>
          <w:tcPr>
            <w:tcW w:w="259" w:type="dxa"/>
            <w:vMerge/>
            <w:tcBorders>
              <w:tl2br w:val="nil"/>
              <w:tr2bl w:val="nil"/>
            </w:tcBorders>
            <w:vAlign w:val="center"/>
          </w:tcPr>
          <w:p w14:paraId="763EBCED" w14:textId="77777777" w:rsidR="00606029" w:rsidRDefault="00606029">
            <w:pPr>
              <w:spacing w:line="280" w:lineRule="exact"/>
              <w:jc w:val="center"/>
            </w:pPr>
          </w:p>
        </w:tc>
        <w:tc>
          <w:tcPr>
            <w:tcW w:w="667" w:type="dxa"/>
            <w:tcBorders>
              <w:tl2br w:val="nil"/>
              <w:tr2bl w:val="nil"/>
            </w:tcBorders>
            <w:vAlign w:val="center"/>
          </w:tcPr>
          <w:p w14:paraId="5FE2CAC1" w14:textId="77777777" w:rsidR="00606029" w:rsidRDefault="00EA5B92">
            <w:pPr>
              <w:spacing w:line="280" w:lineRule="exact"/>
              <w:jc w:val="center"/>
            </w:pPr>
            <w:r>
              <w:t>影响途径</w:t>
            </w:r>
          </w:p>
        </w:tc>
        <w:tc>
          <w:tcPr>
            <w:tcW w:w="2338" w:type="dxa"/>
            <w:gridSpan w:val="2"/>
            <w:tcBorders>
              <w:tl2br w:val="nil"/>
              <w:tr2bl w:val="nil"/>
            </w:tcBorders>
            <w:vAlign w:val="center"/>
          </w:tcPr>
          <w:p w14:paraId="1A89354B" w14:textId="77777777" w:rsidR="00606029" w:rsidRDefault="00EA5B92">
            <w:pPr>
              <w:spacing w:line="280" w:lineRule="exact"/>
              <w:jc w:val="center"/>
            </w:pPr>
            <w:r>
              <w:t>大气</w:t>
            </w:r>
            <w:r>
              <w:t>☑</w:t>
            </w:r>
          </w:p>
        </w:tc>
        <w:tc>
          <w:tcPr>
            <w:tcW w:w="2392" w:type="dxa"/>
            <w:gridSpan w:val="2"/>
            <w:tcBorders>
              <w:tl2br w:val="nil"/>
              <w:tr2bl w:val="nil"/>
            </w:tcBorders>
            <w:vAlign w:val="center"/>
          </w:tcPr>
          <w:p w14:paraId="1CCE364C" w14:textId="77777777" w:rsidR="00606029" w:rsidRDefault="00EA5B92">
            <w:pPr>
              <w:spacing w:line="280" w:lineRule="exact"/>
              <w:jc w:val="center"/>
            </w:pPr>
            <w:r>
              <w:t>地表水</w:t>
            </w:r>
            <w:r>
              <w:t>☑</w:t>
            </w:r>
          </w:p>
        </w:tc>
        <w:tc>
          <w:tcPr>
            <w:tcW w:w="3128" w:type="dxa"/>
            <w:gridSpan w:val="3"/>
            <w:tcBorders>
              <w:tl2br w:val="nil"/>
              <w:tr2bl w:val="nil"/>
            </w:tcBorders>
            <w:vAlign w:val="center"/>
          </w:tcPr>
          <w:p w14:paraId="2E05AFFE" w14:textId="77777777" w:rsidR="00606029" w:rsidRDefault="00EA5B92">
            <w:pPr>
              <w:spacing w:line="280" w:lineRule="exact"/>
              <w:jc w:val="center"/>
            </w:pPr>
            <w:r>
              <w:t>地下水</w:t>
            </w:r>
            <w:r>
              <w:t>☑</w:t>
            </w:r>
          </w:p>
        </w:tc>
      </w:tr>
      <w:tr w:rsidR="00606029" w14:paraId="0425A32F" w14:textId="77777777" w:rsidTr="00FA0FB4">
        <w:trPr>
          <w:trHeight w:val="340"/>
          <w:jc w:val="center"/>
        </w:trPr>
        <w:tc>
          <w:tcPr>
            <w:tcW w:w="926" w:type="dxa"/>
            <w:gridSpan w:val="2"/>
            <w:tcBorders>
              <w:tl2br w:val="nil"/>
              <w:tr2bl w:val="nil"/>
            </w:tcBorders>
            <w:vAlign w:val="center"/>
          </w:tcPr>
          <w:p w14:paraId="6DB6D894" w14:textId="77777777" w:rsidR="00606029" w:rsidRDefault="00EA5B92">
            <w:pPr>
              <w:spacing w:line="280" w:lineRule="exact"/>
              <w:jc w:val="center"/>
            </w:pPr>
            <w:r>
              <w:t>事故情形分析</w:t>
            </w:r>
          </w:p>
        </w:tc>
        <w:tc>
          <w:tcPr>
            <w:tcW w:w="2338" w:type="dxa"/>
            <w:gridSpan w:val="2"/>
            <w:tcBorders>
              <w:tl2br w:val="nil"/>
              <w:tr2bl w:val="nil"/>
            </w:tcBorders>
            <w:vAlign w:val="center"/>
          </w:tcPr>
          <w:p w14:paraId="1A9FA73F" w14:textId="77777777" w:rsidR="00606029" w:rsidRDefault="00EA5B92">
            <w:pPr>
              <w:spacing w:line="280" w:lineRule="exact"/>
              <w:jc w:val="center"/>
            </w:pPr>
            <w:r>
              <w:t>源强设定方法</w:t>
            </w:r>
            <w:r>
              <w:t>■</w:t>
            </w:r>
          </w:p>
        </w:tc>
        <w:tc>
          <w:tcPr>
            <w:tcW w:w="1944" w:type="dxa"/>
            <w:tcBorders>
              <w:tl2br w:val="nil"/>
              <w:tr2bl w:val="nil"/>
            </w:tcBorders>
            <w:vAlign w:val="center"/>
          </w:tcPr>
          <w:p w14:paraId="79DFCA90" w14:textId="77777777" w:rsidR="00606029" w:rsidRDefault="00EA5B92">
            <w:pPr>
              <w:spacing w:line="280" w:lineRule="exact"/>
              <w:jc w:val="center"/>
            </w:pPr>
            <w:r>
              <w:t>计算法</w:t>
            </w:r>
            <w:r>
              <w:t>□</w:t>
            </w:r>
          </w:p>
        </w:tc>
        <w:tc>
          <w:tcPr>
            <w:tcW w:w="1606" w:type="dxa"/>
            <w:gridSpan w:val="3"/>
            <w:tcBorders>
              <w:tl2br w:val="nil"/>
              <w:tr2bl w:val="nil"/>
            </w:tcBorders>
            <w:vAlign w:val="center"/>
          </w:tcPr>
          <w:p w14:paraId="196AFCBD" w14:textId="77777777" w:rsidR="00606029" w:rsidRDefault="00EA5B92">
            <w:pPr>
              <w:spacing w:line="280" w:lineRule="exact"/>
              <w:jc w:val="center"/>
            </w:pPr>
            <w:r>
              <w:t>经验估算法</w:t>
            </w:r>
            <w:r>
              <w:t>□</w:t>
            </w:r>
          </w:p>
        </w:tc>
        <w:tc>
          <w:tcPr>
            <w:tcW w:w="1970" w:type="dxa"/>
            <w:tcBorders>
              <w:tl2br w:val="nil"/>
              <w:tr2bl w:val="nil"/>
            </w:tcBorders>
            <w:vAlign w:val="center"/>
          </w:tcPr>
          <w:p w14:paraId="386E8D0B" w14:textId="77777777" w:rsidR="00606029" w:rsidRDefault="00EA5B92">
            <w:pPr>
              <w:spacing w:line="280" w:lineRule="exact"/>
              <w:jc w:val="center"/>
            </w:pPr>
            <w:r>
              <w:t>其他估算法</w:t>
            </w:r>
            <w:r>
              <w:t>■</w:t>
            </w:r>
          </w:p>
        </w:tc>
      </w:tr>
      <w:tr w:rsidR="00606029" w14:paraId="093F2771" w14:textId="77777777" w:rsidTr="00FA0FB4">
        <w:trPr>
          <w:trHeight w:val="340"/>
          <w:jc w:val="center"/>
        </w:trPr>
        <w:tc>
          <w:tcPr>
            <w:tcW w:w="259" w:type="dxa"/>
            <w:vMerge w:val="restart"/>
            <w:tcBorders>
              <w:tl2br w:val="nil"/>
              <w:tr2bl w:val="nil"/>
            </w:tcBorders>
            <w:vAlign w:val="center"/>
          </w:tcPr>
          <w:p w14:paraId="32F200CA" w14:textId="77777777" w:rsidR="00606029" w:rsidRDefault="00EA5B92">
            <w:pPr>
              <w:spacing w:line="280" w:lineRule="exact"/>
              <w:jc w:val="center"/>
            </w:pPr>
            <w:r>
              <w:t>风险预测</w:t>
            </w:r>
            <w:r>
              <w:lastRenderedPageBreak/>
              <w:t>与评</w:t>
            </w:r>
          </w:p>
          <w:p w14:paraId="09152080" w14:textId="77777777" w:rsidR="00606029" w:rsidRDefault="00EA5B92">
            <w:pPr>
              <w:spacing w:line="280" w:lineRule="exact"/>
              <w:jc w:val="center"/>
            </w:pPr>
            <w:r>
              <w:t>价</w:t>
            </w:r>
          </w:p>
        </w:tc>
        <w:tc>
          <w:tcPr>
            <w:tcW w:w="667" w:type="dxa"/>
            <w:vMerge w:val="restart"/>
            <w:tcBorders>
              <w:tl2br w:val="nil"/>
              <w:tr2bl w:val="nil"/>
            </w:tcBorders>
            <w:vAlign w:val="center"/>
          </w:tcPr>
          <w:p w14:paraId="0A8C7D2F" w14:textId="77777777" w:rsidR="00606029" w:rsidRDefault="00EA5B92">
            <w:pPr>
              <w:spacing w:line="280" w:lineRule="exact"/>
              <w:jc w:val="center"/>
            </w:pPr>
            <w:r>
              <w:lastRenderedPageBreak/>
              <w:t>大气</w:t>
            </w:r>
          </w:p>
        </w:tc>
        <w:tc>
          <w:tcPr>
            <w:tcW w:w="2338" w:type="dxa"/>
            <w:gridSpan w:val="2"/>
            <w:tcBorders>
              <w:tl2br w:val="nil"/>
              <w:tr2bl w:val="nil"/>
            </w:tcBorders>
            <w:vAlign w:val="center"/>
          </w:tcPr>
          <w:p w14:paraId="4AAB2DC5" w14:textId="77777777" w:rsidR="00606029" w:rsidRDefault="00EA5B92">
            <w:pPr>
              <w:spacing w:line="280" w:lineRule="exact"/>
              <w:jc w:val="center"/>
            </w:pPr>
            <w:r>
              <w:t>预测模型</w:t>
            </w:r>
          </w:p>
        </w:tc>
        <w:tc>
          <w:tcPr>
            <w:tcW w:w="1944" w:type="dxa"/>
            <w:tcBorders>
              <w:tl2br w:val="nil"/>
              <w:tr2bl w:val="nil"/>
            </w:tcBorders>
            <w:vAlign w:val="center"/>
          </w:tcPr>
          <w:p w14:paraId="2407B32A" w14:textId="77777777" w:rsidR="00606029" w:rsidRDefault="00EA5B92">
            <w:pPr>
              <w:spacing w:line="280" w:lineRule="exact"/>
              <w:jc w:val="center"/>
            </w:pPr>
            <w:r>
              <w:t>SLAB</w:t>
            </w:r>
            <w:r>
              <w:t></w:t>
            </w:r>
          </w:p>
        </w:tc>
        <w:tc>
          <w:tcPr>
            <w:tcW w:w="1606" w:type="dxa"/>
            <w:gridSpan w:val="3"/>
            <w:tcBorders>
              <w:tl2br w:val="nil"/>
              <w:tr2bl w:val="nil"/>
            </w:tcBorders>
            <w:vAlign w:val="center"/>
          </w:tcPr>
          <w:p w14:paraId="56710881" w14:textId="1CCD964C" w:rsidR="00606029" w:rsidRDefault="00EA5B92">
            <w:pPr>
              <w:spacing w:line="280" w:lineRule="exact"/>
              <w:jc w:val="center"/>
            </w:pPr>
            <w:r>
              <w:t>AFTOX</w:t>
            </w:r>
            <w:r w:rsidR="0055142E">
              <w:t></w:t>
            </w:r>
          </w:p>
        </w:tc>
        <w:tc>
          <w:tcPr>
            <w:tcW w:w="1970" w:type="dxa"/>
            <w:tcBorders>
              <w:tl2br w:val="nil"/>
              <w:tr2bl w:val="nil"/>
            </w:tcBorders>
            <w:vAlign w:val="center"/>
          </w:tcPr>
          <w:p w14:paraId="49602A2F" w14:textId="2C75507E" w:rsidR="00606029" w:rsidRDefault="00EA5B92">
            <w:pPr>
              <w:spacing w:line="280" w:lineRule="exact"/>
              <w:jc w:val="center"/>
            </w:pPr>
            <w:r>
              <w:t>其他</w:t>
            </w:r>
            <w:r w:rsidR="0055142E">
              <w:t>■</w:t>
            </w:r>
          </w:p>
        </w:tc>
      </w:tr>
      <w:tr w:rsidR="00606029" w14:paraId="253EA822" w14:textId="77777777" w:rsidTr="00FA0FB4">
        <w:trPr>
          <w:trHeight w:val="660"/>
          <w:jc w:val="center"/>
        </w:trPr>
        <w:tc>
          <w:tcPr>
            <w:tcW w:w="259" w:type="dxa"/>
            <w:vMerge/>
            <w:tcBorders>
              <w:tl2br w:val="nil"/>
              <w:tr2bl w:val="nil"/>
            </w:tcBorders>
            <w:vAlign w:val="center"/>
          </w:tcPr>
          <w:p w14:paraId="56D8CFC6" w14:textId="77777777" w:rsidR="00606029" w:rsidRDefault="00606029">
            <w:pPr>
              <w:spacing w:line="280" w:lineRule="exact"/>
              <w:jc w:val="center"/>
            </w:pPr>
          </w:p>
        </w:tc>
        <w:tc>
          <w:tcPr>
            <w:tcW w:w="667" w:type="dxa"/>
            <w:vMerge/>
            <w:tcBorders>
              <w:tl2br w:val="nil"/>
              <w:tr2bl w:val="nil"/>
            </w:tcBorders>
            <w:vAlign w:val="center"/>
          </w:tcPr>
          <w:p w14:paraId="56A7C1D5" w14:textId="77777777" w:rsidR="00606029" w:rsidRDefault="00606029">
            <w:pPr>
              <w:spacing w:line="280" w:lineRule="exact"/>
              <w:jc w:val="center"/>
            </w:pPr>
          </w:p>
        </w:tc>
        <w:tc>
          <w:tcPr>
            <w:tcW w:w="2338" w:type="dxa"/>
            <w:gridSpan w:val="2"/>
            <w:tcBorders>
              <w:tl2br w:val="nil"/>
              <w:tr2bl w:val="nil"/>
            </w:tcBorders>
            <w:vAlign w:val="center"/>
          </w:tcPr>
          <w:p w14:paraId="7CC3FF96" w14:textId="77777777" w:rsidR="00606029" w:rsidRDefault="00EA5B92">
            <w:pPr>
              <w:spacing w:line="280" w:lineRule="exact"/>
              <w:jc w:val="center"/>
            </w:pPr>
            <w:r>
              <w:t>预测结果</w:t>
            </w:r>
          </w:p>
        </w:tc>
        <w:tc>
          <w:tcPr>
            <w:tcW w:w="5520" w:type="dxa"/>
            <w:gridSpan w:val="5"/>
            <w:tcBorders>
              <w:tl2br w:val="nil"/>
              <w:tr2bl w:val="nil"/>
            </w:tcBorders>
            <w:vAlign w:val="center"/>
          </w:tcPr>
          <w:p w14:paraId="06311D53" w14:textId="77777777" w:rsidR="00606029" w:rsidRDefault="00EA5B92">
            <w:pPr>
              <w:spacing w:line="280" w:lineRule="exact"/>
              <w:jc w:val="center"/>
            </w:pPr>
            <w:r w:rsidRPr="00FA0FB4">
              <w:t>泄露挥发有害气体最大浓度预测浓度均小于</w:t>
            </w:r>
            <w:r w:rsidRPr="00FA0FB4">
              <w:t>1</w:t>
            </w:r>
            <w:r w:rsidRPr="00FA0FB4">
              <w:t>级大气毒性终点浓度</w:t>
            </w:r>
          </w:p>
        </w:tc>
      </w:tr>
      <w:tr w:rsidR="00606029" w14:paraId="2EE46AF2" w14:textId="77777777" w:rsidTr="00FA0FB4">
        <w:trPr>
          <w:trHeight w:val="340"/>
          <w:jc w:val="center"/>
        </w:trPr>
        <w:tc>
          <w:tcPr>
            <w:tcW w:w="259" w:type="dxa"/>
            <w:vMerge/>
            <w:tcBorders>
              <w:tl2br w:val="nil"/>
              <w:tr2bl w:val="nil"/>
            </w:tcBorders>
            <w:vAlign w:val="center"/>
          </w:tcPr>
          <w:p w14:paraId="6FC4F5EB" w14:textId="77777777" w:rsidR="00606029" w:rsidRDefault="00606029">
            <w:pPr>
              <w:spacing w:line="280" w:lineRule="exact"/>
              <w:jc w:val="center"/>
            </w:pPr>
          </w:p>
        </w:tc>
        <w:tc>
          <w:tcPr>
            <w:tcW w:w="667" w:type="dxa"/>
            <w:tcBorders>
              <w:tl2br w:val="nil"/>
              <w:tr2bl w:val="nil"/>
            </w:tcBorders>
            <w:vAlign w:val="center"/>
          </w:tcPr>
          <w:p w14:paraId="721B22D7" w14:textId="77777777" w:rsidR="00606029" w:rsidRDefault="00EA5B92">
            <w:pPr>
              <w:spacing w:line="280" w:lineRule="exact"/>
              <w:jc w:val="center"/>
            </w:pPr>
            <w:r>
              <w:t>地表水</w:t>
            </w:r>
          </w:p>
        </w:tc>
        <w:tc>
          <w:tcPr>
            <w:tcW w:w="7858" w:type="dxa"/>
            <w:gridSpan w:val="7"/>
            <w:tcBorders>
              <w:tl2br w:val="nil"/>
              <w:tr2bl w:val="nil"/>
            </w:tcBorders>
            <w:vAlign w:val="center"/>
          </w:tcPr>
          <w:p w14:paraId="161496A8" w14:textId="77777777" w:rsidR="00606029" w:rsidRDefault="00EA5B92">
            <w:pPr>
              <w:spacing w:line="280" w:lineRule="exact"/>
              <w:jc w:val="center"/>
            </w:pPr>
            <w:r>
              <w:t>最近环境敏感目标</w:t>
            </w:r>
            <w:r>
              <w:t xml:space="preserve"> / </w:t>
            </w:r>
            <w:r>
              <w:t>，到达时间</w:t>
            </w:r>
            <w:r>
              <w:tab/>
              <w:t>/</w:t>
            </w:r>
            <w:r>
              <w:tab/>
              <w:t>h</w:t>
            </w:r>
          </w:p>
        </w:tc>
      </w:tr>
      <w:tr w:rsidR="00606029" w14:paraId="58576C15" w14:textId="77777777" w:rsidTr="00FA0FB4">
        <w:trPr>
          <w:trHeight w:val="340"/>
          <w:jc w:val="center"/>
        </w:trPr>
        <w:tc>
          <w:tcPr>
            <w:tcW w:w="259" w:type="dxa"/>
            <w:vMerge/>
            <w:tcBorders>
              <w:tl2br w:val="nil"/>
              <w:tr2bl w:val="nil"/>
            </w:tcBorders>
            <w:vAlign w:val="center"/>
          </w:tcPr>
          <w:p w14:paraId="0BE79D6F" w14:textId="77777777" w:rsidR="00606029" w:rsidRDefault="00606029">
            <w:pPr>
              <w:spacing w:line="280" w:lineRule="exact"/>
              <w:jc w:val="center"/>
            </w:pPr>
          </w:p>
        </w:tc>
        <w:tc>
          <w:tcPr>
            <w:tcW w:w="667" w:type="dxa"/>
            <w:vMerge w:val="restart"/>
            <w:tcBorders>
              <w:tl2br w:val="nil"/>
              <w:tr2bl w:val="nil"/>
            </w:tcBorders>
            <w:vAlign w:val="center"/>
          </w:tcPr>
          <w:p w14:paraId="4F8F64CB" w14:textId="77777777" w:rsidR="00606029" w:rsidRDefault="00EA5B92">
            <w:pPr>
              <w:spacing w:line="280" w:lineRule="exact"/>
              <w:jc w:val="center"/>
            </w:pPr>
            <w:r>
              <w:t>地下水</w:t>
            </w:r>
          </w:p>
        </w:tc>
        <w:tc>
          <w:tcPr>
            <w:tcW w:w="7858" w:type="dxa"/>
            <w:gridSpan w:val="7"/>
            <w:tcBorders>
              <w:tl2br w:val="nil"/>
              <w:tr2bl w:val="nil"/>
            </w:tcBorders>
            <w:vAlign w:val="center"/>
          </w:tcPr>
          <w:p w14:paraId="4B1AA5CC" w14:textId="77777777" w:rsidR="00606029" w:rsidRDefault="00EA5B92">
            <w:pPr>
              <w:spacing w:line="280" w:lineRule="exact"/>
              <w:jc w:val="center"/>
            </w:pPr>
            <w:r>
              <w:t>下游园区边界到达时间</w:t>
            </w:r>
            <w:r>
              <w:t xml:space="preserve"> /  d</w:t>
            </w:r>
          </w:p>
        </w:tc>
      </w:tr>
      <w:tr w:rsidR="00606029" w14:paraId="00D6E6A0" w14:textId="77777777" w:rsidTr="00FA0FB4">
        <w:trPr>
          <w:trHeight w:val="340"/>
          <w:jc w:val="center"/>
        </w:trPr>
        <w:tc>
          <w:tcPr>
            <w:tcW w:w="259" w:type="dxa"/>
            <w:vMerge/>
            <w:tcBorders>
              <w:tl2br w:val="nil"/>
              <w:tr2bl w:val="nil"/>
            </w:tcBorders>
            <w:vAlign w:val="center"/>
          </w:tcPr>
          <w:p w14:paraId="2CDA4DD4" w14:textId="77777777" w:rsidR="00606029" w:rsidRDefault="00606029">
            <w:pPr>
              <w:spacing w:line="280" w:lineRule="exact"/>
              <w:jc w:val="center"/>
            </w:pPr>
          </w:p>
        </w:tc>
        <w:tc>
          <w:tcPr>
            <w:tcW w:w="667" w:type="dxa"/>
            <w:vMerge/>
            <w:tcBorders>
              <w:tl2br w:val="nil"/>
              <w:tr2bl w:val="nil"/>
            </w:tcBorders>
            <w:vAlign w:val="center"/>
          </w:tcPr>
          <w:p w14:paraId="4DE87C95" w14:textId="77777777" w:rsidR="00606029" w:rsidRDefault="00606029">
            <w:pPr>
              <w:spacing w:line="280" w:lineRule="exact"/>
              <w:jc w:val="center"/>
            </w:pPr>
          </w:p>
        </w:tc>
        <w:tc>
          <w:tcPr>
            <w:tcW w:w="7858" w:type="dxa"/>
            <w:gridSpan w:val="7"/>
            <w:tcBorders>
              <w:tl2br w:val="nil"/>
              <w:tr2bl w:val="nil"/>
            </w:tcBorders>
            <w:vAlign w:val="center"/>
          </w:tcPr>
          <w:p w14:paraId="6B002D4E" w14:textId="77777777" w:rsidR="00606029" w:rsidRDefault="00EA5B92">
            <w:pPr>
              <w:spacing w:line="280" w:lineRule="exact"/>
              <w:jc w:val="center"/>
            </w:pPr>
            <w:r>
              <w:t>最近环境敏感目标</w:t>
            </w:r>
            <w:r>
              <w:t xml:space="preserve"> / </w:t>
            </w:r>
            <w:r>
              <w:t>，到达时间</w:t>
            </w:r>
            <w:r>
              <w:t xml:space="preserve"> /</w:t>
            </w:r>
            <w:r>
              <w:tab/>
              <w:t>d</w:t>
            </w:r>
          </w:p>
        </w:tc>
      </w:tr>
      <w:tr w:rsidR="00606029" w14:paraId="1BEEB22A" w14:textId="77777777" w:rsidTr="00FA0FB4">
        <w:trPr>
          <w:trHeight w:val="340"/>
          <w:jc w:val="center"/>
        </w:trPr>
        <w:tc>
          <w:tcPr>
            <w:tcW w:w="926" w:type="dxa"/>
            <w:gridSpan w:val="2"/>
            <w:tcBorders>
              <w:tl2br w:val="nil"/>
              <w:tr2bl w:val="nil"/>
            </w:tcBorders>
            <w:vAlign w:val="center"/>
          </w:tcPr>
          <w:p w14:paraId="4F5A4125" w14:textId="77777777" w:rsidR="00606029" w:rsidRDefault="00EA5B92">
            <w:pPr>
              <w:spacing w:line="280" w:lineRule="exact"/>
              <w:jc w:val="center"/>
            </w:pPr>
            <w:r>
              <w:t>重点风险防范措施</w:t>
            </w:r>
          </w:p>
        </w:tc>
        <w:tc>
          <w:tcPr>
            <w:tcW w:w="7858" w:type="dxa"/>
            <w:gridSpan w:val="7"/>
            <w:tcBorders>
              <w:tl2br w:val="nil"/>
              <w:tr2bl w:val="nil"/>
            </w:tcBorders>
            <w:vAlign w:val="center"/>
          </w:tcPr>
          <w:p w14:paraId="54820B0C" w14:textId="77777777" w:rsidR="00606029" w:rsidRDefault="00EA5B92">
            <w:pPr>
              <w:spacing w:line="280" w:lineRule="exact"/>
              <w:jc w:val="center"/>
            </w:pPr>
            <w:r>
              <w:t>项目通过事故风险隐患排查、设置事故池以及针对潜在环境风险配备相应的应急物资储备来降低环境风险。建设单位应根据《企事业单位突发环境事件应急预案备案管理办法（试行）》（环发</w:t>
            </w:r>
            <w:r>
              <w:t xml:space="preserve">[2015]4 </w:t>
            </w:r>
            <w:r>
              <w:t>号）相关要求，编制突发环境事件应急预案并定期演练，明确预案的适用范围、突发环境事件的分类与分级、应急组织机构与职责、环境风险应急监控与预警、事故状态下的应急响应、各突发环境事件的风险防范与应急处置措施、善后处置、预案管理与演练以及预案修编要求等内容。</w:t>
            </w:r>
          </w:p>
        </w:tc>
      </w:tr>
      <w:tr w:rsidR="00606029" w14:paraId="75323D2B" w14:textId="77777777" w:rsidTr="00FA0FB4">
        <w:trPr>
          <w:trHeight w:val="340"/>
          <w:jc w:val="center"/>
        </w:trPr>
        <w:tc>
          <w:tcPr>
            <w:tcW w:w="926" w:type="dxa"/>
            <w:gridSpan w:val="2"/>
            <w:tcBorders>
              <w:tl2br w:val="nil"/>
              <w:tr2bl w:val="nil"/>
            </w:tcBorders>
            <w:vAlign w:val="center"/>
          </w:tcPr>
          <w:p w14:paraId="2F35B0D4" w14:textId="77777777" w:rsidR="00606029" w:rsidRDefault="00EA5B92">
            <w:pPr>
              <w:spacing w:line="280" w:lineRule="exact"/>
              <w:jc w:val="center"/>
            </w:pPr>
            <w:r>
              <w:t>评价结论</w:t>
            </w:r>
          </w:p>
          <w:p w14:paraId="39CD7801" w14:textId="77777777" w:rsidR="00606029" w:rsidRDefault="00EA5B92">
            <w:pPr>
              <w:spacing w:line="280" w:lineRule="exact"/>
              <w:jc w:val="center"/>
            </w:pPr>
            <w:r>
              <w:t>与建议</w:t>
            </w:r>
          </w:p>
        </w:tc>
        <w:tc>
          <w:tcPr>
            <w:tcW w:w="7858" w:type="dxa"/>
            <w:gridSpan w:val="7"/>
            <w:tcBorders>
              <w:tl2br w:val="nil"/>
              <w:tr2bl w:val="nil"/>
            </w:tcBorders>
            <w:vAlign w:val="center"/>
          </w:tcPr>
          <w:p w14:paraId="1A8180AD" w14:textId="77777777" w:rsidR="00606029" w:rsidRDefault="00EA5B92">
            <w:pPr>
              <w:spacing w:line="280" w:lineRule="exact"/>
              <w:jc w:val="center"/>
            </w:pPr>
            <w:r>
              <w:t>项目用到的危险化学品主要为硫酸、盐酸、等危险物质，环境风险事故主要为危险物质泄漏、危险物质泄漏并发生火灾、工艺废气事故排放、生产及事故废水事故排放等。在采取工程设计、安全评价以及环评建议的措施基础上，项目环境风险可控。</w:t>
            </w:r>
          </w:p>
        </w:tc>
      </w:tr>
      <w:tr w:rsidR="00606029" w14:paraId="70DF7505" w14:textId="77777777" w:rsidTr="00FA0FB4">
        <w:trPr>
          <w:trHeight w:val="340"/>
          <w:jc w:val="center"/>
        </w:trPr>
        <w:tc>
          <w:tcPr>
            <w:tcW w:w="8784" w:type="dxa"/>
            <w:gridSpan w:val="9"/>
            <w:tcBorders>
              <w:tl2br w:val="nil"/>
              <w:tr2bl w:val="nil"/>
            </w:tcBorders>
            <w:vAlign w:val="center"/>
          </w:tcPr>
          <w:p w14:paraId="23619009" w14:textId="67C7F301" w:rsidR="00606029" w:rsidRDefault="00EA5B92">
            <w:pPr>
              <w:spacing w:line="280" w:lineRule="exact"/>
              <w:jc w:val="center"/>
            </w:pPr>
            <w:r>
              <w:t>注</w:t>
            </w:r>
            <w:r w:rsidR="006A52CC">
              <w:t>：</w:t>
            </w:r>
            <w:r>
              <w:t>“□”</w:t>
            </w:r>
            <w:r>
              <w:t>为勾选项；</w:t>
            </w:r>
            <w:r>
              <w:t>“”</w:t>
            </w:r>
            <w:r>
              <w:t>为填写项</w:t>
            </w:r>
          </w:p>
        </w:tc>
      </w:tr>
    </w:tbl>
    <w:p w14:paraId="47993328" w14:textId="77777777" w:rsidR="00606029" w:rsidRDefault="00606029">
      <w:pPr>
        <w:pStyle w:val="Default"/>
        <w:spacing w:line="360" w:lineRule="auto"/>
        <w:ind w:firstLineChars="200" w:firstLine="480"/>
        <w:rPr>
          <w:rFonts w:ascii="Times New Roman" w:cs="Times New Roman"/>
          <w:color w:val="auto"/>
        </w:rPr>
        <w:sectPr w:rsidR="00606029" w:rsidSect="00EA5215">
          <w:headerReference w:type="default" r:id="rId145"/>
          <w:footerReference w:type="default" r:id="rId146"/>
          <w:pgSz w:w="11905" w:h="16838"/>
          <w:pgMar w:top="1417" w:right="1474" w:bottom="1417" w:left="1474" w:header="850" w:footer="850" w:gutter="113"/>
          <w:cols w:space="0"/>
          <w:docGrid w:linePitch="312"/>
        </w:sectPr>
      </w:pPr>
    </w:p>
    <w:p w14:paraId="5B4C6690" w14:textId="552D9B40" w:rsidR="00606029" w:rsidRDefault="00EA5B92">
      <w:pPr>
        <w:pStyle w:val="1"/>
        <w:jc w:val="center"/>
      </w:pPr>
      <w:bookmarkStart w:id="273" w:name="_Toc8133"/>
      <w:bookmarkStart w:id="274" w:name="_Toc17965"/>
      <w:bookmarkStart w:id="275" w:name="_Toc220680536"/>
      <w:r>
        <w:lastRenderedPageBreak/>
        <w:t>第</w:t>
      </w:r>
      <w:r w:rsidR="00B767A5">
        <w:rPr>
          <w:rFonts w:hint="eastAsia"/>
        </w:rPr>
        <w:t>七</w:t>
      </w:r>
      <w:r>
        <w:t>章</w:t>
      </w:r>
      <w:r>
        <w:t xml:space="preserve">  </w:t>
      </w:r>
      <w:r>
        <w:t>环境保护措施及其技术经济论证</w:t>
      </w:r>
      <w:bookmarkEnd w:id="273"/>
      <w:bookmarkEnd w:id="274"/>
      <w:bookmarkEnd w:id="275"/>
    </w:p>
    <w:p w14:paraId="1D0784C5" w14:textId="79B0B336" w:rsidR="00606029" w:rsidRDefault="00B767A5">
      <w:pPr>
        <w:pStyle w:val="2"/>
      </w:pPr>
      <w:bookmarkStart w:id="276" w:name="_Toc16868"/>
      <w:bookmarkStart w:id="277" w:name="_Toc2121"/>
      <w:bookmarkStart w:id="278" w:name="_Toc220680537"/>
      <w:r>
        <w:rPr>
          <w:rFonts w:hint="eastAsia"/>
        </w:rPr>
        <w:t>7</w:t>
      </w:r>
      <w:r w:rsidR="00EA5B92">
        <w:t>.1</w:t>
      </w:r>
      <w:r w:rsidR="00EA5B92">
        <w:t>施工期污染防治措施</w:t>
      </w:r>
      <w:bookmarkEnd w:id="276"/>
      <w:bookmarkEnd w:id="277"/>
      <w:bookmarkEnd w:id="278"/>
    </w:p>
    <w:p w14:paraId="447D46F8" w14:textId="2045AE7C" w:rsidR="00606029" w:rsidRDefault="00B767A5">
      <w:pPr>
        <w:pStyle w:val="3"/>
      </w:pPr>
      <w:bookmarkStart w:id="279" w:name="_Toc6519"/>
      <w:bookmarkStart w:id="280" w:name="_Toc220680538"/>
      <w:r>
        <w:rPr>
          <w:rFonts w:hint="eastAsia"/>
        </w:rPr>
        <w:t>7</w:t>
      </w:r>
      <w:r w:rsidR="00EA5B92">
        <w:t>.1.1</w:t>
      </w:r>
      <w:r w:rsidR="00EA5B92">
        <w:t>大气污染防治措施</w:t>
      </w:r>
      <w:bookmarkEnd w:id="279"/>
      <w:bookmarkEnd w:id="280"/>
    </w:p>
    <w:p w14:paraId="5402788E" w14:textId="7DD7CC3A" w:rsidR="0033617F" w:rsidRDefault="00EA5B92">
      <w:pPr>
        <w:pStyle w:val="affffff4"/>
      </w:pPr>
      <w:r>
        <w:t>施工期对空气环境的主要影响因子为</w:t>
      </w:r>
      <w:r w:rsidR="0033617F">
        <w:rPr>
          <w:rFonts w:hint="eastAsia"/>
        </w:rPr>
        <w:t>施工</w:t>
      </w:r>
      <w:r>
        <w:t>扬尘</w:t>
      </w:r>
      <w:r w:rsidR="0033617F">
        <w:rPr>
          <w:rFonts w:hint="eastAsia"/>
        </w:rPr>
        <w:t>和车辆尾气</w:t>
      </w:r>
      <w:r>
        <w:t>。</w:t>
      </w:r>
    </w:p>
    <w:p w14:paraId="151863ED" w14:textId="53E6B033" w:rsidR="00606029" w:rsidRDefault="00EA5B92">
      <w:pPr>
        <w:pStyle w:val="affffff4"/>
      </w:pPr>
      <w:r>
        <w:t>施工扬尘主要来自建筑材料的现场搬运、</w:t>
      </w:r>
      <w:r w:rsidR="00DA04C7">
        <w:rPr>
          <w:rFonts w:hint="eastAsia"/>
        </w:rPr>
        <w:t>建筑</w:t>
      </w:r>
      <w:r>
        <w:t>垃圾的清理、车辆运输等产生的动力扬尘。以及建材和</w:t>
      </w:r>
      <w:r w:rsidR="00DA04C7">
        <w:rPr>
          <w:rFonts w:hint="eastAsia"/>
        </w:rPr>
        <w:t>建筑</w:t>
      </w:r>
      <w:r>
        <w:t>垃圾的现场堆放产生风力扬尘。</w:t>
      </w:r>
    </w:p>
    <w:p w14:paraId="63BE27AE" w14:textId="77777777" w:rsidR="00606029" w:rsidRDefault="00EA5B92">
      <w:pPr>
        <w:pStyle w:val="affffff4"/>
      </w:pPr>
      <w:r>
        <w:t>（</w:t>
      </w:r>
      <w:r>
        <w:t>1</w:t>
      </w:r>
      <w:r>
        <w:t>）动力扬尘</w:t>
      </w:r>
    </w:p>
    <w:p w14:paraId="11051AFA" w14:textId="77777777" w:rsidR="00606029" w:rsidRDefault="00EA5B92">
      <w:pPr>
        <w:pStyle w:val="affffff4"/>
      </w:pPr>
      <w:r>
        <w:t>1</w:t>
      </w:r>
      <w:r>
        <w:t>）运送易产生扬尘的物料采取密闭运输；</w:t>
      </w:r>
    </w:p>
    <w:p w14:paraId="0BE8975B" w14:textId="77777777" w:rsidR="00606029" w:rsidRDefault="00EA5B92">
      <w:pPr>
        <w:pStyle w:val="affffff4"/>
      </w:pPr>
      <w:r>
        <w:t>2</w:t>
      </w:r>
      <w:r>
        <w:t>）汽车在含尘路面行驶时，采取限速行驶，尤其是进出施工场地的车辆限速在</w:t>
      </w:r>
      <w:r>
        <w:t>20km/h</w:t>
      </w:r>
      <w:r>
        <w:t>。</w:t>
      </w:r>
    </w:p>
    <w:p w14:paraId="750329D0" w14:textId="77777777" w:rsidR="00606029" w:rsidRDefault="00EA5B92">
      <w:pPr>
        <w:pStyle w:val="affffff4"/>
      </w:pPr>
      <w:r>
        <w:t>（</w:t>
      </w:r>
      <w:r>
        <w:t>2</w:t>
      </w:r>
      <w:r>
        <w:t>）风力扬尘</w:t>
      </w:r>
    </w:p>
    <w:p w14:paraId="156813C4" w14:textId="53454508" w:rsidR="00606029" w:rsidRDefault="00EA5B92">
      <w:pPr>
        <w:pStyle w:val="affffff4"/>
      </w:pPr>
      <w:r>
        <w:t>1</w:t>
      </w:r>
      <w:r>
        <w:t>）减少露天堆放</w:t>
      </w:r>
      <w:r w:rsidR="006A52CC">
        <w:t>：</w:t>
      </w:r>
      <w:r>
        <w:t>对于易起尘的施工建材应入库存放，以降低露天堆存的时间，由于施工条件的限制，实在需要露天堆存的施工材料，按照</w:t>
      </w:r>
      <w:r>
        <w:t>“</w:t>
      </w:r>
      <w:r>
        <w:t>用多少，堆多少</w:t>
      </w:r>
      <w:r>
        <w:t>”</w:t>
      </w:r>
      <w:r>
        <w:t>的原则；</w:t>
      </w:r>
    </w:p>
    <w:p w14:paraId="54CAFBC7" w14:textId="3669764A" w:rsidR="00606029" w:rsidRDefault="00EA5B92">
      <w:pPr>
        <w:pStyle w:val="affffff4"/>
      </w:pPr>
      <w:r>
        <w:t>2</w:t>
      </w:r>
      <w:r>
        <w:t>）对于露天堆场，设置</w:t>
      </w:r>
      <w:r w:rsidR="00DA04C7">
        <w:rPr>
          <w:rFonts w:hint="eastAsia"/>
        </w:rPr>
        <w:t>苫布</w:t>
      </w:r>
      <w:r>
        <w:t>等覆盖措施、必要时设置临时、移动性的围墙；</w:t>
      </w:r>
    </w:p>
    <w:p w14:paraId="0A29D644" w14:textId="77777777" w:rsidR="00606029" w:rsidRDefault="00EA5B92">
      <w:pPr>
        <w:pStyle w:val="affffff4"/>
      </w:pPr>
      <w:r>
        <w:t>3</w:t>
      </w:r>
      <w:r>
        <w:t>）保证堆场表面和裸露地面一定的含水率，尤其是有风、干燥时节，洒水抑尘措施，每天洒水</w:t>
      </w:r>
      <w:r>
        <w:t>4</w:t>
      </w:r>
      <w:r>
        <w:t>～</w:t>
      </w:r>
      <w:r>
        <w:t>5</w:t>
      </w:r>
      <w:r>
        <w:t>次，可以减少扬尘</w:t>
      </w:r>
      <w:r>
        <w:t>70%</w:t>
      </w:r>
      <w:r>
        <w:t>左右；</w:t>
      </w:r>
    </w:p>
    <w:p w14:paraId="020DA16F" w14:textId="77777777" w:rsidR="00606029" w:rsidRDefault="00EA5B92">
      <w:pPr>
        <w:pStyle w:val="affffff4"/>
      </w:pPr>
      <w:r>
        <w:t>4</w:t>
      </w:r>
      <w:r>
        <w:t>）遇四级以上的大风、连续干旱等天气，应减小施工量和降低施工强度，必要时停止施工。</w:t>
      </w:r>
    </w:p>
    <w:p w14:paraId="5FF6D1AD" w14:textId="00776F17" w:rsidR="00606029" w:rsidRDefault="00EA5B92">
      <w:pPr>
        <w:pStyle w:val="affffff4"/>
      </w:pPr>
      <w:r>
        <w:t>（</w:t>
      </w:r>
      <w:r>
        <w:t>3</w:t>
      </w:r>
      <w:r>
        <w:t>）</w:t>
      </w:r>
      <w:r w:rsidR="0033617F">
        <w:rPr>
          <w:rFonts w:hint="eastAsia"/>
        </w:rPr>
        <w:t>车辆</w:t>
      </w:r>
      <w:r w:rsidR="006F252C">
        <w:rPr>
          <w:rFonts w:hint="eastAsia"/>
        </w:rPr>
        <w:t>尾气</w:t>
      </w:r>
    </w:p>
    <w:p w14:paraId="1AD6B617" w14:textId="33271F32" w:rsidR="00606029" w:rsidRDefault="00D853D5">
      <w:pPr>
        <w:pStyle w:val="affffff4"/>
      </w:pPr>
      <w:r>
        <w:rPr>
          <w:rFonts w:hint="eastAsia"/>
        </w:rPr>
        <w:t>选用符合国家标准的机械设备，并加强</w:t>
      </w:r>
      <w:r w:rsidR="00EA5B92">
        <w:t>车辆维修保养，以减少</w:t>
      </w:r>
      <w:r w:rsidR="0033617F">
        <w:rPr>
          <w:rFonts w:hint="eastAsia"/>
        </w:rPr>
        <w:t>车辆</w:t>
      </w:r>
      <w:r w:rsidR="00EA5B92">
        <w:t>尾气排放。</w:t>
      </w:r>
    </w:p>
    <w:p w14:paraId="3A144B79" w14:textId="052B7E95" w:rsidR="00606029" w:rsidRDefault="00EA5B92">
      <w:pPr>
        <w:pStyle w:val="affffff4"/>
      </w:pPr>
      <w:r>
        <w:t>在采取上述措施后，施工期对大气环境的影响能得到有效的减缓，</w:t>
      </w:r>
      <w:r w:rsidR="00D853D5">
        <w:rPr>
          <w:rFonts w:hint="eastAsia"/>
        </w:rPr>
        <w:t>施工厂界</w:t>
      </w:r>
      <w:r>
        <w:t>可</w:t>
      </w:r>
      <w:r w:rsidR="00D853D5">
        <w:rPr>
          <w:rFonts w:hint="eastAsia"/>
        </w:rPr>
        <w:t>满足</w:t>
      </w:r>
      <w:r w:rsidR="00723F68">
        <w:t>《大气污染物综合排放标准》（</w:t>
      </w:r>
      <w:r w:rsidR="00723F68">
        <w:t>GB16297-1996</w:t>
      </w:r>
      <w:r w:rsidR="00723F68">
        <w:t>）</w:t>
      </w:r>
      <w:r w:rsidR="00723F68">
        <w:rPr>
          <w:rFonts w:hint="eastAsia"/>
        </w:rPr>
        <w:t>表</w:t>
      </w:r>
      <w:r w:rsidR="00723F68">
        <w:rPr>
          <w:rFonts w:hint="eastAsia"/>
        </w:rPr>
        <w:t>2</w:t>
      </w:r>
      <w:r>
        <w:t>标准限值。</w:t>
      </w:r>
    </w:p>
    <w:p w14:paraId="37A046DC" w14:textId="0F86E923" w:rsidR="00606029" w:rsidRDefault="00EA5B92">
      <w:pPr>
        <w:pStyle w:val="affffff4"/>
      </w:pPr>
      <w:r>
        <w:t>在采取这些防治措施后，工程施工扬尘量可消减约</w:t>
      </w:r>
      <w:r>
        <w:t>80%</w:t>
      </w:r>
      <w:r>
        <w:t>，其影响范围也可缩小至场界周边</w:t>
      </w:r>
      <w:r>
        <w:t>100m</w:t>
      </w:r>
      <w:r>
        <w:t>范围以内，</w:t>
      </w:r>
      <w:r w:rsidR="006F252C">
        <w:rPr>
          <w:rFonts w:hint="eastAsia"/>
        </w:rPr>
        <w:t>汽车尾气</w:t>
      </w:r>
      <w:r>
        <w:t>等污染物对施工人员的健康损害也会有所降低，对周边环境的影响也较小，措施可行。</w:t>
      </w:r>
    </w:p>
    <w:p w14:paraId="1ACB40F6" w14:textId="396A1207" w:rsidR="00606029" w:rsidRDefault="00B767A5">
      <w:pPr>
        <w:pStyle w:val="3"/>
      </w:pPr>
      <w:bookmarkStart w:id="281" w:name="_Toc220680539"/>
      <w:r>
        <w:rPr>
          <w:rFonts w:hint="eastAsia"/>
        </w:rPr>
        <w:t>7</w:t>
      </w:r>
      <w:r w:rsidR="00EA5B92">
        <w:t>.1.2</w:t>
      </w:r>
      <w:r w:rsidR="00EA5B92">
        <w:t>水污染防治措施</w:t>
      </w:r>
      <w:bookmarkEnd w:id="281"/>
    </w:p>
    <w:p w14:paraId="0287EB72" w14:textId="035A3CC0" w:rsidR="00606029" w:rsidRDefault="008C747B">
      <w:pPr>
        <w:pStyle w:val="affffff4"/>
      </w:pPr>
      <w:r>
        <w:rPr>
          <w:rFonts w:hint="eastAsia"/>
        </w:rPr>
        <w:t>施工期</w:t>
      </w:r>
      <w:r w:rsidR="00EA5B92">
        <w:t>水污染源主要为施工废水</w:t>
      </w:r>
      <w:r w:rsidR="00961DA1">
        <w:rPr>
          <w:rFonts w:hint="eastAsia"/>
        </w:rPr>
        <w:t>、</w:t>
      </w:r>
      <w:r w:rsidR="00EA5B92">
        <w:t>生活污水</w:t>
      </w:r>
      <w:r w:rsidR="00961DA1">
        <w:rPr>
          <w:rFonts w:hint="eastAsia"/>
        </w:rPr>
        <w:t>和残留渗滤液</w:t>
      </w:r>
      <w:r w:rsidR="00EA5B92">
        <w:t>。主要防治措施包括</w:t>
      </w:r>
      <w:r w:rsidR="006A52CC">
        <w:t>：</w:t>
      </w:r>
    </w:p>
    <w:p w14:paraId="3360323B" w14:textId="10590C0F" w:rsidR="00606029" w:rsidRDefault="00EA5B92" w:rsidP="000725F3">
      <w:pPr>
        <w:pStyle w:val="affffff4"/>
      </w:pPr>
      <w:r>
        <w:t>（</w:t>
      </w:r>
      <w:r>
        <w:t>1</w:t>
      </w:r>
      <w:r>
        <w:t>）</w:t>
      </w:r>
      <w:r w:rsidR="00136CF4" w:rsidRPr="00136CF4">
        <w:t>本项目施工废水为调节池清理后冲洗产生的冲洗废水，经管道进入渗滤液处理站处理后满足《生活垃圾填埋场污染控制标准》（</w:t>
      </w:r>
      <w:r w:rsidR="00136CF4" w:rsidRPr="00136CF4">
        <w:t>GB16889-2024</w:t>
      </w:r>
      <w:r w:rsidR="00136CF4" w:rsidRPr="00136CF4">
        <w:t>）表</w:t>
      </w:r>
      <w:r w:rsidR="00136CF4" w:rsidRPr="00136CF4">
        <w:t>4</w:t>
      </w:r>
      <w:r w:rsidR="00136CF4" w:rsidRPr="00136CF4">
        <w:t>要求和《城</w:t>
      </w:r>
      <w:r w:rsidR="00136CF4" w:rsidRPr="00136CF4">
        <w:lastRenderedPageBreak/>
        <w:t>市污水再生利用</w:t>
      </w:r>
      <w:r w:rsidR="00136CF4" w:rsidRPr="00136CF4">
        <w:t xml:space="preserve"> </w:t>
      </w:r>
      <w:r w:rsidR="00136CF4" w:rsidRPr="00136CF4">
        <w:t>工业用水水质》（</w:t>
      </w:r>
      <w:r w:rsidR="00136CF4" w:rsidRPr="00136CF4">
        <w:t>GB/T19923-2024</w:t>
      </w:r>
      <w:r w:rsidR="00136CF4" w:rsidRPr="00136CF4">
        <w:t>）表</w:t>
      </w:r>
      <w:r w:rsidR="00136CF4" w:rsidRPr="00136CF4">
        <w:t>1</w:t>
      </w:r>
      <w:r w:rsidR="00136CF4" w:rsidRPr="00136CF4">
        <w:t>间冷开式循环冷却水补充水标准后全部回用至厂区冷却塔补水，不外排。</w:t>
      </w:r>
    </w:p>
    <w:p w14:paraId="0C73D5A9" w14:textId="2C380BB3" w:rsidR="00606029" w:rsidRDefault="00EA5B92">
      <w:pPr>
        <w:pStyle w:val="affffff4"/>
      </w:pPr>
      <w:r>
        <w:t>（</w:t>
      </w:r>
      <w:r>
        <w:t>2</w:t>
      </w:r>
      <w:r>
        <w:t>）施工期施工人员的生活污水</w:t>
      </w:r>
      <w:r w:rsidR="008C747B">
        <w:rPr>
          <w:rFonts w:hint="eastAsia"/>
        </w:rPr>
        <w:t>排入厂区生活污水处理站</w:t>
      </w:r>
      <w:r>
        <w:t>，</w:t>
      </w:r>
      <w:r w:rsidR="006F252C">
        <w:rPr>
          <w:rFonts w:hint="eastAsia"/>
        </w:rPr>
        <w:t>再经</w:t>
      </w:r>
      <w:r w:rsidR="000725F3" w:rsidRPr="000725F3">
        <w:t>工业废水处理站的</w:t>
      </w:r>
      <w:r w:rsidR="000725F3" w:rsidRPr="000725F3">
        <w:t>“</w:t>
      </w:r>
      <w:r w:rsidR="000725F3" w:rsidRPr="000725F3">
        <w:t>超滤</w:t>
      </w:r>
      <w:r w:rsidR="000725F3" w:rsidRPr="000725F3">
        <w:t>+</w:t>
      </w:r>
      <w:r w:rsidR="000725F3" w:rsidRPr="000725F3">
        <w:t>反渗透</w:t>
      </w:r>
      <w:r w:rsidR="000725F3" w:rsidRPr="000725F3">
        <w:t>”</w:t>
      </w:r>
      <w:r w:rsidR="000725F3" w:rsidRPr="000725F3">
        <w:t>进行深度处理，处理后</w:t>
      </w:r>
      <w:r w:rsidR="006F252C" w:rsidRPr="006F252C">
        <w:t>满足《生活垃圾填埋场污染控制标准》（</w:t>
      </w:r>
      <w:r w:rsidR="006F252C" w:rsidRPr="006F252C">
        <w:t>GB16889-2024</w:t>
      </w:r>
      <w:r w:rsidR="006F252C" w:rsidRPr="006F252C">
        <w:t>）表</w:t>
      </w:r>
      <w:r w:rsidR="006F252C" w:rsidRPr="006F252C">
        <w:t>4</w:t>
      </w:r>
      <w:r w:rsidR="006F252C" w:rsidRPr="006F252C">
        <w:t>要求和《城市污水再生利用</w:t>
      </w:r>
      <w:r w:rsidR="006F252C" w:rsidRPr="006F252C">
        <w:t xml:space="preserve"> </w:t>
      </w:r>
      <w:r w:rsidR="006F252C" w:rsidRPr="006F252C">
        <w:t>工业用水水质》（</w:t>
      </w:r>
      <w:r w:rsidR="006F252C" w:rsidRPr="006F252C">
        <w:t>GB/T19923-2024</w:t>
      </w:r>
      <w:r w:rsidR="006F252C" w:rsidRPr="006F252C">
        <w:t>）表</w:t>
      </w:r>
      <w:r w:rsidR="006F252C" w:rsidRPr="006F252C">
        <w:t>1</w:t>
      </w:r>
      <w:r w:rsidR="006F252C" w:rsidRPr="006F252C">
        <w:t>间冷开式循环冷却水补充水标准后全部回用至厂区冷却塔补水，不外排</w:t>
      </w:r>
      <w:r w:rsidR="000725F3">
        <w:rPr>
          <w:rFonts w:hint="eastAsia"/>
        </w:rPr>
        <w:t>。</w:t>
      </w:r>
    </w:p>
    <w:p w14:paraId="24923BA2" w14:textId="6DA5619C" w:rsidR="00961DA1" w:rsidRDefault="00961DA1">
      <w:pPr>
        <w:pStyle w:val="affffff4"/>
      </w:pPr>
      <w:r>
        <w:rPr>
          <w:rFonts w:hint="eastAsia"/>
        </w:rPr>
        <w:t>（</w:t>
      </w:r>
      <w:r>
        <w:rPr>
          <w:rFonts w:hint="eastAsia"/>
        </w:rPr>
        <w:t>3</w:t>
      </w:r>
      <w:r>
        <w:rPr>
          <w:rFonts w:hint="eastAsia"/>
        </w:rPr>
        <w:t>）</w:t>
      </w:r>
      <w:r w:rsidRPr="00961DA1">
        <w:t>清除改建调节池内残留的渗滤液，经管道进入焚烧发电厂区渗滤液调节池，再经渗滤液处理站处理后满足《生活垃圾填埋场污染控制标准》（</w:t>
      </w:r>
      <w:r w:rsidRPr="00961DA1">
        <w:t>GB16889-2024</w:t>
      </w:r>
      <w:r w:rsidRPr="00961DA1">
        <w:t>）表</w:t>
      </w:r>
      <w:r w:rsidR="00505D6B">
        <w:rPr>
          <w:rFonts w:hint="eastAsia"/>
        </w:rPr>
        <w:t>4</w:t>
      </w:r>
      <w:r w:rsidRPr="00961DA1">
        <w:t>要求和《城市污水再生利用</w:t>
      </w:r>
      <w:r w:rsidRPr="00961DA1">
        <w:t xml:space="preserve"> </w:t>
      </w:r>
      <w:r w:rsidRPr="00961DA1">
        <w:t>工业用水水质》（</w:t>
      </w:r>
      <w:r w:rsidRPr="00961DA1">
        <w:t>GB/T19923-2024</w:t>
      </w:r>
      <w:r w:rsidRPr="00961DA1">
        <w:t>）</w:t>
      </w:r>
      <w:r w:rsidR="00F32134">
        <w:rPr>
          <w:rFonts w:hint="eastAsia"/>
        </w:rPr>
        <w:t>表</w:t>
      </w:r>
      <w:r w:rsidR="00F32134">
        <w:rPr>
          <w:rFonts w:hint="eastAsia"/>
        </w:rPr>
        <w:t>1</w:t>
      </w:r>
      <w:r w:rsidR="00535A47">
        <w:t>间冷开式循环冷却水补充水标准</w:t>
      </w:r>
      <w:r w:rsidRPr="00961DA1">
        <w:t>后全部回用至厂区冷却塔补水，不外排。</w:t>
      </w:r>
    </w:p>
    <w:p w14:paraId="52D85ECE" w14:textId="68D9EC43" w:rsidR="00606029" w:rsidRDefault="00EA5B92">
      <w:pPr>
        <w:pStyle w:val="affffff4"/>
      </w:pPr>
      <w:r>
        <w:t>由</w:t>
      </w:r>
      <w:r w:rsidR="000725F3">
        <w:rPr>
          <w:rFonts w:hint="eastAsia"/>
        </w:rPr>
        <w:t>上</w:t>
      </w:r>
      <w:r>
        <w:t>述分析可知，</w:t>
      </w:r>
      <w:r w:rsidR="000725F3">
        <w:rPr>
          <w:rFonts w:hint="eastAsia"/>
        </w:rPr>
        <w:t>施工期</w:t>
      </w:r>
      <w:r>
        <w:t>废水</w:t>
      </w:r>
      <w:r w:rsidR="000725F3">
        <w:rPr>
          <w:rFonts w:hint="eastAsia"/>
        </w:rPr>
        <w:t>均</w:t>
      </w:r>
      <w:r>
        <w:t>得到</w:t>
      </w:r>
      <w:r w:rsidR="00961DA1">
        <w:rPr>
          <w:rFonts w:hint="eastAsia"/>
        </w:rPr>
        <w:t>妥善处理</w:t>
      </w:r>
      <w:r>
        <w:t>，治理措施可行。</w:t>
      </w:r>
    </w:p>
    <w:p w14:paraId="51B9D755" w14:textId="4E3AAFAA" w:rsidR="00606029" w:rsidRDefault="00B767A5">
      <w:pPr>
        <w:pStyle w:val="3"/>
      </w:pPr>
      <w:bookmarkStart w:id="282" w:name="_Toc16815"/>
      <w:bookmarkStart w:id="283" w:name="_Toc220680540"/>
      <w:r>
        <w:rPr>
          <w:rFonts w:hint="eastAsia"/>
        </w:rPr>
        <w:t>7</w:t>
      </w:r>
      <w:r w:rsidR="00EA5B92">
        <w:t>.1.3</w:t>
      </w:r>
      <w:r w:rsidR="00EA5B92">
        <w:t>声环境污染防治措施</w:t>
      </w:r>
      <w:bookmarkEnd w:id="282"/>
      <w:bookmarkEnd w:id="283"/>
    </w:p>
    <w:p w14:paraId="6186B131" w14:textId="77777777" w:rsidR="00606029" w:rsidRDefault="00EA5B92">
      <w:pPr>
        <w:pStyle w:val="affffff4"/>
      </w:pPr>
      <w:r>
        <w:t>（</w:t>
      </w:r>
      <w:r>
        <w:t>1</w:t>
      </w:r>
      <w:r>
        <w:t>）加强噪声源头控制</w:t>
      </w:r>
    </w:p>
    <w:p w14:paraId="0748926D" w14:textId="77777777" w:rsidR="00606029" w:rsidRDefault="00EA5B92">
      <w:pPr>
        <w:pStyle w:val="affffff4"/>
      </w:pPr>
      <w:r>
        <w:t>选用低噪声施工设备，尽量将噪声源强降到最低；固定施工设备可通过排气管消声器和隔离发动机振动部件来降低噪声；对动力机械设备进行定期的维修维护，避免因部件松动或损坏而增加其噪声源强；暂不使用的设备及时关闭；运输车辆进入施工现场应减速并减少鸣笛。</w:t>
      </w:r>
    </w:p>
    <w:p w14:paraId="15668A56" w14:textId="3C63A455" w:rsidR="00606029" w:rsidRDefault="00EA5B92" w:rsidP="008C747B">
      <w:pPr>
        <w:pStyle w:val="affffff4"/>
      </w:pPr>
      <w:r>
        <w:t>（</w:t>
      </w:r>
      <w:r>
        <w:t>2</w:t>
      </w:r>
      <w:r>
        <w:t>）强噪声源远离敏感点</w:t>
      </w:r>
    </w:p>
    <w:p w14:paraId="19D5C802" w14:textId="77777777" w:rsidR="00606029" w:rsidRDefault="00EA5B92">
      <w:pPr>
        <w:pStyle w:val="affffff4"/>
      </w:pPr>
      <w:r>
        <w:t>在施工过程中，强噪声源应尽量远离本项目四周的居民点设置，减少噪声扰民现象的发生。</w:t>
      </w:r>
    </w:p>
    <w:p w14:paraId="5021808F" w14:textId="14F0D310" w:rsidR="00606029" w:rsidRDefault="00EA5B92">
      <w:pPr>
        <w:pStyle w:val="affffff4"/>
      </w:pPr>
      <w:r>
        <w:t>（</w:t>
      </w:r>
      <w:r w:rsidR="008C747B">
        <w:rPr>
          <w:rFonts w:hint="eastAsia"/>
        </w:rPr>
        <w:t>3</w:t>
      </w:r>
      <w:r>
        <w:t>）加强施工管理</w:t>
      </w:r>
    </w:p>
    <w:p w14:paraId="304DC431" w14:textId="2312C8F6" w:rsidR="00606029" w:rsidRDefault="00EA5B92">
      <w:pPr>
        <w:pStyle w:val="affffff4"/>
      </w:pPr>
      <w:r>
        <w:t>严格执行《建筑施工场界环境噪声排放标准》（</w:t>
      </w:r>
      <w:r w:rsidR="008C747B">
        <w:t>GB 12523-2025</w:t>
      </w:r>
      <w:r>
        <w:t>）的有关规定，特别是在晚上</w:t>
      </w:r>
      <w:r>
        <w:t>22:00</w:t>
      </w:r>
      <w:r>
        <w:t>时</w:t>
      </w:r>
      <w:r w:rsidR="008C747B">
        <w:rPr>
          <w:rFonts w:hint="eastAsia"/>
        </w:rPr>
        <w:t>~</w:t>
      </w:r>
      <w:r>
        <w:t>次日</w:t>
      </w:r>
      <w:r>
        <w:t>6:00</w:t>
      </w:r>
      <w:r>
        <w:t>时和中午</w:t>
      </w:r>
      <w:r>
        <w:t>12:00</w:t>
      </w:r>
      <w:r>
        <w:t>时</w:t>
      </w:r>
      <w:r w:rsidR="008C747B">
        <w:rPr>
          <w:rFonts w:hint="eastAsia"/>
        </w:rPr>
        <w:t>~</w:t>
      </w:r>
      <w:r>
        <w:t>14:</w:t>
      </w:r>
      <w:r w:rsidR="000E6341">
        <w:rPr>
          <w:rFonts w:hint="eastAsia"/>
        </w:rPr>
        <w:t>0</w:t>
      </w:r>
      <w:r>
        <w:t>0</w:t>
      </w:r>
      <w:r>
        <w:t>时，禁止使用强噪声设备，夜间禁止一切施工活动。施工前应进行公示，要求施工单位在现场张贴通告和投诉电话，建设单位在接到投诉电话后及时与当地环保部门联系，及时处理各种环境纠纷。</w:t>
      </w:r>
    </w:p>
    <w:p w14:paraId="207AE442" w14:textId="2086ACA1" w:rsidR="00961DA1" w:rsidRDefault="00961DA1">
      <w:pPr>
        <w:pStyle w:val="affffff4"/>
      </w:pPr>
      <w:r>
        <w:rPr>
          <w:rFonts w:hint="eastAsia"/>
        </w:rPr>
        <w:t>采取上述措施后，施工噪声对区域声环境影响不大，</w:t>
      </w:r>
      <w:r>
        <w:t>治理措施可行。</w:t>
      </w:r>
    </w:p>
    <w:p w14:paraId="326C6843" w14:textId="79FE5DDC" w:rsidR="00606029" w:rsidRDefault="00B767A5">
      <w:pPr>
        <w:pStyle w:val="3"/>
      </w:pPr>
      <w:bookmarkStart w:id="284" w:name="_Toc26724"/>
      <w:bookmarkStart w:id="285" w:name="_Toc220680541"/>
      <w:r>
        <w:rPr>
          <w:rFonts w:hint="eastAsia"/>
        </w:rPr>
        <w:t>7</w:t>
      </w:r>
      <w:r w:rsidR="00EA5B92">
        <w:t>.1.4</w:t>
      </w:r>
      <w:r w:rsidR="00EA5B92">
        <w:t>固体废物处置措施</w:t>
      </w:r>
      <w:bookmarkEnd w:id="284"/>
      <w:bookmarkEnd w:id="285"/>
    </w:p>
    <w:p w14:paraId="03E8B1BA" w14:textId="576049B1" w:rsidR="00606029" w:rsidRDefault="00EA5B92">
      <w:pPr>
        <w:pStyle w:val="affffff4"/>
      </w:pPr>
      <w:r>
        <w:t>本项目施工期产生的固体废物主要为施工人员生活垃圾、建筑垃圾</w:t>
      </w:r>
      <w:r w:rsidR="004642E4">
        <w:rPr>
          <w:rFonts w:hint="eastAsia"/>
        </w:rPr>
        <w:t>和污泥</w:t>
      </w:r>
      <w:r>
        <w:t>等，建采取以下的对策措施</w:t>
      </w:r>
      <w:r w:rsidR="006A52CC">
        <w:t>：</w:t>
      </w:r>
    </w:p>
    <w:p w14:paraId="10F6E8D1" w14:textId="4A94B449" w:rsidR="00606029" w:rsidRDefault="00EA5B92" w:rsidP="00821FC5">
      <w:pPr>
        <w:pStyle w:val="affffff4"/>
      </w:pPr>
      <w:r>
        <w:lastRenderedPageBreak/>
        <w:t>（</w:t>
      </w:r>
      <w:r>
        <w:t>1</w:t>
      </w:r>
      <w:r>
        <w:t>）</w:t>
      </w:r>
      <w:r w:rsidR="008C747B">
        <w:rPr>
          <w:rFonts w:hint="eastAsia"/>
        </w:rPr>
        <w:t>建筑垃圾及时清运至</w:t>
      </w:r>
      <w:r w:rsidR="00821FC5">
        <w:rPr>
          <w:rFonts w:hint="eastAsia"/>
        </w:rPr>
        <w:t>建筑垃圾调配场，</w:t>
      </w:r>
      <w:r w:rsidR="00821FC5" w:rsidRPr="00821FC5">
        <w:t>运送车辆，按照有关规定禁止超载防止散落。</w:t>
      </w:r>
    </w:p>
    <w:p w14:paraId="27491BF9" w14:textId="04676CDC" w:rsidR="00606029" w:rsidRDefault="00EA5B92" w:rsidP="00821FC5">
      <w:pPr>
        <w:pStyle w:val="affffff4"/>
      </w:pPr>
      <w:r>
        <w:t>（</w:t>
      </w:r>
      <w:r>
        <w:t>2</w:t>
      </w:r>
      <w:r>
        <w:t>）</w:t>
      </w:r>
      <w:r w:rsidR="00821FC5">
        <w:rPr>
          <w:rFonts w:hint="eastAsia"/>
        </w:rPr>
        <w:t>生活垃圾送厂区焚烧发电厂焚烧。</w:t>
      </w:r>
    </w:p>
    <w:p w14:paraId="1FD0408B" w14:textId="2EDD6DF7" w:rsidR="004642E4" w:rsidRDefault="004642E4" w:rsidP="00821FC5">
      <w:pPr>
        <w:pStyle w:val="affffff4"/>
      </w:pPr>
      <w:r>
        <w:rPr>
          <w:rFonts w:hint="eastAsia"/>
        </w:rPr>
        <w:t>（</w:t>
      </w:r>
      <w:r>
        <w:rPr>
          <w:rFonts w:hint="eastAsia"/>
        </w:rPr>
        <w:t>3</w:t>
      </w:r>
      <w:r>
        <w:rPr>
          <w:rFonts w:hint="eastAsia"/>
        </w:rPr>
        <w:t>）</w:t>
      </w:r>
      <w:r w:rsidRPr="004642E4">
        <w:t>清除改建调节池内残留污泥，清理后送</w:t>
      </w:r>
      <w:bookmarkStart w:id="286" w:name="OLE_LINK83"/>
      <w:r w:rsidR="00B31025">
        <w:rPr>
          <w:rFonts w:hint="eastAsia"/>
        </w:rPr>
        <w:t>污泥处理</w:t>
      </w:r>
      <w:r w:rsidRPr="004642E4">
        <w:t>车间焚烧处理</w:t>
      </w:r>
      <w:bookmarkEnd w:id="286"/>
      <w:r w:rsidRPr="004642E4">
        <w:t>。</w:t>
      </w:r>
    </w:p>
    <w:p w14:paraId="1261B410" w14:textId="24DD51FF" w:rsidR="004642E4" w:rsidRDefault="004642E4" w:rsidP="00821FC5">
      <w:pPr>
        <w:pStyle w:val="affffff4"/>
      </w:pPr>
      <w:r w:rsidRPr="004642E4">
        <w:t>采取上述措施后，</w:t>
      </w:r>
      <w:r>
        <w:rPr>
          <w:rFonts w:hint="eastAsia"/>
        </w:rPr>
        <w:t>施工期固废废物</w:t>
      </w:r>
      <w:r w:rsidRPr="004642E4">
        <w:t>对环境影响不大，治理措施可行。</w:t>
      </w:r>
    </w:p>
    <w:p w14:paraId="3AC2D901" w14:textId="45228CB8" w:rsidR="00606029" w:rsidRDefault="00B767A5">
      <w:pPr>
        <w:pStyle w:val="3"/>
      </w:pPr>
      <w:bookmarkStart w:id="287" w:name="_Toc22214"/>
      <w:bookmarkStart w:id="288" w:name="_Toc220680542"/>
      <w:r>
        <w:rPr>
          <w:rFonts w:hint="eastAsia"/>
        </w:rPr>
        <w:t>7</w:t>
      </w:r>
      <w:r w:rsidR="00EA5B92">
        <w:t>.1.5</w:t>
      </w:r>
      <w:r w:rsidR="00EA5B92">
        <w:t>生态环境保护措施</w:t>
      </w:r>
      <w:bookmarkEnd w:id="287"/>
      <w:bookmarkEnd w:id="288"/>
    </w:p>
    <w:p w14:paraId="234ECEBB" w14:textId="49D1E22C" w:rsidR="00821FC5" w:rsidRDefault="00821FC5" w:rsidP="00821FC5">
      <w:pPr>
        <w:pStyle w:val="affffff4"/>
      </w:pPr>
      <w:r>
        <w:rPr>
          <w:rFonts w:hint="eastAsia"/>
        </w:rPr>
        <w:t>（</w:t>
      </w:r>
      <w:r>
        <w:rPr>
          <w:rFonts w:hint="eastAsia"/>
        </w:rPr>
        <w:t>1</w:t>
      </w:r>
      <w:r>
        <w:rPr>
          <w:rFonts w:hint="eastAsia"/>
        </w:rPr>
        <w:t>）施工过程中，加强施工队伍的组织与管理，严格禁止乱砍草木和乱毁作物，避免发生施工区外围植被破坏。</w:t>
      </w:r>
    </w:p>
    <w:p w14:paraId="215D8E96" w14:textId="5478A6E6" w:rsidR="00821FC5" w:rsidRDefault="00821FC5" w:rsidP="00821FC5">
      <w:pPr>
        <w:pStyle w:val="affffff4"/>
      </w:pPr>
      <w:r>
        <w:rPr>
          <w:rFonts w:hint="eastAsia"/>
        </w:rPr>
        <w:t>（</w:t>
      </w:r>
      <w:r>
        <w:rPr>
          <w:rFonts w:hint="eastAsia"/>
        </w:rPr>
        <w:t>2</w:t>
      </w:r>
      <w:r>
        <w:rPr>
          <w:rFonts w:hint="eastAsia"/>
        </w:rPr>
        <w:t>）强化对用地及其周边生态的保护，施工期采取如洒水、覆盖及隔离等措施减缓扬尘及水土流失对周边生态的影响。</w:t>
      </w:r>
    </w:p>
    <w:p w14:paraId="1D33E23E" w14:textId="42440867" w:rsidR="00821FC5" w:rsidRDefault="00821FC5" w:rsidP="00821FC5">
      <w:pPr>
        <w:pStyle w:val="affffff4"/>
      </w:pPr>
      <w:r>
        <w:rPr>
          <w:rFonts w:hint="eastAsia"/>
        </w:rPr>
        <w:t>（</w:t>
      </w:r>
      <w:r>
        <w:rPr>
          <w:rFonts w:hint="eastAsia"/>
        </w:rPr>
        <w:t>3</w:t>
      </w:r>
      <w:r>
        <w:rPr>
          <w:rFonts w:hint="eastAsia"/>
        </w:rPr>
        <w:t>）制定合理的施工计划，减少对周边生态环境的破坏和不良影响。</w:t>
      </w:r>
    </w:p>
    <w:p w14:paraId="7C43F53D" w14:textId="60886284" w:rsidR="00821FC5" w:rsidRDefault="00821FC5" w:rsidP="00956428">
      <w:pPr>
        <w:pStyle w:val="affffff4"/>
      </w:pPr>
      <w:r>
        <w:rPr>
          <w:rFonts w:hint="eastAsia"/>
        </w:rPr>
        <w:t>（</w:t>
      </w:r>
      <w:r>
        <w:rPr>
          <w:rFonts w:hint="eastAsia"/>
        </w:rPr>
        <w:t>4</w:t>
      </w:r>
      <w:r>
        <w:rPr>
          <w:rFonts w:hint="eastAsia"/>
        </w:rPr>
        <w:t>）</w:t>
      </w:r>
      <w:r w:rsidR="00F16396">
        <w:rPr>
          <w:rFonts w:hint="eastAsia"/>
        </w:rPr>
        <w:t>施工</w:t>
      </w:r>
      <w:r>
        <w:rPr>
          <w:rFonts w:hint="eastAsia"/>
        </w:rPr>
        <w:t>过程中尽可能减少人为干扰，在维持生态系统的原生状态，使区域的景观保持较好的稳定原始性。</w:t>
      </w:r>
    </w:p>
    <w:p w14:paraId="0C651799" w14:textId="3320615D" w:rsidR="00606029" w:rsidRDefault="00EA5B92" w:rsidP="00821FC5">
      <w:pPr>
        <w:pStyle w:val="affffff4"/>
      </w:pPr>
      <w:r>
        <w:t>总之，在施工期间，只要建设单位认真落实实施上述各项环保措施得到，本施工期对环境造成的各种影响将得到有效的控制。</w:t>
      </w:r>
    </w:p>
    <w:p w14:paraId="1D46EEA6" w14:textId="7A399548" w:rsidR="00606029" w:rsidRDefault="00B767A5">
      <w:pPr>
        <w:pStyle w:val="2"/>
      </w:pPr>
      <w:bookmarkStart w:id="289" w:name="_Toc22418"/>
      <w:bookmarkStart w:id="290" w:name="_Toc25720"/>
      <w:bookmarkStart w:id="291" w:name="_Toc220680543"/>
      <w:r>
        <w:rPr>
          <w:rFonts w:hint="eastAsia"/>
        </w:rPr>
        <w:t>7</w:t>
      </w:r>
      <w:r w:rsidR="00EA5B92">
        <w:t>.2</w:t>
      </w:r>
      <w:r w:rsidR="00C40CEF">
        <w:t>运营期</w:t>
      </w:r>
      <w:r w:rsidR="00EA5B92">
        <w:t>污染防治措施</w:t>
      </w:r>
      <w:bookmarkEnd w:id="289"/>
      <w:bookmarkEnd w:id="290"/>
      <w:bookmarkEnd w:id="291"/>
    </w:p>
    <w:p w14:paraId="453E1445" w14:textId="273AB0CF" w:rsidR="00606029" w:rsidRDefault="00B767A5">
      <w:pPr>
        <w:pStyle w:val="3"/>
      </w:pPr>
      <w:bookmarkStart w:id="292" w:name="_Toc220680544"/>
      <w:r>
        <w:rPr>
          <w:rFonts w:hint="eastAsia"/>
        </w:rPr>
        <w:t>7</w:t>
      </w:r>
      <w:r w:rsidR="00EA5B92">
        <w:t>.2.1</w:t>
      </w:r>
      <w:r w:rsidR="00EA5B92">
        <w:t>废气污染防治措施及可行性分析</w:t>
      </w:r>
      <w:bookmarkEnd w:id="292"/>
    </w:p>
    <w:p w14:paraId="037CCB9A" w14:textId="5C9280F9" w:rsidR="00606029" w:rsidRDefault="00F16396">
      <w:pPr>
        <w:pStyle w:val="affffff4"/>
      </w:pPr>
      <w:bookmarkStart w:id="293" w:name="OLE_LINK58"/>
      <w:r>
        <w:rPr>
          <w:rFonts w:hint="eastAsia"/>
        </w:rPr>
        <w:t>（</w:t>
      </w:r>
      <w:r>
        <w:rPr>
          <w:rFonts w:hint="eastAsia"/>
        </w:rPr>
        <w:t>1</w:t>
      </w:r>
      <w:r>
        <w:rPr>
          <w:rFonts w:hint="eastAsia"/>
        </w:rPr>
        <w:t>）</w:t>
      </w:r>
      <w:r w:rsidR="00EA5B92">
        <w:t>文明作业，稳定化后飞灰采用</w:t>
      </w:r>
      <w:bookmarkStart w:id="294" w:name="OLE_LINK69"/>
      <w:r w:rsidR="00EA5B92">
        <w:t>吨袋包装</w:t>
      </w:r>
      <w:bookmarkEnd w:id="294"/>
      <w:r w:rsidR="00EA5B92">
        <w:t>，不裸露于空气中，采取每日覆盖和中间覆盖的填埋模式，从源头减少粉尘产生。</w:t>
      </w:r>
    </w:p>
    <w:bookmarkEnd w:id="293"/>
    <w:p w14:paraId="659B88F7" w14:textId="376ED38E" w:rsidR="00606029" w:rsidRDefault="00F16396">
      <w:pPr>
        <w:pStyle w:val="affffff4"/>
      </w:pPr>
      <w:r>
        <w:rPr>
          <w:rFonts w:hint="eastAsia"/>
        </w:rPr>
        <w:t>（</w:t>
      </w:r>
      <w:r>
        <w:rPr>
          <w:rFonts w:hint="eastAsia"/>
        </w:rPr>
        <w:t>2</w:t>
      </w:r>
      <w:r>
        <w:rPr>
          <w:rFonts w:hint="eastAsia"/>
        </w:rPr>
        <w:t>）</w:t>
      </w:r>
      <w:r w:rsidR="00EA5B92">
        <w:t>飞灰填埋场应分区、分单元进行填埋作业；填埋作业时应减少暴露面积，缩短暴露时间；飞灰进场后应于当日完成码放、覆盖、压实工作；每日填埋作业结束后，应对全部作业面进行覆盖；特殊气象条件下应加强对作业面的覆盖；填埋场填埋作业达到设计容量后，应及时进行封场覆盖。</w:t>
      </w:r>
    </w:p>
    <w:p w14:paraId="1BEE3C77" w14:textId="1D88FCC1" w:rsidR="00606029" w:rsidRDefault="00F16396">
      <w:pPr>
        <w:pStyle w:val="affffff4"/>
      </w:pPr>
      <w:r>
        <w:rPr>
          <w:rFonts w:hint="eastAsia"/>
        </w:rPr>
        <w:t>（</w:t>
      </w:r>
      <w:r>
        <w:rPr>
          <w:rFonts w:hint="eastAsia"/>
        </w:rPr>
        <w:t>3</w:t>
      </w:r>
      <w:r>
        <w:rPr>
          <w:rFonts w:hint="eastAsia"/>
        </w:rPr>
        <w:t>）</w:t>
      </w:r>
      <w:r w:rsidR="00956428">
        <w:t>起重机</w:t>
      </w:r>
      <w:r w:rsidR="00EA5B92">
        <w:t>起吊吨袋从填埋库区开始填埋作业，作业区的飞灰裸露时间不能超过</w:t>
      </w:r>
      <w:r w:rsidR="00EA5B92">
        <w:t>24</w:t>
      </w:r>
      <w:r w:rsidR="00EA5B92">
        <w:t>小时，每天填埋作业完成后，应及时进行日覆盖。日覆盖采用</w:t>
      </w:r>
      <w:r w:rsidR="00EA5B92">
        <w:t>1mmHDPE</w:t>
      </w:r>
      <w:r w:rsidR="00EA5B92">
        <w:t>膜进行覆盖，以节省填埋库容。</w:t>
      </w:r>
    </w:p>
    <w:p w14:paraId="1D925768" w14:textId="7A44715D" w:rsidR="00606029" w:rsidRDefault="00F16396">
      <w:pPr>
        <w:pStyle w:val="affffff4"/>
      </w:pPr>
      <w:r>
        <w:rPr>
          <w:rFonts w:hint="eastAsia"/>
        </w:rPr>
        <w:t>（</w:t>
      </w:r>
      <w:r>
        <w:rPr>
          <w:rFonts w:hint="eastAsia"/>
        </w:rPr>
        <w:t>4</w:t>
      </w:r>
      <w:r>
        <w:rPr>
          <w:rFonts w:hint="eastAsia"/>
        </w:rPr>
        <w:t>）</w:t>
      </w:r>
      <w:r w:rsidR="00EA5B92">
        <w:t>每日填埋作业结束后，使用</w:t>
      </w:r>
      <w:r w:rsidR="00EA5B92">
        <w:t>1mm</w:t>
      </w:r>
      <w:r w:rsidR="00EA5B92">
        <w:t>厚</w:t>
      </w:r>
      <w:r w:rsidR="00EA5B92">
        <w:t>HDPE</w:t>
      </w:r>
      <w:r w:rsidR="00EA5B92">
        <w:t>膜进行覆盖。对达到填埋层标高，暂不进行填埋作业的区域进行中间覆盖，中间覆盖采用</w:t>
      </w:r>
      <w:r w:rsidR="00EA5B92">
        <w:t>1mm</w:t>
      </w:r>
      <w:r w:rsidR="00EA5B92">
        <w:t>厚</w:t>
      </w:r>
      <w:r w:rsidR="00EA5B92">
        <w:t>HDPE</w:t>
      </w:r>
      <w:r w:rsidR="00EA5B92">
        <w:t>膜。</w:t>
      </w:r>
    </w:p>
    <w:p w14:paraId="122FF0C6" w14:textId="375CC776" w:rsidR="00606029" w:rsidRDefault="00EA5B92">
      <w:pPr>
        <w:pStyle w:val="affffff4"/>
      </w:pPr>
      <w:r>
        <w:t>综上所述，项目</w:t>
      </w:r>
      <w:r>
        <w:rPr>
          <w:szCs w:val="24"/>
        </w:rPr>
        <w:t>运营期颗粒物排放能达到《大气污染物综合排放标准》（</w:t>
      </w:r>
      <w:r>
        <w:rPr>
          <w:szCs w:val="24"/>
        </w:rPr>
        <w:t>GB16297-</w:t>
      </w:r>
      <w:r>
        <w:rPr>
          <w:szCs w:val="24"/>
        </w:rPr>
        <w:lastRenderedPageBreak/>
        <w:t>1996</w:t>
      </w:r>
      <w:r>
        <w:rPr>
          <w:szCs w:val="24"/>
        </w:rPr>
        <w:t>）中表</w:t>
      </w:r>
      <w:r>
        <w:rPr>
          <w:szCs w:val="24"/>
        </w:rPr>
        <w:t>2</w:t>
      </w:r>
      <w:r>
        <w:rPr>
          <w:szCs w:val="24"/>
        </w:rPr>
        <w:t>无组织排放限值</w:t>
      </w:r>
      <w:r w:rsidR="00F16396">
        <w:rPr>
          <w:rFonts w:hint="eastAsia"/>
          <w:szCs w:val="24"/>
        </w:rPr>
        <w:t>要求，</w:t>
      </w:r>
      <w:r w:rsidR="00F16396">
        <w:t>废气经采取上述措施处理后对周围大气环境影响可接受。</w:t>
      </w:r>
    </w:p>
    <w:p w14:paraId="5434940D" w14:textId="09057F39" w:rsidR="00606029" w:rsidRDefault="00B767A5">
      <w:pPr>
        <w:pStyle w:val="3"/>
      </w:pPr>
      <w:bookmarkStart w:id="295" w:name="_Toc220680545"/>
      <w:r>
        <w:rPr>
          <w:rFonts w:hint="eastAsia"/>
        </w:rPr>
        <w:t>7</w:t>
      </w:r>
      <w:r w:rsidR="00EA5B92">
        <w:t>.2.2</w:t>
      </w:r>
      <w:r w:rsidR="00EA5B92">
        <w:t>废水污染防治措施可行性论证</w:t>
      </w:r>
      <w:bookmarkEnd w:id="295"/>
    </w:p>
    <w:p w14:paraId="00209270" w14:textId="7E49B749" w:rsidR="00606029" w:rsidRDefault="00B767A5">
      <w:pPr>
        <w:pStyle w:val="4"/>
      </w:pPr>
      <w:r>
        <w:rPr>
          <w:rFonts w:hint="eastAsia"/>
        </w:rPr>
        <w:t>7</w:t>
      </w:r>
      <w:r w:rsidR="00EA5B92">
        <w:t>.2.2.1</w:t>
      </w:r>
      <w:r w:rsidR="00EA5B92">
        <w:t>淋溶水减少产生措施</w:t>
      </w:r>
    </w:p>
    <w:p w14:paraId="7C9E92BF" w14:textId="18BCA66D" w:rsidR="00606029" w:rsidRDefault="00EA5B92">
      <w:pPr>
        <w:pStyle w:val="affffff4"/>
      </w:pPr>
      <w:r>
        <w:t>由于淋溶水主要来自大气降水，在项目初步设计中主要通过以下两个方面降低淋溶水的产生量</w:t>
      </w:r>
      <w:r w:rsidR="006A52CC">
        <w:t>：</w:t>
      </w:r>
    </w:p>
    <w:p w14:paraId="6A70B534" w14:textId="77777777" w:rsidR="00606029" w:rsidRDefault="00EA5B92">
      <w:pPr>
        <w:pStyle w:val="affffff4"/>
      </w:pPr>
      <w:r>
        <w:t>1</w:t>
      </w:r>
      <w:r>
        <w:t>、设计阶段</w:t>
      </w:r>
    </w:p>
    <w:p w14:paraId="00E471DF" w14:textId="2542398B" w:rsidR="00606029" w:rsidRDefault="00EA5B92">
      <w:pPr>
        <w:pStyle w:val="affffff4"/>
      </w:pPr>
      <w:r>
        <w:t>（</w:t>
      </w:r>
      <w:r>
        <w:t>1</w:t>
      </w:r>
      <w:r>
        <w:t>）</w:t>
      </w:r>
      <w:r w:rsidR="00956428">
        <w:rPr>
          <w:rFonts w:hint="eastAsia"/>
        </w:rPr>
        <w:t>填埋区</w:t>
      </w:r>
      <w:r>
        <w:t>排水系统设计</w:t>
      </w:r>
    </w:p>
    <w:p w14:paraId="56F133A7" w14:textId="1F88EB15" w:rsidR="00606029" w:rsidRDefault="00956428">
      <w:pPr>
        <w:pStyle w:val="affffff4"/>
      </w:pPr>
      <w:r>
        <w:rPr>
          <w:rFonts w:hint="eastAsia"/>
        </w:rPr>
        <w:t>填埋区</w:t>
      </w:r>
      <w:r w:rsidR="00EA5B92">
        <w:t>排水系统的主要作用是最大限度将降水形成的径流或地表水拦截在场外或引出场外，防止其进入堆体转化成淋溶水。</w:t>
      </w:r>
    </w:p>
    <w:p w14:paraId="7E577DFC" w14:textId="77777777" w:rsidR="00606029" w:rsidRDefault="00EA5B92">
      <w:pPr>
        <w:pStyle w:val="affffff4"/>
      </w:pPr>
      <w:r>
        <w:t>①</w:t>
      </w:r>
      <w:r>
        <w:t>库边截洪沟</w:t>
      </w:r>
    </w:p>
    <w:p w14:paraId="7D891C90" w14:textId="34EE0F86" w:rsidR="00606029" w:rsidRDefault="00EA5B92">
      <w:pPr>
        <w:pStyle w:val="affffff4"/>
      </w:pPr>
      <w:r>
        <w:t>在填埋场周边依据地形设置截洪沟，拦截外部径流进入填埋库区。</w:t>
      </w:r>
      <w:r w:rsidR="00FF4F95" w:rsidRPr="00FF4F95">
        <w:t>场外截洪沟，设置在调节池顶边缘，拦截流向</w:t>
      </w:r>
      <w:r w:rsidR="00FF4F95">
        <w:rPr>
          <w:rFonts w:hint="eastAsia"/>
        </w:rPr>
        <w:t>飞灰填埋</w:t>
      </w:r>
      <w:r w:rsidR="00FF4F95" w:rsidRPr="00A91859">
        <w:t>区</w:t>
      </w:r>
      <w:r w:rsidR="00FF4F95" w:rsidRPr="00FF4F95">
        <w:t>的地表径流和道路雨水，将其直接排入下游自然水系，严禁让这部分水流入填埋作业区。</w:t>
      </w:r>
    </w:p>
    <w:p w14:paraId="1019AF6F" w14:textId="77777777" w:rsidR="00606029" w:rsidRDefault="00EA5B92">
      <w:pPr>
        <w:pStyle w:val="affffff4"/>
      </w:pPr>
      <w:r>
        <w:t>②</w:t>
      </w:r>
      <w:r>
        <w:t>库内排水设施</w:t>
      </w:r>
    </w:p>
    <w:p w14:paraId="446BF730" w14:textId="51F5948A" w:rsidR="00606029" w:rsidRDefault="00EA5B92" w:rsidP="00FF4F95">
      <w:pPr>
        <w:pStyle w:val="affffff4"/>
      </w:pPr>
      <w:r>
        <w:t>根据填埋场作业区域的划分和填埋区的深度，可在填埋场使用初期未填埋区域和高度上设置临时排水沟将未受垃圾污染的雨水分离出来，以减少初期淋溶水的产生量；对于已完成填埋并最终封场的区域，应在斜坡坡底处设置雨水沟，最大限度减少进入堆体的地表水量，从而减少淋溶水的产生量。</w:t>
      </w:r>
    </w:p>
    <w:p w14:paraId="7CF6B94F" w14:textId="77777777" w:rsidR="00606029" w:rsidRDefault="00EA5B92">
      <w:pPr>
        <w:pStyle w:val="affffff4"/>
      </w:pPr>
      <w:r>
        <w:t>（</w:t>
      </w:r>
      <w:r>
        <w:t>2</w:t>
      </w:r>
      <w:r>
        <w:t>）堆体覆盖</w:t>
      </w:r>
    </w:p>
    <w:p w14:paraId="203019D7" w14:textId="6829B2CC" w:rsidR="00606029" w:rsidRDefault="00EA5B92">
      <w:pPr>
        <w:pStyle w:val="affffff4"/>
      </w:pPr>
      <w:r>
        <w:t>①</w:t>
      </w:r>
      <w:r>
        <w:t>合理划分填埋作业区域。除了按当日填埋当日覆盖的原则划分填埋单元外，应使填埋作业区域尽快达到可最终覆盖条件。随着填埋作业的进行，最终覆盖工作也随之开始。</w:t>
      </w:r>
    </w:p>
    <w:p w14:paraId="705C169C" w14:textId="77777777" w:rsidR="00606029" w:rsidRDefault="00EA5B92">
      <w:pPr>
        <w:pStyle w:val="affffff4"/>
      </w:pPr>
      <w:r>
        <w:t>②</w:t>
      </w:r>
      <w:r>
        <w:t>及时进行最终覆盖可以减少圾填埋堆体的受水面积，从而减少淋溶水的产生量。</w:t>
      </w:r>
    </w:p>
    <w:p w14:paraId="17DC3FC8" w14:textId="77777777" w:rsidR="00606029" w:rsidRDefault="00EA5B92">
      <w:pPr>
        <w:pStyle w:val="affffff4"/>
      </w:pPr>
      <w:r>
        <w:t>2</w:t>
      </w:r>
      <w:r>
        <w:t>、运行阶段</w:t>
      </w:r>
    </w:p>
    <w:p w14:paraId="77879EB7" w14:textId="77777777" w:rsidR="00606029" w:rsidRDefault="00EA5B92">
      <w:pPr>
        <w:pStyle w:val="affffff4"/>
      </w:pPr>
      <w:r>
        <w:t>填埋应采用分单元作业。填埋作业时，应根据每天的填埋量尽量减小填埋单元，不进行作业的区域应做好雨水临时导排措施，每天应及时用薄膜遮盖，最大限度减少进入堆体的雨水量。对于满足封场条件的区域应及时封场，避免雨水渗入导致淋溶水的产生量增加。</w:t>
      </w:r>
    </w:p>
    <w:p w14:paraId="28E0C220" w14:textId="77777777" w:rsidR="00606029" w:rsidRDefault="00EA5B92">
      <w:pPr>
        <w:pStyle w:val="4"/>
      </w:pPr>
      <w:r>
        <w:lastRenderedPageBreak/>
        <w:t>8.2.2.2</w:t>
      </w:r>
      <w:r>
        <w:t>淋溶水导排、收集及依托处理措施</w:t>
      </w:r>
    </w:p>
    <w:p w14:paraId="52B2812E" w14:textId="22BD3977" w:rsidR="00606029" w:rsidRDefault="00EA5B92">
      <w:pPr>
        <w:pStyle w:val="affffff4"/>
      </w:pPr>
      <w:r>
        <w:t>填埋区淋溶水产生量主要受直接进入填埋库区与填埋物接触的降雨量影响，综合区域自然状况、水处理技术及经济承受能力等方面因素，对淋溶水进行导排、收集和预处理系统拟采取以下工程措施</w:t>
      </w:r>
      <w:r w:rsidR="006A52CC">
        <w:t>：</w:t>
      </w:r>
    </w:p>
    <w:p w14:paraId="2512A7FD" w14:textId="77777777" w:rsidR="00606029" w:rsidRDefault="00EA5B92">
      <w:pPr>
        <w:pStyle w:val="affffff4"/>
      </w:pPr>
      <w:r>
        <w:t>①</w:t>
      </w:r>
      <w:r>
        <w:t>为防止洪雨水进入库区，对填埋场设环库型截排洪沟以减少填埋场运营过程淋溶水产生量。</w:t>
      </w:r>
    </w:p>
    <w:p w14:paraId="57C36C6D" w14:textId="224C0ACB" w:rsidR="00606029" w:rsidRDefault="00EA5B92">
      <w:pPr>
        <w:pStyle w:val="affffff4"/>
        <w:rPr>
          <w:color w:val="auto"/>
          <w:szCs w:val="24"/>
        </w:rPr>
      </w:pPr>
      <w:r>
        <w:t>②</w:t>
      </w:r>
      <w:r w:rsidR="003D404F">
        <w:rPr>
          <w:rFonts w:hint="eastAsia"/>
        </w:rPr>
        <w:t>本</w:t>
      </w:r>
      <w:r>
        <w:t>项目</w:t>
      </w:r>
      <w:r>
        <w:rPr>
          <w:color w:val="auto"/>
          <w:szCs w:val="24"/>
        </w:rPr>
        <w:t>淋溶水产生量较小，收集后进入</w:t>
      </w:r>
      <w:r w:rsidR="003D404F">
        <w:rPr>
          <w:rFonts w:hint="eastAsia"/>
          <w:color w:val="auto"/>
          <w:szCs w:val="24"/>
        </w:rPr>
        <w:t>厂区现有</w:t>
      </w:r>
      <w:r>
        <w:rPr>
          <w:color w:val="auto"/>
          <w:szCs w:val="24"/>
        </w:rPr>
        <w:t>渗滤液调节池后，经渗滤液处理站处理</w:t>
      </w:r>
      <w:r w:rsidR="00335A16">
        <w:rPr>
          <w:rFonts w:hint="eastAsia"/>
          <w:color w:val="auto"/>
          <w:szCs w:val="24"/>
        </w:rPr>
        <w:t>满足</w:t>
      </w:r>
      <w:r>
        <w:rPr>
          <w:color w:val="auto"/>
          <w:szCs w:val="24"/>
        </w:rPr>
        <w:t>《生活垃圾填埋场污染控制标准》（</w:t>
      </w:r>
      <w:r>
        <w:rPr>
          <w:color w:val="auto"/>
          <w:szCs w:val="24"/>
        </w:rPr>
        <w:t>GB16889-2024</w:t>
      </w:r>
      <w:r>
        <w:rPr>
          <w:color w:val="auto"/>
          <w:szCs w:val="24"/>
        </w:rPr>
        <w:t>）表</w:t>
      </w:r>
      <w:r>
        <w:rPr>
          <w:color w:val="auto"/>
          <w:szCs w:val="24"/>
        </w:rPr>
        <w:t>4</w:t>
      </w:r>
      <w:r w:rsidR="00335A16">
        <w:rPr>
          <w:rFonts w:hint="eastAsia"/>
          <w:color w:val="auto"/>
          <w:szCs w:val="24"/>
        </w:rPr>
        <w:t>要求和</w:t>
      </w:r>
      <w:r w:rsidR="00335A16" w:rsidRPr="00335A16">
        <w:rPr>
          <w:color w:val="auto"/>
          <w:szCs w:val="24"/>
        </w:rPr>
        <w:t>《城市污水再生利用</w:t>
      </w:r>
      <w:r w:rsidR="00335A16" w:rsidRPr="00335A16">
        <w:rPr>
          <w:color w:val="auto"/>
          <w:szCs w:val="24"/>
        </w:rPr>
        <w:t xml:space="preserve"> </w:t>
      </w:r>
      <w:r w:rsidR="00335A16" w:rsidRPr="00335A16">
        <w:rPr>
          <w:color w:val="auto"/>
          <w:szCs w:val="24"/>
        </w:rPr>
        <w:t>工业用水水质》（</w:t>
      </w:r>
      <w:r w:rsidR="00335A16" w:rsidRPr="00335A16">
        <w:rPr>
          <w:color w:val="auto"/>
          <w:szCs w:val="24"/>
        </w:rPr>
        <w:t>GB/T19923-2024</w:t>
      </w:r>
      <w:r w:rsidR="00335A16" w:rsidRPr="00335A16">
        <w:rPr>
          <w:color w:val="auto"/>
          <w:szCs w:val="24"/>
        </w:rPr>
        <w:t>）</w:t>
      </w:r>
      <w:r w:rsidR="00F32134">
        <w:rPr>
          <w:rFonts w:hint="eastAsia"/>
          <w:color w:val="auto"/>
          <w:szCs w:val="24"/>
        </w:rPr>
        <w:t>表</w:t>
      </w:r>
      <w:r w:rsidR="00F32134">
        <w:rPr>
          <w:rFonts w:hint="eastAsia"/>
          <w:color w:val="auto"/>
          <w:szCs w:val="24"/>
        </w:rPr>
        <w:t>1</w:t>
      </w:r>
      <w:r w:rsidR="00535A47">
        <w:rPr>
          <w:color w:val="auto"/>
          <w:szCs w:val="24"/>
        </w:rPr>
        <w:t>间冷开式循环冷却水补充水标准</w:t>
      </w:r>
      <w:r w:rsidR="00335A16" w:rsidRPr="00335A16">
        <w:rPr>
          <w:color w:val="auto"/>
          <w:szCs w:val="24"/>
        </w:rPr>
        <w:t>后全部回用至厂区冷却塔补水，不外排。</w:t>
      </w:r>
    </w:p>
    <w:p w14:paraId="77389757" w14:textId="033D4FE5" w:rsidR="006D41CD" w:rsidRDefault="006D41CD">
      <w:pPr>
        <w:pStyle w:val="affffff4"/>
      </w:pPr>
      <w:r>
        <w:rPr>
          <w:rFonts w:hint="eastAsia"/>
          <w:color w:val="auto"/>
          <w:szCs w:val="24"/>
        </w:rPr>
        <w:t>采取上述措施后，项目废水对环境产生的影响较小。</w:t>
      </w:r>
    </w:p>
    <w:p w14:paraId="4283ED86" w14:textId="1D28CD60" w:rsidR="00606029" w:rsidRDefault="00B767A5">
      <w:pPr>
        <w:pStyle w:val="3"/>
      </w:pPr>
      <w:bookmarkStart w:id="296" w:name="_Toc220680546"/>
      <w:r>
        <w:rPr>
          <w:rFonts w:hint="eastAsia"/>
        </w:rPr>
        <w:t>7</w:t>
      </w:r>
      <w:r w:rsidR="00EA5B92">
        <w:t>.2.3</w:t>
      </w:r>
      <w:r w:rsidR="00EA5B92">
        <w:t>噪声污染防治对策及建议</w:t>
      </w:r>
      <w:bookmarkEnd w:id="296"/>
    </w:p>
    <w:p w14:paraId="5A3C166E" w14:textId="71C1CFCD" w:rsidR="00606029" w:rsidRDefault="00EA5B92">
      <w:pPr>
        <w:pStyle w:val="affffff4"/>
        <w:rPr>
          <w:color w:val="auto"/>
          <w:szCs w:val="24"/>
        </w:rPr>
      </w:pPr>
      <w:bookmarkStart w:id="297" w:name="OLE_LINK66"/>
      <w:r>
        <w:rPr>
          <w:color w:val="auto"/>
          <w:szCs w:val="24"/>
        </w:rPr>
        <w:t>（</w:t>
      </w:r>
      <w:r>
        <w:rPr>
          <w:color w:val="auto"/>
          <w:szCs w:val="24"/>
        </w:rPr>
        <w:t>1</w:t>
      </w:r>
      <w:r>
        <w:rPr>
          <w:color w:val="auto"/>
          <w:szCs w:val="24"/>
        </w:rPr>
        <w:t>）合理安排填埋作业时间，避免在午间（</w:t>
      </w:r>
      <w:r>
        <w:rPr>
          <w:color w:val="auto"/>
          <w:szCs w:val="24"/>
        </w:rPr>
        <w:t>12:00~ 14:00</w:t>
      </w:r>
      <w:r>
        <w:rPr>
          <w:color w:val="auto"/>
          <w:szCs w:val="24"/>
        </w:rPr>
        <w:t>）和夜间（</w:t>
      </w:r>
      <w:r>
        <w:rPr>
          <w:color w:val="auto"/>
          <w:szCs w:val="24"/>
        </w:rPr>
        <w:t>22:00~6:00</w:t>
      </w:r>
      <w:r>
        <w:rPr>
          <w:color w:val="auto"/>
          <w:szCs w:val="24"/>
        </w:rPr>
        <w:t>）运营作业。</w:t>
      </w:r>
    </w:p>
    <w:p w14:paraId="7E2AA18B" w14:textId="3CA14AB3" w:rsidR="00606029" w:rsidRDefault="00EA5B92" w:rsidP="006E0251">
      <w:pPr>
        <w:pStyle w:val="affffff4"/>
        <w:rPr>
          <w:color w:val="auto"/>
          <w:szCs w:val="24"/>
        </w:rPr>
      </w:pPr>
      <w:r>
        <w:rPr>
          <w:color w:val="auto"/>
          <w:szCs w:val="24"/>
        </w:rPr>
        <w:t>（</w:t>
      </w:r>
      <w:r w:rsidR="006E0251">
        <w:rPr>
          <w:rFonts w:hint="eastAsia"/>
          <w:color w:val="auto"/>
          <w:szCs w:val="24"/>
        </w:rPr>
        <w:t>2</w:t>
      </w:r>
      <w:r>
        <w:rPr>
          <w:color w:val="auto"/>
          <w:szCs w:val="24"/>
        </w:rPr>
        <w:t>）加强填埋工序噪声管理，定期检查维修设备，使其处于良好运行状态。</w:t>
      </w:r>
    </w:p>
    <w:p w14:paraId="44845FC9" w14:textId="52443C2C" w:rsidR="00606029" w:rsidRDefault="00EA5B92">
      <w:pPr>
        <w:pStyle w:val="affffff4"/>
        <w:rPr>
          <w:color w:val="auto"/>
          <w:szCs w:val="24"/>
        </w:rPr>
      </w:pPr>
      <w:r>
        <w:rPr>
          <w:color w:val="auto"/>
          <w:szCs w:val="24"/>
        </w:rPr>
        <w:t>（</w:t>
      </w:r>
      <w:r w:rsidR="006E0251">
        <w:rPr>
          <w:rFonts w:hint="eastAsia"/>
          <w:color w:val="auto"/>
          <w:szCs w:val="24"/>
        </w:rPr>
        <w:t>3</w:t>
      </w:r>
      <w:r>
        <w:rPr>
          <w:color w:val="auto"/>
          <w:szCs w:val="24"/>
        </w:rPr>
        <w:t>）加强厂区绿化，利用绿化带降低噪声，减少噪声对周围环境的影响。</w:t>
      </w:r>
    </w:p>
    <w:p w14:paraId="414F7CBB" w14:textId="127FB1D1" w:rsidR="00606029" w:rsidRDefault="00EA5B92" w:rsidP="000E6341">
      <w:pPr>
        <w:pStyle w:val="affffff4"/>
        <w:rPr>
          <w:color w:val="auto"/>
          <w:szCs w:val="24"/>
        </w:rPr>
      </w:pPr>
      <w:r>
        <w:rPr>
          <w:color w:val="auto"/>
          <w:szCs w:val="24"/>
        </w:rPr>
        <w:t>（</w:t>
      </w:r>
      <w:r w:rsidR="006E0251">
        <w:rPr>
          <w:rFonts w:hint="eastAsia"/>
          <w:color w:val="auto"/>
          <w:szCs w:val="24"/>
        </w:rPr>
        <w:t>4</w:t>
      </w:r>
      <w:r>
        <w:rPr>
          <w:color w:val="auto"/>
          <w:szCs w:val="24"/>
        </w:rPr>
        <w:t>）运输车辆加强管理，禁止鸣笛等。</w:t>
      </w:r>
    </w:p>
    <w:bookmarkEnd w:id="297"/>
    <w:p w14:paraId="2170FC1C" w14:textId="2FA60E49" w:rsidR="00606029" w:rsidRDefault="00EA5B92">
      <w:pPr>
        <w:pStyle w:val="affffff4"/>
        <w:rPr>
          <w:color w:val="auto"/>
          <w:szCs w:val="24"/>
        </w:rPr>
      </w:pPr>
      <w:r>
        <w:rPr>
          <w:color w:val="auto"/>
          <w:szCs w:val="24"/>
        </w:rPr>
        <w:t>通过采取上述治理措施后，可确</w:t>
      </w:r>
      <w:r w:rsidR="000E6341">
        <w:rPr>
          <w:rFonts w:hint="eastAsia"/>
          <w:color w:val="auto"/>
          <w:szCs w:val="24"/>
        </w:rPr>
        <w:t>厂界</w:t>
      </w:r>
      <w:r>
        <w:rPr>
          <w:color w:val="auto"/>
          <w:szCs w:val="24"/>
        </w:rPr>
        <w:t>噪声均达到《工业企业厂界环境噪声排放标准》（</w:t>
      </w:r>
      <w:r>
        <w:rPr>
          <w:color w:val="auto"/>
          <w:szCs w:val="24"/>
        </w:rPr>
        <w:t>GB12348-2008</w:t>
      </w:r>
      <w:r>
        <w:rPr>
          <w:color w:val="auto"/>
          <w:szCs w:val="24"/>
        </w:rPr>
        <w:t>）</w:t>
      </w:r>
      <w:r>
        <w:rPr>
          <w:color w:val="auto"/>
          <w:szCs w:val="24"/>
        </w:rPr>
        <w:t>2</w:t>
      </w:r>
      <w:r>
        <w:rPr>
          <w:color w:val="auto"/>
          <w:szCs w:val="24"/>
        </w:rPr>
        <w:t>类标准，对周边</w:t>
      </w:r>
      <w:r w:rsidR="003D404F">
        <w:rPr>
          <w:rFonts w:hint="eastAsia"/>
          <w:color w:val="auto"/>
          <w:szCs w:val="24"/>
        </w:rPr>
        <w:t>声环境</w:t>
      </w:r>
      <w:r>
        <w:rPr>
          <w:color w:val="auto"/>
          <w:szCs w:val="24"/>
        </w:rPr>
        <w:t>影响</w:t>
      </w:r>
      <w:r w:rsidR="003D404F">
        <w:rPr>
          <w:rFonts w:hint="eastAsia"/>
          <w:color w:val="auto"/>
          <w:szCs w:val="24"/>
        </w:rPr>
        <w:t>较小</w:t>
      </w:r>
      <w:r>
        <w:rPr>
          <w:color w:val="auto"/>
          <w:szCs w:val="24"/>
        </w:rPr>
        <w:t>。</w:t>
      </w:r>
    </w:p>
    <w:p w14:paraId="0684806A" w14:textId="6FF6489B" w:rsidR="00606029" w:rsidRDefault="00B767A5">
      <w:pPr>
        <w:pStyle w:val="3"/>
      </w:pPr>
      <w:bookmarkStart w:id="298" w:name="_Toc220680547"/>
      <w:r>
        <w:rPr>
          <w:rFonts w:hint="eastAsia"/>
        </w:rPr>
        <w:t>7</w:t>
      </w:r>
      <w:r w:rsidR="00EA5B92">
        <w:t>.2.4</w:t>
      </w:r>
      <w:r w:rsidR="00EA5B92">
        <w:t>固体废物污染防治措施</w:t>
      </w:r>
      <w:bookmarkEnd w:id="298"/>
    </w:p>
    <w:p w14:paraId="243F0580" w14:textId="7B33237B" w:rsidR="00606029" w:rsidRDefault="00EA5B92">
      <w:pPr>
        <w:pStyle w:val="affffff4"/>
      </w:pPr>
      <w:r>
        <w:t>本项目运营工艺较为简单，产生的固体废物主要有员工废机油、</w:t>
      </w:r>
      <w:r w:rsidR="00FE2EC7">
        <w:rPr>
          <w:rFonts w:hint="eastAsia"/>
        </w:rPr>
        <w:t>实验废液</w:t>
      </w:r>
      <w:r>
        <w:t>。</w:t>
      </w:r>
    </w:p>
    <w:p w14:paraId="6DB49CE9" w14:textId="233F9137" w:rsidR="00606029" w:rsidRDefault="00EA5B92" w:rsidP="005B4158">
      <w:pPr>
        <w:pStyle w:val="affffff4"/>
      </w:pPr>
      <w:r>
        <w:t>（</w:t>
      </w:r>
      <w:r>
        <w:t>1</w:t>
      </w:r>
      <w:r>
        <w:t>）废机油</w:t>
      </w:r>
    </w:p>
    <w:p w14:paraId="44F49041" w14:textId="26F685C2" w:rsidR="00606029" w:rsidRDefault="00EA5B92">
      <w:pPr>
        <w:pStyle w:val="affffff4"/>
      </w:pPr>
      <w:r>
        <w:t>生产设备运行检修等会产生废矿物油约</w:t>
      </w:r>
      <w:r w:rsidR="00344708">
        <w:t>0.1</w:t>
      </w:r>
      <w:r>
        <w:t>t/a</w:t>
      </w:r>
      <w:r>
        <w:t>，属危险废物，危险废物代码为</w:t>
      </w:r>
      <w:r>
        <w:t>HW08</w:t>
      </w:r>
      <w:r>
        <w:t>（</w:t>
      </w:r>
      <w:r>
        <w:t>900-214-08</w:t>
      </w:r>
      <w:r>
        <w:t>），</w:t>
      </w:r>
      <w:r w:rsidR="00344708">
        <w:t>集中收集后采用专用容器暂存于现有危废贮存库</w:t>
      </w:r>
      <w:r>
        <w:t>，定期委托有资质的单位收集处置。</w:t>
      </w:r>
    </w:p>
    <w:p w14:paraId="754EDFF5" w14:textId="3564AFD2" w:rsidR="00606029" w:rsidRDefault="00EA5B92">
      <w:pPr>
        <w:pStyle w:val="affffff4"/>
      </w:pPr>
      <w:r>
        <w:t>（</w:t>
      </w:r>
      <w:r w:rsidR="005B4158">
        <w:rPr>
          <w:rFonts w:hint="eastAsia"/>
        </w:rPr>
        <w:t>2</w:t>
      </w:r>
      <w:r>
        <w:t>）</w:t>
      </w:r>
      <w:r w:rsidR="00FE2EC7">
        <w:rPr>
          <w:rFonts w:hint="eastAsia"/>
        </w:rPr>
        <w:t>实验废液</w:t>
      </w:r>
    </w:p>
    <w:p w14:paraId="6DF2ABBE" w14:textId="517B5484" w:rsidR="00606029" w:rsidRDefault="00EA5B92">
      <w:pPr>
        <w:pStyle w:val="affffff4"/>
      </w:pPr>
      <w:r>
        <w:t>本项目渗滤液处理站安装有在线监测设备，在线监测废液产生量较小，产生量约</w:t>
      </w:r>
      <w:r w:rsidR="00344708">
        <w:t>1</w:t>
      </w:r>
      <w:r>
        <w:t>t/a</w:t>
      </w:r>
      <w:r>
        <w:t>，主要为酸碱废液，危险废物代码为</w:t>
      </w:r>
      <w:r>
        <w:t>HW49</w:t>
      </w:r>
      <w:r>
        <w:t>（</w:t>
      </w:r>
      <w:r>
        <w:t>900-047-49</w:t>
      </w:r>
      <w:r>
        <w:t>），</w:t>
      </w:r>
      <w:r w:rsidR="00344708">
        <w:t>集中收集后采用专用容器暂存于现有危废贮存库</w:t>
      </w:r>
      <w:r>
        <w:t>，定期委托有资质的单位收集处置。</w:t>
      </w:r>
    </w:p>
    <w:p w14:paraId="4C182774" w14:textId="5C2122A6" w:rsidR="000E6341" w:rsidRDefault="000E6341">
      <w:pPr>
        <w:pStyle w:val="affffff4"/>
      </w:pPr>
      <w:r>
        <w:rPr>
          <w:rFonts w:hint="eastAsia"/>
        </w:rPr>
        <w:lastRenderedPageBreak/>
        <w:t>采取上述措施后，</w:t>
      </w:r>
      <w:r w:rsidR="000000F2">
        <w:rPr>
          <w:rFonts w:hint="eastAsia"/>
        </w:rPr>
        <w:t>运营期固体废物</w:t>
      </w:r>
      <w:r w:rsidR="0096303B">
        <w:rPr>
          <w:rFonts w:hint="eastAsia"/>
        </w:rPr>
        <w:t>对</w:t>
      </w:r>
      <w:r w:rsidR="000000F2">
        <w:rPr>
          <w:rFonts w:hint="eastAsia"/>
        </w:rPr>
        <w:t>环境产生影响</w:t>
      </w:r>
      <w:r w:rsidR="0096303B">
        <w:rPr>
          <w:rFonts w:hint="eastAsia"/>
        </w:rPr>
        <w:t>较小</w:t>
      </w:r>
      <w:r w:rsidR="000000F2">
        <w:rPr>
          <w:rFonts w:hint="eastAsia"/>
        </w:rPr>
        <w:t>。</w:t>
      </w:r>
    </w:p>
    <w:p w14:paraId="5B26530C" w14:textId="20C69202" w:rsidR="00606029" w:rsidRPr="00697924" w:rsidRDefault="00B767A5">
      <w:pPr>
        <w:pStyle w:val="3"/>
      </w:pPr>
      <w:bookmarkStart w:id="299" w:name="_Toc220680548"/>
      <w:r w:rsidRPr="00697924">
        <w:t>7</w:t>
      </w:r>
      <w:r w:rsidR="00EA5B92" w:rsidRPr="00697924">
        <w:t>.2.5</w:t>
      </w:r>
      <w:r w:rsidR="007E1EA3">
        <w:rPr>
          <w:rFonts w:hint="eastAsia"/>
        </w:rPr>
        <w:t>土壤、</w:t>
      </w:r>
      <w:r w:rsidR="00EA5B92" w:rsidRPr="00697924">
        <w:t>地下水污染防治措施</w:t>
      </w:r>
      <w:bookmarkEnd w:id="299"/>
    </w:p>
    <w:p w14:paraId="46017153" w14:textId="530F3EAC" w:rsidR="000000F2" w:rsidRDefault="000000F2" w:rsidP="000000F2">
      <w:pPr>
        <w:pStyle w:val="0"/>
        <w:ind w:firstLine="480"/>
        <w:rPr>
          <w:rFonts w:ascii="Times New Roman" w:hAnsi="Times New Roman"/>
        </w:rPr>
      </w:pPr>
      <w:r>
        <w:rPr>
          <w:rFonts w:ascii="Times New Roman" w:hAnsi="Times New Roman" w:hint="eastAsia"/>
        </w:rPr>
        <w:t>（</w:t>
      </w:r>
      <w:r>
        <w:rPr>
          <w:rFonts w:ascii="Times New Roman" w:hAnsi="Times New Roman" w:hint="eastAsia"/>
        </w:rPr>
        <w:t>1</w:t>
      </w:r>
      <w:r>
        <w:rPr>
          <w:rFonts w:ascii="Times New Roman" w:hAnsi="Times New Roman" w:hint="eastAsia"/>
        </w:rPr>
        <w:t>）</w:t>
      </w:r>
      <w:r w:rsidRPr="000000F2">
        <w:rPr>
          <w:rFonts w:ascii="Times New Roman" w:hAnsi="Times New Roman"/>
        </w:rPr>
        <w:t>改建前</w:t>
      </w:r>
      <w:r>
        <w:rPr>
          <w:rFonts w:ascii="Times New Roman" w:hAnsi="Times New Roman" w:hint="eastAsia"/>
        </w:rPr>
        <w:t>对残留渗滤液和污泥进行清理，</w:t>
      </w:r>
      <w:r w:rsidRPr="000000F2">
        <w:rPr>
          <w:rFonts w:ascii="Times New Roman" w:hAnsi="Times New Roman" w:hint="eastAsia"/>
        </w:rPr>
        <w:t>对原调节池的混凝土池壁和池底进行全面探伤检测</w:t>
      </w:r>
      <w:r w:rsidR="002A543C">
        <w:rPr>
          <w:rFonts w:ascii="Times New Roman" w:hAnsi="Times New Roman" w:hint="eastAsia"/>
        </w:rPr>
        <w:t>，</w:t>
      </w:r>
      <w:r w:rsidRPr="000000F2">
        <w:rPr>
          <w:rFonts w:ascii="Times New Roman" w:hAnsi="Times New Roman" w:hint="eastAsia"/>
        </w:rPr>
        <w:t>针对裂缝、蜂窝麻面进行</w:t>
      </w:r>
      <w:r w:rsidR="002A543C" w:rsidRPr="002A543C">
        <w:rPr>
          <w:rFonts w:ascii="Times New Roman" w:hAnsi="Times New Roman"/>
        </w:rPr>
        <w:t>环氧树脂灌浆修补</w:t>
      </w:r>
      <w:r>
        <w:rPr>
          <w:rFonts w:ascii="Times New Roman" w:hAnsi="Times New Roman" w:hint="eastAsia"/>
        </w:rPr>
        <w:t>，</w:t>
      </w:r>
      <w:r w:rsidRPr="000000F2">
        <w:rPr>
          <w:rFonts w:ascii="Times New Roman" w:hAnsi="Times New Roman" w:hint="eastAsia"/>
        </w:rPr>
        <w:t>防止飞灰渗滤液通过原有裂缝渗漏，同时也防止地下水倒灌入池体影响飞灰稳定性。</w:t>
      </w:r>
    </w:p>
    <w:p w14:paraId="7E4D3A1D" w14:textId="31AC6C48" w:rsidR="000000F2" w:rsidRDefault="008748E6" w:rsidP="000000F2">
      <w:pPr>
        <w:pStyle w:val="0"/>
        <w:ind w:firstLine="480"/>
        <w:rPr>
          <w:rFonts w:ascii="Times New Roman" w:hAnsi="Times New Roman"/>
        </w:rPr>
      </w:pPr>
      <w:r>
        <w:rPr>
          <w:rFonts w:ascii="Times New Roman" w:hAnsi="Times New Roman" w:hint="eastAsia"/>
        </w:rPr>
        <w:t>（</w:t>
      </w:r>
      <w:r w:rsidR="000000F2">
        <w:rPr>
          <w:rFonts w:ascii="Times New Roman" w:hAnsi="Times New Roman" w:hint="eastAsia"/>
        </w:rPr>
        <w:t>2</w:t>
      </w:r>
      <w:r>
        <w:rPr>
          <w:rFonts w:ascii="Times New Roman" w:hAnsi="Times New Roman" w:hint="eastAsia"/>
        </w:rPr>
        <w:t>）</w:t>
      </w:r>
      <w:bookmarkStart w:id="300" w:name="OLE_LINK50"/>
      <w:r>
        <w:rPr>
          <w:rFonts w:ascii="Times New Roman" w:hAnsi="Times New Roman" w:hint="eastAsia"/>
        </w:rPr>
        <w:t>填埋区为重点防渗区，</w:t>
      </w:r>
      <w:r w:rsidR="000000F2" w:rsidRPr="000000F2">
        <w:rPr>
          <w:rFonts w:ascii="Times New Roman" w:hAnsi="Times New Roman" w:hint="eastAsia"/>
        </w:rPr>
        <w:t>采用</w:t>
      </w:r>
      <w:bookmarkStart w:id="301" w:name="OLE_LINK77"/>
      <w:r w:rsidR="000000F2" w:rsidRPr="000000F2">
        <w:rPr>
          <w:rFonts w:ascii="Times New Roman" w:hAnsi="Times New Roman" w:hint="eastAsia"/>
        </w:rPr>
        <w:t>“双层人工复合衬层”系统</w:t>
      </w:r>
      <w:bookmarkEnd w:id="301"/>
      <w:r w:rsidR="000000F2">
        <w:rPr>
          <w:rFonts w:ascii="Times New Roman" w:hAnsi="Times New Roman" w:hint="eastAsia"/>
        </w:rPr>
        <w:t>，</w:t>
      </w:r>
      <w:r w:rsidR="000000F2" w:rsidRPr="000000F2">
        <w:rPr>
          <w:rFonts w:ascii="Times New Roman" w:hAnsi="Times New Roman" w:hint="eastAsia"/>
        </w:rPr>
        <w:t>主防渗层</w:t>
      </w:r>
      <w:r w:rsidR="000000F2">
        <w:rPr>
          <w:rFonts w:ascii="Times New Roman" w:hAnsi="Times New Roman" w:hint="eastAsia"/>
        </w:rPr>
        <w:t>为</w:t>
      </w:r>
      <w:r w:rsidR="000000F2" w:rsidRPr="000000F2">
        <w:rPr>
          <w:rFonts w:ascii="Times New Roman" w:hAnsi="Times New Roman" w:hint="eastAsia"/>
        </w:rPr>
        <w:t xml:space="preserve"> 2.0mm</w:t>
      </w:r>
      <w:r w:rsidR="000000F2" w:rsidRPr="000000F2">
        <w:rPr>
          <w:rFonts w:ascii="Times New Roman" w:hAnsi="Times New Roman" w:hint="eastAsia"/>
        </w:rPr>
        <w:t>厚的高密度聚乙烯（</w:t>
      </w:r>
      <w:r w:rsidR="000000F2" w:rsidRPr="000000F2">
        <w:rPr>
          <w:rFonts w:ascii="Times New Roman" w:hAnsi="Times New Roman" w:hint="eastAsia"/>
        </w:rPr>
        <w:t>HDPE</w:t>
      </w:r>
      <w:r w:rsidR="000000F2" w:rsidRPr="000000F2">
        <w:rPr>
          <w:rFonts w:ascii="Times New Roman" w:hAnsi="Times New Roman" w:hint="eastAsia"/>
        </w:rPr>
        <w:t>）膜</w:t>
      </w:r>
      <w:r w:rsidR="000000F2">
        <w:rPr>
          <w:rFonts w:ascii="Times New Roman" w:hAnsi="Times New Roman" w:hint="eastAsia"/>
        </w:rPr>
        <w:t>，</w:t>
      </w:r>
      <w:r w:rsidR="000000F2" w:rsidRPr="000000F2">
        <w:rPr>
          <w:rFonts w:ascii="Times New Roman" w:hAnsi="Times New Roman" w:hint="eastAsia"/>
        </w:rPr>
        <w:t>次防渗层</w:t>
      </w:r>
      <w:r w:rsidR="000000F2">
        <w:rPr>
          <w:rFonts w:ascii="Times New Roman" w:hAnsi="Times New Roman" w:hint="eastAsia"/>
        </w:rPr>
        <w:t>为</w:t>
      </w:r>
      <w:bookmarkStart w:id="302" w:name="OLE_LINK47"/>
      <w:r w:rsidR="002A543C" w:rsidRPr="000000F2">
        <w:rPr>
          <w:rFonts w:ascii="Times New Roman" w:hAnsi="Times New Roman" w:hint="eastAsia"/>
        </w:rPr>
        <w:t>1.5mm HDPE</w:t>
      </w:r>
      <w:r w:rsidR="002A543C" w:rsidRPr="000000F2">
        <w:rPr>
          <w:rFonts w:ascii="Times New Roman" w:hAnsi="Times New Roman" w:hint="eastAsia"/>
        </w:rPr>
        <w:t>膜</w:t>
      </w:r>
      <w:r w:rsidR="002A543C" w:rsidRPr="000000F2">
        <w:rPr>
          <w:rFonts w:ascii="Times New Roman" w:hAnsi="Times New Roman" w:hint="eastAsia"/>
        </w:rPr>
        <w:t>+</w:t>
      </w:r>
      <w:r w:rsidR="000000F2" w:rsidRPr="000000F2">
        <w:rPr>
          <w:rFonts w:ascii="Times New Roman" w:hAnsi="Times New Roman" w:hint="eastAsia"/>
        </w:rPr>
        <w:t>5.0mm GCL</w:t>
      </w:r>
      <w:r w:rsidR="000000F2" w:rsidRPr="000000F2">
        <w:rPr>
          <w:rFonts w:ascii="Times New Roman" w:hAnsi="Times New Roman" w:hint="eastAsia"/>
        </w:rPr>
        <w:t>膨润土垫</w:t>
      </w:r>
      <w:bookmarkEnd w:id="302"/>
      <w:r w:rsidR="000000F2">
        <w:rPr>
          <w:rFonts w:ascii="Times New Roman" w:hAnsi="Times New Roman" w:hint="eastAsia"/>
        </w:rPr>
        <w:t>，</w:t>
      </w:r>
      <w:r w:rsidR="000000F2" w:rsidRPr="000000F2">
        <w:rPr>
          <w:rFonts w:ascii="Times New Roman" w:hAnsi="Times New Roman" w:hint="eastAsia"/>
        </w:rPr>
        <w:t>中间层</w:t>
      </w:r>
      <w:r w:rsidR="000000F2">
        <w:rPr>
          <w:rFonts w:ascii="Times New Roman" w:hAnsi="Times New Roman" w:hint="eastAsia"/>
        </w:rPr>
        <w:t>为</w:t>
      </w:r>
      <w:r w:rsidR="000000F2" w:rsidRPr="000000F2">
        <w:rPr>
          <w:rFonts w:ascii="Times New Roman" w:hAnsi="Times New Roman" w:hint="eastAsia"/>
        </w:rPr>
        <w:t>渗漏检测层（砾石层</w:t>
      </w:r>
      <w:r w:rsidR="000000F2" w:rsidRPr="000000F2">
        <w:rPr>
          <w:rFonts w:ascii="Times New Roman" w:hAnsi="Times New Roman" w:hint="eastAsia"/>
        </w:rPr>
        <w:t>+</w:t>
      </w:r>
      <w:r w:rsidR="000000F2" w:rsidRPr="000000F2">
        <w:rPr>
          <w:rFonts w:ascii="Times New Roman" w:hAnsi="Times New Roman" w:hint="eastAsia"/>
        </w:rPr>
        <w:t>管道），用于收集可能发生的渗漏液。</w:t>
      </w:r>
      <w:r w:rsidR="000000F2">
        <w:rPr>
          <w:rFonts w:ascii="Times New Roman" w:hAnsi="Times New Roman" w:hint="eastAsia"/>
        </w:rPr>
        <w:t>并</w:t>
      </w:r>
      <w:r w:rsidR="000000F2" w:rsidRPr="000000F2">
        <w:rPr>
          <w:rFonts w:ascii="Times New Roman" w:hAnsi="Times New Roman" w:hint="eastAsia"/>
        </w:rPr>
        <w:t>在池壁与池底的拐角处增加土工布垫层保护，并确保</w:t>
      </w:r>
      <w:r w:rsidR="000000F2" w:rsidRPr="000000F2">
        <w:rPr>
          <w:rFonts w:ascii="Times New Roman" w:hAnsi="Times New Roman" w:hint="eastAsia"/>
        </w:rPr>
        <w:t>HDPE</w:t>
      </w:r>
      <w:r w:rsidR="000000F2" w:rsidRPr="000000F2">
        <w:rPr>
          <w:rFonts w:ascii="Times New Roman" w:hAnsi="Times New Roman" w:hint="eastAsia"/>
        </w:rPr>
        <w:t>膜的锚固严密</w:t>
      </w:r>
      <w:r w:rsidR="00D37CB4">
        <w:rPr>
          <w:rFonts w:ascii="Times New Roman" w:hAnsi="Times New Roman" w:hint="eastAsia"/>
        </w:rPr>
        <w:t>，</w:t>
      </w:r>
      <w:r w:rsidR="000000F2">
        <w:rPr>
          <w:rFonts w:ascii="Times New Roman" w:hAnsi="Times New Roman" w:hint="eastAsia"/>
        </w:rPr>
        <w:t>确保</w:t>
      </w:r>
      <w:r w:rsidR="00D37CB4">
        <w:rPr>
          <w:rFonts w:ascii="Times New Roman" w:hAnsi="Times New Roman" w:hint="eastAsia"/>
        </w:rPr>
        <w:t>防渗性能</w:t>
      </w:r>
      <w:r w:rsidR="000000F2" w:rsidRPr="000000F2">
        <w:rPr>
          <w:rFonts w:ascii="Times New Roman" w:hAnsi="Times New Roman"/>
        </w:rPr>
        <w:t>满足《生活垃圾填埋污染控制标准》（</w:t>
      </w:r>
      <w:r w:rsidR="000000F2" w:rsidRPr="000000F2">
        <w:rPr>
          <w:rFonts w:ascii="Times New Roman" w:hAnsi="Times New Roman"/>
        </w:rPr>
        <w:t>GB16889-2024</w:t>
      </w:r>
      <w:r w:rsidR="000000F2" w:rsidRPr="000000F2">
        <w:rPr>
          <w:rFonts w:ascii="Times New Roman" w:hAnsi="Times New Roman"/>
        </w:rPr>
        <w:t>）和《生活垃圾卫生填埋技术规范》（</w:t>
      </w:r>
      <w:r w:rsidR="000000F2" w:rsidRPr="000000F2">
        <w:rPr>
          <w:rFonts w:ascii="Times New Roman" w:hAnsi="Times New Roman"/>
        </w:rPr>
        <w:t>GB50869-2013</w:t>
      </w:r>
      <w:r w:rsidR="000000F2" w:rsidRPr="000000F2">
        <w:rPr>
          <w:rFonts w:ascii="Times New Roman" w:hAnsi="Times New Roman"/>
        </w:rPr>
        <w:t>）标准要求。</w:t>
      </w:r>
    </w:p>
    <w:bookmarkEnd w:id="300"/>
    <w:p w14:paraId="779C14C1" w14:textId="37732D59" w:rsidR="000000F2" w:rsidRPr="000000F2" w:rsidRDefault="000000F2" w:rsidP="002A543C">
      <w:pPr>
        <w:pStyle w:val="0"/>
        <w:ind w:firstLine="480"/>
        <w:rPr>
          <w:rFonts w:ascii="Times New Roman" w:hAnsi="Times New Roman"/>
        </w:rPr>
      </w:pPr>
      <w:r>
        <w:rPr>
          <w:rFonts w:ascii="Times New Roman" w:hAnsi="Times New Roman" w:hint="eastAsia"/>
        </w:rPr>
        <w:t>（</w:t>
      </w:r>
      <w:r>
        <w:rPr>
          <w:rFonts w:ascii="Times New Roman" w:hAnsi="Times New Roman" w:hint="eastAsia"/>
        </w:rPr>
        <w:t>3</w:t>
      </w:r>
      <w:r>
        <w:rPr>
          <w:rFonts w:ascii="Times New Roman" w:hAnsi="Times New Roman" w:hint="eastAsia"/>
        </w:rPr>
        <w:t>）</w:t>
      </w:r>
      <w:r w:rsidRPr="000000F2">
        <w:rPr>
          <w:rFonts w:ascii="Times New Roman" w:hAnsi="Times New Roman" w:hint="eastAsia"/>
        </w:rPr>
        <w:t>雨污分流与渗滤液收集</w:t>
      </w:r>
      <w:r w:rsidR="002A543C">
        <w:rPr>
          <w:rFonts w:ascii="Times New Roman" w:hAnsi="Times New Roman" w:hint="eastAsia"/>
        </w:rPr>
        <w:t>，</w:t>
      </w:r>
      <w:r w:rsidRPr="000000F2">
        <w:rPr>
          <w:rFonts w:ascii="Times New Roman" w:hAnsi="Times New Roman" w:hint="eastAsia"/>
        </w:rPr>
        <w:t>飞灰填埋作业必须实行“日覆盖”或“单元覆盖”，严禁雨水直接淋入飞灰堆体，从源头削减</w:t>
      </w:r>
      <w:r w:rsidR="002C4349">
        <w:rPr>
          <w:rFonts w:ascii="Times New Roman" w:hAnsi="Times New Roman" w:hint="eastAsia"/>
        </w:rPr>
        <w:t>淋溶水</w:t>
      </w:r>
      <w:r w:rsidRPr="000000F2">
        <w:rPr>
          <w:rFonts w:ascii="Times New Roman" w:hAnsi="Times New Roman" w:hint="eastAsia"/>
        </w:rPr>
        <w:t>产生量</w:t>
      </w:r>
      <w:r w:rsidR="002C4349">
        <w:rPr>
          <w:rFonts w:ascii="Times New Roman" w:hAnsi="Times New Roman" w:hint="eastAsia"/>
        </w:rPr>
        <w:t>，产生的淋溶水经</w:t>
      </w:r>
      <w:r w:rsidRPr="000000F2">
        <w:rPr>
          <w:rFonts w:ascii="Times New Roman" w:hAnsi="Times New Roman" w:hint="eastAsia"/>
        </w:rPr>
        <w:t>导排管道</w:t>
      </w:r>
      <w:r w:rsidR="002C4349">
        <w:rPr>
          <w:rFonts w:ascii="Times New Roman" w:hAnsi="Times New Roman" w:hint="eastAsia"/>
        </w:rPr>
        <w:t>进入厂区渗滤液调节池</w:t>
      </w:r>
      <w:r w:rsidRPr="000000F2">
        <w:rPr>
          <w:rFonts w:ascii="Times New Roman" w:hAnsi="Times New Roman" w:hint="eastAsia"/>
        </w:rPr>
        <w:t>，确保产生的</w:t>
      </w:r>
      <w:r w:rsidR="007E1EA3">
        <w:rPr>
          <w:rFonts w:ascii="Times New Roman" w:hAnsi="Times New Roman" w:hint="eastAsia"/>
        </w:rPr>
        <w:t>淋溶水</w:t>
      </w:r>
      <w:r w:rsidRPr="000000F2">
        <w:rPr>
          <w:rFonts w:ascii="Times New Roman" w:hAnsi="Times New Roman" w:hint="eastAsia"/>
        </w:rPr>
        <w:t>能迅速排走，</w:t>
      </w:r>
      <w:r w:rsidR="007E1EA3" w:rsidRPr="007E1EA3">
        <w:rPr>
          <w:rFonts w:ascii="Times New Roman" w:hAnsi="Times New Roman"/>
        </w:rPr>
        <w:t>防止水头过高导致防渗系统失效进而污染土壤</w:t>
      </w:r>
      <w:r w:rsidR="007E1EA3">
        <w:rPr>
          <w:rFonts w:ascii="Times New Roman" w:hAnsi="Times New Roman" w:hint="eastAsia"/>
        </w:rPr>
        <w:t>和地下水</w:t>
      </w:r>
      <w:r w:rsidR="007E1EA3" w:rsidRPr="007E1EA3">
        <w:rPr>
          <w:rFonts w:ascii="Times New Roman" w:hAnsi="Times New Roman"/>
        </w:rPr>
        <w:t>。</w:t>
      </w:r>
    </w:p>
    <w:p w14:paraId="1D66C6DA" w14:textId="2D1B54D4" w:rsidR="00697924" w:rsidRPr="00697924" w:rsidRDefault="002A543C" w:rsidP="002A543C">
      <w:pPr>
        <w:pStyle w:val="0"/>
        <w:ind w:firstLine="480"/>
        <w:rPr>
          <w:rFonts w:ascii="Times New Roman" w:hAnsi="Times New Roman"/>
        </w:rPr>
      </w:pPr>
      <w:r>
        <w:rPr>
          <w:rFonts w:ascii="Times New Roman" w:hAnsi="Times New Roman" w:hint="eastAsia"/>
        </w:rPr>
        <w:t>（</w:t>
      </w:r>
      <w:r>
        <w:rPr>
          <w:rFonts w:ascii="Times New Roman" w:hAnsi="Times New Roman" w:hint="eastAsia"/>
        </w:rPr>
        <w:t>4</w:t>
      </w:r>
      <w:r>
        <w:rPr>
          <w:rFonts w:ascii="Times New Roman" w:hAnsi="Times New Roman" w:hint="eastAsia"/>
        </w:rPr>
        <w:t>）</w:t>
      </w:r>
      <w:r w:rsidR="000000F2" w:rsidRPr="000000F2">
        <w:rPr>
          <w:rFonts w:ascii="Times New Roman" w:hAnsi="Times New Roman" w:hint="eastAsia"/>
        </w:rPr>
        <w:t>地下水</w:t>
      </w:r>
      <w:r>
        <w:rPr>
          <w:rFonts w:ascii="Times New Roman" w:hAnsi="Times New Roman" w:hint="eastAsia"/>
        </w:rPr>
        <w:t>及时</w:t>
      </w:r>
      <w:r w:rsidR="000000F2" w:rsidRPr="000000F2">
        <w:rPr>
          <w:rFonts w:ascii="Times New Roman" w:hAnsi="Times New Roman" w:hint="eastAsia"/>
        </w:rPr>
        <w:t>导排</w:t>
      </w:r>
      <w:r>
        <w:rPr>
          <w:rFonts w:ascii="Times New Roman" w:hAnsi="Times New Roman" w:hint="eastAsia"/>
        </w:rPr>
        <w:t>，防止地下水回灌，</w:t>
      </w:r>
      <w:r w:rsidR="000000F2" w:rsidRPr="000000F2">
        <w:rPr>
          <w:rFonts w:ascii="Times New Roman" w:hAnsi="Times New Roman" w:hint="eastAsia"/>
        </w:rPr>
        <w:t>在填埋场底部下方设置地下水集水盲沟，将地下水导出，防止地下水位抬升顶托防渗膜，同时也减少</w:t>
      </w:r>
      <w:r w:rsidR="002C4349">
        <w:rPr>
          <w:rFonts w:ascii="Times New Roman" w:hAnsi="Times New Roman" w:hint="eastAsia"/>
        </w:rPr>
        <w:t>淋溶水</w:t>
      </w:r>
      <w:r w:rsidR="000000F2" w:rsidRPr="000000F2">
        <w:rPr>
          <w:rFonts w:ascii="Times New Roman" w:hAnsi="Times New Roman" w:hint="eastAsia"/>
        </w:rPr>
        <w:t>向下的水力梯度。</w:t>
      </w:r>
    </w:p>
    <w:p w14:paraId="33FE8314" w14:textId="7F6E9564" w:rsidR="005000F8" w:rsidRDefault="005000F8" w:rsidP="007E1EA3">
      <w:pPr>
        <w:pStyle w:val="affffff4"/>
      </w:pPr>
      <w:r>
        <w:rPr>
          <w:rFonts w:hint="eastAsia"/>
        </w:rPr>
        <w:t>（</w:t>
      </w:r>
      <w:r w:rsidR="002A543C">
        <w:rPr>
          <w:rFonts w:hint="eastAsia"/>
        </w:rPr>
        <w:t>5</w:t>
      </w:r>
      <w:r>
        <w:rPr>
          <w:rFonts w:hint="eastAsia"/>
        </w:rPr>
        <w:t>）开展定期监测。</w:t>
      </w:r>
      <w:r w:rsidR="00AF0E58">
        <w:rPr>
          <w:rFonts w:hint="eastAsia"/>
        </w:rPr>
        <w:t>上游设置</w:t>
      </w:r>
      <w:r w:rsidR="00AF0E58">
        <w:rPr>
          <w:rFonts w:hint="eastAsia"/>
        </w:rPr>
        <w:t>1</w:t>
      </w:r>
      <w:r w:rsidR="00AF0E58">
        <w:rPr>
          <w:rFonts w:hint="eastAsia"/>
        </w:rPr>
        <w:t>口（背景值井）；下游设置</w:t>
      </w:r>
      <w:r w:rsidR="00AF0E58">
        <w:rPr>
          <w:rFonts w:hint="eastAsia"/>
        </w:rPr>
        <w:t>2</w:t>
      </w:r>
      <w:r w:rsidR="00AF0E58">
        <w:rPr>
          <w:rFonts w:hint="eastAsia"/>
        </w:rPr>
        <w:t>口（主检井和备用井），呈扇形布设，深度需穿透底板，监测污染羽扩散；在防渗层之间的渗漏检测层中埋设取样管，用于早期预警。</w:t>
      </w:r>
      <w:r w:rsidR="007E1EA3">
        <w:rPr>
          <w:rFonts w:hint="eastAsia"/>
        </w:rPr>
        <w:t>在调节池的下游布设土壤采样点，针对不同土层深度取样，分析的污染物迁移情况。</w:t>
      </w:r>
    </w:p>
    <w:p w14:paraId="0A677688" w14:textId="037A8179" w:rsidR="005000F8" w:rsidRDefault="005000F8" w:rsidP="005000F8">
      <w:pPr>
        <w:pStyle w:val="affffff4"/>
      </w:pPr>
      <w:r>
        <w:rPr>
          <w:rFonts w:hint="eastAsia"/>
        </w:rPr>
        <w:t>（</w:t>
      </w:r>
      <w:r w:rsidR="002A543C">
        <w:rPr>
          <w:rFonts w:hint="eastAsia"/>
        </w:rPr>
        <w:t>6</w:t>
      </w:r>
      <w:r>
        <w:rPr>
          <w:rFonts w:hint="eastAsia"/>
        </w:rPr>
        <w:t>）加强厂区绿化，在现有绿地管理的基础上，继续绿化厂区环境，采取吸附能力的草木和花卉相结合的绿化措施</w:t>
      </w:r>
      <w:r w:rsidR="007E1EA3">
        <w:rPr>
          <w:rFonts w:hint="eastAsia"/>
        </w:rPr>
        <w:t>，</w:t>
      </w:r>
      <w:r>
        <w:rPr>
          <w:rFonts w:hint="eastAsia"/>
        </w:rPr>
        <w:t>。</w:t>
      </w:r>
    </w:p>
    <w:p w14:paraId="18DACC88" w14:textId="630614DC" w:rsidR="00606029" w:rsidRDefault="005000F8">
      <w:pPr>
        <w:pStyle w:val="affffff4"/>
      </w:pPr>
      <w:r>
        <w:rPr>
          <w:rFonts w:hint="eastAsia"/>
        </w:rPr>
        <w:t>（</w:t>
      </w:r>
      <w:r w:rsidR="00E85681">
        <w:rPr>
          <w:rFonts w:hint="eastAsia"/>
        </w:rPr>
        <w:t>7</w:t>
      </w:r>
      <w:r>
        <w:rPr>
          <w:rFonts w:hint="eastAsia"/>
        </w:rPr>
        <w:t>）制定</w:t>
      </w:r>
      <w:r w:rsidR="007E1EA3">
        <w:rPr>
          <w:rFonts w:hint="eastAsia"/>
        </w:rPr>
        <w:t>土壤、</w:t>
      </w:r>
      <w:r w:rsidR="00E85681">
        <w:rPr>
          <w:rFonts w:hint="eastAsia"/>
        </w:rPr>
        <w:t>地下水</w:t>
      </w:r>
      <w:r>
        <w:rPr>
          <w:rFonts w:hint="eastAsia"/>
        </w:rPr>
        <w:t>应急预案</w:t>
      </w:r>
      <w:r w:rsidR="007E1EA3">
        <w:rPr>
          <w:rFonts w:hint="eastAsia"/>
        </w:rPr>
        <w:t>，</w:t>
      </w:r>
      <w:r w:rsidR="002C4349" w:rsidRPr="002C4349">
        <w:t>一旦监测数据异常，立即启动注浆堵漏</w:t>
      </w:r>
      <w:r w:rsidR="007E1EA3">
        <w:rPr>
          <w:rFonts w:hint="eastAsia"/>
        </w:rPr>
        <w:t>、</w:t>
      </w:r>
      <w:r w:rsidR="002C4349">
        <w:rPr>
          <w:rFonts w:hint="eastAsia"/>
        </w:rPr>
        <w:t>淋溶水</w:t>
      </w:r>
      <w:r w:rsidR="002C4349" w:rsidRPr="002C4349">
        <w:t>抽吸回灌</w:t>
      </w:r>
      <w:r w:rsidR="007E1EA3">
        <w:rPr>
          <w:rFonts w:hint="eastAsia"/>
        </w:rPr>
        <w:t>、</w:t>
      </w:r>
      <w:r w:rsidR="007E1EA3" w:rsidRPr="007E1EA3">
        <w:t>土壤淋洗</w:t>
      </w:r>
      <w:r w:rsidR="007E1EA3" w:rsidRPr="007E1EA3">
        <w:t>/</w:t>
      </w:r>
      <w:r w:rsidR="007E1EA3" w:rsidRPr="007E1EA3">
        <w:t>固化</w:t>
      </w:r>
      <w:r w:rsidR="007E1EA3">
        <w:rPr>
          <w:rFonts w:hint="eastAsia"/>
        </w:rPr>
        <w:t>等</w:t>
      </w:r>
      <w:r w:rsidR="002C4349" w:rsidRPr="002C4349">
        <w:t>程序，防止污染进一步扩散</w:t>
      </w:r>
      <w:r w:rsidR="00FD1AC9">
        <w:rPr>
          <w:rFonts w:hint="eastAsia"/>
        </w:rPr>
        <w:t>地下水和土壤</w:t>
      </w:r>
      <w:r w:rsidR="002C4349" w:rsidRPr="002C4349">
        <w:t>。</w:t>
      </w:r>
    </w:p>
    <w:p w14:paraId="48B41C44" w14:textId="719ADD48" w:rsidR="00E85681" w:rsidRDefault="00E85681">
      <w:pPr>
        <w:pStyle w:val="affffff4"/>
      </w:pPr>
      <w:r>
        <w:rPr>
          <w:rFonts w:hint="eastAsia"/>
        </w:rPr>
        <w:t>采取上述措施后，运营期对地下水</w:t>
      </w:r>
      <w:r w:rsidR="00FD1AC9">
        <w:rPr>
          <w:rFonts w:hint="eastAsia"/>
        </w:rPr>
        <w:t>和土壤</w:t>
      </w:r>
      <w:r w:rsidR="007E1EA3">
        <w:rPr>
          <w:rFonts w:hint="eastAsia"/>
        </w:rPr>
        <w:t>环境</w:t>
      </w:r>
      <w:r>
        <w:rPr>
          <w:rFonts w:hint="eastAsia"/>
        </w:rPr>
        <w:t>影响不大。</w:t>
      </w:r>
    </w:p>
    <w:p w14:paraId="1CC219AE" w14:textId="51F3A52C" w:rsidR="00606029" w:rsidRDefault="00B767A5">
      <w:pPr>
        <w:pStyle w:val="3"/>
      </w:pPr>
      <w:bookmarkStart w:id="303" w:name="_Toc220680549"/>
      <w:r>
        <w:rPr>
          <w:rFonts w:hint="eastAsia"/>
        </w:rPr>
        <w:t>7</w:t>
      </w:r>
      <w:r w:rsidR="00EA5B92">
        <w:t>.2.</w:t>
      </w:r>
      <w:r w:rsidR="007E1EA3">
        <w:rPr>
          <w:rFonts w:hint="eastAsia"/>
        </w:rPr>
        <w:t>6</w:t>
      </w:r>
      <w:r w:rsidR="00EA5B92">
        <w:t>填埋场封场后的生态恢复措施</w:t>
      </w:r>
      <w:bookmarkEnd w:id="303"/>
    </w:p>
    <w:p w14:paraId="34F32A8E" w14:textId="2432E1C0" w:rsidR="00606029" w:rsidRDefault="00EA5B92">
      <w:pPr>
        <w:pStyle w:val="affffff4"/>
      </w:pPr>
      <w:r>
        <w:t>封场工程的作用在于控制填埋场污染，防止破坏生态环境。参照《生活垃圾卫生</w:t>
      </w:r>
      <w:r>
        <w:lastRenderedPageBreak/>
        <w:t>填埋技术规范》（</w:t>
      </w:r>
      <w:r>
        <w:t>CJJ17-2004</w:t>
      </w:r>
      <w:r>
        <w:t>）、《生活垃圾卫生填埋场封场技术规程》（</w:t>
      </w:r>
      <w:r>
        <w:t>CJJ112-2007</w:t>
      </w:r>
      <w:r>
        <w:t>）和场区建设条件，</w:t>
      </w:r>
      <w:r w:rsidR="007E7177">
        <w:rPr>
          <w:rFonts w:hint="eastAsia"/>
        </w:rPr>
        <w:t>结合</w:t>
      </w:r>
      <w:r>
        <w:t>项目的实际情况，</w:t>
      </w:r>
      <w:r w:rsidR="007E7177">
        <w:rPr>
          <w:rFonts w:hint="eastAsia"/>
        </w:rPr>
        <w:t>本项目</w:t>
      </w:r>
      <w:r>
        <w:t>填埋场最终覆盖采用人工复合覆盖结构。</w:t>
      </w:r>
    </w:p>
    <w:p w14:paraId="6FB45DF4" w14:textId="77777777" w:rsidR="00606029" w:rsidRDefault="00EA5B92">
      <w:pPr>
        <w:pStyle w:val="affffff4"/>
      </w:pPr>
      <w:r>
        <w:t>（</w:t>
      </w:r>
      <w:r>
        <w:t>1</w:t>
      </w:r>
      <w:r>
        <w:t>）填埋场最后封场，应在填埋物上覆盖粘土，粘土的渗透系数</w:t>
      </w:r>
      <w:r>
        <w:t>1.0×10</w:t>
      </w:r>
      <w:r w:rsidRPr="0075721C">
        <w:rPr>
          <w:vertAlign w:val="superscript"/>
        </w:rPr>
        <w:t>-7</w:t>
      </w:r>
      <w:r>
        <w:t>cm/s</w:t>
      </w:r>
      <w:r>
        <w:t>，厚度为</w:t>
      </w:r>
      <w:r>
        <w:t>20</w:t>
      </w:r>
      <w:r>
        <w:t>～</w:t>
      </w:r>
      <w:r>
        <w:t>30</w:t>
      </w:r>
      <w:r>
        <w:t>厘米，其上再覆盖</w:t>
      </w:r>
      <w:r>
        <w:t>20</w:t>
      </w:r>
      <w:r>
        <w:t>～</w:t>
      </w:r>
      <w:r>
        <w:t>30</w:t>
      </w:r>
      <w:r>
        <w:t>厘米自然土，并均匀压实；</w:t>
      </w:r>
    </w:p>
    <w:p w14:paraId="758547B5" w14:textId="77777777" w:rsidR="00606029" w:rsidRDefault="00EA5B92">
      <w:pPr>
        <w:pStyle w:val="affffff4"/>
      </w:pPr>
      <w:r>
        <w:t>（</w:t>
      </w:r>
      <w:r>
        <w:t>2</w:t>
      </w:r>
      <w:r>
        <w:t>）填埋场封场后应覆盖植被。根据种植植物的根系深浅而确定，覆盖营养土层厚度，不应小于</w:t>
      </w:r>
      <w:r>
        <w:t>20</w:t>
      </w:r>
      <w:r>
        <w:t>厘米，总覆盖土应在</w:t>
      </w:r>
      <w:r>
        <w:t>80</w:t>
      </w:r>
      <w:r>
        <w:t>厘米以上；</w:t>
      </w:r>
    </w:p>
    <w:p w14:paraId="107755E0" w14:textId="39D0E305" w:rsidR="00606029" w:rsidRDefault="00EA5B92">
      <w:pPr>
        <w:pStyle w:val="affffff4"/>
      </w:pPr>
      <w:r>
        <w:t>（</w:t>
      </w:r>
      <w:r>
        <w:t>3</w:t>
      </w:r>
      <w:r>
        <w:t>）填埋场封场应充分考虑堆体的稳定性和可操作性</w:t>
      </w:r>
      <w:r w:rsidR="00A26203">
        <w:rPr>
          <w:rFonts w:hint="eastAsia"/>
        </w:rPr>
        <w:t>，并</w:t>
      </w:r>
      <w:r>
        <w:t>考虑地表水径流、排水防渗及覆盖层渗透性等因素，使最终覆盖层安全有效</w:t>
      </w:r>
      <w:r w:rsidR="007E7177">
        <w:rPr>
          <w:rFonts w:hint="eastAsia"/>
        </w:rPr>
        <w:t>，并</w:t>
      </w:r>
      <w:r>
        <w:t>保留</w:t>
      </w:r>
      <w:r w:rsidR="007E7177">
        <w:rPr>
          <w:rFonts w:hint="eastAsia"/>
        </w:rPr>
        <w:t>淋溶水排出和</w:t>
      </w:r>
      <w:r>
        <w:t>处理设施，待确定达到安全为止；</w:t>
      </w:r>
    </w:p>
    <w:p w14:paraId="4D263583" w14:textId="6D998C5F" w:rsidR="00606029" w:rsidRDefault="00EA5B92">
      <w:pPr>
        <w:pStyle w:val="affffff4"/>
      </w:pPr>
      <w:r>
        <w:t>（</w:t>
      </w:r>
      <w:r>
        <w:t>5</w:t>
      </w:r>
      <w:r>
        <w:t>）填埋场封场后垃圾堆体可能出现的因局部沉降引起的陷落和裂隙等，应做及时处理</w:t>
      </w:r>
      <w:r w:rsidR="00A26203">
        <w:rPr>
          <w:rFonts w:hint="eastAsia"/>
        </w:rPr>
        <w:t>；</w:t>
      </w:r>
    </w:p>
    <w:p w14:paraId="4DDFB2D6" w14:textId="2674EC03" w:rsidR="00606029" w:rsidRDefault="00EA5B92">
      <w:pPr>
        <w:pStyle w:val="affffff4"/>
      </w:pPr>
      <w:r>
        <w:t>（</w:t>
      </w:r>
      <w:r>
        <w:t>6</w:t>
      </w:r>
      <w:r>
        <w:t>）根据场区建设条件，填埋场最终覆盖系统为人工材料覆盖结构，其由下至上的结构层依次为</w:t>
      </w:r>
      <w:r w:rsidR="006A52CC">
        <w:t>：</w:t>
      </w:r>
      <w:r>
        <w:t>膜下保护层（粘土，厚度</w:t>
      </w:r>
      <w:r>
        <w:t>30cm</w:t>
      </w:r>
      <w:r>
        <w:t>）、</w:t>
      </w:r>
      <w:r>
        <w:t>HDPE</w:t>
      </w:r>
      <w:r>
        <w:t>土工膜（厚度</w:t>
      </w:r>
      <w:r>
        <w:t>1.0mm</w:t>
      </w:r>
      <w:r>
        <w:t>）、膜上保护层与排水层（复合土工排水网）和植被层（厚度</w:t>
      </w:r>
      <w:r>
        <w:t>60cm</w:t>
      </w:r>
      <w:r>
        <w:t>的营养土层和种植的草皮）。</w:t>
      </w:r>
    </w:p>
    <w:p w14:paraId="48742096" w14:textId="63D48BFF" w:rsidR="007E7177" w:rsidRDefault="007E7177">
      <w:pPr>
        <w:pStyle w:val="affffff4"/>
      </w:pPr>
      <w:r>
        <w:rPr>
          <w:rFonts w:hint="eastAsia"/>
        </w:rPr>
        <w:t>采取上述措施后，</w:t>
      </w:r>
      <w:r w:rsidR="0096303B">
        <w:rPr>
          <w:rFonts w:hint="eastAsia"/>
        </w:rPr>
        <w:t>填埋场</w:t>
      </w:r>
      <w:r>
        <w:rPr>
          <w:rFonts w:hint="eastAsia"/>
        </w:rPr>
        <w:t>封场对环境产生的影响较小。</w:t>
      </w:r>
    </w:p>
    <w:p w14:paraId="5F6D1472" w14:textId="609FF1B2" w:rsidR="007B24C4" w:rsidRDefault="007B24C4" w:rsidP="007B24C4">
      <w:pPr>
        <w:pStyle w:val="3"/>
      </w:pPr>
      <w:bookmarkStart w:id="304" w:name="_Toc20352"/>
      <w:bookmarkStart w:id="305" w:name="_Toc19019"/>
      <w:bookmarkStart w:id="306" w:name="_Toc220680550"/>
      <w:r>
        <w:rPr>
          <w:rFonts w:hint="eastAsia"/>
        </w:rPr>
        <w:t>7.2.7</w:t>
      </w:r>
      <w:r>
        <w:t>环境风险防范措施</w:t>
      </w:r>
      <w:bookmarkEnd w:id="304"/>
      <w:bookmarkEnd w:id="305"/>
      <w:bookmarkEnd w:id="306"/>
    </w:p>
    <w:p w14:paraId="5E6B0E3D" w14:textId="4DB3D3CB" w:rsidR="007B24C4" w:rsidRDefault="007B24C4" w:rsidP="007B24C4">
      <w:pPr>
        <w:pStyle w:val="4"/>
      </w:pPr>
      <w:r>
        <w:rPr>
          <w:rFonts w:hint="eastAsia"/>
        </w:rPr>
        <w:t>7.2.7.</w:t>
      </w:r>
      <w:r w:rsidR="00F849F7">
        <w:rPr>
          <w:rFonts w:hint="eastAsia"/>
        </w:rPr>
        <w:t>1</w:t>
      </w:r>
      <w:r>
        <w:t>淋溶水泄露的防范措施</w:t>
      </w:r>
    </w:p>
    <w:p w14:paraId="4C0E2934" w14:textId="77777777" w:rsidR="007B24C4" w:rsidRDefault="007B24C4" w:rsidP="007B24C4">
      <w:pPr>
        <w:pStyle w:val="affffff4"/>
      </w:pPr>
      <w:r>
        <w:t>①</w:t>
      </w:r>
      <w:r>
        <w:t>防渗层施工由有资质专业队伍按规范施工；铺设、焊接、质量检查工序严格按照有关规程或标准进行；</w:t>
      </w:r>
    </w:p>
    <w:p w14:paraId="564F9112" w14:textId="6363DCC8" w:rsidR="007B24C4" w:rsidRDefault="007B24C4" w:rsidP="007B24C4">
      <w:pPr>
        <w:pStyle w:val="affffff4"/>
      </w:pPr>
      <w:r>
        <w:t>②</w:t>
      </w:r>
      <w:r>
        <w:t>防渗材料铺设前，对</w:t>
      </w:r>
      <w:r w:rsidR="00A26203">
        <w:rPr>
          <w:rFonts w:hint="eastAsia"/>
        </w:rPr>
        <w:t>原调节池</w:t>
      </w:r>
      <w:r w:rsidR="00825083">
        <w:rPr>
          <w:rFonts w:hint="eastAsia"/>
        </w:rPr>
        <w:t>内残留渗滤液和污泥</w:t>
      </w:r>
      <w:r w:rsidR="00A26203">
        <w:rPr>
          <w:rFonts w:hint="eastAsia"/>
        </w:rPr>
        <w:t>进行清理</w:t>
      </w:r>
      <w:r>
        <w:t>；</w:t>
      </w:r>
    </w:p>
    <w:p w14:paraId="457D4FEE" w14:textId="473F8ED1" w:rsidR="007B24C4" w:rsidRDefault="007B24C4" w:rsidP="007B24C4">
      <w:pPr>
        <w:pStyle w:val="affffff4"/>
      </w:pPr>
      <w:r>
        <w:t>③</w:t>
      </w:r>
      <w:r w:rsidR="00825083" w:rsidRPr="00825083">
        <w:t>填埋区为重点防渗区，采用</w:t>
      </w:r>
      <w:r w:rsidR="00825083" w:rsidRPr="00825083">
        <w:t>“</w:t>
      </w:r>
      <w:r w:rsidR="00825083" w:rsidRPr="00825083">
        <w:t>双层人工复合衬层</w:t>
      </w:r>
      <w:r w:rsidR="00825083" w:rsidRPr="00825083">
        <w:t>”</w:t>
      </w:r>
      <w:r w:rsidR="00825083" w:rsidRPr="00825083">
        <w:t>系统，主防渗层为</w:t>
      </w:r>
      <w:r w:rsidR="00825083" w:rsidRPr="00825083">
        <w:t xml:space="preserve"> 2.0mm</w:t>
      </w:r>
      <w:r w:rsidR="00825083" w:rsidRPr="00825083">
        <w:t>厚的高密度聚乙烯（</w:t>
      </w:r>
      <w:r w:rsidR="00825083" w:rsidRPr="00825083">
        <w:t>HDPE</w:t>
      </w:r>
      <w:r w:rsidR="00825083" w:rsidRPr="00825083">
        <w:t>）膜，次防渗层为</w:t>
      </w:r>
      <w:r w:rsidR="00825083" w:rsidRPr="00825083">
        <w:t>1.5mm HDPE</w:t>
      </w:r>
      <w:r w:rsidR="00825083" w:rsidRPr="00825083">
        <w:t>膜</w:t>
      </w:r>
      <w:r w:rsidR="00825083" w:rsidRPr="00825083">
        <w:t>+5.0mm GCL</w:t>
      </w:r>
      <w:r w:rsidR="00825083" w:rsidRPr="00825083">
        <w:t>膨润土垫，中间层为渗漏检测层（砾石层</w:t>
      </w:r>
      <w:r w:rsidR="00825083" w:rsidRPr="00825083">
        <w:t>+</w:t>
      </w:r>
      <w:r w:rsidR="00825083" w:rsidRPr="00825083">
        <w:t>管道），用于收集可能发生的渗漏液。并在池壁与池底的拐角处增加土工布垫层保护，并确保</w:t>
      </w:r>
      <w:r w:rsidR="00825083" w:rsidRPr="00825083">
        <w:t>HDPE</w:t>
      </w:r>
      <w:r w:rsidR="00825083" w:rsidRPr="00825083">
        <w:t>膜的锚固严密，确保防渗性能满足《生活垃圾填埋污染控制标准》（</w:t>
      </w:r>
      <w:r w:rsidR="00825083" w:rsidRPr="00825083">
        <w:t>GB16889-2024</w:t>
      </w:r>
      <w:r w:rsidR="00825083" w:rsidRPr="00825083">
        <w:t>）和《生活垃圾卫生填埋技术规范》（</w:t>
      </w:r>
      <w:r w:rsidR="00825083" w:rsidRPr="00825083">
        <w:t>GB50869-2013</w:t>
      </w:r>
      <w:r w:rsidR="00825083" w:rsidRPr="00825083">
        <w:t>）标准要求</w:t>
      </w:r>
      <w:r>
        <w:t>；</w:t>
      </w:r>
    </w:p>
    <w:p w14:paraId="737048FB" w14:textId="77777777" w:rsidR="007B24C4" w:rsidRDefault="007B24C4" w:rsidP="007B24C4">
      <w:pPr>
        <w:pStyle w:val="affffff4"/>
      </w:pPr>
      <w:r>
        <w:t>④</w:t>
      </w:r>
      <w:r>
        <w:t>设置防渗衬层渗漏检测系统，定期检测防渗衬层系统完整性，发现防渗衬层系统发生渗漏时，应及时采取补救措施，将破坏区域隔离，进行防渗膜修补；</w:t>
      </w:r>
    </w:p>
    <w:p w14:paraId="3E206FAD" w14:textId="1A898AE5" w:rsidR="007B24C4" w:rsidRDefault="007B24C4" w:rsidP="00825083">
      <w:pPr>
        <w:pStyle w:val="affffff4"/>
      </w:pPr>
      <w:r>
        <w:lastRenderedPageBreak/>
        <w:t>⑤</w:t>
      </w:r>
      <w:r>
        <w:t>布设地下水监测井</w:t>
      </w:r>
      <w:r w:rsidR="00825083">
        <w:rPr>
          <w:rFonts w:hint="eastAsia"/>
        </w:rPr>
        <w:t>，</w:t>
      </w:r>
      <w:r w:rsidR="00825083" w:rsidRPr="00825083">
        <w:t>上游设置</w:t>
      </w:r>
      <w:r w:rsidR="00825083" w:rsidRPr="00825083">
        <w:t>1</w:t>
      </w:r>
      <w:r w:rsidR="00825083" w:rsidRPr="00825083">
        <w:t>口（背景值井）；下游设置</w:t>
      </w:r>
      <w:r w:rsidR="00825083" w:rsidRPr="00825083">
        <w:t>2</w:t>
      </w:r>
      <w:r w:rsidR="00825083" w:rsidRPr="00825083">
        <w:t>口（主检井和备用井），呈扇形布设，深度需穿透底板，</w:t>
      </w:r>
      <w:r>
        <w:t>定期监测地下水水质，当发现地下水质有被污染迹象时，应及时查找原因，发现渗漏位置并采取补救措施，防止污染进一步扩散</w:t>
      </w:r>
      <w:r w:rsidR="00825083">
        <w:rPr>
          <w:rFonts w:hint="eastAsia"/>
        </w:rPr>
        <w:t>，并</w:t>
      </w:r>
      <w:r w:rsidR="00825083" w:rsidRPr="00825083">
        <w:t>在防渗层之间的渗漏检测层中埋设取样管，用于早期预警；</w:t>
      </w:r>
    </w:p>
    <w:p w14:paraId="7D6927B2" w14:textId="518D66A9" w:rsidR="007B24C4" w:rsidRDefault="00125DDD" w:rsidP="00125DDD">
      <w:pPr>
        <w:pStyle w:val="affffff4"/>
      </w:pPr>
      <w:r w:rsidRPr="00125DDD">
        <w:rPr>
          <w:rFonts w:ascii="Cambria Math" w:hAnsi="Cambria Math" w:cs="Cambria Math"/>
        </w:rPr>
        <w:t>⑥</w:t>
      </w:r>
      <w:r w:rsidR="007B24C4">
        <w:t>加强雨水外排能力，每年汛期之前，完成防洪排洪系统整修，确保其畅通无阻；</w:t>
      </w:r>
    </w:p>
    <w:p w14:paraId="4624CE6D" w14:textId="53FD1779" w:rsidR="007B24C4" w:rsidRDefault="00125DDD" w:rsidP="007B24C4">
      <w:pPr>
        <w:pStyle w:val="affffff4"/>
      </w:pPr>
      <w:r>
        <w:rPr>
          <w:rFonts w:ascii="Cambria Math" w:hAnsi="Cambria Math" w:cs="Cambria Math"/>
        </w:rPr>
        <w:t>⑦</w:t>
      </w:r>
      <w:r w:rsidR="00825083">
        <w:rPr>
          <w:rFonts w:hint="eastAsia"/>
        </w:rPr>
        <w:t>加强厂区</w:t>
      </w:r>
      <w:r w:rsidR="007B24C4">
        <w:t>绿化，充分利用植物对雨水的滞留作用和蒸腾作用。</w:t>
      </w:r>
    </w:p>
    <w:p w14:paraId="61FCD836" w14:textId="038BBFD8" w:rsidR="00825083" w:rsidRDefault="00125DDD" w:rsidP="007B24C4">
      <w:pPr>
        <w:pStyle w:val="affffff4"/>
      </w:pPr>
      <w:r>
        <w:t>⑧</w:t>
      </w:r>
      <w:r w:rsidR="00825083">
        <w:rPr>
          <w:rFonts w:hint="eastAsia"/>
        </w:rPr>
        <w:t>加强</w:t>
      </w:r>
      <w:r w:rsidR="007B24C4">
        <w:t>运行中设备的巡视、检查和维修工作，提高巡线的有效性，保证巡视检查的频率符合相关规定。</w:t>
      </w:r>
    </w:p>
    <w:p w14:paraId="0D1001B2" w14:textId="2A7FADCE" w:rsidR="007B24C4" w:rsidRDefault="00825083" w:rsidP="007B24C4">
      <w:pPr>
        <w:pStyle w:val="affffff4"/>
      </w:pPr>
      <w:bookmarkStart w:id="307" w:name="OLE_LINK52"/>
      <w:bookmarkStart w:id="308" w:name="OLE_LINK51"/>
      <w:r>
        <w:rPr>
          <w:rFonts w:hint="eastAsia"/>
        </w:rPr>
        <w:t>采取上述措施后，</w:t>
      </w:r>
      <w:bookmarkEnd w:id="307"/>
      <w:r w:rsidR="00125DDD">
        <w:rPr>
          <w:rFonts w:hint="eastAsia"/>
        </w:rPr>
        <w:t>可以有效防止</w:t>
      </w:r>
      <w:r>
        <w:rPr>
          <w:rFonts w:hint="eastAsia"/>
        </w:rPr>
        <w:t>淋溶水泄漏</w:t>
      </w:r>
      <w:r w:rsidR="007B24C4">
        <w:t>。</w:t>
      </w:r>
    </w:p>
    <w:bookmarkEnd w:id="308"/>
    <w:p w14:paraId="51134C55" w14:textId="3EB17307" w:rsidR="007B24C4" w:rsidRDefault="007B24C4" w:rsidP="007B24C4">
      <w:pPr>
        <w:pStyle w:val="4"/>
      </w:pPr>
      <w:r>
        <w:rPr>
          <w:rFonts w:hint="eastAsia"/>
        </w:rPr>
        <w:t>7.2.7.</w:t>
      </w:r>
      <w:r w:rsidR="00F849F7">
        <w:rPr>
          <w:rFonts w:hint="eastAsia"/>
        </w:rPr>
        <w:t>2</w:t>
      </w:r>
      <w:r>
        <w:t>暴雨期环境风险防范措施</w:t>
      </w:r>
    </w:p>
    <w:p w14:paraId="6C64473F" w14:textId="77777777" w:rsidR="007B24C4" w:rsidRDefault="007B24C4" w:rsidP="007B24C4">
      <w:pPr>
        <w:pStyle w:val="affffff4"/>
      </w:pPr>
      <w:r>
        <w:t>①</w:t>
      </w:r>
      <w:r>
        <w:t>场区截洪沟应按设计要求先行构筑，确保未被污染的强降雨直接导出场外，减少暴雨对污水处理系统的冲击；</w:t>
      </w:r>
    </w:p>
    <w:p w14:paraId="5E0E2B14" w14:textId="77777777" w:rsidR="007B24C4" w:rsidRDefault="007B24C4" w:rsidP="007B24C4">
      <w:pPr>
        <w:pStyle w:val="affffff4"/>
      </w:pPr>
      <w:r>
        <w:t>②</w:t>
      </w:r>
      <w:r>
        <w:t>截洪沟应定期疏通，尤其在雨季需经常清理，防止截洪沟堵塞，泄洪不畅；</w:t>
      </w:r>
    </w:p>
    <w:p w14:paraId="60978D62" w14:textId="77777777" w:rsidR="007B24C4" w:rsidRDefault="007B24C4" w:rsidP="007B24C4">
      <w:pPr>
        <w:pStyle w:val="affffff4"/>
      </w:pPr>
      <w:r>
        <w:t>③</w:t>
      </w:r>
      <w:r>
        <w:t>场地淋溶水导排系统施工一定要按要管规定进行，填埋要严格按照规程进行；</w:t>
      </w:r>
    </w:p>
    <w:p w14:paraId="3117D0C1" w14:textId="77777777" w:rsidR="007B24C4" w:rsidRDefault="007B24C4" w:rsidP="007B24C4">
      <w:pPr>
        <w:pStyle w:val="affffff4"/>
      </w:pPr>
      <w:r>
        <w:t>④</w:t>
      </w:r>
      <w:r>
        <w:t>日常运行时，特别是在雨季来临时，应给调节池留出足够的剩余容积以调节强降雨的淋溶水。</w:t>
      </w:r>
    </w:p>
    <w:p w14:paraId="139E37BB" w14:textId="72CE5CDF" w:rsidR="00125DDD" w:rsidRDefault="00125DDD" w:rsidP="007B24C4">
      <w:pPr>
        <w:pStyle w:val="affffff4"/>
      </w:pPr>
      <w:r>
        <w:rPr>
          <w:rFonts w:hint="eastAsia"/>
        </w:rPr>
        <w:t>采取上述措施后，可以有效防止暴雨的影响。</w:t>
      </w:r>
    </w:p>
    <w:p w14:paraId="79B04205" w14:textId="46AA9DF7" w:rsidR="007B24C4" w:rsidRDefault="007B24C4" w:rsidP="007B24C4">
      <w:pPr>
        <w:pStyle w:val="4"/>
      </w:pPr>
      <w:r>
        <w:rPr>
          <w:rFonts w:hint="eastAsia"/>
        </w:rPr>
        <w:t>7.2.7.</w:t>
      </w:r>
      <w:r w:rsidR="004E03EE">
        <w:rPr>
          <w:rFonts w:hint="eastAsia"/>
        </w:rPr>
        <w:t>3</w:t>
      </w:r>
      <w:r>
        <w:t>沉降或滑动的防范措施</w:t>
      </w:r>
    </w:p>
    <w:p w14:paraId="79E1A5B6" w14:textId="19FC1200" w:rsidR="007B24C4" w:rsidRDefault="003914A1" w:rsidP="005B3999">
      <w:pPr>
        <w:pStyle w:val="affffff4"/>
      </w:pPr>
      <w:r>
        <w:rPr>
          <w:rFonts w:hint="eastAsia"/>
        </w:rPr>
        <w:t>①</w:t>
      </w:r>
      <w:r w:rsidR="007B24C4">
        <w:t>应实行分区域单元逐层填埋作业，一层吨袋码放完成后，进行压实，及时导排淋溶水。</w:t>
      </w:r>
    </w:p>
    <w:p w14:paraId="59907926" w14:textId="517B608A" w:rsidR="005B3999" w:rsidRDefault="003914A1" w:rsidP="007B24C4">
      <w:pPr>
        <w:pStyle w:val="affffff4"/>
      </w:pPr>
      <w:r>
        <w:rPr>
          <w:rFonts w:hint="eastAsia"/>
        </w:rPr>
        <w:t>②</w:t>
      </w:r>
      <w:r w:rsidR="005B3999" w:rsidRPr="005B3999">
        <w:t>下雨天不得进行填埋作业，</w:t>
      </w:r>
      <w:r w:rsidR="005B3999">
        <w:rPr>
          <w:rFonts w:hint="eastAsia"/>
        </w:rPr>
        <w:t>减少</w:t>
      </w:r>
      <w:r w:rsidR="005B3999" w:rsidRPr="005B3999">
        <w:t>堆体产生大范围沉降和滑动。</w:t>
      </w:r>
    </w:p>
    <w:p w14:paraId="609F2689" w14:textId="4B1401A8" w:rsidR="007B24C4" w:rsidRDefault="007B24C4" w:rsidP="007B24C4">
      <w:pPr>
        <w:pStyle w:val="affffff4"/>
      </w:pPr>
      <w:r>
        <w:t>在严格执行运营管理、填埋作业技术规范，做好堆体内排水工作并保证堆填工艺质量的情况下，堆体产生沉降、滑坡地质灾害的风险机率较小。</w:t>
      </w:r>
    </w:p>
    <w:p w14:paraId="54963381" w14:textId="647E19A3" w:rsidR="007B24C4" w:rsidRDefault="007B24C4" w:rsidP="007B24C4">
      <w:pPr>
        <w:pStyle w:val="4"/>
      </w:pPr>
      <w:r>
        <w:rPr>
          <w:rFonts w:hint="eastAsia"/>
        </w:rPr>
        <w:t>7.2.7.</w:t>
      </w:r>
      <w:r w:rsidR="004E03EE">
        <w:rPr>
          <w:rFonts w:hint="eastAsia"/>
        </w:rPr>
        <w:t>4</w:t>
      </w:r>
      <w:r>
        <w:t>坝体溃坝、滑坡防范措施</w:t>
      </w:r>
    </w:p>
    <w:p w14:paraId="2142BE9F" w14:textId="790108F3" w:rsidR="007B24C4" w:rsidRDefault="007B24C4" w:rsidP="007B24C4">
      <w:pPr>
        <w:pStyle w:val="affffff4"/>
      </w:pPr>
      <w:r>
        <w:t>考虑到坝体坝溃坝风险，提出以下防范要求和建议：</w:t>
      </w:r>
    </w:p>
    <w:p w14:paraId="18979CAD" w14:textId="77777777" w:rsidR="007B24C4" w:rsidRDefault="007B24C4" w:rsidP="007B24C4">
      <w:pPr>
        <w:pStyle w:val="affffff4"/>
      </w:pPr>
      <w:r>
        <w:t>①</w:t>
      </w:r>
      <w:r>
        <w:t>应结合场址工程地质条件，强化坝体维护、管理与检查，发现问题及时处理，确保坝体工程质量，防患于未然。</w:t>
      </w:r>
    </w:p>
    <w:p w14:paraId="0B625432" w14:textId="77777777" w:rsidR="007B24C4" w:rsidRDefault="007B24C4" w:rsidP="007B24C4">
      <w:pPr>
        <w:pStyle w:val="affffff4"/>
      </w:pPr>
      <w:r>
        <w:t>②</w:t>
      </w:r>
      <w:r>
        <w:t>汛期应增加巡视人员对坝体及其边坡检查频率，发现问题及时采取措施。</w:t>
      </w:r>
    </w:p>
    <w:p w14:paraId="2D7E05DD" w14:textId="0BADB810" w:rsidR="005B3999" w:rsidRDefault="005B3999" w:rsidP="005B3999">
      <w:pPr>
        <w:pStyle w:val="affffff4"/>
      </w:pPr>
      <w:r>
        <w:rPr>
          <w:rFonts w:hint="eastAsia"/>
        </w:rPr>
        <w:t>采取上述措施后，</w:t>
      </w:r>
      <w:r>
        <w:t>坝体溃坝、滑坡</w:t>
      </w:r>
      <w:r>
        <w:rPr>
          <w:rFonts w:hint="eastAsia"/>
        </w:rPr>
        <w:t>发生的几率较小。</w:t>
      </w:r>
    </w:p>
    <w:p w14:paraId="2C225935" w14:textId="0EF41387" w:rsidR="007B24C4" w:rsidRDefault="007B24C4" w:rsidP="007B24C4">
      <w:pPr>
        <w:pStyle w:val="4"/>
      </w:pPr>
      <w:bookmarkStart w:id="309" w:name="_Toc10996"/>
      <w:bookmarkStart w:id="310" w:name="_Toc12912"/>
      <w:r>
        <w:rPr>
          <w:rFonts w:hint="eastAsia"/>
        </w:rPr>
        <w:lastRenderedPageBreak/>
        <w:t>7.2.7.</w:t>
      </w:r>
      <w:r w:rsidR="00C87D64">
        <w:rPr>
          <w:rFonts w:hint="eastAsia"/>
        </w:rPr>
        <w:t>5</w:t>
      </w:r>
      <w:r>
        <w:t>突发环境事件应急预案修订的编制要求</w:t>
      </w:r>
      <w:bookmarkEnd w:id="309"/>
      <w:bookmarkEnd w:id="310"/>
    </w:p>
    <w:p w14:paraId="3CC50306" w14:textId="37C14D3C" w:rsidR="007B24C4" w:rsidRDefault="007B24C4" w:rsidP="007B24C4">
      <w:pPr>
        <w:spacing w:line="360" w:lineRule="auto"/>
        <w:ind w:firstLine="480"/>
        <w:rPr>
          <w:sz w:val="24"/>
          <w:szCs w:val="24"/>
        </w:rPr>
      </w:pPr>
      <w:r>
        <w:rPr>
          <w:sz w:val="24"/>
          <w:szCs w:val="24"/>
        </w:rPr>
        <w:t>建设单位应当根据改建内容及时修订突发环境事件风险应急预案并报当地主管部门备案，对突发环境事件应急预案修编提出以下要求：</w:t>
      </w:r>
    </w:p>
    <w:p w14:paraId="6D11C811" w14:textId="77777777" w:rsidR="007B24C4" w:rsidRDefault="007B24C4" w:rsidP="007B24C4">
      <w:pPr>
        <w:spacing w:line="360" w:lineRule="auto"/>
        <w:ind w:firstLine="480"/>
        <w:rPr>
          <w:sz w:val="24"/>
          <w:szCs w:val="24"/>
        </w:rPr>
      </w:pPr>
      <w:r>
        <w:rPr>
          <w:sz w:val="24"/>
          <w:szCs w:val="24"/>
        </w:rPr>
        <w:t>为减少事故发生后造成的损失，尤其是减少对环境造成严重的污染，建设单位应落实各项环境及安全管理制度以及上述所列各项风险减缓措施，并制定事故应急预案，使各类风险事故发生后能够及时采取必要的事故应急措施和风险救援措施。具体内容参考以下要点：</w:t>
      </w:r>
    </w:p>
    <w:p w14:paraId="5E353640" w14:textId="77777777" w:rsidR="007B24C4" w:rsidRDefault="007B24C4" w:rsidP="007B24C4">
      <w:pPr>
        <w:spacing w:line="360" w:lineRule="auto"/>
        <w:ind w:firstLine="480"/>
        <w:rPr>
          <w:sz w:val="24"/>
          <w:szCs w:val="24"/>
        </w:rPr>
      </w:pPr>
      <w:r>
        <w:rPr>
          <w:sz w:val="24"/>
          <w:szCs w:val="24"/>
        </w:rPr>
        <w:t>（</w:t>
      </w:r>
      <w:r>
        <w:rPr>
          <w:sz w:val="24"/>
          <w:szCs w:val="24"/>
        </w:rPr>
        <w:t>1</w:t>
      </w:r>
      <w:r>
        <w:rPr>
          <w:sz w:val="24"/>
          <w:szCs w:val="24"/>
        </w:rPr>
        <w:t>）成立应急组织机构</w:t>
      </w:r>
    </w:p>
    <w:p w14:paraId="3A6F1BAD" w14:textId="77777777" w:rsidR="007B24C4" w:rsidRDefault="007B24C4" w:rsidP="007B24C4">
      <w:pPr>
        <w:spacing w:line="360" w:lineRule="auto"/>
        <w:ind w:firstLine="480"/>
        <w:rPr>
          <w:sz w:val="24"/>
          <w:szCs w:val="24"/>
        </w:rPr>
      </w:pPr>
      <w:r>
        <w:rPr>
          <w:sz w:val="24"/>
          <w:szCs w:val="24"/>
        </w:rPr>
        <w:t>公司应急组织机构主要为公司环境安全管理机构，由公司第一责任人、环保直接负责人、环保主管部门负责人和其他的专职环境管理人员组成。应急组织机构主要负责宣传国家突发环境事件应急工作的方针、政策，贯彻落实上级领导对环境污染事故应急的指示精神，掌握有关突发环境事件应急情报信息和事态变化情况，及时将事故上报有关部门，负责有关突发环境事件应急工作措施落实情况、工作进展情况，信息联络、传达、报送、新闻发布等工作。</w:t>
      </w:r>
    </w:p>
    <w:p w14:paraId="5385A14D" w14:textId="77777777" w:rsidR="007B24C4" w:rsidRDefault="007B24C4" w:rsidP="007B24C4">
      <w:pPr>
        <w:spacing w:line="360" w:lineRule="auto"/>
        <w:ind w:firstLine="480"/>
        <w:rPr>
          <w:sz w:val="24"/>
          <w:szCs w:val="24"/>
        </w:rPr>
      </w:pPr>
      <w:r>
        <w:rPr>
          <w:sz w:val="24"/>
          <w:szCs w:val="24"/>
        </w:rPr>
        <w:t>（</w:t>
      </w:r>
      <w:r>
        <w:rPr>
          <w:sz w:val="24"/>
          <w:szCs w:val="24"/>
        </w:rPr>
        <w:t>2</w:t>
      </w:r>
      <w:r>
        <w:rPr>
          <w:sz w:val="24"/>
          <w:szCs w:val="24"/>
        </w:rPr>
        <w:t>）制定应急程序</w:t>
      </w:r>
    </w:p>
    <w:p w14:paraId="4889DE90" w14:textId="77777777" w:rsidR="007B24C4" w:rsidRDefault="007B24C4" w:rsidP="007B24C4">
      <w:pPr>
        <w:spacing w:line="360" w:lineRule="auto"/>
        <w:ind w:firstLine="480"/>
        <w:rPr>
          <w:sz w:val="24"/>
          <w:szCs w:val="24"/>
        </w:rPr>
      </w:pPr>
      <w:r>
        <w:rPr>
          <w:sz w:val="24"/>
          <w:szCs w:val="24"/>
        </w:rPr>
        <w:t>迅速报告：发生突发环境事件后，按规定在第一时间向大庆市生态环境部门报告，认定突发环境事件等级。设立应急现场指挥小组：配合有关管理部门应急领导小组，设立应急现场指挥小组，检查所需仪器设施及装备。</w:t>
      </w:r>
    </w:p>
    <w:p w14:paraId="6C2C211D" w14:textId="77777777" w:rsidR="007B24C4" w:rsidRDefault="007B24C4" w:rsidP="007B24C4">
      <w:pPr>
        <w:spacing w:line="360" w:lineRule="auto"/>
        <w:ind w:firstLine="480"/>
        <w:rPr>
          <w:sz w:val="24"/>
          <w:szCs w:val="24"/>
        </w:rPr>
      </w:pPr>
      <w:r>
        <w:rPr>
          <w:sz w:val="24"/>
          <w:szCs w:val="24"/>
        </w:rPr>
        <w:t>现场控制：进行现场调查，按照危险目标位置及周围居民区等保护目标位置分布情况，划定紧急隔离控制区域，设置警告标志，根据危险物质性质制定处置措施，切断污染源，防止污染物扩散，控制事件现场。</w:t>
      </w:r>
    </w:p>
    <w:p w14:paraId="73FF3777" w14:textId="77777777" w:rsidR="007B24C4" w:rsidRDefault="007B24C4" w:rsidP="007B24C4">
      <w:pPr>
        <w:spacing w:line="360" w:lineRule="auto"/>
        <w:ind w:firstLine="480"/>
        <w:rPr>
          <w:sz w:val="24"/>
          <w:szCs w:val="24"/>
        </w:rPr>
      </w:pPr>
      <w:r>
        <w:rPr>
          <w:sz w:val="24"/>
          <w:szCs w:val="24"/>
        </w:rPr>
        <w:t>现场调查：迅速展开现场调查、取证工作，查明事件原因、影响程度等。</w:t>
      </w:r>
    </w:p>
    <w:p w14:paraId="20FFB9A8" w14:textId="77777777" w:rsidR="007B24C4" w:rsidRDefault="007B24C4" w:rsidP="007B24C4">
      <w:pPr>
        <w:spacing w:line="360" w:lineRule="auto"/>
        <w:ind w:firstLine="480"/>
        <w:rPr>
          <w:sz w:val="24"/>
          <w:szCs w:val="24"/>
        </w:rPr>
      </w:pPr>
      <w:r>
        <w:rPr>
          <w:sz w:val="24"/>
          <w:szCs w:val="24"/>
        </w:rPr>
        <w:t>现场报告：应急现场指挥小组按</w:t>
      </w:r>
      <w:r>
        <w:rPr>
          <w:sz w:val="24"/>
          <w:szCs w:val="24"/>
        </w:rPr>
        <w:t>6</w:t>
      </w:r>
      <w:r>
        <w:rPr>
          <w:sz w:val="24"/>
          <w:szCs w:val="24"/>
        </w:rPr>
        <w:t>小时速报、</w:t>
      </w:r>
      <w:r>
        <w:rPr>
          <w:sz w:val="24"/>
          <w:szCs w:val="24"/>
        </w:rPr>
        <w:t>24</w:t>
      </w:r>
      <w:r>
        <w:rPr>
          <w:sz w:val="24"/>
          <w:szCs w:val="24"/>
        </w:rPr>
        <w:t>小时确报的要求，负责向应急领导组报告突发事件现场处置动态情况。根据事件影响范围、程度，决定是否增调有关专家、人员、设备、物资前往现场增援。</w:t>
      </w:r>
    </w:p>
    <w:p w14:paraId="0D822B64" w14:textId="77777777" w:rsidR="007B24C4" w:rsidRDefault="007B24C4" w:rsidP="007B24C4">
      <w:pPr>
        <w:spacing w:line="360" w:lineRule="auto"/>
        <w:ind w:firstLine="480"/>
        <w:rPr>
          <w:sz w:val="24"/>
          <w:szCs w:val="24"/>
        </w:rPr>
      </w:pPr>
      <w:r>
        <w:rPr>
          <w:sz w:val="24"/>
          <w:szCs w:val="24"/>
        </w:rPr>
        <w:t>污染处置：根据现场调查和查阅有关资料并参考专家意见，向应急现场指挥组提出污染处置方案。</w:t>
      </w:r>
    </w:p>
    <w:p w14:paraId="55C74822" w14:textId="77777777" w:rsidR="007B24C4" w:rsidRDefault="007B24C4" w:rsidP="007B24C4">
      <w:pPr>
        <w:spacing w:line="360" w:lineRule="auto"/>
        <w:ind w:firstLine="480"/>
        <w:rPr>
          <w:sz w:val="24"/>
          <w:szCs w:val="24"/>
        </w:rPr>
      </w:pPr>
      <w:r>
        <w:rPr>
          <w:sz w:val="24"/>
          <w:szCs w:val="24"/>
        </w:rPr>
        <w:t>污染跟踪：对污染状况进行跟踪调查，根据监测数据和其他有关数据编制分析图表，预测污染迁移强度、速度和影响范围，及时调整对策。</w:t>
      </w:r>
    </w:p>
    <w:p w14:paraId="59273204" w14:textId="77777777" w:rsidR="007B24C4" w:rsidRDefault="007B24C4" w:rsidP="007B24C4">
      <w:pPr>
        <w:spacing w:line="360" w:lineRule="auto"/>
        <w:ind w:firstLine="480"/>
        <w:rPr>
          <w:sz w:val="24"/>
          <w:szCs w:val="24"/>
        </w:rPr>
      </w:pPr>
      <w:r>
        <w:rPr>
          <w:sz w:val="24"/>
          <w:szCs w:val="24"/>
        </w:rPr>
        <w:t>事故应急救援关闭：污染警报解除由应急现场指挥组根据监测数据报应急领导小</w:t>
      </w:r>
      <w:r>
        <w:rPr>
          <w:sz w:val="24"/>
          <w:szCs w:val="24"/>
        </w:rPr>
        <w:lastRenderedPageBreak/>
        <w:t>组同意后发布，提出污染警戒区域解除警戒，落实善后恢复措施。</w:t>
      </w:r>
    </w:p>
    <w:p w14:paraId="4FB6B259" w14:textId="77777777" w:rsidR="007B24C4" w:rsidRDefault="007B24C4" w:rsidP="007B24C4">
      <w:pPr>
        <w:spacing w:line="360" w:lineRule="auto"/>
        <w:ind w:firstLine="480"/>
        <w:rPr>
          <w:sz w:val="24"/>
          <w:szCs w:val="24"/>
        </w:rPr>
      </w:pPr>
      <w:r>
        <w:rPr>
          <w:sz w:val="24"/>
          <w:szCs w:val="24"/>
        </w:rPr>
        <w:t>评估归档：全程详细记录污染事故过程、污染范围、周围环境状况、污染物排放情况、污染途径、危害程度等内容，调查、分析事故原因。污染事故处理完毕后，及时归纳、整理，形成总结报告，按照一事一卷要求存档备案，并上报有关部门。</w:t>
      </w:r>
    </w:p>
    <w:p w14:paraId="2EE4D394" w14:textId="77777777" w:rsidR="007B24C4" w:rsidRDefault="007B24C4" w:rsidP="007B24C4">
      <w:pPr>
        <w:spacing w:line="360" w:lineRule="auto"/>
        <w:ind w:firstLine="480"/>
        <w:rPr>
          <w:sz w:val="24"/>
          <w:szCs w:val="24"/>
        </w:rPr>
      </w:pPr>
      <w:r>
        <w:rPr>
          <w:sz w:val="24"/>
          <w:szCs w:val="24"/>
        </w:rPr>
        <w:t>（</w:t>
      </w:r>
      <w:r>
        <w:rPr>
          <w:sz w:val="24"/>
          <w:szCs w:val="24"/>
        </w:rPr>
        <w:t>3</w:t>
      </w:r>
      <w:r>
        <w:rPr>
          <w:sz w:val="24"/>
          <w:szCs w:val="24"/>
        </w:rPr>
        <w:t>）建立应急处置工作保障</w:t>
      </w:r>
    </w:p>
    <w:p w14:paraId="1B95A70A" w14:textId="77777777" w:rsidR="007B24C4" w:rsidRDefault="007B24C4" w:rsidP="007B24C4">
      <w:pPr>
        <w:spacing w:line="360" w:lineRule="auto"/>
        <w:ind w:firstLine="480"/>
        <w:rPr>
          <w:sz w:val="24"/>
          <w:szCs w:val="24"/>
        </w:rPr>
      </w:pPr>
      <w:r>
        <w:rPr>
          <w:sz w:val="24"/>
          <w:szCs w:val="24"/>
        </w:rPr>
        <w:t>应急能力建设要求：服从上级部门应急指挥组统一指挥，切实加强公司应急体系建设。公司应完善应对突发环境事件的各项内部制度，定期举行应急培训与演练活动，对相关人员进行事故应急救援培训，提高事故发生后的应急处理能力。对新上岗的工作人员、实习人员、进行岗前安全、环保培训。</w:t>
      </w:r>
    </w:p>
    <w:p w14:paraId="5735EF0B" w14:textId="77777777" w:rsidR="007B24C4" w:rsidRDefault="007B24C4" w:rsidP="007B24C4">
      <w:pPr>
        <w:spacing w:line="360" w:lineRule="auto"/>
        <w:ind w:firstLine="480"/>
        <w:rPr>
          <w:sz w:val="24"/>
          <w:szCs w:val="24"/>
        </w:rPr>
      </w:pPr>
      <w:r>
        <w:rPr>
          <w:sz w:val="24"/>
          <w:szCs w:val="24"/>
        </w:rPr>
        <w:t>通信保障：配合有关管理部门建立和完善环境安全应急指挥系统、环境应急处置联动系统和环境安全科学预警系统，确保本公司应急预案启动时，与上级管理部门及生态环境主管部门应急领导小组之间的通信畅通。</w:t>
      </w:r>
    </w:p>
    <w:p w14:paraId="4B204C9E" w14:textId="77777777" w:rsidR="007B24C4" w:rsidRDefault="007B24C4" w:rsidP="007B24C4">
      <w:pPr>
        <w:spacing w:line="360" w:lineRule="auto"/>
        <w:ind w:firstLine="480"/>
        <w:rPr>
          <w:sz w:val="24"/>
          <w:szCs w:val="24"/>
        </w:rPr>
      </w:pPr>
      <w:r>
        <w:rPr>
          <w:sz w:val="24"/>
          <w:szCs w:val="24"/>
        </w:rPr>
        <w:t>公众教育和信息发布：及时对公司邻近区域开展公众教育、培训和发布有关信息，取得公众的理解和支持。</w:t>
      </w:r>
    </w:p>
    <w:p w14:paraId="31281826" w14:textId="77777777" w:rsidR="007B24C4" w:rsidRDefault="007B24C4" w:rsidP="007B24C4">
      <w:pPr>
        <w:spacing w:line="360" w:lineRule="auto"/>
        <w:ind w:firstLine="480"/>
        <w:rPr>
          <w:sz w:val="24"/>
          <w:szCs w:val="24"/>
        </w:rPr>
      </w:pPr>
      <w:r>
        <w:rPr>
          <w:sz w:val="24"/>
          <w:szCs w:val="24"/>
        </w:rPr>
        <w:t>（</w:t>
      </w:r>
      <w:r>
        <w:rPr>
          <w:sz w:val="24"/>
          <w:szCs w:val="24"/>
        </w:rPr>
        <w:t>4</w:t>
      </w:r>
      <w:r>
        <w:rPr>
          <w:sz w:val="24"/>
          <w:szCs w:val="24"/>
        </w:rPr>
        <w:t>）预案修订</w:t>
      </w:r>
    </w:p>
    <w:p w14:paraId="6A333FF8" w14:textId="77777777" w:rsidR="007B24C4" w:rsidRDefault="007B24C4" w:rsidP="007B24C4">
      <w:pPr>
        <w:spacing w:line="360" w:lineRule="auto"/>
        <w:ind w:firstLine="480"/>
        <w:rPr>
          <w:sz w:val="24"/>
          <w:szCs w:val="24"/>
        </w:rPr>
      </w:pPr>
      <w:r>
        <w:rPr>
          <w:sz w:val="24"/>
          <w:szCs w:val="24"/>
        </w:rPr>
        <w:t>随着突发环境事件应急预案的相关法律法规的制定、修改和完善，部门职责或应急资源发生变化，或者应急过程中发现存在问题和出现新的情况时进行预案的修订和完善。环境应急预案每三年至少修订一次。</w:t>
      </w:r>
    </w:p>
    <w:p w14:paraId="4B2A08F3" w14:textId="77777777" w:rsidR="007B24C4" w:rsidRDefault="007B24C4" w:rsidP="007B24C4">
      <w:pPr>
        <w:spacing w:line="360" w:lineRule="auto"/>
        <w:ind w:firstLine="480"/>
        <w:rPr>
          <w:sz w:val="24"/>
          <w:szCs w:val="24"/>
        </w:rPr>
      </w:pPr>
      <w:r>
        <w:rPr>
          <w:sz w:val="24"/>
          <w:szCs w:val="24"/>
        </w:rPr>
        <w:t>有下列情形之一的，及时进行预案的修订：</w:t>
      </w:r>
    </w:p>
    <w:p w14:paraId="26A635C9" w14:textId="77777777" w:rsidR="007B24C4" w:rsidRDefault="007B24C4" w:rsidP="007B24C4">
      <w:pPr>
        <w:spacing w:line="360" w:lineRule="auto"/>
        <w:ind w:firstLine="480"/>
        <w:rPr>
          <w:sz w:val="24"/>
          <w:szCs w:val="24"/>
        </w:rPr>
      </w:pPr>
      <w:r>
        <w:rPr>
          <w:sz w:val="24"/>
          <w:szCs w:val="24"/>
        </w:rPr>
        <w:t>（</w:t>
      </w:r>
      <w:r>
        <w:rPr>
          <w:sz w:val="24"/>
          <w:szCs w:val="24"/>
        </w:rPr>
        <w:t>1</w:t>
      </w:r>
      <w:r>
        <w:rPr>
          <w:sz w:val="24"/>
          <w:szCs w:val="24"/>
        </w:rPr>
        <w:t>）厂区的运营情况（如服务范围、规模）和技术发生变化的；</w:t>
      </w:r>
    </w:p>
    <w:p w14:paraId="516A1BE3" w14:textId="77777777" w:rsidR="007B24C4" w:rsidRDefault="007B24C4" w:rsidP="007B24C4">
      <w:pPr>
        <w:spacing w:line="360" w:lineRule="auto"/>
        <w:ind w:firstLine="480"/>
        <w:rPr>
          <w:sz w:val="24"/>
          <w:szCs w:val="24"/>
        </w:rPr>
      </w:pPr>
      <w:r>
        <w:rPr>
          <w:sz w:val="24"/>
          <w:szCs w:val="24"/>
        </w:rPr>
        <w:t>（</w:t>
      </w:r>
      <w:r>
        <w:rPr>
          <w:sz w:val="24"/>
          <w:szCs w:val="24"/>
        </w:rPr>
        <w:t>2</w:t>
      </w:r>
      <w:r>
        <w:rPr>
          <w:sz w:val="24"/>
          <w:szCs w:val="24"/>
        </w:rPr>
        <w:t>）相关单位和人员发生变化或者应急组织指挥体系或职责调整的；</w:t>
      </w:r>
    </w:p>
    <w:p w14:paraId="6EBCB252" w14:textId="77777777" w:rsidR="007B24C4" w:rsidRDefault="007B24C4" w:rsidP="007B24C4">
      <w:pPr>
        <w:spacing w:line="360" w:lineRule="auto"/>
        <w:ind w:firstLine="480"/>
        <w:rPr>
          <w:sz w:val="24"/>
          <w:szCs w:val="24"/>
        </w:rPr>
      </w:pPr>
      <w:r>
        <w:rPr>
          <w:sz w:val="24"/>
          <w:szCs w:val="24"/>
        </w:rPr>
        <w:t>（</w:t>
      </w:r>
      <w:r>
        <w:rPr>
          <w:sz w:val="24"/>
          <w:szCs w:val="24"/>
        </w:rPr>
        <w:t>3</w:t>
      </w:r>
      <w:r>
        <w:rPr>
          <w:sz w:val="24"/>
          <w:szCs w:val="24"/>
        </w:rPr>
        <w:t>）周围环境或者环境敏感点发生变化的；</w:t>
      </w:r>
    </w:p>
    <w:p w14:paraId="5811F258" w14:textId="77777777" w:rsidR="007B24C4" w:rsidRDefault="007B24C4" w:rsidP="007B24C4">
      <w:pPr>
        <w:spacing w:line="360" w:lineRule="auto"/>
        <w:ind w:firstLine="480"/>
        <w:rPr>
          <w:sz w:val="24"/>
          <w:szCs w:val="24"/>
        </w:rPr>
      </w:pPr>
      <w:r>
        <w:rPr>
          <w:sz w:val="24"/>
          <w:szCs w:val="24"/>
        </w:rPr>
        <w:t>（</w:t>
      </w:r>
      <w:r>
        <w:rPr>
          <w:sz w:val="24"/>
          <w:szCs w:val="24"/>
        </w:rPr>
        <w:t>4</w:t>
      </w:r>
      <w:r>
        <w:rPr>
          <w:sz w:val="24"/>
          <w:szCs w:val="24"/>
        </w:rPr>
        <w:t>）环境应急预案依据的法律、法规、规章等发生变化的；</w:t>
      </w:r>
    </w:p>
    <w:p w14:paraId="438AEBDE" w14:textId="77777777" w:rsidR="007B24C4" w:rsidRDefault="007B24C4" w:rsidP="007B24C4">
      <w:pPr>
        <w:spacing w:line="360" w:lineRule="auto"/>
        <w:ind w:firstLine="480"/>
        <w:rPr>
          <w:sz w:val="24"/>
          <w:szCs w:val="24"/>
        </w:rPr>
      </w:pPr>
      <w:r>
        <w:rPr>
          <w:sz w:val="24"/>
          <w:szCs w:val="24"/>
        </w:rPr>
        <w:t>（</w:t>
      </w:r>
      <w:r>
        <w:rPr>
          <w:sz w:val="24"/>
          <w:szCs w:val="24"/>
        </w:rPr>
        <w:t>5</w:t>
      </w:r>
      <w:r>
        <w:rPr>
          <w:sz w:val="24"/>
          <w:szCs w:val="24"/>
        </w:rPr>
        <w:t>）生态环境主管部门或者相关事业单位认为应当适时修订的其他情形。</w:t>
      </w:r>
    </w:p>
    <w:p w14:paraId="43876B94" w14:textId="77777777" w:rsidR="007B24C4" w:rsidRDefault="007B24C4" w:rsidP="007B24C4">
      <w:pPr>
        <w:spacing w:line="360" w:lineRule="auto"/>
        <w:ind w:firstLine="480"/>
        <w:rPr>
          <w:sz w:val="24"/>
          <w:szCs w:val="24"/>
        </w:rPr>
      </w:pPr>
      <w:r>
        <w:rPr>
          <w:sz w:val="24"/>
          <w:szCs w:val="24"/>
        </w:rPr>
        <w:t>企业环境风险应急预案主要内容见下表：</w:t>
      </w:r>
    </w:p>
    <w:p w14:paraId="3D36F4FE" w14:textId="77777777" w:rsidR="007B24C4" w:rsidRDefault="007B24C4" w:rsidP="007B24C4">
      <w:pPr>
        <w:spacing w:line="240" w:lineRule="atLeast"/>
        <w:jc w:val="center"/>
        <w:rPr>
          <w:b/>
        </w:rPr>
      </w:pPr>
      <w:r>
        <w:rPr>
          <w:b/>
        </w:rPr>
        <w:t>表</w:t>
      </w:r>
      <w:r>
        <w:rPr>
          <w:b/>
        </w:rPr>
        <w:t>7.</w:t>
      </w:r>
      <w:r>
        <w:rPr>
          <w:rFonts w:hint="eastAsia"/>
          <w:b/>
        </w:rPr>
        <w:t>9-1</w:t>
      </w:r>
      <w:r>
        <w:rPr>
          <w:b/>
        </w:rPr>
        <w:t xml:space="preserve">  </w:t>
      </w:r>
      <w:r>
        <w:rPr>
          <w:b/>
        </w:rPr>
        <w:t>环境风险突发事故应急预案</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89"/>
        <w:gridCol w:w="2270"/>
        <w:gridCol w:w="6037"/>
      </w:tblGrid>
      <w:tr w:rsidR="007B24C4" w14:paraId="52708579" w14:textId="77777777" w:rsidTr="00D801FF">
        <w:trPr>
          <w:trHeight w:val="337"/>
          <w:jc w:val="center"/>
        </w:trPr>
        <w:tc>
          <w:tcPr>
            <w:tcW w:w="331" w:type="pct"/>
            <w:vAlign w:val="center"/>
          </w:tcPr>
          <w:p w14:paraId="00618127" w14:textId="77777777" w:rsidR="007B24C4" w:rsidRDefault="007B24C4" w:rsidP="00D801FF">
            <w:pPr>
              <w:spacing w:line="240" w:lineRule="atLeast"/>
              <w:jc w:val="center"/>
              <w:rPr>
                <w:szCs w:val="24"/>
              </w:rPr>
            </w:pPr>
            <w:r>
              <w:rPr>
                <w:szCs w:val="24"/>
              </w:rPr>
              <w:t>序号</w:t>
            </w:r>
          </w:p>
        </w:tc>
        <w:tc>
          <w:tcPr>
            <w:tcW w:w="1276" w:type="pct"/>
            <w:vAlign w:val="center"/>
          </w:tcPr>
          <w:p w14:paraId="37A47695" w14:textId="77777777" w:rsidR="007B24C4" w:rsidRDefault="007B24C4" w:rsidP="00D801FF">
            <w:pPr>
              <w:spacing w:line="240" w:lineRule="atLeast"/>
              <w:jc w:val="center"/>
              <w:rPr>
                <w:szCs w:val="24"/>
              </w:rPr>
            </w:pPr>
            <w:r>
              <w:rPr>
                <w:szCs w:val="24"/>
              </w:rPr>
              <w:t>项目</w:t>
            </w:r>
          </w:p>
        </w:tc>
        <w:tc>
          <w:tcPr>
            <w:tcW w:w="3392" w:type="pct"/>
            <w:vAlign w:val="center"/>
          </w:tcPr>
          <w:p w14:paraId="3B65FB90" w14:textId="77777777" w:rsidR="007B24C4" w:rsidRDefault="007B24C4" w:rsidP="00D801FF">
            <w:pPr>
              <w:spacing w:line="240" w:lineRule="atLeast"/>
              <w:jc w:val="center"/>
              <w:rPr>
                <w:szCs w:val="24"/>
              </w:rPr>
            </w:pPr>
            <w:r>
              <w:rPr>
                <w:szCs w:val="24"/>
              </w:rPr>
              <w:t>内容及要求</w:t>
            </w:r>
          </w:p>
        </w:tc>
      </w:tr>
      <w:tr w:rsidR="007B24C4" w14:paraId="6F5573EF" w14:textId="77777777" w:rsidTr="00D801FF">
        <w:trPr>
          <w:trHeight w:val="340"/>
          <w:jc w:val="center"/>
        </w:trPr>
        <w:tc>
          <w:tcPr>
            <w:tcW w:w="331" w:type="pct"/>
            <w:vAlign w:val="center"/>
          </w:tcPr>
          <w:p w14:paraId="41BD5BB5" w14:textId="77777777" w:rsidR="007B24C4" w:rsidRDefault="007B24C4" w:rsidP="00D801FF">
            <w:pPr>
              <w:spacing w:line="240" w:lineRule="atLeast"/>
              <w:jc w:val="center"/>
              <w:rPr>
                <w:szCs w:val="24"/>
              </w:rPr>
            </w:pPr>
            <w:r>
              <w:rPr>
                <w:szCs w:val="24"/>
              </w:rPr>
              <w:t>1</w:t>
            </w:r>
          </w:p>
        </w:tc>
        <w:tc>
          <w:tcPr>
            <w:tcW w:w="1276" w:type="pct"/>
            <w:vAlign w:val="center"/>
          </w:tcPr>
          <w:p w14:paraId="1874060C" w14:textId="77777777" w:rsidR="007B24C4" w:rsidRDefault="007B24C4" w:rsidP="00D801FF">
            <w:pPr>
              <w:spacing w:line="240" w:lineRule="atLeast"/>
              <w:jc w:val="center"/>
              <w:rPr>
                <w:szCs w:val="24"/>
              </w:rPr>
            </w:pPr>
            <w:r>
              <w:rPr>
                <w:szCs w:val="24"/>
              </w:rPr>
              <w:t>危险源情况</w:t>
            </w:r>
          </w:p>
        </w:tc>
        <w:tc>
          <w:tcPr>
            <w:tcW w:w="3392" w:type="pct"/>
            <w:vAlign w:val="center"/>
          </w:tcPr>
          <w:p w14:paraId="3618C54A" w14:textId="77777777" w:rsidR="007B24C4" w:rsidRDefault="007B24C4" w:rsidP="00D801FF">
            <w:pPr>
              <w:spacing w:line="240" w:lineRule="atLeast"/>
              <w:jc w:val="center"/>
              <w:rPr>
                <w:szCs w:val="24"/>
              </w:rPr>
            </w:pPr>
            <w:r>
              <w:rPr>
                <w:szCs w:val="24"/>
              </w:rPr>
              <w:t>详细说明危险源类型、数量、分布及其对环境的风险。</w:t>
            </w:r>
          </w:p>
        </w:tc>
      </w:tr>
      <w:tr w:rsidR="007B24C4" w14:paraId="70E6AD9E" w14:textId="77777777" w:rsidTr="00D801FF">
        <w:trPr>
          <w:trHeight w:val="340"/>
          <w:jc w:val="center"/>
        </w:trPr>
        <w:tc>
          <w:tcPr>
            <w:tcW w:w="331" w:type="pct"/>
            <w:vAlign w:val="center"/>
          </w:tcPr>
          <w:p w14:paraId="3C4D7FAD" w14:textId="77777777" w:rsidR="007B24C4" w:rsidRDefault="007B24C4" w:rsidP="00D801FF">
            <w:pPr>
              <w:spacing w:line="240" w:lineRule="atLeast"/>
              <w:jc w:val="center"/>
              <w:rPr>
                <w:szCs w:val="24"/>
              </w:rPr>
            </w:pPr>
            <w:r>
              <w:rPr>
                <w:szCs w:val="24"/>
              </w:rPr>
              <w:t>2</w:t>
            </w:r>
          </w:p>
        </w:tc>
        <w:tc>
          <w:tcPr>
            <w:tcW w:w="1276" w:type="pct"/>
            <w:vAlign w:val="center"/>
          </w:tcPr>
          <w:p w14:paraId="0427E066" w14:textId="77777777" w:rsidR="007B24C4" w:rsidRDefault="007B24C4" w:rsidP="00D801FF">
            <w:pPr>
              <w:spacing w:line="240" w:lineRule="atLeast"/>
              <w:jc w:val="center"/>
              <w:rPr>
                <w:szCs w:val="24"/>
              </w:rPr>
            </w:pPr>
            <w:r>
              <w:rPr>
                <w:szCs w:val="24"/>
              </w:rPr>
              <w:t>应急计划区</w:t>
            </w:r>
          </w:p>
        </w:tc>
        <w:tc>
          <w:tcPr>
            <w:tcW w:w="3392" w:type="pct"/>
            <w:vAlign w:val="center"/>
          </w:tcPr>
          <w:p w14:paraId="08D866A6" w14:textId="77777777" w:rsidR="007B24C4" w:rsidRDefault="007B24C4" w:rsidP="00D801FF">
            <w:pPr>
              <w:spacing w:line="240" w:lineRule="atLeast"/>
              <w:jc w:val="center"/>
              <w:rPr>
                <w:szCs w:val="24"/>
              </w:rPr>
            </w:pPr>
            <w:r>
              <w:rPr>
                <w:szCs w:val="24"/>
              </w:rPr>
              <w:t>生产装置、储运设施、公用工程和辅助生产设施，以及环境保护设施等。</w:t>
            </w:r>
          </w:p>
        </w:tc>
      </w:tr>
      <w:tr w:rsidR="007B24C4" w14:paraId="0BFAC76F" w14:textId="77777777" w:rsidTr="00D801FF">
        <w:trPr>
          <w:trHeight w:val="340"/>
          <w:jc w:val="center"/>
        </w:trPr>
        <w:tc>
          <w:tcPr>
            <w:tcW w:w="331" w:type="pct"/>
            <w:vAlign w:val="center"/>
          </w:tcPr>
          <w:p w14:paraId="5C9F72E5" w14:textId="77777777" w:rsidR="007B24C4" w:rsidRDefault="007B24C4" w:rsidP="00D801FF">
            <w:pPr>
              <w:spacing w:line="240" w:lineRule="atLeast"/>
              <w:jc w:val="center"/>
              <w:rPr>
                <w:szCs w:val="24"/>
              </w:rPr>
            </w:pPr>
            <w:r>
              <w:rPr>
                <w:szCs w:val="24"/>
              </w:rPr>
              <w:t>3</w:t>
            </w:r>
          </w:p>
        </w:tc>
        <w:tc>
          <w:tcPr>
            <w:tcW w:w="1276" w:type="pct"/>
            <w:vAlign w:val="center"/>
          </w:tcPr>
          <w:p w14:paraId="6C0795A1" w14:textId="77777777" w:rsidR="007B24C4" w:rsidRDefault="007B24C4" w:rsidP="00D801FF">
            <w:pPr>
              <w:spacing w:line="240" w:lineRule="atLeast"/>
              <w:jc w:val="center"/>
              <w:rPr>
                <w:szCs w:val="24"/>
              </w:rPr>
            </w:pPr>
            <w:r>
              <w:rPr>
                <w:szCs w:val="24"/>
              </w:rPr>
              <w:t>应急组织</w:t>
            </w:r>
          </w:p>
        </w:tc>
        <w:tc>
          <w:tcPr>
            <w:tcW w:w="3392" w:type="pct"/>
            <w:vAlign w:val="center"/>
          </w:tcPr>
          <w:p w14:paraId="7A04248A" w14:textId="77777777" w:rsidR="007B24C4" w:rsidRDefault="007B24C4" w:rsidP="00D801FF">
            <w:pPr>
              <w:spacing w:line="240" w:lineRule="atLeast"/>
              <w:jc w:val="center"/>
              <w:rPr>
                <w:szCs w:val="24"/>
              </w:rPr>
            </w:pPr>
            <w:r>
              <w:rPr>
                <w:szCs w:val="24"/>
              </w:rPr>
              <w:t>成立公司应急指挥小组，由公司最高领导层担任小组长，负责现场全面指挥，专业救援队伍负责事故控制、救援和善后处理。</w:t>
            </w:r>
          </w:p>
        </w:tc>
      </w:tr>
      <w:tr w:rsidR="007B24C4" w14:paraId="18031635" w14:textId="77777777" w:rsidTr="00D801FF">
        <w:trPr>
          <w:trHeight w:val="340"/>
          <w:jc w:val="center"/>
        </w:trPr>
        <w:tc>
          <w:tcPr>
            <w:tcW w:w="331" w:type="pct"/>
            <w:vAlign w:val="center"/>
          </w:tcPr>
          <w:p w14:paraId="2EC1A632" w14:textId="77777777" w:rsidR="007B24C4" w:rsidRDefault="007B24C4" w:rsidP="00D801FF">
            <w:pPr>
              <w:spacing w:line="240" w:lineRule="atLeast"/>
              <w:jc w:val="center"/>
              <w:rPr>
                <w:szCs w:val="24"/>
              </w:rPr>
            </w:pPr>
            <w:r>
              <w:rPr>
                <w:szCs w:val="24"/>
              </w:rPr>
              <w:lastRenderedPageBreak/>
              <w:t>4</w:t>
            </w:r>
          </w:p>
        </w:tc>
        <w:tc>
          <w:tcPr>
            <w:tcW w:w="1276" w:type="pct"/>
            <w:vAlign w:val="center"/>
          </w:tcPr>
          <w:p w14:paraId="5611A0D5" w14:textId="77777777" w:rsidR="007B24C4" w:rsidRDefault="007B24C4" w:rsidP="00D801FF">
            <w:pPr>
              <w:spacing w:line="240" w:lineRule="atLeast"/>
              <w:jc w:val="center"/>
              <w:rPr>
                <w:szCs w:val="24"/>
              </w:rPr>
            </w:pPr>
            <w:r>
              <w:rPr>
                <w:szCs w:val="24"/>
              </w:rPr>
              <w:t>应急状态分类应急响应程序</w:t>
            </w:r>
          </w:p>
        </w:tc>
        <w:tc>
          <w:tcPr>
            <w:tcW w:w="3392" w:type="pct"/>
            <w:vAlign w:val="center"/>
          </w:tcPr>
          <w:p w14:paraId="7D53EEF5" w14:textId="77777777" w:rsidR="007B24C4" w:rsidRDefault="007B24C4" w:rsidP="00D801FF">
            <w:pPr>
              <w:spacing w:line="240" w:lineRule="atLeast"/>
              <w:jc w:val="center"/>
              <w:rPr>
                <w:szCs w:val="24"/>
              </w:rPr>
            </w:pPr>
            <w:r>
              <w:rPr>
                <w:szCs w:val="24"/>
              </w:rPr>
              <w:t>规定环境风险事故的级别及相应的应急状态分类，以此制定相应的应急响应程序。</w:t>
            </w:r>
          </w:p>
        </w:tc>
      </w:tr>
      <w:tr w:rsidR="007B24C4" w14:paraId="485A43AF" w14:textId="77777777" w:rsidTr="00D801FF">
        <w:trPr>
          <w:trHeight w:val="340"/>
          <w:jc w:val="center"/>
        </w:trPr>
        <w:tc>
          <w:tcPr>
            <w:tcW w:w="331" w:type="pct"/>
            <w:vAlign w:val="center"/>
          </w:tcPr>
          <w:p w14:paraId="4977A3A1" w14:textId="77777777" w:rsidR="007B24C4" w:rsidRDefault="007B24C4" w:rsidP="00D801FF">
            <w:pPr>
              <w:spacing w:line="240" w:lineRule="atLeast"/>
              <w:jc w:val="center"/>
              <w:rPr>
                <w:szCs w:val="24"/>
              </w:rPr>
            </w:pPr>
            <w:r>
              <w:rPr>
                <w:szCs w:val="24"/>
              </w:rPr>
              <w:t>5</w:t>
            </w:r>
          </w:p>
        </w:tc>
        <w:tc>
          <w:tcPr>
            <w:tcW w:w="1276" w:type="pct"/>
            <w:vAlign w:val="center"/>
          </w:tcPr>
          <w:p w14:paraId="0DCD300F" w14:textId="77777777" w:rsidR="007B24C4" w:rsidRDefault="007B24C4" w:rsidP="00D801FF">
            <w:pPr>
              <w:spacing w:line="240" w:lineRule="atLeast"/>
              <w:jc w:val="center"/>
              <w:rPr>
                <w:szCs w:val="24"/>
              </w:rPr>
            </w:pPr>
            <w:r>
              <w:rPr>
                <w:szCs w:val="24"/>
              </w:rPr>
              <w:t>应急设施设备与材料</w:t>
            </w:r>
          </w:p>
        </w:tc>
        <w:tc>
          <w:tcPr>
            <w:tcW w:w="3392" w:type="pct"/>
            <w:vAlign w:val="center"/>
          </w:tcPr>
          <w:p w14:paraId="13B95764" w14:textId="77777777" w:rsidR="007B24C4" w:rsidRDefault="007B24C4" w:rsidP="00D801FF">
            <w:pPr>
              <w:spacing w:line="240" w:lineRule="atLeast"/>
              <w:jc w:val="center"/>
              <w:rPr>
                <w:szCs w:val="24"/>
              </w:rPr>
            </w:pPr>
            <w:r>
              <w:rPr>
                <w:szCs w:val="24"/>
              </w:rPr>
              <w:t>生产装置和罐区应设置预防、化学物料泄漏、火灾、爆炸事故的应急设施、设备与材料，主要为有效防毒面具、耳罩、防尘口罩、护目镜、酸碱防护服等防护器具，消防器材、消防服、医疗急救箱等。</w:t>
            </w:r>
          </w:p>
        </w:tc>
      </w:tr>
      <w:tr w:rsidR="007B24C4" w14:paraId="213456D3" w14:textId="77777777" w:rsidTr="00D801FF">
        <w:trPr>
          <w:trHeight w:val="340"/>
          <w:jc w:val="center"/>
        </w:trPr>
        <w:tc>
          <w:tcPr>
            <w:tcW w:w="331" w:type="pct"/>
            <w:vAlign w:val="center"/>
          </w:tcPr>
          <w:p w14:paraId="49E37ECB" w14:textId="77777777" w:rsidR="007B24C4" w:rsidRDefault="007B24C4" w:rsidP="00D801FF">
            <w:pPr>
              <w:spacing w:line="240" w:lineRule="atLeast"/>
              <w:jc w:val="center"/>
              <w:rPr>
                <w:szCs w:val="24"/>
              </w:rPr>
            </w:pPr>
            <w:r>
              <w:rPr>
                <w:szCs w:val="24"/>
              </w:rPr>
              <w:t>6</w:t>
            </w:r>
          </w:p>
        </w:tc>
        <w:tc>
          <w:tcPr>
            <w:tcW w:w="1276" w:type="pct"/>
            <w:vAlign w:val="center"/>
          </w:tcPr>
          <w:p w14:paraId="37841301" w14:textId="77777777" w:rsidR="007B24C4" w:rsidRDefault="007B24C4" w:rsidP="00D801FF">
            <w:pPr>
              <w:spacing w:line="240" w:lineRule="atLeast"/>
              <w:jc w:val="center"/>
              <w:rPr>
                <w:szCs w:val="24"/>
              </w:rPr>
            </w:pPr>
            <w:r>
              <w:rPr>
                <w:szCs w:val="24"/>
              </w:rPr>
              <w:t>应急通讯通告与交通</w:t>
            </w:r>
          </w:p>
        </w:tc>
        <w:tc>
          <w:tcPr>
            <w:tcW w:w="3392" w:type="pct"/>
            <w:vAlign w:val="center"/>
          </w:tcPr>
          <w:p w14:paraId="60D9DE5C" w14:textId="77777777" w:rsidR="007B24C4" w:rsidRDefault="007B24C4" w:rsidP="00D801FF">
            <w:pPr>
              <w:spacing w:line="240" w:lineRule="atLeast"/>
              <w:jc w:val="center"/>
              <w:rPr>
                <w:szCs w:val="24"/>
              </w:rPr>
            </w:pPr>
            <w:r>
              <w:rPr>
                <w:szCs w:val="24"/>
              </w:rPr>
              <w:t>规定应急状态下的通讯、通告方式和交通保障、管理等事项。</w:t>
            </w:r>
          </w:p>
        </w:tc>
      </w:tr>
      <w:tr w:rsidR="007B24C4" w14:paraId="071C1901" w14:textId="77777777" w:rsidTr="00D801FF">
        <w:trPr>
          <w:trHeight w:val="340"/>
          <w:jc w:val="center"/>
        </w:trPr>
        <w:tc>
          <w:tcPr>
            <w:tcW w:w="331" w:type="pct"/>
            <w:vAlign w:val="center"/>
          </w:tcPr>
          <w:p w14:paraId="6FF3A99A" w14:textId="77777777" w:rsidR="007B24C4" w:rsidRDefault="007B24C4" w:rsidP="00D801FF">
            <w:pPr>
              <w:spacing w:line="240" w:lineRule="atLeast"/>
              <w:jc w:val="center"/>
              <w:rPr>
                <w:szCs w:val="24"/>
              </w:rPr>
            </w:pPr>
            <w:r>
              <w:rPr>
                <w:szCs w:val="24"/>
              </w:rPr>
              <w:t>7</w:t>
            </w:r>
          </w:p>
        </w:tc>
        <w:tc>
          <w:tcPr>
            <w:tcW w:w="1276" w:type="pct"/>
            <w:vAlign w:val="center"/>
          </w:tcPr>
          <w:p w14:paraId="71BE67B0" w14:textId="77777777" w:rsidR="007B24C4" w:rsidRDefault="007B24C4" w:rsidP="00D801FF">
            <w:pPr>
              <w:spacing w:line="240" w:lineRule="atLeast"/>
              <w:jc w:val="center"/>
              <w:rPr>
                <w:szCs w:val="24"/>
              </w:rPr>
            </w:pPr>
            <w:r>
              <w:rPr>
                <w:szCs w:val="24"/>
              </w:rPr>
              <w:t>应急环境监测及事故后评价</w:t>
            </w:r>
          </w:p>
        </w:tc>
        <w:tc>
          <w:tcPr>
            <w:tcW w:w="3392" w:type="pct"/>
            <w:vAlign w:val="center"/>
          </w:tcPr>
          <w:p w14:paraId="309CB6C3" w14:textId="77777777" w:rsidR="007B24C4" w:rsidRDefault="007B24C4" w:rsidP="00D801FF">
            <w:pPr>
              <w:spacing w:line="240" w:lineRule="atLeast"/>
              <w:jc w:val="center"/>
              <w:rPr>
                <w:szCs w:val="24"/>
              </w:rPr>
            </w:pPr>
            <w:r>
              <w:rPr>
                <w:szCs w:val="24"/>
              </w:rPr>
              <w:t>由专业人员对事故现场进行应急监测分析，对事故性质、严重程度等所造成的环境危害后果进行评估，吸取经验教训避免再次发生事故，为指挥部门提供决策依据。</w:t>
            </w:r>
          </w:p>
        </w:tc>
      </w:tr>
      <w:tr w:rsidR="007B24C4" w14:paraId="54243626" w14:textId="77777777" w:rsidTr="00D801FF">
        <w:trPr>
          <w:trHeight w:val="340"/>
          <w:jc w:val="center"/>
        </w:trPr>
        <w:tc>
          <w:tcPr>
            <w:tcW w:w="331" w:type="pct"/>
            <w:vAlign w:val="center"/>
          </w:tcPr>
          <w:p w14:paraId="5BF7FDC0" w14:textId="77777777" w:rsidR="007B24C4" w:rsidRDefault="007B24C4" w:rsidP="00D801FF">
            <w:pPr>
              <w:spacing w:line="240" w:lineRule="atLeast"/>
              <w:jc w:val="center"/>
              <w:rPr>
                <w:szCs w:val="24"/>
              </w:rPr>
            </w:pPr>
            <w:r>
              <w:rPr>
                <w:szCs w:val="24"/>
              </w:rPr>
              <w:t>8</w:t>
            </w:r>
          </w:p>
        </w:tc>
        <w:tc>
          <w:tcPr>
            <w:tcW w:w="1276" w:type="pct"/>
            <w:vAlign w:val="center"/>
          </w:tcPr>
          <w:p w14:paraId="53CE860A" w14:textId="77777777" w:rsidR="007B24C4" w:rsidRDefault="007B24C4" w:rsidP="00D801FF">
            <w:pPr>
              <w:spacing w:line="240" w:lineRule="atLeast"/>
              <w:jc w:val="center"/>
              <w:rPr>
                <w:szCs w:val="24"/>
              </w:rPr>
            </w:pPr>
            <w:r>
              <w:rPr>
                <w:szCs w:val="24"/>
              </w:rPr>
              <w:t>应急防护措施及需使用器材</w:t>
            </w:r>
          </w:p>
        </w:tc>
        <w:tc>
          <w:tcPr>
            <w:tcW w:w="3392" w:type="pct"/>
            <w:vAlign w:val="center"/>
          </w:tcPr>
          <w:p w14:paraId="34F91EED" w14:textId="77777777" w:rsidR="007B24C4" w:rsidRDefault="007B24C4" w:rsidP="00D801FF">
            <w:pPr>
              <w:spacing w:line="240" w:lineRule="atLeast"/>
              <w:jc w:val="center"/>
              <w:rPr>
                <w:szCs w:val="24"/>
              </w:rPr>
            </w:pPr>
            <w:r>
              <w:rPr>
                <w:szCs w:val="24"/>
              </w:rPr>
              <w:t>事故现场：控制事故发展，防止扩大、蔓延及连锁反应，清除现场泄漏物，降低危害等相应的设施器材配备。临近地区：控制防火区域，控制和消除环境污染的措施及相应的设备配备。</w:t>
            </w:r>
          </w:p>
        </w:tc>
      </w:tr>
      <w:tr w:rsidR="007B24C4" w14:paraId="1BAA89BE" w14:textId="77777777" w:rsidTr="00D801FF">
        <w:trPr>
          <w:trHeight w:val="340"/>
          <w:jc w:val="center"/>
        </w:trPr>
        <w:tc>
          <w:tcPr>
            <w:tcW w:w="331" w:type="pct"/>
            <w:vAlign w:val="center"/>
          </w:tcPr>
          <w:p w14:paraId="0C3E37A9" w14:textId="77777777" w:rsidR="007B24C4" w:rsidRDefault="007B24C4" w:rsidP="00D801FF">
            <w:pPr>
              <w:spacing w:line="240" w:lineRule="atLeast"/>
              <w:jc w:val="center"/>
              <w:rPr>
                <w:szCs w:val="24"/>
              </w:rPr>
            </w:pPr>
            <w:r>
              <w:rPr>
                <w:szCs w:val="24"/>
              </w:rPr>
              <w:t>9</w:t>
            </w:r>
          </w:p>
        </w:tc>
        <w:tc>
          <w:tcPr>
            <w:tcW w:w="1276" w:type="pct"/>
            <w:vAlign w:val="center"/>
          </w:tcPr>
          <w:p w14:paraId="49E9F86E" w14:textId="77777777" w:rsidR="007B24C4" w:rsidRDefault="007B24C4" w:rsidP="00D801FF">
            <w:pPr>
              <w:spacing w:line="240" w:lineRule="atLeast"/>
              <w:jc w:val="center"/>
              <w:rPr>
                <w:szCs w:val="24"/>
              </w:rPr>
            </w:pPr>
            <w:r>
              <w:rPr>
                <w:szCs w:val="24"/>
              </w:rPr>
              <w:t>应急剂量控制撤离组织计划医疗救护与保护公众健康</w:t>
            </w:r>
          </w:p>
        </w:tc>
        <w:tc>
          <w:tcPr>
            <w:tcW w:w="3392" w:type="pct"/>
            <w:vAlign w:val="center"/>
          </w:tcPr>
          <w:p w14:paraId="2FEC69FB" w14:textId="77777777" w:rsidR="007B24C4" w:rsidRDefault="007B24C4" w:rsidP="00D801FF">
            <w:pPr>
              <w:spacing w:line="240" w:lineRule="atLeast"/>
              <w:jc w:val="center"/>
              <w:rPr>
                <w:szCs w:val="24"/>
              </w:rPr>
            </w:pPr>
            <w:r>
              <w:rPr>
                <w:szCs w:val="24"/>
              </w:rPr>
              <w:t>事故现场：事故处理人员制定毒物的应急剂量，现场及临近装置人员的撤离组织计划和紧急救护方案。临近地区：制定受事故影响的临近地区内人员对毒物的应急剂量，公众的疏散组织计划和紧急救护方案。</w:t>
            </w:r>
          </w:p>
        </w:tc>
      </w:tr>
      <w:tr w:rsidR="007B24C4" w14:paraId="1DD9B382" w14:textId="77777777" w:rsidTr="00D801FF">
        <w:trPr>
          <w:trHeight w:val="340"/>
          <w:jc w:val="center"/>
        </w:trPr>
        <w:tc>
          <w:tcPr>
            <w:tcW w:w="331" w:type="pct"/>
            <w:vAlign w:val="center"/>
          </w:tcPr>
          <w:p w14:paraId="78730367" w14:textId="77777777" w:rsidR="007B24C4" w:rsidRDefault="007B24C4" w:rsidP="00D801FF">
            <w:pPr>
              <w:spacing w:line="240" w:lineRule="atLeast"/>
              <w:jc w:val="center"/>
              <w:rPr>
                <w:szCs w:val="24"/>
              </w:rPr>
            </w:pPr>
            <w:r>
              <w:rPr>
                <w:szCs w:val="24"/>
              </w:rPr>
              <w:t>10</w:t>
            </w:r>
          </w:p>
        </w:tc>
        <w:tc>
          <w:tcPr>
            <w:tcW w:w="1276" w:type="pct"/>
            <w:vAlign w:val="center"/>
          </w:tcPr>
          <w:p w14:paraId="6F568E43" w14:textId="77777777" w:rsidR="007B24C4" w:rsidRDefault="007B24C4" w:rsidP="00D801FF">
            <w:pPr>
              <w:spacing w:line="240" w:lineRule="atLeast"/>
              <w:jc w:val="center"/>
              <w:rPr>
                <w:szCs w:val="24"/>
              </w:rPr>
            </w:pPr>
            <w:r>
              <w:rPr>
                <w:szCs w:val="24"/>
              </w:rPr>
              <w:t>应急状态中止恢复措施</w:t>
            </w:r>
          </w:p>
        </w:tc>
        <w:tc>
          <w:tcPr>
            <w:tcW w:w="3392" w:type="pct"/>
            <w:vAlign w:val="center"/>
          </w:tcPr>
          <w:p w14:paraId="669C8651" w14:textId="77777777" w:rsidR="007B24C4" w:rsidRDefault="007B24C4" w:rsidP="00D801FF">
            <w:pPr>
              <w:spacing w:line="240" w:lineRule="atLeast"/>
              <w:jc w:val="center"/>
              <w:rPr>
                <w:szCs w:val="24"/>
              </w:rPr>
            </w:pPr>
            <w:r>
              <w:rPr>
                <w:szCs w:val="24"/>
              </w:rPr>
              <w:t>事故现场：规定应急状态终止秩序；事故现场善后处理，回复生产措施。临近地区：解除事故警戒，公众返回和善后恢复措施。</w:t>
            </w:r>
          </w:p>
        </w:tc>
      </w:tr>
      <w:tr w:rsidR="007B24C4" w14:paraId="568E07F4" w14:textId="77777777" w:rsidTr="00D801FF">
        <w:trPr>
          <w:trHeight w:val="340"/>
          <w:jc w:val="center"/>
        </w:trPr>
        <w:tc>
          <w:tcPr>
            <w:tcW w:w="331" w:type="pct"/>
            <w:vAlign w:val="center"/>
          </w:tcPr>
          <w:p w14:paraId="43C85326" w14:textId="77777777" w:rsidR="007B24C4" w:rsidRDefault="007B24C4" w:rsidP="00D801FF">
            <w:pPr>
              <w:spacing w:line="240" w:lineRule="atLeast"/>
              <w:jc w:val="center"/>
              <w:rPr>
                <w:szCs w:val="24"/>
              </w:rPr>
            </w:pPr>
            <w:r>
              <w:rPr>
                <w:szCs w:val="24"/>
              </w:rPr>
              <w:t>11</w:t>
            </w:r>
          </w:p>
        </w:tc>
        <w:tc>
          <w:tcPr>
            <w:tcW w:w="1276" w:type="pct"/>
            <w:vAlign w:val="center"/>
          </w:tcPr>
          <w:p w14:paraId="772AB93C" w14:textId="77777777" w:rsidR="007B24C4" w:rsidRDefault="007B24C4" w:rsidP="00D801FF">
            <w:pPr>
              <w:spacing w:line="240" w:lineRule="atLeast"/>
              <w:jc w:val="center"/>
              <w:rPr>
                <w:szCs w:val="24"/>
              </w:rPr>
            </w:pPr>
            <w:r>
              <w:rPr>
                <w:szCs w:val="24"/>
              </w:rPr>
              <w:t>人员培训与演习</w:t>
            </w:r>
          </w:p>
        </w:tc>
        <w:tc>
          <w:tcPr>
            <w:tcW w:w="3392" w:type="pct"/>
            <w:vAlign w:val="center"/>
          </w:tcPr>
          <w:p w14:paraId="3D112A3C" w14:textId="77777777" w:rsidR="007B24C4" w:rsidRDefault="007B24C4" w:rsidP="00D801FF">
            <w:pPr>
              <w:spacing w:line="240" w:lineRule="atLeast"/>
              <w:jc w:val="center"/>
              <w:rPr>
                <w:szCs w:val="24"/>
              </w:rPr>
            </w:pPr>
            <w:r>
              <w:rPr>
                <w:szCs w:val="24"/>
              </w:rPr>
              <w:t>应急计划制定后，平时安排事故处理人员进行相关知识培训并进行事故应急处理演习；对工厂工人进行安全卫生教育。</w:t>
            </w:r>
          </w:p>
        </w:tc>
      </w:tr>
      <w:tr w:rsidR="007B24C4" w14:paraId="284146B1" w14:textId="77777777" w:rsidTr="00D801FF">
        <w:trPr>
          <w:trHeight w:val="340"/>
          <w:jc w:val="center"/>
        </w:trPr>
        <w:tc>
          <w:tcPr>
            <w:tcW w:w="331" w:type="pct"/>
            <w:vAlign w:val="center"/>
          </w:tcPr>
          <w:p w14:paraId="21D3F269" w14:textId="77777777" w:rsidR="007B24C4" w:rsidRDefault="007B24C4" w:rsidP="00D801FF">
            <w:pPr>
              <w:spacing w:line="240" w:lineRule="atLeast"/>
              <w:jc w:val="center"/>
              <w:rPr>
                <w:szCs w:val="24"/>
              </w:rPr>
            </w:pPr>
            <w:r>
              <w:rPr>
                <w:szCs w:val="24"/>
              </w:rPr>
              <w:t>12</w:t>
            </w:r>
          </w:p>
        </w:tc>
        <w:tc>
          <w:tcPr>
            <w:tcW w:w="1276" w:type="pct"/>
            <w:vAlign w:val="center"/>
          </w:tcPr>
          <w:p w14:paraId="5B0766A8" w14:textId="77777777" w:rsidR="007B24C4" w:rsidRDefault="007B24C4" w:rsidP="00D801FF">
            <w:pPr>
              <w:spacing w:line="240" w:lineRule="atLeast"/>
              <w:jc w:val="center"/>
              <w:rPr>
                <w:szCs w:val="24"/>
              </w:rPr>
            </w:pPr>
            <w:r>
              <w:rPr>
                <w:szCs w:val="24"/>
              </w:rPr>
              <w:t>公众教育信息发布</w:t>
            </w:r>
          </w:p>
        </w:tc>
        <w:tc>
          <w:tcPr>
            <w:tcW w:w="3392" w:type="pct"/>
            <w:vAlign w:val="center"/>
          </w:tcPr>
          <w:p w14:paraId="45FA23EE" w14:textId="77777777" w:rsidR="007B24C4" w:rsidRDefault="007B24C4" w:rsidP="00D801FF">
            <w:pPr>
              <w:spacing w:line="240" w:lineRule="atLeast"/>
              <w:jc w:val="center"/>
              <w:rPr>
                <w:szCs w:val="24"/>
              </w:rPr>
            </w:pPr>
            <w:r>
              <w:rPr>
                <w:szCs w:val="24"/>
              </w:rPr>
              <w:t>对项目临近地区公众开展环境风险事故预防教育，应急知识培训并定期发布相关信息。</w:t>
            </w:r>
          </w:p>
        </w:tc>
      </w:tr>
      <w:tr w:rsidR="007B24C4" w14:paraId="74147384" w14:textId="77777777" w:rsidTr="00D801FF">
        <w:trPr>
          <w:trHeight w:val="340"/>
          <w:jc w:val="center"/>
        </w:trPr>
        <w:tc>
          <w:tcPr>
            <w:tcW w:w="331" w:type="pct"/>
            <w:vAlign w:val="center"/>
          </w:tcPr>
          <w:p w14:paraId="6B41B6FC" w14:textId="77777777" w:rsidR="007B24C4" w:rsidRDefault="007B24C4" w:rsidP="00D801FF">
            <w:pPr>
              <w:spacing w:line="240" w:lineRule="atLeast"/>
              <w:jc w:val="center"/>
              <w:rPr>
                <w:szCs w:val="24"/>
              </w:rPr>
            </w:pPr>
            <w:r>
              <w:rPr>
                <w:szCs w:val="24"/>
              </w:rPr>
              <w:t>13</w:t>
            </w:r>
          </w:p>
        </w:tc>
        <w:tc>
          <w:tcPr>
            <w:tcW w:w="1276" w:type="pct"/>
            <w:vAlign w:val="center"/>
          </w:tcPr>
          <w:p w14:paraId="5315D4B6" w14:textId="77777777" w:rsidR="007B24C4" w:rsidRDefault="007B24C4" w:rsidP="00D801FF">
            <w:pPr>
              <w:spacing w:line="240" w:lineRule="atLeast"/>
              <w:jc w:val="center"/>
              <w:rPr>
                <w:szCs w:val="24"/>
              </w:rPr>
            </w:pPr>
            <w:r>
              <w:rPr>
                <w:szCs w:val="24"/>
              </w:rPr>
              <w:t>记录和报告</w:t>
            </w:r>
          </w:p>
        </w:tc>
        <w:tc>
          <w:tcPr>
            <w:tcW w:w="3392" w:type="pct"/>
            <w:vAlign w:val="center"/>
          </w:tcPr>
          <w:p w14:paraId="078E2B01" w14:textId="77777777" w:rsidR="007B24C4" w:rsidRDefault="007B24C4" w:rsidP="00D801FF">
            <w:pPr>
              <w:spacing w:line="240" w:lineRule="atLeast"/>
              <w:jc w:val="center"/>
              <w:rPr>
                <w:szCs w:val="24"/>
              </w:rPr>
            </w:pPr>
            <w:r>
              <w:rPr>
                <w:szCs w:val="24"/>
              </w:rPr>
              <w:t>设应急事故专门记录，建立档案和报告制度，设专门部门负责管理。</w:t>
            </w:r>
          </w:p>
        </w:tc>
      </w:tr>
      <w:tr w:rsidR="007B24C4" w14:paraId="67B425EA" w14:textId="77777777" w:rsidTr="00D801FF">
        <w:trPr>
          <w:trHeight w:val="340"/>
          <w:jc w:val="center"/>
        </w:trPr>
        <w:tc>
          <w:tcPr>
            <w:tcW w:w="331" w:type="pct"/>
            <w:vAlign w:val="center"/>
          </w:tcPr>
          <w:p w14:paraId="4FA08AF5" w14:textId="77777777" w:rsidR="007B24C4" w:rsidRDefault="007B24C4" w:rsidP="00D801FF">
            <w:pPr>
              <w:spacing w:line="240" w:lineRule="atLeast"/>
              <w:jc w:val="center"/>
              <w:rPr>
                <w:szCs w:val="24"/>
              </w:rPr>
            </w:pPr>
            <w:r>
              <w:rPr>
                <w:szCs w:val="24"/>
              </w:rPr>
              <w:t>14</w:t>
            </w:r>
          </w:p>
        </w:tc>
        <w:tc>
          <w:tcPr>
            <w:tcW w:w="1276" w:type="pct"/>
            <w:vAlign w:val="center"/>
          </w:tcPr>
          <w:p w14:paraId="5CFFCA85" w14:textId="77777777" w:rsidR="007B24C4" w:rsidRDefault="007B24C4" w:rsidP="00D801FF">
            <w:pPr>
              <w:spacing w:line="240" w:lineRule="atLeast"/>
              <w:jc w:val="center"/>
              <w:rPr>
                <w:szCs w:val="24"/>
              </w:rPr>
            </w:pPr>
            <w:r>
              <w:rPr>
                <w:szCs w:val="24"/>
              </w:rPr>
              <w:t>附件</w:t>
            </w:r>
          </w:p>
        </w:tc>
        <w:tc>
          <w:tcPr>
            <w:tcW w:w="3392" w:type="pct"/>
            <w:vAlign w:val="center"/>
          </w:tcPr>
          <w:p w14:paraId="5C093146" w14:textId="77777777" w:rsidR="007B24C4" w:rsidRDefault="007B24C4" w:rsidP="00D801FF">
            <w:pPr>
              <w:spacing w:line="240" w:lineRule="atLeast"/>
              <w:jc w:val="center"/>
              <w:rPr>
                <w:szCs w:val="24"/>
              </w:rPr>
            </w:pPr>
            <w:r>
              <w:rPr>
                <w:szCs w:val="24"/>
              </w:rPr>
              <w:t>准备并形成环境风险事故应急处理有关的附件材料。</w:t>
            </w:r>
          </w:p>
        </w:tc>
      </w:tr>
    </w:tbl>
    <w:p w14:paraId="0D53B5AB" w14:textId="77777777" w:rsidR="007B24C4" w:rsidRPr="007B24C4" w:rsidRDefault="007B24C4">
      <w:pPr>
        <w:pStyle w:val="affffff4"/>
      </w:pPr>
    </w:p>
    <w:p w14:paraId="0D34B3B4" w14:textId="29B41D9C" w:rsidR="00606029" w:rsidRDefault="00EA5B92">
      <w:pPr>
        <w:pStyle w:val="affffff4"/>
        <w:jc w:val="center"/>
        <w:outlineLvl w:val="0"/>
      </w:pPr>
      <w:r>
        <w:br w:type="page"/>
      </w:r>
      <w:bookmarkStart w:id="311" w:name="_Toc6037"/>
      <w:bookmarkStart w:id="312" w:name="_Toc17748"/>
      <w:bookmarkStart w:id="313" w:name="_Toc220680551"/>
      <w:r>
        <w:rPr>
          <w:rStyle w:val="10"/>
        </w:rPr>
        <w:lastRenderedPageBreak/>
        <w:t>第</w:t>
      </w:r>
      <w:r w:rsidR="007B24C4">
        <w:rPr>
          <w:rStyle w:val="10"/>
          <w:rFonts w:hint="eastAsia"/>
        </w:rPr>
        <w:t>八</w:t>
      </w:r>
      <w:r>
        <w:rPr>
          <w:rStyle w:val="10"/>
        </w:rPr>
        <w:t>章</w:t>
      </w:r>
      <w:r>
        <w:rPr>
          <w:rStyle w:val="10"/>
        </w:rPr>
        <w:t xml:space="preserve">  </w:t>
      </w:r>
      <w:r>
        <w:rPr>
          <w:rStyle w:val="10"/>
        </w:rPr>
        <w:t>环境经济损益分析</w:t>
      </w:r>
      <w:bookmarkEnd w:id="311"/>
      <w:bookmarkEnd w:id="312"/>
      <w:bookmarkEnd w:id="313"/>
    </w:p>
    <w:p w14:paraId="39DEB837" w14:textId="77777777" w:rsidR="00606029" w:rsidRDefault="00EA5B92">
      <w:pPr>
        <w:pStyle w:val="affffff4"/>
      </w:pPr>
      <w:r>
        <w:t>环境与经济是一个系统的两个因素，它们之间既相互促进，又相互制约，但归根到底环境污染与破坏主要还是经济问题。主要通过全面规划、综合平衡，正确地把全局利益和局部利益、长远利益和近期利益结合起来，把环境保护与经济发展进行协调，通过环保设施技术可行性和经济合理性的论证分析及评价，更合理地选择环保设施，以取得最佳的综合社会经济效益，实现环境效益、社会效益、经济效益的统一，实现可持续发展。本项目的建设，除对国民经济的发展起着一定的作用外，同时也影响着环境的变化，因此在发展经济的基础上，必须充分考虑项目对环境的影响，保护环境资源的永续利用。</w:t>
      </w:r>
    </w:p>
    <w:p w14:paraId="304DD5D2" w14:textId="30778442" w:rsidR="00606029" w:rsidRDefault="007B24C4">
      <w:pPr>
        <w:pStyle w:val="2"/>
      </w:pPr>
      <w:bookmarkStart w:id="314" w:name="_Toc32516"/>
      <w:bookmarkStart w:id="315" w:name="_Toc23580"/>
      <w:bookmarkStart w:id="316" w:name="_Toc1995"/>
      <w:bookmarkStart w:id="317" w:name="_Toc14164"/>
      <w:bookmarkStart w:id="318" w:name="_Toc32004"/>
      <w:bookmarkStart w:id="319" w:name="_Toc9414"/>
      <w:bookmarkStart w:id="320" w:name="_Toc12597"/>
      <w:bookmarkStart w:id="321" w:name="_Toc21619"/>
      <w:bookmarkStart w:id="322" w:name="_Toc132449679"/>
      <w:bookmarkStart w:id="323" w:name="_Toc19458"/>
      <w:bookmarkStart w:id="324" w:name="_Toc17819"/>
      <w:bookmarkStart w:id="325" w:name="_Toc220680552"/>
      <w:r>
        <w:rPr>
          <w:rFonts w:hint="eastAsia"/>
        </w:rPr>
        <w:t>8</w:t>
      </w:r>
      <w:r w:rsidR="00EA5B92">
        <w:t>.1</w:t>
      </w:r>
      <w:r w:rsidR="00EA5B92">
        <w:t>经济效益分析</w:t>
      </w:r>
      <w:bookmarkEnd w:id="314"/>
      <w:bookmarkEnd w:id="315"/>
      <w:bookmarkEnd w:id="316"/>
      <w:bookmarkEnd w:id="317"/>
      <w:bookmarkEnd w:id="318"/>
      <w:bookmarkEnd w:id="319"/>
      <w:bookmarkEnd w:id="320"/>
      <w:bookmarkEnd w:id="321"/>
      <w:bookmarkEnd w:id="322"/>
      <w:bookmarkEnd w:id="323"/>
      <w:bookmarkEnd w:id="324"/>
      <w:bookmarkEnd w:id="325"/>
    </w:p>
    <w:p w14:paraId="3510A9D7" w14:textId="0D3BDC01" w:rsidR="00606029" w:rsidRDefault="00EA5B92">
      <w:pPr>
        <w:pStyle w:val="affffff4"/>
      </w:pPr>
      <w:r>
        <w:t>依据《建设项目环境保护设计规定》中的有关内容，环保设施划分的基本原则是，凡属于污染治理环境保护所需的设施、装置和工程设施，属生产工艺需要又为环境保护服务的设施，为保证生产有良好环境所采取的防尘、绿化设施均属环保设施。飞灰填埋场建设本身属于环保工程</w:t>
      </w:r>
      <w:r w:rsidRPr="005B3999">
        <w:t>，项目总投资</w:t>
      </w:r>
      <w:r w:rsidR="005B3999" w:rsidRPr="005B3999">
        <w:rPr>
          <w:rFonts w:hint="eastAsia"/>
        </w:rPr>
        <w:t>500</w:t>
      </w:r>
      <w:r w:rsidRPr="005B3999">
        <w:t>万元，</w:t>
      </w:r>
      <w:r>
        <w:t>全部属于环保投资。封场工程作为城市公用设施建设，属于环保工程和社会公益事业，不产生经济效益，体现了项目属公益性环保项目的特征。</w:t>
      </w:r>
    </w:p>
    <w:p w14:paraId="5B505AB2" w14:textId="16604C47" w:rsidR="00606029" w:rsidRDefault="007B24C4">
      <w:pPr>
        <w:keepNext/>
        <w:keepLines/>
        <w:spacing w:line="360" w:lineRule="auto"/>
        <w:outlineLvl w:val="1"/>
        <w:rPr>
          <w:b/>
          <w:bCs/>
          <w:sz w:val="28"/>
          <w:szCs w:val="32"/>
        </w:rPr>
      </w:pPr>
      <w:bookmarkStart w:id="326" w:name="_Toc15013"/>
      <w:bookmarkStart w:id="327" w:name="_Toc22209"/>
      <w:bookmarkStart w:id="328" w:name="_Toc5375"/>
      <w:bookmarkStart w:id="329" w:name="_Toc24689"/>
      <w:bookmarkStart w:id="330" w:name="_Toc132449680"/>
      <w:bookmarkStart w:id="331" w:name="_Toc31097"/>
      <w:bookmarkStart w:id="332" w:name="_Toc220680553"/>
      <w:r>
        <w:rPr>
          <w:rFonts w:hint="eastAsia"/>
          <w:b/>
          <w:bCs/>
          <w:sz w:val="28"/>
          <w:szCs w:val="32"/>
        </w:rPr>
        <w:t>8</w:t>
      </w:r>
      <w:r w:rsidR="00EA5B92">
        <w:rPr>
          <w:b/>
          <w:bCs/>
          <w:sz w:val="28"/>
          <w:szCs w:val="32"/>
        </w:rPr>
        <w:t xml:space="preserve">.2 </w:t>
      </w:r>
      <w:r w:rsidR="00EA5B92">
        <w:rPr>
          <w:b/>
          <w:bCs/>
          <w:sz w:val="28"/>
          <w:szCs w:val="32"/>
        </w:rPr>
        <w:t>社会效益分析</w:t>
      </w:r>
      <w:bookmarkEnd w:id="326"/>
      <w:bookmarkEnd w:id="327"/>
      <w:bookmarkEnd w:id="328"/>
      <w:bookmarkEnd w:id="329"/>
      <w:bookmarkEnd w:id="330"/>
      <w:bookmarkEnd w:id="331"/>
      <w:bookmarkEnd w:id="332"/>
    </w:p>
    <w:p w14:paraId="34B44458" w14:textId="52E9E8C9" w:rsidR="00606029" w:rsidRDefault="00EA5B92">
      <w:pPr>
        <w:pStyle w:val="affffff4"/>
      </w:pPr>
      <w:r>
        <w:t>本项目属于环保工程，建成后将会给</w:t>
      </w:r>
      <w:r w:rsidR="004E5FFD">
        <w:t>大庆城控电力有限公司</w:t>
      </w:r>
      <w:r>
        <w:t>飞灰处理处置带来极大的方便，有利于城市的发展和城市面貌的改善，有利于城市居民身心健康发展和生活质量的提高。项目投产后</w:t>
      </w:r>
      <w:r w:rsidR="004E5FFD">
        <w:t>大庆城控电力有限公司</w:t>
      </w:r>
      <w:r>
        <w:t>飞灰的无害化处理率为</w:t>
      </w:r>
      <w:r>
        <w:t>100%</w:t>
      </w:r>
      <w:r>
        <w:t>。人群健康水平明显提高，居住生活环境质量显著改善，旅游环境和投资环境也将得到较大改善，对保持国民经济健康、持续的发展都有不可估量的促进作用。</w:t>
      </w:r>
    </w:p>
    <w:p w14:paraId="02AEAA1B" w14:textId="4710F14A" w:rsidR="00606029" w:rsidRDefault="007B24C4">
      <w:pPr>
        <w:keepNext/>
        <w:keepLines/>
        <w:spacing w:line="360" w:lineRule="auto"/>
        <w:outlineLvl w:val="1"/>
        <w:rPr>
          <w:b/>
          <w:bCs/>
          <w:sz w:val="28"/>
          <w:szCs w:val="32"/>
        </w:rPr>
      </w:pPr>
      <w:bookmarkStart w:id="333" w:name="_Toc27925"/>
      <w:bookmarkStart w:id="334" w:name="_Toc24938"/>
      <w:bookmarkStart w:id="335" w:name="_Toc6062"/>
      <w:bookmarkStart w:id="336" w:name="_Toc14461"/>
      <w:bookmarkStart w:id="337" w:name="_Toc28493"/>
      <w:bookmarkStart w:id="338" w:name="_Toc132449685"/>
      <w:bookmarkStart w:id="339" w:name="_Toc220680554"/>
      <w:r>
        <w:rPr>
          <w:rFonts w:hint="eastAsia"/>
          <w:b/>
          <w:bCs/>
          <w:sz w:val="28"/>
          <w:szCs w:val="32"/>
        </w:rPr>
        <w:t>8</w:t>
      </w:r>
      <w:r w:rsidR="00EA5B92">
        <w:rPr>
          <w:b/>
          <w:bCs/>
          <w:sz w:val="28"/>
          <w:szCs w:val="32"/>
        </w:rPr>
        <w:t xml:space="preserve">.3 </w:t>
      </w:r>
      <w:r w:rsidR="00EA5B92">
        <w:rPr>
          <w:b/>
          <w:bCs/>
          <w:sz w:val="28"/>
          <w:szCs w:val="32"/>
        </w:rPr>
        <w:t>环境效益分析</w:t>
      </w:r>
      <w:bookmarkEnd w:id="333"/>
      <w:bookmarkEnd w:id="334"/>
      <w:bookmarkEnd w:id="335"/>
      <w:bookmarkEnd w:id="336"/>
      <w:bookmarkEnd w:id="337"/>
      <w:bookmarkEnd w:id="338"/>
      <w:bookmarkEnd w:id="339"/>
    </w:p>
    <w:p w14:paraId="01C081E3" w14:textId="1F4D2184" w:rsidR="00606029" w:rsidRDefault="007B24C4">
      <w:pPr>
        <w:keepNext/>
        <w:keepLines/>
        <w:spacing w:line="360" w:lineRule="auto"/>
        <w:outlineLvl w:val="2"/>
        <w:rPr>
          <w:b/>
          <w:bCs/>
          <w:sz w:val="24"/>
          <w:szCs w:val="32"/>
        </w:rPr>
      </w:pPr>
      <w:bookmarkStart w:id="340" w:name="_Toc132449686"/>
      <w:bookmarkStart w:id="341" w:name="_Toc1936"/>
      <w:bookmarkStart w:id="342" w:name="_Toc3172"/>
      <w:bookmarkStart w:id="343" w:name="_Toc220680555"/>
      <w:r>
        <w:rPr>
          <w:rFonts w:hint="eastAsia"/>
          <w:b/>
          <w:bCs/>
          <w:sz w:val="24"/>
          <w:szCs w:val="32"/>
        </w:rPr>
        <w:t>8</w:t>
      </w:r>
      <w:r w:rsidR="00EA5B92">
        <w:rPr>
          <w:b/>
          <w:bCs/>
          <w:sz w:val="24"/>
          <w:szCs w:val="32"/>
        </w:rPr>
        <w:t xml:space="preserve">.3.1 </w:t>
      </w:r>
      <w:r w:rsidR="00EA5B92">
        <w:rPr>
          <w:b/>
          <w:bCs/>
          <w:sz w:val="24"/>
          <w:szCs w:val="32"/>
        </w:rPr>
        <w:t>环保投资</w:t>
      </w:r>
      <w:bookmarkEnd w:id="340"/>
      <w:bookmarkEnd w:id="341"/>
      <w:bookmarkEnd w:id="342"/>
      <w:bookmarkEnd w:id="343"/>
    </w:p>
    <w:p w14:paraId="41F37489" w14:textId="77777777" w:rsidR="00626F5B" w:rsidRDefault="00EA5B92">
      <w:pPr>
        <w:spacing w:line="360" w:lineRule="auto"/>
        <w:ind w:firstLineChars="200" w:firstLine="480"/>
        <w:rPr>
          <w:kern w:val="0"/>
          <w:sz w:val="24"/>
          <w:szCs w:val="24"/>
        </w:rPr>
      </w:pPr>
      <w:r>
        <w:rPr>
          <w:kern w:val="0"/>
          <w:sz w:val="24"/>
          <w:szCs w:val="24"/>
        </w:rPr>
        <w:t>本项目本身是一个区域性的环保基础设施，其全部的投资均可算是环保投资。现有项目已按照国家的相关法规、规范和标准建设、运行污染防治措施，根据前文现状调查分析，现有污染防治措施有效，各项污染物稳定达标排放。改建后主要依托现有的已建的污染防治措施，仅新增少量的噪声防治措施以及新增环保设备运行费、维修费、药剂费等。</w:t>
      </w:r>
    </w:p>
    <w:p w14:paraId="51439E29" w14:textId="5E641E83" w:rsidR="00606029" w:rsidRDefault="00626F5B">
      <w:pPr>
        <w:spacing w:line="360" w:lineRule="auto"/>
        <w:ind w:firstLineChars="200" w:firstLine="480"/>
        <w:rPr>
          <w:kern w:val="0"/>
          <w:sz w:val="24"/>
          <w:szCs w:val="24"/>
        </w:rPr>
      </w:pPr>
      <w:r>
        <w:rPr>
          <w:rFonts w:hint="eastAsia"/>
          <w:kern w:val="0"/>
          <w:sz w:val="24"/>
          <w:szCs w:val="24"/>
        </w:rPr>
        <w:lastRenderedPageBreak/>
        <w:t>本项目总投资</w:t>
      </w:r>
      <w:r>
        <w:rPr>
          <w:rFonts w:hint="eastAsia"/>
          <w:kern w:val="0"/>
          <w:sz w:val="24"/>
          <w:szCs w:val="24"/>
        </w:rPr>
        <w:t>500</w:t>
      </w:r>
      <w:r>
        <w:rPr>
          <w:rFonts w:hint="eastAsia"/>
          <w:kern w:val="0"/>
          <w:sz w:val="24"/>
          <w:szCs w:val="24"/>
        </w:rPr>
        <w:t>万元，均为环保投资，环保投资一览表见下表。</w:t>
      </w:r>
    </w:p>
    <w:p w14:paraId="49DA4FEB" w14:textId="57B52CDD" w:rsidR="00626F5B" w:rsidRPr="00626F5B" w:rsidRDefault="00626F5B" w:rsidP="00626F5B">
      <w:pPr>
        <w:jc w:val="center"/>
        <w:rPr>
          <w:b/>
        </w:rPr>
      </w:pPr>
      <w:r w:rsidRPr="00626F5B">
        <w:rPr>
          <w:b/>
        </w:rPr>
        <w:t>表</w:t>
      </w:r>
      <w:r>
        <w:rPr>
          <w:rFonts w:hint="eastAsia"/>
          <w:b/>
        </w:rPr>
        <w:t>8.3</w:t>
      </w:r>
      <w:r w:rsidRPr="00626F5B">
        <w:rPr>
          <w:b/>
        </w:rPr>
        <w:t>-1</w:t>
      </w:r>
      <w:r w:rsidRPr="00626F5B">
        <w:rPr>
          <w:b/>
        </w:rPr>
        <w:t>环保投资一览表</w:t>
      </w:r>
    </w:p>
    <w:tbl>
      <w:tblPr>
        <w:tblW w:w="5000"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firstRow="1" w:lastRow="0" w:firstColumn="1" w:lastColumn="0" w:noHBand="0" w:noVBand="1"/>
      </w:tblPr>
      <w:tblGrid>
        <w:gridCol w:w="741"/>
        <w:gridCol w:w="6364"/>
        <w:gridCol w:w="1719"/>
      </w:tblGrid>
      <w:tr w:rsidR="00626F5B" w:rsidRPr="00626F5B" w14:paraId="10C05EB0" w14:textId="77777777" w:rsidTr="00626F5B">
        <w:trPr>
          <w:trHeight w:val="397"/>
          <w:tblHeader/>
        </w:trPr>
        <w:tc>
          <w:tcPr>
            <w:tcW w:w="420" w:type="pct"/>
            <w:tcBorders>
              <w:top w:val="single" w:sz="4" w:space="0" w:color="auto"/>
              <w:bottom w:val="single" w:sz="4" w:space="0" w:color="auto"/>
            </w:tcBorders>
            <w:vAlign w:val="center"/>
          </w:tcPr>
          <w:p w14:paraId="5738D538" w14:textId="77777777" w:rsidR="00626F5B" w:rsidRPr="00626F5B" w:rsidRDefault="00626F5B" w:rsidP="00626F5B">
            <w:pPr>
              <w:adjustRightInd w:val="0"/>
              <w:snapToGrid w:val="0"/>
              <w:jc w:val="center"/>
              <w:rPr>
                <w:spacing w:val="5"/>
              </w:rPr>
            </w:pPr>
            <w:r w:rsidRPr="00626F5B">
              <w:rPr>
                <w:spacing w:val="5"/>
              </w:rPr>
              <w:t>序号</w:t>
            </w:r>
          </w:p>
        </w:tc>
        <w:tc>
          <w:tcPr>
            <w:tcW w:w="3606" w:type="pct"/>
            <w:tcBorders>
              <w:top w:val="single" w:sz="4" w:space="0" w:color="auto"/>
              <w:bottom w:val="single" w:sz="4" w:space="0" w:color="auto"/>
            </w:tcBorders>
            <w:vAlign w:val="center"/>
          </w:tcPr>
          <w:p w14:paraId="3A589FEF" w14:textId="77777777" w:rsidR="00626F5B" w:rsidRPr="00626F5B" w:rsidRDefault="00626F5B" w:rsidP="00626F5B">
            <w:pPr>
              <w:adjustRightInd w:val="0"/>
              <w:snapToGrid w:val="0"/>
              <w:jc w:val="center"/>
              <w:rPr>
                <w:spacing w:val="5"/>
              </w:rPr>
            </w:pPr>
            <w:r w:rsidRPr="00626F5B">
              <w:rPr>
                <w:spacing w:val="5"/>
              </w:rPr>
              <w:t>项</w:t>
            </w:r>
            <w:r w:rsidRPr="00626F5B">
              <w:rPr>
                <w:spacing w:val="5"/>
              </w:rPr>
              <w:t xml:space="preserve"> </w:t>
            </w:r>
            <w:r w:rsidRPr="00626F5B">
              <w:rPr>
                <w:spacing w:val="5"/>
              </w:rPr>
              <w:t>目</w:t>
            </w:r>
          </w:p>
        </w:tc>
        <w:tc>
          <w:tcPr>
            <w:tcW w:w="974" w:type="pct"/>
            <w:tcBorders>
              <w:top w:val="single" w:sz="4" w:space="0" w:color="auto"/>
              <w:bottom w:val="single" w:sz="4" w:space="0" w:color="auto"/>
            </w:tcBorders>
            <w:vAlign w:val="center"/>
          </w:tcPr>
          <w:p w14:paraId="74FC5E73" w14:textId="77777777" w:rsidR="00626F5B" w:rsidRPr="00626F5B" w:rsidRDefault="00626F5B" w:rsidP="00626F5B">
            <w:pPr>
              <w:adjustRightInd w:val="0"/>
              <w:snapToGrid w:val="0"/>
              <w:jc w:val="center"/>
              <w:rPr>
                <w:spacing w:val="5"/>
              </w:rPr>
            </w:pPr>
            <w:r w:rsidRPr="00626F5B">
              <w:rPr>
                <w:spacing w:val="5"/>
              </w:rPr>
              <w:t>金额（万元）</w:t>
            </w:r>
          </w:p>
        </w:tc>
      </w:tr>
      <w:tr w:rsidR="00626F5B" w:rsidRPr="00626F5B" w14:paraId="59579595" w14:textId="77777777" w:rsidTr="00626F5B">
        <w:trPr>
          <w:trHeight w:val="397"/>
        </w:trPr>
        <w:tc>
          <w:tcPr>
            <w:tcW w:w="420" w:type="pct"/>
            <w:tcBorders>
              <w:top w:val="single" w:sz="4" w:space="0" w:color="auto"/>
              <w:bottom w:val="single" w:sz="4" w:space="0" w:color="auto"/>
            </w:tcBorders>
            <w:vAlign w:val="center"/>
          </w:tcPr>
          <w:p w14:paraId="3EFD319F" w14:textId="77777777" w:rsidR="00626F5B" w:rsidRPr="00626F5B" w:rsidRDefault="00626F5B" w:rsidP="00626F5B">
            <w:pPr>
              <w:adjustRightInd w:val="0"/>
              <w:snapToGrid w:val="0"/>
              <w:jc w:val="center"/>
              <w:rPr>
                <w:spacing w:val="5"/>
              </w:rPr>
            </w:pPr>
            <w:r w:rsidRPr="00626F5B">
              <w:rPr>
                <w:spacing w:val="5"/>
              </w:rPr>
              <w:t>1</w:t>
            </w:r>
          </w:p>
        </w:tc>
        <w:tc>
          <w:tcPr>
            <w:tcW w:w="3606" w:type="pct"/>
            <w:tcBorders>
              <w:top w:val="single" w:sz="4" w:space="0" w:color="auto"/>
              <w:bottom w:val="single" w:sz="4" w:space="0" w:color="auto"/>
            </w:tcBorders>
            <w:vAlign w:val="center"/>
          </w:tcPr>
          <w:p w14:paraId="126576A2" w14:textId="7717595B" w:rsidR="00626F5B" w:rsidRPr="00626F5B" w:rsidRDefault="00626F5B" w:rsidP="00626F5B">
            <w:pPr>
              <w:adjustRightInd w:val="0"/>
              <w:snapToGrid w:val="0"/>
              <w:jc w:val="center"/>
              <w:rPr>
                <w:spacing w:val="5"/>
              </w:rPr>
            </w:pPr>
            <w:r w:rsidRPr="00626F5B">
              <w:rPr>
                <w:spacing w:val="5"/>
              </w:rPr>
              <w:t>渗滤液调节池改建为飞灰填埋场</w:t>
            </w:r>
            <w:r>
              <w:rPr>
                <w:rFonts w:hint="eastAsia"/>
                <w:spacing w:val="5"/>
              </w:rPr>
              <w:t>，包括防渗工程、</w:t>
            </w:r>
            <w:r w:rsidRPr="00626F5B">
              <w:rPr>
                <w:spacing w:val="5"/>
              </w:rPr>
              <w:t>淋溶水收集导排</w:t>
            </w:r>
            <w:r>
              <w:rPr>
                <w:rFonts w:hint="eastAsia"/>
                <w:spacing w:val="5"/>
              </w:rPr>
              <w:t>工程</w:t>
            </w:r>
            <w:r w:rsidRPr="00626F5B">
              <w:rPr>
                <w:spacing w:val="5"/>
              </w:rPr>
              <w:t>、地下水导排</w:t>
            </w:r>
            <w:r>
              <w:rPr>
                <w:rFonts w:hint="eastAsia"/>
                <w:spacing w:val="5"/>
              </w:rPr>
              <w:t>工程等</w:t>
            </w:r>
          </w:p>
        </w:tc>
        <w:tc>
          <w:tcPr>
            <w:tcW w:w="974" w:type="pct"/>
            <w:tcBorders>
              <w:top w:val="single" w:sz="4" w:space="0" w:color="auto"/>
              <w:bottom w:val="single" w:sz="4" w:space="0" w:color="auto"/>
            </w:tcBorders>
            <w:vAlign w:val="center"/>
          </w:tcPr>
          <w:p w14:paraId="5984DE78" w14:textId="04553A21" w:rsidR="00626F5B" w:rsidRPr="00626F5B" w:rsidRDefault="006A5C9C" w:rsidP="00626F5B">
            <w:pPr>
              <w:adjustRightInd w:val="0"/>
              <w:snapToGrid w:val="0"/>
              <w:jc w:val="center"/>
              <w:rPr>
                <w:spacing w:val="5"/>
              </w:rPr>
            </w:pPr>
            <w:r>
              <w:rPr>
                <w:rFonts w:hint="eastAsia"/>
                <w:spacing w:val="5"/>
              </w:rPr>
              <w:t>320</w:t>
            </w:r>
          </w:p>
        </w:tc>
      </w:tr>
      <w:tr w:rsidR="00626F5B" w:rsidRPr="00626F5B" w14:paraId="5A0F5919" w14:textId="77777777" w:rsidTr="00626F5B">
        <w:trPr>
          <w:trHeight w:val="397"/>
        </w:trPr>
        <w:tc>
          <w:tcPr>
            <w:tcW w:w="420" w:type="pct"/>
            <w:tcBorders>
              <w:top w:val="single" w:sz="4" w:space="0" w:color="auto"/>
              <w:bottom w:val="single" w:sz="4" w:space="0" w:color="auto"/>
            </w:tcBorders>
            <w:vAlign w:val="center"/>
          </w:tcPr>
          <w:p w14:paraId="101255DD" w14:textId="77777777" w:rsidR="00626F5B" w:rsidRPr="00626F5B" w:rsidRDefault="00626F5B" w:rsidP="00626F5B">
            <w:pPr>
              <w:adjustRightInd w:val="0"/>
              <w:snapToGrid w:val="0"/>
              <w:jc w:val="center"/>
              <w:rPr>
                <w:spacing w:val="5"/>
              </w:rPr>
            </w:pPr>
            <w:r w:rsidRPr="00626F5B">
              <w:rPr>
                <w:spacing w:val="5"/>
              </w:rPr>
              <w:t>2</w:t>
            </w:r>
          </w:p>
        </w:tc>
        <w:tc>
          <w:tcPr>
            <w:tcW w:w="3606" w:type="pct"/>
            <w:tcBorders>
              <w:top w:val="single" w:sz="4" w:space="0" w:color="auto"/>
              <w:bottom w:val="single" w:sz="4" w:space="0" w:color="auto"/>
            </w:tcBorders>
            <w:vAlign w:val="center"/>
          </w:tcPr>
          <w:p w14:paraId="2A74C5DF" w14:textId="27E20528" w:rsidR="00626F5B" w:rsidRPr="00626F5B" w:rsidRDefault="00626F5B" w:rsidP="00626F5B">
            <w:pPr>
              <w:adjustRightInd w:val="0"/>
              <w:snapToGrid w:val="0"/>
              <w:jc w:val="center"/>
              <w:rPr>
                <w:spacing w:val="5"/>
              </w:rPr>
            </w:pPr>
            <w:r w:rsidRPr="00626F5B">
              <w:rPr>
                <w:spacing w:val="5"/>
              </w:rPr>
              <w:t>截洪沟</w:t>
            </w:r>
            <w:r>
              <w:rPr>
                <w:rFonts w:hint="eastAsia"/>
                <w:spacing w:val="5"/>
              </w:rPr>
              <w:t>、</w:t>
            </w:r>
            <w:r>
              <w:t>雨水导排系统</w:t>
            </w:r>
          </w:p>
        </w:tc>
        <w:tc>
          <w:tcPr>
            <w:tcW w:w="974" w:type="pct"/>
            <w:tcBorders>
              <w:top w:val="single" w:sz="4" w:space="0" w:color="auto"/>
              <w:bottom w:val="single" w:sz="4" w:space="0" w:color="auto"/>
            </w:tcBorders>
            <w:vAlign w:val="center"/>
          </w:tcPr>
          <w:p w14:paraId="5CD7B388" w14:textId="7B1F5A1D" w:rsidR="00626F5B" w:rsidRPr="00626F5B" w:rsidRDefault="00626F5B" w:rsidP="00626F5B">
            <w:pPr>
              <w:adjustRightInd w:val="0"/>
              <w:snapToGrid w:val="0"/>
              <w:jc w:val="center"/>
              <w:rPr>
                <w:spacing w:val="5"/>
              </w:rPr>
            </w:pPr>
            <w:r>
              <w:rPr>
                <w:rFonts w:hint="eastAsia"/>
                <w:spacing w:val="5"/>
              </w:rPr>
              <w:t>20</w:t>
            </w:r>
          </w:p>
        </w:tc>
      </w:tr>
      <w:tr w:rsidR="00626F5B" w:rsidRPr="00626F5B" w14:paraId="7F7154AC" w14:textId="77777777" w:rsidTr="00626F5B">
        <w:trPr>
          <w:trHeight w:val="397"/>
        </w:trPr>
        <w:tc>
          <w:tcPr>
            <w:tcW w:w="420" w:type="pct"/>
            <w:tcBorders>
              <w:top w:val="single" w:sz="4" w:space="0" w:color="auto"/>
              <w:bottom w:val="single" w:sz="4" w:space="0" w:color="auto"/>
            </w:tcBorders>
            <w:vAlign w:val="center"/>
          </w:tcPr>
          <w:p w14:paraId="19D9F51E" w14:textId="77777777" w:rsidR="00626F5B" w:rsidRPr="00626F5B" w:rsidRDefault="00626F5B" w:rsidP="00626F5B">
            <w:pPr>
              <w:adjustRightInd w:val="0"/>
              <w:snapToGrid w:val="0"/>
              <w:jc w:val="center"/>
              <w:rPr>
                <w:spacing w:val="5"/>
              </w:rPr>
            </w:pPr>
            <w:r w:rsidRPr="00626F5B">
              <w:rPr>
                <w:spacing w:val="5"/>
              </w:rPr>
              <w:t>3</w:t>
            </w:r>
          </w:p>
        </w:tc>
        <w:tc>
          <w:tcPr>
            <w:tcW w:w="3606" w:type="pct"/>
            <w:tcBorders>
              <w:top w:val="single" w:sz="4" w:space="0" w:color="auto"/>
              <w:bottom w:val="single" w:sz="4" w:space="0" w:color="auto"/>
            </w:tcBorders>
            <w:vAlign w:val="center"/>
          </w:tcPr>
          <w:p w14:paraId="599D3BFD" w14:textId="0951B7C2" w:rsidR="00626F5B" w:rsidRPr="00626F5B" w:rsidRDefault="00626F5B" w:rsidP="00626F5B">
            <w:pPr>
              <w:jc w:val="center"/>
              <w:rPr>
                <w:spacing w:val="5"/>
              </w:rPr>
            </w:pPr>
            <w:r>
              <w:rPr>
                <w:rFonts w:hint="eastAsia"/>
                <w:spacing w:val="5"/>
              </w:rPr>
              <w:t>吨袋包装、日覆盖和中间覆盖、洒水抑尘</w:t>
            </w:r>
          </w:p>
        </w:tc>
        <w:tc>
          <w:tcPr>
            <w:tcW w:w="974" w:type="pct"/>
            <w:tcBorders>
              <w:top w:val="single" w:sz="4" w:space="0" w:color="auto"/>
              <w:bottom w:val="single" w:sz="4" w:space="0" w:color="auto"/>
            </w:tcBorders>
            <w:vAlign w:val="center"/>
          </w:tcPr>
          <w:p w14:paraId="00134CAE" w14:textId="3A3B98A0" w:rsidR="00626F5B" w:rsidRPr="00626F5B" w:rsidRDefault="00626F5B" w:rsidP="00626F5B">
            <w:pPr>
              <w:jc w:val="center"/>
              <w:rPr>
                <w:spacing w:val="5"/>
              </w:rPr>
            </w:pPr>
            <w:r>
              <w:rPr>
                <w:rFonts w:hint="eastAsia"/>
                <w:spacing w:val="5"/>
              </w:rPr>
              <w:t>20</w:t>
            </w:r>
          </w:p>
        </w:tc>
      </w:tr>
      <w:tr w:rsidR="00626F5B" w:rsidRPr="00626F5B" w14:paraId="7573105F" w14:textId="77777777" w:rsidTr="00626F5B">
        <w:trPr>
          <w:trHeight w:val="397"/>
        </w:trPr>
        <w:tc>
          <w:tcPr>
            <w:tcW w:w="420" w:type="pct"/>
            <w:tcBorders>
              <w:top w:val="single" w:sz="4" w:space="0" w:color="auto"/>
              <w:bottom w:val="single" w:sz="4" w:space="0" w:color="auto"/>
            </w:tcBorders>
            <w:vAlign w:val="center"/>
          </w:tcPr>
          <w:p w14:paraId="39CA43CC" w14:textId="6F6062FF" w:rsidR="00626F5B" w:rsidRPr="00626F5B" w:rsidRDefault="00626F5B" w:rsidP="00626F5B">
            <w:pPr>
              <w:adjustRightInd w:val="0"/>
              <w:snapToGrid w:val="0"/>
              <w:jc w:val="center"/>
              <w:rPr>
                <w:spacing w:val="5"/>
              </w:rPr>
            </w:pPr>
            <w:r>
              <w:rPr>
                <w:rFonts w:hint="eastAsia"/>
                <w:spacing w:val="5"/>
              </w:rPr>
              <w:t>4</w:t>
            </w:r>
          </w:p>
        </w:tc>
        <w:tc>
          <w:tcPr>
            <w:tcW w:w="3606" w:type="pct"/>
            <w:tcBorders>
              <w:top w:val="single" w:sz="4" w:space="0" w:color="auto"/>
              <w:bottom w:val="single" w:sz="4" w:space="0" w:color="auto"/>
            </w:tcBorders>
            <w:vAlign w:val="center"/>
          </w:tcPr>
          <w:p w14:paraId="1F97AD39" w14:textId="17367077" w:rsidR="00626F5B" w:rsidRPr="00626F5B" w:rsidRDefault="006A5C9C" w:rsidP="00626F5B">
            <w:pPr>
              <w:adjustRightInd w:val="0"/>
              <w:snapToGrid w:val="0"/>
              <w:jc w:val="center"/>
              <w:rPr>
                <w:spacing w:val="5"/>
              </w:rPr>
            </w:pPr>
            <w:r>
              <w:rPr>
                <w:rFonts w:hint="eastAsia"/>
                <w:spacing w:val="5"/>
              </w:rPr>
              <w:t>封场覆盖及</w:t>
            </w:r>
            <w:r w:rsidR="00626F5B">
              <w:rPr>
                <w:rFonts w:hint="eastAsia"/>
                <w:spacing w:val="5"/>
              </w:rPr>
              <w:t>厂区绿化</w:t>
            </w:r>
          </w:p>
        </w:tc>
        <w:tc>
          <w:tcPr>
            <w:tcW w:w="974" w:type="pct"/>
            <w:tcBorders>
              <w:top w:val="single" w:sz="4" w:space="0" w:color="auto"/>
              <w:bottom w:val="single" w:sz="4" w:space="0" w:color="auto"/>
            </w:tcBorders>
            <w:vAlign w:val="center"/>
          </w:tcPr>
          <w:p w14:paraId="18DD1B75" w14:textId="47C6992B" w:rsidR="00626F5B" w:rsidRPr="00626F5B" w:rsidRDefault="006A5C9C" w:rsidP="00626F5B">
            <w:pPr>
              <w:jc w:val="center"/>
              <w:rPr>
                <w:spacing w:val="5"/>
              </w:rPr>
            </w:pPr>
            <w:r>
              <w:rPr>
                <w:rFonts w:hint="eastAsia"/>
                <w:spacing w:val="5"/>
              </w:rPr>
              <w:t>13</w:t>
            </w:r>
            <w:r w:rsidR="00626F5B">
              <w:rPr>
                <w:rFonts w:hint="eastAsia"/>
                <w:spacing w:val="5"/>
              </w:rPr>
              <w:t>0</w:t>
            </w:r>
          </w:p>
        </w:tc>
      </w:tr>
      <w:tr w:rsidR="00626F5B" w:rsidRPr="00626F5B" w14:paraId="53CA22F7" w14:textId="77777777" w:rsidTr="00626F5B">
        <w:trPr>
          <w:trHeight w:val="397"/>
        </w:trPr>
        <w:tc>
          <w:tcPr>
            <w:tcW w:w="420" w:type="pct"/>
            <w:tcBorders>
              <w:top w:val="single" w:sz="4" w:space="0" w:color="auto"/>
              <w:bottom w:val="single" w:sz="4" w:space="0" w:color="auto"/>
            </w:tcBorders>
            <w:vAlign w:val="center"/>
          </w:tcPr>
          <w:p w14:paraId="00C8C41F" w14:textId="4B7D0BC6" w:rsidR="00626F5B" w:rsidRPr="00626F5B" w:rsidRDefault="00626F5B" w:rsidP="00626F5B">
            <w:pPr>
              <w:adjustRightInd w:val="0"/>
              <w:snapToGrid w:val="0"/>
              <w:jc w:val="center"/>
              <w:rPr>
                <w:spacing w:val="5"/>
              </w:rPr>
            </w:pPr>
            <w:r>
              <w:rPr>
                <w:rFonts w:hint="eastAsia"/>
                <w:spacing w:val="5"/>
              </w:rPr>
              <w:t>5</w:t>
            </w:r>
          </w:p>
        </w:tc>
        <w:tc>
          <w:tcPr>
            <w:tcW w:w="3606" w:type="pct"/>
            <w:tcBorders>
              <w:top w:val="single" w:sz="4" w:space="0" w:color="auto"/>
              <w:bottom w:val="single" w:sz="4" w:space="0" w:color="auto"/>
            </w:tcBorders>
            <w:vAlign w:val="center"/>
          </w:tcPr>
          <w:p w14:paraId="31188253" w14:textId="77777777" w:rsidR="00626F5B" w:rsidRPr="00626F5B" w:rsidRDefault="00626F5B" w:rsidP="00626F5B">
            <w:pPr>
              <w:adjustRightInd w:val="0"/>
              <w:snapToGrid w:val="0"/>
              <w:jc w:val="center"/>
              <w:rPr>
                <w:spacing w:val="5"/>
              </w:rPr>
            </w:pPr>
            <w:r w:rsidRPr="00626F5B">
              <w:rPr>
                <w:spacing w:val="5"/>
              </w:rPr>
              <w:t>环保设施运行维护费用</w:t>
            </w:r>
          </w:p>
        </w:tc>
        <w:tc>
          <w:tcPr>
            <w:tcW w:w="974" w:type="pct"/>
            <w:tcBorders>
              <w:top w:val="single" w:sz="4" w:space="0" w:color="auto"/>
              <w:bottom w:val="single" w:sz="4" w:space="0" w:color="auto"/>
            </w:tcBorders>
            <w:vAlign w:val="center"/>
          </w:tcPr>
          <w:p w14:paraId="144C7250" w14:textId="251E4270" w:rsidR="00626F5B" w:rsidRPr="00626F5B" w:rsidRDefault="006A5C9C" w:rsidP="00626F5B">
            <w:pPr>
              <w:jc w:val="center"/>
              <w:rPr>
                <w:spacing w:val="5"/>
              </w:rPr>
            </w:pPr>
            <w:r>
              <w:rPr>
                <w:rFonts w:hint="eastAsia"/>
                <w:spacing w:val="5"/>
              </w:rPr>
              <w:t>10</w:t>
            </w:r>
          </w:p>
        </w:tc>
      </w:tr>
      <w:tr w:rsidR="00626F5B" w:rsidRPr="00626F5B" w14:paraId="68A43F0A" w14:textId="77777777" w:rsidTr="00626F5B">
        <w:trPr>
          <w:trHeight w:val="397"/>
        </w:trPr>
        <w:tc>
          <w:tcPr>
            <w:tcW w:w="4026" w:type="pct"/>
            <w:gridSpan w:val="2"/>
            <w:tcBorders>
              <w:top w:val="single" w:sz="4" w:space="0" w:color="auto"/>
              <w:bottom w:val="single" w:sz="4" w:space="0" w:color="auto"/>
            </w:tcBorders>
            <w:vAlign w:val="center"/>
          </w:tcPr>
          <w:p w14:paraId="0CAC5342" w14:textId="77777777" w:rsidR="00626F5B" w:rsidRPr="00626F5B" w:rsidRDefault="00626F5B" w:rsidP="00626F5B">
            <w:pPr>
              <w:adjustRightInd w:val="0"/>
              <w:snapToGrid w:val="0"/>
              <w:jc w:val="center"/>
              <w:rPr>
                <w:spacing w:val="5"/>
              </w:rPr>
            </w:pPr>
            <w:r w:rsidRPr="00626F5B">
              <w:rPr>
                <w:spacing w:val="5"/>
              </w:rPr>
              <w:t>合</w:t>
            </w:r>
            <w:r w:rsidRPr="00626F5B">
              <w:rPr>
                <w:spacing w:val="5"/>
              </w:rPr>
              <w:t xml:space="preserve"> </w:t>
            </w:r>
            <w:r w:rsidRPr="00626F5B">
              <w:rPr>
                <w:spacing w:val="5"/>
              </w:rPr>
              <w:t>计</w:t>
            </w:r>
          </w:p>
        </w:tc>
        <w:tc>
          <w:tcPr>
            <w:tcW w:w="974" w:type="pct"/>
            <w:tcBorders>
              <w:top w:val="single" w:sz="4" w:space="0" w:color="auto"/>
              <w:bottom w:val="single" w:sz="4" w:space="0" w:color="auto"/>
            </w:tcBorders>
            <w:vAlign w:val="center"/>
          </w:tcPr>
          <w:p w14:paraId="4A02CDF6" w14:textId="632DFDF4" w:rsidR="00626F5B" w:rsidRPr="00626F5B" w:rsidRDefault="00626F5B" w:rsidP="00626F5B">
            <w:pPr>
              <w:jc w:val="center"/>
              <w:rPr>
                <w:spacing w:val="5"/>
              </w:rPr>
            </w:pPr>
            <w:r>
              <w:rPr>
                <w:rFonts w:hint="eastAsia"/>
                <w:spacing w:val="5"/>
              </w:rPr>
              <w:t>500</w:t>
            </w:r>
          </w:p>
        </w:tc>
      </w:tr>
      <w:tr w:rsidR="00626F5B" w:rsidRPr="00626F5B" w14:paraId="6BC09CC8" w14:textId="77777777" w:rsidTr="00626F5B">
        <w:trPr>
          <w:trHeight w:val="397"/>
        </w:trPr>
        <w:tc>
          <w:tcPr>
            <w:tcW w:w="4026" w:type="pct"/>
            <w:gridSpan w:val="2"/>
            <w:tcBorders>
              <w:top w:val="single" w:sz="4" w:space="0" w:color="auto"/>
              <w:bottom w:val="single" w:sz="4" w:space="0" w:color="auto"/>
            </w:tcBorders>
            <w:vAlign w:val="center"/>
          </w:tcPr>
          <w:p w14:paraId="00135953" w14:textId="77777777" w:rsidR="00626F5B" w:rsidRPr="00626F5B" w:rsidRDefault="00626F5B" w:rsidP="00626F5B">
            <w:pPr>
              <w:adjustRightInd w:val="0"/>
              <w:snapToGrid w:val="0"/>
              <w:jc w:val="center"/>
              <w:rPr>
                <w:spacing w:val="5"/>
              </w:rPr>
            </w:pPr>
            <w:r w:rsidRPr="00626F5B">
              <w:rPr>
                <w:spacing w:val="5"/>
              </w:rPr>
              <w:t>总投资</w:t>
            </w:r>
          </w:p>
        </w:tc>
        <w:tc>
          <w:tcPr>
            <w:tcW w:w="974" w:type="pct"/>
            <w:tcBorders>
              <w:top w:val="single" w:sz="4" w:space="0" w:color="auto"/>
              <w:bottom w:val="single" w:sz="4" w:space="0" w:color="auto"/>
            </w:tcBorders>
            <w:vAlign w:val="center"/>
          </w:tcPr>
          <w:p w14:paraId="01566DD8" w14:textId="43E1C975" w:rsidR="00626F5B" w:rsidRPr="00626F5B" w:rsidRDefault="00626F5B" w:rsidP="00626F5B">
            <w:pPr>
              <w:jc w:val="center"/>
              <w:rPr>
                <w:spacing w:val="5"/>
              </w:rPr>
            </w:pPr>
            <w:r>
              <w:rPr>
                <w:rFonts w:hint="eastAsia"/>
                <w:spacing w:val="5"/>
              </w:rPr>
              <w:t>500</w:t>
            </w:r>
          </w:p>
        </w:tc>
      </w:tr>
      <w:tr w:rsidR="00626F5B" w:rsidRPr="00626F5B" w14:paraId="4487AA44" w14:textId="77777777" w:rsidTr="00626F5B">
        <w:trPr>
          <w:trHeight w:val="397"/>
        </w:trPr>
        <w:tc>
          <w:tcPr>
            <w:tcW w:w="4026" w:type="pct"/>
            <w:gridSpan w:val="2"/>
            <w:tcBorders>
              <w:top w:val="single" w:sz="4" w:space="0" w:color="auto"/>
              <w:bottom w:val="single" w:sz="8" w:space="0" w:color="auto"/>
            </w:tcBorders>
            <w:vAlign w:val="center"/>
          </w:tcPr>
          <w:p w14:paraId="574B9DAF" w14:textId="77777777" w:rsidR="00626F5B" w:rsidRPr="00626F5B" w:rsidRDefault="00626F5B" w:rsidP="00626F5B">
            <w:pPr>
              <w:adjustRightInd w:val="0"/>
              <w:snapToGrid w:val="0"/>
              <w:jc w:val="center"/>
              <w:rPr>
                <w:spacing w:val="5"/>
              </w:rPr>
            </w:pPr>
            <w:r w:rsidRPr="00626F5B">
              <w:rPr>
                <w:spacing w:val="5"/>
              </w:rPr>
              <w:t>环保投资比例</w:t>
            </w:r>
            <w:r w:rsidRPr="00626F5B">
              <w:rPr>
                <w:spacing w:val="5"/>
              </w:rPr>
              <w:t>%</w:t>
            </w:r>
          </w:p>
        </w:tc>
        <w:tc>
          <w:tcPr>
            <w:tcW w:w="974" w:type="pct"/>
            <w:tcBorders>
              <w:top w:val="single" w:sz="4" w:space="0" w:color="auto"/>
              <w:bottom w:val="single" w:sz="8" w:space="0" w:color="auto"/>
            </w:tcBorders>
            <w:vAlign w:val="center"/>
          </w:tcPr>
          <w:p w14:paraId="0AED1693" w14:textId="28BCF920" w:rsidR="00626F5B" w:rsidRPr="00626F5B" w:rsidRDefault="00626F5B" w:rsidP="00626F5B">
            <w:pPr>
              <w:jc w:val="center"/>
              <w:rPr>
                <w:spacing w:val="5"/>
              </w:rPr>
            </w:pPr>
            <w:r>
              <w:rPr>
                <w:rFonts w:hint="eastAsia"/>
                <w:spacing w:val="5"/>
              </w:rPr>
              <w:t>100%</w:t>
            </w:r>
          </w:p>
        </w:tc>
      </w:tr>
    </w:tbl>
    <w:p w14:paraId="2A175A51" w14:textId="7050B501" w:rsidR="00606029" w:rsidRDefault="007B24C4">
      <w:pPr>
        <w:keepNext/>
        <w:keepLines/>
        <w:spacing w:line="360" w:lineRule="auto"/>
        <w:outlineLvl w:val="2"/>
        <w:rPr>
          <w:b/>
          <w:bCs/>
          <w:sz w:val="24"/>
          <w:szCs w:val="32"/>
        </w:rPr>
      </w:pPr>
      <w:bookmarkStart w:id="344" w:name="_Toc132449687"/>
      <w:bookmarkStart w:id="345" w:name="_Toc25158"/>
      <w:bookmarkStart w:id="346" w:name="_Toc24436"/>
      <w:bookmarkStart w:id="347" w:name="_Toc220680556"/>
      <w:r>
        <w:rPr>
          <w:rFonts w:hint="eastAsia"/>
          <w:b/>
          <w:bCs/>
          <w:sz w:val="24"/>
          <w:szCs w:val="32"/>
        </w:rPr>
        <w:t>8</w:t>
      </w:r>
      <w:r w:rsidR="00EA5B92">
        <w:rPr>
          <w:b/>
          <w:bCs/>
          <w:sz w:val="24"/>
          <w:szCs w:val="32"/>
        </w:rPr>
        <w:t xml:space="preserve">.3.2 </w:t>
      </w:r>
      <w:r w:rsidR="00EA5B92">
        <w:rPr>
          <w:b/>
          <w:bCs/>
          <w:sz w:val="24"/>
          <w:szCs w:val="32"/>
        </w:rPr>
        <w:t>环境效益</w:t>
      </w:r>
      <w:bookmarkEnd w:id="344"/>
      <w:bookmarkEnd w:id="345"/>
      <w:bookmarkEnd w:id="346"/>
      <w:bookmarkEnd w:id="347"/>
    </w:p>
    <w:p w14:paraId="5CF095F0" w14:textId="77777777" w:rsidR="00606029" w:rsidRDefault="00EA5B92">
      <w:pPr>
        <w:spacing w:line="360" w:lineRule="auto"/>
        <w:ind w:firstLineChars="200" w:firstLine="480"/>
        <w:rPr>
          <w:kern w:val="0"/>
          <w:sz w:val="24"/>
          <w:szCs w:val="24"/>
        </w:rPr>
      </w:pPr>
      <w:r>
        <w:rPr>
          <w:kern w:val="0"/>
          <w:sz w:val="24"/>
          <w:szCs w:val="24"/>
        </w:rPr>
        <w:t>本项目投产后，产生的环境效益主要从区域环境、局地环境、土地类型、资源利用、环保工程、水保工程六个方面进行分析，详见下表。</w:t>
      </w:r>
    </w:p>
    <w:p w14:paraId="14B50117" w14:textId="77777777" w:rsidR="00606029" w:rsidRDefault="00EA5B92">
      <w:pPr>
        <w:jc w:val="center"/>
        <w:rPr>
          <w:b/>
        </w:rPr>
      </w:pPr>
      <w:r>
        <w:rPr>
          <w:b/>
        </w:rPr>
        <w:t>表</w:t>
      </w:r>
      <w:r>
        <w:rPr>
          <w:b/>
        </w:rPr>
        <w:t xml:space="preserve">9.3-1 </w:t>
      </w:r>
      <w:r>
        <w:rPr>
          <w:b/>
        </w:rPr>
        <w:t>项目环境效益分析表</w:t>
      </w:r>
    </w:p>
    <w:tbl>
      <w:tblPr>
        <w:tblW w:w="5012" w:type="pct"/>
        <w:tblInd w:w="-8" w:type="dxa"/>
        <w:tblBorders>
          <w:top w:val="single" w:sz="2" w:space="0" w:color="000000"/>
          <w:left w:val="single" w:sz="2" w:space="0" w:color="000000"/>
          <w:bottom w:val="single" w:sz="2" w:space="0" w:color="000000"/>
          <w:right w:val="single" w:sz="2"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607"/>
        <w:gridCol w:w="1052"/>
        <w:gridCol w:w="2456"/>
        <w:gridCol w:w="1778"/>
        <w:gridCol w:w="1511"/>
        <w:gridCol w:w="1455"/>
      </w:tblGrid>
      <w:tr w:rsidR="00606029" w14:paraId="1FF14FD0" w14:textId="77777777">
        <w:trPr>
          <w:trHeight w:val="57"/>
        </w:trPr>
        <w:tc>
          <w:tcPr>
            <w:tcW w:w="570" w:type="dxa"/>
            <w:vMerge w:val="restart"/>
            <w:tcBorders>
              <w:tl2br w:val="nil"/>
              <w:tr2bl w:val="nil"/>
            </w:tcBorders>
            <w:vAlign w:val="center"/>
          </w:tcPr>
          <w:p w14:paraId="7EF78E37" w14:textId="77777777" w:rsidR="00606029" w:rsidRDefault="00EA5B92">
            <w:pPr>
              <w:adjustRightInd w:val="0"/>
              <w:snapToGrid w:val="0"/>
              <w:jc w:val="center"/>
            </w:pPr>
            <w:r>
              <w:rPr>
                <w:spacing w:val="5"/>
              </w:rPr>
              <w:t>序号</w:t>
            </w:r>
          </w:p>
        </w:tc>
        <w:tc>
          <w:tcPr>
            <w:tcW w:w="988" w:type="dxa"/>
            <w:vMerge w:val="restart"/>
            <w:tcBorders>
              <w:tl2br w:val="nil"/>
              <w:tr2bl w:val="nil"/>
            </w:tcBorders>
            <w:vAlign w:val="center"/>
          </w:tcPr>
          <w:p w14:paraId="7A17E364" w14:textId="77777777" w:rsidR="00606029" w:rsidRDefault="00EA5B92">
            <w:pPr>
              <w:adjustRightInd w:val="0"/>
              <w:snapToGrid w:val="0"/>
              <w:jc w:val="center"/>
            </w:pPr>
            <w:r>
              <w:rPr>
                <w:spacing w:val="3"/>
              </w:rPr>
              <w:t>项目</w:t>
            </w:r>
          </w:p>
        </w:tc>
        <w:tc>
          <w:tcPr>
            <w:tcW w:w="3977" w:type="dxa"/>
            <w:gridSpan w:val="2"/>
            <w:tcBorders>
              <w:tl2br w:val="nil"/>
              <w:tr2bl w:val="nil"/>
            </w:tcBorders>
            <w:vAlign w:val="center"/>
          </w:tcPr>
          <w:p w14:paraId="017B66A6" w14:textId="77777777" w:rsidR="00606029" w:rsidRDefault="00EA5B92">
            <w:pPr>
              <w:adjustRightInd w:val="0"/>
              <w:snapToGrid w:val="0"/>
              <w:jc w:val="center"/>
            </w:pPr>
            <w:r>
              <w:rPr>
                <w:spacing w:val="6"/>
              </w:rPr>
              <w:t>正</w:t>
            </w:r>
            <w:r>
              <w:rPr>
                <w:spacing w:val="5"/>
              </w:rPr>
              <w:t>效应</w:t>
            </w:r>
          </w:p>
        </w:tc>
        <w:tc>
          <w:tcPr>
            <w:tcW w:w="1419" w:type="dxa"/>
            <w:vMerge w:val="restart"/>
            <w:tcBorders>
              <w:tl2br w:val="nil"/>
              <w:tr2bl w:val="nil"/>
            </w:tcBorders>
            <w:vAlign w:val="center"/>
          </w:tcPr>
          <w:p w14:paraId="761D9065" w14:textId="77777777" w:rsidR="00606029" w:rsidRDefault="00EA5B92">
            <w:pPr>
              <w:adjustRightInd w:val="0"/>
              <w:snapToGrid w:val="0"/>
              <w:jc w:val="center"/>
            </w:pPr>
            <w:r>
              <w:rPr>
                <w:spacing w:val="4"/>
              </w:rPr>
              <w:t>负效应</w:t>
            </w:r>
          </w:p>
        </w:tc>
        <w:tc>
          <w:tcPr>
            <w:tcW w:w="1367" w:type="dxa"/>
            <w:vMerge w:val="restart"/>
            <w:tcBorders>
              <w:tl2br w:val="nil"/>
              <w:tr2bl w:val="nil"/>
            </w:tcBorders>
            <w:vAlign w:val="center"/>
          </w:tcPr>
          <w:p w14:paraId="67396555" w14:textId="77777777" w:rsidR="00606029" w:rsidRDefault="00EA5B92">
            <w:pPr>
              <w:adjustRightInd w:val="0"/>
              <w:snapToGrid w:val="0"/>
              <w:jc w:val="center"/>
            </w:pPr>
            <w:r>
              <w:rPr>
                <w:spacing w:val="6"/>
              </w:rPr>
              <w:t>效益分析</w:t>
            </w:r>
          </w:p>
        </w:tc>
      </w:tr>
      <w:tr w:rsidR="00606029" w14:paraId="6C79CB31" w14:textId="77777777">
        <w:trPr>
          <w:trHeight w:val="57"/>
        </w:trPr>
        <w:tc>
          <w:tcPr>
            <w:tcW w:w="570" w:type="dxa"/>
            <w:vMerge/>
            <w:tcBorders>
              <w:tl2br w:val="nil"/>
              <w:tr2bl w:val="nil"/>
            </w:tcBorders>
            <w:vAlign w:val="center"/>
          </w:tcPr>
          <w:p w14:paraId="078FA18D" w14:textId="77777777" w:rsidR="00606029" w:rsidRDefault="00606029">
            <w:pPr>
              <w:adjustRightInd w:val="0"/>
              <w:snapToGrid w:val="0"/>
              <w:jc w:val="center"/>
            </w:pPr>
          </w:p>
        </w:tc>
        <w:tc>
          <w:tcPr>
            <w:tcW w:w="988" w:type="dxa"/>
            <w:vMerge/>
            <w:tcBorders>
              <w:tl2br w:val="nil"/>
              <w:tr2bl w:val="nil"/>
            </w:tcBorders>
            <w:vAlign w:val="center"/>
          </w:tcPr>
          <w:p w14:paraId="2C356089" w14:textId="77777777" w:rsidR="00606029" w:rsidRDefault="00606029">
            <w:pPr>
              <w:adjustRightInd w:val="0"/>
              <w:snapToGrid w:val="0"/>
              <w:jc w:val="center"/>
            </w:pPr>
          </w:p>
        </w:tc>
        <w:tc>
          <w:tcPr>
            <w:tcW w:w="2307" w:type="dxa"/>
            <w:tcBorders>
              <w:tl2br w:val="nil"/>
              <w:tr2bl w:val="nil"/>
            </w:tcBorders>
            <w:vAlign w:val="center"/>
          </w:tcPr>
          <w:p w14:paraId="16C53818" w14:textId="77777777" w:rsidR="00606029" w:rsidRDefault="00EA5B92">
            <w:pPr>
              <w:adjustRightInd w:val="0"/>
              <w:snapToGrid w:val="0"/>
              <w:jc w:val="center"/>
            </w:pPr>
            <w:r>
              <w:rPr>
                <w:spacing w:val="4"/>
              </w:rPr>
              <w:t>直</w:t>
            </w:r>
            <w:r>
              <w:rPr>
                <w:spacing w:val="3"/>
              </w:rPr>
              <w:t>接</w:t>
            </w:r>
          </w:p>
        </w:tc>
        <w:tc>
          <w:tcPr>
            <w:tcW w:w="1670" w:type="dxa"/>
            <w:tcBorders>
              <w:tl2br w:val="nil"/>
              <w:tr2bl w:val="nil"/>
            </w:tcBorders>
            <w:vAlign w:val="center"/>
          </w:tcPr>
          <w:p w14:paraId="2705BFC5" w14:textId="77777777" w:rsidR="00606029" w:rsidRDefault="00EA5B92">
            <w:pPr>
              <w:adjustRightInd w:val="0"/>
              <w:snapToGrid w:val="0"/>
              <w:jc w:val="center"/>
            </w:pPr>
            <w:r>
              <w:rPr>
                <w:spacing w:val="-4"/>
              </w:rPr>
              <w:t>间</w:t>
            </w:r>
            <w:r>
              <w:rPr>
                <w:spacing w:val="-3"/>
              </w:rPr>
              <w:t>接</w:t>
            </w:r>
          </w:p>
        </w:tc>
        <w:tc>
          <w:tcPr>
            <w:tcW w:w="1419" w:type="dxa"/>
            <w:vMerge/>
            <w:tcBorders>
              <w:tl2br w:val="nil"/>
              <w:tr2bl w:val="nil"/>
            </w:tcBorders>
            <w:vAlign w:val="center"/>
          </w:tcPr>
          <w:p w14:paraId="229AB43F" w14:textId="77777777" w:rsidR="00606029" w:rsidRDefault="00606029">
            <w:pPr>
              <w:adjustRightInd w:val="0"/>
              <w:snapToGrid w:val="0"/>
              <w:jc w:val="center"/>
            </w:pPr>
          </w:p>
        </w:tc>
        <w:tc>
          <w:tcPr>
            <w:tcW w:w="1367" w:type="dxa"/>
            <w:vMerge/>
            <w:tcBorders>
              <w:tl2br w:val="nil"/>
              <w:tr2bl w:val="nil"/>
            </w:tcBorders>
            <w:vAlign w:val="center"/>
          </w:tcPr>
          <w:p w14:paraId="240199E6" w14:textId="77777777" w:rsidR="00606029" w:rsidRDefault="00606029">
            <w:pPr>
              <w:adjustRightInd w:val="0"/>
              <w:snapToGrid w:val="0"/>
              <w:jc w:val="center"/>
            </w:pPr>
          </w:p>
        </w:tc>
      </w:tr>
      <w:tr w:rsidR="00606029" w14:paraId="35EC5CCB" w14:textId="77777777">
        <w:trPr>
          <w:trHeight w:val="57"/>
        </w:trPr>
        <w:tc>
          <w:tcPr>
            <w:tcW w:w="570" w:type="dxa"/>
            <w:tcBorders>
              <w:tl2br w:val="nil"/>
              <w:tr2bl w:val="nil"/>
            </w:tcBorders>
            <w:vAlign w:val="center"/>
          </w:tcPr>
          <w:p w14:paraId="17751150" w14:textId="77777777" w:rsidR="00606029" w:rsidRDefault="00EA5B92">
            <w:pPr>
              <w:adjustRightInd w:val="0"/>
              <w:snapToGrid w:val="0"/>
              <w:jc w:val="center"/>
            </w:pPr>
            <w:r>
              <w:t>1</w:t>
            </w:r>
          </w:p>
        </w:tc>
        <w:tc>
          <w:tcPr>
            <w:tcW w:w="988" w:type="dxa"/>
            <w:tcBorders>
              <w:tl2br w:val="nil"/>
              <w:tr2bl w:val="nil"/>
            </w:tcBorders>
            <w:vAlign w:val="center"/>
          </w:tcPr>
          <w:p w14:paraId="0125DCF1" w14:textId="77777777" w:rsidR="00606029" w:rsidRDefault="00EA5B92">
            <w:pPr>
              <w:adjustRightInd w:val="0"/>
              <w:snapToGrid w:val="0"/>
              <w:jc w:val="center"/>
            </w:pPr>
            <w:r>
              <w:rPr>
                <w:spacing w:val="5"/>
              </w:rPr>
              <w:t>区</w:t>
            </w:r>
            <w:r>
              <w:rPr>
                <w:spacing w:val="3"/>
              </w:rPr>
              <w:t>域环境</w:t>
            </w:r>
          </w:p>
        </w:tc>
        <w:tc>
          <w:tcPr>
            <w:tcW w:w="2307" w:type="dxa"/>
            <w:tcBorders>
              <w:tl2br w:val="nil"/>
              <w:tr2bl w:val="nil"/>
            </w:tcBorders>
            <w:vAlign w:val="center"/>
          </w:tcPr>
          <w:p w14:paraId="2499C9D7" w14:textId="77777777" w:rsidR="00606029" w:rsidRDefault="00EA5B92">
            <w:pPr>
              <w:adjustRightInd w:val="0"/>
              <w:snapToGrid w:val="0"/>
              <w:jc w:val="center"/>
            </w:pPr>
            <w:r>
              <w:rPr>
                <w:spacing w:val="10"/>
              </w:rPr>
              <w:t>减</w:t>
            </w:r>
            <w:r>
              <w:rPr>
                <w:spacing w:val="9"/>
              </w:rPr>
              <w:t>少了固体废物污染，清洁</w:t>
            </w:r>
            <w:r>
              <w:rPr>
                <w:spacing w:val="13"/>
              </w:rPr>
              <w:t>了</w:t>
            </w:r>
            <w:r>
              <w:rPr>
                <w:spacing w:val="7"/>
              </w:rPr>
              <w:t>城市，改善了城市形象为</w:t>
            </w:r>
            <w:r>
              <w:rPr>
                <w:spacing w:val="10"/>
              </w:rPr>
              <w:t>创</w:t>
            </w:r>
            <w:r>
              <w:rPr>
                <w:spacing w:val="9"/>
              </w:rPr>
              <w:t>建卫生、文明城市创造了</w:t>
            </w:r>
            <w:r>
              <w:rPr>
                <w:spacing w:val="11"/>
              </w:rPr>
              <w:t>条</w:t>
            </w:r>
            <w:r>
              <w:rPr>
                <w:spacing w:val="8"/>
              </w:rPr>
              <w:t>件改善投资环境</w:t>
            </w:r>
          </w:p>
        </w:tc>
        <w:tc>
          <w:tcPr>
            <w:tcW w:w="1670" w:type="dxa"/>
            <w:tcBorders>
              <w:tl2br w:val="nil"/>
              <w:tr2bl w:val="nil"/>
            </w:tcBorders>
            <w:vAlign w:val="center"/>
          </w:tcPr>
          <w:p w14:paraId="3AE1111A" w14:textId="468D7B72" w:rsidR="00606029" w:rsidRDefault="00EA5B92">
            <w:pPr>
              <w:adjustRightInd w:val="0"/>
              <w:snapToGrid w:val="0"/>
              <w:jc w:val="center"/>
            </w:pPr>
            <w:r>
              <w:rPr>
                <w:spacing w:val="9"/>
              </w:rPr>
              <w:t>对保护</w:t>
            </w:r>
            <w:r w:rsidR="004E5FFD">
              <w:rPr>
                <w:spacing w:val="9"/>
              </w:rPr>
              <w:t>大庆市</w:t>
            </w:r>
            <w:r>
              <w:rPr>
                <w:spacing w:val="8"/>
              </w:rPr>
              <w:t>范围</w:t>
            </w:r>
            <w:r>
              <w:rPr>
                <w:spacing w:val="14"/>
              </w:rPr>
              <w:t>内</w:t>
            </w:r>
            <w:r>
              <w:rPr>
                <w:spacing w:val="8"/>
              </w:rPr>
              <w:t>的土壤环境、地表</w:t>
            </w:r>
            <w:r>
              <w:rPr>
                <w:spacing w:val="14"/>
              </w:rPr>
              <w:t>水</w:t>
            </w:r>
            <w:r>
              <w:rPr>
                <w:spacing w:val="8"/>
              </w:rPr>
              <w:t>、地下水的水质有</w:t>
            </w:r>
            <w:r>
              <w:rPr>
                <w:spacing w:val="10"/>
              </w:rPr>
              <w:t>极</w:t>
            </w:r>
            <w:r>
              <w:rPr>
                <w:spacing w:val="7"/>
              </w:rPr>
              <w:t>重要意义</w:t>
            </w:r>
          </w:p>
        </w:tc>
        <w:tc>
          <w:tcPr>
            <w:tcW w:w="1419" w:type="dxa"/>
            <w:tcBorders>
              <w:tl2br w:val="nil"/>
              <w:tr2bl w:val="nil"/>
            </w:tcBorders>
            <w:vAlign w:val="center"/>
          </w:tcPr>
          <w:p w14:paraId="6759E92C" w14:textId="77777777" w:rsidR="00606029" w:rsidRDefault="00EA5B92">
            <w:pPr>
              <w:adjustRightInd w:val="0"/>
              <w:snapToGrid w:val="0"/>
              <w:jc w:val="center"/>
            </w:pPr>
            <w:r>
              <w:rPr>
                <w:spacing w:val="8"/>
              </w:rPr>
              <w:t>改善区域的环</w:t>
            </w:r>
            <w:r>
              <w:rPr>
                <w:spacing w:val="7"/>
              </w:rPr>
              <w:t>境质量现状</w:t>
            </w:r>
          </w:p>
        </w:tc>
        <w:tc>
          <w:tcPr>
            <w:tcW w:w="1367" w:type="dxa"/>
            <w:tcBorders>
              <w:tl2br w:val="nil"/>
              <w:tr2bl w:val="nil"/>
            </w:tcBorders>
            <w:vAlign w:val="center"/>
          </w:tcPr>
          <w:p w14:paraId="7F533384" w14:textId="77777777" w:rsidR="00606029" w:rsidRDefault="00EA5B92">
            <w:pPr>
              <w:adjustRightInd w:val="0"/>
              <w:snapToGrid w:val="0"/>
              <w:jc w:val="center"/>
            </w:pPr>
            <w:r>
              <w:rPr>
                <w:spacing w:val="8"/>
              </w:rPr>
              <w:t>改善区域的环</w:t>
            </w:r>
            <w:r>
              <w:rPr>
                <w:spacing w:val="7"/>
              </w:rPr>
              <w:t>境质量现状</w:t>
            </w:r>
          </w:p>
        </w:tc>
      </w:tr>
      <w:tr w:rsidR="00606029" w14:paraId="06F9B3DA" w14:textId="77777777">
        <w:trPr>
          <w:trHeight w:val="57"/>
        </w:trPr>
        <w:tc>
          <w:tcPr>
            <w:tcW w:w="570" w:type="dxa"/>
            <w:tcBorders>
              <w:tl2br w:val="nil"/>
              <w:tr2bl w:val="nil"/>
            </w:tcBorders>
            <w:vAlign w:val="center"/>
          </w:tcPr>
          <w:p w14:paraId="47B0ABBE" w14:textId="77777777" w:rsidR="00606029" w:rsidRDefault="00EA5B92">
            <w:pPr>
              <w:adjustRightInd w:val="0"/>
              <w:snapToGrid w:val="0"/>
              <w:jc w:val="center"/>
            </w:pPr>
            <w:r>
              <w:t>2</w:t>
            </w:r>
          </w:p>
        </w:tc>
        <w:tc>
          <w:tcPr>
            <w:tcW w:w="988" w:type="dxa"/>
            <w:tcBorders>
              <w:tl2br w:val="nil"/>
              <w:tr2bl w:val="nil"/>
            </w:tcBorders>
            <w:vAlign w:val="center"/>
          </w:tcPr>
          <w:p w14:paraId="5FB96340" w14:textId="77777777" w:rsidR="00606029" w:rsidRDefault="00EA5B92">
            <w:pPr>
              <w:adjustRightInd w:val="0"/>
              <w:snapToGrid w:val="0"/>
              <w:jc w:val="center"/>
            </w:pPr>
            <w:r>
              <w:rPr>
                <w:spacing w:val="9"/>
              </w:rPr>
              <w:t>局</w:t>
            </w:r>
            <w:r>
              <w:rPr>
                <w:spacing w:val="6"/>
              </w:rPr>
              <w:t>地环境</w:t>
            </w:r>
          </w:p>
        </w:tc>
        <w:tc>
          <w:tcPr>
            <w:tcW w:w="2307" w:type="dxa"/>
            <w:tcBorders>
              <w:tl2br w:val="nil"/>
              <w:tr2bl w:val="nil"/>
            </w:tcBorders>
            <w:vAlign w:val="center"/>
          </w:tcPr>
          <w:p w14:paraId="6621762C" w14:textId="77777777" w:rsidR="00606029" w:rsidRDefault="00EA5B92">
            <w:pPr>
              <w:adjustRightInd w:val="0"/>
              <w:snapToGrid w:val="0"/>
              <w:jc w:val="center"/>
            </w:pPr>
            <w:r>
              <w:rPr>
                <w:spacing w:val="2"/>
                <w:position w:val="2"/>
              </w:rPr>
              <w:t>/</w:t>
            </w:r>
          </w:p>
        </w:tc>
        <w:tc>
          <w:tcPr>
            <w:tcW w:w="1670" w:type="dxa"/>
            <w:tcBorders>
              <w:tl2br w:val="nil"/>
              <w:tr2bl w:val="nil"/>
            </w:tcBorders>
            <w:vAlign w:val="center"/>
          </w:tcPr>
          <w:p w14:paraId="2CBF73B7" w14:textId="77777777" w:rsidR="00606029" w:rsidRDefault="00EA5B92">
            <w:pPr>
              <w:adjustRightInd w:val="0"/>
              <w:snapToGrid w:val="0"/>
              <w:jc w:val="center"/>
            </w:pPr>
            <w:r>
              <w:rPr>
                <w:spacing w:val="2"/>
                <w:position w:val="2"/>
              </w:rPr>
              <w:t>/</w:t>
            </w:r>
          </w:p>
        </w:tc>
        <w:tc>
          <w:tcPr>
            <w:tcW w:w="1419" w:type="dxa"/>
            <w:tcBorders>
              <w:tl2br w:val="nil"/>
              <w:tr2bl w:val="nil"/>
            </w:tcBorders>
            <w:vAlign w:val="center"/>
          </w:tcPr>
          <w:p w14:paraId="47C70560" w14:textId="77777777" w:rsidR="00606029" w:rsidRDefault="00EA5B92">
            <w:pPr>
              <w:adjustRightInd w:val="0"/>
              <w:snapToGrid w:val="0"/>
              <w:jc w:val="center"/>
            </w:pPr>
            <w:r>
              <w:rPr>
                <w:spacing w:val="6"/>
              </w:rPr>
              <w:t>固体废物集中在</w:t>
            </w:r>
            <w:r>
              <w:rPr>
                <w:spacing w:val="9"/>
              </w:rPr>
              <w:t>场址处置，对</w:t>
            </w:r>
            <w:r>
              <w:rPr>
                <w:spacing w:val="7"/>
              </w:rPr>
              <w:t>场</w:t>
            </w:r>
            <w:r>
              <w:rPr>
                <w:spacing w:val="11"/>
              </w:rPr>
              <w:t>址</w:t>
            </w:r>
            <w:r>
              <w:rPr>
                <w:spacing w:val="8"/>
              </w:rPr>
              <w:t>附近的环境带来一定的影响</w:t>
            </w:r>
          </w:p>
        </w:tc>
        <w:tc>
          <w:tcPr>
            <w:tcW w:w="1367" w:type="dxa"/>
            <w:tcBorders>
              <w:tl2br w:val="nil"/>
              <w:tr2bl w:val="nil"/>
            </w:tcBorders>
            <w:vAlign w:val="center"/>
          </w:tcPr>
          <w:p w14:paraId="3926222C" w14:textId="77777777" w:rsidR="00606029" w:rsidRDefault="00EA5B92">
            <w:pPr>
              <w:adjustRightInd w:val="0"/>
              <w:snapToGrid w:val="0"/>
              <w:jc w:val="center"/>
            </w:pPr>
            <w:r>
              <w:rPr>
                <w:spacing w:val="7"/>
              </w:rPr>
              <w:t>以</w:t>
            </w:r>
            <w:r>
              <w:rPr>
                <w:spacing w:val="5"/>
              </w:rPr>
              <w:t>局部环境质量</w:t>
            </w:r>
            <w:r>
              <w:rPr>
                <w:spacing w:val="7"/>
              </w:rPr>
              <w:t>的</w:t>
            </w:r>
            <w:r>
              <w:rPr>
                <w:spacing w:val="6"/>
              </w:rPr>
              <w:t>下降，改善区</w:t>
            </w:r>
            <w:r>
              <w:rPr>
                <w:spacing w:val="8"/>
              </w:rPr>
              <w:t>域的环境质量</w:t>
            </w:r>
          </w:p>
        </w:tc>
      </w:tr>
      <w:tr w:rsidR="00606029" w14:paraId="633BDB52" w14:textId="77777777">
        <w:trPr>
          <w:trHeight w:val="57"/>
        </w:trPr>
        <w:tc>
          <w:tcPr>
            <w:tcW w:w="570" w:type="dxa"/>
            <w:tcBorders>
              <w:tl2br w:val="nil"/>
              <w:tr2bl w:val="nil"/>
            </w:tcBorders>
            <w:vAlign w:val="center"/>
          </w:tcPr>
          <w:p w14:paraId="347558B6" w14:textId="77777777" w:rsidR="00606029" w:rsidRDefault="00EA5B92">
            <w:pPr>
              <w:adjustRightInd w:val="0"/>
              <w:snapToGrid w:val="0"/>
              <w:jc w:val="center"/>
            </w:pPr>
            <w:r>
              <w:t>3</w:t>
            </w:r>
          </w:p>
        </w:tc>
        <w:tc>
          <w:tcPr>
            <w:tcW w:w="988" w:type="dxa"/>
            <w:tcBorders>
              <w:tl2br w:val="nil"/>
              <w:tr2bl w:val="nil"/>
            </w:tcBorders>
            <w:vAlign w:val="center"/>
          </w:tcPr>
          <w:p w14:paraId="14D8FF88" w14:textId="77777777" w:rsidR="00606029" w:rsidRDefault="00EA5B92">
            <w:pPr>
              <w:adjustRightInd w:val="0"/>
              <w:snapToGrid w:val="0"/>
              <w:jc w:val="center"/>
            </w:pPr>
            <w:r>
              <w:rPr>
                <w:spacing w:val="7"/>
              </w:rPr>
              <w:t>土地类型</w:t>
            </w:r>
          </w:p>
        </w:tc>
        <w:tc>
          <w:tcPr>
            <w:tcW w:w="2307" w:type="dxa"/>
            <w:tcBorders>
              <w:tl2br w:val="nil"/>
              <w:tr2bl w:val="nil"/>
            </w:tcBorders>
            <w:vAlign w:val="center"/>
          </w:tcPr>
          <w:p w14:paraId="63CFCDD6" w14:textId="77777777" w:rsidR="00606029" w:rsidRDefault="00EA5B92">
            <w:pPr>
              <w:adjustRightInd w:val="0"/>
              <w:snapToGrid w:val="0"/>
              <w:jc w:val="center"/>
            </w:pPr>
            <w:r>
              <w:t>利用原有填埋场区域填埋飞灰，不新增占地</w:t>
            </w:r>
          </w:p>
        </w:tc>
        <w:tc>
          <w:tcPr>
            <w:tcW w:w="1670" w:type="dxa"/>
            <w:tcBorders>
              <w:tl2br w:val="nil"/>
              <w:tr2bl w:val="nil"/>
            </w:tcBorders>
            <w:vAlign w:val="center"/>
          </w:tcPr>
          <w:p w14:paraId="361864E2" w14:textId="77777777" w:rsidR="00606029" w:rsidRDefault="00EA5B92">
            <w:pPr>
              <w:adjustRightInd w:val="0"/>
              <w:snapToGrid w:val="0"/>
              <w:jc w:val="center"/>
            </w:pPr>
            <w:r>
              <w:rPr>
                <w:spacing w:val="9"/>
              </w:rPr>
              <w:t>减少目前区域内其</w:t>
            </w:r>
            <w:r>
              <w:rPr>
                <w:spacing w:val="8"/>
              </w:rPr>
              <w:t>他工业固废堆存造</w:t>
            </w:r>
            <w:r>
              <w:rPr>
                <w:spacing w:val="15"/>
              </w:rPr>
              <w:t>成</w:t>
            </w:r>
            <w:r>
              <w:rPr>
                <w:spacing w:val="8"/>
              </w:rPr>
              <w:t>的土地浪费；带动附</w:t>
            </w:r>
            <w:r>
              <w:rPr>
                <w:spacing w:val="6"/>
              </w:rPr>
              <w:t>近的交通条件</w:t>
            </w:r>
          </w:p>
        </w:tc>
        <w:tc>
          <w:tcPr>
            <w:tcW w:w="1419" w:type="dxa"/>
            <w:tcBorders>
              <w:tl2br w:val="nil"/>
              <w:tr2bl w:val="nil"/>
            </w:tcBorders>
            <w:vAlign w:val="center"/>
          </w:tcPr>
          <w:p w14:paraId="60E2F948" w14:textId="77777777" w:rsidR="00606029" w:rsidRDefault="00EA5B92">
            <w:pPr>
              <w:adjustRightInd w:val="0"/>
              <w:snapToGrid w:val="0"/>
              <w:jc w:val="center"/>
            </w:pPr>
            <w:r>
              <w:rPr>
                <w:spacing w:val="2"/>
                <w:position w:val="2"/>
              </w:rPr>
              <w:t>/</w:t>
            </w:r>
          </w:p>
        </w:tc>
        <w:tc>
          <w:tcPr>
            <w:tcW w:w="1367" w:type="dxa"/>
            <w:tcBorders>
              <w:tl2br w:val="nil"/>
              <w:tr2bl w:val="nil"/>
            </w:tcBorders>
            <w:vAlign w:val="center"/>
          </w:tcPr>
          <w:p w14:paraId="7E822E6C" w14:textId="77777777" w:rsidR="00606029" w:rsidRDefault="00EA5B92">
            <w:pPr>
              <w:adjustRightInd w:val="0"/>
              <w:snapToGrid w:val="0"/>
              <w:jc w:val="center"/>
            </w:pPr>
            <w:r>
              <w:rPr>
                <w:spacing w:val="6"/>
              </w:rPr>
              <w:t>正</w:t>
            </w:r>
            <w:r>
              <w:rPr>
                <w:spacing w:val="5"/>
              </w:rPr>
              <w:t>效益</w:t>
            </w:r>
          </w:p>
        </w:tc>
      </w:tr>
      <w:tr w:rsidR="00606029" w14:paraId="0C635F21" w14:textId="77777777">
        <w:trPr>
          <w:trHeight w:val="57"/>
        </w:trPr>
        <w:tc>
          <w:tcPr>
            <w:tcW w:w="570" w:type="dxa"/>
            <w:tcBorders>
              <w:tl2br w:val="nil"/>
              <w:tr2bl w:val="nil"/>
            </w:tcBorders>
            <w:vAlign w:val="center"/>
          </w:tcPr>
          <w:p w14:paraId="0A59BCD2" w14:textId="77777777" w:rsidR="00606029" w:rsidRDefault="00EA5B92">
            <w:pPr>
              <w:adjustRightInd w:val="0"/>
              <w:snapToGrid w:val="0"/>
              <w:jc w:val="center"/>
            </w:pPr>
            <w:r>
              <w:rPr>
                <w:spacing w:val="1"/>
              </w:rPr>
              <w:t>4</w:t>
            </w:r>
          </w:p>
        </w:tc>
        <w:tc>
          <w:tcPr>
            <w:tcW w:w="988" w:type="dxa"/>
            <w:tcBorders>
              <w:tl2br w:val="nil"/>
              <w:tr2bl w:val="nil"/>
            </w:tcBorders>
            <w:vAlign w:val="center"/>
          </w:tcPr>
          <w:p w14:paraId="2FAD8A93" w14:textId="77777777" w:rsidR="00606029" w:rsidRDefault="00EA5B92">
            <w:pPr>
              <w:adjustRightInd w:val="0"/>
              <w:snapToGrid w:val="0"/>
              <w:jc w:val="center"/>
            </w:pPr>
            <w:r>
              <w:rPr>
                <w:spacing w:val="5"/>
              </w:rPr>
              <w:t>资源利用</w:t>
            </w:r>
          </w:p>
        </w:tc>
        <w:tc>
          <w:tcPr>
            <w:tcW w:w="2307" w:type="dxa"/>
            <w:tcBorders>
              <w:tl2br w:val="nil"/>
              <w:tr2bl w:val="nil"/>
            </w:tcBorders>
            <w:vAlign w:val="center"/>
          </w:tcPr>
          <w:p w14:paraId="2FA9EB6A" w14:textId="77777777" w:rsidR="00606029" w:rsidRDefault="00EA5B92">
            <w:pPr>
              <w:adjustRightInd w:val="0"/>
              <w:snapToGrid w:val="0"/>
              <w:jc w:val="center"/>
            </w:pPr>
            <w:r>
              <w:rPr>
                <w:spacing w:val="11"/>
              </w:rPr>
              <w:t>提</w:t>
            </w:r>
            <w:r>
              <w:rPr>
                <w:spacing w:val="8"/>
              </w:rPr>
              <w:t>高资源利用率</w:t>
            </w:r>
          </w:p>
        </w:tc>
        <w:tc>
          <w:tcPr>
            <w:tcW w:w="1670" w:type="dxa"/>
            <w:tcBorders>
              <w:tl2br w:val="nil"/>
              <w:tr2bl w:val="nil"/>
            </w:tcBorders>
            <w:vAlign w:val="center"/>
          </w:tcPr>
          <w:p w14:paraId="24B91C53" w14:textId="77777777" w:rsidR="00606029" w:rsidRDefault="00EA5B92">
            <w:pPr>
              <w:adjustRightInd w:val="0"/>
              <w:snapToGrid w:val="0"/>
              <w:jc w:val="center"/>
            </w:pPr>
            <w:r>
              <w:rPr>
                <w:spacing w:val="9"/>
              </w:rPr>
              <w:t>促进区域循环经济</w:t>
            </w:r>
            <w:r>
              <w:rPr>
                <w:spacing w:val="7"/>
              </w:rPr>
              <w:t>发</w:t>
            </w:r>
            <w:r>
              <w:t>展</w:t>
            </w:r>
          </w:p>
        </w:tc>
        <w:tc>
          <w:tcPr>
            <w:tcW w:w="1419" w:type="dxa"/>
            <w:tcBorders>
              <w:tl2br w:val="nil"/>
              <w:tr2bl w:val="nil"/>
            </w:tcBorders>
            <w:vAlign w:val="center"/>
          </w:tcPr>
          <w:p w14:paraId="6C805552" w14:textId="77777777" w:rsidR="00606029" w:rsidRDefault="00EA5B92">
            <w:pPr>
              <w:adjustRightInd w:val="0"/>
              <w:snapToGrid w:val="0"/>
              <w:jc w:val="center"/>
            </w:pPr>
            <w:r>
              <w:rPr>
                <w:spacing w:val="2"/>
                <w:position w:val="2"/>
              </w:rPr>
              <w:t>/</w:t>
            </w:r>
          </w:p>
        </w:tc>
        <w:tc>
          <w:tcPr>
            <w:tcW w:w="1367" w:type="dxa"/>
            <w:tcBorders>
              <w:tl2br w:val="nil"/>
              <w:tr2bl w:val="nil"/>
            </w:tcBorders>
            <w:vAlign w:val="center"/>
          </w:tcPr>
          <w:p w14:paraId="12561B56" w14:textId="77777777" w:rsidR="00606029" w:rsidRDefault="00EA5B92">
            <w:pPr>
              <w:adjustRightInd w:val="0"/>
              <w:snapToGrid w:val="0"/>
              <w:jc w:val="center"/>
            </w:pPr>
            <w:r>
              <w:rPr>
                <w:spacing w:val="6"/>
              </w:rPr>
              <w:t>正</w:t>
            </w:r>
            <w:r>
              <w:rPr>
                <w:spacing w:val="5"/>
              </w:rPr>
              <w:t>效益</w:t>
            </w:r>
          </w:p>
        </w:tc>
      </w:tr>
      <w:tr w:rsidR="00606029" w14:paraId="1117DC45" w14:textId="77777777">
        <w:trPr>
          <w:trHeight w:val="57"/>
        </w:trPr>
        <w:tc>
          <w:tcPr>
            <w:tcW w:w="570" w:type="dxa"/>
            <w:tcBorders>
              <w:tl2br w:val="nil"/>
              <w:tr2bl w:val="nil"/>
            </w:tcBorders>
            <w:vAlign w:val="center"/>
          </w:tcPr>
          <w:p w14:paraId="5B4520E5" w14:textId="77777777" w:rsidR="00606029" w:rsidRDefault="00EA5B92">
            <w:pPr>
              <w:adjustRightInd w:val="0"/>
              <w:snapToGrid w:val="0"/>
              <w:jc w:val="center"/>
            </w:pPr>
            <w:r>
              <w:t>5</w:t>
            </w:r>
          </w:p>
        </w:tc>
        <w:tc>
          <w:tcPr>
            <w:tcW w:w="988" w:type="dxa"/>
            <w:tcBorders>
              <w:tl2br w:val="nil"/>
              <w:tr2bl w:val="nil"/>
            </w:tcBorders>
            <w:vAlign w:val="center"/>
          </w:tcPr>
          <w:p w14:paraId="060BDBF8" w14:textId="77777777" w:rsidR="00606029" w:rsidRDefault="00EA5B92">
            <w:pPr>
              <w:adjustRightInd w:val="0"/>
              <w:snapToGrid w:val="0"/>
              <w:jc w:val="center"/>
            </w:pPr>
            <w:r>
              <w:rPr>
                <w:spacing w:val="8"/>
              </w:rPr>
              <w:t>环</w:t>
            </w:r>
            <w:r>
              <w:rPr>
                <w:spacing w:val="7"/>
              </w:rPr>
              <w:t>保工程</w:t>
            </w:r>
          </w:p>
        </w:tc>
        <w:tc>
          <w:tcPr>
            <w:tcW w:w="2307" w:type="dxa"/>
            <w:tcBorders>
              <w:tl2br w:val="nil"/>
              <w:tr2bl w:val="nil"/>
            </w:tcBorders>
            <w:vAlign w:val="center"/>
          </w:tcPr>
          <w:p w14:paraId="1002665B" w14:textId="77777777" w:rsidR="00606029" w:rsidRDefault="00EA5B92">
            <w:pPr>
              <w:adjustRightInd w:val="0"/>
              <w:snapToGrid w:val="0"/>
              <w:jc w:val="center"/>
            </w:pPr>
            <w:r>
              <w:rPr>
                <w:spacing w:val="5"/>
              </w:rPr>
              <w:t>减缓项目产生的废气、废水、</w:t>
            </w:r>
            <w:r>
              <w:rPr>
                <w:spacing w:val="9"/>
              </w:rPr>
              <w:t>噪</w:t>
            </w:r>
            <w:r>
              <w:rPr>
                <w:spacing w:val="6"/>
              </w:rPr>
              <w:t>声对环境的污染</w:t>
            </w:r>
          </w:p>
        </w:tc>
        <w:tc>
          <w:tcPr>
            <w:tcW w:w="1670" w:type="dxa"/>
            <w:tcBorders>
              <w:tl2br w:val="nil"/>
              <w:tr2bl w:val="nil"/>
            </w:tcBorders>
            <w:vAlign w:val="center"/>
          </w:tcPr>
          <w:p w14:paraId="471D5972" w14:textId="77777777" w:rsidR="00606029" w:rsidRDefault="00EA5B92">
            <w:pPr>
              <w:adjustRightInd w:val="0"/>
              <w:snapToGrid w:val="0"/>
              <w:jc w:val="center"/>
            </w:pPr>
            <w:r>
              <w:rPr>
                <w:spacing w:val="13"/>
              </w:rPr>
              <w:t>维</w:t>
            </w:r>
            <w:r>
              <w:rPr>
                <w:spacing w:val="8"/>
              </w:rPr>
              <w:t>护局地的环境质量</w:t>
            </w:r>
            <w:r>
              <w:rPr>
                <w:spacing w:val="11"/>
              </w:rPr>
              <w:t>符</w:t>
            </w:r>
            <w:r>
              <w:rPr>
                <w:spacing w:val="8"/>
              </w:rPr>
              <w:t>合环境功能要求</w:t>
            </w:r>
          </w:p>
        </w:tc>
        <w:tc>
          <w:tcPr>
            <w:tcW w:w="1419" w:type="dxa"/>
            <w:tcBorders>
              <w:tl2br w:val="nil"/>
              <w:tr2bl w:val="nil"/>
            </w:tcBorders>
            <w:vAlign w:val="center"/>
          </w:tcPr>
          <w:p w14:paraId="4BFD4095" w14:textId="77777777" w:rsidR="00606029" w:rsidRDefault="00EA5B92">
            <w:pPr>
              <w:adjustRightInd w:val="0"/>
              <w:snapToGrid w:val="0"/>
              <w:jc w:val="center"/>
            </w:pPr>
            <w:r>
              <w:rPr>
                <w:spacing w:val="2"/>
                <w:position w:val="2"/>
              </w:rPr>
              <w:t>/</w:t>
            </w:r>
          </w:p>
        </w:tc>
        <w:tc>
          <w:tcPr>
            <w:tcW w:w="1367" w:type="dxa"/>
            <w:tcBorders>
              <w:tl2br w:val="nil"/>
              <w:tr2bl w:val="nil"/>
            </w:tcBorders>
            <w:vAlign w:val="center"/>
          </w:tcPr>
          <w:p w14:paraId="4DA3699F" w14:textId="77777777" w:rsidR="00606029" w:rsidRDefault="00EA5B92">
            <w:pPr>
              <w:adjustRightInd w:val="0"/>
              <w:snapToGrid w:val="0"/>
              <w:jc w:val="center"/>
            </w:pPr>
            <w:r>
              <w:rPr>
                <w:spacing w:val="6"/>
              </w:rPr>
              <w:t>效果显著</w:t>
            </w:r>
          </w:p>
        </w:tc>
      </w:tr>
    </w:tbl>
    <w:p w14:paraId="5B69FEEF" w14:textId="23E90EB9" w:rsidR="00606029" w:rsidRDefault="00EA5B92">
      <w:pPr>
        <w:spacing w:beforeLines="50" w:before="120" w:line="360" w:lineRule="auto"/>
        <w:ind w:firstLineChars="200" w:firstLine="480"/>
        <w:rPr>
          <w:kern w:val="0"/>
          <w:sz w:val="24"/>
          <w:szCs w:val="24"/>
        </w:rPr>
      </w:pPr>
      <w:r>
        <w:rPr>
          <w:kern w:val="0"/>
          <w:sz w:val="24"/>
          <w:szCs w:val="24"/>
        </w:rPr>
        <w:t>本项目是一项环境保护基础设施建设工程，它产生的主要效益即为环境效益。本工程的建设提升了</w:t>
      </w:r>
      <w:r w:rsidR="004E5FFD">
        <w:rPr>
          <w:kern w:val="0"/>
          <w:sz w:val="24"/>
          <w:szCs w:val="24"/>
        </w:rPr>
        <w:t>大庆市</w:t>
      </w:r>
      <w:r>
        <w:rPr>
          <w:kern w:val="0"/>
          <w:sz w:val="24"/>
          <w:szCs w:val="24"/>
        </w:rPr>
        <w:t>无害化处理的水平，符合《城市生活垃圾处理及污染防治技术政策》中提出的垃圾处理的</w:t>
      </w:r>
      <w:r>
        <w:rPr>
          <w:kern w:val="0"/>
          <w:sz w:val="24"/>
          <w:szCs w:val="24"/>
        </w:rPr>
        <w:t>“</w:t>
      </w:r>
      <w:r>
        <w:rPr>
          <w:kern w:val="0"/>
          <w:sz w:val="24"/>
          <w:szCs w:val="24"/>
        </w:rPr>
        <w:t>减量化，资源化、无害化</w:t>
      </w:r>
      <w:r>
        <w:rPr>
          <w:kern w:val="0"/>
          <w:sz w:val="24"/>
          <w:szCs w:val="24"/>
        </w:rPr>
        <w:t>”</w:t>
      </w:r>
      <w:r>
        <w:rPr>
          <w:kern w:val="0"/>
          <w:sz w:val="24"/>
          <w:szCs w:val="24"/>
        </w:rPr>
        <w:t>的原则、</w:t>
      </w:r>
      <w:r>
        <w:rPr>
          <w:kern w:val="0"/>
          <w:sz w:val="24"/>
          <w:szCs w:val="24"/>
        </w:rPr>
        <w:t>“</w:t>
      </w:r>
      <w:r>
        <w:rPr>
          <w:kern w:val="0"/>
          <w:sz w:val="24"/>
          <w:szCs w:val="24"/>
        </w:rPr>
        <w:t>坚持因地制宜、技</w:t>
      </w:r>
      <w:r>
        <w:rPr>
          <w:kern w:val="0"/>
          <w:sz w:val="24"/>
          <w:szCs w:val="24"/>
        </w:rPr>
        <w:lastRenderedPageBreak/>
        <w:t>术可行，设备可靠、适度规模、综合治理和利用</w:t>
      </w:r>
      <w:r>
        <w:rPr>
          <w:kern w:val="0"/>
          <w:sz w:val="24"/>
          <w:szCs w:val="24"/>
        </w:rPr>
        <w:t>”</w:t>
      </w:r>
      <w:r>
        <w:rPr>
          <w:kern w:val="0"/>
          <w:sz w:val="24"/>
          <w:szCs w:val="24"/>
        </w:rPr>
        <w:t>的原则，促进了</w:t>
      </w:r>
      <w:r w:rsidR="004E5FFD">
        <w:rPr>
          <w:kern w:val="0"/>
          <w:sz w:val="24"/>
          <w:szCs w:val="24"/>
        </w:rPr>
        <w:t>大庆市</w:t>
      </w:r>
      <w:r>
        <w:rPr>
          <w:kern w:val="0"/>
          <w:sz w:val="24"/>
          <w:szCs w:val="24"/>
        </w:rPr>
        <w:t>垃圾处理设施建设投资多元化、运营市场化、设备标准化和监控自动化。</w:t>
      </w:r>
    </w:p>
    <w:p w14:paraId="0C65F5B0" w14:textId="1D8D5FCA" w:rsidR="00606029" w:rsidRDefault="004E5FFD">
      <w:pPr>
        <w:spacing w:line="360" w:lineRule="auto"/>
        <w:ind w:firstLineChars="200" w:firstLine="480"/>
        <w:rPr>
          <w:kern w:val="0"/>
          <w:sz w:val="24"/>
          <w:szCs w:val="24"/>
        </w:rPr>
      </w:pPr>
      <w:r>
        <w:rPr>
          <w:kern w:val="0"/>
          <w:sz w:val="24"/>
          <w:szCs w:val="24"/>
        </w:rPr>
        <w:t>大庆城控电力有限公司和本项目的建设减少生活垃圾的填埋量，大大减少了生活垃圾随意填埋的问题，相应地降低垃圾渗滤液的水质，改善区域环境，同时减少填埋气体的产生量，减轻了填埋场地区有在的安全隐患。</w:t>
      </w:r>
    </w:p>
    <w:p w14:paraId="3E8F12C4" w14:textId="77777777" w:rsidR="00606029" w:rsidRDefault="00EA5B92">
      <w:pPr>
        <w:spacing w:line="360" w:lineRule="auto"/>
        <w:ind w:firstLineChars="200" w:firstLine="480"/>
        <w:rPr>
          <w:kern w:val="0"/>
          <w:sz w:val="24"/>
          <w:szCs w:val="24"/>
        </w:rPr>
      </w:pPr>
      <w:r>
        <w:rPr>
          <w:kern w:val="0"/>
          <w:sz w:val="24"/>
          <w:szCs w:val="24"/>
        </w:rPr>
        <w:t>因此，本工程具有良好的环境效益。本项目的建设是以局地最小的环境效益损失换取区域、流域性的环境效益，是具有社会公益性的环保工程，环境、社会效益十分明显。</w:t>
      </w:r>
    </w:p>
    <w:p w14:paraId="11CFBB07" w14:textId="304211CE" w:rsidR="00606029" w:rsidRDefault="007B24C4">
      <w:pPr>
        <w:keepNext/>
        <w:keepLines/>
        <w:spacing w:line="360" w:lineRule="auto"/>
        <w:outlineLvl w:val="1"/>
        <w:rPr>
          <w:b/>
          <w:bCs/>
          <w:sz w:val="28"/>
          <w:szCs w:val="32"/>
        </w:rPr>
      </w:pPr>
      <w:bookmarkStart w:id="348" w:name="_Toc28627"/>
      <w:bookmarkStart w:id="349" w:name="_Toc15230"/>
      <w:bookmarkStart w:id="350" w:name="_Toc132449689"/>
      <w:bookmarkStart w:id="351" w:name="_Toc11713"/>
      <w:bookmarkStart w:id="352" w:name="_Toc18926"/>
      <w:bookmarkStart w:id="353" w:name="_Toc9308"/>
      <w:bookmarkStart w:id="354" w:name="_Toc220680557"/>
      <w:r>
        <w:rPr>
          <w:rFonts w:hint="eastAsia"/>
          <w:b/>
          <w:bCs/>
          <w:sz w:val="28"/>
          <w:szCs w:val="32"/>
        </w:rPr>
        <w:t>8</w:t>
      </w:r>
      <w:r w:rsidR="00EA5B92">
        <w:rPr>
          <w:b/>
          <w:bCs/>
          <w:sz w:val="28"/>
          <w:szCs w:val="32"/>
        </w:rPr>
        <w:t xml:space="preserve">.4 </w:t>
      </w:r>
      <w:r w:rsidR="00EA5B92">
        <w:rPr>
          <w:b/>
          <w:bCs/>
          <w:sz w:val="28"/>
          <w:szCs w:val="32"/>
        </w:rPr>
        <w:t>小结</w:t>
      </w:r>
      <w:bookmarkEnd w:id="348"/>
      <w:bookmarkEnd w:id="349"/>
      <w:bookmarkEnd w:id="350"/>
      <w:bookmarkEnd w:id="351"/>
      <w:bookmarkEnd w:id="352"/>
      <w:bookmarkEnd w:id="353"/>
      <w:bookmarkEnd w:id="354"/>
    </w:p>
    <w:p w14:paraId="6946BC81" w14:textId="314F0A46" w:rsidR="00606029" w:rsidRDefault="00EA5B92">
      <w:pPr>
        <w:spacing w:line="360" w:lineRule="auto"/>
        <w:ind w:firstLineChars="200" w:firstLine="480"/>
        <w:rPr>
          <w:kern w:val="0"/>
          <w:sz w:val="24"/>
          <w:szCs w:val="24"/>
        </w:rPr>
      </w:pPr>
      <w:r>
        <w:rPr>
          <w:kern w:val="0"/>
          <w:sz w:val="24"/>
          <w:szCs w:val="24"/>
        </w:rPr>
        <w:t>通过以上对本项目建设的社会、经济和环境效益分析可知，在落实本评价所提出各项污染防治措施的前提下，本项目的建设能够达到经济效益、社会效益和环境效益相统一的要求。本项目本身就是一项环境保护工程，本项目的建成不仅对解决区域内工业废物的出路问题具有重大意义，而且对</w:t>
      </w:r>
      <w:r w:rsidR="004E5FFD">
        <w:rPr>
          <w:kern w:val="0"/>
          <w:sz w:val="24"/>
          <w:szCs w:val="24"/>
        </w:rPr>
        <w:t>大庆市</w:t>
      </w:r>
      <w:r>
        <w:rPr>
          <w:kern w:val="0"/>
          <w:sz w:val="24"/>
          <w:szCs w:val="24"/>
        </w:rPr>
        <w:t>及周边区县环境的改善也有很大帮助。同时也有利于改善区域投资环境，具有良好的社会效益。在采取切实可行的环保措施后，可以大幅度减少污染物的排放量。</w:t>
      </w:r>
    </w:p>
    <w:p w14:paraId="64C81D1E" w14:textId="065DF0B8" w:rsidR="00606029" w:rsidRDefault="00EA5B92" w:rsidP="000E1362">
      <w:pPr>
        <w:spacing w:line="360" w:lineRule="auto"/>
        <w:ind w:firstLineChars="200" w:firstLine="480"/>
        <w:jc w:val="left"/>
      </w:pPr>
      <w:r>
        <w:rPr>
          <w:kern w:val="0"/>
          <w:sz w:val="24"/>
          <w:szCs w:val="24"/>
        </w:rPr>
        <w:t>综上所述，该项目在环境经济上是可行的。</w:t>
      </w:r>
    </w:p>
    <w:p w14:paraId="6C11F332" w14:textId="77777777" w:rsidR="00606029" w:rsidRDefault="00606029">
      <w:pPr>
        <w:spacing w:line="360" w:lineRule="auto"/>
        <w:ind w:firstLineChars="200" w:firstLine="420"/>
        <w:jc w:val="left"/>
        <w:sectPr w:rsidR="00606029" w:rsidSect="00EA5215">
          <w:headerReference w:type="default" r:id="rId147"/>
          <w:type w:val="nextColumn"/>
          <w:pgSz w:w="11905" w:h="16838"/>
          <w:pgMar w:top="1417" w:right="1474" w:bottom="1417" w:left="1474" w:header="850" w:footer="850" w:gutter="113"/>
          <w:cols w:space="0"/>
          <w:docGrid w:linePitch="312"/>
        </w:sectPr>
      </w:pPr>
    </w:p>
    <w:p w14:paraId="07ABA334" w14:textId="01DB05AC" w:rsidR="00606029" w:rsidRDefault="00EA5B92">
      <w:pPr>
        <w:pStyle w:val="1"/>
        <w:jc w:val="center"/>
      </w:pPr>
      <w:bookmarkStart w:id="355" w:name="_Toc2522"/>
      <w:bookmarkStart w:id="356" w:name="_Toc32701"/>
      <w:bookmarkStart w:id="357" w:name="_Toc220680558"/>
      <w:r>
        <w:lastRenderedPageBreak/>
        <w:t>第</w:t>
      </w:r>
      <w:r w:rsidR="004A414E">
        <w:rPr>
          <w:rFonts w:hint="eastAsia"/>
        </w:rPr>
        <w:t>九</w:t>
      </w:r>
      <w:r>
        <w:t>章</w:t>
      </w:r>
      <w:r>
        <w:t xml:space="preserve">  </w:t>
      </w:r>
      <w:r>
        <w:t>环境管理、监测计划及总量控制</w:t>
      </w:r>
      <w:bookmarkEnd w:id="355"/>
      <w:bookmarkEnd w:id="356"/>
      <w:bookmarkEnd w:id="357"/>
    </w:p>
    <w:p w14:paraId="5EA0B3DE" w14:textId="1164CA10" w:rsidR="00606029" w:rsidRDefault="004A414E">
      <w:pPr>
        <w:pStyle w:val="2"/>
      </w:pPr>
      <w:bookmarkStart w:id="358" w:name="_Toc16325"/>
      <w:bookmarkStart w:id="359" w:name="_Toc25650"/>
      <w:bookmarkStart w:id="360" w:name="_Toc220680559"/>
      <w:r>
        <w:rPr>
          <w:rFonts w:hint="eastAsia"/>
        </w:rPr>
        <w:t>9</w:t>
      </w:r>
      <w:r w:rsidR="00EA5B92">
        <w:t>.1</w:t>
      </w:r>
      <w:r w:rsidR="00EA5B92">
        <w:t>环境管理</w:t>
      </w:r>
      <w:bookmarkEnd w:id="358"/>
      <w:bookmarkEnd w:id="359"/>
      <w:bookmarkEnd w:id="360"/>
    </w:p>
    <w:p w14:paraId="56212B68" w14:textId="23E53385" w:rsidR="00606029" w:rsidRDefault="004A414E">
      <w:pPr>
        <w:pStyle w:val="3"/>
      </w:pPr>
      <w:bookmarkStart w:id="361" w:name="_Toc220680560"/>
      <w:r>
        <w:rPr>
          <w:rFonts w:hint="eastAsia"/>
        </w:rPr>
        <w:t>9</w:t>
      </w:r>
      <w:r w:rsidR="00EA5B92">
        <w:t>.1.1</w:t>
      </w:r>
      <w:r w:rsidR="000E1362">
        <w:rPr>
          <w:rFonts w:hint="eastAsia"/>
        </w:rPr>
        <w:t>环境管理的意义</w:t>
      </w:r>
      <w:bookmarkEnd w:id="361"/>
    </w:p>
    <w:p w14:paraId="12931076" w14:textId="7CC7AF07" w:rsidR="00606029" w:rsidRDefault="000E1362">
      <w:pPr>
        <w:pStyle w:val="affffff4"/>
      </w:pPr>
      <w:r w:rsidRPr="000E1362">
        <w:t>环境管理的目的是对损坏环境质量的人为活动施加影响，以协调经济与环境的关系，既达到发展经济满足人类的需要，又不超出环境容量的限制。拟建工程对环境的影响主要来自施工期、运行期的各种作业活动及运行期的风险事故。无论是各种作业活动，还是事故事件，都将会给自然环境和人们的生产生活带来较大的影响，为最大限度地减轻施工作业及生产过程中对环境的影响，确保生产过程环境安全和高效生产，建立科学有效的环境管理体制，落实各项环保和安全措施显得尤为重要。通过建立环境管理体系，提高员工环保意识、规范企业管理、推行清洁生产，实现污染预防，以实现环境效益、社会效益、经济效益的统一。</w:t>
      </w:r>
    </w:p>
    <w:p w14:paraId="2EEB2F76" w14:textId="7B573BB5" w:rsidR="00606029" w:rsidRDefault="004A414E">
      <w:pPr>
        <w:pStyle w:val="3"/>
      </w:pPr>
      <w:bookmarkStart w:id="362" w:name="_Toc220680561"/>
      <w:bookmarkStart w:id="363" w:name="OLE_LINK54"/>
      <w:r>
        <w:rPr>
          <w:rFonts w:hint="eastAsia"/>
        </w:rPr>
        <w:t>9</w:t>
      </w:r>
      <w:r w:rsidR="00EA5B92">
        <w:t>.1.2</w:t>
      </w:r>
      <w:bookmarkStart w:id="364" w:name="_Hlk52547841"/>
      <w:r w:rsidR="000E1362" w:rsidRPr="000E1362">
        <w:t>环境管理机构及职责</w:t>
      </w:r>
      <w:bookmarkEnd w:id="362"/>
    </w:p>
    <w:bookmarkEnd w:id="363"/>
    <w:bookmarkEnd w:id="364"/>
    <w:p w14:paraId="03048858" w14:textId="6065BB8C" w:rsidR="00D5446F" w:rsidRDefault="00D5446F" w:rsidP="00D5446F">
      <w:pPr>
        <w:pStyle w:val="4"/>
      </w:pPr>
      <w:r>
        <w:rPr>
          <w:rFonts w:hint="eastAsia"/>
        </w:rPr>
        <w:t>9.1.2.1</w:t>
      </w:r>
      <w:r>
        <w:rPr>
          <w:rFonts w:hint="eastAsia"/>
        </w:rPr>
        <w:t>环境管理机构</w:t>
      </w:r>
    </w:p>
    <w:p w14:paraId="2D70D3C9" w14:textId="0A37354D" w:rsidR="000E1362" w:rsidRDefault="000E1362" w:rsidP="000E1362">
      <w:pPr>
        <w:pStyle w:val="affffff4"/>
      </w:pPr>
      <w:r>
        <w:rPr>
          <w:rFonts w:hint="eastAsia"/>
        </w:rPr>
        <w:t>本项目为生活垃圾焚烧飞灰填埋方式解决生活垃圾的污染问题，是目前实现生活垃圾处理无害化、减量化、资源化的最为有效的办法。为了使本项目投产后达到所期望的社会效益、经济效益和环境效益，实现生产目标与环境效益相统一，应通过必要的污染防治及相应的环境管理手段，严格控制本项目的建设对周围环境产生的不利影响，并使其影响减小到最低程度。</w:t>
      </w:r>
    </w:p>
    <w:p w14:paraId="40CE4E68" w14:textId="6D1CC7AB" w:rsidR="000E1362" w:rsidRDefault="000E1362" w:rsidP="000E1362">
      <w:pPr>
        <w:pStyle w:val="affffff4"/>
      </w:pPr>
      <w:r>
        <w:rPr>
          <w:rFonts w:hint="eastAsia"/>
        </w:rPr>
        <w:t>环境管理机构分为企业外部环境管理机构和企业内部环境管理机构。企业外部环境管理机构指政府性环境管理机构，主要有中华人民共和国生态环境部、黑龙江省生态环境厅、地市生态环境局等；企业内部环境管理机构是指企业所建立的环境保护专门科室。企业内部环境管理科室作为企业管理体系中的一部分，应与之相协调统一。实行企业总经理领导下的“一人主管，分工负责；职能部门，各负其责；落实基层，监督考核”的原则，建立以企业领导为核心，安全环保科为基础的全员责任制的环境管理体系。使环境管理贯穿于企业管理的整个过程，并落实到企业的各个层次，分解到生产的各个环节，把企业管理与环境管理紧密地结合起来，不但要建立完善的企业管理体系和各种规章制度，也要建立完善的环境管理体系和各种规章制度，使企业的环境管理工作真正落到实处。</w:t>
      </w:r>
    </w:p>
    <w:p w14:paraId="13ED24B4" w14:textId="0D98D810" w:rsidR="00606029" w:rsidRDefault="000E1362" w:rsidP="000E1362">
      <w:pPr>
        <w:pStyle w:val="affffff4"/>
      </w:pPr>
      <w:r>
        <w:rPr>
          <w:rFonts w:hint="eastAsia"/>
        </w:rPr>
        <w:t>本项目在建设过程中，企业应设独立的环境保护科室，聘任专职环境管理人员，</w:t>
      </w:r>
      <w:r>
        <w:rPr>
          <w:rFonts w:hint="eastAsia"/>
        </w:rPr>
        <w:lastRenderedPageBreak/>
        <w:t>配备必要的现代化管理手段，建立计算机辅助管理系统，利用经济、技术、行政和教育手段，对损害环境质量的生产活动加以限制，协调好发展经济与环境保护的关系，使经济效益与环境效益相协调统一。</w:t>
      </w:r>
    </w:p>
    <w:p w14:paraId="35593D2A" w14:textId="20D18CEF" w:rsidR="00D5446F" w:rsidRPr="00D5446F" w:rsidRDefault="00D5446F" w:rsidP="00D5446F">
      <w:pPr>
        <w:pStyle w:val="4"/>
      </w:pPr>
      <w:r>
        <w:rPr>
          <w:rFonts w:hint="eastAsia"/>
        </w:rPr>
        <w:t>9.1.2.2</w:t>
      </w:r>
      <w:r w:rsidRPr="00D5446F">
        <w:rPr>
          <w:rFonts w:hint="eastAsia"/>
        </w:rPr>
        <w:t>环境管理机构职责</w:t>
      </w:r>
    </w:p>
    <w:p w14:paraId="3B8C367F" w14:textId="77777777" w:rsidR="00D5446F" w:rsidRPr="00D5446F" w:rsidRDefault="00D5446F" w:rsidP="00D5446F">
      <w:pPr>
        <w:pStyle w:val="affffff4"/>
        <w:rPr>
          <w:color w:val="auto"/>
        </w:rPr>
      </w:pPr>
      <w:r w:rsidRPr="00D5446F">
        <w:rPr>
          <w:rFonts w:hint="eastAsia"/>
          <w:color w:val="auto"/>
        </w:rPr>
        <w:t>（</w:t>
      </w:r>
      <w:r w:rsidRPr="00D5446F">
        <w:rPr>
          <w:rFonts w:hint="eastAsia"/>
          <w:color w:val="auto"/>
        </w:rPr>
        <w:t>1</w:t>
      </w:r>
      <w:r w:rsidRPr="00D5446F">
        <w:rPr>
          <w:rFonts w:hint="eastAsia"/>
          <w:color w:val="auto"/>
        </w:rPr>
        <w:t>）贯彻执行国家及地方环境保护的有关方针、政策、法规等。</w:t>
      </w:r>
    </w:p>
    <w:p w14:paraId="0D136F7F" w14:textId="77777777" w:rsidR="00D5446F" w:rsidRPr="00D5446F" w:rsidRDefault="00D5446F" w:rsidP="00D5446F">
      <w:pPr>
        <w:pStyle w:val="affffff4"/>
        <w:rPr>
          <w:color w:val="auto"/>
        </w:rPr>
      </w:pPr>
      <w:r w:rsidRPr="00D5446F">
        <w:rPr>
          <w:rFonts w:hint="eastAsia"/>
          <w:color w:val="auto"/>
        </w:rPr>
        <w:t>（</w:t>
      </w:r>
      <w:r w:rsidRPr="00D5446F">
        <w:rPr>
          <w:rFonts w:hint="eastAsia"/>
          <w:color w:val="auto"/>
        </w:rPr>
        <w:t>2</w:t>
      </w:r>
      <w:r w:rsidRPr="00D5446F">
        <w:rPr>
          <w:rFonts w:hint="eastAsia"/>
          <w:color w:val="auto"/>
        </w:rPr>
        <w:t>）结合本企业工程及排污特点，制定企业的环境管理计划和环境监测计划，并监督落实。</w:t>
      </w:r>
    </w:p>
    <w:p w14:paraId="3DA907F2" w14:textId="77777777" w:rsidR="00D5446F" w:rsidRPr="00D5446F" w:rsidRDefault="00D5446F" w:rsidP="00D5446F">
      <w:pPr>
        <w:pStyle w:val="affffff4"/>
        <w:rPr>
          <w:color w:val="auto"/>
        </w:rPr>
      </w:pPr>
      <w:r w:rsidRPr="00D5446F">
        <w:rPr>
          <w:rFonts w:hint="eastAsia"/>
          <w:color w:val="auto"/>
        </w:rPr>
        <w:t>（</w:t>
      </w:r>
      <w:r w:rsidRPr="00D5446F">
        <w:rPr>
          <w:rFonts w:hint="eastAsia"/>
          <w:color w:val="auto"/>
        </w:rPr>
        <w:t>3</w:t>
      </w:r>
      <w:r w:rsidRPr="00D5446F">
        <w:rPr>
          <w:rFonts w:hint="eastAsia"/>
          <w:color w:val="auto"/>
        </w:rPr>
        <w:t>）审定、落实并督促实施的污染治理方案，监督企业污染治理资金的落实和使用情况。负责全厂及公司的环境管理、污染源监测及各项环保设施的正常运行的监督管理工作。</w:t>
      </w:r>
    </w:p>
    <w:p w14:paraId="18A29A38" w14:textId="77777777" w:rsidR="00D5446F" w:rsidRPr="00D5446F" w:rsidRDefault="00D5446F" w:rsidP="00D5446F">
      <w:pPr>
        <w:pStyle w:val="affffff4"/>
        <w:rPr>
          <w:color w:val="auto"/>
        </w:rPr>
      </w:pPr>
      <w:r w:rsidRPr="00D5446F">
        <w:rPr>
          <w:rFonts w:hint="eastAsia"/>
          <w:color w:val="auto"/>
        </w:rPr>
        <w:t>（</w:t>
      </w:r>
      <w:r w:rsidRPr="00D5446F">
        <w:rPr>
          <w:rFonts w:hint="eastAsia"/>
          <w:color w:val="auto"/>
        </w:rPr>
        <w:t>4</w:t>
      </w:r>
      <w:r w:rsidRPr="00D5446F">
        <w:rPr>
          <w:rFonts w:hint="eastAsia"/>
          <w:color w:val="auto"/>
        </w:rPr>
        <w:t>）组织制定本企业环境管理办法和企业的污染事故的应急措施，预防或减缓对周围环境的污染。</w:t>
      </w:r>
    </w:p>
    <w:p w14:paraId="31031EE0" w14:textId="77777777" w:rsidR="00D5446F" w:rsidRPr="00D5446F" w:rsidRDefault="00D5446F" w:rsidP="00D5446F">
      <w:pPr>
        <w:pStyle w:val="affffff4"/>
        <w:rPr>
          <w:color w:val="auto"/>
        </w:rPr>
      </w:pPr>
      <w:r w:rsidRPr="00D5446F">
        <w:rPr>
          <w:rFonts w:hint="eastAsia"/>
          <w:color w:val="auto"/>
        </w:rPr>
        <w:t>（</w:t>
      </w:r>
      <w:r w:rsidRPr="00D5446F">
        <w:rPr>
          <w:rFonts w:hint="eastAsia"/>
          <w:color w:val="auto"/>
        </w:rPr>
        <w:t>5</w:t>
      </w:r>
      <w:r w:rsidRPr="00D5446F">
        <w:rPr>
          <w:rFonts w:hint="eastAsia"/>
          <w:color w:val="auto"/>
        </w:rPr>
        <w:t>）协同上级环境管理部门检查本企业的环境保护工作、污染治理设施的运行情况。定期对厂内污染情况进行分析总结，为环保设施的更新改造提供可靠依据。</w:t>
      </w:r>
    </w:p>
    <w:p w14:paraId="5FC44A9E" w14:textId="77777777" w:rsidR="00D5446F" w:rsidRPr="00D5446F" w:rsidRDefault="00D5446F" w:rsidP="00D5446F">
      <w:pPr>
        <w:pStyle w:val="affffff4"/>
        <w:rPr>
          <w:color w:val="auto"/>
        </w:rPr>
      </w:pPr>
      <w:r w:rsidRPr="00D5446F">
        <w:rPr>
          <w:rFonts w:hint="eastAsia"/>
          <w:color w:val="auto"/>
        </w:rPr>
        <w:t>（</w:t>
      </w:r>
      <w:r w:rsidRPr="00D5446F">
        <w:rPr>
          <w:rFonts w:hint="eastAsia"/>
          <w:color w:val="auto"/>
        </w:rPr>
        <w:t>6</w:t>
      </w:r>
      <w:r w:rsidRPr="00D5446F">
        <w:rPr>
          <w:rFonts w:hint="eastAsia"/>
          <w:color w:val="auto"/>
        </w:rPr>
        <w:t>）组织宣传教育，与本单位的有关部门一起对全厂职工大力普及环境法规及环境科学知识，提高职工的环境保护意识。</w:t>
      </w:r>
    </w:p>
    <w:p w14:paraId="086F8809" w14:textId="77777777" w:rsidR="00D5446F" w:rsidRPr="00D5446F" w:rsidRDefault="00D5446F" w:rsidP="00D5446F">
      <w:pPr>
        <w:pStyle w:val="affffff4"/>
        <w:rPr>
          <w:color w:val="auto"/>
        </w:rPr>
      </w:pPr>
      <w:r w:rsidRPr="00D5446F">
        <w:rPr>
          <w:rFonts w:hint="eastAsia"/>
          <w:color w:val="auto"/>
        </w:rPr>
        <w:t>（</w:t>
      </w:r>
      <w:r w:rsidRPr="00D5446F">
        <w:rPr>
          <w:rFonts w:hint="eastAsia"/>
          <w:color w:val="auto"/>
        </w:rPr>
        <w:t>7</w:t>
      </w:r>
      <w:r w:rsidRPr="00D5446F">
        <w:rPr>
          <w:rFonts w:hint="eastAsia"/>
          <w:color w:val="auto"/>
        </w:rPr>
        <w:t>）宣传清洁生产思想，协同生产技术部门对现有生产设施进行技术改造，尽可能将污染控制在生产过程中。</w:t>
      </w:r>
    </w:p>
    <w:p w14:paraId="5393F472" w14:textId="39C285AE" w:rsidR="00D5446F" w:rsidRDefault="00D5446F" w:rsidP="00D5446F">
      <w:pPr>
        <w:pStyle w:val="affffff4"/>
        <w:rPr>
          <w:color w:val="auto"/>
        </w:rPr>
      </w:pPr>
      <w:r w:rsidRPr="00D5446F">
        <w:rPr>
          <w:rFonts w:hint="eastAsia"/>
          <w:color w:val="auto"/>
        </w:rPr>
        <w:t>（</w:t>
      </w:r>
      <w:r w:rsidRPr="00D5446F">
        <w:rPr>
          <w:rFonts w:hint="eastAsia"/>
          <w:color w:val="auto"/>
        </w:rPr>
        <w:t>8</w:t>
      </w:r>
      <w:r w:rsidRPr="00D5446F">
        <w:rPr>
          <w:rFonts w:hint="eastAsia"/>
          <w:color w:val="auto"/>
        </w:rPr>
        <w:t>）建立全厂污染源、污染物治理、排放浓度及总量等数据库。编制企业污染源监测的月报表、年报表及环境管理质量报告。</w:t>
      </w:r>
    </w:p>
    <w:p w14:paraId="33652FF0" w14:textId="1AF1F44A" w:rsidR="00D5446F" w:rsidRPr="00D5446F" w:rsidRDefault="00D5446F" w:rsidP="00D5446F">
      <w:pPr>
        <w:pStyle w:val="4"/>
      </w:pPr>
      <w:r>
        <w:rPr>
          <w:rFonts w:hint="eastAsia"/>
        </w:rPr>
        <w:t>9.1.2.3</w:t>
      </w:r>
      <w:r w:rsidRPr="00D5446F">
        <w:rPr>
          <w:rFonts w:hint="eastAsia"/>
        </w:rPr>
        <w:t>环境管理目标</w:t>
      </w:r>
    </w:p>
    <w:p w14:paraId="5C25555C" w14:textId="4BECCB73" w:rsidR="00D5446F" w:rsidRDefault="00D5446F" w:rsidP="00D5446F">
      <w:pPr>
        <w:pStyle w:val="affffff4"/>
        <w:rPr>
          <w:color w:val="auto"/>
        </w:rPr>
      </w:pPr>
      <w:r w:rsidRPr="00D5446F">
        <w:rPr>
          <w:rFonts w:hint="eastAsia"/>
          <w:color w:val="auto"/>
        </w:rPr>
        <w:t>本报告书针对本项目所排污染物，提出了有效的污染防治措施及总量控制指标，建设单位应认真落实，监督管理环保设施的运行情况，定期监测各污染物的排放浓度及排放量，以达到预期的效果。</w:t>
      </w:r>
    </w:p>
    <w:p w14:paraId="6D19433C" w14:textId="4D3E6104" w:rsidR="00D5446F" w:rsidRPr="00D5446F" w:rsidRDefault="00D5446F" w:rsidP="00D5446F">
      <w:pPr>
        <w:pStyle w:val="4"/>
      </w:pPr>
      <w:r>
        <w:rPr>
          <w:rFonts w:hint="eastAsia"/>
        </w:rPr>
        <w:t>9.1.2.4</w:t>
      </w:r>
      <w:r w:rsidRPr="00D5446F">
        <w:rPr>
          <w:rFonts w:hint="eastAsia"/>
        </w:rPr>
        <w:t>建立环境保护管理制度</w:t>
      </w:r>
    </w:p>
    <w:p w14:paraId="7D3547BC" w14:textId="77777777" w:rsidR="00D5446F" w:rsidRPr="00D5446F" w:rsidRDefault="00D5446F" w:rsidP="00D5446F">
      <w:pPr>
        <w:pStyle w:val="affffff4"/>
        <w:rPr>
          <w:color w:val="auto"/>
        </w:rPr>
      </w:pPr>
      <w:r w:rsidRPr="00D5446F">
        <w:rPr>
          <w:rFonts w:hint="eastAsia"/>
          <w:color w:val="auto"/>
        </w:rPr>
        <w:t>（</w:t>
      </w:r>
      <w:r w:rsidRPr="00D5446F">
        <w:rPr>
          <w:rFonts w:hint="eastAsia"/>
          <w:color w:val="auto"/>
        </w:rPr>
        <w:t>1</w:t>
      </w:r>
      <w:r w:rsidRPr="00D5446F">
        <w:rPr>
          <w:rFonts w:hint="eastAsia"/>
          <w:color w:val="auto"/>
        </w:rPr>
        <w:t>）环境保护管理制度</w:t>
      </w:r>
    </w:p>
    <w:p w14:paraId="000DE9B7" w14:textId="77777777" w:rsidR="00D5446F" w:rsidRPr="00D5446F" w:rsidRDefault="00D5446F" w:rsidP="00D5446F">
      <w:pPr>
        <w:pStyle w:val="affffff4"/>
        <w:rPr>
          <w:color w:val="auto"/>
        </w:rPr>
      </w:pPr>
      <w:r w:rsidRPr="00D5446F">
        <w:rPr>
          <w:rFonts w:hint="eastAsia"/>
          <w:color w:val="auto"/>
        </w:rPr>
        <w:t>主要包括但不限于以下几个方面：</w:t>
      </w:r>
    </w:p>
    <w:p w14:paraId="30CBD30B" w14:textId="0424D692" w:rsidR="00D5446F" w:rsidRPr="00D5446F" w:rsidRDefault="00D5446F" w:rsidP="00D5446F">
      <w:pPr>
        <w:pStyle w:val="affffff4"/>
        <w:rPr>
          <w:color w:val="auto"/>
        </w:rPr>
      </w:pPr>
      <w:r w:rsidRPr="00D5446F">
        <w:rPr>
          <w:rFonts w:hint="eastAsia"/>
          <w:color w:val="auto"/>
        </w:rPr>
        <w:t>①环境保护总则；</w:t>
      </w:r>
    </w:p>
    <w:p w14:paraId="166C245E" w14:textId="144864CD" w:rsidR="00D5446F" w:rsidRPr="00D5446F" w:rsidRDefault="00D5446F" w:rsidP="00D5446F">
      <w:pPr>
        <w:pStyle w:val="affffff4"/>
        <w:rPr>
          <w:color w:val="auto"/>
        </w:rPr>
      </w:pPr>
      <w:r w:rsidRPr="00D5446F">
        <w:rPr>
          <w:rFonts w:hint="eastAsia"/>
          <w:color w:val="auto"/>
        </w:rPr>
        <w:t>②污染防治规定；</w:t>
      </w:r>
    </w:p>
    <w:p w14:paraId="4DBBE351" w14:textId="384FC412" w:rsidR="00D5446F" w:rsidRPr="00D5446F" w:rsidRDefault="00D5446F" w:rsidP="00D5446F">
      <w:pPr>
        <w:pStyle w:val="affffff4"/>
        <w:rPr>
          <w:color w:val="auto"/>
        </w:rPr>
      </w:pPr>
      <w:r w:rsidRPr="00D5446F">
        <w:rPr>
          <w:rFonts w:hint="eastAsia"/>
          <w:color w:val="auto"/>
        </w:rPr>
        <w:t>③环境保护“三同时”审批制度；</w:t>
      </w:r>
    </w:p>
    <w:p w14:paraId="3C0C8AF8" w14:textId="6721B7D6" w:rsidR="00D5446F" w:rsidRPr="00D5446F" w:rsidRDefault="00D5446F" w:rsidP="00D5446F">
      <w:pPr>
        <w:pStyle w:val="affffff4"/>
        <w:rPr>
          <w:color w:val="auto"/>
        </w:rPr>
      </w:pPr>
      <w:r w:rsidRPr="00D5446F">
        <w:rPr>
          <w:rFonts w:hint="eastAsia"/>
          <w:color w:val="auto"/>
        </w:rPr>
        <w:lastRenderedPageBreak/>
        <w:t>④环境保护监测制度和环境保护工作检查制度；</w:t>
      </w:r>
    </w:p>
    <w:p w14:paraId="483C1F30" w14:textId="139669A8" w:rsidR="00D5446F" w:rsidRPr="00D5446F" w:rsidRDefault="00D5446F" w:rsidP="00D5446F">
      <w:pPr>
        <w:pStyle w:val="affffff4"/>
        <w:rPr>
          <w:color w:val="auto"/>
        </w:rPr>
      </w:pPr>
      <w:r w:rsidRPr="00D5446F">
        <w:rPr>
          <w:rFonts w:hint="eastAsia"/>
          <w:color w:val="auto"/>
        </w:rPr>
        <w:t>⑤环保设施与设备定期检查、保养和维护管理制度；</w:t>
      </w:r>
    </w:p>
    <w:p w14:paraId="45855F23" w14:textId="0C600E80" w:rsidR="00D5446F" w:rsidRPr="00D5446F" w:rsidRDefault="00D5446F" w:rsidP="00D5446F">
      <w:pPr>
        <w:pStyle w:val="affffff4"/>
        <w:rPr>
          <w:color w:val="auto"/>
        </w:rPr>
      </w:pPr>
      <w:r w:rsidRPr="00D5446F">
        <w:rPr>
          <w:rFonts w:hint="eastAsia"/>
          <w:color w:val="auto"/>
        </w:rPr>
        <w:t>⑥清洁生产管理、环境保护教育与环境保护工作奖惩制度；</w:t>
      </w:r>
    </w:p>
    <w:p w14:paraId="289F8E5E" w14:textId="5C190E61" w:rsidR="00D5446F" w:rsidRPr="00D5446F" w:rsidRDefault="00D5446F" w:rsidP="00D5446F">
      <w:pPr>
        <w:pStyle w:val="affffff4"/>
        <w:rPr>
          <w:color w:val="auto"/>
        </w:rPr>
      </w:pPr>
      <w:r w:rsidRPr="00D5446F">
        <w:rPr>
          <w:rFonts w:hint="eastAsia"/>
          <w:color w:val="auto"/>
        </w:rPr>
        <w:t>⑦环境保护例会制度；</w:t>
      </w:r>
    </w:p>
    <w:p w14:paraId="0C257F06" w14:textId="48497CD3" w:rsidR="00D5446F" w:rsidRPr="00D5446F" w:rsidRDefault="00D5446F" w:rsidP="00D5446F">
      <w:pPr>
        <w:pStyle w:val="affffff4"/>
        <w:rPr>
          <w:color w:val="auto"/>
        </w:rPr>
      </w:pPr>
      <w:r w:rsidRPr="00D5446F">
        <w:rPr>
          <w:rFonts w:hint="eastAsia"/>
          <w:color w:val="auto"/>
        </w:rPr>
        <w:t>⑧环保档案管理制度；</w:t>
      </w:r>
    </w:p>
    <w:p w14:paraId="1586B89D" w14:textId="46467F79" w:rsidR="00D5446F" w:rsidRPr="00D5446F" w:rsidRDefault="00D5446F" w:rsidP="00D5446F">
      <w:pPr>
        <w:pStyle w:val="affffff4"/>
        <w:rPr>
          <w:color w:val="auto"/>
        </w:rPr>
      </w:pPr>
      <w:r w:rsidRPr="00D5446F">
        <w:rPr>
          <w:rFonts w:hint="eastAsia"/>
          <w:color w:val="auto"/>
        </w:rPr>
        <w:t>⑨环境宣传、技术岗位培训制度。</w:t>
      </w:r>
    </w:p>
    <w:p w14:paraId="6C6511AF" w14:textId="77777777" w:rsidR="00D5446F" w:rsidRPr="00D5446F" w:rsidRDefault="00D5446F" w:rsidP="00D5446F">
      <w:pPr>
        <w:pStyle w:val="affffff4"/>
        <w:rPr>
          <w:color w:val="auto"/>
        </w:rPr>
      </w:pPr>
      <w:r w:rsidRPr="00D5446F">
        <w:rPr>
          <w:rFonts w:hint="eastAsia"/>
          <w:color w:val="auto"/>
        </w:rPr>
        <w:t>（</w:t>
      </w:r>
      <w:r w:rsidRPr="00D5446F">
        <w:rPr>
          <w:rFonts w:hint="eastAsia"/>
          <w:color w:val="auto"/>
        </w:rPr>
        <w:t>2</w:t>
      </w:r>
      <w:r w:rsidRPr="00D5446F">
        <w:rPr>
          <w:rFonts w:hint="eastAsia"/>
          <w:color w:val="auto"/>
        </w:rPr>
        <w:t>）环保设备、设施管理规程</w:t>
      </w:r>
    </w:p>
    <w:p w14:paraId="7C645EAE" w14:textId="77777777" w:rsidR="00D5446F" w:rsidRPr="00D5446F" w:rsidRDefault="00D5446F" w:rsidP="00D5446F">
      <w:pPr>
        <w:pStyle w:val="affffff4"/>
        <w:rPr>
          <w:color w:val="auto"/>
        </w:rPr>
      </w:pPr>
      <w:r w:rsidRPr="00D5446F">
        <w:rPr>
          <w:rFonts w:hint="eastAsia"/>
          <w:color w:val="auto"/>
        </w:rPr>
        <w:t>主要包括但不限于以下几个方面：</w:t>
      </w:r>
    </w:p>
    <w:p w14:paraId="31914002" w14:textId="1995101D" w:rsidR="00D5446F" w:rsidRPr="00D5446F" w:rsidRDefault="00D5446F" w:rsidP="00D5446F">
      <w:pPr>
        <w:pStyle w:val="affffff4"/>
        <w:rPr>
          <w:color w:val="auto"/>
        </w:rPr>
      </w:pPr>
      <w:r w:rsidRPr="00D5446F">
        <w:rPr>
          <w:rFonts w:hint="eastAsia"/>
          <w:color w:val="auto"/>
        </w:rPr>
        <w:t>①通风、除尘设备使用维护规程；</w:t>
      </w:r>
    </w:p>
    <w:p w14:paraId="2C515DE0" w14:textId="0697E322" w:rsidR="00D5446F" w:rsidRPr="00D5446F" w:rsidRDefault="00D5446F" w:rsidP="00D5446F">
      <w:pPr>
        <w:pStyle w:val="affffff4"/>
        <w:rPr>
          <w:color w:val="auto"/>
        </w:rPr>
      </w:pPr>
      <w:r w:rsidRPr="00D5446F">
        <w:rPr>
          <w:rFonts w:hint="eastAsia"/>
          <w:color w:val="auto"/>
        </w:rPr>
        <w:t>②循环水回水系统使用维护规程；</w:t>
      </w:r>
    </w:p>
    <w:p w14:paraId="488B2959" w14:textId="0BF1447B" w:rsidR="00D5446F" w:rsidRPr="00D5446F" w:rsidRDefault="00D5446F" w:rsidP="00D5446F">
      <w:pPr>
        <w:pStyle w:val="affffff4"/>
        <w:rPr>
          <w:color w:val="auto"/>
        </w:rPr>
      </w:pPr>
      <w:r w:rsidRPr="00D5446F">
        <w:rPr>
          <w:rFonts w:hint="eastAsia"/>
          <w:color w:val="auto"/>
        </w:rPr>
        <w:t>③车间环保设备管理考核制度；</w:t>
      </w:r>
    </w:p>
    <w:p w14:paraId="1DBE2668" w14:textId="41DCCDD8" w:rsidR="00D5446F" w:rsidRPr="00D5446F" w:rsidRDefault="00D5446F" w:rsidP="00D5446F">
      <w:pPr>
        <w:pStyle w:val="affffff4"/>
        <w:rPr>
          <w:color w:val="auto"/>
        </w:rPr>
      </w:pPr>
      <w:r w:rsidRPr="00D5446F">
        <w:rPr>
          <w:rFonts w:hint="eastAsia"/>
          <w:color w:val="auto"/>
        </w:rPr>
        <w:t>④环保设施维护、安全管理制度；</w:t>
      </w:r>
    </w:p>
    <w:p w14:paraId="22D42CEA" w14:textId="4ED1A2EC" w:rsidR="00D5446F" w:rsidRPr="00D5446F" w:rsidRDefault="00D5446F" w:rsidP="00D5446F">
      <w:pPr>
        <w:pStyle w:val="affffff4"/>
        <w:rPr>
          <w:color w:val="auto"/>
        </w:rPr>
      </w:pPr>
      <w:r w:rsidRPr="00D5446F">
        <w:rPr>
          <w:rFonts w:hint="eastAsia"/>
          <w:color w:val="auto"/>
        </w:rPr>
        <w:t>⑤生态环境保护工作计划；</w:t>
      </w:r>
    </w:p>
    <w:p w14:paraId="40CBCB46" w14:textId="5B640E33" w:rsidR="00D5446F" w:rsidRPr="00D5446F" w:rsidRDefault="00D5446F" w:rsidP="00D5446F">
      <w:pPr>
        <w:pStyle w:val="affffff4"/>
        <w:rPr>
          <w:color w:val="auto"/>
        </w:rPr>
      </w:pPr>
      <w:r w:rsidRPr="00D5446F">
        <w:rPr>
          <w:rFonts w:hint="eastAsia"/>
          <w:color w:val="auto"/>
        </w:rPr>
        <w:t>⑥重点环保设施污染控制点巡回检查管理制度。</w:t>
      </w:r>
    </w:p>
    <w:p w14:paraId="65421418" w14:textId="77777777" w:rsidR="00D5446F" w:rsidRPr="00D5446F" w:rsidRDefault="00D5446F" w:rsidP="00D5446F">
      <w:pPr>
        <w:pStyle w:val="affffff4"/>
        <w:rPr>
          <w:color w:val="auto"/>
        </w:rPr>
      </w:pPr>
      <w:r w:rsidRPr="00D5446F">
        <w:rPr>
          <w:rFonts w:hint="eastAsia"/>
          <w:color w:val="auto"/>
        </w:rPr>
        <w:t>要求与污染物产生及排放有关的生产岗位必须明确环境管理的任务和责任，并将其列入岗位职责，与其工资收入、职位晋升挂钩，定期检查、考核，使企业环境管理制度落到实处。</w:t>
      </w:r>
    </w:p>
    <w:p w14:paraId="40707D30" w14:textId="3309CA7D" w:rsidR="00D5446F" w:rsidRDefault="00D5446F" w:rsidP="00D5446F">
      <w:pPr>
        <w:pStyle w:val="affffff4"/>
        <w:rPr>
          <w:color w:val="auto"/>
        </w:rPr>
      </w:pPr>
      <w:r w:rsidRPr="00D5446F">
        <w:rPr>
          <w:rFonts w:hint="eastAsia"/>
          <w:color w:val="auto"/>
        </w:rPr>
        <w:t>（</w:t>
      </w:r>
      <w:r w:rsidRPr="00D5446F">
        <w:rPr>
          <w:rFonts w:hint="eastAsia"/>
          <w:color w:val="auto"/>
        </w:rPr>
        <w:t>3</w:t>
      </w:r>
      <w:r w:rsidRPr="00D5446F">
        <w:rPr>
          <w:rFonts w:hint="eastAsia"/>
          <w:color w:val="auto"/>
        </w:rPr>
        <w:t>）建立企业环境管理指标体系，使企业环境管理科学化、规范化。</w:t>
      </w:r>
    </w:p>
    <w:p w14:paraId="0BA5C3F1" w14:textId="30A1F3B6" w:rsidR="00606029" w:rsidRDefault="004A414E">
      <w:pPr>
        <w:pStyle w:val="3"/>
      </w:pPr>
      <w:bookmarkStart w:id="365" w:name="_Toc220680562"/>
      <w:r>
        <w:rPr>
          <w:rFonts w:hint="eastAsia"/>
        </w:rPr>
        <w:t>9</w:t>
      </w:r>
      <w:r w:rsidR="00EA5B92">
        <w:t>.1.3</w:t>
      </w:r>
      <w:r w:rsidR="00EA5B92">
        <w:t>排污口规范化管理</w:t>
      </w:r>
      <w:bookmarkEnd w:id="365"/>
    </w:p>
    <w:p w14:paraId="715AB104" w14:textId="1B034C26" w:rsidR="00606029" w:rsidRDefault="00EA5B92">
      <w:pPr>
        <w:pStyle w:val="affffff4"/>
      </w:pPr>
      <w:bookmarkStart w:id="366" w:name="_Hlk52575467"/>
      <w:r>
        <w:t>根据《排污口规范化整治要求（试行）》（环监</w:t>
      </w:r>
      <w:r>
        <w:t>[1996]470</w:t>
      </w:r>
      <w:r>
        <w:t>）的技术要求，</w:t>
      </w:r>
      <w:bookmarkEnd w:id="366"/>
      <w:r>
        <w:t>企业所有向环境排放污染物的排污口必须规范化，包括水、气、声、固体废物。排污口规范化整治应遵循便于采集样品，便于计量监测，便于日常现场监督检查的原则。根据《环境保护图形标志</w:t>
      </w:r>
      <w:r>
        <w:t>-</w:t>
      </w:r>
      <w:r>
        <w:t>排放口（源）》（</w:t>
      </w:r>
      <w:r>
        <w:t>GB15562.1-1995</w:t>
      </w:r>
      <w:r>
        <w:t>）、</w:t>
      </w:r>
      <w:r w:rsidR="0060657C" w:rsidRPr="0060657C">
        <w:t>《危险废物识别标志设置技术规范》（</w:t>
      </w:r>
      <w:r w:rsidR="0060657C" w:rsidRPr="0060657C">
        <w:t>HJ 1276-2022</w:t>
      </w:r>
      <w:r w:rsidR="0060657C" w:rsidRPr="0060657C">
        <w:t>）</w:t>
      </w:r>
      <w:r>
        <w:t>要求，在场区的废水排放口、噪声排放源、固体废物贮存处置场应设置环境保护图形标志，图形符号分为提示图形和警告图形符号两种。</w:t>
      </w:r>
    </w:p>
    <w:p w14:paraId="3F45D6B2" w14:textId="1FF1CD0F" w:rsidR="00606029" w:rsidRDefault="00EA5B92">
      <w:pPr>
        <w:pStyle w:val="affffff5"/>
      </w:pPr>
      <w:r>
        <w:t>表</w:t>
      </w:r>
      <w:r w:rsidR="0060657C">
        <w:rPr>
          <w:rFonts w:hint="eastAsia"/>
        </w:rPr>
        <w:t>9</w:t>
      </w:r>
      <w:r>
        <w:t xml:space="preserve">.1-1 </w:t>
      </w:r>
      <w:r>
        <w:t>环境保护图形符号一览表</w:t>
      </w:r>
    </w:p>
    <w:tbl>
      <w:tblPr>
        <w:tblW w:w="4941"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1403"/>
        <w:gridCol w:w="2058"/>
        <w:gridCol w:w="2038"/>
        <w:gridCol w:w="1600"/>
        <w:gridCol w:w="1631"/>
      </w:tblGrid>
      <w:tr w:rsidR="00606029" w14:paraId="097853F9" w14:textId="77777777" w:rsidTr="0060657C">
        <w:trPr>
          <w:trHeight w:val="340"/>
          <w:tblHeader/>
        </w:trPr>
        <w:tc>
          <w:tcPr>
            <w:tcW w:w="1403" w:type="dxa"/>
            <w:vAlign w:val="center"/>
          </w:tcPr>
          <w:p w14:paraId="754A4865" w14:textId="77777777" w:rsidR="00606029" w:rsidRDefault="00EA5B92">
            <w:pPr>
              <w:jc w:val="center"/>
              <w:rPr>
                <w:b/>
                <w:bCs/>
              </w:rPr>
            </w:pPr>
            <w:r>
              <w:rPr>
                <w:b/>
                <w:bCs/>
              </w:rPr>
              <w:t>序号</w:t>
            </w:r>
          </w:p>
        </w:tc>
        <w:tc>
          <w:tcPr>
            <w:tcW w:w="2058" w:type="dxa"/>
            <w:vAlign w:val="center"/>
          </w:tcPr>
          <w:p w14:paraId="3DC853D0" w14:textId="77777777" w:rsidR="00606029" w:rsidRDefault="00EA5B92">
            <w:pPr>
              <w:jc w:val="center"/>
              <w:rPr>
                <w:b/>
                <w:bCs/>
              </w:rPr>
            </w:pPr>
            <w:r>
              <w:rPr>
                <w:b/>
                <w:bCs/>
              </w:rPr>
              <w:t>提示图形符号</w:t>
            </w:r>
          </w:p>
        </w:tc>
        <w:tc>
          <w:tcPr>
            <w:tcW w:w="2038" w:type="dxa"/>
            <w:vAlign w:val="center"/>
          </w:tcPr>
          <w:p w14:paraId="494415A0" w14:textId="77777777" w:rsidR="00606029" w:rsidRDefault="00EA5B92">
            <w:pPr>
              <w:jc w:val="center"/>
              <w:rPr>
                <w:b/>
                <w:bCs/>
              </w:rPr>
            </w:pPr>
            <w:r>
              <w:rPr>
                <w:b/>
                <w:bCs/>
              </w:rPr>
              <w:t>警告图形符号</w:t>
            </w:r>
          </w:p>
        </w:tc>
        <w:tc>
          <w:tcPr>
            <w:tcW w:w="1600" w:type="dxa"/>
            <w:vAlign w:val="center"/>
          </w:tcPr>
          <w:p w14:paraId="53FE6467" w14:textId="77777777" w:rsidR="00606029" w:rsidRDefault="00EA5B92">
            <w:pPr>
              <w:jc w:val="center"/>
              <w:rPr>
                <w:b/>
                <w:bCs/>
              </w:rPr>
            </w:pPr>
            <w:r>
              <w:rPr>
                <w:b/>
                <w:bCs/>
              </w:rPr>
              <w:t>名</w:t>
            </w:r>
            <w:r>
              <w:rPr>
                <w:b/>
                <w:bCs/>
              </w:rPr>
              <w:t xml:space="preserve"> </w:t>
            </w:r>
            <w:r>
              <w:rPr>
                <w:b/>
                <w:bCs/>
              </w:rPr>
              <w:t>称</w:t>
            </w:r>
          </w:p>
        </w:tc>
        <w:tc>
          <w:tcPr>
            <w:tcW w:w="1631" w:type="dxa"/>
            <w:vAlign w:val="center"/>
          </w:tcPr>
          <w:p w14:paraId="615EB5FB" w14:textId="77777777" w:rsidR="00606029" w:rsidRDefault="00EA5B92">
            <w:pPr>
              <w:jc w:val="center"/>
              <w:rPr>
                <w:b/>
                <w:bCs/>
              </w:rPr>
            </w:pPr>
            <w:r>
              <w:rPr>
                <w:b/>
                <w:bCs/>
              </w:rPr>
              <w:t>功</w:t>
            </w:r>
            <w:r>
              <w:rPr>
                <w:b/>
                <w:bCs/>
              </w:rPr>
              <w:t xml:space="preserve"> </w:t>
            </w:r>
            <w:r>
              <w:rPr>
                <w:b/>
                <w:bCs/>
              </w:rPr>
              <w:t>能</w:t>
            </w:r>
          </w:p>
        </w:tc>
      </w:tr>
      <w:tr w:rsidR="00606029" w14:paraId="7E6F5A84" w14:textId="77777777" w:rsidTr="0060657C">
        <w:tc>
          <w:tcPr>
            <w:tcW w:w="1403" w:type="dxa"/>
            <w:vAlign w:val="center"/>
          </w:tcPr>
          <w:p w14:paraId="683A3F9C" w14:textId="77777777" w:rsidR="00606029" w:rsidRDefault="00EA5B92">
            <w:pPr>
              <w:jc w:val="center"/>
            </w:pPr>
            <w:r>
              <w:t>1</w:t>
            </w:r>
          </w:p>
        </w:tc>
        <w:tc>
          <w:tcPr>
            <w:tcW w:w="2058" w:type="dxa"/>
            <w:vAlign w:val="center"/>
          </w:tcPr>
          <w:p w14:paraId="1DA740CE" w14:textId="77777777" w:rsidR="00606029" w:rsidRDefault="00EA5B92">
            <w:pPr>
              <w:jc w:val="center"/>
            </w:pPr>
            <w:r>
              <w:rPr>
                <w:noProof/>
              </w:rPr>
              <w:drawing>
                <wp:inline distT="0" distB="0" distL="114300" distR="114300" wp14:anchorId="298D8703" wp14:editId="35813D68">
                  <wp:extent cx="1029970" cy="934720"/>
                  <wp:effectExtent l="0" t="0" r="17780" b="17780"/>
                  <wp:docPr id="1771" name="图片 156" descr="图片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1" name="图片 156" descr="图片7"/>
                          <pic:cNvPicPr preferRelativeResize="0">
                            <a:picLocks noChangeAspect="1"/>
                          </pic:cNvPicPr>
                        </pic:nvPicPr>
                        <pic:blipFill>
                          <a:blip r:embed="rId148"/>
                          <a:stretch>
                            <a:fillRect/>
                          </a:stretch>
                        </pic:blipFill>
                        <pic:spPr>
                          <a:xfrm>
                            <a:off x="0" y="0"/>
                            <a:ext cx="1029970" cy="934720"/>
                          </a:xfrm>
                          <a:prstGeom prst="rect">
                            <a:avLst/>
                          </a:prstGeom>
                          <a:noFill/>
                          <a:ln>
                            <a:noFill/>
                          </a:ln>
                        </pic:spPr>
                      </pic:pic>
                    </a:graphicData>
                  </a:graphic>
                </wp:inline>
              </w:drawing>
            </w:r>
          </w:p>
        </w:tc>
        <w:tc>
          <w:tcPr>
            <w:tcW w:w="2038" w:type="dxa"/>
            <w:vAlign w:val="center"/>
          </w:tcPr>
          <w:p w14:paraId="346DDF5A" w14:textId="77777777" w:rsidR="00606029" w:rsidRDefault="00EA5B92">
            <w:pPr>
              <w:jc w:val="center"/>
            </w:pPr>
            <w:r>
              <w:rPr>
                <w:noProof/>
              </w:rPr>
              <w:drawing>
                <wp:inline distT="0" distB="0" distL="114300" distR="114300" wp14:anchorId="3A1D84EA" wp14:editId="1980DF73">
                  <wp:extent cx="1031240" cy="942340"/>
                  <wp:effectExtent l="0" t="0" r="16510" b="10160"/>
                  <wp:docPr id="1772" name="图片 157" descr="图片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2" name="图片 157" descr="图片6"/>
                          <pic:cNvPicPr preferRelativeResize="0">
                            <a:picLocks noChangeAspect="1"/>
                          </pic:cNvPicPr>
                        </pic:nvPicPr>
                        <pic:blipFill>
                          <a:blip r:embed="rId149"/>
                          <a:stretch>
                            <a:fillRect/>
                          </a:stretch>
                        </pic:blipFill>
                        <pic:spPr>
                          <a:xfrm>
                            <a:off x="0" y="0"/>
                            <a:ext cx="1031240" cy="942340"/>
                          </a:xfrm>
                          <a:prstGeom prst="rect">
                            <a:avLst/>
                          </a:prstGeom>
                          <a:noFill/>
                          <a:ln>
                            <a:noFill/>
                          </a:ln>
                        </pic:spPr>
                      </pic:pic>
                    </a:graphicData>
                  </a:graphic>
                </wp:inline>
              </w:drawing>
            </w:r>
          </w:p>
        </w:tc>
        <w:tc>
          <w:tcPr>
            <w:tcW w:w="1600" w:type="dxa"/>
            <w:vAlign w:val="center"/>
          </w:tcPr>
          <w:p w14:paraId="761E423B" w14:textId="77777777" w:rsidR="00606029" w:rsidRDefault="00EA5B92">
            <w:pPr>
              <w:jc w:val="center"/>
            </w:pPr>
            <w:r>
              <w:t>废水排放口</w:t>
            </w:r>
          </w:p>
        </w:tc>
        <w:tc>
          <w:tcPr>
            <w:tcW w:w="1631" w:type="dxa"/>
            <w:vAlign w:val="center"/>
          </w:tcPr>
          <w:p w14:paraId="01DFB6AA" w14:textId="77777777" w:rsidR="00606029" w:rsidRDefault="00EA5B92">
            <w:pPr>
              <w:jc w:val="center"/>
            </w:pPr>
            <w:r>
              <w:t>表示废水向水体排放</w:t>
            </w:r>
          </w:p>
        </w:tc>
      </w:tr>
      <w:tr w:rsidR="00606029" w14:paraId="6B270E53" w14:textId="77777777" w:rsidTr="0060657C">
        <w:trPr>
          <w:trHeight w:val="1517"/>
        </w:trPr>
        <w:tc>
          <w:tcPr>
            <w:tcW w:w="1403" w:type="dxa"/>
            <w:vAlign w:val="center"/>
          </w:tcPr>
          <w:p w14:paraId="36CF28D3" w14:textId="3660B661" w:rsidR="00606029" w:rsidRDefault="0060657C">
            <w:pPr>
              <w:jc w:val="center"/>
            </w:pPr>
            <w:r>
              <w:rPr>
                <w:rFonts w:hint="eastAsia"/>
              </w:rPr>
              <w:lastRenderedPageBreak/>
              <w:t>2</w:t>
            </w:r>
          </w:p>
        </w:tc>
        <w:tc>
          <w:tcPr>
            <w:tcW w:w="2058" w:type="dxa"/>
            <w:vAlign w:val="center"/>
          </w:tcPr>
          <w:p w14:paraId="445E037D" w14:textId="77777777" w:rsidR="00606029" w:rsidRDefault="00EA5B92">
            <w:pPr>
              <w:jc w:val="center"/>
            </w:pPr>
            <w:r>
              <w:rPr>
                <w:noProof/>
              </w:rPr>
              <w:drawing>
                <wp:inline distT="0" distB="0" distL="114300" distR="114300" wp14:anchorId="73129F6D" wp14:editId="2C7B186D">
                  <wp:extent cx="1029970" cy="896620"/>
                  <wp:effectExtent l="0" t="0" r="17780" b="17780"/>
                  <wp:docPr id="1775" name="图片 160" descr="图片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5" name="图片 160" descr="图片5"/>
                          <pic:cNvPicPr preferRelativeResize="0">
                            <a:picLocks noChangeAspect="1"/>
                          </pic:cNvPicPr>
                        </pic:nvPicPr>
                        <pic:blipFill>
                          <a:blip r:embed="rId150"/>
                          <a:stretch>
                            <a:fillRect/>
                          </a:stretch>
                        </pic:blipFill>
                        <pic:spPr>
                          <a:xfrm>
                            <a:off x="0" y="0"/>
                            <a:ext cx="1029970" cy="896620"/>
                          </a:xfrm>
                          <a:prstGeom prst="rect">
                            <a:avLst/>
                          </a:prstGeom>
                          <a:noFill/>
                          <a:ln>
                            <a:noFill/>
                          </a:ln>
                        </pic:spPr>
                      </pic:pic>
                    </a:graphicData>
                  </a:graphic>
                </wp:inline>
              </w:drawing>
            </w:r>
          </w:p>
        </w:tc>
        <w:tc>
          <w:tcPr>
            <w:tcW w:w="2038" w:type="dxa"/>
            <w:vAlign w:val="center"/>
          </w:tcPr>
          <w:p w14:paraId="65B8AE45" w14:textId="77777777" w:rsidR="00606029" w:rsidRDefault="00EA5B92">
            <w:pPr>
              <w:jc w:val="center"/>
            </w:pPr>
            <w:r>
              <w:rPr>
                <w:noProof/>
              </w:rPr>
              <w:drawing>
                <wp:inline distT="0" distB="0" distL="114300" distR="114300" wp14:anchorId="0964E2F2" wp14:editId="7E630D1E">
                  <wp:extent cx="1031875" cy="877570"/>
                  <wp:effectExtent l="0" t="0" r="15875" b="17780"/>
                  <wp:docPr id="1776" name="图片 161" descr="图片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6" name="图片 161" descr="图片4"/>
                          <pic:cNvPicPr preferRelativeResize="0">
                            <a:picLocks noChangeAspect="1"/>
                          </pic:cNvPicPr>
                        </pic:nvPicPr>
                        <pic:blipFill>
                          <a:blip r:embed="rId151"/>
                          <a:stretch>
                            <a:fillRect/>
                          </a:stretch>
                        </pic:blipFill>
                        <pic:spPr>
                          <a:xfrm>
                            <a:off x="0" y="0"/>
                            <a:ext cx="1031875" cy="877570"/>
                          </a:xfrm>
                          <a:prstGeom prst="rect">
                            <a:avLst/>
                          </a:prstGeom>
                          <a:noFill/>
                          <a:ln>
                            <a:noFill/>
                          </a:ln>
                        </pic:spPr>
                      </pic:pic>
                    </a:graphicData>
                  </a:graphic>
                </wp:inline>
              </w:drawing>
            </w:r>
          </w:p>
        </w:tc>
        <w:tc>
          <w:tcPr>
            <w:tcW w:w="1600" w:type="dxa"/>
            <w:vAlign w:val="center"/>
          </w:tcPr>
          <w:p w14:paraId="7902816D" w14:textId="77777777" w:rsidR="00606029" w:rsidRDefault="00EA5B92">
            <w:pPr>
              <w:jc w:val="center"/>
            </w:pPr>
            <w:r>
              <w:t>一般固体废物</w:t>
            </w:r>
          </w:p>
        </w:tc>
        <w:tc>
          <w:tcPr>
            <w:tcW w:w="1631" w:type="dxa"/>
            <w:vAlign w:val="center"/>
          </w:tcPr>
          <w:p w14:paraId="702C362B" w14:textId="77777777" w:rsidR="00606029" w:rsidRDefault="00EA5B92">
            <w:pPr>
              <w:jc w:val="center"/>
            </w:pPr>
            <w:r>
              <w:t>表示一般固体废物贮存、处置</w:t>
            </w:r>
            <w:r>
              <w:t xml:space="preserve"> </w:t>
            </w:r>
            <w:r>
              <w:t>场</w:t>
            </w:r>
          </w:p>
        </w:tc>
      </w:tr>
      <w:tr w:rsidR="00606029" w14:paraId="6D861B09" w14:textId="77777777" w:rsidTr="0060657C">
        <w:tc>
          <w:tcPr>
            <w:tcW w:w="1403" w:type="dxa"/>
            <w:vAlign w:val="center"/>
          </w:tcPr>
          <w:p w14:paraId="545D65FC" w14:textId="65891EE1" w:rsidR="00606029" w:rsidRDefault="0060657C">
            <w:pPr>
              <w:jc w:val="center"/>
            </w:pPr>
            <w:r>
              <w:rPr>
                <w:rFonts w:hint="eastAsia"/>
              </w:rPr>
              <w:t>3</w:t>
            </w:r>
          </w:p>
        </w:tc>
        <w:tc>
          <w:tcPr>
            <w:tcW w:w="2058" w:type="dxa"/>
            <w:vAlign w:val="center"/>
          </w:tcPr>
          <w:p w14:paraId="1E1E5AAD" w14:textId="77777777" w:rsidR="00606029" w:rsidRDefault="00EA5B92">
            <w:pPr>
              <w:jc w:val="center"/>
            </w:pPr>
            <w:r>
              <w:rPr>
                <w:noProof/>
              </w:rPr>
              <w:drawing>
                <wp:inline distT="0" distB="0" distL="114300" distR="114300" wp14:anchorId="38FB225F" wp14:editId="156274B3">
                  <wp:extent cx="1038860" cy="1038860"/>
                  <wp:effectExtent l="0" t="0" r="8890" b="8890"/>
                  <wp:docPr id="1777" name="图片 162"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 name="图片 162" descr="图片"/>
                          <pic:cNvPicPr preferRelativeResize="0">
                            <a:picLocks noChangeAspect="1"/>
                          </pic:cNvPicPr>
                        </pic:nvPicPr>
                        <pic:blipFill>
                          <a:blip r:embed="rId152"/>
                          <a:stretch>
                            <a:fillRect/>
                          </a:stretch>
                        </pic:blipFill>
                        <pic:spPr>
                          <a:xfrm>
                            <a:off x="0" y="0"/>
                            <a:ext cx="1038860" cy="1038860"/>
                          </a:xfrm>
                          <a:prstGeom prst="rect">
                            <a:avLst/>
                          </a:prstGeom>
                          <a:noFill/>
                          <a:ln>
                            <a:noFill/>
                          </a:ln>
                        </pic:spPr>
                      </pic:pic>
                    </a:graphicData>
                  </a:graphic>
                </wp:inline>
              </w:drawing>
            </w:r>
          </w:p>
        </w:tc>
        <w:tc>
          <w:tcPr>
            <w:tcW w:w="2038" w:type="dxa"/>
            <w:vAlign w:val="center"/>
          </w:tcPr>
          <w:p w14:paraId="0D89686E" w14:textId="77777777" w:rsidR="00606029" w:rsidRDefault="00EA5B92">
            <w:pPr>
              <w:jc w:val="center"/>
            </w:pPr>
            <w:r>
              <w:rPr>
                <w:noProof/>
              </w:rPr>
              <w:drawing>
                <wp:inline distT="0" distB="0" distL="114300" distR="114300" wp14:anchorId="7D23B6DD" wp14:editId="5E2B3332">
                  <wp:extent cx="1032510" cy="921385"/>
                  <wp:effectExtent l="0" t="0" r="15240" b="12065"/>
                  <wp:docPr id="1778" name="图片 163" descr="图片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8" name="图片 163" descr="图片而"/>
                          <pic:cNvPicPr preferRelativeResize="0">
                            <a:picLocks noChangeAspect="1"/>
                          </pic:cNvPicPr>
                        </pic:nvPicPr>
                        <pic:blipFill>
                          <a:blip r:embed="rId153"/>
                          <a:stretch>
                            <a:fillRect/>
                          </a:stretch>
                        </pic:blipFill>
                        <pic:spPr>
                          <a:xfrm>
                            <a:off x="0" y="0"/>
                            <a:ext cx="1032510" cy="921385"/>
                          </a:xfrm>
                          <a:prstGeom prst="rect">
                            <a:avLst/>
                          </a:prstGeom>
                          <a:noFill/>
                          <a:ln>
                            <a:noFill/>
                          </a:ln>
                        </pic:spPr>
                      </pic:pic>
                    </a:graphicData>
                  </a:graphic>
                </wp:inline>
              </w:drawing>
            </w:r>
          </w:p>
        </w:tc>
        <w:tc>
          <w:tcPr>
            <w:tcW w:w="1600" w:type="dxa"/>
            <w:vAlign w:val="center"/>
          </w:tcPr>
          <w:p w14:paraId="6B7805AC" w14:textId="77777777" w:rsidR="00606029" w:rsidRDefault="00EA5B92">
            <w:pPr>
              <w:jc w:val="center"/>
            </w:pPr>
            <w:r>
              <w:t>噪声排放源</w:t>
            </w:r>
          </w:p>
        </w:tc>
        <w:tc>
          <w:tcPr>
            <w:tcW w:w="1631" w:type="dxa"/>
            <w:vAlign w:val="center"/>
          </w:tcPr>
          <w:p w14:paraId="767E7CC9" w14:textId="77777777" w:rsidR="00606029" w:rsidRDefault="00EA5B92">
            <w:pPr>
              <w:jc w:val="center"/>
            </w:pPr>
            <w:r>
              <w:t>表示噪声向外环境排放</w:t>
            </w:r>
          </w:p>
        </w:tc>
      </w:tr>
      <w:tr w:rsidR="00606029" w14:paraId="17B2888F" w14:textId="77777777" w:rsidTr="0060657C">
        <w:tc>
          <w:tcPr>
            <w:tcW w:w="1403" w:type="dxa"/>
            <w:vAlign w:val="center"/>
          </w:tcPr>
          <w:p w14:paraId="4CC81763" w14:textId="1F0FE122" w:rsidR="00606029" w:rsidRDefault="0060657C">
            <w:pPr>
              <w:jc w:val="center"/>
            </w:pPr>
            <w:r>
              <w:rPr>
                <w:rFonts w:hint="eastAsia"/>
              </w:rPr>
              <w:t>4</w:t>
            </w:r>
          </w:p>
        </w:tc>
        <w:tc>
          <w:tcPr>
            <w:tcW w:w="4096" w:type="dxa"/>
            <w:gridSpan w:val="2"/>
            <w:vAlign w:val="center"/>
          </w:tcPr>
          <w:p w14:paraId="33361931" w14:textId="1744C71A" w:rsidR="00606029" w:rsidRDefault="0060657C">
            <w:pPr>
              <w:jc w:val="center"/>
            </w:pPr>
            <w:r w:rsidRPr="0060657C">
              <w:rPr>
                <w:noProof/>
              </w:rPr>
              <w:drawing>
                <wp:inline distT="0" distB="0" distL="0" distR="0" wp14:anchorId="4497008B" wp14:editId="6FFCB500">
                  <wp:extent cx="792480" cy="685800"/>
                  <wp:effectExtent l="0" t="0" r="0" b="0"/>
                  <wp:docPr id="574943011" name="图片 45" descr="1690287289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16902872896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792480" cy="685800"/>
                          </a:xfrm>
                          <a:prstGeom prst="rect">
                            <a:avLst/>
                          </a:prstGeom>
                          <a:noFill/>
                          <a:ln>
                            <a:noFill/>
                          </a:ln>
                          <a:effectLst/>
                        </pic:spPr>
                      </pic:pic>
                    </a:graphicData>
                  </a:graphic>
                </wp:inline>
              </w:drawing>
            </w:r>
          </w:p>
        </w:tc>
        <w:tc>
          <w:tcPr>
            <w:tcW w:w="1600" w:type="dxa"/>
            <w:vAlign w:val="center"/>
          </w:tcPr>
          <w:p w14:paraId="3D7139AD" w14:textId="77777777" w:rsidR="00606029" w:rsidRDefault="00EA5B92">
            <w:pPr>
              <w:jc w:val="center"/>
            </w:pPr>
            <w:r>
              <w:t>危险废物</w:t>
            </w:r>
          </w:p>
        </w:tc>
        <w:tc>
          <w:tcPr>
            <w:tcW w:w="1631" w:type="dxa"/>
            <w:vAlign w:val="center"/>
          </w:tcPr>
          <w:p w14:paraId="3BBE89A0" w14:textId="77777777" w:rsidR="00606029" w:rsidRDefault="00EA5B92">
            <w:pPr>
              <w:jc w:val="center"/>
            </w:pPr>
            <w:r>
              <w:t>表示危险废物贮存、处置场</w:t>
            </w:r>
          </w:p>
        </w:tc>
      </w:tr>
      <w:tr w:rsidR="0060657C" w14:paraId="747A5384" w14:textId="77777777" w:rsidTr="0060657C">
        <w:tc>
          <w:tcPr>
            <w:tcW w:w="1403" w:type="dxa"/>
            <w:vAlign w:val="center"/>
          </w:tcPr>
          <w:p w14:paraId="2754BA35" w14:textId="13E2F6F3" w:rsidR="0060657C" w:rsidRDefault="0060657C">
            <w:pPr>
              <w:jc w:val="center"/>
            </w:pPr>
            <w:r>
              <w:rPr>
                <w:rFonts w:hint="eastAsia"/>
              </w:rPr>
              <w:t>5</w:t>
            </w:r>
          </w:p>
        </w:tc>
        <w:tc>
          <w:tcPr>
            <w:tcW w:w="4096" w:type="dxa"/>
            <w:gridSpan w:val="2"/>
            <w:vAlign w:val="center"/>
          </w:tcPr>
          <w:p w14:paraId="787853A6" w14:textId="6BE1C2EF" w:rsidR="0060657C" w:rsidRPr="0060657C" w:rsidRDefault="0060657C">
            <w:pPr>
              <w:jc w:val="center"/>
              <w:rPr>
                <w:noProof/>
              </w:rPr>
            </w:pPr>
            <w:r w:rsidRPr="0060657C">
              <w:rPr>
                <w:noProof/>
              </w:rPr>
              <w:drawing>
                <wp:inline distT="0" distB="0" distL="0" distR="0" wp14:anchorId="4F003E5D" wp14:editId="57655338">
                  <wp:extent cx="1043940" cy="1409700"/>
                  <wp:effectExtent l="0" t="0" r="0" b="0"/>
                  <wp:docPr id="21" name="图片 44" descr="1702003953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170200395335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043940" cy="1409700"/>
                          </a:xfrm>
                          <a:prstGeom prst="rect">
                            <a:avLst/>
                          </a:prstGeom>
                          <a:noFill/>
                          <a:ln>
                            <a:noFill/>
                          </a:ln>
                          <a:effectLst/>
                        </pic:spPr>
                      </pic:pic>
                    </a:graphicData>
                  </a:graphic>
                </wp:inline>
              </w:drawing>
            </w:r>
          </w:p>
        </w:tc>
        <w:tc>
          <w:tcPr>
            <w:tcW w:w="1600" w:type="dxa"/>
            <w:vAlign w:val="center"/>
          </w:tcPr>
          <w:p w14:paraId="3B2E03B0" w14:textId="6BF88DEA" w:rsidR="0060657C" w:rsidRDefault="0060657C">
            <w:pPr>
              <w:jc w:val="center"/>
            </w:pPr>
            <w:r>
              <w:rPr>
                <w:rFonts w:hint="eastAsia"/>
              </w:rPr>
              <w:t>/</w:t>
            </w:r>
          </w:p>
        </w:tc>
        <w:tc>
          <w:tcPr>
            <w:tcW w:w="1631" w:type="dxa"/>
            <w:vAlign w:val="center"/>
          </w:tcPr>
          <w:p w14:paraId="6F503E7E" w14:textId="5F30148E" w:rsidR="0060657C" w:rsidRDefault="0060657C">
            <w:pPr>
              <w:jc w:val="center"/>
            </w:pPr>
            <w:r w:rsidRPr="0060657C">
              <w:t>警示标示意图</w:t>
            </w:r>
          </w:p>
        </w:tc>
      </w:tr>
    </w:tbl>
    <w:p w14:paraId="372D89BA" w14:textId="77777777" w:rsidR="00606029" w:rsidRDefault="00EA5B92">
      <w:pPr>
        <w:ind w:firstLineChars="200" w:firstLine="422"/>
        <w:jc w:val="center"/>
        <w:rPr>
          <w:b/>
        </w:rPr>
      </w:pPr>
      <w:r>
        <w:rPr>
          <w:b/>
        </w:rPr>
        <w:t>表</w:t>
      </w:r>
      <w:r>
        <w:rPr>
          <w:b/>
        </w:rPr>
        <w:t xml:space="preserve"> 10.1-2   </w:t>
      </w:r>
      <w:r>
        <w:rPr>
          <w:b/>
        </w:rPr>
        <w:t>环境保护图形标志的形状及颜色表</w:t>
      </w:r>
    </w:p>
    <w:tbl>
      <w:tblPr>
        <w:tblW w:w="4936" w:type="pct"/>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ook w:val="04A0" w:firstRow="1" w:lastRow="0" w:firstColumn="1" w:lastColumn="0" w:noHBand="0" w:noVBand="1"/>
      </w:tblPr>
      <w:tblGrid>
        <w:gridCol w:w="2052"/>
        <w:gridCol w:w="2268"/>
        <w:gridCol w:w="2268"/>
        <w:gridCol w:w="2133"/>
      </w:tblGrid>
      <w:tr w:rsidR="00606029" w14:paraId="1A1F469E" w14:textId="77777777">
        <w:trPr>
          <w:trHeight w:val="340"/>
        </w:trPr>
        <w:tc>
          <w:tcPr>
            <w:tcW w:w="2195" w:type="dxa"/>
            <w:vAlign w:val="center"/>
          </w:tcPr>
          <w:p w14:paraId="69096BC0" w14:textId="77777777" w:rsidR="00606029" w:rsidRDefault="00EA5B92">
            <w:pPr>
              <w:jc w:val="center"/>
              <w:rPr>
                <w:b/>
                <w:bCs/>
              </w:rPr>
            </w:pPr>
            <w:r>
              <w:rPr>
                <w:b/>
                <w:bCs/>
              </w:rPr>
              <w:t>标志名称</w:t>
            </w:r>
          </w:p>
        </w:tc>
        <w:tc>
          <w:tcPr>
            <w:tcW w:w="2429" w:type="dxa"/>
            <w:vAlign w:val="center"/>
          </w:tcPr>
          <w:p w14:paraId="29779405" w14:textId="77777777" w:rsidR="00606029" w:rsidRDefault="00EA5B92">
            <w:pPr>
              <w:jc w:val="center"/>
              <w:rPr>
                <w:b/>
                <w:bCs/>
              </w:rPr>
            </w:pPr>
            <w:r>
              <w:rPr>
                <w:b/>
                <w:bCs/>
              </w:rPr>
              <w:t>形</w:t>
            </w:r>
            <w:r>
              <w:rPr>
                <w:b/>
                <w:bCs/>
              </w:rPr>
              <w:t xml:space="preserve"> </w:t>
            </w:r>
            <w:r>
              <w:rPr>
                <w:b/>
                <w:bCs/>
              </w:rPr>
              <w:t>状</w:t>
            </w:r>
          </w:p>
        </w:tc>
        <w:tc>
          <w:tcPr>
            <w:tcW w:w="2429" w:type="dxa"/>
            <w:vAlign w:val="center"/>
          </w:tcPr>
          <w:p w14:paraId="6B76538A" w14:textId="77777777" w:rsidR="00606029" w:rsidRDefault="00EA5B92">
            <w:pPr>
              <w:jc w:val="center"/>
              <w:rPr>
                <w:b/>
                <w:bCs/>
              </w:rPr>
            </w:pPr>
            <w:r>
              <w:rPr>
                <w:b/>
                <w:bCs/>
              </w:rPr>
              <w:t>背景颜色</w:t>
            </w:r>
          </w:p>
        </w:tc>
        <w:tc>
          <w:tcPr>
            <w:tcW w:w="2283" w:type="dxa"/>
            <w:vAlign w:val="center"/>
          </w:tcPr>
          <w:p w14:paraId="356FB92A" w14:textId="77777777" w:rsidR="00606029" w:rsidRDefault="00EA5B92">
            <w:pPr>
              <w:jc w:val="center"/>
              <w:rPr>
                <w:b/>
                <w:bCs/>
              </w:rPr>
            </w:pPr>
            <w:r>
              <w:rPr>
                <w:b/>
                <w:bCs/>
              </w:rPr>
              <w:t>图形颜色</w:t>
            </w:r>
          </w:p>
        </w:tc>
      </w:tr>
      <w:tr w:rsidR="00606029" w14:paraId="20AEC68D" w14:textId="77777777">
        <w:trPr>
          <w:trHeight w:val="340"/>
        </w:trPr>
        <w:tc>
          <w:tcPr>
            <w:tcW w:w="2195" w:type="dxa"/>
            <w:vAlign w:val="center"/>
          </w:tcPr>
          <w:p w14:paraId="3CE4E461" w14:textId="77777777" w:rsidR="00606029" w:rsidRDefault="00EA5B92">
            <w:pPr>
              <w:jc w:val="center"/>
            </w:pPr>
            <w:r>
              <w:t>警告标志</w:t>
            </w:r>
          </w:p>
        </w:tc>
        <w:tc>
          <w:tcPr>
            <w:tcW w:w="2429" w:type="dxa"/>
            <w:vAlign w:val="center"/>
          </w:tcPr>
          <w:p w14:paraId="341A33EE" w14:textId="77777777" w:rsidR="00606029" w:rsidRDefault="00EA5B92">
            <w:pPr>
              <w:jc w:val="center"/>
            </w:pPr>
            <w:r>
              <w:t>三角形边框</w:t>
            </w:r>
          </w:p>
        </w:tc>
        <w:tc>
          <w:tcPr>
            <w:tcW w:w="2429" w:type="dxa"/>
            <w:vAlign w:val="center"/>
          </w:tcPr>
          <w:p w14:paraId="6C47115E" w14:textId="77777777" w:rsidR="00606029" w:rsidRDefault="00EA5B92">
            <w:pPr>
              <w:jc w:val="center"/>
            </w:pPr>
            <w:r>
              <w:t>黄色</w:t>
            </w:r>
          </w:p>
        </w:tc>
        <w:tc>
          <w:tcPr>
            <w:tcW w:w="2283" w:type="dxa"/>
            <w:vAlign w:val="center"/>
          </w:tcPr>
          <w:p w14:paraId="7D72302A" w14:textId="77777777" w:rsidR="00606029" w:rsidRDefault="00EA5B92">
            <w:pPr>
              <w:jc w:val="center"/>
            </w:pPr>
            <w:r>
              <w:t>黑色</w:t>
            </w:r>
          </w:p>
        </w:tc>
      </w:tr>
      <w:tr w:rsidR="00606029" w14:paraId="0F4D626D" w14:textId="77777777">
        <w:trPr>
          <w:trHeight w:val="340"/>
        </w:trPr>
        <w:tc>
          <w:tcPr>
            <w:tcW w:w="2195" w:type="dxa"/>
            <w:vAlign w:val="center"/>
          </w:tcPr>
          <w:p w14:paraId="6C03DC79" w14:textId="77777777" w:rsidR="00606029" w:rsidRDefault="00EA5B92">
            <w:pPr>
              <w:jc w:val="center"/>
            </w:pPr>
            <w:r>
              <w:t>提示标志</w:t>
            </w:r>
          </w:p>
        </w:tc>
        <w:tc>
          <w:tcPr>
            <w:tcW w:w="2429" w:type="dxa"/>
            <w:vAlign w:val="center"/>
          </w:tcPr>
          <w:p w14:paraId="6B2DF235" w14:textId="77777777" w:rsidR="00606029" w:rsidRDefault="00EA5B92">
            <w:pPr>
              <w:jc w:val="center"/>
            </w:pPr>
            <w:r>
              <w:t>正方形边框</w:t>
            </w:r>
          </w:p>
        </w:tc>
        <w:tc>
          <w:tcPr>
            <w:tcW w:w="2429" w:type="dxa"/>
            <w:vAlign w:val="center"/>
          </w:tcPr>
          <w:p w14:paraId="5CB1DCF4" w14:textId="77777777" w:rsidR="00606029" w:rsidRDefault="00EA5B92">
            <w:pPr>
              <w:jc w:val="center"/>
            </w:pPr>
            <w:r>
              <w:t>绿色</w:t>
            </w:r>
          </w:p>
        </w:tc>
        <w:tc>
          <w:tcPr>
            <w:tcW w:w="2283" w:type="dxa"/>
            <w:vAlign w:val="center"/>
          </w:tcPr>
          <w:p w14:paraId="2E7666AA" w14:textId="77777777" w:rsidR="00606029" w:rsidRDefault="00EA5B92">
            <w:pPr>
              <w:jc w:val="center"/>
            </w:pPr>
            <w:r>
              <w:t>白色</w:t>
            </w:r>
          </w:p>
        </w:tc>
      </w:tr>
    </w:tbl>
    <w:p w14:paraId="26C59AD5" w14:textId="79217FDB" w:rsidR="00606029" w:rsidRDefault="004A414E">
      <w:pPr>
        <w:pStyle w:val="2"/>
        <w:spacing w:beforeLines="50" w:before="120"/>
      </w:pPr>
      <w:bookmarkStart w:id="367" w:name="_Toc18597"/>
      <w:bookmarkStart w:id="368" w:name="_Toc16644"/>
      <w:bookmarkStart w:id="369" w:name="_Toc220680563"/>
      <w:r>
        <w:rPr>
          <w:rFonts w:hint="eastAsia"/>
        </w:rPr>
        <w:t>9</w:t>
      </w:r>
      <w:r w:rsidR="00EA5B92">
        <w:t>.2</w:t>
      </w:r>
      <w:r w:rsidR="00EA5B92">
        <w:t>环境</w:t>
      </w:r>
      <w:bookmarkStart w:id="370" w:name="_Toc313631120"/>
      <w:r w:rsidR="00EA5B92">
        <w:t>监测计划</w:t>
      </w:r>
      <w:bookmarkEnd w:id="367"/>
      <w:bookmarkEnd w:id="368"/>
      <w:bookmarkEnd w:id="369"/>
    </w:p>
    <w:bookmarkEnd w:id="370"/>
    <w:p w14:paraId="05D1AFCE" w14:textId="05036453" w:rsidR="00606029" w:rsidRDefault="0060657C">
      <w:pPr>
        <w:pStyle w:val="affffff4"/>
      </w:pPr>
      <w:r w:rsidRPr="0060657C">
        <w:t>环境监测（包括污染源监测）是企业环境保护的重要组成部分，也是企业的一项规范化制度。通过环境监测，进行数据整理分析，建立监测档案，可为污染源治理，掌握污染物排放变化规律提供依据，为上级生态环境部门进行区域环境规划、管理执法提供依据。同时，环境监测也是企业实现污染物总量控制，做到清洁生产的重要保证手段之一</w:t>
      </w:r>
      <w:r w:rsidR="00EA5B92">
        <w:t>。</w:t>
      </w:r>
    </w:p>
    <w:p w14:paraId="58521DD1" w14:textId="77777777" w:rsidR="00606029" w:rsidRDefault="00EA5B92">
      <w:pPr>
        <w:pStyle w:val="affffff4"/>
      </w:pPr>
      <w:r>
        <w:t>企业应按照有关法律和《环境监测管理办法》等规定，建立企业监测制度，制定自行监测方案，对污染物排放状况及其周边环境质量的影响开展自行监测，保存原始监测记录，并公布监测结果。处理企业不具备自行监测能力的，应当与具有监测服务资质的单位签订委托监测合同。</w:t>
      </w:r>
    </w:p>
    <w:p w14:paraId="0393D41D" w14:textId="4A80676D" w:rsidR="00606029" w:rsidRDefault="004A414E" w:rsidP="0025514A">
      <w:pPr>
        <w:pStyle w:val="3"/>
      </w:pPr>
      <w:bookmarkStart w:id="371" w:name="7.5.1监测实施及成果的管理"/>
      <w:bookmarkStart w:id="372" w:name="_bookmark108"/>
      <w:bookmarkStart w:id="373" w:name="_Toc220680564"/>
      <w:bookmarkEnd w:id="371"/>
      <w:bookmarkEnd w:id="372"/>
      <w:r>
        <w:rPr>
          <w:rFonts w:hint="eastAsia"/>
        </w:rPr>
        <w:t>9</w:t>
      </w:r>
      <w:r w:rsidR="00EA5B92">
        <w:t>.2.1</w:t>
      </w:r>
      <w:r w:rsidR="00EA5B92">
        <w:t>监测计划</w:t>
      </w:r>
      <w:bookmarkEnd w:id="373"/>
    </w:p>
    <w:p w14:paraId="593D1D7F" w14:textId="797117FF" w:rsidR="00606029" w:rsidRDefault="00EA5B92">
      <w:pPr>
        <w:pStyle w:val="affffff4"/>
      </w:pPr>
      <w:r>
        <w:t>项目投入运行后，企业应对污染物排放情况和对周边环境质量的影响开展自行日</w:t>
      </w:r>
      <w:r>
        <w:lastRenderedPageBreak/>
        <w:t>常监测，并保存原始监测记录，公布监测结果。监测时，采样期间的工况应与正常工况相同，不得任意改变运行工况。为切实控制本工程治理设施的有效运行和污染物达标排放，根据《排污单位自行监测技术指南</w:t>
      </w:r>
      <w:r>
        <w:t xml:space="preserve"> </w:t>
      </w:r>
      <w:r>
        <w:t>总则》（</w:t>
      </w:r>
      <w:r>
        <w:t>HJ819-2017</w:t>
      </w:r>
      <w:r>
        <w:t>）的规定，同时参照《生活垃圾填埋污染控制标准》（</w:t>
      </w:r>
      <w:r>
        <w:t>GB16889-2024</w:t>
      </w:r>
      <w:r>
        <w:t>）和《生活垃圾卫生填埋场环境监测技术要求》（</w:t>
      </w:r>
      <w:r>
        <w:t>GB/T18772-2017</w:t>
      </w:r>
      <w:r>
        <w:t>），本评价对建设项目提出环境监测计划建议，本项目</w:t>
      </w:r>
      <w:r w:rsidR="00C40CEF">
        <w:t>运营期</w:t>
      </w:r>
      <w:r>
        <w:t>环境监测计划见下表。</w:t>
      </w:r>
    </w:p>
    <w:p w14:paraId="18A17D7C" w14:textId="14615B95" w:rsidR="00606029" w:rsidRDefault="00EA5B92">
      <w:pPr>
        <w:pStyle w:val="affffff5"/>
      </w:pPr>
      <w:r>
        <w:t>表</w:t>
      </w:r>
      <w:r w:rsidR="00844321">
        <w:rPr>
          <w:rFonts w:hint="eastAsia"/>
        </w:rPr>
        <w:t>9</w:t>
      </w:r>
      <w:r>
        <w:t xml:space="preserve">.2-1  </w:t>
      </w:r>
      <w:r w:rsidR="00C40CEF">
        <w:t>运营期</w:t>
      </w:r>
      <w:r>
        <w:t>污染源监测计划</w:t>
      </w:r>
    </w:p>
    <w:tbl>
      <w:tblPr>
        <w:tblStyle w:val="TableNormal"/>
        <w:tblW w:w="5000" w:type="pct"/>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9"/>
        <w:gridCol w:w="564"/>
        <w:gridCol w:w="1540"/>
        <w:gridCol w:w="2491"/>
        <w:gridCol w:w="1297"/>
        <w:gridCol w:w="2483"/>
      </w:tblGrid>
      <w:tr w:rsidR="003334AB" w14:paraId="35B24A93" w14:textId="2FC3152B" w:rsidTr="001E6EF7">
        <w:trPr>
          <w:trHeight w:val="57"/>
          <w:jc w:val="center"/>
        </w:trPr>
        <w:tc>
          <w:tcPr>
            <w:tcW w:w="290" w:type="pct"/>
            <w:vAlign w:val="center"/>
          </w:tcPr>
          <w:p w14:paraId="0657CA8D" w14:textId="77777777" w:rsidR="003334AB" w:rsidRDefault="003334AB">
            <w:pPr>
              <w:pStyle w:val="TableText"/>
              <w:adjustRightInd w:val="0"/>
              <w:snapToGrid w:val="0"/>
              <w:jc w:val="center"/>
              <w:rPr>
                <w:rFonts w:ascii="Times New Roman" w:hAnsi="Times New Roman" w:cs="Times New Roman"/>
                <w:spacing w:val="8"/>
              </w:rPr>
            </w:pPr>
            <w:r>
              <w:rPr>
                <w:rFonts w:ascii="Times New Roman" w:hAnsi="Times New Roman" w:cs="Times New Roman"/>
                <w:spacing w:val="8"/>
              </w:rPr>
              <w:t>序号</w:t>
            </w:r>
          </w:p>
        </w:tc>
        <w:tc>
          <w:tcPr>
            <w:tcW w:w="349" w:type="pct"/>
            <w:vAlign w:val="center"/>
          </w:tcPr>
          <w:p w14:paraId="71024827" w14:textId="77777777" w:rsidR="003334AB" w:rsidRDefault="003334AB">
            <w:pPr>
              <w:pStyle w:val="TableText"/>
              <w:adjustRightInd w:val="0"/>
              <w:snapToGrid w:val="0"/>
              <w:jc w:val="center"/>
              <w:rPr>
                <w:rFonts w:ascii="Times New Roman" w:hAnsi="Times New Roman" w:cs="Times New Roman"/>
                <w:spacing w:val="8"/>
              </w:rPr>
            </w:pPr>
            <w:r>
              <w:rPr>
                <w:rFonts w:ascii="Times New Roman" w:hAnsi="Times New Roman" w:cs="Times New Roman"/>
                <w:spacing w:val="8"/>
              </w:rPr>
              <w:t>监测对象</w:t>
            </w:r>
          </w:p>
        </w:tc>
        <w:tc>
          <w:tcPr>
            <w:tcW w:w="722" w:type="pct"/>
            <w:vAlign w:val="center"/>
          </w:tcPr>
          <w:p w14:paraId="7F970490" w14:textId="77777777" w:rsidR="003334AB" w:rsidRDefault="003334AB">
            <w:pPr>
              <w:pStyle w:val="TableText"/>
              <w:adjustRightInd w:val="0"/>
              <w:snapToGrid w:val="0"/>
              <w:jc w:val="center"/>
              <w:rPr>
                <w:rFonts w:ascii="Times New Roman" w:hAnsi="Times New Roman" w:cs="Times New Roman"/>
                <w:spacing w:val="8"/>
              </w:rPr>
            </w:pPr>
            <w:r>
              <w:rPr>
                <w:rFonts w:ascii="Times New Roman" w:hAnsi="Times New Roman" w:cs="Times New Roman"/>
                <w:spacing w:val="8"/>
              </w:rPr>
              <w:t>监测点</w:t>
            </w:r>
          </w:p>
        </w:tc>
        <w:tc>
          <w:tcPr>
            <w:tcW w:w="1440" w:type="pct"/>
            <w:vAlign w:val="center"/>
          </w:tcPr>
          <w:p w14:paraId="5F970704" w14:textId="77777777" w:rsidR="003334AB" w:rsidRDefault="003334AB">
            <w:pPr>
              <w:pStyle w:val="TableText"/>
              <w:adjustRightInd w:val="0"/>
              <w:snapToGrid w:val="0"/>
              <w:jc w:val="center"/>
              <w:rPr>
                <w:rFonts w:ascii="Times New Roman" w:hAnsi="Times New Roman" w:cs="Times New Roman"/>
                <w:spacing w:val="8"/>
              </w:rPr>
            </w:pPr>
            <w:r>
              <w:rPr>
                <w:rFonts w:ascii="Times New Roman" w:hAnsi="Times New Roman" w:cs="Times New Roman"/>
                <w:spacing w:val="8"/>
              </w:rPr>
              <w:t>监测因子</w:t>
            </w:r>
          </w:p>
        </w:tc>
        <w:tc>
          <w:tcPr>
            <w:tcW w:w="764" w:type="pct"/>
            <w:vAlign w:val="center"/>
          </w:tcPr>
          <w:p w14:paraId="3FF50449" w14:textId="77777777" w:rsidR="003334AB" w:rsidRDefault="003334AB">
            <w:pPr>
              <w:pStyle w:val="TableText"/>
              <w:adjustRightInd w:val="0"/>
              <w:snapToGrid w:val="0"/>
              <w:jc w:val="center"/>
              <w:rPr>
                <w:rFonts w:ascii="Times New Roman" w:hAnsi="Times New Roman" w:cs="Times New Roman"/>
                <w:spacing w:val="8"/>
              </w:rPr>
            </w:pPr>
            <w:r>
              <w:rPr>
                <w:rFonts w:ascii="Times New Roman" w:hAnsi="Times New Roman" w:cs="Times New Roman"/>
                <w:spacing w:val="8"/>
              </w:rPr>
              <w:t>监测频率</w:t>
            </w:r>
          </w:p>
        </w:tc>
        <w:tc>
          <w:tcPr>
            <w:tcW w:w="1435" w:type="pct"/>
            <w:vAlign w:val="center"/>
          </w:tcPr>
          <w:p w14:paraId="6A0FDD53" w14:textId="6C073F4A" w:rsidR="003334AB" w:rsidRDefault="003334AB">
            <w:pPr>
              <w:pStyle w:val="TableText"/>
              <w:adjustRightInd w:val="0"/>
              <w:snapToGrid w:val="0"/>
              <w:jc w:val="center"/>
              <w:rPr>
                <w:rFonts w:ascii="Times New Roman" w:hAnsi="Times New Roman" w:cs="Times New Roman"/>
                <w:spacing w:val="8"/>
              </w:rPr>
            </w:pPr>
            <w:r>
              <w:rPr>
                <w:rFonts w:ascii="Times New Roman" w:hAnsi="Times New Roman" w:cs="Times New Roman" w:hint="eastAsia"/>
                <w:spacing w:val="8"/>
                <w:lang w:eastAsia="zh-CN"/>
              </w:rPr>
              <w:t>执行标准</w:t>
            </w:r>
          </w:p>
        </w:tc>
      </w:tr>
      <w:tr w:rsidR="00516524" w14:paraId="50EDF839" w14:textId="7DAA96A9" w:rsidTr="001E6EF7">
        <w:trPr>
          <w:trHeight w:val="816"/>
          <w:jc w:val="center"/>
        </w:trPr>
        <w:tc>
          <w:tcPr>
            <w:tcW w:w="290" w:type="pct"/>
            <w:vAlign w:val="center"/>
          </w:tcPr>
          <w:p w14:paraId="13E3AC04" w14:textId="77777777" w:rsidR="00516524" w:rsidRDefault="00516524">
            <w:pPr>
              <w:pStyle w:val="TableText"/>
              <w:adjustRightInd w:val="0"/>
              <w:snapToGrid w:val="0"/>
              <w:jc w:val="center"/>
              <w:rPr>
                <w:rFonts w:ascii="Times New Roman" w:hAnsi="Times New Roman" w:cs="Times New Roman"/>
                <w:spacing w:val="8"/>
              </w:rPr>
            </w:pPr>
            <w:r>
              <w:rPr>
                <w:rFonts w:ascii="Times New Roman" w:hAnsi="Times New Roman" w:cs="Times New Roman"/>
                <w:spacing w:val="8"/>
              </w:rPr>
              <w:t>1</w:t>
            </w:r>
          </w:p>
        </w:tc>
        <w:tc>
          <w:tcPr>
            <w:tcW w:w="349" w:type="pct"/>
            <w:vMerge w:val="restart"/>
            <w:vAlign w:val="center"/>
          </w:tcPr>
          <w:p w14:paraId="204ADB4A" w14:textId="77777777" w:rsidR="00516524" w:rsidRDefault="00516524">
            <w:pPr>
              <w:pStyle w:val="TableText"/>
              <w:adjustRightInd w:val="0"/>
              <w:snapToGrid w:val="0"/>
              <w:jc w:val="center"/>
              <w:rPr>
                <w:rFonts w:ascii="Times New Roman" w:hAnsi="Times New Roman" w:cs="Times New Roman"/>
                <w:spacing w:val="8"/>
              </w:rPr>
            </w:pPr>
            <w:r>
              <w:rPr>
                <w:rFonts w:ascii="Times New Roman" w:hAnsi="Times New Roman" w:cs="Times New Roman"/>
                <w:spacing w:val="8"/>
              </w:rPr>
              <w:t>废水</w:t>
            </w:r>
          </w:p>
        </w:tc>
        <w:tc>
          <w:tcPr>
            <w:tcW w:w="722" w:type="pct"/>
            <w:vAlign w:val="center"/>
          </w:tcPr>
          <w:p w14:paraId="72CB6472" w14:textId="77777777" w:rsidR="00516524" w:rsidRDefault="00516524">
            <w:pPr>
              <w:pStyle w:val="TableText"/>
              <w:adjustRightInd w:val="0"/>
              <w:snapToGrid w:val="0"/>
              <w:jc w:val="center"/>
              <w:rPr>
                <w:rFonts w:ascii="Times New Roman" w:hAnsi="Times New Roman" w:cs="Times New Roman"/>
                <w:spacing w:val="8"/>
                <w:lang w:eastAsia="zh-CN"/>
              </w:rPr>
            </w:pPr>
            <w:r>
              <w:rPr>
                <w:rFonts w:ascii="Times New Roman" w:hAnsi="Times New Roman" w:cs="Times New Roman"/>
                <w:spacing w:val="8"/>
              </w:rPr>
              <w:t>渗滤液处理站</w:t>
            </w:r>
            <w:r>
              <w:rPr>
                <w:rFonts w:ascii="Times New Roman" w:hAnsi="Times New Roman" w:cs="Times New Roman"/>
                <w:spacing w:val="8"/>
                <w:lang w:eastAsia="zh-CN"/>
              </w:rPr>
              <w:t>排放口</w:t>
            </w:r>
          </w:p>
        </w:tc>
        <w:tc>
          <w:tcPr>
            <w:tcW w:w="1440" w:type="pct"/>
            <w:vAlign w:val="center"/>
          </w:tcPr>
          <w:p w14:paraId="7FD95CF3" w14:textId="77777777" w:rsidR="00516524" w:rsidRDefault="00516524">
            <w:pPr>
              <w:pStyle w:val="TableText"/>
              <w:adjustRightInd w:val="0"/>
              <w:snapToGrid w:val="0"/>
              <w:jc w:val="center"/>
              <w:rPr>
                <w:rFonts w:ascii="Times New Roman" w:hAnsi="Times New Roman" w:cs="Times New Roman"/>
                <w:spacing w:val="8"/>
                <w:lang w:eastAsia="zh-CN"/>
              </w:rPr>
            </w:pPr>
            <w:r>
              <w:rPr>
                <w:rFonts w:ascii="Times New Roman" w:hAnsi="Times New Roman" w:cs="Times New Roman"/>
                <w:spacing w:val="8"/>
                <w:lang w:eastAsia="zh-CN"/>
              </w:rPr>
              <w:t>悬浮物、氨氮、</w:t>
            </w:r>
            <w:r>
              <w:rPr>
                <w:rFonts w:ascii="Times New Roman" w:hAnsi="Times New Roman" w:cs="Times New Roman"/>
                <w:spacing w:val="8"/>
                <w:lang w:eastAsia="zh-CN"/>
              </w:rPr>
              <w:t>pH</w:t>
            </w:r>
            <w:r>
              <w:rPr>
                <w:rFonts w:ascii="Times New Roman" w:hAnsi="Times New Roman" w:cs="Times New Roman"/>
                <w:spacing w:val="8"/>
                <w:lang w:eastAsia="zh-CN"/>
              </w:rPr>
              <w:t>、化学需氧量、总氮、总磷、粪大肠菌群、五日生化需氧量、色度、总铬、总镉、总汞、总砷、总铅、六价铬</w:t>
            </w:r>
          </w:p>
        </w:tc>
        <w:tc>
          <w:tcPr>
            <w:tcW w:w="764" w:type="pct"/>
            <w:vAlign w:val="center"/>
          </w:tcPr>
          <w:p w14:paraId="50CFDA13" w14:textId="77777777" w:rsidR="00516524" w:rsidRDefault="00516524">
            <w:pPr>
              <w:pStyle w:val="TableText"/>
              <w:adjustRightInd w:val="0"/>
              <w:snapToGrid w:val="0"/>
              <w:jc w:val="center"/>
              <w:rPr>
                <w:rFonts w:ascii="Times New Roman" w:hAnsi="Times New Roman" w:cs="Times New Roman"/>
                <w:spacing w:val="8"/>
                <w:lang w:eastAsia="zh-CN"/>
              </w:rPr>
            </w:pPr>
            <w:r>
              <w:rPr>
                <w:rFonts w:ascii="Times New Roman" w:hAnsi="Times New Roman" w:cs="Times New Roman"/>
                <w:spacing w:val="8"/>
                <w:lang w:eastAsia="zh-CN"/>
              </w:rPr>
              <w:t>1</w:t>
            </w:r>
            <w:r>
              <w:rPr>
                <w:rFonts w:ascii="Times New Roman" w:hAnsi="Times New Roman" w:cs="Times New Roman"/>
                <w:spacing w:val="8"/>
                <w:lang w:eastAsia="zh-CN"/>
              </w:rPr>
              <w:t>次</w:t>
            </w:r>
            <w:r>
              <w:rPr>
                <w:rFonts w:ascii="Times New Roman" w:hAnsi="Times New Roman" w:cs="Times New Roman"/>
                <w:spacing w:val="8"/>
                <w:lang w:eastAsia="zh-CN"/>
              </w:rPr>
              <w:t>/</w:t>
            </w:r>
            <w:r>
              <w:rPr>
                <w:rFonts w:ascii="Times New Roman" w:hAnsi="Times New Roman" w:cs="Times New Roman"/>
                <w:spacing w:val="8"/>
                <w:lang w:eastAsia="zh-CN"/>
              </w:rPr>
              <w:t>季</w:t>
            </w:r>
          </w:p>
        </w:tc>
        <w:tc>
          <w:tcPr>
            <w:tcW w:w="1435" w:type="pct"/>
            <w:vMerge w:val="restart"/>
            <w:vAlign w:val="center"/>
          </w:tcPr>
          <w:p w14:paraId="1462C59C" w14:textId="75C8E328" w:rsidR="00516524" w:rsidRDefault="00516524">
            <w:pPr>
              <w:pStyle w:val="TableText"/>
              <w:adjustRightInd w:val="0"/>
              <w:snapToGrid w:val="0"/>
              <w:jc w:val="center"/>
              <w:rPr>
                <w:rFonts w:ascii="Times New Roman" w:hAnsi="Times New Roman" w:cs="Times New Roman"/>
                <w:spacing w:val="8"/>
                <w:lang w:eastAsia="zh-CN"/>
              </w:rPr>
            </w:pPr>
            <w:r w:rsidRPr="00516524">
              <w:rPr>
                <w:rFonts w:ascii="Times New Roman" w:hAnsi="Times New Roman" w:cs="Times New Roman"/>
                <w:spacing w:val="8"/>
                <w:lang w:eastAsia="zh-CN"/>
              </w:rPr>
              <w:t>《生活垃圾填埋场污染控制标准》（</w:t>
            </w:r>
            <w:r w:rsidRPr="00516524">
              <w:rPr>
                <w:rFonts w:ascii="Times New Roman" w:hAnsi="Times New Roman" w:cs="Times New Roman"/>
                <w:spacing w:val="8"/>
                <w:lang w:eastAsia="zh-CN"/>
              </w:rPr>
              <w:t>GB16889-2024</w:t>
            </w:r>
            <w:r w:rsidRPr="00516524">
              <w:rPr>
                <w:rFonts w:ascii="Times New Roman" w:hAnsi="Times New Roman" w:cs="Times New Roman"/>
                <w:spacing w:val="8"/>
                <w:lang w:eastAsia="zh-CN"/>
              </w:rPr>
              <w:t>）表</w:t>
            </w:r>
            <w:r w:rsidR="00505D6B">
              <w:rPr>
                <w:rFonts w:ascii="Times New Roman" w:hAnsi="Times New Roman" w:cs="Times New Roman" w:hint="eastAsia"/>
                <w:spacing w:val="8"/>
                <w:lang w:eastAsia="zh-CN"/>
              </w:rPr>
              <w:t>4</w:t>
            </w:r>
            <w:r w:rsidRPr="00516524">
              <w:rPr>
                <w:rFonts w:ascii="Times New Roman" w:hAnsi="Times New Roman" w:cs="Times New Roman"/>
                <w:spacing w:val="8"/>
                <w:lang w:eastAsia="zh-CN"/>
              </w:rPr>
              <w:t>要求和《城市污水再生利用</w:t>
            </w:r>
            <w:r w:rsidRPr="00516524">
              <w:rPr>
                <w:rFonts w:ascii="Times New Roman" w:hAnsi="Times New Roman" w:cs="Times New Roman"/>
                <w:spacing w:val="8"/>
                <w:lang w:eastAsia="zh-CN"/>
              </w:rPr>
              <w:t xml:space="preserve"> </w:t>
            </w:r>
            <w:r w:rsidRPr="00516524">
              <w:rPr>
                <w:rFonts w:ascii="Times New Roman" w:hAnsi="Times New Roman" w:cs="Times New Roman"/>
                <w:spacing w:val="8"/>
                <w:lang w:eastAsia="zh-CN"/>
              </w:rPr>
              <w:t>工业用水水质》（</w:t>
            </w:r>
            <w:r w:rsidRPr="00516524">
              <w:rPr>
                <w:rFonts w:ascii="Times New Roman" w:hAnsi="Times New Roman" w:cs="Times New Roman"/>
                <w:spacing w:val="8"/>
                <w:lang w:eastAsia="zh-CN"/>
              </w:rPr>
              <w:t>GB/T19923-2024</w:t>
            </w:r>
            <w:r w:rsidRPr="00516524">
              <w:rPr>
                <w:rFonts w:ascii="Times New Roman" w:hAnsi="Times New Roman" w:cs="Times New Roman"/>
                <w:spacing w:val="8"/>
                <w:lang w:eastAsia="zh-CN"/>
              </w:rPr>
              <w:t>）</w:t>
            </w:r>
            <w:r w:rsidR="00F32134">
              <w:rPr>
                <w:rFonts w:ascii="Times New Roman" w:hAnsi="Times New Roman" w:cs="Times New Roman" w:hint="eastAsia"/>
                <w:spacing w:val="8"/>
                <w:lang w:eastAsia="zh-CN"/>
              </w:rPr>
              <w:t>表</w:t>
            </w:r>
            <w:r w:rsidR="00F32134">
              <w:rPr>
                <w:rFonts w:ascii="Times New Roman" w:hAnsi="Times New Roman" w:cs="Times New Roman" w:hint="eastAsia"/>
                <w:spacing w:val="8"/>
                <w:lang w:eastAsia="zh-CN"/>
              </w:rPr>
              <w:t>1</w:t>
            </w:r>
            <w:r w:rsidR="00535A47">
              <w:rPr>
                <w:rFonts w:ascii="Times New Roman" w:hAnsi="Times New Roman" w:cs="Times New Roman"/>
                <w:spacing w:val="8"/>
                <w:lang w:eastAsia="zh-CN"/>
              </w:rPr>
              <w:t>间冷开式循环冷却水补充水标准</w:t>
            </w:r>
          </w:p>
        </w:tc>
      </w:tr>
      <w:tr w:rsidR="00516524" w14:paraId="1CB1E71D" w14:textId="2C43C106" w:rsidTr="001E6EF7">
        <w:trPr>
          <w:trHeight w:val="816"/>
          <w:jc w:val="center"/>
        </w:trPr>
        <w:tc>
          <w:tcPr>
            <w:tcW w:w="290" w:type="pct"/>
            <w:vAlign w:val="center"/>
          </w:tcPr>
          <w:p w14:paraId="54587D12" w14:textId="77777777" w:rsidR="00516524" w:rsidRDefault="00516524">
            <w:pPr>
              <w:pStyle w:val="TableText"/>
              <w:adjustRightInd w:val="0"/>
              <w:snapToGrid w:val="0"/>
              <w:jc w:val="center"/>
              <w:rPr>
                <w:rFonts w:ascii="Times New Roman" w:hAnsi="Times New Roman" w:cs="Times New Roman"/>
                <w:spacing w:val="8"/>
                <w:lang w:eastAsia="zh-CN"/>
              </w:rPr>
            </w:pPr>
            <w:r>
              <w:rPr>
                <w:rFonts w:ascii="Times New Roman" w:hAnsi="Times New Roman" w:cs="Times New Roman"/>
                <w:spacing w:val="8"/>
                <w:lang w:eastAsia="zh-CN"/>
              </w:rPr>
              <w:t>2</w:t>
            </w:r>
          </w:p>
        </w:tc>
        <w:tc>
          <w:tcPr>
            <w:tcW w:w="349" w:type="pct"/>
            <w:vMerge/>
            <w:vAlign w:val="center"/>
          </w:tcPr>
          <w:p w14:paraId="61C2F7A0" w14:textId="77777777" w:rsidR="00516524" w:rsidRDefault="00516524">
            <w:pPr>
              <w:pStyle w:val="TableText"/>
              <w:adjustRightInd w:val="0"/>
              <w:snapToGrid w:val="0"/>
              <w:jc w:val="center"/>
              <w:rPr>
                <w:rFonts w:ascii="Times New Roman" w:hAnsi="Times New Roman" w:cs="Times New Roman"/>
                <w:spacing w:val="8"/>
              </w:rPr>
            </w:pPr>
          </w:p>
        </w:tc>
        <w:tc>
          <w:tcPr>
            <w:tcW w:w="722" w:type="pct"/>
            <w:vAlign w:val="center"/>
          </w:tcPr>
          <w:p w14:paraId="0FA29809" w14:textId="77777777" w:rsidR="00516524" w:rsidRDefault="00516524">
            <w:pPr>
              <w:pStyle w:val="TableText"/>
              <w:adjustRightInd w:val="0"/>
              <w:snapToGrid w:val="0"/>
              <w:jc w:val="center"/>
              <w:rPr>
                <w:rFonts w:ascii="Times New Roman" w:hAnsi="Times New Roman" w:cs="Times New Roman"/>
                <w:spacing w:val="8"/>
                <w:lang w:eastAsia="zh-CN"/>
              </w:rPr>
            </w:pPr>
            <w:r>
              <w:rPr>
                <w:rFonts w:ascii="Times New Roman" w:hAnsi="Times New Roman" w:cs="Times New Roman"/>
                <w:spacing w:val="8"/>
                <w:lang w:eastAsia="zh-CN"/>
              </w:rPr>
              <w:t>雨水排口</w:t>
            </w:r>
          </w:p>
        </w:tc>
        <w:tc>
          <w:tcPr>
            <w:tcW w:w="1440" w:type="pct"/>
            <w:vAlign w:val="center"/>
          </w:tcPr>
          <w:p w14:paraId="6BAF3BC0" w14:textId="5931EB1A" w:rsidR="00516524" w:rsidRDefault="00516524">
            <w:pPr>
              <w:pStyle w:val="TableText"/>
              <w:adjustRightInd w:val="0"/>
              <w:snapToGrid w:val="0"/>
              <w:jc w:val="center"/>
              <w:rPr>
                <w:rFonts w:ascii="Times New Roman" w:hAnsi="Times New Roman" w:cs="Times New Roman"/>
                <w:spacing w:val="8"/>
                <w:lang w:eastAsia="zh-CN"/>
              </w:rPr>
            </w:pPr>
            <w:r w:rsidRPr="0025353E">
              <w:rPr>
                <w:rFonts w:ascii="Times New Roman" w:hAnsi="Times New Roman" w:cs="Times New Roman"/>
                <w:spacing w:val="8"/>
                <w:lang w:eastAsia="zh-CN"/>
              </w:rPr>
              <w:t>总铬、总镉、总汞、总砷、总铅、六价铬</w:t>
            </w:r>
          </w:p>
        </w:tc>
        <w:tc>
          <w:tcPr>
            <w:tcW w:w="764" w:type="pct"/>
            <w:vAlign w:val="center"/>
          </w:tcPr>
          <w:p w14:paraId="3C943494" w14:textId="27237D55" w:rsidR="00516524" w:rsidRDefault="00516524">
            <w:pPr>
              <w:pStyle w:val="TableText"/>
              <w:adjustRightInd w:val="0"/>
              <w:snapToGrid w:val="0"/>
              <w:jc w:val="center"/>
              <w:rPr>
                <w:rFonts w:ascii="Times New Roman" w:hAnsi="Times New Roman" w:cs="Times New Roman"/>
                <w:spacing w:val="8"/>
                <w:lang w:eastAsia="zh-CN"/>
              </w:rPr>
            </w:pPr>
            <w:r w:rsidRPr="003334AB">
              <w:rPr>
                <w:rFonts w:ascii="Times New Roman" w:hAnsi="Times New Roman" w:cs="Times New Roman"/>
                <w:spacing w:val="8"/>
                <w:lang w:eastAsia="zh-CN"/>
              </w:rPr>
              <w:t>雨水排放口有流动水排放时开展监测，排放期间按日监测，如监测</w:t>
            </w:r>
            <w:r w:rsidRPr="003334AB">
              <w:rPr>
                <w:rFonts w:ascii="Times New Roman" w:hAnsi="Times New Roman" w:cs="Times New Roman"/>
                <w:spacing w:val="8"/>
                <w:lang w:eastAsia="zh-CN"/>
              </w:rPr>
              <w:t xml:space="preserve">1 </w:t>
            </w:r>
            <w:r w:rsidRPr="003334AB">
              <w:rPr>
                <w:rFonts w:ascii="Times New Roman" w:hAnsi="Times New Roman" w:cs="Times New Roman"/>
                <w:spacing w:val="8"/>
                <w:lang w:eastAsia="zh-CN"/>
              </w:rPr>
              <w:t>年无异常情况，每季度第一次有流动水排放时按日开展监测</w:t>
            </w:r>
          </w:p>
        </w:tc>
        <w:tc>
          <w:tcPr>
            <w:tcW w:w="1435" w:type="pct"/>
            <w:vMerge/>
            <w:vAlign w:val="center"/>
          </w:tcPr>
          <w:p w14:paraId="3E50C45E" w14:textId="77777777" w:rsidR="00516524" w:rsidRPr="003334AB" w:rsidRDefault="00516524">
            <w:pPr>
              <w:pStyle w:val="TableText"/>
              <w:adjustRightInd w:val="0"/>
              <w:snapToGrid w:val="0"/>
              <w:jc w:val="center"/>
              <w:rPr>
                <w:rFonts w:ascii="Times New Roman" w:hAnsi="Times New Roman" w:cs="Times New Roman"/>
                <w:spacing w:val="8"/>
                <w:lang w:eastAsia="zh-CN"/>
              </w:rPr>
            </w:pPr>
          </w:p>
        </w:tc>
      </w:tr>
      <w:tr w:rsidR="003334AB" w14:paraId="1E974152" w14:textId="3B8A2509" w:rsidTr="001E6EF7">
        <w:trPr>
          <w:trHeight w:val="57"/>
          <w:jc w:val="center"/>
        </w:trPr>
        <w:tc>
          <w:tcPr>
            <w:tcW w:w="290" w:type="pct"/>
            <w:vAlign w:val="center"/>
          </w:tcPr>
          <w:p w14:paraId="6FFBF2BD" w14:textId="77777777" w:rsidR="003334AB" w:rsidRDefault="003334AB">
            <w:pPr>
              <w:pStyle w:val="TableText"/>
              <w:adjustRightInd w:val="0"/>
              <w:snapToGrid w:val="0"/>
              <w:jc w:val="center"/>
              <w:rPr>
                <w:rFonts w:ascii="Times New Roman" w:hAnsi="Times New Roman" w:cs="Times New Roman"/>
                <w:spacing w:val="8"/>
                <w:lang w:eastAsia="zh-CN"/>
              </w:rPr>
            </w:pPr>
            <w:r>
              <w:rPr>
                <w:rFonts w:ascii="Times New Roman" w:hAnsi="Times New Roman" w:cs="Times New Roman"/>
                <w:spacing w:val="8"/>
                <w:lang w:eastAsia="zh-CN"/>
              </w:rPr>
              <w:t>3</w:t>
            </w:r>
          </w:p>
        </w:tc>
        <w:tc>
          <w:tcPr>
            <w:tcW w:w="349" w:type="pct"/>
            <w:vAlign w:val="center"/>
          </w:tcPr>
          <w:p w14:paraId="2F9C2722" w14:textId="77777777" w:rsidR="003334AB" w:rsidRDefault="003334AB">
            <w:pPr>
              <w:pStyle w:val="TableText"/>
              <w:adjustRightInd w:val="0"/>
              <w:snapToGrid w:val="0"/>
              <w:jc w:val="center"/>
              <w:rPr>
                <w:rFonts w:ascii="Times New Roman" w:hAnsi="Times New Roman" w:cs="Times New Roman"/>
                <w:spacing w:val="8"/>
              </w:rPr>
            </w:pPr>
            <w:r>
              <w:rPr>
                <w:rFonts w:ascii="Times New Roman" w:hAnsi="Times New Roman" w:cs="Times New Roman"/>
                <w:spacing w:val="8"/>
              </w:rPr>
              <w:t>废气</w:t>
            </w:r>
          </w:p>
        </w:tc>
        <w:tc>
          <w:tcPr>
            <w:tcW w:w="722" w:type="pct"/>
            <w:vAlign w:val="center"/>
          </w:tcPr>
          <w:p w14:paraId="1496218A" w14:textId="77777777" w:rsidR="003334AB" w:rsidRDefault="003334AB">
            <w:pPr>
              <w:pStyle w:val="TableText"/>
              <w:adjustRightInd w:val="0"/>
              <w:snapToGrid w:val="0"/>
              <w:jc w:val="center"/>
              <w:rPr>
                <w:rFonts w:ascii="Times New Roman" w:hAnsi="Times New Roman" w:cs="Times New Roman"/>
                <w:spacing w:val="8"/>
                <w:lang w:eastAsia="zh-CN"/>
              </w:rPr>
            </w:pPr>
            <w:r>
              <w:rPr>
                <w:rFonts w:ascii="Times New Roman" w:hAnsi="Times New Roman" w:cs="Times New Roman"/>
                <w:spacing w:val="8"/>
                <w:lang w:eastAsia="zh-CN"/>
              </w:rPr>
              <w:t>厂界</w:t>
            </w:r>
          </w:p>
        </w:tc>
        <w:tc>
          <w:tcPr>
            <w:tcW w:w="1440" w:type="pct"/>
            <w:vAlign w:val="center"/>
          </w:tcPr>
          <w:p w14:paraId="5E916AF8" w14:textId="5606232C" w:rsidR="003334AB" w:rsidRDefault="003334AB">
            <w:pPr>
              <w:pStyle w:val="TableText"/>
              <w:adjustRightInd w:val="0"/>
              <w:snapToGrid w:val="0"/>
              <w:jc w:val="center"/>
              <w:rPr>
                <w:rFonts w:ascii="Times New Roman" w:hAnsi="Times New Roman" w:cs="Times New Roman"/>
                <w:spacing w:val="8"/>
                <w:lang w:eastAsia="zh-CN"/>
              </w:rPr>
            </w:pPr>
            <w:r>
              <w:rPr>
                <w:rFonts w:ascii="Times New Roman" w:hAnsi="Times New Roman" w:cs="Times New Roman"/>
                <w:spacing w:val="8"/>
                <w:lang w:eastAsia="zh-CN"/>
              </w:rPr>
              <w:t>臭气浓度、氨气、硫化氢、</w:t>
            </w:r>
            <w:r>
              <w:rPr>
                <w:rFonts w:ascii="Times New Roman" w:hAnsi="Times New Roman" w:cs="Times New Roman" w:hint="eastAsia"/>
                <w:spacing w:val="8"/>
                <w:lang w:eastAsia="zh-CN"/>
              </w:rPr>
              <w:t>非甲烷总烃、</w:t>
            </w:r>
            <w:r>
              <w:rPr>
                <w:rFonts w:ascii="Times New Roman" w:hAnsi="Times New Roman" w:cs="Times New Roman"/>
                <w:spacing w:val="8"/>
                <w:lang w:eastAsia="zh-CN"/>
              </w:rPr>
              <w:t>颗粒物</w:t>
            </w:r>
          </w:p>
        </w:tc>
        <w:tc>
          <w:tcPr>
            <w:tcW w:w="764" w:type="pct"/>
            <w:vAlign w:val="center"/>
          </w:tcPr>
          <w:p w14:paraId="0BC1A302" w14:textId="77777777" w:rsidR="003334AB" w:rsidRDefault="003334AB">
            <w:pPr>
              <w:pStyle w:val="TableText"/>
              <w:adjustRightInd w:val="0"/>
              <w:snapToGrid w:val="0"/>
              <w:jc w:val="center"/>
              <w:rPr>
                <w:rFonts w:ascii="Times New Roman" w:hAnsi="Times New Roman" w:cs="Times New Roman"/>
                <w:spacing w:val="8"/>
                <w:lang w:eastAsia="zh-CN"/>
              </w:rPr>
            </w:pPr>
            <w:r>
              <w:rPr>
                <w:rFonts w:ascii="Times New Roman" w:hAnsi="Times New Roman" w:cs="Times New Roman"/>
                <w:spacing w:val="8"/>
                <w:lang w:eastAsia="zh-CN"/>
              </w:rPr>
              <w:t>1</w:t>
            </w:r>
            <w:r>
              <w:rPr>
                <w:rFonts w:ascii="Times New Roman" w:hAnsi="Times New Roman" w:cs="Times New Roman"/>
                <w:spacing w:val="8"/>
                <w:lang w:eastAsia="zh-CN"/>
              </w:rPr>
              <w:t>次</w:t>
            </w:r>
            <w:r>
              <w:rPr>
                <w:rFonts w:ascii="Times New Roman" w:hAnsi="Times New Roman" w:cs="Times New Roman"/>
                <w:spacing w:val="8"/>
                <w:lang w:eastAsia="zh-CN"/>
              </w:rPr>
              <w:t>/</w:t>
            </w:r>
            <w:r>
              <w:rPr>
                <w:rFonts w:ascii="Times New Roman" w:hAnsi="Times New Roman" w:cs="Times New Roman"/>
                <w:spacing w:val="8"/>
                <w:lang w:eastAsia="zh-CN"/>
              </w:rPr>
              <w:t>月</w:t>
            </w:r>
          </w:p>
        </w:tc>
        <w:tc>
          <w:tcPr>
            <w:tcW w:w="1435" w:type="pct"/>
            <w:vAlign w:val="center"/>
          </w:tcPr>
          <w:p w14:paraId="3DBBB0C6" w14:textId="6DA6F1B1" w:rsidR="003334AB" w:rsidRDefault="00516524">
            <w:pPr>
              <w:pStyle w:val="TableText"/>
              <w:adjustRightInd w:val="0"/>
              <w:snapToGrid w:val="0"/>
              <w:jc w:val="center"/>
              <w:rPr>
                <w:rFonts w:ascii="Times New Roman" w:hAnsi="Times New Roman" w:cs="Times New Roman"/>
                <w:spacing w:val="8"/>
                <w:lang w:eastAsia="zh-CN"/>
              </w:rPr>
            </w:pPr>
            <w:r>
              <w:rPr>
                <w:rFonts w:ascii="Times New Roman" w:hAnsi="Times New Roman" w:cs="Times New Roman" w:hint="eastAsia"/>
                <w:spacing w:val="8"/>
                <w:lang w:eastAsia="zh-CN"/>
              </w:rPr>
              <w:t>厂界</w:t>
            </w:r>
            <w:r w:rsidRPr="00516524">
              <w:rPr>
                <w:rFonts w:ascii="Times New Roman" w:hAnsi="Times New Roman" w:cs="Times New Roman"/>
                <w:spacing w:val="8"/>
                <w:lang w:eastAsia="zh-CN"/>
              </w:rPr>
              <w:t>颗粒物、非甲烷总烃排放执行《大气污染物综合排放标准》（</w:t>
            </w:r>
            <w:r w:rsidRPr="00516524">
              <w:rPr>
                <w:rFonts w:ascii="Times New Roman" w:hAnsi="Times New Roman" w:cs="Times New Roman"/>
                <w:spacing w:val="8"/>
                <w:lang w:eastAsia="zh-CN"/>
              </w:rPr>
              <w:t>GB16297-1996</w:t>
            </w:r>
            <w:r w:rsidRPr="00516524">
              <w:rPr>
                <w:rFonts w:ascii="Times New Roman" w:hAnsi="Times New Roman" w:cs="Times New Roman"/>
                <w:spacing w:val="8"/>
                <w:lang w:eastAsia="zh-CN"/>
              </w:rPr>
              <w:t>）中表</w:t>
            </w:r>
            <w:r w:rsidRPr="00516524">
              <w:rPr>
                <w:rFonts w:ascii="Times New Roman" w:hAnsi="Times New Roman" w:cs="Times New Roman"/>
                <w:spacing w:val="8"/>
                <w:lang w:eastAsia="zh-CN"/>
              </w:rPr>
              <w:t>2</w:t>
            </w:r>
            <w:r w:rsidRPr="00516524">
              <w:rPr>
                <w:rFonts w:ascii="Times New Roman" w:hAnsi="Times New Roman" w:cs="Times New Roman"/>
                <w:spacing w:val="8"/>
                <w:lang w:eastAsia="zh-CN"/>
              </w:rPr>
              <w:t>无组织排放限值</w:t>
            </w:r>
            <w:r>
              <w:rPr>
                <w:rFonts w:ascii="Times New Roman" w:hAnsi="Times New Roman" w:cs="Times New Roman" w:hint="eastAsia"/>
                <w:spacing w:val="8"/>
                <w:lang w:eastAsia="zh-CN"/>
              </w:rPr>
              <w:t>；厂界</w:t>
            </w:r>
            <w:r w:rsidRPr="00516524">
              <w:rPr>
                <w:rFonts w:ascii="Times New Roman" w:hAnsi="Times New Roman" w:cs="Times New Roman"/>
                <w:spacing w:val="8"/>
                <w:lang w:eastAsia="zh-CN"/>
              </w:rPr>
              <w:t>氨、硫化氢、臭气</w:t>
            </w:r>
            <w:r>
              <w:rPr>
                <w:rFonts w:ascii="Times New Roman" w:hAnsi="Times New Roman" w:cs="Times New Roman" w:hint="eastAsia"/>
                <w:spacing w:val="8"/>
                <w:lang w:eastAsia="zh-CN"/>
              </w:rPr>
              <w:t>浓度</w:t>
            </w:r>
            <w:r w:rsidRPr="00516524">
              <w:rPr>
                <w:rFonts w:ascii="Times New Roman" w:hAnsi="Times New Roman" w:cs="Times New Roman"/>
                <w:spacing w:val="8"/>
                <w:lang w:eastAsia="zh-CN"/>
              </w:rPr>
              <w:t>执行《恶臭污染物排放标准》（</w:t>
            </w:r>
            <w:r w:rsidRPr="00516524">
              <w:rPr>
                <w:rFonts w:ascii="Times New Roman" w:hAnsi="Times New Roman" w:cs="Times New Roman"/>
                <w:spacing w:val="8"/>
                <w:lang w:eastAsia="zh-CN"/>
              </w:rPr>
              <w:t>GB14554-93</w:t>
            </w:r>
            <w:r w:rsidRPr="00516524">
              <w:rPr>
                <w:rFonts w:ascii="Times New Roman" w:hAnsi="Times New Roman" w:cs="Times New Roman"/>
                <w:spacing w:val="8"/>
                <w:lang w:eastAsia="zh-CN"/>
              </w:rPr>
              <w:t>）中恶臭污染物厂界标准值中新改扩建项目二级标准</w:t>
            </w:r>
            <w:r>
              <w:rPr>
                <w:rFonts w:ascii="Times New Roman" w:hAnsi="Times New Roman" w:cs="Times New Roman" w:hint="eastAsia"/>
                <w:spacing w:val="8"/>
                <w:lang w:eastAsia="zh-CN"/>
              </w:rPr>
              <w:t>；厂区内非甲烷总烃执行</w:t>
            </w:r>
            <w:r w:rsidRPr="00516524">
              <w:rPr>
                <w:rFonts w:ascii="Times New Roman" w:hAnsi="Times New Roman" w:cs="Times New Roman"/>
                <w:spacing w:val="8"/>
                <w:lang w:eastAsia="zh-CN"/>
              </w:rPr>
              <w:t>《挥发性有机物无组织排放控制标准》（</w:t>
            </w:r>
            <w:r w:rsidRPr="00516524">
              <w:rPr>
                <w:rFonts w:ascii="Times New Roman" w:hAnsi="Times New Roman" w:cs="Times New Roman"/>
                <w:spacing w:val="8"/>
                <w:lang w:eastAsia="zh-CN"/>
              </w:rPr>
              <w:t>GB37822-2019</w:t>
            </w:r>
            <w:r w:rsidRPr="00516524">
              <w:rPr>
                <w:rFonts w:ascii="Times New Roman" w:hAnsi="Times New Roman" w:cs="Times New Roman"/>
                <w:spacing w:val="8"/>
                <w:lang w:eastAsia="zh-CN"/>
              </w:rPr>
              <w:t>）表</w:t>
            </w:r>
            <w:r w:rsidRPr="00516524">
              <w:rPr>
                <w:rFonts w:ascii="Times New Roman" w:hAnsi="Times New Roman" w:cs="Times New Roman"/>
                <w:spacing w:val="8"/>
                <w:lang w:eastAsia="zh-CN"/>
              </w:rPr>
              <w:t>A.1</w:t>
            </w:r>
            <w:r w:rsidRPr="00516524">
              <w:rPr>
                <w:rFonts w:ascii="Times New Roman" w:hAnsi="Times New Roman" w:cs="Times New Roman"/>
                <w:spacing w:val="8"/>
                <w:lang w:eastAsia="zh-CN"/>
              </w:rPr>
              <w:t>中排放限值</w:t>
            </w:r>
          </w:p>
        </w:tc>
      </w:tr>
      <w:tr w:rsidR="003334AB" w14:paraId="0B67012E" w14:textId="647961FC" w:rsidTr="001E6EF7">
        <w:trPr>
          <w:trHeight w:val="57"/>
          <w:jc w:val="center"/>
        </w:trPr>
        <w:tc>
          <w:tcPr>
            <w:tcW w:w="290" w:type="pct"/>
            <w:vAlign w:val="center"/>
          </w:tcPr>
          <w:p w14:paraId="2BB1A61B" w14:textId="77777777" w:rsidR="003334AB" w:rsidRDefault="003334AB">
            <w:pPr>
              <w:pStyle w:val="TableText"/>
              <w:adjustRightInd w:val="0"/>
              <w:snapToGrid w:val="0"/>
              <w:jc w:val="center"/>
              <w:rPr>
                <w:rFonts w:ascii="Times New Roman" w:hAnsi="Times New Roman" w:cs="Times New Roman"/>
                <w:spacing w:val="8"/>
                <w:lang w:eastAsia="zh-CN"/>
              </w:rPr>
            </w:pPr>
            <w:r>
              <w:rPr>
                <w:rFonts w:ascii="Times New Roman" w:hAnsi="Times New Roman" w:cs="Times New Roman"/>
                <w:spacing w:val="8"/>
                <w:lang w:eastAsia="zh-CN"/>
              </w:rPr>
              <w:t>4</w:t>
            </w:r>
          </w:p>
        </w:tc>
        <w:tc>
          <w:tcPr>
            <w:tcW w:w="349" w:type="pct"/>
            <w:vAlign w:val="center"/>
          </w:tcPr>
          <w:p w14:paraId="593E1FF1" w14:textId="77777777" w:rsidR="003334AB" w:rsidRDefault="003334AB">
            <w:pPr>
              <w:pStyle w:val="TableText"/>
              <w:adjustRightInd w:val="0"/>
              <w:snapToGrid w:val="0"/>
              <w:jc w:val="center"/>
              <w:rPr>
                <w:rFonts w:ascii="Times New Roman" w:hAnsi="Times New Roman" w:cs="Times New Roman"/>
                <w:spacing w:val="8"/>
              </w:rPr>
            </w:pPr>
            <w:r>
              <w:rPr>
                <w:rFonts w:ascii="Times New Roman" w:hAnsi="Times New Roman" w:cs="Times New Roman"/>
                <w:spacing w:val="8"/>
              </w:rPr>
              <w:t>噪声</w:t>
            </w:r>
          </w:p>
        </w:tc>
        <w:tc>
          <w:tcPr>
            <w:tcW w:w="722" w:type="pct"/>
            <w:vAlign w:val="center"/>
          </w:tcPr>
          <w:p w14:paraId="3F5C3AFD" w14:textId="0D85B921" w:rsidR="003334AB" w:rsidRDefault="003334AB">
            <w:pPr>
              <w:pStyle w:val="TableText"/>
              <w:adjustRightInd w:val="0"/>
              <w:snapToGrid w:val="0"/>
              <w:jc w:val="center"/>
              <w:rPr>
                <w:rFonts w:ascii="Times New Roman" w:hAnsi="Times New Roman" w:cs="Times New Roman"/>
                <w:spacing w:val="8"/>
                <w:lang w:eastAsia="zh-CN"/>
              </w:rPr>
            </w:pPr>
            <w:r>
              <w:rPr>
                <w:rFonts w:ascii="Times New Roman" w:hAnsi="Times New Roman" w:cs="Times New Roman"/>
                <w:spacing w:val="8"/>
                <w:lang w:eastAsia="zh-CN"/>
              </w:rPr>
              <w:t>东、南、西、北厂界</w:t>
            </w:r>
            <w:r>
              <w:rPr>
                <w:rFonts w:ascii="Times New Roman" w:hAnsi="Times New Roman" w:cs="Times New Roman" w:hint="eastAsia"/>
                <w:spacing w:val="8"/>
                <w:lang w:eastAsia="zh-CN"/>
              </w:rPr>
              <w:t>外</w:t>
            </w:r>
            <w:r>
              <w:rPr>
                <w:rFonts w:ascii="Times New Roman" w:hAnsi="Times New Roman" w:cs="Times New Roman"/>
                <w:spacing w:val="8"/>
                <w:lang w:eastAsia="zh-CN"/>
              </w:rPr>
              <w:t>1m</w:t>
            </w:r>
            <w:r>
              <w:rPr>
                <w:rFonts w:ascii="Times New Roman" w:hAnsi="Times New Roman" w:cs="Times New Roman"/>
                <w:spacing w:val="8"/>
                <w:lang w:eastAsia="zh-CN"/>
              </w:rPr>
              <w:t>处</w:t>
            </w:r>
          </w:p>
        </w:tc>
        <w:tc>
          <w:tcPr>
            <w:tcW w:w="1440" w:type="pct"/>
            <w:vAlign w:val="center"/>
          </w:tcPr>
          <w:p w14:paraId="504FDEF7" w14:textId="77777777" w:rsidR="003334AB" w:rsidRDefault="003334AB">
            <w:pPr>
              <w:pStyle w:val="TableText"/>
              <w:adjustRightInd w:val="0"/>
              <w:snapToGrid w:val="0"/>
              <w:jc w:val="center"/>
              <w:rPr>
                <w:rFonts w:ascii="Times New Roman" w:hAnsi="Times New Roman" w:cs="Times New Roman"/>
                <w:spacing w:val="8"/>
                <w:lang w:eastAsia="zh-CN"/>
              </w:rPr>
            </w:pPr>
            <w:r>
              <w:rPr>
                <w:rFonts w:ascii="Times New Roman" w:hAnsi="Times New Roman" w:cs="Times New Roman"/>
                <w:spacing w:val="8"/>
                <w:lang w:eastAsia="zh-CN"/>
              </w:rPr>
              <w:t>昼、夜等效连续</w:t>
            </w:r>
            <w:r>
              <w:rPr>
                <w:rFonts w:ascii="Times New Roman" w:hAnsi="Times New Roman" w:cs="Times New Roman"/>
                <w:spacing w:val="8"/>
                <w:lang w:eastAsia="zh-CN"/>
              </w:rPr>
              <w:t>A</w:t>
            </w:r>
            <w:r>
              <w:rPr>
                <w:rFonts w:ascii="Times New Roman" w:hAnsi="Times New Roman" w:cs="Times New Roman"/>
                <w:spacing w:val="8"/>
                <w:lang w:eastAsia="zh-CN"/>
              </w:rPr>
              <w:t>声级</w:t>
            </w:r>
          </w:p>
        </w:tc>
        <w:tc>
          <w:tcPr>
            <w:tcW w:w="764" w:type="pct"/>
            <w:vAlign w:val="center"/>
          </w:tcPr>
          <w:p w14:paraId="23298884" w14:textId="77777777" w:rsidR="003334AB" w:rsidRDefault="003334AB">
            <w:pPr>
              <w:pStyle w:val="TableText"/>
              <w:adjustRightInd w:val="0"/>
              <w:snapToGrid w:val="0"/>
              <w:jc w:val="center"/>
              <w:rPr>
                <w:rFonts w:ascii="Times New Roman" w:hAnsi="Times New Roman" w:cs="Times New Roman"/>
                <w:spacing w:val="8"/>
              </w:rPr>
            </w:pPr>
            <w:r>
              <w:rPr>
                <w:rFonts w:ascii="Times New Roman" w:hAnsi="Times New Roman" w:cs="Times New Roman"/>
                <w:spacing w:val="8"/>
                <w:lang w:eastAsia="zh-CN"/>
              </w:rPr>
              <w:t>1</w:t>
            </w:r>
            <w:r>
              <w:rPr>
                <w:rFonts w:ascii="Times New Roman" w:hAnsi="Times New Roman" w:cs="Times New Roman"/>
                <w:spacing w:val="8"/>
                <w:lang w:eastAsia="zh-CN"/>
              </w:rPr>
              <w:t>次</w:t>
            </w:r>
            <w:r>
              <w:rPr>
                <w:rFonts w:ascii="Times New Roman" w:hAnsi="Times New Roman" w:cs="Times New Roman"/>
                <w:spacing w:val="8"/>
                <w:lang w:eastAsia="zh-CN"/>
              </w:rPr>
              <w:t>/</w:t>
            </w:r>
            <w:r>
              <w:rPr>
                <w:rFonts w:ascii="Times New Roman" w:hAnsi="Times New Roman" w:cs="Times New Roman"/>
                <w:spacing w:val="8"/>
                <w:lang w:eastAsia="zh-CN"/>
              </w:rPr>
              <w:t>季</w:t>
            </w:r>
          </w:p>
        </w:tc>
        <w:tc>
          <w:tcPr>
            <w:tcW w:w="1435" w:type="pct"/>
            <w:vAlign w:val="center"/>
          </w:tcPr>
          <w:p w14:paraId="1FB0FA62" w14:textId="15FE9F88" w:rsidR="003334AB" w:rsidRDefault="00516524">
            <w:pPr>
              <w:pStyle w:val="TableText"/>
              <w:adjustRightInd w:val="0"/>
              <w:snapToGrid w:val="0"/>
              <w:jc w:val="center"/>
              <w:rPr>
                <w:rFonts w:ascii="Times New Roman" w:hAnsi="Times New Roman" w:cs="Times New Roman"/>
                <w:spacing w:val="8"/>
                <w:lang w:eastAsia="zh-CN"/>
              </w:rPr>
            </w:pPr>
            <w:r w:rsidRPr="00516524">
              <w:rPr>
                <w:rFonts w:ascii="Times New Roman" w:hAnsi="Times New Roman" w:cs="Times New Roman"/>
                <w:spacing w:val="8"/>
                <w:lang w:eastAsia="zh-CN"/>
              </w:rPr>
              <w:t>《工业企业厂界环境噪声排放标准》（</w:t>
            </w:r>
            <w:r w:rsidRPr="00516524">
              <w:rPr>
                <w:rFonts w:ascii="Times New Roman" w:hAnsi="Times New Roman" w:cs="Times New Roman"/>
                <w:spacing w:val="8"/>
                <w:lang w:eastAsia="zh-CN"/>
              </w:rPr>
              <w:t>GB12348-2008</w:t>
            </w:r>
            <w:r w:rsidRPr="00516524">
              <w:rPr>
                <w:rFonts w:ascii="Times New Roman" w:hAnsi="Times New Roman" w:cs="Times New Roman"/>
                <w:spacing w:val="8"/>
                <w:lang w:eastAsia="zh-CN"/>
              </w:rPr>
              <w:t>）</w:t>
            </w:r>
            <w:r w:rsidRPr="00516524">
              <w:rPr>
                <w:rFonts w:ascii="Times New Roman" w:hAnsi="Times New Roman" w:cs="Times New Roman"/>
                <w:spacing w:val="8"/>
                <w:lang w:eastAsia="zh-CN"/>
              </w:rPr>
              <w:t>2</w:t>
            </w:r>
            <w:r w:rsidRPr="00516524">
              <w:rPr>
                <w:rFonts w:ascii="Times New Roman" w:hAnsi="Times New Roman" w:cs="Times New Roman"/>
                <w:spacing w:val="8"/>
                <w:lang w:eastAsia="zh-CN"/>
              </w:rPr>
              <w:t>类标准</w:t>
            </w:r>
          </w:p>
        </w:tc>
      </w:tr>
      <w:tr w:rsidR="00516524" w14:paraId="10FC9B4F" w14:textId="6382426A" w:rsidTr="001E6EF7">
        <w:trPr>
          <w:trHeight w:val="1159"/>
          <w:jc w:val="center"/>
        </w:trPr>
        <w:tc>
          <w:tcPr>
            <w:tcW w:w="290" w:type="pct"/>
            <w:vAlign w:val="center"/>
          </w:tcPr>
          <w:p w14:paraId="09A4F14B" w14:textId="77777777" w:rsidR="00516524" w:rsidRDefault="00516524">
            <w:pPr>
              <w:pStyle w:val="TableText"/>
              <w:adjustRightInd w:val="0"/>
              <w:snapToGrid w:val="0"/>
              <w:jc w:val="center"/>
              <w:rPr>
                <w:rFonts w:ascii="Times New Roman" w:hAnsi="Times New Roman" w:cs="Times New Roman"/>
                <w:spacing w:val="8"/>
                <w:lang w:eastAsia="zh-CN"/>
              </w:rPr>
            </w:pPr>
            <w:bookmarkStart w:id="374" w:name="_Hlk220525445"/>
            <w:r>
              <w:rPr>
                <w:rFonts w:ascii="Times New Roman" w:hAnsi="Times New Roman" w:cs="Times New Roman"/>
                <w:spacing w:val="8"/>
                <w:lang w:eastAsia="zh-CN"/>
              </w:rPr>
              <w:lastRenderedPageBreak/>
              <w:t>5</w:t>
            </w:r>
          </w:p>
        </w:tc>
        <w:tc>
          <w:tcPr>
            <w:tcW w:w="349" w:type="pct"/>
            <w:vMerge w:val="restart"/>
            <w:vAlign w:val="center"/>
          </w:tcPr>
          <w:p w14:paraId="17C98AD6" w14:textId="063C5255" w:rsidR="00516524" w:rsidRDefault="00516524">
            <w:pPr>
              <w:pStyle w:val="TableText"/>
              <w:adjustRightInd w:val="0"/>
              <w:snapToGrid w:val="0"/>
              <w:jc w:val="center"/>
              <w:rPr>
                <w:rFonts w:ascii="Times New Roman" w:hAnsi="Times New Roman" w:cs="Times New Roman"/>
                <w:spacing w:val="8"/>
                <w:lang w:eastAsia="zh-CN"/>
              </w:rPr>
            </w:pPr>
            <w:r>
              <w:rPr>
                <w:rFonts w:ascii="Times New Roman" w:hAnsi="Times New Roman" w:cs="Times New Roman"/>
                <w:spacing w:val="8"/>
              </w:rPr>
              <w:t>地下水</w:t>
            </w:r>
          </w:p>
        </w:tc>
        <w:tc>
          <w:tcPr>
            <w:tcW w:w="722" w:type="pct"/>
            <w:vAlign w:val="center"/>
          </w:tcPr>
          <w:p w14:paraId="29DFFD40" w14:textId="31677A02" w:rsidR="00516524" w:rsidRDefault="00516524">
            <w:pPr>
              <w:pStyle w:val="TableText"/>
              <w:adjustRightInd w:val="0"/>
              <w:snapToGrid w:val="0"/>
              <w:jc w:val="center"/>
              <w:rPr>
                <w:rFonts w:ascii="Times New Roman" w:hAnsi="Times New Roman" w:cs="Times New Roman"/>
                <w:spacing w:val="8"/>
                <w:lang w:eastAsia="zh-CN"/>
              </w:rPr>
            </w:pPr>
            <w:r>
              <w:rPr>
                <w:rFonts w:ascii="Times New Roman" w:hAnsi="Times New Roman" w:cs="Times New Roman"/>
                <w:spacing w:val="8"/>
                <w:lang w:eastAsia="zh-CN"/>
              </w:rPr>
              <w:t>本底井</w:t>
            </w:r>
            <w:r>
              <w:rPr>
                <w:rFonts w:ascii="Times New Roman" w:hAnsi="Times New Roman" w:cs="Times New Roman" w:hint="eastAsia"/>
                <w:spacing w:val="8"/>
                <w:lang w:eastAsia="zh-CN"/>
              </w:rPr>
              <w:t>（</w:t>
            </w:r>
            <w:r w:rsidRPr="001F4DFC">
              <w:rPr>
                <w:rFonts w:ascii="Times New Roman" w:hAnsi="Times New Roman" w:cs="Times New Roman"/>
                <w:spacing w:val="8"/>
                <w:lang w:eastAsia="zh-CN"/>
              </w:rPr>
              <w:t>124.985420</w:t>
            </w:r>
            <w:r w:rsidRPr="001F4DFC">
              <w:rPr>
                <w:rFonts w:ascii="Times New Roman" w:hAnsi="Times New Roman" w:cs="Times New Roman"/>
                <w:spacing w:val="8"/>
                <w:lang w:eastAsia="zh-CN"/>
              </w:rPr>
              <w:t>，</w:t>
            </w:r>
            <w:r w:rsidRPr="001F4DFC">
              <w:rPr>
                <w:rFonts w:ascii="Times New Roman" w:hAnsi="Times New Roman" w:cs="Times New Roman"/>
                <w:spacing w:val="8"/>
                <w:lang w:eastAsia="zh-CN"/>
              </w:rPr>
              <w:t>46.434764</w:t>
            </w:r>
            <w:r>
              <w:rPr>
                <w:rFonts w:ascii="Times New Roman" w:hAnsi="Times New Roman" w:cs="Times New Roman" w:hint="eastAsia"/>
                <w:spacing w:val="8"/>
                <w:lang w:eastAsia="zh-CN"/>
              </w:rPr>
              <w:t>）</w:t>
            </w:r>
          </w:p>
        </w:tc>
        <w:tc>
          <w:tcPr>
            <w:tcW w:w="1440" w:type="pct"/>
            <w:vMerge w:val="restart"/>
            <w:vAlign w:val="center"/>
          </w:tcPr>
          <w:p w14:paraId="11033AFF" w14:textId="77777777" w:rsidR="00516524" w:rsidRDefault="00516524">
            <w:pPr>
              <w:pStyle w:val="TableText"/>
              <w:adjustRightInd w:val="0"/>
              <w:snapToGrid w:val="0"/>
              <w:jc w:val="center"/>
              <w:rPr>
                <w:rFonts w:ascii="Times New Roman" w:hAnsi="Times New Roman" w:cs="Times New Roman"/>
                <w:spacing w:val="8"/>
                <w:lang w:eastAsia="zh-CN"/>
              </w:rPr>
            </w:pPr>
            <w:r>
              <w:rPr>
                <w:rFonts w:ascii="Times New Roman" w:hAnsi="Times New Roman" w:cs="Times New Roman"/>
                <w:spacing w:val="8"/>
                <w:lang w:eastAsia="zh-CN"/>
              </w:rPr>
              <w:t>pH</w:t>
            </w:r>
            <w:r>
              <w:rPr>
                <w:rFonts w:ascii="Times New Roman" w:hAnsi="Times New Roman" w:cs="Times New Roman"/>
                <w:spacing w:val="8"/>
                <w:lang w:eastAsia="zh-CN"/>
              </w:rPr>
              <w:t>、溶解性总固体、总硬度、高锰酸盐指数、粪大肠菌群、总汞、总镉、六价铬、总砷、总铅、总铜、总锌、总锰、总铁、氨氮、亚硝酸盐、硝酸盐、氰化物、氯化物、硫酸盐、挥发酚、氟化物</w:t>
            </w:r>
          </w:p>
        </w:tc>
        <w:tc>
          <w:tcPr>
            <w:tcW w:w="764" w:type="pct"/>
            <w:vAlign w:val="center"/>
          </w:tcPr>
          <w:p w14:paraId="43FB0BB3" w14:textId="77777777" w:rsidR="00516524" w:rsidRDefault="00516524">
            <w:pPr>
              <w:pStyle w:val="TableText"/>
              <w:adjustRightInd w:val="0"/>
              <w:snapToGrid w:val="0"/>
              <w:jc w:val="center"/>
              <w:rPr>
                <w:rFonts w:ascii="Times New Roman" w:hAnsi="Times New Roman" w:cs="Times New Roman"/>
                <w:spacing w:val="8"/>
                <w:lang w:eastAsia="zh-CN"/>
              </w:rPr>
            </w:pPr>
            <w:r>
              <w:rPr>
                <w:rFonts w:ascii="Times New Roman" w:hAnsi="Times New Roman" w:cs="Times New Roman"/>
                <w:spacing w:val="8"/>
                <w:lang w:eastAsia="zh-CN"/>
              </w:rPr>
              <w:t>1</w:t>
            </w:r>
            <w:r>
              <w:rPr>
                <w:rFonts w:ascii="Times New Roman" w:hAnsi="Times New Roman" w:cs="Times New Roman"/>
                <w:spacing w:val="8"/>
                <w:lang w:eastAsia="zh-CN"/>
              </w:rPr>
              <w:t>次</w:t>
            </w:r>
            <w:r>
              <w:rPr>
                <w:rFonts w:ascii="Times New Roman" w:hAnsi="Times New Roman" w:cs="Times New Roman"/>
                <w:spacing w:val="8"/>
                <w:lang w:eastAsia="zh-CN"/>
              </w:rPr>
              <w:t>/</w:t>
            </w:r>
            <w:r>
              <w:rPr>
                <w:rFonts w:ascii="Times New Roman" w:hAnsi="Times New Roman" w:cs="Times New Roman"/>
                <w:spacing w:val="8"/>
                <w:lang w:eastAsia="zh-CN"/>
              </w:rPr>
              <w:t>月</w:t>
            </w:r>
          </w:p>
        </w:tc>
        <w:tc>
          <w:tcPr>
            <w:tcW w:w="1435" w:type="pct"/>
            <w:vMerge w:val="restart"/>
            <w:vAlign w:val="center"/>
          </w:tcPr>
          <w:p w14:paraId="173ABAEC" w14:textId="635BFC00" w:rsidR="00516524" w:rsidRDefault="001E6EF7">
            <w:pPr>
              <w:pStyle w:val="TableText"/>
              <w:adjustRightInd w:val="0"/>
              <w:snapToGrid w:val="0"/>
              <w:jc w:val="center"/>
              <w:rPr>
                <w:rFonts w:ascii="Times New Roman" w:hAnsi="Times New Roman" w:cs="Times New Roman"/>
                <w:spacing w:val="8"/>
                <w:lang w:eastAsia="zh-CN"/>
              </w:rPr>
            </w:pPr>
            <w:r w:rsidRPr="001E6EF7">
              <w:rPr>
                <w:rFonts w:ascii="Times New Roman" w:hAnsi="Times New Roman" w:cs="Times New Roman"/>
                <w:spacing w:val="8"/>
                <w:lang w:eastAsia="zh-CN"/>
              </w:rPr>
              <w:t>《地下水质量标准》（</w:t>
            </w:r>
            <w:r w:rsidRPr="001E6EF7">
              <w:rPr>
                <w:rFonts w:ascii="Times New Roman" w:hAnsi="Times New Roman" w:cs="Times New Roman"/>
                <w:spacing w:val="8"/>
                <w:lang w:eastAsia="zh-CN"/>
              </w:rPr>
              <w:t>GB/T14848-2017</w:t>
            </w:r>
            <w:r w:rsidRPr="001E6EF7">
              <w:rPr>
                <w:rFonts w:ascii="Times New Roman" w:hAnsi="Times New Roman" w:cs="Times New Roman"/>
                <w:spacing w:val="8"/>
                <w:lang w:eastAsia="zh-CN"/>
              </w:rPr>
              <w:t>）中</w:t>
            </w:r>
            <w:r w:rsidRPr="001E6EF7">
              <w:rPr>
                <w:rFonts w:ascii="Times New Roman" w:hAnsi="Times New Roman" w:cs="Times New Roman"/>
                <w:spacing w:val="8"/>
                <w:lang w:eastAsia="zh-CN"/>
              </w:rPr>
              <w:t>Ⅲ</w:t>
            </w:r>
            <w:r w:rsidRPr="001E6EF7">
              <w:rPr>
                <w:rFonts w:ascii="Times New Roman" w:hAnsi="Times New Roman" w:cs="Times New Roman"/>
                <w:spacing w:val="8"/>
                <w:lang w:eastAsia="zh-CN"/>
              </w:rPr>
              <w:t>类标准</w:t>
            </w:r>
          </w:p>
        </w:tc>
      </w:tr>
      <w:tr w:rsidR="00516524" w14:paraId="11904ECB" w14:textId="43219E1D" w:rsidTr="001E6EF7">
        <w:trPr>
          <w:trHeight w:val="977"/>
          <w:jc w:val="center"/>
        </w:trPr>
        <w:tc>
          <w:tcPr>
            <w:tcW w:w="290" w:type="pct"/>
            <w:vAlign w:val="center"/>
          </w:tcPr>
          <w:p w14:paraId="45DEF1E7" w14:textId="77777777" w:rsidR="00516524" w:rsidRDefault="00516524">
            <w:pPr>
              <w:pStyle w:val="TableText"/>
              <w:adjustRightInd w:val="0"/>
              <w:snapToGrid w:val="0"/>
              <w:jc w:val="center"/>
              <w:rPr>
                <w:rFonts w:ascii="Times New Roman" w:hAnsi="Times New Roman" w:cs="Times New Roman"/>
                <w:spacing w:val="8"/>
                <w:lang w:eastAsia="zh-CN"/>
              </w:rPr>
            </w:pPr>
            <w:r>
              <w:rPr>
                <w:rFonts w:ascii="Times New Roman" w:hAnsi="Times New Roman" w:cs="Times New Roman"/>
                <w:spacing w:val="8"/>
                <w:lang w:eastAsia="zh-CN"/>
              </w:rPr>
              <w:t>6</w:t>
            </w:r>
          </w:p>
        </w:tc>
        <w:tc>
          <w:tcPr>
            <w:tcW w:w="349" w:type="pct"/>
            <w:vMerge/>
            <w:vAlign w:val="center"/>
          </w:tcPr>
          <w:p w14:paraId="14F2FA58" w14:textId="77777777" w:rsidR="00516524" w:rsidRDefault="00516524">
            <w:pPr>
              <w:pStyle w:val="TableText"/>
              <w:adjustRightInd w:val="0"/>
              <w:snapToGrid w:val="0"/>
              <w:jc w:val="center"/>
              <w:rPr>
                <w:rFonts w:ascii="Times New Roman" w:hAnsi="Times New Roman" w:cs="Times New Roman"/>
                <w:spacing w:val="8"/>
              </w:rPr>
            </w:pPr>
          </w:p>
        </w:tc>
        <w:tc>
          <w:tcPr>
            <w:tcW w:w="722" w:type="pct"/>
            <w:vAlign w:val="center"/>
          </w:tcPr>
          <w:p w14:paraId="487ACA20" w14:textId="5B00511B" w:rsidR="00516524" w:rsidRPr="008C25AD" w:rsidRDefault="00516524">
            <w:pPr>
              <w:pStyle w:val="TableText"/>
              <w:adjustRightInd w:val="0"/>
              <w:snapToGrid w:val="0"/>
              <w:jc w:val="center"/>
              <w:rPr>
                <w:rFonts w:ascii="Times New Roman" w:hAnsi="Times New Roman" w:cs="Times New Roman"/>
                <w:spacing w:val="8"/>
                <w:lang w:eastAsia="zh-CN"/>
              </w:rPr>
            </w:pPr>
            <w:r w:rsidRPr="008C25AD">
              <w:rPr>
                <w:rFonts w:ascii="Times New Roman" w:hAnsi="Times New Roman" w:cs="Times New Roman"/>
                <w:spacing w:val="8"/>
                <w:lang w:eastAsia="zh-CN"/>
              </w:rPr>
              <w:t>污染物扩散井</w:t>
            </w:r>
            <w:r w:rsidRPr="008C25AD">
              <w:rPr>
                <w:rFonts w:ascii="Times New Roman" w:hAnsi="Times New Roman" w:cs="Times New Roman" w:hint="eastAsia"/>
                <w:spacing w:val="8"/>
                <w:lang w:eastAsia="zh-CN"/>
              </w:rPr>
              <w:t>（</w:t>
            </w:r>
            <w:r w:rsidRPr="001F4DFC">
              <w:rPr>
                <w:rFonts w:ascii="Times New Roman" w:hAnsi="Times New Roman" w:cs="Times New Roman"/>
                <w:spacing w:val="8"/>
                <w:lang w:eastAsia="zh-CN"/>
              </w:rPr>
              <w:t>124.982163 46.431611</w:t>
            </w:r>
            <w:r w:rsidRPr="008C25AD">
              <w:rPr>
                <w:rFonts w:ascii="Times New Roman" w:hAnsi="Times New Roman" w:cs="Times New Roman" w:hint="eastAsia"/>
                <w:spacing w:val="8"/>
                <w:lang w:eastAsia="zh-CN"/>
              </w:rPr>
              <w:t>）</w:t>
            </w:r>
          </w:p>
        </w:tc>
        <w:tc>
          <w:tcPr>
            <w:tcW w:w="1440" w:type="pct"/>
            <w:vMerge/>
            <w:vAlign w:val="center"/>
          </w:tcPr>
          <w:p w14:paraId="29A90465" w14:textId="77777777" w:rsidR="00516524" w:rsidRDefault="00516524">
            <w:pPr>
              <w:pStyle w:val="TableText"/>
              <w:adjustRightInd w:val="0"/>
              <w:snapToGrid w:val="0"/>
              <w:jc w:val="center"/>
              <w:rPr>
                <w:rFonts w:ascii="Times New Roman" w:hAnsi="Times New Roman" w:cs="Times New Roman"/>
                <w:spacing w:val="8"/>
                <w:lang w:eastAsia="zh-CN"/>
              </w:rPr>
            </w:pPr>
          </w:p>
        </w:tc>
        <w:tc>
          <w:tcPr>
            <w:tcW w:w="764" w:type="pct"/>
            <w:vAlign w:val="center"/>
          </w:tcPr>
          <w:p w14:paraId="541A5734" w14:textId="71804AC8" w:rsidR="00516524" w:rsidRDefault="00516524">
            <w:pPr>
              <w:pStyle w:val="TableText"/>
              <w:adjustRightInd w:val="0"/>
              <w:snapToGrid w:val="0"/>
              <w:jc w:val="center"/>
              <w:rPr>
                <w:rFonts w:ascii="Times New Roman" w:hAnsi="Times New Roman" w:cs="Times New Roman"/>
                <w:spacing w:val="8"/>
                <w:lang w:eastAsia="zh-CN"/>
              </w:rPr>
            </w:pPr>
            <w:r>
              <w:rPr>
                <w:rFonts w:ascii="Times New Roman" w:hAnsi="Times New Roman" w:cs="Times New Roman"/>
                <w:spacing w:val="8"/>
                <w:lang w:eastAsia="zh-CN"/>
              </w:rPr>
              <w:t>1</w:t>
            </w:r>
            <w:r>
              <w:rPr>
                <w:rFonts w:ascii="Times New Roman" w:hAnsi="Times New Roman" w:cs="Times New Roman"/>
                <w:spacing w:val="8"/>
                <w:lang w:eastAsia="zh-CN"/>
              </w:rPr>
              <w:t>次</w:t>
            </w:r>
            <w:r>
              <w:rPr>
                <w:rFonts w:ascii="Times New Roman" w:hAnsi="Times New Roman" w:cs="Times New Roman"/>
                <w:spacing w:val="8"/>
                <w:lang w:eastAsia="zh-CN"/>
              </w:rPr>
              <w:t>/</w:t>
            </w:r>
            <w:r>
              <w:rPr>
                <w:rFonts w:ascii="Times New Roman" w:hAnsi="Times New Roman" w:cs="Times New Roman"/>
                <w:spacing w:val="8"/>
                <w:lang w:eastAsia="zh-CN"/>
              </w:rPr>
              <w:t>周</w:t>
            </w:r>
          </w:p>
        </w:tc>
        <w:tc>
          <w:tcPr>
            <w:tcW w:w="1435" w:type="pct"/>
            <w:vMerge/>
            <w:vAlign w:val="center"/>
          </w:tcPr>
          <w:p w14:paraId="7BBBA914" w14:textId="77777777" w:rsidR="00516524" w:rsidRDefault="00516524">
            <w:pPr>
              <w:pStyle w:val="TableText"/>
              <w:adjustRightInd w:val="0"/>
              <w:snapToGrid w:val="0"/>
              <w:jc w:val="center"/>
              <w:rPr>
                <w:rFonts w:ascii="Times New Roman" w:hAnsi="Times New Roman" w:cs="Times New Roman"/>
                <w:spacing w:val="8"/>
                <w:lang w:eastAsia="zh-CN"/>
              </w:rPr>
            </w:pPr>
          </w:p>
        </w:tc>
      </w:tr>
      <w:tr w:rsidR="00516524" w14:paraId="5A23108D" w14:textId="69526FB4" w:rsidTr="001E6EF7">
        <w:trPr>
          <w:trHeight w:val="57"/>
          <w:jc w:val="center"/>
        </w:trPr>
        <w:tc>
          <w:tcPr>
            <w:tcW w:w="290" w:type="pct"/>
            <w:vAlign w:val="center"/>
          </w:tcPr>
          <w:p w14:paraId="682B809C" w14:textId="77777777" w:rsidR="00516524" w:rsidRDefault="00516524">
            <w:pPr>
              <w:pStyle w:val="TableText"/>
              <w:adjustRightInd w:val="0"/>
              <w:snapToGrid w:val="0"/>
              <w:jc w:val="center"/>
              <w:rPr>
                <w:rFonts w:ascii="Times New Roman" w:hAnsi="Times New Roman" w:cs="Times New Roman"/>
                <w:spacing w:val="8"/>
                <w:lang w:eastAsia="zh-CN"/>
              </w:rPr>
            </w:pPr>
            <w:r>
              <w:rPr>
                <w:rFonts w:ascii="Times New Roman" w:hAnsi="Times New Roman" w:cs="Times New Roman"/>
                <w:spacing w:val="8"/>
                <w:lang w:eastAsia="zh-CN"/>
              </w:rPr>
              <w:t>7</w:t>
            </w:r>
          </w:p>
        </w:tc>
        <w:tc>
          <w:tcPr>
            <w:tcW w:w="349" w:type="pct"/>
            <w:vMerge/>
            <w:vAlign w:val="center"/>
          </w:tcPr>
          <w:p w14:paraId="67F1C9B8" w14:textId="77777777" w:rsidR="00516524" w:rsidRDefault="00516524">
            <w:pPr>
              <w:pStyle w:val="TableText"/>
              <w:adjustRightInd w:val="0"/>
              <w:snapToGrid w:val="0"/>
              <w:jc w:val="center"/>
              <w:rPr>
                <w:rFonts w:ascii="Times New Roman" w:hAnsi="Times New Roman" w:cs="Times New Roman"/>
                <w:spacing w:val="8"/>
              </w:rPr>
            </w:pPr>
          </w:p>
        </w:tc>
        <w:tc>
          <w:tcPr>
            <w:tcW w:w="722" w:type="pct"/>
            <w:vAlign w:val="center"/>
          </w:tcPr>
          <w:p w14:paraId="41D48B02" w14:textId="3412E9D8" w:rsidR="00516524" w:rsidRPr="008C25AD" w:rsidRDefault="00516524">
            <w:pPr>
              <w:pStyle w:val="TableText"/>
              <w:adjustRightInd w:val="0"/>
              <w:snapToGrid w:val="0"/>
              <w:jc w:val="center"/>
              <w:rPr>
                <w:rFonts w:ascii="Times New Roman" w:hAnsi="Times New Roman" w:cs="Times New Roman"/>
                <w:spacing w:val="8"/>
                <w:lang w:eastAsia="zh-CN"/>
              </w:rPr>
            </w:pPr>
            <w:r w:rsidRPr="008C25AD">
              <w:rPr>
                <w:rFonts w:ascii="Times New Roman" w:hAnsi="Times New Roman" w:cs="Times New Roman"/>
                <w:spacing w:val="8"/>
                <w:lang w:eastAsia="zh-CN"/>
              </w:rPr>
              <w:t>地下水监测井（</w:t>
            </w:r>
            <w:r w:rsidRPr="001F4DFC">
              <w:rPr>
                <w:rFonts w:ascii="Times New Roman" w:hAnsi="Times New Roman" w:cs="Times New Roman"/>
                <w:spacing w:val="8"/>
                <w:lang w:eastAsia="zh-CN"/>
              </w:rPr>
              <w:t>124.981561 46.431606</w:t>
            </w:r>
            <w:r w:rsidRPr="008C25AD">
              <w:rPr>
                <w:rFonts w:ascii="Times New Roman" w:hAnsi="Times New Roman" w:cs="Times New Roman"/>
                <w:spacing w:val="8"/>
                <w:lang w:eastAsia="zh-CN"/>
              </w:rPr>
              <w:t>）</w:t>
            </w:r>
          </w:p>
        </w:tc>
        <w:tc>
          <w:tcPr>
            <w:tcW w:w="1440" w:type="pct"/>
            <w:vMerge/>
            <w:vAlign w:val="center"/>
          </w:tcPr>
          <w:p w14:paraId="11E5AC89" w14:textId="77777777" w:rsidR="00516524" w:rsidRDefault="00516524">
            <w:pPr>
              <w:pStyle w:val="TableText"/>
              <w:adjustRightInd w:val="0"/>
              <w:snapToGrid w:val="0"/>
              <w:jc w:val="center"/>
              <w:rPr>
                <w:rFonts w:ascii="Times New Roman" w:hAnsi="Times New Roman" w:cs="Times New Roman"/>
                <w:spacing w:val="8"/>
                <w:lang w:eastAsia="zh-CN"/>
              </w:rPr>
            </w:pPr>
          </w:p>
        </w:tc>
        <w:tc>
          <w:tcPr>
            <w:tcW w:w="764" w:type="pct"/>
            <w:vAlign w:val="center"/>
          </w:tcPr>
          <w:p w14:paraId="3318D152" w14:textId="77777777" w:rsidR="00516524" w:rsidRDefault="00516524">
            <w:pPr>
              <w:pStyle w:val="TableText"/>
              <w:adjustRightInd w:val="0"/>
              <w:snapToGrid w:val="0"/>
              <w:jc w:val="center"/>
              <w:rPr>
                <w:rFonts w:ascii="Times New Roman" w:hAnsi="Times New Roman" w:cs="Times New Roman"/>
                <w:spacing w:val="8"/>
                <w:lang w:eastAsia="zh-CN"/>
              </w:rPr>
            </w:pPr>
            <w:r>
              <w:rPr>
                <w:rFonts w:ascii="Times New Roman" w:hAnsi="Times New Roman" w:cs="Times New Roman"/>
                <w:spacing w:val="8"/>
                <w:lang w:eastAsia="zh-CN"/>
              </w:rPr>
              <w:t>1</w:t>
            </w:r>
            <w:r>
              <w:rPr>
                <w:rFonts w:ascii="Times New Roman" w:hAnsi="Times New Roman" w:cs="Times New Roman"/>
                <w:spacing w:val="8"/>
                <w:lang w:eastAsia="zh-CN"/>
              </w:rPr>
              <w:t>次</w:t>
            </w:r>
            <w:r>
              <w:rPr>
                <w:rFonts w:ascii="Times New Roman" w:hAnsi="Times New Roman" w:cs="Times New Roman"/>
                <w:spacing w:val="8"/>
                <w:lang w:eastAsia="zh-CN"/>
              </w:rPr>
              <w:t>/</w:t>
            </w:r>
            <w:r>
              <w:rPr>
                <w:rFonts w:ascii="Times New Roman" w:hAnsi="Times New Roman" w:cs="Times New Roman"/>
                <w:spacing w:val="8"/>
                <w:lang w:eastAsia="zh-CN"/>
              </w:rPr>
              <w:t>周</w:t>
            </w:r>
          </w:p>
        </w:tc>
        <w:tc>
          <w:tcPr>
            <w:tcW w:w="1435" w:type="pct"/>
            <w:vMerge/>
            <w:vAlign w:val="center"/>
          </w:tcPr>
          <w:p w14:paraId="1A944DF2" w14:textId="77777777" w:rsidR="00516524" w:rsidRDefault="00516524">
            <w:pPr>
              <w:pStyle w:val="TableText"/>
              <w:adjustRightInd w:val="0"/>
              <w:snapToGrid w:val="0"/>
              <w:jc w:val="center"/>
              <w:rPr>
                <w:rFonts w:ascii="Times New Roman" w:hAnsi="Times New Roman" w:cs="Times New Roman"/>
                <w:spacing w:val="8"/>
                <w:lang w:eastAsia="zh-CN"/>
              </w:rPr>
            </w:pPr>
          </w:p>
        </w:tc>
      </w:tr>
      <w:bookmarkEnd w:id="374"/>
      <w:tr w:rsidR="003334AB" w14:paraId="6B52B7D0" w14:textId="467EF290" w:rsidTr="001E6EF7">
        <w:trPr>
          <w:trHeight w:val="57"/>
          <w:jc w:val="center"/>
        </w:trPr>
        <w:tc>
          <w:tcPr>
            <w:tcW w:w="290" w:type="pct"/>
            <w:vAlign w:val="center"/>
          </w:tcPr>
          <w:p w14:paraId="0E3EE24B" w14:textId="77777777" w:rsidR="003334AB" w:rsidRDefault="003334AB">
            <w:pPr>
              <w:pStyle w:val="TableText"/>
              <w:adjustRightInd w:val="0"/>
              <w:snapToGrid w:val="0"/>
              <w:jc w:val="center"/>
              <w:rPr>
                <w:rFonts w:ascii="Times New Roman" w:hAnsi="Times New Roman" w:cs="Times New Roman"/>
                <w:spacing w:val="8"/>
                <w:lang w:eastAsia="zh-CN"/>
              </w:rPr>
            </w:pPr>
            <w:r>
              <w:rPr>
                <w:rFonts w:ascii="Times New Roman" w:hAnsi="Times New Roman" w:cs="Times New Roman"/>
                <w:spacing w:val="8"/>
                <w:lang w:eastAsia="zh-CN"/>
              </w:rPr>
              <w:t>8</w:t>
            </w:r>
          </w:p>
        </w:tc>
        <w:tc>
          <w:tcPr>
            <w:tcW w:w="349" w:type="pct"/>
            <w:vAlign w:val="center"/>
          </w:tcPr>
          <w:p w14:paraId="1D7C0E65" w14:textId="4D932BB4" w:rsidR="003334AB" w:rsidRDefault="003334AB">
            <w:pPr>
              <w:pStyle w:val="TableText"/>
              <w:adjustRightInd w:val="0"/>
              <w:snapToGrid w:val="0"/>
              <w:jc w:val="center"/>
              <w:rPr>
                <w:rFonts w:ascii="Times New Roman" w:hAnsi="Times New Roman" w:cs="Times New Roman"/>
                <w:spacing w:val="8"/>
                <w:lang w:eastAsia="zh-CN"/>
              </w:rPr>
            </w:pPr>
            <w:r>
              <w:rPr>
                <w:rFonts w:ascii="Times New Roman" w:hAnsi="Times New Roman" w:cs="Times New Roman"/>
                <w:spacing w:val="8"/>
              </w:rPr>
              <w:t>土壤</w:t>
            </w:r>
          </w:p>
        </w:tc>
        <w:tc>
          <w:tcPr>
            <w:tcW w:w="722" w:type="pct"/>
            <w:vAlign w:val="center"/>
          </w:tcPr>
          <w:p w14:paraId="3B41068B" w14:textId="01E0CC4F" w:rsidR="003334AB" w:rsidRDefault="003334AB">
            <w:pPr>
              <w:pStyle w:val="TableText"/>
              <w:adjustRightInd w:val="0"/>
              <w:snapToGrid w:val="0"/>
              <w:jc w:val="center"/>
              <w:rPr>
                <w:rFonts w:ascii="Times New Roman" w:hAnsi="Times New Roman" w:cs="Times New Roman"/>
                <w:spacing w:val="8"/>
                <w:lang w:eastAsia="zh-CN"/>
              </w:rPr>
            </w:pPr>
            <w:r w:rsidRPr="00C70558">
              <w:rPr>
                <w:rFonts w:ascii="Times New Roman" w:hAnsi="Times New Roman" w:cs="Times New Roman" w:hint="eastAsia"/>
                <w:spacing w:val="8"/>
                <w:lang w:eastAsia="zh-CN"/>
              </w:rPr>
              <w:t>厂区内填埋区</w:t>
            </w:r>
            <w:r w:rsidRPr="00C70558">
              <w:rPr>
                <w:rFonts w:ascii="Times New Roman" w:hAnsi="Times New Roman" w:cs="Times New Roman"/>
                <w:spacing w:val="8"/>
                <w:lang w:eastAsia="zh-CN"/>
              </w:rPr>
              <w:t>南侧</w:t>
            </w:r>
            <w:r w:rsidRPr="00C70558">
              <w:rPr>
                <w:rFonts w:ascii="Times New Roman" w:hAnsi="Times New Roman" w:cs="Times New Roman" w:hint="eastAsia"/>
                <w:spacing w:val="8"/>
                <w:lang w:eastAsia="zh-CN"/>
              </w:rPr>
              <w:t>（</w:t>
            </w:r>
            <w:r w:rsidRPr="00C70558">
              <w:rPr>
                <w:rFonts w:ascii="Times New Roman" w:hAnsi="Times New Roman" w:cs="Times New Roman"/>
                <w:spacing w:val="8"/>
                <w:lang w:eastAsia="zh-CN"/>
              </w:rPr>
              <w:t>124.981758 46.431589</w:t>
            </w:r>
            <w:r w:rsidRPr="00C70558">
              <w:rPr>
                <w:rFonts w:ascii="Times New Roman" w:hAnsi="Times New Roman" w:cs="Times New Roman" w:hint="eastAsia"/>
                <w:spacing w:val="8"/>
                <w:lang w:eastAsia="zh-CN"/>
              </w:rPr>
              <w:t>）</w:t>
            </w:r>
          </w:p>
        </w:tc>
        <w:tc>
          <w:tcPr>
            <w:tcW w:w="1440" w:type="pct"/>
            <w:vAlign w:val="center"/>
          </w:tcPr>
          <w:p w14:paraId="48A4D1C5" w14:textId="4FF34DB1" w:rsidR="003334AB" w:rsidRDefault="001E6EF7" w:rsidP="001E6EF7">
            <w:pPr>
              <w:pStyle w:val="TableText"/>
              <w:adjustRightInd w:val="0"/>
              <w:snapToGrid w:val="0"/>
              <w:rPr>
                <w:rFonts w:ascii="Times New Roman" w:hAnsi="Times New Roman" w:cs="Times New Roman"/>
                <w:spacing w:val="8"/>
                <w:lang w:eastAsia="zh-CN"/>
              </w:rPr>
            </w:pPr>
            <w:r w:rsidRPr="001E6EF7">
              <w:rPr>
                <w:rFonts w:ascii="Times New Roman" w:hAnsi="Times New Roman" w:cs="Times New Roman"/>
                <w:spacing w:val="8"/>
                <w:lang w:eastAsia="zh-CN"/>
              </w:rPr>
              <w:t>pH</w:t>
            </w:r>
            <w:r w:rsidRPr="001E6EF7">
              <w:rPr>
                <w:rFonts w:ascii="Times New Roman" w:hAnsi="Times New Roman" w:cs="Times New Roman"/>
                <w:spacing w:val="8"/>
                <w:lang w:eastAsia="zh-CN"/>
              </w:rPr>
              <w:t>、石油烃（</w:t>
            </w:r>
            <w:r w:rsidRPr="001E6EF7">
              <w:rPr>
                <w:rFonts w:ascii="Times New Roman" w:hAnsi="Times New Roman" w:cs="Times New Roman"/>
                <w:spacing w:val="8"/>
                <w:lang w:eastAsia="zh-CN"/>
              </w:rPr>
              <w:t>C</w:t>
            </w:r>
            <w:r w:rsidRPr="001E6EF7">
              <w:rPr>
                <w:rFonts w:ascii="Times New Roman" w:hAnsi="Times New Roman" w:cs="Times New Roman"/>
                <w:spacing w:val="8"/>
                <w:vertAlign w:val="subscript"/>
                <w:lang w:eastAsia="zh-CN"/>
              </w:rPr>
              <w:t>10</w:t>
            </w:r>
            <w:r w:rsidRPr="001E6EF7">
              <w:rPr>
                <w:rFonts w:ascii="Times New Roman" w:hAnsi="Times New Roman" w:cs="Times New Roman"/>
                <w:spacing w:val="8"/>
                <w:lang w:eastAsia="zh-CN"/>
              </w:rPr>
              <w:t>-C</w:t>
            </w:r>
            <w:r w:rsidRPr="001E6EF7">
              <w:rPr>
                <w:rFonts w:ascii="Times New Roman" w:hAnsi="Times New Roman" w:cs="Times New Roman"/>
                <w:spacing w:val="8"/>
                <w:vertAlign w:val="subscript"/>
                <w:lang w:eastAsia="zh-CN"/>
              </w:rPr>
              <w:t>40</w:t>
            </w:r>
            <w:r w:rsidRPr="001E6EF7">
              <w:rPr>
                <w:rFonts w:ascii="Times New Roman" w:hAnsi="Times New Roman" w:cs="Times New Roman"/>
                <w:spacing w:val="8"/>
                <w:lang w:eastAsia="zh-CN"/>
              </w:rPr>
              <w:t>）、砷、镉、铬（六价）、铜、铅、汞、镍、四氯化碳、氯仿、氯甲烷、</w:t>
            </w:r>
            <w:r w:rsidRPr="001E6EF7">
              <w:rPr>
                <w:rFonts w:ascii="Times New Roman" w:hAnsi="Times New Roman" w:cs="Times New Roman"/>
                <w:spacing w:val="8"/>
                <w:lang w:eastAsia="zh-CN"/>
              </w:rPr>
              <w:t>1,1-</w:t>
            </w:r>
            <w:r w:rsidRPr="001E6EF7">
              <w:rPr>
                <w:rFonts w:ascii="Times New Roman" w:hAnsi="Times New Roman" w:cs="Times New Roman"/>
                <w:spacing w:val="8"/>
                <w:lang w:eastAsia="zh-CN"/>
              </w:rPr>
              <w:t>二氯乙烷、</w:t>
            </w:r>
            <w:r w:rsidRPr="001E6EF7">
              <w:rPr>
                <w:rFonts w:ascii="Times New Roman" w:hAnsi="Times New Roman" w:cs="Times New Roman"/>
                <w:spacing w:val="8"/>
                <w:lang w:eastAsia="zh-CN"/>
              </w:rPr>
              <w:t>1,2-</w:t>
            </w:r>
            <w:r w:rsidRPr="001E6EF7">
              <w:rPr>
                <w:rFonts w:ascii="Times New Roman" w:hAnsi="Times New Roman" w:cs="Times New Roman"/>
                <w:spacing w:val="8"/>
                <w:lang w:eastAsia="zh-CN"/>
              </w:rPr>
              <w:t>二氯乙烷、</w:t>
            </w:r>
            <w:r w:rsidRPr="001E6EF7">
              <w:rPr>
                <w:rFonts w:ascii="Times New Roman" w:hAnsi="Times New Roman" w:cs="Times New Roman"/>
                <w:spacing w:val="8"/>
                <w:lang w:eastAsia="zh-CN"/>
              </w:rPr>
              <w:t>1,1-</w:t>
            </w:r>
            <w:r w:rsidRPr="001E6EF7">
              <w:rPr>
                <w:rFonts w:ascii="Times New Roman" w:hAnsi="Times New Roman" w:cs="Times New Roman"/>
                <w:spacing w:val="8"/>
                <w:lang w:eastAsia="zh-CN"/>
              </w:rPr>
              <w:t>二氯乙烯、顺</w:t>
            </w:r>
            <w:r w:rsidRPr="001E6EF7">
              <w:rPr>
                <w:rFonts w:ascii="Times New Roman" w:hAnsi="Times New Roman" w:cs="Times New Roman"/>
                <w:spacing w:val="8"/>
                <w:lang w:eastAsia="zh-CN"/>
              </w:rPr>
              <w:t>-1,2-</w:t>
            </w:r>
            <w:r w:rsidRPr="001E6EF7">
              <w:rPr>
                <w:rFonts w:ascii="Times New Roman" w:hAnsi="Times New Roman" w:cs="Times New Roman"/>
                <w:spacing w:val="8"/>
                <w:lang w:eastAsia="zh-CN"/>
              </w:rPr>
              <w:t>二氯乙烯、反</w:t>
            </w:r>
            <w:r w:rsidRPr="001E6EF7">
              <w:rPr>
                <w:rFonts w:ascii="Times New Roman" w:hAnsi="Times New Roman" w:cs="Times New Roman"/>
                <w:spacing w:val="8"/>
                <w:lang w:eastAsia="zh-CN"/>
              </w:rPr>
              <w:t>-1,2-</w:t>
            </w:r>
            <w:r w:rsidRPr="001E6EF7">
              <w:rPr>
                <w:rFonts w:ascii="Times New Roman" w:hAnsi="Times New Roman" w:cs="Times New Roman"/>
                <w:spacing w:val="8"/>
                <w:lang w:eastAsia="zh-CN"/>
              </w:rPr>
              <w:t>二氯乙烯、二氯甲烷、</w:t>
            </w:r>
            <w:r w:rsidRPr="001E6EF7">
              <w:rPr>
                <w:rFonts w:ascii="Times New Roman" w:hAnsi="Times New Roman" w:cs="Times New Roman"/>
                <w:spacing w:val="8"/>
                <w:lang w:eastAsia="zh-CN"/>
              </w:rPr>
              <w:t>1,2-</w:t>
            </w:r>
            <w:r w:rsidRPr="001E6EF7">
              <w:rPr>
                <w:rFonts w:ascii="Times New Roman" w:hAnsi="Times New Roman" w:cs="Times New Roman"/>
                <w:spacing w:val="8"/>
                <w:lang w:eastAsia="zh-CN"/>
              </w:rPr>
              <w:t>二氯丙烷、</w:t>
            </w:r>
            <w:r w:rsidRPr="001E6EF7">
              <w:rPr>
                <w:rFonts w:ascii="Times New Roman" w:hAnsi="Times New Roman" w:cs="Times New Roman"/>
                <w:spacing w:val="8"/>
                <w:lang w:eastAsia="zh-CN"/>
              </w:rPr>
              <w:t>1,1,1,2-</w:t>
            </w:r>
            <w:r w:rsidRPr="001E6EF7">
              <w:rPr>
                <w:rFonts w:ascii="Times New Roman" w:hAnsi="Times New Roman" w:cs="Times New Roman"/>
                <w:spacing w:val="8"/>
                <w:lang w:eastAsia="zh-CN"/>
              </w:rPr>
              <w:t>四氯乙烷、</w:t>
            </w:r>
            <w:r w:rsidRPr="001E6EF7">
              <w:rPr>
                <w:rFonts w:ascii="Times New Roman" w:hAnsi="Times New Roman" w:cs="Times New Roman"/>
                <w:spacing w:val="8"/>
                <w:lang w:eastAsia="zh-CN"/>
              </w:rPr>
              <w:t>1,1,2,2-</w:t>
            </w:r>
            <w:r w:rsidRPr="001E6EF7">
              <w:rPr>
                <w:rFonts w:ascii="Times New Roman" w:hAnsi="Times New Roman" w:cs="Times New Roman"/>
                <w:spacing w:val="8"/>
                <w:lang w:eastAsia="zh-CN"/>
              </w:rPr>
              <w:t>四氯乙烷、四氯乙烯、</w:t>
            </w:r>
            <w:r w:rsidRPr="001E6EF7">
              <w:rPr>
                <w:rFonts w:ascii="Times New Roman" w:hAnsi="Times New Roman" w:cs="Times New Roman"/>
                <w:spacing w:val="8"/>
                <w:lang w:eastAsia="zh-CN"/>
              </w:rPr>
              <w:t>1,1,1-</w:t>
            </w:r>
            <w:r w:rsidRPr="001E6EF7">
              <w:rPr>
                <w:rFonts w:ascii="Times New Roman" w:hAnsi="Times New Roman" w:cs="Times New Roman"/>
                <w:spacing w:val="8"/>
                <w:lang w:eastAsia="zh-CN"/>
              </w:rPr>
              <w:t>三氯乙烷、</w:t>
            </w:r>
            <w:r w:rsidRPr="001E6EF7">
              <w:rPr>
                <w:rFonts w:ascii="Times New Roman" w:hAnsi="Times New Roman" w:cs="Times New Roman"/>
                <w:spacing w:val="8"/>
                <w:lang w:eastAsia="zh-CN"/>
              </w:rPr>
              <w:t>1,1,2-</w:t>
            </w:r>
            <w:r w:rsidRPr="001E6EF7">
              <w:rPr>
                <w:rFonts w:ascii="Times New Roman" w:hAnsi="Times New Roman" w:cs="Times New Roman"/>
                <w:spacing w:val="8"/>
                <w:lang w:eastAsia="zh-CN"/>
              </w:rPr>
              <w:t>三氯乙烷、三氯乙烯、</w:t>
            </w:r>
            <w:r w:rsidRPr="001E6EF7">
              <w:rPr>
                <w:rFonts w:ascii="Times New Roman" w:hAnsi="Times New Roman" w:cs="Times New Roman"/>
                <w:spacing w:val="8"/>
                <w:lang w:eastAsia="zh-CN"/>
              </w:rPr>
              <w:t>1,2,3-</w:t>
            </w:r>
            <w:r w:rsidRPr="001E6EF7">
              <w:rPr>
                <w:rFonts w:ascii="Times New Roman" w:hAnsi="Times New Roman" w:cs="Times New Roman"/>
                <w:spacing w:val="8"/>
                <w:lang w:eastAsia="zh-CN"/>
              </w:rPr>
              <w:t>三氯丙烷、氯乙烯、苯、氯苯、</w:t>
            </w:r>
            <w:r w:rsidRPr="001E6EF7">
              <w:rPr>
                <w:rFonts w:ascii="Times New Roman" w:hAnsi="Times New Roman" w:cs="Times New Roman"/>
                <w:spacing w:val="8"/>
                <w:lang w:eastAsia="zh-CN"/>
              </w:rPr>
              <w:t>1,2-</w:t>
            </w:r>
            <w:r w:rsidRPr="001E6EF7">
              <w:rPr>
                <w:rFonts w:ascii="Times New Roman" w:hAnsi="Times New Roman" w:cs="Times New Roman"/>
                <w:spacing w:val="8"/>
                <w:lang w:eastAsia="zh-CN"/>
              </w:rPr>
              <w:t>二氯苯、</w:t>
            </w:r>
            <w:r w:rsidRPr="001E6EF7">
              <w:rPr>
                <w:rFonts w:ascii="Times New Roman" w:hAnsi="Times New Roman" w:cs="Times New Roman"/>
                <w:spacing w:val="8"/>
                <w:lang w:eastAsia="zh-CN"/>
              </w:rPr>
              <w:t>1,4-</w:t>
            </w:r>
            <w:r w:rsidRPr="001E6EF7">
              <w:rPr>
                <w:rFonts w:ascii="Times New Roman" w:hAnsi="Times New Roman" w:cs="Times New Roman"/>
                <w:spacing w:val="8"/>
                <w:lang w:eastAsia="zh-CN"/>
              </w:rPr>
              <w:t>二氯苯、乙苯、苯乙烯、甲苯、间二甲苯</w:t>
            </w:r>
            <w:r w:rsidRPr="001E6EF7">
              <w:rPr>
                <w:rFonts w:ascii="Times New Roman" w:hAnsi="Times New Roman" w:cs="Times New Roman"/>
                <w:spacing w:val="8"/>
                <w:lang w:eastAsia="zh-CN"/>
              </w:rPr>
              <w:t>+</w:t>
            </w:r>
            <w:r w:rsidRPr="001E6EF7">
              <w:rPr>
                <w:rFonts w:ascii="Times New Roman" w:hAnsi="Times New Roman" w:cs="Times New Roman"/>
                <w:spacing w:val="8"/>
                <w:lang w:eastAsia="zh-CN"/>
              </w:rPr>
              <w:t>对二甲苯、邻二甲苯、硝基苯、苯胺、</w:t>
            </w:r>
            <w:r w:rsidRPr="001E6EF7">
              <w:rPr>
                <w:rFonts w:ascii="Times New Roman" w:hAnsi="Times New Roman" w:cs="Times New Roman"/>
                <w:spacing w:val="8"/>
                <w:lang w:eastAsia="zh-CN"/>
              </w:rPr>
              <w:t>2-</w:t>
            </w:r>
            <w:r w:rsidRPr="001E6EF7">
              <w:rPr>
                <w:rFonts w:ascii="Times New Roman" w:hAnsi="Times New Roman" w:cs="Times New Roman"/>
                <w:spacing w:val="8"/>
                <w:lang w:eastAsia="zh-CN"/>
              </w:rPr>
              <w:t>氯酚、苯并</w:t>
            </w:r>
            <w:r w:rsidRPr="001E6EF7">
              <w:rPr>
                <w:rFonts w:ascii="Times New Roman" w:hAnsi="Times New Roman" w:cs="Times New Roman"/>
                <w:spacing w:val="8"/>
                <w:lang w:eastAsia="zh-CN"/>
              </w:rPr>
              <w:t>[a]</w:t>
            </w:r>
            <w:r w:rsidRPr="001E6EF7">
              <w:rPr>
                <w:rFonts w:ascii="Times New Roman" w:hAnsi="Times New Roman" w:cs="Times New Roman"/>
                <w:spacing w:val="8"/>
                <w:lang w:eastAsia="zh-CN"/>
              </w:rPr>
              <w:t>蒽、苯并</w:t>
            </w:r>
            <w:r w:rsidRPr="001E6EF7">
              <w:rPr>
                <w:rFonts w:ascii="Times New Roman" w:hAnsi="Times New Roman" w:cs="Times New Roman"/>
                <w:spacing w:val="8"/>
                <w:lang w:eastAsia="zh-CN"/>
              </w:rPr>
              <w:t>[a]</w:t>
            </w:r>
            <w:r w:rsidRPr="001E6EF7">
              <w:rPr>
                <w:rFonts w:ascii="Times New Roman" w:hAnsi="Times New Roman" w:cs="Times New Roman"/>
                <w:spacing w:val="8"/>
                <w:lang w:eastAsia="zh-CN"/>
              </w:rPr>
              <w:t>芘、苯并</w:t>
            </w:r>
            <w:r w:rsidRPr="001E6EF7">
              <w:rPr>
                <w:rFonts w:ascii="Times New Roman" w:hAnsi="Times New Roman" w:cs="Times New Roman"/>
                <w:spacing w:val="8"/>
                <w:lang w:eastAsia="zh-CN"/>
              </w:rPr>
              <w:t>[b]</w:t>
            </w:r>
            <w:r w:rsidRPr="001E6EF7">
              <w:rPr>
                <w:rFonts w:ascii="Times New Roman" w:hAnsi="Times New Roman" w:cs="Times New Roman"/>
                <w:spacing w:val="8"/>
                <w:lang w:eastAsia="zh-CN"/>
              </w:rPr>
              <w:t>荧蒽、苯并</w:t>
            </w:r>
            <w:r w:rsidRPr="001E6EF7">
              <w:rPr>
                <w:rFonts w:ascii="Times New Roman" w:hAnsi="Times New Roman" w:cs="Times New Roman"/>
                <w:spacing w:val="8"/>
                <w:lang w:eastAsia="zh-CN"/>
              </w:rPr>
              <w:t>[k]</w:t>
            </w:r>
            <w:r w:rsidRPr="001E6EF7">
              <w:rPr>
                <w:rFonts w:ascii="Times New Roman" w:hAnsi="Times New Roman" w:cs="Times New Roman"/>
                <w:spacing w:val="8"/>
                <w:lang w:eastAsia="zh-CN"/>
              </w:rPr>
              <w:t>荧蒽、䓛、二苯并</w:t>
            </w:r>
            <w:r w:rsidRPr="001E6EF7">
              <w:rPr>
                <w:rFonts w:ascii="Times New Roman" w:hAnsi="Times New Roman" w:cs="Times New Roman"/>
                <w:spacing w:val="8"/>
                <w:lang w:eastAsia="zh-CN"/>
              </w:rPr>
              <w:t>[a, h]</w:t>
            </w:r>
            <w:r w:rsidRPr="001E6EF7">
              <w:rPr>
                <w:rFonts w:ascii="Times New Roman" w:hAnsi="Times New Roman" w:cs="Times New Roman"/>
                <w:spacing w:val="8"/>
                <w:lang w:eastAsia="zh-CN"/>
              </w:rPr>
              <w:t>蒽、茚并</w:t>
            </w:r>
            <w:r w:rsidRPr="001E6EF7">
              <w:rPr>
                <w:rFonts w:ascii="Times New Roman" w:hAnsi="Times New Roman" w:cs="Times New Roman"/>
                <w:spacing w:val="8"/>
                <w:lang w:eastAsia="zh-CN"/>
              </w:rPr>
              <w:t>[1,2,3-cd]</w:t>
            </w:r>
            <w:r w:rsidRPr="001E6EF7">
              <w:rPr>
                <w:rFonts w:ascii="Times New Roman" w:hAnsi="Times New Roman" w:cs="Times New Roman"/>
                <w:spacing w:val="8"/>
                <w:lang w:eastAsia="zh-CN"/>
              </w:rPr>
              <w:t>芘、萘</w:t>
            </w:r>
          </w:p>
        </w:tc>
        <w:tc>
          <w:tcPr>
            <w:tcW w:w="764" w:type="pct"/>
            <w:vAlign w:val="center"/>
          </w:tcPr>
          <w:p w14:paraId="76105325" w14:textId="6BCC300F" w:rsidR="003334AB" w:rsidRDefault="003334AB">
            <w:pPr>
              <w:pStyle w:val="TableText"/>
              <w:adjustRightInd w:val="0"/>
              <w:snapToGrid w:val="0"/>
              <w:jc w:val="center"/>
              <w:rPr>
                <w:rFonts w:ascii="Times New Roman" w:hAnsi="Times New Roman" w:cs="Times New Roman"/>
                <w:spacing w:val="8"/>
                <w:lang w:eastAsia="zh-CN"/>
              </w:rPr>
            </w:pPr>
            <w:r>
              <w:rPr>
                <w:rFonts w:ascii="Times New Roman" w:hAnsi="Times New Roman" w:cs="Times New Roman"/>
                <w:spacing w:val="8"/>
                <w:lang w:eastAsia="zh-CN"/>
              </w:rPr>
              <w:t>1</w:t>
            </w:r>
            <w:r>
              <w:rPr>
                <w:rFonts w:ascii="Times New Roman" w:hAnsi="Times New Roman" w:cs="Times New Roman"/>
                <w:spacing w:val="8"/>
                <w:lang w:eastAsia="zh-CN"/>
              </w:rPr>
              <w:t>次</w:t>
            </w:r>
            <w:r>
              <w:rPr>
                <w:rFonts w:ascii="Times New Roman" w:hAnsi="Times New Roman" w:cs="Times New Roman"/>
                <w:spacing w:val="8"/>
                <w:lang w:eastAsia="zh-CN"/>
              </w:rPr>
              <w:t>/</w:t>
            </w:r>
            <w:r>
              <w:rPr>
                <w:rFonts w:ascii="Times New Roman" w:hAnsi="Times New Roman" w:cs="Times New Roman" w:hint="eastAsia"/>
                <w:spacing w:val="8"/>
                <w:lang w:eastAsia="zh-CN"/>
              </w:rPr>
              <w:t>5</w:t>
            </w:r>
            <w:r>
              <w:rPr>
                <w:rFonts w:ascii="Times New Roman" w:hAnsi="Times New Roman" w:cs="Times New Roman"/>
                <w:spacing w:val="8"/>
                <w:lang w:eastAsia="zh-CN"/>
              </w:rPr>
              <w:t>年</w:t>
            </w:r>
          </w:p>
        </w:tc>
        <w:tc>
          <w:tcPr>
            <w:tcW w:w="1435" w:type="pct"/>
            <w:vAlign w:val="center"/>
          </w:tcPr>
          <w:p w14:paraId="0F2C5A41" w14:textId="6FFB37B1" w:rsidR="003334AB" w:rsidRDefault="001E6EF7">
            <w:pPr>
              <w:pStyle w:val="TableText"/>
              <w:adjustRightInd w:val="0"/>
              <w:snapToGrid w:val="0"/>
              <w:jc w:val="center"/>
              <w:rPr>
                <w:rFonts w:ascii="Times New Roman" w:hAnsi="Times New Roman" w:cs="Times New Roman"/>
                <w:spacing w:val="8"/>
                <w:lang w:eastAsia="zh-CN"/>
              </w:rPr>
            </w:pPr>
            <w:r w:rsidRPr="001E6EF7">
              <w:rPr>
                <w:rFonts w:ascii="Times New Roman" w:hAnsi="Times New Roman" w:cs="Times New Roman"/>
                <w:spacing w:val="8"/>
                <w:lang w:eastAsia="zh-CN"/>
              </w:rPr>
              <w:t>《土壤环境质量</w:t>
            </w:r>
            <w:r w:rsidRPr="001E6EF7">
              <w:rPr>
                <w:rFonts w:ascii="Times New Roman" w:hAnsi="Times New Roman" w:cs="Times New Roman"/>
                <w:spacing w:val="8"/>
                <w:lang w:eastAsia="zh-CN"/>
              </w:rPr>
              <w:t xml:space="preserve"> </w:t>
            </w:r>
            <w:r w:rsidRPr="001E6EF7">
              <w:rPr>
                <w:rFonts w:ascii="Times New Roman" w:hAnsi="Times New Roman" w:cs="Times New Roman"/>
                <w:spacing w:val="8"/>
                <w:lang w:eastAsia="zh-CN"/>
              </w:rPr>
              <w:t>建设用地土壤污染风险管控标准（试行）》（</w:t>
            </w:r>
            <w:r w:rsidRPr="001E6EF7">
              <w:rPr>
                <w:rFonts w:ascii="Times New Roman" w:hAnsi="Times New Roman" w:cs="Times New Roman"/>
                <w:spacing w:val="8"/>
                <w:lang w:eastAsia="zh-CN"/>
              </w:rPr>
              <w:t>GB36600-2018</w:t>
            </w:r>
            <w:r w:rsidRPr="001E6EF7">
              <w:rPr>
                <w:rFonts w:ascii="Times New Roman" w:hAnsi="Times New Roman" w:cs="Times New Roman"/>
                <w:spacing w:val="8"/>
                <w:lang w:eastAsia="zh-CN"/>
              </w:rPr>
              <w:t>）表</w:t>
            </w:r>
            <w:r w:rsidRPr="001E6EF7">
              <w:rPr>
                <w:rFonts w:ascii="Times New Roman" w:hAnsi="Times New Roman" w:cs="Times New Roman"/>
                <w:spacing w:val="8"/>
                <w:lang w:eastAsia="zh-CN"/>
              </w:rPr>
              <w:t>1</w:t>
            </w:r>
            <w:r w:rsidRPr="001E6EF7">
              <w:rPr>
                <w:rFonts w:ascii="Times New Roman" w:hAnsi="Times New Roman" w:cs="Times New Roman"/>
                <w:spacing w:val="8"/>
                <w:lang w:eastAsia="zh-CN"/>
              </w:rPr>
              <w:t>中第二类用地的筛选值</w:t>
            </w:r>
          </w:p>
        </w:tc>
      </w:tr>
    </w:tbl>
    <w:p w14:paraId="5F628CB0" w14:textId="57BF3EFE" w:rsidR="00606029" w:rsidRDefault="00EA5B92">
      <w:pPr>
        <w:pStyle w:val="affffff5"/>
      </w:pPr>
      <w:r>
        <w:t>表</w:t>
      </w:r>
      <w:r w:rsidR="00844321">
        <w:rPr>
          <w:rFonts w:hint="eastAsia"/>
        </w:rPr>
        <w:t>9</w:t>
      </w:r>
      <w:r>
        <w:t>.2-</w:t>
      </w:r>
      <w:r>
        <w:rPr>
          <w:rFonts w:hint="eastAsia"/>
        </w:rPr>
        <w:t>2</w:t>
      </w:r>
      <w:r>
        <w:t xml:space="preserve">  </w:t>
      </w:r>
      <w:r>
        <w:t>封场期污染源监测计划</w:t>
      </w:r>
    </w:p>
    <w:tbl>
      <w:tblPr>
        <w:tblStyle w:val="TableNormal"/>
        <w:tblW w:w="5000" w:type="pct"/>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
        <w:gridCol w:w="1089"/>
        <w:gridCol w:w="1540"/>
        <w:gridCol w:w="2983"/>
        <w:gridCol w:w="571"/>
        <w:gridCol w:w="2323"/>
      </w:tblGrid>
      <w:tr w:rsidR="001E6EF7" w14:paraId="6FF99E8A" w14:textId="19D76964" w:rsidTr="001E6EF7">
        <w:trPr>
          <w:trHeight w:val="57"/>
          <w:jc w:val="center"/>
        </w:trPr>
        <w:tc>
          <w:tcPr>
            <w:tcW w:w="263" w:type="pct"/>
            <w:vAlign w:val="center"/>
          </w:tcPr>
          <w:p w14:paraId="62BC2BF4" w14:textId="77777777" w:rsidR="001E6EF7" w:rsidRDefault="001E6EF7">
            <w:pPr>
              <w:pStyle w:val="TableText"/>
              <w:adjustRightInd w:val="0"/>
              <w:snapToGrid w:val="0"/>
              <w:jc w:val="center"/>
              <w:rPr>
                <w:rFonts w:ascii="Times New Roman" w:hAnsi="Times New Roman" w:cs="Times New Roman"/>
              </w:rPr>
            </w:pPr>
            <w:r>
              <w:rPr>
                <w:rFonts w:ascii="Times New Roman" w:hAnsi="Times New Roman" w:cs="Times New Roman"/>
                <w:spacing w:val="5"/>
              </w:rPr>
              <w:t>序号</w:t>
            </w:r>
          </w:p>
        </w:tc>
        <w:tc>
          <w:tcPr>
            <w:tcW w:w="694" w:type="pct"/>
            <w:vAlign w:val="center"/>
          </w:tcPr>
          <w:p w14:paraId="67EF1EAF" w14:textId="77777777" w:rsidR="001E6EF7" w:rsidRDefault="001E6EF7">
            <w:pPr>
              <w:pStyle w:val="TableText"/>
              <w:adjustRightInd w:val="0"/>
              <w:snapToGrid w:val="0"/>
              <w:jc w:val="center"/>
              <w:rPr>
                <w:rFonts w:ascii="Times New Roman" w:hAnsi="Times New Roman" w:cs="Times New Roman"/>
              </w:rPr>
            </w:pPr>
            <w:r>
              <w:rPr>
                <w:rFonts w:ascii="Times New Roman" w:hAnsi="Times New Roman" w:cs="Times New Roman"/>
                <w:spacing w:val="7"/>
              </w:rPr>
              <w:t>监测对象</w:t>
            </w:r>
          </w:p>
        </w:tc>
        <w:tc>
          <w:tcPr>
            <w:tcW w:w="484" w:type="pct"/>
            <w:vAlign w:val="center"/>
          </w:tcPr>
          <w:p w14:paraId="5B7900C1" w14:textId="77777777" w:rsidR="001E6EF7" w:rsidRDefault="001E6EF7">
            <w:pPr>
              <w:pStyle w:val="TableText"/>
              <w:adjustRightInd w:val="0"/>
              <w:snapToGrid w:val="0"/>
              <w:jc w:val="center"/>
              <w:rPr>
                <w:rFonts w:ascii="Times New Roman" w:hAnsi="Times New Roman" w:cs="Times New Roman"/>
              </w:rPr>
            </w:pPr>
            <w:r>
              <w:rPr>
                <w:rFonts w:ascii="Times New Roman" w:hAnsi="Times New Roman" w:cs="Times New Roman"/>
                <w:spacing w:val="6"/>
              </w:rPr>
              <w:t>监测点</w:t>
            </w:r>
          </w:p>
        </w:tc>
        <w:tc>
          <w:tcPr>
            <w:tcW w:w="1766" w:type="pct"/>
            <w:vAlign w:val="center"/>
          </w:tcPr>
          <w:p w14:paraId="4C1EDC81" w14:textId="77777777" w:rsidR="001E6EF7" w:rsidRDefault="001E6EF7">
            <w:pPr>
              <w:pStyle w:val="TableText"/>
              <w:adjustRightInd w:val="0"/>
              <w:snapToGrid w:val="0"/>
              <w:jc w:val="center"/>
              <w:rPr>
                <w:rFonts w:ascii="Times New Roman" w:hAnsi="Times New Roman" w:cs="Times New Roman"/>
              </w:rPr>
            </w:pPr>
            <w:r>
              <w:rPr>
                <w:rFonts w:ascii="Times New Roman" w:hAnsi="Times New Roman" w:cs="Times New Roman"/>
                <w:spacing w:val="7"/>
              </w:rPr>
              <w:t>监测因子</w:t>
            </w:r>
          </w:p>
        </w:tc>
        <w:tc>
          <w:tcPr>
            <w:tcW w:w="401" w:type="pct"/>
            <w:vAlign w:val="center"/>
          </w:tcPr>
          <w:p w14:paraId="56FE2C62" w14:textId="77777777" w:rsidR="001E6EF7" w:rsidRDefault="001E6EF7">
            <w:pPr>
              <w:pStyle w:val="TableText"/>
              <w:adjustRightInd w:val="0"/>
              <w:snapToGrid w:val="0"/>
              <w:jc w:val="center"/>
              <w:rPr>
                <w:rFonts w:ascii="Times New Roman" w:hAnsi="Times New Roman" w:cs="Times New Roman"/>
              </w:rPr>
            </w:pPr>
            <w:r>
              <w:rPr>
                <w:rFonts w:ascii="Times New Roman" w:hAnsi="Times New Roman" w:cs="Times New Roman"/>
                <w:spacing w:val="7"/>
              </w:rPr>
              <w:t>监测频率</w:t>
            </w:r>
          </w:p>
        </w:tc>
        <w:tc>
          <w:tcPr>
            <w:tcW w:w="1392" w:type="pct"/>
            <w:vAlign w:val="center"/>
          </w:tcPr>
          <w:p w14:paraId="77F2F00A" w14:textId="4F58DC6F" w:rsidR="001E6EF7" w:rsidRDefault="001E6EF7">
            <w:pPr>
              <w:pStyle w:val="TableText"/>
              <w:adjustRightInd w:val="0"/>
              <w:snapToGrid w:val="0"/>
              <w:jc w:val="center"/>
              <w:rPr>
                <w:rFonts w:ascii="Times New Roman" w:hAnsi="Times New Roman" w:cs="Times New Roman"/>
                <w:spacing w:val="7"/>
              </w:rPr>
            </w:pPr>
            <w:r>
              <w:rPr>
                <w:rFonts w:ascii="Times New Roman" w:hAnsi="Times New Roman" w:cs="Times New Roman" w:hint="eastAsia"/>
                <w:spacing w:val="7"/>
                <w:lang w:eastAsia="zh-CN"/>
              </w:rPr>
              <w:t>执行标准</w:t>
            </w:r>
          </w:p>
        </w:tc>
      </w:tr>
      <w:tr w:rsidR="001E6EF7" w14:paraId="4E1A2B64" w14:textId="3DEF9580" w:rsidTr="001E6EF7">
        <w:trPr>
          <w:trHeight w:val="816"/>
          <w:jc w:val="center"/>
        </w:trPr>
        <w:tc>
          <w:tcPr>
            <w:tcW w:w="263" w:type="pct"/>
            <w:vAlign w:val="center"/>
          </w:tcPr>
          <w:p w14:paraId="56440666" w14:textId="77777777" w:rsidR="001E6EF7" w:rsidRDefault="001E6EF7">
            <w:pPr>
              <w:adjustRightInd w:val="0"/>
              <w:snapToGrid w:val="0"/>
              <w:jc w:val="center"/>
              <w:rPr>
                <w:rFonts w:eastAsia="Times New Roman"/>
                <w:sz w:val="20"/>
                <w:szCs w:val="20"/>
              </w:rPr>
            </w:pPr>
            <w:r>
              <w:rPr>
                <w:rFonts w:eastAsia="Times New Roman"/>
                <w:sz w:val="20"/>
                <w:szCs w:val="20"/>
              </w:rPr>
              <w:t>1</w:t>
            </w:r>
          </w:p>
        </w:tc>
        <w:tc>
          <w:tcPr>
            <w:tcW w:w="694" w:type="pct"/>
            <w:vAlign w:val="center"/>
          </w:tcPr>
          <w:p w14:paraId="0AB6510C" w14:textId="77777777" w:rsidR="001E6EF7" w:rsidRDefault="001E6EF7">
            <w:pPr>
              <w:pStyle w:val="TableText"/>
              <w:adjustRightInd w:val="0"/>
              <w:snapToGrid w:val="0"/>
              <w:jc w:val="center"/>
              <w:rPr>
                <w:rFonts w:ascii="Times New Roman" w:hAnsi="Times New Roman" w:cs="Times New Roman"/>
              </w:rPr>
            </w:pPr>
            <w:r>
              <w:rPr>
                <w:rFonts w:ascii="Times New Roman" w:hAnsi="Times New Roman" w:cs="Times New Roman"/>
                <w:spacing w:val="5"/>
              </w:rPr>
              <w:t>废水</w:t>
            </w:r>
          </w:p>
        </w:tc>
        <w:tc>
          <w:tcPr>
            <w:tcW w:w="484" w:type="pct"/>
            <w:vAlign w:val="center"/>
          </w:tcPr>
          <w:p w14:paraId="0F4FF29C" w14:textId="77777777" w:rsidR="001E6EF7" w:rsidRDefault="001E6EF7">
            <w:pPr>
              <w:pStyle w:val="TableText"/>
              <w:adjustRightInd w:val="0"/>
              <w:snapToGrid w:val="0"/>
              <w:jc w:val="center"/>
              <w:rPr>
                <w:rFonts w:ascii="Times New Roman" w:hAnsi="Times New Roman" w:cs="Times New Roman"/>
              </w:rPr>
            </w:pPr>
            <w:r>
              <w:rPr>
                <w:rFonts w:ascii="Times New Roman" w:hAnsi="Times New Roman" w:cs="Times New Roman"/>
                <w:spacing w:val="8"/>
              </w:rPr>
              <w:t>渗滤液处理站</w:t>
            </w:r>
            <w:r>
              <w:rPr>
                <w:rFonts w:ascii="Times New Roman" w:hAnsi="Times New Roman" w:cs="Times New Roman"/>
                <w:spacing w:val="8"/>
                <w:lang w:eastAsia="zh-CN"/>
              </w:rPr>
              <w:t>排放口</w:t>
            </w:r>
          </w:p>
        </w:tc>
        <w:tc>
          <w:tcPr>
            <w:tcW w:w="1766" w:type="pct"/>
            <w:vAlign w:val="center"/>
          </w:tcPr>
          <w:p w14:paraId="091AF576" w14:textId="77777777" w:rsidR="001E6EF7" w:rsidRDefault="001E6EF7">
            <w:pPr>
              <w:pStyle w:val="TableText"/>
              <w:adjustRightInd w:val="0"/>
              <w:snapToGrid w:val="0"/>
              <w:jc w:val="center"/>
              <w:rPr>
                <w:rFonts w:ascii="Times New Roman" w:eastAsia="Times New Roman" w:hAnsi="Times New Roman" w:cs="Times New Roman"/>
                <w:sz w:val="20"/>
                <w:szCs w:val="20"/>
                <w:lang w:eastAsia="zh-CN"/>
              </w:rPr>
            </w:pPr>
            <w:r>
              <w:rPr>
                <w:rFonts w:ascii="Times New Roman" w:hAnsi="Times New Roman" w:cs="Times New Roman"/>
                <w:spacing w:val="8"/>
                <w:lang w:eastAsia="zh-CN"/>
              </w:rPr>
              <w:t>悬浮物、氨氮、</w:t>
            </w:r>
            <w:r>
              <w:rPr>
                <w:rFonts w:ascii="Times New Roman" w:hAnsi="Times New Roman" w:cs="Times New Roman"/>
                <w:spacing w:val="8"/>
                <w:lang w:eastAsia="zh-CN"/>
              </w:rPr>
              <w:t>pH</w:t>
            </w:r>
            <w:r>
              <w:rPr>
                <w:rFonts w:ascii="Times New Roman" w:hAnsi="Times New Roman" w:cs="Times New Roman"/>
                <w:spacing w:val="8"/>
                <w:lang w:eastAsia="zh-CN"/>
              </w:rPr>
              <w:t>、化学需氧量、总氮、总磷、粪大肠菌群、五日生化需氧量、色度、总铬、总镉、总汞、总砷、总铅、六价铬</w:t>
            </w:r>
          </w:p>
        </w:tc>
        <w:tc>
          <w:tcPr>
            <w:tcW w:w="401" w:type="pct"/>
            <w:vAlign w:val="center"/>
          </w:tcPr>
          <w:p w14:paraId="6A47587A" w14:textId="77777777" w:rsidR="001E6EF7" w:rsidRDefault="001E6EF7">
            <w:pPr>
              <w:pStyle w:val="TableText"/>
              <w:adjustRightInd w:val="0"/>
              <w:snapToGrid w:val="0"/>
              <w:jc w:val="center"/>
              <w:rPr>
                <w:rFonts w:ascii="Times New Roman" w:hAnsi="Times New Roman" w:cs="Times New Roman"/>
              </w:rPr>
            </w:pPr>
            <w:r>
              <w:rPr>
                <w:rFonts w:ascii="Times New Roman" w:hAnsi="Times New Roman" w:cs="Times New Roman"/>
                <w:spacing w:val="8"/>
                <w:lang w:eastAsia="zh-CN"/>
              </w:rPr>
              <w:t>1</w:t>
            </w:r>
            <w:r>
              <w:rPr>
                <w:rFonts w:ascii="Times New Roman" w:hAnsi="Times New Roman" w:cs="Times New Roman"/>
                <w:spacing w:val="8"/>
                <w:lang w:eastAsia="zh-CN"/>
              </w:rPr>
              <w:t>次</w:t>
            </w:r>
            <w:r>
              <w:rPr>
                <w:rFonts w:ascii="Times New Roman" w:hAnsi="Times New Roman" w:cs="Times New Roman"/>
                <w:spacing w:val="8"/>
                <w:lang w:eastAsia="zh-CN"/>
              </w:rPr>
              <w:t>/</w:t>
            </w:r>
            <w:r>
              <w:rPr>
                <w:rFonts w:ascii="Times New Roman" w:hAnsi="Times New Roman" w:cs="Times New Roman"/>
                <w:spacing w:val="8"/>
                <w:lang w:eastAsia="zh-CN"/>
              </w:rPr>
              <w:t>季</w:t>
            </w:r>
          </w:p>
        </w:tc>
        <w:tc>
          <w:tcPr>
            <w:tcW w:w="1392" w:type="pct"/>
            <w:vAlign w:val="center"/>
          </w:tcPr>
          <w:p w14:paraId="2B4713E9" w14:textId="36BF6061" w:rsidR="001E6EF7" w:rsidRDefault="001E6EF7">
            <w:pPr>
              <w:pStyle w:val="TableText"/>
              <w:adjustRightInd w:val="0"/>
              <w:snapToGrid w:val="0"/>
              <w:jc w:val="center"/>
              <w:rPr>
                <w:rFonts w:ascii="Times New Roman" w:hAnsi="Times New Roman" w:cs="Times New Roman"/>
                <w:spacing w:val="8"/>
                <w:lang w:eastAsia="zh-CN"/>
              </w:rPr>
            </w:pPr>
            <w:r w:rsidRPr="001E6EF7">
              <w:rPr>
                <w:rFonts w:ascii="Times New Roman" w:hAnsi="Times New Roman" w:cs="Times New Roman"/>
                <w:spacing w:val="8"/>
                <w:lang w:eastAsia="zh-CN"/>
              </w:rPr>
              <w:t>《生活垃圾填埋场污染控制标准》（</w:t>
            </w:r>
            <w:r w:rsidRPr="001E6EF7">
              <w:rPr>
                <w:rFonts w:ascii="Times New Roman" w:hAnsi="Times New Roman" w:cs="Times New Roman"/>
                <w:spacing w:val="8"/>
                <w:lang w:eastAsia="zh-CN"/>
              </w:rPr>
              <w:t>GB16889-2024</w:t>
            </w:r>
            <w:r w:rsidRPr="001E6EF7">
              <w:rPr>
                <w:rFonts w:ascii="Times New Roman" w:hAnsi="Times New Roman" w:cs="Times New Roman"/>
                <w:spacing w:val="8"/>
                <w:lang w:eastAsia="zh-CN"/>
              </w:rPr>
              <w:t>）表</w:t>
            </w:r>
            <w:r w:rsidR="00505D6B">
              <w:rPr>
                <w:rFonts w:ascii="Times New Roman" w:hAnsi="Times New Roman" w:cs="Times New Roman" w:hint="eastAsia"/>
                <w:spacing w:val="8"/>
                <w:lang w:eastAsia="zh-CN"/>
              </w:rPr>
              <w:t>4</w:t>
            </w:r>
            <w:r w:rsidRPr="001E6EF7">
              <w:rPr>
                <w:rFonts w:ascii="Times New Roman" w:hAnsi="Times New Roman" w:cs="Times New Roman"/>
                <w:spacing w:val="8"/>
                <w:lang w:eastAsia="zh-CN"/>
              </w:rPr>
              <w:t>要求和《城市污水再生利用</w:t>
            </w:r>
            <w:r w:rsidRPr="001E6EF7">
              <w:rPr>
                <w:rFonts w:ascii="Times New Roman" w:hAnsi="Times New Roman" w:cs="Times New Roman"/>
                <w:spacing w:val="8"/>
                <w:lang w:eastAsia="zh-CN"/>
              </w:rPr>
              <w:t xml:space="preserve"> </w:t>
            </w:r>
            <w:r w:rsidRPr="001E6EF7">
              <w:rPr>
                <w:rFonts w:ascii="Times New Roman" w:hAnsi="Times New Roman" w:cs="Times New Roman"/>
                <w:spacing w:val="8"/>
                <w:lang w:eastAsia="zh-CN"/>
              </w:rPr>
              <w:t>工业用水水质》（</w:t>
            </w:r>
            <w:r w:rsidRPr="001E6EF7">
              <w:rPr>
                <w:rFonts w:ascii="Times New Roman" w:hAnsi="Times New Roman" w:cs="Times New Roman"/>
                <w:spacing w:val="8"/>
                <w:lang w:eastAsia="zh-CN"/>
              </w:rPr>
              <w:t>GB/T19923-2024</w:t>
            </w:r>
            <w:r w:rsidRPr="001E6EF7">
              <w:rPr>
                <w:rFonts w:ascii="Times New Roman" w:hAnsi="Times New Roman" w:cs="Times New Roman"/>
                <w:spacing w:val="8"/>
                <w:lang w:eastAsia="zh-CN"/>
              </w:rPr>
              <w:t>）</w:t>
            </w:r>
            <w:r w:rsidR="005820EF">
              <w:rPr>
                <w:rFonts w:ascii="Times New Roman" w:hAnsi="Times New Roman" w:cs="Times New Roman" w:hint="eastAsia"/>
                <w:spacing w:val="8"/>
                <w:lang w:eastAsia="zh-CN"/>
              </w:rPr>
              <w:t>表</w:t>
            </w:r>
            <w:r w:rsidR="005820EF">
              <w:rPr>
                <w:rFonts w:ascii="Times New Roman" w:hAnsi="Times New Roman" w:cs="Times New Roman" w:hint="eastAsia"/>
                <w:spacing w:val="8"/>
                <w:lang w:eastAsia="zh-CN"/>
              </w:rPr>
              <w:t>1</w:t>
            </w:r>
            <w:r w:rsidR="00535A47">
              <w:rPr>
                <w:rFonts w:ascii="Times New Roman" w:hAnsi="Times New Roman" w:cs="Times New Roman"/>
                <w:spacing w:val="8"/>
                <w:lang w:eastAsia="zh-CN"/>
              </w:rPr>
              <w:t>间冷开式循环冷却水补充水标准</w:t>
            </w:r>
          </w:p>
        </w:tc>
      </w:tr>
      <w:tr w:rsidR="001E6EF7" w14:paraId="599289C6" w14:textId="60D3A543" w:rsidTr="001E6EF7">
        <w:trPr>
          <w:trHeight w:val="3278"/>
          <w:jc w:val="center"/>
        </w:trPr>
        <w:tc>
          <w:tcPr>
            <w:tcW w:w="263" w:type="pct"/>
            <w:vAlign w:val="center"/>
          </w:tcPr>
          <w:p w14:paraId="5CFF8AD2" w14:textId="77777777" w:rsidR="001E6EF7" w:rsidRDefault="001E6EF7">
            <w:pPr>
              <w:adjustRightInd w:val="0"/>
              <w:snapToGrid w:val="0"/>
              <w:jc w:val="center"/>
              <w:rPr>
                <w:rFonts w:eastAsia="Times New Roman"/>
                <w:sz w:val="20"/>
                <w:szCs w:val="20"/>
              </w:rPr>
            </w:pPr>
            <w:r>
              <w:rPr>
                <w:rFonts w:eastAsia="Times New Roman"/>
                <w:sz w:val="20"/>
                <w:szCs w:val="20"/>
              </w:rPr>
              <w:lastRenderedPageBreak/>
              <w:t>2</w:t>
            </w:r>
          </w:p>
        </w:tc>
        <w:tc>
          <w:tcPr>
            <w:tcW w:w="694" w:type="pct"/>
            <w:vAlign w:val="center"/>
          </w:tcPr>
          <w:p w14:paraId="527D7EEB" w14:textId="0FA747FD" w:rsidR="001E6EF7" w:rsidRDefault="001E6EF7">
            <w:pPr>
              <w:pStyle w:val="TableText"/>
              <w:adjustRightInd w:val="0"/>
              <w:snapToGrid w:val="0"/>
              <w:jc w:val="center"/>
              <w:rPr>
                <w:rFonts w:ascii="Times New Roman" w:hAnsi="Times New Roman" w:cs="Times New Roman"/>
              </w:rPr>
            </w:pPr>
            <w:r>
              <w:rPr>
                <w:rFonts w:ascii="Times New Roman" w:hAnsi="Times New Roman" w:cs="Times New Roman"/>
                <w:spacing w:val="8"/>
              </w:rPr>
              <w:t>地下水</w:t>
            </w:r>
          </w:p>
        </w:tc>
        <w:tc>
          <w:tcPr>
            <w:tcW w:w="484" w:type="pct"/>
            <w:vAlign w:val="center"/>
          </w:tcPr>
          <w:p w14:paraId="337AD50A" w14:textId="4CCCDF11" w:rsidR="001E6EF7" w:rsidRDefault="001E6EF7" w:rsidP="001F4DFC">
            <w:pPr>
              <w:pStyle w:val="TableText"/>
              <w:adjustRightInd w:val="0"/>
              <w:snapToGrid w:val="0"/>
              <w:jc w:val="center"/>
              <w:rPr>
                <w:rFonts w:ascii="Times New Roman" w:hAnsi="Times New Roman" w:cs="Times New Roman"/>
                <w:lang w:eastAsia="zh-CN"/>
              </w:rPr>
            </w:pPr>
            <w:r w:rsidRPr="001F4DFC">
              <w:rPr>
                <w:rFonts w:ascii="Times New Roman" w:hAnsi="Times New Roman" w:cs="Times New Roman" w:hint="eastAsia"/>
                <w:spacing w:val="8"/>
                <w:lang w:eastAsia="zh-CN"/>
              </w:rPr>
              <w:t>本底井（</w:t>
            </w:r>
            <w:r w:rsidRPr="00CD4BCF">
              <w:rPr>
                <w:rFonts w:ascii="Times New Roman" w:hAnsi="Times New Roman" w:cs="Times New Roman"/>
                <w:spacing w:val="8"/>
                <w:lang w:eastAsia="zh-CN"/>
              </w:rPr>
              <w:t>124.997602</w:t>
            </w:r>
            <w:r w:rsidRPr="00CD4BCF">
              <w:rPr>
                <w:rFonts w:ascii="Times New Roman" w:hAnsi="Times New Roman" w:cs="Times New Roman"/>
                <w:spacing w:val="8"/>
                <w:lang w:eastAsia="zh-CN"/>
              </w:rPr>
              <w:t>，</w:t>
            </w:r>
            <w:r w:rsidRPr="00CD4BCF">
              <w:rPr>
                <w:rFonts w:ascii="Times New Roman" w:hAnsi="Times New Roman" w:cs="Times New Roman"/>
                <w:spacing w:val="8"/>
                <w:lang w:eastAsia="zh-CN"/>
              </w:rPr>
              <w:t>46.443143</w:t>
            </w:r>
            <w:r w:rsidRPr="001F4DFC">
              <w:rPr>
                <w:rFonts w:ascii="Times New Roman" w:hAnsi="Times New Roman" w:cs="Times New Roman" w:hint="eastAsia"/>
                <w:spacing w:val="8"/>
                <w:lang w:eastAsia="zh-CN"/>
              </w:rPr>
              <w:t>）</w:t>
            </w:r>
            <w:r>
              <w:rPr>
                <w:rFonts w:ascii="Times New Roman" w:hAnsi="Times New Roman" w:cs="Times New Roman" w:hint="eastAsia"/>
                <w:spacing w:val="8"/>
                <w:lang w:eastAsia="zh-CN"/>
              </w:rPr>
              <w:t>、</w:t>
            </w:r>
            <w:r w:rsidRPr="001F4DFC">
              <w:rPr>
                <w:rFonts w:ascii="Times New Roman" w:hAnsi="Times New Roman" w:cs="Times New Roman" w:hint="eastAsia"/>
                <w:spacing w:val="8"/>
                <w:lang w:eastAsia="zh-CN"/>
              </w:rPr>
              <w:t>污染物扩散井（</w:t>
            </w:r>
            <w:r w:rsidRPr="001F4DFC">
              <w:rPr>
                <w:rFonts w:ascii="Times New Roman" w:hAnsi="Times New Roman" w:cs="Times New Roman" w:hint="eastAsia"/>
                <w:spacing w:val="8"/>
                <w:lang w:eastAsia="zh-CN"/>
              </w:rPr>
              <w:t>124.982163 46.431611</w:t>
            </w:r>
            <w:r w:rsidRPr="001F4DFC">
              <w:rPr>
                <w:rFonts w:ascii="Times New Roman" w:hAnsi="Times New Roman" w:cs="Times New Roman" w:hint="eastAsia"/>
                <w:spacing w:val="8"/>
                <w:lang w:eastAsia="zh-CN"/>
              </w:rPr>
              <w:t>）</w:t>
            </w:r>
            <w:r>
              <w:rPr>
                <w:rFonts w:ascii="Times New Roman" w:hAnsi="Times New Roman" w:cs="Times New Roman" w:hint="eastAsia"/>
                <w:spacing w:val="8"/>
                <w:lang w:eastAsia="zh-CN"/>
              </w:rPr>
              <w:t>、</w:t>
            </w:r>
            <w:r w:rsidRPr="001F4DFC">
              <w:rPr>
                <w:rFonts w:ascii="Times New Roman" w:hAnsi="Times New Roman" w:cs="Times New Roman" w:hint="eastAsia"/>
                <w:spacing w:val="8"/>
                <w:lang w:eastAsia="zh-CN"/>
              </w:rPr>
              <w:t>地下水监测井（</w:t>
            </w:r>
            <w:r w:rsidRPr="001F4DFC">
              <w:rPr>
                <w:rFonts w:ascii="Times New Roman" w:hAnsi="Times New Roman" w:cs="Times New Roman" w:hint="eastAsia"/>
                <w:spacing w:val="8"/>
                <w:lang w:eastAsia="zh-CN"/>
              </w:rPr>
              <w:t>124.981561 46.431606</w:t>
            </w:r>
            <w:r w:rsidRPr="001F4DFC">
              <w:rPr>
                <w:rFonts w:ascii="Times New Roman" w:hAnsi="Times New Roman" w:cs="Times New Roman" w:hint="eastAsia"/>
                <w:spacing w:val="8"/>
                <w:lang w:eastAsia="zh-CN"/>
              </w:rPr>
              <w:t>）</w:t>
            </w:r>
          </w:p>
        </w:tc>
        <w:tc>
          <w:tcPr>
            <w:tcW w:w="1766" w:type="pct"/>
            <w:vAlign w:val="center"/>
          </w:tcPr>
          <w:p w14:paraId="0A4BA80B" w14:textId="77777777" w:rsidR="001E6EF7" w:rsidRDefault="001E6EF7">
            <w:pPr>
              <w:pStyle w:val="TableText"/>
              <w:adjustRightInd w:val="0"/>
              <w:snapToGrid w:val="0"/>
              <w:jc w:val="center"/>
              <w:rPr>
                <w:rFonts w:ascii="Times New Roman" w:hAnsi="Times New Roman" w:cs="Times New Roman"/>
                <w:lang w:eastAsia="zh-CN"/>
              </w:rPr>
            </w:pPr>
            <w:r>
              <w:rPr>
                <w:rFonts w:ascii="Times New Roman" w:hAnsi="Times New Roman" w:cs="Times New Roman"/>
                <w:spacing w:val="8"/>
                <w:lang w:eastAsia="zh-CN"/>
              </w:rPr>
              <w:t>pH</w:t>
            </w:r>
            <w:r>
              <w:rPr>
                <w:rFonts w:ascii="Times New Roman" w:hAnsi="Times New Roman" w:cs="Times New Roman"/>
                <w:spacing w:val="8"/>
                <w:lang w:eastAsia="zh-CN"/>
              </w:rPr>
              <w:t>、溶解性总固体、总硬度、高锰酸盐指数、粪大肠菌群、总汞、总镉、六价铬、总砷、总铅、总铜、总锌、总锰、总铁、氨氮、亚硝酸盐、硝酸盐、氰化物、氯化物、硫酸盐、挥发酚、氟化物</w:t>
            </w:r>
          </w:p>
        </w:tc>
        <w:tc>
          <w:tcPr>
            <w:tcW w:w="401" w:type="pct"/>
            <w:vAlign w:val="center"/>
          </w:tcPr>
          <w:p w14:paraId="137A6572" w14:textId="77777777" w:rsidR="001E6EF7" w:rsidRDefault="001E6EF7">
            <w:pPr>
              <w:pStyle w:val="TableText"/>
              <w:adjustRightInd w:val="0"/>
              <w:snapToGrid w:val="0"/>
              <w:jc w:val="center"/>
              <w:rPr>
                <w:rFonts w:ascii="Times New Roman" w:hAnsi="Times New Roman" w:cs="Times New Roman"/>
              </w:rPr>
            </w:pPr>
            <w:r>
              <w:rPr>
                <w:rFonts w:ascii="Times New Roman" w:hAnsi="Times New Roman" w:cs="Times New Roman"/>
                <w:spacing w:val="8"/>
                <w:lang w:eastAsia="zh-CN"/>
              </w:rPr>
              <w:t>1</w:t>
            </w:r>
            <w:r>
              <w:rPr>
                <w:rFonts w:ascii="Times New Roman" w:hAnsi="Times New Roman" w:cs="Times New Roman"/>
                <w:spacing w:val="8"/>
                <w:lang w:eastAsia="zh-CN"/>
              </w:rPr>
              <w:t>次</w:t>
            </w:r>
            <w:r>
              <w:rPr>
                <w:rFonts w:ascii="Times New Roman" w:hAnsi="Times New Roman" w:cs="Times New Roman"/>
                <w:spacing w:val="8"/>
                <w:lang w:eastAsia="zh-CN"/>
              </w:rPr>
              <w:t>/</w:t>
            </w:r>
            <w:r>
              <w:rPr>
                <w:rFonts w:ascii="Times New Roman" w:hAnsi="Times New Roman" w:cs="Times New Roman"/>
                <w:spacing w:val="8"/>
                <w:lang w:eastAsia="zh-CN"/>
              </w:rPr>
              <w:t>月</w:t>
            </w:r>
          </w:p>
        </w:tc>
        <w:tc>
          <w:tcPr>
            <w:tcW w:w="1392" w:type="pct"/>
            <w:vAlign w:val="center"/>
          </w:tcPr>
          <w:p w14:paraId="3277F074" w14:textId="42EDFA57" w:rsidR="001E6EF7" w:rsidRDefault="001E6EF7">
            <w:pPr>
              <w:pStyle w:val="TableText"/>
              <w:adjustRightInd w:val="0"/>
              <w:snapToGrid w:val="0"/>
              <w:jc w:val="center"/>
              <w:rPr>
                <w:rFonts w:ascii="Times New Roman" w:hAnsi="Times New Roman" w:cs="Times New Roman"/>
                <w:spacing w:val="8"/>
                <w:lang w:eastAsia="zh-CN"/>
              </w:rPr>
            </w:pPr>
            <w:r w:rsidRPr="001E6EF7">
              <w:rPr>
                <w:rFonts w:ascii="Times New Roman" w:hAnsi="Times New Roman" w:cs="Times New Roman"/>
                <w:spacing w:val="8"/>
                <w:lang w:eastAsia="zh-CN"/>
              </w:rPr>
              <w:t>《地下水质量标准》（</w:t>
            </w:r>
            <w:r w:rsidRPr="001E6EF7">
              <w:rPr>
                <w:rFonts w:ascii="Times New Roman" w:hAnsi="Times New Roman" w:cs="Times New Roman"/>
                <w:spacing w:val="8"/>
                <w:lang w:eastAsia="zh-CN"/>
              </w:rPr>
              <w:t>GB/T14848-2017</w:t>
            </w:r>
            <w:r w:rsidRPr="001E6EF7">
              <w:rPr>
                <w:rFonts w:ascii="Times New Roman" w:hAnsi="Times New Roman" w:cs="Times New Roman"/>
                <w:spacing w:val="8"/>
                <w:lang w:eastAsia="zh-CN"/>
              </w:rPr>
              <w:t>）中</w:t>
            </w:r>
            <w:r w:rsidRPr="001E6EF7">
              <w:rPr>
                <w:rFonts w:ascii="Times New Roman" w:hAnsi="Times New Roman" w:cs="Times New Roman"/>
                <w:spacing w:val="8"/>
                <w:lang w:eastAsia="zh-CN"/>
              </w:rPr>
              <w:t>Ⅲ</w:t>
            </w:r>
            <w:r w:rsidRPr="001E6EF7">
              <w:rPr>
                <w:rFonts w:ascii="Times New Roman" w:hAnsi="Times New Roman" w:cs="Times New Roman"/>
                <w:spacing w:val="8"/>
                <w:lang w:eastAsia="zh-CN"/>
              </w:rPr>
              <w:t>类标准</w:t>
            </w:r>
          </w:p>
        </w:tc>
      </w:tr>
      <w:tr w:rsidR="001E6EF7" w14:paraId="5ECD5041" w14:textId="3E50684F" w:rsidTr="001E6EF7">
        <w:trPr>
          <w:trHeight w:val="57"/>
          <w:jc w:val="center"/>
        </w:trPr>
        <w:tc>
          <w:tcPr>
            <w:tcW w:w="263" w:type="pct"/>
            <w:vAlign w:val="center"/>
          </w:tcPr>
          <w:p w14:paraId="65BC5615" w14:textId="77777777" w:rsidR="001E6EF7" w:rsidRDefault="001E6EF7">
            <w:pPr>
              <w:adjustRightInd w:val="0"/>
              <w:snapToGrid w:val="0"/>
              <w:jc w:val="center"/>
              <w:rPr>
                <w:rFonts w:eastAsia="Times New Roman"/>
                <w:sz w:val="20"/>
                <w:szCs w:val="20"/>
              </w:rPr>
            </w:pPr>
            <w:r>
              <w:rPr>
                <w:rFonts w:eastAsia="Times New Roman"/>
                <w:sz w:val="20"/>
                <w:szCs w:val="20"/>
              </w:rPr>
              <w:t>3</w:t>
            </w:r>
          </w:p>
        </w:tc>
        <w:tc>
          <w:tcPr>
            <w:tcW w:w="694" w:type="pct"/>
            <w:vAlign w:val="center"/>
          </w:tcPr>
          <w:p w14:paraId="053F45B7" w14:textId="17A87991" w:rsidR="001E6EF7" w:rsidRDefault="001E6EF7">
            <w:pPr>
              <w:pStyle w:val="TableText"/>
              <w:adjustRightInd w:val="0"/>
              <w:snapToGrid w:val="0"/>
              <w:jc w:val="center"/>
              <w:rPr>
                <w:rFonts w:ascii="Times New Roman" w:hAnsi="Times New Roman" w:cs="Times New Roman"/>
                <w:lang w:eastAsia="zh-CN"/>
              </w:rPr>
            </w:pPr>
            <w:r>
              <w:rPr>
                <w:rFonts w:ascii="Times New Roman" w:hAnsi="Times New Roman" w:cs="Times New Roman"/>
                <w:spacing w:val="7"/>
              </w:rPr>
              <w:t>土壤</w:t>
            </w:r>
          </w:p>
        </w:tc>
        <w:tc>
          <w:tcPr>
            <w:tcW w:w="484" w:type="pct"/>
            <w:vAlign w:val="center"/>
          </w:tcPr>
          <w:p w14:paraId="6762280A" w14:textId="10B304DF" w:rsidR="001E6EF7" w:rsidRDefault="001E6EF7">
            <w:pPr>
              <w:pStyle w:val="TableText"/>
              <w:adjustRightInd w:val="0"/>
              <w:snapToGrid w:val="0"/>
              <w:jc w:val="center"/>
              <w:rPr>
                <w:rFonts w:ascii="Times New Roman" w:hAnsi="Times New Roman" w:cs="Times New Roman"/>
                <w:lang w:eastAsia="zh-CN"/>
              </w:rPr>
            </w:pPr>
            <w:r w:rsidRPr="00517EC7">
              <w:rPr>
                <w:rFonts w:ascii="Times New Roman" w:hAnsi="Times New Roman" w:cs="Times New Roman"/>
                <w:spacing w:val="8"/>
                <w:lang w:eastAsia="zh-CN"/>
              </w:rPr>
              <w:t>厂区内填埋区南侧（</w:t>
            </w:r>
            <w:r w:rsidRPr="00517EC7">
              <w:rPr>
                <w:rFonts w:ascii="Times New Roman" w:hAnsi="Times New Roman" w:cs="Times New Roman"/>
                <w:spacing w:val="8"/>
                <w:lang w:eastAsia="zh-CN"/>
              </w:rPr>
              <w:t>124.981758 46.431589</w:t>
            </w:r>
            <w:r w:rsidRPr="00517EC7">
              <w:rPr>
                <w:rFonts w:ascii="Times New Roman" w:hAnsi="Times New Roman" w:cs="Times New Roman"/>
                <w:spacing w:val="8"/>
                <w:lang w:eastAsia="zh-CN"/>
              </w:rPr>
              <w:t>）</w:t>
            </w:r>
          </w:p>
        </w:tc>
        <w:tc>
          <w:tcPr>
            <w:tcW w:w="1766" w:type="pct"/>
            <w:vAlign w:val="center"/>
          </w:tcPr>
          <w:p w14:paraId="3BA6E811" w14:textId="1E937C58" w:rsidR="001E6EF7" w:rsidRDefault="001E6EF7" w:rsidP="001E6EF7">
            <w:pPr>
              <w:pStyle w:val="TableText"/>
              <w:adjustRightInd w:val="0"/>
              <w:snapToGrid w:val="0"/>
              <w:rPr>
                <w:rFonts w:ascii="Times New Roman" w:hAnsi="Times New Roman" w:cs="Times New Roman"/>
                <w:lang w:eastAsia="zh-CN"/>
              </w:rPr>
            </w:pPr>
            <w:r w:rsidRPr="001E6EF7">
              <w:rPr>
                <w:rFonts w:ascii="Times New Roman" w:hAnsi="Times New Roman" w:cs="Times New Roman"/>
                <w:spacing w:val="8"/>
                <w:lang w:eastAsia="zh-CN"/>
              </w:rPr>
              <w:t>pH</w:t>
            </w:r>
            <w:r w:rsidRPr="001E6EF7">
              <w:rPr>
                <w:rFonts w:ascii="Times New Roman" w:hAnsi="Times New Roman" w:cs="Times New Roman"/>
                <w:spacing w:val="8"/>
                <w:lang w:eastAsia="zh-CN"/>
              </w:rPr>
              <w:t>、石油烃（</w:t>
            </w:r>
            <w:r w:rsidRPr="001E6EF7">
              <w:rPr>
                <w:rFonts w:ascii="Times New Roman" w:hAnsi="Times New Roman" w:cs="Times New Roman"/>
                <w:spacing w:val="8"/>
                <w:lang w:eastAsia="zh-CN"/>
              </w:rPr>
              <w:t>C</w:t>
            </w:r>
            <w:r w:rsidRPr="001E6EF7">
              <w:rPr>
                <w:rFonts w:ascii="Times New Roman" w:hAnsi="Times New Roman" w:cs="Times New Roman"/>
                <w:spacing w:val="8"/>
                <w:vertAlign w:val="subscript"/>
                <w:lang w:eastAsia="zh-CN"/>
              </w:rPr>
              <w:t>10</w:t>
            </w:r>
            <w:r w:rsidRPr="001E6EF7">
              <w:rPr>
                <w:rFonts w:ascii="Times New Roman" w:hAnsi="Times New Roman" w:cs="Times New Roman"/>
                <w:spacing w:val="8"/>
                <w:lang w:eastAsia="zh-CN"/>
              </w:rPr>
              <w:t>-C</w:t>
            </w:r>
            <w:r w:rsidRPr="001E6EF7">
              <w:rPr>
                <w:rFonts w:ascii="Times New Roman" w:hAnsi="Times New Roman" w:cs="Times New Roman"/>
                <w:spacing w:val="8"/>
                <w:vertAlign w:val="subscript"/>
                <w:lang w:eastAsia="zh-CN"/>
              </w:rPr>
              <w:t>40</w:t>
            </w:r>
            <w:r w:rsidRPr="001E6EF7">
              <w:rPr>
                <w:rFonts w:ascii="Times New Roman" w:hAnsi="Times New Roman" w:cs="Times New Roman"/>
                <w:spacing w:val="8"/>
                <w:lang w:eastAsia="zh-CN"/>
              </w:rPr>
              <w:t>）、砷、镉、铬（六价）、铜、铅、汞、镍、四氯化碳、氯仿、氯甲烷、</w:t>
            </w:r>
            <w:r w:rsidRPr="001E6EF7">
              <w:rPr>
                <w:rFonts w:ascii="Times New Roman" w:hAnsi="Times New Roman" w:cs="Times New Roman"/>
                <w:spacing w:val="8"/>
                <w:lang w:eastAsia="zh-CN"/>
              </w:rPr>
              <w:t>1,1-</w:t>
            </w:r>
            <w:r w:rsidRPr="001E6EF7">
              <w:rPr>
                <w:rFonts w:ascii="Times New Roman" w:hAnsi="Times New Roman" w:cs="Times New Roman"/>
                <w:spacing w:val="8"/>
                <w:lang w:eastAsia="zh-CN"/>
              </w:rPr>
              <w:t>二氯乙烷、</w:t>
            </w:r>
            <w:r w:rsidRPr="001E6EF7">
              <w:rPr>
                <w:rFonts w:ascii="Times New Roman" w:hAnsi="Times New Roman" w:cs="Times New Roman"/>
                <w:spacing w:val="8"/>
                <w:lang w:eastAsia="zh-CN"/>
              </w:rPr>
              <w:t>1,2-</w:t>
            </w:r>
            <w:r w:rsidRPr="001E6EF7">
              <w:rPr>
                <w:rFonts w:ascii="Times New Roman" w:hAnsi="Times New Roman" w:cs="Times New Roman"/>
                <w:spacing w:val="8"/>
                <w:lang w:eastAsia="zh-CN"/>
              </w:rPr>
              <w:t>二氯乙烷、</w:t>
            </w:r>
            <w:r w:rsidRPr="001E6EF7">
              <w:rPr>
                <w:rFonts w:ascii="Times New Roman" w:hAnsi="Times New Roman" w:cs="Times New Roman"/>
                <w:spacing w:val="8"/>
                <w:lang w:eastAsia="zh-CN"/>
              </w:rPr>
              <w:t>1,1-</w:t>
            </w:r>
            <w:r w:rsidRPr="001E6EF7">
              <w:rPr>
                <w:rFonts w:ascii="Times New Roman" w:hAnsi="Times New Roman" w:cs="Times New Roman"/>
                <w:spacing w:val="8"/>
                <w:lang w:eastAsia="zh-CN"/>
              </w:rPr>
              <w:t>二氯乙烯、顺</w:t>
            </w:r>
            <w:r w:rsidRPr="001E6EF7">
              <w:rPr>
                <w:rFonts w:ascii="Times New Roman" w:hAnsi="Times New Roman" w:cs="Times New Roman"/>
                <w:spacing w:val="8"/>
                <w:lang w:eastAsia="zh-CN"/>
              </w:rPr>
              <w:t>-1,2-</w:t>
            </w:r>
            <w:r w:rsidRPr="001E6EF7">
              <w:rPr>
                <w:rFonts w:ascii="Times New Roman" w:hAnsi="Times New Roman" w:cs="Times New Roman"/>
                <w:spacing w:val="8"/>
                <w:lang w:eastAsia="zh-CN"/>
              </w:rPr>
              <w:t>二氯乙烯、反</w:t>
            </w:r>
            <w:r w:rsidRPr="001E6EF7">
              <w:rPr>
                <w:rFonts w:ascii="Times New Roman" w:hAnsi="Times New Roman" w:cs="Times New Roman"/>
                <w:spacing w:val="8"/>
                <w:lang w:eastAsia="zh-CN"/>
              </w:rPr>
              <w:t>-1,2-</w:t>
            </w:r>
            <w:r w:rsidRPr="001E6EF7">
              <w:rPr>
                <w:rFonts w:ascii="Times New Roman" w:hAnsi="Times New Roman" w:cs="Times New Roman"/>
                <w:spacing w:val="8"/>
                <w:lang w:eastAsia="zh-CN"/>
              </w:rPr>
              <w:t>二氯乙烯、二氯甲烷、</w:t>
            </w:r>
            <w:r w:rsidRPr="001E6EF7">
              <w:rPr>
                <w:rFonts w:ascii="Times New Roman" w:hAnsi="Times New Roman" w:cs="Times New Roman"/>
                <w:spacing w:val="8"/>
                <w:lang w:eastAsia="zh-CN"/>
              </w:rPr>
              <w:t>1,2-</w:t>
            </w:r>
            <w:r w:rsidRPr="001E6EF7">
              <w:rPr>
                <w:rFonts w:ascii="Times New Roman" w:hAnsi="Times New Roman" w:cs="Times New Roman"/>
                <w:spacing w:val="8"/>
                <w:lang w:eastAsia="zh-CN"/>
              </w:rPr>
              <w:t>二氯丙烷、</w:t>
            </w:r>
            <w:r w:rsidRPr="001E6EF7">
              <w:rPr>
                <w:rFonts w:ascii="Times New Roman" w:hAnsi="Times New Roman" w:cs="Times New Roman"/>
                <w:spacing w:val="8"/>
                <w:lang w:eastAsia="zh-CN"/>
              </w:rPr>
              <w:t>1,1,1,2-</w:t>
            </w:r>
            <w:r w:rsidRPr="001E6EF7">
              <w:rPr>
                <w:rFonts w:ascii="Times New Roman" w:hAnsi="Times New Roman" w:cs="Times New Roman"/>
                <w:spacing w:val="8"/>
                <w:lang w:eastAsia="zh-CN"/>
              </w:rPr>
              <w:t>四氯乙烷、</w:t>
            </w:r>
            <w:r w:rsidRPr="001E6EF7">
              <w:rPr>
                <w:rFonts w:ascii="Times New Roman" w:hAnsi="Times New Roman" w:cs="Times New Roman"/>
                <w:spacing w:val="8"/>
                <w:lang w:eastAsia="zh-CN"/>
              </w:rPr>
              <w:t>1,1,2,2-</w:t>
            </w:r>
            <w:r w:rsidRPr="001E6EF7">
              <w:rPr>
                <w:rFonts w:ascii="Times New Roman" w:hAnsi="Times New Roman" w:cs="Times New Roman"/>
                <w:spacing w:val="8"/>
                <w:lang w:eastAsia="zh-CN"/>
              </w:rPr>
              <w:t>四氯乙烷、四氯乙烯、</w:t>
            </w:r>
            <w:r w:rsidRPr="001E6EF7">
              <w:rPr>
                <w:rFonts w:ascii="Times New Roman" w:hAnsi="Times New Roman" w:cs="Times New Roman"/>
                <w:spacing w:val="8"/>
                <w:lang w:eastAsia="zh-CN"/>
              </w:rPr>
              <w:t>1,1,1-</w:t>
            </w:r>
            <w:r w:rsidRPr="001E6EF7">
              <w:rPr>
                <w:rFonts w:ascii="Times New Roman" w:hAnsi="Times New Roman" w:cs="Times New Roman"/>
                <w:spacing w:val="8"/>
                <w:lang w:eastAsia="zh-CN"/>
              </w:rPr>
              <w:t>三氯乙烷、</w:t>
            </w:r>
            <w:r w:rsidRPr="001E6EF7">
              <w:rPr>
                <w:rFonts w:ascii="Times New Roman" w:hAnsi="Times New Roman" w:cs="Times New Roman"/>
                <w:spacing w:val="8"/>
                <w:lang w:eastAsia="zh-CN"/>
              </w:rPr>
              <w:t>1,1,2-</w:t>
            </w:r>
            <w:r w:rsidRPr="001E6EF7">
              <w:rPr>
                <w:rFonts w:ascii="Times New Roman" w:hAnsi="Times New Roman" w:cs="Times New Roman"/>
                <w:spacing w:val="8"/>
                <w:lang w:eastAsia="zh-CN"/>
              </w:rPr>
              <w:t>三氯乙烷、三氯乙烯、</w:t>
            </w:r>
            <w:r w:rsidRPr="001E6EF7">
              <w:rPr>
                <w:rFonts w:ascii="Times New Roman" w:hAnsi="Times New Roman" w:cs="Times New Roman"/>
                <w:spacing w:val="8"/>
                <w:lang w:eastAsia="zh-CN"/>
              </w:rPr>
              <w:t>1,2,3-</w:t>
            </w:r>
            <w:r w:rsidRPr="001E6EF7">
              <w:rPr>
                <w:rFonts w:ascii="Times New Roman" w:hAnsi="Times New Roman" w:cs="Times New Roman"/>
                <w:spacing w:val="8"/>
                <w:lang w:eastAsia="zh-CN"/>
              </w:rPr>
              <w:t>三氯丙烷、氯乙烯、苯、氯苯、</w:t>
            </w:r>
            <w:r w:rsidRPr="001E6EF7">
              <w:rPr>
                <w:rFonts w:ascii="Times New Roman" w:hAnsi="Times New Roman" w:cs="Times New Roman"/>
                <w:spacing w:val="8"/>
                <w:lang w:eastAsia="zh-CN"/>
              </w:rPr>
              <w:t>1,2-</w:t>
            </w:r>
            <w:r w:rsidRPr="001E6EF7">
              <w:rPr>
                <w:rFonts w:ascii="Times New Roman" w:hAnsi="Times New Roman" w:cs="Times New Roman"/>
                <w:spacing w:val="8"/>
                <w:lang w:eastAsia="zh-CN"/>
              </w:rPr>
              <w:t>二氯苯、</w:t>
            </w:r>
            <w:r w:rsidRPr="001E6EF7">
              <w:rPr>
                <w:rFonts w:ascii="Times New Roman" w:hAnsi="Times New Roman" w:cs="Times New Roman"/>
                <w:spacing w:val="8"/>
                <w:lang w:eastAsia="zh-CN"/>
              </w:rPr>
              <w:t>1,4-</w:t>
            </w:r>
            <w:r w:rsidRPr="001E6EF7">
              <w:rPr>
                <w:rFonts w:ascii="Times New Roman" w:hAnsi="Times New Roman" w:cs="Times New Roman"/>
                <w:spacing w:val="8"/>
                <w:lang w:eastAsia="zh-CN"/>
              </w:rPr>
              <w:t>二氯苯、乙苯、苯乙烯、甲苯、间二甲苯</w:t>
            </w:r>
            <w:r w:rsidRPr="001E6EF7">
              <w:rPr>
                <w:rFonts w:ascii="Times New Roman" w:hAnsi="Times New Roman" w:cs="Times New Roman"/>
                <w:spacing w:val="8"/>
                <w:lang w:eastAsia="zh-CN"/>
              </w:rPr>
              <w:t>+</w:t>
            </w:r>
            <w:r w:rsidRPr="001E6EF7">
              <w:rPr>
                <w:rFonts w:ascii="Times New Roman" w:hAnsi="Times New Roman" w:cs="Times New Roman"/>
                <w:spacing w:val="8"/>
                <w:lang w:eastAsia="zh-CN"/>
              </w:rPr>
              <w:t>对二甲苯、邻二甲苯、硝基苯、苯胺、</w:t>
            </w:r>
            <w:r w:rsidRPr="001E6EF7">
              <w:rPr>
                <w:rFonts w:ascii="Times New Roman" w:hAnsi="Times New Roman" w:cs="Times New Roman"/>
                <w:spacing w:val="8"/>
                <w:lang w:eastAsia="zh-CN"/>
              </w:rPr>
              <w:t>2-</w:t>
            </w:r>
            <w:r w:rsidRPr="001E6EF7">
              <w:rPr>
                <w:rFonts w:ascii="Times New Roman" w:hAnsi="Times New Roman" w:cs="Times New Roman"/>
                <w:spacing w:val="8"/>
                <w:lang w:eastAsia="zh-CN"/>
              </w:rPr>
              <w:t>氯酚、苯并</w:t>
            </w:r>
            <w:r w:rsidRPr="001E6EF7">
              <w:rPr>
                <w:rFonts w:ascii="Times New Roman" w:hAnsi="Times New Roman" w:cs="Times New Roman"/>
                <w:spacing w:val="8"/>
                <w:lang w:eastAsia="zh-CN"/>
              </w:rPr>
              <w:t>[a]</w:t>
            </w:r>
            <w:r w:rsidRPr="001E6EF7">
              <w:rPr>
                <w:rFonts w:ascii="Times New Roman" w:hAnsi="Times New Roman" w:cs="Times New Roman"/>
                <w:spacing w:val="8"/>
                <w:lang w:eastAsia="zh-CN"/>
              </w:rPr>
              <w:t>蒽、苯并</w:t>
            </w:r>
            <w:r w:rsidRPr="001E6EF7">
              <w:rPr>
                <w:rFonts w:ascii="Times New Roman" w:hAnsi="Times New Roman" w:cs="Times New Roman"/>
                <w:spacing w:val="8"/>
                <w:lang w:eastAsia="zh-CN"/>
              </w:rPr>
              <w:t>[a]</w:t>
            </w:r>
            <w:r w:rsidRPr="001E6EF7">
              <w:rPr>
                <w:rFonts w:ascii="Times New Roman" w:hAnsi="Times New Roman" w:cs="Times New Roman"/>
                <w:spacing w:val="8"/>
                <w:lang w:eastAsia="zh-CN"/>
              </w:rPr>
              <w:t>芘、苯并</w:t>
            </w:r>
            <w:r w:rsidRPr="001E6EF7">
              <w:rPr>
                <w:rFonts w:ascii="Times New Roman" w:hAnsi="Times New Roman" w:cs="Times New Roman"/>
                <w:spacing w:val="8"/>
                <w:lang w:eastAsia="zh-CN"/>
              </w:rPr>
              <w:t>[b]</w:t>
            </w:r>
            <w:r w:rsidRPr="001E6EF7">
              <w:rPr>
                <w:rFonts w:ascii="Times New Roman" w:hAnsi="Times New Roman" w:cs="Times New Roman"/>
                <w:spacing w:val="8"/>
                <w:lang w:eastAsia="zh-CN"/>
              </w:rPr>
              <w:t>荧蒽、苯并</w:t>
            </w:r>
            <w:r w:rsidRPr="001E6EF7">
              <w:rPr>
                <w:rFonts w:ascii="Times New Roman" w:hAnsi="Times New Roman" w:cs="Times New Roman"/>
                <w:spacing w:val="8"/>
                <w:lang w:eastAsia="zh-CN"/>
              </w:rPr>
              <w:t>[k]</w:t>
            </w:r>
            <w:r w:rsidRPr="001E6EF7">
              <w:rPr>
                <w:rFonts w:ascii="Times New Roman" w:hAnsi="Times New Roman" w:cs="Times New Roman"/>
                <w:spacing w:val="8"/>
                <w:lang w:eastAsia="zh-CN"/>
              </w:rPr>
              <w:t>荧蒽、䓛、二苯并</w:t>
            </w:r>
            <w:r w:rsidRPr="001E6EF7">
              <w:rPr>
                <w:rFonts w:ascii="Times New Roman" w:hAnsi="Times New Roman" w:cs="Times New Roman"/>
                <w:spacing w:val="8"/>
                <w:lang w:eastAsia="zh-CN"/>
              </w:rPr>
              <w:t>[a, h]</w:t>
            </w:r>
            <w:r w:rsidRPr="001E6EF7">
              <w:rPr>
                <w:rFonts w:ascii="Times New Roman" w:hAnsi="Times New Roman" w:cs="Times New Roman"/>
                <w:spacing w:val="8"/>
                <w:lang w:eastAsia="zh-CN"/>
              </w:rPr>
              <w:t>蒽、茚并</w:t>
            </w:r>
            <w:r w:rsidRPr="001E6EF7">
              <w:rPr>
                <w:rFonts w:ascii="Times New Roman" w:hAnsi="Times New Roman" w:cs="Times New Roman"/>
                <w:spacing w:val="8"/>
                <w:lang w:eastAsia="zh-CN"/>
              </w:rPr>
              <w:t>[1,2,3-cd]</w:t>
            </w:r>
            <w:r w:rsidRPr="001E6EF7">
              <w:rPr>
                <w:rFonts w:ascii="Times New Roman" w:hAnsi="Times New Roman" w:cs="Times New Roman"/>
                <w:spacing w:val="8"/>
                <w:lang w:eastAsia="zh-CN"/>
              </w:rPr>
              <w:t>芘、萘</w:t>
            </w:r>
          </w:p>
        </w:tc>
        <w:tc>
          <w:tcPr>
            <w:tcW w:w="401" w:type="pct"/>
            <w:vAlign w:val="center"/>
          </w:tcPr>
          <w:p w14:paraId="0D21A540" w14:textId="77777777" w:rsidR="001E6EF7" w:rsidRDefault="001E6EF7">
            <w:pPr>
              <w:pStyle w:val="TableText"/>
              <w:adjustRightInd w:val="0"/>
              <w:snapToGrid w:val="0"/>
              <w:jc w:val="center"/>
              <w:rPr>
                <w:rFonts w:ascii="Times New Roman" w:hAnsi="Times New Roman" w:cs="Times New Roman"/>
              </w:rPr>
            </w:pPr>
            <w:r>
              <w:rPr>
                <w:rFonts w:ascii="Times New Roman" w:eastAsia="Times New Roman" w:hAnsi="Times New Roman" w:cs="Times New Roman"/>
                <w:spacing w:val="-4"/>
              </w:rPr>
              <w:t>1</w:t>
            </w:r>
            <w:r>
              <w:rPr>
                <w:rFonts w:ascii="Times New Roman" w:hAnsi="Times New Roman" w:cs="Times New Roman"/>
                <w:spacing w:val="-4"/>
              </w:rPr>
              <w:t>次</w:t>
            </w:r>
            <w:r>
              <w:rPr>
                <w:rFonts w:ascii="Times New Roman" w:eastAsia="Times New Roman" w:hAnsi="Times New Roman" w:cs="Times New Roman"/>
                <w:spacing w:val="-4"/>
              </w:rPr>
              <w:t>/5</w:t>
            </w:r>
            <w:r>
              <w:rPr>
                <w:rFonts w:ascii="Times New Roman" w:hAnsi="Times New Roman" w:cs="Times New Roman"/>
                <w:spacing w:val="-4"/>
              </w:rPr>
              <w:t>年</w:t>
            </w:r>
          </w:p>
        </w:tc>
        <w:tc>
          <w:tcPr>
            <w:tcW w:w="1392" w:type="pct"/>
            <w:vAlign w:val="center"/>
          </w:tcPr>
          <w:p w14:paraId="2DBE7432" w14:textId="2B45115E" w:rsidR="001E6EF7" w:rsidRDefault="001E6EF7">
            <w:pPr>
              <w:pStyle w:val="TableText"/>
              <w:adjustRightInd w:val="0"/>
              <w:snapToGrid w:val="0"/>
              <w:jc w:val="center"/>
              <w:rPr>
                <w:rFonts w:ascii="Times New Roman" w:eastAsia="Times New Roman" w:hAnsi="Times New Roman" w:cs="Times New Roman"/>
                <w:spacing w:val="-4"/>
                <w:lang w:eastAsia="zh-CN"/>
              </w:rPr>
            </w:pPr>
            <w:r w:rsidRPr="001E6EF7">
              <w:rPr>
                <w:rFonts w:hint="eastAsia"/>
                <w:spacing w:val="-4"/>
                <w:lang w:eastAsia="zh-CN"/>
              </w:rPr>
              <w:t>《土壤环境质量</w:t>
            </w:r>
            <w:r w:rsidRPr="001E6EF7">
              <w:rPr>
                <w:rFonts w:ascii="Times New Roman" w:eastAsia="Times New Roman" w:hAnsi="Times New Roman" w:cs="Times New Roman"/>
                <w:spacing w:val="-4"/>
                <w:lang w:eastAsia="zh-CN"/>
              </w:rPr>
              <w:t xml:space="preserve"> </w:t>
            </w:r>
            <w:r w:rsidRPr="001E6EF7">
              <w:rPr>
                <w:rFonts w:hint="eastAsia"/>
                <w:spacing w:val="-4"/>
                <w:lang w:eastAsia="zh-CN"/>
              </w:rPr>
              <w:t>建设用地土壤污染风险管控标准（试行）》（</w:t>
            </w:r>
            <w:r w:rsidRPr="001E6EF7">
              <w:rPr>
                <w:rFonts w:ascii="Times New Roman" w:eastAsia="Times New Roman" w:hAnsi="Times New Roman" w:cs="Times New Roman"/>
                <w:spacing w:val="-4"/>
                <w:lang w:eastAsia="zh-CN"/>
              </w:rPr>
              <w:t>GB36600-2018</w:t>
            </w:r>
            <w:r w:rsidRPr="001E6EF7">
              <w:rPr>
                <w:rFonts w:hint="eastAsia"/>
                <w:spacing w:val="-4"/>
                <w:lang w:eastAsia="zh-CN"/>
              </w:rPr>
              <w:t>）表</w:t>
            </w:r>
            <w:r w:rsidRPr="001E6EF7">
              <w:rPr>
                <w:rFonts w:ascii="Times New Roman" w:eastAsia="Times New Roman" w:hAnsi="Times New Roman" w:cs="Times New Roman"/>
                <w:spacing w:val="-4"/>
                <w:lang w:eastAsia="zh-CN"/>
              </w:rPr>
              <w:t>1</w:t>
            </w:r>
            <w:r w:rsidRPr="001E6EF7">
              <w:rPr>
                <w:rFonts w:hint="eastAsia"/>
                <w:spacing w:val="-4"/>
                <w:lang w:eastAsia="zh-CN"/>
              </w:rPr>
              <w:t>中第二类用地的筛选值</w:t>
            </w:r>
          </w:p>
        </w:tc>
      </w:tr>
    </w:tbl>
    <w:p w14:paraId="0052A57A" w14:textId="0BB2727E" w:rsidR="00D47CC5" w:rsidRDefault="00D47CC5" w:rsidP="00D47CC5">
      <w:pPr>
        <w:pStyle w:val="affffff5"/>
      </w:pPr>
      <w:r>
        <w:t>表</w:t>
      </w:r>
      <w:r>
        <w:rPr>
          <w:rFonts w:hint="eastAsia"/>
        </w:rPr>
        <w:t>9</w:t>
      </w:r>
      <w:r>
        <w:t>.2-</w:t>
      </w:r>
      <w:r>
        <w:rPr>
          <w:rFonts w:hint="eastAsia"/>
        </w:rPr>
        <w:t>3</w:t>
      </w:r>
      <w:r>
        <w:t xml:space="preserve"> </w:t>
      </w:r>
      <w:r>
        <w:rPr>
          <w:rFonts w:hint="eastAsia"/>
        </w:rPr>
        <w:t>环境质量</w:t>
      </w:r>
      <w:r>
        <w:t>监测计划</w:t>
      </w:r>
    </w:p>
    <w:tbl>
      <w:tblPr>
        <w:tblStyle w:val="TableNormal"/>
        <w:tblW w:w="5000" w:type="pct"/>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0"/>
        <w:gridCol w:w="880"/>
        <w:gridCol w:w="1986"/>
        <w:gridCol w:w="2269"/>
        <w:gridCol w:w="991"/>
        <w:gridCol w:w="2318"/>
      </w:tblGrid>
      <w:tr w:rsidR="001E6EF7" w14:paraId="1FC9E397" w14:textId="42B67BD2" w:rsidTr="00844321">
        <w:trPr>
          <w:trHeight w:val="57"/>
          <w:jc w:val="center"/>
        </w:trPr>
        <w:tc>
          <w:tcPr>
            <w:tcW w:w="221" w:type="pct"/>
            <w:vAlign w:val="center"/>
          </w:tcPr>
          <w:p w14:paraId="7DA2DC02" w14:textId="77777777" w:rsidR="001E6EF7" w:rsidRDefault="001E6EF7" w:rsidP="00454C5A">
            <w:pPr>
              <w:pStyle w:val="TableText"/>
              <w:adjustRightInd w:val="0"/>
              <w:snapToGrid w:val="0"/>
              <w:jc w:val="center"/>
              <w:rPr>
                <w:rFonts w:ascii="Times New Roman" w:hAnsi="Times New Roman" w:cs="Times New Roman"/>
              </w:rPr>
            </w:pPr>
            <w:r>
              <w:rPr>
                <w:rFonts w:ascii="Times New Roman" w:hAnsi="Times New Roman" w:cs="Times New Roman"/>
                <w:spacing w:val="5"/>
              </w:rPr>
              <w:t>序号</w:t>
            </w:r>
          </w:p>
        </w:tc>
        <w:tc>
          <w:tcPr>
            <w:tcW w:w="498" w:type="pct"/>
            <w:vAlign w:val="center"/>
          </w:tcPr>
          <w:p w14:paraId="6BDF3CC0" w14:textId="7047C9F1" w:rsidR="001E6EF7" w:rsidRDefault="001E6EF7" w:rsidP="00454C5A">
            <w:pPr>
              <w:pStyle w:val="TableText"/>
              <w:adjustRightInd w:val="0"/>
              <w:snapToGrid w:val="0"/>
              <w:jc w:val="center"/>
              <w:rPr>
                <w:rFonts w:ascii="Times New Roman" w:hAnsi="Times New Roman" w:cs="Times New Roman"/>
              </w:rPr>
            </w:pPr>
            <w:r>
              <w:rPr>
                <w:rFonts w:ascii="Times New Roman" w:hAnsi="Times New Roman" w:cs="Times New Roman" w:hint="eastAsia"/>
                <w:spacing w:val="7"/>
                <w:lang w:eastAsia="zh-CN"/>
              </w:rPr>
              <w:t>环境因素</w:t>
            </w:r>
          </w:p>
        </w:tc>
        <w:tc>
          <w:tcPr>
            <w:tcW w:w="1124" w:type="pct"/>
            <w:vAlign w:val="center"/>
          </w:tcPr>
          <w:p w14:paraId="6E2A7BEC" w14:textId="77777777" w:rsidR="001E6EF7" w:rsidRDefault="001E6EF7" w:rsidP="00454C5A">
            <w:pPr>
              <w:pStyle w:val="TableText"/>
              <w:adjustRightInd w:val="0"/>
              <w:snapToGrid w:val="0"/>
              <w:jc w:val="center"/>
              <w:rPr>
                <w:rFonts w:ascii="Times New Roman" w:hAnsi="Times New Roman" w:cs="Times New Roman"/>
              </w:rPr>
            </w:pPr>
            <w:r>
              <w:rPr>
                <w:rFonts w:ascii="Times New Roman" w:hAnsi="Times New Roman" w:cs="Times New Roman"/>
                <w:spacing w:val="6"/>
              </w:rPr>
              <w:t>监测点</w:t>
            </w:r>
          </w:p>
        </w:tc>
        <w:tc>
          <w:tcPr>
            <w:tcW w:w="1284" w:type="pct"/>
            <w:vAlign w:val="center"/>
          </w:tcPr>
          <w:p w14:paraId="6EE0F568" w14:textId="77777777" w:rsidR="001E6EF7" w:rsidRDefault="001E6EF7" w:rsidP="00454C5A">
            <w:pPr>
              <w:pStyle w:val="TableText"/>
              <w:adjustRightInd w:val="0"/>
              <w:snapToGrid w:val="0"/>
              <w:jc w:val="center"/>
              <w:rPr>
                <w:rFonts w:ascii="Times New Roman" w:hAnsi="Times New Roman" w:cs="Times New Roman"/>
              </w:rPr>
            </w:pPr>
            <w:r>
              <w:rPr>
                <w:rFonts w:ascii="Times New Roman" w:hAnsi="Times New Roman" w:cs="Times New Roman"/>
                <w:spacing w:val="7"/>
              </w:rPr>
              <w:t>监测因子</w:t>
            </w:r>
          </w:p>
        </w:tc>
        <w:tc>
          <w:tcPr>
            <w:tcW w:w="561" w:type="pct"/>
            <w:vAlign w:val="center"/>
          </w:tcPr>
          <w:p w14:paraId="47338D8B" w14:textId="77777777" w:rsidR="001E6EF7" w:rsidRDefault="001E6EF7" w:rsidP="00454C5A">
            <w:pPr>
              <w:pStyle w:val="TableText"/>
              <w:adjustRightInd w:val="0"/>
              <w:snapToGrid w:val="0"/>
              <w:jc w:val="center"/>
              <w:rPr>
                <w:rFonts w:ascii="Times New Roman" w:hAnsi="Times New Roman" w:cs="Times New Roman"/>
              </w:rPr>
            </w:pPr>
            <w:r>
              <w:rPr>
                <w:rFonts w:ascii="Times New Roman" w:hAnsi="Times New Roman" w:cs="Times New Roman"/>
                <w:spacing w:val="7"/>
              </w:rPr>
              <w:t>监测频率</w:t>
            </w:r>
          </w:p>
        </w:tc>
        <w:tc>
          <w:tcPr>
            <w:tcW w:w="1312" w:type="pct"/>
            <w:vAlign w:val="center"/>
          </w:tcPr>
          <w:p w14:paraId="6DB8ECE5" w14:textId="77777777" w:rsidR="001E6EF7" w:rsidRDefault="001E6EF7" w:rsidP="00454C5A">
            <w:pPr>
              <w:pStyle w:val="TableText"/>
              <w:adjustRightInd w:val="0"/>
              <w:snapToGrid w:val="0"/>
              <w:jc w:val="center"/>
              <w:rPr>
                <w:rFonts w:ascii="Times New Roman" w:hAnsi="Times New Roman" w:cs="Times New Roman"/>
                <w:spacing w:val="7"/>
              </w:rPr>
            </w:pPr>
          </w:p>
        </w:tc>
      </w:tr>
      <w:tr w:rsidR="001E6EF7" w14:paraId="0020F7ED" w14:textId="6A650393" w:rsidTr="00844321">
        <w:trPr>
          <w:trHeight w:val="816"/>
          <w:jc w:val="center"/>
        </w:trPr>
        <w:tc>
          <w:tcPr>
            <w:tcW w:w="221" w:type="pct"/>
            <w:vAlign w:val="center"/>
          </w:tcPr>
          <w:p w14:paraId="1F2CE662" w14:textId="77777777" w:rsidR="001E6EF7" w:rsidRDefault="001E6EF7" w:rsidP="00454C5A">
            <w:pPr>
              <w:adjustRightInd w:val="0"/>
              <w:snapToGrid w:val="0"/>
              <w:jc w:val="center"/>
              <w:rPr>
                <w:rFonts w:eastAsia="Times New Roman"/>
                <w:sz w:val="20"/>
                <w:szCs w:val="20"/>
              </w:rPr>
            </w:pPr>
            <w:r>
              <w:rPr>
                <w:rFonts w:eastAsia="Times New Roman"/>
                <w:sz w:val="20"/>
                <w:szCs w:val="20"/>
              </w:rPr>
              <w:t>1</w:t>
            </w:r>
          </w:p>
        </w:tc>
        <w:tc>
          <w:tcPr>
            <w:tcW w:w="498" w:type="pct"/>
            <w:vAlign w:val="center"/>
          </w:tcPr>
          <w:p w14:paraId="188EFEDE" w14:textId="759A2D08" w:rsidR="001E6EF7" w:rsidRDefault="001E6EF7" w:rsidP="00454C5A">
            <w:pPr>
              <w:pStyle w:val="TableText"/>
              <w:adjustRightInd w:val="0"/>
              <w:snapToGrid w:val="0"/>
              <w:jc w:val="center"/>
              <w:rPr>
                <w:rFonts w:ascii="Times New Roman" w:hAnsi="Times New Roman" w:cs="Times New Roman"/>
              </w:rPr>
            </w:pPr>
            <w:r>
              <w:rPr>
                <w:rFonts w:ascii="Times New Roman" w:hAnsi="Times New Roman" w:cs="Times New Roman" w:hint="eastAsia"/>
                <w:spacing w:val="5"/>
                <w:lang w:eastAsia="zh-CN"/>
              </w:rPr>
              <w:t>地表水环境</w:t>
            </w:r>
          </w:p>
        </w:tc>
        <w:tc>
          <w:tcPr>
            <w:tcW w:w="1124" w:type="pct"/>
            <w:vAlign w:val="center"/>
          </w:tcPr>
          <w:p w14:paraId="40D44624" w14:textId="18D95AFB" w:rsidR="001E6EF7" w:rsidRDefault="001E6EF7" w:rsidP="00CD4BCF">
            <w:pPr>
              <w:pStyle w:val="TableText"/>
              <w:adjustRightInd w:val="0"/>
              <w:snapToGrid w:val="0"/>
              <w:jc w:val="center"/>
              <w:rPr>
                <w:rFonts w:ascii="Times New Roman" w:hAnsi="Times New Roman" w:cs="Times New Roman"/>
                <w:lang w:eastAsia="zh-CN"/>
              </w:rPr>
            </w:pPr>
            <w:r w:rsidRPr="00D47CC5">
              <w:rPr>
                <w:rFonts w:ascii="Times New Roman" w:hAnsi="Times New Roman" w:cs="Times New Roman" w:hint="eastAsia"/>
                <w:spacing w:val="8"/>
                <w:lang w:eastAsia="zh-CN"/>
              </w:rPr>
              <w:t>中央排干</w:t>
            </w:r>
            <w:r>
              <w:rPr>
                <w:rFonts w:ascii="Times New Roman" w:hAnsi="Times New Roman" w:cs="Times New Roman" w:hint="eastAsia"/>
                <w:spacing w:val="8"/>
                <w:lang w:eastAsia="zh-CN"/>
              </w:rPr>
              <w:t>（</w:t>
            </w:r>
            <w:r w:rsidRPr="00D47CC5">
              <w:rPr>
                <w:rFonts w:ascii="Times New Roman" w:hAnsi="Times New Roman" w:cs="Times New Roman" w:hint="eastAsia"/>
                <w:spacing w:val="8"/>
                <w:lang w:eastAsia="zh-CN"/>
              </w:rPr>
              <w:t>124.97741884</w:t>
            </w:r>
            <w:r w:rsidRPr="00D47CC5">
              <w:rPr>
                <w:rFonts w:ascii="Times New Roman" w:hAnsi="Times New Roman" w:cs="Times New Roman" w:hint="eastAsia"/>
                <w:spacing w:val="8"/>
                <w:lang w:eastAsia="zh-CN"/>
              </w:rPr>
              <w:t>，</w:t>
            </w:r>
            <w:r w:rsidRPr="00D47CC5">
              <w:rPr>
                <w:rFonts w:ascii="Times New Roman" w:hAnsi="Times New Roman" w:cs="Times New Roman" w:hint="eastAsia"/>
                <w:spacing w:val="8"/>
                <w:lang w:eastAsia="zh-CN"/>
              </w:rPr>
              <w:t>46.43162857</w:t>
            </w:r>
            <w:r>
              <w:rPr>
                <w:rFonts w:ascii="Times New Roman" w:hAnsi="Times New Roman" w:cs="Times New Roman" w:hint="eastAsia"/>
                <w:spacing w:val="8"/>
                <w:lang w:eastAsia="zh-CN"/>
              </w:rPr>
              <w:t>）、</w:t>
            </w:r>
            <w:r w:rsidRPr="00D47CC5">
              <w:rPr>
                <w:rFonts w:ascii="Times New Roman" w:hAnsi="Times New Roman" w:cs="Times New Roman" w:hint="eastAsia"/>
                <w:spacing w:val="8"/>
                <w:lang w:eastAsia="zh-CN"/>
              </w:rPr>
              <w:t>三胜屯西泡</w:t>
            </w:r>
            <w:r>
              <w:rPr>
                <w:rFonts w:ascii="Times New Roman" w:hAnsi="Times New Roman" w:cs="Times New Roman" w:hint="eastAsia"/>
                <w:spacing w:val="8"/>
                <w:lang w:eastAsia="zh-CN"/>
              </w:rPr>
              <w:t>（</w:t>
            </w:r>
            <w:r w:rsidRPr="00D47CC5">
              <w:rPr>
                <w:rFonts w:ascii="Times New Roman" w:hAnsi="Times New Roman" w:cs="Times New Roman" w:hint="eastAsia"/>
                <w:spacing w:val="8"/>
                <w:lang w:eastAsia="zh-CN"/>
              </w:rPr>
              <w:t>124.98310287</w:t>
            </w:r>
            <w:r w:rsidRPr="00D47CC5">
              <w:rPr>
                <w:rFonts w:ascii="Times New Roman" w:hAnsi="Times New Roman" w:cs="Times New Roman" w:hint="eastAsia"/>
                <w:spacing w:val="8"/>
                <w:lang w:eastAsia="zh-CN"/>
              </w:rPr>
              <w:t>，</w:t>
            </w:r>
            <w:r w:rsidRPr="00D47CC5">
              <w:rPr>
                <w:rFonts w:ascii="Times New Roman" w:hAnsi="Times New Roman" w:cs="Times New Roman" w:hint="eastAsia"/>
                <w:spacing w:val="8"/>
                <w:lang w:eastAsia="zh-CN"/>
              </w:rPr>
              <w:t>46.41525989</w:t>
            </w:r>
            <w:r>
              <w:rPr>
                <w:rFonts w:ascii="Times New Roman" w:hAnsi="Times New Roman" w:cs="Times New Roman" w:hint="eastAsia"/>
                <w:spacing w:val="8"/>
                <w:lang w:eastAsia="zh-CN"/>
              </w:rPr>
              <w:t>）、</w:t>
            </w:r>
            <w:r w:rsidRPr="00D47CC5">
              <w:rPr>
                <w:rFonts w:ascii="Times New Roman" w:hAnsi="Times New Roman" w:cs="Times New Roman" w:hint="eastAsia"/>
                <w:spacing w:val="8"/>
                <w:lang w:eastAsia="zh-CN"/>
              </w:rPr>
              <w:t>南伊哈旗泡</w:t>
            </w:r>
            <w:r>
              <w:rPr>
                <w:rFonts w:ascii="Times New Roman" w:hAnsi="Times New Roman" w:cs="Times New Roman" w:hint="eastAsia"/>
                <w:spacing w:val="8"/>
                <w:lang w:eastAsia="zh-CN"/>
              </w:rPr>
              <w:t>（</w:t>
            </w:r>
            <w:r w:rsidRPr="00CD4BCF">
              <w:rPr>
                <w:rFonts w:ascii="Times New Roman" w:hAnsi="Times New Roman" w:cs="Times New Roman"/>
                <w:spacing w:val="8"/>
                <w:lang w:eastAsia="zh-CN"/>
              </w:rPr>
              <w:t>124.98657299 46.45279149</w:t>
            </w:r>
            <w:r>
              <w:rPr>
                <w:rFonts w:ascii="Times New Roman" w:hAnsi="Times New Roman" w:cs="Times New Roman" w:hint="eastAsia"/>
                <w:spacing w:val="8"/>
                <w:lang w:eastAsia="zh-CN"/>
              </w:rPr>
              <w:t>）、</w:t>
            </w:r>
            <w:r w:rsidRPr="00D47CC5">
              <w:rPr>
                <w:rFonts w:ascii="Times New Roman" w:hAnsi="Times New Roman" w:cs="Times New Roman" w:hint="eastAsia"/>
                <w:spacing w:val="8"/>
                <w:lang w:eastAsia="zh-CN"/>
              </w:rPr>
              <w:t>无名水泡</w:t>
            </w:r>
            <w:r>
              <w:rPr>
                <w:rFonts w:ascii="Times New Roman" w:hAnsi="Times New Roman" w:cs="Times New Roman" w:hint="eastAsia"/>
                <w:spacing w:val="8"/>
                <w:lang w:eastAsia="zh-CN"/>
              </w:rPr>
              <w:t>（</w:t>
            </w:r>
            <w:r w:rsidRPr="00D47CC5">
              <w:rPr>
                <w:rFonts w:ascii="Times New Roman" w:hAnsi="Times New Roman" w:cs="Times New Roman" w:hint="eastAsia"/>
                <w:spacing w:val="8"/>
                <w:lang w:eastAsia="zh-CN"/>
              </w:rPr>
              <w:t>124.98212131</w:t>
            </w:r>
            <w:r w:rsidRPr="00D47CC5">
              <w:rPr>
                <w:rFonts w:ascii="Times New Roman" w:hAnsi="Times New Roman" w:cs="Times New Roman" w:hint="eastAsia"/>
                <w:spacing w:val="8"/>
                <w:lang w:eastAsia="zh-CN"/>
              </w:rPr>
              <w:t>，</w:t>
            </w:r>
            <w:r w:rsidRPr="00D47CC5">
              <w:rPr>
                <w:rFonts w:ascii="Times New Roman" w:hAnsi="Times New Roman" w:cs="Times New Roman" w:hint="eastAsia"/>
                <w:spacing w:val="8"/>
                <w:lang w:eastAsia="zh-CN"/>
              </w:rPr>
              <w:t>46.43071379</w:t>
            </w:r>
            <w:r>
              <w:rPr>
                <w:rFonts w:ascii="Times New Roman" w:hAnsi="Times New Roman" w:cs="Times New Roman" w:hint="eastAsia"/>
                <w:spacing w:val="8"/>
                <w:lang w:eastAsia="zh-CN"/>
              </w:rPr>
              <w:t>）</w:t>
            </w:r>
          </w:p>
        </w:tc>
        <w:tc>
          <w:tcPr>
            <w:tcW w:w="1284" w:type="pct"/>
            <w:vAlign w:val="center"/>
          </w:tcPr>
          <w:p w14:paraId="2A93B576" w14:textId="596AFA36" w:rsidR="001E6EF7" w:rsidRDefault="001E6EF7" w:rsidP="00454C5A">
            <w:pPr>
              <w:pStyle w:val="TableText"/>
              <w:adjustRightInd w:val="0"/>
              <w:snapToGrid w:val="0"/>
              <w:jc w:val="center"/>
              <w:rPr>
                <w:rFonts w:ascii="Times New Roman" w:eastAsia="Times New Roman" w:hAnsi="Times New Roman" w:cs="Times New Roman"/>
                <w:sz w:val="20"/>
                <w:szCs w:val="20"/>
                <w:lang w:eastAsia="zh-CN"/>
              </w:rPr>
            </w:pPr>
            <w:r w:rsidRPr="00CD4BCF">
              <w:rPr>
                <w:rFonts w:ascii="Times New Roman" w:hAnsi="Times New Roman" w:cs="Times New Roman"/>
                <w:spacing w:val="8"/>
                <w:lang w:eastAsia="zh-CN"/>
              </w:rPr>
              <w:t>pH</w:t>
            </w:r>
            <w:r w:rsidRPr="00CD4BCF">
              <w:rPr>
                <w:rFonts w:ascii="Times New Roman" w:hAnsi="Times New Roman" w:cs="Times New Roman"/>
                <w:spacing w:val="8"/>
                <w:lang w:eastAsia="zh-CN"/>
              </w:rPr>
              <w:t>、溶解氧、高锰酸盐指数、生化需氧量、氨氮、石油类、挥发酚、汞、铅、化学需氧量、总磷、铜、锌、氟化物、硒、砷、镉、六价铬、氰化物、阴离子表面活性剂、硫化物</w:t>
            </w:r>
          </w:p>
        </w:tc>
        <w:tc>
          <w:tcPr>
            <w:tcW w:w="561" w:type="pct"/>
            <w:vAlign w:val="center"/>
          </w:tcPr>
          <w:p w14:paraId="7FA5364C" w14:textId="39F35876" w:rsidR="001E6EF7" w:rsidRDefault="001E6EF7" w:rsidP="00454C5A">
            <w:pPr>
              <w:pStyle w:val="TableText"/>
              <w:adjustRightInd w:val="0"/>
              <w:snapToGrid w:val="0"/>
              <w:jc w:val="center"/>
              <w:rPr>
                <w:rFonts w:ascii="Times New Roman" w:hAnsi="Times New Roman" w:cs="Times New Roman"/>
              </w:rPr>
            </w:pPr>
            <w:r>
              <w:rPr>
                <w:rFonts w:ascii="Times New Roman" w:hAnsi="Times New Roman" w:cs="Times New Roman"/>
                <w:spacing w:val="8"/>
                <w:lang w:eastAsia="zh-CN"/>
              </w:rPr>
              <w:t>1</w:t>
            </w:r>
            <w:r>
              <w:rPr>
                <w:rFonts w:ascii="Times New Roman" w:hAnsi="Times New Roman" w:cs="Times New Roman"/>
                <w:spacing w:val="8"/>
                <w:lang w:eastAsia="zh-CN"/>
              </w:rPr>
              <w:t>次</w:t>
            </w:r>
            <w:r>
              <w:rPr>
                <w:rFonts w:ascii="Times New Roman" w:hAnsi="Times New Roman" w:cs="Times New Roman"/>
                <w:spacing w:val="8"/>
                <w:lang w:eastAsia="zh-CN"/>
              </w:rPr>
              <w:t>/</w:t>
            </w:r>
            <w:r>
              <w:rPr>
                <w:rFonts w:ascii="Times New Roman" w:hAnsi="Times New Roman" w:cs="Times New Roman" w:hint="eastAsia"/>
                <w:spacing w:val="8"/>
                <w:lang w:eastAsia="zh-CN"/>
              </w:rPr>
              <w:t>年</w:t>
            </w:r>
          </w:p>
        </w:tc>
        <w:tc>
          <w:tcPr>
            <w:tcW w:w="1312" w:type="pct"/>
            <w:vAlign w:val="center"/>
          </w:tcPr>
          <w:p w14:paraId="40471E4E" w14:textId="292D74B8" w:rsidR="001E6EF7" w:rsidRDefault="00844321" w:rsidP="00454C5A">
            <w:pPr>
              <w:pStyle w:val="TableText"/>
              <w:adjustRightInd w:val="0"/>
              <w:snapToGrid w:val="0"/>
              <w:jc w:val="center"/>
              <w:rPr>
                <w:rFonts w:ascii="Times New Roman" w:hAnsi="Times New Roman" w:cs="Times New Roman"/>
                <w:spacing w:val="8"/>
                <w:lang w:eastAsia="zh-CN"/>
              </w:rPr>
            </w:pPr>
            <w:r w:rsidRPr="00844321">
              <w:rPr>
                <w:rFonts w:ascii="Times New Roman" w:hAnsi="Times New Roman" w:cs="Times New Roman"/>
                <w:spacing w:val="8"/>
                <w:lang w:eastAsia="zh-CN"/>
              </w:rPr>
              <w:t>三胜屯西泡、南伊哈旗泡、无名水泡</w:t>
            </w:r>
            <w:r>
              <w:rPr>
                <w:rFonts w:ascii="Times New Roman" w:hAnsi="Times New Roman" w:cs="Times New Roman" w:hint="eastAsia"/>
                <w:spacing w:val="8"/>
                <w:lang w:eastAsia="zh-CN"/>
              </w:rPr>
              <w:t>参照执行</w:t>
            </w:r>
            <w:r w:rsidRPr="00844321">
              <w:rPr>
                <w:rFonts w:ascii="Times New Roman" w:hAnsi="Times New Roman" w:cs="Times New Roman"/>
                <w:spacing w:val="8"/>
                <w:lang w:eastAsia="zh-CN"/>
              </w:rPr>
              <w:t>《</w:t>
            </w:r>
            <w:r>
              <w:rPr>
                <w:rFonts w:ascii="Times New Roman" w:hAnsi="Times New Roman" w:cs="Times New Roman"/>
                <w:spacing w:val="8"/>
                <w:lang w:eastAsia="zh-CN"/>
              </w:rPr>
              <w:t>地表水环境质量标准</w:t>
            </w:r>
            <w:r w:rsidRPr="00844321">
              <w:rPr>
                <w:rFonts w:ascii="Times New Roman" w:hAnsi="Times New Roman" w:cs="Times New Roman"/>
                <w:spacing w:val="8"/>
                <w:lang w:eastAsia="zh-CN"/>
              </w:rPr>
              <w:t>》</w:t>
            </w:r>
            <w:r w:rsidRPr="00844321">
              <w:rPr>
                <w:rFonts w:ascii="Times New Roman" w:hAnsi="Times New Roman" w:cs="Times New Roman"/>
                <w:spacing w:val="8"/>
                <w:lang w:eastAsia="zh-CN"/>
              </w:rPr>
              <w:t>V</w:t>
            </w:r>
            <w:r w:rsidRPr="00844321">
              <w:rPr>
                <w:rFonts w:ascii="Times New Roman" w:hAnsi="Times New Roman" w:cs="Times New Roman"/>
                <w:spacing w:val="8"/>
                <w:lang w:eastAsia="zh-CN"/>
              </w:rPr>
              <w:t>类标准</w:t>
            </w:r>
            <w:r>
              <w:rPr>
                <w:rFonts w:ascii="Times New Roman" w:hAnsi="Times New Roman" w:cs="Times New Roman" w:hint="eastAsia"/>
                <w:spacing w:val="8"/>
                <w:lang w:eastAsia="zh-CN"/>
              </w:rPr>
              <w:t>；</w:t>
            </w:r>
            <w:r w:rsidRPr="00D47CC5">
              <w:rPr>
                <w:rFonts w:ascii="Times New Roman" w:hAnsi="Times New Roman" w:cs="Times New Roman" w:hint="eastAsia"/>
                <w:spacing w:val="8"/>
                <w:lang w:eastAsia="zh-CN"/>
              </w:rPr>
              <w:t>中央排干</w:t>
            </w:r>
            <w:r>
              <w:rPr>
                <w:rFonts w:ascii="Times New Roman" w:hAnsi="Times New Roman" w:cs="Times New Roman" w:hint="eastAsia"/>
                <w:spacing w:val="8"/>
                <w:lang w:eastAsia="zh-CN"/>
              </w:rPr>
              <w:t>为混合区，不执行</w:t>
            </w:r>
            <w:r w:rsidRPr="00844321">
              <w:rPr>
                <w:rFonts w:ascii="Times New Roman" w:hAnsi="Times New Roman" w:cs="Times New Roman"/>
                <w:spacing w:val="8"/>
                <w:lang w:eastAsia="zh-CN"/>
              </w:rPr>
              <w:t>《</w:t>
            </w:r>
            <w:r>
              <w:rPr>
                <w:rFonts w:ascii="Times New Roman" w:hAnsi="Times New Roman" w:cs="Times New Roman"/>
                <w:spacing w:val="8"/>
                <w:lang w:eastAsia="zh-CN"/>
              </w:rPr>
              <w:t>地表水环境质量标准</w:t>
            </w:r>
            <w:r w:rsidRPr="00844321">
              <w:rPr>
                <w:rFonts w:ascii="Times New Roman" w:hAnsi="Times New Roman" w:cs="Times New Roman"/>
                <w:spacing w:val="8"/>
                <w:lang w:eastAsia="zh-CN"/>
              </w:rPr>
              <w:t>》</w:t>
            </w:r>
          </w:p>
        </w:tc>
      </w:tr>
      <w:tr w:rsidR="001E6EF7" w14:paraId="02C09947" w14:textId="03627280" w:rsidTr="00844321">
        <w:trPr>
          <w:trHeight w:val="3278"/>
          <w:jc w:val="center"/>
        </w:trPr>
        <w:tc>
          <w:tcPr>
            <w:tcW w:w="221" w:type="pct"/>
            <w:vAlign w:val="center"/>
          </w:tcPr>
          <w:p w14:paraId="0BD3EB62" w14:textId="77777777" w:rsidR="001E6EF7" w:rsidRDefault="001E6EF7" w:rsidP="00454C5A">
            <w:pPr>
              <w:adjustRightInd w:val="0"/>
              <w:snapToGrid w:val="0"/>
              <w:jc w:val="center"/>
              <w:rPr>
                <w:rFonts w:eastAsia="Times New Roman"/>
                <w:sz w:val="20"/>
                <w:szCs w:val="20"/>
              </w:rPr>
            </w:pPr>
            <w:r>
              <w:rPr>
                <w:rFonts w:eastAsia="Times New Roman"/>
                <w:sz w:val="20"/>
                <w:szCs w:val="20"/>
              </w:rPr>
              <w:lastRenderedPageBreak/>
              <w:t>2</w:t>
            </w:r>
          </w:p>
        </w:tc>
        <w:tc>
          <w:tcPr>
            <w:tcW w:w="498" w:type="pct"/>
            <w:vAlign w:val="center"/>
          </w:tcPr>
          <w:p w14:paraId="5BF9CF7D" w14:textId="77777777" w:rsidR="001E6EF7" w:rsidRDefault="001E6EF7" w:rsidP="00454C5A">
            <w:pPr>
              <w:pStyle w:val="TableText"/>
              <w:adjustRightInd w:val="0"/>
              <w:snapToGrid w:val="0"/>
              <w:jc w:val="center"/>
              <w:rPr>
                <w:rFonts w:ascii="Times New Roman" w:hAnsi="Times New Roman" w:cs="Times New Roman"/>
              </w:rPr>
            </w:pPr>
            <w:r>
              <w:rPr>
                <w:rFonts w:ascii="Times New Roman" w:hAnsi="Times New Roman" w:cs="Times New Roman"/>
                <w:spacing w:val="8"/>
              </w:rPr>
              <w:t>地下水环境</w:t>
            </w:r>
          </w:p>
        </w:tc>
        <w:tc>
          <w:tcPr>
            <w:tcW w:w="1124" w:type="pct"/>
            <w:vAlign w:val="center"/>
          </w:tcPr>
          <w:p w14:paraId="1999E22B" w14:textId="18259A39" w:rsidR="001E6EF7" w:rsidRDefault="001E6EF7" w:rsidP="00454C5A">
            <w:pPr>
              <w:pStyle w:val="TableText"/>
              <w:adjustRightInd w:val="0"/>
              <w:snapToGrid w:val="0"/>
              <w:jc w:val="center"/>
              <w:rPr>
                <w:rFonts w:ascii="Times New Roman" w:hAnsi="Times New Roman" w:cs="Times New Roman"/>
                <w:lang w:eastAsia="zh-CN"/>
              </w:rPr>
            </w:pPr>
            <w:r w:rsidRPr="00CD4BCF">
              <w:rPr>
                <w:rFonts w:ascii="Times New Roman" w:hAnsi="Times New Roman" w:cs="Times New Roman"/>
                <w:spacing w:val="8"/>
                <w:lang w:eastAsia="zh-CN"/>
              </w:rPr>
              <w:t>红旗二村水井（</w:t>
            </w:r>
            <w:r w:rsidRPr="00CD4BCF">
              <w:rPr>
                <w:rFonts w:ascii="Times New Roman" w:hAnsi="Times New Roman" w:cs="Times New Roman"/>
                <w:spacing w:val="8"/>
                <w:lang w:eastAsia="zh-CN"/>
              </w:rPr>
              <w:t>124.997602</w:t>
            </w:r>
            <w:r w:rsidRPr="00CD4BCF">
              <w:rPr>
                <w:rFonts w:ascii="Times New Roman" w:hAnsi="Times New Roman" w:cs="Times New Roman"/>
                <w:spacing w:val="8"/>
                <w:lang w:eastAsia="zh-CN"/>
              </w:rPr>
              <w:t>，</w:t>
            </w:r>
            <w:r w:rsidRPr="00CD4BCF">
              <w:rPr>
                <w:rFonts w:ascii="Times New Roman" w:hAnsi="Times New Roman" w:cs="Times New Roman"/>
                <w:spacing w:val="8"/>
                <w:lang w:eastAsia="zh-CN"/>
              </w:rPr>
              <w:t>46.443143</w:t>
            </w:r>
            <w:r w:rsidRPr="00CD4BCF">
              <w:rPr>
                <w:rFonts w:ascii="Times New Roman" w:hAnsi="Times New Roman" w:cs="Times New Roman"/>
                <w:spacing w:val="8"/>
                <w:lang w:eastAsia="zh-CN"/>
              </w:rPr>
              <w:t>）、双发屯承压井（</w:t>
            </w:r>
            <w:r w:rsidRPr="00CD4BCF">
              <w:rPr>
                <w:rFonts w:ascii="Times New Roman" w:hAnsi="Times New Roman" w:cs="Times New Roman"/>
                <w:spacing w:val="8"/>
                <w:lang w:eastAsia="zh-CN"/>
              </w:rPr>
              <w:t>124.969654</w:t>
            </w:r>
            <w:r w:rsidRPr="00CD4BCF">
              <w:rPr>
                <w:rFonts w:ascii="Times New Roman" w:hAnsi="Times New Roman" w:cs="Times New Roman"/>
                <w:spacing w:val="8"/>
                <w:lang w:eastAsia="zh-CN"/>
              </w:rPr>
              <w:t>，</w:t>
            </w:r>
            <w:r w:rsidRPr="00CD4BCF">
              <w:rPr>
                <w:rFonts w:ascii="Times New Roman" w:hAnsi="Times New Roman" w:cs="Times New Roman"/>
                <w:spacing w:val="8"/>
                <w:lang w:eastAsia="zh-CN"/>
              </w:rPr>
              <w:t>46.416329</w:t>
            </w:r>
            <w:r w:rsidRPr="00CD4BCF">
              <w:rPr>
                <w:rFonts w:ascii="Times New Roman" w:hAnsi="Times New Roman" w:cs="Times New Roman"/>
                <w:spacing w:val="8"/>
                <w:lang w:eastAsia="zh-CN"/>
              </w:rPr>
              <w:t>）</w:t>
            </w:r>
          </w:p>
        </w:tc>
        <w:tc>
          <w:tcPr>
            <w:tcW w:w="1284" w:type="pct"/>
            <w:vAlign w:val="center"/>
          </w:tcPr>
          <w:p w14:paraId="3F86482A" w14:textId="77777777" w:rsidR="001E6EF7" w:rsidRDefault="001E6EF7" w:rsidP="00454C5A">
            <w:pPr>
              <w:pStyle w:val="TableText"/>
              <w:adjustRightInd w:val="0"/>
              <w:snapToGrid w:val="0"/>
              <w:jc w:val="center"/>
              <w:rPr>
                <w:rFonts w:ascii="Times New Roman" w:hAnsi="Times New Roman" w:cs="Times New Roman"/>
                <w:lang w:eastAsia="zh-CN"/>
              </w:rPr>
            </w:pPr>
            <w:r>
              <w:rPr>
                <w:rFonts w:ascii="Times New Roman" w:hAnsi="Times New Roman" w:cs="Times New Roman"/>
                <w:spacing w:val="8"/>
                <w:lang w:eastAsia="zh-CN"/>
              </w:rPr>
              <w:t>pH</w:t>
            </w:r>
            <w:r>
              <w:rPr>
                <w:rFonts w:ascii="Times New Roman" w:hAnsi="Times New Roman" w:cs="Times New Roman"/>
                <w:spacing w:val="8"/>
                <w:lang w:eastAsia="zh-CN"/>
              </w:rPr>
              <w:t>、溶解性总固体、总硬度、高锰酸盐指数、粪大肠菌群、总汞、总镉、六价铬、总砷、总铅、总铜、总锌、总锰、总铁、氨氮、亚硝酸盐、硝酸盐、氰化物、氯化物、硫酸盐、挥发酚、氟化物</w:t>
            </w:r>
          </w:p>
        </w:tc>
        <w:tc>
          <w:tcPr>
            <w:tcW w:w="561" w:type="pct"/>
            <w:vAlign w:val="center"/>
          </w:tcPr>
          <w:p w14:paraId="1D8B441C" w14:textId="4A66B4BB" w:rsidR="001E6EF7" w:rsidRDefault="001E6EF7" w:rsidP="00454C5A">
            <w:pPr>
              <w:pStyle w:val="TableText"/>
              <w:adjustRightInd w:val="0"/>
              <w:snapToGrid w:val="0"/>
              <w:jc w:val="center"/>
              <w:rPr>
                <w:rFonts w:ascii="Times New Roman" w:hAnsi="Times New Roman" w:cs="Times New Roman"/>
              </w:rPr>
            </w:pPr>
            <w:r>
              <w:rPr>
                <w:rFonts w:ascii="Times New Roman" w:hAnsi="Times New Roman" w:cs="Times New Roman"/>
                <w:spacing w:val="8"/>
                <w:lang w:eastAsia="zh-CN"/>
              </w:rPr>
              <w:t>1</w:t>
            </w:r>
            <w:r>
              <w:rPr>
                <w:rFonts w:ascii="Times New Roman" w:hAnsi="Times New Roman" w:cs="Times New Roman"/>
                <w:spacing w:val="8"/>
                <w:lang w:eastAsia="zh-CN"/>
              </w:rPr>
              <w:t>次</w:t>
            </w:r>
            <w:r>
              <w:rPr>
                <w:rFonts w:ascii="Times New Roman" w:hAnsi="Times New Roman" w:cs="Times New Roman"/>
                <w:spacing w:val="8"/>
                <w:lang w:eastAsia="zh-CN"/>
              </w:rPr>
              <w:t>/</w:t>
            </w:r>
            <w:r>
              <w:rPr>
                <w:rFonts w:ascii="Times New Roman" w:hAnsi="Times New Roman" w:cs="Times New Roman" w:hint="eastAsia"/>
                <w:spacing w:val="8"/>
                <w:lang w:eastAsia="zh-CN"/>
              </w:rPr>
              <w:t>年</w:t>
            </w:r>
          </w:p>
        </w:tc>
        <w:tc>
          <w:tcPr>
            <w:tcW w:w="1312" w:type="pct"/>
            <w:vAlign w:val="center"/>
          </w:tcPr>
          <w:p w14:paraId="72CF5C02" w14:textId="35E25C39" w:rsidR="001E6EF7" w:rsidRDefault="00844321" w:rsidP="00454C5A">
            <w:pPr>
              <w:pStyle w:val="TableText"/>
              <w:adjustRightInd w:val="0"/>
              <w:snapToGrid w:val="0"/>
              <w:jc w:val="center"/>
              <w:rPr>
                <w:rFonts w:ascii="Times New Roman" w:hAnsi="Times New Roman" w:cs="Times New Roman"/>
                <w:spacing w:val="8"/>
                <w:lang w:eastAsia="zh-CN"/>
              </w:rPr>
            </w:pPr>
            <w:r w:rsidRPr="00844321">
              <w:rPr>
                <w:rFonts w:ascii="Times New Roman" w:hAnsi="Times New Roman" w:cs="Times New Roman"/>
                <w:spacing w:val="8"/>
                <w:lang w:eastAsia="zh-CN"/>
              </w:rPr>
              <w:t>《地下水质量标准》（</w:t>
            </w:r>
            <w:r w:rsidRPr="00844321">
              <w:rPr>
                <w:rFonts w:ascii="Times New Roman" w:hAnsi="Times New Roman" w:cs="Times New Roman"/>
                <w:spacing w:val="8"/>
                <w:lang w:eastAsia="zh-CN"/>
              </w:rPr>
              <w:t>GB/T14848-2017</w:t>
            </w:r>
            <w:r w:rsidRPr="00844321">
              <w:rPr>
                <w:rFonts w:ascii="Times New Roman" w:hAnsi="Times New Roman" w:cs="Times New Roman"/>
                <w:spacing w:val="8"/>
                <w:lang w:eastAsia="zh-CN"/>
              </w:rPr>
              <w:t>）中</w:t>
            </w:r>
            <w:r w:rsidRPr="00844321">
              <w:rPr>
                <w:rFonts w:ascii="Times New Roman" w:hAnsi="Times New Roman" w:cs="Times New Roman"/>
                <w:spacing w:val="8"/>
                <w:lang w:eastAsia="zh-CN"/>
              </w:rPr>
              <w:t>Ⅲ</w:t>
            </w:r>
            <w:r w:rsidRPr="00844321">
              <w:rPr>
                <w:rFonts w:ascii="Times New Roman" w:hAnsi="Times New Roman" w:cs="Times New Roman"/>
                <w:spacing w:val="8"/>
                <w:lang w:eastAsia="zh-CN"/>
              </w:rPr>
              <w:t>类标准</w:t>
            </w:r>
          </w:p>
        </w:tc>
      </w:tr>
      <w:tr w:rsidR="001E6EF7" w14:paraId="7F3FDA67" w14:textId="1809ABD2" w:rsidTr="00844321">
        <w:trPr>
          <w:trHeight w:val="3278"/>
          <w:jc w:val="center"/>
        </w:trPr>
        <w:tc>
          <w:tcPr>
            <w:tcW w:w="221" w:type="pct"/>
            <w:vAlign w:val="center"/>
          </w:tcPr>
          <w:p w14:paraId="27B42F40" w14:textId="4FAA97F4" w:rsidR="001E6EF7" w:rsidRPr="00CD4BCF" w:rsidRDefault="001E6EF7" w:rsidP="00454C5A">
            <w:pPr>
              <w:adjustRightInd w:val="0"/>
              <w:snapToGrid w:val="0"/>
              <w:jc w:val="center"/>
              <w:rPr>
                <w:rFonts w:eastAsiaTheme="minorEastAsia"/>
                <w:sz w:val="20"/>
                <w:szCs w:val="20"/>
              </w:rPr>
            </w:pPr>
            <w:r>
              <w:rPr>
                <w:rFonts w:eastAsiaTheme="minorEastAsia" w:hint="eastAsia"/>
                <w:sz w:val="20"/>
                <w:szCs w:val="20"/>
              </w:rPr>
              <w:t>3</w:t>
            </w:r>
          </w:p>
        </w:tc>
        <w:tc>
          <w:tcPr>
            <w:tcW w:w="498" w:type="pct"/>
            <w:vAlign w:val="center"/>
          </w:tcPr>
          <w:p w14:paraId="46855F86" w14:textId="7644F3A0" w:rsidR="001E6EF7" w:rsidRDefault="001E6EF7" w:rsidP="00454C5A">
            <w:pPr>
              <w:pStyle w:val="TableText"/>
              <w:adjustRightInd w:val="0"/>
              <w:snapToGrid w:val="0"/>
              <w:jc w:val="center"/>
              <w:rPr>
                <w:rFonts w:ascii="Times New Roman" w:hAnsi="Times New Roman" w:cs="Times New Roman"/>
                <w:spacing w:val="8"/>
                <w:lang w:eastAsia="zh-CN"/>
              </w:rPr>
            </w:pPr>
            <w:r>
              <w:rPr>
                <w:rFonts w:ascii="Times New Roman" w:hAnsi="Times New Roman" w:cs="Times New Roman" w:hint="eastAsia"/>
                <w:spacing w:val="8"/>
                <w:lang w:eastAsia="zh-CN"/>
              </w:rPr>
              <w:t>大气环境</w:t>
            </w:r>
          </w:p>
        </w:tc>
        <w:tc>
          <w:tcPr>
            <w:tcW w:w="1124" w:type="pct"/>
            <w:vAlign w:val="center"/>
          </w:tcPr>
          <w:p w14:paraId="05AE7724" w14:textId="7F43A747" w:rsidR="001E6EF7" w:rsidRPr="00CD4BCF" w:rsidRDefault="00844321" w:rsidP="00454C5A">
            <w:pPr>
              <w:pStyle w:val="TableText"/>
              <w:adjustRightInd w:val="0"/>
              <w:snapToGrid w:val="0"/>
              <w:jc w:val="center"/>
              <w:rPr>
                <w:rFonts w:ascii="Times New Roman" w:hAnsi="Times New Roman" w:cs="Times New Roman"/>
                <w:spacing w:val="8"/>
                <w:lang w:eastAsia="zh-CN"/>
              </w:rPr>
            </w:pPr>
            <w:r w:rsidRPr="00844321">
              <w:rPr>
                <w:rFonts w:ascii="Times New Roman" w:hAnsi="Times New Roman" w:cs="Times New Roman"/>
                <w:spacing w:val="8"/>
                <w:lang w:eastAsia="zh-CN"/>
              </w:rPr>
              <w:t>前进村（</w:t>
            </w:r>
            <w:r w:rsidRPr="00844321">
              <w:rPr>
                <w:rFonts w:ascii="Times New Roman" w:hAnsi="Times New Roman" w:cs="Times New Roman"/>
                <w:spacing w:val="8"/>
                <w:lang w:eastAsia="zh-CN"/>
              </w:rPr>
              <w:t>124.995604</w:t>
            </w:r>
            <w:r w:rsidRPr="00844321">
              <w:rPr>
                <w:rFonts w:ascii="Times New Roman" w:hAnsi="Times New Roman" w:cs="Times New Roman"/>
                <w:spacing w:val="8"/>
                <w:lang w:eastAsia="zh-CN"/>
              </w:rPr>
              <w:t>，</w:t>
            </w:r>
            <w:r w:rsidRPr="00844321">
              <w:rPr>
                <w:rFonts w:ascii="Times New Roman" w:hAnsi="Times New Roman" w:cs="Times New Roman"/>
                <w:spacing w:val="8"/>
                <w:lang w:eastAsia="zh-CN"/>
              </w:rPr>
              <w:t>46.413442</w:t>
            </w:r>
            <w:r w:rsidRPr="00844321">
              <w:rPr>
                <w:rFonts w:ascii="Times New Roman" w:hAnsi="Times New Roman" w:cs="Times New Roman"/>
                <w:spacing w:val="8"/>
                <w:lang w:eastAsia="zh-CN"/>
              </w:rPr>
              <w:t>）、红旗二村（</w:t>
            </w:r>
            <w:r w:rsidRPr="00844321">
              <w:rPr>
                <w:rFonts w:ascii="Times New Roman" w:hAnsi="Times New Roman" w:cs="Times New Roman"/>
                <w:spacing w:val="8"/>
                <w:lang w:eastAsia="zh-CN"/>
              </w:rPr>
              <w:t>124.990260</w:t>
            </w:r>
            <w:r w:rsidRPr="00844321">
              <w:rPr>
                <w:rFonts w:ascii="Times New Roman" w:hAnsi="Times New Roman" w:cs="Times New Roman"/>
                <w:spacing w:val="8"/>
                <w:lang w:eastAsia="zh-CN"/>
              </w:rPr>
              <w:t>，</w:t>
            </w:r>
            <w:r w:rsidRPr="00844321">
              <w:rPr>
                <w:rFonts w:ascii="Times New Roman" w:hAnsi="Times New Roman" w:cs="Times New Roman"/>
                <w:spacing w:val="8"/>
                <w:lang w:eastAsia="zh-CN"/>
              </w:rPr>
              <w:t>46.441624</w:t>
            </w:r>
            <w:r w:rsidRPr="00844321">
              <w:rPr>
                <w:rFonts w:ascii="Times New Roman" w:hAnsi="Times New Roman" w:cs="Times New Roman"/>
                <w:spacing w:val="8"/>
                <w:lang w:eastAsia="zh-CN"/>
              </w:rPr>
              <w:t>）</w:t>
            </w:r>
          </w:p>
        </w:tc>
        <w:tc>
          <w:tcPr>
            <w:tcW w:w="1284" w:type="pct"/>
            <w:vAlign w:val="center"/>
          </w:tcPr>
          <w:p w14:paraId="111D634B" w14:textId="1E6929D9" w:rsidR="001E6EF7" w:rsidRDefault="001E6EF7" w:rsidP="00454C5A">
            <w:pPr>
              <w:pStyle w:val="TableText"/>
              <w:adjustRightInd w:val="0"/>
              <w:snapToGrid w:val="0"/>
              <w:jc w:val="center"/>
              <w:rPr>
                <w:rFonts w:ascii="Times New Roman" w:hAnsi="Times New Roman" w:cs="Times New Roman"/>
                <w:spacing w:val="8"/>
                <w:lang w:eastAsia="zh-CN"/>
              </w:rPr>
            </w:pPr>
            <w:r>
              <w:rPr>
                <w:snapToGrid w:val="0"/>
                <w:color w:val="000000"/>
                <w:kern w:val="0"/>
                <w:sz w:val="24"/>
                <w:lang w:eastAsia="zh-CN"/>
              </w:rPr>
              <w:t>TSP、H</w:t>
            </w:r>
            <w:r>
              <w:rPr>
                <w:snapToGrid w:val="0"/>
                <w:color w:val="000000"/>
                <w:kern w:val="0"/>
                <w:sz w:val="24"/>
                <w:vertAlign w:val="subscript"/>
                <w:lang w:eastAsia="zh-CN"/>
              </w:rPr>
              <w:t>2</w:t>
            </w:r>
            <w:r>
              <w:rPr>
                <w:snapToGrid w:val="0"/>
                <w:color w:val="000000"/>
                <w:kern w:val="0"/>
                <w:sz w:val="24"/>
                <w:lang w:eastAsia="zh-CN"/>
              </w:rPr>
              <w:t>S、NH</w:t>
            </w:r>
            <w:r>
              <w:rPr>
                <w:snapToGrid w:val="0"/>
                <w:color w:val="000000"/>
                <w:kern w:val="0"/>
                <w:sz w:val="24"/>
                <w:vertAlign w:val="subscript"/>
                <w:lang w:eastAsia="zh-CN"/>
              </w:rPr>
              <w:t>3</w:t>
            </w:r>
            <w:r>
              <w:rPr>
                <w:snapToGrid w:val="0"/>
                <w:color w:val="000000"/>
                <w:kern w:val="0"/>
                <w:sz w:val="24"/>
                <w:lang w:eastAsia="zh-CN"/>
              </w:rPr>
              <w:t>、非甲烷总烃、臭气浓度</w:t>
            </w:r>
          </w:p>
        </w:tc>
        <w:tc>
          <w:tcPr>
            <w:tcW w:w="561" w:type="pct"/>
            <w:vAlign w:val="center"/>
          </w:tcPr>
          <w:p w14:paraId="2F76E51A" w14:textId="0585CE02" w:rsidR="001E6EF7" w:rsidRDefault="001E6EF7" w:rsidP="00454C5A">
            <w:pPr>
              <w:pStyle w:val="TableText"/>
              <w:adjustRightInd w:val="0"/>
              <w:snapToGrid w:val="0"/>
              <w:jc w:val="center"/>
              <w:rPr>
                <w:rFonts w:ascii="Times New Roman" w:hAnsi="Times New Roman" w:cs="Times New Roman"/>
                <w:spacing w:val="8"/>
                <w:lang w:eastAsia="zh-CN"/>
              </w:rPr>
            </w:pPr>
            <w:r w:rsidRPr="00522694">
              <w:rPr>
                <w:rFonts w:ascii="Times New Roman" w:hAnsi="Times New Roman" w:cs="Times New Roman"/>
                <w:spacing w:val="8"/>
                <w:lang w:eastAsia="zh-CN"/>
              </w:rPr>
              <w:t>1</w:t>
            </w:r>
            <w:r w:rsidRPr="00522694">
              <w:rPr>
                <w:rFonts w:ascii="Times New Roman" w:hAnsi="Times New Roman" w:cs="Times New Roman"/>
                <w:spacing w:val="8"/>
                <w:lang w:eastAsia="zh-CN"/>
              </w:rPr>
              <w:t>次</w:t>
            </w:r>
            <w:r w:rsidRPr="00522694">
              <w:rPr>
                <w:rFonts w:ascii="Times New Roman" w:hAnsi="Times New Roman" w:cs="Times New Roman"/>
                <w:spacing w:val="8"/>
                <w:lang w:eastAsia="zh-CN"/>
              </w:rPr>
              <w:t>/</w:t>
            </w:r>
            <w:r w:rsidRPr="00522694">
              <w:rPr>
                <w:rFonts w:ascii="Times New Roman" w:hAnsi="Times New Roman" w:cs="Times New Roman"/>
                <w:spacing w:val="8"/>
                <w:lang w:eastAsia="zh-CN"/>
              </w:rPr>
              <w:t>年</w:t>
            </w:r>
          </w:p>
        </w:tc>
        <w:tc>
          <w:tcPr>
            <w:tcW w:w="1312" w:type="pct"/>
            <w:vAlign w:val="center"/>
          </w:tcPr>
          <w:p w14:paraId="46114AC4" w14:textId="7ECA8DF1" w:rsidR="001E6EF7" w:rsidRPr="00522694" w:rsidRDefault="00844321" w:rsidP="00454C5A">
            <w:pPr>
              <w:pStyle w:val="TableText"/>
              <w:adjustRightInd w:val="0"/>
              <w:snapToGrid w:val="0"/>
              <w:jc w:val="center"/>
              <w:rPr>
                <w:rFonts w:ascii="Times New Roman" w:hAnsi="Times New Roman" w:cs="Times New Roman"/>
                <w:spacing w:val="8"/>
                <w:lang w:eastAsia="zh-CN"/>
              </w:rPr>
            </w:pPr>
            <w:r w:rsidRPr="00844321">
              <w:rPr>
                <w:rFonts w:ascii="Times New Roman" w:hAnsi="Times New Roman" w:cs="Times New Roman"/>
                <w:spacing w:val="8"/>
                <w:lang w:eastAsia="zh-CN"/>
              </w:rPr>
              <w:t>NH</w:t>
            </w:r>
            <w:r w:rsidRPr="00844321">
              <w:rPr>
                <w:rFonts w:ascii="Times New Roman" w:hAnsi="Times New Roman" w:cs="Times New Roman"/>
                <w:spacing w:val="8"/>
                <w:vertAlign w:val="subscript"/>
                <w:lang w:eastAsia="zh-CN"/>
              </w:rPr>
              <w:t>3</w:t>
            </w:r>
            <w:r w:rsidRPr="00844321">
              <w:rPr>
                <w:rFonts w:ascii="Times New Roman" w:hAnsi="Times New Roman" w:cs="Times New Roman"/>
                <w:spacing w:val="8"/>
                <w:lang w:eastAsia="zh-CN"/>
              </w:rPr>
              <w:t>、</w:t>
            </w:r>
            <w:r w:rsidRPr="00844321">
              <w:rPr>
                <w:rFonts w:ascii="Times New Roman" w:hAnsi="Times New Roman" w:cs="Times New Roman"/>
                <w:spacing w:val="8"/>
                <w:lang w:eastAsia="zh-CN"/>
              </w:rPr>
              <w:t>H</w:t>
            </w:r>
            <w:r w:rsidRPr="00844321">
              <w:rPr>
                <w:rFonts w:ascii="Times New Roman" w:hAnsi="Times New Roman" w:cs="Times New Roman"/>
                <w:spacing w:val="8"/>
                <w:vertAlign w:val="subscript"/>
                <w:lang w:eastAsia="zh-CN"/>
              </w:rPr>
              <w:t>2</w:t>
            </w:r>
            <w:r w:rsidRPr="00844321">
              <w:rPr>
                <w:rFonts w:ascii="Times New Roman" w:hAnsi="Times New Roman" w:cs="Times New Roman"/>
                <w:spacing w:val="8"/>
                <w:lang w:eastAsia="zh-CN"/>
              </w:rPr>
              <w:t>S</w:t>
            </w:r>
            <w:r w:rsidRPr="00844321">
              <w:rPr>
                <w:rFonts w:ascii="Times New Roman" w:hAnsi="Times New Roman" w:cs="Times New Roman"/>
                <w:spacing w:val="8"/>
                <w:lang w:eastAsia="zh-CN"/>
              </w:rPr>
              <w:t>执行《环境影响评价技术导则</w:t>
            </w:r>
            <w:r w:rsidRPr="00844321">
              <w:rPr>
                <w:rFonts w:ascii="Times New Roman" w:hAnsi="Times New Roman" w:cs="Times New Roman"/>
                <w:spacing w:val="8"/>
                <w:lang w:eastAsia="zh-CN"/>
              </w:rPr>
              <w:t xml:space="preserve"> </w:t>
            </w:r>
            <w:r w:rsidRPr="00844321">
              <w:rPr>
                <w:rFonts w:ascii="Times New Roman" w:hAnsi="Times New Roman" w:cs="Times New Roman"/>
                <w:spacing w:val="8"/>
                <w:lang w:eastAsia="zh-CN"/>
              </w:rPr>
              <w:t>大气环境》（</w:t>
            </w:r>
            <w:r w:rsidRPr="00844321">
              <w:rPr>
                <w:rFonts w:ascii="Times New Roman" w:hAnsi="Times New Roman" w:cs="Times New Roman"/>
                <w:spacing w:val="8"/>
                <w:lang w:eastAsia="zh-CN"/>
              </w:rPr>
              <w:t>HJ2.2-2018</w:t>
            </w:r>
            <w:r w:rsidRPr="00844321">
              <w:rPr>
                <w:rFonts w:ascii="Times New Roman" w:hAnsi="Times New Roman" w:cs="Times New Roman"/>
                <w:spacing w:val="8"/>
                <w:lang w:eastAsia="zh-CN"/>
              </w:rPr>
              <w:t>）附录</w:t>
            </w:r>
            <w:r w:rsidRPr="00844321">
              <w:rPr>
                <w:rFonts w:ascii="Times New Roman" w:hAnsi="Times New Roman" w:cs="Times New Roman"/>
                <w:spacing w:val="8"/>
                <w:lang w:eastAsia="zh-CN"/>
              </w:rPr>
              <w:t xml:space="preserve"> D </w:t>
            </w:r>
            <w:r w:rsidRPr="00844321">
              <w:rPr>
                <w:rFonts w:ascii="Times New Roman" w:hAnsi="Times New Roman" w:cs="Times New Roman"/>
                <w:spacing w:val="8"/>
                <w:lang w:eastAsia="zh-CN"/>
              </w:rPr>
              <w:t>限值</w:t>
            </w:r>
            <w:r>
              <w:rPr>
                <w:rFonts w:ascii="Times New Roman" w:hAnsi="Times New Roman" w:cs="Times New Roman" w:hint="eastAsia"/>
                <w:spacing w:val="8"/>
                <w:lang w:eastAsia="zh-CN"/>
              </w:rPr>
              <w:t>；非甲烷总烃执行</w:t>
            </w:r>
            <w:r w:rsidRPr="00844321">
              <w:rPr>
                <w:rFonts w:ascii="Times New Roman" w:hAnsi="Times New Roman" w:cs="Times New Roman"/>
                <w:spacing w:val="8"/>
                <w:lang w:eastAsia="zh-CN"/>
              </w:rPr>
              <w:t>《大气污染物综合排放标准详解》中的环境背景浓度取值</w:t>
            </w:r>
            <w:r>
              <w:rPr>
                <w:rFonts w:ascii="Times New Roman" w:hAnsi="Times New Roman" w:cs="Times New Roman" w:hint="eastAsia"/>
                <w:spacing w:val="8"/>
                <w:lang w:eastAsia="zh-CN"/>
              </w:rPr>
              <w:t>；</w:t>
            </w:r>
            <w:r>
              <w:rPr>
                <w:rFonts w:ascii="Times New Roman" w:hAnsi="Times New Roman" w:cs="Times New Roman" w:hint="eastAsia"/>
                <w:spacing w:val="8"/>
                <w:lang w:eastAsia="zh-CN"/>
              </w:rPr>
              <w:t>TSP</w:t>
            </w:r>
            <w:r>
              <w:rPr>
                <w:rFonts w:ascii="Times New Roman" w:hAnsi="Times New Roman" w:cs="Times New Roman" w:hint="eastAsia"/>
                <w:spacing w:val="8"/>
                <w:lang w:eastAsia="zh-CN"/>
              </w:rPr>
              <w:t>执行</w:t>
            </w:r>
            <w:r w:rsidRPr="00844321">
              <w:rPr>
                <w:rFonts w:ascii="Times New Roman" w:hAnsi="Times New Roman" w:cs="Times New Roman"/>
                <w:spacing w:val="8"/>
                <w:lang w:eastAsia="zh-CN"/>
              </w:rPr>
              <w:t>《环境空气质量标准》（</w:t>
            </w:r>
            <w:r w:rsidRPr="00844321">
              <w:rPr>
                <w:rFonts w:ascii="Times New Roman" w:hAnsi="Times New Roman" w:cs="Times New Roman"/>
                <w:spacing w:val="8"/>
                <w:lang w:eastAsia="zh-CN"/>
              </w:rPr>
              <w:t>GB3095-2012</w:t>
            </w:r>
            <w:r w:rsidRPr="00844321">
              <w:rPr>
                <w:rFonts w:ascii="Times New Roman" w:hAnsi="Times New Roman" w:cs="Times New Roman"/>
                <w:spacing w:val="8"/>
                <w:lang w:eastAsia="zh-CN"/>
              </w:rPr>
              <w:t>）中二级标准</w:t>
            </w:r>
          </w:p>
        </w:tc>
      </w:tr>
      <w:tr w:rsidR="001E6EF7" w14:paraId="3E59AD47" w14:textId="206E12E1" w:rsidTr="00844321">
        <w:trPr>
          <w:trHeight w:val="3278"/>
          <w:jc w:val="center"/>
        </w:trPr>
        <w:tc>
          <w:tcPr>
            <w:tcW w:w="221" w:type="pct"/>
            <w:vAlign w:val="center"/>
          </w:tcPr>
          <w:p w14:paraId="6D2FCE07" w14:textId="002E2282" w:rsidR="001E6EF7" w:rsidRDefault="001E6EF7" w:rsidP="00454C5A">
            <w:pPr>
              <w:adjustRightInd w:val="0"/>
              <w:snapToGrid w:val="0"/>
              <w:jc w:val="center"/>
              <w:rPr>
                <w:rFonts w:eastAsiaTheme="minorEastAsia"/>
                <w:sz w:val="20"/>
                <w:szCs w:val="20"/>
              </w:rPr>
            </w:pPr>
            <w:r>
              <w:rPr>
                <w:rFonts w:eastAsiaTheme="minorEastAsia" w:hint="eastAsia"/>
                <w:sz w:val="20"/>
                <w:szCs w:val="20"/>
              </w:rPr>
              <w:t>4</w:t>
            </w:r>
          </w:p>
        </w:tc>
        <w:tc>
          <w:tcPr>
            <w:tcW w:w="498" w:type="pct"/>
            <w:vAlign w:val="center"/>
          </w:tcPr>
          <w:p w14:paraId="5DFFD0C3" w14:textId="04EE8FD3" w:rsidR="001E6EF7" w:rsidRDefault="001E6EF7" w:rsidP="00454C5A">
            <w:pPr>
              <w:pStyle w:val="TableText"/>
              <w:adjustRightInd w:val="0"/>
              <w:snapToGrid w:val="0"/>
              <w:jc w:val="center"/>
              <w:rPr>
                <w:rFonts w:ascii="Times New Roman" w:hAnsi="Times New Roman" w:cs="Times New Roman"/>
                <w:spacing w:val="8"/>
                <w:lang w:eastAsia="zh-CN"/>
              </w:rPr>
            </w:pPr>
            <w:r>
              <w:rPr>
                <w:rFonts w:ascii="Times New Roman" w:hAnsi="Times New Roman" w:cs="Times New Roman" w:hint="eastAsia"/>
                <w:spacing w:val="8"/>
                <w:lang w:eastAsia="zh-CN"/>
              </w:rPr>
              <w:t>声环境</w:t>
            </w:r>
          </w:p>
        </w:tc>
        <w:tc>
          <w:tcPr>
            <w:tcW w:w="1124" w:type="pct"/>
            <w:vAlign w:val="center"/>
          </w:tcPr>
          <w:p w14:paraId="39F8AA2C" w14:textId="3C599A32" w:rsidR="001E6EF7" w:rsidRPr="00CF2405" w:rsidRDefault="001E6EF7" w:rsidP="00517EC7">
            <w:pPr>
              <w:pStyle w:val="TableText"/>
              <w:adjustRightInd w:val="0"/>
              <w:snapToGrid w:val="0"/>
              <w:jc w:val="center"/>
              <w:rPr>
                <w:rFonts w:ascii="Times New Roman" w:hAnsi="Times New Roman" w:cs="Times New Roman"/>
                <w:spacing w:val="8"/>
                <w:lang w:eastAsia="zh-CN"/>
              </w:rPr>
            </w:pPr>
            <w:r w:rsidRPr="00517EC7">
              <w:rPr>
                <w:rFonts w:ascii="Times New Roman" w:hAnsi="Times New Roman" w:cs="Times New Roman" w:hint="eastAsia"/>
                <w:spacing w:val="8"/>
                <w:lang w:eastAsia="zh-CN"/>
              </w:rPr>
              <w:t>前进村</w:t>
            </w:r>
            <w:r>
              <w:rPr>
                <w:rFonts w:ascii="Times New Roman" w:hAnsi="Times New Roman" w:cs="Times New Roman" w:hint="eastAsia"/>
                <w:spacing w:val="8"/>
                <w:lang w:eastAsia="zh-CN"/>
              </w:rPr>
              <w:t>（</w:t>
            </w:r>
            <w:r w:rsidRPr="00517EC7">
              <w:rPr>
                <w:rFonts w:ascii="Times New Roman" w:hAnsi="Times New Roman" w:cs="Times New Roman"/>
                <w:spacing w:val="8"/>
                <w:lang w:eastAsia="zh-CN"/>
              </w:rPr>
              <w:t>124.995604</w:t>
            </w:r>
            <w:r>
              <w:rPr>
                <w:rFonts w:ascii="Times New Roman" w:hAnsi="Times New Roman" w:cs="Times New Roman" w:hint="eastAsia"/>
                <w:spacing w:val="8"/>
                <w:lang w:eastAsia="zh-CN"/>
              </w:rPr>
              <w:t>，</w:t>
            </w:r>
            <w:r w:rsidRPr="00517EC7">
              <w:rPr>
                <w:rFonts w:ascii="Times New Roman" w:hAnsi="Times New Roman" w:cs="Times New Roman"/>
                <w:spacing w:val="8"/>
                <w:lang w:eastAsia="zh-CN"/>
              </w:rPr>
              <w:t>46.413442</w:t>
            </w:r>
            <w:r>
              <w:rPr>
                <w:rFonts w:ascii="Times New Roman" w:hAnsi="Times New Roman" w:cs="Times New Roman" w:hint="eastAsia"/>
                <w:spacing w:val="8"/>
                <w:lang w:eastAsia="zh-CN"/>
              </w:rPr>
              <w:t>）、</w:t>
            </w:r>
            <w:r w:rsidRPr="00517EC7">
              <w:rPr>
                <w:rFonts w:ascii="Times New Roman" w:hAnsi="Times New Roman" w:cs="Times New Roman" w:hint="eastAsia"/>
                <w:spacing w:val="8"/>
                <w:lang w:eastAsia="zh-CN"/>
              </w:rPr>
              <w:t>红旗二村</w:t>
            </w:r>
            <w:r>
              <w:rPr>
                <w:rFonts w:ascii="Times New Roman" w:hAnsi="Times New Roman" w:cs="Times New Roman" w:hint="eastAsia"/>
                <w:spacing w:val="8"/>
                <w:lang w:eastAsia="zh-CN"/>
              </w:rPr>
              <w:t>（</w:t>
            </w:r>
            <w:r w:rsidRPr="00CF2405">
              <w:rPr>
                <w:rFonts w:ascii="Times New Roman" w:hAnsi="Times New Roman" w:cs="Times New Roman"/>
                <w:spacing w:val="8"/>
                <w:lang w:eastAsia="zh-CN"/>
              </w:rPr>
              <w:t>124.990260</w:t>
            </w:r>
            <w:r>
              <w:rPr>
                <w:rFonts w:ascii="Times New Roman" w:hAnsi="Times New Roman" w:cs="Times New Roman" w:hint="eastAsia"/>
                <w:spacing w:val="8"/>
                <w:lang w:eastAsia="zh-CN"/>
              </w:rPr>
              <w:t>，</w:t>
            </w:r>
            <w:r w:rsidRPr="00CF2405">
              <w:rPr>
                <w:rFonts w:ascii="Times New Roman" w:hAnsi="Times New Roman" w:cs="Times New Roman"/>
                <w:spacing w:val="8"/>
                <w:lang w:eastAsia="zh-CN"/>
              </w:rPr>
              <w:t>46.441624</w:t>
            </w:r>
            <w:r>
              <w:rPr>
                <w:rFonts w:ascii="Times New Roman" w:hAnsi="Times New Roman" w:cs="Times New Roman" w:hint="eastAsia"/>
                <w:spacing w:val="8"/>
                <w:lang w:eastAsia="zh-CN"/>
              </w:rPr>
              <w:t>）</w:t>
            </w:r>
          </w:p>
        </w:tc>
        <w:tc>
          <w:tcPr>
            <w:tcW w:w="1284" w:type="pct"/>
            <w:vAlign w:val="center"/>
          </w:tcPr>
          <w:p w14:paraId="13A531F4" w14:textId="21751081" w:rsidR="001E6EF7" w:rsidRPr="00517EC7" w:rsidRDefault="001E6EF7" w:rsidP="00454C5A">
            <w:pPr>
              <w:pStyle w:val="TableText"/>
              <w:adjustRightInd w:val="0"/>
              <w:snapToGrid w:val="0"/>
              <w:jc w:val="center"/>
              <w:rPr>
                <w:rFonts w:hint="eastAsia"/>
                <w:snapToGrid w:val="0"/>
                <w:color w:val="000000"/>
                <w:kern w:val="0"/>
                <w:sz w:val="24"/>
                <w:lang w:eastAsia="zh-CN"/>
              </w:rPr>
            </w:pPr>
            <w:r w:rsidRPr="00517EC7">
              <w:rPr>
                <w:snapToGrid w:val="0"/>
                <w:color w:val="000000"/>
                <w:kern w:val="0"/>
                <w:sz w:val="24"/>
                <w:lang w:eastAsia="zh-CN"/>
              </w:rPr>
              <w:t>等效连续声级Leq（昼间Ld，夜间Ln）</w:t>
            </w:r>
          </w:p>
        </w:tc>
        <w:tc>
          <w:tcPr>
            <w:tcW w:w="561" w:type="pct"/>
            <w:vAlign w:val="center"/>
          </w:tcPr>
          <w:p w14:paraId="437A1A8F" w14:textId="74C19027" w:rsidR="001E6EF7" w:rsidRPr="00522694" w:rsidRDefault="001E6EF7" w:rsidP="00454C5A">
            <w:pPr>
              <w:pStyle w:val="TableText"/>
              <w:adjustRightInd w:val="0"/>
              <w:snapToGrid w:val="0"/>
              <w:jc w:val="center"/>
              <w:rPr>
                <w:rFonts w:ascii="Times New Roman" w:hAnsi="Times New Roman" w:cs="Times New Roman"/>
                <w:spacing w:val="8"/>
                <w:lang w:eastAsia="zh-CN"/>
              </w:rPr>
            </w:pPr>
            <w:r>
              <w:rPr>
                <w:rFonts w:ascii="Times New Roman" w:hAnsi="Times New Roman" w:cs="Times New Roman" w:hint="eastAsia"/>
                <w:spacing w:val="8"/>
                <w:lang w:eastAsia="zh-CN"/>
              </w:rPr>
              <w:t>1</w:t>
            </w:r>
            <w:r>
              <w:rPr>
                <w:rFonts w:ascii="Times New Roman" w:hAnsi="Times New Roman" w:cs="Times New Roman" w:hint="eastAsia"/>
                <w:spacing w:val="8"/>
                <w:lang w:eastAsia="zh-CN"/>
              </w:rPr>
              <w:t>次</w:t>
            </w:r>
            <w:r>
              <w:rPr>
                <w:rFonts w:ascii="Times New Roman" w:hAnsi="Times New Roman" w:cs="Times New Roman" w:hint="eastAsia"/>
                <w:spacing w:val="8"/>
                <w:lang w:eastAsia="zh-CN"/>
              </w:rPr>
              <w:t>/</w:t>
            </w:r>
            <w:r>
              <w:rPr>
                <w:rFonts w:ascii="Times New Roman" w:hAnsi="Times New Roman" w:cs="Times New Roman" w:hint="eastAsia"/>
                <w:spacing w:val="8"/>
                <w:lang w:eastAsia="zh-CN"/>
              </w:rPr>
              <w:t>年</w:t>
            </w:r>
          </w:p>
        </w:tc>
        <w:tc>
          <w:tcPr>
            <w:tcW w:w="1312" w:type="pct"/>
            <w:vAlign w:val="center"/>
          </w:tcPr>
          <w:p w14:paraId="39D6F4C4" w14:textId="27E5D59F" w:rsidR="001E6EF7" w:rsidRDefault="001E6EF7" w:rsidP="00454C5A">
            <w:pPr>
              <w:pStyle w:val="TableText"/>
              <w:adjustRightInd w:val="0"/>
              <w:snapToGrid w:val="0"/>
              <w:jc w:val="center"/>
              <w:rPr>
                <w:rFonts w:ascii="Times New Roman" w:hAnsi="Times New Roman" w:cs="Times New Roman"/>
                <w:spacing w:val="8"/>
                <w:lang w:eastAsia="zh-CN"/>
              </w:rPr>
            </w:pPr>
            <w:r w:rsidRPr="001E6EF7">
              <w:rPr>
                <w:rFonts w:ascii="Times New Roman" w:hAnsi="Times New Roman" w:cs="Times New Roman"/>
                <w:spacing w:val="8"/>
                <w:lang w:eastAsia="zh-CN"/>
              </w:rPr>
              <w:t>《声环境质量标准》（</w:t>
            </w:r>
            <w:r w:rsidRPr="001E6EF7">
              <w:rPr>
                <w:rFonts w:ascii="Times New Roman" w:hAnsi="Times New Roman" w:cs="Times New Roman"/>
                <w:spacing w:val="8"/>
                <w:lang w:eastAsia="zh-CN"/>
              </w:rPr>
              <w:t>GB3096-2008</w:t>
            </w:r>
            <w:r w:rsidRPr="001E6EF7">
              <w:rPr>
                <w:rFonts w:ascii="Times New Roman" w:hAnsi="Times New Roman" w:cs="Times New Roman"/>
                <w:spacing w:val="8"/>
                <w:lang w:eastAsia="zh-CN"/>
              </w:rPr>
              <w:t>）中的</w:t>
            </w:r>
            <w:r w:rsidRPr="001E6EF7">
              <w:rPr>
                <w:rFonts w:ascii="Times New Roman" w:hAnsi="Times New Roman" w:cs="Times New Roman"/>
                <w:spacing w:val="8"/>
                <w:lang w:eastAsia="zh-CN"/>
              </w:rPr>
              <w:t>2</w:t>
            </w:r>
            <w:r w:rsidRPr="001E6EF7">
              <w:rPr>
                <w:rFonts w:ascii="Times New Roman" w:hAnsi="Times New Roman" w:cs="Times New Roman"/>
                <w:spacing w:val="8"/>
                <w:lang w:eastAsia="zh-CN"/>
              </w:rPr>
              <w:t>类区标准</w:t>
            </w:r>
          </w:p>
        </w:tc>
      </w:tr>
      <w:tr w:rsidR="001E6EF7" w14:paraId="15D356F0" w14:textId="0678D16F" w:rsidTr="00844321">
        <w:trPr>
          <w:trHeight w:val="57"/>
          <w:jc w:val="center"/>
        </w:trPr>
        <w:tc>
          <w:tcPr>
            <w:tcW w:w="221" w:type="pct"/>
            <w:vAlign w:val="center"/>
          </w:tcPr>
          <w:p w14:paraId="31C4E7A0" w14:textId="40DA6FD9" w:rsidR="001E6EF7" w:rsidRPr="00517EC7" w:rsidRDefault="001E6EF7" w:rsidP="00454C5A">
            <w:pPr>
              <w:adjustRightInd w:val="0"/>
              <w:snapToGrid w:val="0"/>
              <w:jc w:val="center"/>
              <w:rPr>
                <w:rFonts w:eastAsiaTheme="minorEastAsia"/>
                <w:sz w:val="20"/>
                <w:szCs w:val="20"/>
              </w:rPr>
            </w:pPr>
            <w:r>
              <w:rPr>
                <w:rFonts w:eastAsiaTheme="minorEastAsia" w:hint="eastAsia"/>
                <w:sz w:val="20"/>
                <w:szCs w:val="20"/>
              </w:rPr>
              <w:t>5</w:t>
            </w:r>
          </w:p>
        </w:tc>
        <w:tc>
          <w:tcPr>
            <w:tcW w:w="498" w:type="pct"/>
            <w:vAlign w:val="center"/>
          </w:tcPr>
          <w:p w14:paraId="69F6ACC2" w14:textId="77777777" w:rsidR="001E6EF7" w:rsidRDefault="001E6EF7" w:rsidP="00454C5A">
            <w:pPr>
              <w:pStyle w:val="TableText"/>
              <w:adjustRightInd w:val="0"/>
              <w:snapToGrid w:val="0"/>
              <w:jc w:val="center"/>
              <w:rPr>
                <w:rFonts w:ascii="Times New Roman" w:hAnsi="Times New Roman" w:cs="Times New Roman"/>
              </w:rPr>
            </w:pPr>
            <w:r>
              <w:rPr>
                <w:rFonts w:ascii="Times New Roman" w:hAnsi="Times New Roman" w:cs="Times New Roman"/>
                <w:spacing w:val="7"/>
              </w:rPr>
              <w:t>土壤环境</w:t>
            </w:r>
          </w:p>
        </w:tc>
        <w:tc>
          <w:tcPr>
            <w:tcW w:w="1124" w:type="pct"/>
            <w:vAlign w:val="center"/>
          </w:tcPr>
          <w:p w14:paraId="374E71D5" w14:textId="2F0E6098" w:rsidR="001E6EF7" w:rsidRDefault="001E6EF7" w:rsidP="00517EC7">
            <w:pPr>
              <w:pStyle w:val="TableText"/>
              <w:adjustRightInd w:val="0"/>
              <w:snapToGrid w:val="0"/>
              <w:jc w:val="center"/>
              <w:rPr>
                <w:rFonts w:ascii="Times New Roman" w:hAnsi="Times New Roman" w:cs="Times New Roman"/>
                <w:lang w:eastAsia="zh-CN"/>
              </w:rPr>
            </w:pPr>
            <w:r w:rsidRPr="00517EC7">
              <w:rPr>
                <w:rFonts w:ascii="Times New Roman" w:hAnsi="Times New Roman" w:cs="Times New Roman" w:hint="eastAsia"/>
                <w:spacing w:val="8"/>
                <w:lang w:eastAsia="zh-CN"/>
              </w:rPr>
              <w:t>厂区西侧</w:t>
            </w:r>
            <w:r w:rsidRPr="00517EC7">
              <w:rPr>
                <w:rFonts w:ascii="Times New Roman" w:hAnsi="Times New Roman" w:cs="Times New Roman" w:hint="eastAsia"/>
                <w:spacing w:val="8"/>
                <w:lang w:eastAsia="zh-CN"/>
              </w:rPr>
              <w:t>200m</w:t>
            </w:r>
            <w:r w:rsidRPr="00517EC7">
              <w:rPr>
                <w:rFonts w:ascii="Times New Roman" w:hAnsi="Times New Roman" w:cs="Times New Roman" w:hint="eastAsia"/>
                <w:spacing w:val="8"/>
                <w:lang w:eastAsia="zh-CN"/>
              </w:rPr>
              <w:t>（草地）</w:t>
            </w:r>
            <w:r>
              <w:rPr>
                <w:rFonts w:ascii="Times New Roman" w:hAnsi="Times New Roman" w:cs="Times New Roman" w:hint="eastAsia"/>
                <w:spacing w:val="8"/>
                <w:lang w:eastAsia="zh-CN"/>
              </w:rPr>
              <w:t>（</w:t>
            </w:r>
            <w:r w:rsidRPr="00517EC7">
              <w:rPr>
                <w:rFonts w:ascii="Times New Roman" w:hAnsi="Times New Roman" w:cs="Times New Roman"/>
                <w:spacing w:val="8"/>
                <w:lang w:eastAsia="zh-CN"/>
              </w:rPr>
              <w:t>124.979567</w:t>
            </w:r>
            <w:r w:rsidRPr="00517EC7">
              <w:rPr>
                <w:rFonts w:ascii="Times New Roman" w:hAnsi="Times New Roman" w:cs="Times New Roman"/>
                <w:spacing w:val="8"/>
                <w:lang w:eastAsia="zh-CN"/>
              </w:rPr>
              <w:t>，</w:t>
            </w:r>
            <w:r w:rsidRPr="00517EC7">
              <w:rPr>
                <w:rFonts w:ascii="Times New Roman" w:hAnsi="Times New Roman" w:cs="Times New Roman"/>
                <w:spacing w:val="8"/>
                <w:lang w:eastAsia="zh-CN"/>
              </w:rPr>
              <w:t>46.435679</w:t>
            </w:r>
            <w:r>
              <w:rPr>
                <w:rFonts w:ascii="Times New Roman" w:hAnsi="Times New Roman" w:cs="Times New Roman" w:hint="eastAsia"/>
                <w:spacing w:val="8"/>
                <w:lang w:eastAsia="zh-CN"/>
              </w:rPr>
              <w:t>）、</w:t>
            </w:r>
            <w:r w:rsidRPr="00517EC7">
              <w:rPr>
                <w:rFonts w:ascii="Times New Roman" w:hAnsi="Times New Roman" w:cs="Times New Roman" w:hint="eastAsia"/>
                <w:spacing w:val="8"/>
                <w:lang w:eastAsia="zh-CN"/>
              </w:rPr>
              <w:t>厂区东北侧</w:t>
            </w:r>
            <w:r w:rsidRPr="00517EC7">
              <w:rPr>
                <w:rFonts w:ascii="Times New Roman" w:hAnsi="Times New Roman" w:cs="Times New Roman" w:hint="eastAsia"/>
                <w:spacing w:val="8"/>
                <w:lang w:eastAsia="zh-CN"/>
              </w:rPr>
              <w:t>200m</w:t>
            </w:r>
            <w:r w:rsidRPr="00517EC7">
              <w:rPr>
                <w:rFonts w:ascii="Times New Roman" w:hAnsi="Times New Roman" w:cs="Times New Roman" w:hint="eastAsia"/>
                <w:spacing w:val="8"/>
                <w:lang w:eastAsia="zh-CN"/>
              </w:rPr>
              <w:t>（耕地）</w:t>
            </w:r>
            <w:r>
              <w:rPr>
                <w:rFonts w:ascii="Times New Roman" w:hAnsi="Times New Roman" w:cs="Times New Roman" w:hint="eastAsia"/>
                <w:spacing w:val="8"/>
                <w:lang w:eastAsia="zh-CN"/>
              </w:rPr>
              <w:t>（</w:t>
            </w:r>
            <w:r w:rsidRPr="00517EC7">
              <w:rPr>
                <w:rFonts w:ascii="Times New Roman" w:hAnsi="Times New Roman" w:cs="Times New Roman"/>
                <w:spacing w:val="8"/>
                <w:lang w:eastAsia="zh-CN"/>
              </w:rPr>
              <w:t>124.995145</w:t>
            </w:r>
            <w:r w:rsidRPr="00517EC7">
              <w:rPr>
                <w:rFonts w:ascii="Times New Roman" w:hAnsi="Times New Roman" w:cs="Times New Roman"/>
                <w:spacing w:val="8"/>
                <w:lang w:eastAsia="zh-CN"/>
              </w:rPr>
              <w:t>，</w:t>
            </w:r>
            <w:r w:rsidRPr="00517EC7">
              <w:rPr>
                <w:rFonts w:ascii="Times New Roman" w:hAnsi="Times New Roman" w:cs="Times New Roman"/>
                <w:spacing w:val="8"/>
                <w:lang w:eastAsia="zh-CN"/>
              </w:rPr>
              <w:t>46.432499</w:t>
            </w:r>
            <w:r>
              <w:rPr>
                <w:rFonts w:ascii="Times New Roman" w:hAnsi="Times New Roman" w:cs="Times New Roman" w:hint="eastAsia"/>
                <w:spacing w:val="8"/>
                <w:lang w:eastAsia="zh-CN"/>
              </w:rPr>
              <w:t>）</w:t>
            </w:r>
          </w:p>
        </w:tc>
        <w:tc>
          <w:tcPr>
            <w:tcW w:w="1284" w:type="pct"/>
            <w:vAlign w:val="center"/>
          </w:tcPr>
          <w:p w14:paraId="5771CCAC" w14:textId="6932DDC6" w:rsidR="001E6EF7" w:rsidRDefault="001E6EF7" w:rsidP="00454C5A">
            <w:pPr>
              <w:pStyle w:val="TableText"/>
              <w:adjustRightInd w:val="0"/>
              <w:snapToGrid w:val="0"/>
              <w:jc w:val="center"/>
              <w:rPr>
                <w:rFonts w:ascii="Times New Roman" w:hAnsi="Times New Roman" w:cs="Times New Roman"/>
                <w:lang w:eastAsia="zh-CN"/>
              </w:rPr>
            </w:pPr>
            <w:r w:rsidRPr="001E6EF7">
              <w:rPr>
                <w:rFonts w:ascii="Times New Roman" w:hAnsi="Times New Roman" w:cs="Times New Roman"/>
                <w:spacing w:val="8"/>
                <w:lang w:eastAsia="zh-CN"/>
              </w:rPr>
              <w:t>pH</w:t>
            </w:r>
            <w:r w:rsidRPr="001E6EF7">
              <w:rPr>
                <w:rFonts w:ascii="Times New Roman" w:hAnsi="Times New Roman" w:cs="Times New Roman"/>
                <w:spacing w:val="8"/>
                <w:lang w:eastAsia="zh-CN"/>
              </w:rPr>
              <w:t>、石油烃（</w:t>
            </w:r>
            <w:r w:rsidRPr="001E6EF7">
              <w:rPr>
                <w:rFonts w:ascii="Times New Roman" w:hAnsi="Times New Roman" w:cs="Times New Roman"/>
                <w:spacing w:val="8"/>
                <w:lang w:eastAsia="zh-CN"/>
              </w:rPr>
              <w:t>C</w:t>
            </w:r>
            <w:r w:rsidRPr="001E6EF7">
              <w:rPr>
                <w:rFonts w:ascii="Times New Roman" w:hAnsi="Times New Roman" w:cs="Times New Roman"/>
                <w:spacing w:val="8"/>
                <w:vertAlign w:val="subscript"/>
                <w:lang w:eastAsia="zh-CN"/>
              </w:rPr>
              <w:t>10</w:t>
            </w:r>
            <w:r w:rsidRPr="001E6EF7">
              <w:rPr>
                <w:rFonts w:ascii="Times New Roman" w:hAnsi="Times New Roman" w:cs="Times New Roman"/>
                <w:spacing w:val="8"/>
                <w:lang w:eastAsia="zh-CN"/>
              </w:rPr>
              <w:t>-C</w:t>
            </w:r>
            <w:r w:rsidRPr="001E6EF7">
              <w:rPr>
                <w:rFonts w:ascii="Times New Roman" w:hAnsi="Times New Roman" w:cs="Times New Roman"/>
                <w:spacing w:val="8"/>
                <w:vertAlign w:val="subscript"/>
                <w:lang w:eastAsia="zh-CN"/>
              </w:rPr>
              <w:t>40</w:t>
            </w:r>
            <w:r w:rsidRPr="001E6EF7">
              <w:rPr>
                <w:rFonts w:ascii="Times New Roman" w:hAnsi="Times New Roman" w:cs="Times New Roman"/>
                <w:spacing w:val="8"/>
                <w:lang w:eastAsia="zh-CN"/>
              </w:rPr>
              <w:t>）、镉、铬、汞、铜、砷、镍、铅、锌</w:t>
            </w:r>
          </w:p>
        </w:tc>
        <w:tc>
          <w:tcPr>
            <w:tcW w:w="561" w:type="pct"/>
            <w:vAlign w:val="center"/>
          </w:tcPr>
          <w:p w14:paraId="43C5C996" w14:textId="77777777" w:rsidR="001E6EF7" w:rsidRDefault="001E6EF7" w:rsidP="00454C5A">
            <w:pPr>
              <w:pStyle w:val="TableText"/>
              <w:adjustRightInd w:val="0"/>
              <w:snapToGrid w:val="0"/>
              <w:jc w:val="center"/>
              <w:rPr>
                <w:rFonts w:ascii="Times New Roman" w:hAnsi="Times New Roman" w:cs="Times New Roman"/>
              </w:rPr>
            </w:pPr>
            <w:r>
              <w:rPr>
                <w:rFonts w:ascii="Times New Roman" w:eastAsia="Times New Roman" w:hAnsi="Times New Roman" w:cs="Times New Roman"/>
                <w:spacing w:val="-4"/>
              </w:rPr>
              <w:t>1</w:t>
            </w:r>
            <w:r>
              <w:rPr>
                <w:rFonts w:ascii="Times New Roman" w:hAnsi="Times New Roman" w:cs="Times New Roman"/>
                <w:spacing w:val="-4"/>
              </w:rPr>
              <w:t>次</w:t>
            </w:r>
            <w:r>
              <w:rPr>
                <w:rFonts w:ascii="Times New Roman" w:eastAsia="Times New Roman" w:hAnsi="Times New Roman" w:cs="Times New Roman"/>
                <w:spacing w:val="-4"/>
              </w:rPr>
              <w:t>/5</w:t>
            </w:r>
            <w:r>
              <w:rPr>
                <w:rFonts w:ascii="Times New Roman" w:hAnsi="Times New Roman" w:cs="Times New Roman"/>
                <w:spacing w:val="-4"/>
              </w:rPr>
              <w:t>年</w:t>
            </w:r>
          </w:p>
        </w:tc>
        <w:tc>
          <w:tcPr>
            <w:tcW w:w="1312" w:type="pct"/>
            <w:vAlign w:val="center"/>
          </w:tcPr>
          <w:p w14:paraId="640734B6" w14:textId="1CC61727" w:rsidR="001E6EF7" w:rsidRDefault="001E6EF7" w:rsidP="00454C5A">
            <w:pPr>
              <w:pStyle w:val="TableText"/>
              <w:adjustRightInd w:val="0"/>
              <w:snapToGrid w:val="0"/>
              <w:jc w:val="center"/>
              <w:rPr>
                <w:rFonts w:ascii="Times New Roman" w:eastAsia="Times New Roman" w:hAnsi="Times New Roman" w:cs="Times New Roman"/>
                <w:spacing w:val="-4"/>
                <w:lang w:eastAsia="zh-CN"/>
              </w:rPr>
            </w:pPr>
            <w:r w:rsidRPr="001E6EF7">
              <w:rPr>
                <w:rFonts w:hint="eastAsia"/>
                <w:spacing w:val="-4"/>
                <w:lang w:eastAsia="zh-CN"/>
              </w:rPr>
              <w:t>《土壤环境质量</w:t>
            </w:r>
            <w:r w:rsidRPr="001E6EF7">
              <w:rPr>
                <w:rFonts w:ascii="Times New Roman" w:eastAsia="Times New Roman" w:hAnsi="Times New Roman" w:cs="Times New Roman"/>
                <w:spacing w:val="-4"/>
                <w:lang w:eastAsia="zh-CN"/>
              </w:rPr>
              <w:t xml:space="preserve"> </w:t>
            </w:r>
            <w:r w:rsidRPr="001E6EF7">
              <w:rPr>
                <w:rFonts w:hint="eastAsia"/>
                <w:spacing w:val="-4"/>
                <w:lang w:eastAsia="zh-CN"/>
              </w:rPr>
              <w:t>农用地土壤污染风险管控标准（试行）》（</w:t>
            </w:r>
            <w:r w:rsidRPr="001E6EF7">
              <w:rPr>
                <w:rFonts w:ascii="Times New Roman" w:eastAsia="Times New Roman" w:hAnsi="Times New Roman" w:cs="Times New Roman"/>
                <w:spacing w:val="-4"/>
                <w:lang w:eastAsia="zh-CN"/>
              </w:rPr>
              <w:t>GB15618-2018</w:t>
            </w:r>
            <w:r w:rsidRPr="001E6EF7">
              <w:rPr>
                <w:rFonts w:hint="eastAsia"/>
                <w:spacing w:val="-4"/>
                <w:lang w:eastAsia="zh-CN"/>
              </w:rPr>
              <w:t>）中表</w:t>
            </w:r>
            <w:r w:rsidRPr="001E6EF7">
              <w:rPr>
                <w:rFonts w:ascii="Times New Roman" w:eastAsia="Times New Roman" w:hAnsi="Times New Roman" w:cs="Times New Roman"/>
                <w:spacing w:val="-4"/>
                <w:lang w:eastAsia="zh-CN"/>
              </w:rPr>
              <w:t>1</w:t>
            </w:r>
            <w:r w:rsidRPr="001E6EF7">
              <w:rPr>
                <w:rFonts w:hint="eastAsia"/>
                <w:spacing w:val="-4"/>
                <w:lang w:eastAsia="zh-CN"/>
              </w:rPr>
              <w:t>基本项目</w:t>
            </w:r>
          </w:p>
        </w:tc>
      </w:tr>
    </w:tbl>
    <w:p w14:paraId="2FEDDC9E" w14:textId="2C1DC9CA" w:rsidR="00AB318D" w:rsidRPr="00AB318D" w:rsidRDefault="004A414E" w:rsidP="00AB318D">
      <w:pPr>
        <w:pStyle w:val="3"/>
        <w:spacing w:beforeLines="50" w:before="120"/>
      </w:pPr>
      <w:bookmarkStart w:id="375" w:name="_Toc220680565"/>
      <w:r>
        <w:rPr>
          <w:rFonts w:hint="eastAsia"/>
        </w:rPr>
        <w:t>9</w:t>
      </w:r>
      <w:r w:rsidR="00EA5B92">
        <w:t>.2.</w:t>
      </w:r>
      <w:r w:rsidR="0025514A">
        <w:rPr>
          <w:rFonts w:hint="eastAsia"/>
        </w:rPr>
        <w:t>2</w:t>
      </w:r>
      <w:r w:rsidR="00AB318D" w:rsidRPr="00AB318D">
        <w:rPr>
          <w:rFonts w:hint="eastAsia"/>
        </w:rPr>
        <w:t>监测数据的管理与公开</w:t>
      </w:r>
      <w:bookmarkEnd w:id="375"/>
    </w:p>
    <w:p w14:paraId="533566B9" w14:textId="77777777" w:rsidR="00AB318D" w:rsidRDefault="00AB318D" w:rsidP="00AB318D">
      <w:pPr>
        <w:pStyle w:val="affffff4"/>
      </w:pPr>
      <w:r>
        <w:rPr>
          <w:rFonts w:hint="eastAsia"/>
        </w:rPr>
        <w:t>每次监测工作结束后，建设单位应做好数据记录、归档。企业编写自行监测年度报告，年度报告至少应包含以下内容：</w:t>
      </w:r>
    </w:p>
    <w:p w14:paraId="42B2B26E" w14:textId="77777777" w:rsidR="00AB318D" w:rsidRDefault="00AB318D" w:rsidP="00AB318D">
      <w:pPr>
        <w:pStyle w:val="affffff4"/>
      </w:pPr>
      <w:r>
        <w:rPr>
          <w:rFonts w:hint="eastAsia"/>
        </w:rPr>
        <w:t>a</w:t>
      </w:r>
      <w:r>
        <w:rPr>
          <w:rFonts w:hint="eastAsia"/>
        </w:rPr>
        <w:t>）</w:t>
      </w:r>
      <w:r>
        <w:rPr>
          <w:rFonts w:hint="eastAsia"/>
        </w:rPr>
        <w:t xml:space="preserve"> </w:t>
      </w:r>
      <w:r>
        <w:rPr>
          <w:rFonts w:hint="eastAsia"/>
        </w:rPr>
        <w:t>监测方案的调整变化情况及变更原因；</w:t>
      </w:r>
    </w:p>
    <w:p w14:paraId="5C73FD07" w14:textId="77777777" w:rsidR="00AB318D" w:rsidRDefault="00AB318D" w:rsidP="00AB318D">
      <w:pPr>
        <w:pStyle w:val="affffff4"/>
      </w:pPr>
      <w:r>
        <w:rPr>
          <w:rFonts w:hint="eastAsia"/>
        </w:rPr>
        <w:lastRenderedPageBreak/>
        <w:t>b</w:t>
      </w:r>
      <w:r>
        <w:rPr>
          <w:rFonts w:hint="eastAsia"/>
        </w:rPr>
        <w:t>）</w:t>
      </w:r>
      <w:r>
        <w:rPr>
          <w:rFonts w:hint="eastAsia"/>
        </w:rPr>
        <w:t xml:space="preserve"> </w:t>
      </w:r>
      <w:r>
        <w:rPr>
          <w:rFonts w:hint="eastAsia"/>
        </w:rPr>
        <w:t>企业及各主要生产设施（至少涵盖废气主要污染源相关生产设施）全年运行天数，</w:t>
      </w:r>
    </w:p>
    <w:p w14:paraId="68BED1ED" w14:textId="77777777" w:rsidR="00AB318D" w:rsidRDefault="00AB318D" w:rsidP="00AB318D">
      <w:pPr>
        <w:pStyle w:val="affffff4"/>
      </w:pPr>
      <w:r>
        <w:rPr>
          <w:rFonts w:hint="eastAsia"/>
        </w:rPr>
        <w:t>各监测点、各监测指标全年监测次数、超标情况、浓度分布情况；</w:t>
      </w:r>
    </w:p>
    <w:p w14:paraId="7B886FDF" w14:textId="77777777" w:rsidR="00AB318D" w:rsidRDefault="00AB318D" w:rsidP="00AB318D">
      <w:pPr>
        <w:pStyle w:val="affffff4"/>
      </w:pPr>
      <w:r>
        <w:rPr>
          <w:rFonts w:hint="eastAsia"/>
        </w:rPr>
        <w:t>c</w:t>
      </w:r>
      <w:r>
        <w:rPr>
          <w:rFonts w:hint="eastAsia"/>
        </w:rPr>
        <w:t>）</w:t>
      </w:r>
      <w:r>
        <w:rPr>
          <w:rFonts w:hint="eastAsia"/>
        </w:rPr>
        <w:t xml:space="preserve"> </w:t>
      </w:r>
      <w:r>
        <w:rPr>
          <w:rFonts w:hint="eastAsia"/>
        </w:rPr>
        <w:t>按要求开展的周边环境质量影响状况监测结果；</w:t>
      </w:r>
    </w:p>
    <w:p w14:paraId="3C38CB1A" w14:textId="77777777" w:rsidR="00AB318D" w:rsidRDefault="00AB318D" w:rsidP="00AB318D">
      <w:pPr>
        <w:pStyle w:val="affffff4"/>
      </w:pPr>
      <w:r>
        <w:rPr>
          <w:rFonts w:hint="eastAsia"/>
        </w:rPr>
        <w:t>d</w:t>
      </w:r>
      <w:r>
        <w:rPr>
          <w:rFonts w:hint="eastAsia"/>
        </w:rPr>
        <w:t>）</w:t>
      </w:r>
      <w:r>
        <w:rPr>
          <w:rFonts w:hint="eastAsia"/>
        </w:rPr>
        <w:t xml:space="preserve"> </w:t>
      </w:r>
      <w:r>
        <w:rPr>
          <w:rFonts w:hint="eastAsia"/>
        </w:rPr>
        <w:t>自行监测开展的其他情况说明；</w:t>
      </w:r>
    </w:p>
    <w:p w14:paraId="69D47F7B" w14:textId="77777777" w:rsidR="00AB318D" w:rsidRDefault="00AB318D" w:rsidP="00AB318D">
      <w:pPr>
        <w:pStyle w:val="affffff4"/>
      </w:pPr>
      <w:r>
        <w:rPr>
          <w:rFonts w:hint="eastAsia"/>
        </w:rPr>
        <w:t>e</w:t>
      </w:r>
      <w:r>
        <w:rPr>
          <w:rFonts w:hint="eastAsia"/>
        </w:rPr>
        <w:t>）</w:t>
      </w:r>
      <w:r>
        <w:rPr>
          <w:rFonts w:hint="eastAsia"/>
        </w:rPr>
        <w:t xml:space="preserve"> </w:t>
      </w:r>
      <w:r>
        <w:rPr>
          <w:rFonts w:hint="eastAsia"/>
        </w:rPr>
        <w:t>排污单位实现达标排放所采取的主要措施。</w:t>
      </w:r>
    </w:p>
    <w:p w14:paraId="182B8620" w14:textId="77777777" w:rsidR="00AB318D" w:rsidRDefault="00AB318D" w:rsidP="00AB318D">
      <w:pPr>
        <w:pStyle w:val="affffff4"/>
      </w:pPr>
      <w:r>
        <w:rPr>
          <w:rFonts w:hint="eastAsia"/>
        </w:rPr>
        <w:t>监测结果出现超标的，排污单位应加密监测，并检查超标原因。短期内无法实现稳定达标排放的，应向生态环境主管部门提交事故分析报告，说明事故发生的原因，采取减轻或防止污染的措施，以及今后的预防及改进措施等；若因发生事故或者其他突发事件，排放的污水可能危及城镇排水与污水处理站安全运行的，应当立即采取措施消除危害，并及时向城镇排水主管部门和生态环境主管部门等有关部门报告。</w:t>
      </w:r>
    </w:p>
    <w:p w14:paraId="29CFCE39" w14:textId="354C3D33" w:rsidR="00606029" w:rsidRDefault="00AB318D" w:rsidP="00AB318D">
      <w:pPr>
        <w:pStyle w:val="affffff4"/>
      </w:pPr>
      <w:r>
        <w:rPr>
          <w:rFonts w:hint="eastAsia"/>
        </w:rPr>
        <w:t>实施自动连续监测的，其监测系统要与当地生态环境主管部门联网。污染源监测数据按《污染源监测管理办法》上报当地生态环境主管部门。所有监测数据一律归档保存。</w:t>
      </w:r>
    </w:p>
    <w:p w14:paraId="542FF734" w14:textId="4A82B367" w:rsidR="00606029" w:rsidRDefault="004A414E">
      <w:pPr>
        <w:pStyle w:val="2"/>
      </w:pPr>
      <w:bookmarkStart w:id="376" w:name="_Toc3661"/>
      <w:bookmarkStart w:id="377" w:name="_Toc22903"/>
      <w:bookmarkStart w:id="378" w:name="_Toc220680566"/>
      <w:r>
        <w:rPr>
          <w:rFonts w:hint="eastAsia"/>
        </w:rPr>
        <w:t>9</w:t>
      </w:r>
      <w:r w:rsidR="00EA5B92">
        <w:t>.3</w:t>
      </w:r>
      <w:r w:rsidR="00EA5B92">
        <w:t>环保竣工验收</w:t>
      </w:r>
      <w:bookmarkEnd w:id="376"/>
      <w:bookmarkEnd w:id="377"/>
      <w:bookmarkEnd w:id="378"/>
    </w:p>
    <w:p w14:paraId="4F2B631A" w14:textId="77777777" w:rsidR="00606029" w:rsidRDefault="00EA5B92">
      <w:pPr>
        <w:pStyle w:val="affffff4"/>
      </w:pPr>
      <w:r>
        <w:t>根据《关于发布</w:t>
      </w:r>
      <w:r>
        <w:t>&lt;</w:t>
      </w:r>
      <w:r>
        <w:t>建设项目竣工环境保护验收暂行办法</w:t>
      </w:r>
      <w:r>
        <w:t>&gt;</w:t>
      </w:r>
      <w:r>
        <w:t>的公告》（国环规环评</w:t>
      </w:r>
      <w:r>
        <w:t>[2017]4</w:t>
      </w:r>
      <w:r>
        <w:t>号），建设单位是建设项目竣工环境保护验收的责任主体，应当按照本办法规定的程序和标准，组织对配套建设的环境保护设施进行验收，编制验收报告，公开相关信息，接受社会监督，确保建设项目需要配套建设的环境保护设施与主体工程同时投产或者使用，并对验收内容、结论和所公开信息的真实性、准确性和完整性负责，不得在验收过程中弄虚作假。</w:t>
      </w:r>
    </w:p>
    <w:p w14:paraId="4E85B4C9" w14:textId="77777777" w:rsidR="00606029" w:rsidRDefault="00EA5B92">
      <w:pPr>
        <w:pStyle w:val="affffff4"/>
      </w:pPr>
      <w:r>
        <w:t>环境保护设施是指防止环境污染和生态破坏以及开展环境监测所需的装置、设备和工程设施等。验收报告分为验收监测（调查）报告、验收意见和其他需要说明的事项等三项内容。验收意见包括工程建设基本情况、工程变动情况、环境保护设施落实情况、环境保护设施调试效果、工程建设对环境的影响、验收结论和后续要求等内容，验收结论应当明确该</w:t>
      </w:r>
      <w:bookmarkStart w:id="379" w:name="_Hlk52796743"/>
      <w:r>
        <w:t>建设项目环境保护设施是否验收合格</w:t>
      </w:r>
      <w:bookmarkEnd w:id="379"/>
      <w:r>
        <w:t>。</w:t>
      </w:r>
    </w:p>
    <w:p w14:paraId="7A7562C6" w14:textId="6B5E603F" w:rsidR="00606029" w:rsidRDefault="00EA5B92">
      <w:pPr>
        <w:pStyle w:val="affffff4"/>
      </w:pPr>
      <w:r>
        <w:t>建设项目在投入生产或者使用前，建设单位应当依据</w:t>
      </w:r>
      <w:r w:rsidR="006A52CC">
        <w:t>：</w:t>
      </w:r>
    </w:p>
    <w:p w14:paraId="045B4B62" w14:textId="77777777" w:rsidR="00606029" w:rsidRDefault="00EA5B92">
      <w:pPr>
        <w:pStyle w:val="affffff4"/>
      </w:pPr>
      <w:r>
        <w:t>1</w:t>
      </w:r>
      <w:r>
        <w:t>、建设项目环境保护相关法律法规、规章、标准和规范性文件；</w:t>
      </w:r>
    </w:p>
    <w:p w14:paraId="3D678F0C" w14:textId="77777777" w:rsidR="00606029" w:rsidRDefault="00EA5B92">
      <w:pPr>
        <w:pStyle w:val="affffff4"/>
      </w:pPr>
      <w:r>
        <w:t>2</w:t>
      </w:r>
      <w:r>
        <w:t>、建设项目竣工环境保护验收技术规范；</w:t>
      </w:r>
    </w:p>
    <w:p w14:paraId="48E78BC9" w14:textId="77777777" w:rsidR="00606029" w:rsidRDefault="00EA5B92">
      <w:pPr>
        <w:pStyle w:val="affffff4"/>
      </w:pPr>
      <w:r>
        <w:t>3</w:t>
      </w:r>
      <w:r>
        <w:t>、建设项目环境影响报告书（表）及审批部门审批决定。</w:t>
      </w:r>
    </w:p>
    <w:p w14:paraId="75EA8258" w14:textId="77777777" w:rsidR="00606029" w:rsidRDefault="00EA5B92">
      <w:pPr>
        <w:pStyle w:val="affffff4"/>
      </w:pPr>
      <w:r>
        <w:lastRenderedPageBreak/>
        <w:t>建设单位自行编制或委托第三方机构编制建设项目环境保护设施竣工验收报告，向社会公开并向环保部门备案。建设项目配套建设的环境保护设施经验收合格后，其主体工程方可投入生产或者使用；未经验收或者验收不合格的，不得投入生产或者使用。本次评价依据工程分析及环境保护措施合理性论证结果，给出建议的环境保护设施及排放标准作为项目环境保护竣工验收参考依据。详见环保验收一览表。</w:t>
      </w:r>
    </w:p>
    <w:p w14:paraId="4097727D" w14:textId="4FBCBDE5" w:rsidR="00606029" w:rsidRDefault="004A414E">
      <w:pPr>
        <w:pStyle w:val="2"/>
        <w:keepLines w:val="0"/>
      </w:pPr>
      <w:bookmarkStart w:id="380" w:name="_Toc27641"/>
      <w:bookmarkStart w:id="381" w:name="_Toc381782856"/>
      <w:bookmarkStart w:id="382" w:name="_Toc11006"/>
      <w:bookmarkStart w:id="383" w:name="_Toc220680567"/>
      <w:r>
        <w:rPr>
          <w:rFonts w:hint="eastAsia"/>
        </w:rPr>
        <w:t>9</w:t>
      </w:r>
      <w:r w:rsidR="00EA5B92">
        <w:t>.4</w:t>
      </w:r>
      <w:r w:rsidR="00EA5B92">
        <w:t>总量控制指标分析</w:t>
      </w:r>
      <w:bookmarkEnd w:id="380"/>
      <w:bookmarkEnd w:id="381"/>
      <w:bookmarkEnd w:id="382"/>
      <w:bookmarkEnd w:id="383"/>
    </w:p>
    <w:p w14:paraId="0D0FFD74" w14:textId="74B02185" w:rsidR="00606029" w:rsidRDefault="004A414E">
      <w:pPr>
        <w:pStyle w:val="3"/>
        <w:numPr>
          <w:ilvl w:val="0"/>
          <w:numId w:val="0"/>
        </w:numPr>
        <w:tabs>
          <w:tab w:val="left" w:pos="720"/>
        </w:tabs>
        <w:ind w:left="720" w:hanging="720"/>
        <w:jc w:val="left"/>
        <w:rPr>
          <w:szCs w:val="28"/>
        </w:rPr>
      </w:pPr>
      <w:bookmarkStart w:id="384" w:name="_Toc381782857"/>
      <w:bookmarkStart w:id="385" w:name="_Toc353173044"/>
      <w:bookmarkStart w:id="386" w:name="_Toc356804657"/>
      <w:bookmarkStart w:id="387" w:name="_Toc353200329"/>
      <w:bookmarkStart w:id="388" w:name="_Toc352146577"/>
      <w:bookmarkStart w:id="389" w:name="_Toc353522962"/>
      <w:bookmarkStart w:id="390" w:name="_Toc220680568"/>
      <w:r>
        <w:rPr>
          <w:rFonts w:hint="eastAsia"/>
          <w:szCs w:val="28"/>
        </w:rPr>
        <w:t>9</w:t>
      </w:r>
      <w:r w:rsidR="00EA5B92">
        <w:rPr>
          <w:szCs w:val="28"/>
        </w:rPr>
        <w:t>.4.1</w:t>
      </w:r>
      <w:r w:rsidR="00EA5B92">
        <w:rPr>
          <w:szCs w:val="28"/>
        </w:rPr>
        <w:t>总量控制的目的</w:t>
      </w:r>
      <w:bookmarkEnd w:id="384"/>
      <w:bookmarkEnd w:id="385"/>
      <w:bookmarkEnd w:id="386"/>
      <w:bookmarkEnd w:id="387"/>
      <w:bookmarkEnd w:id="388"/>
      <w:bookmarkEnd w:id="389"/>
      <w:bookmarkEnd w:id="390"/>
    </w:p>
    <w:p w14:paraId="397B0F07" w14:textId="5CFA3EF0" w:rsidR="00606029" w:rsidRDefault="00EA5B92">
      <w:pPr>
        <w:pStyle w:val="aa0"/>
        <w:ind w:firstLine="480"/>
      </w:pPr>
      <w:r>
        <w:t>《建设项目环境保护管理条例》中第三条规定</w:t>
      </w:r>
      <w:r w:rsidR="006A52CC">
        <w:t>：</w:t>
      </w:r>
      <w:r>
        <w:t>“</w:t>
      </w:r>
      <w:r>
        <w:t>建设产生污染的建设项目，必须遵守污染物排放的国家和地方标准；在实施重点污染物排放总量控制的区域内，还必须符合重点污染物排放总量控制的要求。</w:t>
      </w:r>
      <w:r>
        <w:t>”</w:t>
      </w:r>
      <w:r>
        <w:t>因此总量控制的目的就是为了有效地保护和改善环境质量，保证经济建设和环境保护发展，使环境质量不因经济发展而随之恶化，并逐步改善。</w:t>
      </w:r>
    </w:p>
    <w:p w14:paraId="40FC48C0" w14:textId="1C773D12" w:rsidR="00606029" w:rsidRDefault="004A414E">
      <w:pPr>
        <w:pStyle w:val="3"/>
        <w:numPr>
          <w:ilvl w:val="0"/>
          <w:numId w:val="0"/>
        </w:numPr>
        <w:tabs>
          <w:tab w:val="left" w:pos="720"/>
        </w:tabs>
        <w:ind w:left="720" w:hanging="720"/>
        <w:jc w:val="left"/>
        <w:rPr>
          <w:szCs w:val="28"/>
        </w:rPr>
      </w:pPr>
      <w:bookmarkStart w:id="391" w:name="_Toc352146578"/>
      <w:bookmarkStart w:id="392" w:name="_Toc353522963"/>
      <w:bookmarkStart w:id="393" w:name="_Toc353200330"/>
      <w:bookmarkStart w:id="394" w:name="_Toc353173045"/>
      <w:bookmarkStart w:id="395" w:name="_Toc381782858"/>
      <w:bookmarkStart w:id="396" w:name="_Toc356804658"/>
      <w:bookmarkStart w:id="397" w:name="_Toc220680569"/>
      <w:r>
        <w:rPr>
          <w:rFonts w:hint="eastAsia"/>
          <w:szCs w:val="28"/>
        </w:rPr>
        <w:t>9</w:t>
      </w:r>
      <w:r w:rsidR="00EA5B92">
        <w:rPr>
          <w:szCs w:val="28"/>
        </w:rPr>
        <w:t>.4.2</w:t>
      </w:r>
      <w:r w:rsidR="00EA5B92">
        <w:rPr>
          <w:szCs w:val="28"/>
        </w:rPr>
        <w:t>总量控制的原则</w:t>
      </w:r>
      <w:bookmarkEnd w:id="391"/>
      <w:bookmarkEnd w:id="392"/>
      <w:bookmarkEnd w:id="393"/>
      <w:bookmarkEnd w:id="394"/>
      <w:bookmarkEnd w:id="395"/>
      <w:bookmarkEnd w:id="396"/>
      <w:bookmarkEnd w:id="397"/>
    </w:p>
    <w:p w14:paraId="297FB2FC" w14:textId="77777777" w:rsidR="00606029" w:rsidRDefault="00EA5B92">
      <w:pPr>
        <w:pStyle w:val="aa0"/>
        <w:ind w:firstLine="480"/>
      </w:pPr>
      <w:r>
        <w:t>（</w:t>
      </w:r>
      <w:r>
        <w:t>1</w:t>
      </w:r>
      <w:r>
        <w:t>）建设项目建成投产后污染物排放必须达到国家标准和地方标准。</w:t>
      </w:r>
    </w:p>
    <w:p w14:paraId="23024118" w14:textId="77777777" w:rsidR="00606029" w:rsidRDefault="00EA5B92">
      <w:pPr>
        <w:pStyle w:val="aa0"/>
        <w:ind w:firstLine="480"/>
      </w:pPr>
      <w:r>
        <w:t>（</w:t>
      </w:r>
      <w:r>
        <w:t>2</w:t>
      </w:r>
      <w:r>
        <w:t>）污染物排放总量必须满足区域环境质量达标或区域总量控制的要求。</w:t>
      </w:r>
    </w:p>
    <w:p w14:paraId="2887FD80" w14:textId="77777777" w:rsidR="00606029" w:rsidRDefault="00EA5B92">
      <w:pPr>
        <w:pStyle w:val="aa0"/>
        <w:ind w:firstLine="480"/>
      </w:pPr>
      <w:r>
        <w:t>（</w:t>
      </w:r>
      <w:r>
        <w:t>3</w:t>
      </w:r>
      <w:r>
        <w:t>）生产工艺及污染治理措施符合清洁生产的要求。</w:t>
      </w:r>
    </w:p>
    <w:p w14:paraId="0414F1CB" w14:textId="1DF8780D" w:rsidR="00606029" w:rsidRDefault="004A414E">
      <w:pPr>
        <w:pStyle w:val="3"/>
        <w:numPr>
          <w:ilvl w:val="0"/>
          <w:numId w:val="0"/>
        </w:numPr>
        <w:tabs>
          <w:tab w:val="left" w:pos="720"/>
        </w:tabs>
        <w:ind w:left="720" w:hanging="720"/>
        <w:jc w:val="left"/>
        <w:rPr>
          <w:szCs w:val="28"/>
        </w:rPr>
      </w:pPr>
      <w:bookmarkStart w:id="398" w:name="_Toc220680570"/>
      <w:r>
        <w:rPr>
          <w:rFonts w:hint="eastAsia"/>
          <w:szCs w:val="28"/>
        </w:rPr>
        <w:t>9</w:t>
      </w:r>
      <w:r w:rsidR="00EA5B92">
        <w:rPr>
          <w:szCs w:val="28"/>
        </w:rPr>
        <w:t>.4.3</w:t>
      </w:r>
      <w:r w:rsidR="00EA5B92">
        <w:rPr>
          <w:szCs w:val="28"/>
        </w:rPr>
        <w:t>建设项目污染物总量控制</w:t>
      </w:r>
      <w:bookmarkEnd w:id="398"/>
    </w:p>
    <w:p w14:paraId="328CA781" w14:textId="4D774688" w:rsidR="00606029" w:rsidRDefault="00EA5B92">
      <w:pPr>
        <w:pStyle w:val="aa0"/>
        <w:ind w:firstLine="480"/>
      </w:pPr>
      <w:bookmarkStart w:id="399" w:name="_Hlk52573979"/>
      <w:r>
        <w:t>本项目废气主要为</w:t>
      </w:r>
      <w:r>
        <w:t>TSP</w:t>
      </w:r>
      <w:r>
        <w:t>、</w:t>
      </w:r>
      <w:r>
        <w:t>NH</w:t>
      </w:r>
      <w:r>
        <w:rPr>
          <w:vertAlign w:val="subscript"/>
        </w:rPr>
        <w:t>3</w:t>
      </w:r>
      <w:r>
        <w:t>、</w:t>
      </w:r>
      <w:r>
        <w:t>H</w:t>
      </w:r>
      <w:r>
        <w:rPr>
          <w:vertAlign w:val="subscript"/>
        </w:rPr>
        <w:t>2</w:t>
      </w:r>
      <w:r>
        <w:t>S</w:t>
      </w:r>
      <w:r>
        <w:t>，均为无组织排放，不需要设总量，废水均依托</w:t>
      </w:r>
      <w:r w:rsidR="0006628B">
        <w:rPr>
          <w:rFonts w:hint="eastAsia"/>
        </w:rPr>
        <w:t>厂区渗滤液处理站处理达标后回用</w:t>
      </w:r>
      <w:r>
        <w:t>，因此也不需要申请总量。</w:t>
      </w:r>
    </w:p>
    <w:bookmarkEnd w:id="399"/>
    <w:p w14:paraId="5902C086" w14:textId="77777777" w:rsidR="00606029" w:rsidRDefault="00606029">
      <w:pPr>
        <w:pStyle w:val="aa0"/>
        <w:ind w:firstLine="480"/>
        <w:sectPr w:rsidR="00606029" w:rsidSect="00EA5215">
          <w:headerReference w:type="default" r:id="rId156"/>
          <w:type w:val="nextColumn"/>
          <w:pgSz w:w="11905" w:h="16838"/>
          <w:pgMar w:top="1417" w:right="1474" w:bottom="1417" w:left="1474" w:header="850" w:footer="850" w:gutter="113"/>
          <w:cols w:space="0"/>
          <w:docGrid w:linePitch="312"/>
        </w:sectPr>
      </w:pPr>
    </w:p>
    <w:p w14:paraId="59A0CB84" w14:textId="1C5FE036" w:rsidR="00606029" w:rsidRDefault="004A414E">
      <w:pPr>
        <w:pStyle w:val="2"/>
      </w:pPr>
      <w:bookmarkStart w:id="400" w:name="_Toc5813200"/>
      <w:bookmarkStart w:id="401" w:name="_Toc30685"/>
      <w:bookmarkStart w:id="402" w:name="_Toc20369"/>
      <w:bookmarkStart w:id="403" w:name="_Toc220680571"/>
      <w:r>
        <w:rPr>
          <w:rFonts w:hint="eastAsia"/>
        </w:rPr>
        <w:lastRenderedPageBreak/>
        <w:t>9</w:t>
      </w:r>
      <w:r w:rsidR="00EA5B92">
        <w:t>.5</w:t>
      </w:r>
      <w:r w:rsidR="00EA5B92">
        <w:t>污染物排放清单</w:t>
      </w:r>
      <w:bookmarkEnd w:id="400"/>
      <w:bookmarkEnd w:id="401"/>
      <w:bookmarkEnd w:id="402"/>
      <w:bookmarkEnd w:id="403"/>
    </w:p>
    <w:p w14:paraId="08AC63F1" w14:textId="74546C32" w:rsidR="00606029" w:rsidRPr="00255889" w:rsidRDefault="00EA5B92">
      <w:pPr>
        <w:pStyle w:val="41"/>
        <w:jc w:val="left"/>
        <w:rPr>
          <w:rFonts w:cs="Times New Roman"/>
          <w:bCs/>
        </w:rPr>
      </w:pPr>
      <w:r w:rsidRPr="00255889">
        <w:rPr>
          <w:rFonts w:cs="Times New Roman"/>
          <w:bCs/>
        </w:rPr>
        <w:t>本项目的污染物排放清单</w:t>
      </w:r>
      <w:r w:rsidR="00255889">
        <w:rPr>
          <w:rFonts w:cs="Times New Roman" w:hint="eastAsia"/>
          <w:bCs/>
        </w:rPr>
        <w:t>见</w:t>
      </w:r>
      <w:r w:rsidRPr="00255889">
        <w:rPr>
          <w:rFonts w:cs="Times New Roman"/>
          <w:bCs/>
        </w:rPr>
        <w:t>下表</w:t>
      </w:r>
      <w:r w:rsidR="00255889">
        <w:rPr>
          <w:rFonts w:cs="Times New Roman" w:hint="eastAsia"/>
          <w:bCs/>
        </w:rPr>
        <w:t>。</w:t>
      </w:r>
    </w:p>
    <w:p w14:paraId="5882D7FC" w14:textId="723C4280" w:rsidR="00606029" w:rsidRPr="00255889" w:rsidRDefault="00EA5B92">
      <w:pPr>
        <w:pStyle w:val="affffff5"/>
      </w:pPr>
      <w:r w:rsidRPr="00255889">
        <w:t>表</w:t>
      </w:r>
      <w:r w:rsidR="00FC4439" w:rsidRPr="00255889">
        <w:rPr>
          <w:rFonts w:hint="eastAsia"/>
        </w:rPr>
        <w:t>9</w:t>
      </w:r>
      <w:r w:rsidRPr="00255889">
        <w:t>.5-1</w:t>
      </w:r>
      <w:r w:rsidRPr="00255889">
        <w:t>本项目污染物排放清单</w:t>
      </w:r>
      <w:r w:rsidRPr="00255889">
        <w:t xml:space="preserve"> </w:t>
      </w:r>
      <w:r w:rsidRPr="00255889">
        <w:t>单位</w:t>
      </w:r>
      <w:r w:rsidRPr="00255889">
        <w:t>t/a</w:t>
      </w:r>
    </w:p>
    <w:tbl>
      <w:tblPr>
        <w:tblStyle w:val="TableNormal"/>
        <w:tblW w:w="5015" w:type="pct"/>
        <w:jc w:val="center"/>
        <w:tblInd w:w="0" w:type="dxa"/>
        <w:tblBorders>
          <w:top w:val="single" w:sz="4" w:space="0" w:color="auto"/>
          <w:left w:val="single" w:sz="4" w:space="0" w:color="auto"/>
          <w:bottom w:val="single" w:sz="4" w:space="0" w:color="auto"/>
          <w:right w:val="single" w:sz="4" w:space="0" w:color="auto"/>
          <w:insideH w:val="single" w:sz="2" w:space="0" w:color="000000"/>
          <w:insideV w:val="single" w:sz="2" w:space="0" w:color="000000"/>
        </w:tblBorders>
        <w:tblLook w:val="04A0" w:firstRow="1" w:lastRow="0" w:firstColumn="1" w:lastColumn="0" w:noHBand="0" w:noVBand="1"/>
      </w:tblPr>
      <w:tblGrid>
        <w:gridCol w:w="360"/>
        <w:gridCol w:w="682"/>
        <w:gridCol w:w="771"/>
        <w:gridCol w:w="978"/>
        <w:gridCol w:w="890"/>
        <w:gridCol w:w="962"/>
        <w:gridCol w:w="962"/>
        <w:gridCol w:w="677"/>
        <w:gridCol w:w="966"/>
        <w:gridCol w:w="1613"/>
      </w:tblGrid>
      <w:tr w:rsidR="00606029" w:rsidRPr="00255889" w14:paraId="2D4456ED" w14:textId="77777777" w:rsidTr="00D907B7">
        <w:trPr>
          <w:trHeight w:val="57"/>
          <w:jc w:val="center"/>
        </w:trPr>
        <w:tc>
          <w:tcPr>
            <w:tcW w:w="588" w:type="pct"/>
            <w:gridSpan w:val="2"/>
            <w:tcBorders>
              <w:right w:val="single" w:sz="6" w:space="0" w:color="000000"/>
            </w:tcBorders>
            <w:vAlign w:val="center"/>
          </w:tcPr>
          <w:p w14:paraId="2EA4CAAB" w14:textId="77777777" w:rsidR="00606029" w:rsidRPr="00255889" w:rsidRDefault="00EA5B92">
            <w:pPr>
              <w:jc w:val="center"/>
            </w:pPr>
            <w:r w:rsidRPr="00255889">
              <w:t>一、项目组成</w:t>
            </w:r>
          </w:p>
        </w:tc>
        <w:tc>
          <w:tcPr>
            <w:tcW w:w="4412" w:type="pct"/>
            <w:gridSpan w:val="8"/>
            <w:tcBorders>
              <w:left w:val="single" w:sz="6" w:space="0" w:color="000000"/>
            </w:tcBorders>
            <w:vAlign w:val="center"/>
          </w:tcPr>
          <w:p w14:paraId="02FFE016" w14:textId="77777777" w:rsidR="00606029" w:rsidRPr="00255889" w:rsidRDefault="00EA5B92">
            <w:pPr>
              <w:jc w:val="center"/>
            </w:pPr>
            <w:r w:rsidRPr="00255889">
              <w:t>填埋场设计库容为</w:t>
            </w:r>
            <w:r w:rsidRPr="00255889">
              <w:t>18.16</w:t>
            </w:r>
            <w:r w:rsidRPr="00255889">
              <w:t>万</w:t>
            </w:r>
            <w:r w:rsidRPr="00255889">
              <w:t>m</w:t>
            </w:r>
            <w:r w:rsidRPr="00255889">
              <w:rPr>
                <w:vertAlign w:val="superscript"/>
              </w:rPr>
              <w:t>3</w:t>
            </w:r>
            <w:r w:rsidRPr="00255889">
              <w:t>，使用期限为</w:t>
            </w:r>
            <w:r w:rsidRPr="00255889">
              <w:t>18</w:t>
            </w:r>
            <w:r w:rsidRPr="00255889">
              <w:t>年</w:t>
            </w:r>
          </w:p>
        </w:tc>
      </w:tr>
      <w:tr w:rsidR="00606029" w:rsidRPr="0006628B" w14:paraId="1189689D" w14:textId="77777777" w:rsidTr="00D907B7">
        <w:trPr>
          <w:trHeight w:val="57"/>
          <w:jc w:val="center"/>
        </w:trPr>
        <w:tc>
          <w:tcPr>
            <w:tcW w:w="588" w:type="pct"/>
            <w:gridSpan w:val="2"/>
            <w:tcBorders>
              <w:right w:val="single" w:sz="6" w:space="0" w:color="000000"/>
            </w:tcBorders>
            <w:vAlign w:val="center"/>
          </w:tcPr>
          <w:p w14:paraId="31C79F03" w14:textId="77777777" w:rsidR="00606029" w:rsidRPr="00255889" w:rsidRDefault="00EA5B92">
            <w:pPr>
              <w:jc w:val="center"/>
            </w:pPr>
            <w:r w:rsidRPr="00255889">
              <w:t>二、废水排放情况</w:t>
            </w:r>
          </w:p>
        </w:tc>
        <w:tc>
          <w:tcPr>
            <w:tcW w:w="435" w:type="pct"/>
            <w:tcBorders>
              <w:left w:val="single" w:sz="6" w:space="0" w:color="000000"/>
              <w:right w:val="single" w:sz="6" w:space="0" w:color="000000"/>
            </w:tcBorders>
            <w:vAlign w:val="center"/>
          </w:tcPr>
          <w:p w14:paraId="522C098F" w14:textId="77777777" w:rsidR="00606029" w:rsidRPr="00255889" w:rsidRDefault="00EA5B92">
            <w:pPr>
              <w:jc w:val="center"/>
            </w:pPr>
            <w:r w:rsidRPr="00255889">
              <w:t>水量</w:t>
            </w:r>
          </w:p>
        </w:tc>
        <w:tc>
          <w:tcPr>
            <w:tcW w:w="552" w:type="pct"/>
            <w:tcBorders>
              <w:left w:val="single" w:sz="6" w:space="0" w:color="000000"/>
              <w:right w:val="single" w:sz="6" w:space="0" w:color="000000"/>
            </w:tcBorders>
            <w:vAlign w:val="center"/>
          </w:tcPr>
          <w:p w14:paraId="7E779A1F" w14:textId="77777777" w:rsidR="00606029" w:rsidRPr="00255889" w:rsidRDefault="00EA5B92">
            <w:pPr>
              <w:jc w:val="center"/>
            </w:pPr>
            <w:r w:rsidRPr="00255889">
              <w:t>污染物</w:t>
            </w:r>
          </w:p>
        </w:tc>
        <w:tc>
          <w:tcPr>
            <w:tcW w:w="502" w:type="pct"/>
            <w:tcBorders>
              <w:left w:val="single" w:sz="6" w:space="0" w:color="000000"/>
              <w:right w:val="single" w:sz="6" w:space="0" w:color="000000"/>
            </w:tcBorders>
            <w:vAlign w:val="center"/>
          </w:tcPr>
          <w:p w14:paraId="4D609C09" w14:textId="77777777" w:rsidR="00606029" w:rsidRPr="00255889" w:rsidRDefault="00EA5B92">
            <w:pPr>
              <w:jc w:val="center"/>
            </w:pPr>
            <w:r w:rsidRPr="00255889">
              <w:t>产生浓度（</w:t>
            </w:r>
            <w:r w:rsidRPr="00255889">
              <w:t>mg/L</w:t>
            </w:r>
            <w:r w:rsidRPr="00255889">
              <w:t>）</w:t>
            </w:r>
          </w:p>
        </w:tc>
        <w:tc>
          <w:tcPr>
            <w:tcW w:w="543" w:type="pct"/>
            <w:tcBorders>
              <w:left w:val="single" w:sz="6" w:space="0" w:color="000000"/>
            </w:tcBorders>
            <w:vAlign w:val="center"/>
          </w:tcPr>
          <w:p w14:paraId="0E4EDA04" w14:textId="77777777" w:rsidR="00606029" w:rsidRPr="00255889" w:rsidRDefault="00EA5B92">
            <w:pPr>
              <w:jc w:val="center"/>
            </w:pPr>
            <w:r w:rsidRPr="00255889">
              <w:t>排放浓度（</w:t>
            </w:r>
            <w:r w:rsidRPr="00255889">
              <w:t>mg/L</w:t>
            </w:r>
            <w:r w:rsidRPr="00255889">
              <w:t>）</w:t>
            </w:r>
          </w:p>
        </w:tc>
        <w:tc>
          <w:tcPr>
            <w:tcW w:w="543" w:type="pct"/>
            <w:tcBorders>
              <w:right w:val="single" w:sz="6" w:space="0" w:color="000000"/>
            </w:tcBorders>
            <w:vAlign w:val="center"/>
          </w:tcPr>
          <w:p w14:paraId="020E8FA4" w14:textId="433B2947" w:rsidR="00606029" w:rsidRPr="00255889" w:rsidRDefault="00EA5B92">
            <w:pPr>
              <w:jc w:val="center"/>
            </w:pPr>
            <w:r w:rsidRPr="00255889">
              <w:t>排放量</w:t>
            </w:r>
            <w:r w:rsidRPr="00255889">
              <w:t>t/a</w:t>
            </w:r>
          </w:p>
        </w:tc>
        <w:tc>
          <w:tcPr>
            <w:tcW w:w="382" w:type="pct"/>
            <w:tcBorders>
              <w:left w:val="single" w:sz="6" w:space="0" w:color="000000"/>
              <w:right w:val="single" w:sz="6" w:space="0" w:color="000000"/>
            </w:tcBorders>
            <w:vAlign w:val="center"/>
          </w:tcPr>
          <w:p w14:paraId="03A9454C" w14:textId="77777777" w:rsidR="00606029" w:rsidRPr="00255889" w:rsidRDefault="00EA5B92">
            <w:pPr>
              <w:jc w:val="center"/>
            </w:pPr>
            <w:r w:rsidRPr="00255889">
              <w:t>总量控制指标</w:t>
            </w:r>
            <w:r w:rsidRPr="00255889">
              <w:t>t/a</w:t>
            </w:r>
          </w:p>
        </w:tc>
        <w:tc>
          <w:tcPr>
            <w:tcW w:w="545" w:type="pct"/>
            <w:tcBorders>
              <w:left w:val="single" w:sz="6" w:space="0" w:color="000000"/>
              <w:right w:val="single" w:sz="6" w:space="0" w:color="000000"/>
            </w:tcBorders>
            <w:vAlign w:val="center"/>
          </w:tcPr>
          <w:p w14:paraId="0FD4295D" w14:textId="77777777" w:rsidR="00606029" w:rsidRPr="00255889" w:rsidRDefault="00EA5B92">
            <w:pPr>
              <w:jc w:val="center"/>
            </w:pPr>
            <w:r w:rsidRPr="00255889">
              <w:t>治理措施及运行参数</w:t>
            </w:r>
          </w:p>
        </w:tc>
        <w:tc>
          <w:tcPr>
            <w:tcW w:w="910" w:type="pct"/>
            <w:tcBorders>
              <w:left w:val="single" w:sz="6" w:space="0" w:color="000000"/>
            </w:tcBorders>
            <w:vAlign w:val="center"/>
          </w:tcPr>
          <w:p w14:paraId="59439A75" w14:textId="77777777" w:rsidR="00606029" w:rsidRPr="00255889" w:rsidRDefault="00EA5B92">
            <w:pPr>
              <w:jc w:val="center"/>
            </w:pPr>
            <w:r w:rsidRPr="00255889">
              <w:t>执行标准</w:t>
            </w:r>
          </w:p>
        </w:tc>
      </w:tr>
      <w:tr w:rsidR="00403C06" w:rsidRPr="0006628B" w14:paraId="25380BB6" w14:textId="77777777" w:rsidTr="00D907B7">
        <w:trPr>
          <w:trHeight w:val="57"/>
          <w:jc w:val="center"/>
        </w:trPr>
        <w:tc>
          <w:tcPr>
            <w:tcW w:w="203" w:type="pct"/>
            <w:vMerge w:val="restart"/>
            <w:tcBorders>
              <w:top w:val="nil"/>
              <w:right w:val="single" w:sz="6" w:space="0" w:color="000000"/>
            </w:tcBorders>
            <w:vAlign w:val="center"/>
          </w:tcPr>
          <w:p w14:paraId="7FCC3AC7" w14:textId="5552DDBB" w:rsidR="00403C06" w:rsidRPr="00255889" w:rsidRDefault="00403C06" w:rsidP="0037546D">
            <w:pPr>
              <w:jc w:val="center"/>
            </w:pPr>
            <w:r w:rsidRPr="00255889">
              <w:rPr>
                <w:rFonts w:hint="eastAsia"/>
              </w:rPr>
              <w:t>废水</w:t>
            </w:r>
          </w:p>
        </w:tc>
        <w:tc>
          <w:tcPr>
            <w:tcW w:w="385" w:type="pct"/>
            <w:vMerge w:val="restart"/>
            <w:tcBorders>
              <w:left w:val="single" w:sz="6" w:space="0" w:color="000000"/>
              <w:right w:val="single" w:sz="6" w:space="0" w:color="000000"/>
            </w:tcBorders>
            <w:vAlign w:val="center"/>
          </w:tcPr>
          <w:p w14:paraId="58F7EBC3" w14:textId="77777777" w:rsidR="00403C06" w:rsidRPr="00255889" w:rsidRDefault="00403C06" w:rsidP="0037546D">
            <w:pPr>
              <w:jc w:val="center"/>
            </w:pPr>
            <w:r w:rsidRPr="00255889">
              <w:t>淋溶水</w:t>
            </w:r>
          </w:p>
        </w:tc>
        <w:tc>
          <w:tcPr>
            <w:tcW w:w="435" w:type="pct"/>
            <w:vMerge w:val="restart"/>
            <w:tcBorders>
              <w:left w:val="single" w:sz="6" w:space="0" w:color="000000"/>
              <w:right w:val="single" w:sz="6" w:space="0" w:color="000000"/>
            </w:tcBorders>
            <w:vAlign w:val="center"/>
          </w:tcPr>
          <w:p w14:paraId="3A1C8144" w14:textId="71F0A7D1" w:rsidR="00403C06" w:rsidRPr="00255889" w:rsidRDefault="00403C06" w:rsidP="0037546D">
            <w:pPr>
              <w:jc w:val="center"/>
            </w:pPr>
            <w:r w:rsidRPr="00255889">
              <w:rPr>
                <w:rFonts w:hint="eastAsia"/>
              </w:rPr>
              <w:t>223.5</w:t>
            </w:r>
            <w:r w:rsidRPr="00255889">
              <w:t>t/a</w:t>
            </w:r>
          </w:p>
        </w:tc>
        <w:tc>
          <w:tcPr>
            <w:tcW w:w="552" w:type="pct"/>
            <w:vAlign w:val="center"/>
          </w:tcPr>
          <w:p w14:paraId="7297D6FB" w14:textId="09738121" w:rsidR="00403C06" w:rsidRPr="00FC6E5C" w:rsidRDefault="00403C06" w:rsidP="0037546D">
            <w:pPr>
              <w:jc w:val="center"/>
            </w:pPr>
            <w:r w:rsidRPr="00FC6E5C">
              <w:rPr>
                <w:rFonts w:ascii="宋体" w:hAnsi="宋体" w:cs="宋体" w:hint="eastAsia"/>
              </w:rPr>
              <w:t>总镍</w:t>
            </w:r>
          </w:p>
        </w:tc>
        <w:tc>
          <w:tcPr>
            <w:tcW w:w="502" w:type="pct"/>
            <w:vAlign w:val="center"/>
          </w:tcPr>
          <w:p w14:paraId="461F4DC0" w14:textId="62903A1B" w:rsidR="00403C06" w:rsidRPr="00FC6E5C" w:rsidRDefault="00403C06" w:rsidP="0037546D">
            <w:pPr>
              <w:jc w:val="center"/>
            </w:pPr>
            <w:r w:rsidRPr="00FC6E5C">
              <w:rPr>
                <w:rFonts w:eastAsiaTheme="minorEastAsia" w:hint="eastAsia"/>
              </w:rPr>
              <w:t>0.022</w:t>
            </w:r>
          </w:p>
        </w:tc>
        <w:tc>
          <w:tcPr>
            <w:tcW w:w="543" w:type="pct"/>
            <w:vAlign w:val="center"/>
          </w:tcPr>
          <w:p w14:paraId="39F68E40" w14:textId="54B2466F" w:rsidR="00403C06" w:rsidRPr="00FC6E5C" w:rsidRDefault="00403C06" w:rsidP="0037546D">
            <w:pPr>
              <w:jc w:val="center"/>
            </w:pPr>
            <w:r w:rsidRPr="00FC6E5C">
              <w:rPr>
                <w:rFonts w:eastAsiaTheme="minorEastAsia" w:hint="eastAsia"/>
              </w:rPr>
              <w:t>0.5</w:t>
            </w:r>
          </w:p>
        </w:tc>
        <w:tc>
          <w:tcPr>
            <w:tcW w:w="543" w:type="pct"/>
            <w:tcBorders>
              <w:left w:val="single" w:sz="6" w:space="0" w:color="000000"/>
              <w:right w:val="single" w:sz="6" w:space="0" w:color="000000"/>
            </w:tcBorders>
            <w:vAlign w:val="center"/>
          </w:tcPr>
          <w:p w14:paraId="42BBFC60" w14:textId="41A964A6" w:rsidR="00403C06" w:rsidRPr="00FC6E5C" w:rsidRDefault="00403C06" w:rsidP="0037546D">
            <w:pPr>
              <w:jc w:val="center"/>
            </w:pPr>
            <w:r w:rsidRPr="00FC6E5C">
              <w:t>/</w:t>
            </w:r>
          </w:p>
        </w:tc>
        <w:tc>
          <w:tcPr>
            <w:tcW w:w="382" w:type="pct"/>
            <w:tcBorders>
              <w:left w:val="single" w:sz="6" w:space="0" w:color="000000"/>
              <w:right w:val="single" w:sz="6" w:space="0" w:color="000000"/>
            </w:tcBorders>
            <w:vAlign w:val="center"/>
          </w:tcPr>
          <w:p w14:paraId="40CDC185" w14:textId="3413EE34" w:rsidR="00403C06" w:rsidRPr="00FC6E5C" w:rsidRDefault="00403C06" w:rsidP="0037546D">
            <w:pPr>
              <w:jc w:val="center"/>
            </w:pPr>
            <w:r w:rsidRPr="00FC6E5C">
              <w:t>/</w:t>
            </w:r>
          </w:p>
        </w:tc>
        <w:tc>
          <w:tcPr>
            <w:tcW w:w="545" w:type="pct"/>
            <w:vMerge w:val="restart"/>
            <w:tcBorders>
              <w:left w:val="single" w:sz="6" w:space="0" w:color="000000"/>
              <w:right w:val="single" w:sz="6" w:space="0" w:color="000000"/>
            </w:tcBorders>
            <w:vAlign w:val="center"/>
          </w:tcPr>
          <w:p w14:paraId="3085F292" w14:textId="65968644" w:rsidR="00403C06" w:rsidRPr="0006628B" w:rsidRDefault="00D00795" w:rsidP="0037546D">
            <w:pPr>
              <w:jc w:val="center"/>
              <w:rPr>
                <w:highlight w:val="yellow"/>
              </w:rPr>
            </w:pPr>
            <w:r>
              <w:rPr>
                <w:rFonts w:hint="eastAsia"/>
              </w:rPr>
              <w:t>经“</w:t>
            </w:r>
            <w:r w:rsidRPr="00D00795">
              <w:t>调节池＋</w:t>
            </w:r>
            <w:r w:rsidRPr="00D00795">
              <w:t xml:space="preserve">UASB </w:t>
            </w:r>
            <w:r w:rsidRPr="00D00795">
              <w:t>厌氧反应器＋</w:t>
            </w:r>
            <w:r w:rsidRPr="00D00795">
              <w:t xml:space="preserve">MBR </w:t>
            </w:r>
            <w:r w:rsidRPr="00D00795">
              <w:t>生化处理系统＋</w:t>
            </w:r>
            <w:r w:rsidRPr="00D00795">
              <w:t xml:space="preserve">NF </w:t>
            </w:r>
            <w:r w:rsidRPr="00D00795">
              <w:t>纳滤＋</w:t>
            </w:r>
            <w:r w:rsidRPr="00D00795">
              <w:t xml:space="preserve">RO </w:t>
            </w:r>
            <w:r w:rsidRPr="00D00795">
              <w:t>反渗透</w:t>
            </w:r>
            <w:r>
              <w:rPr>
                <w:rFonts w:hint="eastAsia"/>
              </w:rPr>
              <w:t>”处理</w:t>
            </w:r>
            <w:r w:rsidRPr="00D00795">
              <w:t>后全部回用至厂区冷却塔补水，不外排</w:t>
            </w:r>
          </w:p>
        </w:tc>
        <w:tc>
          <w:tcPr>
            <w:tcW w:w="910" w:type="pct"/>
            <w:vMerge w:val="restart"/>
            <w:tcBorders>
              <w:top w:val="nil"/>
              <w:left w:val="single" w:sz="6" w:space="0" w:color="000000"/>
            </w:tcBorders>
            <w:vAlign w:val="center"/>
          </w:tcPr>
          <w:p w14:paraId="1DB78A0E" w14:textId="66E143F9" w:rsidR="00403C06" w:rsidRPr="0006628B" w:rsidRDefault="00403C06" w:rsidP="0037546D">
            <w:pPr>
              <w:jc w:val="center"/>
              <w:rPr>
                <w:highlight w:val="yellow"/>
              </w:rPr>
            </w:pPr>
            <w:r w:rsidRPr="00403C06">
              <w:t>《生活垃圾填埋场污染控制标准》（</w:t>
            </w:r>
            <w:r w:rsidRPr="00403C06">
              <w:t>GB16889-2024</w:t>
            </w:r>
            <w:r w:rsidRPr="00403C06">
              <w:t>）表</w:t>
            </w:r>
            <w:r w:rsidRPr="00403C06">
              <w:t>4</w:t>
            </w:r>
            <w:r w:rsidRPr="00403C06">
              <w:t>要求和《城市污水再生利用</w:t>
            </w:r>
            <w:r w:rsidRPr="00403C06">
              <w:t xml:space="preserve"> </w:t>
            </w:r>
            <w:r w:rsidRPr="00403C06">
              <w:t>工业用水水质》（</w:t>
            </w:r>
            <w:r w:rsidRPr="00403C06">
              <w:t>GB/T19923-2024</w:t>
            </w:r>
            <w:r w:rsidRPr="00403C06">
              <w:t>）</w:t>
            </w:r>
            <w:r w:rsidR="005820EF">
              <w:rPr>
                <w:rFonts w:hint="eastAsia"/>
              </w:rPr>
              <w:t>表</w:t>
            </w:r>
            <w:r w:rsidR="005820EF">
              <w:rPr>
                <w:rFonts w:hint="eastAsia"/>
              </w:rPr>
              <w:t>1</w:t>
            </w:r>
            <w:r w:rsidR="00535A47">
              <w:t>间冷开式循环冷却水补充水标准</w:t>
            </w:r>
          </w:p>
        </w:tc>
      </w:tr>
      <w:tr w:rsidR="00403C06" w:rsidRPr="0006628B" w14:paraId="1935AA20" w14:textId="77777777" w:rsidTr="00D907B7">
        <w:trPr>
          <w:trHeight w:val="57"/>
          <w:jc w:val="center"/>
        </w:trPr>
        <w:tc>
          <w:tcPr>
            <w:tcW w:w="203" w:type="pct"/>
            <w:vMerge/>
            <w:tcBorders>
              <w:right w:val="single" w:sz="6" w:space="0" w:color="000000"/>
            </w:tcBorders>
            <w:vAlign w:val="center"/>
          </w:tcPr>
          <w:p w14:paraId="722609AD" w14:textId="77777777" w:rsidR="00403C06" w:rsidRPr="0006628B" w:rsidRDefault="00403C06" w:rsidP="0037546D">
            <w:pPr>
              <w:jc w:val="center"/>
              <w:rPr>
                <w:highlight w:val="yellow"/>
              </w:rPr>
            </w:pPr>
          </w:p>
        </w:tc>
        <w:tc>
          <w:tcPr>
            <w:tcW w:w="385" w:type="pct"/>
            <w:vMerge/>
            <w:tcBorders>
              <w:left w:val="single" w:sz="6" w:space="0" w:color="000000"/>
              <w:right w:val="single" w:sz="6" w:space="0" w:color="000000"/>
            </w:tcBorders>
            <w:vAlign w:val="center"/>
          </w:tcPr>
          <w:p w14:paraId="384E1368" w14:textId="77777777" w:rsidR="00403C06" w:rsidRPr="0006628B" w:rsidRDefault="00403C06" w:rsidP="0037546D">
            <w:pPr>
              <w:jc w:val="center"/>
              <w:rPr>
                <w:highlight w:val="yellow"/>
              </w:rPr>
            </w:pPr>
          </w:p>
        </w:tc>
        <w:tc>
          <w:tcPr>
            <w:tcW w:w="435" w:type="pct"/>
            <w:vMerge/>
            <w:tcBorders>
              <w:left w:val="single" w:sz="6" w:space="0" w:color="000000"/>
              <w:right w:val="single" w:sz="6" w:space="0" w:color="000000"/>
            </w:tcBorders>
            <w:vAlign w:val="center"/>
          </w:tcPr>
          <w:p w14:paraId="264B4371" w14:textId="77777777" w:rsidR="00403C06" w:rsidRPr="0006628B" w:rsidRDefault="00403C06" w:rsidP="0037546D">
            <w:pPr>
              <w:jc w:val="center"/>
              <w:rPr>
                <w:highlight w:val="yellow"/>
              </w:rPr>
            </w:pPr>
          </w:p>
        </w:tc>
        <w:tc>
          <w:tcPr>
            <w:tcW w:w="552" w:type="pct"/>
            <w:vAlign w:val="center"/>
          </w:tcPr>
          <w:p w14:paraId="3067048B" w14:textId="00DE964D" w:rsidR="00403C06" w:rsidRPr="00FC6E5C" w:rsidRDefault="00403C06" w:rsidP="0037546D">
            <w:pPr>
              <w:jc w:val="center"/>
            </w:pPr>
            <w:r w:rsidRPr="00FC6E5C">
              <w:rPr>
                <w:rFonts w:ascii="宋体" w:hAnsi="宋体" w:cs="宋体" w:hint="eastAsia"/>
              </w:rPr>
              <w:t>总镉</w:t>
            </w:r>
          </w:p>
        </w:tc>
        <w:tc>
          <w:tcPr>
            <w:tcW w:w="502" w:type="pct"/>
            <w:vAlign w:val="center"/>
          </w:tcPr>
          <w:p w14:paraId="7B260EB3" w14:textId="521200A3" w:rsidR="00403C06" w:rsidRPr="00FC6E5C" w:rsidRDefault="00403C06" w:rsidP="0037546D">
            <w:pPr>
              <w:jc w:val="center"/>
            </w:pPr>
            <w:r w:rsidRPr="00FC6E5C">
              <w:rPr>
                <w:rFonts w:eastAsiaTheme="minorEastAsia" w:hint="eastAsia"/>
              </w:rPr>
              <w:t>0.09</w:t>
            </w:r>
          </w:p>
        </w:tc>
        <w:tc>
          <w:tcPr>
            <w:tcW w:w="543" w:type="pct"/>
            <w:vAlign w:val="center"/>
          </w:tcPr>
          <w:p w14:paraId="7E0EF0CB" w14:textId="2F75E0CC" w:rsidR="00403C06" w:rsidRPr="00FC6E5C" w:rsidRDefault="00403C06" w:rsidP="0037546D">
            <w:pPr>
              <w:jc w:val="center"/>
            </w:pPr>
            <w:r w:rsidRPr="00FC6E5C">
              <w:rPr>
                <w:rFonts w:eastAsiaTheme="minorEastAsia" w:hint="eastAsia"/>
              </w:rPr>
              <w:t>0.15</w:t>
            </w:r>
          </w:p>
        </w:tc>
        <w:tc>
          <w:tcPr>
            <w:tcW w:w="543" w:type="pct"/>
            <w:tcBorders>
              <w:left w:val="single" w:sz="6" w:space="0" w:color="000000"/>
              <w:right w:val="single" w:sz="6" w:space="0" w:color="000000"/>
            </w:tcBorders>
            <w:vAlign w:val="center"/>
          </w:tcPr>
          <w:p w14:paraId="1E38A10C" w14:textId="48144BAF" w:rsidR="00403C06" w:rsidRPr="00FC6E5C" w:rsidRDefault="00403C06" w:rsidP="0037546D">
            <w:pPr>
              <w:jc w:val="center"/>
            </w:pPr>
            <w:r w:rsidRPr="00FC6E5C">
              <w:t>/</w:t>
            </w:r>
          </w:p>
        </w:tc>
        <w:tc>
          <w:tcPr>
            <w:tcW w:w="382" w:type="pct"/>
            <w:tcBorders>
              <w:left w:val="single" w:sz="6" w:space="0" w:color="000000"/>
              <w:right w:val="single" w:sz="6" w:space="0" w:color="000000"/>
            </w:tcBorders>
            <w:vAlign w:val="center"/>
          </w:tcPr>
          <w:p w14:paraId="7D87023A" w14:textId="7BA606A5" w:rsidR="00403C06" w:rsidRPr="00FC6E5C" w:rsidRDefault="00403C06" w:rsidP="0037546D">
            <w:pPr>
              <w:jc w:val="center"/>
            </w:pPr>
            <w:r w:rsidRPr="00FC6E5C">
              <w:t>/</w:t>
            </w:r>
          </w:p>
        </w:tc>
        <w:tc>
          <w:tcPr>
            <w:tcW w:w="545" w:type="pct"/>
            <w:vMerge/>
            <w:tcBorders>
              <w:left w:val="single" w:sz="6" w:space="0" w:color="000000"/>
              <w:right w:val="single" w:sz="6" w:space="0" w:color="000000"/>
            </w:tcBorders>
            <w:vAlign w:val="center"/>
          </w:tcPr>
          <w:p w14:paraId="3F6D661A" w14:textId="77777777" w:rsidR="00403C06" w:rsidRPr="0006628B" w:rsidRDefault="00403C06" w:rsidP="0037546D">
            <w:pPr>
              <w:jc w:val="center"/>
              <w:rPr>
                <w:highlight w:val="yellow"/>
              </w:rPr>
            </w:pPr>
          </w:p>
        </w:tc>
        <w:tc>
          <w:tcPr>
            <w:tcW w:w="910" w:type="pct"/>
            <w:vMerge/>
            <w:tcBorders>
              <w:left w:val="single" w:sz="6" w:space="0" w:color="000000"/>
            </w:tcBorders>
            <w:vAlign w:val="center"/>
          </w:tcPr>
          <w:p w14:paraId="62F2D72C" w14:textId="77777777" w:rsidR="00403C06" w:rsidRPr="0006628B" w:rsidRDefault="00403C06" w:rsidP="0037546D">
            <w:pPr>
              <w:jc w:val="center"/>
              <w:rPr>
                <w:highlight w:val="yellow"/>
              </w:rPr>
            </w:pPr>
          </w:p>
        </w:tc>
      </w:tr>
      <w:tr w:rsidR="00403C06" w:rsidRPr="0006628B" w14:paraId="1B49EA1B" w14:textId="77777777" w:rsidTr="00D907B7">
        <w:trPr>
          <w:trHeight w:val="57"/>
          <w:jc w:val="center"/>
        </w:trPr>
        <w:tc>
          <w:tcPr>
            <w:tcW w:w="203" w:type="pct"/>
            <w:vMerge/>
            <w:tcBorders>
              <w:right w:val="single" w:sz="6" w:space="0" w:color="000000"/>
            </w:tcBorders>
            <w:vAlign w:val="center"/>
          </w:tcPr>
          <w:p w14:paraId="3ACC39C2" w14:textId="77777777" w:rsidR="00403C06" w:rsidRPr="0006628B" w:rsidRDefault="00403C06" w:rsidP="0037546D">
            <w:pPr>
              <w:jc w:val="center"/>
              <w:rPr>
                <w:highlight w:val="yellow"/>
              </w:rPr>
            </w:pPr>
          </w:p>
        </w:tc>
        <w:tc>
          <w:tcPr>
            <w:tcW w:w="385" w:type="pct"/>
            <w:vMerge/>
            <w:tcBorders>
              <w:left w:val="single" w:sz="6" w:space="0" w:color="000000"/>
              <w:right w:val="single" w:sz="6" w:space="0" w:color="000000"/>
            </w:tcBorders>
            <w:vAlign w:val="center"/>
          </w:tcPr>
          <w:p w14:paraId="47D0A0CA" w14:textId="77777777" w:rsidR="00403C06" w:rsidRPr="0006628B" w:rsidRDefault="00403C06" w:rsidP="0037546D">
            <w:pPr>
              <w:jc w:val="center"/>
              <w:rPr>
                <w:highlight w:val="yellow"/>
              </w:rPr>
            </w:pPr>
          </w:p>
        </w:tc>
        <w:tc>
          <w:tcPr>
            <w:tcW w:w="435" w:type="pct"/>
            <w:vMerge/>
            <w:tcBorders>
              <w:left w:val="single" w:sz="6" w:space="0" w:color="000000"/>
              <w:right w:val="single" w:sz="6" w:space="0" w:color="000000"/>
            </w:tcBorders>
            <w:vAlign w:val="center"/>
          </w:tcPr>
          <w:p w14:paraId="29B55301" w14:textId="77777777" w:rsidR="00403C06" w:rsidRPr="0006628B" w:rsidRDefault="00403C06" w:rsidP="0037546D">
            <w:pPr>
              <w:jc w:val="center"/>
              <w:rPr>
                <w:highlight w:val="yellow"/>
              </w:rPr>
            </w:pPr>
          </w:p>
        </w:tc>
        <w:tc>
          <w:tcPr>
            <w:tcW w:w="552" w:type="pct"/>
            <w:vAlign w:val="center"/>
          </w:tcPr>
          <w:p w14:paraId="2C3E1D3D" w14:textId="7A84708D" w:rsidR="00403C06" w:rsidRPr="00FC6E5C" w:rsidRDefault="00403C06" w:rsidP="0037546D">
            <w:pPr>
              <w:jc w:val="center"/>
            </w:pPr>
            <w:r w:rsidRPr="00FC6E5C">
              <w:rPr>
                <w:rFonts w:ascii="宋体" w:hAnsi="宋体" w:cs="宋体" w:hint="eastAsia"/>
              </w:rPr>
              <w:t>总铬</w:t>
            </w:r>
          </w:p>
        </w:tc>
        <w:tc>
          <w:tcPr>
            <w:tcW w:w="502" w:type="pct"/>
            <w:vAlign w:val="center"/>
          </w:tcPr>
          <w:p w14:paraId="65F478C3" w14:textId="17AF5D76" w:rsidR="00403C06" w:rsidRPr="00FC6E5C" w:rsidRDefault="00403C06" w:rsidP="0037546D">
            <w:pPr>
              <w:jc w:val="center"/>
            </w:pPr>
            <w:r w:rsidRPr="00FC6E5C">
              <w:rPr>
                <w:rFonts w:eastAsiaTheme="minorEastAsia" w:hint="eastAsia"/>
              </w:rPr>
              <w:t>0.8</w:t>
            </w:r>
          </w:p>
        </w:tc>
        <w:tc>
          <w:tcPr>
            <w:tcW w:w="543" w:type="pct"/>
            <w:vAlign w:val="center"/>
          </w:tcPr>
          <w:p w14:paraId="6EC9B53E" w14:textId="55899DAA" w:rsidR="00403C06" w:rsidRPr="00FC6E5C" w:rsidRDefault="00403C06" w:rsidP="0037546D">
            <w:pPr>
              <w:jc w:val="center"/>
            </w:pPr>
            <w:r w:rsidRPr="00FC6E5C">
              <w:rPr>
                <w:rFonts w:eastAsiaTheme="minorEastAsia" w:hint="eastAsia"/>
              </w:rPr>
              <w:t>4.5</w:t>
            </w:r>
          </w:p>
        </w:tc>
        <w:tc>
          <w:tcPr>
            <w:tcW w:w="543" w:type="pct"/>
            <w:tcBorders>
              <w:left w:val="single" w:sz="6" w:space="0" w:color="000000"/>
              <w:right w:val="single" w:sz="6" w:space="0" w:color="000000"/>
            </w:tcBorders>
            <w:vAlign w:val="center"/>
          </w:tcPr>
          <w:p w14:paraId="4B3AF4A6" w14:textId="4FB8E3CC" w:rsidR="00403C06" w:rsidRPr="00FC6E5C" w:rsidRDefault="00403C06" w:rsidP="0037546D">
            <w:pPr>
              <w:jc w:val="center"/>
            </w:pPr>
            <w:r w:rsidRPr="00FC6E5C">
              <w:t>/</w:t>
            </w:r>
          </w:p>
        </w:tc>
        <w:tc>
          <w:tcPr>
            <w:tcW w:w="382" w:type="pct"/>
            <w:tcBorders>
              <w:left w:val="single" w:sz="6" w:space="0" w:color="000000"/>
              <w:right w:val="single" w:sz="6" w:space="0" w:color="000000"/>
            </w:tcBorders>
            <w:vAlign w:val="center"/>
          </w:tcPr>
          <w:p w14:paraId="2FC85827" w14:textId="2B59EC44" w:rsidR="00403C06" w:rsidRPr="00FC6E5C" w:rsidRDefault="00403C06" w:rsidP="0037546D">
            <w:pPr>
              <w:jc w:val="center"/>
            </w:pPr>
            <w:r w:rsidRPr="00FC6E5C">
              <w:t>/</w:t>
            </w:r>
          </w:p>
        </w:tc>
        <w:tc>
          <w:tcPr>
            <w:tcW w:w="545" w:type="pct"/>
            <w:vMerge/>
            <w:tcBorders>
              <w:left w:val="single" w:sz="6" w:space="0" w:color="000000"/>
              <w:right w:val="single" w:sz="6" w:space="0" w:color="000000"/>
            </w:tcBorders>
            <w:vAlign w:val="center"/>
          </w:tcPr>
          <w:p w14:paraId="33EA8D76" w14:textId="77777777" w:rsidR="00403C06" w:rsidRPr="0006628B" w:rsidRDefault="00403C06" w:rsidP="0037546D">
            <w:pPr>
              <w:jc w:val="center"/>
              <w:rPr>
                <w:highlight w:val="yellow"/>
              </w:rPr>
            </w:pPr>
          </w:p>
        </w:tc>
        <w:tc>
          <w:tcPr>
            <w:tcW w:w="910" w:type="pct"/>
            <w:vMerge/>
            <w:tcBorders>
              <w:left w:val="single" w:sz="6" w:space="0" w:color="000000"/>
            </w:tcBorders>
            <w:vAlign w:val="center"/>
          </w:tcPr>
          <w:p w14:paraId="4841B1AC" w14:textId="77777777" w:rsidR="00403C06" w:rsidRPr="0006628B" w:rsidRDefault="00403C06" w:rsidP="0037546D">
            <w:pPr>
              <w:jc w:val="center"/>
              <w:rPr>
                <w:highlight w:val="yellow"/>
              </w:rPr>
            </w:pPr>
          </w:p>
        </w:tc>
      </w:tr>
      <w:tr w:rsidR="00403C06" w:rsidRPr="0006628B" w14:paraId="4C6C1FB1" w14:textId="77777777" w:rsidTr="00D907B7">
        <w:trPr>
          <w:trHeight w:val="57"/>
          <w:jc w:val="center"/>
        </w:trPr>
        <w:tc>
          <w:tcPr>
            <w:tcW w:w="203" w:type="pct"/>
            <w:vMerge/>
            <w:tcBorders>
              <w:right w:val="single" w:sz="6" w:space="0" w:color="000000"/>
            </w:tcBorders>
            <w:vAlign w:val="center"/>
          </w:tcPr>
          <w:p w14:paraId="7DA6C062" w14:textId="77777777" w:rsidR="00403C06" w:rsidRPr="0006628B" w:rsidRDefault="00403C06" w:rsidP="0037546D">
            <w:pPr>
              <w:jc w:val="center"/>
              <w:rPr>
                <w:highlight w:val="yellow"/>
              </w:rPr>
            </w:pPr>
          </w:p>
        </w:tc>
        <w:tc>
          <w:tcPr>
            <w:tcW w:w="385" w:type="pct"/>
            <w:vMerge/>
            <w:tcBorders>
              <w:left w:val="single" w:sz="6" w:space="0" w:color="000000"/>
              <w:right w:val="single" w:sz="6" w:space="0" w:color="000000"/>
            </w:tcBorders>
            <w:vAlign w:val="center"/>
          </w:tcPr>
          <w:p w14:paraId="012F60BF" w14:textId="77777777" w:rsidR="00403C06" w:rsidRPr="0006628B" w:rsidRDefault="00403C06" w:rsidP="0037546D">
            <w:pPr>
              <w:jc w:val="center"/>
              <w:rPr>
                <w:highlight w:val="yellow"/>
              </w:rPr>
            </w:pPr>
          </w:p>
        </w:tc>
        <w:tc>
          <w:tcPr>
            <w:tcW w:w="435" w:type="pct"/>
            <w:vMerge/>
            <w:tcBorders>
              <w:left w:val="single" w:sz="6" w:space="0" w:color="000000"/>
              <w:right w:val="single" w:sz="6" w:space="0" w:color="000000"/>
            </w:tcBorders>
            <w:vAlign w:val="center"/>
          </w:tcPr>
          <w:p w14:paraId="119F3DA8" w14:textId="77777777" w:rsidR="00403C06" w:rsidRPr="0006628B" w:rsidRDefault="00403C06" w:rsidP="0037546D">
            <w:pPr>
              <w:jc w:val="center"/>
              <w:rPr>
                <w:highlight w:val="yellow"/>
              </w:rPr>
            </w:pPr>
          </w:p>
        </w:tc>
        <w:tc>
          <w:tcPr>
            <w:tcW w:w="552" w:type="pct"/>
            <w:vAlign w:val="center"/>
          </w:tcPr>
          <w:p w14:paraId="250D0756" w14:textId="0CAB3BAA" w:rsidR="00403C06" w:rsidRPr="00FC6E5C" w:rsidRDefault="00403C06" w:rsidP="0037546D">
            <w:pPr>
              <w:jc w:val="center"/>
            </w:pPr>
            <w:r w:rsidRPr="00FC6E5C">
              <w:rPr>
                <w:rFonts w:ascii="宋体" w:hAnsi="宋体" w:cs="宋体" w:hint="eastAsia"/>
              </w:rPr>
              <w:t>总</w:t>
            </w:r>
            <w:r w:rsidRPr="00FC6E5C">
              <w:rPr>
                <w:rFonts w:hint="eastAsia"/>
              </w:rPr>
              <w:t>硒</w:t>
            </w:r>
          </w:p>
        </w:tc>
        <w:tc>
          <w:tcPr>
            <w:tcW w:w="502" w:type="pct"/>
            <w:vAlign w:val="center"/>
          </w:tcPr>
          <w:p w14:paraId="7FDF4126" w14:textId="3DA12F17" w:rsidR="00403C06" w:rsidRPr="00FC6E5C" w:rsidRDefault="00403C06" w:rsidP="0037546D">
            <w:pPr>
              <w:jc w:val="center"/>
            </w:pPr>
            <w:r w:rsidRPr="00FC6E5C">
              <w:rPr>
                <w:rFonts w:eastAsiaTheme="minorEastAsia" w:hint="eastAsia"/>
              </w:rPr>
              <w:t>0.00836</w:t>
            </w:r>
          </w:p>
        </w:tc>
        <w:tc>
          <w:tcPr>
            <w:tcW w:w="543" w:type="pct"/>
            <w:vAlign w:val="center"/>
          </w:tcPr>
          <w:p w14:paraId="32D33B44" w14:textId="0EBE7B17" w:rsidR="00403C06" w:rsidRPr="00FC6E5C" w:rsidRDefault="00403C06" w:rsidP="0037546D">
            <w:pPr>
              <w:jc w:val="center"/>
            </w:pPr>
            <w:r w:rsidRPr="00FC6E5C">
              <w:rPr>
                <w:rFonts w:eastAsiaTheme="minorEastAsia" w:hint="eastAsia"/>
              </w:rPr>
              <w:t>0.1</w:t>
            </w:r>
          </w:p>
        </w:tc>
        <w:tc>
          <w:tcPr>
            <w:tcW w:w="543" w:type="pct"/>
            <w:tcBorders>
              <w:left w:val="single" w:sz="6" w:space="0" w:color="000000"/>
              <w:right w:val="single" w:sz="6" w:space="0" w:color="000000"/>
            </w:tcBorders>
            <w:vAlign w:val="center"/>
          </w:tcPr>
          <w:p w14:paraId="6C956383" w14:textId="61079108" w:rsidR="00403C06" w:rsidRPr="00FC6E5C" w:rsidRDefault="00403C06" w:rsidP="0037546D">
            <w:pPr>
              <w:jc w:val="center"/>
            </w:pPr>
            <w:r w:rsidRPr="00FC6E5C">
              <w:t>/</w:t>
            </w:r>
          </w:p>
        </w:tc>
        <w:tc>
          <w:tcPr>
            <w:tcW w:w="382" w:type="pct"/>
            <w:tcBorders>
              <w:left w:val="single" w:sz="6" w:space="0" w:color="000000"/>
              <w:right w:val="single" w:sz="6" w:space="0" w:color="000000"/>
            </w:tcBorders>
            <w:vAlign w:val="center"/>
          </w:tcPr>
          <w:p w14:paraId="3A178131" w14:textId="33C9BE27" w:rsidR="00403C06" w:rsidRPr="00FC6E5C" w:rsidRDefault="00403C06" w:rsidP="0037546D">
            <w:pPr>
              <w:jc w:val="center"/>
            </w:pPr>
            <w:r w:rsidRPr="00FC6E5C">
              <w:t>/</w:t>
            </w:r>
          </w:p>
        </w:tc>
        <w:tc>
          <w:tcPr>
            <w:tcW w:w="545" w:type="pct"/>
            <w:vMerge/>
            <w:tcBorders>
              <w:left w:val="single" w:sz="6" w:space="0" w:color="000000"/>
              <w:right w:val="single" w:sz="6" w:space="0" w:color="000000"/>
            </w:tcBorders>
            <w:vAlign w:val="center"/>
          </w:tcPr>
          <w:p w14:paraId="32C3FE28" w14:textId="77777777" w:rsidR="00403C06" w:rsidRPr="0006628B" w:rsidRDefault="00403C06" w:rsidP="0037546D">
            <w:pPr>
              <w:jc w:val="center"/>
              <w:rPr>
                <w:highlight w:val="yellow"/>
              </w:rPr>
            </w:pPr>
          </w:p>
        </w:tc>
        <w:tc>
          <w:tcPr>
            <w:tcW w:w="910" w:type="pct"/>
            <w:vMerge/>
            <w:tcBorders>
              <w:left w:val="single" w:sz="6" w:space="0" w:color="000000"/>
            </w:tcBorders>
            <w:vAlign w:val="center"/>
          </w:tcPr>
          <w:p w14:paraId="23FA17B4" w14:textId="77777777" w:rsidR="00403C06" w:rsidRPr="0006628B" w:rsidRDefault="00403C06" w:rsidP="0037546D">
            <w:pPr>
              <w:jc w:val="center"/>
              <w:rPr>
                <w:highlight w:val="yellow"/>
              </w:rPr>
            </w:pPr>
          </w:p>
        </w:tc>
      </w:tr>
      <w:tr w:rsidR="00403C06" w:rsidRPr="0006628B" w14:paraId="77893C07" w14:textId="77777777" w:rsidTr="00D907B7">
        <w:trPr>
          <w:trHeight w:val="57"/>
          <w:jc w:val="center"/>
        </w:trPr>
        <w:tc>
          <w:tcPr>
            <w:tcW w:w="203" w:type="pct"/>
            <w:vMerge/>
            <w:tcBorders>
              <w:right w:val="single" w:sz="6" w:space="0" w:color="000000"/>
            </w:tcBorders>
            <w:vAlign w:val="center"/>
          </w:tcPr>
          <w:p w14:paraId="6B08B831" w14:textId="77777777" w:rsidR="00403C06" w:rsidRPr="0006628B" w:rsidRDefault="00403C06" w:rsidP="0037546D">
            <w:pPr>
              <w:jc w:val="center"/>
              <w:rPr>
                <w:highlight w:val="yellow"/>
              </w:rPr>
            </w:pPr>
          </w:p>
        </w:tc>
        <w:tc>
          <w:tcPr>
            <w:tcW w:w="385" w:type="pct"/>
            <w:vMerge/>
            <w:tcBorders>
              <w:left w:val="single" w:sz="6" w:space="0" w:color="000000"/>
              <w:right w:val="single" w:sz="6" w:space="0" w:color="000000"/>
            </w:tcBorders>
            <w:vAlign w:val="center"/>
          </w:tcPr>
          <w:p w14:paraId="488F2969" w14:textId="77777777" w:rsidR="00403C06" w:rsidRPr="0006628B" w:rsidRDefault="00403C06" w:rsidP="0037546D">
            <w:pPr>
              <w:jc w:val="center"/>
              <w:rPr>
                <w:highlight w:val="yellow"/>
              </w:rPr>
            </w:pPr>
          </w:p>
        </w:tc>
        <w:tc>
          <w:tcPr>
            <w:tcW w:w="435" w:type="pct"/>
            <w:vMerge/>
            <w:tcBorders>
              <w:left w:val="single" w:sz="6" w:space="0" w:color="000000"/>
              <w:right w:val="single" w:sz="6" w:space="0" w:color="000000"/>
            </w:tcBorders>
            <w:vAlign w:val="center"/>
          </w:tcPr>
          <w:p w14:paraId="3734737E" w14:textId="77777777" w:rsidR="00403C06" w:rsidRPr="0006628B" w:rsidRDefault="00403C06" w:rsidP="0037546D">
            <w:pPr>
              <w:jc w:val="center"/>
              <w:rPr>
                <w:highlight w:val="yellow"/>
              </w:rPr>
            </w:pPr>
          </w:p>
        </w:tc>
        <w:tc>
          <w:tcPr>
            <w:tcW w:w="552" w:type="pct"/>
            <w:vAlign w:val="center"/>
          </w:tcPr>
          <w:p w14:paraId="723F7426" w14:textId="03A2A6FC" w:rsidR="00403C06" w:rsidRPr="00FC6E5C" w:rsidRDefault="00403C06" w:rsidP="0037546D">
            <w:pPr>
              <w:jc w:val="center"/>
            </w:pPr>
            <w:r w:rsidRPr="00FC6E5C">
              <w:rPr>
                <w:rFonts w:ascii="宋体" w:hAnsi="宋体" w:cs="宋体" w:hint="eastAsia"/>
              </w:rPr>
              <w:t>总</w:t>
            </w:r>
            <w:r w:rsidRPr="00FC6E5C">
              <w:rPr>
                <w:rFonts w:hint="eastAsia"/>
              </w:rPr>
              <w:t>砷</w:t>
            </w:r>
          </w:p>
        </w:tc>
        <w:tc>
          <w:tcPr>
            <w:tcW w:w="502" w:type="pct"/>
            <w:vAlign w:val="center"/>
          </w:tcPr>
          <w:p w14:paraId="0757CBAC" w14:textId="6B985A2C" w:rsidR="00403C06" w:rsidRPr="00FC6E5C" w:rsidRDefault="00403C06" w:rsidP="0037546D">
            <w:pPr>
              <w:jc w:val="center"/>
            </w:pPr>
            <w:r w:rsidRPr="00FC6E5C">
              <w:rPr>
                <w:rFonts w:eastAsiaTheme="minorEastAsia" w:hint="eastAsia"/>
              </w:rPr>
              <w:t>0.0112</w:t>
            </w:r>
          </w:p>
        </w:tc>
        <w:tc>
          <w:tcPr>
            <w:tcW w:w="543" w:type="pct"/>
            <w:vAlign w:val="center"/>
          </w:tcPr>
          <w:p w14:paraId="4E2D2E52" w14:textId="521EBBEF" w:rsidR="00403C06" w:rsidRPr="00FC6E5C" w:rsidRDefault="00403C06" w:rsidP="0037546D">
            <w:pPr>
              <w:jc w:val="center"/>
            </w:pPr>
            <w:r w:rsidRPr="00FC6E5C">
              <w:rPr>
                <w:rFonts w:eastAsiaTheme="minorEastAsia" w:hint="eastAsia"/>
              </w:rPr>
              <w:t>0.3</w:t>
            </w:r>
          </w:p>
        </w:tc>
        <w:tc>
          <w:tcPr>
            <w:tcW w:w="543" w:type="pct"/>
            <w:tcBorders>
              <w:left w:val="single" w:sz="6" w:space="0" w:color="000000"/>
              <w:right w:val="single" w:sz="6" w:space="0" w:color="000000"/>
            </w:tcBorders>
            <w:vAlign w:val="center"/>
          </w:tcPr>
          <w:p w14:paraId="3656D967" w14:textId="7E3F810D" w:rsidR="00403C06" w:rsidRPr="00FC6E5C" w:rsidRDefault="00403C06" w:rsidP="0037546D">
            <w:pPr>
              <w:jc w:val="center"/>
            </w:pPr>
            <w:r w:rsidRPr="00FC6E5C">
              <w:t>/</w:t>
            </w:r>
          </w:p>
        </w:tc>
        <w:tc>
          <w:tcPr>
            <w:tcW w:w="382" w:type="pct"/>
            <w:tcBorders>
              <w:left w:val="single" w:sz="6" w:space="0" w:color="000000"/>
              <w:right w:val="single" w:sz="6" w:space="0" w:color="000000"/>
            </w:tcBorders>
            <w:vAlign w:val="center"/>
          </w:tcPr>
          <w:p w14:paraId="3CDF278C" w14:textId="77777777" w:rsidR="00403C06" w:rsidRPr="00FC6E5C" w:rsidRDefault="00403C06" w:rsidP="0037546D">
            <w:pPr>
              <w:jc w:val="center"/>
            </w:pPr>
            <w:r w:rsidRPr="00FC6E5C">
              <w:t>/</w:t>
            </w:r>
          </w:p>
        </w:tc>
        <w:tc>
          <w:tcPr>
            <w:tcW w:w="545" w:type="pct"/>
            <w:vMerge/>
            <w:tcBorders>
              <w:left w:val="single" w:sz="6" w:space="0" w:color="000000"/>
              <w:right w:val="single" w:sz="6" w:space="0" w:color="000000"/>
            </w:tcBorders>
            <w:vAlign w:val="center"/>
          </w:tcPr>
          <w:p w14:paraId="57FD0B9C" w14:textId="77777777" w:rsidR="00403C06" w:rsidRPr="0006628B" w:rsidRDefault="00403C06" w:rsidP="0037546D">
            <w:pPr>
              <w:jc w:val="center"/>
              <w:rPr>
                <w:highlight w:val="yellow"/>
              </w:rPr>
            </w:pPr>
          </w:p>
        </w:tc>
        <w:tc>
          <w:tcPr>
            <w:tcW w:w="910" w:type="pct"/>
            <w:vMerge/>
            <w:tcBorders>
              <w:left w:val="single" w:sz="6" w:space="0" w:color="000000"/>
            </w:tcBorders>
            <w:vAlign w:val="center"/>
          </w:tcPr>
          <w:p w14:paraId="21B35323" w14:textId="77777777" w:rsidR="00403C06" w:rsidRPr="0006628B" w:rsidRDefault="00403C06" w:rsidP="0037546D">
            <w:pPr>
              <w:jc w:val="center"/>
              <w:rPr>
                <w:highlight w:val="yellow"/>
              </w:rPr>
            </w:pPr>
          </w:p>
        </w:tc>
      </w:tr>
      <w:tr w:rsidR="00403C06" w:rsidRPr="0006628B" w14:paraId="54192549" w14:textId="77777777" w:rsidTr="00D907B7">
        <w:trPr>
          <w:trHeight w:val="57"/>
          <w:jc w:val="center"/>
        </w:trPr>
        <w:tc>
          <w:tcPr>
            <w:tcW w:w="203" w:type="pct"/>
            <w:vMerge/>
            <w:tcBorders>
              <w:right w:val="single" w:sz="6" w:space="0" w:color="000000"/>
            </w:tcBorders>
            <w:vAlign w:val="center"/>
          </w:tcPr>
          <w:p w14:paraId="66D0E256" w14:textId="77777777" w:rsidR="00403C06" w:rsidRPr="0006628B" w:rsidRDefault="00403C06" w:rsidP="0037546D">
            <w:pPr>
              <w:jc w:val="center"/>
              <w:rPr>
                <w:highlight w:val="yellow"/>
              </w:rPr>
            </w:pPr>
          </w:p>
        </w:tc>
        <w:tc>
          <w:tcPr>
            <w:tcW w:w="385" w:type="pct"/>
            <w:vMerge/>
            <w:tcBorders>
              <w:left w:val="single" w:sz="6" w:space="0" w:color="000000"/>
              <w:right w:val="single" w:sz="6" w:space="0" w:color="000000"/>
            </w:tcBorders>
            <w:vAlign w:val="center"/>
          </w:tcPr>
          <w:p w14:paraId="7687D894" w14:textId="77777777" w:rsidR="00403C06" w:rsidRPr="0006628B" w:rsidRDefault="00403C06" w:rsidP="0037546D">
            <w:pPr>
              <w:jc w:val="center"/>
              <w:rPr>
                <w:highlight w:val="yellow"/>
              </w:rPr>
            </w:pPr>
          </w:p>
        </w:tc>
        <w:tc>
          <w:tcPr>
            <w:tcW w:w="435" w:type="pct"/>
            <w:vMerge/>
            <w:tcBorders>
              <w:left w:val="single" w:sz="6" w:space="0" w:color="000000"/>
              <w:right w:val="single" w:sz="6" w:space="0" w:color="000000"/>
            </w:tcBorders>
            <w:vAlign w:val="center"/>
          </w:tcPr>
          <w:p w14:paraId="548C8FB7" w14:textId="77777777" w:rsidR="00403C06" w:rsidRPr="0006628B" w:rsidRDefault="00403C06" w:rsidP="0037546D">
            <w:pPr>
              <w:jc w:val="center"/>
              <w:rPr>
                <w:highlight w:val="yellow"/>
              </w:rPr>
            </w:pPr>
          </w:p>
        </w:tc>
        <w:tc>
          <w:tcPr>
            <w:tcW w:w="552" w:type="pct"/>
            <w:vAlign w:val="center"/>
          </w:tcPr>
          <w:p w14:paraId="2F723354" w14:textId="40B746BA" w:rsidR="00403C06" w:rsidRPr="00FC6E5C" w:rsidRDefault="00403C06" w:rsidP="0037546D">
            <w:pPr>
              <w:jc w:val="center"/>
            </w:pPr>
            <w:r w:rsidRPr="00FC6E5C">
              <w:rPr>
                <w:rFonts w:ascii="宋体" w:hAnsi="宋体" w:cs="宋体" w:hint="eastAsia"/>
              </w:rPr>
              <w:t>总</w:t>
            </w:r>
            <w:r w:rsidRPr="00FC6E5C">
              <w:rPr>
                <w:rFonts w:hint="eastAsia"/>
              </w:rPr>
              <w:t>锌</w:t>
            </w:r>
          </w:p>
        </w:tc>
        <w:tc>
          <w:tcPr>
            <w:tcW w:w="502" w:type="pct"/>
            <w:vAlign w:val="center"/>
          </w:tcPr>
          <w:p w14:paraId="4B27DACE" w14:textId="4EC83B80" w:rsidR="00403C06" w:rsidRPr="00FC6E5C" w:rsidRDefault="00403C06" w:rsidP="0037546D">
            <w:pPr>
              <w:jc w:val="center"/>
            </w:pPr>
            <w:r w:rsidRPr="00FC6E5C">
              <w:rPr>
                <w:rFonts w:eastAsiaTheme="minorEastAsia" w:hint="eastAsia"/>
              </w:rPr>
              <w:t>10.5</w:t>
            </w:r>
          </w:p>
        </w:tc>
        <w:tc>
          <w:tcPr>
            <w:tcW w:w="543" w:type="pct"/>
            <w:vAlign w:val="center"/>
          </w:tcPr>
          <w:p w14:paraId="53020101" w14:textId="6528B5F4" w:rsidR="00403C06" w:rsidRPr="00FC6E5C" w:rsidRDefault="00403C06" w:rsidP="0037546D">
            <w:pPr>
              <w:jc w:val="center"/>
            </w:pPr>
            <w:r w:rsidRPr="00FC6E5C">
              <w:rPr>
                <w:rFonts w:eastAsiaTheme="minorEastAsia" w:hint="eastAsia"/>
              </w:rPr>
              <w:t>100</w:t>
            </w:r>
          </w:p>
        </w:tc>
        <w:tc>
          <w:tcPr>
            <w:tcW w:w="543" w:type="pct"/>
            <w:tcBorders>
              <w:left w:val="single" w:sz="6" w:space="0" w:color="000000"/>
              <w:right w:val="single" w:sz="6" w:space="0" w:color="000000"/>
            </w:tcBorders>
            <w:vAlign w:val="center"/>
          </w:tcPr>
          <w:p w14:paraId="0EED59FC" w14:textId="681F4ECB" w:rsidR="00403C06" w:rsidRPr="00FC6E5C" w:rsidRDefault="00403C06" w:rsidP="0037546D">
            <w:pPr>
              <w:jc w:val="center"/>
            </w:pPr>
            <w:r w:rsidRPr="00FC6E5C">
              <w:t>/</w:t>
            </w:r>
          </w:p>
        </w:tc>
        <w:tc>
          <w:tcPr>
            <w:tcW w:w="382" w:type="pct"/>
            <w:tcBorders>
              <w:left w:val="single" w:sz="6" w:space="0" w:color="000000"/>
              <w:right w:val="single" w:sz="6" w:space="0" w:color="000000"/>
            </w:tcBorders>
            <w:vAlign w:val="center"/>
          </w:tcPr>
          <w:p w14:paraId="42A1CB20" w14:textId="77777777" w:rsidR="00403C06" w:rsidRPr="00FC6E5C" w:rsidRDefault="00403C06" w:rsidP="0037546D">
            <w:pPr>
              <w:jc w:val="center"/>
            </w:pPr>
            <w:r w:rsidRPr="00FC6E5C">
              <w:t>/</w:t>
            </w:r>
          </w:p>
        </w:tc>
        <w:tc>
          <w:tcPr>
            <w:tcW w:w="545" w:type="pct"/>
            <w:vMerge/>
            <w:tcBorders>
              <w:left w:val="single" w:sz="6" w:space="0" w:color="000000"/>
              <w:right w:val="single" w:sz="6" w:space="0" w:color="000000"/>
            </w:tcBorders>
            <w:vAlign w:val="center"/>
          </w:tcPr>
          <w:p w14:paraId="53FA5567" w14:textId="77777777" w:rsidR="00403C06" w:rsidRPr="0006628B" w:rsidRDefault="00403C06" w:rsidP="0037546D">
            <w:pPr>
              <w:jc w:val="center"/>
              <w:rPr>
                <w:highlight w:val="yellow"/>
              </w:rPr>
            </w:pPr>
          </w:p>
        </w:tc>
        <w:tc>
          <w:tcPr>
            <w:tcW w:w="910" w:type="pct"/>
            <w:vMerge/>
            <w:tcBorders>
              <w:left w:val="single" w:sz="6" w:space="0" w:color="000000"/>
            </w:tcBorders>
            <w:vAlign w:val="center"/>
          </w:tcPr>
          <w:p w14:paraId="45AB34E6" w14:textId="77777777" w:rsidR="00403C06" w:rsidRPr="0006628B" w:rsidRDefault="00403C06" w:rsidP="0037546D">
            <w:pPr>
              <w:jc w:val="center"/>
              <w:rPr>
                <w:highlight w:val="yellow"/>
              </w:rPr>
            </w:pPr>
          </w:p>
        </w:tc>
      </w:tr>
      <w:tr w:rsidR="00403C06" w:rsidRPr="0006628B" w14:paraId="52E78EAE" w14:textId="77777777" w:rsidTr="00D907B7">
        <w:trPr>
          <w:trHeight w:val="57"/>
          <w:jc w:val="center"/>
        </w:trPr>
        <w:tc>
          <w:tcPr>
            <w:tcW w:w="203" w:type="pct"/>
            <w:vMerge/>
            <w:tcBorders>
              <w:right w:val="single" w:sz="6" w:space="0" w:color="000000"/>
            </w:tcBorders>
            <w:vAlign w:val="center"/>
          </w:tcPr>
          <w:p w14:paraId="63B8312B" w14:textId="77777777" w:rsidR="00403C06" w:rsidRPr="0006628B" w:rsidRDefault="00403C06" w:rsidP="0037546D">
            <w:pPr>
              <w:jc w:val="center"/>
              <w:rPr>
                <w:highlight w:val="yellow"/>
              </w:rPr>
            </w:pPr>
          </w:p>
        </w:tc>
        <w:tc>
          <w:tcPr>
            <w:tcW w:w="385" w:type="pct"/>
            <w:vMerge/>
            <w:tcBorders>
              <w:left w:val="single" w:sz="6" w:space="0" w:color="000000"/>
              <w:right w:val="single" w:sz="6" w:space="0" w:color="000000"/>
            </w:tcBorders>
            <w:vAlign w:val="center"/>
          </w:tcPr>
          <w:p w14:paraId="2C431BAF" w14:textId="77777777" w:rsidR="00403C06" w:rsidRPr="0006628B" w:rsidRDefault="00403C06" w:rsidP="0037546D">
            <w:pPr>
              <w:jc w:val="center"/>
              <w:rPr>
                <w:highlight w:val="yellow"/>
              </w:rPr>
            </w:pPr>
          </w:p>
        </w:tc>
        <w:tc>
          <w:tcPr>
            <w:tcW w:w="435" w:type="pct"/>
            <w:vMerge/>
            <w:tcBorders>
              <w:left w:val="single" w:sz="6" w:space="0" w:color="000000"/>
              <w:right w:val="single" w:sz="6" w:space="0" w:color="000000"/>
            </w:tcBorders>
            <w:vAlign w:val="center"/>
          </w:tcPr>
          <w:p w14:paraId="2589D2FB" w14:textId="77777777" w:rsidR="00403C06" w:rsidRPr="0006628B" w:rsidRDefault="00403C06" w:rsidP="0037546D">
            <w:pPr>
              <w:jc w:val="center"/>
              <w:rPr>
                <w:highlight w:val="yellow"/>
              </w:rPr>
            </w:pPr>
          </w:p>
        </w:tc>
        <w:tc>
          <w:tcPr>
            <w:tcW w:w="552" w:type="pct"/>
            <w:vAlign w:val="center"/>
          </w:tcPr>
          <w:p w14:paraId="336FA8D2" w14:textId="5BCF65E0" w:rsidR="00403C06" w:rsidRPr="00FC6E5C" w:rsidRDefault="00403C06" w:rsidP="0037546D">
            <w:pPr>
              <w:jc w:val="center"/>
            </w:pPr>
            <w:r w:rsidRPr="00FC6E5C">
              <w:rPr>
                <w:rFonts w:ascii="宋体" w:hAnsi="宋体" w:cs="宋体" w:hint="eastAsia"/>
              </w:rPr>
              <w:t>总</w:t>
            </w:r>
            <w:r w:rsidRPr="00FC6E5C">
              <w:rPr>
                <w:rFonts w:hint="eastAsia"/>
              </w:rPr>
              <w:t>铅</w:t>
            </w:r>
          </w:p>
        </w:tc>
        <w:tc>
          <w:tcPr>
            <w:tcW w:w="502" w:type="pct"/>
            <w:vAlign w:val="center"/>
          </w:tcPr>
          <w:p w14:paraId="5DAC5E9F" w14:textId="729F7E88" w:rsidR="00403C06" w:rsidRPr="00FC6E5C" w:rsidRDefault="00403C06" w:rsidP="0037546D">
            <w:pPr>
              <w:jc w:val="center"/>
            </w:pPr>
            <w:r w:rsidRPr="00FC6E5C">
              <w:rPr>
                <w:rFonts w:eastAsiaTheme="minorEastAsia" w:hint="eastAsia"/>
              </w:rPr>
              <w:t>0.23</w:t>
            </w:r>
          </w:p>
        </w:tc>
        <w:tc>
          <w:tcPr>
            <w:tcW w:w="543" w:type="pct"/>
            <w:vAlign w:val="center"/>
          </w:tcPr>
          <w:p w14:paraId="38B6EDE7" w14:textId="590C7ABB" w:rsidR="00403C06" w:rsidRPr="00FC6E5C" w:rsidRDefault="00403C06" w:rsidP="0037546D">
            <w:pPr>
              <w:jc w:val="center"/>
            </w:pPr>
            <w:r w:rsidRPr="00FC6E5C">
              <w:rPr>
                <w:rFonts w:eastAsiaTheme="minorEastAsia" w:hint="eastAsia"/>
              </w:rPr>
              <w:t>0.25</w:t>
            </w:r>
          </w:p>
        </w:tc>
        <w:tc>
          <w:tcPr>
            <w:tcW w:w="543" w:type="pct"/>
            <w:tcBorders>
              <w:left w:val="single" w:sz="6" w:space="0" w:color="000000"/>
              <w:right w:val="single" w:sz="6" w:space="0" w:color="000000"/>
            </w:tcBorders>
            <w:vAlign w:val="center"/>
          </w:tcPr>
          <w:p w14:paraId="5CD17F39" w14:textId="75E773CA" w:rsidR="00403C06" w:rsidRPr="00FC6E5C" w:rsidRDefault="00403C06" w:rsidP="0037546D">
            <w:pPr>
              <w:jc w:val="center"/>
            </w:pPr>
            <w:r w:rsidRPr="00FC6E5C">
              <w:t>/</w:t>
            </w:r>
          </w:p>
        </w:tc>
        <w:tc>
          <w:tcPr>
            <w:tcW w:w="382" w:type="pct"/>
            <w:tcBorders>
              <w:left w:val="single" w:sz="6" w:space="0" w:color="000000"/>
              <w:right w:val="single" w:sz="6" w:space="0" w:color="000000"/>
            </w:tcBorders>
            <w:vAlign w:val="center"/>
          </w:tcPr>
          <w:p w14:paraId="6C0A9269" w14:textId="77777777" w:rsidR="00403C06" w:rsidRPr="00FC6E5C" w:rsidRDefault="00403C06" w:rsidP="0037546D">
            <w:pPr>
              <w:jc w:val="center"/>
            </w:pPr>
            <w:r w:rsidRPr="00FC6E5C">
              <w:t>/</w:t>
            </w:r>
          </w:p>
        </w:tc>
        <w:tc>
          <w:tcPr>
            <w:tcW w:w="545" w:type="pct"/>
            <w:vMerge/>
            <w:tcBorders>
              <w:left w:val="single" w:sz="6" w:space="0" w:color="000000"/>
              <w:right w:val="single" w:sz="6" w:space="0" w:color="000000"/>
            </w:tcBorders>
            <w:vAlign w:val="center"/>
          </w:tcPr>
          <w:p w14:paraId="6C9FA4C7" w14:textId="77777777" w:rsidR="00403C06" w:rsidRPr="0006628B" w:rsidRDefault="00403C06" w:rsidP="0037546D">
            <w:pPr>
              <w:jc w:val="center"/>
              <w:rPr>
                <w:highlight w:val="yellow"/>
              </w:rPr>
            </w:pPr>
          </w:p>
        </w:tc>
        <w:tc>
          <w:tcPr>
            <w:tcW w:w="910" w:type="pct"/>
            <w:vMerge/>
            <w:tcBorders>
              <w:left w:val="single" w:sz="6" w:space="0" w:color="000000"/>
            </w:tcBorders>
            <w:vAlign w:val="center"/>
          </w:tcPr>
          <w:p w14:paraId="43815004" w14:textId="77777777" w:rsidR="00403C06" w:rsidRPr="0006628B" w:rsidRDefault="00403C06" w:rsidP="0037546D">
            <w:pPr>
              <w:jc w:val="center"/>
              <w:rPr>
                <w:highlight w:val="yellow"/>
              </w:rPr>
            </w:pPr>
          </w:p>
        </w:tc>
      </w:tr>
      <w:tr w:rsidR="00403C06" w:rsidRPr="0006628B" w14:paraId="1899DC61" w14:textId="77777777" w:rsidTr="00D907B7">
        <w:trPr>
          <w:trHeight w:val="57"/>
          <w:jc w:val="center"/>
        </w:trPr>
        <w:tc>
          <w:tcPr>
            <w:tcW w:w="203" w:type="pct"/>
            <w:vMerge/>
            <w:tcBorders>
              <w:right w:val="single" w:sz="6" w:space="0" w:color="000000"/>
            </w:tcBorders>
            <w:vAlign w:val="center"/>
          </w:tcPr>
          <w:p w14:paraId="18599243" w14:textId="77777777" w:rsidR="00403C06" w:rsidRPr="0006628B" w:rsidRDefault="00403C06" w:rsidP="0037546D">
            <w:pPr>
              <w:jc w:val="center"/>
              <w:rPr>
                <w:highlight w:val="yellow"/>
              </w:rPr>
            </w:pPr>
          </w:p>
        </w:tc>
        <w:tc>
          <w:tcPr>
            <w:tcW w:w="385" w:type="pct"/>
            <w:vMerge/>
            <w:tcBorders>
              <w:left w:val="single" w:sz="6" w:space="0" w:color="000000"/>
              <w:right w:val="single" w:sz="6" w:space="0" w:color="000000"/>
            </w:tcBorders>
            <w:vAlign w:val="center"/>
          </w:tcPr>
          <w:p w14:paraId="3F4CE124" w14:textId="77777777" w:rsidR="00403C06" w:rsidRPr="0006628B" w:rsidRDefault="00403C06" w:rsidP="0037546D">
            <w:pPr>
              <w:jc w:val="center"/>
              <w:rPr>
                <w:highlight w:val="yellow"/>
              </w:rPr>
            </w:pPr>
          </w:p>
        </w:tc>
        <w:tc>
          <w:tcPr>
            <w:tcW w:w="435" w:type="pct"/>
            <w:vMerge/>
            <w:tcBorders>
              <w:left w:val="single" w:sz="6" w:space="0" w:color="000000"/>
              <w:right w:val="single" w:sz="6" w:space="0" w:color="000000"/>
            </w:tcBorders>
            <w:vAlign w:val="center"/>
          </w:tcPr>
          <w:p w14:paraId="036602E4" w14:textId="77777777" w:rsidR="00403C06" w:rsidRPr="0006628B" w:rsidRDefault="00403C06" w:rsidP="0037546D">
            <w:pPr>
              <w:jc w:val="center"/>
              <w:rPr>
                <w:highlight w:val="yellow"/>
              </w:rPr>
            </w:pPr>
          </w:p>
        </w:tc>
        <w:tc>
          <w:tcPr>
            <w:tcW w:w="552" w:type="pct"/>
            <w:vAlign w:val="center"/>
          </w:tcPr>
          <w:p w14:paraId="7B898C03" w14:textId="720C642B" w:rsidR="00403C06" w:rsidRPr="00FC6E5C" w:rsidRDefault="00403C06" w:rsidP="0037546D">
            <w:pPr>
              <w:jc w:val="center"/>
            </w:pPr>
            <w:r w:rsidRPr="00FC6E5C">
              <w:rPr>
                <w:rFonts w:ascii="宋体" w:hAnsi="宋体" w:cs="宋体" w:hint="eastAsia"/>
              </w:rPr>
              <w:t>总</w:t>
            </w:r>
            <w:r w:rsidRPr="00FC6E5C">
              <w:rPr>
                <w:rFonts w:hint="eastAsia"/>
              </w:rPr>
              <w:t>钡</w:t>
            </w:r>
          </w:p>
        </w:tc>
        <w:tc>
          <w:tcPr>
            <w:tcW w:w="502" w:type="pct"/>
            <w:vAlign w:val="center"/>
          </w:tcPr>
          <w:p w14:paraId="66CD4F37" w14:textId="6BC609DC" w:rsidR="00403C06" w:rsidRPr="00FC6E5C" w:rsidRDefault="00403C06" w:rsidP="0037546D">
            <w:pPr>
              <w:jc w:val="center"/>
            </w:pPr>
            <w:r w:rsidRPr="00FC6E5C">
              <w:rPr>
                <w:rFonts w:eastAsiaTheme="minorEastAsia" w:hint="eastAsia"/>
              </w:rPr>
              <w:t>0.0036</w:t>
            </w:r>
          </w:p>
        </w:tc>
        <w:tc>
          <w:tcPr>
            <w:tcW w:w="543" w:type="pct"/>
            <w:vAlign w:val="center"/>
          </w:tcPr>
          <w:p w14:paraId="6D64E232" w14:textId="3165A5D1" w:rsidR="00403C06" w:rsidRPr="00FC6E5C" w:rsidRDefault="00403C06" w:rsidP="0037546D">
            <w:pPr>
              <w:jc w:val="center"/>
            </w:pPr>
            <w:r w:rsidRPr="00FC6E5C">
              <w:rPr>
                <w:rFonts w:eastAsiaTheme="minorEastAsia" w:hint="eastAsia"/>
              </w:rPr>
              <w:t>25</w:t>
            </w:r>
          </w:p>
        </w:tc>
        <w:tc>
          <w:tcPr>
            <w:tcW w:w="543" w:type="pct"/>
            <w:tcBorders>
              <w:left w:val="single" w:sz="6" w:space="0" w:color="000000"/>
              <w:right w:val="single" w:sz="6" w:space="0" w:color="000000"/>
            </w:tcBorders>
            <w:vAlign w:val="center"/>
          </w:tcPr>
          <w:p w14:paraId="5246839C" w14:textId="24F3513D" w:rsidR="00403C06" w:rsidRPr="00FC6E5C" w:rsidRDefault="00403C06" w:rsidP="0037546D">
            <w:pPr>
              <w:jc w:val="center"/>
            </w:pPr>
            <w:r w:rsidRPr="00FC6E5C">
              <w:t>/</w:t>
            </w:r>
          </w:p>
        </w:tc>
        <w:tc>
          <w:tcPr>
            <w:tcW w:w="382" w:type="pct"/>
            <w:tcBorders>
              <w:left w:val="single" w:sz="6" w:space="0" w:color="000000"/>
              <w:right w:val="single" w:sz="6" w:space="0" w:color="000000"/>
            </w:tcBorders>
            <w:vAlign w:val="center"/>
          </w:tcPr>
          <w:p w14:paraId="7633E3CA" w14:textId="77777777" w:rsidR="00403C06" w:rsidRPr="00FC6E5C" w:rsidRDefault="00403C06" w:rsidP="0037546D">
            <w:pPr>
              <w:jc w:val="center"/>
            </w:pPr>
            <w:r w:rsidRPr="00FC6E5C">
              <w:t>/</w:t>
            </w:r>
          </w:p>
        </w:tc>
        <w:tc>
          <w:tcPr>
            <w:tcW w:w="545" w:type="pct"/>
            <w:vMerge/>
            <w:tcBorders>
              <w:left w:val="single" w:sz="6" w:space="0" w:color="000000"/>
              <w:right w:val="single" w:sz="6" w:space="0" w:color="000000"/>
            </w:tcBorders>
            <w:vAlign w:val="center"/>
          </w:tcPr>
          <w:p w14:paraId="3FB6C0B5" w14:textId="77777777" w:rsidR="00403C06" w:rsidRPr="0006628B" w:rsidRDefault="00403C06" w:rsidP="0037546D">
            <w:pPr>
              <w:jc w:val="center"/>
              <w:rPr>
                <w:highlight w:val="yellow"/>
              </w:rPr>
            </w:pPr>
          </w:p>
        </w:tc>
        <w:tc>
          <w:tcPr>
            <w:tcW w:w="910" w:type="pct"/>
            <w:vMerge/>
            <w:tcBorders>
              <w:left w:val="single" w:sz="6" w:space="0" w:color="000000"/>
            </w:tcBorders>
            <w:vAlign w:val="center"/>
          </w:tcPr>
          <w:p w14:paraId="610BB133" w14:textId="77777777" w:rsidR="00403C06" w:rsidRPr="0006628B" w:rsidRDefault="00403C06" w:rsidP="0037546D">
            <w:pPr>
              <w:jc w:val="center"/>
              <w:rPr>
                <w:highlight w:val="yellow"/>
              </w:rPr>
            </w:pPr>
          </w:p>
        </w:tc>
      </w:tr>
      <w:tr w:rsidR="00403C06" w:rsidRPr="0006628B" w14:paraId="0514AD45" w14:textId="77777777" w:rsidTr="00D907B7">
        <w:trPr>
          <w:trHeight w:val="57"/>
          <w:jc w:val="center"/>
        </w:trPr>
        <w:tc>
          <w:tcPr>
            <w:tcW w:w="203" w:type="pct"/>
            <w:vMerge/>
            <w:tcBorders>
              <w:right w:val="single" w:sz="6" w:space="0" w:color="000000"/>
            </w:tcBorders>
            <w:vAlign w:val="center"/>
          </w:tcPr>
          <w:p w14:paraId="61A82976" w14:textId="77777777" w:rsidR="00403C06" w:rsidRPr="0006628B" w:rsidRDefault="00403C06" w:rsidP="0037546D">
            <w:pPr>
              <w:jc w:val="center"/>
              <w:rPr>
                <w:highlight w:val="yellow"/>
              </w:rPr>
            </w:pPr>
          </w:p>
        </w:tc>
        <w:tc>
          <w:tcPr>
            <w:tcW w:w="385" w:type="pct"/>
            <w:vMerge/>
            <w:tcBorders>
              <w:left w:val="single" w:sz="6" w:space="0" w:color="000000"/>
              <w:right w:val="single" w:sz="6" w:space="0" w:color="000000"/>
            </w:tcBorders>
            <w:vAlign w:val="center"/>
          </w:tcPr>
          <w:p w14:paraId="0B4B84DD" w14:textId="77777777" w:rsidR="00403C06" w:rsidRPr="0006628B" w:rsidRDefault="00403C06" w:rsidP="0037546D">
            <w:pPr>
              <w:jc w:val="center"/>
              <w:rPr>
                <w:highlight w:val="yellow"/>
              </w:rPr>
            </w:pPr>
          </w:p>
        </w:tc>
        <w:tc>
          <w:tcPr>
            <w:tcW w:w="435" w:type="pct"/>
            <w:vMerge/>
            <w:tcBorders>
              <w:left w:val="single" w:sz="6" w:space="0" w:color="000000"/>
              <w:right w:val="single" w:sz="6" w:space="0" w:color="000000"/>
            </w:tcBorders>
            <w:vAlign w:val="center"/>
          </w:tcPr>
          <w:p w14:paraId="6B34C276" w14:textId="77777777" w:rsidR="00403C06" w:rsidRPr="0006628B" w:rsidRDefault="00403C06" w:rsidP="0037546D">
            <w:pPr>
              <w:jc w:val="center"/>
              <w:rPr>
                <w:highlight w:val="yellow"/>
              </w:rPr>
            </w:pPr>
          </w:p>
        </w:tc>
        <w:tc>
          <w:tcPr>
            <w:tcW w:w="552" w:type="pct"/>
            <w:vAlign w:val="center"/>
          </w:tcPr>
          <w:p w14:paraId="62152133" w14:textId="210427D0" w:rsidR="00403C06" w:rsidRPr="00FC6E5C" w:rsidRDefault="00403C06" w:rsidP="0037546D">
            <w:pPr>
              <w:jc w:val="center"/>
            </w:pPr>
            <w:r w:rsidRPr="00FC6E5C">
              <w:rPr>
                <w:rFonts w:ascii="宋体" w:hAnsi="宋体" w:cs="宋体" w:hint="eastAsia"/>
              </w:rPr>
              <w:t>总</w:t>
            </w:r>
            <w:r w:rsidRPr="00FC6E5C">
              <w:rPr>
                <w:rFonts w:hint="eastAsia"/>
              </w:rPr>
              <w:t>铜</w:t>
            </w:r>
          </w:p>
        </w:tc>
        <w:tc>
          <w:tcPr>
            <w:tcW w:w="502" w:type="pct"/>
            <w:vAlign w:val="center"/>
          </w:tcPr>
          <w:p w14:paraId="5FA796F0" w14:textId="277530D6" w:rsidR="00403C06" w:rsidRPr="00FC6E5C" w:rsidRDefault="00403C06" w:rsidP="0037546D">
            <w:pPr>
              <w:jc w:val="center"/>
            </w:pPr>
            <w:r w:rsidRPr="00FC6E5C">
              <w:rPr>
                <w:rFonts w:eastAsiaTheme="minorEastAsia" w:hint="eastAsia"/>
              </w:rPr>
              <w:t>0.038</w:t>
            </w:r>
          </w:p>
        </w:tc>
        <w:tc>
          <w:tcPr>
            <w:tcW w:w="543" w:type="pct"/>
            <w:vAlign w:val="center"/>
          </w:tcPr>
          <w:p w14:paraId="3B56673B" w14:textId="774B7BF7" w:rsidR="00403C06" w:rsidRPr="00FC6E5C" w:rsidRDefault="00403C06" w:rsidP="0037546D">
            <w:pPr>
              <w:jc w:val="center"/>
            </w:pPr>
            <w:r w:rsidRPr="00FC6E5C">
              <w:rPr>
                <w:rFonts w:eastAsiaTheme="minorEastAsia" w:hint="eastAsia"/>
              </w:rPr>
              <w:t>40</w:t>
            </w:r>
          </w:p>
        </w:tc>
        <w:tc>
          <w:tcPr>
            <w:tcW w:w="543" w:type="pct"/>
            <w:tcBorders>
              <w:left w:val="single" w:sz="6" w:space="0" w:color="000000"/>
              <w:right w:val="single" w:sz="6" w:space="0" w:color="000000"/>
            </w:tcBorders>
            <w:vAlign w:val="center"/>
          </w:tcPr>
          <w:p w14:paraId="7CC30770" w14:textId="4939E052" w:rsidR="00403C06" w:rsidRPr="00FC6E5C" w:rsidRDefault="00403C06" w:rsidP="0037546D">
            <w:pPr>
              <w:jc w:val="center"/>
            </w:pPr>
            <w:r w:rsidRPr="00FC6E5C">
              <w:t>/</w:t>
            </w:r>
          </w:p>
        </w:tc>
        <w:tc>
          <w:tcPr>
            <w:tcW w:w="382" w:type="pct"/>
            <w:tcBorders>
              <w:left w:val="single" w:sz="6" w:space="0" w:color="000000"/>
              <w:right w:val="single" w:sz="6" w:space="0" w:color="000000"/>
            </w:tcBorders>
            <w:vAlign w:val="center"/>
          </w:tcPr>
          <w:p w14:paraId="61015F0D" w14:textId="77777777" w:rsidR="00403C06" w:rsidRPr="00FC6E5C" w:rsidRDefault="00403C06" w:rsidP="0037546D">
            <w:pPr>
              <w:jc w:val="center"/>
            </w:pPr>
            <w:r w:rsidRPr="00FC6E5C">
              <w:t>/</w:t>
            </w:r>
          </w:p>
        </w:tc>
        <w:tc>
          <w:tcPr>
            <w:tcW w:w="545" w:type="pct"/>
            <w:vMerge/>
            <w:tcBorders>
              <w:left w:val="single" w:sz="6" w:space="0" w:color="000000"/>
              <w:right w:val="single" w:sz="6" w:space="0" w:color="000000"/>
            </w:tcBorders>
            <w:vAlign w:val="center"/>
          </w:tcPr>
          <w:p w14:paraId="0CA8703C" w14:textId="77777777" w:rsidR="00403C06" w:rsidRPr="0006628B" w:rsidRDefault="00403C06" w:rsidP="0037546D">
            <w:pPr>
              <w:jc w:val="center"/>
              <w:rPr>
                <w:highlight w:val="yellow"/>
              </w:rPr>
            </w:pPr>
          </w:p>
        </w:tc>
        <w:tc>
          <w:tcPr>
            <w:tcW w:w="910" w:type="pct"/>
            <w:vMerge/>
            <w:tcBorders>
              <w:left w:val="single" w:sz="6" w:space="0" w:color="000000"/>
            </w:tcBorders>
            <w:vAlign w:val="center"/>
          </w:tcPr>
          <w:p w14:paraId="34E66099" w14:textId="77777777" w:rsidR="00403C06" w:rsidRPr="0006628B" w:rsidRDefault="00403C06" w:rsidP="0037546D">
            <w:pPr>
              <w:jc w:val="center"/>
              <w:rPr>
                <w:highlight w:val="yellow"/>
              </w:rPr>
            </w:pPr>
          </w:p>
        </w:tc>
      </w:tr>
      <w:tr w:rsidR="00403C06" w:rsidRPr="0006628B" w14:paraId="2DD80F29" w14:textId="77777777" w:rsidTr="00D907B7">
        <w:trPr>
          <w:trHeight w:val="57"/>
          <w:jc w:val="center"/>
        </w:trPr>
        <w:tc>
          <w:tcPr>
            <w:tcW w:w="203" w:type="pct"/>
            <w:vMerge/>
            <w:tcBorders>
              <w:right w:val="single" w:sz="6" w:space="0" w:color="000000"/>
            </w:tcBorders>
            <w:vAlign w:val="center"/>
          </w:tcPr>
          <w:p w14:paraId="0547E1D3" w14:textId="77777777" w:rsidR="00403C06" w:rsidRPr="0006628B" w:rsidRDefault="00403C06" w:rsidP="0037546D">
            <w:pPr>
              <w:jc w:val="center"/>
              <w:rPr>
                <w:highlight w:val="yellow"/>
              </w:rPr>
            </w:pPr>
          </w:p>
        </w:tc>
        <w:tc>
          <w:tcPr>
            <w:tcW w:w="385" w:type="pct"/>
            <w:vMerge/>
            <w:tcBorders>
              <w:left w:val="single" w:sz="6" w:space="0" w:color="000000"/>
              <w:right w:val="single" w:sz="6" w:space="0" w:color="000000"/>
            </w:tcBorders>
            <w:vAlign w:val="center"/>
          </w:tcPr>
          <w:p w14:paraId="31AF0025" w14:textId="77777777" w:rsidR="00403C06" w:rsidRPr="0006628B" w:rsidRDefault="00403C06" w:rsidP="0037546D">
            <w:pPr>
              <w:jc w:val="center"/>
              <w:rPr>
                <w:highlight w:val="yellow"/>
              </w:rPr>
            </w:pPr>
          </w:p>
        </w:tc>
        <w:tc>
          <w:tcPr>
            <w:tcW w:w="435" w:type="pct"/>
            <w:vMerge/>
            <w:tcBorders>
              <w:left w:val="single" w:sz="6" w:space="0" w:color="000000"/>
              <w:right w:val="single" w:sz="6" w:space="0" w:color="000000"/>
            </w:tcBorders>
            <w:vAlign w:val="center"/>
          </w:tcPr>
          <w:p w14:paraId="21A55087" w14:textId="77777777" w:rsidR="00403C06" w:rsidRPr="0006628B" w:rsidRDefault="00403C06" w:rsidP="0037546D">
            <w:pPr>
              <w:jc w:val="center"/>
              <w:rPr>
                <w:highlight w:val="yellow"/>
              </w:rPr>
            </w:pPr>
          </w:p>
        </w:tc>
        <w:tc>
          <w:tcPr>
            <w:tcW w:w="552" w:type="pct"/>
            <w:vAlign w:val="center"/>
          </w:tcPr>
          <w:p w14:paraId="5E0F10A6" w14:textId="16AF6A92" w:rsidR="00403C06" w:rsidRPr="00FC6E5C" w:rsidRDefault="00403C06" w:rsidP="0037546D">
            <w:pPr>
              <w:jc w:val="center"/>
            </w:pPr>
            <w:r w:rsidRPr="00FC6E5C">
              <w:rPr>
                <w:rFonts w:hint="eastAsia"/>
              </w:rPr>
              <w:t>六价铬</w:t>
            </w:r>
          </w:p>
        </w:tc>
        <w:tc>
          <w:tcPr>
            <w:tcW w:w="502" w:type="pct"/>
            <w:vAlign w:val="center"/>
          </w:tcPr>
          <w:p w14:paraId="02FEA6B2" w14:textId="55DF5B95" w:rsidR="00403C06" w:rsidRPr="00FC6E5C" w:rsidRDefault="00403C06" w:rsidP="0037546D">
            <w:pPr>
              <w:jc w:val="center"/>
            </w:pPr>
            <w:r w:rsidRPr="00FC6E5C">
              <w:rPr>
                <w:rFonts w:eastAsiaTheme="minorEastAsia" w:hint="eastAsia"/>
              </w:rPr>
              <w:t>0.004L</w:t>
            </w:r>
          </w:p>
        </w:tc>
        <w:tc>
          <w:tcPr>
            <w:tcW w:w="543" w:type="pct"/>
            <w:vAlign w:val="center"/>
          </w:tcPr>
          <w:p w14:paraId="7E4DADD6" w14:textId="133C1CDA" w:rsidR="00403C06" w:rsidRPr="00FC6E5C" w:rsidRDefault="00403C06" w:rsidP="0037546D">
            <w:pPr>
              <w:jc w:val="center"/>
            </w:pPr>
            <w:r w:rsidRPr="00FC6E5C">
              <w:rPr>
                <w:rFonts w:eastAsiaTheme="minorEastAsia" w:hint="eastAsia"/>
              </w:rPr>
              <w:t>1.5</w:t>
            </w:r>
          </w:p>
        </w:tc>
        <w:tc>
          <w:tcPr>
            <w:tcW w:w="543" w:type="pct"/>
            <w:tcBorders>
              <w:left w:val="single" w:sz="6" w:space="0" w:color="000000"/>
              <w:right w:val="single" w:sz="6" w:space="0" w:color="000000"/>
            </w:tcBorders>
            <w:vAlign w:val="center"/>
          </w:tcPr>
          <w:p w14:paraId="0512ED46" w14:textId="07356A12" w:rsidR="00403C06" w:rsidRPr="00FC6E5C" w:rsidRDefault="00403C06" w:rsidP="0037546D">
            <w:pPr>
              <w:jc w:val="center"/>
            </w:pPr>
            <w:r w:rsidRPr="00FC6E5C">
              <w:t>/</w:t>
            </w:r>
          </w:p>
        </w:tc>
        <w:tc>
          <w:tcPr>
            <w:tcW w:w="382" w:type="pct"/>
            <w:tcBorders>
              <w:left w:val="single" w:sz="6" w:space="0" w:color="000000"/>
              <w:right w:val="single" w:sz="6" w:space="0" w:color="000000"/>
            </w:tcBorders>
            <w:vAlign w:val="center"/>
          </w:tcPr>
          <w:p w14:paraId="42254AA8" w14:textId="77777777" w:rsidR="00403C06" w:rsidRPr="00FC6E5C" w:rsidRDefault="00403C06" w:rsidP="0037546D">
            <w:pPr>
              <w:jc w:val="center"/>
            </w:pPr>
            <w:r w:rsidRPr="00FC6E5C">
              <w:t>/</w:t>
            </w:r>
          </w:p>
        </w:tc>
        <w:tc>
          <w:tcPr>
            <w:tcW w:w="545" w:type="pct"/>
            <w:vMerge/>
            <w:tcBorders>
              <w:left w:val="single" w:sz="6" w:space="0" w:color="000000"/>
              <w:right w:val="single" w:sz="6" w:space="0" w:color="000000"/>
            </w:tcBorders>
            <w:vAlign w:val="center"/>
          </w:tcPr>
          <w:p w14:paraId="2BADD9A9" w14:textId="77777777" w:rsidR="00403C06" w:rsidRPr="0006628B" w:rsidRDefault="00403C06" w:rsidP="0037546D">
            <w:pPr>
              <w:jc w:val="center"/>
              <w:rPr>
                <w:highlight w:val="yellow"/>
              </w:rPr>
            </w:pPr>
          </w:p>
        </w:tc>
        <w:tc>
          <w:tcPr>
            <w:tcW w:w="910" w:type="pct"/>
            <w:vMerge/>
            <w:tcBorders>
              <w:left w:val="single" w:sz="6" w:space="0" w:color="000000"/>
            </w:tcBorders>
            <w:vAlign w:val="center"/>
          </w:tcPr>
          <w:p w14:paraId="4783FEF0" w14:textId="77777777" w:rsidR="00403C06" w:rsidRPr="0006628B" w:rsidRDefault="00403C06" w:rsidP="0037546D">
            <w:pPr>
              <w:jc w:val="center"/>
              <w:rPr>
                <w:highlight w:val="yellow"/>
              </w:rPr>
            </w:pPr>
          </w:p>
        </w:tc>
      </w:tr>
      <w:tr w:rsidR="00403C06" w:rsidRPr="0006628B" w14:paraId="7BAA8B3F" w14:textId="77777777" w:rsidTr="00D907B7">
        <w:trPr>
          <w:trHeight w:val="57"/>
          <w:jc w:val="center"/>
        </w:trPr>
        <w:tc>
          <w:tcPr>
            <w:tcW w:w="203" w:type="pct"/>
            <w:vMerge/>
            <w:tcBorders>
              <w:right w:val="single" w:sz="6" w:space="0" w:color="000000"/>
            </w:tcBorders>
            <w:vAlign w:val="center"/>
          </w:tcPr>
          <w:p w14:paraId="54CA66CB" w14:textId="77777777" w:rsidR="00403C06" w:rsidRPr="0006628B" w:rsidRDefault="00403C06" w:rsidP="0037546D">
            <w:pPr>
              <w:jc w:val="center"/>
              <w:rPr>
                <w:highlight w:val="yellow"/>
              </w:rPr>
            </w:pPr>
          </w:p>
        </w:tc>
        <w:tc>
          <w:tcPr>
            <w:tcW w:w="385" w:type="pct"/>
            <w:vMerge/>
            <w:tcBorders>
              <w:left w:val="single" w:sz="6" w:space="0" w:color="000000"/>
              <w:right w:val="single" w:sz="6" w:space="0" w:color="000000"/>
            </w:tcBorders>
            <w:vAlign w:val="center"/>
          </w:tcPr>
          <w:p w14:paraId="73D65DD9" w14:textId="77777777" w:rsidR="00403C06" w:rsidRPr="0006628B" w:rsidRDefault="00403C06" w:rsidP="0037546D">
            <w:pPr>
              <w:jc w:val="center"/>
              <w:rPr>
                <w:highlight w:val="yellow"/>
              </w:rPr>
            </w:pPr>
          </w:p>
        </w:tc>
        <w:tc>
          <w:tcPr>
            <w:tcW w:w="435" w:type="pct"/>
            <w:vMerge/>
            <w:tcBorders>
              <w:left w:val="single" w:sz="6" w:space="0" w:color="000000"/>
              <w:right w:val="single" w:sz="6" w:space="0" w:color="000000"/>
            </w:tcBorders>
            <w:vAlign w:val="center"/>
          </w:tcPr>
          <w:p w14:paraId="01DB4173" w14:textId="77777777" w:rsidR="00403C06" w:rsidRPr="0006628B" w:rsidRDefault="00403C06" w:rsidP="0037546D">
            <w:pPr>
              <w:jc w:val="center"/>
              <w:rPr>
                <w:highlight w:val="yellow"/>
              </w:rPr>
            </w:pPr>
          </w:p>
        </w:tc>
        <w:tc>
          <w:tcPr>
            <w:tcW w:w="552" w:type="pct"/>
            <w:vAlign w:val="center"/>
          </w:tcPr>
          <w:p w14:paraId="536A96BE" w14:textId="0081EDAC" w:rsidR="00403C06" w:rsidRPr="00FC6E5C" w:rsidRDefault="00403C06" w:rsidP="0037546D">
            <w:pPr>
              <w:jc w:val="center"/>
            </w:pPr>
            <w:r w:rsidRPr="00FC6E5C">
              <w:rPr>
                <w:rFonts w:ascii="宋体" w:hAnsi="宋体" w:cs="宋体" w:hint="eastAsia"/>
              </w:rPr>
              <w:t>总</w:t>
            </w:r>
            <w:r w:rsidRPr="00FC6E5C">
              <w:rPr>
                <w:rFonts w:hint="eastAsia"/>
              </w:rPr>
              <w:t>汞</w:t>
            </w:r>
          </w:p>
        </w:tc>
        <w:tc>
          <w:tcPr>
            <w:tcW w:w="502" w:type="pct"/>
            <w:vAlign w:val="center"/>
          </w:tcPr>
          <w:p w14:paraId="3B25D92F" w14:textId="74C934CC" w:rsidR="00403C06" w:rsidRPr="00FC6E5C" w:rsidRDefault="00403C06" w:rsidP="0037546D">
            <w:pPr>
              <w:jc w:val="center"/>
            </w:pPr>
            <w:r w:rsidRPr="00FC6E5C">
              <w:rPr>
                <w:rFonts w:eastAsiaTheme="minorEastAsia" w:hint="eastAsia"/>
              </w:rPr>
              <w:t>0.00645</w:t>
            </w:r>
          </w:p>
        </w:tc>
        <w:tc>
          <w:tcPr>
            <w:tcW w:w="543" w:type="pct"/>
            <w:vAlign w:val="center"/>
          </w:tcPr>
          <w:p w14:paraId="3609A89B" w14:textId="15655ACE" w:rsidR="00403C06" w:rsidRPr="00FC6E5C" w:rsidRDefault="00403C06" w:rsidP="0037546D">
            <w:pPr>
              <w:jc w:val="center"/>
            </w:pPr>
            <w:r w:rsidRPr="00FC6E5C">
              <w:rPr>
                <w:rFonts w:eastAsiaTheme="minorEastAsia" w:hint="eastAsia"/>
              </w:rPr>
              <w:t>0.05</w:t>
            </w:r>
          </w:p>
        </w:tc>
        <w:tc>
          <w:tcPr>
            <w:tcW w:w="543" w:type="pct"/>
            <w:tcBorders>
              <w:left w:val="single" w:sz="6" w:space="0" w:color="000000"/>
              <w:right w:val="single" w:sz="6" w:space="0" w:color="000000"/>
            </w:tcBorders>
            <w:vAlign w:val="center"/>
          </w:tcPr>
          <w:p w14:paraId="2B96158E" w14:textId="657D6453" w:rsidR="00403C06" w:rsidRPr="00FC6E5C" w:rsidRDefault="00403C06" w:rsidP="0037546D">
            <w:pPr>
              <w:jc w:val="center"/>
            </w:pPr>
            <w:r w:rsidRPr="00FC6E5C">
              <w:t>/</w:t>
            </w:r>
          </w:p>
        </w:tc>
        <w:tc>
          <w:tcPr>
            <w:tcW w:w="382" w:type="pct"/>
            <w:tcBorders>
              <w:left w:val="single" w:sz="6" w:space="0" w:color="000000"/>
              <w:right w:val="single" w:sz="6" w:space="0" w:color="000000"/>
            </w:tcBorders>
            <w:vAlign w:val="center"/>
          </w:tcPr>
          <w:p w14:paraId="37C5BADC" w14:textId="77777777" w:rsidR="00403C06" w:rsidRPr="00FC6E5C" w:rsidRDefault="00403C06" w:rsidP="0037546D">
            <w:pPr>
              <w:jc w:val="center"/>
            </w:pPr>
            <w:r w:rsidRPr="00FC6E5C">
              <w:t>/</w:t>
            </w:r>
          </w:p>
        </w:tc>
        <w:tc>
          <w:tcPr>
            <w:tcW w:w="545" w:type="pct"/>
            <w:vMerge/>
            <w:tcBorders>
              <w:left w:val="single" w:sz="6" w:space="0" w:color="000000"/>
              <w:right w:val="single" w:sz="6" w:space="0" w:color="000000"/>
            </w:tcBorders>
            <w:vAlign w:val="center"/>
          </w:tcPr>
          <w:p w14:paraId="379E4E55" w14:textId="77777777" w:rsidR="00403C06" w:rsidRPr="0006628B" w:rsidRDefault="00403C06" w:rsidP="0037546D">
            <w:pPr>
              <w:jc w:val="center"/>
              <w:rPr>
                <w:highlight w:val="yellow"/>
              </w:rPr>
            </w:pPr>
          </w:p>
        </w:tc>
        <w:tc>
          <w:tcPr>
            <w:tcW w:w="910" w:type="pct"/>
            <w:vMerge/>
            <w:tcBorders>
              <w:left w:val="single" w:sz="6" w:space="0" w:color="000000"/>
            </w:tcBorders>
            <w:vAlign w:val="center"/>
          </w:tcPr>
          <w:p w14:paraId="4F2FE680" w14:textId="77777777" w:rsidR="00403C06" w:rsidRPr="0006628B" w:rsidRDefault="00403C06" w:rsidP="0037546D">
            <w:pPr>
              <w:jc w:val="center"/>
              <w:rPr>
                <w:highlight w:val="yellow"/>
              </w:rPr>
            </w:pPr>
          </w:p>
        </w:tc>
      </w:tr>
      <w:tr w:rsidR="00FC6E5C" w:rsidRPr="0006628B" w14:paraId="7C31AA2B" w14:textId="77777777" w:rsidTr="00FC6E5C">
        <w:trPr>
          <w:trHeight w:val="57"/>
          <w:jc w:val="center"/>
        </w:trPr>
        <w:tc>
          <w:tcPr>
            <w:tcW w:w="203" w:type="pct"/>
            <w:vMerge/>
            <w:tcBorders>
              <w:right w:val="single" w:sz="6" w:space="0" w:color="000000"/>
            </w:tcBorders>
            <w:vAlign w:val="center"/>
          </w:tcPr>
          <w:p w14:paraId="37B692B9" w14:textId="77777777" w:rsidR="00FC6E5C" w:rsidRPr="0006628B" w:rsidRDefault="00FC6E5C" w:rsidP="00FC6E5C">
            <w:pPr>
              <w:jc w:val="center"/>
              <w:rPr>
                <w:highlight w:val="yellow"/>
              </w:rPr>
            </w:pPr>
          </w:p>
        </w:tc>
        <w:tc>
          <w:tcPr>
            <w:tcW w:w="385" w:type="pct"/>
            <w:vMerge/>
            <w:tcBorders>
              <w:left w:val="single" w:sz="6" w:space="0" w:color="000000"/>
              <w:right w:val="single" w:sz="6" w:space="0" w:color="000000"/>
            </w:tcBorders>
            <w:vAlign w:val="center"/>
          </w:tcPr>
          <w:p w14:paraId="7227A2F6" w14:textId="77777777" w:rsidR="00FC6E5C" w:rsidRPr="0006628B" w:rsidRDefault="00FC6E5C" w:rsidP="00FC6E5C">
            <w:pPr>
              <w:jc w:val="center"/>
              <w:rPr>
                <w:highlight w:val="yellow"/>
              </w:rPr>
            </w:pPr>
          </w:p>
        </w:tc>
        <w:tc>
          <w:tcPr>
            <w:tcW w:w="435" w:type="pct"/>
            <w:vMerge/>
            <w:tcBorders>
              <w:left w:val="single" w:sz="6" w:space="0" w:color="000000"/>
              <w:right w:val="single" w:sz="6" w:space="0" w:color="000000"/>
            </w:tcBorders>
            <w:vAlign w:val="center"/>
          </w:tcPr>
          <w:p w14:paraId="75A3BCD0" w14:textId="77777777" w:rsidR="00FC6E5C" w:rsidRPr="0006628B" w:rsidRDefault="00FC6E5C" w:rsidP="00FC6E5C">
            <w:pPr>
              <w:jc w:val="center"/>
              <w:rPr>
                <w:highlight w:val="yellow"/>
              </w:rPr>
            </w:pPr>
          </w:p>
        </w:tc>
        <w:tc>
          <w:tcPr>
            <w:tcW w:w="552" w:type="pct"/>
            <w:tcBorders>
              <w:bottom w:val="single" w:sz="2" w:space="0" w:color="000000"/>
            </w:tcBorders>
            <w:vAlign w:val="center"/>
          </w:tcPr>
          <w:p w14:paraId="258F64BC" w14:textId="13878819" w:rsidR="00FC6E5C" w:rsidRPr="00FC6E5C" w:rsidRDefault="00FC6E5C" w:rsidP="00FC6E5C">
            <w:pPr>
              <w:jc w:val="center"/>
            </w:pPr>
            <w:r w:rsidRPr="00FC6E5C">
              <w:rPr>
                <w:rFonts w:ascii="宋体" w:hAnsi="宋体" w:cs="宋体" w:hint="eastAsia"/>
              </w:rPr>
              <w:t>总</w:t>
            </w:r>
            <w:r w:rsidRPr="00FC6E5C">
              <w:rPr>
                <w:rFonts w:hint="eastAsia"/>
              </w:rPr>
              <w:t>铍</w:t>
            </w:r>
          </w:p>
        </w:tc>
        <w:tc>
          <w:tcPr>
            <w:tcW w:w="502" w:type="pct"/>
            <w:tcBorders>
              <w:bottom w:val="single" w:sz="4" w:space="0" w:color="000000"/>
            </w:tcBorders>
            <w:vAlign w:val="center"/>
          </w:tcPr>
          <w:p w14:paraId="09184CCD" w14:textId="65FB75DC" w:rsidR="00FC6E5C" w:rsidRPr="00FC6E5C" w:rsidRDefault="00FC6E5C" w:rsidP="00FC6E5C">
            <w:pPr>
              <w:jc w:val="center"/>
            </w:pPr>
            <w:r w:rsidRPr="00FC6E5C">
              <w:rPr>
                <w:rFonts w:eastAsiaTheme="minorEastAsia" w:hint="eastAsia"/>
              </w:rPr>
              <w:t>0.0006</w:t>
            </w:r>
          </w:p>
        </w:tc>
        <w:tc>
          <w:tcPr>
            <w:tcW w:w="543" w:type="pct"/>
            <w:tcBorders>
              <w:bottom w:val="single" w:sz="4" w:space="0" w:color="000000"/>
            </w:tcBorders>
            <w:vAlign w:val="center"/>
          </w:tcPr>
          <w:p w14:paraId="04471969" w14:textId="6C595877" w:rsidR="00FC6E5C" w:rsidRPr="00FC6E5C" w:rsidRDefault="00FC6E5C" w:rsidP="00FC6E5C">
            <w:pPr>
              <w:jc w:val="center"/>
            </w:pPr>
            <w:r w:rsidRPr="00FC6E5C">
              <w:rPr>
                <w:rFonts w:eastAsiaTheme="minorEastAsia" w:hint="eastAsia"/>
              </w:rPr>
              <w:t>0.02</w:t>
            </w:r>
          </w:p>
        </w:tc>
        <w:tc>
          <w:tcPr>
            <w:tcW w:w="543" w:type="pct"/>
            <w:tcBorders>
              <w:left w:val="single" w:sz="6" w:space="0" w:color="000000"/>
              <w:right w:val="single" w:sz="6" w:space="0" w:color="000000"/>
            </w:tcBorders>
            <w:vAlign w:val="center"/>
          </w:tcPr>
          <w:p w14:paraId="36A688D1" w14:textId="2015A409" w:rsidR="00FC6E5C" w:rsidRPr="00FC6E5C" w:rsidRDefault="00FC6E5C" w:rsidP="00FC6E5C">
            <w:pPr>
              <w:jc w:val="center"/>
            </w:pPr>
            <w:r w:rsidRPr="00FC6E5C">
              <w:t>/</w:t>
            </w:r>
          </w:p>
        </w:tc>
        <w:tc>
          <w:tcPr>
            <w:tcW w:w="382" w:type="pct"/>
            <w:tcBorders>
              <w:left w:val="single" w:sz="6" w:space="0" w:color="000000"/>
              <w:right w:val="single" w:sz="6" w:space="0" w:color="000000"/>
            </w:tcBorders>
            <w:vAlign w:val="center"/>
          </w:tcPr>
          <w:p w14:paraId="2DDB9231" w14:textId="7942A649" w:rsidR="00FC6E5C" w:rsidRPr="00FC6E5C" w:rsidRDefault="00FC6E5C" w:rsidP="00FC6E5C">
            <w:pPr>
              <w:jc w:val="center"/>
            </w:pPr>
            <w:r w:rsidRPr="00FC6E5C">
              <w:t>/</w:t>
            </w:r>
          </w:p>
        </w:tc>
        <w:tc>
          <w:tcPr>
            <w:tcW w:w="545" w:type="pct"/>
            <w:vMerge/>
            <w:tcBorders>
              <w:left w:val="single" w:sz="6" w:space="0" w:color="000000"/>
              <w:right w:val="single" w:sz="6" w:space="0" w:color="000000"/>
            </w:tcBorders>
            <w:vAlign w:val="center"/>
          </w:tcPr>
          <w:p w14:paraId="5B843A97" w14:textId="77777777" w:rsidR="00FC6E5C" w:rsidRPr="0006628B" w:rsidRDefault="00FC6E5C" w:rsidP="00FC6E5C">
            <w:pPr>
              <w:jc w:val="center"/>
              <w:rPr>
                <w:highlight w:val="yellow"/>
              </w:rPr>
            </w:pPr>
          </w:p>
        </w:tc>
        <w:tc>
          <w:tcPr>
            <w:tcW w:w="910" w:type="pct"/>
            <w:vMerge/>
            <w:tcBorders>
              <w:left w:val="single" w:sz="6" w:space="0" w:color="000000"/>
            </w:tcBorders>
            <w:vAlign w:val="center"/>
          </w:tcPr>
          <w:p w14:paraId="7AC8960F" w14:textId="77777777" w:rsidR="00FC6E5C" w:rsidRPr="0006628B" w:rsidRDefault="00FC6E5C" w:rsidP="00FC6E5C">
            <w:pPr>
              <w:jc w:val="center"/>
              <w:rPr>
                <w:highlight w:val="yellow"/>
              </w:rPr>
            </w:pPr>
          </w:p>
        </w:tc>
      </w:tr>
      <w:tr w:rsidR="00FC6E5C" w:rsidRPr="0006628B" w14:paraId="40EDF4EE" w14:textId="77777777" w:rsidTr="00FC6E5C">
        <w:trPr>
          <w:trHeight w:val="57"/>
          <w:jc w:val="center"/>
        </w:trPr>
        <w:tc>
          <w:tcPr>
            <w:tcW w:w="203" w:type="pct"/>
            <w:vMerge/>
            <w:tcBorders>
              <w:right w:val="single" w:sz="6" w:space="0" w:color="000000"/>
            </w:tcBorders>
            <w:vAlign w:val="center"/>
          </w:tcPr>
          <w:p w14:paraId="7BCB7644" w14:textId="77777777" w:rsidR="00FC6E5C" w:rsidRPr="0006628B" w:rsidRDefault="00FC6E5C" w:rsidP="00FC6E5C">
            <w:pPr>
              <w:jc w:val="center"/>
              <w:rPr>
                <w:highlight w:val="yellow"/>
              </w:rPr>
            </w:pPr>
          </w:p>
        </w:tc>
        <w:tc>
          <w:tcPr>
            <w:tcW w:w="385" w:type="pct"/>
            <w:vMerge/>
            <w:tcBorders>
              <w:left w:val="single" w:sz="6" w:space="0" w:color="000000"/>
              <w:right w:val="single" w:sz="6" w:space="0" w:color="000000"/>
            </w:tcBorders>
            <w:vAlign w:val="center"/>
          </w:tcPr>
          <w:p w14:paraId="478509F6" w14:textId="77777777" w:rsidR="00FC6E5C" w:rsidRPr="0006628B" w:rsidRDefault="00FC6E5C" w:rsidP="00FC6E5C">
            <w:pPr>
              <w:jc w:val="center"/>
              <w:rPr>
                <w:highlight w:val="yellow"/>
              </w:rPr>
            </w:pPr>
          </w:p>
        </w:tc>
        <w:tc>
          <w:tcPr>
            <w:tcW w:w="435" w:type="pct"/>
            <w:vMerge/>
            <w:tcBorders>
              <w:left w:val="single" w:sz="6" w:space="0" w:color="000000"/>
              <w:right w:val="single" w:sz="6" w:space="0" w:color="000000"/>
            </w:tcBorders>
            <w:vAlign w:val="center"/>
          </w:tcPr>
          <w:p w14:paraId="55DBF490" w14:textId="77777777" w:rsidR="00FC6E5C" w:rsidRPr="0006628B" w:rsidRDefault="00FC6E5C" w:rsidP="00FC6E5C">
            <w:pPr>
              <w:jc w:val="center"/>
              <w:rPr>
                <w:highlight w:val="yellow"/>
              </w:rPr>
            </w:pPr>
          </w:p>
        </w:tc>
        <w:tc>
          <w:tcPr>
            <w:tcW w:w="552" w:type="pct"/>
            <w:tcBorders>
              <w:top w:val="single" w:sz="2" w:space="0" w:color="000000"/>
              <w:left w:val="nil"/>
              <w:bottom w:val="single" w:sz="4" w:space="0" w:color="000000"/>
              <w:right w:val="single" w:sz="4" w:space="0" w:color="000000"/>
            </w:tcBorders>
            <w:vAlign w:val="center"/>
          </w:tcPr>
          <w:p w14:paraId="72421C1D" w14:textId="7EA1E0B3" w:rsidR="00FC6E5C" w:rsidRPr="00D00795" w:rsidRDefault="00FC6E5C" w:rsidP="00FC6E5C">
            <w:pPr>
              <w:jc w:val="center"/>
            </w:pPr>
            <w:r w:rsidRPr="00D00795">
              <w:rPr>
                <w:rFonts w:hint="eastAsia"/>
                <w:sz w:val="22"/>
                <w:szCs w:val="22"/>
              </w:rPr>
              <w:t>pH</w:t>
            </w:r>
          </w:p>
        </w:tc>
        <w:tc>
          <w:tcPr>
            <w:tcW w:w="502" w:type="pct"/>
            <w:tcBorders>
              <w:top w:val="single" w:sz="4" w:space="0" w:color="000000"/>
              <w:left w:val="single" w:sz="4" w:space="0" w:color="000000"/>
              <w:bottom w:val="single" w:sz="4" w:space="0" w:color="000000"/>
              <w:right w:val="single" w:sz="4" w:space="0" w:color="000000"/>
            </w:tcBorders>
            <w:vAlign w:val="center"/>
          </w:tcPr>
          <w:p w14:paraId="6D3D82A3" w14:textId="70A3FCD5" w:rsidR="00FC6E5C" w:rsidRPr="00D00795" w:rsidRDefault="00FC6E5C" w:rsidP="00FC6E5C">
            <w:pPr>
              <w:jc w:val="center"/>
              <w:rPr>
                <w:rFonts w:eastAsiaTheme="minorEastAsia"/>
              </w:rPr>
            </w:pPr>
            <w:r w:rsidRPr="00D00795">
              <w:rPr>
                <w:rFonts w:hint="eastAsia"/>
                <w:sz w:val="22"/>
                <w:szCs w:val="22"/>
              </w:rPr>
              <w:t xml:space="preserve">7.50 </w:t>
            </w:r>
          </w:p>
        </w:tc>
        <w:tc>
          <w:tcPr>
            <w:tcW w:w="543" w:type="pct"/>
            <w:tcBorders>
              <w:top w:val="single" w:sz="4" w:space="0" w:color="000000"/>
              <w:left w:val="single" w:sz="4" w:space="0" w:color="000000"/>
              <w:bottom w:val="single" w:sz="4" w:space="0" w:color="000000"/>
              <w:right w:val="single" w:sz="4" w:space="0" w:color="000000"/>
            </w:tcBorders>
            <w:vAlign w:val="center"/>
          </w:tcPr>
          <w:p w14:paraId="6BC99C07" w14:textId="4BDB36D1" w:rsidR="00FC6E5C" w:rsidRPr="00FC6E5C" w:rsidRDefault="00FC6E5C" w:rsidP="00FC6E5C">
            <w:pPr>
              <w:jc w:val="center"/>
              <w:rPr>
                <w:rFonts w:eastAsiaTheme="minorEastAsia"/>
              </w:rPr>
            </w:pPr>
            <w:r w:rsidRPr="00FC6E5C">
              <w:rPr>
                <w:color w:val="000000"/>
              </w:rPr>
              <w:t>6~9</w:t>
            </w:r>
          </w:p>
        </w:tc>
        <w:tc>
          <w:tcPr>
            <w:tcW w:w="543" w:type="pct"/>
            <w:tcBorders>
              <w:left w:val="single" w:sz="4" w:space="0" w:color="000000"/>
              <w:right w:val="single" w:sz="6" w:space="0" w:color="000000"/>
            </w:tcBorders>
            <w:vAlign w:val="center"/>
          </w:tcPr>
          <w:p w14:paraId="30739947" w14:textId="0CF2477E" w:rsidR="00FC6E5C" w:rsidRPr="00FC6E5C" w:rsidRDefault="00FC6E5C" w:rsidP="00FC6E5C">
            <w:pPr>
              <w:jc w:val="center"/>
            </w:pPr>
            <w:r w:rsidRPr="00FC6E5C">
              <w:t>/</w:t>
            </w:r>
          </w:p>
        </w:tc>
        <w:tc>
          <w:tcPr>
            <w:tcW w:w="382" w:type="pct"/>
            <w:tcBorders>
              <w:left w:val="single" w:sz="6" w:space="0" w:color="000000"/>
              <w:right w:val="single" w:sz="6" w:space="0" w:color="000000"/>
            </w:tcBorders>
            <w:vAlign w:val="center"/>
          </w:tcPr>
          <w:p w14:paraId="5DCBFF73" w14:textId="45AD61BF" w:rsidR="00FC6E5C" w:rsidRPr="00FC6E5C" w:rsidRDefault="00FC6E5C" w:rsidP="00FC6E5C">
            <w:pPr>
              <w:jc w:val="center"/>
            </w:pPr>
            <w:r w:rsidRPr="00FC6E5C">
              <w:t>/</w:t>
            </w:r>
          </w:p>
        </w:tc>
        <w:tc>
          <w:tcPr>
            <w:tcW w:w="545" w:type="pct"/>
            <w:vMerge/>
            <w:tcBorders>
              <w:left w:val="single" w:sz="6" w:space="0" w:color="000000"/>
              <w:right w:val="single" w:sz="6" w:space="0" w:color="000000"/>
            </w:tcBorders>
            <w:vAlign w:val="center"/>
          </w:tcPr>
          <w:p w14:paraId="7613C3A1" w14:textId="77777777" w:rsidR="00FC6E5C" w:rsidRPr="0006628B" w:rsidRDefault="00FC6E5C" w:rsidP="00FC6E5C">
            <w:pPr>
              <w:jc w:val="center"/>
              <w:rPr>
                <w:highlight w:val="yellow"/>
              </w:rPr>
            </w:pPr>
          </w:p>
        </w:tc>
        <w:tc>
          <w:tcPr>
            <w:tcW w:w="910" w:type="pct"/>
            <w:vMerge/>
            <w:tcBorders>
              <w:left w:val="single" w:sz="6" w:space="0" w:color="000000"/>
            </w:tcBorders>
            <w:vAlign w:val="center"/>
          </w:tcPr>
          <w:p w14:paraId="6F44E40F" w14:textId="77777777" w:rsidR="00FC6E5C" w:rsidRPr="0006628B" w:rsidRDefault="00FC6E5C" w:rsidP="00FC6E5C">
            <w:pPr>
              <w:jc w:val="center"/>
              <w:rPr>
                <w:highlight w:val="yellow"/>
              </w:rPr>
            </w:pPr>
          </w:p>
        </w:tc>
      </w:tr>
      <w:tr w:rsidR="00FC6E5C" w:rsidRPr="0006628B" w14:paraId="2924F011" w14:textId="77777777" w:rsidTr="00FC6E5C">
        <w:trPr>
          <w:trHeight w:val="57"/>
          <w:jc w:val="center"/>
        </w:trPr>
        <w:tc>
          <w:tcPr>
            <w:tcW w:w="203" w:type="pct"/>
            <w:vMerge/>
            <w:tcBorders>
              <w:right w:val="single" w:sz="6" w:space="0" w:color="000000"/>
            </w:tcBorders>
            <w:vAlign w:val="center"/>
          </w:tcPr>
          <w:p w14:paraId="03DA3471" w14:textId="77777777" w:rsidR="00FC6E5C" w:rsidRPr="0006628B" w:rsidRDefault="00FC6E5C" w:rsidP="00FC6E5C">
            <w:pPr>
              <w:jc w:val="center"/>
              <w:rPr>
                <w:highlight w:val="yellow"/>
              </w:rPr>
            </w:pPr>
          </w:p>
        </w:tc>
        <w:tc>
          <w:tcPr>
            <w:tcW w:w="385" w:type="pct"/>
            <w:vMerge/>
            <w:tcBorders>
              <w:left w:val="single" w:sz="6" w:space="0" w:color="000000"/>
              <w:right w:val="single" w:sz="6" w:space="0" w:color="000000"/>
            </w:tcBorders>
            <w:vAlign w:val="center"/>
          </w:tcPr>
          <w:p w14:paraId="651A8EB1" w14:textId="77777777" w:rsidR="00FC6E5C" w:rsidRPr="0006628B" w:rsidRDefault="00FC6E5C" w:rsidP="00FC6E5C">
            <w:pPr>
              <w:jc w:val="center"/>
              <w:rPr>
                <w:highlight w:val="yellow"/>
              </w:rPr>
            </w:pPr>
          </w:p>
        </w:tc>
        <w:tc>
          <w:tcPr>
            <w:tcW w:w="435" w:type="pct"/>
            <w:vMerge/>
            <w:tcBorders>
              <w:left w:val="single" w:sz="6" w:space="0" w:color="000000"/>
              <w:right w:val="single" w:sz="6" w:space="0" w:color="000000"/>
            </w:tcBorders>
            <w:vAlign w:val="center"/>
          </w:tcPr>
          <w:p w14:paraId="46E10C9E" w14:textId="77777777" w:rsidR="00FC6E5C" w:rsidRPr="0006628B" w:rsidRDefault="00FC6E5C" w:rsidP="00FC6E5C">
            <w:pPr>
              <w:jc w:val="center"/>
              <w:rPr>
                <w:highlight w:val="yellow"/>
              </w:rPr>
            </w:pPr>
          </w:p>
        </w:tc>
        <w:tc>
          <w:tcPr>
            <w:tcW w:w="552" w:type="pct"/>
            <w:tcBorders>
              <w:top w:val="single" w:sz="4" w:space="0" w:color="000000"/>
              <w:left w:val="nil"/>
              <w:bottom w:val="single" w:sz="4" w:space="0" w:color="000000"/>
              <w:right w:val="single" w:sz="4" w:space="0" w:color="000000"/>
            </w:tcBorders>
            <w:vAlign w:val="center"/>
          </w:tcPr>
          <w:p w14:paraId="42ADEDF4" w14:textId="732F9AF8" w:rsidR="00FC6E5C" w:rsidRPr="00D00795" w:rsidRDefault="00FC6E5C" w:rsidP="00FC6E5C">
            <w:pPr>
              <w:jc w:val="center"/>
            </w:pPr>
            <w:r w:rsidRPr="00D00795">
              <w:rPr>
                <w:rFonts w:hint="eastAsia"/>
                <w:sz w:val="22"/>
                <w:szCs w:val="22"/>
              </w:rPr>
              <w:t>悬浮物</w:t>
            </w:r>
          </w:p>
        </w:tc>
        <w:tc>
          <w:tcPr>
            <w:tcW w:w="502" w:type="pct"/>
            <w:tcBorders>
              <w:top w:val="single" w:sz="4" w:space="0" w:color="000000"/>
              <w:left w:val="single" w:sz="4" w:space="0" w:color="000000"/>
              <w:bottom w:val="single" w:sz="4" w:space="0" w:color="000000"/>
              <w:right w:val="single" w:sz="4" w:space="0" w:color="000000"/>
            </w:tcBorders>
            <w:vAlign w:val="center"/>
          </w:tcPr>
          <w:p w14:paraId="258E7A57" w14:textId="5E277448" w:rsidR="00FC6E5C" w:rsidRPr="00D00795" w:rsidRDefault="00FC6E5C" w:rsidP="00FC6E5C">
            <w:pPr>
              <w:jc w:val="center"/>
              <w:rPr>
                <w:rFonts w:eastAsiaTheme="minorEastAsia"/>
              </w:rPr>
            </w:pPr>
            <w:r w:rsidRPr="00D00795">
              <w:rPr>
                <w:rFonts w:hint="eastAsia"/>
                <w:sz w:val="22"/>
                <w:szCs w:val="22"/>
              </w:rPr>
              <w:t xml:space="preserve">7.00 </w:t>
            </w:r>
          </w:p>
        </w:tc>
        <w:tc>
          <w:tcPr>
            <w:tcW w:w="543" w:type="pct"/>
            <w:tcBorders>
              <w:top w:val="single" w:sz="4" w:space="0" w:color="000000"/>
              <w:left w:val="single" w:sz="4" w:space="0" w:color="000000"/>
              <w:bottom w:val="single" w:sz="4" w:space="0" w:color="000000"/>
              <w:right w:val="single" w:sz="4" w:space="0" w:color="000000"/>
            </w:tcBorders>
            <w:vAlign w:val="center"/>
          </w:tcPr>
          <w:p w14:paraId="65F82722" w14:textId="33D2C1AC" w:rsidR="00FC6E5C" w:rsidRPr="00FC6E5C" w:rsidRDefault="00FC6E5C" w:rsidP="00FC6E5C">
            <w:pPr>
              <w:jc w:val="center"/>
              <w:rPr>
                <w:rFonts w:eastAsiaTheme="minorEastAsia"/>
              </w:rPr>
            </w:pPr>
            <w:r w:rsidRPr="00FC6E5C">
              <w:rPr>
                <w:color w:val="000000"/>
              </w:rPr>
              <w:t>30</w:t>
            </w:r>
          </w:p>
        </w:tc>
        <w:tc>
          <w:tcPr>
            <w:tcW w:w="543" w:type="pct"/>
            <w:tcBorders>
              <w:left w:val="single" w:sz="4" w:space="0" w:color="000000"/>
              <w:right w:val="single" w:sz="6" w:space="0" w:color="000000"/>
            </w:tcBorders>
            <w:vAlign w:val="center"/>
          </w:tcPr>
          <w:p w14:paraId="7C0220C9" w14:textId="278BC656" w:rsidR="00FC6E5C" w:rsidRPr="00FC6E5C" w:rsidRDefault="00FC6E5C" w:rsidP="00FC6E5C">
            <w:pPr>
              <w:jc w:val="center"/>
            </w:pPr>
            <w:r w:rsidRPr="00FC6E5C">
              <w:t>/</w:t>
            </w:r>
          </w:p>
        </w:tc>
        <w:tc>
          <w:tcPr>
            <w:tcW w:w="382" w:type="pct"/>
            <w:tcBorders>
              <w:left w:val="single" w:sz="6" w:space="0" w:color="000000"/>
              <w:right w:val="single" w:sz="6" w:space="0" w:color="000000"/>
            </w:tcBorders>
            <w:vAlign w:val="center"/>
          </w:tcPr>
          <w:p w14:paraId="78B0AC43" w14:textId="3844A4F0" w:rsidR="00FC6E5C" w:rsidRPr="00FC6E5C" w:rsidRDefault="00FC6E5C" w:rsidP="00FC6E5C">
            <w:pPr>
              <w:jc w:val="center"/>
            </w:pPr>
            <w:r w:rsidRPr="00FC6E5C">
              <w:t>/</w:t>
            </w:r>
          </w:p>
        </w:tc>
        <w:tc>
          <w:tcPr>
            <w:tcW w:w="545" w:type="pct"/>
            <w:vMerge/>
            <w:tcBorders>
              <w:left w:val="single" w:sz="6" w:space="0" w:color="000000"/>
              <w:right w:val="single" w:sz="6" w:space="0" w:color="000000"/>
            </w:tcBorders>
            <w:vAlign w:val="center"/>
          </w:tcPr>
          <w:p w14:paraId="2CCD8040" w14:textId="77777777" w:rsidR="00FC6E5C" w:rsidRPr="0006628B" w:rsidRDefault="00FC6E5C" w:rsidP="00FC6E5C">
            <w:pPr>
              <w:jc w:val="center"/>
              <w:rPr>
                <w:highlight w:val="yellow"/>
              </w:rPr>
            </w:pPr>
          </w:p>
        </w:tc>
        <w:tc>
          <w:tcPr>
            <w:tcW w:w="910" w:type="pct"/>
            <w:vMerge/>
            <w:tcBorders>
              <w:left w:val="single" w:sz="6" w:space="0" w:color="000000"/>
            </w:tcBorders>
            <w:vAlign w:val="center"/>
          </w:tcPr>
          <w:p w14:paraId="62BDDF1B" w14:textId="77777777" w:rsidR="00FC6E5C" w:rsidRPr="0006628B" w:rsidRDefault="00FC6E5C" w:rsidP="00FC6E5C">
            <w:pPr>
              <w:jc w:val="center"/>
              <w:rPr>
                <w:highlight w:val="yellow"/>
              </w:rPr>
            </w:pPr>
          </w:p>
        </w:tc>
      </w:tr>
      <w:tr w:rsidR="00FC6E5C" w:rsidRPr="0006628B" w14:paraId="34F1E808" w14:textId="77777777" w:rsidTr="00FC6E5C">
        <w:trPr>
          <w:trHeight w:val="57"/>
          <w:jc w:val="center"/>
        </w:trPr>
        <w:tc>
          <w:tcPr>
            <w:tcW w:w="203" w:type="pct"/>
            <w:vMerge/>
            <w:tcBorders>
              <w:right w:val="single" w:sz="6" w:space="0" w:color="000000"/>
            </w:tcBorders>
            <w:vAlign w:val="center"/>
          </w:tcPr>
          <w:p w14:paraId="091A8D2D" w14:textId="77777777" w:rsidR="00FC6E5C" w:rsidRPr="0006628B" w:rsidRDefault="00FC6E5C" w:rsidP="00FC6E5C">
            <w:pPr>
              <w:jc w:val="center"/>
              <w:rPr>
                <w:highlight w:val="yellow"/>
              </w:rPr>
            </w:pPr>
          </w:p>
        </w:tc>
        <w:tc>
          <w:tcPr>
            <w:tcW w:w="385" w:type="pct"/>
            <w:vMerge/>
            <w:tcBorders>
              <w:left w:val="single" w:sz="6" w:space="0" w:color="000000"/>
              <w:right w:val="single" w:sz="6" w:space="0" w:color="000000"/>
            </w:tcBorders>
            <w:vAlign w:val="center"/>
          </w:tcPr>
          <w:p w14:paraId="5AA6B862" w14:textId="77777777" w:rsidR="00FC6E5C" w:rsidRPr="0006628B" w:rsidRDefault="00FC6E5C" w:rsidP="00FC6E5C">
            <w:pPr>
              <w:jc w:val="center"/>
              <w:rPr>
                <w:highlight w:val="yellow"/>
              </w:rPr>
            </w:pPr>
          </w:p>
        </w:tc>
        <w:tc>
          <w:tcPr>
            <w:tcW w:w="435" w:type="pct"/>
            <w:vMerge/>
            <w:tcBorders>
              <w:left w:val="single" w:sz="6" w:space="0" w:color="000000"/>
              <w:right w:val="single" w:sz="6" w:space="0" w:color="000000"/>
            </w:tcBorders>
            <w:vAlign w:val="center"/>
          </w:tcPr>
          <w:p w14:paraId="48FC7AEA" w14:textId="77777777" w:rsidR="00FC6E5C" w:rsidRPr="0006628B" w:rsidRDefault="00FC6E5C" w:rsidP="00FC6E5C">
            <w:pPr>
              <w:jc w:val="center"/>
              <w:rPr>
                <w:highlight w:val="yellow"/>
              </w:rPr>
            </w:pPr>
          </w:p>
        </w:tc>
        <w:tc>
          <w:tcPr>
            <w:tcW w:w="552" w:type="pct"/>
            <w:tcBorders>
              <w:top w:val="single" w:sz="4" w:space="0" w:color="000000"/>
              <w:left w:val="nil"/>
              <w:bottom w:val="single" w:sz="4" w:space="0" w:color="000000"/>
              <w:right w:val="single" w:sz="4" w:space="0" w:color="000000"/>
            </w:tcBorders>
            <w:vAlign w:val="center"/>
          </w:tcPr>
          <w:p w14:paraId="190451C1" w14:textId="670D1F0B" w:rsidR="00FC6E5C" w:rsidRPr="00D00795" w:rsidRDefault="00FC6E5C" w:rsidP="00FC6E5C">
            <w:pPr>
              <w:jc w:val="center"/>
            </w:pPr>
            <w:r w:rsidRPr="00D00795">
              <w:rPr>
                <w:rFonts w:hint="eastAsia"/>
                <w:sz w:val="22"/>
                <w:szCs w:val="22"/>
              </w:rPr>
              <w:t>浊度</w:t>
            </w:r>
          </w:p>
        </w:tc>
        <w:tc>
          <w:tcPr>
            <w:tcW w:w="502" w:type="pct"/>
            <w:tcBorders>
              <w:top w:val="single" w:sz="4" w:space="0" w:color="000000"/>
              <w:left w:val="single" w:sz="4" w:space="0" w:color="000000"/>
              <w:bottom w:val="single" w:sz="4" w:space="0" w:color="000000"/>
              <w:right w:val="single" w:sz="4" w:space="0" w:color="000000"/>
            </w:tcBorders>
            <w:vAlign w:val="center"/>
          </w:tcPr>
          <w:p w14:paraId="55C11E6C" w14:textId="2AA4E691" w:rsidR="00FC6E5C" w:rsidRPr="00D00795" w:rsidRDefault="00FC6E5C" w:rsidP="00FC6E5C">
            <w:pPr>
              <w:jc w:val="center"/>
              <w:rPr>
                <w:rFonts w:eastAsiaTheme="minorEastAsia"/>
              </w:rPr>
            </w:pPr>
            <w:r w:rsidRPr="00D00795">
              <w:t>1L</w:t>
            </w:r>
          </w:p>
        </w:tc>
        <w:tc>
          <w:tcPr>
            <w:tcW w:w="543" w:type="pct"/>
            <w:tcBorders>
              <w:top w:val="single" w:sz="4" w:space="0" w:color="000000"/>
              <w:left w:val="single" w:sz="4" w:space="0" w:color="000000"/>
              <w:bottom w:val="single" w:sz="4" w:space="0" w:color="000000"/>
              <w:right w:val="single" w:sz="4" w:space="0" w:color="000000"/>
            </w:tcBorders>
            <w:vAlign w:val="center"/>
          </w:tcPr>
          <w:p w14:paraId="6CB8EFBF" w14:textId="375CC3D8" w:rsidR="00FC6E5C" w:rsidRPr="00FC6E5C" w:rsidRDefault="00FC6E5C" w:rsidP="00FC6E5C">
            <w:pPr>
              <w:jc w:val="center"/>
              <w:rPr>
                <w:rFonts w:eastAsiaTheme="minorEastAsia"/>
              </w:rPr>
            </w:pPr>
            <w:r w:rsidRPr="00FC6E5C">
              <w:rPr>
                <w:color w:val="000000"/>
              </w:rPr>
              <w:t>5</w:t>
            </w:r>
          </w:p>
        </w:tc>
        <w:tc>
          <w:tcPr>
            <w:tcW w:w="543" w:type="pct"/>
            <w:tcBorders>
              <w:left w:val="single" w:sz="4" w:space="0" w:color="000000"/>
              <w:right w:val="single" w:sz="6" w:space="0" w:color="000000"/>
            </w:tcBorders>
            <w:vAlign w:val="center"/>
          </w:tcPr>
          <w:p w14:paraId="0DD25C6A" w14:textId="3C7860E8" w:rsidR="00FC6E5C" w:rsidRPr="00FC6E5C" w:rsidRDefault="00FC6E5C" w:rsidP="00FC6E5C">
            <w:pPr>
              <w:jc w:val="center"/>
            </w:pPr>
            <w:r w:rsidRPr="00FC6E5C">
              <w:t>/</w:t>
            </w:r>
          </w:p>
        </w:tc>
        <w:tc>
          <w:tcPr>
            <w:tcW w:w="382" w:type="pct"/>
            <w:tcBorders>
              <w:left w:val="single" w:sz="6" w:space="0" w:color="000000"/>
              <w:right w:val="single" w:sz="6" w:space="0" w:color="000000"/>
            </w:tcBorders>
            <w:vAlign w:val="center"/>
          </w:tcPr>
          <w:p w14:paraId="5A3002E2" w14:textId="712A7653" w:rsidR="00FC6E5C" w:rsidRPr="00FC6E5C" w:rsidRDefault="00FC6E5C" w:rsidP="00FC6E5C">
            <w:pPr>
              <w:jc w:val="center"/>
            </w:pPr>
            <w:r w:rsidRPr="00FC6E5C">
              <w:t>/</w:t>
            </w:r>
          </w:p>
        </w:tc>
        <w:tc>
          <w:tcPr>
            <w:tcW w:w="545" w:type="pct"/>
            <w:vMerge/>
            <w:tcBorders>
              <w:left w:val="single" w:sz="6" w:space="0" w:color="000000"/>
              <w:right w:val="single" w:sz="6" w:space="0" w:color="000000"/>
            </w:tcBorders>
            <w:vAlign w:val="center"/>
          </w:tcPr>
          <w:p w14:paraId="7EEB70AA" w14:textId="77777777" w:rsidR="00FC6E5C" w:rsidRPr="0006628B" w:rsidRDefault="00FC6E5C" w:rsidP="00FC6E5C">
            <w:pPr>
              <w:jc w:val="center"/>
              <w:rPr>
                <w:highlight w:val="yellow"/>
              </w:rPr>
            </w:pPr>
          </w:p>
        </w:tc>
        <w:tc>
          <w:tcPr>
            <w:tcW w:w="910" w:type="pct"/>
            <w:vMerge/>
            <w:tcBorders>
              <w:left w:val="single" w:sz="6" w:space="0" w:color="000000"/>
            </w:tcBorders>
            <w:vAlign w:val="center"/>
          </w:tcPr>
          <w:p w14:paraId="294E1E6C" w14:textId="77777777" w:rsidR="00FC6E5C" w:rsidRPr="0006628B" w:rsidRDefault="00FC6E5C" w:rsidP="00FC6E5C">
            <w:pPr>
              <w:jc w:val="center"/>
              <w:rPr>
                <w:highlight w:val="yellow"/>
              </w:rPr>
            </w:pPr>
          </w:p>
        </w:tc>
      </w:tr>
      <w:tr w:rsidR="00FC6E5C" w:rsidRPr="0006628B" w14:paraId="301A3E46" w14:textId="77777777" w:rsidTr="00FC6E5C">
        <w:trPr>
          <w:trHeight w:val="57"/>
          <w:jc w:val="center"/>
        </w:trPr>
        <w:tc>
          <w:tcPr>
            <w:tcW w:w="203" w:type="pct"/>
            <w:vMerge/>
            <w:tcBorders>
              <w:right w:val="single" w:sz="6" w:space="0" w:color="000000"/>
            </w:tcBorders>
            <w:vAlign w:val="center"/>
          </w:tcPr>
          <w:p w14:paraId="3F5F49BB" w14:textId="77777777" w:rsidR="00FC6E5C" w:rsidRPr="0006628B" w:rsidRDefault="00FC6E5C" w:rsidP="00FC6E5C">
            <w:pPr>
              <w:jc w:val="center"/>
              <w:rPr>
                <w:highlight w:val="yellow"/>
              </w:rPr>
            </w:pPr>
          </w:p>
        </w:tc>
        <w:tc>
          <w:tcPr>
            <w:tcW w:w="385" w:type="pct"/>
            <w:vMerge/>
            <w:tcBorders>
              <w:left w:val="single" w:sz="6" w:space="0" w:color="000000"/>
              <w:right w:val="single" w:sz="6" w:space="0" w:color="000000"/>
            </w:tcBorders>
            <w:vAlign w:val="center"/>
          </w:tcPr>
          <w:p w14:paraId="459C6812" w14:textId="77777777" w:rsidR="00FC6E5C" w:rsidRPr="0006628B" w:rsidRDefault="00FC6E5C" w:rsidP="00FC6E5C">
            <w:pPr>
              <w:jc w:val="center"/>
              <w:rPr>
                <w:highlight w:val="yellow"/>
              </w:rPr>
            </w:pPr>
          </w:p>
        </w:tc>
        <w:tc>
          <w:tcPr>
            <w:tcW w:w="435" w:type="pct"/>
            <w:vMerge/>
            <w:tcBorders>
              <w:left w:val="single" w:sz="6" w:space="0" w:color="000000"/>
              <w:right w:val="single" w:sz="6" w:space="0" w:color="000000"/>
            </w:tcBorders>
            <w:vAlign w:val="center"/>
          </w:tcPr>
          <w:p w14:paraId="1C514BEA" w14:textId="77777777" w:rsidR="00FC6E5C" w:rsidRPr="0006628B" w:rsidRDefault="00FC6E5C" w:rsidP="00FC6E5C">
            <w:pPr>
              <w:jc w:val="center"/>
              <w:rPr>
                <w:highlight w:val="yellow"/>
              </w:rPr>
            </w:pPr>
          </w:p>
        </w:tc>
        <w:tc>
          <w:tcPr>
            <w:tcW w:w="552" w:type="pct"/>
            <w:tcBorders>
              <w:top w:val="single" w:sz="4" w:space="0" w:color="000000"/>
              <w:left w:val="nil"/>
              <w:bottom w:val="single" w:sz="4" w:space="0" w:color="000000"/>
              <w:right w:val="single" w:sz="4" w:space="0" w:color="000000"/>
            </w:tcBorders>
            <w:vAlign w:val="center"/>
          </w:tcPr>
          <w:p w14:paraId="75DA0D85" w14:textId="55F33E6E" w:rsidR="00FC6E5C" w:rsidRPr="00D00795" w:rsidRDefault="00FC6E5C" w:rsidP="00FC6E5C">
            <w:pPr>
              <w:jc w:val="center"/>
            </w:pPr>
            <w:r w:rsidRPr="00D00795">
              <w:rPr>
                <w:rFonts w:hint="eastAsia"/>
                <w:sz w:val="22"/>
                <w:szCs w:val="22"/>
              </w:rPr>
              <w:t>色度</w:t>
            </w:r>
          </w:p>
        </w:tc>
        <w:tc>
          <w:tcPr>
            <w:tcW w:w="502" w:type="pct"/>
            <w:tcBorders>
              <w:top w:val="single" w:sz="4" w:space="0" w:color="000000"/>
              <w:left w:val="single" w:sz="4" w:space="0" w:color="000000"/>
              <w:bottom w:val="single" w:sz="4" w:space="0" w:color="000000"/>
              <w:right w:val="single" w:sz="4" w:space="0" w:color="000000"/>
            </w:tcBorders>
            <w:vAlign w:val="center"/>
          </w:tcPr>
          <w:p w14:paraId="4945AC64" w14:textId="132E1E8C" w:rsidR="00FC6E5C" w:rsidRPr="00D00795" w:rsidRDefault="00FC6E5C" w:rsidP="00FC6E5C">
            <w:pPr>
              <w:jc w:val="center"/>
              <w:rPr>
                <w:rFonts w:eastAsiaTheme="minorEastAsia"/>
              </w:rPr>
            </w:pPr>
            <w:r w:rsidRPr="00D00795">
              <w:t>2L</w:t>
            </w:r>
          </w:p>
        </w:tc>
        <w:tc>
          <w:tcPr>
            <w:tcW w:w="543" w:type="pct"/>
            <w:tcBorders>
              <w:top w:val="single" w:sz="4" w:space="0" w:color="000000"/>
              <w:left w:val="single" w:sz="4" w:space="0" w:color="000000"/>
              <w:bottom w:val="single" w:sz="4" w:space="0" w:color="000000"/>
              <w:right w:val="single" w:sz="4" w:space="0" w:color="000000"/>
            </w:tcBorders>
            <w:vAlign w:val="center"/>
          </w:tcPr>
          <w:p w14:paraId="10F34296" w14:textId="7CD1FF92" w:rsidR="00FC6E5C" w:rsidRPr="00FC6E5C" w:rsidRDefault="00FC6E5C" w:rsidP="00FC6E5C">
            <w:pPr>
              <w:jc w:val="center"/>
              <w:rPr>
                <w:rFonts w:eastAsiaTheme="minorEastAsia"/>
              </w:rPr>
            </w:pPr>
            <w:r w:rsidRPr="00FC6E5C">
              <w:rPr>
                <w:color w:val="000000"/>
              </w:rPr>
              <w:t>20</w:t>
            </w:r>
          </w:p>
        </w:tc>
        <w:tc>
          <w:tcPr>
            <w:tcW w:w="543" w:type="pct"/>
            <w:tcBorders>
              <w:left w:val="single" w:sz="4" w:space="0" w:color="000000"/>
              <w:right w:val="single" w:sz="6" w:space="0" w:color="000000"/>
            </w:tcBorders>
            <w:vAlign w:val="center"/>
          </w:tcPr>
          <w:p w14:paraId="5F4E2831" w14:textId="050A4A63" w:rsidR="00FC6E5C" w:rsidRPr="00FC6E5C" w:rsidRDefault="00FC6E5C" w:rsidP="00FC6E5C">
            <w:pPr>
              <w:jc w:val="center"/>
            </w:pPr>
            <w:r w:rsidRPr="00FC6E5C">
              <w:t>/</w:t>
            </w:r>
          </w:p>
        </w:tc>
        <w:tc>
          <w:tcPr>
            <w:tcW w:w="382" w:type="pct"/>
            <w:tcBorders>
              <w:left w:val="single" w:sz="6" w:space="0" w:color="000000"/>
              <w:right w:val="single" w:sz="6" w:space="0" w:color="000000"/>
            </w:tcBorders>
            <w:vAlign w:val="center"/>
          </w:tcPr>
          <w:p w14:paraId="5468C660" w14:textId="76D471BB" w:rsidR="00FC6E5C" w:rsidRPr="00FC6E5C" w:rsidRDefault="00FC6E5C" w:rsidP="00FC6E5C">
            <w:pPr>
              <w:jc w:val="center"/>
            </w:pPr>
            <w:r w:rsidRPr="00FC6E5C">
              <w:t>/</w:t>
            </w:r>
          </w:p>
        </w:tc>
        <w:tc>
          <w:tcPr>
            <w:tcW w:w="545" w:type="pct"/>
            <w:vMerge/>
            <w:tcBorders>
              <w:left w:val="single" w:sz="6" w:space="0" w:color="000000"/>
              <w:right w:val="single" w:sz="6" w:space="0" w:color="000000"/>
            </w:tcBorders>
            <w:vAlign w:val="center"/>
          </w:tcPr>
          <w:p w14:paraId="528F4444" w14:textId="77777777" w:rsidR="00FC6E5C" w:rsidRPr="0006628B" w:rsidRDefault="00FC6E5C" w:rsidP="00FC6E5C">
            <w:pPr>
              <w:jc w:val="center"/>
              <w:rPr>
                <w:highlight w:val="yellow"/>
              </w:rPr>
            </w:pPr>
          </w:p>
        </w:tc>
        <w:tc>
          <w:tcPr>
            <w:tcW w:w="910" w:type="pct"/>
            <w:vMerge/>
            <w:tcBorders>
              <w:left w:val="single" w:sz="6" w:space="0" w:color="000000"/>
            </w:tcBorders>
            <w:vAlign w:val="center"/>
          </w:tcPr>
          <w:p w14:paraId="5D3AB40D" w14:textId="77777777" w:rsidR="00FC6E5C" w:rsidRPr="0006628B" w:rsidRDefault="00FC6E5C" w:rsidP="00FC6E5C">
            <w:pPr>
              <w:jc w:val="center"/>
              <w:rPr>
                <w:highlight w:val="yellow"/>
              </w:rPr>
            </w:pPr>
          </w:p>
        </w:tc>
      </w:tr>
      <w:tr w:rsidR="00FC6E5C" w:rsidRPr="0006628B" w14:paraId="48586939" w14:textId="77777777" w:rsidTr="00FC6E5C">
        <w:trPr>
          <w:trHeight w:val="57"/>
          <w:jc w:val="center"/>
        </w:trPr>
        <w:tc>
          <w:tcPr>
            <w:tcW w:w="203" w:type="pct"/>
            <w:vMerge/>
            <w:tcBorders>
              <w:right w:val="single" w:sz="6" w:space="0" w:color="000000"/>
            </w:tcBorders>
            <w:vAlign w:val="center"/>
          </w:tcPr>
          <w:p w14:paraId="79D3DE51" w14:textId="77777777" w:rsidR="00FC6E5C" w:rsidRPr="0006628B" w:rsidRDefault="00FC6E5C" w:rsidP="00FC6E5C">
            <w:pPr>
              <w:jc w:val="center"/>
              <w:rPr>
                <w:highlight w:val="yellow"/>
              </w:rPr>
            </w:pPr>
          </w:p>
        </w:tc>
        <w:tc>
          <w:tcPr>
            <w:tcW w:w="385" w:type="pct"/>
            <w:vMerge/>
            <w:tcBorders>
              <w:left w:val="single" w:sz="6" w:space="0" w:color="000000"/>
              <w:right w:val="single" w:sz="6" w:space="0" w:color="000000"/>
            </w:tcBorders>
            <w:vAlign w:val="center"/>
          </w:tcPr>
          <w:p w14:paraId="5004AFED" w14:textId="77777777" w:rsidR="00FC6E5C" w:rsidRPr="0006628B" w:rsidRDefault="00FC6E5C" w:rsidP="00FC6E5C">
            <w:pPr>
              <w:jc w:val="center"/>
              <w:rPr>
                <w:highlight w:val="yellow"/>
              </w:rPr>
            </w:pPr>
          </w:p>
        </w:tc>
        <w:tc>
          <w:tcPr>
            <w:tcW w:w="435" w:type="pct"/>
            <w:vMerge/>
            <w:tcBorders>
              <w:left w:val="single" w:sz="6" w:space="0" w:color="000000"/>
              <w:right w:val="single" w:sz="6" w:space="0" w:color="000000"/>
            </w:tcBorders>
            <w:vAlign w:val="center"/>
          </w:tcPr>
          <w:p w14:paraId="5EDE0384" w14:textId="77777777" w:rsidR="00FC6E5C" w:rsidRPr="0006628B" w:rsidRDefault="00FC6E5C" w:rsidP="00FC6E5C">
            <w:pPr>
              <w:jc w:val="center"/>
              <w:rPr>
                <w:highlight w:val="yellow"/>
              </w:rPr>
            </w:pPr>
          </w:p>
        </w:tc>
        <w:tc>
          <w:tcPr>
            <w:tcW w:w="552" w:type="pct"/>
            <w:tcBorders>
              <w:top w:val="single" w:sz="4" w:space="0" w:color="000000"/>
              <w:left w:val="nil"/>
              <w:bottom w:val="single" w:sz="4" w:space="0" w:color="000000"/>
              <w:right w:val="single" w:sz="4" w:space="0" w:color="000000"/>
            </w:tcBorders>
            <w:vAlign w:val="center"/>
          </w:tcPr>
          <w:p w14:paraId="0639D8CA" w14:textId="2615AC66" w:rsidR="00FC6E5C" w:rsidRPr="00D00795" w:rsidRDefault="00FC6E5C" w:rsidP="00FC6E5C">
            <w:pPr>
              <w:jc w:val="center"/>
            </w:pPr>
            <w:r w:rsidRPr="00D00795">
              <w:rPr>
                <w:rFonts w:hint="eastAsia"/>
                <w:sz w:val="22"/>
                <w:szCs w:val="22"/>
              </w:rPr>
              <w:t>BOD5</w:t>
            </w:r>
          </w:p>
        </w:tc>
        <w:tc>
          <w:tcPr>
            <w:tcW w:w="502" w:type="pct"/>
            <w:tcBorders>
              <w:top w:val="single" w:sz="4" w:space="0" w:color="000000"/>
              <w:left w:val="single" w:sz="4" w:space="0" w:color="000000"/>
              <w:bottom w:val="single" w:sz="4" w:space="0" w:color="000000"/>
              <w:right w:val="single" w:sz="4" w:space="0" w:color="000000"/>
            </w:tcBorders>
            <w:vAlign w:val="center"/>
          </w:tcPr>
          <w:p w14:paraId="743E7E31" w14:textId="6B569A7A" w:rsidR="00FC6E5C" w:rsidRPr="00D00795" w:rsidRDefault="00FC6E5C" w:rsidP="00FC6E5C">
            <w:pPr>
              <w:jc w:val="center"/>
              <w:rPr>
                <w:rFonts w:eastAsiaTheme="minorEastAsia"/>
              </w:rPr>
            </w:pPr>
            <w:r w:rsidRPr="00D00795">
              <w:rPr>
                <w:rFonts w:hint="eastAsia"/>
                <w:sz w:val="22"/>
                <w:szCs w:val="22"/>
              </w:rPr>
              <w:t xml:space="preserve">8.42 </w:t>
            </w:r>
          </w:p>
        </w:tc>
        <w:tc>
          <w:tcPr>
            <w:tcW w:w="543" w:type="pct"/>
            <w:tcBorders>
              <w:top w:val="single" w:sz="4" w:space="0" w:color="000000"/>
              <w:left w:val="single" w:sz="4" w:space="0" w:color="000000"/>
              <w:bottom w:val="single" w:sz="4" w:space="0" w:color="000000"/>
              <w:right w:val="single" w:sz="4" w:space="0" w:color="000000"/>
            </w:tcBorders>
            <w:vAlign w:val="center"/>
          </w:tcPr>
          <w:p w14:paraId="1C7C2294" w14:textId="1F467688" w:rsidR="00FC6E5C" w:rsidRPr="00FC6E5C" w:rsidRDefault="00FC6E5C" w:rsidP="00FC6E5C">
            <w:pPr>
              <w:jc w:val="center"/>
              <w:rPr>
                <w:rFonts w:eastAsiaTheme="minorEastAsia"/>
              </w:rPr>
            </w:pPr>
            <w:r w:rsidRPr="00FC6E5C">
              <w:rPr>
                <w:color w:val="000000"/>
              </w:rPr>
              <w:t>10</w:t>
            </w:r>
          </w:p>
        </w:tc>
        <w:tc>
          <w:tcPr>
            <w:tcW w:w="543" w:type="pct"/>
            <w:tcBorders>
              <w:left w:val="single" w:sz="4" w:space="0" w:color="000000"/>
              <w:right w:val="single" w:sz="6" w:space="0" w:color="000000"/>
            </w:tcBorders>
            <w:vAlign w:val="center"/>
          </w:tcPr>
          <w:p w14:paraId="61473625" w14:textId="4F1C14DC" w:rsidR="00FC6E5C" w:rsidRPr="00FC6E5C" w:rsidRDefault="00FC6E5C" w:rsidP="00FC6E5C">
            <w:pPr>
              <w:jc w:val="center"/>
            </w:pPr>
            <w:r w:rsidRPr="00FC6E5C">
              <w:t>/</w:t>
            </w:r>
          </w:p>
        </w:tc>
        <w:tc>
          <w:tcPr>
            <w:tcW w:w="382" w:type="pct"/>
            <w:tcBorders>
              <w:left w:val="single" w:sz="6" w:space="0" w:color="000000"/>
              <w:right w:val="single" w:sz="6" w:space="0" w:color="000000"/>
            </w:tcBorders>
            <w:vAlign w:val="center"/>
          </w:tcPr>
          <w:p w14:paraId="03F513FE" w14:textId="03591491" w:rsidR="00FC6E5C" w:rsidRPr="00FC6E5C" w:rsidRDefault="00FC6E5C" w:rsidP="00FC6E5C">
            <w:pPr>
              <w:jc w:val="center"/>
            </w:pPr>
            <w:r w:rsidRPr="00FC6E5C">
              <w:t>/</w:t>
            </w:r>
          </w:p>
        </w:tc>
        <w:tc>
          <w:tcPr>
            <w:tcW w:w="545" w:type="pct"/>
            <w:vMerge/>
            <w:tcBorders>
              <w:left w:val="single" w:sz="6" w:space="0" w:color="000000"/>
              <w:right w:val="single" w:sz="6" w:space="0" w:color="000000"/>
            </w:tcBorders>
            <w:vAlign w:val="center"/>
          </w:tcPr>
          <w:p w14:paraId="6C0CB5FC" w14:textId="77777777" w:rsidR="00FC6E5C" w:rsidRPr="0006628B" w:rsidRDefault="00FC6E5C" w:rsidP="00FC6E5C">
            <w:pPr>
              <w:jc w:val="center"/>
              <w:rPr>
                <w:highlight w:val="yellow"/>
              </w:rPr>
            </w:pPr>
          </w:p>
        </w:tc>
        <w:tc>
          <w:tcPr>
            <w:tcW w:w="910" w:type="pct"/>
            <w:vMerge/>
            <w:tcBorders>
              <w:left w:val="single" w:sz="6" w:space="0" w:color="000000"/>
            </w:tcBorders>
            <w:vAlign w:val="center"/>
          </w:tcPr>
          <w:p w14:paraId="3EAE8606" w14:textId="77777777" w:rsidR="00FC6E5C" w:rsidRPr="0006628B" w:rsidRDefault="00FC6E5C" w:rsidP="00FC6E5C">
            <w:pPr>
              <w:jc w:val="center"/>
              <w:rPr>
                <w:highlight w:val="yellow"/>
              </w:rPr>
            </w:pPr>
          </w:p>
        </w:tc>
      </w:tr>
      <w:tr w:rsidR="00FC6E5C" w:rsidRPr="0006628B" w14:paraId="561176BE" w14:textId="77777777" w:rsidTr="00FC6E5C">
        <w:trPr>
          <w:trHeight w:val="57"/>
          <w:jc w:val="center"/>
        </w:trPr>
        <w:tc>
          <w:tcPr>
            <w:tcW w:w="203" w:type="pct"/>
            <w:vMerge/>
            <w:tcBorders>
              <w:right w:val="single" w:sz="6" w:space="0" w:color="000000"/>
            </w:tcBorders>
            <w:vAlign w:val="center"/>
          </w:tcPr>
          <w:p w14:paraId="02C98FC5" w14:textId="77777777" w:rsidR="00FC6E5C" w:rsidRPr="0006628B" w:rsidRDefault="00FC6E5C" w:rsidP="00FC6E5C">
            <w:pPr>
              <w:jc w:val="center"/>
              <w:rPr>
                <w:highlight w:val="yellow"/>
              </w:rPr>
            </w:pPr>
          </w:p>
        </w:tc>
        <w:tc>
          <w:tcPr>
            <w:tcW w:w="385" w:type="pct"/>
            <w:vMerge/>
            <w:tcBorders>
              <w:left w:val="single" w:sz="6" w:space="0" w:color="000000"/>
              <w:right w:val="single" w:sz="6" w:space="0" w:color="000000"/>
            </w:tcBorders>
            <w:vAlign w:val="center"/>
          </w:tcPr>
          <w:p w14:paraId="099D26CD" w14:textId="77777777" w:rsidR="00FC6E5C" w:rsidRPr="0006628B" w:rsidRDefault="00FC6E5C" w:rsidP="00FC6E5C">
            <w:pPr>
              <w:jc w:val="center"/>
              <w:rPr>
                <w:highlight w:val="yellow"/>
              </w:rPr>
            </w:pPr>
          </w:p>
        </w:tc>
        <w:tc>
          <w:tcPr>
            <w:tcW w:w="435" w:type="pct"/>
            <w:vMerge/>
            <w:tcBorders>
              <w:left w:val="single" w:sz="6" w:space="0" w:color="000000"/>
              <w:right w:val="single" w:sz="6" w:space="0" w:color="000000"/>
            </w:tcBorders>
            <w:vAlign w:val="center"/>
          </w:tcPr>
          <w:p w14:paraId="6CE63CB8" w14:textId="77777777" w:rsidR="00FC6E5C" w:rsidRPr="0006628B" w:rsidRDefault="00FC6E5C" w:rsidP="00FC6E5C">
            <w:pPr>
              <w:jc w:val="center"/>
              <w:rPr>
                <w:highlight w:val="yellow"/>
              </w:rPr>
            </w:pPr>
          </w:p>
        </w:tc>
        <w:tc>
          <w:tcPr>
            <w:tcW w:w="552" w:type="pct"/>
            <w:tcBorders>
              <w:top w:val="single" w:sz="4" w:space="0" w:color="000000"/>
              <w:left w:val="nil"/>
              <w:bottom w:val="single" w:sz="4" w:space="0" w:color="000000"/>
              <w:right w:val="single" w:sz="4" w:space="0" w:color="000000"/>
            </w:tcBorders>
            <w:vAlign w:val="center"/>
          </w:tcPr>
          <w:p w14:paraId="57B46328" w14:textId="5B6B14C3" w:rsidR="00FC6E5C" w:rsidRPr="00D00795" w:rsidRDefault="00FC6E5C" w:rsidP="00FC6E5C">
            <w:pPr>
              <w:jc w:val="center"/>
            </w:pPr>
            <w:r w:rsidRPr="00D00795">
              <w:rPr>
                <w:rFonts w:hint="eastAsia"/>
                <w:sz w:val="22"/>
                <w:szCs w:val="22"/>
              </w:rPr>
              <w:t>COD</w:t>
            </w:r>
          </w:p>
        </w:tc>
        <w:tc>
          <w:tcPr>
            <w:tcW w:w="502" w:type="pct"/>
            <w:tcBorders>
              <w:top w:val="single" w:sz="4" w:space="0" w:color="000000"/>
              <w:left w:val="single" w:sz="4" w:space="0" w:color="000000"/>
              <w:bottom w:val="single" w:sz="4" w:space="0" w:color="000000"/>
              <w:right w:val="single" w:sz="4" w:space="0" w:color="000000"/>
            </w:tcBorders>
            <w:vAlign w:val="center"/>
          </w:tcPr>
          <w:p w14:paraId="3E4CDE0F" w14:textId="74712E4E" w:rsidR="00FC6E5C" w:rsidRPr="00D00795" w:rsidRDefault="00FC6E5C" w:rsidP="00FC6E5C">
            <w:pPr>
              <w:jc w:val="center"/>
              <w:rPr>
                <w:rFonts w:eastAsiaTheme="minorEastAsia"/>
              </w:rPr>
            </w:pPr>
            <w:r w:rsidRPr="00D00795">
              <w:rPr>
                <w:rFonts w:hint="eastAsia"/>
                <w:sz w:val="22"/>
                <w:szCs w:val="22"/>
              </w:rPr>
              <w:t xml:space="preserve">46.00 </w:t>
            </w:r>
          </w:p>
        </w:tc>
        <w:tc>
          <w:tcPr>
            <w:tcW w:w="543" w:type="pct"/>
            <w:tcBorders>
              <w:top w:val="single" w:sz="4" w:space="0" w:color="000000"/>
              <w:left w:val="single" w:sz="4" w:space="0" w:color="000000"/>
              <w:bottom w:val="single" w:sz="4" w:space="0" w:color="000000"/>
              <w:right w:val="single" w:sz="4" w:space="0" w:color="000000"/>
            </w:tcBorders>
            <w:vAlign w:val="center"/>
          </w:tcPr>
          <w:p w14:paraId="25EFA7D6" w14:textId="6D3E07DC" w:rsidR="00FC6E5C" w:rsidRPr="00FC6E5C" w:rsidRDefault="00FC6E5C" w:rsidP="00FC6E5C">
            <w:pPr>
              <w:jc w:val="center"/>
              <w:rPr>
                <w:rFonts w:eastAsiaTheme="minorEastAsia"/>
              </w:rPr>
            </w:pPr>
            <w:r w:rsidRPr="00FC6E5C">
              <w:rPr>
                <w:color w:val="000000"/>
              </w:rPr>
              <w:t>50</w:t>
            </w:r>
          </w:p>
        </w:tc>
        <w:tc>
          <w:tcPr>
            <w:tcW w:w="543" w:type="pct"/>
            <w:tcBorders>
              <w:left w:val="single" w:sz="4" w:space="0" w:color="000000"/>
              <w:right w:val="single" w:sz="6" w:space="0" w:color="000000"/>
            </w:tcBorders>
            <w:vAlign w:val="center"/>
          </w:tcPr>
          <w:p w14:paraId="76069408" w14:textId="0B76AD96" w:rsidR="00FC6E5C" w:rsidRPr="00FC6E5C" w:rsidRDefault="00FC6E5C" w:rsidP="00FC6E5C">
            <w:pPr>
              <w:jc w:val="center"/>
            </w:pPr>
            <w:r w:rsidRPr="00FC6E5C">
              <w:t>/</w:t>
            </w:r>
          </w:p>
        </w:tc>
        <w:tc>
          <w:tcPr>
            <w:tcW w:w="382" w:type="pct"/>
            <w:tcBorders>
              <w:left w:val="single" w:sz="6" w:space="0" w:color="000000"/>
              <w:right w:val="single" w:sz="6" w:space="0" w:color="000000"/>
            </w:tcBorders>
            <w:vAlign w:val="center"/>
          </w:tcPr>
          <w:p w14:paraId="7569E832" w14:textId="62EDFBBA" w:rsidR="00FC6E5C" w:rsidRPr="00FC6E5C" w:rsidRDefault="00FC6E5C" w:rsidP="00FC6E5C">
            <w:pPr>
              <w:jc w:val="center"/>
            </w:pPr>
            <w:r w:rsidRPr="00FC6E5C">
              <w:t>/</w:t>
            </w:r>
          </w:p>
        </w:tc>
        <w:tc>
          <w:tcPr>
            <w:tcW w:w="545" w:type="pct"/>
            <w:vMerge/>
            <w:tcBorders>
              <w:left w:val="single" w:sz="6" w:space="0" w:color="000000"/>
              <w:right w:val="single" w:sz="6" w:space="0" w:color="000000"/>
            </w:tcBorders>
            <w:vAlign w:val="center"/>
          </w:tcPr>
          <w:p w14:paraId="7AFDB894" w14:textId="77777777" w:rsidR="00FC6E5C" w:rsidRPr="0006628B" w:rsidRDefault="00FC6E5C" w:rsidP="00FC6E5C">
            <w:pPr>
              <w:jc w:val="center"/>
              <w:rPr>
                <w:highlight w:val="yellow"/>
              </w:rPr>
            </w:pPr>
          </w:p>
        </w:tc>
        <w:tc>
          <w:tcPr>
            <w:tcW w:w="910" w:type="pct"/>
            <w:vMerge/>
            <w:tcBorders>
              <w:left w:val="single" w:sz="6" w:space="0" w:color="000000"/>
            </w:tcBorders>
            <w:vAlign w:val="center"/>
          </w:tcPr>
          <w:p w14:paraId="729EEDB0" w14:textId="77777777" w:rsidR="00FC6E5C" w:rsidRPr="0006628B" w:rsidRDefault="00FC6E5C" w:rsidP="00FC6E5C">
            <w:pPr>
              <w:jc w:val="center"/>
              <w:rPr>
                <w:highlight w:val="yellow"/>
              </w:rPr>
            </w:pPr>
          </w:p>
        </w:tc>
      </w:tr>
      <w:tr w:rsidR="00FC6E5C" w:rsidRPr="0006628B" w14:paraId="73AFBC00" w14:textId="77777777" w:rsidTr="00FC6E5C">
        <w:trPr>
          <w:trHeight w:val="57"/>
          <w:jc w:val="center"/>
        </w:trPr>
        <w:tc>
          <w:tcPr>
            <w:tcW w:w="203" w:type="pct"/>
            <w:vMerge/>
            <w:tcBorders>
              <w:right w:val="single" w:sz="6" w:space="0" w:color="000000"/>
            </w:tcBorders>
            <w:vAlign w:val="center"/>
          </w:tcPr>
          <w:p w14:paraId="77052FF6" w14:textId="77777777" w:rsidR="00FC6E5C" w:rsidRPr="0006628B" w:rsidRDefault="00FC6E5C" w:rsidP="00FC6E5C">
            <w:pPr>
              <w:jc w:val="center"/>
              <w:rPr>
                <w:highlight w:val="yellow"/>
              </w:rPr>
            </w:pPr>
          </w:p>
        </w:tc>
        <w:tc>
          <w:tcPr>
            <w:tcW w:w="385" w:type="pct"/>
            <w:vMerge/>
            <w:tcBorders>
              <w:left w:val="single" w:sz="6" w:space="0" w:color="000000"/>
              <w:right w:val="single" w:sz="6" w:space="0" w:color="000000"/>
            </w:tcBorders>
            <w:vAlign w:val="center"/>
          </w:tcPr>
          <w:p w14:paraId="1D0DE183" w14:textId="77777777" w:rsidR="00FC6E5C" w:rsidRPr="0006628B" w:rsidRDefault="00FC6E5C" w:rsidP="00FC6E5C">
            <w:pPr>
              <w:jc w:val="center"/>
              <w:rPr>
                <w:highlight w:val="yellow"/>
              </w:rPr>
            </w:pPr>
          </w:p>
        </w:tc>
        <w:tc>
          <w:tcPr>
            <w:tcW w:w="435" w:type="pct"/>
            <w:vMerge/>
            <w:tcBorders>
              <w:left w:val="single" w:sz="6" w:space="0" w:color="000000"/>
              <w:right w:val="single" w:sz="6" w:space="0" w:color="000000"/>
            </w:tcBorders>
            <w:vAlign w:val="center"/>
          </w:tcPr>
          <w:p w14:paraId="38911CDB" w14:textId="77777777" w:rsidR="00FC6E5C" w:rsidRPr="0006628B" w:rsidRDefault="00FC6E5C" w:rsidP="00FC6E5C">
            <w:pPr>
              <w:jc w:val="center"/>
              <w:rPr>
                <w:highlight w:val="yellow"/>
              </w:rPr>
            </w:pPr>
          </w:p>
        </w:tc>
        <w:tc>
          <w:tcPr>
            <w:tcW w:w="552" w:type="pct"/>
            <w:tcBorders>
              <w:top w:val="single" w:sz="4" w:space="0" w:color="000000"/>
              <w:left w:val="nil"/>
              <w:bottom w:val="single" w:sz="4" w:space="0" w:color="000000"/>
              <w:right w:val="single" w:sz="4" w:space="0" w:color="000000"/>
            </w:tcBorders>
            <w:vAlign w:val="center"/>
          </w:tcPr>
          <w:p w14:paraId="320CD53A" w14:textId="78346B6A" w:rsidR="00FC6E5C" w:rsidRPr="00D00795" w:rsidRDefault="00FC6E5C" w:rsidP="00FC6E5C">
            <w:pPr>
              <w:jc w:val="center"/>
            </w:pPr>
            <w:r w:rsidRPr="00D00795">
              <w:rPr>
                <w:rFonts w:hint="eastAsia"/>
                <w:sz w:val="22"/>
                <w:szCs w:val="22"/>
              </w:rPr>
              <w:t>铁</w:t>
            </w:r>
          </w:p>
        </w:tc>
        <w:tc>
          <w:tcPr>
            <w:tcW w:w="502" w:type="pct"/>
            <w:tcBorders>
              <w:top w:val="single" w:sz="4" w:space="0" w:color="000000"/>
              <w:left w:val="single" w:sz="4" w:space="0" w:color="000000"/>
              <w:bottom w:val="single" w:sz="4" w:space="0" w:color="000000"/>
              <w:right w:val="single" w:sz="4" w:space="0" w:color="000000"/>
            </w:tcBorders>
            <w:vAlign w:val="center"/>
          </w:tcPr>
          <w:p w14:paraId="315CD97A" w14:textId="350A6D6F" w:rsidR="00FC6E5C" w:rsidRPr="00D00795" w:rsidRDefault="00FC6E5C" w:rsidP="00FC6E5C">
            <w:pPr>
              <w:jc w:val="center"/>
              <w:rPr>
                <w:rFonts w:eastAsiaTheme="minorEastAsia"/>
              </w:rPr>
            </w:pPr>
            <w:r w:rsidRPr="00D00795">
              <w:rPr>
                <w:rFonts w:hint="eastAsia"/>
                <w:sz w:val="22"/>
                <w:szCs w:val="22"/>
              </w:rPr>
              <w:t xml:space="preserve">0.14 </w:t>
            </w:r>
          </w:p>
        </w:tc>
        <w:tc>
          <w:tcPr>
            <w:tcW w:w="543" w:type="pct"/>
            <w:tcBorders>
              <w:top w:val="single" w:sz="4" w:space="0" w:color="000000"/>
              <w:left w:val="single" w:sz="4" w:space="0" w:color="000000"/>
              <w:bottom w:val="single" w:sz="4" w:space="0" w:color="000000"/>
              <w:right w:val="single" w:sz="4" w:space="0" w:color="000000"/>
            </w:tcBorders>
            <w:vAlign w:val="center"/>
          </w:tcPr>
          <w:p w14:paraId="520FFB21" w14:textId="7FC0758F" w:rsidR="00FC6E5C" w:rsidRPr="00FC6E5C" w:rsidRDefault="00FC6E5C" w:rsidP="00FC6E5C">
            <w:pPr>
              <w:jc w:val="center"/>
              <w:rPr>
                <w:rFonts w:eastAsiaTheme="minorEastAsia"/>
              </w:rPr>
            </w:pPr>
            <w:r w:rsidRPr="00FC6E5C">
              <w:rPr>
                <w:color w:val="000000"/>
              </w:rPr>
              <w:t>0.3</w:t>
            </w:r>
          </w:p>
        </w:tc>
        <w:tc>
          <w:tcPr>
            <w:tcW w:w="543" w:type="pct"/>
            <w:tcBorders>
              <w:left w:val="single" w:sz="4" w:space="0" w:color="000000"/>
              <w:right w:val="single" w:sz="6" w:space="0" w:color="000000"/>
            </w:tcBorders>
            <w:vAlign w:val="center"/>
          </w:tcPr>
          <w:p w14:paraId="4A220AB6" w14:textId="5EDEFD2A" w:rsidR="00FC6E5C" w:rsidRPr="00FC6E5C" w:rsidRDefault="00FC6E5C" w:rsidP="00FC6E5C">
            <w:pPr>
              <w:jc w:val="center"/>
            </w:pPr>
            <w:r w:rsidRPr="00FC6E5C">
              <w:t>/</w:t>
            </w:r>
          </w:p>
        </w:tc>
        <w:tc>
          <w:tcPr>
            <w:tcW w:w="382" w:type="pct"/>
            <w:tcBorders>
              <w:left w:val="single" w:sz="6" w:space="0" w:color="000000"/>
              <w:right w:val="single" w:sz="6" w:space="0" w:color="000000"/>
            </w:tcBorders>
            <w:vAlign w:val="center"/>
          </w:tcPr>
          <w:p w14:paraId="1701CD46" w14:textId="2BA311FF" w:rsidR="00FC6E5C" w:rsidRPr="00FC6E5C" w:rsidRDefault="00FC6E5C" w:rsidP="00FC6E5C">
            <w:pPr>
              <w:jc w:val="center"/>
            </w:pPr>
            <w:r w:rsidRPr="00FC6E5C">
              <w:t>/</w:t>
            </w:r>
          </w:p>
        </w:tc>
        <w:tc>
          <w:tcPr>
            <w:tcW w:w="545" w:type="pct"/>
            <w:vMerge/>
            <w:tcBorders>
              <w:left w:val="single" w:sz="6" w:space="0" w:color="000000"/>
              <w:right w:val="single" w:sz="6" w:space="0" w:color="000000"/>
            </w:tcBorders>
            <w:vAlign w:val="center"/>
          </w:tcPr>
          <w:p w14:paraId="3B2CB226" w14:textId="77777777" w:rsidR="00FC6E5C" w:rsidRPr="0006628B" w:rsidRDefault="00FC6E5C" w:rsidP="00FC6E5C">
            <w:pPr>
              <w:jc w:val="center"/>
              <w:rPr>
                <w:highlight w:val="yellow"/>
              </w:rPr>
            </w:pPr>
          </w:p>
        </w:tc>
        <w:tc>
          <w:tcPr>
            <w:tcW w:w="910" w:type="pct"/>
            <w:vMerge/>
            <w:tcBorders>
              <w:left w:val="single" w:sz="6" w:space="0" w:color="000000"/>
            </w:tcBorders>
            <w:vAlign w:val="center"/>
          </w:tcPr>
          <w:p w14:paraId="3CBB2CBA" w14:textId="77777777" w:rsidR="00FC6E5C" w:rsidRPr="0006628B" w:rsidRDefault="00FC6E5C" w:rsidP="00FC6E5C">
            <w:pPr>
              <w:jc w:val="center"/>
              <w:rPr>
                <w:highlight w:val="yellow"/>
              </w:rPr>
            </w:pPr>
          </w:p>
        </w:tc>
      </w:tr>
      <w:tr w:rsidR="00FC6E5C" w:rsidRPr="0006628B" w14:paraId="2D698FFD" w14:textId="77777777" w:rsidTr="00FC6E5C">
        <w:trPr>
          <w:trHeight w:val="57"/>
          <w:jc w:val="center"/>
        </w:trPr>
        <w:tc>
          <w:tcPr>
            <w:tcW w:w="203" w:type="pct"/>
            <w:vMerge/>
            <w:tcBorders>
              <w:right w:val="single" w:sz="6" w:space="0" w:color="000000"/>
            </w:tcBorders>
            <w:vAlign w:val="center"/>
          </w:tcPr>
          <w:p w14:paraId="37CC4370" w14:textId="77777777" w:rsidR="00FC6E5C" w:rsidRPr="0006628B" w:rsidRDefault="00FC6E5C" w:rsidP="00FC6E5C">
            <w:pPr>
              <w:jc w:val="center"/>
              <w:rPr>
                <w:highlight w:val="yellow"/>
              </w:rPr>
            </w:pPr>
          </w:p>
        </w:tc>
        <w:tc>
          <w:tcPr>
            <w:tcW w:w="385" w:type="pct"/>
            <w:vMerge/>
            <w:tcBorders>
              <w:left w:val="single" w:sz="6" w:space="0" w:color="000000"/>
              <w:right w:val="single" w:sz="6" w:space="0" w:color="000000"/>
            </w:tcBorders>
            <w:vAlign w:val="center"/>
          </w:tcPr>
          <w:p w14:paraId="3243E7D8" w14:textId="77777777" w:rsidR="00FC6E5C" w:rsidRPr="0006628B" w:rsidRDefault="00FC6E5C" w:rsidP="00FC6E5C">
            <w:pPr>
              <w:jc w:val="center"/>
              <w:rPr>
                <w:highlight w:val="yellow"/>
              </w:rPr>
            </w:pPr>
          </w:p>
        </w:tc>
        <w:tc>
          <w:tcPr>
            <w:tcW w:w="435" w:type="pct"/>
            <w:vMerge/>
            <w:tcBorders>
              <w:left w:val="single" w:sz="6" w:space="0" w:color="000000"/>
              <w:right w:val="single" w:sz="6" w:space="0" w:color="000000"/>
            </w:tcBorders>
            <w:vAlign w:val="center"/>
          </w:tcPr>
          <w:p w14:paraId="7222203C" w14:textId="77777777" w:rsidR="00FC6E5C" w:rsidRPr="0006628B" w:rsidRDefault="00FC6E5C" w:rsidP="00FC6E5C">
            <w:pPr>
              <w:jc w:val="center"/>
              <w:rPr>
                <w:highlight w:val="yellow"/>
              </w:rPr>
            </w:pPr>
          </w:p>
        </w:tc>
        <w:tc>
          <w:tcPr>
            <w:tcW w:w="552" w:type="pct"/>
            <w:tcBorders>
              <w:top w:val="single" w:sz="4" w:space="0" w:color="000000"/>
              <w:left w:val="nil"/>
              <w:bottom w:val="single" w:sz="4" w:space="0" w:color="000000"/>
              <w:right w:val="single" w:sz="4" w:space="0" w:color="000000"/>
            </w:tcBorders>
            <w:vAlign w:val="center"/>
          </w:tcPr>
          <w:p w14:paraId="223B84AD" w14:textId="27CC2FB1" w:rsidR="00FC6E5C" w:rsidRPr="00D00795" w:rsidRDefault="00FC6E5C" w:rsidP="00FC6E5C">
            <w:pPr>
              <w:jc w:val="center"/>
            </w:pPr>
            <w:r w:rsidRPr="00D00795">
              <w:rPr>
                <w:rFonts w:hint="eastAsia"/>
                <w:sz w:val="22"/>
                <w:szCs w:val="22"/>
              </w:rPr>
              <w:t>锰</w:t>
            </w:r>
          </w:p>
        </w:tc>
        <w:tc>
          <w:tcPr>
            <w:tcW w:w="502" w:type="pct"/>
            <w:tcBorders>
              <w:top w:val="single" w:sz="4" w:space="0" w:color="000000"/>
              <w:left w:val="single" w:sz="4" w:space="0" w:color="000000"/>
              <w:bottom w:val="single" w:sz="4" w:space="0" w:color="000000"/>
              <w:right w:val="single" w:sz="4" w:space="0" w:color="000000"/>
            </w:tcBorders>
            <w:vAlign w:val="center"/>
          </w:tcPr>
          <w:p w14:paraId="605DA375" w14:textId="6C1501FB" w:rsidR="00FC6E5C" w:rsidRPr="00D00795" w:rsidRDefault="00FC6E5C" w:rsidP="00FC6E5C">
            <w:pPr>
              <w:jc w:val="center"/>
              <w:rPr>
                <w:rFonts w:eastAsiaTheme="minorEastAsia"/>
              </w:rPr>
            </w:pPr>
            <w:r w:rsidRPr="00D00795">
              <w:rPr>
                <w:rFonts w:hint="eastAsia"/>
                <w:sz w:val="22"/>
                <w:szCs w:val="22"/>
              </w:rPr>
              <w:t xml:space="preserve">0.07 </w:t>
            </w:r>
          </w:p>
        </w:tc>
        <w:tc>
          <w:tcPr>
            <w:tcW w:w="543" w:type="pct"/>
            <w:tcBorders>
              <w:top w:val="single" w:sz="4" w:space="0" w:color="000000"/>
              <w:left w:val="single" w:sz="4" w:space="0" w:color="000000"/>
              <w:bottom w:val="single" w:sz="4" w:space="0" w:color="000000"/>
              <w:right w:val="single" w:sz="4" w:space="0" w:color="000000"/>
            </w:tcBorders>
            <w:vAlign w:val="center"/>
          </w:tcPr>
          <w:p w14:paraId="0354ABB4" w14:textId="156AEBDC" w:rsidR="00FC6E5C" w:rsidRPr="00FC6E5C" w:rsidRDefault="00FC6E5C" w:rsidP="00FC6E5C">
            <w:pPr>
              <w:jc w:val="center"/>
              <w:rPr>
                <w:rFonts w:eastAsiaTheme="minorEastAsia"/>
              </w:rPr>
            </w:pPr>
            <w:r w:rsidRPr="00FC6E5C">
              <w:rPr>
                <w:color w:val="000000"/>
              </w:rPr>
              <w:t>0.1</w:t>
            </w:r>
          </w:p>
        </w:tc>
        <w:tc>
          <w:tcPr>
            <w:tcW w:w="543" w:type="pct"/>
            <w:tcBorders>
              <w:left w:val="single" w:sz="4" w:space="0" w:color="000000"/>
              <w:right w:val="single" w:sz="6" w:space="0" w:color="000000"/>
            </w:tcBorders>
            <w:vAlign w:val="center"/>
          </w:tcPr>
          <w:p w14:paraId="624BD6F4" w14:textId="29F62008" w:rsidR="00FC6E5C" w:rsidRPr="00FC6E5C" w:rsidRDefault="00FC6E5C" w:rsidP="00FC6E5C">
            <w:pPr>
              <w:jc w:val="center"/>
            </w:pPr>
            <w:r w:rsidRPr="00FC6E5C">
              <w:t>/</w:t>
            </w:r>
          </w:p>
        </w:tc>
        <w:tc>
          <w:tcPr>
            <w:tcW w:w="382" w:type="pct"/>
            <w:tcBorders>
              <w:left w:val="single" w:sz="6" w:space="0" w:color="000000"/>
              <w:right w:val="single" w:sz="6" w:space="0" w:color="000000"/>
            </w:tcBorders>
            <w:vAlign w:val="center"/>
          </w:tcPr>
          <w:p w14:paraId="1282422F" w14:textId="623795D1" w:rsidR="00FC6E5C" w:rsidRPr="00FC6E5C" w:rsidRDefault="00FC6E5C" w:rsidP="00FC6E5C">
            <w:pPr>
              <w:jc w:val="center"/>
            </w:pPr>
            <w:r w:rsidRPr="00FC6E5C">
              <w:t>/</w:t>
            </w:r>
          </w:p>
        </w:tc>
        <w:tc>
          <w:tcPr>
            <w:tcW w:w="545" w:type="pct"/>
            <w:vMerge/>
            <w:tcBorders>
              <w:left w:val="single" w:sz="6" w:space="0" w:color="000000"/>
              <w:right w:val="single" w:sz="6" w:space="0" w:color="000000"/>
            </w:tcBorders>
            <w:vAlign w:val="center"/>
          </w:tcPr>
          <w:p w14:paraId="2A31D300" w14:textId="77777777" w:rsidR="00FC6E5C" w:rsidRPr="0006628B" w:rsidRDefault="00FC6E5C" w:rsidP="00FC6E5C">
            <w:pPr>
              <w:jc w:val="center"/>
              <w:rPr>
                <w:highlight w:val="yellow"/>
              </w:rPr>
            </w:pPr>
          </w:p>
        </w:tc>
        <w:tc>
          <w:tcPr>
            <w:tcW w:w="910" w:type="pct"/>
            <w:vMerge/>
            <w:tcBorders>
              <w:left w:val="single" w:sz="6" w:space="0" w:color="000000"/>
            </w:tcBorders>
            <w:vAlign w:val="center"/>
          </w:tcPr>
          <w:p w14:paraId="54787D3E" w14:textId="77777777" w:rsidR="00FC6E5C" w:rsidRPr="0006628B" w:rsidRDefault="00FC6E5C" w:rsidP="00FC6E5C">
            <w:pPr>
              <w:jc w:val="center"/>
              <w:rPr>
                <w:highlight w:val="yellow"/>
              </w:rPr>
            </w:pPr>
          </w:p>
        </w:tc>
      </w:tr>
      <w:tr w:rsidR="00FC6E5C" w:rsidRPr="0006628B" w14:paraId="2C22FE5F" w14:textId="77777777" w:rsidTr="00FC6E5C">
        <w:trPr>
          <w:trHeight w:val="57"/>
          <w:jc w:val="center"/>
        </w:trPr>
        <w:tc>
          <w:tcPr>
            <w:tcW w:w="203" w:type="pct"/>
            <w:vMerge/>
            <w:tcBorders>
              <w:right w:val="single" w:sz="6" w:space="0" w:color="000000"/>
            </w:tcBorders>
            <w:vAlign w:val="center"/>
          </w:tcPr>
          <w:p w14:paraId="45C595EE" w14:textId="77777777" w:rsidR="00FC6E5C" w:rsidRPr="0006628B" w:rsidRDefault="00FC6E5C" w:rsidP="00FC6E5C">
            <w:pPr>
              <w:jc w:val="center"/>
              <w:rPr>
                <w:highlight w:val="yellow"/>
              </w:rPr>
            </w:pPr>
          </w:p>
        </w:tc>
        <w:tc>
          <w:tcPr>
            <w:tcW w:w="385" w:type="pct"/>
            <w:vMerge/>
            <w:tcBorders>
              <w:left w:val="single" w:sz="6" w:space="0" w:color="000000"/>
              <w:right w:val="single" w:sz="6" w:space="0" w:color="000000"/>
            </w:tcBorders>
            <w:vAlign w:val="center"/>
          </w:tcPr>
          <w:p w14:paraId="4815AE11" w14:textId="77777777" w:rsidR="00FC6E5C" w:rsidRPr="0006628B" w:rsidRDefault="00FC6E5C" w:rsidP="00FC6E5C">
            <w:pPr>
              <w:jc w:val="center"/>
              <w:rPr>
                <w:highlight w:val="yellow"/>
              </w:rPr>
            </w:pPr>
          </w:p>
        </w:tc>
        <w:tc>
          <w:tcPr>
            <w:tcW w:w="435" w:type="pct"/>
            <w:vMerge/>
            <w:tcBorders>
              <w:left w:val="single" w:sz="6" w:space="0" w:color="000000"/>
              <w:right w:val="single" w:sz="6" w:space="0" w:color="000000"/>
            </w:tcBorders>
            <w:vAlign w:val="center"/>
          </w:tcPr>
          <w:p w14:paraId="02C39D84" w14:textId="77777777" w:rsidR="00FC6E5C" w:rsidRPr="0006628B" w:rsidRDefault="00FC6E5C" w:rsidP="00FC6E5C">
            <w:pPr>
              <w:jc w:val="center"/>
              <w:rPr>
                <w:highlight w:val="yellow"/>
              </w:rPr>
            </w:pPr>
          </w:p>
        </w:tc>
        <w:tc>
          <w:tcPr>
            <w:tcW w:w="552" w:type="pct"/>
            <w:tcBorders>
              <w:top w:val="single" w:sz="4" w:space="0" w:color="000000"/>
              <w:left w:val="nil"/>
              <w:bottom w:val="single" w:sz="4" w:space="0" w:color="000000"/>
              <w:right w:val="single" w:sz="4" w:space="0" w:color="000000"/>
            </w:tcBorders>
            <w:vAlign w:val="center"/>
          </w:tcPr>
          <w:p w14:paraId="257E948A" w14:textId="70ABA20E" w:rsidR="00FC6E5C" w:rsidRPr="00D00795" w:rsidRDefault="00FC6E5C" w:rsidP="00FC6E5C">
            <w:pPr>
              <w:jc w:val="center"/>
            </w:pPr>
            <w:r w:rsidRPr="00D00795">
              <w:rPr>
                <w:rFonts w:hint="eastAsia"/>
              </w:rPr>
              <w:t>氯化物</w:t>
            </w:r>
          </w:p>
        </w:tc>
        <w:tc>
          <w:tcPr>
            <w:tcW w:w="502" w:type="pct"/>
            <w:tcBorders>
              <w:top w:val="single" w:sz="4" w:space="0" w:color="000000"/>
              <w:left w:val="single" w:sz="4" w:space="0" w:color="000000"/>
              <w:bottom w:val="single" w:sz="4" w:space="0" w:color="000000"/>
              <w:right w:val="single" w:sz="4" w:space="0" w:color="000000"/>
            </w:tcBorders>
            <w:vAlign w:val="center"/>
          </w:tcPr>
          <w:p w14:paraId="041545D6" w14:textId="7CF9DF09" w:rsidR="00FC6E5C" w:rsidRPr="00D00795" w:rsidRDefault="00FC6E5C" w:rsidP="00FC6E5C">
            <w:pPr>
              <w:jc w:val="center"/>
              <w:rPr>
                <w:rFonts w:eastAsiaTheme="minorEastAsia"/>
              </w:rPr>
            </w:pPr>
            <w:r w:rsidRPr="00D00795">
              <w:rPr>
                <w:rFonts w:hint="eastAsia"/>
                <w:sz w:val="22"/>
                <w:szCs w:val="22"/>
              </w:rPr>
              <w:t xml:space="preserve">64.82 </w:t>
            </w:r>
          </w:p>
        </w:tc>
        <w:tc>
          <w:tcPr>
            <w:tcW w:w="543" w:type="pct"/>
            <w:tcBorders>
              <w:top w:val="single" w:sz="4" w:space="0" w:color="000000"/>
              <w:left w:val="single" w:sz="4" w:space="0" w:color="000000"/>
              <w:bottom w:val="single" w:sz="4" w:space="0" w:color="000000"/>
              <w:right w:val="single" w:sz="4" w:space="0" w:color="000000"/>
            </w:tcBorders>
            <w:vAlign w:val="center"/>
          </w:tcPr>
          <w:p w14:paraId="3F24C2BD" w14:textId="41E7029B" w:rsidR="00FC6E5C" w:rsidRPr="00FC6E5C" w:rsidRDefault="00FC6E5C" w:rsidP="00FC6E5C">
            <w:pPr>
              <w:jc w:val="center"/>
              <w:rPr>
                <w:rFonts w:eastAsiaTheme="minorEastAsia"/>
              </w:rPr>
            </w:pPr>
            <w:r w:rsidRPr="00FC6E5C">
              <w:rPr>
                <w:color w:val="000000"/>
              </w:rPr>
              <w:t>250</w:t>
            </w:r>
          </w:p>
        </w:tc>
        <w:tc>
          <w:tcPr>
            <w:tcW w:w="543" w:type="pct"/>
            <w:tcBorders>
              <w:left w:val="single" w:sz="4" w:space="0" w:color="000000"/>
              <w:right w:val="single" w:sz="6" w:space="0" w:color="000000"/>
            </w:tcBorders>
            <w:vAlign w:val="center"/>
          </w:tcPr>
          <w:p w14:paraId="004F95A5" w14:textId="097B54A3" w:rsidR="00FC6E5C" w:rsidRPr="00FC6E5C" w:rsidRDefault="00FC6E5C" w:rsidP="00FC6E5C">
            <w:pPr>
              <w:jc w:val="center"/>
            </w:pPr>
            <w:r w:rsidRPr="00FC6E5C">
              <w:t>/</w:t>
            </w:r>
          </w:p>
        </w:tc>
        <w:tc>
          <w:tcPr>
            <w:tcW w:w="382" w:type="pct"/>
            <w:tcBorders>
              <w:left w:val="single" w:sz="6" w:space="0" w:color="000000"/>
              <w:right w:val="single" w:sz="6" w:space="0" w:color="000000"/>
            </w:tcBorders>
            <w:vAlign w:val="center"/>
          </w:tcPr>
          <w:p w14:paraId="082C8B46" w14:textId="5B6A9F4B" w:rsidR="00FC6E5C" w:rsidRPr="00FC6E5C" w:rsidRDefault="00FC6E5C" w:rsidP="00FC6E5C">
            <w:pPr>
              <w:jc w:val="center"/>
            </w:pPr>
            <w:r w:rsidRPr="00FC6E5C">
              <w:t>/</w:t>
            </w:r>
          </w:p>
        </w:tc>
        <w:tc>
          <w:tcPr>
            <w:tcW w:w="545" w:type="pct"/>
            <w:vMerge/>
            <w:tcBorders>
              <w:left w:val="single" w:sz="6" w:space="0" w:color="000000"/>
              <w:right w:val="single" w:sz="6" w:space="0" w:color="000000"/>
            </w:tcBorders>
            <w:vAlign w:val="center"/>
          </w:tcPr>
          <w:p w14:paraId="2FE7B5FA" w14:textId="77777777" w:rsidR="00FC6E5C" w:rsidRPr="0006628B" w:rsidRDefault="00FC6E5C" w:rsidP="00FC6E5C">
            <w:pPr>
              <w:jc w:val="center"/>
              <w:rPr>
                <w:highlight w:val="yellow"/>
              </w:rPr>
            </w:pPr>
          </w:p>
        </w:tc>
        <w:tc>
          <w:tcPr>
            <w:tcW w:w="910" w:type="pct"/>
            <w:vMerge/>
            <w:tcBorders>
              <w:left w:val="single" w:sz="6" w:space="0" w:color="000000"/>
            </w:tcBorders>
            <w:vAlign w:val="center"/>
          </w:tcPr>
          <w:p w14:paraId="673D0CDA" w14:textId="77777777" w:rsidR="00FC6E5C" w:rsidRPr="0006628B" w:rsidRDefault="00FC6E5C" w:rsidP="00FC6E5C">
            <w:pPr>
              <w:jc w:val="center"/>
              <w:rPr>
                <w:highlight w:val="yellow"/>
              </w:rPr>
            </w:pPr>
          </w:p>
        </w:tc>
      </w:tr>
      <w:tr w:rsidR="00FC6E5C" w:rsidRPr="0006628B" w14:paraId="48231DE1" w14:textId="77777777" w:rsidTr="00FC6E5C">
        <w:trPr>
          <w:trHeight w:val="57"/>
          <w:jc w:val="center"/>
        </w:trPr>
        <w:tc>
          <w:tcPr>
            <w:tcW w:w="203" w:type="pct"/>
            <w:vMerge/>
            <w:tcBorders>
              <w:right w:val="single" w:sz="6" w:space="0" w:color="000000"/>
            </w:tcBorders>
            <w:vAlign w:val="center"/>
          </w:tcPr>
          <w:p w14:paraId="55854559" w14:textId="77777777" w:rsidR="00FC6E5C" w:rsidRPr="0006628B" w:rsidRDefault="00FC6E5C" w:rsidP="00FC6E5C">
            <w:pPr>
              <w:jc w:val="center"/>
              <w:rPr>
                <w:highlight w:val="yellow"/>
              </w:rPr>
            </w:pPr>
          </w:p>
        </w:tc>
        <w:tc>
          <w:tcPr>
            <w:tcW w:w="385" w:type="pct"/>
            <w:vMerge/>
            <w:tcBorders>
              <w:left w:val="single" w:sz="6" w:space="0" w:color="000000"/>
              <w:right w:val="single" w:sz="6" w:space="0" w:color="000000"/>
            </w:tcBorders>
            <w:vAlign w:val="center"/>
          </w:tcPr>
          <w:p w14:paraId="74C24211" w14:textId="77777777" w:rsidR="00FC6E5C" w:rsidRPr="0006628B" w:rsidRDefault="00FC6E5C" w:rsidP="00FC6E5C">
            <w:pPr>
              <w:jc w:val="center"/>
              <w:rPr>
                <w:highlight w:val="yellow"/>
              </w:rPr>
            </w:pPr>
          </w:p>
        </w:tc>
        <w:tc>
          <w:tcPr>
            <w:tcW w:w="435" w:type="pct"/>
            <w:vMerge/>
            <w:tcBorders>
              <w:left w:val="single" w:sz="6" w:space="0" w:color="000000"/>
              <w:right w:val="single" w:sz="6" w:space="0" w:color="000000"/>
            </w:tcBorders>
            <w:vAlign w:val="center"/>
          </w:tcPr>
          <w:p w14:paraId="5B6D851A" w14:textId="77777777" w:rsidR="00FC6E5C" w:rsidRPr="0006628B" w:rsidRDefault="00FC6E5C" w:rsidP="00FC6E5C">
            <w:pPr>
              <w:jc w:val="center"/>
              <w:rPr>
                <w:highlight w:val="yellow"/>
              </w:rPr>
            </w:pPr>
          </w:p>
        </w:tc>
        <w:tc>
          <w:tcPr>
            <w:tcW w:w="552" w:type="pct"/>
            <w:tcBorders>
              <w:top w:val="single" w:sz="4" w:space="0" w:color="000000"/>
              <w:left w:val="nil"/>
              <w:bottom w:val="single" w:sz="4" w:space="0" w:color="000000"/>
              <w:right w:val="single" w:sz="4" w:space="0" w:color="000000"/>
            </w:tcBorders>
            <w:vAlign w:val="center"/>
          </w:tcPr>
          <w:p w14:paraId="13982B43" w14:textId="5EE92628" w:rsidR="00FC6E5C" w:rsidRPr="00D00795" w:rsidRDefault="00FC6E5C" w:rsidP="00FC6E5C">
            <w:pPr>
              <w:jc w:val="center"/>
            </w:pPr>
            <w:r w:rsidRPr="00D00795">
              <w:rPr>
                <w:rFonts w:hint="eastAsia"/>
                <w:sz w:val="22"/>
                <w:szCs w:val="22"/>
              </w:rPr>
              <w:t>二氧化硅</w:t>
            </w:r>
          </w:p>
        </w:tc>
        <w:tc>
          <w:tcPr>
            <w:tcW w:w="502" w:type="pct"/>
            <w:tcBorders>
              <w:top w:val="single" w:sz="4" w:space="0" w:color="000000"/>
              <w:left w:val="single" w:sz="4" w:space="0" w:color="000000"/>
              <w:bottom w:val="single" w:sz="4" w:space="0" w:color="000000"/>
              <w:right w:val="single" w:sz="4" w:space="0" w:color="000000"/>
            </w:tcBorders>
            <w:vAlign w:val="center"/>
          </w:tcPr>
          <w:p w14:paraId="4FC063A2" w14:textId="18EE48FE" w:rsidR="00FC6E5C" w:rsidRPr="00D00795" w:rsidRDefault="00FC6E5C" w:rsidP="00FC6E5C">
            <w:pPr>
              <w:jc w:val="center"/>
              <w:rPr>
                <w:rFonts w:eastAsiaTheme="minorEastAsia"/>
              </w:rPr>
            </w:pPr>
            <w:r w:rsidRPr="00D00795">
              <w:rPr>
                <w:rFonts w:hint="eastAsia"/>
                <w:sz w:val="22"/>
                <w:szCs w:val="22"/>
              </w:rPr>
              <w:t xml:space="preserve">29.50 </w:t>
            </w:r>
          </w:p>
        </w:tc>
        <w:tc>
          <w:tcPr>
            <w:tcW w:w="543" w:type="pct"/>
            <w:tcBorders>
              <w:top w:val="single" w:sz="4" w:space="0" w:color="000000"/>
              <w:left w:val="single" w:sz="4" w:space="0" w:color="000000"/>
              <w:bottom w:val="single" w:sz="4" w:space="0" w:color="000000"/>
              <w:right w:val="single" w:sz="4" w:space="0" w:color="000000"/>
            </w:tcBorders>
            <w:vAlign w:val="center"/>
          </w:tcPr>
          <w:p w14:paraId="22BB23D5" w14:textId="565BCA2D" w:rsidR="00FC6E5C" w:rsidRPr="00FC6E5C" w:rsidRDefault="00FC6E5C" w:rsidP="00FC6E5C">
            <w:pPr>
              <w:jc w:val="center"/>
              <w:rPr>
                <w:rFonts w:eastAsiaTheme="minorEastAsia"/>
              </w:rPr>
            </w:pPr>
            <w:r w:rsidRPr="00FC6E5C">
              <w:rPr>
                <w:color w:val="000000"/>
              </w:rPr>
              <w:t>30</w:t>
            </w:r>
          </w:p>
        </w:tc>
        <w:tc>
          <w:tcPr>
            <w:tcW w:w="543" w:type="pct"/>
            <w:tcBorders>
              <w:left w:val="single" w:sz="4" w:space="0" w:color="000000"/>
              <w:right w:val="single" w:sz="6" w:space="0" w:color="000000"/>
            </w:tcBorders>
            <w:vAlign w:val="center"/>
          </w:tcPr>
          <w:p w14:paraId="005A5E07" w14:textId="246DF549" w:rsidR="00FC6E5C" w:rsidRPr="00FC6E5C" w:rsidRDefault="00FC6E5C" w:rsidP="00FC6E5C">
            <w:pPr>
              <w:jc w:val="center"/>
            </w:pPr>
            <w:r w:rsidRPr="00FC6E5C">
              <w:t>/</w:t>
            </w:r>
          </w:p>
        </w:tc>
        <w:tc>
          <w:tcPr>
            <w:tcW w:w="382" w:type="pct"/>
            <w:tcBorders>
              <w:left w:val="single" w:sz="6" w:space="0" w:color="000000"/>
              <w:right w:val="single" w:sz="6" w:space="0" w:color="000000"/>
            </w:tcBorders>
            <w:vAlign w:val="center"/>
          </w:tcPr>
          <w:p w14:paraId="25D5D623" w14:textId="2967C0B8" w:rsidR="00FC6E5C" w:rsidRPr="00FC6E5C" w:rsidRDefault="00FC6E5C" w:rsidP="00FC6E5C">
            <w:pPr>
              <w:jc w:val="center"/>
            </w:pPr>
            <w:r w:rsidRPr="00FC6E5C">
              <w:t>/</w:t>
            </w:r>
          </w:p>
        </w:tc>
        <w:tc>
          <w:tcPr>
            <w:tcW w:w="545" w:type="pct"/>
            <w:vMerge/>
            <w:tcBorders>
              <w:left w:val="single" w:sz="6" w:space="0" w:color="000000"/>
              <w:right w:val="single" w:sz="6" w:space="0" w:color="000000"/>
            </w:tcBorders>
            <w:vAlign w:val="center"/>
          </w:tcPr>
          <w:p w14:paraId="1784BAE9" w14:textId="77777777" w:rsidR="00FC6E5C" w:rsidRPr="0006628B" w:rsidRDefault="00FC6E5C" w:rsidP="00FC6E5C">
            <w:pPr>
              <w:jc w:val="center"/>
              <w:rPr>
                <w:highlight w:val="yellow"/>
              </w:rPr>
            </w:pPr>
          </w:p>
        </w:tc>
        <w:tc>
          <w:tcPr>
            <w:tcW w:w="910" w:type="pct"/>
            <w:vMerge/>
            <w:tcBorders>
              <w:left w:val="single" w:sz="6" w:space="0" w:color="000000"/>
            </w:tcBorders>
            <w:vAlign w:val="center"/>
          </w:tcPr>
          <w:p w14:paraId="5A03355D" w14:textId="77777777" w:rsidR="00FC6E5C" w:rsidRPr="0006628B" w:rsidRDefault="00FC6E5C" w:rsidP="00FC6E5C">
            <w:pPr>
              <w:jc w:val="center"/>
              <w:rPr>
                <w:highlight w:val="yellow"/>
              </w:rPr>
            </w:pPr>
          </w:p>
        </w:tc>
      </w:tr>
      <w:tr w:rsidR="00FC6E5C" w:rsidRPr="0006628B" w14:paraId="335A1F04" w14:textId="77777777" w:rsidTr="00FC6E5C">
        <w:trPr>
          <w:trHeight w:val="57"/>
          <w:jc w:val="center"/>
        </w:trPr>
        <w:tc>
          <w:tcPr>
            <w:tcW w:w="203" w:type="pct"/>
            <w:vMerge/>
            <w:tcBorders>
              <w:right w:val="single" w:sz="6" w:space="0" w:color="000000"/>
            </w:tcBorders>
            <w:vAlign w:val="center"/>
          </w:tcPr>
          <w:p w14:paraId="063E2C90" w14:textId="77777777" w:rsidR="00FC6E5C" w:rsidRPr="0006628B" w:rsidRDefault="00FC6E5C" w:rsidP="00FC6E5C">
            <w:pPr>
              <w:jc w:val="center"/>
              <w:rPr>
                <w:highlight w:val="yellow"/>
              </w:rPr>
            </w:pPr>
          </w:p>
        </w:tc>
        <w:tc>
          <w:tcPr>
            <w:tcW w:w="385" w:type="pct"/>
            <w:vMerge/>
            <w:tcBorders>
              <w:left w:val="single" w:sz="6" w:space="0" w:color="000000"/>
              <w:right w:val="single" w:sz="6" w:space="0" w:color="000000"/>
            </w:tcBorders>
            <w:vAlign w:val="center"/>
          </w:tcPr>
          <w:p w14:paraId="1A405267" w14:textId="77777777" w:rsidR="00FC6E5C" w:rsidRPr="0006628B" w:rsidRDefault="00FC6E5C" w:rsidP="00FC6E5C">
            <w:pPr>
              <w:jc w:val="center"/>
              <w:rPr>
                <w:highlight w:val="yellow"/>
              </w:rPr>
            </w:pPr>
          </w:p>
        </w:tc>
        <w:tc>
          <w:tcPr>
            <w:tcW w:w="435" w:type="pct"/>
            <w:vMerge/>
            <w:tcBorders>
              <w:left w:val="single" w:sz="6" w:space="0" w:color="000000"/>
              <w:right w:val="single" w:sz="6" w:space="0" w:color="000000"/>
            </w:tcBorders>
            <w:vAlign w:val="center"/>
          </w:tcPr>
          <w:p w14:paraId="30A5F4D6" w14:textId="77777777" w:rsidR="00FC6E5C" w:rsidRPr="0006628B" w:rsidRDefault="00FC6E5C" w:rsidP="00FC6E5C">
            <w:pPr>
              <w:jc w:val="center"/>
              <w:rPr>
                <w:highlight w:val="yellow"/>
              </w:rPr>
            </w:pPr>
          </w:p>
        </w:tc>
        <w:tc>
          <w:tcPr>
            <w:tcW w:w="552" w:type="pct"/>
            <w:tcBorders>
              <w:top w:val="single" w:sz="4" w:space="0" w:color="000000"/>
              <w:left w:val="nil"/>
              <w:bottom w:val="single" w:sz="4" w:space="0" w:color="000000"/>
              <w:right w:val="single" w:sz="4" w:space="0" w:color="000000"/>
            </w:tcBorders>
            <w:vAlign w:val="center"/>
          </w:tcPr>
          <w:p w14:paraId="69AE9127" w14:textId="3169A53F" w:rsidR="00FC6E5C" w:rsidRPr="00D00795" w:rsidRDefault="00FC6E5C" w:rsidP="00FC6E5C">
            <w:pPr>
              <w:jc w:val="center"/>
            </w:pPr>
            <w:r w:rsidRPr="00D00795">
              <w:rPr>
                <w:rFonts w:hint="eastAsia"/>
                <w:sz w:val="22"/>
                <w:szCs w:val="22"/>
              </w:rPr>
              <w:t>总硬度</w:t>
            </w:r>
          </w:p>
        </w:tc>
        <w:tc>
          <w:tcPr>
            <w:tcW w:w="502" w:type="pct"/>
            <w:tcBorders>
              <w:top w:val="single" w:sz="4" w:space="0" w:color="000000"/>
              <w:left w:val="single" w:sz="4" w:space="0" w:color="000000"/>
              <w:bottom w:val="single" w:sz="4" w:space="0" w:color="000000"/>
              <w:right w:val="single" w:sz="4" w:space="0" w:color="000000"/>
            </w:tcBorders>
            <w:vAlign w:val="center"/>
          </w:tcPr>
          <w:p w14:paraId="69037615" w14:textId="08730155" w:rsidR="00FC6E5C" w:rsidRPr="00D00795" w:rsidRDefault="00FC6E5C" w:rsidP="00FC6E5C">
            <w:pPr>
              <w:jc w:val="center"/>
              <w:rPr>
                <w:rFonts w:eastAsiaTheme="minorEastAsia"/>
              </w:rPr>
            </w:pPr>
            <w:r w:rsidRPr="00D00795">
              <w:rPr>
                <w:rFonts w:hint="eastAsia"/>
                <w:sz w:val="22"/>
                <w:szCs w:val="22"/>
              </w:rPr>
              <w:t xml:space="preserve">241.50 </w:t>
            </w:r>
          </w:p>
        </w:tc>
        <w:tc>
          <w:tcPr>
            <w:tcW w:w="543" w:type="pct"/>
            <w:tcBorders>
              <w:top w:val="single" w:sz="4" w:space="0" w:color="000000"/>
              <w:left w:val="single" w:sz="4" w:space="0" w:color="000000"/>
              <w:bottom w:val="single" w:sz="4" w:space="0" w:color="000000"/>
              <w:right w:val="single" w:sz="4" w:space="0" w:color="000000"/>
            </w:tcBorders>
            <w:vAlign w:val="center"/>
          </w:tcPr>
          <w:p w14:paraId="44D5F991" w14:textId="1A680055" w:rsidR="00FC6E5C" w:rsidRPr="00FC6E5C" w:rsidRDefault="00FC6E5C" w:rsidP="00FC6E5C">
            <w:pPr>
              <w:jc w:val="center"/>
              <w:rPr>
                <w:rFonts w:eastAsiaTheme="minorEastAsia"/>
              </w:rPr>
            </w:pPr>
            <w:r w:rsidRPr="00FC6E5C">
              <w:rPr>
                <w:color w:val="000000"/>
              </w:rPr>
              <w:t>450</w:t>
            </w:r>
          </w:p>
        </w:tc>
        <w:tc>
          <w:tcPr>
            <w:tcW w:w="543" w:type="pct"/>
            <w:tcBorders>
              <w:left w:val="single" w:sz="4" w:space="0" w:color="000000"/>
              <w:right w:val="single" w:sz="6" w:space="0" w:color="000000"/>
            </w:tcBorders>
            <w:vAlign w:val="center"/>
          </w:tcPr>
          <w:p w14:paraId="5FD405C4" w14:textId="0C592C76" w:rsidR="00FC6E5C" w:rsidRPr="00FC6E5C" w:rsidRDefault="00FC6E5C" w:rsidP="00FC6E5C">
            <w:pPr>
              <w:jc w:val="center"/>
            </w:pPr>
            <w:r w:rsidRPr="00FC6E5C">
              <w:t>/</w:t>
            </w:r>
          </w:p>
        </w:tc>
        <w:tc>
          <w:tcPr>
            <w:tcW w:w="382" w:type="pct"/>
            <w:tcBorders>
              <w:left w:val="single" w:sz="6" w:space="0" w:color="000000"/>
              <w:right w:val="single" w:sz="6" w:space="0" w:color="000000"/>
            </w:tcBorders>
            <w:vAlign w:val="center"/>
          </w:tcPr>
          <w:p w14:paraId="63EE2517" w14:textId="540B67A2" w:rsidR="00FC6E5C" w:rsidRPr="00FC6E5C" w:rsidRDefault="00FC6E5C" w:rsidP="00FC6E5C">
            <w:pPr>
              <w:jc w:val="center"/>
            </w:pPr>
            <w:r w:rsidRPr="00FC6E5C">
              <w:t>/</w:t>
            </w:r>
          </w:p>
        </w:tc>
        <w:tc>
          <w:tcPr>
            <w:tcW w:w="545" w:type="pct"/>
            <w:vMerge/>
            <w:tcBorders>
              <w:left w:val="single" w:sz="6" w:space="0" w:color="000000"/>
              <w:right w:val="single" w:sz="6" w:space="0" w:color="000000"/>
            </w:tcBorders>
            <w:vAlign w:val="center"/>
          </w:tcPr>
          <w:p w14:paraId="4211CAFB" w14:textId="77777777" w:rsidR="00FC6E5C" w:rsidRPr="0006628B" w:rsidRDefault="00FC6E5C" w:rsidP="00FC6E5C">
            <w:pPr>
              <w:jc w:val="center"/>
              <w:rPr>
                <w:highlight w:val="yellow"/>
              </w:rPr>
            </w:pPr>
          </w:p>
        </w:tc>
        <w:tc>
          <w:tcPr>
            <w:tcW w:w="910" w:type="pct"/>
            <w:vMerge/>
            <w:tcBorders>
              <w:left w:val="single" w:sz="6" w:space="0" w:color="000000"/>
            </w:tcBorders>
            <w:vAlign w:val="center"/>
          </w:tcPr>
          <w:p w14:paraId="3FA4E10A" w14:textId="77777777" w:rsidR="00FC6E5C" w:rsidRPr="0006628B" w:rsidRDefault="00FC6E5C" w:rsidP="00FC6E5C">
            <w:pPr>
              <w:jc w:val="center"/>
              <w:rPr>
                <w:highlight w:val="yellow"/>
              </w:rPr>
            </w:pPr>
          </w:p>
        </w:tc>
      </w:tr>
      <w:tr w:rsidR="00FC6E5C" w:rsidRPr="0006628B" w14:paraId="2A903416" w14:textId="77777777" w:rsidTr="00FC6E5C">
        <w:trPr>
          <w:trHeight w:val="57"/>
          <w:jc w:val="center"/>
        </w:trPr>
        <w:tc>
          <w:tcPr>
            <w:tcW w:w="203" w:type="pct"/>
            <w:vMerge/>
            <w:tcBorders>
              <w:right w:val="single" w:sz="6" w:space="0" w:color="000000"/>
            </w:tcBorders>
            <w:vAlign w:val="center"/>
          </w:tcPr>
          <w:p w14:paraId="2364A2E3" w14:textId="77777777" w:rsidR="00FC6E5C" w:rsidRPr="0006628B" w:rsidRDefault="00FC6E5C" w:rsidP="00FC6E5C">
            <w:pPr>
              <w:jc w:val="center"/>
              <w:rPr>
                <w:highlight w:val="yellow"/>
              </w:rPr>
            </w:pPr>
          </w:p>
        </w:tc>
        <w:tc>
          <w:tcPr>
            <w:tcW w:w="385" w:type="pct"/>
            <w:vMerge/>
            <w:tcBorders>
              <w:left w:val="single" w:sz="6" w:space="0" w:color="000000"/>
              <w:right w:val="single" w:sz="6" w:space="0" w:color="000000"/>
            </w:tcBorders>
            <w:vAlign w:val="center"/>
          </w:tcPr>
          <w:p w14:paraId="66C9AE69" w14:textId="77777777" w:rsidR="00FC6E5C" w:rsidRPr="0006628B" w:rsidRDefault="00FC6E5C" w:rsidP="00FC6E5C">
            <w:pPr>
              <w:jc w:val="center"/>
              <w:rPr>
                <w:highlight w:val="yellow"/>
              </w:rPr>
            </w:pPr>
          </w:p>
        </w:tc>
        <w:tc>
          <w:tcPr>
            <w:tcW w:w="435" w:type="pct"/>
            <w:vMerge/>
            <w:tcBorders>
              <w:left w:val="single" w:sz="6" w:space="0" w:color="000000"/>
              <w:right w:val="single" w:sz="6" w:space="0" w:color="000000"/>
            </w:tcBorders>
            <w:vAlign w:val="center"/>
          </w:tcPr>
          <w:p w14:paraId="6234EB14" w14:textId="77777777" w:rsidR="00FC6E5C" w:rsidRPr="0006628B" w:rsidRDefault="00FC6E5C" w:rsidP="00FC6E5C">
            <w:pPr>
              <w:jc w:val="center"/>
              <w:rPr>
                <w:highlight w:val="yellow"/>
              </w:rPr>
            </w:pPr>
          </w:p>
        </w:tc>
        <w:tc>
          <w:tcPr>
            <w:tcW w:w="552" w:type="pct"/>
            <w:tcBorders>
              <w:top w:val="single" w:sz="4" w:space="0" w:color="000000"/>
              <w:left w:val="nil"/>
              <w:bottom w:val="single" w:sz="4" w:space="0" w:color="000000"/>
              <w:right w:val="single" w:sz="4" w:space="0" w:color="000000"/>
            </w:tcBorders>
            <w:vAlign w:val="center"/>
          </w:tcPr>
          <w:p w14:paraId="232B3E8D" w14:textId="3CF53E20" w:rsidR="00FC6E5C" w:rsidRPr="00D00795" w:rsidRDefault="00FC6E5C" w:rsidP="00FC6E5C">
            <w:pPr>
              <w:jc w:val="center"/>
            </w:pPr>
            <w:r w:rsidRPr="00D00795">
              <w:rPr>
                <w:rFonts w:hint="eastAsia"/>
                <w:sz w:val="22"/>
                <w:szCs w:val="22"/>
              </w:rPr>
              <w:t>总碱度</w:t>
            </w:r>
          </w:p>
        </w:tc>
        <w:tc>
          <w:tcPr>
            <w:tcW w:w="502" w:type="pct"/>
            <w:tcBorders>
              <w:top w:val="single" w:sz="4" w:space="0" w:color="000000"/>
              <w:left w:val="single" w:sz="4" w:space="0" w:color="000000"/>
              <w:bottom w:val="single" w:sz="4" w:space="0" w:color="000000"/>
              <w:right w:val="single" w:sz="4" w:space="0" w:color="000000"/>
            </w:tcBorders>
            <w:vAlign w:val="center"/>
          </w:tcPr>
          <w:p w14:paraId="4D0B6A5C" w14:textId="3F06D12D" w:rsidR="00FC6E5C" w:rsidRPr="00D00795" w:rsidRDefault="00FC6E5C" w:rsidP="00FC6E5C">
            <w:pPr>
              <w:jc w:val="center"/>
              <w:rPr>
                <w:rFonts w:eastAsiaTheme="minorEastAsia"/>
              </w:rPr>
            </w:pPr>
            <w:r w:rsidRPr="00D00795">
              <w:rPr>
                <w:rFonts w:hint="eastAsia"/>
                <w:sz w:val="22"/>
                <w:szCs w:val="22"/>
              </w:rPr>
              <w:t xml:space="preserve">276.00 </w:t>
            </w:r>
          </w:p>
        </w:tc>
        <w:tc>
          <w:tcPr>
            <w:tcW w:w="543" w:type="pct"/>
            <w:tcBorders>
              <w:top w:val="single" w:sz="4" w:space="0" w:color="000000"/>
              <w:left w:val="single" w:sz="4" w:space="0" w:color="000000"/>
              <w:bottom w:val="single" w:sz="4" w:space="0" w:color="000000"/>
              <w:right w:val="single" w:sz="4" w:space="0" w:color="000000"/>
            </w:tcBorders>
            <w:vAlign w:val="center"/>
          </w:tcPr>
          <w:p w14:paraId="49FC1BAB" w14:textId="22E18A82" w:rsidR="00FC6E5C" w:rsidRPr="00FC6E5C" w:rsidRDefault="00FC6E5C" w:rsidP="00FC6E5C">
            <w:pPr>
              <w:jc w:val="center"/>
              <w:rPr>
                <w:rFonts w:eastAsiaTheme="minorEastAsia"/>
              </w:rPr>
            </w:pPr>
            <w:r w:rsidRPr="00FC6E5C">
              <w:rPr>
                <w:color w:val="000000"/>
              </w:rPr>
              <w:t>350</w:t>
            </w:r>
          </w:p>
        </w:tc>
        <w:tc>
          <w:tcPr>
            <w:tcW w:w="543" w:type="pct"/>
            <w:tcBorders>
              <w:left w:val="single" w:sz="4" w:space="0" w:color="000000"/>
              <w:right w:val="single" w:sz="6" w:space="0" w:color="000000"/>
            </w:tcBorders>
            <w:vAlign w:val="center"/>
          </w:tcPr>
          <w:p w14:paraId="67BE5D90" w14:textId="5493979A" w:rsidR="00FC6E5C" w:rsidRPr="00FC6E5C" w:rsidRDefault="00FC6E5C" w:rsidP="00FC6E5C">
            <w:pPr>
              <w:jc w:val="center"/>
            </w:pPr>
            <w:r w:rsidRPr="00FC6E5C">
              <w:t>/</w:t>
            </w:r>
          </w:p>
        </w:tc>
        <w:tc>
          <w:tcPr>
            <w:tcW w:w="382" w:type="pct"/>
            <w:tcBorders>
              <w:left w:val="single" w:sz="6" w:space="0" w:color="000000"/>
              <w:right w:val="single" w:sz="6" w:space="0" w:color="000000"/>
            </w:tcBorders>
            <w:vAlign w:val="center"/>
          </w:tcPr>
          <w:p w14:paraId="0D18537A" w14:textId="3D2BE269" w:rsidR="00FC6E5C" w:rsidRPr="00FC6E5C" w:rsidRDefault="00FC6E5C" w:rsidP="00FC6E5C">
            <w:pPr>
              <w:jc w:val="center"/>
            </w:pPr>
            <w:r w:rsidRPr="00FC6E5C">
              <w:t>/</w:t>
            </w:r>
          </w:p>
        </w:tc>
        <w:tc>
          <w:tcPr>
            <w:tcW w:w="545" w:type="pct"/>
            <w:vMerge/>
            <w:tcBorders>
              <w:left w:val="single" w:sz="6" w:space="0" w:color="000000"/>
              <w:right w:val="single" w:sz="6" w:space="0" w:color="000000"/>
            </w:tcBorders>
            <w:vAlign w:val="center"/>
          </w:tcPr>
          <w:p w14:paraId="794733F4" w14:textId="77777777" w:rsidR="00FC6E5C" w:rsidRPr="0006628B" w:rsidRDefault="00FC6E5C" w:rsidP="00FC6E5C">
            <w:pPr>
              <w:jc w:val="center"/>
              <w:rPr>
                <w:highlight w:val="yellow"/>
              </w:rPr>
            </w:pPr>
          </w:p>
        </w:tc>
        <w:tc>
          <w:tcPr>
            <w:tcW w:w="910" w:type="pct"/>
            <w:vMerge/>
            <w:tcBorders>
              <w:left w:val="single" w:sz="6" w:space="0" w:color="000000"/>
            </w:tcBorders>
            <w:vAlign w:val="center"/>
          </w:tcPr>
          <w:p w14:paraId="3BA1002B" w14:textId="77777777" w:rsidR="00FC6E5C" w:rsidRPr="0006628B" w:rsidRDefault="00FC6E5C" w:rsidP="00FC6E5C">
            <w:pPr>
              <w:jc w:val="center"/>
              <w:rPr>
                <w:highlight w:val="yellow"/>
              </w:rPr>
            </w:pPr>
          </w:p>
        </w:tc>
      </w:tr>
      <w:tr w:rsidR="00FC6E5C" w:rsidRPr="0006628B" w14:paraId="7FCCA302" w14:textId="77777777" w:rsidTr="00FC6E5C">
        <w:trPr>
          <w:trHeight w:val="57"/>
          <w:jc w:val="center"/>
        </w:trPr>
        <w:tc>
          <w:tcPr>
            <w:tcW w:w="203" w:type="pct"/>
            <w:vMerge/>
            <w:tcBorders>
              <w:right w:val="single" w:sz="6" w:space="0" w:color="000000"/>
            </w:tcBorders>
            <w:vAlign w:val="center"/>
          </w:tcPr>
          <w:p w14:paraId="08A79524" w14:textId="77777777" w:rsidR="00FC6E5C" w:rsidRPr="0006628B" w:rsidRDefault="00FC6E5C" w:rsidP="00FC6E5C">
            <w:pPr>
              <w:jc w:val="center"/>
              <w:rPr>
                <w:highlight w:val="yellow"/>
              </w:rPr>
            </w:pPr>
          </w:p>
        </w:tc>
        <w:tc>
          <w:tcPr>
            <w:tcW w:w="385" w:type="pct"/>
            <w:vMerge/>
            <w:tcBorders>
              <w:left w:val="single" w:sz="6" w:space="0" w:color="000000"/>
              <w:right w:val="single" w:sz="6" w:space="0" w:color="000000"/>
            </w:tcBorders>
            <w:vAlign w:val="center"/>
          </w:tcPr>
          <w:p w14:paraId="20114BD7" w14:textId="77777777" w:rsidR="00FC6E5C" w:rsidRPr="0006628B" w:rsidRDefault="00FC6E5C" w:rsidP="00FC6E5C">
            <w:pPr>
              <w:jc w:val="center"/>
              <w:rPr>
                <w:highlight w:val="yellow"/>
              </w:rPr>
            </w:pPr>
          </w:p>
        </w:tc>
        <w:tc>
          <w:tcPr>
            <w:tcW w:w="435" w:type="pct"/>
            <w:vMerge/>
            <w:tcBorders>
              <w:left w:val="single" w:sz="6" w:space="0" w:color="000000"/>
              <w:right w:val="single" w:sz="6" w:space="0" w:color="000000"/>
            </w:tcBorders>
            <w:vAlign w:val="center"/>
          </w:tcPr>
          <w:p w14:paraId="52972EB4" w14:textId="77777777" w:rsidR="00FC6E5C" w:rsidRPr="0006628B" w:rsidRDefault="00FC6E5C" w:rsidP="00FC6E5C">
            <w:pPr>
              <w:jc w:val="center"/>
              <w:rPr>
                <w:highlight w:val="yellow"/>
              </w:rPr>
            </w:pPr>
          </w:p>
        </w:tc>
        <w:tc>
          <w:tcPr>
            <w:tcW w:w="552" w:type="pct"/>
            <w:tcBorders>
              <w:top w:val="single" w:sz="4" w:space="0" w:color="000000"/>
              <w:left w:val="nil"/>
              <w:bottom w:val="single" w:sz="4" w:space="0" w:color="000000"/>
              <w:right w:val="single" w:sz="4" w:space="0" w:color="000000"/>
            </w:tcBorders>
            <w:vAlign w:val="center"/>
          </w:tcPr>
          <w:p w14:paraId="0CE780B1" w14:textId="275D1C1B" w:rsidR="00FC6E5C" w:rsidRPr="00D00795" w:rsidRDefault="00FC6E5C" w:rsidP="00FC6E5C">
            <w:pPr>
              <w:jc w:val="center"/>
            </w:pPr>
            <w:r w:rsidRPr="00D00795">
              <w:rPr>
                <w:rFonts w:hint="eastAsia"/>
                <w:sz w:val="22"/>
                <w:szCs w:val="22"/>
              </w:rPr>
              <w:t>硫酸盐</w:t>
            </w:r>
          </w:p>
        </w:tc>
        <w:tc>
          <w:tcPr>
            <w:tcW w:w="502" w:type="pct"/>
            <w:tcBorders>
              <w:top w:val="single" w:sz="4" w:space="0" w:color="000000"/>
              <w:left w:val="single" w:sz="4" w:space="0" w:color="000000"/>
              <w:bottom w:val="single" w:sz="4" w:space="0" w:color="000000"/>
              <w:right w:val="single" w:sz="4" w:space="0" w:color="000000"/>
            </w:tcBorders>
            <w:vAlign w:val="center"/>
          </w:tcPr>
          <w:p w14:paraId="2840BCDA" w14:textId="03938724" w:rsidR="00FC6E5C" w:rsidRPr="00D00795" w:rsidRDefault="00FC6E5C" w:rsidP="00FC6E5C">
            <w:pPr>
              <w:jc w:val="center"/>
              <w:rPr>
                <w:rFonts w:eastAsiaTheme="minorEastAsia"/>
              </w:rPr>
            </w:pPr>
            <w:r w:rsidRPr="00D00795">
              <w:rPr>
                <w:rFonts w:hint="eastAsia"/>
                <w:sz w:val="22"/>
                <w:szCs w:val="22"/>
              </w:rPr>
              <w:t xml:space="preserve">74.43 </w:t>
            </w:r>
          </w:p>
        </w:tc>
        <w:tc>
          <w:tcPr>
            <w:tcW w:w="543" w:type="pct"/>
            <w:tcBorders>
              <w:top w:val="single" w:sz="4" w:space="0" w:color="000000"/>
              <w:left w:val="single" w:sz="4" w:space="0" w:color="000000"/>
              <w:bottom w:val="single" w:sz="4" w:space="0" w:color="000000"/>
              <w:right w:val="single" w:sz="4" w:space="0" w:color="000000"/>
            </w:tcBorders>
            <w:vAlign w:val="center"/>
          </w:tcPr>
          <w:p w14:paraId="5699B3A9" w14:textId="418B5799" w:rsidR="00FC6E5C" w:rsidRPr="00FC6E5C" w:rsidRDefault="00FC6E5C" w:rsidP="00FC6E5C">
            <w:pPr>
              <w:jc w:val="center"/>
              <w:rPr>
                <w:rFonts w:eastAsiaTheme="minorEastAsia"/>
              </w:rPr>
            </w:pPr>
            <w:r w:rsidRPr="00FC6E5C">
              <w:rPr>
                <w:color w:val="000000"/>
              </w:rPr>
              <w:t>250</w:t>
            </w:r>
          </w:p>
        </w:tc>
        <w:tc>
          <w:tcPr>
            <w:tcW w:w="543" w:type="pct"/>
            <w:tcBorders>
              <w:left w:val="single" w:sz="4" w:space="0" w:color="000000"/>
              <w:right w:val="single" w:sz="6" w:space="0" w:color="000000"/>
            </w:tcBorders>
            <w:vAlign w:val="center"/>
          </w:tcPr>
          <w:p w14:paraId="618E4AA3" w14:textId="5799AC76" w:rsidR="00FC6E5C" w:rsidRPr="00FC6E5C" w:rsidRDefault="00FC6E5C" w:rsidP="00FC6E5C">
            <w:pPr>
              <w:jc w:val="center"/>
            </w:pPr>
            <w:r w:rsidRPr="00FC6E5C">
              <w:t>/</w:t>
            </w:r>
          </w:p>
        </w:tc>
        <w:tc>
          <w:tcPr>
            <w:tcW w:w="382" w:type="pct"/>
            <w:tcBorders>
              <w:left w:val="single" w:sz="6" w:space="0" w:color="000000"/>
              <w:right w:val="single" w:sz="6" w:space="0" w:color="000000"/>
            </w:tcBorders>
            <w:vAlign w:val="center"/>
          </w:tcPr>
          <w:p w14:paraId="2AD22CCD" w14:textId="3D7A0E4C" w:rsidR="00FC6E5C" w:rsidRPr="00FC6E5C" w:rsidRDefault="00FC6E5C" w:rsidP="00FC6E5C">
            <w:pPr>
              <w:jc w:val="center"/>
            </w:pPr>
            <w:r w:rsidRPr="00FC6E5C">
              <w:t>/</w:t>
            </w:r>
          </w:p>
        </w:tc>
        <w:tc>
          <w:tcPr>
            <w:tcW w:w="545" w:type="pct"/>
            <w:vMerge/>
            <w:tcBorders>
              <w:left w:val="single" w:sz="6" w:space="0" w:color="000000"/>
              <w:right w:val="single" w:sz="6" w:space="0" w:color="000000"/>
            </w:tcBorders>
            <w:vAlign w:val="center"/>
          </w:tcPr>
          <w:p w14:paraId="5C0D894A" w14:textId="77777777" w:rsidR="00FC6E5C" w:rsidRPr="0006628B" w:rsidRDefault="00FC6E5C" w:rsidP="00FC6E5C">
            <w:pPr>
              <w:jc w:val="center"/>
              <w:rPr>
                <w:highlight w:val="yellow"/>
              </w:rPr>
            </w:pPr>
          </w:p>
        </w:tc>
        <w:tc>
          <w:tcPr>
            <w:tcW w:w="910" w:type="pct"/>
            <w:vMerge/>
            <w:tcBorders>
              <w:left w:val="single" w:sz="6" w:space="0" w:color="000000"/>
            </w:tcBorders>
            <w:vAlign w:val="center"/>
          </w:tcPr>
          <w:p w14:paraId="0E58CD67" w14:textId="77777777" w:rsidR="00FC6E5C" w:rsidRPr="0006628B" w:rsidRDefault="00FC6E5C" w:rsidP="00FC6E5C">
            <w:pPr>
              <w:jc w:val="center"/>
              <w:rPr>
                <w:highlight w:val="yellow"/>
              </w:rPr>
            </w:pPr>
          </w:p>
        </w:tc>
      </w:tr>
      <w:tr w:rsidR="00FC6E5C" w:rsidRPr="0006628B" w14:paraId="21D09B6F" w14:textId="77777777" w:rsidTr="00FC6E5C">
        <w:trPr>
          <w:trHeight w:val="57"/>
          <w:jc w:val="center"/>
        </w:trPr>
        <w:tc>
          <w:tcPr>
            <w:tcW w:w="203" w:type="pct"/>
            <w:vMerge/>
            <w:tcBorders>
              <w:right w:val="single" w:sz="6" w:space="0" w:color="000000"/>
            </w:tcBorders>
            <w:vAlign w:val="center"/>
          </w:tcPr>
          <w:p w14:paraId="68968593" w14:textId="77777777" w:rsidR="00FC6E5C" w:rsidRPr="0006628B" w:rsidRDefault="00FC6E5C" w:rsidP="00FC6E5C">
            <w:pPr>
              <w:jc w:val="center"/>
              <w:rPr>
                <w:highlight w:val="yellow"/>
              </w:rPr>
            </w:pPr>
          </w:p>
        </w:tc>
        <w:tc>
          <w:tcPr>
            <w:tcW w:w="385" w:type="pct"/>
            <w:vMerge/>
            <w:tcBorders>
              <w:left w:val="single" w:sz="6" w:space="0" w:color="000000"/>
              <w:right w:val="single" w:sz="6" w:space="0" w:color="000000"/>
            </w:tcBorders>
            <w:vAlign w:val="center"/>
          </w:tcPr>
          <w:p w14:paraId="718F505C" w14:textId="77777777" w:rsidR="00FC6E5C" w:rsidRPr="0006628B" w:rsidRDefault="00FC6E5C" w:rsidP="00FC6E5C">
            <w:pPr>
              <w:jc w:val="center"/>
              <w:rPr>
                <w:highlight w:val="yellow"/>
              </w:rPr>
            </w:pPr>
          </w:p>
        </w:tc>
        <w:tc>
          <w:tcPr>
            <w:tcW w:w="435" w:type="pct"/>
            <w:vMerge/>
            <w:tcBorders>
              <w:left w:val="single" w:sz="6" w:space="0" w:color="000000"/>
              <w:right w:val="single" w:sz="6" w:space="0" w:color="000000"/>
            </w:tcBorders>
            <w:vAlign w:val="center"/>
          </w:tcPr>
          <w:p w14:paraId="220AD235" w14:textId="77777777" w:rsidR="00FC6E5C" w:rsidRPr="0006628B" w:rsidRDefault="00FC6E5C" w:rsidP="00FC6E5C">
            <w:pPr>
              <w:jc w:val="center"/>
              <w:rPr>
                <w:highlight w:val="yellow"/>
              </w:rPr>
            </w:pPr>
          </w:p>
        </w:tc>
        <w:tc>
          <w:tcPr>
            <w:tcW w:w="552" w:type="pct"/>
            <w:tcBorders>
              <w:top w:val="single" w:sz="4" w:space="0" w:color="000000"/>
              <w:left w:val="nil"/>
              <w:bottom w:val="single" w:sz="4" w:space="0" w:color="000000"/>
              <w:right w:val="single" w:sz="4" w:space="0" w:color="000000"/>
            </w:tcBorders>
            <w:vAlign w:val="center"/>
          </w:tcPr>
          <w:p w14:paraId="142F0D9A" w14:textId="3A0C006A" w:rsidR="00FC6E5C" w:rsidRPr="00D00795" w:rsidRDefault="00FC6E5C" w:rsidP="00FC6E5C">
            <w:pPr>
              <w:jc w:val="center"/>
            </w:pPr>
            <w:r w:rsidRPr="00D00795">
              <w:rPr>
                <w:rFonts w:hint="eastAsia"/>
                <w:sz w:val="22"/>
                <w:szCs w:val="22"/>
              </w:rPr>
              <w:t>氨氮</w:t>
            </w:r>
          </w:p>
        </w:tc>
        <w:tc>
          <w:tcPr>
            <w:tcW w:w="502" w:type="pct"/>
            <w:tcBorders>
              <w:top w:val="single" w:sz="4" w:space="0" w:color="000000"/>
              <w:left w:val="single" w:sz="4" w:space="0" w:color="000000"/>
              <w:bottom w:val="single" w:sz="4" w:space="0" w:color="000000"/>
              <w:right w:val="single" w:sz="4" w:space="0" w:color="000000"/>
            </w:tcBorders>
            <w:vAlign w:val="center"/>
          </w:tcPr>
          <w:p w14:paraId="6C299852" w14:textId="4DB410BF" w:rsidR="00FC6E5C" w:rsidRPr="00D00795" w:rsidRDefault="00FC6E5C" w:rsidP="00FC6E5C">
            <w:pPr>
              <w:jc w:val="center"/>
              <w:rPr>
                <w:rFonts w:eastAsiaTheme="minorEastAsia"/>
              </w:rPr>
            </w:pPr>
            <w:r w:rsidRPr="00D00795">
              <w:rPr>
                <w:rFonts w:hint="eastAsia"/>
                <w:sz w:val="22"/>
                <w:szCs w:val="22"/>
              </w:rPr>
              <w:t xml:space="preserve">0.38 </w:t>
            </w:r>
          </w:p>
        </w:tc>
        <w:tc>
          <w:tcPr>
            <w:tcW w:w="543" w:type="pct"/>
            <w:tcBorders>
              <w:top w:val="single" w:sz="4" w:space="0" w:color="000000"/>
              <w:left w:val="single" w:sz="4" w:space="0" w:color="000000"/>
              <w:bottom w:val="single" w:sz="4" w:space="0" w:color="000000"/>
              <w:right w:val="single" w:sz="4" w:space="0" w:color="000000"/>
            </w:tcBorders>
            <w:vAlign w:val="center"/>
          </w:tcPr>
          <w:p w14:paraId="12C577A8" w14:textId="19AC4F2B" w:rsidR="00FC6E5C" w:rsidRPr="00FC6E5C" w:rsidRDefault="00FC6E5C" w:rsidP="00FC6E5C">
            <w:pPr>
              <w:jc w:val="center"/>
              <w:rPr>
                <w:rFonts w:eastAsiaTheme="minorEastAsia"/>
              </w:rPr>
            </w:pPr>
            <w:r w:rsidRPr="00FC6E5C">
              <w:rPr>
                <w:color w:val="000000"/>
              </w:rPr>
              <w:t>1</w:t>
            </w:r>
          </w:p>
        </w:tc>
        <w:tc>
          <w:tcPr>
            <w:tcW w:w="543" w:type="pct"/>
            <w:tcBorders>
              <w:left w:val="single" w:sz="4" w:space="0" w:color="000000"/>
              <w:right w:val="single" w:sz="6" w:space="0" w:color="000000"/>
            </w:tcBorders>
            <w:vAlign w:val="center"/>
          </w:tcPr>
          <w:p w14:paraId="3C8C10DE" w14:textId="0E8354E0" w:rsidR="00FC6E5C" w:rsidRPr="00FC6E5C" w:rsidRDefault="00FC6E5C" w:rsidP="00FC6E5C">
            <w:pPr>
              <w:jc w:val="center"/>
            </w:pPr>
            <w:r w:rsidRPr="00FC6E5C">
              <w:t>/</w:t>
            </w:r>
          </w:p>
        </w:tc>
        <w:tc>
          <w:tcPr>
            <w:tcW w:w="382" w:type="pct"/>
            <w:tcBorders>
              <w:left w:val="single" w:sz="6" w:space="0" w:color="000000"/>
              <w:right w:val="single" w:sz="6" w:space="0" w:color="000000"/>
            </w:tcBorders>
            <w:vAlign w:val="center"/>
          </w:tcPr>
          <w:p w14:paraId="646FEE43" w14:textId="5F5BD1FE" w:rsidR="00FC6E5C" w:rsidRPr="00FC6E5C" w:rsidRDefault="00FC6E5C" w:rsidP="00FC6E5C">
            <w:pPr>
              <w:jc w:val="center"/>
            </w:pPr>
            <w:r w:rsidRPr="00FC6E5C">
              <w:t>/</w:t>
            </w:r>
          </w:p>
        </w:tc>
        <w:tc>
          <w:tcPr>
            <w:tcW w:w="545" w:type="pct"/>
            <w:vMerge/>
            <w:tcBorders>
              <w:left w:val="single" w:sz="6" w:space="0" w:color="000000"/>
              <w:right w:val="single" w:sz="6" w:space="0" w:color="000000"/>
            </w:tcBorders>
            <w:vAlign w:val="center"/>
          </w:tcPr>
          <w:p w14:paraId="35146379" w14:textId="77777777" w:rsidR="00FC6E5C" w:rsidRPr="0006628B" w:rsidRDefault="00FC6E5C" w:rsidP="00FC6E5C">
            <w:pPr>
              <w:jc w:val="center"/>
              <w:rPr>
                <w:highlight w:val="yellow"/>
              </w:rPr>
            </w:pPr>
          </w:p>
        </w:tc>
        <w:tc>
          <w:tcPr>
            <w:tcW w:w="910" w:type="pct"/>
            <w:vMerge/>
            <w:tcBorders>
              <w:left w:val="single" w:sz="6" w:space="0" w:color="000000"/>
            </w:tcBorders>
            <w:vAlign w:val="center"/>
          </w:tcPr>
          <w:p w14:paraId="6A38D858" w14:textId="77777777" w:rsidR="00FC6E5C" w:rsidRPr="0006628B" w:rsidRDefault="00FC6E5C" w:rsidP="00FC6E5C">
            <w:pPr>
              <w:jc w:val="center"/>
              <w:rPr>
                <w:highlight w:val="yellow"/>
              </w:rPr>
            </w:pPr>
          </w:p>
        </w:tc>
      </w:tr>
      <w:tr w:rsidR="00FC6E5C" w:rsidRPr="0006628B" w14:paraId="1B25E5EE" w14:textId="77777777" w:rsidTr="00FC6E5C">
        <w:trPr>
          <w:trHeight w:val="57"/>
          <w:jc w:val="center"/>
        </w:trPr>
        <w:tc>
          <w:tcPr>
            <w:tcW w:w="203" w:type="pct"/>
            <w:vMerge/>
            <w:tcBorders>
              <w:right w:val="single" w:sz="6" w:space="0" w:color="000000"/>
            </w:tcBorders>
            <w:vAlign w:val="center"/>
          </w:tcPr>
          <w:p w14:paraId="5AE7C7A4" w14:textId="77777777" w:rsidR="00FC6E5C" w:rsidRPr="0006628B" w:rsidRDefault="00FC6E5C" w:rsidP="00FC6E5C">
            <w:pPr>
              <w:jc w:val="center"/>
              <w:rPr>
                <w:highlight w:val="yellow"/>
              </w:rPr>
            </w:pPr>
          </w:p>
        </w:tc>
        <w:tc>
          <w:tcPr>
            <w:tcW w:w="385" w:type="pct"/>
            <w:vMerge/>
            <w:tcBorders>
              <w:left w:val="single" w:sz="6" w:space="0" w:color="000000"/>
              <w:right w:val="single" w:sz="6" w:space="0" w:color="000000"/>
            </w:tcBorders>
            <w:vAlign w:val="center"/>
          </w:tcPr>
          <w:p w14:paraId="08E2C203" w14:textId="77777777" w:rsidR="00FC6E5C" w:rsidRPr="0006628B" w:rsidRDefault="00FC6E5C" w:rsidP="00FC6E5C">
            <w:pPr>
              <w:jc w:val="center"/>
              <w:rPr>
                <w:highlight w:val="yellow"/>
              </w:rPr>
            </w:pPr>
          </w:p>
        </w:tc>
        <w:tc>
          <w:tcPr>
            <w:tcW w:w="435" w:type="pct"/>
            <w:vMerge/>
            <w:tcBorders>
              <w:left w:val="single" w:sz="6" w:space="0" w:color="000000"/>
              <w:right w:val="single" w:sz="6" w:space="0" w:color="000000"/>
            </w:tcBorders>
            <w:vAlign w:val="center"/>
          </w:tcPr>
          <w:p w14:paraId="7E39A1FC" w14:textId="77777777" w:rsidR="00FC6E5C" w:rsidRPr="0006628B" w:rsidRDefault="00FC6E5C" w:rsidP="00FC6E5C">
            <w:pPr>
              <w:jc w:val="center"/>
              <w:rPr>
                <w:highlight w:val="yellow"/>
              </w:rPr>
            </w:pPr>
          </w:p>
        </w:tc>
        <w:tc>
          <w:tcPr>
            <w:tcW w:w="552" w:type="pct"/>
            <w:tcBorders>
              <w:top w:val="single" w:sz="4" w:space="0" w:color="000000"/>
              <w:left w:val="nil"/>
              <w:bottom w:val="single" w:sz="4" w:space="0" w:color="000000"/>
              <w:right w:val="single" w:sz="4" w:space="0" w:color="000000"/>
            </w:tcBorders>
            <w:vAlign w:val="center"/>
          </w:tcPr>
          <w:p w14:paraId="040849E5" w14:textId="7978BCB8" w:rsidR="00FC6E5C" w:rsidRPr="00D00795" w:rsidRDefault="00FC6E5C" w:rsidP="00FC6E5C">
            <w:pPr>
              <w:jc w:val="center"/>
            </w:pPr>
            <w:r w:rsidRPr="00D00795">
              <w:rPr>
                <w:rFonts w:hint="eastAsia"/>
                <w:sz w:val="22"/>
                <w:szCs w:val="22"/>
              </w:rPr>
              <w:t>总磷</w:t>
            </w:r>
          </w:p>
        </w:tc>
        <w:tc>
          <w:tcPr>
            <w:tcW w:w="502" w:type="pct"/>
            <w:tcBorders>
              <w:top w:val="single" w:sz="4" w:space="0" w:color="000000"/>
              <w:left w:val="single" w:sz="4" w:space="0" w:color="000000"/>
              <w:bottom w:val="single" w:sz="4" w:space="0" w:color="000000"/>
              <w:right w:val="single" w:sz="4" w:space="0" w:color="000000"/>
            </w:tcBorders>
            <w:vAlign w:val="center"/>
          </w:tcPr>
          <w:p w14:paraId="4D0787B8" w14:textId="0FF350B9" w:rsidR="00FC6E5C" w:rsidRPr="00D00795" w:rsidRDefault="00FC6E5C" w:rsidP="00FC6E5C">
            <w:pPr>
              <w:jc w:val="center"/>
              <w:rPr>
                <w:rFonts w:eastAsiaTheme="minorEastAsia"/>
              </w:rPr>
            </w:pPr>
            <w:r w:rsidRPr="00D00795">
              <w:rPr>
                <w:rFonts w:hint="eastAsia"/>
                <w:sz w:val="22"/>
                <w:szCs w:val="22"/>
              </w:rPr>
              <w:t xml:space="preserve">0.42 </w:t>
            </w:r>
          </w:p>
        </w:tc>
        <w:tc>
          <w:tcPr>
            <w:tcW w:w="543" w:type="pct"/>
            <w:tcBorders>
              <w:top w:val="single" w:sz="4" w:space="0" w:color="000000"/>
              <w:left w:val="single" w:sz="4" w:space="0" w:color="000000"/>
              <w:bottom w:val="single" w:sz="4" w:space="0" w:color="000000"/>
              <w:right w:val="single" w:sz="4" w:space="0" w:color="000000"/>
            </w:tcBorders>
            <w:vAlign w:val="center"/>
          </w:tcPr>
          <w:p w14:paraId="34EE7A28" w14:textId="0265DC26" w:rsidR="00FC6E5C" w:rsidRPr="00FC6E5C" w:rsidRDefault="00FC6E5C" w:rsidP="00FC6E5C">
            <w:pPr>
              <w:jc w:val="center"/>
              <w:rPr>
                <w:rFonts w:eastAsiaTheme="minorEastAsia"/>
              </w:rPr>
            </w:pPr>
            <w:r w:rsidRPr="00FC6E5C">
              <w:rPr>
                <w:color w:val="000000"/>
              </w:rPr>
              <w:t>0.5</w:t>
            </w:r>
          </w:p>
        </w:tc>
        <w:tc>
          <w:tcPr>
            <w:tcW w:w="543" w:type="pct"/>
            <w:tcBorders>
              <w:left w:val="single" w:sz="4" w:space="0" w:color="000000"/>
              <w:right w:val="single" w:sz="6" w:space="0" w:color="000000"/>
            </w:tcBorders>
            <w:vAlign w:val="center"/>
          </w:tcPr>
          <w:p w14:paraId="3BD121FB" w14:textId="6093D516" w:rsidR="00FC6E5C" w:rsidRPr="00FC6E5C" w:rsidRDefault="00FC6E5C" w:rsidP="00FC6E5C">
            <w:pPr>
              <w:jc w:val="center"/>
            </w:pPr>
            <w:r w:rsidRPr="00FC6E5C">
              <w:t>/</w:t>
            </w:r>
          </w:p>
        </w:tc>
        <w:tc>
          <w:tcPr>
            <w:tcW w:w="382" w:type="pct"/>
            <w:tcBorders>
              <w:left w:val="single" w:sz="6" w:space="0" w:color="000000"/>
              <w:right w:val="single" w:sz="6" w:space="0" w:color="000000"/>
            </w:tcBorders>
            <w:vAlign w:val="center"/>
          </w:tcPr>
          <w:p w14:paraId="61115EAB" w14:textId="2262A8B3" w:rsidR="00FC6E5C" w:rsidRPr="00FC6E5C" w:rsidRDefault="00FC6E5C" w:rsidP="00FC6E5C">
            <w:pPr>
              <w:jc w:val="center"/>
            </w:pPr>
            <w:r w:rsidRPr="00FC6E5C">
              <w:t>/</w:t>
            </w:r>
          </w:p>
        </w:tc>
        <w:tc>
          <w:tcPr>
            <w:tcW w:w="545" w:type="pct"/>
            <w:vMerge/>
            <w:tcBorders>
              <w:left w:val="single" w:sz="6" w:space="0" w:color="000000"/>
              <w:right w:val="single" w:sz="6" w:space="0" w:color="000000"/>
            </w:tcBorders>
            <w:vAlign w:val="center"/>
          </w:tcPr>
          <w:p w14:paraId="7269A0B5" w14:textId="77777777" w:rsidR="00FC6E5C" w:rsidRPr="0006628B" w:rsidRDefault="00FC6E5C" w:rsidP="00FC6E5C">
            <w:pPr>
              <w:jc w:val="center"/>
              <w:rPr>
                <w:highlight w:val="yellow"/>
              </w:rPr>
            </w:pPr>
          </w:p>
        </w:tc>
        <w:tc>
          <w:tcPr>
            <w:tcW w:w="910" w:type="pct"/>
            <w:vMerge/>
            <w:tcBorders>
              <w:left w:val="single" w:sz="6" w:space="0" w:color="000000"/>
            </w:tcBorders>
            <w:vAlign w:val="center"/>
          </w:tcPr>
          <w:p w14:paraId="594730BF" w14:textId="77777777" w:rsidR="00FC6E5C" w:rsidRPr="0006628B" w:rsidRDefault="00FC6E5C" w:rsidP="00FC6E5C">
            <w:pPr>
              <w:jc w:val="center"/>
              <w:rPr>
                <w:highlight w:val="yellow"/>
              </w:rPr>
            </w:pPr>
          </w:p>
        </w:tc>
      </w:tr>
      <w:tr w:rsidR="00FC6E5C" w:rsidRPr="0006628B" w14:paraId="2DF03CC6" w14:textId="77777777" w:rsidTr="00FC6E5C">
        <w:trPr>
          <w:trHeight w:val="57"/>
          <w:jc w:val="center"/>
        </w:trPr>
        <w:tc>
          <w:tcPr>
            <w:tcW w:w="203" w:type="pct"/>
            <w:vMerge/>
            <w:tcBorders>
              <w:right w:val="single" w:sz="6" w:space="0" w:color="000000"/>
            </w:tcBorders>
            <w:vAlign w:val="center"/>
          </w:tcPr>
          <w:p w14:paraId="17F2AD6F" w14:textId="77777777" w:rsidR="00FC6E5C" w:rsidRPr="0006628B" w:rsidRDefault="00FC6E5C" w:rsidP="00FC6E5C">
            <w:pPr>
              <w:jc w:val="center"/>
              <w:rPr>
                <w:highlight w:val="yellow"/>
              </w:rPr>
            </w:pPr>
          </w:p>
        </w:tc>
        <w:tc>
          <w:tcPr>
            <w:tcW w:w="385" w:type="pct"/>
            <w:vMerge/>
            <w:tcBorders>
              <w:left w:val="single" w:sz="6" w:space="0" w:color="000000"/>
              <w:right w:val="single" w:sz="6" w:space="0" w:color="000000"/>
            </w:tcBorders>
            <w:vAlign w:val="center"/>
          </w:tcPr>
          <w:p w14:paraId="53F44A39" w14:textId="77777777" w:rsidR="00FC6E5C" w:rsidRPr="0006628B" w:rsidRDefault="00FC6E5C" w:rsidP="00FC6E5C">
            <w:pPr>
              <w:jc w:val="center"/>
              <w:rPr>
                <w:highlight w:val="yellow"/>
              </w:rPr>
            </w:pPr>
          </w:p>
        </w:tc>
        <w:tc>
          <w:tcPr>
            <w:tcW w:w="435" w:type="pct"/>
            <w:vMerge/>
            <w:tcBorders>
              <w:left w:val="single" w:sz="6" w:space="0" w:color="000000"/>
              <w:right w:val="single" w:sz="6" w:space="0" w:color="000000"/>
            </w:tcBorders>
            <w:vAlign w:val="center"/>
          </w:tcPr>
          <w:p w14:paraId="5DD050CF" w14:textId="77777777" w:rsidR="00FC6E5C" w:rsidRPr="0006628B" w:rsidRDefault="00FC6E5C" w:rsidP="00FC6E5C">
            <w:pPr>
              <w:jc w:val="center"/>
              <w:rPr>
                <w:highlight w:val="yellow"/>
              </w:rPr>
            </w:pPr>
          </w:p>
        </w:tc>
        <w:tc>
          <w:tcPr>
            <w:tcW w:w="552" w:type="pct"/>
            <w:tcBorders>
              <w:top w:val="single" w:sz="4" w:space="0" w:color="000000"/>
              <w:left w:val="nil"/>
              <w:bottom w:val="single" w:sz="2" w:space="0" w:color="000000"/>
              <w:right w:val="single" w:sz="4" w:space="0" w:color="000000"/>
            </w:tcBorders>
            <w:vAlign w:val="center"/>
          </w:tcPr>
          <w:p w14:paraId="1BB908D1" w14:textId="27ECD35C" w:rsidR="00FC6E5C" w:rsidRPr="00D00795" w:rsidRDefault="00FC6E5C" w:rsidP="00FC6E5C">
            <w:pPr>
              <w:jc w:val="center"/>
            </w:pPr>
            <w:r w:rsidRPr="00D00795">
              <w:rPr>
                <w:rFonts w:hint="eastAsia"/>
                <w:sz w:val="22"/>
                <w:szCs w:val="22"/>
              </w:rPr>
              <w:t>TDS</w:t>
            </w:r>
          </w:p>
        </w:tc>
        <w:tc>
          <w:tcPr>
            <w:tcW w:w="502" w:type="pct"/>
            <w:tcBorders>
              <w:top w:val="single" w:sz="4" w:space="0" w:color="000000"/>
              <w:left w:val="single" w:sz="4" w:space="0" w:color="000000"/>
              <w:bottom w:val="single" w:sz="4" w:space="0" w:color="000000"/>
              <w:right w:val="single" w:sz="4" w:space="0" w:color="000000"/>
            </w:tcBorders>
            <w:vAlign w:val="center"/>
          </w:tcPr>
          <w:p w14:paraId="2493F7D2" w14:textId="046C7AD0" w:rsidR="00FC6E5C" w:rsidRPr="00D00795" w:rsidRDefault="00FC6E5C" w:rsidP="00FC6E5C">
            <w:pPr>
              <w:jc w:val="center"/>
              <w:rPr>
                <w:rFonts w:eastAsiaTheme="minorEastAsia"/>
              </w:rPr>
            </w:pPr>
            <w:r w:rsidRPr="00D00795">
              <w:rPr>
                <w:rFonts w:hint="eastAsia"/>
                <w:sz w:val="22"/>
                <w:szCs w:val="22"/>
              </w:rPr>
              <w:t xml:space="preserve">556.83 </w:t>
            </w:r>
          </w:p>
        </w:tc>
        <w:tc>
          <w:tcPr>
            <w:tcW w:w="543" w:type="pct"/>
            <w:tcBorders>
              <w:top w:val="single" w:sz="4" w:space="0" w:color="000000"/>
              <w:left w:val="single" w:sz="4" w:space="0" w:color="000000"/>
              <w:bottom w:val="single" w:sz="4" w:space="0" w:color="000000"/>
              <w:right w:val="single" w:sz="4" w:space="0" w:color="000000"/>
            </w:tcBorders>
            <w:vAlign w:val="center"/>
          </w:tcPr>
          <w:p w14:paraId="5B96E81D" w14:textId="18BB41C6" w:rsidR="00FC6E5C" w:rsidRPr="00FC6E5C" w:rsidRDefault="00FC6E5C" w:rsidP="00FC6E5C">
            <w:pPr>
              <w:jc w:val="center"/>
              <w:rPr>
                <w:rFonts w:eastAsiaTheme="minorEastAsia"/>
              </w:rPr>
            </w:pPr>
            <w:r w:rsidRPr="00FC6E5C">
              <w:rPr>
                <w:color w:val="000000"/>
              </w:rPr>
              <w:t>1000</w:t>
            </w:r>
          </w:p>
        </w:tc>
        <w:tc>
          <w:tcPr>
            <w:tcW w:w="543" w:type="pct"/>
            <w:tcBorders>
              <w:left w:val="single" w:sz="4" w:space="0" w:color="000000"/>
              <w:right w:val="single" w:sz="6" w:space="0" w:color="000000"/>
            </w:tcBorders>
            <w:vAlign w:val="center"/>
          </w:tcPr>
          <w:p w14:paraId="47537C8C" w14:textId="3DEEB099" w:rsidR="00FC6E5C" w:rsidRPr="00FC6E5C" w:rsidRDefault="00FC6E5C" w:rsidP="00FC6E5C">
            <w:pPr>
              <w:jc w:val="center"/>
            </w:pPr>
            <w:r w:rsidRPr="00FC6E5C">
              <w:t>/</w:t>
            </w:r>
          </w:p>
        </w:tc>
        <w:tc>
          <w:tcPr>
            <w:tcW w:w="382" w:type="pct"/>
            <w:tcBorders>
              <w:left w:val="single" w:sz="6" w:space="0" w:color="000000"/>
              <w:right w:val="single" w:sz="6" w:space="0" w:color="000000"/>
            </w:tcBorders>
            <w:vAlign w:val="center"/>
          </w:tcPr>
          <w:p w14:paraId="68DDE2CB" w14:textId="08F9A1B2" w:rsidR="00FC6E5C" w:rsidRPr="00FC6E5C" w:rsidRDefault="00FC6E5C" w:rsidP="00FC6E5C">
            <w:pPr>
              <w:jc w:val="center"/>
            </w:pPr>
            <w:r w:rsidRPr="00FC6E5C">
              <w:t>/</w:t>
            </w:r>
          </w:p>
        </w:tc>
        <w:tc>
          <w:tcPr>
            <w:tcW w:w="545" w:type="pct"/>
            <w:vMerge/>
            <w:tcBorders>
              <w:left w:val="single" w:sz="6" w:space="0" w:color="000000"/>
              <w:right w:val="single" w:sz="6" w:space="0" w:color="000000"/>
            </w:tcBorders>
            <w:vAlign w:val="center"/>
          </w:tcPr>
          <w:p w14:paraId="23528115" w14:textId="77777777" w:rsidR="00FC6E5C" w:rsidRPr="0006628B" w:rsidRDefault="00FC6E5C" w:rsidP="00FC6E5C">
            <w:pPr>
              <w:jc w:val="center"/>
              <w:rPr>
                <w:highlight w:val="yellow"/>
              </w:rPr>
            </w:pPr>
          </w:p>
        </w:tc>
        <w:tc>
          <w:tcPr>
            <w:tcW w:w="910" w:type="pct"/>
            <w:vMerge/>
            <w:tcBorders>
              <w:left w:val="single" w:sz="6" w:space="0" w:color="000000"/>
            </w:tcBorders>
            <w:vAlign w:val="center"/>
          </w:tcPr>
          <w:p w14:paraId="2F2EB55B" w14:textId="77777777" w:rsidR="00FC6E5C" w:rsidRPr="0006628B" w:rsidRDefault="00FC6E5C" w:rsidP="00FC6E5C">
            <w:pPr>
              <w:jc w:val="center"/>
              <w:rPr>
                <w:highlight w:val="yellow"/>
              </w:rPr>
            </w:pPr>
          </w:p>
        </w:tc>
      </w:tr>
      <w:tr w:rsidR="00FC6E5C" w:rsidRPr="0006628B" w14:paraId="2CA76C5B" w14:textId="77777777" w:rsidTr="00FC6E5C">
        <w:trPr>
          <w:trHeight w:val="57"/>
          <w:jc w:val="center"/>
        </w:trPr>
        <w:tc>
          <w:tcPr>
            <w:tcW w:w="203" w:type="pct"/>
            <w:vMerge/>
            <w:tcBorders>
              <w:right w:val="single" w:sz="6" w:space="0" w:color="000000"/>
            </w:tcBorders>
            <w:vAlign w:val="center"/>
          </w:tcPr>
          <w:p w14:paraId="7458542A" w14:textId="77777777" w:rsidR="00FC6E5C" w:rsidRPr="0006628B" w:rsidRDefault="00FC6E5C" w:rsidP="00FC6E5C">
            <w:pPr>
              <w:jc w:val="center"/>
              <w:rPr>
                <w:highlight w:val="yellow"/>
              </w:rPr>
            </w:pPr>
          </w:p>
        </w:tc>
        <w:tc>
          <w:tcPr>
            <w:tcW w:w="385" w:type="pct"/>
            <w:vMerge/>
            <w:tcBorders>
              <w:left w:val="single" w:sz="6" w:space="0" w:color="000000"/>
              <w:right w:val="single" w:sz="6" w:space="0" w:color="000000"/>
            </w:tcBorders>
            <w:vAlign w:val="center"/>
          </w:tcPr>
          <w:p w14:paraId="7BA1C019" w14:textId="77777777" w:rsidR="00FC6E5C" w:rsidRPr="0006628B" w:rsidRDefault="00FC6E5C" w:rsidP="00FC6E5C">
            <w:pPr>
              <w:jc w:val="center"/>
              <w:rPr>
                <w:highlight w:val="yellow"/>
              </w:rPr>
            </w:pPr>
          </w:p>
        </w:tc>
        <w:tc>
          <w:tcPr>
            <w:tcW w:w="435" w:type="pct"/>
            <w:vMerge/>
            <w:tcBorders>
              <w:left w:val="single" w:sz="6" w:space="0" w:color="000000"/>
              <w:right w:val="single" w:sz="6" w:space="0" w:color="000000"/>
            </w:tcBorders>
            <w:vAlign w:val="center"/>
          </w:tcPr>
          <w:p w14:paraId="07536E34" w14:textId="77777777" w:rsidR="00FC6E5C" w:rsidRPr="0006628B" w:rsidRDefault="00FC6E5C" w:rsidP="00FC6E5C">
            <w:pPr>
              <w:jc w:val="center"/>
              <w:rPr>
                <w:highlight w:val="yellow"/>
              </w:rPr>
            </w:pPr>
          </w:p>
        </w:tc>
        <w:tc>
          <w:tcPr>
            <w:tcW w:w="552" w:type="pct"/>
            <w:tcBorders>
              <w:top w:val="single" w:sz="2" w:space="0" w:color="000000"/>
              <w:left w:val="nil"/>
              <w:bottom w:val="single" w:sz="4" w:space="0" w:color="000000"/>
              <w:right w:val="single" w:sz="4" w:space="0" w:color="000000"/>
            </w:tcBorders>
            <w:vAlign w:val="center"/>
          </w:tcPr>
          <w:p w14:paraId="26B782C1" w14:textId="125CFDEC" w:rsidR="00FC6E5C" w:rsidRPr="00D00795" w:rsidRDefault="00FC6E5C" w:rsidP="00FC6E5C">
            <w:pPr>
              <w:jc w:val="center"/>
            </w:pPr>
            <w:r w:rsidRPr="00D00795">
              <w:rPr>
                <w:rFonts w:hint="eastAsia"/>
                <w:sz w:val="22"/>
                <w:szCs w:val="22"/>
              </w:rPr>
              <w:t>石油类</w:t>
            </w:r>
          </w:p>
        </w:tc>
        <w:tc>
          <w:tcPr>
            <w:tcW w:w="502" w:type="pct"/>
            <w:tcBorders>
              <w:top w:val="single" w:sz="4" w:space="0" w:color="000000"/>
              <w:left w:val="single" w:sz="4" w:space="0" w:color="000000"/>
              <w:bottom w:val="single" w:sz="4" w:space="0" w:color="000000"/>
              <w:right w:val="single" w:sz="4" w:space="0" w:color="000000"/>
            </w:tcBorders>
            <w:vAlign w:val="center"/>
          </w:tcPr>
          <w:p w14:paraId="691FF2FD" w14:textId="50B03A7A" w:rsidR="00FC6E5C" w:rsidRPr="00D00795" w:rsidRDefault="00FC6E5C" w:rsidP="00FC6E5C">
            <w:pPr>
              <w:jc w:val="center"/>
              <w:rPr>
                <w:rFonts w:eastAsiaTheme="minorEastAsia"/>
              </w:rPr>
            </w:pPr>
            <w:r w:rsidRPr="00D00795">
              <w:t>0.06L</w:t>
            </w:r>
          </w:p>
        </w:tc>
        <w:tc>
          <w:tcPr>
            <w:tcW w:w="543" w:type="pct"/>
            <w:tcBorders>
              <w:top w:val="single" w:sz="4" w:space="0" w:color="000000"/>
              <w:left w:val="single" w:sz="4" w:space="0" w:color="000000"/>
              <w:bottom w:val="single" w:sz="4" w:space="0" w:color="000000"/>
              <w:right w:val="single" w:sz="4" w:space="0" w:color="000000"/>
            </w:tcBorders>
            <w:vAlign w:val="center"/>
          </w:tcPr>
          <w:p w14:paraId="09B9BBB1" w14:textId="62D70399" w:rsidR="00FC6E5C" w:rsidRPr="00FC6E5C" w:rsidRDefault="00FC6E5C" w:rsidP="00FC6E5C">
            <w:pPr>
              <w:jc w:val="center"/>
              <w:rPr>
                <w:rFonts w:eastAsiaTheme="minorEastAsia"/>
              </w:rPr>
            </w:pPr>
            <w:r w:rsidRPr="00FC6E5C">
              <w:rPr>
                <w:color w:val="000000"/>
              </w:rPr>
              <w:t>1</w:t>
            </w:r>
          </w:p>
        </w:tc>
        <w:tc>
          <w:tcPr>
            <w:tcW w:w="543" w:type="pct"/>
            <w:tcBorders>
              <w:left w:val="single" w:sz="4" w:space="0" w:color="000000"/>
              <w:right w:val="single" w:sz="6" w:space="0" w:color="000000"/>
            </w:tcBorders>
            <w:vAlign w:val="center"/>
          </w:tcPr>
          <w:p w14:paraId="3562185E" w14:textId="6BBCE169" w:rsidR="00FC6E5C" w:rsidRPr="00FC6E5C" w:rsidRDefault="00FC6E5C" w:rsidP="00FC6E5C">
            <w:pPr>
              <w:jc w:val="center"/>
            </w:pPr>
            <w:r w:rsidRPr="00FC6E5C">
              <w:t>/</w:t>
            </w:r>
          </w:p>
        </w:tc>
        <w:tc>
          <w:tcPr>
            <w:tcW w:w="382" w:type="pct"/>
            <w:tcBorders>
              <w:left w:val="single" w:sz="6" w:space="0" w:color="000000"/>
              <w:right w:val="single" w:sz="6" w:space="0" w:color="000000"/>
            </w:tcBorders>
            <w:vAlign w:val="center"/>
          </w:tcPr>
          <w:p w14:paraId="0F4DA84A" w14:textId="48205861" w:rsidR="00FC6E5C" w:rsidRPr="00FC6E5C" w:rsidRDefault="00FC6E5C" w:rsidP="00FC6E5C">
            <w:pPr>
              <w:jc w:val="center"/>
            </w:pPr>
            <w:r w:rsidRPr="00FC6E5C">
              <w:t>/</w:t>
            </w:r>
          </w:p>
        </w:tc>
        <w:tc>
          <w:tcPr>
            <w:tcW w:w="545" w:type="pct"/>
            <w:vMerge/>
            <w:tcBorders>
              <w:left w:val="single" w:sz="6" w:space="0" w:color="000000"/>
              <w:right w:val="single" w:sz="6" w:space="0" w:color="000000"/>
            </w:tcBorders>
            <w:vAlign w:val="center"/>
          </w:tcPr>
          <w:p w14:paraId="313DE611" w14:textId="77777777" w:rsidR="00FC6E5C" w:rsidRPr="0006628B" w:rsidRDefault="00FC6E5C" w:rsidP="00FC6E5C">
            <w:pPr>
              <w:jc w:val="center"/>
              <w:rPr>
                <w:highlight w:val="yellow"/>
              </w:rPr>
            </w:pPr>
          </w:p>
        </w:tc>
        <w:tc>
          <w:tcPr>
            <w:tcW w:w="910" w:type="pct"/>
            <w:vMerge/>
            <w:tcBorders>
              <w:left w:val="single" w:sz="6" w:space="0" w:color="000000"/>
            </w:tcBorders>
            <w:vAlign w:val="center"/>
          </w:tcPr>
          <w:p w14:paraId="2EAFE315" w14:textId="77777777" w:rsidR="00FC6E5C" w:rsidRPr="0006628B" w:rsidRDefault="00FC6E5C" w:rsidP="00FC6E5C">
            <w:pPr>
              <w:jc w:val="center"/>
              <w:rPr>
                <w:highlight w:val="yellow"/>
              </w:rPr>
            </w:pPr>
          </w:p>
        </w:tc>
      </w:tr>
      <w:tr w:rsidR="00FC6E5C" w:rsidRPr="0006628B" w14:paraId="2DEC679A" w14:textId="77777777" w:rsidTr="00FC6E5C">
        <w:trPr>
          <w:trHeight w:val="57"/>
          <w:jc w:val="center"/>
        </w:trPr>
        <w:tc>
          <w:tcPr>
            <w:tcW w:w="203" w:type="pct"/>
            <w:vMerge/>
            <w:tcBorders>
              <w:right w:val="single" w:sz="6" w:space="0" w:color="000000"/>
            </w:tcBorders>
            <w:vAlign w:val="center"/>
          </w:tcPr>
          <w:p w14:paraId="2DF49CBA" w14:textId="77777777" w:rsidR="00FC6E5C" w:rsidRPr="0006628B" w:rsidRDefault="00FC6E5C" w:rsidP="00FC6E5C">
            <w:pPr>
              <w:jc w:val="center"/>
              <w:rPr>
                <w:highlight w:val="yellow"/>
              </w:rPr>
            </w:pPr>
          </w:p>
        </w:tc>
        <w:tc>
          <w:tcPr>
            <w:tcW w:w="385" w:type="pct"/>
            <w:vMerge/>
            <w:tcBorders>
              <w:left w:val="single" w:sz="6" w:space="0" w:color="000000"/>
              <w:right w:val="single" w:sz="6" w:space="0" w:color="000000"/>
            </w:tcBorders>
            <w:vAlign w:val="center"/>
          </w:tcPr>
          <w:p w14:paraId="1C2D51DB" w14:textId="77777777" w:rsidR="00FC6E5C" w:rsidRPr="0006628B" w:rsidRDefault="00FC6E5C" w:rsidP="00FC6E5C">
            <w:pPr>
              <w:jc w:val="center"/>
              <w:rPr>
                <w:highlight w:val="yellow"/>
              </w:rPr>
            </w:pPr>
          </w:p>
        </w:tc>
        <w:tc>
          <w:tcPr>
            <w:tcW w:w="435" w:type="pct"/>
            <w:vMerge/>
            <w:tcBorders>
              <w:left w:val="single" w:sz="6" w:space="0" w:color="000000"/>
              <w:right w:val="single" w:sz="6" w:space="0" w:color="000000"/>
            </w:tcBorders>
            <w:vAlign w:val="center"/>
          </w:tcPr>
          <w:p w14:paraId="11AA0093" w14:textId="77777777" w:rsidR="00FC6E5C" w:rsidRPr="0006628B" w:rsidRDefault="00FC6E5C" w:rsidP="00FC6E5C">
            <w:pPr>
              <w:jc w:val="center"/>
              <w:rPr>
                <w:highlight w:val="yellow"/>
              </w:rPr>
            </w:pPr>
          </w:p>
        </w:tc>
        <w:tc>
          <w:tcPr>
            <w:tcW w:w="552" w:type="pct"/>
            <w:tcBorders>
              <w:top w:val="single" w:sz="4" w:space="0" w:color="000000"/>
              <w:left w:val="nil"/>
              <w:bottom w:val="single" w:sz="4" w:space="0" w:color="000000"/>
              <w:right w:val="single" w:sz="4" w:space="0" w:color="000000"/>
            </w:tcBorders>
            <w:vAlign w:val="center"/>
          </w:tcPr>
          <w:p w14:paraId="41E4BBDA" w14:textId="1485FD23" w:rsidR="00FC6E5C" w:rsidRPr="00D00795" w:rsidRDefault="00FC6E5C" w:rsidP="00FC6E5C">
            <w:pPr>
              <w:jc w:val="center"/>
            </w:pPr>
            <w:r w:rsidRPr="00D00795">
              <w:rPr>
                <w:rFonts w:hint="eastAsia"/>
                <w:sz w:val="22"/>
                <w:szCs w:val="22"/>
              </w:rPr>
              <w:t>阴离子表面活性剂</w:t>
            </w:r>
          </w:p>
        </w:tc>
        <w:tc>
          <w:tcPr>
            <w:tcW w:w="502" w:type="pct"/>
            <w:tcBorders>
              <w:top w:val="single" w:sz="4" w:space="0" w:color="000000"/>
              <w:left w:val="single" w:sz="4" w:space="0" w:color="000000"/>
              <w:bottom w:val="single" w:sz="4" w:space="0" w:color="000000"/>
              <w:right w:val="single" w:sz="4" w:space="0" w:color="000000"/>
            </w:tcBorders>
            <w:vAlign w:val="center"/>
          </w:tcPr>
          <w:p w14:paraId="7F0779BA" w14:textId="13C04E03" w:rsidR="00FC6E5C" w:rsidRPr="00D00795" w:rsidRDefault="00FC6E5C" w:rsidP="00FC6E5C">
            <w:pPr>
              <w:jc w:val="center"/>
              <w:rPr>
                <w:rFonts w:eastAsiaTheme="minorEastAsia"/>
              </w:rPr>
            </w:pPr>
            <w:r w:rsidRPr="00D00795">
              <w:t>0.05L</w:t>
            </w:r>
          </w:p>
        </w:tc>
        <w:tc>
          <w:tcPr>
            <w:tcW w:w="543" w:type="pct"/>
            <w:tcBorders>
              <w:top w:val="single" w:sz="4" w:space="0" w:color="000000"/>
              <w:left w:val="single" w:sz="4" w:space="0" w:color="000000"/>
              <w:bottom w:val="single" w:sz="4" w:space="0" w:color="000000"/>
              <w:right w:val="single" w:sz="4" w:space="0" w:color="000000"/>
            </w:tcBorders>
            <w:vAlign w:val="center"/>
          </w:tcPr>
          <w:p w14:paraId="5CD5C51C" w14:textId="6DB1FE0A" w:rsidR="00FC6E5C" w:rsidRPr="00FC6E5C" w:rsidRDefault="00FC6E5C" w:rsidP="00FC6E5C">
            <w:pPr>
              <w:jc w:val="center"/>
              <w:rPr>
                <w:rFonts w:eastAsiaTheme="minorEastAsia"/>
              </w:rPr>
            </w:pPr>
            <w:r w:rsidRPr="00FC6E5C">
              <w:rPr>
                <w:color w:val="000000"/>
              </w:rPr>
              <w:t>0.5</w:t>
            </w:r>
          </w:p>
        </w:tc>
        <w:tc>
          <w:tcPr>
            <w:tcW w:w="543" w:type="pct"/>
            <w:tcBorders>
              <w:left w:val="single" w:sz="4" w:space="0" w:color="000000"/>
              <w:right w:val="single" w:sz="6" w:space="0" w:color="000000"/>
            </w:tcBorders>
            <w:vAlign w:val="center"/>
          </w:tcPr>
          <w:p w14:paraId="0FF7BCC9" w14:textId="45FEDB44" w:rsidR="00FC6E5C" w:rsidRPr="00FC6E5C" w:rsidRDefault="00FC6E5C" w:rsidP="00FC6E5C">
            <w:pPr>
              <w:jc w:val="center"/>
            </w:pPr>
            <w:r w:rsidRPr="00FC6E5C">
              <w:t>/</w:t>
            </w:r>
          </w:p>
        </w:tc>
        <w:tc>
          <w:tcPr>
            <w:tcW w:w="382" w:type="pct"/>
            <w:tcBorders>
              <w:left w:val="single" w:sz="6" w:space="0" w:color="000000"/>
              <w:right w:val="single" w:sz="6" w:space="0" w:color="000000"/>
            </w:tcBorders>
            <w:vAlign w:val="center"/>
          </w:tcPr>
          <w:p w14:paraId="2E1216EE" w14:textId="5D2E8A41" w:rsidR="00FC6E5C" w:rsidRPr="00FC6E5C" w:rsidRDefault="00FC6E5C" w:rsidP="00FC6E5C">
            <w:pPr>
              <w:jc w:val="center"/>
            </w:pPr>
            <w:r w:rsidRPr="00FC6E5C">
              <w:t>/</w:t>
            </w:r>
          </w:p>
        </w:tc>
        <w:tc>
          <w:tcPr>
            <w:tcW w:w="545" w:type="pct"/>
            <w:vMerge/>
            <w:tcBorders>
              <w:left w:val="single" w:sz="6" w:space="0" w:color="000000"/>
              <w:right w:val="single" w:sz="6" w:space="0" w:color="000000"/>
            </w:tcBorders>
            <w:vAlign w:val="center"/>
          </w:tcPr>
          <w:p w14:paraId="07066CE0" w14:textId="77777777" w:rsidR="00FC6E5C" w:rsidRPr="0006628B" w:rsidRDefault="00FC6E5C" w:rsidP="00FC6E5C">
            <w:pPr>
              <w:jc w:val="center"/>
              <w:rPr>
                <w:highlight w:val="yellow"/>
              </w:rPr>
            </w:pPr>
          </w:p>
        </w:tc>
        <w:tc>
          <w:tcPr>
            <w:tcW w:w="910" w:type="pct"/>
            <w:vMerge/>
            <w:tcBorders>
              <w:left w:val="single" w:sz="6" w:space="0" w:color="000000"/>
            </w:tcBorders>
            <w:vAlign w:val="center"/>
          </w:tcPr>
          <w:p w14:paraId="1C8B7AA2" w14:textId="77777777" w:rsidR="00FC6E5C" w:rsidRPr="0006628B" w:rsidRDefault="00FC6E5C" w:rsidP="00FC6E5C">
            <w:pPr>
              <w:jc w:val="center"/>
              <w:rPr>
                <w:highlight w:val="yellow"/>
              </w:rPr>
            </w:pPr>
          </w:p>
        </w:tc>
      </w:tr>
      <w:tr w:rsidR="00FC6E5C" w:rsidRPr="0006628B" w14:paraId="7CF976F9" w14:textId="77777777" w:rsidTr="00FC6E5C">
        <w:trPr>
          <w:trHeight w:val="57"/>
          <w:jc w:val="center"/>
        </w:trPr>
        <w:tc>
          <w:tcPr>
            <w:tcW w:w="203" w:type="pct"/>
            <w:vMerge/>
            <w:tcBorders>
              <w:right w:val="single" w:sz="6" w:space="0" w:color="000000"/>
            </w:tcBorders>
            <w:vAlign w:val="center"/>
          </w:tcPr>
          <w:p w14:paraId="614F551C" w14:textId="77777777" w:rsidR="00FC6E5C" w:rsidRPr="0006628B" w:rsidRDefault="00FC6E5C" w:rsidP="00FC6E5C">
            <w:pPr>
              <w:jc w:val="center"/>
              <w:rPr>
                <w:highlight w:val="yellow"/>
              </w:rPr>
            </w:pPr>
          </w:p>
        </w:tc>
        <w:tc>
          <w:tcPr>
            <w:tcW w:w="385" w:type="pct"/>
            <w:vMerge/>
            <w:tcBorders>
              <w:left w:val="single" w:sz="6" w:space="0" w:color="000000"/>
              <w:right w:val="single" w:sz="6" w:space="0" w:color="000000"/>
            </w:tcBorders>
            <w:vAlign w:val="center"/>
          </w:tcPr>
          <w:p w14:paraId="3B810F07" w14:textId="77777777" w:rsidR="00FC6E5C" w:rsidRPr="0006628B" w:rsidRDefault="00FC6E5C" w:rsidP="00FC6E5C">
            <w:pPr>
              <w:jc w:val="center"/>
              <w:rPr>
                <w:highlight w:val="yellow"/>
              </w:rPr>
            </w:pPr>
          </w:p>
        </w:tc>
        <w:tc>
          <w:tcPr>
            <w:tcW w:w="435" w:type="pct"/>
            <w:vMerge/>
            <w:tcBorders>
              <w:left w:val="single" w:sz="6" w:space="0" w:color="000000"/>
              <w:right w:val="single" w:sz="6" w:space="0" w:color="000000"/>
            </w:tcBorders>
            <w:vAlign w:val="center"/>
          </w:tcPr>
          <w:p w14:paraId="612A630C" w14:textId="77777777" w:rsidR="00FC6E5C" w:rsidRPr="0006628B" w:rsidRDefault="00FC6E5C" w:rsidP="00FC6E5C">
            <w:pPr>
              <w:jc w:val="center"/>
              <w:rPr>
                <w:highlight w:val="yellow"/>
              </w:rPr>
            </w:pPr>
          </w:p>
        </w:tc>
        <w:tc>
          <w:tcPr>
            <w:tcW w:w="552" w:type="pct"/>
            <w:tcBorders>
              <w:top w:val="single" w:sz="4" w:space="0" w:color="000000"/>
              <w:left w:val="nil"/>
              <w:bottom w:val="single" w:sz="4" w:space="0" w:color="000000"/>
              <w:right w:val="single" w:sz="4" w:space="0" w:color="000000"/>
            </w:tcBorders>
            <w:vAlign w:val="center"/>
          </w:tcPr>
          <w:p w14:paraId="3226A597" w14:textId="5657DD73" w:rsidR="00FC6E5C" w:rsidRPr="00D00795" w:rsidRDefault="00FC6E5C" w:rsidP="00FC6E5C">
            <w:pPr>
              <w:jc w:val="center"/>
            </w:pPr>
            <w:r w:rsidRPr="00D00795">
              <w:rPr>
                <w:rFonts w:hint="eastAsia"/>
                <w:sz w:val="22"/>
                <w:szCs w:val="22"/>
              </w:rPr>
              <w:t>总余氯</w:t>
            </w:r>
          </w:p>
        </w:tc>
        <w:tc>
          <w:tcPr>
            <w:tcW w:w="502" w:type="pct"/>
            <w:tcBorders>
              <w:top w:val="single" w:sz="4" w:space="0" w:color="000000"/>
              <w:left w:val="single" w:sz="4" w:space="0" w:color="000000"/>
              <w:bottom w:val="single" w:sz="4" w:space="0" w:color="000000"/>
              <w:right w:val="single" w:sz="4" w:space="0" w:color="000000"/>
            </w:tcBorders>
            <w:vAlign w:val="center"/>
          </w:tcPr>
          <w:p w14:paraId="0FAB70B8" w14:textId="4EDDF995" w:rsidR="00FC6E5C" w:rsidRPr="00D00795" w:rsidRDefault="00FC6E5C" w:rsidP="00FC6E5C">
            <w:pPr>
              <w:jc w:val="center"/>
              <w:rPr>
                <w:rFonts w:eastAsiaTheme="minorEastAsia"/>
              </w:rPr>
            </w:pPr>
            <w:r w:rsidRPr="00D00795">
              <w:rPr>
                <w:rFonts w:hint="eastAsia"/>
                <w:sz w:val="22"/>
                <w:szCs w:val="22"/>
              </w:rPr>
              <w:t xml:space="preserve">/ </w:t>
            </w:r>
          </w:p>
        </w:tc>
        <w:tc>
          <w:tcPr>
            <w:tcW w:w="543" w:type="pct"/>
            <w:tcBorders>
              <w:top w:val="single" w:sz="4" w:space="0" w:color="000000"/>
              <w:left w:val="single" w:sz="4" w:space="0" w:color="000000"/>
              <w:bottom w:val="single" w:sz="4" w:space="0" w:color="000000"/>
              <w:right w:val="single" w:sz="4" w:space="0" w:color="000000"/>
            </w:tcBorders>
            <w:vAlign w:val="center"/>
          </w:tcPr>
          <w:p w14:paraId="3F0FF4AC" w14:textId="606BB054" w:rsidR="00FC6E5C" w:rsidRPr="00FC6E5C" w:rsidRDefault="00FC6E5C" w:rsidP="00FC6E5C">
            <w:pPr>
              <w:jc w:val="center"/>
              <w:rPr>
                <w:rFonts w:eastAsiaTheme="minorEastAsia"/>
              </w:rPr>
            </w:pPr>
            <w:r w:rsidRPr="00FC6E5C">
              <w:rPr>
                <w:color w:val="000000"/>
              </w:rPr>
              <w:t>0.1~0.2</w:t>
            </w:r>
          </w:p>
        </w:tc>
        <w:tc>
          <w:tcPr>
            <w:tcW w:w="543" w:type="pct"/>
            <w:tcBorders>
              <w:left w:val="single" w:sz="4" w:space="0" w:color="000000"/>
              <w:right w:val="single" w:sz="6" w:space="0" w:color="000000"/>
            </w:tcBorders>
            <w:vAlign w:val="center"/>
          </w:tcPr>
          <w:p w14:paraId="622A3C4E" w14:textId="5D7AD58D" w:rsidR="00FC6E5C" w:rsidRPr="00FC6E5C" w:rsidRDefault="00FC6E5C" w:rsidP="00FC6E5C">
            <w:pPr>
              <w:jc w:val="center"/>
            </w:pPr>
            <w:r w:rsidRPr="00FC6E5C">
              <w:t>/</w:t>
            </w:r>
          </w:p>
        </w:tc>
        <w:tc>
          <w:tcPr>
            <w:tcW w:w="382" w:type="pct"/>
            <w:tcBorders>
              <w:left w:val="single" w:sz="6" w:space="0" w:color="000000"/>
              <w:right w:val="single" w:sz="6" w:space="0" w:color="000000"/>
            </w:tcBorders>
            <w:vAlign w:val="center"/>
          </w:tcPr>
          <w:p w14:paraId="095863AA" w14:textId="4C5F5851" w:rsidR="00FC6E5C" w:rsidRPr="00FC6E5C" w:rsidRDefault="00FC6E5C" w:rsidP="00FC6E5C">
            <w:pPr>
              <w:jc w:val="center"/>
            </w:pPr>
            <w:r w:rsidRPr="00FC6E5C">
              <w:t>/</w:t>
            </w:r>
          </w:p>
        </w:tc>
        <w:tc>
          <w:tcPr>
            <w:tcW w:w="545" w:type="pct"/>
            <w:vMerge/>
            <w:tcBorders>
              <w:left w:val="single" w:sz="6" w:space="0" w:color="000000"/>
              <w:right w:val="single" w:sz="6" w:space="0" w:color="000000"/>
            </w:tcBorders>
            <w:vAlign w:val="center"/>
          </w:tcPr>
          <w:p w14:paraId="1EF436BE" w14:textId="77777777" w:rsidR="00FC6E5C" w:rsidRPr="0006628B" w:rsidRDefault="00FC6E5C" w:rsidP="00FC6E5C">
            <w:pPr>
              <w:jc w:val="center"/>
              <w:rPr>
                <w:highlight w:val="yellow"/>
              </w:rPr>
            </w:pPr>
          </w:p>
        </w:tc>
        <w:tc>
          <w:tcPr>
            <w:tcW w:w="910" w:type="pct"/>
            <w:vMerge/>
            <w:tcBorders>
              <w:left w:val="single" w:sz="6" w:space="0" w:color="000000"/>
            </w:tcBorders>
            <w:vAlign w:val="center"/>
          </w:tcPr>
          <w:p w14:paraId="19E4E387" w14:textId="77777777" w:rsidR="00FC6E5C" w:rsidRPr="0006628B" w:rsidRDefault="00FC6E5C" w:rsidP="00FC6E5C">
            <w:pPr>
              <w:jc w:val="center"/>
              <w:rPr>
                <w:highlight w:val="yellow"/>
              </w:rPr>
            </w:pPr>
          </w:p>
        </w:tc>
      </w:tr>
      <w:tr w:rsidR="00FC6E5C" w:rsidRPr="0006628B" w14:paraId="39B634FA" w14:textId="77777777" w:rsidTr="00FC6E5C">
        <w:trPr>
          <w:trHeight w:val="57"/>
          <w:jc w:val="center"/>
        </w:trPr>
        <w:tc>
          <w:tcPr>
            <w:tcW w:w="203" w:type="pct"/>
            <w:vMerge/>
            <w:tcBorders>
              <w:right w:val="single" w:sz="6" w:space="0" w:color="000000"/>
            </w:tcBorders>
            <w:vAlign w:val="center"/>
          </w:tcPr>
          <w:p w14:paraId="095632DC" w14:textId="77777777" w:rsidR="00FC6E5C" w:rsidRPr="0006628B" w:rsidRDefault="00FC6E5C" w:rsidP="00FC6E5C">
            <w:pPr>
              <w:jc w:val="center"/>
              <w:rPr>
                <w:highlight w:val="yellow"/>
              </w:rPr>
            </w:pPr>
          </w:p>
        </w:tc>
        <w:tc>
          <w:tcPr>
            <w:tcW w:w="385" w:type="pct"/>
            <w:vMerge/>
            <w:tcBorders>
              <w:left w:val="single" w:sz="6" w:space="0" w:color="000000"/>
              <w:right w:val="single" w:sz="6" w:space="0" w:color="000000"/>
            </w:tcBorders>
            <w:vAlign w:val="center"/>
          </w:tcPr>
          <w:p w14:paraId="4AE9D3E6" w14:textId="77777777" w:rsidR="00FC6E5C" w:rsidRPr="0006628B" w:rsidRDefault="00FC6E5C" w:rsidP="00FC6E5C">
            <w:pPr>
              <w:jc w:val="center"/>
              <w:rPr>
                <w:highlight w:val="yellow"/>
              </w:rPr>
            </w:pPr>
          </w:p>
        </w:tc>
        <w:tc>
          <w:tcPr>
            <w:tcW w:w="435" w:type="pct"/>
            <w:vMerge/>
            <w:tcBorders>
              <w:left w:val="single" w:sz="6" w:space="0" w:color="000000"/>
              <w:right w:val="single" w:sz="6" w:space="0" w:color="000000"/>
            </w:tcBorders>
            <w:vAlign w:val="center"/>
          </w:tcPr>
          <w:p w14:paraId="0772FE51" w14:textId="77777777" w:rsidR="00FC6E5C" w:rsidRPr="0006628B" w:rsidRDefault="00FC6E5C" w:rsidP="00FC6E5C">
            <w:pPr>
              <w:jc w:val="center"/>
              <w:rPr>
                <w:highlight w:val="yellow"/>
              </w:rPr>
            </w:pPr>
          </w:p>
        </w:tc>
        <w:tc>
          <w:tcPr>
            <w:tcW w:w="552" w:type="pct"/>
            <w:tcBorders>
              <w:top w:val="single" w:sz="4" w:space="0" w:color="000000"/>
              <w:left w:val="nil"/>
              <w:bottom w:val="single" w:sz="2" w:space="0" w:color="000000"/>
              <w:right w:val="single" w:sz="4" w:space="0" w:color="000000"/>
            </w:tcBorders>
            <w:vAlign w:val="center"/>
          </w:tcPr>
          <w:p w14:paraId="61932225" w14:textId="65C40102" w:rsidR="00FC6E5C" w:rsidRPr="00D00795" w:rsidRDefault="00FC6E5C" w:rsidP="00FC6E5C">
            <w:pPr>
              <w:jc w:val="center"/>
            </w:pPr>
            <w:r w:rsidRPr="00D00795">
              <w:rPr>
                <w:rFonts w:hint="eastAsia"/>
                <w:sz w:val="22"/>
                <w:szCs w:val="22"/>
              </w:rPr>
              <w:t>粪大肠菌群</w:t>
            </w:r>
          </w:p>
        </w:tc>
        <w:tc>
          <w:tcPr>
            <w:tcW w:w="502" w:type="pct"/>
            <w:tcBorders>
              <w:top w:val="single" w:sz="4" w:space="0" w:color="000000"/>
              <w:left w:val="single" w:sz="4" w:space="0" w:color="000000"/>
              <w:bottom w:val="single" w:sz="4" w:space="0" w:color="000000"/>
              <w:right w:val="single" w:sz="4" w:space="0" w:color="000000"/>
            </w:tcBorders>
            <w:vAlign w:val="center"/>
          </w:tcPr>
          <w:p w14:paraId="6491D289" w14:textId="12BB7A59" w:rsidR="00FC6E5C" w:rsidRPr="00D00795" w:rsidRDefault="00FC6E5C" w:rsidP="00FC6E5C">
            <w:pPr>
              <w:jc w:val="center"/>
              <w:rPr>
                <w:rFonts w:eastAsiaTheme="minorEastAsia"/>
              </w:rPr>
            </w:pPr>
            <w:r w:rsidRPr="00D00795">
              <w:rPr>
                <w:rFonts w:hint="eastAsia"/>
                <w:sz w:val="22"/>
                <w:szCs w:val="22"/>
              </w:rPr>
              <w:t xml:space="preserve">443.33 </w:t>
            </w:r>
          </w:p>
        </w:tc>
        <w:tc>
          <w:tcPr>
            <w:tcW w:w="543" w:type="pct"/>
            <w:tcBorders>
              <w:top w:val="single" w:sz="4" w:space="0" w:color="000000"/>
              <w:left w:val="single" w:sz="4" w:space="0" w:color="000000"/>
              <w:bottom w:val="single" w:sz="4" w:space="0" w:color="000000"/>
              <w:right w:val="single" w:sz="4" w:space="0" w:color="000000"/>
            </w:tcBorders>
            <w:vAlign w:val="center"/>
          </w:tcPr>
          <w:p w14:paraId="4946BD97" w14:textId="1E587988" w:rsidR="00FC6E5C" w:rsidRPr="00FC6E5C" w:rsidRDefault="00FC6E5C" w:rsidP="00FC6E5C">
            <w:pPr>
              <w:jc w:val="center"/>
              <w:rPr>
                <w:rFonts w:eastAsiaTheme="minorEastAsia"/>
              </w:rPr>
            </w:pPr>
            <w:r w:rsidRPr="00FC6E5C">
              <w:rPr>
                <w:color w:val="000000"/>
              </w:rPr>
              <w:t>2000</w:t>
            </w:r>
          </w:p>
        </w:tc>
        <w:tc>
          <w:tcPr>
            <w:tcW w:w="543" w:type="pct"/>
            <w:tcBorders>
              <w:left w:val="single" w:sz="4" w:space="0" w:color="000000"/>
              <w:right w:val="single" w:sz="6" w:space="0" w:color="000000"/>
            </w:tcBorders>
            <w:vAlign w:val="center"/>
          </w:tcPr>
          <w:p w14:paraId="39E4324E" w14:textId="00CBE9F4" w:rsidR="00FC6E5C" w:rsidRPr="00FC6E5C" w:rsidRDefault="00FC6E5C" w:rsidP="00FC6E5C">
            <w:pPr>
              <w:jc w:val="center"/>
            </w:pPr>
            <w:r w:rsidRPr="00FC6E5C">
              <w:t>/</w:t>
            </w:r>
          </w:p>
        </w:tc>
        <w:tc>
          <w:tcPr>
            <w:tcW w:w="382" w:type="pct"/>
            <w:tcBorders>
              <w:left w:val="single" w:sz="6" w:space="0" w:color="000000"/>
              <w:right w:val="single" w:sz="6" w:space="0" w:color="000000"/>
            </w:tcBorders>
            <w:vAlign w:val="center"/>
          </w:tcPr>
          <w:p w14:paraId="026ABC1F" w14:textId="29DAF6E8" w:rsidR="00FC6E5C" w:rsidRPr="00FC6E5C" w:rsidRDefault="00FC6E5C" w:rsidP="00FC6E5C">
            <w:pPr>
              <w:jc w:val="center"/>
            </w:pPr>
            <w:r w:rsidRPr="00FC6E5C">
              <w:t>/</w:t>
            </w:r>
          </w:p>
        </w:tc>
        <w:tc>
          <w:tcPr>
            <w:tcW w:w="545" w:type="pct"/>
            <w:vMerge/>
            <w:tcBorders>
              <w:left w:val="single" w:sz="6" w:space="0" w:color="000000"/>
              <w:right w:val="single" w:sz="6" w:space="0" w:color="000000"/>
            </w:tcBorders>
            <w:vAlign w:val="center"/>
          </w:tcPr>
          <w:p w14:paraId="53BFA64F" w14:textId="77777777" w:rsidR="00FC6E5C" w:rsidRPr="0006628B" w:rsidRDefault="00FC6E5C" w:rsidP="00FC6E5C">
            <w:pPr>
              <w:jc w:val="center"/>
              <w:rPr>
                <w:highlight w:val="yellow"/>
              </w:rPr>
            </w:pPr>
          </w:p>
        </w:tc>
        <w:tc>
          <w:tcPr>
            <w:tcW w:w="910" w:type="pct"/>
            <w:vMerge/>
            <w:tcBorders>
              <w:left w:val="single" w:sz="6" w:space="0" w:color="000000"/>
            </w:tcBorders>
            <w:vAlign w:val="center"/>
          </w:tcPr>
          <w:p w14:paraId="7A5C159E" w14:textId="77777777" w:rsidR="00FC6E5C" w:rsidRPr="0006628B" w:rsidRDefault="00FC6E5C" w:rsidP="00FC6E5C">
            <w:pPr>
              <w:jc w:val="center"/>
              <w:rPr>
                <w:highlight w:val="yellow"/>
              </w:rPr>
            </w:pPr>
          </w:p>
        </w:tc>
      </w:tr>
      <w:tr w:rsidR="00606029" w:rsidRPr="00D00795" w14:paraId="742E4062" w14:textId="77777777" w:rsidTr="00FC6E5C">
        <w:trPr>
          <w:trHeight w:val="57"/>
          <w:jc w:val="center"/>
        </w:trPr>
        <w:tc>
          <w:tcPr>
            <w:tcW w:w="588" w:type="pct"/>
            <w:gridSpan w:val="2"/>
            <w:tcBorders>
              <w:right w:val="single" w:sz="6" w:space="0" w:color="000000"/>
            </w:tcBorders>
            <w:vAlign w:val="center"/>
          </w:tcPr>
          <w:p w14:paraId="58ACEC6B" w14:textId="77777777" w:rsidR="00606029" w:rsidRPr="00D00795" w:rsidRDefault="00EA5B92">
            <w:pPr>
              <w:jc w:val="center"/>
            </w:pPr>
            <w:r w:rsidRPr="00D00795">
              <w:t>三、废气排放情况</w:t>
            </w:r>
          </w:p>
        </w:tc>
        <w:tc>
          <w:tcPr>
            <w:tcW w:w="435" w:type="pct"/>
            <w:tcBorders>
              <w:left w:val="single" w:sz="6" w:space="0" w:color="000000"/>
              <w:right w:val="single" w:sz="6" w:space="0" w:color="000000"/>
            </w:tcBorders>
            <w:vAlign w:val="center"/>
          </w:tcPr>
          <w:p w14:paraId="7CF69A83" w14:textId="77777777" w:rsidR="00606029" w:rsidRPr="00D00795" w:rsidRDefault="00EA5B92">
            <w:pPr>
              <w:jc w:val="center"/>
            </w:pPr>
            <w:r w:rsidRPr="00D00795">
              <w:t>废气量万</w:t>
            </w:r>
            <w:r w:rsidRPr="00D00795">
              <w:t>m</w:t>
            </w:r>
            <w:r w:rsidRPr="00255889">
              <w:rPr>
                <w:vertAlign w:val="superscript"/>
              </w:rPr>
              <w:t>3</w:t>
            </w:r>
            <w:r w:rsidRPr="00D00795">
              <w:t>/a</w:t>
            </w:r>
          </w:p>
        </w:tc>
        <w:tc>
          <w:tcPr>
            <w:tcW w:w="552" w:type="pct"/>
            <w:tcBorders>
              <w:left w:val="single" w:sz="6" w:space="0" w:color="000000"/>
              <w:right w:val="single" w:sz="6" w:space="0" w:color="000000"/>
            </w:tcBorders>
            <w:vAlign w:val="center"/>
          </w:tcPr>
          <w:p w14:paraId="1B928509" w14:textId="77777777" w:rsidR="00606029" w:rsidRPr="00D00795" w:rsidRDefault="00EA5B92">
            <w:pPr>
              <w:jc w:val="center"/>
            </w:pPr>
            <w:r w:rsidRPr="00D00795">
              <w:t>污染物</w:t>
            </w:r>
          </w:p>
        </w:tc>
        <w:tc>
          <w:tcPr>
            <w:tcW w:w="502" w:type="pct"/>
            <w:tcBorders>
              <w:top w:val="single" w:sz="4" w:space="0" w:color="000000"/>
              <w:left w:val="single" w:sz="6" w:space="0" w:color="000000"/>
              <w:right w:val="single" w:sz="6" w:space="0" w:color="000000"/>
            </w:tcBorders>
            <w:vAlign w:val="center"/>
          </w:tcPr>
          <w:p w14:paraId="5F065E0B" w14:textId="77777777" w:rsidR="00606029" w:rsidRPr="00D00795" w:rsidRDefault="00EA5B92">
            <w:pPr>
              <w:jc w:val="center"/>
            </w:pPr>
            <w:r w:rsidRPr="00D00795">
              <w:t>排放浓度</w:t>
            </w:r>
            <w:r w:rsidRPr="00D00795">
              <w:t>mg/m</w:t>
            </w:r>
            <w:r w:rsidRPr="00D00795">
              <w:rPr>
                <w:vertAlign w:val="superscript"/>
              </w:rPr>
              <w:t>3</w:t>
            </w:r>
          </w:p>
        </w:tc>
        <w:tc>
          <w:tcPr>
            <w:tcW w:w="543" w:type="pct"/>
            <w:tcBorders>
              <w:top w:val="single" w:sz="4" w:space="0" w:color="000000"/>
              <w:left w:val="single" w:sz="6" w:space="0" w:color="000000"/>
              <w:right w:val="single" w:sz="6" w:space="0" w:color="000000"/>
            </w:tcBorders>
            <w:vAlign w:val="center"/>
          </w:tcPr>
          <w:p w14:paraId="1252B98B" w14:textId="77777777" w:rsidR="00606029" w:rsidRPr="00D00795" w:rsidRDefault="00EA5B92">
            <w:pPr>
              <w:jc w:val="center"/>
            </w:pPr>
            <w:r w:rsidRPr="00D00795">
              <w:t>排放速率</w:t>
            </w:r>
            <w:r w:rsidRPr="00D00795">
              <w:t>g/s</w:t>
            </w:r>
          </w:p>
        </w:tc>
        <w:tc>
          <w:tcPr>
            <w:tcW w:w="543" w:type="pct"/>
            <w:tcBorders>
              <w:left w:val="single" w:sz="6" w:space="0" w:color="000000"/>
              <w:right w:val="single" w:sz="6" w:space="0" w:color="000000"/>
            </w:tcBorders>
            <w:vAlign w:val="center"/>
          </w:tcPr>
          <w:p w14:paraId="0AA4D268" w14:textId="77777777" w:rsidR="00606029" w:rsidRPr="00D00795" w:rsidRDefault="00EA5B92">
            <w:pPr>
              <w:jc w:val="center"/>
            </w:pPr>
            <w:r w:rsidRPr="00D00795">
              <w:t>排放量</w:t>
            </w:r>
            <w:r w:rsidRPr="00D00795">
              <w:t>t/a</w:t>
            </w:r>
          </w:p>
        </w:tc>
        <w:tc>
          <w:tcPr>
            <w:tcW w:w="382" w:type="pct"/>
            <w:tcBorders>
              <w:left w:val="single" w:sz="6" w:space="0" w:color="000000"/>
              <w:right w:val="single" w:sz="6" w:space="0" w:color="000000"/>
            </w:tcBorders>
            <w:vAlign w:val="center"/>
          </w:tcPr>
          <w:p w14:paraId="70288924" w14:textId="77777777" w:rsidR="00606029" w:rsidRPr="00D00795" w:rsidRDefault="00EA5B92">
            <w:pPr>
              <w:jc w:val="center"/>
            </w:pPr>
            <w:r w:rsidRPr="00D00795">
              <w:t>总量控制指标</w:t>
            </w:r>
            <w:r w:rsidRPr="00D00795">
              <w:t>t/a</w:t>
            </w:r>
          </w:p>
        </w:tc>
        <w:tc>
          <w:tcPr>
            <w:tcW w:w="545" w:type="pct"/>
            <w:tcBorders>
              <w:left w:val="single" w:sz="6" w:space="0" w:color="000000"/>
              <w:right w:val="single" w:sz="6" w:space="0" w:color="000000"/>
            </w:tcBorders>
            <w:vAlign w:val="center"/>
          </w:tcPr>
          <w:p w14:paraId="5E220E1B" w14:textId="77777777" w:rsidR="00606029" w:rsidRPr="00D00795" w:rsidRDefault="00EA5B92">
            <w:pPr>
              <w:jc w:val="center"/>
            </w:pPr>
            <w:r w:rsidRPr="00D00795">
              <w:t>治理措施及运行参数</w:t>
            </w:r>
          </w:p>
        </w:tc>
        <w:tc>
          <w:tcPr>
            <w:tcW w:w="910" w:type="pct"/>
            <w:tcBorders>
              <w:left w:val="single" w:sz="6" w:space="0" w:color="000000"/>
            </w:tcBorders>
            <w:vAlign w:val="center"/>
          </w:tcPr>
          <w:p w14:paraId="5B840E87" w14:textId="77777777" w:rsidR="00606029" w:rsidRPr="00D00795" w:rsidRDefault="00EA5B92">
            <w:pPr>
              <w:jc w:val="center"/>
            </w:pPr>
            <w:r w:rsidRPr="00D00795">
              <w:t>执行标准</w:t>
            </w:r>
          </w:p>
        </w:tc>
      </w:tr>
      <w:tr w:rsidR="00606029" w:rsidRPr="00D00795" w14:paraId="720D628B" w14:textId="77777777" w:rsidTr="00D907B7">
        <w:trPr>
          <w:trHeight w:val="57"/>
          <w:jc w:val="center"/>
        </w:trPr>
        <w:tc>
          <w:tcPr>
            <w:tcW w:w="203" w:type="pct"/>
            <w:vMerge w:val="restart"/>
            <w:tcBorders>
              <w:bottom w:val="nil"/>
              <w:right w:val="single" w:sz="6" w:space="0" w:color="000000"/>
            </w:tcBorders>
            <w:vAlign w:val="center"/>
          </w:tcPr>
          <w:p w14:paraId="2D68ECA9" w14:textId="77777777" w:rsidR="00606029" w:rsidRPr="00D00795" w:rsidRDefault="00EA5B92">
            <w:pPr>
              <w:jc w:val="center"/>
            </w:pPr>
            <w:r w:rsidRPr="00D00795">
              <w:t>废气</w:t>
            </w:r>
          </w:p>
        </w:tc>
        <w:tc>
          <w:tcPr>
            <w:tcW w:w="385" w:type="pct"/>
            <w:tcBorders>
              <w:left w:val="single" w:sz="6" w:space="0" w:color="000000"/>
              <w:right w:val="single" w:sz="6" w:space="0" w:color="000000"/>
            </w:tcBorders>
            <w:vAlign w:val="center"/>
          </w:tcPr>
          <w:p w14:paraId="2D4BC904" w14:textId="1F033378" w:rsidR="00606029" w:rsidRPr="00D00795" w:rsidRDefault="00EA5B92">
            <w:pPr>
              <w:jc w:val="center"/>
            </w:pPr>
            <w:r w:rsidRPr="00D00795">
              <w:t>卸料</w:t>
            </w:r>
          </w:p>
        </w:tc>
        <w:tc>
          <w:tcPr>
            <w:tcW w:w="435" w:type="pct"/>
            <w:tcBorders>
              <w:left w:val="single" w:sz="6" w:space="0" w:color="000000"/>
              <w:right w:val="single" w:sz="6" w:space="0" w:color="000000"/>
            </w:tcBorders>
            <w:vAlign w:val="center"/>
          </w:tcPr>
          <w:p w14:paraId="4F6B6C14" w14:textId="77777777" w:rsidR="00606029" w:rsidRPr="00D00795" w:rsidRDefault="00EA5B92">
            <w:pPr>
              <w:jc w:val="center"/>
            </w:pPr>
            <w:r w:rsidRPr="00D00795">
              <w:t>/</w:t>
            </w:r>
          </w:p>
        </w:tc>
        <w:tc>
          <w:tcPr>
            <w:tcW w:w="552" w:type="pct"/>
            <w:tcBorders>
              <w:left w:val="single" w:sz="6" w:space="0" w:color="000000"/>
              <w:right w:val="single" w:sz="6" w:space="0" w:color="000000"/>
            </w:tcBorders>
            <w:vAlign w:val="center"/>
          </w:tcPr>
          <w:p w14:paraId="671E1BFF" w14:textId="77777777" w:rsidR="00606029" w:rsidRPr="00D00795" w:rsidRDefault="00EA5B92">
            <w:pPr>
              <w:jc w:val="center"/>
            </w:pPr>
            <w:r w:rsidRPr="00D00795">
              <w:t>颗粒物</w:t>
            </w:r>
          </w:p>
        </w:tc>
        <w:tc>
          <w:tcPr>
            <w:tcW w:w="502" w:type="pct"/>
            <w:tcBorders>
              <w:left w:val="single" w:sz="6" w:space="0" w:color="000000"/>
              <w:right w:val="single" w:sz="6" w:space="0" w:color="000000"/>
            </w:tcBorders>
            <w:vAlign w:val="center"/>
          </w:tcPr>
          <w:p w14:paraId="0924F296" w14:textId="77777777" w:rsidR="00606029" w:rsidRPr="00D00795" w:rsidRDefault="00EA5B92">
            <w:pPr>
              <w:jc w:val="center"/>
            </w:pPr>
            <w:r w:rsidRPr="00D00795">
              <w:t>/</w:t>
            </w:r>
          </w:p>
        </w:tc>
        <w:tc>
          <w:tcPr>
            <w:tcW w:w="543" w:type="pct"/>
            <w:tcBorders>
              <w:left w:val="single" w:sz="6" w:space="0" w:color="000000"/>
              <w:right w:val="single" w:sz="6" w:space="0" w:color="000000"/>
            </w:tcBorders>
            <w:vAlign w:val="center"/>
          </w:tcPr>
          <w:p w14:paraId="697B1C03" w14:textId="5FF74F40" w:rsidR="00606029" w:rsidRPr="00D00795" w:rsidRDefault="00EA5B92">
            <w:pPr>
              <w:jc w:val="center"/>
            </w:pPr>
            <w:r w:rsidRPr="00D00795">
              <w:t>0.0</w:t>
            </w:r>
            <w:r w:rsidR="00D00795" w:rsidRPr="00D00795">
              <w:rPr>
                <w:rFonts w:hint="eastAsia"/>
              </w:rPr>
              <w:t>19</w:t>
            </w:r>
          </w:p>
        </w:tc>
        <w:tc>
          <w:tcPr>
            <w:tcW w:w="543" w:type="pct"/>
            <w:tcBorders>
              <w:left w:val="single" w:sz="6" w:space="0" w:color="000000"/>
              <w:right w:val="single" w:sz="6" w:space="0" w:color="000000"/>
            </w:tcBorders>
            <w:vAlign w:val="center"/>
          </w:tcPr>
          <w:p w14:paraId="32EE8FC8" w14:textId="4E927E3C" w:rsidR="00606029" w:rsidRPr="00D00795" w:rsidRDefault="00EA5B92">
            <w:pPr>
              <w:jc w:val="center"/>
            </w:pPr>
            <w:r w:rsidRPr="00D00795">
              <w:t>0.0</w:t>
            </w:r>
            <w:r w:rsidR="00D00795" w:rsidRPr="00D00795">
              <w:rPr>
                <w:rFonts w:hint="eastAsia"/>
              </w:rPr>
              <w:t>115</w:t>
            </w:r>
          </w:p>
        </w:tc>
        <w:tc>
          <w:tcPr>
            <w:tcW w:w="382" w:type="pct"/>
            <w:tcBorders>
              <w:left w:val="single" w:sz="6" w:space="0" w:color="000000"/>
              <w:right w:val="single" w:sz="6" w:space="0" w:color="000000"/>
            </w:tcBorders>
            <w:vAlign w:val="center"/>
          </w:tcPr>
          <w:p w14:paraId="050ECCB1" w14:textId="77777777" w:rsidR="00606029" w:rsidRPr="00D00795" w:rsidRDefault="00EA5B92">
            <w:pPr>
              <w:jc w:val="center"/>
            </w:pPr>
            <w:r w:rsidRPr="00D00795">
              <w:t>/</w:t>
            </w:r>
          </w:p>
        </w:tc>
        <w:tc>
          <w:tcPr>
            <w:tcW w:w="545" w:type="pct"/>
            <w:vMerge w:val="restart"/>
            <w:tcBorders>
              <w:left w:val="single" w:sz="6" w:space="0" w:color="000000"/>
              <w:bottom w:val="nil"/>
              <w:right w:val="single" w:sz="6" w:space="0" w:color="000000"/>
            </w:tcBorders>
            <w:vAlign w:val="center"/>
          </w:tcPr>
          <w:p w14:paraId="23CF5E65" w14:textId="1087137C" w:rsidR="00606029" w:rsidRPr="00D00795" w:rsidRDefault="00EA5B92">
            <w:pPr>
              <w:jc w:val="center"/>
            </w:pPr>
            <w:r w:rsidRPr="00D00795">
              <w:t>绿化带隔离</w:t>
            </w:r>
            <w:r w:rsidR="006A5C9C">
              <w:rPr>
                <w:rFonts w:hint="eastAsia"/>
              </w:rPr>
              <w:t>、洒水</w:t>
            </w:r>
            <w:r w:rsidR="006A5C9C">
              <w:rPr>
                <w:rFonts w:hint="eastAsia"/>
              </w:rPr>
              <w:lastRenderedPageBreak/>
              <w:t>抑尘</w:t>
            </w:r>
          </w:p>
        </w:tc>
        <w:tc>
          <w:tcPr>
            <w:tcW w:w="910" w:type="pct"/>
            <w:vMerge w:val="restart"/>
            <w:tcBorders>
              <w:left w:val="single" w:sz="6" w:space="0" w:color="000000"/>
              <w:bottom w:val="nil"/>
            </w:tcBorders>
            <w:vAlign w:val="center"/>
          </w:tcPr>
          <w:p w14:paraId="65651617" w14:textId="77777777" w:rsidR="00606029" w:rsidRPr="00D00795" w:rsidRDefault="00EA5B92">
            <w:pPr>
              <w:jc w:val="center"/>
            </w:pPr>
            <w:r w:rsidRPr="00D00795">
              <w:lastRenderedPageBreak/>
              <w:t>《大气污染物综合排放标准》</w:t>
            </w:r>
            <w:r w:rsidRPr="00D00795">
              <w:lastRenderedPageBreak/>
              <w:t>（</w:t>
            </w:r>
            <w:r w:rsidRPr="00D00795">
              <w:t>GB16297-1996</w:t>
            </w:r>
            <w:r w:rsidRPr="00D00795">
              <w:t>）表</w:t>
            </w:r>
            <w:r w:rsidRPr="00D00795">
              <w:t>2</w:t>
            </w:r>
            <w:r w:rsidRPr="00D00795">
              <w:t>中二级标准</w:t>
            </w:r>
          </w:p>
        </w:tc>
      </w:tr>
      <w:tr w:rsidR="00606029" w:rsidRPr="00D00795" w14:paraId="1D74D50F" w14:textId="77777777" w:rsidTr="00D907B7">
        <w:trPr>
          <w:trHeight w:val="57"/>
          <w:jc w:val="center"/>
        </w:trPr>
        <w:tc>
          <w:tcPr>
            <w:tcW w:w="203" w:type="pct"/>
            <w:vMerge/>
            <w:tcBorders>
              <w:top w:val="nil"/>
              <w:right w:val="single" w:sz="6" w:space="0" w:color="000000"/>
            </w:tcBorders>
            <w:vAlign w:val="center"/>
          </w:tcPr>
          <w:p w14:paraId="068A67CF" w14:textId="77777777" w:rsidR="00606029" w:rsidRPr="00D00795" w:rsidRDefault="00606029">
            <w:pPr>
              <w:jc w:val="center"/>
            </w:pPr>
          </w:p>
        </w:tc>
        <w:tc>
          <w:tcPr>
            <w:tcW w:w="385" w:type="pct"/>
            <w:tcBorders>
              <w:left w:val="single" w:sz="6" w:space="0" w:color="000000"/>
              <w:right w:val="single" w:sz="6" w:space="0" w:color="000000"/>
            </w:tcBorders>
            <w:vAlign w:val="center"/>
          </w:tcPr>
          <w:p w14:paraId="06BD26AD" w14:textId="58DA3997" w:rsidR="00606029" w:rsidRPr="00D00795" w:rsidRDefault="00EA5B92">
            <w:pPr>
              <w:jc w:val="center"/>
            </w:pPr>
            <w:r w:rsidRPr="00D00795">
              <w:t>摊铺</w:t>
            </w:r>
          </w:p>
        </w:tc>
        <w:tc>
          <w:tcPr>
            <w:tcW w:w="435" w:type="pct"/>
            <w:tcBorders>
              <w:left w:val="single" w:sz="6" w:space="0" w:color="000000"/>
              <w:right w:val="single" w:sz="6" w:space="0" w:color="000000"/>
            </w:tcBorders>
            <w:vAlign w:val="center"/>
          </w:tcPr>
          <w:p w14:paraId="21817059" w14:textId="77777777" w:rsidR="00606029" w:rsidRPr="00D00795" w:rsidRDefault="00EA5B92">
            <w:pPr>
              <w:jc w:val="center"/>
            </w:pPr>
            <w:r w:rsidRPr="00D00795">
              <w:t>/</w:t>
            </w:r>
          </w:p>
        </w:tc>
        <w:tc>
          <w:tcPr>
            <w:tcW w:w="552" w:type="pct"/>
            <w:tcBorders>
              <w:left w:val="single" w:sz="6" w:space="0" w:color="000000"/>
              <w:right w:val="single" w:sz="6" w:space="0" w:color="000000"/>
            </w:tcBorders>
            <w:vAlign w:val="center"/>
          </w:tcPr>
          <w:p w14:paraId="7DBFD454" w14:textId="77777777" w:rsidR="00606029" w:rsidRPr="00D00795" w:rsidRDefault="00EA5B92">
            <w:pPr>
              <w:jc w:val="center"/>
            </w:pPr>
            <w:r w:rsidRPr="00D00795">
              <w:t>颗粒物</w:t>
            </w:r>
          </w:p>
        </w:tc>
        <w:tc>
          <w:tcPr>
            <w:tcW w:w="502" w:type="pct"/>
            <w:tcBorders>
              <w:left w:val="single" w:sz="6" w:space="0" w:color="000000"/>
              <w:right w:val="single" w:sz="6" w:space="0" w:color="000000"/>
            </w:tcBorders>
            <w:vAlign w:val="center"/>
          </w:tcPr>
          <w:p w14:paraId="43419E17" w14:textId="77777777" w:rsidR="00606029" w:rsidRPr="00D00795" w:rsidRDefault="00EA5B92">
            <w:pPr>
              <w:jc w:val="center"/>
            </w:pPr>
            <w:r w:rsidRPr="00D00795">
              <w:t>/</w:t>
            </w:r>
          </w:p>
        </w:tc>
        <w:tc>
          <w:tcPr>
            <w:tcW w:w="543" w:type="pct"/>
            <w:tcBorders>
              <w:left w:val="single" w:sz="6" w:space="0" w:color="000000"/>
              <w:right w:val="single" w:sz="6" w:space="0" w:color="000000"/>
            </w:tcBorders>
            <w:vAlign w:val="center"/>
          </w:tcPr>
          <w:p w14:paraId="475AB0B2" w14:textId="3DC9E0C8" w:rsidR="00606029" w:rsidRPr="00D00795" w:rsidRDefault="00EA5B92">
            <w:pPr>
              <w:jc w:val="center"/>
            </w:pPr>
            <w:r w:rsidRPr="00D00795">
              <w:t>0.00</w:t>
            </w:r>
            <w:r w:rsidR="00D00795" w:rsidRPr="00D00795">
              <w:rPr>
                <w:rFonts w:hint="eastAsia"/>
              </w:rPr>
              <w:t>21</w:t>
            </w:r>
          </w:p>
        </w:tc>
        <w:tc>
          <w:tcPr>
            <w:tcW w:w="543" w:type="pct"/>
            <w:tcBorders>
              <w:left w:val="single" w:sz="6" w:space="0" w:color="000000"/>
              <w:right w:val="single" w:sz="6" w:space="0" w:color="000000"/>
            </w:tcBorders>
            <w:vAlign w:val="center"/>
          </w:tcPr>
          <w:p w14:paraId="7D397C6B" w14:textId="510D3AB0" w:rsidR="00606029" w:rsidRPr="00D00795" w:rsidRDefault="004D7875">
            <w:pPr>
              <w:jc w:val="center"/>
            </w:pPr>
            <w:r>
              <w:t>0.0109</w:t>
            </w:r>
          </w:p>
        </w:tc>
        <w:tc>
          <w:tcPr>
            <w:tcW w:w="382" w:type="pct"/>
            <w:tcBorders>
              <w:left w:val="single" w:sz="6" w:space="0" w:color="000000"/>
              <w:right w:val="single" w:sz="6" w:space="0" w:color="000000"/>
            </w:tcBorders>
            <w:vAlign w:val="center"/>
          </w:tcPr>
          <w:p w14:paraId="21671A52" w14:textId="77777777" w:rsidR="00606029" w:rsidRPr="00D00795" w:rsidRDefault="00EA5B92">
            <w:pPr>
              <w:jc w:val="center"/>
            </w:pPr>
            <w:r w:rsidRPr="00D00795">
              <w:t>/</w:t>
            </w:r>
          </w:p>
        </w:tc>
        <w:tc>
          <w:tcPr>
            <w:tcW w:w="545" w:type="pct"/>
            <w:vMerge/>
            <w:tcBorders>
              <w:top w:val="nil"/>
              <w:left w:val="single" w:sz="6" w:space="0" w:color="000000"/>
              <w:right w:val="single" w:sz="6" w:space="0" w:color="000000"/>
            </w:tcBorders>
            <w:vAlign w:val="center"/>
          </w:tcPr>
          <w:p w14:paraId="0B69829A" w14:textId="77777777" w:rsidR="00606029" w:rsidRPr="00D00795" w:rsidRDefault="00606029">
            <w:pPr>
              <w:jc w:val="center"/>
            </w:pPr>
          </w:p>
        </w:tc>
        <w:tc>
          <w:tcPr>
            <w:tcW w:w="910" w:type="pct"/>
            <w:vMerge/>
            <w:tcBorders>
              <w:top w:val="nil"/>
              <w:left w:val="single" w:sz="6" w:space="0" w:color="000000"/>
            </w:tcBorders>
            <w:vAlign w:val="center"/>
          </w:tcPr>
          <w:p w14:paraId="69C3F402" w14:textId="77777777" w:rsidR="00606029" w:rsidRPr="00D00795" w:rsidRDefault="00606029">
            <w:pPr>
              <w:jc w:val="center"/>
            </w:pPr>
          </w:p>
        </w:tc>
      </w:tr>
      <w:tr w:rsidR="00606029" w:rsidRPr="00255889" w14:paraId="097EB62F" w14:textId="77777777" w:rsidTr="00D907B7">
        <w:trPr>
          <w:trHeight w:val="57"/>
          <w:jc w:val="center"/>
        </w:trPr>
        <w:tc>
          <w:tcPr>
            <w:tcW w:w="1023" w:type="pct"/>
            <w:gridSpan w:val="3"/>
            <w:tcBorders>
              <w:right w:val="single" w:sz="6" w:space="0" w:color="000000"/>
            </w:tcBorders>
            <w:vAlign w:val="center"/>
          </w:tcPr>
          <w:p w14:paraId="261E5C3E" w14:textId="77777777" w:rsidR="00606029" w:rsidRPr="00255889" w:rsidRDefault="00EA5B92">
            <w:pPr>
              <w:jc w:val="center"/>
            </w:pPr>
            <w:r w:rsidRPr="00255889">
              <w:t>四、固体废物</w:t>
            </w:r>
          </w:p>
        </w:tc>
        <w:tc>
          <w:tcPr>
            <w:tcW w:w="1597" w:type="pct"/>
            <w:gridSpan w:val="3"/>
            <w:tcBorders>
              <w:left w:val="single" w:sz="6" w:space="0" w:color="000000"/>
              <w:right w:val="single" w:sz="6" w:space="0" w:color="000000"/>
            </w:tcBorders>
            <w:vAlign w:val="center"/>
          </w:tcPr>
          <w:p w14:paraId="75C58E69" w14:textId="77777777" w:rsidR="00606029" w:rsidRPr="00255889" w:rsidRDefault="00EA5B92">
            <w:pPr>
              <w:jc w:val="center"/>
            </w:pPr>
            <w:r w:rsidRPr="00255889">
              <w:t>产生量（</w:t>
            </w:r>
            <w:r w:rsidRPr="00255889">
              <w:t>t/a</w:t>
            </w:r>
            <w:r w:rsidRPr="00255889">
              <w:t>）</w:t>
            </w:r>
          </w:p>
        </w:tc>
        <w:tc>
          <w:tcPr>
            <w:tcW w:w="925" w:type="pct"/>
            <w:gridSpan w:val="2"/>
            <w:tcBorders>
              <w:left w:val="single" w:sz="6" w:space="0" w:color="000000"/>
              <w:right w:val="single" w:sz="6" w:space="0" w:color="000000"/>
            </w:tcBorders>
            <w:vAlign w:val="center"/>
          </w:tcPr>
          <w:p w14:paraId="36F554D2" w14:textId="77777777" w:rsidR="00606029" w:rsidRPr="00255889" w:rsidRDefault="00EA5B92">
            <w:pPr>
              <w:jc w:val="center"/>
            </w:pPr>
            <w:r w:rsidRPr="00255889">
              <w:t>排放量（</w:t>
            </w:r>
            <w:r w:rsidRPr="00255889">
              <w:t>t/a</w:t>
            </w:r>
            <w:r w:rsidRPr="00255889">
              <w:t>）</w:t>
            </w:r>
          </w:p>
        </w:tc>
        <w:tc>
          <w:tcPr>
            <w:tcW w:w="545" w:type="pct"/>
            <w:tcBorders>
              <w:left w:val="single" w:sz="6" w:space="0" w:color="000000"/>
              <w:right w:val="single" w:sz="6" w:space="0" w:color="000000"/>
            </w:tcBorders>
            <w:vAlign w:val="center"/>
          </w:tcPr>
          <w:p w14:paraId="7CC3CDBC" w14:textId="77777777" w:rsidR="00606029" w:rsidRPr="00255889" w:rsidRDefault="00EA5B92">
            <w:pPr>
              <w:jc w:val="center"/>
            </w:pPr>
            <w:r w:rsidRPr="00255889">
              <w:t>治理措施</w:t>
            </w:r>
          </w:p>
        </w:tc>
        <w:tc>
          <w:tcPr>
            <w:tcW w:w="910" w:type="pct"/>
            <w:tcBorders>
              <w:left w:val="single" w:sz="6" w:space="0" w:color="000000"/>
            </w:tcBorders>
            <w:vAlign w:val="center"/>
          </w:tcPr>
          <w:p w14:paraId="7EB89024" w14:textId="77777777" w:rsidR="00606029" w:rsidRPr="00255889" w:rsidRDefault="00EA5B92">
            <w:pPr>
              <w:jc w:val="center"/>
            </w:pPr>
            <w:r w:rsidRPr="00255889">
              <w:t>执行标准</w:t>
            </w:r>
          </w:p>
        </w:tc>
      </w:tr>
      <w:tr w:rsidR="00606029" w:rsidRPr="00255889" w14:paraId="640B213B" w14:textId="77777777" w:rsidTr="00D907B7">
        <w:trPr>
          <w:trHeight w:val="57"/>
          <w:jc w:val="center"/>
        </w:trPr>
        <w:tc>
          <w:tcPr>
            <w:tcW w:w="203" w:type="pct"/>
            <w:vMerge w:val="restart"/>
            <w:tcBorders>
              <w:right w:val="single" w:sz="6" w:space="0" w:color="000000"/>
            </w:tcBorders>
            <w:vAlign w:val="center"/>
          </w:tcPr>
          <w:p w14:paraId="7D21F933" w14:textId="3CDDAE56" w:rsidR="00606029" w:rsidRPr="00255889" w:rsidRDefault="00255889">
            <w:pPr>
              <w:jc w:val="center"/>
            </w:pPr>
            <w:r w:rsidRPr="00255889">
              <w:rPr>
                <w:rFonts w:hint="eastAsia"/>
              </w:rPr>
              <w:t>固废</w:t>
            </w:r>
          </w:p>
        </w:tc>
        <w:tc>
          <w:tcPr>
            <w:tcW w:w="820" w:type="pct"/>
            <w:gridSpan w:val="2"/>
            <w:tcBorders>
              <w:left w:val="single" w:sz="6" w:space="0" w:color="000000"/>
              <w:right w:val="single" w:sz="6" w:space="0" w:color="000000"/>
            </w:tcBorders>
            <w:vAlign w:val="center"/>
          </w:tcPr>
          <w:p w14:paraId="1B621456" w14:textId="77777777" w:rsidR="00606029" w:rsidRPr="00255889" w:rsidRDefault="00EA5B92">
            <w:pPr>
              <w:jc w:val="center"/>
            </w:pPr>
            <w:r w:rsidRPr="00255889">
              <w:t>废机油</w:t>
            </w:r>
          </w:p>
        </w:tc>
        <w:tc>
          <w:tcPr>
            <w:tcW w:w="1597" w:type="pct"/>
            <w:gridSpan w:val="3"/>
            <w:tcBorders>
              <w:left w:val="single" w:sz="6" w:space="0" w:color="000000"/>
              <w:right w:val="single" w:sz="6" w:space="0" w:color="000000"/>
            </w:tcBorders>
            <w:vAlign w:val="center"/>
          </w:tcPr>
          <w:p w14:paraId="1CB2F5FF" w14:textId="18C90881" w:rsidR="00606029" w:rsidRPr="00255889" w:rsidRDefault="00344708">
            <w:pPr>
              <w:jc w:val="center"/>
            </w:pPr>
            <w:r>
              <w:t>0.1</w:t>
            </w:r>
          </w:p>
        </w:tc>
        <w:tc>
          <w:tcPr>
            <w:tcW w:w="925" w:type="pct"/>
            <w:gridSpan w:val="2"/>
            <w:tcBorders>
              <w:left w:val="single" w:sz="6" w:space="0" w:color="000000"/>
              <w:right w:val="single" w:sz="6" w:space="0" w:color="000000"/>
            </w:tcBorders>
            <w:vAlign w:val="center"/>
          </w:tcPr>
          <w:p w14:paraId="1893E772" w14:textId="13E4DAA7" w:rsidR="00606029" w:rsidRPr="00255889" w:rsidRDefault="00344708">
            <w:pPr>
              <w:jc w:val="center"/>
            </w:pPr>
            <w:r>
              <w:t>0.1</w:t>
            </w:r>
          </w:p>
        </w:tc>
        <w:tc>
          <w:tcPr>
            <w:tcW w:w="545" w:type="pct"/>
            <w:vMerge w:val="restart"/>
            <w:tcBorders>
              <w:left w:val="single" w:sz="6" w:space="0" w:color="000000"/>
              <w:right w:val="single" w:sz="6" w:space="0" w:color="000000"/>
            </w:tcBorders>
            <w:vAlign w:val="center"/>
          </w:tcPr>
          <w:p w14:paraId="7D22AF8A" w14:textId="77777777" w:rsidR="00606029" w:rsidRPr="00255889" w:rsidRDefault="00EA5B92">
            <w:pPr>
              <w:jc w:val="center"/>
            </w:pPr>
            <w:r w:rsidRPr="00255889">
              <w:t>委托第三方有资质单位处置</w:t>
            </w:r>
          </w:p>
        </w:tc>
        <w:tc>
          <w:tcPr>
            <w:tcW w:w="910" w:type="pct"/>
            <w:tcBorders>
              <w:left w:val="single" w:sz="6" w:space="0" w:color="000000"/>
            </w:tcBorders>
            <w:vAlign w:val="center"/>
          </w:tcPr>
          <w:p w14:paraId="36B54B00" w14:textId="77777777" w:rsidR="00606029" w:rsidRPr="00255889" w:rsidRDefault="00EA5B92">
            <w:pPr>
              <w:jc w:val="center"/>
            </w:pPr>
            <w:r w:rsidRPr="00255889">
              <w:t>/</w:t>
            </w:r>
          </w:p>
        </w:tc>
      </w:tr>
      <w:tr w:rsidR="00606029" w:rsidRPr="00255889" w14:paraId="1B25A153" w14:textId="77777777" w:rsidTr="00D907B7">
        <w:trPr>
          <w:trHeight w:val="57"/>
          <w:jc w:val="center"/>
        </w:trPr>
        <w:tc>
          <w:tcPr>
            <w:tcW w:w="203" w:type="pct"/>
            <w:vMerge/>
            <w:tcBorders>
              <w:right w:val="single" w:sz="6" w:space="0" w:color="000000"/>
            </w:tcBorders>
            <w:vAlign w:val="center"/>
          </w:tcPr>
          <w:p w14:paraId="1A06B34C" w14:textId="77777777" w:rsidR="00606029" w:rsidRPr="00255889" w:rsidRDefault="00606029">
            <w:pPr>
              <w:jc w:val="center"/>
            </w:pPr>
          </w:p>
        </w:tc>
        <w:tc>
          <w:tcPr>
            <w:tcW w:w="820" w:type="pct"/>
            <w:gridSpan w:val="2"/>
            <w:tcBorders>
              <w:left w:val="single" w:sz="6" w:space="0" w:color="000000"/>
              <w:right w:val="single" w:sz="6" w:space="0" w:color="000000"/>
            </w:tcBorders>
            <w:vAlign w:val="center"/>
          </w:tcPr>
          <w:p w14:paraId="0E191C71" w14:textId="60083B20" w:rsidR="00606029" w:rsidRPr="00255889" w:rsidRDefault="00FE2EC7">
            <w:pPr>
              <w:jc w:val="center"/>
            </w:pPr>
            <w:r>
              <w:rPr>
                <w:rFonts w:hint="eastAsia"/>
              </w:rPr>
              <w:t>实验废液</w:t>
            </w:r>
          </w:p>
        </w:tc>
        <w:tc>
          <w:tcPr>
            <w:tcW w:w="1597" w:type="pct"/>
            <w:gridSpan w:val="3"/>
            <w:tcBorders>
              <w:left w:val="single" w:sz="6" w:space="0" w:color="000000"/>
              <w:right w:val="single" w:sz="6" w:space="0" w:color="000000"/>
            </w:tcBorders>
            <w:vAlign w:val="center"/>
          </w:tcPr>
          <w:p w14:paraId="7464C682" w14:textId="4865A024" w:rsidR="00606029" w:rsidRPr="00255889" w:rsidRDefault="00344708">
            <w:pPr>
              <w:jc w:val="center"/>
            </w:pPr>
            <w:r>
              <w:t>1</w:t>
            </w:r>
          </w:p>
        </w:tc>
        <w:tc>
          <w:tcPr>
            <w:tcW w:w="925" w:type="pct"/>
            <w:gridSpan w:val="2"/>
            <w:tcBorders>
              <w:left w:val="single" w:sz="6" w:space="0" w:color="000000"/>
              <w:right w:val="single" w:sz="6" w:space="0" w:color="000000"/>
            </w:tcBorders>
            <w:vAlign w:val="center"/>
          </w:tcPr>
          <w:p w14:paraId="5920508D" w14:textId="6650BF22" w:rsidR="00606029" w:rsidRPr="00255889" w:rsidRDefault="00344708">
            <w:pPr>
              <w:jc w:val="center"/>
            </w:pPr>
            <w:r>
              <w:t>1</w:t>
            </w:r>
          </w:p>
        </w:tc>
        <w:tc>
          <w:tcPr>
            <w:tcW w:w="545" w:type="pct"/>
            <w:vMerge/>
            <w:tcBorders>
              <w:left w:val="single" w:sz="6" w:space="0" w:color="000000"/>
              <w:right w:val="single" w:sz="6" w:space="0" w:color="000000"/>
            </w:tcBorders>
            <w:vAlign w:val="center"/>
          </w:tcPr>
          <w:p w14:paraId="47BF1DA5" w14:textId="77777777" w:rsidR="00606029" w:rsidRPr="00255889" w:rsidRDefault="00606029">
            <w:pPr>
              <w:jc w:val="center"/>
            </w:pPr>
          </w:p>
        </w:tc>
        <w:tc>
          <w:tcPr>
            <w:tcW w:w="910" w:type="pct"/>
            <w:tcBorders>
              <w:left w:val="single" w:sz="6" w:space="0" w:color="000000"/>
            </w:tcBorders>
            <w:vAlign w:val="center"/>
          </w:tcPr>
          <w:p w14:paraId="09E1166A" w14:textId="77777777" w:rsidR="00606029" w:rsidRPr="00255889" w:rsidRDefault="00EA5B92">
            <w:pPr>
              <w:jc w:val="center"/>
            </w:pPr>
            <w:r w:rsidRPr="00255889">
              <w:t>/</w:t>
            </w:r>
          </w:p>
        </w:tc>
      </w:tr>
      <w:tr w:rsidR="00606029" w:rsidRPr="00255889" w14:paraId="2114D75A" w14:textId="77777777" w:rsidTr="00D907B7">
        <w:trPr>
          <w:trHeight w:val="57"/>
          <w:jc w:val="center"/>
        </w:trPr>
        <w:tc>
          <w:tcPr>
            <w:tcW w:w="1023" w:type="pct"/>
            <w:gridSpan w:val="3"/>
            <w:tcBorders>
              <w:right w:val="single" w:sz="6" w:space="0" w:color="000000"/>
            </w:tcBorders>
            <w:vAlign w:val="center"/>
          </w:tcPr>
          <w:p w14:paraId="0DAAA534" w14:textId="77777777" w:rsidR="00606029" w:rsidRPr="00255889" w:rsidRDefault="00EA5B92">
            <w:pPr>
              <w:jc w:val="center"/>
            </w:pPr>
            <w:r w:rsidRPr="00255889">
              <w:t>五、噪声防治</w:t>
            </w:r>
          </w:p>
        </w:tc>
        <w:tc>
          <w:tcPr>
            <w:tcW w:w="1597" w:type="pct"/>
            <w:gridSpan w:val="3"/>
            <w:tcBorders>
              <w:left w:val="single" w:sz="6" w:space="0" w:color="000000"/>
              <w:right w:val="single" w:sz="6" w:space="0" w:color="000000"/>
            </w:tcBorders>
            <w:vAlign w:val="center"/>
          </w:tcPr>
          <w:p w14:paraId="66906A45" w14:textId="77777777" w:rsidR="00606029" w:rsidRPr="00255889" w:rsidRDefault="00EA5B92">
            <w:pPr>
              <w:jc w:val="center"/>
            </w:pPr>
            <w:r w:rsidRPr="00255889">
              <w:t>产生量（</w:t>
            </w:r>
            <w:r w:rsidRPr="00255889">
              <w:t>dB</w:t>
            </w:r>
            <w:r w:rsidRPr="00255889">
              <w:t>（</w:t>
            </w:r>
            <w:r w:rsidRPr="00255889">
              <w:t>A</w:t>
            </w:r>
            <w:r w:rsidRPr="00255889">
              <w:t>））</w:t>
            </w:r>
          </w:p>
        </w:tc>
        <w:tc>
          <w:tcPr>
            <w:tcW w:w="925" w:type="pct"/>
            <w:gridSpan w:val="2"/>
            <w:tcBorders>
              <w:left w:val="single" w:sz="6" w:space="0" w:color="000000"/>
              <w:right w:val="single" w:sz="6" w:space="0" w:color="000000"/>
            </w:tcBorders>
            <w:vAlign w:val="center"/>
          </w:tcPr>
          <w:p w14:paraId="4D49C39D" w14:textId="77777777" w:rsidR="00606029" w:rsidRPr="00255889" w:rsidRDefault="00EA5B92">
            <w:pPr>
              <w:jc w:val="center"/>
            </w:pPr>
            <w:r w:rsidRPr="00255889">
              <w:t>排放量（</w:t>
            </w:r>
            <w:r w:rsidRPr="00255889">
              <w:t>dB</w:t>
            </w:r>
            <w:r w:rsidRPr="00255889">
              <w:t>（</w:t>
            </w:r>
            <w:r w:rsidRPr="00255889">
              <w:t>A</w:t>
            </w:r>
            <w:r w:rsidRPr="00255889">
              <w:t>））</w:t>
            </w:r>
          </w:p>
        </w:tc>
        <w:tc>
          <w:tcPr>
            <w:tcW w:w="545" w:type="pct"/>
            <w:tcBorders>
              <w:left w:val="single" w:sz="6" w:space="0" w:color="000000"/>
              <w:right w:val="single" w:sz="6" w:space="0" w:color="000000"/>
            </w:tcBorders>
            <w:vAlign w:val="center"/>
          </w:tcPr>
          <w:p w14:paraId="21E2431E" w14:textId="77777777" w:rsidR="00606029" w:rsidRPr="00255889" w:rsidRDefault="00EA5B92">
            <w:pPr>
              <w:jc w:val="center"/>
            </w:pPr>
            <w:r w:rsidRPr="00255889">
              <w:t>治理措施</w:t>
            </w:r>
          </w:p>
        </w:tc>
        <w:tc>
          <w:tcPr>
            <w:tcW w:w="910" w:type="pct"/>
            <w:tcBorders>
              <w:left w:val="single" w:sz="6" w:space="0" w:color="000000"/>
            </w:tcBorders>
            <w:vAlign w:val="center"/>
          </w:tcPr>
          <w:p w14:paraId="00358AA7" w14:textId="77777777" w:rsidR="00606029" w:rsidRPr="00255889" w:rsidRDefault="00EA5B92">
            <w:pPr>
              <w:jc w:val="center"/>
            </w:pPr>
            <w:r w:rsidRPr="00255889">
              <w:t>执行标准</w:t>
            </w:r>
          </w:p>
        </w:tc>
      </w:tr>
      <w:tr w:rsidR="00606029" w:rsidRPr="00255889" w14:paraId="08DC9A67" w14:textId="77777777" w:rsidTr="00D907B7">
        <w:trPr>
          <w:trHeight w:val="57"/>
          <w:jc w:val="center"/>
        </w:trPr>
        <w:tc>
          <w:tcPr>
            <w:tcW w:w="203" w:type="pct"/>
            <w:tcBorders>
              <w:bottom w:val="single" w:sz="10" w:space="0" w:color="000000"/>
              <w:right w:val="single" w:sz="6" w:space="0" w:color="000000"/>
            </w:tcBorders>
            <w:vAlign w:val="center"/>
          </w:tcPr>
          <w:p w14:paraId="37965164" w14:textId="77777777" w:rsidR="00606029" w:rsidRPr="00255889" w:rsidRDefault="00EA5B92">
            <w:pPr>
              <w:jc w:val="center"/>
            </w:pPr>
            <w:r w:rsidRPr="00255889">
              <w:t>噪声</w:t>
            </w:r>
          </w:p>
        </w:tc>
        <w:tc>
          <w:tcPr>
            <w:tcW w:w="820" w:type="pct"/>
            <w:gridSpan w:val="2"/>
            <w:tcBorders>
              <w:left w:val="single" w:sz="6" w:space="0" w:color="000000"/>
              <w:bottom w:val="single" w:sz="10" w:space="0" w:color="000000"/>
              <w:right w:val="single" w:sz="6" w:space="0" w:color="000000"/>
            </w:tcBorders>
            <w:vAlign w:val="center"/>
          </w:tcPr>
          <w:p w14:paraId="1CBD4C50" w14:textId="77777777" w:rsidR="00606029" w:rsidRPr="00255889" w:rsidRDefault="00EA5B92">
            <w:pPr>
              <w:jc w:val="center"/>
            </w:pPr>
            <w:r w:rsidRPr="00255889">
              <w:t>设备</w:t>
            </w:r>
          </w:p>
        </w:tc>
        <w:tc>
          <w:tcPr>
            <w:tcW w:w="1597" w:type="pct"/>
            <w:gridSpan w:val="3"/>
            <w:tcBorders>
              <w:left w:val="single" w:sz="6" w:space="0" w:color="000000"/>
              <w:bottom w:val="single" w:sz="10" w:space="0" w:color="000000"/>
              <w:right w:val="single" w:sz="6" w:space="0" w:color="000000"/>
            </w:tcBorders>
            <w:vAlign w:val="center"/>
          </w:tcPr>
          <w:p w14:paraId="25254A84" w14:textId="77777777" w:rsidR="00606029" w:rsidRPr="00255889" w:rsidRDefault="00EA5B92">
            <w:pPr>
              <w:jc w:val="center"/>
            </w:pPr>
            <w:r w:rsidRPr="00255889">
              <w:t>85~90</w:t>
            </w:r>
          </w:p>
        </w:tc>
        <w:tc>
          <w:tcPr>
            <w:tcW w:w="925" w:type="pct"/>
            <w:gridSpan w:val="2"/>
            <w:tcBorders>
              <w:left w:val="single" w:sz="6" w:space="0" w:color="000000"/>
              <w:bottom w:val="single" w:sz="10" w:space="0" w:color="000000"/>
              <w:right w:val="single" w:sz="6" w:space="0" w:color="000000"/>
            </w:tcBorders>
            <w:vAlign w:val="center"/>
          </w:tcPr>
          <w:p w14:paraId="22A87F4C" w14:textId="77777777" w:rsidR="00606029" w:rsidRPr="00255889" w:rsidRDefault="00EA5B92">
            <w:pPr>
              <w:jc w:val="center"/>
            </w:pPr>
            <w:r w:rsidRPr="00255889">
              <w:t>50~60</w:t>
            </w:r>
          </w:p>
        </w:tc>
        <w:tc>
          <w:tcPr>
            <w:tcW w:w="545" w:type="pct"/>
            <w:tcBorders>
              <w:left w:val="single" w:sz="6" w:space="0" w:color="000000"/>
              <w:bottom w:val="single" w:sz="10" w:space="0" w:color="000000"/>
              <w:right w:val="single" w:sz="6" w:space="0" w:color="000000"/>
            </w:tcBorders>
            <w:vAlign w:val="center"/>
          </w:tcPr>
          <w:p w14:paraId="35285C2E" w14:textId="06BECA70" w:rsidR="00606029" w:rsidRPr="00255889" w:rsidRDefault="006A5C9C">
            <w:pPr>
              <w:jc w:val="center"/>
            </w:pPr>
            <w:r>
              <w:rPr>
                <w:rFonts w:hint="eastAsia"/>
              </w:rPr>
              <w:t>加强维修保养、合理安排作业时间</w:t>
            </w:r>
          </w:p>
        </w:tc>
        <w:tc>
          <w:tcPr>
            <w:tcW w:w="910" w:type="pct"/>
            <w:tcBorders>
              <w:left w:val="single" w:sz="6" w:space="0" w:color="000000"/>
              <w:bottom w:val="single" w:sz="10" w:space="0" w:color="000000"/>
            </w:tcBorders>
            <w:vAlign w:val="center"/>
          </w:tcPr>
          <w:p w14:paraId="686514D2" w14:textId="77777777" w:rsidR="00606029" w:rsidRPr="00255889" w:rsidRDefault="00EA5B92">
            <w:pPr>
              <w:jc w:val="center"/>
            </w:pPr>
            <w:r w:rsidRPr="00255889">
              <w:t>《工业企业厂界环境噪声排放标准》（</w:t>
            </w:r>
            <w:r w:rsidRPr="00255889">
              <w:t>GB12348-2008</w:t>
            </w:r>
            <w:r w:rsidRPr="00255889">
              <w:t>）</w:t>
            </w:r>
            <w:r w:rsidRPr="00255889">
              <w:t>2</w:t>
            </w:r>
            <w:r w:rsidRPr="00255889">
              <w:t>类标准</w:t>
            </w:r>
          </w:p>
        </w:tc>
      </w:tr>
      <w:tr w:rsidR="00606029" w:rsidRPr="00255889" w14:paraId="5CF6CDCD" w14:textId="77777777" w:rsidTr="00D907B7">
        <w:trPr>
          <w:trHeight w:val="57"/>
          <w:jc w:val="center"/>
        </w:trPr>
        <w:tc>
          <w:tcPr>
            <w:tcW w:w="1023" w:type="pct"/>
            <w:gridSpan w:val="3"/>
            <w:tcBorders>
              <w:top w:val="single" w:sz="10" w:space="0" w:color="000000"/>
              <w:bottom w:val="single" w:sz="2" w:space="0" w:color="000000"/>
              <w:right w:val="single" w:sz="6" w:space="0" w:color="000000"/>
            </w:tcBorders>
            <w:vAlign w:val="center"/>
          </w:tcPr>
          <w:p w14:paraId="121C1A4B" w14:textId="77777777" w:rsidR="00606029" w:rsidRPr="00255889" w:rsidRDefault="00EA5B92">
            <w:pPr>
              <w:jc w:val="center"/>
            </w:pPr>
            <w:r w:rsidRPr="00255889">
              <w:t>六、环境风险</w:t>
            </w:r>
          </w:p>
        </w:tc>
        <w:tc>
          <w:tcPr>
            <w:tcW w:w="3977" w:type="pct"/>
            <w:gridSpan w:val="7"/>
            <w:tcBorders>
              <w:top w:val="single" w:sz="10" w:space="0" w:color="000000"/>
              <w:left w:val="single" w:sz="6" w:space="0" w:color="000000"/>
              <w:bottom w:val="single" w:sz="2" w:space="0" w:color="000000"/>
            </w:tcBorders>
            <w:vAlign w:val="center"/>
          </w:tcPr>
          <w:p w14:paraId="5B295D8D" w14:textId="2ACB2198" w:rsidR="00606029" w:rsidRPr="00255889" w:rsidRDefault="00EA5B92" w:rsidP="006A5C9C">
            <w:pPr>
              <w:jc w:val="left"/>
            </w:pPr>
            <w:r w:rsidRPr="00255889">
              <w:t>施工期</w:t>
            </w:r>
            <w:r w:rsidR="006A52CC" w:rsidRPr="00255889">
              <w:t>：</w:t>
            </w:r>
            <w:r w:rsidRPr="00255889">
              <w:t>落实</w:t>
            </w:r>
            <w:r w:rsidRPr="00255889">
              <w:t>“</w:t>
            </w:r>
            <w:r w:rsidRPr="00255889">
              <w:t>三同时</w:t>
            </w:r>
            <w:r w:rsidRPr="00255889">
              <w:t>”</w:t>
            </w:r>
            <w:r w:rsidRPr="00255889">
              <w:t>制度；运营期</w:t>
            </w:r>
            <w:r w:rsidR="006A52CC" w:rsidRPr="00255889">
              <w:t>：</w:t>
            </w:r>
            <w:r w:rsidRPr="00255889">
              <w:t>建立环保管理机构，配备环保管理人员，落实报告书的管理和监测计划，规范化排污口，建立环保台账；修编突发环境事件应急预案并完成备案</w:t>
            </w:r>
          </w:p>
        </w:tc>
      </w:tr>
    </w:tbl>
    <w:p w14:paraId="761C4A46" w14:textId="70EC6C62" w:rsidR="00606029" w:rsidRDefault="004A414E">
      <w:pPr>
        <w:pStyle w:val="2"/>
      </w:pPr>
      <w:bookmarkStart w:id="404" w:name="_Toc22075"/>
      <w:bookmarkStart w:id="405" w:name="_Toc12222"/>
      <w:bookmarkStart w:id="406" w:name="_Toc23627"/>
      <w:bookmarkStart w:id="407" w:name="_Toc220680572"/>
      <w:bookmarkStart w:id="408" w:name="_Toc252173680"/>
      <w:r>
        <w:rPr>
          <w:rFonts w:hint="eastAsia"/>
        </w:rPr>
        <w:t>9</w:t>
      </w:r>
      <w:r w:rsidR="00EA5B92">
        <w:t>.</w:t>
      </w:r>
      <w:r>
        <w:rPr>
          <w:rFonts w:hint="eastAsia"/>
        </w:rPr>
        <w:t>6</w:t>
      </w:r>
      <w:r w:rsidR="00EA5B92">
        <w:t>排污许可</w:t>
      </w:r>
      <w:bookmarkEnd w:id="404"/>
      <w:bookmarkEnd w:id="405"/>
      <w:bookmarkEnd w:id="406"/>
      <w:bookmarkEnd w:id="407"/>
    </w:p>
    <w:p w14:paraId="365A44BC" w14:textId="760AA1F4" w:rsidR="00606029" w:rsidRDefault="00EA5B92">
      <w:pPr>
        <w:pStyle w:val="affc"/>
        <w:spacing w:line="360" w:lineRule="auto"/>
        <w:ind w:firstLine="480"/>
        <w:jc w:val="left"/>
      </w:pPr>
      <w:r>
        <w:t>根据《固定污染源排污许可分类管理名录（</w:t>
      </w:r>
      <w:r>
        <w:t>2019</w:t>
      </w:r>
      <w:r>
        <w:t>年版）》中，项目属于名录中</w:t>
      </w:r>
      <w:r>
        <w:t>“</w:t>
      </w:r>
      <w:r>
        <w:t>四十六、公共设施管理业</w:t>
      </w:r>
      <w:r>
        <w:t>78 104</w:t>
      </w:r>
      <w:r>
        <w:t>环境卫生管理</w:t>
      </w:r>
      <w:r>
        <w:t xml:space="preserve">782 </w:t>
      </w:r>
      <w:r>
        <w:t>生活垃圾（含餐厨废弃物）、生活污水处理污泥集中焚烧、填埋</w:t>
      </w:r>
      <w:r>
        <w:t>”</w:t>
      </w:r>
      <w:r>
        <w:t>属于重点管理类，需要申请取得排污许可证，现有项目已申请有排污许可证，证书编号</w:t>
      </w:r>
      <w:r w:rsidR="0006628B" w:rsidRPr="0006628B">
        <w:t>91230603MA1C2890X6001V</w:t>
      </w:r>
      <w:r>
        <w:t>。</w:t>
      </w:r>
    </w:p>
    <w:p w14:paraId="400BA9F4" w14:textId="6C7F0822" w:rsidR="00606029" w:rsidRDefault="00EA5B92">
      <w:pPr>
        <w:pStyle w:val="affc"/>
        <w:spacing w:line="360" w:lineRule="auto"/>
        <w:ind w:firstLine="480"/>
        <w:jc w:val="left"/>
      </w:pPr>
      <w:r>
        <w:t>排污许可管理类别判别如下表</w:t>
      </w:r>
      <w:r w:rsidR="006A52CC">
        <w:t>：</w:t>
      </w:r>
    </w:p>
    <w:p w14:paraId="1A83BE53" w14:textId="77777777" w:rsidR="00606029" w:rsidRDefault="00EA5B92">
      <w:pPr>
        <w:pStyle w:val="affffff5"/>
      </w:pPr>
      <w:r>
        <w:t>表</w:t>
      </w:r>
      <w:r>
        <w:t xml:space="preserve">11.1-1  </w:t>
      </w:r>
      <w:r>
        <w:t>《固定污染源排污许可分类管理名录（</w:t>
      </w:r>
      <w:r>
        <w:t>2019</w:t>
      </w:r>
      <w:r>
        <w:t>年版）》管理类别一览表</w:t>
      </w:r>
    </w:p>
    <w:tbl>
      <w:tblPr>
        <w:tblW w:w="4994"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775"/>
        <w:gridCol w:w="1738"/>
        <w:gridCol w:w="2365"/>
        <w:gridCol w:w="2250"/>
        <w:gridCol w:w="1695"/>
      </w:tblGrid>
      <w:tr w:rsidR="00606029" w14:paraId="109D57E4" w14:textId="77777777">
        <w:trPr>
          <w:trHeight w:val="340"/>
          <w:jc w:val="center"/>
        </w:trPr>
        <w:tc>
          <w:tcPr>
            <w:tcW w:w="804" w:type="dxa"/>
            <w:vAlign w:val="center"/>
          </w:tcPr>
          <w:p w14:paraId="4B2930F8" w14:textId="77777777" w:rsidR="00606029" w:rsidRDefault="00EA5B92">
            <w:pPr>
              <w:jc w:val="center"/>
              <w:rPr>
                <w:b/>
                <w:bCs/>
              </w:rPr>
            </w:pPr>
            <w:r>
              <w:rPr>
                <w:b/>
                <w:bCs/>
              </w:rPr>
              <w:t>序号</w:t>
            </w:r>
          </w:p>
        </w:tc>
        <w:tc>
          <w:tcPr>
            <w:tcW w:w="1876" w:type="dxa"/>
            <w:vAlign w:val="center"/>
          </w:tcPr>
          <w:p w14:paraId="06488A7D" w14:textId="77777777" w:rsidR="00606029" w:rsidRDefault="00EA5B92">
            <w:pPr>
              <w:jc w:val="center"/>
              <w:rPr>
                <w:b/>
                <w:bCs/>
              </w:rPr>
            </w:pPr>
            <w:r>
              <w:rPr>
                <w:b/>
                <w:bCs/>
              </w:rPr>
              <w:t>行业类别</w:t>
            </w:r>
          </w:p>
        </w:tc>
        <w:tc>
          <w:tcPr>
            <w:tcW w:w="2539" w:type="dxa"/>
            <w:vAlign w:val="center"/>
          </w:tcPr>
          <w:p w14:paraId="27F5A292" w14:textId="77777777" w:rsidR="00606029" w:rsidRDefault="00EA5B92">
            <w:pPr>
              <w:jc w:val="center"/>
              <w:rPr>
                <w:b/>
                <w:bCs/>
              </w:rPr>
            </w:pPr>
            <w:r>
              <w:rPr>
                <w:b/>
                <w:bCs/>
              </w:rPr>
              <w:t>重点管理</w:t>
            </w:r>
          </w:p>
        </w:tc>
        <w:tc>
          <w:tcPr>
            <w:tcW w:w="2411" w:type="dxa"/>
            <w:vAlign w:val="center"/>
          </w:tcPr>
          <w:p w14:paraId="156A879E" w14:textId="77777777" w:rsidR="00606029" w:rsidRDefault="00EA5B92">
            <w:pPr>
              <w:jc w:val="center"/>
              <w:rPr>
                <w:b/>
                <w:bCs/>
              </w:rPr>
            </w:pPr>
            <w:r>
              <w:rPr>
                <w:b/>
                <w:bCs/>
              </w:rPr>
              <w:t>简化管理</w:t>
            </w:r>
          </w:p>
        </w:tc>
        <w:tc>
          <w:tcPr>
            <w:tcW w:w="1816" w:type="dxa"/>
            <w:vAlign w:val="center"/>
          </w:tcPr>
          <w:p w14:paraId="32E1844D" w14:textId="77777777" w:rsidR="00606029" w:rsidRDefault="00EA5B92">
            <w:pPr>
              <w:jc w:val="center"/>
              <w:rPr>
                <w:b/>
                <w:bCs/>
              </w:rPr>
            </w:pPr>
            <w:r>
              <w:rPr>
                <w:b/>
                <w:bCs/>
              </w:rPr>
              <w:t>登记管理</w:t>
            </w:r>
          </w:p>
        </w:tc>
      </w:tr>
      <w:tr w:rsidR="00606029" w14:paraId="0DA97915" w14:textId="77777777">
        <w:trPr>
          <w:trHeight w:val="340"/>
          <w:jc w:val="center"/>
        </w:trPr>
        <w:tc>
          <w:tcPr>
            <w:tcW w:w="9446" w:type="dxa"/>
            <w:gridSpan w:val="5"/>
            <w:vAlign w:val="center"/>
          </w:tcPr>
          <w:p w14:paraId="7F41781A" w14:textId="77777777" w:rsidR="00606029" w:rsidRDefault="00EA5B92">
            <w:pPr>
              <w:jc w:val="center"/>
              <w:rPr>
                <w:b/>
                <w:bCs/>
              </w:rPr>
            </w:pPr>
            <w:r>
              <w:rPr>
                <w:b/>
                <w:bCs/>
              </w:rPr>
              <w:t>四十六、公共设施管理业</w:t>
            </w:r>
            <w:r>
              <w:rPr>
                <w:b/>
                <w:bCs/>
              </w:rPr>
              <w:t>78</w:t>
            </w:r>
          </w:p>
        </w:tc>
      </w:tr>
      <w:tr w:rsidR="00606029" w14:paraId="038FE9DB" w14:textId="77777777">
        <w:trPr>
          <w:trHeight w:val="340"/>
          <w:jc w:val="center"/>
        </w:trPr>
        <w:tc>
          <w:tcPr>
            <w:tcW w:w="804" w:type="dxa"/>
            <w:vAlign w:val="center"/>
          </w:tcPr>
          <w:p w14:paraId="3996C304" w14:textId="77777777" w:rsidR="00606029" w:rsidRDefault="00EA5B92">
            <w:pPr>
              <w:jc w:val="center"/>
            </w:pPr>
            <w:r>
              <w:t>104</w:t>
            </w:r>
          </w:p>
        </w:tc>
        <w:tc>
          <w:tcPr>
            <w:tcW w:w="1876" w:type="dxa"/>
            <w:vAlign w:val="center"/>
          </w:tcPr>
          <w:p w14:paraId="67C4469E" w14:textId="77777777" w:rsidR="00606029" w:rsidRDefault="00EA5B92">
            <w:pPr>
              <w:jc w:val="center"/>
            </w:pPr>
            <w:r>
              <w:t>环境卫生管理</w:t>
            </w:r>
            <w:r>
              <w:t>782</w:t>
            </w:r>
          </w:p>
        </w:tc>
        <w:tc>
          <w:tcPr>
            <w:tcW w:w="2539" w:type="dxa"/>
            <w:vAlign w:val="center"/>
          </w:tcPr>
          <w:p w14:paraId="6FD61741" w14:textId="77777777" w:rsidR="00606029" w:rsidRDefault="00EA5B92">
            <w:pPr>
              <w:jc w:val="center"/>
            </w:pPr>
            <w:r>
              <w:t>生活垃圾（含餐厨废弃物）、生活污水处理污泥集中焚烧、填埋</w:t>
            </w:r>
          </w:p>
        </w:tc>
        <w:tc>
          <w:tcPr>
            <w:tcW w:w="2411" w:type="dxa"/>
            <w:vAlign w:val="center"/>
          </w:tcPr>
          <w:p w14:paraId="0346FC1F" w14:textId="77777777" w:rsidR="00606029" w:rsidRDefault="00EA5B92">
            <w:pPr>
              <w:jc w:val="center"/>
            </w:pPr>
            <w:r>
              <w:t>生活垃圾（含餐厨废弃物）、生活污水处理污泥集中处理（除焚烧、填埋以外的），日处理能力</w:t>
            </w:r>
            <w:r>
              <w:t>50</w:t>
            </w:r>
            <w:r>
              <w:t>吨及以上的城镇粪便集中处理，日转运能力</w:t>
            </w:r>
            <w:r>
              <w:t>150</w:t>
            </w:r>
            <w:r>
              <w:t>吨及以上的垃圾转运站</w:t>
            </w:r>
          </w:p>
        </w:tc>
        <w:tc>
          <w:tcPr>
            <w:tcW w:w="1816" w:type="dxa"/>
            <w:vAlign w:val="center"/>
          </w:tcPr>
          <w:p w14:paraId="5542ED21" w14:textId="77777777" w:rsidR="00606029" w:rsidRDefault="00EA5B92">
            <w:pPr>
              <w:jc w:val="center"/>
            </w:pPr>
            <w:r>
              <w:t>日处理能力</w:t>
            </w:r>
            <w:r>
              <w:t>50</w:t>
            </w:r>
            <w:r>
              <w:t>吨以下的城镇粪便集中处理，日转运能力</w:t>
            </w:r>
            <w:r>
              <w:t>150</w:t>
            </w:r>
            <w:r>
              <w:t>吨以下的垃圾转运站</w:t>
            </w:r>
          </w:p>
        </w:tc>
      </w:tr>
    </w:tbl>
    <w:p w14:paraId="430B1907" w14:textId="77777777" w:rsidR="00606029" w:rsidRDefault="00606029">
      <w:pPr>
        <w:pStyle w:val="affffff4"/>
        <w:ind w:firstLineChars="0" w:firstLine="0"/>
        <w:rPr>
          <w:color w:val="auto"/>
        </w:rPr>
      </w:pPr>
    </w:p>
    <w:p w14:paraId="1BCBEA4D" w14:textId="77777777" w:rsidR="00606029" w:rsidRDefault="00606029">
      <w:pPr>
        <w:pStyle w:val="1"/>
        <w:adjustRightInd/>
        <w:snapToGrid/>
        <w:spacing w:beforeLines="200" w:before="480" w:afterLines="150" w:after="360"/>
        <w:jc w:val="center"/>
        <w:rPr>
          <w:sz w:val="36"/>
          <w:szCs w:val="36"/>
        </w:rPr>
        <w:sectPr w:rsidR="00606029" w:rsidSect="00EA5215">
          <w:type w:val="nextColumn"/>
          <w:pgSz w:w="11905" w:h="16838"/>
          <w:pgMar w:top="1417" w:right="1474" w:bottom="1417" w:left="1474" w:header="850" w:footer="850" w:gutter="113"/>
          <w:cols w:space="0"/>
          <w:docGrid w:linePitch="312"/>
        </w:sectPr>
      </w:pPr>
    </w:p>
    <w:p w14:paraId="78E84DC2" w14:textId="3906CE6F" w:rsidR="00606029" w:rsidRDefault="00EA5B92">
      <w:pPr>
        <w:pStyle w:val="1"/>
        <w:jc w:val="center"/>
      </w:pPr>
      <w:bookmarkStart w:id="409" w:name="_Toc18802"/>
      <w:bookmarkStart w:id="410" w:name="_Toc18369"/>
      <w:bookmarkStart w:id="411" w:name="_Toc220680573"/>
      <w:r>
        <w:lastRenderedPageBreak/>
        <w:t>第十章</w:t>
      </w:r>
      <w:r>
        <w:t xml:space="preserve">  </w:t>
      </w:r>
      <w:r>
        <w:t>结论与建议</w:t>
      </w:r>
      <w:bookmarkEnd w:id="409"/>
      <w:bookmarkEnd w:id="410"/>
      <w:bookmarkEnd w:id="411"/>
    </w:p>
    <w:p w14:paraId="02FBF7C1" w14:textId="54AD1AC6" w:rsidR="00606029" w:rsidRDefault="00EA5B92">
      <w:pPr>
        <w:pStyle w:val="2"/>
        <w:adjustRightInd/>
        <w:snapToGrid/>
      </w:pPr>
      <w:bookmarkStart w:id="412" w:name="_Toc4888"/>
      <w:bookmarkStart w:id="413" w:name="_Toc25044"/>
      <w:bookmarkStart w:id="414" w:name="_Toc220680574"/>
      <w:r>
        <w:t>1</w:t>
      </w:r>
      <w:r w:rsidR="004A414E">
        <w:rPr>
          <w:rFonts w:hint="eastAsia"/>
        </w:rPr>
        <w:t>0</w:t>
      </w:r>
      <w:r>
        <w:t>.1</w:t>
      </w:r>
      <w:r>
        <w:t>项</w:t>
      </w:r>
      <w:bookmarkEnd w:id="408"/>
      <w:r>
        <w:t>目</w:t>
      </w:r>
      <w:bookmarkStart w:id="415" w:name="_Toc331278442"/>
      <w:r>
        <w:t>概况</w:t>
      </w:r>
      <w:bookmarkEnd w:id="412"/>
      <w:bookmarkEnd w:id="413"/>
      <w:bookmarkEnd w:id="414"/>
    </w:p>
    <w:bookmarkEnd w:id="415"/>
    <w:p w14:paraId="175C465C" w14:textId="6392F2FA" w:rsidR="00606029" w:rsidRDefault="0006628B">
      <w:pPr>
        <w:pStyle w:val="affffff4"/>
        <w:adjustRightInd/>
        <w:snapToGrid/>
      </w:pPr>
      <w:r>
        <w:rPr>
          <w:rFonts w:hint="eastAsia"/>
        </w:rPr>
        <w:t>本项目</w:t>
      </w:r>
      <w:r w:rsidR="004E5FFD">
        <w:t>位于</w:t>
      </w:r>
      <w:r w:rsidR="00BE533B">
        <w:t>黑龙江省大庆市龙凤区红旗二村西南侧</w:t>
      </w:r>
      <w:r w:rsidR="004E5FFD">
        <w:t>，工程主要建设内容包括</w:t>
      </w:r>
      <w:r w:rsidR="00EC7D12" w:rsidRPr="00EC7D12">
        <w:t>填埋库区改建工程、截洪沟工程、淋溶水收集导排系统、地下水导排系统、遮雨覆盖工程、雨水导排系统、隔离绿化带和封场覆盖层等。</w:t>
      </w:r>
      <w:r w:rsidR="00C63AE1" w:rsidRPr="00C63AE1">
        <w:t>根据《关于大庆市生活垃圾焚烧发电项目环境影响报告书的批复》（黑环审</w:t>
      </w:r>
      <w:r w:rsidR="00C63AE1" w:rsidRPr="00C63AE1">
        <w:t>[2022]18</w:t>
      </w:r>
      <w:r w:rsidR="00C63AE1" w:rsidRPr="00C63AE1">
        <w:t>号）中</w:t>
      </w:r>
      <w:r w:rsidR="00C63AE1" w:rsidRPr="00C63AE1">
        <w:t>“</w:t>
      </w:r>
      <w:r w:rsidR="00C63AE1" w:rsidRPr="00C63AE1">
        <w:t>飞灰采用螯合固化工艺处理，符合《危险废物鉴别标准</w:t>
      </w:r>
      <w:r w:rsidR="00C63AE1" w:rsidRPr="00C63AE1">
        <w:t>-</w:t>
      </w:r>
      <w:r w:rsidR="00C63AE1" w:rsidRPr="00C63AE1">
        <w:t>浸出毒性鉴别》（</w:t>
      </w:r>
      <w:r w:rsidR="00C63AE1" w:rsidRPr="00C63AE1">
        <w:t>GB5085.3-2007</w:t>
      </w:r>
      <w:r w:rsidR="00C63AE1" w:rsidRPr="00C63AE1">
        <w:t>）浸出毒性标准限值要求和《生活垃圾填埋场污染控制标准》（</w:t>
      </w:r>
      <w:r w:rsidR="00C63AE1" w:rsidRPr="00C63AE1">
        <w:t>GB16889-2008</w:t>
      </w:r>
      <w:r w:rsidR="00C63AE1" w:rsidRPr="00C63AE1">
        <w:t>）要求后填埋场进行处理</w:t>
      </w:r>
      <w:r w:rsidR="00C63AE1" w:rsidRPr="00C63AE1">
        <w:t>”</w:t>
      </w:r>
      <w:r w:rsidR="00C63AE1" w:rsidRPr="00C63AE1">
        <w:t>，</w:t>
      </w:r>
      <w:r w:rsidR="004E5FFD">
        <w:t>不接收其他任何形式和种类的固体废物，同时，上述固化飞灰进场前重金属浸出浓度监测频次应不少于每日一次，二噁英监测频次应不少于</w:t>
      </w:r>
      <w:r w:rsidR="004E5FFD">
        <w:t>6</w:t>
      </w:r>
      <w:r w:rsidR="004E5FFD">
        <w:t>个月一次，由大庆城控电力有限公司提供监测结果。</w:t>
      </w:r>
    </w:p>
    <w:p w14:paraId="4A040773" w14:textId="6885FAF0" w:rsidR="00606029" w:rsidRDefault="00EA5B92">
      <w:pPr>
        <w:pStyle w:val="2"/>
        <w:adjustRightInd/>
        <w:snapToGrid/>
      </w:pPr>
      <w:bookmarkStart w:id="416" w:name="_Toc22426"/>
      <w:bookmarkStart w:id="417" w:name="_Toc4207"/>
      <w:bookmarkStart w:id="418" w:name="_Toc220680575"/>
      <w:r>
        <w:t>1</w:t>
      </w:r>
      <w:r w:rsidR="004A414E">
        <w:rPr>
          <w:rFonts w:hint="eastAsia"/>
        </w:rPr>
        <w:t>0</w:t>
      </w:r>
      <w:r>
        <w:t>.2</w:t>
      </w:r>
      <w:bookmarkEnd w:id="416"/>
      <w:bookmarkEnd w:id="417"/>
      <w:r w:rsidR="00A273C2">
        <w:rPr>
          <w:rFonts w:hint="eastAsia"/>
        </w:rPr>
        <w:t>产业政策</w:t>
      </w:r>
      <w:bookmarkEnd w:id="418"/>
    </w:p>
    <w:p w14:paraId="179E90F6" w14:textId="03F5007B" w:rsidR="00606029" w:rsidRDefault="00EA5B92" w:rsidP="00164803">
      <w:pPr>
        <w:pStyle w:val="affffff4"/>
        <w:adjustRightInd/>
        <w:snapToGrid/>
      </w:pPr>
      <w:r>
        <w:t>1</w:t>
      </w:r>
      <w:r>
        <w:t>、根据《产业结构调整指导目录（</w:t>
      </w:r>
      <w:r>
        <w:t>2024</w:t>
      </w:r>
      <w:r>
        <w:t>年本）》，本项目属于鼓励类</w:t>
      </w:r>
      <w:r>
        <w:t>“</w:t>
      </w:r>
      <w:r>
        <w:t>四十二环境保护与资源节约综合利用</w:t>
      </w:r>
      <w:r>
        <w:t>—3</w:t>
      </w:r>
      <w:r>
        <w:t>、城镇污水垃圾处理</w:t>
      </w:r>
      <w:r w:rsidR="006A52CC">
        <w:t>：</w:t>
      </w:r>
      <w:r>
        <w:t>高效、低能耗污水处理与再生技术开发，城镇垃圾、农村生活垃圾、城镇生活污水、农村生活污水、污泥及其他固体废弃物减量化、资源化、无害化处理和综合利用工程，餐厨废弃物资源化利用技术开发及设施建设，垃圾分类技术、设备、设施，城镇、农村分布式小型化有机垃圾处理技术开发，污水处理厂污泥协同处置工程</w:t>
      </w:r>
      <w:r>
        <w:t>”</w:t>
      </w:r>
      <w:r>
        <w:t>。对照《市场准入负面清单（</w:t>
      </w:r>
      <w:r>
        <w:t>2022</w:t>
      </w:r>
      <w:r>
        <w:t>版）》（发改体改规</w:t>
      </w:r>
      <w:r>
        <w:t>[2022]397</w:t>
      </w:r>
      <w:r>
        <w:t>号）相关要求，本项目未列入市场准入负面清单。因此，本项目符合国家相关产业政策要求。</w:t>
      </w:r>
    </w:p>
    <w:p w14:paraId="52AE544F" w14:textId="61F96F2B" w:rsidR="00606029" w:rsidRDefault="00EA5B92">
      <w:pPr>
        <w:pStyle w:val="2"/>
        <w:adjustRightInd/>
        <w:snapToGrid/>
      </w:pPr>
      <w:bookmarkStart w:id="419" w:name="_Toc31983"/>
      <w:bookmarkStart w:id="420" w:name="_Toc16907"/>
      <w:bookmarkStart w:id="421" w:name="_Toc220680576"/>
      <w:r>
        <w:t>1</w:t>
      </w:r>
      <w:r w:rsidR="004A414E">
        <w:rPr>
          <w:rFonts w:hint="eastAsia"/>
        </w:rPr>
        <w:t>0</w:t>
      </w:r>
      <w:r>
        <w:t>.3</w:t>
      </w:r>
      <w:r>
        <w:t>环境</w:t>
      </w:r>
      <w:bookmarkStart w:id="422" w:name="_Toc331278443"/>
      <w:r>
        <w:t>质量现状</w:t>
      </w:r>
      <w:bookmarkEnd w:id="419"/>
      <w:bookmarkEnd w:id="420"/>
      <w:bookmarkEnd w:id="421"/>
    </w:p>
    <w:p w14:paraId="04E52D93" w14:textId="77777777" w:rsidR="00606029" w:rsidRDefault="00EA5B92">
      <w:pPr>
        <w:pStyle w:val="affffff4"/>
        <w:adjustRightInd/>
        <w:snapToGrid/>
      </w:pPr>
      <w:r>
        <w:t>1</w:t>
      </w:r>
      <w:r>
        <w:t>、大气环境</w:t>
      </w:r>
    </w:p>
    <w:p w14:paraId="67120FD4" w14:textId="37AB4BC3" w:rsidR="00606029" w:rsidRDefault="00EA5B92">
      <w:pPr>
        <w:pStyle w:val="affffff4"/>
        <w:adjustRightInd/>
        <w:snapToGrid/>
      </w:pPr>
      <w:r>
        <w:rPr>
          <w:kern w:val="0"/>
          <w:szCs w:val="24"/>
        </w:rPr>
        <w:t>根据《</w:t>
      </w:r>
      <w:r>
        <w:rPr>
          <w:kern w:val="0"/>
          <w:szCs w:val="24"/>
        </w:rPr>
        <w:t>202</w:t>
      </w:r>
      <w:r w:rsidR="0051026F">
        <w:rPr>
          <w:rFonts w:hint="eastAsia"/>
          <w:kern w:val="0"/>
          <w:szCs w:val="24"/>
        </w:rPr>
        <w:t>4</w:t>
      </w:r>
      <w:r>
        <w:rPr>
          <w:kern w:val="0"/>
          <w:szCs w:val="24"/>
        </w:rPr>
        <w:t>年度</w:t>
      </w:r>
      <w:r w:rsidR="004E5FFD">
        <w:rPr>
          <w:kern w:val="0"/>
          <w:szCs w:val="24"/>
        </w:rPr>
        <w:t>大庆市</w:t>
      </w:r>
      <w:r>
        <w:rPr>
          <w:kern w:val="0"/>
          <w:szCs w:val="24"/>
        </w:rPr>
        <w:t>生态环境状况公报》</w:t>
      </w:r>
      <w:r>
        <w:rPr>
          <w:snapToGrid w:val="0"/>
          <w:color w:val="auto"/>
          <w:kern w:val="0"/>
          <w:szCs w:val="24"/>
        </w:rPr>
        <w:t>，</w:t>
      </w:r>
      <w:r w:rsidR="00CC2A08" w:rsidRPr="00CC2A08">
        <w:rPr>
          <w:snapToGrid w:val="0"/>
          <w:color w:val="auto"/>
          <w:kern w:val="0"/>
          <w:szCs w:val="24"/>
        </w:rPr>
        <w:t>2024</w:t>
      </w:r>
      <w:r w:rsidR="00CC2A08" w:rsidRPr="00CC2A08">
        <w:rPr>
          <w:snapToGrid w:val="0"/>
          <w:color w:val="auto"/>
          <w:kern w:val="0"/>
          <w:szCs w:val="24"/>
        </w:rPr>
        <w:t>年大庆市基本污染物</w:t>
      </w:r>
      <w:r w:rsidR="00CC2A08" w:rsidRPr="00CC2A08">
        <w:rPr>
          <w:snapToGrid w:val="0"/>
          <w:color w:val="auto"/>
          <w:kern w:val="0"/>
          <w:szCs w:val="24"/>
        </w:rPr>
        <w:t xml:space="preserve"> PM2.5</w:t>
      </w:r>
      <w:r w:rsidR="00CC2A08" w:rsidRPr="00CC2A08">
        <w:rPr>
          <w:snapToGrid w:val="0"/>
          <w:color w:val="auto"/>
          <w:kern w:val="0"/>
          <w:szCs w:val="24"/>
        </w:rPr>
        <w:t>、</w:t>
      </w:r>
      <w:r w:rsidR="00CC2A08" w:rsidRPr="00CC2A08">
        <w:rPr>
          <w:snapToGrid w:val="0"/>
          <w:color w:val="auto"/>
          <w:kern w:val="0"/>
          <w:szCs w:val="24"/>
        </w:rPr>
        <w:t>PM10</w:t>
      </w:r>
      <w:r w:rsidR="00CC2A08" w:rsidRPr="00CC2A08">
        <w:rPr>
          <w:snapToGrid w:val="0"/>
          <w:color w:val="auto"/>
          <w:kern w:val="0"/>
          <w:szCs w:val="24"/>
        </w:rPr>
        <w:t>、</w:t>
      </w:r>
      <w:r w:rsidR="00CC2A08" w:rsidRPr="00CC2A08">
        <w:rPr>
          <w:snapToGrid w:val="0"/>
          <w:color w:val="auto"/>
          <w:kern w:val="0"/>
          <w:szCs w:val="24"/>
        </w:rPr>
        <w:t>SO2</w:t>
      </w:r>
      <w:r w:rsidR="00CC2A08" w:rsidRPr="00CC2A08">
        <w:rPr>
          <w:snapToGrid w:val="0"/>
          <w:color w:val="auto"/>
          <w:kern w:val="0"/>
          <w:szCs w:val="24"/>
        </w:rPr>
        <w:t>、</w:t>
      </w:r>
      <w:r w:rsidR="00CC2A08" w:rsidRPr="00CC2A08">
        <w:rPr>
          <w:snapToGrid w:val="0"/>
          <w:color w:val="auto"/>
          <w:kern w:val="0"/>
          <w:szCs w:val="24"/>
        </w:rPr>
        <w:t>NO2</w:t>
      </w:r>
      <w:r w:rsidR="00CC2A08" w:rsidRPr="00CC2A08">
        <w:rPr>
          <w:snapToGrid w:val="0"/>
          <w:color w:val="auto"/>
          <w:kern w:val="0"/>
          <w:szCs w:val="24"/>
        </w:rPr>
        <w:t>、</w:t>
      </w:r>
      <w:r w:rsidR="00CC2A08" w:rsidRPr="00CC2A08">
        <w:rPr>
          <w:snapToGrid w:val="0"/>
          <w:color w:val="auto"/>
          <w:kern w:val="0"/>
          <w:szCs w:val="24"/>
        </w:rPr>
        <w:t>CO</w:t>
      </w:r>
      <w:r w:rsidR="00CC2A08" w:rsidRPr="00CC2A08">
        <w:rPr>
          <w:snapToGrid w:val="0"/>
          <w:color w:val="auto"/>
          <w:kern w:val="0"/>
          <w:szCs w:val="24"/>
        </w:rPr>
        <w:t>、</w:t>
      </w:r>
      <w:r w:rsidR="00CC2A08" w:rsidRPr="00CC2A08">
        <w:rPr>
          <w:snapToGrid w:val="0"/>
          <w:color w:val="auto"/>
          <w:kern w:val="0"/>
          <w:szCs w:val="24"/>
        </w:rPr>
        <w:t>O3</w:t>
      </w:r>
      <w:r w:rsidR="00CC2A08" w:rsidRPr="00CC2A08">
        <w:rPr>
          <w:snapToGrid w:val="0"/>
          <w:color w:val="auto"/>
          <w:kern w:val="0"/>
          <w:szCs w:val="24"/>
        </w:rPr>
        <w:t>均能满足《环境空气质量标准》（</w:t>
      </w:r>
      <w:r w:rsidR="00CC2A08" w:rsidRPr="00CC2A08">
        <w:rPr>
          <w:snapToGrid w:val="0"/>
          <w:color w:val="auto"/>
          <w:kern w:val="0"/>
          <w:szCs w:val="24"/>
        </w:rPr>
        <w:t>GB3095-2012</w:t>
      </w:r>
      <w:r w:rsidR="00CC2A08" w:rsidRPr="00CC2A08">
        <w:rPr>
          <w:snapToGrid w:val="0"/>
          <w:color w:val="auto"/>
          <w:kern w:val="0"/>
          <w:szCs w:val="24"/>
        </w:rPr>
        <w:t>）及其修改单中二级标准限值</w:t>
      </w:r>
      <w:r w:rsidR="00CC2A08">
        <w:rPr>
          <w:rFonts w:hint="eastAsia"/>
          <w:snapToGrid w:val="0"/>
          <w:color w:val="auto"/>
          <w:kern w:val="0"/>
          <w:szCs w:val="24"/>
        </w:rPr>
        <w:t>。根据补充监测结果，项目区域</w:t>
      </w:r>
      <w:r w:rsidR="00CC2A08" w:rsidRPr="00CC2A08">
        <w:rPr>
          <w:snapToGrid w:val="0"/>
          <w:color w:val="auto"/>
          <w:kern w:val="0"/>
          <w:szCs w:val="24"/>
        </w:rPr>
        <w:t>非甲烷总烃满足《大气污染物综合排放标准》（</w:t>
      </w:r>
      <w:r w:rsidR="00CC2A08" w:rsidRPr="00CC2A08">
        <w:rPr>
          <w:snapToGrid w:val="0"/>
          <w:color w:val="auto"/>
          <w:kern w:val="0"/>
          <w:szCs w:val="24"/>
        </w:rPr>
        <w:t>GB16297-1996</w:t>
      </w:r>
      <w:r w:rsidR="00CC2A08" w:rsidRPr="00CC2A08">
        <w:rPr>
          <w:snapToGrid w:val="0"/>
          <w:color w:val="auto"/>
          <w:kern w:val="0"/>
          <w:szCs w:val="24"/>
        </w:rPr>
        <w:t>）详解的标准值</w:t>
      </w:r>
      <w:r w:rsidR="00CC2A08">
        <w:rPr>
          <w:rFonts w:hint="eastAsia"/>
          <w:snapToGrid w:val="0"/>
          <w:color w:val="auto"/>
          <w:kern w:val="0"/>
          <w:szCs w:val="24"/>
        </w:rPr>
        <w:t>；</w:t>
      </w:r>
      <w:r w:rsidR="00CC2A08" w:rsidRPr="00CC2A08">
        <w:rPr>
          <w:snapToGrid w:val="0"/>
          <w:color w:val="auto"/>
          <w:kern w:val="0"/>
          <w:szCs w:val="24"/>
        </w:rPr>
        <w:t>NH</w:t>
      </w:r>
      <w:r w:rsidR="00CC2A08" w:rsidRPr="00CC2A08">
        <w:rPr>
          <w:snapToGrid w:val="0"/>
          <w:color w:val="auto"/>
          <w:kern w:val="0"/>
          <w:szCs w:val="24"/>
          <w:vertAlign w:val="superscript"/>
        </w:rPr>
        <w:t>3</w:t>
      </w:r>
      <w:r w:rsidR="00CC2A08" w:rsidRPr="00CC2A08">
        <w:rPr>
          <w:snapToGrid w:val="0"/>
          <w:color w:val="auto"/>
          <w:kern w:val="0"/>
          <w:szCs w:val="24"/>
        </w:rPr>
        <w:t>、</w:t>
      </w:r>
      <w:r w:rsidR="00CC2A08" w:rsidRPr="00CC2A08">
        <w:rPr>
          <w:snapToGrid w:val="0"/>
          <w:color w:val="auto"/>
          <w:kern w:val="0"/>
          <w:szCs w:val="24"/>
        </w:rPr>
        <w:t>H</w:t>
      </w:r>
      <w:r w:rsidR="00CC2A08" w:rsidRPr="00CC2A08">
        <w:rPr>
          <w:snapToGrid w:val="0"/>
          <w:color w:val="auto"/>
          <w:kern w:val="0"/>
          <w:szCs w:val="24"/>
          <w:vertAlign w:val="subscript"/>
        </w:rPr>
        <w:t>2</w:t>
      </w:r>
      <w:r w:rsidR="00CC2A08" w:rsidRPr="00CC2A08">
        <w:rPr>
          <w:snapToGrid w:val="0"/>
          <w:color w:val="auto"/>
          <w:kern w:val="0"/>
          <w:szCs w:val="24"/>
        </w:rPr>
        <w:t>S</w:t>
      </w:r>
      <w:r w:rsidR="00CC2A08" w:rsidRPr="00CC2A08">
        <w:rPr>
          <w:snapToGrid w:val="0"/>
          <w:color w:val="auto"/>
          <w:kern w:val="0"/>
          <w:szCs w:val="24"/>
        </w:rPr>
        <w:t>满足《环境影响评价技术导则</w:t>
      </w:r>
      <w:r w:rsidR="00CC2A08" w:rsidRPr="00CC2A08">
        <w:rPr>
          <w:snapToGrid w:val="0"/>
          <w:color w:val="auto"/>
          <w:kern w:val="0"/>
          <w:szCs w:val="24"/>
        </w:rPr>
        <w:t xml:space="preserve"> </w:t>
      </w:r>
      <w:r w:rsidR="00CC2A08" w:rsidRPr="00CC2A08">
        <w:rPr>
          <w:snapToGrid w:val="0"/>
          <w:color w:val="auto"/>
          <w:kern w:val="0"/>
          <w:szCs w:val="24"/>
        </w:rPr>
        <w:t>大气环境》</w:t>
      </w:r>
      <w:r w:rsidR="00CC2A08" w:rsidRPr="00CC2A08">
        <w:rPr>
          <w:snapToGrid w:val="0"/>
          <w:color w:val="auto"/>
          <w:kern w:val="0"/>
          <w:szCs w:val="24"/>
        </w:rPr>
        <w:t>HJ2.2-2018</w:t>
      </w:r>
      <w:r w:rsidR="00CC2A08" w:rsidRPr="00CC2A08">
        <w:rPr>
          <w:snapToGrid w:val="0"/>
          <w:color w:val="auto"/>
          <w:kern w:val="0"/>
          <w:szCs w:val="24"/>
        </w:rPr>
        <w:t>附录</w:t>
      </w:r>
      <w:r w:rsidR="00CC2A08" w:rsidRPr="00CC2A08">
        <w:rPr>
          <w:snapToGrid w:val="0"/>
          <w:color w:val="auto"/>
          <w:kern w:val="0"/>
          <w:szCs w:val="24"/>
        </w:rPr>
        <w:t>D</w:t>
      </w:r>
      <w:r w:rsidR="00CC2A08" w:rsidRPr="00CC2A08">
        <w:rPr>
          <w:snapToGrid w:val="0"/>
          <w:color w:val="auto"/>
          <w:kern w:val="0"/>
          <w:szCs w:val="24"/>
        </w:rPr>
        <w:t>限值，</w:t>
      </w:r>
      <w:r w:rsidR="00CC2A08" w:rsidRPr="00CC2A08">
        <w:rPr>
          <w:snapToGrid w:val="0"/>
          <w:color w:val="auto"/>
          <w:kern w:val="0"/>
          <w:szCs w:val="24"/>
        </w:rPr>
        <w:t>TSP</w:t>
      </w:r>
      <w:r w:rsidR="00CC2A08" w:rsidRPr="00CC2A08">
        <w:rPr>
          <w:snapToGrid w:val="0"/>
          <w:color w:val="auto"/>
          <w:kern w:val="0"/>
          <w:szCs w:val="24"/>
        </w:rPr>
        <w:t>满足《环境空气质量标准》（</w:t>
      </w:r>
      <w:r w:rsidR="00CC2A08" w:rsidRPr="00CC2A08">
        <w:rPr>
          <w:snapToGrid w:val="0"/>
          <w:color w:val="auto"/>
          <w:kern w:val="0"/>
          <w:szCs w:val="24"/>
        </w:rPr>
        <w:t>GB3095-2012</w:t>
      </w:r>
      <w:r w:rsidR="00CC2A08" w:rsidRPr="00CC2A08">
        <w:rPr>
          <w:snapToGrid w:val="0"/>
          <w:color w:val="auto"/>
          <w:kern w:val="0"/>
          <w:szCs w:val="24"/>
        </w:rPr>
        <w:t>）及修改单（公告</w:t>
      </w:r>
      <w:r w:rsidR="00CC2A08" w:rsidRPr="00CC2A08">
        <w:rPr>
          <w:snapToGrid w:val="0"/>
          <w:color w:val="auto"/>
          <w:kern w:val="0"/>
          <w:szCs w:val="24"/>
        </w:rPr>
        <w:t>2018</w:t>
      </w:r>
      <w:r w:rsidR="00CC2A08" w:rsidRPr="00CC2A08">
        <w:rPr>
          <w:snapToGrid w:val="0"/>
          <w:color w:val="auto"/>
          <w:kern w:val="0"/>
          <w:szCs w:val="24"/>
        </w:rPr>
        <w:t>年第</w:t>
      </w:r>
      <w:r w:rsidR="00CC2A08" w:rsidRPr="00CC2A08">
        <w:rPr>
          <w:snapToGrid w:val="0"/>
          <w:color w:val="auto"/>
          <w:kern w:val="0"/>
          <w:szCs w:val="24"/>
        </w:rPr>
        <w:t>29</w:t>
      </w:r>
      <w:r w:rsidR="00CC2A08" w:rsidRPr="00CC2A08">
        <w:rPr>
          <w:snapToGrid w:val="0"/>
          <w:color w:val="auto"/>
          <w:kern w:val="0"/>
          <w:szCs w:val="24"/>
        </w:rPr>
        <w:t>号）中二级标准</w:t>
      </w:r>
      <w:r>
        <w:rPr>
          <w:color w:val="auto"/>
          <w:kern w:val="2"/>
          <w:szCs w:val="24"/>
        </w:rPr>
        <w:t>。</w:t>
      </w:r>
    </w:p>
    <w:p w14:paraId="3AF63765" w14:textId="77777777" w:rsidR="00606029" w:rsidRDefault="00EA5B92">
      <w:pPr>
        <w:pStyle w:val="affffff4"/>
        <w:adjustRightInd/>
        <w:snapToGrid/>
      </w:pPr>
      <w:r>
        <w:t>2</w:t>
      </w:r>
      <w:r>
        <w:t>、水环境</w:t>
      </w:r>
    </w:p>
    <w:p w14:paraId="12B7EF71" w14:textId="77777777" w:rsidR="00606029" w:rsidRDefault="00EA5B92">
      <w:pPr>
        <w:pStyle w:val="affffff4"/>
        <w:adjustRightInd/>
        <w:snapToGrid/>
      </w:pPr>
      <w:r>
        <w:lastRenderedPageBreak/>
        <w:t>（</w:t>
      </w:r>
      <w:r>
        <w:t>1</w:t>
      </w:r>
      <w:r>
        <w:t>）地表水</w:t>
      </w:r>
    </w:p>
    <w:p w14:paraId="35697C0C" w14:textId="731311D6" w:rsidR="00606029" w:rsidRDefault="00EA5B92">
      <w:pPr>
        <w:pStyle w:val="affffff4"/>
        <w:adjustRightInd/>
        <w:snapToGrid/>
      </w:pPr>
      <w:r>
        <w:t>根据《</w:t>
      </w:r>
      <w:r>
        <w:t>202</w:t>
      </w:r>
      <w:r w:rsidR="003D0EBE">
        <w:rPr>
          <w:rFonts w:hint="eastAsia"/>
        </w:rPr>
        <w:t>4</w:t>
      </w:r>
      <w:r>
        <w:t>年度</w:t>
      </w:r>
      <w:r w:rsidR="004E5FFD">
        <w:t>大庆市</w:t>
      </w:r>
      <w:r>
        <w:t>生态环境状况公报》</w:t>
      </w:r>
      <w:r w:rsidR="003D0EBE" w:rsidRPr="003D0EBE">
        <w:t>2024</w:t>
      </w:r>
      <w:r w:rsidR="003D0EBE" w:rsidRPr="003D0EBE">
        <w:t>年，大庆市水环境质量整体呈现改善趋势，古恰泄洪闸口断面第三季度进入全国地表水环境质量改善前三十名榜单。</w:t>
      </w:r>
      <w:r w:rsidR="003D0EBE" w:rsidRPr="003D0EBE">
        <w:t>6</w:t>
      </w:r>
      <w:r w:rsidR="003D0EBE" w:rsidRPr="003D0EBE">
        <w:t>个国控考核断面（白沙滩断面、嫩江口内断面、肇源断面、拉林河口下断面、红旗水库出口断面、古恰泄洪闸口断面）中，</w:t>
      </w:r>
      <w:r w:rsidR="003D0EBE" w:rsidRPr="003D0EBE">
        <w:t>5</w:t>
      </w:r>
      <w:r w:rsidR="003D0EBE" w:rsidRPr="003D0EBE">
        <w:t>个（白沙滩断面、嫩江口内断面、肇源断面、拉林河口下断面、红旗水库出口断面）达到《地表水环境质量标准》（</w:t>
      </w:r>
      <w:r w:rsidR="003D0EBE" w:rsidRPr="003D0EBE">
        <w:t>GB3838-2002</w:t>
      </w:r>
      <w:r w:rsidR="003D0EBE" w:rsidRPr="003D0EBE">
        <w:t>）</w:t>
      </w:r>
      <w:r w:rsidR="003D0EBE" w:rsidRPr="003D0EBE">
        <w:t>Ⅲ</w:t>
      </w:r>
      <w:r w:rsidR="003D0EBE" w:rsidRPr="003D0EBE">
        <w:t>类标准，国控考核断面水质优良率</w:t>
      </w:r>
      <w:r w:rsidR="003D0EBE" w:rsidRPr="003D0EBE">
        <w:t>83.3%</w:t>
      </w:r>
      <w:r w:rsidR="003D0EBE" w:rsidRPr="003D0EBE">
        <w:t>。</w:t>
      </w:r>
      <w:r w:rsidR="003D0EBE" w:rsidRPr="003D0EBE">
        <w:t>2024</w:t>
      </w:r>
      <w:r w:rsidR="003D0EBE" w:rsidRPr="003D0EBE">
        <w:t>年古恰闸口断面达到地表水环境质量标准》（</w:t>
      </w:r>
      <w:r w:rsidR="003D0EBE" w:rsidRPr="003D0EBE">
        <w:t>GB3838-2002</w:t>
      </w:r>
      <w:r w:rsidR="003D0EBE" w:rsidRPr="003D0EBE">
        <w:t>）</w:t>
      </w:r>
      <w:r w:rsidR="003D0EBE" w:rsidRPr="003D0EBE">
        <w:t>Ⅴ</w:t>
      </w:r>
      <w:r w:rsidR="003D0EBE" w:rsidRPr="003D0EBE">
        <w:t>类标准，连续</w:t>
      </w:r>
      <w:r w:rsidR="003D0EBE" w:rsidRPr="003D0EBE">
        <w:t>3</w:t>
      </w:r>
      <w:r w:rsidR="003D0EBE" w:rsidRPr="003D0EBE">
        <w:t>年实现消</w:t>
      </w:r>
      <w:r w:rsidR="003D0EBE" w:rsidRPr="003D0EBE">
        <w:t>“</w:t>
      </w:r>
      <w:r w:rsidR="003D0EBE" w:rsidRPr="003D0EBE">
        <w:t>劣</w:t>
      </w:r>
      <w:r w:rsidR="003D0EBE" w:rsidRPr="003D0EBE">
        <w:t>”</w:t>
      </w:r>
      <w:r w:rsidR="003D0EBE" w:rsidRPr="003D0EBE">
        <w:t>。</w:t>
      </w:r>
      <w:r w:rsidR="003D0EBE">
        <w:rPr>
          <w:rFonts w:hint="eastAsia"/>
        </w:rPr>
        <w:t>根据补充监测结果，</w:t>
      </w:r>
      <w:r w:rsidR="003D0EBE" w:rsidRPr="003D0EBE">
        <w:t>各监测断面除总磷超标外，其余因子均满足《地表水环境质量标准》（</w:t>
      </w:r>
      <w:r w:rsidR="003D0EBE" w:rsidRPr="003D0EBE">
        <w:t>GB3838-2002</w:t>
      </w:r>
      <w:r w:rsidR="003D0EBE" w:rsidRPr="003D0EBE">
        <w:t>）</w:t>
      </w:r>
      <w:r w:rsidR="003D0EBE" w:rsidRPr="003D0EBE">
        <w:t>V</w:t>
      </w:r>
      <w:r w:rsidR="003D0EBE" w:rsidRPr="003D0EBE">
        <w:t>类标准要求。</w:t>
      </w:r>
    </w:p>
    <w:p w14:paraId="2AC8A277" w14:textId="77777777" w:rsidR="00606029" w:rsidRDefault="00EA5B92">
      <w:pPr>
        <w:pStyle w:val="affffff4"/>
        <w:adjustRightInd/>
        <w:snapToGrid/>
      </w:pPr>
      <w:r>
        <w:t>（</w:t>
      </w:r>
      <w:r>
        <w:t>2</w:t>
      </w:r>
      <w:r>
        <w:t>）地下水</w:t>
      </w:r>
    </w:p>
    <w:p w14:paraId="6E0D7B5B" w14:textId="3DA041CB" w:rsidR="00606029" w:rsidRDefault="00EA5B92">
      <w:pPr>
        <w:pStyle w:val="affffff4"/>
        <w:adjustRightInd/>
        <w:snapToGrid/>
      </w:pPr>
      <w:r>
        <w:t>根据对监测数据统计分析，监测现状值均未超过《地下水质量标准》（</w:t>
      </w:r>
      <w:r>
        <w:t>GB/T14848-2017</w:t>
      </w:r>
      <w:r>
        <w:t>）中的</w:t>
      </w:r>
      <w:r>
        <w:t>Ⅲ</w:t>
      </w:r>
      <w:r>
        <w:t>类水质标准限值，说明调查评价区地下水环境现状较好。</w:t>
      </w:r>
    </w:p>
    <w:p w14:paraId="164240E1" w14:textId="77777777" w:rsidR="00606029" w:rsidRDefault="00EA5B92">
      <w:pPr>
        <w:pStyle w:val="affffff4"/>
        <w:adjustRightInd/>
        <w:snapToGrid/>
      </w:pPr>
      <w:r>
        <w:t>3</w:t>
      </w:r>
      <w:r>
        <w:t>、声环境</w:t>
      </w:r>
    </w:p>
    <w:p w14:paraId="06BFC418" w14:textId="6C5BE2C5" w:rsidR="00606029" w:rsidRDefault="003D0EBE">
      <w:pPr>
        <w:pStyle w:val="affffff4"/>
        <w:adjustRightInd/>
        <w:snapToGrid/>
      </w:pPr>
      <w:r w:rsidRPr="003D0EBE">
        <w:t>根据《</w:t>
      </w:r>
      <w:r w:rsidRPr="003D0EBE">
        <w:t>2024</w:t>
      </w:r>
      <w:r w:rsidRPr="003D0EBE">
        <w:t>年大庆市生态环境状况公报》，</w:t>
      </w:r>
      <w:r w:rsidRPr="003D0EBE">
        <w:t xml:space="preserve">2024 </w:t>
      </w:r>
      <w:r w:rsidRPr="003D0EBE">
        <w:t>年，建成区布设</w:t>
      </w:r>
      <w:r w:rsidRPr="003D0EBE">
        <w:t>251</w:t>
      </w:r>
      <w:r w:rsidRPr="003D0EBE">
        <w:t>个监测网格，覆盖</w:t>
      </w:r>
      <w:r w:rsidRPr="003D0EBE">
        <w:t>141.19</w:t>
      </w:r>
      <w:r w:rsidRPr="003D0EBE">
        <w:t>平方千米和</w:t>
      </w:r>
      <w:r w:rsidRPr="003D0EBE">
        <w:t>78.6</w:t>
      </w:r>
      <w:r w:rsidRPr="003D0EBE">
        <w:t>万人口。噪声等效声级分布在</w:t>
      </w:r>
      <w:r w:rsidRPr="003D0EBE">
        <w:t>46.4</w:t>
      </w:r>
      <w:r w:rsidRPr="003D0EBE">
        <w:t>～</w:t>
      </w:r>
      <w:r w:rsidRPr="003D0EBE">
        <w:t>64.7dB</w:t>
      </w:r>
      <w:r w:rsidRPr="003D0EBE">
        <w:t>（</w:t>
      </w:r>
      <w:r w:rsidRPr="003D0EBE">
        <w:t>A</w:t>
      </w:r>
      <w:r w:rsidRPr="003D0EBE">
        <w:t>）之间，昼间平均等效声级为</w:t>
      </w:r>
      <w:r w:rsidRPr="003D0EBE">
        <w:t>53.6dB</w:t>
      </w:r>
      <w:r w:rsidRPr="003D0EBE">
        <w:t>（</w:t>
      </w:r>
      <w:r w:rsidRPr="003D0EBE">
        <w:t>A</w:t>
      </w:r>
      <w:r w:rsidRPr="003D0EBE">
        <w:t>），按照《环境噪声监测技术规范</w:t>
      </w:r>
      <w:r w:rsidRPr="003D0EBE">
        <w:t xml:space="preserve"> </w:t>
      </w:r>
      <w:r w:rsidRPr="003D0EBE">
        <w:t>城市声环境常规监测》（</w:t>
      </w:r>
      <w:r w:rsidRPr="003D0EBE">
        <w:t>HJ640-2012</w:t>
      </w:r>
      <w:r w:rsidRPr="003D0EBE">
        <w:t>），区域环境噪声总体水平等级为二级，评价为</w:t>
      </w:r>
      <w:r w:rsidRPr="003D0EBE">
        <w:t>“</w:t>
      </w:r>
      <w:r w:rsidRPr="003D0EBE">
        <w:t>较好</w:t>
      </w:r>
      <w:r w:rsidRPr="003D0EBE">
        <w:t>”</w:t>
      </w:r>
      <w:r w:rsidRPr="003D0EBE">
        <w:t>。</w:t>
      </w:r>
      <w:r w:rsidR="00EA5B92">
        <w:t>根据声环境监测质量现状监测</w:t>
      </w:r>
      <w:r>
        <w:rPr>
          <w:rFonts w:hint="eastAsia"/>
        </w:rPr>
        <w:t>结果</w:t>
      </w:r>
      <w:r w:rsidR="00EA5B92">
        <w:t>，项目</w:t>
      </w:r>
      <w:r>
        <w:rPr>
          <w:rFonts w:hint="eastAsia"/>
        </w:rPr>
        <w:t>区域</w:t>
      </w:r>
      <w:r w:rsidR="00EA5B92">
        <w:t>声环境质量能达到《声环境质量标准》（</w:t>
      </w:r>
      <w:r w:rsidR="00EA5B92">
        <w:t>GB3096-2008</w:t>
      </w:r>
      <w:r w:rsidR="00EA5B92">
        <w:t>）</w:t>
      </w:r>
      <w:r w:rsidR="00EA5B92">
        <w:t>2</w:t>
      </w:r>
      <w:r w:rsidR="00EA5B92">
        <w:t>类区标准，本项目所在区域声环境质量较好。</w:t>
      </w:r>
    </w:p>
    <w:p w14:paraId="05D283B8" w14:textId="77777777" w:rsidR="00606029" w:rsidRDefault="00EA5B92">
      <w:pPr>
        <w:pStyle w:val="affffff4"/>
        <w:adjustRightInd/>
        <w:snapToGrid/>
      </w:pPr>
      <w:r>
        <w:t>4</w:t>
      </w:r>
      <w:r>
        <w:t>、土壤环境</w:t>
      </w:r>
    </w:p>
    <w:p w14:paraId="7813E9C1" w14:textId="64BBBDCF" w:rsidR="00606029" w:rsidRDefault="003D0EBE">
      <w:pPr>
        <w:pStyle w:val="affffff4"/>
        <w:adjustRightInd/>
        <w:snapToGrid/>
      </w:pPr>
      <w:r>
        <w:rPr>
          <w:rFonts w:hint="eastAsia"/>
        </w:rPr>
        <w:t>项目区域</w:t>
      </w:r>
      <w:r w:rsidR="00EA5B92">
        <w:t>建设用地所布设的土壤监测点的监测因子均满足《土壤环境质量</w:t>
      </w:r>
      <w:r w:rsidR="00EA5B92">
        <w:t xml:space="preserve"> </w:t>
      </w:r>
      <w:r w:rsidR="00EA5B92">
        <w:t>建设用地土壤污染风险管控标准（试行）》（</w:t>
      </w:r>
      <w:r w:rsidR="00EA5B92">
        <w:t>GB36600-2018</w:t>
      </w:r>
      <w:r w:rsidR="00EA5B92">
        <w:t>）</w:t>
      </w:r>
      <w:r w:rsidR="00EC7D12" w:rsidRPr="00EC7D12">
        <w:t>表</w:t>
      </w:r>
      <w:r w:rsidR="00EC7D12" w:rsidRPr="00EC7D12">
        <w:t>1</w:t>
      </w:r>
      <w:r w:rsidR="00EA5B92">
        <w:t>二类用地的筛选值标准要求，农用地满足《土壤环境质量农用地土壤污染风险管控标准（试行）》（</w:t>
      </w:r>
      <w:r w:rsidR="00EA5B92">
        <w:t>GB15618-2018</w:t>
      </w:r>
      <w:r w:rsidR="00EA5B92">
        <w:t>）表</w:t>
      </w:r>
      <w:r w:rsidR="00EA5B92">
        <w:t>1</w:t>
      </w:r>
      <w:r w:rsidR="00EA5B92">
        <w:t>农用地土壤污染风险筛选值要求。</w:t>
      </w:r>
    </w:p>
    <w:p w14:paraId="2EFB8EFF" w14:textId="32CBC984" w:rsidR="00606029" w:rsidRDefault="00EA5B92">
      <w:pPr>
        <w:pStyle w:val="2"/>
        <w:adjustRightInd/>
        <w:snapToGrid/>
      </w:pPr>
      <w:bookmarkStart w:id="423" w:name="_Toc18147"/>
      <w:bookmarkStart w:id="424" w:name="_Toc16655"/>
      <w:bookmarkStart w:id="425" w:name="_Toc331278444"/>
      <w:bookmarkStart w:id="426" w:name="_Toc220680577"/>
      <w:bookmarkEnd w:id="422"/>
      <w:r>
        <w:t>1</w:t>
      </w:r>
      <w:r w:rsidR="004A414E">
        <w:rPr>
          <w:rFonts w:hint="eastAsia"/>
        </w:rPr>
        <w:t>0</w:t>
      </w:r>
      <w:r>
        <w:t>.4</w:t>
      </w:r>
      <w:r>
        <w:t>主要污染防治措施与环境影响结论</w:t>
      </w:r>
      <w:bookmarkEnd w:id="423"/>
      <w:bookmarkEnd w:id="424"/>
      <w:bookmarkEnd w:id="425"/>
      <w:bookmarkEnd w:id="426"/>
    </w:p>
    <w:p w14:paraId="03A9861C" w14:textId="17354F3E" w:rsidR="00606029" w:rsidRDefault="00EA5B92">
      <w:pPr>
        <w:pStyle w:val="3"/>
        <w:adjustRightInd/>
        <w:snapToGrid/>
      </w:pPr>
      <w:bookmarkStart w:id="427" w:name="_Toc220680578"/>
      <w:r>
        <w:t>1</w:t>
      </w:r>
      <w:r w:rsidR="004A414E">
        <w:rPr>
          <w:rFonts w:hint="eastAsia"/>
        </w:rPr>
        <w:t>0</w:t>
      </w:r>
      <w:r>
        <w:t>.4.1</w:t>
      </w:r>
      <w:r>
        <w:t>大气环境影响</w:t>
      </w:r>
      <w:bookmarkEnd w:id="427"/>
    </w:p>
    <w:p w14:paraId="198A9FDD" w14:textId="7F4D6938" w:rsidR="00606029" w:rsidRDefault="00EA5B92">
      <w:pPr>
        <w:pStyle w:val="affffff4"/>
      </w:pPr>
      <w:r>
        <w:t>为了减少填埋场颗粒物对环境空气的影响，</w:t>
      </w:r>
      <w:r w:rsidR="001A324B">
        <w:rPr>
          <w:rFonts w:hint="eastAsia"/>
        </w:rPr>
        <w:t>本项目采用</w:t>
      </w:r>
      <w:r>
        <w:t>文明作业，稳定化后飞灰采用吨袋包装，不裸露于空气中，采取每日覆盖和中间覆盖的填埋模式，从源头减少</w:t>
      </w:r>
      <w:r>
        <w:lastRenderedPageBreak/>
        <w:t>粉尘产生。</w:t>
      </w:r>
    </w:p>
    <w:p w14:paraId="7623A3E5" w14:textId="77777777" w:rsidR="00606029" w:rsidRDefault="00EA5B92">
      <w:pPr>
        <w:pStyle w:val="affffff4"/>
      </w:pPr>
      <w:r>
        <w:t>飞灰填埋场应分区、分单元进行填埋作业；填埋作业时应减少暴露面积，缩短暴露时间；飞灰进场后应于当日完成码放、覆盖、压实工作；每日填埋作业结束后，应对全部作业面进行覆盖；特殊气象条件下应加强对作业面的覆盖；填埋场填埋作业达到设计容量后，应及时进行封场覆盖。</w:t>
      </w:r>
    </w:p>
    <w:p w14:paraId="50537463" w14:textId="77777777" w:rsidR="00606029" w:rsidRDefault="00EA5B92">
      <w:pPr>
        <w:pStyle w:val="affffff4"/>
        <w:adjustRightInd/>
        <w:snapToGrid/>
      </w:pPr>
      <w:r>
        <w:t>综上所述，本项目的废气经采取上述措施处理后不会对项目周围大气环境造成明显影响。因此，本项目采取的废气处理措施是可行的。</w:t>
      </w:r>
    </w:p>
    <w:p w14:paraId="2CA4DEE5" w14:textId="3F334D66" w:rsidR="00606029" w:rsidRDefault="00EA5B92">
      <w:pPr>
        <w:pStyle w:val="3"/>
        <w:adjustRightInd/>
        <w:snapToGrid/>
      </w:pPr>
      <w:bookmarkStart w:id="428" w:name="_Toc220680579"/>
      <w:r>
        <w:t>1</w:t>
      </w:r>
      <w:r w:rsidR="004A414E">
        <w:rPr>
          <w:rFonts w:hint="eastAsia"/>
        </w:rPr>
        <w:t>0</w:t>
      </w:r>
      <w:r>
        <w:t>.4.2</w:t>
      </w:r>
      <w:r>
        <w:t>地表水环境影响</w:t>
      </w:r>
      <w:bookmarkEnd w:id="428"/>
    </w:p>
    <w:p w14:paraId="4C07C45E" w14:textId="465755F0" w:rsidR="00606029" w:rsidRDefault="00973339">
      <w:pPr>
        <w:pStyle w:val="affff4"/>
        <w:snapToGrid/>
        <w:spacing w:line="360" w:lineRule="auto"/>
        <w:ind w:firstLine="480"/>
        <w:jc w:val="left"/>
        <w:rPr>
          <w:rFonts w:ascii="Times New Roman" w:hAnsi="Times New Roman" w:cs="Times New Roman"/>
          <w:bCs/>
          <w:spacing w:val="0"/>
        </w:rPr>
      </w:pPr>
      <w:r>
        <w:rPr>
          <w:rFonts w:ascii="Times New Roman" w:hAnsi="Times New Roman" w:cs="Times New Roman" w:hint="eastAsia"/>
          <w:color w:val="000000"/>
          <w:spacing w:val="0"/>
        </w:rPr>
        <w:t>本项目</w:t>
      </w:r>
      <w:r w:rsidR="00EA5B92">
        <w:rPr>
          <w:rFonts w:ascii="Times New Roman" w:hAnsi="Times New Roman" w:cs="Times New Roman"/>
          <w:color w:val="000000"/>
          <w:spacing w:val="0"/>
        </w:rPr>
        <w:t>施工期产生的施工废水</w:t>
      </w:r>
      <w:r w:rsidR="00AA5633">
        <w:rPr>
          <w:rFonts w:ascii="Times New Roman" w:hAnsi="Times New Roman" w:cs="Times New Roman" w:hint="eastAsia"/>
          <w:color w:val="000000"/>
          <w:spacing w:val="0"/>
        </w:rPr>
        <w:t>、残留渗滤液</w:t>
      </w:r>
      <w:r w:rsidR="00136CF4">
        <w:rPr>
          <w:rFonts w:ascii="Times New Roman" w:hAnsi="Times New Roman" w:cs="Times New Roman" w:hint="eastAsia"/>
          <w:color w:val="000000"/>
          <w:spacing w:val="0"/>
        </w:rPr>
        <w:t>经渗滤液处理站处理出水满足标准后</w:t>
      </w:r>
      <w:r w:rsidR="00136CF4" w:rsidRPr="00136CF4">
        <w:rPr>
          <w:rFonts w:ascii="Times New Roman" w:hAnsi="Times New Roman" w:cs="Times New Roman"/>
          <w:color w:val="000000"/>
          <w:spacing w:val="0"/>
        </w:rPr>
        <w:t>回用至厂区冷却塔补水，不外排</w:t>
      </w:r>
      <w:r w:rsidR="00AA5633">
        <w:rPr>
          <w:rFonts w:ascii="Times New Roman" w:hAnsi="Times New Roman" w:cs="Times New Roman" w:hint="eastAsia"/>
          <w:color w:val="000000"/>
          <w:spacing w:val="0"/>
        </w:rPr>
        <w:t>；</w:t>
      </w:r>
      <w:r w:rsidR="00EA5B92">
        <w:rPr>
          <w:rFonts w:ascii="Times New Roman" w:hAnsi="Times New Roman" w:cs="Times New Roman"/>
          <w:color w:val="000000"/>
          <w:spacing w:val="0"/>
        </w:rPr>
        <w:t>施工人员</w:t>
      </w:r>
      <w:r w:rsidR="00907CD4">
        <w:rPr>
          <w:rFonts w:ascii="Times New Roman" w:hAnsi="Times New Roman" w:cs="Times New Roman" w:hint="eastAsia"/>
          <w:color w:val="000000"/>
          <w:spacing w:val="0"/>
        </w:rPr>
        <w:t>产生的生活污水</w:t>
      </w:r>
      <w:r w:rsidR="00995875">
        <w:rPr>
          <w:rFonts w:ascii="Times New Roman" w:hAnsi="Times New Roman" w:cs="Times New Roman" w:hint="eastAsia"/>
          <w:color w:val="000000"/>
          <w:spacing w:val="0"/>
        </w:rPr>
        <w:t>排入</w:t>
      </w:r>
      <w:r w:rsidR="00995875" w:rsidRPr="00995875">
        <w:rPr>
          <w:rFonts w:ascii="Times New Roman" w:hAnsi="Times New Roman" w:cs="Times New Roman"/>
          <w:color w:val="000000"/>
          <w:spacing w:val="0"/>
        </w:rPr>
        <w:t>厂区生活污水处理站</w:t>
      </w:r>
      <w:r w:rsidR="000725F3" w:rsidRPr="000725F3">
        <w:rPr>
          <w:rFonts w:ascii="Times New Roman" w:hAnsi="Times New Roman" w:cs="Times New Roman"/>
          <w:color w:val="000000"/>
          <w:spacing w:val="0"/>
        </w:rPr>
        <w:t>处理后</w:t>
      </w:r>
      <w:r w:rsidR="00136CF4">
        <w:rPr>
          <w:rFonts w:ascii="Times New Roman" w:hAnsi="Times New Roman" w:cs="Times New Roman" w:hint="eastAsia"/>
          <w:color w:val="000000"/>
          <w:spacing w:val="0"/>
        </w:rPr>
        <w:t>，再</w:t>
      </w:r>
      <w:r w:rsidR="000725F3" w:rsidRPr="000725F3">
        <w:rPr>
          <w:rFonts w:ascii="Times New Roman" w:hAnsi="Times New Roman" w:cs="Times New Roman"/>
          <w:color w:val="000000"/>
          <w:spacing w:val="0"/>
        </w:rPr>
        <w:t>进入工业废水处理站进行深度处理，</w:t>
      </w:r>
      <w:r w:rsidR="00136CF4">
        <w:rPr>
          <w:rFonts w:ascii="Times New Roman" w:hAnsi="Times New Roman" w:cs="Times New Roman" w:hint="eastAsia"/>
          <w:color w:val="000000"/>
          <w:spacing w:val="0"/>
        </w:rPr>
        <w:t>出水满足标准</w:t>
      </w:r>
      <w:r w:rsidR="000725F3" w:rsidRPr="000725F3">
        <w:rPr>
          <w:rFonts w:ascii="Times New Roman" w:hAnsi="Times New Roman" w:cs="Times New Roman"/>
          <w:color w:val="000000"/>
          <w:spacing w:val="0"/>
        </w:rPr>
        <w:t>后</w:t>
      </w:r>
      <w:r w:rsidR="00136CF4" w:rsidRPr="00136CF4">
        <w:rPr>
          <w:rFonts w:ascii="Times New Roman" w:hAnsi="Times New Roman" w:cs="Times New Roman"/>
          <w:color w:val="000000"/>
          <w:spacing w:val="0"/>
        </w:rPr>
        <w:t>回用至厂区冷却塔补水，不外排。</w:t>
      </w:r>
      <w:r w:rsidR="00EA5B92">
        <w:rPr>
          <w:rFonts w:ascii="Times New Roman" w:hAnsi="Times New Roman" w:cs="Times New Roman"/>
          <w:color w:val="000000"/>
          <w:spacing w:val="0"/>
        </w:rPr>
        <w:t>采取以上措施后，施工期间</w:t>
      </w:r>
      <w:r w:rsidR="000725F3">
        <w:rPr>
          <w:rFonts w:ascii="Times New Roman" w:hAnsi="Times New Roman" w:cs="Times New Roman" w:hint="eastAsia"/>
          <w:color w:val="000000"/>
          <w:spacing w:val="0"/>
        </w:rPr>
        <w:t>废水</w:t>
      </w:r>
      <w:r w:rsidR="00EA5B92">
        <w:rPr>
          <w:rFonts w:ascii="Times New Roman" w:hAnsi="Times New Roman" w:cs="Times New Roman"/>
          <w:color w:val="000000"/>
          <w:spacing w:val="0"/>
        </w:rPr>
        <w:t>能够做到妥善处理，对</w:t>
      </w:r>
      <w:r w:rsidR="000725F3">
        <w:rPr>
          <w:rFonts w:ascii="Times New Roman" w:hAnsi="Times New Roman" w:cs="Times New Roman" w:hint="eastAsia"/>
          <w:color w:val="000000"/>
          <w:spacing w:val="0"/>
        </w:rPr>
        <w:t>地表水</w:t>
      </w:r>
      <w:r w:rsidR="00EA5B92">
        <w:rPr>
          <w:rFonts w:ascii="Times New Roman" w:hAnsi="Times New Roman" w:cs="Times New Roman"/>
          <w:color w:val="000000"/>
          <w:spacing w:val="0"/>
        </w:rPr>
        <w:t>环境影响较小。</w:t>
      </w:r>
    </w:p>
    <w:p w14:paraId="6105276F" w14:textId="09A0B2B0" w:rsidR="00606029" w:rsidRDefault="00973339">
      <w:pPr>
        <w:pStyle w:val="affff4"/>
        <w:snapToGrid/>
        <w:spacing w:line="360" w:lineRule="auto"/>
        <w:ind w:firstLine="480"/>
        <w:jc w:val="left"/>
        <w:rPr>
          <w:rFonts w:ascii="Times New Roman" w:hAnsi="Times New Roman" w:cs="Times New Roman"/>
          <w:bCs/>
          <w:spacing w:val="0"/>
        </w:rPr>
      </w:pPr>
      <w:r>
        <w:rPr>
          <w:rFonts w:ascii="Times New Roman" w:hAnsi="Times New Roman" w:cs="Times New Roman" w:hint="eastAsia"/>
          <w:bCs/>
          <w:spacing w:val="0"/>
        </w:rPr>
        <w:t>本项目</w:t>
      </w:r>
      <w:r w:rsidR="00995875">
        <w:rPr>
          <w:rFonts w:ascii="Times New Roman" w:hAnsi="Times New Roman" w:cs="Times New Roman" w:hint="eastAsia"/>
          <w:bCs/>
          <w:spacing w:val="0"/>
        </w:rPr>
        <w:t>运行期</w:t>
      </w:r>
      <w:r w:rsidR="00EA5B92">
        <w:rPr>
          <w:rFonts w:ascii="Times New Roman" w:hAnsi="Times New Roman" w:cs="Times New Roman"/>
          <w:spacing w:val="0"/>
          <w:szCs w:val="24"/>
        </w:rPr>
        <w:t>本项目</w:t>
      </w:r>
      <w:r w:rsidR="00995875">
        <w:rPr>
          <w:rFonts w:ascii="Times New Roman" w:hAnsi="Times New Roman" w:cs="Times New Roman" w:hint="eastAsia"/>
          <w:spacing w:val="0"/>
          <w:szCs w:val="24"/>
        </w:rPr>
        <w:t>淋溶水</w:t>
      </w:r>
      <w:r w:rsidR="00EA5B92">
        <w:rPr>
          <w:rFonts w:ascii="Times New Roman" w:hAnsi="Times New Roman" w:cs="Times New Roman"/>
          <w:spacing w:val="0"/>
          <w:szCs w:val="24"/>
        </w:rPr>
        <w:t>依托</w:t>
      </w:r>
      <w:r w:rsidR="00995875">
        <w:rPr>
          <w:rFonts w:ascii="Times New Roman" w:hAnsi="Times New Roman" w:cs="Times New Roman" w:hint="eastAsia"/>
          <w:spacing w:val="0"/>
          <w:szCs w:val="24"/>
        </w:rPr>
        <w:t>厂区已建</w:t>
      </w:r>
      <w:r w:rsidR="00EA5B92">
        <w:rPr>
          <w:rFonts w:ascii="Times New Roman" w:hAnsi="Times New Roman" w:cs="Times New Roman"/>
          <w:spacing w:val="0"/>
          <w:szCs w:val="24"/>
        </w:rPr>
        <w:t>渗滤液处理站处理，</w:t>
      </w:r>
      <w:r w:rsidR="00995875" w:rsidRPr="00995875">
        <w:rPr>
          <w:rFonts w:ascii="Times New Roman" w:hAnsi="Times New Roman" w:cs="Times New Roman"/>
          <w:spacing w:val="0"/>
          <w:szCs w:val="24"/>
        </w:rPr>
        <w:t>经渗滤液处理站处理满足《生活垃圾填埋场污染控制标准》（</w:t>
      </w:r>
      <w:r w:rsidR="00995875" w:rsidRPr="00995875">
        <w:rPr>
          <w:rFonts w:ascii="Times New Roman" w:hAnsi="Times New Roman" w:cs="Times New Roman"/>
          <w:spacing w:val="0"/>
          <w:szCs w:val="24"/>
        </w:rPr>
        <w:t>GB16889-2024</w:t>
      </w:r>
      <w:r w:rsidR="00995875" w:rsidRPr="00995875">
        <w:rPr>
          <w:rFonts w:ascii="Times New Roman" w:hAnsi="Times New Roman" w:cs="Times New Roman"/>
          <w:spacing w:val="0"/>
          <w:szCs w:val="24"/>
        </w:rPr>
        <w:t>）表</w:t>
      </w:r>
      <w:r w:rsidR="00995875" w:rsidRPr="00995875">
        <w:rPr>
          <w:rFonts w:ascii="Times New Roman" w:hAnsi="Times New Roman" w:cs="Times New Roman"/>
          <w:spacing w:val="0"/>
          <w:szCs w:val="24"/>
        </w:rPr>
        <w:t>4</w:t>
      </w:r>
      <w:r w:rsidR="00995875" w:rsidRPr="00995875">
        <w:rPr>
          <w:rFonts w:ascii="Times New Roman" w:hAnsi="Times New Roman" w:cs="Times New Roman"/>
          <w:spacing w:val="0"/>
          <w:szCs w:val="24"/>
        </w:rPr>
        <w:t>要求和《城市污水再生利用</w:t>
      </w:r>
      <w:r w:rsidR="00995875" w:rsidRPr="00995875">
        <w:rPr>
          <w:rFonts w:ascii="Times New Roman" w:hAnsi="Times New Roman" w:cs="Times New Roman"/>
          <w:spacing w:val="0"/>
          <w:szCs w:val="24"/>
        </w:rPr>
        <w:t xml:space="preserve"> </w:t>
      </w:r>
      <w:r w:rsidR="00995875" w:rsidRPr="00995875">
        <w:rPr>
          <w:rFonts w:ascii="Times New Roman" w:hAnsi="Times New Roman" w:cs="Times New Roman"/>
          <w:spacing w:val="0"/>
          <w:szCs w:val="24"/>
        </w:rPr>
        <w:t>工业用水水质》（</w:t>
      </w:r>
      <w:r w:rsidR="00995875" w:rsidRPr="00995875">
        <w:rPr>
          <w:rFonts w:ascii="Times New Roman" w:hAnsi="Times New Roman" w:cs="Times New Roman"/>
          <w:spacing w:val="0"/>
          <w:szCs w:val="24"/>
        </w:rPr>
        <w:t>GB/T19923-2024</w:t>
      </w:r>
      <w:r w:rsidR="00995875" w:rsidRPr="00995875">
        <w:rPr>
          <w:rFonts w:ascii="Times New Roman" w:hAnsi="Times New Roman" w:cs="Times New Roman"/>
          <w:spacing w:val="0"/>
          <w:szCs w:val="24"/>
        </w:rPr>
        <w:t>）</w:t>
      </w:r>
      <w:r w:rsidR="005820EF">
        <w:rPr>
          <w:rFonts w:ascii="Times New Roman" w:hAnsi="Times New Roman" w:cs="Times New Roman" w:hint="eastAsia"/>
          <w:spacing w:val="0"/>
          <w:szCs w:val="24"/>
        </w:rPr>
        <w:t>表</w:t>
      </w:r>
      <w:r w:rsidR="005820EF">
        <w:rPr>
          <w:rFonts w:ascii="Times New Roman" w:hAnsi="Times New Roman" w:cs="Times New Roman" w:hint="eastAsia"/>
          <w:spacing w:val="0"/>
          <w:szCs w:val="24"/>
        </w:rPr>
        <w:t>1</w:t>
      </w:r>
      <w:r w:rsidR="00535A47">
        <w:rPr>
          <w:rFonts w:ascii="Times New Roman" w:hAnsi="Times New Roman" w:cs="Times New Roman"/>
          <w:spacing w:val="0"/>
          <w:szCs w:val="24"/>
        </w:rPr>
        <w:t>间冷开式循环冷却水补充水标准</w:t>
      </w:r>
      <w:r w:rsidR="00995875" w:rsidRPr="00995875">
        <w:rPr>
          <w:rFonts w:ascii="Times New Roman" w:hAnsi="Times New Roman" w:cs="Times New Roman"/>
          <w:spacing w:val="0"/>
          <w:szCs w:val="24"/>
        </w:rPr>
        <w:t>后全部回用至厂区冷却塔补水，不外排。</w:t>
      </w:r>
    </w:p>
    <w:p w14:paraId="69D99E7D" w14:textId="13EFEDBA" w:rsidR="00606029" w:rsidRDefault="00EA5B92">
      <w:pPr>
        <w:pStyle w:val="3"/>
        <w:adjustRightInd/>
        <w:snapToGrid/>
      </w:pPr>
      <w:bookmarkStart w:id="429" w:name="_Toc220680580"/>
      <w:r>
        <w:t>1</w:t>
      </w:r>
      <w:r w:rsidR="004A414E">
        <w:rPr>
          <w:rFonts w:hint="eastAsia"/>
        </w:rPr>
        <w:t>0</w:t>
      </w:r>
      <w:r>
        <w:t>.4.3</w:t>
      </w:r>
      <w:r>
        <w:t>地下水、土壤环境影响</w:t>
      </w:r>
      <w:bookmarkEnd w:id="429"/>
    </w:p>
    <w:p w14:paraId="5CA200DE" w14:textId="696920BD" w:rsidR="00606029" w:rsidRDefault="00EA5B92">
      <w:pPr>
        <w:spacing w:line="360" w:lineRule="auto"/>
        <w:ind w:firstLineChars="200" w:firstLine="480"/>
        <w:jc w:val="left"/>
        <w:rPr>
          <w:sz w:val="24"/>
          <w:szCs w:val="24"/>
        </w:rPr>
      </w:pPr>
      <w:r>
        <w:rPr>
          <w:sz w:val="24"/>
          <w:szCs w:val="24"/>
        </w:rPr>
        <w:t>本项目</w:t>
      </w:r>
      <w:r w:rsidR="0069621B">
        <w:rPr>
          <w:sz w:val="24"/>
          <w:szCs w:val="24"/>
        </w:rPr>
        <w:t>施工废水</w:t>
      </w:r>
      <w:r w:rsidR="00362504">
        <w:rPr>
          <w:rFonts w:hint="eastAsia"/>
          <w:sz w:val="24"/>
          <w:szCs w:val="24"/>
        </w:rPr>
        <w:t>、</w:t>
      </w:r>
      <w:r>
        <w:rPr>
          <w:sz w:val="24"/>
          <w:szCs w:val="24"/>
        </w:rPr>
        <w:t>生活污水</w:t>
      </w:r>
      <w:r w:rsidR="00362504">
        <w:rPr>
          <w:rFonts w:hint="eastAsia"/>
          <w:sz w:val="24"/>
          <w:szCs w:val="24"/>
        </w:rPr>
        <w:t>和残留渗滤液均</w:t>
      </w:r>
      <w:r>
        <w:rPr>
          <w:sz w:val="24"/>
          <w:szCs w:val="24"/>
        </w:rPr>
        <w:t>不外排，建筑</w:t>
      </w:r>
      <w:r w:rsidR="003E4604">
        <w:rPr>
          <w:rFonts w:hint="eastAsia"/>
          <w:sz w:val="24"/>
          <w:szCs w:val="24"/>
        </w:rPr>
        <w:t>垃圾</w:t>
      </w:r>
      <w:r w:rsidR="00AA5633">
        <w:rPr>
          <w:rFonts w:hint="eastAsia"/>
          <w:sz w:val="24"/>
          <w:szCs w:val="24"/>
        </w:rPr>
        <w:t>、</w:t>
      </w:r>
      <w:r>
        <w:rPr>
          <w:sz w:val="24"/>
          <w:szCs w:val="24"/>
        </w:rPr>
        <w:t>生活垃圾</w:t>
      </w:r>
      <w:r w:rsidR="00AA5633">
        <w:rPr>
          <w:rFonts w:hint="eastAsia"/>
          <w:sz w:val="24"/>
          <w:szCs w:val="24"/>
        </w:rPr>
        <w:t>和污泥</w:t>
      </w:r>
      <w:r w:rsidR="003E4604">
        <w:rPr>
          <w:rFonts w:hint="eastAsia"/>
          <w:sz w:val="24"/>
          <w:szCs w:val="24"/>
        </w:rPr>
        <w:t>均得到有效处置</w:t>
      </w:r>
      <w:r>
        <w:rPr>
          <w:sz w:val="24"/>
          <w:szCs w:val="24"/>
        </w:rPr>
        <w:t>，施工对项目所在区域地下水</w:t>
      </w:r>
      <w:r w:rsidR="008B27B9">
        <w:rPr>
          <w:rFonts w:hint="eastAsia"/>
          <w:sz w:val="24"/>
          <w:szCs w:val="24"/>
        </w:rPr>
        <w:t>、土壤</w:t>
      </w:r>
      <w:r>
        <w:rPr>
          <w:sz w:val="24"/>
          <w:szCs w:val="24"/>
        </w:rPr>
        <w:t>环境影响较小。</w:t>
      </w:r>
    </w:p>
    <w:p w14:paraId="0C275D8E" w14:textId="461037E7" w:rsidR="00606029" w:rsidRDefault="00973339">
      <w:pPr>
        <w:pStyle w:val="aff2"/>
        <w:spacing w:after="0" w:line="360" w:lineRule="auto"/>
        <w:ind w:firstLineChars="200" w:firstLine="480"/>
        <w:jc w:val="left"/>
        <w:rPr>
          <w:sz w:val="24"/>
        </w:rPr>
      </w:pPr>
      <w:r>
        <w:rPr>
          <w:rFonts w:hint="eastAsia"/>
          <w:sz w:val="24"/>
        </w:rPr>
        <w:t>本项目</w:t>
      </w:r>
      <w:r w:rsidR="007503C0">
        <w:rPr>
          <w:rFonts w:hint="eastAsia"/>
          <w:sz w:val="24"/>
        </w:rPr>
        <w:t>运行期飞灰填埋区</w:t>
      </w:r>
      <w:r w:rsidR="00362504" w:rsidRPr="00362504">
        <w:rPr>
          <w:sz w:val="24"/>
        </w:rPr>
        <w:t>采用</w:t>
      </w:r>
      <w:r w:rsidR="00362504" w:rsidRPr="00362504">
        <w:rPr>
          <w:sz w:val="24"/>
        </w:rPr>
        <w:t>“</w:t>
      </w:r>
      <w:r w:rsidR="00362504" w:rsidRPr="00362504">
        <w:rPr>
          <w:sz w:val="24"/>
        </w:rPr>
        <w:t>双层人工复合衬层</w:t>
      </w:r>
      <w:r w:rsidR="00362504" w:rsidRPr="00362504">
        <w:rPr>
          <w:sz w:val="24"/>
        </w:rPr>
        <w:t>”</w:t>
      </w:r>
      <w:r w:rsidR="00362504" w:rsidRPr="00362504">
        <w:rPr>
          <w:sz w:val="24"/>
        </w:rPr>
        <w:t>系统，主防渗层为</w:t>
      </w:r>
      <w:r w:rsidR="00362504" w:rsidRPr="00362504">
        <w:rPr>
          <w:sz w:val="24"/>
        </w:rPr>
        <w:t xml:space="preserve"> 2.0mm</w:t>
      </w:r>
      <w:r w:rsidR="00362504" w:rsidRPr="00362504">
        <w:rPr>
          <w:sz w:val="24"/>
        </w:rPr>
        <w:t>厚的高密度聚乙烯（</w:t>
      </w:r>
      <w:r w:rsidR="00362504" w:rsidRPr="00362504">
        <w:rPr>
          <w:sz w:val="24"/>
        </w:rPr>
        <w:t>HDPE</w:t>
      </w:r>
      <w:r w:rsidR="00362504" w:rsidRPr="00362504">
        <w:rPr>
          <w:sz w:val="24"/>
        </w:rPr>
        <w:t>）膜，次防渗层为</w:t>
      </w:r>
      <w:r w:rsidR="00362504" w:rsidRPr="00362504">
        <w:rPr>
          <w:sz w:val="24"/>
        </w:rPr>
        <w:t>1.5mm HDPE</w:t>
      </w:r>
      <w:r w:rsidR="00362504" w:rsidRPr="00362504">
        <w:rPr>
          <w:sz w:val="24"/>
        </w:rPr>
        <w:t>膜</w:t>
      </w:r>
      <w:r w:rsidR="00362504" w:rsidRPr="00362504">
        <w:rPr>
          <w:sz w:val="24"/>
        </w:rPr>
        <w:t>+5.0mm GCL</w:t>
      </w:r>
      <w:r w:rsidR="00362504" w:rsidRPr="00362504">
        <w:rPr>
          <w:sz w:val="24"/>
        </w:rPr>
        <w:t>膨润土垫，中间层为渗漏检测层（砾石层</w:t>
      </w:r>
      <w:r w:rsidR="00362504" w:rsidRPr="00362504">
        <w:rPr>
          <w:sz w:val="24"/>
        </w:rPr>
        <w:t>+</w:t>
      </w:r>
      <w:r w:rsidR="00362504" w:rsidRPr="00362504">
        <w:rPr>
          <w:sz w:val="24"/>
        </w:rPr>
        <w:t>管道），用于收集可能发生的渗漏液。并在池壁与池底的拐角处增加土工布垫层保护，并确保</w:t>
      </w:r>
      <w:r w:rsidR="00362504" w:rsidRPr="00362504">
        <w:rPr>
          <w:sz w:val="24"/>
        </w:rPr>
        <w:t>HDPE</w:t>
      </w:r>
      <w:r w:rsidR="00362504" w:rsidRPr="00362504">
        <w:rPr>
          <w:sz w:val="24"/>
        </w:rPr>
        <w:t>膜的锚固严密，确保防渗性能满足《生活垃圾填埋污染控制标准》（</w:t>
      </w:r>
      <w:r w:rsidR="00362504" w:rsidRPr="00362504">
        <w:rPr>
          <w:sz w:val="24"/>
        </w:rPr>
        <w:t>GB16889-2024</w:t>
      </w:r>
      <w:r w:rsidR="00362504" w:rsidRPr="00362504">
        <w:rPr>
          <w:sz w:val="24"/>
        </w:rPr>
        <w:t>）和《生活垃圾卫生填埋技术规范》（</w:t>
      </w:r>
      <w:r w:rsidR="00362504" w:rsidRPr="00362504">
        <w:rPr>
          <w:sz w:val="24"/>
        </w:rPr>
        <w:t>GB50869-2013</w:t>
      </w:r>
      <w:r w:rsidR="00362504" w:rsidRPr="00362504">
        <w:rPr>
          <w:sz w:val="24"/>
        </w:rPr>
        <w:t>）标准要求</w:t>
      </w:r>
      <w:r w:rsidR="007503C0">
        <w:rPr>
          <w:rFonts w:hint="eastAsia"/>
          <w:sz w:val="24"/>
        </w:rPr>
        <w:t>，并开展定期监测等</w:t>
      </w:r>
      <w:r w:rsidR="00EA5B92">
        <w:rPr>
          <w:sz w:val="24"/>
        </w:rPr>
        <w:t>。</w:t>
      </w:r>
      <w:r w:rsidR="00C85D76">
        <w:rPr>
          <w:rFonts w:hint="eastAsia"/>
          <w:sz w:val="24"/>
        </w:rPr>
        <w:t>采取措施，</w:t>
      </w:r>
      <w:r w:rsidR="00C85D76" w:rsidRPr="00C85D76">
        <w:rPr>
          <w:sz w:val="24"/>
        </w:rPr>
        <w:t>落实好分区防渗工程并定期检查，杜绝泄漏情况的发生，基本不会对周边土壤</w:t>
      </w:r>
      <w:r w:rsidR="00C85D76">
        <w:rPr>
          <w:rFonts w:hint="eastAsia"/>
          <w:sz w:val="24"/>
        </w:rPr>
        <w:t>、地下水</w:t>
      </w:r>
      <w:r w:rsidR="00C85D76" w:rsidRPr="00C85D76">
        <w:rPr>
          <w:sz w:val="24"/>
        </w:rPr>
        <w:t>造成明显影响。</w:t>
      </w:r>
    </w:p>
    <w:p w14:paraId="5D3CBF0A" w14:textId="1E22B590" w:rsidR="00606029" w:rsidRDefault="00EA5B92">
      <w:pPr>
        <w:pStyle w:val="3"/>
        <w:adjustRightInd/>
        <w:snapToGrid/>
      </w:pPr>
      <w:bookmarkStart w:id="430" w:name="_Toc220680581"/>
      <w:r>
        <w:lastRenderedPageBreak/>
        <w:t>1</w:t>
      </w:r>
      <w:r w:rsidR="004A414E">
        <w:rPr>
          <w:rFonts w:hint="eastAsia"/>
        </w:rPr>
        <w:t>0</w:t>
      </w:r>
      <w:r>
        <w:t>.4.4</w:t>
      </w:r>
      <w:r>
        <w:t>声环境影响</w:t>
      </w:r>
      <w:bookmarkEnd w:id="430"/>
    </w:p>
    <w:p w14:paraId="7E79D425" w14:textId="38D529C2" w:rsidR="00606029" w:rsidRDefault="00973339">
      <w:pPr>
        <w:pStyle w:val="affffff4"/>
        <w:adjustRightInd/>
        <w:snapToGrid/>
      </w:pPr>
      <w:r>
        <w:rPr>
          <w:rFonts w:hint="eastAsia"/>
        </w:rPr>
        <w:t>本项目</w:t>
      </w:r>
      <w:r w:rsidR="00EA5B92">
        <w:t>施工期噪声污染源主要是施工机械噪声和运输车辆噪声。根据施工期噪声预测结果，施工噪声将对附近声环境质量产生一定影响，在严格落实夜间禁止施工的要求下，施工噪声影响很小，且这种影响是短暂的，随着施工期的结束，施工噪声对环境影响也随之消失。</w:t>
      </w:r>
    </w:p>
    <w:p w14:paraId="22CC96C4" w14:textId="3291E3E6" w:rsidR="00606029" w:rsidRDefault="00973339">
      <w:pPr>
        <w:pStyle w:val="affffff4"/>
        <w:adjustRightInd/>
        <w:snapToGrid/>
      </w:pPr>
      <w:r>
        <w:rPr>
          <w:rFonts w:hint="eastAsia"/>
        </w:rPr>
        <w:t>本项目</w:t>
      </w:r>
      <w:r w:rsidR="00EA5B92">
        <w:t>运营期噪声源主要来自</w:t>
      </w:r>
      <w:r w:rsidR="00CF5970">
        <w:rPr>
          <w:rFonts w:hint="eastAsia"/>
        </w:rPr>
        <w:t>机械</w:t>
      </w:r>
      <w:r w:rsidR="00EA5B92">
        <w:t>设备，建设单位</w:t>
      </w:r>
      <w:r>
        <w:rPr>
          <w:rFonts w:hint="eastAsia"/>
        </w:rPr>
        <w:t>加强维护保养</w:t>
      </w:r>
      <w:r w:rsidR="00EA5B92">
        <w:t>、</w:t>
      </w:r>
      <w:r>
        <w:rPr>
          <w:rFonts w:hint="eastAsia"/>
        </w:rPr>
        <w:t>合理规划作业时间</w:t>
      </w:r>
      <w:r w:rsidR="00EA5B92">
        <w:t>等措施</w:t>
      </w:r>
      <w:r>
        <w:rPr>
          <w:rFonts w:hint="eastAsia"/>
        </w:rPr>
        <w:t>后</w:t>
      </w:r>
      <w:r w:rsidR="00EA5B92">
        <w:t>。厂界噪声</w:t>
      </w:r>
      <w:r>
        <w:rPr>
          <w:rFonts w:hint="eastAsia"/>
        </w:rPr>
        <w:t>满足</w:t>
      </w:r>
      <w:r w:rsidR="00EA5B92">
        <w:t>《工业企业厂界环境噪声排放标准》（</w:t>
      </w:r>
      <w:r w:rsidR="00EA5B92">
        <w:t>GB12348-2008</w:t>
      </w:r>
      <w:r w:rsidR="00EA5B92">
        <w:t>）中的</w:t>
      </w:r>
      <w:r w:rsidR="00EA5B92">
        <w:t>2</w:t>
      </w:r>
      <w:r w:rsidR="00EA5B92">
        <w:t>类标准限值要求</w:t>
      </w:r>
      <w:r w:rsidR="00CF5970">
        <w:rPr>
          <w:rFonts w:hint="eastAsia"/>
        </w:rPr>
        <w:t>，对周边声环境的影响不大。</w:t>
      </w:r>
    </w:p>
    <w:p w14:paraId="1DC0927B" w14:textId="65095103" w:rsidR="00606029" w:rsidRDefault="00EA5B92">
      <w:pPr>
        <w:pStyle w:val="3"/>
        <w:adjustRightInd/>
        <w:snapToGrid/>
      </w:pPr>
      <w:bookmarkStart w:id="431" w:name="_Toc220680582"/>
      <w:r>
        <w:t>1</w:t>
      </w:r>
      <w:r w:rsidR="004A414E">
        <w:rPr>
          <w:rFonts w:hint="eastAsia"/>
        </w:rPr>
        <w:t>0</w:t>
      </w:r>
      <w:r>
        <w:t>.4.5</w:t>
      </w:r>
      <w:r>
        <w:t>固体废物环境影响</w:t>
      </w:r>
      <w:bookmarkEnd w:id="431"/>
    </w:p>
    <w:p w14:paraId="7FC031C6" w14:textId="04FAF834" w:rsidR="00606029" w:rsidRDefault="00973339" w:rsidP="00BD189F">
      <w:pPr>
        <w:pStyle w:val="affffff4"/>
        <w:adjustRightInd/>
        <w:snapToGrid/>
        <w:rPr>
          <w:color w:val="auto"/>
        </w:rPr>
      </w:pPr>
      <w:r>
        <w:rPr>
          <w:rFonts w:hint="eastAsia"/>
        </w:rPr>
        <w:t>本项目施工期</w:t>
      </w:r>
      <w:r w:rsidR="00B76616">
        <w:t>建筑垃圾</w:t>
      </w:r>
      <w:r w:rsidR="00BD189F" w:rsidRPr="00BD189F">
        <w:t>及时清运至建筑垃圾调配场，生活垃圾及时送厂区焚烧发电，</w:t>
      </w:r>
      <w:r w:rsidR="00CF5970" w:rsidRPr="00CF5970">
        <w:t>清除改建调节池内残留污泥清理后送</w:t>
      </w:r>
      <w:r w:rsidR="00B31025" w:rsidRPr="00B31025">
        <w:t>污泥处理车间处理</w:t>
      </w:r>
      <w:r w:rsidR="00CF5970">
        <w:t>。</w:t>
      </w:r>
      <w:r w:rsidR="00BD189F">
        <w:rPr>
          <w:rFonts w:hint="eastAsia"/>
        </w:rPr>
        <w:t>取上述措施后</w:t>
      </w:r>
      <w:r w:rsidR="00EA5B92">
        <w:t>，对周边环境的影响很小</w:t>
      </w:r>
      <w:r w:rsidR="00BD189F">
        <w:rPr>
          <w:rFonts w:hint="eastAsia"/>
        </w:rPr>
        <w:t>。</w:t>
      </w:r>
      <w:r w:rsidR="00BD189F">
        <w:rPr>
          <w:color w:val="auto"/>
        </w:rPr>
        <w:t xml:space="preserve"> </w:t>
      </w:r>
    </w:p>
    <w:p w14:paraId="68D2DD25" w14:textId="101BD31C" w:rsidR="00606029" w:rsidRDefault="00EA5B92" w:rsidP="00BD189F">
      <w:pPr>
        <w:pStyle w:val="affffff4"/>
        <w:adjustRightInd/>
        <w:snapToGrid/>
      </w:pPr>
      <w:r>
        <w:rPr>
          <w:color w:val="auto"/>
        </w:rPr>
        <w:t>本项目建成投运后产生的固体废弃物主要有</w:t>
      </w:r>
      <w:r>
        <w:t>废机油、</w:t>
      </w:r>
      <w:r w:rsidR="00FE2EC7">
        <w:rPr>
          <w:rFonts w:hint="eastAsia"/>
        </w:rPr>
        <w:t>实验废液</w:t>
      </w:r>
      <w:r w:rsidR="00BD189F">
        <w:rPr>
          <w:rFonts w:hint="eastAsia"/>
        </w:rPr>
        <w:t>，</w:t>
      </w:r>
      <w:r w:rsidR="00FD7213">
        <w:rPr>
          <w:rFonts w:hint="eastAsia"/>
        </w:rPr>
        <w:t>暂存于危废贮存库，</w:t>
      </w:r>
      <w:r>
        <w:t>并</w:t>
      </w:r>
      <w:r w:rsidR="00FD7213">
        <w:rPr>
          <w:rFonts w:hint="eastAsia"/>
        </w:rPr>
        <w:t>定期</w:t>
      </w:r>
      <w:r>
        <w:t>委托有资质单位处置。</w:t>
      </w:r>
    </w:p>
    <w:p w14:paraId="000E82C0" w14:textId="77777777" w:rsidR="00FD7213" w:rsidRPr="00FD7213" w:rsidRDefault="00EA5B92" w:rsidP="00FD7213">
      <w:pPr>
        <w:pStyle w:val="2"/>
        <w:adjustRightInd/>
        <w:snapToGrid/>
      </w:pPr>
      <w:bookmarkStart w:id="432" w:name="_Toc29254"/>
      <w:bookmarkStart w:id="433" w:name="_Toc13699"/>
      <w:bookmarkStart w:id="434" w:name="_Toc220680583"/>
      <w:bookmarkStart w:id="435" w:name="_Toc252173685"/>
      <w:bookmarkStart w:id="436" w:name="_Toc331278446"/>
      <w:r>
        <w:t>1</w:t>
      </w:r>
      <w:r w:rsidR="004A414E">
        <w:rPr>
          <w:rFonts w:hint="eastAsia"/>
        </w:rPr>
        <w:t>0</w:t>
      </w:r>
      <w:r>
        <w:t>.5</w:t>
      </w:r>
      <w:bookmarkEnd w:id="432"/>
      <w:bookmarkEnd w:id="433"/>
      <w:r w:rsidR="00FD7213" w:rsidRPr="00FD7213">
        <w:t>公众意见采纳情况说明</w:t>
      </w:r>
      <w:bookmarkEnd w:id="434"/>
    </w:p>
    <w:p w14:paraId="47BAB181" w14:textId="77777777" w:rsidR="00FD7213" w:rsidRPr="00FD7213" w:rsidRDefault="00FD7213" w:rsidP="00FD7213">
      <w:pPr>
        <w:pStyle w:val="affffff4"/>
        <w:adjustRightInd/>
        <w:snapToGrid/>
      </w:pPr>
      <w:r w:rsidRPr="00FD7213">
        <w:t>本项目建设单位通过网络、报纸、张贴告示等方式征求周围群众的意见。</w:t>
      </w:r>
    </w:p>
    <w:p w14:paraId="1B23D147" w14:textId="7AF69E58" w:rsidR="00606029" w:rsidRDefault="00FD7213" w:rsidP="00FD7213">
      <w:pPr>
        <w:pStyle w:val="affffff4"/>
        <w:adjustRightInd/>
        <w:snapToGrid/>
      </w:pPr>
      <w:r w:rsidRPr="00FD7213">
        <w:t>公众参与过程中无人表示不同意和反对，由此可见，项目区的公众原则接受该工程在拟建厂址建设。公众希望工程建设要严格执行环评中提出的各项污染防治措施，要严格执行</w:t>
      </w:r>
      <w:r w:rsidRPr="00FD7213">
        <w:t>“</w:t>
      </w:r>
      <w:r w:rsidRPr="00FD7213">
        <w:t>三同时</w:t>
      </w:r>
      <w:r w:rsidRPr="00FD7213">
        <w:t>”</w:t>
      </w:r>
      <w:r w:rsidRPr="00FD7213">
        <w:t>制度，坚决避免因要求与实际运作不一致而造成的环境污染。公众对项目选址、建设和投产运行后从环境保护角度所提出的意见、要求和建议是积极的、认真的、负责的。</w:t>
      </w:r>
    </w:p>
    <w:p w14:paraId="48204BE9" w14:textId="723FC01A" w:rsidR="00606029" w:rsidRDefault="00EA5B92">
      <w:pPr>
        <w:pStyle w:val="2"/>
        <w:adjustRightInd/>
        <w:snapToGrid/>
      </w:pPr>
      <w:bookmarkStart w:id="437" w:name="_Toc21399"/>
      <w:bookmarkStart w:id="438" w:name="_Toc22541"/>
      <w:bookmarkStart w:id="439" w:name="_Toc220680584"/>
      <w:r>
        <w:t>1</w:t>
      </w:r>
      <w:r w:rsidR="004A414E">
        <w:rPr>
          <w:rFonts w:hint="eastAsia"/>
        </w:rPr>
        <w:t>0</w:t>
      </w:r>
      <w:r>
        <w:t xml:space="preserve">.6 </w:t>
      </w:r>
      <w:r>
        <w:t>环境影响经济损益分析结论</w:t>
      </w:r>
      <w:bookmarkEnd w:id="437"/>
      <w:bookmarkEnd w:id="438"/>
      <w:bookmarkEnd w:id="439"/>
    </w:p>
    <w:p w14:paraId="1A0D0F8D" w14:textId="5DD38C3F" w:rsidR="00606029" w:rsidRDefault="00973339">
      <w:pPr>
        <w:pStyle w:val="affffff4"/>
        <w:adjustRightInd/>
        <w:snapToGrid/>
      </w:pPr>
      <w:r>
        <w:rPr>
          <w:rFonts w:hint="eastAsia"/>
        </w:rPr>
        <w:t>本</w:t>
      </w:r>
      <w:r w:rsidR="00EA5B92">
        <w:t>项目的经济效益显著，社会效益明显；在经济可承受范围内，各环保治理措施较大程度地减轻了项目对环境产生的不利影响，项目环保措施投资在经济上是合理、可行的。本项目建设能实现经济效益、社会效益和环境效益统一。</w:t>
      </w:r>
    </w:p>
    <w:p w14:paraId="021A48E7" w14:textId="7293F6FC" w:rsidR="00606029" w:rsidRPr="004A414E" w:rsidRDefault="00EA5B92" w:rsidP="004A414E">
      <w:pPr>
        <w:pStyle w:val="2"/>
        <w:adjustRightInd/>
        <w:snapToGrid/>
      </w:pPr>
      <w:bookmarkStart w:id="440" w:name="_Toc22321"/>
      <w:bookmarkStart w:id="441" w:name="_Toc9189"/>
      <w:bookmarkStart w:id="442" w:name="_Toc220680585"/>
      <w:r w:rsidRPr="004A414E">
        <w:t>1</w:t>
      </w:r>
      <w:r w:rsidR="004A414E" w:rsidRPr="004A414E">
        <w:rPr>
          <w:rFonts w:hint="eastAsia"/>
        </w:rPr>
        <w:t>0</w:t>
      </w:r>
      <w:r w:rsidRPr="004A414E">
        <w:t xml:space="preserve">.7 </w:t>
      </w:r>
      <w:r w:rsidRPr="004A414E">
        <w:t>环境管理与监测计划结论</w:t>
      </w:r>
      <w:bookmarkEnd w:id="440"/>
      <w:bookmarkEnd w:id="441"/>
      <w:bookmarkEnd w:id="442"/>
    </w:p>
    <w:p w14:paraId="45599DAB" w14:textId="653EC416" w:rsidR="00606029" w:rsidRDefault="00FD7213">
      <w:pPr>
        <w:pStyle w:val="affffff4"/>
        <w:adjustRightInd/>
        <w:snapToGrid/>
      </w:pPr>
      <w:r w:rsidRPr="00FD7213">
        <w:t>本项目建成后建设单位应设置环境保护管理机构，配备专职人员和必要的监测仪器。运行期制定污染源、环境质量监测计划，设置在线监测，并与当地生态环境主管部门联网，运行工况在线监测结果采用电子显示板进行公示。</w:t>
      </w:r>
    </w:p>
    <w:p w14:paraId="1A029459" w14:textId="4F234096" w:rsidR="00606029" w:rsidRDefault="00EA5B92">
      <w:pPr>
        <w:pStyle w:val="2"/>
        <w:adjustRightInd/>
        <w:snapToGrid/>
      </w:pPr>
      <w:bookmarkStart w:id="443" w:name="_Toc19590"/>
      <w:bookmarkStart w:id="444" w:name="_Toc17630"/>
      <w:bookmarkStart w:id="445" w:name="_Toc220680586"/>
      <w:r>
        <w:lastRenderedPageBreak/>
        <w:t>1</w:t>
      </w:r>
      <w:r w:rsidR="004A414E">
        <w:rPr>
          <w:rFonts w:hint="eastAsia"/>
        </w:rPr>
        <w:t>0</w:t>
      </w:r>
      <w:r>
        <w:t>.8</w:t>
      </w:r>
      <w:r w:rsidR="00CB5416">
        <w:rPr>
          <w:rFonts w:hint="eastAsia"/>
        </w:rPr>
        <w:t>环境影响</w:t>
      </w:r>
      <w:r>
        <w:t>结论</w:t>
      </w:r>
      <w:bookmarkEnd w:id="443"/>
      <w:bookmarkEnd w:id="444"/>
      <w:bookmarkEnd w:id="445"/>
    </w:p>
    <w:bookmarkEnd w:id="435"/>
    <w:bookmarkEnd w:id="436"/>
    <w:p w14:paraId="7001CB08" w14:textId="469CAF5B" w:rsidR="00606029" w:rsidRDefault="00FD7213" w:rsidP="00FD7213">
      <w:pPr>
        <w:pStyle w:val="aff2"/>
        <w:spacing w:after="0" w:line="360" w:lineRule="auto"/>
        <w:ind w:firstLineChars="200" w:firstLine="480"/>
        <w:rPr>
          <w:sz w:val="24"/>
        </w:rPr>
      </w:pPr>
      <w:r w:rsidRPr="00FD7213">
        <w:rPr>
          <w:sz w:val="24"/>
        </w:rPr>
        <w:t>本项目建设符合国家产业政策及相关规划的要求，通过采取各项污染防治措施，能够实现污染物达标排放</w:t>
      </w:r>
      <w:r>
        <w:rPr>
          <w:rFonts w:hint="eastAsia"/>
          <w:sz w:val="24"/>
        </w:rPr>
        <w:t>，</w:t>
      </w:r>
      <w:r w:rsidRPr="00FD7213">
        <w:rPr>
          <w:sz w:val="24"/>
        </w:rPr>
        <w:t>总量控制指标能够落实；</w:t>
      </w:r>
      <w:r w:rsidR="00E01422">
        <w:rPr>
          <w:sz w:val="24"/>
        </w:rPr>
        <w:t>并</w:t>
      </w:r>
      <w:r w:rsidRPr="00FD7213">
        <w:rPr>
          <w:sz w:val="24"/>
        </w:rPr>
        <w:t>取严格的风险防范措施，制定了详细的应急预案；综合各环境要素影响预测与分析、公众参与、项目建设环境合理性分析等章节结论</w:t>
      </w:r>
      <w:r w:rsidR="00EA5B92">
        <w:rPr>
          <w:sz w:val="24"/>
        </w:rPr>
        <w:t>。项目建成运营后具有良好的社会、经济和环境效益，从环保角度考虑，项目建设是可行的。</w:t>
      </w:r>
    </w:p>
    <w:sectPr w:rsidR="00606029" w:rsidSect="00EA5215">
      <w:pgSz w:w="11905" w:h="16838"/>
      <w:pgMar w:top="1417" w:right="1474" w:bottom="1417" w:left="1474" w:header="850" w:footer="850" w:gutter="113"/>
      <w:cols w:space="0"/>
      <w:docGrid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57A035" w14:textId="77777777" w:rsidR="00C74CF5" w:rsidRDefault="00C74CF5">
      <w:r>
        <w:separator/>
      </w:r>
    </w:p>
  </w:endnote>
  <w:endnote w:type="continuationSeparator" w:id="0">
    <w:p w14:paraId="5455097B" w14:textId="77777777" w:rsidR="00C74CF5" w:rsidRDefault="00C74C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embedRegular r:id="rId1" w:subsetted="1" w:fontKey="{3F4FBF69-BB95-4754-AF0A-8A631548D266}"/>
  </w:font>
  <w:font w:name="Calibri">
    <w:panose1 w:val="020F0502020204030204"/>
    <w:charset w:val="00"/>
    <w:family w:val="swiss"/>
    <w:pitch w:val="variable"/>
    <w:sig w:usb0="E4002EFF" w:usb1="C000247B" w:usb2="00000009" w:usb3="00000000" w:csb0="000001FF" w:csb1="00000000"/>
  </w:font>
  <w:font w:name="楷体">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华文中宋">
    <w:panose1 w:val="02010600040101010101"/>
    <w:charset w:val="86"/>
    <w:family w:val="auto"/>
    <w:pitch w:val="variable"/>
    <w:sig w:usb0="00000287" w:usb1="080F0000" w:usb2="00000010" w:usb3="00000000" w:csb0="0004009F" w:csb1="00000000"/>
  </w:font>
  <w:font w:name="PMingLiU-ExtB">
    <w:panose1 w:val="02020500000000000000"/>
    <w:charset w:val="88"/>
    <w:family w:val="roman"/>
    <w:pitch w:val="variable"/>
    <w:sig w:usb0="8000002F" w:usb1="0A080008" w:usb2="00000010" w:usb3="00000000" w:csb0="00100001" w:csb1="00000000"/>
  </w:font>
  <w:font w:name="Tahoma">
    <w:panose1 w:val="020B0604030504040204"/>
    <w:charset w:val="00"/>
    <w:family w:val="swiss"/>
    <w:pitch w:val="variable"/>
    <w:sig w:usb0="E1002EFF" w:usb1="C000605B" w:usb2="00000029" w:usb3="00000000" w:csb0="000101FF" w:csb1="00000000"/>
  </w:font>
  <w:font w:name="隶书">
    <w:panose1 w:val="02010509060101010101"/>
    <w:charset w:val="86"/>
    <w:family w:val="modern"/>
    <w:pitch w:val="fixed"/>
    <w:sig w:usb0="00000001" w:usb1="080E0000" w:usb2="00000010" w:usb3="00000000" w:csb0="00040000" w:csb1="00000000"/>
  </w:font>
  <w:font w:name="Cambria">
    <w:panose1 w:val="02040503050406030204"/>
    <w:charset w:val="00"/>
    <w:family w:val="roman"/>
    <w:pitch w:val="variable"/>
    <w:sig w:usb0="E00006FF" w:usb1="420024FF" w:usb2="02000000" w:usb3="00000000" w:csb0="0000019F" w:csb1="00000000"/>
  </w:font>
  <w:font w:name="华文仿宋">
    <w:panose1 w:val="02010600040101010101"/>
    <w:charset w:val="86"/>
    <w:family w:val="auto"/>
    <w:pitch w:val="variable"/>
    <w:sig w:usb0="00000287" w:usb1="080F0000" w:usb2="00000010" w:usb3="00000000" w:csb0="0004009F" w:csb1="00000000"/>
  </w:font>
  <w:font w:name="微软雅黑">
    <w:panose1 w:val="020B0503020204020204"/>
    <w:charset w:val="86"/>
    <w:family w:val="swiss"/>
    <w:pitch w:val="variable"/>
    <w:sig w:usb0="80000287" w:usb1="2ACF3C50" w:usb2="00000016" w:usb3="00000000" w:csb0="0004001F" w:csb1="00000000"/>
  </w:font>
  <w:font w:name="华文楷体">
    <w:panose1 w:val="02010600040101010101"/>
    <w:charset w:val="86"/>
    <w:family w:val="auto"/>
    <w:pitch w:val="variable"/>
    <w:sig w:usb0="00000287" w:usb1="080F0000" w:usb2="00000010" w:usb3="00000000" w:csb0="0004009F" w:csb1="00000000"/>
    <w:embedRegular r:id="rId2" w:subsetted="1" w:fontKey="{55D9E9D7-BE8C-47E9-AD4F-14AE699CE77D}"/>
  </w:font>
  <w:font w:name="等线">
    <w:altName w:val="DengXian"/>
    <w:panose1 w:val="02010600030101010101"/>
    <w:charset w:val="86"/>
    <w:family w:val="auto"/>
    <w:pitch w:val="variable"/>
    <w:sig w:usb0="A00002BF" w:usb1="38CF7CFA" w:usb2="00000016" w:usb3="00000000" w:csb0="0004000F" w:csb1="00000000"/>
    <w:embedRegular r:id="rId3" w:subsetted="1" w:fontKey="{4DD708A2-DD36-47EE-995C-82AB96F9D16F}"/>
  </w:font>
  <w:font w:name="Arial Unicode MS">
    <w:panose1 w:val="020B0604020202020204"/>
    <w:charset w:val="86"/>
    <w:family w:val="swiss"/>
    <w:pitch w:val="default"/>
    <w:sig w:usb0="00000000" w:usb1="00000000" w:usb2="0000003F" w:usb3="00000000" w:csb0="003F01FF" w:csb1="00000000"/>
  </w:font>
  <w:font w:name="楷体_GB2312">
    <w:altName w:val="楷体"/>
    <w:charset w:val="86"/>
    <w:family w:val="auto"/>
    <w:pitch w:val="default"/>
    <w:sig w:usb0="00000000" w:usb1="00000000" w:usb2="00000000" w:usb3="00000000" w:csb0="00040000" w:csb1="00000000"/>
  </w:font>
  <w:font w:name="仿宋_GB2312">
    <w:altName w:val="仿宋"/>
    <w:charset w:val="86"/>
    <w:family w:val="auto"/>
    <w:pitch w:val="default"/>
    <w:sig w:usb0="00000001" w:usb1="080E0000" w:usb2="00000000" w:usb3="00000000" w:csb0="00040000" w:csb1="00000000"/>
  </w:font>
  <w:font w:name="Verdana">
    <w:panose1 w:val="020B0604030504040204"/>
    <w:charset w:val="00"/>
    <w:family w:val="swiss"/>
    <w:pitch w:val="variable"/>
    <w:sig w:usb0="A00006FF" w:usb1="4000205B" w:usb2="00000010" w:usb3="00000000" w:csb0="0000019F" w:csb1="00000000"/>
  </w:font>
  <w:font w:name="”“Times New Roman”“">
    <w:altName w:val="宋体"/>
    <w:charset w:val="86"/>
    <w:family w:val="roman"/>
    <w:pitch w:val="default"/>
    <w:sig w:usb0="00000000" w:usb1="00000000" w:usb2="00000010" w:usb3="00000000" w:csb0="00040000" w:csb1="00000000"/>
  </w:font>
  <w:font w:name="汉仪仿宋简">
    <w:altName w:val="宋体"/>
    <w:charset w:val="86"/>
    <w:family w:val="modern"/>
    <w:pitch w:val="default"/>
    <w:sig w:usb0="00000000" w:usb1="00000000" w:usb2="00000012" w:usb3="00000000" w:csb0="00040000" w:csb1="00000000"/>
  </w:font>
  <w:font w:name="汉鼎简书宋">
    <w:altName w:val="宋体"/>
    <w:charset w:val="86"/>
    <w:family w:val="modern"/>
    <w:pitch w:val="default"/>
    <w:sig w:usb0="00000000" w:usb1="00000000" w:usb2="00000010" w:usb3="00000000" w:csb0="00040000" w:csb1="00000000"/>
  </w:font>
  <w:font w:name="@宋体">
    <w:panose1 w:val="02010600030101010101"/>
    <w:charset w:val="86"/>
    <w:family w:val="auto"/>
    <w:pitch w:val="variable"/>
    <w:sig w:usb0="00000203" w:usb1="288F0000" w:usb2="00000016" w:usb3="00000000" w:csb0="00040001" w:csb1="00000000"/>
  </w:font>
  <w:font w:name="Times">
    <w:altName w:val="Times New Roman"/>
    <w:panose1 w:val="02020603050405020304"/>
    <w:charset w:val="00"/>
    <w:family w:val="roman"/>
    <w:pitch w:val="variable"/>
    <w:sig w:usb0="E0002EFF" w:usb1="C000785B" w:usb2="00000009" w:usb3="00000000" w:csb0="000001FF" w:csb1="00000000"/>
  </w:font>
  <w:font w:name="BankGothic Lt BT">
    <w:altName w:val="Arial"/>
    <w:charset w:val="00"/>
    <w:family w:val="swiss"/>
    <w:pitch w:val="default"/>
    <w:sig w:usb0="00000000" w:usb1="00000000" w:usb2="00000000" w:usb3="00000000" w:csb0="0000001B" w:csb1="00000000"/>
  </w:font>
  <w:font w:name="Tms Rmn">
    <w:panose1 w:val="02020603040505020304"/>
    <w:charset w:val="00"/>
    <w:family w:val="roman"/>
    <w:notTrueType/>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embedRegular r:id="rId4" w:fontKey="{A5661FDB-DB4B-454C-AFE7-313E10DC8331}"/>
  </w:font>
  <w:font w:name="仿宋">
    <w:panose1 w:val="02010609060101010101"/>
    <w:charset w:val="86"/>
    <w:family w:val="modern"/>
    <w:pitch w:val="fixed"/>
    <w:sig w:usb0="800002BF" w:usb1="38CF7CFA" w:usb2="00000016" w:usb3="00000000" w:csb0="00040001" w:csb1="00000000"/>
    <w:embedRegular r:id="rId5" w:subsetted="1" w:fontKey="{4225F523-0905-473D-B0FD-9F69E3A83C14}"/>
  </w:font>
  <w:font w:name="Segoe UI Symbol">
    <w:panose1 w:val="020B0502040204020203"/>
    <w:charset w:val="00"/>
    <w:family w:val="swiss"/>
    <w:pitch w:val="variable"/>
    <w:sig w:usb0="800001E3" w:usb1="1200FFEF" w:usb2="00040000" w:usb3="00000000" w:csb0="00000001" w:csb1="00000000"/>
    <w:embedRegular r:id="rId6" w:subsetted="1" w:fontKey="{78A6CB43-6D9D-4A66-8F0F-912E76B3772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658EC1" w14:textId="77777777" w:rsidR="00606029" w:rsidRDefault="00606029">
    <w:pPr>
      <w:pStyle w:val="af7"/>
      <w:jc w:val="center"/>
    </w:pPr>
  </w:p>
  <w:p w14:paraId="51223630" w14:textId="77777777" w:rsidR="00606029" w:rsidRDefault="00606029">
    <w:pPr>
      <w:pStyle w:val="af7"/>
      <w:rPr>
        <w:sz w:val="21"/>
        <w:szCs w:val="21"/>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D0D52C" w14:textId="77777777" w:rsidR="00606029" w:rsidRDefault="00EA5B92">
    <w:pPr>
      <w:pStyle w:val="af7"/>
      <w:adjustRightInd w:val="0"/>
      <w:jc w:val="center"/>
    </w:pPr>
    <w:r>
      <w:rPr>
        <w:noProof/>
      </w:rPr>
      <mc:AlternateContent>
        <mc:Choice Requires="wps">
          <w:drawing>
            <wp:anchor distT="0" distB="0" distL="114300" distR="114300" simplePos="0" relativeHeight="251651584" behindDoc="0" locked="0" layoutInCell="1" allowOverlap="1" wp14:anchorId="50855EEC" wp14:editId="27976990">
              <wp:simplePos x="0" y="0"/>
              <wp:positionH relativeFrom="margin">
                <wp:align>center</wp:align>
              </wp:positionH>
              <wp:positionV relativeFrom="paragraph">
                <wp:posOffset>0</wp:posOffset>
              </wp:positionV>
              <wp:extent cx="1828800" cy="1828800"/>
              <wp:effectExtent l="0" t="0" r="0" b="0"/>
              <wp:wrapNone/>
              <wp:docPr id="28" name="文本框 2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7B0B355" w14:textId="77777777" w:rsidR="00606029" w:rsidRDefault="00EA5B92">
                          <w:pPr>
                            <w:pStyle w:val="af7"/>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50855EEC" id="_x0000_t202" coordsize="21600,21600" o:spt="202" path="m,l,21600r21600,l21600,xe">
              <v:stroke joinstyle="miter"/>
              <v:path gradientshapeok="t" o:connecttype="rect"/>
            </v:shapetype>
            <v:shape id="文本框 28" o:spid="_x0000_s1026" type="#_x0000_t202" style="position:absolute;left:0;text-align:left;margin-left:0;margin-top:0;width:2in;height:2in;z-index:25165158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" filled="f" stroked="f" strokeweight=".5pt">
              <v:textbox style="mso-fit-shape-to-text:t" inset="0,0,0,0">
                <w:txbxContent>
                  <w:p w14:paraId="07B0B355" w14:textId="77777777" w:rsidR="00606029" w:rsidRDefault="00EA5B92">
                    <w:pPr>
                      <w:pStyle w:val="af7"/>
                    </w:pPr>
                    <w:r>
                      <w:fldChar w:fldCharType="begin"/>
                    </w:r>
                    <w:r>
                      <w:instrText xml:space="preserve"> PAGE  \* MERGEFORMAT </w:instrText>
                    </w:r>
                    <w:r>
                      <w:fldChar w:fldCharType="separate"/>
                    </w:r>
                    <w:r>
                      <w:t>1</w:t>
                    </w:r>
                    <w:r>
                      <w:fldChar w:fldCharType="end"/>
                    </w:r>
                  </w:p>
                </w:txbxContent>
              </v:textbox>
              <w10:wrap anchorx="margin"/>
            </v:shape>
          </w:pict>
        </mc:Fallback>
      </mc:AlternateContent>
    </w:r>
  </w:p>
  <w:p w14:paraId="518EDCF0" w14:textId="77777777" w:rsidR="00606029" w:rsidRDefault="00606029">
    <w:pPr>
      <w:pStyle w:val="af7"/>
      <w:rPr>
        <w:sz w:val="21"/>
        <w:szCs w:val="21"/>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2CB2C8" w14:textId="715D7C95" w:rsidR="00606029" w:rsidRDefault="00E53ECE" w:rsidP="00E53ECE">
    <w:pPr>
      <w:pStyle w:val="af7"/>
      <w:adjustRightInd w:val="0"/>
    </w:pPr>
    <w:r w:rsidRPr="00E53ECE">
      <w:rPr>
        <w:noProof/>
        <w:sz w:val="21"/>
        <w:szCs w:val="21"/>
      </w:rPr>
      <mc:AlternateContent>
        <mc:Choice Requires="wps">
          <w:drawing>
            <wp:anchor distT="0" distB="0" distL="114300" distR="114300" simplePos="0" relativeHeight="251675136" behindDoc="0" locked="0" layoutInCell="1" allowOverlap="1" wp14:anchorId="57027A17" wp14:editId="6354F7D6">
              <wp:simplePos x="0" y="0"/>
              <wp:positionH relativeFrom="margin">
                <wp:posOffset>2785745</wp:posOffset>
              </wp:positionH>
              <wp:positionV relativeFrom="paragraph">
                <wp:posOffset>-114935</wp:posOffset>
              </wp:positionV>
              <wp:extent cx="1828800" cy="1828800"/>
              <wp:effectExtent l="0" t="0" r="0" b="0"/>
              <wp:wrapNone/>
              <wp:docPr id="1932954397" name="文本框 193295439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6A725A24" w14:textId="77777777" w:rsidR="00E53ECE" w:rsidRDefault="00E53ECE" w:rsidP="00E53ECE">
                          <w:pPr>
                            <w:pStyle w:val="af7"/>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57027A17" id="_x0000_t202" coordsize="21600,21600" o:spt="202" path="m,l,21600r21600,l21600,xe">
              <v:stroke joinstyle="miter"/>
              <v:path gradientshapeok="t" o:connecttype="rect"/>
            </v:shapetype>
            <v:shape id="文本框 1932954397" o:spid="_x0000_s1027" type="#_x0000_t202" style="position:absolute;margin-left:219.35pt;margin-top:-9.05pt;width:2in;height:2in;z-index:251675136;visibility:visible;mso-wrap-style:non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" filled="f" stroked="f" strokeweight=".5pt">
              <v:textbox style="mso-fit-shape-to-text:t" inset="0,0,0,0">
                <w:txbxContent>
                  <w:p w14:paraId="6A725A24" w14:textId="77777777" w:rsidR="00E53ECE" w:rsidRDefault="00E53ECE" w:rsidP="00E53ECE">
                    <w:pPr>
                      <w:pStyle w:val="af7"/>
                    </w:pPr>
                    <w:r>
                      <w:fldChar w:fldCharType="begin"/>
                    </w:r>
                    <w:r>
                      <w:instrText xml:space="preserve"> PAGE  \* MERGEFORMAT </w:instrText>
                    </w:r>
                    <w:r>
                      <w:fldChar w:fldCharType="separate"/>
                    </w:r>
                    <w:r>
                      <w:t>1</w:t>
                    </w:r>
                    <w:r>
                      <w:fldChar w:fldCharType="end"/>
                    </w:r>
                  </w:p>
                </w:txbxContent>
              </v:textbox>
              <w10:wrap anchorx="margin"/>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A163B4" w14:textId="40B9539D" w:rsidR="00606029" w:rsidRPr="004C47D8" w:rsidRDefault="004C47D8" w:rsidP="004C47D8">
    <w:pPr>
      <w:pStyle w:val="af7"/>
    </w:pPr>
    <w:r>
      <w:rPr>
        <w:rFonts w:ascii="宋体" w:hAnsi="宋体" w:cs="宋体"/>
        <w:noProof/>
        <w:kern w:val="0"/>
        <w:sz w:val="24"/>
        <w:szCs w:val="24"/>
      </w:rPr>
      <mc:AlternateContent>
        <mc:Choice Requires="wps">
          <w:drawing>
            <wp:anchor distT="0" distB="0" distL="114300" distR="114300" simplePos="0" relativeHeight="251677184" behindDoc="0" locked="0" layoutInCell="1" allowOverlap="1" wp14:anchorId="14DCC40E" wp14:editId="7EBA7669">
              <wp:simplePos x="0" y="0"/>
              <wp:positionH relativeFrom="margin">
                <wp:posOffset>2722880</wp:posOffset>
              </wp:positionH>
              <wp:positionV relativeFrom="paragraph">
                <wp:posOffset>-39370</wp:posOffset>
              </wp:positionV>
              <wp:extent cx="147955" cy="138430"/>
              <wp:effectExtent l="0" t="0" r="4445" b="13970"/>
              <wp:wrapNone/>
              <wp:docPr id="503131911" name="文本框 12"/>
              <wp:cNvGraphicFramePr/>
              <a:graphic xmlns:a="http://schemas.openxmlformats.org/drawingml/2006/main">
                <a:graphicData uri="http://schemas.microsoft.com/office/word/2010/wordprocessingShape">
                  <wps:wsp>
                    <wps:cNvSpPr txBox="1"/>
                    <wps:spPr>
                      <a:xfrm>
                        <a:off x="0" y="0"/>
                        <a:ext cx="147955" cy="138430"/>
                      </a:xfrm>
                      <a:prstGeom prst="rect">
                        <a:avLst/>
                      </a:prstGeom>
                      <a:noFill/>
                      <a:ln w="6350">
                        <a:noFill/>
                      </a:ln>
                      <a:effectLst/>
                    </wps:spPr>
                    <wps:txbx>
                      <w:txbxContent>
                        <w:p w14:paraId="745A1025" w14:textId="77777777" w:rsidR="004C47D8" w:rsidRDefault="004C47D8" w:rsidP="004C47D8">
                          <w:pPr>
                            <w:pStyle w:val="af7"/>
                            <w:jc w:val="center"/>
                          </w:pPr>
                          <w:r>
                            <w:fldChar w:fldCharType="begin"/>
                          </w:r>
                          <w:r>
                            <w:instrText xml:space="preserve"> PAGE  \* MERGEFORMAT </w:instrText>
                          </w:r>
                          <w:r>
                            <w:fldChar w:fldCharType="separate"/>
                          </w:r>
                          <w:r>
                            <w:t>1</w:t>
                          </w:r>
                          <w:r>
                            <w:fldChar w:fldCharType="end"/>
                          </w:r>
                        </w:p>
                      </w:txbxContent>
                    </wps:txbx>
                    <wps:bodyPr rot="0" spcFirstLastPara="0" vertOverflow="clip" horzOverflow="clip" vert="horz" wrap="square" lIns="0" tIns="0" rIns="0" bIns="0" numCol="1" spcCol="0" rtlCol="0" fromWordArt="0" anchor="t" anchorCtr="0" forceAA="0" compatLnSpc="1">
                      <a:noAutofit/>
                    </wps:bodyPr>
                  </wps:wsp>
                </a:graphicData>
              </a:graphic>
              <wp14:sizeRelH relativeFrom="page">
                <wp14:pctWidth>0</wp14:pctWidth>
              </wp14:sizeRelH>
              <wp14:sizeRelV relativeFrom="page">
                <wp14:pctHeight>0</wp14:pctHeight>
              </wp14:sizeRelV>
            </wp:anchor>
          </w:drawing>
        </mc:Choice>
        <mc:Fallback>
          <w:pict>
            <v:shapetype w14:anchorId="14DCC40E" id="_x0000_t202" coordsize="21600,21600" o:spt="202" path="m,l,21600r21600,l21600,xe">
              <v:stroke joinstyle="miter"/>
              <v:path gradientshapeok="t" o:connecttype="rect"/>
            </v:shapetype>
            <v:shape id="文本框 12" o:spid="_x0000_s1028" type="#_x0000_t202" style="position:absolute;margin-left:214.4pt;margin-top:-3.1pt;width:11.65pt;height:10.9pt;z-index:2516771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" filled="f" stroked="f" strokeweight=".5pt">
              <v:textbox inset="0,0,0,0">
                <w:txbxContent>
                  <w:p w14:paraId="745A1025" w14:textId="77777777" w:rsidR="004C47D8" w:rsidRDefault="004C47D8" w:rsidP="004C47D8">
                    <w:pPr>
                      <w:pStyle w:val="af7"/>
                      <w:jc w:val="center"/>
                    </w:pPr>
                    <w:r>
                      <w:fldChar w:fldCharType="begin"/>
                    </w:r>
                    <w:r>
                      <w:instrText xml:space="preserve"> PAGE  \* MERGEFORMAT </w:instrText>
                    </w:r>
                    <w:r>
                      <w:fldChar w:fldCharType="separate"/>
                    </w:r>
                    <w:r>
                      <w:t>1</w:t>
                    </w:r>
                    <w:r>
                      <w:fldChar w:fldCharType="end"/>
                    </w:r>
                  </w:p>
                </w:txbxContent>
              </v:textbox>
              <w10:wrap anchorx="margin"/>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1791D4" w14:textId="77777777" w:rsidR="00606029" w:rsidRDefault="00EA5B92">
    <w:pPr>
      <w:pStyle w:val="ad"/>
      <w:spacing w:line="14" w:lineRule="auto"/>
      <w:rPr>
        <w:sz w:val="20"/>
      </w:rPr>
    </w:pPr>
    <w:r>
      <w:rPr>
        <w:noProof/>
      </w:rPr>
      <mc:AlternateContent>
        <mc:Choice Requires="wps">
          <w:drawing>
            <wp:anchor distT="0" distB="0" distL="114300" distR="114300" simplePos="0" relativeHeight="251662848" behindDoc="0" locked="0" layoutInCell="1" allowOverlap="1" wp14:anchorId="711807FC" wp14:editId="41F7539F">
              <wp:simplePos x="0" y="0"/>
              <wp:positionH relativeFrom="margin">
                <wp:align>center</wp:align>
              </wp:positionH>
              <wp:positionV relativeFrom="paragraph">
                <wp:posOffset>0</wp:posOffset>
              </wp:positionV>
              <wp:extent cx="1828800" cy="1828800"/>
              <wp:effectExtent l="0" t="0" r="0" b="0"/>
              <wp:wrapNone/>
              <wp:docPr id="31" name="文本框 3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3650724" w14:textId="77777777" w:rsidR="00606029" w:rsidRDefault="00EA5B92">
                          <w:pPr>
                            <w:pStyle w:val="af7"/>
                          </w:pPr>
                          <w:r>
                            <w:fldChar w:fldCharType="begin"/>
                          </w:r>
                          <w:r>
                            <w:instrText xml:space="preserve"> PAGE  \* MERGEFORMAT </w:instrText>
                          </w:r>
                          <w:r>
                            <w:fldChar w:fldCharType="separate"/>
                          </w:r>
                          <w:r>
                            <w:t>40</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711807FC" id="_x0000_t202" coordsize="21600,21600" o:spt="202" path="m,l,21600r21600,l21600,xe">
              <v:stroke joinstyle="miter"/>
              <v:path gradientshapeok="t" o:connecttype="rect"/>
            </v:shapetype>
            <v:shape id="文本框 31" o:spid="_x0000_s1029" type="#_x0000_t202" style="position:absolute;left:0;text-align:left;margin-left:0;margin-top:0;width:2in;height:2in;z-index:251662848;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" filled="f" stroked="f" strokeweight=".5pt">
              <v:textbox style="mso-fit-shape-to-text:t" inset="0,0,0,0">
                <w:txbxContent>
                  <w:p w14:paraId="43650724" w14:textId="77777777" w:rsidR="00606029" w:rsidRDefault="00EA5B92">
                    <w:pPr>
                      <w:pStyle w:val="af7"/>
                    </w:pPr>
                    <w:r>
                      <w:fldChar w:fldCharType="begin"/>
                    </w:r>
                    <w:r>
                      <w:instrText xml:space="preserve"> PAGE  \* MERGEFORMAT </w:instrText>
                    </w:r>
                    <w:r>
                      <w:fldChar w:fldCharType="separate"/>
                    </w:r>
                    <w:r>
                      <w:t>40</w:t>
                    </w:r>
                    <w:r>
                      <w:fldChar w:fldCharType="end"/>
                    </w:r>
                  </w:p>
                </w:txbxContent>
              </v:textbox>
              <w10:wrap anchorx="margin"/>
            </v:shape>
          </w:pict>
        </mc:Fallback>
      </mc:AlternateContent>
    </w:r>
    <w:r>
      <w:rPr>
        <w:noProof/>
      </w:rPr>
      <mc:AlternateContent>
        <mc:Choice Requires="wps">
          <w:drawing>
            <wp:anchor distT="0" distB="0" distL="114300" distR="114300" simplePos="0" relativeHeight="251646464" behindDoc="1" locked="0" layoutInCell="1" allowOverlap="1" wp14:anchorId="484FC504" wp14:editId="37460485">
              <wp:simplePos x="0" y="0"/>
              <wp:positionH relativeFrom="page">
                <wp:posOffset>5146040</wp:posOffset>
              </wp:positionH>
              <wp:positionV relativeFrom="page">
                <wp:posOffset>9918700</wp:posOffset>
              </wp:positionV>
              <wp:extent cx="1282700" cy="139700"/>
              <wp:effectExtent l="0" t="0" r="0" b="0"/>
              <wp:wrapNone/>
              <wp:docPr id="1780" name="矩形 1036"/>
              <wp:cNvGraphicFramePr/>
              <a:graphic xmlns:a="http://schemas.openxmlformats.org/drawingml/2006/main">
                <a:graphicData uri="http://schemas.microsoft.com/office/word/2010/wordprocessingShape">
                  <wps:wsp>
                    <wps:cNvSpPr/>
                    <wps:spPr>
                      <a:xfrm>
                        <a:off x="0" y="0"/>
                        <a:ext cx="1282700" cy="139700"/>
                      </a:xfrm>
                      <a:prstGeom prst="rect">
                        <a:avLst/>
                      </a:prstGeom>
                      <a:noFill/>
                      <a:ln>
                        <a:noFill/>
                      </a:ln>
                    </wps:spPr>
                    <wps:txbx>
                      <w:txbxContent>
                        <w:p w14:paraId="62031134" w14:textId="77777777" w:rsidR="00606029" w:rsidRDefault="00606029"/>
                      </w:txbxContent>
                    </wps:txbx>
                    <wps:bodyPr wrap="square" lIns="0" tIns="0" rIns="0" bIns="0" upright="1"/>
                  </wps:wsp>
                </a:graphicData>
              </a:graphic>
            </wp:anchor>
          </w:drawing>
        </mc:Choice>
        <mc:Fallback>
          <w:pict>
            <v:rect w14:anchorId="484FC504" id="矩形 1036" o:spid="_x0000_s1030" style="position:absolute;left:0;text-align:left;margin-left:405.2pt;margin-top:781pt;width:101pt;height:11pt;z-index:-251670016;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" filled="f" stroked="f">
              <v:textbox inset="0,0,0,0">
                <w:txbxContent>
                  <w:p w14:paraId="62031134" w14:textId="77777777" w:rsidR="00606029" w:rsidRDefault="00606029"/>
                </w:txbxContent>
              </v:textbox>
              <w10:wrap anchorx="page" anchory="page"/>
            </v:rect>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275461" w14:textId="77777777" w:rsidR="00606029" w:rsidRDefault="00EA5B92">
    <w:pPr>
      <w:spacing w:line="174" w:lineRule="auto"/>
      <w:rPr>
        <w:rFonts w:eastAsia="Times New Roman"/>
        <w:sz w:val="18"/>
        <w:szCs w:val="18"/>
      </w:rPr>
    </w:pPr>
    <w:r>
      <w:rPr>
        <w:noProof/>
        <w:sz w:val="18"/>
      </w:rPr>
      <mc:AlternateContent>
        <mc:Choice Requires="wps">
          <w:drawing>
            <wp:anchor distT="0" distB="0" distL="114300" distR="114300" simplePos="0" relativeHeight="251667968" behindDoc="0" locked="0" layoutInCell="1" allowOverlap="1" wp14:anchorId="14282288" wp14:editId="62C1886E">
              <wp:simplePos x="0" y="0"/>
              <wp:positionH relativeFrom="margin">
                <wp:align>center</wp:align>
              </wp:positionH>
              <wp:positionV relativeFrom="paragraph">
                <wp:posOffset>0</wp:posOffset>
              </wp:positionV>
              <wp:extent cx="1828800" cy="1828800"/>
              <wp:effectExtent l="0" t="0" r="0" b="0"/>
              <wp:wrapNone/>
              <wp:docPr id="32" name="文本框 3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926A268" w14:textId="77777777" w:rsidR="00606029" w:rsidRDefault="00EA5B92">
                          <w:pPr>
                            <w:pStyle w:val="af7"/>
                          </w:pPr>
                          <w:r>
                            <w:fldChar w:fldCharType="begin"/>
                          </w:r>
                          <w:r>
                            <w:instrText xml:space="preserve"> PAGE  \* MERGEFORMAT </w:instrText>
                          </w:r>
                          <w:r>
                            <w:fldChar w:fldCharType="separate"/>
                          </w:r>
                          <w:r>
                            <w:t>76</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14282288" id="_x0000_t202" coordsize="21600,21600" o:spt="202" path="m,l,21600r21600,l21600,xe">
              <v:stroke joinstyle="miter"/>
              <v:path gradientshapeok="t" o:connecttype="rect"/>
            </v:shapetype>
            <v:shape id="文本框 32" o:spid="_x0000_s1031" type="#_x0000_t202" style="position:absolute;left:0;text-align:left;margin-left:0;margin-top:0;width:2in;height:2in;z-index:251667968;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" filled="f" stroked="f" strokeweight=".5pt">
              <v:textbox style="mso-fit-shape-to-text:t" inset="0,0,0,0">
                <w:txbxContent>
                  <w:p w14:paraId="6926A268" w14:textId="77777777" w:rsidR="00606029" w:rsidRDefault="00EA5B92">
                    <w:pPr>
                      <w:pStyle w:val="af7"/>
                    </w:pPr>
                    <w:r>
                      <w:fldChar w:fldCharType="begin"/>
                    </w:r>
                    <w:r>
                      <w:instrText xml:space="preserve"> PAGE  \* MERGEFORMAT </w:instrText>
                    </w:r>
                    <w:r>
                      <w:fldChar w:fldCharType="separate"/>
                    </w:r>
                    <w:r>
                      <w:t>76</w:t>
                    </w:r>
                    <w:r>
                      <w:fldChar w:fldCharType="end"/>
                    </w:r>
                  </w:p>
                </w:txbxContent>
              </v:textbox>
              <w10:wrap anchorx="margin"/>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EB26B3" w14:textId="77777777" w:rsidR="00606029" w:rsidRDefault="00EA5B92">
    <w:pPr>
      <w:spacing w:line="174" w:lineRule="auto"/>
      <w:rPr>
        <w:rFonts w:eastAsia="Times New Roman"/>
        <w:sz w:val="18"/>
        <w:szCs w:val="18"/>
      </w:rPr>
    </w:pPr>
    <w:r>
      <w:rPr>
        <w:noProof/>
        <w:sz w:val="18"/>
      </w:rPr>
      <mc:AlternateContent>
        <mc:Choice Requires="wps">
          <w:drawing>
            <wp:anchor distT="0" distB="0" distL="114300" distR="114300" simplePos="0" relativeHeight="251673088" behindDoc="0" locked="0" layoutInCell="1" allowOverlap="1" wp14:anchorId="359BD9AD" wp14:editId="5D0C7AFD">
              <wp:simplePos x="0" y="0"/>
              <wp:positionH relativeFrom="margin">
                <wp:posOffset>2695575</wp:posOffset>
              </wp:positionH>
              <wp:positionV relativeFrom="paragraph">
                <wp:posOffset>1270</wp:posOffset>
              </wp:positionV>
              <wp:extent cx="259080" cy="182880"/>
              <wp:effectExtent l="0" t="0" r="7620" b="7620"/>
              <wp:wrapNone/>
              <wp:docPr id="33" name="文本框 33"/>
              <wp:cNvGraphicFramePr/>
              <a:graphic xmlns:a="http://schemas.openxmlformats.org/drawingml/2006/main">
                <a:graphicData uri="http://schemas.microsoft.com/office/word/2010/wordprocessingShape">
                  <wps:wsp>
                    <wps:cNvSpPr txBox="1"/>
                    <wps:spPr>
                      <a:xfrm>
                        <a:off x="0" y="0"/>
                        <a:ext cx="259080" cy="18288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0D0BFB4" w14:textId="77777777" w:rsidR="00606029" w:rsidRDefault="00EA5B92">
                          <w:pPr>
                            <w:pStyle w:val="af7"/>
                          </w:pPr>
                          <w:r>
                            <w:fldChar w:fldCharType="begin"/>
                          </w:r>
                          <w:r>
                            <w:instrText xml:space="preserve"> PAGE  \* MERGEFORMAT </w:instrText>
                          </w:r>
                          <w:r>
                            <w:fldChar w:fldCharType="separate"/>
                          </w:r>
                          <w:r>
                            <w:t>105</w:t>
                          </w:r>
                          <w:r>
                            <w:fldChar w:fldCharType="end"/>
                          </w:r>
                        </w:p>
                      </w:txbxContent>
                    </wps:txbx>
                    <wps:bodyPr rot="0" spcFirstLastPara="0" vertOverflow="overflow" horzOverflow="overflow" vert="horz" wrap="square" lIns="0" tIns="0" rIns="0" bIns="0" numCol="1" spcCol="0" rtlCol="0" fromWordArt="0" anchor="t" anchorCtr="0" forceAA="0" compatLnSpc="1">
                      <a:noAutofit/>
                    </wps:bodyPr>
                  </wps:wsp>
                </a:graphicData>
              </a:graphic>
              <wp14:sizeRelH relativeFrom="margin">
                <wp14:pctWidth>0</wp14:pctWidth>
              </wp14:sizeRelH>
              <wp14:sizeRelV relativeFrom="margin">
                <wp14:pctHeight>0</wp14:pctHeight>
              </wp14:sizeRelV>
            </wp:anchor>
          </w:drawing>
        </mc:Choice>
        <mc:Fallback>
          <w:pict>
            <v:shapetype w14:anchorId="359BD9AD" id="_x0000_t202" coordsize="21600,21600" o:spt="202" path="m,l,21600r21600,l21600,xe">
              <v:stroke joinstyle="miter"/>
              <v:path gradientshapeok="t" o:connecttype="rect"/>
            </v:shapetype>
            <v:shape id="文本框 33" o:spid="_x0000_s1032" type="#_x0000_t202" style="position:absolute;left:0;text-align:left;margin-left:212.25pt;margin-top:.1pt;width:20.4pt;height:14.4pt;z-index:2516730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" filled="f" stroked="f" strokeweight=".5pt">
              <v:textbox inset="0,0,0,0">
                <w:txbxContent>
                  <w:p w14:paraId="20D0BFB4" w14:textId="77777777" w:rsidR="00606029" w:rsidRDefault="00EA5B92">
                    <w:pPr>
                      <w:pStyle w:val="af7"/>
                    </w:pPr>
                    <w:r>
                      <w:fldChar w:fldCharType="begin"/>
                    </w:r>
                    <w:r>
                      <w:instrText xml:space="preserve"> PAGE  \* MERGEFORMAT </w:instrText>
                    </w:r>
                    <w:r>
                      <w:fldChar w:fldCharType="separate"/>
                    </w:r>
                    <w:r>
                      <w:t>105</w:t>
                    </w:r>
                    <w:r>
                      <w:fldChar w:fldCharType="end"/>
                    </w:r>
                  </w:p>
                </w:txbxContent>
              </v:textbox>
              <w10:wrap anchorx="margin"/>
            </v:shape>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B1B881" w14:textId="5B379A93" w:rsidR="00606029" w:rsidRPr="00D0742E" w:rsidRDefault="00D0742E" w:rsidP="00D0742E">
    <w:pPr>
      <w:pStyle w:val="af7"/>
      <w:jc w:val="center"/>
    </w:pPr>
    <w:r>
      <w:fldChar w:fldCharType="begin"/>
    </w:r>
    <w:r>
      <w:instrText>PAGE   \* MERGEFORMAT</w:instrText>
    </w:r>
    <w:r>
      <w:fldChar w:fldCharType="separate"/>
    </w:r>
    <w:r>
      <w:rPr>
        <w:lang w:val="zh-CN"/>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BCA137" w14:textId="77777777" w:rsidR="00C74CF5" w:rsidRDefault="00C74CF5">
      <w:r>
        <w:separator/>
      </w:r>
    </w:p>
  </w:footnote>
  <w:footnote w:type="continuationSeparator" w:id="0">
    <w:p w14:paraId="025CEED0" w14:textId="77777777" w:rsidR="00C74CF5" w:rsidRDefault="00C74CF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A05A3C" w14:textId="77777777" w:rsidR="00606029" w:rsidRDefault="00606029">
    <w:pPr>
      <w:pStyle w:val="af9"/>
      <w:pBdr>
        <w:bottom w:val="none" w:sz="0" w:space="1"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388AEC" w14:textId="049043E3" w:rsidR="00606029" w:rsidRDefault="00241DB6">
    <w:pPr>
      <w:pStyle w:val="af9"/>
      <w:rPr>
        <w:rFonts w:eastAsia="华文楷体"/>
      </w:rPr>
    </w:pPr>
    <w:r w:rsidRPr="00241DB6">
      <w:rPr>
        <w:rFonts w:eastAsia="华文楷体" w:hAnsi="华文楷体" w:hint="eastAsia"/>
      </w:rPr>
      <w:t>大庆市生活垃圾焚烧发电飞灰填埋项目</w:t>
    </w:r>
    <w:r>
      <w:rPr>
        <w:rFonts w:eastAsia="华文楷体" w:hAnsi="华文楷体"/>
      </w:rPr>
      <w:t>环境影响报告书</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72E4C6" w14:textId="3140A56A" w:rsidR="00606029" w:rsidRDefault="007E0939">
    <w:pPr>
      <w:pStyle w:val="af9"/>
      <w:rPr>
        <w:rFonts w:eastAsia="华文楷体"/>
      </w:rPr>
    </w:pPr>
    <w:r w:rsidRPr="007E0939">
      <w:rPr>
        <w:rFonts w:eastAsia="华文楷体" w:hAnsi="华文楷体" w:hint="eastAsia"/>
      </w:rPr>
      <w:t>大庆市生活垃圾焚烧发电飞灰填埋项目</w:t>
    </w:r>
    <w:r>
      <w:rPr>
        <w:rFonts w:eastAsia="华文楷体" w:hAnsi="华文楷体"/>
      </w:rPr>
      <w:t>环境影响报告书</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B1FC49" w14:textId="78AED9FD" w:rsidR="00606029" w:rsidRDefault="00F7188E">
    <w:pPr>
      <w:pBdr>
        <w:bottom w:val="single" w:sz="6" w:space="1" w:color="auto"/>
      </w:pBdr>
      <w:snapToGrid w:val="0"/>
      <w:jc w:val="center"/>
      <w:rPr>
        <w:rFonts w:eastAsia="华文楷体"/>
        <w:sz w:val="18"/>
        <w:szCs w:val="18"/>
      </w:rPr>
    </w:pPr>
    <w:r>
      <w:rPr>
        <w:rFonts w:eastAsia="华文楷体" w:hint="eastAsia"/>
        <w:sz w:val="18"/>
        <w:szCs w:val="18"/>
      </w:rPr>
      <w:t>大庆市生活垃圾焚烧飞灰填埋</w:t>
    </w:r>
    <w:r w:rsidR="00EA5B92">
      <w:rPr>
        <w:rFonts w:eastAsia="华文楷体" w:hint="eastAsia"/>
        <w:sz w:val="18"/>
        <w:szCs w:val="18"/>
      </w:rPr>
      <w:t>项目环境影响报告书</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5CB0C4" w14:textId="16393C6C" w:rsidR="00606029" w:rsidRDefault="0030168F">
    <w:pPr>
      <w:pStyle w:val="af9"/>
      <w:rPr>
        <w:rFonts w:eastAsia="华文楷体"/>
      </w:rPr>
    </w:pPr>
    <w:r>
      <w:rPr>
        <w:rFonts w:eastAsia="华文楷体" w:hAnsi="华文楷体" w:hint="eastAsia"/>
      </w:rPr>
      <w:t>大庆市生活垃圾焚烧飞灰填埋项目</w:t>
    </w:r>
    <w:r w:rsidR="00EA5B92">
      <w:rPr>
        <w:rFonts w:eastAsia="华文楷体" w:hAnsi="华文楷体"/>
      </w:rPr>
      <w:t>环境影响报告书</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0DF777" w14:textId="692EA6A6" w:rsidR="00606029" w:rsidRDefault="00A2349F">
    <w:pPr>
      <w:pStyle w:val="af9"/>
      <w:rPr>
        <w:rFonts w:eastAsia="华文楷体"/>
      </w:rPr>
    </w:pPr>
    <w:r>
      <w:rPr>
        <w:rFonts w:eastAsia="华文楷体" w:hAnsi="华文楷体" w:hint="eastAsia"/>
      </w:rPr>
      <w:t>大庆市生活垃圾焚烧飞灰</w:t>
    </w:r>
    <w:r w:rsidR="00EA5B92">
      <w:rPr>
        <w:rFonts w:eastAsia="华文楷体" w:hAnsi="华文楷体" w:hint="eastAsia"/>
      </w:rPr>
      <w:t>项目</w:t>
    </w:r>
    <w:r w:rsidR="00EA5B92">
      <w:rPr>
        <w:rFonts w:eastAsia="华文楷体" w:hAnsi="华文楷体"/>
      </w:rPr>
      <w:t>环境影响报告书</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39371" w14:textId="3EDE7604" w:rsidR="00606029" w:rsidRDefault="00723F68">
    <w:pPr>
      <w:pStyle w:val="af9"/>
      <w:rPr>
        <w:rFonts w:eastAsia="华文楷体"/>
      </w:rPr>
    </w:pPr>
    <w:r>
      <w:rPr>
        <w:rFonts w:eastAsia="华文楷体" w:hAnsi="华文楷体" w:hint="eastAsia"/>
      </w:rPr>
      <w:t>大庆市生活垃圾焚烧飞灰填埋</w:t>
    </w:r>
    <w:r w:rsidR="00EA5B92">
      <w:rPr>
        <w:rFonts w:eastAsia="华文楷体" w:hAnsi="华文楷体" w:hint="eastAsia"/>
      </w:rPr>
      <w:t>项目</w:t>
    </w:r>
    <w:r w:rsidR="00EA5B92">
      <w:rPr>
        <w:rFonts w:eastAsia="华文楷体" w:hAnsi="华文楷体"/>
      </w:rPr>
      <w:t>环境影响报告书</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FBD37D" w14:textId="0F7F1B45" w:rsidR="00606029" w:rsidRDefault="00F7188E">
    <w:pPr>
      <w:pStyle w:val="af9"/>
      <w:rPr>
        <w:rFonts w:eastAsia="华文楷体"/>
      </w:rPr>
    </w:pPr>
    <w:r>
      <w:rPr>
        <w:rFonts w:eastAsia="华文楷体" w:hAnsi="华文楷体" w:hint="eastAsia"/>
      </w:rPr>
      <w:t>大庆市生活垃圾焚烧飞灰填埋</w:t>
    </w:r>
    <w:r w:rsidR="00EA5B92">
      <w:rPr>
        <w:rFonts w:eastAsia="华文楷体" w:hAnsi="华文楷体" w:hint="eastAsia"/>
      </w:rPr>
      <w:t>项目</w:t>
    </w:r>
    <w:r w:rsidR="00EA5B92">
      <w:rPr>
        <w:rFonts w:eastAsia="华文楷体" w:hAnsi="华文楷体"/>
      </w:rPr>
      <w:t>环境影响报告书</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4BBA9DA"/>
    <w:multiLevelType w:val="singleLevel"/>
    <w:tmpl w:val="4BD0E74C"/>
    <w:lvl w:ilvl="0">
      <w:start w:val="4"/>
      <w:numFmt w:val="decimal"/>
      <w:suff w:val="nothing"/>
      <w:lvlText w:val="（%1）"/>
      <w:lvlJc w:val="left"/>
      <w:rPr>
        <w:lang w:eastAsia="zh-CN"/>
      </w:rPr>
    </w:lvl>
  </w:abstractNum>
  <w:abstractNum w:abstractNumId="1" w15:restartNumberingAfterBreak="0">
    <w:nsid w:val="89E0FA0F"/>
    <w:multiLevelType w:val="singleLevel"/>
    <w:tmpl w:val="89E0FA0F"/>
    <w:lvl w:ilvl="0">
      <w:start w:val="1"/>
      <w:numFmt w:val="decimal"/>
      <w:suff w:val="nothing"/>
      <w:lvlText w:val="%1、"/>
      <w:lvlJc w:val="left"/>
    </w:lvl>
  </w:abstractNum>
  <w:abstractNum w:abstractNumId="2" w15:restartNumberingAfterBreak="0">
    <w:nsid w:val="8EF16D37"/>
    <w:multiLevelType w:val="singleLevel"/>
    <w:tmpl w:val="8EF16D37"/>
    <w:lvl w:ilvl="0">
      <w:start w:val="1"/>
      <w:numFmt w:val="chineseCounting"/>
      <w:suff w:val="nothing"/>
      <w:lvlText w:val="%1、"/>
      <w:lvlJc w:val="left"/>
      <w:pPr>
        <w:ind w:left="0" w:firstLine="420"/>
      </w:pPr>
      <w:rPr>
        <w:rFonts w:hint="eastAsia"/>
      </w:rPr>
    </w:lvl>
  </w:abstractNum>
  <w:abstractNum w:abstractNumId="3" w15:restartNumberingAfterBreak="0">
    <w:nsid w:val="941F2499"/>
    <w:multiLevelType w:val="singleLevel"/>
    <w:tmpl w:val="941F2499"/>
    <w:lvl w:ilvl="0">
      <w:start w:val="1"/>
      <w:numFmt w:val="decimal"/>
      <w:suff w:val="space"/>
      <w:lvlText w:val="%1."/>
      <w:lvlJc w:val="left"/>
    </w:lvl>
  </w:abstractNum>
  <w:abstractNum w:abstractNumId="4" w15:restartNumberingAfterBreak="0">
    <w:nsid w:val="AEB47CAD"/>
    <w:multiLevelType w:val="singleLevel"/>
    <w:tmpl w:val="AEB47CAD"/>
    <w:lvl w:ilvl="0">
      <w:start w:val="1"/>
      <w:numFmt w:val="decimal"/>
      <w:lvlText w:val="%1."/>
      <w:lvlJc w:val="left"/>
      <w:pPr>
        <w:ind w:left="425" w:hanging="425"/>
      </w:pPr>
      <w:rPr>
        <w:rFonts w:hint="default"/>
      </w:rPr>
    </w:lvl>
  </w:abstractNum>
  <w:abstractNum w:abstractNumId="5" w15:restartNumberingAfterBreak="0">
    <w:nsid w:val="BFBA147F"/>
    <w:multiLevelType w:val="singleLevel"/>
    <w:tmpl w:val="BFBA147F"/>
    <w:lvl w:ilvl="0">
      <w:start w:val="1"/>
      <w:numFmt w:val="chineseCounting"/>
      <w:suff w:val="nothing"/>
      <w:lvlText w:val="（%1）"/>
      <w:lvlJc w:val="left"/>
      <w:pPr>
        <w:ind w:left="0" w:firstLine="420"/>
      </w:pPr>
      <w:rPr>
        <w:rFonts w:hint="eastAsia"/>
      </w:rPr>
    </w:lvl>
  </w:abstractNum>
  <w:abstractNum w:abstractNumId="6" w15:restartNumberingAfterBreak="0">
    <w:nsid w:val="E6CBA17B"/>
    <w:multiLevelType w:val="singleLevel"/>
    <w:tmpl w:val="E6CBA17B"/>
    <w:lvl w:ilvl="0">
      <w:start w:val="1"/>
      <w:numFmt w:val="lowerLetter"/>
      <w:suff w:val="nothing"/>
      <w:lvlText w:val="%1）"/>
      <w:lvlJc w:val="left"/>
    </w:lvl>
  </w:abstractNum>
  <w:abstractNum w:abstractNumId="7" w15:restartNumberingAfterBreak="0">
    <w:nsid w:val="FE9749EA"/>
    <w:multiLevelType w:val="singleLevel"/>
    <w:tmpl w:val="FE9749EA"/>
    <w:lvl w:ilvl="0">
      <w:start w:val="1"/>
      <w:numFmt w:val="chineseCounting"/>
      <w:suff w:val="nothing"/>
      <w:lvlText w:val="（%1）"/>
      <w:lvlJc w:val="left"/>
      <w:pPr>
        <w:ind w:left="0" w:firstLine="420"/>
      </w:pPr>
      <w:rPr>
        <w:rFonts w:hint="eastAsia"/>
      </w:rPr>
    </w:lvl>
  </w:abstractNum>
  <w:abstractNum w:abstractNumId="8" w15:restartNumberingAfterBreak="0">
    <w:nsid w:val="00000001"/>
    <w:multiLevelType w:val="singleLevel"/>
    <w:tmpl w:val="00000001"/>
    <w:lvl w:ilvl="0">
      <w:start w:val="1"/>
      <w:numFmt w:val="decimal"/>
      <w:lvlText w:val="%1)"/>
      <w:lvlJc w:val="left"/>
      <w:pPr>
        <w:ind w:left="425" w:hanging="425"/>
      </w:pPr>
      <w:rPr>
        <w:rFonts w:hint="default"/>
      </w:rPr>
    </w:lvl>
  </w:abstractNum>
  <w:abstractNum w:abstractNumId="9" w15:restartNumberingAfterBreak="0">
    <w:nsid w:val="00000004"/>
    <w:multiLevelType w:val="singleLevel"/>
    <w:tmpl w:val="00000004"/>
    <w:lvl w:ilvl="0">
      <w:start w:val="1"/>
      <w:numFmt w:val="decimal"/>
      <w:pStyle w:val="11"/>
      <w:suff w:val="nothing"/>
      <w:lvlText w:val="表7.6-%1  "/>
      <w:lvlJc w:val="left"/>
      <w:pPr>
        <w:tabs>
          <w:tab w:val="left" w:pos="0"/>
        </w:tabs>
        <w:ind w:left="0" w:firstLine="420"/>
      </w:pPr>
      <w:rPr>
        <w:rFonts w:ascii="Times New Roman" w:eastAsia="宋体" w:hAnsi="Times New Roman" w:cs="宋体" w:hint="default"/>
        <w:sz w:val="21"/>
        <w:szCs w:val="21"/>
      </w:rPr>
    </w:lvl>
  </w:abstractNum>
  <w:abstractNum w:abstractNumId="10" w15:restartNumberingAfterBreak="0">
    <w:nsid w:val="00000006"/>
    <w:multiLevelType w:val="multilevel"/>
    <w:tmpl w:val="00000006"/>
    <w:lvl w:ilvl="0">
      <w:start w:val="1"/>
      <w:numFmt w:val="decimal"/>
      <w:pStyle w:val="8"/>
      <w:suff w:val="nothing"/>
      <w:lvlText w:val="表6.2-%1  "/>
      <w:lvlJc w:val="left"/>
      <w:pPr>
        <w:tabs>
          <w:tab w:val="left" w:pos="0"/>
        </w:tabs>
        <w:ind w:left="0" w:firstLine="400"/>
      </w:pPr>
      <w:rPr>
        <w:rFonts w:ascii="Times New Roman" w:eastAsia="宋体" w:hAnsi="Times New Roman" w:cs="Times New Roman" w:hint="default"/>
        <w:sz w:val="21"/>
        <w:szCs w:val="21"/>
      </w:rPr>
    </w:lvl>
    <w:lvl w:ilvl="1">
      <w:start w:val="1"/>
      <w:numFmt w:val="decimal"/>
      <w:suff w:val="nothing"/>
      <w:lvlText w:val="%2．"/>
      <w:lvlJc w:val="left"/>
      <w:pPr>
        <w:ind w:left="0" w:firstLine="400"/>
      </w:pPr>
      <w:rPr>
        <w:rFonts w:hint="eastAsia"/>
      </w:rPr>
    </w:lvl>
    <w:lvl w:ilvl="2">
      <w:start w:val="1"/>
      <w:numFmt w:val="decimal"/>
      <w:suff w:val="nothing"/>
      <w:lvlText w:val="（%3）"/>
      <w:lvlJc w:val="left"/>
      <w:pPr>
        <w:ind w:left="0" w:firstLine="402"/>
      </w:pPr>
      <w:rPr>
        <w:rFonts w:hint="eastAsia"/>
      </w:rPr>
    </w:lvl>
    <w:lvl w:ilvl="3">
      <w:start w:val="1"/>
      <w:numFmt w:val="decimalEnclosedCircleChinese"/>
      <w:suff w:val="nothing"/>
      <w:lvlText w:val="%4 "/>
      <w:lvlJc w:val="left"/>
      <w:pPr>
        <w:ind w:left="0" w:firstLine="402"/>
      </w:pPr>
      <w:rPr>
        <w:rFonts w:hint="eastAsia"/>
      </w:rPr>
    </w:lvl>
    <w:lvl w:ilvl="4">
      <w:start w:val="1"/>
      <w:numFmt w:val="decimal"/>
      <w:suff w:val="nothing"/>
      <w:lvlText w:val="%5）"/>
      <w:lvlJc w:val="left"/>
      <w:pPr>
        <w:ind w:left="0" w:firstLine="402"/>
      </w:pPr>
      <w:rPr>
        <w:rFonts w:hint="eastAsia"/>
      </w:rPr>
    </w:lvl>
    <w:lvl w:ilvl="5">
      <w:start w:val="1"/>
      <w:numFmt w:val="lowerLetter"/>
      <w:suff w:val="nothing"/>
      <w:lvlText w:val="%6．"/>
      <w:lvlJc w:val="left"/>
      <w:pPr>
        <w:ind w:left="0" w:firstLine="402"/>
      </w:pPr>
      <w:rPr>
        <w:rFonts w:hint="eastAsia"/>
      </w:rPr>
    </w:lvl>
    <w:lvl w:ilvl="6">
      <w:start w:val="1"/>
      <w:numFmt w:val="lowerLetter"/>
      <w:suff w:val="nothing"/>
      <w:lvlText w:val="%7）"/>
      <w:lvlJc w:val="left"/>
      <w:pPr>
        <w:ind w:left="0" w:firstLine="402"/>
      </w:pPr>
      <w:rPr>
        <w:rFonts w:hint="eastAsia"/>
      </w:rPr>
    </w:lvl>
    <w:lvl w:ilvl="7">
      <w:start w:val="1"/>
      <w:numFmt w:val="lowerRoman"/>
      <w:suff w:val="nothing"/>
      <w:lvlText w:val="%8. "/>
      <w:lvlJc w:val="left"/>
      <w:pPr>
        <w:ind w:left="0" w:firstLine="402"/>
      </w:pPr>
      <w:rPr>
        <w:rFonts w:hint="eastAsia"/>
      </w:rPr>
    </w:lvl>
    <w:lvl w:ilvl="8">
      <w:start w:val="1"/>
      <w:numFmt w:val="lowerRoman"/>
      <w:suff w:val="nothing"/>
      <w:lvlText w:val="%9）"/>
      <w:lvlJc w:val="left"/>
      <w:pPr>
        <w:ind w:left="0" w:firstLine="402"/>
      </w:pPr>
      <w:rPr>
        <w:rFonts w:hint="eastAsia"/>
      </w:rPr>
    </w:lvl>
  </w:abstractNum>
  <w:abstractNum w:abstractNumId="11" w15:restartNumberingAfterBreak="0">
    <w:nsid w:val="00000007"/>
    <w:multiLevelType w:val="singleLevel"/>
    <w:tmpl w:val="00000007"/>
    <w:lvl w:ilvl="0">
      <w:start w:val="1"/>
      <w:numFmt w:val="decimal"/>
      <w:suff w:val="nothing"/>
      <w:lvlText w:val="表7.5-%1  "/>
      <w:lvlJc w:val="left"/>
      <w:pPr>
        <w:ind w:left="0" w:firstLine="420"/>
      </w:pPr>
      <w:rPr>
        <w:rFonts w:hint="default"/>
        <w:sz w:val="21"/>
        <w:szCs w:val="21"/>
      </w:rPr>
    </w:lvl>
  </w:abstractNum>
  <w:abstractNum w:abstractNumId="12" w15:restartNumberingAfterBreak="0">
    <w:nsid w:val="00000008"/>
    <w:multiLevelType w:val="singleLevel"/>
    <w:tmpl w:val="00000008"/>
    <w:lvl w:ilvl="0">
      <w:start w:val="1"/>
      <w:numFmt w:val="decimal"/>
      <w:suff w:val="nothing"/>
      <w:lvlText w:val="（%1）"/>
      <w:lvlJc w:val="left"/>
    </w:lvl>
  </w:abstractNum>
  <w:abstractNum w:abstractNumId="13" w15:restartNumberingAfterBreak="0">
    <w:nsid w:val="0000000A"/>
    <w:multiLevelType w:val="singleLevel"/>
    <w:tmpl w:val="0000000A"/>
    <w:lvl w:ilvl="0">
      <w:start w:val="1"/>
      <w:numFmt w:val="lowerLetter"/>
      <w:pStyle w:val="a"/>
      <w:lvlText w:val="%1）"/>
      <w:lvlJc w:val="left"/>
      <w:pPr>
        <w:ind w:left="420" w:hanging="420"/>
      </w:pPr>
      <w:rPr>
        <w:rFonts w:hint="eastAsia"/>
      </w:rPr>
    </w:lvl>
  </w:abstractNum>
  <w:abstractNum w:abstractNumId="14" w15:restartNumberingAfterBreak="0">
    <w:nsid w:val="0000000B"/>
    <w:multiLevelType w:val="singleLevel"/>
    <w:tmpl w:val="0000000B"/>
    <w:lvl w:ilvl="0">
      <w:start w:val="1"/>
      <w:numFmt w:val="bullet"/>
      <w:pStyle w:val="a0"/>
      <w:lvlText w:val=""/>
      <w:lvlJc w:val="left"/>
      <w:pPr>
        <w:tabs>
          <w:tab w:val="left" w:pos="360"/>
        </w:tabs>
        <w:ind w:left="360" w:hanging="360"/>
      </w:pPr>
      <w:rPr>
        <w:rFonts w:ascii="Wingdings" w:hAnsi="Wingdings" w:hint="default"/>
      </w:rPr>
    </w:lvl>
  </w:abstractNum>
  <w:abstractNum w:abstractNumId="15" w15:restartNumberingAfterBreak="0">
    <w:nsid w:val="0000000D"/>
    <w:multiLevelType w:val="singleLevel"/>
    <w:tmpl w:val="0000000D"/>
    <w:lvl w:ilvl="0">
      <w:start w:val="1"/>
      <w:numFmt w:val="decimal"/>
      <w:pStyle w:val="9"/>
      <w:suff w:val="nothing"/>
      <w:lvlText w:val="图6.2-%1  "/>
      <w:lvlJc w:val="left"/>
      <w:pPr>
        <w:tabs>
          <w:tab w:val="left" w:pos="0"/>
        </w:tabs>
        <w:ind w:left="0" w:firstLine="420"/>
      </w:pPr>
      <w:rPr>
        <w:rFonts w:ascii="Times New Roman" w:eastAsia="宋体" w:hAnsi="Times New Roman" w:cs="宋体" w:hint="default"/>
      </w:rPr>
    </w:lvl>
  </w:abstractNum>
  <w:abstractNum w:abstractNumId="16" w15:restartNumberingAfterBreak="0">
    <w:nsid w:val="0000000E"/>
    <w:multiLevelType w:val="singleLevel"/>
    <w:tmpl w:val="0000000E"/>
    <w:lvl w:ilvl="0">
      <w:start w:val="1"/>
      <w:numFmt w:val="decimal"/>
      <w:lvlText w:val="%1)"/>
      <w:lvlJc w:val="left"/>
      <w:pPr>
        <w:ind w:left="425" w:hanging="425"/>
      </w:pPr>
      <w:rPr>
        <w:rFonts w:hint="default"/>
      </w:rPr>
    </w:lvl>
  </w:abstractNum>
  <w:abstractNum w:abstractNumId="17" w15:restartNumberingAfterBreak="0">
    <w:nsid w:val="02059E03"/>
    <w:multiLevelType w:val="singleLevel"/>
    <w:tmpl w:val="02059E03"/>
    <w:lvl w:ilvl="0">
      <w:start w:val="1"/>
      <w:numFmt w:val="chineseCounting"/>
      <w:suff w:val="nothing"/>
      <w:lvlText w:val="%1、"/>
      <w:lvlJc w:val="left"/>
      <w:pPr>
        <w:ind w:left="0" w:firstLine="420"/>
      </w:pPr>
      <w:rPr>
        <w:rFonts w:hint="eastAsia"/>
      </w:rPr>
    </w:lvl>
  </w:abstractNum>
  <w:abstractNum w:abstractNumId="18" w15:restartNumberingAfterBreak="0">
    <w:nsid w:val="0242E044"/>
    <w:multiLevelType w:val="singleLevel"/>
    <w:tmpl w:val="0242E044"/>
    <w:lvl w:ilvl="0">
      <w:start w:val="1"/>
      <w:numFmt w:val="chineseCounting"/>
      <w:suff w:val="nothing"/>
      <w:lvlText w:val="（%1）"/>
      <w:lvlJc w:val="left"/>
      <w:pPr>
        <w:ind w:left="0" w:firstLine="420"/>
      </w:pPr>
      <w:rPr>
        <w:rFonts w:hint="eastAsia"/>
      </w:rPr>
    </w:lvl>
  </w:abstractNum>
  <w:abstractNum w:abstractNumId="19" w15:restartNumberingAfterBreak="0">
    <w:nsid w:val="06CA1E91"/>
    <w:multiLevelType w:val="multilevel"/>
    <w:tmpl w:val="06CA1E91"/>
    <w:lvl w:ilvl="0">
      <w:start w:val="1"/>
      <w:numFmt w:val="decimal"/>
      <w:lvlText w:val="(%1)"/>
      <w:lvlJc w:val="left"/>
      <w:pPr>
        <w:ind w:left="0" w:firstLine="0"/>
      </w:pPr>
      <w:rPr>
        <w:rFonts w:hint="default"/>
        <w:i w:val="0"/>
        <w:iCs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0" w15:restartNumberingAfterBreak="0">
    <w:nsid w:val="071E442E"/>
    <w:multiLevelType w:val="multilevel"/>
    <w:tmpl w:val="071E442E"/>
    <w:lvl w:ilvl="0">
      <w:start w:val="1"/>
      <w:numFmt w:val="decimal"/>
      <w:lvlText w:val="(%1)"/>
      <w:lvlJc w:val="left"/>
      <w:pPr>
        <w:tabs>
          <w:tab w:val="left" w:pos="420"/>
        </w:tabs>
        <w:ind w:left="420" w:hanging="420"/>
      </w:pPr>
      <w:rPr>
        <w:rFonts w:hint="default"/>
        <w:i w:val="0"/>
        <w:iCs w:val="0"/>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1" w15:restartNumberingAfterBreak="0">
    <w:nsid w:val="1429231A"/>
    <w:multiLevelType w:val="multilevel"/>
    <w:tmpl w:val="1429231A"/>
    <w:lvl w:ilvl="0">
      <w:start w:val="1"/>
      <w:numFmt w:val="decimal"/>
      <w:suff w:val="nothing"/>
      <w:lvlText w:val="%1"/>
      <w:lvlJc w:val="left"/>
      <w:pPr>
        <w:ind w:left="0" w:firstLine="0"/>
      </w:pPr>
      <w:rPr>
        <w:rFonts w:hint="eastAsia"/>
      </w:rPr>
    </w:lvl>
    <w:lvl w:ilvl="1">
      <w:start w:val="1"/>
      <w:numFmt w:val="lowerLetter"/>
      <w:lvlText w:val="%2)"/>
      <w:lvlJc w:val="left"/>
      <w:pPr>
        <w:ind w:left="992" w:hanging="420"/>
      </w:pPr>
      <w:rPr>
        <w:rFonts w:hint="eastAsia"/>
      </w:rPr>
    </w:lvl>
    <w:lvl w:ilvl="2">
      <w:start w:val="1"/>
      <w:numFmt w:val="lowerRoman"/>
      <w:lvlText w:val="%3."/>
      <w:lvlJc w:val="right"/>
      <w:pPr>
        <w:ind w:left="1412" w:hanging="420"/>
      </w:pPr>
      <w:rPr>
        <w:rFonts w:hint="eastAsia"/>
      </w:rPr>
    </w:lvl>
    <w:lvl w:ilvl="3">
      <w:start w:val="1"/>
      <w:numFmt w:val="decimal"/>
      <w:lvlText w:val="%4."/>
      <w:lvlJc w:val="left"/>
      <w:pPr>
        <w:ind w:left="1832" w:hanging="420"/>
      </w:pPr>
      <w:rPr>
        <w:rFonts w:hint="eastAsia"/>
      </w:rPr>
    </w:lvl>
    <w:lvl w:ilvl="4">
      <w:start w:val="1"/>
      <w:numFmt w:val="lowerLetter"/>
      <w:lvlText w:val="%5)"/>
      <w:lvlJc w:val="left"/>
      <w:pPr>
        <w:ind w:left="2252" w:hanging="420"/>
      </w:pPr>
      <w:rPr>
        <w:rFonts w:hint="eastAsia"/>
      </w:rPr>
    </w:lvl>
    <w:lvl w:ilvl="5">
      <w:start w:val="1"/>
      <w:numFmt w:val="lowerRoman"/>
      <w:lvlText w:val="%6."/>
      <w:lvlJc w:val="right"/>
      <w:pPr>
        <w:ind w:left="2672" w:hanging="420"/>
      </w:pPr>
      <w:rPr>
        <w:rFonts w:hint="eastAsia"/>
      </w:rPr>
    </w:lvl>
    <w:lvl w:ilvl="6">
      <w:start w:val="1"/>
      <w:numFmt w:val="decimal"/>
      <w:lvlText w:val="%7."/>
      <w:lvlJc w:val="left"/>
      <w:pPr>
        <w:ind w:left="3092" w:hanging="420"/>
      </w:pPr>
      <w:rPr>
        <w:rFonts w:hint="eastAsia"/>
      </w:rPr>
    </w:lvl>
    <w:lvl w:ilvl="7">
      <w:start w:val="1"/>
      <w:numFmt w:val="lowerLetter"/>
      <w:lvlText w:val="%8)"/>
      <w:lvlJc w:val="left"/>
      <w:pPr>
        <w:ind w:left="3512" w:hanging="420"/>
      </w:pPr>
      <w:rPr>
        <w:rFonts w:hint="eastAsia"/>
      </w:rPr>
    </w:lvl>
    <w:lvl w:ilvl="8">
      <w:start w:val="1"/>
      <w:numFmt w:val="lowerRoman"/>
      <w:lvlText w:val="%9."/>
      <w:lvlJc w:val="right"/>
      <w:pPr>
        <w:ind w:left="3932" w:hanging="420"/>
      </w:pPr>
      <w:rPr>
        <w:rFonts w:hint="eastAsia"/>
      </w:rPr>
    </w:lvl>
  </w:abstractNum>
  <w:abstractNum w:abstractNumId="22" w15:restartNumberingAfterBreak="0">
    <w:nsid w:val="31996F7E"/>
    <w:multiLevelType w:val="multilevel"/>
    <w:tmpl w:val="31996F7E"/>
    <w:lvl w:ilvl="0">
      <w:start w:val="1"/>
      <w:numFmt w:val="chineseCountingThousand"/>
      <w:lvlText w:val="(%1)"/>
      <w:lvlJc w:val="left"/>
      <w:pPr>
        <w:tabs>
          <w:tab w:val="left" w:pos="113"/>
        </w:tabs>
        <w:ind w:left="0" w:firstLine="0"/>
      </w:pPr>
      <w:rPr>
        <w:rFonts w:hint="eastAsia"/>
      </w:rPr>
    </w:lvl>
    <w:lvl w:ilvl="1">
      <w:start w:val="1"/>
      <w:numFmt w:val="decimal"/>
      <w:lvlText w:val="%2."/>
      <w:lvlJc w:val="left"/>
      <w:pPr>
        <w:tabs>
          <w:tab w:val="left" w:pos="840"/>
        </w:tabs>
        <w:ind w:left="840" w:hanging="420"/>
      </w:pPr>
      <w:rPr>
        <w:rFonts w:hint="eastAsia"/>
      </w:r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3" w15:restartNumberingAfterBreak="0">
    <w:nsid w:val="35390EAF"/>
    <w:multiLevelType w:val="singleLevel"/>
    <w:tmpl w:val="35390EAF"/>
    <w:lvl w:ilvl="0">
      <w:start w:val="1"/>
      <w:numFmt w:val="decimal"/>
      <w:suff w:val="space"/>
      <w:lvlText w:val="%1."/>
      <w:lvlJc w:val="left"/>
    </w:lvl>
  </w:abstractNum>
  <w:abstractNum w:abstractNumId="24" w15:restartNumberingAfterBreak="0">
    <w:nsid w:val="3F4A302C"/>
    <w:multiLevelType w:val="multilevel"/>
    <w:tmpl w:val="3F4A302C"/>
    <w:lvl w:ilvl="0">
      <w:start w:val="1"/>
      <w:numFmt w:val="decimal"/>
      <w:lvlText w:val="%1."/>
      <w:lvlJc w:val="left"/>
      <w:pPr>
        <w:tabs>
          <w:tab w:val="left" w:pos="420"/>
        </w:tabs>
        <w:ind w:left="420" w:hanging="420"/>
      </w:pPr>
      <w:rPr>
        <w:rFonts w:hint="default"/>
        <w:i w:val="0"/>
        <w:iCs w:val="0"/>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5" w15:restartNumberingAfterBreak="0">
    <w:nsid w:val="419B30FF"/>
    <w:multiLevelType w:val="singleLevel"/>
    <w:tmpl w:val="419B30FF"/>
    <w:lvl w:ilvl="0">
      <w:start w:val="1"/>
      <w:numFmt w:val="decimal"/>
      <w:suff w:val="space"/>
      <w:lvlText w:val="%1."/>
      <w:lvlJc w:val="left"/>
    </w:lvl>
  </w:abstractNum>
  <w:abstractNum w:abstractNumId="26" w15:restartNumberingAfterBreak="0">
    <w:nsid w:val="46257D95"/>
    <w:multiLevelType w:val="singleLevel"/>
    <w:tmpl w:val="46257D95"/>
    <w:lvl w:ilvl="0">
      <w:start w:val="1"/>
      <w:numFmt w:val="decimal"/>
      <w:lvlText w:val="%1."/>
      <w:lvlJc w:val="left"/>
      <w:pPr>
        <w:ind w:left="425" w:hanging="425"/>
      </w:pPr>
      <w:rPr>
        <w:rFonts w:hint="default"/>
      </w:rPr>
    </w:lvl>
  </w:abstractNum>
  <w:abstractNum w:abstractNumId="27" w15:restartNumberingAfterBreak="0">
    <w:nsid w:val="4D3A5E09"/>
    <w:multiLevelType w:val="multilevel"/>
    <w:tmpl w:val="4D3A5E09"/>
    <w:lvl w:ilvl="0">
      <w:start w:val="1"/>
      <w:numFmt w:val="decimal"/>
      <w:lvlText w:val="%1."/>
      <w:lvlJc w:val="left"/>
      <w:pPr>
        <w:tabs>
          <w:tab w:val="left" w:pos="284"/>
        </w:tabs>
        <w:ind w:left="284" w:hanging="284"/>
      </w:pPr>
      <w:rPr>
        <w:rFonts w:hint="eastAsia"/>
        <w:b w:val="0"/>
        <w:i w:val="0"/>
      </w:rPr>
    </w:lvl>
    <w:lvl w:ilvl="1">
      <w:start w:val="1"/>
      <w:numFmt w:val="decimal"/>
      <w:lvlText w:val="(%2)"/>
      <w:lvlJc w:val="left"/>
      <w:pPr>
        <w:tabs>
          <w:tab w:val="left" w:pos="840"/>
        </w:tabs>
        <w:ind w:left="840" w:hanging="420"/>
      </w:pPr>
      <w:rPr>
        <w:rFonts w:hint="eastAsia"/>
        <w:i w:val="0"/>
        <w:sz w:val="19"/>
      </w:r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8" w15:restartNumberingAfterBreak="0">
    <w:nsid w:val="4DA568C1"/>
    <w:multiLevelType w:val="multilevel"/>
    <w:tmpl w:val="4DA568C1"/>
    <w:lvl w:ilvl="0">
      <w:start w:val="1"/>
      <w:numFmt w:val="decimal"/>
      <w:suff w:val="nothing"/>
      <w:lvlText w:val="%1"/>
      <w:lvlJc w:val="left"/>
      <w:pPr>
        <w:ind w:left="0" w:firstLine="0"/>
      </w:pPr>
      <w:rPr>
        <w:rFonts w:hint="eastAsia"/>
      </w:rPr>
    </w:lvl>
    <w:lvl w:ilvl="1">
      <w:start w:val="1"/>
      <w:numFmt w:val="lowerLetter"/>
      <w:lvlText w:val="%2)"/>
      <w:lvlJc w:val="left"/>
      <w:pPr>
        <w:ind w:left="992" w:hanging="420"/>
      </w:pPr>
      <w:rPr>
        <w:rFonts w:hint="eastAsia"/>
      </w:rPr>
    </w:lvl>
    <w:lvl w:ilvl="2">
      <w:start w:val="1"/>
      <w:numFmt w:val="lowerRoman"/>
      <w:lvlText w:val="%3."/>
      <w:lvlJc w:val="right"/>
      <w:pPr>
        <w:ind w:left="1412" w:hanging="420"/>
      </w:pPr>
      <w:rPr>
        <w:rFonts w:hint="eastAsia"/>
      </w:rPr>
    </w:lvl>
    <w:lvl w:ilvl="3">
      <w:start w:val="1"/>
      <w:numFmt w:val="decimal"/>
      <w:lvlText w:val="%4."/>
      <w:lvlJc w:val="left"/>
      <w:pPr>
        <w:ind w:left="1832" w:hanging="420"/>
      </w:pPr>
      <w:rPr>
        <w:rFonts w:hint="eastAsia"/>
      </w:rPr>
    </w:lvl>
    <w:lvl w:ilvl="4">
      <w:start w:val="1"/>
      <w:numFmt w:val="lowerLetter"/>
      <w:lvlText w:val="%5)"/>
      <w:lvlJc w:val="left"/>
      <w:pPr>
        <w:ind w:left="2252" w:hanging="420"/>
      </w:pPr>
      <w:rPr>
        <w:rFonts w:hint="eastAsia"/>
      </w:rPr>
    </w:lvl>
    <w:lvl w:ilvl="5">
      <w:start w:val="1"/>
      <w:numFmt w:val="lowerRoman"/>
      <w:lvlText w:val="%6."/>
      <w:lvlJc w:val="right"/>
      <w:pPr>
        <w:ind w:left="2672" w:hanging="420"/>
      </w:pPr>
      <w:rPr>
        <w:rFonts w:hint="eastAsia"/>
      </w:rPr>
    </w:lvl>
    <w:lvl w:ilvl="6">
      <w:start w:val="1"/>
      <w:numFmt w:val="decimal"/>
      <w:lvlText w:val="%7."/>
      <w:lvlJc w:val="left"/>
      <w:pPr>
        <w:ind w:left="3092" w:hanging="420"/>
      </w:pPr>
      <w:rPr>
        <w:rFonts w:hint="eastAsia"/>
      </w:rPr>
    </w:lvl>
    <w:lvl w:ilvl="7">
      <w:start w:val="1"/>
      <w:numFmt w:val="lowerLetter"/>
      <w:lvlText w:val="%8)"/>
      <w:lvlJc w:val="left"/>
      <w:pPr>
        <w:ind w:left="3512" w:hanging="420"/>
      </w:pPr>
      <w:rPr>
        <w:rFonts w:hint="eastAsia"/>
      </w:rPr>
    </w:lvl>
    <w:lvl w:ilvl="8">
      <w:start w:val="1"/>
      <w:numFmt w:val="lowerRoman"/>
      <w:lvlText w:val="%9."/>
      <w:lvlJc w:val="right"/>
      <w:pPr>
        <w:ind w:left="3932" w:hanging="420"/>
      </w:pPr>
      <w:rPr>
        <w:rFonts w:hint="eastAsia"/>
      </w:rPr>
    </w:lvl>
  </w:abstractNum>
  <w:abstractNum w:abstractNumId="29" w15:restartNumberingAfterBreak="0">
    <w:nsid w:val="5B854E16"/>
    <w:multiLevelType w:val="multilevel"/>
    <w:tmpl w:val="5B854E16"/>
    <w:lvl w:ilvl="0">
      <w:start w:val="1"/>
      <w:numFmt w:val="decimal"/>
      <w:suff w:val="nothing"/>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0" w15:restartNumberingAfterBreak="0">
    <w:nsid w:val="5FB72A0E"/>
    <w:multiLevelType w:val="multilevel"/>
    <w:tmpl w:val="5FB72A0E"/>
    <w:lvl w:ilvl="0">
      <w:start w:val="1"/>
      <w:numFmt w:val="decimal"/>
      <w:suff w:val="nothing"/>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1" w15:restartNumberingAfterBreak="0">
    <w:nsid w:val="61911DBA"/>
    <w:multiLevelType w:val="singleLevel"/>
    <w:tmpl w:val="61911DBA"/>
    <w:lvl w:ilvl="0">
      <w:start w:val="1"/>
      <w:numFmt w:val="decimal"/>
      <w:suff w:val="nothing"/>
      <w:lvlText w:val="%1、"/>
      <w:lvlJc w:val="left"/>
    </w:lvl>
  </w:abstractNum>
  <w:abstractNum w:abstractNumId="32" w15:restartNumberingAfterBreak="0">
    <w:nsid w:val="7857474B"/>
    <w:multiLevelType w:val="singleLevel"/>
    <w:tmpl w:val="7857474B"/>
    <w:lvl w:ilvl="0">
      <w:start w:val="3"/>
      <w:numFmt w:val="decimal"/>
      <w:suff w:val="nothing"/>
      <w:lvlText w:val="%1、"/>
      <w:lvlJc w:val="left"/>
    </w:lvl>
  </w:abstractNum>
  <w:abstractNum w:abstractNumId="33" w15:restartNumberingAfterBreak="0">
    <w:nsid w:val="7BD20558"/>
    <w:multiLevelType w:val="multilevel"/>
    <w:tmpl w:val="7BD20558"/>
    <w:lvl w:ilvl="0">
      <w:start w:val="1"/>
      <w:numFmt w:val="decimal"/>
      <w:lvlText w:val="%1."/>
      <w:lvlJc w:val="left"/>
      <w:pPr>
        <w:tabs>
          <w:tab w:val="left" w:pos="420"/>
        </w:tabs>
        <w:ind w:left="420"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34" w15:restartNumberingAfterBreak="0">
    <w:nsid w:val="7FD68BE3"/>
    <w:multiLevelType w:val="singleLevel"/>
    <w:tmpl w:val="7FD68BE3"/>
    <w:lvl w:ilvl="0">
      <w:start w:val="1"/>
      <w:numFmt w:val="decimal"/>
      <w:suff w:val="space"/>
      <w:lvlText w:val="%1."/>
      <w:lvlJc w:val="left"/>
    </w:lvl>
  </w:abstractNum>
  <w:num w:numId="1" w16cid:durableId="703821946">
    <w:abstractNumId w:val="13"/>
  </w:num>
  <w:num w:numId="2" w16cid:durableId="16515610">
    <w:abstractNumId w:val="14"/>
  </w:num>
  <w:num w:numId="3" w16cid:durableId="2091463440">
    <w:abstractNumId w:val="10"/>
  </w:num>
  <w:num w:numId="4" w16cid:durableId="785664502">
    <w:abstractNumId w:val="15"/>
  </w:num>
  <w:num w:numId="5" w16cid:durableId="669672311">
    <w:abstractNumId w:val="9"/>
  </w:num>
  <w:num w:numId="6" w16cid:durableId="1800997954">
    <w:abstractNumId w:val="25"/>
  </w:num>
  <w:num w:numId="7" w16cid:durableId="1704286727">
    <w:abstractNumId w:val="34"/>
  </w:num>
  <w:num w:numId="8" w16cid:durableId="830945798">
    <w:abstractNumId w:val="23"/>
  </w:num>
  <w:num w:numId="9" w16cid:durableId="952591412">
    <w:abstractNumId w:val="3"/>
  </w:num>
  <w:num w:numId="10" w16cid:durableId="576668579">
    <w:abstractNumId w:val="21"/>
  </w:num>
  <w:num w:numId="11" w16cid:durableId="1974407375">
    <w:abstractNumId w:val="29"/>
  </w:num>
  <w:num w:numId="12" w16cid:durableId="655383622">
    <w:abstractNumId w:val="30"/>
  </w:num>
  <w:num w:numId="13" w16cid:durableId="1062170524">
    <w:abstractNumId w:val="0"/>
  </w:num>
  <w:num w:numId="14" w16cid:durableId="461774745">
    <w:abstractNumId w:val="28"/>
  </w:num>
  <w:num w:numId="15" w16cid:durableId="622418796">
    <w:abstractNumId w:val="17"/>
  </w:num>
  <w:num w:numId="16" w16cid:durableId="93330298">
    <w:abstractNumId w:val="7"/>
  </w:num>
  <w:num w:numId="17" w16cid:durableId="443841021">
    <w:abstractNumId w:val="4"/>
  </w:num>
  <w:num w:numId="18" w16cid:durableId="1598442481">
    <w:abstractNumId w:val="19"/>
  </w:num>
  <w:num w:numId="19" w16cid:durableId="1894071833">
    <w:abstractNumId w:val="26"/>
  </w:num>
  <w:num w:numId="20" w16cid:durableId="1937398483">
    <w:abstractNumId w:val="24"/>
  </w:num>
  <w:num w:numId="21" w16cid:durableId="479661820">
    <w:abstractNumId w:val="22"/>
  </w:num>
  <w:num w:numId="22" w16cid:durableId="1251697419">
    <w:abstractNumId w:val="20"/>
  </w:num>
  <w:num w:numId="23" w16cid:durableId="364597536">
    <w:abstractNumId w:val="2"/>
  </w:num>
  <w:num w:numId="24" w16cid:durableId="593825732">
    <w:abstractNumId w:val="5"/>
  </w:num>
  <w:num w:numId="25" w16cid:durableId="1810708259">
    <w:abstractNumId w:val="33"/>
  </w:num>
  <w:num w:numId="26" w16cid:durableId="1568342136">
    <w:abstractNumId w:val="18"/>
  </w:num>
  <w:num w:numId="27" w16cid:durableId="154149624">
    <w:abstractNumId w:val="27"/>
  </w:num>
  <w:num w:numId="28" w16cid:durableId="1606575009">
    <w:abstractNumId w:val="32"/>
  </w:num>
  <w:num w:numId="29" w16cid:durableId="1887253259">
    <w:abstractNumId w:val="6"/>
  </w:num>
  <w:num w:numId="30" w16cid:durableId="1800417021">
    <w:abstractNumId w:val="11"/>
  </w:num>
  <w:num w:numId="31" w16cid:durableId="2021814287">
    <w:abstractNumId w:val="1"/>
  </w:num>
  <w:num w:numId="32" w16cid:durableId="800342625">
    <w:abstractNumId w:val="12"/>
  </w:num>
  <w:num w:numId="33" w16cid:durableId="1701857801">
    <w:abstractNumId w:val="8"/>
  </w:num>
  <w:num w:numId="34" w16cid:durableId="1420131354">
    <w:abstractNumId w:val="16"/>
  </w:num>
  <w:num w:numId="35" w16cid:durableId="356204057">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embedTrueTypeFonts/>
  <w:saveSubset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HorizontalSpacing w:val="210"/>
  <w:drawingGridVerticalSpacing w:val="-7946"/>
  <w:displayVerticalDrawingGridEvery w:val="2"/>
  <w:doNotShadeFormData/>
  <w:noPunctuationKerning/>
  <w:characterSpacingControl w:val="compressPunctuation"/>
  <w:doNotValidateAgainstSchema/>
  <w:doNotDemarcateInvalidXml/>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commondata" w:val="eyJoZGlkIjoiYzQ1NjhkNzMyOWZlYzllNTA1MjcyYjdhZGYwMWU3ZjcifQ=="/>
  </w:docVars>
  <w:rsids>
    <w:rsidRoot w:val="00172A27"/>
    <w:rsid w:val="000000F2"/>
    <w:rsid w:val="00002BA4"/>
    <w:rsid w:val="00005351"/>
    <w:rsid w:val="000115DE"/>
    <w:rsid w:val="00012EFF"/>
    <w:rsid w:val="00014A73"/>
    <w:rsid w:val="00015ED3"/>
    <w:rsid w:val="0001648A"/>
    <w:rsid w:val="000225D1"/>
    <w:rsid w:val="00030DC0"/>
    <w:rsid w:val="00031C60"/>
    <w:rsid w:val="0003327E"/>
    <w:rsid w:val="00035046"/>
    <w:rsid w:val="00041F98"/>
    <w:rsid w:val="00042CA7"/>
    <w:rsid w:val="0004469A"/>
    <w:rsid w:val="000457B8"/>
    <w:rsid w:val="00046682"/>
    <w:rsid w:val="000466C5"/>
    <w:rsid w:val="00053ED2"/>
    <w:rsid w:val="00054F86"/>
    <w:rsid w:val="000566AF"/>
    <w:rsid w:val="00062985"/>
    <w:rsid w:val="00062B25"/>
    <w:rsid w:val="00064EB9"/>
    <w:rsid w:val="0006628B"/>
    <w:rsid w:val="00072343"/>
    <w:rsid w:val="000725F3"/>
    <w:rsid w:val="000771AB"/>
    <w:rsid w:val="00085621"/>
    <w:rsid w:val="00090B67"/>
    <w:rsid w:val="0009453C"/>
    <w:rsid w:val="00096391"/>
    <w:rsid w:val="000B3B3E"/>
    <w:rsid w:val="000C41C0"/>
    <w:rsid w:val="000D0D90"/>
    <w:rsid w:val="000D5E22"/>
    <w:rsid w:val="000E08A6"/>
    <w:rsid w:val="000E1362"/>
    <w:rsid w:val="000E17CA"/>
    <w:rsid w:val="000E5AC8"/>
    <w:rsid w:val="000E6341"/>
    <w:rsid w:val="000F1294"/>
    <w:rsid w:val="000F60E1"/>
    <w:rsid w:val="00101D44"/>
    <w:rsid w:val="00101DF9"/>
    <w:rsid w:val="001025A4"/>
    <w:rsid w:val="00103838"/>
    <w:rsid w:val="00103897"/>
    <w:rsid w:val="001044C1"/>
    <w:rsid w:val="00112744"/>
    <w:rsid w:val="00113370"/>
    <w:rsid w:val="00114C2D"/>
    <w:rsid w:val="00120393"/>
    <w:rsid w:val="001213A1"/>
    <w:rsid w:val="00123134"/>
    <w:rsid w:val="00124096"/>
    <w:rsid w:val="001250F6"/>
    <w:rsid w:val="001252E2"/>
    <w:rsid w:val="00125DDD"/>
    <w:rsid w:val="00133A92"/>
    <w:rsid w:val="00136955"/>
    <w:rsid w:val="00136CF4"/>
    <w:rsid w:val="001419B3"/>
    <w:rsid w:val="00145B30"/>
    <w:rsid w:val="00155832"/>
    <w:rsid w:val="00157AFB"/>
    <w:rsid w:val="00161A90"/>
    <w:rsid w:val="00163840"/>
    <w:rsid w:val="00164803"/>
    <w:rsid w:val="001654C8"/>
    <w:rsid w:val="00167D89"/>
    <w:rsid w:val="00167DE8"/>
    <w:rsid w:val="00172A27"/>
    <w:rsid w:val="00172E78"/>
    <w:rsid w:val="0017716A"/>
    <w:rsid w:val="00182FC7"/>
    <w:rsid w:val="00184D5E"/>
    <w:rsid w:val="0018614F"/>
    <w:rsid w:val="001A324B"/>
    <w:rsid w:val="001A3A47"/>
    <w:rsid w:val="001C29E8"/>
    <w:rsid w:val="001C2C4C"/>
    <w:rsid w:val="001C4A3B"/>
    <w:rsid w:val="001C52F7"/>
    <w:rsid w:val="001C69A6"/>
    <w:rsid w:val="001D3C39"/>
    <w:rsid w:val="001D5FDF"/>
    <w:rsid w:val="001D7076"/>
    <w:rsid w:val="001E0F7E"/>
    <w:rsid w:val="001E1430"/>
    <w:rsid w:val="001E2BE2"/>
    <w:rsid w:val="001E6EF7"/>
    <w:rsid w:val="001E7416"/>
    <w:rsid w:val="001F1693"/>
    <w:rsid w:val="001F2C05"/>
    <w:rsid w:val="001F425E"/>
    <w:rsid w:val="001F4395"/>
    <w:rsid w:val="001F491B"/>
    <w:rsid w:val="001F4DFC"/>
    <w:rsid w:val="0020120C"/>
    <w:rsid w:val="002023A7"/>
    <w:rsid w:val="002274B2"/>
    <w:rsid w:val="002276D6"/>
    <w:rsid w:val="00232DDB"/>
    <w:rsid w:val="002334E9"/>
    <w:rsid w:val="00233E93"/>
    <w:rsid w:val="00234477"/>
    <w:rsid w:val="00241DB6"/>
    <w:rsid w:val="002438F3"/>
    <w:rsid w:val="00244337"/>
    <w:rsid w:val="002471C8"/>
    <w:rsid w:val="00247725"/>
    <w:rsid w:val="002503F1"/>
    <w:rsid w:val="00250DC0"/>
    <w:rsid w:val="0025353E"/>
    <w:rsid w:val="0025514A"/>
    <w:rsid w:val="00255889"/>
    <w:rsid w:val="00255CF6"/>
    <w:rsid w:val="00256054"/>
    <w:rsid w:val="00260CB4"/>
    <w:rsid w:val="00261F7E"/>
    <w:rsid w:val="00262A3A"/>
    <w:rsid w:val="00262ECA"/>
    <w:rsid w:val="00267376"/>
    <w:rsid w:val="00270BE1"/>
    <w:rsid w:val="00271B73"/>
    <w:rsid w:val="00275400"/>
    <w:rsid w:val="00285363"/>
    <w:rsid w:val="00286EB6"/>
    <w:rsid w:val="002A33A7"/>
    <w:rsid w:val="002A543C"/>
    <w:rsid w:val="002B0DA6"/>
    <w:rsid w:val="002C4349"/>
    <w:rsid w:val="002C4630"/>
    <w:rsid w:val="002C6BAC"/>
    <w:rsid w:val="002D0934"/>
    <w:rsid w:val="002D2A63"/>
    <w:rsid w:val="002D43B5"/>
    <w:rsid w:val="002D6EE2"/>
    <w:rsid w:val="002F17E9"/>
    <w:rsid w:val="002F22F3"/>
    <w:rsid w:val="002F3985"/>
    <w:rsid w:val="002F6E1F"/>
    <w:rsid w:val="0030168F"/>
    <w:rsid w:val="00311AEB"/>
    <w:rsid w:val="003133A2"/>
    <w:rsid w:val="003147C6"/>
    <w:rsid w:val="0031512A"/>
    <w:rsid w:val="003155B3"/>
    <w:rsid w:val="0031635C"/>
    <w:rsid w:val="003334AB"/>
    <w:rsid w:val="00333BBE"/>
    <w:rsid w:val="00335A16"/>
    <w:rsid w:val="00335BF9"/>
    <w:rsid w:val="0033617F"/>
    <w:rsid w:val="00336A9A"/>
    <w:rsid w:val="003370B0"/>
    <w:rsid w:val="003428D3"/>
    <w:rsid w:val="00344708"/>
    <w:rsid w:val="0034685A"/>
    <w:rsid w:val="00347823"/>
    <w:rsid w:val="00351BE5"/>
    <w:rsid w:val="00352E51"/>
    <w:rsid w:val="00352FD1"/>
    <w:rsid w:val="0035403F"/>
    <w:rsid w:val="00360B58"/>
    <w:rsid w:val="00361AC1"/>
    <w:rsid w:val="00362504"/>
    <w:rsid w:val="0036268C"/>
    <w:rsid w:val="00366643"/>
    <w:rsid w:val="003668C7"/>
    <w:rsid w:val="00371C52"/>
    <w:rsid w:val="0037274A"/>
    <w:rsid w:val="0037401C"/>
    <w:rsid w:val="0037546D"/>
    <w:rsid w:val="00375EE2"/>
    <w:rsid w:val="00375FC0"/>
    <w:rsid w:val="00376259"/>
    <w:rsid w:val="0037725E"/>
    <w:rsid w:val="003845E7"/>
    <w:rsid w:val="003847F0"/>
    <w:rsid w:val="003914A1"/>
    <w:rsid w:val="00397075"/>
    <w:rsid w:val="003A0BA6"/>
    <w:rsid w:val="003A398F"/>
    <w:rsid w:val="003B6D9F"/>
    <w:rsid w:val="003C077B"/>
    <w:rsid w:val="003C2387"/>
    <w:rsid w:val="003C2AEE"/>
    <w:rsid w:val="003C3F50"/>
    <w:rsid w:val="003D0EBE"/>
    <w:rsid w:val="003D209A"/>
    <w:rsid w:val="003D404F"/>
    <w:rsid w:val="003D761A"/>
    <w:rsid w:val="003E43E2"/>
    <w:rsid w:val="003E4604"/>
    <w:rsid w:val="003E7448"/>
    <w:rsid w:val="003F056E"/>
    <w:rsid w:val="003F4490"/>
    <w:rsid w:val="003F4522"/>
    <w:rsid w:val="003F53AE"/>
    <w:rsid w:val="00400050"/>
    <w:rsid w:val="00400E37"/>
    <w:rsid w:val="00402326"/>
    <w:rsid w:val="00403C06"/>
    <w:rsid w:val="00407577"/>
    <w:rsid w:val="00410939"/>
    <w:rsid w:val="00413E54"/>
    <w:rsid w:val="00417F2A"/>
    <w:rsid w:val="004208C5"/>
    <w:rsid w:val="00426E52"/>
    <w:rsid w:val="00434142"/>
    <w:rsid w:val="00437A34"/>
    <w:rsid w:val="00445E7C"/>
    <w:rsid w:val="00445EA5"/>
    <w:rsid w:val="004509F6"/>
    <w:rsid w:val="004532C4"/>
    <w:rsid w:val="00455D99"/>
    <w:rsid w:val="004566DE"/>
    <w:rsid w:val="004611C5"/>
    <w:rsid w:val="0046193D"/>
    <w:rsid w:val="00462C44"/>
    <w:rsid w:val="004642E4"/>
    <w:rsid w:val="004716BF"/>
    <w:rsid w:val="00472CC5"/>
    <w:rsid w:val="0047749E"/>
    <w:rsid w:val="00487EFD"/>
    <w:rsid w:val="00493884"/>
    <w:rsid w:val="0049630B"/>
    <w:rsid w:val="004969A4"/>
    <w:rsid w:val="004A21C6"/>
    <w:rsid w:val="004A2F7D"/>
    <w:rsid w:val="004A3F57"/>
    <w:rsid w:val="004A414E"/>
    <w:rsid w:val="004A44B7"/>
    <w:rsid w:val="004B1E41"/>
    <w:rsid w:val="004B2C08"/>
    <w:rsid w:val="004C33E4"/>
    <w:rsid w:val="004C47D8"/>
    <w:rsid w:val="004C4AB7"/>
    <w:rsid w:val="004D0DC4"/>
    <w:rsid w:val="004D13F7"/>
    <w:rsid w:val="004D28EF"/>
    <w:rsid w:val="004D5E97"/>
    <w:rsid w:val="004D7875"/>
    <w:rsid w:val="004E03EE"/>
    <w:rsid w:val="004E43BF"/>
    <w:rsid w:val="004E475B"/>
    <w:rsid w:val="004E5FFD"/>
    <w:rsid w:val="004E600B"/>
    <w:rsid w:val="004E62CF"/>
    <w:rsid w:val="004F019D"/>
    <w:rsid w:val="004F102D"/>
    <w:rsid w:val="004F3B40"/>
    <w:rsid w:val="004F6C84"/>
    <w:rsid w:val="004F7F24"/>
    <w:rsid w:val="005000F8"/>
    <w:rsid w:val="00505387"/>
    <w:rsid w:val="00505D6B"/>
    <w:rsid w:val="0051026F"/>
    <w:rsid w:val="0051094B"/>
    <w:rsid w:val="005151BB"/>
    <w:rsid w:val="00516524"/>
    <w:rsid w:val="00516CDC"/>
    <w:rsid w:val="00517EC7"/>
    <w:rsid w:val="00522694"/>
    <w:rsid w:val="0052317A"/>
    <w:rsid w:val="00523EB0"/>
    <w:rsid w:val="005249DA"/>
    <w:rsid w:val="00526475"/>
    <w:rsid w:val="00526855"/>
    <w:rsid w:val="00527FAF"/>
    <w:rsid w:val="00530BEB"/>
    <w:rsid w:val="005319D6"/>
    <w:rsid w:val="00531B42"/>
    <w:rsid w:val="00532429"/>
    <w:rsid w:val="00535A47"/>
    <w:rsid w:val="00543B9E"/>
    <w:rsid w:val="0055142E"/>
    <w:rsid w:val="00570F5F"/>
    <w:rsid w:val="00571C5E"/>
    <w:rsid w:val="00577429"/>
    <w:rsid w:val="005820CB"/>
    <w:rsid w:val="005820EF"/>
    <w:rsid w:val="0058336F"/>
    <w:rsid w:val="00583663"/>
    <w:rsid w:val="00585C77"/>
    <w:rsid w:val="00590D87"/>
    <w:rsid w:val="005926B2"/>
    <w:rsid w:val="0059307E"/>
    <w:rsid w:val="005962BD"/>
    <w:rsid w:val="005A0388"/>
    <w:rsid w:val="005B08EB"/>
    <w:rsid w:val="005B2F4A"/>
    <w:rsid w:val="005B3999"/>
    <w:rsid w:val="005B4158"/>
    <w:rsid w:val="005B5626"/>
    <w:rsid w:val="005C0E7E"/>
    <w:rsid w:val="005C3264"/>
    <w:rsid w:val="005C60D1"/>
    <w:rsid w:val="005C62AE"/>
    <w:rsid w:val="005D276D"/>
    <w:rsid w:val="005D74E7"/>
    <w:rsid w:val="005E1B81"/>
    <w:rsid w:val="005E3021"/>
    <w:rsid w:val="005E69A6"/>
    <w:rsid w:val="005E6AFE"/>
    <w:rsid w:val="005F27B2"/>
    <w:rsid w:val="005F320E"/>
    <w:rsid w:val="005F387E"/>
    <w:rsid w:val="005F55F0"/>
    <w:rsid w:val="00600DE0"/>
    <w:rsid w:val="00606029"/>
    <w:rsid w:val="0060657C"/>
    <w:rsid w:val="00610143"/>
    <w:rsid w:val="00620CDD"/>
    <w:rsid w:val="00621F05"/>
    <w:rsid w:val="006255AF"/>
    <w:rsid w:val="00626F5B"/>
    <w:rsid w:val="006336C8"/>
    <w:rsid w:val="00634E46"/>
    <w:rsid w:val="00637B4E"/>
    <w:rsid w:val="006412DE"/>
    <w:rsid w:val="00641D49"/>
    <w:rsid w:val="006421A4"/>
    <w:rsid w:val="00650237"/>
    <w:rsid w:val="0065410A"/>
    <w:rsid w:val="0065447F"/>
    <w:rsid w:val="00661665"/>
    <w:rsid w:val="0066182B"/>
    <w:rsid w:val="0066211E"/>
    <w:rsid w:val="00665CEC"/>
    <w:rsid w:val="0067045E"/>
    <w:rsid w:val="00672D7E"/>
    <w:rsid w:val="00675E98"/>
    <w:rsid w:val="006774CD"/>
    <w:rsid w:val="006831FE"/>
    <w:rsid w:val="006859F1"/>
    <w:rsid w:val="00685B7E"/>
    <w:rsid w:val="00690807"/>
    <w:rsid w:val="00690D66"/>
    <w:rsid w:val="006932D2"/>
    <w:rsid w:val="0069621B"/>
    <w:rsid w:val="00697924"/>
    <w:rsid w:val="006A2BC8"/>
    <w:rsid w:val="006A2F59"/>
    <w:rsid w:val="006A4B0C"/>
    <w:rsid w:val="006A52CC"/>
    <w:rsid w:val="006A5C9C"/>
    <w:rsid w:val="006B1C91"/>
    <w:rsid w:val="006B6267"/>
    <w:rsid w:val="006B7786"/>
    <w:rsid w:val="006C5BA1"/>
    <w:rsid w:val="006D175E"/>
    <w:rsid w:val="006D41CD"/>
    <w:rsid w:val="006D5005"/>
    <w:rsid w:val="006E0251"/>
    <w:rsid w:val="006E049B"/>
    <w:rsid w:val="006E080A"/>
    <w:rsid w:val="006E0FE7"/>
    <w:rsid w:val="006E1030"/>
    <w:rsid w:val="006E170D"/>
    <w:rsid w:val="006E49DA"/>
    <w:rsid w:val="006F0FEA"/>
    <w:rsid w:val="006F20D7"/>
    <w:rsid w:val="006F252C"/>
    <w:rsid w:val="006F65A1"/>
    <w:rsid w:val="00701A39"/>
    <w:rsid w:val="00703BA6"/>
    <w:rsid w:val="00710D49"/>
    <w:rsid w:val="0071186D"/>
    <w:rsid w:val="0071236A"/>
    <w:rsid w:val="00714976"/>
    <w:rsid w:val="00716C8B"/>
    <w:rsid w:val="007174B0"/>
    <w:rsid w:val="007200BA"/>
    <w:rsid w:val="0072184A"/>
    <w:rsid w:val="0072276D"/>
    <w:rsid w:val="00722FB2"/>
    <w:rsid w:val="00723F68"/>
    <w:rsid w:val="00725974"/>
    <w:rsid w:val="00731D99"/>
    <w:rsid w:val="007327FC"/>
    <w:rsid w:val="00733F50"/>
    <w:rsid w:val="00737B93"/>
    <w:rsid w:val="00737DEC"/>
    <w:rsid w:val="00743293"/>
    <w:rsid w:val="0074657A"/>
    <w:rsid w:val="007503C0"/>
    <w:rsid w:val="00754120"/>
    <w:rsid w:val="00754BC6"/>
    <w:rsid w:val="00754EEF"/>
    <w:rsid w:val="0075721C"/>
    <w:rsid w:val="00762A7E"/>
    <w:rsid w:val="00762B39"/>
    <w:rsid w:val="00772593"/>
    <w:rsid w:val="00773354"/>
    <w:rsid w:val="00781BF4"/>
    <w:rsid w:val="0079568F"/>
    <w:rsid w:val="00795B2E"/>
    <w:rsid w:val="007A2F08"/>
    <w:rsid w:val="007A50C8"/>
    <w:rsid w:val="007A6B7F"/>
    <w:rsid w:val="007A78BC"/>
    <w:rsid w:val="007B24C4"/>
    <w:rsid w:val="007B7334"/>
    <w:rsid w:val="007B77AA"/>
    <w:rsid w:val="007B7DB0"/>
    <w:rsid w:val="007D139C"/>
    <w:rsid w:val="007D4076"/>
    <w:rsid w:val="007E0939"/>
    <w:rsid w:val="007E0B6C"/>
    <w:rsid w:val="007E1EA3"/>
    <w:rsid w:val="007E7177"/>
    <w:rsid w:val="007F2033"/>
    <w:rsid w:val="007F3700"/>
    <w:rsid w:val="0080700E"/>
    <w:rsid w:val="008114B5"/>
    <w:rsid w:val="008126D5"/>
    <w:rsid w:val="0081432B"/>
    <w:rsid w:val="00814CCF"/>
    <w:rsid w:val="00815135"/>
    <w:rsid w:val="0081530A"/>
    <w:rsid w:val="00817ECD"/>
    <w:rsid w:val="00820BE9"/>
    <w:rsid w:val="00821FC5"/>
    <w:rsid w:val="00825083"/>
    <w:rsid w:val="008256DA"/>
    <w:rsid w:val="00825D6B"/>
    <w:rsid w:val="00830A88"/>
    <w:rsid w:val="00844321"/>
    <w:rsid w:val="00845EB4"/>
    <w:rsid w:val="00846033"/>
    <w:rsid w:val="00846889"/>
    <w:rsid w:val="00850ED0"/>
    <w:rsid w:val="00851B13"/>
    <w:rsid w:val="0085766D"/>
    <w:rsid w:val="00857E7A"/>
    <w:rsid w:val="008715DF"/>
    <w:rsid w:val="008726FA"/>
    <w:rsid w:val="00872B94"/>
    <w:rsid w:val="00874502"/>
    <w:rsid w:val="0087466A"/>
    <w:rsid w:val="008748E6"/>
    <w:rsid w:val="0087686B"/>
    <w:rsid w:val="0087742A"/>
    <w:rsid w:val="0088486E"/>
    <w:rsid w:val="00887032"/>
    <w:rsid w:val="0088707D"/>
    <w:rsid w:val="008874E1"/>
    <w:rsid w:val="008907E8"/>
    <w:rsid w:val="008909BE"/>
    <w:rsid w:val="0089242D"/>
    <w:rsid w:val="00893DA5"/>
    <w:rsid w:val="00894AEE"/>
    <w:rsid w:val="008A1FCE"/>
    <w:rsid w:val="008A5B57"/>
    <w:rsid w:val="008B2180"/>
    <w:rsid w:val="008B27B9"/>
    <w:rsid w:val="008B52E2"/>
    <w:rsid w:val="008B70C3"/>
    <w:rsid w:val="008C25AD"/>
    <w:rsid w:val="008C747B"/>
    <w:rsid w:val="008D25CF"/>
    <w:rsid w:val="008D2683"/>
    <w:rsid w:val="008D2918"/>
    <w:rsid w:val="008D4DFE"/>
    <w:rsid w:val="008E4891"/>
    <w:rsid w:val="008F4C3E"/>
    <w:rsid w:val="008F7EA4"/>
    <w:rsid w:val="00907CD4"/>
    <w:rsid w:val="0091079B"/>
    <w:rsid w:val="009132D3"/>
    <w:rsid w:val="009151AB"/>
    <w:rsid w:val="00920750"/>
    <w:rsid w:val="00921458"/>
    <w:rsid w:val="0092263B"/>
    <w:rsid w:val="00925EAF"/>
    <w:rsid w:val="00926F4B"/>
    <w:rsid w:val="00933240"/>
    <w:rsid w:val="0093768D"/>
    <w:rsid w:val="00937777"/>
    <w:rsid w:val="00941B59"/>
    <w:rsid w:val="00946644"/>
    <w:rsid w:val="00954AC9"/>
    <w:rsid w:val="00954E5D"/>
    <w:rsid w:val="00956428"/>
    <w:rsid w:val="00960000"/>
    <w:rsid w:val="00960DCF"/>
    <w:rsid w:val="00961DA1"/>
    <w:rsid w:val="0096303B"/>
    <w:rsid w:val="009651FF"/>
    <w:rsid w:val="00965627"/>
    <w:rsid w:val="00967196"/>
    <w:rsid w:val="00970F5E"/>
    <w:rsid w:val="00971C07"/>
    <w:rsid w:val="00973339"/>
    <w:rsid w:val="00974925"/>
    <w:rsid w:val="009820A7"/>
    <w:rsid w:val="0098499A"/>
    <w:rsid w:val="00987FE4"/>
    <w:rsid w:val="00994AEB"/>
    <w:rsid w:val="00995875"/>
    <w:rsid w:val="00995CE4"/>
    <w:rsid w:val="00995D43"/>
    <w:rsid w:val="00997D30"/>
    <w:rsid w:val="009A179C"/>
    <w:rsid w:val="009A1B00"/>
    <w:rsid w:val="009A2BAD"/>
    <w:rsid w:val="009B183A"/>
    <w:rsid w:val="009B7301"/>
    <w:rsid w:val="009B77F8"/>
    <w:rsid w:val="009C26D4"/>
    <w:rsid w:val="009C75EB"/>
    <w:rsid w:val="009C75F2"/>
    <w:rsid w:val="009D0B13"/>
    <w:rsid w:val="009D3ACD"/>
    <w:rsid w:val="009D4E09"/>
    <w:rsid w:val="009D5532"/>
    <w:rsid w:val="009E1235"/>
    <w:rsid w:val="009E3BA6"/>
    <w:rsid w:val="009E7DF7"/>
    <w:rsid w:val="009F42BC"/>
    <w:rsid w:val="009F6C66"/>
    <w:rsid w:val="00A01C00"/>
    <w:rsid w:val="00A02C97"/>
    <w:rsid w:val="00A06FAB"/>
    <w:rsid w:val="00A11B36"/>
    <w:rsid w:val="00A121CF"/>
    <w:rsid w:val="00A138B0"/>
    <w:rsid w:val="00A14D95"/>
    <w:rsid w:val="00A14EB2"/>
    <w:rsid w:val="00A200F6"/>
    <w:rsid w:val="00A21FBA"/>
    <w:rsid w:val="00A2349F"/>
    <w:rsid w:val="00A239E9"/>
    <w:rsid w:val="00A23D86"/>
    <w:rsid w:val="00A24DCF"/>
    <w:rsid w:val="00A2524D"/>
    <w:rsid w:val="00A26203"/>
    <w:rsid w:val="00A273C2"/>
    <w:rsid w:val="00A2788F"/>
    <w:rsid w:val="00A27A28"/>
    <w:rsid w:val="00A3675C"/>
    <w:rsid w:val="00A36A08"/>
    <w:rsid w:val="00A4011B"/>
    <w:rsid w:val="00A4213B"/>
    <w:rsid w:val="00A43557"/>
    <w:rsid w:val="00A45C41"/>
    <w:rsid w:val="00A54A1F"/>
    <w:rsid w:val="00A54E50"/>
    <w:rsid w:val="00A572CF"/>
    <w:rsid w:val="00A600CD"/>
    <w:rsid w:val="00A6236F"/>
    <w:rsid w:val="00A62686"/>
    <w:rsid w:val="00A6719A"/>
    <w:rsid w:val="00A81545"/>
    <w:rsid w:val="00A83AD0"/>
    <w:rsid w:val="00A91859"/>
    <w:rsid w:val="00A92D37"/>
    <w:rsid w:val="00A938E0"/>
    <w:rsid w:val="00A9512E"/>
    <w:rsid w:val="00A967BF"/>
    <w:rsid w:val="00A96B7C"/>
    <w:rsid w:val="00AA5218"/>
    <w:rsid w:val="00AA5633"/>
    <w:rsid w:val="00AA797D"/>
    <w:rsid w:val="00AB301C"/>
    <w:rsid w:val="00AB318D"/>
    <w:rsid w:val="00AB3305"/>
    <w:rsid w:val="00AC7169"/>
    <w:rsid w:val="00AD3344"/>
    <w:rsid w:val="00AD37EF"/>
    <w:rsid w:val="00AD4F71"/>
    <w:rsid w:val="00AE35DE"/>
    <w:rsid w:val="00AE37A6"/>
    <w:rsid w:val="00AE3C89"/>
    <w:rsid w:val="00AF0A6E"/>
    <w:rsid w:val="00AF0E58"/>
    <w:rsid w:val="00AF446D"/>
    <w:rsid w:val="00AF67A9"/>
    <w:rsid w:val="00B0063F"/>
    <w:rsid w:val="00B01658"/>
    <w:rsid w:val="00B01B28"/>
    <w:rsid w:val="00B028AD"/>
    <w:rsid w:val="00B04315"/>
    <w:rsid w:val="00B04764"/>
    <w:rsid w:val="00B04DC3"/>
    <w:rsid w:val="00B06A27"/>
    <w:rsid w:val="00B1026A"/>
    <w:rsid w:val="00B11C82"/>
    <w:rsid w:val="00B31025"/>
    <w:rsid w:val="00B3182E"/>
    <w:rsid w:val="00B31E85"/>
    <w:rsid w:val="00B31FA0"/>
    <w:rsid w:val="00B336D5"/>
    <w:rsid w:val="00B37BB0"/>
    <w:rsid w:val="00B4188C"/>
    <w:rsid w:val="00B42684"/>
    <w:rsid w:val="00B5183E"/>
    <w:rsid w:val="00B52F2A"/>
    <w:rsid w:val="00B64FB5"/>
    <w:rsid w:val="00B65B3F"/>
    <w:rsid w:val="00B67C22"/>
    <w:rsid w:val="00B70445"/>
    <w:rsid w:val="00B76616"/>
    <w:rsid w:val="00B767A5"/>
    <w:rsid w:val="00B77E4B"/>
    <w:rsid w:val="00B90D7A"/>
    <w:rsid w:val="00B91679"/>
    <w:rsid w:val="00B9174A"/>
    <w:rsid w:val="00B93366"/>
    <w:rsid w:val="00BA3059"/>
    <w:rsid w:val="00BA4DA2"/>
    <w:rsid w:val="00BA7D7E"/>
    <w:rsid w:val="00BB3D52"/>
    <w:rsid w:val="00BB5B7A"/>
    <w:rsid w:val="00BB5BD6"/>
    <w:rsid w:val="00BB7C8E"/>
    <w:rsid w:val="00BC0299"/>
    <w:rsid w:val="00BD189F"/>
    <w:rsid w:val="00BD42FF"/>
    <w:rsid w:val="00BE11CE"/>
    <w:rsid w:val="00BE3E89"/>
    <w:rsid w:val="00BE533B"/>
    <w:rsid w:val="00BE6003"/>
    <w:rsid w:val="00BF17D7"/>
    <w:rsid w:val="00C05640"/>
    <w:rsid w:val="00C05B87"/>
    <w:rsid w:val="00C05F98"/>
    <w:rsid w:val="00C07D5B"/>
    <w:rsid w:val="00C07D90"/>
    <w:rsid w:val="00C132BE"/>
    <w:rsid w:val="00C13ACA"/>
    <w:rsid w:val="00C22265"/>
    <w:rsid w:val="00C22997"/>
    <w:rsid w:val="00C268BF"/>
    <w:rsid w:val="00C3673F"/>
    <w:rsid w:val="00C40CEF"/>
    <w:rsid w:val="00C43933"/>
    <w:rsid w:val="00C44B8E"/>
    <w:rsid w:val="00C46000"/>
    <w:rsid w:val="00C50775"/>
    <w:rsid w:val="00C52375"/>
    <w:rsid w:val="00C5516B"/>
    <w:rsid w:val="00C636EC"/>
    <w:rsid w:val="00C63AE1"/>
    <w:rsid w:val="00C666BF"/>
    <w:rsid w:val="00C66D78"/>
    <w:rsid w:val="00C70558"/>
    <w:rsid w:val="00C712F0"/>
    <w:rsid w:val="00C74CF5"/>
    <w:rsid w:val="00C74E7A"/>
    <w:rsid w:val="00C83CD8"/>
    <w:rsid w:val="00C85D76"/>
    <w:rsid w:val="00C87D64"/>
    <w:rsid w:val="00C92E2A"/>
    <w:rsid w:val="00CB303F"/>
    <w:rsid w:val="00CB3169"/>
    <w:rsid w:val="00CB5416"/>
    <w:rsid w:val="00CC0076"/>
    <w:rsid w:val="00CC14B9"/>
    <w:rsid w:val="00CC1912"/>
    <w:rsid w:val="00CC23DB"/>
    <w:rsid w:val="00CC2A08"/>
    <w:rsid w:val="00CD4BCF"/>
    <w:rsid w:val="00CD78D9"/>
    <w:rsid w:val="00CE0AEA"/>
    <w:rsid w:val="00CE654A"/>
    <w:rsid w:val="00CE7653"/>
    <w:rsid w:val="00CE78CF"/>
    <w:rsid w:val="00CF2405"/>
    <w:rsid w:val="00CF44E1"/>
    <w:rsid w:val="00CF5970"/>
    <w:rsid w:val="00D006AD"/>
    <w:rsid w:val="00D00795"/>
    <w:rsid w:val="00D0742E"/>
    <w:rsid w:val="00D12FBE"/>
    <w:rsid w:val="00D14EC2"/>
    <w:rsid w:val="00D20D13"/>
    <w:rsid w:val="00D25F56"/>
    <w:rsid w:val="00D32158"/>
    <w:rsid w:val="00D326A1"/>
    <w:rsid w:val="00D358DC"/>
    <w:rsid w:val="00D35E9B"/>
    <w:rsid w:val="00D35EBB"/>
    <w:rsid w:val="00D37CB4"/>
    <w:rsid w:val="00D4211C"/>
    <w:rsid w:val="00D43F4F"/>
    <w:rsid w:val="00D454E0"/>
    <w:rsid w:val="00D47CC5"/>
    <w:rsid w:val="00D51CED"/>
    <w:rsid w:val="00D5446F"/>
    <w:rsid w:val="00D54524"/>
    <w:rsid w:val="00D54D12"/>
    <w:rsid w:val="00D710AB"/>
    <w:rsid w:val="00D740E7"/>
    <w:rsid w:val="00D82ED4"/>
    <w:rsid w:val="00D83B21"/>
    <w:rsid w:val="00D85033"/>
    <w:rsid w:val="00D85133"/>
    <w:rsid w:val="00D853D5"/>
    <w:rsid w:val="00D857B6"/>
    <w:rsid w:val="00D907B7"/>
    <w:rsid w:val="00D90F89"/>
    <w:rsid w:val="00D94F94"/>
    <w:rsid w:val="00DA04C7"/>
    <w:rsid w:val="00DA218F"/>
    <w:rsid w:val="00DA3EA5"/>
    <w:rsid w:val="00DB1997"/>
    <w:rsid w:val="00DB337F"/>
    <w:rsid w:val="00DC4F31"/>
    <w:rsid w:val="00DD05DF"/>
    <w:rsid w:val="00DD0C86"/>
    <w:rsid w:val="00DD0D01"/>
    <w:rsid w:val="00DD0EC1"/>
    <w:rsid w:val="00DD6ECD"/>
    <w:rsid w:val="00DD7DD4"/>
    <w:rsid w:val="00DE5555"/>
    <w:rsid w:val="00DE759B"/>
    <w:rsid w:val="00E01422"/>
    <w:rsid w:val="00E05673"/>
    <w:rsid w:val="00E101A2"/>
    <w:rsid w:val="00E2285A"/>
    <w:rsid w:val="00E25F0C"/>
    <w:rsid w:val="00E32D5A"/>
    <w:rsid w:val="00E408A5"/>
    <w:rsid w:val="00E42487"/>
    <w:rsid w:val="00E432F6"/>
    <w:rsid w:val="00E45925"/>
    <w:rsid w:val="00E47BDF"/>
    <w:rsid w:val="00E500C2"/>
    <w:rsid w:val="00E53345"/>
    <w:rsid w:val="00E53ECE"/>
    <w:rsid w:val="00E62135"/>
    <w:rsid w:val="00E66D6D"/>
    <w:rsid w:val="00E67785"/>
    <w:rsid w:val="00E70729"/>
    <w:rsid w:val="00E71CAE"/>
    <w:rsid w:val="00E71DA2"/>
    <w:rsid w:val="00E72020"/>
    <w:rsid w:val="00E85681"/>
    <w:rsid w:val="00E9610C"/>
    <w:rsid w:val="00EA233A"/>
    <w:rsid w:val="00EA239D"/>
    <w:rsid w:val="00EA49F1"/>
    <w:rsid w:val="00EA5215"/>
    <w:rsid w:val="00EA5B92"/>
    <w:rsid w:val="00EA78F9"/>
    <w:rsid w:val="00EB40AE"/>
    <w:rsid w:val="00EB6899"/>
    <w:rsid w:val="00EC52BB"/>
    <w:rsid w:val="00EC7D12"/>
    <w:rsid w:val="00ED0795"/>
    <w:rsid w:val="00ED365D"/>
    <w:rsid w:val="00ED6354"/>
    <w:rsid w:val="00ED7D13"/>
    <w:rsid w:val="00EE0B1C"/>
    <w:rsid w:val="00EE36A4"/>
    <w:rsid w:val="00EF16FF"/>
    <w:rsid w:val="00EF17E1"/>
    <w:rsid w:val="00F005DA"/>
    <w:rsid w:val="00F0066C"/>
    <w:rsid w:val="00F025F7"/>
    <w:rsid w:val="00F06EE8"/>
    <w:rsid w:val="00F12276"/>
    <w:rsid w:val="00F1228A"/>
    <w:rsid w:val="00F14A11"/>
    <w:rsid w:val="00F16396"/>
    <w:rsid w:val="00F16CBC"/>
    <w:rsid w:val="00F17B4F"/>
    <w:rsid w:val="00F233C5"/>
    <w:rsid w:val="00F26D52"/>
    <w:rsid w:val="00F305DB"/>
    <w:rsid w:val="00F32134"/>
    <w:rsid w:val="00F41CAE"/>
    <w:rsid w:val="00F4314C"/>
    <w:rsid w:val="00F45916"/>
    <w:rsid w:val="00F50C57"/>
    <w:rsid w:val="00F515A2"/>
    <w:rsid w:val="00F55171"/>
    <w:rsid w:val="00F5636A"/>
    <w:rsid w:val="00F6033F"/>
    <w:rsid w:val="00F660EA"/>
    <w:rsid w:val="00F7188E"/>
    <w:rsid w:val="00F75678"/>
    <w:rsid w:val="00F760A2"/>
    <w:rsid w:val="00F76805"/>
    <w:rsid w:val="00F806E3"/>
    <w:rsid w:val="00F82444"/>
    <w:rsid w:val="00F833C1"/>
    <w:rsid w:val="00F849F7"/>
    <w:rsid w:val="00F90663"/>
    <w:rsid w:val="00F958DA"/>
    <w:rsid w:val="00F95CB9"/>
    <w:rsid w:val="00FA0FB4"/>
    <w:rsid w:val="00FA7CE3"/>
    <w:rsid w:val="00FB0984"/>
    <w:rsid w:val="00FB11D6"/>
    <w:rsid w:val="00FB4B9D"/>
    <w:rsid w:val="00FB55E0"/>
    <w:rsid w:val="00FC2BCD"/>
    <w:rsid w:val="00FC4439"/>
    <w:rsid w:val="00FC5520"/>
    <w:rsid w:val="00FC61C2"/>
    <w:rsid w:val="00FC643D"/>
    <w:rsid w:val="00FC6E5C"/>
    <w:rsid w:val="00FD0A87"/>
    <w:rsid w:val="00FD1100"/>
    <w:rsid w:val="00FD1AC9"/>
    <w:rsid w:val="00FD4EFC"/>
    <w:rsid w:val="00FD7213"/>
    <w:rsid w:val="00FE2EC7"/>
    <w:rsid w:val="00FE469A"/>
    <w:rsid w:val="00FE4CCD"/>
    <w:rsid w:val="00FF026F"/>
    <w:rsid w:val="00FF4F95"/>
    <w:rsid w:val="01052510"/>
    <w:rsid w:val="010F39D9"/>
    <w:rsid w:val="01273112"/>
    <w:rsid w:val="01311D17"/>
    <w:rsid w:val="013D4B60"/>
    <w:rsid w:val="01486322"/>
    <w:rsid w:val="014C3AE3"/>
    <w:rsid w:val="0150509E"/>
    <w:rsid w:val="015772A4"/>
    <w:rsid w:val="015F265A"/>
    <w:rsid w:val="016340E6"/>
    <w:rsid w:val="01655E65"/>
    <w:rsid w:val="0168325F"/>
    <w:rsid w:val="016A37B6"/>
    <w:rsid w:val="016D00D2"/>
    <w:rsid w:val="01722330"/>
    <w:rsid w:val="017442FA"/>
    <w:rsid w:val="01891B53"/>
    <w:rsid w:val="01944586"/>
    <w:rsid w:val="019B3634"/>
    <w:rsid w:val="01A2593C"/>
    <w:rsid w:val="01A73D87"/>
    <w:rsid w:val="01A75BD3"/>
    <w:rsid w:val="01AB0971"/>
    <w:rsid w:val="01BA0756"/>
    <w:rsid w:val="01C506B1"/>
    <w:rsid w:val="01C761D7"/>
    <w:rsid w:val="01DD59FB"/>
    <w:rsid w:val="01E52EF2"/>
    <w:rsid w:val="01EF5B88"/>
    <w:rsid w:val="01FB2A78"/>
    <w:rsid w:val="02072738"/>
    <w:rsid w:val="02076F1C"/>
    <w:rsid w:val="0216715F"/>
    <w:rsid w:val="02173F31"/>
    <w:rsid w:val="021D04ED"/>
    <w:rsid w:val="02225B04"/>
    <w:rsid w:val="022D6BD4"/>
    <w:rsid w:val="02313F99"/>
    <w:rsid w:val="023567F6"/>
    <w:rsid w:val="02380B71"/>
    <w:rsid w:val="023E272A"/>
    <w:rsid w:val="024C5C84"/>
    <w:rsid w:val="02511F45"/>
    <w:rsid w:val="02614CD6"/>
    <w:rsid w:val="0266029D"/>
    <w:rsid w:val="02670506"/>
    <w:rsid w:val="026B3DCF"/>
    <w:rsid w:val="026D3223"/>
    <w:rsid w:val="0270686F"/>
    <w:rsid w:val="027311BA"/>
    <w:rsid w:val="02781BC8"/>
    <w:rsid w:val="027D71DE"/>
    <w:rsid w:val="027F3023"/>
    <w:rsid w:val="0281282A"/>
    <w:rsid w:val="028A30DB"/>
    <w:rsid w:val="02985DC6"/>
    <w:rsid w:val="029C3B08"/>
    <w:rsid w:val="029C4847"/>
    <w:rsid w:val="029C58B6"/>
    <w:rsid w:val="02A1111E"/>
    <w:rsid w:val="02A12B73"/>
    <w:rsid w:val="02B510FE"/>
    <w:rsid w:val="02B7624C"/>
    <w:rsid w:val="02B86C02"/>
    <w:rsid w:val="02C7315E"/>
    <w:rsid w:val="02C80459"/>
    <w:rsid w:val="02CD7E38"/>
    <w:rsid w:val="02EE3C38"/>
    <w:rsid w:val="02F0175E"/>
    <w:rsid w:val="02F82BB2"/>
    <w:rsid w:val="02FF1CF4"/>
    <w:rsid w:val="03057957"/>
    <w:rsid w:val="030C2C93"/>
    <w:rsid w:val="03187CED"/>
    <w:rsid w:val="031A67DB"/>
    <w:rsid w:val="03200F77"/>
    <w:rsid w:val="032F672A"/>
    <w:rsid w:val="033518D8"/>
    <w:rsid w:val="03353615"/>
    <w:rsid w:val="033B6E7D"/>
    <w:rsid w:val="033D6BC2"/>
    <w:rsid w:val="03407F9A"/>
    <w:rsid w:val="034432A6"/>
    <w:rsid w:val="0346289B"/>
    <w:rsid w:val="035844F8"/>
    <w:rsid w:val="035F094C"/>
    <w:rsid w:val="035F5BBD"/>
    <w:rsid w:val="03716E95"/>
    <w:rsid w:val="0372363C"/>
    <w:rsid w:val="037405E1"/>
    <w:rsid w:val="03757140"/>
    <w:rsid w:val="037E320E"/>
    <w:rsid w:val="037F18DC"/>
    <w:rsid w:val="0388408C"/>
    <w:rsid w:val="038A1CB4"/>
    <w:rsid w:val="03936B53"/>
    <w:rsid w:val="039667A9"/>
    <w:rsid w:val="03A8554F"/>
    <w:rsid w:val="03AC210E"/>
    <w:rsid w:val="03B64756"/>
    <w:rsid w:val="03BA7FA5"/>
    <w:rsid w:val="03BC140B"/>
    <w:rsid w:val="03C350C4"/>
    <w:rsid w:val="03C40C2E"/>
    <w:rsid w:val="03D2200D"/>
    <w:rsid w:val="03EF0699"/>
    <w:rsid w:val="03FE44CB"/>
    <w:rsid w:val="03FF6ACB"/>
    <w:rsid w:val="040000C7"/>
    <w:rsid w:val="04014159"/>
    <w:rsid w:val="0408261B"/>
    <w:rsid w:val="040A684F"/>
    <w:rsid w:val="04131BA8"/>
    <w:rsid w:val="041411A5"/>
    <w:rsid w:val="04161AC6"/>
    <w:rsid w:val="042223EC"/>
    <w:rsid w:val="042A6EF2"/>
    <w:rsid w:val="042B5242"/>
    <w:rsid w:val="042E0790"/>
    <w:rsid w:val="042F62B6"/>
    <w:rsid w:val="04386322"/>
    <w:rsid w:val="043B4C5B"/>
    <w:rsid w:val="044476C6"/>
    <w:rsid w:val="04587D98"/>
    <w:rsid w:val="045B19F6"/>
    <w:rsid w:val="04664F23"/>
    <w:rsid w:val="047200E5"/>
    <w:rsid w:val="04732647"/>
    <w:rsid w:val="047365D0"/>
    <w:rsid w:val="04781A0B"/>
    <w:rsid w:val="0486237A"/>
    <w:rsid w:val="048D195A"/>
    <w:rsid w:val="048D537A"/>
    <w:rsid w:val="048E7480"/>
    <w:rsid w:val="049E172D"/>
    <w:rsid w:val="049F7431"/>
    <w:rsid w:val="04B14F1D"/>
    <w:rsid w:val="04B71FE3"/>
    <w:rsid w:val="04B8615E"/>
    <w:rsid w:val="04BE1131"/>
    <w:rsid w:val="04BE2AC1"/>
    <w:rsid w:val="04C84E31"/>
    <w:rsid w:val="04CB4231"/>
    <w:rsid w:val="04D4487F"/>
    <w:rsid w:val="04F263EF"/>
    <w:rsid w:val="04F35543"/>
    <w:rsid w:val="050E411D"/>
    <w:rsid w:val="05145BD8"/>
    <w:rsid w:val="051756C8"/>
    <w:rsid w:val="05177476"/>
    <w:rsid w:val="051A0FB1"/>
    <w:rsid w:val="052878D5"/>
    <w:rsid w:val="0530070F"/>
    <w:rsid w:val="053718C6"/>
    <w:rsid w:val="054133FB"/>
    <w:rsid w:val="054364BD"/>
    <w:rsid w:val="054B35C3"/>
    <w:rsid w:val="054F6C10"/>
    <w:rsid w:val="055F011B"/>
    <w:rsid w:val="056A3A4A"/>
    <w:rsid w:val="056F564B"/>
    <w:rsid w:val="05746676"/>
    <w:rsid w:val="057D08A2"/>
    <w:rsid w:val="05852631"/>
    <w:rsid w:val="058D4E78"/>
    <w:rsid w:val="05AE4FD9"/>
    <w:rsid w:val="05B14CD5"/>
    <w:rsid w:val="05BB5493"/>
    <w:rsid w:val="05C56ED2"/>
    <w:rsid w:val="05C649F8"/>
    <w:rsid w:val="05D47115"/>
    <w:rsid w:val="05E74F80"/>
    <w:rsid w:val="05F15F19"/>
    <w:rsid w:val="05FB5E05"/>
    <w:rsid w:val="06042ABF"/>
    <w:rsid w:val="06062527"/>
    <w:rsid w:val="060C6775"/>
    <w:rsid w:val="060C68AF"/>
    <w:rsid w:val="060D2627"/>
    <w:rsid w:val="06113EC5"/>
    <w:rsid w:val="061756EB"/>
    <w:rsid w:val="06377EF3"/>
    <w:rsid w:val="063C536A"/>
    <w:rsid w:val="0644429B"/>
    <w:rsid w:val="064E6EC7"/>
    <w:rsid w:val="06542435"/>
    <w:rsid w:val="06547766"/>
    <w:rsid w:val="065B15E4"/>
    <w:rsid w:val="066606B5"/>
    <w:rsid w:val="066A2184"/>
    <w:rsid w:val="066C1A43"/>
    <w:rsid w:val="06760773"/>
    <w:rsid w:val="06782196"/>
    <w:rsid w:val="067C5849"/>
    <w:rsid w:val="067F3525"/>
    <w:rsid w:val="06815CF5"/>
    <w:rsid w:val="06857D48"/>
    <w:rsid w:val="069045DF"/>
    <w:rsid w:val="06913258"/>
    <w:rsid w:val="069B51DD"/>
    <w:rsid w:val="06A02ABC"/>
    <w:rsid w:val="06A967F3"/>
    <w:rsid w:val="06BB41FA"/>
    <w:rsid w:val="06BD404D"/>
    <w:rsid w:val="06C453DB"/>
    <w:rsid w:val="06D575E9"/>
    <w:rsid w:val="06E45A7E"/>
    <w:rsid w:val="06E65D6A"/>
    <w:rsid w:val="06E710CA"/>
    <w:rsid w:val="071B45F1"/>
    <w:rsid w:val="07571C7D"/>
    <w:rsid w:val="07572656"/>
    <w:rsid w:val="076C1E85"/>
    <w:rsid w:val="077010BF"/>
    <w:rsid w:val="07755919"/>
    <w:rsid w:val="07854B6B"/>
    <w:rsid w:val="078864AF"/>
    <w:rsid w:val="078F59E9"/>
    <w:rsid w:val="07976154"/>
    <w:rsid w:val="07985066"/>
    <w:rsid w:val="079A71A9"/>
    <w:rsid w:val="079D6A1F"/>
    <w:rsid w:val="07BC60B3"/>
    <w:rsid w:val="07C035A8"/>
    <w:rsid w:val="07C9031A"/>
    <w:rsid w:val="07CE1881"/>
    <w:rsid w:val="07D930D9"/>
    <w:rsid w:val="07DA1F2D"/>
    <w:rsid w:val="07DB0C2F"/>
    <w:rsid w:val="07E8334B"/>
    <w:rsid w:val="07F45B64"/>
    <w:rsid w:val="08167EB9"/>
    <w:rsid w:val="08243BF8"/>
    <w:rsid w:val="08284C82"/>
    <w:rsid w:val="083B791F"/>
    <w:rsid w:val="083E11BD"/>
    <w:rsid w:val="08414E48"/>
    <w:rsid w:val="08431963"/>
    <w:rsid w:val="08444A26"/>
    <w:rsid w:val="08472D3D"/>
    <w:rsid w:val="0849771D"/>
    <w:rsid w:val="08512C9F"/>
    <w:rsid w:val="08557577"/>
    <w:rsid w:val="085D5AE7"/>
    <w:rsid w:val="086C5D2B"/>
    <w:rsid w:val="086D11A9"/>
    <w:rsid w:val="08713341"/>
    <w:rsid w:val="08767019"/>
    <w:rsid w:val="08793FA4"/>
    <w:rsid w:val="087E4839"/>
    <w:rsid w:val="08852948"/>
    <w:rsid w:val="08856DEC"/>
    <w:rsid w:val="088C6B93"/>
    <w:rsid w:val="088E7893"/>
    <w:rsid w:val="08980E61"/>
    <w:rsid w:val="089A2898"/>
    <w:rsid w:val="089D4136"/>
    <w:rsid w:val="08A51267"/>
    <w:rsid w:val="08A72B38"/>
    <w:rsid w:val="08B576D2"/>
    <w:rsid w:val="08BE20C5"/>
    <w:rsid w:val="08C711B3"/>
    <w:rsid w:val="08CE7968"/>
    <w:rsid w:val="08DB467F"/>
    <w:rsid w:val="08DD6689"/>
    <w:rsid w:val="08E13F7A"/>
    <w:rsid w:val="08E51639"/>
    <w:rsid w:val="08E753B1"/>
    <w:rsid w:val="08EE04EE"/>
    <w:rsid w:val="09041208"/>
    <w:rsid w:val="09077FE6"/>
    <w:rsid w:val="0923288D"/>
    <w:rsid w:val="09273A00"/>
    <w:rsid w:val="09307FA8"/>
    <w:rsid w:val="0946009F"/>
    <w:rsid w:val="094B0F42"/>
    <w:rsid w:val="095011A8"/>
    <w:rsid w:val="09572DDF"/>
    <w:rsid w:val="096133B5"/>
    <w:rsid w:val="09631C59"/>
    <w:rsid w:val="0963712E"/>
    <w:rsid w:val="096D3B08"/>
    <w:rsid w:val="096F7FD8"/>
    <w:rsid w:val="09971F38"/>
    <w:rsid w:val="09AF1645"/>
    <w:rsid w:val="09B41767"/>
    <w:rsid w:val="09C34F71"/>
    <w:rsid w:val="09C46E3C"/>
    <w:rsid w:val="09DC3853"/>
    <w:rsid w:val="09DE76CE"/>
    <w:rsid w:val="09EC66EE"/>
    <w:rsid w:val="09EF451D"/>
    <w:rsid w:val="09FF7E17"/>
    <w:rsid w:val="0A06733D"/>
    <w:rsid w:val="0A1450CD"/>
    <w:rsid w:val="0A193C90"/>
    <w:rsid w:val="0A1D1684"/>
    <w:rsid w:val="0A23066B"/>
    <w:rsid w:val="0A245577"/>
    <w:rsid w:val="0A3D3544"/>
    <w:rsid w:val="0A4659AC"/>
    <w:rsid w:val="0A622F5F"/>
    <w:rsid w:val="0A6838CF"/>
    <w:rsid w:val="0A71587A"/>
    <w:rsid w:val="0A72790D"/>
    <w:rsid w:val="0A747118"/>
    <w:rsid w:val="0A764C3F"/>
    <w:rsid w:val="0A822AE3"/>
    <w:rsid w:val="0A864379"/>
    <w:rsid w:val="0A894972"/>
    <w:rsid w:val="0A924BFB"/>
    <w:rsid w:val="0A990F8B"/>
    <w:rsid w:val="0A9A6B7F"/>
    <w:rsid w:val="0AA625AE"/>
    <w:rsid w:val="0AAC240E"/>
    <w:rsid w:val="0AAD36DD"/>
    <w:rsid w:val="0AB035D2"/>
    <w:rsid w:val="0AB319EF"/>
    <w:rsid w:val="0AB31F52"/>
    <w:rsid w:val="0AB527CE"/>
    <w:rsid w:val="0ABA0FBE"/>
    <w:rsid w:val="0AC736EC"/>
    <w:rsid w:val="0ACF434F"/>
    <w:rsid w:val="0AD155D0"/>
    <w:rsid w:val="0AD32091"/>
    <w:rsid w:val="0AD875F1"/>
    <w:rsid w:val="0ADE3C22"/>
    <w:rsid w:val="0ADE6149"/>
    <w:rsid w:val="0AE53B72"/>
    <w:rsid w:val="0B014068"/>
    <w:rsid w:val="0B0A5387"/>
    <w:rsid w:val="0B1702AE"/>
    <w:rsid w:val="0B2017A7"/>
    <w:rsid w:val="0B296609"/>
    <w:rsid w:val="0B2D6095"/>
    <w:rsid w:val="0B3D575C"/>
    <w:rsid w:val="0B421970"/>
    <w:rsid w:val="0B4C2527"/>
    <w:rsid w:val="0B51320E"/>
    <w:rsid w:val="0B583A91"/>
    <w:rsid w:val="0B5E5DFE"/>
    <w:rsid w:val="0B61144B"/>
    <w:rsid w:val="0B732F2C"/>
    <w:rsid w:val="0B776EC0"/>
    <w:rsid w:val="0B8C3D30"/>
    <w:rsid w:val="0B960356"/>
    <w:rsid w:val="0B985007"/>
    <w:rsid w:val="0BAD643E"/>
    <w:rsid w:val="0BC00C89"/>
    <w:rsid w:val="0BC1013B"/>
    <w:rsid w:val="0BC32105"/>
    <w:rsid w:val="0BC34B58"/>
    <w:rsid w:val="0BD72A24"/>
    <w:rsid w:val="0BE01BDD"/>
    <w:rsid w:val="0BE224E5"/>
    <w:rsid w:val="0BE502CE"/>
    <w:rsid w:val="0BE65DF4"/>
    <w:rsid w:val="0BEE3AE9"/>
    <w:rsid w:val="0C040028"/>
    <w:rsid w:val="0C091938"/>
    <w:rsid w:val="0C0B6782"/>
    <w:rsid w:val="0C13779A"/>
    <w:rsid w:val="0C14470F"/>
    <w:rsid w:val="0C1464BD"/>
    <w:rsid w:val="0C152235"/>
    <w:rsid w:val="0C1E10EA"/>
    <w:rsid w:val="0C200598"/>
    <w:rsid w:val="0C2506CA"/>
    <w:rsid w:val="0C2C3330"/>
    <w:rsid w:val="0C344DB1"/>
    <w:rsid w:val="0C393AC1"/>
    <w:rsid w:val="0C4C20FB"/>
    <w:rsid w:val="0C540FAF"/>
    <w:rsid w:val="0C5745FC"/>
    <w:rsid w:val="0C654F6B"/>
    <w:rsid w:val="0C68131B"/>
    <w:rsid w:val="0C6F5339"/>
    <w:rsid w:val="0C7358DA"/>
    <w:rsid w:val="0C796A4D"/>
    <w:rsid w:val="0C847C19"/>
    <w:rsid w:val="0C8F1FE8"/>
    <w:rsid w:val="0C95069D"/>
    <w:rsid w:val="0C994C14"/>
    <w:rsid w:val="0C9E622E"/>
    <w:rsid w:val="0CAF38D3"/>
    <w:rsid w:val="0CB832EC"/>
    <w:rsid w:val="0CB97065"/>
    <w:rsid w:val="0CBB108C"/>
    <w:rsid w:val="0CBE28CD"/>
    <w:rsid w:val="0CBE467B"/>
    <w:rsid w:val="0CC013C5"/>
    <w:rsid w:val="0CC44DFA"/>
    <w:rsid w:val="0CD05E1D"/>
    <w:rsid w:val="0CEE1D29"/>
    <w:rsid w:val="0CF064CF"/>
    <w:rsid w:val="0CF27314"/>
    <w:rsid w:val="0CF34325"/>
    <w:rsid w:val="0CFD1BE5"/>
    <w:rsid w:val="0CFE5DA6"/>
    <w:rsid w:val="0CFF7B5C"/>
    <w:rsid w:val="0D046532"/>
    <w:rsid w:val="0D081719"/>
    <w:rsid w:val="0D160726"/>
    <w:rsid w:val="0D1C7D1F"/>
    <w:rsid w:val="0D220501"/>
    <w:rsid w:val="0D2564A8"/>
    <w:rsid w:val="0D2E35AF"/>
    <w:rsid w:val="0D3B5CCB"/>
    <w:rsid w:val="0D430B48"/>
    <w:rsid w:val="0D437B65"/>
    <w:rsid w:val="0D470B14"/>
    <w:rsid w:val="0D4A5F0F"/>
    <w:rsid w:val="0D5079C9"/>
    <w:rsid w:val="0D556D8D"/>
    <w:rsid w:val="0D643474"/>
    <w:rsid w:val="0D6578C2"/>
    <w:rsid w:val="0D6F4BE8"/>
    <w:rsid w:val="0D71793F"/>
    <w:rsid w:val="0D721D72"/>
    <w:rsid w:val="0D7731A8"/>
    <w:rsid w:val="0D7862FA"/>
    <w:rsid w:val="0D8439D4"/>
    <w:rsid w:val="0D8633EB"/>
    <w:rsid w:val="0D865199"/>
    <w:rsid w:val="0D911BEB"/>
    <w:rsid w:val="0DA15C3D"/>
    <w:rsid w:val="0DA63A8D"/>
    <w:rsid w:val="0DBA5D5A"/>
    <w:rsid w:val="0DC05A7F"/>
    <w:rsid w:val="0DDB6F15"/>
    <w:rsid w:val="0DDC3F75"/>
    <w:rsid w:val="0DDF2AFB"/>
    <w:rsid w:val="0DF04D08"/>
    <w:rsid w:val="0DF050D1"/>
    <w:rsid w:val="0DF65726"/>
    <w:rsid w:val="0DF91E0E"/>
    <w:rsid w:val="0E0B38F0"/>
    <w:rsid w:val="0E1F2CA8"/>
    <w:rsid w:val="0E372F95"/>
    <w:rsid w:val="0E3B6CD7"/>
    <w:rsid w:val="0E3E3CC5"/>
    <w:rsid w:val="0E43308A"/>
    <w:rsid w:val="0E4D3F08"/>
    <w:rsid w:val="0E4E30BA"/>
    <w:rsid w:val="0E515952"/>
    <w:rsid w:val="0E54356E"/>
    <w:rsid w:val="0E650A55"/>
    <w:rsid w:val="0E664FCA"/>
    <w:rsid w:val="0E741BAB"/>
    <w:rsid w:val="0E792F4F"/>
    <w:rsid w:val="0E7C6C5A"/>
    <w:rsid w:val="0E9A417F"/>
    <w:rsid w:val="0E9C09EC"/>
    <w:rsid w:val="0EA306BA"/>
    <w:rsid w:val="0EAC1DBE"/>
    <w:rsid w:val="0EBE6BB4"/>
    <w:rsid w:val="0EC86BC3"/>
    <w:rsid w:val="0ECA7307"/>
    <w:rsid w:val="0EE22E14"/>
    <w:rsid w:val="0EE26D46"/>
    <w:rsid w:val="0EE502C1"/>
    <w:rsid w:val="0EF54B6B"/>
    <w:rsid w:val="0EFA6D5D"/>
    <w:rsid w:val="0F030572"/>
    <w:rsid w:val="0F20161D"/>
    <w:rsid w:val="0F2B78F7"/>
    <w:rsid w:val="0F2F1860"/>
    <w:rsid w:val="0F355A09"/>
    <w:rsid w:val="0F3A6C12"/>
    <w:rsid w:val="0F3F7CF5"/>
    <w:rsid w:val="0F421593"/>
    <w:rsid w:val="0F470958"/>
    <w:rsid w:val="0F4D7010"/>
    <w:rsid w:val="0F595B10"/>
    <w:rsid w:val="0F6129E4"/>
    <w:rsid w:val="0F615EBD"/>
    <w:rsid w:val="0F6459AD"/>
    <w:rsid w:val="0F716E95"/>
    <w:rsid w:val="0F743895"/>
    <w:rsid w:val="0F7554C5"/>
    <w:rsid w:val="0F7B07CC"/>
    <w:rsid w:val="0F8376B2"/>
    <w:rsid w:val="0F9D2C6D"/>
    <w:rsid w:val="0FA03730"/>
    <w:rsid w:val="0FA22032"/>
    <w:rsid w:val="0FA971C2"/>
    <w:rsid w:val="0FAB0EE6"/>
    <w:rsid w:val="0FB11AD8"/>
    <w:rsid w:val="0FBD6E6C"/>
    <w:rsid w:val="0FC01DAB"/>
    <w:rsid w:val="0FD21F10"/>
    <w:rsid w:val="0FD3469F"/>
    <w:rsid w:val="0FDB793A"/>
    <w:rsid w:val="0FDD449B"/>
    <w:rsid w:val="0FE8213B"/>
    <w:rsid w:val="0FF22FB9"/>
    <w:rsid w:val="0FFF1551"/>
    <w:rsid w:val="10017A19"/>
    <w:rsid w:val="10093E5F"/>
    <w:rsid w:val="100B3B07"/>
    <w:rsid w:val="10147501"/>
    <w:rsid w:val="103233B6"/>
    <w:rsid w:val="103510F8"/>
    <w:rsid w:val="10374E70"/>
    <w:rsid w:val="103F7CB7"/>
    <w:rsid w:val="10433815"/>
    <w:rsid w:val="10480E2B"/>
    <w:rsid w:val="10596B94"/>
    <w:rsid w:val="10645539"/>
    <w:rsid w:val="106A2B50"/>
    <w:rsid w:val="10725F2A"/>
    <w:rsid w:val="10773B42"/>
    <w:rsid w:val="107868F1"/>
    <w:rsid w:val="10786BBF"/>
    <w:rsid w:val="107C161D"/>
    <w:rsid w:val="10801BFF"/>
    <w:rsid w:val="108101C5"/>
    <w:rsid w:val="10831CEE"/>
    <w:rsid w:val="10855BDB"/>
    <w:rsid w:val="108856CC"/>
    <w:rsid w:val="10893587"/>
    <w:rsid w:val="108D2F4B"/>
    <w:rsid w:val="10940030"/>
    <w:rsid w:val="109A0F5B"/>
    <w:rsid w:val="109A3B81"/>
    <w:rsid w:val="10A15C3E"/>
    <w:rsid w:val="10A962A7"/>
    <w:rsid w:val="10B71B0D"/>
    <w:rsid w:val="10BE4A52"/>
    <w:rsid w:val="10C76AC0"/>
    <w:rsid w:val="10C83D1A"/>
    <w:rsid w:val="10D60D02"/>
    <w:rsid w:val="10DE52EC"/>
    <w:rsid w:val="10E30B54"/>
    <w:rsid w:val="10EA5A3E"/>
    <w:rsid w:val="10FD39C4"/>
    <w:rsid w:val="110D3CF7"/>
    <w:rsid w:val="111156C1"/>
    <w:rsid w:val="1122167C"/>
    <w:rsid w:val="112A6877"/>
    <w:rsid w:val="11301FEB"/>
    <w:rsid w:val="11444849"/>
    <w:rsid w:val="11456893"/>
    <w:rsid w:val="11477335"/>
    <w:rsid w:val="115577AF"/>
    <w:rsid w:val="115630D4"/>
    <w:rsid w:val="115B06EA"/>
    <w:rsid w:val="1160202D"/>
    <w:rsid w:val="116577BB"/>
    <w:rsid w:val="11762537"/>
    <w:rsid w:val="11763776"/>
    <w:rsid w:val="117A3266"/>
    <w:rsid w:val="119500A0"/>
    <w:rsid w:val="119C5967"/>
    <w:rsid w:val="119C5E84"/>
    <w:rsid w:val="11A02710"/>
    <w:rsid w:val="11A039EF"/>
    <w:rsid w:val="11A167EE"/>
    <w:rsid w:val="11A81F90"/>
    <w:rsid w:val="11AC7198"/>
    <w:rsid w:val="11B02CA9"/>
    <w:rsid w:val="11BF511D"/>
    <w:rsid w:val="11D113C2"/>
    <w:rsid w:val="11D15027"/>
    <w:rsid w:val="11D24E50"/>
    <w:rsid w:val="11D65414"/>
    <w:rsid w:val="11D84431"/>
    <w:rsid w:val="11E42DD6"/>
    <w:rsid w:val="11E81D4E"/>
    <w:rsid w:val="11E845DE"/>
    <w:rsid w:val="120314AE"/>
    <w:rsid w:val="121C7188"/>
    <w:rsid w:val="12217B86"/>
    <w:rsid w:val="1222745A"/>
    <w:rsid w:val="122D1282"/>
    <w:rsid w:val="1241666E"/>
    <w:rsid w:val="124318AA"/>
    <w:rsid w:val="12575356"/>
    <w:rsid w:val="125F245C"/>
    <w:rsid w:val="12681299"/>
    <w:rsid w:val="12796516"/>
    <w:rsid w:val="128A572B"/>
    <w:rsid w:val="128B4FFF"/>
    <w:rsid w:val="128B5723"/>
    <w:rsid w:val="129A52ED"/>
    <w:rsid w:val="129C6B7B"/>
    <w:rsid w:val="12AD766B"/>
    <w:rsid w:val="12AF6F40"/>
    <w:rsid w:val="12B26A30"/>
    <w:rsid w:val="12B44556"/>
    <w:rsid w:val="12B8420A"/>
    <w:rsid w:val="12C1124A"/>
    <w:rsid w:val="12C275A0"/>
    <w:rsid w:val="12C41EAF"/>
    <w:rsid w:val="12C47099"/>
    <w:rsid w:val="12D839AD"/>
    <w:rsid w:val="12E0534B"/>
    <w:rsid w:val="12F157AA"/>
    <w:rsid w:val="12F42BA4"/>
    <w:rsid w:val="12F43E5D"/>
    <w:rsid w:val="12F47048"/>
    <w:rsid w:val="13010D7D"/>
    <w:rsid w:val="130230D9"/>
    <w:rsid w:val="13054DB2"/>
    <w:rsid w:val="130E627A"/>
    <w:rsid w:val="130F4FE6"/>
    <w:rsid w:val="13113593"/>
    <w:rsid w:val="13166FBF"/>
    <w:rsid w:val="13172E44"/>
    <w:rsid w:val="13293365"/>
    <w:rsid w:val="13314B71"/>
    <w:rsid w:val="133A7E6F"/>
    <w:rsid w:val="13443D0A"/>
    <w:rsid w:val="13453400"/>
    <w:rsid w:val="13516249"/>
    <w:rsid w:val="13561AB1"/>
    <w:rsid w:val="135E6204"/>
    <w:rsid w:val="13633C71"/>
    <w:rsid w:val="13640053"/>
    <w:rsid w:val="13776A85"/>
    <w:rsid w:val="137A6ABD"/>
    <w:rsid w:val="137E4BF0"/>
    <w:rsid w:val="137F4B64"/>
    <w:rsid w:val="13871C6A"/>
    <w:rsid w:val="13A0174D"/>
    <w:rsid w:val="13A3042F"/>
    <w:rsid w:val="13AC214B"/>
    <w:rsid w:val="13AC3C80"/>
    <w:rsid w:val="13B660AC"/>
    <w:rsid w:val="13CC3B21"/>
    <w:rsid w:val="13D12EE6"/>
    <w:rsid w:val="13F150C6"/>
    <w:rsid w:val="13FA3E4A"/>
    <w:rsid w:val="13FE2B7B"/>
    <w:rsid w:val="140C03C2"/>
    <w:rsid w:val="14132899"/>
    <w:rsid w:val="14151163"/>
    <w:rsid w:val="14227173"/>
    <w:rsid w:val="14276FAA"/>
    <w:rsid w:val="142A51C3"/>
    <w:rsid w:val="142E34B0"/>
    <w:rsid w:val="14327A64"/>
    <w:rsid w:val="143811B7"/>
    <w:rsid w:val="143A727F"/>
    <w:rsid w:val="1444633F"/>
    <w:rsid w:val="144B2C98"/>
    <w:rsid w:val="144D6A10"/>
    <w:rsid w:val="14535FF1"/>
    <w:rsid w:val="14553B17"/>
    <w:rsid w:val="145A4D9A"/>
    <w:rsid w:val="145C30F7"/>
    <w:rsid w:val="145E3AEE"/>
    <w:rsid w:val="147023D2"/>
    <w:rsid w:val="147314D3"/>
    <w:rsid w:val="147321EF"/>
    <w:rsid w:val="14773A8D"/>
    <w:rsid w:val="148A6EAF"/>
    <w:rsid w:val="148F1917"/>
    <w:rsid w:val="14943C5A"/>
    <w:rsid w:val="14A47C0F"/>
    <w:rsid w:val="14B1430C"/>
    <w:rsid w:val="14B35D54"/>
    <w:rsid w:val="14BC3B96"/>
    <w:rsid w:val="14C31A74"/>
    <w:rsid w:val="14CA62B3"/>
    <w:rsid w:val="14D56A06"/>
    <w:rsid w:val="14D709D0"/>
    <w:rsid w:val="14EB6229"/>
    <w:rsid w:val="14F055ED"/>
    <w:rsid w:val="150177FB"/>
    <w:rsid w:val="15021EE3"/>
    <w:rsid w:val="1514752E"/>
    <w:rsid w:val="15155054"/>
    <w:rsid w:val="15193563"/>
    <w:rsid w:val="15244558"/>
    <w:rsid w:val="152702A0"/>
    <w:rsid w:val="15284D87"/>
    <w:rsid w:val="152F25BA"/>
    <w:rsid w:val="153B0F5F"/>
    <w:rsid w:val="153D239E"/>
    <w:rsid w:val="154B5CEB"/>
    <w:rsid w:val="154F6399"/>
    <w:rsid w:val="15523B30"/>
    <w:rsid w:val="155576DB"/>
    <w:rsid w:val="156B7752"/>
    <w:rsid w:val="156C736A"/>
    <w:rsid w:val="15793835"/>
    <w:rsid w:val="157B57FF"/>
    <w:rsid w:val="15886B71"/>
    <w:rsid w:val="158D28ED"/>
    <w:rsid w:val="158E5532"/>
    <w:rsid w:val="15A05265"/>
    <w:rsid w:val="15A15D31"/>
    <w:rsid w:val="15B676EB"/>
    <w:rsid w:val="15B825AF"/>
    <w:rsid w:val="15C54E34"/>
    <w:rsid w:val="15C745A0"/>
    <w:rsid w:val="15CC428B"/>
    <w:rsid w:val="15D16344"/>
    <w:rsid w:val="15DE18EA"/>
    <w:rsid w:val="15E52C78"/>
    <w:rsid w:val="15E5487A"/>
    <w:rsid w:val="15E74C42"/>
    <w:rsid w:val="15F64E85"/>
    <w:rsid w:val="1601480E"/>
    <w:rsid w:val="160752E5"/>
    <w:rsid w:val="16094BB9"/>
    <w:rsid w:val="160C46A9"/>
    <w:rsid w:val="1615355E"/>
    <w:rsid w:val="161A600B"/>
    <w:rsid w:val="16204C2D"/>
    <w:rsid w:val="162419F3"/>
    <w:rsid w:val="162A376A"/>
    <w:rsid w:val="16300397"/>
    <w:rsid w:val="164067DD"/>
    <w:rsid w:val="16436B43"/>
    <w:rsid w:val="16491459"/>
    <w:rsid w:val="164F3C25"/>
    <w:rsid w:val="16535D1D"/>
    <w:rsid w:val="16541879"/>
    <w:rsid w:val="16701B47"/>
    <w:rsid w:val="16763D27"/>
    <w:rsid w:val="167F3C36"/>
    <w:rsid w:val="16922E00"/>
    <w:rsid w:val="16966327"/>
    <w:rsid w:val="16A00AAD"/>
    <w:rsid w:val="16A843D2"/>
    <w:rsid w:val="16AD459B"/>
    <w:rsid w:val="16B207CA"/>
    <w:rsid w:val="16BC2490"/>
    <w:rsid w:val="16C84E56"/>
    <w:rsid w:val="16D01B7A"/>
    <w:rsid w:val="16DC407B"/>
    <w:rsid w:val="16DE7DF3"/>
    <w:rsid w:val="16E15B36"/>
    <w:rsid w:val="16E34270"/>
    <w:rsid w:val="16EC5D70"/>
    <w:rsid w:val="16F92E7F"/>
    <w:rsid w:val="16FA09A5"/>
    <w:rsid w:val="1710087C"/>
    <w:rsid w:val="17105EE5"/>
    <w:rsid w:val="17107D9E"/>
    <w:rsid w:val="17142067"/>
    <w:rsid w:val="171B294E"/>
    <w:rsid w:val="171B2DF6"/>
    <w:rsid w:val="17202CA2"/>
    <w:rsid w:val="172B0DE8"/>
    <w:rsid w:val="173B424A"/>
    <w:rsid w:val="174F2A9F"/>
    <w:rsid w:val="174F66DD"/>
    <w:rsid w:val="17540505"/>
    <w:rsid w:val="175C51BC"/>
    <w:rsid w:val="17605364"/>
    <w:rsid w:val="17635ADC"/>
    <w:rsid w:val="176A1687"/>
    <w:rsid w:val="176C0F1B"/>
    <w:rsid w:val="176C1B6F"/>
    <w:rsid w:val="17701BC8"/>
    <w:rsid w:val="17740D10"/>
    <w:rsid w:val="1776002C"/>
    <w:rsid w:val="177B11F3"/>
    <w:rsid w:val="177C578A"/>
    <w:rsid w:val="17872239"/>
    <w:rsid w:val="178A7F7B"/>
    <w:rsid w:val="178D4EE6"/>
    <w:rsid w:val="17923775"/>
    <w:rsid w:val="1792790E"/>
    <w:rsid w:val="17A0651E"/>
    <w:rsid w:val="17B246DF"/>
    <w:rsid w:val="17B365AC"/>
    <w:rsid w:val="17B374D2"/>
    <w:rsid w:val="17BC0E11"/>
    <w:rsid w:val="17D11252"/>
    <w:rsid w:val="17DF7A1A"/>
    <w:rsid w:val="17F51899"/>
    <w:rsid w:val="17F90C5D"/>
    <w:rsid w:val="18002127"/>
    <w:rsid w:val="18050C8B"/>
    <w:rsid w:val="180E295A"/>
    <w:rsid w:val="181066D2"/>
    <w:rsid w:val="18115A63"/>
    <w:rsid w:val="18133ACD"/>
    <w:rsid w:val="18167A61"/>
    <w:rsid w:val="18176E70"/>
    <w:rsid w:val="18194E5B"/>
    <w:rsid w:val="181A12FF"/>
    <w:rsid w:val="181D494B"/>
    <w:rsid w:val="182F038D"/>
    <w:rsid w:val="18300B23"/>
    <w:rsid w:val="183A72AB"/>
    <w:rsid w:val="183B0212"/>
    <w:rsid w:val="183D765A"/>
    <w:rsid w:val="183E3326"/>
    <w:rsid w:val="183F0D66"/>
    <w:rsid w:val="184476F3"/>
    <w:rsid w:val="184672A3"/>
    <w:rsid w:val="18550589"/>
    <w:rsid w:val="18754787"/>
    <w:rsid w:val="18784278"/>
    <w:rsid w:val="187D188E"/>
    <w:rsid w:val="18890135"/>
    <w:rsid w:val="18943406"/>
    <w:rsid w:val="18950677"/>
    <w:rsid w:val="18AD3F21"/>
    <w:rsid w:val="18AD4FBB"/>
    <w:rsid w:val="18B43502"/>
    <w:rsid w:val="18B828C6"/>
    <w:rsid w:val="18BC4164"/>
    <w:rsid w:val="18BF4D9F"/>
    <w:rsid w:val="18C179CD"/>
    <w:rsid w:val="18C90755"/>
    <w:rsid w:val="18D01134"/>
    <w:rsid w:val="18D25736"/>
    <w:rsid w:val="18F338FE"/>
    <w:rsid w:val="18FE469A"/>
    <w:rsid w:val="190A3122"/>
    <w:rsid w:val="190D676E"/>
    <w:rsid w:val="19127B40"/>
    <w:rsid w:val="191571FD"/>
    <w:rsid w:val="19236A83"/>
    <w:rsid w:val="1927785E"/>
    <w:rsid w:val="192B12EA"/>
    <w:rsid w:val="192B3098"/>
    <w:rsid w:val="1930578A"/>
    <w:rsid w:val="1939202A"/>
    <w:rsid w:val="19433422"/>
    <w:rsid w:val="19504DF9"/>
    <w:rsid w:val="1950588A"/>
    <w:rsid w:val="19572814"/>
    <w:rsid w:val="195F175A"/>
    <w:rsid w:val="19716DB9"/>
    <w:rsid w:val="197639DB"/>
    <w:rsid w:val="197B7B7C"/>
    <w:rsid w:val="19800137"/>
    <w:rsid w:val="1981715C"/>
    <w:rsid w:val="199318E6"/>
    <w:rsid w:val="199724DC"/>
    <w:rsid w:val="199D3596"/>
    <w:rsid w:val="19AF2F90"/>
    <w:rsid w:val="19C21FF7"/>
    <w:rsid w:val="19C4349D"/>
    <w:rsid w:val="19C84821"/>
    <w:rsid w:val="19D81A85"/>
    <w:rsid w:val="19E03E83"/>
    <w:rsid w:val="19E25E4D"/>
    <w:rsid w:val="19E716B5"/>
    <w:rsid w:val="19FA13E8"/>
    <w:rsid w:val="19FC1F98"/>
    <w:rsid w:val="1A0F6516"/>
    <w:rsid w:val="1A163D48"/>
    <w:rsid w:val="1A1678A4"/>
    <w:rsid w:val="1A282B5E"/>
    <w:rsid w:val="1A2A15A2"/>
    <w:rsid w:val="1A2A1AC6"/>
    <w:rsid w:val="1A324A15"/>
    <w:rsid w:val="1A353C7F"/>
    <w:rsid w:val="1A46462D"/>
    <w:rsid w:val="1A4C6310"/>
    <w:rsid w:val="1A50668F"/>
    <w:rsid w:val="1A58610F"/>
    <w:rsid w:val="1A5D7FC5"/>
    <w:rsid w:val="1A643794"/>
    <w:rsid w:val="1A732F49"/>
    <w:rsid w:val="1A786CC7"/>
    <w:rsid w:val="1A976C37"/>
    <w:rsid w:val="1AA03612"/>
    <w:rsid w:val="1ABE547B"/>
    <w:rsid w:val="1AC027B6"/>
    <w:rsid w:val="1ACE050D"/>
    <w:rsid w:val="1AD95B3E"/>
    <w:rsid w:val="1ADF238C"/>
    <w:rsid w:val="1AEB5933"/>
    <w:rsid w:val="1AF21004"/>
    <w:rsid w:val="1AF916A0"/>
    <w:rsid w:val="1AFC4AD1"/>
    <w:rsid w:val="1B011B04"/>
    <w:rsid w:val="1B064E33"/>
    <w:rsid w:val="1B087B35"/>
    <w:rsid w:val="1B0C55F4"/>
    <w:rsid w:val="1B283D33"/>
    <w:rsid w:val="1B2F4187"/>
    <w:rsid w:val="1B56792C"/>
    <w:rsid w:val="1B5F3F43"/>
    <w:rsid w:val="1B616581"/>
    <w:rsid w:val="1B69249F"/>
    <w:rsid w:val="1B724FAE"/>
    <w:rsid w:val="1B7E3953"/>
    <w:rsid w:val="1B83540D"/>
    <w:rsid w:val="1B94080E"/>
    <w:rsid w:val="1B99078D"/>
    <w:rsid w:val="1BB8208D"/>
    <w:rsid w:val="1BBD18E9"/>
    <w:rsid w:val="1BBE1FA1"/>
    <w:rsid w:val="1BBE20E5"/>
    <w:rsid w:val="1BCD48DA"/>
    <w:rsid w:val="1BCF41AF"/>
    <w:rsid w:val="1BE340FE"/>
    <w:rsid w:val="1BE35EAC"/>
    <w:rsid w:val="1BE85F5C"/>
    <w:rsid w:val="1BF907B9"/>
    <w:rsid w:val="1C080037"/>
    <w:rsid w:val="1C0A00B2"/>
    <w:rsid w:val="1C0A6C76"/>
    <w:rsid w:val="1C1442B7"/>
    <w:rsid w:val="1C1D03E7"/>
    <w:rsid w:val="1C1F4DFB"/>
    <w:rsid w:val="1C204A0A"/>
    <w:rsid w:val="1C2136DF"/>
    <w:rsid w:val="1C243C23"/>
    <w:rsid w:val="1C2A1234"/>
    <w:rsid w:val="1C2D0AB9"/>
    <w:rsid w:val="1C35306E"/>
    <w:rsid w:val="1C3839D9"/>
    <w:rsid w:val="1C3A34E8"/>
    <w:rsid w:val="1C43246E"/>
    <w:rsid w:val="1C626DD1"/>
    <w:rsid w:val="1C6C298A"/>
    <w:rsid w:val="1C744D56"/>
    <w:rsid w:val="1C817B9F"/>
    <w:rsid w:val="1C846ADB"/>
    <w:rsid w:val="1C871B4C"/>
    <w:rsid w:val="1C8B2727"/>
    <w:rsid w:val="1C8B27CB"/>
    <w:rsid w:val="1C8B33FD"/>
    <w:rsid w:val="1C9544C3"/>
    <w:rsid w:val="1CA27B15"/>
    <w:rsid w:val="1CAD4631"/>
    <w:rsid w:val="1CB27BA1"/>
    <w:rsid w:val="1CB955E8"/>
    <w:rsid w:val="1CBD494F"/>
    <w:rsid w:val="1CC00641"/>
    <w:rsid w:val="1CD6156D"/>
    <w:rsid w:val="1CD87093"/>
    <w:rsid w:val="1CDE66FD"/>
    <w:rsid w:val="1CE819CC"/>
    <w:rsid w:val="1CEB554C"/>
    <w:rsid w:val="1CFA7A77"/>
    <w:rsid w:val="1CFE1CD3"/>
    <w:rsid w:val="1D01483C"/>
    <w:rsid w:val="1D063C00"/>
    <w:rsid w:val="1D1A3B4F"/>
    <w:rsid w:val="1D1E3640"/>
    <w:rsid w:val="1D2A5EB1"/>
    <w:rsid w:val="1D422B05"/>
    <w:rsid w:val="1D4651FE"/>
    <w:rsid w:val="1D57445C"/>
    <w:rsid w:val="1D65746E"/>
    <w:rsid w:val="1D6D0123"/>
    <w:rsid w:val="1D7E1B22"/>
    <w:rsid w:val="1D805CEE"/>
    <w:rsid w:val="1D8548A0"/>
    <w:rsid w:val="1D891058"/>
    <w:rsid w:val="1D8B1DF6"/>
    <w:rsid w:val="1D962494"/>
    <w:rsid w:val="1DA022A7"/>
    <w:rsid w:val="1DAD49C3"/>
    <w:rsid w:val="1DAD6772"/>
    <w:rsid w:val="1DB00010"/>
    <w:rsid w:val="1DCD6667"/>
    <w:rsid w:val="1DD70304"/>
    <w:rsid w:val="1DD957B9"/>
    <w:rsid w:val="1DDC2921"/>
    <w:rsid w:val="1DDD5064"/>
    <w:rsid w:val="1DE27955"/>
    <w:rsid w:val="1DEA1774"/>
    <w:rsid w:val="1DEA3522"/>
    <w:rsid w:val="1DF05C5E"/>
    <w:rsid w:val="1DFF08C8"/>
    <w:rsid w:val="1E0B1CF9"/>
    <w:rsid w:val="1E240762"/>
    <w:rsid w:val="1E2A3FD0"/>
    <w:rsid w:val="1E2C3B3A"/>
    <w:rsid w:val="1E3D4589"/>
    <w:rsid w:val="1E45403F"/>
    <w:rsid w:val="1E454BFC"/>
    <w:rsid w:val="1E4B087E"/>
    <w:rsid w:val="1E5170FD"/>
    <w:rsid w:val="1E5B5BC0"/>
    <w:rsid w:val="1E5F5CBE"/>
    <w:rsid w:val="1E672DC4"/>
    <w:rsid w:val="1E6F1C79"/>
    <w:rsid w:val="1E733517"/>
    <w:rsid w:val="1E734FEF"/>
    <w:rsid w:val="1E7401E1"/>
    <w:rsid w:val="1E7C1558"/>
    <w:rsid w:val="1E7D7EF2"/>
    <w:rsid w:val="1E7E1EBC"/>
    <w:rsid w:val="1E866D4E"/>
    <w:rsid w:val="1E937715"/>
    <w:rsid w:val="1E957931"/>
    <w:rsid w:val="1E96405B"/>
    <w:rsid w:val="1EAB3797"/>
    <w:rsid w:val="1EAC4C7B"/>
    <w:rsid w:val="1EAE27A1"/>
    <w:rsid w:val="1EB96849"/>
    <w:rsid w:val="1ECB3353"/>
    <w:rsid w:val="1ECC0E79"/>
    <w:rsid w:val="1EDE30E6"/>
    <w:rsid w:val="1EDF0BAD"/>
    <w:rsid w:val="1EDF69ED"/>
    <w:rsid w:val="1EF06D56"/>
    <w:rsid w:val="1EF158F8"/>
    <w:rsid w:val="1EF328AA"/>
    <w:rsid w:val="1EF67CA4"/>
    <w:rsid w:val="1EFA1543"/>
    <w:rsid w:val="1EFD54D7"/>
    <w:rsid w:val="1F0423C1"/>
    <w:rsid w:val="1F06438B"/>
    <w:rsid w:val="1F224BA2"/>
    <w:rsid w:val="1F282554"/>
    <w:rsid w:val="1F3B254F"/>
    <w:rsid w:val="1F460C2C"/>
    <w:rsid w:val="1F5300FF"/>
    <w:rsid w:val="1F593EE9"/>
    <w:rsid w:val="1F6029F1"/>
    <w:rsid w:val="1F62533A"/>
    <w:rsid w:val="1F6466AD"/>
    <w:rsid w:val="1F685CB6"/>
    <w:rsid w:val="1F703EFB"/>
    <w:rsid w:val="1F713200"/>
    <w:rsid w:val="1F730536"/>
    <w:rsid w:val="1F7A52E5"/>
    <w:rsid w:val="1F7E1617"/>
    <w:rsid w:val="1F8359DC"/>
    <w:rsid w:val="1F836C1F"/>
    <w:rsid w:val="1F8654CC"/>
    <w:rsid w:val="1F8C2A73"/>
    <w:rsid w:val="1FA47700"/>
    <w:rsid w:val="1FA672D2"/>
    <w:rsid w:val="1FAD2A59"/>
    <w:rsid w:val="1FB27619"/>
    <w:rsid w:val="1FB45B95"/>
    <w:rsid w:val="1FB77434"/>
    <w:rsid w:val="1FBB33C8"/>
    <w:rsid w:val="1FD257E9"/>
    <w:rsid w:val="1FD9384E"/>
    <w:rsid w:val="1FE765D2"/>
    <w:rsid w:val="1FED554B"/>
    <w:rsid w:val="1FF932EF"/>
    <w:rsid w:val="1FFB37C4"/>
    <w:rsid w:val="20054643"/>
    <w:rsid w:val="200D1749"/>
    <w:rsid w:val="20254CE5"/>
    <w:rsid w:val="202A375C"/>
    <w:rsid w:val="203211B0"/>
    <w:rsid w:val="20360CA0"/>
    <w:rsid w:val="203903AF"/>
    <w:rsid w:val="20465FE8"/>
    <w:rsid w:val="205C7FDB"/>
    <w:rsid w:val="20623843"/>
    <w:rsid w:val="20633BB5"/>
    <w:rsid w:val="20806EE9"/>
    <w:rsid w:val="208539D6"/>
    <w:rsid w:val="208732AA"/>
    <w:rsid w:val="208912DD"/>
    <w:rsid w:val="208E6682"/>
    <w:rsid w:val="208F5D73"/>
    <w:rsid w:val="20AF0CAD"/>
    <w:rsid w:val="20AF2801"/>
    <w:rsid w:val="20B22747"/>
    <w:rsid w:val="20B37A89"/>
    <w:rsid w:val="20B55F16"/>
    <w:rsid w:val="20C40C24"/>
    <w:rsid w:val="20D67D8D"/>
    <w:rsid w:val="20DC0C2C"/>
    <w:rsid w:val="20EA55E7"/>
    <w:rsid w:val="20F12AFF"/>
    <w:rsid w:val="20FF72E4"/>
    <w:rsid w:val="21014E3F"/>
    <w:rsid w:val="21025026"/>
    <w:rsid w:val="210769FB"/>
    <w:rsid w:val="21077570"/>
    <w:rsid w:val="21134B3E"/>
    <w:rsid w:val="21244F9D"/>
    <w:rsid w:val="21473C72"/>
    <w:rsid w:val="214B077B"/>
    <w:rsid w:val="21577C73"/>
    <w:rsid w:val="21581D3D"/>
    <w:rsid w:val="21583BBB"/>
    <w:rsid w:val="21634375"/>
    <w:rsid w:val="216607B4"/>
    <w:rsid w:val="21694F48"/>
    <w:rsid w:val="21725D08"/>
    <w:rsid w:val="2188552B"/>
    <w:rsid w:val="21935C7E"/>
    <w:rsid w:val="21B04A82"/>
    <w:rsid w:val="21B700A6"/>
    <w:rsid w:val="21C127EB"/>
    <w:rsid w:val="21CE2E13"/>
    <w:rsid w:val="21D45042"/>
    <w:rsid w:val="21DE514B"/>
    <w:rsid w:val="21EE401A"/>
    <w:rsid w:val="21F46986"/>
    <w:rsid w:val="22096F4C"/>
    <w:rsid w:val="220B7F0B"/>
    <w:rsid w:val="220E3E9E"/>
    <w:rsid w:val="2212505A"/>
    <w:rsid w:val="221548E5"/>
    <w:rsid w:val="22162B37"/>
    <w:rsid w:val="22175167"/>
    <w:rsid w:val="221A4CD6"/>
    <w:rsid w:val="22222E58"/>
    <w:rsid w:val="22271ED3"/>
    <w:rsid w:val="22387195"/>
    <w:rsid w:val="223E3E3C"/>
    <w:rsid w:val="224315CB"/>
    <w:rsid w:val="22444723"/>
    <w:rsid w:val="224A458F"/>
    <w:rsid w:val="224D22D1"/>
    <w:rsid w:val="22590C76"/>
    <w:rsid w:val="225C2514"/>
    <w:rsid w:val="225E4836"/>
    <w:rsid w:val="226118D9"/>
    <w:rsid w:val="22642F60"/>
    <w:rsid w:val="226F298F"/>
    <w:rsid w:val="227A1235"/>
    <w:rsid w:val="227F528A"/>
    <w:rsid w:val="22857909"/>
    <w:rsid w:val="22883DA5"/>
    <w:rsid w:val="22907894"/>
    <w:rsid w:val="22A6414A"/>
    <w:rsid w:val="22B368A8"/>
    <w:rsid w:val="22B42350"/>
    <w:rsid w:val="22B83E1E"/>
    <w:rsid w:val="22C17821"/>
    <w:rsid w:val="22C335E1"/>
    <w:rsid w:val="22C375D7"/>
    <w:rsid w:val="22D622C7"/>
    <w:rsid w:val="22D87DED"/>
    <w:rsid w:val="22D93B65"/>
    <w:rsid w:val="22E5250A"/>
    <w:rsid w:val="22FD039D"/>
    <w:rsid w:val="2305495A"/>
    <w:rsid w:val="231E77CA"/>
    <w:rsid w:val="2320361E"/>
    <w:rsid w:val="23225A19"/>
    <w:rsid w:val="232272BA"/>
    <w:rsid w:val="232C1EE7"/>
    <w:rsid w:val="232F3539"/>
    <w:rsid w:val="233314C7"/>
    <w:rsid w:val="23350A50"/>
    <w:rsid w:val="23360FB7"/>
    <w:rsid w:val="233A2855"/>
    <w:rsid w:val="233F60BE"/>
    <w:rsid w:val="23402482"/>
    <w:rsid w:val="235B7B07"/>
    <w:rsid w:val="235F22BC"/>
    <w:rsid w:val="235F41EA"/>
    <w:rsid w:val="236F5098"/>
    <w:rsid w:val="237815D0"/>
    <w:rsid w:val="2378337E"/>
    <w:rsid w:val="23840079"/>
    <w:rsid w:val="23867849"/>
    <w:rsid w:val="23887A65"/>
    <w:rsid w:val="239B00EF"/>
    <w:rsid w:val="23A46C4C"/>
    <w:rsid w:val="23A979DB"/>
    <w:rsid w:val="23AC6E06"/>
    <w:rsid w:val="23B96EBD"/>
    <w:rsid w:val="23C95987"/>
    <w:rsid w:val="23CB16FF"/>
    <w:rsid w:val="23D1796D"/>
    <w:rsid w:val="23D20F3D"/>
    <w:rsid w:val="23E26A49"/>
    <w:rsid w:val="23FD3B14"/>
    <w:rsid w:val="24030E99"/>
    <w:rsid w:val="241F43DF"/>
    <w:rsid w:val="243A0633"/>
    <w:rsid w:val="24430826"/>
    <w:rsid w:val="244346C8"/>
    <w:rsid w:val="24450BC8"/>
    <w:rsid w:val="2446522A"/>
    <w:rsid w:val="244A6AC8"/>
    <w:rsid w:val="245142FB"/>
    <w:rsid w:val="24521E21"/>
    <w:rsid w:val="24560181"/>
    <w:rsid w:val="245F009A"/>
    <w:rsid w:val="2460453E"/>
    <w:rsid w:val="24613C33"/>
    <w:rsid w:val="24747FE9"/>
    <w:rsid w:val="247B3126"/>
    <w:rsid w:val="247E6772"/>
    <w:rsid w:val="248A4160"/>
    <w:rsid w:val="248E4ED8"/>
    <w:rsid w:val="24946912"/>
    <w:rsid w:val="249E4C43"/>
    <w:rsid w:val="24B46637"/>
    <w:rsid w:val="24B64D98"/>
    <w:rsid w:val="24B77ED6"/>
    <w:rsid w:val="24BC54EC"/>
    <w:rsid w:val="24BE3012"/>
    <w:rsid w:val="24C20D54"/>
    <w:rsid w:val="24D309E8"/>
    <w:rsid w:val="24DE36B4"/>
    <w:rsid w:val="24ED38F7"/>
    <w:rsid w:val="24EE7D9B"/>
    <w:rsid w:val="24EF58C2"/>
    <w:rsid w:val="24FE71FC"/>
    <w:rsid w:val="25071355"/>
    <w:rsid w:val="250B02C1"/>
    <w:rsid w:val="250F386E"/>
    <w:rsid w:val="25111E49"/>
    <w:rsid w:val="25286426"/>
    <w:rsid w:val="252E567D"/>
    <w:rsid w:val="253549E1"/>
    <w:rsid w:val="2536529E"/>
    <w:rsid w:val="254B0687"/>
    <w:rsid w:val="25513E86"/>
    <w:rsid w:val="25585215"/>
    <w:rsid w:val="25641B62"/>
    <w:rsid w:val="25692CA4"/>
    <w:rsid w:val="256E67E6"/>
    <w:rsid w:val="25716F0D"/>
    <w:rsid w:val="25737DAF"/>
    <w:rsid w:val="25761B3F"/>
    <w:rsid w:val="257E40E6"/>
    <w:rsid w:val="258B03EA"/>
    <w:rsid w:val="259528D6"/>
    <w:rsid w:val="25981AB5"/>
    <w:rsid w:val="25985869"/>
    <w:rsid w:val="25A35168"/>
    <w:rsid w:val="25AE7098"/>
    <w:rsid w:val="25B059A6"/>
    <w:rsid w:val="25B3702F"/>
    <w:rsid w:val="25B7720D"/>
    <w:rsid w:val="25BC1C48"/>
    <w:rsid w:val="25C14B42"/>
    <w:rsid w:val="25C32FD6"/>
    <w:rsid w:val="25C577CD"/>
    <w:rsid w:val="25C710DF"/>
    <w:rsid w:val="25D52049"/>
    <w:rsid w:val="25DA20CE"/>
    <w:rsid w:val="25E01A3E"/>
    <w:rsid w:val="25E82A3D"/>
    <w:rsid w:val="25EC1B26"/>
    <w:rsid w:val="25EF1AF0"/>
    <w:rsid w:val="25F3318F"/>
    <w:rsid w:val="261A465B"/>
    <w:rsid w:val="261A4BC0"/>
    <w:rsid w:val="261B5221"/>
    <w:rsid w:val="262826A7"/>
    <w:rsid w:val="26296BB1"/>
    <w:rsid w:val="262E6765"/>
    <w:rsid w:val="26330686"/>
    <w:rsid w:val="2637306F"/>
    <w:rsid w:val="26413C64"/>
    <w:rsid w:val="26436B23"/>
    <w:rsid w:val="264569B4"/>
    <w:rsid w:val="2648306C"/>
    <w:rsid w:val="264B4D7A"/>
    <w:rsid w:val="264D746E"/>
    <w:rsid w:val="264F7C33"/>
    <w:rsid w:val="265417B0"/>
    <w:rsid w:val="26591507"/>
    <w:rsid w:val="265E6EB7"/>
    <w:rsid w:val="265F3C3B"/>
    <w:rsid w:val="266100F9"/>
    <w:rsid w:val="266E7594"/>
    <w:rsid w:val="2678499C"/>
    <w:rsid w:val="268028D3"/>
    <w:rsid w:val="26832765"/>
    <w:rsid w:val="268F110A"/>
    <w:rsid w:val="26907073"/>
    <w:rsid w:val="26A30712"/>
    <w:rsid w:val="26B119D0"/>
    <w:rsid w:val="26BC535F"/>
    <w:rsid w:val="26CB17BC"/>
    <w:rsid w:val="26CD39E1"/>
    <w:rsid w:val="26D46B1D"/>
    <w:rsid w:val="26D95B17"/>
    <w:rsid w:val="26DC4BB2"/>
    <w:rsid w:val="26DD358D"/>
    <w:rsid w:val="26E22FEA"/>
    <w:rsid w:val="26E71356"/>
    <w:rsid w:val="26FD52FB"/>
    <w:rsid w:val="2707775C"/>
    <w:rsid w:val="270C532E"/>
    <w:rsid w:val="270F40F6"/>
    <w:rsid w:val="2714160F"/>
    <w:rsid w:val="2720658B"/>
    <w:rsid w:val="272C64F8"/>
    <w:rsid w:val="27315D1D"/>
    <w:rsid w:val="273F48DE"/>
    <w:rsid w:val="27413EBD"/>
    <w:rsid w:val="27444C56"/>
    <w:rsid w:val="274649CF"/>
    <w:rsid w:val="27534E3F"/>
    <w:rsid w:val="27653C19"/>
    <w:rsid w:val="27677991"/>
    <w:rsid w:val="27681067"/>
    <w:rsid w:val="277B6EE9"/>
    <w:rsid w:val="27870033"/>
    <w:rsid w:val="278A3E0D"/>
    <w:rsid w:val="278C73F8"/>
    <w:rsid w:val="27926C71"/>
    <w:rsid w:val="279374D9"/>
    <w:rsid w:val="27A1608A"/>
    <w:rsid w:val="27AC35F6"/>
    <w:rsid w:val="27B529D4"/>
    <w:rsid w:val="27B85BB5"/>
    <w:rsid w:val="27C46B92"/>
    <w:rsid w:val="27C76FB9"/>
    <w:rsid w:val="27C82E0F"/>
    <w:rsid w:val="27D323EE"/>
    <w:rsid w:val="27D62633"/>
    <w:rsid w:val="27D75BAD"/>
    <w:rsid w:val="27DA7E10"/>
    <w:rsid w:val="27E02036"/>
    <w:rsid w:val="27E47999"/>
    <w:rsid w:val="27E860F5"/>
    <w:rsid w:val="27FF5E1C"/>
    <w:rsid w:val="28123DA1"/>
    <w:rsid w:val="28162BAB"/>
    <w:rsid w:val="28201A72"/>
    <w:rsid w:val="28221B0A"/>
    <w:rsid w:val="2825600E"/>
    <w:rsid w:val="2827725C"/>
    <w:rsid w:val="282910EA"/>
    <w:rsid w:val="282C021F"/>
    <w:rsid w:val="282C4737"/>
    <w:rsid w:val="28302479"/>
    <w:rsid w:val="283712F9"/>
    <w:rsid w:val="28463A4A"/>
    <w:rsid w:val="284F578B"/>
    <w:rsid w:val="284F616E"/>
    <w:rsid w:val="28621E4D"/>
    <w:rsid w:val="28663AB9"/>
    <w:rsid w:val="286A598B"/>
    <w:rsid w:val="286B34B1"/>
    <w:rsid w:val="286C2C15"/>
    <w:rsid w:val="286E4D4F"/>
    <w:rsid w:val="287214E3"/>
    <w:rsid w:val="28722A91"/>
    <w:rsid w:val="28734E48"/>
    <w:rsid w:val="28760635"/>
    <w:rsid w:val="2881342B"/>
    <w:rsid w:val="289201C6"/>
    <w:rsid w:val="289458D1"/>
    <w:rsid w:val="289C18BC"/>
    <w:rsid w:val="289C346E"/>
    <w:rsid w:val="28A6098D"/>
    <w:rsid w:val="28AC742B"/>
    <w:rsid w:val="28B35786"/>
    <w:rsid w:val="28B9421C"/>
    <w:rsid w:val="28BB49E1"/>
    <w:rsid w:val="28BD1EC1"/>
    <w:rsid w:val="28C31D1B"/>
    <w:rsid w:val="28C606E7"/>
    <w:rsid w:val="28D728F5"/>
    <w:rsid w:val="28E513E1"/>
    <w:rsid w:val="28F9286B"/>
    <w:rsid w:val="28FE60D3"/>
    <w:rsid w:val="290120C5"/>
    <w:rsid w:val="29115F0D"/>
    <w:rsid w:val="29181BE3"/>
    <w:rsid w:val="292001E4"/>
    <w:rsid w:val="29203ADB"/>
    <w:rsid w:val="292813A2"/>
    <w:rsid w:val="29373393"/>
    <w:rsid w:val="2944442E"/>
    <w:rsid w:val="29453572"/>
    <w:rsid w:val="294837F2"/>
    <w:rsid w:val="2949693C"/>
    <w:rsid w:val="29497181"/>
    <w:rsid w:val="296F48DD"/>
    <w:rsid w:val="29734590"/>
    <w:rsid w:val="29753689"/>
    <w:rsid w:val="297B061E"/>
    <w:rsid w:val="297C3DE6"/>
    <w:rsid w:val="298A5BB9"/>
    <w:rsid w:val="299D2997"/>
    <w:rsid w:val="29A11532"/>
    <w:rsid w:val="29A2742D"/>
    <w:rsid w:val="29A52F6B"/>
    <w:rsid w:val="29A809A2"/>
    <w:rsid w:val="29AA1DB7"/>
    <w:rsid w:val="29B55A0E"/>
    <w:rsid w:val="29BD7D3C"/>
    <w:rsid w:val="29C67614"/>
    <w:rsid w:val="29CF181E"/>
    <w:rsid w:val="29E87A70"/>
    <w:rsid w:val="29E90B31"/>
    <w:rsid w:val="29EA6657"/>
    <w:rsid w:val="29ED76D1"/>
    <w:rsid w:val="29F80D74"/>
    <w:rsid w:val="29FB19D3"/>
    <w:rsid w:val="29FD640A"/>
    <w:rsid w:val="2A02509C"/>
    <w:rsid w:val="2A1A6F3D"/>
    <w:rsid w:val="2A1D361F"/>
    <w:rsid w:val="2A1D41B4"/>
    <w:rsid w:val="2A1F27A5"/>
    <w:rsid w:val="2A251C29"/>
    <w:rsid w:val="2A254ACD"/>
    <w:rsid w:val="2A2C4673"/>
    <w:rsid w:val="2A2D4EC2"/>
    <w:rsid w:val="2A316D7D"/>
    <w:rsid w:val="2A355B25"/>
    <w:rsid w:val="2A3F0751"/>
    <w:rsid w:val="2A425F15"/>
    <w:rsid w:val="2A4E4E38"/>
    <w:rsid w:val="2A570191"/>
    <w:rsid w:val="2A5F0DF4"/>
    <w:rsid w:val="2A636B36"/>
    <w:rsid w:val="2A742AF1"/>
    <w:rsid w:val="2A861210"/>
    <w:rsid w:val="2A9036A3"/>
    <w:rsid w:val="2AA328B8"/>
    <w:rsid w:val="2AAA6513"/>
    <w:rsid w:val="2AAD3A85"/>
    <w:rsid w:val="2ABA41F8"/>
    <w:rsid w:val="2AC36FE3"/>
    <w:rsid w:val="2AD95DF5"/>
    <w:rsid w:val="2ADC0696"/>
    <w:rsid w:val="2AE31A25"/>
    <w:rsid w:val="2AF552B4"/>
    <w:rsid w:val="2AFA02E1"/>
    <w:rsid w:val="2B02634F"/>
    <w:rsid w:val="2B026687"/>
    <w:rsid w:val="2B0832C0"/>
    <w:rsid w:val="2B0F45C8"/>
    <w:rsid w:val="2B12223B"/>
    <w:rsid w:val="2B142E06"/>
    <w:rsid w:val="2B1E2BD7"/>
    <w:rsid w:val="2B2152D3"/>
    <w:rsid w:val="2B261911"/>
    <w:rsid w:val="2B300B5B"/>
    <w:rsid w:val="2B3D7387"/>
    <w:rsid w:val="2B575EA1"/>
    <w:rsid w:val="2B593A5E"/>
    <w:rsid w:val="2B5B780D"/>
    <w:rsid w:val="2B604E23"/>
    <w:rsid w:val="2B676F45"/>
    <w:rsid w:val="2B717030"/>
    <w:rsid w:val="2B7B0BE8"/>
    <w:rsid w:val="2B8723B0"/>
    <w:rsid w:val="2B895FC1"/>
    <w:rsid w:val="2BA70645"/>
    <w:rsid w:val="2BA87FC5"/>
    <w:rsid w:val="2BAA4D5D"/>
    <w:rsid w:val="2BB331A5"/>
    <w:rsid w:val="2BC22D48"/>
    <w:rsid w:val="2BC2569A"/>
    <w:rsid w:val="2BC817F9"/>
    <w:rsid w:val="2BE11E94"/>
    <w:rsid w:val="2BE9306B"/>
    <w:rsid w:val="2BF57C61"/>
    <w:rsid w:val="2BFA5278"/>
    <w:rsid w:val="2BFD474A"/>
    <w:rsid w:val="2C025EDA"/>
    <w:rsid w:val="2C0B3D14"/>
    <w:rsid w:val="2C0C0B07"/>
    <w:rsid w:val="2C170C17"/>
    <w:rsid w:val="2C172779"/>
    <w:rsid w:val="2C1A76C8"/>
    <w:rsid w:val="2C1E7415"/>
    <w:rsid w:val="2C236341"/>
    <w:rsid w:val="2C245E51"/>
    <w:rsid w:val="2C2723D7"/>
    <w:rsid w:val="2C2F02F7"/>
    <w:rsid w:val="2C4664A8"/>
    <w:rsid w:val="2C472539"/>
    <w:rsid w:val="2C497DDB"/>
    <w:rsid w:val="2C5030EA"/>
    <w:rsid w:val="2C51662F"/>
    <w:rsid w:val="2C622E1D"/>
    <w:rsid w:val="2C6C484C"/>
    <w:rsid w:val="2C861841"/>
    <w:rsid w:val="2C864D5D"/>
    <w:rsid w:val="2C8D1C48"/>
    <w:rsid w:val="2C932FD6"/>
    <w:rsid w:val="2C956F26"/>
    <w:rsid w:val="2CA17D7D"/>
    <w:rsid w:val="2CAD6FBD"/>
    <w:rsid w:val="2CB32BC2"/>
    <w:rsid w:val="2CB7420D"/>
    <w:rsid w:val="2CC31B0E"/>
    <w:rsid w:val="2CC34F7E"/>
    <w:rsid w:val="2CC80ED2"/>
    <w:rsid w:val="2CCC10DC"/>
    <w:rsid w:val="2CE675AA"/>
    <w:rsid w:val="2CEC221C"/>
    <w:rsid w:val="2CF00FC2"/>
    <w:rsid w:val="2CF717B7"/>
    <w:rsid w:val="2D03015C"/>
    <w:rsid w:val="2D0A13DA"/>
    <w:rsid w:val="2D224CAC"/>
    <w:rsid w:val="2D2E420C"/>
    <w:rsid w:val="2D3C175C"/>
    <w:rsid w:val="2D45596C"/>
    <w:rsid w:val="2D475E7D"/>
    <w:rsid w:val="2D542766"/>
    <w:rsid w:val="2D55028C"/>
    <w:rsid w:val="2D591F74"/>
    <w:rsid w:val="2D5E1836"/>
    <w:rsid w:val="2D5E60B4"/>
    <w:rsid w:val="2D7E7717"/>
    <w:rsid w:val="2D807ED6"/>
    <w:rsid w:val="2D870D8D"/>
    <w:rsid w:val="2D8C7A66"/>
    <w:rsid w:val="2D9300A3"/>
    <w:rsid w:val="2D9558B4"/>
    <w:rsid w:val="2D9E0E43"/>
    <w:rsid w:val="2D9E2B70"/>
    <w:rsid w:val="2DAA682A"/>
    <w:rsid w:val="2DC808AB"/>
    <w:rsid w:val="2DD65871"/>
    <w:rsid w:val="2DD70147"/>
    <w:rsid w:val="2DE33AEA"/>
    <w:rsid w:val="2DEC299E"/>
    <w:rsid w:val="2DEE2BBA"/>
    <w:rsid w:val="2DF30B28"/>
    <w:rsid w:val="2E086BBB"/>
    <w:rsid w:val="2E0A52EF"/>
    <w:rsid w:val="2E1A3538"/>
    <w:rsid w:val="2E1E4B22"/>
    <w:rsid w:val="2E2959A0"/>
    <w:rsid w:val="2E326A63"/>
    <w:rsid w:val="2E385823"/>
    <w:rsid w:val="2E4F3CD2"/>
    <w:rsid w:val="2E503509"/>
    <w:rsid w:val="2E517319"/>
    <w:rsid w:val="2E6A1B5B"/>
    <w:rsid w:val="2E6F0463"/>
    <w:rsid w:val="2E711988"/>
    <w:rsid w:val="2E756F2E"/>
    <w:rsid w:val="2E7C6F6A"/>
    <w:rsid w:val="2E820AF2"/>
    <w:rsid w:val="2E86634F"/>
    <w:rsid w:val="2E870919"/>
    <w:rsid w:val="2E876B6B"/>
    <w:rsid w:val="2E89643F"/>
    <w:rsid w:val="2E8A7870"/>
    <w:rsid w:val="2E970B2D"/>
    <w:rsid w:val="2EA421E9"/>
    <w:rsid w:val="2EA62FAD"/>
    <w:rsid w:val="2ED718A0"/>
    <w:rsid w:val="2EDF2503"/>
    <w:rsid w:val="2EE26C4C"/>
    <w:rsid w:val="2EE841B3"/>
    <w:rsid w:val="2EF37D5C"/>
    <w:rsid w:val="2EF85479"/>
    <w:rsid w:val="2EFB103E"/>
    <w:rsid w:val="2EFE0BDB"/>
    <w:rsid w:val="2EFF4953"/>
    <w:rsid w:val="2F097580"/>
    <w:rsid w:val="2F104137"/>
    <w:rsid w:val="2F1403FE"/>
    <w:rsid w:val="2F176141"/>
    <w:rsid w:val="2F2D14C0"/>
    <w:rsid w:val="2F2E4002"/>
    <w:rsid w:val="2F391C13"/>
    <w:rsid w:val="2F3B0B6C"/>
    <w:rsid w:val="2F414F6C"/>
    <w:rsid w:val="2F464330"/>
    <w:rsid w:val="2F5043F5"/>
    <w:rsid w:val="2F506010"/>
    <w:rsid w:val="2F551307"/>
    <w:rsid w:val="2F606E1C"/>
    <w:rsid w:val="2F6173BC"/>
    <w:rsid w:val="2F6A001E"/>
    <w:rsid w:val="2F7B3D98"/>
    <w:rsid w:val="2F7D2448"/>
    <w:rsid w:val="2F8462B2"/>
    <w:rsid w:val="2F990904"/>
    <w:rsid w:val="2FB67708"/>
    <w:rsid w:val="2FB90F97"/>
    <w:rsid w:val="2FBB1953"/>
    <w:rsid w:val="2FBC12EA"/>
    <w:rsid w:val="2FC42004"/>
    <w:rsid w:val="2FCD2C06"/>
    <w:rsid w:val="2FCD67FF"/>
    <w:rsid w:val="2FD46283"/>
    <w:rsid w:val="2FD47B8E"/>
    <w:rsid w:val="2FE51D9B"/>
    <w:rsid w:val="2FE778C1"/>
    <w:rsid w:val="2FF4455F"/>
    <w:rsid w:val="300459C2"/>
    <w:rsid w:val="30047F50"/>
    <w:rsid w:val="30073895"/>
    <w:rsid w:val="3007467D"/>
    <w:rsid w:val="3014442E"/>
    <w:rsid w:val="30166361"/>
    <w:rsid w:val="301A1E2F"/>
    <w:rsid w:val="30201025"/>
    <w:rsid w:val="30202DD3"/>
    <w:rsid w:val="302503E9"/>
    <w:rsid w:val="302B3D82"/>
    <w:rsid w:val="302E2D13"/>
    <w:rsid w:val="30313232"/>
    <w:rsid w:val="30422D49"/>
    <w:rsid w:val="304271ED"/>
    <w:rsid w:val="304A3F85"/>
    <w:rsid w:val="305045C0"/>
    <w:rsid w:val="305211D8"/>
    <w:rsid w:val="30536D05"/>
    <w:rsid w:val="3061402F"/>
    <w:rsid w:val="306B771B"/>
    <w:rsid w:val="306C426A"/>
    <w:rsid w:val="30790CF5"/>
    <w:rsid w:val="307A0735"/>
    <w:rsid w:val="30824A2D"/>
    <w:rsid w:val="30861B2B"/>
    <w:rsid w:val="309D08C8"/>
    <w:rsid w:val="309D4424"/>
    <w:rsid w:val="30AA08EF"/>
    <w:rsid w:val="30B145B6"/>
    <w:rsid w:val="30BD1F99"/>
    <w:rsid w:val="30C82D10"/>
    <w:rsid w:val="30C9346B"/>
    <w:rsid w:val="30CB78A0"/>
    <w:rsid w:val="30CF74C8"/>
    <w:rsid w:val="30D140CD"/>
    <w:rsid w:val="30E1179D"/>
    <w:rsid w:val="30E37DF0"/>
    <w:rsid w:val="30E45BBF"/>
    <w:rsid w:val="30E4664B"/>
    <w:rsid w:val="30EF77BC"/>
    <w:rsid w:val="30FC4936"/>
    <w:rsid w:val="30FC739C"/>
    <w:rsid w:val="30FE2EED"/>
    <w:rsid w:val="31097D0B"/>
    <w:rsid w:val="310D77FB"/>
    <w:rsid w:val="311118AE"/>
    <w:rsid w:val="31131651"/>
    <w:rsid w:val="311E34C3"/>
    <w:rsid w:val="311F1D34"/>
    <w:rsid w:val="313A1C72"/>
    <w:rsid w:val="313A6116"/>
    <w:rsid w:val="31425159"/>
    <w:rsid w:val="31440D43"/>
    <w:rsid w:val="31475859"/>
    <w:rsid w:val="314937FB"/>
    <w:rsid w:val="314E4D6B"/>
    <w:rsid w:val="315C66BB"/>
    <w:rsid w:val="316513E5"/>
    <w:rsid w:val="31662A68"/>
    <w:rsid w:val="31666F0B"/>
    <w:rsid w:val="316A79F6"/>
    <w:rsid w:val="316D6EE0"/>
    <w:rsid w:val="316E000F"/>
    <w:rsid w:val="316F4012"/>
    <w:rsid w:val="31750EFD"/>
    <w:rsid w:val="317A59B5"/>
    <w:rsid w:val="318956D7"/>
    <w:rsid w:val="318E5320"/>
    <w:rsid w:val="31A812D2"/>
    <w:rsid w:val="31A92D3E"/>
    <w:rsid w:val="31AB2B70"/>
    <w:rsid w:val="31AD0696"/>
    <w:rsid w:val="31AD4AD2"/>
    <w:rsid w:val="31BE7198"/>
    <w:rsid w:val="31C84906"/>
    <w:rsid w:val="31CE25B2"/>
    <w:rsid w:val="31D64091"/>
    <w:rsid w:val="31D71BB7"/>
    <w:rsid w:val="31DB046D"/>
    <w:rsid w:val="31E00A6C"/>
    <w:rsid w:val="31F161EC"/>
    <w:rsid w:val="31F42769"/>
    <w:rsid w:val="31F471FA"/>
    <w:rsid w:val="31FB58A6"/>
    <w:rsid w:val="31FC517A"/>
    <w:rsid w:val="32016F68"/>
    <w:rsid w:val="32072C23"/>
    <w:rsid w:val="32096AA0"/>
    <w:rsid w:val="320F75A3"/>
    <w:rsid w:val="321150C9"/>
    <w:rsid w:val="32237D11"/>
    <w:rsid w:val="32371398"/>
    <w:rsid w:val="323B162B"/>
    <w:rsid w:val="323D7C6C"/>
    <w:rsid w:val="32454D73"/>
    <w:rsid w:val="324D6340"/>
    <w:rsid w:val="325D4D96"/>
    <w:rsid w:val="32625925"/>
    <w:rsid w:val="326C06C8"/>
    <w:rsid w:val="3273368E"/>
    <w:rsid w:val="327F0671"/>
    <w:rsid w:val="32877DD8"/>
    <w:rsid w:val="32934B70"/>
    <w:rsid w:val="329B0E37"/>
    <w:rsid w:val="32A7158A"/>
    <w:rsid w:val="32B55A55"/>
    <w:rsid w:val="32C1089D"/>
    <w:rsid w:val="32C744BD"/>
    <w:rsid w:val="32CD130D"/>
    <w:rsid w:val="32D13927"/>
    <w:rsid w:val="32E45851"/>
    <w:rsid w:val="32EF33F5"/>
    <w:rsid w:val="32F02F31"/>
    <w:rsid w:val="32F50547"/>
    <w:rsid w:val="32FF4ADE"/>
    <w:rsid w:val="33030EB6"/>
    <w:rsid w:val="3307351F"/>
    <w:rsid w:val="330740D5"/>
    <w:rsid w:val="330F0180"/>
    <w:rsid w:val="33165BCC"/>
    <w:rsid w:val="331A1D5C"/>
    <w:rsid w:val="331C1F78"/>
    <w:rsid w:val="332130EA"/>
    <w:rsid w:val="332B5D17"/>
    <w:rsid w:val="332B7896"/>
    <w:rsid w:val="33364265"/>
    <w:rsid w:val="33370B5F"/>
    <w:rsid w:val="33633703"/>
    <w:rsid w:val="33664FA1"/>
    <w:rsid w:val="33745763"/>
    <w:rsid w:val="338213DC"/>
    <w:rsid w:val="338C02B9"/>
    <w:rsid w:val="33957634"/>
    <w:rsid w:val="33997663"/>
    <w:rsid w:val="33A15FD9"/>
    <w:rsid w:val="33A31D51"/>
    <w:rsid w:val="33A64F44"/>
    <w:rsid w:val="33A721F2"/>
    <w:rsid w:val="33A8380B"/>
    <w:rsid w:val="33CA19D4"/>
    <w:rsid w:val="33D614A0"/>
    <w:rsid w:val="33DE760F"/>
    <w:rsid w:val="33E40F52"/>
    <w:rsid w:val="33E7439D"/>
    <w:rsid w:val="33EB36F8"/>
    <w:rsid w:val="33EC6C5A"/>
    <w:rsid w:val="33F84BE4"/>
    <w:rsid w:val="33FB393B"/>
    <w:rsid w:val="34042588"/>
    <w:rsid w:val="34052A0C"/>
    <w:rsid w:val="3406592D"/>
    <w:rsid w:val="340A1DD0"/>
    <w:rsid w:val="340B78F6"/>
    <w:rsid w:val="340F73E6"/>
    <w:rsid w:val="3419569D"/>
    <w:rsid w:val="342343FA"/>
    <w:rsid w:val="34247F7A"/>
    <w:rsid w:val="34256C0A"/>
    <w:rsid w:val="34362BC5"/>
    <w:rsid w:val="34372F0D"/>
    <w:rsid w:val="34397177"/>
    <w:rsid w:val="344A597B"/>
    <w:rsid w:val="34523C6A"/>
    <w:rsid w:val="345A7A4D"/>
    <w:rsid w:val="346A286F"/>
    <w:rsid w:val="347656B7"/>
    <w:rsid w:val="3485102A"/>
    <w:rsid w:val="34864C32"/>
    <w:rsid w:val="348D2E52"/>
    <w:rsid w:val="349F33B3"/>
    <w:rsid w:val="34B63D06"/>
    <w:rsid w:val="34B85CD0"/>
    <w:rsid w:val="34C12DD7"/>
    <w:rsid w:val="34C6218A"/>
    <w:rsid w:val="34C74165"/>
    <w:rsid w:val="34C96338"/>
    <w:rsid w:val="34CA155F"/>
    <w:rsid w:val="34CC3529"/>
    <w:rsid w:val="34D449C8"/>
    <w:rsid w:val="34D553A2"/>
    <w:rsid w:val="34D71FF4"/>
    <w:rsid w:val="34E6725A"/>
    <w:rsid w:val="34EB64EE"/>
    <w:rsid w:val="34F632D5"/>
    <w:rsid w:val="34F768D2"/>
    <w:rsid w:val="34FA0402"/>
    <w:rsid w:val="35036C40"/>
    <w:rsid w:val="350C1B78"/>
    <w:rsid w:val="35154ED0"/>
    <w:rsid w:val="351D46F6"/>
    <w:rsid w:val="35235A7A"/>
    <w:rsid w:val="35262C3A"/>
    <w:rsid w:val="352A733C"/>
    <w:rsid w:val="3533407A"/>
    <w:rsid w:val="35335357"/>
    <w:rsid w:val="353F729D"/>
    <w:rsid w:val="35425680"/>
    <w:rsid w:val="35553D35"/>
    <w:rsid w:val="35701C36"/>
    <w:rsid w:val="357716E7"/>
    <w:rsid w:val="35773495"/>
    <w:rsid w:val="357C4F4F"/>
    <w:rsid w:val="35805C30"/>
    <w:rsid w:val="35827721"/>
    <w:rsid w:val="35840E33"/>
    <w:rsid w:val="35870D7F"/>
    <w:rsid w:val="35876B2C"/>
    <w:rsid w:val="358A66B7"/>
    <w:rsid w:val="35917DCF"/>
    <w:rsid w:val="359E4B45"/>
    <w:rsid w:val="35AD6EB7"/>
    <w:rsid w:val="35B62879"/>
    <w:rsid w:val="35B9585C"/>
    <w:rsid w:val="35C2598E"/>
    <w:rsid w:val="35C81F43"/>
    <w:rsid w:val="35CB37E1"/>
    <w:rsid w:val="35CB558F"/>
    <w:rsid w:val="35D22DC1"/>
    <w:rsid w:val="35D54B37"/>
    <w:rsid w:val="360417F0"/>
    <w:rsid w:val="360A0153"/>
    <w:rsid w:val="360A4309"/>
    <w:rsid w:val="36174C78"/>
    <w:rsid w:val="36201D7F"/>
    <w:rsid w:val="3627310D"/>
    <w:rsid w:val="36300A4E"/>
    <w:rsid w:val="363B2715"/>
    <w:rsid w:val="36521C0B"/>
    <w:rsid w:val="36557C1C"/>
    <w:rsid w:val="365657A0"/>
    <w:rsid w:val="365F3A95"/>
    <w:rsid w:val="367B74AA"/>
    <w:rsid w:val="368340BC"/>
    <w:rsid w:val="369214BD"/>
    <w:rsid w:val="36962041"/>
    <w:rsid w:val="369644C4"/>
    <w:rsid w:val="3699568D"/>
    <w:rsid w:val="369E0EF6"/>
    <w:rsid w:val="36A71B58"/>
    <w:rsid w:val="36B424C7"/>
    <w:rsid w:val="36B62853"/>
    <w:rsid w:val="36CF10AF"/>
    <w:rsid w:val="36E1634C"/>
    <w:rsid w:val="36E45C17"/>
    <w:rsid w:val="36FF42E6"/>
    <w:rsid w:val="3712639B"/>
    <w:rsid w:val="37140182"/>
    <w:rsid w:val="3715740A"/>
    <w:rsid w:val="37280DED"/>
    <w:rsid w:val="372F1B4E"/>
    <w:rsid w:val="3733163E"/>
    <w:rsid w:val="37357164"/>
    <w:rsid w:val="37411658"/>
    <w:rsid w:val="374D1160"/>
    <w:rsid w:val="374D6BA3"/>
    <w:rsid w:val="375A6BCB"/>
    <w:rsid w:val="376143FD"/>
    <w:rsid w:val="37703732"/>
    <w:rsid w:val="377F2AD5"/>
    <w:rsid w:val="37856E75"/>
    <w:rsid w:val="37906A90"/>
    <w:rsid w:val="379330C0"/>
    <w:rsid w:val="379B61F3"/>
    <w:rsid w:val="379F3DB1"/>
    <w:rsid w:val="37AC435C"/>
    <w:rsid w:val="37AD7642"/>
    <w:rsid w:val="37BD38CC"/>
    <w:rsid w:val="37BD53AB"/>
    <w:rsid w:val="37BF2ED1"/>
    <w:rsid w:val="37DF5322"/>
    <w:rsid w:val="37E33064"/>
    <w:rsid w:val="37FF6501"/>
    <w:rsid w:val="38127B00"/>
    <w:rsid w:val="381628EB"/>
    <w:rsid w:val="381719A0"/>
    <w:rsid w:val="38202C36"/>
    <w:rsid w:val="382611A3"/>
    <w:rsid w:val="3832284D"/>
    <w:rsid w:val="38350E3D"/>
    <w:rsid w:val="38376F0C"/>
    <w:rsid w:val="383C09C6"/>
    <w:rsid w:val="38435980"/>
    <w:rsid w:val="384D4981"/>
    <w:rsid w:val="385E26EA"/>
    <w:rsid w:val="38657F1D"/>
    <w:rsid w:val="387B14EE"/>
    <w:rsid w:val="387B4A15"/>
    <w:rsid w:val="387C0DC3"/>
    <w:rsid w:val="388109FB"/>
    <w:rsid w:val="3881311B"/>
    <w:rsid w:val="38815ED7"/>
    <w:rsid w:val="38887767"/>
    <w:rsid w:val="388B5C1D"/>
    <w:rsid w:val="388F0AF6"/>
    <w:rsid w:val="38A05142"/>
    <w:rsid w:val="38A4412D"/>
    <w:rsid w:val="38A70712"/>
    <w:rsid w:val="38AC09A0"/>
    <w:rsid w:val="38BF4542"/>
    <w:rsid w:val="38C64B97"/>
    <w:rsid w:val="38CB685C"/>
    <w:rsid w:val="38CF5396"/>
    <w:rsid w:val="38DA2FAF"/>
    <w:rsid w:val="38E835C7"/>
    <w:rsid w:val="38F843C5"/>
    <w:rsid w:val="38F87A81"/>
    <w:rsid w:val="38F92745"/>
    <w:rsid w:val="38FD0155"/>
    <w:rsid w:val="390019F4"/>
    <w:rsid w:val="390239BE"/>
    <w:rsid w:val="39026556"/>
    <w:rsid w:val="390D2369"/>
    <w:rsid w:val="39145ABC"/>
    <w:rsid w:val="391C6761"/>
    <w:rsid w:val="391D36EF"/>
    <w:rsid w:val="39276A42"/>
    <w:rsid w:val="392805CC"/>
    <w:rsid w:val="39290F4A"/>
    <w:rsid w:val="3930188D"/>
    <w:rsid w:val="393A4F06"/>
    <w:rsid w:val="393B2EBF"/>
    <w:rsid w:val="39437D0B"/>
    <w:rsid w:val="39477622"/>
    <w:rsid w:val="394F02CB"/>
    <w:rsid w:val="39576612"/>
    <w:rsid w:val="396704C7"/>
    <w:rsid w:val="397D4DC7"/>
    <w:rsid w:val="397F1C9C"/>
    <w:rsid w:val="398A09F8"/>
    <w:rsid w:val="398C3287"/>
    <w:rsid w:val="398D6D44"/>
    <w:rsid w:val="399576D7"/>
    <w:rsid w:val="3997570F"/>
    <w:rsid w:val="399E6A64"/>
    <w:rsid w:val="39A418FC"/>
    <w:rsid w:val="39AE1450"/>
    <w:rsid w:val="39B17E77"/>
    <w:rsid w:val="39C0521E"/>
    <w:rsid w:val="39CB4D56"/>
    <w:rsid w:val="39E800BA"/>
    <w:rsid w:val="39F06BFD"/>
    <w:rsid w:val="39F747D5"/>
    <w:rsid w:val="39F8091D"/>
    <w:rsid w:val="3A075897"/>
    <w:rsid w:val="3A085004"/>
    <w:rsid w:val="3A1615C0"/>
    <w:rsid w:val="3A162EBF"/>
    <w:rsid w:val="3A173499"/>
    <w:rsid w:val="3A175247"/>
    <w:rsid w:val="3A2303CB"/>
    <w:rsid w:val="3A2972B1"/>
    <w:rsid w:val="3A2E31AB"/>
    <w:rsid w:val="3A3F1A4A"/>
    <w:rsid w:val="3A403A1D"/>
    <w:rsid w:val="3A433CAA"/>
    <w:rsid w:val="3A466DC8"/>
    <w:rsid w:val="3A5169AB"/>
    <w:rsid w:val="3A52705B"/>
    <w:rsid w:val="3A5D25E1"/>
    <w:rsid w:val="3A635FDC"/>
    <w:rsid w:val="3A640E4B"/>
    <w:rsid w:val="3A654204"/>
    <w:rsid w:val="3A777A93"/>
    <w:rsid w:val="3A7E0E22"/>
    <w:rsid w:val="3A7F0825"/>
    <w:rsid w:val="3A900B55"/>
    <w:rsid w:val="3A943587"/>
    <w:rsid w:val="3A954813"/>
    <w:rsid w:val="3A963CC3"/>
    <w:rsid w:val="3A9B689F"/>
    <w:rsid w:val="3A9B7C26"/>
    <w:rsid w:val="3A9F7646"/>
    <w:rsid w:val="3ABA4A97"/>
    <w:rsid w:val="3AC12CF9"/>
    <w:rsid w:val="3AC32CD9"/>
    <w:rsid w:val="3ACE0FDD"/>
    <w:rsid w:val="3AE25855"/>
    <w:rsid w:val="3AE66DAF"/>
    <w:rsid w:val="3AF5177C"/>
    <w:rsid w:val="3B0C034B"/>
    <w:rsid w:val="3B1355E0"/>
    <w:rsid w:val="3B251C3C"/>
    <w:rsid w:val="3B25796B"/>
    <w:rsid w:val="3B304812"/>
    <w:rsid w:val="3B313993"/>
    <w:rsid w:val="3B320297"/>
    <w:rsid w:val="3B383C42"/>
    <w:rsid w:val="3B39238D"/>
    <w:rsid w:val="3B4007CD"/>
    <w:rsid w:val="3B544EC3"/>
    <w:rsid w:val="3B5D137F"/>
    <w:rsid w:val="3B6224F2"/>
    <w:rsid w:val="3B6C175D"/>
    <w:rsid w:val="3B784C18"/>
    <w:rsid w:val="3B7F30A4"/>
    <w:rsid w:val="3B9133AF"/>
    <w:rsid w:val="3B9B716D"/>
    <w:rsid w:val="3B9D352A"/>
    <w:rsid w:val="3BA075E7"/>
    <w:rsid w:val="3BA1126C"/>
    <w:rsid w:val="3BA1225B"/>
    <w:rsid w:val="3BA6175F"/>
    <w:rsid w:val="3BAF21C7"/>
    <w:rsid w:val="3BB02986"/>
    <w:rsid w:val="3BB95FD2"/>
    <w:rsid w:val="3BC21748"/>
    <w:rsid w:val="3BCE7B87"/>
    <w:rsid w:val="3BCF4120"/>
    <w:rsid w:val="3BD038FF"/>
    <w:rsid w:val="3BDC6748"/>
    <w:rsid w:val="3BE705DA"/>
    <w:rsid w:val="3BE949C1"/>
    <w:rsid w:val="3BEA7E79"/>
    <w:rsid w:val="3BFB1BD4"/>
    <w:rsid w:val="3BFD40DF"/>
    <w:rsid w:val="3C025A83"/>
    <w:rsid w:val="3C033CD5"/>
    <w:rsid w:val="3C0E2EA8"/>
    <w:rsid w:val="3C123F18"/>
    <w:rsid w:val="3C137C90"/>
    <w:rsid w:val="3C1E73BC"/>
    <w:rsid w:val="3C3246DC"/>
    <w:rsid w:val="3C357C06"/>
    <w:rsid w:val="3C4340D1"/>
    <w:rsid w:val="3C4A4A6C"/>
    <w:rsid w:val="3C4F14E4"/>
    <w:rsid w:val="3C553E04"/>
    <w:rsid w:val="3C5A58BF"/>
    <w:rsid w:val="3C651AAD"/>
    <w:rsid w:val="3C6D1969"/>
    <w:rsid w:val="3C7E0650"/>
    <w:rsid w:val="3C805325"/>
    <w:rsid w:val="3C86610F"/>
    <w:rsid w:val="3C89234C"/>
    <w:rsid w:val="3C8B35C1"/>
    <w:rsid w:val="3C8D17F0"/>
    <w:rsid w:val="3C906EB5"/>
    <w:rsid w:val="3C920BB5"/>
    <w:rsid w:val="3C9377CF"/>
    <w:rsid w:val="3C950974"/>
    <w:rsid w:val="3C966436"/>
    <w:rsid w:val="3C9F373B"/>
    <w:rsid w:val="3CA31014"/>
    <w:rsid w:val="3CA93677"/>
    <w:rsid w:val="3CAB7EC8"/>
    <w:rsid w:val="3CAD3C40"/>
    <w:rsid w:val="3CB44FCF"/>
    <w:rsid w:val="3CB54AA7"/>
    <w:rsid w:val="3CB90837"/>
    <w:rsid w:val="3CBA010B"/>
    <w:rsid w:val="3CBD666B"/>
    <w:rsid w:val="3CD45671"/>
    <w:rsid w:val="3CDE029E"/>
    <w:rsid w:val="3CDF2698"/>
    <w:rsid w:val="3CE4068F"/>
    <w:rsid w:val="3CE60F00"/>
    <w:rsid w:val="3CED228F"/>
    <w:rsid w:val="3CFB6142"/>
    <w:rsid w:val="3D0715A3"/>
    <w:rsid w:val="3D0777F5"/>
    <w:rsid w:val="3D0F66A9"/>
    <w:rsid w:val="3D1837B0"/>
    <w:rsid w:val="3D1A4097"/>
    <w:rsid w:val="3D1F4C75"/>
    <w:rsid w:val="3D21497C"/>
    <w:rsid w:val="3D2739F3"/>
    <w:rsid w:val="3D2757A1"/>
    <w:rsid w:val="3D2E530E"/>
    <w:rsid w:val="3D37175C"/>
    <w:rsid w:val="3D3C5A02"/>
    <w:rsid w:val="3D4207D0"/>
    <w:rsid w:val="3D434478"/>
    <w:rsid w:val="3D4A1A64"/>
    <w:rsid w:val="3D4B2926"/>
    <w:rsid w:val="3D521ACE"/>
    <w:rsid w:val="3D551679"/>
    <w:rsid w:val="3D5B18EE"/>
    <w:rsid w:val="3D69400B"/>
    <w:rsid w:val="3D6E1622"/>
    <w:rsid w:val="3D70791B"/>
    <w:rsid w:val="3D786097"/>
    <w:rsid w:val="3D860008"/>
    <w:rsid w:val="3D8A3F82"/>
    <w:rsid w:val="3D8D4385"/>
    <w:rsid w:val="3D8E49B9"/>
    <w:rsid w:val="3D952F01"/>
    <w:rsid w:val="3D962926"/>
    <w:rsid w:val="3D9D491C"/>
    <w:rsid w:val="3DA037A5"/>
    <w:rsid w:val="3DA36954"/>
    <w:rsid w:val="3DA62EE2"/>
    <w:rsid w:val="3DA6700D"/>
    <w:rsid w:val="3DAE3356"/>
    <w:rsid w:val="3DAE5EC2"/>
    <w:rsid w:val="3DB50FFF"/>
    <w:rsid w:val="3DC6320C"/>
    <w:rsid w:val="3DD0329A"/>
    <w:rsid w:val="3DD07BE6"/>
    <w:rsid w:val="3DD365AF"/>
    <w:rsid w:val="3DD376D7"/>
    <w:rsid w:val="3DD84CED"/>
    <w:rsid w:val="3DDA0A65"/>
    <w:rsid w:val="3DDD79FE"/>
    <w:rsid w:val="3DDE0F59"/>
    <w:rsid w:val="3DE660F4"/>
    <w:rsid w:val="3DEB2C72"/>
    <w:rsid w:val="3DEE2762"/>
    <w:rsid w:val="3DEE6A01"/>
    <w:rsid w:val="3DEF3460"/>
    <w:rsid w:val="3DF31B27"/>
    <w:rsid w:val="3E0D0E3B"/>
    <w:rsid w:val="3E10092B"/>
    <w:rsid w:val="3E173A67"/>
    <w:rsid w:val="3E177407"/>
    <w:rsid w:val="3E18333B"/>
    <w:rsid w:val="3E2241BA"/>
    <w:rsid w:val="3E2413CC"/>
    <w:rsid w:val="3E2659BD"/>
    <w:rsid w:val="3E2E7003"/>
    <w:rsid w:val="3E323936"/>
    <w:rsid w:val="3E3363C7"/>
    <w:rsid w:val="3E377F9E"/>
    <w:rsid w:val="3E3F470E"/>
    <w:rsid w:val="3E410AE4"/>
    <w:rsid w:val="3E520A11"/>
    <w:rsid w:val="3E541F36"/>
    <w:rsid w:val="3E543BEB"/>
    <w:rsid w:val="3E57228D"/>
    <w:rsid w:val="3E587BDC"/>
    <w:rsid w:val="3E5D51F2"/>
    <w:rsid w:val="3E614CE2"/>
    <w:rsid w:val="3E6447D3"/>
    <w:rsid w:val="3E6E1153"/>
    <w:rsid w:val="3E733448"/>
    <w:rsid w:val="3E75078E"/>
    <w:rsid w:val="3E78202C"/>
    <w:rsid w:val="3E9504A7"/>
    <w:rsid w:val="3E9926CE"/>
    <w:rsid w:val="3EA11583"/>
    <w:rsid w:val="3EA1270E"/>
    <w:rsid w:val="3EA2228D"/>
    <w:rsid w:val="3EB94B1E"/>
    <w:rsid w:val="3EBF1A09"/>
    <w:rsid w:val="3EC12500"/>
    <w:rsid w:val="3EC358BC"/>
    <w:rsid w:val="3EC534C3"/>
    <w:rsid w:val="3ECA3D26"/>
    <w:rsid w:val="3ED2798E"/>
    <w:rsid w:val="3ED3772C"/>
    <w:rsid w:val="3ED761A3"/>
    <w:rsid w:val="3EDD140E"/>
    <w:rsid w:val="3EE85DB4"/>
    <w:rsid w:val="3EF06066"/>
    <w:rsid w:val="3EF47905"/>
    <w:rsid w:val="3F073ADC"/>
    <w:rsid w:val="3F1C4DFA"/>
    <w:rsid w:val="3F241476"/>
    <w:rsid w:val="3F2521B4"/>
    <w:rsid w:val="3F285800"/>
    <w:rsid w:val="3F2C6B27"/>
    <w:rsid w:val="3F2D5677"/>
    <w:rsid w:val="3F2E0225"/>
    <w:rsid w:val="3F340649"/>
    <w:rsid w:val="3F3C77F3"/>
    <w:rsid w:val="3F3D5750"/>
    <w:rsid w:val="3F3E3A12"/>
    <w:rsid w:val="3F3E7E0A"/>
    <w:rsid w:val="3F5636BD"/>
    <w:rsid w:val="3F600A24"/>
    <w:rsid w:val="3F6B2247"/>
    <w:rsid w:val="3F6C7EC6"/>
    <w:rsid w:val="3F725B45"/>
    <w:rsid w:val="3F8213B4"/>
    <w:rsid w:val="3F872C68"/>
    <w:rsid w:val="3FA1567C"/>
    <w:rsid w:val="3FA56E51"/>
    <w:rsid w:val="3FBF43B6"/>
    <w:rsid w:val="3FBF4565"/>
    <w:rsid w:val="3FC619D0"/>
    <w:rsid w:val="3FC76DC7"/>
    <w:rsid w:val="3FC90D91"/>
    <w:rsid w:val="3FD634AE"/>
    <w:rsid w:val="3FDE3868"/>
    <w:rsid w:val="3FEC3D9E"/>
    <w:rsid w:val="3FEE30E8"/>
    <w:rsid w:val="3FF322B2"/>
    <w:rsid w:val="3FF56F7C"/>
    <w:rsid w:val="40057DC5"/>
    <w:rsid w:val="40061FE5"/>
    <w:rsid w:val="400715ED"/>
    <w:rsid w:val="4012098A"/>
    <w:rsid w:val="401C5365"/>
    <w:rsid w:val="402011DC"/>
    <w:rsid w:val="402B37FA"/>
    <w:rsid w:val="402C30CE"/>
    <w:rsid w:val="40491ED2"/>
    <w:rsid w:val="404B3E9C"/>
    <w:rsid w:val="404C6329"/>
    <w:rsid w:val="4050500F"/>
    <w:rsid w:val="40517064"/>
    <w:rsid w:val="40572334"/>
    <w:rsid w:val="405C39B3"/>
    <w:rsid w:val="4061721C"/>
    <w:rsid w:val="40621142"/>
    <w:rsid w:val="406805AA"/>
    <w:rsid w:val="406D5BC1"/>
    <w:rsid w:val="40730CFD"/>
    <w:rsid w:val="407F52E0"/>
    <w:rsid w:val="40833636"/>
    <w:rsid w:val="408822D1"/>
    <w:rsid w:val="40B21825"/>
    <w:rsid w:val="40BB0F79"/>
    <w:rsid w:val="40C1308E"/>
    <w:rsid w:val="40C34BD9"/>
    <w:rsid w:val="40C81049"/>
    <w:rsid w:val="40C957E6"/>
    <w:rsid w:val="40D07EFD"/>
    <w:rsid w:val="40E67721"/>
    <w:rsid w:val="40EB4D37"/>
    <w:rsid w:val="40F262A2"/>
    <w:rsid w:val="40F27ABD"/>
    <w:rsid w:val="40F526EC"/>
    <w:rsid w:val="4105404B"/>
    <w:rsid w:val="410B461F"/>
    <w:rsid w:val="411249BA"/>
    <w:rsid w:val="41140732"/>
    <w:rsid w:val="4114406E"/>
    <w:rsid w:val="411D1605"/>
    <w:rsid w:val="412237AF"/>
    <w:rsid w:val="412E2095"/>
    <w:rsid w:val="413C57C4"/>
    <w:rsid w:val="41402D82"/>
    <w:rsid w:val="41412725"/>
    <w:rsid w:val="41496B36"/>
    <w:rsid w:val="4151103E"/>
    <w:rsid w:val="415154E1"/>
    <w:rsid w:val="4152187D"/>
    <w:rsid w:val="41573325"/>
    <w:rsid w:val="41657CAE"/>
    <w:rsid w:val="41764F49"/>
    <w:rsid w:val="41780CC1"/>
    <w:rsid w:val="418B1628"/>
    <w:rsid w:val="41961752"/>
    <w:rsid w:val="41986BF3"/>
    <w:rsid w:val="41A97A04"/>
    <w:rsid w:val="41AC096A"/>
    <w:rsid w:val="41B11ADD"/>
    <w:rsid w:val="41B272C0"/>
    <w:rsid w:val="41DB278B"/>
    <w:rsid w:val="41E92BD1"/>
    <w:rsid w:val="41EA3241"/>
    <w:rsid w:val="41EE310B"/>
    <w:rsid w:val="41FA02D3"/>
    <w:rsid w:val="42006FC5"/>
    <w:rsid w:val="42135CC7"/>
    <w:rsid w:val="42186000"/>
    <w:rsid w:val="42213106"/>
    <w:rsid w:val="422A24F9"/>
    <w:rsid w:val="422E312E"/>
    <w:rsid w:val="422F3D3C"/>
    <w:rsid w:val="423017CA"/>
    <w:rsid w:val="42322F7E"/>
    <w:rsid w:val="42434E32"/>
    <w:rsid w:val="424E37D0"/>
    <w:rsid w:val="42595D9D"/>
    <w:rsid w:val="425D21BB"/>
    <w:rsid w:val="426350D2"/>
    <w:rsid w:val="4267663F"/>
    <w:rsid w:val="426D00FA"/>
    <w:rsid w:val="42720C05"/>
    <w:rsid w:val="42744488"/>
    <w:rsid w:val="427712E5"/>
    <w:rsid w:val="42772D26"/>
    <w:rsid w:val="427B308C"/>
    <w:rsid w:val="428040AC"/>
    <w:rsid w:val="42876CE2"/>
    <w:rsid w:val="42890035"/>
    <w:rsid w:val="42A653BA"/>
    <w:rsid w:val="42AB0C22"/>
    <w:rsid w:val="42AD070A"/>
    <w:rsid w:val="42B15B0D"/>
    <w:rsid w:val="42B910C1"/>
    <w:rsid w:val="42BF5395"/>
    <w:rsid w:val="42D068DB"/>
    <w:rsid w:val="42D27E70"/>
    <w:rsid w:val="42DE33EC"/>
    <w:rsid w:val="42EB07E0"/>
    <w:rsid w:val="42EE7186"/>
    <w:rsid w:val="42F04887"/>
    <w:rsid w:val="42F230A4"/>
    <w:rsid w:val="42FB1382"/>
    <w:rsid w:val="43000E42"/>
    <w:rsid w:val="430345BA"/>
    <w:rsid w:val="43104F29"/>
    <w:rsid w:val="431903FF"/>
    <w:rsid w:val="431F0A1F"/>
    <w:rsid w:val="433D02DF"/>
    <w:rsid w:val="4340580E"/>
    <w:rsid w:val="43413334"/>
    <w:rsid w:val="435778BE"/>
    <w:rsid w:val="435E2AB6"/>
    <w:rsid w:val="43635059"/>
    <w:rsid w:val="43664B49"/>
    <w:rsid w:val="436C6603"/>
    <w:rsid w:val="436F1C50"/>
    <w:rsid w:val="436F1D51"/>
    <w:rsid w:val="437C436D"/>
    <w:rsid w:val="437F3513"/>
    <w:rsid w:val="438020AF"/>
    <w:rsid w:val="438F22F2"/>
    <w:rsid w:val="439642D4"/>
    <w:rsid w:val="4396539F"/>
    <w:rsid w:val="43A10C52"/>
    <w:rsid w:val="43A672DD"/>
    <w:rsid w:val="43B444B0"/>
    <w:rsid w:val="43C82BB8"/>
    <w:rsid w:val="43CF6B92"/>
    <w:rsid w:val="43D44D4F"/>
    <w:rsid w:val="43D45D88"/>
    <w:rsid w:val="43E97226"/>
    <w:rsid w:val="43EE2E8F"/>
    <w:rsid w:val="43F174E3"/>
    <w:rsid w:val="440026D2"/>
    <w:rsid w:val="44022AC4"/>
    <w:rsid w:val="44075CA0"/>
    <w:rsid w:val="441A7E0D"/>
    <w:rsid w:val="442106FF"/>
    <w:rsid w:val="44210E19"/>
    <w:rsid w:val="44316F05"/>
    <w:rsid w:val="443F79A1"/>
    <w:rsid w:val="444529B0"/>
    <w:rsid w:val="444B5380"/>
    <w:rsid w:val="444C58FB"/>
    <w:rsid w:val="4464552C"/>
    <w:rsid w:val="44676DCB"/>
    <w:rsid w:val="44692B43"/>
    <w:rsid w:val="44727C49"/>
    <w:rsid w:val="447A2229"/>
    <w:rsid w:val="448501C2"/>
    <w:rsid w:val="44975F5D"/>
    <w:rsid w:val="44B85878"/>
    <w:rsid w:val="44BB13F3"/>
    <w:rsid w:val="44BC0EC5"/>
    <w:rsid w:val="44BD4C3D"/>
    <w:rsid w:val="44C13177"/>
    <w:rsid w:val="44C1640A"/>
    <w:rsid w:val="44C63978"/>
    <w:rsid w:val="44CD4F10"/>
    <w:rsid w:val="44D22496"/>
    <w:rsid w:val="44D2439E"/>
    <w:rsid w:val="44DB01A8"/>
    <w:rsid w:val="44DC65FB"/>
    <w:rsid w:val="44E11E5E"/>
    <w:rsid w:val="44E47DE6"/>
    <w:rsid w:val="44EB17AA"/>
    <w:rsid w:val="44F62D94"/>
    <w:rsid w:val="4504553A"/>
    <w:rsid w:val="450E5498"/>
    <w:rsid w:val="45280308"/>
    <w:rsid w:val="45313899"/>
    <w:rsid w:val="453B7A47"/>
    <w:rsid w:val="453F5652"/>
    <w:rsid w:val="454F7F8B"/>
    <w:rsid w:val="4550228F"/>
    <w:rsid w:val="45521829"/>
    <w:rsid w:val="45576E3F"/>
    <w:rsid w:val="45580516"/>
    <w:rsid w:val="455E1F7C"/>
    <w:rsid w:val="455F7AA2"/>
    <w:rsid w:val="45855A55"/>
    <w:rsid w:val="458945E7"/>
    <w:rsid w:val="458E6315"/>
    <w:rsid w:val="459C0CF6"/>
    <w:rsid w:val="459E05CA"/>
    <w:rsid w:val="459F2C6B"/>
    <w:rsid w:val="45AA6F6F"/>
    <w:rsid w:val="45AC0F39"/>
    <w:rsid w:val="45CE5353"/>
    <w:rsid w:val="45DE61D5"/>
    <w:rsid w:val="45E22BAD"/>
    <w:rsid w:val="45E97502"/>
    <w:rsid w:val="45EB1122"/>
    <w:rsid w:val="45F97CB5"/>
    <w:rsid w:val="460D5750"/>
    <w:rsid w:val="461179AA"/>
    <w:rsid w:val="4615106D"/>
    <w:rsid w:val="462036D5"/>
    <w:rsid w:val="462404C8"/>
    <w:rsid w:val="46256F3D"/>
    <w:rsid w:val="462C7B04"/>
    <w:rsid w:val="462E7BA0"/>
    <w:rsid w:val="46371834"/>
    <w:rsid w:val="46372BF9"/>
    <w:rsid w:val="463A7D48"/>
    <w:rsid w:val="463F1DAD"/>
    <w:rsid w:val="46401681"/>
    <w:rsid w:val="4642364B"/>
    <w:rsid w:val="46432073"/>
    <w:rsid w:val="464E2871"/>
    <w:rsid w:val="46516BD2"/>
    <w:rsid w:val="46582E6F"/>
    <w:rsid w:val="466E147D"/>
    <w:rsid w:val="467248DA"/>
    <w:rsid w:val="46761547"/>
    <w:rsid w:val="46873754"/>
    <w:rsid w:val="468D78DC"/>
    <w:rsid w:val="46933180"/>
    <w:rsid w:val="469428F6"/>
    <w:rsid w:val="46957C1F"/>
    <w:rsid w:val="469A3487"/>
    <w:rsid w:val="469F2907"/>
    <w:rsid w:val="46A82DEF"/>
    <w:rsid w:val="46AA452D"/>
    <w:rsid w:val="46AA65F3"/>
    <w:rsid w:val="46AE6F33"/>
    <w:rsid w:val="46C155FF"/>
    <w:rsid w:val="46C16D06"/>
    <w:rsid w:val="46C62DED"/>
    <w:rsid w:val="46C77026"/>
    <w:rsid w:val="46CE3131"/>
    <w:rsid w:val="46DD15C6"/>
    <w:rsid w:val="46E91D19"/>
    <w:rsid w:val="46E93AC7"/>
    <w:rsid w:val="46FC7C9E"/>
    <w:rsid w:val="46FE0F76"/>
    <w:rsid w:val="47060B1D"/>
    <w:rsid w:val="470B3A79"/>
    <w:rsid w:val="47173A56"/>
    <w:rsid w:val="47356E70"/>
    <w:rsid w:val="47370CD6"/>
    <w:rsid w:val="47374B3B"/>
    <w:rsid w:val="473A7748"/>
    <w:rsid w:val="47412E3C"/>
    <w:rsid w:val="474A6C5C"/>
    <w:rsid w:val="475162EE"/>
    <w:rsid w:val="47544186"/>
    <w:rsid w:val="47582008"/>
    <w:rsid w:val="4766336A"/>
    <w:rsid w:val="476E453E"/>
    <w:rsid w:val="478E1878"/>
    <w:rsid w:val="479A6F27"/>
    <w:rsid w:val="47A55629"/>
    <w:rsid w:val="47AB6FCE"/>
    <w:rsid w:val="47AC3472"/>
    <w:rsid w:val="47B268D7"/>
    <w:rsid w:val="47B70069"/>
    <w:rsid w:val="47B7441E"/>
    <w:rsid w:val="47C026E7"/>
    <w:rsid w:val="47C702AC"/>
    <w:rsid w:val="47E40E45"/>
    <w:rsid w:val="47E517C3"/>
    <w:rsid w:val="47EA5D49"/>
    <w:rsid w:val="47F87DF2"/>
    <w:rsid w:val="47FE3EC4"/>
    <w:rsid w:val="48052B82"/>
    <w:rsid w:val="48057979"/>
    <w:rsid w:val="480726FF"/>
    <w:rsid w:val="480A7A32"/>
    <w:rsid w:val="480A7D67"/>
    <w:rsid w:val="480C5CBF"/>
    <w:rsid w:val="48164D90"/>
    <w:rsid w:val="48180B08"/>
    <w:rsid w:val="481903DC"/>
    <w:rsid w:val="481961B2"/>
    <w:rsid w:val="482B7781"/>
    <w:rsid w:val="482C45B3"/>
    <w:rsid w:val="482D7F07"/>
    <w:rsid w:val="482E1514"/>
    <w:rsid w:val="4832149E"/>
    <w:rsid w:val="483239E1"/>
    <w:rsid w:val="483F7E44"/>
    <w:rsid w:val="48433882"/>
    <w:rsid w:val="4847319B"/>
    <w:rsid w:val="48485C93"/>
    <w:rsid w:val="484E4529"/>
    <w:rsid w:val="4852038D"/>
    <w:rsid w:val="485951B1"/>
    <w:rsid w:val="485A5D86"/>
    <w:rsid w:val="48666DEA"/>
    <w:rsid w:val="486C2C02"/>
    <w:rsid w:val="4872488C"/>
    <w:rsid w:val="48737464"/>
    <w:rsid w:val="48790BD4"/>
    <w:rsid w:val="48897310"/>
    <w:rsid w:val="489206FC"/>
    <w:rsid w:val="48942552"/>
    <w:rsid w:val="4899011B"/>
    <w:rsid w:val="48A028AB"/>
    <w:rsid w:val="48A53270"/>
    <w:rsid w:val="48A71E8C"/>
    <w:rsid w:val="48A91760"/>
    <w:rsid w:val="48B60321"/>
    <w:rsid w:val="48BC4D12"/>
    <w:rsid w:val="48C200B9"/>
    <w:rsid w:val="48C2187E"/>
    <w:rsid w:val="48C54BA0"/>
    <w:rsid w:val="48CF1F53"/>
    <w:rsid w:val="48D10CB7"/>
    <w:rsid w:val="48DD6A2D"/>
    <w:rsid w:val="48FC21D7"/>
    <w:rsid w:val="48FE1611"/>
    <w:rsid w:val="4900334A"/>
    <w:rsid w:val="49003B5E"/>
    <w:rsid w:val="490E33D1"/>
    <w:rsid w:val="490F6A01"/>
    <w:rsid w:val="49177011"/>
    <w:rsid w:val="491A08B0"/>
    <w:rsid w:val="491F1034"/>
    <w:rsid w:val="49221512"/>
    <w:rsid w:val="492800B6"/>
    <w:rsid w:val="49283AE6"/>
    <w:rsid w:val="493C6A78"/>
    <w:rsid w:val="49440FFE"/>
    <w:rsid w:val="49441489"/>
    <w:rsid w:val="49574F2B"/>
    <w:rsid w:val="49582C16"/>
    <w:rsid w:val="49586884"/>
    <w:rsid w:val="495D254A"/>
    <w:rsid w:val="495D63AA"/>
    <w:rsid w:val="49681C10"/>
    <w:rsid w:val="497758AA"/>
    <w:rsid w:val="497B0692"/>
    <w:rsid w:val="497D0831"/>
    <w:rsid w:val="49835DD3"/>
    <w:rsid w:val="49956188"/>
    <w:rsid w:val="499E5142"/>
    <w:rsid w:val="49C2583A"/>
    <w:rsid w:val="49D547D7"/>
    <w:rsid w:val="49D7344F"/>
    <w:rsid w:val="49E24E5D"/>
    <w:rsid w:val="49E36EF3"/>
    <w:rsid w:val="49E669E4"/>
    <w:rsid w:val="49EE786A"/>
    <w:rsid w:val="49F17862"/>
    <w:rsid w:val="49F50B31"/>
    <w:rsid w:val="49F7299F"/>
    <w:rsid w:val="49F96717"/>
    <w:rsid w:val="49FB423D"/>
    <w:rsid w:val="4A062BE2"/>
    <w:rsid w:val="4A080708"/>
    <w:rsid w:val="4A0F3410"/>
    <w:rsid w:val="4A171611"/>
    <w:rsid w:val="4A1B2A7B"/>
    <w:rsid w:val="4A1F3815"/>
    <w:rsid w:val="4A2F773D"/>
    <w:rsid w:val="4A345D7B"/>
    <w:rsid w:val="4A384C8F"/>
    <w:rsid w:val="4A3C5376"/>
    <w:rsid w:val="4A5412BD"/>
    <w:rsid w:val="4A5B05C2"/>
    <w:rsid w:val="4A630034"/>
    <w:rsid w:val="4A691A4F"/>
    <w:rsid w:val="4A696836"/>
    <w:rsid w:val="4A742241"/>
    <w:rsid w:val="4A85669F"/>
    <w:rsid w:val="4A8A672A"/>
    <w:rsid w:val="4A8B1023"/>
    <w:rsid w:val="4A987CDE"/>
    <w:rsid w:val="4A9A1CA8"/>
    <w:rsid w:val="4A9E2E1A"/>
    <w:rsid w:val="4AB10DA0"/>
    <w:rsid w:val="4ABC07D3"/>
    <w:rsid w:val="4ABF5254"/>
    <w:rsid w:val="4AC14B78"/>
    <w:rsid w:val="4AC40AD3"/>
    <w:rsid w:val="4AC705C3"/>
    <w:rsid w:val="4AC95435"/>
    <w:rsid w:val="4ACC315E"/>
    <w:rsid w:val="4AE01685"/>
    <w:rsid w:val="4AE274E7"/>
    <w:rsid w:val="4AFC67FD"/>
    <w:rsid w:val="4B125CE2"/>
    <w:rsid w:val="4B201A81"/>
    <w:rsid w:val="4B215F25"/>
    <w:rsid w:val="4B272E10"/>
    <w:rsid w:val="4B425E9C"/>
    <w:rsid w:val="4B6777B1"/>
    <w:rsid w:val="4B684422"/>
    <w:rsid w:val="4B736055"/>
    <w:rsid w:val="4B760B3E"/>
    <w:rsid w:val="4B773AE0"/>
    <w:rsid w:val="4B7D0C82"/>
    <w:rsid w:val="4B7D394A"/>
    <w:rsid w:val="4B80203F"/>
    <w:rsid w:val="4B875287"/>
    <w:rsid w:val="4B8C3DA5"/>
    <w:rsid w:val="4B8E10EC"/>
    <w:rsid w:val="4BA3693A"/>
    <w:rsid w:val="4BA50710"/>
    <w:rsid w:val="4BA97CC9"/>
    <w:rsid w:val="4BAB3A41"/>
    <w:rsid w:val="4BAD1567"/>
    <w:rsid w:val="4BB328F5"/>
    <w:rsid w:val="4BB85428"/>
    <w:rsid w:val="4BD16CBE"/>
    <w:rsid w:val="4BD80A66"/>
    <w:rsid w:val="4BE96317"/>
    <w:rsid w:val="4BF16C54"/>
    <w:rsid w:val="4BFB6776"/>
    <w:rsid w:val="4C0C0983"/>
    <w:rsid w:val="4C0D2006"/>
    <w:rsid w:val="4C1A4723"/>
    <w:rsid w:val="4C1D0283"/>
    <w:rsid w:val="4C2576E1"/>
    <w:rsid w:val="4C352FB5"/>
    <w:rsid w:val="4C3E43DA"/>
    <w:rsid w:val="4C412A88"/>
    <w:rsid w:val="4C4D68A6"/>
    <w:rsid w:val="4C4E2FA9"/>
    <w:rsid w:val="4C5178EA"/>
    <w:rsid w:val="4C5639AD"/>
    <w:rsid w:val="4C6A7458"/>
    <w:rsid w:val="4C72455F"/>
    <w:rsid w:val="4C793E6B"/>
    <w:rsid w:val="4C7B63C9"/>
    <w:rsid w:val="4C822BB3"/>
    <w:rsid w:val="4C883D82"/>
    <w:rsid w:val="4C886B7B"/>
    <w:rsid w:val="4C89771F"/>
    <w:rsid w:val="4C8C7944"/>
    <w:rsid w:val="4C9C44C8"/>
    <w:rsid w:val="4CA248DC"/>
    <w:rsid w:val="4CA632A7"/>
    <w:rsid w:val="4CB42DC9"/>
    <w:rsid w:val="4CC10512"/>
    <w:rsid w:val="4CD131DD"/>
    <w:rsid w:val="4CDA2491"/>
    <w:rsid w:val="4CDB6560"/>
    <w:rsid w:val="4CDB793F"/>
    <w:rsid w:val="4CE31295"/>
    <w:rsid w:val="4CE74F4D"/>
    <w:rsid w:val="4CEC4311"/>
    <w:rsid w:val="4CF42EA8"/>
    <w:rsid w:val="4CF84A64"/>
    <w:rsid w:val="4D111FCA"/>
    <w:rsid w:val="4D3014AC"/>
    <w:rsid w:val="4D304FE4"/>
    <w:rsid w:val="4D3A1520"/>
    <w:rsid w:val="4D3A65FB"/>
    <w:rsid w:val="4D3E0219"/>
    <w:rsid w:val="4D457283"/>
    <w:rsid w:val="4D471547"/>
    <w:rsid w:val="4D4C612C"/>
    <w:rsid w:val="4D4F2873"/>
    <w:rsid w:val="4D583754"/>
    <w:rsid w:val="4D616AAD"/>
    <w:rsid w:val="4D714816"/>
    <w:rsid w:val="4D7C7BA6"/>
    <w:rsid w:val="4D82168D"/>
    <w:rsid w:val="4D8602C2"/>
    <w:rsid w:val="4D862070"/>
    <w:rsid w:val="4D923378"/>
    <w:rsid w:val="4D947C8F"/>
    <w:rsid w:val="4DA16EA9"/>
    <w:rsid w:val="4DA4699A"/>
    <w:rsid w:val="4DAC4BF0"/>
    <w:rsid w:val="4DB426E8"/>
    <w:rsid w:val="4DB848FA"/>
    <w:rsid w:val="4DB867C8"/>
    <w:rsid w:val="4DC82884"/>
    <w:rsid w:val="4DCA3CE4"/>
    <w:rsid w:val="4DCD5EF0"/>
    <w:rsid w:val="4DE7524B"/>
    <w:rsid w:val="4DEB281B"/>
    <w:rsid w:val="4DEB65A9"/>
    <w:rsid w:val="4DEC4F17"/>
    <w:rsid w:val="4DED5CE9"/>
    <w:rsid w:val="4DF87831"/>
    <w:rsid w:val="4DFF0074"/>
    <w:rsid w:val="4DFF0D3D"/>
    <w:rsid w:val="4E05384B"/>
    <w:rsid w:val="4E0631B0"/>
    <w:rsid w:val="4E165AE9"/>
    <w:rsid w:val="4E2A0C3F"/>
    <w:rsid w:val="4E2B62CF"/>
    <w:rsid w:val="4E3060A1"/>
    <w:rsid w:val="4E3A1984"/>
    <w:rsid w:val="4E3B5550"/>
    <w:rsid w:val="4E4361B3"/>
    <w:rsid w:val="4E485577"/>
    <w:rsid w:val="4E487C6D"/>
    <w:rsid w:val="4E4E0A20"/>
    <w:rsid w:val="4E557C94"/>
    <w:rsid w:val="4E5C4BE5"/>
    <w:rsid w:val="4E681265"/>
    <w:rsid w:val="4E75677C"/>
    <w:rsid w:val="4E760913"/>
    <w:rsid w:val="4E7759E7"/>
    <w:rsid w:val="4E8567CB"/>
    <w:rsid w:val="4E8642F1"/>
    <w:rsid w:val="4E8A5B90"/>
    <w:rsid w:val="4E9862F9"/>
    <w:rsid w:val="4E992277"/>
    <w:rsid w:val="4EAA3021"/>
    <w:rsid w:val="4EAB7E41"/>
    <w:rsid w:val="4EAF1A9A"/>
    <w:rsid w:val="4EB26E94"/>
    <w:rsid w:val="4EB41544"/>
    <w:rsid w:val="4EC45545"/>
    <w:rsid w:val="4ECF30E8"/>
    <w:rsid w:val="4EE15DBA"/>
    <w:rsid w:val="4EE47996"/>
    <w:rsid w:val="4EE7123F"/>
    <w:rsid w:val="4EED611E"/>
    <w:rsid w:val="4EF83441"/>
    <w:rsid w:val="4EF91A07"/>
    <w:rsid w:val="4EFB2028"/>
    <w:rsid w:val="4F0E67C1"/>
    <w:rsid w:val="4F115394"/>
    <w:rsid w:val="4F1B0EDE"/>
    <w:rsid w:val="4F251D5C"/>
    <w:rsid w:val="4F253B0A"/>
    <w:rsid w:val="4F2F6737"/>
    <w:rsid w:val="4F3857B4"/>
    <w:rsid w:val="4F3B0C13"/>
    <w:rsid w:val="4F3D2C02"/>
    <w:rsid w:val="4F44642B"/>
    <w:rsid w:val="4F532425"/>
    <w:rsid w:val="4F551F94"/>
    <w:rsid w:val="4F587A3C"/>
    <w:rsid w:val="4F602697"/>
    <w:rsid w:val="4F701229"/>
    <w:rsid w:val="4F7B372A"/>
    <w:rsid w:val="4F80439A"/>
    <w:rsid w:val="4F8C3B89"/>
    <w:rsid w:val="4F8D66CC"/>
    <w:rsid w:val="4F910CFD"/>
    <w:rsid w:val="4F975FA9"/>
    <w:rsid w:val="4F990FBC"/>
    <w:rsid w:val="4F9C19A5"/>
    <w:rsid w:val="4FA42C81"/>
    <w:rsid w:val="4FA964E9"/>
    <w:rsid w:val="4FB54E8E"/>
    <w:rsid w:val="4FBA4253"/>
    <w:rsid w:val="4FCB1CF0"/>
    <w:rsid w:val="4FD2167A"/>
    <w:rsid w:val="4FD25A40"/>
    <w:rsid w:val="4FD74E04"/>
    <w:rsid w:val="4FF0236A"/>
    <w:rsid w:val="4FFC0D8F"/>
    <w:rsid w:val="50086BD8"/>
    <w:rsid w:val="500D0826"/>
    <w:rsid w:val="50106568"/>
    <w:rsid w:val="50120532"/>
    <w:rsid w:val="50142054"/>
    <w:rsid w:val="501F47C1"/>
    <w:rsid w:val="50242014"/>
    <w:rsid w:val="50270D66"/>
    <w:rsid w:val="503618C9"/>
    <w:rsid w:val="503A57CF"/>
    <w:rsid w:val="504F6E5C"/>
    <w:rsid w:val="505446A7"/>
    <w:rsid w:val="505D37FB"/>
    <w:rsid w:val="506A20CE"/>
    <w:rsid w:val="50744D49"/>
    <w:rsid w:val="50760AC1"/>
    <w:rsid w:val="507951FB"/>
    <w:rsid w:val="507B60D8"/>
    <w:rsid w:val="507E1724"/>
    <w:rsid w:val="50836D3A"/>
    <w:rsid w:val="508D7BB9"/>
    <w:rsid w:val="50933C0F"/>
    <w:rsid w:val="50942CF5"/>
    <w:rsid w:val="50A33931"/>
    <w:rsid w:val="50A76ECD"/>
    <w:rsid w:val="50B74C36"/>
    <w:rsid w:val="50BC404C"/>
    <w:rsid w:val="50BF35AD"/>
    <w:rsid w:val="50C03AEB"/>
    <w:rsid w:val="50C35105"/>
    <w:rsid w:val="50C51101"/>
    <w:rsid w:val="50C54961"/>
    <w:rsid w:val="50C668CF"/>
    <w:rsid w:val="50C91A94"/>
    <w:rsid w:val="50D32794"/>
    <w:rsid w:val="50D650BC"/>
    <w:rsid w:val="50D92B4F"/>
    <w:rsid w:val="50E0176E"/>
    <w:rsid w:val="50E579F5"/>
    <w:rsid w:val="50E97406"/>
    <w:rsid w:val="50EA500B"/>
    <w:rsid w:val="50F87728"/>
    <w:rsid w:val="510C1226"/>
    <w:rsid w:val="510D6577"/>
    <w:rsid w:val="510D7637"/>
    <w:rsid w:val="511A2E6A"/>
    <w:rsid w:val="5122106D"/>
    <w:rsid w:val="5128521C"/>
    <w:rsid w:val="5140188A"/>
    <w:rsid w:val="51475FBA"/>
    <w:rsid w:val="5151508A"/>
    <w:rsid w:val="515B3B4F"/>
    <w:rsid w:val="51677880"/>
    <w:rsid w:val="51713601"/>
    <w:rsid w:val="51730B5D"/>
    <w:rsid w:val="51890380"/>
    <w:rsid w:val="518F7B96"/>
    <w:rsid w:val="51955232"/>
    <w:rsid w:val="51965F7A"/>
    <w:rsid w:val="519E1848"/>
    <w:rsid w:val="519F5DF6"/>
    <w:rsid w:val="51AD1269"/>
    <w:rsid w:val="51AE428B"/>
    <w:rsid w:val="51BB0150"/>
    <w:rsid w:val="51C92E73"/>
    <w:rsid w:val="51CD2963"/>
    <w:rsid w:val="51D81C56"/>
    <w:rsid w:val="51DA0BDC"/>
    <w:rsid w:val="51E83DA0"/>
    <w:rsid w:val="51EE2BCA"/>
    <w:rsid w:val="51F361A5"/>
    <w:rsid w:val="52065E75"/>
    <w:rsid w:val="521045FE"/>
    <w:rsid w:val="521238ED"/>
    <w:rsid w:val="52291B63"/>
    <w:rsid w:val="522C4F2E"/>
    <w:rsid w:val="522F6170"/>
    <w:rsid w:val="5238356A"/>
    <w:rsid w:val="523F540C"/>
    <w:rsid w:val="52416EAD"/>
    <w:rsid w:val="52536456"/>
    <w:rsid w:val="52592449"/>
    <w:rsid w:val="525F10E1"/>
    <w:rsid w:val="52614E59"/>
    <w:rsid w:val="52636E23"/>
    <w:rsid w:val="5284234A"/>
    <w:rsid w:val="52854FEC"/>
    <w:rsid w:val="528A2602"/>
    <w:rsid w:val="528E2E9D"/>
    <w:rsid w:val="52960822"/>
    <w:rsid w:val="52A631B4"/>
    <w:rsid w:val="52B63819"/>
    <w:rsid w:val="52BE0E40"/>
    <w:rsid w:val="52C87073"/>
    <w:rsid w:val="52CB30CD"/>
    <w:rsid w:val="52D10231"/>
    <w:rsid w:val="52D10916"/>
    <w:rsid w:val="52D34370"/>
    <w:rsid w:val="52E02222"/>
    <w:rsid w:val="52E31D12"/>
    <w:rsid w:val="52EB22BD"/>
    <w:rsid w:val="52EB22F4"/>
    <w:rsid w:val="52F54691"/>
    <w:rsid w:val="53005804"/>
    <w:rsid w:val="5302251E"/>
    <w:rsid w:val="53071EA5"/>
    <w:rsid w:val="5314011E"/>
    <w:rsid w:val="531620E8"/>
    <w:rsid w:val="53195734"/>
    <w:rsid w:val="531E2D4A"/>
    <w:rsid w:val="53256455"/>
    <w:rsid w:val="532D6A14"/>
    <w:rsid w:val="533354AF"/>
    <w:rsid w:val="5334256E"/>
    <w:rsid w:val="53423D16"/>
    <w:rsid w:val="534C3D5B"/>
    <w:rsid w:val="534C5B09"/>
    <w:rsid w:val="53583BB4"/>
    <w:rsid w:val="53656BCB"/>
    <w:rsid w:val="53682217"/>
    <w:rsid w:val="536C61AC"/>
    <w:rsid w:val="536E5A80"/>
    <w:rsid w:val="537868FE"/>
    <w:rsid w:val="537B1F4B"/>
    <w:rsid w:val="537B678C"/>
    <w:rsid w:val="537D7643"/>
    <w:rsid w:val="53843C12"/>
    <w:rsid w:val="53894668"/>
    <w:rsid w:val="538C23AA"/>
    <w:rsid w:val="538D67F9"/>
    <w:rsid w:val="538E275D"/>
    <w:rsid w:val="53990623"/>
    <w:rsid w:val="53C33A31"/>
    <w:rsid w:val="53D03AFA"/>
    <w:rsid w:val="53D345A2"/>
    <w:rsid w:val="53E43F94"/>
    <w:rsid w:val="53F9475E"/>
    <w:rsid w:val="54010017"/>
    <w:rsid w:val="54143543"/>
    <w:rsid w:val="5418797C"/>
    <w:rsid w:val="541C48A5"/>
    <w:rsid w:val="541E6B43"/>
    <w:rsid w:val="54266531"/>
    <w:rsid w:val="54294109"/>
    <w:rsid w:val="542F68A5"/>
    <w:rsid w:val="54422A68"/>
    <w:rsid w:val="544B63D8"/>
    <w:rsid w:val="544D7D8B"/>
    <w:rsid w:val="5455279C"/>
    <w:rsid w:val="545A24A8"/>
    <w:rsid w:val="5462437A"/>
    <w:rsid w:val="547277F2"/>
    <w:rsid w:val="54742569"/>
    <w:rsid w:val="54785B32"/>
    <w:rsid w:val="547F146C"/>
    <w:rsid w:val="548117E3"/>
    <w:rsid w:val="54880DC3"/>
    <w:rsid w:val="549044AE"/>
    <w:rsid w:val="54932A9C"/>
    <w:rsid w:val="54965FAD"/>
    <w:rsid w:val="54972393"/>
    <w:rsid w:val="54977258"/>
    <w:rsid w:val="54A84FC1"/>
    <w:rsid w:val="54AB2D04"/>
    <w:rsid w:val="54B5148C"/>
    <w:rsid w:val="54B629D5"/>
    <w:rsid w:val="54BF40B9"/>
    <w:rsid w:val="54C47921"/>
    <w:rsid w:val="54C6369A"/>
    <w:rsid w:val="54CC49CA"/>
    <w:rsid w:val="54CF7242"/>
    <w:rsid w:val="54DB1E1E"/>
    <w:rsid w:val="54E44C39"/>
    <w:rsid w:val="54E51D72"/>
    <w:rsid w:val="54EA43E4"/>
    <w:rsid w:val="54EB4EAE"/>
    <w:rsid w:val="54EB72C2"/>
    <w:rsid w:val="54F00716"/>
    <w:rsid w:val="54F1772B"/>
    <w:rsid w:val="54F621D1"/>
    <w:rsid w:val="55062F11"/>
    <w:rsid w:val="55110DB9"/>
    <w:rsid w:val="551E34D6"/>
    <w:rsid w:val="55202DAA"/>
    <w:rsid w:val="55256612"/>
    <w:rsid w:val="55261410"/>
    <w:rsid w:val="553463B4"/>
    <w:rsid w:val="553920BD"/>
    <w:rsid w:val="55393E6B"/>
    <w:rsid w:val="553B5E36"/>
    <w:rsid w:val="553D1C05"/>
    <w:rsid w:val="554051FA"/>
    <w:rsid w:val="55432F3C"/>
    <w:rsid w:val="554D5B69"/>
    <w:rsid w:val="554E3DBB"/>
    <w:rsid w:val="555962BC"/>
    <w:rsid w:val="555B4F8A"/>
    <w:rsid w:val="5561281F"/>
    <w:rsid w:val="55651104"/>
    <w:rsid w:val="55684751"/>
    <w:rsid w:val="558003F1"/>
    <w:rsid w:val="559506D0"/>
    <w:rsid w:val="55985036"/>
    <w:rsid w:val="559A7F2C"/>
    <w:rsid w:val="559E63C4"/>
    <w:rsid w:val="559E7071"/>
    <w:rsid w:val="55CB540B"/>
    <w:rsid w:val="55DB7BF8"/>
    <w:rsid w:val="55E22755"/>
    <w:rsid w:val="55E62245"/>
    <w:rsid w:val="55EC5382"/>
    <w:rsid w:val="55F61D5C"/>
    <w:rsid w:val="560721BC"/>
    <w:rsid w:val="56075D18"/>
    <w:rsid w:val="560C77D2"/>
    <w:rsid w:val="562E599A"/>
    <w:rsid w:val="56333CCD"/>
    <w:rsid w:val="563D5B40"/>
    <w:rsid w:val="56436DEA"/>
    <w:rsid w:val="56440D1A"/>
    <w:rsid w:val="56486695"/>
    <w:rsid w:val="564C5E20"/>
    <w:rsid w:val="56504935"/>
    <w:rsid w:val="566201DA"/>
    <w:rsid w:val="56796828"/>
    <w:rsid w:val="568200BD"/>
    <w:rsid w:val="56835CE6"/>
    <w:rsid w:val="56981066"/>
    <w:rsid w:val="569D7AFE"/>
    <w:rsid w:val="56A0214F"/>
    <w:rsid w:val="56AD0686"/>
    <w:rsid w:val="56B20379"/>
    <w:rsid w:val="56B7242A"/>
    <w:rsid w:val="56BE323D"/>
    <w:rsid w:val="56BE6D1E"/>
    <w:rsid w:val="56C45044"/>
    <w:rsid w:val="56CD76AA"/>
    <w:rsid w:val="56CE4EC1"/>
    <w:rsid w:val="56D254C8"/>
    <w:rsid w:val="56DC20EA"/>
    <w:rsid w:val="56DC512B"/>
    <w:rsid w:val="56E46059"/>
    <w:rsid w:val="56E60A07"/>
    <w:rsid w:val="56E64706"/>
    <w:rsid w:val="56E946A4"/>
    <w:rsid w:val="56EE0C86"/>
    <w:rsid w:val="56FE711B"/>
    <w:rsid w:val="571E77BD"/>
    <w:rsid w:val="572172AD"/>
    <w:rsid w:val="572348EB"/>
    <w:rsid w:val="572A298C"/>
    <w:rsid w:val="572B3C88"/>
    <w:rsid w:val="572F3778"/>
    <w:rsid w:val="573E3E22"/>
    <w:rsid w:val="57422373"/>
    <w:rsid w:val="574C257C"/>
    <w:rsid w:val="575B631B"/>
    <w:rsid w:val="576573CA"/>
    <w:rsid w:val="57715486"/>
    <w:rsid w:val="577B4C0F"/>
    <w:rsid w:val="57812767"/>
    <w:rsid w:val="578A4C34"/>
    <w:rsid w:val="578A6C00"/>
    <w:rsid w:val="5797131D"/>
    <w:rsid w:val="579A0E0C"/>
    <w:rsid w:val="57BD0C66"/>
    <w:rsid w:val="57C71C02"/>
    <w:rsid w:val="57CB3F02"/>
    <w:rsid w:val="57DA64D3"/>
    <w:rsid w:val="57E023EF"/>
    <w:rsid w:val="57E71EDC"/>
    <w:rsid w:val="57EF1047"/>
    <w:rsid w:val="57F239CD"/>
    <w:rsid w:val="57FB365A"/>
    <w:rsid w:val="58123406"/>
    <w:rsid w:val="58183D5E"/>
    <w:rsid w:val="58192A3E"/>
    <w:rsid w:val="582232DD"/>
    <w:rsid w:val="582F73E6"/>
    <w:rsid w:val="583757F6"/>
    <w:rsid w:val="58415EB1"/>
    <w:rsid w:val="584A3692"/>
    <w:rsid w:val="58555460"/>
    <w:rsid w:val="585573E5"/>
    <w:rsid w:val="58564D34"/>
    <w:rsid w:val="585B41FD"/>
    <w:rsid w:val="585D60C3"/>
    <w:rsid w:val="586C6306"/>
    <w:rsid w:val="587F072F"/>
    <w:rsid w:val="5886561A"/>
    <w:rsid w:val="588A581C"/>
    <w:rsid w:val="5896568F"/>
    <w:rsid w:val="589D72D4"/>
    <w:rsid w:val="58A45E93"/>
    <w:rsid w:val="58AD5747"/>
    <w:rsid w:val="58C46173"/>
    <w:rsid w:val="58D36385"/>
    <w:rsid w:val="58D42829"/>
    <w:rsid w:val="58D61A06"/>
    <w:rsid w:val="58DB7BEC"/>
    <w:rsid w:val="58DC1CE8"/>
    <w:rsid w:val="58DC348C"/>
    <w:rsid w:val="58EC13E0"/>
    <w:rsid w:val="58F92290"/>
    <w:rsid w:val="59017DAB"/>
    <w:rsid w:val="59084281"/>
    <w:rsid w:val="5911722F"/>
    <w:rsid w:val="592270F5"/>
    <w:rsid w:val="59245F87"/>
    <w:rsid w:val="5931440B"/>
    <w:rsid w:val="593257A1"/>
    <w:rsid w:val="59411541"/>
    <w:rsid w:val="594340A3"/>
    <w:rsid w:val="59457283"/>
    <w:rsid w:val="594A7A8A"/>
    <w:rsid w:val="59653481"/>
    <w:rsid w:val="59697722"/>
    <w:rsid w:val="596D416E"/>
    <w:rsid w:val="59857B69"/>
    <w:rsid w:val="598C3104"/>
    <w:rsid w:val="598C5D62"/>
    <w:rsid w:val="59967ADE"/>
    <w:rsid w:val="599A64A2"/>
    <w:rsid w:val="599D779C"/>
    <w:rsid w:val="59A246D5"/>
    <w:rsid w:val="59AA5338"/>
    <w:rsid w:val="59B24C95"/>
    <w:rsid w:val="59B33FDE"/>
    <w:rsid w:val="59B85CA7"/>
    <w:rsid w:val="59BD32BD"/>
    <w:rsid w:val="59BE7185"/>
    <w:rsid w:val="59C24C31"/>
    <w:rsid w:val="59C503C4"/>
    <w:rsid w:val="59CA7788"/>
    <w:rsid w:val="59CB5A0E"/>
    <w:rsid w:val="59CD1026"/>
    <w:rsid w:val="59D6612D"/>
    <w:rsid w:val="59E7658C"/>
    <w:rsid w:val="59F642DA"/>
    <w:rsid w:val="59FD7B5D"/>
    <w:rsid w:val="5A032C9A"/>
    <w:rsid w:val="5A040EEC"/>
    <w:rsid w:val="5A2E41BB"/>
    <w:rsid w:val="5A402388"/>
    <w:rsid w:val="5A4103F2"/>
    <w:rsid w:val="5A455061"/>
    <w:rsid w:val="5A4B6B1B"/>
    <w:rsid w:val="5A4E2167"/>
    <w:rsid w:val="5A536124"/>
    <w:rsid w:val="5A5D05FC"/>
    <w:rsid w:val="5A5F02D3"/>
    <w:rsid w:val="5A5F51D6"/>
    <w:rsid w:val="5A68473E"/>
    <w:rsid w:val="5A737E20"/>
    <w:rsid w:val="5A75410B"/>
    <w:rsid w:val="5A767761"/>
    <w:rsid w:val="5A77134C"/>
    <w:rsid w:val="5A7F7B1F"/>
    <w:rsid w:val="5A84202D"/>
    <w:rsid w:val="5A8470E3"/>
    <w:rsid w:val="5A8C2A79"/>
    <w:rsid w:val="5A8D3C07"/>
    <w:rsid w:val="5A9A4363"/>
    <w:rsid w:val="5A9B74F7"/>
    <w:rsid w:val="5A9C2531"/>
    <w:rsid w:val="5A9C2F56"/>
    <w:rsid w:val="5AA63D51"/>
    <w:rsid w:val="5AA8066B"/>
    <w:rsid w:val="5AAC4C9B"/>
    <w:rsid w:val="5ABF0CC7"/>
    <w:rsid w:val="5AC308EA"/>
    <w:rsid w:val="5AC44CFF"/>
    <w:rsid w:val="5AD07020"/>
    <w:rsid w:val="5AD07755"/>
    <w:rsid w:val="5AD43CC1"/>
    <w:rsid w:val="5ADC59C5"/>
    <w:rsid w:val="5AE20B01"/>
    <w:rsid w:val="5AE26D53"/>
    <w:rsid w:val="5AFA5E4B"/>
    <w:rsid w:val="5AFA63EB"/>
    <w:rsid w:val="5AFE257C"/>
    <w:rsid w:val="5B0D5B7E"/>
    <w:rsid w:val="5B0E5935"/>
    <w:rsid w:val="5B0F591C"/>
    <w:rsid w:val="5B1433B1"/>
    <w:rsid w:val="5B191739"/>
    <w:rsid w:val="5B2D4E83"/>
    <w:rsid w:val="5B33135D"/>
    <w:rsid w:val="5B374FE5"/>
    <w:rsid w:val="5B3A0A8B"/>
    <w:rsid w:val="5B3C46B5"/>
    <w:rsid w:val="5B3D1ABC"/>
    <w:rsid w:val="5B4B2F70"/>
    <w:rsid w:val="5B4F43E9"/>
    <w:rsid w:val="5B5B0FE0"/>
    <w:rsid w:val="5B5F2152"/>
    <w:rsid w:val="5B65691A"/>
    <w:rsid w:val="5B692E7F"/>
    <w:rsid w:val="5B7976B8"/>
    <w:rsid w:val="5B7E49FC"/>
    <w:rsid w:val="5B807BC3"/>
    <w:rsid w:val="5B8D1100"/>
    <w:rsid w:val="5B932260"/>
    <w:rsid w:val="5B953401"/>
    <w:rsid w:val="5B984072"/>
    <w:rsid w:val="5B9A51D5"/>
    <w:rsid w:val="5BA23F45"/>
    <w:rsid w:val="5BB3204C"/>
    <w:rsid w:val="5BBF15FB"/>
    <w:rsid w:val="5BC13A56"/>
    <w:rsid w:val="5BC30933"/>
    <w:rsid w:val="5BCF0536"/>
    <w:rsid w:val="5BCF071B"/>
    <w:rsid w:val="5BD4669C"/>
    <w:rsid w:val="5BD509DC"/>
    <w:rsid w:val="5BE03293"/>
    <w:rsid w:val="5BE240AB"/>
    <w:rsid w:val="5BE663CF"/>
    <w:rsid w:val="5BE72873"/>
    <w:rsid w:val="5BF87991"/>
    <w:rsid w:val="5C070AAD"/>
    <w:rsid w:val="5C1C68C8"/>
    <w:rsid w:val="5C2F7D76"/>
    <w:rsid w:val="5C321615"/>
    <w:rsid w:val="5C36795D"/>
    <w:rsid w:val="5C3E7FB9"/>
    <w:rsid w:val="5C434E18"/>
    <w:rsid w:val="5C447CC6"/>
    <w:rsid w:val="5C4D5F06"/>
    <w:rsid w:val="5C5123E2"/>
    <w:rsid w:val="5C5767C2"/>
    <w:rsid w:val="5C593045"/>
    <w:rsid w:val="5C5F065B"/>
    <w:rsid w:val="5C6739B4"/>
    <w:rsid w:val="5C682BE7"/>
    <w:rsid w:val="5C700ABB"/>
    <w:rsid w:val="5C783A22"/>
    <w:rsid w:val="5C855BE8"/>
    <w:rsid w:val="5C8C04C4"/>
    <w:rsid w:val="5C8C28B6"/>
    <w:rsid w:val="5C8C51C9"/>
    <w:rsid w:val="5C902F0B"/>
    <w:rsid w:val="5C9536A8"/>
    <w:rsid w:val="5CA051D4"/>
    <w:rsid w:val="5CAD53A5"/>
    <w:rsid w:val="5CB07109"/>
    <w:rsid w:val="5CB169DD"/>
    <w:rsid w:val="5CC130C4"/>
    <w:rsid w:val="5CC14FD1"/>
    <w:rsid w:val="5CC3773B"/>
    <w:rsid w:val="5CD13F27"/>
    <w:rsid w:val="5CDD77D2"/>
    <w:rsid w:val="5CEB183E"/>
    <w:rsid w:val="5CED210B"/>
    <w:rsid w:val="5CFB0534"/>
    <w:rsid w:val="5CFC3588"/>
    <w:rsid w:val="5D0B5836"/>
    <w:rsid w:val="5D121B72"/>
    <w:rsid w:val="5D1D45BB"/>
    <w:rsid w:val="5D213B63"/>
    <w:rsid w:val="5D2A6620"/>
    <w:rsid w:val="5D2B4C2D"/>
    <w:rsid w:val="5D302934"/>
    <w:rsid w:val="5D421147"/>
    <w:rsid w:val="5D4B0BE0"/>
    <w:rsid w:val="5D4E54F2"/>
    <w:rsid w:val="5D6677C8"/>
    <w:rsid w:val="5D6808A8"/>
    <w:rsid w:val="5D6F2B20"/>
    <w:rsid w:val="5D845EA0"/>
    <w:rsid w:val="5D8B5480"/>
    <w:rsid w:val="5D9F1670"/>
    <w:rsid w:val="5DA40639"/>
    <w:rsid w:val="5DA91826"/>
    <w:rsid w:val="5DC170A6"/>
    <w:rsid w:val="5DC34083"/>
    <w:rsid w:val="5DD166EA"/>
    <w:rsid w:val="5DD230AF"/>
    <w:rsid w:val="5DD40BD5"/>
    <w:rsid w:val="5DDB01B6"/>
    <w:rsid w:val="5DFB5879"/>
    <w:rsid w:val="5E0E705E"/>
    <w:rsid w:val="5E135BA1"/>
    <w:rsid w:val="5E1921CB"/>
    <w:rsid w:val="5E196F30"/>
    <w:rsid w:val="5E212689"/>
    <w:rsid w:val="5E231B5D"/>
    <w:rsid w:val="5E257A82"/>
    <w:rsid w:val="5E296976"/>
    <w:rsid w:val="5E2D02C6"/>
    <w:rsid w:val="5E2D4789"/>
    <w:rsid w:val="5E391780"/>
    <w:rsid w:val="5E3D2C1E"/>
    <w:rsid w:val="5E457D25"/>
    <w:rsid w:val="5E48287D"/>
    <w:rsid w:val="5E5B30A5"/>
    <w:rsid w:val="5E5D3138"/>
    <w:rsid w:val="5E630ECB"/>
    <w:rsid w:val="5E662C3E"/>
    <w:rsid w:val="5E677C9B"/>
    <w:rsid w:val="5E685FFA"/>
    <w:rsid w:val="5E714676"/>
    <w:rsid w:val="5E7248A5"/>
    <w:rsid w:val="5E8B1BDC"/>
    <w:rsid w:val="5E8B6A61"/>
    <w:rsid w:val="5E93771D"/>
    <w:rsid w:val="5E966CFA"/>
    <w:rsid w:val="5E9C3F7E"/>
    <w:rsid w:val="5EA42C9D"/>
    <w:rsid w:val="5EAB1C1D"/>
    <w:rsid w:val="5EB56C59"/>
    <w:rsid w:val="5EB84FFA"/>
    <w:rsid w:val="5EB9022B"/>
    <w:rsid w:val="5EBA426F"/>
    <w:rsid w:val="5ED864A3"/>
    <w:rsid w:val="5EDB50BB"/>
    <w:rsid w:val="5EDD20C9"/>
    <w:rsid w:val="5EE05174"/>
    <w:rsid w:val="5EE44E48"/>
    <w:rsid w:val="5EE4753E"/>
    <w:rsid w:val="5EEE216B"/>
    <w:rsid w:val="5EEE2670"/>
    <w:rsid w:val="5EF3424C"/>
    <w:rsid w:val="5EF534F9"/>
    <w:rsid w:val="5EFD23AE"/>
    <w:rsid w:val="5EFF6126"/>
    <w:rsid w:val="5F013C4C"/>
    <w:rsid w:val="5F106EAF"/>
    <w:rsid w:val="5F1F40D2"/>
    <w:rsid w:val="5F240C16"/>
    <w:rsid w:val="5F250778"/>
    <w:rsid w:val="5F3202A9"/>
    <w:rsid w:val="5F434264"/>
    <w:rsid w:val="5F5244A8"/>
    <w:rsid w:val="5F553F98"/>
    <w:rsid w:val="5F570CA2"/>
    <w:rsid w:val="5F5854AC"/>
    <w:rsid w:val="5F6366B5"/>
    <w:rsid w:val="5F70071F"/>
    <w:rsid w:val="5F710055"/>
    <w:rsid w:val="5F721A65"/>
    <w:rsid w:val="5F781A34"/>
    <w:rsid w:val="5F824A2F"/>
    <w:rsid w:val="5F8368FB"/>
    <w:rsid w:val="5F906D7E"/>
    <w:rsid w:val="5F96425D"/>
    <w:rsid w:val="5F984EF2"/>
    <w:rsid w:val="5FA6034F"/>
    <w:rsid w:val="5FA62E58"/>
    <w:rsid w:val="5FB714C3"/>
    <w:rsid w:val="5FB7255D"/>
    <w:rsid w:val="5FC047AB"/>
    <w:rsid w:val="5FC10491"/>
    <w:rsid w:val="5FC72889"/>
    <w:rsid w:val="5FCD1D80"/>
    <w:rsid w:val="5FCF4306"/>
    <w:rsid w:val="5FD6599F"/>
    <w:rsid w:val="5FDD6055"/>
    <w:rsid w:val="5FEA51CA"/>
    <w:rsid w:val="600149B3"/>
    <w:rsid w:val="600339F4"/>
    <w:rsid w:val="60133153"/>
    <w:rsid w:val="60171DAE"/>
    <w:rsid w:val="60251BBC"/>
    <w:rsid w:val="602816AC"/>
    <w:rsid w:val="6029383E"/>
    <w:rsid w:val="602974D8"/>
    <w:rsid w:val="603911C4"/>
    <w:rsid w:val="603A260D"/>
    <w:rsid w:val="603B13E0"/>
    <w:rsid w:val="603B4F3C"/>
    <w:rsid w:val="604364E6"/>
    <w:rsid w:val="604942EA"/>
    <w:rsid w:val="604D339D"/>
    <w:rsid w:val="604F09E7"/>
    <w:rsid w:val="605129B1"/>
    <w:rsid w:val="605D7844"/>
    <w:rsid w:val="606079EE"/>
    <w:rsid w:val="60675917"/>
    <w:rsid w:val="606A5821"/>
    <w:rsid w:val="606F2E37"/>
    <w:rsid w:val="60766089"/>
    <w:rsid w:val="607B7A2E"/>
    <w:rsid w:val="60805044"/>
    <w:rsid w:val="60806DF2"/>
    <w:rsid w:val="60817B6A"/>
    <w:rsid w:val="608323B3"/>
    <w:rsid w:val="60860AA9"/>
    <w:rsid w:val="60987315"/>
    <w:rsid w:val="609E54CA"/>
    <w:rsid w:val="609F557C"/>
    <w:rsid w:val="60A12B2E"/>
    <w:rsid w:val="60A6327B"/>
    <w:rsid w:val="60BB21E8"/>
    <w:rsid w:val="60D324BA"/>
    <w:rsid w:val="60DE7566"/>
    <w:rsid w:val="60DF023F"/>
    <w:rsid w:val="60E42D4B"/>
    <w:rsid w:val="60EA14F6"/>
    <w:rsid w:val="60F0394C"/>
    <w:rsid w:val="60F92651"/>
    <w:rsid w:val="60F95346"/>
    <w:rsid w:val="61066EF1"/>
    <w:rsid w:val="61112140"/>
    <w:rsid w:val="6113465C"/>
    <w:rsid w:val="61135EB8"/>
    <w:rsid w:val="61216F12"/>
    <w:rsid w:val="612A3A23"/>
    <w:rsid w:val="612F6944"/>
    <w:rsid w:val="613218AB"/>
    <w:rsid w:val="61416FC5"/>
    <w:rsid w:val="614A02EA"/>
    <w:rsid w:val="614A0561"/>
    <w:rsid w:val="614A1FE2"/>
    <w:rsid w:val="6155027F"/>
    <w:rsid w:val="6155520D"/>
    <w:rsid w:val="61614E76"/>
    <w:rsid w:val="616404C2"/>
    <w:rsid w:val="61721DA9"/>
    <w:rsid w:val="61736957"/>
    <w:rsid w:val="617819BE"/>
    <w:rsid w:val="61800C2D"/>
    <w:rsid w:val="61842912"/>
    <w:rsid w:val="61860438"/>
    <w:rsid w:val="61953C29"/>
    <w:rsid w:val="61986BAB"/>
    <w:rsid w:val="619C5EAE"/>
    <w:rsid w:val="61B2122D"/>
    <w:rsid w:val="61B35168"/>
    <w:rsid w:val="61BA2142"/>
    <w:rsid w:val="61C62F2B"/>
    <w:rsid w:val="61E75BE3"/>
    <w:rsid w:val="61EB473F"/>
    <w:rsid w:val="61F14EE0"/>
    <w:rsid w:val="61F36BFD"/>
    <w:rsid w:val="61F74167"/>
    <w:rsid w:val="61F74B04"/>
    <w:rsid w:val="61F91AA9"/>
    <w:rsid w:val="62003A3C"/>
    <w:rsid w:val="62141EE8"/>
    <w:rsid w:val="62157177"/>
    <w:rsid w:val="621A6DD3"/>
    <w:rsid w:val="621C0D9D"/>
    <w:rsid w:val="621D3270"/>
    <w:rsid w:val="622D6B06"/>
    <w:rsid w:val="623F6839"/>
    <w:rsid w:val="624D71A8"/>
    <w:rsid w:val="62546789"/>
    <w:rsid w:val="625642AF"/>
    <w:rsid w:val="6262126E"/>
    <w:rsid w:val="627B3D15"/>
    <w:rsid w:val="628E6FF8"/>
    <w:rsid w:val="628F3E07"/>
    <w:rsid w:val="6294694F"/>
    <w:rsid w:val="6299063F"/>
    <w:rsid w:val="629B6525"/>
    <w:rsid w:val="62A33661"/>
    <w:rsid w:val="62A414BE"/>
    <w:rsid w:val="62B2525D"/>
    <w:rsid w:val="62B86B55"/>
    <w:rsid w:val="62C03E1E"/>
    <w:rsid w:val="62C751AC"/>
    <w:rsid w:val="62CF7BBD"/>
    <w:rsid w:val="62D329C5"/>
    <w:rsid w:val="62D653F0"/>
    <w:rsid w:val="62DD5DCD"/>
    <w:rsid w:val="62DF7F88"/>
    <w:rsid w:val="62E63403"/>
    <w:rsid w:val="62F557C2"/>
    <w:rsid w:val="62F87A8C"/>
    <w:rsid w:val="62FD472A"/>
    <w:rsid w:val="630737FB"/>
    <w:rsid w:val="630C2BBF"/>
    <w:rsid w:val="63224191"/>
    <w:rsid w:val="63251F24"/>
    <w:rsid w:val="632C3261"/>
    <w:rsid w:val="633914DA"/>
    <w:rsid w:val="63556314"/>
    <w:rsid w:val="635E7162"/>
    <w:rsid w:val="636C365E"/>
    <w:rsid w:val="637A089E"/>
    <w:rsid w:val="637A715D"/>
    <w:rsid w:val="637B1AF3"/>
    <w:rsid w:val="63AB062A"/>
    <w:rsid w:val="63AD1370"/>
    <w:rsid w:val="63AD6150"/>
    <w:rsid w:val="63B82D47"/>
    <w:rsid w:val="63C31E64"/>
    <w:rsid w:val="63C33BC6"/>
    <w:rsid w:val="63C416EC"/>
    <w:rsid w:val="63D63D42"/>
    <w:rsid w:val="63DC4A31"/>
    <w:rsid w:val="63E678B4"/>
    <w:rsid w:val="63E923A7"/>
    <w:rsid w:val="63E93F23"/>
    <w:rsid w:val="63FC6E29"/>
    <w:rsid w:val="640269BB"/>
    <w:rsid w:val="64087618"/>
    <w:rsid w:val="640A20FD"/>
    <w:rsid w:val="64103A36"/>
    <w:rsid w:val="64211CF9"/>
    <w:rsid w:val="64223903"/>
    <w:rsid w:val="64271621"/>
    <w:rsid w:val="64333BC3"/>
    <w:rsid w:val="6435150A"/>
    <w:rsid w:val="64361FC1"/>
    <w:rsid w:val="64370110"/>
    <w:rsid w:val="643E6039"/>
    <w:rsid w:val="64430863"/>
    <w:rsid w:val="6445282D"/>
    <w:rsid w:val="644724A4"/>
    <w:rsid w:val="64496AFC"/>
    <w:rsid w:val="644F13EC"/>
    <w:rsid w:val="64506F8E"/>
    <w:rsid w:val="6451644C"/>
    <w:rsid w:val="64581B12"/>
    <w:rsid w:val="645E2BB9"/>
    <w:rsid w:val="64654FB0"/>
    <w:rsid w:val="646B1B68"/>
    <w:rsid w:val="646C600B"/>
    <w:rsid w:val="647062FF"/>
    <w:rsid w:val="64721148"/>
    <w:rsid w:val="647629E6"/>
    <w:rsid w:val="647A3250"/>
    <w:rsid w:val="647B624F"/>
    <w:rsid w:val="647C01E8"/>
    <w:rsid w:val="64850E7B"/>
    <w:rsid w:val="64894688"/>
    <w:rsid w:val="64931C07"/>
    <w:rsid w:val="649425A0"/>
    <w:rsid w:val="649B41FB"/>
    <w:rsid w:val="64A37553"/>
    <w:rsid w:val="64A77F0F"/>
    <w:rsid w:val="64BB3A94"/>
    <w:rsid w:val="64BB78E9"/>
    <w:rsid w:val="64C02EB9"/>
    <w:rsid w:val="64CB62CC"/>
    <w:rsid w:val="64DD2A65"/>
    <w:rsid w:val="64DD7D7F"/>
    <w:rsid w:val="64E52B56"/>
    <w:rsid w:val="64E63F16"/>
    <w:rsid w:val="64ED5570"/>
    <w:rsid w:val="64F12020"/>
    <w:rsid w:val="64F51803"/>
    <w:rsid w:val="64FB6DF0"/>
    <w:rsid w:val="64FD4BAB"/>
    <w:rsid w:val="650C50F9"/>
    <w:rsid w:val="65136F89"/>
    <w:rsid w:val="65197815"/>
    <w:rsid w:val="651B0145"/>
    <w:rsid w:val="651D1F37"/>
    <w:rsid w:val="65225A61"/>
    <w:rsid w:val="65253FE8"/>
    <w:rsid w:val="652660CE"/>
    <w:rsid w:val="65270184"/>
    <w:rsid w:val="6531405C"/>
    <w:rsid w:val="65332434"/>
    <w:rsid w:val="6533428D"/>
    <w:rsid w:val="65352BE5"/>
    <w:rsid w:val="65426D6C"/>
    <w:rsid w:val="65444892"/>
    <w:rsid w:val="654B3E73"/>
    <w:rsid w:val="655A7EDB"/>
    <w:rsid w:val="6564268D"/>
    <w:rsid w:val="656767D3"/>
    <w:rsid w:val="65744A4C"/>
    <w:rsid w:val="65757142"/>
    <w:rsid w:val="65861AEF"/>
    <w:rsid w:val="659E65A4"/>
    <w:rsid w:val="65A05F03"/>
    <w:rsid w:val="65A208C9"/>
    <w:rsid w:val="65A25A5D"/>
    <w:rsid w:val="65A610A9"/>
    <w:rsid w:val="65BE05F6"/>
    <w:rsid w:val="65BF03BD"/>
    <w:rsid w:val="65C77271"/>
    <w:rsid w:val="65CB447C"/>
    <w:rsid w:val="65CB4F21"/>
    <w:rsid w:val="65DC0944"/>
    <w:rsid w:val="65E16BAB"/>
    <w:rsid w:val="65E57462"/>
    <w:rsid w:val="65E87914"/>
    <w:rsid w:val="660B04E5"/>
    <w:rsid w:val="66105423"/>
    <w:rsid w:val="662D17CA"/>
    <w:rsid w:val="662E5105"/>
    <w:rsid w:val="662E738D"/>
    <w:rsid w:val="66320815"/>
    <w:rsid w:val="663D192E"/>
    <w:rsid w:val="663E0A2F"/>
    <w:rsid w:val="663F15CE"/>
    <w:rsid w:val="664D2080"/>
    <w:rsid w:val="664D59C9"/>
    <w:rsid w:val="6650370B"/>
    <w:rsid w:val="66516D3E"/>
    <w:rsid w:val="66560D21"/>
    <w:rsid w:val="66626FED"/>
    <w:rsid w:val="666D7E19"/>
    <w:rsid w:val="667271DD"/>
    <w:rsid w:val="66816188"/>
    <w:rsid w:val="668D2269"/>
    <w:rsid w:val="669473E5"/>
    <w:rsid w:val="669C06FE"/>
    <w:rsid w:val="66A15D14"/>
    <w:rsid w:val="66A57C1B"/>
    <w:rsid w:val="66A82BFF"/>
    <w:rsid w:val="66A979FF"/>
    <w:rsid w:val="66AF3A6A"/>
    <w:rsid w:val="66C26A47"/>
    <w:rsid w:val="66C537B1"/>
    <w:rsid w:val="66CE7576"/>
    <w:rsid w:val="66DF32CF"/>
    <w:rsid w:val="66E57306"/>
    <w:rsid w:val="66F347C2"/>
    <w:rsid w:val="66F52110"/>
    <w:rsid w:val="67002A3B"/>
    <w:rsid w:val="67056187"/>
    <w:rsid w:val="67262010"/>
    <w:rsid w:val="672A1C50"/>
    <w:rsid w:val="672F3320"/>
    <w:rsid w:val="67304613"/>
    <w:rsid w:val="6743454D"/>
    <w:rsid w:val="67441712"/>
    <w:rsid w:val="67470DE8"/>
    <w:rsid w:val="675410DB"/>
    <w:rsid w:val="67545D9F"/>
    <w:rsid w:val="6755677A"/>
    <w:rsid w:val="675847FC"/>
    <w:rsid w:val="676254A4"/>
    <w:rsid w:val="67724FE0"/>
    <w:rsid w:val="67732AAF"/>
    <w:rsid w:val="677B6565"/>
    <w:rsid w:val="677D5E3A"/>
    <w:rsid w:val="6787315C"/>
    <w:rsid w:val="67892A30"/>
    <w:rsid w:val="6790162E"/>
    <w:rsid w:val="679C1F39"/>
    <w:rsid w:val="67A755AC"/>
    <w:rsid w:val="67AE693B"/>
    <w:rsid w:val="67B101D9"/>
    <w:rsid w:val="67B850C4"/>
    <w:rsid w:val="67BA097C"/>
    <w:rsid w:val="67BA708E"/>
    <w:rsid w:val="67CB5B37"/>
    <w:rsid w:val="67CB676B"/>
    <w:rsid w:val="67CD5839"/>
    <w:rsid w:val="67CF6278"/>
    <w:rsid w:val="67D57A24"/>
    <w:rsid w:val="67E47654"/>
    <w:rsid w:val="67E774DB"/>
    <w:rsid w:val="67E81E4D"/>
    <w:rsid w:val="67EE54D2"/>
    <w:rsid w:val="67FB4C27"/>
    <w:rsid w:val="68091DC3"/>
    <w:rsid w:val="68354DFF"/>
    <w:rsid w:val="683C5CF5"/>
    <w:rsid w:val="685E7C65"/>
    <w:rsid w:val="6861575B"/>
    <w:rsid w:val="6864524C"/>
    <w:rsid w:val="686624BD"/>
    <w:rsid w:val="68662D72"/>
    <w:rsid w:val="687731D1"/>
    <w:rsid w:val="687C4343"/>
    <w:rsid w:val="68802085"/>
    <w:rsid w:val="68856BF4"/>
    <w:rsid w:val="68863414"/>
    <w:rsid w:val="688F0E39"/>
    <w:rsid w:val="68BD4776"/>
    <w:rsid w:val="68C201CF"/>
    <w:rsid w:val="68C54D4B"/>
    <w:rsid w:val="68D06A0D"/>
    <w:rsid w:val="68D66149"/>
    <w:rsid w:val="68D777CC"/>
    <w:rsid w:val="68DE6DAC"/>
    <w:rsid w:val="68E17A8F"/>
    <w:rsid w:val="69236EB5"/>
    <w:rsid w:val="69237BDE"/>
    <w:rsid w:val="692C32C1"/>
    <w:rsid w:val="69360996"/>
    <w:rsid w:val="693A32EC"/>
    <w:rsid w:val="693E1D29"/>
    <w:rsid w:val="69422429"/>
    <w:rsid w:val="694332DC"/>
    <w:rsid w:val="6947237A"/>
    <w:rsid w:val="6949691B"/>
    <w:rsid w:val="694A1263"/>
    <w:rsid w:val="694C14CE"/>
    <w:rsid w:val="69526EE8"/>
    <w:rsid w:val="695752A2"/>
    <w:rsid w:val="695D15C6"/>
    <w:rsid w:val="6960055D"/>
    <w:rsid w:val="69617F7B"/>
    <w:rsid w:val="696E7976"/>
    <w:rsid w:val="696F328C"/>
    <w:rsid w:val="69762D3B"/>
    <w:rsid w:val="697A7B8E"/>
    <w:rsid w:val="69914433"/>
    <w:rsid w:val="699D27C3"/>
    <w:rsid w:val="69B0699A"/>
    <w:rsid w:val="69B813AB"/>
    <w:rsid w:val="69BD10B7"/>
    <w:rsid w:val="69BD30F4"/>
    <w:rsid w:val="69C2047C"/>
    <w:rsid w:val="69C77840"/>
    <w:rsid w:val="69C935B8"/>
    <w:rsid w:val="69CC6D87"/>
    <w:rsid w:val="69D32689"/>
    <w:rsid w:val="69E437AD"/>
    <w:rsid w:val="69E93C5A"/>
    <w:rsid w:val="69E94389"/>
    <w:rsid w:val="6A0960AB"/>
    <w:rsid w:val="6A0B1E23"/>
    <w:rsid w:val="6A132E6F"/>
    <w:rsid w:val="6A1350B6"/>
    <w:rsid w:val="6A183FF9"/>
    <w:rsid w:val="6A1E3B70"/>
    <w:rsid w:val="6A2C3B47"/>
    <w:rsid w:val="6A2E5B11"/>
    <w:rsid w:val="6A2E78BF"/>
    <w:rsid w:val="6A3A7CAA"/>
    <w:rsid w:val="6A3F1ACC"/>
    <w:rsid w:val="6A4423D6"/>
    <w:rsid w:val="6A484E25"/>
    <w:rsid w:val="6A486BD3"/>
    <w:rsid w:val="6A5A4F50"/>
    <w:rsid w:val="6A6B2FEE"/>
    <w:rsid w:val="6AA3205B"/>
    <w:rsid w:val="6AA67D9D"/>
    <w:rsid w:val="6AB73D58"/>
    <w:rsid w:val="6AC34B1A"/>
    <w:rsid w:val="6AC634A7"/>
    <w:rsid w:val="6ACD0E86"/>
    <w:rsid w:val="6ACD4424"/>
    <w:rsid w:val="6AD12F31"/>
    <w:rsid w:val="6ADA17BB"/>
    <w:rsid w:val="6ADC37BF"/>
    <w:rsid w:val="6AE61565"/>
    <w:rsid w:val="6AF02DC7"/>
    <w:rsid w:val="6B2C4051"/>
    <w:rsid w:val="6B376ED4"/>
    <w:rsid w:val="6B3D24B0"/>
    <w:rsid w:val="6B3F2B97"/>
    <w:rsid w:val="6B4B77C0"/>
    <w:rsid w:val="6B4F7ADD"/>
    <w:rsid w:val="6B534987"/>
    <w:rsid w:val="6B5416E7"/>
    <w:rsid w:val="6B5C580D"/>
    <w:rsid w:val="6B751BCA"/>
    <w:rsid w:val="6B772B53"/>
    <w:rsid w:val="6B7A0BAB"/>
    <w:rsid w:val="6B7B7D41"/>
    <w:rsid w:val="6B7D387E"/>
    <w:rsid w:val="6B855C05"/>
    <w:rsid w:val="6B8A4FC9"/>
    <w:rsid w:val="6B9A16B0"/>
    <w:rsid w:val="6BA42449"/>
    <w:rsid w:val="6BB34F40"/>
    <w:rsid w:val="6BB40298"/>
    <w:rsid w:val="6BB50F7D"/>
    <w:rsid w:val="6BC172C1"/>
    <w:rsid w:val="6BC90CE4"/>
    <w:rsid w:val="6BCF2E07"/>
    <w:rsid w:val="6BEF307E"/>
    <w:rsid w:val="6BF012D0"/>
    <w:rsid w:val="6BF758E3"/>
    <w:rsid w:val="6BF83D38"/>
    <w:rsid w:val="6C0424D6"/>
    <w:rsid w:val="6C0E4388"/>
    <w:rsid w:val="6C39260C"/>
    <w:rsid w:val="6C3F1E0B"/>
    <w:rsid w:val="6C575D84"/>
    <w:rsid w:val="6C605DDA"/>
    <w:rsid w:val="6C610884"/>
    <w:rsid w:val="6C631820"/>
    <w:rsid w:val="6C6617FD"/>
    <w:rsid w:val="6C750F7F"/>
    <w:rsid w:val="6C770EF7"/>
    <w:rsid w:val="6C7F30D3"/>
    <w:rsid w:val="6C8C3392"/>
    <w:rsid w:val="6C916BC6"/>
    <w:rsid w:val="6C9411BA"/>
    <w:rsid w:val="6C983716"/>
    <w:rsid w:val="6CC22541"/>
    <w:rsid w:val="6CC765D0"/>
    <w:rsid w:val="6CC83FFB"/>
    <w:rsid w:val="6CCB7647"/>
    <w:rsid w:val="6CD52274"/>
    <w:rsid w:val="6CD55505"/>
    <w:rsid w:val="6CE408FE"/>
    <w:rsid w:val="6CEC6EE0"/>
    <w:rsid w:val="6CF03E13"/>
    <w:rsid w:val="6CF22E26"/>
    <w:rsid w:val="6CF2663B"/>
    <w:rsid w:val="6D0019E7"/>
    <w:rsid w:val="6D036DE1"/>
    <w:rsid w:val="6D070476"/>
    <w:rsid w:val="6D0D7318"/>
    <w:rsid w:val="6D154741"/>
    <w:rsid w:val="6D1A378B"/>
    <w:rsid w:val="6D1A38B1"/>
    <w:rsid w:val="6D1C09E3"/>
    <w:rsid w:val="6D2A6A64"/>
    <w:rsid w:val="6D3A22C7"/>
    <w:rsid w:val="6D5B4E6F"/>
    <w:rsid w:val="6D7F7AB2"/>
    <w:rsid w:val="6D8B0EDD"/>
    <w:rsid w:val="6D8C09C0"/>
    <w:rsid w:val="6D997745"/>
    <w:rsid w:val="6D9F51D9"/>
    <w:rsid w:val="6DAD31F1"/>
    <w:rsid w:val="6DC527AC"/>
    <w:rsid w:val="6DCA78FF"/>
    <w:rsid w:val="6DCF4F15"/>
    <w:rsid w:val="6DD95741"/>
    <w:rsid w:val="6E25722B"/>
    <w:rsid w:val="6E2977D0"/>
    <w:rsid w:val="6E2E0DE9"/>
    <w:rsid w:val="6E2F0BDE"/>
    <w:rsid w:val="6E3245F3"/>
    <w:rsid w:val="6E3336CF"/>
    <w:rsid w:val="6E3631E6"/>
    <w:rsid w:val="6E496DB9"/>
    <w:rsid w:val="6E583A1B"/>
    <w:rsid w:val="6E6164B5"/>
    <w:rsid w:val="6E6F0F81"/>
    <w:rsid w:val="6E7855AD"/>
    <w:rsid w:val="6E8D72AA"/>
    <w:rsid w:val="6E957F0D"/>
    <w:rsid w:val="6E971ED7"/>
    <w:rsid w:val="6EA42846"/>
    <w:rsid w:val="6EB36088"/>
    <w:rsid w:val="6EBC0F1A"/>
    <w:rsid w:val="6EBD7464"/>
    <w:rsid w:val="6EC46A44"/>
    <w:rsid w:val="6ECF651E"/>
    <w:rsid w:val="6ED2159A"/>
    <w:rsid w:val="6ED24CBD"/>
    <w:rsid w:val="6EE64CF3"/>
    <w:rsid w:val="6EE801A6"/>
    <w:rsid w:val="6EE80984"/>
    <w:rsid w:val="6EED49C0"/>
    <w:rsid w:val="6EF94940"/>
    <w:rsid w:val="6F0926A9"/>
    <w:rsid w:val="6F0D03EB"/>
    <w:rsid w:val="6F0F2F3A"/>
    <w:rsid w:val="6F1B41AE"/>
    <w:rsid w:val="6F1C73AE"/>
    <w:rsid w:val="6F1E5495"/>
    <w:rsid w:val="6F1F1ECC"/>
    <w:rsid w:val="6F24506F"/>
    <w:rsid w:val="6F2938F2"/>
    <w:rsid w:val="6F3941EE"/>
    <w:rsid w:val="6F3C5A38"/>
    <w:rsid w:val="6F437969"/>
    <w:rsid w:val="6F4A1DF8"/>
    <w:rsid w:val="6F525DFE"/>
    <w:rsid w:val="6F572DF1"/>
    <w:rsid w:val="6F791EDE"/>
    <w:rsid w:val="6F7D28B1"/>
    <w:rsid w:val="6F8009C4"/>
    <w:rsid w:val="6F814220"/>
    <w:rsid w:val="6F850239"/>
    <w:rsid w:val="6F9276E5"/>
    <w:rsid w:val="6F936CF5"/>
    <w:rsid w:val="6F97463D"/>
    <w:rsid w:val="6F9B310C"/>
    <w:rsid w:val="6F9D176F"/>
    <w:rsid w:val="6FBD4DD9"/>
    <w:rsid w:val="6FBF6D45"/>
    <w:rsid w:val="6FD74555"/>
    <w:rsid w:val="6FDB386D"/>
    <w:rsid w:val="6FE847C9"/>
    <w:rsid w:val="6FF62C2D"/>
    <w:rsid w:val="6FF670D1"/>
    <w:rsid w:val="6FFB363F"/>
    <w:rsid w:val="700F1F41"/>
    <w:rsid w:val="7016507D"/>
    <w:rsid w:val="70231548"/>
    <w:rsid w:val="702422C4"/>
    <w:rsid w:val="70291255"/>
    <w:rsid w:val="702E203F"/>
    <w:rsid w:val="7032195C"/>
    <w:rsid w:val="70390D6C"/>
    <w:rsid w:val="703D260A"/>
    <w:rsid w:val="703F47CD"/>
    <w:rsid w:val="704020FA"/>
    <w:rsid w:val="704158C2"/>
    <w:rsid w:val="70453900"/>
    <w:rsid w:val="70482D50"/>
    <w:rsid w:val="704C6CF1"/>
    <w:rsid w:val="704E2EBA"/>
    <w:rsid w:val="704E53EC"/>
    <w:rsid w:val="7056191E"/>
    <w:rsid w:val="70585696"/>
    <w:rsid w:val="70587444"/>
    <w:rsid w:val="70590C59"/>
    <w:rsid w:val="705D4A5A"/>
    <w:rsid w:val="7062750E"/>
    <w:rsid w:val="706A10C0"/>
    <w:rsid w:val="70761FC0"/>
    <w:rsid w:val="70807146"/>
    <w:rsid w:val="70882621"/>
    <w:rsid w:val="70910BA8"/>
    <w:rsid w:val="709652E0"/>
    <w:rsid w:val="709B37D5"/>
    <w:rsid w:val="709F368A"/>
    <w:rsid w:val="70A408DB"/>
    <w:rsid w:val="70AC5255"/>
    <w:rsid w:val="70B0553A"/>
    <w:rsid w:val="70B12FFC"/>
    <w:rsid w:val="70B14DA6"/>
    <w:rsid w:val="70B55A51"/>
    <w:rsid w:val="70B5750D"/>
    <w:rsid w:val="70BE3349"/>
    <w:rsid w:val="70C16FD9"/>
    <w:rsid w:val="70D95699"/>
    <w:rsid w:val="70DA60AB"/>
    <w:rsid w:val="70DE203F"/>
    <w:rsid w:val="70E469C6"/>
    <w:rsid w:val="70EB3C4B"/>
    <w:rsid w:val="70EB4F52"/>
    <w:rsid w:val="710B6BAC"/>
    <w:rsid w:val="71137297"/>
    <w:rsid w:val="71202213"/>
    <w:rsid w:val="71233EF6"/>
    <w:rsid w:val="712D6B22"/>
    <w:rsid w:val="712F289B"/>
    <w:rsid w:val="71325EE7"/>
    <w:rsid w:val="71590287"/>
    <w:rsid w:val="715F1BDC"/>
    <w:rsid w:val="715F7356"/>
    <w:rsid w:val="71752277"/>
    <w:rsid w:val="71762326"/>
    <w:rsid w:val="717E2EDA"/>
    <w:rsid w:val="71873A86"/>
    <w:rsid w:val="718B3849"/>
    <w:rsid w:val="71971311"/>
    <w:rsid w:val="719B5A66"/>
    <w:rsid w:val="71A8119A"/>
    <w:rsid w:val="71AB7123"/>
    <w:rsid w:val="71B2013F"/>
    <w:rsid w:val="71B763EC"/>
    <w:rsid w:val="71B86774"/>
    <w:rsid w:val="71C1726B"/>
    <w:rsid w:val="71CD7066"/>
    <w:rsid w:val="71CF1988"/>
    <w:rsid w:val="71CF7BDA"/>
    <w:rsid w:val="71D1496D"/>
    <w:rsid w:val="71DA55BA"/>
    <w:rsid w:val="71E710D3"/>
    <w:rsid w:val="71EA67C2"/>
    <w:rsid w:val="71EA7486"/>
    <w:rsid w:val="71ED5A29"/>
    <w:rsid w:val="71FA3814"/>
    <w:rsid w:val="72050688"/>
    <w:rsid w:val="72055E2C"/>
    <w:rsid w:val="721076B3"/>
    <w:rsid w:val="7216134A"/>
    <w:rsid w:val="72377F2E"/>
    <w:rsid w:val="723E2669"/>
    <w:rsid w:val="72532C94"/>
    <w:rsid w:val="72563E57"/>
    <w:rsid w:val="725A63D9"/>
    <w:rsid w:val="72687947"/>
    <w:rsid w:val="7276541B"/>
    <w:rsid w:val="727D3192"/>
    <w:rsid w:val="727F60C9"/>
    <w:rsid w:val="72822E9E"/>
    <w:rsid w:val="7291595D"/>
    <w:rsid w:val="7298621E"/>
    <w:rsid w:val="72A2709C"/>
    <w:rsid w:val="72A44BC2"/>
    <w:rsid w:val="72A9042B"/>
    <w:rsid w:val="72BC22AC"/>
    <w:rsid w:val="72D07765"/>
    <w:rsid w:val="72D54D7C"/>
    <w:rsid w:val="72DA6475"/>
    <w:rsid w:val="72E66F89"/>
    <w:rsid w:val="72F7544D"/>
    <w:rsid w:val="731C41B1"/>
    <w:rsid w:val="731F693F"/>
    <w:rsid w:val="73242467"/>
    <w:rsid w:val="73264C86"/>
    <w:rsid w:val="732B52E4"/>
    <w:rsid w:val="7335110D"/>
    <w:rsid w:val="733973EE"/>
    <w:rsid w:val="7346211D"/>
    <w:rsid w:val="73494C46"/>
    <w:rsid w:val="734D342D"/>
    <w:rsid w:val="73517F54"/>
    <w:rsid w:val="735A7977"/>
    <w:rsid w:val="73635E0E"/>
    <w:rsid w:val="73685F47"/>
    <w:rsid w:val="73712915"/>
    <w:rsid w:val="737E5413"/>
    <w:rsid w:val="738564EC"/>
    <w:rsid w:val="7390445D"/>
    <w:rsid w:val="739D7699"/>
    <w:rsid w:val="73A429A0"/>
    <w:rsid w:val="73AA6208"/>
    <w:rsid w:val="73AE51CE"/>
    <w:rsid w:val="73B31DF5"/>
    <w:rsid w:val="73C05BFE"/>
    <w:rsid w:val="73C44DF0"/>
    <w:rsid w:val="73C63B93"/>
    <w:rsid w:val="73C848E1"/>
    <w:rsid w:val="73CD639B"/>
    <w:rsid w:val="73D2329F"/>
    <w:rsid w:val="73DB2866"/>
    <w:rsid w:val="73DF62D2"/>
    <w:rsid w:val="73DF63C2"/>
    <w:rsid w:val="73E3171A"/>
    <w:rsid w:val="73E831D5"/>
    <w:rsid w:val="73EA4857"/>
    <w:rsid w:val="73EF6311"/>
    <w:rsid w:val="73FD7CA7"/>
    <w:rsid w:val="74082F2F"/>
    <w:rsid w:val="740F36CD"/>
    <w:rsid w:val="742509F8"/>
    <w:rsid w:val="742A559B"/>
    <w:rsid w:val="7438680C"/>
    <w:rsid w:val="743A23F6"/>
    <w:rsid w:val="743D3201"/>
    <w:rsid w:val="744A3A77"/>
    <w:rsid w:val="744D3038"/>
    <w:rsid w:val="745368A0"/>
    <w:rsid w:val="74583EB6"/>
    <w:rsid w:val="745C758A"/>
    <w:rsid w:val="74602D6B"/>
    <w:rsid w:val="74605950"/>
    <w:rsid w:val="746E713C"/>
    <w:rsid w:val="7481624B"/>
    <w:rsid w:val="74837167"/>
    <w:rsid w:val="749347B2"/>
    <w:rsid w:val="74A569D0"/>
    <w:rsid w:val="74AC09E2"/>
    <w:rsid w:val="74B03078"/>
    <w:rsid w:val="74B84955"/>
    <w:rsid w:val="74C50E20"/>
    <w:rsid w:val="74C61436"/>
    <w:rsid w:val="74C6256D"/>
    <w:rsid w:val="74D53759"/>
    <w:rsid w:val="74D57326"/>
    <w:rsid w:val="74D6127F"/>
    <w:rsid w:val="74D62228"/>
    <w:rsid w:val="74E05C5A"/>
    <w:rsid w:val="74E86FF9"/>
    <w:rsid w:val="74F84571"/>
    <w:rsid w:val="74FA13C2"/>
    <w:rsid w:val="74FA341F"/>
    <w:rsid w:val="75051799"/>
    <w:rsid w:val="7506231B"/>
    <w:rsid w:val="75091655"/>
    <w:rsid w:val="750B4F95"/>
    <w:rsid w:val="750C77B8"/>
    <w:rsid w:val="750E7AA8"/>
    <w:rsid w:val="75100EF0"/>
    <w:rsid w:val="751A116C"/>
    <w:rsid w:val="75260BD6"/>
    <w:rsid w:val="752959BA"/>
    <w:rsid w:val="752E387E"/>
    <w:rsid w:val="752E4C17"/>
    <w:rsid w:val="75367A51"/>
    <w:rsid w:val="753B3C9B"/>
    <w:rsid w:val="753C5586"/>
    <w:rsid w:val="754268EB"/>
    <w:rsid w:val="75462718"/>
    <w:rsid w:val="754E5B47"/>
    <w:rsid w:val="75516AB8"/>
    <w:rsid w:val="75524DAA"/>
    <w:rsid w:val="755328D0"/>
    <w:rsid w:val="755E7CAF"/>
    <w:rsid w:val="7564688B"/>
    <w:rsid w:val="7564740A"/>
    <w:rsid w:val="757C6C30"/>
    <w:rsid w:val="75834F63"/>
    <w:rsid w:val="758406DA"/>
    <w:rsid w:val="758807CB"/>
    <w:rsid w:val="759251A6"/>
    <w:rsid w:val="759C7F87"/>
    <w:rsid w:val="75AD3184"/>
    <w:rsid w:val="75AF3F78"/>
    <w:rsid w:val="75BE41ED"/>
    <w:rsid w:val="75BF3AC1"/>
    <w:rsid w:val="75CD2682"/>
    <w:rsid w:val="75E706DE"/>
    <w:rsid w:val="75EF43A6"/>
    <w:rsid w:val="75F2065E"/>
    <w:rsid w:val="75FC2BB5"/>
    <w:rsid w:val="760E48B7"/>
    <w:rsid w:val="761408B1"/>
    <w:rsid w:val="76265F96"/>
    <w:rsid w:val="763149BF"/>
    <w:rsid w:val="76424E1E"/>
    <w:rsid w:val="764F753B"/>
    <w:rsid w:val="766B65A3"/>
    <w:rsid w:val="766D176F"/>
    <w:rsid w:val="767A439E"/>
    <w:rsid w:val="767F7EAC"/>
    <w:rsid w:val="76800EB8"/>
    <w:rsid w:val="768C08A1"/>
    <w:rsid w:val="768C42EB"/>
    <w:rsid w:val="769136B0"/>
    <w:rsid w:val="76946280"/>
    <w:rsid w:val="76950071"/>
    <w:rsid w:val="769D3E02"/>
    <w:rsid w:val="76A13F2C"/>
    <w:rsid w:val="76A51F11"/>
    <w:rsid w:val="76B86E8E"/>
    <w:rsid w:val="76C21ABB"/>
    <w:rsid w:val="76C84BF7"/>
    <w:rsid w:val="76C8731C"/>
    <w:rsid w:val="76D3351A"/>
    <w:rsid w:val="76E82A44"/>
    <w:rsid w:val="76EF05CD"/>
    <w:rsid w:val="76F0487A"/>
    <w:rsid w:val="76F71ED8"/>
    <w:rsid w:val="770420D4"/>
    <w:rsid w:val="7706409E"/>
    <w:rsid w:val="77091498"/>
    <w:rsid w:val="77132317"/>
    <w:rsid w:val="771F6F0D"/>
    <w:rsid w:val="77277B70"/>
    <w:rsid w:val="772A140E"/>
    <w:rsid w:val="773475D9"/>
    <w:rsid w:val="773A367E"/>
    <w:rsid w:val="774424D0"/>
    <w:rsid w:val="77495D38"/>
    <w:rsid w:val="77591765"/>
    <w:rsid w:val="775C18C4"/>
    <w:rsid w:val="775F240A"/>
    <w:rsid w:val="77611032"/>
    <w:rsid w:val="776841F1"/>
    <w:rsid w:val="776D5A43"/>
    <w:rsid w:val="776E1C43"/>
    <w:rsid w:val="77703019"/>
    <w:rsid w:val="777032C5"/>
    <w:rsid w:val="77706B69"/>
    <w:rsid w:val="777B4F84"/>
    <w:rsid w:val="77903967"/>
    <w:rsid w:val="779773CD"/>
    <w:rsid w:val="77A17081"/>
    <w:rsid w:val="77AD4519"/>
    <w:rsid w:val="77B07B65"/>
    <w:rsid w:val="77B70EF4"/>
    <w:rsid w:val="77C02515"/>
    <w:rsid w:val="77C11D73"/>
    <w:rsid w:val="77D221D2"/>
    <w:rsid w:val="77E95495"/>
    <w:rsid w:val="77F63C2B"/>
    <w:rsid w:val="77FD1EC7"/>
    <w:rsid w:val="7803270B"/>
    <w:rsid w:val="78053511"/>
    <w:rsid w:val="78175E36"/>
    <w:rsid w:val="781A76D5"/>
    <w:rsid w:val="781E0F73"/>
    <w:rsid w:val="78280044"/>
    <w:rsid w:val="78284E17"/>
    <w:rsid w:val="783C5AB8"/>
    <w:rsid w:val="78424436"/>
    <w:rsid w:val="78434E7D"/>
    <w:rsid w:val="78495DC5"/>
    <w:rsid w:val="784C1F84"/>
    <w:rsid w:val="78621C0E"/>
    <w:rsid w:val="786C7F30"/>
    <w:rsid w:val="78746DE5"/>
    <w:rsid w:val="7882715A"/>
    <w:rsid w:val="788D60F9"/>
    <w:rsid w:val="788F00C3"/>
    <w:rsid w:val="788F1E71"/>
    <w:rsid w:val="7897280A"/>
    <w:rsid w:val="789B4FA4"/>
    <w:rsid w:val="78B10039"/>
    <w:rsid w:val="78B145B3"/>
    <w:rsid w:val="78B43685"/>
    <w:rsid w:val="78B673FD"/>
    <w:rsid w:val="78B86786"/>
    <w:rsid w:val="78BB7662"/>
    <w:rsid w:val="78C733B9"/>
    <w:rsid w:val="78CE6E4C"/>
    <w:rsid w:val="78DD63D2"/>
    <w:rsid w:val="78EC72C3"/>
    <w:rsid w:val="78F00E75"/>
    <w:rsid w:val="78F10436"/>
    <w:rsid w:val="79077C59"/>
    <w:rsid w:val="79184A87"/>
    <w:rsid w:val="791B566B"/>
    <w:rsid w:val="79221A75"/>
    <w:rsid w:val="792627D5"/>
    <w:rsid w:val="792702FB"/>
    <w:rsid w:val="792A1B99"/>
    <w:rsid w:val="793A1DDD"/>
    <w:rsid w:val="79510E1F"/>
    <w:rsid w:val="795124BF"/>
    <w:rsid w:val="79534C4C"/>
    <w:rsid w:val="79537342"/>
    <w:rsid w:val="795A5FDB"/>
    <w:rsid w:val="79640D96"/>
    <w:rsid w:val="796B0A11"/>
    <w:rsid w:val="79701CA2"/>
    <w:rsid w:val="79773031"/>
    <w:rsid w:val="797E1B0E"/>
    <w:rsid w:val="798D2E6D"/>
    <w:rsid w:val="79B00185"/>
    <w:rsid w:val="79B002F1"/>
    <w:rsid w:val="79B46E44"/>
    <w:rsid w:val="79B67B89"/>
    <w:rsid w:val="79B7342D"/>
    <w:rsid w:val="79B87DA4"/>
    <w:rsid w:val="79C452A3"/>
    <w:rsid w:val="79C773E8"/>
    <w:rsid w:val="79D474DB"/>
    <w:rsid w:val="79DF0BD6"/>
    <w:rsid w:val="79E60B8B"/>
    <w:rsid w:val="79F20909"/>
    <w:rsid w:val="79F521A7"/>
    <w:rsid w:val="79FD2E0A"/>
    <w:rsid w:val="79FD6EC3"/>
    <w:rsid w:val="7A0017B1"/>
    <w:rsid w:val="7A013357"/>
    <w:rsid w:val="7A030BD4"/>
    <w:rsid w:val="7A03578D"/>
    <w:rsid w:val="7A0643B5"/>
    <w:rsid w:val="7A1A1C0E"/>
    <w:rsid w:val="7A1B7E60"/>
    <w:rsid w:val="7A2D742D"/>
    <w:rsid w:val="7A3E76AA"/>
    <w:rsid w:val="7A404822"/>
    <w:rsid w:val="7A4B076E"/>
    <w:rsid w:val="7A4E2A78"/>
    <w:rsid w:val="7A4F4D5F"/>
    <w:rsid w:val="7A523156"/>
    <w:rsid w:val="7A590988"/>
    <w:rsid w:val="7A5C635C"/>
    <w:rsid w:val="7A644B7F"/>
    <w:rsid w:val="7A6F1EB9"/>
    <w:rsid w:val="7A7237F8"/>
    <w:rsid w:val="7A73563B"/>
    <w:rsid w:val="7A85352B"/>
    <w:rsid w:val="7A8C247F"/>
    <w:rsid w:val="7A916E8E"/>
    <w:rsid w:val="7A950079"/>
    <w:rsid w:val="7A9B37BC"/>
    <w:rsid w:val="7AA00365"/>
    <w:rsid w:val="7AA65250"/>
    <w:rsid w:val="7AA663C6"/>
    <w:rsid w:val="7AAD5546"/>
    <w:rsid w:val="7AB45D96"/>
    <w:rsid w:val="7ABD1A03"/>
    <w:rsid w:val="7ABE07EB"/>
    <w:rsid w:val="7AD314D3"/>
    <w:rsid w:val="7AD46261"/>
    <w:rsid w:val="7ADE297D"/>
    <w:rsid w:val="7AE244DA"/>
    <w:rsid w:val="7AE534E4"/>
    <w:rsid w:val="7AE83ABA"/>
    <w:rsid w:val="7AE94E7A"/>
    <w:rsid w:val="7AF33A88"/>
    <w:rsid w:val="7AFA4BA7"/>
    <w:rsid w:val="7B050EAB"/>
    <w:rsid w:val="7B087AC6"/>
    <w:rsid w:val="7B113011"/>
    <w:rsid w:val="7B272834"/>
    <w:rsid w:val="7B282B5B"/>
    <w:rsid w:val="7B2C6926"/>
    <w:rsid w:val="7B2C7E4B"/>
    <w:rsid w:val="7B2E3BC3"/>
    <w:rsid w:val="7B4006BB"/>
    <w:rsid w:val="7B415CAE"/>
    <w:rsid w:val="7B4539D0"/>
    <w:rsid w:val="7B551150"/>
    <w:rsid w:val="7B566D3A"/>
    <w:rsid w:val="7B5A158F"/>
    <w:rsid w:val="7B5A66E1"/>
    <w:rsid w:val="7B62561B"/>
    <w:rsid w:val="7B631937"/>
    <w:rsid w:val="7B642AAB"/>
    <w:rsid w:val="7B6B705D"/>
    <w:rsid w:val="7B706548"/>
    <w:rsid w:val="7B807F4C"/>
    <w:rsid w:val="7B827A6B"/>
    <w:rsid w:val="7B8E7E81"/>
    <w:rsid w:val="7B900445"/>
    <w:rsid w:val="7B9274F9"/>
    <w:rsid w:val="7B9C0261"/>
    <w:rsid w:val="7B9D2AF7"/>
    <w:rsid w:val="7B9E08BB"/>
    <w:rsid w:val="7BB3231A"/>
    <w:rsid w:val="7BBF481B"/>
    <w:rsid w:val="7BCC6F38"/>
    <w:rsid w:val="7BD31674"/>
    <w:rsid w:val="7BEB3862"/>
    <w:rsid w:val="7BF408E6"/>
    <w:rsid w:val="7BF9308D"/>
    <w:rsid w:val="7BFC278B"/>
    <w:rsid w:val="7BFD2CA6"/>
    <w:rsid w:val="7BFF12EF"/>
    <w:rsid w:val="7BFF2E69"/>
    <w:rsid w:val="7C06244A"/>
    <w:rsid w:val="7C0C5586"/>
    <w:rsid w:val="7C0E376A"/>
    <w:rsid w:val="7C156B31"/>
    <w:rsid w:val="7C1903CF"/>
    <w:rsid w:val="7C262AEC"/>
    <w:rsid w:val="7C2B1342"/>
    <w:rsid w:val="7C3F770A"/>
    <w:rsid w:val="7C4831B5"/>
    <w:rsid w:val="7C594F25"/>
    <w:rsid w:val="7C720CA0"/>
    <w:rsid w:val="7C7E6484"/>
    <w:rsid w:val="7C8C5315"/>
    <w:rsid w:val="7CA26617"/>
    <w:rsid w:val="7CA35EEB"/>
    <w:rsid w:val="7CA40848"/>
    <w:rsid w:val="7CA80782"/>
    <w:rsid w:val="7CB93960"/>
    <w:rsid w:val="7CBD21FB"/>
    <w:rsid w:val="7CC85951"/>
    <w:rsid w:val="7CC941C7"/>
    <w:rsid w:val="7CCB00E1"/>
    <w:rsid w:val="7CD673E6"/>
    <w:rsid w:val="7CDE6F23"/>
    <w:rsid w:val="7CE11C00"/>
    <w:rsid w:val="7CF952FB"/>
    <w:rsid w:val="7D0624E4"/>
    <w:rsid w:val="7D0C1CE2"/>
    <w:rsid w:val="7D225061"/>
    <w:rsid w:val="7D263FE0"/>
    <w:rsid w:val="7D4E5E48"/>
    <w:rsid w:val="7D513B99"/>
    <w:rsid w:val="7D5C7829"/>
    <w:rsid w:val="7D60202E"/>
    <w:rsid w:val="7D605B8A"/>
    <w:rsid w:val="7D660289"/>
    <w:rsid w:val="7D6E294B"/>
    <w:rsid w:val="7D7268E6"/>
    <w:rsid w:val="7D7F24B4"/>
    <w:rsid w:val="7D87352C"/>
    <w:rsid w:val="7D944EDD"/>
    <w:rsid w:val="7D9B3066"/>
    <w:rsid w:val="7DB54999"/>
    <w:rsid w:val="7DD520D4"/>
    <w:rsid w:val="7DE8557A"/>
    <w:rsid w:val="7DF2712A"/>
    <w:rsid w:val="7E01111B"/>
    <w:rsid w:val="7E014FD0"/>
    <w:rsid w:val="7E01736D"/>
    <w:rsid w:val="7E024E93"/>
    <w:rsid w:val="7E060918"/>
    <w:rsid w:val="7E0914F0"/>
    <w:rsid w:val="7E0A44A2"/>
    <w:rsid w:val="7E130E4E"/>
    <w:rsid w:val="7E154BC6"/>
    <w:rsid w:val="7E22742F"/>
    <w:rsid w:val="7E244A49"/>
    <w:rsid w:val="7E266DD3"/>
    <w:rsid w:val="7E2748F9"/>
    <w:rsid w:val="7E2B43EA"/>
    <w:rsid w:val="7E2E6078"/>
    <w:rsid w:val="7E305C49"/>
    <w:rsid w:val="7E334704"/>
    <w:rsid w:val="7E3A287F"/>
    <w:rsid w:val="7E3F6B24"/>
    <w:rsid w:val="7E487E39"/>
    <w:rsid w:val="7E5241D2"/>
    <w:rsid w:val="7E5B08C6"/>
    <w:rsid w:val="7E6D67B0"/>
    <w:rsid w:val="7E6E412C"/>
    <w:rsid w:val="7E9C2A65"/>
    <w:rsid w:val="7EA513A4"/>
    <w:rsid w:val="7EA877E8"/>
    <w:rsid w:val="7EB80BC2"/>
    <w:rsid w:val="7EB9429C"/>
    <w:rsid w:val="7EBE677A"/>
    <w:rsid w:val="7EC16994"/>
    <w:rsid w:val="7EC56A5D"/>
    <w:rsid w:val="7ECA6107"/>
    <w:rsid w:val="7ED20B6F"/>
    <w:rsid w:val="7ED33335"/>
    <w:rsid w:val="7ED76320"/>
    <w:rsid w:val="7EE051D4"/>
    <w:rsid w:val="7EE8640A"/>
    <w:rsid w:val="7EEA6795"/>
    <w:rsid w:val="7EF33504"/>
    <w:rsid w:val="7F0524BA"/>
    <w:rsid w:val="7F0B7C69"/>
    <w:rsid w:val="7F141322"/>
    <w:rsid w:val="7F2B5388"/>
    <w:rsid w:val="7F315A30"/>
    <w:rsid w:val="7F3B240A"/>
    <w:rsid w:val="7F3C0B72"/>
    <w:rsid w:val="7F3C7C1F"/>
    <w:rsid w:val="7F3F07C4"/>
    <w:rsid w:val="7F5140EB"/>
    <w:rsid w:val="7F547970"/>
    <w:rsid w:val="7F565496"/>
    <w:rsid w:val="7F5B6C31"/>
    <w:rsid w:val="7F5E259D"/>
    <w:rsid w:val="7F6C6A68"/>
    <w:rsid w:val="7F6D458E"/>
    <w:rsid w:val="7F721BA4"/>
    <w:rsid w:val="7F77471E"/>
    <w:rsid w:val="7F7B6CAB"/>
    <w:rsid w:val="7F7F68D5"/>
    <w:rsid w:val="7F842F6C"/>
    <w:rsid w:val="7F857B2A"/>
    <w:rsid w:val="7F864460"/>
    <w:rsid w:val="7F8C369A"/>
    <w:rsid w:val="7F9E1A24"/>
    <w:rsid w:val="7FA04963"/>
    <w:rsid w:val="7FA224A6"/>
    <w:rsid w:val="7FA91A6A"/>
    <w:rsid w:val="7FB126CD"/>
    <w:rsid w:val="7FB34697"/>
    <w:rsid w:val="7FD14B1D"/>
    <w:rsid w:val="7FD36AE7"/>
    <w:rsid w:val="7FDD7966"/>
    <w:rsid w:val="7FED140D"/>
    <w:rsid w:val="7FF63D35"/>
    <w:rsid w:val="7FF64583"/>
    <w:rsid w:val="7FFC4290"/>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12F42B61"/>
  <w15:docId w15:val="{88294FF0-BDCF-4B5C-BC7F-4A4BDD35F5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semiHidden="1" w:qFormat="1"/>
    <w:lsdException w:name="annotation text" w:qFormat="1"/>
    <w:lsdException w:name="header" w:qFormat="1"/>
    <w:lsdException w:name="footer" w:qFormat="1"/>
    <w:lsdException w:name="caption" w:qFormat="1"/>
    <w:lsdException w:name="table of figures" w:qFormat="1"/>
    <w:lsdException w:name="footnote reference" w:semiHidden="1" w:qFormat="1"/>
    <w:lsdException w:name="annotation reference" w:qFormat="1"/>
    <w:lsdException w:name="page number" w:qFormat="1"/>
    <w:lsdException w:name="List" w:qFormat="1"/>
    <w:lsdException w:name="List Bullet" w:qFormat="1"/>
    <w:lsdException w:name="List Number" w:qFormat="1"/>
    <w:lsdException w:name="List 2" w:qFormat="1"/>
    <w:lsdException w:name="Title" w:qFormat="1"/>
    <w:lsdException w:name="Default Paragraph Font" w:qFormat="1"/>
    <w:lsdException w:name="Body Text" w:qFormat="1"/>
    <w:lsdException w:name="Body Text Indent" w:qFormat="1"/>
    <w:lsdException w:name="Message Header" w:qFormat="1"/>
    <w:lsdException w:name="Subtitle" w:qFormat="1"/>
    <w:lsdException w:name="Date" w:qFormat="1"/>
    <w:lsdException w:name="Body Text First Indent" w:qFormat="1"/>
    <w:lsdException w:name="Body Text First Indent 2" w:qFormat="1"/>
    <w:lsdException w:name="Note Heading" w:qFormat="1"/>
    <w:lsdException w:name="Body Text 2" w:qFormat="1"/>
    <w:lsdException w:name="Body Text Indent 2" w:qFormat="1"/>
    <w:lsdException w:name="Body Text Indent 3" w:qFormat="1"/>
    <w:lsdException w:name="Block Text" w:qFormat="1"/>
    <w:lsdException w:name="Hyperlink" w:uiPriority="99" w:qFormat="1"/>
    <w:lsdException w:name="FollowedHyperlink" w:qFormat="1"/>
    <w:lsdException w:name="Strong" w:qFormat="1"/>
    <w:lsdException w:name="Emphasis" w:qFormat="1"/>
    <w:lsdException w:name="Document Map" w:qFormat="1"/>
    <w:lsdException w:name="Plain Text" w:qFormat="1"/>
    <w:lsdException w:name="HTML Top of Form" w:semiHidden="1" w:uiPriority="99" w:unhideWhenUsed="1"/>
    <w:lsdException w:name="HTML Bottom of Form" w:semiHidden="1" w:uiPriority="99" w:unhideWhenUsed="1"/>
    <w:lsdException w:name="Normal (Web)" w:qFormat="1"/>
    <w:lsdException w:name="HTML Preformatted" w:qFormat="1"/>
    <w:lsdException w:name="Normal Table" w:semiHidden="1"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nhideWhenUsed="1" w:qFormat="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F50C57"/>
    <w:pPr>
      <w:widowControl w:val="0"/>
      <w:jc w:val="both"/>
    </w:pPr>
    <w:rPr>
      <w:kern w:val="2"/>
      <w:sz w:val="21"/>
      <w:szCs w:val="21"/>
    </w:rPr>
  </w:style>
  <w:style w:type="paragraph" w:styleId="1">
    <w:name w:val="heading 1"/>
    <w:basedOn w:val="a1"/>
    <w:next w:val="a1"/>
    <w:link w:val="10"/>
    <w:qFormat/>
    <w:pPr>
      <w:keepNext/>
      <w:keepLines/>
      <w:adjustRightInd w:val="0"/>
      <w:snapToGrid w:val="0"/>
      <w:spacing w:line="360" w:lineRule="auto"/>
      <w:jc w:val="left"/>
      <w:outlineLvl w:val="0"/>
    </w:pPr>
    <w:rPr>
      <w:b/>
      <w:bCs/>
      <w:kern w:val="44"/>
      <w:sz w:val="32"/>
      <w:szCs w:val="44"/>
    </w:rPr>
  </w:style>
  <w:style w:type="paragraph" w:styleId="2">
    <w:name w:val="heading 2"/>
    <w:basedOn w:val="a1"/>
    <w:next w:val="a1"/>
    <w:link w:val="20"/>
    <w:qFormat/>
    <w:pPr>
      <w:keepNext/>
      <w:keepLines/>
      <w:numPr>
        <w:ilvl w:val="1"/>
      </w:numPr>
      <w:adjustRightInd w:val="0"/>
      <w:snapToGrid w:val="0"/>
      <w:spacing w:line="360" w:lineRule="auto"/>
      <w:outlineLvl w:val="1"/>
    </w:pPr>
    <w:rPr>
      <w:b/>
      <w:sz w:val="30"/>
      <w:szCs w:val="32"/>
    </w:rPr>
  </w:style>
  <w:style w:type="paragraph" w:styleId="3">
    <w:name w:val="heading 3"/>
    <w:basedOn w:val="a1"/>
    <w:next w:val="a1"/>
    <w:link w:val="30"/>
    <w:qFormat/>
    <w:pPr>
      <w:keepNext/>
      <w:keepLines/>
      <w:numPr>
        <w:ilvl w:val="2"/>
      </w:numPr>
      <w:adjustRightInd w:val="0"/>
      <w:snapToGrid w:val="0"/>
      <w:spacing w:line="360" w:lineRule="auto"/>
      <w:outlineLvl w:val="2"/>
    </w:pPr>
    <w:rPr>
      <w:b/>
      <w:bCs/>
      <w:sz w:val="28"/>
      <w:szCs w:val="32"/>
    </w:rPr>
  </w:style>
  <w:style w:type="paragraph" w:styleId="4">
    <w:name w:val="heading 4"/>
    <w:basedOn w:val="a1"/>
    <w:next w:val="a1"/>
    <w:link w:val="40"/>
    <w:qFormat/>
    <w:pPr>
      <w:keepNext/>
      <w:keepLines/>
      <w:numPr>
        <w:ilvl w:val="3"/>
      </w:numPr>
      <w:adjustRightInd w:val="0"/>
      <w:snapToGrid w:val="0"/>
      <w:spacing w:line="360" w:lineRule="auto"/>
      <w:outlineLvl w:val="3"/>
    </w:pPr>
    <w:rPr>
      <w:b/>
      <w:bCs/>
      <w:sz w:val="24"/>
      <w:szCs w:val="28"/>
    </w:rPr>
  </w:style>
  <w:style w:type="paragraph" w:styleId="5">
    <w:name w:val="heading 5"/>
    <w:basedOn w:val="a1"/>
    <w:next w:val="4"/>
    <w:link w:val="50"/>
    <w:qFormat/>
    <w:pPr>
      <w:keepNext/>
      <w:keepLines/>
      <w:tabs>
        <w:tab w:val="left" w:pos="1008"/>
      </w:tabs>
      <w:adjustRightInd w:val="0"/>
      <w:snapToGrid w:val="0"/>
      <w:spacing w:line="360" w:lineRule="auto"/>
      <w:outlineLvl w:val="4"/>
    </w:pPr>
    <w:rPr>
      <w:b/>
      <w:bCs/>
      <w:sz w:val="24"/>
      <w:szCs w:val="28"/>
    </w:rPr>
  </w:style>
  <w:style w:type="paragraph" w:styleId="6">
    <w:name w:val="heading 6"/>
    <w:basedOn w:val="a1"/>
    <w:next w:val="a1"/>
    <w:link w:val="60"/>
    <w:qFormat/>
    <w:pPr>
      <w:keepNext/>
      <w:keepLines/>
      <w:tabs>
        <w:tab w:val="left" w:pos="1152"/>
      </w:tabs>
      <w:spacing w:before="240" w:after="64" w:line="317" w:lineRule="auto"/>
      <w:ind w:left="1152" w:hanging="1152"/>
      <w:outlineLvl w:val="5"/>
    </w:pPr>
    <w:rPr>
      <w:rFonts w:ascii="Arial" w:eastAsia="黑体" w:hAnsi="Arial"/>
      <w:b/>
      <w:bCs/>
      <w:sz w:val="24"/>
      <w:szCs w:val="24"/>
    </w:rPr>
  </w:style>
  <w:style w:type="paragraph" w:styleId="7">
    <w:name w:val="heading 7"/>
    <w:basedOn w:val="a1"/>
    <w:next w:val="a1"/>
    <w:link w:val="70"/>
    <w:autoRedefine/>
    <w:qFormat/>
    <w:rsid w:val="00AE3C89"/>
    <w:pPr>
      <w:keepNext/>
      <w:keepLines/>
      <w:spacing w:before="240" w:after="64" w:line="317" w:lineRule="auto"/>
      <w:outlineLvl w:val="6"/>
    </w:pPr>
    <w:rPr>
      <w:rFonts w:ascii="宋体"/>
      <w:b/>
      <w:bCs/>
      <w:kern w:val="0"/>
      <w:sz w:val="24"/>
      <w:szCs w:val="20"/>
    </w:rPr>
  </w:style>
  <w:style w:type="paragraph" w:styleId="80">
    <w:name w:val="heading 8"/>
    <w:basedOn w:val="a1"/>
    <w:next w:val="a1"/>
    <w:link w:val="81"/>
    <w:autoRedefine/>
    <w:qFormat/>
    <w:rsid w:val="00AE3C89"/>
    <w:pPr>
      <w:keepNext/>
      <w:keepLines/>
      <w:spacing w:before="240" w:after="64" w:line="317" w:lineRule="auto"/>
      <w:outlineLvl w:val="7"/>
    </w:pPr>
    <w:rPr>
      <w:rFonts w:ascii="Arial" w:eastAsia="黑体" w:hAnsi="Arial"/>
      <w:kern w:val="0"/>
      <w:sz w:val="24"/>
      <w:szCs w:val="20"/>
    </w:rPr>
  </w:style>
  <w:style w:type="paragraph" w:styleId="90">
    <w:name w:val="heading 9"/>
    <w:basedOn w:val="a1"/>
    <w:next w:val="a1"/>
    <w:link w:val="91"/>
    <w:autoRedefine/>
    <w:qFormat/>
    <w:rsid w:val="00AE3C89"/>
    <w:pPr>
      <w:keepNext/>
      <w:keepLines/>
      <w:spacing w:before="240" w:after="64" w:line="317" w:lineRule="auto"/>
      <w:outlineLvl w:val="8"/>
    </w:pPr>
    <w:rPr>
      <w:rFonts w:ascii="Arial" w:eastAsia="黑体" w:hAnsi="Arial"/>
      <w:color w:val="000000"/>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TOC7">
    <w:name w:val="toc 7"/>
    <w:basedOn w:val="a1"/>
    <w:next w:val="a1"/>
    <w:uiPriority w:val="39"/>
    <w:qFormat/>
    <w:pPr>
      <w:spacing w:line="360" w:lineRule="auto"/>
      <w:ind w:firstLineChars="200" w:firstLine="1041"/>
    </w:pPr>
    <w:rPr>
      <w:rFonts w:cs="Calibri"/>
      <w:szCs w:val="18"/>
    </w:rPr>
  </w:style>
  <w:style w:type="paragraph" w:styleId="a">
    <w:name w:val="List Number"/>
    <w:basedOn w:val="a1"/>
    <w:qFormat/>
    <w:pPr>
      <w:numPr>
        <w:numId w:val="1"/>
      </w:numPr>
      <w:adjustRightInd w:val="0"/>
      <w:snapToGrid w:val="0"/>
      <w:spacing w:line="360" w:lineRule="auto"/>
    </w:pPr>
    <w:rPr>
      <w:sz w:val="24"/>
      <w:szCs w:val="20"/>
    </w:rPr>
  </w:style>
  <w:style w:type="paragraph" w:styleId="a5">
    <w:name w:val="Normal Indent"/>
    <w:basedOn w:val="a1"/>
    <w:next w:val="2Char"/>
    <w:link w:val="a6"/>
    <w:qFormat/>
    <w:pPr>
      <w:adjustRightInd w:val="0"/>
      <w:snapToGrid w:val="0"/>
      <w:spacing w:line="300" w:lineRule="auto"/>
      <w:ind w:leftChars="-50" w:left="-50" w:firstLine="482"/>
      <w:jc w:val="left"/>
    </w:pPr>
    <w:rPr>
      <w:sz w:val="24"/>
      <w:szCs w:val="20"/>
    </w:rPr>
  </w:style>
  <w:style w:type="paragraph" w:customStyle="1" w:styleId="2Char">
    <w:name w:val="正文首行缩进2个字 Char"/>
    <w:basedOn w:val="a1"/>
    <w:qFormat/>
    <w:pPr>
      <w:ind w:firstLineChars="200" w:firstLine="480"/>
    </w:pPr>
    <w:rPr>
      <w:rFonts w:ascii="Calibri" w:eastAsia="楷体" w:hAnsi="Calibri"/>
      <w:sz w:val="24"/>
    </w:rPr>
  </w:style>
  <w:style w:type="paragraph" w:styleId="a7">
    <w:name w:val="caption"/>
    <w:basedOn w:val="a1"/>
    <w:next w:val="a1"/>
    <w:link w:val="a8"/>
    <w:qFormat/>
    <w:pPr>
      <w:adjustRightInd w:val="0"/>
      <w:snapToGrid w:val="0"/>
      <w:spacing w:beforeLines="1" w:before="156" w:line="360" w:lineRule="auto"/>
      <w:jc w:val="center"/>
    </w:pPr>
    <w:rPr>
      <w:b/>
      <w:sz w:val="24"/>
    </w:rPr>
  </w:style>
  <w:style w:type="paragraph" w:styleId="a0">
    <w:name w:val="List Bullet"/>
    <w:basedOn w:val="a1"/>
    <w:qFormat/>
    <w:pPr>
      <w:numPr>
        <w:numId w:val="2"/>
      </w:numPr>
    </w:pPr>
    <w:rPr>
      <w:sz w:val="20"/>
      <w:szCs w:val="20"/>
    </w:rPr>
  </w:style>
  <w:style w:type="paragraph" w:styleId="a9">
    <w:name w:val="Document Map"/>
    <w:basedOn w:val="a1"/>
    <w:link w:val="aa"/>
    <w:qFormat/>
    <w:rPr>
      <w:rFonts w:ascii="宋体"/>
      <w:sz w:val="18"/>
      <w:szCs w:val="18"/>
    </w:rPr>
  </w:style>
  <w:style w:type="paragraph" w:styleId="ab">
    <w:name w:val="annotation text"/>
    <w:basedOn w:val="a1"/>
    <w:link w:val="ac"/>
    <w:qFormat/>
    <w:pPr>
      <w:jc w:val="left"/>
    </w:pPr>
  </w:style>
  <w:style w:type="paragraph" w:styleId="ad">
    <w:name w:val="Body Text"/>
    <w:basedOn w:val="a1"/>
    <w:link w:val="ae"/>
    <w:qFormat/>
    <w:rPr>
      <w:sz w:val="28"/>
    </w:rPr>
  </w:style>
  <w:style w:type="paragraph" w:styleId="af">
    <w:name w:val="Body Text Indent"/>
    <w:basedOn w:val="a1"/>
    <w:link w:val="af0"/>
    <w:qFormat/>
    <w:pPr>
      <w:spacing w:after="120"/>
      <w:ind w:leftChars="200" w:left="420"/>
    </w:pPr>
  </w:style>
  <w:style w:type="paragraph" w:styleId="21">
    <w:name w:val="List 2"/>
    <w:basedOn w:val="a1"/>
    <w:qFormat/>
    <w:pPr>
      <w:ind w:leftChars="200" w:left="100" w:hangingChars="200" w:hanging="200"/>
    </w:pPr>
  </w:style>
  <w:style w:type="paragraph" w:styleId="TOC5">
    <w:name w:val="toc 5"/>
    <w:basedOn w:val="a1"/>
    <w:next w:val="a1"/>
    <w:uiPriority w:val="39"/>
    <w:qFormat/>
    <w:pPr>
      <w:ind w:left="840"/>
      <w:jc w:val="left"/>
    </w:pPr>
    <w:rPr>
      <w:rFonts w:ascii="Calibri" w:hAnsi="Calibri" w:cs="Calibri"/>
      <w:sz w:val="18"/>
      <w:szCs w:val="18"/>
    </w:rPr>
  </w:style>
  <w:style w:type="paragraph" w:styleId="TOC3">
    <w:name w:val="toc 3"/>
    <w:basedOn w:val="a1"/>
    <w:next w:val="a1"/>
    <w:uiPriority w:val="39"/>
    <w:qFormat/>
    <w:pPr>
      <w:ind w:left="420"/>
      <w:jc w:val="left"/>
    </w:pPr>
    <w:rPr>
      <w:rFonts w:ascii="Calibri" w:hAnsi="Calibri" w:cs="Calibri"/>
      <w:i/>
      <w:iCs/>
      <w:sz w:val="20"/>
      <w:szCs w:val="20"/>
    </w:rPr>
  </w:style>
  <w:style w:type="paragraph" w:styleId="af1">
    <w:name w:val="Plain Text"/>
    <w:basedOn w:val="a1"/>
    <w:link w:val="af2"/>
    <w:qFormat/>
    <w:rPr>
      <w:rFonts w:ascii="宋体" w:hAnsi="Courier New" w:cs="Courier New"/>
    </w:rPr>
  </w:style>
  <w:style w:type="paragraph" w:styleId="TOC8">
    <w:name w:val="toc 8"/>
    <w:basedOn w:val="a1"/>
    <w:next w:val="a1"/>
    <w:uiPriority w:val="39"/>
    <w:qFormat/>
    <w:pPr>
      <w:ind w:left="1470"/>
      <w:jc w:val="left"/>
    </w:pPr>
    <w:rPr>
      <w:rFonts w:ascii="Calibri" w:hAnsi="Calibri" w:cs="Calibri"/>
      <w:sz w:val="18"/>
      <w:szCs w:val="18"/>
    </w:rPr>
  </w:style>
  <w:style w:type="paragraph" w:styleId="af3">
    <w:name w:val="Date"/>
    <w:basedOn w:val="a1"/>
    <w:next w:val="a1"/>
    <w:link w:val="af4"/>
    <w:qFormat/>
    <w:pPr>
      <w:ind w:leftChars="2500" w:left="100"/>
    </w:pPr>
  </w:style>
  <w:style w:type="paragraph" w:styleId="22">
    <w:name w:val="Body Text Indent 2"/>
    <w:basedOn w:val="a1"/>
    <w:qFormat/>
    <w:pPr>
      <w:tabs>
        <w:tab w:val="left" w:pos="2190"/>
        <w:tab w:val="left" w:pos="2520"/>
        <w:tab w:val="left" w:pos="2940"/>
        <w:tab w:val="left" w:pos="3495"/>
      </w:tabs>
      <w:spacing w:line="600" w:lineRule="exact"/>
      <w:ind w:firstLineChars="200" w:firstLine="560"/>
    </w:pPr>
    <w:rPr>
      <w:rFonts w:ascii="宋体"/>
      <w:sz w:val="28"/>
    </w:rPr>
  </w:style>
  <w:style w:type="paragraph" w:styleId="af5">
    <w:name w:val="Balloon Text"/>
    <w:basedOn w:val="a1"/>
    <w:link w:val="af6"/>
    <w:qFormat/>
    <w:rPr>
      <w:sz w:val="18"/>
      <w:szCs w:val="18"/>
    </w:rPr>
  </w:style>
  <w:style w:type="paragraph" w:styleId="af7">
    <w:name w:val="footer"/>
    <w:basedOn w:val="a1"/>
    <w:link w:val="af8"/>
    <w:qFormat/>
    <w:pPr>
      <w:tabs>
        <w:tab w:val="center" w:pos="4153"/>
        <w:tab w:val="right" w:pos="8306"/>
      </w:tabs>
      <w:snapToGrid w:val="0"/>
      <w:jc w:val="left"/>
    </w:pPr>
    <w:rPr>
      <w:sz w:val="18"/>
      <w:szCs w:val="18"/>
    </w:rPr>
  </w:style>
  <w:style w:type="paragraph" w:styleId="af9">
    <w:name w:val="header"/>
    <w:basedOn w:val="a1"/>
    <w:next w:val="a1"/>
    <w:link w:val="afa"/>
    <w:qFormat/>
    <w:pPr>
      <w:pBdr>
        <w:bottom w:val="single" w:sz="6" w:space="1" w:color="auto"/>
      </w:pBdr>
      <w:tabs>
        <w:tab w:val="center" w:pos="4153"/>
        <w:tab w:val="right" w:pos="8306"/>
      </w:tabs>
      <w:snapToGrid w:val="0"/>
      <w:jc w:val="center"/>
    </w:pPr>
    <w:rPr>
      <w:sz w:val="18"/>
      <w:szCs w:val="18"/>
    </w:rPr>
  </w:style>
  <w:style w:type="paragraph" w:styleId="TOC1">
    <w:name w:val="toc 1"/>
    <w:basedOn w:val="a1"/>
    <w:next w:val="a1"/>
    <w:link w:val="TOC10"/>
    <w:uiPriority w:val="39"/>
    <w:qFormat/>
    <w:pPr>
      <w:spacing w:before="120" w:after="120"/>
      <w:jc w:val="left"/>
    </w:pPr>
    <w:rPr>
      <w:rFonts w:ascii="Calibri" w:hAnsi="Calibri" w:cs="Calibri"/>
      <w:b/>
      <w:bCs/>
      <w:caps/>
      <w:sz w:val="20"/>
      <w:szCs w:val="20"/>
    </w:rPr>
  </w:style>
  <w:style w:type="paragraph" w:styleId="TOC4">
    <w:name w:val="toc 4"/>
    <w:basedOn w:val="a1"/>
    <w:next w:val="a1"/>
    <w:uiPriority w:val="39"/>
    <w:qFormat/>
    <w:pPr>
      <w:ind w:left="630"/>
      <w:jc w:val="left"/>
    </w:pPr>
    <w:rPr>
      <w:rFonts w:ascii="Calibri" w:hAnsi="Calibri" w:cs="Calibri"/>
      <w:sz w:val="18"/>
      <w:szCs w:val="18"/>
    </w:rPr>
  </w:style>
  <w:style w:type="paragraph" w:styleId="afb">
    <w:name w:val="List"/>
    <w:basedOn w:val="a1"/>
    <w:qFormat/>
    <w:pPr>
      <w:widowControl/>
      <w:spacing w:before="100" w:beforeAutospacing="1" w:after="100" w:afterAutospacing="1"/>
      <w:jc w:val="left"/>
    </w:pPr>
    <w:rPr>
      <w:rFonts w:ascii="宋体" w:hAnsi="宋体" w:cs="宋体"/>
      <w:kern w:val="0"/>
      <w:sz w:val="24"/>
    </w:rPr>
  </w:style>
  <w:style w:type="paragraph" w:styleId="afc">
    <w:name w:val="footnote text"/>
    <w:basedOn w:val="a1"/>
    <w:semiHidden/>
    <w:qFormat/>
    <w:pPr>
      <w:snapToGrid w:val="0"/>
      <w:jc w:val="left"/>
    </w:pPr>
    <w:rPr>
      <w:sz w:val="18"/>
      <w:szCs w:val="18"/>
    </w:rPr>
  </w:style>
  <w:style w:type="paragraph" w:styleId="TOC6">
    <w:name w:val="toc 6"/>
    <w:basedOn w:val="a1"/>
    <w:next w:val="a1"/>
    <w:uiPriority w:val="39"/>
    <w:qFormat/>
    <w:pPr>
      <w:ind w:left="1050"/>
      <w:jc w:val="left"/>
    </w:pPr>
    <w:rPr>
      <w:rFonts w:ascii="Calibri" w:hAnsi="Calibri" w:cs="Calibri"/>
      <w:sz w:val="18"/>
      <w:szCs w:val="18"/>
    </w:rPr>
  </w:style>
  <w:style w:type="paragraph" w:styleId="31">
    <w:name w:val="Body Text Indent 3"/>
    <w:basedOn w:val="a1"/>
    <w:link w:val="32"/>
    <w:qFormat/>
    <w:pPr>
      <w:spacing w:after="120"/>
      <w:ind w:leftChars="200" w:left="420"/>
    </w:pPr>
    <w:rPr>
      <w:sz w:val="16"/>
      <w:szCs w:val="16"/>
    </w:rPr>
  </w:style>
  <w:style w:type="paragraph" w:styleId="afd">
    <w:name w:val="table of figures"/>
    <w:basedOn w:val="a1"/>
    <w:next w:val="a1"/>
    <w:qFormat/>
    <w:pPr>
      <w:spacing w:line="360" w:lineRule="auto"/>
      <w:ind w:leftChars="200" w:left="200" w:hangingChars="200" w:hanging="200"/>
    </w:pPr>
    <w:rPr>
      <w:sz w:val="24"/>
      <w:szCs w:val="24"/>
    </w:rPr>
  </w:style>
  <w:style w:type="paragraph" w:styleId="TOC2">
    <w:name w:val="toc 2"/>
    <w:basedOn w:val="a1"/>
    <w:next w:val="a1"/>
    <w:uiPriority w:val="39"/>
    <w:qFormat/>
    <w:pPr>
      <w:ind w:left="210"/>
      <w:jc w:val="left"/>
    </w:pPr>
    <w:rPr>
      <w:rFonts w:ascii="Calibri" w:hAnsi="Calibri" w:cs="Calibri"/>
      <w:smallCaps/>
      <w:sz w:val="20"/>
      <w:szCs w:val="20"/>
    </w:rPr>
  </w:style>
  <w:style w:type="paragraph" w:styleId="TOC9">
    <w:name w:val="toc 9"/>
    <w:basedOn w:val="a1"/>
    <w:next w:val="a1"/>
    <w:uiPriority w:val="39"/>
    <w:qFormat/>
    <w:pPr>
      <w:ind w:left="1680"/>
      <w:jc w:val="left"/>
    </w:pPr>
    <w:rPr>
      <w:rFonts w:ascii="Calibri" w:hAnsi="Calibri" w:cs="Calibri"/>
      <w:sz w:val="18"/>
      <w:szCs w:val="18"/>
    </w:rPr>
  </w:style>
  <w:style w:type="paragraph" w:styleId="23">
    <w:name w:val="Body Text 2"/>
    <w:basedOn w:val="a1"/>
    <w:link w:val="24"/>
    <w:qFormat/>
    <w:pPr>
      <w:tabs>
        <w:tab w:val="left" w:pos="360"/>
      </w:tabs>
      <w:spacing w:line="500" w:lineRule="exact"/>
    </w:pPr>
    <w:rPr>
      <w:rFonts w:ascii="宋体" w:hAnsi="宋体"/>
      <w:bCs/>
      <w:color w:val="FF6600"/>
      <w:sz w:val="24"/>
    </w:rPr>
  </w:style>
  <w:style w:type="paragraph" w:styleId="HTML">
    <w:name w:val="HTML Preformatted"/>
    <w:basedOn w:val="a1"/>
    <w:qFormat/>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 w:val="24"/>
    </w:rPr>
  </w:style>
  <w:style w:type="paragraph" w:styleId="afe">
    <w:name w:val="Normal (Web)"/>
    <w:basedOn w:val="a1"/>
    <w:qFormat/>
    <w:pPr>
      <w:widowControl/>
      <w:spacing w:before="100" w:beforeAutospacing="1" w:after="100" w:afterAutospacing="1"/>
      <w:jc w:val="left"/>
    </w:pPr>
    <w:rPr>
      <w:rFonts w:ascii="宋体" w:hAnsi="宋体"/>
      <w:kern w:val="0"/>
      <w:sz w:val="24"/>
    </w:rPr>
  </w:style>
  <w:style w:type="paragraph" w:styleId="aff">
    <w:name w:val="Title"/>
    <w:basedOn w:val="a1"/>
    <w:link w:val="aff0"/>
    <w:qFormat/>
    <w:pPr>
      <w:tabs>
        <w:tab w:val="left" w:pos="1021"/>
      </w:tabs>
      <w:spacing w:before="240" w:after="60" w:line="300" w:lineRule="auto"/>
      <w:jc w:val="center"/>
      <w:outlineLvl w:val="0"/>
    </w:pPr>
    <w:rPr>
      <w:rFonts w:eastAsia="黑体"/>
      <w:sz w:val="32"/>
    </w:rPr>
  </w:style>
  <w:style w:type="paragraph" w:styleId="aff1">
    <w:name w:val="annotation subject"/>
    <w:basedOn w:val="ab"/>
    <w:next w:val="ab"/>
    <w:qFormat/>
    <w:rPr>
      <w:b/>
      <w:bCs/>
    </w:rPr>
  </w:style>
  <w:style w:type="paragraph" w:styleId="aff2">
    <w:name w:val="Body Text First Indent"/>
    <w:basedOn w:val="ad"/>
    <w:link w:val="aff3"/>
    <w:qFormat/>
    <w:pPr>
      <w:spacing w:after="120"/>
      <w:ind w:firstLineChars="100" w:firstLine="420"/>
    </w:pPr>
    <w:rPr>
      <w:sz w:val="21"/>
      <w:szCs w:val="24"/>
    </w:rPr>
  </w:style>
  <w:style w:type="paragraph" w:styleId="25">
    <w:name w:val="Body Text First Indent 2"/>
    <w:basedOn w:val="af"/>
    <w:next w:val="a1"/>
    <w:qFormat/>
    <w:pPr>
      <w:ind w:firstLineChars="200" w:firstLine="420"/>
    </w:pPr>
    <w:rPr>
      <w:szCs w:val="24"/>
    </w:rPr>
  </w:style>
  <w:style w:type="table" w:styleId="aff4">
    <w:name w:val="Table Grid"/>
    <w:basedOn w:val="a3"/>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5">
    <w:name w:val="Strong"/>
    <w:qFormat/>
    <w:rPr>
      <w:rFonts w:ascii="Times New Roman" w:eastAsia="宋体" w:hAnsi="Times New Roman" w:cs="Times New Roman"/>
      <w:b/>
      <w:bCs/>
    </w:rPr>
  </w:style>
  <w:style w:type="character" w:styleId="aff6">
    <w:name w:val="page number"/>
    <w:qFormat/>
    <w:rPr>
      <w:rFonts w:ascii="Times New Roman" w:eastAsia="宋体" w:hAnsi="Times New Roman" w:cs="Times New Roman"/>
    </w:rPr>
  </w:style>
  <w:style w:type="character" w:styleId="aff7">
    <w:name w:val="FollowedHyperlink"/>
    <w:qFormat/>
    <w:rPr>
      <w:rFonts w:ascii="Times New Roman" w:eastAsia="宋体" w:hAnsi="Times New Roman" w:cs="Times New Roman"/>
      <w:color w:val="800080"/>
      <w:u w:val="none"/>
    </w:rPr>
  </w:style>
  <w:style w:type="character" w:styleId="aff8">
    <w:name w:val="Emphasis"/>
    <w:qFormat/>
    <w:rPr>
      <w:rFonts w:ascii="Times New Roman" w:eastAsia="宋体" w:hAnsi="Times New Roman" w:cs="Times New Roman"/>
      <w:color w:val="CC0033"/>
    </w:rPr>
  </w:style>
  <w:style w:type="character" w:styleId="aff9">
    <w:name w:val="Hyperlink"/>
    <w:uiPriority w:val="99"/>
    <w:qFormat/>
    <w:rPr>
      <w:rFonts w:ascii="Times New Roman" w:eastAsia="宋体" w:hAnsi="Times New Roman" w:cs="Times New Roman"/>
      <w:color w:val="0000FF"/>
      <w:u w:val="none"/>
    </w:rPr>
  </w:style>
  <w:style w:type="character" w:styleId="affa">
    <w:name w:val="annotation reference"/>
    <w:qFormat/>
    <w:rPr>
      <w:rFonts w:ascii="Times New Roman" w:eastAsia="宋体" w:hAnsi="Times New Roman" w:cs="Times New Roman"/>
      <w:sz w:val="21"/>
      <w:szCs w:val="21"/>
    </w:rPr>
  </w:style>
  <w:style w:type="character" w:styleId="affb">
    <w:name w:val="footnote reference"/>
    <w:qFormat/>
    <w:rPr>
      <w:vertAlign w:val="superscript"/>
    </w:rPr>
  </w:style>
  <w:style w:type="paragraph" w:customStyle="1" w:styleId="affc">
    <w:name w:val="报告书正文"/>
    <w:basedOn w:val="a1"/>
    <w:link w:val="Char"/>
    <w:qFormat/>
    <w:pPr>
      <w:spacing w:line="300" w:lineRule="auto"/>
      <w:ind w:firstLineChars="200" w:firstLine="200"/>
    </w:pPr>
    <w:rPr>
      <w:sz w:val="24"/>
      <w:szCs w:val="20"/>
    </w:rPr>
  </w:style>
  <w:style w:type="paragraph" w:customStyle="1" w:styleId="Default">
    <w:name w:val="Default"/>
    <w:basedOn w:val="12"/>
    <w:qFormat/>
    <w:pPr>
      <w:autoSpaceDE w:val="0"/>
      <w:autoSpaceDN w:val="0"/>
      <w:adjustRightInd w:val="0"/>
    </w:pPr>
    <w:rPr>
      <w:rFonts w:hAnsi="Times New Roman" w:cs="宋体"/>
      <w:color w:val="000000"/>
      <w:sz w:val="24"/>
      <w:szCs w:val="24"/>
    </w:rPr>
  </w:style>
  <w:style w:type="paragraph" w:customStyle="1" w:styleId="12">
    <w:name w:val="纯文本1"/>
    <w:basedOn w:val="a1"/>
    <w:autoRedefine/>
    <w:qFormat/>
    <w:pPr>
      <w:tabs>
        <w:tab w:val="right" w:pos="0"/>
      </w:tabs>
      <w:jc w:val="center"/>
      <w:textAlignment w:val="baseline"/>
    </w:pPr>
    <w:rPr>
      <w:rFonts w:ascii="宋体" w:hAnsi="Courier New"/>
      <w:snapToGrid w:val="0"/>
      <w:szCs w:val="20"/>
    </w:rPr>
  </w:style>
  <w:style w:type="paragraph" w:customStyle="1" w:styleId="220">
    <w:name w:val="样式 样式 首行缩进:  2 字符 + 首行缩进:  2 字符"/>
    <w:basedOn w:val="a1"/>
    <w:next w:val="TOC1"/>
    <w:autoRedefine/>
    <w:qFormat/>
    <w:pPr>
      <w:ind w:firstLine="560"/>
    </w:pPr>
    <w:rPr>
      <w:sz w:val="28"/>
    </w:rPr>
  </w:style>
  <w:style w:type="paragraph" w:customStyle="1" w:styleId="affd">
    <w:name w:val="表题"/>
    <w:basedOn w:val="affe"/>
    <w:link w:val="CharChar"/>
    <w:qFormat/>
    <w:pPr>
      <w:spacing w:line="400" w:lineRule="exact"/>
      <w:jc w:val="center"/>
    </w:pPr>
    <w:rPr>
      <w:rFonts w:cs="宋体"/>
      <w:b/>
      <w:sz w:val="24"/>
      <w:szCs w:val="20"/>
    </w:rPr>
  </w:style>
  <w:style w:type="paragraph" w:styleId="affe">
    <w:name w:val="No Spacing"/>
    <w:next w:val="a1"/>
    <w:qFormat/>
    <w:pPr>
      <w:widowControl w:val="0"/>
      <w:jc w:val="both"/>
    </w:pPr>
    <w:rPr>
      <w:kern w:val="2"/>
      <w:sz w:val="28"/>
      <w:szCs w:val="24"/>
    </w:rPr>
  </w:style>
  <w:style w:type="character" w:customStyle="1" w:styleId="10">
    <w:name w:val="标题 1 字符"/>
    <w:link w:val="1"/>
    <w:qFormat/>
    <w:rPr>
      <w:rFonts w:ascii="Times New Roman" w:eastAsia="宋体" w:hAnsi="Times New Roman" w:cs="Times New Roman"/>
      <w:b/>
      <w:bCs/>
      <w:kern w:val="44"/>
      <w:sz w:val="32"/>
      <w:szCs w:val="44"/>
    </w:rPr>
  </w:style>
  <w:style w:type="character" w:customStyle="1" w:styleId="30">
    <w:name w:val="标题 3 字符"/>
    <w:link w:val="3"/>
    <w:qFormat/>
    <w:rPr>
      <w:rFonts w:ascii="Times New Roman" w:eastAsia="宋体" w:hAnsi="Times New Roman" w:cs="Times New Roman"/>
      <w:b/>
      <w:bCs/>
      <w:sz w:val="28"/>
      <w:szCs w:val="32"/>
    </w:rPr>
  </w:style>
  <w:style w:type="character" w:customStyle="1" w:styleId="50">
    <w:name w:val="标题 5 字符"/>
    <w:link w:val="5"/>
    <w:qFormat/>
    <w:rPr>
      <w:rFonts w:ascii="Times New Roman" w:eastAsia="宋体" w:hAnsi="Times New Roman" w:cs="Times New Roman"/>
      <w:b/>
      <w:bCs/>
      <w:kern w:val="2"/>
      <w:sz w:val="24"/>
      <w:szCs w:val="28"/>
      <w:lang w:val="en-US" w:eastAsia="zh-CN" w:bidi="ar-SA"/>
    </w:rPr>
  </w:style>
  <w:style w:type="character" w:customStyle="1" w:styleId="60">
    <w:name w:val="标题 6 字符"/>
    <w:link w:val="6"/>
    <w:qFormat/>
    <w:rPr>
      <w:rFonts w:ascii="Arial" w:eastAsia="黑体" w:hAnsi="Arial" w:cs="Times New Roman"/>
      <w:b/>
      <w:bCs/>
      <w:kern w:val="2"/>
      <w:sz w:val="24"/>
      <w:szCs w:val="24"/>
    </w:rPr>
  </w:style>
  <w:style w:type="character" w:customStyle="1" w:styleId="a6">
    <w:name w:val="正文缩进 字符"/>
    <w:link w:val="a5"/>
    <w:qFormat/>
    <w:rPr>
      <w:rFonts w:ascii="Times New Roman" w:eastAsia="宋体" w:hAnsi="Times New Roman" w:cs="Times New Roman"/>
      <w:kern w:val="2"/>
      <w:sz w:val="24"/>
    </w:rPr>
  </w:style>
  <w:style w:type="character" w:customStyle="1" w:styleId="a8">
    <w:name w:val="题注 字符"/>
    <w:link w:val="a7"/>
    <w:qFormat/>
    <w:rPr>
      <w:rFonts w:ascii="Times New Roman" w:eastAsia="宋体" w:hAnsi="Times New Roman" w:cs="Times New Roman"/>
      <w:b/>
      <w:kern w:val="2"/>
      <w:sz w:val="24"/>
      <w:szCs w:val="21"/>
      <w:lang w:bidi="ar-SA"/>
    </w:rPr>
  </w:style>
  <w:style w:type="character" w:customStyle="1" w:styleId="aa">
    <w:name w:val="文档结构图 字符"/>
    <w:link w:val="a9"/>
    <w:qFormat/>
    <w:rPr>
      <w:rFonts w:ascii="宋体" w:eastAsia="宋体" w:hAnsi="Times New Roman" w:cs="Times New Roman"/>
      <w:kern w:val="2"/>
      <w:sz w:val="18"/>
      <w:szCs w:val="18"/>
    </w:rPr>
  </w:style>
  <w:style w:type="character" w:customStyle="1" w:styleId="ac">
    <w:name w:val="批注文字 字符"/>
    <w:link w:val="ab"/>
    <w:qFormat/>
    <w:rPr>
      <w:rFonts w:ascii="Times New Roman" w:eastAsia="宋体" w:hAnsi="Times New Roman" w:cs="Times New Roman"/>
      <w:kern w:val="2"/>
      <w:sz w:val="21"/>
      <w:szCs w:val="24"/>
      <w:lang w:val="en-US" w:eastAsia="zh-CN" w:bidi="ar-SA"/>
    </w:rPr>
  </w:style>
  <w:style w:type="character" w:customStyle="1" w:styleId="af0">
    <w:name w:val="正文文本缩进 字符"/>
    <w:link w:val="af"/>
    <w:qFormat/>
    <w:rPr>
      <w:rFonts w:ascii="Times New Roman" w:eastAsia="宋体" w:hAnsi="Times New Roman" w:cs="Times New Roman"/>
      <w:kern w:val="2"/>
      <w:sz w:val="21"/>
      <w:szCs w:val="24"/>
      <w:lang w:val="en-US" w:eastAsia="zh-CN" w:bidi="ar-SA"/>
    </w:rPr>
  </w:style>
  <w:style w:type="character" w:customStyle="1" w:styleId="af2">
    <w:name w:val="纯文本 字符"/>
    <w:link w:val="af1"/>
    <w:qFormat/>
    <w:rPr>
      <w:rFonts w:ascii="宋体" w:eastAsia="宋体" w:hAnsi="Courier New" w:cs="Courier New"/>
      <w:kern w:val="2"/>
      <w:sz w:val="21"/>
      <w:szCs w:val="21"/>
    </w:rPr>
  </w:style>
  <w:style w:type="character" w:customStyle="1" w:styleId="af6">
    <w:name w:val="批注框文本 字符"/>
    <w:link w:val="af5"/>
    <w:qFormat/>
    <w:rPr>
      <w:rFonts w:ascii="Times New Roman" w:eastAsia="宋体" w:hAnsi="Times New Roman" w:cs="Times New Roman"/>
      <w:kern w:val="2"/>
      <w:sz w:val="18"/>
      <w:szCs w:val="18"/>
    </w:rPr>
  </w:style>
  <w:style w:type="character" w:customStyle="1" w:styleId="af8">
    <w:name w:val="页脚 字符"/>
    <w:link w:val="af7"/>
    <w:qFormat/>
    <w:rPr>
      <w:rFonts w:ascii="Times New Roman" w:eastAsia="宋体" w:hAnsi="Times New Roman" w:cs="Times New Roman"/>
      <w:kern w:val="2"/>
      <w:sz w:val="18"/>
      <w:szCs w:val="18"/>
    </w:rPr>
  </w:style>
  <w:style w:type="character" w:customStyle="1" w:styleId="afa">
    <w:name w:val="页眉 字符"/>
    <w:link w:val="af9"/>
    <w:qFormat/>
    <w:rPr>
      <w:rFonts w:ascii="Times New Roman" w:eastAsia="宋体" w:hAnsi="Times New Roman" w:cs="Times New Roman"/>
      <w:kern w:val="2"/>
      <w:sz w:val="18"/>
      <w:szCs w:val="18"/>
    </w:rPr>
  </w:style>
  <w:style w:type="character" w:customStyle="1" w:styleId="32">
    <w:name w:val="正文文本缩进 3 字符"/>
    <w:link w:val="31"/>
    <w:qFormat/>
    <w:rPr>
      <w:rFonts w:ascii="Times New Roman" w:eastAsia="宋体" w:hAnsi="Times New Roman" w:cs="Times New Roman"/>
      <w:kern w:val="2"/>
      <w:sz w:val="16"/>
      <w:szCs w:val="16"/>
    </w:rPr>
  </w:style>
  <w:style w:type="character" w:customStyle="1" w:styleId="aff0">
    <w:name w:val="标题 字符"/>
    <w:link w:val="aff"/>
    <w:qFormat/>
    <w:rPr>
      <w:rFonts w:ascii="Times New Roman" w:eastAsia="黑体" w:hAnsi="Times New Roman" w:cs="Times New Roman"/>
      <w:kern w:val="2"/>
      <w:sz w:val="32"/>
    </w:rPr>
  </w:style>
  <w:style w:type="character" w:customStyle="1" w:styleId="aff3">
    <w:name w:val="正文文本首行缩进 字符"/>
    <w:link w:val="aff2"/>
    <w:qFormat/>
    <w:rPr>
      <w:rFonts w:ascii="Times New Roman" w:eastAsia="宋体" w:hAnsi="Times New Roman" w:cs="Times New Roman"/>
      <w:kern w:val="2"/>
      <w:sz w:val="21"/>
      <w:szCs w:val="24"/>
    </w:rPr>
  </w:style>
  <w:style w:type="character" w:customStyle="1" w:styleId="CharChar">
    <w:name w:val="表题 Char Char"/>
    <w:link w:val="affd"/>
    <w:qFormat/>
    <w:rPr>
      <w:rFonts w:ascii="Times New Roman" w:eastAsia="宋体" w:hAnsi="Times New Roman" w:cs="宋体"/>
      <w:b/>
      <w:kern w:val="2"/>
      <w:sz w:val="24"/>
    </w:rPr>
  </w:style>
  <w:style w:type="paragraph" w:customStyle="1" w:styleId="afff">
    <w:name w:val="白布正文"/>
    <w:basedOn w:val="a1"/>
    <w:qFormat/>
    <w:pPr>
      <w:spacing w:line="360" w:lineRule="auto"/>
      <w:ind w:firstLineChars="200" w:firstLine="480"/>
    </w:pPr>
    <w:rPr>
      <w:sz w:val="24"/>
    </w:rPr>
  </w:style>
  <w:style w:type="paragraph" w:customStyle="1" w:styleId="28">
    <w:name w:val="样式 左 行距: 最小值 28 磅"/>
    <w:basedOn w:val="a1"/>
    <w:qFormat/>
    <w:pPr>
      <w:shd w:val="clear" w:color="auto" w:fill="FFFFFF"/>
      <w:spacing w:line="360" w:lineRule="atLeast"/>
      <w:jc w:val="left"/>
    </w:pPr>
    <w:rPr>
      <w:sz w:val="32"/>
      <w:szCs w:val="32"/>
    </w:rPr>
  </w:style>
  <w:style w:type="character" w:customStyle="1" w:styleId="Char">
    <w:name w:val="报告书正文 Char"/>
    <w:link w:val="affc"/>
    <w:qFormat/>
    <w:rPr>
      <w:rFonts w:ascii="Times New Roman" w:eastAsia="宋体" w:hAnsi="Times New Roman" w:cs="Times New Roman"/>
      <w:kern w:val="2"/>
      <w:sz w:val="24"/>
    </w:rPr>
  </w:style>
  <w:style w:type="paragraph" w:customStyle="1" w:styleId="0">
    <w:name w:val="0正文"/>
    <w:qFormat/>
    <w:pPr>
      <w:widowControl w:val="0"/>
      <w:spacing w:line="360" w:lineRule="auto"/>
      <w:ind w:firstLineChars="200" w:firstLine="720"/>
    </w:pPr>
    <w:rPr>
      <w:rFonts w:ascii="Calibri" w:hAnsi="Calibri"/>
      <w:sz w:val="24"/>
      <w:szCs w:val="22"/>
    </w:rPr>
  </w:style>
  <w:style w:type="paragraph" w:customStyle="1" w:styleId="Default1">
    <w:name w:val="Default1"/>
    <w:qFormat/>
    <w:pPr>
      <w:widowControl w:val="0"/>
      <w:autoSpaceDE w:val="0"/>
      <w:autoSpaceDN w:val="0"/>
      <w:adjustRightInd w:val="0"/>
    </w:pPr>
    <w:rPr>
      <w:rFonts w:ascii="宋体" w:cs="宋体"/>
      <w:color w:val="000000"/>
      <w:sz w:val="24"/>
      <w:szCs w:val="24"/>
    </w:rPr>
  </w:style>
  <w:style w:type="character" w:customStyle="1" w:styleId="zw1CharChar">
    <w:name w:val="zw1 Char Char"/>
    <w:link w:val="zw1"/>
    <w:qFormat/>
    <w:rPr>
      <w:rFonts w:ascii="宋体" w:eastAsia="宋体" w:hAnsi="宋体" w:cs="Times New Roman"/>
      <w:bCs/>
      <w:kern w:val="8"/>
      <w:sz w:val="24"/>
      <w:szCs w:val="24"/>
    </w:rPr>
  </w:style>
  <w:style w:type="paragraph" w:customStyle="1" w:styleId="zw1">
    <w:name w:val="zw1"/>
    <w:basedOn w:val="a1"/>
    <w:link w:val="zw1CharChar"/>
    <w:qFormat/>
    <w:pPr>
      <w:spacing w:line="360" w:lineRule="auto"/>
      <w:ind w:rightChars="-51" w:right="-107" w:firstLineChars="200" w:firstLine="480"/>
    </w:pPr>
    <w:rPr>
      <w:rFonts w:ascii="宋体" w:hAnsi="宋体"/>
      <w:bCs/>
      <w:kern w:val="8"/>
      <w:sz w:val="24"/>
      <w:szCs w:val="24"/>
    </w:rPr>
  </w:style>
  <w:style w:type="character" w:customStyle="1" w:styleId="5Char">
    <w:name w:val="环5表格 Char"/>
    <w:link w:val="51"/>
    <w:qFormat/>
    <w:rPr>
      <w:rFonts w:ascii="黑体" w:eastAsia="黑体" w:hAnsi="黑体" w:cs="Times New Roman"/>
    </w:rPr>
  </w:style>
  <w:style w:type="paragraph" w:customStyle="1" w:styleId="51">
    <w:name w:val="环5表格"/>
    <w:basedOn w:val="a1"/>
    <w:link w:val="5Char"/>
    <w:qFormat/>
    <w:pPr>
      <w:jc w:val="center"/>
    </w:pPr>
    <w:rPr>
      <w:rFonts w:ascii="黑体" w:eastAsia="黑体" w:hAnsi="黑体"/>
      <w:kern w:val="0"/>
      <w:sz w:val="20"/>
      <w:szCs w:val="20"/>
    </w:rPr>
  </w:style>
  <w:style w:type="character" w:customStyle="1" w:styleId="CharChar0">
    <w:name w:val="表格文字 Char Char"/>
    <w:link w:val="afff0"/>
    <w:qFormat/>
    <w:rPr>
      <w:rFonts w:ascii="宋体" w:eastAsia="宋体" w:hAnsi="Arial Black" w:cs="Times New Roman"/>
      <w:kern w:val="44"/>
      <w:sz w:val="24"/>
      <w:szCs w:val="24"/>
    </w:rPr>
  </w:style>
  <w:style w:type="paragraph" w:customStyle="1" w:styleId="afff0">
    <w:name w:val="表格文字"/>
    <w:basedOn w:val="afff1"/>
    <w:link w:val="CharChar0"/>
    <w:qFormat/>
    <w:rPr>
      <w:rFonts w:ascii="宋体" w:hAnsi="Arial Black"/>
      <w:kern w:val="44"/>
      <w:sz w:val="24"/>
    </w:rPr>
  </w:style>
  <w:style w:type="paragraph" w:customStyle="1" w:styleId="afff1">
    <w:name w:val="表标题"/>
    <w:next w:val="a1"/>
    <w:qFormat/>
    <w:pPr>
      <w:widowControl w:val="0"/>
      <w:spacing w:line="360" w:lineRule="auto"/>
      <w:jc w:val="center"/>
    </w:pPr>
    <w:rPr>
      <w:b/>
      <w:sz w:val="21"/>
    </w:rPr>
  </w:style>
  <w:style w:type="character" w:customStyle="1" w:styleId="1Char">
    <w:name w:val="正文文字1 Char"/>
    <w:link w:val="13"/>
    <w:qFormat/>
    <w:rPr>
      <w:rFonts w:ascii="Times New Roman" w:eastAsia="华文中宋" w:hAnsi="Times New Roman" w:cs="Times New Roman"/>
      <w:kern w:val="2"/>
      <w:sz w:val="24"/>
      <w:szCs w:val="24"/>
    </w:rPr>
  </w:style>
  <w:style w:type="paragraph" w:customStyle="1" w:styleId="13">
    <w:name w:val="正文文字1"/>
    <w:basedOn w:val="a1"/>
    <w:link w:val="1Char"/>
    <w:qFormat/>
    <w:pPr>
      <w:snapToGrid w:val="0"/>
      <w:spacing w:line="324" w:lineRule="auto"/>
      <w:ind w:firstLineChars="200" w:firstLine="480"/>
    </w:pPr>
    <w:rPr>
      <w:rFonts w:eastAsia="华文中宋"/>
      <w:sz w:val="24"/>
    </w:rPr>
  </w:style>
  <w:style w:type="character" w:customStyle="1" w:styleId="Char0">
    <w:name w:val="报告表  段 Char"/>
    <w:link w:val="afff2"/>
    <w:qFormat/>
    <w:rPr>
      <w:rFonts w:ascii="宋体" w:eastAsia="宋体" w:hAnsi="Times New Roman" w:cs="Times New Roman"/>
      <w:kern w:val="2"/>
      <w:sz w:val="24"/>
      <w:lang w:val="en-US" w:eastAsia="zh-CN" w:bidi="ar-SA"/>
    </w:rPr>
  </w:style>
  <w:style w:type="paragraph" w:customStyle="1" w:styleId="afff2">
    <w:name w:val="报告表  段"/>
    <w:basedOn w:val="a1"/>
    <w:link w:val="Char0"/>
    <w:qFormat/>
    <w:pPr>
      <w:adjustRightInd w:val="0"/>
      <w:spacing w:line="360" w:lineRule="auto"/>
      <w:ind w:firstLine="505"/>
      <w:textAlignment w:val="baseline"/>
    </w:pPr>
    <w:rPr>
      <w:rFonts w:ascii="宋体"/>
      <w:sz w:val="24"/>
      <w:szCs w:val="20"/>
    </w:rPr>
  </w:style>
  <w:style w:type="character" w:customStyle="1" w:styleId="CharChar1">
    <w:name w:val="表文 Char Char"/>
    <w:link w:val="afff3"/>
    <w:qFormat/>
    <w:rPr>
      <w:rFonts w:ascii="Times New Roman" w:eastAsia="宋体" w:hAnsi="Times New Roman" w:cs="Times New Roman"/>
      <w:snapToGrid w:val="0"/>
      <w:kern w:val="28"/>
      <w:position w:val="-24"/>
      <w:szCs w:val="21"/>
    </w:rPr>
  </w:style>
  <w:style w:type="paragraph" w:customStyle="1" w:styleId="afff3">
    <w:name w:val="表文"/>
    <w:basedOn w:val="a5"/>
    <w:link w:val="CharChar1"/>
    <w:qFormat/>
    <w:pPr>
      <w:tabs>
        <w:tab w:val="left" w:pos="1021"/>
      </w:tabs>
      <w:spacing w:beforeLines="30" w:before="93" w:afterLines="30" w:after="93"/>
      <w:jc w:val="center"/>
    </w:pPr>
    <w:rPr>
      <w:snapToGrid w:val="0"/>
      <w:kern w:val="28"/>
      <w:position w:val="-24"/>
      <w:sz w:val="20"/>
      <w:szCs w:val="21"/>
    </w:rPr>
  </w:style>
  <w:style w:type="character" w:customStyle="1" w:styleId="CharChar2">
    <w:name w:val="题注 Char Char"/>
    <w:link w:val="14"/>
    <w:qFormat/>
    <w:rPr>
      <w:rFonts w:ascii="Times New Roman" w:eastAsia="黑体" w:hAnsi="Times New Roman" w:cs="Times New Roman"/>
      <w:kern w:val="2"/>
      <w:sz w:val="24"/>
    </w:rPr>
  </w:style>
  <w:style w:type="character" w:customStyle="1" w:styleId="CharCharCharChar">
    <w:name w:val="报告书正文 Char Char Char Char"/>
    <w:link w:val="CharCharChar"/>
    <w:qFormat/>
    <w:rPr>
      <w:rFonts w:ascii="宋体" w:eastAsia="宋体" w:hAnsi="宋体" w:cs="Times New Roman"/>
      <w:kern w:val="2"/>
      <w:sz w:val="24"/>
      <w:szCs w:val="24"/>
    </w:rPr>
  </w:style>
  <w:style w:type="paragraph" w:customStyle="1" w:styleId="CharCharChar">
    <w:name w:val="报告书正文 Char Char Char"/>
    <w:basedOn w:val="a1"/>
    <w:link w:val="CharCharCharChar"/>
    <w:qFormat/>
    <w:pPr>
      <w:spacing w:line="300" w:lineRule="auto"/>
      <w:ind w:firstLineChars="200" w:firstLine="480"/>
    </w:pPr>
    <w:rPr>
      <w:rFonts w:ascii="宋体" w:hAnsi="宋体"/>
      <w:sz w:val="24"/>
    </w:rPr>
  </w:style>
  <w:style w:type="character" w:customStyle="1" w:styleId="3CharCharChar1">
    <w:name w:val="标题 3 Char Char Char1"/>
    <w:qFormat/>
    <w:rPr>
      <w:rFonts w:ascii="Arial" w:eastAsia="宋体" w:hAnsi="Arial" w:cs="Arial"/>
      <w:b/>
      <w:bCs/>
      <w:sz w:val="26"/>
      <w:szCs w:val="26"/>
      <w:lang w:val="en-US" w:eastAsia="zh-CN" w:bidi="ar-SA"/>
    </w:rPr>
  </w:style>
  <w:style w:type="character" w:customStyle="1" w:styleId="CharChar3">
    <w:name w:val="表头 Char Char"/>
    <w:qFormat/>
    <w:rPr>
      <w:rFonts w:ascii="Times New Roman" w:eastAsia="黑体" w:hAnsi="Times New Roman" w:cs="Times New Roman"/>
      <w:kern w:val="2"/>
      <w:sz w:val="24"/>
      <w:szCs w:val="24"/>
      <w:lang w:val="en-US" w:eastAsia="zh-CN" w:bidi="ar-SA"/>
    </w:rPr>
  </w:style>
  <w:style w:type="character" w:customStyle="1" w:styleId="font01">
    <w:name w:val="font01"/>
    <w:basedOn w:val="a2"/>
    <w:qFormat/>
    <w:rPr>
      <w:rFonts w:ascii="宋体" w:eastAsia="宋体" w:hAnsi="宋体" w:cs="Times New Roman" w:hint="eastAsia"/>
      <w:color w:val="000000"/>
      <w:sz w:val="24"/>
      <w:szCs w:val="24"/>
      <w:u w:val="none"/>
      <w:vertAlign w:val="superscript"/>
    </w:rPr>
  </w:style>
  <w:style w:type="character" w:customStyle="1" w:styleId="CharChar4">
    <w:name w:val="实德题注 Char Char"/>
    <w:qFormat/>
    <w:rPr>
      <w:rFonts w:ascii="Times New Roman" w:eastAsia="宋体" w:hAnsi="Times New Roman" w:cs="Times New Roman"/>
      <w:b/>
      <w:bCs/>
      <w:color w:val="000000"/>
      <w:kern w:val="21"/>
      <w:sz w:val="24"/>
      <w:szCs w:val="21"/>
      <w:lang w:val="zh-CN" w:eastAsia="zh-CN" w:bidi="ar-SA"/>
    </w:rPr>
  </w:style>
  <w:style w:type="character" w:customStyle="1" w:styleId="7Char">
    <w:name w:val="样式7 Char"/>
    <w:link w:val="71"/>
    <w:qFormat/>
    <w:rPr>
      <w:rFonts w:ascii="宋体" w:eastAsia="宋体" w:hAnsi="宋体" w:cs="Times New Roman"/>
      <w:kern w:val="2"/>
      <w:sz w:val="24"/>
      <w:szCs w:val="24"/>
      <w:lang w:val="en-US" w:eastAsia="zh-CN" w:bidi="ar-SA"/>
    </w:rPr>
  </w:style>
  <w:style w:type="paragraph" w:customStyle="1" w:styleId="71">
    <w:name w:val="样式7"/>
    <w:basedOn w:val="a1"/>
    <w:link w:val="7Char"/>
    <w:qFormat/>
    <w:pPr>
      <w:tabs>
        <w:tab w:val="left" w:pos="1021"/>
      </w:tabs>
      <w:spacing w:line="500" w:lineRule="exact"/>
      <w:ind w:firstLineChars="200" w:firstLine="480"/>
    </w:pPr>
    <w:rPr>
      <w:rFonts w:ascii="宋体" w:hAnsi="宋体"/>
      <w:sz w:val="24"/>
    </w:rPr>
  </w:style>
  <w:style w:type="character" w:customStyle="1" w:styleId="aaChar">
    <w:name w:val="aa正文 Char"/>
    <w:link w:val="aa0"/>
    <w:qFormat/>
    <w:rPr>
      <w:rFonts w:ascii="Times New Roman" w:eastAsia="宋体" w:hAnsi="Times New Roman" w:cs="Times New Roman"/>
      <w:kern w:val="2"/>
      <w:sz w:val="24"/>
      <w:szCs w:val="24"/>
      <w:lang w:val="en-US" w:eastAsia="zh-CN" w:bidi="ar-SA"/>
    </w:rPr>
  </w:style>
  <w:style w:type="paragraph" w:customStyle="1" w:styleId="aa0">
    <w:name w:val="aa正文"/>
    <w:basedOn w:val="a1"/>
    <w:link w:val="aaChar"/>
    <w:qFormat/>
    <w:pPr>
      <w:spacing w:line="360" w:lineRule="auto"/>
      <w:ind w:firstLineChars="200" w:firstLine="200"/>
    </w:pPr>
    <w:rPr>
      <w:sz w:val="24"/>
    </w:rPr>
  </w:style>
  <w:style w:type="character" w:customStyle="1" w:styleId="Char1">
    <w:name w:val="小标题 Char"/>
    <w:link w:val="afff4"/>
    <w:qFormat/>
    <w:rPr>
      <w:rFonts w:ascii="宋体" w:eastAsia="宋体" w:hAnsi="宋体" w:cs="Times New Roman"/>
      <w:b/>
      <w:kern w:val="2"/>
      <w:sz w:val="24"/>
      <w:lang w:bidi="ar-SA"/>
    </w:rPr>
  </w:style>
  <w:style w:type="paragraph" w:customStyle="1" w:styleId="afff4">
    <w:name w:val="小标题"/>
    <w:basedOn w:val="a1"/>
    <w:link w:val="Char1"/>
    <w:qFormat/>
    <w:pPr>
      <w:adjustRightInd w:val="0"/>
      <w:spacing w:before="120" w:after="120" w:line="400" w:lineRule="atLeast"/>
      <w:ind w:left="961" w:hangingChars="400" w:hanging="961"/>
      <w:jc w:val="left"/>
    </w:pPr>
    <w:rPr>
      <w:rFonts w:ascii="宋体" w:hAnsi="宋体"/>
      <w:b/>
      <w:sz w:val="24"/>
      <w:szCs w:val="20"/>
    </w:rPr>
  </w:style>
  <w:style w:type="character" w:customStyle="1" w:styleId="CharChar5">
    <w:name w:val="表格内文字 Char Char"/>
    <w:link w:val="afff5"/>
    <w:qFormat/>
    <w:rPr>
      <w:rFonts w:ascii="Times New Roman" w:eastAsia="宋体" w:hAnsi="宋体" w:cs="Times New Roman"/>
      <w:color w:val="000000"/>
      <w:sz w:val="21"/>
      <w:szCs w:val="21"/>
    </w:rPr>
  </w:style>
  <w:style w:type="paragraph" w:customStyle="1" w:styleId="afff5">
    <w:name w:val="表格内文字"/>
    <w:basedOn w:val="a1"/>
    <w:link w:val="CharChar5"/>
    <w:qFormat/>
    <w:pPr>
      <w:tabs>
        <w:tab w:val="left" w:pos="3825"/>
        <w:tab w:val="left" w:pos="4680"/>
      </w:tabs>
      <w:jc w:val="center"/>
    </w:pPr>
    <w:rPr>
      <w:rFonts w:hAnsi="宋体"/>
      <w:color w:val="000000"/>
      <w:kern w:val="0"/>
    </w:rPr>
  </w:style>
  <w:style w:type="character" w:customStyle="1" w:styleId="font21">
    <w:name w:val="font21"/>
    <w:basedOn w:val="a2"/>
    <w:qFormat/>
    <w:rPr>
      <w:rFonts w:ascii="Times New Roman" w:eastAsia="宋体" w:hAnsi="Times New Roman" w:cs="Times New Roman" w:hint="default"/>
      <w:color w:val="000000"/>
      <w:sz w:val="21"/>
      <w:szCs w:val="21"/>
      <w:u w:val="none"/>
    </w:rPr>
  </w:style>
  <w:style w:type="character" w:customStyle="1" w:styleId="16">
    <w:name w:val="16"/>
    <w:qFormat/>
    <w:rPr>
      <w:rFonts w:ascii="Times New Roman" w:eastAsia="宋体" w:hAnsi="Times New Roman" w:cs="Times New Roman" w:hint="default"/>
      <w:b/>
      <w:bCs/>
      <w:sz w:val="30"/>
      <w:szCs w:val="30"/>
    </w:rPr>
  </w:style>
  <w:style w:type="character" w:customStyle="1" w:styleId="01CharChar">
    <w:name w:val="正文01 Char Char"/>
    <w:link w:val="01"/>
    <w:qFormat/>
    <w:rPr>
      <w:rFonts w:ascii="Times New Roman" w:eastAsia="宋体" w:hAnsi="Times New Roman" w:cs="Times New Roman"/>
      <w:kern w:val="2"/>
      <w:sz w:val="24"/>
      <w:lang w:val="en-US" w:eastAsia="zh-CN" w:bidi="ar-SA"/>
    </w:rPr>
  </w:style>
  <w:style w:type="paragraph" w:customStyle="1" w:styleId="01">
    <w:name w:val="正文01"/>
    <w:basedOn w:val="a1"/>
    <w:link w:val="01CharChar"/>
    <w:qFormat/>
    <w:pPr>
      <w:spacing w:before="60" w:line="460" w:lineRule="exact"/>
      <w:ind w:firstLineChars="200" w:firstLine="200"/>
    </w:pPr>
    <w:rPr>
      <w:sz w:val="24"/>
      <w:szCs w:val="20"/>
    </w:rPr>
  </w:style>
  <w:style w:type="character" w:customStyle="1" w:styleId="font121">
    <w:name w:val="font121"/>
    <w:qFormat/>
    <w:rPr>
      <w:rFonts w:ascii="Times New Roman" w:eastAsia="宋体" w:hAnsi="Times New Roman" w:cs="Times New Roman"/>
      <w:sz w:val="18"/>
      <w:szCs w:val="18"/>
      <w:u w:val="none"/>
    </w:rPr>
  </w:style>
  <w:style w:type="character" w:customStyle="1" w:styleId="4CharChar">
    <w:name w:val="4正文 Char Char"/>
    <w:link w:val="41"/>
    <w:qFormat/>
    <w:rPr>
      <w:rFonts w:ascii="Times New Roman" w:eastAsia="宋体" w:hAnsi="Times New Roman" w:cs="宋体"/>
      <w:kern w:val="2"/>
      <w:sz w:val="24"/>
    </w:rPr>
  </w:style>
  <w:style w:type="paragraph" w:customStyle="1" w:styleId="41">
    <w:name w:val="4正文"/>
    <w:basedOn w:val="a1"/>
    <w:link w:val="4CharChar"/>
    <w:qFormat/>
    <w:pPr>
      <w:spacing w:line="360" w:lineRule="auto"/>
      <w:ind w:firstLineChars="200" w:firstLine="480"/>
    </w:pPr>
    <w:rPr>
      <w:rFonts w:cs="宋体"/>
      <w:sz w:val="24"/>
      <w:szCs w:val="20"/>
    </w:rPr>
  </w:style>
  <w:style w:type="character" w:customStyle="1" w:styleId="font41">
    <w:name w:val="font41"/>
    <w:basedOn w:val="a2"/>
    <w:qFormat/>
    <w:rPr>
      <w:rFonts w:ascii="Times New Roman" w:eastAsia="宋体" w:hAnsi="Times New Roman" w:cs="Times New Roman" w:hint="default"/>
      <w:color w:val="000000"/>
      <w:sz w:val="21"/>
      <w:szCs w:val="21"/>
      <w:u w:val="none"/>
      <w:vertAlign w:val="subscript"/>
    </w:rPr>
  </w:style>
  <w:style w:type="character" w:customStyle="1" w:styleId="0-Char">
    <w:name w:val="0-正文 Char"/>
    <w:link w:val="0-"/>
    <w:qFormat/>
    <w:rPr>
      <w:rFonts w:ascii="Times New Roman" w:eastAsia="宋体" w:hAnsi="Times New Roman" w:cs="Times New Roman"/>
      <w:kern w:val="2"/>
      <w:sz w:val="24"/>
      <w:szCs w:val="22"/>
    </w:rPr>
  </w:style>
  <w:style w:type="paragraph" w:customStyle="1" w:styleId="0-">
    <w:name w:val="0-正文"/>
    <w:basedOn w:val="a1"/>
    <w:link w:val="0-Char"/>
    <w:qFormat/>
    <w:pPr>
      <w:spacing w:line="360" w:lineRule="auto"/>
      <w:ind w:firstLineChars="200" w:firstLine="200"/>
    </w:pPr>
    <w:rPr>
      <w:sz w:val="24"/>
      <w:szCs w:val="22"/>
    </w:rPr>
  </w:style>
  <w:style w:type="character" w:customStyle="1" w:styleId="apple-converted-space">
    <w:name w:val="apple-converted-space"/>
    <w:qFormat/>
    <w:rPr>
      <w:rFonts w:ascii="Times New Roman" w:eastAsia="宋体" w:hAnsi="Times New Roman" w:cs="Times New Roman"/>
    </w:rPr>
  </w:style>
  <w:style w:type="character" w:customStyle="1" w:styleId="hover27">
    <w:name w:val="hover27"/>
    <w:qFormat/>
    <w:rPr>
      <w:rFonts w:ascii="Times New Roman" w:eastAsia="宋体" w:hAnsi="Times New Roman" w:cs="Times New Roman"/>
      <w:color w:val="FF790D"/>
    </w:rPr>
  </w:style>
  <w:style w:type="character" w:customStyle="1" w:styleId="15">
    <w:name w:val="标题1"/>
    <w:qFormat/>
    <w:rPr>
      <w:rFonts w:ascii="Times New Roman" w:eastAsia="宋体" w:hAnsi="Times New Roman" w:cs="Times New Roman"/>
    </w:rPr>
  </w:style>
  <w:style w:type="character" w:customStyle="1" w:styleId="CharChar6">
    <w:name w:val="Char Char"/>
    <w:link w:val="Char2"/>
    <w:qFormat/>
    <w:rPr>
      <w:rFonts w:ascii="宋体" w:eastAsia="宋体" w:hAnsi="宋体" w:cs="Times New Roman"/>
      <w:snapToGrid w:val="0"/>
      <w:sz w:val="32"/>
      <w:szCs w:val="24"/>
    </w:rPr>
  </w:style>
  <w:style w:type="paragraph" w:customStyle="1" w:styleId="Char2">
    <w:name w:val="Char"/>
    <w:basedOn w:val="a1"/>
    <w:next w:val="a1"/>
    <w:link w:val="CharChar6"/>
    <w:qFormat/>
    <w:pPr>
      <w:spacing w:line="620" w:lineRule="exact"/>
      <w:ind w:firstLineChars="200" w:firstLine="200"/>
    </w:pPr>
    <w:rPr>
      <w:rFonts w:ascii="宋体" w:hAnsi="宋体"/>
      <w:snapToGrid w:val="0"/>
      <w:kern w:val="0"/>
      <w:sz w:val="32"/>
    </w:rPr>
  </w:style>
  <w:style w:type="character" w:customStyle="1" w:styleId="CharCharCharChar0">
    <w:name w:val="表格文字 Char Char Char Char"/>
    <w:qFormat/>
    <w:rPr>
      <w:rFonts w:ascii="Times New Roman" w:eastAsia="宋体" w:hAnsi="Times New Roman" w:cs="Times New Roman"/>
      <w:kern w:val="2"/>
      <w:sz w:val="21"/>
      <w:szCs w:val="21"/>
    </w:rPr>
  </w:style>
  <w:style w:type="character" w:customStyle="1" w:styleId="font11">
    <w:name w:val="font11"/>
    <w:basedOn w:val="a2"/>
    <w:qFormat/>
    <w:rPr>
      <w:rFonts w:ascii="宋体" w:eastAsia="宋体" w:hAnsi="宋体" w:cs="宋体" w:hint="eastAsia"/>
      <w:color w:val="000000"/>
      <w:sz w:val="21"/>
      <w:szCs w:val="21"/>
      <w:u w:val="none"/>
      <w:vertAlign w:val="superscript"/>
    </w:rPr>
  </w:style>
  <w:style w:type="character" w:customStyle="1" w:styleId="CharChar7">
    <w:name w:val="表头文字 Char Char"/>
    <w:link w:val="afff6"/>
    <w:qFormat/>
    <w:rPr>
      <w:rFonts w:ascii="Times New Roman" w:eastAsia="黑体" w:hAnsi="Times New Roman" w:cs="Times New Roman"/>
      <w:kern w:val="2"/>
      <w:sz w:val="24"/>
      <w:szCs w:val="24"/>
    </w:rPr>
  </w:style>
  <w:style w:type="paragraph" w:customStyle="1" w:styleId="afff6">
    <w:name w:val="表头文字"/>
    <w:basedOn w:val="a1"/>
    <w:next w:val="aff2"/>
    <w:link w:val="CharChar7"/>
    <w:qFormat/>
    <w:pPr>
      <w:adjustRightInd w:val="0"/>
      <w:snapToGrid w:val="0"/>
      <w:spacing w:beforeLines="1" w:before="156" w:line="360" w:lineRule="auto"/>
      <w:jc w:val="left"/>
    </w:pPr>
    <w:rPr>
      <w:rFonts w:eastAsia="黑体"/>
      <w:sz w:val="24"/>
      <w:szCs w:val="24"/>
    </w:rPr>
  </w:style>
  <w:style w:type="character" w:customStyle="1" w:styleId="Char3">
    <w:name w:val="正文缩进 Char"/>
    <w:qFormat/>
    <w:rPr>
      <w:rFonts w:ascii="Times New Roman" w:eastAsia="宋体" w:hAnsi="Times New Roman" w:cs="Times New Roman"/>
      <w:kern w:val="2"/>
      <w:sz w:val="21"/>
      <w:lang w:val="en-US" w:eastAsia="zh-CN" w:bidi="ar-SA"/>
    </w:rPr>
  </w:style>
  <w:style w:type="character" w:customStyle="1" w:styleId="220Char">
    <w:name w:val="样式 首行缩进:  2 字符 行距: 固定值 20 磅 Char"/>
    <w:link w:val="2200"/>
    <w:qFormat/>
    <w:rPr>
      <w:rFonts w:ascii="Times New Roman" w:eastAsia="宋体" w:hAnsi="Times New Roman" w:cs="Times New Roman"/>
      <w:kern w:val="2"/>
      <w:sz w:val="24"/>
      <w:szCs w:val="24"/>
    </w:rPr>
  </w:style>
  <w:style w:type="paragraph" w:customStyle="1" w:styleId="2200">
    <w:name w:val="样式 首行缩进:  2 字符 行距: 固定值 20 磅"/>
    <w:basedOn w:val="a1"/>
    <w:link w:val="220Char"/>
    <w:qFormat/>
    <w:pPr>
      <w:spacing w:line="400" w:lineRule="exact"/>
      <w:ind w:firstLineChars="200" w:firstLine="480"/>
      <w:jc w:val="left"/>
    </w:pPr>
    <w:rPr>
      <w:sz w:val="24"/>
    </w:rPr>
  </w:style>
  <w:style w:type="character" w:customStyle="1" w:styleId="CharCharCharCharChar">
    <w:name w:val="Char Char Char Char Char"/>
    <w:qFormat/>
    <w:rPr>
      <w:rFonts w:ascii="Times New Roman" w:eastAsia="宋体" w:hAnsi="Times New Roman" w:cs="Times New Roman"/>
      <w:kern w:val="2"/>
      <w:sz w:val="21"/>
      <w:szCs w:val="24"/>
    </w:rPr>
  </w:style>
  <w:style w:type="character" w:customStyle="1" w:styleId="hover26">
    <w:name w:val="hover26"/>
    <w:qFormat/>
    <w:rPr>
      <w:rFonts w:ascii="Times New Roman" w:eastAsia="宋体" w:hAnsi="Times New Roman" w:cs="Times New Roman"/>
      <w:color w:val="FF790D"/>
    </w:rPr>
  </w:style>
  <w:style w:type="character" w:customStyle="1" w:styleId="fontstyle31">
    <w:name w:val="fontstyle31"/>
    <w:qFormat/>
    <w:rPr>
      <w:rFonts w:ascii="Times New Roman" w:eastAsia="宋体" w:hAnsi="Times New Roman" w:cs="Times New Roman" w:hint="default"/>
      <w:b/>
      <w:bCs/>
      <w:color w:val="000000"/>
      <w:sz w:val="24"/>
      <w:szCs w:val="24"/>
    </w:rPr>
  </w:style>
  <w:style w:type="character" w:customStyle="1" w:styleId="Char4">
    <w:name w:val="表头 Char"/>
    <w:qFormat/>
    <w:rPr>
      <w:rFonts w:ascii="Times New Roman" w:eastAsia="宋体" w:hAnsi="Times New Roman" w:cs="Times New Roman"/>
      <w:b/>
      <w:sz w:val="24"/>
      <w:lang w:val="en-US" w:eastAsia="zh-CN" w:bidi="ar-SA"/>
    </w:rPr>
  </w:style>
  <w:style w:type="character" w:customStyle="1" w:styleId="CharChar8">
    <w:name w:val="表格内容 Char Char"/>
    <w:link w:val="afff7"/>
    <w:qFormat/>
    <w:rPr>
      <w:rFonts w:ascii="Times New Roman" w:eastAsia="宋体" w:hAnsi="Times New Roman" w:cs="宋体"/>
      <w:iCs/>
      <w:kern w:val="2"/>
      <w:sz w:val="21"/>
      <w:szCs w:val="24"/>
    </w:rPr>
  </w:style>
  <w:style w:type="paragraph" w:customStyle="1" w:styleId="afff7">
    <w:name w:val="表格内容"/>
    <w:basedOn w:val="a1"/>
    <w:link w:val="CharChar8"/>
    <w:qFormat/>
    <w:pPr>
      <w:spacing w:line="340" w:lineRule="exact"/>
      <w:jc w:val="center"/>
    </w:pPr>
    <w:rPr>
      <w:rFonts w:cs="宋体"/>
      <w:iCs/>
    </w:rPr>
  </w:style>
  <w:style w:type="character" w:customStyle="1" w:styleId="Char5">
    <w:name w:val="纯文本 Char"/>
    <w:qFormat/>
    <w:rPr>
      <w:rFonts w:ascii="宋体" w:eastAsia="宋体" w:hAnsi="Courier New" w:cs="Times New Roman"/>
    </w:rPr>
  </w:style>
  <w:style w:type="character" w:customStyle="1" w:styleId="Char6">
    <w:name w:val="表格内文字 Char"/>
    <w:qFormat/>
    <w:rPr>
      <w:rFonts w:ascii="Times New Roman" w:eastAsia="宋体" w:hAnsi="Times New Roman" w:cs="Times New Roman"/>
      <w:snapToGrid w:val="0"/>
      <w:spacing w:val="10"/>
      <w:kern w:val="2"/>
      <w:sz w:val="21"/>
      <w:szCs w:val="21"/>
    </w:rPr>
  </w:style>
  <w:style w:type="character" w:customStyle="1" w:styleId="fontstyle21">
    <w:name w:val="fontstyle21"/>
    <w:qFormat/>
    <w:rPr>
      <w:rFonts w:ascii="Times New Roman" w:eastAsia="Times New Roman" w:hAnsi="Times New Roman" w:cs="Times New Roman" w:hint="eastAsia"/>
      <w:color w:val="000000"/>
      <w:sz w:val="22"/>
      <w:szCs w:val="22"/>
    </w:rPr>
  </w:style>
  <w:style w:type="character" w:customStyle="1" w:styleId="keyword">
    <w:name w:val="keyword"/>
    <w:qFormat/>
    <w:rPr>
      <w:rFonts w:ascii="Times New Roman" w:eastAsia="宋体" w:hAnsi="Times New Roman" w:cs="Times New Roman"/>
    </w:rPr>
  </w:style>
  <w:style w:type="character" w:customStyle="1" w:styleId="Char10">
    <w:name w:val="正文文字缩进 Char1"/>
    <w:qFormat/>
    <w:rPr>
      <w:rFonts w:ascii="Times New Roman" w:eastAsia="宋体" w:hAnsi="Times New Roman" w:cs="Times New Roman"/>
      <w:szCs w:val="24"/>
    </w:rPr>
  </w:style>
  <w:style w:type="character" w:customStyle="1" w:styleId="Char11">
    <w:name w:val="首行缩进两字 Char1"/>
    <w:qFormat/>
    <w:rPr>
      <w:rFonts w:ascii="Times New Roman" w:eastAsia="宋体" w:hAnsi="Times New Roman" w:cs="Times New Roman"/>
      <w:kern w:val="2"/>
      <w:sz w:val="21"/>
      <w:szCs w:val="24"/>
      <w:lang w:val="en-US" w:eastAsia="zh-CN" w:bidi="ar-SA"/>
    </w:rPr>
  </w:style>
  <w:style w:type="character" w:customStyle="1" w:styleId="fontstyle11">
    <w:name w:val="fontstyle11"/>
    <w:qFormat/>
    <w:rPr>
      <w:rFonts w:ascii="宋体" w:eastAsia="宋体" w:hAnsi="宋体" w:cs="Times New Roman" w:hint="eastAsia"/>
      <w:color w:val="000000"/>
      <w:sz w:val="22"/>
      <w:szCs w:val="22"/>
    </w:rPr>
  </w:style>
  <w:style w:type="character" w:customStyle="1" w:styleId="copyright1">
    <w:name w:val="copyright1"/>
    <w:qFormat/>
    <w:rPr>
      <w:rFonts w:ascii="Times New Roman" w:eastAsia="宋体" w:hAnsi="Times New Roman" w:cs="Times New Roman" w:hint="default"/>
      <w:color w:val="000000"/>
    </w:rPr>
  </w:style>
  <w:style w:type="character" w:customStyle="1" w:styleId="font31">
    <w:name w:val="font31"/>
    <w:basedOn w:val="a2"/>
    <w:qFormat/>
    <w:rPr>
      <w:rFonts w:ascii="宋体" w:eastAsia="宋体" w:hAnsi="宋体" w:cs="Times New Roman" w:hint="eastAsia"/>
      <w:color w:val="000000"/>
      <w:sz w:val="21"/>
      <w:szCs w:val="21"/>
      <w:u w:val="none"/>
    </w:rPr>
  </w:style>
  <w:style w:type="character" w:customStyle="1" w:styleId="Char7">
    <w:name w:val="表格 Char"/>
    <w:link w:val="afff8"/>
    <w:qFormat/>
    <w:rPr>
      <w:rFonts w:ascii="宋体" w:eastAsia="宋体" w:hAnsi="宋体" w:cs="Times New Roman"/>
      <w:snapToGrid w:val="0"/>
      <w:sz w:val="21"/>
      <w:lang w:val="en-US" w:eastAsia="zh-CN" w:bidi="ar-SA"/>
    </w:rPr>
  </w:style>
  <w:style w:type="paragraph" w:customStyle="1" w:styleId="afff8">
    <w:name w:val="表格"/>
    <w:basedOn w:val="afb"/>
    <w:next w:val="a1"/>
    <w:link w:val="Char7"/>
    <w:qFormat/>
    <w:pPr>
      <w:spacing w:line="380" w:lineRule="exact"/>
      <w:jc w:val="center"/>
    </w:pPr>
    <w:rPr>
      <w:rFonts w:cs="Times New Roman"/>
      <w:snapToGrid w:val="0"/>
      <w:sz w:val="21"/>
    </w:rPr>
  </w:style>
  <w:style w:type="character" w:customStyle="1" w:styleId="15Char">
    <w:name w:val="样式 (符号) 宋体 小四 行距: 1.5 倍行距 Char"/>
    <w:link w:val="150"/>
    <w:qFormat/>
    <w:rPr>
      <w:rFonts w:ascii="Times New Roman" w:eastAsia="宋体" w:hAnsi="宋体" w:cs="宋体"/>
      <w:kern w:val="2"/>
      <w:sz w:val="24"/>
      <w:lang w:val="en-US" w:eastAsia="zh-CN" w:bidi="ar-SA"/>
    </w:rPr>
  </w:style>
  <w:style w:type="paragraph" w:customStyle="1" w:styleId="150">
    <w:name w:val="样式 (符号) 宋体 小四 行距: 1.5 倍行距"/>
    <w:basedOn w:val="a1"/>
    <w:link w:val="15Char"/>
    <w:qFormat/>
    <w:pPr>
      <w:spacing w:line="360" w:lineRule="auto"/>
      <w:ind w:firstLineChars="200" w:firstLine="480"/>
    </w:pPr>
    <w:rPr>
      <w:rFonts w:hAnsi="宋体" w:cs="宋体"/>
      <w:sz w:val="24"/>
      <w:szCs w:val="20"/>
    </w:rPr>
  </w:style>
  <w:style w:type="character" w:customStyle="1" w:styleId="1CharChar">
    <w:name w:val="样式1 Char Char"/>
    <w:link w:val="17"/>
    <w:qFormat/>
    <w:rPr>
      <w:rFonts w:ascii="宋体" w:eastAsia="黑体" w:hAnsi="宋体" w:cs="宋体"/>
      <w:b/>
      <w:bCs/>
      <w:kern w:val="44"/>
      <w:sz w:val="36"/>
      <w:szCs w:val="36"/>
    </w:rPr>
  </w:style>
  <w:style w:type="paragraph" w:customStyle="1" w:styleId="17">
    <w:name w:val="样式1"/>
    <w:basedOn w:val="1"/>
    <w:link w:val="1CharChar"/>
    <w:qFormat/>
    <w:pPr>
      <w:adjustRightInd/>
      <w:snapToGrid/>
      <w:spacing w:line="576" w:lineRule="auto"/>
      <w:jc w:val="center"/>
    </w:pPr>
    <w:rPr>
      <w:rFonts w:ascii="宋体" w:hAnsi="宋体" w:cs="宋体"/>
      <w:sz w:val="36"/>
      <w:szCs w:val="36"/>
    </w:rPr>
  </w:style>
  <w:style w:type="character" w:customStyle="1" w:styleId="18">
    <w:name w:val="未处理的提及1"/>
    <w:qFormat/>
    <w:rPr>
      <w:rFonts w:ascii="Times New Roman" w:eastAsia="宋体" w:hAnsi="Times New Roman" w:cs="Times New Roman"/>
      <w:color w:val="605E5C"/>
      <w:shd w:val="clear" w:color="auto" w:fill="E1DFDD"/>
    </w:rPr>
  </w:style>
  <w:style w:type="character" w:customStyle="1" w:styleId="CharChar9">
    <w:name w:val="——大纲报告书正文 Char Char"/>
    <w:link w:val="afff9"/>
    <w:qFormat/>
    <w:rPr>
      <w:rFonts w:ascii="Times New Roman" w:eastAsia="宋体" w:hAnsi="Times New Roman" w:cs="Times New Roman"/>
      <w:kern w:val="2"/>
      <w:sz w:val="24"/>
      <w:szCs w:val="24"/>
    </w:rPr>
  </w:style>
  <w:style w:type="paragraph" w:customStyle="1" w:styleId="afff9">
    <w:name w:val="——大纲报告书正文"/>
    <w:basedOn w:val="a1"/>
    <w:link w:val="CharChar9"/>
    <w:qFormat/>
    <w:pPr>
      <w:spacing w:line="360" w:lineRule="auto"/>
      <w:ind w:firstLineChars="200" w:firstLine="200"/>
    </w:pPr>
    <w:rPr>
      <w:sz w:val="24"/>
    </w:rPr>
  </w:style>
  <w:style w:type="character" w:customStyle="1" w:styleId="CharChar90">
    <w:name w:val="Char Char9"/>
    <w:qFormat/>
    <w:rPr>
      <w:rFonts w:ascii="Times New Roman" w:eastAsia="宋体" w:hAnsi="Times New Roman" w:cs="Times New Roman"/>
      <w:sz w:val="18"/>
      <w:szCs w:val="18"/>
    </w:rPr>
  </w:style>
  <w:style w:type="character" w:customStyle="1" w:styleId="CharCharChar0">
    <w:name w:val="表文字 Char Char Char"/>
    <w:qFormat/>
    <w:rPr>
      <w:rFonts w:ascii="Times New Roman" w:eastAsia="宋体" w:hAnsi="Times New Roman" w:cs="Times New Roman"/>
      <w:sz w:val="24"/>
    </w:rPr>
  </w:style>
  <w:style w:type="character" w:customStyle="1" w:styleId="hover28">
    <w:name w:val="hover28"/>
    <w:qFormat/>
    <w:rPr>
      <w:rFonts w:ascii="Times New Roman" w:eastAsia="宋体" w:hAnsi="Times New Roman" w:cs="Times New Roman"/>
      <w:color w:val="FF790D"/>
    </w:rPr>
  </w:style>
  <w:style w:type="character" w:customStyle="1" w:styleId="jstit">
    <w:name w:val="jstit"/>
    <w:qFormat/>
    <w:rPr>
      <w:rFonts w:ascii="Times New Roman" w:eastAsia="宋体" w:hAnsi="Times New Roman" w:cs="Times New Roman"/>
      <w:b/>
      <w:color w:val="297BD3"/>
      <w:sz w:val="21"/>
      <w:szCs w:val="21"/>
    </w:rPr>
  </w:style>
  <w:style w:type="character" w:customStyle="1" w:styleId="fontstyle01">
    <w:name w:val="fontstyle01"/>
    <w:qFormat/>
    <w:rPr>
      <w:rFonts w:ascii="宋体" w:eastAsia="宋体" w:hAnsi="宋体" w:cs="Times New Roman" w:hint="eastAsia"/>
      <w:color w:val="000000"/>
      <w:sz w:val="22"/>
      <w:szCs w:val="22"/>
    </w:rPr>
  </w:style>
  <w:style w:type="character" w:customStyle="1" w:styleId="10851CharChar">
    <w:name w:val="样式 目录 1 + 首行缩进:  0.85 厘米1 Char Char"/>
    <w:link w:val="10851"/>
    <w:qFormat/>
    <w:rPr>
      <w:rFonts w:ascii="Calibri" w:eastAsia="宋体" w:hAnsi="Calibri" w:cs="宋体"/>
      <w:b/>
      <w:bCs/>
      <w:caps/>
      <w:kern w:val="2"/>
      <w:sz w:val="30"/>
      <w:lang w:val="en-US" w:eastAsia="zh-CN" w:bidi="ar-SA"/>
    </w:rPr>
  </w:style>
  <w:style w:type="paragraph" w:customStyle="1" w:styleId="10851">
    <w:name w:val="样式 目录 1 + 首行缩进:  0.85 厘米1"/>
    <w:basedOn w:val="TOC1"/>
    <w:link w:val="10851CharChar"/>
    <w:qFormat/>
    <w:pPr>
      <w:tabs>
        <w:tab w:val="right" w:leader="dot" w:pos="9323"/>
      </w:tabs>
      <w:ind w:firstLine="482"/>
      <w:jc w:val="both"/>
    </w:pPr>
    <w:rPr>
      <w:rFonts w:cs="宋体"/>
    </w:rPr>
  </w:style>
  <w:style w:type="character" w:customStyle="1" w:styleId="24Char">
    <w:name w:val="24磅正文 Char"/>
    <w:link w:val="240"/>
    <w:qFormat/>
    <w:rPr>
      <w:rFonts w:ascii="Times New Roman" w:eastAsia="宋体" w:hAnsi="Times New Roman" w:cs="Times New Roman"/>
      <w:kern w:val="2"/>
      <w:sz w:val="24"/>
    </w:rPr>
  </w:style>
  <w:style w:type="paragraph" w:customStyle="1" w:styleId="240">
    <w:name w:val="24磅正文"/>
    <w:basedOn w:val="a1"/>
    <w:link w:val="24Char"/>
    <w:qFormat/>
    <w:pPr>
      <w:spacing w:line="480" w:lineRule="exact"/>
      <w:ind w:firstLineChars="200" w:firstLine="480"/>
    </w:pPr>
    <w:rPr>
      <w:sz w:val="24"/>
      <w:szCs w:val="20"/>
    </w:rPr>
  </w:style>
  <w:style w:type="character" w:customStyle="1" w:styleId="Char8">
    <w:name w:val="文本正文 Char"/>
    <w:link w:val="afffa"/>
    <w:qFormat/>
    <w:rPr>
      <w:rFonts w:ascii="Times New Roman" w:eastAsia="宋体" w:hAnsi="Times New Roman" w:cs="Times New Roman"/>
      <w:sz w:val="24"/>
      <w:szCs w:val="24"/>
    </w:rPr>
  </w:style>
  <w:style w:type="paragraph" w:customStyle="1" w:styleId="afffa">
    <w:name w:val="文本正文"/>
    <w:basedOn w:val="a1"/>
    <w:link w:val="Char8"/>
    <w:qFormat/>
    <w:pPr>
      <w:spacing w:line="360" w:lineRule="auto"/>
      <w:ind w:firstLineChars="200" w:firstLine="200"/>
    </w:pPr>
    <w:rPr>
      <w:kern w:val="0"/>
      <w:sz w:val="24"/>
    </w:rPr>
  </w:style>
  <w:style w:type="character" w:customStyle="1" w:styleId="Char12">
    <w:name w:val="表头 Char1"/>
    <w:link w:val="afffb"/>
    <w:qFormat/>
    <w:rPr>
      <w:rFonts w:ascii="Times New Roman" w:eastAsia="宋体" w:hAnsi="宋体" w:cs="Times New Roman"/>
      <w:b/>
      <w:sz w:val="28"/>
      <w:szCs w:val="28"/>
      <w:lang w:val="en-US" w:eastAsia="zh-CN" w:bidi="ar-SA"/>
    </w:rPr>
  </w:style>
  <w:style w:type="paragraph" w:customStyle="1" w:styleId="afffb">
    <w:name w:val="表头"/>
    <w:basedOn w:val="af1"/>
    <w:link w:val="Char12"/>
    <w:qFormat/>
    <w:pPr>
      <w:adjustRightInd w:val="0"/>
      <w:snapToGrid w:val="0"/>
      <w:spacing w:beforeLines="25" w:before="78"/>
      <w:jc w:val="center"/>
      <w:textAlignment w:val="baseline"/>
    </w:pPr>
    <w:rPr>
      <w:rFonts w:ascii="Times New Roman" w:hAnsi="宋体" w:cs="Times New Roman"/>
      <w:b/>
      <w:sz w:val="28"/>
      <w:szCs w:val="28"/>
    </w:rPr>
  </w:style>
  <w:style w:type="character" w:customStyle="1" w:styleId="Char9">
    <w:name w:val="表内容 Char"/>
    <w:link w:val="afffc"/>
    <w:qFormat/>
    <w:rPr>
      <w:rFonts w:ascii="Times New Roman" w:eastAsia="宋体" w:hAnsi="Times New Roman" w:cs="Times New Roman"/>
      <w:color w:val="000000"/>
      <w:kern w:val="2"/>
      <w:sz w:val="21"/>
      <w:szCs w:val="21"/>
    </w:rPr>
  </w:style>
  <w:style w:type="paragraph" w:customStyle="1" w:styleId="afffc">
    <w:name w:val="表内容"/>
    <w:basedOn w:val="a1"/>
    <w:link w:val="Char9"/>
    <w:qFormat/>
    <w:pPr>
      <w:adjustRightInd w:val="0"/>
      <w:snapToGrid w:val="0"/>
      <w:jc w:val="center"/>
    </w:pPr>
    <w:rPr>
      <w:color w:val="000000"/>
    </w:rPr>
  </w:style>
  <w:style w:type="character" w:customStyle="1" w:styleId="1CharChar0">
    <w:name w:val="目录 1 Char Char"/>
    <w:qFormat/>
    <w:rPr>
      <w:rFonts w:ascii="Times New Roman" w:eastAsia="宋体" w:hAnsi="Times New Roman" w:cs="Times New Roman"/>
      <w:b/>
      <w:bCs/>
      <w:caps/>
      <w:kern w:val="2"/>
      <w:sz w:val="30"/>
      <w:lang w:val="en-US" w:eastAsia="zh-CN" w:bidi="ar-SA"/>
    </w:rPr>
  </w:style>
  <w:style w:type="character" w:customStyle="1" w:styleId="151">
    <w:name w:val="15"/>
    <w:qFormat/>
    <w:rPr>
      <w:rFonts w:ascii="Arial" w:eastAsia="宋体" w:hAnsi="Arial" w:cs="Arial" w:hint="default"/>
      <w:b/>
      <w:bCs/>
      <w:sz w:val="26"/>
      <w:szCs w:val="26"/>
    </w:rPr>
  </w:style>
  <w:style w:type="character" w:customStyle="1" w:styleId="TimesNewRoman58">
    <w:name w:val="正文文本 + Times New Roman58"/>
    <w:qFormat/>
    <w:rPr>
      <w:rFonts w:ascii="Times New Roman" w:eastAsia="PMingLiU-ExtB" w:hAnsi="Times New Roman" w:cs="Times New Roman"/>
      <w:b/>
      <w:bCs/>
      <w:spacing w:val="0"/>
      <w:sz w:val="20"/>
      <w:szCs w:val="20"/>
      <w:lang w:val="en-US" w:eastAsia="en-US" w:bidi="ar-SA"/>
    </w:rPr>
  </w:style>
  <w:style w:type="character" w:customStyle="1" w:styleId="Chara">
    <w:name w:val="页眉 Char"/>
    <w:qFormat/>
    <w:rPr>
      <w:rFonts w:ascii="Times New Roman" w:eastAsia="宋体" w:hAnsi="Times New Roman" w:cs="Times New Roman"/>
      <w:kern w:val="2"/>
      <w:sz w:val="18"/>
      <w:szCs w:val="18"/>
    </w:rPr>
  </w:style>
  <w:style w:type="character" w:customStyle="1" w:styleId="CharChara">
    <w:name w:val="表文字 Char Char"/>
    <w:link w:val="afffd"/>
    <w:qFormat/>
    <w:rPr>
      <w:rFonts w:ascii="Times New Roman" w:eastAsia="宋体" w:hAnsi="Times New Roman" w:cs="Times New Roman"/>
      <w:sz w:val="24"/>
    </w:rPr>
  </w:style>
  <w:style w:type="paragraph" w:customStyle="1" w:styleId="afffd">
    <w:name w:val="表文字"/>
    <w:basedOn w:val="a1"/>
    <w:link w:val="CharChara"/>
    <w:qFormat/>
    <w:pPr>
      <w:overflowPunct w:val="0"/>
      <w:autoSpaceDE w:val="0"/>
      <w:autoSpaceDN w:val="0"/>
      <w:adjustRightInd w:val="0"/>
      <w:spacing w:line="240" w:lineRule="atLeast"/>
      <w:jc w:val="center"/>
      <w:textAlignment w:val="baseline"/>
    </w:pPr>
    <w:rPr>
      <w:sz w:val="24"/>
    </w:rPr>
  </w:style>
  <w:style w:type="character" w:customStyle="1" w:styleId="Charb">
    <w:name w:val="表格样式 Char"/>
    <w:link w:val="afffe"/>
    <w:qFormat/>
    <w:rPr>
      <w:rFonts w:ascii="Times New Roman" w:eastAsia="宋体" w:hAnsi="Times New Roman" w:cs="Times New Roman"/>
      <w:kern w:val="2"/>
      <w:sz w:val="28"/>
      <w:szCs w:val="24"/>
      <w:lang w:val="en-US" w:eastAsia="zh-CN" w:bidi="ar-SA"/>
    </w:rPr>
  </w:style>
  <w:style w:type="paragraph" w:customStyle="1" w:styleId="afffe">
    <w:name w:val="表格样式"/>
    <w:basedOn w:val="a1"/>
    <w:link w:val="Charb"/>
    <w:qFormat/>
    <w:pPr>
      <w:adjustRightInd w:val="0"/>
      <w:snapToGrid w:val="0"/>
      <w:jc w:val="center"/>
    </w:pPr>
    <w:rPr>
      <w:sz w:val="28"/>
    </w:rPr>
  </w:style>
  <w:style w:type="character" w:customStyle="1" w:styleId="Char1CharChar">
    <w:name w:val="Char1 Char Char"/>
    <w:link w:val="Char13"/>
    <w:qFormat/>
    <w:rPr>
      <w:rFonts w:ascii="Times New Roman" w:eastAsia="宋体" w:hAnsi="Times New Roman" w:cs="Times New Roman"/>
      <w:kern w:val="2"/>
      <w:sz w:val="24"/>
      <w:szCs w:val="24"/>
      <w:lang w:val="en-US" w:eastAsia="zh-CN" w:bidi="ar-SA"/>
    </w:rPr>
  </w:style>
  <w:style w:type="paragraph" w:customStyle="1" w:styleId="Char13">
    <w:name w:val="Char1"/>
    <w:basedOn w:val="a1"/>
    <w:link w:val="Char1CharChar"/>
    <w:qFormat/>
    <w:pPr>
      <w:snapToGrid w:val="0"/>
      <w:spacing w:line="360" w:lineRule="auto"/>
      <w:ind w:firstLineChars="200" w:firstLine="200"/>
    </w:pPr>
    <w:rPr>
      <w:sz w:val="24"/>
    </w:rPr>
  </w:style>
  <w:style w:type="paragraph" w:customStyle="1" w:styleId="p15">
    <w:name w:val="p15"/>
    <w:basedOn w:val="a1"/>
    <w:qFormat/>
    <w:pPr>
      <w:widowControl/>
      <w:spacing w:after="120"/>
      <w:ind w:firstLine="210"/>
    </w:pPr>
    <w:rPr>
      <w:kern w:val="0"/>
    </w:rPr>
  </w:style>
  <w:style w:type="paragraph" w:customStyle="1" w:styleId="biaoge">
    <w:name w:val="biaoge"/>
    <w:basedOn w:val="a1"/>
    <w:qFormat/>
    <w:pPr>
      <w:autoSpaceDE w:val="0"/>
      <w:autoSpaceDN w:val="0"/>
      <w:adjustRightInd w:val="0"/>
      <w:jc w:val="center"/>
    </w:pPr>
    <w:rPr>
      <w:rFonts w:cs="宋体"/>
    </w:rPr>
  </w:style>
  <w:style w:type="paragraph" w:customStyle="1" w:styleId="hb3">
    <w:name w:val="hb3"/>
    <w:basedOn w:val="3"/>
    <w:qFormat/>
    <w:pPr>
      <w:numPr>
        <w:ilvl w:val="0"/>
      </w:numPr>
      <w:tabs>
        <w:tab w:val="left" w:pos="720"/>
      </w:tabs>
      <w:jc w:val="left"/>
      <w:textAlignment w:val="baseline"/>
    </w:pPr>
    <w:rPr>
      <w:kern w:val="0"/>
      <w:sz w:val="24"/>
      <w:szCs w:val="24"/>
    </w:rPr>
  </w:style>
  <w:style w:type="paragraph" w:customStyle="1" w:styleId="Char2CharCharCharCharCharChar">
    <w:name w:val="Char2 Char Char Char Char Char Char"/>
    <w:basedOn w:val="a1"/>
    <w:qFormat/>
    <w:pPr>
      <w:autoSpaceDE w:val="0"/>
      <w:autoSpaceDN w:val="0"/>
      <w:adjustRightInd w:val="0"/>
      <w:snapToGrid w:val="0"/>
      <w:spacing w:before="50" w:after="50" w:line="360" w:lineRule="auto"/>
      <w:ind w:firstLineChars="200" w:firstLine="560"/>
    </w:pPr>
  </w:style>
  <w:style w:type="paragraph" w:customStyle="1" w:styleId="CharCharCharCharCharChar3CharCharCharCharCharCharChar">
    <w:name w:val="Char Char Char Char Char Char3 Char Char Char Char Char Char Char"/>
    <w:basedOn w:val="a1"/>
    <w:next w:val="a1"/>
    <w:qFormat/>
  </w:style>
  <w:style w:type="paragraph" w:customStyle="1" w:styleId="affff">
    <w:name w:val="环评书正文"/>
    <w:basedOn w:val="a1"/>
    <w:qFormat/>
    <w:pPr>
      <w:adjustRightInd w:val="0"/>
      <w:snapToGrid w:val="0"/>
      <w:spacing w:line="500" w:lineRule="exact"/>
      <w:ind w:firstLineChars="200" w:firstLine="480"/>
    </w:pPr>
    <w:rPr>
      <w:sz w:val="24"/>
    </w:rPr>
  </w:style>
  <w:style w:type="paragraph" w:customStyle="1" w:styleId="xl64">
    <w:name w:val="xl64"/>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4"/>
    </w:rPr>
  </w:style>
  <w:style w:type="paragraph" w:customStyle="1" w:styleId="p18">
    <w:name w:val="p18"/>
    <w:basedOn w:val="a1"/>
    <w:qFormat/>
    <w:pPr>
      <w:widowControl/>
      <w:spacing w:before="60" w:after="60" w:line="360" w:lineRule="auto"/>
      <w:ind w:firstLine="420"/>
    </w:pPr>
    <w:rPr>
      <w:kern w:val="0"/>
      <w:sz w:val="24"/>
    </w:rPr>
  </w:style>
  <w:style w:type="paragraph" w:customStyle="1" w:styleId="Normal65aae0be-b457-4657-b313-49607eb50e17">
    <w:name w:val="Normal_65aae0be-b457-4657-b313-49607eb50e17"/>
    <w:qFormat/>
    <w:pPr>
      <w:jc w:val="both"/>
    </w:pPr>
    <w:rPr>
      <w:kern w:val="2"/>
      <w:sz w:val="21"/>
      <w:szCs w:val="21"/>
    </w:rPr>
  </w:style>
  <w:style w:type="paragraph" w:customStyle="1" w:styleId="font5">
    <w:name w:val="font5"/>
    <w:basedOn w:val="a1"/>
    <w:qFormat/>
    <w:pPr>
      <w:widowControl/>
      <w:spacing w:before="100" w:beforeAutospacing="1" w:after="100" w:afterAutospacing="1"/>
      <w:jc w:val="left"/>
    </w:pPr>
    <w:rPr>
      <w:rFonts w:ascii="Tahoma" w:hAnsi="Tahoma" w:cs="Tahoma"/>
      <w:kern w:val="0"/>
      <w:sz w:val="18"/>
      <w:szCs w:val="18"/>
    </w:rPr>
  </w:style>
  <w:style w:type="paragraph" w:customStyle="1" w:styleId="affff0">
    <w:name w:val="小四不加粗"/>
    <w:basedOn w:val="a1"/>
    <w:qFormat/>
    <w:pPr>
      <w:widowControl/>
      <w:spacing w:line="360" w:lineRule="auto"/>
      <w:ind w:firstLineChars="200" w:firstLine="200"/>
      <w:jc w:val="left"/>
    </w:pPr>
    <w:rPr>
      <w:sz w:val="24"/>
    </w:rPr>
  </w:style>
  <w:style w:type="paragraph" w:customStyle="1" w:styleId="affff1">
    <w:name w:val="罗英样式"/>
    <w:basedOn w:val="a1"/>
    <w:qFormat/>
    <w:pPr>
      <w:spacing w:line="500" w:lineRule="exact"/>
      <w:ind w:firstLineChars="200" w:firstLine="200"/>
    </w:pPr>
    <w:rPr>
      <w:rFonts w:ascii="宋体" w:hAnsi="宋体"/>
      <w:sz w:val="24"/>
    </w:rPr>
  </w:style>
  <w:style w:type="paragraph" w:customStyle="1" w:styleId="19">
    <w:name w:val="正文1"/>
    <w:basedOn w:val="a1"/>
    <w:link w:val="NormalCharChar"/>
    <w:qFormat/>
    <w:pPr>
      <w:autoSpaceDE w:val="0"/>
      <w:autoSpaceDN w:val="0"/>
      <w:spacing w:line="360" w:lineRule="auto"/>
      <w:ind w:firstLineChars="200" w:firstLine="200"/>
      <w:jc w:val="left"/>
      <w:textAlignment w:val="baseline"/>
    </w:pPr>
    <w:rPr>
      <w:snapToGrid w:val="0"/>
      <w:kern w:val="0"/>
      <w:sz w:val="24"/>
      <w:szCs w:val="20"/>
    </w:rPr>
  </w:style>
  <w:style w:type="paragraph" w:customStyle="1" w:styleId="xl63">
    <w:name w:val="xl63"/>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4"/>
    </w:rPr>
  </w:style>
  <w:style w:type="paragraph" w:customStyle="1" w:styleId="affff2">
    <w:name w:val="表内式样"/>
    <w:qFormat/>
    <w:pPr>
      <w:widowControl w:val="0"/>
      <w:spacing w:line="360" w:lineRule="exact"/>
      <w:jc w:val="center"/>
    </w:pPr>
    <w:rPr>
      <w:rFonts w:ascii="宋体" w:hAnsi="宋体"/>
      <w:color w:val="000000"/>
      <w:kern w:val="2"/>
      <w:sz w:val="21"/>
      <w:szCs w:val="24"/>
    </w:rPr>
  </w:style>
  <w:style w:type="paragraph" w:customStyle="1" w:styleId="252525">
    <w:name w:val="样式 样式 样式 首行缩进 + 首行缩进:  2.5 字符 + 首行缩进:  2.5 字符 + 首行缩进:  2.5 字符"/>
    <w:basedOn w:val="a1"/>
    <w:qFormat/>
    <w:pPr>
      <w:spacing w:line="360" w:lineRule="auto"/>
      <w:ind w:firstLineChars="200" w:firstLine="200"/>
    </w:pPr>
    <w:rPr>
      <w:rFonts w:cs="宋体"/>
      <w:sz w:val="24"/>
      <w:szCs w:val="20"/>
    </w:rPr>
  </w:style>
  <w:style w:type="paragraph" w:customStyle="1" w:styleId="26">
    <w:name w:val="样式2"/>
    <w:basedOn w:val="a1"/>
    <w:qFormat/>
    <w:pPr>
      <w:ind w:firstLineChars="200" w:firstLine="600"/>
    </w:pPr>
    <w:rPr>
      <w:rFonts w:ascii="宋体" w:hAnsi="宋体" w:cs="宋体"/>
      <w:sz w:val="32"/>
      <w:szCs w:val="32"/>
    </w:rPr>
  </w:style>
  <w:style w:type="paragraph" w:customStyle="1" w:styleId="ListParagraph1">
    <w:name w:val="List Paragraph1"/>
    <w:basedOn w:val="a1"/>
    <w:qFormat/>
    <w:pPr>
      <w:ind w:firstLineChars="200" w:firstLine="420"/>
    </w:pPr>
    <w:rPr>
      <w:rFonts w:ascii="Calibri" w:hAnsi="Calibri"/>
    </w:rPr>
  </w:style>
  <w:style w:type="paragraph" w:customStyle="1" w:styleId="p16">
    <w:name w:val="p16"/>
    <w:basedOn w:val="a1"/>
    <w:qFormat/>
    <w:pPr>
      <w:widowControl/>
      <w:spacing w:line="360" w:lineRule="auto"/>
      <w:ind w:firstLine="420"/>
    </w:pPr>
    <w:rPr>
      <w:kern w:val="0"/>
      <w:sz w:val="24"/>
    </w:rPr>
  </w:style>
  <w:style w:type="paragraph" w:customStyle="1" w:styleId="CharChar3CharCharCharCharChar2CharCharCharChar">
    <w:name w:val="Char Char3 Char Char Char Char Char2 Char Char Char Char"/>
    <w:basedOn w:val="a9"/>
    <w:qFormat/>
    <w:pPr>
      <w:shd w:val="clear" w:color="auto" w:fill="000080"/>
      <w:adjustRightInd w:val="0"/>
      <w:snapToGrid w:val="0"/>
      <w:spacing w:line="360" w:lineRule="auto"/>
    </w:pPr>
    <w:rPr>
      <w:rFonts w:ascii="Tahoma" w:hAnsi="Tahoma"/>
      <w:sz w:val="28"/>
      <w:szCs w:val="24"/>
    </w:rPr>
  </w:style>
  <w:style w:type="paragraph" w:customStyle="1" w:styleId="affff3">
    <w:name w:val="流程图"/>
    <w:basedOn w:val="a1"/>
    <w:qFormat/>
    <w:pPr>
      <w:tabs>
        <w:tab w:val="left" w:pos="0"/>
      </w:tabs>
      <w:autoSpaceDE w:val="0"/>
      <w:autoSpaceDN w:val="0"/>
      <w:adjustRightInd w:val="0"/>
      <w:spacing w:line="240" w:lineRule="atLeast"/>
      <w:jc w:val="center"/>
      <w:textAlignment w:val="bottom"/>
    </w:pPr>
    <w:rPr>
      <w:rFonts w:ascii="宋体"/>
      <w:szCs w:val="20"/>
    </w:rPr>
  </w:style>
  <w:style w:type="paragraph" w:customStyle="1" w:styleId="27">
    <w:name w:val="表格文字2"/>
    <w:basedOn w:val="a1"/>
    <w:qFormat/>
    <w:pPr>
      <w:tabs>
        <w:tab w:val="left" w:pos="277"/>
        <w:tab w:val="left" w:pos="600"/>
        <w:tab w:val="left" w:pos="780"/>
        <w:tab w:val="left" w:pos="2517"/>
      </w:tabs>
      <w:adjustRightInd w:val="0"/>
      <w:spacing w:before="60"/>
      <w:textAlignment w:val="baseline"/>
    </w:pPr>
    <w:rPr>
      <w:kern w:val="0"/>
      <w:szCs w:val="20"/>
    </w:rPr>
  </w:style>
  <w:style w:type="paragraph" w:customStyle="1" w:styleId="29">
    <w:name w:val="标题2"/>
    <w:basedOn w:val="2"/>
    <w:next w:val="2"/>
    <w:qFormat/>
    <w:pPr>
      <w:keepNext w:val="0"/>
      <w:keepLines w:val="0"/>
      <w:tabs>
        <w:tab w:val="left" w:pos="576"/>
        <w:tab w:val="left" w:pos="891"/>
      </w:tabs>
      <w:spacing w:line="540" w:lineRule="exact"/>
    </w:pPr>
    <w:rPr>
      <w:rFonts w:ascii="宋体" w:hAnsi="宋体" w:cs="宋体"/>
      <w:sz w:val="28"/>
      <w:szCs w:val="20"/>
    </w:rPr>
  </w:style>
  <w:style w:type="paragraph" w:customStyle="1" w:styleId="affff4">
    <w:name w:val="正文对的"/>
    <w:basedOn w:val="a1"/>
    <w:qFormat/>
    <w:pPr>
      <w:snapToGrid w:val="0"/>
      <w:spacing w:line="480" w:lineRule="exact"/>
      <w:ind w:firstLineChars="200" w:firstLine="472"/>
    </w:pPr>
    <w:rPr>
      <w:rFonts w:ascii="宋体" w:hAnsi="宋体" w:cs="宋体"/>
      <w:spacing w:val="-2"/>
      <w:sz w:val="24"/>
    </w:rPr>
  </w:style>
  <w:style w:type="paragraph" w:customStyle="1" w:styleId="152">
    <w:name w:val="样式 样式 (符号) 宋体 小四 行距: 1.5 倍行距 + 首行缩进:  2 字符"/>
    <w:basedOn w:val="150"/>
    <w:qFormat/>
    <w:pPr>
      <w:ind w:firstLine="456"/>
    </w:pPr>
    <w:rPr>
      <w:rFonts w:hAnsi="Times New Roman" w:cs="Times New Roman"/>
    </w:rPr>
  </w:style>
  <w:style w:type="paragraph" w:customStyle="1" w:styleId="affff5">
    <w:name w:val="——大纲报告书一级标题"/>
    <w:basedOn w:val="a1"/>
    <w:qFormat/>
    <w:pPr>
      <w:spacing w:line="360" w:lineRule="auto"/>
      <w:jc w:val="left"/>
      <w:outlineLvl w:val="0"/>
    </w:pPr>
    <w:rPr>
      <w:b/>
      <w:bCs/>
      <w:sz w:val="44"/>
      <w:szCs w:val="44"/>
    </w:rPr>
  </w:style>
  <w:style w:type="paragraph" w:customStyle="1" w:styleId="1a">
    <w:name w:val="表头样式1"/>
    <w:basedOn w:val="a1"/>
    <w:qFormat/>
    <w:pPr>
      <w:spacing w:before="240" w:after="120" w:line="380" w:lineRule="atLeast"/>
      <w:jc w:val="center"/>
    </w:pPr>
    <w:rPr>
      <w:rFonts w:eastAsia="黑体"/>
      <w:b/>
      <w:sz w:val="24"/>
      <w:szCs w:val="20"/>
    </w:rPr>
  </w:style>
  <w:style w:type="paragraph" w:customStyle="1" w:styleId="320">
    <w:name w:val="表格 32"/>
    <w:basedOn w:val="a1"/>
    <w:qFormat/>
    <w:pPr>
      <w:autoSpaceDE w:val="0"/>
      <w:autoSpaceDN w:val="0"/>
      <w:adjustRightInd w:val="0"/>
      <w:jc w:val="center"/>
      <w:textAlignment w:val="baseline"/>
    </w:pPr>
    <w:rPr>
      <w:kern w:val="0"/>
    </w:rPr>
  </w:style>
  <w:style w:type="paragraph" w:customStyle="1" w:styleId="affff6">
    <w:name w:val="图表头"/>
    <w:basedOn w:val="a1"/>
    <w:qFormat/>
    <w:pPr>
      <w:adjustRightInd w:val="0"/>
      <w:spacing w:line="360" w:lineRule="auto"/>
      <w:jc w:val="center"/>
      <w:textAlignment w:val="baseline"/>
    </w:pPr>
    <w:rPr>
      <w:rFonts w:ascii="黑体" w:eastAsia="黑体"/>
      <w:spacing w:val="5"/>
      <w:kern w:val="0"/>
      <w:szCs w:val="20"/>
    </w:rPr>
  </w:style>
  <w:style w:type="paragraph" w:customStyle="1" w:styleId="120">
    <w:name w:val="表1表2"/>
    <w:basedOn w:val="a1"/>
    <w:qFormat/>
    <w:pPr>
      <w:autoSpaceDE w:val="0"/>
      <w:autoSpaceDN w:val="0"/>
      <w:adjustRightInd w:val="0"/>
      <w:jc w:val="center"/>
      <w:textAlignment w:val="center"/>
    </w:pPr>
    <w:rPr>
      <w:kern w:val="0"/>
    </w:rPr>
  </w:style>
  <w:style w:type="paragraph" w:customStyle="1" w:styleId="CharChar1CharCharCharCharCharCharCharCharCharCharCharCharCharCharCharCharCharCharCharChar1Char">
    <w:name w:val="Char Char1 Char Char Char Char Char Char Char Char Char Char Char Char Char Char Char Char Char Char Char Char1 Char"/>
    <w:basedOn w:val="a1"/>
    <w:qFormat/>
    <w:pPr>
      <w:spacing w:line="360" w:lineRule="auto"/>
      <w:ind w:firstLineChars="200" w:firstLine="200"/>
    </w:pPr>
  </w:style>
  <w:style w:type="paragraph" w:customStyle="1" w:styleId="CharCharCharCharCharCharCharCharCharChar">
    <w:name w:val="Char Char Char Char Char Char Char Char Char Char"/>
    <w:basedOn w:val="a1"/>
    <w:qFormat/>
    <w:rPr>
      <w:rFonts w:ascii="黑体" w:eastAsia="黑体" w:hAnsi="黑体"/>
      <w:b/>
      <w:spacing w:val="10"/>
      <w:sz w:val="28"/>
      <w:szCs w:val="20"/>
    </w:rPr>
  </w:style>
  <w:style w:type="paragraph" w:customStyle="1" w:styleId="00">
    <w:name w:val="00正文"/>
    <w:basedOn w:val="a1"/>
    <w:qFormat/>
    <w:pPr>
      <w:adjustRightInd w:val="0"/>
      <w:snapToGrid w:val="0"/>
      <w:spacing w:line="360" w:lineRule="auto"/>
      <w:ind w:firstLineChars="200" w:firstLine="200"/>
    </w:pPr>
    <w:rPr>
      <w:rFonts w:ascii="隶书" w:hAnsi="隶书" w:cs="隶书"/>
      <w:sz w:val="24"/>
    </w:rPr>
  </w:style>
  <w:style w:type="paragraph" w:customStyle="1" w:styleId="affff7">
    <w:name w:val="环龙公司文本正文"/>
    <w:qFormat/>
    <w:pPr>
      <w:widowControl w:val="0"/>
      <w:spacing w:line="360" w:lineRule="auto"/>
      <w:ind w:firstLineChars="200" w:firstLine="200"/>
      <w:jc w:val="both"/>
    </w:pPr>
    <w:rPr>
      <w:kern w:val="2"/>
      <w:sz w:val="24"/>
      <w:szCs w:val="24"/>
    </w:rPr>
  </w:style>
  <w:style w:type="paragraph" w:customStyle="1" w:styleId="affff8">
    <w:name w:val="表格标题"/>
    <w:basedOn w:val="a1"/>
    <w:link w:val="Charc"/>
    <w:qFormat/>
    <w:pPr>
      <w:spacing w:before="120"/>
      <w:jc w:val="center"/>
    </w:pPr>
    <w:rPr>
      <w:sz w:val="24"/>
      <w:szCs w:val="20"/>
    </w:rPr>
  </w:style>
  <w:style w:type="paragraph" w:customStyle="1" w:styleId="p19">
    <w:name w:val="p19"/>
    <w:basedOn w:val="a1"/>
    <w:qFormat/>
    <w:pPr>
      <w:widowControl/>
      <w:spacing w:before="60" w:line="460" w:lineRule="atLeast"/>
      <w:ind w:firstLine="420"/>
    </w:pPr>
    <w:rPr>
      <w:kern w:val="0"/>
      <w:sz w:val="24"/>
    </w:rPr>
  </w:style>
  <w:style w:type="paragraph" w:customStyle="1" w:styleId="affff9">
    <w:name w:val="样式 表格 + 两端对齐"/>
    <w:basedOn w:val="afff8"/>
    <w:qFormat/>
    <w:pPr>
      <w:widowControl w:val="0"/>
      <w:adjustRightInd w:val="0"/>
      <w:snapToGrid w:val="0"/>
      <w:spacing w:line="240" w:lineRule="atLeast"/>
    </w:pPr>
    <w:rPr>
      <w:rFonts w:ascii="Arial" w:hAnsi="Arial" w:cs="Arial"/>
      <w:snapToGrid/>
      <w:kern w:val="2"/>
    </w:rPr>
  </w:style>
  <w:style w:type="paragraph" w:customStyle="1" w:styleId="affffa">
    <w:name w:val="样式 居中"/>
    <w:basedOn w:val="a1"/>
    <w:qFormat/>
    <w:pPr>
      <w:spacing w:line="360" w:lineRule="auto"/>
      <w:jc w:val="center"/>
    </w:pPr>
    <w:rPr>
      <w:rFonts w:cs="宋体"/>
      <w:sz w:val="24"/>
    </w:rPr>
  </w:style>
  <w:style w:type="paragraph" w:customStyle="1" w:styleId="affffb">
    <w:name w:val="报告正文"/>
    <w:basedOn w:val="a1"/>
    <w:qFormat/>
    <w:pPr>
      <w:adjustRightInd w:val="0"/>
      <w:snapToGrid w:val="0"/>
      <w:spacing w:line="360" w:lineRule="auto"/>
      <w:ind w:firstLineChars="200" w:firstLine="200"/>
    </w:pPr>
    <w:rPr>
      <w:rFonts w:ascii="宋体"/>
      <w:sz w:val="24"/>
      <w:szCs w:val="20"/>
    </w:rPr>
  </w:style>
  <w:style w:type="paragraph" w:customStyle="1" w:styleId="affffc">
    <w:name w:val="我的正文"/>
    <w:basedOn w:val="a5"/>
    <w:link w:val="CharCharChar1"/>
    <w:qFormat/>
    <w:pPr>
      <w:adjustRightInd/>
      <w:spacing w:line="240" w:lineRule="auto"/>
      <w:ind w:leftChars="0" w:left="0" w:firstLine="200"/>
      <w:jc w:val="both"/>
    </w:pPr>
    <w:rPr>
      <w:kern w:val="21"/>
      <w:sz w:val="28"/>
      <w:szCs w:val="28"/>
    </w:rPr>
  </w:style>
  <w:style w:type="paragraph" w:customStyle="1" w:styleId="787815">
    <w:name w:val="样式 小四 加粗 段前: 7.8 磅 段后: 7.8 磅 行距: 1.5 倍行距"/>
    <w:basedOn w:val="a1"/>
    <w:qFormat/>
    <w:pPr>
      <w:spacing w:beforeLines="1" w:afterLines="1" w:line="360" w:lineRule="auto"/>
    </w:pPr>
    <w:rPr>
      <w:rFonts w:cs="宋体"/>
      <w:b/>
      <w:bCs/>
      <w:sz w:val="24"/>
    </w:rPr>
  </w:style>
  <w:style w:type="paragraph" w:customStyle="1" w:styleId="affffd">
    <w:name w:val="正文文字"/>
    <w:basedOn w:val="a1"/>
    <w:qFormat/>
    <w:pPr>
      <w:spacing w:line="300" w:lineRule="auto"/>
      <w:ind w:firstLineChars="200" w:firstLine="200"/>
    </w:pPr>
    <w:rPr>
      <w:sz w:val="24"/>
    </w:rPr>
  </w:style>
  <w:style w:type="paragraph" w:customStyle="1" w:styleId="CharChar3CharChar">
    <w:name w:val="Char Char3 Char Char"/>
    <w:basedOn w:val="a1"/>
    <w:qFormat/>
    <w:pPr>
      <w:spacing w:line="360" w:lineRule="auto"/>
    </w:pPr>
    <w:rPr>
      <w:sz w:val="24"/>
      <w:szCs w:val="20"/>
    </w:rPr>
  </w:style>
  <w:style w:type="paragraph" w:customStyle="1" w:styleId="affffe">
    <w:name w:val="环正文"/>
    <w:basedOn w:val="a1"/>
    <w:qFormat/>
    <w:pPr>
      <w:widowControl/>
      <w:suppressAutoHyphens/>
      <w:adjustRightInd w:val="0"/>
      <w:spacing w:line="312" w:lineRule="atLeast"/>
      <w:ind w:rightChars="100" w:right="210" w:firstLineChars="200" w:firstLine="560"/>
      <w:textAlignment w:val="baseline"/>
    </w:pPr>
    <w:rPr>
      <w:rFonts w:ascii="宋体" w:hAnsi="宋体"/>
      <w:kern w:val="0"/>
      <w:sz w:val="28"/>
      <w:szCs w:val="20"/>
    </w:rPr>
  </w:style>
  <w:style w:type="paragraph" w:customStyle="1" w:styleId="p0">
    <w:name w:val="p0"/>
    <w:basedOn w:val="a1"/>
    <w:qFormat/>
    <w:pPr>
      <w:widowControl/>
      <w:spacing w:before="100" w:beforeAutospacing="1" w:after="100" w:afterAutospacing="1"/>
      <w:jc w:val="left"/>
    </w:pPr>
    <w:rPr>
      <w:rFonts w:ascii="宋体" w:hAnsi="宋体" w:cs="宋体"/>
      <w:kern w:val="0"/>
      <w:sz w:val="24"/>
    </w:rPr>
  </w:style>
  <w:style w:type="paragraph" w:customStyle="1" w:styleId="G1">
    <w:name w:val="G样式1"/>
    <w:basedOn w:val="a1"/>
    <w:qFormat/>
    <w:pPr>
      <w:spacing w:line="480" w:lineRule="exact"/>
      <w:ind w:firstLineChars="200" w:firstLine="200"/>
    </w:pPr>
    <w:rPr>
      <w:rFonts w:ascii="Calibri" w:hAnsi="Calibri"/>
      <w:sz w:val="28"/>
      <w:szCs w:val="28"/>
    </w:rPr>
  </w:style>
  <w:style w:type="paragraph" w:customStyle="1" w:styleId="G">
    <w:name w:val="G（正文）"/>
    <w:basedOn w:val="a1"/>
    <w:qFormat/>
    <w:pPr>
      <w:spacing w:line="480" w:lineRule="exact"/>
      <w:ind w:firstLineChars="200" w:firstLine="200"/>
    </w:pPr>
    <w:rPr>
      <w:sz w:val="28"/>
      <w:szCs w:val="28"/>
    </w:rPr>
  </w:style>
  <w:style w:type="paragraph" w:customStyle="1" w:styleId="TableParagraph">
    <w:name w:val="Table Paragraph"/>
    <w:basedOn w:val="a1"/>
    <w:qFormat/>
    <w:pPr>
      <w:autoSpaceDE w:val="0"/>
      <w:autoSpaceDN w:val="0"/>
      <w:jc w:val="left"/>
    </w:pPr>
    <w:rPr>
      <w:rFonts w:ascii="宋体" w:hAnsi="宋体" w:cs="宋体"/>
      <w:kern w:val="0"/>
      <w:sz w:val="22"/>
      <w:szCs w:val="22"/>
      <w:lang w:val="zh-CN"/>
    </w:rPr>
  </w:style>
  <w:style w:type="paragraph" w:styleId="afffff">
    <w:name w:val="List Paragraph"/>
    <w:basedOn w:val="a1"/>
    <w:link w:val="afffff0"/>
    <w:qFormat/>
    <w:pPr>
      <w:ind w:firstLineChars="200" w:firstLine="420"/>
    </w:pPr>
  </w:style>
  <w:style w:type="paragraph" w:customStyle="1" w:styleId="Style155">
    <w:name w:val="_Style 155"/>
    <w:basedOn w:val="a1"/>
    <w:next w:val="afffff"/>
    <w:qFormat/>
    <w:pPr>
      <w:ind w:firstLineChars="200" w:firstLine="420"/>
    </w:pPr>
    <w:rPr>
      <w:szCs w:val="20"/>
    </w:rPr>
  </w:style>
  <w:style w:type="paragraph" w:customStyle="1" w:styleId="afffff1">
    <w:name w:val="表头样式"/>
    <w:basedOn w:val="a1"/>
    <w:next w:val="a1"/>
    <w:qFormat/>
    <w:pPr>
      <w:widowControl/>
      <w:adjustRightInd w:val="0"/>
      <w:snapToGrid w:val="0"/>
      <w:spacing w:line="360" w:lineRule="auto"/>
      <w:jc w:val="center"/>
    </w:pPr>
    <w:rPr>
      <w:sz w:val="24"/>
    </w:rPr>
  </w:style>
  <w:style w:type="paragraph" w:customStyle="1" w:styleId="CharCharCharCharCharCharCharCharCharChar1">
    <w:name w:val="Char Char Char Char Char Char Char Char Char Char1"/>
    <w:basedOn w:val="a1"/>
    <w:qFormat/>
    <w:pPr>
      <w:widowControl/>
      <w:spacing w:after="160" w:line="240" w:lineRule="exact"/>
      <w:jc w:val="left"/>
    </w:pPr>
  </w:style>
  <w:style w:type="paragraph" w:customStyle="1" w:styleId="Style226">
    <w:name w:val="_Style 226"/>
    <w:basedOn w:val="1"/>
    <w:next w:val="a1"/>
    <w:qFormat/>
    <w:pPr>
      <w:widowControl/>
      <w:tabs>
        <w:tab w:val="left" w:pos="432"/>
      </w:tabs>
      <w:adjustRightInd/>
      <w:snapToGrid/>
      <w:spacing w:before="480" w:line="276" w:lineRule="auto"/>
      <w:outlineLvl w:val="9"/>
    </w:pPr>
    <w:rPr>
      <w:rFonts w:ascii="Cambria" w:hAnsi="Cambria"/>
      <w:color w:val="365F91"/>
      <w:kern w:val="0"/>
      <w:sz w:val="28"/>
      <w:szCs w:val="28"/>
    </w:rPr>
  </w:style>
  <w:style w:type="paragraph" w:customStyle="1" w:styleId="afffff2">
    <w:name w:val="表头编号"/>
    <w:basedOn w:val="a1"/>
    <w:qFormat/>
    <w:pPr>
      <w:tabs>
        <w:tab w:val="left" w:pos="1021"/>
      </w:tabs>
      <w:spacing w:before="60"/>
      <w:jc w:val="left"/>
    </w:pPr>
    <w:rPr>
      <w:rFonts w:eastAsia="黑体"/>
      <w:kern w:val="24"/>
      <w:sz w:val="24"/>
    </w:rPr>
  </w:style>
  <w:style w:type="paragraph" w:customStyle="1" w:styleId="afffff3">
    <w:name w:val="表格式"/>
    <w:basedOn w:val="afb"/>
    <w:qFormat/>
    <w:pPr>
      <w:widowControl w:val="0"/>
      <w:spacing w:before="0" w:beforeAutospacing="0" w:after="0" w:afterAutospacing="0" w:line="400" w:lineRule="exact"/>
      <w:jc w:val="center"/>
    </w:pPr>
    <w:rPr>
      <w:rFonts w:ascii="Times New Roman" w:hAnsi="Calibri" w:cs="Times New Roman"/>
      <w:kern w:val="2"/>
      <w:sz w:val="21"/>
      <w:szCs w:val="22"/>
    </w:rPr>
  </w:style>
  <w:style w:type="paragraph" w:customStyle="1" w:styleId="afffff4">
    <w:name w:val="特殊标题３"/>
    <w:basedOn w:val="a1"/>
    <w:qFormat/>
    <w:pPr>
      <w:overflowPunct w:val="0"/>
      <w:autoSpaceDE w:val="0"/>
      <w:autoSpaceDN w:val="0"/>
      <w:adjustRightInd w:val="0"/>
      <w:spacing w:line="360" w:lineRule="auto"/>
      <w:textAlignment w:val="baseline"/>
    </w:pPr>
    <w:rPr>
      <w:kern w:val="0"/>
      <w:sz w:val="28"/>
      <w:szCs w:val="20"/>
    </w:rPr>
  </w:style>
  <w:style w:type="paragraph" w:customStyle="1" w:styleId="CharChar1Char1CharCharCharCharCharChar">
    <w:name w:val="Char Char1 Char1 Char Char Char Char Char Char"/>
    <w:basedOn w:val="a1"/>
    <w:qFormat/>
    <w:pPr>
      <w:spacing w:line="360" w:lineRule="auto"/>
      <w:ind w:right="14" w:firstLineChars="200" w:firstLine="720"/>
      <w:jc w:val="left"/>
    </w:pPr>
    <w:rPr>
      <w:sz w:val="24"/>
      <w:szCs w:val="20"/>
    </w:rPr>
  </w:style>
  <w:style w:type="paragraph" w:customStyle="1" w:styleId="1-1">
    <w:name w:val="正文1-1"/>
    <w:basedOn w:val="a1"/>
    <w:qFormat/>
    <w:pPr>
      <w:tabs>
        <w:tab w:val="left" w:pos="5520"/>
        <w:tab w:val="left" w:pos="6360"/>
      </w:tabs>
      <w:adjustRightInd w:val="0"/>
      <w:snapToGrid w:val="0"/>
      <w:spacing w:line="360" w:lineRule="auto"/>
      <w:ind w:firstLineChars="200" w:firstLine="480"/>
    </w:pPr>
    <w:rPr>
      <w:rFonts w:hAnsi="华文仿宋"/>
      <w:color w:val="000000"/>
      <w:sz w:val="24"/>
      <w:szCs w:val="24"/>
    </w:rPr>
  </w:style>
  <w:style w:type="paragraph" w:customStyle="1" w:styleId="ParaChar">
    <w:name w:val="默认段落字体 Para Char"/>
    <w:basedOn w:val="a1"/>
    <w:qFormat/>
    <w:pPr>
      <w:spacing w:line="360" w:lineRule="auto"/>
      <w:ind w:firstLineChars="200" w:firstLine="200"/>
    </w:pPr>
    <w:rPr>
      <w:szCs w:val="20"/>
    </w:rPr>
  </w:style>
  <w:style w:type="paragraph" w:customStyle="1" w:styleId="CharCharChar1CharCharCharCharCharCharCharCharCharChar">
    <w:name w:val="Char Char Char1 Char Char Char Char Char Char Char Char Char Char"/>
    <w:basedOn w:val="a1"/>
    <w:qFormat/>
  </w:style>
  <w:style w:type="paragraph" w:customStyle="1" w:styleId="CharCharb">
    <w:name w:val="正文 Char Char"/>
    <w:basedOn w:val="a1"/>
    <w:qFormat/>
    <w:pPr>
      <w:spacing w:before="93" w:after="93" w:line="360" w:lineRule="auto"/>
      <w:ind w:leftChars="1" w:left="120" w:firstLineChars="200" w:firstLine="480"/>
    </w:pPr>
    <w:rPr>
      <w:rFonts w:cs="宋体"/>
      <w:sz w:val="24"/>
    </w:rPr>
  </w:style>
  <w:style w:type="paragraph" w:customStyle="1" w:styleId="15TimesNewRoman">
    <w:name w:val="样式 样式 (符号) 宋体 小四 行距: 1.5 倍行距 + (符号) Times New Roman 上标"/>
    <w:basedOn w:val="150"/>
    <w:qFormat/>
    <w:pPr>
      <w:spacing w:line="480" w:lineRule="exact"/>
      <w:ind w:firstLine="200"/>
    </w:pPr>
    <w:rPr>
      <w:rFonts w:hAnsi="Times New Roman" w:cs="Times New Roman"/>
    </w:rPr>
  </w:style>
  <w:style w:type="paragraph" w:customStyle="1" w:styleId="CharCharCharChar1">
    <w:name w:val="Char Char Char Char"/>
    <w:basedOn w:val="a1"/>
    <w:qFormat/>
    <w:rPr>
      <w:rFonts w:ascii="Calibri" w:hAnsi="Calibri"/>
      <w:szCs w:val="22"/>
    </w:rPr>
  </w:style>
  <w:style w:type="paragraph" w:customStyle="1" w:styleId="2a">
    <w:name w:val="正文缩进2"/>
    <w:basedOn w:val="a1"/>
    <w:qFormat/>
    <w:pPr>
      <w:ind w:firstLine="420"/>
    </w:pPr>
    <w:rPr>
      <w:kern w:val="0"/>
      <w:sz w:val="20"/>
      <w:szCs w:val="20"/>
    </w:rPr>
  </w:style>
  <w:style w:type="paragraph" w:customStyle="1" w:styleId="2b">
    <w:name w:val="样式 首行缩进:  2 字符"/>
    <w:basedOn w:val="a1"/>
    <w:qFormat/>
    <w:pPr>
      <w:autoSpaceDE w:val="0"/>
      <w:autoSpaceDN w:val="0"/>
      <w:adjustRightInd w:val="0"/>
      <w:snapToGrid w:val="0"/>
      <w:spacing w:line="440" w:lineRule="exact"/>
      <w:ind w:firstLineChars="200" w:firstLine="480"/>
    </w:pPr>
    <w:rPr>
      <w:kern w:val="0"/>
      <w:sz w:val="24"/>
    </w:rPr>
  </w:style>
  <w:style w:type="paragraph" w:customStyle="1" w:styleId="afffff5">
    <w:name w:val="正本文字"/>
    <w:basedOn w:val="a1"/>
    <w:qFormat/>
    <w:pPr>
      <w:adjustRightInd w:val="0"/>
      <w:snapToGrid w:val="0"/>
      <w:spacing w:line="360" w:lineRule="auto"/>
      <w:ind w:firstLineChars="200" w:firstLine="480"/>
      <w:jc w:val="left"/>
    </w:pPr>
    <w:rPr>
      <w:kern w:val="18"/>
      <w:sz w:val="24"/>
    </w:rPr>
  </w:style>
  <w:style w:type="paragraph" w:customStyle="1" w:styleId="reader-word-layerreader-word-s5-4">
    <w:name w:val="reader-word-layer reader-word-s5-4"/>
    <w:basedOn w:val="a1"/>
    <w:qFormat/>
    <w:pPr>
      <w:widowControl/>
      <w:spacing w:before="100" w:beforeAutospacing="1" w:after="100" w:afterAutospacing="1"/>
      <w:jc w:val="left"/>
    </w:pPr>
    <w:rPr>
      <w:rFonts w:ascii="宋体" w:hAnsi="宋体" w:cs="宋体"/>
      <w:kern w:val="0"/>
      <w:sz w:val="24"/>
    </w:rPr>
  </w:style>
  <w:style w:type="paragraph" w:customStyle="1" w:styleId="afffff6">
    <w:name w:val="——大纲报告书表格标题"/>
    <w:basedOn w:val="a1"/>
    <w:qFormat/>
    <w:pPr>
      <w:jc w:val="center"/>
      <w:outlineLvl w:val="8"/>
    </w:pPr>
    <w:rPr>
      <w:b/>
      <w:bCs/>
    </w:rPr>
  </w:style>
  <w:style w:type="paragraph" w:customStyle="1" w:styleId="33">
    <w:name w:val="——报告书3级标题"/>
    <w:basedOn w:val="a1"/>
    <w:qFormat/>
    <w:pPr>
      <w:spacing w:before="100" w:beforeAutospacing="1" w:after="100" w:afterAutospacing="1" w:line="360" w:lineRule="auto"/>
      <w:ind w:left="1418" w:hanging="567"/>
      <w:outlineLvl w:val="2"/>
    </w:pPr>
    <w:rPr>
      <w:b/>
      <w:bCs/>
      <w:sz w:val="28"/>
      <w:szCs w:val="28"/>
    </w:rPr>
  </w:style>
  <w:style w:type="paragraph" w:customStyle="1" w:styleId="p17">
    <w:name w:val="p17"/>
    <w:basedOn w:val="a1"/>
    <w:qFormat/>
    <w:pPr>
      <w:widowControl/>
      <w:spacing w:after="120" w:line="480" w:lineRule="auto"/>
    </w:pPr>
    <w:rPr>
      <w:kern w:val="0"/>
    </w:rPr>
  </w:style>
  <w:style w:type="paragraph" w:customStyle="1" w:styleId="61">
    <w:name w:val="样式6"/>
    <w:basedOn w:val="a1"/>
    <w:qFormat/>
    <w:pPr>
      <w:spacing w:line="520" w:lineRule="exact"/>
      <w:ind w:firstLineChars="200" w:firstLine="200"/>
    </w:pPr>
    <w:rPr>
      <w:rFonts w:ascii="宋体" w:hAnsi="宋体" w:cs="宋体"/>
      <w:b/>
      <w:bCs/>
      <w:spacing w:val="10"/>
      <w:sz w:val="28"/>
      <w:szCs w:val="28"/>
    </w:rPr>
  </w:style>
  <w:style w:type="paragraph" w:customStyle="1" w:styleId="CharChar3CharCharCharChar">
    <w:name w:val="Char Char3 Char Char Char Char"/>
    <w:basedOn w:val="a1"/>
    <w:next w:val="a1"/>
    <w:qFormat/>
    <w:pPr>
      <w:spacing w:line="360" w:lineRule="auto"/>
      <w:ind w:firstLineChars="200" w:firstLine="200"/>
    </w:pPr>
    <w:rPr>
      <w:sz w:val="28"/>
      <w:szCs w:val="28"/>
    </w:rPr>
  </w:style>
  <w:style w:type="paragraph" w:customStyle="1" w:styleId="1b">
    <w:name w:val="表格内容1"/>
    <w:basedOn w:val="a1"/>
    <w:qFormat/>
    <w:pPr>
      <w:snapToGrid w:val="0"/>
      <w:jc w:val="center"/>
    </w:pPr>
  </w:style>
  <w:style w:type="paragraph" w:customStyle="1" w:styleId="CharCharCharCharCharCharChar">
    <w:name w:val="Char Char Char Char Char Char Char"/>
    <w:basedOn w:val="a1"/>
    <w:qFormat/>
  </w:style>
  <w:style w:type="paragraph" w:customStyle="1" w:styleId="afffff7">
    <w:name w:val="环表头"/>
    <w:basedOn w:val="affffe"/>
    <w:qFormat/>
    <w:pPr>
      <w:spacing w:line="360" w:lineRule="exact"/>
      <w:ind w:rightChars="0" w:right="0" w:firstLineChars="0" w:firstLine="0"/>
      <w:jc w:val="center"/>
    </w:pPr>
    <w:rPr>
      <w:rFonts w:ascii="Times New Roman" w:eastAsia="黑体" w:hAnsi="Times New Roman"/>
      <w:sz w:val="24"/>
      <w:szCs w:val="24"/>
    </w:rPr>
  </w:style>
  <w:style w:type="paragraph" w:customStyle="1" w:styleId="Char20">
    <w:name w:val="Char2"/>
    <w:basedOn w:val="a1"/>
    <w:qFormat/>
    <w:rPr>
      <w:szCs w:val="20"/>
    </w:rPr>
  </w:style>
  <w:style w:type="paragraph" w:customStyle="1" w:styleId="afffff8">
    <w:name w:val="样式 首行缩进"/>
    <w:basedOn w:val="a1"/>
    <w:qFormat/>
    <w:pPr>
      <w:spacing w:before="60" w:after="60" w:line="360" w:lineRule="auto"/>
      <w:ind w:firstLineChars="200" w:firstLine="480"/>
    </w:pPr>
    <w:rPr>
      <w:rFonts w:cs="宋体"/>
      <w:sz w:val="24"/>
      <w:szCs w:val="20"/>
    </w:rPr>
  </w:style>
  <w:style w:type="paragraph" w:customStyle="1" w:styleId="2c">
    <w:name w:val="——报告书2级标题"/>
    <w:basedOn w:val="a1"/>
    <w:qFormat/>
    <w:pPr>
      <w:spacing w:before="100" w:beforeAutospacing="1" w:after="100" w:afterAutospacing="1" w:line="360" w:lineRule="auto"/>
      <w:outlineLvl w:val="1"/>
    </w:pPr>
    <w:rPr>
      <w:b/>
      <w:bCs/>
      <w:sz w:val="32"/>
      <w:szCs w:val="32"/>
    </w:rPr>
  </w:style>
  <w:style w:type="paragraph" w:customStyle="1" w:styleId="pic-info">
    <w:name w:val="pic-info"/>
    <w:basedOn w:val="a1"/>
    <w:qFormat/>
    <w:pPr>
      <w:widowControl/>
      <w:spacing w:before="100" w:beforeAutospacing="1" w:after="100" w:afterAutospacing="1"/>
      <w:jc w:val="left"/>
    </w:pPr>
    <w:rPr>
      <w:rFonts w:ascii="宋体" w:hAnsi="宋体" w:cs="宋体"/>
      <w:kern w:val="0"/>
      <w:sz w:val="24"/>
    </w:rPr>
  </w:style>
  <w:style w:type="paragraph" w:customStyle="1" w:styleId="afffff9">
    <w:name w:val="小三"/>
    <w:basedOn w:val="a1"/>
    <w:qFormat/>
    <w:pPr>
      <w:spacing w:line="360" w:lineRule="auto"/>
      <w:ind w:firstLineChars="200" w:firstLine="480"/>
    </w:pPr>
    <w:rPr>
      <w:rFonts w:ascii="宋体" w:hAnsi="宋体" w:cs="宋体"/>
      <w:sz w:val="24"/>
    </w:rPr>
  </w:style>
  <w:style w:type="paragraph" w:customStyle="1" w:styleId="Style6">
    <w:name w:val="_Style 6"/>
    <w:basedOn w:val="a1"/>
    <w:qFormat/>
    <w:pPr>
      <w:spacing w:line="360" w:lineRule="auto"/>
      <w:ind w:firstLineChars="200" w:firstLine="200"/>
    </w:pPr>
  </w:style>
  <w:style w:type="paragraph" w:customStyle="1" w:styleId="afffffa">
    <w:name w:val="表名"/>
    <w:basedOn w:val="a1"/>
    <w:link w:val="Chard"/>
    <w:qFormat/>
    <w:pPr>
      <w:adjustRightInd w:val="0"/>
      <w:ind w:firstLineChars="100" w:firstLine="100"/>
      <w:jc w:val="left"/>
    </w:pPr>
    <w:rPr>
      <w:rFonts w:ascii="Arial" w:eastAsia="黑体" w:hAnsi="Arial"/>
      <w:snapToGrid w:val="0"/>
      <w:kern w:val="0"/>
    </w:rPr>
  </w:style>
  <w:style w:type="paragraph" w:customStyle="1" w:styleId="2d">
    <w:name w:val="表格2"/>
    <w:basedOn w:val="a1"/>
    <w:next w:val="a1"/>
    <w:qFormat/>
    <w:pPr>
      <w:keepNext/>
      <w:autoSpaceDE w:val="0"/>
      <w:autoSpaceDN w:val="0"/>
      <w:adjustRightInd w:val="0"/>
      <w:jc w:val="center"/>
      <w:textAlignment w:val="baseline"/>
    </w:pPr>
    <w:rPr>
      <w:rFonts w:ascii="宋体" w:cs="宋体"/>
      <w:kern w:val="0"/>
      <w:position w:val="-28"/>
    </w:rPr>
  </w:style>
  <w:style w:type="paragraph" w:customStyle="1" w:styleId="gyy">
    <w:name w:val="gyy正文文字"/>
    <w:basedOn w:val="a1"/>
    <w:qFormat/>
    <w:pPr>
      <w:spacing w:line="360" w:lineRule="auto"/>
      <w:ind w:firstLine="471"/>
    </w:pPr>
    <w:rPr>
      <w:rFonts w:ascii="Calibri" w:hAnsi="Calibri" w:cs="宋体"/>
      <w:color w:val="000000"/>
      <w:spacing w:val="14"/>
      <w:sz w:val="24"/>
      <w:szCs w:val="22"/>
    </w:rPr>
  </w:style>
  <w:style w:type="paragraph" w:customStyle="1" w:styleId="afffffb">
    <w:name w:val="正文小四"/>
    <w:basedOn w:val="a1"/>
    <w:qFormat/>
    <w:pPr>
      <w:spacing w:line="460" w:lineRule="exact"/>
      <w:ind w:firstLineChars="200" w:firstLine="600"/>
    </w:pPr>
    <w:rPr>
      <w:rFonts w:ascii="宋体" w:hAnsi="宋体"/>
      <w:spacing w:val="30"/>
      <w:kern w:val="24"/>
      <w:sz w:val="24"/>
    </w:rPr>
  </w:style>
  <w:style w:type="paragraph" w:customStyle="1" w:styleId="afffffc">
    <w:name w:val="五号"/>
    <w:next w:val="afffffd"/>
    <w:qFormat/>
    <w:pPr>
      <w:jc w:val="center"/>
    </w:pPr>
    <w:rPr>
      <w:b/>
      <w:kern w:val="2"/>
      <w:sz w:val="21"/>
      <w:szCs w:val="22"/>
    </w:rPr>
  </w:style>
  <w:style w:type="paragraph" w:customStyle="1" w:styleId="afffffd">
    <w:name w:val="五号加粗"/>
    <w:qFormat/>
    <w:pPr>
      <w:jc w:val="center"/>
    </w:pPr>
    <w:rPr>
      <w:b/>
      <w:kern w:val="2"/>
      <w:sz w:val="21"/>
      <w:szCs w:val="22"/>
    </w:rPr>
  </w:style>
  <w:style w:type="paragraph" w:customStyle="1" w:styleId="1c">
    <w:name w:val="样式 标题 1 + 加粗"/>
    <w:qFormat/>
    <w:pPr>
      <w:widowControl w:val="0"/>
      <w:spacing w:line="360" w:lineRule="auto"/>
      <w:ind w:firstLineChars="200" w:firstLine="1044"/>
      <w:jc w:val="both"/>
      <w:outlineLvl w:val="0"/>
    </w:pPr>
    <w:rPr>
      <w:rFonts w:ascii="宋体" w:hAnsi="宋体"/>
      <w:b/>
      <w:bCs/>
      <w:kern w:val="36"/>
      <w:sz w:val="24"/>
      <w:szCs w:val="48"/>
    </w:rPr>
  </w:style>
  <w:style w:type="paragraph" w:customStyle="1" w:styleId="2e">
    <w:name w:val="正文文本 (2)"/>
    <w:qFormat/>
    <w:pPr>
      <w:widowControl w:val="0"/>
      <w:shd w:val="clear" w:color="auto" w:fill="FFFFFF"/>
      <w:spacing w:before="400" w:after="160" w:line="566" w:lineRule="exact"/>
      <w:ind w:firstLineChars="200" w:firstLine="1044"/>
      <w:jc w:val="distribute"/>
    </w:pPr>
    <w:rPr>
      <w:rFonts w:ascii="PMingLiU-ExtB" w:eastAsia="PMingLiU-ExtB" w:hAnsi="PMingLiU-ExtB" w:cs="PMingLiU-ExtB"/>
      <w:kern w:val="2"/>
      <w:sz w:val="22"/>
      <w:szCs w:val="22"/>
    </w:rPr>
  </w:style>
  <w:style w:type="paragraph" w:customStyle="1" w:styleId="112">
    <w:name w:val="样式 正文11 + 首行缩进:  2 字符"/>
    <w:qFormat/>
    <w:pPr>
      <w:widowControl w:val="0"/>
      <w:spacing w:line="500" w:lineRule="exact"/>
      <w:ind w:firstLineChars="200" w:firstLine="560"/>
      <w:jc w:val="both"/>
    </w:pPr>
    <w:rPr>
      <w:rFonts w:ascii="宋体" w:hAnsi="宋体" w:cs="宋体"/>
      <w:b/>
      <w:color w:val="FF0000"/>
      <w:kern w:val="2"/>
      <w:sz w:val="28"/>
    </w:rPr>
  </w:style>
  <w:style w:type="paragraph" w:customStyle="1" w:styleId="1d">
    <w:name w:val="表1 五号"/>
    <w:next w:val="a1"/>
    <w:qFormat/>
    <w:pPr>
      <w:widowControl w:val="0"/>
      <w:adjustRightInd w:val="0"/>
      <w:snapToGrid w:val="0"/>
      <w:spacing w:line="360" w:lineRule="auto"/>
      <w:ind w:firstLineChars="200" w:firstLine="1044"/>
      <w:jc w:val="center"/>
    </w:pPr>
    <w:rPr>
      <w:kern w:val="2"/>
      <w:sz w:val="24"/>
      <w:szCs w:val="24"/>
      <w:lang w:val="zh-CN"/>
    </w:rPr>
  </w:style>
  <w:style w:type="character" w:customStyle="1" w:styleId="110">
    <w:name w:val="标题11"/>
    <w:qFormat/>
    <w:rPr>
      <w:rFonts w:ascii="Times New Roman" w:eastAsia="宋体" w:hAnsi="Times New Roman" w:cs="Times New Roman"/>
    </w:rPr>
  </w:style>
  <w:style w:type="paragraph" w:customStyle="1" w:styleId="CharCharCharCharCharCharCharCharChar">
    <w:name w:val="Char Char Char Char Char Char Char Char Char"/>
    <w:basedOn w:val="a1"/>
    <w:qFormat/>
    <w:rPr>
      <w:szCs w:val="20"/>
    </w:rPr>
  </w:style>
  <w:style w:type="paragraph" w:customStyle="1" w:styleId="92">
    <w:name w:val="标题9"/>
    <w:next w:val="a1"/>
    <w:qFormat/>
    <w:pPr>
      <w:adjustRightInd w:val="0"/>
      <w:snapToGrid w:val="0"/>
      <w:spacing w:line="360" w:lineRule="auto"/>
      <w:jc w:val="center"/>
    </w:pPr>
    <w:rPr>
      <w:rFonts w:ascii="Calibri" w:eastAsia="黑体" w:hAnsi="Calibri"/>
      <w:sz w:val="21"/>
    </w:rPr>
  </w:style>
  <w:style w:type="paragraph" w:customStyle="1" w:styleId="n">
    <w:name w:val="正文n"/>
    <w:basedOn w:val="2f"/>
    <w:qFormat/>
    <w:pPr>
      <w:adjustRightInd/>
      <w:ind w:firstLine="200"/>
    </w:pPr>
    <w:rPr>
      <w:rFonts w:cs="Times New Roman"/>
    </w:rPr>
  </w:style>
  <w:style w:type="paragraph" w:customStyle="1" w:styleId="2f">
    <w:name w:val="正文2"/>
    <w:basedOn w:val="a1"/>
    <w:qFormat/>
    <w:pPr>
      <w:adjustRightInd w:val="0"/>
      <w:snapToGrid w:val="0"/>
      <w:spacing w:line="360" w:lineRule="auto"/>
      <w:ind w:firstLineChars="200" w:firstLine="480"/>
      <w:jc w:val="left"/>
    </w:pPr>
    <w:rPr>
      <w:rFonts w:cs="宋体"/>
      <w:color w:val="000000"/>
    </w:rPr>
  </w:style>
  <w:style w:type="paragraph" w:customStyle="1" w:styleId="125">
    <w:name w:val="样式 首行缩进:  1 厘米 行距: 固定值 25 磅"/>
    <w:qFormat/>
    <w:pPr>
      <w:widowControl w:val="0"/>
      <w:adjustRightInd w:val="0"/>
      <w:spacing w:line="360" w:lineRule="auto"/>
      <w:ind w:firstLineChars="200" w:firstLine="200"/>
      <w:textAlignment w:val="baseline"/>
    </w:pPr>
    <w:rPr>
      <w:rFonts w:ascii="宋体" w:cs="宋体"/>
      <w:snapToGrid w:val="0"/>
      <w:kern w:val="24"/>
      <w:sz w:val="24"/>
      <w:szCs w:val="24"/>
    </w:rPr>
  </w:style>
  <w:style w:type="character" w:customStyle="1" w:styleId="main1">
    <w:name w:val="main1"/>
    <w:qFormat/>
    <w:rPr>
      <w:rFonts w:ascii="Times New Roman" w:eastAsia="宋体" w:hAnsi="Times New Roman" w:cs="Times New Roman"/>
    </w:rPr>
  </w:style>
  <w:style w:type="character" w:customStyle="1" w:styleId="font51">
    <w:name w:val="font51"/>
    <w:basedOn w:val="a2"/>
    <w:qFormat/>
    <w:rPr>
      <w:rFonts w:ascii="宋体" w:eastAsia="宋体" w:hAnsi="宋体" w:cs="宋体" w:hint="eastAsia"/>
      <w:color w:val="000000"/>
      <w:sz w:val="21"/>
      <w:szCs w:val="21"/>
      <w:u w:val="none"/>
    </w:rPr>
  </w:style>
  <w:style w:type="paragraph" w:customStyle="1" w:styleId="afffffe">
    <w:name w:val="表内文字"/>
    <w:basedOn w:val="a1"/>
    <w:qFormat/>
    <w:pPr>
      <w:tabs>
        <w:tab w:val="left" w:pos="900"/>
        <w:tab w:val="left" w:pos="1080"/>
      </w:tabs>
      <w:adjustRightInd w:val="0"/>
      <w:snapToGrid w:val="0"/>
      <w:jc w:val="center"/>
    </w:pPr>
    <w:rPr>
      <w:rFonts w:eastAsia="Times New Roman"/>
    </w:rPr>
  </w:style>
  <w:style w:type="character" w:customStyle="1" w:styleId="font71">
    <w:name w:val="font71"/>
    <w:basedOn w:val="a2"/>
    <w:qFormat/>
    <w:rPr>
      <w:rFonts w:ascii="宋体" w:eastAsia="宋体" w:hAnsi="宋体" w:cs="宋体" w:hint="eastAsia"/>
      <w:color w:val="000000"/>
      <w:sz w:val="21"/>
      <w:szCs w:val="21"/>
      <w:u w:val="none"/>
    </w:rPr>
  </w:style>
  <w:style w:type="character" w:customStyle="1" w:styleId="font61">
    <w:name w:val="font61"/>
    <w:basedOn w:val="a2"/>
    <w:qFormat/>
    <w:rPr>
      <w:rFonts w:ascii="宋体" w:eastAsia="宋体" w:hAnsi="宋体" w:cs="宋体" w:hint="eastAsia"/>
      <w:color w:val="000000"/>
      <w:sz w:val="21"/>
      <w:szCs w:val="21"/>
      <w:u w:val="none"/>
    </w:rPr>
  </w:style>
  <w:style w:type="character" w:customStyle="1" w:styleId="font81">
    <w:name w:val="font81"/>
    <w:qFormat/>
    <w:rPr>
      <w:rFonts w:ascii="Times New Roman" w:eastAsia="宋体" w:hAnsi="Times New Roman" w:cs="Times New Roman" w:hint="default"/>
      <w:color w:val="000000"/>
      <w:sz w:val="21"/>
      <w:szCs w:val="21"/>
      <w:u w:val="none"/>
      <w:vertAlign w:val="superscript"/>
    </w:rPr>
  </w:style>
  <w:style w:type="character" w:customStyle="1" w:styleId="font91">
    <w:name w:val="font91"/>
    <w:qFormat/>
    <w:rPr>
      <w:rFonts w:ascii="Times New Roman" w:eastAsia="宋体" w:hAnsi="Times New Roman" w:cs="Times New Roman" w:hint="default"/>
      <w:color w:val="000000"/>
      <w:sz w:val="21"/>
      <w:szCs w:val="21"/>
      <w:u w:val="none"/>
      <w:vertAlign w:val="superscript"/>
    </w:rPr>
  </w:style>
  <w:style w:type="character" w:customStyle="1" w:styleId="font101">
    <w:name w:val="font101"/>
    <w:qFormat/>
    <w:rPr>
      <w:rFonts w:ascii="宋体" w:eastAsia="宋体" w:hAnsi="宋体" w:cs="宋体" w:hint="eastAsia"/>
      <w:b/>
      <w:bCs/>
      <w:color w:val="000000"/>
      <w:sz w:val="32"/>
      <w:szCs w:val="32"/>
      <w:u w:val="none"/>
    </w:rPr>
  </w:style>
  <w:style w:type="character" w:customStyle="1" w:styleId="font112">
    <w:name w:val="font112"/>
    <w:qFormat/>
    <w:rPr>
      <w:rFonts w:ascii="宋体" w:eastAsia="宋体" w:hAnsi="宋体" w:cs="宋体" w:hint="eastAsia"/>
      <w:b/>
      <w:bCs/>
      <w:color w:val="000000"/>
      <w:sz w:val="24"/>
      <w:szCs w:val="24"/>
      <w:u w:val="none"/>
    </w:rPr>
  </w:style>
  <w:style w:type="character" w:customStyle="1" w:styleId="font131">
    <w:name w:val="font131"/>
    <w:qFormat/>
    <w:rPr>
      <w:rFonts w:ascii="Times New Roman" w:eastAsia="宋体" w:hAnsi="Times New Roman" w:cs="Times New Roman" w:hint="default"/>
      <w:color w:val="000000"/>
      <w:sz w:val="22"/>
      <w:szCs w:val="22"/>
      <w:u w:val="none"/>
    </w:rPr>
  </w:style>
  <w:style w:type="character" w:customStyle="1" w:styleId="font141">
    <w:name w:val="font141"/>
    <w:qFormat/>
    <w:rPr>
      <w:rFonts w:ascii="宋体" w:eastAsia="宋体" w:hAnsi="宋体" w:cs="宋体" w:hint="eastAsia"/>
      <w:b/>
      <w:bCs/>
      <w:color w:val="000000"/>
      <w:sz w:val="22"/>
      <w:szCs w:val="22"/>
      <w:u w:val="none"/>
    </w:rPr>
  </w:style>
  <w:style w:type="character" w:customStyle="1" w:styleId="font151">
    <w:name w:val="font151"/>
    <w:qFormat/>
    <w:rPr>
      <w:rFonts w:ascii="Times New Roman" w:eastAsia="宋体" w:hAnsi="Times New Roman" w:cs="Times New Roman" w:hint="default"/>
      <w:b/>
      <w:bCs/>
      <w:color w:val="000000"/>
      <w:sz w:val="22"/>
      <w:szCs w:val="22"/>
      <w:u w:val="none"/>
    </w:rPr>
  </w:style>
  <w:style w:type="paragraph" w:customStyle="1" w:styleId="affffff">
    <w:name w:val="表格标题新"/>
    <w:basedOn w:val="afff5"/>
    <w:qFormat/>
    <w:pPr>
      <w:tabs>
        <w:tab w:val="left" w:pos="0"/>
      </w:tabs>
      <w:spacing w:beforeLines="1"/>
      <w:ind w:firstLine="562"/>
    </w:pPr>
    <w:rPr>
      <w:rFonts w:eastAsia="黑体" w:hAnsi="Times New Roman"/>
      <w:b/>
      <w:snapToGrid w:val="0"/>
    </w:rPr>
  </w:style>
  <w:style w:type="table" w:customStyle="1" w:styleId="TableNormal">
    <w:name w:val="Table Normal"/>
    <w:qFormat/>
    <w:tblPr>
      <w:tblCellMar>
        <w:top w:w="0" w:type="dxa"/>
        <w:left w:w="0" w:type="dxa"/>
        <w:bottom w:w="0" w:type="dxa"/>
        <w:right w:w="0" w:type="dxa"/>
      </w:tblCellMar>
    </w:tblPr>
  </w:style>
  <w:style w:type="paragraph" w:customStyle="1" w:styleId="affffff0">
    <w:name w:val="图表名"/>
    <w:basedOn w:val="a1"/>
    <w:qFormat/>
    <w:pPr>
      <w:spacing w:line="300" w:lineRule="exact"/>
      <w:jc w:val="center"/>
    </w:pPr>
    <w:rPr>
      <w:rFonts w:eastAsia="黑体"/>
      <w:b/>
      <w:kern w:val="0"/>
      <w:szCs w:val="20"/>
    </w:rPr>
  </w:style>
  <w:style w:type="paragraph" w:customStyle="1" w:styleId="CharChar20">
    <w:name w:val="Char Char2"/>
    <w:basedOn w:val="a1"/>
    <w:qFormat/>
    <w:rPr>
      <w:szCs w:val="20"/>
    </w:rPr>
  </w:style>
  <w:style w:type="paragraph" w:customStyle="1" w:styleId="ParaCharCharCharCharCharCharChar">
    <w:name w:val="默认段落字体 Para Char Char Char Char Char Char Char"/>
    <w:basedOn w:val="a1"/>
    <w:qFormat/>
    <w:pPr>
      <w:adjustRightInd w:val="0"/>
      <w:spacing w:line="360" w:lineRule="auto"/>
      <w:ind w:left="200" w:hangingChars="200" w:hanging="200"/>
      <w:textAlignment w:val="baseline"/>
    </w:pPr>
    <w:rPr>
      <w:kern w:val="0"/>
      <w:sz w:val="24"/>
      <w:szCs w:val="20"/>
    </w:rPr>
  </w:style>
  <w:style w:type="paragraph" w:customStyle="1" w:styleId="affffff1">
    <w:name w:val="表号"/>
    <w:qFormat/>
    <w:pPr>
      <w:adjustRightInd w:val="0"/>
      <w:snapToGrid w:val="0"/>
      <w:spacing w:line="240" w:lineRule="atLeast"/>
      <w:jc w:val="both"/>
      <w:outlineLvl w:val="4"/>
    </w:pPr>
    <w:rPr>
      <w:sz w:val="21"/>
      <w:szCs w:val="24"/>
    </w:rPr>
  </w:style>
  <w:style w:type="paragraph" w:customStyle="1" w:styleId="affffff2">
    <w:name w:val="表格内"/>
    <w:basedOn w:val="a1"/>
    <w:qFormat/>
    <w:pPr>
      <w:widowControl/>
      <w:adjustRightInd w:val="0"/>
      <w:snapToGrid w:val="0"/>
      <w:spacing w:after="200" w:line="360" w:lineRule="exact"/>
      <w:jc w:val="center"/>
    </w:pPr>
    <w:rPr>
      <w:rFonts w:eastAsia="微软雅黑"/>
      <w:snapToGrid w:val="0"/>
      <w:kern w:val="0"/>
      <w:sz w:val="22"/>
    </w:rPr>
  </w:style>
  <w:style w:type="paragraph" w:customStyle="1" w:styleId="BodyText22">
    <w:name w:val="Body Text 22"/>
    <w:basedOn w:val="a1"/>
    <w:qFormat/>
    <w:pPr>
      <w:adjustRightInd w:val="0"/>
      <w:spacing w:line="440" w:lineRule="atLeast"/>
      <w:ind w:firstLine="480"/>
      <w:textAlignment w:val="baseline"/>
    </w:pPr>
    <w:rPr>
      <w:sz w:val="24"/>
      <w:szCs w:val="20"/>
    </w:rPr>
  </w:style>
  <w:style w:type="character" w:customStyle="1" w:styleId="MSGENFONTSTYLENAMETEMPLATEROLENUMBERMSGENFONTSTYLENAMEBYROLETEXT2MSGENFONTSTYLEMODIFERNAMETimesNewRoman2">
    <w:name w:val="MSG_EN_FONT_STYLE_NAME_TEMPLATE_ROLE_NUMBER MSG_EN_FONT_STYLE_NAME_BY_ROLE_TEXT 2 + MSG_EN_FONT_STYLE_MODIFER_NAME Times New Roman2"/>
    <w:qFormat/>
    <w:rPr>
      <w:rFonts w:ascii="Times New Roman" w:eastAsia="Times New Roman" w:hAnsi="Times New Roman" w:cs="Times New Roman"/>
      <w:smallCaps/>
      <w:color w:val="000000"/>
      <w:spacing w:val="0"/>
      <w:w w:val="100"/>
      <w:position w:val="0"/>
      <w:sz w:val="20"/>
      <w:szCs w:val="20"/>
      <w:u w:val="none"/>
      <w:lang w:val="en-US" w:eastAsia="en-US" w:bidi="en-US"/>
    </w:rPr>
  </w:style>
  <w:style w:type="paragraph" w:customStyle="1" w:styleId="8">
    <w:name w:val="样式8"/>
    <w:basedOn w:val="a1"/>
    <w:qFormat/>
    <w:pPr>
      <w:numPr>
        <w:numId w:val="3"/>
      </w:numPr>
      <w:tabs>
        <w:tab w:val="clear" w:pos="0"/>
        <w:tab w:val="left" w:pos="1225"/>
      </w:tabs>
      <w:spacing w:before="49"/>
      <w:jc w:val="center"/>
    </w:pPr>
    <w:rPr>
      <w:b/>
    </w:rPr>
  </w:style>
  <w:style w:type="paragraph" w:customStyle="1" w:styleId="9">
    <w:name w:val="样式9"/>
    <w:basedOn w:val="a1"/>
    <w:qFormat/>
    <w:pPr>
      <w:numPr>
        <w:numId w:val="4"/>
      </w:numPr>
      <w:tabs>
        <w:tab w:val="clear" w:pos="0"/>
        <w:tab w:val="left" w:pos="859"/>
      </w:tabs>
      <w:ind w:right="49"/>
      <w:jc w:val="center"/>
    </w:pPr>
    <w:rPr>
      <w:b/>
      <w:bCs/>
    </w:rPr>
  </w:style>
  <w:style w:type="paragraph" w:customStyle="1" w:styleId="11">
    <w:name w:val="样式11"/>
    <w:basedOn w:val="a1"/>
    <w:link w:val="11Char"/>
    <w:qFormat/>
    <w:pPr>
      <w:numPr>
        <w:numId w:val="5"/>
      </w:numPr>
      <w:spacing w:line="304" w:lineRule="exact"/>
      <w:ind w:right="466"/>
      <w:jc w:val="center"/>
    </w:pPr>
    <w:rPr>
      <w:b/>
      <w:spacing w:val="-2"/>
    </w:rPr>
  </w:style>
  <w:style w:type="character" w:customStyle="1" w:styleId="11Char">
    <w:name w:val="样式11 Char"/>
    <w:link w:val="11"/>
    <w:qFormat/>
    <w:rPr>
      <w:rFonts w:ascii="Times New Roman" w:eastAsia="宋体" w:hAnsi="Times New Roman" w:cs="Times New Roman"/>
      <w:b/>
      <w:spacing w:val="-2"/>
      <w:sz w:val="21"/>
      <w:szCs w:val="21"/>
    </w:rPr>
  </w:style>
  <w:style w:type="paragraph" w:customStyle="1" w:styleId="Other1">
    <w:name w:val="Other|1"/>
    <w:basedOn w:val="a1"/>
    <w:qFormat/>
    <w:pPr>
      <w:spacing w:line="466" w:lineRule="auto"/>
    </w:pPr>
    <w:rPr>
      <w:rFonts w:ascii="宋体" w:hAnsi="宋体" w:cs="宋体"/>
      <w:sz w:val="26"/>
      <w:szCs w:val="26"/>
    </w:rPr>
  </w:style>
  <w:style w:type="paragraph" w:customStyle="1" w:styleId="CM22">
    <w:name w:val="CM22"/>
    <w:basedOn w:val="a1"/>
    <w:next w:val="a1"/>
    <w:qFormat/>
    <w:pPr>
      <w:autoSpaceDE w:val="0"/>
      <w:autoSpaceDN w:val="0"/>
      <w:adjustRightInd w:val="0"/>
      <w:spacing w:line="400" w:lineRule="atLeast"/>
      <w:jc w:val="left"/>
    </w:pPr>
    <w:rPr>
      <w:rFonts w:ascii="华文楷体" w:eastAsia="华文楷体"/>
      <w:kern w:val="0"/>
      <w:sz w:val="24"/>
    </w:rPr>
  </w:style>
  <w:style w:type="paragraph" w:customStyle="1" w:styleId="72">
    <w:name w:val="正文_7"/>
    <w:qFormat/>
    <w:pPr>
      <w:widowControl w:val="0"/>
      <w:jc w:val="both"/>
    </w:pPr>
    <w:rPr>
      <w:rFonts w:ascii="Calibri" w:hAnsi="Calibri"/>
      <w:kern w:val="2"/>
      <w:sz w:val="21"/>
    </w:rPr>
  </w:style>
  <w:style w:type="paragraph" w:customStyle="1" w:styleId="190">
    <w:name w:val="正文_19"/>
    <w:qFormat/>
    <w:pPr>
      <w:widowControl w:val="0"/>
      <w:jc w:val="both"/>
    </w:pPr>
    <w:rPr>
      <w:rFonts w:ascii="Calibri" w:hAnsi="Calibri"/>
      <w:kern w:val="2"/>
      <w:sz w:val="21"/>
    </w:rPr>
  </w:style>
  <w:style w:type="paragraph" w:customStyle="1" w:styleId="TableText">
    <w:name w:val="Table Text"/>
    <w:basedOn w:val="a1"/>
    <w:qFormat/>
    <w:rPr>
      <w:rFonts w:ascii="宋体" w:hAnsi="宋体" w:cs="宋体"/>
      <w:lang w:eastAsia="en-US"/>
    </w:rPr>
  </w:style>
  <w:style w:type="paragraph" w:customStyle="1" w:styleId="affffff3">
    <w:name w:val="表图名"/>
    <w:basedOn w:val="a7"/>
    <w:qFormat/>
    <w:pPr>
      <w:jc w:val="left"/>
    </w:pPr>
    <w:rPr>
      <w:rFonts w:cs="宋体"/>
      <w:szCs w:val="20"/>
    </w:rPr>
  </w:style>
  <w:style w:type="paragraph" w:customStyle="1" w:styleId="affffff4">
    <w:name w:val="正文（准）"/>
    <w:basedOn w:val="a1"/>
    <w:link w:val="Chare"/>
    <w:qFormat/>
    <w:pPr>
      <w:adjustRightInd w:val="0"/>
      <w:snapToGrid w:val="0"/>
      <w:spacing w:line="360" w:lineRule="auto"/>
      <w:ind w:firstLineChars="200" w:firstLine="480"/>
    </w:pPr>
    <w:rPr>
      <w:color w:val="000000"/>
      <w:kern w:val="21"/>
      <w:sz w:val="24"/>
      <w:szCs w:val="30"/>
    </w:rPr>
  </w:style>
  <w:style w:type="character" w:customStyle="1" w:styleId="Chare">
    <w:name w:val="正文（准） Char"/>
    <w:link w:val="affffff4"/>
    <w:qFormat/>
    <w:rPr>
      <w:rFonts w:ascii="Times New Roman" w:eastAsia="宋体" w:hAnsi="Times New Roman" w:cs="Times New Roman"/>
      <w:color w:val="000000"/>
      <w:spacing w:val="0"/>
      <w:kern w:val="21"/>
      <w:sz w:val="24"/>
      <w:szCs w:val="30"/>
      <w:lang w:val="en-US" w:eastAsia="zh-CN" w:bidi="ar-SA"/>
    </w:rPr>
  </w:style>
  <w:style w:type="paragraph" w:customStyle="1" w:styleId="affffff5">
    <w:name w:val="表格标题（准）"/>
    <w:basedOn w:val="a1"/>
    <w:link w:val="Charf"/>
    <w:qFormat/>
    <w:pPr>
      <w:jc w:val="center"/>
    </w:pPr>
    <w:rPr>
      <w:b/>
      <w:bCs/>
    </w:rPr>
  </w:style>
  <w:style w:type="character" w:customStyle="1" w:styleId="Charf">
    <w:name w:val="表格标题（准） Char"/>
    <w:link w:val="affffff5"/>
    <w:qFormat/>
    <w:rPr>
      <w:rFonts w:ascii="Times New Roman" w:eastAsia="宋体" w:hAnsi="Times New Roman" w:cs="Times New Roman"/>
      <w:b/>
      <w:bCs/>
      <w:color w:val="auto"/>
      <w:sz w:val="21"/>
      <w:szCs w:val="21"/>
    </w:rPr>
  </w:style>
  <w:style w:type="paragraph" w:customStyle="1" w:styleId="affffff6">
    <w:name w:val="表内字"/>
    <w:basedOn w:val="afff3"/>
    <w:next w:val="a1"/>
    <w:link w:val="CharCharChar2"/>
    <w:qFormat/>
    <w:pPr>
      <w:widowControl/>
    </w:pPr>
  </w:style>
  <w:style w:type="paragraph" w:customStyle="1" w:styleId="-TUEIAD">
    <w:name w:val="正文-TUEIAD"/>
    <w:basedOn w:val="a1"/>
    <w:qFormat/>
    <w:pPr>
      <w:spacing w:before="100" w:beforeAutospacing="1" w:after="100" w:afterAutospacing="1" w:line="300" w:lineRule="auto"/>
      <w:ind w:firstLine="480"/>
    </w:pPr>
    <w:rPr>
      <w:rFonts w:ascii="Calibri" w:hAnsi="Calibri"/>
      <w:kern w:val="0"/>
      <w:szCs w:val="20"/>
    </w:rPr>
  </w:style>
  <w:style w:type="paragraph" w:customStyle="1" w:styleId="affffff7">
    <w:name w:val="图名"/>
    <w:basedOn w:val="a1"/>
    <w:qFormat/>
    <w:pPr>
      <w:widowControl/>
      <w:adjustRightInd w:val="0"/>
      <w:snapToGrid w:val="0"/>
      <w:spacing w:afterLines="100"/>
      <w:jc w:val="center"/>
    </w:pPr>
    <w:rPr>
      <w:rFonts w:eastAsia="黑体"/>
      <w:kern w:val="0"/>
      <w:szCs w:val="28"/>
    </w:rPr>
  </w:style>
  <w:style w:type="character" w:customStyle="1" w:styleId="font161">
    <w:name w:val="font161"/>
    <w:basedOn w:val="a2"/>
    <w:qFormat/>
    <w:rPr>
      <w:rFonts w:ascii="Arial" w:eastAsia="宋体" w:hAnsi="Arial" w:cs="Arial"/>
      <w:color w:val="CC0033"/>
      <w:sz w:val="19"/>
      <w:szCs w:val="19"/>
      <w:u w:val="none"/>
    </w:rPr>
  </w:style>
  <w:style w:type="character" w:customStyle="1" w:styleId="font171">
    <w:name w:val="font171"/>
    <w:basedOn w:val="a2"/>
    <w:qFormat/>
    <w:rPr>
      <w:rFonts w:ascii="Times New Roman" w:eastAsia="宋体" w:hAnsi="Times New Roman" w:cs="Times New Roman" w:hint="default"/>
      <w:color w:val="2A2A2A"/>
      <w:sz w:val="21"/>
      <w:szCs w:val="21"/>
      <w:u w:val="none"/>
      <w:vertAlign w:val="subscript"/>
    </w:rPr>
  </w:style>
  <w:style w:type="paragraph" w:customStyle="1" w:styleId="affffff8">
    <w:name w:val="表中内容"/>
    <w:basedOn w:val="a1"/>
    <w:qFormat/>
    <w:pPr>
      <w:adjustRightInd w:val="0"/>
      <w:snapToGrid w:val="0"/>
      <w:spacing w:line="240" w:lineRule="atLeast"/>
      <w:jc w:val="center"/>
    </w:pPr>
    <w:rPr>
      <w:rFonts w:cs="宋体"/>
    </w:rPr>
  </w:style>
  <w:style w:type="paragraph" w:customStyle="1" w:styleId="affffff9">
    <w:name w:val="表格正文"/>
    <w:qFormat/>
    <w:pPr>
      <w:jc w:val="center"/>
    </w:pPr>
    <w:rPr>
      <w:kern w:val="2"/>
      <w:sz w:val="21"/>
      <w:szCs w:val="21"/>
    </w:rPr>
  </w:style>
  <w:style w:type="paragraph" w:customStyle="1" w:styleId="R22">
    <w:name w:val="金溪R22表头"/>
    <w:basedOn w:val="a1"/>
    <w:qFormat/>
    <w:pPr>
      <w:autoSpaceDE w:val="0"/>
      <w:autoSpaceDN w:val="0"/>
      <w:adjustRightInd w:val="0"/>
    </w:pPr>
    <w:rPr>
      <w:rFonts w:eastAsia="黑体" w:hAnsi="宋体" w:cs="宋体"/>
      <w:color w:val="000000"/>
      <w:kern w:val="0"/>
      <w:sz w:val="24"/>
      <w:szCs w:val="24"/>
    </w:rPr>
  </w:style>
  <w:style w:type="paragraph" w:customStyle="1" w:styleId="affffffa">
    <w:name w:val="二级标题"/>
    <w:next w:val="a1"/>
    <w:qFormat/>
    <w:pPr>
      <w:keepNext/>
      <w:spacing w:before="200" w:after="200" w:line="259" w:lineRule="auto"/>
      <w:contextualSpacing/>
      <w:jc w:val="both"/>
      <w:outlineLvl w:val="1"/>
    </w:pPr>
    <w:rPr>
      <w:rFonts w:eastAsia="黑体"/>
      <w:bCs/>
      <w:kern w:val="44"/>
      <w:sz w:val="28"/>
      <w:szCs w:val="44"/>
    </w:rPr>
  </w:style>
  <w:style w:type="paragraph" w:customStyle="1" w:styleId="affffffb">
    <w:name w:val="三级标题"/>
    <w:basedOn w:val="affffffa"/>
    <w:next w:val="a1"/>
    <w:link w:val="CharCharChar3"/>
    <w:qFormat/>
    <w:pPr>
      <w:spacing w:before="120" w:after="120"/>
      <w:outlineLvl w:val="2"/>
    </w:pPr>
    <w:rPr>
      <w:rFonts w:eastAsia="宋体"/>
      <w:bCs w:val="0"/>
      <w:sz w:val="24"/>
    </w:rPr>
  </w:style>
  <w:style w:type="paragraph" w:customStyle="1" w:styleId="affffffc">
    <w:name w:val="四级标题"/>
    <w:basedOn w:val="affffffb"/>
    <w:next w:val="a1"/>
    <w:link w:val="CharCharc"/>
    <w:qFormat/>
    <w:pPr>
      <w:outlineLvl w:val="3"/>
    </w:pPr>
  </w:style>
  <w:style w:type="paragraph" w:customStyle="1" w:styleId="123">
    <w:name w:val="表格123"/>
    <w:basedOn w:val="a1"/>
    <w:qFormat/>
    <w:pPr>
      <w:widowControl/>
      <w:jc w:val="center"/>
    </w:pPr>
    <w:rPr>
      <w:rFonts w:cs="宋体"/>
      <w:szCs w:val="22"/>
    </w:rPr>
  </w:style>
  <w:style w:type="character" w:customStyle="1" w:styleId="20">
    <w:name w:val="标题 2 字符"/>
    <w:link w:val="2"/>
    <w:qFormat/>
    <w:rPr>
      <w:rFonts w:ascii="Times New Roman" w:eastAsia="宋体" w:hAnsi="Times New Roman"/>
      <w:b/>
      <w:sz w:val="30"/>
      <w:szCs w:val="32"/>
    </w:rPr>
  </w:style>
  <w:style w:type="paragraph" w:customStyle="1" w:styleId="affffffd">
    <w:name w:val="表头图名"/>
    <w:qFormat/>
    <w:pPr>
      <w:widowControl w:val="0"/>
      <w:adjustRightInd w:val="0"/>
      <w:snapToGrid w:val="0"/>
      <w:jc w:val="center"/>
    </w:pPr>
    <w:rPr>
      <w:b/>
      <w:sz w:val="24"/>
    </w:rPr>
  </w:style>
  <w:style w:type="paragraph" w:customStyle="1" w:styleId="Style13">
    <w:name w:val="_Style 13"/>
    <w:pPr>
      <w:spacing w:before="120" w:after="120" w:line="288" w:lineRule="auto"/>
    </w:pPr>
    <w:rPr>
      <w:rFonts w:ascii="Arial" w:eastAsia="等线" w:hAnsi="Arial" w:cs="Arial"/>
      <w:sz w:val="22"/>
      <w:szCs w:val="22"/>
    </w:rPr>
  </w:style>
  <w:style w:type="paragraph" w:customStyle="1" w:styleId="affffffe">
    <w:name w:val="正文(首行缩进)"/>
    <w:basedOn w:val="aff2"/>
    <w:link w:val="CharChard"/>
    <w:autoRedefine/>
    <w:qFormat/>
    <w:pPr>
      <w:spacing w:line="360" w:lineRule="auto"/>
      <w:ind w:firstLineChars="200" w:firstLine="200"/>
    </w:pPr>
    <w:rPr>
      <w:rFonts w:ascii="宋体" w:hAnsi="宋体" w:cs="宋体"/>
      <w:snapToGrid w:val="0"/>
    </w:rPr>
  </w:style>
  <w:style w:type="paragraph" w:customStyle="1" w:styleId="afffffff">
    <w:name w:val="报告书正文瓮安工业园区"/>
    <w:basedOn w:val="a1"/>
    <w:qFormat/>
    <w:pPr>
      <w:spacing w:line="360" w:lineRule="auto"/>
      <w:ind w:firstLineChars="200" w:firstLine="200"/>
    </w:pPr>
    <w:rPr>
      <w:rFonts w:ascii="宋体" w:hAnsi="宋体"/>
      <w:sz w:val="24"/>
      <w:szCs w:val="20"/>
    </w:rPr>
  </w:style>
  <w:style w:type="character" w:customStyle="1" w:styleId="apple-style-span">
    <w:name w:val="apple-style-span"/>
    <w:basedOn w:val="a2"/>
    <w:autoRedefine/>
    <w:qFormat/>
  </w:style>
  <w:style w:type="paragraph" w:customStyle="1" w:styleId="afffffff0">
    <w:name w:val="报告表格"/>
    <w:basedOn w:val="a1"/>
    <w:qFormat/>
    <w:pPr>
      <w:autoSpaceDE w:val="0"/>
      <w:autoSpaceDN w:val="0"/>
      <w:adjustRightInd w:val="0"/>
      <w:spacing w:before="40" w:after="40"/>
      <w:jc w:val="center"/>
    </w:pPr>
    <w:rPr>
      <w:kern w:val="0"/>
      <w:szCs w:val="20"/>
    </w:rPr>
  </w:style>
  <w:style w:type="paragraph" w:customStyle="1" w:styleId="1e">
    <w:name w:val="列表段落1"/>
    <w:basedOn w:val="a1"/>
    <w:uiPriority w:val="99"/>
    <w:qFormat/>
    <w:pPr>
      <w:adjustRightInd w:val="0"/>
      <w:snapToGrid w:val="0"/>
      <w:ind w:firstLine="420"/>
    </w:pPr>
  </w:style>
  <w:style w:type="paragraph" w:customStyle="1" w:styleId="afffffff1">
    <w:name w:val="表格头"/>
    <w:qFormat/>
    <w:pPr>
      <w:spacing w:afterLines="50"/>
      <w:jc w:val="center"/>
    </w:pPr>
    <w:rPr>
      <w:rFonts w:ascii="Calibri" w:eastAsia="黑体" w:hAnsi="Calibri"/>
      <w:snapToGrid w:val="0"/>
      <w:color w:val="000000"/>
      <w:spacing w:val="-4"/>
      <w:kern w:val="2"/>
      <w:sz w:val="21"/>
    </w:rPr>
  </w:style>
  <w:style w:type="table" w:customStyle="1" w:styleId="TableNormal1">
    <w:name w:val="Table Normal1"/>
    <w:semiHidden/>
    <w:unhideWhenUsed/>
    <w:qFormat/>
    <w:rsid w:val="00D20D13"/>
    <w:pPr>
      <w:spacing w:after="160" w:line="278" w:lineRule="auto"/>
    </w:pPr>
    <w:rPr>
      <w:rFonts w:ascii="Arial" w:eastAsia="等线" w:hAnsi="Arial" w:cs="Arial"/>
      <w:snapToGrid w:val="0"/>
      <w:color w:val="000000"/>
      <w:sz w:val="21"/>
      <w:szCs w:val="21"/>
      <w:lang w:eastAsia="en-US"/>
    </w:rPr>
    <w:tblPr>
      <w:tblCellMar>
        <w:top w:w="0" w:type="dxa"/>
        <w:left w:w="0" w:type="dxa"/>
        <w:bottom w:w="0" w:type="dxa"/>
        <w:right w:w="0" w:type="dxa"/>
      </w:tblCellMar>
    </w:tblPr>
  </w:style>
  <w:style w:type="table" w:customStyle="1" w:styleId="TableNormal2">
    <w:name w:val="Table Normal2"/>
    <w:semiHidden/>
    <w:unhideWhenUsed/>
    <w:qFormat/>
    <w:rsid w:val="007D139C"/>
    <w:pPr>
      <w:spacing w:after="160" w:line="278" w:lineRule="auto"/>
    </w:pPr>
    <w:rPr>
      <w:rFonts w:ascii="Arial" w:eastAsia="等线" w:hAnsi="Arial" w:cs="Arial"/>
      <w:snapToGrid w:val="0"/>
      <w:color w:val="000000"/>
      <w:sz w:val="21"/>
      <w:szCs w:val="21"/>
      <w:lang w:eastAsia="en-US"/>
    </w:rPr>
    <w:tblPr>
      <w:tblCellMar>
        <w:top w:w="0" w:type="dxa"/>
        <w:left w:w="0" w:type="dxa"/>
        <w:bottom w:w="0" w:type="dxa"/>
        <w:right w:w="0" w:type="dxa"/>
      </w:tblCellMar>
    </w:tblPr>
  </w:style>
  <w:style w:type="table" w:customStyle="1" w:styleId="TableNormal3">
    <w:name w:val="Table Normal3"/>
    <w:semiHidden/>
    <w:unhideWhenUsed/>
    <w:qFormat/>
    <w:rsid w:val="00F6033F"/>
    <w:pPr>
      <w:spacing w:after="160" w:line="278" w:lineRule="auto"/>
    </w:pPr>
    <w:rPr>
      <w:rFonts w:ascii="Arial" w:eastAsia="等线" w:hAnsi="Arial" w:cs="Arial"/>
      <w:snapToGrid w:val="0"/>
      <w:color w:val="000000"/>
      <w:sz w:val="21"/>
      <w:szCs w:val="21"/>
      <w:lang w:eastAsia="en-US"/>
    </w:rPr>
    <w:tblPr>
      <w:tblCellMar>
        <w:top w:w="0" w:type="dxa"/>
        <w:left w:w="0" w:type="dxa"/>
        <w:bottom w:w="0" w:type="dxa"/>
        <w:right w:w="0" w:type="dxa"/>
      </w:tblCellMar>
    </w:tblPr>
  </w:style>
  <w:style w:type="table" w:customStyle="1" w:styleId="TableNormal4">
    <w:name w:val="Table Normal4"/>
    <w:semiHidden/>
    <w:unhideWhenUsed/>
    <w:qFormat/>
    <w:rsid w:val="00262A3A"/>
    <w:pPr>
      <w:spacing w:after="160" w:line="278" w:lineRule="auto"/>
    </w:pPr>
    <w:rPr>
      <w:rFonts w:ascii="Arial" w:eastAsia="等线" w:hAnsi="Arial" w:cs="Arial"/>
      <w:snapToGrid w:val="0"/>
      <w:color w:val="000000"/>
      <w:sz w:val="21"/>
      <w:szCs w:val="21"/>
      <w:lang w:eastAsia="en-US"/>
    </w:rPr>
    <w:tblPr>
      <w:tblCellMar>
        <w:top w:w="0" w:type="dxa"/>
        <w:left w:w="0" w:type="dxa"/>
        <w:bottom w:w="0" w:type="dxa"/>
        <w:right w:w="0" w:type="dxa"/>
      </w:tblCellMar>
    </w:tblPr>
  </w:style>
  <w:style w:type="character" w:styleId="afffffff2">
    <w:name w:val="Unresolved Mention"/>
    <w:basedOn w:val="a2"/>
    <w:uiPriority w:val="99"/>
    <w:semiHidden/>
    <w:unhideWhenUsed/>
    <w:rsid w:val="00376259"/>
    <w:rPr>
      <w:color w:val="605E5C"/>
      <w:shd w:val="clear" w:color="auto" w:fill="E1DFDD"/>
    </w:rPr>
  </w:style>
  <w:style w:type="table" w:customStyle="1" w:styleId="1f">
    <w:name w:val="网格型1"/>
    <w:basedOn w:val="a3"/>
    <w:next w:val="aff4"/>
    <w:autoRedefine/>
    <w:uiPriority w:val="59"/>
    <w:qFormat/>
    <w:rsid w:val="00AE3C89"/>
    <w:pPr>
      <w:widowControl w:val="0"/>
      <w:spacing w:line="360" w:lineRule="auto"/>
      <w:ind w:firstLineChars="200" w:firstLine="20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0">
    <w:name w:val="标题 7 字符"/>
    <w:basedOn w:val="a2"/>
    <w:link w:val="7"/>
    <w:rsid w:val="00AE3C89"/>
    <w:rPr>
      <w:rFonts w:ascii="宋体"/>
      <w:b/>
      <w:bCs/>
      <w:sz w:val="24"/>
    </w:rPr>
  </w:style>
  <w:style w:type="character" w:customStyle="1" w:styleId="81">
    <w:name w:val="标题 8 字符"/>
    <w:basedOn w:val="a2"/>
    <w:link w:val="80"/>
    <w:rsid w:val="00AE3C89"/>
    <w:rPr>
      <w:rFonts w:ascii="Arial" w:eastAsia="黑体" w:hAnsi="Arial"/>
      <w:sz w:val="24"/>
    </w:rPr>
  </w:style>
  <w:style w:type="character" w:customStyle="1" w:styleId="91">
    <w:name w:val="标题 9 字符"/>
    <w:basedOn w:val="a2"/>
    <w:link w:val="90"/>
    <w:qFormat/>
    <w:rsid w:val="00AE3C89"/>
    <w:rPr>
      <w:rFonts w:ascii="Arial" w:eastAsia="黑体" w:hAnsi="Arial"/>
      <w:color w:val="000000"/>
      <w:kern w:val="2"/>
      <w:sz w:val="21"/>
      <w:szCs w:val="21"/>
    </w:rPr>
  </w:style>
  <w:style w:type="numbering" w:customStyle="1" w:styleId="1f0">
    <w:name w:val="无列表1"/>
    <w:next w:val="a4"/>
    <w:uiPriority w:val="99"/>
    <w:semiHidden/>
    <w:unhideWhenUsed/>
    <w:rsid w:val="00AE3C89"/>
  </w:style>
  <w:style w:type="paragraph" w:styleId="afffffff3">
    <w:name w:val="Note Heading"/>
    <w:basedOn w:val="a1"/>
    <w:next w:val="a1"/>
    <w:link w:val="afffffff4"/>
    <w:autoRedefine/>
    <w:qFormat/>
    <w:rsid w:val="00AE3C89"/>
    <w:pPr>
      <w:widowControl/>
      <w:jc w:val="center"/>
    </w:pPr>
    <w:rPr>
      <w:rFonts w:ascii="Calibri" w:hAnsi="Calibri"/>
      <w:kern w:val="0"/>
      <w:sz w:val="24"/>
      <w:szCs w:val="24"/>
      <w:lang w:eastAsia="en-US" w:bidi="en-US"/>
    </w:rPr>
  </w:style>
  <w:style w:type="character" w:customStyle="1" w:styleId="afffffff4">
    <w:name w:val="注释标题 字符"/>
    <w:basedOn w:val="a2"/>
    <w:link w:val="afffffff3"/>
    <w:qFormat/>
    <w:rsid w:val="00AE3C89"/>
    <w:rPr>
      <w:rFonts w:ascii="Calibri" w:hAnsi="Calibri"/>
      <w:sz w:val="24"/>
      <w:szCs w:val="24"/>
      <w:lang w:eastAsia="en-US" w:bidi="en-US"/>
    </w:rPr>
  </w:style>
  <w:style w:type="paragraph" w:styleId="afffffff5">
    <w:name w:val="Block Text"/>
    <w:basedOn w:val="a1"/>
    <w:autoRedefine/>
    <w:qFormat/>
    <w:rsid w:val="00AE3C89"/>
    <w:pPr>
      <w:spacing w:line="360" w:lineRule="auto"/>
      <w:ind w:leftChars="666" w:left="1399" w:rightChars="716" w:right="1504"/>
      <w:jc w:val="left"/>
    </w:pPr>
    <w:rPr>
      <w:snapToGrid w:val="0"/>
      <w:kern w:val="0"/>
      <w:szCs w:val="20"/>
    </w:rPr>
  </w:style>
  <w:style w:type="paragraph" w:styleId="afffffff6">
    <w:name w:val="Message Header"/>
    <w:basedOn w:val="a1"/>
    <w:link w:val="afffffff7"/>
    <w:autoRedefine/>
    <w:qFormat/>
    <w:rsid w:val="00AE3C89"/>
    <w:pPr>
      <w:widowControl/>
      <w:pBdr>
        <w:top w:val="single" w:sz="6" w:space="1" w:color="auto"/>
        <w:left w:val="single" w:sz="6" w:space="1" w:color="auto"/>
        <w:bottom w:val="single" w:sz="6" w:space="1" w:color="auto"/>
        <w:right w:val="single" w:sz="6" w:space="1" w:color="auto"/>
      </w:pBdr>
      <w:shd w:val="pct20" w:color="auto" w:fill="auto"/>
      <w:spacing w:line="520" w:lineRule="exact"/>
      <w:ind w:leftChars="500" w:left="1080" w:hangingChars="500" w:hanging="1080"/>
      <w:jc w:val="left"/>
    </w:pPr>
    <w:rPr>
      <w:rFonts w:ascii="Arial" w:hAnsi="Arial" w:cs="Arial"/>
      <w:bCs/>
      <w:kern w:val="0"/>
      <w:sz w:val="24"/>
      <w:szCs w:val="24"/>
      <w:shd w:val="pct20" w:color="auto" w:fill="auto"/>
    </w:rPr>
  </w:style>
  <w:style w:type="character" w:customStyle="1" w:styleId="afffffff7">
    <w:name w:val="信息标题 字符"/>
    <w:basedOn w:val="a2"/>
    <w:link w:val="afffffff6"/>
    <w:qFormat/>
    <w:rsid w:val="00AE3C89"/>
    <w:rPr>
      <w:rFonts w:ascii="Arial" w:hAnsi="Arial" w:cs="Arial"/>
      <w:bCs/>
      <w:sz w:val="24"/>
      <w:szCs w:val="24"/>
      <w:shd w:val="pct20" w:color="auto" w:fill="auto"/>
    </w:rPr>
  </w:style>
  <w:style w:type="paragraph" w:styleId="1f1">
    <w:name w:val="index 1"/>
    <w:basedOn w:val="a1"/>
    <w:next w:val="a1"/>
    <w:autoRedefine/>
    <w:qFormat/>
    <w:rsid w:val="00AE3C89"/>
    <w:pPr>
      <w:adjustRightInd w:val="0"/>
      <w:snapToGrid w:val="0"/>
      <w:spacing w:line="360" w:lineRule="auto"/>
      <w:ind w:firstLineChars="200" w:firstLine="480"/>
    </w:pPr>
    <w:rPr>
      <w:rFonts w:ascii="宋体" w:hAnsi="宋体"/>
      <w:kern w:val="0"/>
      <w:sz w:val="24"/>
      <w:szCs w:val="20"/>
    </w:rPr>
  </w:style>
  <w:style w:type="table" w:customStyle="1" w:styleId="2f0">
    <w:name w:val="网格型2"/>
    <w:basedOn w:val="a3"/>
    <w:next w:val="aff4"/>
    <w:autoRedefine/>
    <w:uiPriority w:val="59"/>
    <w:qFormat/>
    <w:rsid w:val="00AE3C89"/>
    <w:pPr>
      <w:widowControl w:val="0"/>
      <w:spacing w:line="360" w:lineRule="auto"/>
      <w:ind w:firstLineChars="200" w:firstLine="20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27">
    <w:name w:val="xl27"/>
    <w:basedOn w:val="a1"/>
    <w:autoRedefine/>
    <w:uiPriority w:val="99"/>
    <w:qFormat/>
    <w:rsid w:val="00AE3C89"/>
    <w:pPr>
      <w:widowControl/>
      <w:pBdr>
        <w:top w:val="single" w:sz="8" w:space="0" w:color="auto"/>
        <w:left w:val="single" w:sz="8" w:space="0" w:color="auto"/>
        <w:right w:val="single" w:sz="8" w:space="0" w:color="auto"/>
      </w:pBdr>
      <w:spacing w:before="100" w:beforeAutospacing="1" w:after="100" w:afterAutospacing="1" w:line="360" w:lineRule="auto"/>
      <w:ind w:firstLineChars="200" w:firstLine="200"/>
      <w:jc w:val="center"/>
    </w:pPr>
    <w:rPr>
      <w:rFonts w:ascii="Arial Unicode MS" w:eastAsia="Arial Unicode MS" w:hAnsi="Arial Unicode MS"/>
      <w:kern w:val="0"/>
      <w:sz w:val="22"/>
      <w:szCs w:val="22"/>
    </w:rPr>
  </w:style>
  <w:style w:type="paragraph" w:customStyle="1" w:styleId="11111">
    <w:name w:val="11111"/>
    <w:basedOn w:val="a1"/>
    <w:next w:val="a1"/>
    <w:autoRedefine/>
    <w:qFormat/>
    <w:rsid w:val="00AE3C89"/>
    <w:pPr>
      <w:spacing w:line="360" w:lineRule="auto"/>
      <w:ind w:firstLineChars="200" w:firstLine="200"/>
      <w:jc w:val="left"/>
    </w:pPr>
    <w:rPr>
      <w:rFonts w:ascii="宋体" w:hAnsi="宋体" w:cs="宋体"/>
      <w:kern w:val="0"/>
      <w:sz w:val="24"/>
      <w:szCs w:val="20"/>
    </w:rPr>
  </w:style>
  <w:style w:type="paragraph" w:customStyle="1" w:styleId="210">
    <w:name w:val="样式 正文首行缩进 + 首行缩进:  2 字符1"/>
    <w:basedOn w:val="a1"/>
    <w:next w:val="TOC1"/>
    <w:autoRedefine/>
    <w:qFormat/>
    <w:rsid w:val="00AE3C89"/>
    <w:pPr>
      <w:spacing w:line="360" w:lineRule="auto"/>
      <w:ind w:firstLineChars="200" w:firstLine="480"/>
      <w:jc w:val="left"/>
    </w:pPr>
    <w:rPr>
      <w:rFonts w:ascii="宋体"/>
      <w:kern w:val="0"/>
      <w:sz w:val="24"/>
      <w:szCs w:val="20"/>
    </w:rPr>
  </w:style>
  <w:style w:type="character" w:customStyle="1" w:styleId="Charc">
    <w:name w:val="表格标题 Char"/>
    <w:link w:val="affff8"/>
    <w:autoRedefine/>
    <w:qFormat/>
    <w:rsid w:val="00AE3C89"/>
    <w:rPr>
      <w:kern w:val="2"/>
      <w:sz w:val="24"/>
    </w:rPr>
  </w:style>
  <w:style w:type="character" w:customStyle="1" w:styleId="NormalCharChar">
    <w:name w:val="Normal Char Char"/>
    <w:link w:val="19"/>
    <w:autoRedefine/>
    <w:qFormat/>
    <w:rsid w:val="00AE3C89"/>
    <w:rPr>
      <w:snapToGrid w:val="0"/>
      <w:sz w:val="24"/>
    </w:rPr>
  </w:style>
  <w:style w:type="character" w:customStyle="1" w:styleId="CharChare">
    <w:name w:val="表内字 Char Char"/>
    <w:autoRedefine/>
    <w:qFormat/>
    <w:rsid w:val="00AE3C89"/>
    <w:rPr>
      <w:color w:val="000000"/>
      <w:sz w:val="21"/>
    </w:rPr>
  </w:style>
  <w:style w:type="character" w:customStyle="1" w:styleId="24">
    <w:name w:val="正文文本 2 字符"/>
    <w:link w:val="23"/>
    <w:autoRedefine/>
    <w:qFormat/>
    <w:rsid w:val="00AE3C89"/>
    <w:rPr>
      <w:rFonts w:ascii="宋体" w:hAnsi="宋体"/>
      <w:bCs/>
      <w:color w:val="FF6600"/>
      <w:kern w:val="2"/>
      <w:sz w:val="24"/>
      <w:szCs w:val="21"/>
    </w:rPr>
  </w:style>
  <w:style w:type="character" w:customStyle="1" w:styleId="111CharCharChar">
    <w:name w:val="正文111 Char Char Char"/>
    <w:link w:val="111"/>
    <w:autoRedefine/>
    <w:qFormat/>
    <w:rsid w:val="00AE3C89"/>
    <w:rPr>
      <w:rFonts w:ascii="宋体" w:hAnsi="宋体"/>
      <w:color w:val="000000"/>
      <w:kern w:val="2"/>
      <w:sz w:val="18"/>
      <w:szCs w:val="18"/>
    </w:rPr>
  </w:style>
  <w:style w:type="paragraph" w:customStyle="1" w:styleId="111">
    <w:name w:val="正文111"/>
    <w:basedOn w:val="a1"/>
    <w:link w:val="111CharCharChar"/>
    <w:autoRedefine/>
    <w:qFormat/>
    <w:rsid w:val="00AE3C89"/>
    <w:pPr>
      <w:spacing w:line="360" w:lineRule="auto"/>
      <w:ind w:firstLineChars="200" w:firstLine="360"/>
    </w:pPr>
    <w:rPr>
      <w:rFonts w:ascii="宋体" w:hAnsi="宋体"/>
      <w:color w:val="000000"/>
      <w:sz w:val="18"/>
      <w:szCs w:val="18"/>
    </w:rPr>
  </w:style>
  <w:style w:type="character" w:customStyle="1" w:styleId="active17">
    <w:name w:val="active17"/>
    <w:autoRedefine/>
    <w:qFormat/>
    <w:rsid w:val="00AE3C89"/>
    <w:rPr>
      <w:color w:val="FFFFFF"/>
      <w:bdr w:val="single" w:sz="48" w:space="0" w:color="004986"/>
      <w:shd w:val="clear" w:color="auto" w:fill="004986"/>
    </w:rPr>
  </w:style>
  <w:style w:type="character" w:customStyle="1" w:styleId="4Char2">
    <w:name w:val="标题 4 Char2"/>
    <w:autoRedefine/>
    <w:qFormat/>
    <w:rsid w:val="00AE3C89"/>
    <w:rPr>
      <w:rFonts w:ascii="宋体"/>
      <w:bCs/>
      <w:sz w:val="21"/>
      <w:szCs w:val="28"/>
    </w:rPr>
  </w:style>
  <w:style w:type="character" w:customStyle="1" w:styleId="CharCharChar4">
    <w:name w:val="【公式】 Char Char Char"/>
    <w:autoRedefine/>
    <w:qFormat/>
    <w:rsid w:val="00AE3C89"/>
    <w:rPr>
      <w:rFonts w:ascii="宋体" w:eastAsia="宋体" w:hAnsi="宋体" w:cs="宋体"/>
      <w:kern w:val="2"/>
      <w:sz w:val="24"/>
      <w:szCs w:val="24"/>
      <w:lang w:val="en-US" w:eastAsia="zh-CN" w:bidi="ar-SA"/>
    </w:rPr>
  </w:style>
  <w:style w:type="character" w:customStyle="1" w:styleId="4CharCharChar">
    <w:name w:val="标题4 Char Char Char"/>
    <w:autoRedefine/>
    <w:qFormat/>
    <w:rsid w:val="00AE3C89"/>
    <w:rPr>
      <w:rFonts w:ascii="宋体" w:eastAsia="宋体" w:hAnsi="宋体" w:cs="宋体"/>
      <w:bCs/>
      <w:color w:val="000000"/>
      <w:kern w:val="2"/>
      <w:sz w:val="24"/>
      <w:szCs w:val="24"/>
      <w:lang w:val="en-US" w:eastAsia="zh-CN" w:bidi="ar-SA"/>
    </w:rPr>
  </w:style>
  <w:style w:type="character" w:customStyle="1" w:styleId="CharCharChar5">
    <w:name w:val="表格标题 Char Char Char"/>
    <w:autoRedefine/>
    <w:qFormat/>
    <w:rsid w:val="00AE3C89"/>
    <w:rPr>
      <w:rFonts w:ascii="宋体" w:eastAsia="宋体" w:hAnsi="宋体"/>
      <w:color w:val="000000"/>
      <w:kern w:val="2"/>
      <w:sz w:val="24"/>
      <w:szCs w:val="24"/>
      <w:lang w:val="en-US" w:eastAsia="zh-CN" w:bidi="ar-SA"/>
    </w:rPr>
  </w:style>
  <w:style w:type="character" w:customStyle="1" w:styleId="34">
    <w:name w:val="纯文本 字符3"/>
    <w:autoRedefine/>
    <w:qFormat/>
    <w:rsid w:val="00AE3C89"/>
    <w:rPr>
      <w:rFonts w:ascii="宋体" w:eastAsia="宋体" w:hAnsi="Courier New"/>
      <w:kern w:val="2"/>
      <w:sz w:val="28"/>
      <w:lang w:val="en-US" w:eastAsia="zh-CN" w:bidi="ar-SA"/>
    </w:rPr>
  </w:style>
  <w:style w:type="character" w:customStyle="1" w:styleId="2Char2052CharCharCharChar">
    <w:name w:val="样式 样式 样式 样式 正文首行缩进 2 Char + 首行缩进:  2 字符 段后: 0.5 行 + 首行缩进:  2 字符 ... Char Char Char Char"/>
    <w:autoRedefine/>
    <w:qFormat/>
    <w:rsid w:val="00AE3C89"/>
    <w:rPr>
      <w:rFonts w:ascii="宋体" w:eastAsia="宋体" w:hAnsi="宋体" w:cs="宋体"/>
      <w:sz w:val="24"/>
      <w:lang w:val="en-US" w:eastAsia="zh-CN" w:bidi="ar-SA"/>
    </w:rPr>
  </w:style>
  <w:style w:type="character" w:customStyle="1" w:styleId="3CharChar">
    <w:name w:val="【标题3】 Char Char"/>
    <w:link w:val="35"/>
    <w:autoRedefine/>
    <w:qFormat/>
    <w:rsid w:val="00AE3C89"/>
    <w:rPr>
      <w:b/>
      <w:bCs/>
      <w:kern w:val="2"/>
      <w:sz w:val="30"/>
    </w:rPr>
  </w:style>
  <w:style w:type="paragraph" w:customStyle="1" w:styleId="35">
    <w:name w:val="【标题3】"/>
    <w:basedOn w:val="3"/>
    <w:link w:val="3CharChar"/>
    <w:autoRedefine/>
    <w:qFormat/>
    <w:rsid w:val="00AE3C89"/>
    <w:pPr>
      <w:keepNext w:val="0"/>
      <w:numPr>
        <w:ilvl w:val="0"/>
      </w:numPr>
      <w:adjustRightInd/>
      <w:snapToGrid/>
      <w:spacing w:before="240" w:after="240" w:line="240" w:lineRule="auto"/>
    </w:pPr>
    <w:rPr>
      <w:sz w:val="30"/>
      <w:szCs w:val="20"/>
    </w:rPr>
  </w:style>
  <w:style w:type="paragraph" w:customStyle="1" w:styleId="14">
    <w:name w:val="题注1"/>
    <w:basedOn w:val="a1"/>
    <w:next w:val="a1"/>
    <w:link w:val="CharChar2"/>
    <w:autoRedefine/>
    <w:qFormat/>
    <w:rsid w:val="00AE3C89"/>
    <w:rPr>
      <w:rFonts w:eastAsia="黑体"/>
      <w:sz w:val="24"/>
      <w:szCs w:val="20"/>
    </w:rPr>
  </w:style>
  <w:style w:type="character" w:customStyle="1" w:styleId="font111">
    <w:name w:val="font111"/>
    <w:autoRedefine/>
    <w:qFormat/>
    <w:rsid w:val="00AE3C89"/>
    <w:rPr>
      <w:rFonts w:ascii="Times New Roman" w:hAnsi="Times New Roman" w:cs="Times New Roman" w:hint="default"/>
      <w:color w:val="000000"/>
      <w:sz w:val="21"/>
      <w:szCs w:val="21"/>
      <w:u w:val="none"/>
      <w:vertAlign w:val="superscript"/>
    </w:rPr>
  </w:style>
  <w:style w:type="character" w:customStyle="1" w:styleId="2Char2052CharChar">
    <w:name w:val="样式 样式 样式 样式 正文首行缩进 2 Char + 首行缩进:  2 字符 段后: 0.5 行 + 首行缩进:  2 字符 ... Char Char"/>
    <w:link w:val="2Char2052"/>
    <w:autoRedefine/>
    <w:qFormat/>
    <w:rsid w:val="00AE3C89"/>
    <w:rPr>
      <w:rFonts w:ascii="宋体" w:hAnsi="宋体" w:cs="宋体"/>
      <w:sz w:val="24"/>
    </w:rPr>
  </w:style>
  <w:style w:type="paragraph" w:customStyle="1" w:styleId="2Char2052">
    <w:name w:val="样式 样式 样式 样式 正文首行缩进 2 Char + 首行缩进:  2 字符 段后: 0.5 行 + 首行缩进:  2 字符 ..."/>
    <w:basedOn w:val="a1"/>
    <w:link w:val="2Char2052CharChar"/>
    <w:autoRedefine/>
    <w:qFormat/>
    <w:rsid w:val="00AE3C89"/>
    <w:pPr>
      <w:widowControl/>
      <w:spacing w:afterLines="50" w:after="156" w:line="440" w:lineRule="exact"/>
      <w:ind w:firstLineChars="200" w:firstLine="480"/>
      <w:jc w:val="left"/>
    </w:pPr>
    <w:rPr>
      <w:rFonts w:ascii="宋体" w:hAnsi="宋体" w:cs="宋体"/>
      <w:kern w:val="0"/>
      <w:sz w:val="24"/>
      <w:szCs w:val="20"/>
    </w:rPr>
  </w:style>
  <w:style w:type="character" w:customStyle="1" w:styleId="5Char1">
    <w:name w:val="标题 5 Char1"/>
    <w:autoRedefine/>
    <w:qFormat/>
    <w:rsid w:val="00AE3C89"/>
    <w:rPr>
      <w:rFonts w:ascii="宋体"/>
      <w:b/>
      <w:bCs/>
      <w:sz w:val="28"/>
      <w:szCs w:val="28"/>
    </w:rPr>
  </w:style>
  <w:style w:type="character" w:customStyle="1" w:styleId="CharCharf">
    <w:name w:val="正文王 Char Char"/>
    <w:link w:val="afffffff8"/>
    <w:autoRedefine/>
    <w:qFormat/>
    <w:rsid w:val="00AE3C89"/>
    <w:rPr>
      <w:rFonts w:eastAsia="楷体_GB2312" w:cs="宋体"/>
      <w:color w:val="000000"/>
      <w:kern w:val="2"/>
      <w:sz w:val="28"/>
    </w:rPr>
  </w:style>
  <w:style w:type="paragraph" w:customStyle="1" w:styleId="afffffff8">
    <w:name w:val="正文王"/>
    <w:basedOn w:val="17"/>
    <w:link w:val="CharCharf"/>
    <w:autoRedefine/>
    <w:qFormat/>
    <w:rsid w:val="00AE3C89"/>
    <w:pPr>
      <w:keepNext w:val="0"/>
      <w:keepLines w:val="0"/>
      <w:spacing w:line="240" w:lineRule="auto"/>
      <w:ind w:firstLineChars="200" w:firstLine="200"/>
      <w:jc w:val="both"/>
      <w:outlineLvl w:val="9"/>
    </w:pPr>
    <w:rPr>
      <w:rFonts w:ascii="Times New Roman" w:eastAsia="楷体_GB2312" w:hAnsi="Times New Roman"/>
      <w:b w:val="0"/>
      <w:bCs w:val="0"/>
      <w:color w:val="000000"/>
      <w:kern w:val="2"/>
      <w:sz w:val="28"/>
      <w:szCs w:val="20"/>
    </w:rPr>
  </w:style>
  <w:style w:type="character" w:customStyle="1" w:styleId="CharCharf0">
    <w:name w:val="表格标题采用 Char Char"/>
    <w:link w:val="afffffff9"/>
    <w:autoRedefine/>
    <w:qFormat/>
    <w:rsid w:val="00AE3C89"/>
    <w:rPr>
      <w:rFonts w:ascii="黑体" w:eastAsia="黑体" w:hAnsi="宋体"/>
      <w:b/>
      <w:color w:val="000000"/>
      <w:kern w:val="2"/>
      <w:sz w:val="24"/>
      <w:szCs w:val="24"/>
    </w:rPr>
  </w:style>
  <w:style w:type="paragraph" w:customStyle="1" w:styleId="afffffff9">
    <w:name w:val="表格标题采用"/>
    <w:basedOn w:val="a1"/>
    <w:link w:val="CharCharf0"/>
    <w:autoRedefine/>
    <w:qFormat/>
    <w:rsid w:val="00AE3C89"/>
    <w:pPr>
      <w:ind w:firstLine="480"/>
      <w:jc w:val="center"/>
    </w:pPr>
    <w:rPr>
      <w:rFonts w:ascii="黑体" w:eastAsia="黑体" w:hAnsi="宋体"/>
      <w:b/>
      <w:color w:val="000000"/>
      <w:sz w:val="24"/>
      <w:szCs w:val="24"/>
    </w:rPr>
  </w:style>
  <w:style w:type="character" w:customStyle="1" w:styleId="NormalCharCharChar">
    <w:name w:val="Normal Char Char Char"/>
    <w:autoRedefine/>
    <w:qFormat/>
    <w:rsid w:val="00AE3C89"/>
  </w:style>
  <w:style w:type="character" w:customStyle="1" w:styleId="5CharChar">
    <w:name w:val="标题 5 Char Char"/>
    <w:autoRedefine/>
    <w:qFormat/>
    <w:rsid w:val="00AE3C89"/>
    <w:rPr>
      <w:rFonts w:ascii="宋体"/>
      <w:b/>
      <w:bCs/>
      <w:sz w:val="28"/>
      <w:szCs w:val="28"/>
    </w:rPr>
  </w:style>
  <w:style w:type="character" w:customStyle="1" w:styleId="CharChar40">
    <w:name w:val="Char Char4"/>
    <w:autoRedefine/>
    <w:qFormat/>
    <w:rsid w:val="00AE3C89"/>
    <w:rPr>
      <w:rFonts w:eastAsia="黑体"/>
      <w:kern w:val="2"/>
      <w:sz w:val="28"/>
      <w:szCs w:val="24"/>
      <w:lang w:val="en-US" w:eastAsia="zh-CN" w:bidi="ar-SA"/>
    </w:rPr>
  </w:style>
  <w:style w:type="character" w:customStyle="1" w:styleId="4Char1">
    <w:name w:val="标题 4 Char1"/>
    <w:autoRedefine/>
    <w:qFormat/>
    <w:rsid w:val="00AE3C89"/>
    <w:rPr>
      <w:rFonts w:ascii="宋体"/>
      <w:bCs/>
      <w:sz w:val="21"/>
      <w:szCs w:val="28"/>
    </w:rPr>
  </w:style>
  <w:style w:type="character" w:customStyle="1" w:styleId="CharCharf1">
    <w:name w:val="正文文本缩进 Char Char"/>
    <w:autoRedefine/>
    <w:qFormat/>
    <w:rsid w:val="00AE3C89"/>
    <w:rPr>
      <w:rFonts w:eastAsia="宋体"/>
      <w:bCs/>
      <w:sz w:val="28"/>
      <w:lang w:val="en-US" w:eastAsia="zh-CN" w:bidi="ar-SA"/>
    </w:rPr>
  </w:style>
  <w:style w:type="character" w:customStyle="1" w:styleId="CharCharCharChar2">
    <w:name w:val="【公式】 Char Char Char Char"/>
    <w:autoRedefine/>
    <w:qFormat/>
    <w:rsid w:val="00AE3C89"/>
    <w:rPr>
      <w:rFonts w:eastAsia="宋体" w:cs="宋体"/>
      <w:kern w:val="2"/>
      <w:sz w:val="24"/>
      <w:lang w:val="en-US" w:eastAsia="zh-CN" w:bidi="ar-SA"/>
    </w:rPr>
  </w:style>
  <w:style w:type="character" w:customStyle="1" w:styleId="CharCharc">
    <w:name w:val="四级标题 Char Char"/>
    <w:link w:val="affffffc"/>
    <w:autoRedefine/>
    <w:qFormat/>
    <w:rsid w:val="00AE3C89"/>
    <w:rPr>
      <w:kern w:val="44"/>
      <w:sz w:val="24"/>
      <w:szCs w:val="44"/>
    </w:rPr>
  </w:style>
  <w:style w:type="paragraph" w:customStyle="1" w:styleId="2f1">
    <w:name w:val="正文 + 首行缩进:  2 字符"/>
    <w:basedOn w:val="a1"/>
    <w:autoRedefine/>
    <w:qFormat/>
    <w:rsid w:val="00AE3C89"/>
    <w:pPr>
      <w:spacing w:line="460" w:lineRule="atLeast"/>
      <w:ind w:firstLineChars="200" w:firstLine="528"/>
    </w:pPr>
    <w:rPr>
      <w:rFonts w:ascii="宋体"/>
      <w:spacing w:val="12"/>
      <w:kern w:val="0"/>
      <w:sz w:val="24"/>
      <w:szCs w:val="20"/>
    </w:rPr>
  </w:style>
  <w:style w:type="character" w:customStyle="1" w:styleId="bg02">
    <w:name w:val="bg02"/>
    <w:autoRedefine/>
    <w:qFormat/>
    <w:rsid w:val="00AE3C89"/>
    <w:rPr>
      <w:sz w:val="16"/>
      <w:szCs w:val="0"/>
    </w:rPr>
  </w:style>
  <w:style w:type="character" w:customStyle="1" w:styleId="CharCharf2">
    <w:name w:val="正文图表标题 Char Char"/>
    <w:link w:val="afffffffa"/>
    <w:autoRedefine/>
    <w:qFormat/>
    <w:rsid w:val="00AE3C89"/>
    <w:rPr>
      <w:b/>
      <w:snapToGrid w:val="0"/>
      <w:kern w:val="24"/>
      <w:sz w:val="24"/>
      <w:szCs w:val="24"/>
    </w:rPr>
  </w:style>
  <w:style w:type="paragraph" w:customStyle="1" w:styleId="afffffffa">
    <w:name w:val="正文图表标题"/>
    <w:basedOn w:val="a1"/>
    <w:link w:val="CharCharf2"/>
    <w:autoRedefine/>
    <w:qFormat/>
    <w:rsid w:val="00AE3C89"/>
    <w:pPr>
      <w:adjustRightInd w:val="0"/>
      <w:snapToGrid w:val="0"/>
      <w:spacing w:line="360" w:lineRule="auto"/>
      <w:jc w:val="center"/>
    </w:pPr>
    <w:rPr>
      <w:b/>
      <w:snapToGrid w:val="0"/>
      <w:kern w:val="24"/>
      <w:sz w:val="24"/>
      <w:szCs w:val="24"/>
    </w:rPr>
  </w:style>
  <w:style w:type="character" w:customStyle="1" w:styleId="2CharCharChar">
    <w:name w:val="【标题2】 Char Char Char"/>
    <w:autoRedefine/>
    <w:qFormat/>
    <w:rsid w:val="00AE3C89"/>
    <w:rPr>
      <w:rFonts w:ascii="宋体" w:eastAsia="宋体" w:hAnsi="宋体"/>
      <w:b/>
      <w:bCs/>
      <w:kern w:val="2"/>
      <w:sz w:val="32"/>
      <w:szCs w:val="24"/>
      <w:lang w:val="en-US" w:eastAsia="zh-CN" w:bidi="ar-SA"/>
    </w:rPr>
  </w:style>
  <w:style w:type="character" w:customStyle="1" w:styleId="CharCharf3">
    <w:name w:val="标准 Char Char"/>
    <w:autoRedefine/>
    <w:qFormat/>
    <w:rsid w:val="00AE3C89"/>
    <w:rPr>
      <w:rFonts w:ascii="楷体_GB2312" w:eastAsia="楷体_GB2312"/>
      <w:sz w:val="32"/>
    </w:rPr>
  </w:style>
  <w:style w:type="character" w:customStyle="1" w:styleId="CharCharChar2">
    <w:name w:val="表内字 Char Char Char"/>
    <w:link w:val="affffff6"/>
    <w:autoRedefine/>
    <w:qFormat/>
    <w:rsid w:val="00AE3C89"/>
    <w:rPr>
      <w:snapToGrid w:val="0"/>
      <w:kern w:val="28"/>
      <w:position w:val="-24"/>
      <w:szCs w:val="21"/>
    </w:rPr>
  </w:style>
  <w:style w:type="character" w:customStyle="1" w:styleId="CharCharf4">
    <w:name w:val="环 表内容 Char Char"/>
    <w:link w:val="afffffffb"/>
    <w:autoRedefine/>
    <w:qFormat/>
    <w:rsid w:val="00AE3C89"/>
    <w:rPr>
      <w:rFonts w:ascii="宋体" w:hAnsi="宋体"/>
      <w:kern w:val="2"/>
      <w:sz w:val="18"/>
      <w:szCs w:val="21"/>
    </w:rPr>
  </w:style>
  <w:style w:type="paragraph" w:customStyle="1" w:styleId="afffffffb">
    <w:name w:val="环 表内容"/>
    <w:basedOn w:val="a1"/>
    <w:link w:val="CharCharf4"/>
    <w:autoRedefine/>
    <w:qFormat/>
    <w:rsid w:val="00AE3C89"/>
    <w:pPr>
      <w:wordWrap w:val="0"/>
      <w:spacing w:line="240" w:lineRule="exact"/>
      <w:jc w:val="center"/>
    </w:pPr>
    <w:rPr>
      <w:rFonts w:ascii="宋体" w:hAnsi="宋体"/>
      <w:sz w:val="18"/>
    </w:rPr>
  </w:style>
  <w:style w:type="character" w:customStyle="1" w:styleId="Char14">
    <w:name w:val="题注 Char1"/>
    <w:autoRedefine/>
    <w:qFormat/>
    <w:rsid w:val="00AE3C89"/>
    <w:rPr>
      <w:rFonts w:ascii="Arial" w:eastAsia="黑体" w:hAnsi="Arial" w:cs="Arial"/>
      <w:kern w:val="2"/>
      <w:sz w:val="21"/>
      <w:szCs w:val="24"/>
      <w:lang w:val="en-US" w:eastAsia="zh-CN" w:bidi="ar-SA"/>
    </w:rPr>
  </w:style>
  <w:style w:type="character" w:customStyle="1" w:styleId="Charf0">
    <w:name w:val="表体 Char"/>
    <w:link w:val="afffffffc"/>
    <w:autoRedefine/>
    <w:qFormat/>
    <w:rsid w:val="00AE3C89"/>
    <w:rPr>
      <w:rFonts w:ascii="宋体"/>
      <w:color w:val="000080"/>
      <w:kern w:val="24"/>
      <w:sz w:val="24"/>
    </w:rPr>
  </w:style>
  <w:style w:type="paragraph" w:customStyle="1" w:styleId="afffffffc">
    <w:name w:val="表体"/>
    <w:basedOn w:val="a1"/>
    <w:link w:val="Charf0"/>
    <w:autoRedefine/>
    <w:qFormat/>
    <w:rsid w:val="00AE3C89"/>
    <w:pPr>
      <w:overflowPunct w:val="0"/>
      <w:adjustRightInd w:val="0"/>
      <w:spacing w:before="40" w:after="40"/>
      <w:jc w:val="center"/>
      <w:textAlignment w:val="baseline"/>
    </w:pPr>
    <w:rPr>
      <w:rFonts w:ascii="宋体"/>
      <w:color w:val="000080"/>
      <w:kern w:val="24"/>
      <w:sz w:val="24"/>
      <w:szCs w:val="20"/>
    </w:rPr>
  </w:style>
  <w:style w:type="character" w:customStyle="1" w:styleId="CharCharChar6">
    <w:name w:val="【表头】 Char Char Char"/>
    <w:autoRedefine/>
    <w:qFormat/>
    <w:rsid w:val="00AE3C89"/>
    <w:rPr>
      <w:rFonts w:ascii="宋体" w:eastAsia="黑体" w:hAnsi="宋体" w:cs="宋体"/>
      <w:kern w:val="2"/>
      <w:sz w:val="24"/>
      <w:szCs w:val="24"/>
      <w:lang w:val="en-US" w:eastAsia="zh-CN" w:bidi="ar-SA"/>
    </w:rPr>
  </w:style>
  <w:style w:type="character" w:customStyle="1" w:styleId="2CharChar">
    <w:name w:val="正文首行缩进2字符 Char Char"/>
    <w:autoRedefine/>
    <w:qFormat/>
    <w:rsid w:val="00AE3C89"/>
    <w:rPr>
      <w:rFonts w:ascii="宋体" w:eastAsia="宋体" w:hAnsi="宋体" w:cs="宋体"/>
      <w:kern w:val="2"/>
      <w:sz w:val="28"/>
      <w:szCs w:val="24"/>
      <w:lang w:val="en-US" w:eastAsia="zh-CN" w:bidi="ar-SA"/>
    </w:rPr>
  </w:style>
  <w:style w:type="character" w:customStyle="1" w:styleId="Charf1">
    <w:name w:val="【正文】 Char"/>
    <w:link w:val="afffffffd"/>
    <w:autoRedefine/>
    <w:qFormat/>
    <w:rsid w:val="00AE3C89"/>
    <w:rPr>
      <w:rFonts w:cs="宋体"/>
      <w:kern w:val="2"/>
      <w:sz w:val="24"/>
    </w:rPr>
  </w:style>
  <w:style w:type="paragraph" w:customStyle="1" w:styleId="afffffffd">
    <w:name w:val="【正文】"/>
    <w:basedOn w:val="a1"/>
    <w:next w:val="afffffff6"/>
    <w:link w:val="Charf1"/>
    <w:autoRedefine/>
    <w:qFormat/>
    <w:rsid w:val="00AE3C89"/>
    <w:pPr>
      <w:spacing w:line="440" w:lineRule="exact"/>
      <w:ind w:firstLineChars="200" w:firstLine="544"/>
    </w:pPr>
    <w:rPr>
      <w:rFonts w:cs="宋体"/>
      <w:sz w:val="24"/>
      <w:szCs w:val="20"/>
    </w:rPr>
  </w:style>
  <w:style w:type="character" w:customStyle="1" w:styleId="Charf2">
    <w:name w:val="太平湖正文 Char"/>
    <w:link w:val="113"/>
    <w:autoRedefine/>
    <w:qFormat/>
    <w:rsid w:val="00AE3C89"/>
    <w:rPr>
      <w:rFonts w:ascii="宋体" w:hAnsi="宋体"/>
      <w:sz w:val="24"/>
      <w:szCs w:val="24"/>
    </w:rPr>
  </w:style>
  <w:style w:type="paragraph" w:customStyle="1" w:styleId="113">
    <w:name w:val="正文11"/>
    <w:basedOn w:val="a1"/>
    <w:next w:val="a1"/>
    <w:link w:val="Charf2"/>
    <w:autoRedefine/>
    <w:qFormat/>
    <w:rsid w:val="00AE3C89"/>
    <w:pPr>
      <w:widowControl/>
      <w:spacing w:line="360" w:lineRule="auto"/>
      <w:ind w:firstLine="504"/>
    </w:pPr>
    <w:rPr>
      <w:rFonts w:ascii="宋体" w:hAnsi="宋体"/>
      <w:kern w:val="0"/>
      <w:sz w:val="24"/>
      <w:szCs w:val="24"/>
    </w:rPr>
  </w:style>
  <w:style w:type="character" w:customStyle="1" w:styleId="4Char">
    <w:name w:val="标题 4 Char"/>
    <w:autoRedefine/>
    <w:qFormat/>
    <w:rsid w:val="00AE3C89"/>
    <w:rPr>
      <w:rFonts w:ascii="Arial" w:eastAsia="黑体" w:hAnsi="Arial"/>
      <w:b/>
      <w:bCs/>
      <w:spacing w:val="22"/>
      <w:kern w:val="2"/>
      <w:sz w:val="28"/>
      <w:szCs w:val="28"/>
      <w:lang w:val="en-US" w:eastAsia="zh-CN" w:bidi="ar-SA"/>
    </w:rPr>
  </w:style>
  <w:style w:type="character" w:customStyle="1" w:styleId="4CharChar0">
    <w:name w:val="标题4 Char Char"/>
    <w:link w:val="42"/>
    <w:autoRedefine/>
    <w:qFormat/>
    <w:rsid w:val="00AE3C89"/>
    <w:rPr>
      <w:rFonts w:ascii="宋体" w:hAnsi="Cambria"/>
      <w:b/>
      <w:bCs/>
      <w:kern w:val="2"/>
      <w:sz w:val="24"/>
      <w:szCs w:val="28"/>
    </w:rPr>
  </w:style>
  <w:style w:type="paragraph" w:customStyle="1" w:styleId="42">
    <w:name w:val="标题4"/>
    <w:basedOn w:val="a1"/>
    <w:link w:val="4CharChar0"/>
    <w:autoRedefine/>
    <w:qFormat/>
    <w:rsid w:val="00AE3C89"/>
    <w:pPr>
      <w:spacing w:line="360" w:lineRule="auto"/>
    </w:pPr>
    <w:rPr>
      <w:rFonts w:ascii="宋体" w:hAnsi="Cambria"/>
      <w:b/>
      <w:bCs/>
      <w:sz w:val="24"/>
      <w:szCs w:val="28"/>
    </w:rPr>
  </w:style>
  <w:style w:type="character" w:customStyle="1" w:styleId="CharCharf5">
    <w:name w:val="列出段落 Char Char"/>
    <w:autoRedefine/>
    <w:qFormat/>
    <w:rsid w:val="00AE3C89"/>
    <w:rPr>
      <w:rFonts w:ascii="宋体"/>
      <w:sz w:val="24"/>
    </w:rPr>
  </w:style>
  <w:style w:type="character" w:customStyle="1" w:styleId="CharCharf6">
    <w:name w:val="三级标题 Char Char"/>
    <w:autoRedefine/>
    <w:qFormat/>
    <w:rsid w:val="00AE3C89"/>
    <w:rPr>
      <w:rFonts w:ascii="宋体" w:eastAsia="黑体"/>
      <w:b/>
      <w:bCs/>
      <w:color w:val="0070C0"/>
      <w:sz w:val="28"/>
      <w:szCs w:val="28"/>
    </w:rPr>
  </w:style>
  <w:style w:type="character" w:customStyle="1" w:styleId="CharCharf7">
    <w:name w:val="【表头】 Char Char"/>
    <w:link w:val="afffffffe"/>
    <w:autoRedefine/>
    <w:qFormat/>
    <w:rsid w:val="00AE3C89"/>
    <w:rPr>
      <w:rFonts w:eastAsia="黑体" w:cs="宋体"/>
      <w:sz w:val="24"/>
    </w:rPr>
  </w:style>
  <w:style w:type="paragraph" w:customStyle="1" w:styleId="afffffffe">
    <w:name w:val="【表头】"/>
    <w:basedOn w:val="a1"/>
    <w:link w:val="CharCharf7"/>
    <w:autoRedefine/>
    <w:qFormat/>
    <w:rsid w:val="00AE3C89"/>
    <w:pPr>
      <w:spacing w:line="460" w:lineRule="exact"/>
      <w:jc w:val="center"/>
    </w:pPr>
    <w:rPr>
      <w:rFonts w:eastAsia="黑体" w:cs="宋体"/>
      <w:kern w:val="0"/>
      <w:sz w:val="24"/>
      <w:szCs w:val="20"/>
    </w:rPr>
  </w:style>
  <w:style w:type="character" w:customStyle="1" w:styleId="40">
    <w:name w:val="标题 4 字符"/>
    <w:link w:val="4"/>
    <w:autoRedefine/>
    <w:qFormat/>
    <w:rsid w:val="00AE3C89"/>
    <w:rPr>
      <w:b/>
      <w:bCs/>
      <w:kern w:val="2"/>
      <w:sz w:val="24"/>
      <w:szCs w:val="28"/>
    </w:rPr>
  </w:style>
  <w:style w:type="character" w:customStyle="1" w:styleId="1f2">
    <w:name w:val="正文文本首行缩进 字符1"/>
    <w:link w:val="36"/>
    <w:autoRedefine/>
    <w:qFormat/>
    <w:rsid w:val="00AE3C89"/>
    <w:rPr>
      <w:rFonts w:ascii="宋体"/>
      <w:sz w:val="28"/>
      <w:szCs w:val="24"/>
    </w:rPr>
  </w:style>
  <w:style w:type="paragraph" w:customStyle="1" w:styleId="36">
    <w:name w:val="3"/>
    <w:basedOn w:val="ad"/>
    <w:next w:val="aff2"/>
    <w:link w:val="1f2"/>
    <w:autoRedefine/>
    <w:qFormat/>
    <w:rsid w:val="00AE3C89"/>
    <w:pPr>
      <w:adjustRightInd w:val="0"/>
      <w:spacing w:line="312" w:lineRule="auto"/>
      <w:ind w:firstLine="567"/>
      <w:textAlignment w:val="baseline"/>
    </w:pPr>
    <w:rPr>
      <w:rFonts w:ascii="宋体"/>
      <w:kern w:val="0"/>
      <w:szCs w:val="24"/>
    </w:rPr>
  </w:style>
  <w:style w:type="character" w:customStyle="1" w:styleId="4CharCharCharChar">
    <w:name w:val="标题4 Char Char Char Char"/>
    <w:autoRedefine/>
    <w:qFormat/>
    <w:rsid w:val="00AE3C89"/>
    <w:rPr>
      <w:rFonts w:eastAsia="宋体" w:cs="宋体"/>
      <w:bCs/>
      <w:color w:val="000000"/>
      <w:kern w:val="2"/>
      <w:sz w:val="24"/>
      <w:lang w:val="en-US" w:eastAsia="zh-CN" w:bidi="ar-SA"/>
    </w:rPr>
  </w:style>
  <w:style w:type="character" w:customStyle="1" w:styleId="bdsnopic1">
    <w:name w:val="bds_nopic1"/>
    <w:basedOn w:val="a2"/>
    <w:autoRedefine/>
    <w:qFormat/>
    <w:rsid w:val="00AE3C89"/>
  </w:style>
  <w:style w:type="character" w:customStyle="1" w:styleId="1f3">
    <w:name w:val="页脚 字符1"/>
    <w:autoRedefine/>
    <w:qFormat/>
    <w:rsid w:val="00AE3C89"/>
    <w:rPr>
      <w:kern w:val="2"/>
      <w:sz w:val="18"/>
      <w:szCs w:val="18"/>
    </w:rPr>
  </w:style>
  <w:style w:type="character" w:customStyle="1" w:styleId="words-outer-wrap">
    <w:name w:val="words-outer-wrap"/>
    <w:basedOn w:val="a2"/>
    <w:autoRedefine/>
    <w:qFormat/>
    <w:rsid w:val="00AE3C89"/>
  </w:style>
  <w:style w:type="character" w:customStyle="1" w:styleId="CharCharChar7">
    <w:name w:val="正文文本缩进 Char Char Char"/>
    <w:autoRedefine/>
    <w:qFormat/>
    <w:rsid w:val="00AE3C89"/>
    <w:rPr>
      <w:rFonts w:eastAsia="宋体"/>
      <w:bCs/>
      <w:sz w:val="28"/>
      <w:lang w:val="en-US" w:eastAsia="zh-CN" w:bidi="ar-SA"/>
    </w:rPr>
  </w:style>
  <w:style w:type="character" w:customStyle="1" w:styleId="CharCharCharCharChar0">
    <w:name w:val="【表中文字】 Char Char Char Char Char"/>
    <w:link w:val="affffffff"/>
    <w:autoRedefine/>
    <w:qFormat/>
    <w:rsid w:val="00AE3C89"/>
    <w:rPr>
      <w:kern w:val="2"/>
      <w:sz w:val="21"/>
    </w:rPr>
  </w:style>
  <w:style w:type="paragraph" w:customStyle="1" w:styleId="affffffff">
    <w:name w:val="【表中文字】"/>
    <w:basedOn w:val="a1"/>
    <w:link w:val="CharCharCharCharChar0"/>
    <w:autoRedefine/>
    <w:qFormat/>
    <w:rsid w:val="00AE3C89"/>
    <w:pPr>
      <w:jc w:val="center"/>
    </w:pPr>
    <w:rPr>
      <w:szCs w:val="20"/>
    </w:rPr>
  </w:style>
  <w:style w:type="character" w:customStyle="1" w:styleId="CharCharChar8">
    <w:name w:val="标准 Char Char Char"/>
    <w:link w:val="affffffff0"/>
    <w:autoRedefine/>
    <w:qFormat/>
    <w:rsid w:val="00AE3C89"/>
    <w:rPr>
      <w:rFonts w:ascii="楷体_GB2312" w:eastAsia="楷体_GB2312"/>
      <w:sz w:val="32"/>
    </w:rPr>
  </w:style>
  <w:style w:type="paragraph" w:customStyle="1" w:styleId="affffffff0">
    <w:name w:val="标准"/>
    <w:basedOn w:val="a1"/>
    <w:link w:val="CharCharChar8"/>
    <w:autoRedefine/>
    <w:qFormat/>
    <w:rsid w:val="00AE3C89"/>
    <w:pPr>
      <w:adjustRightInd w:val="0"/>
      <w:spacing w:line="312" w:lineRule="atLeast"/>
      <w:textAlignment w:val="baseline"/>
    </w:pPr>
    <w:rPr>
      <w:rFonts w:ascii="楷体_GB2312" w:eastAsia="楷体_GB2312"/>
      <w:kern w:val="0"/>
      <w:sz w:val="32"/>
      <w:szCs w:val="20"/>
    </w:rPr>
  </w:style>
  <w:style w:type="character" w:customStyle="1" w:styleId="CharCharChar9">
    <w:name w:val="我的表格 Char Char Char"/>
    <w:link w:val="affffffff1"/>
    <w:autoRedefine/>
    <w:qFormat/>
    <w:rsid w:val="00AE3C89"/>
    <w:rPr>
      <w:sz w:val="21"/>
    </w:rPr>
  </w:style>
  <w:style w:type="paragraph" w:customStyle="1" w:styleId="affffffff1">
    <w:name w:val="我的表格"/>
    <w:basedOn w:val="a1"/>
    <w:link w:val="CharCharChar9"/>
    <w:autoRedefine/>
    <w:qFormat/>
    <w:rsid w:val="00AE3C89"/>
    <w:pPr>
      <w:adjustRightInd w:val="0"/>
      <w:jc w:val="center"/>
      <w:textAlignment w:val="baseline"/>
    </w:pPr>
    <w:rPr>
      <w:kern w:val="0"/>
      <w:szCs w:val="20"/>
    </w:rPr>
  </w:style>
  <w:style w:type="character" w:styleId="affffffff2">
    <w:name w:val="Placeholder Text"/>
    <w:autoRedefine/>
    <w:qFormat/>
    <w:rsid w:val="00AE3C89"/>
    <w:rPr>
      <w:color w:val="808080"/>
    </w:rPr>
  </w:style>
  <w:style w:type="character" w:customStyle="1" w:styleId="H3Char1">
    <w:name w:val="H3 Char1"/>
    <w:autoRedefine/>
    <w:qFormat/>
    <w:rsid w:val="00AE3C89"/>
    <w:rPr>
      <w:rFonts w:eastAsia="黑体"/>
      <w:color w:val="000000"/>
      <w:kern w:val="2"/>
      <w:sz w:val="24"/>
      <w:szCs w:val="24"/>
      <w:lang w:val="en-US" w:eastAsia="zh-CN" w:bidi="ar-SA"/>
    </w:rPr>
  </w:style>
  <w:style w:type="character" w:customStyle="1" w:styleId="TOC10">
    <w:name w:val="TOC 1 字符"/>
    <w:link w:val="TOC1"/>
    <w:autoRedefine/>
    <w:qFormat/>
    <w:rsid w:val="00AE3C89"/>
    <w:rPr>
      <w:rFonts w:ascii="Calibri" w:hAnsi="Calibri" w:cs="Calibri"/>
      <w:b/>
      <w:bCs/>
      <w:caps/>
      <w:kern w:val="2"/>
    </w:rPr>
  </w:style>
  <w:style w:type="character" w:customStyle="1" w:styleId="ae">
    <w:name w:val="正文文本 字符"/>
    <w:link w:val="ad"/>
    <w:autoRedefine/>
    <w:qFormat/>
    <w:rsid w:val="00AE3C89"/>
    <w:rPr>
      <w:kern w:val="2"/>
      <w:sz w:val="28"/>
      <w:szCs w:val="21"/>
    </w:rPr>
  </w:style>
  <w:style w:type="character" w:customStyle="1" w:styleId="CharCharf8">
    <w:name w:val="刘昕正文 Char Char"/>
    <w:link w:val="affffffff3"/>
    <w:autoRedefine/>
    <w:qFormat/>
    <w:rsid w:val="00AE3C89"/>
    <w:rPr>
      <w:rFonts w:cs="宋体"/>
      <w:kern w:val="2"/>
      <w:sz w:val="24"/>
    </w:rPr>
  </w:style>
  <w:style w:type="paragraph" w:customStyle="1" w:styleId="affffffff3">
    <w:name w:val="刘昕正文"/>
    <w:basedOn w:val="a1"/>
    <w:link w:val="CharCharf8"/>
    <w:autoRedefine/>
    <w:qFormat/>
    <w:rsid w:val="00AE3C89"/>
    <w:pPr>
      <w:spacing w:line="360" w:lineRule="auto"/>
      <w:ind w:firstLineChars="200" w:firstLine="480"/>
    </w:pPr>
    <w:rPr>
      <w:rFonts w:cs="宋体"/>
      <w:sz w:val="24"/>
      <w:szCs w:val="20"/>
    </w:rPr>
  </w:style>
  <w:style w:type="character" w:customStyle="1" w:styleId="2CharChar0">
    <w:name w:val="【标题2】 Char Char"/>
    <w:link w:val="2f2"/>
    <w:autoRedefine/>
    <w:qFormat/>
    <w:rsid w:val="00AE3C89"/>
    <w:rPr>
      <w:b/>
      <w:bCs/>
      <w:kern w:val="2"/>
      <w:sz w:val="32"/>
    </w:rPr>
  </w:style>
  <w:style w:type="paragraph" w:customStyle="1" w:styleId="2f2">
    <w:name w:val="【标题2】"/>
    <w:basedOn w:val="2"/>
    <w:link w:val="2CharChar0"/>
    <w:autoRedefine/>
    <w:qFormat/>
    <w:rsid w:val="00AE3C89"/>
    <w:pPr>
      <w:keepNext w:val="0"/>
      <w:numPr>
        <w:ilvl w:val="0"/>
      </w:numPr>
      <w:adjustRightInd/>
      <w:snapToGrid/>
      <w:spacing w:before="120" w:after="120" w:line="240" w:lineRule="auto"/>
    </w:pPr>
    <w:rPr>
      <w:bCs/>
      <w:sz w:val="32"/>
      <w:szCs w:val="20"/>
    </w:rPr>
  </w:style>
  <w:style w:type="character" w:customStyle="1" w:styleId="1CharChar1">
    <w:name w:val="表头1 Char Char"/>
    <w:link w:val="1f4"/>
    <w:autoRedefine/>
    <w:qFormat/>
    <w:rsid w:val="00AE3C89"/>
    <w:rPr>
      <w:rFonts w:eastAsia="黑体"/>
      <w:sz w:val="21"/>
      <w:szCs w:val="28"/>
    </w:rPr>
  </w:style>
  <w:style w:type="paragraph" w:customStyle="1" w:styleId="1f4">
    <w:name w:val="表头1"/>
    <w:basedOn w:val="a1"/>
    <w:next w:val="a1"/>
    <w:link w:val="1CharChar1"/>
    <w:autoRedefine/>
    <w:qFormat/>
    <w:rsid w:val="00AE3C89"/>
    <w:pPr>
      <w:tabs>
        <w:tab w:val="left" w:pos="605"/>
      </w:tabs>
      <w:adjustRightInd w:val="0"/>
      <w:snapToGrid w:val="0"/>
      <w:jc w:val="center"/>
    </w:pPr>
    <w:rPr>
      <w:rFonts w:eastAsia="黑体"/>
      <w:kern w:val="0"/>
      <w:szCs w:val="28"/>
    </w:rPr>
  </w:style>
  <w:style w:type="character" w:customStyle="1" w:styleId="CharChar80">
    <w:name w:val="Char Char8"/>
    <w:autoRedefine/>
    <w:qFormat/>
    <w:rsid w:val="00AE3C89"/>
    <w:rPr>
      <w:rFonts w:ascii="Arial" w:eastAsia="黑体" w:hAnsi="Arial"/>
      <w:kern w:val="2"/>
      <w:lang w:bidi="ar-SA"/>
    </w:rPr>
  </w:style>
  <w:style w:type="character" w:customStyle="1" w:styleId="CharCharf9">
    <w:name w:val="内容 Char Char"/>
    <w:link w:val="affffffff4"/>
    <w:autoRedefine/>
    <w:qFormat/>
    <w:rsid w:val="00AE3C89"/>
    <w:rPr>
      <w:rFonts w:ascii="宋体" w:hAnsi="宋体" w:cs="宋体"/>
      <w:bCs/>
      <w:sz w:val="26"/>
      <w:szCs w:val="24"/>
    </w:rPr>
  </w:style>
  <w:style w:type="paragraph" w:customStyle="1" w:styleId="affffffff4">
    <w:name w:val="内容"/>
    <w:basedOn w:val="a1"/>
    <w:link w:val="CharCharf9"/>
    <w:autoRedefine/>
    <w:qFormat/>
    <w:rsid w:val="00AE3C89"/>
    <w:pPr>
      <w:widowControl/>
      <w:spacing w:line="520" w:lineRule="exact"/>
      <w:ind w:firstLineChars="200" w:firstLine="200"/>
      <w:jc w:val="left"/>
    </w:pPr>
    <w:rPr>
      <w:rFonts w:ascii="宋体" w:hAnsi="宋体" w:cs="宋体"/>
      <w:bCs/>
      <w:kern w:val="0"/>
      <w:sz w:val="26"/>
      <w:szCs w:val="24"/>
    </w:rPr>
  </w:style>
  <w:style w:type="character" w:customStyle="1" w:styleId="1CharChar2">
    <w:name w:val="正文1 Char Char"/>
    <w:autoRedefine/>
    <w:qFormat/>
    <w:rsid w:val="00AE3C89"/>
    <w:rPr>
      <w:rFonts w:ascii="宋体" w:eastAsia="宋体"/>
      <w:sz w:val="24"/>
      <w:lang w:val="en-US" w:eastAsia="zh-CN" w:bidi="ar-SA"/>
    </w:rPr>
  </w:style>
  <w:style w:type="character" w:customStyle="1" w:styleId="CharCharChara">
    <w:name w:val="【正文】 Char Char Char"/>
    <w:autoRedefine/>
    <w:qFormat/>
    <w:rsid w:val="00AE3C89"/>
    <w:rPr>
      <w:rFonts w:ascii="宋体" w:eastAsia="宋体" w:hAnsi="宋体" w:cs="宋体"/>
      <w:kern w:val="2"/>
      <w:sz w:val="24"/>
      <w:szCs w:val="24"/>
      <w:lang w:val="en-US" w:eastAsia="zh-CN" w:bidi="ar-SA"/>
    </w:rPr>
  </w:style>
  <w:style w:type="character" w:customStyle="1" w:styleId="CharCharChar3">
    <w:name w:val="三级标题 Char Char Char"/>
    <w:link w:val="affffffb"/>
    <w:autoRedefine/>
    <w:qFormat/>
    <w:rsid w:val="00AE3C89"/>
    <w:rPr>
      <w:kern w:val="44"/>
      <w:sz w:val="24"/>
      <w:szCs w:val="44"/>
    </w:rPr>
  </w:style>
  <w:style w:type="character" w:customStyle="1" w:styleId="CharCharfa">
    <w:name w:val="我的正文 Char Char"/>
    <w:autoRedefine/>
    <w:qFormat/>
    <w:rsid w:val="00AE3C89"/>
    <w:rPr>
      <w:rFonts w:ascii="宋体" w:hAnsi="宋体"/>
      <w:kern w:val="2"/>
      <w:sz w:val="24"/>
      <w:szCs w:val="28"/>
    </w:rPr>
  </w:style>
  <w:style w:type="character" w:customStyle="1" w:styleId="CharCharCharCharChar1">
    <w:name w:val="【公式】 Char Char Char Char Char"/>
    <w:link w:val="affffffff5"/>
    <w:autoRedefine/>
    <w:qFormat/>
    <w:rsid w:val="00AE3C89"/>
    <w:rPr>
      <w:rFonts w:cs="宋体"/>
      <w:kern w:val="2"/>
      <w:sz w:val="24"/>
    </w:rPr>
  </w:style>
  <w:style w:type="paragraph" w:customStyle="1" w:styleId="affffffff5">
    <w:name w:val="【公式】"/>
    <w:basedOn w:val="a1"/>
    <w:link w:val="CharCharCharCharChar1"/>
    <w:autoRedefine/>
    <w:qFormat/>
    <w:rsid w:val="00AE3C89"/>
    <w:pPr>
      <w:jc w:val="center"/>
      <w:textAlignment w:val="center"/>
    </w:pPr>
    <w:rPr>
      <w:rFonts w:cs="宋体"/>
      <w:sz w:val="24"/>
      <w:szCs w:val="20"/>
    </w:rPr>
  </w:style>
  <w:style w:type="character" w:customStyle="1" w:styleId="CharCharCharChar3">
    <w:name w:val="表格标题采用 Char Char Char Char"/>
    <w:autoRedefine/>
    <w:qFormat/>
    <w:rsid w:val="00AE3C89"/>
    <w:rPr>
      <w:rFonts w:ascii="宋体" w:eastAsia="宋体" w:hAnsi="宋体"/>
      <w:b/>
      <w:color w:val="000000"/>
      <w:kern w:val="2"/>
      <w:sz w:val="24"/>
      <w:szCs w:val="24"/>
      <w:lang w:val="en-US" w:eastAsia="zh-CN" w:bidi="ar-SA"/>
    </w:rPr>
  </w:style>
  <w:style w:type="character" w:customStyle="1" w:styleId="CharCharCharChar4">
    <w:name w:val="【表中文字】 Char Char Char Char"/>
    <w:autoRedefine/>
    <w:qFormat/>
    <w:rsid w:val="00AE3C89"/>
    <w:rPr>
      <w:rFonts w:eastAsia="宋体"/>
      <w:kern w:val="2"/>
      <w:sz w:val="21"/>
      <w:lang w:val="en-US" w:eastAsia="zh-CN" w:bidi="ar-SA"/>
    </w:rPr>
  </w:style>
  <w:style w:type="character" w:customStyle="1" w:styleId="CharCharCharChar5">
    <w:name w:val="【表头】 Char Char Char Char"/>
    <w:autoRedefine/>
    <w:qFormat/>
    <w:rsid w:val="00AE3C89"/>
    <w:rPr>
      <w:rFonts w:eastAsia="黑体" w:cs="宋体"/>
      <w:sz w:val="24"/>
      <w:lang w:val="en-US" w:eastAsia="zh-CN" w:bidi="ar-SA"/>
    </w:rPr>
  </w:style>
  <w:style w:type="character" w:customStyle="1" w:styleId="bdsmore">
    <w:name w:val="bds_more"/>
    <w:basedOn w:val="a2"/>
    <w:autoRedefine/>
    <w:qFormat/>
    <w:rsid w:val="00AE3C89"/>
  </w:style>
  <w:style w:type="character" w:customStyle="1" w:styleId="CharChar11">
    <w:name w:val="Char Char11"/>
    <w:autoRedefine/>
    <w:qFormat/>
    <w:rsid w:val="00AE3C89"/>
    <w:rPr>
      <w:rFonts w:ascii="Times New Roman" w:eastAsia="宋体" w:hAnsi="Times New Roman" w:cs="Times New Roman"/>
      <w:sz w:val="16"/>
      <w:szCs w:val="16"/>
    </w:rPr>
  </w:style>
  <w:style w:type="character" w:customStyle="1" w:styleId="Char15">
    <w:name w:val="正 Char1"/>
    <w:link w:val="affffffff6"/>
    <w:autoRedefine/>
    <w:qFormat/>
    <w:rsid w:val="00AE3C89"/>
    <w:rPr>
      <w:rFonts w:ascii="Calibri" w:hAnsi="Calibri" w:cs="宋体"/>
      <w:kern w:val="2"/>
      <w:sz w:val="24"/>
    </w:rPr>
  </w:style>
  <w:style w:type="paragraph" w:customStyle="1" w:styleId="affffffff6">
    <w:name w:val="正"/>
    <w:basedOn w:val="a1"/>
    <w:link w:val="Char15"/>
    <w:autoRedefine/>
    <w:qFormat/>
    <w:rsid w:val="00AE3C89"/>
    <w:pPr>
      <w:spacing w:beforeLines="25" w:before="78" w:afterLines="25" w:after="78" w:line="440" w:lineRule="exact"/>
      <w:ind w:firstLineChars="200" w:firstLine="200"/>
    </w:pPr>
    <w:rPr>
      <w:rFonts w:ascii="Calibri" w:hAnsi="Calibri" w:cs="宋体"/>
      <w:sz w:val="24"/>
      <w:szCs w:val="20"/>
    </w:rPr>
  </w:style>
  <w:style w:type="character" w:customStyle="1" w:styleId="tabg1">
    <w:name w:val="tabg1"/>
    <w:basedOn w:val="a2"/>
    <w:autoRedefine/>
    <w:qFormat/>
    <w:rsid w:val="00AE3C89"/>
  </w:style>
  <w:style w:type="character" w:customStyle="1" w:styleId="CharCharCharb">
    <w:name w:val="表格标题采用 Char Char Char"/>
    <w:autoRedefine/>
    <w:qFormat/>
    <w:rsid w:val="00AE3C89"/>
    <w:rPr>
      <w:rFonts w:ascii="黑体" w:eastAsia="黑体" w:hAnsi="宋体"/>
      <w:b/>
      <w:color w:val="000000"/>
      <w:kern w:val="2"/>
      <w:sz w:val="24"/>
      <w:szCs w:val="24"/>
      <w:lang w:val="en-US" w:eastAsia="zh-CN" w:bidi="ar-SA"/>
    </w:rPr>
  </w:style>
  <w:style w:type="character" w:customStyle="1" w:styleId="title12">
    <w:name w:val="title12"/>
    <w:basedOn w:val="a2"/>
    <w:autoRedefine/>
    <w:qFormat/>
    <w:rsid w:val="00AE3C89"/>
  </w:style>
  <w:style w:type="character" w:customStyle="1" w:styleId="cucd-0CharChar">
    <w:name w:val="cucd-0 Char Char"/>
    <w:link w:val="cucd-0"/>
    <w:autoRedefine/>
    <w:qFormat/>
    <w:rsid w:val="00AE3C89"/>
    <w:rPr>
      <w:kern w:val="2"/>
      <w:sz w:val="24"/>
      <w:szCs w:val="24"/>
    </w:rPr>
  </w:style>
  <w:style w:type="paragraph" w:customStyle="1" w:styleId="cucd-0">
    <w:name w:val="cucd-0"/>
    <w:link w:val="cucd-0CharChar"/>
    <w:autoRedefine/>
    <w:qFormat/>
    <w:rsid w:val="00AE3C89"/>
    <w:pPr>
      <w:spacing w:line="360" w:lineRule="auto"/>
      <w:ind w:firstLineChars="200" w:firstLine="480"/>
    </w:pPr>
    <w:rPr>
      <w:kern w:val="2"/>
      <w:sz w:val="24"/>
      <w:szCs w:val="24"/>
    </w:rPr>
  </w:style>
  <w:style w:type="character" w:customStyle="1" w:styleId="00CharChar">
    <w:name w:val="正文00 Char Char"/>
    <w:link w:val="000"/>
    <w:autoRedefine/>
    <w:qFormat/>
    <w:rsid w:val="00AE3C89"/>
    <w:rPr>
      <w:rFonts w:cs="宋体"/>
      <w:kern w:val="2"/>
      <w:sz w:val="24"/>
      <w:szCs w:val="24"/>
    </w:rPr>
  </w:style>
  <w:style w:type="paragraph" w:customStyle="1" w:styleId="000">
    <w:name w:val="正文00"/>
    <w:basedOn w:val="a1"/>
    <w:link w:val="00CharChar"/>
    <w:autoRedefine/>
    <w:qFormat/>
    <w:rsid w:val="00AE3C89"/>
    <w:pPr>
      <w:spacing w:line="360" w:lineRule="auto"/>
      <w:ind w:firstLineChars="200" w:firstLine="480"/>
    </w:pPr>
    <w:rPr>
      <w:rFonts w:cs="宋体"/>
      <w:sz w:val="24"/>
      <w:szCs w:val="24"/>
    </w:rPr>
  </w:style>
  <w:style w:type="character" w:customStyle="1" w:styleId="CharCharfb">
    <w:name w:val="表格 Char Char"/>
    <w:autoRedefine/>
    <w:qFormat/>
    <w:rsid w:val="00AE3C89"/>
    <w:rPr>
      <w:bCs/>
      <w:snapToGrid w:val="0"/>
      <w:color w:val="000000"/>
    </w:rPr>
  </w:style>
  <w:style w:type="character" w:customStyle="1" w:styleId="CharCharfc">
    <w:name w:val="表格内字体 Char Char"/>
    <w:autoRedefine/>
    <w:qFormat/>
    <w:rsid w:val="00AE3C89"/>
    <w:rPr>
      <w:rFonts w:eastAsia="仿宋_GB2312"/>
      <w:snapToGrid w:val="0"/>
      <w:kern w:val="21"/>
      <w:sz w:val="21"/>
      <w:szCs w:val="21"/>
      <w:lang w:val="en-US" w:eastAsia="zh-CN" w:bidi="ar-SA"/>
    </w:rPr>
  </w:style>
  <w:style w:type="character" w:customStyle="1" w:styleId="split-word">
    <w:name w:val="split-word"/>
    <w:basedOn w:val="a2"/>
    <w:autoRedefine/>
    <w:qFormat/>
    <w:rsid w:val="00AE3C89"/>
  </w:style>
  <w:style w:type="character" w:customStyle="1" w:styleId="CharCharfd">
    <w:name w:val="我的表格 Char Char"/>
    <w:autoRedefine/>
    <w:qFormat/>
    <w:rsid w:val="00AE3C89"/>
    <w:rPr>
      <w:sz w:val="21"/>
    </w:rPr>
  </w:style>
  <w:style w:type="character" w:customStyle="1" w:styleId="3CharChar0">
    <w:name w:val="新标题3 Char Char"/>
    <w:link w:val="37"/>
    <w:autoRedefine/>
    <w:qFormat/>
    <w:rsid w:val="00AE3C89"/>
    <w:rPr>
      <w:rFonts w:ascii="宋体" w:hAnsi="宋体"/>
      <w:sz w:val="28"/>
      <w:szCs w:val="28"/>
    </w:rPr>
  </w:style>
  <w:style w:type="paragraph" w:customStyle="1" w:styleId="37">
    <w:name w:val="新标题3"/>
    <w:basedOn w:val="a1"/>
    <w:link w:val="3CharChar0"/>
    <w:autoRedefine/>
    <w:qFormat/>
    <w:rsid w:val="00AE3C89"/>
    <w:pPr>
      <w:ind w:left="1418" w:hanging="567"/>
    </w:pPr>
    <w:rPr>
      <w:rFonts w:ascii="宋体" w:hAnsi="宋体"/>
      <w:kern w:val="0"/>
      <w:sz w:val="28"/>
      <w:szCs w:val="28"/>
    </w:rPr>
  </w:style>
  <w:style w:type="character" w:customStyle="1" w:styleId="221">
    <w:name w:val="标题 2 字符2"/>
    <w:autoRedefine/>
    <w:qFormat/>
    <w:rsid w:val="00AE3C89"/>
    <w:rPr>
      <w:rFonts w:eastAsia="黑体"/>
      <w:color w:val="0070C0"/>
      <w:kern w:val="2"/>
      <w:sz w:val="30"/>
    </w:rPr>
  </w:style>
  <w:style w:type="character" w:customStyle="1" w:styleId="CharCharCharc">
    <w:name w:val="表头 Char Char Char"/>
    <w:autoRedefine/>
    <w:qFormat/>
    <w:rsid w:val="00AE3C89"/>
    <w:rPr>
      <w:rFonts w:eastAsia="宋体"/>
      <w:b/>
      <w:color w:val="000000"/>
      <w:sz w:val="24"/>
      <w:szCs w:val="24"/>
      <w:lang w:val="en-US" w:eastAsia="zh-CN" w:bidi="ar-SA"/>
    </w:rPr>
  </w:style>
  <w:style w:type="character" w:customStyle="1" w:styleId="Char30">
    <w:name w:val="正文缩进 Char3"/>
    <w:autoRedefine/>
    <w:qFormat/>
    <w:rsid w:val="00AE3C89"/>
    <w:rPr>
      <w:rFonts w:ascii="宋体" w:eastAsia="宋体" w:hAnsi="宋体"/>
      <w:kern w:val="2"/>
      <w:sz w:val="21"/>
      <w:szCs w:val="21"/>
      <w:lang w:val="en-US" w:eastAsia="zh-CN" w:bidi="ar-SA"/>
    </w:rPr>
  </w:style>
  <w:style w:type="character" w:customStyle="1" w:styleId="FontStyle13">
    <w:name w:val="Font Style13"/>
    <w:autoRedefine/>
    <w:qFormat/>
    <w:rsid w:val="00AE3C89"/>
    <w:rPr>
      <w:rFonts w:ascii="黑体" w:eastAsia="黑体" w:cs="黑体"/>
      <w:sz w:val="26"/>
      <w:szCs w:val="26"/>
    </w:rPr>
  </w:style>
  <w:style w:type="character" w:customStyle="1" w:styleId="11123CharChar">
    <w:name w:val="1.1.123级 Char Char"/>
    <w:link w:val="11123"/>
    <w:autoRedefine/>
    <w:qFormat/>
    <w:rsid w:val="00AE3C89"/>
    <w:rPr>
      <w:rFonts w:ascii="楷体_GB2312" w:eastAsia="楷体_GB2312" w:hAnsi="宋体" w:cs="宋体"/>
      <w:b/>
      <w:bCs/>
      <w:sz w:val="26"/>
      <w:szCs w:val="24"/>
    </w:rPr>
  </w:style>
  <w:style w:type="paragraph" w:customStyle="1" w:styleId="11123">
    <w:name w:val="1.1.123级"/>
    <w:basedOn w:val="a1"/>
    <w:next w:val="a1"/>
    <w:link w:val="11123CharChar"/>
    <w:autoRedefine/>
    <w:qFormat/>
    <w:rsid w:val="00AE3C89"/>
    <w:pPr>
      <w:widowControl/>
      <w:spacing w:line="520" w:lineRule="exact"/>
      <w:ind w:firstLineChars="200" w:firstLine="520"/>
      <w:jc w:val="left"/>
      <w:outlineLvl w:val="2"/>
    </w:pPr>
    <w:rPr>
      <w:rFonts w:ascii="楷体_GB2312" w:eastAsia="楷体_GB2312" w:hAnsi="宋体" w:cs="宋体"/>
      <w:b/>
      <w:bCs/>
      <w:kern w:val="0"/>
      <w:sz w:val="26"/>
      <w:szCs w:val="24"/>
    </w:rPr>
  </w:style>
  <w:style w:type="character" w:customStyle="1" w:styleId="bg01">
    <w:name w:val="bg01"/>
    <w:autoRedefine/>
    <w:qFormat/>
    <w:rsid w:val="00AE3C89"/>
    <w:rPr>
      <w:sz w:val="16"/>
      <w:szCs w:val="0"/>
    </w:rPr>
  </w:style>
  <w:style w:type="character" w:customStyle="1" w:styleId="CharCharCharCharChar2">
    <w:name w:val="表格内容 Char Char Char Char Char"/>
    <w:autoRedefine/>
    <w:qFormat/>
    <w:rsid w:val="00AE3C89"/>
    <w:rPr>
      <w:rFonts w:eastAsia="宋体"/>
      <w:snapToGrid w:val="0"/>
      <w:color w:val="FF0000"/>
      <w:sz w:val="21"/>
      <w:szCs w:val="21"/>
      <w:lang w:val="en-US" w:eastAsia="zh-CN" w:bidi="ar-SA"/>
    </w:rPr>
  </w:style>
  <w:style w:type="character" w:customStyle="1" w:styleId="CharCharChard">
    <w:name w:val="正文格式 Char Char Char"/>
    <w:link w:val="affffffff7"/>
    <w:autoRedefine/>
    <w:qFormat/>
    <w:rsid w:val="00AE3C89"/>
    <w:rPr>
      <w:rFonts w:cs="宋体"/>
      <w:kern w:val="2"/>
      <w:sz w:val="24"/>
      <w:szCs w:val="24"/>
    </w:rPr>
  </w:style>
  <w:style w:type="paragraph" w:customStyle="1" w:styleId="affffffff7">
    <w:name w:val="正文格式"/>
    <w:basedOn w:val="a1"/>
    <w:link w:val="CharCharChard"/>
    <w:autoRedefine/>
    <w:qFormat/>
    <w:rsid w:val="00AE3C89"/>
    <w:pPr>
      <w:spacing w:line="360" w:lineRule="auto"/>
      <w:ind w:firstLineChars="200" w:firstLine="544"/>
    </w:pPr>
    <w:rPr>
      <w:rFonts w:cs="宋体"/>
      <w:sz w:val="24"/>
      <w:szCs w:val="24"/>
    </w:rPr>
  </w:style>
  <w:style w:type="character" w:customStyle="1" w:styleId="unnamed11">
    <w:name w:val="unnamed11"/>
    <w:autoRedefine/>
    <w:qFormat/>
    <w:rsid w:val="00AE3C89"/>
    <w:rPr>
      <w:color w:val="000000"/>
      <w:spacing w:val="450"/>
      <w:sz w:val="18"/>
      <w:szCs w:val="18"/>
    </w:rPr>
  </w:style>
  <w:style w:type="character" w:customStyle="1" w:styleId="headline-content3">
    <w:name w:val="headline-content3"/>
    <w:basedOn w:val="a2"/>
    <w:autoRedefine/>
    <w:qFormat/>
    <w:rsid w:val="00AE3C89"/>
  </w:style>
  <w:style w:type="character" w:customStyle="1" w:styleId="CharCharfe">
    <w:name w:val="报告书正文 Char Char"/>
    <w:autoRedefine/>
    <w:qFormat/>
    <w:rsid w:val="00AE3C89"/>
    <w:rPr>
      <w:rFonts w:eastAsia="宋体"/>
      <w:kern w:val="2"/>
      <w:sz w:val="24"/>
      <w:szCs w:val="24"/>
      <w:lang w:val="en-US" w:eastAsia="zh-CN" w:bidi="ar-SA"/>
    </w:rPr>
  </w:style>
  <w:style w:type="character" w:customStyle="1" w:styleId="2Char2052CharCharChar">
    <w:name w:val="样式 样式 样式 样式 正文首行缩进 2 Char + 首行缩进:  2 字符 段后: 0.5 行 + 首行缩进:  2 字符 ... Char Char Char"/>
    <w:autoRedefine/>
    <w:qFormat/>
    <w:rsid w:val="00AE3C89"/>
    <w:rPr>
      <w:rFonts w:ascii="宋体" w:eastAsia="宋体" w:hAnsi="宋体" w:cs="宋体"/>
      <w:kern w:val="2"/>
      <w:sz w:val="24"/>
      <w:szCs w:val="24"/>
      <w:lang w:val="en-US" w:eastAsia="zh-CN" w:bidi="ar-SA"/>
    </w:rPr>
  </w:style>
  <w:style w:type="character" w:customStyle="1" w:styleId="bdsnopic">
    <w:name w:val="bds_nopic"/>
    <w:basedOn w:val="a2"/>
    <w:autoRedefine/>
    <w:qFormat/>
    <w:rsid w:val="00AE3C89"/>
  </w:style>
  <w:style w:type="character" w:customStyle="1" w:styleId="2Char1">
    <w:name w:val="标题 2 Char1"/>
    <w:autoRedefine/>
    <w:qFormat/>
    <w:rsid w:val="00AE3C89"/>
    <w:rPr>
      <w:rFonts w:eastAsia="黑体"/>
      <w:kern w:val="2"/>
      <w:sz w:val="28"/>
      <w:szCs w:val="24"/>
      <w:lang w:val="en-US" w:eastAsia="zh-CN" w:bidi="ar-SA"/>
    </w:rPr>
  </w:style>
  <w:style w:type="character" w:customStyle="1" w:styleId="CharCharff">
    <w:name w:val="普通(网站) Char Char"/>
    <w:autoRedefine/>
    <w:qFormat/>
    <w:rsid w:val="00AE3C89"/>
    <w:rPr>
      <w:rFonts w:ascii="宋体" w:eastAsia="宋体" w:hAnsi="宋体" w:cs="宋体" w:hint="eastAsia"/>
      <w:sz w:val="24"/>
      <w:szCs w:val="24"/>
      <w:lang w:val="en-US" w:eastAsia="zh-CN" w:bidi="ar-SA"/>
    </w:rPr>
  </w:style>
  <w:style w:type="character" w:customStyle="1" w:styleId="----------------CharCharChar">
    <w:name w:val="正文---------------- Char Char Char"/>
    <w:link w:val="----------------"/>
    <w:autoRedefine/>
    <w:qFormat/>
    <w:rsid w:val="00AE3C89"/>
    <w:rPr>
      <w:rFonts w:cs="宋体"/>
      <w:spacing w:val="16"/>
      <w:kern w:val="2"/>
      <w:sz w:val="24"/>
    </w:rPr>
  </w:style>
  <w:style w:type="paragraph" w:customStyle="1" w:styleId="----------------">
    <w:name w:val="正文----------------"/>
    <w:basedOn w:val="a1"/>
    <w:link w:val="----------------CharCharChar"/>
    <w:autoRedefine/>
    <w:qFormat/>
    <w:rsid w:val="00AE3C89"/>
    <w:pPr>
      <w:spacing w:line="440" w:lineRule="exact"/>
      <w:ind w:firstLineChars="200" w:firstLine="544"/>
    </w:pPr>
    <w:rPr>
      <w:rFonts w:cs="宋体"/>
      <w:spacing w:val="16"/>
      <w:sz w:val="24"/>
      <w:szCs w:val="20"/>
    </w:rPr>
  </w:style>
  <w:style w:type="character" w:customStyle="1" w:styleId="1Char3">
    <w:name w:val="标题 1 Char3"/>
    <w:autoRedefine/>
    <w:qFormat/>
    <w:rsid w:val="00AE3C89"/>
    <w:rPr>
      <w:rFonts w:ascii="黑体" w:eastAsia="黑体" w:hAnsi="黑体" w:cs="Times New Roman"/>
      <w:sz w:val="32"/>
      <w:szCs w:val="32"/>
    </w:rPr>
  </w:style>
  <w:style w:type="character" w:customStyle="1" w:styleId="----------------CharChar">
    <w:name w:val="正文---------------- Char Char"/>
    <w:autoRedefine/>
    <w:qFormat/>
    <w:rsid w:val="00AE3C89"/>
    <w:rPr>
      <w:rFonts w:eastAsia="宋体" w:cs="宋体"/>
      <w:spacing w:val="16"/>
      <w:kern w:val="2"/>
      <w:sz w:val="24"/>
      <w:lang w:val="en-US" w:eastAsia="zh-CN" w:bidi="ar-SA"/>
    </w:rPr>
  </w:style>
  <w:style w:type="character" w:customStyle="1" w:styleId="bdsnopic2">
    <w:name w:val="bds_nopic2"/>
    <w:basedOn w:val="a2"/>
    <w:autoRedefine/>
    <w:qFormat/>
    <w:rsid w:val="00AE3C89"/>
  </w:style>
  <w:style w:type="character" w:customStyle="1" w:styleId="Char21">
    <w:name w:val="纯文本 Char2"/>
    <w:autoRedefine/>
    <w:qFormat/>
    <w:rsid w:val="00AE3C89"/>
    <w:rPr>
      <w:rFonts w:ascii="宋体" w:eastAsia="宋体" w:hAnsi="Courier New"/>
      <w:color w:val="000000"/>
      <w:kern w:val="2"/>
      <w:sz w:val="21"/>
      <w:szCs w:val="24"/>
      <w:lang w:val="en-US" w:eastAsia="zh-CN" w:bidi="ar-SA"/>
    </w:rPr>
  </w:style>
  <w:style w:type="character" w:customStyle="1" w:styleId="CharCharChare">
    <w:name w:val="正文部分 Char Char Char"/>
    <w:link w:val="Charf3"/>
    <w:autoRedefine/>
    <w:qFormat/>
    <w:rsid w:val="00AE3C89"/>
    <w:rPr>
      <w:rFonts w:ascii="宋体" w:hAnsi="宋体" w:cs="宋体"/>
      <w:bCs/>
      <w:kern w:val="2"/>
      <w:sz w:val="28"/>
      <w:szCs w:val="32"/>
    </w:rPr>
  </w:style>
  <w:style w:type="paragraph" w:customStyle="1" w:styleId="Charf3">
    <w:name w:val="正文部分 Char"/>
    <w:basedOn w:val="a1"/>
    <w:link w:val="CharCharChare"/>
    <w:autoRedefine/>
    <w:qFormat/>
    <w:rsid w:val="00AE3C89"/>
    <w:pPr>
      <w:spacing w:line="500" w:lineRule="exact"/>
      <w:ind w:firstLineChars="200" w:firstLine="200"/>
      <w:jc w:val="left"/>
    </w:pPr>
    <w:rPr>
      <w:rFonts w:ascii="宋体" w:hAnsi="宋体" w:cs="宋体"/>
      <w:bCs/>
      <w:sz w:val="28"/>
      <w:szCs w:val="32"/>
    </w:rPr>
  </w:style>
  <w:style w:type="character" w:customStyle="1" w:styleId="CharCharCharChar6">
    <w:name w:val="表格内容 Char Char Char Char"/>
    <w:autoRedefine/>
    <w:qFormat/>
    <w:rsid w:val="00AE3C89"/>
    <w:rPr>
      <w:rFonts w:ascii="宋体" w:eastAsia="宋体" w:hAnsi="宋体"/>
      <w:snapToGrid w:val="0"/>
      <w:color w:val="FF0000"/>
      <w:kern w:val="2"/>
      <w:sz w:val="21"/>
      <w:szCs w:val="21"/>
      <w:lang w:val="en-US" w:eastAsia="zh-CN" w:bidi="ar-SA"/>
    </w:rPr>
  </w:style>
  <w:style w:type="character" w:customStyle="1" w:styleId="bg021">
    <w:name w:val="bg021"/>
    <w:basedOn w:val="a2"/>
    <w:autoRedefine/>
    <w:qFormat/>
    <w:rsid w:val="00AE3C89"/>
  </w:style>
  <w:style w:type="character" w:customStyle="1" w:styleId="CharCharCharf">
    <w:name w:val="正文文字描述 Char Char Char"/>
    <w:link w:val="affffffff8"/>
    <w:autoRedefine/>
    <w:qFormat/>
    <w:rsid w:val="00AE3C89"/>
    <w:rPr>
      <w:color w:val="000000"/>
      <w:spacing w:val="20"/>
      <w:kern w:val="2"/>
      <w:sz w:val="24"/>
      <w:szCs w:val="28"/>
    </w:rPr>
  </w:style>
  <w:style w:type="paragraph" w:customStyle="1" w:styleId="affffffff8">
    <w:name w:val="正文文字描述"/>
    <w:basedOn w:val="a1"/>
    <w:link w:val="CharCharCharf"/>
    <w:autoRedefine/>
    <w:qFormat/>
    <w:rsid w:val="00AE3C89"/>
    <w:pPr>
      <w:spacing w:line="480" w:lineRule="exact"/>
      <w:ind w:firstLineChars="200" w:firstLine="200"/>
    </w:pPr>
    <w:rPr>
      <w:color w:val="000000"/>
      <w:spacing w:val="20"/>
      <w:sz w:val="24"/>
      <w:szCs w:val="28"/>
    </w:rPr>
  </w:style>
  <w:style w:type="character" w:customStyle="1" w:styleId="CharCharChar1">
    <w:name w:val="我的正文 Char Char Char"/>
    <w:link w:val="affffc"/>
    <w:autoRedefine/>
    <w:qFormat/>
    <w:rsid w:val="00AE3C89"/>
    <w:rPr>
      <w:kern w:val="21"/>
      <w:sz w:val="28"/>
      <w:szCs w:val="28"/>
    </w:rPr>
  </w:style>
  <w:style w:type="character" w:customStyle="1" w:styleId="CharCharCharf0">
    <w:name w:val="表格，宋五 Char Char Char"/>
    <w:link w:val="affffffff9"/>
    <w:autoRedefine/>
    <w:qFormat/>
    <w:rsid w:val="00AE3C89"/>
    <w:rPr>
      <w:sz w:val="21"/>
    </w:rPr>
  </w:style>
  <w:style w:type="paragraph" w:customStyle="1" w:styleId="affffffff9">
    <w:name w:val="表格，宋五"/>
    <w:link w:val="CharCharCharf0"/>
    <w:autoRedefine/>
    <w:qFormat/>
    <w:rsid w:val="00AE3C89"/>
    <w:pPr>
      <w:keepNext/>
      <w:jc w:val="both"/>
    </w:pPr>
    <w:rPr>
      <w:sz w:val="21"/>
    </w:rPr>
  </w:style>
  <w:style w:type="character" w:customStyle="1" w:styleId="CharCharff0">
    <w:name w:val="正文格式 Char Char"/>
    <w:autoRedefine/>
    <w:qFormat/>
    <w:rsid w:val="00AE3C89"/>
    <w:rPr>
      <w:rFonts w:cs="宋体"/>
      <w:kern w:val="2"/>
      <w:sz w:val="24"/>
      <w:szCs w:val="24"/>
    </w:rPr>
  </w:style>
  <w:style w:type="character" w:customStyle="1" w:styleId="CharCharCharf1">
    <w:name w:val="表格 Char Char Char"/>
    <w:autoRedefine/>
    <w:qFormat/>
    <w:rsid w:val="00AE3C89"/>
    <w:rPr>
      <w:rFonts w:eastAsia="宋体"/>
      <w:bCs/>
      <w:snapToGrid w:val="0"/>
      <w:color w:val="000000"/>
      <w:lang w:val="en-US" w:eastAsia="zh-CN" w:bidi="ar-SA"/>
    </w:rPr>
  </w:style>
  <w:style w:type="character" w:customStyle="1" w:styleId="CharCharCharf2">
    <w:name w:val="表格内容 Char Char Char"/>
    <w:autoRedefine/>
    <w:qFormat/>
    <w:rsid w:val="00AE3C89"/>
    <w:rPr>
      <w:rFonts w:ascii="宋体" w:eastAsia="宋体" w:hAnsi="宋体"/>
      <w:snapToGrid/>
      <w:color w:val="FF0000"/>
      <w:kern w:val="2"/>
      <w:sz w:val="21"/>
      <w:szCs w:val="21"/>
      <w:lang w:val="en-US" w:eastAsia="zh-CN" w:bidi="ar-SA"/>
    </w:rPr>
  </w:style>
  <w:style w:type="character" w:customStyle="1" w:styleId="CharCharCharf3">
    <w:name w:val="正文(首行缩进) Char Char Char"/>
    <w:autoRedefine/>
    <w:qFormat/>
    <w:rsid w:val="00AE3C89"/>
    <w:rPr>
      <w:rFonts w:ascii="宋体" w:eastAsia="宋体" w:hAnsi="宋体"/>
      <w:snapToGrid w:val="0"/>
      <w:kern w:val="2"/>
      <w:sz w:val="24"/>
      <w:szCs w:val="24"/>
      <w:lang w:val="en-US" w:eastAsia="zh-CN" w:bidi="ar-SA"/>
    </w:rPr>
  </w:style>
  <w:style w:type="character" w:customStyle="1" w:styleId="CharCharCharf4">
    <w:name w:val="【表中文字】 Char Char Char"/>
    <w:autoRedefine/>
    <w:qFormat/>
    <w:rsid w:val="00AE3C89"/>
    <w:rPr>
      <w:rFonts w:ascii="宋体" w:eastAsia="宋体" w:hAnsi="宋体"/>
      <w:kern w:val="2"/>
      <w:sz w:val="21"/>
      <w:szCs w:val="24"/>
      <w:lang w:val="en-US" w:eastAsia="zh-CN" w:bidi="ar-SA"/>
    </w:rPr>
  </w:style>
  <w:style w:type="character" w:customStyle="1" w:styleId="tabg">
    <w:name w:val="tabg"/>
    <w:basedOn w:val="a2"/>
    <w:autoRedefine/>
    <w:qFormat/>
    <w:rsid w:val="00AE3C89"/>
  </w:style>
  <w:style w:type="character" w:customStyle="1" w:styleId="count4">
    <w:name w:val="count4"/>
    <w:basedOn w:val="a2"/>
    <w:autoRedefine/>
    <w:qFormat/>
    <w:rsid w:val="00AE3C89"/>
  </w:style>
  <w:style w:type="character" w:customStyle="1" w:styleId="CharCharff1">
    <w:name w:val="正文文字描述 Char Char"/>
    <w:autoRedefine/>
    <w:qFormat/>
    <w:rsid w:val="00AE3C89"/>
    <w:rPr>
      <w:color w:val="000000"/>
      <w:spacing w:val="20"/>
      <w:kern w:val="2"/>
      <w:sz w:val="24"/>
      <w:szCs w:val="28"/>
    </w:rPr>
  </w:style>
  <w:style w:type="character" w:customStyle="1" w:styleId="af4">
    <w:name w:val="日期 字符"/>
    <w:link w:val="af3"/>
    <w:autoRedefine/>
    <w:qFormat/>
    <w:rsid w:val="00AE3C89"/>
    <w:rPr>
      <w:kern w:val="2"/>
      <w:sz w:val="21"/>
      <w:szCs w:val="21"/>
    </w:rPr>
  </w:style>
  <w:style w:type="character" w:customStyle="1" w:styleId="afffff0">
    <w:name w:val="列表段落 字符"/>
    <w:link w:val="afffff"/>
    <w:autoRedefine/>
    <w:qFormat/>
    <w:rsid w:val="00AE3C89"/>
    <w:rPr>
      <w:kern w:val="2"/>
      <w:sz w:val="21"/>
      <w:szCs w:val="21"/>
    </w:rPr>
  </w:style>
  <w:style w:type="character" w:customStyle="1" w:styleId="CharCharff2">
    <w:name w:val="一级标题 Char Char"/>
    <w:link w:val="affffffffa"/>
    <w:autoRedefine/>
    <w:qFormat/>
    <w:rsid w:val="00AE3C89"/>
    <w:rPr>
      <w:rFonts w:eastAsia="黑体"/>
      <w:b/>
      <w:bCs/>
      <w:kern w:val="44"/>
      <w:sz w:val="32"/>
      <w:szCs w:val="32"/>
    </w:rPr>
  </w:style>
  <w:style w:type="paragraph" w:customStyle="1" w:styleId="affffffffa">
    <w:name w:val="一级标题"/>
    <w:next w:val="2f1"/>
    <w:link w:val="CharCharff2"/>
    <w:autoRedefine/>
    <w:qFormat/>
    <w:rsid w:val="00AE3C89"/>
    <w:pPr>
      <w:keepNext/>
      <w:keepLines/>
      <w:widowControl w:val="0"/>
      <w:spacing w:beforeLines="100" w:before="312" w:afterLines="100" w:after="312" w:line="480" w:lineRule="exact"/>
      <w:jc w:val="both"/>
      <w:outlineLvl w:val="0"/>
    </w:pPr>
    <w:rPr>
      <w:rFonts w:eastAsia="黑体"/>
      <w:b/>
      <w:bCs/>
      <w:kern w:val="44"/>
      <w:sz w:val="32"/>
      <w:szCs w:val="32"/>
    </w:rPr>
  </w:style>
  <w:style w:type="character" w:customStyle="1" w:styleId="CharCharff3">
    <w:name w:val="正文首行缩进 Char Char"/>
    <w:autoRedefine/>
    <w:qFormat/>
    <w:rsid w:val="00AE3C89"/>
    <w:rPr>
      <w:sz w:val="21"/>
    </w:rPr>
  </w:style>
  <w:style w:type="character" w:customStyle="1" w:styleId="CharCharff4">
    <w:name w:val="【公式】 Char Char"/>
    <w:autoRedefine/>
    <w:qFormat/>
    <w:rsid w:val="00AE3C89"/>
    <w:rPr>
      <w:rFonts w:eastAsia="宋体" w:cs="宋体"/>
      <w:kern w:val="2"/>
      <w:sz w:val="24"/>
      <w:lang w:val="en-US" w:eastAsia="zh-CN" w:bidi="ar-SA"/>
    </w:rPr>
  </w:style>
  <w:style w:type="character" w:customStyle="1" w:styleId="CharCharff5">
    <w:name w:val="表格，宋五 Char Char"/>
    <w:autoRedefine/>
    <w:qFormat/>
    <w:rsid w:val="00AE3C89"/>
    <w:rPr>
      <w:sz w:val="21"/>
      <w:lang w:val="en-US" w:eastAsia="zh-CN" w:bidi="ar-SA"/>
    </w:rPr>
  </w:style>
  <w:style w:type="character" w:customStyle="1" w:styleId="CharCharCharf5">
    <w:name w:val="段 Char Char Char"/>
    <w:link w:val="affffffffb"/>
    <w:autoRedefine/>
    <w:qFormat/>
    <w:rsid w:val="00AE3C89"/>
    <w:rPr>
      <w:rFonts w:ascii="宋体" w:hAnsi="宋体"/>
      <w:sz w:val="21"/>
    </w:rPr>
  </w:style>
  <w:style w:type="paragraph" w:customStyle="1" w:styleId="affffffffb">
    <w:name w:val="段"/>
    <w:link w:val="CharCharCharf5"/>
    <w:autoRedefine/>
    <w:qFormat/>
    <w:rsid w:val="00AE3C89"/>
    <w:pPr>
      <w:autoSpaceDE w:val="0"/>
      <w:autoSpaceDN w:val="0"/>
      <w:ind w:firstLineChars="200" w:firstLine="200"/>
      <w:jc w:val="both"/>
    </w:pPr>
    <w:rPr>
      <w:rFonts w:ascii="宋体" w:hAnsi="宋体"/>
      <w:sz w:val="21"/>
    </w:rPr>
  </w:style>
  <w:style w:type="character" w:customStyle="1" w:styleId="bg011">
    <w:name w:val="bg011"/>
    <w:basedOn w:val="a2"/>
    <w:autoRedefine/>
    <w:qFormat/>
    <w:rsid w:val="00AE3C89"/>
  </w:style>
  <w:style w:type="character" w:customStyle="1" w:styleId="CharCharff6">
    <w:name w:val="【表中文字】 Char Char"/>
    <w:autoRedefine/>
    <w:qFormat/>
    <w:rsid w:val="00AE3C89"/>
    <w:rPr>
      <w:rFonts w:eastAsia="宋体"/>
      <w:kern w:val="2"/>
      <w:sz w:val="21"/>
      <w:lang w:val="en-US" w:eastAsia="zh-CN" w:bidi="ar-SA"/>
    </w:rPr>
  </w:style>
  <w:style w:type="character" w:customStyle="1" w:styleId="111CharChar">
    <w:name w:val="正文111 Char Char"/>
    <w:autoRedefine/>
    <w:qFormat/>
    <w:rsid w:val="00AE3C89"/>
    <w:rPr>
      <w:rFonts w:eastAsia="宋体"/>
      <w:color w:val="000000"/>
      <w:kern w:val="2"/>
      <w:sz w:val="18"/>
      <w:szCs w:val="18"/>
      <w:lang w:val="en-US" w:eastAsia="zh-CN" w:bidi="ar-SA"/>
    </w:rPr>
  </w:style>
  <w:style w:type="character" w:customStyle="1" w:styleId="Chard">
    <w:name w:val="表名 Char"/>
    <w:link w:val="afffffa"/>
    <w:autoRedefine/>
    <w:qFormat/>
    <w:rsid w:val="00AE3C89"/>
    <w:rPr>
      <w:rFonts w:ascii="Arial" w:eastAsia="黑体" w:hAnsi="Arial"/>
      <w:snapToGrid w:val="0"/>
      <w:sz w:val="21"/>
      <w:szCs w:val="21"/>
    </w:rPr>
  </w:style>
  <w:style w:type="character" w:customStyle="1" w:styleId="H2Char1">
    <w:name w:val="H2 Char1"/>
    <w:autoRedefine/>
    <w:qFormat/>
    <w:rsid w:val="00AE3C89"/>
    <w:rPr>
      <w:rFonts w:eastAsia="黑体"/>
      <w:kern w:val="2"/>
      <w:sz w:val="28"/>
      <w:szCs w:val="24"/>
      <w:lang w:val="en-US" w:eastAsia="zh-CN" w:bidi="ar-SA"/>
    </w:rPr>
  </w:style>
  <w:style w:type="character" w:customStyle="1" w:styleId="icoshf">
    <w:name w:val="icos_hf"/>
    <w:autoRedefine/>
    <w:qFormat/>
    <w:rsid w:val="00AE3C89"/>
    <w:rPr>
      <w:sz w:val="27"/>
      <w:szCs w:val="27"/>
    </w:rPr>
  </w:style>
  <w:style w:type="character" w:customStyle="1" w:styleId="3CharCharChar">
    <w:name w:val="【标题3】 Char Char Char"/>
    <w:autoRedefine/>
    <w:qFormat/>
    <w:rsid w:val="00AE3C89"/>
    <w:rPr>
      <w:rFonts w:ascii="宋体" w:eastAsia="宋体" w:hAnsi="宋体"/>
      <w:b/>
      <w:bCs/>
      <w:kern w:val="2"/>
      <w:sz w:val="30"/>
      <w:szCs w:val="24"/>
      <w:lang w:val="en-US" w:eastAsia="zh-CN" w:bidi="ar-SA"/>
    </w:rPr>
  </w:style>
  <w:style w:type="character" w:customStyle="1" w:styleId="CharCharff7">
    <w:name w:val="段 Char Char"/>
    <w:autoRedefine/>
    <w:qFormat/>
    <w:rsid w:val="00AE3C89"/>
    <w:rPr>
      <w:rFonts w:ascii="宋体" w:hAnsi="宋体"/>
      <w:sz w:val="21"/>
      <w:lang w:val="en-US" w:eastAsia="zh-CN" w:bidi="ar-SA"/>
    </w:rPr>
  </w:style>
  <w:style w:type="character" w:customStyle="1" w:styleId="show-img-bd">
    <w:name w:val="show-img-bd"/>
    <w:basedOn w:val="a2"/>
    <w:autoRedefine/>
    <w:qFormat/>
    <w:rsid w:val="00AE3C89"/>
  </w:style>
  <w:style w:type="character" w:customStyle="1" w:styleId="Char16">
    <w:name w:val="页脚 Char1"/>
    <w:autoRedefine/>
    <w:qFormat/>
    <w:rsid w:val="00AE3C89"/>
    <w:rPr>
      <w:kern w:val="2"/>
      <w:sz w:val="18"/>
      <w:szCs w:val="18"/>
    </w:rPr>
  </w:style>
  <w:style w:type="character" w:customStyle="1" w:styleId="CharCharCharChar7">
    <w:name w:val="正文部分 Char Char Char Char"/>
    <w:autoRedefine/>
    <w:qFormat/>
    <w:rsid w:val="00AE3C89"/>
    <w:rPr>
      <w:rFonts w:ascii="宋体" w:eastAsia="宋体" w:hAnsi="宋体" w:cs="宋体"/>
      <w:bCs/>
      <w:kern w:val="2"/>
      <w:sz w:val="28"/>
      <w:szCs w:val="32"/>
      <w:lang w:val="en-US" w:eastAsia="zh-CN" w:bidi="ar-SA"/>
    </w:rPr>
  </w:style>
  <w:style w:type="character" w:customStyle="1" w:styleId="CharCharff8">
    <w:name w:val="表格标题样式 Char Char"/>
    <w:link w:val="affffffffc"/>
    <w:autoRedefine/>
    <w:qFormat/>
    <w:rsid w:val="00AE3C89"/>
    <w:rPr>
      <w:rFonts w:eastAsia="黑体"/>
      <w:color w:val="0070C0"/>
      <w:sz w:val="24"/>
      <w:szCs w:val="24"/>
    </w:rPr>
  </w:style>
  <w:style w:type="paragraph" w:customStyle="1" w:styleId="affffffffc">
    <w:name w:val="表格标题样式"/>
    <w:basedOn w:val="aff2"/>
    <w:link w:val="CharCharff8"/>
    <w:autoRedefine/>
    <w:qFormat/>
    <w:rsid w:val="00AE3C89"/>
    <w:pPr>
      <w:spacing w:after="0" w:line="480" w:lineRule="exact"/>
      <w:ind w:firstLineChars="0" w:firstLine="0"/>
      <w:jc w:val="center"/>
    </w:pPr>
    <w:rPr>
      <w:rFonts w:eastAsia="黑体"/>
      <w:color w:val="0070C0"/>
      <w:kern w:val="0"/>
      <w:sz w:val="24"/>
    </w:rPr>
  </w:style>
  <w:style w:type="character" w:customStyle="1" w:styleId="CharChard">
    <w:name w:val="正文(首行缩进) Char Char"/>
    <w:link w:val="affffffe"/>
    <w:autoRedefine/>
    <w:qFormat/>
    <w:rsid w:val="00AE3C89"/>
    <w:rPr>
      <w:rFonts w:ascii="宋体" w:hAnsi="宋体" w:cs="宋体"/>
      <w:snapToGrid w:val="0"/>
      <w:kern w:val="2"/>
      <w:sz w:val="21"/>
      <w:szCs w:val="24"/>
    </w:rPr>
  </w:style>
  <w:style w:type="character" w:customStyle="1" w:styleId="CharCharff9">
    <w:name w:val="表格标题 Char Char"/>
    <w:autoRedefine/>
    <w:qFormat/>
    <w:rsid w:val="00AE3C89"/>
    <w:rPr>
      <w:rFonts w:ascii="宋体" w:eastAsia="宋体" w:hAnsi="宋体"/>
      <w:color w:val="000000"/>
      <w:kern w:val="2"/>
      <w:sz w:val="24"/>
      <w:szCs w:val="24"/>
      <w:lang w:val="en-US" w:eastAsia="zh-CN" w:bidi="ar-SA"/>
    </w:rPr>
  </w:style>
  <w:style w:type="character" w:customStyle="1" w:styleId="5CharCharChar">
    <w:name w:val="标题 5 Char Char Char"/>
    <w:autoRedefine/>
    <w:qFormat/>
    <w:rsid w:val="00AE3C89"/>
    <w:rPr>
      <w:rFonts w:ascii="宋体"/>
      <w:b/>
      <w:bCs/>
      <w:sz w:val="28"/>
      <w:szCs w:val="28"/>
    </w:rPr>
  </w:style>
  <w:style w:type="character" w:customStyle="1" w:styleId="3Char2">
    <w:name w:val="标题 3 Char2"/>
    <w:autoRedefine/>
    <w:qFormat/>
    <w:rsid w:val="00AE3C89"/>
    <w:rPr>
      <w:rFonts w:eastAsia="黑体"/>
      <w:color w:val="000000"/>
      <w:kern w:val="2"/>
      <w:sz w:val="24"/>
      <w:szCs w:val="24"/>
      <w:lang w:val="en-US" w:eastAsia="zh-CN" w:bidi="ar-SA"/>
    </w:rPr>
  </w:style>
  <w:style w:type="character" w:customStyle="1" w:styleId="CharCharffa">
    <w:name w:val="环小四内容 Char Char"/>
    <w:link w:val="affffffffd"/>
    <w:autoRedefine/>
    <w:qFormat/>
    <w:rsid w:val="00AE3C89"/>
    <w:rPr>
      <w:rFonts w:ascii="宋体" w:hAnsi="宋体" w:cs="宋体"/>
      <w:sz w:val="24"/>
      <w:szCs w:val="24"/>
    </w:rPr>
  </w:style>
  <w:style w:type="paragraph" w:customStyle="1" w:styleId="affffffffd">
    <w:name w:val="环小四内容"/>
    <w:basedOn w:val="a1"/>
    <w:link w:val="CharCharffa"/>
    <w:autoRedefine/>
    <w:qFormat/>
    <w:rsid w:val="00AE3C89"/>
    <w:pPr>
      <w:widowControl/>
      <w:spacing w:line="520" w:lineRule="exact"/>
      <w:ind w:firstLineChars="200" w:firstLine="200"/>
      <w:jc w:val="left"/>
    </w:pPr>
    <w:rPr>
      <w:rFonts w:ascii="宋体" w:hAnsi="宋体" w:cs="宋体"/>
      <w:kern w:val="0"/>
      <w:sz w:val="24"/>
      <w:szCs w:val="24"/>
    </w:rPr>
  </w:style>
  <w:style w:type="character" w:customStyle="1" w:styleId="CharCharCharChar8">
    <w:name w:val="表头 Char Char Char Char"/>
    <w:autoRedefine/>
    <w:qFormat/>
    <w:rsid w:val="00AE3C89"/>
    <w:rPr>
      <w:rFonts w:eastAsia="宋体"/>
      <w:b/>
      <w:color w:val="000000"/>
      <w:sz w:val="24"/>
      <w:szCs w:val="24"/>
      <w:lang w:val="en-US" w:eastAsia="zh-CN" w:bidi="ar-SA"/>
    </w:rPr>
  </w:style>
  <w:style w:type="character" w:customStyle="1" w:styleId="CharCharCharf6">
    <w:name w:val="表格内字体 Char Char Char"/>
    <w:link w:val="affffffffe"/>
    <w:autoRedefine/>
    <w:qFormat/>
    <w:rsid w:val="00AE3C89"/>
    <w:rPr>
      <w:rFonts w:eastAsia="仿宋_GB2312"/>
      <w:snapToGrid w:val="0"/>
      <w:kern w:val="21"/>
      <w:sz w:val="21"/>
      <w:szCs w:val="21"/>
    </w:rPr>
  </w:style>
  <w:style w:type="paragraph" w:customStyle="1" w:styleId="affffffffe">
    <w:name w:val="表格内字体"/>
    <w:link w:val="CharCharCharf6"/>
    <w:autoRedefine/>
    <w:qFormat/>
    <w:rsid w:val="00AE3C89"/>
    <w:pPr>
      <w:adjustRightInd w:val="0"/>
      <w:snapToGrid w:val="0"/>
      <w:jc w:val="center"/>
    </w:pPr>
    <w:rPr>
      <w:rFonts w:eastAsia="仿宋_GB2312"/>
      <w:snapToGrid w:val="0"/>
      <w:kern w:val="21"/>
      <w:sz w:val="21"/>
      <w:szCs w:val="21"/>
    </w:rPr>
  </w:style>
  <w:style w:type="character" w:customStyle="1" w:styleId="CharCharffb">
    <w:name w:val="【正文】 Char Char"/>
    <w:autoRedefine/>
    <w:qFormat/>
    <w:rsid w:val="00AE3C89"/>
    <w:rPr>
      <w:sz w:val="24"/>
    </w:rPr>
  </w:style>
  <w:style w:type="character" w:customStyle="1" w:styleId="Char17">
    <w:name w:val="表格内文字 Char1"/>
    <w:autoRedefine/>
    <w:qFormat/>
    <w:rsid w:val="00AE3C89"/>
    <w:rPr>
      <w:kern w:val="2"/>
      <w:sz w:val="21"/>
      <w:szCs w:val="21"/>
      <w:lang w:val="zh-CN" w:eastAsia="zh-CN" w:bidi="ar-SA"/>
    </w:rPr>
  </w:style>
  <w:style w:type="paragraph" w:customStyle="1" w:styleId="afffffffff">
    <w:name w:val="图注"/>
    <w:basedOn w:val="a1"/>
    <w:autoRedefine/>
    <w:qFormat/>
    <w:rsid w:val="00AE3C89"/>
    <w:pPr>
      <w:spacing w:line="360" w:lineRule="auto"/>
      <w:ind w:firstLineChars="200" w:firstLine="200"/>
      <w:jc w:val="center"/>
    </w:pPr>
    <w:rPr>
      <w:rFonts w:ascii="宋体" w:eastAsia="黑体"/>
      <w:kern w:val="0"/>
      <w:sz w:val="24"/>
      <w:szCs w:val="20"/>
    </w:rPr>
  </w:style>
  <w:style w:type="paragraph" w:customStyle="1" w:styleId="Style4">
    <w:name w:val="_Style 4"/>
    <w:autoRedefine/>
    <w:qFormat/>
    <w:rsid w:val="00AE3C89"/>
    <w:pPr>
      <w:widowControl w:val="0"/>
      <w:spacing w:line="440" w:lineRule="exact"/>
      <w:jc w:val="both"/>
    </w:pPr>
    <w:rPr>
      <w:rFonts w:eastAsia="仿宋_GB2312"/>
      <w:kern w:val="2"/>
      <w:sz w:val="24"/>
      <w:szCs w:val="24"/>
    </w:rPr>
  </w:style>
  <w:style w:type="paragraph" w:customStyle="1" w:styleId="2f3">
    <w:name w:val="样式 正文段落格式 + 首行缩进:  2 字符"/>
    <w:basedOn w:val="a1"/>
    <w:autoRedefine/>
    <w:qFormat/>
    <w:rsid w:val="00AE3C89"/>
    <w:pPr>
      <w:spacing w:line="360" w:lineRule="auto"/>
      <w:ind w:firstLineChars="200" w:firstLine="560"/>
    </w:pPr>
    <w:rPr>
      <w:rFonts w:ascii="宋体" w:cs="宋体"/>
      <w:kern w:val="0"/>
      <w:sz w:val="28"/>
      <w:szCs w:val="28"/>
    </w:rPr>
  </w:style>
  <w:style w:type="paragraph" w:customStyle="1" w:styleId="CharCharCharf7">
    <w:name w:val="Char Char Char"/>
    <w:basedOn w:val="a1"/>
    <w:autoRedefine/>
    <w:qFormat/>
    <w:rsid w:val="00AE3C89"/>
    <w:rPr>
      <w:rFonts w:ascii="宋体"/>
      <w:kern w:val="0"/>
      <w:sz w:val="24"/>
      <w:szCs w:val="20"/>
    </w:rPr>
  </w:style>
  <w:style w:type="paragraph" w:customStyle="1" w:styleId="afffffffff0">
    <w:name w:val="表格内容小"/>
    <w:basedOn w:val="afff7"/>
    <w:autoRedefine/>
    <w:qFormat/>
    <w:rsid w:val="00AE3C89"/>
    <w:pPr>
      <w:spacing w:line="240" w:lineRule="auto"/>
      <w:ind w:leftChars="-50" w:left="-105" w:rightChars="-50" w:right="-105"/>
    </w:pPr>
    <w:rPr>
      <w:rFonts w:ascii="宋体" w:hAnsi="宋体" w:cs="Times New Roman"/>
      <w:iCs w:val="0"/>
      <w:kern w:val="0"/>
      <w:sz w:val="18"/>
      <w:szCs w:val="18"/>
    </w:rPr>
  </w:style>
  <w:style w:type="paragraph" w:customStyle="1" w:styleId="CharCharCharCharCharCharCharCharCharCharCharCharChar1">
    <w:name w:val="Char Char Char Char Char Char Char Char Char Char Char Char Char1"/>
    <w:basedOn w:val="a1"/>
    <w:autoRedefine/>
    <w:qFormat/>
    <w:rsid w:val="00AE3C89"/>
    <w:pPr>
      <w:spacing w:line="360" w:lineRule="auto"/>
      <w:ind w:firstLineChars="200" w:firstLine="200"/>
    </w:pPr>
    <w:rPr>
      <w:rFonts w:ascii="宋体" w:hAnsi="宋体" w:cs="宋体"/>
      <w:kern w:val="0"/>
      <w:sz w:val="24"/>
      <w:szCs w:val="20"/>
    </w:rPr>
  </w:style>
  <w:style w:type="paragraph" w:customStyle="1" w:styleId="afffffffff1">
    <w:name w:val="说明书正文"/>
    <w:basedOn w:val="a1"/>
    <w:autoRedefine/>
    <w:qFormat/>
    <w:rsid w:val="00AE3C89"/>
    <w:pPr>
      <w:adjustRightInd w:val="0"/>
      <w:spacing w:line="480" w:lineRule="auto"/>
      <w:ind w:firstLine="1200"/>
      <w:jc w:val="left"/>
      <w:textAlignment w:val="baseline"/>
    </w:pPr>
    <w:rPr>
      <w:rFonts w:ascii="宋体" w:hAnsi="宋体"/>
      <w:kern w:val="0"/>
      <w:sz w:val="28"/>
      <w:szCs w:val="28"/>
    </w:rPr>
  </w:style>
  <w:style w:type="paragraph" w:customStyle="1" w:styleId="Charf4">
    <w:name w:val="环评正文 Char"/>
    <w:basedOn w:val="a1"/>
    <w:autoRedefine/>
    <w:qFormat/>
    <w:rsid w:val="00AE3C89"/>
    <w:pPr>
      <w:widowControl/>
      <w:spacing w:line="440" w:lineRule="exact"/>
      <w:ind w:firstLineChars="200" w:firstLine="200"/>
      <w:jc w:val="left"/>
    </w:pPr>
    <w:rPr>
      <w:sz w:val="24"/>
      <w:szCs w:val="20"/>
    </w:rPr>
  </w:style>
  <w:style w:type="paragraph" w:customStyle="1" w:styleId="afffffffff2">
    <w:name w:val="表格内容右小"/>
    <w:basedOn w:val="a1"/>
    <w:autoRedefine/>
    <w:qFormat/>
    <w:rsid w:val="00AE3C89"/>
    <w:pPr>
      <w:spacing w:line="360" w:lineRule="auto"/>
    </w:pPr>
    <w:rPr>
      <w:rFonts w:ascii="黑体" w:eastAsia="黑体" w:hAnsi="宋体"/>
      <w:kern w:val="0"/>
      <w:sz w:val="18"/>
      <w:szCs w:val="20"/>
    </w:rPr>
  </w:style>
  <w:style w:type="paragraph" w:customStyle="1" w:styleId="38">
    <w:name w:val="正文3"/>
    <w:basedOn w:val="a1"/>
    <w:autoRedefine/>
    <w:qFormat/>
    <w:rsid w:val="00AE3C89"/>
    <w:pPr>
      <w:jc w:val="center"/>
      <w:outlineLvl w:val="0"/>
    </w:pPr>
    <w:rPr>
      <w:rFonts w:ascii="宋体"/>
      <w:b/>
      <w:spacing w:val="20"/>
      <w:kern w:val="0"/>
      <w:sz w:val="36"/>
      <w:szCs w:val="20"/>
    </w:rPr>
  </w:style>
  <w:style w:type="paragraph" w:customStyle="1" w:styleId="afffffffff3">
    <w:name w:val="表格，小五宋"/>
    <w:autoRedefine/>
    <w:qFormat/>
    <w:rsid w:val="00AE3C89"/>
    <w:pPr>
      <w:widowControl w:val="0"/>
      <w:adjustRightInd w:val="0"/>
      <w:snapToGrid w:val="0"/>
      <w:jc w:val="center"/>
    </w:pPr>
    <w:rPr>
      <w:rFonts w:ascii="宋体"/>
      <w:sz w:val="18"/>
      <w:szCs w:val="18"/>
    </w:rPr>
  </w:style>
  <w:style w:type="paragraph" w:customStyle="1" w:styleId="1f5">
    <w:name w:val="表格1"/>
    <w:basedOn w:val="a1"/>
    <w:autoRedefine/>
    <w:qFormat/>
    <w:rsid w:val="00AE3C89"/>
    <w:pPr>
      <w:spacing w:line="360" w:lineRule="auto"/>
      <w:ind w:firstLineChars="200" w:firstLine="200"/>
      <w:jc w:val="center"/>
    </w:pPr>
    <w:rPr>
      <w:rFonts w:ascii="宋体"/>
      <w:kern w:val="0"/>
      <w:sz w:val="24"/>
      <w:szCs w:val="20"/>
    </w:rPr>
  </w:style>
  <w:style w:type="paragraph" w:customStyle="1" w:styleId="charf5">
    <w:name w:val="char"/>
    <w:basedOn w:val="a1"/>
    <w:autoRedefine/>
    <w:qFormat/>
    <w:rsid w:val="00AE3C89"/>
    <w:pPr>
      <w:widowControl/>
      <w:spacing w:after="160" w:line="240" w:lineRule="exact"/>
      <w:jc w:val="left"/>
    </w:pPr>
    <w:rPr>
      <w:rFonts w:ascii="Verdana" w:eastAsia="仿宋_GB2312" w:hAnsi="Verdana" w:cs="”“Times New Roman”“"/>
      <w:kern w:val="0"/>
      <w:sz w:val="24"/>
      <w:szCs w:val="20"/>
    </w:rPr>
  </w:style>
  <w:style w:type="paragraph" w:customStyle="1" w:styleId="ZH">
    <w:name w:val="ZH正文"/>
    <w:basedOn w:val="a1"/>
    <w:autoRedefine/>
    <w:qFormat/>
    <w:rsid w:val="00AE3C89"/>
    <w:pPr>
      <w:spacing w:line="360" w:lineRule="auto"/>
      <w:ind w:firstLineChars="200" w:firstLine="200"/>
    </w:pPr>
    <w:rPr>
      <w:rFonts w:ascii="Calibri" w:hAnsi="Calibri"/>
      <w:sz w:val="24"/>
      <w:szCs w:val="24"/>
    </w:rPr>
  </w:style>
  <w:style w:type="paragraph" w:customStyle="1" w:styleId="xl25">
    <w:name w:val="xl25"/>
    <w:basedOn w:val="a1"/>
    <w:autoRedefine/>
    <w:qFormat/>
    <w:rsid w:val="00AE3C89"/>
    <w:pPr>
      <w:widowControl/>
      <w:pBdr>
        <w:left w:val="single" w:sz="4" w:space="0" w:color="auto"/>
        <w:bottom w:val="single" w:sz="4" w:space="0" w:color="auto"/>
        <w:right w:val="single" w:sz="4" w:space="0" w:color="auto"/>
      </w:pBdr>
      <w:spacing w:before="100" w:beforeAutospacing="1" w:after="100" w:afterAutospacing="1"/>
      <w:jc w:val="center"/>
    </w:pPr>
    <w:rPr>
      <w:rFonts w:ascii="宋体" w:hAnsi="宋体"/>
      <w:kern w:val="0"/>
    </w:rPr>
  </w:style>
  <w:style w:type="paragraph" w:customStyle="1" w:styleId="afffffffff4">
    <w:name w:val="样式"/>
    <w:autoRedefine/>
    <w:qFormat/>
    <w:rsid w:val="00AE3C89"/>
    <w:pPr>
      <w:widowControl w:val="0"/>
      <w:autoSpaceDE w:val="0"/>
      <w:autoSpaceDN w:val="0"/>
      <w:adjustRightInd w:val="0"/>
    </w:pPr>
    <w:rPr>
      <w:rFonts w:ascii="宋体" w:hAnsi="宋体"/>
      <w:sz w:val="24"/>
      <w:szCs w:val="24"/>
    </w:rPr>
  </w:style>
  <w:style w:type="paragraph" w:customStyle="1" w:styleId="1f6">
    <w:name w:val="1"/>
    <w:basedOn w:val="a1"/>
    <w:next w:val="af"/>
    <w:autoRedefine/>
    <w:qFormat/>
    <w:rsid w:val="00AE3C89"/>
    <w:pPr>
      <w:spacing w:line="360" w:lineRule="auto"/>
      <w:ind w:firstLineChars="200" w:firstLine="480"/>
    </w:pPr>
    <w:rPr>
      <w:rFonts w:ascii="宋体"/>
      <w:kern w:val="0"/>
      <w:sz w:val="24"/>
      <w:szCs w:val="20"/>
    </w:rPr>
  </w:style>
  <w:style w:type="paragraph" w:customStyle="1" w:styleId="211">
    <w:name w:val="样式 首行缩进:  2 字符1"/>
    <w:basedOn w:val="a1"/>
    <w:autoRedefine/>
    <w:qFormat/>
    <w:rsid w:val="00AE3C89"/>
    <w:pPr>
      <w:ind w:firstLineChars="200" w:firstLine="560"/>
    </w:pPr>
    <w:rPr>
      <w:rFonts w:ascii="宋体" w:cs="宋体"/>
      <w:kern w:val="0"/>
      <w:sz w:val="28"/>
      <w:szCs w:val="20"/>
    </w:rPr>
  </w:style>
  <w:style w:type="paragraph" w:customStyle="1" w:styleId="afffffffff5">
    <w:name w:val="表格内容左"/>
    <w:basedOn w:val="a1"/>
    <w:autoRedefine/>
    <w:qFormat/>
    <w:rsid w:val="00AE3C89"/>
    <w:pPr>
      <w:tabs>
        <w:tab w:val="left" w:pos="0"/>
      </w:tabs>
      <w:spacing w:line="360" w:lineRule="exact"/>
      <w:ind w:leftChars="-45" w:left="-1" w:rightChars="-45" w:right="-108" w:hangingChars="51" w:hanging="107"/>
      <w:jc w:val="center"/>
    </w:pPr>
    <w:rPr>
      <w:rFonts w:ascii="宋体" w:hAnsi="宋体"/>
      <w:kern w:val="0"/>
      <w:szCs w:val="22"/>
    </w:rPr>
  </w:style>
  <w:style w:type="paragraph" w:customStyle="1" w:styleId="1f7">
    <w:name w:val="自正文1"/>
    <w:basedOn w:val="a1"/>
    <w:autoRedefine/>
    <w:qFormat/>
    <w:rsid w:val="00AE3C89"/>
    <w:pPr>
      <w:widowControl/>
      <w:tabs>
        <w:tab w:val="left" w:pos="5670"/>
      </w:tabs>
      <w:adjustRightInd w:val="0"/>
      <w:snapToGrid w:val="0"/>
      <w:spacing w:before="50" w:line="360" w:lineRule="auto"/>
      <w:ind w:firstLineChars="262" w:firstLine="629"/>
      <w:jc w:val="right"/>
      <w:textAlignment w:val="baseline"/>
    </w:pPr>
    <w:rPr>
      <w:rFonts w:ascii="宋体" w:eastAsia="汉仪仿宋简" w:hAnsi="宋体" w:cs="宋体"/>
      <w:kern w:val="0"/>
      <w:sz w:val="24"/>
      <w:szCs w:val="20"/>
    </w:rPr>
  </w:style>
  <w:style w:type="paragraph" w:customStyle="1" w:styleId="93">
    <w:name w:val="正文9"/>
    <w:autoRedefine/>
    <w:qFormat/>
    <w:rsid w:val="00AE3C89"/>
    <w:pPr>
      <w:widowControl w:val="0"/>
      <w:adjustRightInd w:val="0"/>
      <w:spacing w:line="360" w:lineRule="atLeast"/>
      <w:textAlignment w:val="baseline"/>
    </w:pPr>
    <w:rPr>
      <w:rFonts w:ascii="宋体"/>
      <w:sz w:val="24"/>
    </w:rPr>
  </w:style>
  <w:style w:type="paragraph" w:customStyle="1" w:styleId="CharCharChar3CharChar">
    <w:name w:val="Char Char Char3 Char Char"/>
    <w:basedOn w:val="a1"/>
    <w:next w:val="ad"/>
    <w:autoRedefine/>
    <w:qFormat/>
    <w:rsid w:val="00AE3C89"/>
    <w:pPr>
      <w:spacing w:line="360" w:lineRule="auto"/>
      <w:ind w:firstLineChars="200" w:firstLine="200"/>
      <w:jc w:val="center"/>
    </w:pPr>
    <w:rPr>
      <w:rFonts w:ascii="宋体"/>
      <w:kern w:val="0"/>
      <w:szCs w:val="20"/>
    </w:rPr>
  </w:style>
  <w:style w:type="paragraph" w:customStyle="1" w:styleId="CharCharCharCharCharCharCharCharCharCharCharChar1CharCharCharCharCharCharCharCharCharCharCharChar1Char">
    <w:name w:val="Char Char Char Char Char Char Char Char Char Char Char Char1 Char Char Char Char Char Char Char Char Char Char Char Char1 Char"/>
    <w:basedOn w:val="a1"/>
    <w:next w:val="a1"/>
    <w:autoRedefine/>
    <w:qFormat/>
    <w:rsid w:val="00AE3C89"/>
    <w:pPr>
      <w:spacing w:line="336" w:lineRule="auto"/>
      <w:ind w:firstLineChars="200" w:firstLine="200"/>
    </w:pPr>
    <w:rPr>
      <w:rFonts w:ascii="宋体" w:eastAsia="汉鼎简书宋" w:hAnsi="宋体" w:cs="宋体"/>
      <w:kern w:val="0"/>
      <w:sz w:val="24"/>
      <w:szCs w:val="20"/>
    </w:rPr>
  </w:style>
  <w:style w:type="paragraph" w:customStyle="1" w:styleId="ParaCharCharCharCharCharCharCharCharCharChar">
    <w:name w:val="默认段落字体 Para Char Char Char Char Char Char Char Char Char Char"/>
    <w:basedOn w:val="3"/>
    <w:autoRedefine/>
    <w:qFormat/>
    <w:rsid w:val="00AE3C89"/>
    <w:pPr>
      <w:numPr>
        <w:ilvl w:val="0"/>
      </w:numPr>
      <w:tabs>
        <w:tab w:val="left" w:pos="360"/>
        <w:tab w:val="left" w:pos="900"/>
      </w:tabs>
      <w:adjustRightInd/>
      <w:spacing w:before="120" w:after="120"/>
      <w:ind w:leftChars="-12" w:left="542" w:firstLineChars="200" w:firstLine="200"/>
      <w:jc w:val="left"/>
    </w:pPr>
    <w:rPr>
      <w:rFonts w:ascii="宋体"/>
      <w:sz w:val="32"/>
    </w:rPr>
  </w:style>
  <w:style w:type="paragraph" w:customStyle="1" w:styleId="CharCharCharCharCharCharCharCharCharCharCharCharCharCharCharCharCharCharChar">
    <w:name w:val="Char Char Char Char Char Char Char Char Char Char Char Char Char Char Char Char Char Char Char"/>
    <w:basedOn w:val="a1"/>
    <w:autoRedefine/>
    <w:qFormat/>
    <w:rsid w:val="00AE3C89"/>
    <w:pPr>
      <w:widowControl/>
      <w:spacing w:after="160" w:line="240" w:lineRule="exact"/>
      <w:jc w:val="left"/>
    </w:pPr>
    <w:rPr>
      <w:rFonts w:ascii="宋体" w:hAnsi="宋体"/>
      <w:kern w:val="0"/>
      <w:sz w:val="24"/>
      <w:szCs w:val="20"/>
    </w:rPr>
  </w:style>
  <w:style w:type="paragraph" w:customStyle="1" w:styleId="310">
    <w:name w:val="正文文本缩进 31"/>
    <w:basedOn w:val="a1"/>
    <w:autoRedefine/>
    <w:qFormat/>
    <w:rsid w:val="00AE3C89"/>
    <w:pPr>
      <w:tabs>
        <w:tab w:val="left" w:pos="0"/>
      </w:tabs>
      <w:adjustRightInd w:val="0"/>
      <w:snapToGrid w:val="0"/>
      <w:spacing w:line="360" w:lineRule="auto"/>
      <w:ind w:right="-40" w:firstLineChars="200" w:firstLine="420"/>
      <w:jc w:val="left"/>
      <w:textAlignment w:val="center"/>
    </w:pPr>
    <w:rPr>
      <w:rFonts w:ascii="宋体"/>
      <w:snapToGrid w:val="0"/>
      <w:kern w:val="0"/>
      <w:szCs w:val="20"/>
    </w:rPr>
  </w:style>
  <w:style w:type="paragraph" w:customStyle="1" w:styleId="Charf6">
    <w:name w:val="正文段落格式 Char"/>
    <w:basedOn w:val="a1"/>
    <w:autoRedefine/>
    <w:qFormat/>
    <w:rsid w:val="00AE3C89"/>
    <w:pPr>
      <w:spacing w:line="360" w:lineRule="auto"/>
      <w:ind w:firstLineChars="200" w:firstLine="200"/>
    </w:pPr>
    <w:rPr>
      <w:rFonts w:ascii="宋体"/>
      <w:kern w:val="0"/>
      <w:sz w:val="28"/>
      <w:szCs w:val="20"/>
    </w:rPr>
  </w:style>
  <w:style w:type="paragraph" w:customStyle="1" w:styleId="52">
    <w:name w:val="正文5"/>
    <w:autoRedefine/>
    <w:qFormat/>
    <w:rsid w:val="00AE3C89"/>
    <w:pPr>
      <w:widowControl w:val="0"/>
      <w:adjustRightInd w:val="0"/>
      <w:spacing w:line="360" w:lineRule="atLeast"/>
      <w:textAlignment w:val="baseline"/>
    </w:pPr>
    <w:rPr>
      <w:rFonts w:ascii="宋体"/>
      <w:sz w:val="24"/>
    </w:rPr>
  </w:style>
  <w:style w:type="paragraph" w:customStyle="1" w:styleId="43">
    <w:name w:val="4标"/>
    <w:basedOn w:val="a1"/>
    <w:autoRedefine/>
    <w:qFormat/>
    <w:rsid w:val="00AE3C89"/>
    <w:pPr>
      <w:keepNext/>
      <w:keepLines/>
      <w:spacing w:beforeLines="50" w:before="156" w:afterLines="50" w:after="156"/>
      <w:outlineLvl w:val="3"/>
    </w:pPr>
    <w:rPr>
      <w:rFonts w:ascii="宋体" w:eastAsia="黑体" w:cs="宋体"/>
      <w:kern w:val="0"/>
      <w:szCs w:val="20"/>
    </w:rPr>
  </w:style>
  <w:style w:type="paragraph" w:customStyle="1" w:styleId="1f8">
    <w:name w:val="+列表1"/>
    <w:basedOn w:val="a1"/>
    <w:autoRedefine/>
    <w:qFormat/>
    <w:rsid w:val="00AE3C89"/>
    <w:pPr>
      <w:jc w:val="center"/>
    </w:pPr>
    <w:rPr>
      <w:rFonts w:ascii="宋体"/>
      <w:kern w:val="0"/>
      <w:sz w:val="24"/>
      <w:szCs w:val="20"/>
    </w:rPr>
  </w:style>
  <w:style w:type="paragraph" w:customStyle="1" w:styleId="afffffffff6">
    <w:name w:val="发布实施日期"/>
    <w:basedOn w:val="a1"/>
    <w:autoRedefine/>
    <w:qFormat/>
    <w:rsid w:val="00AE3C89"/>
    <w:pPr>
      <w:widowControl/>
    </w:pPr>
    <w:rPr>
      <w:rFonts w:ascii="黑体" w:eastAsia="黑体" w:hAnsi="宋体"/>
      <w:kern w:val="0"/>
      <w:sz w:val="28"/>
      <w:szCs w:val="20"/>
      <w:lang w:bidi="he-IL"/>
    </w:rPr>
  </w:style>
  <w:style w:type="paragraph" w:customStyle="1" w:styleId="afffffffff7">
    <w:name w:val="表格内容右"/>
    <w:basedOn w:val="afff7"/>
    <w:autoRedefine/>
    <w:qFormat/>
    <w:rsid w:val="00AE3C89"/>
    <w:pPr>
      <w:spacing w:line="240" w:lineRule="auto"/>
      <w:jc w:val="both"/>
    </w:pPr>
    <w:rPr>
      <w:rFonts w:ascii="宋体" w:hAnsi="宋体" w:cs="Times New Roman"/>
      <w:iCs w:val="0"/>
      <w:kern w:val="0"/>
    </w:rPr>
  </w:style>
  <w:style w:type="paragraph" w:customStyle="1" w:styleId="212">
    <w:name w:val="标题 21"/>
    <w:basedOn w:val="a1"/>
    <w:next w:val="a1"/>
    <w:autoRedefine/>
    <w:qFormat/>
    <w:rsid w:val="00AE3C89"/>
    <w:pPr>
      <w:spacing w:line="360" w:lineRule="auto"/>
      <w:jc w:val="left"/>
      <w:outlineLvl w:val="1"/>
    </w:pPr>
    <w:rPr>
      <w:rFonts w:ascii="宋体" w:eastAsia="黑体"/>
      <w:kern w:val="0"/>
      <w:sz w:val="28"/>
      <w:szCs w:val="20"/>
    </w:rPr>
  </w:style>
  <w:style w:type="paragraph" w:customStyle="1" w:styleId="121">
    <w:name w:val="正文12"/>
    <w:autoRedefine/>
    <w:qFormat/>
    <w:rsid w:val="00AE3C89"/>
    <w:pPr>
      <w:widowControl w:val="0"/>
      <w:adjustRightInd w:val="0"/>
      <w:spacing w:line="360" w:lineRule="atLeast"/>
      <w:textAlignment w:val="baseline"/>
    </w:pPr>
    <w:rPr>
      <w:rFonts w:ascii="宋体"/>
      <w:sz w:val="24"/>
    </w:rPr>
  </w:style>
  <w:style w:type="paragraph" w:customStyle="1" w:styleId="afffffffff8">
    <w:name w:val="封面——日期"/>
    <w:autoRedefine/>
    <w:qFormat/>
    <w:rsid w:val="00AE3C89"/>
    <w:pPr>
      <w:adjustRightInd w:val="0"/>
      <w:snapToGrid w:val="0"/>
      <w:spacing w:before="120"/>
      <w:jc w:val="center"/>
    </w:pPr>
    <w:rPr>
      <w:spacing w:val="20"/>
      <w:sz w:val="44"/>
    </w:rPr>
  </w:style>
  <w:style w:type="paragraph" w:customStyle="1" w:styleId="2TimesNewRoman">
    <w:name w:val="正文首行缩进 2 + Times New Roman"/>
    <w:basedOn w:val="a1"/>
    <w:autoRedefine/>
    <w:qFormat/>
    <w:rsid w:val="00AE3C89"/>
    <w:pPr>
      <w:tabs>
        <w:tab w:val="left" w:pos="-57"/>
        <w:tab w:val="left" w:pos="0"/>
      </w:tabs>
      <w:autoSpaceDE w:val="0"/>
      <w:autoSpaceDN w:val="0"/>
      <w:spacing w:beforeLines="50" w:before="156" w:afterLines="50" w:after="156" w:line="360" w:lineRule="auto"/>
      <w:ind w:firstLineChars="15" w:firstLine="36"/>
    </w:pPr>
    <w:rPr>
      <w:rFonts w:ascii="宋体"/>
      <w:color w:val="FF0000"/>
      <w:kern w:val="0"/>
      <w:sz w:val="24"/>
      <w:szCs w:val="24"/>
    </w:rPr>
  </w:style>
  <w:style w:type="paragraph" w:customStyle="1" w:styleId="311">
    <w:name w:val="标题 31"/>
    <w:basedOn w:val="a1"/>
    <w:next w:val="a1"/>
    <w:autoRedefine/>
    <w:qFormat/>
    <w:rsid w:val="00AE3C89"/>
    <w:pPr>
      <w:spacing w:line="360" w:lineRule="auto"/>
      <w:jc w:val="left"/>
      <w:outlineLvl w:val="2"/>
    </w:pPr>
    <w:rPr>
      <w:rFonts w:ascii="宋体" w:eastAsia="黑体"/>
      <w:kern w:val="0"/>
      <w:sz w:val="24"/>
      <w:szCs w:val="20"/>
    </w:rPr>
  </w:style>
  <w:style w:type="paragraph" w:customStyle="1" w:styleId="xl26">
    <w:name w:val="xl26"/>
    <w:basedOn w:val="a1"/>
    <w:autoRedefine/>
    <w:qFormat/>
    <w:rsid w:val="00AE3C89"/>
    <w:pPr>
      <w:widowControl/>
      <w:pBdr>
        <w:left w:val="single" w:sz="4" w:space="0" w:color="auto"/>
        <w:bottom w:val="single" w:sz="4" w:space="0" w:color="auto"/>
        <w:right w:val="single" w:sz="4" w:space="0" w:color="auto"/>
      </w:pBdr>
      <w:spacing w:before="100" w:beforeAutospacing="1" w:after="100" w:afterAutospacing="1"/>
      <w:jc w:val="center"/>
    </w:pPr>
    <w:rPr>
      <w:rFonts w:ascii="宋体" w:hAnsi="宋体"/>
      <w:kern w:val="0"/>
    </w:rPr>
  </w:style>
  <w:style w:type="paragraph" w:customStyle="1" w:styleId="afffffffff9">
    <w:name w:val="表苡"/>
    <w:basedOn w:val="a1"/>
    <w:autoRedefine/>
    <w:qFormat/>
    <w:rsid w:val="00AE3C89"/>
    <w:pPr>
      <w:wordWrap w:val="0"/>
      <w:spacing w:line="240" w:lineRule="exact"/>
      <w:ind w:firstLineChars="200" w:firstLine="200"/>
      <w:jc w:val="center"/>
    </w:pPr>
    <w:rPr>
      <w:rFonts w:ascii="宋体" w:hAnsi="宋体"/>
      <w:kern w:val="0"/>
      <w:sz w:val="18"/>
    </w:rPr>
  </w:style>
  <w:style w:type="paragraph" w:customStyle="1" w:styleId="afffffffffa">
    <w:name w:val="表目"/>
    <w:basedOn w:val="afff8"/>
    <w:autoRedefine/>
    <w:qFormat/>
    <w:rsid w:val="00AE3C89"/>
    <w:pPr>
      <w:widowControl w:val="0"/>
      <w:adjustRightInd w:val="0"/>
      <w:snapToGrid w:val="0"/>
      <w:spacing w:beforeLines="5" w:before="15" w:beforeAutospacing="0" w:afterLines="5" w:after="15" w:afterAutospacing="0" w:line="240" w:lineRule="auto"/>
    </w:pPr>
    <w:rPr>
      <w:rFonts w:hAnsi="Times New Roman"/>
      <w:b/>
      <w:bCs/>
      <w:color w:val="000000"/>
      <w:sz w:val="24"/>
      <w:szCs w:val="20"/>
    </w:rPr>
  </w:style>
  <w:style w:type="paragraph" w:customStyle="1" w:styleId="2f4">
    <w:name w:val="2【正文】"/>
    <w:autoRedefine/>
    <w:qFormat/>
    <w:rsid w:val="00AE3C89"/>
    <w:pPr>
      <w:widowControl w:val="0"/>
      <w:adjustRightInd w:val="0"/>
      <w:snapToGrid w:val="0"/>
      <w:spacing w:line="480" w:lineRule="exact"/>
      <w:ind w:firstLineChars="200" w:firstLine="560"/>
      <w:jc w:val="both"/>
    </w:pPr>
    <w:rPr>
      <w:rFonts w:ascii="仿宋_GB2312" w:eastAsia="仿宋_GB2312"/>
      <w:sz w:val="28"/>
      <w:szCs w:val="28"/>
    </w:rPr>
  </w:style>
  <w:style w:type="paragraph" w:customStyle="1" w:styleId="afffffffffb">
    <w:name w:val="报告书正文段落"/>
    <w:basedOn w:val="a1"/>
    <w:autoRedefine/>
    <w:qFormat/>
    <w:rsid w:val="00AE3C89"/>
    <w:pPr>
      <w:spacing w:line="520" w:lineRule="exact"/>
      <w:ind w:firstLineChars="200" w:firstLine="480"/>
      <w:jc w:val="left"/>
    </w:pPr>
    <w:rPr>
      <w:rFonts w:ascii="宋体" w:cs="宋体"/>
      <w:kern w:val="0"/>
      <w:sz w:val="24"/>
      <w:szCs w:val="20"/>
      <w:lang w:val="zh-CN"/>
    </w:rPr>
  </w:style>
  <w:style w:type="paragraph" w:customStyle="1" w:styleId="114">
    <w:name w:val="样式 行距: 最小值 11 磅"/>
    <w:basedOn w:val="a1"/>
    <w:autoRedefine/>
    <w:qFormat/>
    <w:rsid w:val="00AE3C89"/>
    <w:pPr>
      <w:spacing w:line="240" w:lineRule="atLeast"/>
    </w:pPr>
    <w:rPr>
      <w:rFonts w:ascii="宋体" w:cs="宋体"/>
      <w:kern w:val="0"/>
      <w:szCs w:val="20"/>
    </w:rPr>
  </w:style>
  <w:style w:type="paragraph" w:customStyle="1" w:styleId="44">
    <w:name w:val="正文4"/>
    <w:autoRedefine/>
    <w:qFormat/>
    <w:rsid w:val="00AE3C89"/>
    <w:pPr>
      <w:widowControl w:val="0"/>
      <w:adjustRightInd w:val="0"/>
      <w:spacing w:line="360" w:lineRule="atLeast"/>
    </w:pPr>
    <w:rPr>
      <w:rFonts w:ascii="宋体"/>
      <w:sz w:val="24"/>
    </w:rPr>
  </w:style>
  <w:style w:type="paragraph" w:customStyle="1" w:styleId="73">
    <w:name w:val="正文7"/>
    <w:autoRedefine/>
    <w:qFormat/>
    <w:rsid w:val="00AE3C89"/>
    <w:pPr>
      <w:widowControl w:val="0"/>
      <w:adjustRightInd w:val="0"/>
      <w:spacing w:line="360" w:lineRule="atLeast"/>
      <w:textAlignment w:val="baseline"/>
    </w:pPr>
    <w:rPr>
      <w:rFonts w:ascii="宋体"/>
      <w:sz w:val="24"/>
    </w:rPr>
  </w:style>
  <w:style w:type="paragraph" w:customStyle="1" w:styleId="321">
    <w:name w:val="正文文本缩进 32"/>
    <w:basedOn w:val="a1"/>
    <w:autoRedefine/>
    <w:qFormat/>
    <w:rsid w:val="00AE3C89"/>
    <w:pPr>
      <w:tabs>
        <w:tab w:val="left" w:pos="0"/>
      </w:tabs>
      <w:adjustRightInd w:val="0"/>
      <w:snapToGrid w:val="0"/>
      <w:spacing w:line="360" w:lineRule="auto"/>
      <w:ind w:right="-40" w:firstLineChars="200" w:firstLine="420"/>
      <w:jc w:val="left"/>
      <w:textAlignment w:val="center"/>
    </w:pPr>
    <w:rPr>
      <w:rFonts w:ascii="宋体"/>
      <w:snapToGrid w:val="0"/>
      <w:kern w:val="0"/>
      <w:szCs w:val="20"/>
    </w:rPr>
  </w:style>
  <w:style w:type="paragraph" w:customStyle="1" w:styleId="afffffffffc">
    <w:name w:val="正文段落"/>
    <w:basedOn w:val="a1"/>
    <w:autoRedefine/>
    <w:qFormat/>
    <w:rsid w:val="00AE3C89"/>
    <w:pPr>
      <w:autoSpaceDE w:val="0"/>
      <w:autoSpaceDN w:val="0"/>
      <w:adjustRightInd w:val="0"/>
      <w:spacing w:line="480" w:lineRule="exact"/>
      <w:ind w:firstLineChars="200" w:firstLine="200"/>
      <w:textAlignment w:val="baseline"/>
    </w:pPr>
    <w:rPr>
      <w:rFonts w:ascii="@宋体" w:eastAsia="仿宋_GB2312"/>
      <w:kern w:val="0"/>
      <w:sz w:val="24"/>
      <w:szCs w:val="20"/>
    </w:rPr>
  </w:style>
  <w:style w:type="paragraph" w:customStyle="1" w:styleId="afffffffffd">
    <w:name w:val="正文缩进（标准）"/>
    <w:autoRedefine/>
    <w:qFormat/>
    <w:rsid w:val="00AE3C89"/>
    <w:pPr>
      <w:widowControl w:val="0"/>
      <w:tabs>
        <w:tab w:val="left" w:pos="1800"/>
        <w:tab w:val="left" w:pos="1980"/>
      </w:tabs>
      <w:spacing w:beforeLines="25" w:before="78" w:afterLines="25" w:after="78" w:line="360" w:lineRule="auto"/>
      <w:jc w:val="center"/>
    </w:pPr>
    <w:rPr>
      <w:color w:val="000000"/>
      <w:kern w:val="2"/>
      <w:sz w:val="21"/>
      <w:szCs w:val="21"/>
    </w:rPr>
  </w:style>
  <w:style w:type="paragraph" w:customStyle="1" w:styleId="1f9">
    <w:name w:val="列出段落1"/>
    <w:basedOn w:val="a1"/>
    <w:autoRedefine/>
    <w:qFormat/>
    <w:rsid w:val="00AE3C89"/>
    <w:pPr>
      <w:ind w:firstLineChars="200" w:firstLine="420"/>
    </w:pPr>
    <w:rPr>
      <w:rFonts w:ascii="Calibri" w:hAnsi="Calibri"/>
      <w:kern w:val="0"/>
      <w:szCs w:val="22"/>
    </w:rPr>
  </w:style>
  <w:style w:type="paragraph" w:customStyle="1" w:styleId="CharCharCharCharCharCharCharCharCharCharCharCharChar">
    <w:name w:val="Char Char Char Char Char Char Char Char Char Char Char Char Char"/>
    <w:basedOn w:val="a1"/>
    <w:autoRedefine/>
    <w:qFormat/>
    <w:rsid w:val="00AE3C89"/>
    <w:pPr>
      <w:spacing w:line="360" w:lineRule="auto"/>
      <w:ind w:firstLineChars="200" w:firstLine="200"/>
    </w:pPr>
    <w:rPr>
      <w:rFonts w:ascii="宋体" w:hAnsi="宋体" w:cs="宋体"/>
      <w:kern w:val="0"/>
      <w:sz w:val="24"/>
      <w:szCs w:val="20"/>
    </w:rPr>
  </w:style>
  <w:style w:type="paragraph" w:customStyle="1" w:styleId="1fa">
    <w:name w:val="页眉1"/>
    <w:basedOn w:val="a1"/>
    <w:autoRedefine/>
    <w:qFormat/>
    <w:rsid w:val="00AE3C89"/>
    <w:pPr>
      <w:pBdr>
        <w:bottom w:val="single" w:sz="6" w:space="1" w:color="auto"/>
      </w:pBdr>
      <w:tabs>
        <w:tab w:val="center" w:pos="4153"/>
        <w:tab w:val="right" w:pos="8306"/>
      </w:tabs>
      <w:snapToGrid w:val="0"/>
      <w:jc w:val="center"/>
    </w:pPr>
    <w:rPr>
      <w:rFonts w:ascii="Calibri" w:hAnsi="Calibri" w:cs="黑体"/>
      <w:kern w:val="0"/>
      <w:sz w:val="18"/>
      <w:szCs w:val="18"/>
    </w:rPr>
  </w:style>
  <w:style w:type="paragraph" w:customStyle="1" w:styleId="CharCharCharCharCharCharCharCharCharCharCharChar1CharCharCharCharCharCharCharCharCharCharCharChar1Char1">
    <w:name w:val="Char Char Char Char Char Char Char Char Char Char Char Char1 Char Char Char Char Char Char Char Char Char Char Char Char1 Char1"/>
    <w:basedOn w:val="a1"/>
    <w:next w:val="a1"/>
    <w:autoRedefine/>
    <w:qFormat/>
    <w:rsid w:val="00AE3C89"/>
    <w:pPr>
      <w:spacing w:line="336" w:lineRule="auto"/>
      <w:ind w:firstLineChars="200" w:firstLine="200"/>
    </w:pPr>
    <w:rPr>
      <w:rFonts w:ascii="宋体" w:eastAsia="汉鼎简书宋" w:hAnsi="宋体" w:cs="宋体"/>
      <w:kern w:val="0"/>
      <w:sz w:val="24"/>
      <w:szCs w:val="20"/>
    </w:rPr>
  </w:style>
  <w:style w:type="paragraph" w:customStyle="1" w:styleId="afffffffffe">
    <w:name w:val="可研正文"/>
    <w:basedOn w:val="a1"/>
    <w:autoRedefine/>
    <w:qFormat/>
    <w:rsid w:val="00AE3C89"/>
    <w:pPr>
      <w:adjustRightInd w:val="0"/>
      <w:spacing w:line="312" w:lineRule="auto"/>
      <w:ind w:firstLine="601"/>
      <w:jc w:val="left"/>
      <w:textAlignment w:val="baseline"/>
    </w:pPr>
    <w:rPr>
      <w:rFonts w:ascii="Arial" w:eastAsia="楷体" w:hAnsi="Arial"/>
      <w:spacing w:val="20"/>
      <w:kern w:val="0"/>
      <w:sz w:val="27"/>
      <w:szCs w:val="20"/>
    </w:rPr>
  </w:style>
  <w:style w:type="paragraph" w:customStyle="1" w:styleId="2f5">
    <w:name w:val="列出段落2"/>
    <w:basedOn w:val="a1"/>
    <w:autoRedefine/>
    <w:qFormat/>
    <w:rsid w:val="00AE3C89"/>
    <w:pPr>
      <w:ind w:firstLineChars="200" w:firstLine="420"/>
    </w:pPr>
    <w:rPr>
      <w:rFonts w:ascii="Calibri" w:hAnsi="Calibri"/>
      <w:kern w:val="0"/>
      <w:szCs w:val="22"/>
    </w:rPr>
  </w:style>
  <w:style w:type="paragraph" w:customStyle="1" w:styleId="1fb">
    <w:name w:val="讷表1"/>
    <w:basedOn w:val="a1"/>
    <w:autoRedefine/>
    <w:qFormat/>
    <w:rsid w:val="00AE3C89"/>
    <w:pPr>
      <w:spacing w:beforeLines="25" w:before="78" w:afterLines="25" w:after="78" w:line="360" w:lineRule="auto"/>
      <w:ind w:firstLineChars="200" w:firstLine="200"/>
      <w:jc w:val="center"/>
    </w:pPr>
    <w:rPr>
      <w:rFonts w:ascii="宋体"/>
      <w:kern w:val="0"/>
      <w:sz w:val="24"/>
    </w:rPr>
  </w:style>
  <w:style w:type="paragraph" w:customStyle="1" w:styleId="affffffffff">
    <w:name w:val="表格小四号"/>
    <w:autoRedefine/>
    <w:qFormat/>
    <w:rsid w:val="00AE3C89"/>
    <w:pPr>
      <w:widowControl w:val="0"/>
      <w:adjustRightInd w:val="0"/>
      <w:snapToGrid w:val="0"/>
      <w:jc w:val="center"/>
    </w:pPr>
    <w:rPr>
      <w:sz w:val="24"/>
      <w:szCs w:val="24"/>
    </w:rPr>
  </w:style>
  <w:style w:type="paragraph" w:customStyle="1" w:styleId="Charf7">
    <w:name w:val="正文非缩进 Char"/>
    <w:basedOn w:val="a1"/>
    <w:autoRedefine/>
    <w:qFormat/>
    <w:rsid w:val="00AE3C89"/>
    <w:pPr>
      <w:widowControl/>
      <w:adjustRightInd w:val="0"/>
      <w:spacing w:line="500" w:lineRule="exact"/>
      <w:ind w:firstLineChars="200" w:firstLine="420"/>
      <w:jc w:val="left"/>
      <w:textAlignment w:val="baseline"/>
    </w:pPr>
    <w:rPr>
      <w:rFonts w:ascii="宋体"/>
      <w:kern w:val="0"/>
      <w:sz w:val="28"/>
      <w:szCs w:val="20"/>
    </w:rPr>
  </w:style>
  <w:style w:type="paragraph" w:customStyle="1" w:styleId="Style40">
    <w:name w:val="Style4"/>
    <w:basedOn w:val="a1"/>
    <w:autoRedefine/>
    <w:qFormat/>
    <w:rsid w:val="00AE3C89"/>
    <w:pPr>
      <w:adjustRightInd w:val="0"/>
      <w:spacing w:line="517" w:lineRule="exact"/>
      <w:ind w:firstLineChars="200" w:firstLine="200"/>
      <w:jc w:val="left"/>
    </w:pPr>
    <w:rPr>
      <w:rFonts w:ascii="黑体" w:eastAsia="黑体" w:hAnsi="Calibri"/>
      <w:kern w:val="0"/>
      <w:sz w:val="24"/>
      <w:szCs w:val="20"/>
    </w:rPr>
  </w:style>
  <w:style w:type="paragraph" w:customStyle="1" w:styleId="affffffffff0">
    <w:name w:val="环评表中文字"/>
    <w:basedOn w:val="a1"/>
    <w:autoRedefine/>
    <w:qFormat/>
    <w:rsid w:val="00AE3C89"/>
    <w:pPr>
      <w:jc w:val="center"/>
    </w:pPr>
    <w:rPr>
      <w:rFonts w:ascii="宋体"/>
      <w:kern w:val="0"/>
      <w:szCs w:val="20"/>
    </w:rPr>
  </w:style>
  <w:style w:type="paragraph" w:customStyle="1" w:styleId="affffffffff1">
    <w:name w:val="表中"/>
    <w:autoRedefine/>
    <w:qFormat/>
    <w:rsid w:val="00AE3C89"/>
    <w:pPr>
      <w:adjustRightInd w:val="0"/>
      <w:snapToGrid w:val="0"/>
      <w:jc w:val="center"/>
    </w:pPr>
    <w:rPr>
      <w:kern w:val="44"/>
      <w:sz w:val="18"/>
    </w:rPr>
  </w:style>
  <w:style w:type="paragraph" w:customStyle="1" w:styleId="affffffffff2">
    <w:name w:val="简单回函地址"/>
    <w:basedOn w:val="a1"/>
    <w:autoRedefine/>
    <w:qFormat/>
    <w:rsid w:val="00AE3C89"/>
    <w:pPr>
      <w:ind w:firstLineChars="200" w:firstLine="200"/>
      <w:jc w:val="left"/>
    </w:pPr>
    <w:rPr>
      <w:kern w:val="0"/>
      <w:szCs w:val="20"/>
    </w:rPr>
  </w:style>
  <w:style w:type="paragraph" w:customStyle="1" w:styleId="153">
    <w:name w:val="正文15"/>
    <w:autoRedefine/>
    <w:qFormat/>
    <w:rsid w:val="00AE3C89"/>
    <w:pPr>
      <w:widowControl w:val="0"/>
      <w:adjustRightInd w:val="0"/>
      <w:spacing w:line="360" w:lineRule="atLeast"/>
    </w:pPr>
    <w:rPr>
      <w:rFonts w:ascii="宋体" w:hAnsi="宋体"/>
      <w:sz w:val="24"/>
    </w:rPr>
  </w:style>
  <w:style w:type="paragraph" w:customStyle="1" w:styleId="affffffffff3">
    <w:name w:val="表中文字（工大）"/>
    <w:basedOn w:val="a1"/>
    <w:autoRedefine/>
    <w:qFormat/>
    <w:rsid w:val="00AE3C89"/>
    <w:pPr>
      <w:spacing w:line="440" w:lineRule="exact"/>
      <w:jc w:val="center"/>
    </w:pPr>
    <w:rPr>
      <w:rFonts w:ascii="宋体"/>
      <w:kern w:val="0"/>
      <w:szCs w:val="20"/>
    </w:rPr>
  </w:style>
  <w:style w:type="paragraph" w:customStyle="1" w:styleId="39">
    <w:name w:val="标题3"/>
    <w:basedOn w:val="a1"/>
    <w:next w:val="a1"/>
    <w:autoRedefine/>
    <w:qFormat/>
    <w:rsid w:val="00AE3C89"/>
    <w:pPr>
      <w:keepLines/>
      <w:tabs>
        <w:tab w:val="left" w:pos="1740"/>
      </w:tabs>
      <w:spacing w:before="120" w:after="120" w:line="420" w:lineRule="auto"/>
      <w:ind w:left="1740" w:hanging="420"/>
      <w:outlineLvl w:val="2"/>
    </w:pPr>
    <w:rPr>
      <w:rFonts w:ascii="宋体" w:eastAsia="黑体"/>
      <w:kern w:val="0"/>
      <w:sz w:val="24"/>
      <w:szCs w:val="20"/>
    </w:rPr>
  </w:style>
  <w:style w:type="paragraph" w:customStyle="1" w:styleId="62">
    <w:name w:val="正文6"/>
    <w:autoRedefine/>
    <w:qFormat/>
    <w:rsid w:val="00AE3C89"/>
    <w:pPr>
      <w:widowControl w:val="0"/>
      <w:adjustRightInd w:val="0"/>
      <w:spacing w:line="360" w:lineRule="atLeast"/>
      <w:textAlignment w:val="baseline"/>
    </w:pPr>
    <w:rPr>
      <w:rFonts w:ascii="宋体"/>
      <w:sz w:val="24"/>
    </w:rPr>
  </w:style>
  <w:style w:type="paragraph" w:customStyle="1" w:styleId="Style1">
    <w:name w:val="Style1"/>
    <w:basedOn w:val="a1"/>
    <w:autoRedefine/>
    <w:qFormat/>
    <w:rsid w:val="00AE3C89"/>
    <w:pPr>
      <w:adjustRightInd w:val="0"/>
      <w:spacing w:line="672" w:lineRule="exact"/>
      <w:ind w:firstLineChars="200" w:firstLine="200"/>
      <w:jc w:val="left"/>
    </w:pPr>
    <w:rPr>
      <w:rFonts w:ascii="宋体" w:hAnsi="Calibri"/>
      <w:kern w:val="0"/>
      <w:sz w:val="24"/>
      <w:szCs w:val="20"/>
    </w:rPr>
  </w:style>
  <w:style w:type="paragraph" w:customStyle="1" w:styleId="affffffffff4">
    <w:name w:val="注"/>
    <w:basedOn w:val="a1"/>
    <w:autoRedefine/>
    <w:qFormat/>
    <w:rsid w:val="00AE3C89"/>
    <w:rPr>
      <w:rFonts w:ascii="宋体" w:hAnsi="宋体"/>
      <w:kern w:val="0"/>
      <w:szCs w:val="20"/>
    </w:rPr>
  </w:style>
  <w:style w:type="paragraph" w:customStyle="1" w:styleId="affffffffff5">
    <w:name w:val="自定义正文"/>
    <w:basedOn w:val="a1"/>
    <w:autoRedefine/>
    <w:qFormat/>
    <w:rsid w:val="00AE3C89"/>
    <w:pPr>
      <w:adjustRightInd w:val="0"/>
      <w:spacing w:line="360" w:lineRule="auto"/>
      <w:ind w:firstLine="560"/>
      <w:textAlignment w:val="baseline"/>
    </w:pPr>
    <w:rPr>
      <w:rFonts w:ascii="宋体"/>
      <w:kern w:val="0"/>
      <w:sz w:val="28"/>
      <w:szCs w:val="20"/>
    </w:rPr>
  </w:style>
  <w:style w:type="paragraph" w:customStyle="1" w:styleId="Style3">
    <w:name w:val="_Style 3"/>
    <w:basedOn w:val="a1"/>
    <w:autoRedefine/>
    <w:qFormat/>
    <w:rsid w:val="00AE3C89"/>
    <w:pPr>
      <w:spacing w:line="360" w:lineRule="auto"/>
      <w:ind w:firstLineChars="200" w:firstLine="420"/>
      <w:jc w:val="left"/>
    </w:pPr>
    <w:rPr>
      <w:rFonts w:ascii="Calibri" w:hAnsi="Calibri"/>
      <w:kern w:val="0"/>
      <w:sz w:val="24"/>
      <w:szCs w:val="22"/>
    </w:rPr>
  </w:style>
  <w:style w:type="paragraph" w:customStyle="1" w:styleId="82">
    <w:name w:val="正文8"/>
    <w:autoRedefine/>
    <w:qFormat/>
    <w:rsid w:val="00AE3C89"/>
    <w:pPr>
      <w:widowControl w:val="0"/>
      <w:adjustRightInd w:val="0"/>
      <w:spacing w:line="360" w:lineRule="atLeast"/>
      <w:textAlignment w:val="baseline"/>
    </w:pPr>
    <w:rPr>
      <w:rFonts w:ascii="宋体"/>
      <w:sz w:val="24"/>
    </w:rPr>
  </w:style>
  <w:style w:type="paragraph" w:customStyle="1" w:styleId="affffffffff6">
    <w:name w:val="正文（我）"/>
    <w:basedOn w:val="a1"/>
    <w:autoRedefine/>
    <w:qFormat/>
    <w:rsid w:val="00AE3C89"/>
    <w:pPr>
      <w:spacing w:line="360" w:lineRule="auto"/>
      <w:ind w:firstLineChars="200" w:firstLine="200"/>
      <w:jc w:val="left"/>
    </w:pPr>
    <w:rPr>
      <w:kern w:val="0"/>
      <w:sz w:val="28"/>
      <w:szCs w:val="24"/>
    </w:rPr>
  </w:style>
  <w:style w:type="paragraph" w:customStyle="1" w:styleId="1fc">
    <w:name w:val="尾注文本1"/>
    <w:basedOn w:val="82"/>
    <w:autoRedefine/>
    <w:qFormat/>
    <w:rsid w:val="00AE3C89"/>
    <w:rPr>
      <w:sz w:val="21"/>
    </w:rPr>
  </w:style>
  <w:style w:type="paragraph" w:customStyle="1" w:styleId="affffffffff7">
    <w:name w:val="正文（首行缩进）"/>
    <w:basedOn w:val="a1"/>
    <w:autoRedefine/>
    <w:qFormat/>
    <w:rsid w:val="00AE3C89"/>
    <w:pPr>
      <w:adjustRightInd w:val="0"/>
      <w:snapToGrid w:val="0"/>
      <w:spacing w:line="360" w:lineRule="auto"/>
      <w:ind w:left="855" w:hanging="855"/>
      <w:jc w:val="left"/>
    </w:pPr>
    <w:rPr>
      <w:rFonts w:ascii="宋体"/>
      <w:kern w:val="0"/>
      <w:sz w:val="24"/>
      <w:szCs w:val="20"/>
    </w:rPr>
  </w:style>
  <w:style w:type="paragraph" w:customStyle="1" w:styleId="Style24">
    <w:name w:val="_Style 24"/>
    <w:basedOn w:val="a1"/>
    <w:next w:val="a1"/>
    <w:autoRedefine/>
    <w:qFormat/>
    <w:rsid w:val="00AE3C89"/>
    <w:pPr>
      <w:spacing w:line="360" w:lineRule="auto"/>
      <w:ind w:firstLineChars="200" w:firstLine="200"/>
    </w:pPr>
    <w:rPr>
      <w:rFonts w:ascii="宋体" w:hAnsi="宋体" w:cs="宋体"/>
      <w:kern w:val="0"/>
      <w:sz w:val="24"/>
      <w:szCs w:val="20"/>
    </w:rPr>
  </w:style>
  <w:style w:type="paragraph" w:customStyle="1" w:styleId="affffffffff8">
    <w:name w:val="文章正文"/>
    <w:autoRedefine/>
    <w:qFormat/>
    <w:rsid w:val="00AE3C89"/>
    <w:pPr>
      <w:widowControl w:val="0"/>
      <w:spacing w:line="360" w:lineRule="auto"/>
      <w:ind w:firstLine="510"/>
      <w:jc w:val="both"/>
    </w:pPr>
    <w:rPr>
      <w:kern w:val="2"/>
      <w:sz w:val="24"/>
      <w:szCs w:val="24"/>
    </w:rPr>
  </w:style>
  <w:style w:type="paragraph" w:customStyle="1" w:styleId="affffffffff9">
    <w:name w:val="a正文"/>
    <w:basedOn w:val="a1"/>
    <w:autoRedefine/>
    <w:qFormat/>
    <w:rsid w:val="00AE3C89"/>
    <w:pPr>
      <w:spacing w:line="520" w:lineRule="exact"/>
      <w:ind w:firstLineChars="200" w:firstLine="561"/>
      <w:jc w:val="left"/>
    </w:pPr>
    <w:rPr>
      <w:kern w:val="0"/>
      <w:sz w:val="28"/>
      <w:szCs w:val="20"/>
    </w:rPr>
  </w:style>
  <w:style w:type="paragraph" w:customStyle="1" w:styleId="CharChar5CharChar">
    <w:name w:val="Char Char5 Char Char"/>
    <w:basedOn w:val="a1"/>
    <w:autoRedefine/>
    <w:qFormat/>
    <w:rsid w:val="00AE3C89"/>
    <w:pPr>
      <w:spacing w:line="360" w:lineRule="auto"/>
      <w:ind w:firstLineChars="200" w:firstLine="200"/>
    </w:pPr>
    <w:rPr>
      <w:rFonts w:ascii="宋体" w:cs="宋体"/>
      <w:kern w:val="0"/>
      <w:sz w:val="26"/>
      <w:szCs w:val="20"/>
    </w:rPr>
  </w:style>
  <w:style w:type="paragraph" w:customStyle="1" w:styleId="45">
    <w:name w:val="标题 4."/>
    <w:basedOn w:val="3"/>
    <w:autoRedefine/>
    <w:qFormat/>
    <w:rsid w:val="00AE3C89"/>
    <w:pPr>
      <w:numPr>
        <w:ilvl w:val="0"/>
      </w:numPr>
      <w:spacing w:before="260" w:after="120" w:line="240" w:lineRule="auto"/>
    </w:pPr>
    <w:rPr>
      <w:rFonts w:ascii="Arial" w:eastAsia="黑体" w:hAnsi="Arial" w:cs="Arial"/>
      <w:b w:val="0"/>
      <w:bCs w:val="0"/>
      <w:sz w:val="24"/>
      <w:szCs w:val="24"/>
    </w:rPr>
  </w:style>
  <w:style w:type="paragraph" w:customStyle="1" w:styleId="1-">
    <w:name w:val="1-正文"/>
    <w:basedOn w:val="a1"/>
    <w:autoRedefine/>
    <w:qFormat/>
    <w:rsid w:val="00AE3C89"/>
    <w:pPr>
      <w:spacing w:line="360" w:lineRule="auto"/>
      <w:ind w:firstLineChars="200" w:firstLine="200"/>
      <w:jc w:val="left"/>
    </w:pPr>
    <w:rPr>
      <w:rFonts w:ascii="宋体"/>
      <w:kern w:val="0"/>
      <w:sz w:val="24"/>
      <w:szCs w:val="28"/>
    </w:rPr>
  </w:style>
  <w:style w:type="paragraph" w:customStyle="1" w:styleId="94">
    <w:name w:val="9"/>
    <w:basedOn w:val="a1"/>
    <w:next w:val="af"/>
    <w:autoRedefine/>
    <w:qFormat/>
    <w:rsid w:val="00AE3C89"/>
    <w:pPr>
      <w:widowControl/>
      <w:spacing w:before="100" w:beforeAutospacing="1" w:after="100" w:afterAutospacing="1" w:line="360" w:lineRule="auto"/>
      <w:ind w:firstLineChars="200" w:firstLine="200"/>
      <w:jc w:val="left"/>
    </w:pPr>
    <w:rPr>
      <w:rFonts w:ascii="宋体" w:hAnsi="宋体"/>
      <w:kern w:val="0"/>
      <w:sz w:val="24"/>
      <w:szCs w:val="20"/>
    </w:rPr>
  </w:style>
  <w:style w:type="paragraph" w:customStyle="1" w:styleId="1fd">
    <w:name w:val="段落1"/>
    <w:basedOn w:val="a1"/>
    <w:autoRedefine/>
    <w:qFormat/>
    <w:rsid w:val="00AE3C89"/>
    <w:pPr>
      <w:tabs>
        <w:tab w:val="left" w:pos="840"/>
      </w:tabs>
      <w:adjustRightInd w:val="0"/>
      <w:ind w:left="840" w:firstLineChars="200" w:hanging="420"/>
    </w:pPr>
    <w:rPr>
      <w:rFonts w:ascii="宋体" w:eastAsia="楷体_GB2312"/>
      <w:kern w:val="0"/>
      <w:sz w:val="28"/>
      <w:szCs w:val="20"/>
    </w:rPr>
  </w:style>
  <w:style w:type="paragraph" w:customStyle="1" w:styleId="affffffffffa">
    <w:name w:val="表中文字"/>
    <w:basedOn w:val="a1"/>
    <w:autoRedefine/>
    <w:qFormat/>
    <w:rsid w:val="00AE3C89"/>
    <w:pPr>
      <w:snapToGrid w:val="0"/>
      <w:spacing w:line="340" w:lineRule="exact"/>
      <w:jc w:val="center"/>
    </w:pPr>
    <w:rPr>
      <w:rFonts w:ascii="Arial" w:hAnsi="Arial"/>
      <w:kern w:val="0"/>
      <w:szCs w:val="20"/>
      <w:lang w:eastAsia="zh-TW"/>
    </w:rPr>
  </w:style>
  <w:style w:type="paragraph" w:customStyle="1" w:styleId="2f6">
    <w:name w:val="正文文字 2"/>
    <w:basedOn w:val="a1"/>
    <w:autoRedefine/>
    <w:qFormat/>
    <w:rsid w:val="00AE3C89"/>
    <w:rPr>
      <w:rFonts w:ascii="宋体" w:cs="宋体"/>
      <w:kern w:val="0"/>
      <w:sz w:val="28"/>
      <w:szCs w:val="28"/>
    </w:rPr>
  </w:style>
  <w:style w:type="paragraph" w:customStyle="1" w:styleId="affffffffffb">
    <w:name w:val="报告书表格"/>
    <w:basedOn w:val="a1"/>
    <w:autoRedefine/>
    <w:qFormat/>
    <w:rsid w:val="00AE3C89"/>
    <w:pPr>
      <w:adjustRightInd w:val="0"/>
      <w:spacing w:line="240" w:lineRule="atLeast"/>
      <w:ind w:firstLineChars="200" w:firstLine="200"/>
      <w:jc w:val="center"/>
      <w:textAlignment w:val="baseline"/>
    </w:pPr>
    <w:rPr>
      <w:rFonts w:ascii="宋体"/>
      <w:kern w:val="0"/>
      <w:sz w:val="24"/>
      <w:szCs w:val="20"/>
    </w:rPr>
  </w:style>
  <w:style w:type="paragraph" w:customStyle="1" w:styleId="1fe">
    <w:name w:val="公式样式1"/>
    <w:basedOn w:val="a1"/>
    <w:autoRedefine/>
    <w:qFormat/>
    <w:rsid w:val="00AE3C89"/>
    <w:pPr>
      <w:jc w:val="center"/>
    </w:pPr>
    <w:rPr>
      <w:rFonts w:ascii="宋体"/>
      <w:kern w:val="0"/>
    </w:rPr>
  </w:style>
  <w:style w:type="paragraph" w:customStyle="1" w:styleId="affffffffffc">
    <w:name w:val="表内"/>
    <w:basedOn w:val="a1"/>
    <w:autoRedefine/>
    <w:qFormat/>
    <w:rsid w:val="00AE3C89"/>
    <w:pPr>
      <w:spacing w:line="240" w:lineRule="atLeast"/>
      <w:jc w:val="center"/>
    </w:pPr>
    <w:rPr>
      <w:rFonts w:ascii="宋体"/>
      <w:kern w:val="0"/>
      <w:szCs w:val="20"/>
    </w:rPr>
  </w:style>
  <w:style w:type="paragraph" w:customStyle="1" w:styleId="1210">
    <w:name w:val="样式 正文1 + 首行缩进:  2 字符1"/>
    <w:basedOn w:val="a1"/>
    <w:autoRedefine/>
    <w:qFormat/>
    <w:rsid w:val="00AE3C89"/>
    <w:pPr>
      <w:suppressAutoHyphens/>
      <w:topLinePunct/>
      <w:spacing w:line="360" w:lineRule="auto"/>
    </w:pPr>
    <w:rPr>
      <w:rFonts w:ascii="宋体" w:eastAsia="仿宋_GB2312"/>
      <w:bCs/>
      <w:spacing w:val="-4"/>
      <w:kern w:val="0"/>
      <w:sz w:val="28"/>
      <w:szCs w:val="28"/>
    </w:rPr>
  </w:style>
  <w:style w:type="paragraph" w:customStyle="1" w:styleId="213">
    <w:name w:val="正文21"/>
    <w:autoRedefine/>
    <w:qFormat/>
    <w:rsid w:val="00AE3C89"/>
    <w:pPr>
      <w:widowControl w:val="0"/>
      <w:adjustRightInd w:val="0"/>
      <w:spacing w:line="360" w:lineRule="atLeast"/>
      <w:textAlignment w:val="baseline"/>
    </w:pPr>
    <w:rPr>
      <w:rFonts w:ascii="宋体"/>
      <w:sz w:val="24"/>
    </w:rPr>
  </w:style>
  <w:style w:type="paragraph" w:customStyle="1" w:styleId="CharChar17">
    <w:name w:val="Char Char17"/>
    <w:basedOn w:val="a1"/>
    <w:autoRedefine/>
    <w:qFormat/>
    <w:rsid w:val="00AE3C89"/>
    <w:pPr>
      <w:spacing w:line="360" w:lineRule="auto"/>
      <w:ind w:firstLineChars="200" w:firstLine="200"/>
    </w:pPr>
    <w:rPr>
      <w:rFonts w:ascii="宋体" w:hAnsi="宋体" w:cs="宋体"/>
      <w:kern w:val="0"/>
      <w:sz w:val="24"/>
      <w:szCs w:val="20"/>
    </w:rPr>
  </w:style>
  <w:style w:type="paragraph" w:customStyle="1" w:styleId="affffffffffd">
    <w:name w:val="首行缩进"/>
    <w:basedOn w:val="a1"/>
    <w:autoRedefine/>
    <w:qFormat/>
    <w:rsid w:val="00AE3C89"/>
    <w:pPr>
      <w:spacing w:line="460" w:lineRule="atLeast"/>
      <w:jc w:val="center"/>
    </w:pPr>
    <w:rPr>
      <w:rFonts w:ascii="宋体" w:eastAsia="黑体"/>
      <w:spacing w:val="20"/>
      <w:kern w:val="0"/>
      <w:sz w:val="24"/>
      <w:szCs w:val="20"/>
    </w:rPr>
  </w:style>
  <w:style w:type="paragraph" w:customStyle="1" w:styleId="affffffffffe">
    <w:name w:val="表列"/>
    <w:basedOn w:val="afff8"/>
    <w:autoRedefine/>
    <w:qFormat/>
    <w:rsid w:val="00AE3C89"/>
    <w:pPr>
      <w:widowControl w:val="0"/>
      <w:adjustRightInd w:val="0"/>
      <w:snapToGrid w:val="0"/>
      <w:spacing w:beforeLines="5" w:before="15" w:beforeAutospacing="0" w:afterLines="5" w:after="15" w:afterAutospacing="0" w:line="240" w:lineRule="atLeast"/>
      <w:jc w:val="both"/>
      <w:textAlignment w:val="baseline"/>
    </w:pPr>
    <w:rPr>
      <w:rFonts w:hAnsi="Times New Roman"/>
      <w:bCs/>
      <w:color w:val="000000"/>
      <w:sz w:val="24"/>
      <w:szCs w:val="20"/>
    </w:rPr>
  </w:style>
  <w:style w:type="paragraph" w:customStyle="1" w:styleId="53">
    <w:name w:val="样式5"/>
    <w:basedOn w:val="ad"/>
    <w:autoRedefine/>
    <w:qFormat/>
    <w:rsid w:val="00AE3C89"/>
    <w:pPr>
      <w:ind w:rightChars="-50" w:right="-50"/>
      <w:jc w:val="center"/>
    </w:pPr>
    <w:rPr>
      <w:rFonts w:ascii="宋体"/>
      <w:b/>
      <w:kern w:val="0"/>
      <w:sz w:val="18"/>
      <w:szCs w:val="20"/>
    </w:rPr>
  </w:style>
  <w:style w:type="paragraph" w:customStyle="1" w:styleId="TimesNewRoman0">
    <w:name w:val="样式 表苡 + Times New Roman 五号 行距: 单倍行距 首行缩进:  0 字符"/>
    <w:basedOn w:val="afffffffff9"/>
    <w:autoRedefine/>
    <w:qFormat/>
    <w:rsid w:val="00AE3C89"/>
    <w:pPr>
      <w:spacing w:line="240" w:lineRule="auto"/>
      <w:ind w:firstLineChars="0" w:firstLine="0"/>
    </w:pPr>
    <w:rPr>
      <w:rFonts w:ascii="Times New Roman" w:hAnsi="Times New Roman" w:cs="宋体"/>
      <w:sz w:val="21"/>
      <w:szCs w:val="20"/>
    </w:rPr>
  </w:style>
  <w:style w:type="paragraph" w:customStyle="1" w:styleId="CharCharCharCharCharChar1Char">
    <w:name w:val="Char Char Char Char Char Char1 Char"/>
    <w:basedOn w:val="a1"/>
    <w:autoRedefine/>
    <w:qFormat/>
    <w:rsid w:val="00AE3C89"/>
    <w:rPr>
      <w:rFonts w:ascii="宋体"/>
      <w:kern w:val="0"/>
      <w:szCs w:val="20"/>
    </w:rPr>
  </w:style>
  <w:style w:type="paragraph" w:customStyle="1" w:styleId="album-div1">
    <w:name w:val="album-div1"/>
    <w:basedOn w:val="a1"/>
    <w:autoRedefine/>
    <w:qFormat/>
    <w:rsid w:val="00AE3C89"/>
    <w:pPr>
      <w:widowControl/>
      <w:shd w:val="clear" w:color="auto" w:fill="FFFFFF"/>
      <w:spacing w:before="100" w:beforeAutospacing="1" w:after="100" w:afterAutospacing="1"/>
      <w:jc w:val="left"/>
    </w:pPr>
    <w:rPr>
      <w:rFonts w:ascii="宋体" w:hAnsi="宋体" w:cs="宋体"/>
      <w:kern w:val="0"/>
      <w:sz w:val="24"/>
      <w:szCs w:val="20"/>
    </w:rPr>
  </w:style>
  <w:style w:type="paragraph" w:customStyle="1" w:styleId="2f7">
    <w:name w:val="正文(首行缩进2字)"/>
    <w:basedOn w:val="a1"/>
    <w:next w:val="a1"/>
    <w:autoRedefine/>
    <w:qFormat/>
    <w:rsid w:val="00AE3C89"/>
    <w:pPr>
      <w:tabs>
        <w:tab w:val="left" w:pos="3891"/>
      </w:tabs>
      <w:adjustRightInd w:val="0"/>
      <w:spacing w:line="360" w:lineRule="auto"/>
      <w:ind w:firstLineChars="200" w:firstLine="560"/>
      <w:jc w:val="left"/>
      <w:textAlignment w:val="baseline"/>
    </w:pPr>
    <w:rPr>
      <w:rFonts w:ascii="宋体"/>
      <w:bCs/>
      <w:kern w:val="0"/>
      <w:sz w:val="24"/>
      <w:szCs w:val="20"/>
    </w:rPr>
  </w:style>
  <w:style w:type="paragraph" w:customStyle="1" w:styleId="altD">
    <w:name w:val="表头，alt+D"/>
    <w:basedOn w:val="a1"/>
    <w:autoRedefine/>
    <w:qFormat/>
    <w:rsid w:val="00AE3C89"/>
    <w:pPr>
      <w:spacing w:before="60" w:after="60" w:line="240" w:lineRule="atLeast"/>
      <w:ind w:left="-113" w:right="-113"/>
      <w:jc w:val="center"/>
      <w:textAlignment w:val="center"/>
    </w:pPr>
    <w:rPr>
      <w:rFonts w:ascii="宋体"/>
      <w:b/>
      <w:color w:val="808000"/>
      <w:kern w:val="0"/>
      <w:sz w:val="24"/>
      <w:szCs w:val="20"/>
    </w:rPr>
  </w:style>
  <w:style w:type="paragraph" w:customStyle="1" w:styleId="115">
    <w:name w:val="表样式1.1"/>
    <w:basedOn w:val="a1"/>
    <w:autoRedefine/>
    <w:qFormat/>
    <w:rsid w:val="00AE3C89"/>
    <w:pPr>
      <w:autoSpaceDE w:val="0"/>
      <w:autoSpaceDN w:val="0"/>
      <w:adjustRightInd w:val="0"/>
      <w:snapToGrid w:val="0"/>
      <w:spacing w:line="374" w:lineRule="exact"/>
      <w:ind w:firstLineChars="200" w:firstLine="200"/>
      <w:jc w:val="center"/>
    </w:pPr>
    <w:rPr>
      <w:rFonts w:ascii="宋体" w:hAnsi="宋体" w:cs="宋体"/>
      <w:bCs/>
      <w:color w:val="000000"/>
      <w:kern w:val="0"/>
      <w:sz w:val="24"/>
    </w:rPr>
  </w:style>
  <w:style w:type="paragraph" w:customStyle="1" w:styleId="1ff">
    <w:name w:val="表1"/>
    <w:next w:val="a1"/>
    <w:autoRedefine/>
    <w:qFormat/>
    <w:rsid w:val="00AE3C89"/>
    <w:pPr>
      <w:adjustRightInd w:val="0"/>
      <w:snapToGrid w:val="0"/>
      <w:jc w:val="center"/>
    </w:pPr>
    <w:rPr>
      <w:rFonts w:ascii="宋体"/>
      <w:sz w:val="21"/>
    </w:rPr>
  </w:style>
  <w:style w:type="paragraph" w:customStyle="1" w:styleId="2f8">
    <w:name w:val="可研2"/>
    <w:basedOn w:val="a1"/>
    <w:autoRedefine/>
    <w:qFormat/>
    <w:rsid w:val="00AE3C89"/>
    <w:pPr>
      <w:ind w:firstLineChars="200" w:firstLine="200"/>
    </w:pPr>
    <w:rPr>
      <w:rFonts w:ascii="仿宋_GB2312" w:eastAsia="仿宋_GB2312" w:hAnsi="宋体"/>
      <w:kern w:val="0"/>
      <w:sz w:val="28"/>
      <w:szCs w:val="28"/>
    </w:rPr>
  </w:style>
  <w:style w:type="paragraph" w:customStyle="1" w:styleId="130">
    <w:name w:val="正文小四首缩1.3行距"/>
    <w:basedOn w:val="a1"/>
    <w:autoRedefine/>
    <w:qFormat/>
    <w:rsid w:val="00AE3C89"/>
    <w:pPr>
      <w:spacing w:line="312" w:lineRule="auto"/>
      <w:ind w:firstLineChars="200" w:firstLine="420"/>
      <w:jc w:val="left"/>
    </w:pPr>
    <w:rPr>
      <w:rFonts w:ascii="宋体"/>
      <w:kern w:val="0"/>
      <w:sz w:val="24"/>
      <w:szCs w:val="20"/>
    </w:rPr>
  </w:style>
  <w:style w:type="paragraph" w:customStyle="1" w:styleId="xl71">
    <w:name w:val="xl71"/>
    <w:basedOn w:val="a1"/>
    <w:autoRedefine/>
    <w:qFormat/>
    <w:rsid w:val="00AE3C89"/>
    <w:pPr>
      <w:widowControl/>
      <w:pBdr>
        <w:left w:val="single" w:sz="4" w:space="0" w:color="auto"/>
        <w:bottom w:val="single" w:sz="8" w:space="0" w:color="auto"/>
      </w:pBdr>
      <w:spacing w:before="100" w:beforeAutospacing="1" w:after="100" w:afterAutospacing="1"/>
      <w:jc w:val="center"/>
      <w:textAlignment w:val="center"/>
    </w:pPr>
    <w:rPr>
      <w:rFonts w:ascii="宋体" w:eastAsia="Arial Unicode MS"/>
      <w:kern w:val="0"/>
      <w:sz w:val="24"/>
      <w:szCs w:val="20"/>
    </w:rPr>
  </w:style>
  <w:style w:type="paragraph" w:customStyle="1" w:styleId="2f9">
    <w:name w:val="2"/>
    <w:basedOn w:val="a1"/>
    <w:autoRedefine/>
    <w:qFormat/>
    <w:rsid w:val="00AE3C89"/>
    <w:pPr>
      <w:spacing w:line="360" w:lineRule="auto"/>
      <w:ind w:firstLineChars="200" w:firstLine="200"/>
    </w:pPr>
    <w:rPr>
      <w:rFonts w:ascii="宋体" w:hAnsi="宋体" w:cs="宋体"/>
      <w:kern w:val="0"/>
      <w:sz w:val="24"/>
      <w:szCs w:val="20"/>
    </w:rPr>
  </w:style>
  <w:style w:type="paragraph" w:customStyle="1" w:styleId="-045">
    <w:name w:val="样式 表格标题 + 左侧:  -0.45 字符"/>
    <w:basedOn w:val="a1"/>
    <w:autoRedefine/>
    <w:qFormat/>
    <w:rsid w:val="00AE3C89"/>
    <w:pPr>
      <w:adjustRightInd w:val="0"/>
      <w:snapToGrid w:val="0"/>
      <w:spacing w:before="120" w:after="60" w:line="400" w:lineRule="exact"/>
      <w:ind w:leftChars="-45" w:left="-45"/>
      <w:jc w:val="center"/>
    </w:pPr>
    <w:rPr>
      <w:rFonts w:ascii="Times" w:eastAsia="仿宋_GB2312" w:cs="宋体"/>
      <w:b/>
      <w:bCs/>
      <w:kern w:val="0"/>
      <w:sz w:val="24"/>
      <w:szCs w:val="20"/>
    </w:rPr>
  </w:style>
  <w:style w:type="paragraph" w:customStyle="1" w:styleId="afffffffffff">
    <w:name w:val="图头"/>
    <w:basedOn w:val="a1"/>
    <w:autoRedefine/>
    <w:qFormat/>
    <w:rsid w:val="00AE3C89"/>
    <w:pPr>
      <w:spacing w:line="360" w:lineRule="auto"/>
      <w:jc w:val="center"/>
    </w:pPr>
    <w:rPr>
      <w:rFonts w:ascii="黑体" w:eastAsia="黑体"/>
      <w:kern w:val="0"/>
      <w:sz w:val="28"/>
      <w:szCs w:val="28"/>
    </w:rPr>
  </w:style>
  <w:style w:type="paragraph" w:customStyle="1" w:styleId="b">
    <w:name w:val="正文文本缩进b"/>
    <w:basedOn w:val="af"/>
    <w:autoRedefine/>
    <w:qFormat/>
    <w:rsid w:val="00AE3C89"/>
    <w:pPr>
      <w:ind w:firstLineChars="200" w:firstLine="480"/>
    </w:pPr>
    <w:rPr>
      <w:rFonts w:ascii="宋体" w:hAnsi="BankGothic Lt BT"/>
      <w:color w:val="000000"/>
      <w:szCs w:val="24"/>
    </w:rPr>
  </w:style>
  <w:style w:type="paragraph" w:customStyle="1" w:styleId="CharCharChar1Char">
    <w:name w:val="Char Char Char1 Char"/>
    <w:basedOn w:val="a1"/>
    <w:autoRedefine/>
    <w:qFormat/>
    <w:rsid w:val="00AE3C89"/>
    <w:rPr>
      <w:rFonts w:ascii="宋体"/>
      <w:kern w:val="0"/>
      <w:szCs w:val="20"/>
    </w:rPr>
  </w:style>
  <w:style w:type="paragraph" w:customStyle="1" w:styleId="Char1CharCharChar">
    <w:name w:val="Char1 Char Char Char"/>
    <w:basedOn w:val="a1"/>
    <w:autoRedefine/>
    <w:qFormat/>
    <w:rsid w:val="00AE3C89"/>
    <w:rPr>
      <w:rFonts w:ascii="Tahoma" w:hAnsi="Tahoma"/>
      <w:kern w:val="0"/>
      <w:sz w:val="24"/>
      <w:szCs w:val="20"/>
    </w:rPr>
  </w:style>
  <w:style w:type="paragraph" w:customStyle="1" w:styleId="46">
    <w:name w:val="样式4"/>
    <w:basedOn w:val="ad"/>
    <w:autoRedefine/>
    <w:qFormat/>
    <w:rsid w:val="00AE3C89"/>
    <w:pPr>
      <w:widowControl/>
      <w:spacing w:line="360" w:lineRule="auto"/>
      <w:ind w:firstLineChars="200" w:firstLine="480"/>
      <w:jc w:val="left"/>
    </w:pPr>
    <w:rPr>
      <w:snapToGrid w:val="0"/>
      <w:sz w:val="24"/>
      <w:szCs w:val="20"/>
      <w:lang w:val="zh-CN"/>
    </w:rPr>
  </w:style>
  <w:style w:type="paragraph" w:customStyle="1" w:styleId="ST201">
    <w:name w:val="ST20_1"/>
    <w:basedOn w:val="a1"/>
    <w:autoRedefine/>
    <w:qFormat/>
    <w:rsid w:val="00AE3C89"/>
    <w:pPr>
      <w:autoSpaceDE w:val="0"/>
      <w:autoSpaceDN w:val="0"/>
      <w:adjustRightInd w:val="0"/>
      <w:spacing w:line="360" w:lineRule="atLeast"/>
      <w:textAlignment w:val="baseline"/>
    </w:pPr>
    <w:rPr>
      <w:rFonts w:ascii="宋体" w:hAnsi="Tms Rmn"/>
      <w:kern w:val="0"/>
      <w:sz w:val="28"/>
      <w:szCs w:val="20"/>
    </w:rPr>
  </w:style>
  <w:style w:type="paragraph" w:customStyle="1" w:styleId="TimesNewRoman">
    <w:name w:val="样式 Times New Roman 五号 居中"/>
    <w:autoRedefine/>
    <w:qFormat/>
    <w:rsid w:val="00AE3C89"/>
    <w:pPr>
      <w:widowControl w:val="0"/>
      <w:jc w:val="center"/>
    </w:pPr>
    <w:rPr>
      <w:rFonts w:ascii="宋体" w:cs="宋体"/>
      <w:sz w:val="24"/>
      <w:szCs w:val="21"/>
    </w:rPr>
  </w:style>
  <w:style w:type="paragraph" w:customStyle="1" w:styleId="afffffffffff0">
    <w:name w:val="主标题"/>
    <w:basedOn w:val="a1"/>
    <w:autoRedefine/>
    <w:qFormat/>
    <w:rsid w:val="00AE3C89"/>
    <w:pPr>
      <w:snapToGrid w:val="0"/>
      <w:spacing w:before="60" w:after="60" w:line="360" w:lineRule="auto"/>
      <w:jc w:val="center"/>
      <w:outlineLvl w:val="0"/>
    </w:pPr>
    <w:rPr>
      <w:rFonts w:ascii="黑体" w:eastAsia="黑体"/>
      <w:b/>
      <w:kern w:val="0"/>
      <w:sz w:val="32"/>
      <w:szCs w:val="32"/>
    </w:rPr>
  </w:style>
  <w:style w:type="paragraph" w:customStyle="1" w:styleId="xumz-">
    <w:name w:val="xumz-正文"/>
    <w:basedOn w:val="a1"/>
    <w:autoRedefine/>
    <w:qFormat/>
    <w:rsid w:val="00AE3C89"/>
    <w:pPr>
      <w:snapToGrid w:val="0"/>
      <w:spacing w:line="360" w:lineRule="auto"/>
      <w:ind w:firstLineChars="200" w:firstLine="200"/>
      <w:jc w:val="left"/>
      <w:textAlignment w:val="baseline"/>
    </w:pPr>
    <w:rPr>
      <w:rFonts w:ascii="宋体"/>
      <w:kern w:val="0"/>
      <w:sz w:val="24"/>
      <w:szCs w:val="20"/>
    </w:rPr>
  </w:style>
  <w:style w:type="paragraph" w:customStyle="1" w:styleId="afffffffffff1">
    <w:name w:val="样式 表格正文 + 五号"/>
    <w:autoRedefine/>
    <w:qFormat/>
    <w:rsid w:val="00AE3C89"/>
  </w:style>
  <w:style w:type="paragraph" w:customStyle="1" w:styleId="afffffffffff2">
    <w:name w:val="灯泡注释(打印无效)"/>
    <w:basedOn w:val="aff2"/>
    <w:autoRedefine/>
    <w:qFormat/>
    <w:rsid w:val="00AE3C89"/>
    <w:pPr>
      <w:snapToGrid w:val="0"/>
      <w:spacing w:after="0"/>
      <w:ind w:firstLineChars="0" w:firstLine="0"/>
    </w:pPr>
    <w:rPr>
      <w:rFonts w:ascii="宋体" w:hAnsi="宋体"/>
      <w:i/>
      <w:vanish/>
      <w:color w:val="FF0000"/>
      <w:szCs w:val="21"/>
    </w:rPr>
  </w:style>
  <w:style w:type="paragraph" w:customStyle="1" w:styleId="-121121">
    <w:name w:val="样式 样式 正文文字-1 + 首行缩进:  2.1 字符1 + 首行缩进:  2.1 字符"/>
    <w:basedOn w:val="a1"/>
    <w:autoRedefine/>
    <w:qFormat/>
    <w:rsid w:val="00AE3C89"/>
    <w:pPr>
      <w:spacing w:before="120" w:after="120" w:line="400" w:lineRule="exact"/>
      <w:ind w:firstLineChars="210" w:firstLine="210"/>
    </w:pPr>
    <w:rPr>
      <w:rFonts w:ascii="宋体" w:cs="宋体"/>
      <w:kern w:val="0"/>
      <w:sz w:val="24"/>
      <w:szCs w:val="20"/>
    </w:rPr>
  </w:style>
  <w:style w:type="paragraph" w:customStyle="1" w:styleId="47">
    <w:name w:val="4"/>
    <w:basedOn w:val="ad"/>
    <w:next w:val="aff2"/>
    <w:autoRedefine/>
    <w:qFormat/>
    <w:rsid w:val="00AE3C89"/>
    <w:pPr>
      <w:adjustRightInd w:val="0"/>
      <w:spacing w:line="312" w:lineRule="auto"/>
      <w:ind w:firstLine="567"/>
      <w:textAlignment w:val="baseline"/>
    </w:pPr>
    <w:rPr>
      <w:rFonts w:ascii="宋体"/>
      <w:szCs w:val="24"/>
    </w:rPr>
  </w:style>
  <w:style w:type="paragraph" w:customStyle="1" w:styleId="afffffffffff3">
    <w:name w:val="报告表正文"/>
    <w:basedOn w:val="a1"/>
    <w:autoRedefine/>
    <w:qFormat/>
    <w:rsid w:val="00AE3C89"/>
    <w:pPr>
      <w:adjustRightInd w:val="0"/>
      <w:snapToGrid w:val="0"/>
      <w:spacing w:line="360" w:lineRule="auto"/>
      <w:ind w:firstLineChars="200" w:firstLine="1134"/>
      <w:textAlignment w:val="baseline"/>
    </w:pPr>
    <w:rPr>
      <w:kern w:val="0"/>
      <w:sz w:val="24"/>
      <w:szCs w:val="20"/>
    </w:rPr>
  </w:style>
  <w:style w:type="paragraph" w:customStyle="1" w:styleId="afffffffffff4">
    <w:name w:val="表头、图名"/>
    <w:basedOn w:val="a1"/>
    <w:next w:val="a1"/>
    <w:autoRedefine/>
    <w:qFormat/>
    <w:rsid w:val="00AE3C89"/>
    <w:pPr>
      <w:spacing w:line="360" w:lineRule="auto"/>
      <w:jc w:val="center"/>
    </w:pPr>
    <w:rPr>
      <w:rFonts w:eastAsia="黑体" w:hint="eastAsia"/>
      <w:kern w:val="0"/>
      <w:sz w:val="24"/>
      <w:szCs w:val="20"/>
    </w:rPr>
  </w:style>
  <w:style w:type="paragraph" w:customStyle="1" w:styleId="48">
    <w:name w:val="【标题4】"/>
    <w:basedOn w:val="a1"/>
    <w:autoRedefine/>
    <w:qFormat/>
    <w:rsid w:val="00AE3C89"/>
    <w:pPr>
      <w:keepLines/>
      <w:spacing w:before="120" w:after="120" w:line="360" w:lineRule="auto"/>
      <w:ind w:firstLineChars="200" w:firstLine="200"/>
      <w:jc w:val="left"/>
      <w:outlineLvl w:val="3"/>
    </w:pPr>
    <w:rPr>
      <w:rFonts w:ascii="黑体" w:eastAsia="黑体" w:hAnsi="宋体" w:hint="eastAsia"/>
      <w:bCs/>
      <w:sz w:val="24"/>
      <w:szCs w:val="24"/>
    </w:rPr>
  </w:style>
  <w:style w:type="table" w:customStyle="1" w:styleId="3a">
    <w:name w:val="网格型3"/>
    <w:next w:val="aff4"/>
    <w:uiPriority w:val="59"/>
    <w:qFormat/>
    <w:rsid w:val="00690D6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5">
    <w:name w:val="Table Normal5"/>
    <w:uiPriority w:val="2"/>
    <w:unhideWhenUsed/>
    <w:qFormat/>
    <w:rsid w:val="00690D66"/>
    <w:pPr>
      <w:widowControl w:val="0"/>
    </w:pPr>
    <w:rPr>
      <w:lang w:eastAsia="en-US"/>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wmf"/><Relationship Id="rId21" Type="http://schemas.openxmlformats.org/officeDocument/2006/relationships/image" Target="media/image6.png"/><Relationship Id="rId42" Type="http://schemas.openxmlformats.org/officeDocument/2006/relationships/hyperlink" Target="file:///C:\Users\xueying\AppData\Roaming\Microsoft\Word\3.2.8.1" TargetMode="External"/><Relationship Id="rId63" Type="http://schemas.openxmlformats.org/officeDocument/2006/relationships/hyperlink" Target="file:///C:\Users\xueying\AppData\Roaming\Microsoft\Word\3.3.2.4" TargetMode="External"/><Relationship Id="rId84" Type="http://schemas.openxmlformats.org/officeDocument/2006/relationships/image" Target="media/image27.png"/><Relationship Id="rId138" Type="http://schemas.openxmlformats.org/officeDocument/2006/relationships/image" Target="media/image66.wmf"/><Relationship Id="rId107" Type="http://schemas.openxmlformats.org/officeDocument/2006/relationships/chart" Target="charts/chart2.xml"/><Relationship Id="rId11" Type="http://schemas.openxmlformats.org/officeDocument/2006/relationships/image" Target="media/image1.jpeg"/><Relationship Id="rId32" Type="http://schemas.openxmlformats.org/officeDocument/2006/relationships/hyperlink" Target="file:///C:\Users\xueying\AppData\Roaming\Microsoft\Word\3.1.5.4" TargetMode="External"/><Relationship Id="rId53" Type="http://schemas.openxmlformats.org/officeDocument/2006/relationships/hyperlink" Target="file:///C:\Users\xueying\AppData\Roaming\Microsoft\Word\3.2.10.2" TargetMode="External"/><Relationship Id="rId74" Type="http://schemas.openxmlformats.org/officeDocument/2006/relationships/image" Target="media/image17.wmf"/><Relationship Id="rId128" Type="http://schemas.openxmlformats.org/officeDocument/2006/relationships/image" Target="media/image61.wmf"/><Relationship Id="rId149" Type="http://schemas.openxmlformats.org/officeDocument/2006/relationships/image" Target="media/image73.png"/><Relationship Id="rId5" Type="http://schemas.openxmlformats.org/officeDocument/2006/relationships/settings" Target="settings.xml"/><Relationship Id="rId95" Type="http://schemas.openxmlformats.org/officeDocument/2006/relationships/image" Target="media/image38.png"/><Relationship Id="rId22" Type="http://schemas.openxmlformats.org/officeDocument/2006/relationships/image" Target="media/image7.png"/><Relationship Id="rId43" Type="http://schemas.openxmlformats.org/officeDocument/2006/relationships/hyperlink" Target="file:///C:\Users\xueying\AppData\Roaming\Microsoft\Word\3.2.8.2" TargetMode="External"/><Relationship Id="rId64" Type="http://schemas.openxmlformats.org/officeDocument/2006/relationships/footer" Target="footer5.xml"/><Relationship Id="rId118" Type="http://schemas.openxmlformats.org/officeDocument/2006/relationships/oleObject" Target="embeddings/oleObject4.bin"/><Relationship Id="rId139" Type="http://schemas.openxmlformats.org/officeDocument/2006/relationships/oleObject" Target="embeddings/oleObject14.bin"/><Relationship Id="rId80" Type="http://schemas.openxmlformats.org/officeDocument/2006/relationships/image" Target="media/image23.png"/><Relationship Id="rId85" Type="http://schemas.openxmlformats.org/officeDocument/2006/relationships/image" Target="media/image28.png"/><Relationship Id="rId150" Type="http://schemas.openxmlformats.org/officeDocument/2006/relationships/image" Target="media/image74.png"/><Relationship Id="rId155" Type="http://schemas.openxmlformats.org/officeDocument/2006/relationships/image" Target="media/image79.png"/><Relationship Id="rId12" Type="http://schemas.openxmlformats.org/officeDocument/2006/relationships/image" Target="media/image2.jpeg"/><Relationship Id="rId17" Type="http://schemas.openxmlformats.org/officeDocument/2006/relationships/image" Target="media/image4.png"/><Relationship Id="rId33" Type="http://schemas.openxmlformats.org/officeDocument/2006/relationships/hyperlink" Target="file:///C:\Users\xueying\AppData\Roaming\Microsoft\Word\3.2.3.1" TargetMode="External"/><Relationship Id="rId38" Type="http://schemas.openxmlformats.org/officeDocument/2006/relationships/hyperlink" Target="file:///C:\Users\xueying\AppData\Roaming\Microsoft\Word\3.2.4.3" TargetMode="External"/><Relationship Id="rId59" Type="http://schemas.openxmlformats.org/officeDocument/2006/relationships/hyperlink" Target="file:///C:\Users\xueying\AppData\Roaming\Microsoft\Word\3.3.1.4" TargetMode="External"/><Relationship Id="rId103" Type="http://schemas.openxmlformats.org/officeDocument/2006/relationships/image" Target="media/image46.png"/><Relationship Id="rId108" Type="http://schemas.openxmlformats.org/officeDocument/2006/relationships/chart" Target="charts/chart3.xml"/><Relationship Id="rId124" Type="http://schemas.openxmlformats.org/officeDocument/2006/relationships/image" Target="media/image59.wmf"/><Relationship Id="rId129" Type="http://schemas.openxmlformats.org/officeDocument/2006/relationships/oleObject" Target="embeddings/oleObject9.bin"/><Relationship Id="rId54" Type="http://schemas.openxmlformats.org/officeDocument/2006/relationships/hyperlink" Target="file:///C:\Users\xueying\AppData\Roaming\Microsoft\Word\3.2.10.3" TargetMode="External"/><Relationship Id="rId70" Type="http://schemas.openxmlformats.org/officeDocument/2006/relationships/oleObject" Target="embeddings/oleObject1.bin"/><Relationship Id="rId75" Type="http://schemas.openxmlformats.org/officeDocument/2006/relationships/image" Target="media/image18.wmf"/><Relationship Id="rId91" Type="http://schemas.openxmlformats.org/officeDocument/2006/relationships/image" Target="media/image34.png"/><Relationship Id="rId96" Type="http://schemas.openxmlformats.org/officeDocument/2006/relationships/image" Target="media/image39.png"/><Relationship Id="rId140" Type="http://schemas.openxmlformats.org/officeDocument/2006/relationships/image" Target="media/image67.png"/><Relationship Id="rId145"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8.png"/><Relationship Id="rId28" Type="http://schemas.openxmlformats.org/officeDocument/2006/relationships/image" Target="media/image13.png"/><Relationship Id="rId49" Type="http://schemas.openxmlformats.org/officeDocument/2006/relationships/hyperlink" Target="file:///C:\Users\xueying\AppData\Roaming\Microsoft\Word\3.2.9.1" TargetMode="External"/><Relationship Id="rId114" Type="http://schemas.openxmlformats.org/officeDocument/2006/relationships/image" Target="media/image53.png"/><Relationship Id="rId119" Type="http://schemas.openxmlformats.org/officeDocument/2006/relationships/image" Target="media/image56.emf"/><Relationship Id="rId44" Type="http://schemas.openxmlformats.org/officeDocument/2006/relationships/hyperlink" Target="file:///C:\Users\xueying\AppData\Roaming\Microsoft\Word\3.2.8.3" TargetMode="External"/><Relationship Id="rId60" Type="http://schemas.openxmlformats.org/officeDocument/2006/relationships/hyperlink" Target="file:///C:\Users\xueying\AppData\Roaming\Microsoft\Word\3.3.1.5" TargetMode="External"/><Relationship Id="rId65" Type="http://schemas.openxmlformats.org/officeDocument/2006/relationships/header" Target="header4.xml"/><Relationship Id="rId81" Type="http://schemas.openxmlformats.org/officeDocument/2006/relationships/image" Target="media/image24.png"/><Relationship Id="rId86" Type="http://schemas.openxmlformats.org/officeDocument/2006/relationships/image" Target="media/image29.png"/><Relationship Id="rId130" Type="http://schemas.openxmlformats.org/officeDocument/2006/relationships/image" Target="media/image62.wmf"/><Relationship Id="rId135" Type="http://schemas.openxmlformats.org/officeDocument/2006/relationships/oleObject" Target="embeddings/oleObject12.bin"/><Relationship Id="rId151" Type="http://schemas.openxmlformats.org/officeDocument/2006/relationships/image" Target="media/image75.png"/><Relationship Id="rId156" Type="http://schemas.openxmlformats.org/officeDocument/2006/relationships/header" Target="header8.xml"/><Relationship Id="rId13" Type="http://schemas.openxmlformats.org/officeDocument/2006/relationships/header" Target="header2.xml"/><Relationship Id="rId18" Type="http://schemas.openxmlformats.org/officeDocument/2006/relationships/header" Target="header3.xml"/><Relationship Id="rId39" Type="http://schemas.openxmlformats.org/officeDocument/2006/relationships/hyperlink" Target="file:///C:\Users\xueying\AppData\Roaming\Microsoft\Word\3.2.4.4" TargetMode="External"/><Relationship Id="rId109" Type="http://schemas.openxmlformats.org/officeDocument/2006/relationships/image" Target="media/image49.emf"/><Relationship Id="rId34" Type="http://schemas.openxmlformats.org/officeDocument/2006/relationships/hyperlink" Target="file:///C:\Users\xueying\AppData\Roaming\Microsoft\Word\3.2.3.2" TargetMode="External"/><Relationship Id="rId50" Type="http://schemas.openxmlformats.org/officeDocument/2006/relationships/hyperlink" Target="file:///C:\Users\xueying\AppData\Roaming\Microsoft\Word\3.2.9.2" TargetMode="External"/><Relationship Id="rId55" Type="http://schemas.openxmlformats.org/officeDocument/2006/relationships/hyperlink" Target="file:///C:\Users\xueying\AppData\Roaming\Microsoft\Word\3.2.10.4" TargetMode="External"/><Relationship Id="rId76" Type="http://schemas.openxmlformats.org/officeDocument/2006/relationships/image" Target="media/image19.png"/><Relationship Id="rId97" Type="http://schemas.openxmlformats.org/officeDocument/2006/relationships/image" Target="media/image40.png"/><Relationship Id="rId104" Type="http://schemas.openxmlformats.org/officeDocument/2006/relationships/image" Target="media/image47.png"/><Relationship Id="rId120" Type="http://schemas.openxmlformats.org/officeDocument/2006/relationships/image" Target="media/image57.wmf"/><Relationship Id="rId125" Type="http://schemas.openxmlformats.org/officeDocument/2006/relationships/oleObject" Target="embeddings/oleObject7.bin"/><Relationship Id="rId141" Type="http://schemas.openxmlformats.org/officeDocument/2006/relationships/image" Target="media/image68.png"/><Relationship Id="rId146" Type="http://schemas.openxmlformats.org/officeDocument/2006/relationships/footer" Target="footer8.xml"/><Relationship Id="rId7" Type="http://schemas.openxmlformats.org/officeDocument/2006/relationships/footnotes" Target="footnotes.xml"/><Relationship Id="rId71" Type="http://schemas.openxmlformats.org/officeDocument/2006/relationships/image" Target="media/image15.jpeg"/><Relationship Id="rId92" Type="http://schemas.openxmlformats.org/officeDocument/2006/relationships/image" Target="media/image35.png"/><Relationship Id="rId2" Type="http://schemas.openxmlformats.org/officeDocument/2006/relationships/customXml" Target="../customXml/item2.xml"/><Relationship Id="rId29" Type="http://schemas.openxmlformats.org/officeDocument/2006/relationships/hyperlink" Target="file:///C:\Users\xueying\AppData\Roaming\Microsoft\Word\3.1.5.1" TargetMode="External"/><Relationship Id="rId24" Type="http://schemas.openxmlformats.org/officeDocument/2006/relationships/image" Target="media/image9.png"/><Relationship Id="rId40" Type="http://schemas.openxmlformats.org/officeDocument/2006/relationships/hyperlink" Target="file:///C:\Users\xueying\AppData\Roaming\Microsoft\Word\3.2.6.1" TargetMode="External"/><Relationship Id="rId45" Type="http://schemas.openxmlformats.org/officeDocument/2006/relationships/hyperlink" Target="file:///C:\Users\xueying\AppData\Roaming\Microsoft\Word\3.2.8.5" TargetMode="External"/><Relationship Id="rId66" Type="http://schemas.openxmlformats.org/officeDocument/2006/relationships/footer" Target="footer6.xml"/><Relationship Id="rId87" Type="http://schemas.openxmlformats.org/officeDocument/2006/relationships/image" Target="media/image30.png"/><Relationship Id="rId110" Type="http://schemas.openxmlformats.org/officeDocument/2006/relationships/image" Target="media/image50.png"/><Relationship Id="rId115" Type="http://schemas.openxmlformats.org/officeDocument/2006/relationships/image" Target="media/image54.wmf"/><Relationship Id="rId131" Type="http://schemas.openxmlformats.org/officeDocument/2006/relationships/oleObject" Target="embeddings/oleObject10.bin"/><Relationship Id="rId136" Type="http://schemas.openxmlformats.org/officeDocument/2006/relationships/image" Target="media/image65.wmf"/><Relationship Id="rId157" Type="http://schemas.openxmlformats.org/officeDocument/2006/relationships/fontTable" Target="fontTable.xml"/><Relationship Id="rId61" Type="http://schemas.openxmlformats.org/officeDocument/2006/relationships/hyperlink" Target="file:///C:\Users\xueying\AppData\Roaming\Microsoft\Word\3.3.2.1" TargetMode="External"/><Relationship Id="rId82" Type="http://schemas.openxmlformats.org/officeDocument/2006/relationships/image" Target="media/image25.png"/><Relationship Id="rId152" Type="http://schemas.openxmlformats.org/officeDocument/2006/relationships/image" Target="media/image76.png"/><Relationship Id="rId19" Type="http://schemas.openxmlformats.org/officeDocument/2006/relationships/footer" Target="footer4.xml"/><Relationship Id="rId14" Type="http://schemas.openxmlformats.org/officeDocument/2006/relationships/footer" Target="footer2.xml"/><Relationship Id="rId30" Type="http://schemas.openxmlformats.org/officeDocument/2006/relationships/hyperlink" Target="file:///C:\Users\xueying\AppData\Roaming\Microsoft\Word\3.1.5.2" TargetMode="External"/><Relationship Id="rId35" Type="http://schemas.openxmlformats.org/officeDocument/2006/relationships/hyperlink" Target="file:///C:\Users\xueying\AppData\Roaming\Microsoft\Word\3.2.3.3" TargetMode="External"/><Relationship Id="rId56" Type="http://schemas.openxmlformats.org/officeDocument/2006/relationships/hyperlink" Target="file:///C:\Users\xueying\AppData\Roaming\Microsoft\Word\3.3.1.1" TargetMode="External"/><Relationship Id="rId77" Type="http://schemas.openxmlformats.org/officeDocument/2006/relationships/image" Target="media/image20.png"/><Relationship Id="rId100" Type="http://schemas.openxmlformats.org/officeDocument/2006/relationships/image" Target="media/image43.png"/><Relationship Id="rId105" Type="http://schemas.openxmlformats.org/officeDocument/2006/relationships/image" Target="media/image48.png"/><Relationship Id="rId126" Type="http://schemas.openxmlformats.org/officeDocument/2006/relationships/image" Target="media/image60.wmf"/><Relationship Id="rId147" Type="http://schemas.openxmlformats.org/officeDocument/2006/relationships/header" Target="header7.xml"/><Relationship Id="rId8" Type="http://schemas.openxmlformats.org/officeDocument/2006/relationships/endnotes" Target="endnotes.xml"/><Relationship Id="rId51" Type="http://schemas.openxmlformats.org/officeDocument/2006/relationships/hyperlink" Target="file:///C:\Users\xueying\AppData\Roaming\Microsoft\Word\3.2.9.3" TargetMode="External"/><Relationship Id="rId72" Type="http://schemas.openxmlformats.org/officeDocument/2006/relationships/image" Target="media/image16.wmf"/><Relationship Id="rId93" Type="http://schemas.openxmlformats.org/officeDocument/2006/relationships/image" Target="media/image36.png"/><Relationship Id="rId98" Type="http://schemas.openxmlformats.org/officeDocument/2006/relationships/image" Target="media/image41.png"/><Relationship Id="rId121" Type="http://schemas.openxmlformats.org/officeDocument/2006/relationships/oleObject" Target="embeddings/oleObject5.bin"/><Relationship Id="rId142" Type="http://schemas.openxmlformats.org/officeDocument/2006/relationships/image" Target="media/image69.png"/><Relationship Id="rId3" Type="http://schemas.openxmlformats.org/officeDocument/2006/relationships/numbering" Target="numbering.xml"/><Relationship Id="rId25" Type="http://schemas.openxmlformats.org/officeDocument/2006/relationships/image" Target="media/image10.png"/><Relationship Id="rId46" Type="http://schemas.openxmlformats.org/officeDocument/2006/relationships/hyperlink" Target="file:///C:\Users\xueying\AppData\Roaming\Microsoft\Word\3.2.8.6" TargetMode="External"/><Relationship Id="rId67" Type="http://schemas.openxmlformats.org/officeDocument/2006/relationships/header" Target="header5.xml"/><Relationship Id="rId116" Type="http://schemas.openxmlformats.org/officeDocument/2006/relationships/oleObject" Target="embeddings/oleObject3.bin"/><Relationship Id="rId137" Type="http://schemas.openxmlformats.org/officeDocument/2006/relationships/oleObject" Target="embeddings/oleObject13.bin"/><Relationship Id="rId158" Type="http://schemas.openxmlformats.org/officeDocument/2006/relationships/theme" Target="theme/theme1.xml"/><Relationship Id="rId20" Type="http://schemas.openxmlformats.org/officeDocument/2006/relationships/image" Target="media/image5.png"/><Relationship Id="rId41" Type="http://schemas.openxmlformats.org/officeDocument/2006/relationships/hyperlink" Target="file:///C:\Users\xueying\AppData\Roaming\Microsoft\Word\3.2.6.2" TargetMode="External"/><Relationship Id="rId62" Type="http://schemas.openxmlformats.org/officeDocument/2006/relationships/hyperlink" Target="file:///C:\Users\xueying\AppData\Roaming\Microsoft\Word\3.3.2.3" TargetMode="External"/><Relationship Id="rId83" Type="http://schemas.openxmlformats.org/officeDocument/2006/relationships/image" Target="media/image26.png"/><Relationship Id="rId88" Type="http://schemas.openxmlformats.org/officeDocument/2006/relationships/image" Target="media/image31.png"/><Relationship Id="rId111" Type="http://schemas.openxmlformats.org/officeDocument/2006/relationships/image" Target="media/image51.wmf"/><Relationship Id="rId132" Type="http://schemas.openxmlformats.org/officeDocument/2006/relationships/image" Target="media/image63.wmf"/><Relationship Id="rId153" Type="http://schemas.openxmlformats.org/officeDocument/2006/relationships/image" Target="media/image77.png"/><Relationship Id="rId15" Type="http://schemas.openxmlformats.org/officeDocument/2006/relationships/image" Target="media/image3.emf"/><Relationship Id="rId36" Type="http://schemas.openxmlformats.org/officeDocument/2006/relationships/hyperlink" Target="file:///C:\Users\xueying\AppData\Roaming\Microsoft\Word\3.2.3.4" TargetMode="External"/><Relationship Id="rId57" Type="http://schemas.openxmlformats.org/officeDocument/2006/relationships/hyperlink" Target="file:///C:\Users\xueying\AppData\Roaming\Microsoft\Word\3.3.1.2" TargetMode="External"/><Relationship Id="rId106" Type="http://schemas.openxmlformats.org/officeDocument/2006/relationships/chart" Target="charts/chart1.xml"/><Relationship Id="rId127" Type="http://schemas.openxmlformats.org/officeDocument/2006/relationships/oleObject" Target="embeddings/oleObject8.bin"/><Relationship Id="rId10" Type="http://schemas.openxmlformats.org/officeDocument/2006/relationships/footer" Target="footer1.xml"/><Relationship Id="rId31" Type="http://schemas.openxmlformats.org/officeDocument/2006/relationships/hyperlink" Target="file:///C:\Users\xueying\AppData\Roaming\Microsoft\Word\3.1.5.3" TargetMode="External"/><Relationship Id="rId52" Type="http://schemas.openxmlformats.org/officeDocument/2006/relationships/hyperlink" Target="file:///C:\Users\xueying\AppData\Roaming\Microsoft\Word\3.2.10.1" TargetMode="External"/><Relationship Id="rId73" Type="http://schemas.openxmlformats.org/officeDocument/2006/relationships/oleObject" Target="embeddings/oleObject2.bin"/><Relationship Id="rId78" Type="http://schemas.openxmlformats.org/officeDocument/2006/relationships/image" Target="media/image21.png"/><Relationship Id="rId94" Type="http://schemas.openxmlformats.org/officeDocument/2006/relationships/image" Target="media/image37.png"/><Relationship Id="rId99" Type="http://schemas.openxmlformats.org/officeDocument/2006/relationships/image" Target="media/image42.png"/><Relationship Id="rId101" Type="http://schemas.openxmlformats.org/officeDocument/2006/relationships/image" Target="media/image44.png"/><Relationship Id="rId122" Type="http://schemas.openxmlformats.org/officeDocument/2006/relationships/image" Target="media/image58.wmf"/><Relationship Id="rId143" Type="http://schemas.openxmlformats.org/officeDocument/2006/relationships/image" Target="media/image70.png"/><Relationship Id="rId148" Type="http://schemas.openxmlformats.org/officeDocument/2006/relationships/image" Target="media/image72.png"/><Relationship Id="rId4" Type="http://schemas.openxmlformats.org/officeDocument/2006/relationships/styles" Target="styles.xml"/><Relationship Id="rId9" Type="http://schemas.openxmlformats.org/officeDocument/2006/relationships/header" Target="header1.xml"/><Relationship Id="rId26" Type="http://schemas.openxmlformats.org/officeDocument/2006/relationships/image" Target="media/image11.png"/><Relationship Id="rId47" Type="http://schemas.openxmlformats.org/officeDocument/2006/relationships/hyperlink" Target="file:///C:\Users\xueying\AppData\Roaming\Microsoft\Word\3.2.8.7" TargetMode="External"/><Relationship Id="rId68" Type="http://schemas.openxmlformats.org/officeDocument/2006/relationships/footer" Target="footer7.xml"/><Relationship Id="rId89" Type="http://schemas.openxmlformats.org/officeDocument/2006/relationships/image" Target="media/image32.png"/><Relationship Id="rId112" Type="http://schemas.openxmlformats.org/officeDocument/2006/relationships/chart" Target="charts/chart4.xml"/><Relationship Id="rId133" Type="http://schemas.openxmlformats.org/officeDocument/2006/relationships/oleObject" Target="embeddings/oleObject11.bin"/><Relationship Id="rId154" Type="http://schemas.openxmlformats.org/officeDocument/2006/relationships/image" Target="media/image78.png"/><Relationship Id="rId16" Type="http://schemas.openxmlformats.org/officeDocument/2006/relationships/footer" Target="footer3.xml"/><Relationship Id="rId37" Type="http://schemas.openxmlformats.org/officeDocument/2006/relationships/hyperlink" Target="file:///C:\Users\xueying\AppData\Roaming\Microsoft\Word\3.2.4.1" TargetMode="External"/><Relationship Id="rId58" Type="http://schemas.openxmlformats.org/officeDocument/2006/relationships/hyperlink" Target="file:///C:\Users\xueying\AppData\Roaming\Microsoft\Word\3.3.1.3" TargetMode="External"/><Relationship Id="rId79" Type="http://schemas.openxmlformats.org/officeDocument/2006/relationships/image" Target="media/image22.png"/><Relationship Id="rId102" Type="http://schemas.openxmlformats.org/officeDocument/2006/relationships/image" Target="media/image45.png"/><Relationship Id="rId123" Type="http://schemas.openxmlformats.org/officeDocument/2006/relationships/oleObject" Target="embeddings/oleObject6.bin"/><Relationship Id="rId144" Type="http://schemas.openxmlformats.org/officeDocument/2006/relationships/image" Target="media/image71.png"/><Relationship Id="rId90" Type="http://schemas.openxmlformats.org/officeDocument/2006/relationships/image" Target="media/image33.png"/><Relationship Id="rId27" Type="http://schemas.openxmlformats.org/officeDocument/2006/relationships/image" Target="media/image12.png"/><Relationship Id="rId48" Type="http://schemas.openxmlformats.org/officeDocument/2006/relationships/hyperlink" Target="file:///C:\Users\xueying\AppData\Roaming\Microsoft\Word\3.2.8.8" TargetMode="External"/><Relationship Id="rId69" Type="http://schemas.openxmlformats.org/officeDocument/2006/relationships/image" Target="media/image14.wmf"/><Relationship Id="rId113" Type="http://schemas.openxmlformats.org/officeDocument/2006/relationships/image" Target="media/image52.png"/><Relationship Id="rId134" Type="http://schemas.openxmlformats.org/officeDocument/2006/relationships/image" Target="media/image64.wmf"/></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charts/_rels/chart1.xml.rels><?xml version="1.0" encoding="UTF-8" standalone="yes"?>
<Relationships xmlns="http://schemas.openxmlformats.org/package/2006/relationships"><Relationship Id="rId2" Type="http://schemas.openxmlformats.org/officeDocument/2006/relationships/oleObject" Target="file:///F:\&#22823;&#27668;&#39044;&#27979;\50850&#22823;&#24198;_2023\6_2023&#24180;&#27668;&#35937;&#25968;&#25454;&#32479;&#35745;&#20998;&#26512;\&#22823;&#24198;&#19968;&#33324;&#31449;2023&#24180;&#27668;&#35937;&#32479;&#35745;&#20998;&#26512;.XLS"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file:///F:\&#22823;&#27668;&#39044;&#27979;\50850&#22823;&#24198;_2023\6_2023&#24180;&#27668;&#35937;&#25968;&#25454;&#32479;&#35745;&#20998;&#26512;\&#22823;&#24198;&#19968;&#33324;&#31449;2023&#24180;&#27668;&#35937;&#32479;&#35745;&#20998;&#26512;.XLS"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oleObject" Target="file:///F:\&#22823;&#27668;&#39044;&#27979;\50850&#22823;&#24198;_2023\6_2023&#24180;&#27668;&#35937;&#25968;&#25454;&#32479;&#35745;&#20998;&#26512;\&#22823;&#24198;&#19968;&#33324;&#31449;2023&#24180;&#27668;&#35937;&#32479;&#35745;&#20998;&#26512;.XLS" TargetMode="External"/><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oleObject" Target="file:///H:\7&#20854;&#20182;\8&#37117;&#21248;&#24066;&#29983;&#27963;&#22403;&#22334;&#21355;&#29983;&#22635;&#22475;&#22330;&#22686;&#21152;&#39134;&#28784;&#22635;&#22475;&#19987;&#21306;&#25216;&#25913;&#39033;&#30446;&#29615;&#35780;&#65288;&#22320;&#19979;&#27700;&#31456;&#33410;&#25152;&#38656;&#36164;&#26009;&#65289;\2&#27169;&#25311;&#25968;&#25454;\&#38750;&#27491;&#24120;\&#38085;.xlsx" TargetMode="External"/><Relationship Id="rId1" Type="http://schemas.openxmlformats.org/officeDocument/2006/relationships/themeOverride" Target="../theme/themeOverrid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0" vertOverflow="ellipsis" vert="horz" wrap="square" anchor="ctr" anchorCtr="1"/>
          <a:lstStyle/>
          <a:p>
            <a:pPr defTabSz="914400">
              <a:defRPr lang="zh-CN" sz="1200" b="0" i="0" u="none" strike="noStrike" kern="1200" baseline="0">
                <a:solidFill>
                  <a:srgbClr val="000000">
                    <a:alpha val="100000"/>
                  </a:srgbClr>
                </a:solidFill>
                <a:latin typeface="宋体" panose="02010600030101010101" charset="-122"/>
                <a:ea typeface="宋体" panose="02010600030101010101" charset="-122"/>
                <a:cs typeface="宋体" panose="02010600030101010101" charset="-122"/>
              </a:defRPr>
            </a:pPr>
            <a:r>
              <a:rPr lang="zh-CN" altLang="en-US" sz="1200" b="0" i="0" u="none" strike="noStrike" baseline="0">
                <a:solidFill>
                  <a:srgbClr val="000000"/>
                </a:solidFill>
                <a:latin typeface="宋体" panose="02010600030101010101" charset="-122"/>
                <a:ea typeface="宋体" panose="02010600030101010101" charset="-122"/>
                <a:cs typeface="宋体" panose="02010600030101010101" charset="-122"/>
              </a:rPr>
              <a:t>  </a:t>
            </a:r>
            <a:r>
              <a:rPr lang="en-US" altLang="zh-CN" sz="1200" b="0" i="0" u="none" strike="noStrike" baseline="0">
                <a:solidFill>
                  <a:srgbClr val="000000"/>
                </a:solidFill>
                <a:latin typeface="宋体" panose="02010600030101010101" charset="-122"/>
                <a:ea typeface="宋体" panose="02010600030101010101" charset="-122"/>
                <a:cs typeface="宋体" panose="02010600030101010101" charset="-122"/>
              </a:rPr>
              <a:t>&lt;1&gt;</a:t>
            </a:r>
            <a:r>
              <a:rPr lang="zh-CN" altLang="en-US" sz="1200" b="0" i="0" u="none" strike="noStrike" baseline="0">
                <a:solidFill>
                  <a:srgbClr val="000000"/>
                </a:solidFill>
                <a:latin typeface="宋体" panose="02010600030101010101" charset="-122"/>
                <a:ea typeface="宋体" panose="02010600030101010101" charset="-122"/>
                <a:cs typeface="宋体" panose="02010600030101010101" charset="-122"/>
              </a:rPr>
              <a:t>附表</a:t>
            </a:r>
            <a:r>
              <a:rPr lang="de-DE" sz="1200" b="0" i="0" u="none" strike="noStrike" baseline="0">
                <a:solidFill>
                  <a:srgbClr val="000000"/>
                </a:solidFill>
                <a:latin typeface="宋体" panose="02010600030101010101" charset="-122"/>
                <a:ea typeface="宋体" panose="02010600030101010101" charset="-122"/>
                <a:cs typeface="宋体" panose="02010600030101010101" charset="-122"/>
              </a:rPr>
              <a:t>C.11 </a:t>
            </a:r>
            <a:r>
              <a:rPr lang="zh-CN" altLang="en-US" sz="1200" b="0" i="0" u="none" strike="noStrike" baseline="0">
                <a:solidFill>
                  <a:srgbClr val="000000"/>
                </a:solidFill>
                <a:latin typeface="宋体" panose="02010600030101010101" charset="-122"/>
                <a:ea typeface="宋体" panose="02010600030101010101" charset="-122"/>
                <a:cs typeface="宋体" panose="02010600030101010101" charset="-122"/>
              </a:rPr>
              <a:t>年平均温度的月变化图  </a:t>
            </a:r>
          </a:p>
        </c:rich>
      </c:tx>
      <c:layout>
        <c:manualLayout>
          <c:xMode val="edge"/>
          <c:yMode val="edge"/>
          <c:x val="0.31147584011015"/>
          <c:y val="3.5587188612099599E-2"/>
        </c:manualLayout>
      </c:layout>
      <c:overlay val="0"/>
    </c:title>
    <c:autoTitleDeleted val="0"/>
    <c:plotArea>
      <c:layout>
        <c:manualLayout>
          <c:layoutTarget val="inner"/>
          <c:xMode val="edge"/>
          <c:yMode val="edge"/>
          <c:x val="0.139344448194758"/>
          <c:y val="0.21352313167259801"/>
          <c:w val="0.80054751609929498"/>
          <c:h val="0.61921708185053403"/>
        </c:manualLayout>
      </c:layout>
      <c:lineChart>
        <c:grouping val="standard"/>
        <c:varyColors val="0"/>
        <c:ser>
          <c:idx val="0"/>
          <c:order val="0"/>
          <c:tx>
            <c:strRef>
              <c:f>[大庆一般站2023年气象统计分析.XLS]数据!$A$3</c:f>
              <c:strCache>
                <c:ptCount val="1"/>
                <c:pt idx="0">
                  <c:v>  温度(℃)  </c:v>
                </c:pt>
              </c:strCache>
            </c:strRef>
          </c:tx>
          <c:spPr>
            <a:ln w="12700" cap="rnd" cmpd="sng" algn="ctr">
              <a:solidFill>
                <a:srgbClr val="000080">
                  <a:alpha val="100000"/>
                </a:srgbClr>
              </a:solidFill>
              <a:prstDash val="solid"/>
              <a:round/>
            </a:ln>
          </c:spPr>
          <c:marker>
            <c:symbol val="diamond"/>
            <c:size val="5"/>
            <c:spPr>
              <a:solidFill>
                <a:srgbClr val="000080">
                  <a:alpha val="100000"/>
                </a:srgbClr>
              </a:solidFill>
              <a:ln w="6350" cap="flat" cmpd="sng" algn="ctr">
                <a:solidFill>
                  <a:srgbClr val="000080">
                    <a:alpha val="100000"/>
                  </a:srgbClr>
                </a:solidFill>
                <a:prstDash val="solid"/>
                <a:round/>
              </a:ln>
            </c:spPr>
          </c:marker>
          <c:cat>
            <c:strRef>
              <c:f>[大庆一般站2023年气象统计分析.XLS]数据!$B$2:$M$2</c:f>
              <c:strCache>
                <c:ptCount val="12"/>
                <c:pt idx="0">
                  <c:v>1月</c:v>
                </c:pt>
                <c:pt idx="1">
                  <c:v>2月</c:v>
                </c:pt>
                <c:pt idx="2">
                  <c:v>3月</c:v>
                </c:pt>
                <c:pt idx="3">
                  <c:v>4月</c:v>
                </c:pt>
                <c:pt idx="4">
                  <c:v>5月</c:v>
                </c:pt>
                <c:pt idx="5">
                  <c:v>6月</c:v>
                </c:pt>
                <c:pt idx="6">
                  <c:v>7月</c:v>
                </c:pt>
                <c:pt idx="7">
                  <c:v>8月</c:v>
                </c:pt>
                <c:pt idx="8">
                  <c:v>9月</c:v>
                </c:pt>
                <c:pt idx="9">
                  <c:v>10月</c:v>
                </c:pt>
                <c:pt idx="10">
                  <c:v>11月</c:v>
                </c:pt>
                <c:pt idx="11">
                  <c:v>12月</c:v>
                </c:pt>
              </c:strCache>
            </c:strRef>
          </c:cat>
          <c:val>
            <c:numRef>
              <c:f>[大庆一般站2023年气象统计分析.XLS]数据!$B$3:$M$3</c:f>
              <c:numCache>
                <c:formatCode>0.00_ </c:formatCode>
                <c:ptCount val="12"/>
                <c:pt idx="0">
                  <c:v>-17.309999465942401</c:v>
                </c:pt>
                <c:pt idx="1">
                  <c:v>-10.539999961853001</c:v>
                </c:pt>
                <c:pt idx="2">
                  <c:v>1.21000003814697</c:v>
                </c:pt>
                <c:pt idx="3">
                  <c:v>7.4899997711181596</c:v>
                </c:pt>
                <c:pt idx="4">
                  <c:v>16.409999847412099</c:v>
                </c:pt>
                <c:pt idx="5">
                  <c:v>22.450000762939499</c:v>
                </c:pt>
                <c:pt idx="6">
                  <c:v>22.889999389648398</c:v>
                </c:pt>
                <c:pt idx="7">
                  <c:v>21.7600002288818</c:v>
                </c:pt>
                <c:pt idx="8">
                  <c:v>17.280000686645501</c:v>
                </c:pt>
                <c:pt idx="9">
                  <c:v>8.9399995803833008</c:v>
                </c:pt>
                <c:pt idx="10">
                  <c:v>-6.8600001335143999</c:v>
                </c:pt>
                <c:pt idx="11">
                  <c:v>-15.420000076293899</c:v>
                </c:pt>
              </c:numCache>
            </c:numRef>
          </c:val>
          <c:smooth val="0"/>
          <c:extLst>
            <c:ext xmlns:c16="http://schemas.microsoft.com/office/drawing/2014/chart" uri="{C3380CC4-5D6E-409C-BE32-E72D297353CC}">
              <c16:uniqueId val="{00000000-E70B-4A23-A28B-37C57055BA26}"/>
            </c:ext>
          </c:extLst>
        </c:ser>
        <c:dLbls>
          <c:showLegendKey val="0"/>
          <c:showVal val="0"/>
          <c:showCatName val="0"/>
          <c:showSerName val="0"/>
          <c:showPercent val="0"/>
          <c:showBubbleSize val="0"/>
        </c:dLbls>
        <c:marker val="1"/>
        <c:smooth val="0"/>
        <c:axId val="134384701"/>
        <c:axId val="379687828"/>
      </c:lineChart>
      <c:catAx>
        <c:axId val="134384701"/>
        <c:scaling>
          <c:orientation val="minMax"/>
        </c:scaling>
        <c:delete val="0"/>
        <c:axPos val="b"/>
        <c:numFmt formatCode="General" sourceLinked="0"/>
        <c:majorTickMark val="in"/>
        <c:minorTickMark val="none"/>
        <c:tickLblPos val="nextTo"/>
        <c:spPr>
          <a:ln w="3175" cap="flat" cmpd="sng" algn="ctr">
            <a:solidFill>
              <a:srgbClr val="000000">
                <a:alpha val="100000"/>
              </a:srgbClr>
            </a:solidFill>
            <a:prstDash val="solid"/>
            <a:round/>
          </a:ln>
        </c:spPr>
        <c:txPr>
          <a:bodyPr rot="0" spcFirstLastPara="0" vertOverflow="ellipsis" vert="horz" wrap="square" anchor="ctr" anchorCtr="1"/>
          <a:lstStyle/>
          <a:p>
            <a:pPr>
              <a:defRPr lang="zh-CN" sz="1200" b="0" i="0" u="none" strike="noStrike" kern="1200" baseline="0">
                <a:solidFill>
                  <a:srgbClr val="000000">
                    <a:alpha val="100000"/>
                  </a:srgbClr>
                </a:solidFill>
                <a:latin typeface="宋体" panose="02010600030101010101" charset="-122"/>
                <a:ea typeface="宋体" panose="02010600030101010101" charset="-122"/>
                <a:cs typeface="宋体" panose="02010600030101010101" charset="-122"/>
              </a:defRPr>
            </a:pPr>
            <a:endParaRPr lang="zh-CN"/>
          </a:p>
        </c:txPr>
        <c:crossAx val="379687828"/>
        <c:crosses val="autoZero"/>
        <c:auto val="1"/>
        <c:lblAlgn val="ctr"/>
        <c:lblOffset val="100"/>
        <c:tickLblSkip val="1"/>
        <c:noMultiLvlLbl val="0"/>
      </c:catAx>
      <c:valAx>
        <c:axId val="379687828"/>
        <c:scaling>
          <c:orientation val="minMax"/>
        </c:scaling>
        <c:delete val="0"/>
        <c:axPos val="l"/>
        <c:majorGridlines>
          <c:spPr>
            <a:ln w="3175" cap="flat" cmpd="sng" algn="ctr">
              <a:solidFill>
                <a:srgbClr val="000000">
                  <a:alpha val="100000"/>
                </a:srgbClr>
              </a:solidFill>
              <a:prstDash val="solid"/>
              <a:round/>
            </a:ln>
          </c:spPr>
        </c:majorGridlines>
        <c:title>
          <c:tx>
            <c:rich>
              <a:bodyPr rot="-5400000" spcFirstLastPara="0" vertOverflow="ellipsis" vert="horz" wrap="square" anchor="ctr" anchorCtr="1"/>
              <a:lstStyle/>
              <a:p>
                <a:pPr defTabSz="914400">
                  <a:defRPr lang="zh-CN" sz="1100" b="0" i="0" u="none" strike="noStrike" kern="1200" baseline="0">
                    <a:solidFill>
                      <a:srgbClr val="000000">
                        <a:alpha val="100000"/>
                      </a:srgbClr>
                    </a:solidFill>
                    <a:latin typeface="Calibri" panose="020F0502020204030204" pitchFamily="2" charset="0"/>
                    <a:ea typeface="Calibri" panose="020F0502020204030204" pitchFamily="2" charset="0"/>
                    <a:cs typeface="Calibri" panose="020F0502020204030204" pitchFamily="2" charset="0"/>
                  </a:defRPr>
                </a:pPr>
                <a:r>
                  <a:rPr lang="zh-CN" altLang="en-US" sz="1200" b="0" i="0" u="none" strike="noStrike" baseline="0">
                    <a:solidFill>
                      <a:srgbClr val="000000"/>
                    </a:solidFill>
                    <a:latin typeface="宋体" panose="02010600030101010101" charset="-122"/>
                    <a:ea typeface="宋体" panose="02010600030101010101" charset="-122"/>
                    <a:cs typeface="宋体" panose="02010600030101010101" charset="-122"/>
                  </a:rPr>
                  <a:t>温度</a:t>
                </a:r>
                <a:r>
                  <a:rPr lang="en-US" altLang="zh-CN" sz="1200" b="0" i="0" u="none" strike="noStrike" baseline="0">
                    <a:solidFill>
                      <a:srgbClr val="000000"/>
                    </a:solidFill>
                    <a:latin typeface="宋体" panose="02010600030101010101" charset="-122"/>
                    <a:ea typeface="宋体" panose="02010600030101010101" charset="-122"/>
                    <a:cs typeface="宋体" panose="02010600030101010101" charset="-122"/>
                  </a:rPr>
                  <a:t>(℃) </a:t>
                </a:r>
              </a:p>
            </c:rich>
          </c:tx>
          <c:layout>
            <c:manualLayout>
              <c:xMode val="edge"/>
              <c:yMode val="edge"/>
              <c:x val="3.0054644808743199E-2"/>
              <c:y val="0.33451957295373702"/>
            </c:manualLayout>
          </c:layout>
          <c:overlay val="0"/>
        </c:title>
        <c:numFmt formatCode="0.00_ " sourceLinked="1"/>
        <c:majorTickMark val="in"/>
        <c:minorTickMark val="none"/>
        <c:tickLblPos val="nextTo"/>
        <c:spPr>
          <a:ln w="3175" cap="flat" cmpd="sng" algn="ctr">
            <a:solidFill>
              <a:srgbClr val="000000">
                <a:alpha val="100000"/>
              </a:srgbClr>
            </a:solidFill>
            <a:prstDash val="solid"/>
            <a:round/>
          </a:ln>
        </c:spPr>
        <c:txPr>
          <a:bodyPr rot="0" spcFirstLastPara="0" vertOverflow="ellipsis" vert="horz" wrap="square" anchor="ctr" anchorCtr="1"/>
          <a:lstStyle/>
          <a:p>
            <a:pPr>
              <a:defRPr lang="zh-CN" sz="1200" b="0" i="0" u="none" strike="noStrike" kern="1200" baseline="0">
                <a:solidFill>
                  <a:srgbClr val="000000">
                    <a:alpha val="100000"/>
                  </a:srgbClr>
                </a:solidFill>
                <a:latin typeface="宋体" panose="02010600030101010101" charset="-122"/>
                <a:ea typeface="宋体" panose="02010600030101010101" charset="-122"/>
                <a:cs typeface="宋体" panose="02010600030101010101" charset="-122"/>
              </a:defRPr>
            </a:pPr>
            <a:endParaRPr lang="zh-CN"/>
          </a:p>
        </c:txPr>
        <c:crossAx val="134384701"/>
        <c:crosses val="autoZero"/>
        <c:crossBetween val="between"/>
      </c:valAx>
      <c:spPr>
        <a:solidFill>
          <a:srgbClr val="C0C0C0">
            <a:alpha val="100000"/>
          </a:srgbClr>
        </a:solidFill>
        <a:ln w="12700">
          <a:solidFill>
            <a:srgbClr val="808080">
              <a:alpha val="100000"/>
            </a:srgbClr>
          </a:solidFill>
          <a:prstDash val="solid"/>
        </a:ln>
      </c:spPr>
    </c:plotArea>
    <c:plotVisOnly val="1"/>
    <c:dispBlanksAs val="gap"/>
    <c:showDLblsOverMax val="0"/>
    <c:extLst>
      <c:ext uri="{0b15fc19-7d7d-44ad-8c2d-2c3a37ce22c3}">
        <chartProps xmlns="https://web.wps.cn/et/2018/main" chartId="{ccbd0c27-5490-4ff2-b25c-dbcca6bc71c1}"/>
      </c:ext>
    </c:extLst>
  </c:chart>
  <c:spPr>
    <a:solidFill>
      <a:srgbClr val="FFFFFF">
        <a:alpha val="100000"/>
      </a:srgbClr>
    </a:solidFill>
    <a:ln w="3175" cap="flat" cmpd="sng" algn="ctr">
      <a:solidFill>
        <a:srgbClr val="000000">
          <a:alpha val="100000"/>
        </a:srgbClr>
      </a:solidFill>
      <a:prstDash val="solid"/>
      <a:round/>
    </a:ln>
  </c:spPr>
  <c:txPr>
    <a:bodyPr rot="0" wrap="square" anchor="ctr" anchorCtr="1"/>
    <a:lstStyle/>
    <a:p>
      <a:pPr>
        <a:defRPr lang="zh-CN" sz="1200" b="0" i="0" u="none" strike="noStrike" baseline="0">
          <a:solidFill>
            <a:srgbClr val="000000">
              <a:alpha val="100000"/>
            </a:srgbClr>
          </a:solidFill>
          <a:latin typeface="宋体" panose="02010600030101010101" charset="-122"/>
          <a:ea typeface="宋体" panose="02010600030101010101" charset="-122"/>
          <a:cs typeface="宋体" panose="02010600030101010101" charset="-122"/>
        </a:defRPr>
      </a:pPr>
      <a:endParaRPr lang="zh-CN"/>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0" vertOverflow="ellipsis" vert="horz" wrap="square" anchor="ctr" anchorCtr="1"/>
          <a:lstStyle/>
          <a:p>
            <a:pPr defTabSz="914400">
              <a:defRPr lang="zh-CN" sz="1200" b="0" i="0" u="none" strike="noStrike" kern="1200" baseline="0">
                <a:solidFill>
                  <a:srgbClr val="000000">
                    <a:alpha val="100000"/>
                  </a:srgbClr>
                </a:solidFill>
                <a:latin typeface="宋体" panose="02010600030101010101" charset="-122"/>
                <a:ea typeface="宋体" panose="02010600030101010101" charset="-122"/>
                <a:cs typeface="宋体" panose="02010600030101010101" charset="-122"/>
              </a:defRPr>
            </a:pPr>
            <a:r>
              <a:rPr lang="zh-CN" altLang="en-US" sz="1200" b="0" i="0" u="none" strike="noStrike" baseline="0">
                <a:solidFill>
                  <a:srgbClr val="000000"/>
                </a:solidFill>
                <a:latin typeface="宋体" panose="02010600030101010101" charset="-122"/>
                <a:ea typeface="宋体" panose="02010600030101010101" charset="-122"/>
                <a:cs typeface="宋体" panose="02010600030101010101" charset="-122"/>
              </a:rPr>
              <a:t> </a:t>
            </a:r>
            <a:r>
              <a:rPr lang="en-US" altLang="zh-CN" sz="1200" b="0" i="0" u="none" strike="noStrike" baseline="0">
                <a:solidFill>
                  <a:srgbClr val="000000"/>
                </a:solidFill>
                <a:latin typeface="宋体" panose="02010600030101010101" charset="-122"/>
                <a:ea typeface="宋体" panose="02010600030101010101" charset="-122"/>
                <a:cs typeface="宋体" panose="02010600030101010101" charset="-122"/>
              </a:rPr>
              <a:t>&lt;2&gt;</a:t>
            </a:r>
            <a:r>
              <a:rPr lang="zh-CN" altLang="en-US" sz="1200" b="0" i="0" u="none" strike="noStrike" baseline="0">
                <a:solidFill>
                  <a:srgbClr val="000000"/>
                </a:solidFill>
                <a:latin typeface="宋体" panose="02010600030101010101" charset="-122"/>
                <a:ea typeface="宋体" panose="02010600030101010101" charset="-122"/>
                <a:cs typeface="宋体" panose="02010600030101010101" charset="-122"/>
              </a:rPr>
              <a:t>附表</a:t>
            </a:r>
            <a:r>
              <a:rPr lang="de-DE" sz="1200" b="0" i="0" u="none" strike="noStrike" baseline="0">
                <a:solidFill>
                  <a:srgbClr val="000000"/>
                </a:solidFill>
                <a:latin typeface="宋体" panose="02010600030101010101" charset="-122"/>
                <a:ea typeface="宋体" panose="02010600030101010101" charset="-122"/>
                <a:cs typeface="宋体" panose="02010600030101010101" charset="-122"/>
              </a:rPr>
              <a:t>C.12 </a:t>
            </a:r>
            <a:r>
              <a:rPr lang="zh-CN" altLang="en-US" sz="1200" b="0" i="0" u="none" strike="noStrike" baseline="0">
                <a:solidFill>
                  <a:srgbClr val="000000"/>
                </a:solidFill>
                <a:latin typeface="宋体" panose="02010600030101010101" charset="-122"/>
                <a:ea typeface="宋体" panose="02010600030101010101" charset="-122"/>
                <a:cs typeface="宋体" panose="02010600030101010101" charset="-122"/>
              </a:rPr>
              <a:t>年平均风速的月变化  </a:t>
            </a:r>
          </a:p>
        </c:rich>
      </c:tx>
      <c:layout>
        <c:manualLayout>
          <c:xMode val="edge"/>
          <c:yMode val="edge"/>
          <c:x val="0.32739754790925102"/>
          <c:y val="3.5587188612099599E-2"/>
        </c:manualLayout>
      </c:layout>
      <c:overlay val="0"/>
    </c:title>
    <c:autoTitleDeleted val="0"/>
    <c:plotArea>
      <c:layout>
        <c:manualLayout>
          <c:layoutTarget val="inner"/>
          <c:xMode val="edge"/>
          <c:yMode val="edge"/>
          <c:x val="0.12739734548730799"/>
          <c:y val="0.21352313167259801"/>
          <c:w val="0.82054849405266395"/>
          <c:h val="0.61921708185053403"/>
        </c:manualLayout>
      </c:layout>
      <c:lineChart>
        <c:grouping val="standard"/>
        <c:varyColors val="0"/>
        <c:ser>
          <c:idx val="0"/>
          <c:order val="0"/>
          <c:tx>
            <c:strRef>
              <c:f>[大庆一般站2023年气象统计分析.XLS]数据!$A$7</c:f>
              <c:strCache>
                <c:ptCount val="1"/>
                <c:pt idx="0">
                  <c:v> 风速(m/s)  </c:v>
                </c:pt>
              </c:strCache>
            </c:strRef>
          </c:tx>
          <c:spPr>
            <a:ln w="12700" cap="rnd" cmpd="sng" algn="ctr">
              <a:solidFill>
                <a:srgbClr val="000080">
                  <a:alpha val="100000"/>
                </a:srgbClr>
              </a:solidFill>
              <a:prstDash val="solid"/>
              <a:round/>
            </a:ln>
          </c:spPr>
          <c:marker>
            <c:symbol val="diamond"/>
            <c:size val="5"/>
            <c:spPr>
              <a:solidFill>
                <a:srgbClr val="000080">
                  <a:alpha val="100000"/>
                </a:srgbClr>
              </a:solidFill>
              <a:ln w="6350" cap="flat" cmpd="sng" algn="ctr">
                <a:solidFill>
                  <a:srgbClr val="000080">
                    <a:alpha val="100000"/>
                  </a:srgbClr>
                </a:solidFill>
                <a:prstDash val="solid"/>
                <a:round/>
              </a:ln>
            </c:spPr>
          </c:marker>
          <c:cat>
            <c:strRef>
              <c:f>[大庆一般站2023年气象统计分析.XLS]数据!$B$6:$M$6</c:f>
              <c:strCache>
                <c:ptCount val="12"/>
                <c:pt idx="0">
                  <c:v>1月</c:v>
                </c:pt>
                <c:pt idx="1">
                  <c:v>2月</c:v>
                </c:pt>
                <c:pt idx="2">
                  <c:v>3月</c:v>
                </c:pt>
                <c:pt idx="3">
                  <c:v>4月</c:v>
                </c:pt>
                <c:pt idx="4">
                  <c:v>5月</c:v>
                </c:pt>
                <c:pt idx="5">
                  <c:v>6月</c:v>
                </c:pt>
                <c:pt idx="6">
                  <c:v>7月</c:v>
                </c:pt>
                <c:pt idx="7">
                  <c:v>8月</c:v>
                </c:pt>
                <c:pt idx="8">
                  <c:v>9月</c:v>
                </c:pt>
                <c:pt idx="9">
                  <c:v>10月</c:v>
                </c:pt>
                <c:pt idx="10">
                  <c:v>11月</c:v>
                </c:pt>
                <c:pt idx="11">
                  <c:v>12月</c:v>
                </c:pt>
              </c:strCache>
            </c:strRef>
          </c:cat>
          <c:val>
            <c:numRef>
              <c:f>[大庆一般站2023年气象统计分析.XLS]数据!$B$7:$M$7</c:f>
              <c:numCache>
                <c:formatCode>0.00_ </c:formatCode>
                <c:ptCount val="12"/>
                <c:pt idx="0">
                  <c:v>2.2699999809265101</c:v>
                </c:pt>
                <c:pt idx="1">
                  <c:v>2.5</c:v>
                </c:pt>
                <c:pt idx="2">
                  <c:v>3.2000000476837198</c:v>
                </c:pt>
                <c:pt idx="3">
                  <c:v>3.7000000476837198</c:v>
                </c:pt>
                <c:pt idx="4">
                  <c:v>3.4200000762939502</c:v>
                </c:pt>
                <c:pt idx="5">
                  <c:v>2.7699999809265101</c:v>
                </c:pt>
                <c:pt idx="6">
                  <c:v>2.6900000572204599</c:v>
                </c:pt>
                <c:pt idx="7">
                  <c:v>2.6500000953674299</c:v>
                </c:pt>
                <c:pt idx="8">
                  <c:v>2.78999996185303</c:v>
                </c:pt>
                <c:pt idx="9">
                  <c:v>2.5899999141693102</c:v>
                </c:pt>
                <c:pt idx="10">
                  <c:v>2.8099999427795401</c:v>
                </c:pt>
                <c:pt idx="11">
                  <c:v>2.4700000286102299</c:v>
                </c:pt>
              </c:numCache>
            </c:numRef>
          </c:val>
          <c:smooth val="0"/>
          <c:extLst>
            <c:ext xmlns:c16="http://schemas.microsoft.com/office/drawing/2014/chart" uri="{C3380CC4-5D6E-409C-BE32-E72D297353CC}">
              <c16:uniqueId val="{00000000-F8ED-4D22-9611-89E100610D7C}"/>
            </c:ext>
          </c:extLst>
        </c:ser>
        <c:dLbls>
          <c:showLegendKey val="0"/>
          <c:showVal val="0"/>
          <c:showCatName val="0"/>
          <c:showSerName val="0"/>
          <c:showPercent val="0"/>
          <c:showBubbleSize val="0"/>
        </c:dLbls>
        <c:marker val="1"/>
        <c:smooth val="0"/>
        <c:axId val="105304875"/>
        <c:axId val="84730379"/>
      </c:lineChart>
      <c:catAx>
        <c:axId val="105304875"/>
        <c:scaling>
          <c:orientation val="minMax"/>
        </c:scaling>
        <c:delete val="0"/>
        <c:axPos val="b"/>
        <c:numFmt formatCode="General" sourceLinked="0"/>
        <c:majorTickMark val="in"/>
        <c:minorTickMark val="none"/>
        <c:tickLblPos val="nextTo"/>
        <c:spPr>
          <a:ln w="3175" cap="flat" cmpd="sng" algn="ctr">
            <a:solidFill>
              <a:srgbClr val="000000">
                <a:alpha val="100000"/>
              </a:srgbClr>
            </a:solidFill>
            <a:prstDash val="solid"/>
            <a:round/>
          </a:ln>
        </c:spPr>
        <c:txPr>
          <a:bodyPr rot="0" spcFirstLastPara="0" vertOverflow="ellipsis" vert="horz" wrap="square" anchor="ctr" anchorCtr="1"/>
          <a:lstStyle/>
          <a:p>
            <a:pPr>
              <a:defRPr lang="zh-CN" sz="1200" b="0" i="0" u="none" strike="noStrike" kern="1200" baseline="0">
                <a:solidFill>
                  <a:srgbClr val="000000">
                    <a:alpha val="100000"/>
                  </a:srgbClr>
                </a:solidFill>
                <a:latin typeface="宋体" panose="02010600030101010101" charset="-122"/>
                <a:ea typeface="宋体" panose="02010600030101010101" charset="-122"/>
                <a:cs typeface="宋体" panose="02010600030101010101" charset="-122"/>
              </a:defRPr>
            </a:pPr>
            <a:endParaRPr lang="zh-CN"/>
          </a:p>
        </c:txPr>
        <c:crossAx val="84730379"/>
        <c:crosses val="autoZero"/>
        <c:auto val="1"/>
        <c:lblAlgn val="ctr"/>
        <c:lblOffset val="100"/>
        <c:tickLblSkip val="1"/>
        <c:noMultiLvlLbl val="0"/>
      </c:catAx>
      <c:valAx>
        <c:axId val="84730379"/>
        <c:scaling>
          <c:orientation val="minMax"/>
        </c:scaling>
        <c:delete val="0"/>
        <c:axPos val="l"/>
        <c:majorGridlines>
          <c:spPr>
            <a:ln w="3175" cap="flat" cmpd="sng" algn="ctr">
              <a:solidFill>
                <a:srgbClr val="000000">
                  <a:alpha val="100000"/>
                </a:srgbClr>
              </a:solidFill>
              <a:prstDash val="solid"/>
              <a:round/>
            </a:ln>
          </c:spPr>
        </c:majorGridlines>
        <c:title>
          <c:tx>
            <c:rich>
              <a:bodyPr rot="-5400000" spcFirstLastPara="0" vertOverflow="ellipsis" vert="horz" wrap="square" anchor="ctr" anchorCtr="1"/>
              <a:lstStyle/>
              <a:p>
                <a:pPr defTabSz="914400">
                  <a:defRPr lang="zh-CN" sz="1100" b="0" i="0" u="none" strike="noStrike" kern="1200" baseline="0">
                    <a:solidFill>
                      <a:srgbClr val="000000">
                        <a:alpha val="100000"/>
                      </a:srgbClr>
                    </a:solidFill>
                    <a:latin typeface="Calibri" panose="020F0502020204030204" pitchFamily="2" charset="0"/>
                    <a:ea typeface="Calibri" panose="020F0502020204030204" pitchFamily="2" charset="0"/>
                    <a:cs typeface="Calibri" panose="020F0502020204030204" pitchFamily="2" charset="0"/>
                  </a:defRPr>
                </a:pPr>
                <a:r>
                  <a:rPr lang="zh-CN" altLang="en-US" sz="1200" b="0" i="0" u="none" strike="noStrike" baseline="0">
                    <a:solidFill>
                      <a:srgbClr val="000000"/>
                    </a:solidFill>
                    <a:latin typeface="宋体" panose="02010600030101010101" charset="-122"/>
                    <a:ea typeface="宋体" panose="02010600030101010101" charset="-122"/>
                    <a:cs typeface="宋体" panose="02010600030101010101" charset="-122"/>
                  </a:rPr>
                  <a:t>风速</a:t>
                </a:r>
                <a:r>
                  <a:rPr lang="en-US" altLang="zh-CN" sz="1200" b="0" i="0" u="none" strike="noStrike" baseline="0">
                    <a:solidFill>
                      <a:srgbClr val="000000"/>
                    </a:solidFill>
                    <a:latin typeface="宋体" panose="02010600030101010101" charset="-122"/>
                    <a:ea typeface="宋体" panose="02010600030101010101" charset="-122"/>
                    <a:cs typeface="宋体" panose="02010600030101010101" charset="-122"/>
                  </a:rPr>
                  <a:t>(</a:t>
                </a:r>
                <a:r>
                  <a:rPr lang="de-DE" sz="1200" b="0" i="0" u="none" strike="noStrike" baseline="0">
                    <a:solidFill>
                      <a:srgbClr val="000000"/>
                    </a:solidFill>
                    <a:latin typeface="宋体" panose="02010600030101010101" charset="-122"/>
                    <a:ea typeface="宋体" panose="02010600030101010101" charset="-122"/>
                    <a:cs typeface="宋体" panose="02010600030101010101" charset="-122"/>
                  </a:rPr>
                  <a:t>m/s) </a:t>
                </a:r>
              </a:p>
            </c:rich>
          </c:tx>
          <c:layout>
            <c:manualLayout>
              <c:xMode val="edge"/>
              <c:yMode val="edge"/>
              <c:x val="1.7808219178082198E-2"/>
              <c:y val="0.28469750889679701"/>
            </c:manualLayout>
          </c:layout>
          <c:overlay val="0"/>
        </c:title>
        <c:numFmt formatCode="0.00_ " sourceLinked="0"/>
        <c:majorTickMark val="in"/>
        <c:minorTickMark val="none"/>
        <c:tickLblPos val="nextTo"/>
        <c:spPr>
          <a:ln w="3175" cap="flat" cmpd="sng" algn="ctr">
            <a:solidFill>
              <a:srgbClr val="000000">
                <a:alpha val="100000"/>
              </a:srgbClr>
            </a:solidFill>
            <a:prstDash val="solid"/>
            <a:round/>
          </a:ln>
        </c:spPr>
        <c:txPr>
          <a:bodyPr rot="0" spcFirstLastPara="0" vertOverflow="ellipsis" vert="horz" wrap="square" anchor="ctr" anchorCtr="1"/>
          <a:lstStyle/>
          <a:p>
            <a:pPr>
              <a:defRPr lang="zh-CN" sz="1200" b="0" i="0" u="none" strike="noStrike" kern="1200" baseline="0">
                <a:solidFill>
                  <a:srgbClr val="000000">
                    <a:alpha val="100000"/>
                  </a:srgbClr>
                </a:solidFill>
                <a:latin typeface="宋体" panose="02010600030101010101" charset="-122"/>
                <a:ea typeface="宋体" panose="02010600030101010101" charset="-122"/>
                <a:cs typeface="宋体" panose="02010600030101010101" charset="-122"/>
              </a:defRPr>
            </a:pPr>
            <a:endParaRPr lang="zh-CN"/>
          </a:p>
        </c:txPr>
        <c:crossAx val="105304875"/>
        <c:crosses val="autoZero"/>
        <c:crossBetween val="between"/>
      </c:valAx>
      <c:spPr>
        <a:solidFill>
          <a:srgbClr val="C0C0C0">
            <a:alpha val="100000"/>
          </a:srgbClr>
        </a:solidFill>
        <a:ln w="12700">
          <a:solidFill>
            <a:srgbClr val="808080">
              <a:alpha val="100000"/>
            </a:srgbClr>
          </a:solidFill>
          <a:prstDash val="solid"/>
        </a:ln>
      </c:spPr>
    </c:plotArea>
    <c:plotVisOnly val="1"/>
    <c:dispBlanksAs val="gap"/>
    <c:showDLblsOverMax val="0"/>
    <c:extLst>
      <c:ext uri="{0b15fc19-7d7d-44ad-8c2d-2c3a37ce22c3}">
        <chartProps xmlns="https://web.wps.cn/et/2018/main" chartId="{24c2ef3c-8f36-4f02-a520-0a323b749070}"/>
      </c:ext>
    </c:extLst>
  </c:chart>
  <c:spPr>
    <a:solidFill>
      <a:srgbClr val="FFFFFF">
        <a:alpha val="100000"/>
      </a:srgbClr>
    </a:solidFill>
    <a:ln w="3175" cap="flat" cmpd="sng" algn="ctr">
      <a:solidFill>
        <a:srgbClr val="000000">
          <a:alpha val="100000"/>
        </a:srgbClr>
      </a:solidFill>
      <a:prstDash val="solid"/>
      <a:round/>
    </a:ln>
  </c:spPr>
  <c:txPr>
    <a:bodyPr rot="0" wrap="square" anchor="ctr" anchorCtr="1"/>
    <a:lstStyle/>
    <a:p>
      <a:pPr>
        <a:defRPr lang="zh-CN" sz="1200" b="0" i="0" u="none" strike="noStrike" baseline="0">
          <a:solidFill>
            <a:srgbClr val="000000">
              <a:alpha val="100000"/>
            </a:srgbClr>
          </a:solidFill>
          <a:latin typeface="宋体" panose="02010600030101010101" charset="-122"/>
          <a:ea typeface="宋体" panose="02010600030101010101" charset="-122"/>
          <a:cs typeface="宋体" panose="02010600030101010101" charset="-122"/>
        </a:defRPr>
      </a:pPr>
      <a:endParaRPr lang="zh-CN"/>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0" vertOverflow="ellipsis" vert="horz" wrap="square" anchor="ctr" anchorCtr="1"/>
          <a:lstStyle/>
          <a:p>
            <a:pPr defTabSz="914400">
              <a:defRPr lang="zh-CN" sz="1200" b="0" i="0" u="none" strike="noStrike" kern="1200" baseline="0">
                <a:solidFill>
                  <a:srgbClr val="000000">
                    <a:alpha val="100000"/>
                  </a:srgbClr>
                </a:solidFill>
                <a:latin typeface="宋体" panose="02010600030101010101" charset="-122"/>
                <a:ea typeface="宋体" panose="02010600030101010101" charset="-122"/>
                <a:cs typeface="宋体" panose="02010600030101010101" charset="-122"/>
              </a:defRPr>
            </a:pPr>
            <a:r>
              <a:rPr lang="en-US" altLang="zh-CN" sz="1200" b="0" i="0" u="none" strike="noStrike" baseline="0">
                <a:solidFill>
                  <a:srgbClr val="000000"/>
                </a:solidFill>
                <a:latin typeface="宋体" panose="02010600030101010101" charset="-122"/>
                <a:ea typeface="宋体" panose="02010600030101010101" charset="-122"/>
                <a:cs typeface="宋体" panose="02010600030101010101" charset="-122"/>
              </a:rPr>
              <a:t>&lt;3&gt;</a:t>
            </a:r>
            <a:r>
              <a:rPr lang="zh-CN" altLang="en-US" sz="1200" b="0" i="0" u="none" strike="noStrike" baseline="0">
                <a:solidFill>
                  <a:srgbClr val="000000"/>
                </a:solidFill>
                <a:latin typeface="宋体" panose="02010600030101010101" charset="-122"/>
                <a:ea typeface="宋体" panose="02010600030101010101" charset="-122"/>
                <a:cs typeface="宋体" panose="02010600030101010101" charset="-122"/>
              </a:rPr>
              <a:t>附表</a:t>
            </a:r>
            <a:r>
              <a:rPr lang="de-DE" sz="1200" b="0" i="0" u="none" strike="noStrike" baseline="0">
                <a:solidFill>
                  <a:srgbClr val="000000"/>
                </a:solidFill>
                <a:latin typeface="宋体" panose="02010600030101010101" charset="-122"/>
                <a:ea typeface="宋体" panose="02010600030101010101" charset="-122"/>
                <a:cs typeface="宋体" panose="02010600030101010101" charset="-122"/>
              </a:rPr>
              <a:t>C.13 </a:t>
            </a:r>
            <a:r>
              <a:rPr lang="zh-CN" altLang="en-US" sz="1200" b="0" i="0" u="none" strike="noStrike" baseline="0">
                <a:solidFill>
                  <a:srgbClr val="000000"/>
                </a:solidFill>
                <a:latin typeface="宋体" panose="02010600030101010101" charset="-122"/>
                <a:ea typeface="宋体" panose="02010600030101010101" charset="-122"/>
                <a:cs typeface="宋体" panose="02010600030101010101" charset="-122"/>
              </a:rPr>
              <a:t>季小时平均风速的日变化</a:t>
            </a:r>
          </a:p>
        </c:rich>
      </c:tx>
      <c:layout>
        <c:manualLayout>
          <c:xMode val="edge"/>
          <c:yMode val="edge"/>
          <c:x val="0.31190150478796203"/>
          <c:y val="3.6065573770491799E-2"/>
        </c:manualLayout>
      </c:layout>
      <c:overlay val="0"/>
    </c:title>
    <c:autoTitleDeleted val="0"/>
    <c:plotArea>
      <c:layout>
        <c:manualLayout>
          <c:layoutTarget val="inner"/>
          <c:xMode val="edge"/>
          <c:yMode val="edge"/>
          <c:x val="0.125854993160055"/>
          <c:y val="0.15409836065573801"/>
          <c:w val="0.719562243502052"/>
          <c:h val="0.69180327868852498"/>
        </c:manualLayout>
      </c:layout>
      <c:lineChart>
        <c:grouping val="standard"/>
        <c:varyColors val="0"/>
        <c:ser>
          <c:idx val="0"/>
          <c:order val="0"/>
          <c:tx>
            <c:strRef>
              <c:f>[大庆一般站2023年气象统计分析.XLS]图形!$A$167</c:f>
              <c:strCache>
                <c:ptCount val="1"/>
                <c:pt idx="0">
                  <c:v>春季                </c:v>
                </c:pt>
              </c:strCache>
            </c:strRef>
          </c:tx>
          <c:spPr>
            <a:ln w="12700" cap="rnd" cmpd="sng" algn="ctr">
              <a:solidFill>
                <a:srgbClr val="000080">
                  <a:alpha val="100000"/>
                </a:srgbClr>
              </a:solidFill>
              <a:prstDash val="solid"/>
              <a:round/>
            </a:ln>
          </c:spPr>
          <c:marker>
            <c:symbol val="diamond"/>
            <c:size val="5"/>
            <c:spPr>
              <a:solidFill>
                <a:srgbClr val="000080">
                  <a:alpha val="100000"/>
                </a:srgbClr>
              </a:solidFill>
              <a:ln w="6350" cap="flat" cmpd="sng" algn="ctr">
                <a:solidFill>
                  <a:srgbClr val="000080">
                    <a:alpha val="100000"/>
                  </a:srgbClr>
                </a:solidFill>
                <a:prstDash val="solid"/>
                <a:round/>
              </a:ln>
            </c:spPr>
          </c:marker>
          <c:val>
            <c:numRef>
              <c:f>[大庆一般站2023年气象统计分析.XLS]图形!$B$167:$Y$167</c:f>
              <c:numCache>
                <c:formatCode>General</c:formatCode>
                <c:ptCount val="24"/>
                <c:pt idx="0">
                  <c:v>2.6700000762939502</c:v>
                </c:pt>
                <c:pt idx="1">
                  <c:v>2.6099998950958301</c:v>
                </c:pt>
                <c:pt idx="2">
                  <c:v>2.6199998855590798</c:v>
                </c:pt>
                <c:pt idx="3">
                  <c:v>2.6300001144409202</c:v>
                </c:pt>
                <c:pt idx="4">
                  <c:v>2.6099998950958301</c:v>
                </c:pt>
                <c:pt idx="5">
                  <c:v>2.8499999046325701</c:v>
                </c:pt>
                <c:pt idx="6">
                  <c:v>3.2799999713897701</c:v>
                </c:pt>
                <c:pt idx="7">
                  <c:v>3.9700000286102299</c:v>
                </c:pt>
                <c:pt idx="8">
                  <c:v>4.0799999237060502</c:v>
                </c:pt>
                <c:pt idx="9">
                  <c:v>4.4699997901916504</c:v>
                </c:pt>
                <c:pt idx="10">
                  <c:v>4.6700000762939498</c:v>
                </c:pt>
                <c:pt idx="11">
                  <c:v>4.6599998474121103</c:v>
                </c:pt>
                <c:pt idx="12">
                  <c:v>4.7699999809265101</c:v>
                </c:pt>
                <c:pt idx="13">
                  <c:v>4.6700000762939498</c:v>
                </c:pt>
                <c:pt idx="14">
                  <c:v>4.7699999809265101</c:v>
                </c:pt>
                <c:pt idx="15">
                  <c:v>4.5999999046325701</c:v>
                </c:pt>
                <c:pt idx="16">
                  <c:v>4</c:v>
                </c:pt>
                <c:pt idx="17">
                  <c:v>3.1800000667571999</c:v>
                </c:pt>
                <c:pt idx="18">
                  <c:v>2.6800000667571999</c:v>
                </c:pt>
                <c:pt idx="19">
                  <c:v>2.5</c:v>
                </c:pt>
                <c:pt idx="20">
                  <c:v>2.5499999523162802</c:v>
                </c:pt>
                <c:pt idx="21">
                  <c:v>2.53999996185303</c:v>
                </c:pt>
                <c:pt idx="22">
                  <c:v>2.6199998855590798</c:v>
                </c:pt>
                <c:pt idx="23">
                  <c:v>2.53999996185303</c:v>
                </c:pt>
              </c:numCache>
            </c:numRef>
          </c:val>
          <c:smooth val="0"/>
          <c:extLst>
            <c:ext xmlns:c16="http://schemas.microsoft.com/office/drawing/2014/chart" uri="{C3380CC4-5D6E-409C-BE32-E72D297353CC}">
              <c16:uniqueId val="{00000000-7D5D-49A6-B59F-4E0EC1342481}"/>
            </c:ext>
          </c:extLst>
        </c:ser>
        <c:ser>
          <c:idx val="1"/>
          <c:order val="1"/>
          <c:tx>
            <c:strRef>
              <c:f>[大庆一般站2023年气象统计分析.XLS]图形!$A$168</c:f>
              <c:strCache>
                <c:ptCount val="1"/>
                <c:pt idx="0">
                  <c:v>夏季                </c:v>
                </c:pt>
              </c:strCache>
            </c:strRef>
          </c:tx>
          <c:spPr>
            <a:ln w="12700" cap="rnd" cmpd="sng" algn="ctr">
              <a:solidFill>
                <a:srgbClr val="FF00FF">
                  <a:alpha val="100000"/>
                </a:srgbClr>
              </a:solidFill>
              <a:prstDash val="solid"/>
              <a:round/>
            </a:ln>
          </c:spPr>
          <c:marker>
            <c:symbol val="square"/>
            <c:size val="5"/>
            <c:spPr>
              <a:solidFill>
                <a:srgbClr val="FF00FF">
                  <a:alpha val="100000"/>
                </a:srgbClr>
              </a:solidFill>
              <a:ln w="6350" cap="flat" cmpd="sng" algn="ctr">
                <a:solidFill>
                  <a:srgbClr val="FF00FF">
                    <a:alpha val="100000"/>
                  </a:srgbClr>
                </a:solidFill>
                <a:prstDash val="solid"/>
                <a:round/>
              </a:ln>
            </c:spPr>
          </c:marker>
          <c:val>
            <c:numRef>
              <c:f>[大庆一般站2023年气象统计分析.XLS]图形!$B$168:$Y$168</c:f>
              <c:numCache>
                <c:formatCode>General</c:formatCode>
                <c:ptCount val="24"/>
                <c:pt idx="0">
                  <c:v>2.1800000667571999</c:v>
                </c:pt>
                <c:pt idx="1">
                  <c:v>2.21000003814697</c:v>
                </c:pt>
                <c:pt idx="2">
                  <c:v>2.1700000762939502</c:v>
                </c:pt>
                <c:pt idx="3">
                  <c:v>2.2200000286102299</c:v>
                </c:pt>
                <c:pt idx="4">
                  <c:v>2.1500000953674299</c:v>
                </c:pt>
                <c:pt idx="5">
                  <c:v>2.4700000286102299</c:v>
                </c:pt>
                <c:pt idx="6">
                  <c:v>2.6800000667571999</c:v>
                </c:pt>
                <c:pt idx="7">
                  <c:v>3</c:v>
                </c:pt>
                <c:pt idx="8">
                  <c:v>3.0999999046325701</c:v>
                </c:pt>
                <c:pt idx="9">
                  <c:v>3.2999999523162802</c:v>
                </c:pt>
                <c:pt idx="10">
                  <c:v>3.4400000572204599</c:v>
                </c:pt>
                <c:pt idx="11">
                  <c:v>3.5999999046325701</c:v>
                </c:pt>
                <c:pt idx="12">
                  <c:v>3.6700000762939502</c:v>
                </c:pt>
                <c:pt idx="13">
                  <c:v>3.6300001144409202</c:v>
                </c:pt>
                <c:pt idx="14">
                  <c:v>3.5599999427795401</c:v>
                </c:pt>
                <c:pt idx="15">
                  <c:v>3.25</c:v>
                </c:pt>
                <c:pt idx="16">
                  <c:v>2.9900000095367401</c:v>
                </c:pt>
                <c:pt idx="17">
                  <c:v>2.6500000953674299</c:v>
                </c:pt>
                <c:pt idx="18">
                  <c:v>2.3499999046325701</c:v>
                </c:pt>
                <c:pt idx="19">
                  <c:v>2.1400001049041699</c:v>
                </c:pt>
                <c:pt idx="20">
                  <c:v>2.0199999809265101</c:v>
                </c:pt>
                <c:pt idx="21">
                  <c:v>2.0199999809265101</c:v>
                </c:pt>
                <c:pt idx="22">
                  <c:v>2</c:v>
                </c:pt>
                <c:pt idx="23">
                  <c:v>2.0699999332428001</c:v>
                </c:pt>
              </c:numCache>
            </c:numRef>
          </c:val>
          <c:smooth val="0"/>
          <c:extLst>
            <c:ext xmlns:c16="http://schemas.microsoft.com/office/drawing/2014/chart" uri="{C3380CC4-5D6E-409C-BE32-E72D297353CC}">
              <c16:uniqueId val="{00000001-7D5D-49A6-B59F-4E0EC1342481}"/>
            </c:ext>
          </c:extLst>
        </c:ser>
        <c:ser>
          <c:idx val="2"/>
          <c:order val="2"/>
          <c:tx>
            <c:strRef>
              <c:f>[大庆一般站2023年气象统计分析.XLS]图形!$A$169</c:f>
              <c:strCache>
                <c:ptCount val="1"/>
                <c:pt idx="0">
                  <c:v>秋季                </c:v>
                </c:pt>
              </c:strCache>
            </c:strRef>
          </c:tx>
          <c:spPr>
            <a:ln w="12700" cap="rnd" cmpd="sng" algn="ctr">
              <a:solidFill>
                <a:srgbClr val="FFFF00">
                  <a:alpha val="100000"/>
                </a:srgbClr>
              </a:solidFill>
              <a:prstDash val="solid"/>
              <a:round/>
            </a:ln>
          </c:spPr>
          <c:marker>
            <c:symbol val="triangle"/>
            <c:size val="5"/>
            <c:spPr>
              <a:solidFill>
                <a:srgbClr val="FFFF00">
                  <a:alpha val="100000"/>
                </a:srgbClr>
              </a:solidFill>
              <a:ln w="6350" cap="flat" cmpd="sng" algn="ctr">
                <a:solidFill>
                  <a:srgbClr val="FFFF00">
                    <a:alpha val="100000"/>
                  </a:srgbClr>
                </a:solidFill>
                <a:prstDash val="solid"/>
                <a:round/>
              </a:ln>
            </c:spPr>
          </c:marker>
          <c:val>
            <c:numRef>
              <c:f>[大庆一般站2023年气象统计分析.XLS]图形!$B$169:$Y$169</c:f>
              <c:numCache>
                <c:formatCode>General</c:formatCode>
                <c:ptCount val="24"/>
                <c:pt idx="0">
                  <c:v>2.4000000953674299</c:v>
                </c:pt>
                <c:pt idx="1">
                  <c:v>2.3699998855590798</c:v>
                </c:pt>
                <c:pt idx="2">
                  <c:v>2.3199999332428001</c:v>
                </c:pt>
                <c:pt idx="3">
                  <c:v>2.3599998950958301</c:v>
                </c:pt>
                <c:pt idx="4">
                  <c:v>2.21000003814697</c:v>
                </c:pt>
                <c:pt idx="5">
                  <c:v>2.2400000095367401</c:v>
                </c:pt>
                <c:pt idx="6">
                  <c:v>2.4500000476837198</c:v>
                </c:pt>
                <c:pt idx="7">
                  <c:v>2.71000003814697</c:v>
                </c:pt>
                <c:pt idx="8">
                  <c:v>3.1099998950958301</c:v>
                </c:pt>
                <c:pt idx="9">
                  <c:v>3.1900000572204599</c:v>
                </c:pt>
                <c:pt idx="10">
                  <c:v>3.3699998855590798</c:v>
                </c:pt>
                <c:pt idx="11">
                  <c:v>3.5</c:v>
                </c:pt>
                <c:pt idx="12">
                  <c:v>3.7000000476837198</c:v>
                </c:pt>
                <c:pt idx="13">
                  <c:v>3.8199999332428001</c:v>
                </c:pt>
                <c:pt idx="14">
                  <c:v>3.6300001144409202</c:v>
                </c:pt>
                <c:pt idx="15">
                  <c:v>3.2599999904632599</c:v>
                </c:pt>
                <c:pt idx="16">
                  <c:v>2.6800000667571999</c:v>
                </c:pt>
                <c:pt idx="17">
                  <c:v>2.3299999237060498</c:v>
                </c:pt>
                <c:pt idx="18">
                  <c:v>2.2799999713897701</c:v>
                </c:pt>
                <c:pt idx="19">
                  <c:v>2.2999999523162802</c:v>
                </c:pt>
                <c:pt idx="20">
                  <c:v>2.3299999237060498</c:v>
                </c:pt>
                <c:pt idx="21">
                  <c:v>2.3699998855590798</c:v>
                </c:pt>
                <c:pt idx="22">
                  <c:v>2.3199999332428001</c:v>
                </c:pt>
                <c:pt idx="23">
                  <c:v>2.25</c:v>
                </c:pt>
              </c:numCache>
            </c:numRef>
          </c:val>
          <c:smooth val="0"/>
          <c:extLst>
            <c:ext xmlns:c16="http://schemas.microsoft.com/office/drawing/2014/chart" uri="{C3380CC4-5D6E-409C-BE32-E72D297353CC}">
              <c16:uniqueId val="{00000002-7D5D-49A6-B59F-4E0EC1342481}"/>
            </c:ext>
          </c:extLst>
        </c:ser>
        <c:ser>
          <c:idx val="3"/>
          <c:order val="3"/>
          <c:tx>
            <c:strRef>
              <c:f>[大庆一般站2023年气象统计分析.XLS]图形!$A$170</c:f>
              <c:strCache>
                <c:ptCount val="1"/>
                <c:pt idx="0">
                  <c:v>冬季                </c:v>
                </c:pt>
              </c:strCache>
            </c:strRef>
          </c:tx>
          <c:spPr>
            <a:ln w="12700" cap="rnd" cmpd="sng" algn="ctr">
              <a:solidFill>
                <a:srgbClr val="00FFFF">
                  <a:alpha val="100000"/>
                </a:srgbClr>
              </a:solidFill>
              <a:prstDash val="solid"/>
              <a:round/>
            </a:ln>
          </c:spPr>
          <c:marker>
            <c:symbol val="x"/>
            <c:size val="5"/>
            <c:spPr>
              <a:noFill/>
              <a:ln w="6350" cap="flat" cmpd="sng" algn="ctr">
                <a:solidFill>
                  <a:srgbClr val="00FFFF">
                    <a:alpha val="100000"/>
                  </a:srgbClr>
                </a:solidFill>
                <a:prstDash val="solid"/>
                <a:round/>
              </a:ln>
            </c:spPr>
          </c:marker>
          <c:val>
            <c:numRef>
              <c:f>[大庆一般站2023年气象统计分析.XLS]图形!$B$170:$Y$170</c:f>
              <c:numCache>
                <c:formatCode>General</c:formatCode>
                <c:ptCount val="24"/>
                <c:pt idx="0">
                  <c:v>2.1600000858306898</c:v>
                </c:pt>
                <c:pt idx="1">
                  <c:v>2.28999996185303</c:v>
                </c:pt>
                <c:pt idx="2">
                  <c:v>2.1500000953674299</c:v>
                </c:pt>
                <c:pt idx="3">
                  <c:v>2.1900000572204599</c:v>
                </c:pt>
                <c:pt idx="4">
                  <c:v>2.25</c:v>
                </c:pt>
                <c:pt idx="5">
                  <c:v>2.2200000286102299</c:v>
                </c:pt>
                <c:pt idx="6">
                  <c:v>2.1700000762939502</c:v>
                </c:pt>
                <c:pt idx="7">
                  <c:v>2.21000003814697</c:v>
                </c:pt>
                <c:pt idx="8">
                  <c:v>2.5599999427795401</c:v>
                </c:pt>
                <c:pt idx="9">
                  <c:v>2.78999996185303</c:v>
                </c:pt>
                <c:pt idx="10">
                  <c:v>2.9900000095367401</c:v>
                </c:pt>
                <c:pt idx="11">
                  <c:v>3.2999999523162802</c:v>
                </c:pt>
                <c:pt idx="12">
                  <c:v>3.3499999046325701</c:v>
                </c:pt>
                <c:pt idx="13">
                  <c:v>3.3099999427795401</c:v>
                </c:pt>
                <c:pt idx="14">
                  <c:v>3.0999999046325701</c:v>
                </c:pt>
                <c:pt idx="15">
                  <c:v>2.6800000667571999</c:v>
                </c:pt>
                <c:pt idx="16">
                  <c:v>2.0499999523162802</c:v>
                </c:pt>
                <c:pt idx="17">
                  <c:v>1.83000004291534</c:v>
                </c:pt>
                <c:pt idx="18">
                  <c:v>1.91999995708466</c:v>
                </c:pt>
                <c:pt idx="19">
                  <c:v>1.9299999475479099</c:v>
                </c:pt>
                <c:pt idx="20">
                  <c:v>2.0099999904632599</c:v>
                </c:pt>
                <c:pt idx="21">
                  <c:v>2.1199998855590798</c:v>
                </c:pt>
                <c:pt idx="22">
                  <c:v>2.1099998950958301</c:v>
                </c:pt>
                <c:pt idx="23">
                  <c:v>2.1199998855590798</c:v>
                </c:pt>
              </c:numCache>
            </c:numRef>
          </c:val>
          <c:smooth val="0"/>
          <c:extLst>
            <c:ext xmlns:c16="http://schemas.microsoft.com/office/drawing/2014/chart" uri="{C3380CC4-5D6E-409C-BE32-E72D297353CC}">
              <c16:uniqueId val="{00000003-7D5D-49A6-B59F-4E0EC1342481}"/>
            </c:ext>
          </c:extLst>
        </c:ser>
        <c:dLbls>
          <c:showLegendKey val="0"/>
          <c:showVal val="0"/>
          <c:showCatName val="0"/>
          <c:showSerName val="0"/>
          <c:showPercent val="0"/>
          <c:showBubbleSize val="0"/>
        </c:dLbls>
        <c:marker val="1"/>
        <c:smooth val="0"/>
        <c:axId val="79195242"/>
        <c:axId val="210774268"/>
      </c:lineChart>
      <c:catAx>
        <c:axId val="79195242"/>
        <c:scaling>
          <c:orientation val="minMax"/>
        </c:scaling>
        <c:delete val="0"/>
        <c:axPos val="b"/>
        <c:majorTickMark val="in"/>
        <c:minorTickMark val="none"/>
        <c:tickLblPos val="nextTo"/>
        <c:spPr>
          <a:ln w="3175" cap="flat" cmpd="sng" algn="ctr">
            <a:solidFill>
              <a:srgbClr val="000000">
                <a:alpha val="100000"/>
              </a:srgbClr>
            </a:solidFill>
            <a:prstDash val="solid"/>
            <a:round/>
          </a:ln>
        </c:spPr>
        <c:txPr>
          <a:bodyPr rot="0" spcFirstLastPara="0" vertOverflow="ellipsis" vert="horz" wrap="square" anchor="ctr" anchorCtr="1"/>
          <a:lstStyle/>
          <a:p>
            <a:pPr>
              <a:defRPr lang="zh-CN" sz="1200" b="0" i="0" u="none" strike="noStrike" kern="1200" baseline="0">
                <a:solidFill>
                  <a:srgbClr val="000000">
                    <a:alpha val="100000"/>
                  </a:srgbClr>
                </a:solidFill>
                <a:latin typeface="宋体" panose="02010600030101010101" charset="-122"/>
                <a:ea typeface="宋体" panose="02010600030101010101" charset="-122"/>
                <a:cs typeface="宋体" panose="02010600030101010101" charset="-122"/>
              </a:defRPr>
            </a:pPr>
            <a:endParaRPr lang="zh-CN"/>
          </a:p>
        </c:txPr>
        <c:crossAx val="210774268"/>
        <c:crosses val="autoZero"/>
        <c:auto val="1"/>
        <c:lblAlgn val="ctr"/>
        <c:lblOffset val="100"/>
        <c:tickLblSkip val="1"/>
        <c:noMultiLvlLbl val="0"/>
      </c:catAx>
      <c:valAx>
        <c:axId val="210774268"/>
        <c:scaling>
          <c:orientation val="minMax"/>
        </c:scaling>
        <c:delete val="0"/>
        <c:axPos val="l"/>
        <c:majorGridlines>
          <c:spPr>
            <a:ln w="3175" cap="flat" cmpd="sng" algn="ctr">
              <a:solidFill>
                <a:srgbClr val="000000">
                  <a:alpha val="100000"/>
                </a:srgbClr>
              </a:solidFill>
              <a:prstDash val="solid"/>
              <a:round/>
            </a:ln>
          </c:spPr>
        </c:majorGridlines>
        <c:title>
          <c:tx>
            <c:rich>
              <a:bodyPr rot="-5400000" spcFirstLastPara="0" vertOverflow="ellipsis" vert="horz" wrap="square" anchor="ctr" anchorCtr="1"/>
              <a:lstStyle/>
              <a:p>
                <a:pPr defTabSz="914400">
                  <a:defRPr lang="zh-CN" sz="1100" b="0" i="0" u="none" strike="noStrike" kern="1200" baseline="0">
                    <a:solidFill>
                      <a:srgbClr val="000000">
                        <a:alpha val="100000"/>
                      </a:srgbClr>
                    </a:solidFill>
                    <a:latin typeface="Calibri" panose="020F0502020204030204" pitchFamily="2" charset="0"/>
                    <a:ea typeface="Calibri" panose="020F0502020204030204" pitchFamily="2" charset="0"/>
                    <a:cs typeface="Calibri" panose="020F0502020204030204" pitchFamily="2" charset="0"/>
                  </a:defRPr>
                </a:pPr>
                <a:r>
                  <a:rPr lang="zh-CN" altLang="en-US" sz="1200" b="0" i="0" u="none" strike="noStrike" baseline="0">
                    <a:solidFill>
                      <a:srgbClr val="000000"/>
                    </a:solidFill>
                    <a:latin typeface="宋体" panose="02010600030101010101" charset="-122"/>
                    <a:ea typeface="宋体" panose="02010600030101010101" charset="-122"/>
                    <a:cs typeface="宋体" panose="02010600030101010101" charset="-122"/>
                  </a:rPr>
                  <a:t>风速</a:t>
                </a:r>
                <a:r>
                  <a:rPr lang="en-US" altLang="zh-CN" sz="1200" b="0" i="0" u="none" strike="noStrike" baseline="0">
                    <a:solidFill>
                      <a:srgbClr val="000000"/>
                    </a:solidFill>
                    <a:latin typeface="宋体" panose="02010600030101010101" charset="-122"/>
                    <a:ea typeface="宋体" panose="02010600030101010101" charset="-122"/>
                    <a:cs typeface="宋体" panose="02010600030101010101" charset="-122"/>
                  </a:rPr>
                  <a:t>(</a:t>
                </a:r>
                <a:r>
                  <a:rPr lang="de-DE" sz="1200" b="0" i="0" u="none" strike="noStrike" baseline="0">
                    <a:solidFill>
                      <a:srgbClr val="000000"/>
                    </a:solidFill>
                    <a:latin typeface="宋体" panose="02010600030101010101" charset="-122"/>
                    <a:ea typeface="宋体" panose="02010600030101010101" charset="-122"/>
                    <a:cs typeface="宋体" panose="02010600030101010101" charset="-122"/>
                  </a:rPr>
                  <a:t>m/s)</a:t>
                </a:r>
              </a:p>
            </c:rich>
          </c:tx>
          <c:layout>
            <c:manualLayout>
              <c:xMode val="edge"/>
              <c:yMode val="edge"/>
              <c:x val="2.05198358413133E-2"/>
              <c:y val="0.37377049180327898"/>
            </c:manualLayout>
          </c:layout>
          <c:overlay val="0"/>
        </c:title>
        <c:numFmt formatCode="0.00_ " sourceLinked="0"/>
        <c:majorTickMark val="in"/>
        <c:minorTickMark val="none"/>
        <c:tickLblPos val="nextTo"/>
        <c:spPr>
          <a:ln w="3175" cap="flat" cmpd="sng" algn="ctr">
            <a:solidFill>
              <a:srgbClr val="000000">
                <a:alpha val="100000"/>
              </a:srgbClr>
            </a:solidFill>
            <a:prstDash val="solid"/>
            <a:round/>
          </a:ln>
        </c:spPr>
        <c:txPr>
          <a:bodyPr rot="0" spcFirstLastPara="0" vertOverflow="ellipsis" vert="horz" wrap="square" anchor="ctr" anchorCtr="1"/>
          <a:lstStyle/>
          <a:p>
            <a:pPr>
              <a:defRPr lang="zh-CN" sz="1200" b="0" i="0" u="none" strike="noStrike" kern="1200" baseline="0">
                <a:solidFill>
                  <a:srgbClr val="000000">
                    <a:alpha val="100000"/>
                  </a:srgbClr>
                </a:solidFill>
                <a:latin typeface="宋体" panose="02010600030101010101" charset="-122"/>
                <a:ea typeface="宋体" panose="02010600030101010101" charset="-122"/>
                <a:cs typeface="宋体" panose="02010600030101010101" charset="-122"/>
              </a:defRPr>
            </a:pPr>
            <a:endParaRPr lang="zh-CN"/>
          </a:p>
        </c:txPr>
        <c:crossAx val="79195242"/>
        <c:crosses val="autoZero"/>
        <c:crossBetween val="between"/>
      </c:valAx>
      <c:spPr>
        <a:solidFill>
          <a:srgbClr val="C0C0C0">
            <a:alpha val="100000"/>
          </a:srgbClr>
        </a:solidFill>
        <a:ln w="12700">
          <a:solidFill>
            <a:srgbClr val="808080">
              <a:alpha val="100000"/>
            </a:srgbClr>
          </a:solidFill>
          <a:prstDash val="solid"/>
        </a:ln>
      </c:spPr>
    </c:plotArea>
    <c:legend>
      <c:legendPos val="r"/>
      <c:layout>
        <c:manualLayout>
          <c:xMode val="edge"/>
          <c:yMode val="edge"/>
          <c:x val="0.85636114911080696"/>
          <c:y val="0.19672131147541"/>
          <c:w val="0.1275"/>
          <c:h val="0.52375000000000005"/>
        </c:manualLayout>
      </c:layout>
      <c:overlay val="0"/>
      <c:spPr>
        <a:solidFill>
          <a:srgbClr val="FFFFFF">
            <a:alpha val="100000"/>
          </a:srgbClr>
        </a:solidFill>
        <a:ln w="3175">
          <a:solidFill>
            <a:srgbClr val="000000">
              <a:alpha val="100000"/>
            </a:srgbClr>
          </a:solidFill>
          <a:prstDash val="solid"/>
        </a:ln>
      </c:spPr>
      <c:txPr>
        <a:bodyPr rot="0" spcFirstLastPara="0" vertOverflow="ellipsis" vert="horz" wrap="square" anchor="ctr" anchorCtr="1"/>
        <a:lstStyle/>
        <a:p>
          <a:pPr>
            <a:defRPr lang="zh-CN" sz="1100" b="0" i="0" u="none" strike="noStrike" kern="1200" baseline="0">
              <a:solidFill>
                <a:srgbClr val="000000"/>
              </a:solidFill>
              <a:latin typeface="宋体" panose="02010600030101010101" charset="-122"/>
              <a:ea typeface="宋体" panose="02010600030101010101" charset="-122"/>
              <a:cs typeface="宋体" panose="02010600030101010101" charset="-122"/>
            </a:defRPr>
          </a:pPr>
          <a:endParaRPr lang="zh-CN"/>
        </a:p>
      </c:txPr>
    </c:legend>
    <c:plotVisOnly val="1"/>
    <c:dispBlanksAs val="gap"/>
    <c:showDLblsOverMax val="0"/>
    <c:extLst>
      <c:ext uri="{0b15fc19-7d7d-44ad-8c2d-2c3a37ce22c3}">
        <chartProps xmlns="https://web.wps.cn/et/2018/main" chartId="{d25d149a-7bcd-44d2-8c0d-d78f51de37cf}"/>
      </c:ext>
    </c:extLst>
  </c:chart>
  <c:spPr>
    <a:solidFill>
      <a:srgbClr val="FFFFFF">
        <a:alpha val="100000"/>
      </a:srgbClr>
    </a:solidFill>
    <a:ln w="3175" cap="flat" cmpd="sng" algn="ctr">
      <a:solidFill>
        <a:srgbClr val="000000">
          <a:alpha val="100000"/>
        </a:srgbClr>
      </a:solidFill>
      <a:prstDash val="solid"/>
      <a:round/>
    </a:ln>
  </c:spPr>
  <c:txPr>
    <a:bodyPr rot="0" wrap="square" anchor="ctr" anchorCtr="1"/>
    <a:lstStyle/>
    <a:p>
      <a:pPr>
        <a:defRPr lang="zh-CN" sz="1200" b="0" i="0" u="none" strike="noStrike" baseline="0">
          <a:solidFill>
            <a:srgbClr val="000000">
              <a:alpha val="100000"/>
            </a:srgbClr>
          </a:solidFill>
          <a:latin typeface="宋体" panose="02010600030101010101" charset="-122"/>
          <a:ea typeface="宋体" panose="02010600030101010101" charset="-122"/>
          <a:cs typeface="宋体" panose="02010600030101010101" charset="-122"/>
        </a:defRPr>
      </a:pPr>
      <a:endParaRPr lang="zh-CN"/>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5326781819613"/>
          <c:y val="7.6355262083829104E-2"/>
          <c:w val="0.868377887888372"/>
          <c:h val="0.77508114738650302"/>
        </c:manualLayout>
      </c:layout>
      <c:scatterChart>
        <c:scatterStyle val="smoothMarker"/>
        <c:varyColors val="0"/>
        <c:ser>
          <c:idx val="0"/>
          <c:order val="0"/>
          <c:tx>
            <c:strRef>
              <c:f>[铅.xlsx]Sheet1!$B$1</c:f>
              <c:strCache>
                <c:ptCount val="1"/>
                <c:pt idx="0">
                  <c:v>铅迁移100天不同位置浓度值（mg/L）</c:v>
                </c:pt>
              </c:strCache>
            </c:strRef>
          </c:tx>
          <c:spPr>
            <a:ln w="12700" cap="rnd" cmpd="sng" algn="ctr">
              <a:solidFill>
                <a:srgbClr val="FC0AC2"/>
              </a:solidFill>
              <a:prstDash val="solid"/>
              <a:round/>
            </a:ln>
          </c:spPr>
          <c:marker>
            <c:symbol val="star"/>
            <c:size val="6"/>
            <c:spPr>
              <a:noFill/>
              <a:ln w="9525" cap="flat" cmpd="sng" algn="ctr">
                <a:solidFill>
                  <a:srgbClr val="FC0AC2"/>
                </a:solidFill>
                <a:prstDash val="solid"/>
                <a:round/>
              </a:ln>
            </c:spPr>
          </c:marker>
          <c:xVal>
            <c:strRef>
              <c:f>[铅.xlsx]Sheet1!$A$1:$A$63</c:f>
              <c:strCache>
                <c:ptCount val="63"/>
                <c:pt idx="0">
                  <c:v>污染物迁移距离</c:v>
                </c:pt>
                <c:pt idx="1">
                  <c:v>0</c:v>
                </c:pt>
                <c:pt idx="2">
                  <c:v>10</c:v>
                </c:pt>
                <c:pt idx="3">
                  <c:v>20</c:v>
                </c:pt>
                <c:pt idx="4">
                  <c:v>30</c:v>
                </c:pt>
                <c:pt idx="5">
                  <c:v>40</c:v>
                </c:pt>
                <c:pt idx="6">
                  <c:v>50</c:v>
                </c:pt>
                <c:pt idx="7">
                  <c:v>60</c:v>
                </c:pt>
                <c:pt idx="8">
                  <c:v>70</c:v>
                </c:pt>
                <c:pt idx="9">
                  <c:v>80</c:v>
                </c:pt>
                <c:pt idx="10">
                  <c:v>90</c:v>
                </c:pt>
                <c:pt idx="11">
                  <c:v>100</c:v>
                </c:pt>
                <c:pt idx="12">
                  <c:v>110</c:v>
                </c:pt>
                <c:pt idx="13">
                  <c:v>120</c:v>
                </c:pt>
                <c:pt idx="14">
                  <c:v>130</c:v>
                </c:pt>
                <c:pt idx="15">
                  <c:v>140</c:v>
                </c:pt>
                <c:pt idx="16">
                  <c:v>150</c:v>
                </c:pt>
                <c:pt idx="17">
                  <c:v>160</c:v>
                </c:pt>
                <c:pt idx="18">
                  <c:v>170</c:v>
                </c:pt>
                <c:pt idx="19">
                  <c:v>180</c:v>
                </c:pt>
                <c:pt idx="20">
                  <c:v>190</c:v>
                </c:pt>
                <c:pt idx="21">
                  <c:v>200</c:v>
                </c:pt>
                <c:pt idx="22">
                  <c:v>210</c:v>
                </c:pt>
                <c:pt idx="23">
                  <c:v>220</c:v>
                </c:pt>
                <c:pt idx="24">
                  <c:v>230</c:v>
                </c:pt>
                <c:pt idx="25">
                  <c:v>240</c:v>
                </c:pt>
                <c:pt idx="26">
                  <c:v>250</c:v>
                </c:pt>
                <c:pt idx="27">
                  <c:v>260</c:v>
                </c:pt>
                <c:pt idx="28">
                  <c:v>270</c:v>
                </c:pt>
                <c:pt idx="29">
                  <c:v>280</c:v>
                </c:pt>
                <c:pt idx="30">
                  <c:v>290</c:v>
                </c:pt>
                <c:pt idx="31">
                  <c:v>300</c:v>
                </c:pt>
                <c:pt idx="32">
                  <c:v>310</c:v>
                </c:pt>
                <c:pt idx="33">
                  <c:v>320</c:v>
                </c:pt>
                <c:pt idx="34">
                  <c:v>330</c:v>
                </c:pt>
                <c:pt idx="35">
                  <c:v>340</c:v>
                </c:pt>
                <c:pt idx="36">
                  <c:v>350</c:v>
                </c:pt>
                <c:pt idx="37">
                  <c:v>360</c:v>
                </c:pt>
                <c:pt idx="38">
                  <c:v>370</c:v>
                </c:pt>
                <c:pt idx="39">
                  <c:v>380</c:v>
                </c:pt>
                <c:pt idx="40">
                  <c:v>390</c:v>
                </c:pt>
                <c:pt idx="41">
                  <c:v>400</c:v>
                </c:pt>
                <c:pt idx="42">
                  <c:v>410</c:v>
                </c:pt>
                <c:pt idx="43">
                  <c:v>420</c:v>
                </c:pt>
                <c:pt idx="44">
                  <c:v>430</c:v>
                </c:pt>
                <c:pt idx="45">
                  <c:v>440</c:v>
                </c:pt>
                <c:pt idx="46">
                  <c:v>450</c:v>
                </c:pt>
                <c:pt idx="47">
                  <c:v>460</c:v>
                </c:pt>
                <c:pt idx="48">
                  <c:v>470</c:v>
                </c:pt>
                <c:pt idx="49">
                  <c:v>480</c:v>
                </c:pt>
                <c:pt idx="50">
                  <c:v>490</c:v>
                </c:pt>
                <c:pt idx="51">
                  <c:v>500</c:v>
                </c:pt>
                <c:pt idx="52">
                  <c:v>510</c:v>
                </c:pt>
                <c:pt idx="53">
                  <c:v>520</c:v>
                </c:pt>
                <c:pt idx="54">
                  <c:v>530</c:v>
                </c:pt>
                <c:pt idx="55">
                  <c:v>540</c:v>
                </c:pt>
                <c:pt idx="56">
                  <c:v>550</c:v>
                </c:pt>
                <c:pt idx="57">
                  <c:v>560</c:v>
                </c:pt>
                <c:pt idx="58">
                  <c:v>570</c:v>
                </c:pt>
                <c:pt idx="59">
                  <c:v>580</c:v>
                </c:pt>
                <c:pt idx="60">
                  <c:v>590</c:v>
                </c:pt>
                <c:pt idx="61">
                  <c:v>600</c:v>
                </c:pt>
                <c:pt idx="62">
                  <c:v>610</c:v>
                </c:pt>
              </c:strCache>
            </c:strRef>
          </c:xVal>
          <c:yVal>
            <c:numRef>
              <c:f>[铅.xlsx]Sheet1!$B$2:$B$63</c:f>
              <c:numCache>
                <c:formatCode>0.0_);[Red]\(0.0\)</c:formatCode>
                <c:ptCount val="62"/>
                <c:pt idx="0">
                  <c:v>0.192</c:v>
                </c:pt>
                <c:pt idx="1">
                  <c:v>0.159</c:v>
                </c:pt>
                <c:pt idx="2">
                  <c:v>0.127</c:v>
                </c:pt>
                <c:pt idx="3">
                  <c:v>9.8000000000000004E-2</c:v>
                </c:pt>
                <c:pt idx="4">
                  <c:v>7.2800000000000004E-2</c:v>
                </c:pt>
                <c:pt idx="5">
                  <c:v>5.1999999999999998E-2</c:v>
                </c:pt>
                <c:pt idx="6">
                  <c:v>3.5700000000000003E-2</c:v>
                </c:pt>
                <c:pt idx="7">
                  <c:v>2.3400000000000001E-2</c:v>
                </c:pt>
                <c:pt idx="8">
                  <c:v>1.4800000000000001E-2</c:v>
                </c:pt>
                <c:pt idx="9">
                  <c:v>8.9099999999999995E-3</c:v>
                </c:pt>
                <c:pt idx="10">
                  <c:v>5.1399999999999996E-3</c:v>
                </c:pt>
                <c:pt idx="11">
                  <c:v>2.8400000000000001E-3</c:v>
                </c:pt>
                <c:pt idx="12">
                  <c:v>1.49E-3</c:v>
                </c:pt>
                <c:pt idx="13">
                  <c:v>7.5299999999999998E-4</c:v>
                </c:pt>
                <c:pt idx="14">
                  <c:v>3.6200000000000002E-4</c:v>
                </c:pt>
                <c:pt idx="15">
                  <c:v>1.66E-4</c:v>
                </c:pt>
                <c:pt idx="16">
                  <c:v>7.2700000000000005E-5</c:v>
                </c:pt>
                <c:pt idx="17">
                  <c:v>3.0300000000000001E-5</c:v>
                </c:pt>
                <c:pt idx="18">
                  <c:v>1.2099999999999999E-5</c:v>
                </c:pt>
                <c:pt idx="19">
                  <c:v>4.5900000000000001E-6</c:v>
                </c:pt>
                <c:pt idx="20">
                  <c:v>1.66E-6</c:v>
                </c:pt>
                <c:pt idx="21">
                  <c:v>5.7299999999999996E-7</c:v>
                </c:pt>
                <c:pt idx="22">
                  <c:v>1.8799999999999999E-7</c:v>
                </c:pt>
                <c:pt idx="23">
                  <c:v>5.8999999999999999E-8</c:v>
                </c:pt>
                <c:pt idx="24">
                  <c:v>1.7599999999999999E-8</c:v>
                </c:pt>
                <c:pt idx="25">
                  <c:v>5.0099999999999999E-9</c:v>
                </c:pt>
                <c:pt idx="26">
                  <c:v>1.3600000000000001E-9</c:v>
                </c:pt>
                <c:pt idx="27">
                  <c:v>3.4999999999999998E-10</c:v>
                </c:pt>
                <c:pt idx="28">
                  <c:v>8.6E-11</c:v>
                </c:pt>
                <c:pt idx="29">
                  <c:v>2.01E-11</c:v>
                </c:pt>
                <c:pt idx="30">
                  <c:v>4.4899999999999996E-12</c:v>
                </c:pt>
                <c:pt idx="31">
                  <c:v>9.5199999999999998E-13</c:v>
                </c:pt>
                <c:pt idx="32">
                  <c:v>2.07E-13</c:v>
                </c:pt>
                <c:pt idx="33">
                  <c:v>3.9600000000000003E-14</c:v>
                </c:pt>
                <c:pt idx="34">
                  <c:v>7.2199999999999998E-15</c:v>
                </c:pt>
                <c:pt idx="35">
                  <c:v>1.26E-15</c:v>
                </c:pt>
                <c:pt idx="36">
                  <c:v>2.17E-16</c:v>
                </c:pt>
                <c:pt idx="37">
                  <c:v>3.7299999999999997E-17</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numCache>
            </c:numRef>
          </c:yVal>
          <c:smooth val="1"/>
          <c:extLst>
            <c:ext xmlns:c16="http://schemas.microsoft.com/office/drawing/2014/chart" uri="{C3380CC4-5D6E-409C-BE32-E72D297353CC}">
              <c16:uniqueId val="{00000000-7E8E-4E95-93CC-B18680427B6A}"/>
            </c:ext>
          </c:extLst>
        </c:ser>
        <c:ser>
          <c:idx val="2"/>
          <c:order val="1"/>
          <c:tx>
            <c:strRef>
              <c:f>[铅.xlsx]Sheet1!$D$1</c:f>
              <c:strCache>
                <c:ptCount val="1"/>
                <c:pt idx="0">
                  <c:v>铅迁移1000天不同位置浓度值（mg/L）</c:v>
                </c:pt>
              </c:strCache>
            </c:strRef>
          </c:tx>
          <c:spPr>
            <a:ln w="12700" cap="rnd" cmpd="sng" algn="ctr">
              <a:solidFill>
                <a:srgbClr val="5717F7"/>
              </a:solidFill>
              <a:prstDash val="solid"/>
              <a:round/>
            </a:ln>
          </c:spPr>
          <c:marker>
            <c:symbol val="star"/>
            <c:size val="6"/>
            <c:spPr>
              <a:noFill/>
              <a:ln w="9525" cap="flat" cmpd="sng" algn="ctr">
                <a:solidFill>
                  <a:srgbClr val="4B25EF"/>
                </a:solidFill>
                <a:prstDash val="solid"/>
                <a:round/>
              </a:ln>
            </c:spPr>
          </c:marker>
          <c:xVal>
            <c:numRef>
              <c:f>[铅.xlsx]Sheet1!$C$2:$C$63</c:f>
              <c:numCache>
                <c:formatCode>General</c:formatCode>
                <c:ptCount val="62"/>
                <c:pt idx="0">
                  <c:v>0</c:v>
                </c:pt>
                <c:pt idx="1">
                  <c:v>10</c:v>
                </c:pt>
                <c:pt idx="2">
                  <c:v>20</c:v>
                </c:pt>
                <c:pt idx="3">
                  <c:v>30</c:v>
                </c:pt>
                <c:pt idx="4">
                  <c:v>40</c:v>
                </c:pt>
                <c:pt idx="5">
                  <c:v>50</c:v>
                </c:pt>
                <c:pt idx="6">
                  <c:v>60</c:v>
                </c:pt>
                <c:pt idx="7">
                  <c:v>70</c:v>
                </c:pt>
                <c:pt idx="8">
                  <c:v>80</c:v>
                </c:pt>
                <c:pt idx="9">
                  <c:v>90</c:v>
                </c:pt>
                <c:pt idx="10">
                  <c:v>100</c:v>
                </c:pt>
                <c:pt idx="11">
                  <c:v>110</c:v>
                </c:pt>
                <c:pt idx="12">
                  <c:v>120</c:v>
                </c:pt>
                <c:pt idx="13">
                  <c:v>130</c:v>
                </c:pt>
                <c:pt idx="14">
                  <c:v>140</c:v>
                </c:pt>
                <c:pt idx="15">
                  <c:v>150</c:v>
                </c:pt>
                <c:pt idx="16">
                  <c:v>160</c:v>
                </c:pt>
                <c:pt idx="17">
                  <c:v>170</c:v>
                </c:pt>
                <c:pt idx="18">
                  <c:v>180</c:v>
                </c:pt>
                <c:pt idx="19">
                  <c:v>190</c:v>
                </c:pt>
                <c:pt idx="20">
                  <c:v>200</c:v>
                </c:pt>
                <c:pt idx="21">
                  <c:v>210</c:v>
                </c:pt>
                <c:pt idx="22">
                  <c:v>220</c:v>
                </c:pt>
                <c:pt idx="23">
                  <c:v>230</c:v>
                </c:pt>
                <c:pt idx="24">
                  <c:v>240</c:v>
                </c:pt>
                <c:pt idx="25">
                  <c:v>250</c:v>
                </c:pt>
                <c:pt idx="26">
                  <c:v>260</c:v>
                </c:pt>
                <c:pt idx="27">
                  <c:v>270</c:v>
                </c:pt>
                <c:pt idx="28">
                  <c:v>280</c:v>
                </c:pt>
                <c:pt idx="29">
                  <c:v>290</c:v>
                </c:pt>
                <c:pt idx="30">
                  <c:v>300</c:v>
                </c:pt>
                <c:pt idx="31">
                  <c:v>310</c:v>
                </c:pt>
                <c:pt idx="32">
                  <c:v>320</c:v>
                </c:pt>
                <c:pt idx="33">
                  <c:v>330</c:v>
                </c:pt>
                <c:pt idx="34">
                  <c:v>340</c:v>
                </c:pt>
                <c:pt idx="35">
                  <c:v>350</c:v>
                </c:pt>
                <c:pt idx="36">
                  <c:v>360</c:v>
                </c:pt>
                <c:pt idx="37">
                  <c:v>370</c:v>
                </c:pt>
                <c:pt idx="38">
                  <c:v>380</c:v>
                </c:pt>
                <c:pt idx="39">
                  <c:v>390</c:v>
                </c:pt>
                <c:pt idx="40">
                  <c:v>400</c:v>
                </c:pt>
                <c:pt idx="41">
                  <c:v>410</c:v>
                </c:pt>
                <c:pt idx="42">
                  <c:v>420</c:v>
                </c:pt>
                <c:pt idx="43">
                  <c:v>430</c:v>
                </c:pt>
                <c:pt idx="44">
                  <c:v>440</c:v>
                </c:pt>
                <c:pt idx="45">
                  <c:v>450</c:v>
                </c:pt>
                <c:pt idx="46">
                  <c:v>460</c:v>
                </c:pt>
                <c:pt idx="47">
                  <c:v>470</c:v>
                </c:pt>
                <c:pt idx="48">
                  <c:v>480</c:v>
                </c:pt>
                <c:pt idx="49">
                  <c:v>490</c:v>
                </c:pt>
                <c:pt idx="50">
                  <c:v>500</c:v>
                </c:pt>
                <c:pt idx="51">
                  <c:v>510</c:v>
                </c:pt>
                <c:pt idx="52">
                  <c:v>520</c:v>
                </c:pt>
                <c:pt idx="53">
                  <c:v>530</c:v>
                </c:pt>
                <c:pt idx="54">
                  <c:v>540</c:v>
                </c:pt>
                <c:pt idx="55">
                  <c:v>550</c:v>
                </c:pt>
                <c:pt idx="56">
                  <c:v>560</c:v>
                </c:pt>
                <c:pt idx="57">
                  <c:v>570</c:v>
                </c:pt>
                <c:pt idx="58">
                  <c:v>580</c:v>
                </c:pt>
                <c:pt idx="59">
                  <c:v>590</c:v>
                </c:pt>
                <c:pt idx="60">
                  <c:v>600</c:v>
                </c:pt>
                <c:pt idx="61">
                  <c:v>610</c:v>
                </c:pt>
              </c:numCache>
            </c:numRef>
          </c:xVal>
          <c:yVal>
            <c:numRef>
              <c:f>[铅.xlsx]Sheet1!$D$2:$D$63</c:f>
              <c:numCache>
                <c:formatCode>0.0_);[Red]\(0.0\)</c:formatCode>
                <c:ptCount val="62"/>
                <c:pt idx="0">
                  <c:v>0.192</c:v>
                </c:pt>
                <c:pt idx="1">
                  <c:v>0.182</c:v>
                </c:pt>
                <c:pt idx="2">
                  <c:v>0.17199999999999999</c:v>
                </c:pt>
                <c:pt idx="3">
                  <c:v>0.16200000000000001</c:v>
                </c:pt>
                <c:pt idx="4">
                  <c:v>0.152</c:v>
                </c:pt>
                <c:pt idx="5">
                  <c:v>0.14299999999999999</c:v>
                </c:pt>
                <c:pt idx="6">
                  <c:v>0.13300000000000001</c:v>
                </c:pt>
                <c:pt idx="7">
                  <c:v>0.124</c:v>
                </c:pt>
                <c:pt idx="8">
                  <c:v>0.115</c:v>
                </c:pt>
                <c:pt idx="9">
                  <c:v>0.106</c:v>
                </c:pt>
                <c:pt idx="10">
                  <c:v>9.7100000000000006E-2</c:v>
                </c:pt>
                <c:pt idx="11">
                  <c:v>8.8999999999999996E-2</c:v>
                </c:pt>
                <c:pt idx="12">
                  <c:v>8.1100000000000005E-2</c:v>
                </c:pt>
                <c:pt idx="13">
                  <c:v>7.3700000000000002E-2</c:v>
                </c:pt>
                <c:pt idx="14">
                  <c:v>6.6699999999999995E-2</c:v>
                </c:pt>
                <c:pt idx="15">
                  <c:v>6.0100000000000001E-2</c:v>
                </c:pt>
                <c:pt idx="16">
                  <c:v>5.3999999999999999E-2</c:v>
                </c:pt>
                <c:pt idx="17">
                  <c:v>4.8300000000000003E-2</c:v>
                </c:pt>
                <c:pt idx="18">
                  <c:v>4.2999999999999997E-2</c:v>
                </c:pt>
                <c:pt idx="19">
                  <c:v>3.8100000000000002E-2</c:v>
                </c:pt>
                <c:pt idx="20">
                  <c:v>3.3599999999999998E-2</c:v>
                </c:pt>
                <c:pt idx="21">
                  <c:v>2.9600000000000001E-2</c:v>
                </c:pt>
                <c:pt idx="22">
                  <c:v>2.5899999999999999E-2</c:v>
                </c:pt>
                <c:pt idx="23">
                  <c:v>2.2599999999999999E-2</c:v>
                </c:pt>
                <c:pt idx="24">
                  <c:v>1.9599999999999999E-2</c:v>
                </c:pt>
                <c:pt idx="25">
                  <c:v>1.6899999999999998E-2</c:v>
                </c:pt>
                <c:pt idx="26">
                  <c:v>1.46E-2</c:v>
                </c:pt>
                <c:pt idx="27">
                  <c:v>1.2500000000000001E-2</c:v>
                </c:pt>
                <c:pt idx="28">
                  <c:v>1.0699999999999999E-2</c:v>
                </c:pt>
                <c:pt idx="29">
                  <c:v>9.0600000000000003E-3</c:v>
                </c:pt>
                <c:pt idx="30">
                  <c:v>7.6600000000000001E-3</c:v>
                </c:pt>
                <c:pt idx="31">
                  <c:v>6.45E-3</c:v>
                </c:pt>
                <c:pt idx="32">
                  <c:v>5.4000000000000003E-3</c:v>
                </c:pt>
                <c:pt idx="33">
                  <c:v>4.5100000000000001E-3</c:v>
                </c:pt>
                <c:pt idx="34">
                  <c:v>3.7399999999999998E-3</c:v>
                </c:pt>
                <c:pt idx="35">
                  <c:v>3.0899999999999999E-3</c:v>
                </c:pt>
                <c:pt idx="36">
                  <c:v>2.5500000000000002E-3</c:v>
                </c:pt>
                <c:pt idx="37">
                  <c:v>2.0899999999999998E-3</c:v>
                </c:pt>
                <c:pt idx="38">
                  <c:v>1.6999999999999999E-3</c:v>
                </c:pt>
                <c:pt idx="39">
                  <c:v>1.3799999999999999E-3</c:v>
                </c:pt>
                <c:pt idx="40">
                  <c:v>1.1199999999999999E-3</c:v>
                </c:pt>
                <c:pt idx="41">
                  <c:v>8.9800000000000004E-4</c:v>
                </c:pt>
                <c:pt idx="42">
                  <c:v>7.1900000000000002E-4</c:v>
                </c:pt>
                <c:pt idx="43">
                  <c:v>5.7300000000000005E-4</c:v>
                </c:pt>
                <c:pt idx="44">
                  <c:v>4.5399999999999998E-4</c:v>
                </c:pt>
                <c:pt idx="45">
                  <c:v>3.59E-4</c:v>
                </c:pt>
                <c:pt idx="46">
                  <c:v>2.8200000000000002E-4</c:v>
                </c:pt>
                <c:pt idx="47">
                  <c:v>2.2100000000000001E-4</c:v>
                </c:pt>
                <c:pt idx="48">
                  <c:v>1.7200000000000001E-4</c:v>
                </c:pt>
                <c:pt idx="49">
                  <c:v>1.3300000000000001E-4</c:v>
                </c:pt>
                <c:pt idx="50">
                  <c:v>1.03E-4</c:v>
                </c:pt>
                <c:pt idx="51">
                  <c:v>7.8800000000000004E-5</c:v>
                </c:pt>
                <c:pt idx="52">
                  <c:v>6.02E-5</c:v>
                </c:pt>
                <c:pt idx="53">
                  <c:v>4.5800000000000002E-5</c:v>
                </c:pt>
                <c:pt idx="54">
                  <c:v>3.4600000000000001E-5</c:v>
                </c:pt>
                <c:pt idx="55">
                  <c:v>2.6100000000000001E-5</c:v>
                </c:pt>
                <c:pt idx="56">
                  <c:v>1.9599999999999999E-5</c:v>
                </c:pt>
                <c:pt idx="57">
                  <c:v>1.4600000000000001E-5</c:v>
                </c:pt>
                <c:pt idx="58">
                  <c:v>1.08E-5</c:v>
                </c:pt>
                <c:pt idx="59">
                  <c:v>7.9999999999999996E-6</c:v>
                </c:pt>
                <c:pt idx="60">
                  <c:v>5.8900000000000004E-6</c:v>
                </c:pt>
                <c:pt idx="61">
                  <c:v>4.3100000000000002E-6</c:v>
                </c:pt>
              </c:numCache>
            </c:numRef>
          </c:yVal>
          <c:smooth val="1"/>
          <c:extLst>
            <c:ext xmlns:c16="http://schemas.microsoft.com/office/drawing/2014/chart" uri="{C3380CC4-5D6E-409C-BE32-E72D297353CC}">
              <c16:uniqueId val="{00000001-7E8E-4E95-93CC-B18680427B6A}"/>
            </c:ext>
          </c:extLst>
        </c:ser>
        <c:ser>
          <c:idx val="3"/>
          <c:order val="2"/>
          <c:tx>
            <c:strRef>
              <c:f>[铅.xlsx]Sheet1!$G$1</c:f>
              <c:strCache>
                <c:ptCount val="1"/>
                <c:pt idx="0">
                  <c:v>铅迁移3650天不同位置浓度值（mg/L）</c:v>
                </c:pt>
              </c:strCache>
            </c:strRef>
          </c:tx>
          <c:spPr>
            <a:ln w="12700" cap="rnd" cmpd="sng" algn="ctr">
              <a:solidFill>
                <a:srgbClr val="FF0000"/>
              </a:solidFill>
              <a:prstDash val="solid"/>
              <a:round/>
            </a:ln>
          </c:spPr>
          <c:marker>
            <c:symbol val="star"/>
            <c:size val="6"/>
            <c:spPr>
              <a:noFill/>
              <a:ln w="9525" cap="flat" cmpd="sng" algn="ctr">
                <a:solidFill>
                  <a:srgbClr val="FF0000"/>
                </a:solidFill>
                <a:prstDash val="solid"/>
                <a:round/>
              </a:ln>
            </c:spPr>
          </c:marker>
          <c:xVal>
            <c:numRef>
              <c:f>[铅.xlsx]Sheet1!$F$2:$F$63</c:f>
              <c:numCache>
                <c:formatCode>General</c:formatCode>
                <c:ptCount val="62"/>
                <c:pt idx="0">
                  <c:v>0</c:v>
                </c:pt>
                <c:pt idx="1">
                  <c:v>10</c:v>
                </c:pt>
                <c:pt idx="2">
                  <c:v>20</c:v>
                </c:pt>
                <c:pt idx="3">
                  <c:v>30</c:v>
                </c:pt>
                <c:pt idx="4">
                  <c:v>40</c:v>
                </c:pt>
                <c:pt idx="5">
                  <c:v>50</c:v>
                </c:pt>
                <c:pt idx="6">
                  <c:v>60</c:v>
                </c:pt>
                <c:pt idx="7">
                  <c:v>70</c:v>
                </c:pt>
                <c:pt idx="8">
                  <c:v>80</c:v>
                </c:pt>
                <c:pt idx="9">
                  <c:v>90</c:v>
                </c:pt>
                <c:pt idx="10">
                  <c:v>100</c:v>
                </c:pt>
                <c:pt idx="11">
                  <c:v>110</c:v>
                </c:pt>
                <c:pt idx="12">
                  <c:v>120</c:v>
                </c:pt>
                <c:pt idx="13">
                  <c:v>130</c:v>
                </c:pt>
                <c:pt idx="14">
                  <c:v>140</c:v>
                </c:pt>
                <c:pt idx="15">
                  <c:v>150</c:v>
                </c:pt>
                <c:pt idx="16">
                  <c:v>160</c:v>
                </c:pt>
                <c:pt idx="17">
                  <c:v>170</c:v>
                </c:pt>
                <c:pt idx="18">
                  <c:v>180</c:v>
                </c:pt>
                <c:pt idx="19">
                  <c:v>190</c:v>
                </c:pt>
                <c:pt idx="20">
                  <c:v>200</c:v>
                </c:pt>
                <c:pt idx="21">
                  <c:v>210</c:v>
                </c:pt>
                <c:pt idx="22">
                  <c:v>220</c:v>
                </c:pt>
                <c:pt idx="23">
                  <c:v>230</c:v>
                </c:pt>
                <c:pt idx="24">
                  <c:v>240</c:v>
                </c:pt>
                <c:pt idx="25">
                  <c:v>250</c:v>
                </c:pt>
                <c:pt idx="26">
                  <c:v>260</c:v>
                </c:pt>
                <c:pt idx="27">
                  <c:v>270</c:v>
                </c:pt>
                <c:pt idx="28">
                  <c:v>280</c:v>
                </c:pt>
                <c:pt idx="29">
                  <c:v>290</c:v>
                </c:pt>
                <c:pt idx="30">
                  <c:v>300</c:v>
                </c:pt>
                <c:pt idx="31">
                  <c:v>310</c:v>
                </c:pt>
                <c:pt idx="32">
                  <c:v>320</c:v>
                </c:pt>
                <c:pt idx="33">
                  <c:v>330</c:v>
                </c:pt>
                <c:pt idx="34">
                  <c:v>340</c:v>
                </c:pt>
                <c:pt idx="35">
                  <c:v>350</c:v>
                </c:pt>
                <c:pt idx="36">
                  <c:v>360</c:v>
                </c:pt>
                <c:pt idx="37">
                  <c:v>370</c:v>
                </c:pt>
                <c:pt idx="38">
                  <c:v>380</c:v>
                </c:pt>
                <c:pt idx="39">
                  <c:v>390</c:v>
                </c:pt>
                <c:pt idx="40">
                  <c:v>400</c:v>
                </c:pt>
                <c:pt idx="41">
                  <c:v>410</c:v>
                </c:pt>
                <c:pt idx="42">
                  <c:v>420</c:v>
                </c:pt>
                <c:pt idx="43">
                  <c:v>430</c:v>
                </c:pt>
                <c:pt idx="44">
                  <c:v>440</c:v>
                </c:pt>
                <c:pt idx="45">
                  <c:v>450</c:v>
                </c:pt>
                <c:pt idx="46">
                  <c:v>460</c:v>
                </c:pt>
                <c:pt idx="47">
                  <c:v>470</c:v>
                </c:pt>
                <c:pt idx="48">
                  <c:v>480</c:v>
                </c:pt>
                <c:pt idx="49">
                  <c:v>490</c:v>
                </c:pt>
                <c:pt idx="50">
                  <c:v>500</c:v>
                </c:pt>
                <c:pt idx="51">
                  <c:v>510</c:v>
                </c:pt>
                <c:pt idx="52">
                  <c:v>520</c:v>
                </c:pt>
                <c:pt idx="53">
                  <c:v>530</c:v>
                </c:pt>
                <c:pt idx="54">
                  <c:v>540</c:v>
                </c:pt>
                <c:pt idx="55">
                  <c:v>550</c:v>
                </c:pt>
                <c:pt idx="56">
                  <c:v>560</c:v>
                </c:pt>
                <c:pt idx="57">
                  <c:v>570</c:v>
                </c:pt>
                <c:pt idx="58">
                  <c:v>580</c:v>
                </c:pt>
                <c:pt idx="59">
                  <c:v>590</c:v>
                </c:pt>
                <c:pt idx="60">
                  <c:v>600</c:v>
                </c:pt>
                <c:pt idx="61">
                  <c:v>610</c:v>
                </c:pt>
              </c:numCache>
            </c:numRef>
          </c:xVal>
          <c:yVal>
            <c:numRef>
              <c:f>[铅.xlsx]Sheet1!$G$2:$G$63</c:f>
              <c:numCache>
                <c:formatCode>0.0_);[Red]\(0.0\)</c:formatCode>
                <c:ptCount val="62"/>
                <c:pt idx="0">
                  <c:v>0.192</c:v>
                </c:pt>
                <c:pt idx="1">
                  <c:v>0.187</c:v>
                </c:pt>
                <c:pt idx="2">
                  <c:v>0.183</c:v>
                </c:pt>
                <c:pt idx="3">
                  <c:v>0.17799999999999999</c:v>
                </c:pt>
                <c:pt idx="4">
                  <c:v>0.17299999999999999</c:v>
                </c:pt>
                <c:pt idx="5">
                  <c:v>0.16800000000000001</c:v>
                </c:pt>
                <c:pt idx="6">
                  <c:v>0.16300000000000001</c:v>
                </c:pt>
                <c:pt idx="7">
                  <c:v>0.158</c:v>
                </c:pt>
                <c:pt idx="8">
                  <c:v>0.154</c:v>
                </c:pt>
                <c:pt idx="9">
                  <c:v>0.14899999999999999</c:v>
                </c:pt>
                <c:pt idx="10">
                  <c:v>0.14399999999999999</c:v>
                </c:pt>
                <c:pt idx="11">
                  <c:v>0.13900000000000001</c:v>
                </c:pt>
                <c:pt idx="12">
                  <c:v>0.13400000000000001</c:v>
                </c:pt>
                <c:pt idx="13">
                  <c:v>0.13</c:v>
                </c:pt>
                <c:pt idx="14">
                  <c:v>0.125</c:v>
                </c:pt>
                <c:pt idx="15">
                  <c:v>0.12</c:v>
                </c:pt>
                <c:pt idx="16">
                  <c:v>0.11600000000000001</c:v>
                </c:pt>
                <c:pt idx="17">
                  <c:v>0.111</c:v>
                </c:pt>
                <c:pt idx="18">
                  <c:v>0.107</c:v>
                </c:pt>
                <c:pt idx="19">
                  <c:v>0.10199999999999999</c:v>
                </c:pt>
                <c:pt idx="20">
                  <c:v>9.7900000000000001E-2</c:v>
                </c:pt>
                <c:pt idx="21">
                  <c:v>9.3700000000000006E-2</c:v>
                </c:pt>
                <c:pt idx="22">
                  <c:v>8.9599999999999999E-2</c:v>
                </c:pt>
                <c:pt idx="23">
                  <c:v>8.5500000000000007E-2</c:v>
                </c:pt>
                <c:pt idx="24">
                  <c:v>8.1600000000000006E-2</c:v>
                </c:pt>
                <c:pt idx="25">
                  <c:v>7.7700000000000005E-2</c:v>
                </c:pt>
                <c:pt idx="26">
                  <c:v>7.3999999999999996E-2</c:v>
                </c:pt>
                <c:pt idx="27">
                  <c:v>7.0300000000000001E-2</c:v>
                </c:pt>
                <c:pt idx="28">
                  <c:v>6.6799999999999998E-2</c:v>
                </c:pt>
                <c:pt idx="29">
                  <c:v>6.3399999999999998E-2</c:v>
                </c:pt>
                <c:pt idx="30">
                  <c:v>6.0100000000000001E-2</c:v>
                </c:pt>
                <c:pt idx="31">
                  <c:v>5.6800000000000003E-2</c:v>
                </c:pt>
                <c:pt idx="32">
                  <c:v>5.3699999999999998E-2</c:v>
                </c:pt>
                <c:pt idx="33">
                  <c:v>5.0799999999999998E-2</c:v>
                </c:pt>
                <c:pt idx="34">
                  <c:v>4.7899999999999998E-2</c:v>
                </c:pt>
                <c:pt idx="35">
                  <c:v>4.5100000000000001E-2</c:v>
                </c:pt>
                <c:pt idx="36">
                  <c:v>4.2500000000000003E-2</c:v>
                </c:pt>
                <c:pt idx="37">
                  <c:v>3.9899999999999998E-2</c:v>
                </c:pt>
                <c:pt idx="38">
                  <c:v>3.7499999999999999E-2</c:v>
                </c:pt>
                <c:pt idx="39">
                  <c:v>3.5200000000000002E-2</c:v>
                </c:pt>
                <c:pt idx="40">
                  <c:v>3.3000000000000002E-2</c:v>
                </c:pt>
                <c:pt idx="41">
                  <c:v>3.0800000000000001E-2</c:v>
                </c:pt>
                <c:pt idx="42">
                  <c:v>2.8799999999999999E-2</c:v>
                </c:pt>
                <c:pt idx="43">
                  <c:v>2.69E-2</c:v>
                </c:pt>
                <c:pt idx="44">
                  <c:v>2.5100000000000001E-2</c:v>
                </c:pt>
                <c:pt idx="45">
                  <c:v>2.3400000000000001E-2</c:v>
                </c:pt>
                <c:pt idx="46">
                  <c:v>2.18E-2</c:v>
                </c:pt>
                <c:pt idx="47">
                  <c:v>2.0199999999999999E-2</c:v>
                </c:pt>
                <c:pt idx="48">
                  <c:v>1.8800000000000001E-2</c:v>
                </c:pt>
                <c:pt idx="49">
                  <c:v>1.7399999999999999E-2</c:v>
                </c:pt>
                <c:pt idx="50">
                  <c:v>1.61E-2</c:v>
                </c:pt>
                <c:pt idx="51">
                  <c:v>1.49E-2</c:v>
                </c:pt>
                <c:pt idx="52">
                  <c:v>1.38E-2</c:v>
                </c:pt>
                <c:pt idx="53">
                  <c:v>1.2699999999999999E-2</c:v>
                </c:pt>
                <c:pt idx="54">
                  <c:v>1.17E-2</c:v>
                </c:pt>
                <c:pt idx="55">
                  <c:v>1.0800000000000001E-2</c:v>
                </c:pt>
                <c:pt idx="56">
                  <c:v>9.9000000000000008E-3</c:v>
                </c:pt>
                <c:pt idx="57">
                  <c:v>9.0900000000000009E-3</c:v>
                </c:pt>
                <c:pt idx="58">
                  <c:v>8.3300000000000006E-3</c:v>
                </c:pt>
                <c:pt idx="59">
                  <c:v>7.6299999999999996E-3</c:v>
                </c:pt>
                <c:pt idx="60">
                  <c:v>6.9800000000000001E-3</c:v>
                </c:pt>
                <c:pt idx="61">
                  <c:v>6.3800000000000003E-3</c:v>
                </c:pt>
              </c:numCache>
            </c:numRef>
          </c:yVal>
          <c:smooth val="1"/>
          <c:extLst>
            <c:ext xmlns:c16="http://schemas.microsoft.com/office/drawing/2014/chart" uri="{C3380CC4-5D6E-409C-BE32-E72D297353CC}">
              <c16:uniqueId val="{00000002-7E8E-4E95-93CC-B18680427B6A}"/>
            </c:ext>
          </c:extLst>
        </c:ser>
        <c:ser>
          <c:idx val="1"/>
          <c:order val="3"/>
          <c:tx>
            <c:strRef>
              <c:f>[铅.xlsx]Sheet1!$E$1</c:f>
              <c:strCache>
                <c:ptCount val="1"/>
                <c:pt idx="0">
                  <c:v>标准值（0.01mg/L）</c:v>
                </c:pt>
              </c:strCache>
            </c:strRef>
          </c:tx>
          <c:spPr>
            <a:ln w="12700" cap="rnd" cmpd="sng" algn="ctr">
              <a:solidFill>
                <a:srgbClr val="ED7D31">
                  <a:shade val="95000"/>
                  <a:satMod val="105000"/>
                </a:srgbClr>
              </a:solidFill>
              <a:prstDash val="solid"/>
              <a:round/>
            </a:ln>
          </c:spPr>
          <c:marker>
            <c:symbol val="dash"/>
            <c:size val="5"/>
          </c:marker>
          <c:xVal>
            <c:numRef>
              <c:f>[铅.xlsx]Sheet1!$F$2:$F$63</c:f>
              <c:numCache>
                <c:formatCode>General</c:formatCode>
                <c:ptCount val="62"/>
                <c:pt idx="0">
                  <c:v>0</c:v>
                </c:pt>
                <c:pt idx="1">
                  <c:v>10</c:v>
                </c:pt>
                <c:pt idx="2">
                  <c:v>20</c:v>
                </c:pt>
                <c:pt idx="3">
                  <c:v>30</c:v>
                </c:pt>
                <c:pt idx="4">
                  <c:v>40</c:v>
                </c:pt>
                <c:pt idx="5">
                  <c:v>50</c:v>
                </c:pt>
                <c:pt idx="6">
                  <c:v>60</c:v>
                </c:pt>
                <c:pt idx="7">
                  <c:v>70</c:v>
                </c:pt>
                <c:pt idx="8">
                  <c:v>80</c:v>
                </c:pt>
                <c:pt idx="9">
                  <c:v>90</c:v>
                </c:pt>
                <c:pt idx="10">
                  <c:v>100</c:v>
                </c:pt>
                <c:pt idx="11">
                  <c:v>110</c:v>
                </c:pt>
                <c:pt idx="12">
                  <c:v>120</c:v>
                </c:pt>
                <c:pt idx="13">
                  <c:v>130</c:v>
                </c:pt>
                <c:pt idx="14">
                  <c:v>140</c:v>
                </c:pt>
                <c:pt idx="15">
                  <c:v>150</c:v>
                </c:pt>
                <c:pt idx="16">
                  <c:v>160</c:v>
                </c:pt>
                <c:pt idx="17">
                  <c:v>170</c:v>
                </c:pt>
                <c:pt idx="18">
                  <c:v>180</c:v>
                </c:pt>
                <c:pt idx="19">
                  <c:v>190</c:v>
                </c:pt>
                <c:pt idx="20">
                  <c:v>200</c:v>
                </c:pt>
                <c:pt idx="21">
                  <c:v>210</c:v>
                </c:pt>
                <c:pt idx="22">
                  <c:v>220</c:v>
                </c:pt>
                <c:pt idx="23">
                  <c:v>230</c:v>
                </c:pt>
                <c:pt idx="24">
                  <c:v>240</c:v>
                </c:pt>
                <c:pt idx="25">
                  <c:v>250</c:v>
                </c:pt>
                <c:pt idx="26">
                  <c:v>260</c:v>
                </c:pt>
                <c:pt idx="27">
                  <c:v>270</c:v>
                </c:pt>
                <c:pt idx="28">
                  <c:v>280</c:v>
                </c:pt>
                <c:pt idx="29">
                  <c:v>290</c:v>
                </c:pt>
                <c:pt idx="30">
                  <c:v>300</c:v>
                </c:pt>
                <c:pt idx="31">
                  <c:v>310</c:v>
                </c:pt>
                <c:pt idx="32">
                  <c:v>320</c:v>
                </c:pt>
                <c:pt idx="33">
                  <c:v>330</c:v>
                </c:pt>
                <c:pt idx="34">
                  <c:v>340</c:v>
                </c:pt>
                <c:pt idx="35">
                  <c:v>350</c:v>
                </c:pt>
                <c:pt idx="36">
                  <c:v>360</c:v>
                </c:pt>
                <c:pt idx="37">
                  <c:v>370</c:v>
                </c:pt>
                <c:pt idx="38">
                  <c:v>380</c:v>
                </c:pt>
                <c:pt idx="39">
                  <c:v>390</c:v>
                </c:pt>
                <c:pt idx="40">
                  <c:v>400</c:v>
                </c:pt>
                <c:pt idx="41">
                  <c:v>410</c:v>
                </c:pt>
                <c:pt idx="42">
                  <c:v>420</c:v>
                </c:pt>
                <c:pt idx="43">
                  <c:v>430</c:v>
                </c:pt>
                <c:pt idx="44">
                  <c:v>440</c:v>
                </c:pt>
                <c:pt idx="45">
                  <c:v>450</c:v>
                </c:pt>
                <c:pt idx="46">
                  <c:v>460</c:v>
                </c:pt>
                <c:pt idx="47">
                  <c:v>470</c:v>
                </c:pt>
                <c:pt idx="48">
                  <c:v>480</c:v>
                </c:pt>
                <c:pt idx="49">
                  <c:v>490</c:v>
                </c:pt>
                <c:pt idx="50">
                  <c:v>500</c:v>
                </c:pt>
                <c:pt idx="51">
                  <c:v>510</c:v>
                </c:pt>
                <c:pt idx="52">
                  <c:v>520</c:v>
                </c:pt>
                <c:pt idx="53">
                  <c:v>530</c:v>
                </c:pt>
                <c:pt idx="54">
                  <c:v>540</c:v>
                </c:pt>
                <c:pt idx="55">
                  <c:v>550</c:v>
                </c:pt>
                <c:pt idx="56">
                  <c:v>560</c:v>
                </c:pt>
                <c:pt idx="57">
                  <c:v>570</c:v>
                </c:pt>
                <c:pt idx="58">
                  <c:v>580</c:v>
                </c:pt>
                <c:pt idx="59">
                  <c:v>590</c:v>
                </c:pt>
                <c:pt idx="60">
                  <c:v>600</c:v>
                </c:pt>
                <c:pt idx="61">
                  <c:v>610</c:v>
                </c:pt>
              </c:numCache>
            </c:numRef>
          </c:xVal>
          <c:yVal>
            <c:numRef>
              <c:f>[铅.xlsx]Sheet1!$E$2:$E$63</c:f>
              <c:numCache>
                <c:formatCode>General</c:formatCode>
                <c:ptCount val="62"/>
                <c:pt idx="0">
                  <c:v>0.01</c:v>
                </c:pt>
                <c:pt idx="1">
                  <c:v>0.01</c:v>
                </c:pt>
                <c:pt idx="2">
                  <c:v>0.01</c:v>
                </c:pt>
                <c:pt idx="3">
                  <c:v>0.01</c:v>
                </c:pt>
                <c:pt idx="4">
                  <c:v>0.01</c:v>
                </c:pt>
                <c:pt idx="5">
                  <c:v>0.01</c:v>
                </c:pt>
                <c:pt idx="6">
                  <c:v>0.01</c:v>
                </c:pt>
                <c:pt idx="7">
                  <c:v>0.01</c:v>
                </c:pt>
                <c:pt idx="8">
                  <c:v>0.01</c:v>
                </c:pt>
                <c:pt idx="9">
                  <c:v>0.01</c:v>
                </c:pt>
                <c:pt idx="10">
                  <c:v>0.01</c:v>
                </c:pt>
                <c:pt idx="11">
                  <c:v>0.01</c:v>
                </c:pt>
                <c:pt idx="12">
                  <c:v>0.01</c:v>
                </c:pt>
                <c:pt idx="13">
                  <c:v>0.01</c:v>
                </c:pt>
                <c:pt idx="14">
                  <c:v>0.01</c:v>
                </c:pt>
                <c:pt idx="15">
                  <c:v>0.01</c:v>
                </c:pt>
                <c:pt idx="16">
                  <c:v>0.01</c:v>
                </c:pt>
                <c:pt idx="17">
                  <c:v>0.01</c:v>
                </c:pt>
                <c:pt idx="18">
                  <c:v>0.01</c:v>
                </c:pt>
                <c:pt idx="19">
                  <c:v>0.01</c:v>
                </c:pt>
                <c:pt idx="20">
                  <c:v>0.01</c:v>
                </c:pt>
                <c:pt idx="21">
                  <c:v>0.01</c:v>
                </c:pt>
                <c:pt idx="22">
                  <c:v>0.01</c:v>
                </c:pt>
                <c:pt idx="23">
                  <c:v>0.01</c:v>
                </c:pt>
                <c:pt idx="24">
                  <c:v>0.01</c:v>
                </c:pt>
                <c:pt idx="25">
                  <c:v>0.01</c:v>
                </c:pt>
                <c:pt idx="26">
                  <c:v>0.01</c:v>
                </c:pt>
                <c:pt idx="27">
                  <c:v>0.01</c:v>
                </c:pt>
                <c:pt idx="28">
                  <c:v>0.01</c:v>
                </c:pt>
                <c:pt idx="29">
                  <c:v>0.01</c:v>
                </c:pt>
                <c:pt idx="30">
                  <c:v>0.01</c:v>
                </c:pt>
                <c:pt idx="31">
                  <c:v>0.01</c:v>
                </c:pt>
                <c:pt idx="32">
                  <c:v>0.01</c:v>
                </c:pt>
                <c:pt idx="33">
                  <c:v>0.01</c:v>
                </c:pt>
                <c:pt idx="34">
                  <c:v>0.01</c:v>
                </c:pt>
                <c:pt idx="35">
                  <c:v>0.01</c:v>
                </c:pt>
                <c:pt idx="36">
                  <c:v>0.01</c:v>
                </c:pt>
                <c:pt idx="37">
                  <c:v>0.01</c:v>
                </c:pt>
                <c:pt idx="38">
                  <c:v>0.01</c:v>
                </c:pt>
                <c:pt idx="39">
                  <c:v>0.01</c:v>
                </c:pt>
                <c:pt idx="40">
                  <c:v>0.01</c:v>
                </c:pt>
                <c:pt idx="41">
                  <c:v>0.01</c:v>
                </c:pt>
                <c:pt idx="42">
                  <c:v>0.01</c:v>
                </c:pt>
                <c:pt idx="43">
                  <c:v>0.01</c:v>
                </c:pt>
                <c:pt idx="44">
                  <c:v>0.01</c:v>
                </c:pt>
                <c:pt idx="45">
                  <c:v>0.01</c:v>
                </c:pt>
                <c:pt idx="46">
                  <c:v>0.01</c:v>
                </c:pt>
                <c:pt idx="47">
                  <c:v>0.01</c:v>
                </c:pt>
                <c:pt idx="48">
                  <c:v>0.01</c:v>
                </c:pt>
                <c:pt idx="49">
                  <c:v>0.01</c:v>
                </c:pt>
                <c:pt idx="50">
                  <c:v>0.01</c:v>
                </c:pt>
                <c:pt idx="51">
                  <c:v>0.01</c:v>
                </c:pt>
                <c:pt idx="52">
                  <c:v>0.01</c:v>
                </c:pt>
                <c:pt idx="53">
                  <c:v>0.01</c:v>
                </c:pt>
                <c:pt idx="54">
                  <c:v>0.01</c:v>
                </c:pt>
                <c:pt idx="55">
                  <c:v>0.01</c:v>
                </c:pt>
                <c:pt idx="56">
                  <c:v>0.01</c:v>
                </c:pt>
                <c:pt idx="57">
                  <c:v>0.01</c:v>
                </c:pt>
                <c:pt idx="58">
                  <c:v>0.01</c:v>
                </c:pt>
                <c:pt idx="59">
                  <c:v>0.01</c:v>
                </c:pt>
                <c:pt idx="60">
                  <c:v>0.01</c:v>
                </c:pt>
                <c:pt idx="61">
                  <c:v>0.01</c:v>
                </c:pt>
              </c:numCache>
            </c:numRef>
          </c:yVal>
          <c:smooth val="1"/>
          <c:extLst>
            <c:ext xmlns:c16="http://schemas.microsoft.com/office/drawing/2014/chart" uri="{C3380CC4-5D6E-409C-BE32-E72D297353CC}">
              <c16:uniqueId val="{00000003-7E8E-4E95-93CC-B18680427B6A}"/>
            </c:ext>
          </c:extLst>
        </c:ser>
        <c:dLbls>
          <c:showLegendKey val="0"/>
          <c:showVal val="0"/>
          <c:showCatName val="0"/>
          <c:showSerName val="0"/>
          <c:showPercent val="0"/>
          <c:showBubbleSize val="0"/>
        </c:dLbls>
        <c:axId val="201589120"/>
        <c:axId val="201591040"/>
      </c:scatterChart>
      <c:valAx>
        <c:axId val="201589120"/>
        <c:scaling>
          <c:orientation val="minMax"/>
          <c:max val="650"/>
        </c:scaling>
        <c:delete val="0"/>
        <c:axPos val="b"/>
        <c:title>
          <c:tx>
            <c:rich>
              <a:bodyPr rot="0" spcFirstLastPara="0" vertOverflow="ellipsis" vert="horz" wrap="square" anchor="ctr" anchorCtr="1"/>
              <a:lstStyle/>
              <a:p>
                <a:pPr>
                  <a:defRPr lang="zh-CN" sz="1000" b="1" i="0" u="none" strike="noStrike" kern="1200" baseline="0">
                    <a:solidFill>
                      <a:sysClr val="windowText" lastClr="000000"/>
                    </a:solidFill>
                    <a:latin typeface="+mn-lt"/>
                    <a:ea typeface="+mn-ea"/>
                    <a:cs typeface="+mn-cs"/>
                  </a:defRPr>
                </a:pPr>
                <a:r>
                  <a:rPr lang="zh-CN" altLang="en-US"/>
                  <a:t>污染物迁移距离（</a:t>
                </a:r>
                <a:r>
                  <a:rPr lang="en-US" altLang="zh-CN"/>
                  <a:t>m</a:t>
                </a:r>
                <a:r>
                  <a:rPr lang="zh-CN" altLang="en-US"/>
                  <a:t>）</a:t>
                </a:r>
              </a:p>
            </c:rich>
          </c:tx>
          <c:layout>
            <c:manualLayout>
              <c:xMode val="edge"/>
              <c:yMode val="edge"/>
              <c:x val="0.75848090066027996"/>
              <c:y val="0.95552231075216598"/>
            </c:manualLayout>
          </c:layout>
          <c:overlay val="0"/>
        </c:title>
        <c:numFmt formatCode="General" sourceLinked="1"/>
        <c:majorTickMark val="none"/>
        <c:minorTickMark val="none"/>
        <c:tickLblPos val="nextTo"/>
        <c:txPr>
          <a:bodyPr rot="-60000000" spcFirstLastPara="0" vertOverflow="ellipsis" vert="horz" wrap="square" anchor="ctr" anchorCtr="1"/>
          <a:lstStyle/>
          <a:p>
            <a:pPr>
              <a:defRPr lang="zh-CN" sz="1000" b="0" i="0" u="none" strike="noStrike" kern="1200" baseline="0">
                <a:solidFill>
                  <a:sysClr val="windowText" lastClr="000000"/>
                </a:solidFill>
                <a:latin typeface="+mn-lt"/>
                <a:ea typeface="+mn-ea"/>
                <a:cs typeface="+mn-cs"/>
              </a:defRPr>
            </a:pPr>
            <a:endParaRPr lang="zh-CN"/>
          </a:p>
        </c:txPr>
        <c:crossAx val="201591040"/>
        <c:crosses val="autoZero"/>
        <c:crossBetween val="midCat"/>
      </c:valAx>
      <c:valAx>
        <c:axId val="201591040"/>
        <c:scaling>
          <c:orientation val="minMax"/>
          <c:min val="0"/>
        </c:scaling>
        <c:delete val="0"/>
        <c:axPos val="l"/>
        <c:title>
          <c:tx>
            <c:rich>
              <a:bodyPr rot="-5400000" spcFirstLastPara="0" vertOverflow="ellipsis" vert="horz" wrap="square" anchor="ctr" anchorCtr="1"/>
              <a:lstStyle/>
              <a:p>
                <a:pPr>
                  <a:defRPr lang="zh-CN" sz="1000" b="1" i="0" u="none" strike="noStrike" kern="1200" baseline="0">
                    <a:solidFill>
                      <a:sysClr val="windowText" lastClr="000000"/>
                    </a:solidFill>
                    <a:latin typeface="+mn-lt"/>
                    <a:ea typeface="+mn-ea"/>
                    <a:cs typeface="+mn-cs"/>
                  </a:defRPr>
                </a:pPr>
                <a:r>
                  <a:rPr lang="zh-CN" altLang="en-US"/>
                  <a:t>铅浓度（</a:t>
                </a:r>
                <a:r>
                  <a:rPr lang="en-US" altLang="zh-CN"/>
                  <a:t>mg/L</a:t>
                </a:r>
                <a:r>
                  <a:rPr lang="zh-CN" altLang="en-US"/>
                  <a:t>）</a:t>
                </a:r>
              </a:p>
            </c:rich>
          </c:tx>
          <c:layout>
            <c:manualLayout>
              <c:xMode val="edge"/>
              <c:yMode val="edge"/>
              <c:x val="1.55107381920052E-2"/>
              <c:y val="5.4464826939373698E-2"/>
            </c:manualLayout>
          </c:layout>
          <c:overlay val="0"/>
        </c:title>
        <c:numFmt formatCode="0.0_);[Red]\(0.0\)" sourceLinked="1"/>
        <c:majorTickMark val="none"/>
        <c:minorTickMark val="none"/>
        <c:tickLblPos val="nextTo"/>
        <c:txPr>
          <a:bodyPr rot="-60000000" spcFirstLastPara="0" vertOverflow="ellipsis" vert="horz" wrap="square" anchor="ctr" anchorCtr="1"/>
          <a:lstStyle/>
          <a:p>
            <a:pPr>
              <a:defRPr lang="zh-CN" sz="1000" b="0" i="0" u="none" strike="noStrike" kern="1200" baseline="0">
                <a:solidFill>
                  <a:sysClr val="windowText" lastClr="000000"/>
                </a:solidFill>
                <a:latin typeface="+mn-lt"/>
                <a:ea typeface="+mn-ea"/>
                <a:cs typeface="+mn-cs"/>
              </a:defRPr>
            </a:pPr>
            <a:endParaRPr lang="zh-CN"/>
          </a:p>
        </c:txPr>
        <c:crossAx val="201589120"/>
        <c:crosses val="autoZero"/>
        <c:crossBetween val="midCat"/>
      </c:valAx>
    </c:plotArea>
    <c:legend>
      <c:legendPos val="r"/>
      <c:layout>
        <c:manualLayout>
          <c:xMode val="edge"/>
          <c:yMode val="edge"/>
          <c:x val="0.63849799883146596"/>
          <c:y val="1.2420131952001199E-2"/>
          <c:w val="0.35056170140985798"/>
          <c:h val="0.27075805768236599"/>
        </c:manualLayout>
      </c:layout>
      <c:overlay val="0"/>
      <c:txPr>
        <a:bodyPr rot="0" spcFirstLastPara="0"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legend>
    <c:plotVisOnly val="1"/>
    <c:dispBlanksAs val="gap"/>
    <c:showDLblsOverMax val="0"/>
    <c:extLst>
      <c:ext uri="{0b15fc19-7d7d-44ad-8c2d-2c3a37ce22c3}">
        <chartProps xmlns="https://web.wps.cn/et/2018/main" chartId="{ae4d5c5e-45c2-432f-a50a-7d5d1c1093c6}"/>
      </c:ext>
    </c:extLst>
  </c:chart>
  <c:txPr>
    <a:bodyPr/>
    <a:lstStyle/>
    <a:p>
      <a:pPr>
        <a:defRPr lang="zh-CN"/>
      </a:pPr>
      <a:endParaRPr lang="zh-CN"/>
    </a:p>
  </c:txPr>
  <c:externalData r:id="rId2">
    <c:autoUpdate val="0"/>
  </c:externalData>
</c:chartSpace>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31FEBDD-35EA-49EB-A05E-12FF157770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12180</TotalTime>
  <Pages>207</Pages>
  <Words>26330</Words>
  <Characters>150086</Characters>
  <Application>Microsoft Office Word</Application>
  <DocSecurity>0</DocSecurity>
  <Lines>1250</Lines>
  <Paragraphs>352</Paragraphs>
  <ScaleCrop>false</ScaleCrop>
  <Company>Microsoft</Company>
  <LinksUpToDate>false</LinksUpToDate>
  <CharactersWithSpaces>176064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牲猪养殖项目报告书</dc:title>
  <dc:subject/>
  <dc:creator>s</dc:creator>
  <cp:keywords/>
  <dc:description/>
  <cp:lastModifiedBy>xueying</cp:lastModifiedBy>
  <cp:revision>331</cp:revision>
  <cp:lastPrinted>2023-10-23T04:32:00Z</cp:lastPrinted>
  <dcterms:created xsi:type="dcterms:W3CDTF">2020-10-02T14:52:00Z</dcterms:created>
  <dcterms:modified xsi:type="dcterms:W3CDTF">2026-02-02T08:17:00Z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064630EBA62A4D159B6E20AEFB5F05E8_13</vt:lpwstr>
  </property>
  <property fmtid="{D5CDD505-2E9C-101B-9397-08002B2CF9AE}" pid="4" name="commondata">
    <vt:lpwstr>eyJoZGlkIjoiNjA5MzBlNjk1N2VmMGI4NGQ5OTBkNmRiZTc2ZGZiMGMifQ==</vt:lpwstr>
  </property>
  <property fmtid="{D5CDD505-2E9C-101B-9397-08002B2CF9AE}" pid="5" name="KSOTemplateDocerSaveRecord">
    <vt:lpwstr>eyJoZGlkIjoiYTZmNjNmNDY2ZjExMjJhMzRlY2IxNTYzMGZkNGYwYTciLCJ1c2VySWQiOiIyMDUzMDM4MDMifQ==</vt:lpwstr>
  </property>
</Properties>
</file>